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header38.xml" ContentType="application/vnd.openxmlformats-officedocument.wordprocessingml.header+xml"/>
  <Override PartName="/word/footer41.xml" ContentType="application/vnd.openxmlformats-officedocument.wordprocessingml.footer+xml"/>
  <Override PartName="/word/header39.xml" ContentType="application/vnd.openxmlformats-officedocument.wordprocessingml.head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9.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78.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93.xml" ContentType="application/vnd.openxmlformats-officedocument.wordprocessingml.footer+xml"/>
  <Override PartName="/word/header91.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12.xml" ContentType="application/vnd.openxmlformats-officedocument.wordprocessingml.footer+xml"/>
  <Override PartName="/word/header110.xml" ContentType="application/vnd.openxmlformats-officedocument.wordprocessingml.header+xml"/>
  <Override PartName="/word/footer113.xml" ContentType="application/vnd.openxmlformats-officedocument.wordprocessingml.footer+xml"/>
  <Override PartName="/word/header111.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33.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45.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xml:space="preserve" ve:Ignorable="w14">
  <w:body>
    <w:p>
      <w:pPr>
        <w:pStyle w:val="BodyText"/>
        <w:spacing w:before="126"/>
        <w:rPr>
          <w:rFonts w:ascii="Times New Roman"/>
          <w:sz w:val="35"/>
        </w:rPr>
      </w:pPr>
    </w:p>
    <w:p>
      <w:pPr>
        <w:spacing w:before="1" w:line="403" w:lineRule="auto"/>
        <w:ind w:left="1925" w:right="1108" w:firstLine="326"/>
        <w:jc w:val="left"/>
        <w:rPr>
          <w:sz w:val="35"/>
        </w:rPr>
      </w:pPr>
      <w:r>
        <w:rPr>
          <w:color w:val="0E0E0E"/>
          <w:sz w:val="35"/>
        </w:rPr>
        <w:t>HERTSMERE BOROUGH COUNCIL REVISED STATEMENT OF ACCOUNTS FOR</w:t>
      </w:r>
      <w:r>
        <w:rPr>
          <w:color w:val="0E0E0E"/>
          <w:spacing w:val="22"/>
          <w:sz w:val="35"/>
        </w:rPr>
        <w:t> </w:t>
      </w:r>
      <w:r>
        <w:rPr>
          <w:color w:val="0E0E0E"/>
          <w:sz w:val="35"/>
        </w:rPr>
        <w:t>THE</w:t>
      </w:r>
      <w:r>
        <w:rPr>
          <w:color w:val="0E0E0E"/>
          <w:spacing w:val="23"/>
          <w:sz w:val="35"/>
        </w:rPr>
        <w:t> </w:t>
      </w:r>
      <w:r>
        <w:rPr>
          <w:color w:val="0E0E0E"/>
          <w:sz w:val="35"/>
        </w:rPr>
        <w:t>YEAR</w:t>
      </w:r>
      <w:r>
        <w:rPr>
          <w:color w:val="0E0E0E"/>
          <w:spacing w:val="28"/>
          <w:sz w:val="35"/>
        </w:rPr>
        <w:t> </w:t>
      </w:r>
      <w:r>
        <w:rPr>
          <w:color w:val="0E0E0E"/>
          <w:sz w:val="35"/>
        </w:rPr>
        <w:t>ENDED</w:t>
      </w:r>
      <w:r>
        <w:rPr>
          <w:color w:val="0E0E0E"/>
          <w:spacing w:val="34"/>
          <w:sz w:val="35"/>
        </w:rPr>
        <w:t> </w:t>
      </w:r>
      <w:r>
        <w:rPr>
          <w:color w:val="0E0E0E"/>
          <w:sz w:val="35"/>
        </w:rPr>
        <w:t>31</w:t>
      </w:r>
      <w:r>
        <w:rPr>
          <w:color w:val="0E0E0E"/>
          <w:spacing w:val="7"/>
          <w:sz w:val="35"/>
        </w:rPr>
        <w:t> </w:t>
      </w:r>
      <w:r>
        <w:rPr>
          <w:color w:val="0E0E0E"/>
          <w:sz w:val="35"/>
        </w:rPr>
        <w:t>March</w:t>
      </w:r>
      <w:r>
        <w:rPr>
          <w:color w:val="0E0E0E"/>
          <w:spacing w:val="18"/>
          <w:sz w:val="35"/>
        </w:rPr>
        <w:t> </w:t>
      </w:r>
      <w:r>
        <w:rPr>
          <w:color w:val="0E0E0E"/>
          <w:spacing w:val="-4"/>
          <w:sz w:val="35"/>
        </w:rPr>
        <w:t>2023</w:t>
      </w:r>
    </w:p>
    <w:p>
      <w:pPr>
        <w:spacing w:after="0" w:line="403" w:lineRule="auto"/>
        <w:jc w:val="left"/>
        <w:rPr>
          <w:sz w:val="35"/>
        </w:rPr>
        <w:sectPr>
          <w:footerReference w:type="even" r:id="rId5"/>
          <w:type w:val="continuous"/>
          <w:pgSz w:w="11910" w:h="16830"/>
          <w:pgMar w:top="1940" w:right="920" w:bottom="280" w:left="840" w:header="0" w:footer="0"/>
          <w:pgNumType w:start="2"/>
        </w:sectPr>
      </w:pPr>
    </w:p>
    <w:p>
      <w:pPr>
        <w:pStyle w:val="BodyText"/>
        <w:spacing w:before="4"/>
        <w:rPr>
          <w:sz w:val="17"/>
        </w:rPr>
      </w:pPr>
      <w:r>
        <w:rPr/>
        <w:drawing>
          <wp:anchor distT="0" distB="0" distL="0" distR="0" simplePos="0" relativeHeight="15728640" behindDoc="0" locked="0" layoutInCell="1" allowOverlap="1">
            <wp:simplePos x="0" y="0"/>
            <wp:positionH relativeFrom="page">
              <wp:posOffset>0</wp:posOffset>
            </wp:positionH>
            <wp:positionV relativeFrom="page">
              <wp:posOffset>0</wp:posOffset>
            </wp:positionV>
            <wp:extent cx="6047232" cy="8680704"/>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6" cstate="print"/>
                    <a:stretch>
                      <a:fillRect/>
                    </a:stretch>
                  </pic:blipFill>
                  <pic:spPr>
                    <a:xfrm>
                      <a:off x="0" y="0"/>
                      <a:ext cx="6047232" cy="8680704"/>
                    </a:xfrm>
                    <a:prstGeom prst="rect">
                      <a:avLst/>
                    </a:prstGeom>
                  </pic:spPr>
                </pic:pic>
              </a:graphicData>
            </a:graphic>
          </wp:anchor>
        </w:drawing>
      </w:r>
    </w:p>
    <w:p>
      <w:pPr>
        <w:spacing w:after="0"/>
        <w:rPr>
          <w:sz w:val="17"/>
        </w:rPr>
        <w:sectPr>
          <w:pgSz w:w="11910" w:h="16830"/>
          <w:pgMar w:top="0" w:right="920" w:bottom="280" w:left="840" w:header="0" w:footer="0"/>
        </w:sectPr>
      </w:pPr>
    </w:p>
    <w:p>
      <w:pPr>
        <w:pStyle w:val="BodyText"/>
        <w:spacing w:line="134" w:lineRule="exact"/>
        <w:ind w:left="813"/>
        <w:rPr>
          <w:sz w:val="13"/>
        </w:rPr>
      </w:pPr>
      <w:r>
        <w:rPr/>
        <ve:AlternateContent>
          <ve:Choice Requires="wps">
            <w:drawing>
              <wp:anchor distT="0" distB="0" distL="0" distR="0" simplePos="0" relativeHeight="15732736" behindDoc="0" locked="0" layoutInCell="1" allowOverlap="1">
                <wp:simplePos x="0" y="0"/>
                <wp:positionH relativeFrom="page">
                  <wp:posOffset>15264</wp:posOffset>
                </wp:positionH>
                <wp:positionV relativeFrom="page">
                  <wp:posOffset>9831874</wp:posOffset>
                </wp:positionV>
                <wp:extent cx="1270" cy="501015"/>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1270" cy="501015"/>
                        </a:xfrm>
                        <a:custGeom>
                          <a:avLst/>
                          <a:gdLst/>
                          <a:ahLst/>
                          <a:cxnLst/>
                          <a:rect l="l" t="t" r="r" b="b"/>
                          <a:pathLst>
                            <a:path w="0" h="501015">
                              <a:moveTo>
                                <a:pt x="0" y="500442"/>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32736" stroked="true" strokecolor="#000000" strokeweight=".961549pt" from="1.201936pt,813.568238pt" to="1.201936pt,774.16333pt">
                <v:stroke dashstyle="solid"/>
                <w10:wrap type="none"/>
              </v:line>
            </w:pict>
          </ve:Fallback>
        </ve:AlternateContent>
      </w:r>
      <w:r>
        <w:rPr>
          <w:position w:val="-2"/>
          <w:sz w:val="13"/>
        </w:rPr>
        <w:drawing>
          <wp:inline distT="0" distB="0" distL="0" distR="0">
            <wp:extent cx="772300" cy="85344"/>
            <wp:effectExtent l="0" t="0" r="0" b="0"/>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772300" cy="85344"/>
                    </a:xfrm>
                    <a:prstGeom prst="rect">
                      <a:avLst/>
                    </a:prstGeom>
                  </pic:spPr>
                </pic:pic>
              </a:graphicData>
            </a:graphic>
          </wp:inline>
        </w:drawing>
      </w:r>
      <w:r>
        <w:rPr>
          <w:position w:val="-2"/>
          <w:sz w:val="13"/>
        </w:rPr>
      </w:r>
    </w:p>
    <w:p>
      <w:pPr>
        <w:pStyle w:val="BodyText"/>
        <w:spacing w:before="52"/>
        <w:rPr>
          <w:sz w:val="20"/>
        </w:rPr>
      </w:pPr>
    </w:p>
    <w:tbl>
      <w:tblPr>
        <w:tblW w:w="0" w:type="auto"/>
        <w:jc w:val="left"/>
        <w:tblInd w:w="24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22"/>
        <w:gridCol w:w="6826"/>
        <w:gridCol w:w="1164"/>
        <w:gridCol w:w="713"/>
      </w:tblGrid>
      <w:tr>
        <w:trPr>
          <w:trHeight w:val="374" w:hRule="atLeast"/>
        </w:trPr>
        <w:tc>
          <w:tcPr>
            <w:tcW w:w="822" w:type="dxa"/>
          </w:tcPr>
          <w:p>
            <w:pPr>
              <w:pStyle w:val="TableParagraph"/>
              <w:spacing w:line="201" w:lineRule="exact"/>
              <w:ind w:left="29" w:right="92"/>
              <w:jc w:val="center"/>
              <w:rPr>
                <w:b/>
                <w:sz w:val="18"/>
              </w:rPr>
            </w:pPr>
            <w:r>
              <w:rPr>
                <w:b/>
                <w:color w:val="8C8C8C"/>
                <w:spacing w:val="-2"/>
                <w:sz w:val="18"/>
              </w:rPr>
              <w:t>Section</w:t>
            </w:r>
          </w:p>
        </w:tc>
        <w:tc>
          <w:tcPr>
            <w:tcW w:w="6826" w:type="dxa"/>
          </w:tcPr>
          <w:p>
            <w:pPr>
              <w:pStyle w:val="TableParagraph"/>
              <w:rPr>
                <w:rFonts w:ascii="Times New Roman"/>
                <w:sz w:val="18"/>
              </w:rPr>
            </w:pPr>
          </w:p>
        </w:tc>
        <w:tc>
          <w:tcPr>
            <w:tcW w:w="1164" w:type="dxa"/>
          </w:tcPr>
          <w:p>
            <w:pPr>
              <w:pStyle w:val="TableParagraph"/>
              <w:spacing w:line="201" w:lineRule="exact"/>
              <w:ind w:left="215"/>
              <w:jc w:val="center"/>
              <w:rPr>
                <w:b/>
                <w:sz w:val="18"/>
              </w:rPr>
            </w:pPr>
            <w:r>
              <w:rPr>
                <w:b/>
                <w:color w:val="151515"/>
                <w:spacing w:val="-4"/>
                <w:sz w:val="18"/>
              </w:rPr>
              <w:t>Note</w:t>
            </w:r>
          </w:p>
        </w:tc>
        <w:tc>
          <w:tcPr>
            <w:tcW w:w="713" w:type="dxa"/>
          </w:tcPr>
          <w:p>
            <w:pPr>
              <w:pStyle w:val="TableParagraph"/>
              <w:spacing w:line="201" w:lineRule="exact"/>
              <w:ind w:left="226"/>
              <w:rPr>
                <w:b/>
                <w:sz w:val="18"/>
              </w:rPr>
            </w:pPr>
            <w:r>
              <w:rPr>
                <w:b/>
                <w:color w:val="151515"/>
                <w:spacing w:val="-4"/>
                <w:sz w:val="18"/>
              </w:rPr>
              <w:t>Page</w:t>
            </w:r>
          </w:p>
        </w:tc>
      </w:tr>
      <w:tr>
        <w:trPr>
          <w:trHeight w:val="550" w:hRule="atLeast"/>
        </w:trPr>
        <w:tc>
          <w:tcPr>
            <w:tcW w:w="822" w:type="dxa"/>
          </w:tcPr>
          <w:p>
            <w:pPr>
              <w:pStyle w:val="TableParagraph"/>
              <w:spacing w:before="167"/>
              <w:ind w:left="5" w:right="92"/>
              <w:jc w:val="center"/>
              <w:rPr>
                <w:sz w:val="18"/>
              </w:rPr>
            </w:pPr>
            <w:r>
              <w:rPr>
                <w:color w:val="151515"/>
                <w:spacing w:val="-10"/>
                <w:sz w:val="18"/>
              </w:rPr>
              <w:t>1</w:t>
            </w:r>
          </w:p>
        </w:tc>
        <w:tc>
          <w:tcPr>
            <w:tcW w:w="6826" w:type="dxa"/>
          </w:tcPr>
          <w:p>
            <w:pPr>
              <w:pStyle w:val="TableParagraph"/>
              <w:spacing w:before="167"/>
              <w:ind w:left="125"/>
              <w:rPr>
                <w:sz w:val="18"/>
              </w:rPr>
            </w:pPr>
            <w:r>
              <w:rPr>
                <w:color w:val="151515"/>
                <w:sz w:val="18"/>
                <w:u w:val="thick" w:color="282828"/>
              </w:rPr>
              <w:t>Statement</w:t>
            </w:r>
            <w:r>
              <w:rPr>
                <w:color w:val="151515"/>
                <w:spacing w:val="34"/>
                <w:sz w:val="18"/>
                <w:u w:val="thick" w:color="282828"/>
              </w:rPr>
              <w:t> </w:t>
            </w:r>
            <w:r>
              <w:rPr>
                <w:color w:val="151515"/>
                <w:sz w:val="18"/>
                <w:u w:val="thick" w:color="282828"/>
              </w:rPr>
              <w:t>of</w:t>
            </w:r>
            <w:r>
              <w:rPr>
                <w:color w:val="151515"/>
                <w:spacing w:val="23"/>
                <w:sz w:val="18"/>
                <w:u w:val="thick" w:color="282828"/>
              </w:rPr>
              <w:t> </w:t>
            </w:r>
            <w:r>
              <w:rPr>
                <w:color w:val="282828"/>
                <w:spacing w:val="-2"/>
                <w:sz w:val="18"/>
                <w:u w:val="thick" w:color="282828"/>
              </w:rPr>
              <w:t>Responsibilities</w:t>
            </w:r>
          </w:p>
        </w:tc>
        <w:tc>
          <w:tcPr>
            <w:tcW w:w="1164" w:type="dxa"/>
          </w:tcPr>
          <w:p>
            <w:pPr>
              <w:pStyle w:val="TableParagraph"/>
              <w:rPr>
                <w:rFonts w:ascii="Times New Roman"/>
                <w:sz w:val="18"/>
              </w:rPr>
            </w:pPr>
          </w:p>
        </w:tc>
        <w:tc>
          <w:tcPr>
            <w:tcW w:w="713" w:type="dxa"/>
          </w:tcPr>
          <w:p>
            <w:pPr>
              <w:pStyle w:val="TableParagraph"/>
              <w:spacing w:before="167"/>
              <w:ind w:left="393"/>
              <w:rPr>
                <w:sz w:val="18"/>
              </w:rPr>
            </w:pPr>
            <w:r>
              <w:rPr>
                <w:color w:val="151515"/>
                <w:spacing w:val="-10"/>
                <w:w w:val="110"/>
                <w:sz w:val="18"/>
              </w:rPr>
              <w:t>1</w:t>
            </w:r>
          </w:p>
        </w:tc>
      </w:tr>
      <w:tr>
        <w:trPr>
          <w:trHeight w:val="550" w:hRule="atLeast"/>
        </w:trPr>
        <w:tc>
          <w:tcPr>
            <w:tcW w:w="822" w:type="dxa"/>
          </w:tcPr>
          <w:p>
            <w:pPr>
              <w:pStyle w:val="TableParagraph"/>
              <w:spacing w:before="170"/>
              <w:ind w:left="18" w:right="92"/>
              <w:jc w:val="center"/>
              <w:rPr>
                <w:b/>
                <w:sz w:val="18"/>
              </w:rPr>
            </w:pPr>
            <w:r>
              <w:rPr>
                <w:b/>
                <w:color w:val="151515"/>
                <w:spacing w:val="-10"/>
                <w:w w:val="105"/>
                <w:sz w:val="18"/>
              </w:rPr>
              <w:t>2</w:t>
            </w:r>
          </w:p>
        </w:tc>
        <w:tc>
          <w:tcPr>
            <w:tcW w:w="6826" w:type="dxa"/>
          </w:tcPr>
          <w:p>
            <w:pPr>
              <w:pStyle w:val="TableParagraph"/>
              <w:spacing w:before="170"/>
              <w:ind w:left="123"/>
              <w:rPr>
                <w:b/>
                <w:sz w:val="18"/>
              </w:rPr>
            </w:pPr>
            <w:r>
              <w:rPr>
                <w:b/>
                <w:color w:val="151515"/>
                <w:sz w:val="18"/>
                <w:u w:val="thick" w:color="151515"/>
              </w:rPr>
              <w:t>Audit</w:t>
            </w:r>
            <w:r>
              <w:rPr>
                <w:b/>
                <w:color w:val="151515"/>
                <w:spacing w:val="-8"/>
                <w:sz w:val="18"/>
                <w:u w:val="thick" w:color="151515"/>
              </w:rPr>
              <w:t> </w:t>
            </w:r>
            <w:r>
              <w:rPr>
                <w:b/>
                <w:color w:val="151515"/>
                <w:sz w:val="18"/>
                <w:u w:val="thick" w:color="151515"/>
              </w:rPr>
              <w:t>Opinion</w:t>
            </w:r>
            <w:r>
              <w:rPr>
                <w:b/>
                <w:color w:val="151515"/>
                <w:spacing w:val="5"/>
                <w:sz w:val="18"/>
                <w:u w:val="thick" w:color="151515"/>
              </w:rPr>
              <w:t> </w:t>
            </w:r>
            <w:r>
              <w:rPr>
                <w:color w:val="151515"/>
                <w:sz w:val="18"/>
                <w:u w:val="thick" w:color="151515"/>
              </w:rPr>
              <w:t>&amp;</w:t>
            </w:r>
            <w:r>
              <w:rPr>
                <w:color w:val="151515"/>
                <w:spacing w:val="-6"/>
                <w:sz w:val="18"/>
                <w:u w:val="thick" w:color="151515"/>
              </w:rPr>
              <w:t> </w:t>
            </w:r>
            <w:r>
              <w:rPr>
                <w:b/>
                <w:color w:val="151515"/>
                <w:spacing w:val="-2"/>
                <w:sz w:val="18"/>
                <w:u w:val="thick" w:color="151515"/>
              </w:rPr>
              <w:t>Certificate</w:t>
            </w:r>
          </w:p>
        </w:tc>
        <w:tc>
          <w:tcPr>
            <w:tcW w:w="1164" w:type="dxa"/>
          </w:tcPr>
          <w:p>
            <w:pPr>
              <w:pStyle w:val="TableParagraph"/>
              <w:rPr>
                <w:rFonts w:ascii="Times New Roman"/>
                <w:sz w:val="18"/>
              </w:rPr>
            </w:pPr>
          </w:p>
        </w:tc>
        <w:tc>
          <w:tcPr>
            <w:tcW w:w="713" w:type="dxa"/>
          </w:tcPr>
          <w:p>
            <w:pPr>
              <w:pStyle w:val="TableParagraph"/>
              <w:spacing w:before="170"/>
              <w:ind w:left="390"/>
              <w:rPr>
                <w:sz w:val="18"/>
              </w:rPr>
            </w:pPr>
            <w:r>
              <w:rPr>
                <w:color w:val="151515"/>
                <w:spacing w:val="-10"/>
                <w:sz w:val="18"/>
              </w:rPr>
              <w:t>3</w:t>
            </w:r>
          </w:p>
        </w:tc>
      </w:tr>
      <w:tr>
        <w:trPr>
          <w:trHeight w:val="407" w:hRule="atLeast"/>
        </w:trPr>
        <w:tc>
          <w:tcPr>
            <w:tcW w:w="822" w:type="dxa"/>
          </w:tcPr>
          <w:p>
            <w:pPr>
              <w:pStyle w:val="TableParagraph"/>
              <w:spacing w:before="167"/>
              <w:ind w:right="92"/>
              <w:jc w:val="center"/>
              <w:rPr>
                <w:b/>
                <w:sz w:val="18"/>
              </w:rPr>
            </w:pPr>
            <w:r>
              <w:rPr>
                <w:b/>
                <w:color w:val="151515"/>
                <w:spacing w:val="-10"/>
                <w:sz w:val="18"/>
              </w:rPr>
              <w:t>3</w:t>
            </w:r>
          </w:p>
        </w:tc>
        <w:tc>
          <w:tcPr>
            <w:tcW w:w="6826" w:type="dxa"/>
          </w:tcPr>
          <w:p>
            <w:pPr>
              <w:pStyle w:val="TableParagraph"/>
              <w:spacing w:before="167"/>
              <w:ind w:left="120"/>
              <w:rPr>
                <w:b/>
                <w:sz w:val="18"/>
              </w:rPr>
            </w:pPr>
            <w:r>
              <w:rPr>
                <w:b/>
                <w:color w:val="151515"/>
                <w:spacing w:val="-2"/>
                <w:sz w:val="18"/>
                <w:u w:val="thick" w:color="151515"/>
              </w:rPr>
              <w:t>Narrative</w:t>
            </w:r>
            <w:r>
              <w:rPr>
                <w:b/>
                <w:color w:val="151515"/>
                <w:spacing w:val="7"/>
                <w:sz w:val="18"/>
                <w:u w:val="thick" w:color="151515"/>
              </w:rPr>
              <w:t> </w:t>
            </w:r>
            <w:r>
              <w:rPr>
                <w:b/>
                <w:color w:val="151515"/>
                <w:spacing w:val="-2"/>
                <w:sz w:val="18"/>
                <w:u w:val="thick" w:color="151515"/>
              </w:rPr>
              <w:t>Statement</w:t>
            </w:r>
          </w:p>
        </w:tc>
        <w:tc>
          <w:tcPr>
            <w:tcW w:w="1164" w:type="dxa"/>
          </w:tcPr>
          <w:p>
            <w:pPr>
              <w:pStyle w:val="TableParagraph"/>
              <w:rPr>
                <w:rFonts w:ascii="Times New Roman"/>
                <w:sz w:val="18"/>
              </w:rPr>
            </w:pPr>
          </w:p>
        </w:tc>
        <w:tc>
          <w:tcPr>
            <w:tcW w:w="713" w:type="dxa"/>
          </w:tcPr>
          <w:p>
            <w:pPr>
              <w:pStyle w:val="TableParagraph"/>
              <w:spacing w:before="167"/>
              <w:ind w:left="386"/>
              <w:rPr>
                <w:sz w:val="18"/>
              </w:rPr>
            </w:pPr>
            <w:r>
              <w:rPr>
                <w:color w:val="151515"/>
                <w:spacing w:val="-10"/>
                <w:w w:val="105"/>
                <w:sz w:val="18"/>
              </w:rPr>
              <w:t>8</w:t>
            </w:r>
          </w:p>
        </w:tc>
      </w:tr>
      <w:tr>
        <w:trPr>
          <w:trHeight w:val="299" w:hRule="atLeast"/>
        </w:trPr>
        <w:tc>
          <w:tcPr>
            <w:tcW w:w="822" w:type="dxa"/>
          </w:tcPr>
          <w:p>
            <w:pPr>
              <w:pStyle w:val="TableParagraph"/>
              <w:rPr>
                <w:rFonts w:ascii="Times New Roman"/>
                <w:sz w:val="18"/>
              </w:rPr>
            </w:pPr>
          </w:p>
        </w:tc>
        <w:tc>
          <w:tcPr>
            <w:tcW w:w="6826" w:type="dxa"/>
          </w:tcPr>
          <w:p>
            <w:pPr>
              <w:pStyle w:val="TableParagraph"/>
              <w:spacing w:before="39"/>
              <w:ind w:left="115"/>
              <w:rPr>
                <w:sz w:val="18"/>
              </w:rPr>
            </w:pPr>
            <w:r>
              <w:rPr>
                <w:color w:val="282828"/>
                <w:sz w:val="18"/>
                <w:u w:val="thick" w:color="282828"/>
              </w:rPr>
              <w:t>Summary</w:t>
            </w:r>
            <w:r>
              <w:rPr>
                <w:color w:val="282828"/>
                <w:spacing w:val="3"/>
                <w:sz w:val="18"/>
                <w:u w:val="thick" w:color="282828"/>
              </w:rPr>
              <w:t> </w:t>
            </w:r>
            <w:r>
              <w:rPr>
                <w:color w:val="282828"/>
                <w:sz w:val="18"/>
                <w:u w:val="thick" w:color="282828"/>
              </w:rPr>
              <w:t>of</w:t>
            </w:r>
            <w:r>
              <w:rPr>
                <w:color w:val="282828"/>
                <w:spacing w:val="-8"/>
                <w:sz w:val="18"/>
                <w:u w:val="thick" w:color="282828"/>
              </w:rPr>
              <w:t> </w:t>
            </w:r>
            <w:r>
              <w:rPr>
                <w:color w:val="282828"/>
                <w:spacing w:val="-2"/>
                <w:sz w:val="18"/>
                <w:u w:val="thick" w:color="282828"/>
              </w:rPr>
              <w:t>Performance</w:t>
            </w:r>
          </w:p>
        </w:tc>
        <w:tc>
          <w:tcPr>
            <w:tcW w:w="1164" w:type="dxa"/>
          </w:tcPr>
          <w:p>
            <w:pPr>
              <w:pStyle w:val="TableParagraph"/>
              <w:spacing w:before="33"/>
              <w:ind w:left="215" w:right="47"/>
              <w:jc w:val="center"/>
              <w:rPr>
                <w:rFonts w:ascii="Courier New"/>
                <w:sz w:val="21"/>
              </w:rPr>
            </w:pPr>
            <w:r>
              <w:rPr>
                <w:rFonts w:ascii="Courier New"/>
                <w:color w:val="151515"/>
                <w:spacing w:val="-5"/>
                <w:w w:val="75"/>
                <w:sz w:val="21"/>
              </w:rPr>
              <w:t>3.1</w:t>
            </w:r>
          </w:p>
        </w:tc>
        <w:tc>
          <w:tcPr>
            <w:tcW w:w="713" w:type="dxa"/>
          </w:tcPr>
          <w:p>
            <w:pPr>
              <w:pStyle w:val="TableParagraph"/>
              <w:spacing w:before="61" w:line="218" w:lineRule="exact"/>
              <w:ind w:left="331"/>
              <w:rPr>
                <w:rFonts w:ascii="Courier New"/>
                <w:sz w:val="21"/>
              </w:rPr>
            </w:pPr>
            <w:r>
              <w:rPr>
                <w:rFonts w:ascii="Courier New"/>
                <w:color w:val="151515"/>
                <w:spacing w:val="-5"/>
                <w:w w:val="95"/>
                <w:sz w:val="21"/>
              </w:rPr>
              <w:t>16</w:t>
            </w:r>
          </w:p>
        </w:tc>
      </w:tr>
      <w:tr>
        <w:trPr>
          <w:trHeight w:val="416" w:hRule="atLeast"/>
        </w:trPr>
        <w:tc>
          <w:tcPr>
            <w:tcW w:w="7648" w:type="dxa"/>
            <w:gridSpan w:val="2"/>
          </w:tcPr>
          <w:p>
            <w:pPr>
              <w:pStyle w:val="TableParagraph"/>
              <w:spacing w:line="186" w:lineRule="exact"/>
              <w:ind w:left="931"/>
              <w:rPr>
                <w:sz w:val="18"/>
              </w:rPr>
            </w:pPr>
            <w:r>
              <w:rPr>
                <w:color w:val="282828"/>
                <w:sz w:val="18"/>
                <w:u w:val="thick" w:color="282828"/>
              </w:rPr>
              <w:t>Reconciliation</w:t>
            </w:r>
            <w:r>
              <w:rPr>
                <w:color w:val="282828"/>
                <w:spacing w:val="-8"/>
                <w:sz w:val="18"/>
                <w:u w:val="thick" w:color="282828"/>
              </w:rPr>
              <w:t> </w:t>
            </w:r>
            <w:r>
              <w:rPr>
                <w:color w:val="282828"/>
                <w:sz w:val="18"/>
                <w:u w:val="thick" w:color="282828"/>
              </w:rPr>
              <w:t>from</w:t>
            </w:r>
            <w:r>
              <w:rPr>
                <w:color w:val="282828"/>
                <w:spacing w:val="6"/>
                <w:sz w:val="18"/>
                <w:u w:val="thick" w:color="282828"/>
              </w:rPr>
              <w:t> </w:t>
            </w:r>
            <w:r>
              <w:rPr>
                <w:color w:val="282828"/>
                <w:sz w:val="18"/>
                <w:u w:val="thick" w:color="282828"/>
              </w:rPr>
              <w:t>the</w:t>
            </w:r>
            <w:r>
              <w:rPr>
                <w:color w:val="282828"/>
                <w:spacing w:val="-5"/>
                <w:sz w:val="18"/>
                <w:u w:val="thick" w:color="282828"/>
              </w:rPr>
              <w:t> </w:t>
            </w:r>
            <w:r>
              <w:rPr>
                <w:color w:val="282828"/>
                <w:sz w:val="18"/>
                <w:u w:val="thick" w:color="282828"/>
              </w:rPr>
              <w:t>Financial</w:t>
            </w:r>
            <w:r>
              <w:rPr>
                <w:color w:val="282828"/>
                <w:spacing w:val="5"/>
                <w:sz w:val="18"/>
                <w:u w:val="thick" w:color="282828"/>
              </w:rPr>
              <w:t> </w:t>
            </w:r>
            <w:r>
              <w:rPr>
                <w:color w:val="3B3B3B"/>
                <w:sz w:val="18"/>
                <w:u w:val="thick" w:color="282828"/>
              </w:rPr>
              <w:t>Monitor</w:t>
            </w:r>
            <w:r>
              <w:rPr>
                <w:color w:val="3B3B3B"/>
                <w:spacing w:val="8"/>
                <w:sz w:val="18"/>
                <w:u w:val="thick" w:color="282828"/>
              </w:rPr>
              <w:t> </w:t>
            </w:r>
            <w:r>
              <w:rPr>
                <w:color w:val="282828"/>
                <w:sz w:val="18"/>
                <w:u w:val="thick" w:color="282828"/>
              </w:rPr>
              <w:t>surplus</w:t>
            </w:r>
            <w:r>
              <w:rPr>
                <w:color w:val="282828"/>
                <w:spacing w:val="3"/>
                <w:sz w:val="18"/>
                <w:u w:val="thick" w:color="282828"/>
              </w:rPr>
              <w:t> </w:t>
            </w:r>
            <w:r>
              <w:rPr>
                <w:color w:val="3B3B3B"/>
                <w:sz w:val="18"/>
                <w:u w:val="thick" w:color="282828"/>
              </w:rPr>
              <w:t>to</w:t>
            </w:r>
            <w:r>
              <w:rPr>
                <w:color w:val="3B3B3B"/>
                <w:spacing w:val="-14"/>
                <w:sz w:val="18"/>
                <w:u w:val="thick" w:color="282828"/>
              </w:rPr>
              <w:t> </w:t>
            </w:r>
            <w:r>
              <w:rPr>
                <w:color w:val="3B3B3B"/>
                <w:sz w:val="18"/>
                <w:u w:val="thick" w:color="282828"/>
              </w:rPr>
              <w:t>the</w:t>
            </w:r>
            <w:r>
              <w:rPr>
                <w:color w:val="3B3B3B"/>
                <w:spacing w:val="-7"/>
                <w:sz w:val="18"/>
                <w:u w:val="thick" w:color="282828"/>
              </w:rPr>
              <w:t> </w:t>
            </w:r>
            <w:r>
              <w:rPr>
                <w:color w:val="282828"/>
                <w:sz w:val="18"/>
                <w:u w:val="thick" w:color="282828"/>
              </w:rPr>
              <w:t>movement</w:t>
            </w:r>
            <w:r>
              <w:rPr>
                <w:color w:val="282828"/>
                <w:spacing w:val="-4"/>
                <w:sz w:val="18"/>
                <w:u w:val="thick" w:color="282828"/>
              </w:rPr>
              <w:t> </w:t>
            </w:r>
            <w:r>
              <w:rPr>
                <w:color w:val="282828"/>
                <w:sz w:val="18"/>
                <w:u w:val="thick" w:color="282828"/>
              </w:rPr>
              <w:t>on</w:t>
            </w:r>
            <w:r>
              <w:rPr>
                <w:color w:val="282828"/>
                <w:spacing w:val="-15"/>
                <w:sz w:val="18"/>
                <w:u w:val="thick" w:color="282828"/>
              </w:rPr>
              <w:t> </w:t>
            </w:r>
            <w:r>
              <w:rPr>
                <w:color w:val="3B3B3B"/>
                <w:sz w:val="18"/>
                <w:u w:val="thick" w:color="282828"/>
              </w:rPr>
              <w:t>the </w:t>
            </w:r>
            <w:r>
              <w:rPr>
                <w:color w:val="282828"/>
                <w:spacing w:val="-2"/>
                <w:sz w:val="18"/>
                <w:u w:val="thick" w:color="282828"/>
              </w:rPr>
              <w:t>General</w:t>
            </w:r>
          </w:p>
          <w:p>
            <w:pPr>
              <w:pStyle w:val="TableParagraph"/>
              <w:spacing w:before="4" w:line="206" w:lineRule="exact"/>
              <w:ind w:left="930"/>
              <w:rPr>
                <w:sz w:val="18"/>
              </w:rPr>
            </w:pPr>
            <w:r>
              <w:rPr>
                <w:color w:val="282828"/>
                <w:sz w:val="18"/>
                <w:u w:val="thick" w:color="282828"/>
              </w:rPr>
              <w:t>Fund</w:t>
            </w:r>
            <w:r>
              <w:rPr>
                <w:color w:val="282828"/>
                <w:spacing w:val="3"/>
                <w:sz w:val="18"/>
                <w:u w:val="thick" w:color="282828"/>
              </w:rPr>
              <w:t> </w:t>
            </w:r>
            <w:r>
              <w:rPr>
                <w:color w:val="282828"/>
                <w:spacing w:val="-2"/>
                <w:sz w:val="18"/>
                <w:u w:val="thick" w:color="282828"/>
              </w:rPr>
              <w:t>Balance</w:t>
            </w:r>
          </w:p>
        </w:tc>
        <w:tc>
          <w:tcPr>
            <w:tcW w:w="1164" w:type="dxa"/>
          </w:tcPr>
          <w:p>
            <w:pPr>
              <w:pStyle w:val="TableParagraph"/>
              <w:spacing w:before="74"/>
              <w:ind w:left="215" w:right="20"/>
              <w:jc w:val="center"/>
              <w:rPr>
                <w:rFonts w:ascii="Courier New"/>
                <w:sz w:val="21"/>
              </w:rPr>
            </w:pPr>
            <w:r>
              <w:rPr>
                <w:rFonts w:ascii="Courier New"/>
                <w:color w:val="151515"/>
                <w:spacing w:val="-5"/>
                <w:w w:val="80"/>
                <w:sz w:val="21"/>
              </w:rPr>
              <w:t>3.2</w:t>
            </w:r>
          </w:p>
        </w:tc>
        <w:tc>
          <w:tcPr>
            <w:tcW w:w="713" w:type="dxa"/>
          </w:tcPr>
          <w:p>
            <w:pPr>
              <w:pStyle w:val="TableParagraph"/>
              <w:spacing w:before="175" w:line="221" w:lineRule="exact"/>
              <w:ind w:left="318"/>
              <w:rPr>
                <w:rFonts w:ascii="Courier New"/>
                <w:sz w:val="21"/>
              </w:rPr>
            </w:pPr>
            <w:r>
              <w:rPr>
                <w:rFonts w:ascii="Courier New"/>
                <w:color w:val="151515"/>
                <w:spacing w:val="-5"/>
                <w:sz w:val="21"/>
              </w:rPr>
              <w:t>22</w:t>
            </w:r>
          </w:p>
        </w:tc>
      </w:tr>
      <w:tr>
        <w:trPr>
          <w:trHeight w:val="278" w:hRule="atLeast"/>
        </w:trPr>
        <w:tc>
          <w:tcPr>
            <w:tcW w:w="7648" w:type="dxa"/>
            <w:gridSpan w:val="2"/>
          </w:tcPr>
          <w:p>
            <w:pPr>
              <w:pStyle w:val="TableParagraph"/>
              <w:spacing w:before="14"/>
              <w:ind w:left="931"/>
              <w:rPr>
                <w:sz w:val="18"/>
              </w:rPr>
            </w:pPr>
            <w:r>
              <w:rPr>
                <w:color w:val="282828"/>
                <w:sz w:val="18"/>
                <w:u w:val="thick" w:color="282828"/>
              </w:rPr>
              <w:t>Reconciliation</w:t>
            </w:r>
            <w:r>
              <w:rPr>
                <w:color w:val="282828"/>
                <w:spacing w:val="-13"/>
                <w:sz w:val="18"/>
                <w:u w:val="thick" w:color="282828"/>
              </w:rPr>
              <w:t> </w:t>
            </w:r>
            <w:r>
              <w:rPr>
                <w:i/>
                <w:color w:val="282828"/>
                <w:sz w:val="17"/>
                <w:u w:val="thick" w:color="282828"/>
              </w:rPr>
              <w:t>from</w:t>
            </w:r>
            <w:r>
              <w:rPr>
                <w:i/>
                <w:color w:val="282828"/>
                <w:spacing w:val="8"/>
                <w:sz w:val="17"/>
                <w:u w:val="thick" w:color="282828"/>
              </w:rPr>
              <w:t> </w:t>
            </w:r>
            <w:r>
              <w:rPr>
                <w:color w:val="282828"/>
                <w:sz w:val="18"/>
                <w:u w:val="thick" w:color="282828"/>
              </w:rPr>
              <w:t>the</w:t>
            </w:r>
            <w:r>
              <w:rPr>
                <w:color w:val="282828"/>
                <w:spacing w:val="-5"/>
                <w:sz w:val="18"/>
                <w:u w:val="thick" w:color="282828"/>
              </w:rPr>
              <w:t> </w:t>
            </w:r>
            <w:r>
              <w:rPr>
                <w:color w:val="3B3B3B"/>
                <w:sz w:val="18"/>
                <w:u w:val="thick" w:color="282828"/>
              </w:rPr>
              <w:t>Financial</w:t>
            </w:r>
            <w:r>
              <w:rPr>
                <w:color w:val="3B3B3B"/>
                <w:spacing w:val="-5"/>
                <w:sz w:val="18"/>
                <w:u w:val="thick" w:color="282828"/>
              </w:rPr>
              <w:t> </w:t>
            </w:r>
            <w:r>
              <w:rPr>
                <w:color w:val="282828"/>
                <w:sz w:val="18"/>
                <w:u w:val="thick" w:color="282828"/>
              </w:rPr>
              <w:t>Monitor</w:t>
            </w:r>
            <w:r>
              <w:rPr>
                <w:color w:val="282828"/>
                <w:spacing w:val="14"/>
                <w:sz w:val="18"/>
                <w:u w:val="thick" w:color="282828"/>
              </w:rPr>
              <w:t> </w:t>
            </w:r>
            <w:r>
              <w:rPr>
                <w:color w:val="282828"/>
                <w:sz w:val="18"/>
                <w:u w:val="thick" w:color="282828"/>
              </w:rPr>
              <w:t>to</w:t>
            </w:r>
            <w:r>
              <w:rPr>
                <w:color w:val="282828"/>
                <w:spacing w:val="-14"/>
                <w:sz w:val="18"/>
                <w:u w:val="thick" w:color="282828"/>
              </w:rPr>
              <w:t> </w:t>
            </w:r>
            <w:r>
              <w:rPr>
                <w:color w:val="3B3B3B"/>
                <w:sz w:val="18"/>
                <w:u w:val="thick" w:color="282828"/>
              </w:rPr>
              <w:t>the</w:t>
            </w:r>
            <w:r>
              <w:rPr>
                <w:color w:val="3B3B3B"/>
                <w:spacing w:val="-6"/>
                <w:sz w:val="18"/>
                <w:u w:val="thick" w:color="282828"/>
              </w:rPr>
              <w:t> </w:t>
            </w:r>
            <w:r>
              <w:rPr>
                <w:color w:val="282828"/>
                <w:sz w:val="18"/>
                <w:u w:val="thick" w:color="282828"/>
              </w:rPr>
              <w:t>Expenditure</w:t>
            </w:r>
            <w:r>
              <w:rPr>
                <w:color w:val="282828"/>
                <w:spacing w:val="5"/>
                <w:sz w:val="18"/>
                <w:u w:val="thick" w:color="282828"/>
              </w:rPr>
              <w:t> </w:t>
            </w:r>
            <w:r>
              <w:rPr>
                <w:color w:val="282828"/>
                <w:sz w:val="18"/>
                <w:u w:val="thick" w:color="282828"/>
              </w:rPr>
              <w:t>and</w:t>
            </w:r>
            <w:r>
              <w:rPr>
                <w:color w:val="282828"/>
                <w:spacing w:val="-6"/>
                <w:sz w:val="18"/>
                <w:u w:val="thick" w:color="282828"/>
              </w:rPr>
              <w:t> </w:t>
            </w:r>
            <w:r>
              <w:rPr>
                <w:color w:val="282828"/>
                <w:sz w:val="18"/>
                <w:u w:val="thick" w:color="282828"/>
              </w:rPr>
              <w:t>Funding</w:t>
            </w:r>
            <w:r>
              <w:rPr>
                <w:color w:val="282828"/>
                <w:spacing w:val="6"/>
                <w:sz w:val="18"/>
                <w:u w:val="thick" w:color="282828"/>
              </w:rPr>
              <w:t> </w:t>
            </w:r>
            <w:r>
              <w:rPr>
                <w:color w:val="282828"/>
                <w:spacing w:val="-2"/>
                <w:sz w:val="18"/>
                <w:u w:val="thick" w:color="282828"/>
              </w:rPr>
              <w:t>Analysis</w:t>
            </w:r>
          </w:p>
        </w:tc>
        <w:tc>
          <w:tcPr>
            <w:tcW w:w="1164" w:type="dxa"/>
          </w:tcPr>
          <w:p>
            <w:pPr>
              <w:pStyle w:val="TableParagraph"/>
              <w:spacing w:before="3"/>
              <w:ind w:left="215" w:right="26"/>
              <w:jc w:val="center"/>
              <w:rPr>
                <w:rFonts w:ascii="Courier New"/>
                <w:sz w:val="21"/>
              </w:rPr>
            </w:pPr>
            <w:r>
              <w:rPr>
                <w:rFonts w:ascii="Courier New"/>
                <w:color w:val="151515"/>
                <w:spacing w:val="-5"/>
                <w:w w:val="80"/>
                <w:sz w:val="21"/>
              </w:rPr>
              <w:t>3.3</w:t>
            </w:r>
          </w:p>
        </w:tc>
        <w:tc>
          <w:tcPr>
            <w:tcW w:w="713" w:type="dxa"/>
          </w:tcPr>
          <w:p>
            <w:pPr>
              <w:pStyle w:val="TableParagraph"/>
              <w:spacing w:before="37" w:line="221" w:lineRule="exact"/>
              <w:ind w:left="322"/>
              <w:rPr>
                <w:rFonts w:ascii="Courier New"/>
                <w:sz w:val="21"/>
              </w:rPr>
            </w:pPr>
            <w:r>
              <w:rPr>
                <w:rFonts w:ascii="Courier New"/>
                <w:color w:val="151515"/>
                <w:spacing w:val="-5"/>
                <w:sz w:val="21"/>
              </w:rPr>
              <w:t>23</w:t>
            </w:r>
          </w:p>
        </w:tc>
      </w:tr>
      <w:tr>
        <w:trPr>
          <w:trHeight w:val="419" w:hRule="atLeast"/>
        </w:trPr>
        <w:tc>
          <w:tcPr>
            <w:tcW w:w="7648" w:type="dxa"/>
            <w:gridSpan w:val="2"/>
          </w:tcPr>
          <w:p>
            <w:pPr>
              <w:pStyle w:val="TableParagraph"/>
              <w:spacing w:before="14"/>
              <w:ind w:left="927"/>
              <w:rPr>
                <w:sz w:val="18"/>
              </w:rPr>
            </w:pPr>
            <w:r>
              <w:rPr>
                <w:color w:val="282828"/>
                <w:sz w:val="18"/>
                <w:u w:val="thick" w:color="282828"/>
              </w:rPr>
              <w:t>Capital</w:t>
            </w:r>
            <w:r>
              <w:rPr>
                <w:color w:val="282828"/>
                <w:spacing w:val="2"/>
                <w:sz w:val="18"/>
                <w:u w:val="thick" w:color="282828"/>
              </w:rPr>
              <w:t> </w:t>
            </w:r>
            <w:r>
              <w:rPr>
                <w:color w:val="282828"/>
                <w:spacing w:val="-2"/>
                <w:sz w:val="18"/>
                <w:u w:val="thick" w:color="282828"/>
              </w:rPr>
              <w:t>Outtum</w:t>
            </w:r>
          </w:p>
        </w:tc>
        <w:tc>
          <w:tcPr>
            <w:tcW w:w="1164" w:type="dxa"/>
          </w:tcPr>
          <w:p>
            <w:pPr>
              <w:pStyle w:val="TableParagraph"/>
              <w:spacing w:before="3"/>
              <w:ind w:left="215" w:right="30"/>
              <w:jc w:val="center"/>
              <w:rPr>
                <w:rFonts w:ascii="Courier New"/>
                <w:sz w:val="21"/>
              </w:rPr>
            </w:pPr>
            <w:r>
              <w:rPr>
                <w:rFonts w:ascii="Courier New"/>
                <w:color w:val="151515"/>
                <w:spacing w:val="-5"/>
                <w:w w:val="80"/>
                <w:sz w:val="21"/>
              </w:rPr>
              <w:t>3.4</w:t>
            </w:r>
          </w:p>
        </w:tc>
        <w:tc>
          <w:tcPr>
            <w:tcW w:w="713" w:type="dxa"/>
          </w:tcPr>
          <w:p>
            <w:pPr>
              <w:pStyle w:val="TableParagraph"/>
              <w:spacing w:before="32"/>
              <w:ind w:left="318"/>
              <w:rPr>
                <w:rFonts w:ascii="Courier New"/>
                <w:sz w:val="21"/>
              </w:rPr>
            </w:pPr>
            <w:r>
              <w:rPr>
                <w:rFonts w:ascii="Courier New"/>
                <w:color w:val="151515"/>
                <w:spacing w:val="-5"/>
                <w:sz w:val="21"/>
              </w:rPr>
              <w:t>24</w:t>
            </w:r>
          </w:p>
        </w:tc>
      </w:tr>
      <w:tr>
        <w:trPr>
          <w:trHeight w:val="387" w:hRule="atLeast"/>
        </w:trPr>
        <w:tc>
          <w:tcPr>
            <w:tcW w:w="7648" w:type="dxa"/>
            <w:gridSpan w:val="2"/>
          </w:tcPr>
          <w:p>
            <w:pPr>
              <w:pStyle w:val="TableParagraph"/>
              <w:tabs>
                <w:tab w:val="left" w:leader="none" w:pos="922"/>
              </w:tabs>
              <w:spacing w:before="142"/>
              <w:ind w:left="293"/>
              <w:rPr>
                <w:b/>
                <w:sz w:val="18"/>
              </w:rPr>
            </w:pPr>
            <w:r>
              <w:rPr>
                <w:b/>
                <w:color w:val="151515"/>
                <w:spacing w:val="-10"/>
                <w:sz w:val="18"/>
              </w:rPr>
              <w:t>4</w:t>
            </w:r>
            <w:r>
              <w:rPr>
                <w:b/>
                <w:color w:val="151515"/>
                <w:sz w:val="18"/>
              </w:rPr>
              <w:tab/>
            </w:r>
            <w:r>
              <w:rPr>
                <w:b/>
                <w:color w:val="151515"/>
                <w:position w:val="1"/>
                <w:sz w:val="18"/>
                <w:u w:val="thick" w:color="151515"/>
              </w:rPr>
              <w:t>Presentation</w:t>
            </w:r>
            <w:r>
              <w:rPr>
                <w:b/>
                <w:color w:val="151515"/>
                <w:spacing w:val="-1"/>
                <w:position w:val="1"/>
                <w:sz w:val="18"/>
                <w:u w:val="thick" w:color="151515"/>
              </w:rPr>
              <w:t> </w:t>
            </w:r>
            <w:r>
              <w:rPr>
                <w:b/>
                <w:color w:val="151515"/>
                <w:position w:val="1"/>
                <w:sz w:val="18"/>
                <w:u w:val="thick" w:color="151515"/>
              </w:rPr>
              <w:t>of</w:t>
            </w:r>
            <w:r>
              <w:rPr>
                <w:b/>
                <w:color w:val="151515"/>
                <w:spacing w:val="-10"/>
                <w:position w:val="1"/>
                <w:sz w:val="18"/>
                <w:u w:val="thick" w:color="151515"/>
              </w:rPr>
              <w:t> </w:t>
            </w:r>
            <w:r>
              <w:rPr>
                <w:b/>
                <w:color w:val="151515"/>
                <w:position w:val="1"/>
                <w:sz w:val="18"/>
                <w:u w:val="thick" w:color="151515"/>
              </w:rPr>
              <w:t>the</w:t>
            </w:r>
            <w:r>
              <w:rPr>
                <w:b/>
                <w:color w:val="151515"/>
                <w:spacing w:val="-7"/>
                <w:position w:val="1"/>
                <w:sz w:val="18"/>
                <w:u w:val="thick" w:color="151515"/>
              </w:rPr>
              <w:t> </w:t>
            </w:r>
            <w:r>
              <w:rPr>
                <w:b/>
                <w:color w:val="151515"/>
                <w:position w:val="1"/>
                <w:sz w:val="18"/>
                <w:u w:val="thick" w:color="151515"/>
              </w:rPr>
              <w:t>Financial </w:t>
            </w:r>
            <w:r>
              <w:rPr>
                <w:b/>
                <w:color w:val="151515"/>
                <w:spacing w:val="-2"/>
                <w:position w:val="1"/>
                <w:sz w:val="18"/>
                <w:u w:val="thick" w:color="151515"/>
              </w:rPr>
              <w:t>Statements</w:t>
            </w:r>
          </w:p>
        </w:tc>
        <w:tc>
          <w:tcPr>
            <w:tcW w:w="1164" w:type="dxa"/>
          </w:tcPr>
          <w:p>
            <w:pPr>
              <w:pStyle w:val="TableParagraph"/>
              <w:rPr>
                <w:rFonts w:ascii="Times New Roman"/>
                <w:sz w:val="18"/>
              </w:rPr>
            </w:pPr>
          </w:p>
        </w:tc>
        <w:tc>
          <w:tcPr>
            <w:tcW w:w="713" w:type="dxa"/>
          </w:tcPr>
          <w:p>
            <w:pPr>
              <w:pStyle w:val="TableParagraph"/>
              <w:rPr>
                <w:rFonts w:ascii="Times New Roman"/>
                <w:sz w:val="18"/>
              </w:rPr>
            </w:pPr>
          </w:p>
        </w:tc>
      </w:tr>
      <w:tr>
        <w:trPr>
          <w:trHeight w:val="298" w:hRule="atLeast"/>
        </w:trPr>
        <w:tc>
          <w:tcPr>
            <w:tcW w:w="7648" w:type="dxa"/>
            <w:gridSpan w:val="2"/>
          </w:tcPr>
          <w:p>
            <w:pPr>
              <w:pStyle w:val="TableParagraph"/>
              <w:spacing w:before="34"/>
              <w:ind w:left="917"/>
              <w:rPr>
                <w:sz w:val="18"/>
              </w:rPr>
            </w:pPr>
            <w:r>
              <w:rPr>
                <w:color w:val="282828"/>
                <w:sz w:val="18"/>
                <w:u w:val="thick" w:color="282828"/>
              </w:rPr>
              <w:t>Movement</w:t>
            </w:r>
            <w:r>
              <w:rPr>
                <w:color w:val="282828"/>
                <w:spacing w:val="5"/>
                <w:sz w:val="18"/>
                <w:u w:val="thick" w:color="282828"/>
              </w:rPr>
              <w:t> </w:t>
            </w:r>
            <w:r>
              <w:rPr>
                <w:color w:val="3B3B3B"/>
                <w:sz w:val="18"/>
                <w:u w:val="thick" w:color="282828"/>
              </w:rPr>
              <w:t>in</w:t>
            </w:r>
            <w:r>
              <w:rPr>
                <w:color w:val="3B3B3B"/>
                <w:spacing w:val="-10"/>
                <w:sz w:val="18"/>
                <w:u w:val="thick" w:color="282828"/>
              </w:rPr>
              <w:t> </w:t>
            </w:r>
            <w:r>
              <w:rPr>
                <w:color w:val="282828"/>
                <w:sz w:val="18"/>
                <w:u w:val="thick" w:color="282828"/>
              </w:rPr>
              <w:t>Reserves</w:t>
            </w:r>
            <w:r>
              <w:rPr>
                <w:color w:val="282828"/>
                <w:spacing w:val="1"/>
                <w:sz w:val="18"/>
                <w:u w:val="thick" w:color="282828"/>
              </w:rPr>
              <w:t> </w:t>
            </w:r>
            <w:r>
              <w:rPr>
                <w:color w:val="282828"/>
                <w:spacing w:val="-2"/>
                <w:sz w:val="18"/>
                <w:u w:val="thick" w:color="282828"/>
              </w:rPr>
              <w:t>Statement</w:t>
            </w:r>
          </w:p>
        </w:tc>
        <w:tc>
          <w:tcPr>
            <w:tcW w:w="1164" w:type="dxa"/>
          </w:tcPr>
          <w:p>
            <w:pPr>
              <w:pStyle w:val="TableParagraph"/>
              <w:spacing w:before="28"/>
              <w:ind w:left="215" w:right="76"/>
              <w:jc w:val="center"/>
              <w:rPr>
                <w:rFonts w:ascii="Courier New"/>
                <w:sz w:val="21"/>
              </w:rPr>
            </w:pPr>
            <w:r>
              <w:rPr>
                <w:rFonts w:ascii="Courier New"/>
                <w:color w:val="151515"/>
                <w:spacing w:val="-5"/>
                <w:w w:val="75"/>
                <w:sz w:val="21"/>
              </w:rPr>
              <w:t>4.1</w:t>
            </w:r>
          </w:p>
        </w:tc>
        <w:tc>
          <w:tcPr>
            <w:tcW w:w="713" w:type="dxa"/>
          </w:tcPr>
          <w:p>
            <w:pPr>
              <w:pStyle w:val="TableParagraph"/>
              <w:spacing w:before="57" w:line="221" w:lineRule="exact"/>
              <w:ind w:left="310"/>
              <w:rPr>
                <w:rFonts w:ascii="Courier New"/>
                <w:sz w:val="21"/>
              </w:rPr>
            </w:pPr>
            <w:r>
              <w:rPr>
                <w:rFonts w:ascii="Courier New"/>
                <w:color w:val="151515"/>
                <w:spacing w:val="-5"/>
                <w:sz w:val="21"/>
              </w:rPr>
              <w:t>32</w:t>
            </w:r>
          </w:p>
        </w:tc>
      </w:tr>
      <w:tr>
        <w:trPr>
          <w:trHeight w:val="278" w:hRule="atLeast"/>
        </w:trPr>
        <w:tc>
          <w:tcPr>
            <w:tcW w:w="7648" w:type="dxa"/>
            <w:gridSpan w:val="2"/>
          </w:tcPr>
          <w:p>
            <w:pPr>
              <w:pStyle w:val="TableParagraph"/>
              <w:spacing w:before="14"/>
              <w:ind w:left="917"/>
              <w:rPr>
                <w:sz w:val="18"/>
              </w:rPr>
            </w:pPr>
            <w:r>
              <w:rPr>
                <w:color w:val="282828"/>
                <w:sz w:val="18"/>
                <w:u w:val="thick" w:color="282828"/>
              </w:rPr>
              <w:t>Comprehensive</w:t>
            </w:r>
            <w:r>
              <w:rPr>
                <w:color w:val="282828"/>
                <w:spacing w:val="1"/>
                <w:sz w:val="18"/>
                <w:u w:val="thick" w:color="282828"/>
              </w:rPr>
              <w:t> </w:t>
            </w:r>
            <w:r>
              <w:rPr>
                <w:color w:val="282828"/>
                <w:sz w:val="18"/>
                <w:u w:val="thick" w:color="282828"/>
              </w:rPr>
              <w:t>Income</w:t>
            </w:r>
            <w:r>
              <w:rPr>
                <w:color w:val="282828"/>
                <w:spacing w:val="-10"/>
                <w:sz w:val="18"/>
                <w:u w:val="thick" w:color="282828"/>
              </w:rPr>
              <w:t> </w:t>
            </w:r>
            <w:r>
              <w:rPr>
                <w:color w:val="282828"/>
                <w:sz w:val="18"/>
                <w:u w:val="thick" w:color="282828"/>
              </w:rPr>
              <w:t>and</w:t>
            </w:r>
            <w:r>
              <w:rPr>
                <w:color w:val="282828"/>
                <w:spacing w:val="-13"/>
                <w:sz w:val="18"/>
                <w:u w:val="thick" w:color="282828"/>
              </w:rPr>
              <w:t> </w:t>
            </w:r>
            <w:r>
              <w:rPr>
                <w:color w:val="282828"/>
                <w:sz w:val="18"/>
                <w:u w:val="thick" w:color="282828"/>
              </w:rPr>
              <w:t>Expenditure</w:t>
            </w:r>
            <w:r>
              <w:rPr>
                <w:color w:val="282828"/>
                <w:spacing w:val="-2"/>
                <w:sz w:val="18"/>
                <w:u w:val="thick" w:color="282828"/>
              </w:rPr>
              <w:t> Statement</w:t>
            </w:r>
          </w:p>
        </w:tc>
        <w:tc>
          <w:tcPr>
            <w:tcW w:w="1164" w:type="dxa"/>
          </w:tcPr>
          <w:p>
            <w:pPr>
              <w:pStyle w:val="TableParagraph"/>
              <w:spacing w:before="3"/>
              <w:ind w:left="215" w:right="51"/>
              <w:jc w:val="center"/>
              <w:rPr>
                <w:rFonts w:ascii="Courier New"/>
                <w:sz w:val="21"/>
              </w:rPr>
            </w:pPr>
            <w:r>
              <w:rPr>
                <w:rFonts w:ascii="Courier New"/>
                <w:color w:val="151515"/>
                <w:spacing w:val="-5"/>
                <w:w w:val="85"/>
                <w:sz w:val="21"/>
              </w:rPr>
              <w:t>4.2</w:t>
            </w:r>
          </w:p>
        </w:tc>
        <w:tc>
          <w:tcPr>
            <w:tcW w:w="713" w:type="dxa"/>
          </w:tcPr>
          <w:p>
            <w:pPr>
              <w:pStyle w:val="TableParagraph"/>
              <w:spacing w:before="37" w:line="221" w:lineRule="exact"/>
              <w:ind w:left="315"/>
              <w:rPr>
                <w:rFonts w:ascii="Courier New"/>
                <w:sz w:val="21"/>
              </w:rPr>
            </w:pPr>
            <w:r>
              <w:rPr>
                <w:rFonts w:ascii="Courier New"/>
                <w:color w:val="151515"/>
                <w:spacing w:val="-5"/>
                <w:sz w:val="21"/>
              </w:rPr>
              <w:t>33</w:t>
            </w:r>
          </w:p>
        </w:tc>
      </w:tr>
      <w:tr>
        <w:trPr>
          <w:trHeight w:val="276" w:hRule="atLeast"/>
        </w:trPr>
        <w:tc>
          <w:tcPr>
            <w:tcW w:w="7648" w:type="dxa"/>
            <w:gridSpan w:val="2"/>
          </w:tcPr>
          <w:p>
            <w:pPr>
              <w:pStyle w:val="TableParagraph"/>
              <w:spacing w:before="14"/>
              <w:ind w:left="913"/>
              <w:rPr>
                <w:sz w:val="18"/>
              </w:rPr>
            </w:pPr>
            <w:r>
              <w:rPr>
                <w:color w:val="282828"/>
                <w:sz w:val="18"/>
                <w:u w:val="thick" w:color="151515"/>
              </w:rPr>
              <w:t>Balance</w:t>
            </w:r>
            <w:r>
              <w:rPr>
                <w:color w:val="282828"/>
                <w:spacing w:val="4"/>
                <w:sz w:val="18"/>
                <w:u w:val="thick" w:color="151515"/>
              </w:rPr>
              <w:t> </w:t>
            </w:r>
            <w:r>
              <w:rPr>
                <w:color w:val="151515"/>
                <w:spacing w:val="-2"/>
                <w:sz w:val="18"/>
                <w:u w:val="thick" w:color="151515"/>
              </w:rPr>
              <w:t>Sheet</w:t>
            </w:r>
          </w:p>
        </w:tc>
        <w:tc>
          <w:tcPr>
            <w:tcW w:w="1164" w:type="dxa"/>
          </w:tcPr>
          <w:p>
            <w:pPr>
              <w:pStyle w:val="TableParagraph"/>
              <w:spacing w:before="3"/>
              <w:ind w:left="215" w:right="55"/>
              <w:jc w:val="center"/>
              <w:rPr>
                <w:rFonts w:ascii="Courier New"/>
                <w:sz w:val="21"/>
              </w:rPr>
            </w:pPr>
            <w:r>
              <w:rPr>
                <w:rFonts w:ascii="Courier New"/>
                <w:color w:val="151515"/>
                <w:spacing w:val="-5"/>
                <w:w w:val="80"/>
                <w:sz w:val="21"/>
              </w:rPr>
              <w:t>4.3</w:t>
            </w:r>
          </w:p>
        </w:tc>
        <w:tc>
          <w:tcPr>
            <w:tcW w:w="713" w:type="dxa"/>
          </w:tcPr>
          <w:p>
            <w:pPr>
              <w:pStyle w:val="TableParagraph"/>
              <w:spacing w:before="32" w:line="224" w:lineRule="exact"/>
              <w:ind w:left="310"/>
              <w:rPr>
                <w:rFonts w:ascii="Courier New"/>
                <w:sz w:val="21"/>
              </w:rPr>
            </w:pPr>
            <w:r>
              <w:rPr>
                <w:rFonts w:ascii="Courier New"/>
                <w:color w:val="151515"/>
                <w:spacing w:val="-5"/>
                <w:sz w:val="21"/>
              </w:rPr>
              <w:t>34</w:t>
            </w:r>
          </w:p>
        </w:tc>
      </w:tr>
      <w:tr>
        <w:trPr>
          <w:trHeight w:val="419" w:hRule="atLeast"/>
        </w:trPr>
        <w:tc>
          <w:tcPr>
            <w:tcW w:w="7648" w:type="dxa"/>
            <w:gridSpan w:val="2"/>
          </w:tcPr>
          <w:p>
            <w:pPr>
              <w:pStyle w:val="TableParagraph"/>
              <w:spacing w:before="12"/>
              <w:ind w:left="912"/>
              <w:rPr>
                <w:sz w:val="18"/>
              </w:rPr>
            </w:pPr>
            <w:r>
              <w:rPr>
                <w:color w:val="282828"/>
                <w:sz w:val="18"/>
                <w:u w:val="thick" w:color="282828"/>
              </w:rPr>
              <w:t>Cash</w:t>
            </w:r>
            <w:r>
              <w:rPr>
                <w:color w:val="282828"/>
                <w:spacing w:val="-3"/>
                <w:sz w:val="18"/>
                <w:u w:val="thick" w:color="282828"/>
              </w:rPr>
              <w:t> </w:t>
            </w:r>
            <w:r>
              <w:rPr>
                <w:color w:val="282828"/>
                <w:sz w:val="18"/>
                <w:u w:val="thick" w:color="282828"/>
              </w:rPr>
              <w:t>Flow</w:t>
            </w:r>
            <w:r>
              <w:rPr>
                <w:color w:val="282828"/>
                <w:spacing w:val="-1"/>
                <w:sz w:val="18"/>
                <w:u w:val="thick" w:color="282828"/>
              </w:rPr>
              <w:t> </w:t>
            </w:r>
            <w:r>
              <w:rPr>
                <w:color w:val="282828"/>
                <w:spacing w:val="-2"/>
                <w:sz w:val="18"/>
                <w:u w:val="thick" w:color="282828"/>
              </w:rPr>
              <w:t>Statement</w:t>
            </w:r>
          </w:p>
        </w:tc>
        <w:tc>
          <w:tcPr>
            <w:tcW w:w="1164" w:type="dxa"/>
          </w:tcPr>
          <w:p>
            <w:pPr>
              <w:pStyle w:val="TableParagraph"/>
              <w:spacing w:before="6"/>
              <w:ind w:left="215" w:right="55"/>
              <w:jc w:val="center"/>
              <w:rPr>
                <w:rFonts w:ascii="Courier New"/>
                <w:sz w:val="21"/>
              </w:rPr>
            </w:pPr>
            <w:r>
              <w:rPr>
                <w:rFonts w:ascii="Courier New"/>
                <w:color w:val="151515"/>
                <w:spacing w:val="-5"/>
                <w:w w:val="80"/>
                <w:sz w:val="21"/>
              </w:rPr>
              <w:t>4.4</w:t>
            </w:r>
          </w:p>
        </w:tc>
        <w:tc>
          <w:tcPr>
            <w:tcW w:w="713" w:type="dxa"/>
          </w:tcPr>
          <w:p>
            <w:pPr>
              <w:pStyle w:val="TableParagraph"/>
              <w:spacing w:before="35"/>
              <w:ind w:left="310"/>
              <w:rPr>
                <w:rFonts w:ascii="Courier New"/>
                <w:sz w:val="21"/>
              </w:rPr>
            </w:pPr>
            <w:r>
              <w:rPr>
                <w:rFonts w:ascii="Courier New"/>
                <w:color w:val="151515"/>
                <w:spacing w:val="-5"/>
                <w:sz w:val="21"/>
              </w:rPr>
              <w:t>35</w:t>
            </w:r>
          </w:p>
        </w:tc>
      </w:tr>
      <w:tr>
        <w:trPr>
          <w:trHeight w:val="388" w:hRule="atLeast"/>
        </w:trPr>
        <w:tc>
          <w:tcPr>
            <w:tcW w:w="7648" w:type="dxa"/>
            <w:gridSpan w:val="2"/>
          </w:tcPr>
          <w:p>
            <w:pPr>
              <w:pStyle w:val="TableParagraph"/>
              <w:tabs>
                <w:tab w:val="left" w:leader="none" w:pos="907"/>
              </w:tabs>
              <w:spacing w:before="140"/>
              <w:ind w:left="274"/>
              <w:rPr>
                <w:sz w:val="18"/>
              </w:rPr>
            </w:pPr>
            <w:r>
              <w:rPr>
                <w:color w:val="151515"/>
                <w:spacing w:val="-10"/>
                <w:w w:val="105"/>
                <w:sz w:val="18"/>
              </w:rPr>
              <w:t>5</w:t>
            </w:r>
            <w:r>
              <w:rPr>
                <w:color w:val="151515"/>
                <w:sz w:val="18"/>
              </w:rPr>
              <w:tab/>
            </w:r>
            <w:r>
              <w:rPr>
                <w:color w:val="151515"/>
                <w:w w:val="105"/>
                <w:sz w:val="18"/>
                <w:u w:val="thick" w:color="282828"/>
              </w:rPr>
              <w:t>Notes</w:t>
            </w:r>
            <w:r>
              <w:rPr>
                <w:color w:val="151515"/>
                <w:spacing w:val="3"/>
                <w:w w:val="105"/>
                <w:sz w:val="18"/>
                <w:u w:val="thick" w:color="282828"/>
              </w:rPr>
              <w:t> </w:t>
            </w:r>
            <w:r>
              <w:rPr>
                <w:color w:val="282828"/>
                <w:w w:val="105"/>
                <w:sz w:val="18"/>
                <w:u w:val="thick" w:color="282828"/>
              </w:rPr>
              <w:t>to</w:t>
            </w:r>
            <w:r>
              <w:rPr>
                <w:color w:val="282828"/>
                <w:spacing w:val="10"/>
                <w:w w:val="105"/>
                <w:sz w:val="18"/>
                <w:u w:val="thick" w:color="282828"/>
              </w:rPr>
              <w:t> </w:t>
            </w:r>
            <w:r>
              <w:rPr>
                <w:color w:val="282828"/>
                <w:w w:val="105"/>
                <w:sz w:val="18"/>
                <w:u w:val="thick" w:color="282828"/>
              </w:rPr>
              <w:t>the </w:t>
            </w:r>
            <w:r>
              <w:rPr>
                <w:color w:val="282828"/>
                <w:spacing w:val="-2"/>
                <w:w w:val="105"/>
                <w:sz w:val="18"/>
                <w:u w:val="thick" w:color="282828"/>
              </w:rPr>
              <w:t>Accounts</w:t>
            </w:r>
          </w:p>
        </w:tc>
        <w:tc>
          <w:tcPr>
            <w:tcW w:w="1164" w:type="dxa"/>
          </w:tcPr>
          <w:p>
            <w:pPr>
              <w:pStyle w:val="TableParagraph"/>
              <w:rPr>
                <w:rFonts w:ascii="Times New Roman"/>
                <w:sz w:val="18"/>
              </w:rPr>
            </w:pPr>
          </w:p>
        </w:tc>
        <w:tc>
          <w:tcPr>
            <w:tcW w:w="713" w:type="dxa"/>
          </w:tcPr>
          <w:p>
            <w:pPr>
              <w:pStyle w:val="TableParagraph"/>
              <w:rPr>
                <w:rFonts w:ascii="Times New Roman"/>
                <w:sz w:val="18"/>
              </w:rPr>
            </w:pPr>
          </w:p>
        </w:tc>
      </w:tr>
      <w:tr>
        <w:trPr>
          <w:trHeight w:val="303" w:hRule="atLeast"/>
        </w:trPr>
        <w:tc>
          <w:tcPr>
            <w:tcW w:w="7648" w:type="dxa"/>
            <w:gridSpan w:val="2"/>
          </w:tcPr>
          <w:p>
            <w:pPr>
              <w:pStyle w:val="TableParagraph"/>
              <w:spacing w:before="35"/>
              <w:ind w:left="907"/>
              <w:rPr>
                <w:sz w:val="18"/>
              </w:rPr>
            </w:pPr>
            <w:r>
              <w:rPr>
                <w:color w:val="282828"/>
                <w:spacing w:val="-2"/>
                <w:sz w:val="18"/>
                <w:u w:val="thick" w:color="282828"/>
              </w:rPr>
              <w:t>Accounting</w:t>
            </w:r>
            <w:r>
              <w:rPr>
                <w:color w:val="282828"/>
                <w:spacing w:val="6"/>
                <w:sz w:val="18"/>
                <w:u w:val="none"/>
              </w:rPr>
              <w:t> </w:t>
            </w:r>
            <w:r>
              <w:rPr>
                <w:color w:val="282828"/>
                <w:spacing w:val="-2"/>
                <w:sz w:val="18"/>
                <w:u w:val="none"/>
              </w:rPr>
              <w:t>Policies</w:t>
            </w:r>
          </w:p>
        </w:tc>
        <w:tc>
          <w:tcPr>
            <w:tcW w:w="1164" w:type="dxa"/>
          </w:tcPr>
          <w:p>
            <w:pPr>
              <w:pStyle w:val="TableParagraph"/>
              <w:spacing w:before="53" w:line="230" w:lineRule="exact"/>
              <w:ind w:left="215" w:right="17"/>
              <w:jc w:val="center"/>
              <w:rPr>
                <w:rFonts w:ascii="Courier New"/>
                <w:sz w:val="21"/>
              </w:rPr>
            </w:pPr>
            <w:r>
              <w:rPr>
                <w:rFonts w:ascii="Courier New"/>
                <w:color w:val="151515"/>
                <w:spacing w:val="-5"/>
                <w:w w:val="90"/>
                <w:sz w:val="21"/>
              </w:rPr>
              <w:t>5</w:t>
            </w:r>
            <w:r>
              <w:rPr>
                <w:rFonts w:ascii="Courier New"/>
                <w:color w:val="797979"/>
                <w:spacing w:val="-5"/>
                <w:w w:val="90"/>
                <w:sz w:val="21"/>
              </w:rPr>
              <w:t>.</w:t>
            </w:r>
            <w:r>
              <w:rPr>
                <w:rFonts w:ascii="Courier New"/>
                <w:color w:val="151515"/>
                <w:spacing w:val="-5"/>
                <w:w w:val="90"/>
                <w:sz w:val="21"/>
              </w:rPr>
              <w:t>1</w:t>
            </w:r>
          </w:p>
        </w:tc>
        <w:tc>
          <w:tcPr>
            <w:tcW w:w="713" w:type="dxa"/>
          </w:tcPr>
          <w:p>
            <w:pPr>
              <w:pStyle w:val="TableParagraph"/>
              <w:spacing w:before="53" w:line="230" w:lineRule="exact"/>
              <w:ind w:left="306"/>
              <w:rPr>
                <w:rFonts w:ascii="Courier New"/>
                <w:sz w:val="21"/>
              </w:rPr>
            </w:pPr>
            <w:r>
              <w:rPr>
                <w:rFonts w:ascii="Courier New"/>
                <w:color w:val="151515"/>
                <w:spacing w:val="-5"/>
                <w:sz w:val="21"/>
              </w:rPr>
              <w:t>36</w:t>
            </w:r>
          </w:p>
        </w:tc>
      </w:tr>
      <w:tr>
        <w:trPr>
          <w:trHeight w:val="266" w:hRule="atLeast"/>
        </w:trPr>
        <w:tc>
          <w:tcPr>
            <w:tcW w:w="7648" w:type="dxa"/>
            <w:gridSpan w:val="2"/>
          </w:tcPr>
          <w:p>
            <w:pPr>
              <w:pStyle w:val="TableParagraph"/>
              <w:spacing w:before="6"/>
              <w:ind w:left="902"/>
              <w:rPr>
                <w:sz w:val="18"/>
              </w:rPr>
            </w:pPr>
            <w:r>
              <w:rPr>
                <w:color w:val="282828"/>
                <w:sz w:val="18"/>
              </w:rPr>
              <w:t>Accounting</w:t>
            </w:r>
            <w:r>
              <w:rPr>
                <w:color w:val="282828"/>
                <w:spacing w:val="8"/>
                <w:sz w:val="18"/>
              </w:rPr>
              <w:t> </w:t>
            </w:r>
            <w:r>
              <w:rPr>
                <w:color w:val="282828"/>
                <w:sz w:val="18"/>
              </w:rPr>
              <w:t>Standards</w:t>
            </w:r>
            <w:r>
              <w:rPr>
                <w:color w:val="282828"/>
                <w:spacing w:val="9"/>
                <w:sz w:val="18"/>
              </w:rPr>
              <w:t> </w:t>
            </w:r>
            <w:r>
              <w:rPr>
                <w:color w:val="282828"/>
                <w:sz w:val="18"/>
              </w:rPr>
              <w:t>that</w:t>
            </w:r>
            <w:r>
              <w:rPr>
                <w:color w:val="282828"/>
                <w:spacing w:val="-6"/>
                <w:sz w:val="18"/>
              </w:rPr>
              <w:t> </w:t>
            </w:r>
            <w:r>
              <w:rPr>
                <w:color w:val="282828"/>
                <w:sz w:val="18"/>
              </w:rPr>
              <w:t>have</w:t>
            </w:r>
            <w:r>
              <w:rPr>
                <w:color w:val="282828"/>
                <w:spacing w:val="1"/>
                <w:sz w:val="18"/>
              </w:rPr>
              <w:t> </w:t>
            </w:r>
            <w:r>
              <w:rPr>
                <w:color w:val="282828"/>
                <w:sz w:val="18"/>
              </w:rPr>
              <w:t>been</w:t>
            </w:r>
            <w:r>
              <w:rPr>
                <w:color w:val="282828"/>
                <w:spacing w:val="-4"/>
                <w:sz w:val="18"/>
              </w:rPr>
              <w:t> </w:t>
            </w:r>
            <w:r>
              <w:rPr>
                <w:color w:val="3B3B3B"/>
                <w:sz w:val="18"/>
              </w:rPr>
              <w:t>issued</w:t>
            </w:r>
            <w:r>
              <w:rPr>
                <w:color w:val="3B3B3B"/>
                <w:spacing w:val="-8"/>
                <w:sz w:val="18"/>
              </w:rPr>
              <w:t> </w:t>
            </w:r>
            <w:r>
              <w:rPr>
                <w:color w:val="282828"/>
                <w:sz w:val="18"/>
              </w:rPr>
              <w:t>but</w:t>
            </w:r>
            <w:r>
              <w:rPr>
                <w:color w:val="282828"/>
                <w:spacing w:val="-6"/>
                <w:sz w:val="18"/>
              </w:rPr>
              <w:t> </w:t>
            </w:r>
            <w:r>
              <w:rPr>
                <w:color w:val="282828"/>
                <w:sz w:val="18"/>
              </w:rPr>
              <w:t>have</w:t>
            </w:r>
            <w:r>
              <w:rPr>
                <w:color w:val="282828"/>
                <w:spacing w:val="-4"/>
                <w:sz w:val="18"/>
              </w:rPr>
              <w:t> </w:t>
            </w:r>
            <w:r>
              <w:rPr>
                <w:color w:val="282828"/>
                <w:sz w:val="18"/>
              </w:rPr>
              <w:t>not</w:t>
            </w:r>
            <w:r>
              <w:rPr>
                <w:color w:val="282828"/>
                <w:spacing w:val="4"/>
                <w:sz w:val="18"/>
              </w:rPr>
              <w:t> </w:t>
            </w:r>
            <w:r>
              <w:rPr>
                <w:color w:val="282828"/>
                <w:sz w:val="18"/>
              </w:rPr>
              <w:t>yet</w:t>
            </w:r>
            <w:r>
              <w:rPr>
                <w:color w:val="282828"/>
                <w:spacing w:val="-11"/>
                <w:sz w:val="18"/>
              </w:rPr>
              <w:t> </w:t>
            </w:r>
            <w:r>
              <w:rPr>
                <w:color w:val="282828"/>
                <w:sz w:val="18"/>
              </w:rPr>
              <w:t>been</w:t>
            </w:r>
            <w:r>
              <w:rPr>
                <w:color w:val="282828"/>
                <w:spacing w:val="-7"/>
                <w:sz w:val="18"/>
              </w:rPr>
              <w:t> </w:t>
            </w:r>
            <w:r>
              <w:rPr>
                <w:color w:val="282828"/>
                <w:spacing w:val="-2"/>
                <w:sz w:val="18"/>
              </w:rPr>
              <w:t>adoQted</w:t>
            </w:r>
          </w:p>
        </w:tc>
        <w:tc>
          <w:tcPr>
            <w:tcW w:w="1164" w:type="dxa"/>
          </w:tcPr>
          <w:p>
            <w:pPr>
              <w:pStyle w:val="TableParagraph"/>
              <w:spacing w:before="29" w:line="218" w:lineRule="exact"/>
              <w:ind w:left="215" w:right="59"/>
              <w:jc w:val="center"/>
              <w:rPr>
                <w:rFonts w:ascii="Courier New"/>
                <w:sz w:val="21"/>
              </w:rPr>
            </w:pPr>
            <w:r>
              <w:rPr>
                <w:rFonts w:ascii="Courier New"/>
                <w:color w:val="151515"/>
                <w:spacing w:val="-5"/>
                <w:w w:val="80"/>
                <w:sz w:val="21"/>
              </w:rPr>
              <w:t>5.2</w:t>
            </w:r>
          </w:p>
        </w:tc>
        <w:tc>
          <w:tcPr>
            <w:tcW w:w="713" w:type="dxa"/>
          </w:tcPr>
          <w:p>
            <w:pPr>
              <w:pStyle w:val="TableParagraph"/>
              <w:spacing w:before="35"/>
              <w:ind w:left="313"/>
              <w:rPr>
                <w:b/>
                <w:sz w:val="18"/>
              </w:rPr>
            </w:pPr>
            <w:r>
              <w:rPr>
                <w:b/>
                <w:color w:val="151515"/>
                <w:spacing w:val="-5"/>
                <w:w w:val="105"/>
                <w:sz w:val="18"/>
              </w:rPr>
              <w:t>48</w:t>
            </w:r>
          </w:p>
        </w:tc>
      </w:tr>
      <w:tr>
        <w:trPr>
          <w:trHeight w:val="278" w:hRule="atLeast"/>
        </w:trPr>
        <w:tc>
          <w:tcPr>
            <w:tcW w:w="7648" w:type="dxa"/>
            <w:gridSpan w:val="2"/>
          </w:tcPr>
          <w:p>
            <w:pPr>
              <w:pStyle w:val="TableParagraph"/>
              <w:spacing w:line="20" w:lineRule="exact"/>
              <w:ind w:left="820" w:right="-72"/>
              <w:rPr>
                <w:sz w:val="2"/>
              </w:rPr>
            </w:pPr>
            <w:r>
              <w:rPr>
                <w:sz w:val="2"/>
              </w:rPr>
              <ve:AlternateContent>
                <ve:Choice Requires="wps">
                  <w:drawing>
                    <wp:inline distT="0" distB="0" distL="0" distR="0">
                      <wp:extent cx="4335145" cy="3175"/>
                      <wp:effectExtent l="9525" t="0" r="0" b="6350"/>
                      <wp:docPr id="4" name="Group 4"/>
                      <wp:cNvGraphicFramePr>
                        <a:graphicFrameLocks/>
                      </wp:cNvGraphicFramePr>
                      <a:graphic>
                        <a:graphicData uri="http://schemas.microsoft.com/office/word/2010/wordprocessingGroup">
                          <wpg:wgp>
                            <wpg:cNvPr id="4" name="Group 4"/>
                            <wpg:cNvGrpSpPr/>
                            <wpg:grpSpPr>
                              <a:xfrm>
                                <a:off x="0" y="0"/>
                                <a:ext cx="4335145" cy="3175"/>
                                <a:chExt cx="4335145" cy="3175"/>
                              </a:xfrm>
                            </wpg:grpSpPr>
                            <wps:wsp>
                              <wps:cNvPr id="5" name="Graphic 5"/>
                              <wps:cNvSpPr/>
                              <wps:spPr>
                                <a:xfrm>
                                  <a:off x="0" y="1525"/>
                                  <a:ext cx="4335145" cy="1270"/>
                                </a:xfrm>
                                <a:custGeom>
                                  <a:avLst/>
                                  <a:gdLst/>
                                  <a:ahLst/>
                                  <a:cxnLst/>
                                  <a:rect l="l" t="t" r="r" b="b"/>
                                  <a:pathLst>
                                    <a:path w="4335145" h="0">
                                      <a:moveTo>
                                        <a:pt x="0" y="0"/>
                                      </a:moveTo>
                                      <a:lnTo>
                                        <a:pt x="4335141"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 style="width:341.35pt;height:.25pt;mso-position-horizontal-relative:char;mso-position-vertical-relative:line" coordsize="6827,5" coordorigin="0,0">
                      <v:line style="position:absolute" stroked="true" strokecolor="#000000" strokeweight=".240274pt" from="0,2" to="6827,2">
                        <v:stroke dashstyle="solid"/>
                      </v:line>
                    </v:group>
                  </w:pict>
                </ve:Fallback>
              </ve:AlternateContent>
            </w:r>
            <w:r>
              <w:rPr>
                <w:sz w:val="2"/>
              </w:rPr>
            </w:r>
          </w:p>
          <w:p>
            <w:pPr>
              <w:pStyle w:val="TableParagraph"/>
              <w:ind w:left="898"/>
              <w:rPr>
                <w:sz w:val="18"/>
              </w:rPr>
            </w:pPr>
            <w:r>
              <w:rPr>
                <w:color w:val="282828"/>
                <w:sz w:val="18"/>
              </w:rPr>
              <w:t>Critical</w:t>
            </w:r>
            <w:r>
              <w:rPr>
                <w:color w:val="282828"/>
                <w:spacing w:val="-10"/>
                <w:sz w:val="18"/>
              </w:rPr>
              <w:t> </w:t>
            </w:r>
            <w:r>
              <w:rPr>
                <w:color w:val="282828"/>
                <w:sz w:val="18"/>
              </w:rPr>
              <w:t>Accounting</w:t>
            </w:r>
            <w:r>
              <w:rPr>
                <w:color w:val="282828"/>
                <w:spacing w:val="-1"/>
                <w:sz w:val="18"/>
              </w:rPr>
              <w:t> </w:t>
            </w:r>
            <w:r>
              <w:rPr>
                <w:color w:val="282828"/>
                <w:sz w:val="18"/>
              </w:rPr>
              <w:t>Estimates</w:t>
            </w:r>
            <w:r>
              <w:rPr>
                <w:color w:val="282828"/>
                <w:spacing w:val="8"/>
                <w:sz w:val="18"/>
              </w:rPr>
              <w:t> </w:t>
            </w:r>
            <w:r>
              <w:rPr>
                <w:color w:val="282828"/>
                <w:sz w:val="18"/>
              </w:rPr>
              <w:t>and</w:t>
            </w:r>
            <w:r>
              <w:rPr>
                <w:color w:val="282828"/>
                <w:spacing w:val="-13"/>
                <w:sz w:val="18"/>
              </w:rPr>
              <w:t> </w:t>
            </w:r>
            <w:r>
              <w:rPr>
                <w:color w:val="282828"/>
                <w:spacing w:val="-2"/>
                <w:sz w:val="18"/>
              </w:rPr>
              <w:t>Judgements</w:t>
            </w:r>
          </w:p>
        </w:tc>
        <w:tc>
          <w:tcPr>
            <w:tcW w:w="1164" w:type="dxa"/>
          </w:tcPr>
          <w:p>
            <w:pPr>
              <w:pStyle w:val="TableParagraph"/>
              <w:spacing w:before="40" w:line="218" w:lineRule="exact"/>
              <w:ind w:left="215" w:right="72"/>
              <w:jc w:val="center"/>
              <w:rPr>
                <w:rFonts w:ascii="Courier New"/>
                <w:sz w:val="21"/>
              </w:rPr>
            </w:pPr>
            <w:r>
              <w:rPr>
                <w:rFonts w:ascii="Courier New"/>
                <w:color w:val="151515"/>
                <w:spacing w:val="-5"/>
                <w:w w:val="80"/>
                <w:sz w:val="21"/>
              </w:rPr>
              <w:t>5.3</w:t>
            </w:r>
          </w:p>
        </w:tc>
        <w:tc>
          <w:tcPr>
            <w:tcW w:w="713" w:type="dxa"/>
          </w:tcPr>
          <w:p>
            <w:pPr>
              <w:pStyle w:val="TableParagraph"/>
              <w:spacing w:before="42"/>
              <w:ind w:left="313"/>
              <w:rPr>
                <w:b/>
                <w:sz w:val="18"/>
              </w:rPr>
            </w:pPr>
            <w:r>
              <w:rPr>
                <w:b/>
                <w:color w:val="151515"/>
                <w:spacing w:val="-5"/>
                <w:sz w:val="18"/>
              </w:rPr>
              <w:t>48</w:t>
            </w:r>
          </w:p>
        </w:tc>
      </w:tr>
      <w:tr>
        <w:trPr>
          <w:trHeight w:val="273" w:hRule="atLeast"/>
        </w:trPr>
        <w:tc>
          <w:tcPr>
            <w:tcW w:w="7648" w:type="dxa"/>
            <w:gridSpan w:val="2"/>
          </w:tcPr>
          <w:p>
            <w:pPr>
              <w:pStyle w:val="TableParagraph"/>
              <w:spacing w:line="20" w:lineRule="exact"/>
              <w:ind w:left="820" w:right="-72"/>
              <w:rPr>
                <w:sz w:val="2"/>
              </w:rPr>
            </w:pPr>
            <w:r>
              <w:rPr>
                <w:sz w:val="2"/>
              </w:rPr>
              <ve:AlternateContent>
                <ve:Choice Requires="wps">
                  <w:drawing>
                    <wp:inline distT="0" distB="0" distL="0" distR="0">
                      <wp:extent cx="4335145" cy="3175"/>
                      <wp:effectExtent l="9525" t="0" r="0" b="6350"/>
                      <wp:docPr id="6" name="Group 6"/>
                      <wp:cNvGraphicFramePr>
                        <a:graphicFrameLocks/>
                      </wp:cNvGraphicFramePr>
                      <a:graphic>
                        <a:graphicData uri="http://schemas.microsoft.com/office/word/2010/wordprocessingGroup">
                          <wpg:wgp>
                            <wpg:cNvPr id="6" name="Group 6"/>
                            <wpg:cNvGrpSpPr/>
                            <wpg:grpSpPr>
                              <a:xfrm>
                                <a:off x="0" y="0"/>
                                <a:ext cx="4335145" cy="3175"/>
                                <a:chExt cx="4335145" cy="3175"/>
                              </a:xfrm>
                            </wpg:grpSpPr>
                            <wps:wsp>
                              <wps:cNvPr id="7" name="Graphic 7"/>
                              <wps:cNvSpPr/>
                              <wps:spPr>
                                <a:xfrm>
                                  <a:off x="0" y="1525"/>
                                  <a:ext cx="4335145" cy="1270"/>
                                </a:xfrm>
                                <a:custGeom>
                                  <a:avLst/>
                                  <a:gdLst/>
                                  <a:ahLst/>
                                  <a:cxnLst/>
                                  <a:rect l="l" t="t" r="r" b="b"/>
                                  <a:pathLst>
                                    <a:path w="4335145" h="0">
                                      <a:moveTo>
                                        <a:pt x="0" y="0"/>
                                      </a:moveTo>
                                      <a:lnTo>
                                        <a:pt x="4335141"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 style="width:341.35pt;height:.25pt;mso-position-horizontal-relative:char;mso-position-vertical-relative:line" coordsize="6827,5" coordorigin="0,0">
                      <v:line style="position:absolute" stroked="true" strokecolor="#000000" strokeweight=".240274pt" from="0,2" to="6827,2">
                        <v:stroke dashstyle="solid"/>
                      </v:line>
                    </v:group>
                  </w:pict>
                </ve:Fallback>
              </ve:AlternateContent>
            </w:r>
            <w:r>
              <w:rPr>
                <w:sz w:val="2"/>
              </w:rPr>
            </w:r>
          </w:p>
          <w:p>
            <w:pPr>
              <w:pStyle w:val="TableParagraph"/>
              <w:ind w:left="893"/>
              <w:rPr>
                <w:sz w:val="18"/>
              </w:rPr>
            </w:pPr>
            <w:r>
              <w:rPr>
                <w:color w:val="282828"/>
                <w:sz w:val="18"/>
              </w:rPr>
              <w:t>AssumQtions</w:t>
            </w:r>
            <w:r>
              <w:rPr>
                <w:color w:val="282828"/>
                <w:spacing w:val="7"/>
                <w:sz w:val="18"/>
              </w:rPr>
              <w:t> </w:t>
            </w:r>
            <w:r>
              <w:rPr>
                <w:color w:val="3B3B3B"/>
                <w:sz w:val="18"/>
              </w:rPr>
              <w:t>about</w:t>
            </w:r>
            <w:r>
              <w:rPr>
                <w:color w:val="3B3B3B"/>
                <w:spacing w:val="-1"/>
                <w:sz w:val="18"/>
              </w:rPr>
              <w:t> </w:t>
            </w:r>
            <w:r>
              <w:rPr>
                <w:color w:val="282828"/>
                <w:sz w:val="18"/>
              </w:rPr>
              <w:t>the</w:t>
            </w:r>
            <w:r>
              <w:rPr>
                <w:color w:val="282828"/>
                <w:spacing w:val="-4"/>
                <w:sz w:val="18"/>
              </w:rPr>
              <w:t> </w:t>
            </w:r>
            <w:r>
              <w:rPr>
                <w:color w:val="282828"/>
                <w:sz w:val="18"/>
              </w:rPr>
              <w:t>future</w:t>
            </w:r>
            <w:r>
              <w:rPr>
                <w:color w:val="282828"/>
                <w:spacing w:val="-8"/>
                <w:sz w:val="18"/>
              </w:rPr>
              <w:t> </w:t>
            </w:r>
            <w:r>
              <w:rPr>
                <w:color w:val="282828"/>
                <w:sz w:val="18"/>
              </w:rPr>
              <w:t>and</w:t>
            </w:r>
            <w:r>
              <w:rPr>
                <w:color w:val="282828"/>
                <w:spacing w:val="-12"/>
                <w:sz w:val="18"/>
              </w:rPr>
              <w:t> </w:t>
            </w:r>
            <w:r>
              <w:rPr>
                <w:color w:val="282828"/>
                <w:sz w:val="18"/>
              </w:rPr>
              <w:t>other</w:t>
            </w:r>
            <w:r>
              <w:rPr>
                <w:color w:val="282828"/>
                <w:spacing w:val="-11"/>
                <w:sz w:val="18"/>
              </w:rPr>
              <w:t> </w:t>
            </w:r>
            <w:r>
              <w:rPr>
                <w:color w:val="282828"/>
                <w:sz w:val="18"/>
              </w:rPr>
              <w:t>major</w:t>
            </w:r>
            <w:r>
              <w:rPr>
                <w:color w:val="282828"/>
                <w:spacing w:val="-2"/>
                <w:sz w:val="18"/>
              </w:rPr>
              <w:t> </w:t>
            </w:r>
            <w:r>
              <w:rPr>
                <w:color w:val="282828"/>
                <w:sz w:val="18"/>
              </w:rPr>
              <w:t>sources</w:t>
            </w:r>
            <w:r>
              <w:rPr>
                <w:color w:val="282828"/>
                <w:spacing w:val="-6"/>
                <w:sz w:val="18"/>
              </w:rPr>
              <w:t> </w:t>
            </w:r>
            <w:r>
              <w:rPr>
                <w:color w:val="282828"/>
                <w:sz w:val="18"/>
              </w:rPr>
              <w:t>of</w:t>
            </w:r>
            <w:r>
              <w:rPr>
                <w:color w:val="282828"/>
                <w:spacing w:val="-11"/>
                <w:sz w:val="18"/>
              </w:rPr>
              <w:t> </w:t>
            </w:r>
            <w:r>
              <w:rPr>
                <w:color w:val="282828"/>
                <w:sz w:val="18"/>
              </w:rPr>
              <w:t>estimation</w:t>
            </w:r>
            <w:r>
              <w:rPr>
                <w:color w:val="282828"/>
                <w:spacing w:val="-1"/>
                <w:sz w:val="18"/>
              </w:rPr>
              <w:t> </w:t>
            </w:r>
            <w:r>
              <w:rPr>
                <w:color w:val="282828"/>
                <w:spacing w:val="-2"/>
                <w:sz w:val="18"/>
              </w:rPr>
              <w:t>uncertainty</w:t>
            </w:r>
          </w:p>
        </w:tc>
        <w:tc>
          <w:tcPr>
            <w:tcW w:w="1164" w:type="dxa"/>
          </w:tcPr>
          <w:p>
            <w:pPr>
              <w:pStyle w:val="TableParagraph"/>
              <w:spacing w:before="36" w:line="218" w:lineRule="exact"/>
              <w:ind w:left="215" w:right="68"/>
              <w:jc w:val="center"/>
              <w:rPr>
                <w:rFonts w:ascii="Courier New"/>
                <w:sz w:val="21"/>
              </w:rPr>
            </w:pPr>
            <w:r>
              <w:rPr>
                <w:rFonts w:ascii="Courier New"/>
                <w:color w:val="151515"/>
                <w:spacing w:val="-5"/>
                <w:w w:val="80"/>
                <w:sz w:val="21"/>
              </w:rPr>
              <w:t>5.4</w:t>
            </w:r>
          </w:p>
        </w:tc>
        <w:tc>
          <w:tcPr>
            <w:tcW w:w="713" w:type="dxa"/>
          </w:tcPr>
          <w:p>
            <w:pPr>
              <w:pStyle w:val="TableParagraph"/>
              <w:spacing w:before="42"/>
              <w:ind w:left="308"/>
              <w:rPr>
                <w:b/>
                <w:sz w:val="18"/>
              </w:rPr>
            </w:pPr>
            <w:r>
              <w:rPr>
                <w:b/>
                <w:color w:val="151515"/>
                <w:spacing w:val="-5"/>
                <w:w w:val="110"/>
                <w:sz w:val="18"/>
              </w:rPr>
              <w:t>49</w:t>
            </w:r>
          </w:p>
        </w:tc>
      </w:tr>
      <w:tr>
        <w:trPr>
          <w:trHeight w:val="290" w:hRule="atLeast"/>
        </w:trPr>
        <w:tc>
          <w:tcPr>
            <w:tcW w:w="7648" w:type="dxa"/>
            <w:gridSpan w:val="2"/>
          </w:tcPr>
          <w:p>
            <w:pPr>
              <w:pStyle w:val="TableParagraph"/>
              <w:spacing w:line="20" w:lineRule="exact"/>
              <w:ind w:left="820" w:right="-72"/>
              <w:rPr>
                <w:sz w:val="2"/>
              </w:rPr>
            </w:pPr>
            <w:r>
              <w:rPr>
                <w:sz w:val="2"/>
              </w:rPr>
              <ve:AlternateContent>
                <ve:Choice Requires="wps">
                  <w:drawing>
                    <wp:inline distT="0" distB="0" distL="0" distR="0">
                      <wp:extent cx="4335145" cy="3175"/>
                      <wp:effectExtent l="9525" t="0" r="0" b="6350"/>
                      <wp:docPr id="8" name="Group 8"/>
                      <wp:cNvGraphicFramePr>
                        <a:graphicFrameLocks/>
                      </wp:cNvGraphicFramePr>
                      <a:graphic>
                        <a:graphicData uri="http://schemas.microsoft.com/office/word/2010/wordprocessingGroup">
                          <wpg:wgp>
                            <wpg:cNvPr id="8" name="Group 8"/>
                            <wpg:cNvGrpSpPr/>
                            <wpg:grpSpPr>
                              <a:xfrm>
                                <a:off x="0" y="0"/>
                                <a:ext cx="4335145" cy="3175"/>
                                <a:chExt cx="4335145" cy="3175"/>
                              </a:xfrm>
                            </wpg:grpSpPr>
                            <wps:wsp>
                              <wps:cNvPr id="9" name="Graphic 9"/>
                              <wps:cNvSpPr/>
                              <wps:spPr>
                                <a:xfrm>
                                  <a:off x="0" y="1525"/>
                                  <a:ext cx="4335145" cy="1270"/>
                                </a:xfrm>
                                <a:custGeom>
                                  <a:avLst/>
                                  <a:gdLst/>
                                  <a:ahLst/>
                                  <a:cxnLst/>
                                  <a:rect l="l" t="t" r="r" b="b"/>
                                  <a:pathLst>
                                    <a:path w="4335145" h="0">
                                      <a:moveTo>
                                        <a:pt x="0" y="0"/>
                                      </a:moveTo>
                                      <a:lnTo>
                                        <a:pt x="4335141"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 style="width:341.35pt;height:.25pt;mso-position-horizontal-relative:char;mso-position-vertical-relative:line" coordsize="6827,5" coordorigin="0,0">
                      <v:line style="position:absolute" stroked="true" strokecolor="#000000" strokeweight=".240274pt" from="0,2" to="6827,2">
                        <v:stroke dashstyle="solid"/>
                      </v:line>
                    </v:group>
                  </w:pict>
                </ve:Fallback>
              </ve:AlternateContent>
            </w:r>
            <w:r>
              <w:rPr>
                <w:sz w:val="2"/>
              </w:rPr>
            </w:r>
          </w:p>
          <w:p>
            <w:pPr>
              <w:pStyle w:val="TableParagraph"/>
              <w:spacing w:before="3"/>
              <w:ind w:left="888"/>
              <w:rPr>
                <w:sz w:val="18"/>
              </w:rPr>
            </w:pPr>
            <w:r>
              <w:rPr>
                <w:color w:val="3B3B3B"/>
                <w:sz w:val="18"/>
              </w:rPr>
              <w:t>Events</w:t>
            </w:r>
            <w:r>
              <w:rPr>
                <w:color w:val="3B3B3B"/>
                <w:spacing w:val="2"/>
                <w:sz w:val="18"/>
              </w:rPr>
              <w:t> </w:t>
            </w:r>
            <w:r>
              <w:rPr>
                <w:color w:val="282828"/>
                <w:sz w:val="18"/>
              </w:rPr>
              <w:t>after</w:t>
            </w:r>
            <w:r>
              <w:rPr>
                <w:color w:val="282828"/>
                <w:spacing w:val="1"/>
                <w:sz w:val="18"/>
              </w:rPr>
              <w:t> </w:t>
            </w:r>
            <w:r>
              <w:rPr>
                <w:color w:val="282828"/>
                <w:sz w:val="18"/>
              </w:rPr>
              <w:t>the</w:t>
            </w:r>
            <w:r>
              <w:rPr>
                <w:color w:val="282828"/>
                <w:spacing w:val="-2"/>
                <w:sz w:val="18"/>
              </w:rPr>
              <w:t> </w:t>
            </w:r>
            <w:r>
              <w:rPr>
                <w:color w:val="282828"/>
                <w:sz w:val="18"/>
              </w:rPr>
              <w:t>Balance</w:t>
            </w:r>
            <w:r>
              <w:rPr>
                <w:color w:val="282828"/>
                <w:spacing w:val="-13"/>
                <w:sz w:val="18"/>
              </w:rPr>
              <w:t> </w:t>
            </w:r>
            <w:r>
              <w:rPr>
                <w:color w:val="282828"/>
                <w:sz w:val="18"/>
              </w:rPr>
              <w:t>Sheet</w:t>
            </w:r>
            <w:r>
              <w:rPr>
                <w:color w:val="282828"/>
                <w:spacing w:val="5"/>
                <w:sz w:val="18"/>
              </w:rPr>
              <w:t> </w:t>
            </w:r>
            <w:r>
              <w:rPr>
                <w:color w:val="282828"/>
                <w:spacing w:val="-4"/>
                <w:sz w:val="18"/>
              </w:rPr>
              <w:t>Date</w:t>
            </w:r>
          </w:p>
        </w:tc>
        <w:tc>
          <w:tcPr>
            <w:tcW w:w="1164" w:type="dxa"/>
          </w:tcPr>
          <w:p>
            <w:pPr>
              <w:pStyle w:val="TableParagraph"/>
              <w:spacing w:before="40" w:line="230" w:lineRule="exact"/>
              <w:ind w:left="215" w:right="72"/>
              <w:jc w:val="center"/>
              <w:rPr>
                <w:rFonts w:ascii="Courier New"/>
                <w:sz w:val="21"/>
              </w:rPr>
            </w:pPr>
            <w:r>
              <w:rPr>
                <w:rFonts w:ascii="Courier New"/>
                <w:color w:val="151515"/>
                <w:spacing w:val="-5"/>
                <w:w w:val="80"/>
                <w:sz w:val="21"/>
              </w:rPr>
              <w:t>5.5</w:t>
            </w:r>
          </w:p>
        </w:tc>
        <w:tc>
          <w:tcPr>
            <w:tcW w:w="713" w:type="dxa"/>
          </w:tcPr>
          <w:p>
            <w:pPr>
              <w:pStyle w:val="TableParagraph"/>
              <w:spacing w:before="36" w:line="235" w:lineRule="exact"/>
              <w:ind w:left="301"/>
              <w:rPr>
                <w:rFonts w:ascii="Courier New"/>
                <w:sz w:val="21"/>
              </w:rPr>
            </w:pPr>
            <w:r>
              <w:rPr>
                <w:rFonts w:ascii="Courier New"/>
                <w:color w:val="151515"/>
                <w:spacing w:val="-5"/>
                <w:w w:val="90"/>
                <w:sz w:val="21"/>
              </w:rPr>
              <w:t>51</w:t>
            </w:r>
          </w:p>
        </w:tc>
      </w:tr>
      <w:tr>
        <w:trPr>
          <w:trHeight w:val="273" w:hRule="atLeast"/>
        </w:trPr>
        <w:tc>
          <w:tcPr>
            <w:tcW w:w="7648" w:type="dxa"/>
            <w:gridSpan w:val="2"/>
          </w:tcPr>
          <w:p>
            <w:pPr>
              <w:pStyle w:val="TableParagraph"/>
              <w:spacing w:before="6"/>
              <w:ind w:left="888"/>
              <w:rPr>
                <w:sz w:val="18"/>
              </w:rPr>
            </w:pPr>
            <w:r>
              <w:rPr>
                <w:color w:val="282828"/>
                <w:sz w:val="18"/>
                <w:u w:val="thick" w:color="282828"/>
              </w:rPr>
              <w:t>Trading</w:t>
            </w:r>
            <w:r>
              <w:rPr>
                <w:color w:val="282828"/>
                <w:spacing w:val="2"/>
                <w:sz w:val="18"/>
                <w:u w:val="thick" w:color="282828"/>
              </w:rPr>
              <w:t> </w:t>
            </w:r>
            <w:r>
              <w:rPr>
                <w:color w:val="282828"/>
                <w:spacing w:val="-2"/>
                <w:sz w:val="18"/>
                <w:u w:val="thick" w:color="282828"/>
              </w:rPr>
              <w:t>0Qerations</w:t>
            </w:r>
          </w:p>
        </w:tc>
        <w:tc>
          <w:tcPr>
            <w:tcW w:w="1164" w:type="dxa"/>
          </w:tcPr>
          <w:p>
            <w:pPr>
              <w:pStyle w:val="TableParagraph"/>
              <w:spacing w:before="24" w:line="230" w:lineRule="exact"/>
              <w:ind w:left="215" w:right="78"/>
              <w:jc w:val="center"/>
              <w:rPr>
                <w:rFonts w:ascii="Courier New"/>
                <w:sz w:val="21"/>
              </w:rPr>
            </w:pPr>
            <w:r>
              <w:rPr>
                <w:rFonts w:ascii="Courier New"/>
                <w:color w:val="151515"/>
                <w:spacing w:val="-5"/>
                <w:w w:val="80"/>
                <w:sz w:val="21"/>
              </w:rPr>
              <w:t>5.6</w:t>
            </w:r>
          </w:p>
        </w:tc>
        <w:tc>
          <w:tcPr>
            <w:tcW w:w="713" w:type="dxa"/>
          </w:tcPr>
          <w:p>
            <w:pPr>
              <w:pStyle w:val="TableParagraph"/>
              <w:spacing w:before="24" w:line="230" w:lineRule="exact"/>
              <w:ind w:left="296"/>
              <w:rPr>
                <w:rFonts w:ascii="Courier New"/>
                <w:sz w:val="21"/>
              </w:rPr>
            </w:pPr>
            <w:r>
              <w:rPr>
                <w:rFonts w:ascii="Courier New"/>
                <w:color w:val="151515"/>
                <w:spacing w:val="-5"/>
                <w:w w:val="90"/>
                <w:sz w:val="21"/>
              </w:rPr>
              <w:t>51</w:t>
            </w:r>
          </w:p>
        </w:tc>
      </w:tr>
      <w:tr>
        <w:trPr>
          <w:trHeight w:val="278" w:hRule="atLeast"/>
        </w:trPr>
        <w:tc>
          <w:tcPr>
            <w:tcW w:w="7648" w:type="dxa"/>
            <w:gridSpan w:val="2"/>
          </w:tcPr>
          <w:p>
            <w:pPr>
              <w:pStyle w:val="TableParagraph"/>
              <w:spacing w:before="6"/>
              <w:ind w:left="889"/>
              <w:rPr>
                <w:sz w:val="18"/>
              </w:rPr>
            </w:pPr>
            <w:r>
              <w:rPr>
                <w:color w:val="282828"/>
                <w:sz w:val="18"/>
              </w:rPr>
              <w:t>Other</w:t>
            </w:r>
            <w:r>
              <w:rPr>
                <w:color w:val="282828"/>
                <w:spacing w:val="-3"/>
                <w:sz w:val="18"/>
              </w:rPr>
              <w:t> </w:t>
            </w:r>
            <w:r>
              <w:rPr>
                <w:color w:val="282828"/>
                <w:sz w:val="18"/>
                <w:u w:val="thick" w:color="3B3B3B"/>
              </w:rPr>
              <w:t>0Qerating</w:t>
            </w:r>
            <w:r>
              <w:rPr>
                <w:color w:val="282828"/>
                <w:spacing w:val="-9"/>
                <w:sz w:val="18"/>
                <w:u w:val="thick" w:color="3B3B3B"/>
              </w:rPr>
              <w:t> </w:t>
            </w:r>
            <w:r>
              <w:rPr>
                <w:color w:val="3B3B3B"/>
                <w:spacing w:val="-2"/>
                <w:sz w:val="18"/>
                <w:u w:val="thick" w:color="3B3B3B"/>
              </w:rPr>
              <w:t>ExQenditure</w:t>
            </w:r>
          </w:p>
        </w:tc>
        <w:tc>
          <w:tcPr>
            <w:tcW w:w="1164" w:type="dxa"/>
          </w:tcPr>
          <w:p>
            <w:pPr>
              <w:pStyle w:val="TableParagraph"/>
              <w:spacing w:before="29" w:line="230" w:lineRule="exact"/>
              <w:ind w:left="215" w:right="78"/>
              <w:jc w:val="center"/>
              <w:rPr>
                <w:rFonts w:ascii="Courier New"/>
                <w:sz w:val="21"/>
              </w:rPr>
            </w:pPr>
            <w:r>
              <w:rPr>
                <w:rFonts w:ascii="Courier New"/>
                <w:color w:val="151515"/>
                <w:spacing w:val="-5"/>
                <w:w w:val="80"/>
                <w:sz w:val="21"/>
              </w:rPr>
              <w:t>5.7</w:t>
            </w:r>
          </w:p>
        </w:tc>
        <w:tc>
          <w:tcPr>
            <w:tcW w:w="713" w:type="dxa"/>
          </w:tcPr>
          <w:p>
            <w:pPr>
              <w:pStyle w:val="TableParagraph"/>
              <w:spacing w:before="29" w:line="230" w:lineRule="exact"/>
              <w:ind w:left="296"/>
              <w:rPr>
                <w:rFonts w:ascii="Courier New"/>
                <w:sz w:val="21"/>
              </w:rPr>
            </w:pPr>
            <w:r>
              <w:rPr>
                <w:rFonts w:ascii="Courier New"/>
                <w:color w:val="151515"/>
                <w:spacing w:val="-5"/>
                <w:sz w:val="21"/>
              </w:rPr>
              <w:t>52</w:t>
            </w:r>
          </w:p>
        </w:tc>
      </w:tr>
      <w:tr>
        <w:trPr>
          <w:trHeight w:val="262" w:hRule="atLeast"/>
        </w:trPr>
        <w:tc>
          <w:tcPr>
            <w:tcW w:w="7648" w:type="dxa"/>
            <w:gridSpan w:val="2"/>
          </w:tcPr>
          <w:p>
            <w:pPr>
              <w:pStyle w:val="TableParagraph"/>
              <w:spacing w:before="6"/>
              <w:ind w:left="878"/>
              <w:rPr>
                <w:sz w:val="18"/>
              </w:rPr>
            </w:pPr>
            <w:r>
              <w:rPr>
                <w:color w:val="3B3B3B"/>
                <w:sz w:val="18"/>
              </w:rPr>
              <w:t>Financing</w:t>
            </w:r>
            <w:r>
              <w:rPr>
                <w:color w:val="3B3B3B"/>
                <w:spacing w:val="1"/>
                <w:sz w:val="18"/>
              </w:rPr>
              <w:t> </w:t>
            </w:r>
            <w:r>
              <w:rPr>
                <w:color w:val="282828"/>
                <w:sz w:val="18"/>
              </w:rPr>
              <w:t>and</w:t>
            </w:r>
            <w:r>
              <w:rPr>
                <w:color w:val="282828"/>
                <w:spacing w:val="-7"/>
                <w:sz w:val="18"/>
              </w:rPr>
              <w:t> </w:t>
            </w:r>
            <w:r>
              <w:rPr>
                <w:color w:val="3B3B3B"/>
                <w:sz w:val="18"/>
              </w:rPr>
              <w:t>Investment</w:t>
            </w:r>
            <w:r>
              <w:rPr>
                <w:color w:val="3B3B3B"/>
                <w:spacing w:val="7"/>
                <w:sz w:val="18"/>
              </w:rPr>
              <w:t> </w:t>
            </w:r>
            <w:r>
              <w:rPr>
                <w:color w:val="282828"/>
                <w:sz w:val="18"/>
              </w:rPr>
              <w:t>Income</w:t>
            </w:r>
            <w:r>
              <w:rPr>
                <w:color w:val="282828"/>
                <w:spacing w:val="3"/>
                <w:sz w:val="18"/>
              </w:rPr>
              <w:t> </w:t>
            </w:r>
            <w:r>
              <w:rPr>
                <w:color w:val="282828"/>
                <w:sz w:val="18"/>
              </w:rPr>
              <w:t>and</w:t>
            </w:r>
            <w:r>
              <w:rPr>
                <w:color w:val="282828"/>
                <w:spacing w:val="-12"/>
                <w:sz w:val="18"/>
              </w:rPr>
              <w:t> </w:t>
            </w:r>
            <w:r>
              <w:rPr>
                <w:color w:val="282828"/>
                <w:spacing w:val="-2"/>
                <w:sz w:val="18"/>
              </w:rPr>
              <w:t>ExQenditure</w:t>
            </w:r>
          </w:p>
        </w:tc>
        <w:tc>
          <w:tcPr>
            <w:tcW w:w="1164" w:type="dxa"/>
          </w:tcPr>
          <w:p>
            <w:pPr>
              <w:pStyle w:val="TableParagraph"/>
              <w:spacing w:before="24" w:line="218" w:lineRule="exact"/>
              <w:ind w:left="215" w:right="84"/>
              <w:jc w:val="center"/>
              <w:rPr>
                <w:rFonts w:ascii="Courier New"/>
                <w:sz w:val="21"/>
              </w:rPr>
            </w:pPr>
            <w:r>
              <w:rPr>
                <w:rFonts w:ascii="Courier New"/>
                <w:color w:val="151515"/>
                <w:spacing w:val="-5"/>
                <w:w w:val="80"/>
                <w:sz w:val="21"/>
              </w:rPr>
              <w:t>5.8</w:t>
            </w:r>
          </w:p>
        </w:tc>
        <w:tc>
          <w:tcPr>
            <w:tcW w:w="713" w:type="dxa"/>
          </w:tcPr>
          <w:p>
            <w:pPr>
              <w:pStyle w:val="TableParagraph"/>
              <w:spacing w:before="24" w:line="218" w:lineRule="exact"/>
              <w:ind w:left="296"/>
              <w:rPr>
                <w:rFonts w:ascii="Courier New"/>
                <w:sz w:val="21"/>
              </w:rPr>
            </w:pPr>
            <w:r>
              <w:rPr>
                <w:rFonts w:ascii="Courier New"/>
                <w:color w:val="151515"/>
                <w:spacing w:val="-5"/>
                <w:sz w:val="21"/>
              </w:rPr>
              <w:t>52</w:t>
            </w:r>
          </w:p>
        </w:tc>
      </w:tr>
      <w:tr>
        <w:trPr>
          <w:trHeight w:val="290" w:hRule="atLeast"/>
        </w:trPr>
        <w:tc>
          <w:tcPr>
            <w:tcW w:w="7648" w:type="dxa"/>
            <w:gridSpan w:val="2"/>
          </w:tcPr>
          <w:p>
            <w:pPr>
              <w:pStyle w:val="TableParagraph"/>
              <w:spacing w:line="20" w:lineRule="exact"/>
              <w:ind w:left="820" w:right="-72"/>
              <w:rPr>
                <w:sz w:val="2"/>
              </w:rPr>
            </w:pPr>
            <w:r>
              <w:rPr>
                <w:sz w:val="2"/>
              </w:rPr>
              <ve:AlternateContent>
                <ve:Choice Requires="wps">
                  <w:drawing>
                    <wp:inline distT="0" distB="0" distL="0" distR="0">
                      <wp:extent cx="4335145" cy="3175"/>
                      <wp:effectExtent l="9525" t="0" r="0" b="6350"/>
                      <wp:docPr id="10" name="Group 10"/>
                      <wp:cNvGraphicFramePr>
                        <a:graphicFrameLocks/>
                      </wp:cNvGraphicFramePr>
                      <a:graphic>
                        <a:graphicData uri="http://schemas.microsoft.com/office/word/2010/wordprocessingGroup">
                          <wpg:wgp>
                            <wpg:cNvPr id="10" name="Group 10"/>
                            <wpg:cNvGrpSpPr/>
                            <wpg:grpSpPr>
                              <a:xfrm>
                                <a:off x="0" y="0"/>
                                <a:ext cx="4335145" cy="3175"/>
                                <a:chExt cx="4335145" cy="3175"/>
                              </a:xfrm>
                            </wpg:grpSpPr>
                            <wps:wsp>
                              <wps:cNvPr id="11" name="Graphic 11"/>
                              <wps:cNvSpPr/>
                              <wps:spPr>
                                <a:xfrm>
                                  <a:off x="0" y="1525"/>
                                  <a:ext cx="4335145" cy="1270"/>
                                </a:xfrm>
                                <a:custGeom>
                                  <a:avLst/>
                                  <a:gdLst/>
                                  <a:ahLst/>
                                  <a:cxnLst/>
                                  <a:rect l="l" t="t" r="r" b="b"/>
                                  <a:pathLst>
                                    <a:path w="4335145" h="0">
                                      <a:moveTo>
                                        <a:pt x="0" y="0"/>
                                      </a:moveTo>
                                      <a:lnTo>
                                        <a:pt x="4335141"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 style="width:341.35pt;height:.25pt;mso-position-horizontal-relative:char;mso-position-vertical-relative:line" coordsize="6827,5" coordorigin="0,0">
                      <v:line style="position:absolute" stroked="true" strokecolor="#000000" strokeweight=".240274pt" from="0,2" to="6827,2">
                        <v:stroke dashstyle="solid"/>
                      </v:line>
                    </v:group>
                  </w:pict>
                </ve:Fallback>
              </ve:AlternateContent>
            </w:r>
            <w:r>
              <w:rPr>
                <w:sz w:val="2"/>
              </w:rPr>
            </w:r>
          </w:p>
          <w:p>
            <w:pPr>
              <w:pStyle w:val="TableParagraph"/>
              <w:ind w:left="874"/>
              <w:rPr>
                <w:sz w:val="18"/>
              </w:rPr>
            </w:pPr>
            <w:r>
              <w:rPr>
                <w:color w:val="3B3B3B"/>
                <w:sz w:val="18"/>
              </w:rPr>
              <w:t>Taxation</w:t>
            </w:r>
            <w:r>
              <w:rPr>
                <w:color w:val="3B3B3B"/>
                <w:spacing w:val="-11"/>
                <w:sz w:val="18"/>
              </w:rPr>
              <w:t> </w:t>
            </w:r>
            <w:r>
              <w:rPr>
                <w:color w:val="282828"/>
                <w:sz w:val="18"/>
              </w:rPr>
              <w:t>and</w:t>
            </w:r>
            <w:r>
              <w:rPr>
                <w:color w:val="282828"/>
                <w:spacing w:val="-12"/>
                <w:sz w:val="18"/>
              </w:rPr>
              <w:t> </w:t>
            </w:r>
            <w:r>
              <w:rPr>
                <w:color w:val="282828"/>
                <w:sz w:val="18"/>
                <w:u w:val="thick" w:color="282828"/>
              </w:rPr>
              <w:t>non</w:t>
            </w:r>
            <w:r>
              <w:rPr>
                <w:color w:val="5D5D5D"/>
                <w:sz w:val="18"/>
                <w:u w:val="thick" w:color="282828"/>
              </w:rPr>
              <w:t>-</w:t>
            </w:r>
            <w:r>
              <w:rPr>
                <w:color w:val="282828"/>
                <w:sz w:val="18"/>
                <w:u w:val="thick" w:color="282828"/>
              </w:rPr>
              <w:t>sQecific</w:t>
            </w:r>
            <w:r>
              <w:rPr>
                <w:color w:val="282828"/>
                <w:spacing w:val="-13"/>
                <w:sz w:val="18"/>
                <w:u w:val="thick" w:color="282828"/>
              </w:rPr>
              <w:t> </w:t>
            </w:r>
            <w:r>
              <w:rPr>
                <w:color w:val="282828"/>
                <w:sz w:val="18"/>
                <w:u w:val="thick" w:color="282828"/>
              </w:rPr>
              <w:t>grant</w:t>
            </w:r>
            <w:r>
              <w:rPr>
                <w:color w:val="282828"/>
                <w:spacing w:val="-12"/>
                <w:sz w:val="18"/>
                <w:u w:val="none"/>
              </w:rPr>
              <w:t> </w:t>
            </w:r>
            <w:r>
              <w:rPr>
                <w:color w:val="3B3B3B"/>
                <w:spacing w:val="-2"/>
                <w:sz w:val="18"/>
                <w:u w:val="none"/>
              </w:rPr>
              <w:t>income</w:t>
            </w:r>
          </w:p>
        </w:tc>
        <w:tc>
          <w:tcPr>
            <w:tcW w:w="1164" w:type="dxa"/>
          </w:tcPr>
          <w:p>
            <w:pPr>
              <w:pStyle w:val="TableParagraph"/>
              <w:spacing w:before="40" w:line="230" w:lineRule="exact"/>
              <w:ind w:left="215" w:right="80"/>
              <w:jc w:val="center"/>
              <w:rPr>
                <w:rFonts w:ascii="Courier New"/>
                <w:sz w:val="21"/>
              </w:rPr>
            </w:pPr>
            <w:r>
              <w:rPr>
                <w:rFonts w:ascii="Courier New"/>
                <w:color w:val="151515"/>
                <w:spacing w:val="-5"/>
                <w:w w:val="80"/>
                <w:sz w:val="21"/>
              </w:rPr>
              <w:t>5.9</w:t>
            </w:r>
          </w:p>
        </w:tc>
        <w:tc>
          <w:tcPr>
            <w:tcW w:w="713" w:type="dxa"/>
          </w:tcPr>
          <w:p>
            <w:pPr>
              <w:pStyle w:val="TableParagraph"/>
              <w:spacing w:before="40" w:line="230" w:lineRule="exact"/>
              <w:ind w:left="291"/>
              <w:rPr>
                <w:rFonts w:ascii="Courier New"/>
                <w:sz w:val="21"/>
              </w:rPr>
            </w:pPr>
            <w:r>
              <w:rPr>
                <w:rFonts w:ascii="Courier New"/>
                <w:color w:val="151515"/>
                <w:spacing w:val="-5"/>
                <w:sz w:val="21"/>
              </w:rPr>
              <w:t>53</w:t>
            </w:r>
          </w:p>
        </w:tc>
      </w:tr>
      <w:tr>
        <w:trPr>
          <w:trHeight w:val="278" w:hRule="atLeast"/>
        </w:trPr>
        <w:tc>
          <w:tcPr>
            <w:tcW w:w="7648" w:type="dxa"/>
            <w:gridSpan w:val="2"/>
          </w:tcPr>
          <w:p>
            <w:pPr>
              <w:pStyle w:val="TableParagraph"/>
              <w:spacing w:before="6"/>
              <w:ind w:left="869"/>
              <w:rPr>
                <w:sz w:val="18"/>
              </w:rPr>
            </w:pPr>
            <w:r>
              <w:rPr>
                <w:color w:val="282828"/>
                <w:sz w:val="18"/>
              </w:rPr>
              <w:t>Members</w:t>
            </w:r>
            <w:r>
              <w:rPr>
                <w:color w:val="282828"/>
                <w:spacing w:val="11"/>
                <w:sz w:val="18"/>
              </w:rPr>
              <w:t> </w:t>
            </w:r>
            <w:r>
              <w:rPr>
                <w:color w:val="282828"/>
                <w:sz w:val="18"/>
              </w:rPr>
              <w:t>Allowances</w:t>
            </w:r>
            <w:r>
              <w:rPr>
                <w:color w:val="282828"/>
                <w:spacing w:val="11"/>
                <w:sz w:val="18"/>
              </w:rPr>
              <w:t> </w:t>
            </w:r>
            <w:r>
              <w:rPr>
                <w:color w:val="282828"/>
                <w:sz w:val="18"/>
              </w:rPr>
              <w:t>and</w:t>
            </w:r>
            <w:r>
              <w:rPr>
                <w:color w:val="282828"/>
                <w:spacing w:val="-10"/>
                <w:sz w:val="18"/>
              </w:rPr>
              <w:t> </w:t>
            </w:r>
            <w:r>
              <w:rPr>
                <w:color w:val="282828"/>
                <w:spacing w:val="-2"/>
                <w:sz w:val="18"/>
                <w:u w:val="thick" w:color="282828"/>
              </w:rPr>
              <w:t>ExQenses</w:t>
            </w:r>
          </w:p>
        </w:tc>
        <w:tc>
          <w:tcPr>
            <w:tcW w:w="1164" w:type="dxa"/>
          </w:tcPr>
          <w:p>
            <w:pPr>
              <w:pStyle w:val="TableParagraph"/>
              <w:spacing w:before="29" w:line="230" w:lineRule="exact"/>
              <w:ind w:left="215" w:right="19"/>
              <w:jc w:val="center"/>
              <w:rPr>
                <w:rFonts w:ascii="Courier New"/>
                <w:sz w:val="21"/>
              </w:rPr>
            </w:pPr>
            <w:r>
              <w:rPr>
                <w:rFonts w:ascii="Courier New"/>
                <w:color w:val="151515"/>
                <w:spacing w:val="-4"/>
                <w:w w:val="95"/>
                <w:sz w:val="21"/>
              </w:rPr>
              <w:t>5</w:t>
            </w:r>
            <w:r>
              <w:rPr>
                <w:rFonts w:ascii="Courier New"/>
                <w:color w:val="797979"/>
                <w:spacing w:val="-4"/>
                <w:w w:val="95"/>
                <w:sz w:val="21"/>
              </w:rPr>
              <w:t>.</w:t>
            </w:r>
            <w:r>
              <w:rPr>
                <w:rFonts w:ascii="Courier New"/>
                <w:color w:val="151515"/>
                <w:spacing w:val="-4"/>
                <w:w w:val="95"/>
                <w:sz w:val="21"/>
              </w:rPr>
              <w:t>10</w:t>
            </w:r>
          </w:p>
        </w:tc>
        <w:tc>
          <w:tcPr>
            <w:tcW w:w="713" w:type="dxa"/>
          </w:tcPr>
          <w:p>
            <w:pPr>
              <w:pStyle w:val="TableParagraph"/>
              <w:spacing w:before="30"/>
              <w:ind w:left="308"/>
              <w:rPr>
                <w:b/>
                <w:sz w:val="18"/>
              </w:rPr>
            </w:pPr>
            <w:r>
              <w:rPr>
                <w:b/>
                <w:color w:val="151515"/>
                <w:spacing w:val="-5"/>
                <w:sz w:val="18"/>
              </w:rPr>
              <w:t>54</w:t>
            </w:r>
          </w:p>
        </w:tc>
      </w:tr>
      <w:tr>
        <w:trPr>
          <w:trHeight w:val="273" w:hRule="atLeast"/>
        </w:trPr>
        <w:tc>
          <w:tcPr>
            <w:tcW w:w="7648" w:type="dxa"/>
            <w:gridSpan w:val="2"/>
          </w:tcPr>
          <w:p>
            <w:pPr>
              <w:pStyle w:val="TableParagraph"/>
              <w:spacing w:before="6"/>
              <w:ind w:left="868"/>
              <w:rPr>
                <w:sz w:val="18"/>
              </w:rPr>
            </w:pPr>
            <w:r>
              <w:rPr>
                <w:color w:val="282828"/>
                <w:spacing w:val="-4"/>
                <w:sz w:val="18"/>
                <w:u w:val="thick" w:color="282828"/>
              </w:rPr>
              <w:t>EmQloyees</w:t>
            </w:r>
            <w:r>
              <w:rPr>
                <w:color w:val="282828"/>
                <w:spacing w:val="5"/>
                <w:sz w:val="18"/>
                <w:u w:val="none"/>
              </w:rPr>
              <w:t> </w:t>
            </w:r>
            <w:r>
              <w:rPr>
                <w:color w:val="282828"/>
                <w:spacing w:val="-2"/>
                <w:sz w:val="18"/>
                <w:u w:val="none"/>
              </w:rPr>
              <w:t>Remuneration</w:t>
            </w:r>
          </w:p>
        </w:tc>
        <w:tc>
          <w:tcPr>
            <w:tcW w:w="1164" w:type="dxa"/>
          </w:tcPr>
          <w:p>
            <w:pPr>
              <w:pStyle w:val="TableParagraph"/>
              <w:spacing w:before="24" w:line="230" w:lineRule="exact"/>
              <w:ind w:left="215" w:right="115"/>
              <w:jc w:val="center"/>
              <w:rPr>
                <w:rFonts w:ascii="Courier New"/>
                <w:sz w:val="21"/>
              </w:rPr>
            </w:pPr>
            <w:r>
              <w:rPr>
                <w:rFonts w:ascii="Courier New"/>
                <w:color w:val="151515"/>
                <w:spacing w:val="-4"/>
                <w:w w:val="80"/>
                <w:sz w:val="21"/>
              </w:rPr>
              <w:t>5.11</w:t>
            </w:r>
          </w:p>
        </w:tc>
        <w:tc>
          <w:tcPr>
            <w:tcW w:w="713" w:type="dxa"/>
          </w:tcPr>
          <w:p>
            <w:pPr>
              <w:pStyle w:val="TableParagraph"/>
              <w:spacing w:before="24" w:line="230" w:lineRule="exact"/>
              <w:ind w:left="291"/>
              <w:rPr>
                <w:rFonts w:ascii="Courier New"/>
                <w:sz w:val="21"/>
              </w:rPr>
            </w:pPr>
            <w:r>
              <w:rPr>
                <w:rFonts w:ascii="Courier New"/>
                <w:color w:val="151515"/>
                <w:spacing w:val="-5"/>
                <w:sz w:val="21"/>
              </w:rPr>
              <w:t>55</w:t>
            </w:r>
          </w:p>
        </w:tc>
      </w:tr>
      <w:tr>
        <w:trPr>
          <w:trHeight w:val="278" w:hRule="atLeast"/>
        </w:trPr>
        <w:tc>
          <w:tcPr>
            <w:tcW w:w="7648" w:type="dxa"/>
            <w:gridSpan w:val="2"/>
          </w:tcPr>
          <w:p>
            <w:pPr>
              <w:pStyle w:val="TableParagraph"/>
              <w:spacing w:before="6"/>
              <w:ind w:left="869"/>
              <w:rPr>
                <w:sz w:val="18"/>
              </w:rPr>
            </w:pPr>
            <w:r>
              <w:rPr>
                <w:color w:val="282828"/>
                <w:sz w:val="18"/>
                <w:u w:val="thick" w:color="282828"/>
              </w:rPr>
              <w:t>Termination</w:t>
            </w:r>
            <w:r>
              <w:rPr>
                <w:color w:val="282828"/>
                <w:spacing w:val="-2"/>
                <w:sz w:val="18"/>
                <w:u w:val="none"/>
              </w:rPr>
              <w:t> Benefits</w:t>
            </w:r>
          </w:p>
        </w:tc>
        <w:tc>
          <w:tcPr>
            <w:tcW w:w="1164" w:type="dxa"/>
          </w:tcPr>
          <w:p>
            <w:pPr>
              <w:pStyle w:val="TableParagraph"/>
              <w:spacing w:before="29" w:line="230" w:lineRule="exact"/>
              <w:ind w:left="215" w:right="95"/>
              <w:jc w:val="center"/>
              <w:rPr>
                <w:rFonts w:ascii="Courier New"/>
                <w:sz w:val="21"/>
              </w:rPr>
            </w:pPr>
            <w:r>
              <w:rPr>
                <w:rFonts w:ascii="Courier New"/>
                <w:color w:val="151515"/>
                <w:spacing w:val="-4"/>
                <w:w w:val="80"/>
                <w:sz w:val="21"/>
              </w:rPr>
              <w:t>5.12</w:t>
            </w:r>
          </w:p>
        </w:tc>
        <w:tc>
          <w:tcPr>
            <w:tcW w:w="713" w:type="dxa"/>
          </w:tcPr>
          <w:p>
            <w:pPr>
              <w:pStyle w:val="TableParagraph"/>
              <w:spacing w:before="24" w:line="235" w:lineRule="exact"/>
              <w:ind w:left="291"/>
              <w:rPr>
                <w:rFonts w:ascii="Courier New"/>
                <w:sz w:val="21"/>
              </w:rPr>
            </w:pPr>
            <w:r>
              <w:rPr>
                <w:rFonts w:ascii="Courier New"/>
                <w:color w:val="151515"/>
                <w:spacing w:val="-5"/>
                <w:sz w:val="21"/>
              </w:rPr>
              <w:t>56</w:t>
            </w:r>
          </w:p>
        </w:tc>
      </w:tr>
      <w:tr>
        <w:trPr>
          <w:trHeight w:val="276" w:hRule="atLeast"/>
        </w:trPr>
        <w:tc>
          <w:tcPr>
            <w:tcW w:w="7648" w:type="dxa"/>
            <w:gridSpan w:val="2"/>
          </w:tcPr>
          <w:p>
            <w:pPr>
              <w:pStyle w:val="TableParagraph"/>
              <w:spacing w:before="6"/>
              <w:ind w:left="859"/>
              <w:rPr>
                <w:sz w:val="18"/>
              </w:rPr>
            </w:pPr>
            <w:r>
              <w:rPr>
                <w:color w:val="151515"/>
                <w:sz w:val="18"/>
              </w:rPr>
              <w:t>Audit</w:t>
            </w:r>
            <w:r>
              <w:rPr>
                <w:color w:val="151515"/>
                <w:spacing w:val="6"/>
                <w:sz w:val="18"/>
              </w:rPr>
              <w:t> </w:t>
            </w:r>
            <w:r>
              <w:rPr>
                <w:color w:val="151515"/>
                <w:spacing w:val="-4"/>
                <w:sz w:val="18"/>
              </w:rPr>
              <w:t>Fees</w:t>
            </w:r>
          </w:p>
        </w:tc>
        <w:tc>
          <w:tcPr>
            <w:tcW w:w="1164" w:type="dxa"/>
          </w:tcPr>
          <w:p>
            <w:pPr>
              <w:pStyle w:val="TableParagraph"/>
              <w:spacing w:before="29" w:line="227" w:lineRule="exact"/>
              <w:ind w:left="215" w:right="71"/>
              <w:jc w:val="center"/>
              <w:rPr>
                <w:rFonts w:ascii="Courier New"/>
                <w:sz w:val="21"/>
              </w:rPr>
            </w:pPr>
            <w:r>
              <w:rPr>
                <w:rFonts w:ascii="Courier New"/>
                <w:color w:val="151515"/>
                <w:spacing w:val="-4"/>
                <w:w w:val="90"/>
                <w:sz w:val="21"/>
              </w:rPr>
              <w:t>5</w:t>
            </w:r>
            <w:r>
              <w:rPr>
                <w:rFonts w:ascii="Courier New"/>
                <w:color w:val="5D5D5D"/>
                <w:spacing w:val="-4"/>
                <w:w w:val="90"/>
                <w:sz w:val="21"/>
              </w:rPr>
              <w:t>.</w:t>
            </w:r>
            <w:r>
              <w:rPr>
                <w:rFonts w:ascii="Courier New"/>
                <w:color w:val="282828"/>
                <w:spacing w:val="-4"/>
                <w:w w:val="90"/>
                <w:sz w:val="21"/>
              </w:rPr>
              <w:t>13</w:t>
            </w:r>
          </w:p>
        </w:tc>
        <w:tc>
          <w:tcPr>
            <w:tcW w:w="713" w:type="dxa"/>
          </w:tcPr>
          <w:p>
            <w:pPr>
              <w:pStyle w:val="TableParagraph"/>
              <w:spacing w:before="24" w:line="232" w:lineRule="exact"/>
              <w:ind w:left="286"/>
              <w:rPr>
                <w:rFonts w:ascii="Courier New"/>
                <w:sz w:val="21"/>
              </w:rPr>
            </w:pPr>
            <w:r>
              <w:rPr>
                <w:rFonts w:ascii="Courier New"/>
                <w:color w:val="151515"/>
                <w:spacing w:val="-5"/>
                <w:sz w:val="21"/>
              </w:rPr>
              <w:t>56</w:t>
            </w:r>
          </w:p>
        </w:tc>
      </w:tr>
      <w:tr>
        <w:trPr>
          <w:trHeight w:val="259" w:hRule="atLeast"/>
        </w:trPr>
        <w:tc>
          <w:tcPr>
            <w:tcW w:w="7648" w:type="dxa"/>
            <w:gridSpan w:val="2"/>
          </w:tcPr>
          <w:p>
            <w:pPr>
              <w:pStyle w:val="TableParagraph"/>
              <w:spacing w:before="3"/>
              <w:ind w:left="869"/>
              <w:rPr>
                <w:sz w:val="18"/>
              </w:rPr>
            </w:pPr>
            <w:r>
              <w:rPr>
                <w:color w:val="282828"/>
                <w:sz w:val="18"/>
              </w:rPr>
              <w:t>Adjustment</w:t>
            </w:r>
            <w:r>
              <w:rPr>
                <w:color w:val="282828"/>
                <w:spacing w:val="7"/>
                <w:sz w:val="18"/>
              </w:rPr>
              <w:t> </w:t>
            </w:r>
            <w:r>
              <w:rPr>
                <w:color w:val="282828"/>
                <w:sz w:val="18"/>
              </w:rPr>
              <w:t>between</w:t>
            </w:r>
            <w:r>
              <w:rPr>
                <w:color w:val="282828"/>
                <w:spacing w:val="2"/>
                <w:sz w:val="18"/>
              </w:rPr>
              <w:t> </w:t>
            </w:r>
            <w:r>
              <w:rPr>
                <w:color w:val="282828"/>
                <w:sz w:val="18"/>
              </w:rPr>
              <w:t>accounting</w:t>
            </w:r>
            <w:r>
              <w:rPr>
                <w:color w:val="282828"/>
                <w:spacing w:val="1"/>
                <w:sz w:val="18"/>
              </w:rPr>
              <w:t> </w:t>
            </w:r>
            <w:r>
              <w:rPr>
                <w:color w:val="282828"/>
                <w:sz w:val="18"/>
              </w:rPr>
              <w:t>basis</w:t>
            </w:r>
            <w:r>
              <w:rPr>
                <w:color w:val="282828"/>
                <w:spacing w:val="-3"/>
                <w:sz w:val="18"/>
              </w:rPr>
              <w:t> </w:t>
            </w:r>
            <w:r>
              <w:rPr>
                <w:color w:val="282828"/>
                <w:sz w:val="18"/>
              </w:rPr>
              <w:t>and</w:t>
            </w:r>
            <w:r>
              <w:rPr>
                <w:color w:val="282828"/>
                <w:spacing w:val="-4"/>
                <w:sz w:val="18"/>
              </w:rPr>
              <w:t> </w:t>
            </w:r>
            <w:r>
              <w:rPr>
                <w:color w:val="282828"/>
                <w:sz w:val="18"/>
              </w:rPr>
              <w:t>funding</w:t>
            </w:r>
            <w:r>
              <w:rPr>
                <w:color w:val="282828"/>
                <w:spacing w:val="-6"/>
                <w:sz w:val="18"/>
              </w:rPr>
              <w:t> </w:t>
            </w:r>
            <w:r>
              <w:rPr>
                <w:color w:val="282828"/>
                <w:sz w:val="18"/>
              </w:rPr>
              <w:t>basis</w:t>
            </w:r>
            <w:r>
              <w:rPr>
                <w:color w:val="282828"/>
                <w:spacing w:val="-3"/>
                <w:sz w:val="18"/>
              </w:rPr>
              <w:t> </w:t>
            </w:r>
            <w:r>
              <w:rPr>
                <w:color w:val="282828"/>
                <w:sz w:val="18"/>
              </w:rPr>
              <w:t>under</w:t>
            </w:r>
            <w:r>
              <w:rPr>
                <w:color w:val="282828"/>
                <w:spacing w:val="-5"/>
                <w:sz w:val="18"/>
              </w:rPr>
              <w:t> </w:t>
            </w:r>
            <w:r>
              <w:rPr>
                <w:color w:val="282828"/>
                <w:spacing w:val="-2"/>
                <w:sz w:val="18"/>
              </w:rPr>
              <w:t>regulations</w:t>
            </w:r>
          </w:p>
        </w:tc>
        <w:tc>
          <w:tcPr>
            <w:tcW w:w="1164" w:type="dxa"/>
          </w:tcPr>
          <w:p>
            <w:pPr>
              <w:pStyle w:val="TableParagraph"/>
              <w:spacing w:before="32"/>
              <w:ind w:left="215" w:right="86"/>
              <w:jc w:val="center"/>
              <w:rPr>
                <w:b/>
                <w:sz w:val="18"/>
              </w:rPr>
            </w:pPr>
            <w:r>
              <w:rPr>
                <w:b/>
                <w:color w:val="151515"/>
                <w:spacing w:val="-4"/>
                <w:sz w:val="18"/>
              </w:rPr>
              <w:t>5.14</w:t>
            </w:r>
          </w:p>
        </w:tc>
        <w:tc>
          <w:tcPr>
            <w:tcW w:w="713" w:type="dxa"/>
          </w:tcPr>
          <w:p>
            <w:pPr>
              <w:pStyle w:val="TableParagraph"/>
              <w:spacing w:before="21" w:line="218" w:lineRule="exact"/>
              <w:ind w:left="286"/>
              <w:rPr>
                <w:rFonts w:ascii="Courier New"/>
                <w:sz w:val="21"/>
              </w:rPr>
            </w:pPr>
            <w:r>
              <w:rPr>
                <w:rFonts w:ascii="Courier New"/>
                <w:color w:val="151515"/>
                <w:spacing w:val="-5"/>
                <w:sz w:val="21"/>
              </w:rPr>
              <w:t>57</w:t>
            </w:r>
          </w:p>
        </w:tc>
      </w:tr>
      <w:tr>
        <w:trPr>
          <w:trHeight w:val="290" w:hRule="atLeast"/>
        </w:trPr>
        <w:tc>
          <w:tcPr>
            <w:tcW w:w="7648" w:type="dxa"/>
            <w:gridSpan w:val="2"/>
          </w:tcPr>
          <w:p>
            <w:pPr>
              <w:pStyle w:val="TableParagraph"/>
              <w:spacing w:line="20" w:lineRule="exact"/>
              <w:ind w:left="820" w:right="-72"/>
              <w:rPr>
                <w:sz w:val="2"/>
              </w:rPr>
            </w:pPr>
            <w:r>
              <w:rPr>
                <w:sz w:val="2"/>
              </w:rPr>
              <ve:AlternateContent>
                <ve:Choice Requires="wps">
                  <w:drawing>
                    <wp:inline distT="0" distB="0" distL="0" distR="0">
                      <wp:extent cx="4335145" cy="3175"/>
                      <wp:effectExtent l="9525" t="0" r="0" b="6350"/>
                      <wp:docPr id="12" name="Group 12"/>
                      <wp:cNvGraphicFramePr>
                        <a:graphicFrameLocks/>
                      </wp:cNvGraphicFramePr>
                      <a:graphic>
                        <a:graphicData uri="http://schemas.microsoft.com/office/word/2010/wordprocessingGroup">
                          <wpg:wgp>
                            <wpg:cNvPr id="12" name="Group 12"/>
                            <wpg:cNvGrpSpPr/>
                            <wpg:grpSpPr>
                              <a:xfrm>
                                <a:off x="0" y="0"/>
                                <a:ext cx="4335145" cy="3175"/>
                                <a:chExt cx="4335145" cy="3175"/>
                              </a:xfrm>
                            </wpg:grpSpPr>
                            <wps:wsp>
                              <wps:cNvPr id="13" name="Graphic 13"/>
                              <wps:cNvSpPr/>
                              <wps:spPr>
                                <a:xfrm>
                                  <a:off x="0" y="1525"/>
                                  <a:ext cx="4335145" cy="1270"/>
                                </a:xfrm>
                                <a:custGeom>
                                  <a:avLst/>
                                  <a:gdLst/>
                                  <a:ahLst/>
                                  <a:cxnLst/>
                                  <a:rect l="l" t="t" r="r" b="b"/>
                                  <a:pathLst>
                                    <a:path w="4335145" h="0">
                                      <a:moveTo>
                                        <a:pt x="0" y="0"/>
                                      </a:moveTo>
                                      <a:lnTo>
                                        <a:pt x="4335141"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5" style="width:341.35pt;height:.25pt;mso-position-horizontal-relative:char;mso-position-vertical-relative:line" coordsize="6827,5" coordorigin="0,0">
                      <v:line style="position:absolute" stroked="true" strokecolor="#000000" strokeweight=".240274pt" from="0,2" to="6827,2">
                        <v:stroke dashstyle="solid"/>
                      </v:line>
                    </v:group>
                  </w:pict>
                </ve:Fallback>
              </ve:AlternateContent>
            </w:r>
            <w:r>
              <w:rPr>
                <w:sz w:val="2"/>
              </w:rPr>
            </w:r>
          </w:p>
          <w:p>
            <w:pPr>
              <w:pStyle w:val="TableParagraph"/>
              <w:spacing w:before="3"/>
              <w:ind w:left="859"/>
              <w:rPr>
                <w:sz w:val="18"/>
              </w:rPr>
            </w:pPr>
            <w:r>
              <w:rPr>
                <w:color w:val="282828"/>
                <w:spacing w:val="-2"/>
                <w:sz w:val="18"/>
                <w:u w:val="thick" w:color="282828"/>
              </w:rPr>
              <w:t>ExQenditure</w:t>
            </w:r>
            <w:r>
              <w:rPr>
                <w:color w:val="282828"/>
                <w:spacing w:val="6"/>
                <w:sz w:val="18"/>
                <w:u w:val="none"/>
              </w:rPr>
              <w:t> </w:t>
            </w:r>
            <w:r>
              <w:rPr>
                <w:color w:val="282828"/>
                <w:spacing w:val="-2"/>
                <w:sz w:val="18"/>
                <w:u w:val="none"/>
              </w:rPr>
              <w:t>and</w:t>
            </w:r>
            <w:r>
              <w:rPr>
                <w:color w:val="282828"/>
                <w:spacing w:val="-8"/>
                <w:sz w:val="18"/>
                <w:u w:val="none"/>
              </w:rPr>
              <w:t> </w:t>
            </w:r>
            <w:r>
              <w:rPr>
                <w:color w:val="282828"/>
                <w:spacing w:val="-2"/>
                <w:sz w:val="18"/>
                <w:u w:val="thick" w:color="282828"/>
              </w:rPr>
              <w:t>Funding</w:t>
            </w:r>
            <w:r>
              <w:rPr>
                <w:color w:val="282828"/>
                <w:spacing w:val="2"/>
                <w:sz w:val="18"/>
                <w:u w:val="thick" w:color="282828"/>
              </w:rPr>
              <w:t> </w:t>
            </w:r>
            <w:r>
              <w:rPr>
                <w:color w:val="282828"/>
                <w:spacing w:val="-2"/>
                <w:sz w:val="18"/>
                <w:u w:val="thick" w:color="282828"/>
              </w:rPr>
              <w:t>Analysis</w:t>
            </w:r>
          </w:p>
        </w:tc>
        <w:tc>
          <w:tcPr>
            <w:tcW w:w="1164" w:type="dxa"/>
          </w:tcPr>
          <w:p>
            <w:pPr>
              <w:pStyle w:val="TableParagraph"/>
              <w:spacing w:before="40" w:line="230" w:lineRule="exact"/>
              <w:ind w:left="215" w:right="100"/>
              <w:jc w:val="center"/>
              <w:rPr>
                <w:rFonts w:ascii="Courier New"/>
                <w:sz w:val="21"/>
              </w:rPr>
            </w:pPr>
            <w:r>
              <w:rPr>
                <w:rFonts w:ascii="Courier New"/>
                <w:color w:val="151515"/>
                <w:spacing w:val="-4"/>
                <w:w w:val="85"/>
                <w:sz w:val="21"/>
              </w:rPr>
              <w:t>5.15</w:t>
            </w:r>
          </w:p>
        </w:tc>
        <w:tc>
          <w:tcPr>
            <w:tcW w:w="713" w:type="dxa"/>
          </w:tcPr>
          <w:p>
            <w:pPr>
              <w:pStyle w:val="TableParagraph"/>
              <w:spacing w:before="40" w:line="230" w:lineRule="exact"/>
              <w:ind w:left="278"/>
              <w:rPr>
                <w:rFonts w:ascii="Courier New"/>
                <w:sz w:val="21"/>
              </w:rPr>
            </w:pPr>
            <w:r>
              <w:rPr>
                <w:rFonts w:ascii="Courier New"/>
                <w:color w:val="151515"/>
                <w:spacing w:val="-5"/>
                <w:sz w:val="21"/>
              </w:rPr>
              <w:t>60</w:t>
            </w:r>
          </w:p>
        </w:tc>
      </w:tr>
      <w:tr>
        <w:trPr>
          <w:trHeight w:val="266" w:hRule="atLeast"/>
        </w:trPr>
        <w:tc>
          <w:tcPr>
            <w:tcW w:w="7648" w:type="dxa"/>
            <w:gridSpan w:val="2"/>
          </w:tcPr>
          <w:p>
            <w:pPr>
              <w:pStyle w:val="TableParagraph"/>
              <w:spacing w:before="6"/>
              <w:ind w:left="859"/>
              <w:rPr>
                <w:sz w:val="18"/>
              </w:rPr>
            </w:pPr>
            <w:r>
              <w:rPr>
                <w:color w:val="282828"/>
                <w:sz w:val="18"/>
              </w:rPr>
              <w:t>Note to the</w:t>
            </w:r>
            <w:r>
              <w:rPr>
                <w:color w:val="282828"/>
                <w:spacing w:val="-8"/>
                <w:sz w:val="18"/>
              </w:rPr>
              <w:t> </w:t>
            </w:r>
            <w:r>
              <w:rPr>
                <w:color w:val="282828"/>
                <w:sz w:val="18"/>
              </w:rPr>
              <w:t>Expenditure</w:t>
            </w:r>
            <w:r>
              <w:rPr>
                <w:color w:val="282828"/>
                <w:spacing w:val="6"/>
                <w:sz w:val="18"/>
              </w:rPr>
              <w:t> </w:t>
            </w:r>
            <w:r>
              <w:rPr>
                <w:color w:val="282828"/>
                <w:sz w:val="18"/>
              </w:rPr>
              <w:t>and</w:t>
            </w:r>
            <w:r>
              <w:rPr>
                <w:color w:val="282828"/>
                <w:spacing w:val="-9"/>
                <w:sz w:val="18"/>
              </w:rPr>
              <w:t> </w:t>
            </w:r>
            <w:r>
              <w:rPr>
                <w:color w:val="282828"/>
                <w:sz w:val="18"/>
              </w:rPr>
              <w:t>Funding</w:t>
            </w:r>
            <w:r>
              <w:rPr>
                <w:color w:val="282828"/>
                <w:spacing w:val="6"/>
                <w:sz w:val="18"/>
              </w:rPr>
              <w:t> </w:t>
            </w:r>
            <w:r>
              <w:rPr>
                <w:color w:val="282828"/>
                <w:spacing w:val="-2"/>
                <w:sz w:val="18"/>
              </w:rPr>
              <w:t>Analysis</w:t>
            </w:r>
          </w:p>
        </w:tc>
        <w:tc>
          <w:tcPr>
            <w:tcW w:w="1164" w:type="dxa"/>
          </w:tcPr>
          <w:p>
            <w:pPr>
              <w:pStyle w:val="TableParagraph"/>
              <w:spacing w:before="29" w:line="218" w:lineRule="exact"/>
              <w:ind w:left="215" w:right="137"/>
              <w:jc w:val="center"/>
              <w:rPr>
                <w:rFonts w:ascii="Courier New"/>
                <w:sz w:val="21"/>
              </w:rPr>
            </w:pPr>
            <w:r>
              <w:rPr>
                <w:rFonts w:ascii="Courier New"/>
                <w:color w:val="151515"/>
                <w:spacing w:val="-2"/>
                <w:w w:val="75"/>
                <w:sz w:val="21"/>
              </w:rPr>
              <w:t>5.15.1</w:t>
            </w:r>
          </w:p>
        </w:tc>
        <w:tc>
          <w:tcPr>
            <w:tcW w:w="713" w:type="dxa"/>
          </w:tcPr>
          <w:p>
            <w:pPr>
              <w:pStyle w:val="TableParagraph"/>
              <w:spacing w:before="29" w:line="218" w:lineRule="exact"/>
              <w:ind w:left="273"/>
              <w:rPr>
                <w:rFonts w:ascii="Courier New"/>
                <w:sz w:val="21"/>
              </w:rPr>
            </w:pPr>
            <w:r>
              <w:rPr>
                <w:rFonts w:ascii="Courier New"/>
                <w:color w:val="151515"/>
                <w:spacing w:val="-5"/>
                <w:sz w:val="21"/>
              </w:rPr>
              <w:t>63</w:t>
            </w:r>
          </w:p>
        </w:tc>
      </w:tr>
      <w:tr>
        <w:trPr>
          <w:trHeight w:val="288" w:hRule="atLeast"/>
        </w:trPr>
        <w:tc>
          <w:tcPr>
            <w:tcW w:w="7648" w:type="dxa"/>
            <w:gridSpan w:val="2"/>
          </w:tcPr>
          <w:p>
            <w:pPr>
              <w:pStyle w:val="TableParagraph"/>
              <w:spacing w:line="20" w:lineRule="exact"/>
              <w:ind w:left="820" w:right="-72"/>
              <w:rPr>
                <w:sz w:val="2"/>
              </w:rPr>
            </w:pPr>
            <w:r>
              <w:rPr>
                <w:sz w:val="2"/>
              </w:rPr>
              <ve:AlternateContent>
                <ve:Choice Requires="wps">
                  <w:drawing>
                    <wp:inline distT="0" distB="0" distL="0" distR="0">
                      <wp:extent cx="4335145" cy="3175"/>
                      <wp:effectExtent l="9525" t="0" r="0" b="6350"/>
                      <wp:docPr id="14" name="Group 14"/>
                      <wp:cNvGraphicFramePr>
                        <a:graphicFrameLocks/>
                      </wp:cNvGraphicFramePr>
                      <a:graphic>
                        <a:graphicData uri="http://schemas.microsoft.com/office/word/2010/wordprocessingGroup">
                          <wpg:wgp>
                            <wpg:cNvPr id="14" name="Group 14"/>
                            <wpg:cNvGrpSpPr/>
                            <wpg:grpSpPr>
                              <a:xfrm>
                                <a:off x="0" y="0"/>
                                <a:ext cx="4335145" cy="3175"/>
                                <a:chExt cx="4335145" cy="3175"/>
                              </a:xfrm>
                            </wpg:grpSpPr>
                            <wps:wsp>
                              <wps:cNvPr id="15" name="Graphic 15"/>
                              <wps:cNvSpPr/>
                              <wps:spPr>
                                <a:xfrm>
                                  <a:off x="0" y="1525"/>
                                  <a:ext cx="4335145" cy="1270"/>
                                </a:xfrm>
                                <a:custGeom>
                                  <a:avLst/>
                                  <a:gdLst/>
                                  <a:ahLst/>
                                  <a:cxnLst/>
                                  <a:rect l="l" t="t" r="r" b="b"/>
                                  <a:pathLst>
                                    <a:path w="4335145" h="0">
                                      <a:moveTo>
                                        <a:pt x="0" y="0"/>
                                      </a:moveTo>
                                      <a:lnTo>
                                        <a:pt x="4335141"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6" style="width:341.35pt;height:.25pt;mso-position-horizontal-relative:char;mso-position-vertical-relative:line" coordsize="6827,5" coordorigin="0,0">
                      <v:line style="position:absolute" stroked="true" strokecolor="#000000" strokeweight=".240274pt" from="0,2" to="6827,2">
                        <v:stroke dashstyle="solid"/>
                      </v:line>
                    </v:group>
                  </w:pict>
                </ve:Fallback>
              </ve:AlternateContent>
            </w:r>
            <w:r>
              <w:rPr>
                <w:sz w:val="2"/>
              </w:rPr>
            </w:r>
          </w:p>
          <w:p>
            <w:pPr>
              <w:pStyle w:val="TableParagraph"/>
              <w:ind w:left="860"/>
              <w:rPr>
                <w:sz w:val="18"/>
              </w:rPr>
            </w:pPr>
            <w:r>
              <w:rPr>
                <w:color w:val="282828"/>
                <w:sz w:val="18"/>
                <w:u w:val="thick" w:color="282828"/>
              </w:rPr>
              <w:t>Subjective</w:t>
            </w:r>
            <w:r>
              <w:rPr>
                <w:color w:val="282828"/>
                <w:spacing w:val="-5"/>
                <w:sz w:val="18"/>
                <w:u w:val="thick" w:color="282828"/>
              </w:rPr>
              <w:t> </w:t>
            </w:r>
            <w:r>
              <w:rPr>
                <w:color w:val="282828"/>
                <w:spacing w:val="-2"/>
                <w:sz w:val="18"/>
                <w:u w:val="thick" w:color="282828"/>
              </w:rPr>
              <w:t>Analysis</w:t>
            </w:r>
          </w:p>
        </w:tc>
        <w:tc>
          <w:tcPr>
            <w:tcW w:w="1164" w:type="dxa"/>
          </w:tcPr>
          <w:p>
            <w:pPr>
              <w:pStyle w:val="TableParagraph"/>
              <w:spacing w:before="40" w:line="227" w:lineRule="exact"/>
              <w:ind w:left="215" w:right="115"/>
              <w:jc w:val="center"/>
              <w:rPr>
                <w:rFonts w:ascii="Courier New"/>
                <w:sz w:val="21"/>
              </w:rPr>
            </w:pPr>
            <w:r>
              <w:rPr>
                <w:rFonts w:ascii="Courier New"/>
                <w:color w:val="151515"/>
                <w:spacing w:val="-2"/>
                <w:w w:val="75"/>
                <w:sz w:val="21"/>
              </w:rPr>
              <w:t>5.15.2</w:t>
            </w:r>
          </w:p>
        </w:tc>
        <w:tc>
          <w:tcPr>
            <w:tcW w:w="713" w:type="dxa"/>
          </w:tcPr>
          <w:p>
            <w:pPr>
              <w:pStyle w:val="TableParagraph"/>
              <w:spacing w:before="36" w:line="232" w:lineRule="exact"/>
              <w:ind w:left="273"/>
              <w:rPr>
                <w:rFonts w:ascii="Courier New"/>
                <w:sz w:val="21"/>
              </w:rPr>
            </w:pPr>
            <w:r>
              <w:rPr>
                <w:rFonts w:ascii="Courier New"/>
                <w:color w:val="151515"/>
                <w:spacing w:val="-5"/>
                <w:sz w:val="21"/>
              </w:rPr>
              <w:t>66</w:t>
            </w:r>
          </w:p>
        </w:tc>
      </w:tr>
      <w:tr>
        <w:trPr>
          <w:trHeight w:val="276" w:hRule="atLeast"/>
        </w:trPr>
        <w:tc>
          <w:tcPr>
            <w:tcW w:w="7648" w:type="dxa"/>
            <w:gridSpan w:val="2"/>
          </w:tcPr>
          <w:p>
            <w:pPr>
              <w:pStyle w:val="TableParagraph"/>
              <w:spacing w:before="3"/>
              <w:ind w:left="850"/>
              <w:rPr>
                <w:sz w:val="18"/>
              </w:rPr>
            </w:pPr>
            <w:r>
              <w:rPr>
                <w:color w:val="282828"/>
                <w:sz w:val="18"/>
                <w:u w:val="thick" w:color="282828"/>
              </w:rPr>
              <w:t>Property</w:t>
            </w:r>
            <w:r>
              <w:rPr>
                <w:color w:val="282828"/>
                <w:spacing w:val="8"/>
                <w:sz w:val="18"/>
                <w:u w:val="none"/>
              </w:rPr>
              <w:t> </w:t>
            </w:r>
            <w:r>
              <w:rPr>
                <w:color w:val="282828"/>
                <w:sz w:val="18"/>
                <w:u w:val="none"/>
              </w:rPr>
              <w:t>Plant</w:t>
            </w:r>
            <w:r>
              <w:rPr>
                <w:color w:val="282828"/>
                <w:spacing w:val="4"/>
                <w:sz w:val="18"/>
                <w:u w:val="none"/>
              </w:rPr>
              <w:t> </w:t>
            </w:r>
            <w:r>
              <w:rPr>
                <w:color w:val="282828"/>
                <w:sz w:val="18"/>
                <w:u w:val="none"/>
              </w:rPr>
              <w:t>and</w:t>
            </w:r>
            <w:r>
              <w:rPr>
                <w:color w:val="282828"/>
                <w:spacing w:val="-5"/>
                <w:sz w:val="18"/>
                <w:u w:val="none"/>
              </w:rPr>
              <w:t> </w:t>
            </w:r>
            <w:r>
              <w:rPr>
                <w:color w:val="282828"/>
                <w:spacing w:val="-2"/>
                <w:sz w:val="18"/>
                <w:u w:val="thick" w:color="282828"/>
              </w:rPr>
              <w:t>Equipment</w:t>
            </w:r>
          </w:p>
        </w:tc>
        <w:tc>
          <w:tcPr>
            <w:tcW w:w="1164" w:type="dxa"/>
          </w:tcPr>
          <w:p>
            <w:pPr>
              <w:pStyle w:val="TableParagraph"/>
              <w:spacing w:before="26" w:line="230" w:lineRule="exact"/>
              <w:ind w:left="215" w:right="114"/>
              <w:jc w:val="center"/>
              <w:rPr>
                <w:rFonts w:ascii="Courier New"/>
                <w:sz w:val="21"/>
              </w:rPr>
            </w:pPr>
            <w:r>
              <w:rPr>
                <w:rFonts w:ascii="Courier New"/>
                <w:color w:val="151515"/>
                <w:spacing w:val="-4"/>
                <w:w w:val="80"/>
                <w:sz w:val="21"/>
              </w:rPr>
              <w:t>5.16</w:t>
            </w:r>
          </w:p>
        </w:tc>
        <w:tc>
          <w:tcPr>
            <w:tcW w:w="713" w:type="dxa"/>
          </w:tcPr>
          <w:p>
            <w:pPr>
              <w:pStyle w:val="TableParagraph"/>
              <w:spacing w:before="26" w:line="230" w:lineRule="exact"/>
              <w:ind w:left="269"/>
              <w:rPr>
                <w:rFonts w:ascii="Courier New"/>
                <w:sz w:val="21"/>
              </w:rPr>
            </w:pPr>
            <w:r>
              <w:rPr>
                <w:rFonts w:ascii="Courier New"/>
                <w:color w:val="151515"/>
                <w:spacing w:val="-5"/>
                <w:sz w:val="21"/>
              </w:rPr>
              <w:t>68</w:t>
            </w:r>
          </w:p>
        </w:tc>
      </w:tr>
      <w:tr>
        <w:trPr>
          <w:trHeight w:val="278" w:hRule="atLeast"/>
        </w:trPr>
        <w:tc>
          <w:tcPr>
            <w:tcW w:w="7648" w:type="dxa"/>
            <w:gridSpan w:val="2"/>
          </w:tcPr>
          <w:p>
            <w:pPr>
              <w:pStyle w:val="TableParagraph"/>
              <w:spacing w:before="6"/>
              <w:ind w:left="844"/>
              <w:rPr>
                <w:sz w:val="18"/>
              </w:rPr>
            </w:pPr>
            <w:r>
              <w:rPr>
                <w:color w:val="282828"/>
                <w:sz w:val="18"/>
                <w:u w:val="thick" w:color="282828"/>
              </w:rPr>
              <w:t>Rolling</w:t>
            </w:r>
            <w:r>
              <w:rPr>
                <w:color w:val="282828"/>
                <w:spacing w:val="8"/>
                <w:sz w:val="18"/>
                <w:u w:val="none"/>
              </w:rPr>
              <w:t> </w:t>
            </w:r>
            <w:r>
              <w:rPr>
                <w:color w:val="282828"/>
                <w:spacing w:val="-2"/>
                <w:sz w:val="18"/>
                <w:u w:val="none"/>
              </w:rPr>
              <w:t>Revaluation</w:t>
            </w:r>
          </w:p>
        </w:tc>
        <w:tc>
          <w:tcPr>
            <w:tcW w:w="1164" w:type="dxa"/>
          </w:tcPr>
          <w:p>
            <w:pPr>
              <w:pStyle w:val="TableParagraph"/>
              <w:spacing w:before="29" w:line="230" w:lineRule="exact"/>
              <w:ind w:left="215" w:right="70"/>
              <w:jc w:val="center"/>
              <w:rPr>
                <w:rFonts w:ascii="Courier New"/>
                <w:sz w:val="21"/>
              </w:rPr>
            </w:pPr>
            <w:r>
              <w:rPr>
                <w:rFonts w:ascii="Courier New"/>
                <w:color w:val="151515"/>
                <w:spacing w:val="-2"/>
                <w:w w:val="85"/>
                <w:sz w:val="21"/>
              </w:rPr>
              <w:t>5.16</w:t>
            </w:r>
            <w:r>
              <w:rPr>
                <w:rFonts w:ascii="Courier New"/>
                <w:color w:val="5D5D5D"/>
                <w:spacing w:val="-2"/>
                <w:w w:val="85"/>
                <w:sz w:val="21"/>
              </w:rPr>
              <w:t>.</w:t>
            </w:r>
            <w:r>
              <w:rPr>
                <w:rFonts w:ascii="Courier New"/>
                <w:color w:val="151515"/>
                <w:spacing w:val="-2"/>
                <w:w w:val="85"/>
                <w:sz w:val="21"/>
              </w:rPr>
              <w:t>1</w:t>
            </w:r>
          </w:p>
        </w:tc>
        <w:tc>
          <w:tcPr>
            <w:tcW w:w="713" w:type="dxa"/>
          </w:tcPr>
          <w:p>
            <w:pPr>
              <w:pStyle w:val="TableParagraph"/>
              <w:spacing w:before="30"/>
              <w:ind w:left="298"/>
              <w:rPr>
                <w:sz w:val="18"/>
              </w:rPr>
            </w:pPr>
            <w:r>
              <w:rPr>
                <w:color w:val="151515"/>
                <w:spacing w:val="-5"/>
                <w:w w:val="105"/>
                <w:sz w:val="18"/>
              </w:rPr>
              <w:t>72</w:t>
            </w:r>
          </w:p>
        </w:tc>
      </w:tr>
      <w:tr>
        <w:trPr>
          <w:trHeight w:val="262" w:hRule="atLeast"/>
        </w:trPr>
        <w:tc>
          <w:tcPr>
            <w:tcW w:w="7648" w:type="dxa"/>
            <w:gridSpan w:val="2"/>
          </w:tcPr>
          <w:p>
            <w:pPr>
              <w:pStyle w:val="TableParagraph"/>
              <w:spacing w:before="6"/>
              <w:ind w:left="845"/>
              <w:rPr>
                <w:sz w:val="18"/>
              </w:rPr>
            </w:pPr>
            <w:r>
              <w:rPr>
                <w:color w:val="282828"/>
                <w:sz w:val="18"/>
              </w:rPr>
              <w:t>CaQital</w:t>
            </w:r>
            <w:r>
              <w:rPr>
                <w:color w:val="282828"/>
                <w:spacing w:val="-13"/>
                <w:sz w:val="18"/>
              </w:rPr>
              <w:t> </w:t>
            </w:r>
            <w:r>
              <w:rPr>
                <w:color w:val="282828"/>
                <w:sz w:val="18"/>
              </w:rPr>
              <w:t>Expenditure</w:t>
            </w:r>
            <w:r>
              <w:rPr>
                <w:color w:val="282828"/>
                <w:spacing w:val="-5"/>
                <w:sz w:val="18"/>
              </w:rPr>
              <w:t> </w:t>
            </w:r>
            <w:r>
              <w:rPr>
                <w:color w:val="282828"/>
                <w:sz w:val="18"/>
              </w:rPr>
              <w:t>and</w:t>
            </w:r>
            <w:r>
              <w:rPr>
                <w:color w:val="282828"/>
                <w:spacing w:val="-12"/>
                <w:sz w:val="18"/>
              </w:rPr>
              <w:t> </w:t>
            </w:r>
            <w:r>
              <w:rPr>
                <w:color w:val="282828"/>
                <w:sz w:val="18"/>
              </w:rPr>
              <w:t>Financing</w:t>
            </w:r>
            <w:r>
              <w:rPr>
                <w:color w:val="282828"/>
                <w:spacing w:val="-11"/>
                <w:sz w:val="18"/>
              </w:rPr>
              <w:t> </w:t>
            </w:r>
            <w:r>
              <w:rPr>
                <w:color w:val="282828"/>
                <w:spacing w:val="-2"/>
                <w:sz w:val="18"/>
              </w:rPr>
              <w:t>Statement</w:t>
            </w:r>
          </w:p>
        </w:tc>
        <w:tc>
          <w:tcPr>
            <w:tcW w:w="1164" w:type="dxa"/>
          </w:tcPr>
          <w:p>
            <w:pPr>
              <w:pStyle w:val="TableParagraph"/>
              <w:spacing w:before="24" w:line="218" w:lineRule="exact"/>
              <w:ind w:left="215" w:right="109"/>
              <w:jc w:val="center"/>
              <w:rPr>
                <w:rFonts w:ascii="Courier New"/>
                <w:sz w:val="21"/>
              </w:rPr>
            </w:pPr>
            <w:r>
              <w:rPr>
                <w:rFonts w:ascii="Courier New"/>
                <w:color w:val="151515"/>
                <w:spacing w:val="-4"/>
                <w:w w:val="85"/>
                <w:sz w:val="21"/>
              </w:rPr>
              <w:t>5.17</w:t>
            </w:r>
          </w:p>
        </w:tc>
        <w:tc>
          <w:tcPr>
            <w:tcW w:w="713" w:type="dxa"/>
          </w:tcPr>
          <w:p>
            <w:pPr>
              <w:pStyle w:val="TableParagraph"/>
              <w:spacing w:before="24" w:line="218" w:lineRule="exact"/>
              <w:ind w:left="280"/>
              <w:rPr>
                <w:rFonts w:ascii="Courier New"/>
                <w:sz w:val="21"/>
              </w:rPr>
            </w:pPr>
            <w:r>
              <w:rPr>
                <w:rFonts w:ascii="Courier New"/>
                <w:color w:val="151515"/>
                <w:spacing w:val="-5"/>
                <w:sz w:val="21"/>
              </w:rPr>
              <w:t>73</w:t>
            </w:r>
          </w:p>
        </w:tc>
      </w:tr>
      <w:tr>
        <w:trPr>
          <w:trHeight w:val="292" w:hRule="atLeast"/>
        </w:trPr>
        <w:tc>
          <w:tcPr>
            <w:tcW w:w="7648" w:type="dxa"/>
            <w:gridSpan w:val="2"/>
          </w:tcPr>
          <w:p>
            <w:pPr>
              <w:pStyle w:val="TableParagraph"/>
              <w:spacing w:line="20" w:lineRule="exact"/>
              <w:ind w:left="820" w:right="-72"/>
              <w:rPr>
                <w:sz w:val="2"/>
              </w:rPr>
            </w:pPr>
            <w:r>
              <w:rPr>
                <w:sz w:val="2"/>
              </w:rPr>
              <ve:AlternateContent>
                <ve:Choice Requires="wps">
                  <w:drawing>
                    <wp:inline distT="0" distB="0" distL="0" distR="0">
                      <wp:extent cx="4335145" cy="3175"/>
                      <wp:effectExtent l="9525" t="0" r="0" b="6350"/>
                      <wp:docPr id="16" name="Group 16"/>
                      <wp:cNvGraphicFramePr>
                        <a:graphicFrameLocks/>
                      </wp:cNvGraphicFramePr>
                      <a:graphic>
                        <a:graphicData uri="http://schemas.microsoft.com/office/word/2010/wordprocessingGroup">
                          <wpg:wgp>
                            <wpg:cNvPr id="16" name="Group 16"/>
                            <wpg:cNvGrpSpPr/>
                            <wpg:grpSpPr>
                              <a:xfrm>
                                <a:off x="0" y="0"/>
                                <a:ext cx="4335145" cy="3175"/>
                                <a:chExt cx="4335145" cy="3175"/>
                              </a:xfrm>
                            </wpg:grpSpPr>
                            <wps:wsp>
                              <wps:cNvPr id="17" name="Graphic 17"/>
                              <wps:cNvSpPr/>
                              <wps:spPr>
                                <a:xfrm>
                                  <a:off x="0" y="1525"/>
                                  <a:ext cx="4335145" cy="1270"/>
                                </a:xfrm>
                                <a:custGeom>
                                  <a:avLst/>
                                  <a:gdLst/>
                                  <a:ahLst/>
                                  <a:cxnLst/>
                                  <a:rect l="l" t="t" r="r" b="b"/>
                                  <a:pathLst>
                                    <a:path w="4335145" h="0">
                                      <a:moveTo>
                                        <a:pt x="0" y="0"/>
                                      </a:moveTo>
                                      <a:lnTo>
                                        <a:pt x="4335141"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7" style="width:341.35pt;height:.25pt;mso-position-horizontal-relative:char;mso-position-vertical-relative:line" coordsize="6827,5" coordorigin="0,0">
                      <v:line style="position:absolute" stroked="true" strokecolor="#000000" strokeweight=".240274pt" from="0,2" to="6827,2">
                        <v:stroke dashstyle="solid"/>
                      </v:line>
                    </v:group>
                  </w:pict>
                </ve:Fallback>
              </ve:AlternateContent>
            </w:r>
            <w:r>
              <w:rPr>
                <w:sz w:val="2"/>
              </w:rPr>
            </w:r>
          </w:p>
          <w:p>
            <w:pPr>
              <w:pStyle w:val="TableParagraph"/>
              <w:ind w:left="845"/>
              <w:rPr>
                <w:sz w:val="18"/>
              </w:rPr>
            </w:pPr>
            <w:r>
              <w:rPr>
                <w:color w:val="282828"/>
                <w:sz w:val="18"/>
                <w:u w:val="thick" w:color="282828"/>
              </w:rPr>
              <w:t>Capital</w:t>
            </w:r>
            <w:r>
              <w:rPr>
                <w:color w:val="282828"/>
                <w:spacing w:val="7"/>
                <w:sz w:val="18"/>
                <w:u w:val="none"/>
              </w:rPr>
              <w:t> </w:t>
            </w:r>
            <w:r>
              <w:rPr>
                <w:color w:val="282828"/>
                <w:spacing w:val="-2"/>
                <w:sz w:val="18"/>
                <w:u w:val="none"/>
              </w:rPr>
              <w:t>Commitments</w:t>
            </w:r>
          </w:p>
        </w:tc>
        <w:tc>
          <w:tcPr>
            <w:tcW w:w="1164" w:type="dxa"/>
          </w:tcPr>
          <w:p>
            <w:pPr>
              <w:pStyle w:val="TableParagraph"/>
              <w:spacing w:before="40" w:line="232" w:lineRule="exact"/>
              <w:ind w:left="215" w:right="147"/>
              <w:jc w:val="center"/>
              <w:rPr>
                <w:rFonts w:ascii="Courier New"/>
                <w:sz w:val="21"/>
              </w:rPr>
            </w:pPr>
            <w:r>
              <w:rPr>
                <w:rFonts w:ascii="Courier New"/>
                <w:color w:val="151515"/>
                <w:spacing w:val="-2"/>
                <w:w w:val="75"/>
                <w:sz w:val="21"/>
              </w:rPr>
              <w:t>5.17.1</w:t>
            </w:r>
          </w:p>
        </w:tc>
        <w:tc>
          <w:tcPr>
            <w:tcW w:w="713" w:type="dxa"/>
          </w:tcPr>
          <w:p>
            <w:pPr>
              <w:pStyle w:val="TableParagraph"/>
              <w:spacing w:before="36" w:line="237" w:lineRule="exact"/>
              <w:ind w:left="280"/>
              <w:rPr>
                <w:rFonts w:ascii="Courier New"/>
                <w:sz w:val="21"/>
              </w:rPr>
            </w:pPr>
            <w:r>
              <w:rPr>
                <w:rFonts w:ascii="Courier New"/>
                <w:color w:val="151515"/>
                <w:spacing w:val="-5"/>
                <w:sz w:val="21"/>
              </w:rPr>
              <w:t>74</w:t>
            </w:r>
          </w:p>
        </w:tc>
      </w:tr>
      <w:tr>
        <w:trPr>
          <w:trHeight w:val="273" w:hRule="atLeast"/>
        </w:trPr>
        <w:tc>
          <w:tcPr>
            <w:tcW w:w="7648" w:type="dxa"/>
            <w:gridSpan w:val="2"/>
          </w:tcPr>
          <w:p>
            <w:pPr>
              <w:pStyle w:val="TableParagraph"/>
              <w:spacing w:before="8"/>
              <w:ind w:left="836"/>
              <w:rPr>
                <w:sz w:val="18"/>
              </w:rPr>
            </w:pPr>
            <w:r>
              <w:rPr>
                <w:color w:val="151515"/>
                <w:spacing w:val="-2"/>
                <w:sz w:val="18"/>
                <w:u w:val="thick" w:color="151515"/>
              </w:rPr>
              <w:t>Leases</w:t>
            </w:r>
          </w:p>
        </w:tc>
        <w:tc>
          <w:tcPr>
            <w:tcW w:w="1164" w:type="dxa"/>
          </w:tcPr>
          <w:p>
            <w:pPr>
              <w:pStyle w:val="TableParagraph"/>
              <w:spacing w:before="21" w:line="232" w:lineRule="exact"/>
              <w:ind w:left="215" w:right="124"/>
              <w:jc w:val="center"/>
              <w:rPr>
                <w:rFonts w:ascii="Courier New"/>
                <w:sz w:val="21"/>
              </w:rPr>
            </w:pPr>
            <w:r>
              <w:rPr>
                <w:rFonts w:ascii="Courier New"/>
                <w:color w:val="151515"/>
                <w:spacing w:val="-4"/>
                <w:w w:val="80"/>
                <w:sz w:val="21"/>
              </w:rPr>
              <w:t>5.18</w:t>
            </w:r>
          </w:p>
        </w:tc>
        <w:tc>
          <w:tcPr>
            <w:tcW w:w="713" w:type="dxa"/>
          </w:tcPr>
          <w:p>
            <w:pPr>
              <w:pStyle w:val="TableParagraph"/>
              <w:spacing w:before="21" w:line="232" w:lineRule="exact"/>
              <w:ind w:left="275"/>
              <w:rPr>
                <w:rFonts w:ascii="Courier New"/>
                <w:sz w:val="21"/>
              </w:rPr>
            </w:pPr>
            <w:r>
              <w:rPr>
                <w:rFonts w:ascii="Courier New"/>
                <w:color w:val="151515"/>
                <w:spacing w:val="-5"/>
                <w:sz w:val="21"/>
              </w:rPr>
              <w:t>74</w:t>
            </w:r>
          </w:p>
        </w:tc>
      </w:tr>
      <w:tr>
        <w:trPr>
          <w:trHeight w:val="276" w:hRule="atLeast"/>
        </w:trPr>
        <w:tc>
          <w:tcPr>
            <w:tcW w:w="7648" w:type="dxa"/>
            <w:gridSpan w:val="2"/>
          </w:tcPr>
          <w:p>
            <w:pPr>
              <w:pStyle w:val="TableParagraph"/>
              <w:spacing w:before="8"/>
              <w:ind w:left="830"/>
              <w:rPr>
                <w:sz w:val="18"/>
              </w:rPr>
            </w:pPr>
            <w:r>
              <w:rPr>
                <w:color w:val="282828"/>
                <w:sz w:val="18"/>
                <w:u w:val="thick" w:color="282828"/>
              </w:rPr>
              <w:t>Heritage</w:t>
            </w:r>
            <w:r>
              <w:rPr>
                <w:color w:val="282828"/>
                <w:spacing w:val="16"/>
                <w:sz w:val="18"/>
                <w:u w:val="none"/>
              </w:rPr>
              <w:t> </w:t>
            </w:r>
            <w:r>
              <w:rPr>
                <w:color w:val="282828"/>
                <w:spacing w:val="-2"/>
                <w:sz w:val="18"/>
                <w:u w:val="none"/>
              </w:rPr>
              <w:t>Assets</w:t>
            </w:r>
          </w:p>
        </w:tc>
        <w:tc>
          <w:tcPr>
            <w:tcW w:w="1164" w:type="dxa"/>
          </w:tcPr>
          <w:p>
            <w:pPr>
              <w:pStyle w:val="TableParagraph"/>
              <w:spacing w:before="26" w:line="230" w:lineRule="exact"/>
              <w:ind w:left="215" w:right="124"/>
              <w:jc w:val="center"/>
              <w:rPr>
                <w:rFonts w:ascii="Courier New"/>
                <w:sz w:val="21"/>
              </w:rPr>
            </w:pPr>
            <w:r>
              <w:rPr>
                <w:rFonts w:ascii="Courier New"/>
                <w:color w:val="151515"/>
                <w:spacing w:val="-4"/>
                <w:w w:val="80"/>
                <w:sz w:val="21"/>
              </w:rPr>
              <w:t>5.19</w:t>
            </w:r>
          </w:p>
        </w:tc>
        <w:tc>
          <w:tcPr>
            <w:tcW w:w="713" w:type="dxa"/>
          </w:tcPr>
          <w:p>
            <w:pPr>
              <w:pStyle w:val="TableParagraph"/>
              <w:spacing w:before="26" w:line="230" w:lineRule="exact"/>
              <w:ind w:left="280"/>
              <w:rPr>
                <w:rFonts w:ascii="Courier New"/>
                <w:sz w:val="21"/>
              </w:rPr>
            </w:pPr>
            <w:r>
              <w:rPr>
                <w:rFonts w:ascii="Courier New"/>
                <w:color w:val="151515"/>
                <w:spacing w:val="-5"/>
                <w:w w:val="95"/>
                <w:sz w:val="21"/>
              </w:rPr>
              <w:t>75</w:t>
            </w:r>
          </w:p>
        </w:tc>
      </w:tr>
      <w:tr>
        <w:trPr>
          <w:trHeight w:val="276" w:hRule="atLeast"/>
        </w:trPr>
        <w:tc>
          <w:tcPr>
            <w:tcW w:w="7648" w:type="dxa"/>
            <w:gridSpan w:val="2"/>
          </w:tcPr>
          <w:p>
            <w:pPr>
              <w:pStyle w:val="TableParagraph"/>
              <w:spacing w:before="6"/>
              <w:ind w:left="832"/>
              <w:rPr>
                <w:sz w:val="18"/>
              </w:rPr>
            </w:pPr>
            <w:r>
              <w:rPr>
                <w:color w:val="282828"/>
                <w:sz w:val="18"/>
              </w:rPr>
              <w:t>Investment</w:t>
            </w:r>
            <w:r>
              <w:rPr>
                <w:color w:val="282828"/>
                <w:spacing w:val="5"/>
                <w:sz w:val="18"/>
              </w:rPr>
              <w:t> </w:t>
            </w:r>
            <w:r>
              <w:rPr>
                <w:color w:val="282828"/>
                <w:spacing w:val="-2"/>
                <w:sz w:val="18"/>
                <w:u w:val="thick" w:color="282828"/>
              </w:rPr>
              <w:t>Property</w:t>
            </w:r>
          </w:p>
        </w:tc>
        <w:tc>
          <w:tcPr>
            <w:tcW w:w="1164" w:type="dxa"/>
          </w:tcPr>
          <w:p>
            <w:pPr>
              <w:pStyle w:val="TableParagraph"/>
              <w:spacing w:before="24" w:line="232" w:lineRule="exact"/>
              <w:ind w:left="215" w:right="119"/>
              <w:jc w:val="center"/>
              <w:rPr>
                <w:rFonts w:ascii="Courier New"/>
                <w:sz w:val="21"/>
              </w:rPr>
            </w:pPr>
            <w:r>
              <w:rPr>
                <w:rFonts w:ascii="Courier New"/>
                <w:color w:val="151515"/>
                <w:spacing w:val="-4"/>
                <w:w w:val="85"/>
                <w:sz w:val="21"/>
              </w:rPr>
              <w:t>5.20</w:t>
            </w:r>
          </w:p>
        </w:tc>
        <w:tc>
          <w:tcPr>
            <w:tcW w:w="713" w:type="dxa"/>
          </w:tcPr>
          <w:p>
            <w:pPr>
              <w:pStyle w:val="TableParagraph"/>
              <w:spacing w:before="24" w:line="232" w:lineRule="exact"/>
              <w:ind w:left="275"/>
              <w:rPr>
                <w:rFonts w:ascii="Courier New"/>
                <w:sz w:val="21"/>
              </w:rPr>
            </w:pPr>
            <w:r>
              <w:rPr>
                <w:rFonts w:ascii="Courier New"/>
                <w:color w:val="151515"/>
                <w:spacing w:val="-5"/>
                <w:sz w:val="21"/>
              </w:rPr>
              <w:t>75</w:t>
            </w:r>
          </w:p>
        </w:tc>
      </w:tr>
      <w:tr>
        <w:trPr>
          <w:trHeight w:val="278" w:hRule="atLeast"/>
        </w:trPr>
        <w:tc>
          <w:tcPr>
            <w:tcW w:w="7648" w:type="dxa"/>
            <w:gridSpan w:val="2"/>
          </w:tcPr>
          <w:p>
            <w:pPr>
              <w:pStyle w:val="TableParagraph"/>
              <w:spacing w:before="8"/>
              <w:ind w:left="832"/>
              <w:rPr>
                <w:sz w:val="18"/>
              </w:rPr>
            </w:pPr>
            <w:r>
              <w:rPr>
                <w:color w:val="282828"/>
                <w:sz w:val="18"/>
                <w:u w:val="thick" w:color="282828"/>
              </w:rPr>
              <w:t>Intangible</w:t>
            </w:r>
            <w:r>
              <w:rPr>
                <w:color w:val="282828"/>
                <w:spacing w:val="7"/>
                <w:sz w:val="18"/>
                <w:u w:val="none"/>
              </w:rPr>
              <w:t> </w:t>
            </w:r>
            <w:r>
              <w:rPr>
                <w:color w:val="282828"/>
                <w:spacing w:val="-2"/>
                <w:sz w:val="18"/>
                <w:u w:val="none"/>
              </w:rPr>
              <w:t>Assets</w:t>
            </w:r>
          </w:p>
        </w:tc>
        <w:tc>
          <w:tcPr>
            <w:tcW w:w="1164" w:type="dxa"/>
          </w:tcPr>
          <w:p>
            <w:pPr>
              <w:pStyle w:val="TableParagraph"/>
              <w:spacing w:before="26" w:line="232" w:lineRule="exact"/>
              <w:ind w:left="215" w:right="149"/>
              <w:jc w:val="center"/>
              <w:rPr>
                <w:rFonts w:ascii="Courier New"/>
                <w:sz w:val="21"/>
              </w:rPr>
            </w:pPr>
            <w:r>
              <w:rPr>
                <w:rFonts w:ascii="Courier New"/>
                <w:color w:val="151515"/>
                <w:spacing w:val="-4"/>
                <w:w w:val="75"/>
                <w:sz w:val="21"/>
              </w:rPr>
              <w:t>5.21</w:t>
            </w:r>
          </w:p>
        </w:tc>
        <w:tc>
          <w:tcPr>
            <w:tcW w:w="713" w:type="dxa"/>
          </w:tcPr>
          <w:p>
            <w:pPr>
              <w:pStyle w:val="TableParagraph"/>
              <w:spacing w:before="32"/>
              <w:ind w:left="288"/>
              <w:rPr>
                <w:sz w:val="18"/>
              </w:rPr>
            </w:pPr>
            <w:r>
              <w:rPr>
                <w:color w:val="151515"/>
                <w:spacing w:val="-5"/>
                <w:w w:val="105"/>
                <w:sz w:val="18"/>
              </w:rPr>
              <w:t>77</w:t>
            </w:r>
          </w:p>
        </w:tc>
      </w:tr>
      <w:tr>
        <w:trPr>
          <w:trHeight w:val="273" w:hRule="atLeast"/>
        </w:trPr>
        <w:tc>
          <w:tcPr>
            <w:tcW w:w="7648" w:type="dxa"/>
            <w:gridSpan w:val="2"/>
          </w:tcPr>
          <w:p>
            <w:pPr>
              <w:pStyle w:val="TableParagraph"/>
              <w:spacing w:before="8"/>
              <w:ind w:left="826"/>
              <w:rPr>
                <w:sz w:val="18"/>
              </w:rPr>
            </w:pPr>
            <w:r>
              <w:rPr>
                <w:color w:val="151515"/>
                <w:spacing w:val="-2"/>
                <w:sz w:val="18"/>
              </w:rPr>
              <w:t>Debtors</w:t>
            </w:r>
          </w:p>
        </w:tc>
        <w:tc>
          <w:tcPr>
            <w:tcW w:w="1164" w:type="dxa"/>
          </w:tcPr>
          <w:p>
            <w:pPr>
              <w:pStyle w:val="TableParagraph"/>
              <w:spacing w:before="21" w:line="232" w:lineRule="exact"/>
              <w:ind w:left="215" w:right="124"/>
              <w:jc w:val="center"/>
              <w:rPr>
                <w:rFonts w:ascii="Courier New"/>
                <w:sz w:val="21"/>
              </w:rPr>
            </w:pPr>
            <w:r>
              <w:rPr>
                <w:rFonts w:ascii="Courier New"/>
                <w:color w:val="151515"/>
                <w:spacing w:val="-4"/>
                <w:w w:val="80"/>
                <w:sz w:val="21"/>
              </w:rPr>
              <w:t>5.22</w:t>
            </w:r>
          </w:p>
        </w:tc>
        <w:tc>
          <w:tcPr>
            <w:tcW w:w="713" w:type="dxa"/>
          </w:tcPr>
          <w:p>
            <w:pPr>
              <w:pStyle w:val="TableParagraph"/>
              <w:spacing w:before="27"/>
              <w:ind w:left="288"/>
              <w:rPr>
                <w:sz w:val="18"/>
              </w:rPr>
            </w:pPr>
            <w:r>
              <w:rPr>
                <w:color w:val="151515"/>
                <w:spacing w:val="-5"/>
                <w:w w:val="105"/>
                <w:sz w:val="18"/>
              </w:rPr>
              <w:t>77</w:t>
            </w:r>
          </w:p>
        </w:tc>
      </w:tr>
      <w:tr>
        <w:trPr>
          <w:trHeight w:val="276" w:hRule="atLeast"/>
        </w:trPr>
        <w:tc>
          <w:tcPr>
            <w:tcW w:w="7648" w:type="dxa"/>
            <w:gridSpan w:val="2"/>
          </w:tcPr>
          <w:p>
            <w:pPr>
              <w:pStyle w:val="TableParagraph"/>
              <w:spacing w:before="8"/>
              <w:ind w:left="818"/>
              <w:rPr>
                <w:sz w:val="18"/>
              </w:rPr>
            </w:pPr>
            <w:r>
              <w:rPr>
                <w:color w:val="151515"/>
                <w:spacing w:val="-2"/>
                <w:sz w:val="18"/>
              </w:rPr>
              <w:t>Investments</w:t>
            </w:r>
          </w:p>
        </w:tc>
        <w:tc>
          <w:tcPr>
            <w:tcW w:w="1164" w:type="dxa"/>
          </w:tcPr>
          <w:p>
            <w:pPr>
              <w:pStyle w:val="TableParagraph"/>
              <w:spacing w:before="26" w:line="230" w:lineRule="exact"/>
              <w:ind w:left="215" w:right="128"/>
              <w:jc w:val="center"/>
              <w:rPr>
                <w:rFonts w:ascii="Courier New"/>
                <w:sz w:val="21"/>
              </w:rPr>
            </w:pPr>
            <w:r>
              <w:rPr>
                <w:rFonts w:ascii="Courier New"/>
                <w:color w:val="151515"/>
                <w:spacing w:val="-4"/>
                <w:w w:val="85"/>
                <w:sz w:val="21"/>
              </w:rPr>
              <w:t>5.23</w:t>
            </w:r>
          </w:p>
        </w:tc>
        <w:tc>
          <w:tcPr>
            <w:tcW w:w="713" w:type="dxa"/>
          </w:tcPr>
          <w:p>
            <w:pPr>
              <w:pStyle w:val="TableParagraph"/>
              <w:spacing w:before="26" w:line="230" w:lineRule="exact"/>
              <w:ind w:left="270"/>
              <w:rPr>
                <w:rFonts w:ascii="Courier New"/>
                <w:sz w:val="21"/>
              </w:rPr>
            </w:pPr>
            <w:r>
              <w:rPr>
                <w:rFonts w:ascii="Courier New"/>
                <w:color w:val="151515"/>
                <w:spacing w:val="-5"/>
                <w:sz w:val="21"/>
              </w:rPr>
              <w:t>78</w:t>
            </w:r>
          </w:p>
        </w:tc>
      </w:tr>
      <w:tr>
        <w:trPr>
          <w:trHeight w:val="276" w:hRule="atLeast"/>
        </w:trPr>
        <w:tc>
          <w:tcPr>
            <w:tcW w:w="7648" w:type="dxa"/>
            <w:gridSpan w:val="2"/>
          </w:tcPr>
          <w:p>
            <w:pPr>
              <w:pStyle w:val="TableParagraph"/>
              <w:spacing w:before="6"/>
              <w:ind w:left="826"/>
              <w:rPr>
                <w:sz w:val="18"/>
              </w:rPr>
            </w:pPr>
            <w:r>
              <w:rPr>
                <w:color w:val="282828"/>
                <w:sz w:val="18"/>
              </w:rPr>
              <w:t>Cash and Cash</w:t>
            </w:r>
            <w:r>
              <w:rPr>
                <w:color w:val="282828"/>
                <w:spacing w:val="5"/>
                <w:sz w:val="18"/>
              </w:rPr>
              <w:t> </w:t>
            </w:r>
            <w:r>
              <w:rPr>
                <w:color w:val="282828"/>
                <w:spacing w:val="-2"/>
                <w:sz w:val="18"/>
                <w:u w:val="thick" w:color="282828"/>
              </w:rPr>
              <w:t>Equivalents</w:t>
            </w:r>
          </w:p>
        </w:tc>
        <w:tc>
          <w:tcPr>
            <w:tcW w:w="1164" w:type="dxa"/>
          </w:tcPr>
          <w:p>
            <w:pPr>
              <w:pStyle w:val="TableParagraph"/>
              <w:spacing w:before="30"/>
              <w:ind w:left="215" w:right="126"/>
              <w:jc w:val="center"/>
              <w:rPr>
                <w:b/>
                <w:sz w:val="18"/>
              </w:rPr>
            </w:pPr>
            <w:r>
              <w:rPr>
                <w:b/>
                <w:color w:val="151515"/>
                <w:spacing w:val="-4"/>
                <w:sz w:val="18"/>
              </w:rPr>
              <w:t>5.24</w:t>
            </w:r>
          </w:p>
        </w:tc>
        <w:tc>
          <w:tcPr>
            <w:tcW w:w="713" w:type="dxa"/>
          </w:tcPr>
          <w:p>
            <w:pPr>
              <w:pStyle w:val="TableParagraph"/>
              <w:spacing w:before="24" w:line="232" w:lineRule="exact"/>
              <w:ind w:left="275"/>
              <w:rPr>
                <w:rFonts w:ascii="Courier New"/>
                <w:sz w:val="21"/>
              </w:rPr>
            </w:pPr>
            <w:r>
              <w:rPr>
                <w:rFonts w:ascii="Courier New"/>
                <w:color w:val="151515"/>
                <w:spacing w:val="-5"/>
                <w:sz w:val="21"/>
              </w:rPr>
              <w:t>78</w:t>
            </w:r>
          </w:p>
        </w:tc>
      </w:tr>
      <w:tr>
        <w:trPr>
          <w:trHeight w:val="271" w:hRule="atLeast"/>
        </w:trPr>
        <w:tc>
          <w:tcPr>
            <w:tcW w:w="7648" w:type="dxa"/>
            <w:gridSpan w:val="2"/>
          </w:tcPr>
          <w:p>
            <w:pPr>
              <w:pStyle w:val="TableParagraph"/>
              <w:spacing w:before="8"/>
              <w:ind w:left="811"/>
              <w:rPr>
                <w:sz w:val="18"/>
              </w:rPr>
            </w:pPr>
            <w:r>
              <w:rPr>
                <w:color w:val="151515"/>
                <w:spacing w:val="-2"/>
                <w:sz w:val="18"/>
              </w:rPr>
              <w:t>Creditors</w:t>
            </w:r>
          </w:p>
        </w:tc>
        <w:tc>
          <w:tcPr>
            <w:tcW w:w="1164" w:type="dxa"/>
          </w:tcPr>
          <w:p>
            <w:pPr>
              <w:pStyle w:val="TableParagraph"/>
              <w:spacing w:before="21" w:line="230" w:lineRule="exact"/>
              <w:ind w:left="215" w:right="128"/>
              <w:jc w:val="center"/>
              <w:rPr>
                <w:rFonts w:ascii="Courier New"/>
                <w:sz w:val="21"/>
              </w:rPr>
            </w:pPr>
            <w:r>
              <w:rPr>
                <w:rFonts w:ascii="Courier New"/>
                <w:color w:val="151515"/>
                <w:spacing w:val="-4"/>
                <w:w w:val="85"/>
                <w:sz w:val="21"/>
              </w:rPr>
              <w:t>5.25</w:t>
            </w:r>
          </w:p>
        </w:tc>
        <w:tc>
          <w:tcPr>
            <w:tcW w:w="713" w:type="dxa"/>
          </w:tcPr>
          <w:p>
            <w:pPr>
              <w:pStyle w:val="TableParagraph"/>
              <w:spacing w:before="21" w:line="230" w:lineRule="exact"/>
              <w:ind w:left="270"/>
              <w:rPr>
                <w:rFonts w:ascii="Courier New"/>
                <w:sz w:val="21"/>
              </w:rPr>
            </w:pPr>
            <w:r>
              <w:rPr>
                <w:rFonts w:ascii="Courier New"/>
                <w:color w:val="151515"/>
                <w:spacing w:val="-5"/>
                <w:sz w:val="21"/>
              </w:rPr>
              <w:t>79</w:t>
            </w:r>
          </w:p>
        </w:tc>
      </w:tr>
      <w:tr>
        <w:trPr>
          <w:trHeight w:val="266" w:hRule="atLeast"/>
        </w:trPr>
        <w:tc>
          <w:tcPr>
            <w:tcW w:w="7648" w:type="dxa"/>
            <w:gridSpan w:val="2"/>
          </w:tcPr>
          <w:p>
            <w:pPr>
              <w:pStyle w:val="TableParagraph"/>
              <w:spacing w:before="6"/>
              <w:ind w:left="816"/>
              <w:rPr>
                <w:sz w:val="18"/>
              </w:rPr>
            </w:pPr>
            <w:r>
              <w:rPr>
                <w:color w:val="282828"/>
                <w:spacing w:val="-2"/>
                <w:sz w:val="18"/>
              </w:rPr>
              <w:t>Provisions</w:t>
            </w:r>
          </w:p>
        </w:tc>
        <w:tc>
          <w:tcPr>
            <w:tcW w:w="1164" w:type="dxa"/>
          </w:tcPr>
          <w:p>
            <w:pPr>
              <w:pStyle w:val="TableParagraph"/>
              <w:spacing w:before="24" w:line="223" w:lineRule="exact"/>
              <w:ind w:left="215" w:right="138"/>
              <w:jc w:val="center"/>
              <w:rPr>
                <w:rFonts w:ascii="Courier New"/>
                <w:sz w:val="21"/>
              </w:rPr>
            </w:pPr>
            <w:r>
              <w:rPr>
                <w:rFonts w:ascii="Courier New"/>
                <w:color w:val="151515"/>
                <w:spacing w:val="-4"/>
                <w:w w:val="80"/>
                <w:sz w:val="21"/>
              </w:rPr>
              <w:t>5.26</w:t>
            </w:r>
          </w:p>
        </w:tc>
        <w:tc>
          <w:tcPr>
            <w:tcW w:w="713" w:type="dxa"/>
          </w:tcPr>
          <w:p>
            <w:pPr>
              <w:pStyle w:val="TableParagraph"/>
              <w:spacing w:before="29" w:line="218" w:lineRule="exact"/>
              <w:ind w:left="270"/>
              <w:rPr>
                <w:rFonts w:ascii="Courier New"/>
                <w:sz w:val="21"/>
              </w:rPr>
            </w:pPr>
            <w:r>
              <w:rPr>
                <w:rFonts w:ascii="Courier New"/>
                <w:color w:val="151515"/>
                <w:spacing w:val="-5"/>
                <w:sz w:val="21"/>
              </w:rPr>
              <w:t>79</w:t>
            </w:r>
          </w:p>
        </w:tc>
      </w:tr>
    </w:tbl>
    <w:p>
      <w:pPr>
        <w:spacing w:after="0" w:line="218" w:lineRule="exact"/>
        <w:rPr>
          <w:rFonts w:ascii="Courier New"/>
          <w:sz w:val="21"/>
        </w:rPr>
        <w:sectPr>
          <w:pgSz w:w="11910" w:h="16830"/>
          <w:pgMar w:top="560" w:right="920" w:bottom="280" w:left="840" w:header="0" w:footer="0"/>
        </w:sectPr>
      </w:pPr>
    </w:p>
    <w:p>
      <w:pPr>
        <w:spacing w:before="71"/>
        <w:ind w:left="101" w:right="0" w:firstLine="0"/>
        <w:jc w:val="left"/>
        <w:rPr>
          <w:b/>
          <w:sz w:val="17"/>
        </w:rPr>
      </w:pPr>
      <w:r>
        <w:rPr/>
        <ve:AlternateContent>
          <ve:Choice Requires="wps">
            <w:drawing>
              <wp:anchor distT="0" distB="0" distL="0" distR="0" simplePos="0" relativeHeight="15736832" behindDoc="0" locked="0" layoutInCell="1" allowOverlap="1">
                <wp:simplePos x="0" y="0"/>
                <wp:positionH relativeFrom="page">
                  <wp:posOffset>5622082</wp:posOffset>
                </wp:positionH>
                <wp:positionV relativeFrom="paragraph">
                  <wp:posOffset>51950</wp:posOffset>
                </wp:positionV>
                <wp:extent cx="1024255" cy="782510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024255" cy="782510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790"/>
                              <w:gridCol w:w="703"/>
                            </w:tblGrid>
                            <w:tr>
                              <w:trPr>
                                <w:trHeight w:val="323" w:hRule="atLeast"/>
                              </w:trPr>
                              <w:tc>
                                <w:tcPr>
                                  <w:tcW w:w="790" w:type="dxa"/>
                                </w:tcPr>
                                <w:p>
                                  <w:pPr>
                                    <w:pStyle w:val="TableParagraph"/>
                                    <w:spacing w:line="190" w:lineRule="exact"/>
                                    <w:ind w:right="286"/>
                                    <w:jc w:val="right"/>
                                    <w:rPr>
                                      <w:b/>
                                      <w:sz w:val="17"/>
                                    </w:rPr>
                                  </w:pPr>
                                  <w:r>
                                    <w:rPr>
                                      <w:b/>
                                      <w:color w:val="131313"/>
                                      <w:spacing w:val="-4"/>
                                      <w:w w:val="110"/>
                                      <w:sz w:val="17"/>
                                    </w:rPr>
                                    <w:t>Note</w:t>
                                  </w:r>
                                </w:p>
                              </w:tc>
                              <w:tc>
                                <w:tcPr>
                                  <w:tcW w:w="703" w:type="dxa"/>
                                </w:tcPr>
                                <w:p>
                                  <w:pPr>
                                    <w:pStyle w:val="TableParagraph"/>
                                    <w:spacing w:line="190" w:lineRule="exact"/>
                                    <w:ind w:right="48"/>
                                    <w:jc w:val="right"/>
                                    <w:rPr>
                                      <w:b/>
                                      <w:sz w:val="17"/>
                                    </w:rPr>
                                  </w:pPr>
                                  <w:r>
                                    <w:rPr>
                                      <w:b/>
                                      <w:color w:val="131313"/>
                                      <w:spacing w:val="-4"/>
                                      <w:w w:val="105"/>
                                      <w:sz w:val="17"/>
                                    </w:rPr>
                                    <w:t>Page</w:t>
                                  </w:r>
                                </w:p>
                              </w:tc>
                            </w:tr>
                            <w:tr>
                              <w:trPr>
                                <w:trHeight w:val="392" w:hRule="atLeast"/>
                              </w:trPr>
                              <w:tc>
                                <w:tcPr>
                                  <w:tcW w:w="790" w:type="dxa"/>
                                </w:tcPr>
                                <w:p>
                                  <w:pPr>
                                    <w:pStyle w:val="TableParagraph"/>
                                    <w:spacing w:before="166" w:line="207" w:lineRule="exact"/>
                                    <w:ind w:right="291"/>
                                    <w:jc w:val="right"/>
                                    <w:rPr>
                                      <w:sz w:val="18"/>
                                    </w:rPr>
                                  </w:pPr>
                                  <w:r>
                                    <w:rPr>
                                      <w:color w:val="131313"/>
                                      <w:spacing w:val="-4"/>
                                      <w:sz w:val="18"/>
                                    </w:rPr>
                                    <w:t>5.27</w:t>
                                  </w:r>
                                </w:p>
                              </w:tc>
                              <w:tc>
                                <w:tcPr>
                                  <w:tcW w:w="703" w:type="dxa"/>
                                </w:tcPr>
                                <w:p>
                                  <w:pPr>
                                    <w:pStyle w:val="TableParagraph"/>
                                    <w:spacing w:before="127"/>
                                    <w:ind w:left="337"/>
                                    <w:rPr>
                                      <w:sz w:val="18"/>
                                    </w:rPr>
                                  </w:pPr>
                                  <w:r>
                                    <w:rPr>
                                      <w:color w:val="131313"/>
                                      <w:spacing w:val="-5"/>
                                      <w:w w:val="105"/>
                                      <w:sz w:val="18"/>
                                    </w:rPr>
                                    <w:t>81</w:t>
                                  </w:r>
                                </w:p>
                              </w:tc>
                            </w:tr>
                            <w:tr>
                              <w:trPr>
                                <w:trHeight w:val="276" w:hRule="atLeast"/>
                              </w:trPr>
                              <w:tc>
                                <w:tcPr>
                                  <w:tcW w:w="790" w:type="dxa"/>
                                </w:tcPr>
                                <w:p>
                                  <w:pPr>
                                    <w:pStyle w:val="TableParagraph"/>
                                    <w:spacing w:before="52" w:line="204" w:lineRule="exact"/>
                                    <w:ind w:left="126"/>
                                    <w:rPr>
                                      <w:sz w:val="18"/>
                                    </w:rPr>
                                  </w:pPr>
                                  <w:r>
                                    <w:rPr>
                                      <w:color w:val="131313"/>
                                      <w:spacing w:val="-4"/>
                                      <w:sz w:val="18"/>
                                    </w:rPr>
                                    <w:t>5.28</w:t>
                                  </w:r>
                                </w:p>
                              </w:tc>
                              <w:tc>
                                <w:tcPr>
                                  <w:tcW w:w="703" w:type="dxa"/>
                                </w:tcPr>
                                <w:p>
                                  <w:pPr>
                                    <w:pStyle w:val="TableParagraph"/>
                                    <w:spacing w:before="13"/>
                                    <w:ind w:left="337"/>
                                    <w:rPr>
                                      <w:sz w:val="18"/>
                                    </w:rPr>
                                  </w:pPr>
                                  <w:r>
                                    <w:rPr>
                                      <w:color w:val="131313"/>
                                      <w:spacing w:val="-5"/>
                                      <w:w w:val="105"/>
                                      <w:sz w:val="18"/>
                                    </w:rPr>
                                    <w:t>82</w:t>
                                  </w:r>
                                </w:p>
                              </w:tc>
                            </w:tr>
                            <w:tr>
                              <w:trPr>
                                <w:trHeight w:val="367" w:hRule="atLeast"/>
                              </w:trPr>
                              <w:tc>
                                <w:tcPr>
                                  <w:tcW w:w="790" w:type="dxa"/>
                                </w:tcPr>
                                <w:p>
                                  <w:pPr>
                                    <w:pStyle w:val="TableParagraph"/>
                                    <w:spacing w:before="54"/>
                                    <w:ind w:left="126"/>
                                    <w:rPr>
                                      <w:sz w:val="18"/>
                                    </w:rPr>
                                  </w:pPr>
                                  <w:r>
                                    <w:rPr>
                                      <w:color w:val="131313"/>
                                      <w:spacing w:val="-4"/>
                                      <w:sz w:val="18"/>
                                    </w:rPr>
                                    <w:t>5</w:t>
                                  </w:r>
                                  <w:r>
                                    <w:rPr>
                                      <w:color w:val="424242"/>
                                      <w:spacing w:val="-4"/>
                                      <w:sz w:val="18"/>
                                    </w:rPr>
                                    <w:t>.</w:t>
                                  </w:r>
                                  <w:r>
                                    <w:rPr>
                                      <w:color w:val="131313"/>
                                      <w:spacing w:val="-4"/>
                                      <w:sz w:val="18"/>
                                    </w:rPr>
                                    <w:t>29</w:t>
                                  </w:r>
                                </w:p>
                              </w:tc>
                              <w:tc>
                                <w:tcPr>
                                  <w:tcW w:w="703" w:type="dxa"/>
                                </w:tcPr>
                                <w:p>
                                  <w:pPr>
                                    <w:pStyle w:val="TableParagraph"/>
                                    <w:spacing w:before="11"/>
                                    <w:ind w:left="337"/>
                                    <w:rPr>
                                      <w:sz w:val="18"/>
                                    </w:rPr>
                                  </w:pPr>
                                  <w:r>
                                    <w:rPr>
                                      <w:color w:val="131313"/>
                                      <w:spacing w:val="-5"/>
                                      <w:sz w:val="18"/>
                                    </w:rPr>
                                    <w:t>89</w:t>
                                  </w:r>
                                </w:p>
                              </w:tc>
                            </w:tr>
                            <w:tr>
                              <w:trPr>
                                <w:trHeight w:val="365" w:hRule="atLeast"/>
                              </w:trPr>
                              <w:tc>
                                <w:tcPr>
                                  <w:tcW w:w="790" w:type="dxa"/>
                                </w:tcPr>
                                <w:p>
                                  <w:pPr>
                                    <w:pStyle w:val="TableParagraph"/>
                                    <w:spacing w:before="138" w:line="207" w:lineRule="exact"/>
                                    <w:ind w:right="219"/>
                                    <w:jc w:val="right"/>
                                    <w:rPr>
                                      <w:sz w:val="18"/>
                                    </w:rPr>
                                  </w:pPr>
                                  <w:r>
                                    <w:rPr>
                                      <w:color w:val="131313"/>
                                      <w:spacing w:val="-2"/>
                                      <w:w w:val="105"/>
                                      <w:sz w:val="18"/>
                                    </w:rPr>
                                    <w:t>5</w:t>
                                  </w:r>
                                  <w:r>
                                    <w:rPr>
                                      <w:color w:val="424242"/>
                                      <w:spacing w:val="-2"/>
                                      <w:w w:val="105"/>
                                      <w:sz w:val="18"/>
                                    </w:rPr>
                                    <w:t>.</w:t>
                                  </w:r>
                                  <w:r>
                                    <w:rPr>
                                      <w:color w:val="131313"/>
                                      <w:spacing w:val="-2"/>
                                      <w:w w:val="105"/>
                                      <w:sz w:val="18"/>
                                    </w:rPr>
                                    <w:t>29</w:t>
                                  </w:r>
                                  <w:r>
                                    <w:rPr>
                                      <w:color w:val="424242"/>
                                      <w:spacing w:val="-2"/>
                                      <w:w w:val="105"/>
                                      <w:sz w:val="18"/>
                                    </w:rPr>
                                    <w:t>.</w:t>
                                  </w:r>
                                  <w:r>
                                    <w:rPr>
                                      <w:color w:val="131313"/>
                                      <w:spacing w:val="-2"/>
                                      <w:w w:val="105"/>
                                      <w:sz w:val="18"/>
                                    </w:rPr>
                                    <w:t>1</w:t>
                                  </w:r>
                                </w:p>
                              </w:tc>
                              <w:tc>
                                <w:tcPr>
                                  <w:tcW w:w="703" w:type="dxa"/>
                                </w:tcPr>
                                <w:p>
                                  <w:pPr>
                                    <w:pStyle w:val="TableParagraph"/>
                                    <w:spacing w:before="100"/>
                                    <w:ind w:left="336"/>
                                    <w:rPr>
                                      <w:sz w:val="18"/>
                                    </w:rPr>
                                  </w:pPr>
                                  <w:r>
                                    <w:rPr>
                                      <w:color w:val="131313"/>
                                      <w:spacing w:val="-5"/>
                                      <w:sz w:val="18"/>
                                    </w:rPr>
                                    <w:t>90</w:t>
                                  </w:r>
                                </w:p>
                              </w:tc>
                            </w:tr>
                            <w:tr>
                              <w:trPr>
                                <w:trHeight w:val="362" w:hRule="atLeast"/>
                              </w:trPr>
                              <w:tc>
                                <w:tcPr>
                                  <w:tcW w:w="790" w:type="dxa"/>
                                </w:tcPr>
                                <w:p>
                                  <w:pPr>
                                    <w:pStyle w:val="TableParagraph"/>
                                    <w:spacing w:before="47"/>
                                    <w:ind w:right="237"/>
                                    <w:jc w:val="right"/>
                                    <w:rPr>
                                      <w:sz w:val="18"/>
                                    </w:rPr>
                                  </w:pPr>
                                  <w:r>
                                    <w:rPr>
                                      <w:color w:val="131313"/>
                                      <w:spacing w:val="-2"/>
                                      <w:sz w:val="18"/>
                                    </w:rPr>
                                    <w:t>5.29.2</w:t>
                                  </w:r>
                                </w:p>
                              </w:tc>
                              <w:tc>
                                <w:tcPr>
                                  <w:tcW w:w="703" w:type="dxa"/>
                                </w:tcPr>
                                <w:p>
                                  <w:pPr>
                                    <w:pStyle w:val="TableParagraph"/>
                                    <w:spacing w:before="13"/>
                                    <w:ind w:left="341"/>
                                    <w:rPr>
                                      <w:sz w:val="18"/>
                                    </w:rPr>
                                  </w:pPr>
                                  <w:r>
                                    <w:rPr>
                                      <w:color w:val="131313"/>
                                      <w:spacing w:val="-5"/>
                                      <w:sz w:val="18"/>
                                    </w:rPr>
                                    <w:t>90</w:t>
                                  </w:r>
                                </w:p>
                              </w:tc>
                            </w:tr>
                            <w:tr>
                              <w:trPr>
                                <w:trHeight w:val="367" w:hRule="atLeast"/>
                              </w:trPr>
                              <w:tc>
                                <w:tcPr>
                                  <w:tcW w:w="790" w:type="dxa"/>
                                </w:tcPr>
                                <w:p>
                                  <w:pPr>
                                    <w:pStyle w:val="TableParagraph"/>
                                    <w:spacing w:before="141" w:line="207" w:lineRule="exact"/>
                                    <w:ind w:right="231"/>
                                    <w:jc w:val="right"/>
                                    <w:rPr>
                                      <w:sz w:val="18"/>
                                    </w:rPr>
                                  </w:pPr>
                                  <w:r>
                                    <w:rPr>
                                      <w:color w:val="131313"/>
                                      <w:spacing w:val="-2"/>
                                      <w:sz w:val="18"/>
                                    </w:rPr>
                                    <w:t>5.29.3</w:t>
                                  </w:r>
                                </w:p>
                              </w:tc>
                              <w:tc>
                                <w:tcPr>
                                  <w:tcW w:w="703" w:type="dxa"/>
                                </w:tcPr>
                                <w:p>
                                  <w:pPr>
                                    <w:pStyle w:val="TableParagraph"/>
                                    <w:spacing w:before="102"/>
                                    <w:ind w:left="341"/>
                                    <w:rPr>
                                      <w:sz w:val="18"/>
                                    </w:rPr>
                                  </w:pPr>
                                  <w:r>
                                    <w:rPr>
                                      <w:color w:val="131313"/>
                                      <w:spacing w:val="-5"/>
                                      <w:w w:val="105"/>
                                      <w:sz w:val="18"/>
                                    </w:rPr>
                                    <w:t>91</w:t>
                                  </w:r>
                                </w:p>
                              </w:tc>
                            </w:tr>
                            <w:tr>
                              <w:trPr>
                                <w:trHeight w:val="283" w:hRule="atLeast"/>
                              </w:trPr>
                              <w:tc>
                                <w:tcPr>
                                  <w:tcW w:w="790" w:type="dxa"/>
                                </w:tcPr>
                                <w:p>
                                  <w:pPr>
                                    <w:pStyle w:val="TableParagraph"/>
                                    <w:spacing w:before="52"/>
                                    <w:ind w:right="232"/>
                                    <w:jc w:val="right"/>
                                    <w:rPr>
                                      <w:sz w:val="18"/>
                                    </w:rPr>
                                  </w:pPr>
                                  <w:r>
                                    <w:rPr>
                                      <w:color w:val="131313"/>
                                      <w:spacing w:val="-2"/>
                                      <w:sz w:val="18"/>
                                    </w:rPr>
                                    <w:t>5.29.4</w:t>
                                  </w:r>
                                </w:p>
                              </w:tc>
                              <w:tc>
                                <w:tcPr>
                                  <w:tcW w:w="703" w:type="dxa"/>
                                </w:tcPr>
                                <w:p>
                                  <w:pPr>
                                    <w:pStyle w:val="TableParagraph"/>
                                    <w:spacing w:before="13"/>
                                    <w:ind w:left="341"/>
                                    <w:rPr>
                                      <w:sz w:val="18"/>
                                    </w:rPr>
                                  </w:pPr>
                                  <w:r>
                                    <w:rPr>
                                      <w:color w:val="131313"/>
                                      <w:spacing w:val="-5"/>
                                      <w:w w:val="105"/>
                                      <w:sz w:val="18"/>
                                    </w:rPr>
                                    <w:t>92</w:t>
                                  </w:r>
                                </w:p>
                              </w:tc>
                            </w:tr>
                            <w:tr>
                              <w:trPr>
                                <w:trHeight w:val="271" w:hRule="atLeast"/>
                              </w:trPr>
                              <w:tc>
                                <w:tcPr>
                                  <w:tcW w:w="790" w:type="dxa"/>
                                </w:tcPr>
                                <w:p>
                                  <w:pPr>
                                    <w:pStyle w:val="TableParagraph"/>
                                    <w:spacing w:before="47" w:line="204" w:lineRule="exact"/>
                                    <w:ind w:right="227"/>
                                    <w:jc w:val="right"/>
                                    <w:rPr>
                                      <w:sz w:val="18"/>
                                    </w:rPr>
                                  </w:pPr>
                                  <w:r>
                                    <w:rPr>
                                      <w:color w:val="131313"/>
                                      <w:spacing w:val="-2"/>
                                      <w:sz w:val="18"/>
                                    </w:rPr>
                                    <w:t>5.29.5</w:t>
                                  </w:r>
                                </w:p>
                              </w:tc>
                              <w:tc>
                                <w:tcPr>
                                  <w:tcW w:w="703" w:type="dxa"/>
                                </w:tcPr>
                                <w:p>
                                  <w:pPr>
                                    <w:pStyle w:val="TableParagraph"/>
                                    <w:spacing w:before="18"/>
                                    <w:ind w:left="343"/>
                                    <w:rPr>
                                      <w:b/>
                                      <w:sz w:val="17"/>
                                    </w:rPr>
                                  </w:pPr>
                                  <w:r>
                                    <w:rPr>
                                      <w:b/>
                                      <w:color w:val="131313"/>
                                      <w:spacing w:val="-5"/>
                                      <w:w w:val="105"/>
                                      <w:sz w:val="17"/>
                                    </w:rPr>
                                    <w:t>94</w:t>
                                  </w:r>
                                </w:p>
                              </w:tc>
                            </w:tr>
                            <w:tr>
                              <w:trPr>
                                <w:trHeight w:val="276" w:hRule="atLeast"/>
                              </w:trPr>
                              <w:tc>
                                <w:tcPr>
                                  <w:tcW w:w="790" w:type="dxa"/>
                                </w:tcPr>
                                <w:p>
                                  <w:pPr>
                                    <w:pStyle w:val="TableParagraph"/>
                                    <w:spacing w:before="50" w:line="207" w:lineRule="exact"/>
                                    <w:ind w:right="300"/>
                                    <w:jc w:val="right"/>
                                    <w:rPr>
                                      <w:sz w:val="18"/>
                                    </w:rPr>
                                  </w:pPr>
                                  <w:r>
                                    <w:rPr>
                                      <w:color w:val="131313"/>
                                      <w:spacing w:val="-4"/>
                                      <w:sz w:val="18"/>
                                    </w:rPr>
                                    <w:t>5</w:t>
                                  </w:r>
                                  <w:r>
                                    <w:rPr>
                                      <w:color w:val="424242"/>
                                      <w:spacing w:val="-4"/>
                                      <w:sz w:val="18"/>
                                    </w:rPr>
                                    <w:t>.</w:t>
                                  </w:r>
                                  <w:r>
                                    <w:rPr>
                                      <w:color w:val="131313"/>
                                      <w:spacing w:val="-4"/>
                                      <w:sz w:val="18"/>
                                    </w:rPr>
                                    <w:t>30</w:t>
                                  </w:r>
                                </w:p>
                              </w:tc>
                              <w:tc>
                                <w:tcPr>
                                  <w:tcW w:w="703" w:type="dxa"/>
                                </w:tcPr>
                                <w:p>
                                  <w:pPr>
                                    <w:pStyle w:val="TableParagraph"/>
                                    <w:spacing w:before="11"/>
                                    <w:ind w:left="341"/>
                                    <w:rPr>
                                      <w:sz w:val="18"/>
                                    </w:rPr>
                                  </w:pPr>
                                  <w:r>
                                    <w:rPr>
                                      <w:color w:val="131313"/>
                                      <w:spacing w:val="-5"/>
                                      <w:sz w:val="18"/>
                                    </w:rPr>
                                    <w:t>96</w:t>
                                  </w:r>
                                </w:p>
                              </w:tc>
                            </w:tr>
                            <w:tr>
                              <w:trPr>
                                <w:trHeight w:val="276" w:hRule="atLeast"/>
                              </w:trPr>
                              <w:tc>
                                <w:tcPr>
                                  <w:tcW w:w="790" w:type="dxa"/>
                                </w:tcPr>
                                <w:p>
                                  <w:pPr>
                                    <w:pStyle w:val="TableParagraph"/>
                                    <w:spacing w:before="52" w:line="204" w:lineRule="exact"/>
                                    <w:ind w:right="232"/>
                                    <w:jc w:val="right"/>
                                    <w:rPr>
                                      <w:sz w:val="18"/>
                                    </w:rPr>
                                  </w:pPr>
                                  <w:r>
                                    <w:rPr>
                                      <w:color w:val="131313"/>
                                      <w:spacing w:val="-2"/>
                                      <w:sz w:val="18"/>
                                    </w:rPr>
                                    <w:t>5.30.1</w:t>
                                  </w:r>
                                </w:p>
                              </w:tc>
                              <w:tc>
                                <w:tcPr>
                                  <w:tcW w:w="703" w:type="dxa"/>
                                </w:tcPr>
                                <w:p>
                                  <w:pPr>
                                    <w:pStyle w:val="TableParagraph"/>
                                    <w:spacing w:before="13"/>
                                    <w:ind w:left="341"/>
                                    <w:rPr>
                                      <w:sz w:val="18"/>
                                    </w:rPr>
                                  </w:pPr>
                                  <w:r>
                                    <w:rPr>
                                      <w:color w:val="131313"/>
                                      <w:spacing w:val="-5"/>
                                      <w:w w:val="105"/>
                                      <w:sz w:val="18"/>
                                    </w:rPr>
                                    <w:t>97</w:t>
                                  </w:r>
                                </w:p>
                              </w:tc>
                            </w:tr>
                            <w:tr>
                              <w:trPr>
                                <w:trHeight w:val="276" w:hRule="atLeast"/>
                              </w:trPr>
                              <w:tc>
                                <w:tcPr>
                                  <w:tcW w:w="790" w:type="dxa"/>
                                </w:tcPr>
                                <w:p>
                                  <w:pPr>
                                    <w:pStyle w:val="TableParagraph"/>
                                    <w:spacing w:before="50" w:line="207" w:lineRule="exact"/>
                                    <w:ind w:right="224"/>
                                    <w:jc w:val="right"/>
                                    <w:rPr>
                                      <w:sz w:val="18"/>
                                    </w:rPr>
                                  </w:pPr>
                                  <w:r>
                                    <w:rPr>
                                      <w:color w:val="131313"/>
                                      <w:spacing w:val="-2"/>
                                      <w:sz w:val="18"/>
                                    </w:rPr>
                                    <w:t>5</w:t>
                                  </w:r>
                                  <w:r>
                                    <w:rPr>
                                      <w:color w:val="424242"/>
                                      <w:spacing w:val="-2"/>
                                      <w:sz w:val="18"/>
                                    </w:rPr>
                                    <w:t>.</w:t>
                                  </w:r>
                                  <w:r>
                                    <w:rPr>
                                      <w:color w:val="131313"/>
                                      <w:spacing w:val="-2"/>
                                      <w:sz w:val="18"/>
                                    </w:rPr>
                                    <w:t>30.2</w:t>
                                  </w:r>
                                </w:p>
                              </w:tc>
                              <w:tc>
                                <w:tcPr>
                                  <w:tcW w:w="703" w:type="dxa"/>
                                </w:tcPr>
                                <w:p>
                                  <w:pPr>
                                    <w:pStyle w:val="TableParagraph"/>
                                    <w:spacing w:before="11"/>
                                    <w:ind w:left="341"/>
                                    <w:rPr>
                                      <w:sz w:val="18"/>
                                    </w:rPr>
                                  </w:pPr>
                                  <w:r>
                                    <w:rPr>
                                      <w:color w:val="131313"/>
                                      <w:spacing w:val="-5"/>
                                      <w:w w:val="105"/>
                                      <w:sz w:val="18"/>
                                    </w:rPr>
                                    <w:t>97</w:t>
                                  </w:r>
                                </w:p>
                              </w:tc>
                            </w:tr>
                            <w:tr>
                              <w:trPr>
                                <w:trHeight w:val="276" w:hRule="atLeast"/>
                              </w:trPr>
                              <w:tc>
                                <w:tcPr>
                                  <w:tcW w:w="790" w:type="dxa"/>
                                </w:tcPr>
                                <w:p>
                                  <w:pPr>
                                    <w:pStyle w:val="TableParagraph"/>
                                    <w:spacing w:before="52" w:line="204" w:lineRule="exact"/>
                                    <w:ind w:right="227"/>
                                    <w:jc w:val="right"/>
                                    <w:rPr>
                                      <w:sz w:val="18"/>
                                    </w:rPr>
                                  </w:pPr>
                                  <w:r>
                                    <w:rPr>
                                      <w:color w:val="131313"/>
                                      <w:spacing w:val="-2"/>
                                      <w:sz w:val="18"/>
                                    </w:rPr>
                                    <w:t>5.30.3</w:t>
                                  </w:r>
                                </w:p>
                              </w:tc>
                              <w:tc>
                                <w:tcPr>
                                  <w:tcW w:w="703" w:type="dxa"/>
                                </w:tcPr>
                                <w:p>
                                  <w:pPr>
                                    <w:pStyle w:val="TableParagraph"/>
                                    <w:spacing w:before="13"/>
                                    <w:ind w:left="291"/>
                                    <w:rPr>
                                      <w:sz w:val="18"/>
                                    </w:rPr>
                                  </w:pPr>
                                  <w:r>
                                    <w:rPr>
                                      <w:color w:val="131313"/>
                                      <w:spacing w:val="-5"/>
                                      <w:sz w:val="18"/>
                                    </w:rPr>
                                    <w:t>100</w:t>
                                  </w:r>
                                </w:p>
                              </w:tc>
                            </w:tr>
                            <w:tr>
                              <w:trPr>
                                <w:trHeight w:val="278" w:hRule="atLeast"/>
                              </w:trPr>
                              <w:tc>
                                <w:tcPr>
                                  <w:tcW w:w="790" w:type="dxa"/>
                                </w:tcPr>
                                <w:p>
                                  <w:pPr>
                                    <w:pStyle w:val="TableParagraph"/>
                                    <w:spacing w:before="54" w:line="204" w:lineRule="exact"/>
                                    <w:ind w:right="227"/>
                                    <w:jc w:val="right"/>
                                    <w:rPr>
                                      <w:sz w:val="18"/>
                                    </w:rPr>
                                  </w:pPr>
                                  <w:r>
                                    <w:rPr>
                                      <w:color w:val="131313"/>
                                      <w:spacing w:val="-2"/>
                                      <w:sz w:val="18"/>
                                    </w:rPr>
                                    <w:t>5.30.4</w:t>
                                  </w:r>
                                </w:p>
                              </w:tc>
                              <w:tc>
                                <w:tcPr>
                                  <w:tcW w:w="703" w:type="dxa"/>
                                </w:tcPr>
                                <w:p>
                                  <w:pPr>
                                    <w:pStyle w:val="TableParagraph"/>
                                    <w:spacing w:before="11"/>
                                    <w:ind w:left="296"/>
                                    <w:rPr>
                                      <w:sz w:val="18"/>
                                    </w:rPr>
                                  </w:pPr>
                                  <w:r>
                                    <w:rPr>
                                      <w:color w:val="131313"/>
                                      <w:spacing w:val="-5"/>
                                      <w:sz w:val="18"/>
                                    </w:rPr>
                                    <w:t>100</w:t>
                                  </w:r>
                                </w:p>
                              </w:tc>
                            </w:tr>
                            <w:tr>
                              <w:trPr>
                                <w:trHeight w:val="273" w:hRule="atLeast"/>
                              </w:trPr>
                              <w:tc>
                                <w:tcPr>
                                  <w:tcW w:w="790" w:type="dxa"/>
                                </w:tcPr>
                                <w:p>
                                  <w:pPr>
                                    <w:pStyle w:val="TableParagraph"/>
                                    <w:spacing w:before="50" w:line="204" w:lineRule="exact"/>
                                    <w:ind w:right="293"/>
                                    <w:jc w:val="right"/>
                                    <w:rPr>
                                      <w:sz w:val="18"/>
                                    </w:rPr>
                                  </w:pPr>
                                  <w:r>
                                    <w:rPr>
                                      <w:color w:val="131313"/>
                                      <w:spacing w:val="-4"/>
                                      <w:sz w:val="18"/>
                                    </w:rPr>
                                    <w:t>5.31</w:t>
                                  </w:r>
                                </w:p>
                              </w:tc>
                              <w:tc>
                                <w:tcPr>
                                  <w:tcW w:w="703" w:type="dxa"/>
                                </w:tcPr>
                                <w:p>
                                  <w:pPr>
                                    <w:pStyle w:val="TableParagraph"/>
                                    <w:spacing w:before="11"/>
                                    <w:ind w:left="291"/>
                                    <w:rPr>
                                      <w:sz w:val="18"/>
                                    </w:rPr>
                                  </w:pPr>
                                  <w:r>
                                    <w:rPr>
                                      <w:color w:val="131313"/>
                                      <w:spacing w:val="-5"/>
                                      <w:w w:val="105"/>
                                      <w:sz w:val="18"/>
                                    </w:rPr>
                                    <w:t>101</w:t>
                                  </w:r>
                                </w:p>
                              </w:tc>
                            </w:tr>
                            <w:tr>
                              <w:trPr>
                                <w:trHeight w:val="276" w:hRule="atLeast"/>
                              </w:trPr>
                              <w:tc>
                                <w:tcPr>
                                  <w:tcW w:w="790" w:type="dxa"/>
                                </w:tcPr>
                                <w:p>
                                  <w:pPr>
                                    <w:pStyle w:val="TableParagraph"/>
                                    <w:spacing w:before="50" w:line="207" w:lineRule="exact"/>
                                    <w:ind w:right="232"/>
                                    <w:jc w:val="right"/>
                                    <w:rPr>
                                      <w:sz w:val="18"/>
                                    </w:rPr>
                                  </w:pPr>
                                  <w:r>
                                    <w:rPr>
                                      <w:color w:val="131313"/>
                                      <w:spacing w:val="-2"/>
                                      <w:sz w:val="18"/>
                                    </w:rPr>
                                    <w:t>5.31.1</w:t>
                                  </w:r>
                                </w:p>
                              </w:tc>
                              <w:tc>
                                <w:tcPr>
                                  <w:tcW w:w="703" w:type="dxa"/>
                                </w:tcPr>
                                <w:p>
                                  <w:pPr>
                                    <w:pStyle w:val="TableParagraph"/>
                                    <w:spacing w:before="11"/>
                                    <w:ind w:left="296"/>
                                    <w:rPr>
                                      <w:sz w:val="18"/>
                                    </w:rPr>
                                  </w:pPr>
                                  <w:r>
                                    <w:rPr>
                                      <w:color w:val="131313"/>
                                      <w:spacing w:val="-5"/>
                                      <w:sz w:val="18"/>
                                    </w:rPr>
                                    <w:t>101</w:t>
                                  </w:r>
                                </w:p>
                              </w:tc>
                            </w:tr>
                            <w:tr>
                              <w:trPr>
                                <w:trHeight w:val="278" w:hRule="atLeast"/>
                              </w:trPr>
                              <w:tc>
                                <w:tcPr>
                                  <w:tcW w:w="790" w:type="dxa"/>
                                </w:tcPr>
                                <w:p>
                                  <w:pPr>
                                    <w:pStyle w:val="TableParagraph"/>
                                    <w:spacing w:before="52" w:line="207" w:lineRule="exact"/>
                                    <w:ind w:right="227"/>
                                    <w:jc w:val="right"/>
                                    <w:rPr>
                                      <w:sz w:val="18"/>
                                    </w:rPr>
                                  </w:pPr>
                                  <w:r>
                                    <w:rPr>
                                      <w:color w:val="131313"/>
                                      <w:spacing w:val="-2"/>
                                      <w:sz w:val="18"/>
                                    </w:rPr>
                                    <w:t>5.31.2</w:t>
                                  </w:r>
                                </w:p>
                              </w:tc>
                              <w:tc>
                                <w:tcPr>
                                  <w:tcW w:w="703" w:type="dxa"/>
                                </w:tcPr>
                                <w:p>
                                  <w:pPr>
                                    <w:pStyle w:val="TableParagraph"/>
                                    <w:spacing w:before="13"/>
                                    <w:ind w:left="296"/>
                                    <w:rPr>
                                      <w:sz w:val="18"/>
                                    </w:rPr>
                                  </w:pPr>
                                  <w:r>
                                    <w:rPr>
                                      <w:color w:val="131313"/>
                                      <w:spacing w:val="-5"/>
                                      <w:sz w:val="18"/>
                                    </w:rPr>
                                    <w:t>102</w:t>
                                  </w:r>
                                </w:p>
                              </w:tc>
                            </w:tr>
                            <w:tr>
                              <w:trPr>
                                <w:trHeight w:val="273" w:hRule="atLeast"/>
                              </w:trPr>
                              <w:tc>
                                <w:tcPr>
                                  <w:tcW w:w="790" w:type="dxa"/>
                                </w:tcPr>
                                <w:p>
                                  <w:pPr>
                                    <w:pStyle w:val="TableParagraph"/>
                                    <w:spacing w:before="47" w:line="207" w:lineRule="exact"/>
                                    <w:ind w:right="222"/>
                                    <w:jc w:val="right"/>
                                    <w:rPr>
                                      <w:sz w:val="18"/>
                                    </w:rPr>
                                  </w:pPr>
                                  <w:r>
                                    <w:rPr>
                                      <w:color w:val="131313"/>
                                      <w:spacing w:val="-2"/>
                                      <w:sz w:val="18"/>
                                    </w:rPr>
                                    <w:t>5.31.3</w:t>
                                  </w:r>
                                </w:p>
                              </w:tc>
                              <w:tc>
                                <w:tcPr>
                                  <w:tcW w:w="703" w:type="dxa"/>
                                </w:tcPr>
                                <w:p>
                                  <w:pPr>
                                    <w:pStyle w:val="TableParagraph"/>
                                    <w:spacing w:before="13"/>
                                    <w:ind w:left="296"/>
                                    <w:rPr>
                                      <w:sz w:val="18"/>
                                    </w:rPr>
                                  </w:pPr>
                                  <w:r>
                                    <w:rPr>
                                      <w:color w:val="131313"/>
                                      <w:spacing w:val="-5"/>
                                      <w:sz w:val="18"/>
                                    </w:rPr>
                                    <w:t>103</w:t>
                                  </w:r>
                                </w:p>
                              </w:tc>
                            </w:tr>
                            <w:tr>
                              <w:trPr>
                                <w:trHeight w:val="278" w:hRule="atLeast"/>
                              </w:trPr>
                              <w:tc>
                                <w:tcPr>
                                  <w:tcW w:w="790" w:type="dxa"/>
                                </w:tcPr>
                                <w:p>
                                  <w:pPr>
                                    <w:pStyle w:val="TableParagraph"/>
                                    <w:spacing w:before="52" w:line="207" w:lineRule="exact"/>
                                    <w:ind w:right="227"/>
                                    <w:jc w:val="right"/>
                                    <w:rPr>
                                      <w:sz w:val="18"/>
                                    </w:rPr>
                                  </w:pPr>
                                  <w:r>
                                    <w:rPr>
                                      <w:color w:val="131313"/>
                                      <w:spacing w:val="-2"/>
                                      <w:sz w:val="18"/>
                                    </w:rPr>
                                    <w:t>5.31.4</w:t>
                                  </w:r>
                                </w:p>
                              </w:tc>
                              <w:tc>
                                <w:tcPr>
                                  <w:tcW w:w="703" w:type="dxa"/>
                                </w:tcPr>
                                <w:p>
                                  <w:pPr>
                                    <w:pStyle w:val="TableParagraph"/>
                                    <w:spacing w:before="13"/>
                                    <w:ind w:left="296"/>
                                    <w:rPr>
                                      <w:sz w:val="18"/>
                                    </w:rPr>
                                  </w:pPr>
                                  <w:r>
                                    <w:rPr>
                                      <w:color w:val="131313"/>
                                      <w:spacing w:val="-5"/>
                                      <w:sz w:val="18"/>
                                    </w:rPr>
                                    <w:t>103</w:t>
                                  </w:r>
                                </w:p>
                              </w:tc>
                            </w:tr>
                            <w:tr>
                              <w:trPr>
                                <w:trHeight w:val="273" w:hRule="atLeast"/>
                              </w:trPr>
                              <w:tc>
                                <w:tcPr>
                                  <w:tcW w:w="790" w:type="dxa"/>
                                </w:tcPr>
                                <w:p>
                                  <w:pPr>
                                    <w:pStyle w:val="TableParagraph"/>
                                    <w:spacing w:before="47" w:line="207" w:lineRule="exact"/>
                                    <w:ind w:right="222"/>
                                    <w:jc w:val="right"/>
                                    <w:rPr>
                                      <w:sz w:val="18"/>
                                    </w:rPr>
                                  </w:pPr>
                                  <w:r>
                                    <w:rPr>
                                      <w:color w:val="131313"/>
                                      <w:spacing w:val="-2"/>
                                      <w:sz w:val="18"/>
                                    </w:rPr>
                                    <w:t>5.31.5</w:t>
                                  </w:r>
                                </w:p>
                              </w:tc>
                              <w:tc>
                                <w:tcPr>
                                  <w:tcW w:w="703" w:type="dxa"/>
                                </w:tcPr>
                                <w:p>
                                  <w:pPr>
                                    <w:pStyle w:val="TableParagraph"/>
                                    <w:spacing w:before="13"/>
                                    <w:ind w:left="296"/>
                                    <w:rPr>
                                      <w:sz w:val="18"/>
                                    </w:rPr>
                                  </w:pPr>
                                  <w:r>
                                    <w:rPr>
                                      <w:color w:val="131313"/>
                                      <w:spacing w:val="-5"/>
                                      <w:sz w:val="18"/>
                                    </w:rPr>
                                    <w:t>104</w:t>
                                  </w:r>
                                </w:p>
                              </w:tc>
                            </w:tr>
                            <w:tr>
                              <w:trPr>
                                <w:trHeight w:val="278" w:hRule="atLeast"/>
                              </w:trPr>
                              <w:tc>
                                <w:tcPr>
                                  <w:tcW w:w="790" w:type="dxa"/>
                                </w:tcPr>
                                <w:p>
                                  <w:pPr>
                                    <w:pStyle w:val="TableParagraph"/>
                                    <w:spacing w:before="52" w:line="207" w:lineRule="exact"/>
                                    <w:ind w:right="222"/>
                                    <w:jc w:val="right"/>
                                    <w:rPr>
                                      <w:sz w:val="18"/>
                                    </w:rPr>
                                  </w:pPr>
                                  <w:r>
                                    <w:rPr>
                                      <w:color w:val="131313"/>
                                      <w:spacing w:val="-2"/>
                                      <w:sz w:val="18"/>
                                    </w:rPr>
                                    <w:t>5.31.6</w:t>
                                  </w:r>
                                </w:p>
                              </w:tc>
                              <w:tc>
                                <w:tcPr>
                                  <w:tcW w:w="703" w:type="dxa"/>
                                </w:tcPr>
                                <w:p>
                                  <w:pPr>
                                    <w:pStyle w:val="TableParagraph"/>
                                    <w:spacing w:before="13"/>
                                    <w:ind w:left="296"/>
                                    <w:rPr>
                                      <w:sz w:val="18"/>
                                    </w:rPr>
                                  </w:pPr>
                                  <w:r>
                                    <w:rPr>
                                      <w:color w:val="131313"/>
                                      <w:spacing w:val="-5"/>
                                      <w:w w:val="105"/>
                                      <w:sz w:val="18"/>
                                    </w:rPr>
                                    <w:t>104</w:t>
                                  </w:r>
                                </w:p>
                              </w:tc>
                            </w:tr>
                            <w:tr>
                              <w:trPr>
                                <w:trHeight w:val="276" w:hRule="atLeast"/>
                              </w:trPr>
                              <w:tc>
                                <w:tcPr>
                                  <w:tcW w:w="790" w:type="dxa"/>
                                </w:tcPr>
                                <w:p>
                                  <w:pPr>
                                    <w:pStyle w:val="TableParagraph"/>
                                    <w:spacing w:before="52" w:line="204" w:lineRule="exact"/>
                                    <w:ind w:right="300"/>
                                    <w:jc w:val="right"/>
                                    <w:rPr>
                                      <w:sz w:val="18"/>
                                    </w:rPr>
                                  </w:pPr>
                                  <w:r>
                                    <w:rPr>
                                      <w:color w:val="131313"/>
                                      <w:spacing w:val="-4"/>
                                      <w:sz w:val="18"/>
                                    </w:rPr>
                                    <w:t>5.32</w:t>
                                  </w:r>
                                </w:p>
                              </w:tc>
                              <w:tc>
                                <w:tcPr>
                                  <w:tcW w:w="703" w:type="dxa"/>
                                </w:tcPr>
                                <w:p>
                                  <w:pPr>
                                    <w:pStyle w:val="TableParagraph"/>
                                    <w:spacing w:before="13"/>
                                    <w:ind w:left="296"/>
                                    <w:rPr>
                                      <w:sz w:val="18"/>
                                    </w:rPr>
                                  </w:pPr>
                                  <w:r>
                                    <w:rPr>
                                      <w:color w:val="131313"/>
                                      <w:spacing w:val="-5"/>
                                      <w:sz w:val="18"/>
                                    </w:rPr>
                                    <w:t>105</w:t>
                                  </w:r>
                                </w:p>
                              </w:tc>
                            </w:tr>
                            <w:tr>
                              <w:trPr>
                                <w:trHeight w:val="276" w:hRule="atLeast"/>
                              </w:trPr>
                              <w:tc>
                                <w:tcPr>
                                  <w:tcW w:w="790" w:type="dxa"/>
                                </w:tcPr>
                                <w:p>
                                  <w:pPr>
                                    <w:pStyle w:val="TableParagraph"/>
                                    <w:spacing w:before="50" w:line="207" w:lineRule="exact"/>
                                    <w:ind w:right="295"/>
                                    <w:jc w:val="right"/>
                                    <w:rPr>
                                      <w:sz w:val="18"/>
                                    </w:rPr>
                                  </w:pPr>
                                  <w:r>
                                    <w:rPr>
                                      <w:color w:val="131313"/>
                                      <w:spacing w:val="-4"/>
                                      <w:sz w:val="18"/>
                                    </w:rPr>
                                    <w:t>5.33</w:t>
                                  </w:r>
                                </w:p>
                              </w:tc>
                              <w:tc>
                                <w:tcPr>
                                  <w:tcW w:w="703" w:type="dxa"/>
                                </w:tcPr>
                                <w:p>
                                  <w:pPr>
                                    <w:pStyle w:val="TableParagraph"/>
                                    <w:spacing w:before="11"/>
                                    <w:ind w:left="300"/>
                                    <w:rPr>
                                      <w:sz w:val="18"/>
                                    </w:rPr>
                                  </w:pPr>
                                  <w:r>
                                    <w:rPr>
                                      <w:color w:val="131313"/>
                                      <w:spacing w:val="-5"/>
                                      <w:sz w:val="18"/>
                                    </w:rPr>
                                    <w:t>106</w:t>
                                  </w:r>
                                </w:p>
                              </w:tc>
                            </w:tr>
                            <w:tr>
                              <w:trPr>
                                <w:trHeight w:val="273" w:hRule="atLeast"/>
                              </w:trPr>
                              <w:tc>
                                <w:tcPr>
                                  <w:tcW w:w="790" w:type="dxa"/>
                                </w:tcPr>
                                <w:p>
                                  <w:pPr>
                                    <w:pStyle w:val="TableParagraph"/>
                                    <w:spacing w:before="47" w:line="207" w:lineRule="exact"/>
                                    <w:ind w:right="288"/>
                                    <w:jc w:val="right"/>
                                    <w:rPr>
                                      <w:sz w:val="18"/>
                                    </w:rPr>
                                  </w:pPr>
                                  <w:r>
                                    <w:rPr>
                                      <w:color w:val="131313"/>
                                      <w:spacing w:val="-4"/>
                                      <w:sz w:val="18"/>
                                    </w:rPr>
                                    <w:t>5.34</w:t>
                                  </w:r>
                                </w:p>
                              </w:tc>
                              <w:tc>
                                <w:tcPr>
                                  <w:tcW w:w="703" w:type="dxa"/>
                                </w:tcPr>
                                <w:p>
                                  <w:pPr>
                                    <w:pStyle w:val="TableParagraph"/>
                                    <w:spacing w:before="13"/>
                                    <w:ind w:left="296"/>
                                    <w:rPr>
                                      <w:sz w:val="18"/>
                                    </w:rPr>
                                  </w:pPr>
                                  <w:r>
                                    <w:rPr>
                                      <w:color w:val="131313"/>
                                      <w:spacing w:val="-5"/>
                                      <w:w w:val="105"/>
                                      <w:sz w:val="18"/>
                                    </w:rPr>
                                    <w:t>106</w:t>
                                  </w:r>
                                </w:p>
                              </w:tc>
                            </w:tr>
                            <w:tr>
                              <w:trPr>
                                <w:trHeight w:val="276" w:hRule="atLeast"/>
                              </w:trPr>
                              <w:tc>
                                <w:tcPr>
                                  <w:tcW w:w="790" w:type="dxa"/>
                                </w:tcPr>
                                <w:p>
                                  <w:pPr>
                                    <w:pStyle w:val="TableParagraph"/>
                                    <w:spacing w:before="52" w:line="204" w:lineRule="exact"/>
                                    <w:ind w:right="297"/>
                                    <w:jc w:val="right"/>
                                    <w:rPr>
                                      <w:sz w:val="18"/>
                                    </w:rPr>
                                  </w:pPr>
                                  <w:r>
                                    <w:rPr>
                                      <w:color w:val="131313"/>
                                      <w:spacing w:val="-4"/>
                                      <w:sz w:val="18"/>
                                    </w:rPr>
                                    <w:t>5.35</w:t>
                                  </w:r>
                                </w:p>
                              </w:tc>
                              <w:tc>
                                <w:tcPr>
                                  <w:tcW w:w="703" w:type="dxa"/>
                                </w:tcPr>
                                <w:p>
                                  <w:pPr>
                                    <w:pStyle w:val="TableParagraph"/>
                                    <w:spacing w:before="13"/>
                                    <w:ind w:left="296"/>
                                    <w:rPr>
                                      <w:sz w:val="18"/>
                                    </w:rPr>
                                  </w:pPr>
                                  <w:r>
                                    <w:rPr>
                                      <w:color w:val="131313"/>
                                      <w:spacing w:val="-5"/>
                                      <w:w w:val="105"/>
                                      <w:sz w:val="18"/>
                                    </w:rPr>
                                    <w:t>107</w:t>
                                  </w:r>
                                </w:p>
                              </w:tc>
                            </w:tr>
                            <w:tr>
                              <w:trPr>
                                <w:trHeight w:val="276" w:hRule="atLeast"/>
                              </w:trPr>
                              <w:tc>
                                <w:tcPr>
                                  <w:tcW w:w="790" w:type="dxa"/>
                                </w:tcPr>
                                <w:p>
                                  <w:pPr>
                                    <w:pStyle w:val="TableParagraph"/>
                                    <w:spacing w:before="50" w:line="207" w:lineRule="exact"/>
                                    <w:ind w:right="291"/>
                                    <w:jc w:val="right"/>
                                    <w:rPr>
                                      <w:sz w:val="18"/>
                                    </w:rPr>
                                  </w:pPr>
                                  <w:r>
                                    <w:rPr>
                                      <w:color w:val="131313"/>
                                      <w:spacing w:val="-4"/>
                                      <w:sz w:val="18"/>
                                    </w:rPr>
                                    <w:t>5</w:t>
                                  </w:r>
                                  <w:r>
                                    <w:rPr>
                                      <w:color w:val="424242"/>
                                      <w:spacing w:val="-4"/>
                                      <w:sz w:val="18"/>
                                    </w:rPr>
                                    <w:t>.</w:t>
                                  </w:r>
                                  <w:r>
                                    <w:rPr>
                                      <w:color w:val="131313"/>
                                      <w:spacing w:val="-4"/>
                                      <w:sz w:val="18"/>
                                    </w:rPr>
                                    <w:t>36</w:t>
                                  </w:r>
                                </w:p>
                              </w:tc>
                              <w:tc>
                                <w:tcPr>
                                  <w:tcW w:w="703" w:type="dxa"/>
                                </w:tcPr>
                                <w:p>
                                  <w:pPr>
                                    <w:pStyle w:val="TableParagraph"/>
                                    <w:spacing w:before="11"/>
                                    <w:ind w:left="300"/>
                                    <w:rPr>
                                      <w:sz w:val="18"/>
                                    </w:rPr>
                                  </w:pPr>
                                  <w:r>
                                    <w:rPr>
                                      <w:color w:val="131313"/>
                                      <w:spacing w:val="-5"/>
                                      <w:sz w:val="18"/>
                                    </w:rPr>
                                    <w:t>107</w:t>
                                  </w:r>
                                </w:p>
                              </w:tc>
                            </w:tr>
                            <w:tr>
                              <w:trPr>
                                <w:trHeight w:val="545" w:hRule="atLeast"/>
                              </w:trPr>
                              <w:tc>
                                <w:tcPr>
                                  <w:tcW w:w="790" w:type="dxa"/>
                                </w:tcPr>
                                <w:p>
                                  <w:pPr>
                                    <w:pStyle w:val="TableParagraph"/>
                                    <w:spacing w:before="52"/>
                                    <w:ind w:right="292"/>
                                    <w:jc w:val="right"/>
                                    <w:rPr>
                                      <w:sz w:val="18"/>
                                    </w:rPr>
                                  </w:pPr>
                                  <w:r>
                                    <w:rPr>
                                      <w:color w:val="131313"/>
                                      <w:spacing w:val="-4"/>
                                      <w:sz w:val="18"/>
                                    </w:rPr>
                                    <w:t>5.37</w:t>
                                  </w:r>
                                </w:p>
                              </w:tc>
                              <w:tc>
                                <w:tcPr>
                                  <w:tcW w:w="703" w:type="dxa"/>
                                </w:tcPr>
                                <w:p>
                                  <w:pPr>
                                    <w:pStyle w:val="TableParagraph"/>
                                    <w:spacing w:before="13"/>
                                    <w:ind w:left="300"/>
                                    <w:rPr>
                                      <w:sz w:val="18"/>
                                    </w:rPr>
                                  </w:pPr>
                                  <w:r>
                                    <w:rPr>
                                      <w:color w:val="131313"/>
                                      <w:spacing w:val="-5"/>
                                      <w:sz w:val="18"/>
                                    </w:rPr>
                                    <w:t>108</w:t>
                                  </w:r>
                                </w:p>
                              </w:tc>
                            </w:tr>
                            <w:tr>
                              <w:trPr>
                                <w:trHeight w:val="531" w:hRule="atLeast"/>
                              </w:trPr>
                              <w:tc>
                                <w:tcPr>
                                  <w:tcW w:w="790" w:type="dxa"/>
                                </w:tcPr>
                                <w:p>
                                  <w:pPr>
                                    <w:pStyle w:val="TableParagraph"/>
                                    <w:spacing w:before="73"/>
                                    <w:rPr>
                                      <w:b/>
                                      <w:sz w:val="18"/>
                                    </w:rPr>
                                  </w:pPr>
                                </w:p>
                                <w:p>
                                  <w:pPr>
                                    <w:pStyle w:val="TableParagraph"/>
                                    <w:ind w:left="190"/>
                                    <w:rPr>
                                      <w:sz w:val="18"/>
                                    </w:rPr>
                                  </w:pPr>
                                  <w:r>
                                    <w:rPr>
                                      <w:color w:val="131313"/>
                                      <w:spacing w:val="-5"/>
                                      <w:w w:val="105"/>
                                      <w:sz w:val="18"/>
                                    </w:rPr>
                                    <w:t>6</w:t>
                                  </w:r>
                                  <w:r>
                                    <w:rPr>
                                      <w:color w:val="424242"/>
                                      <w:spacing w:val="-5"/>
                                      <w:w w:val="105"/>
                                      <w:sz w:val="18"/>
                                    </w:rPr>
                                    <w:t>.</w:t>
                                  </w:r>
                                  <w:r>
                                    <w:rPr>
                                      <w:color w:val="131313"/>
                                      <w:spacing w:val="-5"/>
                                      <w:w w:val="105"/>
                                      <w:sz w:val="18"/>
                                    </w:rPr>
                                    <w:t>0</w:t>
                                  </w:r>
                                </w:p>
                              </w:tc>
                              <w:tc>
                                <w:tcPr>
                                  <w:tcW w:w="703" w:type="dxa"/>
                                </w:tcPr>
                                <w:p>
                                  <w:pPr>
                                    <w:pStyle w:val="TableParagraph"/>
                                    <w:spacing w:before="87"/>
                                    <w:rPr>
                                      <w:b/>
                                      <w:sz w:val="18"/>
                                    </w:rPr>
                                  </w:pPr>
                                </w:p>
                                <w:p>
                                  <w:pPr>
                                    <w:pStyle w:val="TableParagraph"/>
                                    <w:spacing w:before="1"/>
                                    <w:ind w:left="300"/>
                                    <w:rPr>
                                      <w:sz w:val="18"/>
                                    </w:rPr>
                                  </w:pPr>
                                  <w:r>
                                    <w:rPr>
                                      <w:color w:val="131313"/>
                                      <w:spacing w:val="-5"/>
                                      <w:w w:val="105"/>
                                      <w:sz w:val="18"/>
                                    </w:rPr>
                                    <w:t>112</w:t>
                                  </w:r>
                                </w:p>
                              </w:tc>
                            </w:tr>
                            <w:tr>
                              <w:trPr>
                                <w:trHeight w:val="285" w:hRule="atLeast"/>
                              </w:trPr>
                              <w:tc>
                                <w:tcPr>
                                  <w:tcW w:w="790" w:type="dxa"/>
                                </w:tcPr>
                                <w:p>
                                  <w:pPr>
                                    <w:pStyle w:val="TableParagraph"/>
                                    <w:spacing w:before="23"/>
                                    <w:ind w:left="190"/>
                                    <w:rPr>
                                      <w:sz w:val="18"/>
                                    </w:rPr>
                                  </w:pPr>
                                  <w:r>
                                    <w:rPr>
                                      <w:color w:val="131313"/>
                                      <w:spacing w:val="-5"/>
                                      <w:w w:val="105"/>
                                      <w:sz w:val="18"/>
                                    </w:rPr>
                                    <w:t>6.1</w:t>
                                  </w:r>
                                </w:p>
                              </w:tc>
                              <w:tc>
                                <w:tcPr>
                                  <w:tcW w:w="703" w:type="dxa"/>
                                </w:tcPr>
                                <w:p>
                                  <w:pPr>
                                    <w:pStyle w:val="TableParagraph"/>
                                    <w:spacing w:before="42"/>
                                    <w:ind w:left="305"/>
                                    <w:rPr>
                                      <w:sz w:val="18"/>
                                    </w:rPr>
                                  </w:pPr>
                                  <w:r>
                                    <w:rPr>
                                      <w:color w:val="131313"/>
                                      <w:spacing w:val="-5"/>
                                      <w:sz w:val="18"/>
                                    </w:rPr>
                                    <w:t>114</w:t>
                                  </w:r>
                                </w:p>
                              </w:tc>
                            </w:tr>
                            <w:tr>
                              <w:trPr>
                                <w:trHeight w:val="278" w:hRule="atLeast"/>
                              </w:trPr>
                              <w:tc>
                                <w:tcPr>
                                  <w:tcW w:w="790" w:type="dxa"/>
                                </w:tcPr>
                                <w:p>
                                  <w:pPr>
                                    <w:pStyle w:val="TableParagraph"/>
                                    <w:spacing w:before="35"/>
                                    <w:ind w:left="194"/>
                                    <w:rPr>
                                      <w:sz w:val="18"/>
                                    </w:rPr>
                                  </w:pPr>
                                  <w:r>
                                    <w:rPr>
                                      <w:color w:val="131313"/>
                                      <w:spacing w:val="-5"/>
                                      <w:sz w:val="18"/>
                                    </w:rPr>
                                    <w:t>6.2</w:t>
                                  </w:r>
                                </w:p>
                              </w:tc>
                              <w:tc>
                                <w:tcPr>
                                  <w:tcW w:w="703" w:type="dxa"/>
                                </w:tcPr>
                                <w:p>
                                  <w:pPr>
                                    <w:pStyle w:val="TableParagraph"/>
                                    <w:spacing w:before="30"/>
                                    <w:ind w:left="305"/>
                                    <w:rPr>
                                      <w:sz w:val="18"/>
                                    </w:rPr>
                                  </w:pPr>
                                  <w:r>
                                    <w:rPr>
                                      <w:color w:val="131313"/>
                                      <w:spacing w:val="-5"/>
                                      <w:sz w:val="18"/>
                                    </w:rPr>
                                    <w:t>115</w:t>
                                  </w:r>
                                </w:p>
                              </w:tc>
                            </w:tr>
                            <w:tr>
                              <w:trPr>
                                <w:trHeight w:val="415" w:hRule="atLeast"/>
                              </w:trPr>
                              <w:tc>
                                <w:tcPr>
                                  <w:tcW w:w="790" w:type="dxa"/>
                                </w:tcPr>
                                <w:p>
                                  <w:pPr>
                                    <w:pStyle w:val="TableParagraph"/>
                                    <w:spacing w:before="35"/>
                                    <w:ind w:left="194"/>
                                    <w:rPr>
                                      <w:sz w:val="18"/>
                                    </w:rPr>
                                  </w:pPr>
                                  <w:r>
                                    <w:rPr>
                                      <w:color w:val="131313"/>
                                      <w:spacing w:val="-5"/>
                                      <w:sz w:val="18"/>
                                    </w:rPr>
                                    <w:t>6.3</w:t>
                                  </w:r>
                                </w:p>
                              </w:tc>
                              <w:tc>
                                <w:tcPr>
                                  <w:tcW w:w="703" w:type="dxa"/>
                                </w:tcPr>
                                <w:p>
                                  <w:pPr>
                                    <w:pStyle w:val="TableParagraph"/>
                                    <w:spacing w:before="30"/>
                                    <w:ind w:left="305"/>
                                    <w:rPr>
                                      <w:sz w:val="18"/>
                                    </w:rPr>
                                  </w:pPr>
                                  <w:r>
                                    <w:rPr>
                                      <w:color w:val="131313"/>
                                      <w:spacing w:val="-5"/>
                                      <w:sz w:val="18"/>
                                    </w:rPr>
                                    <w:t>116</w:t>
                                  </w:r>
                                </w:p>
                              </w:tc>
                            </w:tr>
                            <w:tr>
                              <w:trPr>
                                <w:trHeight w:val="403" w:hRule="atLeast"/>
                              </w:trPr>
                              <w:tc>
                                <w:tcPr>
                                  <w:tcW w:w="790" w:type="dxa"/>
                                </w:tcPr>
                                <w:p>
                                  <w:pPr>
                                    <w:pStyle w:val="TableParagraph"/>
                                    <w:rPr>
                                      <w:rFonts w:ascii="Times New Roman"/>
                                      <w:sz w:val="16"/>
                                    </w:rPr>
                                  </w:pPr>
                                </w:p>
                              </w:tc>
                              <w:tc>
                                <w:tcPr>
                                  <w:tcW w:w="703" w:type="dxa"/>
                                </w:tcPr>
                                <w:p>
                                  <w:pPr>
                                    <w:pStyle w:val="TableParagraph"/>
                                    <w:spacing w:before="167"/>
                                    <w:ind w:right="83"/>
                                    <w:jc w:val="right"/>
                                    <w:rPr>
                                      <w:sz w:val="18"/>
                                    </w:rPr>
                                  </w:pPr>
                                  <w:r>
                                    <w:rPr>
                                      <w:color w:val="131313"/>
                                      <w:spacing w:val="-5"/>
                                      <w:sz w:val="18"/>
                                    </w:rPr>
                                    <w:t>117</w:t>
                                  </w:r>
                                </w:p>
                              </w:tc>
                            </w:tr>
                            <w:tr>
                              <w:trPr>
                                <w:trHeight w:val="273" w:hRule="atLeast"/>
                              </w:trPr>
                              <w:tc>
                                <w:tcPr>
                                  <w:tcW w:w="790" w:type="dxa"/>
                                </w:tcPr>
                                <w:p>
                                  <w:pPr>
                                    <w:pStyle w:val="TableParagraph"/>
                                    <w:spacing w:before="23"/>
                                    <w:ind w:left="193"/>
                                    <w:rPr>
                                      <w:sz w:val="18"/>
                                    </w:rPr>
                                  </w:pPr>
                                  <w:r>
                                    <w:rPr>
                                      <w:color w:val="131313"/>
                                      <w:spacing w:val="-5"/>
                                      <w:w w:val="105"/>
                                      <w:sz w:val="18"/>
                                    </w:rPr>
                                    <w:t>7</w:t>
                                  </w:r>
                                  <w:r>
                                    <w:rPr>
                                      <w:color w:val="424242"/>
                                      <w:spacing w:val="-5"/>
                                      <w:w w:val="105"/>
                                      <w:sz w:val="18"/>
                                    </w:rPr>
                                    <w:t>.</w:t>
                                  </w:r>
                                  <w:r>
                                    <w:rPr>
                                      <w:color w:val="131313"/>
                                      <w:spacing w:val="-5"/>
                                      <w:w w:val="105"/>
                                      <w:sz w:val="18"/>
                                    </w:rPr>
                                    <w:t>1</w:t>
                                  </w:r>
                                </w:p>
                              </w:tc>
                              <w:tc>
                                <w:tcPr>
                                  <w:tcW w:w="703" w:type="dxa"/>
                                </w:tcPr>
                                <w:p>
                                  <w:pPr>
                                    <w:pStyle w:val="TableParagraph"/>
                                    <w:spacing w:before="37"/>
                                    <w:ind w:right="83"/>
                                    <w:jc w:val="right"/>
                                    <w:rPr>
                                      <w:sz w:val="18"/>
                                    </w:rPr>
                                  </w:pPr>
                                  <w:r>
                                    <w:rPr>
                                      <w:color w:val="131313"/>
                                      <w:spacing w:val="-5"/>
                                      <w:sz w:val="18"/>
                                    </w:rPr>
                                    <w:t>119</w:t>
                                  </w:r>
                                </w:p>
                              </w:tc>
                            </w:tr>
                            <w:tr>
                              <w:trPr>
                                <w:trHeight w:val="285" w:hRule="atLeast"/>
                              </w:trPr>
                              <w:tc>
                                <w:tcPr>
                                  <w:tcW w:w="790" w:type="dxa"/>
                                </w:tcPr>
                                <w:p>
                                  <w:pPr>
                                    <w:pStyle w:val="TableParagraph"/>
                                    <w:spacing w:before="23"/>
                                    <w:ind w:left="198"/>
                                    <w:rPr>
                                      <w:sz w:val="18"/>
                                    </w:rPr>
                                  </w:pPr>
                                  <w:r>
                                    <w:rPr>
                                      <w:color w:val="131313"/>
                                      <w:spacing w:val="-5"/>
                                      <w:sz w:val="18"/>
                                    </w:rPr>
                                    <w:t>7</w:t>
                                  </w:r>
                                  <w:r>
                                    <w:rPr>
                                      <w:color w:val="424242"/>
                                      <w:spacing w:val="-5"/>
                                      <w:sz w:val="18"/>
                                    </w:rPr>
                                    <w:t>.</w:t>
                                  </w:r>
                                  <w:r>
                                    <w:rPr>
                                      <w:color w:val="131313"/>
                                      <w:spacing w:val="-5"/>
                                      <w:sz w:val="18"/>
                                    </w:rPr>
                                    <w:t>2</w:t>
                                  </w:r>
                                </w:p>
                              </w:tc>
                              <w:tc>
                                <w:tcPr>
                                  <w:tcW w:w="703" w:type="dxa"/>
                                </w:tcPr>
                                <w:p>
                                  <w:pPr>
                                    <w:pStyle w:val="TableParagraph"/>
                                    <w:spacing w:before="42"/>
                                    <w:ind w:left="305"/>
                                    <w:rPr>
                                      <w:sz w:val="18"/>
                                    </w:rPr>
                                  </w:pPr>
                                  <w:r>
                                    <w:rPr>
                                      <w:color w:val="131313"/>
                                      <w:spacing w:val="-5"/>
                                      <w:sz w:val="18"/>
                                    </w:rPr>
                                    <w:t>120</w:t>
                                  </w:r>
                                </w:p>
                              </w:tc>
                            </w:tr>
                            <w:tr>
                              <w:trPr>
                                <w:trHeight w:val="278" w:hRule="atLeast"/>
                              </w:trPr>
                              <w:tc>
                                <w:tcPr>
                                  <w:tcW w:w="790" w:type="dxa"/>
                                </w:tcPr>
                                <w:p>
                                  <w:pPr>
                                    <w:pStyle w:val="TableParagraph"/>
                                    <w:spacing w:before="35"/>
                                    <w:ind w:left="198"/>
                                    <w:rPr>
                                      <w:sz w:val="18"/>
                                    </w:rPr>
                                  </w:pPr>
                                  <w:r>
                                    <w:rPr>
                                      <w:color w:val="131313"/>
                                      <w:spacing w:val="-5"/>
                                      <w:w w:val="105"/>
                                      <w:sz w:val="18"/>
                                    </w:rPr>
                                    <w:t>7.3</w:t>
                                  </w:r>
                                </w:p>
                              </w:tc>
                              <w:tc>
                                <w:tcPr>
                                  <w:tcW w:w="703" w:type="dxa"/>
                                </w:tcPr>
                                <w:p>
                                  <w:pPr>
                                    <w:pStyle w:val="TableParagraph"/>
                                    <w:spacing w:before="30"/>
                                    <w:ind w:left="310"/>
                                    <w:rPr>
                                      <w:sz w:val="18"/>
                                    </w:rPr>
                                  </w:pPr>
                                  <w:r>
                                    <w:rPr>
                                      <w:color w:val="131313"/>
                                      <w:spacing w:val="-5"/>
                                      <w:sz w:val="18"/>
                                    </w:rPr>
                                    <w:t>121</w:t>
                                  </w:r>
                                </w:p>
                              </w:tc>
                            </w:tr>
                            <w:tr>
                              <w:trPr>
                                <w:trHeight w:val="415" w:hRule="atLeast"/>
                              </w:trPr>
                              <w:tc>
                                <w:tcPr>
                                  <w:tcW w:w="790" w:type="dxa"/>
                                </w:tcPr>
                                <w:p>
                                  <w:pPr>
                                    <w:pStyle w:val="TableParagraph"/>
                                    <w:spacing w:before="35"/>
                                    <w:ind w:left="193"/>
                                    <w:rPr>
                                      <w:sz w:val="18"/>
                                    </w:rPr>
                                  </w:pPr>
                                  <w:r>
                                    <w:rPr>
                                      <w:color w:val="131313"/>
                                      <w:spacing w:val="-5"/>
                                      <w:w w:val="105"/>
                                      <w:sz w:val="18"/>
                                    </w:rPr>
                                    <w:t>7.4</w:t>
                                  </w:r>
                                </w:p>
                              </w:tc>
                              <w:tc>
                                <w:tcPr>
                                  <w:tcW w:w="703" w:type="dxa"/>
                                </w:tcPr>
                                <w:p>
                                  <w:pPr>
                                    <w:pStyle w:val="TableParagraph"/>
                                    <w:spacing w:before="30"/>
                                    <w:ind w:right="83"/>
                                    <w:jc w:val="right"/>
                                    <w:rPr>
                                      <w:sz w:val="18"/>
                                    </w:rPr>
                                  </w:pPr>
                                  <w:r>
                                    <w:rPr>
                                      <w:color w:val="131313"/>
                                      <w:spacing w:val="-5"/>
                                      <w:sz w:val="18"/>
                                    </w:rPr>
                                    <w:t>122</w:t>
                                  </w:r>
                                </w:p>
                              </w:tc>
                            </w:tr>
                            <w:tr>
                              <w:trPr>
                                <w:trHeight w:val="547" w:hRule="atLeast"/>
                              </w:trPr>
                              <w:tc>
                                <w:tcPr>
                                  <w:tcW w:w="790" w:type="dxa"/>
                                </w:tcPr>
                                <w:p>
                                  <w:pPr>
                                    <w:pStyle w:val="TableParagraph"/>
                                    <w:rPr>
                                      <w:rFonts w:ascii="Times New Roman"/>
                                      <w:sz w:val="16"/>
                                    </w:rPr>
                                  </w:pPr>
                                </w:p>
                              </w:tc>
                              <w:tc>
                                <w:tcPr>
                                  <w:tcW w:w="703" w:type="dxa"/>
                                </w:tcPr>
                                <w:p>
                                  <w:pPr>
                                    <w:pStyle w:val="TableParagraph"/>
                                    <w:spacing w:before="167"/>
                                    <w:ind w:right="83"/>
                                    <w:jc w:val="right"/>
                                    <w:rPr>
                                      <w:sz w:val="18"/>
                                    </w:rPr>
                                  </w:pPr>
                                  <w:r>
                                    <w:rPr>
                                      <w:color w:val="131313"/>
                                      <w:spacing w:val="-5"/>
                                      <w:sz w:val="18"/>
                                    </w:rPr>
                                    <w:t>123</w:t>
                                  </w:r>
                                </w:p>
                              </w:tc>
                            </w:tr>
                            <w:tr>
                              <w:trPr>
                                <w:trHeight w:val="374" w:hRule="atLeast"/>
                              </w:trPr>
                              <w:tc>
                                <w:tcPr>
                                  <w:tcW w:w="790" w:type="dxa"/>
                                </w:tcPr>
                                <w:p>
                                  <w:pPr>
                                    <w:pStyle w:val="TableParagraph"/>
                                    <w:rPr>
                                      <w:rFonts w:ascii="Times New Roman"/>
                                      <w:sz w:val="16"/>
                                    </w:rPr>
                                  </w:pPr>
                                </w:p>
                              </w:tc>
                              <w:tc>
                                <w:tcPr>
                                  <w:tcW w:w="703" w:type="dxa"/>
                                </w:tcPr>
                                <w:p>
                                  <w:pPr>
                                    <w:pStyle w:val="TableParagraph"/>
                                    <w:spacing w:before="167" w:line="187" w:lineRule="exact"/>
                                    <w:ind w:right="83"/>
                                    <w:jc w:val="right"/>
                                    <w:rPr>
                                      <w:sz w:val="18"/>
                                    </w:rPr>
                                  </w:pPr>
                                  <w:r>
                                    <w:rPr>
                                      <w:color w:val="131313"/>
                                      <w:spacing w:val="-5"/>
                                      <w:sz w:val="18"/>
                                    </w:rPr>
                                    <w:t>147</w:t>
                                  </w:r>
                                </w:p>
                              </w:tc>
                            </w:tr>
                          </w:tbl>
                          <w:p>
                            <w:pPr>
                              <w:pStyle w:val="BodyText"/>
                            </w:pPr>
                          </w:p>
                        </w:txbxContent>
                      </wps:txbx>
                      <wps:bodyPr wrap="square" lIns="0" tIns="0" rIns="0" bIns="0" rtlCol="0">
                        <a:noAutofit/>
                      </wps:bodyPr>
                    </wps:wsp>
                  </a:graphicData>
                </a:graphic>
              </wp:anchor>
            </w:drawing>
          </ve:Choice>
          <ve:Fallback>
            <w:pict>
              <v:shapetype id="_x0000_t202" coordsize="21600,21600" o:spt="202" path="m,l,21600r21600,l21600,xe">
                <v:stroke joinstyle="miter"/>
                <v:path gradientshapeok="t" o:connecttype="rect"/>
              </v:shapetype>
              <v:shape id="docshape8" style="position:absolute;margin-left:442.683685pt;margin-top:4.090596pt;width:80.650pt;height:616.15pt;mso-position-horizontal-relative:page;mso-position-vertical-relative:paragraph;z-index:15736832"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790"/>
                        <w:gridCol w:w="703"/>
                      </w:tblGrid>
                      <w:tr>
                        <w:trPr>
                          <w:trHeight w:val="323" w:hRule="atLeast"/>
                        </w:trPr>
                        <w:tc>
                          <w:tcPr>
                            <w:tcW w:w="790" w:type="dxa"/>
                          </w:tcPr>
                          <w:p>
                            <w:pPr>
                              <w:pStyle w:val="TableParagraph"/>
                              <w:spacing w:line="190" w:lineRule="exact"/>
                              <w:ind w:right="286"/>
                              <w:jc w:val="right"/>
                              <w:rPr>
                                <w:b/>
                                <w:sz w:val="17"/>
                              </w:rPr>
                            </w:pPr>
                            <w:r>
                              <w:rPr>
                                <w:b/>
                                <w:color w:val="131313"/>
                                <w:spacing w:val="-4"/>
                                <w:w w:val="110"/>
                                <w:sz w:val="17"/>
                              </w:rPr>
                              <w:t>Note</w:t>
                            </w:r>
                          </w:p>
                        </w:tc>
                        <w:tc>
                          <w:tcPr>
                            <w:tcW w:w="703" w:type="dxa"/>
                          </w:tcPr>
                          <w:p>
                            <w:pPr>
                              <w:pStyle w:val="TableParagraph"/>
                              <w:spacing w:line="190" w:lineRule="exact"/>
                              <w:ind w:right="48"/>
                              <w:jc w:val="right"/>
                              <w:rPr>
                                <w:b/>
                                <w:sz w:val="17"/>
                              </w:rPr>
                            </w:pPr>
                            <w:r>
                              <w:rPr>
                                <w:b/>
                                <w:color w:val="131313"/>
                                <w:spacing w:val="-4"/>
                                <w:w w:val="105"/>
                                <w:sz w:val="17"/>
                              </w:rPr>
                              <w:t>Page</w:t>
                            </w:r>
                          </w:p>
                        </w:tc>
                      </w:tr>
                      <w:tr>
                        <w:trPr>
                          <w:trHeight w:val="392" w:hRule="atLeast"/>
                        </w:trPr>
                        <w:tc>
                          <w:tcPr>
                            <w:tcW w:w="790" w:type="dxa"/>
                          </w:tcPr>
                          <w:p>
                            <w:pPr>
                              <w:pStyle w:val="TableParagraph"/>
                              <w:spacing w:before="166" w:line="207" w:lineRule="exact"/>
                              <w:ind w:right="291"/>
                              <w:jc w:val="right"/>
                              <w:rPr>
                                <w:sz w:val="18"/>
                              </w:rPr>
                            </w:pPr>
                            <w:r>
                              <w:rPr>
                                <w:color w:val="131313"/>
                                <w:spacing w:val="-4"/>
                                <w:sz w:val="18"/>
                              </w:rPr>
                              <w:t>5.27</w:t>
                            </w:r>
                          </w:p>
                        </w:tc>
                        <w:tc>
                          <w:tcPr>
                            <w:tcW w:w="703" w:type="dxa"/>
                          </w:tcPr>
                          <w:p>
                            <w:pPr>
                              <w:pStyle w:val="TableParagraph"/>
                              <w:spacing w:before="127"/>
                              <w:ind w:left="337"/>
                              <w:rPr>
                                <w:sz w:val="18"/>
                              </w:rPr>
                            </w:pPr>
                            <w:r>
                              <w:rPr>
                                <w:color w:val="131313"/>
                                <w:spacing w:val="-5"/>
                                <w:w w:val="105"/>
                                <w:sz w:val="18"/>
                              </w:rPr>
                              <w:t>81</w:t>
                            </w:r>
                          </w:p>
                        </w:tc>
                      </w:tr>
                      <w:tr>
                        <w:trPr>
                          <w:trHeight w:val="276" w:hRule="atLeast"/>
                        </w:trPr>
                        <w:tc>
                          <w:tcPr>
                            <w:tcW w:w="790" w:type="dxa"/>
                          </w:tcPr>
                          <w:p>
                            <w:pPr>
                              <w:pStyle w:val="TableParagraph"/>
                              <w:spacing w:before="52" w:line="204" w:lineRule="exact"/>
                              <w:ind w:left="126"/>
                              <w:rPr>
                                <w:sz w:val="18"/>
                              </w:rPr>
                            </w:pPr>
                            <w:r>
                              <w:rPr>
                                <w:color w:val="131313"/>
                                <w:spacing w:val="-4"/>
                                <w:sz w:val="18"/>
                              </w:rPr>
                              <w:t>5.28</w:t>
                            </w:r>
                          </w:p>
                        </w:tc>
                        <w:tc>
                          <w:tcPr>
                            <w:tcW w:w="703" w:type="dxa"/>
                          </w:tcPr>
                          <w:p>
                            <w:pPr>
                              <w:pStyle w:val="TableParagraph"/>
                              <w:spacing w:before="13"/>
                              <w:ind w:left="337"/>
                              <w:rPr>
                                <w:sz w:val="18"/>
                              </w:rPr>
                            </w:pPr>
                            <w:r>
                              <w:rPr>
                                <w:color w:val="131313"/>
                                <w:spacing w:val="-5"/>
                                <w:w w:val="105"/>
                                <w:sz w:val="18"/>
                              </w:rPr>
                              <w:t>82</w:t>
                            </w:r>
                          </w:p>
                        </w:tc>
                      </w:tr>
                      <w:tr>
                        <w:trPr>
                          <w:trHeight w:val="367" w:hRule="atLeast"/>
                        </w:trPr>
                        <w:tc>
                          <w:tcPr>
                            <w:tcW w:w="790" w:type="dxa"/>
                          </w:tcPr>
                          <w:p>
                            <w:pPr>
                              <w:pStyle w:val="TableParagraph"/>
                              <w:spacing w:before="54"/>
                              <w:ind w:left="126"/>
                              <w:rPr>
                                <w:sz w:val="18"/>
                              </w:rPr>
                            </w:pPr>
                            <w:r>
                              <w:rPr>
                                <w:color w:val="131313"/>
                                <w:spacing w:val="-4"/>
                                <w:sz w:val="18"/>
                              </w:rPr>
                              <w:t>5</w:t>
                            </w:r>
                            <w:r>
                              <w:rPr>
                                <w:color w:val="424242"/>
                                <w:spacing w:val="-4"/>
                                <w:sz w:val="18"/>
                              </w:rPr>
                              <w:t>.</w:t>
                            </w:r>
                            <w:r>
                              <w:rPr>
                                <w:color w:val="131313"/>
                                <w:spacing w:val="-4"/>
                                <w:sz w:val="18"/>
                              </w:rPr>
                              <w:t>29</w:t>
                            </w:r>
                          </w:p>
                        </w:tc>
                        <w:tc>
                          <w:tcPr>
                            <w:tcW w:w="703" w:type="dxa"/>
                          </w:tcPr>
                          <w:p>
                            <w:pPr>
                              <w:pStyle w:val="TableParagraph"/>
                              <w:spacing w:before="11"/>
                              <w:ind w:left="337"/>
                              <w:rPr>
                                <w:sz w:val="18"/>
                              </w:rPr>
                            </w:pPr>
                            <w:r>
                              <w:rPr>
                                <w:color w:val="131313"/>
                                <w:spacing w:val="-5"/>
                                <w:sz w:val="18"/>
                              </w:rPr>
                              <w:t>89</w:t>
                            </w:r>
                          </w:p>
                        </w:tc>
                      </w:tr>
                      <w:tr>
                        <w:trPr>
                          <w:trHeight w:val="365" w:hRule="atLeast"/>
                        </w:trPr>
                        <w:tc>
                          <w:tcPr>
                            <w:tcW w:w="790" w:type="dxa"/>
                          </w:tcPr>
                          <w:p>
                            <w:pPr>
                              <w:pStyle w:val="TableParagraph"/>
                              <w:spacing w:before="138" w:line="207" w:lineRule="exact"/>
                              <w:ind w:right="219"/>
                              <w:jc w:val="right"/>
                              <w:rPr>
                                <w:sz w:val="18"/>
                              </w:rPr>
                            </w:pPr>
                            <w:r>
                              <w:rPr>
                                <w:color w:val="131313"/>
                                <w:spacing w:val="-2"/>
                                <w:w w:val="105"/>
                                <w:sz w:val="18"/>
                              </w:rPr>
                              <w:t>5</w:t>
                            </w:r>
                            <w:r>
                              <w:rPr>
                                <w:color w:val="424242"/>
                                <w:spacing w:val="-2"/>
                                <w:w w:val="105"/>
                                <w:sz w:val="18"/>
                              </w:rPr>
                              <w:t>.</w:t>
                            </w:r>
                            <w:r>
                              <w:rPr>
                                <w:color w:val="131313"/>
                                <w:spacing w:val="-2"/>
                                <w:w w:val="105"/>
                                <w:sz w:val="18"/>
                              </w:rPr>
                              <w:t>29</w:t>
                            </w:r>
                            <w:r>
                              <w:rPr>
                                <w:color w:val="424242"/>
                                <w:spacing w:val="-2"/>
                                <w:w w:val="105"/>
                                <w:sz w:val="18"/>
                              </w:rPr>
                              <w:t>.</w:t>
                            </w:r>
                            <w:r>
                              <w:rPr>
                                <w:color w:val="131313"/>
                                <w:spacing w:val="-2"/>
                                <w:w w:val="105"/>
                                <w:sz w:val="18"/>
                              </w:rPr>
                              <w:t>1</w:t>
                            </w:r>
                          </w:p>
                        </w:tc>
                        <w:tc>
                          <w:tcPr>
                            <w:tcW w:w="703" w:type="dxa"/>
                          </w:tcPr>
                          <w:p>
                            <w:pPr>
                              <w:pStyle w:val="TableParagraph"/>
                              <w:spacing w:before="100"/>
                              <w:ind w:left="336"/>
                              <w:rPr>
                                <w:sz w:val="18"/>
                              </w:rPr>
                            </w:pPr>
                            <w:r>
                              <w:rPr>
                                <w:color w:val="131313"/>
                                <w:spacing w:val="-5"/>
                                <w:sz w:val="18"/>
                              </w:rPr>
                              <w:t>90</w:t>
                            </w:r>
                          </w:p>
                        </w:tc>
                      </w:tr>
                      <w:tr>
                        <w:trPr>
                          <w:trHeight w:val="362" w:hRule="atLeast"/>
                        </w:trPr>
                        <w:tc>
                          <w:tcPr>
                            <w:tcW w:w="790" w:type="dxa"/>
                          </w:tcPr>
                          <w:p>
                            <w:pPr>
                              <w:pStyle w:val="TableParagraph"/>
                              <w:spacing w:before="47"/>
                              <w:ind w:right="237"/>
                              <w:jc w:val="right"/>
                              <w:rPr>
                                <w:sz w:val="18"/>
                              </w:rPr>
                            </w:pPr>
                            <w:r>
                              <w:rPr>
                                <w:color w:val="131313"/>
                                <w:spacing w:val="-2"/>
                                <w:sz w:val="18"/>
                              </w:rPr>
                              <w:t>5.29.2</w:t>
                            </w:r>
                          </w:p>
                        </w:tc>
                        <w:tc>
                          <w:tcPr>
                            <w:tcW w:w="703" w:type="dxa"/>
                          </w:tcPr>
                          <w:p>
                            <w:pPr>
                              <w:pStyle w:val="TableParagraph"/>
                              <w:spacing w:before="13"/>
                              <w:ind w:left="341"/>
                              <w:rPr>
                                <w:sz w:val="18"/>
                              </w:rPr>
                            </w:pPr>
                            <w:r>
                              <w:rPr>
                                <w:color w:val="131313"/>
                                <w:spacing w:val="-5"/>
                                <w:sz w:val="18"/>
                              </w:rPr>
                              <w:t>90</w:t>
                            </w:r>
                          </w:p>
                        </w:tc>
                      </w:tr>
                      <w:tr>
                        <w:trPr>
                          <w:trHeight w:val="367" w:hRule="atLeast"/>
                        </w:trPr>
                        <w:tc>
                          <w:tcPr>
                            <w:tcW w:w="790" w:type="dxa"/>
                          </w:tcPr>
                          <w:p>
                            <w:pPr>
                              <w:pStyle w:val="TableParagraph"/>
                              <w:spacing w:before="141" w:line="207" w:lineRule="exact"/>
                              <w:ind w:right="231"/>
                              <w:jc w:val="right"/>
                              <w:rPr>
                                <w:sz w:val="18"/>
                              </w:rPr>
                            </w:pPr>
                            <w:r>
                              <w:rPr>
                                <w:color w:val="131313"/>
                                <w:spacing w:val="-2"/>
                                <w:sz w:val="18"/>
                              </w:rPr>
                              <w:t>5.29.3</w:t>
                            </w:r>
                          </w:p>
                        </w:tc>
                        <w:tc>
                          <w:tcPr>
                            <w:tcW w:w="703" w:type="dxa"/>
                          </w:tcPr>
                          <w:p>
                            <w:pPr>
                              <w:pStyle w:val="TableParagraph"/>
                              <w:spacing w:before="102"/>
                              <w:ind w:left="341"/>
                              <w:rPr>
                                <w:sz w:val="18"/>
                              </w:rPr>
                            </w:pPr>
                            <w:r>
                              <w:rPr>
                                <w:color w:val="131313"/>
                                <w:spacing w:val="-5"/>
                                <w:w w:val="105"/>
                                <w:sz w:val="18"/>
                              </w:rPr>
                              <w:t>91</w:t>
                            </w:r>
                          </w:p>
                        </w:tc>
                      </w:tr>
                      <w:tr>
                        <w:trPr>
                          <w:trHeight w:val="283" w:hRule="atLeast"/>
                        </w:trPr>
                        <w:tc>
                          <w:tcPr>
                            <w:tcW w:w="790" w:type="dxa"/>
                          </w:tcPr>
                          <w:p>
                            <w:pPr>
                              <w:pStyle w:val="TableParagraph"/>
                              <w:spacing w:before="52"/>
                              <w:ind w:right="232"/>
                              <w:jc w:val="right"/>
                              <w:rPr>
                                <w:sz w:val="18"/>
                              </w:rPr>
                            </w:pPr>
                            <w:r>
                              <w:rPr>
                                <w:color w:val="131313"/>
                                <w:spacing w:val="-2"/>
                                <w:sz w:val="18"/>
                              </w:rPr>
                              <w:t>5.29.4</w:t>
                            </w:r>
                          </w:p>
                        </w:tc>
                        <w:tc>
                          <w:tcPr>
                            <w:tcW w:w="703" w:type="dxa"/>
                          </w:tcPr>
                          <w:p>
                            <w:pPr>
                              <w:pStyle w:val="TableParagraph"/>
                              <w:spacing w:before="13"/>
                              <w:ind w:left="341"/>
                              <w:rPr>
                                <w:sz w:val="18"/>
                              </w:rPr>
                            </w:pPr>
                            <w:r>
                              <w:rPr>
                                <w:color w:val="131313"/>
                                <w:spacing w:val="-5"/>
                                <w:w w:val="105"/>
                                <w:sz w:val="18"/>
                              </w:rPr>
                              <w:t>92</w:t>
                            </w:r>
                          </w:p>
                        </w:tc>
                      </w:tr>
                      <w:tr>
                        <w:trPr>
                          <w:trHeight w:val="271" w:hRule="atLeast"/>
                        </w:trPr>
                        <w:tc>
                          <w:tcPr>
                            <w:tcW w:w="790" w:type="dxa"/>
                          </w:tcPr>
                          <w:p>
                            <w:pPr>
                              <w:pStyle w:val="TableParagraph"/>
                              <w:spacing w:before="47" w:line="204" w:lineRule="exact"/>
                              <w:ind w:right="227"/>
                              <w:jc w:val="right"/>
                              <w:rPr>
                                <w:sz w:val="18"/>
                              </w:rPr>
                            </w:pPr>
                            <w:r>
                              <w:rPr>
                                <w:color w:val="131313"/>
                                <w:spacing w:val="-2"/>
                                <w:sz w:val="18"/>
                              </w:rPr>
                              <w:t>5.29.5</w:t>
                            </w:r>
                          </w:p>
                        </w:tc>
                        <w:tc>
                          <w:tcPr>
                            <w:tcW w:w="703" w:type="dxa"/>
                          </w:tcPr>
                          <w:p>
                            <w:pPr>
                              <w:pStyle w:val="TableParagraph"/>
                              <w:spacing w:before="18"/>
                              <w:ind w:left="343"/>
                              <w:rPr>
                                <w:b/>
                                <w:sz w:val="17"/>
                              </w:rPr>
                            </w:pPr>
                            <w:r>
                              <w:rPr>
                                <w:b/>
                                <w:color w:val="131313"/>
                                <w:spacing w:val="-5"/>
                                <w:w w:val="105"/>
                                <w:sz w:val="17"/>
                              </w:rPr>
                              <w:t>94</w:t>
                            </w:r>
                          </w:p>
                        </w:tc>
                      </w:tr>
                      <w:tr>
                        <w:trPr>
                          <w:trHeight w:val="276" w:hRule="atLeast"/>
                        </w:trPr>
                        <w:tc>
                          <w:tcPr>
                            <w:tcW w:w="790" w:type="dxa"/>
                          </w:tcPr>
                          <w:p>
                            <w:pPr>
                              <w:pStyle w:val="TableParagraph"/>
                              <w:spacing w:before="50" w:line="207" w:lineRule="exact"/>
                              <w:ind w:right="300"/>
                              <w:jc w:val="right"/>
                              <w:rPr>
                                <w:sz w:val="18"/>
                              </w:rPr>
                            </w:pPr>
                            <w:r>
                              <w:rPr>
                                <w:color w:val="131313"/>
                                <w:spacing w:val="-4"/>
                                <w:sz w:val="18"/>
                              </w:rPr>
                              <w:t>5</w:t>
                            </w:r>
                            <w:r>
                              <w:rPr>
                                <w:color w:val="424242"/>
                                <w:spacing w:val="-4"/>
                                <w:sz w:val="18"/>
                              </w:rPr>
                              <w:t>.</w:t>
                            </w:r>
                            <w:r>
                              <w:rPr>
                                <w:color w:val="131313"/>
                                <w:spacing w:val="-4"/>
                                <w:sz w:val="18"/>
                              </w:rPr>
                              <w:t>30</w:t>
                            </w:r>
                          </w:p>
                        </w:tc>
                        <w:tc>
                          <w:tcPr>
                            <w:tcW w:w="703" w:type="dxa"/>
                          </w:tcPr>
                          <w:p>
                            <w:pPr>
                              <w:pStyle w:val="TableParagraph"/>
                              <w:spacing w:before="11"/>
                              <w:ind w:left="341"/>
                              <w:rPr>
                                <w:sz w:val="18"/>
                              </w:rPr>
                            </w:pPr>
                            <w:r>
                              <w:rPr>
                                <w:color w:val="131313"/>
                                <w:spacing w:val="-5"/>
                                <w:sz w:val="18"/>
                              </w:rPr>
                              <w:t>96</w:t>
                            </w:r>
                          </w:p>
                        </w:tc>
                      </w:tr>
                      <w:tr>
                        <w:trPr>
                          <w:trHeight w:val="276" w:hRule="atLeast"/>
                        </w:trPr>
                        <w:tc>
                          <w:tcPr>
                            <w:tcW w:w="790" w:type="dxa"/>
                          </w:tcPr>
                          <w:p>
                            <w:pPr>
                              <w:pStyle w:val="TableParagraph"/>
                              <w:spacing w:before="52" w:line="204" w:lineRule="exact"/>
                              <w:ind w:right="232"/>
                              <w:jc w:val="right"/>
                              <w:rPr>
                                <w:sz w:val="18"/>
                              </w:rPr>
                            </w:pPr>
                            <w:r>
                              <w:rPr>
                                <w:color w:val="131313"/>
                                <w:spacing w:val="-2"/>
                                <w:sz w:val="18"/>
                              </w:rPr>
                              <w:t>5.30.1</w:t>
                            </w:r>
                          </w:p>
                        </w:tc>
                        <w:tc>
                          <w:tcPr>
                            <w:tcW w:w="703" w:type="dxa"/>
                          </w:tcPr>
                          <w:p>
                            <w:pPr>
                              <w:pStyle w:val="TableParagraph"/>
                              <w:spacing w:before="13"/>
                              <w:ind w:left="341"/>
                              <w:rPr>
                                <w:sz w:val="18"/>
                              </w:rPr>
                            </w:pPr>
                            <w:r>
                              <w:rPr>
                                <w:color w:val="131313"/>
                                <w:spacing w:val="-5"/>
                                <w:w w:val="105"/>
                                <w:sz w:val="18"/>
                              </w:rPr>
                              <w:t>97</w:t>
                            </w:r>
                          </w:p>
                        </w:tc>
                      </w:tr>
                      <w:tr>
                        <w:trPr>
                          <w:trHeight w:val="276" w:hRule="atLeast"/>
                        </w:trPr>
                        <w:tc>
                          <w:tcPr>
                            <w:tcW w:w="790" w:type="dxa"/>
                          </w:tcPr>
                          <w:p>
                            <w:pPr>
                              <w:pStyle w:val="TableParagraph"/>
                              <w:spacing w:before="50" w:line="207" w:lineRule="exact"/>
                              <w:ind w:right="224"/>
                              <w:jc w:val="right"/>
                              <w:rPr>
                                <w:sz w:val="18"/>
                              </w:rPr>
                            </w:pPr>
                            <w:r>
                              <w:rPr>
                                <w:color w:val="131313"/>
                                <w:spacing w:val="-2"/>
                                <w:sz w:val="18"/>
                              </w:rPr>
                              <w:t>5</w:t>
                            </w:r>
                            <w:r>
                              <w:rPr>
                                <w:color w:val="424242"/>
                                <w:spacing w:val="-2"/>
                                <w:sz w:val="18"/>
                              </w:rPr>
                              <w:t>.</w:t>
                            </w:r>
                            <w:r>
                              <w:rPr>
                                <w:color w:val="131313"/>
                                <w:spacing w:val="-2"/>
                                <w:sz w:val="18"/>
                              </w:rPr>
                              <w:t>30.2</w:t>
                            </w:r>
                          </w:p>
                        </w:tc>
                        <w:tc>
                          <w:tcPr>
                            <w:tcW w:w="703" w:type="dxa"/>
                          </w:tcPr>
                          <w:p>
                            <w:pPr>
                              <w:pStyle w:val="TableParagraph"/>
                              <w:spacing w:before="11"/>
                              <w:ind w:left="341"/>
                              <w:rPr>
                                <w:sz w:val="18"/>
                              </w:rPr>
                            </w:pPr>
                            <w:r>
                              <w:rPr>
                                <w:color w:val="131313"/>
                                <w:spacing w:val="-5"/>
                                <w:w w:val="105"/>
                                <w:sz w:val="18"/>
                              </w:rPr>
                              <w:t>97</w:t>
                            </w:r>
                          </w:p>
                        </w:tc>
                      </w:tr>
                      <w:tr>
                        <w:trPr>
                          <w:trHeight w:val="276" w:hRule="atLeast"/>
                        </w:trPr>
                        <w:tc>
                          <w:tcPr>
                            <w:tcW w:w="790" w:type="dxa"/>
                          </w:tcPr>
                          <w:p>
                            <w:pPr>
                              <w:pStyle w:val="TableParagraph"/>
                              <w:spacing w:before="52" w:line="204" w:lineRule="exact"/>
                              <w:ind w:right="227"/>
                              <w:jc w:val="right"/>
                              <w:rPr>
                                <w:sz w:val="18"/>
                              </w:rPr>
                            </w:pPr>
                            <w:r>
                              <w:rPr>
                                <w:color w:val="131313"/>
                                <w:spacing w:val="-2"/>
                                <w:sz w:val="18"/>
                              </w:rPr>
                              <w:t>5.30.3</w:t>
                            </w:r>
                          </w:p>
                        </w:tc>
                        <w:tc>
                          <w:tcPr>
                            <w:tcW w:w="703" w:type="dxa"/>
                          </w:tcPr>
                          <w:p>
                            <w:pPr>
                              <w:pStyle w:val="TableParagraph"/>
                              <w:spacing w:before="13"/>
                              <w:ind w:left="291"/>
                              <w:rPr>
                                <w:sz w:val="18"/>
                              </w:rPr>
                            </w:pPr>
                            <w:r>
                              <w:rPr>
                                <w:color w:val="131313"/>
                                <w:spacing w:val="-5"/>
                                <w:sz w:val="18"/>
                              </w:rPr>
                              <w:t>100</w:t>
                            </w:r>
                          </w:p>
                        </w:tc>
                      </w:tr>
                      <w:tr>
                        <w:trPr>
                          <w:trHeight w:val="278" w:hRule="atLeast"/>
                        </w:trPr>
                        <w:tc>
                          <w:tcPr>
                            <w:tcW w:w="790" w:type="dxa"/>
                          </w:tcPr>
                          <w:p>
                            <w:pPr>
                              <w:pStyle w:val="TableParagraph"/>
                              <w:spacing w:before="54" w:line="204" w:lineRule="exact"/>
                              <w:ind w:right="227"/>
                              <w:jc w:val="right"/>
                              <w:rPr>
                                <w:sz w:val="18"/>
                              </w:rPr>
                            </w:pPr>
                            <w:r>
                              <w:rPr>
                                <w:color w:val="131313"/>
                                <w:spacing w:val="-2"/>
                                <w:sz w:val="18"/>
                              </w:rPr>
                              <w:t>5.30.4</w:t>
                            </w:r>
                          </w:p>
                        </w:tc>
                        <w:tc>
                          <w:tcPr>
                            <w:tcW w:w="703" w:type="dxa"/>
                          </w:tcPr>
                          <w:p>
                            <w:pPr>
                              <w:pStyle w:val="TableParagraph"/>
                              <w:spacing w:before="11"/>
                              <w:ind w:left="296"/>
                              <w:rPr>
                                <w:sz w:val="18"/>
                              </w:rPr>
                            </w:pPr>
                            <w:r>
                              <w:rPr>
                                <w:color w:val="131313"/>
                                <w:spacing w:val="-5"/>
                                <w:sz w:val="18"/>
                              </w:rPr>
                              <w:t>100</w:t>
                            </w:r>
                          </w:p>
                        </w:tc>
                      </w:tr>
                      <w:tr>
                        <w:trPr>
                          <w:trHeight w:val="273" w:hRule="atLeast"/>
                        </w:trPr>
                        <w:tc>
                          <w:tcPr>
                            <w:tcW w:w="790" w:type="dxa"/>
                          </w:tcPr>
                          <w:p>
                            <w:pPr>
                              <w:pStyle w:val="TableParagraph"/>
                              <w:spacing w:before="50" w:line="204" w:lineRule="exact"/>
                              <w:ind w:right="293"/>
                              <w:jc w:val="right"/>
                              <w:rPr>
                                <w:sz w:val="18"/>
                              </w:rPr>
                            </w:pPr>
                            <w:r>
                              <w:rPr>
                                <w:color w:val="131313"/>
                                <w:spacing w:val="-4"/>
                                <w:sz w:val="18"/>
                              </w:rPr>
                              <w:t>5.31</w:t>
                            </w:r>
                          </w:p>
                        </w:tc>
                        <w:tc>
                          <w:tcPr>
                            <w:tcW w:w="703" w:type="dxa"/>
                          </w:tcPr>
                          <w:p>
                            <w:pPr>
                              <w:pStyle w:val="TableParagraph"/>
                              <w:spacing w:before="11"/>
                              <w:ind w:left="291"/>
                              <w:rPr>
                                <w:sz w:val="18"/>
                              </w:rPr>
                            </w:pPr>
                            <w:r>
                              <w:rPr>
                                <w:color w:val="131313"/>
                                <w:spacing w:val="-5"/>
                                <w:w w:val="105"/>
                                <w:sz w:val="18"/>
                              </w:rPr>
                              <w:t>101</w:t>
                            </w:r>
                          </w:p>
                        </w:tc>
                      </w:tr>
                      <w:tr>
                        <w:trPr>
                          <w:trHeight w:val="276" w:hRule="atLeast"/>
                        </w:trPr>
                        <w:tc>
                          <w:tcPr>
                            <w:tcW w:w="790" w:type="dxa"/>
                          </w:tcPr>
                          <w:p>
                            <w:pPr>
                              <w:pStyle w:val="TableParagraph"/>
                              <w:spacing w:before="50" w:line="207" w:lineRule="exact"/>
                              <w:ind w:right="232"/>
                              <w:jc w:val="right"/>
                              <w:rPr>
                                <w:sz w:val="18"/>
                              </w:rPr>
                            </w:pPr>
                            <w:r>
                              <w:rPr>
                                <w:color w:val="131313"/>
                                <w:spacing w:val="-2"/>
                                <w:sz w:val="18"/>
                              </w:rPr>
                              <w:t>5.31.1</w:t>
                            </w:r>
                          </w:p>
                        </w:tc>
                        <w:tc>
                          <w:tcPr>
                            <w:tcW w:w="703" w:type="dxa"/>
                          </w:tcPr>
                          <w:p>
                            <w:pPr>
                              <w:pStyle w:val="TableParagraph"/>
                              <w:spacing w:before="11"/>
                              <w:ind w:left="296"/>
                              <w:rPr>
                                <w:sz w:val="18"/>
                              </w:rPr>
                            </w:pPr>
                            <w:r>
                              <w:rPr>
                                <w:color w:val="131313"/>
                                <w:spacing w:val="-5"/>
                                <w:sz w:val="18"/>
                              </w:rPr>
                              <w:t>101</w:t>
                            </w:r>
                          </w:p>
                        </w:tc>
                      </w:tr>
                      <w:tr>
                        <w:trPr>
                          <w:trHeight w:val="278" w:hRule="atLeast"/>
                        </w:trPr>
                        <w:tc>
                          <w:tcPr>
                            <w:tcW w:w="790" w:type="dxa"/>
                          </w:tcPr>
                          <w:p>
                            <w:pPr>
                              <w:pStyle w:val="TableParagraph"/>
                              <w:spacing w:before="52" w:line="207" w:lineRule="exact"/>
                              <w:ind w:right="227"/>
                              <w:jc w:val="right"/>
                              <w:rPr>
                                <w:sz w:val="18"/>
                              </w:rPr>
                            </w:pPr>
                            <w:r>
                              <w:rPr>
                                <w:color w:val="131313"/>
                                <w:spacing w:val="-2"/>
                                <w:sz w:val="18"/>
                              </w:rPr>
                              <w:t>5.31.2</w:t>
                            </w:r>
                          </w:p>
                        </w:tc>
                        <w:tc>
                          <w:tcPr>
                            <w:tcW w:w="703" w:type="dxa"/>
                          </w:tcPr>
                          <w:p>
                            <w:pPr>
                              <w:pStyle w:val="TableParagraph"/>
                              <w:spacing w:before="13"/>
                              <w:ind w:left="296"/>
                              <w:rPr>
                                <w:sz w:val="18"/>
                              </w:rPr>
                            </w:pPr>
                            <w:r>
                              <w:rPr>
                                <w:color w:val="131313"/>
                                <w:spacing w:val="-5"/>
                                <w:sz w:val="18"/>
                              </w:rPr>
                              <w:t>102</w:t>
                            </w:r>
                          </w:p>
                        </w:tc>
                      </w:tr>
                      <w:tr>
                        <w:trPr>
                          <w:trHeight w:val="273" w:hRule="atLeast"/>
                        </w:trPr>
                        <w:tc>
                          <w:tcPr>
                            <w:tcW w:w="790" w:type="dxa"/>
                          </w:tcPr>
                          <w:p>
                            <w:pPr>
                              <w:pStyle w:val="TableParagraph"/>
                              <w:spacing w:before="47" w:line="207" w:lineRule="exact"/>
                              <w:ind w:right="222"/>
                              <w:jc w:val="right"/>
                              <w:rPr>
                                <w:sz w:val="18"/>
                              </w:rPr>
                            </w:pPr>
                            <w:r>
                              <w:rPr>
                                <w:color w:val="131313"/>
                                <w:spacing w:val="-2"/>
                                <w:sz w:val="18"/>
                              </w:rPr>
                              <w:t>5.31.3</w:t>
                            </w:r>
                          </w:p>
                        </w:tc>
                        <w:tc>
                          <w:tcPr>
                            <w:tcW w:w="703" w:type="dxa"/>
                          </w:tcPr>
                          <w:p>
                            <w:pPr>
                              <w:pStyle w:val="TableParagraph"/>
                              <w:spacing w:before="13"/>
                              <w:ind w:left="296"/>
                              <w:rPr>
                                <w:sz w:val="18"/>
                              </w:rPr>
                            </w:pPr>
                            <w:r>
                              <w:rPr>
                                <w:color w:val="131313"/>
                                <w:spacing w:val="-5"/>
                                <w:sz w:val="18"/>
                              </w:rPr>
                              <w:t>103</w:t>
                            </w:r>
                          </w:p>
                        </w:tc>
                      </w:tr>
                      <w:tr>
                        <w:trPr>
                          <w:trHeight w:val="278" w:hRule="atLeast"/>
                        </w:trPr>
                        <w:tc>
                          <w:tcPr>
                            <w:tcW w:w="790" w:type="dxa"/>
                          </w:tcPr>
                          <w:p>
                            <w:pPr>
                              <w:pStyle w:val="TableParagraph"/>
                              <w:spacing w:before="52" w:line="207" w:lineRule="exact"/>
                              <w:ind w:right="227"/>
                              <w:jc w:val="right"/>
                              <w:rPr>
                                <w:sz w:val="18"/>
                              </w:rPr>
                            </w:pPr>
                            <w:r>
                              <w:rPr>
                                <w:color w:val="131313"/>
                                <w:spacing w:val="-2"/>
                                <w:sz w:val="18"/>
                              </w:rPr>
                              <w:t>5.31.4</w:t>
                            </w:r>
                          </w:p>
                        </w:tc>
                        <w:tc>
                          <w:tcPr>
                            <w:tcW w:w="703" w:type="dxa"/>
                          </w:tcPr>
                          <w:p>
                            <w:pPr>
                              <w:pStyle w:val="TableParagraph"/>
                              <w:spacing w:before="13"/>
                              <w:ind w:left="296"/>
                              <w:rPr>
                                <w:sz w:val="18"/>
                              </w:rPr>
                            </w:pPr>
                            <w:r>
                              <w:rPr>
                                <w:color w:val="131313"/>
                                <w:spacing w:val="-5"/>
                                <w:sz w:val="18"/>
                              </w:rPr>
                              <w:t>103</w:t>
                            </w:r>
                          </w:p>
                        </w:tc>
                      </w:tr>
                      <w:tr>
                        <w:trPr>
                          <w:trHeight w:val="273" w:hRule="atLeast"/>
                        </w:trPr>
                        <w:tc>
                          <w:tcPr>
                            <w:tcW w:w="790" w:type="dxa"/>
                          </w:tcPr>
                          <w:p>
                            <w:pPr>
                              <w:pStyle w:val="TableParagraph"/>
                              <w:spacing w:before="47" w:line="207" w:lineRule="exact"/>
                              <w:ind w:right="222"/>
                              <w:jc w:val="right"/>
                              <w:rPr>
                                <w:sz w:val="18"/>
                              </w:rPr>
                            </w:pPr>
                            <w:r>
                              <w:rPr>
                                <w:color w:val="131313"/>
                                <w:spacing w:val="-2"/>
                                <w:sz w:val="18"/>
                              </w:rPr>
                              <w:t>5.31.5</w:t>
                            </w:r>
                          </w:p>
                        </w:tc>
                        <w:tc>
                          <w:tcPr>
                            <w:tcW w:w="703" w:type="dxa"/>
                          </w:tcPr>
                          <w:p>
                            <w:pPr>
                              <w:pStyle w:val="TableParagraph"/>
                              <w:spacing w:before="13"/>
                              <w:ind w:left="296"/>
                              <w:rPr>
                                <w:sz w:val="18"/>
                              </w:rPr>
                            </w:pPr>
                            <w:r>
                              <w:rPr>
                                <w:color w:val="131313"/>
                                <w:spacing w:val="-5"/>
                                <w:sz w:val="18"/>
                              </w:rPr>
                              <w:t>104</w:t>
                            </w:r>
                          </w:p>
                        </w:tc>
                      </w:tr>
                      <w:tr>
                        <w:trPr>
                          <w:trHeight w:val="278" w:hRule="atLeast"/>
                        </w:trPr>
                        <w:tc>
                          <w:tcPr>
                            <w:tcW w:w="790" w:type="dxa"/>
                          </w:tcPr>
                          <w:p>
                            <w:pPr>
                              <w:pStyle w:val="TableParagraph"/>
                              <w:spacing w:before="52" w:line="207" w:lineRule="exact"/>
                              <w:ind w:right="222"/>
                              <w:jc w:val="right"/>
                              <w:rPr>
                                <w:sz w:val="18"/>
                              </w:rPr>
                            </w:pPr>
                            <w:r>
                              <w:rPr>
                                <w:color w:val="131313"/>
                                <w:spacing w:val="-2"/>
                                <w:sz w:val="18"/>
                              </w:rPr>
                              <w:t>5.31.6</w:t>
                            </w:r>
                          </w:p>
                        </w:tc>
                        <w:tc>
                          <w:tcPr>
                            <w:tcW w:w="703" w:type="dxa"/>
                          </w:tcPr>
                          <w:p>
                            <w:pPr>
                              <w:pStyle w:val="TableParagraph"/>
                              <w:spacing w:before="13"/>
                              <w:ind w:left="296"/>
                              <w:rPr>
                                <w:sz w:val="18"/>
                              </w:rPr>
                            </w:pPr>
                            <w:r>
                              <w:rPr>
                                <w:color w:val="131313"/>
                                <w:spacing w:val="-5"/>
                                <w:w w:val="105"/>
                                <w:sz w:val="18"/>
                              </w:rPr>
                              <w:t>104</w:t>
                            </w:r>
                          </w:p>
                        </w:tc>
                      </w:tr>
                      <w:tr>
                        <w:trPr>
                          <w:trHeight w:val="276" w:hRule="atLeast"/>
                        </w:trPr>
                        <w:tc>
                          <w:tcPr>
                            <w:tcW w:w="790" w:type="dxa"/>
                          </w:tcPr>
                          <w:p>
                            <w:pPr>
                              <w:pStyle w:val="TableParagraph"/>
                              <w:spacing w:before="52" w:line="204" w:lineRule="exact"/>
                              <w:ind w:right="300"/>
                              <w:jc w:val="right"/>
                              <w:rPr>
                                <w:sz w:val="18"/>
                              </w:rPr>
                            </w:pPr>
                            <w:r>
                              <w:rPr>
                                <w:color w:val="131313"/>
                                <w:spacing w:val="-4"/>
                                <w:sz w:val="18"/>
                              </w:rPr>
                              <w:t>5.32</w:t>
                            </w:r>
                          </w:p>
                        </w:tc>
                        <w:tc>
                          <w:tcPr>
                            <w:tcW w:w="703" w:type="dxa"/>
                          </w:tcPr>
                          <w:p>
                            <w:pPr>
                              <w:pStyle w:val="TableParagraph"/>
                              <w:spacing w:before="13"/>
                              <w:ind w:left="296"/>
                              <w:rPr>
                                <w:sz w:val="18"/>
                              </w:rPr>
                            </w:pPr>
                            <w:r>
                              <w:rPr>
                                <w:color w:val="131313"/>
                                <w:spacing w:val="-5"/>
                                <w:sz w:val="18"/>
                              </w:rPr>
                              <w:t>105</w:t>
                            </w:r>
                          </w:p>
                        </w:tc>
                      </w:tr>
                      <w:tr>
                        <w:trPr>
                          <w:trHeight w:val="276" w:hRule="atLeast"/>
                        </w:trPr>
                        <w:tc>
                          <w:tcPr>
                            <w:tcW w:w="790" w:type="dxa"/>
                          </w:tcPr>
                          <w:p>
                            <w:pPr>
                              <w:pStyle w:val="TableParagraph"/>
                              <w:spacing w:before="50" w:line="207" w:lineRule="exact"/>
                              <w:ind w:right="295"/>
                              <w:jc w:val="right"/>
                              <w:rPr>
                                <w:sz w:val="18"/>
                              </w:rPr>
                            </w:pPr>
                            <w:r>
                              <w:rPr>
                                <w:color w:val="131313"/>
                                <w:spacing w:val="-4"/>
                                <w:sz w:val="18"/>
                              </w:rPr>
                              <w:t>5.33</w:t>
                            </w:r>
                          </w:p>
                        </w:tc>
                        <w:tc>
                          <w:tcPr>
                            <w:tcW w:w="703" w:type="dxa"/>
                          </w:tcPr>
                          <w:p>
                            <w:pPr>
                              <w:pStyle w:val="TableParagraph"/>
                              <w:spacing w:before="11"/>
                              <w:ind w:left="300"/>
                              <w:rPr>
                                <w:sz w:val="18"/>
                              </w:rPr>
                            </w:pPr>
                            <w:r>
                              <w:rPr>
                                <w:color w:val="131313"/>
                                <w:spacing w:val="-5"/>
                                <w:sz w:val="18"/>
                              </w:rPr>
                              <w:t>106</w:t>
                            </w:r>
                          </w:p>
                        </w:tc>
                      </w:tr>
                      <w:tr>
                        <w:trPr>
                          <w:trHeight w:val="273" w:hRule="atLeast"/>
                        </w:trPr>
                        <w:tc>
                          <w:tcPr>
                            <w:tcW w:w="790" w:type="dxa"/>
                          </w:tcPr>
                          <w:p>
                            <w:pPr>
                              <w:pStyle w:val="TableParagraph"/>
                              <w:spacing w:before="47" w:line="207" w:lineRule="exact"/>
                              <w:ind w:right="288"/>
                              <w:jc w:val="right"/>
                              <w:rPr>
                                <w:sz w:val="18"/>
                              </w:rPr>
                            </w:pPr>
                            <w:r>
                              <w:rPr>
                                <w:color w:val="131313"/>
                                <w:spacing w:val="-4"/>
                                <w:sz w:val="18"/>
                              </w:rPr>
                              <w:t>5.34</w:t>
                            </w:r>
                          </w:p>
                        </w:tc>
                        <w:tc>
                          <w:tcPr>
                            <w:tcW w:w="703" w:type="dxa"/>
                          </w:tcPr>
                          <w:p>
                            <w:pPr>
                              <w:pStyle w:val="TableParagraph"/>
                              <w:spacing w:before="13"/>
                              <w:ind w:left="296"/>
                              <w:rPr>
                                <w:sz w:val="18"/>
                              </w:rPr>
                            </w:pPr>
                            <w:r>
                              <w:rPr>
                                <w:color w:val="131313"/>
                                <w:spacing w:val="-5"/>
                                <w:w w:val="105"/>
                                <w:sz w:val="18"/>
                              </w:rPr>
                              <w:t>106</w:t>
                            </w:r>
                          </w:p>
                        </w:tc>
                      </w:tr>
                      <w:tr>
                        <w:trPr>
                          <w:trHeight w:val="276" w:hRule="atLeast"/>
                        </w:trPr>
                        <w:tc>
                          <w:tcPr>
                            <w:tcW w:w="790" w:type="dxa"/>
                          </w:tcPr>
                          <w:p>
                            <w:pPr>
                              <w:pStyle w:val="TableParagraph"/>
                              <w:spacing w:before="52" w:line="204" w:lineRule="exact"/>
                              <w:ind w:right="297"/>
                              <w:jc w:val="right"/>
                              <w:rPr>
                                <w:sz w:val="18"/>
                              </w:rPr>
                            </w:pPr>
                            <w:r>
                              <w:rPr>
                                <w:color w:val="131313"/>
                                <w:spacing w:val="-4"/>
                                <w:sz w:val="18"/>
                              </w:rPr>
                              <w:t>5.35</w:t>
                            </w:r>
                          </w:p>
                        </w:tc>
                        <w:tc>
                          <w:tcPr>
                            <w:tcW w:w="703" w:type="dxa"/>
                          </w:tcPr>
                          <w:p>
                            <w:pPr>
                              <w:pStyle w:val="TableParagraph"/>
                              <w:spacing w:before="13"/>
                              <w:ind w:left="296"/>
                              <w:rPr>
                                <w:sz w:val="18"/>
                              </w:rPr>
                            </w:pPr>
                            <w:r>
                              <w:rPr>
                                <w:color w:val="131313"/>
                                <w:spacing w:val="-5"/>
                                <w:w w:val="105"/>
                                <w:sz w:val="18"/>
                              </w:rPr>
                              <w:t>107</w:t>
                            </w:r>
                          </w:p>
                        </w:tc>
                      </w:tr>
                      <w:tr>
                        <w:trPr>
                          <w:trHeight w:val="276" w:hRule="atLeast"/>
                        </w:trPr>
                        <w:tc>
                          <w:tcPr>
                            <w:tcW w:w="790" w:type="dxa"/>
                          </w:tcPr>
                          <w:p>
                            <w:pPr>
                              <w:pStyle w:val="TableParagraph"/>
                              <w:spacing w:before="50" w:line="207" w:lineRule="exact"/>
                              <w:ind w:right="291"/>
                              <w:jc w:val="right"/>
                              <w:rPr>
                                <w:sz w:val="18"/>
                              </w:rPr>
                            </w:pPr>
                            <w:r>
                              <w:rPr>
                                <w:color w:val="131313"/>
                                <w:spacing w:val="-4"/>
                                <w:sz w:val="18"/>
                              </w:rPr>
                              <w:t>5</w:t>
                            </w:r>
                            <w:r>
                              <w:rPr>
                                <w:color w:val="424242"/>
                                <w:spacing w:val="-4"/>
                                <w:sz w:val="18"/>
                              </w:rPr>
                              <w:t>.</w:t>
                            </w:r>
                            <w:r>
                              <w:rPr>
                                <w:color w:val="131313"/>
                                <w:spacing w:val="-4"/>
                                <w:sz w:val="18"/>
                              </w:rPr>
                              <w:t>36</w:t>
                            </w:r>
                          </w:p>
                        </w:tc>
                        <w:tc>
                          <w:tcPr>
                            <w:tcW w:w="703" w:type="dxa"/>
                          </w:tcPr>
                          <w:p>
                            <w:pPr>
                              <w:pStyle w:val="TableParagraph"/>
                              <w:spacing w:before="11"/>
                              <w:ind w:left="300"/>
                              <w:rPr>
                                <w:sz w:val="18"/>
                              </w:rPr>
                            </w:pPr>
                            <w:r>
                              <w:rPr>
                                <w:color w:val="131313"/>
                                <w:spacing w:val="-5"/>
                                <w:sz w:val="18"/>
                              </w:rPr>
                              <w:t>107</w:t>
                            </w:r>
                          </w:p>
                        </w:tc>
                      </w:tr>
                      <w:tr>
                        <w:trPr>
                          <w:trHeight w:val="545" w:hRule="atLeast"/>
                        </w:trPr>
                        <w:tc>
                          <w:tcPr>
                            <w:tcW w:w="790" w:type="dxa"/>
                          </w:tcPr>
                          <w:p>
                            <w:pPr>
                              <w:pStyle w:val="TableParagraph"/>
                              <w:spacing w:before="52"/>
                              <w:ind w:right="292"/>
                              <w:jc w:val="right"/>
                              <w:rPr>
                                <w:sz w:val="18"/>
                              </w:rPr>
                            </w:pPr>
                            <w:r>
                              <w:rPr>
                                <w:color w:val="131313"/>
                                <w:spacing w:val="-4"/>
                                <w:sz w:val="18"/>
                              </w:rPr>
                              <w:t>5.37</w:t>
                            </w:r>
                          </w:p>
                        </w:tc>
                        <w:tc>
                          <w:tcPr>
                            <w:tcW w:w="703" w:type="dxa"/>
                          </w:tcPr>
                          <w:p>
                            <w:pPr>
                              <w:pStyle w:val="TableParagraph"/>
                              <w:spacing w:before="13"/>
                              <w:ind w:left="300"/>
                              <w:rPr>
                                <w:sz w:val="18"/>
                              </w:rPr>
                            </w:pPr>
                            <w:r>
                              <w:rPr>
                                <w:color w:val="131313"/>
                                <w:spacing w:val="-5"/>
                                <w:sz w:val="18"/>
                              </w:rPr>
                              <w:t>108</w:t>
                            </w:r>
                          </w:p>
                        </w:tc>
                      </w:tr>
                      <w:tr>
                        <w:trPr>
                          <w:trHeight w:val="531" w:hRule="atLeast"/>
                        </w:trPr>
                        <w:tc>
                          <w:tcPr>
                            <w:tcW w:w="790" w:type="dxa"/>
                          </w:tcPr>
                          <w:p>
                            <w:pPr>
                              <w:pStyle w:val="TableParagraph"/>
                              <w:spacing w:before="73"/>
                              <w:rPr>
                                <w:b/>
                                <w:sz w:val="18"/>
                              </w:rPr>
                            </w:pPr>
                          </w:p>
                          <w:p>
                            <w:pPr>
                              <w:pStyle w:val="TableParagraph"/>
                              <w:ind w:left="190"/>
                              <w:rPr>
                                <w:sz w:val="18"/>
                              </w:rPr>
                            </w:pPr>
                            <w:r>
                              <w:rPr>
                                <w:color w:val="131313"/>
                                <w:spacing w:val="-5"/>
                                <w:w w:val="105"/>
                                <w:sz w:val="18"/>
                              </w:rPr>
                              <w:t>6</w:t>
                            </w:r>
                            <w:r>
                              <w:rPr>
                                <w:color w:val="424242"/>
                                <w:spacing w:val="-5"/>
                                <w:w w:val="105"/>
                                <w:sz w:val="18"/>
                              </w:rPr>
                              <w:t>.</w:t>
                            </w:r>
                            <w:r>
                              <w:rPr>
                                <w:color w:val="131313"/>
                                <w:spacing w:val="-5"/>
                                <w:w w:val="105"/>
                                <w:sz w:val="18"/>
                              </w:rPr>
                              <w:t>0</w:t>
                            </w:r>
                          </w:p>
                        </w:tc>
                        <w:tc>
                          <w:tcPr>
                            <w:tcW w:w="703" w:type="dxa"/>
                          </w:tcPr>
                          <w:p>
                            <w:pPr>
                              <w:pStyle w:val="TableParagraph"/>
                              <w:spacing w:before="87"/>
                              <w:rPr>
                                <w:b/>
                                <w:sz w:val="18"/>
                              </w:rPr>
                            </w:pPr>
                          </w:p>
                          <w:p>
                            <w:pPr>
                              <w:pStyle w:val="TableParagraph"/>
                              <w:spacing w:before="1"/>
                              <w:ind w:left="300"/>
                              <w:rPr>
                                <w:sz w:val="18"/>
                              </w:rPr>
                            </w:pPr>
                            <w:r>
                              <w:rPr>
                                <w:color w:val="131313"/>
                                <w:spacing w:val="-5"/>
                                <w:w w:val="105"/>
                                <w:sz w:val="18"/>
                              </w:rPr>
                              <w:t>112</w:t>
                            </w:r>
                          </w:p>
                        </w:tc>
                      </w:tr>
                      <w:tr>
                        <w:trPr>
                          <w:trHeight w:val="285" w:hRule="atLeast"/>
                        </w:trPr>
                        <w:tc>
                          <w:tcPr>
                            <w:tcW w:w="790" w:type="dxa"/>
                          </w:tcPr>
                          <w:p>
                            <w:pPr>
                              <w:pStyle w:val="TableParagraph"/>
                              <w:spacing w:before="23"/>
                              <w:ind w:left="190"/>
                              <w:rPr>
                                <w:sz w:val="18"/>
                              </w:rPr>
                            </w:pPr>
                            <w:r>
                              <w:rPr>
                                <w:color w:val="131313"/>
                                <w:spacing w:val="-5"/>
                                <w:w w:val="105"/>
                                <w:sz w:val="18"/>
                              </w:rPr>
                              <w:t>6.1</w:t>
                            </w:r>
                          </w:p>
                        </w:tc>
                        <w:tc>
                          <w:tcPr>
                            <w:tcW w:w="703" w:type="dxa"/>
                          </w:tcPr>
                          <w:p>
                            <w:pPr>
                              <w:pStyle w:val="TableParagraph"/>
                              <w:spacing w:before="42"/>
                              <w:ind w:left="305"/>
                              <w:rPr>
                                <w:sz w:val="18"/>
                              </w:rPr>
                            </w:pPr>
                            <w:r>
                              <w:rPr>
                                <w:color w:val="131313"/>
                                <w:spacing w:val="-5"/>
                                <w:sz w:val="18"/>
                              </w:rPr>
                              <w:t>114</w:t>
                            </w:r>
                          </w:p>
                        </w:tc>
                      </w:tr>
                      <w:tr>
                        <w:trPr>
                          <w:trHeight w:val="278" w:hRule="atLeast"/>
                        </w:trPr>
                        <w:tc>
                          <w:tcPr>
                            <w:tcW w:w="790" w:type="dxa"/>
                          </w:tcPr>
                          <w:p>
                            <w:pPr>
                              <w:pStyle w:val="TableParagraph"/>
                              <w:spacing w:before="35"/>
                              <w:ind w:left="194"/>
                              <w:rPr>
                                <w:sz w:val="18"/>
                              </w:rPr>
                            </w:pPr>
                            <w:r>
                              <w:rPr>
                                <w:color w:val="131313"/>
                                <w:spacing w:val="-5"/>
                                <w:sz w:val="18"/>
                              </w:rPr>
                              <w:t>6.2</w:t>
                            </w:r>
                          </w:p>
                        </w:tc>
                        <w:tc>
                          <w:tcPr>
                            <w:tcW w:w="703" w:type="dxa"/>
                          </w:tcPr>
                          <w:p>
                            <w:pPr>
                              <w:pStyle w:val="TableParagraph"/>
                              <w:spacing w:before="30"/>
                              <w:ind w:left="305"/>
                              <w:rPr>
                                <w:sz w:val="18"/>
                              </w:rPr>
                            </w:pPr>
                            <w:r>
                              <w:rPr>
                                <w:color w:val="131313"/>
                                <w:spacing w:val="-5"/>
                                <w:sz w:val="18"/>
                              </w:rPr>
                              <w:t>115</w:t>
                            </w:r>
                          </w:p>
                        </w:tc>
                      </w:tr>
                      <w:tr>
                        <w:trPr>
                          <w:trHeight w:val="415" w:hRule="atLeast"/>
                        </w:trPr>
                        <w:tc>
                          <w:tcPr>
                            <w:tcW w:w="790" w:type="dxa"/>
                          </w:tcPr>
                          <w:p>
                            <w:pPr>
                              <w:pStyle w:val="TableParagraph"/>
                              <w:spacing w:before="35"/>
                              <w:ind w:left="194"/>
                              <w:rPr>
                                <w:sz w:val="18"/>
                              </w:rPr>
                            </w:pPr>
                            <w:r>
                              <w:rPr>
                                <w:color w:val="131313"/>
                                <w:spacing w:val="-5"/>
                                <w:sz w:val="18"/>
                              </w:rPr>
                              <w:t>6.3</w:t>
                            </w:r>
                          </w:p>
                        </w:tc>
                        <w:tc>
                          <w:tcPr>
                            <w:tcW w:w="703" w:type="dxa"/>
                          </w:tcPr>
                          <w:p>
                            <w:pPr>
                              <w:pStyle w:val="TableParagraph"/>
                              <w:spacing w:before="30"/>
                              <w:ind w:left="305"/>
                              <w:rPr>
                                <w:sz w:val="18"/>
                              </w:rPr>
                            </w:pPr>
                            <w:r>
                              <w:rPr>
                                <w:color w:val="131313"/>
                                <w:spacing w:val="-5"/>
                                <w:sz w:val="18"/>
                              </w:rPr>
                              <w:t>116</w:t>
                            </w:r>
                          </w:p>
                        </w:tc>
                      </w:tr>
                      <w:tr>
                        <w:trPr>
                          <w:trHeight w:val="403" w:hRule="atLeast"/>
                        </w:trPr>
                        <w:tc>
                          <w:tcPr>
                            <w:tcW w:w="790" w:type="dxa"/>
                          </w:tcPr>
                          <w:p>
                            <w:pPr>
                              <w:pStyle w:val="TableParagraph"/>
                              <w:rPr>
                                <w:rFonts w:ascii="Times New Roman"/>
                                <w:sz w:val="16"/>
                              </w:rPr>
                            </w:pPr>
                          </w:p>
                        </w:tc>
                        <w:tc>
                          <w:tcPr>
                            <w:tcW w:w="703" w:type="dxa"/>
                          </w:tcPr>
                          <w:p>
                            <w:pPr>
                              <w:pStyle w:val="TableParagraph"/>
                              <w:spacing w:before="167"/>
                              <w:ind w:right="83"/>
                              <w:jc w:val="right"/>
                              <w:rPr>
                                <w:sz w:val="18"/>
                              </w:rPr>
                            </w:pPr>
                            <w:r>
                              <w:rPr>
                                <w:color w:val="131313"/>
                                <w:spacing w:val="-5"/>
                                <w:sz w:val="18"/>
                              </w:rPr>
                              <w:t>117</w:t>
                            </w:r>
                          </w:p>
                        </w:tc>
                      </w:tr>
                      <w:tr>
                        <w:trPr>
                          <w:trHeight w:val="273" w:hRule="atLeast"/>
                        </w:trPr>
                        <w:tc>
                          <w:tcPr>
                            <w:tcW w:w="790" w:type="dxa"/>
                          </w:tcPr>
                          <w:p>
                            <w:pPr>
                              <w:pStyle w:val="TableParagraph"/>
                              <w:spacing w:before="23"/>
                              <w:ind w:left="193"/>
                              <w:rPr>
                                <w:sz w:val="18"/>
                              </w:rPr>
                            </w:pPr>
                            <w:r>
                              <w:rPr>
                                <w:color w:val="131313"/>
                                <w:spacing w:val="-5"/>
                                <w:w w:val="105"/>
                                <w:sz w:val="18"/>
                              </w:rPr>
                              <w:t>7</w:t>
                            </w:r>
                            <w:r>
                              <w:rPr>
                                <w:color w:val="424242"/>
                                <w:spacing w:val="-5"/>
                                <w:w w:val="105"/>
                                <w:sz w:val="18"/>
                              </w:rPr>
                              <w:t>.</w:t>
                            </w:r>
                            <w:r>
                              <w:rPr>
                                <w:color w:val="131313"/>
                                <w:spacing w:val="-5"/>
                                <w:w w:val="105"/>
                                <w:sz w:val="18"/>
                              </w:rPr>
                              <w:t>1</w:t>
                            </w:r>
                          </w:p>
                        </w:tc>
                        <w:tc>
                          <w:tcPr>
                            <w:tcW w:w="703" w:type="dxa"/>
                          </w:tcPr>
                          <w:p>
                            <w:pPr>
                              <w:pStyle w:val="TableParagraph"/>
                              <w:spacing w:before="37"/>
                              <w:ind w:right="83"/>
                              <w:jc w:val="right"/>
                              <w:rPr>
                                <w:sz w:val="18"/>
                              </w:rPr>
                            </w:pPr>
                            <w:r>
                              <w:rPr>
                                <w:color w:val="131313"/>
                                <w:spacing w:val="-5"/>
                                <w:sz w:val="18"/>
                              </w:rPr>
                              <w:t>119</w:t>
                            </w:r>
                          </w:p>
                        </w:tc>
                      </w:tr>
                      <w:tr>
                        <w:trPr>
                          <w:trHeight w:val="285" w:hRule="atLeast"/>
                        </w:trPr>
                        <w:tc>
                          <w:tcPr>
                            <w:tcW w:w="790" w:type="dxa"/>
                          </w:tcPr>
                          <w:p>
                            <w:pPr>
                              <w:pStyle w:val="TableParagraph"/>
                              <w:spacing w:before="23"/>
                              <w:ind w:left="198"/>
                              <w:rPr>
                                <w:sz w:val="18"/>
                              </w:rPr>
                            </w:pPr>
                            <w:r>
                              <w:rPr>
                                <w:color w:val="131313"/>
                                <w:spacing w:val="-5"/>
                                <w:sz w:val="18"/>
                              </w:rPr>
                              <w:t>7</w:t>
                            </w:r>
                            <w:r>
                              <w:rPr>
                                <w:color w:val="424242"/>
                                <w:spacing w:val="-5"/>
                                <w:sz w:val="18"/>
                              </w:rPr>
                              <w:t>.</w:t>
                            </w:r>
                            <w:r>
                              <w:rPr>
                                <w:color w:val="131313"/>
                                <w:spacing w:val="-5"/>
                                <w:sz w:val="18"/>
                              </w:rPr>
                              <w:t>2</w:t>
                            </w:r>
                          </w:p>
                        </w:tc>
                        <w:tc>
                          <w:tcPr>
                            <w:tcW w:w="703" w:type="dxa"/>
                          </w:tcPr>
                          <w:p>
                            <w:pPr>
                              <w:pStyle w:val="TableParagraph"/>
                              <w:spacing w:before="42"/>
                              <w:ind w:left="305"/>
                              <w:rPr>
                                <w:sz w:val="18"/>
                              </w:rPr>
                            </w:pPr>
                            <w:r>
                              <w:rPr>
                                <w:color w:val="131313"/>
                                <w:spacing w:val="-5"/>
                                <w:sz w:val="18"/>
                              </w:rPr>
                              <w:t>120</w:t>
                            </w:r>
                          </w:p>
                        </w:tc>
                      </w:tr>
                      <w:tr>
                        <w:trPr>
                          <w:trHeight w:val="278" w:hRule="atLeast"/>
                        </w:trPr>
                        <w:tc>
                          <w:tcPr>
                            <w:tcW w:w="790" w:type="dxa"/>
                          </w:tcPr>
                          <w:p>
                            <w:pPr>
                              <w:pStyle w:val="TableParagraph"/>
                              <w:spacing w:before="35"/>
                              <w:ind w:left="198"/>
                              <w:rPr>
                                <w:sz w:val="18"/>
                              </w:rPr>
                            </w:pPr>
                            <w:r>
                              <w:rPr>
                                <w:color w:val="131313"/>
                                <w:spacing w:val="-5"/>
                                <w:w w:val="105"/>
                                <w:sz w:val="18"/>
                              </w:rPr>
                              <w:t>7.3</w:t>
                            </w:r>
                          </w:p>
                        </w:tc>
                        <w:tc>
                          <w:tcPr>
                            <w:tcW w:w="703" w:type="dxa"/>
                          </w:tcPr>
                          <w:p>
                            <w:pPr>
                              <w:pStyle w:val="TableParagraph"/>
                              <w:spacing w:before="30"/>
                              <w:ind w:left="310"/>
                              <w:rPr>
                                <w:sz w:val="18"/>
                              </w:rPr>
                            </w:pPr>
                            <w:r>
                              <w:rPr>
                                <w:color w:val="131313"/>
                                <w:spacing w:val="-5"/>
                                <w:sz w:val="18"/>
                              </w:rPr>
                              <w:t>121</w:t>
                            </w:r>
                          </w:p>
                        </w:tc>
                      </w:tr>
                      <w:tr>
                        <w:trPr>
                          <w:trHeight w:val="415" w:hRule="atLeast"/>
                        </w:trPr>
                        <w:tc>
                          <w:tcPr>
                            <w:tcW w:w="790" w:type="dxa"/>
                          </w:tcPr>
                          <w:p>
                            <w:pPr>
                              <w:pStyle w:val="TableParagraph"/>
                              <w:spacing w:before="35"/>
                              <w:ind w:left="193"/>
                              <w:rPr>
                                <w:sz w:val="18"/>
                              </w:rPr>
                            </w:pPr>
                            <w:r>
                              <w:rPr>
                                <w:color w:val="131313"/>
                                <w:spacing w:val="-5"/>
                                <w:w w:val="105"/>
                                <w:sz w:val="18"/>
                              </w:rPr>
                              <w:t>7.4</w:t>
                            </w:r>
                          </w:p>
                        </w:tc>
                        <w:tc>
                          <w:tcPr>
                            <w:tcW w:w="703" w:type="dxa"/>
                          </w:tcPr>
                          <w:p>
                            <w:pPr>
                              <w:pStyle w:val="TableParagraph"/>
                              <w:spacing w:before="30"/>
                              <w:ind w:right="83"/>
                              <w:jc w:val="right"/>
                              <w:rPr>
                                <w:sz w:val="18"/>
                              </w:rPr>
                            </w:pPr>
                            <w:r>
                              <w:rPr>
                                <w:color w:val="131313"/>
                                <w:spacing w:val="-5"/>
                                <w:sz w:val="18"/>
                              </w:rPr>
                              <w:t>122</w:t>
                            </w:r>
                          </w:p>
                        </w:tc>
                      </w:tr>
                      <w:tr>
                        <w:trPr>
                          <w:trHeight w:val="547" w:hRule="atLeast"/>
                        </w:trPr>
                        <w:tc>
                          <w:tcPr>
                            <w:tcW w:w="790" w:type="dxa"/>
                          </w:tcPr>
                          <w:p>
                            <w:pPr>
                              <w:pStyle w:val="TableParagraph"/>
                              <w:rPr>
                                <w:rFonts w:ascii="Times New Roman"/>
                                <w:sz w:val="16"/>
                              </w:rPr>
                            </w:pPr>
                          </w:p>
                        </w:tc>
                        <w:tc>
                          <w:tcPr>
                            <w:tcW w:w="703" w:type="dxa"/>
                          </w:tcPr>
                          <w:p>
                            <w:pPr>
                              <w:pStyle w:val="TableParagraph"/>
                              <w:spacing w:before="167"/>
                              <w:ind w:right="83"/>
                              <w:jc w:val="right"/>
                              <w:rPr>
                                <w:sz w:val="18"/>
                              </w:rPr>
                            </w:pPr>
                            <w:r>
                              <w:rPr>
                                <w:color w:val="131313"/>
                                <w:spacing w:val="-5"/>
                                <w:sz w:val="18"/>
                              </w:rPr>
                              <w:t>123</w:t>
                            </w:r>
                          </w:p>
                        </w:tc>
                      </w:tr>
                      <w:tr>
                        <w:trPr>
                          <w:trHeight w:val="374" w:hRule="atLeast"/>
                        </w:trPr>
                        <w:tc>
                          <w:tcPr>
                            <w:tcW w:w="790" w:type="dxa"/>
                          </w:tcPr>
                          <w:p>
                            <w:pPr>
                              <w:pStyle w:val="TableParagraph"/>
                              <w:rPr>
                                <w:rFonts w:ascii="Times New Roman"/>
                                <w:sz w:val="16"/>
                              </w:rPr>
                            </w:pPr>
                          </w:p>
                        </w:tc>
                        <w:tc>
                          <w:tcPr>
                            <w:tcW w:w="703" w:type="dxa"/>
                          </w:tcPr>
                          <w:p>
                            <w:pPr>
                              <w:pStyle w:val="TableParagraph"/>
                              <w:spacing w:before="167" w:line="187" w:lineRule="exact"/>
                              <w:ind w:right="83"/>
                              <w:jc w:val="right"/>
                              <w:rPr>
                                <w:sz w:val="18"/>
                              </w:rPr>
                            </w:pPr>
                            <w:r>
                              <w:rPr>
                                <w:color w:val="131313"/>
                                <w:spacing w:val="-5"/>
                                <w:sz w:val="18"/>
                              </w:rPr>
                              <w:t>147</w:t>
                            </w:r>
                          </w:p>
                        </w:tc>
                      </w:tr>
                    </w:tbl>
                    <w:p>
                      <w:pPr>
                        <w:pStyle w:val="BodyText"/>
                      </w:pPr>
                    </w:p>
                  </w:txbxContent>
                </v:textbox>
                <w10:wrap type="none"/>
              </v:shape>
            </w:pict>
          </ve:Fallback>
        </ve:AlternateContent>
      </w:r>
      <w:r>
        <w:rPr>
          <w:b/>
          <w:color w:val="131313"/>
          <w:spacing w:val="-2"/>
          <w:w w:val="105"/>
          <w:sz w:val="17"/>
        </w:rPr>
        <w:t>Section</w:t>
      </w:r>
    </w:p>
    <w:p>
      <w:pPr>
        <w:pStyle w:val="BodyText"/>
        <w:spacing w:before="65"/>
        <w:rPr>
          <w:b/>
          <w:sz w:val="17"/>
        </w:rPr>
      </w:pPr>
    </w:p>
    <w:p>
      <w:pPr>
        <w:pStyle w:val="ListParagraph"/>
        <w:numPr>
          <w:ilvl w:val="0"/>
          <w:numId w:val="1"/>
        </w:numPr>
        <w:tabs>
          <w:tab w:val="left" w:leader="none" w:pos="991"/>
        </w:tabs>
        <w:spacing w:before="0" w:after="0" w:line="295" w:lineRule="auto"/>
        <w:ind w:left="991" w:right="6270" w:hanging="609"/>
        <w:jc w:val="left"/>
        <w:rPr>
          <w:b/>
          <w:color w:val="131313"/>
          <w:position w:val="1"/>
          <w:sz w:val="17"/>
        </w:rPr>
      </w:pPr>
      <w:r>
        <w:rPr>
          <w:color w:val="2A2A2A"/>
          <w:sz w:val="18"/>
          <w:u w:val="thick" w:color="2A2A2A"/>
        </w:rPr>
        <w:t>Capital</w:t>
      </w:r>
      <w:r>
        <w:rPr>
          <w:color w:val="2A2A2A"/>
          <w:spacing w:val="-13"/>
          <w:sz w:val="18"/>
          <w:u w:val="none"/>
        </w:rPr>
        <w:t> </w:t>
      </w:r>
      <w:r>
        <w:rPr>
          <w:color w:val="2A2A2A"/>
          <w:sz w:val="18"/>
          <w:u w:val="none"/>
        </w:rPr>
        <w:t>Grants</w:t>
      </w:r>
      <w:r>
        <w:rPr>
          <w:color w:val="2A2A2A"/>
          <w:spacing w:val="-8"/>
          <w:sz w:val="18"/>
          <w:u w:val="none"/>
        </w:rPr>
        <w:t> </w:t>
      </w:r>
      <w:r>
        <w:rPr>
          <w:color w:val="2A2A2A"/>
          <w:sz w:val="18"/>
          <w:u w:val="none"/>
        </w:rPr>
        <w:t>Received</w:t>
      </w:r>
      <w:r>
        <w:rPr>
          <w:color w:val="2A2A2A"/>
          <w:spacing w:val="-10"/>
          <w:sz w:val="18"/>
          <w:u w:val="none"/>
        </w:rPr>
        <w:t> </w:t>
      </w:r>
      <w:r>
        <w:rPr>
          <w:color w:val="424242"/>
          <w:sz w:val="18"/>
          <w:u w:val="none"/>
        </w:rPr>
        <w:t>in</w:t>
      </w:r>
      <w:r>
        <w:rPr>
          <w:color w:val="424242"/>
          <w:spacing w:val="-13"/>
          <w:sz w:val="18"/>
          <w:u w:val="none"/>
        </w:rPr>
        <w:t> </w:t>
      </w:r>
      <w:r>
        <w:rPr>
          <w:color w:val="2A2A2A"/>
          <w:sz w:val="18"/>
          <w:u w:val="none"/>
        </w:rPr>
        <w:t>Advance Financial Instruments</w:t>
      </w:r>
    </w:p>
    <w:p>
      <w:pPr>
        <w:spacing w:before="25"/>
        <w:ind w:left="992" w:right="0" w:firstLine="0"/>
        <w:jc w:val="left"/>
        <w:rPr>
          <w:sz w:val="18"/>
        </w:rPr>
      </w:pPr>
      <w:r>
        <w:rPr>
          <w:color w:val="2A2A2A"/>
          <w:sz w:val="18"/>
        </w:rPr>
        <w:t>Defined</w:t>
      </w:r>
      <w:r>
        <w:rPr>
          <w:color w:val="2A2A2A"/>
          <w:spacing w:val="-7"/>
          <w:sz w:val="18"/>
        </w:rPr>
        <w:t> </w:t>
      </w:r>
      <w:r>
        <w:rPr>
          <w:color w:val="2A2A2A"/>
          <w:sz w:val="18"/>
        </w:rPr>
        <w:t>Benefit</w:t>
      </w:r>
      <w:r>
        <w:rPr>
          <w:color w:val="2A2A2A"/>
          <w:spacing w:val="-8"/>
          <w:sz w:val="18"/>
        </w:rPr>
        <w:t> </w:t>
      </w:r>
      <w:r>
        <w:rPr>
          <w:color w:val="2A2A2A"/>
          <w:sz w:val="18"/>
        </w:rPr>
        <w:t>Pension</w:t>
      </w:r>
      <w:r>
        <w:rPr>
          <w:color w:val="2A2A2A"/>
          <w:spacing w:val="-1"/>
          <w:sz w:val="18"/>
        </w:rPr>
        <w:t> </w:t>
      </w:r>
      <w:r>
        <w:rPr>
          <w:color w:val="2A2A2A"/>
          <w:spacing w:val="-2"/>
          <w:sz w:val="18"/>
        </w:rPr>
        <w:t>Scheme</w:t>
      </w:r>
    </w:p>
    <w:p>
      <w:pPr>
        <w:spacing w:before="60" w:line="235" w:lineRule="auto"/>
        <w:ind w:left="993" w:right="2845" w:hanging="1"/>
        <w:jc w:val="left"/>
        <w:rPr>
          <w:sz w:val="18"/>
        </w:rPr>
      </w:pPr>
      <w:r>
        <w:rPr/>
        <ve:AlternateContent>
          <ve:Choice Requires="wps">
            <w:drawing>
              <wp:anchor distT="0" distB="0" distL="0" distR="0" simplePos="0" relativeHeight="475845632" behindDoc="1" locked="0" layoutInCell="1" allowOverlap="1">
                <wp:simplePos x="0" y="0"/>
                <wp:positionH relativeFrom="page">
                  <wp:posOffset>1086838</wp:posOffset>
                </wp:positionH>
                <wp:positionV relativeFrom="paragraph">
                  <wp:posOffset>174133</wp:posOffset>
                </wp:positionV>
                <wp:extent cx="4442460" cy="127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4442460" cy="1270"/>
                        </a:xfrm>
                        <a:custGeom>
                          <a:avLst/>
                          <a:gdLst/>
                          <a:ahLst/>
                          <a:cxnLst/>
                          <a:rect l="l" t="t" r="r" b="b"/>
                          <a:pathLst>
                            <a:path w="4442460" h="0">
                              <a:moveTo>
                                <a:pt x="0" y="0"/>
                              </a:moveTo>
                              <a:lnTo>
                                <a:pt x="4441993"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27470848" stroked="true" strokecolor="#000000" strokeweight=".240274pt" from="85.57782pt,13.71131pt" to="435.341087pt,13.71131pt">
                <v:stroke dashstyle="solid"/>
                <w10:wrap type="none"/>
              </v:line>
            </w:pict>
          </ve:Fallback>
        </ve:AlternateContent>
      </w:r>
      <w:r>
        <w:rPr>
          <w:color w:val="2A2A2A"/>
          <w:sz w:val="18"/>
        </w:rPr>
        <w:t>Defined</w:t>
      </w:r>
      <w:r>
        <w:rPr>
          <w:color w:val="2A2A2A"/>
          <w:spacing w:val="-10"/>
          <w:sz w:val="18"/>
        </w:rPr>
        <w:t> </w:t>
      </w:r>
      <w:r>
        <w:rPr>
          <w:color w:val="2A2A2A"/>
          <w:sz w:val="18"/>
        </w:rPr>
        <w:t>Benefit</w:t>
      </w:r>
      <w:r>
        <w:rPr>
          <w:color w:val="2A2A2A"/>
          <w:spacing w:val="-6"/>
          <w:sz w:val="18"/>
        </w:rPr>
        <w:t> </w:t>
      </w:r>
      <w:r>
        <w:rPr>
          <w:color w:val="2A2A2A"/>
          <w:sz w:val="18"/>
        </w:rPr>
        <w:t>Pension</w:t>
      </w:r>
      <w:r>
        <w:rPr>
          <w:color w:val="2A2A2A"/>
          <w:spacing w:val="-5"/>
          <w:sz w:val="18"/>
        </w:rPr>
        <w:t> </w:t>
      </w:r>
      <w:r>
        <w:rPr>
          <w:color w:val="2A2A2A"/>
          <w:sz w:val="18"/>
        </w:rPr>
        <w:t>Scheme</w:t>
      </w:r>
      <w:r>
        <w:rPr>
          <w:color w:val="2A2A2A"/>
          <w:spacing w:val="-10"/>
          <w:sz w:val="18"/>
        </w:rPr>
        <w:t> </w:t>
      </w:r>
      <w:r>
        <w:rPr>
          <w:color w:val="2A2A2A"/>
          <w:sz w:val="18"/>
        </w:rPr>
        <w:t>-</w:t>
      </w:r>
      <w:r>
        <w:rPr>
          <w:color w:val="2A2A2A"/>
          <w:spacing w:val="-8"/>
          <w:sz w:val="18"/>
        </w:rPr>
        <w:t> </w:t>
      </w:r>
      <w:r>
        <w:rPr>
          <w:color w:val="2A2A2A"/>
          <w:sz w:val="18"/>
        </w:rPr>
        <w:t>Comprehensive</w:t>
      </w:r>
      <w:r>
        <w:rPr>
          <w:color w:val="2A2A2A"/>
          <w:spacing w:val="13"/>
          <w:sz w:val="18"/>
        </w:rPr>
        <w:t> </w:t>
      </w:r>
      <w:r>
        <w:rPr>
          <w:color w:val="2A2A2A"/>
          <w:sz w:val="18"/>
        </w:rPr>
        <w:t>Income</w:t>
      </w:r>
      <w:r>
        <w:rPr>
          <w:color w:val="2A2A2A"/>
          <w:spacing w:val="-9"/>
          <w:sz w:val="18"/>
        </w:rPr>
        <w:t> </w:t>
      </w:r>
      <w:r>
        <w:rPr>
          <w:color w:val="2A2A2A"/>
          <w:sz w:val="18"/>
        </w:rPr>
        <w:t>and</w:t>
      </w:r>
      <w:r>
        <w:rPr>
          <w:color w:val="2A2A2A"/>
          <w:spacing w:val="-9"/>
          <w:sz w:val="18"/>
        </w:rPr>
        <w:t> </w:t>
      </w:r>
      <w:r>
        <w:rPr>
          <w:color w:val="2A2A2A"/>
          <w:sz w:val="18"/>
        </w:rPr>
        <w:t>Expenditure </w:t>
      </w:r>
      <w:r>
        <w:rPr>
          <w:color w:val="2A2A2A"/>
          <w:spacing w:val="-2"/>
          <w:sz w:val="18"/>
        </w:rPr>
        <w:t>Statement</w:t>
      </w:r>
    </w:p>
    <w:p>
      <w:pPr>
        <w:spacing w:before="57"/>
        <w:ind w:left="992" w:right="0" w:firstLine="0"/>
        <w:jc w:val="left"/>
        <w:rPr>
          <w:sz w:val="18"/>
        </w:rPr>
      </w:pPr>
      <w:r>
        <w:rPr/>
        <ve:AlternateContent>
          <ve:Choice Requires="wps">
            <w:drawing>
              <wp:anchor distT="0" distB="0" distL="0" distR="0" simplePos="0" relativeHeight="487592448" behindDoc="1" locked="0" layoutInCell="1" allowOverlap="1">
                <wp:simplePos x="0" y="0"/>
                <wp:positionH relativeFrom="page">
                  <wp:posOffset>1086838</wp:posOffset>
                </wp:positionH>
                <wp:positionV relativeFrom="paragraph">
                  <wp:posOffset>198828</wp:posOffset>
                </wp:positionV>
                <wp:extent cx="4442460" cy="1270"/>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4442460" cy="1270"/>
                        </a:xfrm>
                        <a:custGeom>
                          <a:avLst/>
                          <a:gdLst/>
                          <a:ahLst/>
                          <a:cxnLst/>
                          <a:rect l="l" t="t" r="r" b="b"/>
                          <a:pathLst>
                            <a:path w="4442460" h="0">
                              <a:moveTo>
                                <a:pt x="0" y="0"/>
                              </a:moveTo>
                              <a:lnTo>
                                <a:pt x="4441993"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9" style="position:absolute;margin-left:85.57782pt;margin-top:15.655786pt;width:349.8pt;height:.1pt;mso-position-horizontal-relative:page;mso-position-vertical-relative:paragraph;z-index:-15724032;mso-wrap-distance-left:0;mso-wrap-distance-right:0" coordsize="6996,0" coordorigin="1712,313" filled="false" stroked="true" strokecolor="#000000" strokeweight=".240274pt" path="m1712,313l8707,313e">
                <v:path arrowok="t"/>
                <v:stroke dashstyle="solid"/>
                <w10:wrap type="topAndBottom"/>
              </v:shape>
            </w:pict>
          </ve:Fallback>
        </ve:AlternateContent>
      </w:r>
      <w:r>
        <w:rPr>
          <w:color w:val="2A2A2A"/>
          <w:sz w:val="18"/>
        </w:rPr>
        <w:t>Defined</w:t>
      </w:r>
      <w:r>
        <w:rPr>
          <w:color w:val="2A2A2A"/>
          <w:spacing w:val="-6"/>
          <w:sz w:val="18"/>
        </w:rPr>
        <w:t> </w:t>
      </w:r>
      <w:r>
        <w:rPr>
          <w:color w:val="2A2A2A"/>
          <w:sz w:val="18"/>
        </w:rPr>
        <w:t>Benefit</w:t>
      </w:r>
      <w:r>
        <w:rPr>
          <w:color w:val="2A2A2A"/>
          <w:spacing w:val="1"/>
          <w:sz w:val="18"/>
        </w:rPr>
        <w:t> </w:t>
      </w:r>
      <w:r>
        <w:rPr>
          <w:color w:val="2A2A2A"/>
          <w:sz w:val="18"/>
        </w:rPr>
        <w:t>Pension</w:t>
      </w:r>
      <w:r>
        <w:rPr>
          <w:color w:val="2A2A2A"/>
          <w:spacing w:val="-2"/>
          <w:sz w:val="18"/>
        </w:rPr>
        <w:t> </w:t>
      </w:r>
      <w:r>
        <w:rPr>
          <w:color w:val="2A2A2A"/>
          <w:sz w:val="18"/>
        </w:rPr>
        <w:t>Scheme</w:t>
      </w:r>
      <w:r>
        <w:rPr>
          <w:color w:val="2A2A2A"/>
          <w:spacing w:val="-9"/>
          <w:sz w:val="18"/>
        </w:rPr>
        <w:t> </w:t>
      </w:r>
      <w:r>
        <w:rPr>
          <w:color w:val="424242"/>
          <w:sz w:val="18"/>
        </w:rPr>
        <w:t>-</w:t>
      </w:r>
      <w:r>
        <w:rPr>
          <w:color w:val="424242"/>
          <w:spacing w:val="-9"/>
          <w:sz w:val="18"/>
        </w:rPr>
        <w:t> </w:t>
      </w:r>
      <w:r>
        <w:rPr>
          <w:color w:val="2A2A2A"/>
          <w:sz w:val="18"/>
        </w:rPr>
        <w:t>Movement</w:t>
      </w:r>
      <w:r>
        <w:rPr>
          <w:color w:val="2A2A2A"/>
          <w:spacing w:val="-1"/>
          <w:sz w:val="18"/>
        </w:rPr>
        <w:t> </w:t>
      </w:r>
      <w:r>
        <w:rPr>
          <w:color w:val="2A2A2A"/>
          <w:sz w:val="18"/>
        </w:rPr>
        <w:t>In</w:t>
      </w:r>
      <w:r>
        <w:rPr>
          <w:color w:val="2A2A2A"/>
          <w:spacing w:val="-11"/>
          <w:sz w:val="18"/>
        </w:rPr>
        <w:t> </w:t>
      </w:r>
      <w:r>
        <w:rPr>
          <w:color w:val="2A2A2A"/>
          <w:sz w:val="18"/>
        </w:rPr>
        <w:t>Reserves </w:t>
      </w:r>
      <w:r>
        <w:rPr>
          <w:color w:val="2A2A2A"/>
          <w:spacing w:val="-2"/>
          <w:sz w:val="18"/>
        </w:rPr>
        <w:t>Statement</w:t>
      </w:r>
    </w:p>
    <w:p>
      <w:pPr>
        <w:spacing w:before="6"/>
        <w:ind w:left="993" w:right="2385" w:hanging="1"/>
        <w:jc w:val="left"/>
        <w:rPr>
          <w:sz w:val="18"/>
        </w:rPr>
      </w:pPr>
      <w:r>
        <w:rPr>
          <w:color w:val="2A2A2A"/>
          <w:sz w:val="18"/>
        </w:rPr>
        <w:t>Defined</w:t>
      </w:r>
      <w:r>
        <w:rPr>
          <w:color w:val="2A2A2A"/>
          <w:spacing w:val="-8"/>
          <w:sz w:val="18"/>
        </w:rPr>
        <w:t> </w:t>
      </w:r>
      <w:r>
        <w:rPr>
          <w:color w:val="2A2A2A"/>
          <w:sz w:val="18"/>
        </w:rPr>
        <w:t>Benefit</w:t>
      </w:r>
      <w:r>
        <w:rPr>
          <w:color w:val="2A2A2A"/>
          <w:spacing w:val="-1"/>
          <w:sz w:val="18"/>
        </w:rPr>
        <w:t> </w:t>
      </w:r>
      <w:r>
        <w:rPr>
          <w:color w:val="2A2A2A"/>
          <w:sz w:val="18"/>
        </w:rPr>
        <w:t>Pension Scheme</w:t>
      </w:r>
      <w:r>
        <w:rPr>
          <w:color w:val="2A2A2A"/>
          <w:spacing w:val="-5"/>
          <w:sz w:val="18"/>
        </w:rPr>
        <w:t> </w:t>
      </w:r>
      <w:r>
        <w:rPr>
          <w:color w:val="424242"/>
          <w:sz w:val="18"/>
        </w:rPr>
        <w:t>-</w:t>
      </w:r>
      <w:r>
        <w:rPr>
          <w:color w:val="424242"/>
          <w:spacing w:val="-3"/>
          <w:sz w:val="18"/>
        </w:rPr>
        <w:t> </w:t>
      </w:r>
      <w:r>
        <w:rPr>
          <w:color w:val="2A2A2A"/>
          <w:sz w:val="18"/>
        </w:rPr>
        <w:t>Pension </w:t>
      </w:r>
      <w:r>
        <w:rPr>
          <w:color w:val="131313"/>
          <w:sz w:val="18"/>
        </w:rPr>
        <w:t>Assets</w:t>
      </w:r>
      <w:r>
        <w:rPr>
          <w:color w:val="131313"/>
          <w:spacing w:val="-6"/>
          <w:sz w:val="18"/>
        </w:rPr>
        <w:t> </w:t>
      </w:r>
      <w:r>
        <w:rPr>
          <w:color w:val="2A2A2A"/>
          <w:sz w:val="18"/>
        </w:rPr>
        <w:t>and</w:t>
      </w:r>
      <w:r>
        <w:rPr>
          <w:color w:val="2A2A2A"/>
          <w:spacing w:val="-14"/>
          <w:sz w:val="18"/>
        </w:rPr>
        <w:t> </w:t>
      </w:r>
      <w:r>
        <w:rPr>
          <w:color w:val="2A2A2A"/>
          <w:sz w:val="18"/>
        </w:rPr>
        <w:t>Liabilities recognised</w:t>
      </w:r>
      <w:r>
        <w:rPr>
          <w:color w:val="2A2A2A"/>
          <w:spacing w:val="-1"/>
          <w:sz w:val="18"/>
        </w:rPr>
        <w:t> </w:t>
      </w:r>
      <w:r>
        <w:rPr>
          <w:color w:val="2A2A2A"/>
          <w:sz w:val="18"/>
        </w:rPr>
        <w:t>in</w:t>
      </w:r>
      <w:r>
        <w:rPr>
          <w:color w:val="2A2A2A"/>
          <w:spacing w:val="-7"/>
          <w:sz w:val="18"/>
        </w:rPr>
        <w:t> </w:t>
      </w:r>
      <w:r>
        <w:rPr>
          <w:color w:val="2A2A2A"/>
          <w:sz w:val="18"/>
        </w:rPr>
        <w:t>the Balance Sheet</w:t>
      </w:r>
    </w:p>
    <w:p>
      <w:pPr>
        <w:spacing w:before="52" w:line="319" w:lineRule="auto"/>
        <w:ind w:left="991" w:right="2845" w:firstLine="0"/>
        <w:jc w:val="left"/>
        <w:rPr>
          <w:sz w:val="18"/>
        </w:rPr>
      </w:pPr>
      <w:r>
        <w:rPr/>
        <ve:AlternateContent>
          <ve:Choice Requires="wps">
            <w:drawing>
              <wp:anchor distT="0" distB="0" distL="0" distR="0" simplePos="0" relativeHeight="15734784" behindDoc="0" locked="0" layoutInCell="1" allowOverlap="1">
                <wp:simplePos x="0" y="0"/>
                <wp:positionH relativeFrom="page">
                  <wp:posOffset>1086838</wp:posOffset>
                </wp:positionH>
                <wp:positionV relativeFrom="paragraph">
                  <wp:posOffset>-124783</wp:posOffset>
                </wp:positionV>
                <wp:extent cx="4442460" cy="127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4442460" cy="1270"/>
                        </a:xfrm>
                        <a:custGeom>
                          <a:avLst/>
                          <a:gdLst/>
                          <a:ahLst/>
                          <a:cxnLst/>
                          <a:rect l="l" t="t" r="r" b="b"/>
                          <a:pathLst>
                            <a:path w="4442460" h="0">
                              <a:moveTo>
                                <a:pt x="0" y="0"/>
                              </a:moveTo>
                              <a:lnTo>
                                <a:pt x="4441993"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34784" stroked="true" strokecolor="#000000" strokeweight=".720821pt" from="85.57782pt,-9.825509pt" to="435.341087pt,-9.825509pt">
                <v:stroke dashstyle="solid"/>
                <w10:wrap type="none"/>
              </v:line>
            </w:pict>
          </ve:Fallback>
        </ve:AlternateContent>
      </w:r>
      <w:r>
        <w:rPr/>
        <ve:AlternateContent>
          <ve:Choice Requires="wps">
            <w:drawing>
              <wp:anchor distT="0" distB="0" distL="0" distR="0" simplePos="0" relativeHeight="15735296" behindDoc="0" locked="0" layoutInCell="1" allowOverlap="1">
                <wp:simplePos x="0" y="0"/>
                <wp:positionH relativeFrom="page">
                  <wp:posOffset>1086838</wp:posOffset>
                </wp:positionH>
                <wp:positionV relativeFrom="paragraph">
                  <wp:posOffset>201724</wp:posOffset>
                </wp:positionV>
                <wp:extent cx="4442460" cy="127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4442460" cy="1270"/>
                        </a:xfrm>
                        <a:custGeom>
                          <a:avLst/>
                          <a:gdLst/>
                          <a:ahLst/>
                          <a:cxnLst/>
                          <a:rect l="l" t="t" r="r" b="b"/>
                          <a:pathLst>
                            <a:path w="4442460" h="0">
                              <a:moveTo>
                                <a:pt x="0" y="0"/>
                              </a:moveTo>
                              <a:lnTo>
                                <a:pt x="4441993"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35296" stroked="true" strokecolor="#000000" strokeweight=".240274pt" from="85.57782pt,15.88379pt" to="435.341087pt,15.88379pt">
                <v:stroke dashstyle="solid"/>
                <w10:wrap type="none"/>
              </v:line>
            </w:pict>
          </ve:Fallback>
        </ve:AlternateContent>
      </w:r>
      <w:r>
        <w:rPr/>
        <ve:AlternateContent>
          <ve:Choice Requires="wps">
            <w:drawing>
              <wp:anchor distT="0" distB="0" distL="0" distR="0" simplePos="0" relativeHeight="15735808" behindDoc="0" locked="0" layoutInCell="1" allowOverlap="1">
                <wp:simplePos x="0" y="0"/>
                <wp:positionH relativeFrom="page">
                  <wp:posOffset>1086838</wp:posOffset>
                </wp:positionH>
                <wp:positionV relativeFrom="paragraph">
                  <wp:posOffset>378709</wp:posOffset>
                </wp:positionV>
                <wp:extent cx="4442460" cy="127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4442460" cy="1270"/>
                        </a:xfrm>
                        <a:custGeom>
                          <a:avLst/>
                          <a:gdLst/>
                          <a:ahLst/>
                          <a:cxnLst/>
                          <a:rect l="l" t="t" r="r" b="b"/>
                          <a:pathLst>
                            <a:path w="4442460" h="0">
                              <a:moveTo>
                                <a:pt x="0" y="0"/>
                              </a:moveTo>
                              <a:lnTo>
                                <a:pt x="4441993"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35808" stroked="true" strokecolor="#000000" strokeweight=".240274pt" from="85.57782pt,29.819672pt" to="435.341087pt,29.819672pt">
                <v:stroke dashstyle="solid"/>
                <w10:wrap type="none"/>
              </v:line>
            </w:pict>
          </ve:Fallback>
        </ve:AlternateContent>
      </w:r>
      <w:r>
        <w:rPr>
          <w:color w:val="2A2A2A"/>
          <w:sz w:val="18"/>
        </w:rPr>
        <w:t>Defined Benefit Pension </w:t>
      </w:r>
      <w:r>
        <w:rPr>
          <w:color w:val="131313"/>
          <w:sz w:val="18"/>
        </w:rPr>
        <w:t>Scheme </w:t>
      </w:r>
      <w:r>
        <w:rPr>
          <w:color w:val="2A2A2A"/>
          <w:sz w:val="18"/>
        </w:rPr>
        <w:t>- Pension Fair Values Scheme Assets Defined</w:t>
      </w:r>
      <w:r>
        <w:rPr>
          <w:color w:val="2A2A2A"/>
          <w:spacing w:val="-3"/>
          <w:sz w:val="18"/>
        </w:rPr>
        <w:t> </w:t>
      </w:r>
      <w:r>
        <w:rPr>
          <w:color w:val="2A2A2A"/>
          <w:sz w:val="18"/>
        </w:rPr>
        <w:t>Benefit Pension</w:t>
      </w:r>
      <w:r>
        <w:rPr>
          <w:color w:val="2A2A2A"/>
          <w:spacing w:val="-1"/>
          <w:sz w:val="18"/>
        </w:rPr>
        <w:t> </w:t>
      </w:r>
      <w:r>
        <w:rPr>
          <w:color w:val="2A2A2A"/>
          <w:sz w:val="18"/>
        </w:rPr>
        <w:t>Scheme</w:t>
      </w:r>
      <w:r>
        <w:rPr>
          <w:color w:val="2A2A2A"/>
          <w:spacing w:val="-2"/>
          <w:sz w:val="18"/>
        </w:rPr>
        <w:t> </w:t>
      </w:r>
      <w:r>
        <w:rPr>
          <w:color w:val="2A2A2A"/>
          <w:sz w:val="18"/>
        </w:rPr>
        <w:t>-</w:t>
      </w:r>
      <w:r>
        <w:rPr>
          <w:color w:val="2A2A2A"/>
          <w:spacing w:val="-11"/>
          <w:sz w:val="18"/>
        </w:rPr>
        <w:t> </w:t>
      </w:r>
      <w:r>
        <w:rPr>
          <w:color w:val="2A2A2A"/>
          <w:sz w:val="18"/>
        </w:rPr>
        <w:t>Basis for</w:t>
      </w:r>
      <w:r>
        <w:rPr>
          <w:color w:val="2A2A2A"/>
          <w:spacing w:val="-8"/>
          <w:sz w:val="18"/>
        </w:rPr>
        <w:t> </w:t>
      </w:r>
      <w:r>
        <w:rPr>
          <w:color w:val="2A2A2A"/>
          <w:sz w:val="18"/>
        </w:rPr>
        <w:t>estimating Assets</w:t>
      </w:r>
      <w:r>
        <w:rPr>
          <w:color w:val="2A2A2A"/>
          <w:spacing w:val="-8"/>
          <w:sz w:val="18"/>
        </w:rPr>
        <w:t> </w:t>
      </w:r>
      <w:r>
        <w:rPr>
          <w:color w:val="2A2A2A"/>
          <w:sz w:val="18"/>
        </w:rPr>
        <w:t>and</w:t>
      </w:r>
      <w:r>
        <w:rPr>
          <w:color w:val="2A2A2A"/>
          <w:spacing w:val="-13"/>
          <w:sz w:val="18"/>
        </w:rPr>
        <w:t> </w:t>
      </w:r>
      <w:r>
        <w:rPr>
          <w:color w:val="2A2A2A"/>
          <w:sz w:val="18"/>
        </w:rPr>
        <w:t>Liabilities Usable Reserves</w:t>
      </w:r>
    </w:p>
    <w:p>
      <w:pPr>
        <w:spacing w:before="6" w:line="321" w:lineRule="auto"/>
        <w:ind w:left="991" w:right="7125" w:hanging="1"/>
        <w:jc w:val="left"/>
        <w:rPr>
          <w:sz w:val="18"/>
        </w:rPr>
      </w:pPr>
      <w:r>
        <w:rPr>
          <w:color w:val="2A2A2A"/>
          <w:sz w:val="18"/>
        </w:rPr>
        <w:t>General Fund</w:t>
      </w:r>
      <w:r>
        <w:rPr>
          <w:color w:val="2A2A2A"/>
          <w:spacing w:val="80"/>
          <w:sz w:val="18"/>
        </w:rPr>
        <w:t> </w:t>
      </w:r>
      <w:r>
        <w:rPr>
          <w:color w:val="2A2A2A"/>
          <w:sz w:val="18"/>
        </w:rPr>
        <w:t>Earmarked Reserves </w:t>
      </w:r>
      <w:r>
        <w:rPr>
          <w:color w:val="2A2A2A"/>
          <w:sz w:val="18"/>
          <w:u w:val="thick" w:color="2A2A2A"/>
        </w:rPr>
        <w:t>Capital</w:t>
      </w:r>
      <w:r>
        <w:rPr>
          <w:color w:val="2A2A2A"/>
          <w:spacing w:val="-15"/>
          <w:sz w:val="18"/>
          <w:u w:val="thick" w:color="2A2A2A"/>
        </w:rPr>
        <w:t> </w:t>
      </w:r>
      <w:r>
        <w:rPr>
          <w:color w:val="2A2A2A"/>
          <w:sz w:val="18"/>
          <w:u w:val="thick" w:color="2A2A2A"/>
        </w:rPr>
        <w:t>Receipts</w:t>
      </w:r>
      <w:r>
        <w:rPr>
          <w:color w:val="2A2A2A"/>
          <w:spacing w:val="-12"/>
          <w:sz w:val="18"/>
          <w:u w:val="none"/>
        </w:rPr>
        <w:t> </w:t>
      </w:r>
      <w:r>
        <w:rPr>
          <w:color w:val="2A2A2A"/>
          <w:sz w:val="18"/>
          <w:u w:val="none"/>
        </w:rPr>
        <w:t>Reserve </w:t>
      </w:r>
      <w:r>
        <w:rPr>
          <w:color w:val="2A2A2A"/>
          <w:sz w:val="18"/>
          <w:u w:val="thick" w:color="2A2A2A"/>
        </w:rPr>
        <w:t>Capital</w:t>
      </w:r>
      <w:r>
        <w:rPr>
          <w:color w:val="2A2A2A"/>
          <w:spacing w:val="-10"/>
          <w:sz w:val="18"/>
          <w:u w:val="none"/>
        </w:rPr>
        <w:t> </w:t>
      </w:r>
      <w:r>
        <w:rPr>
          <w:color w:val="2A2A2A"/>
          <w:sz w:val="18"/>
          <w:u w:val="none"/>
        </w:rPr>
        <w:t>Grants</w:t>
      </w:r>
      <w:r>
        <w:rPr>
          <w:color w:val="2A2A2A"/>
          <w:spacing w:val="-9"/>
          <w:sz w:val="18"/>
          <w:u w:val="none"/>
        </w:rPr>
        <w:t> </w:t>
      </w:r>
      <w:r>
        <w:rPr>
          <w:color w:val="2A2A2A"/>
          <w:sz w:val="18"/>
          <w:u w:val="thick" w:color="2A2A2A"/>
        </w:rPr>
        <w:t>Unapplied</w:t>
      </w:r>
      <w:r>
        <w:rPr>
          <w:color w:val="2A2A2A"/>
          <w:sz w:val="18"/>
          <w:u w:val="none"/>
        </w:rPr>
        <w:t> Unusable Reserves Revaluation Reserve</w:t>
      </w:r>
    </w:p>
    <w:p>
      <w:pPr>
        <w:spacing w:before="0" w:line="324" w:lineRule="auto"/>
        <w:ind w:left="992" w:right="6897" w:firstLine="0"/>
        <w:jc w:val="left"/>
        <w:rPr>
          <w:sz w:val="18"/>
        </w:rPr>
      </w:pPr>
      <w:r>
        <w:rPr>
          <w:color w:val="2A2A2A"/>
          <w:sz w:val="18"/>
          <w:u w:val="thick" w:color="2A2A2A"/>
        </w:rPr>
        <w:t>Capital</w:t>
      </w:r>
      <w:r>
        <w:rPr>
          <w:color w:val="2A2A2A"/>
          <w:spacing w:val="-13"/>
          <w:sz w:val="18"/>
          <w:u w:val="thick" w:color="2A2A2A"/>
        </w:rPr>
        <w:t> </w:t>
      </w:r>
      <w:r>
        <w:rPr>
          <w:color w:val="2A2A2A"/>
          <w:sz w:val="18"/>
          <w:u w:val="thick" w:color="2A2A2A"/>
        </w:rPr>
        <w:t>Adjustment</w:t>
      </w:r>
      <w:r>
        <w:rPr>
          <w:color w:val="2A2A2A"/>
          <w:spacing w:val="-11"/>
          <w:sz w:val="18"/>
          <w:u w:val="none"/>
        </w:rPr>
        <w:t> </w:t>
      </w:r>
      <w:r>
        <w:rPr>
          <w:color w:val="2A2A2A"/>
          <w:sz w:val="18"/>
          <w:u w:val="none"/>
        </w:rPr>
        <w:t>Account Deferred </w:t>
      </w:r>
      <w:r>
        <w:rPr>
          <w:color w:val="2A2A2A"/>
          <w:sz w:val="18"/>
          <w:u w:val="thick" w:color="2A2A2A"/>
        </w:rPr>
        <w:t>Capital Receipts</w:t>
      </w:r>
    </w:p>
    <w:p>
      <w:pPr>
        <w:spacing w:before="0" w:line="324" w:lineRule="auto"/>
        <w:ind w:left="987" w:right="5657" w:firstLine="4"/>
        <w:jc w:val="left"/>
        <w:rPr>
          <w:sz w:val="18"/>
        </w:rPr>
      </w:pPr>
      <w:r>
        <w:rPr>
          <w:color w:val="2A2A2A"/>
          <w:sz w:val="18"/>
        </w:rPr>
        <w:t>Collection</w:t>
      </w:r>
      <w:r>
        <w:rPr>
          <w:color w:val="2A2A2A"/>
          <w:spacing w:val="-13"/>
          <w:sz w:val="18"/>
        </w:rPr>
        <w:t> </w:t>
      </w:r>
      <w:r>
        <w:rPr>
          <w:color w:val="2A2A2A"/>
          <w:sz w:val="18"/>
        </w:rPr>
        <w:t>Fund</w:t>
      </w:r>
      <w:r>
        <w:rPr>
          <w:color w:val="2A2A2A"/>
          <w:spacing w:val="-12"/>
          <w:sz w:val="18"/>
        </w:rPr>
        <w:t> </w:t>
      </w:r>
      <w:r>
        <w:rPr>
          <w:color w:val="2A2A2A"/>
          <w:sz w:val="18"/>
          <w:u w:val="thick" w:color="2A2A2A"/>
        </w:rPr>
        <w:t>Adjustment</w:t>
      </w:r>
      <w:r>
        <w:rPr>
          <w:color w:val="2A2A2A"/>
          <w:spacing w:val="-6"/>
          <w:sz w:val="18"/>
          <w:u w:val="none"/>
        </w:rPr>
        <w:t> </w:t>
      </w:r>
      <w:r>
        <w:rPr>
          <w:color w:val="2A2A2A"/>
          <w:sz w:val="18"/>
          <w:u w:val="none"/>
        </w:rPr>
        <w:t>Account Pension Reserve</w:t>
      </w:r>
    </w:p>
    <w:p>
      <w:pPr>
        <w:spacing w:before="0" w:line="201" w:lineRule="exact"/>
        <w:ind w:left="992" w:right="0" w:firstLine="0"/>
        <w:jc w:val="left"/>
        <w:rPr>
          <w:sz w:val="18"/>
        </w:rPr>
      </w:pPr>
      <w:r>
        <w:rPr>
          <w:color w:val="2A2A2A"/>
          <w:sz w:val="18"/>
        </w:rPr>
        <w:t>Accumulated</w:t>
      </w:r>
      <w:r>
        <w:rPr>
          <w:color w:val="2A2A2A"/>
          <w:spacing w:val="-9"/>
          <w:sz w:val="18"/>
        </w:rPr>
        <w:t> </w:t>
      </w:r>
      <w:r>
        <w:rPr>
          <w:color w:val="131313"/>
          <w:sz w:val="18"/>
        </w:rPr>
        <w:t>Absences</w:t>
      </w:r>
      <w:r>
        <w:rPr>
          <w:color w:val="131313"/>
          <w:spacing w:val="-9"/>
          <w:sz w:val="18"/>
        </w:rPr>
        <w:t> </w:t>
      </w:r>
      <w:r>
        <w:rPr>
          <w:color w:val="2A2A2A"/>
          <w:spacing w:val="-2"/>
          <w:sz w:val="18"/>
        </w:rPr>
        <w:t>Account</w:t>
      </w:r>
    </w:p>
    <w:p>
      <w:pPr>
        <w:spacing w:before="59" w:line="319" w:lineRule="auto"/>
        <w:ind w:left="987" w:right="5657" w:firstLine="4"/>
        <w:jc w:val="left"/>
        <w:rPr>
          <w:sz w:val="18"/>
        </w:rPr>
      </w:pPr>
      <w:r>
        <w:rPr>
          <w:color w:val="2A2A2A"/>
          <w:sz w:val="18"/>
        </w:rPr>
        <w:t>Cash</w:t>
      </w:r>
      <w:r>
        <w:rPr>
          <w:color w:val="2A2A2A"/>
          <w:spacing w:val="-13"/>
          <w:sz w:val="18"/>
        </w:rPr>
        <w:t> </w:t>
      </w:r>
      <w:r>
        <w:rPr>
          <w:color w:val="2A2A2A"/>
          <w:sz w:val="18"/>
        </w:rPr>
        <w:t>Flow</w:t>
      </w:r>
      <w:r>
        <w:rPr>
          <w:color w:val="2A2A2A"/>
          <w:spacing w:val="-12"/>
          <w:sz w:val="18"/>
        </w:rPr>
        <w:t> </w:t>
      </w:r>
      <w:r>
        <w:rPr>
          <w:color w:val="2A2A2A"/>
          <w:sz w:val="18"/>
        </w:rPr>
        <w:t>Statement</w:t>
      </w:r>
      <w:r>
        <w:rPr>
          <w:color w:val="2A2A2A"/>
          <w:spacing w:val="-11"/>
          <w:sz w:val="18"/>
        </w:rPr>
        <w:t> </w:t>
      </w:r>
      <w:r>
        <w:rPr>
          <w:color w:val="424242"/>
          <w:sz w:val="18"/>
        </w:rPr>
        <w:t>-</w:t>
      </w:r>
      <w:r>
        <w:rPr>
          <w:color w:val="424242"/>
          <w:spacing w:val="-5"/>
          <w:sz w:val="18"/>
        </w:rPr>
        <w:t> </w:t>
      </w:r>
      <w:r>
        <w:rPr>
          <w:color w:val="2A2A2A"/>
          <w:sz w:val="18"/>
          <w:u w:val="thick" w:color="2A2A2A"/>
        </w:rPr>
        <w:t>Operating</w:t>
      </w:r>
      <w:r>
        <w:rPr>
          <w:color w:val="2A2A2A"/>
          <w:spacing w:val="-3"/>
          <w:sz w:val="18"/>
          <w:u w:val="none"/>
        </w:rPr>
        <w:t> </w:t>
      </w:r>
      <w:r>
        <w:rPr>
          <w:color w:val="2A2A2A"/>
          <w:sz w:val="18"/>
          <w:u w:val="none"/>
        </w:rPr>
        <w:t>Activities </w:t>
      </w:r>
      <w:r>
        <w:rPr>
          <w:color w:val="131313"/>
          <w:sz w:val="18"/>
          <w:u w:val="none"/>
        </w:rPr>
        <w:t>Cash</w:t>
      </w:r>
      <w:r>
        <w:rPr>
          <w:color w:val="131313"/>
          <w:spacing w:val="-10"/>
          <w:sz w:val="18"/>
          <w:u w:val="none"/>
        </w:rPr>
        <w:t> </w:t>
      </w:r>
      <w:r>
        <w:rPr>
          <w:color w:val="424242"/>
          <w:sz w:val="18"/>
          <w:u w:val="none"/>
        </w:rPr>
        <w:t>Flow</w:t>
      </w:r>
      <w:r>
        <w:rPr>
          <w:color w:val="424242"/>
          <w:spacing w:val="-8"/>
          <w:sz w:val="18"/>
          <w:u w:val="none"/>
        </w:rPr>
        <w:t> </w:t>
      </w:r>
      <w:r>
        <w:rPr>
          <w:color w:val="2A2A2A"/>
          <w:sz w:val="18"/>
          <w:u w:val="none"/>
        </w:rPr>
        <w:t>Statement </w:t>
      </w:r>
      <w:r>
        <w:rPr>
          <w:color w:val="424242"/>
          <w:sz w:val="18"/>
          <w:u w:val="none"/>
        </w:rPr>
        <w:t>-</w:t>
      </w:r>
      <w:r>
        <w:rPr>
          <w:color w:val="424242"/>
          <w:spacing w:val="-8"/>
          <w:sz w:val="18"/>
          <w:u w:val="none"/>
        </w:rPr>
        <w:t> </w:t>
      </w:r>
      <w:r>
        <w:rPr>
          <w:color w:val="2A2A2A"/>
          <w:sz w:val="18"/>
          <w:u w:val="thick" w:color="2A2A2A"/>
        </w:rPr>
        <w:t>lnvestin"g</w:t>
      </w:r>
      <w:r>
        <w:rPr>
          <w:color w:val="2A2A2A"/>
          <w:sz w:val="18"/>
          <w:u w:val="none"/>
        </w:rPr>
        <w:t> Activities Cash</w:t>
      </w:r>
      <w:r>
        <w:rPr>
          <w:color w:val="2A2A2A"/>
          <w:spacing w:val="-8"/>
          <w:sz w:val="18"/>
          <w:u w:val="none"/>
        </w:rPr>
        <w:t> </w:t>
      </w:r>
      <w:r>
        <w:rPr>
          <w:color w:val="2A2A2A"/>
          <w:sz w:val="18"/>
          <w:u w:val="none"/>
        </w:rPr>
        <w:t>Flow</w:t>
      </w:r>
      <w:r>
        <w:rPr>
          <w:color w:val="2A2A2A"/>
          <w:spacing w:val="-7"/>
          <w:sz w:val="18"/>
          <w:u w:val="none"/>
        </w:rPr>
        <w:t> </w:t>
      </w:r>
      <w:r>
        <w:rPr>
          <w:color w:val="2A2A2A"/>
          <w:sz w:val="18"/>
          <w:u w:val="none"/>
        </w:rPr>
        <w:t>Statement</w:t>
      </w:r>
      <w:r>
        <w:rPr>
          <w:color w:val="2A2A2A"/>
          <w:spacing w:val="-3"/>
          <w:sz w:val="18"/>
          <w:u w:val="none"/>
        </w:rPr>
        <w:t> </w:t>
      </w:r>
      <w:r>
        <w:rPr>
          <w:color w:val="5D5D5D"/>
          <w:sz w:val="18"/>
          <w:u w:val="none"/>
        </w:rPr>
        <w:t>-</w:t>
      </w:r>
      <w:r>
        <w:rPr>
          <w:color w:val="5D5D5D"/>
          <w:spacing w:val="-11"/>
          <w:sz w:val="18"/>
          <w:u w:val="none"/>
        </w:rPr>
        <w:t> </w:t>
      </w:r>
      <w:r>
        <w:rPr>
          <w:color w:val="2A2A2A"/>
          <w:sz w:val="18"/>
          <w:u w:val="thick" w:color="2A2A2A"/>
        </w:rPr>
        <w:t>Financing</w:t>
      </w:r>
      <w:r>
        <w:rPr>
          <w:color w:val="2A2A2A"/>
          <w:spacing w:val="-3"/>
          <w:sz w:val="18"/>
          <w:u w:val="none"/>
        </w:rPr>
        <w:t> </w:t>
      </w:r>
      <w:r>
        <w:rPr>
          <w:color w:val="2A2A2A"/>
          <w:sz w:val="18"/>
          <w:u w:val="none"/>
        </w:rPr>
        <w:t>Activities </w:t>
      </w:r>
      <w:r>
        <w:rPr>
          <w:color w:val="2A2A2A"/>
          <w:sz w:val="18"/>
          <w:u w:val="thick" w:color="2A2A2A"/>
        </w:rPr>
        <w:t>Contingent</w:t>
      </w:r>
      <w:r>
        <w:rPr>
          <w:color w:val="2A2A2A"/>
          <w:sz w:val="18"/>
          <w:u w:val="none"/>
        </w:rPr>
        <w:t> Assets</w:t>
      </w:r>
    </w:p>
    <w:p>
      <w:pPr>
        <w:spacing w:before="4" w:line="316" w:lineRule="auto"/>
        <w:ind w:left="991" w:right="6897" w:firstLine="0"/>
        <w:jc w:val="left"/>
        <w:rPr>
          <w:sz w:val="18"/>
        </w:rPr>
      </w:pPr>
      <w:r>
        <w:rPr>
          <w:color w:val="2A2A2A"/>
          <w:sz w:val="18"/>
          <w:u w:val="thick" w:color="2A2A2A"/>
        </w:rPr>
        <w:t>Contingent</w:t>
      </w:r>
      <w:r>
        <w:rPr>
          <w:color w:val="2A2A2A"/>
          <w:sz w:val="18"/>
          <w:u w:val="none"/>
        </w:rPr>
        <w:t> Liabilities Related</w:t>
      </w:r>
      <w:r>
        <w:rPr>
          <w:color w:val="2A2A2A"/>
          <w:spacing w:val="-15"/>
          <w:sz w:val="18"/>
          <w:u w:val="none"/>
        </w:rPr>
        <w:t> </w:t>
      </w:r>
      <w:r>
        <w:rPr>
          <w:color w:val="2A2A2A"/>
          <w:sz w:val="18"/>
          <w:u w:val="thick" w:color="2A2A2A"/>
        </w:rPr>
        <w:t>Party</w:t>
      </w:r>
      <w:r>
        <w:rPr>
          <w:color w:val="2A2A2A"/>
          <w:spacing w:val="-12"/>
          <w:sz w:val="18"/>
          <w:u w:val="none"/>
        </w:rPr>
        <w:t> </w:t>
      </w:r>
      <w:r>
        <w:rPr>
          <w:color w:val="2A2A2A"/>
          <w:sz w:val="18"/>
          <w:u w:val="none"/>
        </w:rPr>
        <w:t>Transactions</w:t>
      </w:r>
    </w:p>
    <w:p>
      <w:pPr>
        <w:pStyle w:val="BodyText"/>
        <w:spacing w:before="77"/>
        <w:rPr>
          <w:sz w:val="18"/>
        </w:rPr>
      </w:pPr>
    </w:p>
    <w:p>
      <w:pPr>
        <w:pStyle w:val="ListParagraph"/>
        <w:numPr>
          <w:ilvl w:val="0"/>
          <w:numId w:val="1"/>
        </w:numPr>
        <w:tabs>
          <w:tab w:val="left" w:leader="none" w:pos="993"/>
        </w:tabs>
        <w:spacing w:before="1" w:after="0" w:line="240" w:lineRule="auto"/>
        <w:ind w:left="993" w:right="0" w:hanging="547"/>
        <w:jc w:val="left"/>
        <w:rPr>
          <w:b/>
          <w:color w:val="131313"/>
          <w:sz w:val="17"/>
        </w:rPr>
      </w:pPr>
      <w:r>
        <w:rPr>
          <w:b/>
          <w:color w:val="131313"/>
          <w:w w:val="105"/>
          <w:position w:val="1"/>
          <w:sz w:val="17"/>
        </w:rPr>
        <w:t>Collection</w:t>
      </w:r>
      <w:r>
        <w:rPr>
          <w:b/>
          <w:color w:val="131313"/>
          <w:spacing w:val="-4"/>
          <w:w w:val="105"/>
          <w:position w:val="1"/>
          <w:sz w:val="17"/>
        </w:rPr>
        <w:t> Fund</w:t>
      </w:r>
    </w:p>
    <w:p>
      <w:pPr>
        <w:spacing w:before="69" w:line="319" w:lineRule="auto"/>
        <w:ind w:left="987" w:right="6701" w:firstLine="0"/>
        <w:jc w:val="left"/>
        <w:rPr>
          <w:sz w:val="18"/>
        </w:rPr>
      </w:pPr>
      <w:r>
        <w:rPr>
          <w:color w:val="2A2A2A"/>
          <w:sz w:val="18"/>
        </w:rPr>
        <w:t>Collection Fund Statement Notes</w:t>
      </w:r>
      <w:r>
        <w:rPr>
          <w:color w:val="2A2A2A"/>
          <w:spacing w:val="-3"/>
          <w:sz w:val="18"/>
        </w:rPr>
        <w:t> </w:t>
      </w:r>
      <w:r>
        <w:rPr>
          <w:color w:val="2A2A2A"/>
          <w:sz w:val="18"/>
        </w:rPr>
        <w:t>to</w:t>
      </w:r>
      <w:r>
        <w:rPr>
          <w:color w:val="2A2A2A"/>
          <w:spacing w:val="-7"/>
          <w:sz w:val="18"/>
        </w:rPr>
        <w:t> </w:t>
      </w:r>
      <w:r>
        <w:rPr>
          <w:color w:val="2A2A2A"/>
          <w:sz w:val="18"/>
        </w:rPr>
        <w:t>the</w:t>
      </w:r>
      <w:r>
        <w:rPr>
          <w:color w:val="2A2A2A"/>
          <w:spacing w:val="-13"/>
          <w:sz w:val="18"/>
        </w:rPr>
        <w:t> </w:t>
      </w:r>
      <w:r>
        <w:rPr>
          <w:color w:val="2A2A2A"/>
          <w:sz w:val="18"/>
        </w:rPr>
        <w:t>Collection</w:t>
      </w:r>
      <w:r>
        <w:rPr>
          <w:color w:val="2A2A2A"/>
          <w:spacing w:val="-6"/>
          <w:sz w:val="18"/>
        </w:rPr>
        <w:t> </w:t>
      </w:r>
      <w:r>
        <w:rPr>
          <w:color w:val="2A2A2A"/>
          <w:sz w:val="18"/>
        </w:rPr>
        <w:t>Fund </w:t>
      </w:r>
      <w:r>
        <w:rPr>
          <w:color w:val="2A2A2A"/>
          <w:sz w:val="18"/>
          <w:u w:val="thick" w:color="2A2A2A"/>
        </w:rPr>
        <w:t>Precepts</w:t>
      </w:r>
      <w:r>
        <w:rPr>
          <w:color w:val="2A2A2A"/>
          <w:sz w:val="18"/>
          <w:u w:val="none"/>
        </w:rPr>
        <w:t> </w:t>
      </w:r>
      <w:r>
        <w:rPr>
          <w:color w:val="131313"/>
          <w:sz w:val="18"/>
          <w:u w:val="none"/>
        </w:rPr>
        <w:t>and </w:t>
      </w:r>
      <w:r>
        <w:rPr>
          <w:color w:val="2A2A2A"/>
          <w:sz w:val="18"/>
          <w:u w:val="none"/>
        </w:rPr>
        <w:t>Demands Council </w:t>
      </w:r>
      <w:r>
        <w:rPr>
          <w:color w:val="424242"/>
          <w:sz w:val="18"/>
          <w:u w:val="none"/>
        </w:rPr>
        <w:t>Tax</w:t>
      </w:r>
    </w:p>
    <w:p>
      <w:pPr>
        <w:pStyle w:val="BodyText"/>
        <w:spacing w:before="75"/>
        <w:rPr>
          <w:sz w:val="18"/>
        </w:rPr>
      </w:pPr>
    </w:p>
    <w:p>
      <w:pPr>
        <w:pStyle w:val="ListParagraph"/>
        <w:numPr>
          <w:ilvl w:val="0"/>
          <w:numId w:val="1"/>
        </w:numPr>
        <w:tabs>
          <w:tab w:val="left" w:leader="none" w:pos="988"/>
        </w:tabs>
        <w:spacing w:before="1" w:after="0" w:line="240" w:lineRule="auto"/>
        <w:ind w:left="988" w:right="0" w:hanging="606"/>
        <w:jc w:val="left"/>
        <w:rPr>
          <w:color w:val="131313"/>
          <w:sz w:val="18"/>
        </w:rPr>
      </w:pPr>
      <w:r>
        <w:rPr>
          <w:b/>
          <w:color w:val="131313"/>
          <w:w w:val="105"/>
          <w:sz w:val="17"/>
          <w:u w:val="thick" w:color="131313"/>
        </w:rPr>
        <w:t>Group</w:t>
      </w:r>
      <w:r>
        <w:rPr>
          <w:b/>
          <w:color w:val="131313"/>
          <w:spacing w:val="4"/>
          <w:w w:val="105"/>
          <w:sz w:val="17"/>
          <w:u w:val="none"/>
        </w:rPr>
        <w:t> </w:t>
      </w:r>
      <w:r>
        <w:rPr>
          <w:b/>
          <w:color w:val="131313"/>
          <w:spacing w:val="-2"/>
          <w:w w:val="105"/>
          <w:sz w:val="17"/>
          <w:u w:val="none"/>
        </w:rPr>
        <w:t>Accounts</w:t>
      </w:r>
    </w:p>
    <w:p>
      <w:pPr>
        <w:spacing w:before="66"/>
        <w:ind w:left="987" w:right="0" w:firstLine="0"/>
        <w:jc w:val="left"/>
        <w:rPr>
          <w:sz w:val="18"/>
        </w:rPr>
      </w:pPr>
      <w:r>
        <w:rPr>
          <w:color w:val="2A2A2A"/>
          <w:sz w:val="18"/>
          <w:u w:val="thick" w:color="2A2A2A"/>
        </w:rPr>
        <w:t>Group</w:t>
      </w:r>
      <w:r>
        <w:rPr>
          <w:color w:val="2A2A2A"/>
          <w:spacing w:val="-6"/>
          <w:sz w:val="18"/>
          <w:u w:val="none"/>
        </w:rPr>
        <w:t> </w:t>
      </w:r>
      <w:r>
        <w:rPr>
          <w:color w:val="2A2A2A"/>
          <w:sz w:val="18"/>
          <w:u w:val="none"/>
        </w:rPr>
        <w:t>Movement</w:t>
      </w:r>
      <w:r>
        <w:rPr>
          <w:color w:val="2A2A2A"/>
          <w:spacing w:val="4"/>
          <w:sz w:val="18"/>
          <w:u w:val="none"/>
        </w:rPr>
        <w:t> </w:t>
      </w:r>
      <w:r>
        <w:rPr>
          <w:color w:val="131313"/>
          <w:sz w:val="18"/>
          <w:u w:val="none"/>
        </w:rPr>
        <w:t>in</w:t>
      </w:r>
      <w:r>
        <w:rPr>
          <w:color w:val="131313"/>
          <w:spacing w:val="-15"/>
          <w:sz w:val="18"/>
          <w:u w:val="none"/>
        </w:rPr>
        <w:t> </w:t>
      </w:r>
      <w:r>
        <w:rPr>
          <w:color w:val="131313"/>
          <w:sz w:val="18"/>
          <w:u w:val="none"/>
        </w:rPr>
        <w:t>Reserves</w:t>
      </w:r>
      <w:r>
        <w:rPr>
          <w:color w:val="131313"/>
          <w:spacing w:val="7"/>
          <w:sz w:val="18"/>
          <w:u w:val="none"/>
        </w:rPr>
        <w:t> </w:t>
      </w:r>
      <w:r>
        <w:rPr>
          <w:color w:val="2A2A2A"/>
          <w:spacing w:val="-2"/>
          <w:sz w:val="18"/>
          <w:u w:val="none"/>
        </w:rPr>
        <w:t>Statement</w:t>
      </w:r>
    </w:p>
    <w:p>
      <w:pPr>
        <w:spacing w:before="72" w:line="316" w:lineRule="auto"/>
        <w:ind w:left="991" w:right="4032" w:firstLine="0"/>
        <w:jc w:val="left"/>
        <w:rPr>
          <w:sz w:val="18"/>
        </w:rPr>
      </w:pPr>
      <w:r>
        <w:rPr/>
        <ve:AlternateContent>
          <ve:Choice Requires="wps">
            <w:drawing>
              <wp:anchor distT="0" distB="0" distL="0" distR="0" simplePos="0" relativeHeight="15736320" behindDoc="0" locked="0" layoutInCell="1" allowOverlap="1">
                <wp:simplePos x="0" y="0"/>
                <wp:positionH relativeFrom="page">
                  <wp:posOffset>1086838</wp:posOffset>
                </wp:positionH>
                <wp:positionV relativeFrom="paragraph">
                  <wp:posOffset>208154</wp:posOffset>
                </wp:positionV>
                <wp:extent cx="4442460" cy="127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4442460" cy="1270"/>
                        </a:xfrm>
                        <a:custGeom>
                          <a:avLst/>
                          <a:gdLst/>
                          <a:ahLst/>
                          <a:cxnLst/>
                          <a:rect l="l" t="t" r="r" b="b"/>
                          <a:pathLst>
                            <a:path w="4442460" h="0">
                              <a:moveTo>
                                <a:pt x="0" y="0"/>
                              </a:moveTo>
                              <a:lnTo>
                                <a:pt x="4441993"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36320" stroked="true" strokecolor="#000000" strokeweight=".240274pt" from="85.57782pt,16.390104pt" to="435.341087pt,16.390104pt">
                <v:stroke dashstyle="solid"/>
                <w10:wrap type="none"/>
              </v:line>
            </w:pict>
          </ve:Fallback>
        </ve:AlternateContent>
      </w:r>
      <w:r>
        <w:rPr>
          <w:color w:val="2A2A2A"/>
          <w:sz w:val="18"/>
        </w:rPr>
        <w:t>Group</w:t>
      </w:r>
      <w:r>
        <w:rPr>
          <w:color w:val="2A2A2A"/>
          <w:spacing w:val="-13"/>
          <w:sz w:val="18"/>
        </w:rPr>
        <w:t> </w:t>
      </w:r>
      <w:r>
        <w:rPr>
          <w:color w:val="2A2A2A"/>
          <w:sz w:val="18"/>
        </w:rPr>
        <w:t>Comprehensive</w:t>
      </w:r>
      <w:r>
        <w:rPr>
          <w:color w:val="2A2A2A"/>
          <w:spacing w:val="4"/>
          <w:sz w:val="18"/>
        </w:rPr>
        <w:t> </w:t>
      </w:r>
      <w:r>
        <w:rPr>
          <w:color w:val="2A2A2A"/>
          <w:sz w:val="18"/>
        </w:rPr>
        <w:t>Income</w:t>
      </w:r>
      <w:r>
        <w:rPr>
          <w:color w:val="2A2A2A"/>
          <w:spacing w:val="-11"/>
          <w:sz w:val="18"/>
        </w:rPr>
        <w:t> </w:t>
      </w:r>
      <w:r>
        <w:rPr>
          <w:color w:val="2A2A2A"/>
          <w:sz w:val="18"/>
        </w:rPr>
        <w:t>and</w:t>
      </w:r>
      <w:r>
        <w:rPr>
          <w:color w:val="2A2A2A"/>
          <w:spacing w:val="-13"/>
          <w:sz w:val="18"/>
        </w:rPr>
        <w:t> </w:t>
      </w:r>
      <w:r>
        <w:rPr>
          <w:color w:val="2A2A2A"/>
          <w:sz w:val="18"/>
        </w:rPr>
        <w:t>Expenditure</w:t>
      </w:r>
      <w:r>
        <w:rPr>
          <w:color w:val="2A2A2A"/>
          <w:spacing w:val="-3"/>
          <w:sz w:val="18"/>
        </w:rPr>
        <w:t> </w:t>
      </w:r>
      <w:r>
        <w:rPr>
          <w:color w:val="2A2A2A"/>
          <w:sz w:val="18"/>
        </w:rPr>
        <w:t>Statement </w:t>
      </w:r>
      <w:r>
        <w:rPr>
          <w:color w:val="2A2A2A"/>
          <w:sz w:val="18"/>
          <w:u w:val="thick" w:color="2A2A2A"/>
        </w:rPr>
        <w:t>Group</w:t>
      </w:r>
      <w:r>
        <w:rPr>
          <w:color w:val="2A2A2A"/>
          <w:sz w:val="18"/>
          <w:u w:val="none"/>
        </w:rPr>
        <w:t> Balance Sheet</w:t>
      </w:r>
    </w:p>
    <w:p>
      <w:pPr>
        <w:spacing w:before="2"/>
        <w:ind w:left="991" w:right="0" w:firstLine="0"/>
        <w:jc w:val="left"/>
        <w:rPr>
          <w:sz w:val="18"/>
        </w:rPr>
      </w:pPr>
      <w:r>
        <w:rPr>
          <w:color w:val="2A2A2A"/>
          <w:sz w:val="18"/>
          <w:u w:val="thick" w:color="2A2A2A"/>
        </w:rPr>
        <w:t>Group</w:t>
      </w:r>
      <w:r>
        <w:rPr>
          <w:color w:val="2A2A2A"/>
          <w:spacing w:val="2"/>
          <w:sz w:val="18"/>
          <w:u w:val="none"/>
        </w:rPr>
        <w:t> </w:t>
      </w:r>
      <w:r>
        <w:rPr>
          <w:color w:val="2A2A2A"/>
          <w:sz w:val="18"/>
          <w:u w:val="none"/>
        </w:rPr>
        <w:t>Cash</w:t>
      </w:r>
      <w:r>
        <w:rPr>
          <w:color w:val="2A2A2A"/>
          <w:spacing w:val="-9"/>
          <w:sz w:val="18"/>
          <w:u w:val="none"/>
        </w:rPr>
        <w:t> </w:t>
      </w:r>
      <w:r>
        <w:rPr>
          <w:color w:val="424242"/>
          <w:sz w:val="18"/>
          <w:u w:val="none"/>
        </w:rPr>
        <w:t>Flow</w:t>
      </w:r>
      <w:r>
        <w:rPr>
          <w:color w:val="424242"/>
          <w:spacing w:val="-5"/>
          <w:sz w:val="18"/>
          <w:u w:val="none"/>
        </w:rPr>
        <w:t> </w:t>
      </w:r>
      <w:r>
        <w:rPr>
          <w:color w:val="2A2A2A"/>
          <w:spacing w:val="-2"/>
          <w:sz w:val="18"/>
          <w:u w:val="none"/>
        </w:rPr>
        <w:t>Statement</w:t>
      </w:r>
    </w:p>
    <w:p>
      <w:pPr>
        <w:pStyle w:val="BodyText"/>
        <w:spacing w:before="142"/>
        <w:rPr>
          <w:sz w:val="18"/>
        </w:rPr>
      </w:pPr>
    </w:p>
    <w:p>
      <w:pPr>
        <w:pStyle w:val="ListParagraph"/>
        <w:numPr>
          <w:ilvl w:val="0"/>
          <w:numId w:val="1"/>
        </w:numPr>
        <w:tabs>
          <w:tab w:val="left" w:leader="none" w:pos="996"/>
        </w:tabs>
        <w:spacing w:before="0" w:after="0" w:line="240" w:lineRule="auto"/>
        <w:ind w:left="996" w:right="0" w:hanging="613"/>
        <w:jc w:val="left"/>
        <w:rPr>
          <w:b/>
          <w:color w:val="131313"/>
          <w:sz w:val="17"/>
        </w:rPr>
      </w:pPr>
      <w:r>
        <w:rPr>
          <w:b/>
          <w:color w:val="131313"/>
          <w:w w:val="105"/>
          <w:position w:val="1"/>
          <w:sz w:val="17"/>
        </w:rPr>
        <w:t>Annual</w:t>
      </w:r>
      <w:r>
        <w:rPr>
          <w:b/>
          <w:color w:val="131313"/>
          <w:spacing w:val="-5"/>
          <w:w w:val="105"/>
          <w:position w:val="1"/>
          <w:sz w:val="17"/>
        </w:rPr>
        <w:t> </w:t>
      </w:r>
      <w:r>
        <w:rPr>
          <w:b/>
          <w:color w:val="131313"/>
          <w:w w:val="105"/>
          <w:position w:val="1"/>
          <w:sz w:val="17"/>
        </w:rPr>
        <w:t>Governance</w:t>
      </w:r>
      <w:r>
        <w:rPr>
          <w:b/>
          <w:color w:val="131313"/>
          <w:spacing w:val="-4"/>
          <w:w w:val="105"/>
          <w:position w:val="1"/>
          <w:sz w:val="17"/>
        </w:rPr>
        <w:t> </w:t>
      </w:r>
      <w:r>
        <w:rPr>
          <w:b/>
          <w:color w:val="131313"/>
          <w:spacing w:val="-2"/>
          <w:w w:val="105"/>
          <w:position w:val="1"/>
          <w:sz w:val="17"/>
        </w:rPr>
        <w:t>Statement</w:t>
      </w:r>
    </w:p>
    <w:p>
      <w:pPr>
        <w:pStyle w:val="BodyText"/>
        <w:spacing w:before="152"/>
        <w:rPr>
          <w:b/>
          <w:sz w:val="17"/>
        </w:rPr>
      </w:pPr>
    </w:p>
    <w:p>
      <w:pPr>
        <w:pStyle w:val="ListParagraph"/>
        <w:numPr>
          <w:ilvl w:val="0"/>
          <w:numId w:val="1"/>
        </w:numPr>
        <w:tabs>
          <w:tab w:val="left" w:leader="none" w:pos="993"/>
        </w:tabs>
        <w:spacing w:before="0" w:after="0" w:line="240" w:lineRule="auto"/>
        <w:ind w:left="993" w:right="0" w:hanging="608"/>
        <w:jc w:val="left"/>
        <w:rPr>
          <w:b/>
          <w:color w:val="131313"/>
          <w:sz w:val="17"/>
        </w:rPr>
      </w:pPr>
      <w:r>
        <w:rPr>
          <w:b/>
          <w:color w:val="131313"/>
          <w:w w:val="105"/>
          <w:position w:val="1"/>
          <w:sz w:val="17"/>
          <w:u w:val="thick" w:color="131313"/>
        </w:rPr>
        <w:t>Glossary</w:t>
      </w:r>
      <w:r>
        <w:rPr>
          <w:b/>
          <w:color w:val="131313"/>
          <w:spacing w:val="4"/>
          <w:w w:val="105"/>
          <w:position w:val="1"/>
          <w:sz w:val="17"/>
          <w:u w:val="none"/>
        </w:rPr>
        <w:t> </w:t>
      </w:r>
      <w:r>
        <w:rPr>
          <w:b/>
          <w:color w:val="131313"/>
          <w:w w:val="105"/>
          <w:position w:val="1"/>
          <w:sz w:val="17"/>
          <w:u w:val="none"/>
        </w:rPr>
        <w:t>of</w:t>
      </w:r>
      <w:r>
        <w:rPr>
          <w:b/>
          <w:color w:val="131313"/>
          <w:spacing w:val="-7"/>
          <w:w w:val="105"/>
          <w:position w:val="1"/>
          <w:sz w:val="17"/>
          <w:u w:val="none"/>
        </w:rPr>
        <w:t> </w:t>
      </w:r>
      <w:r>
        <w:rPr>
          <w:b/>
          <w:color w:val="131313"/>
          <w:spacing w:val="-2"/>
          <w:w w:val="105"/>
          <w:position w:val="1"/>
          <w:sz w:val="17"/>
          <w:u w:val="none"/>
        </w:rPr>
        <w:t>Terms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8"/>
        <w:rPr>
          <w:b/>
          <w:sz w:val="20"/>
        </w:rPr>
      </w:pPr>
      <w:r>
        <w:rPr/>
        <w:drawing>
          <wp:anchor distT="0" distB="0" distL="0" distR="0" simplePos="0" relativeHeight="487592960" behindDoc="1" locked="0" layoutInCell="1" allowOverlap="1">
            <wp:simplePos x="0" y="0"/>
            <wp:positionH relativeFrom="page">
              <wp:posOffset>1080732</wp:posOffset>
            </wp:positionH>
            <wp:positionV relativeFrom="paragraph">
              <wp:posOffset>223507</wp:posOffset>
            </wp:positionV>
            <wp:extent cx="396426" cy="51815"/>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8" cstate="print"/>
                    <a:stretch>
                      <a:fillRect/>
                    </a:stretch>
                  </pic:blipFill>
                  <pic:spPr>
                    <a:xfrm>
                      <a:off x="0" y="0"/>
                      <a:ext cx="396426" cy="51815"/>
                    </a:xfrm>
                    <a:prstGeom prst="rect">
                      <a:avLst/>
                    </a:prstGeom>
                  </pic:spPr>
                </pic:pic>
              </a:graphicData>
            </a:graphic>
          </wp:anchor>
        </w:drawing>
      </w:r>
    </w:p>
    <w:p>
      <w:pPr>
        <w:spacing w:after="0"/>
        <w:rPr>
          <w:sz w:val="20"/>
        </w:rPr>
        <w:sectPr>
          <w:pgSz w:w="11910" w:h="16830"/>
          <w:pgMar w:top="1740" w:right="920" w:bottom="280" w:left="840" w:header="0" w:footer="0"/>
        </w:sectPr>
      </w:pPr>
    </w:p>
    <w:p>
      <w:pPr>
        <w:spacing w:before="77"/>
        <w:ind w:left="858" w:right="0" w:firstLine="0"/>
        <w:jc w:val="left"/>
        <w:rPr>
          <w:b/>
          <w:sz w:val="23"/>
        </w:rPr>
      </w:pPr>
      <w:r>
        <w:rPr>
          <w:b/>
          <w:color w:val="0A0A0A"/>
          <w:w w:val="105"/>
          <w:sz w:val="23"/>
        </w:rPr>
        <w:t>Statement</w:t>
      </w:r>
      <w:r>
        <w:rPr>
          <w:b/>
          <w:color w:val="0A0A0A"/>
          <w:spacing w:val="-1"/>
          <w:w w:val="105"/>
          <w:sz w:val="23"/>
        </w:rPr>
        <w:t> </w:t>
      </w:r>
      <w:r>
        <w:rPr>
          <w:b/>
          <w:color w:val="0A0A0A"/>
          <w:w w:val="105"/>
          <w:sz w:val="23"/>
        </w:rPr>
        <w:t>of</w:t>
      </w:r>
      <w:r>
        <w:rPr>
          <w:b/>
          <w:color w:val="0A0A0A"/>
          <w:spacing w:val="-13"/>
          <w:w w:val="105"/>
          <w:sz w:val="23"/>
        </w:rPr>
        <w:t> </w:t>
      </w:r>
      <w:r>
        <w:rPr>
          <w:b/>
          <w:color w:val="0A0A0A"/>
          <w:spacing w:val="-2"/>
          <w:w w:val="105"/>
          <w:sz w:val="23"/>
        </w:rPr>
        <w:t>Responsibilities</w:t>
      </w:r>
    </w:p>
    <w:p>
      <w:pPr>
        <w:spacing w:before="206" w:line="496" w:lineRule="auto"/>
        <w:ind w:left="847" w:right="6043" w:firstLine="4"/>
        <w:jc w:val="left"/>
        <w:rPr>
          <w:sz w:val="21"/>
        </w:rPr>
      </w:pPr>
      <w:r>
        <w:rPr>
          <w:color w:val="0A0A0A"/>
          <w:w w:val="105"/>
          <w:sz w:val="21"/>
        </w:rPr>
        <w:t>The</w:t>
      </w:r>
      <w:r>
        <w:rPr>
          <w:color w:val="0A0A0A"/>
          <w:spacing w:val="-16"/>
          <w:w w:val="105"/>
          <w:sz w:val="21"/>
        </w:rPr>
        <w:t> </w:t>
      </w:r>
      <w:r>
        <w:rPr>
          <w:color w:val="0A0A0A"/>
          <w:w w:val="105"/>
          <w:sz w:val="21"/>
        </w:rPr>
        <w:t>Council's</w:t>
      </w:r>
      <w:r>
        <w:rPr>
          <w:color w:val="0A0A0A"/>
          <w:spacing w:val="-11"/>
          <w:w w:val="105"/>
          <w:sz w:val="21"/>
        </w:rPr>
        <w:t> </w:t>
      </w:r>
      <w:r>
        <w:rPr>
          <w:color w:val="0A0A0A"/>
          <w:w w:val="105"/>
          <w:sz w:val="21"/>
        </w:rPr>
        <w:t>Responsibilities The Council is required to:</w:t>
      </w:r>
    </w:p>
    <w:p>
      <w:pPr>
        <w:pStyle w:val="ListParagraph"/>
        <w:numPr>
          <w:ilvl w:val="1"/>
          <w:numId w:val="1"/>
        </w:numPr>
        <w:tabs>
          <w:tab w:val="left" w:leader="none" w:pos="1541"/>
          <w:tab w:val="left" w:leader="none" w:pos="1548"/>
        </w:tabs>
        <w:spacing w:before="10" w:after="0" w:line="252" w:lineRule="auto"/>
        <w:ind w:left="1541" w:right="255" w:hanging="691"/>
        <w:jc w:val="both"/>
        <w:rPr>
          <w:color w:val="1C1C1C"/>
          <w:sz w:val="21"/>
        </w:rPr>
      </w:pPr>
      <w:r>
        <w:rPr>
          <w:color w:val="1C1C1C"/>
          <w:sz w:val="21"/>
        </w:rPr>
        <w:tab/>
      </w:r>
      <w:r>
        <w:rPr>
          <w:color w:val="0A0A0A"/>
          <w:w w:val="105"/>
          <w:sz w:val="21"/>
        </w:rPr>
        <w:t>Make arrangements for the proper administration</w:t>
      </w:r>
      <w:r>
        <w:rPr>
          <w:color w:val="0A0A0A"/>
          <w:spacing w:val="-6"/>
          <w:w w:val="105"/>
          <w:sz w:val="21"/>
        </w:rPr>
        <w:t> </w:t>
      </w:r>
      <w:r>
        <w:rPr>
          <w:color w:val="0A0A0A"/>
          <w:w w:val="105"/>
          <w:sz w:val="21"/>
        </w:rPr>
        <w:t>of </w:t>
      </w:r>
      <w:r>
        <w:rPr>
          <w:color w:val="1C1C1C"/>
          <w:w w:val="105"/>
          <w:sz w:val="21"/>
        </w:rPr>
        <w:t>its</w:t>
      </w:r>
      <w:r>
        <w:rPr>
          <w:color w:val="1C1C1C"/>
          <w:spacing w:val="-1"/>
          <w:w w:val="105"/>
          <w:sz w:val="21"/>
        </w:rPr>
        <w:t> </w:t>
      </w:r>
      <w:r>
        <w:rPr>
          <w:color w:val="0A0A0A"/>
          <w:w w:val="105"/>
          <w:sz w:val="21"/>
        </w:rPr>
        <w:t>financial affairs and</w:t>
      </w:r>
      <w:r>
        <w:rPr>
          <w:color w:val="0A0A0A"/>
          <w:spacing w:val="-2"/>
          <w:w w:val="105"/>
          <w:sz w:val="21"/>
        </w:rPr>
        <w:t> </w:t>
      </w:r>
      <w:r>
        <w:rPr>
          <w:color w:val="0A0A0A"/>
          <w:w w:val="105"/>
          <w:sz w:val="21"/>
        </w:rPr>
        <w:t>to secure that one of its officers has the responsibility for the administration of those affairs. In this</w:t>
      </w:r>
      <w:r>
        <w:rPr>
          <w:color w:val="0A0A0A"/>
          <w:spacing w:val="-7"/>
          <w:w w:val="105"/>
          <w:sz w:val="21"/>
        </w:rPr>
        <w:t> </w:t>
      </w:r>
      <w:r>
        <w:rPr>
          <w:color w:val="0A0A0A"/>
          <w:w w:val="105"/>
          <w:sz w:val="21"/>
        </w:rPr>
        <w:t>Council, that</w:t>
      </w:r>
      <w:r>
        <w:rPr>
          <w:color w:val="0A0A0A"/>
          <w:spacing w:val="-3"/>
          <w:w w:val="105"/>
          <w:sz w:val="21"/>
        </w:rPr>
        <w:t> </w:t>
      </w:r>
      <w:r>
        <w:rPr>
          <w:color w:val="0A0A0A"/>
          <w:w w:val="105"/>
          <w:sz w:val="21"/>
        </w:rPr>
        <w:t>officer</w:t>
      </w:r>
      <w:r>
        <w:rPr>
          <w:color w:val="0A0A0A"/>
          <w:spacing w:val="-10"/>
          <w:w w:val="105"/>
          <w:sz w:val="21"/>
        </w:rPr>
        <w:t> </w:t>
      </w:r>
      <w:r>
        <w:rPr>
          <w:color w:val="0A0A0A"/>
          <w:w w:val="105"/>
          <w:sz w:val="21"/>
        </w:rPr>
        <w:t>is</w:t>
      </w:r>
      <w:r>
        <w:rPr>
          <w:color w:val="0A0A0A"/>
          <w:spacing w:val="-15"/>
          <w:w w:val="105"/>
          <w:sz w:val="21"/>
        </w:rPr>
        <w:t> </w:t>
      </w:r>
      <w:r>
        <w:rPr>
          <w:color w:val="0A0A0A"/>
          <w:w w:val="105"/>
          <w:sz w:val="21"/>
        </w:rPr>
        <w:t>the</w:t>
      </w:r>
      <w:r>
        <w:rPr>
          <w:color w:val="0A0A0A"/>
          <w:spacing w:val="-16"/>
          <w:w w:val="105"/>
          <w:sz w:val="21"/>
        </w:rPr>
        <w:t> </w:t>
      </w:r>
      <w:r>
        <w:rPr>
          <w:color w:val="0A0A0A"/>
          <w:w w:val="105"/>
          <w:sz w:val="21"/>
        </w:rPr>
        <w:t>Head</w:t>
      </w:r>
      <w:r>
        <w:rPr>
          <w:color w:val="0A0A0A"/>
          <w:spacing w:val="-3"/>
          <w:w w:val="105"/>
          <w:sz w:val="21"/>
        </w:rPr>
        <w:t> </w:t>
      </w:r>
      <w:r>
        <w:rPr>
          <w:color w:val="0A0A0A"/>
          <w:w w:val="105"/>
          <w:sz w:val="21"/>
        </w:rPr>
        <w:t>of</w:t>
      </w:r>
      <w:r>
        <w:rPr>
          <w:color w:val="0A0A0A"/>
          <w:spacing w:val="-16"/>
          <w:w w:val="105"/>
          <w:sz w:val="21"/>
        </w:rPr>
        <w:t> </w:t>
      </w:r>
      <w:r>
        <w:rPr>
          <w:color w:val="0A0A0A"/>
          <w:w w:val="105"/>
          <w:sz w:val="21"/>
        </w:rPr>
        <w:t>Finance and</w:t>
      </w:r>
      <w:r>
        <w:rPr>
          <w:color w:val="0A0A0A"/>
          <w:spacing w:val="-15"/>
          <w:w w:val="105"/>
          <w:sz w:val="21"/>
        </w:rPr>
        <w:t> </w:t>
      </w:r>
      <w:r>
        <w:rPr>
          <w:color w:val="0A0A0A"/>
          <w:w w:val="105"/>
          <w:sz w:val="21"/>
        </w:rPr>
        <w:t>Business</w:t>
      </w:r>
      <w:r>
        <w:rPr>
          <w:color w:val="0A0A0A"/>
          <w:spacing w:val="-2"/>
          <w:w w:val="105"/>
          <w:sz w:val="21"/>
        </w:rPr>
        <w:t> </w:t>
      </w:r>
      <w:r>
        <w:rPr>
          <w:color w:val="0A0A0A"/>
          <w:w w:val="105"/>
          <w:sz w:val="21"/>
        </w:rPr>
        <w:t>Services also</w:t>
      </w:r>
      <w:r>
        <w:rPr>
          <w:color w:val="0A0A0A"/>
          <w:spacing w:val="-5"/>
          <w:w w:val="105"/>
          <w:sz w:val="21"/>
        </w:rPr>
        <w:t> </w:t>
      </w:r>
      <w:r>
        <w:rPr>
          <w:color w:val="0A0A0A"/>
          <w:w w:val="105"/>
          <w:sz w:val="21"/>
        </w:rPr>
        <w:t>referred</w:t>
      </w:r>
      <w:r>
        <w:rPr>
          <w:color w:val="0A0A0A"/>
          <w:spacing w:val="-7"/>
          <w:w w:val="105"/>
          <w:sz w:val="21"/>
        </w:rPr>
        <w:t> </w:t>
      </w:r>
      <w:r>
        <w:rPr>
          <w:color w:val="0A0A0A"/>
          <w:w w:val="105"/>
          <w:sz w:val="21"/>
        </w:rPr>
        <w:t>to as the Chief Finance Officer or Section 151 Officer.</w:t>
      </w:r>
    </w:p>
    <w:p>
      <w:pPr>
        <w:pStyle w:val="BodyText"/>
        <w:spacing w:before="12"/>
        <w:rPr>
          <w:sz w:val="21"/>
        </w:rPr>
      </w:pPr>
    </w:p>
    <w:p>
      <w:pPr>
        <w:pStyle w:val="ListParagraph"/>
        <w:numPr>
          <w:ilvl w:val="1"/>
          <w:numId w:val="1"/>
        </w:numPr>
        <w:tabs>
          <w:tab w:val="left" w:leader="none" w:pos="1527"/>
          <w:tab w:val="left" w:leader="none" w:pos="1533"/>
        </w:tabs>
        <w:spacing w:before="1" w:after="0" w:line="242" w:lineRule="auto"/>
        <w:ind w:left="1533" w:right="266" w:hanging="693"/>
        <w:jc w:val="both"/>
        <w:rPr>
          <w:color w:val="0A0A0A"/>
          <w:sz w:val="21"/>
        </w:rPr>
      </w:pPr>
      <w:r>
        <w:rPr>
          <w:color w:val="0A0A0A"/>
          <w:w w:val="105"/>
          <w:sz w:val="21"/>
        </w:rPr>
        <w:t>Manage</w:t>
      </w:r>
      <w:r>
        <w:rPr>
          <w:color w:val="0A0A0A"/>
          <w:w w:val="105"/>
          <w:sz w:val="21"/>
        </w:rPr>
        <w:t> its affairs</w:t>
      </w:r>
      <w:r>
        <w:rPr>
          <w:color w:val="0A0A0A"/>
          <w:w w:val="105"/>
          <w:sz w:val="21"/>
        </w:rPr>
        <w:t> to secure</w:t>
      </w:r>
      <w:r>
        <w:rPr>
          <w:color w:val="0A0A0A"/>
          <w:w w:val="105"/>
          <w:sz w:val="21"/>
        </w:rPr>
        <w:t> economic,</w:t>
      </w:r>
      <w:r>
        <w:rPr>
          <w:color w:val="0A0A0A"/>
          <w:w w:val="105"/>
          <w:sz w:val="21"/>
        </w:rPr>
        <w:t> efficient</w:t>
      </w:r>
      <w:r>
        <w:rPr>
          <w:color w:val="0A0A0A"/>
          <w:w w:val="105"/>
          <w:sz w:val="21"/>
        </w:rPr>
        <w:t> and</w:t>
      </w:r>
      <w:r>
        <w:rPr>
          <w:color w:val="0A0A0A"/>
          <w:w w:val="105"/>
          <w:sz w:val="21"/>
        </w:rPr>
        <w:t> effective</w:t>
      </w:r>
      <w:r>
        <w:rPr>
          <w:color w:val="0A0A0A"/>
          <w:w w:val="105"/>
          <w:sz w:val="21"/>
        </w:rPr>
        <w:t> use</w:t>
      </w:r>
      <w:r>
        <w:rPr>
          <w:color w:val="0A0A0A"/>
          <w:w w:val="105"/>
          <w:sz w:val="21"/>
        </w:rPr>
        <w:t> of resources</w:t>
      </w:r>
      <w:r>
        <w:rPr>
          <w:color w:val="0A0A0A"/>
          <w:w w:val="105"/>
          <w:sz w:val="21"/>
        </w:rPr>
        <w:t> and safeguard its assets.</w:t>
      </w:r>
    </w:p>
    <w:p>
      <w:pPr>
        <w:pStyle w:val="BodyText"/>
        <w:spacing w:before="29"/>
        <w:rPr>
          <w:sz w:val="21"/>
        </w:rPr>
      </w:pPr>
    </w:p>
    <w:p>
      <w:pPr>
        <w:pStyle w:val="ListParagraph"/>
        <w:numPr>
          <w:ilvl w:val="1"/>
          <w:numId w:val="1"/>
        </w:numPr>
        <w:tabs>
          <w:tab w:val="left" w:leader="none" w:pos="1520"/>
        </w:tabs>
        <w:spacing w:before="1" w:after="0" w:line="240" w:lineRule="auto"/>
        <w:ind w:left="1520" w:right="0" w:hanging="689"/>
        <w:jc w:val="left"/>
        <w:rPr>
          <w:color w:val="1C1C1C"/>
          <w:sz w:val="21"/>
        </w:rPr>
      </w:pPr>
      <w:r>
        <w:rPr>
          <w:color w:val="0A0A0A"/>
          <w:w w:val="105"/>
          <w:sz w:val="21"/>
        </w:rPr>
        <w:t>Approve</w:t>
      </w:r>
      <w:r>
        <w:rPr>
          <w:color w:val="0A0A0A"/>
          <w:spacing w:val="-2"/>
          <w:w w:val="105"/>
          <w:sz w:val="21"/>
        </w:rPr>
        <w:t> </w:t>
      </w:r>
      <w:r>
        <w:rPr>
          <w:color w:val="0A0A0A"/>
          <w:w w:val="105"/>
          <w:sz w:val="21"/>
        </w:rPr>
        <w:t>the</w:t>
      </w:r>
      <w:r>
        <w:rPr>
          <w:color w:val="0A0A0A"/>
          <w:spacing w:val="-8"/>
          <w:w w:val="105"/>
          <w:sz w:val="21"/>
        </w:rPr>
        <w:t> </w:t>
      </w:r>
      <w:r>
        <w:rPr>
          <w:color w:val="0A0A0A"/>
          <w:w w:val="105"/>
          <w:sz w:val="21"/>
        </w:rPr>
        <w:t>Statement</w:t>
      </w:r>
      <w:r>
        <w:rPr>
          <w:color w:val="0A0A0A"/>
          <w:spacing w:val="6"/>
          <w:w w:val="105"/>
          <w:sz w:val="21"/>
        </w:rPr>
        <w:t> </w:t>
      </w:r>
      <w:r>
        <w:rPr>
          <w:color w:val="0A0A0A"/>
          <w:w w:val="105"/>
          <w:sz w:val="21"/>
        </w:rPr>
        <w:t>of</w:t>
      </w:r>
      <w:r>
        <w:rPr>
          <w:color w:val="0A0A0A"/>
          <w:spacing w:val="-12"/>
          <w:w w:val="105"/>
          <w:sz w:val="21"/>
        </w:rPr>
        <w:t> </w:t>
      </w:r>
      <w:r>
        <w:rPr>
          <w:color w:val="0A0A0A"/>
          <w:spacing w:val="-2"/>
          <w:w w:val="105"/>
          <w:sz w:val="21"/>
        </w:rPr>
        <w:t>Accounts.</w:t>
      </w:r>
    </w:p>
    <w:p>
      <w:pPr>
        <w:pStyle w:val="BodyText"/>
        <w:spacing w:before="21"/>
        <w:rPr>
          <w:sz w:val="21"/>
        </w:rPr>
      </w:pPr>
    </w:p>
    <w:p>
      <w:pPr>
        <w:spacing w:before="0"/>
        <w:ind w:left="812" w:right="0" w:firstLine="0"/>
        <w:jc w:val="left"/>
        <w:rPr>
          <w:b/>
          <w:sz w:val="21"/>
        </w:rPr>
      </w:pPr>
      <w:r>
        <w:rPr>
          <w:b/>
          <w:color w:val="0A0A0A"/>
          <w:w w:val="105"/>
          <w:sz w:val="21"/>
        </w:rPr>
        <w:t>Responsibilities</w:t>
      </w:r>
      <w:r>
        <w:rPr>
          <w:b/>
          <w:color w:val="0A0A0A"/>
          <w:spacing w:val="-19"/>
          <w:w w:val="105"/>
          <w:sz w:val="21"/>
        </w:rPr>
        <w:t> </w:t>
      </w:r>
      <w:r>
        <w:rPr>
          <w:b/>
          <w:color w:val="0A0A0A"/>
          <w:w w:val="105"/>
          <w:sz w:val="21"/>
        </w:rPr>
        <w:t>of</w:t>
      </w:r>
      <w:r>
        <w:rPr>
          <w:b/>
          <w:color w:val="0A0A0A"/>
          <w:spacing w:val="-14"/>
          <w:w w:val="105"/>
          <w:sz w:val="21"/>
        </w:rPr>
        <w:t> </w:t>
      </w:r>
      <w:r>
        <w:rPr>
          <w:b/>
          <w:color w:val="0A0A0A"/>
          <w:w w:val="105"/>
          <w:sz w:val="21"/>
        </w:rPr>
        <w:t>the</w:t>
      </w:r>
      <w:r>
        <w:rPr>
          <w:b/>
          <w:color w:val="0A0A0A"/>
          <w:spacing w:val="-7"/>
          <w:w w:val="105"/>
          <w:sz w:val="21"/>
        </w:rPr>
        <w:t> </w:t>
      </w:r>
      <w:r>
        <w:rPr>
          <w:b/>
          <w:color w:val="0A0A0A"/>
          <w:w w:val="105"/>
          <w:sz w:val="21"/>
        </w:rPr>
        <w:t>Head</w:t>
      </w:r>
      <w:r>
        <w:rPr>
          <w:b/>
          <w:color w:val="0A0A0A"/>
          <w:spacing w:val="-4"/>
          <w:w w:val="105"/>
          <w:sz w:val="21"/>
        </w:rPr>
        <w:t> </w:t>
      </w:r>
      <w:r>
        <w:rPr>
          <w:b/>
          <w:color w:val="0A0A0A"/>
          <w:w w:val="105"/>
          <w:sz w:val="21"/>
        </w:rPr>
        <w:t>of</w:t>
      </w:r>
      <w:r>
        <w:rPr>
          <w:b/>
          <w:color w:val="0A0A0A"/>
          <w:spacing w:val="-6"/>
          <w:w w:val="105"/>
          <w:sz w:val="21"/>
        </w:rPr>
        <w:t> </w:t>
      </w:r>
      <w:r>
        <w:rPr>
          <w:b/>
          <w:color w:val="0A0A0A"/>
          <w:w w:val="105"/>
          <w:sz w:val="21"/>
        </w:rPr>
        <w:t>Finance</w:t>
      </w:r>
      <w:r>
        <w:rPr>
          <w:b/>
          <w:color w:val="0A0A0A"/>
          <w:spacing w:val="2"/>
          <w:w w:val="105"/>
          <w:sz w:val="21"/>
        </w:rPr>
        <w:t> </w:t>
      </w:r>
      <w:r>
        <w:rPr>
          <w:b/>
          <w:color w:val="0A0A0A"/>
          <w:w w:val="105"/>
          <w:sz w:val="21"/>
        </w:rPr>
        <w:t>and</w:t>
      </w:r>
      <w:r>
        <w:rPr>
          <w:b/>
          <w:color w:val="0A0A0A"/>
          <w:spacing w:val="-4"/>
          <w:w w:val="105"/>
          <w:sz w:val="21"/>
        </w:rPr>
        <w:t> </w:t>
      </w:r>
      <w:r>
        <w:rPr>
          <w:b/>
          <w:color w:val="0A0A0A"/>
          <w:w w:val="105"/>
          <w:sz w:val="21"/>
        </w:rPr>
        <w:t>Business</w:t>
      </w:r>
      <w:r>
        <w:rPr>
          <w:b/>
          <w:color w:val="0A0A0A"/>
          <w:spacing w:val="5"/>
          <w:w w:val="105"/>
          <w:sz w:val="21"/>
        </w:rPr>
        <w:t> </w:t>
      </w:r>
      <w:r>
        <w:rPr>
          <w:b/>
          <w:color w:val="0A0A0A"/>
          <w:spacing w:val="-2"/>
          <w:w w:val="105"/>
          <w:sz w:val="21"/>
        </w:rPr>
        <w:t>Services</w:t>
      </w:r>
    </w:p>
    <w:p>
      <w:pPr>
        <w:pStyle w:val="BodyText"/>
        <w:spacing w:before="26"/>
        <w:rPr>
          <w:b/>
          <w:sz w:val="21"/>
        </w:rPr>
      </w:pPr>
    </w:p>
    <w:p>
      <w:pPr>
        <w:spacing w:before="1" w:line="249" w:lineRule="auto"/>
        <w:ind w:left="794" w:right="290" w:firstLine="9"/>
        <w:jc w:val="both"/>
        <w:rPr>
          <w:sz w:val="21"/>
        </w:rPr>
      </w:pPr>
      <w:r>
        <w:rPr>
          <w:color w:val="0A0A0A"/>
          <w:w w:val="105"/>
          <w:sz w:val="21"/>
        </w:rPr>
        <w:t>The</w:t>
      </w:r>
      <w:r>
        <w:rPr>
          <w:color w:val="0A0A0A"/>
          <w:spacing w:val="-16"/>
          <w:w w:val="105"/>
          <w:sz w:val="21"/>
        </w:rPr>
        <w:t> </w:t>
      </w:r>
      <w:r>
        <w:rPr>
          <w:color w:val="0A0A0A"/>
          <w:w w:val="105"/>
          <w:sz w:val="21"/>
        </w:rPr>
        <w:t>Head</w:t>
      </w:r>
      <w:r>
        <w:rPr>
          <w:color w:val="0A0A0A"/>
          <w:spacing w:val="-15"/>
          <w:w w:val="105"/>
          <w:sz w:val="21"/>
        </w:rPr>
        <w:t> </w:t>
      </w:r>
      <w:r>
        <w:rPr>
          <w:color w:val="0A0A0A"/>
          <w:w w:val="105"/>
          <w:sz w:val="21"/>
        </w:rPr>
        <w:t>of</w:t>
      </w:r>
      <w:r>
        <w:rPr>
          <w:color w:val="0A0A0A"/>
          <w:spacing w:val="-15"/>
          <w:w w:val="105"/>
          <w:sz w:val="21"/>
        </w:rPr>
        <w:t> </w:t>
      </w:r>
      <w:r>
        <w:rPr>
          <w:color w:val="0A0A0A"/>
          <w:w w:val="105"/>
          <w:sz w:val="21"/>
        </w:rPr>
        <w:t>Finance</w:t>
      </w:r>
      <w:r>
        <w:rPr>
          <w:color w:val="0A0A0A"/>
          <w:spacing w:val="-16"/>
          <w:w w:val="105"/>
          <w:sz w:val="21"/>
        </w:rPr>
        <w:t> </w:t>
      </w:r>
      <w:r>
        <w:rPr>
          <w:color w:val="0A0A0A"/>
          <w:w w:val="105"/>
          <w:sz w:val="21"/>
        </w:rPr>
        <w:t>and</w:t>
      </w:r>
      <w:r>
        <w:rPr>
          <w:color w:val="0A0A0A"/>
          <w:spacing w:val="-15"/>
          <w:w w:val="105"/>
          <w:sz w:val="21"/>
        </w:rPr>
        <w:t> </w:t>
      </w:r>
      <w:r>
        <w:rPr>
          <w:color w:val="0A0A0A"/>
          <w:w w:val="105"/>
          <w:sz w:val="21"/>
        </w:rPr>
        <w:t>Business</w:t>
      </w:r>
      <w:r>
        <w:rPr>
          <w:color w:val="0A0A0A"/>
          <w:spacing w:val="-11"/>
          <w:w w:val="105"/>
          <w:sz w:val="21"/>
        </w:rPr>
        <w:t> </w:t>
      </w:r>
      <w:r>
        <w:rPr>
          <w:color w:val="0A0A0A"/>
          <w:w w:val="105"/>
          <w:sz w:val="21"/>
        </w:rPr>
        <w:t>Services</w:t>
      </w:r>
      <w:r>
        <w:rPr>
          <w:color w:val="0A0A0A"/>
          <w:spacing w:val="-4"/>
          <w:w w:val="105"/>
          <w:sz w:val="21"/>
        </w:rPr>
        <w:t> </w:t>
      </w:r>
      <w:r>
        <w:rPr>
          <w:color w:val="0A0A0A"/>
          <w:w w:val="105"/>
          <w:sz w:val="21"/>
        </w:rPr>
        <w:t>is</w:t>
      </w:r>
      <w:r>
        <w:rPr>
          <w:color w:val="0A0A0A"/>
          <w:spacing w:val="-15"/>
          <w:w w:val="105"/>
          <w:sz w:val="21"/>
        </w:rPr>
        <w:t> </w:t>
      </w:r>
      <w:r>
        <w:rPr>
          <w:color w:val="0A0A0A"/>
          <w:w w:val="105"/>
          <w:sz w:val="21"/>
        </w:rPr>
        <w:t>responsible</w:t>
      </w:r>
      <w:r>
        <w:rPr>
          <w:color w:val="0A0A0A"/>
          <w:spacing w:val="-1"/>
          <w:w w:val="105"/>
          <w:sz w:val="21"/>
        </w:rPr>
        <w:t> </w:t>
      </w:r>
      <w:r>
        <w:rPr>
          <w:color w:val="0A0A0A"/>
          <w:w w:val="105"/>
          <w:sz w:val="21"/>
        </w:rPr>
        <w:t>for</w:t>
      </w:r>
      <w:r>
        <w:rPr>
          <w:color w:val="0A0A0A"/>
          <w:spacing w:val="-16"/>
          <w:w w:val="105"/>
          <w:sz w:val="21"/>
        </w:rPr>
        <w:t> </w:t>
      </w:r>
      <w:r>
        <w:rPr>
          <w:color w:val="0A0A0A"/>
          <w:w w:val="105"/>
          <w:sz w:val="21"/>
        </w:rPr>
        <w:t>the</w:t>
      </w:r>
      <w:r>
        <w:rPr>
          <w:color w:val="0A0A0A"/>
          <w:spacing w:val="-15"/>
          <w:w w:val="105"/>
          <w:sz w:val="21"/>
        </w:rPr>
        <w:t> </w:t>
      </w:r>
      <w:r>
        <w:rPr>
          <w:color w:val="0A0A0A"/>
          <w:w w:val="105"/>
          <w:sz w:val="21"/>
        </w:rPr>
        <w:t>preparation</w:t>
      </w:r>
      <w:r>
        <w:rPr>
          <w:color w:val="0A0A0A"/>
          <w:spacing w:val="-3"/>
          <w:w w:val="105"/>
          <w:sz w:val="21"/>
        </w:rPr>
        <w:t> </w:t>
      </w:r>
      <w:r>
        <w:rPr>
          <w:color w:val="0A0A0A"/>
          <w:w w:val="105"/>
          <w:sz w:val="21"/>
        </w:rPr>
        <w:t>of</w:t>
      </w:r>
      <w:r>
        <w:rPr>
          <w:color w:val="0A0A0A"/>
          <w:spacing w:val="-16"/>
          <w:w w:val="105"/>
          <w:sz w:val="21"/>
        </w:rPr>
        <w:t> </w:t>
      </w:r>
      <w:r>
        <w:rPr>
          <w:color w:val="0A0A0A"/>
          <w:w w:val="105"/>
          <w:sz w:val="21"/>
        </w:rPr>
        <w:t>the</w:t>
      </w:r>
      <w:r>
        <w:rPr>
          <w:color w:val="0A0A0A"/>
          <w:spacing w:val="-14"/>
          <w:w w:val="105"/>
          <w:sz w:val="21"/>
        </w:rPr>
        <w:t> </w:t>
      </w:r>
      <w:r>
        <w:rPr>
          <w:color w:val="0A0A0A"/>
          <w:w w:val="105"/>
          <w:sz w:val="21"/>
        </w:rPr>
        <w:t>Council's Statement</w:t>
      </w:r>
      <w:r>
        <w:rPr>
          <w:color w:val="0A0A0A"/>
          <w:w w:val="105"/>
          <w:sz w:val="21"/>
        </w:rPr>
        <w:t> of</w:t>
      </w:r>
      <w:r>
        <w:rPr>
          <w:color w:val="0A0A0A"/>
          <w:spacing w:val="-8"/>
          <w:w w:val="105"/>
          <w:sz w:val="21"/>
        </w:rPr>
        <w:t> </w:t>
      </w:r>
      <w:r>
        <w:rPr>
          <w:color w:val="0A0A0A"/>
          <w:w w:val="105"/>
          <w:sz w:val="21"/>
        </w:rPr>
        <w:t>Accounts</w:t>
      </w:r>
      <w:r>
        <w:rPr>
          <w:color w:val="0A0A0A"/>
          <w:spacing w:val="-4"/>
          <w:w w:val="105"/>
          <w:sz w:val="21"/>
        </w:rPr>
        <w:t> </w:t>
      </w:r>
      <w:r>
        <w:rPr>
          <w:color w:val="0A0A0A"/>
          <w:w w:val="105"/>
          <w:sz w:val="21"/>
        </w:rPr>
        <w:t>in accordance with</w:t>
      </w:r>
      <w:r>
        <w:rPr>
          <w:color w:val="0A0A0A"/>
          <w:spacing w:val="-8"/>
          <w:w w:val="105"/>
          <w:sz w:val="21"/>
        </w:rPr>
        <w:t> </w:t>
      </w:r>
      <w:r>
        <w:rPr>
          <w:color w:val="0A0A0A"/>
          <w:w w:val="105"/>
          <w:sz w:val="21"/>
        </w:rPr>
        <w:t>proper</w:t>
      </w:r>
      <w:r>
        <w:rPr>
          <w:color w:val="0A0A0A"/>
          <w:spacing w:val="-3"/>
          <w:w w:val="105"/>
          <w:sz w:val="21"/>
        </w:rPr>
        <w:t> </w:t>
      </w:r>
      <w:r>
        <w:rPr>
          <w:color w:val="0A0A0A"/>
          <w:w w:val="105"/>
          <w:sz w:val="21"/>
        </w:rPr>
        <w:t>practices as set out</w:t>
      </w:r>
      <w:r>
        <w:rPr>
          <w:color w:val="0A0A0A"/>
          <w:spacing w:val="-4"/>
          <w:w w:val="105"/>
          <w:sz w:val="21"/>
        </w:rPr>
        <w:t> </w:t>
      </w:r>
      <w:r>
        <w:rPr>
          <w:color w:val="0A0A0A"/>
          <w:w w:val="105"/>
          <w:sz w:val="21"/>
        </w:rPr>
        <w:t>in</w:t>
      </w:r>
      <w:r>
        <w:rPr>
          <w:color w:val="0A0A0A"/>
          <w:spacing w:val="-12"/>
          <w:w w:val="105"/>
          <w:sz w:val="21"/>
        </w:rPr>
        <w:t> </w:t>
      </w:r>
      <w:r>
        <w:rPr>
          <w:color w:val="0A0A0A"/>
          <w:w w:val="105"/>
          <w:sz w:val="21"/>
        </w:rPr>
        <w:t>the</w:t>
      </w:r>
      <w:r>
        <w:rPr>
          <w:color w:val="0A0A0A"/>
          <w:spacing w:val="-3"/>
          <w:w w:val="105"/>
          <w:sz w:val="21"/>
        </w:rPr>
        <w:t> </w:t>
      </w:r>
      <w:r>
        <w:rPr>
          <w:color w:val="0A0A0A"/>
          <w:w w:val="105"/>
          <w:sz w:val="21"/>
        </w:rPr>
        <w:t>CIPFA/LASAAC </w:t>
      </w:r>
      <w:r>
        <w:rPr>
          <w:i/>
          <w:color w:val="0A0A0A"/>
          <w:w w:val="105"/>
          <w:sz w:val="21"/>
        </w:rPr>
        <w:t>Code of Practice on Local Authority Accounting in the United Kingdom </w:t>
      </w:r>
      <w:r>
        <w:rPr>
          <w:color w:val="0A0A0A"/>
          <w:w w:val="105"/>
          <w:sz w:val="21"/>
        </w:rPr>
        <w:t>(the Code).</w:t>
      </w:r>
    </w:p>
    <w:p>
      <w:pPr>
        <w:pStyle w:val="BodyText"/>
        <w:spacing w:before="18"/>
        <w:rPr>
          <w:sz w:val="21"/>
        </w:rPr>
      </w:pPr>
    </w:p>
    <w:p>
      <w:pPr>
        <w:spacing w:before="1"/>
        <w:ind w:left="784" w:right="0" w:firstLine="0"/>
        <w:jc w:val="left"/>
        <w:rPr>
          <w:sz w:val="21"/>
        </w:rPr>
      </w:pPr>
      <w:r>
        <w:rPr>
          <w:color w:val="0A0A0A"/>
          <w:w w:val="105"/>
          <w:sz w:val="21"/>
        </w:rPr>
        <w:t>In</w:t>
      </w:r>
      <w:r>
        <w:rPr>
          <w:color w:val="0A0A0A"/>
          <w:spacing w:val="4"/>
          <w:w w:val="105"/>
          <w:sz w:val="21"/>
        </w:rPr>
        <w:t> </w:t>
      </w:r>
      <w:r>
        <w:rPr>
          <w:color w:val="0A0A0A"/>
          <w:w w:val="105"/>
          <w:sz w:val="21"/>
        </w:rPr>
        <w:t>preparing</w:t>
      </w:r>
      <w:r>
        <w:rPr>
          <w:color w:val="0A0A0A"/>
          <w:spacing w:val="-6"/>
          <w:w w:val="105"/>
          <w:sz w:val="21"/>
        </w:rPr>
        <w:t> </w:t>
      </w:r>
      <w:r>
        <w:rPr>
          <w:color w:val="0A0A0A"/>
          <w:w w:val="105"/>
          <w:sz w:val="21"/>
        </w:rPr>
        <w:t>this</w:t>
      </w:r>
      <w:r>
        <w:rPr>
          <w:color w:val="0A0A0A"/>
          <w:spacing w:val="-4"/>
          <w:w w:val="105"/>
          <w:sz w:val="21"/>
        </w:rPr>
        <w:t> </w:t>
      </w:r>
      <w:r>
        <w:rPr>
          <w:color w:val="0A0A0A"/>
          <w:w w:val="105"/>
          <w:sz w:val="21"/>
        </w:rPr>
        <w:t>Statement</w:t>
      </w:r>
      <w:r>
        <w:rPr>
          <w:color w:val="0A0A0A"/>
          <w:spacing w:val="9"/>
          <w:w w:val="105"/>
          <w:sz w:val="21"/>
        </w:rPr>
        <w:t> </w:t>
      </w:r>
      <w:r>
        <w:rPr>
          <w:color w:val="0A0A0A"/>
          <w:w w:val="105"/>
          <w:sz w:val="21"/>
        </w:rPr>
        <w:t>of</w:t>
      </w:r>
      <w:r>
        <w:rPr>
          <w:color w:val="0A0A0A"/>
          <w:spacing w:val="-14"/>
          <w:w w:val="105"/>
          <w:sz w:val="21"/>
        </w:rPr>
        <w:t> </w:t>
      </w:r>
      <w:r>
        <w:rPr>
          <w:color w:val="0A0A0A"/>
          <w:w w:val="105"/>
          <w:sz w:val="21"/>
        </w:rPr>
        <w:t>Accounts</w:t>
      </w:r>
      <w:r>
        <w:rPr>
          <w:color w:val="0A0A0A"/>
          <w:spacing w:val="4"/>
          <w:w w:val="105"/>
          <w:sz w:val="21"/>
        </w:rPr>
        <w:t> </w:t>
      </w:r>
      <w:r>
        <w:rPr>
          <w:color w:val="0A0A0A"/>
          <w:w w:val="105"/>
          <w:sz w:val="21"/>
        </w:rPr>
        <w:t>the</w:t>
      </w:r>
      <w:r>
        <w:rPr>
          <w:color w:val="0A0A0A"/>
          <w:spacing w:val="-12"/>
          <w:w w:val="105"/>
          <w:sz w:val="21"/>
        </w:rPr>
        <w:t> </w:t>
      </w:r>
      <w:r>
        <w:rPr>
          <w:color w:val="0A0A0A"/>
          <w:w w:val="105"/>
          <w:sz w:val="21"/>
        </w:rPr>
        <w:t>Head</w:t>
      </w:r>
      <w:r>
        <w:rPr>
          <w:color w:val="0A0A0A"/>
          <w:spacing w:val="-5"/>
          <w:w w:val="105"/>
          <w:sz w:val="21"/>
        </w:rPr>
        <w:t> </w:t>
      </w:r>
      <w:r>
        <w:rPr>
          <w:color w:val="0A0A0A"/>
          <w:w w:val="105"/>
          <w:sz w:val="21"/>
        </w:rPr>
        <w:t>of</w:t>
      </w:r>
      <w:r>
        <w:rPr>
          <w:color w:val="0A0A0A"/>
          <w:spacing w:val="-15"/>
          <w:w w:val="105"/>
          <w:sz w:val="21"/>
        </w:rPr>
        <w:t> </w:t>
      </w:r>
      <w:r>
        <w:rPr>
          <w:color w:val="0A0A0A"/>
          <w:w w:val="105"/>
          <w:sz w:val="21"/>
        </w:rPr>
        <w:t>Finance</w:t>
      </w:r>
      <w:r>
        <w:rPr>
          <w:color w:val="0A0A0A"/>
          <w:spacing w:val="5"/>
          <w:w w:val="105"/>
          <w:sz w:val="21"/>
        </w:rPr>
        <w:t> </w:t>
      </w:r>
      <w:r>
        <w:rPr>
          <w:color w:val="0A0A0A"/>
          <w:w w:val="105"/>
          <w:sz w:val="21"/>
        </w:rPr>
        <w:t>and</w:t>
      </w:r>
      <w:r>
        <w:rPr>
          <w:color w:val="0A0A0A"/>
          <w:spacing w:val="-10"/>
          <w:w w:val="105"/>
          <w:sz w:val="21"/>
        </w:rPr>
        <w:t> </w:t>
      </w:r>
      <w:r>
        <w:rPr>
          <w:color w:val="0A0A0A"/>
          <w:w w:val="105"/>
          <w:sz w:val="21"/>
        </w:rPr>
        <w:t>Business</w:t>
      </w:r>
      <w:r>
        <w:rPr>
          <w:color w:val="0A0A0A"/>
          <w:spacing w:val="9"/>
          <w:w w:val="105"/>
          <w:sz w:val="21"/>
        </w:rPr>
        <w:t> </w:t>
      </w:r>
      <w:r>
        <w:rPr>
          <w:color w:val="0A0A0A"/>
          <w:w w:val="105"/>
          <w:sz w:val="21"/>
        </w:rPr>
        <w:t>Services </w:t>
      </w:r>
      <w:r>
        <w:rPr>
          <w:color w:val="0A0A0A"/>
          <w:spacing w:val="-4"/>
          <w:w w:val="105"/>
          <w:sz w:val="21"/>
        </w:rPr>
        <w:t>has:</w:t>
      </w:r>
    </w:p>
    <w:p>
      <w:pPr>
        <w:pStyle w:val="BodyText"/>
        <w:spacing w:before="21"/>
        <w:rPr>
          <w:sz w:val="21"/>
        </w:rPr>
      </w:pPr>
    </w:p>
    <w:p>
      <w:pPr>
        <w:pStyle w:val="ListParagraph"/>
        <w:numPr>
          <w:ilvl w:val="1"/>
          <w:numId w:val="1"/>
        </w:numPr>
        <w:tabs>
          <w:tab w:val="left" w:leader="none" w:pos="1491"/>
        </w:tabs>
        <w:spacing w:before="0" w:after="0" w:line="240" w:lineRule="auto"/>
        <w:ind w:left="1491" w:right="0" w:hanging="694"/>
        <w:jc w:val="left"/>
        <w:rPr>
          <w:color w:val="1C1C1C"/>
          <w:sz w:val="21"/>
        </w:rPr>
      </w:pPr>
      <w:r>
        <w:rPr>
          <w:color w:val="0A0A0A"/>
          <w:w w:val="105"/>
          <w:sz w:val="21"/>
        </w:rPr>
        <w:t>Selected</w:t>
      </w:r>
      <w:r>
        <w:rPr>
          <w:color w:val="0A0A0A"/>
          <w:spacing w:val="-3"/>
          <w:w w:val="105"/>
          <w:sz w:val="21"/>
        </w:rPr>
        <w:t> </w:t>
      </w:r>
      <w:r>
        <w:rPr>
          <w:color w:val="0A0A0A"/>
          <w:w w:val="105"/>
          <w:sz w:val="21"/>
        </w:rPr>
        <w:t>suitable</w:t>
      </w:r>
      <w:r>
        <w:rPr>
          <w:color w:val="0A0A0A"/>
          <w:spacing w:val="2"/>
          <w:w w:val="105"/>
          <w:sz w:val="21"/>
        </w:rPr>
        <w:t> </w:t>
      </w:r>
      <w:r>
        <w:rPr>
          <w:color w:val="0A0A0A"/>
          <w:w w:val="105"/>
          <w:sz w:val="21"/>
        </w:rPr>
        <w:t>accounting</w:t>
      </w:r>
      <w:r>
        <w:rPr>
          <w:color w:val="0A0A0A"/>
          <w:spacing w:val="5"/>
          <w:w w:val="105"/>
          <w:sz w:val="21"/>
        </w:rPr>
        <w:t> </w:t>
      </w:r>
      <w:r>
        <w:rPr>
          <w:color w:val="0A0A0A"/>
          <w:w w:val="105"/>
          <w:sz w:val="21"/>
        </w:rPr>
        <w:t>policies and</w:t>
      </w:r>
      <w:r>
        <w:rPr>
          <w:color w:val="0A0A0A"/>
          <w:spacing w:val="-13"/>
          <w:w w:val="105"/>
          <w:sz w:val="21"/>
        </w:rPr>
        <w:t> </w:t>
      </w:r>
      <w:r>
        <w:rPr>
          <w:color w:val="0A0A0A"/>
          <w:w w:val="105"/>
          <w:sz w:val="21"/>
        </w:rPr>
        <w:t>then</w:t>
      </w:r>
      <w:r>
        <w:rPr>
          <w:color w:val="0A0A0A"/>
          <w:spacing w:val="-3"/>
          <w:w w:val="105"/>
          <w:sz w:val="21"/>
        </w:rPr>
        <w:t> </w:t>
      </w:r>
      <w:r>
        <w:rPr>
          <w:color w:val="0A0A0A"/>
          <w:w w:val="105"/>
          <w:sz w:val="21"/>
        </w:rPr>
        <w:t>applied</w:t>
      </w:r>
      <w:r>
        <w:rPr>
          <w:color w:val="0A0A0A"/>
          <w:spacing w:val="-6"/>
          <w:w w:val="105"/>
          <w:sz w:val="21"/>
        </w:rPr>
        <w:t> </w:t>
      </w:r>
      <w:r>
        <w:rPr>
          <w:color w:val="0A0A0A"/>
          <w:w w:val="105"/>
          <w:sz w:val="21"/>
        </w:rPr>
        <w:t>them</w:t>
      </w:r>
      <w:r>
        <w:rPr>
          <w:color w:val="0A0A0A"/>
          <w:spacing w:val="-2"/>
          <w:w w:val="105"/>
          <w:sz w:val="21"/>
        </w:rPr>
        <w:t> consistently</w:t>
      </w:r>
      <w:r>
        <w:rPr>
          <w:color w:val="444444"/>
          <w:spacing w:val="-2"/>
          <w:w w:val="105"/>
          <w:sz w:val="21"/>
        </w:rPr>
        <w:t>.</w:t>
      </w:r>
    </w:p>
    <w:p>
      <w:pPr>
        <w:pStyle w:val="ListParagraph"/>
        <w:numPr>
          <w:ilvl w:val="1"/>
          <w:numId w:val="1"/>
        </w:numPr>
        <w:tabs>
          <w:tab w:val="left" w:leader="none" w:pos="1485"/>
        </w:tabs>
        <w:spacing w:before="13" w:after="0" w:line="240" w:lineRule="auto"/>
        <w:ind w:left="1485" w:right="0" w:hanging="692"/>
        <w:jc w:val="left"/>
        <w:rPr>
          <w:color w:val="1C1C1C"/>
          <w:sz w:val="21"/>
        </w:rPr>
      </w:pPr>
      <w:r>
        <w:rPr>
          <w:color w:val="0A0A0A"/>
          <w:w w:val="105"/>
          <w:sz w:val="21"/>
        </w:rPr>
        <w:t>Made</w:t>
      </w:r>
      <w:r>
        <w:rPr>
          <w:color w:val="0A0A0A"/>
          <w:spacing w:val="-3"/>
          <w:w w:val="105"/>
          <w:sz w:val="21"/>
        </w:rPr>
        <w:t> </w:t>
      </w:r>
      <w:r>
        <w:rPr>
          <w:color w:val="0A0A0A"/>
          <w:w w:val="105"/>
          <w:sz w:val="21"/>
        </w:rPr>
        <w:t>judgements</w:t>
      </w:r>
      <w:r>
        <w:rPr>
          <w:color w:val="0A0A0A"/>
          <w:spacing w:val="18"/>
          <w:w w:val="105"/>
          <w:sz w:val="21"/>
        </w:rPr>
        <w:t> </w:t>
      </w:r>
      <w:r>
        <w:rPr>
          <w:color w:val="0A0A0A"/>
          <w:w w:val="105"/>
          <w:sz w:val="21"/>
        </w:rPr>
        <w:t>and</w:t>
      </w:r>
      <w:r>
        <w:rPr>
          <w:color w:val="0A0A0A"/>
          <w:spacing w:val="-12"/>
          <w:w w:val="105"/>
          <w:sz w:val="21"/>
        </w:rPr>
        <w:t> </w:t>
      </w:r>
      <w:r>
        <w:rPr>
          <w:color w:val="0A0A0A"/>
          <w:w w:val="105"/>
          <w:sz w:val="21"/>
        </w:rPr>
        <w:t>estimates</w:t>
      </w:r>
      <w:r>
        <w:rPr>
          <w:color w:val="0A0A0A"/>
          <w:spacing w:val="8"/>
          <w:w w:val="105"/>
          <w:sz w:val="21"/>
        </w:rPr>
        <w:t> </w:t>
      </w:r>
      <w:r>
        <w:rPr>
          <w:color w:val="0A0A0A"/>
          <w:w w:val="105"/>
          <w:sz w:val="21"/>
        </w:rPr>
        <w:t>which</w:t>
      </w:r>
      <w:r>
        <w:rPr>
          <w:color w:val="0A0A0A"/>
          <w:spacing w:val="-2"/>
          <w:w w:val="105"/>
          <w:sz w:val="21"/>
        </w:rPr>
        <w:t> </w:t>
      </w:r>
      <w:r>
        <w:rPr>
          <w:color w:val="0A0A0A"/>
          <w:w w:val="105"/>
          <w:sz w:val="21"/>
        </w:rPr>
        <w:t>were</w:t>
      </w:r>
      <w:r>
        <w:rPr>
          <w:color w:val="0A0A0A"/>
          <w:spacing w:val="-11"/>
          <w:w w:val="105"/>
          <w:sz w:val="21"/>
        </w:rPr>
        <w:t> </w:t>
      </w:r>
      <w:r>
        <w:rPr>
          <w:color w:val="0A0A0A"/>
          <w:w w:val="105"/>
          <w:sz w:val="21"/>
        </w:rPr>
        <w:t>reasonable</w:t>
      </w:r>
      <w:r>
        <w:rPr>
          <w:color w:val="0A0A0A"/>
          <w:spacing w:val="4"/>
          <w:w w:val="105"/>
          <w:sz w:val="21"/>
        </w:rPr>
        <w:t> </w:t>
      </w:r>
      <w:r>
        <w:rPr>
          <w:color w:val="0A0A0A"/>
          <w:w w:val="105"/>
          <w:sz w:val="21"/>
        </w:rPr>
        <w:t>and</w:t>
      </w:r>
      <w:r>
        <w:rPr>
          <w:color w:val="0A0A0A"/>
          <w:spacing w:val="-10"/>
          <w:w w:val="105"/>
          <w:sz w:val="21"/>
        </w:rPr>
        <w:t> </w:t>
      </w:r>
      <w:r>
        <w:rPr>
          <w:color w:val="0A0A0A"/>
          <w:spacing w:val="-2"/>
          <w:w w:val="105"/>
          <w:sz w:val="21"/>
        </w:rPr>
        <w:t>prudent.</w:t>
      </w:r>
    </w:p>
    <w:p>
      <w:pPr>
        <w:pStyle w:val="ListParagraph"/>
        <w:numPr>
          <w:ilvl w:val="1"/>
          <w:numId w:val="1"/>
        </w:numPr>
        <w:tabs>
          <w:tab w:val="left" w:leader="none" w:pos="1485"/>
        </w:tabs>
        <w:spacing w:before="14" w:after="0" w:line="240" w:lineRule="auto"/>
        <w:ind w:left="1485" w:right="0" w:hanging="697"/>
        <w:jc w:val="left"/>
        <w:rPr>
          <w:color w:val="1C1C1C"/>
          <w:sz w:val="21"/>
        </w:rPr>
      </w:pPr>
      <w:r>
        <w:rPr>
          <w:color w:val="0A0A0A"/>
          <w:w w:val="105"/>
          <w:sz w:val="21"/>
        </w:rPr>
        <w:t>Complied</w:t>
      </w:r>
      <w:r>
        <w:rPr>
          <w:color w:val="0A0A0A"/>
          <w:spacing w:val="5"/>
          <w:w w:val="105"/>
          <w:sz w:val="21"/>
        </w:rPr>
        <w:t> </w:t>
      </w:r>
      <w:r>
        <w:rPr>
          <w:color w:val="0A0A0A"/>
          <w:w w:val="105"/>
          <w:sz w:val="21"/>
        </w:rPr>
        <w:t>with</w:t>
      </w:r>
      <w:r>
        <w:rPr>
          <w:color w:val="0A0A0A"/>
          <w:spacing w:val="-9"/>
          <w:w w:val="105"/>
          <w:sz w:val="21"/>
        </w:rPr>
        <w:t> </w:t>
      </w:r>
      <w:r>
        <w:rPr>
          <w:color w:val="0A0A0A"/>
          <w:w w:val="105"/>
          <w:sz w:val="21"/>
        </w:rPr>
        <w:t>the</w:t>
      </w:r>
      <w:r>
        <w:rPr>
          <w:color w:val="0A0A0A"/>
          <w:spacing w:val="-10"/>
          <w:w w:val="105"/>
          <w:sz w:val="21"/>
        </w:rPr>
        <w:t> </w:t>
      </w:r>
      <w:r>
        <w:rPr>
          <w:color w:val="0A0A0A"/>
          <w:w w:val="105"/>
          <w:sz w:val="21"/>
        </w:rPr>
        <w:t>local</w:t>
      </w:r>
      <w:r>
        <w:rPr>
          <w:color w:val="0A0A0A"/>
          <w:spacing w:val="-3"/>
          <w:w w:val="105"/>
          <w:sz w:val="21"/>
        </w:rPr>
        <w:t> </w:t>
      </w:r>
      <w:r>
        <w:rPr>
          <w:color w:val="0A0A0A"/>
          <w:w w:val="105"/>
          <w:sz w:val="21"/>
        </w:rPr>
        <w:t>authority</w:t>
      </w:r>
      <w:r>
        <w:rPr>
          <w:color w:val="0A0A0A"/>
          <w:spacing w:val="4"/>
          <w:w w:val="105"/>
          <w:sz w:val="21"/>
        </w:rPr>
        <w:t> </w:t>
      </w:r>
      <w:r>
        <w:rPr>
          <w:color w:val="0A0A0A"/>
          <w:spacing w:val="-2"/>
          <w:w w:val="105"/>
          <w:sz w:val="21"/>
        </w:rPr>
        <w:t>Code</w:t>
      </w:r>
      <w:r>
        <w:rPr>
          <w:color w:val="444444"/>
          <w:spacing w:val="-2"/>
          <w:w w:val="105"/>
          <w:sz w:val="21"/>
        </w:rPr>
        <w:t>.</w:t>
      </w:r>
    </w:p>
    <w:p>
      <w:pPr>
        <w:pStyle w:val="BodyText"/>
        <w:spacing w:before="21"/>
        <w:rPr>
          <w:sz w:val="21"/>
        </w:rPr>
      </w:pPr>
    </w:p>
    <w:p>
      <w:pPr>
        <w:spacing w:before="0"/>
        <w:ind w:left="765" w:right="0" w:firstLine="0"/>
        <w:jc w:val="left"/>
        <w:rPr>
          <w:sz w:val="21"/>
        </w:rPr>
      </w:pPr>
      <w:r>
        <w:rPr>
          <w:color w:val="0A0A0A"/>
          <w:w w:val="105"/>
          <w:sz w:val="21"/>
        </w:rPr>
        <w:t>The</w:t>
      </w:r>
      <w:r>
        <w:rPr>
          <w:color w:val="0A0A0A"/>
          <w:spacing w:val="-5"/>
          <w:w w:val="105"/>
          <w:sz w:val="21"/>
        </w:rPr>
        <w:t> </w:t>
      </w:r>
      <w:r>
        <w:rPr>
          <w:color w:val="0A0A0A"/>
          <w:w w:val="105"/>
          <w:sz w:val="21"/>
        </w:rPr>
        <w:t>Head</w:t>
      </w:r>
      <w:r>
        <w:rPr>
          <w:color w:val="0A0A0A"/>
          <w:spacing w:val="2"/>
          <w:w w:val="105"/>
          <w:sz w:val="21"/>
        </w:rPr>
        <w:t> </w:t>
      </w:r>
      <w:r>
        <w:rPr>
          <w:color w:val="0A0A0A"/>
          <w:w w:val="105"/>
          <w:sz w:val="21"/>
        </w:rPr>
        <w:t>of</w:t>
      </w:r>
      <w:r>
        <w:rPr>
          <w:color w:val="0A0A0A"/>
          <w:spacing w:val="-5"/>
          <w:w w:val="105"/>
          <w:sz w:val="21"/>
        </w:rPr>
        <w:t> </w:t>
      </w:r>
      <w:r>
        <w:rPr>
          <w:color w:val="0A0A0A"/>
          <w:w w:val="105"/>
          <w:sz w:val="21"/>
        </w:rPr>
        <w:t>Finance</w:t>
      </w:r>
      <w:r>
        <w:rPr>
          <w:color w:val="0A0A0A"/>
          <w:spacing w:val="3"/>
          <w:w w:val="105"/>
          <w:sz w:val="21"/>
        </w:rPr>
        <w:t> </w:t>
      </w:r>
      <w:r>
        <w:rPr>
          <w:color w:val="0A0A0A"/>
          <w:w w:val="105"/>
          <w:sz w:val="21"/>
        </w:rPr>
        <w:t>and</w:t>
      </w:r>
      <w:r>
        <w:rPr>
          <w:color w:val="0A0A0A"/>
          <w:spacing w:val="-6"/>
          <w:w w:val="105"/>
          <w:sz w:val="21"/>
        </w:rPr>
        <w:t> </w:t>
      </w:r>
      <w:r>
        <w:rPr>
          <w:color w:val="0A0A0A"/>
          <w:w w:val="105"/>
          <w:sz w:val="21"/>
        </w:rPr>
        <w:t>Business</w:t>
      </w:r>
      <w:r>
        <w:rPr>
          <w:color w:val="0A0A0A"/>
          <w:spacing w:val="7"/>
          <w:w w:val="105"/>
          <w:sz w:val="21"/>
        </w:rPr>
        <w:t> </w:t>
      </w:r>
      <w:r>
        <w:rPr>
          <w:color w:val="0A0A0A"/>
          <w:w w:val="105"/>
          <w:sz w:val="21"/>
        </w:rPr>
        <w:t>Services</w:t>
      </w:r>
      <w:r>
        <w:rPr>
          <w:color w:val="0A0A0A"/>
          <w:spacing w:val="4"/>
          <w:w w:val="105"/>
          <w:sz w:val="21"/>
        </w:rPr>
        <w:t> </w:t>
      </w:r>
      <w:r>
        <w:rPr>
          <w:color w:val="0A0A0A"/>
          <w:w w:val="105"/>
          <w:sz w:val="21"/>
        </w:rPr>
        <w:t>has</w:t>
      </w:r>
      <w:r>
        <w:rPr>
          <w:color w:val="0A0A0A"/>
          <w:spacing w:val="-7"/>
          <w:w w:val="105"/>
          <w:sz w:val="21"/>
        </w:rPr>
        <w:t> </w:t>
      </w:r>
      <w:r>
        <w:rPr>
          <w:color w:val="0A0A0A"/>
          <w:spacing w:val="-2"/>
          <w:w w:val="105"/>
          <w:sz w:val="21"/>
        </w:rPr>
        <w:t>also</w:t>
      </w:r>
      <w:r>
        <w:rPr>
          <w:color w:val="444444"/>
          <w:spacing w:val="-2"/>
          <w:w w:val="105"/>
          <w:sz w:val="21"/>
        </w:rPr>
        <w:t>:</w:t>
      </w:r>
    </w:p>
    <w:p>
      <w:pPr>
        <w:pStyle w:val="BodyText"/>
        <w:spacing w:before="22"/>
        <w:rPr>
          <w:sz w:val="21"/>
        </w:rPr>
      </w:pPr>
    </w:p>
    <w:p>
      <w:pPr>
        <w:pStyle w:val="ListParagraph"/>
        <w:numPr>
          <w:ilvl w:val="1"/>
          <w:numId w:val="1"/>
        </w:numPr>
        <w:tabs>
          <w:tab w:val="left" w:leader="none" w:pos="1471"/>
        </w:tabs>
        <w:spacing w:before="0" w:after="0" w:line="240" w:lineRule="auto"/>
        <w:ind w:left="1471" w:right="0" w:hanging="698"/>
        <w:jc w:val="left"/>
        <w:rPr>
          <w:color w:val="1C1C1C"/>
          <w:sz w:val="21"/>
        </w:rPr>
      </w:pPr>
      <w:r>
        <w:rPr>
          <w:color w:val="0A0A0A"/>
          <w:w w:val="105"/>
          <w:sz w:val="21"/>
        </w:rPr>
        <w:t>Kept</w:t>
      </w:r>
      <w:r>
        <w:rPr>
          <w:color w:val="0A0A0A"/>
          <w:spacing w:val="-8"/>
          <w:w w:val="105"/>
          <w:sz w:val="21"/>
        </w:rPr>
        <w:t> </w:t>
      </w:r>
      <w:r>
        <w:rPr>
          <w:color w:val="0A0A0A"/>
          <w:w w:val="105"/>
          <w:sz w:val="21"/>
        </w:rPr>
        <w:t>proper</w:t>
      </w:r>
      <w:r>
        <w:rPr>
          <w:color w:val="0A0A0A"/>
          <w:spacing w:val="3"/>
          <w:w w:val="105"/>
          <w:sz w:val="21"/>
        </w:rPr>
        <w:t> </w:t>
      </w:r>
      <w:r>
        <w:rPr>
          <w:color w:val="0A0A0A"/>
          <w:w w:val="105"/>
          <w:sz w:val="21"/>
        </w:rPr>
        <w:t>accounting</w:t>
      </w:r>
      <w:r>
        <w:rPr>
          <w:color w:val="0A0A0A"/>
          <w:spacing w:val="10"/>
          <w:w w:val="105"/>
          <w:sz w:val="21"/>
        </w:rPr>
        <w:t> </w:t>
      </w:r>
      <w:r>
        <w:rPr>
          <w:color w:val="0A0A0A"/>
          <w:w w:val="105"/>
          <w:sz w:val="21"/>
        </w:rPr>
        <w:t>records</w:t>
      </w:r>
      <w:r>
        <w:rPr>
          <w:color w:val="0A0A0A"/>
          <w:spacing w:val="4"/>
          <w:w w:val="105"/>
          <w:sz w:val="21"/>
        </w:rPr>
        <w:t> </w:t>
      </w:r>
      <w:r>
        <w:rPr>
          <w:color w:val="0A0A0A"/>
          <w:w w:val="105"/>
          <w:sz w:val="21"/>
        </w:rPr>
        <w:t>that</w:t>
      </w:r>
      <w:r>
        <w:rPr>
          <w:color w:val="0A0A0A"/>
          <w:spacing w:val="2"/>
          <w:w w:val="105"/>
          <w:sz w:val="21"/>
        </w:rPr>
        <w:t> </w:t>
      </w:r>
      <w:r>
        <w:rPr>
          <w:color w:val="0A0A0A"/>
          <w:w w:val="105"/>
          <w:sz w:val="21"/>
        </w:rPr>
        <w:t>were</w:t>
      </w:r>
      <w:r>
        <w:rPr>
          <w:color w:val="0A0A0A"/>
          <w:spacing w:val="-3"/>
          <w:w w:val="105"/>
          <w:sz w:val="21"/>
        </w:rPr>
        <w:t> </w:t>
      </w:r>
      <w:r>
        <w:rPr>
          <w:color w:val="0A0A0A"/>
          <w:w w:val="105"/>
          <w:sz w:val="21"/>
        </w:rPr>
        <w:t>up</w:t>
      </w:r>
      <w:r>
        <w:rPr>
          <w:color w:val="0A0A0A"/>
          <w:spacing w:val="-12"/>
          <w:w w:val="105"/>
          <w:sz w:val="21"/>
        </w:rPr>
        <w:t> </w:t>
      </w:r>
      <w:r>
        <w:rPr>
          <w:color w:val="0A0A0A"/>
          <w:w w:val="105"/>
          <w:sz w:val="21"/>
        </w:rPr>
        <w:t>to</w:t>
      </w:r>
      <w:r>
        <w:rPr>
          <w:color w:val="0A0A0A"/>
          <w:spacing w:val="-1"/>
          <w:w w:val="105"/>
          <w:sz w:val="21"/>
        </w:rPr>
        <w:t> </w:t>
      </w:r>
      <w:r>
        <w:rPr>
          <w:color w:val="1C1C1C"/>
          <w:spacing w:val="-2"/>
          <w:w w:val="105"/>
          <w:sz w:val="21"/>
        </w:rPr>
        <w:t>date</w:t>
      </w:r>
      <w:r>
        <w:rPr>
          <w:color w:val="444444"/>
          <w:spacing w:val="-2"/>
          <w:w w:val="105"/>
          <w:sz w:val="21"/>
        </w:rPr>
        <w:t>.</w:t>
      </w:r>
    </w:p>
    <w:p>
      <w:pPr>
        <w:pStyle w:val="ListParagraph"/>
        <w:numPr>
          <w:ilvl w:val="1"/>
          <w:numId w:val="1"/>
        </w:numPr>
        <w:tabs>
          <w:tab w:val="left" w:leader="none" w:pos="1468"/>
        </w:tabs>
        <w:spacing w:before="18" w:after="0" w:line="247" w:lineRule="auto"/>
        <w:ind w:left="1468" w:right="312" w:hanging="695"/>
        <w:jc w:val="both"/>
        <w:rPr>
          <w:color w:val="1C1C1C"/>
          <w:sz w:val="21"/>
        </w:rPr>
      </w:pPr>
      <w:r>
        <w:rPr>
          <w:color w:val="0A0A0A"/>
          <w:w w:val="105"/>
          <w:sz w:val="21"/>
        </w:rPr>
        <w:t>Taken</w:t>
      </w:r>
      <w:r>
        <w:rPr>
          <w:color w:val="0A0A0A"/>
          <w:w w:val="105"/>
          <w:sz w:val="21"/>
        </w:rPr>
        <w:t> reasonable</w:t>
      </w:r>
      <w:r>
        <w:rPr>
          <w:color w:val="0A0A0A"/>
          <w:w w:val="105"/>
          <w:sz w:val="21"/>
        </w:rPr>
        <w:t> steps</w:t>
      </w:r>
      <w:r>
        <w:rPr>
          <w:color w:val="0A0A0A"/>
          <w:w w:val="105"/>
          <w:sz w:val="21"/>
        </w:rPr>
        <w:t> for</w:t>
      </w:r>
      <w:r>
        <w:rPr>
          <w:color w:val="0A0A0A"/>
          <w:w w:val="105"/>
          <w:sz w:val="21"/>
        </w:rPr>
        <w:t> the</w:t>
      </w:r>
      <w:r>
        <w:rPr>
          <w:color w:val="0A0A0A"/>
          <w:w w:val="105"/>
          <w:sz w:val="21"/>
        </w:rPr>
        <w:t> prevention</w:t>
      </w:r>
      <w:r>
        <w:rPr>
          <w:color w:val="0A0A0A"/>
          <w:w w:val="105"/>
          <w:sz w:val="21"/>
        </w:rPr>
        <w:t> </w:t>
      </w:r>
      <w:r>
        <w:rPr>
          <w:color w:val="1C1C1C"/>
          <w:w w:val="105"/>
          <w:sz w:val="21"/>
        </w:rPr>
        <w:t>and</w:t>
      </w:r>
      <w:r>
        <w:rPr>
          <w:color w:val="1C1C1C"/>
          <w:w w:val="105"/>
          <w:sz w:val="21"/>
        </w:rPr>
        <w:t> </w:t>
      </w:r>
      <w:r>
        <w:rPr>
          <w:color w:val="0A0A0A"/>
          <w:w w:val="105"/>
          <w:sz w:val="21"/>
        </w:rPr>
        <w:t>detection</w:t>
      </w:r>
      <w:r>
        <w:rPr>
          <w:color w:val="0A0A0A"/>
          <w:w w:val="105"/>
          <w:sz w:val="21"/>
        </w:rPr>
        <w:t> of</w:t>
      </w:r>
      <w:r>
        <w:rPr>
          <w:color w:val="0A0A0A"/>
          <w:w w:val="105"/>
          <w:sz w:val="21"/>
        </w:rPr>
        <w:t> fraud</w:t>
      </w:r>
      <w:r>
        <w:rPr>
          <w:color w:val="0A0A0A"/>
          <w:w w:val="105"/>
          <w:sz w:val="21"/>
        </w:rPr>
        <w:t> and</w:t>
      </w:r>
      <w:r>
        <w:rPr>
          <w:color w:val="0A0A0A"/>
          <w:w w:val="105"/>
          <w:sz w:val="21"/>
        </w:rPr>
        <w:t> other </w:t>
      </w:r>
      <w:r>
        <w:rPr>
          <w:color w:val="0A0A0A"/>
          <w:spacing w:val="-2"/>
          <w:w w:val="105"/>
          <w:sz w:val="21"/>
        </w:rPr>
        <w:t>irregularities.</w:t>
      </w:r>
    </w:p>
    <w:p>
      <w:pPr>
        <w:pStyle w:val="BodyText"/>
        <w:rPr>
          <w:sz w:val="21"/>
        </w:rPr>
      </w:pPr>
    </w:p>
    <w:p>
      <w:pPr>
        <w:pStyle w:val="BodyText"/>
        <w:spacing w:before="29"/>
        <w:rPr>
          <w:sz w:val="21"/>
        </w:rPr>
      </w:pPr>
    </w:p>
    <w:p>
      <w:pPr>
        <w:spacing w:before="0"/>
        <w:ind w:left="746" w:right="0" w:firstLine="0"/>
        <w:jc w:val="left"/>
        <w:rPr>
          <w:b/>
          <w:sz w:val="21"/>
        </w:rPr>
      </w:pPr>
      <w:r>
        <w:rPr>
          <w:b/>
          <w:color w:val="0A0A0A"/>
          <w:w w:val="105"/>
          <w:sz w:val="21"/>
        </w:rPr>
        <w:t>Confirmation</w:t>
      </w:r>
      <w:r>
        <w:rPr>
          <w:b/>
          <w:color w:val="0A0A0A"/>
          <w:spacing w:val="12"/>
          <w:w w:val="105"/>
          <w:sz w:val="21"/>
        </w:rPr>
        <w:t> </w:t>
      </w:r>
      <w:r>
        <w:rPr>
          <w:b/>
          <w:color w:val="0A0A0A"/>
          <w:w w:val="105"/>
          <w:sz w:val="21"/>
        </w:rPr>
        <w:t>of</w:t>
      </w:r>
      <w:r>
        <w:rPr>
          <w:b/>
          <w:color w:val="0A0A0A"/>
          <w:spacing w:val="-10"/>
          <w:w w:val="105"/>
          <w:sz w:val="21"/>
        </w:rPr>
        <w:t> </w:t>
      </w:r>
      <w:r>
        <w:rPr>
          <w:b/>
          <w:color w:val="0A0A0A"/>
          <w:w w:val="105"/>
          <w:sz w:val="21"/>
        </w:rPr>
        <w:t>the</w:t>
      </w:r>
      <w:r>
        <w:rPr>
          <w:b/>
          <w:color w:val="0A0A0A"/>
          <w:spacing w:val="-5"/>
          <w:w w:val="105"/>
          <w:sz w:val="21"/>
        </w:rPr>
        <w:t> </w:t>
      </w:r>
      <w:r>
        <w:rPr>
          <w:b/>
          <w:color w:val="0A0A0A"/>
          <w:w w:val="105"/>
          <w:sz w:val="21"/>
        </w:rPr>
        <w:t>Head</w:t>
      </w:r>
      <w:r>
        <w:rPr>
          <w:b/>
          <w:color w:val="0A0A0A"/>
          <w:spacing w:val="-1"/>
          <w:w w:val="105"/>
          <w:sz w:val="21"/>
        </w:rPr>
        <w:t> </w:t>
      </w:r>
      <w:r>
        <w:rPr>
          <w:b/>
          <w:color w:val="0A0A0A"/>
          <w:w w:val="105"/>
          <w:sz w:val="21"/>
        </w:rPr>
        <w:t>of</w:t>
      </w:r>
      <w:r>
        <w:rPr>
          <w:b/>
          <w:color w:val="0A0A0A"/>
          <w:spacing w:val="-11"/>
          <w:w w:val="105"/>
          <w:sz w:val="21"/>
        </w:rPr>
        <w:t> </w:t>
      </w:r>
      <w:r>
        <w:rPr>
          <w:b/>
          <w:color w:val="0A0A0A"/>
          <w:w w:val="105"/>
          <w:sz w:val="21"/>
        </w:rPr>
        <w:t>Finance</w:t>
      </w:r>
      <w:r>
        <w:rPr>
          <w:b/>
          <w:color w:val="0A0A0A"/>
          <w:spacing w:val="-2"/>
          <w:w w:val="105"/>
          <w:sz w:val="21"/>
        </w:rPr>
        <w:t> </w:t>
      </w:r>
      <w:r>
        <w:rPr>
          <w:b/>
          <w:color w:val="0A0A0A"/>
          <w:w w:val="105"/>
          <w:sz w:val="21"/>
        </w:rPr>
        <w:t>and</w:t>
      </w:r>
      <w:r>
        <w:rPr>
          <w:b/>
          <w:color w:val="0A0A0A"/>
          <w:spacing w:val="-7"/>
          <w:w w:val="105"/>
          <w:sz w:val="21"/>
        </w:rPr>
        <w:t> </w:t>
      </w:r>
      <w:r>
        <w:rPr>
          <w:b/>
          <w:color w:val="0A0A0A"/>
          <w:w w:val="105"/>
          <w:sz w:val="21"/>
        </w:rPr>
        <w:t>Business</w:t>
      </w:r>
      <w:r>
        <w:rPr>
          <w:b/>
          <w:color w:val="0A0A0A"/>
          <w:spacing w:val="3"/>
          <w:w w:val="105"/>
          <w:sz w:val="21"/>
        </w:rPr>
        <w:t> </w:t>
      </w:r>
      <w:r>
        <w:rPr>
          <w:b/>
          <w:color w:val="0A0A0A"/>
          <w:spacing w:val="-2"/>
          <w:w w:val="105"/>
          <w:sz w:val="21"/>
        </w:rPr>
        <w:t>Services:</w:t>
      </w:r>
    </w:p>
    <w:p>
      <w:pPr>
        <w:pStyle w:val="BodyText"/>
        <w:spacing w:before="8"/>
        <w:rPr>
          <w:b/>
          <w:sz w:val="21"/>
        </w:rPr>
      </w:pPr>
    </w:p>
    <w:p>
      <w:pPr>
        <w:spacing w:before="0" w:line="247" w:lineRule="auto"/>
        <w:ind w:left="734" w:right="329" w:firstLine="11"/>
        <w:jc w:val="both"/>
        <w:rPr>
          <w:b/>
          <w:sz w:val="21"/>
        </w:rPr>
      </w:pPr>
      <w:r>
        <w:rPr>
          <w:rFonts w:ascii="Times New Roman"/>
          <w:color w:val="0A0A0A"/>
          <w:sz w:val="23"/>
        </w:rPr>
        <w:t>I </w:t>
      </w:r>
      <w:r>
        <w:rPr>
          <w:b/>
          <w:color w:val="0A0A0A"/>
          <w:w w:val="105"/>
          <w:sz w:val="21"/>
        </w:rPr>
        <w:t>confirm that</w:t>
      </w:r>
      <w:r>
        <w:rPr>
          <w:b/>
          <w:color w:val="0A0A0A"/>
          <w:spacing w:val="-3"/>
          <w:w w:val="105"/>
          <w:sz w:val="21"/>
        </w:rPr>
        <w:t> </w:t>
      </w:r>
      <w:r>
        <w:rPr>
          <w:b/>
          <w:color w:val="0A0A0A"/>
          <w:w w:val="105"/>
          <w:sz w:val="21"/>
        </w:rPr>
        <w:t>this</w:t>
      </w:r>
      <w:r>
        <w:rPr>
          <w:b/>
          <w:color w:val="0A0A0A"/>
          <w:spacing w:val="-1"/>
          <w:w w:val="105"/>
          <w:sz w:val="21"/>
        </w:rPr>
        <w:t> </w:t>
      </w:r>
      <w:r>
        <w:rPr>
          <w:b/>
          <w:color w:val="0A0A0A"/>
          <w:w w:val="105"/>
          <w:sz w:val="21"/>
        </w:rPr>
        <w:t>Statement of Accounts presents a</w:t>
      </w:r>
      <w:r>
        <w:rPr>
          <w:b/>
          <w:color w:val="0A0A0A"/>
          <w:spacing w:val="-1"/>
          <w:w w:val="105"/>
          <w:sz w:val="21"/>
        </w:rPr>
        <w:t> </w:t>
      </w:r>
      <w:r>
        <w:rPr>
          <w:b/>
          <w:color w:val="0A0A0A"/>
          <w:w w:val="105"/>
          <w:sz w:val="21"/>
        </w:rPr>
        <w:t>true and fair view of</w:t>
      </w:r>
      <w:r>
        <w:rPr>
          <w:b/>
          <w:color w:val="0A0A0A"/>
          <w:spacing w:val="-2"/>
          <w:w w:val="105"/>
          <w:sz w:val="21"/>
        </w:rPr>
        <w:t> </w:t>
      </w:r>
      <w:r>
        <w:rPr>
          <w:b/>
          <w:color w:val="0A0A0A"/>
          <w:w w:val="105"/>
          <w:sz w:val="21"/>
        </w:rPr>
        <w:t>the financial position of</w:t>
      </w:r>
      <w:r>
        <w:rPr>
          <w:b/>
          <w:color w:val="0A0A0A"/>
          <w:spacing w:val="-9"/>
          <w:w w:val="105"/>
          <w:sz w:val="21"/>
        </w:rPr>
        <w:t> </w:t>
      </w:r>
      <w:r>
        <w:rPr>
          <w:b/>
          <w:color w:val="0A0A0A"/>
          <w:w w:val="105"/>
          <w:sz w:val="21"/>
        </w:rPr>
        <w:t>Hertsmere Borough</w:t>
      </w:r>
      <w:r>
        <w:rPr>
          <w:b/>
          <w:color w:val="0A0A0A"/>
          <w:spacing w:val="-4"/>
          <w:w w:val="105"/>
          <w:sz w:val="21"/>
        </w:rPr>
        <w:t> </w:t>
      </w:r>
      <w:r>
        <w:rPr>
          <w:b/>
          <w:color w:val="0A0A0A"/>
          <w:w w:val="105"/>
          <w:sz w:val="21"/>
        </w:rPr>
        <w:t>Council</w:t>
      </w:r>
      <w:r>
        <w:rPr>
          <w:b/>
          <w:color w:val="0A0A0A"/>
          <w:spacing w:val="-2"/>
          <w:w w:val="105"/>
          <w:sz w:val="21"/>
        </w:rPr>
        <w:t> </w:t>
      </w:r>
      <w:r>
        <w:rPr>
          <w:b/>
          <w:color w:val="0A0A0A"/>
          <w:w w:val="105"/>
          <w:sz w:val="21"/>
        </w:rPr>
        <w:t>at</w:t>
      </w:r>
      <w:r>
        <w:rPr>
          <w:b/>
          <w:color w:val="0A0A0A"/>
          <w:spacing w:val="-16"/>
          <w:w w:val="105"/>
          <w:sz w:val="21"/>
        </w:rPr>
        <w:t> </w:t>
      </w:r>
      <w:r>
        <w:rPr>
          <w:b/>
          <w:color w:val="0A0A0A"/>
          <w:w w:val="105"/>
          <w:sz w:val="21"/>
        </w:rPr>
        <w:t>31</w:t>
      </w:r>
      <w:r>
        <w:rPr>
          <w:b/>
          <w:color w:val="0A0A0A"/>
          <w:spacing w:val="-12"/>
          <w:w w:val="105"/>
          <w:sz w:val="21"/>
        </w:rPr>
        <w:t> </w:t>
      </w:r>
      <w:r>
        <w:rPr>
          <w:b/>
          <w:color w:val="0A0A0A"/>
          <w:w w:val="105"/>
          <w:sz w:val="21"/>
        </w:rPr>
        <w:t>March 2023</w:t>
      </w:r>
      <w:r>
        <w:rPr>
          <w:b/>
          <w:color w:val="0A0A0A"/>
          <w:spacing w:val="-2"/>
          <w:w w:val="105"/>
          <w:sz w:val="21"/>
        </w:rPr>
        <w:t> </w:t>
      </w:r>
      <w:r>
        <w:rPr>
          <w:b/>
          <w:color w:val="0A0A0A"/>
          <w:w w:val="105"/>
          <w:sz w:val="21"/>
        </w:rPr>
        <w:t>and</w:t>
      </w:r>
      <w:r>
        <w:rPr>
          <w:b/>
          <w:color w:val="0A0A0A"/>
          <w:spacing w:val="-8"/>
          <w:w w:val="105"/>
          <w:sz w:val="21"/>
        </w:rPr>
        <w:t> </w:t>
      </w:r>
      <w:r>
        <w:rPr>
          <w:b/>
          <w:color w:val="0A0A0A"/>
          <w:w w:val="105"/>
          <w:sz w:val="21"/>
        </w:rPr>
        <w:t>its</w:t>
      </w:r>
      <w:r>
        <w:rPr>
          <w:b/>
          <w:color w:val="0A0A0A"/>
          <w:spacing w:val="-14"/>
          <w:w w:val="105"/>
          <w:sz w:val="21"/>
        </w:rPr>
        <w:t> </w:t>
      </w:r>
      <w:r>
        <w:rPr>
          <w:b/>
          <w:color w:val="0A0A0A"/>
          <w:w w:val="105"/>
          <w:sz w:val="21"/>
        </w:rPr>
        <w:t>Income</w:t>
      </w:r>
      <w:r>
        <w:rPr>
          <w:b/>
          <w:color w:val="0A0A0A"/>
          <w:spacing w:val="-4"/>
          <w:w w:val="105"/>
          <w:sz w:val="21"/>
        </w:rPr>
        <w:t> </w:t>
      </w:r>
      <w:r>
        <w:rPr>
          <w:b/>
          <w:color w:val="0A0A0A"/>
          <w:w w:val="105"/>
          <w:sz w:val="21"/>
        </w:rPr>
        <w:t>&amp;</w:t>
      </w:r>
      <w:r>
        <w:rPr>
          <w:b/>
          <w:color w:val="0A0A0A"/>
          <w:spacing w:val="-14"/>
          <w:w w:val="105"/>
          <w:sz w:val="21"/>
        </w:rPr>
        <w:t> </w:t>
      </w:r>
      <w:r>
        <w:rPr>
          <w:b/>
          <w:color w:val="0A0A0A"/>
          <w:w w:val="105"/>
          <w:sz w:val="21"/>
        </w:rPr>
        <w:t>Expenditure for the year then ended.</w:t>
      </w:r>
    </w:p>
    <w:p>
      <w:pPr>
        <w:pStyle w:val="BodyText"/>
        <w:spacing w:before="6"/>
        <w:rPr>
          <w:b/>
          <w:sz w:val="3"/>
        </w:rPr>
      </w:pPr>
      <w:r>
        <w:rPr/>
        <ve:AlternateContent>
          <ve:Choice Requires="wps">
            <w:drawing>
              <wp:anchor distT="0" distB="0" distL="0" distR="0" simplePos="0" relativeHeight="487596544" behindDoc="1" locked="0" layoutInCell="1" allowOverlap="1">
                <wp:simplePos x="0" y="0"/>
                <wp:positionH relativeFrom="page">
                  <wp:posOffset>940298</wp:posOffset>
                </wp:positionH>
                <wp:positionV relativeFrom="paragraph">
                  <wp:posOffset>41553</wp:posOffset>
                </wp:positionV>
                <wp:extent cx="2527935" cy="763270"/>
                <wp:effectExtent l="0" t="0" r="0" b="0"/>
                <wp:wrapTopAndBottom/>
                <wp:docPr id="28" name="Group 28"/>
                <wp:cNvGraphicFramePr>
                  <a:graphicFrameLocks/>
                </wp:cNvGraphicFramePr>
                <a:graphic>
                  <a:graphicData uri="http://schemas.microsoft.com/office/word/2010/wordprocessingGroup">
                    <wpg:wgp>
                      <wpg:cNvPr id="28" name="Group 28"/>
                      <wpg:cNvGrpSpPr/>
                      <wpg:grpSpPr>
                        <a:xfrm>
                          <a:off x="0" y="0"/>
                          <a:ext cx="2527935" cy="763270"/>
                          <a:chExt cx="2527935" cy="763270"/>
                        </a:xfrm>
                      </wpg:grpSpPr>
                      <pic:pic>
                        <pic:nvPicPr>
                          <pic:cNvPr id="29" name="Image 29"/>
                          <pic:cNvPicPr/>
                        </pic:nvPicPr>
                        <pic:blipFill>
                          <a:blip r:embed="rId11" cstate="print"/>
                          <a:stretch>
                            <a:fillRect/>
                          </a:stretch>
                        </pic:blipFill>
                        <pic:spPr>
                          <a:xfrm>
                            <a:off x="0" y="15257"/>
                            <a:ext cx="2527814" cy="747612"/>
                          </a:xfrm>
                          <a:prstGeom prst="rect">
                            <a:avLst/>
                          </a:prstGeom>
                        </pic:spPr>
                      </pic:pic>
                      <wps:wsp>
                        <wps:cNvPr id="30" name="Graphic 30"/>
                        <wps:cNvSpPr/>
                        <wps:spPr>
                          <a:xfrm>
                            <a:off x="976933" y="3051"/>
                            <a:ext cx="403225" cy="1270"/>
                          </a:xfrm>
                          <a:custGeom>
                            <a:avLst/>
                            <a:gdLst/>
                            <a:ahLst/>
                            <a:cxnLst/>
                            <a:rect l="l" t="t" r="r" b="b"/>
                            <a:pathLst>
                              <a:path w="403225" h="0">
                                <a:moveTo>
                                  <a:pt x="0" y="0"/>
                                </a:moveTo>
                                <a:lnTo>
                                  <a:pt x="402984" y="0"/>
                                </a:lnTo>
                              </a:path>
                            </a:pathLst>
                          </a:custGeom>
                          <a:ln w="6102">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2" style="position:absolute;margin-left:74.03923pt;margin-top:3.271921pt;width:199.05pt;height:60.1pt;mso-position-horizontal-relative:page;mso-position-vertical-relative:paragraph;z-index:-15719936;mso-wrap-distance-left:0;mso-wrap-distance-right:0" coordsize="3981,1202" coordorigin="1481,65">
                <v:shape id="docshape13" style="position:absolute;left:1480;top:89;width:3981;height:1178" stroked="false" type="#_x0000_t75">
                  <v:imagedata o:title="" r:id="rId11"/>
                </v:shape>
                <v:line style="position:absolute" stroked="true" strokecolor="#000000" strokeweight=".480548pt" from="3019,70" to="3654,70">
                  <v:stroke dashstyle="solid"/>
                </v:line>
                <w10:wrap type="topAndBottom"/>
              </v:group>
            </w:pict>
          </ve:Fallback>
        </ve:AlternateContent>
      </w:r>
    </w:p>
    <w:p>
      <w:pPr>
        <w:pStyle w:val="BodyText"/>
        <w:spacing w:before="22"/>
        <w:rPr>
          <w:b/>
          <w:sz w:val="21"/>
        </w:rPr>
      </w:pPr>
    </w:p>
    <w:p>
      <w:pPr>
        <w:spacing w:before="1"/>
        <w:ind w:left="712" w:right="0" w:firstLine="0"/>
        <w:jc w:val="left"/>
        <w:rPr>
          <w:b/>
          <w:sz w:val="21"/>
        </w:rPr>
      </w:pPr>
      <w:r>
        <w:rPr>
          <w:b/>
          <w:color w:val="0A0A0A"/>
          <w:w w:val="105"/>
          <w:sz w:val="21"/>
        </w:rPr>
        <w:t>Matthew</w:t>
      </w:r>
      <w:r>
        <w:rPr>
          <w:b/>
          <w:color w:val="0A0A0A"/>
          <w:spacing w:val="-4"/>
          <w:w w:val="105"/>
          <w:sz w:val="21"/>
        </w:rPr>
        <w:t> </w:t>
      </w:r>
      <w:r>
        <w:rPr>
          <w:b/>
          <w:color w:val="0A0A0A"/>
          <w:spacing w:val="-2"/>
          <w:w w:val="105"/>
          <w:sz w:val="21"/>
        </w:rPr>
        <w:t>Bunyon</w:t>
      </w:r>
    </w:p>
    <w:p>
      <w:pPr>
        <w:spacing w:before="13"/>
        <w:ind w:left="705" w:right="0" w:firstLine="0"/>
        <w:jc w:val="left"/>
        <w:rPr>
          <w:sz w:val="21"/>
        </w:rPr>
      </w:pPr>
      <w:r>
        <w:rPr>
          <w:color w:val="0A0A0A"/>
          <w:w w:val="105"/>
          <w:sz w:val="21"/>
        </w:rPr>
        <w:t>Head of</w:t>
      </w:r>
      <w:r>
        <w:rPr>
          <w:color w:val="0A0A0A"/>
          <w:spacing w:val="-7"/>
          <w:w w:val="105"/>
          <w:sz w:val="21"/>
        </w:rPr>
        <w:t> </w:t>
      </w:r>
      <w:r>
        <w:rPr>
          <w:color w:val="0A0A0A"/>
          <w:w w:val="105"/>
          <w:sz w:val="21"/>
        </w:rPr>
        <w:t>Finance</w:t>
      </w:r>
      <w:r>
        <w:rPr>
          <w:color w:val="0A0A0A"/>
          <w:spacing w:val="6"/>
          <w:w w:val="105"/>
          <w:sz w:val="21"/>
        </w:rPr>
        <w:t> </w:t>
      </w:r>
      <w:r>
        <w:rPr>
          <w:color w:val="0A0A0A"/>
          <w:w w:val="105"/>
          <w:sz w:val="21"/>
        </w:rPr>
        <w:t>and</w:t>
      </w:r>
      <w:r>
        <w:rPr>
          <w:color w:val="0A0A0A"/>
          <w:spacing w:val="-8"/>
          <w:w w:val="105"/>
          <w:sz w:val="21"/>
        </w:rPr>
        <w:t> </w:t>
      </w:r>
      <w:r>
        <w:rPr>
          <w:color w:val="0A0A0A"/>
          <w:w w:val="105"/>
          <w:sz w:val="21"/>
        </w:rPr>
        <w:t>Business</w:t>
      </w:r>
      <w:r>
        <w:rPr>
          <w:color w:val="0A0A0A"/>
          <w:spacing w:val="15"/>
          <w:w w:val="105"/>
          <w:sz w:val="21"/>
        </w:rPr>
        <w:t> </w:t>
      </w:r>
      <w:r>
        <w:rPr>
          <w:color w:val="0A0A0A"/>
          <w:spacing w:val="-2"/>
          <w:w w:val="105"/>
          <w:sz w:val="21"/>
        </w:rPr>
        <w:t>Services</w:t>
      </w:r>
    </w:p>
    <w:p>
      <w:pPr>
        <w:pStyle w:val="BodyText"/>
        <w:rPr>
          <w:sz w:val="21"/>
        </w:rPr>
      </w:pPr>
    </w:p>
    <w:p>
      <w:pPr>
        <w:pStyle w:val="BodyText"/>
        <w:spacing w:before="34"/>
        <w:rPr>
          <w:sz w:val="21"/>
        </w:rPr>
      </w:pPr>
    </w:p>
    <w:p>
      <w:pPr>
        <w:spacing w:before="1"/>
        <w:ind w:left="701" w:right="0" w:firstLine="0"/>
        <w:jc w:val="left"/>
        <w:rPr>
          <w:sz w:val="21"/>
        </w:rPr>
      </w:pPr>
      <w:r>
        <w:rPr>
          <w:color w:val="0A0A0A"/>
          <w:w w:val="105"/>
          <w:sz w:val="21"/>
        </w:rPr>
        <w:t>Date:</w:t>
      </w:r>
      <w:r>
        <w:rPr>
          <w:color w:val="0A0A0A"/>
          <w:spacing w:val="2"/>
          <w:w w:val="105"/>
          <w:sz w:val="21"/>
        </w:rPr>
        <w:t> </w:t>
      </w:r>
      <w:r>
        <w:rPr>
          <w:color w:val="0A0A0A"/>
          <w:w w:val="105"/>
          <w:sz w:val="21"/>
        </w:rPr>
        <w:t>9</w:t>
      </w:r>
      <w:r>
        <w:rPr>
          <w:color w:val="0A0A0A"/>
          <w:w w:val="105"/>
          <w:sz w:val="21"/>
          <w:vertAlign w:val="superscript"/>
        </w:rPr>
        <w:t>th</w:t>
      </w:r>
      <w:r>
        <w:rPr>
          <w:color w:val="0A0A0A"/>
          <w:spacing w:val="-9"/>
          <w:w w:val="105"/>
          <w:sz w:val="21"/>
          <w:vertAlign w:val="baseline"/>
        </w:rPr>
        <w:t> </w:t>
      </w:r>
      <w:r>
        <w:rPr>
          <w:color w:val="0A0A0A"/>
          <w:w w:val="105"/>
          <w:sz w:val="21"/>
          <w:vertAlign w:val="baseline"/>
        </w:rPr>
        <w:t>September</w:t>
      </w:r>
      <w:r>
        <w:rPr>
          <w:color w:val="0A0A0A"/>
          <w:spacing w:val="12"/>
          <w:w w:val="105"/>
          <w:sz w:val="21"/>
          <w:vertAlign w:val="baseline"/>
        </w:rPr>
        <w:t> </w:t>
      </w:r>
      <w:r>
        <w:rPr>
          <w:color w:val="0A0A0A"/>
          <w:spacing w:val="-4"/>
          <w:w w:val="105"/>
          <w:sz w:val="21"/>
          <w:vertAlign w:val="baseline"/>
        </w:rPr>
        <w:t>2024</w:t>
      </w:r>
    </w:p>
    <w:p>
      <w:pPr>
        <w:spacing w:before="13" w:line="249" w:lineRule="auto"/>
        <w:ind w:left="692" w:right="166" w:firstLine="8"/>
        <w:jc w:val="left"/>
        <w:rPr>
          <w:sz w:val="21"/>
        </w:rPr>
      </w:pPr>
      <w:r>
        <w:rPr>
          <w:color w:val="1C1C1C"/>
          <w:w w:val="105"/>
          <w:sz w:val="21"/>
        </w:rPr>
        <w:t>Revised </w:t>
      </w:r>
      <w:r>
        <w:rPr>
          <w:color w:val="0A0A0A"/>
          <w:w w:val="105"/>
          <w:sz w:val="21"/>
        </w:rPr>
        <w:t>draft Statement of Accounts </w:t>
      </w:r>
      <w:r>
        <w:rPr>
          <w:color w:val="1C1C1C"/>
          <w:w w:val="105"/>
          <w:sz w:val="21"/>
        </w:rPr>
        <w:t>(2022/23) </w:t>
      </w:r>
      <w:r>
        <w:rPr>
          <w:color w:val="0A0A0A"/>
          <w:w w:val="105"/>
          <w:sz w:val="21"/>
        </w:rPr>
        <w:t>updated </w:t>
      </w:r>
      <w:r>
        <w:rPr>
          <w:color w:val="1C1C1C"/>
          <w:w w:val="105"/>
          <w:sz w:val="21"/>
        </w:rPr>
        <w:t>from </w:t>
      </w:r>
      <w:r>
        <w:rPr>
          <w:color w:val="0A0A0A"/>
          <w:w w:val="105"/>
          <w:sz w:val="21"/>
        </w:rPr>
        <w:t>initial draft, signed on 10</w:t>
      </w:r>
      <w:r>
        <w:rPr>
          <w:color w:val="0A0A0A"/>
          <w:w w:val="105"/>
          <w:sz w:val="21"/>
          <w:vertAlign w:val="superscript"/>
        </w:rPr>
        <w:t>th</w:t>
      </w:r>
      <w:r>
        <w:rPr>
          <w:color w:val="0A0A0A"/>
          <w:w w:val="105"/>
          <w:sz w:val="21"/>
          <w:vertAlign w:val="baseline"/>
        </w:rPr>
        <w:t> </w:t>
      </w:r>
      <w:r>
        <w:rPr>
          <w:color w:val="1C1C1C"/>
          <w:w w:val="105"/>
          <w:sz w:val="21"/>
          <w:vertAlign w:val="baseline"/>
        </w:rPr>
        <w:t>January </w:t>
      </w:r>
      <w:r>
        <w:rPr>
          <w:color w:val="0A0A0A"/>
          <w:w w:val="105"/>
          <w:sz w:val="21"/>
          <w:vertAlign w:val="baseline"/>
        </w:rPr>
        <w:t>2024,</w:t>
      </w:r>
      <w:r>
        <w:rPr>
          <w:color w:val="0A0A0A"/>
          <w:spacing w:val="-1"/>
          <w:w w:val="105"/>
          <w:sz w:val="21"/>
          <w:vertAlign w:val="baseline"/>
        </w:rPr>
        <w:t> </w:t>
      </w:r>
      <w:r>
        <w:rPr>
          <w:color w:val="0A0A0A"/>
          <w:w w:val="105"/>
          <w:sz w:val="21"/>
          <w:vertAlign w:val="baseline"/>
        </w:rPr>
        <w:t>following post balance </w:t>
      </w:r>
      <w:r>
        <w:rPr>
          <w:color w:val="1C1C1C"/>
          <w:w w:val="105"/>
          <w:sz w:val="21"/>
          <w:vertAlign w:val="baseline"/>
        </w:rPr>
        <w:t>sheet</w:t>
      </w:r>
      <w:r>
        <w:rPr>
          <w:color w:val="1C1C1C"/>
          <w:spacing w:val="-3"/>
          <w:w w:val="105"/>
          <w:sz w:val="21"/>
          <w:vertAlign w:val="baseline"/>
        </w:rPr>
        <w:t> </w:t>
      </w:r>
      <w:r>
        <w:rPr>
          <w:color w:val="0A0A0A"/>
          <w:w w:val="105"/>
          <w:sz w:val="21"/>
          <w:vertAlign w:val="baseline"/>
        </w:rPr>
        <w:t>adjustments </w:t>
      </w:r>
      <w:r>
        <w:rPr>
          <w:color w:val="1C1C1C"/>
          <w:w w:val="105"/>
          <w:sz w:val="21"/>
          <w:vertAlign w:val="baseline"/>
        </w:rPr>
        <w:t>relating</w:t>
      </w:r>
      <w:r>
        <w:rPr>
          <w:color w:val="1C1C1C"/>
          <w:spacing w:val="-2"/>
          <w:w w:val="105"/>
          <w:sz w:val="21"/>
          <w:vertAlign w:val="baseline"/>
        </w:rPr>
        <w:t> </w:t>
      </w:r>
      <w:r>
        <w:rPr>
          <w:color w:val="0A0A0A"/>
          <w:w w:val="105"/>
          <w:sz w:val="21"/>
          <w:vertAlign w:val="baseline"/>
        </w:rPr>
        <w:t>to Elstree</w:t>
      </w:r>
      <w:r>
        <w:rPr>
          <w:color w:val="0A0A0A"/>
          <w:spacing w:val="-5"/>
          <w:w w:val="105"/>
          <w:sz w:val="21"/>
          <w:vertAlign w:val="baseline"/>
        </w:rPr>
        <w:t> </w:t>
      </w:r>
      <w:r>
        <w:rPr>
          <w:color w:val="0A0A0A"/>
          <w:w w:val="105"/>
          <w:sz w:val="21"/>
          <w:vertAlign w:val="baseline"/>
        </w:rPr>
        <w:t>Film Studios and Business Rates Pooling adjustment.</w:t>
      </w:r>
    </w:p>
    <w:p>
      <w:pPr>
        <w:spacing w:after="0" w:line="249" w:lineRule="auto"/>
        <w:jc w:val="left"/>
        <w:rPr>
          <w:sz w:val="21"/>
        </w:rPr>
        <w:sectPr>
          <w:footerReference w:type="even" r:id="rId9"/>
          <w:footerReference w:type="default" r:id="rId10"/>
          <w:pgSz w:w="11910" w:h="16830"/>
          <w:pgMar w:top="760" w:right="920" w:bottom="500" w:left="840" w:header="0" w:footer="308"/>
          <w:pgNumType w:start="2"/>
        </w:sect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123"/>
        <w:rPr>
          <w:sz w:val="21"/>
        </w:rPr>
      </w:pPr>
    </w:p>
    <w:p>
      <w:pPr>
        <w:spacing w:before="0"/>
        <w:ind w:left="464" w:right="433" w:firstLine="0"/>
        <w:jc w:val="center"/>
        <w:rPr>
          <w:sz w:val="21"/>
        </w:rPr>
      </w:pPr>
      <w:r>
        <w:rPr>
          <w:color w:val="080808"/>
          <w:w w:val="105"/>
          <w:sz w:val="21"/>
        </w:rPr>
        <w:t>This</w:t>
      </w:r>
      <w:r>
        <w:rPr>
          <w:color w:val="080808"/>
          <w:spacing w:val="-7"/>
          <w:w w:val="105"/>
          <w:sz w:val="21"/>
        </w:rPr>
        <w:t> </w:t>
      </w:r>
      <w:r>
        <w:rPr>
          <w:color w:val="080808"/>
          <w:w w:val="105"/>
          <w:sz w:val="21"/>
        </w:rPr>
        <w:t>page</w:t>
      </w:r>
      <w:r>
        <w:rPr>
          <w:color w:val="080808"/>
          <w:spacing w:val="-8"/>
          <w:w w:val="105"/>
          <w:sz w:val="21"/>
        </w:rPr>
        <w:t> </w:t>
      </w:r>
      <w:r>
        <w:rPr>
          <w:color w:val="080808"/>
          <w:w w:val="105"/>
          <w:sz w:val="21"/>
        </w:rPr>
        <w:t>was</w:t>
      </w:r>
      <w:r>
        <w:rPr>
          <w:color w:val="080808"/>
          <w:spacing w:val="-2"/>
          <w:w w:val="105"/>
          <w:sz w:val="21"/>
        </w:rPr>
        <w:t> </w:t>
      </w:r>
      <w:r>
        <w:rPr>
          <w:color w:val="080808"/>
          <w:w w:val="105"/>
          <w:sz w:val="21"/>
        </w:rPr>
        <w:t>left</w:t>
      </w:r>
      <w:r>
        <w:rPr>
          <w:color w:val="080808"/>
          <w:spacing w:val="-8"/>
          <w:w w:val="105"/>
          <w:sz w:val="21"/>
        </w:rPr>
        <w:t> </w:t>
      </w:r>
      <w:r>
        <w:rPr>
          <w:color w:val="080808"/>
          <w:w w:val="105"/>
          <w:sz w:val="21"/>
        </w:rPr>
        <w:t>intentionally</w:t>
      </w:r>
      <w:r>
        <w:rPr>
          <w:color w:val="080808"/>
          <w:spacing w:val="10"/>
          <w:w w:val="105"/>
          <w:sz w:val="21"/>
        </w:rPr>
        <w:t> </w:t>
      </w:r>
      <w:r>
        <w:rPr>
          <w:color w:val="080808"/>
          <w:spacing w:val="-2"/>
          <w:w w:val="105"/>
          <w:sz w:val="21"/>
        </w:rPr>
        <w:t>blank</w:t>
      </w:r>
    </w:p>
    <w:p>
      <w:pPr>
        <w:spacing w:after="0"/>
        <w:jc w:val="center"/>
        <w:rPr>
          <w:sz w:val="21"/>
        </w:rPr>
        <w:sectPr>
          <w:pgSz w:w="11910" w:h="16830"/>
          <w:pgMar w:top="1940" w:right="920" w:bottom="620" w:left="840" w:header="0" w:footer="438"/>
        </w:sectPr>
      </w:pPr>
    </w:p>
    <w:p>
      <w:pPr>
        <w:pStyle w:val="BodyText"/>
        <w:spacing w:line="134" w:lineRule="exact"/>
        <w:ind w:left="967"/>
        <w:rPr>
          <w:sz w:val="13"/>
        </w:rPr>
      </w:pPr>
      <w:r>
        <w:rPr>
          <w:position w:val="-2"/>
          <w:sz w:val="13"/>
        </w:rPr>
        <w:drawing>
          <wp:inline distT="0" distB="0" distL="0" distR="0">
            <wp:extent cx="1591806" cy="85344"/>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12" cstate="print"/>
                    <a:stretch>
                      <a:fillRect/>
                    </a:stretch>
                  </pic:blipFill>
                  <pic:spPr>
                    <a:xfrm>
                      <a:off x="0" y="0"/>
                      <a:ext cx="1591806" cy="85344"/>
                    </a:xfrm>
                    <a:prstGeom prst="rect">
                      <a:avLst/>
                    </a:prstGeom>
                  </pic:spPr>
                </pic:pic>
              </a:graphicData>
            </a:graphic>
          </wp:inline>
        </w:drawing>
      </w:r>
      <w:r>
        <w:rPr>
          <w:position w:val="-2"/>
          <w:sz w:val="13"/>
        </w:rPr>
      </w:r>
    </w:p>
    <w:p>
      <w:pPr>
        <w:pStyle w:val="BodyText"/>
        <w:spacing w:before="1"/>
        <w:rPr>
          <w:sz w:val="23"/>
        </w:rPr>
      </w:pPr>
    </w:p>
    <w:p>
      <w:pPr>
        <w:spacing w:before="1" w:line="249" w:lineRule="auto"/>
        <w:ind w:left="840" w:right="0" w:firstLine="1"/>
        <w:jc w:val="left"/>
        <w:rPr>
          <w:b/>
          <w:sz w:val="23"/>
        </w:rPr>
      </w:pPr>
      <w:r>
        <w:rPr>
          <w:b/>
          <w:color w:val="0E0E0E"/>
          <w:w w:val="105"/>
          <w:sz w:val="23"/>
        </w:rPr>
        <w:t>INDEPENDENT</w:t>
      </w:r>
      <w:r>
        <w:rPr>
          <w:b/>
          <w:color w:val="0E0E0E"/>
          <w:spacing w:val="-3"/>
          <w:w w:val="105"/>
          <w:sz w:val="23"/>
        </w:rPr>
        <w:t> </w:t>
      </w:r>
      <w:r>
        <w:rPr>
          <w:b/>
          <w:color w:val="0E0E0E"/>
          <w:w w:val="105"/>
          <w:sz w:val="23"/>
        </w:rPr>
        <w:t>AUDITOR'S</w:t>
      </w:r>
      <w:r>
        <w:rPr>
          <w:b/>
          <w:color w:val="0E0E0E"/>
          <w:spacing w:val="-13"/>
          <w:w w:val="105"/>
          <w:sz w:val="23"/>
        </w:rPr>
        <w:t> </w:t>
      </w:r>
      <w:r>
        <w:rPr>
          <w:b/>
          <w:color w:val="0E0E0E"/>
          <w:w w:val="105"/>
          <w:sz w:val="23"/>
        </w:rPr>
        <w:t>REPORT</w:t>
      </w:r>
      <w:r>
        <w:rPr>
          <w:b/>
          <w:color w:val="0E0E0E"/>
          <w:spacing w:val="-12"/>
          <w:w w:val="105"/>
          <w:sz w:val="23"/>
        </w:rPr>
        <w:t> </w:t>
      </w:r>
      <w:r>
        <w:rPr>
          <w:b/>
          <w:color w:val="0E0E0E"/>
          <w:w w:val="105"/>
          <w:sz w:val="23"/>
        </w:rPr>
        <w:t>TO</w:t>
      </w:r>
      <w:r>
        <w:rPr>
          <w:b/>
          <w:color w:val="0E0E0E"/>
          <w:spacing w:val="-17"/>
          <w:w w:val="105"/>
          <w:sz w:val="23"/>
        </w:rPr>
        <w:t> </w:t>
      </w:r>
      <w:r>
        <w:rPr>
          <w:b/>
          <w:color w:val="0E0E0E"/>
          <w:w w:val="105"/>
          <w:sz w:val="23"/>
        </w:rPr>
        <w:t>THE</w:t>
      </w:r>
      <w:r>
        <w:rPr>
          <w:b/>
          <w:color w:val="0E0E0E"/>
          <w:spacing w:val="-17"/>
          <w:w w:val="105"/>
          <w:sz w:val="23"/>
        </w:rPr>
        <w:t> </w:t>
      </w:r>
      <w:r>
        <w:rPr>
          <w:b/>
          <w:color w:val="0E0E0E"/>
          <w:w w:val="105"/>
          <w:sz w:val="23"/>
        </w:rPr>
        <w:t>MEMBERS</w:t>
      </w:r>
      <w:r>
        <w:rPr>
          <w:b/>
          <w:color w:val="0E0E0E"/>
          <w:spacing w:val="-3"/>
          <w:w w:val="105"/>
          <w:sz w:val="23"/>
        </w:rPr>
        <w:t> </w:t>
      </w:r>
      <w:r>
        <w:rPr>
          <w:b/>
          <w:color w:val="0E0E0E"/>
          <w:w w:val="105"/>
          <w:sz w:val="23"/>
        </w:rPr>
        <w:t>OF</w:t>
      </w:r>
      <w:r>
        <w:rPr>
          <w:b/>
          <w:color w:val="0E0E0E"/>
          <w:spacing w:val="-17"/>
          <w:w w:val="105"/>
          <w:sz w:val="23"/>
        </w:rPr>
        <w:t> </w:t>
      </w:r>
      <w:r>
        <w:rPr>
          <w:b/>
          <w:color w:val="0E0E0E"/>
          <w:w w:val="105"/>
          <w:sz w:val="23"/>
        </w:rPr>
        <w:t>HERTSMERE BOROUGH COUNCIL</w:t>
      </w:r>
    </w:p>
    <w:p>
      <w:pPr>
        <w:pStyle w:val="BodyText"/>
        <w:spacing w:before="2"/>
        <w:rPr>
          <w:b/>
          <w:sz w:val="23"/>
        </w:rPr>
      </w:pPr>
    </w:p>
    <w:p>
      <w:pPr>
        <w:pStyle w:val="BodyText"/>
        <w:ind w:left="837"/>
      </w:pPr>
      <w:r>
        <w:rPr>
          <w:color w:val="0E0E0E"/>
        </w:rPr>
        <w:t>The</w:t>
      </w:r>
      <w:r>
        <w:rPr>
          <w:color w:val="0E0E0E"/>
          <w:spacing w:val="-8"/>
        </w:rPr>
        <w:t> </w:t>
      </w:r>
      <w:r>
        <w:rPr>
          <w:color w:val="0E0E0E"/>
        </w:rPr>
        <w:t>2022/23</w:t>
      </w:r>
      <w:r>
        <w:rPr>
          <w:color w:val="0E0E0E"/>
          <w:spacing w:val="2"/>
        </w:rPr>
        <w:t> </w:t>
      </w:r>
      <w:r>
        <w:rPr>
          <w:color w:val="0E0E0E"/>
        </w:rPr>
        <w:t>audit</w:t>
      </w:r>
      <w:r>
        <w:rPr>
          <w:color w:val="0E0E0E"/>
          <w:spacing w:val="-5"/>
        </w:rPr>
        <w:t> </w:t>
      </w:r>
      <w:r>
        <w:rPr>
          <w:color w:val="0E0E0E"/>
        </w:rPr>
        <w:t>report</w:t>
      </w:r>
      <w:r>
        <w:rPr>
          <w:color w:val="0E0E0E"/>
          <w:spacing w:val="3"/>
        </w:rPr>
        <w:t> </w:t>
      </w:r>
      <w:r>
        <w:rPr>
          <w:color w:val="0E0E0E"/>
        </w:rPr>
        <w:t>will</w:t>
      </w:r>
      <w:r>
        <w:rPr>
          <w:color w:val="0E0E0E"/>
          <w:spacing w:val="-8"/>
        </w:rPr>
        <w:t> </w:t>
      </w:r>
      <w:r>
        <w:rPr>
          <w:color w:val="0E0E0E"/>
        </w:rPr>
        <w:t>be</w:t>
      </w:r>
      <w:r>
        <w:rPr>
          <w:color w:val="0E0E0E"/>
          <w:spacing w:val="-8"/>
        </w:rPr>
        <w:t> </w:t>
      </w:r>
      <w:r>
        <w:rPr>
          <w:color w:val="0E0E0E"/>
        </w:rPr>
        <w:t>issued</w:t>
      </w:r>
      <w:r>
        <w:rPr>
          <w:color w:val="0E0E0E"/>
          <w:spacing w:val="-2"/>
        </w:rPr>
        <w:t> </w:t>
      </w:r>
      <w:r>
        <w:rPr>
          <w:color w:val="0E0E0E"/>
        </w:rPr>
        <w:t>once</w:t>
      </w:r>
      <w:r>
        <w:rPr>
          <w:color w:val="0E0E0E"/>
          <w:spacing w:val="-1"/>
        </w:rPr>
        <w:t> </w:t>
      </w:r>
      <w:r>
        <w:rPr>
          <w:color w:val="0E0E0E"/>
        </w:rPr>
        <w:t>the</w:t>
      </w:r>
      <w:r>
        <w:rPr>
          <w:color w:val="0E0E0E"/>
          <w:spacing w:val="-4"/>
        </w:rPr>
        <w:t> </w:t>
      </w:r>
      <w:r>
        <w:rPr>
          <w:color w:val="0E0E0E"/>
        </w:rPr>
        <w:t>audit</w:t>
      </w:r>
      <w:r>
        <w:rPr>
          <w:color w:val="0E0E0E"/>
          <w:spacing w:val="1"/>
        </w:rPr>
        <w:t> </w:t>
      </w:r>
      <w:r>
        <w:rPr>
          <w:color w:val="0E0E0E"/>
        </w:rPr>
        <w:t>of</w:t>
      </w:r>
      <w:r>
        <w:rPr>
          <w:color w:val="0E0E0E"/>
          <w:spacing w:val="-10"/>
        </w:rPr>
        <w:t> </w:t>
      </w:r>
      <w:r>
        <w:rPr>
          <w:color w:val="0E0E0E"/>
        </w:rPr>
        <w:t>the</w:t>
      </w:r>
      <w:r>
        <w:rPr>
          <w:color w:val="0E0E0E"/>
          <w:spacing w:val="-3"/>
        </w:rPr>
        <w:t> </w:t>
      </w:r>
      <w:r>
        <w:rPr>
          <w:color w:val="0E0E0E"/>
        </w:rPr>
        <w:t>accounts</w:t>
      </w:r>
      <w:r>
        <w:rPr>
          <w:color w:val="0E0E0E"/>
          <w:spacing w:val="2"/>
        </w:rPr>
        <w:t> </w:t>
      </w:r>
      <w:r>
        <w:rPr>
          <w:color w:val="0E0E0E"/>
        </w:rPr>
        <w:t>has</w:t>
      </w:r>
      <w:r>
        <w:rPr>
          <w:color w:val="0E0E0E"/>
          <w:spacing w:val="-4"/>
        </w:rPr>
        <w:t> </w:t>
      </w:r>
      <w:r>
        <w:rPr>
          <w:color w:val="0E0E0E"/>
        </w:rPr>
        <w:t>been</w:t>
      </w:r>
      <w:r>
        <w:rPr>
          <w:color w:val="0E0E0E"/>
          <w:spacing w:val="-1"/>
        </w:rPr>
        <w:t> </w:t>
      </w:r>
      <w:r>
        <w:rPr>
          <w:color w:val="0E0E0E"/>
          <w:spacing w:val="-2"/>
        </w:rPr>
        <w:t>completed.</w:t>
      </w:r>
    </w:p>
    <w:p>
      <w:pPr>
        <w:spacing w:after="0"/>
        <w:sectPr>
          <w:pgSz w:w="11910" w:h="16830"/>
          <w:pgMar w:top="860" w:right="920" w:bottom="480" w:left="840" w:header="0" w:footer="308"/>
        </w:sectPr>
      </w:pPr>
    </w:p>
    <w:p>
      <w:pPr>
        <w:pStyle w:val="BodyText"/>
        <w:spacing w:line="94" w:lineRule="exact"/>
        <w:ind w:left="583"/>
        <w:rPr>
          <w:sz w:val="9"/>
        </w:rPr>
      </w:pPr>
      <w:r>
        <w:rPr>
          <w:position w:val="-1"/>
          <w:sz w:val="9"/>
        </w:rPr>
        <w:drawing>
          <wp:inline distT="0" distB="0" distL="0" distR="0">
            <wp:extent cx="1775215" cy="60007"/>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13" cstate="print"/>
                    <a:stretch>
                      <a:fillRect/>
                    </a:stretch>
                  </pic:blipFill>
                  <pic:spPr>
                    <a:xfrm>
                      <a:off x="0" y="0"/>
                      <a:ext cx="1775215" cy="60007"/>
                    </a:xfrm>
                    <a:prstGeom prst="rect">
                      <a:avLst/>
                    </a:prstGeom>
                  </pic:spPr>
                </pic:pic>
              </a:graphicData>
            </a:graphic>
          </wp:inline>
        </w:drawing>
      </w:r>
      <w:r>
        <w:rPr>
          <w:position w:val="-1"/>
          <w:sz w:val="9"/>
        </w:rPr>
      </w: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95"/>
        <w:rPr>
          <w:sz w:val="21"/>
        </w:rPr>
      </w:pPr>
    </w:p>
    <w:p>
      <w:pPr>
        <w:spacing w:before="0"/>
        <w:ind w:left="464" w:right="418" w:firstLine="0"/>
        <w:jc w:val="center"/>
        <w:rPr>
          <w:sz w:val="21"/>
        </w:rPr>
      </w:pPr>
      <w:r>
        <w:rPr>
          <w:color w:val="080808"/>
          <w:w w:val="105"/>
          <w:sz w:val="21"/>
        </w:rPr>
        <w:t>This</w:t>
      </w:r>
      <w:r>
        <w:rPr>
          <w:color w:val="080808"/>
          <w:spacing w:val="-6"/>
          <w:w w:val="105"/>
          <w:sz w:val="21"/>
        </w:rPr>
        <w:t> </w:t>
      </w:r>
      <w:r>
        <w:rPr>
          <w:color w:val="080808"/>
          <w:w w:val="105"/>
          <w:sz w:val="21"/>
        </w:rPr>
        <w:t>page</w:t>
      </w:r>
      <w:r>
        <w:rPr>
          <w:color w:val="080808"/>
          <w:spacing w:val="-4"/>
          <w:w w:val="105"/>
          <w:sz w:val="21"/>
        </w:rPr>
        <w:t> </w:t>
      </w:r>
      <w:r>
        <w:rPr>
          <w:color w:val="080808"/>
          <w:w w:val="105"/>
          <w:sz w:val="21"/>
        </w:rPr>
        <w:t>was</w:t>
      </w:r>
      <w:r>
        <w:rPr>
          <w:color w:val="080808"/>
          <w:spacing w:val="-5"/>
          <w:w w:val="105"/>
          <w:sz w:val="21"/>
        </w:rPr>
        <w:t> </w:t>
      </w:r>
      <w:r>
        <w:rPr>
          <w:color w:val="080808"/>
          <w:w w:val="105"/>
          <w:sz w:val="21"/>
        </w:rPr>
        <w:t>left</w:t>
      </w:r>
      <w:r>
        <w:rPr>
          <w:color w:val="080808"/>
          <w:spacing w:val="-9"/>
          <w:w w:val="105"/>
          <w:sz w:val="21"/>
        </w:rPr>
        <w:t> </w:t>
      </w:r>
      <w:r>
        <w:rPr>
          <w:color w:val="080808"/>
          <w:w w:val="105"/>
          <w:sz w:val="21"/>
        </w:rPr>
        <w:t>intentionally</w:t>
      </w:r>
      <w:r>
        <w:rPr>
          <w:color w:val="080808"/>
          <w:spacing w:val="10"/>
          <w:w w:val="105"/>
          <w:sz w:val="21"/>
        </w:rPr>
        <w:t> </w:t>
      </w:r>
      <w:r>
        <w:rPr>
          <w:color w:val="080808"/>
          <w:spacing w:val="-4"/>
          <w:w w:val="105"/>
          <w:sz w:val="21"/>
        </w:rPr>
        <w:t>blank</w:t>
      </w:r>
    </w:p>
    <w:p>
      <w:pPr>
        <w:spacing w:after="0"/>
        <w:jc w:val="center"/>
        <w:rPr>
          <w:sz w:val="21"/>
        </w:rPr>
        <w:sectPr>
          <w:pgSz w:w="11910" w:h="16830"/>
          <w:pgMar w:top="720" w:right="920" w:bottom="600" w:left="840" w:header="0" w:footer="438"/>
        </w:sectPr>
      </w:pPr>
    </w:p>
    <w:p>
      <w:pPr>
        <w:pStyle w:val="BodyText"/>
        <w:spacing w:line="100" w:lineRule="exact"/>
        <w:ind w:left="2967"/>
        <w:rPr>
          <w:sz w:val="10"/>
        </w:rPr>
      </w:pPr>
      <w:r>
        <w:rPr>
          <w:position w:val="-1"/>
          <w:sz w:val="10"/>
        </w:rPr>
        <w:drawing>
          <wp:inline distT="0" distB="0" distL="0" distR="0">
            <wp:extent cx="323240" cy="64007"/>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14" cstate="print"/>
                    <a:stretch>
                      <a:fillRect/>
                    </a:stretch>
                  </pic:blipFill>
                  <pic:spPr>
                    <a:xfrm>
                      <a:off x="0" y="0"/>
                      <a:ext cx="323240" cy="64007"/>
                    </a:xfrm>
                    <a:prstGeom prst="rect">
                      <a:avLst/>
                    </a:prstGeom>
                  </pic:spPr>
                </pic:pic>
              </a:graphicData>
            </a:graphic>
          </wp:inline>
        </w:drawing>
      </w:r>
      <w:r>
        <w:rPr>
          <w:position w:val="-1"/>
          <w:sz w:val="10"/>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6"/>
      </w:pPr>
    </w:p>
    <w:p>
      <w:pPr>
        <w:pStyle w:val="Heading3"/>
        <w:ind w:left="464" w:right="5"/>
        <w:jc w:val="center"/>
      </w:pPr>
      <w:r>
        <w:rPr>
          <w:color w:val="0C0C0C"/>
          <w:spacing w:val="-8"/>
        </w:rPr>
        <w:t>This</w:t>
      </w:r>
      <w:r>
        <w:rPr>
          <w:color w:val="0C0C0C"/>
          <w:spacing w:val="-5"/>
        </w:rPr>
        <w:t> </w:t>
      </w:r>
      <w:r>
        <w:rPr>
          <w:color w:val="0C0C0C"/>
          <w:spacing w:val="-8"/>
        </w:rPr>
        <w:t>page</w:t>
      </w:r>
      <w:r>
        <w:rPr>
          <w:color w:val="0C0C0C"/>
        </w:rPr>
        <w:t> </w:t>
      </w:r>
      <w:r>
        <w:rPr>
          <w:color w:val="0C0C0C"/>
          <w:spacing w:val="-8"/>
        </w:rPr>
        <w:t>was</w:t>
      </w:r>
      <w:r>
        <w:rPr>
          <w:color w:val="0C0C0C"/>
          <w:spacing w:val="-2"/>
        </w:rPr>
        <w:t> </w:t>
      </w:r>
      <w:r>
        <w:rPr>
          <w:b w:val="0"/>
          <w:color w:val="0C0C0C"/>
          <w:spacing w:val="-8"/>
          <w:sz w:val="21"/>
        </w:rPr>
        <w:t>left</w:t>
      </w:r>
      <w:r>
        <w:rPr>
          <w:b w:val="0"/>
          <w:color w:val="0C0C0C"/>
          <w:spacing w:val="-6"/>
          <w:sz w:val="21"/>
        </w:rPr>
        <w:t> </w:t>
      </w:r>
      <w:r>
        <w:rPr>
          <w:color w:val="0C0C0C"/>
          <w:spacing w:val="-8"/>
        </w:rPr>
        <w:t>intentionally</w:t>
      </w:r>
      <w:r>
        <w:rPr>
          <w:color w:val="0C0C0C"/>
          <w:spacing w:val="15"/>
        </w:rPr>
        <w:t> </w:t>
      </w:r>
      <w:r>
        <w:rPr>
          <w:color w:val="0C0C0C"/>
          <w:spacing w:val="-8"/>
        </w:rPr>
        <w:t>blank</w:t>
      </w:r>
    </w:p>
    <w:p>
      <w:pPr>
        <w:spacing w:after="0"/>
        <w:jc w:val="center"/>
        <w:sectPr>
          <w:pgSz w:w="11910" w:h="16830"/>
          <w:pgMar w:top="860" w:right="920" w:bottom="480" w:left="840" w:header="0" w:footer="308"/>
        </w:sectPr>
      </w:pPr>
    </w:p>
    <w:p>
      <w:pPr>
        <w:pStyle w:val="BodyText"/>
        <w:spacing w:line="73" w:lineRule="exact"/>
        <w:ind w:left="871"/>
        <w:rPr>
          <w:sz w:val="7"/>
        </w:rPr>
      </w:pPr>
      <w:r>
        <w:rPr>
          <w:position w:val="0"/>
          <w:sz w:val="7"/>
        </w:rPr>
        <w:drawing>
          <wp:inline distT="0" distB="0" distL="0" distR="0">
            <wp:extent cx="1324431" cy="46958"/>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15" cstate="print"/>
                    <a:stretch>
                      <a:fillRect/>
                    </a:stretch>
                  </pic:blipFill>
                  <pic:spPr>
                    <a:xfrm>
                      <a:off x="0" y="0"/>
                      <a:ext cx="1324431" cy="46958"/>
                    </a:xfrm>
                    <a:prstGeom prst="rect">
                      <a:avLst/>
                    </a:prstGeom>
                  </pic:spPr>
                </pic:pic>
              </a:graphicData>
            </a:graphic>
          </wp:inline>
        </w:drawing>
      </w:r>
      <w:r>
        <w:rPr>
          <w:position w:val="0"/>
          <w:sz w:val="7"/>
        </w:rPr>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24"/>
        <w:rPr>
          <w:b/>
          <w:sz w:val="21"/>
        </w:rPr>
      </w:pPr>
    </w:p>
    <w:p>
      <w:pPr>
        <w:spacing w:before="1"/>
        <w:ind w:left="464" w:right="380" w:firstLine="0"/>
        <w:jc w:val="center"/>
        <w:rPr>
          <w:sz w:val="21"/>
        </w:rPr>
      </w:pPr>
      <w:r>
        <w:rPr>
          <w:color w:val="0A0A0A"/>
          <w:w w:val="105"/>
          <w:sz w:val="21"/>
        </w:rPr>
        <w:t>This</w:t>
      </w:r>
      <w:r>
        <w:rPr>
          <w:color w:val="0A0A0A"/>
          <w:spacing w:val="-8"/>
          <w:w w:val="105"/>
          <w:sz w:val="21"/>
        </w:rPr>
        <w:t> </w:t>
      </w:r>
      <w:r>
        <w:rPr>
          <w:color w:val="0A0A0A"/>
          <w:w w:val="105"/>
          <w:sz w:val="21"/>
        </w:rPr>
        <w:t>page</w:t>
      </w:r>
      <w:r>
        <w:rPr>
          <w:color w:val="0A0A0A"/>
          <w:spacing w:val="-6"/>
          <w:w w:val="105"/>
          <w:sz w:val="21"/>
        </w:rPr>
        <w:t> </w:t>
      </w:r>
      <w:r>
        <w:rPr>
          <w:color w:val="0A0A0A"/>
          <w:w w:val="105"/>
          <w:sz w:val="21"/>
        </w:rPr>
        <w:t>was</w:t>
      </w:r>
      <w:r>
        <w:rPr>
          <w:color w:val="0A0A0A"/>
          <w:spacing w:val="-6"/>
          <w:w w:val="105"/>
          <w:sz w:val="21"/>
        </w:rPr>
        <w:t> </w:t>
      </w:r>
      <w:r>
        <w:rPr>
          <w:color w:val="0A0A0A"/>
          <w:w w:val="105"/>
          <w:sz w:val="21"/>
        </w:rPr>
        <w:t>left</w:t>
      </w:r>
      <w:r>
        <w:rPr>
          <w:color w:val="0A0A0A"/>
          <w:spacing w:val="-9"/>
          <w:w w:val="105"/>
          <w:sz w:val="21"/>
        </w:rPr>
        <w:t> </w:t>
      </w:r>
      <w:r>
        <w:rPr>
          <w:color w:val="0A0A0A"/>
          <w:w w:val="105"/>
          <w:sz w:val="21"/>
        </w:rPr>
        <w:t>intentionally</w:t>
      </w:r>
      <w:r>
        <w:rPr>
          <w:color w:val="0A0A0A"/>
          <w:spacing w:val="10"/>
          <w:w w:val="105"/>
          <w:sz w:val="21"/>
        </w:rPr>
        <w:t> </w:t>
      </w:r>
      <w:r>
        <w:rPr>
          <w:color w:val="0A0A0A"/>
          <w:spacing w:val="-2"/>
          <w:w w:val="105"/>
          <w:sz w:val="21"/>
        </w:rPr>
        <w:t>blank</w:t>
      </w:r>
    </w:p>
    <w:p>
      <w:pPr>
        <w:spacing w:after="0"/>
        <w:jc w:val="center"/>
        <w:rPr>
          <w:sz w:val="21"/>
        </w:rPr>
        <w:sectPr>
          <w:pgSz w:w="11910" w:h="16830"/>
          <w:pgMar w:top="740" w:right="920" w:bottom="600" w:left="840" w:header="0" w:footer="438"/>
        </w:sectPr>
      </w:pPr>
    </w:p>
    <w:p>
      <w:pPr>
        <w:pStyle w:val="BodyText"/>
        <w:spacing w:line="120" w:lineRule="exact"/>
        <w:ind w:left="2063"/>
        <w:rPr>
          <w:sz w:val="12"/>
        </w:rPr>
      </w:pPr>
      <w:r>
        <w:rPr/>
        <ve:AlternateContent>
          <ve:Choice Requires="wps">
            <w:drawing>
              <wp:anchor distT="0" distB="0" distL="0" distR="0" simplePos="0" relativeHeight="15737856" behindDoc="0" locked="0" layoutInCell="1" allowOverlap="1">
                <wp:simplePos x="0" y="0"/>
                <wp:positionH relativeFrom="page">
                  <wp:posOffset>15264</wp:posOffset>
                </wp:positionH>
                <wp:positionV relativeFrom="page">
                  <wp:posOffset>9758638</wp:posOffset>
                </wp:positionV>
                <wp:extent cx="1270" cy="57404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1270" cy="574040"/>
                        </a:xfrm>
                        <a:custGeom>
                          <a:avLst/>
                          <a:gdLst/>
                          <a:ahLst/>
                          <a:cxnLst/>
                          <a:rect l="l" t="t" r="r" b="b"/>
                          <a:pathLst>
                            <a:path w="0" h="574040">
                              <a:moveTo>
                                <a:pt x="0" y="573677"/>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37856" stroked="true" strokecolor="#000000" strokeweight=".961549pt" from="1.201936pt,813.568208pt" to="1.201936pt,768.396729pt">
                <v:stroke dashstyle="solid"/>
                <w10:wrap type="none"/>
              </v:line>
            </w:pict>
          </ve:Fallback>
        </ve:AlternateContent>
      </w:r>
      <w:r>
        <w:rPr/>
        <ve:AlternateContent>
          <ve:Choice Requires="wps">
            <w:drawing>
              <wp:anchor distT="0" distB="0" distL="0" distR="0" simplePos="0" relativeHeight="15738368" behindDoc="0" locked="0" layoutInCell="1" allowOverlap="1">
                <wp:simplePos x="0" y="0"/>
                <wp:positionH relativeFrom="page">
                  <wp:posOffset>33582</wp:posOffset>
                </wp:positionH>
                <wp:positionV relativeFrom="page">
                  <wp:posOffset>8879813</wp:posOffset>
                </wp:positionV>
                <wp:extent cx="1270" cy="57404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1270" cy="574040"/>
                        </a:xfrm>
                        <a:custGeom>
                          <a:avLst/>
                          <a:gdLst/>
                          <a:ahLst/>
                          <a:cxnLst/>
                          <a:rect l="l" t="t" r="r" b="b"/>
                          <a:pathLst>
                            <a:path w="0" h="574040">
                              <a:moveTo>
                                <a:pt x="0" y="573677"/>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38368" stroked="true" strokecolor="#000000" strokeweight=".961549pt" from="2.644258pt,744.369356pt" to="2.644258pt,699.197876pt">
                <v:stroke dashstyle="solid"/>
                <w10:wrap type="none"/>
              </v:line>
            </w:pict>
          </ve:Fallback>
        </ve:AlternateContent>
      </w:r>
      <w:r>
        <w:rPr>
          <w:position w:val="-1"/>
          <w:sz w:val="12"/>
        </w:rPr>
        <w:drawing>
          <wp:inline distT="0" distB="0" distL="0" distR="0">
            <wp:extent cx="896534" cy="76200"/>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16" cstate="print"/>
                    <a:stretch>
                      <a:fillRect/>
                    </a:stretch>
                  </pic:blipFill>
                  <pic:spPr>
                    <a:xfrm>
                      <a:off x="0" y="0"/>
                      <a:ext cx="896534" cy="76200"/>
                    </a:xfrm>
                    <a:prstGeom prst="rect">
                      <a:avLst/>
                    </a:prstGeom>
                  </pic:spPr>
                </pic:pic>
              </a:graphicData>
            </a:graphic>
          </wp:inline>
        </w:drawing>
      </w:r>
      <w:r>
        <w:rPr>
          <w:position w:val="-1"/>
          <w:sz w:val="12"/>
        </w:rPr>
      </w: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64"/>
        <w:rPr>
          <w:sz w:val="21"/>
        </w:rPr>
      </w:pPr>
    </w:p>
    <w:p>
      <w:pPr>
        <w:spacing w:before="0"/>
        <w:ind w:left="464" w:right="0" w:firstLine="0"/>
        <w:jc w:val="center"/>
        <w:rPr>
          <w:sz w:val="21"/>
        </w:rPr>
      </w:pPr>
      <w:r>
        <w:rPr>
          <w:color w:val="080808"/>
          <w:w w:val="105"/>
          <w:sz w:val="21"/>
        </w:rPr>
        <w:t>This</w:t>
      </w:r>
      <w:r>
        <w:rPr>
          <w:color w:val="080808"/>
          <w:spacing w:val="-2"/>
          <w:w w:val="105"/>
          <w:sz w:val="21"/>
        </w:rPr>
        <w:t> </w:t>
      </w:r>
      <w:r>
        <w:rPr>
          <w:color w:val="080808"/>
          <w:w w:val="105"/>
          <w:sz w:val="21"/>
        </w:rPr>
        <w:t>page</w:t>
      </w:r>
      <w:r>
        <w:rPr>
          <w:color w:val="080808"/>
          <w:spacing w:val="-3"/>
          <w:w w:val="105"/>
          <w:sz w:val="21"/>
        </w:rPr>
        <w:t> </w:t>
      </w:r>
      <w:r>
        <w:rPr>
          <w:color w:val="080808"/>
          <w:w w:val="105"/>
          <w:sz w:val="21"/>
        </w:rPr>
        <w:t>was</w:t>
      </w:r>
      <w:r>
        <w:rPr>
          <w:color w:val="080808"/>
          <w:spacing w:val="-4"/>
          <w:w w:val="105"/>
          <w:sz w:val="21"/>
        </w:rPr>
        <w:t> </w:t>
      </w:r>
      <w:r>
        <w:rPr>
          <w:color w:val="080808"/>
          <w:w w:val="105"/>
          <w:sz w:val="21"/>
        </w:rPr>
        <w:t>left</w:t>
      </w:r>
      <w:r>
        <w:rPr>
          <w:color w:val="080808"/>
          <w:spacing w:val="-6"/>
          <w:w w:val="105"/>
          <w:sz w:val="21"/>
        </w:rPr>
        <w:t> </w:t>
      </w:r>
      <w:r>
        <w:rPr>
          <w:color w:val="080808"/>
          <w:w w:val="105"/>
          <w:sz w:val="21"/>
        </w:rPr>
        <w:t>intentionally</w:t>
      </w:r>
      <w:r>
        <w:rPr>
          <w:color w:val="080808"/>
          <w:spacing w:val="6"/>
          <w:w w:val="105"/>
          <w:sz w:val="21"/>
        </w:rPr>
        <w:t> </w:t>
      </w:r>
      <w:r>
        <w:rPr>
          <w:color w:val="080808"/>
          <w:spacing w:val="-2"/>
          <w:w w:val="105"/>
          <w:sz w:val="21"/>
        </w:rPr>
        <w:t>blank</w:t>
      </w:r>
    </w:p>
    <w:p>
      <w:pPr>
        <w:spacing w:after="0"/>
        <w:jc w:val="center"/>
        <w:rPr>
          <w:sz w:val="21"/>
        </w:rPr>
        <w:sectPr>
          <w:pgSz w:w="11910" w:h="16830"/>
          <w:pgMar w:top="840" w:right="920" w:bottom="520" w:left="840" w:header="0" w:footer="308"/>
        </w:sectPr>
      </w:pPr>
    </w:p>
    <w:p>
      <w:pPr>
        <w:spacing w:before="197"/>
        <w:ind w:left="577" w:right="0" w:firstLine="0"/>
        <w:jc w:val="left"/>
        <w:rPr>
          <w:b/>
          <w:sz w:val="27"/>
        </w:rPr>
      </w:pPr>
      <w:r>
        <w:rPr>
          <w:b/>
          <w:color w:val="0A0A0A"/>
          <w:sz w:val="27"/>
        </w:rPr>
        <w:t>Narrative</w:t>
      </w:r>
      <w:r>
        <w:rPr>
          <w:b/>
          <w:color w:val="0A0A0A"/>
          <w:spacing w:val="43"/>
          <w:sz w:val="27"/>
        </w:rPr>
        <w:t> </w:t>
      </w:r>
      <w:r>
        <w:rPr>
          <w:b/>
          <w:color w:val="0A0A0A"/>
          <w:spacing w:val="-2"/>
          <w:sz w:val="27"/>
        </w:rPr>
        <w:t>Statement</w:t>
      </w:r>
    </w:p>
    <w:p>
      <w:pPr>
        <w:spacing w:before="290"/>
        <w:ind w:left="577" w:right="0" w:firstLine="0"/>
        <w:jc w:val="left"/>
        <w:rPr>
          <w:b/>
          <w:sz w:val="23"/>
        </w:rPr>
      </w:pPr>
      <w:r>
        <w:rPr>
          <w:b/>
          <w:color w:val="0A0A0A"/>
          <w:w w:val="105"/>
          <w:sz w:val="23"/>
        </w:rPr>
        <w:t>Overview</w:t>
      </w:r>
      <w:r>
        <w:rPr>
          <w:b/>
          <w:color w:val="0A0A0A"/>
          <w:spacing w:val="1"/>
          <w:w w:val="105"/>
          <w:sz w:val="23"/>
        </w:rPr>
        <w:t> </w:t>
      </w:r>
      <w:r>
        <w:rPr>
          <w:b/>
          <w:color w:val="0A0A0A"/>
          <w:w w:val="105"/>
          <w:sz w:val="23"/>
        </w:rPr>
        <w:t>from</w:t>
      </w:r>
      <w:r>
        <w:rPr>
          <w:b/>
          <w:color w:val="0A0A0A"/>
          <w:spacing w:val="-12"/>
          <w:w w:val="105"/>
          <w:sz w:val="23"/>
        </w:rPr>
        <w:t> </w:t>
      </w:r>
      <w:r>
        <w:rPr>
          <w:b/>
          <w:color w:val="0A0A0A"/>
          <w:w w:val="105"/>
          <w:sz w:val="23"/>
        </w:rPr>
        <w:t>the</w:t>
      </w:r>
      <w:r>
        <w:rPr>
          <w:b/>
          <w:color w:val="0A0A0A"/>
          <w:spacing w:val="-15"/>
          <w:w w:val="105"/>
          <w:sz w:val="23"/>
        </w:rPr>
        <w:t> </w:t>
      </w:r>
      <w:r>
        <w:rPr>
          <w:b/>
          <w:color w:val="0A0A0A"/>
          <w:w w:val="105"/>
          <w:sz w:val="23"/>
        </w:rPr>
        <w:t>Head</w:t>
      </w:r>
      <w:r>
        <w:rPr>
          <w:b/>
          <w:color w:val="0A0A0A"/>
          <w:spacing w:val="-9"/>
          <w:w w:val="105"/>
          <w:sz w:val="23"/>
        </w:rPr>
        <w:t> </w:t>
      </w:r>
      <w:r>
        <w:rPr>
          <w:b/>
          <w:color w:val="0A0A0A"/>
          <w:w w:val="105"/>
          <w:sz w:val="23"/>
        </w:rPr>
        <w:t>of</w:t>
      </w:r>
      <w:r>
        <w:rPr>
          <w:b/>
          <w:color w:val="0A0A0A"/>
          <w:spacing w:val="-17"/>
          <w:w w:val="105"/>
          <w:sz w:val="23"/>
        </w:rPr>
        <w:t> </w:t>
      </w:r>
      <w:r>
        <w:rPr>
          <w:b/>
          <w:color w:val="0A0A0A"/>
          <w:w w:val="105"/>
          <w:sz w:val="23"/>
        </w:rPr>
        <w:t>Finance</w:t>
      </w:r>
      <w:r>
        <w:rPr>
          <w:b/>
          <w:color w:val="0A0A0A"/>
          <w:spacing w:val="-3"/>
          <w:w w:val="105"/>
          <w:sz w:val="23"/>
        </w:rPr>
        <w:t> </w:t>
      </w:r>
      <w:r>
        <w:rPr>
          <w:b/>
          <w:color w:val="0A0A0A"/>
          <w:w w:val="105"/>
          <w:sz w:val="23"/>
        </w:rPr>
        <w:t>and</w:t>
      </w:r>
      <w:r>
        <w:rPr>
          <w:b/>
          <w:color w:val="0A0A0A"/>
          <w:spacing w:val="-17"/>
          <w:w w:val="105"/>
          <w:sz w:val="23"/>
        </w:rPr>
        <w:t> </w:t>
      </w:r>
      <w:r>
        <w:rPr>
          <w:b/>
          <w:color w:val="0A0A0A"/>
          <w:w w:val="105"/>
          <w:sz w:val="23"/>
        </w:rPr>
        <w:t>Business</w:t>
      </w:r>
      <w:r>
        <w:rPr>
          <w:b/>
          <w:color w:val="0A0A0A"/>
          <w:spacing w:val="1"/>
          <w:w w:val="105"/>
          <w:sz w:val="23"/>
        </w:rPr>
        <w:t> </w:t>
      </w:r>
      <w:r>
        <w:rPr>
          <w:b/>
          <w:color w:val="0A0A0A"/>
          <w:spacing w:val="-2"/>
          <w:w w:val="105"/>
          <w:sz w:val="23"/>
        </w:rPr>
        <w:t>Services</w:t>
      </w:r>
    </w:p>
    <w:p>
      <w:pPr>
        <w:pStyle w:val="BodyText"/>
        <w:spacing w:before="14"/>
        <w:rPr>
          <w:b/>
          <w:sz w:val="23"/>
        </w:rPr>
      </w:pPr>
    </w:p>
    <w:p>
      <w:pPr>
        <w:spacing w:before="0" w:line="242" w:lineRule="auto"/>
        <w:ind w:left="579" w:right="554" w:firstLine="0"/>
        <w:jc w:val="both"/>
        <w:rPr>
          <w:sz w:val="24"/>
        </w:rPr>
      </w:pPr>
      <w:r>
        <w:rPr>
          <w:color w:val="0A0A0A"/>
          <w:sz w:val="24"/>
        </w:rPr>
        <w:t>I am presenting the 2022/23 Statement of Accounts following another challenging </w:t>
      </w:r>
      <w:r>
        <w:rPr>
          <w:color w:val="0A0A0A"/>
          <w:spacing w:val="-2"/>
          <w:sz w:val="24"/>
        </w:rPr>
        <w:t>year.</w:t>
      </w:r>
    </w:p>
    <w:p>
      <w:pPr>
        <w:spacing w:before="274" w:line="240" w:lineRule="auto"/>
        <w:ind w:left="581" w:right="534" w:firstLine="1"/>
        <w:jc w:val="both"/>
        <w:rPr>
          <w:sz w:val="24"/>
        </w:rPr>
      </w:pPr>
      <w:r>
        <w:rPr>
          <w:color w:val="0A0A0A"/>
          <w:sz w:val="24"/>
        </w:rPr>
        <w:t>As a district council, Hertsmere is at the heart of the community and pivotal to the needs of its residents and businesses. Since the beginning of 2022, rapidly rising inflation and</w:t>
      </w:r>
      <w:r>
        <w:rPr>
          <w:color w:val="0A0A0A"/>
          <w:spacing w:val="-6"/>
          <w:sz w:val="24"/>
        </w:rPr>
        <w:t> </w:t>
      </w:r>
      <w:r>
        <w:rPr>
          <w:color w:val="0A0A0A"/>
          <w:sz w:val="24"/>
        </w:rPr>
        <w:t>in</w:t>
      </w:r>
      <w:r>
        <w:rPr>
          <w:color w:val="0A0A0A"/>
          <w:spacing w:val="-15"/>
          <w:sz w:val="24"/>
        </w:rPr>
        <w:t> </w:t>
      </w:r>
      <w:r>
        <w:rPr>
          <w:color w:val="0A0A0A"/>
          <w:sz w:val="24"/>
        </w:rPr>
        <w:t>particular the</w:t>
      </w:r>
      <w:r>
        <w:rPr>
          <w:color w:val="0A0A0A"/>
          <w:spacing w:val="-10"/>
          <w:sz w:val="24"/>
        </w:rPr>
        <w:t> </w:t>
      </w:r>
      <w:r>
        <w:rPr>
          <w:color w:val="0A0A0A"/>
          <w:sz w:val="24"/>
        </w:rPr>
        <w:t>increasing costs</w:t>
      </w:r>
      <w:r>
        <w:rPr>
          <w:color w:val="0A0A0A"/>
          <w:spacing w:val="-1"/>
          <w:sz w:val="24"/>
        </w:rPr>
        <w:t> </w:t>
      </w:r>
      <w:r>
        <w:rPr>
          <w:color w:val="0A0A0A"/>
          <w:sz w:val="24"/>
        </w:rPr>
        <w:t>of</w:t>
      </w:r>
      <w:r>
        <w:rPr>
          <w:color w:val="0A0A0A"/>
          <w:spacing w:val="-7"/>
          <w:sz w:val="24"/>
        </w:rPr>
        <w:t> </w:t>
      </w:r>
      <w:r>
        <w:rPr>
          <w:color w:val="0A0A0A"/>
          <w:sz w:val="24"/>
        </w:rPr>
        <w:t>utilities and</w:t>
      </w:r>
      <w:r>
        <w:rPr>
          <w:color w:val="0A0A0A"/>
          <w:spacing w:val="-9"/>
          <w:sz w:val="24"/>
        </w:rPr>
        <w:t> </w:t>
      </w:r>
      <w:r>
        <w:rPr>
          <w:color w:val="0A0A0A"/>
          <w:sz w:val="24"/>
        </w:rPr>
        <w:t>fuel</w:t>
      </w:r>
      <w:r>
        <w:rPr>
          <w:color w:val="0A0A0A"/>
          <w:spacing w:val="-8"/>
          <w:sz w:val="24"/>
        </w:rPr>
        <w:t> </w:t>
      </w:r>
      <w:r>
        <w:rPr>
          <w:color w:val="0A0A0A"/>
          <w:sz w:val="24"/>
        </w:rPr>
        <w:t>has</w:t>
      </w:r>
      <w:r>
        <w:rPr>
          <w:color w:val="0A0A0A"/>
          <w:spacing w:val="-5"/>
          <w:sz w:val="24"/>
        </w:rPr>
        <w:t> </w:t>
      </w:r>
      <w:r>
        <w:rPr>
          <w:color w:val="0A0A0A"/>
          <w:sz w:val="24"/>
        </w:rPr>
        <w:t>had a</w:t>
      </w:r>
      <w:r>
        <w:rPr>
          <w:color w:val="0A0A0A"/>
          <w:spacing w:val="-8"/>
          <w:sz w:val="24"/>
        </w:rPr>
        <w:t> </w:t>
      </w:r>
      <w:r>
        <w:rPr>
          <w:color w:val="0A0A0A"/>
          <w:sz w:val="24"/>
        </w:rPr>
        <w:t>significant impact on the lives of our residents and our local businesses as well as putting pressure on our own budgets.</w:t>
      </w:r>
    </w:p>
    <w:p>
      <w:pPr>
        <w:pStyle w:val="BodyText"/>
        <w:spacing w:before="2"/>
        <w:rPr>
          <w:sz w:val="24"/>
        </w:rPr>
      </w:pPr>
    </w:p>
    <w:p>
      <w:pPr>
        <w:spacing w:before="0" w:line="240" w:lineRule="auto"/>
        <w:ind w:left="581" w:right="526" w:firstLine="4"/>
        <w:jc w:val="both"/>
        <w:rPr>
          <w:sz w:val="24"/>
        </w:rPr>
      </w:pPr>
      <w:r>
        <w:rPr>
          <w:color w:val="0A0A0A"/>
          <w:sz w:val="24"/>
        </w:rPr>
        <w:t>Since the pandemic took hold in the UK in March 2020, we have introduced many measures to ensure the continuity of key services to support our residents and businesses including the implementation</w:t>
      </w:r>
      <w:r>
        <w:rPr>
          <w:color w:val="0A0A0A"/>
          <w:spacing w:val="-8"/>
          <w:sz w:val="24"/>
        </w:rPr>
        <w:t> </w:t>
      </w:r>
      <w:r>
        <w:rPr>
          <w:color w:val="0A0A0A"/>
          <w:sz w:val="24"/>
        </w:rPr>
        <w:t>of various Government grant funds. During 2022/23 we</w:t>
      </w:r>
      <w:r>
        <w:rPr>
          <w:color w:val="0A0A0A"/>
          <w:spacing w:val="-11"/>
          <w:sz w:val="24"/>
        </w:rPr>
        <w:t> </w:t>
      </w:r>
      <w:r>
        <w:rPr>
          <w:color w:val="0A0A0A"/>
          <w:sz w:val="24"/>
        </w:rPr>
        <w:t>implemented various measures to</w:t>
      </w:r>
      <w:r>
        <w:rPr>
          <w:color w:val="0A0A0A"/>
          <w:spacing w:val="-7"/>
          <w:sz w:val="24"/>
        </w:rPr>
        <w:t> </w:t>
      </w:r>
      <w:r>
        <w:rPr>
          <w:color w:val="0A0A0A"/>
          <w:sz w:val="24"/>
        </w:rPr>
        <w:t>support households through</w:t>
      </w:r>
      <w:r>
        <w:rPr>
          <w:color w:val="0A0A0A"/>
          <w:spacing w:val="-7"/>
          <w:sz w:val="24"/>
        </w:rPr>
        <w:t> </w:t>
      </w:r>
      <w:r>
        <w:rPr>
          <w:color w:val="0A0A0A"/>
          <w:sz w:val="24"/>
        </w:rPr>
        <w:t>the</w:t>
      </w:r>
      <w:r>
        <w:rPr>
          <w:color w:val="0A0A0A"/>
          <w:spacing w:val="-9"/>
          <w:sz w:val="24"/>
        </w:rPr>
        <w:t> </w:t>
      </w:r>
      <w:r>
        <w:rPr>
          <w:color w:val="0A0A0A"/>
          <w:sz w:val="24"/>
        </w:rPr>
        <w:t>"Cost of Living Crisis" including:</w:t>
      </w:r>
    </w:p>
    <w:p>
      <w:pPr>
        <w:pStyle w:val="BodyText"/>
        <w:spacing w:before="21"/>
        <w:rPr>
          <w:sz w:val="24"/>
        </w:rPr>
      </w:pPr>
    </w:p>
    <w:p>
      <w:pPr>
        <w:pStyle w:val="ListParagraph"/>
        <w:numPr>
          <w:ilvl w:val="0"/>
          <w:numId w:val="2"/>
        </w:numPr>
        <w:tabs>
          <w:tab w:val="left" w:leader="none" w:pos="1302"/>
          <w:tab w:val="left" w:leader="none" w:pos="1304"/>
        </w:tabs>
        <w:spacing w:before="0" w:after="0" w:line="240" w:lineRule="auto"/>
        <w:ind w:left="1302" w:right="522" w:hanging="358"/>
        <w:jc w:val="both"/>
        <w:rPr>
          <w:sz w:val="24"/>
        </w:rPr>
      </w:pPr>
      <w:r>
        <w:rPr>
          <w:color w:val="1A1A1A"/>
          <w:sz w:val="24"/>
        </w:rPr>
        <w:tab/>
      </w:r>
      <w:r>
        <w:rPr>
          <w:color w:val="0A0A0A"/>
          <w:sz w:val="24"/>
        </w:rPr>
        <w:t>We have implemented the Covid-19 Additional Relief Scheme (CARF) providing backdated rates relief for local business impacted by the pandemic that</w:t>
      </w:r>
      <w:r>
        <w:rPr>
          <w:color w:val="0A0A0A"/>
          <w:spacing w:val="-8"/>
          <w:sz w:val="24"/>
        </w:rPr>
        <w:t> </w:t>
      </w:r>
      <w:r>
        <w:rPr>
          <w:color w:val="0A0A0A"/>
          <w:sz w:val="24"/>
        </w:rPr>
        <w:t>had</w:t>
      </w:r>
      <w:r>
        <w:rPr>
          <w:color w:val="0A0A0A"/>
          <w:spacing w:val="-12"/>
          <w:sz w:val="24"/>
        </w:rPr>
        <w:t> </w:t>
      </w:r>
      <w:r>
        <w:rPr>
          <w:color w:val="0A0A0A"/>
          <w:sz w:val="24"/>
        </w:rPr>
        <w:t>not</w:t>
      </w:r>
      <w:r>
        <w:rPr>
          <w:color w:val="0A0A0A"/>
          <w:spacing w:val="-12"/>
          <w:sz w:val="24"/>
        </w:rPr>
        <w:t> </w:t>
      </w:r>
      <w:r>
        <w:rPr>
          <w:color w:val="0A0A0A"/>
          <w:sz w:val="24"/>
        </w:rPr>
        <w:t>previously received relief under</w:t>
      </w:r>
      <w:r>
        <w:rPr>
          <w:color w:val="0A0A0A"/>
          <w:spacing w:val="-2"/>
          <w:sz w:val="24"/>
        </w:rPr>
        <w:t> </w:t>
      </w:r>
      <w:r>
        <w:rPr>
          <w:color w:val="0A0A0A"/>
          <w:sz w:val="24"/>
        </w:rPr>
        <w:t>the</w:t>
      </w:r>
      <w:r>
        <w:rPr>
          <w:color w:val="0A0A0A"/>
          <w:spacing w:val="-15"/>
          <w:sz w:val="24"/>
        </w:rPr>
        <w:t> </w:t>
      </w:r>
      <w:r>
        <w:rPr>
          <w:color w:val="0A0A0A"/>
          <w:sz w:val="24"/>
        </w:rPr>
        <w:t>Retail, Hospitality and</w:t>
      </w:r>
      <w:r>
        <w:rPr>
          <w:color w:val="0A0A0A"/>
          <w:spacing w:val="-3"/>
          <w:sz w:val="24"/>
        </w:rPr>
        <w:t> </w:t>
      </w:r>
      <w:r>
        <w:rPr>
          <w:color w:val="0A0A0A"/>
          <w:sz w:val="24"/>
        </w:rPr>
        <w:t>Leisure relief scheme.</w:t>
      </w:r>
    </w:p>
    <w:p>
      <w:pPr>
        <w:pStyle w:val="ListParagraph"/>
        <w:numPr>
          <w:ilvl w:val="0"/>
          <w:numId w:val="2"/>
        </w:numPr>
        <w:tabs>
          <w:tab w:val="left" w:leader="none" w:pos="1302"/>
          <w:tab w:val="left" w:leader="none" w:pos="1309"/>
        </w:tabs>
        <w:spacing w:before="16" w:after="0" w:line="240" w:lineRule="auto"/>
        <w:ind w:left="1302" w:right="514" w:hanging="353"/>
        <w:jc w:val="both"/>
        <w:rPr>
          <w:sz w:val="24"/>
        </w:rPr>
      </w:pPr>
      <w:r>
        <w:rPr>
          <w:color w:val="1A1A1A"/>
          <w:sz w:val="24"/>
        </w:rPr>
        <w:tab/>
      </w:r>
      <w:r>
        <w:rPr>
          <w:color w:val="0A0A0A"/>
          <w:sz w:val="24"/>
        </w:rPr>
        <w:t>We </w:t>
      </w:r>
      <w:r>
        <w:rPr>
          <w:color w:val="1A1A1A"/>
          <w:sz w:val="24"/>
        </w:rPr>
        <w:t>have </w:t>
      </w:r>
      <w:r>
        <w:rPr>
          <w:color w:val="0A0A0A"/>
          <w:sz w:val="24"/>
        </w:rPr>
        <w:t>implemented the Government's Energy Rebate scheme, making payments of £150 to around </w:t>
      </w:r>
      <w:r>
        <w:rPr>
          <w:color w:val="1A1A1A"/>
          <w:sz w:val="24"/>
        </w:rPr>
        <w:t>24</w:t>
      </w:r>
      <w:r>
        <w:rPr>
          <w:color w:val="626262"/>
          <w:sz w:val="24"/>
        </w:rPr>
        <w:t>,</w:t>
      </w:r>
      <w:r>
        <w:rPr>
          <w:color w:val="1A1A1A"/>
          <w:sz w:val="24"/>
        </w:rPr>
        <w:t>500 </w:t>
      </w:r>
      <w:r>
        <w:rPr>
          <w:color w:val="0A0A0A"/>
          <w:sz w:val="24"/>
        </w:rPr>
        <w:t>households in </w:t>
      </w:r>
      <w:r>
        <w:rPr>
          <w:color w:val="1A1A1A"/>
          <w:sz w:val="24"/>
        </w:rPr>
        <w:t>council </w:t>
      </w:r>
      <w:r>
        <w:rPr>
          <w:color w:val="0A0A0A"/>
          <w:sz w:val="24"/>
        </w:rPr>
        <w:t>tax bands A-D across</w:t>
      </w:r>
      <w:r>
        <w:rPr>
          <w:color w:val="0A0A0A"/>
          <w:spacing w:val="-17"/>
          <w:sz w:val="24"/>
        </w:rPr>
        <w:t> </w:t>
      </w:r>
      <w:r>
        <w:rPr>
          <w:color w:val="1A1A1A"/>
          <w:sz w:val="24"/>
        </w:rPr>
        <w:t>the</w:t>
      </w:r>
      <w:r>
        <w:rPr>
          <w:color w:val="1A1A1A"/>
          <w:spacing w:val="-16"/>
          <w:sz w:val="24"/>
        </w:rPr>
        <w:t> </w:t>
      </w:r>
      <w:r>
        <w:rPr>
          <w:color w:val="1A1A1A"/>
          <w:sz w:val="24"/>
        </w:rPr>
        <w:t>borough.</w:t>
      </w:r>
      <w:r>
        <w:rPr>
          <w:color w:val="1A1A1A"/>
          <w:spacing w:val="-6"/>
          <w:sz w:val="24"/>
        </w:rPr>
        <w:t> </w:t>
      </w:r>
      <w:r>
        <w:rPr>
          <w:color w:val="1A1A1A"/>
          <w:sz w:val="24"/>
        </w:rPr>
        <w:t>We</w:t>
      </w:r>
      <w:r>
        <w:rPr>
          <w:color w:val="1A1A1A"/>
          <w:spacing w:val="-17"/>
          <w:sz w:val="24"/>
        </w:rPr>
        <w:t> </w:t>
      </w:r>
      <w:r>
        <w:rPr>
          <w:color w:val="1A1A1A"/>
          <w:sz w:val="24"/>
        </w:rPr>
        <w:t>have</w:t>
      </w:r>
      <w:r>
        <w:rPr>
          <w:color w:val="1A1A1A"/>
          <w:spacing w:val="-12"/>
          <w:sz w:val="24"/>
        </w:rPr>
        <w:t> </w:t>
      </w:r>
      <w:r>
        <w:rPr>
          <w:color w:val="1A1A1A"/>
          <w:sz w:val="24"/>
        </w:rPr>
        <w:t>also</w:t>
      </w:r>
      <w:r>
        <w:rPr>
          <w:color w:val="1A1A1A"/>
          <w:spacing w:val="-17"/>
          <w:sz w:val="24"/>
        </w:rPr>
        <w:t> </w:t>
      </w:r>
      <w:r>
        <w:rPr>
          <w:color w:val="2F2F2F"/>
          <w:sz w:val="24"/>
        </w:rPr>
        <w:t>introduced</w:t>
      </w:r>
      <w:r>
        <w:rPr>
          <w:color w:val="2F2F2F"/>
          <w:spacing w:val="-6"/>
          <w:sz w:val="24"/>
        </w:rPr>
        <w:t> </w:t>
      </w:r>
      <w:r>
        <w:rPr>
          <w:color w:val="1A1A1A"/>
          <w:sz w:val="24"/>
        </w:rPr>
        <w:t>a</w:t>
      </w:r>
      <w:r>
        <w:rPr>
          <w:color w:val="1A1A1A"/>
          <w:spacing w:val="-17"/>
          <w:sz w:val="24"/>
        </w:rPr>
        <w:t> </w:t>
      </w:r>
      <w:r>
        <w:rPr>
          <w:color w:val="1A1A1A"/>
          <w:sz w:val="24"/>
        </w:rPr>
        <w:t>discretionary</w:t>
      </w:r>
      <w:r>
        <w:rPr>
          <w:color w:val="1A1A1A"/>
          <w:spacing w:val="11"/>
          <w:sz w:val="24"/>
        </w:rPr>
        <w:t> </w:t>
      </w:r>
      <w:r>
        <w:rPr>
          <w:color w:val="0A0A0A"/>
          <w:sz w:val="24"/>
        </w:rPr>
        <w:t>scheme</w:t>
      </w:r>
      <w:r>
        <w:rPr>
          <w:color w:val="0A0A0A"/>
          <w:spacing w:val="-17"/>
          <w:sz w:val="24"/>
        </w:rPr>
        <w:t> </w:t>
      </w:r>
      <w:r>
        <w:rPr>
          <w:color w:val="0A0A0A"/>
          <w:sz w:val="24"/>
        </w:rPr>
        <w:t>providing a</w:t>
      </w:r>
      <w:r>
        <w:rPr>
          <w:color w:val="0A0A0A"/>
          <w:spacing w:val="-2"/>
          <w:sz w:val="24"/>
        </w:rPr>
        <w:t> </w:t>
      </w:r>
      <w:r>
        <w:rPr>
          <w:color w:val="1A1A1A"/>
          <w:sz w:val="24"/>
        </w:rPr>
        <w:t>rebate</w:t>
      </w:r>
      <w:r>
        <w:rPr>
          <w:color w:val="1A1A1A"/>
          <w:spacing w:val="-4"/>
          <w:sz w:val="24"/>
        </w:rPr>
        <w:t> </w:t>
      </w:r>
      <w:r>
        <w:rPr>
          <w:color w:val="1A1A1A"/>
          <w:sz w:val="24"/>
        </w:rPr>
        <w:t>to</w:t>
      </w:r>
      <w:r>
        <w:rPr>
          <w:color w:val="1A1A1A"/>
          <w:spacing w:val="-7"/>
          <w:sz w:val="24"/>
        </w:rPr>
        <w:t> </w:t>
      </w:r>
      <w:r>
        <w:rPr>
          <w:color w:val="1A1A1A"/>
          <w:sz w:val="24"/>
        </w:rPr>
        <w:t>over</w:t>
      </w:r>
      <w:r>
        <w:rPr>
          <w:color w:val="1A1A1A"/>
          <w:spacing w:val="-3"/>
          <w:sz w:val="24"/>
        </w:rPr>
        <w:t> </w:t>
      </w:r>
      <w:r>
        <w:rPr>
          <w:color w:val="1A1A1A"/>
          <w:sz w:val="24"/>
        </w:rPr>
        <w:t>700</w:t>
      </w:r>
      <w:r>
        <w:rPr>
          <w:color w:val="1A1A1A"/>
          <w:spacing w:val="-1"/>
          <w:sz w:val="24"/>
        </w:rPr>
        <w:t> </w:t>
      </w:r>
      <w:r>
        <w:rPr>
          <w:color w:val="1A1A1A"/>
          <w:sz w:val="24"/>
        </w:rPr>
        <w:t>vulnerable households in</w:t>
      </w:r>
      <w:r>
        <w:rPr>
          <w:color w:val="1A1A1A"/>
          <w:spacing w:val="-10"/>
          <w:sz w:val="24"/>
        </w:rPr>
        <w:t> </w:t>
      </w:r>
      <w:r>
        <w:rPr>
          <w:color w:val="1A1A1A"/>
          <w:sz w:val="24"/>
        </w:rPr>
        <w:t>bands </w:t>
      </w:r>
      <w:r>
        <w:rPr>
          <w:color w:val="0A0A0A"/>
          <w:sz w:val="24"/>
        </w:rPr>
        <w:t>E-H</w:t>
      </w:r>
      <w:r>
        <w:rPr>
          <w:color w:val="0A0A0A"/>
          <w:spacing w:val="-3"/>
          <w:sz w:val="24"/>
        </w:rPr>
        <w:t> </w:t>
      </w:r>
      <w:r>
        <w:rPr>
          <w:color w:val="0A0A0A"/>
          <w:sz w:val="24"/>
        </w:rPr>
        <w:t>and</w:t>
      </w:r>
      <w:r>
        <w:rPr>
          <w:color w:val="0A0A0A"/>
          <w:spacing w:val="-3"/>
          <w:sz w:val="24"/>
        </w:rPr>
        <w:t> </w:t>
      </w:r>
      <w:r>
        <w:rPr>
          <w:color w:val="1A1A1A"/>
          <w:sz w:val="24"/>
        </w:rPr>
        <w:t>also</w:t>
      </w:r>
      <w:r>
        <w:rPr>
          <w:color w:val="1A1A1A"/>
          <w:spacing w:val="-6"/>
          <w:sz w:val="24"/>
        </w:rPr>
        <w:t> </w:t>
      </w:r>
      <w:r>
        <w:rPr>
          <w:color w:val="1A1A1A"/>
          <w:sz w:val="24"/>
        </w:rPr>
        <w:t>a</w:t>
      </w:r>
      <w:r>
        <w:rPr>
          <w:color w:val="1A1A1A"/>
          <w:spacing w:val="-16"/>
          <w:sz w:val="24"/>
        </w:rPr>
        <w:t> </w:t>
      </w:r>
      <w:r>
        <w:rPr>
          <w:color w:val="0A0A0A"/>
          <w:sz w:val="24"/>
        </w:rPr>
        <w:t>top</w:t>
      </w:r>
      <w:r>
        <w:rPr>
          <w:color w:val="0A0A0A"/>
          <w:spacing w:val="-2"/>
          <w:sz w:val="24"/>
        </w:rPr>
        <w:t> </w:t>
      </w:r>
      <w:r>
        <w:rPr>
          <w:color w:val="0A0A0A"/>
          <w:sz w:val="24"/>
        </w:rPr>
        <w:t>up</w:t>
      </w:r>
      <w:r>
        <w:rPr>
          <w:color w:val="0A0A0A"/>
          <w:spacing w:val="-9"/>
          <w:sz w:val="24"/>
        </w:rPr>
        <w:t> </w:t>
      </w:r>
      <w:r>
        <w:rPr>
          <w:color w:val="0A0A0A"/>
          <w:sz w:val="24"/>
        </w:rPr>
        <w:t>for around </w:t>
      </w:r>
      <w:r>
        <w:rPr>
          <w:color w:val="1A1A1A"/>
          <w:sz w:val="24"/>
        </w:rPr>
        <w:t>6</w:t>
      </w:r>
      <w:r>
        <w:rPr>
          <w:color w:val="4F4F4F"/>
          <w:sz w:val="24"/>
        </w:rPr>
        <w:t>,</w:t>
      </w:r>
      <w:r>
        <w:rPr>
          <w:color w:val="1A1A1A"/>
          <w:sz w:val="24"/>
        </w:rPr>
        <w:t>500 vulnerable households </w:t>
      </w:r>
      <w:r>
        <w:rPr>
          <w:color w:val="0A0A0A"/>
          <w:sz w:val="24"/>
        </w:rPr>
        <w:t>across all</w:t>
      </w:r>
      <w:r>
        <w:rPr>
          <w:color w:val="0A0A0A"/>
          <w:spacing w:val="-1"/>
          <w:sz w:val="24"/>
        </w:rPr>
        <w:t> </w:t>
      </w:r>
      <w:r>
        <w:rPr>
          <w:color w:val="0A0A0A"/>
          <w:sz w:val="24"/>
        </w:rPr>
        <w:t>bands.</w:t>
      </w:r>
    </w:p>
    <w:p>
      <w:pPr>
        <w:pStyle w:val="ListParagraph"/>
        <w:numPr>
          <w:ilvl w:val="0"/>
          <w:numId w:val="2"/>
        </w:numPr>
        <w:tabs>
          <w:tab w:val="left" w:leader="none" w:pos="1307"/>
          <w:tab w:val="left" w:leader="none" w:pos="1309"/>
        </w:tabs>
        <w:spacing w:before="18" w:after="0" w:line="240" w:lineRule="auto"/>
        <w:ind w:left="1307" w:right="506" w:hanging="353"/>
        <w:jc w:val="both"/>
        <w:rPr>
          <w:sz w:val="24"/>
        </w:rPr>
      </w:pPr>
      <w:r>
        <w:rPr>
          <w:color w:val="1A1A1A"/>
          <w:sz w:val="24"/>
        </w:rPr>
        <w:tab/>
        <w:t>We</w:t>
      </w:r>
      <w:r>
        <w:rPr>
          <w:color w:val="1A1A1A"/>
          <w:spacing w:val="-10"/>
          <w:sz w:val="24"/>
        </w:rPr>
        <w:t> </w:t>
      </w:r>
      <w:r>
        <w:rPr>
          <w:color w:val="1A1A1A"/>
          <w:sz w:val="24"/>
        </w:rPr>
        <w:t>have</w:t>
      </w:r>
      <w:r>
        <w:rPr>
          <w:color w:val="1A1A1A"/>
          <w:spacing w:val="-9"/>
          <w:sz w:val="24"/>
        </w:rPr>
        <w:t> </w:t>
      </w:r>
      <w:r>
        <w:rPr>
          <w:color w:val="0A0A0A"/>
          <w:sz w:val="24"/>
        </w:rPr>
        <w:t>supported a</w:t>
      </w:r>
      <w:r>
        <w:rPr>
          <w:color w:val="0A0A0A"/>
          <w:spacing w:val="-7"/>
          <w:sz w:val="24"/>
        </w:rPr>
        <w:t> </w:t>
      </w:r>
      <w:r>
        <w:rPr>
          <w:color w:val="1A1A1A"/>
          <w:sz w:val="24"/>
        </w:rPr>
        <w:t>network of</w:t>
      </w:r>
      <w:r>
        <w:rPr>
          <w:color w:val="1A1A1A"/>
          <w:spacing w:val="-9"/>
          <w:sz w:val="24"/>
        </w:rPr>
        <w:t> </w:t>
      </w:r>
      <w:r>
        <w:rPr>
          <w:color w:val="1A1A1A"/>
          <w:sz w:val="24"/>
        </w:rPr>
        <w:t>warm spaces across the</w:t>
      </w:r>
      <w:r>
        <w:rPr>
          <w:color w:val="1A1A1A"/>
          <w:spacing w:val="-12"/>
          <w:sz w:val="24"/>
        </w:rPr>
        <w:t> </w:t>
      </w:r>
      <w:r>
        <w:rPr>
          <w:color w:val="1A1A1A"/>
          <w:sz w:val="24"/>
        </w:rPr>
        <w:t>borough</w:t>
      </w:r>
      <w:r>
        <w:rPr>
          <w:color w:val="1A1A1A"/>
          <w:spacing w:val="-3"/>
          <w:sz w:val="24"/>
        </w:rPr>
        <w:t> </w:t>
      </w:r>
      <w:r>
        <w:rPr>
          <w:color w:val="0A0A0A"/>
          <w:sz w:val="24"/>
        </w:rPr>
        <w:t>providing a </w:t>
      </w:r>
      <w:r>
        <w:rPr>
          <w:color w:val="1A1A1A"/>
          <w:sz w:val="24"/>
        </w:rPr>
        <w:t>safe</w:t>
      </w:r>
      <w:r>
        <w:rPr>
          <w:color w:val="1A1A1A"/>
          <w:spacing w:val="-17"/>
          <w:sz w:val="24"/>
        </w:rPr>
        <w:t> </w:t>
      </w:r>
      <w:r>
        <w:rPr>
          <w:color w:val="1A1A1A"/>
          <w:sz w:val="24"/>
        </w:rPr>
        <w:t>and</w:t>
      </w:r>
      <w:r>
        <w:rPr>
          <w:color w:val="1A1A1A"/>
          <w:spacing w:val="-13"/>
          <w:sz w:val="24"/>
        </w:rPr>
        <w:t> </w:t>
      </w:r>
      <w:r>
        <w:rPr>
          <w:color w:val="0A0A0A"/>
          <w:sz w:val="24"/>
        </w:rPr>
        <w:t>welcoming space</w:t>
      </w:r>
      <w:r>
        <w:rPr>
          <w:color w:val="0A0A0A"/>
          <w:spacing w:val="-9"/>
          <w:sz w:val="24"/>
        </w:rPr>
        <w:t> </w:t>
      </w:r>
      <w:r>
        <w:rPr>
          <w:color w:val="1A1A1A"/>
          <w:sz w:val="24"/>
        </w:rPr>
        <w:t>for</w:t>
      </w:r>
      <w:r>
        <w:rPr>
          <w:color w:val="1A1A1A"/>
          <w:spacing w:val="-17"/>
          <w:sz w:val="24"/>
        </w:rPr>
        <w:t> </w:t>
      </w:r>
      <w:r>
        <w:rPr>
          <w:color w:val="1A1A1A"/>
          <w:sz w:val="24"/>
        </w:rPr>
        <w:t>people</w:t>
      </w:r>
      <w:r>
        <w:rPr>
          <w:color w:val="1A1A1A"/>
          <w:spacing w:val="-10"/>
          <w:sz w:val="24"/>
        </w:rPr>
        <w:t> </w:t>
      </w:r>
      <w:r>
        <w:rPr>
          <w:color w:val="0A0A0A"/>
          <w:sz w:val="24"/>
        </w:rPr>
        <w:t>to</w:t>
      </w:r>
      <w:r>
        <w:rPr>
          <w:color w:val="0A0A0A"/>
          <w:spacing w:val="-8"/>
          <w:sz w:val="24"/>
        </w:rPr>
        <w:t> </w:t>
      </w:r>
      <w:r>
        <w:rPr>
          <w:color w:val="1A1A1A"/>
          <w:sz w:val="24"/>
        </w:rPr>
        <w:t>enjoy</w:t>
      </w:r>
      <w:r>
        <w:rPr>
          <w:color w:val="1A1A1A"/>
          <w:spacing w:val="-7"/>
          <w:sz w:val="24"/>
        </w:rPr>
        <w:t> </w:t>
      </w:r>
      <w:r>
        <w:rPr>
          <w:color w:val="0A0A0A"/>
          <w:sz w:val="24"/>
        </w:rPr>
        <w:t>some</w:t>
      </w:r>
      <w:r>
        <w:rPr>
          <w:color w:val="0A0A0A"/>
          <w:spacing w:val="-15"/>
          <w:sz w:val="24"/>
        </w:rPr>
        <w:t> </w:t>
      </w:r>
      <w:r>
        <w:rPr>
          <w:color w:val="0A0A0A"/>
          <w:sz w:val="24"/>
        </w:rPr>
        <w:t>company</w:t>
      </w:r>
      <w:r>
        <w:rPr>
          <w:color w:val="0A0A0A"/>
          <w:spacing w:val="-5"/>
          <w:sz w:val="24"/>
        </w:rPr>
        <w:t> </w:t>
      </w:r>
      <w:r>
        <w:rPr>
          <w:color w:val="0A0A0A"/>
          <w:sz w:val="24"/>
        </w:rPr>
        <w:t>during</w:t>
      </w:r>
      <w:r>
        <w:rPr>
          <w:color w:val="0A0A0A"/>
          <w:spacing w:val="-12"/>
          <w:sz w:val="24"/>
        </w:rPr>
        <w:t> </w:t>
      </w:r>
      <w:r>
        <w:rPr>
          <w:color w:val="0A0A0A"/>
          <w:sz w:val="24"/>
        </w:rPr>
        <w:t>the</w:t>
      </w:r>
      <w:r>
        <w:rPr>
          <w:color w:val="0A0A0A"/>
          <w:spacing w:val="-17"/>
          <w:sz w:val="24"/>
        </w:rPr>
        <w:t> </w:t>
      </w:r>
      <w:r>
        <w:rPr>
          <w:color w:val="0A0A0A"/>
          <w:sz w:val="24"/>
        </w:rPr>
        <w:t>colder </w:t>
      </w:r>
      <w:r>
        <w:rPr>
          <w:color w:val="1A1A1A"/>
          <w:spacing w:val="-2"/>
          <w:sz w:val="24"/>
        </w:rPr>
        <w:t>months.</w:t>
      </w:r>
    </w:p>
    <w:p>
      <w:pPr>
        <w:pStyle w:val="ListParagraph"/>
        <w:numPr>
          <w:ilvl w:val="0"/>
          <w:numId w:val="2"/>
        </w:numPr>
        <w:tabs>
          <w:tab w:val="left" w:leader="none" w:pos="1305"/>
          <w:tab w:val="left" w:leader="none" w:pos="1307"/>
        </w:tabs>
        <w:spacing w:before="18" w:after="0" w:line="240" w:lineRule="auto"/>
        <w:ind w:left="1307" w:right="507" w:hanging="353"/>
        <w:jc w:val="both"/>
        <w:rPr>
          <w:sz w:val="24"/>
        </w:rPr>
      </w:pPr>
      <w:r>
        <w:rPr>
          <w:color w:val="0A0A0A"/>
          <w:sz w:val="24"/>
        </w:rPr>
        <w:t>Over the summer we handed out over 6,000 free hot meals to families and individuals from hubs across the borough, made possible with funding from GMSP Foundation, The Childhood Trust and the</w:t>
      </w:r>
      <w:r>
        <w:rPr>
          <w:color w:val="0A0A0A"/>
          <w:spacing w:val="-4"/>
          <w:sz w:val="24"/>
        </w:rPr>
        <w:t> </w:t>
      </w:r>
      <w:r>
        <w:rPr>
          <w:color w:val="0A0A0A"/>
          <w:sz w:val="24"/>
        </w:rPr>
        <w:t>Akshaya Patra Foundation.</w:t>
      </w:r>
    </w:p>
    <w:p>
      <w:pPr>
        <w:pStyle w:val="ListParagraph"/>
        <w:numPr>
          <w:ilvl w:val="0"/>
          <w:numId w:val="2"/>
        </w:numPr>
        <w:tabs>
          <w:tab w:val="left" w:leader="none" w:pos="1307"/>
          <w:tab w:val="left" w:leader="none" w:pos="1309"/>
        </w:tabs>
        <w:spacing w:before="18" w:after="0" w:line="242" w:lineRule="auto"/>
        <w:ind w:left="1307" w:right="507" w:hanging="353"/>
        <w:jc w:val="both"/>
        <w:rPr>
          <w:sz w:val="24"/>
        </w:rPr>
      </w:pPr>
      <w:r>
        <w:rPr>
          <w:color w:val="1A1A1A"/>
          <w:sz w:val="24"/>
        </w:rPr>
        <w:tab/>
      </w:r>
      <w:r>
        <w:rPr>
          <w:color w:val="0A0A0A"/>
          <w:sz w:val="24"/>
        </w:rPr>
        <w:t>We</w:t>
      </w:r>
      <w:r>
        <w:rPr>
          <w:color w:val="0A0A0A"/>
          <w:spacing w:val="-11"/>
          <w:sz w:val="24"/>
        </w:rPr>
        <w:t> </w:t>
      </w:r>
      <w:r>
        <w:rPr>
          <w:color w:val="0A0A0A"/>
          <w:sz w:val="24"/>
        </w:rPr>
        <w:t>continue</w:t>
      </w:r>
      <w:r>
        <w:rPr>
          <w:color w:val="0A0A0A"/>
          <w:spacing w:val="-1"/>
          <w:sz w:val="24"/>
        </w:rPr>
        <w:t> </w:t>
      </w:r>
      <w:r>
        <w:rPr>
          <w:color w:val="0A0A0A"/>
          <w:sz w:val="24"/>
        </w:rPr>
        <w:t>to</w:t>
      </w:r>
      <w:r>
        <w:rPr>
          <w:color w:val="0A0A0A"/>
          <w:spacing w:val="-11"/>
          <w:sz w:val="24"/>
        </w:rPr>
        <w:t> </w:t>
      </w:r>
      <w:r>
        <w:rPr>
          <w:color w:val="0A0A0A"/>
          <w:sz w:val="24"/>
        </w:rPr>
        <w:t>tackle</w:t>
      </w:r>
      <w:r>
        <w:rPr>
          <w:color w:val="0A0A0A"/>
          <w:spacing w:val="-5"/>
          <w:sz w:val="24"/>
        </w:rPr>
        <w:t> </w:t>
      </w:r>
      <w:r>
        <w:rPr>
          <w:color w:val="0A0A0A"/>
          <w:sz w:val="24"/>
        </w:rPr>
        <w:t>the</w:t>
      </w:r>
      <w:r>
        <w:rPr>
          <w:color w:val="0A0A0A"/>
          <w:spacing w:val="-9"/>
          <w:sz w:val="24"/>
        </w:rPr>
        <w:t> </w:t>
      </w:r>
      <w:r>
        <w:rPr>
          <w:color w:val="0A0A0A"/>
          <w:sz w:val="24"/>
        </w:rPr>
        <w:t>increased demand for</w:t>
      </w:r>
      <w:r>
        <w:rPr>
          <w:color w:val="0A0A0A"/>
          <w:spacing w:val="-6"/>
          <w:sz w:val="24"/>
        </w:rPr>
        <w:t> </w:t>
      </w:r>
      <w:r>
        <w:rPr>
          <w:color w:val="0A0A0A"/>
          <w:sz w:val="24"/>
        </w:rPr>
        <w:t>foodbanks in</w:t>
      </w:r>
      <w:r>
        <w:rPr>
          <w:color w:val="0A0A0A"/>
          <w:spacing w:val="-16"/>
          <w:sz w:val="24"/>
        </w:rPr>
        <w:t> </w:t>
      </w:r>
      <w:r>
        <w:rPr>
          <w:color w:val="0A0A0A"/>
          <w:sz w:val="24"/>
        </w:rPr>
        <w:t>the</w:t>
      </w:r>
      <w:r>
        <w:rPr>
          <w:color w:val="0A0A0A"/>
          <w:spacing w:val="-12"/>
          <w:sz w:val="24"/>
        </w:rPr>
        <w:t> </w:t>
      </w:r>
      <w:r>
        <w:rPr>
          <w:color w:val="0A0A0A"/>
          <w:sz w:val="24"/>
        </w:rPr>
        <w:t>borough and have worked with our partners to</w:t>
      </w:r>
      <w:r>
        <w:rPr>
          <w:color w:val="0A0A0A"/>
          <w:spacing w:val="-1"/>
          <w:sz w:val="24"/>
        </w:rPr>
        <w:t> </w:t>
      </w:r>
      <w:r>
        <w:rPr>
          <w:color w:val="0A0A0A"/>
          <w:sz w:val="24"/>
        </w:rPr>
        <w:t>produce a "Worrying about Money leaflet.</w:t>
      </w:r>
    </w:p>
    <w:p>
      <w:pPr>
        <w:pStyle w:val="ListParagraph"/>
        <w:numPr>
          <w:ilvl w:val="0"/>
          <w:numId w:val="2"/>
        </w:numPr>
        <w:tabs>
          <w:tab w:val="left" w:leader="none" w:pos="1310"/>
          <w:tab w:val="left" w:leader="none" w:pos="1314"/>
        </w:tabs>
        <w:spacing w:before="17" w:after="0" w:line="237" w:lineRule="auto"/>
        <w:ind w:left="1310" w:right="506" w:hanging="356"/>
        <w:jc w:val="both"/>
        <w:rPr>
          <w:sz w:val="24"/>
        </w:rPr>
      </w:pPr>
      <w:r>
        <w:rPr>
          <w:color w:val="1A1A1A"/>
          <w:sz w:val="24"/>
        </w:rPr>
        <w:tab/>
      </w:r>
      <w:r>
        <w:rPr>
          <w:color w:val="0A0A0A"/>
          <w:sz w:val="24"/>
        </w:rPr>
        <w:t>We</w:t>
      </w:r>
      <w:r>
        <w:rPr>
          <w:color w:val="0A0A0A"/>
          <w:spacing w:val="-14"/>
          <w:sz w:val="24"/>
        </w:rPr>
        <w:t> </w:t>
      </w:r>
      <w:r>
        <w:rPr>
          <w:color w:val="0A0A0A"/>
          <w:sz w:val="24"/>
        </w:rPr>
        <w:t>continue</w:t>
      </w:r>
      <w:r>
        <w:rPr>
          <w:color w:val="0A0A0A"/>
          <w:spacing w:val="-5"/>
          <w:sz w:val="24"/>
        </w:rPr>
        <w:t> </w:t>
      </w:r>
      <w:r>
        <w:rPr>
          <w:color w:val="0A0A0A"/>
          <w:sz w:val="24"/>
        </w:rPr>
        <w:t>to</w:t>
      </w:r>
      <w:r>
        <w:rPr>
          <w:color w:val="0A0A0A"/>
          <w:spacing w:val="-12"/>
          <w:sz w:val="24"/>
        </w:rPr>
        <w:t> </w:t>
      </w:r>
      <w:r>
        <w:rPr>
          <w:color w:val="0A0A0A"/>
          <w:sz w:val="24"/>
        </w:rPr>
        <w:t>fund</w:t>
      </w:r>
      <w:r>
        <w:rPr>
          <w:color w:val="0A0A0A"/>
          <w:spacing w:val="-8"/>
          <w:sz w:val="24"/>
        </w:rPr>
        <w:t> </w:t>
      </w:r>
      <w:r>
        <w:rPr>
          <w:color w:val="0A0A0A"/>
          <w:sz w:val="24"/>
        </w:rPr>
        <w:t>Citizens Advice with</w:t>
      </w:r>
      <w:r>
        <w:rPr>
          <w:color w:val="0A0A0A"/>
          <w:spacing w:val="-9"/>
          <w:sz w:val="24"/>
        </w:rPr>
        <w:t> </w:t>
      </w:r>
      <w:r>
        <w:rPr>
          <w:color w:val="0A0A0A"/>
          <w:sz w:val="24"/>
        </w:rPr>
        <w:t>around £273k to</w:t>
      </w:r>
      <w:r>
        <w:rPr>
          <w:color w:val="0A0A0A"/>
          <w:spacing w:val="-12"/>
          <w:sz w:val="24"/>
        </w:rPr>
        <w:t> </w:t>
      </w:r>
      <w:r>
        <w:rPr>
          <w:color w:val="0A0A0A"/>
          <w:sz w:val="24"/>
        </w:rPr>
        <w:t>provide support and advice to our residents such as debt management.</w:t>
      </w:r>
    </w:p>
    <w:p>
      <w:pPr>
        <w:pStyle w:val="BodyText"/>
        <w:spacing w:before="1"/>
        <w:rPr>
          <w:sz w:val="24"/>
        </w:rPr>
      </w:pPr>
    </w:p>
    <w:p>
      <w:pPr>
        <w:spacing w:before="0" w:line="240" w:lineRule="auto"/>
        <w:ind w:left="594" w:right="481" w:hanging="3"/>
        <w:jc w:val="both"/>
        <w:rPr>
          <w:sz w:val="24"/>
        </w:rPr>
      </w:pPr>
      <w:r>
        <w:rPr>
          <w:color w:val="0A0A0A"/>
          <w:sz w:val="24"/>
        </w:rPr>
        <w:t>The 2022/23 financial year continued to be as challenging as the previous year, not only</w:t>
      </w:r>
      <w:r>
        <w:rPr>
          <w:color w:val="0A0A0A"/>
          <w:spacing w:val="-6"/>
          <w:sz w:val="24"/>
        </w:rPr>
        <w:t> </w:t>
      </w:r>
      <w:r>
        <w:rPr>
          <w:color w:val="0A0A0A"/>
          <w:sz w:val="24"/>
        </w:rPr>
        <w:t>due</w:t>
      </w:r>
      <w:r>
        <w:rPr>
          <w:color w:val="0A0A0A"/>
          <w:spacing w:val="-8"/>
          <w:sz w:val="24"/>
        </w:rPr>
        <w:t> </w:t>
      </w:r>
      <w:r>
        <w:rPr>
          <w:color w:val="0A0A0A"/>
          <w:sz w:val="24"/>
        </w:rPr>
        <w:t>to</w:t>
      </w:r>
      <w:r>
        <w:rPr>
          <w:color w:val="0A0A0A"/>
          <w:spacing w:val="-17"/>
          <w:sz w:val="24"/>
        </w:rPr>
        <w:t> </w:t>
      </w:r>
      <w:r>
        <w:rPr>
          <w:color w:val="0A0A0A"/>
          <w:sz w:val="24"/>
        </w:rPr>
        <w:t>the</w:t>
      </w:r>
      <w:r>
        <w:rPr>
          <w:color w:val="0A0A0A"/>
          <w:spacing w:val="-15"/>
          <w:sz w:val="24"/>
        </w:rPr>
        <w:t> </w:t>
      </w:r>
      <w:r>
        <w:rPr>
          <w:color w:val="0A0A0A"/>
          <w:sz w:val="24"/>
        </w:rPr>
        <w:t>extreme</w:t>
      </w:r>
      <w:r>
        <w:rPr>
          <w:color w:val="0A0A0A"/>
          <w:spacing w:val="-1"/>
          <w:sz w:val="24"/>
        </w:rPr>
        <w:t> </w:t>
      </w:r>
      <w:r>
        <w:rPr>
          <w:color w:val="0A0A0A"/>
          <w:sz w:val="24"/>
        </w:rPr>
        <w:t>economic conditions with</w:t>
      </w:r>
      <w:r>
        <w:rPr>
          <w:color w:val="0A0A0A"/>
          <w:spacing w:val="-6"/>
          <w:sz w:val="24"/>
        </w:rPr>
        <w:t> </w:t>
      </w:r>
      <w:r>
        <w:rPr>
          <w:color w:val="0A0A0A"/>
          <w:sz w:val="24"/>
        </w:rPr>
        <w:t>high</w:t>
      </w:r>
      <w:r>
        <w:rPr>
          <w:color w:val="0A0A0A"/>
          <w:spacing w:val="-13"/>
          <w:sz w:val="24"/>
        </w:rPr>
        <w:t> </w:t>
      </w:r>
      <w:r>
        <w:rPr>
          <w:color w:val="0A0A0A"/>
          <w:sz w:val="24"/>
        </w:rPr>
        <w:t>inflation and</w:t>
      </w:r>
      <w:r>
        <w:rPr>
          <w:color w:val="0A0A0A"/>
          <w:spacing w:val="-14"/>
          <w:sz w:val="24"/>
        </w:rPr>
        <w:t> </w:t>
      </w:r>
      <w:r>
        <w:rPr>
          <w:color w:val="0A0A0A"/>
          <w:sz w:val="24"/>
        </w:rPr>
        <w:t>high</w:t>
      </w:r>
      <w:r>
        <w:rPr>
          <w:color w:val="0A0A0A"/>
          <w:spacing w:val="-8"/>
          <w:sz w:val="24"/>
        </w:rPr>
        <w:t> </w:t>
      </w:r>
      <w:r>
        <w:rPr>
          <w:color w:val="0A0A0A"/>
          <w:sz w:val="24"/>
        </w:rPr>
        <w:t>interest rates which has seen large increases in the Council's operating expenditure especially in </w:t>
      </w:r>
      <w:r>
        <w:rPr>
          <w:color w:val="1A1A1A"/>
          <w:sz w:val="24"/>
        </w:rPr>
        <w:t>relation to fuel and energy costs but once </w:t>
      </w:r>
      <w:r>
        <w:rPr>
          <w:color w:val="0A0A0A"/>
          <w:sz w:val="24"/>
        </w:rPr>
        <w:t>again </w:t>
      </w:r>
      <w:r>
        <w:rPr>
          <w:color w:val="1A1A1A"/>
          <w:sz w:val="24"/>
        </w:rPr>
        <w:t>we faced uncertainty </w:t>
      </w:r>
      <w:r>
        <w:rPr>
          <w:color w:val="0A0A0A"/>
          <w:sz w:val="24"/>
        </w:rPr>
        <w:t>in </w:t>
      </w:r>
      <w:r>
        <w:rPr>
          <w:color w:val="1A1A1A"/>
          <w:sz w:val="24"/>
        </w:rPr>
        <w:t>our funding due</w:t>
      </w:r>
      <w:r>
        <w:rPr>
          <w:color w:val="1A1A1A"/>
          <w:spacing w:val="-9"/>
          <w:sz w:val="24"/>
        </w:rPr>
        <w:t> </w:t>
      </w:r>
      <w:r>
        <w:rPr>
          <w:color w:val="1A1A1A"/>
          <w:sz w:val="24"/>
        </w:rPr>
        <w:t>to</w:t>
      </w:r>
      <w:r>
        <w:rPr>
          <w:color w:val="1A1A1A"/>
          <w:spacing w:val="-9"/>
          <w:sz w:val="24"/>
        </w:rPr>
        <w:t> </w:t>
      </w:r>
      <w:r>
        <w:rPr>
          <w:color w:val="1A1A1A"/>
          <w:sz w:val="24"/>
        </w:rPr>
        <w:t>Central</w:t>
      </w:r>
      <w:r>
        <w:rPr>
          <w:color w:val="1A1A1A"/>
          <w:spacing w:val="-3"/>
          <w:sz w:val="24"/>
        </w:rPr>
        <w:t> </w:t>
      </w:r>
      <w:r>
        <w:rPr>
          <w:color w:val="1A1A1A"/>
          <w:sz w:val="24"/>
        </w:rPr>
        <w:t>Government announcing a</w:t>
      </w:r>
      <w:r>
        <w:rPr>
          <w:color w:val="1A1A1A"/>
          <w:spacing w:val="-8"/>
          <w:sz w:val="24"/>
        </w:rPr>
        <w:t> </w:t>
      </w:r>
      <w:r>
        <w:rPr>
          <w:color w:val="1A1A1A"/>
          <w:sz w:val="24"/>
        </w:rPr>
        <w:t>further one-year </w:t>
      </w:r>
      <w:r>
        <w:rPr>
          <w:color w:val="2F2F2F"/>
          <w:sz w:val="24"/>
        </w:rPr>
        <w:t>financial </w:t>
      </w:r>
      <w:r>
        <w:rPr>
          <w:color w:val="0A0A0A"/>
          <w:sz w:val="24"/>
        </w:rPr>
        <w:t>settlement </w:t>
      </w:r>
      <w:r>
        <w:rPr>
          <w:color w:val="1A1A1A"/>
          <w:sz w:val="24"/>
        </w:rPr>
        <w:t>rather than</w:t>
      </w:r>
      <w:r>
        <w:rPr>
          <w:color w:val="1A1A1A"/>
          <w:spacing w:val="-17"/>
          <w:sz w:val="24"/>
        </w:rPr>
        <w:t> </w:t>
      </w:r>
      <w:r>
        <w:rPr>
          <w:color w:val="1A1A1A"/>
          <w:sz w:val="24"/>
        </w:rPr>
        <w:t>the</w:t>
      </w:r>
      <w:r>
        <w:rPr>
          <w:color w:val="1A1A1A"/>
          <w:spacing w:val="-17"/>
          <w:sz w:val="24"/>
        </w:rPr>
        <w:t> </w:t>
      </w:r>
      <w:r>
        <w:rPr>
          <w:color w:val="0A0A0A"/>
          <w:sz w:val="24"/>
        </w:rPr>
        <w:t>anticipated</w:t>
      </w:r>
      <w:r>
        <w:rPr>
          <w:color w:val="0A0A0A"/>
          <w:spacing w:val="-11"/>
          <w:sz w:val="24"/>
        </w:rPr>
        <w:t> </w:t>
      </w:r>
      <w:r>
        <w:rPr>
          <w:color w:val="1A1A1A"/>
          <w:sz w:val="24"/>
        </w:rPr>
        <w:t>and</w:t>
      </w:r>
      <w:r>
        <w:rPr>
          <w:color w:val="1A1A1A"/>
          <w:spacing w:val="-17"/>
          <w:sz w:val="24"/>
        </w:rPr>
        <w:t> </w:t>
      </w:r>
      <w:r>
        <w:rPr>
          <w:color w:val="0A0A0A"/>
          <w:sz w:val="24"/>
        </w:rPr>
        <w:t>long</w:t>
      </w:r>
      <w:r>
        <w:rPr>
          <w:color w:val="0A0A0A"/>
          <w:spacing w:val="-14"/>
          <w:sz w:val="24"/>
        </w:rPr>
        <w:t> </w:t>
      </w:r>
      <w:r>
        <w:rPr>
          <w:color w:val="1A1A1A"/>
          <w:sz w:val="24"/>
        </w:rPr>
        <w:t>overdue</w:t>
      </w:r>
      <w:r>
        <w:rPr>
          <w:color w:val="1A1A1A"/>
          <w:spacing w:val="-13"/>
          <w:sz w:val="24"/>
        </w:rPr>
        <w:t> </w:t>
      </w:r>
      <w:r>
        <w:rPr>
          <w:color w:val="1A1A1A"/>
          <w:sz w:val="24"/>
        </w:rPr>
        <w:t>multi-year </w:t>
      </w:r>
      <w:r>
        <w:rPr>
          <w:color w:val="0A0A0A"/>
          <w:sz w:val="24"/>
        </w:rPr>
        <w:t>settlement.</w:t>
      </w:r>
      <w:r>
        <w:rPr>
          <w:color w:val="0A0A0A"/>
          <w:spacing w:val="-8"/>
          <w:sz w:val="24"/>
        </w:rPr>
        <w:t> </w:t>
      </w:r>
      <w:r>
        <w:rPr>
          <w:color w:val="0A0A0A"/>
          <w:sz w:val="24"/>
        </w:rPr>
        <w:t>The</w:t>
      </w:r>
      <w:r>
        <w:rPr>
          <w:color w:val="0A0A0A"/>
          <w:spacing w:val="-17"/>
          <w:sz w:val="24"/>
        </w:rPr>
        <w:t> </w:t>
      </w:r>
      <w:r>
        <w:rPr>
          <w:color w:val="0A0A0A"/>
          <w:sz w:val="24"/>
        </w:rPr>
        <w:t>multi-year</w:t>
      </w:r>
      <w:r>
        <w:rPr>
          <w:color w:val="0A0A0A"/>
          <w:spacing w:val="-6"/>
          <w:sz w:val="24"/>
        </w:rPr>
        <w:t> </w:t>
      </w:r>
      <w:r>
        <w:rPr>
          <w:color w:val="0A0A0A"/>
          <w:sz w:val="24"/>
        </w:rPr>
        <w:t>settlement would have</w:t>
      </w:r>
      <w:r>
        <w:rPr>
          <w:color w:val="0A0A0A"/>
          <w:spacing w:val="-4"/>
          <w:sz w:val="24"/>
        </w:rPr>
        <w:t> </w:t>
      </w:r>
      <w:r>
        <w:rPr>
          <w:color w:val="0A0A0A"/>
          <w:sz w:val="24"/>
        </w:rPr>
        <w:t>provided more budgeting and financial certainty for local authorities over </w:t>
      </w:r>
      <w:r>
        <w:rPr>
          <w:color w:val="1A1A1A"/>
          <w:sz w:val="24"/>
        </w:rPr>
        <w:t>the</w:t>
      </w:r>
      <w:r>
        <w:rPr>
          <w:color w:val="1A1A1A"/>
          <w:spacing w:val="-17"/>
          <w:sz w:val="24"/>
        </w:rPr>
        <w:t> </w:t>
      </w:r>
      <w:r>
        <w:rPr>
          <w:color w:val="1A1A1A"/>
          <w:sz w:val="24"/>
        </w:rPr>
        <w:t>medium</w:t>
      </w:r>
      <w:r>
        <w:rPr>
          <w:color w:val="1A1A1A"/>
          <w:spacing w:val="-17"/>
          <w:sz w:val="24"/>
        </w:rPr>
        <w:t> </w:t>
      </w:r>
      <w:r>
        <w:rPr>
          <w:color w:val="1A1A1A"/>
          <w:sz w:val="24"/>
        </w:rPr>
        <w:t>term</w:t>
      </w:r>
      <w:r>
        <w:rPr>
          <w:color w:val="4F4F4F"/>
          <w:sz w:val="24"/>
        </w:rPr>
        <w:t>.</w:t>
      </w:r>
      <w:r>
        <w:rPr>
          <w:color w:val="0A0A0A"/>
          <w:sz w:val="24"/>
        </w:rPr>
        <w:t>The</w:t>
      </w:r>
      <w:r>
        <w:rPr>
          <w:color w:val="0A0A0A"/>
          <w:spacing w:val="-16"/>
          <w:sz w:val="24"/>
        </w:rPr>
        <w:t> </w:t>
      </w:r>
      <w:r>
        <w:rPr>
          <w:color w:val="0A0A0A"/>
          <w:sz w:val="24"/>
        </w:rPr>
        <w:t>council</w:t>
      </w:r>
      <w:r>
        <w:rPr>
          <w:color w:val="0A0A0A"/>
          <w:spacing w:val="-16"/>
          <w:sz w:val="24"/>
        </w:rPr>
        <w:t> </w:t>
      </w:r>
      <w:r>
        <w:rPr>
          <w:color w:val="1A1A1A"/>
          <w:sz w:val="24"/>
        </w:rPr>
        <w:t>however continues to</w:t>
      </w:r>
      <w:r>
        <w:rPr>
          <w:color w:val="1A1A1A"/>
          <w:spacing w:val="-17"/>
          <w:sz w:val="24"/>
        </w:rPr>
        <w:t> </w:t>
      </w:r>
      <w:r>
        <w:rPr>
          <w:color w:val="1A1A1A"/>
          <w:sz w:val="24"/>
        </w:rPr>
        <w:t>work</w:t>
      </w:r>
      <w:r>
        <w:rPr>
          <w:color w:val="1A1A1A"/>
          <w:spacing w:val="-5"/>
          <w:sz w:val="24"/>
        </w:rPr>
        <w:t> </w:t>
      </w:r>
      <w:r>
        <w:rPr>
          <w:color w:val="1A1A1A"/>
          <w:sz w:val="24"/>
        </w:rPr>
        <w:t>towards</w:t>
      </w:r>
      <w:r>
        <w:rPr>
          <w:color w:val="1A1A1A"/>
          <w:spacing w:val="-1"/>
          <w:sz w:val="24"/>
        </w:rPr>
        <w:t> </w:t>
      </w:r>
      <w:r>
        <w:rPr>
          <w:color w:val="0A0A0A"/>
          <w:sz w:val="24"/>
        </w:rPr>
        <w:t>reducing</w:t>
      </w:r>
      <w:r>
        <w:rPr>
          <w:color w:val="0A0A0A"/>
          <w:spacing w:val="-16"/>
          <w:sz w:val="24"/>
        </w:rPr>
        <w:t> </w:t>
      </w:r>
      <w:r>
        <w:rPr>
          <w:color w:val="0A0A0A"/>
          <w:sz w:val="24"/>
        </w:rPr>
        <w:t>the</w:t>
      </w:r>
      <w:r>
        <w:rPr>
          <w:color w:val="0A0A0A"/>
          <w:spacing w:val="-17"/>
          <w:sz w:val="24"/>
        </w:rPr>
        <w:t> </w:t>
      </w:r>
      <w:r>
        <w:rPr>
          <w:color w:val="0A0A0A"/>
          <w:sz w:val="24"/>
        </w:rPr>
        <w:t>funding </w:t>
      </w:r>
      <w:r>
        <w:rPr>
          <w:color w:val="1A1A1A"/>
          <w:sz w:val="24"/>
        </w:rPr>
        <w:t>gap identified in its </w:t>
      </w:r>
      <w:r>
        <w:rPr>
          <w:color w:val="0A0A0A"/>
          <w:sz w:val="24"/>
        </w:rPr>
        <w:t>medium </w:t>
      </w:r>
      <w:r>
        <w:rPr>
          <w:color w:val="1A1A1A"/>
          <w:sz w:val="24"/>
        </w:rPr>
        <w:t>term financial plan and to</w:t>
      </w:r>
      <w:r>
        <w:rPr>
          <w:color w:val="1A1A1A"/>
          <w:spacing w:val="-8"/>
          <w:sz w:val="24"/>
        </w:rPr>
        <w:t> </w:t>
      </w:r>
      <w:r>
        <w:rPr>
          <w:color w:val="0A0A0A"/>
          <w:sz w:val="24"/>
        </w:rPr>
        <w:t>produce a</w:t>
      </w:r>
      <w:r>
        <w:rPr>
          <w:color w:val="0A0A0A"/>
          <w:spacing w:val="-1"/>
          <w:sz w:val="24"/>
        </w:rPr>
        <w:t> </w:t>
      </w:r>
      <w:r>
        <w:rPr>
          <w:color w:val="0A0A0A"/>
          <w:sz w:val="24"/>
        </w:rPr>
        <w:t>balanced budget in </w:t>
      </w:r>
      <w:r>
        <w:rPr>
          <w:color w:val="1A1A1A"/>
          <w:sz w:val="24"/>
        </w:rPr>
        <w:t>an</w:t>
      </w:r>
      <w:r>
        <w:rPr>
          <w:color w:val="1A1A1A"/>
          <w:spacing w:val="-17"/>
          <w:sz w:val="24"/>
        </w:rPr>
        <w:t> </w:t>
      </w:r>
      <w:r>
        <w:rPr>
          <w:color w:val="1A1A1A"/>
          <w:sz w:val="24"/>
        </w:rPr>
        <w:t>extremely</w:t>
      </w:r>
      <w:r>
        <w:rPr>
          <w:color w:val="1A1A1A"/>
          <w:spacing w:val="-8"/>
          <w:sz w:val="24"/>
        </w:rPr>
        <w:t> </w:t>
      </w:r>
      <w:r>
        <w:rPr>
          <w:color w:val="1A1A1A"/>
          <w:sz w:val="24"/>
        </w:rPr>
        <w:t>challenging</w:t>
      </w:r>
      <w:r>
        <w:rPr>
          <w:color w:val="1A1A1A"/>
          <w:spacing w:val="-3"/>
          <w:sz w:val="24"/>
        </w:rPr>
        <w:t> </w:t>
      </w:r>
      <w:r>
        <w:rPr>
          <w:color w:val="2F2F2F"/>
          <w:sz w:val="24"/>
        </w:rPr>
        <w:t>financial</w:t>
      </w:r>
      <w:r>
        <w:rPr>
          <w:color w:val="2F2F2F"/>
          <w:spacing w:val="-6"/>
          <w:sz w:val="24"/>
        </w:rPr>
        <w:t> </w:t>
      </w:r>
      <w:r>
        <w:rPr>
          <w:color w:val="1A1A1A"/>
          <w:sz w:val="24"/>
        </w:rPr>
        <w:t>climate</w:t>
      </w:r>
      <w:r>
        <w:rPr>
          <w:color w:val="626262"/>
          <w:sz w:val="24"/>
        </w:rPr>
        <w:t>.</w:t>
      </w:r>
      <w:r>
        <w:rPr>
          <w:color w:val="626262"/>
          <w:spacing w:val="-17"/>
          <w:sz w:val="24"/>
        </w:rPr>
        <w:t> </w:t>
      </w:r>
      <w:r>
        <w:rPr>
          <w:color w:val="1A1A1A"/>
          <w:sz w:val="24"/>
        </w:rPr>
        <w:t>We</w:t>
      </w:r>
      <w:r>
        <w:rPr>
          <w:color w:val="1A1A1A"/>
          <w:spacing w:val="-17"/>
          <w:sz w:val="24"/>
        </w:rPr>
        <w:t> </w:t>
      </w:r>
      <w:r>
        <w:rPr>
          <w:color w:val="0A0A0A"/>
          <w:sz w:val="24"/>
        </w:rPr>
        <w:t>continue</w:t>
      </w:r>
      <w:r>
        <w:rPr>
          <w:color w:val="0A0A0A"/>
          <w:spacing w:val="-1"/>
          <w:sz w:val="24"/>
        </w:rPr>
        <w:t> </w:t>
      </w:r>
      <w:r>
        <w:rPr>
          <w:color w:val="0A0A0A"/>
          <w:sz w:val="24"/>
        </w:rPr>
        <w:t>to</w:t>
      </w:r>
      <w:r>
        <w:rPr>
          <w:color w:val="0A0A0A"/>
          <w:spacing w:val="-17"/>
          <w:sz w:val="24"/>
        </w:rPr>
        <w:t> </w:t>
      </w:r>
      <w:r>
        <w:rPr>
          <w:color w:val="0A0A0A"/>
          <w:sz w:val="24"/>
        </w:rPr>
        <w:t>reduce</w:t>
      </w:r>
      <w:r>
        <w:rPr>
          <w:color w:val="0A0A0A"/>
          <w:spacing w:val="-1"/>
          <w:sz w:val="24"/>
        </w:rPr>
        <w:t> </w:t>
      </w:r>
      <w:r>
        <w:rPr>
          <w:color w:val="0A0A0A"/>
          <w:sz w:val="24"/>
        </w:rPr>
        <w:t>reliance on</w:t>
      </w:r>
      <w:r>
        <w:rPr>
          <w:color w:val="0A0A0A"/>
          <w:spacing w:val="-17"/>
          <w:sz w:val="24"/>
        </w:rPr>
        <w:t> </w:t>
      </w:r>
      <w:r>
        <w:rPr>
          <w:color w:val="0A0A0A"/>
          <w:sz w:val="24"/>
        </w:rPr>
        <w:t>the</w:t>
      </w:r>
      <w:r>
        <w:rPr>
          <w:color w:val="0A0A0A"/>
          <w:spacing w:val="-16"/>
          <w:sz w:val="24"/>
        </w:rPr>
        <w:t> </w:t>
      </w:r>
      <w:r>
        <w:rPr>
          <w:color w:val="0A0A0A"/>
          <w:sz w:val="24"/>
        </w:rPr>
        <w:t>New Homes Bonus </w:t>
      </w:r>
      <w:r>
        <w:rPr>
          <w:b/>
          <w:color w:val="0A0A0A"/>
          <w:sz w:val="23"/>
        </w:rPr>
        <w:t>(NHB) </w:t>
      </w:r>
      <w:r>
        <w:rPr>
          <w:color w:val="0A0A0A"/>
          <w:sz w:val="24"/>
        </w:rPr>
        <w:t>due to the uncertain future of this funding and also the use of business rates</w:t>
      </w:r>
      <w:r>
        <w:rPr>
          <w:color w:val="0A0A0A"/>
          <w:spacing w:val="-7"/>
          <w:sz w:val="24"/>
        </w:rPr>
        <w:t> </w:t>
      </w:r>
      <w:r>
        <w:rPr>
          <w:color w:val="0A0A0A"/>
          <w:sz w:val="24"/>
        </w:rPr>
        <w:t>growth</w:t>
      </w:r>
      <w:r>
        <w:rPr>
          <w:color w:val="0A0A0A"/>
          <w:spacing w:val="-3"/>
          <w:sz w:val="24"/>
        </w:rPr>
        <w:t> </w:t>
      </w:r>
      <w:r>
        <w:rPr>
          <w:color w:val="0A0A0A"/>
          <w:sz w:val="24"/>
        </w:rPr>
        <w:t>due</w:t>
      </w:r>
      <w:r>
        <w:rPr>
          <w:color w:val="0A0A0A"/>
          <w:spacing w:val="-11"/>
          <w:sz w:val="24"/>
        </w:rPr>
        <w:t> </w:t>
      </w:r>
      <w:r>
        <w:rPr>
          <w:color w:val="0A0A0A"/>
          <w:sz w:val="24"/>
        </w:rPr>
        <w:t>to</w:t>
      </w:r>
      <w:r>
        <w:rPr>
          <w:color w:val="0A0A0A"/>
          <w:spacing w:val="-9"/>
          <w:sz w:val="24"/>
        </w:rPr>
        <w:t> </w:t>
      </w:r>
      <w:r>
        <w:rPr>
          <w:color w:val="0A0A0A"/>
          <w:sz w:val="24"/>
        </w:rPr>
        <w:t>the</w:t>
      </w:r>
      <w:r>
        <w:rPr>
          <w:color w:val="0A0A0A"/>
          <w:spacing w:val="-16"/>
          <w:sz w:val="24"/>
        </w:rPr>
        <w:t> </w:t>
      </w:r>
      <w:r>
        <w:rPr>
          <w:color w:val="0A0A0A"/>
          <w:sz w:val="24"/>
        </w:rPr>
        <w:t>pending review of</w:t>
      </w:r>
      <w:r>
        <w:rPr>
          <w:color w:val="0A0A0A"/>
          <w:spacing w:val="-11"/>
          <w:sz w:val="24"/>
        </w:rPr>
        <w:t> </w:t>
      </w:r>
      <w:r>
        <w:rPr>
          <w:color w:val="0A0A0A"/>
          <w:sz w:val="24"/>
        </w:rPr>
        <w:t>the</w:t>
      </w:r>
      <w:r>
        <w:rPr>
          <w:color w:val="0A0A0A"/>
          <w:spacing w:val="-6"/>
          <w:sz w:val="24"/>
        </w:rPr>
        <w:t> </w:t>
      </w:r>
      <w:r>
        <w:rPr>
          <w:color w:val="0A0A0A"/>
          <w:sz w:val="24"/>
        </w:rPr>
        <w:t>system for</w:t>
      </w:r>
      <w:r>
        <w:rPr>
          <w:color w:val="0A0A0A"/>
          <w:spacing w:val="-3"/>
          <w:sz w:val="24"/>
        </w:rPr>
        <w:t> </w:t>
      </w:r>
      <w:r>
        <w:rPr>
          <w:color w:val="0A0A0A"/>
          <w:sz w:val="24"/>
        </w:rPr>
        <w:t>the</w:t>
      </w:r>
      <w:r>
        <w:rPr>
          <w:color w:val="0A0A0A"/>
          <w:spacing w:val="-6"/>
          <w:sz w:val="24"/>
        </w:rPr>
        <w:t> </w:t>
      </w:r>
      <w:r>
        <w:rPr>
          <w:color w:val="0A0A0A"/>
          <w:sz w:val="24"/>
        </w:rPr>
        <w:t>redistribution</w:t>
      </w:r>
      <w:r>
        <w:rPr>
          <w:color w:val="0A0A0A"/>
          <w:spacing w:val="-11"/>
          <w:sz w:val="24"/>
        </w:rPr>
        <w:t> </w:t>
      </w:r>
      <w:r>
        <w:rPr>
          <w:color w:val="0A0A0A"/>
          <w:sz w:val="24"/>
        </w:rPr>
        <w:t>of business rates, which is now overdue.</w:t>
      </w:r>
    </w:p>
    <w:p>
      <w:pPr>
        <w:spacing w:after="0" w:line="240" w:lineRule="auto"/>
        <w:jc w:val="both"/>
        <w:rPr>
          <w:sz w:val="24"/>
        </w:rPr>
        <w:sectPr>
          <w:headerReference w:type="default" r:id="rId17"/>
          <w:headerReference w:type="even" r:id="rId18"/>
          <w:footerReference w:type="default" r:id="rId19"/>
          <w:footerReference w:type="even" r:id="rId20"/>
          <w:pgSz w:w="11910" w:h="16830"/>
          <w:pgMar w:top="620" w:right="920" w:bottom="620" w:left="840" w:header="426" w:footer="434"/>
          <w:pgNumType w:start="9"/>
        </w:sectPr>
      </w:pPr>
    </w:p>
    <w:p>
      <w:pPr>
        <w:spacing w:before="206" w:line="249" w:lineRule="auto"/>
        <w:ind w:left="817" w:right="264" w:firstLine="26"/>
        <w:jc w:val="both"/>
        <w:rPr>
          <w:sz w:val="23"/>
        </w:rPr>
      </w:pPr>
      <w:r>
        <w:rPr>
          <w:color w:val="151515"/>
          <w:w w:val="105"/>
          <w:sz w:val="23"/>
        </w:rPr>
        <w:t>We</w:t>
      </w:r>
      <w:r>
        <w:rPr>
          <w:color w:val="151515"/>
          <w:spacing w:val="-17"/>
          <w:w w:val="105"/>
          <w:sz w:val="23"/>
        </w:rPr>
        <w:t> </w:t>
      </w:r>
      <w:r>
        <w:rPr>
          <w:color w:val="151515"/>
          <w:w w:val="105"/>
          <w:sz w:val="23"/>
        </w:rPr>
        <w:t>also</w:t>
      </w:r>
      <w:r>
        <w:rPr>
          <w:color w:val="151515"/>
          <w:spacing w:val="-17"/>
          <w:w w:val="105"/>
          <w:sz w:val="23"/>
        </w:rPr>
        <w:t> </w:t>
      </w:r>
      <w:r>
        <w:rPr>
          <w:color w:val="151515"/>
          <w:w w:val="105"/>
          <w:sz w:val="23"/>
        </w:rPr>
        <w:t>face</w:t>
      </w:r>
      <w:r>
        <w:rPr>
          <w:color w:val="151515"/>
          <w:spacing w:val="-17"/>
          <w:w w:val="105"/>
          <w:sz w:val="23"/>
        </w:rPr>
        <w:t> </w:t>
      </w:r>
      <w:r>
        <w:rPr>
          <w:color w:val="151515"/>
          <w:w w:val="105"/>
          <w:sz w:val="23"/>
        </w:rPr>
        <w:t>uncertainty</w:t>
      </w:r>
      <w:r>
        <w:rPr>
          <w:color w:val="151515"/>
          <w:spacing w:val="-17"/>
          <w:w w:val="105"/>
          <w:sz w:val="23"/>
        </w:rPr>
        <w:t> </w:t>
      </w:r>
      <w:r>
        <w:rPr>
          <w:color w:val="151515"/>
          <w:w w:val="105"/>
          <w:sz w:val="23"/>
        </w:rPr>
        <w:t>in</w:t>
      </w:r>
      <w:r>
        <w:rPr>
          <w:color w:val="151515"/>
          <w:spacing w:val="-16"/>
          <w:w w:val="105"/>
          <w:sz w:val="23"/>
        </w:rPr>
        <w:t> </w:t>
      </w:r>
      <w:r>
        <w:rPr>
          <w:color w:val="151515"/>
          <w:w w:val="105"/>
          <w:sz w:val="23"/>
        </w:rPr>
        <w:t>some</w:t>
      </w:r>
      <w:r>
        <w:rPr>
          <w:color w:val="151515"/>
          <w:spacing w:val="-17"/>
          <w:w w:val="105"/>
          <w:sz w:val="23"/>
        </w:rPr>
        <w:t> </w:t>
      </w:r>
      <w:r>
        <w:rPr>
          <w:color w:val="151515"/>
          <w:w w:val="105"/>
          <w:sz w:val="23"/>
        </w:rPr>
        <w:t>of</w:t>
      </w:r>
      <w:r>
        <w:rPr>
          <w:color w:val="151515"/>
          <w:spacing w:val="-17"/>
          <w:w w:val="105"/>
          <w:sz w:val="23"/>
        </w:rPr>
        <w:t> </w:t>
      </w:r>
      <w:r>
        <w:rPr>
          <w:color w:val="151515"/>
          <w:w w:val="105"/>
          <w:sz w:val="23"/>
        </w:rPr>
        <w:t>our</w:t>
      </w:r>
      <w:r>
        <w:rPr>
          <w:color w:val="151515"/>
          <w:spacing w:val="-16"/>
          <w:w w:val="105"/>
          <w:sz w:val="23"/>
        </w:rPr>
        <w:t> </w:t>
      </w:r>
      <w:r>
        <w:rPr>
          <w:color w:val="151515"/>
          <w:w w:val="105"/>
          <w:sz w:val="23"/>
        </w:rPr>
        <w:t>own</w:t>
      </w:r>
      <w:r>
        <w:rPr>
          <w:color w:val="151515"/>
          <w:spacing w:val="-11"/>
          <w:w w:val="105"/>
          <w:sz w:val="23"/>
        </w:rPr>
        <w:t> </w:t>
      </w:r>
      <w:r>
        <w:rPr>
          <w:color w:val="151515"/>
          <w:w w:val="105"/>
          <w:sz w:val="23"/>
        </w:rPr>
        <w:t>funding</w:t>
      </w:r>
      <w:r>
        <w:rPr>
          <w:color w:val="151515"/>
          <w:spacing w:val="-10"/>
          <w:w w:val="105"/>
          <w:sz w:val="23"/>
        </w:rPr>
        <w:t> </w:t>
      </w:r>
      <w:r>
        <w:rPr>
          <w:color w:val="151515"/>
          <w:w w:val="105"/>
          <w:sz w:val="23"/>
        </w:rPr>
        <w:t>sources</w:t>
      </w:r>
      <w:r>
        <w:rPr>
          <w:color w:val="151515"/>
          <w:spacing w:val="-3"/>
          <w:w w:val="105"/>
          <w:sz w:val="23"/>
        </w:rPr>
        <w:t> </w:t>
      </w:r>
      <w:r>
        <w:rPr>
          <w:color w:val="151515"/>
          <w:w w:val="105"/>
          <w:sz w:val="23"/>
        </w:rPr>
        <w:t>which</w:t>
      </w:r>
      <w:r>
        <w:rPr>
          <w:color w:val="151515"/>
          <w:spacing w:val="-17"/>
          <w:w w:val="105"/>
          <w:sz w:val="23"/>
        </w:rPr>
        <w:t> </w:t>
      </w:r>
      <w:r>
        <w:rPr>
          <w:color w:val="151515"/>
          <w:w w:val="105"/>
          <w:sz w:val="23"/>
        </w:rPr>
        <w:t>can</w:t>
      </w:r>
      <w:r>
        <w:rPr>
          <w:color w:val="151515"/>
          <w:spacing w:val="-17"/>
          <w:w w:val="105"/>
          <w:sz w:val="23"/>
        </w:rPr>
        <w:t> </w:t>
      </w:r>
      <w:r>
        <w:rPr>
          <w:color w:val="151515"/>
          <w:w w:val="105"/>
          <w:sz w:val="23"/>
        </w:rPr>
        <w:t>be</w:t>
      </w:r>
      <w:r>
        <w:rPr>
          <w:color w:val="151515"/>
          <w:spacing w:val="-17"/>
          <w:w w:val="105"/>
          <w:sz w:val="23"/>
        </w:rPr>
        <w:t> </w:t>
      </w:r>
      <w:r>
        <w:rPr>
          <w:color w:val="151515"/>
          <w:w w:val="105"/>
          <w:sz w:val="23"/>
        </w:rPr>
        <w:t>dependent on</w:t>
      </w:r>
      <w:r>
        <w:rPr>
          <w:color w:val="151515"/>
          <w:spacing w:val="-17"/>
          <w:w w:val="105"/>
          <w:sz w:val="23"/>
        </w:rPr>
        <w:t> </w:t>
      </w:r>
      <w:r>
        <w:rPr>
          <w:color w:val="151515"/>
          <w:w w:val="105"/>
          <w:sz w:val="23"/>
        </w:rPr>
        <w:t>certain</w:t>
      </w:r>
      <w:r>
        <w:rPr>
          <w:color w:val="151515"/>
          <w:spacing w:val="-17"/>
          <w:w w:val="105"/>
          <w:sz w:val="23"/>
        </w:rPr>
        <w:t> </w:t>
      </w:r>
      <w:r>
        <w:rPr>
          <w:color w:val="151515"/>
          <w:w w:val="105"/>
          <w:sz w:val="23"/>
        </w:rPr>
        <w:t>external</w:t>
      </w:r>
      <w:r>
        <w:rPr>
          <w:color w:val="151515"/>
          <w:spacing w:val="-17"/>
          <w:w w:val="105"/>
          <w:sz w:val="23"/>
        </w:rPr>
        <w:t> </w:t>
      </w:r>
      <w:r>
        <w:rPr>
          <w:color w:val="151515"/>
          <w:w w:val="105"/>
          <w:sz w:val="23"/>
        </w:rPr>
        <w:t>drivers</w:t>
      </w:r>
      <w:r>
        <w:rPr>
          <w:color w:val="151515"/>
          <w:spacing w:val="-8"/>
          <w:w w:val="105"/>
          <w:sz w:val="23"/>
        </w:rPr>
        <w:t> </w:t>
      </w:r>
      <w:r>
        <w:rPr>
          <w:color w:val="151515"/>
          <w:w w:val="105"/>
          <w:sz w:val="23"/>
        </w:rPr>
        <w:t>as</w:t>
      </w:r>
      <w:r>
        <w:rPr>
          <w:color w:val="151515"/>
          <w:spacing w:val="-16"/>
          <w:w w:val="105"/>
          <w:sz w:val="23"/>
        </w:rPr>
        <w:t> </w:t>
      </w:r>
      <w:r>
        <w:rPr>
          <w:color w:val="151515"/>
          <w:w w:val="105"/>
          <w:sz w:val="23"/>
        </w:rPr>
        <w:t>well</w:t>
      </w:r>
      <w:r>
        <w:rPr>
          <w:color w:val="151515"/>
          <w:spacing w:val="-15"/>
          <w:w w:val="105"/>
          <w:sz w:val="23"/>
        </w:rPr>
        <w:t> </w:t>
      </w:r>
      <w:r>
        <w:rPr>
          <w:color w:val="151515"/>
          <w:w w:val="105"/>
          <w:sz w:val="23"/>
        </w:rPr>
        <w:t>as</w:t>
      </w:r>
      <w:r>
        <w:rPr>
          <w:color w:val="151515"/>
          <w:spacing w:val="-13"/>
          <w:w w:val="105"/>
          <w:sz w:val="23"/>
        </w:rPr>
        <w:t> </w:t>
      </w:r>
      <w:r>
        <w:rPr>
          <w:color w:val="151515"/>
          <w:w w:val="105"/>
          <w:sz w:val="23"/>
        </w:rPr>
        <w:t>factors</w:t>
      </w:r>
      <w:r>
        <w:rPr>
          <w:color w:val="151515"/>
          <w:spacing w:val="-7"/>
          <w:w w:val="105"/>
          <w:sz w:val="23"/>
        </w:rPr>
        <w:t> </w:t>
      </w:r>
      <w:r>
        <w:rPr>
          <w:color w:val="151515"/>
          <w:w w:val="105"/>
          <w:sz w:val="23"/>
        </w:rPr>
        <w:t>at</w:t>
      </w:r>
      <w:r>
        <w:rPr>
          <w:color w:val="151515"/>
          <w:spacing w:val="-16"/>
          <w:w w:val="105"/>
          <w:sz w:val="23"/>
        </w:rPr>
        <w:t> </w:t>
      </w:r>
      <w:r>
        <w:rPr>
          <w:color w:val="151515"/>
          <w:w w:val="105"/>
          <w:sz w:val="23"/>
        </w:rPr>
        <w:t>play</w:t>
      </w:r>
      <w:r>
        <w:rPr>
          <w:color w:val="151515"/>
          <w:spacing w:val="-14"/>
          <w:w w:val="105"/>
          <w:sz w:val="23"/>
        </w:rPr>
        <w:t> </w:t>
      </w:r>
      <w:r>
        <w:rPr>
          <w:color w:val="151515"/>
          <w:w w:val="105"/>
          <w:sz w:val="23"/>
        </w:rPr>
        <w:t>within</w:t>
      </w:r>
      <w:r>
        <w:rPr>
          <w:color w:val="151515"/>
          <w:spacing w:val="-5"/>
          <w:w w:val="105"/>
          <w:sz w:val="23"/>
        </w:rPr>
        <w:t> </w:t>
      </w:r>
      <w:r>
        <w:rPr>
          <w:color w:val="151515"/>
          <w:w w:val="105"/>
          <w:sz w:val="23"/>
        </w:rPr>
        <w:t>our</w:t>
      </w:r>
      <w:r>
        <w:rPr>
          <w:color w:val="151515"/>
          <w:spacing w:val="-13"/>
          <w:w w:val="105"/>
          <w:sz w:val="23"/>
        </w:rPr>
        <w:t> </w:t>
      </w:r>
      <w:r>
        <w:rPr>
          <w:color w:val="151515"/>
          <w:w w:val="105"/>
          <w:sz w:val="23"/>
        </w:rPr>
        <w:t>own</w:t>
      </w:r>
      <w:r>
        <w:rPr>
          <w:color w:val="151515"/>
          <w:spacing w:val="-16"/>
          <w:w w:val="105"/>
          <w:sz w:val="23"/>
        </w:rPr>
        <w:t> </w:t>
      </w:r>
      <w:r>
        <w:rPr>
          <w:color w:val="242424"/>
          <w:w w:val="105"/>
          <w:sz w:val="23"/>
        </w:rPr>
        <w:t>borough,</w:t>
      </w:r>
      <w:r>
        <w:rPr>
          <w:color w:val="242424"/>
          <w:spacing w:val="-6"/>
          <w:w w:val="105"/>
          <w:sz w:val="23"/>
        </w:rPr>
        <w:t> </w:t>
      </w:r>
      <w:r>
        <w:rPr>
          <w:color w:val="151515"/>
          <w:w w:val="105"/>
          <w:sz w:val="23"/>
        </w:rPr>
        <w:t>which</w:t>
      </w:r>
      <w:r>
        <w:rPr>
          <w:color w:val="151515"/>
          <w:spacing w:val="-8"/>
          <w:w w:val="105"/>
          <w:sz w:val="23"/>
        </w:rPr>
        <w:t> </w:t>
      </w:r>
      <w:r>
        <w:rPr>
          <w:color w:val="151515"/>
          <w:w w:val="105"/>
          <w:sz w:val="23"/>
        </w:rPr>
        <w:t>still includes</w:t>
      </w:r>
      <w:r>
        <w:rPr>
          <w:color w:val="151515"/>
          <w:spacing w:val="-17"/>
          <w:w w:val="105"/>
          <w:sz w:val="23"/>
        </w:rPr>
        <w:t> </w:t>
      </w:r>
      <w:r>
        <w:rPr>
          <w:color w:val="151515"/>
          <w:w w:val="105"/>
          <w:sz w:val="23"/>
        </w:rPr>
        <w:t>the</w:t>
      </w:r>
      <w:r>
        <w:rPr>
          <w:color w:val="151515"/>
          <w:spacing w:val="-17"/>
          <w:w w:val="105"/>
          <w:sz w:val="23"/>
        </w:rPr>
        <w:t> </w:t>
      </w:r>
      <w:r>
        <w:rPr>
          <w:color w:val="151515"/>
          <w:w w:val="105"/>
          <w:sz w:val="23"/>
        </w:rPr>
        <w:t>impact</w:t>
      </w:r>
      <w:r>
        <w:rPr>
          <w:color w:val="151515"/>
          <w:spacing w:val="-17"/>
          <w:w w:val="105"/>
          <w:sz w:val="23"/>
        </w:rPr>
        <w:t> </w:t>
      </w:r>
      <w:r>
        <w:rPr>
          <w:color w:val="151515"/>
          <w:w w:val="105"/>
          <w:sz w:val="23"/>
        </w:rPr>
        <w:t>of</w:t>
      </w:r>
      <w:r>
        <w:rPr>
          <w:color w:val="151515"/>
          <w:spacing w:val="-17"/>
          <w:w w:val="105"/>
          <w:sz w:val="23"/>
        </w:rPr>
        <w:t> </w:t>
      </w:r>
      <w:r>
        <w:rPr>
          <w:color w:val="151515"/>
          <w:w w:val="105"/>
          <w:sz w:val="23"/>
        </w:rPr>
        <w:t>the</w:t>
      </w:r>
      <w:r>
        <w:rPr>
          <w:color w:val="151515"/>
          <w:spacing w:val="-16"/>
          <w:w w:val="105"/>
          <w:sz w:val="23"/>
        </w:rPr>
        <w:t> </w:t>
      </w:r>
      <w:r>
        <w:rPr>
          <w:color w:val="151515"/>
          <w:w w:val="105"/>
          <w:sz w:val="23"/>
        </w:rPr>
        <w:t>EU</w:t>
      </w:r>
      <w:r>
        <w:rPr>
          <w:color w:val="151515"/>
          <w:spacing w:val="-17"/>
          <w:w w:val="105"/>
          <w:sz w:val="23"/>
        </w:rPr>
        <w:t> </w:t>
      </w:r>
      <w:r>
        <w:rPr>
          <w:color w:val="151515"/>
          <w:w w:val="105"/>
          <w:sz w:val="23"/>
        </w:rPr>
        <w:t>exit,</w:t>
      </w:r>
      <w:r>
        <w:rPr>
          <w:color w:val="151515"/>
          <w:spacing w:val="-17"/>
          <w:w w:val="105"/>
          <w:sz w:val="23"/>
        </w:rPr>
        <w:t> </w:t>
      </w:r>
      <w:r>
        <w:rPr>
          <w:color w:val="151515"/>
          <w:w w:val="105"/>
          <w:sz w:val="23"/>
        </w:rPr>
        <w:t>levels</w:t>
      </w:r>
      <w:r>
        <w:rPr>
          <w:color w:val="151515"/>
          <w:spacing w:val="-17"/>
          <w:w w:val="105"/>
          <w:sz w:val="23"/>
        </w:rPr>
        <w:t> </w:t>
      </w:r>
      <w:r>
        <w:rPr>
          <w:color w:val="151515"/>
          <w:w w:val="105"/>
          <w:sz w:val="23"/>
        </w:rPr>
        <w:t>of</w:t>
      </w:r>
      <w:r>
        <w:rPr>
          <w:color w:val="151515"/>
          <w:spacing w:val="-16"/>
          <w:w w:val="105"/>
          <w:sz w:val="23"/>
        </w:rPr>
        <w:t> </w:t>
      </w:r>
      <w:r>
        <w:rPr>
          <w:color w:val="151515"/>
          <w:w w:val="105"/>
          <w:sz w:val="23"/>
        </w:rPr>
        <w:t>employment</w:t>
      </w:r>
      <w:r>
        <w:rPr>
          <w:color w:val="4B4B4B"/>
          <w:w w:val="105"/>
          <w:sz w:val="23"/>
        </w:rPr>
        <w:t>,</w:t>
      </w:r>
      <w:r>
        <w:rPr>
          <w:color w:val="4B4B4B"/>
          <w:spacing w:val="-17"/>
          <w:w w:val="105"/>
          <w:sz w:val="23"/>
        </w:rPr>
        <w:t> </w:t>
      </w:r>
      <w:r>
        <w:rPr>
          <w:color w:val="151515"/>
          <w:w w:val="105"/>
          <w:sz w:val="23"/>
        </w:rPr>
        <w:t>business</w:t>
      </w:r>
      <w:r>
        <w:rPr>
          <w:color w:val="151515"/>
          <w:spacing w:val="-17"/>
          <w:w w:val="105"/>
          <w:sz w:val="23"/>
        </w:rPr>
        <w:t> </w:t>
      </w:r>
      <w:r>
        <w:rPr>
          <w:color w:val="151515"/>
          <w:w w:val="105"/>
          <w:sz w:val="23"/>
        </w:rPr>
        <w:t>growth</w:t>
      </w:r>
      <w:r>
        <w:rPr>
          <w:color w:val="151515"/>
          <w:spacing w:val="-17"/>
          <w:w w:val="105"/>
          <w:sz w:val="23"/>
        </w:rPr>
        <w:t> </w:t>
      </w:r>
      <w:r>
        <w:rPr>
          <w:color w:val="151515"/>
          <w:w w:val="105"/>
          <w:sz w:val="23"/>
        </w:rPr>
        <w:t>and</w:t>
      </w:r>
      <w:r>
        <w:rPr>
          <w:color w:val="151515"/>
          <w:spacing w:val="-17"/>
          <w:w w:val="105"/>
          <w:sz w:val="23"/>
        </w:rPr>
        <w:t> </w:t>
      </w:r>
      <w:r>
        <w:rPr>
          <w:color w:val="151515"/>
          <w:w w:val="105"/>
          <w:sz w:val="23"/>
        </w:rPr>
        <w:t>demand for</w:t>
      </w:r>
      <w:r>
        <w:rPr>
          <w:color w:val="151515"/>
          <w:spacing w:val="-1"/>
          <w:w w:val="105"/>
          <w:sz w:val="23"/>
        </w:rPr>
        <w:t> </w:t>
      </w:r>
      <w:r>
        <w:rPr>
          <w:color w:val="151515"/>
          <w:w w:val="105"/>
          <w:sz w:val="23"/>
        </w:rPr>
        <w:t>our services such</w:t>
      </w:r>
      <w:r>
        <w:rPr>
          <w:color w:val="151515"/>
          <w:spacing w:val="-8"/>
          <w:w w:val="105"/>
          <w:sz w:val="23"/>
        </w:rPr>
        <w:t> </w:t>
      </w:r>
      <w:r>
        <w:rPr>
          <w:color w:val="151515"/>
          <w:w w:val="105"/>
          <w:sz w:val="23"/>
        </w:rPr>
        <w:t>as</w:t>
      </w:r>
      <w:r>
        <w:rPr>
          <w:color w:val="151515"/>
          <w:spacing w:val="-4"/>
          <w:w w:val="105"/>
          <w:sz w:val="23"/>
        </w:rPr>
        <w:t> </w:t>
      </w:r>
      <w:r>
        <w:rPr>
          <w:color w:val="151515"/>
          <w:w w:val="105"/>
          <w:sz w:val="23"/>
        </w:rPr>
        <w:t>affordable housing</w:t>
      </w:r>
      <w:r>
        <w:rPr>
          <w:color w:val="4B4B4B"/>
          <w:w w:val="105"/>
          <w:sz w:val="23"/>
        </w:rPr>
        <w:t>.</w:t>
      </w:r>
      <w:r>
        <w:rPr>
          <w:color w:val="4B4B4B"/>
          <w:spacing w:val="-15"/>
          <w:w w:val="105"/>
          <w:sz w:val="23"/>
        </w:rPr>
        <w:t> </w:t>
      </w:r>
      <w:r>
        <w:rPr>
          <w:color w:val="151515"/>
          <w:w w:val="105"/>
          <w:sz w:val="23"/>
        </w:rPr>
        <w:t>There</w:t>
      </w:r>
      <w:r>
        <w:rPr>
          <w:color w:val="151515"/>
          <w:spacing w:val="-7"/>
          <w:w w:val="105"/>
          <w:sz w:val="23"/>
        </w:rPr>
        <w:t> </w:t>
      </w:r>
      <w:r>
        <w:rPr>
          <w:color w:val="242424"/>
          <w:w w:val="105"/>
          <w:sz w:val="23"/>
        </w:rPr>
        <w:t>has</w:t>
      </w:r>
      <w:r>
        <w:rPr>
          <w:color w:val="242424"/>
          <w:spacing w:val="-5"/>
          <w:w w:val="105"/>
          <w:sz w:val="23"/>
        </w:rPr>
        <w:t> </w:t>
      </w:r>
      <w:r>
        <w:rPr>
          <w:color w:val="151515"/>
          <w:w w:val="105"/>
          <w:sz w:val="23"/>
        </w:rPr>
        <w:t>also</w:t>
      </w:r>
      <w:r>
        <w:rPr>
          <w:color w:val="151515"/>
          <w:spacing w:val="-6"/>
          <w:w w:val="105"/>
          <w:sz w:val="23"/>
        </w:rPr>
        <w:t> </w:t>
      </w:r>
      <w:r>
        <w:rPr>
          <w:color w:val="151515"/>
          <w:w w:val="105"/>
          <w:sz w:val="23"/>
        </w:rPr>
        <w:t>been</w:t>
      </w:r>
      <w:r>
        <w:rPr>
          <w:color w:val="151515"/>
          <w:spacing w:val="-5"/>
          <w:w w:val="105"/>
          <w:sz w:val="23"/>
        </w:rPr>
        <w:t> </w:t>
      </w:r>
      <w:r>
        <w:rPr>
          <w:color w:val="242424"/>
          <w:w w:val="105"/>
          <w:sz w:val="23"/>
        </w:rPr>
        <w:t>the</w:t>
      </w:r>
      <w:r>
        <w:rPr>
          <w:color w:val="242424"/>
          <w:spacing w:val="-3"/>
          <w:w w:val="105"/>
          <w:sz w:val="23"/>
        </w:rPr>
        <w:t> </w:t>
      </w:r>
      <w:r>
        <w:rPr>
          <w:color w:val="151515"/>
          <w:w w:val="105"/>
          <w:sz w:val="23"/>
        </w:rPr>
        <w:t>ongoing impact </w:t>
      </w:r>
      <w:r>
        <w:rPr>
          <w:color w:val="151515"/>
          <w:spacing w:val="-2"/>
          <w:w w:val="105"/>
          <w:sz w:val="23"/>
        </w:rPr>
        <w:t>of</w:t>
      </w:r>
      <w:r>
        <w:rPr>
          <w:color w:val="151515"/>
          <w:spacing w:val="-15"/>
          <w:w w:val="105"/>
          <w:sz w:val="23"/>
        </w:rPr>
        <w:t> </w:t>
      </w:r>
      <w:r>
        <w:rPr>
          <w:color w:val="151515"/>
          <w:spacing w:val="-2"/>
          <w:w w:val="105"/>
          <w:sz w:val="23"/>
        </w:rPr>
        <w:t>the</w:t>
      </w:r>
      <w:r>
        <w:rPr>
          <w:color w:val="151515"/>
          <w:spacing w:val="-15"/>
          <w:w w:val="105"/>
          <w:sz w:val="23"/>
        </w:rPr>
        <w:t> </w:t>
      </w:r>
      <w:r>
        <w:rPr>
          <w:color w:val="151515"/>
          <w:spacing w:val="-2"/>
          <w:w w:val="105"/>
          <w:sz w:val="23"/>
        </w:rPr>
        <w:t>pandemic</w:t>
      </w:r>
      <w:r>
        <w:rPr>
          <w:color w:val="151515"/>
          <w:spacing w:val="-15"/>
          <w:w w:val="105"/>
          <w:sz w:val="23"/>
        </w:rPr>
        <w:t> </w:t>
      </w:r>
      <w:r>
        <w:rPr>
          <w:color w:val="151515"/>
          <w:spacing w:val="-2"/>
          <w:w w:val="105"/>
          <w:sz w:val="23"/>
        </w:rPr>
        <w:t>with</w:t>
      </w:r>
      <w:r>
        <w:rPr>
          <w:color w:val="151515"/>
          <w:spacing w:val="-15"/>
          <w:w w:val="105"/>
          <w:sz w:val="23"/>
        </w:rPr>
        <w:t> </w:t>
      </w:r>
      <w:r>
        <w:rPr>
          <w:color w:val="151515"/>
          <w:spacing w:val="-2"/>
          <w:w w:val="105"/>
          <w:sz w:val="23"/>
        </w:rPr>
        <w:t>changes</w:t>
      </w:r>
      <w:r>
        <w:rPr>
          <w:color w:val="151515"/>
          <w:spacing w:val="-8"/>
          <w:w w:val="105"/>
          <w:sz w:val="23"/>
        </w:rPr>
        <w:t> </w:t>
      </w:r>
      <w:r>
        <w:rPr>
          <w:color w:val="151515"/>
          <w:spacing w:val="-2"/>
          <w:w w:val="105"/>
          <w:sz w:val="23"/>
        </w:rPr>
        <w:t>in</w:t>
      </w:r>
      <w:r>
        <w:rPr>
          <w:color w:val="151515"/>
          <w:spacing w:val="-15"/>
          <w:w w:val="105"/>
          <w:sz w:val="23"/>
        </w:rPr>
        <w:t> </w:t>
      </w:r>
      <w:r>
        <w:rPr>
          <w:color w:val="151515"/>
          <w:spacing w:val="-2"/>
          <w:w w:val="105"/>
          <w:sz w:val="23"/>
        </w:rPr>
        <w:t>behaviour such</w:t>
      </w:r>
      <w:r>
        <w:rPr>
          <w:color w:val="151515"/>
          <w:spacing w:val="-15"/>
          <w:w w:val="105"/>
          <w:sz w:val="23"/>
        </w:rPr>
        <w:t> </w:t>
      </w:r>
      <w:r>
        <w:rPr>
          <w:color w:val="151515"/>
          <w:spacing w:val="-2"/>
          <w:w w:val="105"/>
          <w:sz w:val="23"/>
        </w:rPr>
        <w:t>as</w:t>
      </w:r>
      <w:r>
        <w:rPr>
          <w:color w:val="151515"/>
          <w:spacing w:val="-13"/>
          <w:w w:val="105"/>
          <w:sz w:val="23"/>
        </w:rPr>
        <w:t> </w:t>
      </w:r>
      <w:r>
        <w:rPr>
          <w:color w:val="151515"/>
          <w:spacing w:val="-2"/>
          <w:w w:val="105"/>
          <w:sz w:val="23"/>
        </w:rPr>
        <w:t>working </w:t>
      </w:r>
      <w:r>
        <w:rPr>
          <w:color w:val="242424"/>
          <w:spacing w:val="-2"/>
          <w:w w:val="105"/>
          <w:sz w:val="23"/>
        </w:rPr>
        <w:t>from</w:t>
      </w:r>
      <w:r>
        <w:rPr>
          <w:color w:val="242424"/>
          <w:spacing w:val="-5"/>
          <w:w w:val="105"/>
          <w:sz w:val="23"/>
        </w:rPr>
        <w:t> </w:t>
      </w:r>
      <w:r>
        <w:rPr>
          <w:color w:val="151515"/>
          <w:spacing w:val="-2"/>
          <w:w w:val="105"/>
          <w:sz w:val="23"/>
        </w:rPr>
        <w:t>home</w:t>
      </w:r>
      <w:r>
        <w:rPr>
          <w:color w:val="151515"/>
          <w:spacing w:val="-15"/>
          <w:w w:val="105"/>
          <w:sz w:val="23"/>
        </w:rPr>
        <w:t> </w:t>
      </w:r>
      <w:r>
        <w:rPr>
          <w:color w:val="151515"/>
          <w:spacing w:val="-2"/>
          <w:w w:val="105"/>
          <w:sz w:val="23"/>
        </w:rPr>
        <w:t>which</w:t>
      </w:r>
      <w:r>
        <w:rPr>
          <w:color w:val="151515"/>
          <w:spacing w:val="-5"/>
          <w:w w:val="105"/>
          <w:sz w:val="23"/>
        </w:rPr>
        <w:t> </w:t>
      </w:r>
      <w:r>
        <w:rPr>
          <w:color w:val="242424"/>
          <w:spacing w:val="-2"/>
          <w:w w:val="105"/>
          <w:sz w:val="23"/>
        </w:rPr>
        <w:t>is</w:t>
      </w:r>
      <w:r>
        <w:rPr>
          <w:color w:val="242424"/>
          <w:spacing w:val="-15"/>
          <w:w w:val="105"/>
          <w:sz w:val="23"/>
        </w:rPr>
        <w:t> </w:t>
      </w:r>
      <w:r>
        <w:rPr>
          <w:color w:val="151515"/>
          <w:spacing w:val="-2"/>
          <w:w w:val="105"/>
          <w:sz w:val="23"/>
        </w:rPr>
        <w:t>putting </w:t>
      </w:r>
      <w:r>
        <w:rPr>
          <w:color w:val="151515"/>
          <w:w w:val="105"/>
          <w:sz w:val="23"/>
        </w:rPr>
        <w:t>pressure</w:t>
      </w:r>
      <w:r>
        <w:rPr>
          <w:color w:val="151515"/>
          <w:w w:val="105"/>
          <w:sz w:val="23"/>
        </w:rPr>
        <w:t> on services</w:t>
      </w:r>
      <w:r>
        <w:rPr>
          <w:color w:val="151515"/>
          <w:w w:val="105"/>
          <w:sz w:val="23"/>
        </w:rPr>
        <w:t> such</w:t>
      </w:r>
      <w:r>
        <w:rPr>
          <w:color w:val="151515"/>
          <w:w w:val="105"/>
          <w:sz w:val="23"/>
        </w:rPr>
        <w:t> as waste</w:t>
      </w:r>
      <w:r>
        <w:rPr>
          <w:color w:val="151515"/>
          <w:w w:val="105"/>
          <w:sz w:val="23"/>
        </w:rPr>
        <w:t> whilst</w:t>
      </w:r>
      <w:r>
        <w:rPr>
          <w:color w:val="151515"/>
          <w:w w:val="105"/>
          <w:sz w:val="23"/>
        </w:rPr>
        <w:t> also</w:t>
      </w:r>
      <w:r>
        <w:rPr>
          <w:color w:val="151515"/>
          <w:w w:val="105"/>
          <w:sz w:val="23"/>
        </w:rPr>
        <w:t> reducing</w:t>
      </w:r>
      <w:r>
        <w:rPr>
          <w:color w:val="151515"/>
          <w:w w:val="105"/>
          <w:sz w:val="23"/>
        </w:rPr>
        <w:t> income from services</w:t>
      </w:r>
      <w:r>
        <w:rPr>
          <w:color w:val="151515"/>
          <w:w w:val="105"/>
          <w:sz w:val="23"/>
        </w:rPr>
        <w:t> like </w:t>
      </w:r>
      <w:r>
        <w:rPr>
          <w:color w:val="151515"/>
          <w:spacing w:val="-2"/>
          <w:w w:val="105"/>
          <w:sz w:val="23"/>
        </w:rPr>
        <w:t>parking.</w:t>
      </w:r>
    </w:p>
    <w:p>
      <w:pPr>
        <w:pStyle w:val="BodyText"/>
        <w:spacing w:before="11"/>
        <w:rPr>
          <w:sz w:val="23"/>
        </w:rPr>
      </w:pPr>
    </w:p>
    <w:p>
      <w:pPr>
        <w:spacing w:before="0" w:line="252" w:lineRule="auto"/>
        <w:ind w:left="798" w:right="283" w:firstLine="17"/>
        <w:jc w:val="both"/>
        <w:rPr>
          <w:sz w:val="23"/>
        </w:rPr>
      </w:pPr>
      <w:r>
        <w:rPr>
          <w:color w:val="151515"/>
          <w:w w:val="105"/>
          <w:sz w:val="23"/>
        </w:rPr>
        <w:t>We</w:t>
      </w:r>
      <w:r>
        <w:rPr>
          <w:color w:val="151515"/>
          <w:spacing w:val="-8"/>
          <w:w w:val="105"/>
          <w:sz w:val="23"/>
        </w:rPr>
        <w:t> </w:t>
      </w:r>
      <w:r>
        <w:rPr>
          <w:color w:val="151515"/>
          <w:w w:val="105"/>
          <w:sz w:val="23"/>
        </w:rPr>
        <w:t>have invested in</w:t>
      </w:r>
      <w:r>
        <w:rPr>
          <w:color w:val="151515"/>
          <w:spacing w:val="-10"/>
          <w:w w:val="105"/>
          <w:sz w:val="23"/>
        </w:rPr>
        <w:t> </w:t>
      </w:r>
      <w:r>
        <w:rPr>
          <w:color w:val="151515"/>
          <w:w w:val="105"/>
          <w:sz w:val="23"/>
        </w:rPr>
        <w:t>the</w:t>
      </w:r>
      <w:r>
        <w:rPr>
          <w:color w:val="151515"/>
          <w:spacing w:val="-5"/>
          <w:w w:val="105"/>
          <w:sz w:val="23"/>
        </w:rPr>
        <w:t> </w:t>
      </w:r>
      <w:r>
        <w:rPr>
          <w:color w:val="151515"/>
          <w:w w:val="105"/>
          <w:sz w:val="23"/>
        </w:rPr>
        <w:t>Council</w:t>
      </w:r>
      <w:r>
        <w:rPr>
          <w:color w:val="151515"/>
          <w:spacing w:val="-4"/>
          <w:w w:val="105"/>
          <w:sz w:val="23"/>
        </w:rPr>
        <w:t> </w:t>
      </w:r>
      <w:r>
        <w:rPr>
          <w:color w:val="151515"/>
          <w:w w:val="105"/>
          <w:sz w:val="23"/>
        </w:rPr>
        <w:t>owned</w:t>
      </w:r>
      <w:r>
        <w:rPr>
          <w:color w:val="151515"/>
          <w:spacing w:val="-4"/>
          <w:w w:val="105"/>
          <w:sz w:val="23"/>
        </w:rPr>
        <w:t> </w:t>
      </w:r>
      <w:r>
        <w:rPr>
          <w:color w:val="151515"/>
          <w:w w:val="105"/>
          <w:sz w:val="23"/>
        </w:rPr>
        <w:t>Elstree Studios completing a</w:t>
      </w:r>
      <w:r>
        <w:rPr>
          <w:color w:val="151515"/>
          <w:spacing w:val="-4"/>
          <w:w w:val="105"/>
          <w:sz w:val="23"/>
        </w:rPr>
        <w:t> </w:t>
      </w:r>
      <w:r>
        <w:rPr>
          <w:color w:val="151515"/>
          <w:w w:val="105"/>
          <w:sz w:val="23"/>
        </w:rPr>
        <w:t>£15.6m project to build two new stages, subsequently</w:t>
      </w:r>
      <w:r>
        <w:rPr>
          <w:color w:val="151515"/>
          <w:w w:val="105"/>
          <w:sz w:val="23"/>
        </w:rPr>
        <w:t> named the Platinum</w:t>
      </w:r>
      <w:r>
        <w:rPr>
          <w:color w:val="151515"/>
          <w:w w:val="105"/>
          <w:sz w:val="23"/>
        </w:rPr>
        <w:t> Stages in honour of Her Majesty </w:t>
      </w:r>
      <w:r>
        <w:rPr>
          <w:color w:val="242424"/>
          <w:w w:val="105"/>
          <w:sz w:val="23"/>
        </w:rPr>
        <w:t>the</w:t>
      </w:r>
      <w:r>
        <w:rPr>
          <w:color w:val="242424"/>
          <w:spacing w:val="-1"/>
          <w:w w:val="105"/>
          <w:sz w:val="23"/>
        </w:rPr>
        <w:t> </w:t>
      </w:r>
      <w:r>
        <w:rPr>
          <w:color w:val="151515"/>
          <w:w w:val="105"/>
          <w:sz w:val="23"/>
        </w:rPr>
        <w:t>Queen's Platinum Jubilee</w:t>
      </w:r>
      <w:r>
        <w:rPr>
          <w:color w:val="4B4B4B"/>
          <w:w w:val="105"/>
          <w:sz w:val="23"/>
        </w:rPr>
        <w:t>,</w:t>
      </w:r>
      <w:r>
        <w:rPr>
          <w:color w:val="4B4B4B"/>
          <w:spacing w:val="-9"/>
          <w:w w:val="105"/>
          <w:sz w:val="23"/>
        </w:rPr>
        <w:t> </w:t>
      </w:r>
      <w:r>
        <w:rPr>
          <w:color w:val="151515"/>
          <w:w w:val="105"/>
          <w:sz w:val="23"/>
        </w:rPr>
        <w:t>along with ancillary</w:t>
      </w:r>
      <w:r>
        <w:rPr>
          <w:color w:val="151515"/>
          <w:w w:val="105"/>
          <w:sz w:val="23"/>
        </w:rPr>
        <w:t> space </w:t>
      </w:r>
      <w:r>
        <w:rPr>
          <w:color w:val="363636"/>
          <w:w w:val="105"/>
          <w:sz w:val="23"/>
        </w:rPr>
        <w:t>in</w:t>
      </w:r>
      <w:r>
        <w:rPr>
          <w:color w:val="363636"/>
          <w:spacing w:val="-5"/>
          <w:w w:val="105"/>
          <w:sz w:val="23"/>
        </w:rPr>
        <w:t> </w:t>
      </w:r>
      <w:r>
        <w:rPr>
          <w:color w:val="242424"/>
          <w:w w:val="105"/>
          <w:sz w:val="23"/>
        </w:rPr>
        <w:t>early </w:t>
      </w:r>
      <w:r>
        <w:rPr>
          <w:color w:val="151515"/>
          <w:w w:val="105"/>
          <w:sz w:val="23"/>
        </w:rPr>
        <w:t>July 2022. Unfortunately</w:t>
      </w:r>
      <w:r>
        <w:rPr>
          <w:color w:val="151515"/>
          <w:w w:val="105"/>
          <w:sz w:val="23"/>
        </w:rPr>
        <w:t> </w:t>
      </w:r>
      <w:r>
        <w:rPr>
          <w:color w:val="242424"/>
          <w:w w:val="105"/>
          <w:sz w:val="23"/>
        </w:rPr>
        <w:t>however</w:t>
      </w:r>
      <w:r>
        <w:rPr>
          <w:color w:val="242424"/>
          <w:w w:val="105"/>
          <w:sz w:val="23"/>
        </w:rPr>
        <w:t> </w:t>
      </w:r>
      <w:r>
        <w:rPr>
          <w:color w:val="151515"/>
          <w:w w:val="105"/>
          <w:sz w:val="23"/>
        </w:rPr>
        <w:t>in</w:t>
      </w:r>
      <w:r>
        <w:rPr>
          <w:color w:val="151515"/>
          <w:w w:val="105"/>
          <w:sz w:val="23"/>
        </w:rPr>
        <w:t> August</w:t>
      </w:r>
      <w:r>
        <w:rPr>
          <w:color w:val="151515"/>
          <w:w w:val="105"/>
          <w:sz w:val="23"/>
        </w:rPr>
        <w:t> </w:t>
      </w:r>
      <w:r>
        <w:rPr>
          <w:color w:val="242424"/>
          <w:w w:val="105"/>
          <w:sz w:val="23"/>
        </w:rPr>
        <w:t>2022</w:t>
      </w:r>
      <w:r>
        <w:rPr>
          <w:color w:val="6B6B6B"/>
          <w:w w:val="105"/>
          <w:sz w:val="23"/>
        </w:rPr>
        <w:t>,</w:t>
      </w:r>
      <w:r>
        <w:rPr>
          <w:color w:val="6B6B6B"/>
          <w:w w:val="105"/>
          <w:sz w:val="23"/>
        </w:rPr>
        <w:t> </w:t>
      </w:r>
      <w:r>
        <w:rPr>
          <w:color w:val="151515"/>
          <w:w w:val="105"/>
          <w:sz w:val="23"/>
        </w:rPr>
        <w:t>whilst</w:t>
      </w:r>
      <w:r>
        <w:rPr>
          <w:color w:val="151515"/>
          <w:w w:val="105"/>
          <w:sz w:val="23"/>
        </w:rPr>
        <w:t> carrying</w:t>
      </w:r>
      <w:r>
        <w:rPr>
          <w:color w:val="151515"/>
          <w:w w:val="105"/>
          <w:sz w:val="23"/>
        </w:rPr>
        <w:t> out</w:t>
      </w:r>
      <w:r>
        <w:rPr>
          <w:color w:val="151515"/>
          <w:w w:val="105"/>
          <w:sz w:val="23"/>
        </w:rPr>
        <w:t> </w:t>
      </w:r>
      <w:r>
        <w:rPr>
          <w:color w:val="242424"/>
          <w:w w:val="105"/>
          <w:sz w:val="23"/>
        </w:rPr>
        <w:t>routine</w:t>
      </w:r>
      <w:r>
        <w:rPr>
          <w:color w:val="242424"/>
          <w:w w:val="105"/>
          <w:sz w:val="23"/>
        </w:rPr>
        <w:t> maintenance </w:t>
      </w:r>
      <w:r>
        <w:rPr>
          <w:color w:val="151515"/>
          <w:w w:val="105"/>
          <w:sz w:val="23"/>
        </w:rPr>
        <w:t>asbestos was</w:t>
      </w:r>
      <w:r>
        <w:rPr>
          <w:color w:val="151515"/>
          <w:spacing w:val="-10"/>
          <w:w w:val="105"/>
          <w:sz w:val="23"/>
        </w:rPr>
        <w:t> </w:t>
      </w:r>
      <w:r>
        <w:rPr>
          <w:color w:val="151515"/>
          <w:w w:val="105"/>
          <w:sz w:val="23"/>
        </w:rPr>
        <w:t>found</w:t>
      </w:r>
      <w:r>
        <w:rPr>
          <w:color w:val="151515"/>
          <w:spacing w:val="-7"/>
          <w:w w:val="105"/>
          <w:sz w:val="23"/>
        </w:rPr>
        <w:t> </w:t>
      </w:r>
      <w:r>
        <w:rPr>
          <w:color w:val="151515"/>
          <w:w w:val="105"/>
          <w:sz w:val="23"/>
        </w:rPr>
        <w:t>in</w:t>
      </w:r>
      <w:r>
        <w:rPr>
          <w:color w:val="151515"/>
          <w:spacing w:val="-11"/>
          <w:w w:val="105"/>
          <w:sz w:val="23"/>
        </w:rPr>
        <w:t> </w:t>
      </w:r>
      <w:r>
        <w:rPr>
          <w:color w:val="151515"/>
          <w:w w:val="105"/>
          <w:sz w:val="23"/>
        </w:rPr>
        <w:t>stages</w:t>
      </w:r>
      <w:r>
        <w:rPr>
          <w:color w:val="151515"/>
          <w:spacing w:val="-6"/>
          <w:w w:val="105"/>
          <w:sz w:val="23"/>
        </w:rPr>
        <w:t> </w:t>
      </w:r>
      <w:r>
        <w:rPr>
          <w:color w:val="151515"/>
          <w:w w:val="105"/>
          <w:sz w:val="23"/>
        </w:rPr>
        <w:t>7,8</w:t>
      </w:r>
      <w:r>
        <w:rPr>
          <w:color w:val="151515"/>
          <w:spacing w:val="-8"/>
          <w:w w:val="105"/>
          <w:sz w:val="23"/>
        </w:rPr>
        <w:t> </w:t>
      </w:r>
      <w:r>
        <w:rPr>
          <w:color w:val="151515"/>
          <w:w w:val="105"/>
          <w:sz w:val="23"/>
        </w:rPr>
        <w:t>and</w:t>
      </w:r>
      <w:r>
        <w:rPr>
          <w:color w:val="151515"/>
          <w:spacing w:val="-10"/>
          <w:w w:val="105"/>
          <w:sz w:val="23"/>
        </w:rPr>
        <w:t> </w:t>
      </w:r>
      <w:r>
        <w:rPr>
          <w:color w:val="151515"/>
          <w:w w:val="105"/>
          <w:sz w:val="23"/>
        </w:rPr>
        <w:t>9</w:t>
      </w:r>
      <w:r>
        <w:rPr>
          <w:color w:val="151515"/>
          <w:spacing w:val="-13"/>
          <w:w w:val="105"/>
          <w:sz w:val="23"/>
        </w:rPr>
        <w:t> </w:t>
      </w:r>
      <w:r>
        <w:rPr>
          <w:color w:val="151515"/>
          <w:w w:val="105"/>
          <w:sz w:val="23"/>
        </w:rPr>
        <w:t>and</w:t>
      </w:r>
      <w:r>
        <w:rPr>
          <w:color w:val="151515"/>
          <w:spacing w:val="-12"/>
          <w:w w:val="105"/>
          <w:sz w:val="23"/>
        </w:rPr>
        <w:t> </w:t>
      </w:r>
      <w:r>
        <w:rPr>
          <w:color w:val="242424"/>
          <w:w w:val="105"/>
          <w:sz w:val="23"/>
        </w:rPr>
        <w:t>as</w:t>
      </w:r>
      <w:r>
        <w:rPr>
          <w:color w:val="242424"/>
          <w:spacing w:val="-12"/>
          <w:w w:val="105"/>
          <w:sz w:val="23"/>
        </w:rPr>
        <w:t> </w:t>
      </w:r>
      <w:r>
        <w:rPr>
          <w:color w:val="151515"/>
          <w:w w:val="105"/>
          <w:sz w:val="23"/>
        </w:rPr>
        <w:t>a</w:t>
      </w:r>
      <w:r>
        <w:rPr>
          <w:color w:val="151515"/>
          <w:spacing w:val="-9"/>
          <w:w w:val="105"/>
          <w:sz w:val="23"/>
        </w:rPr>
        <w:t> </w:t>
      </w:r>
      <w:r>
        <w:rPr>
          <w:color w:val="242424"/>
          <w:w w:val="105"/>
          <w:sz w:val="23"/>
        </w:rPr>
        <w:t>result</w:t>
      </w:r>
      <w:r>
        <w:rPr>
          <w:color w:val="242424"/>
          <w:spacing w:val="-6"/>
          <w:w w:val="105"/>
          <w:sz w:val="23"/>
        </w:rPr>
        <w:t> </w:t>
      </w:r>
      <w:r>
        <w:rPr>
          <w:color w:val="151515"/>
          <w:w w:val="105"/>
          <w:sz w:val="23"/>
        </w:rPr>
        <w:t>these</w:t>
      </w:r>
      <w:r>
        <w:rPr>
          <w:color w:val="151515"/>
          <w:spacing w:val="-9"/>
          <w:w w:val="105"/>
          <w:sz w:val="23"/>
        </w:rPr>
        <w:t> </w:t>
      </w:r>
      <w:r>
        <w:rPr>
          <w:color w:val="151515"/>
          <w:w w:val="105"/>
          <w:sz w:val="23"/>
        </w:rPr>
        <w:t>stages</w:t>
      </w:r>
      <w:r>
        <w:rPr>
          <w:color w:val="151515"/>
          <w:spacing w:val="-1"/>
          <w:w w:val="105"/>
          <w:sz w:val="23"/>
        </w:rPr>
        <w:t> </w:t>
      </w:r>
      <w:r>
        <w:rPr>
          <w:color w:val="242424"/>
          <w:w w:val="105"/>
          <w:sz w:val="23"/>
        </w:rPr>
        <w:t>had</w:t>
      </w:r>
      <w:r>
        <w:rPr>
          <w:color w:val="242424"/>
          <w:spacing w:val="-9"/>
          <w:w w:val="105"/>
          <w:sz w:val="23"/>
        </w:rPr>
        <w:t> </w:t>
      </w:r>
      <w:r>
        <w:rPr>
          <w:color w:val="151515"/>
          <w:w w:val="105"/>
          <w:sz w:val="23"/>
        </w:rPr>
        <w:t>to</w:t>
      </w:r>
      <w:r>
        <w:rPr>
          <w:color w:val="151515"/>
          <w:spacing w:val="-17"/>
          <w:w w:val="105"/>
          <w:sz w:val="23"/>
        </w:rPr>
        <w:t> </w:t>
      </w:r>
      <w:r>
        <w:rPr>
          <w:color w:val="242424"/>
          <w:w w:val="105"/>
          <w:sz w:val="23"/>
        </w:rPr>
        <w:t>be</w:t>
      </w:r>
      <w:r>
        <w:rPr>
          <w:color w:val="242424"/>
          <w:spacing w:val="-15"/>
          <w:w w:val="105"/>
          <w:sz w:val="23"/>
        </w:rPr>
        <w:t> </w:t>
      </w:r>
      <w:r>
        <w:rPr>
          <w:color w:val="151515"/>
          <w:w w:val="105"/>
          <w:sz w:val="23"/>
        </w:rPr>
        <w:t>closed immediately for asbestos remediation works.</w:t>
      </w:r>
    </w:p>
    <w:p>
      <w:pPr>
        <w:pStyle w:val="BodyText"/>
        <w:spacing w:before="1"/>
        <w:rPr>
          <w:sz w:val="23"/>
        </w:rPr>
      </w:pPr>
    </w:p>
    <w:p>
      <w:pPr>
        <w:spacing w:before="0" w:line="252" w:lineRule="auto"/>
        <w:ind w:left="784" w:right="293" w:firstLine="9"/>
        <w:jc w:val="both"/>
        <w:rPr>
          <w:sz w:val="23"/>
        </w:rPr>
      </w:pPr>
      <w:r>
        <w:rPr>
          <w:color w:val="151515"/>
          <w:w w:val="105"/>
          <w:sz w:val="23"/>
        </w:rPr>
        <w:t>The</w:t>
      </w:r>
      <w:r>
        <w:rPr>
          <w:color w:val="151515"/>
          <w:spacing w:val="-2"/>
          <w:w w:val="105"/>
          <w:sz w:val="23"/>
        </w:rPr>
        <w:t> </w:t>
      </w:r>
      <w:r>
        <w:rPr>
          <w:color w:val="242424"/>
          <w:w w:val="105"/>
          <w:sz w:val="23"/>
        </w:rPr>
        <w:t>impact </w:t>
      </w:r>
      <w:r>
        <w:rPr>
          <w:color w:val="151515"/>
          <w:w w:val="105"/>
          <w:sz w:val="23"/>
        </w:rPr>
        <w:t>of</w:t>
      </w:r>
      <w:r>
        <w:rPr>
          <w:color w:val="151515"/>
          <w:spacing w:val="-9"/>
          <w:w w:val="105"/>
          <w:sz w:val="23"/>
        </w:rPr>
        <w:t> </w:t>
      </w:r>
      <w:r>
        <w:rPr>
          <w:color w:val="151515"/>
          <w:w w:val="105"/>
          <w:sz w:val="23"/>
        </w:rPr>
        <w:t>all</w:t>
      </w:r>
      <w:r>
        <w:rPr>
          <w:color w:val="151515"/>
          <w:spacing w:val="-12"/>
          <w:w w:val="105"/>
          <w:sz w:val="23"/>
        </w:rPr>
        <w:t> </w:t>
      </w:r>
      <w:r>
        <w:rPr>
          <w:color w:val="151515"/>
          <w:w w:val="105"/>
          <w:sz w:val="23"/>
        </w:rPr>
        <w:t>these</w:t>
      </w:r>
      <w:r>
        <w:rPr>
          <w:color w:val="151515"/>
          <w:spacing w:val="-11"/>
          <w:w w:val="105"/>
          <w:sz w:val="23"/>
        </w:rPr>
        <w:t> </w:t>
      </w:r>
      <w:r>
        <w:rPr>
          <w:color w:val="242424"/>
          <w:w w:val="105"/>
          <w:sz w:val="23"/>
        </w:rPr>
        <w:t>pressures </w:t>
      </w:r>
      <w:r>
        <w:rPr>
          <w:color w:val="151515"/>
          <w:w w:val="105"/>
          <w:sz w:val="23"/>
        </w:rPr>
        <w:t>were</w:t>
      </w:r>
      <w:r>
        <w:rPr>
          <w:color w:val="151515"/>
          <w:spacing w:val="-4"/>
          <w:w w:val="105"/>
          <w:sz w:val="23"/>
        </w:rPr>
        <w:t> </w:t>
      </w:r>
      <w:r>
        <w:rPr>
          <w:color w:val="151515"/>
          <w:w w:val="105"/>
          <w:sz w:val="23"/>
        </w:rPr>
        <w:t>regularly assessed</w:t>
      </w:r>
      <w:r>
        <w:rPr>
          <w:color w:val="151515"/>
          <w:spacing w:val="-4"/>
          <w:w w:val="105"/>
          <w:sz w:val="23"/>
        </w:rPr>
        <w:t> </w:t>
      </w:r>
      <w:r>
        <w:rPr>
          <w:color w:val="151515"/>
          <w:w w:val="105"/>
          <w:sz w:val="23"/>
        </w:rPr>
        <w:t>by officers</w:t>
      </w:r>
      <w:r>
        <w:rPr>
          <w:color w:val="151515"/>
          <w:spacing w:val="-6"/>
          <w:w w:val="105"/>
          <w:sz w:val="23"/>
        </w:rPr>
        <w:t> </w:t>
      </w:r>
      <w:r>
        <w:rPr>
          <w:color w:val="151515"/>
          <w:w w:val="105"/>
          <w:sz w:val="23"/>
        </w:rPr>
        <w:t>throughout the year</w:t>
      </w:r>
      <w:r>
        <w:rPr>
          <w:color w:val="151515"/>
          <w:w w:val="105"/>
          <w:sz w:val="23"/>
        </w:rPr>
        <w:t> and</w:t>
      </w:r>
      <w:r>
        <w:rPr>
          <w:color w:val="151515"/>
          <w:w w:val="105"/>
          <w:sz w:val="23"/>
        </w:rPr>
        <w:t> </w:t>
      </w:r>
      <w:r>
        <w:rPr>
          <w:color w:val="242424"/>
          <w:w w:val="105"/>
          <w:sz w:val="23"/>
        </w:rPr>
        <w:t>due </w:t>
      </w:r>
      <w:r>
        <w:rPr>
          <w:color w:val="151515"/>
          <w:w w:val="105"/>
          <w:sz w:val="23"/>
        </w:rPr>
        <w:t>to the</w:t>
      </w:r>
      <w:r>
        <w:rPr>
          <w:color w:val="151515"/>
          <w:w w:val="105"/>
          <w:sz w:val="23"/>
        </w:rPr>
        <w:t> unprecedented</w:t>
      </w:r>
      <w:r>
        <w:rPr>
          <w:color w:val="151515"/>
          <w:w w:val="105"/>
          <w:sz w:val="23"/>
        </w:rPr>
        <w:t> economic</w:t>
      </w:r>
      <w:r>
        <w:rPr>
          <w:color w:val="151515"/>
          <w:w w:val="105"/>
          <w:sz w:val="23"/>
        </w:rPr>
        <w:t> conditions</w:t>
      </w:r>
      <w:r>
        <w:rPr>
          <w:color w:val="151515"/>
          <w:w w:val="105"/>
          <w:sz w:val="23"/>
        </w:rPr>
        <w:t> additional</w:t>
      </w:r>
      <w:r>
        <w:rPr>
          <w:color w:val="151515"/>
          <w:w w:val="105"/>
          <w:sz w:val="23"/>
        </w:rPr>
        <w:t> monitoring</w:t>
      </w:r>
      <w:r>
        <w:rPr>
          <w:color w:val="151515"/>
          <w:w w:val="105"/>
          <w:sz w:val="23"/>
        </w:rPr>
        <w:t> and more</w:t>
      </w:r>
      <w:r>
        <w:rPr>
          <w:color w:val="151515"/>
          <w:spacing w:val="-16"/>
          <w:w w:val="105"/>
          <w:sz w:val="23"/>
        </w:rPr>
        <w:t> </w:t>
      </w:r>
      <w:r>
        <w:rPr>
          <w:color w:val="151515"/>
          <w:w w:val="105"/>
          <w:sz w:val="23"/>
        </w:rPr>
        <w:t>frequent</w:t>
      </w:r>
      <w:r>
        <w:rPr>
          <w:color w:val="151515"/>
          <w:spacing w:val="-7"/>
          <w:w w:val="105"/>
          <w:sz w:val="23"/>
        </w:rPr>
        <w:t> </w:t>
      </w:r>
      <w:r>
        <w:rPr>
          <w:color w:val="151515"/>
          <w:w w:val="105"/>
          <w:sz w:val="23"/>
        </w:rPr>
        <w:t>reporting</w:t>
      </w:r>
      <w:r>
        <w:rPr>
          <w:color w:val="151515"/>
          <w:spacing w:val="-4"/>
          <w:w w:val="105"/>
          <w:sz w:val="23"/>
        </w:rPr>
        <w:t> </w:t>
      </w:r>
      <w:r>
        <w:rPr>
          <w:color w:val="242424"/>
          <w:w w:val="105"/>
          <w:sz w:val="23"/>
        </w:rPr>
        <w:t>to</w:t>
      </w:r>
      <w:r>
        <w:rPr>
          <w:color w:val="242424"/>
          <w:spacing w:val="-17"/>
          <w:w w:val="105"/>
          <w:sz w:val="23"/>
        </w:rPr>
        <w:t> </w:t>
      </w:r>
      <w:r>
        <w:rPr>
          <w:color w:val="242424"/>
          <w:w w:val="105"/>
          <w:sz w:val="23"/>
        </w:rPr>
        <w:t>members</w:t>
      </w:r>
      <w:r>
        <w:rPr>
          <w:color w:val="242424"/>
          <w:spacing w:val="-1"/>
          <w:w w:val="105"/>
          <w:sz w:val="23"/>
        </w:rPr>
        <w:t> </w:t>
      </w:r>
      <w:r>
        <w:rPr>
          <w:color w:val="151515"/>
          <w:w w:val="105"/>
          <w:sz w:val="23"/>
        </w:rPr>
        <w:t>has</w:t>
      </w:r>
      <w:r>
        <w:rPr>
          <w:color w:val="151515"/>
          <w:spacing w:val="-16"/>
          <w:w w:val="105"/>
          <w:sz w:val="23"/>
        </w:rPr>
        <w:t> </w:t>
      </w:r>
      <w:r>
        <w:rPr>
          <w:color w:val="151515"/>
          <w:w w:val="105"/>
          <w:sz w:val="23"/>
        </w:rPr>
        <w:t>been</w:t>
      </w:r>
      <w:r>
        <w:rPr>
          <w:color w:val="151515"/>
          <w:spacing w:val="-6"/>
          <w:w w:val="105"/>
          <w:sz w:val="23"/>
        </w:rPr>
        <w:t> </w:t>
      </w:r>
      <w:r>
        <w:rPr>
          <w:color w:val="151515"/>
          <w:w w:val="105"/>
          <w:sz w:val="23"/>
        </w:rPr>
        <w:t>undertaken during</w:t>
      </w:r>
      <w:r>
        <w:rPr>
          <w:color w:val="151515"/>
          <w:spacing w:val="-13"/>
          <w:w w:val="105"/>
          <w:sz w:val="23"/>
        </w:rPr>
        <w:t> </w:t>
      </w:r>
      <w:r>
        <w:rPr>
          <w:color w:val="151515"/>
          <w:w w:val="105"/>
          <w:sz w:val="23"/>
        </w:rPr>
        <w:t>these</w:t>
      </w:r>
      <w:r>
        <w:rPr>
          <w:color w:val="151515"/>
          <w:spacing w:val="-15"/>
          <w:w w:val="105"/>
          <w:sz w:val="23"/>
        </w:rPr>
        <w:t> </w:t>
      </w:r>
      <w:r>
        <w:rPr>
          <w:color w:val="151515"/>
          <w:w w:val="105"/>
          <w:sz w:val="23"/>
        </w:rPr>
        <w:t>difficult</w:t>
      </w:r>
      <w:r>
        <w:rPr>
          <w:color w:val="151515"/>
          <w:spacing w:val="-8"/>
          <w:w w:val="105"/>
          <w:sz w:val="23"/>
        </w:rPr>
        <w:t> </w:t>
      </w:r>
      <w:r>
        <w:rPr>
          <w:color w:val="151515"/>
          <w:w w:val="105"/>
          <w:sz w:val="23"/>
        </w:rPr>
        <w:t>times.</w:t>
      </w:r>
    </w:p>
    <w:p>
      <w:pPr>
        <w:spacing w:after="0" w:line="252" w:lineRule="auto"/>
        <w:jc w:val="both"/>
        <w:rPr>
          <w:sz w:val="23"/>
        </w:rPr>
        <w:sectPr>
          <w:pgSz w:w="11910" w:h="16830"/>
          <w:pgMar w:top="740" w:right="920" w:bottom="500" w:left="840" w:header="551" w:footer="318"/>
        </w:sectPr>
      </w:pPr>
    </w:p>
    <w:p>
      <w:pPr>
        <w:spacing w:before="206"/>
        <w:ind w:left="604" w:right="0" w:firstLine="0"/>
        <w:jc w:val="both"/>
        <w:rPr>
          <w:b/>
          <w:sz w:val="23"/>
        </w:rPr>
      </w:pPr>
      <w:r>
        <w:rPr>
          <w:b/>
          <w:color w:val="565656"/>
          <w:w w:val="105"/>
          <w:sz w:val="23"/>
        </w:rPr>
        <w:t>Hertsmere</w:t>
      </w:r>
      <w:r>
        <w:rPr>
          <w:b/>
          <w:color w:val="565656"/>
          <w:spacing w:val="-4"/>
          <w:w w:val="105"/>
          <w:sz w:val="23"/>
        </w:rPr>
        <w:t> </w:t>
      </w:r>
      <w:r>
        <w:rPr>
          <w:b/>
          <w:color w:val="565656"/>
          <w:w w:val="105"/>
          <w:sz w:val="23"/>
        </w:rPr>
        <w:t>and</w:t>
      </w:r>
      <w:r>
        <w:rPr>
          <w:b/>
          <w:color w:val="565656"/>
          <w:spacing w:val="-14"/>
          <w:w w:val="105"/>
          <w:sz w:val="23"/>
        </w:rPr>
        <w:t> </w:t>
      </w:r>
      <w:r>
        <w:rPr>
          <w:b/>
          <w:color w:val="565656"/>
          <w:w w:val="105"/>
          <w:sz w:val="23"/>
        </w:rPr>
        <w:t>our</w:t>
      </w:r>
      <w:r>
        <w:rPr>
          <w:b/>
          <w:color w:val="565656"/>
          <w:spacing w:val="-11"/>
          <w:w w:val="105"/>
          <w:sz w:val="23"/>
        </w:rPr>
        <w:t> </w:t>
      </w:r>
      <w:r>
        <w:rPr>
          <w:b/>
          <w:color w:val="565656"/>
          <w:w w:val="105"/>
          <w:sz w:val="23"/>
        </w:rPr>
        <w:t>local</w:t>
      </w:r>
      <w:r>
        <w:rPr>
          <w:b/>
          <w:color w:val="565656"/>
          <w:spacing w:val="-17"/>
          <w:w w:val="105"/>
          <w:sz w:val="23"/>
        </w:rPr>
        <w:t> </w:t>
      </w:r>
      <w:r>
        <w:rPr>
          <w:b/>
          <w:color w:val="565656"/>
          <w:spacing w:val="-4"/>
          <w:w w:val="105"/>
          <w:sz w:val="23"/>
        </w:rPr>
        <w:t>area</w:t>
      </w:r>
    </w:p>
    <w:p>
      <w:pPr>
        <w:pStyle w:val="BodyText"/>
        <w:spacing w:before="9"/>
        <w:rPr>
          <w:b/>
          <w:sz w:val="23"/>
        </w:rPr>
      </w:pPr>
    </w:p>
    <w:p>
      <w:pPr>
        <w:spacing w:before="0" w:line="240" w:lineRule="auto"/>
        <w:ind w:left="608" w:right="516" w:hanging="7"/>
        <w:jc w:val="both"/>
        <w:rPr>
          <w:sz w:val="24"/>
        </w:rPr>
      </w:pPr>
      <w:r>
        <w:rPr>
          <w:color w:val="0C0C0C"/>
          <w:sz w:val="24"/>
        </w:rPr>
        <w:t>Hertsmere</w:t>
      </w:r>
      <w:r>
        <w:rPr>
          <w:color w:val="0C0C0C"/>
          <w:spacing w:val="-17"/>
          <w:sz w:val="24"/>
        </w:rPr>
        <w:t> </w:t>
      </w:r>
      <w:r>
        <w:rPr>
          <w:color w:val="0C0C0C"/>
          <w:sz w:val="24"/>
        </w:rPr>
        <w:t>is</w:t>
      </w:r>
      <w:r>
        <w:rPr>
          <w:color w:val="0C0C0C"/>
          <w:spacing w:val="-17"/>
          <w:sz w:val="24"/>
        </w:rPr>
        <w:t> </w:t>
      </w:r>
      <w:r>
        <w:rPr>
          <w:color w:val="0C0C0C"/>
          <w:sz w:val="24"/>
        </w:rPr>
        <w:t>a</w:t>
      </w:r>
      <w:r>
        <w:rPr>
          <w:color w:val="0C0C0C"/>
          <w:spacing w:val="-16"/>
          <w:sz w:val="24"/>
        </w:rPr>
        <w:t> </w:t>
      </w:r>
      <w:r>
        <w:rPr>
          <w:color w:val="0C0C0C"/>
          <w:sz w:val="24"/>
        </w:rPr>
        <w:t>largely</w:t>
      </w:r>
      <w:r>
        <w:rPr>
          <w:color w:val="0C0C0C"/>
          <w:spacing w:val="-17"/>
          <w:sz w:val="24"/>
        </w:rPr>
        <w:t> </w:t>
      </w:r>
      <w:r>
        <w:rPr>
          <w:color w:val="0C0C0C"/>
          <w:sz w:val="24"/>
        </w:rPr>
        <w:t>rural</w:t>
      </w:r>
      <w:r>
        <w:rPr>
          <w:color w:val="0C0C0C"/>
          <w:spacing w:val="-17"/>
          <w:sz w:val="24"/>
        </w:rPr>
        <w:t> </w:t>
      </w:r>
      <w:r>
        <w:rPr>
          <w:color w:val="0C0C0C"/>
          <w:sz w:val="24"/>
        </w:rPr>
        <w:t>Borough</w:t>
      </w:r>
      <w:r>
        <w:rPr>
          <w:color w:val="0C0C0C"/>
          <w:spacing w:val="-9"/>
          <w:sz w:val="24"/>
        </w:rPr>
        <w:t> </w:t>
      </w:r>
      <w:r>
        <w:rPr>
          <w:color w:val="0C0C0C"/>
          <w:sz w:val="24"/>
        </w:rPr>
        <w:t>in</w:t>
      </w:r>
      <w:r>
        <w:rPr>
          <w:color w:val="0C0C0C"/>
          <w:spacing w:val="-17"/>
          <w:sz w:val="24"/>
        </w:rPr>
        <w:t> </w:t>
      </w:r>
      <w:r>
        <w:rPr>
          <w:color w:val="0C0C0C"/>
          <w:sz w:val="24"/>
        </w:rPr>
        <w:t>Hertfordshire,</w:t>
      </w:r>
      <w:r>
        <w:rPr>
          <w:color w:val="0C0C0C"/>
          <w:spacing w:val="-17"/>
          <w:sz w:val="24"/>
        </w:rPr>
        <w:t> </w:t>
      </w:r>
      <w:r>
        <w:rPr>
          <w:color w:val="0C0C0C"/>
          <w:sz w:val="24"/>
        </w:rPr>
        <w:t>situated</w:t>
      </w:r>
      <w:r>
        <w:rPr>
          <w:color w:val="0C0C0C"/>
          <w:spacing w:val="-11"/>
          <w:sz w:val="24"/>
        </w:rPr>
        <w:t> </w:t>
      </w:r>
      <w:r>
        <w:rPr>
          <w:color w:val="0C0C0C"/>
          <w:sz w:val="24"/>
        </w:rPr>
        <w:t>immediately</w:t>
      </w:r>
      <w:r>
        <w:rPr>
          <w:color w:val="0C0C0C"/>
          <w:spacing w:val="-1"/>
          <w:sz w:val="24"/>
        </w:rPr>
        <w:t> </w:t>
      </w:r>
      <w:r>
        <w:rPr>
          <w:color w:val="0C0C0C"/>
          <w:sz w:val="24"/>
        </w:rPr>
        <w:t>to</w:t>
      </w:r>
      <w:r>
        <w:rPr>
          <w:color w:val="0C0C0C"/>
          <w:spacing w:val="-17"/>
          <w:sz w:val="24"/>
        </w:rPr>
        <w:t> </w:t>
      </w:r>
      <w:r>
        <w:rPr>
          <w:color w:val="0C0C0C"/>
          <w:sz w:val="24"/>
        </w:rPr>
        <w:t>the</w:t>
      </w:r>
      <w:r>
        <w:rPr>
          <w:color w:val="0C0C0C"/>
          <w:spacing w:val="-17"/>
          <w:sz w:val="24"/>
        </w:rPr>
        <w:t> </w:t>
      </w:r>
      <w:r>
        <w:rPr>
          <w:color w:val="0C0C0C"/>
          <w:sz w:val="24"/>
        </w:rPr>
        <w:t>north of London. With 80% of our borough in Green Belt land, the majority of our 105,000 residents</w:t>
      </w:r>
      <w:r>
        <w:rPr>
          <w:color w:val="0C0C0C"/>
          <w:spacing w:val="-17"/>
          <w:sz w:val="24"/>
        </w:rPr>
        <w:t> </w:t>
      </w:r>
      <w:r>
        <w:rPr>
          <w:color w:val="0C0C0C"/>
          <w:sz w:val="24"/>
        </w:rPr>
        <w:t>live</w:t>
      </w:r>
      <w:r>
        <w:rPr>
          <w:color w:val="0C0C0C"/>
          <w:spacing w:val="-17"/>
          <w:sz w:val="24"/>
        </w:rPr>
        <w:t> </w:t>
      </w:r>
      <w:r>
        <w:rPr>
          <w:color w:val="0C0C0C"/>
          <w:sz w:val="24"/>
        </w:rPr>
        <w:t>in</w:t>
      </w:r>
      <w:r>
        <w:rPr>
          <w:color w:val="0C0C0C"/>
          <w:spacing w:val="-16"/>
          <w:sz w:val="24"/>
        </w:rPr>
        <w:t> </w:t>
      </w:r>
      <w:r>
        <w:rPr>
          <w:color w:val="0C0C0C"/>
          <w:sz w:val="24"/>
        </w:rPr>
        <w:t>our</w:t>
      </w:r>
      <w:r>
        <w:rPr>
          <w:color w:val="0C0C0C"/>
          <w:spacing w:val="-17"/>
          <w:sz w:val="24"/>
        </w:rPr>
        <w:t> </w:t>
      </w:r>
      <w:r>
        <w:rPr>
          <w:color w:val="0C0C0C"/>
          <w:sz w:val="24"/>
        </w:rPr>
        <w:t>four</w:t>
      </w:r>
      <w:r>
        <w:rPr>
          <w:color w:val="0C0C0C"/>
          <w:spacing w:val="-17"/>
          <w:sz w:val="24"/>
        </w:rPr>
        <w:t> </w:t>
      </w:r>
      <w:r>
        <w:rPr>
          <w:color w:val="0C0C0C"/>
          <w:sz w:val="24"/>
        </w:rPr>
        <w:t>main</w:t>
      </w:r>
      <w:r>
        <w:rPr>
          <w:color w:val="0C0C0C"/>
          <w:spacing w:val="-17"/>
          <w:sz w:val="24"/>
        </w:rPr>
        <w:t> </w:t>
      </w:r>
      <w:r>
        <w:rPr>
          <w:color w:val="0C0C0C"/>
          <w:sz w:val="24"/>
        </w:rPr>
        <w:t>towns</w:t>
      </w:r>
      <w:r>
        <w:rPr>
          <w:color w:val="0C0C0C"/>
          <w:spacing w:val="-15"/>
          <w:sz w:val="24"/>
        </w:rPr>
        <w:t> </w:t>
      </w:r>
      <w:r>
        <w:rPr>
          <w:color w:val="0C0C0C"/>
          <w:sz w:val="24"/>
        </w:rPr>
        <w:t>-</w:t>
      </w:r>
      <w:r>
        <w:rPr>
          <w:color w:val="0C0C0C"/>
          <w:spacing w:val="-12"/>
          <w:sz w:val="24"/>
        </w:rPr>
        <w:t> </w:t>
      </w:r>
      <w:r>
        <w:rPr>
          <w:color w:val="0C0C0C"/>
          <w:sz w:val="24"/>
        </w:rPr>
        <w:t>Bushey,</w:t>
      </w:r>
      <w:r>
        <w:rPr>
          <w:color w:val="0C0C0C"/>
          <w:spacing w:val="-5"/>
          <w:sz w:val="24"/>
        </w:rPr>
        <w:t> </w:t>
      </w:r>
      <w:r>
        <w:rPr>
          <w:color w:val="0C0C0C"/>
          <w:sz w:val="24"/>
        </w:rPr>
        <w:t>Borehamwood, Radlett</w:t>
      </w:r>
      <w:r>
        <w:rPr>
          <w:color w:val="0C0C0C"/>
          <w:spacing w:val="-7"/>
          <w:sz w:val="24"/>
        </w:rPr>
        <w:t> </w:t>
      </w:r>
      <w:r>
        <w:rPr>
          <w:color w:val="0C0C0C"/>
          <w:sz w:val="24"/>
        </w:rPr>
        <w:t>and</w:t>
      </w:r>
      <w:r>
        <w:rPr>
          <w:color w:val="0C0C0C"/>
          <w:spacing w:val="-17"/>
          <w:sz w:val="24"/>
        </w:rPr>
        <w:t> </w:t>
      </w:r>
      <w:r>
        <w:rPr>
          <w:color w:val="0C0C0C"/>
          <w:sz w:val="24"/>
        </w:rPr>
        <w:t>Potters</w:t>
      </w:r>
      <w:r>
        <w:rPr>
          <w:color w:val="0C0C0C"/>
          <w:spacing w:val="-12"/>
          <w:sz w:val="24"/>
        </w:rPr>
        <w:t> </w:t>
      </w:r>
      <w:r>
        <w:rPr>
          <w:color w:val="0C0C0C"/>
          <w:sz w:val="24"/>
        </w:rPr>
        <w:t>Bar</w:t>
      </w:r>
    </w:p>
    <w:p>
      <w:pPr>
        <w:spacing w:before="0" w:line="242" w:lineRule="auto"/>
        <w:ind w:left="608" w:right="516" w:hanging="4"/>
        <w:jc w:val="both"/>
        <w:rPr>
          <w:sz w:val="24"/>
        </w:rPr>
      </w:pPr>
      <w:r>
        <w:rPr>
          <w:color w:val="0C0C0C"/>
          <w:sz w:val="24"/>
        </w:rPr>
        <w:t>- each with their own identity. Excellent north-south rail and road connections mean that Hertsmere is</w:t>
      </w:r>
      <w:r>
        <w:rPr>
          <w:color w:val="0C0C0C"/>
          <w:spacing w:val="-1"/>
          <w:sz w:val="24"/>
        </w:rPr>
        <w:t> </w:t>
      </w:r>
      <w:r>
        <w:rPr>
          <w:color w:val="0C0C0C"/>
          <w:sz w:val="24"/>
        </w:rPr>
        <w:t>very well connected to London and the rest of the country.</w:t>
      </w:r>
    </w:p>
    <w:p>
      <w:pPr>
        <w:spacing w:before="273" w:line="240" w:lineRule="auto"/>
        <w:ind w:left="606" w:right="499" w:hanging="3"/>
        <w:jc w:val="both"/>
        <w:rPr>
          <w:sz w:val="24"/>
        </w:rPr>
      </w:pPr>
      <w:r>
        <w:rPr>
          <w:color w:val="0C0C0C"/>
          <w:sz w:val="24"/>
        </w:rPr>
        <w:t>It's</w:t>
      </w:r>
      <w:r>
        <w:rPr>
          <w:color w:val="0C0C0C"/>
          <w:spacing w:val="-3"/>
          <w:sz w:val="24"/>
        </w:rPr>
        <w:t> </w:t>
      </w:r>
      <w:r>
        <w:rPr>
          <w:color w:val="0C0C0C"/>
          <w:sz w:val="24"/>
        </w:rPr>
        <w:t>this</w:t>
      </w:r>
      <w:r>
        <w:rPr>
          <w:color w:val="0C0C0C"/>
          <w:spacing w:val="-1"/>
          <w:sz w:val="24"/>
        </w:rPr>
        <w:t> </w:t>
      </w:r>
      <w:r>
        <w:rPr>
          <w:color w:val="0C0C0C"/>
          <w:sz w:val="24"/>
        </w:rPr>
        <w:t>mix of green areas, distinct towns, and strong connections that means life in Hertsmere offers a great balance of city and countryside</w:t>
      </w:r>
      <w:r>
        <w:rPr>
          <w:color w:val="464646"/>
          <w:sz w:val="24"/>
        </w:rPr>
        <w:t>.</w:t>
      </w:r>
      <w:r>
        <w:rPr>
          <w:color w:val="464646"/>
          <w:spacing w:val="-8"/>
          <w:sz w:val="24"/>
        </w:rPr>
        <w:t> </w:t>
      </w:r>
      <w:r>
        <w:rPr>
          <w:color w:val="0C0C0C"/>
          <w:sz w:val="24"/>
        </w:rPr>
        <w:t>It is also this location and strong</w:t>
      </w:r>
      <w:r>
        <w:rPr>
          <w:color w:val="0C0C0C"/>
          <w:spacing w:val="-1"/>
          <w:sz w:val="24"/>
        </w:rPr>
        <w:t> </w:t>
      </w:r>
      <w:r>
        <w:rPr>
          <w:color w:val="0C0C0C"/>
          <w:sz w:val="24"/>
        </w:rPr>
        <w:t>connections which</w:t>
      </w:r>
      <w:r>
        <w:rPr>
          <w:color w:val="0C0C0C"/>
          <w:spacing w:val="-8"/>
          <w:sz w:val="24"/>
        </w:rPr>
        <w:t> </w:t>
      </w:r>
      <w:r>
        <w:rPr>
          <w:color w:val="0C0C0C"/>
          <w:sz w:val="24"/>
        </w:rPr>
        <w:t>make</w:t>
      </w:r>
      <w:r>
        <w:rPr>
          <w:color w:val="0C0C0C"/>
          <w:spacing w:val="-1"/>
          <w:sz w:val="24"/>
        </w:rPr>
        <w:t> </w:t>
      </w:r>
      <w:r>
        <w:rPr>
          <w:color w:val="0C0C0C"/>
          <w:sz w:val="24"/>
        </w:rPr>
        <w:t>Hertsmere a</w:t>
      </w:r>
      <w:r>
        <w:rPr>
          <w:color w:val="0C0C0C"/>
          <w:spacing w:val="-12"/>
          <w:sz w:val="24"/>
        </w:rPr>
        <w:t> </w:t>
      </w:r>
      <w:r>
        <w:rPr>
          <w:color w:val="0C0C0C"/>
          <w:sz w:val="24"/>
        </w:rPr>
        <w:t>great</w:t>
      </w:r>
      <w:r>
        <w:rPr>
          <w:color w:val="0C0C0C"/>
          <w:spacing w:val="-2"/>
          <w:sz w:val="24"/>
        </w:rPr>
        <w:t> </w:t>
      </w:r>
      <w:r>
        <w:rPr>
          <w:color w:val="0C0C0C"/>
          <w:sz w:val="24"/>
        </w:rPr>
        <w:t>place</w:t>
      </w:r>
      <w:r>
        <w:rPr>
          <w:color w:val="0C0C0C"/>
          <w:spacing w:val="-1"/>
          <w:sz w:val="24"/>
        </w:rPr>
        <w:t> </w:t>
      </w:r>
      <w:r>
        <w:rPr>
          <w:color w:val="0C0C0C"/>
          <w:sz w:val="24"/>
        </w:rPr>
        <w:t>to</w:t>
      </w:r>
      <w:r>
        <w:rPr>
          <w:color w:val="0C0C0C"/>
          <w:spacing w:val="-10"/>
          <w:sz w:val="24"/>
        </w:rPr>
        <w:t> </w:t>
      </w:r>
      <w:r>
        <w:rPr>
          <w:color w:val="0C0C0C"/>
          <w:sz w:val="24"/>
        </w:rPr>
        <w:t>establish a</w:t>
      </w:r>
      <w:r>
        <w:rPr>
          <w:color w:val="0C0C0C"/>
          <w:spacing w:val="-15"/>
          <w:sz w:val="24"/>
        </w:rPr>
        <w:t> </w:t>
      </w:r>
      <w:r>
        <w:rPr>
          <w:color w:val="0C0C0C"/>
          <w:sz w:val="24"/>
        </w:rPr>
        <w:t>business, and the borough has attracted a number of major employers as a result.</w:t>
      </w:r>
    </w:p>
    <w:p>
      <w:pPr>
        <w:pStyle w:val="BodyText"/>
        <w:spacing w:before="4"/>
        <w:rPr>
          <w:sz w:val="24"/>
        </w:rPr>
      </w:pPr>
    </w:p>
    <w:p>
      <w:pPr>
        <w:spacing w:before="0" w:line="242" w:lineRule="auto"/>
        <w:ind w:left="605" w:right="501" w:firstLine="5"/>
        <w:jc w:val="both"/>
        <w:rPr>
          <w:sz w:val="24"/>
        </w:rPr>
      </w:pPr>
      <w:r>
        <w:rPr>
          <w:color w:val="0C0C0C"/>
          <w:sz w:val="24"/>
        </w:rPr>
        <w:t>The professional, scientific or technical; construction, and ICT industries are particularly strong.</w:t>
      </w:r>
      <w:r>
        <w:rPr>
          <w:color w:val="0C0C0C"/>
          <w:spacing w:val="-2"/>
          <w:sz w:val="24"/>
        </w:rPr>
        <w:t> </w:t>
      </w:r>
      <w:r>
        <w:rPr>
          <w:color w:val="0C0C0C"/>
          <w:sz w:val="24"/>
        </w:rPr>
        <w:t>An</w:t>
      </w:r>
      <w:r>
        <w:rPr>
          <w:color w:val="0C0C0C"/>
          <w:spacing w:val="-17"/>
          <w:sz w:val="24"/>
        </w:rPr>
        <w:t> </w:t>
      </w:r>
      <w:r>
        <w:rPr>
          <w:color w:val="0C0C0C"/>
          <w:sz w:val="24"/>
        </w:rPr>
        <w:t>active</w:t>
      </w:r>
      <w:r>
        <w:rPr>
          <w:color w:val="0C0C0C"/>
          <w:spacing w:val="-12"/>
          <w:sz w:val="24"/>
        </w:rPr>
        <w:t> </w:t>
      </w:r>
      <w:r>
        <w:rPr>
          <w:color w:val="0C0C0C"/>
          <w:sz w:val="24"/>
        </w:rPr>
        <w:t>film</w:t>
      </w:r>
      <w:r>
        <w:rPr>
          <w:color w:val="0C0C0C"/>
          <w:spacing w:val="-12"/>
          <w:sz w:val="24"/>
        </w:rPr>
        <w:t> </w:t>
      </w:r>
      <w:r>
        <w:rPr>
          <w:color w:val="0C0C0C"/>
          <w:sz w:val="24"/>
        </w:rPr>
        <w:t>and</w:t>
      </w:r>
      <w:r>
        <w:rPr>
          <w:color w:val="0C0C0C"/>
          <w:spacing w:val="-15"/>
          <w:sz w:val="24"/>
        </w:rPr>
        <w:t> </w:t>
      </w:r>
      <w:r>
        <w:rPr>
          <w:color w:val="0C0C0C"/>
          <w:sz w:val="24"/>
        </w:rPr>
        <w:t>television</w:t>
      </w:r>
      <w:r>
        <w:rPr>
          <w:color w:val="0C0C0C"/>
          <w:spacing w:val="-4"/>
          <w:sz w:val="24"/>
        </w:rPr>
        <w:t> </w:t>
      </w:r>
      <w:r>
        <w:rPr>
          <w:color w:val="0C0C0C"/>
          <w:sz w:val="24"/>
        </w:rPr>
        <w:t>industry</w:t>
      </w:r>
      <w:r>
        <w:rPr>
          <w:color w:val="0C0C0C"/>
          <w:spacing w:val="-1"/>
          <w:sz w:val="24"/>
        </w:rPr>
        <w:t> </w:t>
      </w:r>
      <w:r>
        <w:rPr>
          <w:color w:val="0C0C0C"/>
          <w:sz w:val="24"/>
        </w:rPr>
        <w:t>exists</w:t>
      </w:r>
      <w:r>
        <w:rPr>
          <w:color w:val="0C0C0C"/>
          <w:spacing w:val="-6"/>
          <w:sz w:val="24"/>
        </w:rPr>
        <w:t> </w:t>
      </w:r>
      <w:r>
        <w:rPr>
          <w:color w:val="0C0C0C"/>
          <w:sz w:val="24"/>
        </w:rPr>
        <w:t>around</w:t>
      </w:r>
      <w:r>
        <w:rPr>
          <w:color w:val="0C0C0C"/>
          <w:spacing w:val="-11"/>
          <w:sz w:val="24"/>
        </w:rPr>
        <w:t> </w:t>
      </w:r>
      <w:r>
        <w:rPr>
          <w:color w:val="0C0C0C"/>
          <w:sz w:val="24"/>
        </w:rPr>
        <w:t>Borehamwood, which has a heritage of film and television production dating back to the early 20th century. A budding avionics specialism is currently developing at London Elstree </w:t>
      </w:r>
      <w:r>
        <w:rPr>
          <w:color w:val="0C0C0C"/>
          <w:spacing w:val="-2"/>
          <w:sz w:val="24"/>
        </w:rPr>
        <w:t>Aerodrome.</w:t>
      </w:r>
    </w:p>
    <w:p>
      <w:pPr>
        <w:spacing w:before="269" w:line="240" w:lineRule="auto"/>
        <w:ind w:left="605" w:right="493" w:firstLine="4"/>
        <w:jc w:val="both"/>
        <w:rPr>
          <w:sz w:val="24"/>
        </w:rPr>
      </w:pPr>
      <w:r>
        <w:rPr>
          <w:color w:val="0C0C0C"/>
          <w:sz w:val="24"/>
        </w:rPr>
        <w:t>Small businesses also make up an important part of the local economy. However, proximity to London also brings challenges including recruitment and retention of workers</w:t>
      </w:r>
      <w:r>
        <w:rPr>
          <w:color w:val="0C0C0C"/>
          <w:spacing w:val="-13"/>
          <w:sz w:val="24"/>
        </w:rPr>
        <w:t> </w:t>
      </w:r>
      <w:r>
        <w:rPr>
          <w:color w:val="0C0C0C"/>
          <w:sz w:val="24"/>
        </w:rPr>
        <w:t>and</w:t>
      </w:r>
      <w:r>
        <w:rPr>
          <w:color w:val="0C0C0C"/>
          <w:spacing w:val="-16"/>
          <w:sz w:val="24"/>
        </w:rPr>
        <w:t> </w:t>
      </w:r>
      <w:r>
        <w:rPr>
          <w:color w:val="0C0C0C"/>
          <w:sz w:val="24"/>
        </w:rPr>
        <w:t>talent,</w:t>
      </w:r>
      <w:r>
        <w:rPr>
          <w:color w:val="0C0C0C"/>
          <w:spacing w:val="-12"/>
          <w:sz w:val="24"/>
        </w:rPr>
        <w:t> </w:t>
      </w:r>
      <w:r>
        <w:rPr>
          <w:color w:val="0C0C0C"/>
          <w:sz w:val="24"/>
        </w:rPr>
        <w:t>high</w:t>
      </w:r>
      <w:r>
        <w:rPr>
          <w:color w:val="0C0C0C"/>
          <w:spacing w:val="-17"/>
          <w:sz w:val="24"/>
        </w:rPr>
        <w:t> </w:t>
      </w:r>
      <w:r>
        <w:rPr>
          <w:color w:val="0C0C0C"/>
          <w:sz w:val="24"/>
        </w:rPr>
        <w:t>house</w:t>
      </w:r>
      <w:r>
        <w:rPr>
          <w:color w:val="0C0C0C"/>
          <w:spacing w:val="-14"/>
          <w:sz w:val="24"/>
        </w:rPr>
        <w:t> </w:t>
      </w:r>
      <w:r>
        <w:rPr>
          <w:color w:val="0C0C0C"/>
          <w:sz w:val="24"/>
        </w:rPr>
        <w:t>prices which</w:t>
      </w:r>
      <w:r>
        <w:rPr>
          <w:color w:val="0C0C0C"/>
          <w:spacing w:val="-17"/>
          <w:sz w:val="24"/>
        </w:rPr>
        <w:t> </w:t>
      </w:r>
      <w:r>
        <w:rPr>
          <w:color w:val="0C0C0C"/>
          <w:sz w:val="24"/>
        </w:rPr>
        <w:t>particularly impact</w:t>
      </w:r>
      <w:r>
        <w:rPr>
          <w:color w:val="0C0C0C"/>
          <w:spacing w:val="-11"/>
          <w:sz w:val="24"/>
        </w:rPr>
        <w:t> </w:t>
      </w:r>
      <w:r>
        <w:rPr>
          <w:color w:val="0C0C0C"/>
          <w:sz w:val="24"/>
        </w:rPr>
        <w:t>first</w:t>
      </w:r>
      <w:r>
        <w:rPr>
          <w:color w:val="0C0C0C"/>
          <w:spacing w:val="-17"/>
          <w:sz w:val="24"/>
        </w:rPr>
        <w:t> </w:t>
      </w:r>
      <w:r>
        <w:rPr>
          <w:color w:val="0C0C0C"/>
          <w:sz w:val="24"/>
        </w:rPr>
        <w:t>time</w:t>
      </w:r>
      <w:r>
        <w:rPr>
          <w:color w:val="0C0C0C"/>
          <w:spacing w:val="-17"/>
          <w:sz w:val="24"/>
        </w:rPr>
        <w:t> </w:t>
      </w:r>
      <w:r>
        <w:rPr>
          <w:color w:val="0C0C0C"/>
          <w:sz w:val="24"/>
        </w:rPr>
        <w:t>buyers, along with high and rising private rental costs.</w:t>
      </w:r>
    </w:p>
    <w:p>
      <w:pPr>
        <w:spacing w:before="275" w:line="240" w:lineRule="auto"/>
        <w:ind w:left="605" w:right="504" w:firstLine="1"/>
        <w:jc w:val="both"/>
        <w:rPr>
          <w:sz w:val="24"/>
        </w:rPr>
      </w:pPr>
      <w:r>
        <w:rPr>
          <w:color w:val="0C0C0C"/>
          <w:sz w:val="24"/>
        </w:rPr>
        <w:t>Hertsmere's population today is growing, aging and diversifying. While relatively prosperous, pockets of real deprivation exist within the borough. Overall population health is good, although health inequalities do exist.</w:t>
      </w:r>
    </w:p>
    <w:p>
      <w:pPr>
        <w:pStyle w:val="BodyText"/>
        <w:rPr>
          <w:sz w:val="24"/>
        </w:rPr>
      </w:pPr>
    </w:p>
    <w:p>
      <w:pPr>
        <w:pStyle w:val="BodyText"/>
        <w:rPr>
          <w:sz w:val="24"/>
        </w:rPr>
      </w:pPr>
    </w:p>
    <w:p>
      <w:pPr>
        <w:pStyle w:val="BodyText"/>
        <w:spacing w:before="12"/>
        <w:rPr>
          <w:sz w:val="24"/>
        </w:rPr>
      </w:pPr>
    </w:p>
    <w:p>
      <w:pPr>
        <w:spacing w:before="0"/>
        <w:ind w:left="611" w:right="0" w:firstLine="0"/>
        <w:jc w:val="both"/>
        <w:rPr>
          <w:b/>
          <w:sz w:val="23"/>
        </w:rPr>
      </w:pPr>
      <w:r>
        <w:rPr>
          <w:b/>
          <w:color w:val="0C0C0C"/>
          <w:w w:val="105"/>
          <w:sz w:val="23"/>
        </w:rPr>
        <w:t>What</w:t>
      </w:r>
      <w:r>
        <w:rPr>
          <w:b/>
          <w:color w:val="0C0C0C"/>
          <w:spacing w:val="-17"/>
          <w:w w:val="105"/>
          <w:sz w:val="23"/>
        </w:rPr>
        <w:t> </w:t>
      </w:r>
      <w:r>
        <w:rPr>
          <w:b/>
          <w:color w:val="0C0C0C"/>
          <w:w w:val="105"/>
          <w:sz w:val="23"/>
        </w:rPr>
        <w:t>services</w:t>
      </w:r>
      <w:r>
        <w:rPr>
          <w:b/>
          <w:color w:val="0C0C0C"/>
          <w:spacing w:val="-17"/>
          <w:w w:val="105"/>
          <w:sz w:val="23"/>
        </w:rPr>
        <w:t> </w:t>
      </w:r>
      <w:r>
        <w:rPr>
          <w:b/>
          <w:color w:val="0C0C0C"/>
          <w:w w:val="105"/>
          <w:sz w:val="23"/>
        </w:rPr>
        <w:t>is</w:t>
      </w:r>
      <w:r>
        <w:rPr>
          <w:b/>
          <w:color w:val="0C0C0C"/>
          <w:spacing w:val="-17"/>
          <w:w w:val="105"/>
          <w:sz w:val="23"/>
        </w:rPr>
        <w:t> </w:t>
      </w:r>
      <w:r>
        <w:rPr>
          <w:b/>
          <w:color w:val="0C0C0C"/>
          <w:w w:val="105"/>
          <w:sz w:val="23"/>
        </w:rPr>
        <w:t>Hertsmere</w:t>
      </w:r>
      <w:r>
        <w:rPr>
          <w:b/>
          <w:color w:val="0C0C0C"/>
          <w:spacing w:val="-8"/>
          <w:w w:val="105"/>
          <w:sz w:val="23"/>
        </w:rPr>
        <w:t> </w:t>
      </w:r>
      <w:r>
        <w:rPr>
          <w:b/>
          <w:color w:val="0C0C0C"/>
          <w:w w:val="105"/>
          <w:sz w:val="23"/>
        </w:rPr>
        <w:t>responsible</w:t>
      </w:r>
      <w:r>
        <w:rPr>
          <w:b/>
          <w:color w:val="0C0C0C"/>
          <w:spacing w:val="3"/>
          <w:w w:val="105"/>
          <w:sz w:val="23"/>
        </w:rPr>
        <w:t> </w:t>
      </w:r>
      <w:r>
        <w:rPr>
          <w:b/>
          <w:color w:val="0C0C0C"/>
          <w:spacing w:val="-4"/>
          <w:w w:val="105"/>
          <w:sz w:val="23"/>
        </w:rPr>
        <w:t>for?</w:t>
      </w:r>
    </w:p>
    <w:p>
      <w:pPr>
        <w:pStyle w:val="BodyText"/>
        <w:spacing w:before="14"/>
        <w:rPr>
          <w:b/>
          <w:sz w:val="23"/>
        </w:rPr>
      </w:pPr>
    </w:p>
    <w:p>
      <w:pPr>
        <w:spacing w:before="0" w:line="240" w:lineRule="auto"/>
        <w:ind w:left="607" w:right="485" w:hanging="1"/>
        <w:jc w:val="both"/>
        <w:rPr>
          <w:sz w:val="24"/>
        </w:rPr>
      </w:pPr>
      <w:r>
        <w:rPr>
          <w:color w:val="0C0C0C"/>
          <w:sz w:val="24"/>
        </w:rPr>
        <w:t>Hertsmere Borough Council is responsible for providing services including street cleaning, kerbside waste and</w:t>
      </w:r>
      <w:r>
        <w:rPr>
          <w:color w:val="0C0C0C"/>
          <w:spacing w:val="-6"/>
          <w:sz w:val="24"/>
        </w:rPr>
        <w:t> </w:t>
      </w:r>
      <w:r>
        <w:rPr>
          <w:color w:val="0C0C0C"/>
          <w:sz w:val="24"/>
        </w:rPr>
        <w:t>recycling collections, community safety, environmental health, housing needs, benefits, leisure and parks, licensing and planning services.</w:t>
      </w:r>
    </w:p>
    <w:p>
      <w:pPr>
        <w:pStyle w:val="BodyText"/>
        <w:spacing w:before="1"/>
        <w:rPr>
          <w:sz w:val="24"/>
        </w:rPr>
      </w:pPr>
    </w:p>
    <w:p>
      <w:pPr>
        <w:spacing w:before="0" w:line="242" w:lineRule="auto"/>
        <w:ind w:left="609" w:right="472" w:hanging="1"/>
        <w:jc w:val="both"/>
        <w:rPr>
          <w:sz w:val="24"/>
        </w:rPr>
      </w:pPr>
      <w:r>
        <w:rPr>
          <w:color w:val="0C0C0C"/>
          <w:sz w:val="24"/>
        </w:rPr>
        <w:t>We work in partnership with other local authorities to improve the quality of life for residents but we</w:t>
      </w:r>
      <w:r>
        <w:rPr>
          <w:color w:val="0C0C0C"/>
          <w:spacing w:val="-2"/>
          <w:sz w:val="24"/>
        </w:rPr>
        <w:t> </w:t>
      </w:r>
      <w:r>
        <w:rPr>
          <w:color w:val="0C0C0C"/>
          <w:sz w:val="24"/>
        </w:rPr>
        <w:t>do</w:t>
      </w:r>
      <w:r>
        <w:rPr>
          <w:color w:val="0C0C0C"/>
          <w:spacing w:val="-2"/>
          <w:sz w:val="24"/>
        </w:rPr>
        <w:t> </w:t>
      </w:r>
      <w:r>
        <w:rPr>
          <w:color w:val="0C0C0C"/>
          <w:sz w:val="24"/>
        </w:rPr>
        <w:t>not have any control over services which are</w:t>
      </w:r>
      <w:r>
        <w:rPr>
          <w:color w:val="0C0C0C"/>
          <w:spacing w:val="-2"/>
          <w:sz w:val="24"/>
        </w:rPr>
        <w:t> </w:t>
      </w:r>
      <w:r>
        <w:rPr>
          <w:color w:val="0C0C0C"/>
          <w:sz w:val="24"/>
        </w:rPr>
        <w:t>statutorily provided by other organisations e.g</w:t>
      </w:r>
      <w:r>
        <w:rPr>
          <w:color w:val="464646"/>
          <w:sz w:val="24"/>
        </w:rPr>
        <w:t>.</w:t>
      </w:r>
      <w:r>
        <w:rPr>
          <w:color w:val="464646"/>
          <w:spacing w:val="-9"/>
          <w:sz w:val="24"/>
        </w:rPr>
        <w:t> </w:t>
      </w:r>
      <w:r>
        <w:rPr>
          <w:color w:val="0C0C0C"/>
          <w:sz w:val="24"/>
        </w:rPr>
        <w:t>education, children &amp; adult social care, roads and street lights as they are the responsibility of Hertfordshire County Council. There are also five town and parish councils which operate in some areas of</w:t>
      </w:r>
      <w:r>
        <w:rPr>
          <w:color w:val="0C0C0C"/>
          <w:spacing w:val="-1"/>
          <w:sz w:val="24"/>
        </w:rPr>
        <w:t> </w:t>
      </w:r>
      <w:r>
        <w:rPr>
          <w:color w:val="0C0C0C"/>
          <w:sz w:val="24"/>
        </w:rPr>
        <w:t>Hertsmere.</w:t>
      </w:r>
    </w:p>
    <w:p>
      <w:pPr>
        <w:spacing w:after="0" w:line="242" w:lineRule="auto"/>
        <w:jc w:val="both"/>
        <w:rPr>
          <w:sz w:val="24"/>
        </w:rPr>
        <w:sectPr>
          <w:headerReference w:type="default" r:id="rId21"/>
          <w:headerReference w:type="even" r:id="rId22"/>
          <w:footerReference w:type="default" r:id="rId23"/>
          <w:footerReference w:type="even" r:id="rId24"/>
          <w:pgSz w:w="11910" w:h="16830"/>
          <w:pgMar w:top="580" w:right="920" w:bottom="660" w:left="840" w:header="397" w:footer="471"/>
          <w:pgNumType w:start="11"/>
        </w:sectPr>
      </w:pPr>
    </w:p>
    <w:p>
      <w:pPr>
        <w:spacing w:before="201"/>
        <w:ind w:left="857" w:right="0" w:firstLine="0"/>
        <w:jc w:val="left"/>
        <w:rPr>
          <w:b/>
          <w:sz w:val="23"/>
        </w:rPr>
      </w:pPr>
      <w:r>
        <w:rPr/>
        <ve:AlternateContent>
          <ve:Choice Requires="wps">
            <w:drawing>
              <wp:anchor distT="0" distB="0" distL="0" distR="0" simplePos="0" relativeHeight="15739392" behindDoc="0" locked="0" layoutInCell="1" allowOverlap="1">
                <wp:simplePos x="0" y="0"/>
                <wp:positionH relativeFrom="page">
                  <wp:posOffset>15264</wp:posOffset>
                </wp:positionH>
                <wp:positionV relativeFrom="page">
                  <wp:posOffset>9892903</wp:posOffset>
                </wp:positionV>
                <wp:extent cx="1270" cy="51308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1270" cy="513080"/>
                        </a:xfrm>
                        <a:custGeom>
                          <a:avLst/>
                          <a:gdLst/>
                          <a:ahLst/>
                          <a:cxnLst/>
                          <a:rect l="l" t="t" r="r" b="b"/>
                          <a:pathLst>
                            <a:path w="0" h="513080">
                              <a:moveTo>
                                <a:pt x="0" y="512648"/>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39392" stroked="true" strokecolor="#000000" strokeweight=".961549pt" from="1.201936pt,819.334814pt" to="1.201936pt,778.968811pt">
                <v:stroke dashstyle="solid"/>
                <w10:wrap type="none"/>
              </v:line>
            </w:pict>
          </ve:Fallback>
        </ve:AlternateContent>
      </w:r>
      <w:r>
        <w:rPr/>
        <ve:AlternateContent>
          <ve:Choice Requires="wps">
            <w:drawing>
              <wp:anchor distT="0" distB="0" distL="0" distR="0" simplePos="0" relativeHeight="15739904" behindDoc="0" locked="0" layoutInCell="1" allowOverlap="1">
                <wp:simplePos x="0" y="0"/>
                <wp:positionH relativeFrom="page">
                  <wp:posOffset>33582</wp:posOffset>
                </wp:positionH>
                <wp:positionV relativeFrom="page">
                  <wp:posOffset>9111725</wp:posOffset>
                </wp:positionV>
                <wp:extent cx="1270" cy="51308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1270" cy="513080"/>
                        </a:xfrm>
                        <a:custGeom>
                          <a:avLst/>
                          <a:gdLst/>
                          <a:ahLst/>
                          <a:cxnLst/>
                          <a:rect l="l" t="t" r="r" b="b"/>
                          <a:pathLst>
                            <a:path w="0" h="513080">
                              <a:moveTo>
                                <a:pt x="0" y="512648"/>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39904" stroked="true" strokecolor="#000000" strokeweight=".961549pt" from="2.644258pt,757.824682pt" to="2.644258pt,717.458679pt">
                <v:stroke dashstyle="solid"/>
                <w10:wrap type="none"/>
              </v:line>
            </w:pict>
          </ve:Fallback>
        </ve:AlternateContent>
      </w:r>
      <w:r>
        <w:rPr>
          <w:b/>
          <w:color w:val="0E0E0E"/>
          <w:w w:val="105"/>
          <w:sz w:val="23"/>
        </w:rPr>
        <w:t>Your</w:t>
      </w:r>
      <w:r>
        <w:rPr>
          <w:b/>
          <w:color w:val="0E0E0E"/>
          <w:spacing w:val="-9"/>
          <w:w w:val="105"/>
          <w:sz w:val="23"/>
        </w:rPr>
        <w:t> </w:t>
      </w:r>
      <w:r>
        <w:rPr>
          <w:b/>
          <w:color w:val="0E0E0E"/>
          <w:w w:val="105"/>
          <w:sz w:val="23"/>
        </w:rPr>
        <w:t>local</w:t>
      </w:r>
      <w:r>
        <w:rPr>
          <w:b/>
          <w:color w:val="0E0E0E"/>
          <w:spacing w:val="-9"/>
          <w:w w:val="105"/>
          <w:sz w:val="23"/>
        </w:rPr>
        <w:t> </w:t>
      </w:r>
      <w:r>
        <w:rPr>
          <w:b/>
          <w:color w:val="0E0E0E"/>
          <w:spacing w:val="-2"/>
          <w:w w:val="105"/>
          <w:sz w:val="23"/>
        </w:rPr>
        <w:t>councillors</w:t>
      </w:r>
    </w:p>
    <w:p>
      <w:pPr>
        <w:pStyle w:val="BodyText"/>
        <w:spacing w:before="12"/>
        <w:rPr>
          <w:b/>
          <w:sz w:val="23"/>
        </w:rPr>
      </w:pPr>
    </w:p>
    <w:p>
      <w:pPr>
        <w:spacing w:before="0" w:line="237" w:lineRule="auto"/>
        <w:ind w:left="843" w:right="247" w:hanging="2"/>
        <w:jc w:val="both"/>
        <w:rPr>
          <w:sz w:val="24"/>
        </w:rPr>
      </w:pPr>
      <w:r>
        <w:rPr>
          <w:color w:val="0E0E0E"/>
          <w:sz w:val="24"/>
        </w:rPr>
        <w:t>Hertsmere has 39</w:t>
      </w:r>
      <w:r>
        <w:rPr>
          <w:color w:val="0E0E0E"/>
          <w:spacing w:val="-11"/>
          <w:sz w:val="24"/>
        </w:rPr>
        <w:t> </w:t>
      </w:r>
      <w:r>
        <w:rPr>
          <w:color w:val="0E0E0E"/>
          <w:sz w:val="24"/>
        </w:rPr>
        <w:t>councillors in</w:t>
      </w:r>
      <w:r>
        <w:rPr>
          <w:color w:val="0E0E0E"/>
          <w:spacing w:val="-8"/>
          <w:sz w:val="24"/>
        </w:rPr>
        <w:t> </w:t>
      </w:r>
      <w:r>
        <w:rPr>
          <w:color w:val="0E0E0E"/>
          <w:sz w:val="24"/>
        </w:rPr>
        <w:t>16</w:t>
      </w:r>
      <w:r>
        <w:rPr>
          <w:color w:val="0E0E0E"/>
          <w:spacing w:val="-8"/>
          <w:sz w:val="24"/>
        </w:rPr>
        <w:t> </w:t>
      </w:r>
      <w:r>
        <w:rPr>
          <w:color w:val="0E0E0E"/>
          <w:sz w:val="24"/>
        </w:rPr>
        <w:t>wards who are</w:t>
      </w:r>
      <w:r>
        <w:rPr>
          <w:color w:val="0E0E0E"/>
          <w:spacing w:val="-8"/>
          <w:sz w:val="24"/>
        </w:rPr>
        <w:t> </w:t>
      </w:r>
      <w:r>
        <w:rPr>
          <w:color w:val="0E0E0E"/>
          <w:sz w:val="24"/>
        </w:rPr>
        <w:t>elected to</w:t>
      </w:r>
      <w:r>
        <w:rPr>
          <w:color w:val="0E0E0E"/>
          <w:spacing w:val="-5"/>
          <w:sz w:val="24"/>
        </w:rPr>
        <w:t> </w:t>
      </w:r>
      <w:r>
        <w:rPr>
          <w:color w:val="0E0E0E"/>
          <w:sz w:val="24"/>
        </w:rPr>
        <w:t>serve</w:t>
      </w:r>
      <w:r>
        <w:rPr>
          <w:color w:val="0E0E0E"/>
          <w:spacing w:val="-1"/>
          <w:sz w:val="24"/>
        </w:rPr>
        <w:t> </w:t>
      </w:r>
      <w:r>
        <w:rPr>
          <w:color w:val="0E0E0E"/>
          <w:sz w:val="24"/>
        </w:rPr>
        <w:t>for</w:t>
      </w:r>
      <w:r>
        <w:rPr>
          <w:color w:val="0E0E0E"/>
          <w:spacing w:val="-7"/>
          <w:sz w:val="24"/>
        </w:rPr>
        <w:t> </w:t>
      </w:r>
      <w:r>
        <w:rPr>
          <w:color w:val="0E0E0E"/>
          <w:sz w:val="24"/>
        </w:rPr>
        <w:t>four years at</w:t>
      </w:r>
      <w:r>
        <w:rPr>
          <w:color w:val="0E0E0E"/>
          <w:spacing w:val="-4"/>
          <w:sz w:val="24"/>
        </w:rPr>
        <w:t> </w:t>
      </w:r>
      <w:r>
        <w:rPr>
          <w:color w:val="0E0E0E"/>
          <w:sz w:val="24"/>
        </w:rPr>
        <w:t>a time. The number of seats held during the year by</w:t>
      </w:r>
      <w:r>
        <w:rPr>
          <w:color w:val="0E0E0E"/>
          <w:spacing w:val="-1"/>
          <w:sz w:val="24"/>
        </w:rPr>
        <w:t> </w:t>
      </w:r>
      <w:r>
        <w:rPr>
          <w:color w:val="0E0E0E"/>
          <w:sz w:val="24"/>
        </w:rPr>
        <w:t>political groups was:</w:t>
      </w:r>
    </w:p>
    <w:p>
      <w:pPr>
        <w:pStyle w:val="BodyText"/>
        <w:spacing w:before="55"/>
        <w:rPr>
          <w:sz w:val="20"/>
        </w:rPr>
      </w:pPr>
    </w:p>
    <w:tbl>
      <w:tblPr>
        <w:tblW w:w="0" w:type="auto"/>
        <w:jc w:val="left"/>
        <w:tblInd w:w="78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2112"/>
        <w:gridCol w:w="434"/>
      </w:tblGrid>
      <w:tr>
        <w:trPr>
          <w:trHeight w:val="271" w:hRule="atLeast"/>
        </w:trPr>
        <w:tc>
          <w:tcPr>
            <w:tcW w:w="2112" w:type="dxa"/>
          </w:tcPr>
          <w:p>
            <w:pPr>
              <w:pStyle w:val="TableParagraph"/>
              <w:spacing w:line="251" w:lineRule="exact"/>
              <w:ind w:left="55"/>
              <w:rPr>
                <w:sz w:val="24"/>
              </w:rPr>
            </w:pPr>
            <w:r>
              <w:rPr>
                <w:color w:val="0E0E0E"/>
                <w:spacing w:val="-2"/>
                <w:sz w:val="24"/>
              </w:rPr>
              <w:t>Conservative</w:t>
            </w:r>
          </w:p>
        </w:tc>
        <w:tc>
          <w:tcPr>
            <w:tcW w:w="434" w:type="dxa"/>
          </w:tcPr>
          <w:p>
            <w:pPr>
              <w:pStyle w:val="TableParagraph"/>
              <w:spacing w:line="251" w:lineRule="exact"/>
              <w:ind w:left="121"/>
              <w:rPr>
                <w:sz w:val="24"/>
              </w:rPr>
            </w:pPr>
            <w:r>
              <w:rPr>
                <w:color w:val="0E0E0E"/>
                <w:spacing w:val="-5"/>
                <w:sz w:val="24"/>
              </w:rPr>
              <w:t>29</w:t>
            </w:r>
          </w:p>
        </w:tc>
      </w:tr>
      <w:tr>
        <w:trPr>
          <w:trHeight w:val="276" w:hRule="atLeast"/>
        </w:trPr>
        <w:tc>
          <w:tcPr>
            <w:tcW w:w="2112" w:type="dxa"/>
          </w:tcPr>
          <w:p>
            <w:pPr>
              <w:pStyle w:val="TableParagraph"/>
              <w:spacing w:line="256" w:lineRule="exact"/>
              <w:ind w:left="54"/>
              <w:rPr>
                <w:sz w:val="24"/>
              </w:rPr>
            </w:pPr>
            <w:r>
              <w:rPr>
                <w:color w:val="0E0E0E"/>
                <w:spacing w:val="-2"/>
                <w:sz w:val="24"/>
              </w:rPr>
              <w:t>Labour</w:t>
            </w:r>
          </w:p>
        </w:tc>
        <w:tc>
          <w:tcPr>
            <w:tcW w:w="434" w:type="dxa"/>
          </w:tcPr>
          <w:p>
            <w:pPr>
              <w:pStyle w:val="TableParagraph"/>
              <w:spacing w:line="256" w:lineRule="exact"/>
              <w:ind w:left="112"/>
              <w:rPr>
                <w:sz w:val="24"/>
              </w:rPr>
            </w:pPr>
            <w:r>
              <w:rPr>
                <w:color w:val="0E0E0E"/>
                <w:spacing w:val="-10"/>
                <w:w w:val="105"/>
                <w:sz w:val="24"/>
              </w:rPr>
              <w:t>7</w:t>
            </w:r>
          </w:p>
        </w:tc>
      </w:tr>
      <w:tr>
        <w:trPr>
          <w:trHeight w:val="273" w:hRule="atLeast"/>
        </w:trPr>
        <w:tc>
          <w:tcPr>
            <w:tcW w:w="2112" w:type="dxa"/>
          </w:tcPr>
          <w:p>
            <w:pPr>
              <w:pStyle w:val="TableParagraph"/>
              <w:spacing w:line="254" w:lineRule="exact"/>
              <w:ind w:left="50"/>
              <w:rPr>
                <w:sz w:val="24"/>
              </w:rPr>
            </w:pPr>
            <w:r>
              <w:rPr>
                <w:color w:val="0E0E0E"/>
                <w:sz w:val="24"/>
              </w:rPr>
              <w:t>Liberal</w:t>
            </w:r>
            <w:r>
              <w:rPr>
                <w:color w:val="0E0E0E"/>
                <w:spacing w:val="-8"/>
                <w:sz w:val="24"/>
              </w:rPr>
              <w:t> </w:t>
            </w:r>
            <w:r>
              <w:rPr>
                <w:color w:val="0E0E0E"/>
                <w:spacing w:val="-2"/>
                <w:sz w:val="24"/>
              </w:rPr>
              <w:t>Democrats</w:t>
            </w:r>
          </w:p>
        </w:tc>
        <w:tc>
          <w:tcPr>
            <w:tcW w:w="434" w:type="dxa"/>
          </w:tcPr>
          <w:p>
            <w:pPr>
              <w:pStyle w:val="TableParagraph"/>
              <w:spacing w:line="254" w:lineRule="exact"/>
              <w:ind w:left="113"/>
              <w:rPr>
                <w:sz w:val="24"/>
              </w:rPr>
            </w:pPr>
            <w:r>
              <w:rPr>
                <w:color w:val="0E0E0E"/>
                <w:spacing w:val="-10"/>
                <w:sz w:val="24"/>
              </w:rPr>
              <w:t>3</w:t>
            </w:r>
          </w:p>
        </w:tc>
      </w:tr>
    </w:tbl>
    <w:p>
      <w:pPr>
        <w:spacing w:before="273" w:line="242" w:lineRule="auto"/>
        <w:ind w:left="816" w:right="260" w:firstLine="11"/>
        <w:jc w:val="both"/>
        <w:rPr>
          <w:sz w:val="24"/>
        </w:rPr>
      </w:pPr>
      <w:r>
        <w:rPr>
          <w:color w:val="0E0E0E"/>
          <w:sz w:val="24"/>
        </w:rPr>
        <w:t>The Local Elections were held</w:t>
      </w:r>
      <w:r>
        <w:rPr>
          <w:color w:val="0E0E0E"/>
          <w:spacing w:val="-5"/>
          <w:sz w:val="24"/>
        </w:rPr>
        <w:t> </w:t>
      </w:r>
      <w:r>
        <w:rPr>
          <w:color w:val="0E0E0E"/>
          <w:sz w:val="24"/>
        </w:rPr>
        <w:t>in</w:t>
      </w:r>
      <w:r>
        <w:rPr>
          <w:color w:val="0E0E0E"/>
          <w:spacing w:val="-11"/>
          <w:sz w:val="24"/>
        </w:rPr>
        <w:t> </w:t>
      </w:r>
      <w:r>
        <w:rPr>
          <w:color w:val="0E0E0E"/>
          <w:sz w:val="24"/>
        </w:rPr>
        <w:t>May 2023, following this accounting period, and the Council make up is now as follows</w:t>
      </w:r>
      <w:r>
        <w:rPr>
          <w:color w:val="414141"/>
          <w:sz w:val="24"/>
        </w:rPr>
        <w:t>:</w:t>
      </w:r>
    </w:p>
    <w:p>
      <w:pPr>
        <w:tabs>
          <w:tab w:val="right" w:leader="none" w:pos="3257"/>
        </w:tabs>
        <w:spacing w:before="273"/>
        <w:ind w:left="811" w:right="0" w:firstLine="0"/>
        <w:jc w:val="left"/>
        <w:rPr>
          <w:sz w:val="24"/>
        </w:rPr>
      </w:pPr>
      <w:r>
        <w:rPr>
          <w:color w:val="0E0E0E"/>
          <w:spacing w:val="-2"/>
          <w:sz w:val="24"/>
        </w:rPr>
        <w:t>Conservative</w:t>
      </w:r>
      <w:r>
        <w:rPr>
          <w:color w:val="0E0E0E"/>
          <w:sz w:val="24"/>
        </w:rPr>
        <w:tab/>
      </w:r>
      <w:r>
        <w:rPr>
          <w:color w:val="0E0E0E"/>
          <w:spacing w:val="-7"/>
          <w:sz w:val="24"/>
        </w:rPr>
        <w:t>16</w:t>
      </w:r>
    </w:p>
    <w:p>
      <w:pPr>
        <w:tabs>
          <w:tab w:val="right" w:leader="none" w:pos="3260"/>
        </w:tabs>
        <w:spacing w:before="3" w:line="275" w:lineRule="exact"/>
        <w:ind w:left="810" w:right="0" w:firstLine="0"/>
        <w:jc w:val="left"/>
        <w:rPr>
          <w:sz w:val="24"/>
        </w:rPr>
      </w:pPr>
      <w:r>
        <w:rPr>
          <w:color w:val="0E0E0E"/>
          <w:spacing w:val="-2"/>
          <w:sz w:val="24"/>
        </w:rPr>
        <w:t>Labour</w:t>
      </w:r>
      <w:r>
        <w:rPr>
          <w:color w:val="0E0E0E"/>
          <w:sz w:val="24"/>
        </w:rPr>
        <w:tab/>
      </w:r>
      <w:r>
        <w:rPr>
          <w:color w:val="0E0E0E"/>
          <w:spacing w:val="-5"/>
          <w:sz w:val="24"/>
        </w:rPr>
        <w:t>14</w:t>
      </w:r>
    </w:p>
    <w:p>
      <w:pPr>
        <w:tabs>
          <w:tab w:val="right" w:leader="none" w:pos="3120"/>
        </w:tabs>
        <w:spacing w:before="0" w:line="275" w:lineRule="exact"/>
        <w:ind w:left="805" w:right="0" w:firstLine="0"/>
        <w:jc w:val="left"/>
        <w:rPr>
          <w:sz w:val="24"/>
        </w:rPr>
      </w:pPr>
      <w:r>
        <w:rPr>
          <w:color w:val="0E0E0E"/>
          <w:sz w:val="24"/>
        </w:rPr>
        <w:t>Liberal</w:t>
      </w:r>
      <w:r>
        <w:rPr>
          <w:color w:val="0E0E0E"/>
          <w:spacing w:val="-8"/>
          <w:sz w:val="24"/>
        </w:rPr>
        <w:t> </w:t>
      </w:r>
      <w:r>
        <w:rPr>
          <w:color w:val="0E0E0E"/>
          <w:spacing w:val="-2"/>
          <w:sz w:val="24"/>
        </w:rPr>
        <w:t>Democrats</w:t>
      </w:r>
      <w:r>
        <w:rPr>
          <w:color w:val="0E0E0E"/>
          <w:sz w:val="24"/>
        </w:rPr>
        <w:tab/>
      </w:r>
      <w:r>
        <w:rPr>
          <w:color w:val="0E0E0E"/>
          <w:spacing w:val="-10"/>
          <w:sz w:val="24"/>
        </w:rPr>
        <w:t>9</w:t>
      </w:r>
    </w:p>
    <w:p>
      <w:pPr>
        <w:spacing w:before="284" w:line="237" w:lineRule="auto"/>
        <w:ind w:left="797" w:right="292" w:firstLine="1"/>
        <w:jc w:val="both"/>
        <w:rPr>
          <w:sz w:val="24"/>
        </w:rPr>
      </w:pPr>
      <w:r>
        <w:rPr>
          <w:color w:val="0E0E0E"/>
          <w:sz w:val="24"/>
        </w:rPr>
        <w:t>The Council AGM was held on 17 May 2023 and Labour and the Liberal Democrats formed a Partnership Administration.</w:t>
      </w:r>
    </w:p>
    <w:p>
      <w:pPr>
        <w:pStyle w:val="BodyText"/>
        <w:rPr>
          <w:sz w:val="24"/>
        </w:rPr>
      </w:pPr>
    </w:p>
    <w:p>
      <w:pPr>
        <w:pStyle w:val="BodyText"/>
        <w:rPr>
          <w:sz w:val="24"/>
        </w:rPr>
      </w:pPr>
    </w:p>
    <w:p>
      <w:pPr>
        <w:pStyle w:val="BodyText"/>
        <w:rPr>
          <w:sz w:val="24"/>
        </w:rPr>
      </w:pPr>
    </w:p>
    <w:p>
      <w:pPr>
        <w:pStyle w:val="BodyText"/>
        <w:spacing w:before="106"/>
        <w:rPr>
          <w:sz w:val="24"/>
        </w:rPr>
      </w:pPr>
    </w:p>
    <w:p>
      <w:pPr>
        <w:spacing w:before="0"/>
        <w:ind w:left="779" w:right="0" w:firstLine="0"/>
        <w:jc w:val="left"/>
        <w:rPr>
          <w:b/>
          <w:sz w:val="23"/>
        </w:rPr>
      </w:pPr>
      <w:r>
        <w:rPr>
          <w:b/>
          <w:color w:val="0E0E0E"/>
          <w:w w:val="105"/>
          <w:sz w:val="23"/>
        </w:rPr>
        <w:t>The</w:t>
      </w:r>
      <w:r>
        <w:rPr>
          <w:b/>
          <w:color w:val="0E0E0E"/>
          <w:spacing w:val="-11"/>
          <w:w w:val="105"/>
          <w:sz w:val="23"/>
        </w:rPr>
        <w:t> </w:t>
      </w:r>
      <w:r>
        <w:rPr>
          <w:b/>
          <w:color w:val="0E0E0E"/>
          <w:w w:val="105"/>
          <w:sz w:val="23"/>
        </w:rPr>
        <w:t>Council's</w:t>
      </w:r>
      <w:r>
        <w:rPr>
          <w:b/>
          <w:color w:val="0E0E0E"/>
          <w:spacing w:val="-6"/>
          <w:w w:val="105"/>
          <w:sz w:val="23"/>
        </w:rPr>
        <w:t> </w:t>
      </w:r>
      <w:r>
        <w:rPr>
          <w:b/>
          <w:color w:val="0E0E0E"/>
          <w:w w:val="105"/>
          <w:sz w:val="23"/>
        </w:rPr>
        <w:t>Management</w:t>
      </w:r>
      <w:r>
        <w:rPr>
          <w:b/>
          <w:color w:val="0E0E0E"/>
          <w:spacing w:val="2"/>
          <w:w w:val="105"/>
          <w:sz w:val="23"/>
        </w:rPr>
        <w:t> </w:t>
      </w:r>
      <w:r>
        <w:rPr>
          <w:b/>
          <w:color w:val="0E0E0E"/>
          <w:w w:val="105"/>
          <w:sz w:val="23"/>
        </w:rPr>
        <w:t>Structure</w:t>
      </w:r>
      <w:r>
        <w:rPr>
          <w:b/>
          <w:color w:val="0E0E0E"/>
          <w:spacing w:val="3"/>
          <w:w w:val="105"/>
          <w:sz w:val="23"/>
        </w:rPr>
        <w:t> </w:t>
      </w:r>
      <w:r>
        <w:rPr>
          <w:b/>
          <w:color w:val="0E0E0E"/>
          <w:w w:val="105"/>
          <w:sz w:val="23"/>
        </w:rPr>
        <w:t>and</w:t>
      </w:r>
      <w:r>
        <w:rPr>
          <w:b/>
          <w:color w:val="0E0E0E"/>
          <w:spacing w:val="-7"/>
          <w:w w:val="105"/>
          <w:sz w:val="23"/>
        </w:rPr>
        <w:t> </w:t>
      </w:r>
      <w:r>
        <w:rPr>
          <w:b/>
          <w:color w:val="0E0E0E"/>
          <w:spacing w:val="-2"/>
          <w:w w:val="105"/>
          <w:sz w:val="23"/>
        </w:rPr>
        <w:t>Workforce</w:t>
      </w:r>
    </w:p>
    <w:p>
      <w:pPr>
        <w:pStyle w:val="BodyText"/>
        <w:spacing w:before="192"/>
        <w:rPr>
          <w:b/>
          <w:sz w:val="23"/>
        </w:rPr>
      </w:pPr>
    </w:p>
    <w:p>
      <w:pPr>
        <w:spacing w:before="0" w:line="240" w:lineRule="auto"/>
        <w:ind w:left="754" w:right="293" w:firstLine="14"/>
        <w:jc w:val="both"/>
        <w:rPr>
          <w:sz w:val="24"/>
        </w:rPr>
      </w:pPr>
      <w:r>
        <w:rPr>
          <w:color w:val="0E0E0E"/>
          <w:sz w:val="24"/>
        </w:rPr>
        <w:t>Supporting the work of</w:t>
      </w:r>
      <w:r>
        <w:rPr>
          <w:color w:val="0E0E0E"/>
          <w:spacing w:val="-5"/>
          <w:sz w:val="24"/>
        </w:rPr>
        <w:t> </w:t>
      </w:r>
      <w:r>
        <w:rPr>
          <w:color w:val="0E0E0E"/>
          <w:sz w:val="24"/>
        </w:rPr>
        <w:t>Councillors is</w:t>
      </w:r>
      <w:r>
        <w:rPr>
          <w:color w:val="0E0E0E"/>
          <w:spacing w:val="-4"/>
          <w:sz w:val="24"/>
        </w:rPr>
        <w:t> </w:t>
      </w:r>
      <w:r>
        <w:rPr>
          <w:color w:val="0E0E0E"/>
          <w:sz w:val="24"/>
        </w:rPr>
        <w:t>the organisational/management structure of</w:t>
      </w:r>
      <w:r>
        <w:rPr>
          <w:color w:val="0E0E0E"/>
          <w:spacing w:val="-6"/>
          <w:sz w:val="24"/>
        </w:rPr>
        <w:t> </w:t>
      </w:r>
      <w:r>
        <w:rPr>
          <w:color w:val="0E0E0E"/>
          <w:sz w:val="24"/>
        </w:rPr>
        <w:t>the council</w:t>
      </w:r>
      <w:r>
        <w:rPr>
          <w:color w:val="0E0E0E"/>
          <w:spacing w:val="-1"/>
          <w:sz w:val="24"/>
        </w:rPr>
        <w:t> </w:t>
      </w:r>
      <w:r>
        <w:rPr>
          <w:color w:val="0E0E0E"/>
          <w:sz w:val="24"/>
        </w:rPr>
        <w:t>headed</w:t>
      </w:r>
      <w:r>
        <w:rPr>
          <w:color w:val="0E0E0E"/>
          <w:spacing w:val="-7"/>
          <w:sz w:val="24"/>
        </w:rPr>
        <w:t> </w:t>
      </w:r>
      <w:r>
        <w:rPr>
          <w:color w:val="0E0E0E"/>
          <w:sz w:val="24"/>
        </w:rPr>
        <w:t>by</w:t>
      </w:r>
      <w:r>
        <w:rPr>
          <w:color w:val="0E0E0E"/>
          <w:spacing w:val="-16"/>
          <w:sz w:val="24"/>
        </w:rPr>
        <w:t> </w:t>
      </w:r>
      <w:r>
        <w:rPr>
          <w:color w:val="0E0E0E"/>
          <w:sz w:val="24"/>
        </w:rPr>
        <w:t>the</w:t>
      </w:r>
      <w:r>
        <w:rPr>
          <w:color w:val="0E0E0E"/>
          <w:spacing w:val="-17"/>
          <w:sz w:val="24"/>
        </w:rPr>
        <w:t> </w:t>
      </w:r>
      <w:r>
        <w:rPr>
          <w:color w:val="0E0E0E"/>
          <w:sz w:val="24"/>
        </w:rPr>
        <w:t>Managing Director and</w:t>
      </w:r>
      <w:r>
        <w:rPr>
          <w:color w:val="0E0E0E"/>
          <w:spacing w:val="-16"/>
          <w:sz w:val="24"/>
        </w:rPr>
        <w:t> </w:t>
      </w:r>
      <w:r>
        <w:rPr>
          <w:color w:val="0E0E0E"/>
          <w:sz w:val="24"/>
        </w:rPr>
        <w:t>Executive</w:t>
      </w:r>
      <w:r>
        <w:rPr>
          <w:color w:val="0E0E0E"/>
          <w:spacing w:val="-2"/>
          <w:sz w:val="24"/>
        </w:rPr>
        <w:t> </w:t>
      </w:r>
      <w:r>
        <w:rPr>
          <w:color w:val="0E0E0E"/>
          <w:sz w:val="24"/>
        </w:rPr>
        <w:t>Director, along</w:t>
      </w:r>
      <w:r>
        <w:rPr>
          <w:color w:val="0E0E0E"/>
          <w:spacing w:val="-7"/>
          <w:sz w:val="24"/>
        </w:rPr>
        <w:t> </w:t>
      </w:r>
      <w:r>
        <w:rPr>
          <w:color w:val="0E0E0E"/>
          <w:sz w:val="24"/>
        </w:rPr>
        <w:t>with</w:t>
      </w:r>
      <w:r>
        <w:rPr>
          <w:color w:val="0E0E0E"/>
          <w:spacing w:val="-7"/>
          <w:sz w:val="24"/>
        </w:rPr>
        <w:t> </w:t>
      </w:r>
      <w:r>
        <w:rPr>
          <w:color w:val="0E0E0E"/>
          <w:sz w:val="24"/>
        </w:rPr>
        <w:t>a</w:t>
      </w:r>
      <w:r>
        <w:rPr>
          <w:color w:val="0E0E0E"/>
          <w:spacing w:val="-15"/>
          <w:sz w:val="24"/>
        </w:rPr>
        <w:t> </w:t>
      </w:r>
      <w:r>
        <w:rPr>
          <w:color w:val="0E0E0E"/>
          <w:sz w:val="24"/>
        </w:rPr>
        <w:t>number of Heads of Service, detailed in Figure 1 below, who cover a variety of areas of business.</w:t>
      </w:r>
      <w:r>
        <w:rPr>
          <w:color w:val="0E0E0E"/>
          <w:spacing w:val="-2"/>
          <w:sz w:val="24"/>
        </w:rPr>
        <w:t> </w:t>
      </w:r>
      <w:r>
        <w:rPr>
          <w:color w:val="0E0E0E"/>
          <w:sz w:val="24"/>
        </w:rPr>
        <w:t>The</w:t>
      </w:r>
      <w:r>
        <w:rPr>
          <w:color w:val="0E0E0E"/>
          <w:spacing w:val="-10"/>
          <w:sz w:val="24"/>
        </w:rPr>
        <w:t> </w:t>
      </w:r>
      <w:r>
        <w:rPr>
          <w:color w:val="0E0E0E"/>
          <w:sz w:val="24"/>
        </w:rPr>
        <w:t>council</w:t>
      </w:r>
      <w:r>
        <w:rPr>
          <w:color w:val="0E0E0E"/>
          <w:spacing w:val="-17"/>
          <w:sz w:val="24"/>
        </w:rPr>
        <w:t> </w:t>
      </w:r>
      <w:r>
        <w:rPr>
          <w:color w:val="0E0E0E"/>
          <w:sz w:val="24"/>
        </w:rPr>
        <w:t>currently employs approximately 330</w:t>
      </w:r>
      <w:r>
        <w:rPr>
          <w:color w:val="0E0E0E"/>
          <w:spacing w:val="-17"/>
          <w:sz w:val="24"/>
        </w:rPr>
        <w:t> </w:t>
      </w:r>
      <w:r>
        <w:rPr>
          <w:color w:val="0E0E0E"/>
          <w:sz w:val="24"/>
        </w:rPr>
        <w:t>people</w:t>
      </w:r>
      <w:r>
        <w:rPr>
          <w:color w:val="0E0E0E"/>
          <w:spacing w:val="-10"/>
          <w:sz w:val="24"/>
        </w:rPr>
        <w:t> </w:t>
      </w:r>
      <w:r>
        <w:rPr>
          <w:color w:val="0E0E0E"/>
          <w:sz w:val="24"/>
        </w:rPr>
        <w:t>in</w:t>
      </w:r>
      <w:r>
        <w:rPr>
          <w:color w:val="0E0E0E"/>
          <w:spacing w:val="-17"/>
          <w:sz w:val="24"/>
        </w:rPr>
        <w:t> </w:t>
      </w:r>
      <w:r>
        <w:rPr>
          <w:color w:val="0E0E0E"/>
          <w:sz w:val="24"/>
        </w:rPr>
        <w:t>full</w:t>
      </w:r>
      <w:r>
        <w:rPr>
          <w:color w:val="0E0E0E"/>
          <w:spacing w:val="-17"/>
          <w:sz w:val="24"/>
        </w:rPr>
        <w:t> </w:t>
      </w:r>
      <w:r>
        <w:rPr>
          <w:color w:val="0E0E0E"/>
          <w:sz w:val="24"/>
        </w:rPr>
        <w:t>and</w:t>
      </w:r>
      <w:r>
        <w:rPr>
          <w:color w:val="0E0E0E"/>
          <w:spacing w:val="-16"/>
          <w:sz w:val="24"/>
        </w:rPr>
        <w:t> </w:t>
      </w:r>
      <w:r>
        <w:rPr>
          <w:color w:val="0E0E0E"/>
          <w:sz w:val="24"/>
        </w:rPr>
        <w:t>part</w:t>
      </w:r>
      <w:r>
        <w:rPr>
          <w:color w:val="0E0E0E"/>
          <w:spacing w:val="-9"/>
          <w:sz w:val="24"/>
        </w:rPr>
        <w:t> </w:t>
      </w:r>
      <w:r>
        <w:rPr>
          <w:color w:val="0E0E0E"/>
          <w:sz w:val="24"/>
        </w:rPr>
        <w:t>time </w:t>
      </w:r>
      <w:r>
        <w:rPr>
          <w:color w:val="0E0E0E"/>
          <w:spacing w:val="-2"/>
          <w:sz w:val="24"/>
        </w:rPr>
        <w:t>roles.</w:t>
      </w:r>
    </w:p>
    <w:p>
      <w:pPr>
        <w:spacing w:before="235"/>
        <w:ind w:left="746" w:right="0" w:firstLine="0"/>
        <w:jc w:val="left"/>
        <w:rPr>
          <w:b/>
          <w:i/>
          <w:sz w:val="24"/>
        </w:rPr>
      </w:pPr>
      <w:r>
        <w:rPr>
          <w:b/>
          <w:i/>
          <w:color w:val="0E0E0E"/>
          <w:sz w:val="24"/>
        </w:rPr>
        <w:t>Figure</w:t>
      </w:r>
      <w:r>
        <w:rPr>
          <w:b/>
          <w:i/>
          <w:color w:val="0E0E0E"/>
          <w:spacing w:val="4"/>
          <w:sz w:val="24"/>
        </w:rPr>
        <w:t> </w:t>
      </w:r>
      <w:r>
        <w:rPr>
          <w:b/>
          <w:i/>
          <w:color w:val="0E0E0E"/>
          <w:sz w:val="24"/>
        </w:rPr>
        <w:t>1</w:t>
      </w:r>
      <w:r>
        <w:rPr>
          <w:b/>
          <w:i/>
          <w:color w:val="0E0E0E"/>
          <w:spacing w:val="-19"/>
          <w:sz w:val="24"/>
        </w:rPr>
        <w:t> </w:t>
      </w:r>
      <w:r>
        <w:rPr>
          <w:b/>
          <w:color w:val="0E0E0E"/>
          <w:sz w:val="24"/>
        </w:rPr>
        <w:t>-</w:t>
      </w:r>
      <w:r>
        <w:rPr>
          <w:b/>
          <w:color w:val="0E0E0E"/>
          <w:spacing w:val="65"/>
          <w:sz w:val="24"/>
        </w:rPr>
        <w:t> </w:t>
      </w:r>
      <w:r>
        <w:rPr>
          <w:b/>
          <w:i/>
          <w:color w:val="0E0E0E"/>
          <w:sz w:val="24"/>
        </w:rPr>
        <w:t>Senior</w:t>
      </w:r>
      <w:r>
        <w:rPr>
          <w:b/>
          <w:i/>
          <w:color w:val="0E0E0E"/>
          <w:spacing w:val="-6"/>
          <w:sz w:val="24"/>
        </w:rPr>
        <w:t> </w:t>
      </w:r>
      <w:r>
        <w:rPr>
          <w:b/>
          <w:i/>
          <w:color w:val="0E0E0E"/>
          <w:sz w:val="24"/>
        </w:rPr>
        <w:t>Management</w:t>
      </w:r>
      <w:r>
        <w:rPr>
          <w:b/>
          <w:i/>
          <w:color w:val="0E0E0E"/>
          <w:spacing w:val="20"/>
          <w:sz w:val="24"/>
        </w:rPr>
        <w:t> </w:t>
      </w:r>
      <w:r>
        <w:rPr>
          <w:b/>
          <w:i/>
          <w:color w:val="0E0E0E"/>
          <w:spacing w:val="-2"/>
          <w:sz w:val="24"/>
        </w:rPr>
        <w:t>Structure</w:t>
      </w:r>
    </w:p>
    <w:p>
      <w:pPr>
        <w:pStyle w:val="BodyText"/>
        <w:rPr>
          <w:b/>
          <w:i/>
          <w:sz w:val="20"/>
        </w:rPr>
      </w:pPr>
    </w:p>
    <w:p>
      <w:pPr>
        <w:pStyle w:val="BodyText"/>
        <w:spacing w:before="51"/>
        <w:rPr>
          <w:b/>
          <w:i/>
          <w:sz w:val="20"/>
        </w:rPr>
      </w:pPr>
      <w:r>
        <w:rPr/>
        <w:drawing>
          <wp:anchor distT="0" distB="0" distL="0" distR="0" simplePos="0" relativeHeight="487598080" behindDoc="1" locked="0" layoutInCell="1" allowOverlap="1">
            <wp:simplePos x="0" y="0"/>
            <wp:positionH relativeFrom="page">
              <wp:posOffset>1001356</wp:posOffset>
            </wp:positionH>
            <wp:positionV relativeFrom="paragraph">
              <wp:posOffset>193662</wp:posOffset>
            </wp:positionV>
            <wp:extent cx="5739041" cy="1609344"/>
            <wp:effectExtent l="0" t="0" r="0" b="0"/>
            <wp:wrapTopAndBottom/>
            <wp:docPr id="48" name="Image 48"/>
            <wp:cNvGraphicFramePr>
              <a:graphicFrameLocks/>
            </wp:cNvGraphicFramePr>
            <a:graphic>
              <a:graphicData uri="http://schemas.openxmlformats.org/drawingml/2006/picture">
                <pic:pic>
                  <pic:nvPicPr>
                    <pic:cNvPr id="48" name="Image 48"/>
                    <pic:cNvPicPr/>
                  </pic:nvPicPr>
                  <pic:blipFill>
                    <a:blip r:embed="rId25" cstate="print"/>
                    <a:stretch>
                      <a:fillRect/>
                    </a:stretch>
                  </pic:blipFill>
                  <pic:spPr>
                    <a:xfrm>
                      <a:off x="0" y="0"/>
                      <a:ext cx="5739041" cy="1609344"/>
                    </a:xfrm>
                    <a:prstGeom prst="rect">
                      <a:avLst/>
                    </a:prstGeom>
                  </pic:spPr>
                </pic:pic>
              </a:graphicData>
            </a:graphic>
          </wp:anchor>
        </w:drawing>
      </w:r>
    </w:p>
    <w:p>
      <w:pPr>
        <w:spacing w:after="0"/>
        <w:rPr>
          <w:sz w:val="20"/>
        </w:rPr>
        <w:sectPr>
          <w:pgSz w:w="11910" w:h="16830"/>
          <w:pgMar w:top="780" w:right="920" w:bottom="480" w:left="840" w:header="599" w:footer="294"/>
        </w:sectPr>
      </w:pPr>
    </w:p>
    <w:p>
      <w:pPr>
        <w:pStyle w:val="Heading2"/>
        <w:spacing w:before="197"/>
        <w:ind w:left="589"/>
        <w:jc w:val="both"/>
      </w:pPr>
      <w:r>
        <w:rPr>
          <w:color w:val="0C0C0C"/>
        </w:rPr>
        <w:t>Hertsmere Vision</w:t>
      </w:r>
      <w:r>
        <w:rPr>
          <w:color w:val="0C0C0C"/>
          <w:spacing w:val="-6"/>
        </w:rPr>
        <w:t> </w:t>
      </w:r>
      <w:r>
        <w:rPr>
          <w:color w:val="0C0C0C"/>
        </w:rPr>
        <w:t>2022-27</w:t>
      </w:r>
      <w:r>
        <w:rPr>
          <w:color w:val="0C0C0C"/>
          <w:spacing w:val="-5"/>
        </w:rPr>
        <w:t> </w:t>
      </w:r>
      <w:r>
        <w:rPr>
          <w:color w:val="0C0C0C"/>
        </w:rPr>
        <w:t>-</w:t>
      </w:r>
      <w:r>
        <w:rPr>
          <w:color w:val="0C0C0C"/>
          <w:spacing w:val="46"/>
        </w:rPr>
        <w:t> </w:t>
      </w:r>
      <w:r>
        <w:rPr>
          <w:color w:val="0C0C0C"/>
        </w:rPr>
        <w:t>A</w:t>
      </w:r>
      <w:r>
        <w:rPr>
          <w:color w:val="0C0C0C"/>
          <w:spacing w:val="-13"/>
        </w:rPr>
        <w:t> </w:t>
      </w:r>
      <w:r>
        <w:rPr>
          <w:color w:val="0C0C0C"/>
        </w:rPr>
        <w:t>corporate</w:t>
      </w:r>
      <w:r>
        <w:rPr>
          <w:color w:val="0C0C0C"/>
          <w:spacing w:val="-5"/>
        </w:rPr>
        <w:t> </w:t>
      </w:r>
      <w:r>
        <w:rPr>
          <w:color w:val="0C0C0C"/>
        </w:rPr>
        <w:t>plan</w:t>
      </w:r>
      <w:r>
        <w:rPr>
          <w:color w:val="0C0C0C"/>
          <w:spacing w:val="-7"/>
        </w:rPr>
        <w:t> </w:t>
      </w:r>
      <w:r>
        <w:rPr>
          <w:color w:val="0C0C0C"/>
        </w:rPr>
        <w:t>for</w:t>
      </w:r>
      <w:r>
        <w:rPr>
          <w:color w:val="0C0C0C"/>
          <w:spacing w:val="-14"/>
        </w:rPr>
        <w:t> </w:t>
      </w:r>
      <w:r>
        <w:rPr>
          <w:color w:val="0C0C0C"/>
          <w:spacing w:val="-2"/>
        </w:rPr>
        <w:t>Hertsmere</w:t>
      </w:r>
    </w:p>
    <w:p>
      <w:pPr>
        <w:spacing w:before="238" w:line="240" w:lineRule="auto"/>
        <w:ind w:left="594" w:right="519" w:hanging="3"/>
        <w:jc w:val="both"/>
        <w:rPr>
          <w:sz w:val="24"/>
        </w:rPr>
      </w:pPr>
      <w:r>
        <w:rPr>
          <w:color w:val="0C0C0C"/>
          <w:sz w:val="24"/>
        </w:rPr>
        <w:t>The</w:t>
      </w:r>
      <w:r>
        <w:rPr>
          <w:color w:val="0C0C0C"/>
          <w:spacing w:val="-17"/>
          <w:sz w:val="24"/>
        </w:rPr>
        <w:t> </w:t>
      </w:r>
      <w:r>
        <w:rPr>
          <w:color w:val="0C0C0C"/>
          <w:sz w:val="24"/>
        </w:rPr>
        <w:t>Hertsmere</w:t>
      </w:r>
      <w:r>
        <w:rPr>
          <w:color w:val="0C0C0C"/>
          <w:spacing w:val="-17"/>
          <w:sz w:val="24"/>
        </w:rPr>
        <w:t> </w:t>
      </w:r>
      <w:r>
        <w:rPr>
          <w:color w:val="0C0C0C"/>
          <w:sz w:val="24"/>
        </w:rPr>
        <w:t>Vision</w:t>
      </w:r>
      <w:r>
        <w:rPr>
          <w:color w:val="0C0C0C"/>
          <w:spacing w:val="-16"/>
          <w:sz w:val="24"/>
        </w:rPr>
        <w:t> </w:t>
      </w:r>
      <w:r>
        <w:rPr>
          <w:color w:val="0C0C0C"/>
          <w:sz w:val="24"/>
        </w:rPr>
        <w:t>2022-27</w:t>
      </w:r>
      <w:r>
        <w:rPr>
          <w:color w:val="0C0C0C"/>
          <w:spacing w:val="-10"/>
          <w:sz w:val="24"/>
        </w:rPr>
        <w:t> </w:t>
      </w:r>
      <w:r>
        <w:rPr>
          <w:color w:val="0C0C0C"/>
          <w:sz w:val="24"/>
        </w:rPr>
        <w:t>was</w:t>
      </w:r>
      <w:r>
        <w:rPr>
          <w:color w:val="0C0C0C"/>
          <w:spacing w:val="-12"/>
          <w:sz w:val="24"/>
        </w:rPr>
        <w:t> </w:t>
      </w:r>
      <w:r>
        <w:rPr>
          <w:color w:val="0C0C0C"/>
          <w:sz w:val="24"/>
        </w:rPr>
        <w:t>agreed</w:t>
      </w:r>
      <w:r>
        <w:rPr>
          <w:color w:val="0C0C0C"/>
          <w:spacing w:val="-13"/>
          <w:sz w:val="24"/>
        </w:rPr>
        <w:t> </w:t>
      </w:r>
      <w:r>
        <w:rPr>
          <w:color w:val="0C0C0C"/>
          <w:sz w:val="24"/>
        </w:rPr>
        <w:t>at</w:t>
      </w:r>
      <w:r>
        <w:rPr>
          <w:color w:val="0C0C0C"/>
          <w:spacing w:val="-17"/>
          <w:sz w:val="24"/>
        </w:rPr>
        <w:t> </w:t>
      </w:r>
      <w:r>
        <w:rPr>
          <w:color w:val="0C0C0C"/>
          <w:sz w:val="24"/>
        </w:rPr>
        <w:t>Executive</w:t>
      </w:r>
      <w:r>
        <w:rPr>
          <w:color w:val="0C0C0C"/>
          <w:spacing w:val="-4"/>
          <w:sz w:val="24"/>
        </w:rPr>
        <w:t> </w:t>
      </w:r>
      <w:r>
        <w:rPr>
          <w:color w:val="0C0C0C"/>
          <w:sz w:val="24"/>
        </w:rPr>
        <w:t>and</w:t>
      </w:r>
      <w:r>
        <w:rPr>
          <w:color w:val="0C0C0C"/>
          <w:spacing w:val="-17"/>
          <w:sz w:val="24"/>
        </w:rPr>
        <w:t> </w:t>
      </w:r>
      <w:r>
        <w:rPr>
          <w:color w:val="0C0C0C"/>
          <w:sz w:val="24"/>
        </w:rPr>
        <w:t>Full</w:t>
      </w:r>
      <w:r>
        <w:rPr>
          <w:color w:val="0C0C0C"/>
          <w:spacing w:val="-17"/>
          <w:sz w:val="24"/>
        </w:rPr>
        <w:t> </w:t>
      </w:r>
      <w:r>
        <w:rPr>
          <w:color w:val="0C0C0C"/>
          <w:sz w:val="24"/>
        </w:rPr>
        <w:t>Council</w:t>
      </w:r>
      <w:r>
        <w:rPr>
          <w:color w:val="0C0C0C"/>
          <w:spacing w:val="-11"/>
          <w:sz w:val="24"/>
        </w:rPr>
        <w:t> </w:t>
      </w:r>
      <w:r>
        <w:rPr>
          <w:color w:val="0C0C0C"/>
          <w:sz w:val="24"/>
        </w:rPr>
        <w:t>in</w:t>
      </w:r>
      <w:r>
        <w:rPr>
          <w:color w:val="0C0C0C"/>
          <w:spacing w:val="-17"/>
          <w:sz w:val="24"/>
        </w:rPr>
        <w:t> </w:t>
      </w:r>
      <w:r>
        <w:rPr>
          <w:color w:val="0C0C0C"/>
          <w:sz w:val="24"/>
        </w:rPr>
        <w:t>November 2021. The document provides our high level vision and will be used to inform the development of a range of high level strategic documents including an updated Corporate Plan and the new Local Plan. The Hertsmere Vision documents can be found in the link below:</w:t>
      </w:r>
    </w:p>
    <w:p>
      <w:pPr>
        <w:spacing w:before="263" w:line="242" w:lineRule="auto"/>
        <w:ind w:left="603" w:right="2385" w:hanging="2"/>
        <w:jc w:val="left"/>
        <w:rPr>
          <w:sz w:val="24"/>
        </w:rPr>
      </w:pPr>
      <w:hyperlink r:id="rId29">
        <w:r>
          <w:rPr>
            <w:color w:val="1C1C1C"/>
            <w:spacing w:val="-2"/>
            <w:sz w:val="24"/>
            <w:u w:val="thick" w:color="1C1C1C"/>
          </w:rPr>
          <w:t>www</w:t>
        </w:r>
        <w:r>
          <w:rPr>
            <w:color w:val="4B4B4B"/>
            <w:spacing w:val="-2"/>
            <w:sz w:val="24"/>
            <w:u w:val="thick" w:color="1C1C1C"/>
          </w:rPr>
          <w:t>.</w:t>
        </w:r>
        <w:r>
          <w:rPr>
            <w:color w:val="1C1C1C"/>
            <w:spacing w:val="-2"/>
            <w:sz w:val="24"/>
            <w:u w:val="thick" w:color="1C1C1C"/>
          </w:rPr>
          <w:t>hertsmere</w:t>
        </w:r>
        <w:r>
          <w:rPr>
            <w:color w:val="4B4B4B"/>
            <w:spacing w:val="-2"/>
            <w:sz w:val="24"/>
            <w:u w:val="thick" w:color="1C1C1C"/>
          </w:rPr>
          <w:t>.</w:t>
        </w:r>
        <w:r>
          <w:rPr>
            <w:color w:val="1C1C1C"/>
            <w:spacing w:val="-2"/>
            <w:sz w:val="24"/>
            <w:u w:val="thick" w:color="1C1C1C"/>
          </w:rPr>
          <w:t>gov.uk/Your-Council/Official-Publications--Guides-­</w:t>
        </w:r>
      </w:hyperlink>
      <w:r>
        <w:rPr>
          <w:color w:val="1C1C1C"/>
          <w:spacing w:val="-2"/>
          <w:sz w:val="24"/>
          <w:u w:val="none"/>
        </w:rPr>
        <w:t> </w:t>
      </w:r>
      <w:r>
        <w:rPr>
          <w:color w:val="1C1C1C"/>
          <w:spacing w:val="-2"/>
          <w:sz w:val="24"/>
          <w:u w:val="thick" w:color="1C1C1C"/>
        </w:rPr>
        <w:t>Policies/Corporate-Plan.aspx</w:t>
      </w:r>
    </w:p>
    <w:p>
      <w:pPr>
        <w:spacing w:before="274" w:line="242" w:lineRule="auto"/>
        <w:ind w:left="596" w:right="525" w:firstLine="0"/>
        <w:jc w:val="both"/>
        <w:rPr>
          <w:sz w:val="24"/>
        </w:rPr>
      </w:pPr>
      <w:r>
        <w:rPr>
          <w:color w:val="0C0C0C"/>
          <w:sz w:val="24"/>
        </w:rPr>
        <w:t>The document is clearly structured with an overall Vision Statement, 6 Position Statements describing key areas of</w:t>
      </w:r>
      <w:r>
        <w:rPr>
          <w:color w:val="0C0C0C"/>
          <w:spacing w:val="-6"/>
          <w:sz w:val="24"/>
        </w:rPr>
        <w:t> </w:t>
      </w:r>
      <w:r>
        <w:rPr>
          <w:color w:val="0C0C0C"/>
          <w:sz w:val="24"/>
        </w:rPr>
        <w:t>focus</w:t>
      </w:r>
      <w:r>
        <w:rPr>
          <w:color w:val="0C0C0C"/>
          <w:spacing w:val="-6"/>
          <w:sz w:val="24"/>
        </w:rPr>
        <w:t> </w:t>
      </w:r>
      <w:r>
        <w:rPr>
          <w:color w:val="0C0C0C"/>
          <w:sz w:val="24"/>
        </w:rPr>
        <w:t>and</w:t>
      </w:r>
      <w:r>
        <w:rPr>
          <w:color w:val="0C0C0C"/>
          <w:spacing w:val="-8"/>
          <w:sz w:val="24"/>
        </w:rPr>
        <w:t> </w:t>
      </w:r>
      <w:r>
        <w:rPr>
          <w:color w:val="0C0C0C"/>
          <w:sz w:val="24"/>
        </w:rPr>
        <w:t>then 30</w:t>
      </w:r>
      <w:r>
        <w:rPr>
          <w:color w:val="0C0C0C"/>
          <w:spacing w:val="-7"/>
          <w:sz w:val="24"/>
        </w:rPr>
        <w:t> </w:t>
      </w:r>
      <w:r>
        <w:rPr>
          <w:color w:val="0C0C0C"/>
          <w:sz w:val="24"/>
        </w:rPr>
        <w:t>Commitments which articulate how</w:t>
      </w:r>
      <w:r>
        <w:rPr>
          <w:color w:val="0C0C0C"/>
          <w:spacing w:val="-17"/>
          <w:sz w:val="24"/>
        </w:rPr>
        <w:t> </w:t>
      </w:r>
      <w:r>
        <w:rPr>
          <w:color w:val="0C0C0C"/>
          <w:sz w:val="24"/>
        </w:rPr>
        <w:t>we</w:t>
      </w:r>
      <w:r>
        <w:rPr>
          <w:color w:val="0C0C0C"/>
          <w:spacing w:val="-17"/>
          <w:sz w:val="24"/>
        </w:rPr>
        <w:t> </w:t>
      </w:r>
      <w:r>
        <w:rPr>
          <w:color w:val="0C0C0C"/>
          <w:sz w:val="24"/>
        </w:rPr>
        <w:t>will</w:t>
      </w:r>
      <w:r>
        <w:rPr>
          <w:color w:val="0C0C0C"/>
          <w:spacing w:val="-16"/>
          <w:sz w:val="24"/>
        </w:rPr>
        <w:t> </w:t>
      </w:r>
      <w:r>
        <w:rPr>
          <w:color w:val="0C0C0C"/>
          <w:sz w:val="24"/>
        </w:rPr>
        <w:t>deliver</w:t>
      </w:r>
      <w:r>
        <w:rPr>
          <w:color w:val="0C0C0C"/>
          <w:spacing w:val="-17"/>
          <w:sz w:val="24"/>
        </w:rPr>
        <w:t> </w:t>
      </w:r>
      <w:r>
        <w:rPr>
          <w:color w:val="0C0C0C"/>
          <w:sz w:val="24"/>
        </w:rPr>
        <w:t>against</w:t>
      </w:r>
      <w:r>
        <w:rPr>
          <w:color w:val="0C0C0C"/>
          <w:spacing w:val="-17"/>
          <w:sz w:val="24"/>
        </w:rPr>
        <w:t> </w:t>
      </w:r>
      <w:r>
        <w:rPr>
          <w:color w:val="0C0C0C"/>
          <w:sz w:val="24"/>
        </w:rPr>
        <w:t>the</w:t>
      </w:r>
      <w:r>
        <w:rPr>
          <w:color w:val="0C0C0C"/>
          <w:spacing w:val="-17"/>
          <w:sz w:val="24"/>
        </w:rPr>
        <w:t> </w:t>
      </w:r>
      <w:r>
        <w:rPr>
          <w:color w:val="0C0C0C"/>
          <w:sz w:val="24"/>
        </w:rPr>
        <w:t>statements.</w:t>
      </w:r>
      <w:r>
        <w:rPr>
          <w:color w:val="0C0C0C"/>
          <w:spacing w:val="-16"/>
          <w:sz w:val="24"/>
        </w:rPr>
        <w:t> </w:t>
      </w:r>
      <w:r>
        <w:rPr>
          <w:color w:val="0C0C0C"/>
          <w:sz w:val="24"/>
        </w:rPr>
        <w:t>The</w:t>
      </w:r>
      <w:r>
        <w:rPr>
          <w:color w:val="0C0C0C"/>
          <w:spacing w:val="-17"/>
          <w:sz w:val="24"/>
        </w:rPr>
        <w:t> </w:t>
      </w:r>
      <w:r>
        <w:rPr>
          <w:color w:val="0C0C0C"/>
          <w:sz w:val="24"/>
        </w:rPr>
        <w:t>commitments</w:t>
      </w:r>
      <w:r>
        <w:rPr>
          <w:color w:val="0C0C0C"/>
          <w:spacing w:val="-11"/>
          <w:sz w:val="24"/>
        </w:rPr>
        <w:t> </w:t>
      </w:r>
      <w:r>
        <w:rPr>
          <w:color w:val="0C0C0C"/>
          <w:sz w:val="24"/>
        </w:rPr>
        <w:t>set</w:t>
      </w:r>
      <w:r>
        <w:rPr>
          <w:color w:val="0C0C0C"/>
          <w:spacing w:val="-17"/>
          <w:sz w:val="24"/>
        </w:rPr>
        <w:t> </w:t>
      </w:r>
      <w:r>
        <w:rPr>
          <w:color w:val="0C0C0C"/>
          <w:sz w:val="24"/>
        </w:rPr>
        <w:t>out</w:t>
      </w:r>
      <w:r>
        <w:rPr>
          <w:color w:val="0C0C0C"/>
          <w:spacing w:val="-17"/>
          <w:sz w:val="24"/>
        </w:rPr>
        <w:t> </w:t>
      </w:r>
      <w:r>
        <w:rPr>
          <w:color w:val="0C0C0C"/>
          <w:sz w:val="24"/>
        </w:rPr>
        <w:t>how</w:t>
      </w:r>
      <w:r>
        <w:rPr>
          <w:color w:val="0C0C0C"/>
          <w:spacing w:val="-16"/>
          <w:sz w:val="24"/>
        </w:rPr>
        <w:t> </w:t>
      </w:r>
      <w:r>
        <w:rPr>
          <w:color w:val="0C0C0C"/>
          <w:sz w:val="24"/>
        </w:rPr>
        <w:t>we</w:t>
      </w:r>
      <w:r>
        <w:rPr>
          <w:color w:val="0C0C0C"/>
          <w:spacing w:val="-17"/>
          <w:sz w:val="24"/>
        </w:rPr>
        <w:t> </w:t>
      </w:r>
      <w:r>
        <w:rPr>
          <w:color w:val="0C0C0C"/>
          <w:sz w:val="24"/>
        </w:rPr>
        <w:t>will</w:t>
      </w:r>
      <w:r>
        <w:rPr>
          <w:color w:val="0C0C0C"/>
          <w:spacing w:val="-17"/>
          <w:sz w:val="24"/>
        </w:rPr>
        <w:t> </w:t>
      </w:r>
      <w:r>
        <w:rPr>
          <w:color w:val="0C0C0C"/>
          <w:sz w:val="24"/>
        </w:rPr>
        <w:t>work, both in</w:t>
      </w:r>
      <w:r>
        <w:rPr>
          <w:color w:val="0C0C0C"/>
          <w:spacing w:val="-9"/>
          <w:sz w:val="24"/>
        </w:rPr>
        <w:t> </w:t>
      </w:r>
      <w:r>
        <w:rPr>
          <w:color w:val="0C0C0C"/>
          <w:sz w:val="24"/>
        </w:rPr>
        <w:t>terms of specific delivery, but also clearly reflect our organisational</w:t>
      </w:r>
      <w:r>
        <w:rPr>
          <w:color w:val="0C0C0C"/>
          <w:spacing w:val="-5"/>
          <w:sz w:val="24"/>
        </w:rPr>
        <w:t> </w:t>
      </w:r>
      <w:r>
        <w:rPr>
          <w:color w:val="0C0C0C"/>
          <w:sz w:val="24"/>
        </w:rPr>
        <w:t>values.</w:t>
      </w:r>
    </w:p>
    <w:p>
      <w:pPr>
        <w:spacing w:before="269" w:line="242" w:lineRule="auto"/>
        <w:ind w:left="598" w:right="509" w:firstLine="3"/>
        <w:jc w:val="both"/>
        <w:rPr>
          <w:sz w:val="24"/>
        </w:rPr>
      </w:pPr>
      <w:r>
        <w:rPr>
          <w:color w:val="0C0C0C"/>
          <w:sz w:val="24"/>
        </w:rPr>
        <w:t>The Hertsmere </w:t>
      </w:r>
      <w:r>
        <w:rPr>
          <w:color w:val="1C1C1C"/>
          <w:sz w:val="24"/>
        </w:rPr>
        <w:t>Vision </w:t>
      </w:r>
      <w:r>
        <w:rPr>
          <w:color w:val="0C0C0C"/>
          <w:sz w:val="24"/>
        </w:rPr>
        <w:t>is </w:t>
      </w:r>
      <w:r>
        <w:rPr>
          <w:color w:val="1C1C1C"/>
          <w:sz w:val="24"/>
        </w:rPr>
        <w:t>purposely </w:t>
      </w:r>
      <w:r>
        <w:rPr>
          <w:color w:val="0C0C0C"/>
          <w:sz w:val="24"/>
        </w:rPr>
        <w:t>high level so </w:t>
      </w:r>
      <w:r>
        <w:rPr>
          <w:color w:val="1C1C1C"/>
          <w:sz w:val="24"/>
        </w:rPr>
        <w:t>that </w:t>
      </w:r>
      <w:r>
        <w:rPr>
          <w:color w:val="0C0C0C"/>
          <w:sz w:val="24"/>
        </w:rPr>
        <w:t>it can act as a </w:t>
      </w:r>
      <w:r>
        <w:rPr>
          <w:color w:val="1C1C1C"/>
          <w:sz w:val="24"/>
        </w:rPr>
        <w:t>clear framework </w:t>
      </w:r>
      <w:r>
        <w:rPr>
          <w:color w:val="0C0C0C"/>
          <w:sz w:val="24"/>
        </w:rPr>
        <w:t>for</w:t>
      </w:r>
      <w:r>
        <w:rPr>
          <w:color w:val="0C0C0C"/>
          <w:spacing w:val="-13"/>
          <w:sz w:val="24"/>
        </w:rPr>
        <w:t> </w:t>
      </w:r>
      <w:r>
        <w:rPr>
          <w:color w:val="0C0C0C"/>
          <w:sz w:val="24"/>
        </w:rPr>
        <w:t>the</w:t>
      </w:r>
      <w:r>
        <w:rPr>
          <w:color w:val="0C0C0C"/>
          <w:spacing w:val="-5"/>
          <w:sz w:val="24"/>
        </w:rPr>
        <w:t> </w:t>
      </w:r>
      <w:r>
        <w:rPr>
          <w:color w:val="1C1C1C"/>
          <w:sz w:val="24"/>
        </w:rPr>
        <w:t>development </w:t>
      </w:r>
      <w:r>
        <w:rPr>
          <w:color w:val="0C0C0C"/>
          <w:sz w:val="24"/>
        </w:rPr>
        <w:t>of</w:t>
      </w:r>
      <w:r>
        <w:rPr>
          <w:color w:val="0C0C0C"/>
          <w:spacing w:val="-17"/>
          <w:sz w:val="24"/>
        </w:rPr>
        <w:t> </w:t>
      </w:r>
      <w:r>
        <w:rPr>
          <w:color w:val="0C0C0C"/>
          <w:sz w:val="24"/>
        </w:rPr>
        <w:t>future</w:t>
      </w:r>
      <w:r>
        <w:rPr>
          <w:color w:val="0C0C0C"/>
          <w:spacing w:val="-2"/>
          <w:sz w:val="24"/>
        </w:rPr>
        <w:t> </w:t>
      </w:r>
      <w:r>
        <w:rPr>
          <w:color w:val="1C1C1C"/>
          <w:sz w:val="24"/>
        </w:rPr>
        <w:t>strategies </w:t>
      </w:r>
      <w:r>
        <w:rPr>
          <w:color w:val="0C0C0C"/>
          <w:sz w:val="24"/>
        </w:rPr>
        <w:t>and</w:t>
      </w:r>
      <w:r>
        <w:rPr>
          <w:color w:val="0C0C0C"/>
          <w:spacing w:val="-2"/>
          <w:sz w:val="24"/>
        </w:rPr>
        <w:t> </w:t>
      </w:r>
      <w:r>
        <w:rPr>
          <w:color w:val="0C0C0C"/>
          <w:sz w:val="24"/>
        </w:rPr>
        <w:t>is</w:t>
      </w:r>
      <w:r>
        <w:rPr>
          <w:color w:val="0C0C0C"/>
          <w:spacing w:val="-9"/>
          <w:sz w:val="24"/>
        </w:rPr>
        <w:t> </w:t>
      </w:r>
      <w:r>
        <w:rPr>
          <w:color w:val="0C0C0C"/>
          <w:sz w:val="24"/>
        </w:rPr>
        <w:t>underpinned by</w:t>
      </w:r>
      <w:r>
        <w:rPr>
          <w:color w:val="0C0C0C"/>
          <w:spacing w:val="-8"/>
          <w:sz w:val="24"/>
        </w:rPr>
        <w:t> </w:t>
      </w:r>
      <w:r>
        <w:rPr>
          <w:color w:val="0C0C0C"/>
          <w:sz w:val="24"/>
        </w:rPr>
        <w:t>the</w:t>
      </w:r>
      <w:r>
        <w:rPr>
          <w:color w:val="0C0C0C"/>
          <w:spacing w:val="-9"/>
          <w:sz w:val="24"/>
        </w:rPr>
        <w:t> </w:t>
      </w:r>
      <w:r>
        <w:rPr>
          <w:color w:val="0C0C0C"/>
          <w:sz w:val="24"/>
        </w:rPr>
        <w:t>Corporate Plan for each year between 2022 to 2027. The Corporate Plan is annually updated and sets how we will deliver against this vision in</w:t>
      </w:r>
      <w:r>
        <w:rPr>
          <w:color w:val="0C0C0C"/>
          <w:spacing w:val="-1"/>
          <w:sz w:val="24"/>
        </w:rPr>
        <w:t> </w:t>
      </w:r>
      <w:r>
        <w:rPr>
          <w:color w:val="0C0C0C"/>
          <w:sz w:val="24"/>
        </w:rPr>
        <w:t>each financial year.</w:t>
      </w:r>
    </w:p>
    <w:p>
      <w:pPr>
        <w:spacing w:before="274"/>
        <w:ind w:left="601" w:right="0" w:firstLine="0"/>
        <w:jc w:val="both"/>
        <w:rPr>
          <w:sz w:val="24"/>
        </w:rPr>
      </w:pPr>
      <w:r>
        <w:rPr>
          <w:color w:val="0C0C0C"/>
          <w:sz w:val="24"/>
        </w:rPr>
        <w:t>The</w:t>
      </w:r>
      <w:r>
        <w:rPr>
          <w:color w:val="0C0C0C"/>
          <w:spacing w:val="-12"/>
          <w:sz w:val="24"/>
        </w:rPr>
        <w:t> </w:t>
      </w:r>
      <w:r>
        <w:rPr>
          <w:color w:val="0C0C0C"/>
          <w:sz w:val="24"/>
        </w:rPr>
        <w:t>6</w:t>
      </w:r>
      <w:r>
        <w:rPr>
          <w:color w:val="0C0C0C"/>
          <w:spacing w:val="-16"/>
          <w:sz w:val="24"/>
        </w:rPr>
        <w:t> </w:t>
      </w:r>
      <w:r>
        <w:rPr>
          <w:color w:val="0C0C0C"/>
          <w:sz w:val="24"/>
        </w:rPr>
        <w:t>Position Statements</w:t>
      </w:r>
      <w:r>
        <w:rPr>
          <w:color w:val="0C0C0C"/>
          <w:spacing w:val="9"/>
          <w:sz w:val="24"/>
        </w:rPr>
        <w:t> </w:t>
      </w:r>
      <w:r>
        <w:rPr>
          <w:color w:val="0C0C0C"/>
          <w:sz w:val="24"/>
        </w:rPr>
        <w:t>contained</w:t>
      </w:r>
      <w:r>
        <w:rPr>
          <w:color w:val="0C0C0C"/>
          <w:spacing w:val="4"/>
          <w:sz w:val="24"/>
        </w:rPr>
        <w:t> </w:t>
      </w:r>
      <w:r>
        <w:rPr>
          <w:color w:val="0C0C0C"/>
          <w:sz w:val="24"/>
        </w:rPr>
        <w:t>within</w:t>
      </w:r>
      <w:r>
        <w:rPr>
          <w:color w:val="0C0C0C"/>
          <w:spacing w:val="-7"/>
          <w:sz w:val="24"/>
        </w:rPr>
        <w:t> </w:t>
      </w:r>
      <w:r>
        <w:rPr>
          <w:color w:val="0C0C0C"/>
          <w:sz w:val="24"/>
        </w:rPr>
        <w:t>the</w:t>
      </w:r>
      <w:r>
        <w:rPr>
          <w:color w:val="0C0C0C"/>
          <w:spacing w:val="-9"/>
          <w:sz w:val="24"/>
        </w:rPr>
        <w:t> </w:t>
      </w:r>
      <w:r>
        <w:rPr>
          <w:color w:val="0C0C0C"/>
          <w:sz w:val="24"/>
        </w:rPr>
        <w:t>Vision</w:t>
      </w:r>
      <w:r>
        <w:rPr>
          <w:color w:val="0C0C0C"/>
          <w:spacing w:val="-3"/>
          <w:sz w:val="24"/>
        </w:rPr>
        <w:t> </w:t>
      </w:r>
      <w:r>
        <w:rPr>
          <w:color w:val="0C0C0C"/>
          <w:spacing w:val="-4"/>
          <w:sz w:val="24"/>
        </w:rPr>
        <w:t>are:</w:t>
      </w:r>
    </w:p>
    <w:p>
      <w:pPr>
        <w:pStyle w:val="BodyText"/>
        <w:spacing w:before="20"/>
        <w:rPr>
          <w:sz w:val="24"/>
        </w:rPr>
      </w:pPr>
    </w:p>
    <w:p>
      <w:pPr>
        <w:pStyle w:val="ListParagraph"/>
        <w:numPr>
          <w:ilvl w:val="0"/>
          <w:numId w:val="3"/>
        </w:numPr>
        <w:tabs>
          <w:tab w:val="left" w:leader="none" w:pos="1317"/>
        </w:tabs>
        <w:spacing w:before="0" w:after="0" w:line="240" w:lineRule="auto"/>
        <w:ind w:left="1317" w:right="0" w:hanging="358"/>
        <w:jc w:val="left"/>
        <w:rPr>
          <w:sz w:val="24"/>
        </w:rPr>
      </w:pPr>
      <w:r>
        <w:rPr>
          <w:color w:val="0C0C0C"/>
          <w:sz w:val="24"/>
        </w:rPr>
        <w:t>Strong</w:t>
      </w:r>
      <w:r>
        <w:rPr>
          <w:color w:val="0C0C0C"/>
          <w:spacing w:val="-9"/>
          <w:sz w:val="24"/>
        </w:rPr>
        <w:t> </w:t>
      </w:r>
      <w:r>
        <w:rPr>
          <w:color w:val="0C0C0C"/>
          <w:spacing w:val="-2"/>
          <w:sz w:val="24"/>
        </w:rPr>
        <w:t>Identity</w:t>
      </w:r>
    </w:p>
    <w:p>
      <w:pPr>
        <w:pStyle w:val="ListParagraph"/>
        <w:numPr>
          <w:ilvl w:val="0"/>
          <w:numId w:val="3"/>
        </w:numPr>
        <w:tabs>
          <w:tab w:val="left" w:leader="none" w:pos="1317"/>
        </w:tabs>
        <w:spacing w:before="137" w:after="0" w:line="240" w:lineRule="auto"/>
        <w:ind w:left="1317" w:right="0" w:hanging="358"/>
        <w:jc w:val="left"/>
        <w:rPr>
          <w:sz w:val="24"/>
        </w:rPr>
      </w:pPr>
      <w:r>
        <w:rPr>
          <w:color w:val="0C0C0C"/>
          <w:sz w:val="24"/>
        </w:rPr>
        <w:t>Sustainable</w:t>
      </w:r>
      <w:r>
        <w:rPr>
          <w:color w:val="0C0C0C"/>
          <w:spacing w:val="-8"/>
          <w:sz w:val="24"/>
        </w:rPr>
        <w:t> </w:t>
      </w:r>
      <w:r>
        <w:rPr>
          <w:color w:val="0C0C0C"/>
          <w:spacing w:val="-2"/>
          <w:sz w:val="24"/>
        </w:rPr>
        <w:t>Growth</w:t>
      </w:r>
    </w:p>
    <w:p>
      <w:pPr>
        <w:pStyle w:val="ListParagraph"/>
        <w:numPr>
          <w:ilvl w:val="0"/>
          <w:numId w:val="3"/>
        </w:numPr>
        <w:tabs>
          <w:tab w:val="left" w:leader="none" w:pos="1314"/>
        </w:tabs>
        <w:spacing w:before="138" w:after="0" w:line="240" w:lineRule="auto"/>
        <w:ind w:left="1314" w:right="0" w:hanging="350"/>
        <w:jc w:val="left"/>
        <w:rPr>
          <w:sz w:val="24"/>
        </w:rPr>
      </w:pPr>
      <w:r>
        <w:rPr>
          <w:color w:val="0C0C0C"/>
          <w:spacing w:val="-2"/>
          <w:sz w:val="24"/>
        </w:rPr>
        <w:t>Enterprising</w:t>
      </w:r>
    </w:p>
    <w:p>
      <w:pPr>
        <w:pStyle w:val="ListParagraph"/>
        <w:numPr>
          <w:ilvl w:val="0"/>
          <w:numId w:val="3"/>
        </w:numPr>
        <w:tabs>
          <w:tab w:val="left" w:leader="none" w:pos="1316"/>
        </w:tabs>
        <w:spacing w:before="137" w:after="0" w:line="240" w:lineRule="auto"/>
        <w:ind w:left="1316" w:right="0" w:hanging="357"/>
        <w:jc w:val="left"/>
        <w:rPr>
          <w:sz w:val="24"/>
        </w:rPr>
      </w:pPr>
      <w:r>
        <w:rPr>
          <w:color w:val="0C0C0C"/>
          <w:sz w:val="24"/>
        </w:rPr>
        <w:t>Climate</w:t>
      </w:r>
      <w:r>
        <w:rPr>
          <w:color w:val="0C0C0C"/>
          <w:spacing w:val="-6"/>
          <w:sz w:val="24"/>
        </w:rPr>
        <w:t> </w:t>
      </w:r>
      <w:r>
        <w:rPr>
          <w:color w:val="0C0C0C"/>
          <w:spacing w:val="-2"/>
          <w:sz w:val="24"/>
        </w:rPr>
        <w:t>Action</w:t>
      </w:r>
    </w:p>
    <w:p>
      <w:pPr>
        <w:pStyle w:val="ListParagraph"/>
        <w:numPr>
          <w:ilvl w:val="0"/>
          <w:numId w:val="3"/>
        </w:numPr>
        <w:tabs>
          <w:tab w:val="left" w:leader="none" w:pos="1315"/>
        </w:tabs>
        <w:spacing w:before="132" w:after="0" w:line="240" w:lineRule="auto"/>
        <w:ind w:left="1315" w:right="0" w:hanging="351"/>
        <w:jc w:val="left"/>
        <w:rPr>
          <w:sz w:val="24"/>
        </w:rPr>
      </w:pPr>
      <w:r>
        <w:rPr>
          <w:color w:val="0C0C0C"/>
          <w:sz w:val="24"/>
        </w:rPr>
        <w:t>Inclusive</w:t>
      </w:r>
      <w:r>
        <w:rPr>
          <w:color w:val="0C0C0C"/>
          <w:spacing w:val="-2"/>
          <w:sz w:val="24"/>
        </w:rPr>
        <w:t> </w:t>
      </w:r>
      <w:r>
        <w:rPr>
          <w:color w:val="0C0C0C"/>
          <w:sz w:val="24"/>
        </w:rPr>
        <w:t>and</w:t>
      </w:r>
      <w:r>
        <w:rPr>
          <w:color w:val="0C0C0C"/>
          <w:spacing w:val="-10"/>
          <w:sz w:val="24"/>
        </w:rPr>
        <w:t> </w:t>
      </w:r>
      <w:r>
        <w:rPr>
          <w:color w:val="0C0C0C"/>
          <w:spacing w:val="-2"/>
          <w:sz w:val="24"/>
        </w:rPr>
        <w:t>Equitable</w:t>
      </w:r>
    </w:p>
    <w:p>
      <w:pPr>
        <w:pStyle w:val="ListParagraph"/>
        <w:numPr>
          <w:ilvl w:val="0"/>
          <w:numId w:val="3"/>
        </w:numPr>
        <w:tabs>
          <w:tab w:val="left" w:leader="none" w:pos="1316"/>
        </w:tabs>
        <w:spacing w:before="138" w:after="0" w:line="240" w:lineRule="auto"/>
        <w:ind w:left="1316" w:right="0" w:hanging="352"/>
        <w:jc w:val="left"/>
        <w:rPr>
          <w:sz w:val="24"/>
        </w:rPr>
      </w:pPr>
      <w:r>
        <w:rPr>
          <w:color w:val="0C0C0C"/>
          <w:sz w:val="24"/>
        </w:rPr>
        <w:t>Open</w:t>
      </w:r>
      <w:r>
        <w:rPr>
          <w:color w:val="0C0C0C"/>
          <w:spacing w:val="1"/>
          <w:sz w:val="24"/>
        </w:rPr>
        <w:t> </w:t>
      </w:r>
      <w:r>
        <w:rPr>
          <w:color w:val="0C0C0C"/>
          <w:sz w:val="24"/>
        </w:rPr>
        <w:t>and</w:t>
      </w:r>
      <w:r>
        <w:rPr>
          <w:color w:val="0C0C0C"/>
          <w:spacing w:val="-4"/>
          <w:sz w:val="24"/>
        </w:rPr>
        <w:t> </w:t>
      </w:r>
      <w:r>
        <w:rPr>
          <w:color w:val="0C0C0C"/>
          <w:spacing w:val="-2"/>
          <w:sz w:val="24"/>
        </w:rPr>
        <w:t>Collaborative</w:t>
      </w:r>
    </w:p>
    <w:p>
      <w:pPr>
        <w:pStyle w:val="BodyText"/>
        <w:spacing w:before="120"/>
        <w:rPr>
          <w:sz w:val="24"/>
        </w:rPr>
      </w:pPr>
    </w:p>
    <w:p>
      <w:pPr>
        <w:spacing w:before="1" w:line="240" w:lineRule="auto"/>
        <w:ind w:left="606" w:right="481" w:firstLine="0"/>
        <w:jc w:val="both"/>
        <w:rPr>
          <w:sz w:val="24"/>
        </w:rPr>
      </w:pPr>
      <w:r>
        <w:rPr>
          <w:color w:val="0C0C0C"/>
          <w:sz w:val="24"/>
        </w:rPr>
        <w:t>The</w:t>
      </w:r>
      <w:r>
        <w:rPr>
          <w:color w:val="0C0C0C"/>
          <w:spacing w:val="-2"/>
          <w:sz w:val="24"/>
        </w:rPr>
        <w:t> </w:t>
      </w:r>
      <w:r>
        <w:rPr>
          <w:color w:val="0C0C0C"/>
          <w:sz w:val="24"/>
        </w:rPr>
        <w:t>2022/23 Corporate Plan</w:t>
      </w:r>
      <w:r>
        <w:rPr>
          <w:color w:val="0C0C0C"/>
          <w:spacing w:val="-4"/>
          <w:sz w:val="24"/>
        </w:rPr>
        <w:t> </w:t>
      </w:r>
      <w:r>
        <w:rPr>
          <w:color w:val="0C0C0C"/>
          <w:sz w:val="24"/>
        </w:rPr>
        <w:t>adopts</w:t>
      </w:r>
      <w:r>
        <w:rPr>
          <w:color w:val="0C0C0C"/>
          <w:spacing w:val="-2"/>
          <w:sz w:val="24"/>
        </w:rPr>
        <w:t> </w:t>
      </w:r>
      <w:r>
        <w:rPr>
          <w:color w:val="0C0C0C"/>
          <w:sz w:val="24"/>
        </w:rPr>
        <w:t>each</w:t>
      </w:r>
      <w:r>
        <w:rPr>
          <w:color w:val="0C0C0C"/>
          <w:spacing w:val="-5"/>
          <w:sz w:val="24"/>
        </w:rPr>
        <w:t> </w:t>
      </w:r>
      <w:r>
        <w:rPr>
          <w:color w:val="0C0C0C"/>
          <w:sz w:val="24"/>
        </w:rPr>
        <w:t>of</w:t>
      </w:r>
      <w:r>
        <w:rPr>
          <w:color w:val="0C0C0C"/>
          <w:spacing w:val="-9"/>
          <w:sz w:val="24"/>
        </w:rPr>
        <w:t> </w:t>
      </w:r>
      <w:r>
        <w:rPr>
          <w:color w:val="0C0C0C"/>
          <w:sz w:val="24"/>
        </w:rPr>
        <w:t>the</w:t>
      </w:r>
      <w:r>
        <w:rPr>
          <w:color w:val="0C0C0C"/>
          <w:spacing w:val="-7"/>
          <w:sz w:val="24"/>
        </w:rPr>
        <w:t> </w:t>
      </w:r>
      <w:r>
        <w:rPr>
          <w:color w:val="0C0C0C"/>
          <w:sz w:val="24"/>
        </w:rPr>
        <w:t>Position Statement and</w:t>
      </w:r>
      <w:r>
        <w:rPr>
          <w:color w:val="0C0C0C"/>
          <w:spacing w:val="-8"/>
          <w:sz w:val="24"/>
        </w:rPr>
        <w:t> </w:t>
      </w:r>
      <w:r>
        <w:rPr>
          <w:color w:val="0C0C0C"/>
          <w:sz w:val="24"/>
        </w:rPr>
        <w:t>sets</w:t>
      </w:r>
      <w:r>
        <w:rPr>
          <w:color w:val="0C0C0C"/>
          <w:spacing w:val="-2"/>
          <w:sz w:val="24"/>
        </w:rPr>
        <w:t> </w:t>
      </w:r>
      <w:r>
        <w:rPr>
          <w:color w:val="0C0C0C"/>
          <w:sz w:val="24"/>
        </w:rPr>
        <w:t>out</w:t>
      </w:r>
      <w:r>
        <w:rPr>
          <w:color w:val="0C0C0C"/>
          <w:spacing w:val="-5"/>
          <w:sz w:val="24"/>
        </w:rPr>
        <w:t> </w:t>
      </w:r>
      <w:r>
        <w:rPr>
          <w:color w:val="0C0C0C"/>
          <w:sz w:val="24"/>
        </w:rPr>
        <w:t>how we will work towards implementing the position statements and commitments which sit underneath that overall vision. We have identified key areas of work that will be undertaken during the year ahead and also articulate what success will look like so that we know we are heading in</w:t>
      </w:r>
      <w:r>
        <w:rPr>
          <w:color w:val="0C0C0C"/>
          <w:spacing w:val="-3"/>
          <w:sz w:val="24"/>
        </w:rPr>
        <w:t> </w:t>
      </w:r>
      <w:r>
        <w:rPr>
          <w:color w:val="0C0C0C"/>
          <w:sz w:val="24"/>
        </w:rPr>
        <w:t>the right direction.</w:t>
      </w:r>
    </w:p>
    <w:p>
      <w:pPr>
        <w:spacing w:before="273" w:line="240" w:lineRule="auto"/>
        <w:ind w:left="610" w:right="475" w:hanging="1"/>
        <w:jc w:val="both"/>
        <w:rPr>
          <w:sz w:val="24"/>
        </w:rPr>
      </w:pPr>
      <w:r>
        <w:rPr>
          <w:color w:val="0C0C0C"/>
          <w:sz w:val="24"/>
        </w:rPr>
        <w:t>Our role as a centre for film and television is something we are very proud of and continue to build on which </w:t>
      </w:r>
      <w:r>
        <w:rPr>
          <w:color w:val="1C1C1C"/>
          <w:sz w:val="24"/>
        </w:rPr>
        <w:t>provides </w:t>
      </w:r>
      <w:r>
        <w:rPr>
          <w:color w:val="0C0C0C"/>
          <w:sz w:val="24"/>
        </w:rPr>
        <w:t>opportunities for residents to celebrate our heritage</w:t>
      </w:r>
      <w:r>
        <w:rPr>
          <w:color w:val="4B4B4B"/>
          <w:sz w:val="24"/>
        </w:rPr>
        <w:t>. </w:t>
      </w:r>
      <w:r>
        <w:rPr>
          <w:color w:val="0C0C0C"/>
          <w:sz w:val="24"/>
        </w:rPr>
        <w:t>Our </w:t>
      </w:r>
      <w:r>
        <w:rPr>
          <w:color w:val="1C1C1C"/>
          <w:sz w:val="24"/>
        </w:rPr>
        <w:t>award-winning parks </w:t>
      </w:r>
      <w:r>
        <w:rPr>
          <w:color w:val="0C0C0C"/>
          <w:sz w:val="24"/>
        </w:rPr>
        <w:t>and </w:t>
      </w:r>
      <w:r>
        <w:rPr>
          <w:color w:val="1C1C1C"/>
          <w:sz w:val="24"/>
        </w:rPr>
        <w:t>open </w:t>
      </w:r>
      <w:r>
        <w:rPr>
          <w:color w:val="0C0C0C"/>
          <w:sz w:val="24"/>
        </w:rPr>
        <w:t>spaces are important to us </w:t>
      </w:r>
      <w:r>
        <w:rPr>
          <w:color w:val="1C1C1C"/>
          <w:sz w:val="24"/>
        </w:rPr>
        <w:t>and </w:t>
      </w:r>
      <w:r>
        <w:rPr>
          <w:color w:val="0C0C0C"/>
          <w:sz w:val="24"/>
        </w:rPr>
        <w:t>our residents and we will continue to invest in them. We </w:t>
      </w:r>
      <w:r>
        <w:rPr>
          <w:color w:val="1C1C1C"/>
          <w:sz w:val="24"/>
        </w:rPr>
        <w:t>will also </w:t>
      </w:r>
      <w:r>
        <w:rPr>
          <w:color w:val="0C0C0C"/>
          <w:sz w:val="24"/>
        </w:rPr>
        <w:t>work towards </w:t>
      </w:r>
      <w:r>
        <w:rPr>
          <w:color w:val="1C1C1C"/>
          <w:sz w:val="24"/>
        </w:rPr>
        <w:t>ensuring </w:t>
      </w:r>
      <w:r>
        <w:rPr>
          <w:color w:val="0C0C0C"/>
          <w:sz w:val="24"/>
        </w:rPr>
        <w:t>our town centres remain a</w:t>
      </w:r>
      <w:r>
        <w:rPr>
          <w:color w:val="0C0C0C"/>
          <w:spacing w:val="-3"/>
          <w:sz w:val="24"/>
        </w:rPr>
        <w:t> </w:t>
      </w:r>
      <w:r>
        <w:rPr>
          <w:color w:val="0C0C0C"/>
          <w:sz w:val="24"/>
        </w:rPr>
        <w:t>key part of</w:t>
      </w:r>
      <w:r>
        <w:rPr>
          <w:color w:val="0C0C0C"/>
          <w:spacing w:val="-1"/>
          <w:sz w:val="24"/>
        </w:rPr>
        <w:t> </w:t>
      </w:r>
      <w:r>
        <w:rPr>
          <w:color w:val="0C0C0C"/>
          <w:sz w:val="24"/>
        </w:rPr>
        <w:t>local life, a </w:t>
      </w:r>
      <w:r>
        <w:rPr>
          <w:color w:val="1C1C1C"/>
          <w:sz w:val="24"/>
        </w:rPr>
        <w:t>draw to residents </w:t>
      </w:r>
      <w:r>
        <w:rPr>
          <w:color w:val="0C0C0C"/>
          <w:sz w:val="24"/>
        </w:rPr>
        <w:t>and</w:t>
      </w:r>
      <w:r>
        <w:rPr>
          <w:color w:val="0C0C0C"/>
          <w:spacing w:val="-2"/>
          <w:sz w:val="24"/>
        </w:rPr>
        <w:t> </w:t>
      </w:r>
      <w:r>
        <w:rPr>
          <w:color w:val="0C0C0C"/>
          <w:sz w:val="24"/>
        </w:rPr>
        <w:t>visitors alike.</w:t>
      </w:r>
    </w:p>
    <w:p>
      <w:pPr>
        <w:pStyle w:val="BodyText"/>
        <w:spacing w:before="2"/>
        <w:rPr>
          <w:sz w:val="24"/>
        </w:rPr>
      </w:pPr>
    </w:p>
    <w:p>
      <w:pPr>
        <w:spacing w:before="0" w:line="242" w:lineRule="auto"/>
        <w:ind w:left="610" w:right="462" w:firstLine="2"/>
        <w:jc w:val="both"/>
        <w:rPr>
          <w:sz w:val="24"/>
        </w:rPr>
      </w:pPr>
      <w:r>
        <w:rPr>
          <w:color w:val="0C0C0C"/>
          <w:sz w:val="24"/>
        </w:rPr>
        <w:t>By</w:t>
      </w:r>
      <w:r>
        <w:rPr>
          <w:color w:val="0C0C0C"/>
          <w:spacing w:val="-12"/>
          <w:sz w:val="24"/>
        </w:rPr>
        <w:t> </w:t>
      </w:r>
      <w:r>
        <w:rPr>
          <w:color w:val="0C0C0C"/>
          <w:sz w:val="24"/>
        </w:rPr>
        <w:t>promoting </w:t>
      </w:r>
      <w:r>
        <w:rPr>
          <w:color w:val="1C1C1C"/>
          <w:sz w:val="24"/>
        </w:rPr>
        <w:t>and</w:t>
      </w:r>
      <w:r>
        <w:rPr>
          <w:color w:val="1C1C1C"/>
          <w:spacing w:val="-7"/>
          <w:sz w:val="24"/>
        </w:rPr>
        <w:t> </w:t>
      </w:r>
      <w:r>
        <w:rPr>
          <w:color w:val="1C1C1C"/>
          <w:sz w:val="24"/>
        </w:rPr>
        <w:t>developing </w:t>
      </w:r>
      <w:r>
        <w:rPr>
          <w:color w:val="0C0C0C"/>
          <w:sz w:val="24"/>
        </w:rPr>
        <w:t>our</w:t>
      </w:r>
      <w:r>
        <w:rPr>
          <w:color w:val="0C0C0C"/>
          <w:spacing w:val="-7"/>
          <w:sz w:val="24"/>
        </w:rPr>
        <w:t> </w:t>
      </w:r>
      <w:r>
        <w:rPr>
          <w:color w:val="0C0C0C"/>
          <w:sz w:val="24"/>
        </w:rPr>
        <w:t>ability</w:t>
      </w:r>
      <w:r>
        <w:rPr>
          <w:color w:val="0C0C0C"/>
          <w:spacing w:val="-2"/>
          <w:sz w:val="24"/>
        </w:rPr>
        <w:t> </w:t>
      </w:r>
      <w:r>
        <w:rPr>
          <w:color w:val="0C0C0C"/>
          <w:sz w:val="24"/>
        </w:rPr>
        <w:t>to</w:t>
      </w:r>
      <w:r>
        <w:rPr>
          <w:color w:val="0C0C0C"/>
          <w:spacing w:val="-8"/>
          <w:sz w:val="24"/>
        </w:rPr>
        <w:t> </w:t>
      </w:r>
      <w:r>
        <w:rPr>
          <w:color w:val="0C0C0C"/>
          <w:sz w:val="24"/>
        </w:rPr>
        <w:t>generate income as</w:t>
      </w:r>
      <w:r>
        <w:rPr>
          <w:color w:val="0C0C0C"/>
          <w:spacing w:val="-5"/>
          <w:sz w:val="24"/>
        </w:rPr>
        <w:t> </w:t>
      </w:r>
      <w:r>
        <w:rPr>
          <w:color w:val="0C0C0C"/>
          <w:sz w:val="24"/>
        </w:rPr>
        <w:t>well</w:t>
      </w:r>
      <w:r>
        <w:rPr>
          <w:color w:val="0C0C0C"/>
          <w:spacing w:val="-4"/>
          <w:sz w:val="24"/>
        </w:rPr>
        <w:t> </w:t>
      </w:r>
      <w:r>
        <w:rPr>
          <w:color w:val="0C0C0C"/>
          <w:sz w:val="24"/>
        </w:rPr>
        <w:t>as</w:t>
      </w:r>
      <w:r>
        <w:rPr>
          <w:color w:val="0C0C0C"/>
          <w:spacing w:val="-6"/>
          <w:sz w:val="24"/>
        </w:rPr>
        <w:t> </w:t>
      </w:r>
      <w:r>
        <w:rPr>
          <w:color w:val="0C0C0C"/>
          <w:sz w:val="24"/>
        </w:rPr>
        <w:t>reducing costs by entering </w:t>
      </w:r>
      <w:r>
        <w:rPr>
          <w:color w:val="1C1C1C"/>
          <w:sz w:val="24"/>
        </w:rPr>
        <w:t>into partnerships </w:t>
      </w:r>
      <w:r>
        <w:rPr>
          <w:color w:val="0C0C0C"/>
          <w:sz w:val="24"/>
        </w:rPr>
        <w:t>with other councils and looking for </w:t>
      </w:r>
      <w:r>
        <w:rPr>
          <w:color w:val="1C1C1C"/>
          <w:sz w:val="24"/>
        </w:rPr>
        <w:t>commercial </w:t>
      </w:r>
      <w:r>
        <w:rPr>
          <w:color w:val="0C0C0C"/>
          <w:sz w:val="24"/>
        </w:rPr>
        <w:t>opportunities such as establishing our own property development company. We currently have partnerships with other local authorities for Building Control, CCTV, Internal Audit and Anti-Fraud.</w:t>
      </w:r>
    </w:p>
    <w:p>
      <w:pPr>
        <w:spacing w:before="266" w:line="237" w:lineRule="auto"/>
        <w:ind w:left="610" w:right="465" w:firstLine="3"/>
        <w:jc w:val="both"/>
        <w:rPr>
          <w:sz w:val="24"/>
        </w:rPr>
      </w:pPr>
      <w:r>
        <w:rPr>
          <w:color w:val="0C0C0C"/>
          <w:sz w:val="24"/>
        </w:rPr>
        <w:t>We have already built some excellent quality houses for </w:t>
      </w:r>
      <w:r>
        <w:rPr>
          <w:color w:val="1C1C1C"/>
          <w:sz w:val="24"/>
        </w:rPr>
        <w:t>rent </w:t>
      </w:r>
      <w:r>
        <w:rPr>
          <w:color w:val="0C0C0C"/>
          <w:sz w:val="24"/>
        </w:rPr>
        <w:t>and will be developing more to generate rental income while also contributing to meeting local demand for housing.</w:t>
      </w:r>
      <w:r>
        <w:rPr>
          <w:color w:val="0C0C0C"/>
          <w:spacing w:val="75"/>
          <w:w w:val="150"/>
          <w:sz w:val="24"/>
        </w:rPr>
        <w:t> </w:t>
      </w:r>
      <w:r>
        <w:rPr>
          <w:color w:val="0C0C0C"/>
          <w:sz w:val="24"/>
        </w:rPr>
        <w:t>We</w:t>
      </w:r>
      <w:r>
        <w:rPr>
          <w:color w:val="0C0C0C"/>
          <w:spacing w:val="80"/>
          <w:sz w:val="24"/>
        </w:rPr>
        <w:t> </w:t>
      </w:r>
      <w:r>
        <w:rPr>
          <w:color w:val="0C0C0C"/>
          <w:sz w:val="24"/>
        </w:rPr>
        <w:t>set</w:t>
      </w:r>
      <w:r>
        <w:rPr>
          <w:color w:val="0C0C0C"/>
          <w:spacing w:val="80"/>
          <w:sz w:val="24"/>
        </w:rPr>
        <w:t> </w:t>
      </w:r>
      <w:r>
        <w:rPr>
          <w:color w:val="0C0C0C"/>
          <w:sz w:val="24"/>
        </w:rPr>
        <w:t>up</w:t>
      </w:r>
      <w:r>
        <w:rPr>
          <w:color w:val="0C0C0C"/>
          <w:spacing w:val="80"/>
          <w:sz w:val="24"/>
        </w:rPr>
        <w:t> </w:t>
      </w:r>
      <w:r>
        <w:rPr>
          <w:color w:val="0C0C0C"/>
          <w:sz w:val="24"/>
        </w:rPr>
        <w:t>Hertsmere</w:t>
      </w:r>
      <w:r>
        <w:rPr>
          <w:color w:val="0C0C0C"/>
          <w:spacing w:val="72"/>
          <w:w w:val="150"/>
          <w:sz w:val="24"/>
        </w:rPr>
        <w:t> </w:t>
      </w:r>
      <w:r>
        <w:rPr>
          <w:color w:val="0C0C0C"/>
          <w:sz w:val="24"/>
        </w:rPr>
        <w:t>Development</w:t>
      </w:r>
      <w:r>
        <w:rPr>
          <w:color w:val="0C0C0C"/>
          <w:spacing w:val="76"/>
          <w:w w:val="150"/>
          <w:sz w:val="24"/>
        </w:rPr>
        <w:t> </w:t>
      </w:r>
      <w:r>
        <w:rPr>
          <w:color w:val="0C0C0C"/>
          <w:sz w:val="24"/>
        </w:rPr>
        <w:t>Ltd</w:t>
      </w:r>
      <w:r>
        <w:rPr>
          <w:color w:val="0C0C0C"/>
          <w:spacing w:val="80"/>
          <w:sz w:val="24"/>
        </w:rPr>
        <w:t> </w:t>
      </w:r>
      <w:r>
        <w:rPr>
          <w:color w:val="0C0C0C"/>
          <w:sz w:val="24"/>
        </w:rPr>
        <w:t>(HDL)</w:t>
      </w:r>
      <w:r>
        <w:rPr>
          <w:color w:val="0C0C0C"/>
          <w:spacing w:val="70"/>
          <w:w w:val="150"/>
          <w:sz w:val="24"/>
        </w:rPr>
        <w:t> </w:t>
      </w:r>
      <w:r>
        <w:rPr>
          <w:color w:val="0C0C0C"/>
          <w:sz w:val="24"/>
        </w:rPr>
        <w:t>to</w:t>
      </w:r>
      <w:r>
        <w:rPr>
          <w:color w:val="0C0C0C"/>
          <w:spacing w:val="80"/>
          <w:sz w:val="24"/>
        </w:rPr>
        <w:t> </w:t>
      </w:r>
      <w:r>
        <w:rPr>
          <w:color w:val="0C0C0C"/>
          <w:sz w:val="24"/>
        </w:rPr>
        <w:t>take</w:t>
      </w:r>
      <w:r>
        <w:rPr>
          <w:color w:val="0C0C0C"/>
          <w:spacing w:val="80"/>
          <w:sz w:val="24"/>
        </w:rPr>
        <w:t> </w:t>
      </w:r>
      <w:r>
        <w:rPr>
          <w:color w:val="0C0C0C"/>
          <w:sz w:val="24"/>
        </w:rPr>
        <w:t>forward</w:t>
      </w:r>
      <w:r>
        <w:rPr>
          <w:color w:val="0C0C0C"/>
          <w:spacing w:val="67"/>
          <w:w w:val="150"/>
          <w:sz w:val="24"/>
        </w:rPr>
        <w:t> </w:t>
      </w:r>
      <w:r>
        <w:rPr>
          <w:color w:val="0C0C0C"/>
          <w:sz w:val="24"/>
        </w:rPr>
        <w:t>new</w:t>
      </w:r>
    </w:p>
    <w:p>
      <w:pPr>
        <w:spacing w:after="0" w:line="237" w:lineRule="auto"/>
        <w:jc w:val="both"/>
        <w:rPr>
          <w:sz w:val="24"/>
        </w:rPr>
        <w:sectPr>
          <w:headerReference w:type="default" r:id="rId26"/>
          <w:footerReference w:type="default" r:id="rId27"/>
          <w:footerReference w:type="even" r:id="rId28"/>
          <w:pgSz w:w="11910" w:h="16830"/>
          <w:pgMar w:top="640" w:right="920" w:bottom="600" w:left="840" w:header="445" w:footer="419"/>
          <w:pgNumType w:start="13"/>
        </w:sectPr>
      </w:pPr>
    </w:p>
    <w:p>
      <w:pPr>
        <w:spacing w:before="75"/>
        <w:ind w:left="932" w:right="0" w:firstLine="0"/>
        <w:jc w:val="both"/>
        <w:rPr>
          <w:sz w:val="15"/>
        </w:rPr>
      </w:pPr>
      <w:r>
        <w:rPr/>
        <ve:AlternateContent>
          <ve:Choice Requires="wps">
            <w:drawing>
              <wp:anchor distT="0" distB="0" distL="0" distR="0" simplePos="0" relativeHeight="15740416" behindDoc="0" locked="0" layoutInCell="1" allowOverlap="1">
                <wp:simplePos x="0" y="0"/>
                <wp:positionH relativeFrom="page">
                  <wp:posOffset>167910</wp:posOffset>
                </wp:positionH>
                <wp:positionV relativeFrom="page">
                  <wp:posOffset>2313033</wp:posOffset>
                </wp:positionV>
                <wp:extent cx="1270" cy="549275"/>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1270" cy="549275"/>
                        </a:xfrm>
                        <a:custGeom>
                          <a:avLst/>
                          <a:gdLst/>
                          <a:ahLst/>
                          <a:cxnLst/>
                          <a:rect l="l" t="t" r="r" b="b"/>
                          <a:pathLst>
                            <a:path w="0" h="549275">
                              <a:moveTo>
                                <a:pt x="0" y="549265"/>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40416" stroked="true" strokecolor="#000000" strokeweight=".961549pt" from="13.221292pt,225.37789pt" to="13.221292pt,182.128601pt">
                <v:stroke dashstyle="solid"/>
                <w10:wrap type="none"/>
              </v:line>
            </w:pict>
          </ve:Fallback>
        </ve:AlternateContent>
      </w:r>
      <w:r>
        <w:rPr>
          <w:color w:val="9E9E9E"/>
          <w:w w:val="105"/>
          <w:sz w:val="15"/>
        </w:rPr>
        <w:t>NARRATIVE</w:t>
      </w:r>
      <w:r>
        <w:rPr>
          <w:color w:val="9E9E9E"/>
          <w:spacing w:val="41"/>
          <w:w w:val="105"/>
          <w:sz w:val="15"/>
        </w:rPr>
        <w:t> </w:t>
      </w:r>
      <w:r>
        <w:rPr>
          <w:color w:val="9E9E9E"/>
          <w:spacing w:val="-2"/>
          <w:w w:val="105"/>
          <w:sz w:val="15"/>
        </w:rPr>
        <w:t>STATEMENT</w:t>
      </w:r>
    </w:p>
    <w:p>
      <w:pPr>
        <w:pStyle w:val="BodyText"/>
        <w:spacing w:before="26"/>
        <w:rPr>
          <w:sz w:val="15"/>
        </w:rPr>
      </w:pPr>
    </w:p>
    <w:p>
      <w:pPr>
        <w:spacing w:before="0" w:line="249" w:lineRule="auto"/>
        <w:ind w:left="921" w:right="181" w:firstLine="0"/>
        <w:jc w:val="both"/>
        <w:rPr>
          <w:sz w:val="23"/>
        </w:rPr>
      </w:pPr>
      <w:r>
        <w:rPr>
          <w:color w:val="181818"/>
          <w:w w:val="105"/>
          <w:sz w:val="23"/>
        </w:rPr>
        <w:t>developments</w:t>
      </w:r>
      <w:r>
        <w:rPr>
          <w:color w:val="181818"/>
          <w:w w:val="105"/>
          <w:sz w:val="23"/>
        </w:rPr>
        <w:t> on</w:t>
      </w:r>
      <w:r>
        <w:rPr>
          <w:color w:val="181818"/>
          <w:w w:val="105"/>
          <w:sz w:val="23"/>
        </w:rPr>
        <w:t> council-owned</w:t>
      </w:r>
      <w:r>
        <w:rPr>
          <w:color w:val="181818"/>
          <w:w w:val="105"/>
          <w:sz w:val="23"/>
        </w:rPr>
        <w:t> land</w:t>
      </w:r>
      <w:r>
        <w:rPr>
          <w:color w:val="181818"/>
          <w:w w:val="105"/>
          <w:sz w:val="23"/>
        </w:rPr>
        <w:t> and</w:t>
      </w:r>
      <w:r>
        <w:rPr>
          <w:color w:val="181818"/>
          <w:w w:val="105"/>
          <w:sz w:val="23"/>
        </w:rPr>
        <w:t> the</w:t>
      </w:r>
      <w:r>
        <w:rPr>
          <w:color w:val="181818"/>
          <w:w w:val="105"/>
          <w:sz w:val="23"/>
        </w:rPr>
        <w:t> company</w:t>
      </w:r>
      <w:r>
        <w:rPr>
          <w:color w:val="181818"/>
          <w:w w:val="105"/>
          <w:sz w:val="23"/>
        </w:rPr>
        <w:t> currently</w:t>
      </w:r>
      <w:r>
        <w:rPr>
          <w:color w:val="181818"/>
          <w:w w:val="105"/>
          <w:sz w:val="23"/>
        </w:rPr>
        <w:t> has</w:t>
      </w:r>
      <w:r>
        <w:rPr>
          <w:color w:val="181818"/>
          <w:w w:val="105"/>
          <w:sz w:val="23"/>
        </w:rPr>
        <w:t> two developments in</w:t>
      </w:r>
      <w:r>
        <w:rPr>
          <w:color w:val="181818"/>
          <w:spacing w:val="-1"/>
          <w:w w:val="105"/>
          <w:sz w:val="23"/>
        </w:rPr>
        <w:t> </w:t>
      </w:r>
      <w:r>
        <w:rPr>
          <w:color w:val="181818"/>
          <w:w w:val="105"/>
          <w:sz w:val="23"/>
        </w:rPr>
        <w:t>progress which will</w:t>
      </w:r>
      <w:r>
        <w:rPr>
          <w:color w:val="181818"/>
          <w:spacing w:val="-2"/>
          <w:w w:val="105"/>
          <w:sz w:val="23"/>
        </w:rPr>
        <w:t> </w:t>
      </w:r>
      <w:r>
        <w:rPr>
          <w:color w:val="181818"/>
          <w:w w:val="105"/>
          <w:sz w:val="23"/>
        </w:rPr>
        <w:t>deliver 26</w:t>
      </w:r>
      <w:r>
        <w:rPr>
          <w:color w:val="181818"/>
          <w:spacing w:val="-1"/>
          <w:w w:val="105"/>
          <w:sz w:val="23"/>
        </w:rPr>
        <w:t> </w:t>
      </w:r>
      <w:r>
        <w:rPr>
          <w:color w:val="181818"/>
          <w:w w:val="105"/>
          <w:sz w:val="23"/>
        </w:rPr>
        <w:t>new</w:t>
      </w:r>
      <w:r>
        <w:rPr>
          <w:color w:val="181818"/>
          <w:spacing w:val="-3"/>
          <w:w w:val="105"/>
          <w:sz w:val="23"/>
        </w:rPr>
        <w:t> </w:t>
      </w:r>
      <w:r>
        <w:rPr>
          <w:color w:val="181818"/>
          <w:w w:val="105"/>
          <w:sz w:val="23"/>
        </w:rPr>
        <w:t>housing units in 2023/24.</w:t>
      </w:r>
    </w:p>
    <w:p>
      <w:pPr>
        <w:pStyle w:val="BodyText"/>
        <w:spacing w:before="7"/>
        <w:rPr>
          <w:sz w:val="23"/>
        </w:rPr>
      </w:pPr>
    </w:p>
    <w:p>
      <w:pPr>
        <w:spacing w:before="1" w:line="249" w:lineRule="auto"/>
        <w:ind w:left="906" w:right="185" w:firstLine="15"/>
        <w:jc w:val="both"/>
        <w:rPr>
          <w:sz w:val="23"/>
        </w:rPr>
      </w:pPr>
      <w:r>
        <w:rPr>
          <w:color w:val="181818"/>
          <w:w w:val="105"/>
          <w:sz w:val="23"/>
        </w:rPr>
        <w:t>We</w:t>
      </w:r>
      <w:r>
        <w:rPr>
          <w:color w:val="181818"/>
          <w:spacing w:val="-4"/>
          <w:w w:val="105"/>
          <w:sz w:val="23"/>
        </w:rPr>
        <w:t> </w:t>
      </w:r>
      <w:r>
        <w:rPr>
          <w:color w:val="181818"/>
          <w:w w:val="105"/>
          <w:sz w:val="23"/>
        </w:rPr>
        <w:t>declared a</w:t>
      </w:r>
      <w:r>
        <w:rPr>
          <w:color w:val="181818"/>
          <w:spacing w:val="-5"/>
          <w:w w:val="105"/>
          <w:sz w:val="23"/>
        </w:rPr>
        <w:t> </w:t>
      </w:r>
      <w:r>
        <w:rPr>
          <w:color w:val="181818"/>
          <w:w w:val="105"/>
          <w:sz w:val="23"/>
        </w:rPr>
        <w:t>climate</w:t>
      </w:r>
      <w:r>
        <w:rPr>
          <w:color w:val="181818"/>
          <w:spacing w:val="-6"/>
          <w:w w:val="105"/>
          <w:sz w:val="23"/>
        </w:rPr>
        <w:t> </w:t>
      </w:r>
      <w:r>
        <w:rPr>
          <w:color w:val="181818"/>
          <w:w w:val="105"/>
          <w:sz w:val="23"/>
        </w:rPr>
        <w:t>emergency in</w:t>
      </w:r>
      <w:r>
        <w:rPr>
          <w:color w:val="181818"/>
          <w:spacing w:val="-9"/>
          <w:w w:val="105"/>
          <w:sz w:val="23"/>
        </w:rPr>
        <w:t> </w:t>
      </w:r>
      <w:r>
        <w:rPr>
          <w:color w:val="181818"/>
          <w:w w:val="105"/>
          <w:sz w:val="23"/>
        </w:rPr>
        <w:t>2019</w:t>
      </w:r>
      <w:r>
        <w:rPr>
          <w:color w:val="181818"/>
          <w:spacing w:val="-8"/>
          <w:w w:val="105"/>
          <w:sz w:val="23"/>
        </w:rPr>
        <w:t> </w:t>
      </w:r>
      <w:r>
        <w:rPr>
          <w:color w:val="181818"/>
          <w:w w:val="105"/>
          <w:sz w:val="23"/>
        </w:rPr>
        <w:t>and</w:t>
      </w:r>
      <w:r>
        <w:rPr>
          <w:color w:val="181818"/>
          <w:spacing w:val="-8"/>
          <w:w w:val="105"/>
          <w:sz w:val="23"/>
        </w:rPr>
        <w:t> </w:t>
      </w:r>
      <w:r>
        <w:rPr>
          <w:color w:val="181818"/>
          <w:w w:val="105"/>
          <w:sz w:val="23"/>
        </w:rPr>
        <w:t>are</w:t>
      </w:r>
      <w:r>
        <w:rPr>
          <w:color w:val="181818"/>
          <w:spacing w:val="-8"/>
          <w:w w:val="105"/>
          <w:sz w:val="23"/>
        </w:rPr>
        <w:t> </w:t>
      </w:r>
      <w:r>
        <w:rPr>
          <w:color w:val="181818"/>
          <w:w w:val="105"/>
          <w:sz w:val="23"/>
        </w:rPr>
        <w:t>serious about our</w:t>
      </w:r>
      <w:r>
        <w:rPr>
          <w:color w:val="181818"/>
          <w:spacing w:val="-7"/>
          <w:w w:val="105"/>
          <w:sz w:val="23"/>
        </w:rPr>
        <w:t> </w:t>
      </w:r>
      <w:r>
        <w:rPr>
          <w:color w:val="181818"/>
          <w:w w:val="105"/>
          <w:sz w:val="23"/>
        </w:rPr>
        <w:t>pledge</w:t>
      </w:r>
      <w:r>
        <w:rPr>
          <w:color w:val="181818"/>
          <w:spacing w:val="-6"/>
          <w:w w:val="105"/>
          <w:sz w:val="23"/>
        </w:rPr>
        <w:t> </w:t>
      </w:r>
      <w:r>
        <w:rPr>
          <w:color w:val="181818"/>
          <w:w w:val="105"/>
          <w:sz w:val="23"/>
        </w:rPr>
        <w:t>to</w:t>
      </w:r>
      <w:r>
        <w:rPr>
          <w:color w:val="181818"/>
          <w:spacing w:val="-9"/>
          <w:w w:val="105"/>
          <w:sz w:val="23"/>
        </w:rPr>
        <w:t> </w:t>
      </w:r>
      <w:r>
        <w:rPr>
          <w:color w:val="181818"/>
          <w:w w:val="105"/>
          <w:sz w:val="23"/>
        </w:rPr>
        <w:t>move to</w:t>
      </w:r>
      <w:r>
        <w:rPr>
          <w:color w:val="181818"/>
          <w:spacing w:val="-17"/>
          <w:w w:val="105"/>
          <w:sz w:val="23"/>
        </w:rPr>
        <w:t> </w:t>
      </w:r>
      <w:r>
        <w:rPr>
          <w:color w:val="181818"/>
          <w:w w:val="105"/>
          <w:sz w:val="23"/>
        </w:rPr>
        <w:t>net</w:t>
      </w:r>
      <w:r>
        <w:rPr>
          <w:color w:val="181818"/>
          <w:spacing w:val="-17"/>
          <w:w w:val="105"/>
          <w:sz w:val="23"/>
        </w:rPr>
        <w:t> </w:t>
      </w:r>
      <w:r>
        <w:rPr>
          <w:color w:val="181818"/>
          <w:w w:val="105"/>
          <w:sz w:val="23"/>
        </w:rPr>
        <w:t>zero</w:t>
      </w:r>
      <w:r>
        <w:rPr>
          <w:color w:val="181818"/>
          <w:spacing w:val="-11"/>
          <w:w w:val="105"/>
          <w:sz w:val="23"/>
        </w:rPr>
        <w:t> </w:t>
      </w:r>
      <w:r>
        <w:rPr>
          <w:color w:val="181818"/>
          <w:w w:val="105"/>
          <w:sz w:val="23"/>
        </w:rPr>
        <w:t>carbon</w:t>
      </w:r>
      <w:r>
        <w:rPr>
          <w:color w:val="181818"/>
          <w:spacing w:val="-9"/>
          <w:w w:val="105"/>
          <w:sz w:val="23"/>
        </w:rPr>
        <w:t> </w:t>
      </w:r>
      <w:r>
        <w:rPr>
          <w:color w:val="181818"/>
          <w:w w:val="105"/>
          <w:sz w:val="23"/>
        </w:rPr>
        <w:t>emissions no</w:t>
      </w:r>
      <w:r>
        <w:rPr>
          <w:color w:val="181818"/>
          <w:spacing w:val="-16"/>
          <w:w w:val="105"/>
          <w:sz w:val="23"/>
        </w:rPr>
        <w:t> </w:t>
      </w:r>
      <w:r>
        <w:rPr>
          <w:color w:val="181818"/>
          <w:w w:val="105"/>
          <w:sz w:val="23"/>
        </w:rPr>
        <w:t>later</w:t>
      </w:r>
      <w:r>
        <w:rPr>
          <w:color w:val="181818"/>
          <w:spacing w:val="-8"/>
          <w:w w:val="105"/>
          <w:sz w:val="23"/>
        </w:rPr>
        <w:t> </w:t>
      </w:r>
      <w:r>
        <w:rPr>
          <w:color w:val="181818"/>
          <w:w w:val="105"/>
          <w:sz w:val="23"/>
        </w:rPr>
        <w:t>than</w:t>
      </w:r>
      <w:r>
        <w:rPr>
          <w:color w:val="181818"/>
          <w:spacing w:val="-11"/>
          <w:w w:val="105"/>
          <w:sz w:val="23"/>
        </w:rPr>
        <w:t> </w:t>
      </w:r>
      <w:r>
        <w:rPr>
          <w:color w:val="181818"/>
          <w:w w:val="105"/>
          <w:sz w:val="23"/>
        </w:rPr>
        <w:t>2050</w:t>
      </w:r>
      <w:r>
        <w:rPr>
          <w:color w:val="464646"/>
          <w:w w:val="105"/>
          <w:sz w:val="23"/>
        </w:rPr>
        <w:t>.</w:t>
      </w:r>
      <w:r>
        <w:rPr>
          <w:color w:val="464646"/>
          <w:spacing w:val="-17"/>
          <w:w w:val="105"/>
          <w:sz w:val="23"/>
        </w:rPr>
        <w:t> </w:t>
      </w:r>
      <w:r>
        <w:rPr>
          <w:color w:val="181818"/>
          <w:w w:val="105"/>
          <w:sz w:val="23"/>
        </w:rPr>
        <w:t>We</w:t>
      </w:r>
      <w:r>
        <w:rPr>
          <w:color w:val="181818"/>
          <w:spacing w:val="-8"/>
          <w:w w:val="105"/>
          <w:sz w:val="23"/>
        </w:rPr>
        <w:t> </w:t>
      </w:r>
      <w:r>
        <w:rPr>
          <w:color w:val="181818"/>
          <w:w w:val="105"/>
          <w:sz w:val="23"/>
        </w:rPr>
        <w:t>have</w:t>
      </w:r>
      <w:r>
        <w:rPr>
          <w:color w:val="181818"/>
          <w:spacing w:val="-3"/>
          <w:w w:val="105"/>
          <w:sz w:val="23"/>
        </w:rPr>
        <w:t> </w:t>
      </w:r>
      <w:r>
        <w:rPr>
          <w:color w:val="181818"/>
          <w:w w:val="105"/>
          <w:sz w:val="23"/>
        </w:rPr>
        <w:t>adopted a</w:t>
      </w:r>
      <w:r>
        <w:rPr>
          <w:color w:val="181818"/>
          <w:spacing w:val="-4"/>
          <w:w w:val="105"/>
          <w:sz w:val="23"/>
        </w:rPr>
        <w:t> </w:t>
      </w:r>
      <w:r>
        <w:rPr>
          <w:color w:val="181818"/>
          <w:w w:val="105"/>
          <w:sz w:val="23"/>
        </w:rPr>
        <w:t>Climate</w:t>
      </w:r>
      <w:r>
        <w:rPr>
          <w:color w:val="181818"/>
          <w:spacing w:val="-1"/>
          <w:w w:val="105"/>
          <w:sz w:val="23"/>
        </w:rPr>
        <w:t> </w:t>
      </w:r>
      <w:r>
        <w:rPr>
          <w:color w:val="181818"/>
          <w:w w:val="105"/>
          <w:sz w:val="23"/>
        </w:rPr>
        <w:t>Change </w:t>
      </w:r>
      <w:r>
        <w:rPr>
          <w:color w:val="181818"/>
          <w:spacing w:val="-2"/>
          <w:w w:val="105"/>
          <w:sz w:val="23"/>
        </w:rPr>
        <w:t>Strategy</w:t>
      </w:r>
      <w:r>
        <w:rPr>
          <w:color w:val="181818"/>
          <w:spacing w:val="-8"/>
          <w:w w:val="105"/>
          <w:sz w:val="23"/>
        </w:rPr>
        <w:t> </w:t>
      </w:r>
      <w:r>
        <w:rPr>
          <w:color w:val="181818"/>
          <w:spacing w:val="-2"/>
          <w:w w:val="105"/>
          <w:sz w:val="23"/>
        </w:rPr>
        <w:t>with</w:t>
      </w:r>
      <w:r>
        <w:rPr>
          <w:color w:val="181818"/>
          <w:spacing w:val="-8"/>
          <w:w w:val="105"/>
          <w:sz w:val="23"/>
        </w:rPr>
        <w:t> </w:t>
      </w:r>
      <w:r>
        <w:rPr>
          <w:color w:val="181818"/>
          <w:spacing w:val="-2"/>
          <w:w w:val="105"/>
          <w:sz w:val="23"/>
        </w:rPr>
        <w:t>an</w:t>
      </w:r>
      <w:r>
        <w:rPr>
          <w:color w:val="181818"/>
          <w:spacing w:val="-15"/>
          <w:w w:val="105"/>
          <w:sz w:val="23"/>
        </w:rPr>
        <w:t> </w:t>
      </w:r>
      <w:r>
        <w:rPr>
          <w:color w:val="181818"/>
          <w:spacing w:val="-2"/>
          <w:w w:val="105"/>
          <w:sz w:val="23"/>
        </w:rPr>
        <w:t>action</w:t>
      </w:r>
      <w:r>
        <w:rPr>
          <w:color w:val="181818"/>
          <w:spacing w:val="-15"/>
          <w:w w:val="105"/>
          <w:sz w:val="23"/>
        </w:rPr>
        <w:t> </w:t>
      </w:r>
      <w:r>
        <w:rPr>
          <w:color w:val="181818"/>
          <w:spacing w:val="-2"/>
          <w:w w:val="105"/>
          <w:sz w:val="23"/>
        </w:rPr>
        <w:t>plan</w:t>
      </w:r>
      <w:r>
        <w:rPr>
          <w:color w:val="181818"/>
          <w:spacing w:val="-6"/>
          <w:w w:val="105"/>
          <w:sz w:val="23"/>
        </w:rPr>
        <w:t> </w:t>
      </w:r>
      <w:r>
        <w:rPr>
          <w:color w:val="181818"/>
          <w:spacing w:val="-2"/>
          <w:w w:val="105"/>
          <w:sz w:val="23"/>
        </w:rPr>
        <w:t>which</w:t>
      </w:r>
      <w:r>
        <w:rPr>
          <w:color w:val="181818"/>
          <w:spacing w:val="-10"/>
          <w:w w:val="105"/>
          <w:sz w:val="23"/>
        </w:rPr>
        <w:t> </w:t>
      </w:r>
      <w:r>
        <w:rPr>
          <w:color w:val="181818"/>
          <w:spacing w:val="-2"/>
          <w:w w:val="105"/>
          <w:sz w:val="23"/>
        </w:rPr>
        <w:t>sets</w:t>
      </w:r>
      <w:r>
        <w:rPr>
          <w:color w:val="181818"/>
          <w:spacing w:val="-9"/>
          <w:w w:val="105"/>
          <w:sz w:val="23"/>
        </w:rPr>
        <w:t> </w:t>
      </w:r>
      <w:r>
        <w:rPr>
          <w:color w:val="181818"/>
          <w:spacing w:val="-2"/>
          <w:w w:val="105"/>
          <w:sz w:val="23"/>
        </w:rPr>
        <w:t>out</w:t>
      </w:r>
      <w:r>
        <w:rPr>
          <w:color w:val="181818"/>
          <w:spacing w:val="-15"/>
          <w:w w:val="105"/>
          <w:sz w:val="23"/>
        </w:rPr>
        <w:t> </w:t>
      </w:r>
      <w:r>
        <w:rPr>
          <w:color w:val="181818"/>
          <w:spacing w:val="-2"/>
          <w:w w:val="105"/>
          <w:sz w:val="23"/>
        </w:rPr>
        <w:t>how</w:t>
      </w:r>
      <w:r>
        <w:rPr>
          <w:color w:val="181818"/>
          <w:spacing w:val="-5"/>
          <w:w w:val="105"/>
          <w:sz w:val="23"/>
        </w:rPr>
        <w:t> </w:t>
      </w:r>
      <w:r>
        <w:rPr>
          <w:color w:val="181818"/>
          <w:spacing w:val="-2"/>
          <w:w w:val="105"/>
          <w:sz w:val="23"/>
        </w:rPr>
        <w:t>we</w:t>
      </w:r>
      <w:r>
        <w:rPr>
          <w:color w:val="181818"/>
          <w:spacing w:val="-15"/>
          <w:w w:val="105"/>
          <w:sz w:val="23"/>
        </w:rPr>
        <w:t> </w:t>
      </w:r>
      <w:r>
        <w:rPr>
          <w:color w:val="181818"/>
          <w:spacing w:val="-2"/>
          <w:w w:val="105"/>
          <w:sz w:val="23"/>
        </w:rPr>
        <w:t>will</w:t>
      </w:r>
      <w:r>
        <w:rPr>
          <w:color w:val="181818"/>
          <w:spacing w:val="-15"/>
          <w:w w:val="105"/>
          <w:sz w:val="23"/>
        </w:rPr>
        <w:t> </w:t>
      </w:r>
      <w:r>
        <w:rPr>
          <w:color w:val="181818"/>
          <w:spacing w:val="-2"/>
          <w:w w:val="105"/>
          <w:sz w:val="23"/>
        </w:rPr>
        <w:t>deliver</w:t>
      </w:r>
      <w:r>
        <w:rPr>
          <w:color w:val="181818"/>
          <w:spacing w:val="-3"/>
          <w:w w:val="105"/>
          <w:sz w:val="23"/>
        </w:rPr>
        <w:t> </w:t>
      </w:r>
      <w:r>
        <w:rPr>
          <w:color w:val="181818"/>
          <w:spacing w:val="-2"/>
          <w:w w:val="105"/>
          <w:sz w:val="23"/>
        </w:rPr>
        <w:t>against this</w:t>
      </w:r>
      <w:r>
        <w:rPr>
          <w:color w:val="181818"/>
          <w:spacing w:val="-15"/>
          <w:w w:val="105"/>
          <w:sz w:val="23"/>
        </w:rPr>
        <w:t> </w:t>
      </w:r>
      <w:r>
        <w:rPr>
          <w:color w:val="181818"/>
          <w:spacing w:val="-2"/>
          <w:w w:val="105"/>
          <w:sz w:val="23"/>
        </w:rPr>
        <w:t>commitment </w:t>
      </w:r>
      <w:r>
        <w:rPr>
          <w:color w:val="181818"/>
          <w:w w:val="105"/>
          <w:sz w:val="23"/>
        </w:rPr>
        <w:t>and support our stakeholders to play their part.</w:t>
      </w:r>
    </w:p>
    <w:p>
      <w:pPr>
        <w:pStyle w:val="BodyText"/>
        <w:spacing w:before="14"/>
        <w:rPr>
          <w:sz w:val="23"/>
        </w:rPr>
      </w:pPr>
    </w:p>
    <w:p>
      <w:pPr>
        <w:spacing w:before="0" w:line="249" w:lineRule="auto"/>
        <w:ind w:left="893" w:right="184" w:firstLine="9"/>
        <w:jc w:val="both"/>
        <w:rPr>
          <w:sz w:val="23"/>
        </w:rPr>
      </w:pPr>
      <w:r>
        <w:rPr>
          <w:color w:val="181818"/>
          <w:w w:val="105"/>
          <w:sz w:val="23"/>
        </w:rPr>
        <w:t>We are</w:t>
      </w:r>
      <w:r>
        <w:rPr>
          <w:color w:val="181818"/>
          <w:spacing w:val="-6"/>
          <w:w w:val="105"/>
          <w:sz w:val="23"/>
        </w:rPr>
        <w:t> </w:t>
      </w:r>
      <w:r>
        <w:rPr>
          <w:color w:val="181818"/>
          <w:w w:val="105"/>
          <w:sz w:val="23"/>
        </w:rPr>
        <w:t>also</w:t>
      </w:r>
      <w:r>
        <w:rPr>
          <w:color w:val="181818"/>
          <w:spacing w:val="-6"/>
          <w:w w:val="105"/>
          <w:sz w:val="23"/>
        </w:rPr>
        <w:t> </w:t>
      </w:r>
      <w:r>
        <w:rPr>
          <w:color w:val="181818"/>
          <w:w w:val="105"/>
          <w:sz w:val="23"/>
        </w:rPr>
        <w:t>investing</w:t>
      </w:r>
      <w:r>
        <w:rPr>
          <w:color w:val="181818"/>
          <w:spacing w:val="-2"/>
          <w:w w:val="105"/>
          <w:sz w:val="23"/>
        </w:rPr>
        <w:t> </w:t>
      </w:r>
      <w:r>
        <w:rPr>
          <w:color w:val="181818"/>
          <w:w w:val="105"/>
          <w:sz w:val="23"/>
        </w:rPr>
        <w:t>in</w:t>
      </w:r>
      <w:r>
        <w:rPr>
          <w:color w:val="181818"/>
          <w:spacing w:val="-10"/>
          <w:w w:val="105"/>
          <w:sz w:val="23"/>
        </w:rPr>
        <w:t> </w:t>
      </w:r>
      <w:r>
        <w:rPr>
          <w:color w:val="181818"/>
          <w:w w:val="105"/>
          <w:sz w:val="23"/>
        </w:rPr>
        <w:t>our</w:t>
      </w:r>
      <w:r>
        <w:rPr>
          <w:color w:val="181818"/>
          <w:spacing w:val="-8"/>
          <w:w w:val="105"/>
          <w:sz w:val="23"/>
        </w:rPr>
        <w:t> </w:t>
      </w:r>
      <w:r>
        <w:rPr>
          <w:color w:val="181818"/>
          <w:w w:val="105"/>
          <w:sz w:val="23"/>
        </w:rPr>
        <w:t>local</w:t>
      </w:r>
      <w:r>
        <w:rPr>
          <w:color w:val="181818"/>
          <w:spacing w:val="-5"/>
          <w:w w:val="105"/>
          <w:sz w:val="23"/>
        </w:rPr>
        <w:t> </w:t>
      </w:r>
      <w:r>
        <w:rPr>
          <w:color w:val="181818"/>
          <w:w w:val="105"/>
          <w:sz w:val="23"/>
        </w:rPr>
        <w:t>communities through</w:t>
      </w:r>
      <w:r>
        <w:rPr>
          <w:color w:val="181818"/>
          <w:spacing w:val="-6"/>
          <w:w w:val="105"/>
          <w:sz w:val="23"/>
        </w:rPr>
        <w:t> </w:t>
      </w:r>
      <w:r>
        <w:rPr>
          <w:color w:val="181818"/>
          <w:w w:val="105"/>
          <w:sz w:val="23"/>
        </w:rPr>
        <w:t>the</w:t>
      </w:r>
      <w:r>
        <w:rPr>
          <w:color w:val="181818"/>
          <w:spacing w:val="-4"/>
          <w:w w:val="105"/>
          <w:sz w:val="23"/>
        </w:rPr>
        <w:t> </w:t>
      </w:r>
      <w:r>
        <w:rPr>
          <w:color w:val="181818"/>
          <w:w w:val="105"/>
          <w:sz w:val="23"/>
        </w:rPr>
        <w:t>Community Infrastructure Levy</w:t>
      </w:r>
      <w:r>
        <w:rPr>
          <w:color w:val="181818"/>
          <w:spacing w:val="-17"/>
          <w:w w:val="105"/>
          <w:sz w:val="23"/>
        </w:rPr>
        <w:t> </w:t>
      </w:r>
      <w:r>
        <w:rPr>
          <w:color w:val="181818"/>
          <w:w w:val="105"/>
          <w:sz w:val="23"/>
        </w:rPr>
        <w:t>and</w:t>
      </w:r>
      <w:r>
        <w:rPr>
          <w:color w:val="181818"/>
          <w:spacing w:val="-17"/>
          <w:w w:val="105"/>
          <w:sz w:val="23"/>
        </w:rPr>
        <w:t> </w:t>
      </w:r>
      <w:r>
        <w:rPr>
          <w:color w:val="181818"/>
          <w:w w:val="105"/>
          <w:sz w:val="23"/>
        </w:rPr>
        <w:t>S106</w:t>
      </w:r>
      <w:r>
        <w:rPr>
          <w:color w:val="181818"/>
          <w:spacing w:val="-17"/>
          <w:w w:val="105"/>
          <w:sz w:val="23"/>
        </w:rPr>
        <w:t> </w:t>
      </w:r>
      <w:r>
        <w:rPr>
          <w:color w:val="181818"/>
          <w:w w:val="105"/>
          <w:sz w:val="23"/>
        </w:rPr>
        <w:t>monies</w:t>
      </w:r>
      <w:r>
        <w:rPr>
          <w:color w:val="181818"/>
          <w:spacing w:val="-17"/>
          <w:w w:val="105"/>
          <w:sz w:val="23"/>
        </w:rPr>
        <w:t> </w:t>
      </w:r>
      <w:r>
        <w:rPr>
          <w:color w:val="181818"/>
          <w:w w:val="105"/>
          <w:sz w:val="23"/>
        </w:rPr>
        <w:t>funding</w:t>
      </w:r>
      <w:r>
        <w:rPr>
          <w:color w:val="181818"/>
          <w:spacing w:val="-17"/>
          <w:w w:val="105"/>
          <w:sz w:val="23"/>
        </w:rPr>
        <w:t> </w:t>
      </w:r>
      <w:r>
        <w:rPr>
          <w:color w:val="181818"/>
          <w:w w:val="105"/>
          <w:sz w:val="23"/>
        </w:rPr>
        <w:t>many</w:t>
      </w:r>
      <w:r>
        <w:rPr>
          <w:color w:val="181818"/>
          <w:spacing w:val="-17"/>
          <w:w w:val="105"/>
          <w:sz w:val="23"/>
        </w:rPr>
        <w:t> </w:t>
      </w:r>
      <w:r>
        <w:rPr>
          <w:color w:val="181818"/>
          <w:w w:val="105"/>
          <w:sz w:val="23"/>
        </w:rPr>
        <w:t>local</w:t>
      </w:r>
      <w:r>
        <w:rPr>
          <w:color w:val="181818"/>
          <w:spacing w:val="-16"/>
          <w:w w:val="105"/>
          <w:sz w:val="23"/>
        </w:rPr>
        <w:t> </w:t>
      </w:r>
      <w:r>
        <w:rPr>
          <w:color w:val="181818"/>
          <w:w w:val="105"/>
          <w:sz w:val="23"/>
        </w:rPr>
        <w:t>projects</w:t>
      </w:r>
      <w:r>
        <w:rPr>
          <w:color w:val="181818"/>
          <w:spacing w:val="-11"/>
          <w:w w:val="105"/>
          <w:sz w:val="23"/>
        </w:rPr>
        <w:t> </w:t>
      </w:r>
      <w:r>
        <w:rPr>
          <w:color w:val="181818"/>
          <w:w w:val="105"/>
          <w:sz w:val="23"/>
        </w:rPr>
        <w:t>and</w:t>
      </w:r>
      <w:r>
        <w:rPr>
          <w:color w:val="181818"/>
          <w:spacing w:val="-22"/>
          <w:w w:val="105"/>
          <w:sz w:val="23"/>
        </w:rPr>
        <w:t> </w:t>
      </w:r>
      <w:r>
        <w:rPr>
          <w:color w:val="181818"/>
          <w:w w:val="105"/>
          <w:sz w:val="23"/>
        </w:rPr>
        <w:t>new</w:t>
      </w:r>
      <w:r>
        <w:rPr>
          <w:color w:val="181818"/>
          <w:spacing w:val="-16"/>
          <w:w w:val="105"/>
          <w:sz w:val="23"/>
        </w:rPr>
        <w:t> </w:t>
      </w:r>
      <w:r>
        <w:rPr>
          <w:color w:val="181818"/>
          <w:w w:val="105"/>
          <w:sz w:val="23"/>
        </w:rPr>
        <w:t>community</w:t>
      </w:r>
      <w:r>
        <w:rPr>
          <w:color w:val="181818"/>
          <w:spacing w:val="-9"/>
          <w:w w:val="105"/>
          <w:sz w:val="23"/>
        </w:rPr>
        <w:t> </w:t>
      </w:r>
      <w:r>
        <w:rPr>
          <w:color w:val="181818"/>
          <w:w w:val="105"/>
          <w:sz w:val="23"/>
        </w:rPr>
        <w:t>infrastructure.</w:t>
      </w:r>
    </w:p>
    <w:p>
      <w:pPr>
        <w:spacing w:after="0" w:line="249" w:lineRule="auto"/>
        <w:jc w:val="both"/>
        <w:rPr>
          <w:sz w:val="23"/>
        </w:rPr>
        <w:sectPr>
          <w:headerReference w:type="even" r:id="rId30"/>
          <w:pgSz w:w="11910" w:h="16830"/>
          <w:pgMar w:top="780" w:right="920" w:bottom="240" w:left="840" w:header="0" w:footer="0"/>
        </w:sectPr>
      </w:pPr>
    </w:p>
    <w:p>
      <w:pPr>
        <w:spacing w:before="83"/>
        <w:ind w:left="862" w:right="0" w:firstLine="0"/>
        <w:jc w:val="both"/>
        <w:rPr>
          <w:sz w:val="13"/>
        </w:rPr>
      </w:pPr>
      <w:r>
        <w:rPr>
          <w:color w:val="A8A8A8"/>
          <w:sz w:val="13"/>
        </w:rPr>
        <w:t>i'JArs:R.!I.</w:t>
      </w:r>
      <w:r>
        <w:rPr>
          <w:color w:val="A8A8A8"/>
          <w:spacing w:val="-12"/>
          <w:sz w:val="13"/>
        </w:rPr>
        <w:t> </w:t>
      </w:r>
      <w:r>
        <w:rPr>
          <w:color w:val="A8A8A8"/>
          <w:sz w:val="13"/>
        </w:rPr>
        <w:t>TI\/E</w:t>
      </w:r>
      <w:r>
        <w:rPr>
          <w:color w:val="A8A8A8"/>
          <w:spacing w:val="35"/>
          <w:sz w:val="13"/>
        </w:rPr>
        <w:t> </w:t>
      </w:r>
      <w:r>
        <w:rPr>
          <w:color w:val="A8A8A8"/>
          <w:spacing w:val="-2"/>
          <w:sz w:val="13"/>
        </w:rPr>
        <w:t>ST.II.TEMENT</w:t>
      </w:r>
    </w:p>
    <w:p>
      <w:pPr>
        <w:pStyle w:val="BodyText"/>
        <w:spacing w:before="59"/>
        <w:rPr>
          <w:sz w:val="13"/>
        </w:rPr>
      </w:pPr>
    </w:p>
    <w:p>
      <w:pPr>
        <w:spacing w:before="0"/>
        <w:ind w:left="849" w:right="0" w:firstLine="0"/>
        <w:jc w:val="both"/>
        <w:rPr>
          <w:b/>
          <w:sz w:val="23"/>
        </w:rPr>
      </w:pPr>
      <w:r>
        <w:rPr>
          <w:b/>
          <w:color w:val="0A0A0A"/>
          <w:sz w:val="23"/>
        </w:rPr>
        <w:t>Performance</w:t>
      </w:r>
      <w:r>
        <w:rPr>
          <w:b/>
          <w:color w:val="0A0A0A"/>
          <w:spacing w:val="47"/>
          <w:sz w:val="23"/>
        </w:rPr>
        <w:t> </w:t>
      </w:r>
      <w:r>
        <w:rPr>
          <w:b/>
          <w:color w:val="0A0A0A"/>
          <w:spacing w:val="-2"/>
          <w:sz w:val="23"/>
        </w:rPr>
        <w:t>Management</w:t>
      </w:r>
    </w:p>
    <w:p>
      <w:pPr>
        <w:pStyle w:val="BodyText"/>
        <w:spacing w:before="4"/>
        <w:rPr>
          <w:b/>
          <w:sz w:val="23"/>
        </w:rPr>
      </w:pPr>
    </w:p>
    <w:p>
      <w:pPr>
        <w:spacing w:before="0" w:line="240" w:lineRule="auto"/>
        <w:ind w:left="855" w:right="260" w:firstLine="3"/>
        <w:jc w:val="both"/>
        <w:rPr>
          <w:sz w:val="24"/>
        </w:rPr>
      </w:pPr>
      <w:r>
        <w:rPr>
          <w:color w:val="1C1C1C"/>
          <w:sz w:val="24"/>
        </w:rPr>
        <w:t>We are committed to ensuring that we deliver the Hertsmere Vision whilst also maintaining</w:t>
      </w:r>
      <w:r>
        <w:rPr>
          <w:color w:val="1C1C1C"/>
          <w:spacing w:val="-17"/>
          <w:sz w:val="24"/>
        </w:rPr>
        <w:t> </w:t>
      </w:r>
      <w:r>
        <w:rPr>
          <w:color w:val="1C1C1C"/>
          <w:sz w:val="24"/>
        </w:rPr>
        <w:t>high-quality</w:t>
      </w:r>
      <w:r>
        <w:rPr>
          <w:color w:val="1C1C1C"/>
          <w:spacing w:val="14"/>
          <w:sz w:val="24"/>
        </w:rPr>
        <w:t> </w:t>
      </w:r>
      <w:r>
        <w:rPr>
          <w:color w:val="1C1C1C"/>
          <w:sz w:val="24"/>
        </w:rPr>
        <w:t>service delivery</w:t>
      </w:r>
      <w:r>
        <w:rPr>
          <w:color w:val="1C1C1C"/>
          <w:spacing w:val="-2"/>
          <w:sz w:val="24"/>
        </w:rPr>
        <w:t> </w:t>
      </w:r>
      <w:r>
        <w:rPr>
          <w:color w:val="1C1C1C"/>
          <w:sz w:val="24"/>
        </w:rPr>
        <w:t>to</w:t>
      </w:r>
      <w:r>
        <w:rPr>
          <w:color w:val="1C1C1C"/>
          <w:spacing w:val="-9"/>
          <w:sz w:val="24"/>
        </w:rPr>
        <w:t> </w:t>
      </w:r>
      <w:r>
        <w:rPr>
          <w:color w:val="1C1C1C"/>
          <w:sz w:val="24"/>
        </w:rPr>
        <w:t>local</w:t>
      </w:r>
      <w:r>
        <w:rPr>
          <w:color w:val="1C1C1C"/>
          <w:spacing w:val="-12"/>
          <w:sz w:val="24"/>
        </w:rPr>
        <w:t> </w:t>
      </w:r>
      <w:r>
        <w:rPr>
          <w:color w:val="1C1C1C"/>
          <w:sz w:val="24"/>
        </w:rPr>
        <w:t>residents and</w:t>
      </w:r>
      <w:r>
        <w:rPr>
          <w:color w:val="1C1C1C"/>
          <w:spacing w:val="-17"/>
          <w:sz w:val="24"/>
        </w:rPr>
        <w:t> </w:t>
      </w:r>
      <w:r>
        <w:rPr>
          <w:color w:val="1C1C1C"/>
          <w:sz w:val="24"/>
        </w:rPr>
        <w:t>businesses</w:t>
      </w:r>
      <w:r>
        <w:rPr>
          <w:color w:val="494949"/>
          <w:sz w:val="24"/>
        </w:rPr>
        <w:t>.</w:t>
      </w:r>
      <w:r>
        <w:rPr>
          <w:color w:val="494949"/>
          <w:spacing w:val="-17"/>
          <w:sz w:val="24"/>
        </w:rPr>
        <w:t> </w:t>
      </w:r>
      <w:r>
        <w:rPr>
          <w:color w:val="1C1C1C"/>
          <w:sz w:val="24"/>
        </w:rPr>
        <w:t>In</w:t>
      </w:r>
      <w:r>
        <w:rPr>
          <w:color w:val="1C1C1C"/>
          <w:spacing w:val="-16"/>
          <w:sz w:val="24"/>
        </w:rPr>
        <w:t> </w:t>
      </w:r>
      <w:r>
        <w:rPr>
          <w:color w:val="1C1C1C"/>
          <w:sz w:val="24"/>
        </w:rPr>
        <w:t>order</w:t>
      </w:r>
      <w:r>
        <w:rPr>
          <w:color w:val="1C1C1C"/>
          <w:spacing w:val="-6"/>
          <w:sz w:val="24"/>
        </w:rPr>
        <w:t> </w:t>
      </w:r>
      <w:r>
        <w:rPr>
          <w:color w:val="1C1C1C"/>
          <w:sz w:val="24"/>
        </w:rPr>
        <w:t>to ensure</w:t>
      </w:r>
      <w:r>
        <w:rPr>
          <w:color w:val="1C1C1C"/>
          <w:spacing w:val="-10"/>
          <w:sz w:val="24"/>
        </w:rPr>
        <w:t> </w:t>
      </w:r>
      <w:r>
        <w:rPr>
          <w:color w:val="1C1C1C"/>
          <w:sz w:val="24"/>
        </w:rPr>
        <w:t>that</w:t>
      </w:r>
      <w:r>
        <w:rPr>
          <w:color w:val="1C1C1C"/>
          <w:spacing w:val="-10"/>
          <w:sz w:val="24"/>
        </w:rPr>
        <w:t> </w:t>
      </w:r>
      <w:r>
        <w:rPr>
          <w:color w:val="1C1C1C"/>
          <w:sz w:val="24"/>
        </w:rPr>
        <w:t>we</w:t>
      </w:r>
      <w:r>
        <w:rPr>
          <w:color w:val="1C1C1C"/>
          <w:spacing w:val="-7"/>
          <w:sz w:val="24"/>
        </w:rPr>
        <w:t> </w:t>
      </w:r>
      <w:r>
        <w:rPr>
          <w:color w:val="1C1C1C"/>
          <w:sz w:val="24"/>
        </w:rPr>
        <w:t>are</w:t>
      </w:r>
      <w:r>
        <w:rPr>
          <w:color w:val="1C1C1C"/>
          <w:spacing w:val="-10"/>
          <w:sz w:val="24"/>
        </w:rPr>
        <w:t> </w:t>
      </w:r>
      <w:r>
        <w:rPr>
          <w:color w:val="1C1C1C"/>
          <w:sz w:val="24"/>
        </w:rPr>
        <w:t>delivering</w:t>
      </w:r>
      <w:r>
        <w:rPr>
          <w:color w:val="1C1C1C"/>
          <w:spacing w:val="-4"/>
          <w:sz w:val="24"/>
        </w:rPr>
        <w:t> </w:t>
      </w:r>
      <w:r>
        <w:rPr>
          <w:color w:val="1C1C1C"/>
          <w:sz w:val="24"/>
        </w:rPr>
        <w:t>these aims,</w:t>
      </w:r>
      <w:r>
        <w:rPr>
          <w:color w:val="1C1C1C"/>
          <w:spacing w:val="-2"/>
          <w:sz w:val="24"/>
        </w:rPr>
        <w:t> </w:t>
      </w:r>
      <w:r>
        <w:rPr>
          <w:color w:val="1C1C1C"/>
          <w:sz w:val="24"/>
        </w:rPr>
        <w:t>we</w:t>
      </w:r>
      <w:r>
        <w:rPr>
          <w:color w:val="1C1C1C"/>
          <w:spacing w:val="-13"/>
          <w:sz w:val="24"/>
        </w:rPr>
        <w:t> </w:t>
      </w:r>
      <w:r>
        <w:rPr>
          <w:color w:val="1C1C1C"/>
          <w:sz w:val="24"/>
        </w:rPr>
        <w:t>will</w:t>
      </w:r>
      <w:r>
        <w:rPr>
          <w:color w:val="1C1C1C"/>
          <w:spacing w:val="-13"/>
          <w:sz w:val="24"/>
        </w:rPr>
        <w:t> </w:t>
      </w:r>
      <w:r>
        <w:rPr>
          <w:color w:val="1C1C1C"/>
          <w:sz w:val="24"/>
        </w:rPr>
        <w:t>continue</w:t>
      </w:r>
      <w:r>
        <w:rPr>
          <w:color w:val="1C1C1C"/>
          <w:spacing w:val="-4"/>
          <w:sz w:val="24"/>
        </w:rPr>
        <w:t> </w:t>
      </w:r>
      <w:r>
        <w:rPr>
          <w:color w:val="1C1C1C"/>
          <w:sz w:val="24"/>
        </w:rPr>
        <w:t>to</w:t>
      </w:r>
      <w:r>
        <w:rPr>
          <w:color w:val="1C1C1C"/>
          <w:spacing w:val="-16"/>
          <w:sz w:val="24"/>
        </w:rPr>
        <w:t> </w:t>
      </w:r>
      <w:r>
        <w:rPr>
          <w:color w:val="1C1C1C"/>
          <w:sz w:val="24"/>
        </w:rPr>
        <w:t>monitor our</w:t>
      </w:r>
      <w:r>
        <w:rPr>
          <w:color w:val="1C1C1C"/>
          <w:spacing w:val="-10"/>
          <w:sz w:val="24"/>
        </w:rPr>
        <w:t> </w:t>
      </w:r>
      <w:r>
        <w:rPr>
          <w:color w:val="1C1C1C"/>
          <w:sz w:val="24"/>
        </w:rPr>
        <w:t>performance both</w:t>
      </w:r>
      <w:r>
        <w:rPr>
          <w:color w:val="1C1C1C"/>
          <w:spacing w:val="-17"/>
          <w:sz w:val="24"/>
        </w:rPr>
        <w:t> </w:t>
      </w:r>
      <w:r>
        <w:rPr>
          <w:color w:val="1C1C1C"/>
          <w:sz w:val="24"/>
        </w:rPr>
        <w:t>against</w:t>
      </w:r>
      <w:r>
        <w:rPr>
          <w:color w:val="1C1C1C"/>
          <w:spacing w:val="-17"/>
          <w:sz w:val="24"/>
        </w:rPr>
        <w:t> </w:t>
      </w:r>
      <w:r>
        <w:rPr>
          <w:color w:val="1C1C1C"/>
          <w:sz w:val="24"/>
        </w:rPr>
        <w:t>this</w:t>
      </w:r>
      <w:r>
        <w:rPr>
          <w:color w:val="1C1C1C"/>
          <w:spacing w:val="-16"/>
          <w:sz w:val="24"/>
        </w:rPr>
        <w:t> </w:t>
      </w:r>
      <w:r>
        <w:rPr>
          <w:color w:val="1C1C1C"/>
          <w:sz w:val="24"/>
        </w:rPr>
        <w:t>plan</w:t>
      </w:r>
      <w:r>
        <w:rPr>
          <w:color w:val="1C1C1C"/>
          <w:spacing w:val="-9"/>
          <w:sz w:val="24"/>
        </w:rPr>
        <w:t> </w:t>
      </w:r>
      <w:r>
        <w:rPr>
          <w:color w:val="1C1C1C"/>
          <w:sz w:val="24"/>
        </w:rPr>
        <w:t>and</w:t>
      </w:r>
      <w:r>
        <w:rPr>
          <w:color w:val="1C1C1C"/>
          <w:spacing w:val="-8"/>
          <w:sz w:val="24"/>
        </w:rPr>
        <w:t> </w:t>
      </w:r>
      <w:r>
        <w:rPr>
          <w:color w:val="1C1C1C"/>
          <w:sz w:val="24"/>
        </w:rPr>
        <w:t>across</w:t>
      </w:r>
      <w:r>
        <w:rPr>
          <w:color w:val="1C1C1C"/>
          <w:spacing w:val="-1"/>
          <w:sz w:val="24"/>
        </w:rPr>
        <w:t> </w:t>
      </w:r>
      <w:r>
        <w:rPr>
          <w:color w:val="1C1C1C"/>
          <w:sz w:val="24"/>
        </w:rPr>
        <w:t>our services</w:t>
      </w:r>
      <w:r>
        <w:rPr>
          <w:color w:val="1C1C1C"/>
          <w:spacing w:val="13"/>
          <w:sz w:val="24"/>
        </w:rPr>
        <w:t> </w:t>
      </w:r>
      <w:r>
        <w:rPr>
          <w:color w:val="1C1C1C"/>
          <w:sz w:val="24"/>
        </w:rPr>
        <w:t>areas</w:t>
      </w:r>
      <w:r>
        <w:rPr>
          <w:color w:val="595959"/>
          <w:sz w:val="24"/>
        </w:rPr>
        <w:t>.</w:t>
      </w:r>
      <w:r>
        <w:rPr>
          <w:color w:val="595959"/>
          <w:spacing w:val="-17"/>
          <w:sz w:val="24"/>
        </w:rPr>
        <w:t> </w:t>
      </w:r>
      <w:r>
        <w:rPr>
          <w:color w:val="1C1C1C"/>
          <w:sz w:val="24"/>
        </w:rPr>
        <w:t>We</w:t>
      </w:r>
      <w:r>
        <w:rPr>
          <w:color w:val="1C1C1C"/>
          <w:spacing w:val="-14"/>
          <w:sz w:val="24"/>
        </w:rPr>
        <w:t> </w:t>
      </w:r>
      <w:r>
        <w:rPr>
          <w:color w:val="1C1C1C"/>
          <w:sz w:val="24"/>
        </w:rPr>
        <w:t>have</w:t>
      </w:r>
      <w:r>
        <w:rPr>
          <w:color w:val="1C1C1C"/>
          <w:spacing w:val="-9"/>
          <w:sz w:val="24"/>
        </w:rPr>
        <w:t> </w:t>
      </w:r>
      <w:r>
        <w:rPr>
          <w:color w:val="1C1C1C"/>
          <w:sz w:val="24"/>
        </w:rPr>
        <w:t>therefore</w:t>
      </w:r>
      <w:r>
        <w:rPr>
          <w:color w:val="1C1C1C"/>
          <w:spacing w:val="-3"/>
          <w:sz w:val="24"/>
        </w:rPr>
        <w:t> </w:t>
      </w:r>
      <w:r>
        <w:rPr>
          <w:color w:val="1C1C1C"/>
          <w:sz w:val="24"/>
        </w:rPr>
        <w:t>reviewed our performance management arrangements</w:t>
      </w:r>
      <w:r>
        <w:rPr>
          <w:color w:val="1C1C1C"/>
          <w:spacing w:val="40"/>
          <w:sz w:val="24"/>
        </w:rPr>
        <w:t> </w:t>
      </w:r>
      <w:r>
        <w:rPr>
          <w:color w:val="1C1C1C"/>
          <w:sz w:val="24"/>
        </w:rPr>
        <w:t>as </w:t>
      </w:r>
      <w:r>
        <w:rPr>
          <w:color w:val="0A0A0A"/>
          <w:sz w:val="24"/>
        </w:rPr>
        <w:t>follows:</w:t>
      </w:r>
    </w:p>
    <w:p>
      <w:pPr>
        <w:pStyle w:val="BodyText"/>
        <w:spacing w:before="16"/>
        <w:rPr>
          <w:sz w:val="24"/>
        </w:rPr>
      </w:pPr>
    </w:p>
    <w:p>
      <w:pPr>
        <w:spacing w:before="1"/>
        <w:ind w:left="1213" w:right="0" w:firstLine="0"/>
        <w:jc w:val="left"/>
        <w:rPr>
          <w:b/>
          <w:i/>
          <w:sz w:val="23"/>
        </w:rPr>
      </w:pPr>
      <w:r>
        <w:rPr>
          <w:b/>
          <w:i/>
          <w:color w:val="0A0A0A"/>
          <w:spacing w:val="-2"/>
          <w:w w:val="105"/>
          <w:sz w:val="23"/>
        </w:rPr>
        <w:t>Performance</w:t>
      </w:r>
      <w:r>
        <w:rPr>
          <w:b/>
          <w:i/>
          <w:color w:val="0A0A0A"/>
          <w:spacing w:val="7"/>
          <w:w w:val="105"/>
          <w:sz w:val="23"/>
        </w:rPr>
        <w:t> </w:t>
      </w:r>
      <w:r>
        <w:rPr>
          <w:b/>
          <w:i/>
          <w:color w:val="0A0A0A"/>
          <w:spacing w:val="-2"/>
          <w:w w:val="105"/>
          <w:sz w:val="23"/>
        </w:rPr>
        <w:t>Indicators</w:t>
      </w:r>
      <w:r>
        <w:rPr>
          <w:b/>
          <w:i/>
          <w:color w:val="0A0A0A"/>
          <w:spacing w:val="-5"/>
          <w:w w:val="105"/>
          <w:sz w:val="23"/>
        </w:rPr>
        <w:t> </w:t>
      </w:r>
      <w:r>
        <w:rPr>
          <w:b/>
          <w:i/>
          <w:color w:val="0A0A0A"/>
          <w:spacing w:val="-2"/>
          <w:w w:val="105"/>
          <w:sz w:val="23"/>
        </w:rPr>
        <w:t>(Pis)</w:t>
      </w:r>
    </w:p>
    <w:p>
      <w:pPr>
        <w:pStyle w:val="BodyText"/>
        <w:spacing w:before="28"/>
        <w:rPr>
          <w:b/>
          <w:i/>
          <w:sz w:val="23"/>
        </w:rPr>
      </w:pPr>
    </w:p>
    <w:p>
      <w:pPr>
        <w:pStyle w:val="ListParagraph"/>
        <w:numPr>
          <w:ilvl w:val="1"/>
          <w:numId w:val="3"/>
        </w:numPr>
        <w:tabs>
          <w:tab w:val="left" w:leader="none" w:pos="1562"/>
          <w:tab w:val="left" w:leader="none" w:pos="1564"/>
        </w:tabs>
        <w:spacing w:before="0" w:after="0" w:line="242" w:lineRule="auto"/>
        <w:ind w:left="1564" w:right="258" w:hanging="351"/>
        <w:jc w:val="both"/>
        <w:rPr>
          <w:color w:val="1C1C1C"/>
          <w:sz w:val="24"/>
        </w:rPr>
      </w:pPr>
      <w:r>
        <w:rPr>
          <w:color w:val="0A0A0A"/>
          <w:sz w:val="24"/>
        </w:rPr>
        <w:t>All Pis will </w:t>
      </w:r>
      <w:r>
        <w:rPr>
          <w:color w:val="1C1C1C"/>
          <w:sz w:val="24"/>
        </w:rPr>
        <w:t>be reviewed </w:t>
      </w:r>
      <w:r>
        <w:rPr>
          <w:color w:val="0A0A0A"/>
          <w:sz w:val="24"/>
        </w:rPr>
        <w:t>and updated to ensure </w:t>
      </w:r>
      <w:r>
        <w:rPr>
          <w:color w:val="1C1C1C"/>
          <w:sz w:val="24"/>
        </w:rPr>
        <w:t>that they are </w:t>
      </w:r>
      <w:r>
        <w:rPr>
          <w:color w:val="0A0A0A"/>
          <w:sz w:val="24"/>
        </w:rPr>
        <w:t>representative</w:t>
      </w:r>
      <w:r>
        <w:rPr>
          <w:color w:val="0A0A0A"/>
          <w:spacing w:val="-1"/>
          <w:sz w:val="24"/>
        </w:rPr>
        <w:t> </w:t>
      </w:r>
      <w:r>
        <w:rPr>
          <w:color w:val="0A0A0A"/>
          <w:sz w:val="24"/>
        </w:rPr>
        <w:t>of the commitments in the Vision </w:t>
      </w:r>
      <w:r>
        <w:rPr>
          <w:color w:val="1C1C1C"/>
          <w:sz w:val="24"/>
        </w:rPr>
        <w:t>and </w:t>
      </w:r>
      <w:r>
        <w:rPr>
          <w:color w:val="0A0A0A"/>
          <w:sz w:val="24"/>
        </w:rPr>
        <w:t>that they </w:t>
      </w:r>
      <w:r>
        <w:rPr>
          <w:color w:val="1C1C1C"/>
          <w:sz w:val="24"/>
        </w:rPr>
        <w:t>remain </w:t>
      </w:r>
      <w:r>
        <w:rPr>
          <w:color w:val="0A0A0A"/>
          <w:sz w:val="24"/>
        </w:rPr>
        <w:t>reflective of all </w:t>
      </w:r>
      <w:r>
        <w:rPr>
          <w:color w:val="1C1C1C"/>
          <w:sz w:val="24"/>
        </w:rPr>
        <w:t>service </w:t>
      </w:r>
      <w:r>
        <w:rPr>
          <w:color w:val="0A0A0A"/>
          <w:spacing w:val="-2"/>
          <w:sz w:val="24"/>
        </w:rPr>
        <w:t>areas.</w:t>
      </w:r>
    </w:p>
    <w:p>
      <w:pPr>
        <w:pStyle w:val="ListParagraph"/>
        <w:numPr>
          <w:ilvl w:val="1"/>
          <w:numId w:val="3"/>
        </w:numPr>
        <w:tabs>
          <w:tab w:val="left" w:leader="none" w:pos="1567"/>
          <w:tab w:val="left" w:leader="none" w:pos="1569"/>
        </w:tabs>
        <w:spacing w:before="10" w:after="0" w:line="240" w:lineRule="auto"/>
        <w:ind w:left="1569" w:right="251" w:hanging="355"/>
        <w:jc w:val="both"/>
        <w:rPr>
          <w:color w:val="1C1C1C"/>
          <w:sz w:val="24"/>
        </w:rPr>
      </w:pPr>
      <w:r>
        <w:rPr>
          <w:color w:val="1C1C1C"/>
          <w:sz w:val="24"/>
        </w:rPr>
        <w:t>The Quality Service Indicator monitors the performance of our main public­ facing </w:t>
      </w:r>
      <w:r>
        <w:rPr>
          <w:color w:val="0A0A0A"/>
          <w:sz w:val="24"/>
        </w:rPr>
        <w:t>service </w:t>
      </w:r>
      <w:r>
        <w:rPr>
          <w:color w:val="1C1C1C"/>
          <w:sz w:val="24"/>
        </w:rPr>
        <w:t>areas and will be considered by the cross-party Executive Performance Management Panel and</w:t>
      </w:r>
      <w:r>
        <w:rPr>
          <w:color w:val="1C1C1C"/>
          <w:spacing w:val="-2"/>
          <w:sz w:val="24"/>
        </w:rPr>
        <w:t> </w:t>
      </w:r>
      <w:r>
        <w:rPr>
          <w:color w:val="1C1C1C"/>
          <w:sz w:val="24"/>
        </w:rPr>
        <w:t>by</w:t>
      </w:r>
      <w:r>
        <w:rPr>
          <w:color w:val="1C1C1C"/>
          <w:spacing w:val="-1"/>
          <w:sz w:val="24"/>
        </w:rPr>
        <w:t> </w:t>
      </w:r>
      <w:r>
        <w:rPr>
          <w:color w:val="1C1C1C"/>
          <w:sz w:val="24"/>
        </w:rPr>
        <w:t>the Executive on a</w:t>
      </w:r>
      <w:r>
        <w:rPr>
          <w:color w:val="1C1C1C"/>
          <w:spacing w:val="-2"/>
          <w:sz w:val="24"/>
        </w:rPr>
        <w:t> </w:t>
      </w:r>
      <w:r>
        <w:rPr>
          <w:color w:val="1C1C1C"/>
          <w:sz w:val="24"/>
        </w:rPr>
        <w:t>quarterly basis.</w:t>
      </w:r>
    </w:p>
    <w:p>
      <w:pPr>
        <w:pStyle w:val="ListParagraph"/>
        <w:numPr>
          <w:ilvl w:val="1"/>
          <w:numId w:val="3"/>
        </w:numPr>
        <w:tabs>
          <w:tab w:val="left" w:leader="none" w:pos="1569"/>
        </w:tabs>
        <w:spacing w:before="25" w:after="0" w:line="237" w:lineRule="auto"/>
        <w:ind w:left="1569" w:right="248" w:hanging="351"/>
        <w:jc w:val="both"/>
        <w:rPr>
          <w:color w:val="1C1C1C"/>
          <w:sz w:val="24"/>
        </w:rPr>
      </w:pPr>
      <w:r>
        <w:rPr>
          <w:color w:val="1C1C1C"/>
          <w:sz w:val="24"/>
        </w:rPr>
        <w:t>The Key Performance Indicator which contains more detailed service level information will</w:t>
      </w:r>
      <w:r>
        <w:rPr>
          <w:color w:val="1C1C1C"/>
          <w:spacing w:val="-16"/>
          <w:sz w:val="24"/>
        </w:rPr>
        <w:t> </w:t>
      </w:r>
      <w:r>
        <w:rPr>
          <w:color w:val="1C1C1C"/>
          <w:sz w:val="24"/>
        </w:rPr>
        <w:t>be</w:t>
      </w:r>
      <w:r>
        <w:rPr>
          <w:color w:val="1C1C1C"/>
          <w:spacing w:val="-10"/>
          <w:sz w:val="24"/>
        </w:rPr>
        <w:t> </w:t>
      </w:r>
      <w:r>
        <w:rPr>
          <w:color w:val="1C1C1C"/>
          <w:sz w:val="24"/>
        </w:rPr>
        <w:t>considered by</w:t>
      </w:r>
      <w:r>
        <w:rPr>
          <w:color w:val="1C1C1C"/>
          <w:spacing w:val="-13"/>
          <w:sz w:val="24"/>
        </w:rPr>
        <w:t> </w:t>
      </w:r>
      <w:r>
        <w:rPr>
          <w:color w:val="1C1C1C"/>
          <w:sz w:val="24"/>
        </w:rPr>
        <w:t>exception only</w:t>
      </w:r>
      <w:r>
        <w:rPr>
          <w:color w:val="1C1C1C"/>
          <w:spacing w:val="-13"/>
          <w:sz w:val="24"/>
        </w:rPr>
        <w:t> </w:t>
      </w:r>
      <w:r>
        <w:rPr>
          <w:color w:val="1C1C1C"/>
          <w:sz w:val="24"/>
        </w:rPr>
        <w:t>by</w:t>
      </w:r>
      <w:r>
        <w:rPr>
          <w:color w:val="1C1C1C"/>
          <w:spacing w:val="-9"/>
          <w:sz w:val="24"/>
        </w:rPr>
        <w:t> </w:t>
      </w:r>
      <w:r>
        <w:rPr>
          <w:color w:val="1C1C1C"/>
          <w:sz w:val="24"/>
        </w:rPr>
        <w:t>the</w:t>
      </w:r>
      <w:r>
        <w:rPr>
          <w:color w:val="1C1C1C"/>
          <w:spacing w:val="-9"/>
          <w:sz w:val="24"/>
        </w:rPr>
        <w:t> </w:t>
      </w:r>
      <w:r>
        <w:rPr>
          <w:color w:val="1C1C1C"/>
          <w:sz w:val="24"/>
        </w:rPr>
        <w:t>Executive</w:t>
      </w:r>
      <w:r>
        <w:rPr>
          <w:color w:val="1C1C1C"/>
          <w:spacing w:val="-4"/>
          <w:sz w:val="24"/>
        </w:rPr>
        <w:t> </w:t>
      </w:r>
      <w:r>
        <w:rPr>
          <w:color w:val="1C1C1C"/>
          <w:sz w:val="24"/>
        </w:rPr>
        <w:t>Performance Management Panel on a quarterly basis.</w:t>
      </w:r>
    </w:p>
    <w:p>
      <w:pPr>
        <w:pStyle w:val="ListParagraph"/>
        <w:numPr>
          <w:ilvl w:val="1"/>
          <w:numId w:val="3"/>
        </w:numPr>
        <w:tabs>
          <w:tab w:val="left" w:leader="none" w:pos="1562"/>
          <w:tab w:val="left" w:leader="none" w:pos="1570"/>
        </w:tabs>
        <w:spacing w:before="19" w:after="0" w:line="242" w:lineRule="auto"/>
        <w:ind w:left="1562" w:right="266" w:hanging="349"/>
        <w:jc w:val="both"/>
        <w:rPr>
          <w:color w:val="1C1C1C"/>
          <w:sz w:val="24"/>
        </w:rPr>
      </w:pPr>
      <w:r>
        <w:rPr>
          <w:color w:val="1C1C1C"/>
          <w:sz w:val="24"/>
        </w:rPr>
        <w:tab/>
        <w:t>The </w:t>
      </w:r>
      <w:r>
        <w:rPr>
          <w:color w:val="0A0A0A"/>
          <w:sz w:val="24"/>
        </w:rPr>
        <w:t>full </w:t>
      </w:r>
      <w:r>
        <w:rPr>
          <w:color w:val="1C1C1C"/>
          <w:sz w:val="24"/>
        </w:rPr>
        <w:t>indicator set will be considered </w:t>
      </w:r>
      <w:r>
        <w:rPr>
          <w:color w:val="0A0A0A"/>
          <w:sz w:val="24"/>
        </w:rPr>
        <w:t>at Chief Officer Board on a quarterly </w:t>
      </w:r>
      <w:r>
        <w:rPr>
          <w:color w:val="0A0A0A"/>
          <w:spacing w:val="-2"/>
          <w:sz w:val="24"/>
        </w:rPr>
        <w:t>basis.</w:t>
      </w:r>
    </w:p>
    <w:p>
      <w:pPr>
        <w:pStyle w:val="BodyText"/>
        <w:spacing w:before="12"/>
        <w:rPr>
          <w:sz w:val="24"/>
        </w:rPr>
      </w:pPr>
    </w:p>
    <w:p>
      <w:pPr>
        <w:spacing w:before="0"/>
        <w:ind w:left="1215" w:right="0" w:firstLine="0"/>
        <w:jc w:val="left"/>
        <w:rPr>
          <w:b/>
          <w:i/>
          <w:sz w:val="23"/>
        </w:rPr>
      </w:pPr>
      <w:r>
        <w:rPr>
          <w:b/>
          <w:i/>
          <w:color w:val="0A0A0A"/>
          <w:w w:val="105"/>
          <w:sz w:val="23"/>
        </w:rPr>
        <w:t>Annual</w:t>
      </w:r>
      <w:r>
        <w:rPr>
          <w:b/>
          <w:i/>
          <w:color w:val="0A0A0A"/>
          <w:spacing w:val="-10"/>
          <w:w w:val="105"/>
          <w:sz w:val="23"/>
        </w:rPr>
        <w:t> </w:t>
      </w:r>
      <w:r>
        <w:rPr>
          <w:b/>
          <w:i/>
          <w:color w:val="0A0A0A"/>
          <w:spacing w:val="-2"/>
          <w:w w:val="105"/>
          <w:sz w:val="23"/>
        </w:rPr>
        <w:t>Report</w:t>
      </w:r>
    </w:p>
    <w:p>
      <w:pPr>
        <w:pStyle w:val="BodyText"/>
        <w:spacing w:before="28"/>
        <w:rPr>
          <w:b/>
          <w:i/>
          <w:sz w:val="23"/>
        </w:rPr>
      </w:pPr>
    </w:p>
    <w:p>
      <w:pPr>
        <w:pStyle w:val="ListParagraph"/>
        <w:numPr>
          <w:ilvl w:val="1"/>
          <w:numId w:val="3"/>
        </w:numPr>
        <w:tabs>
          <w:tab w:val="left" w:leader="none" w:pos="1575"/>
        </w:tabs>
        <w:spacing w:before="1" w:after="0" w:line="240" w:lineRule="auto"/>
        <w:ind w:left="1575" w:right="0" w:hanging="356"/>
        <w:jc w:val="left"/>
        <w:rPr>
          <w:color w:val="1C1C1C"/>
          <w:sz w:val="24"/>
        </w:rPr>
      </w:pPr>
      <w:r>
        <w:rPr>
          <w:color w:val="0A0A0A"/>
          <w:sz w:val="24"/>
        </w:rPr>
        <w:t>Considered</w:t>
      </w:r>
      <w:r>
        <w:rPr>
          <w:color w:val="0A0A0A"/>
          <w:spacing w:val="7"/>
          <w:sz w:val="24"/>
        </w:rPr>
        <w:t> </w:t>
      </w:r>
      <w:r>
        <w:rPr>
          <w:color w:val="0A0A0A"/>
          <w:sz w:val="24"/>
        </w:rPr>
        <w:t>at</w:t>
      </w:r>
      <w:r>
        <w:rPr>
          <w:color w:val="0A0A0A"/>
          <w:spacing w:val="-12"/>
          <w:sz w:val="24"/>
        </w:rPr>
        <w:t> </w:t>
      </w:r>
      <w:r>
        <w:rPr>
          <w:color w:val="0A0A0A"/>
          <w:sz w:val="24"/>
        </w:rPr>
        <w:t>Executive</w:t>
      </w:r>
      <w:r>
        <w:rPr>
          <w:color w:val="0A0A0A"/>
          <w:spacing w:val="1"/>
          <w:sz w:val="24"/>
        </w:rPr>
        <w:t> </w:t>
      </w:r>
      <w:r>
        <w:rPr>
          <w:color w:val="0A0A0A"/>
          <w:sz w:val="24"/>
        </w:rPr>
        <w:t>and</w:t>
      </w:r>
      <w:r>
        <w:rPr>
          <w:color w:val="0A0A0A"/>
          <w:spacing w:val="-9"/>
          <w:sz w:val="24"/>
        </w:rPr>
        <w:t> </w:t>
      </w:r>
      <w:r>
        <w:rPr>
          <w:color w:val="0A0A0A"/>
          <w:sz w:val="24"/>
        </w:rPr>
        <w:t>Full</w:t>
      </w:r>
      <w:r>
        <w:rPr>
          <w:color w:val="0A0A0A"/>
          <w:spacing w:val="-12"/>
          <w:sz w:val="24"/>
        </w:rPr>
        <w:t> </w:t>
      </w:r>
      <w:r>
        <w:rPr>
          <w:color w:val="0A0A0A"/>
          <w:sz w:val="24"/>
        </w:rPr>
        <w:t>Council</w:t>
      </w:r>
      <w:r>
        <w:rPr>
          <w:color w:val="0A0A0A"/>
          <w:spacing w:val="3"/>
          <w:sz w:val="24"/>
        </w:rPr>
        <w:t> </w:t>
      </w:r>
      <w:r>
        <w:rPr>
          <w:color w:val="0A0A0A"/>
          <w:sz w:val="24"/>
        </w:rPr>
        <w:t>in</w:t>
      </w:r>
      <w:r>
        <w:rPr>
          <w:color w:val="0A0A0A"/>
          <w:spacing w:val="-16"/>
          <w:sz w:val="24"/>
        </w:rPr>
        <w:t> </w:t>
      </w:r>
      <w:r>
        <w:rPr>
          <w:color w:val="0A0A0A"/>
          <w:sz w:val="24"/>
        </w:rPr>
        <w:t>May/June</w:t>
      </w:r>
      <w:r>
        <w:rPr>
          <w:color w:val="0A0A0A"/>
          <w:spacing w:val="3"/>
          <w:sz w:val="24"/>
        </w:rPr>
        <w:t> </w:t>
      </w:r>
      <w:r>
        <w:rPr>
          <w:color w:val="0A0A0A"/>
          <w:sz w:val="24"/>
        </w:rPr>
        <w:t>each</w:t>
      </w:r>
      <w:r>
        <w:rPr>
          <w:color w:val="0A0A0A"/>
          <w:spacing w:val="-3"/>
          <w:sz w:val="24"/>
        </w:rPr>
        <w:t> </w:t>
      </w:r>
      <w:r>
        <w:rPr>
          <w:color w:val="0A0A0A"/>
          <w:spacing w:val="-2"/>
          <w:sz w:val="24"/>
        </w:rPr>
        <w:t>year.</w:t>
      </w:r>
    </w:p>
    <w:p>
      <w:pPr>
        <w:pStyle w:val="BodyText"/>
        <w:spacing w:before="10"/>
        <w:rPr>
          <w:sz w:val="24"/>
        </w:rPr>
      </w:pPr>
    </w:p>
    <w:p>
      <w:pPr>
        <w:spacing w:before="0"/>
        <w:ind w:left="1215" w:right="0" w:firstLine="0"/>
        <w:jc w:val="left"/>
        <w:rPr>
          <w:b/>
          <w:i/>
          <w:sz w:val="23"/>
        </w:rPr>
      </w:pPr>
      <w:r>
        <w:rPr>
          <w:b/>
          <w:i/>
          <w:color w:val="0A0A0A"/>
          <w:w w:val="105"/>
          <w:sz w:val="23"/>
        </w:rPr>
        <w:t>Corporate</w:t>
      </w:r>
      <w:r>
        <w:rPr>
          <w:b/>
          <w:i/>
          <w:color w:val="0A0A0A"/>
          <w:spacing w:val="-8"/>
          <w:w w:val="105"/>
          <w:sz w:val="23"/>
        </w:rPr>
        <w:t> </w:t>
      </w:r>
      <w:r>
        <w:rPr>
          <w:b/>
          <w:i/>
          <w:color w:val="0A0A0A"/>
          <w:spacing w:val="-4"/>
          <w:w w:val="105"/>
          <w:sz w:val="23"/>
        </w:rPr>
        <w:t>Plan</w:t>
      </w:r>
    </w:p>
    <w:p>
      <w:pPr>
        <w:pStyle w:val="BodyText"/>
        <w:spacing w:before="30"/>
        <w:rPr>
          <w:b/>
          <w:i/>
          <w:sz w:val="23"/>
        </w:rPr>
      </w:pPr>
    </w:p>
    <w:p>
      <w:pPr>
        <w:pStyle w:val="ListParagraph"/>
        <w:numPr>
          <w:ilvl w:val="1"/>
          <w:numId w:val="3"/>
        </w:numPr>
        <w:tabs>
          <w:tab w:val="left" w:leader="none" w:pos="1572"/>
          <w:tab w:val="left" w:leader="none" w:pos="1574"/>
        </w:tabs>
        <w:spacing w:before="1" w:after="0" w:line="237" w:lineRule="auto"/>
        <w:ind w:left="1574" w:right="241" w:hanging="360"/>
        <w:jc w:val="both"/>
        <w:rPr>
          <w:color w:val="0A0A0A"/>
          <w:sz w:val="24"/>
        </w:rPr>
      </w:pPr>
      <w:r>
        <w:rPr>
          <w:color w:val="0A0A0A"/>
          <w:sz w:val="24"/>
        </w:rPr>
        <w:t>Reviewed</w:t>
      </w:r>
      <w:r>
        <w:rPr>
          <w:color w:val="0A0A0A"/>
          <w:spacing w:val="-1"/>
          <w:sz w:val="24"/>
        </w:rPr>
        <w:t> </w:t>
      </w:r>
      <w:r>
        <w:rPr>
          <w:color w:val="0A0A0A"/>
          <w:sz w:val="24"/>
        </w:rPr>
        <w:t>by</w:t>
      </w:r>
      <w:r>
        <w:rPr>
          <w:color w:val="0A0A0A"/>
          <w:spacing w:val="-11"/>
          <w:sz w:val="24"/>
        </w:rPr>
        <w:t> </w:t>
      </w:r>
      <w:r>
        <w:rPr>
          <w:color w:val="0A0A0A"/>
          <w:sz w:val="24"/>
        </w:rPr>
        <w:t>Senior</w:t>
      </w:r>
      <w:r>
        <w:rPr>
          <w:color w:val="0A0A0A"/>
          <w:spacing w:val="-6"/>
          <w:sz w:val="24"/>
        </w:rPr>
        <w:t> </w:t>
      </w:r>
      <w:r>
        <w:rPr>
          <w:color w:val="0A0A0A"/>
          <w:sz w:val="24"/>
        </w:rPr>
        <w:t>Managers, Chief Officer</w:t>
      </w:r>
      <w:r>
        <w:rPr>
          <w:color w:val="0A0A0A"/>
          <w:spacing w:val="-1"/>
          <w:sz w:val="24"/>
        </w:rPr>
        <w:t> </w:t>
      </w:r>
      <w:r>
        <w:rPr>
          <w:color w:val="0A0A0A"/>
          <w:sz w:val="24"/>
        </w:rPr>
        <w:t>Board</w:t>
      </w:r>
      <w:r>
        <w:rPr>
          <w:color w:val="0A0A0A"/>
          <w:spacing w:val="-6"/>
          <w:sz w:val="24"/>
        </w:rPr>
        <w:t> </w:t>
      </w:r>
      <w:r>
        <w:rPr>
          <w:color w:val="0A0A0A"/>
          <w:sz w:val="24"/>
        </w:rPr>
        <w:t>and</w:t>
      </w:r>
      <w:r>
        <w:rPr>
          <w:color w:val="0A0A0A"/>
          <w:spacing w:val="-17"/>
          <w:sz w:val="24"/>
        </w:rPr>
        <w:t> </w:t>
      </w:r>
      <w:r>
        <w:rPr>
          <w:color w:val="0A0A0A"/>
          <w:sz w:val="24"/>
        </w:rPr>
        <w:t>Executive</w:t>
      </w:r>
      <w:r>
        <w:rPr>
          <w:color w:val="0A0A0A"/>
          <w:spacing w:val="-1"/>
          <w:sz w:val="24"/>
        </w:rPr>
        <w:t> </w:t>
      </w:r>
      <w:r>
        <w:rPr>
          <w:color w:val="0A0A0A"/>
          <w:sz w:val="24"/>
        </w:rPr>
        <w:t>annually</w:t>
      </w:r>
      <w:r>
        <w:rPr>
          <w:color w:val="0A0A0A"/>
          <w:spacing w:val="-3"/>
          <w:sz w:val="24"/>
        </w:rPr>
        <w:t> </w:t>
      </w:r>
      <w:r>
        <w:rPr>
          <w:color w:val="0A0A0A"/>
          <w:sz w:val="24"/>
        </w:rPr>
        <w:t>for the life of the Hertsmere Vision.</w:t>
      </w:r>
    </w:p>
    <w:p>
      <w:pPr>
        <w:pStyle w:val="BodyText"/>
        <w:spacing w:before="16"/>
        <w:rPr>
          <w:sz w:val="24"/>
        </w:rPr>
      </w:pPr>
    </w:p>
    <w:p>
      <w:pPr>
        <w:spacing w:before="0"/>
        <w:ind w:left="1213" w:right="0" w:firstLine="0"/>
        <w:jc w:val="left"/>
        <w:rPr>
          <w:b/>
          <w:i/>
          <w:sz w:val="23"/>
        </w:rPr>
      </w:pPr>
      <w:r>
        <w:rPr>
          <w:b/>
          <w:i/>
          <w:color w:val="0A0A0A"/>
          <w:w w:val="105"/>
          <w:sz w:val="23"/>
        </w:rPr>
        <w:t>Service</w:t>
      </w:r>
      <w:r>
        <w:rPr>
          <w:b/>
          <w:i/>
          <w:color w:val="0A0A0A"/>
          <w:spacing w:val="-7"/>
          <w:w w:val="105"/>
          <w:sz w:val="23"/>
        </w:rPr>
        <w:t> </w:t>
      </w:r>
      <w:r>
        <w:rPr>
          <w:b/>
          <w:i/>
          <w:color w:val="0A0A0A"/>
          <w:spacing w:val="-2"/>
          <w:w w:val="105"/>
          <w:sz w:val="23"/>
        </w:rPr>
        <w:t>Plans</w:t>
      </w:r>
    </w:p>
    <w:p>
      <w:pPr>
        <w:pStyle w:val="BodyText"/>
        <w:spacing w:before="23"/>
        <w:rPr>
          <w:b/>
          <w:i/>
          <w:sz w:val="23"/>
        </w:rPr>
      </w:pPr>
    </w:p>
    <w:p>
      <w:pPr>
        <w:pStyle w:val="ListParagraph"/>
        <w:numPr>
          <w:ilvl w:val="1"/>
          <w:numId w:val="3"/>
        </w:numPr>
        <w:tabs>
          <w:tab w:val="left" w:leader="none" w:pos="1572"/>
        </w:tabs>
        <w:spacing w:before="1" w:after="0" w:line="242" w:lineRule="auto"/>
        <w:ind w:left="1572" w:right="242" w:hanging="363"/>
        <w:jc w:val="both"/>
        <w:rPr>
          <w:color w:val="0A0A0A"/>
          <w:sz w:val="24"/>
        </w:rPr>
      </w:pPr>
      <w:r>
        <w:rPr>
          <w:color w:val="0A0A0A"/>
          <w:sz w:val="24"/>
        </w:rPr>
        <w:t>All</w:t>
      </w:r>
      <w:r>
        <w:rPr>
          <w:color w:val="0A0A0A"/>
          <w:spacing w:val="-17"/>
          <w:sz w:val="24"/>
        </w:rPr>
        <w:t> </w:t>
      </w:r>
      <w:r>
        <w:rPr>
          <w:color w:val="1C1C1C"/>
          <w:sz w:val="24"/>
        </w:rPr>
        <w:t>departments</w:t>
      </w:r>
      <w:r>
        <w:rPr>
          <w:color w:val="1C1C1C"/>
          <w:spacing w:val="-17"/>
          <w:sz w:val="24"/>
        </w:rPr>
        <w:t> </w:t>
      </w:r>
      <w:r>
        <w:rPr>
          <w:color w:val="1C1C1C"/>
          <w:sz w:val="24"/>
        </w:rPr>
        <w:t>are</w:t>
      </w:r>
      <w:r>
        <w:rPr>
          <w:color w:val="1C1C1C"/>
          <w:spacing w:val="-16"/>
          <w:sz w:val="24"/>
        </w:rPr>
        <w:t> </w:t>
      </w:r>
      <w:r>
        <w:rPr>
          <w:color w:val="313131"/>
          <w:sz w:val="24"/>
        </w:rPr>
        <w:t>required</w:t>
      </w:r>
      <w:r>
        <w:rPr>
          <w:color w:val="313131"/>
          <w:spacing w:val="-17"/>
          <w:sz w:val="24"/>
        </w:rPr>
        <w:t> </w:t>
      </w:r>
      <w:r>
        <w:rPr>
          <w:color w:val="0A0A0A"/>
          <w:sz w:val="24"/>
        </w:rPr>
        <w:t>to</w:t>
      </w:r>
      <w:r>
        <w:rPr>
          <w:color w:val="0A0A0A"/>
          <w:spacing w:val="-17"/>
          <w:sz w:val="24"/>
        </w:rPr>
        <w:t> </w:t>
      </w:r>
      <w:r>
        <w:rPr>
          <w:color w:val="0A0A0A"/>
          <w:sz w:val="24"/>
        </w:rPr>
        <w:t>produce</w:t>
      </w:r>
      <w:r>
        <w:rPr>
          <w:color w:val="0A0A0A"/>
          <w:spacing w:val="-16"/>
          <w:sz w:val="24"/>
        </w:rPr>
        <w:t> </w:t>
      </w:r>
      <w:r>
        <w:rPr>
          <w:color w:val="0A0A0A"/>
          <w:sz w:val="24"/>
        </w:rPr>
        <w:t>a</w:t>
      </w:r>
      <w:r>
        <w:rPr>
          <w:color w:val="0A0A0A"/>
          <w:spacing w:val="-15"/>
          <w:sz w:val="24"/>
        </w:rPr>
        <w:t> </w:t>
      </w:r>
      <w:r>
        <w:rPr>
          <w:color w:val="0A0A0A"/>
          <w:sz w:val="24"/>
        </w:rPr>
        <w:t>Service</w:t>
      </w:r>
      <w:r>
        <w:rPr>
          <w:color w:val="0A0A0A"/>
          <w:spacing w:val="-10"/>
          <w:sz w:val="24"/>
        </w:rPr>
        <w:t> </w:t>
      </w:r>
      <w:r>
        <w:rPr>
          <w:color w:val="0A0A0A"/>
          <w:sz w:val="24"/>
        </w:rPr>
        <w:t>Plan</w:t>
      </w:r>
      <w:r>
        <w:rPr>
          <w:color w:val="0A0A0A"/>
          <w:spacing w:val="-17"/>
          <w:sz w:val="24"/>
        </w:rPr>
        <w:t> </w:t>
      </w:r>
      <w:r>
        <w:rPr>
          <w:color w:val="0A0A0A"/>
          <w:sz w:val="24"/>
        </w:rPr>
        <w:t>and</w:t>
      </w:r>
      <w:r>
        <w:rPr>
          <w:color w:val="0A0A0A"/>
          <w:spacing w:val="-17"/>
          <w:sz w:val="24"/>
        </w:rPr>
        <w:t> </w:t>
      </w:r>
      <w:r>
        <w:rPr>
          <w:color w:val="0A0A0A"/>
          <w:sz w:val="24"/>
        </w:rPr>
        <w:t>these</w:t>
      </w:r>
      <w:r>
        <w:rPr>
          <w:color w:val="0A0A0A"/>
          <w:spacing w:val="-11"/>
          <w:sz w:val="24"/>
        </w:rPr>
        <w:t> </w:t>
      </w:r>
      <w:r>
        <w:rPr>
          <w:color w:val="0A0A0A"/>
          <w:sz w:val="24"/>
        </w:rPr>
        <w:t>will</w:t>
      </w:r>
      <w:r>
        <w:rPr>
          <w:color w:val="0A0A0A"/>
          <w:spacing w:val="-17"/>
          <w:sz w:val="24"/>
        </w:rPr>
        <w:t> </w:t>
      </w:r>
      <w:r>
        <w:rPr>
          <w:color w:val="0A0A0A"/>
          <w:sz w:val="24"/>
        </w:rPr>
        <w:t>be</w:t>
      </w:r>
      <w:r>
        <w:rPr>
          <w:color w:val="0A0A0A"/>
          <w:spacing w:val="-17"/>
          <w:sz w:val="24"/>
        </w:rPr>
        <w:t> </w:t>
      </w:r>
      <w:r>
        <w:rPr>
          <w:color w:val="0A0A0A"/>
          <w:sz w:val="24"/>
        </w:rPr>
        <w:t>closely monitored </w:t>
      </w:r>
      <w:r>
        <w:rPr>
          <w:color w:val="1C1C1C"/>
          <w:sz w:val="24"/>
        </w:rPr>
        <w:t>by Service </w:t>
      </w:r>
      <w:r>
        <w:rPr>
          <w:color w:val="0A0A0A"/>
          <w:sz w:val="24"/>
        </w:rPr>
        <w:t>Heads and Directors.</w:t>
      </w:r>
    </w:p>
    <w:p>
      <w:pPr>
        <w:spacing w:after="0" w:line="242" w:lineRule="auto"/>
        <w:jc w:val="both"/>
        <w:rPr>
          <w:sz w:val="24"/>
        </w:rPr>
        <w:sectPr>
          <w:headerReference w:type="default" r:id="rId31"/>
          <w:footerReference w:type="default" r:id="rId32"/>
          <w:footerReference w:type="even" r:id="rId33"/>
          <w:pgSz w:w="11910" w:h="16830"/>
          <w:pgMar w:top="680" w:right="920" w:bottom="340" w:left="840" w:header="0" w:footer="152"/>
          <w:pgNumType w:start="15"/>
        </w:sectPr>
      </w:pPr>
    </w:p>
    <w:p>
      <w:pPr>
        <w:pStyle w:val="BodyText"/>
        <w:spacing w:line="130" w:lineRule="exact"/>
        <w:ind w:left="852"/>
        <w:rPr>
          <w:sz w:val="13"/>
        </w:rPr>
      </w:pPr>
      <w:r>
        <w:rPr>
          <w:position w:val="-2"/>
          <w:sz w:val="13"/>
        </w:rPr>
        <w:drawing>
          <wp:inline distT="0" distB="0" distL="0" distR="0">
            <wp:extent cx="1071961" cy="82676"/>
            <wp:effectExtent l="0" t="0" r="0" b="0"/>
            <wp:docPr id="55" name="Image 55"/>
            <wp:cNvGraphicFramePr>
              <a:graphicFrameLocks/>
            </wp:cNvGraphicFramePr>
            <a:graphic>
              <a:graphicData uri="http://schemas.openxmlformats.org/drawingml/2006/picture">
                <pic:pic>
                  <pic:nvPicPr>
                    <pic:cNvPr id="55" name="Image 55"/>
                    <pic:cNvPicPr/>
                  </pic:nvPicPr>
                  <pic:blipFill>
                    <a:blip r:embed="rId35" cstate="print"/>
                    <a:stretch>
                      <a:fillRect/>
                    </a:stretch>
                  </pic:blipFill>
                  <pic:spPr>
                    <a:xfrm>
                      <a:off x="0" y="0"/>
                      <a:ext cx="1071961" cy="82676"/>
                    </a:xfrm>
                    <a:prstGeom prst="rect">
                      <a:avLst/>
                    </a:prstGeom>
                  </pic:spPr>
                </pic:pic>
              </a:graphicData>
            </a:graphic>
          </wp:inline>
        </w:drawing>
      </w:r>
      <w:r>
        <w:rPr>
          <w:position w:val="-2"/>
          <w:sz w:val="13"/>
        </w:rPr>
      </w:r>
    </w:p>
    <w:p>
      <w:pPr>
        <w:spacing w:before="218"/>
        <w:ind w:left="860" w:right="0" w:firstLine="0"/>
        <w:jc w:val="both"/>
        <w:rPr>
          <w:b/>
          <w:sz w:val="23"/>
        </w:rPr>
      </w:pPr>
      <w:r>
        <w:rPr>
          <w:b/>
          <w:color w:val="0A0A0A"/>
          <w:w w:val="105"/>
          <w:sz w:val="23"/>
        </w:rPr>
        <w:t>2022/23</w:t>
      </w:r>
      <w:r>
        <w:rPr>
          <w:b/>
          <w:color w:val="0A0A0A"/>
          <w:spacing w:val="-11"/>
          <w:w w:val="105"/>
          <w:sz w:val="23"/>
        </w:rPr>
        <w:t> </w:t>
      </w:r>
      <w:r>
        <w:rPr>
          <w:b/>
          <w:color w:val="0A0A0A"/>
          <w:w w:val="105"/>
          <w:sz w:val="23"/>
        </w:rPr>
        <w:t>Financial</w:t>
      </w:r>
      <w:r>
        <w:rPr>
          <w:b/>
          <w:color w:val="0A0A0A"/>
          <w:spacing w:val="-15"/>
          <w:w w:val="105"/>
          <w:sz w:val="23"/>
        </w:rPr>
        <w:t> </w:t>
      </w:r>
      <w:r>
        <w:rPr>
          <w:b/>
          <w:color w:val="0A0A0A"/>
          <w:spacing w:val="-2"/>
          <w:w w:val="105"/>
          <w:sz w:val="23"/>
        </w:rPr>
        <w:t>Statements</w:t>
      </w:r>
    </w:p>
    <w:p>
      <w:pPr>
        <w:pStyle w:val="BodyText"/>
        <w:spacing w:before="16"/>
        <w:rPr>
          <w:b/>
          <w:sz w:val="23"/>
        </w:rPr>
      </w:pPr>
    </w:p>
    <w:p>
      <w:pPr>
        <w:spacing w:before="0" w:line="237" w:lineRule="auto"/>
        <w:ind w:left="838" w:right="254" w:firstLine="12"/>
        <w:jc w:val="both"/>
        <w:rPr>
          <w:sz w:val="24"/>
        </w:rPr>
      </w:pPr>
      <w:r>
        <w:rPr>
          <w:color w:val="0A0A0A"/>
          <w:sz w:val="24"/>
        </w:rPr>
        <w:t>The</w:t>
      </w:r>
      <w:r>
        <w:rPr>
          <w:color w:val="0A0A0A"/>
          <w:spacing w:val="-2"/>
          <w:sz w:val="24"/>
        </w:rPr>
        <w:t> </w:t>
      </w:r>
      <w:r>
        <w:rPr>
          <w:color w:val="0A0A0A"/>
          <w:sz w:val="24"/>
        </w:rPr>
        <w:t>financial statements link closely to</w:t>
      </w:r>
      <w:r>
        <w:rPr>
          <w:color w:val="0A0A0A"/>
          <w:spacing w:val="-7"/>
          <w:sz w:val="24"/>
        </w:rPr>
        <w:t> </w:t>
      </w:r>
      <w:r>
        <w:rPr>
          <w:color w:val="0A0A0A"/>
          <w:sz w:val="24"/>
        </w:rPr>
        <w:t>the Corporate Plan which enables delivery of the Council's </w:t>
      </w:r>
      <w:r>
        <w:rPr>
          <w:color w:val="1A1A1A"/>
          <w:sz w:val="24"/>
        </w:rPr>
        <w:t>goals and </w:t>
      </w:r>
      <w:r>
        <w:rPr>
          <w:color w:val="0A0A0A"/>
          <w:sz w:val="24"/>
        </w:rPr>
        <w:t>objectives. The Council is continuing with </w:t>
      </w:r>
      <w:r>
        <w:rPr>
          <w:color w:val="1A1A1A"/>
          <w:sz w:val="24"/>
        </w:rPr>
        <w:t>its programme </w:t>
      </w:r>
      <w:r>
        <w:rPr>
          <w:color w:val="0A0A0A"/>
          <w:sz w:val="24"/>
        </w:rPr>
        <w:t>of </w:t>
      </w:r>
      <w:r>
        <w:rPr>
          <w:color w:val="1A1A1A"/>
          <w:sz w:val="24"/>
        </w:rPr>
        <w:t>improvement </w:t>
      </w:r>
      <w:r>
        <w:rPr>
          <w:color w:val="363636"/>
          <w:sz w:val="24"/>
        </w:rPr>
        <w:t>i</w:t>
      </w:r>
      <w:r>
        <w:rPr>
          <w:color w:val="0A0A0A"/>
          <w:sz w:val="24"/>
        </w:rPr>
        <w:t>n </w:t>
      </w:r>
      <w:r>
        <w:rPr>
          <w:color w:val="1A1A1A"/>
          <w:sz w:val="24"/>
        </w:rPr>
        <w:t>performance and service </w:t>
      </w:r>
      <w:r>
        <w:rPr>
          <w:color w:val="0A0A0A"/>
          <w:sz w:val="24"/>
        </w:rPr>
        <w:t>delivery</w:t>
      </w:r>
      <w:r>
        <w:rPr>
          <w:color w:val="494949"/>
          <w:sz w:val="24"/>
        </w:rPr>
        <w:t>. </w:t>
      </w:r>
      <w:r>
        <w:rPr>
          <w:color w:val="0A0A0A"/>
          <w:sz w:val="24"/>
        </w:rPr>
        <w:t>This is </w:t>
      </w:r>
      <w:r>
        <w:rPr>
          <w:color w:val="1A1A1A"/>
          <w:sz w:val="24"/>
        </w:rPr>
        <w:t>underpinned </w:t>
      </w:r>
      <w:r>
        <w:rPr>
          <w:color w:val="0A0A0A"/>
          <w:sz w:val="24"/>
        </w:rPr>
        <w:t>by the </w:t>
      </w:r>
      <w:r>
        <w:rPr>
          <w:color w:val="1A1A1A"/>
          <w:sz w:val="24"/>
        </w:rPr>
        <w:t>Corporate</w:t>
      </w:r>
      <w:r>
        <w:rPr>
          <w:color w:val="1A1A1A"/>
          <w:spacing w:val="-17"/>
          <w:sz w:val="24"/>
        </w:rPr>
        <w:t> </w:t>
      </w:r>
      <w:r>
        <w:rPr>
          <w:color w:val="1A1A1A"/>
          <w:sz w:val="24"/>
        </w:rPr>
        <w:t>Governance</w:t>
      </w:r>
      <w:r>
        <w:rPr>
          <w:color w:val="1A1A1A"/>
          <w:spacing w:val="-17"/>
          <w:sz w:val="24"/>
        </w:rPr>
        <w:t> </w:t>
      </w:r>
      <w:r>
        <w:rPr>
          <w:color w:val="1A1A1A"/>
          <w:sz w:val="24"/>
        </w:rPr>
        <w:t>framework</w:t>
      </w:r>
      <w:r>
        <w:rPr>
          <w:color w:val="1A1A1A"/>
          <w:spacing w:val="-16"/>
          <w:sz w:val="24"/>
        </w:rPr>
        <w:t> </w:t>
      </w:r>
      <w:r>
        <w:rPr>
          <w:color w:val="1A1A1A"/>
          <w:sz w:val="24"/>
        </w:rPr>
        <w:t>which</w:t>
      </w:r>
      <w:r>
        <w:rPr>
          <w:color w:val="1A1A1A"/>
          <w:spacing w:val="-17"/>
          <w:sz w:val="24"/>
        </w:rPr>
        <w:t> </w:t>
      </w:r>
      <w:r>
        <w:rPr>
          <w:color w:val="363636"/>
          <w:sz w:val="24"/>
        </w:rPr>
        <w:t>is</w:t>
      </w:r>
      <w:r>
        <w:rPr>
          <w:color w:val="363636"/>
          <w:spacing w:val="-17"/>
          <w:sz w:val="24"/>
        </w:rPr>
        <w:t> </w:t>
      </w:r>
      <w:r>
        <w:rPr>
          <w:color w:val="1A1A1A"/>
          <w:sz w:val="24"/>
        </w:rPr>
        <w:t>the</w:t>
      </w:r>
      <w:r>
        <w:rPr>
          <w:color w:val="1A1A1A"/>
          <w:spacing w:val="-17"/>
          <w:sz w:val="24"/>
        </w:rPr>
        <w:t> </w:t>
      </w:r>
      <w:r>
        <w:rPr>
          <w:color w:val="0A0A0A"/>
          <w:sz w:val="24"/>
        </w:rPr>
        <w:t>mechanism</w:t>
      </w:r>
      <w:r>
        <w:rPr>
          <w:color w:val="0A0A0A"/>
          <w:spacing w:val="-16"/>
          <w:sz w:val="24"/>
        </w:rPr>
        <w:t> </w:t>
      </w:r>
      <w:r>
        <w:rPr>
          <w:color w:val="0A0A0A"/>
          <w:sz w:val="24"/>
        </w:rPr>
        <w:t>through</w:t>
      </w:r>
      <w:r>
        <w:rPr>
          <w:color w:val="0A0A0A"/>
          <w:spacing w:val="-17"/>
          <w:sz w:val="24"/>
        </w:rPr>
        <w:t> </w:t>
      </w:r>
      <w:r>
        <w:rPr>
          <w:color w:val="1A1A1A"/>
          <w:sz w:val="24"/>
        </w:rPr>
        <w:t>which</w:t>
      </w:r>
      <w:r>
        <w:rPr>
          <w:color w:val="1A1A1A"/>
          <w:spacing w:val="-17"/>
          <w:sz w:val="24"/>
        </w:rPr>
        <w:t> </w:t>
      </w:r>
      <w:r>
        <w:rPr>
          <w:color w:val="0A0A0A"/>
          <w:sz w:val="24"/>
        </w:rPr>
        <w:t>our</w:t>
      </w:r>
      <w:r>
        <w:rPr>
          <w:color w:val="0A0A0A"/>
          <w:spacing w:val="-16"/>
          <w:sz w:val="24"/>
        </w:rPr>
        <w:t> </w:t>
      </w:r>
      <w:r>
        <w:rPr>
          <w:color w:val="0A0A0A"/>
          <w:sz w:val="24"/>
        </w:rPr>
        <w:t>priorities </w:t>
      </w:r>
      <w:r>
        <w:rPr>
          <w:color w:val="1A1A1A"/>
          <w:sz w:val="24"/>
        </w:rPr>
        <w:t>are filtered down throughout the organisation.</w:t>
      </w:r>
    </w:p>
    <w:p>
      <w:pPr>
        <w:pStyle w:val="BodyText"/>
        <w:spacing w:before="4"/>
        <w:rPr>
          <w:sz w:val="24"/>
        </w:rPr>
      </w:pPr>
    </w:p>
    <w:p>
      <w:pPr>
        <w:spacing w:before="0" w:line="240" w:lineRule="auto"/>
        <w:ind w:left="819" w:right="271" w:firstLine="13"/>
        <w:jc w:val="both"/>
        <w:rPr>
          <w:sz w:val="24"/>
        </w:rPr>
      </w:pPr>
      <w:r>
        <w:rPr>
          <w:color w:val="0A0A0A"/>
          <w:sz w:val="24"/>
        </w:rPr>
        <w:t>The</w:t>
      </w:r>
      <w:r>
        <w:rPr>
          <w:color w:val="0A0A0A"/>
          <w:spacing w:val="-13"/>
          <w:sz w:val="24"/>
        </w:rPr>
        <w:t> </w:t>
      </w:r>
      <w:r>
        <w:rPr>
          <w:color w:val="0A0A0A"/>
          <w:sz w:val="24"/>
        </w:rPr>
        <w:t>Council's Annual</w:t>
      </w:r>
      <w:r>
        <w:rPr>
          <w:color w:val="0A0A0A"/>
          <w:spacing w:val="-17"/>
          <w:sz w:val="24"/>
        </w:rPr>
        <w:t> </w:t>
      </w:r>
      <w:r>
        <w:rPr>
          <w:color w:val="1A1A1A"/>
          <w:sz w:val="24"/>
        </w:rPr>
        <w:t>Governance Statement</w:t>
      </w:r>
      <w:r>
        <w:rPr>
          <w:color w:val="1A1A1A"/>
          <w:spacing w:val="-4"/>
          <w:sz w:val="24"/>
        </w:rPr>
        <w:t> </w:t>
      </w:r>
      <w:r>
        <w:rPr>
          <w:color w:val="0A0A0A"/>
          <w:sz w:val="24"/>
        </w:rPr>
        <w:t>provides</w:t>
      </w:r>
      <w:r>
        <w:rPr>
          <w:color w:val="0A0A0A"/>
          <w:spacing w:val="-9"/>
          <w:sz w:val="24"/>
        </w:rPr>
        <w:t> </w:t>
      </w:r>
      <w:r>
        <w:rPr>
          <w:color w:val="1A1A1A"/>
          <w:sz w:val="24"/>
        </w:rPr>
        <w:t>further</w:t>
      </w:r>
      <w:r>
        <w:rPr>
          <w:color w:val="1A1A1A"/>
          <w:spacing w:val="-2"/>
          <w:sz w:val="24"/>
        </w:rPr>
        <w:t> </w:t>
      </w:r>
      <w:r>
        <w:rPr>
          <w:color w:val="1A1A1A"/>
          <w:sz w:val="24"/>
        </w:rPr>
        <w:t>details</w:t>
      </w:r>
      <w:r>
        <w:rPr>
          <w:color w:val="1A1A1A"/>
          <w:spacing w:val="-8"/>
          <w:sz w:val="24"/>
        </w:rPr>
        <w:t> </w:t>
      </w:r>
      <w:r>
        <w:rPr>
          <w:color w:val="0A0A0A"/>
          <w:sz w:val="24"/>
        </w:rPr>
        <w:t>of</w:t>
      </w:r>
      <w:r>
        <w:rPr>
          <w:color w:val="0A0A0A"/>
          <w:spacing w:val="-14"/>
          <w:sz w:val="24"/>
        </w:rPr>
        <w:t> </w:t>
      </w:r>
      <w:r>
        <w:rPr>
          <w:color w:val="0A0A0A"/>
          <w:sz w:val="24"/>
        </w:rPr>
        <w:t>the</w:t>
      </w:r>
      <w:r>
        <w:rPr>
          <w:color w:val="0A0A0A"/>
          <w:spacing w:val="-9"/>
          <w:sz w:val="24"/>
        </w:rPr>
        <w:t> </w:t>
      </w:r>
      <w:r>
        <w:rPr>
          <w:color w:val="1A1A1A"/>
          <w:sz w:val="24"/>
        </w:rPr>
        <w:t>strategies </w:t>
      </w:r>
      <w:r>
        <w:rPr>
          <w:color w:val="0A0A0A"/>
          <w:sz w:val="24"/>
        </w:rPr>
        <w:t>implemented to ach</w:t>
      </w:r>
      <w:r>
        <w:rPr>
          <w:color w:val="363636"/>
          <w:sz w:val="24"/>
        </w:rPr>
        <w:t>i</w:t>
      </w:r>
      <w:r>
        <w:rPr>
          <w:color w:val="1A1A1A"/>
          <w:sz w:val="24"/>
        </w:rPr>
        <w:t>eve </w:t>
      </w:r>
      <w:r>
        <w:rPr>
          <w:color w:val="0A0A0A"/>
          <w:sz w:val="24"/>
        </w:rPr>
        <w:t>our objectives which </w:t>
      </w:r>
      <w:r>
        <w:rPr>
          <w:color w:val="1A1A1A"/>
          <w:sz w:val="24"/>
        </w:rPr>
        <w:t>have been </w:t>
      </w:r>
      <w:r>
        <w:rPr>
          <w:color w:val="0A0A0A"/>
          <w:sz w:val="24"/>
        </w:rPr>
        <w:t>developed and </w:t>
      </w:r>
      <w:r>
        <w:rPr>
          <w:color w:val="1A1A1A"/>
          <w:sz w:val="24"/>
        </w:rPr>
        <w:t>reviewed </w:t>
      </w:r>
      <w:r>
        <w:rPr>
          <w:color w:val="0A0A0A"/>
          <w:sz w:val="24"/>
        </w:rPr>
        <w:t>during </w:t>
      </w:r>
      <w:r>
        <w:rPr>
          <w:color w:val="1A1A1A"/>
          <w:sz w:val="24"/>
        </w:rPr>
        <w:t>the </w:t>
      </w:r>
      <w:r>
        <w:rPr>
          <w:color w:val="0A0A0A"/>
          <w:sz w:val="24"/>
        </w:rPr>
        <w:t>year</w:t>
      </w:r>
      <w:r>
        <w:rPr>
          <w:color w:val="363636"/>
          <w:sz w:val="24"/>
        </w:rPr>
        <w:t>. </w:t>
      </w:r>
      <w:r>
        <w:rPr>
          <w:color w:val="0A0A0A"/>
          <w:sz w:val="24"/>
        </w:rPr>
        <w:t>The Annual Governance Statement presented for approval to the Audit </w:t>
      </w:r>
      <w:r>
        <w:rPr>
          <w:color w:val="1A1A1A"/>
          <w:sz w:val="24"/>
        </w:rPr>
        <w:t>Committee </w:t>
      </w:r>
      <w:r>
        <w:rPr>
          <w:color w:val="0A0A0A"/>
          <w:sz w:val="24"/>
        </w:rPr>
        <w:t>will</w:t>
      </w:r>
      <w:r>
        <w:rPr>
          <w:color w:val="0A0A0A"/>
          <w:spacing w:val="-3"/>
          <w:sz w:val="24"/>
        </w:rPr>
        <w:t> </w:t>
      </w:r>
      <w:r>
        <w:rPr>
          <w:color w:val="0A0A0A"/>
          <w:sz w:val="24"/>
        </w:rPr>
        <w:t>be included in the final</w:t>
      </w:r>
      <w:r>
        <w:rPr>
          <w:color w:val="0A0A0A"/>
          <w:spacing w:val="-1"/>
          <w:sz w:val="24"/>
        </w:rPr>
        <w:t> </w:t>
      </w:r>
      <w:r>
        <w:rPr>
          <w:color w:val="0A0A0A"/>
          <w:sz w:val="24"/>
        </w:rPr>
        <w:t>published accounts.</w:t>
      </w:r>
    </w:p>
    <w:p>
      <w:pPr>
        <w:pStyle w:val="BodyText"/>
        <w:spacing w:before="11"/>
        <w:rPr>
          <w:sz w:val="24"/>
        </w:rPr>
      </w:pPr>
    </w:p>
    <w:p>
      <w:pPr>
        <w:spacing w:before="0" w:line="237" w:lineRule="auto"/>
        <w:ind w:left="810" w:right="295" w:firstLine="2"/>
        <w:jc w:val="both"/>
        <w:rPr>
          <w:sz w:val="24"/>
        </w:rPr>
      </w:pPr>
      <w:r>
        <w:rPr>
          <w:color w:val="0A0A0A"/>
          <w:sz w:val="24"/>
        </w:rPr>
        <w:t>The</w:t>
      </w:r>
      <w:r>
        <w:rPr>
          <w:color w:val="0A0A0A"/>
          <w:spacing w:val="-11"/>
          <w:sz w:val="24"/>
        </w:rPr>
        <w:t> </w:t>
      </w:r>
      <w:r>
        <w:rPr>
          <w:color w:val="0A0A0A"/>
          <w:sz w:val="24"/>
        </w:rPr>
        <w:t>Audit</w:t>
      </w:r>
      <w:r>
        <w:rPr>
          <w:color w:val="0A0A0A"/>
          <w:spacing w:val="-3"/>
          <w:sz w:val="24"/>
        </w:rPr>
        <w:t> </w:t>
      </w:r>
      <w:r>
        <w:rPr>
          <w:color w:val="0A0A0A"/>
          <w:sz w:val="24"/>
        </w:rPr>
        <w:t>Committee</w:t>
      </w:r>
      <w:r>
        <w:rPr>
          <w:color w:val="0A0A0A"/>
          <w:spacing w:val="-4"/>
          <w:sz w:val="24"/>
        </w:rPr>
        <w:t> </w:t>
      </w:r>
      <w:r>
        <w:rPr>
          <w:color w:val="0A0A0A"/>
          <w:sz w:val="24"/>
        </w:rPr>
        <w:t>meets</w:t>
      </w:r>
      <w:r>
        <w:rPr>
          <w:color w:val="0A0A0A"/>
          <w:spacing w:val="-11"/>
          <w:sz w:val="24"/>
        </w:rPr>
        <w:t> </w:t>
      </w:r>
      <w:r>
        <w:rPr>
          <w:color w:val="0A0A0A"/>
          <w:sz w:val="24"/>
        </w:rPr>
        <w:t>five</w:t>
      </w:r>
      <w:r>
        <w:rPr>
          <w:color w:val="0A0A0A"/>
          <w:spacing w:val="-7"/>
          <w:sz w:val="24"/>
        </w:rPr>
        <w:t> </w:t>
      </w:r>
      <w:r>
        <w:rPr>
          <w:color w:val="0A0A0A"/>
          <w:sz w:val="24"/>
        </w:rPr>
        <w:t>times</w:t>
      </w:r>
      <w:r>
        <w:rPr>
          <w:color w:val="0A0A0A"/>
          <w:spacing w:val="-10"/>
          <w:sz w:val="24"/>
        </w:rPr>
        <w:t> </w:t>
      </w:r>
      <w:r>
        <w:rPr>
          <w:color w:val="0A0A0A"/>
          <w:sz w:val="24"/>
        </w:rPr>
        <w:t>a</w:t>
      </w:r>
      <w:r>
        <w:rPr>
          <w:color w:val="0A0A0A"/>
          <w:spacing w:val="-15"/>
          <w:sz w:val="24"/>
        </w:rPr>
        <w:t> </w:t>
      </w:r>
      <w:r>
        <w:rPr>
          <w:color w:val="0A0A0A"/>
          <w:sz w:val="24"/>
        </w:rPr>
        <w:t>year</w:t>
      </w:r>
      <w:r>
        <w:rPr>
          <w:color w:val="0A0A0A"/>
          <w:spacing w:val="-3"/>
          <w:sz w:val="24"/>
        </w:rPr>
        <w:t> </w:t>
      </w:r>
      <w:r>
        <w:rPr>
          <w:color w:val="0A0A0A"/>
          <w:sz w:val="24"/>
        </w:rPr>
        <w:t>and</w:t>
      </w:r>
      <w:r>
        <w:rPr>
          <w:color w:val="0A0A0A"/>
          <w:spacing w:val="-8"/>
          <w:sz w:val="24"/>
        </w:rPr>
        <w:t> </w:t>
      </w:r>
      <w:r>
        <w:rPr>
          <w:color w:val="0A0A0A"/>
          <w:sz w:val="24"/>
        </w:rPr>
        <w:t>is</w:t>
      </w:r>
      <w:r>
        <w:rPr>
          <w:color w:val="0A0A0A"/>
          <w:spacing w:val="-17"/>
          <w:sz w:val="24"/>
        </w:rPr>
        <w:t> </w:t>
      </w:r>
      <w:r>
        <w:rPr>
          <w:color w:val="0A0A0A"/>
          <w:sz w:val="24"/>
        </w:rPr>
        <w:t>attended</w:t>
      </w:r>
      <w:r>
        <w:rPr>
          <w:color w:val="0A0A0A"/>
          <w:spacing w:val="-7"/>
          <w:sz w:val="24"/>
        </w:rPr>
        <w:t> </w:t>
      </w:r>
      <w:r>
        <w:rPr>
          <w:color w:val="0A0A0A"/>
          <w:sz w:val="24"/>
        </w:rPr>
        <w:t>by</w:t>
      </w:r>
      <w:r>
        <w:rPr>
          <w:color w:val="0A0A0A"/>
          <w:spacing w:val="-13"/>
          <w:sz w:val="24"/>
        </w:rPr>
        <w:t> </w:t>
      </w:r>
      <w:r>
        <w:rPr>
          <w:color w:val="0A0A0A"/>
          <w:sz w:val="24"/>
        </w:rPr>
        <w:t>the</w:t>
      </w:r>
      <w:r>
        <w:rPr>
          <w:color w:val="0A0A0A"/>
          <w:spacing w:val="-16"/>
          <w:sz w:val="24"/>
        </w:rPr>
        <w:t> </w:t>
      </w:r>
      <w:r>
        <w:rPr>
          <w:color w:val="0A0A0A"/>
          <w:sz w:val="24"/>
        </w:rPr>
        <w:t>external</w:t>
      </w:r>
      <w:r>
        <w:rPr>
          <w:color w:val="0A0A0A"/>
          <w:spacing w:val="-2"/>
          <w:sz w:val="24"/>
        </w:rPr>
        <w:t> </w:t>
      </w:r>
      <w:r>
        <w:rPr>
          <w:color w:val="0A0A0A"/>
          <w:sz w:val="24"/>
        </w:rPr>
        <w:t>auditors. It works to</w:t>
      </w:r>
      <w:r>
        <w:rPr>
          <w:color w:val="0A0A0A"/>
          <w:spacing w:val="-1"/>
          <w:sz w:val="24"/>
        </w:rPr>
        <w:t> </w:t>
      </w:r>
      <w:r>
        <w:rPr>
          <w:color w:val="0A0A0A"/>
          <w:sz w:val="24"/>
        </w:rPr>
        <w:t>promote and safeguard financial probity throughout the Council.</w:t>
      </w:r>
    </w:p>
    <w:p>
      <w:pPr>
        <w:pStyle w:val="BodyText"/>
        <w:spacing w:before="2"/>
        <w:rPr>
          <w:sz w:val="24"/>
        </w:rPr>
      </w:pPr>
    </w:p>
    <w:p>
      <w:pPr>
        <w:spacing w:before="0" w:line="240" w:lineRule="auto"/>
        <w:ind w:left="774" w:right="282" w:firstLine="25"/>
        <w:jc w:val="both"/>
        <w:rPr>
          <w:sz w:val="24"/>
        </w:rPr>
      </w:pPr>
      <w:r>
        <w:rPr>
          <w:color w:val="0A0A0A"/>
          <w:sz w:val="24"/>
        </w:rPr>
        <w:t>Parts of </w:t>
      </w:r>
      <w:r>
        <w:rPr>
          <w:color w:val="1A1A1A"/>
          <w:sz w:val="24"/>
        </w:rPr>
        <w:t>"The </w:t>
      </w:r>
      <w:r>
        <w:rPr>
          <w:color w:val="0A0A0A"/>
          <w:sz w:val="24"/>
        </w:rPr>
        <w:t>Accounts and Audit Regulations 2015" were superseded on 31 March 2021</w:t>
      </w:r>
      <w:r>
        <w:rPr>
          <w:color w:val="0A0A0A"/>
          <w:spacing w:val="-11"/>
          <w:sz w:val="24"/>
        </w:rPr>
        <w:t> </w:t>
      </w:r>
      <w:r>
        <w:rPr>
          <w:color w:val="0A0A0A"/>
          <w:sz w:val="24"/>
        </w:rPr>
        <w:t>by</w:t>
      </w:r>
      <w:r>
        <w:rPr>
          <w:color w:val="0A0A0A"/>
          <w:spacing w:val="-15"/>
          <w:sz w:val="24"/>
        </w:rPr>
        <w:t> </w:t>
      </w:r>
      <w:r>
        <w:rPr>
          <w:color w:val="1A1A1A"/>
          <w:sz w:val="24"/>
        </w:rPr>
        <w:t>"The</w:t>
      </w:r>
      <w:r>
        <w:rPr>
          <w:color w:val="1A1A1A"/>
          <w:spacing w:val="-13"/>
          <w:sz w:val="24"/>
        </w:rPr>
        <w:t> </w:t>
      </w:r>
      <w:r>
        <w:rPr>
          <w:color w:val="0A0A0A"/>
          <w:sz w:val="24"/>
        </w:rPr>
        <w:t>Accounts and</w:t>
      </w:r>
      <w:r>
        <w:rPr>
          <w:color w:val="0A0A0A"/>
          <w:spacing w:val="-17"/>
          <w:sz w:val="24"/>
        </w:rPr>
        <w:t> </w:t>
      </w:r>
      <w:r>
        <w:rPr>
          <w:color w:val="0A0A0A"/>
          <w:sz w:val="24"/>
        </w:rPr>
        <w:t>Audit</w:t>
      </w:r>
      <w:r>
        <w:rPr>
          <w:color w:val="0A0A0A"/>
          <w:spacing w:val="-10"/>
          <w:sz w:val="24"/>
        </w:rPr>
        <w:t> </w:t>
      </w:r>
      <w:r>
        <w:rPr>
          <w:color w:val="0A0A0A"/>
          <w:sz w:val="24"/>
        </w:rPr>
        <w:t>(Amendments) Regulations 2021</w:t>
      </w:r>
      <w:r>
        <w:rPr>
          <w:color w:val="1A1A1A"/>
          <w:sz w:val="24"/>
        </w:rPr>
        <w:t>".</w:t>
      </w:r>
      <w:r>
        <w:rPr>
          <w:color w:val="1A1A1A"/>
          <w:spacing w:val="-7"/>
          <w:sz w:val="24"/>
        </w:rPr>
        <w:t> </w:t>
      </w:r>
      <w:r>
        <w:rPr>
          <w:color w:val="0A0A0A"/>
          <w:sz w:val="24"/>
        </w:rPr>
        <w:t>This</w:t>
      </w:r>
      <w:r>
        <w:rPr>
          <w:color w:val="0A0A0A"/>
          <w:spacing w:val="-12"/>
          <w:sz w:val="24"/>
        </w:rPr>
        <w:t> </w:t>
      </w:r>
      <w:r>
        <w:rPr>
          <w:color w:val="1A1A1A"/>
          <w:sz w:val="24"/>
        </w:rPr>
        <w:t>was</w:t>
      </w:r>
      <w:r>
        <w:rPr>
          <w:color w:val="1A1A1A"/>
          <w:spacing w:val="-14"/>
          <w:sz w:val="24"/>
        </w:rPr>
        <w:t> </w:t>
      </w:r>
      <w:r>
        <w:rPr>
          <w:color w:val="0A0A0A"/>
          <w:sz w:val="24"/>
        </w:rPr>
        <w:t>a</w:t>
      </w:r>
      <w:r>
        <w:rPr>
          <w:color w:val="0A0A0A"/>
          <w:spacing w:val="-16"/>
          <w:sz w:val="24"/>
        </w:rPr>
        <w:t> </w:t>
      </w:r>
      <w:r>
        <w:rPr>
          <w:color w:val="0A0A0A"/>
          <w:sz w:val="24"/>
        </w:rPr>
        <w:t>result from</w:t>
      </w:r>
      <w:r>
        <w:rPr>
          <w:color w:val="0A0A0A"/>
          <w:spacing w:val="-6"/>
          <w:sz w:val="24"/>
        </w:rPr>
        <w:t> </w:t>
      </w:r>
      <w:r>
        <w:rPr>
          <w:color w:val="0A0A0A"/>
          <w:sz w:val="24"/>
        </w:rPr>
        <w:t>the</w:t>
      </w:r>
      <w:r>
        <w:rPr>
          <w:color w:val="0A0A0A"/>
          <w:spacing w:val="-9"/>
          <w:sz w:val="24"/>
        </w:rPr>
        <w:t> </w:t>
      </w:r>
      <w:r>
        <w:rPr>
          <w:color w:val="0A0A0A"/>
          <w:sz w:val="24"/>
        </w:rPr>
        <w:t>Redmond Review on</w:t>
      </w:r>
      <w:r>
        <w:rPr>
          <w:color w:val="0A0A0A"/>
          <w:spacing w:val="-5"/>
          <w:sz w:val="24"/>
        </w:rPr>
        <w:t> </w:t>
      </w:r>
      <w:r>
        <w:rPr>
          <w:color w:val="0A0A0A"/>
          <w:sz w:val="24"/>
        </w:rPr>
        <w:t>the </w:t>
      </w:r>
      <w:r>
        <w:rPr>
          <w:color w:val="1A1A1A"/>
          <w:sz w:val="24"/>
        </w:rPr>
        <w:t>effectiveness </w:t>
      </w:r>
      <w:r>
        <w:rPr>
          <w:color w:val="0A0A0A"/>
          <w:sz w:val="24"/>
        </w:rPr>
        <w:t>of</w:t>
      </w:r>
      <w:r>
        <w:rPr>
          <w:color w:val="0A0A0A"/>
          <w:spacing w:val="-5"/>
          <w:sz w:val="24"/>
        </w:rPr>
        <w:t> </w:t>
      </w:r>
      <w:r>
        <w:rPr>
          <w:color w:val="1A1A1A"/>
          <w:sz w:val="24"/>
        </w:rPr>
        <w:t>external </w:t>
      </w:r>
      <w:r>
        <w:rPr>
          <w:color w:val="0A0A0A"/>
          <w:sz w:val="24"/>
        </w:rPr>
        <w:t>audit</w:t>
      </w:r>
      <w:r>
        <w:rPr>
          <w:color w:val="0A0A0A"/>
          <w:spacing w:val="-1"/>
          <w:sz w:val="24"/>
        </w:rPr>
        <w:t> </w:t>
      </w:r>
      <w:r>
        <w:rPr>
          <w:color w:val="0A0A0A"/>
          <w:sz w:val="24"/>
        </w:rPr>
        <w:t>and transparency of financial </w:t>
      </w:r>
      <w:r>
        <w:rPr>
          <w:color w:val="1A1A1A"/>
          <w:sz w:val="24"/>
        </w:rPr>
        <w:t>reporting </w:t>
      </w:r>
      <w:r>
        <w:rPr>
          <w:color w:val="0A0A0A"/>
          <w:sz w:val="24"/>
        </w:rPr>
        <w:t>in</w:t>
      </w:r>
      <w:r>
        <w:rPr>
          <w:color w:val="0A0A0A"/>
          <w:spacing w:val="-13"/>
          <w:sz w:val="24"/>
        </w:rPr>
        <w:t> </w:t>
      </w:r>
      <w:r>
        <w:rPr>
          <w:color w:val="0A0A0A"/>
          <w:sz w:val="24"/>
        </w:rPr>
        <w:t>local</w:t>
      </w:r>
      <w:r>
        <w:rPr>
          <w:color w:val="0A0A0A"/>
          <w:spacing w:val="-8"/>
          <w:sz w:val="24"/>
        </w:rPr>
        <w:t> </w:t>
      </w:r>
      <w:r>
        <w:rPr>
          <w:color w:val="0A0A0A"/>
          <w:sz w:val="24"/>
        </w:rPr>
        <w:t>authorities. It gave</w:t>
      </w:r>
      <w:r>
        <w:rPr>
          <w:color w:val="0A0A0A"/>
          <w:spacing w:val="-1"/>
          <w:sz w:val="24"/>
        </w:rPr>
        <w:t> </w:t>
      </w:r>
      <w:r>
        <w:rPr>
          <w:color w:val="0A0A0A"/>
          <w:sz w:val="24"/>
        </w:rPr>
        <w:t>local</w:t>
      </w:r>
      <w:r>
        <w:rPr>
          <w:color w:val="0A0A0A"/>
          <w:spacing w:val="-3"/>
          <w:sz w:val="24"/>
        </w:rPr>
        <w:t> </w:t>
      </w:r>
      <w:r>
        <w:rPr>
          <w:color w:val="0A0A0A"/>
          <w:sz w:val="24"/>
        </w:rPr>
        <w:t>authorities more</w:t>
      </w:r>
      <w:r>
        <w:rPr>
          <w:color w:val="0A0A0A"/>
          <w:spacing w:val="-7"/>
          <w:sz w:val="24"/>
        </w:rPr>
        <w:t> </w:t>
      </w:r>
      <w:r>
        <w:rPr>
          <w:color w:val="0A0A0A"/>
          <w:sz w:val="24"/>
        </w:rPr>
        <w:t>flexibility whereby the public inspection period must commence on or before the first working day of August</w:t>
      </w:r>
      <w:r>
        <w:rPr>
          <w:color w:val="0A0A0A"/>
          <w:spacing w:val="-17"/>
          <w:sz w:val="24"/>
        </w:rPr>
        <w:t> </w:t>
      </w:r>
      <w:r>
        <w:rPr>
          <w:color w:val="0A0A0A"/>
          <w:sz w:val="24"/>
        </w:rPr>
        <w:t>following</w:t>
      </w:r>
      <w:r>
        <w:rPr>
          <w:color w:val="0A0A0A"/>
          <w:spacing w:val="-11"/>
          <w:sz w:val="24"/>
        </w:rPr>
        <w:t> </w:t>
      </w:r>
      <w:r>
        <w:rPr>
          <w:color w:val="1A1A1A"/>
          <w:sz w:val="24"/>
        </w:rPr>
        <w:t>the</w:t>
      </w:r>
      <w:r>
        <w:rPr>
          <w:color w:val="1A1A1A"/>
          <w:spacing w:val="-16"/>
          <w:sz w:val="24"/>
        </w:rPr>
        <w:t> </w:t>
      </w:r>
      <w:r>
        <w:rPr>
          <w:color w:val="0A0A0A"/>
          <w:sz w:val="24"/>
        </w:rPr>
        <w:t>year</w:t>
      </w:r>
      <w:r>
        <w:rPr>
          <w:color w:val="0A0A0A"/>
          <w:spacing w:val="-8"/>
          <w:sz w:val="24"/>
        </w:rPr>
        <w:t> </w:t>
      </w:r>
      <w:r>
        <w:rPr>
          <w:color w:val="1A1A1A"/>
          <w:sz w:val="24"/>
        </w:rPr>
        <w:t>end</w:t>
      </w:r>
      <w:r>
        <w:rPr>
          <w:color w:val="494949"/>
          <w:sz w:val="24"/>
        </w:rPr>
        <w:t>.</w:t>
      </w:r>
      <w:r>
        <w:rPr>
          <w:color w:val="494949"/>
          <w:spacing w:val="-17"/>
          <w:sz w:val="24"/>
        </w:rPr>
        <w:t> </w:t>
      </w:r>
      <w:r>
        <w:rPr>
          <w:color w:val="0A0A0A"/>
          <w:sz w:val="24"/>
        </w:rPr>
        <w:t>This</w:t>
      </w:r>
      <w:r>
        <w:rPr>
          <w:color w:val="0A0A0A"/>
          <w:spacing w:val="-13"/>
          <w:sz w:val="24"/>
        </w:rPr>
        <w:t> </w:t>
      </w:r>
      <w:r>
        <w:rPr>
          <w:color w:val="0A0A0A"/>
          <w:sz w:val="24"/>
        </w:rPr>
        <w:t>means</w:t>
      </w:r>
      <w:r>
        <w:rPr>
          <w:color w:val="0A0A0A"/>
          <w:spacing w:val="-8"/>
          <w:sz w:val="24"/>
        </w:rPr>
        <w:t> </w:t>
      </w:r>
      <w:r>
        <w:rPr>
          <w:color w:val="0A0A0A"/>
          <w:sz w:val="24"/>
        </w:rPr>
        <w:t>the</w:t>
      </w:r>
      <w:r>
        <w:rPr>
          <w:color w:val="0A0A0A"/>
          <w:spacing w:val="-13"/>
          <w:sz w:val="24"/>
        </w:rPr>
        <w:t> </w:t>
      </w:r>
      <w:r>
        <w:rPr>
          <w:color w:val="0A0A0A"/>
          <w:sz w:val="24"/>
        </w:rPr>
        <w:t>2022/23 accounts have</w:t>
      </w:r>
      <w:r>
        <w:rPr>
          <w:color w:val="0A0A0A"/>
          <w:spacing w:val="-15"/>
          <w:sz w:val="24"/>
        </w:rPr>
        <w:t> </w:t>
      </w:r>
      <w:r>
        <w:rPr>
          <w:color w:val="0A0A0A"/>
          <w:sz w:val="24"/>
        </w:rPr>
        <w:t>to</w:t>
      </w:r>
      <w:r>
        <w:rPr>
          <w:color w:val="0A0A0A"/>
          <w:spacing w:val="-17"/>
          <w:sz w:val="24"/>
        </w:rPr>
        <w:t> </w:t>
      </w:r>
      <w:r>
        <w:rPr>
          <w:color w:val="0A0A0A"/>
          <w:sz w:val="24"/>
        </w:rPr>
        <w:t>be</w:t>
      </w:r>
      <w:r>
        <w:rPr>
          <w:color w:val="0A0A0A"/>
          <w:spacing w:val="-15"/>
          <w:sz w:val="24"/>
        </w:rPr>
        <w:t> </w:t>
      </w:r>
      <w:r>
        <w:rPr>
          <w:color w:val="0A0A0A"/>
          <w:sz w:val="24"/>
        </w:rPr>
        <w:t>confirmed by the Chief </w:t>
      </w:r>
      <w:r>
        <w:rPr>
          <w:color w:val="1A1A1A"/>
          <w:sz w:val="24"/>
        </w:rPr>
        <w:t>Financial </w:t>
      </w:r>
      <w:r>
        <w:rPr>
          <w:color w:val="0A0A0A"/>
          <w:sz w:val="24"/>
        </w:rPr>
        <w:t>Officer by 31 July 2023 at the latest.</w:t>
      </w:r>
    </w:p>
    <w:p>
      <w:pPr>
        <w:pStyle w:val="BodyText"/>
        <w:spacing w:before="3"/>
        <w:rPr>
          <w:sz w:val="24"/>
        </w:rPr>
      </w:pPr>
    </w:p>
    <w:p>
      <w:pPr>
        <w:spacing w:before="0" w:line="242" w:lineRule="auto"/>
        <w:ind w:left="770" w:right="305" w:firstLine="3"/>
        <w:jc w:val="both"/>
        <w:rPr>
          <w:sz w:val="24"/>
        </w:rPr>
      </w:pPr>
      <w:r>
        <w:rPr>
          <w:color w:val="0A0A0A"/>
          <w:sz w:val="24"/>
        </w:rPr>
        <w:t>The </w:t>
      </w:r>
      <w:r>
        <w:rPr>
          <w:color w:val="1A1A1A"/>
          <w:sz w:val="24"/>
        </w:rPr>
        <w:t>publication </w:t>
      </w:r>
      <w:r>
        <w:rPr>
          <w:color w:val="0A0A0A"/>
          <w:sz w:val="24"/>
        </w:rPr>
        <w:t>date for </w:t>
      </w:r>
      <w:r>
        <w:rPr>
          <w:color w:val="1A1A1A"/>
          <w:sz w:val="24"/>
        </w:rPr>
        <w:t>the </w:t>
      </w:r>
      <w:r>
        <w:rPr>
          <w:color w:val="0A0A0A"/>
          <w:sz w:val="24"/>
        </w:rPr>
        <w:t>2022/23 audited accounts following the Accounts and Audit </w:t>
      </w:r>
      <w:r>
        <w:rPr>
          <w:color w:val="1A1A1A"/>
          <w:sz w:val="24"/>
        </w:rPr>
        <w:t>(Amendment) </w:t>
      </w:r>
      <w:r>
        <w:rPr>
          <w:color w:val="0A0A0A"/>
          <w:sz w:val="24"/>
        </w:rPr>
        <w:t>Regulations 2021 is 30 September 2023.</w:t>
      </w:r>
    </w:p>
    <w:p>
      <w:pPr>
        <w:spacing w:before="274" w:line="240" w:lineRule="auto"/>
        <w:ind w:left="747" w:right="305" w:firstLine="13"/>
        <w:jc w:val="both"/>
        <w:rPr>
          <w:sz w:val="24"/>
        </w:rPr>
      </w:pPr>
      <w:r>
        <w:rPr>
          <w:color w:val="0A0A0A"/>
          <w:sz w:val="24"/>
        </w:rPr>
        <w:t>However,</w:t>
      </w:r>
      <w:r>
        <w:rPr>
          <w:color w:val="0A0A0A"/>
          <w:spacing w:val="29"/>
          <w:sz w:val="24"/>
        </w:rPr>
        <w:t> </w:t>
      </w:r>
      <w:r>
        <w:rPr>
          <w:color w:val="0A0A0A"/>
          <w:sz w:val="24"/>
        </w:rPr>
        <w:t>in part due to the delay in the 2021/22 external audit which has an impact on the completion of the 2022/23 statements in</w:t>
      </w:r>
      <w:r>
        <w:rPr>
          <w:color w:val="0A0A0A"/>
          <w:spacing w:val="-1"/>
          <w:sz w:val="24"/>
        </w:rPr>
        <w:t> </w:t>
      </w:r>
      <w:r>
        <w:rPr>
          <w:color w:val="0A0A0A"/>
          <w:sz w:val="24"/>
        </w:rPr>
        <w:t>addition to other conflicting priorities and</w:t>
      </w:r>
      <w:r>
        <w:rPr>
          <w:color w:val="0A0A0A"/>
          <w:spacing w:val="-10"/>
          <w:sz w:val="24"/>
        </w:rPr>
        <w:t> </w:t>
      </w:r>
      <w:r>
        <w:rPr>
          <w:color w:val="0A0A0A"/>
          <w:sz w:val="24"/>
        </w:rPr>
        <w:t>key</w:t>
      </w:r>
      <w:r>
        <w:rPr>
          <w:color w:val="0A0A0A"/>
          <w:spacing w:val="-8"/>
          <w:sz w:val="24"/>
        </w:rPr>
        <w:t> </w:t>
      </w:r>
      <w:r>
        <w:rPr>
          <w:color w:val="1A1A1A"/>
          <w:sz w:val="24"/>
        </w:rPr>
        <w:t>personnel </w:t>
      </w:r>
      <w:r>
        <w:rPr>
          <w:color w:val="0A0A0A"/>
          <w:sz w:val="24"/>
        </w:rPr>
        <w:t>changes, these</w:t>
      </w:r>
      <w:r>
        <w:rPr>
          <w:color w:val="0A0A0A"/>
          <w:spacing w:val="-3"/>
          <w:sz w:val="24"/>
        </w:rPr>
        <w:t> </w:t>
      </w:r>
      <w:r>
        <w:rPr>
          <w:color w:val="0A0A0A"/>
          <w:sz w:val="24"/>
        </w:rPr>
        <w:t>draft </w:t>
      </w:r>
      <w:r>
        <w:rPr>
          <w:color w:val="1A1A1A"/>
          <w:sz w:val="24"/>
        </w:rPr>
        <w:t>accounts for</w:t>
      </w:r>
      <w:r>
        <w:rPr>
          <w:color w:val="1A1A1A"/>
          <w:spacing w:val="-3"/>
          <w:sz w:val="24"/>
        </w:rPr>
        <w:t> </w:t>
      </w:r>
      <w:r>
        <w:rPr>
          <w:color w:val="1A1A1A"/>
          <w:sz w:val="24"/>
        </w:rPr>
        <w:t>2023/23 were</w:t>
      </w:r>
      <w:r>
        <w:rPr>
          <w:color w:val="1A1A1A"/>
          <w:spacing w:val="-1"/>
          <w:sz w:val="24"/>
        </w:rPr>
        <w:t> </w:t>
      </w:r>
      <w:r>
        <w:rPr>
          <w:color w:val="1A1A1A"/>
          <w:sz w:val="24"/>
        </w:rPr>
        <w:t>only</w:t>
      </w:r>
      <w:r>
        <w:rPr>
          <w:color w:val="1A1A1A"/>
          <w:spacing w:val="-5"/>
          <w:sz w:val="24"/>
        </w:rPr>
        <w:t> </w:t>
      </w:r>
      <w:r>
        <w:rPr>
          <w:color w:val="0A0A0A"/>
          <w:sz w:val="24"/>
        </w:rPr>
        <w:t>signed </w:t>
      </w:r>
      <w:r>
        <w:rPr>
          <w:color w:val="1A1A1A"/>
          <w:sz w:val="24"/>
        </w:rPr>
        <w:t>on</w:t>
      </w:r>
      <w:r>
        <w:rPr>
          <w:color w:val="1A1A1A"/>
          <w:spacing w:val="-6"/>
          <w:sz w:val="24"/>
        </w:rPr>
        <w:t> </w:t>
      </w:r>
      <w:r>
        <w:rPr>
          <w:color w:val="0A0A0A"/>
          <w:sz w:val="24"/>
        </w:rPr>
        <w:t>10 January </w:t>
      </w:r>
      <w:r>
        <w:rPr>
          <w:color w:val="1A1A1A"/>
          <w:sz w:val="24"/>
        </w:rPr>
        <w:t>2024 </w:t>
      </w:r>
      <w:r>
        <w:rPr>
          <w:color w:val="0A0A0A"/>
          <w:sz w:val="24"/>
        </w:rPr>
        <w:t>and will be available for </w:t>
      </w:r>
      <w:r>
        <w:rPr>
          <w:color w:val="1A1A1A"/>
          <w:sz w:val="24"/>
        </w:rPr>
        <w:t>public </w:t>
      </w:r>
      <w:r>
        <w:rPr>
          <w:color w:val="363636"/>
          <w:sz w:val="24"/>
        </w:rPr>
        <w:t>inspection </w:t>
      </w:r>
      <w:r>
        <w:rPr>
          <w:color w:val="1A1A1A"/>
          <w:sz w:val="24"/>
        </w:rPr>
        <w:t>on 11 January 2024</w:t>
      </w:r>
      <w:r>
        <w:rPr>
          <w:color w:val="494949"/>
          <w:sz w:val="24"/>
        </w:rPr>
        <w:t>. </w:t>
      </w:r>
      <w:r>
        <w:rPr>
          <w:color w:val="0A0A0A"/>
          <w:sz w:val="24"/>
        </w:rPr>
        <w:t>The intention is</w:t>
      </w:r>
      <w:r>
        <w:rPr>
          <w:color w:val="0A0A0A"/>
          <w:spacing w:val="-2"/>
          <w:sz w:val="24"/>
        </w:rPr>
        <w:t> </w:t>
      </w:r>
      <w:r>
        <w:rPr>
          <w:color w:val="0A0A0A"/>
          <w:sz w:val="24"/>
        </w:rPr>
        <w:t>to</w:t>
      </w:r>
      <w:r>
        <w:rPr>
          <w:color w:val="0A0A0A"/>
          <w:spacing w:val="-3"/>
          <w:sz w:val="24"/>
        </w:rPr>
        <w:t> </w:t>
      </w:r>
      <w:r>
        <w:rPr>
          <w:color w:val="0A0A0A"/>
          <w:sz w:val="24"/>
        </w:rPr>
        <w:t>have the audited accounts </w:t>
      </w:r>
      <w:r>
        <w:rPr>
          <w:color w:val="1A1A1A"/>
          <w:sz w:val="24"/>
        </w:rPr>
        <w:t>published as soon </w:t>
      </w:r>
      <w:r>
        <w:rPr>
          <w:color w:val="0A0A0A"/>
          <w:sz w:val="24"/>
        </w:rPr>
        <w:t>as</w:t>
      </w:r>
      <w:r>
        <w:rPr>
          <w:color w:val="0A0A0A"/>
          <w:spacing w:val="-6"/>
          <w:sz w:val="24"/>
        </w:rPr>
        <w:t> </w:t>
      </w:r>
      <w:r>
        <w:rPr>
          <w:color w:val="1A1A1A"/>
          <w:sz w:val="24"/>
        </w:rPr>
        <w:t>pract</w:t>
      </w:r>
      <w:r>
        <w:rPr>
          <w:color w:val="363636"/>
          <w:sz w:val="24"/>
        </w:rPr>
        <w:t>i</w:t>
      </w:r>
      <w:r>
        <w:rPr>
          <w:color w:val="1A1A1A"/>
          <w:sz w:val="24"/>
        </w:rPr>
        <w:t>cable</w:t>
      </w:r>
      <w:r>
        <w:rPr>
          <w:color w:val="494949"/>
          <w:sz w:val="24"/>
        </w:rPr>
        <w:t>,</w:t>
      </w:r>
      <w:r>
        <w:rPr>
          <w:color w:val="494949"/>
          <w:spacing w:val="-15"/>
          <w:sz w:val="24"/>
        </w:rPr>
        <w:t> </w:t>
      </w:r>
      <w:r>
        <w:rPr>
          <w:color w:val="1A1A1A"/>
          <w:sz w:val="24"/>
        </w:rPr>
        <w:t>subject </w:t>
      </w:r>
      <w:r>
        <w:rPr>
          <w:color w:val="0A0A0A"/>
          <w:sz w:val="24"/>
        </w:rPr>
        <w:t>to external audit resources.</w:t>
      </w:r>
    </w:p>
    <w:p>
      <w:pPr>
        <w:pStyle w:val="BodyText"/>
        <w:spacing w:before="4"/>
        <w:rPr>
          <w:sz w:val="24"/>
        </w:rPr>
      </w:pPr>
    </w:p>
    <w:p>
      <w:pPr>
        <w:spacing w:before="1" w:line="240" w:lineRule="auto"/>
        <w:ind w:left="734" w:right="317" w:firstLine="3"/>
        <w:jc w:val="both"/>
        <w:rPr>
          <w:sz w:val="24"/>
        </w:rPr>
      </w:pPr>
      <w:r>
        <w:rPr>
          <w:color w:val="0A0A0A"/>
          <w:sz w:val="24"/>
        </w:rPr>
        <w:t>I </w:t>
      </w:r>
      <w:r>
        <w:rPr>
          <w:color w:val="1A1A1A"/>
          <w:sz w:val="24"/>
        </w:rPr>
        <w:t>would like to</w:t>
      </w:r>
      <w:r>
        <w:rPr>
          <w:color w:val="1A1A1A"/>
          <w:spacing w:val="-5"/>
          <w:sz w:val="24"/>
        </w:rPr>
        <w:t> </w:t>
      </w:r>
      <w:r>
        <w:rPr>
          <w:color w:val="1A1A1A"/>
          <w:sz w:val="24"/>
        </w:rPr>
        <w:t>take </w:t>
      </w:r>
      <w:r>
        <w:rPr>
          <w:color w:val="0A0A0A"/>
          <w:sz w:val="24"/>
        </w:rPr>
        <w:t>this opportunity to</w:t>
      </w:r>
      <w:r>
        <w:rPr>
          <w:color w:val="0A0A0A"/>
          <w:spacing w:val="-1"/>
          <w:sz w:val="24"/>
        </w:rPr>
        <w:t> </w:t>
      </w:r>
      <w:r>
        <w:rPr>
          <w:color w:val="0A0A0A"/>
          <w:sz w:val="24"/>
        </w:rPr>
        <w:t>express my gratitude to</w:t>
      </w:r>
      <w:r>
        <w:rPr>
          <w:color w:val="0A0A0A"/>
          <w:spacing w:val="-1"/>
          <w:sz w:val="24"/>
        </w:rPr>
        <w:t> </w:t>
      </w:r>
      <w:r>
        <w:rPr>
          <w:color w:val="0A0A0A"/>
          <w:sz w:val="24"/>
        </w:rPr>
        <w:t>all</w:t>
      </w:r>
      <w:r>
        <w:rPr>
          <w:color w:val="0A0A0A"/>
          <w:spacing w:val="-4"/>
          <w:sz w:val="24"/>
        </w:rPr>
        <w:t> </w:t>
      </w:r>
      <w:r>
        <w:rPr>
          <w:color w:val="0A0A0A"/>
          <w:sz w:val="24"/>
        </w:rPr>
        <w:t>colleagues </w:t>
      </w:r>
      <w:r>
        <w:rPr>
          <w:color w:val="1A1A1A"/>
          <w:sz w:val="24"/>
        </w:rPr>
        <w:t>from</w:t>
      </w:r>
      <w:r>
        <w:rPr>
          <w:color w:val="1A1A1A"/>
          <w:spacing w:val="-3"/>
          <w:sz w:val="24"/>
        </w:rPr>
        <w:t> </w:t>
      </w:r>
      <w:r>
        <w:rPr>
          <w:color w:val="0A0A0A"/>
          <w:sz w:val="24"/>
        </w:rPr>
        <w:t>the finance</w:t>
      </w:r>
      <w:r>
        <w:rPr>
          <w:color w:val="0A0A0A"/>
          <w:spacing w:val="-1"/>
          <w:sz w:val="24"/>
        </w:rPr>
        <w:t> </w:t>
      </w:r>
      <w:r>
        <w:rPr>
          <w:color w:val="1A1A1A"/>
          <w:sz w:val="24"/>
        </w:rPr>
        <w:t>team</w:t>
      </w:r>
      <w:r>
        <w:rPr>
          <w:color w:val="1A1A1A"/>
          <w:spacing w:val="-2"/>
          <w:sz w:val="24"/>
        </w:rPr>
        <w:t> </w:t>
      </w:r>
      <w:r>
        <w:rPr>
          <w:color w:val="1A1A1A"/>
          <w:sz w:val="24"/>
        </w:rPr>
        <w:t>and</w:t>
      </w:r>
      <w:r>
        <w:rPr>
          <w:color w:val="1A1A1A"/>
          <w:spacing w:val="-8"/>
          <w:sz w:val="24"/>
        </w:rPr>
        <w:t> </w:t>
      </w:r>
      <w:r>
        <w:rPr>
          <w:color w:val="0A0A0A"/>
          <w:sz w:val="24"/>
        </w:rPr>
        <w:t>other services for</w:t>
      </w:r>
      <w:r>
        <w:rPr>
          <w:color w:val="0A0A0A"/>
          <w:spacing w:val="-4"/>
          <w:sz w:val="24"/>
        </w:rPr>
        <w:t> </w:t>
      </w:r>
      <w:r>
        <w:rPr>
          <w:color w:val="0A0A0A"/>
          <w:sz w:val="24"/>
        </w:rPr>
        <w:t>their </w:t>
      </w:r>
      <w:r>
        <w:rPr>
          <w:color w:val="1A1A1A"/>
          <w:sz w:val="24"/>
        </w:rPr>
        <w:t>assistance </w:t>
      </w:r>
      <w:r>
        <w:rPr>
          <w:color w:val="0A0A0A"/>
          <w:sz w:val="24"/>
        </w:rPr>
        <w:t>in</w:t>
      </w:r>
      <w:r>
        <w:rPr>
          <w:color w:val="0A0A0A"/>
          <w:spacing w:val="-12"/>
          <w:sz w:val="24"/>
        </w:rPr>
        <w:t> </w:t>
      </w:r>
      <w:r>
        <w:rPr>
          <w:color w:val="0A0A0A"/>
          <w:sz w:val="24"/>
        </w:rPr>
        <w:t>preparing these accounts</w:t>
      </w:r>
      <w:r>
        <w:rPr>
          <w:color w:val="363636"/>
          <w:sz w:val="24"/>
        </w:rPr>
        <w:t>,</w:t>
      </w:r>
      <w:r>
        <w:rPr>
          <w:color w:val="363636"/>
          <w:spacing w:val="-17"/>
          <w:sz w:val="24"/>
        </w:rPr>
        <w:t> </w:t>
      </w:r>
      <w:r>
        <w:rPr>
          <w:color w:val="0A0A0A"/>
          <w:sz w:val="24"/>
        </w:rPr>
        <w:t>and for their support throughout the year.</w:t>
      </w:r>
    </w:p>
    <w:p>
      <w:pPr>
        <w:pStyle w:val="BodyText"/>
        <w:spacing w:before="8"/>
        <w:rPr>
          <w:sz w:val="24"/>
        </w:rPr>
      </w:pPr>
    </w:p>
    <w:p>
      <w:pPr>
        <w:spacing w:before="0" w:line="237" w:lineRule="auto"/>
        <w:ind w:left="724" w:right="320" w:firstLine="0"/>
        <w:jc w:val="both"/>
        <w:rPr>
          <w:sz w:val="24"/>
        </w:rPr>
      </w:pPr>
      <w:r>
        <w:rPr>
          <w:color w:val="0A0A0A"/>
          <w:sz w:val="24"/>
        </w:rPr>
        <w:t>If you would like to have any further information on the accounts, you can forward details of your request to the council by email at </w:t>
      </w:r>
      <w:hyperlink r:id="rId36">
        <w:r>
          <w:rPr>
            <w:color w:val="1A1A1A"/>
            <w:sz w:val="24"/>
            <w:u w:val="thick" w:color="0A0A0A"/>
          </w:rPr>
          <w:t>Statementofaccounts@hertsmere</w:t>
        </w:r>
        <w:r>
          <w:rPr>
            <w:color w:val="494949"/>
            <w:sz w:val="24"/>
            <w:u w:val="thick" w:color="0A0A0A"/>
          </w:rPr>
          <w:t>.</w:t>
        </w:r>
        <w:r>
          <w:rPr>
            <w:color w:val="0A0A0A"/>
            <w:sz w:val="24"/>
            <w:u w:val="thick" w:color="0A0A0A"/>
          </w:rPr>
          <w:t>gov</w:t>
        </w:r>
        <w:r>
          <w:rPr>
            <w:color w:val="494949"/>
            <w:sz w:val="24"/>
            <w:u w:val="thick" w:color="0A0A0A"/>
          </w:rPr>
          <w:t>.</w:t>
        </w:r>
        <w:r>
          <w:rPr>
            <w:color w:val="0A0A0A"/>
            <w:sz w:val="24"/>
            <w:u w:val="thick" w:color="0A0A0A"/>
          </w:rPr>
          <w:t>uk</w:t>
        </w:r>
      </w:hyperlink>
      <w:r>
        <w:rPr>
          <w:color w:val="0A0A0A"/>
          <w:sz w:val="24"/>
          <w:u w:val="none"/>
        </w:rPr>
        <w:t> or by post using the following address</w:t>
      </w:r>
      <w:r>
        <w:rPr>
          <w:color w:val="494949"/>
          <w:sz w:val="24"/>
          <w:u w:val="none"/>
        </w:rPr>
        <w:t>:</w:t>
      </w:r>
    </w:p>
    <w:p>
      <w:pPr>
        <w:pStyle w:val="BodyText"/>
        <w:spacing w:before="7"/>
        <w:rPr>
          <w:sz w:val="24"/>
        </w:rPr>
      </w:pPr>
    </w:p>
    <w:p>
      <w:pPr>
        <w:spacing w:before="0" w:line="275" w:lineRule="exact"/>
        <w:ind w:left="714" w:right="0" w:firstLine="0"/>
        <w:jc w:val="left"/>
        <w:rPr>
          <w:sz w:val="24"/>
        </w:rPr>
      </w:pPr>
      <w:r>
        <w:rPr>
          <w:color w:val="0A0A0A"/>
          <w:sz w:val="24"/>
        </w:rPr>
        <w:t>Matthew</w:t>
      </w:r>
      <w:r>
        <w:rPr>
          <w:color w:val="0A0A0A"/>
          <w:spacing w:val="-6"/>
          <w:sz w:val="24"/>
        </w:rPr>
        <w:t> </w:t>
      </w:r>
      <w:r>
        <w:rPr>
          <w:color w:val="0A0A0A"/>
          <w:spacing w:val="-2"/>
          <w:sz w:val="24"/>
        </w:rPr>
        <w:t>Bunyan</w:t>
      </w:r>
    </w:p>
    <w:p>
      <w:pPr>
        <w:spacing w:before="2" w:line="237" w:lineRule="auto"/>
        <w:ind w:left="710" w:right="4701" w:firstLine="2"/>
        <w:jc w:val="left"/>
        <w:rPr>
          <w:sz w:val="24"/>
        </w:rPr>
      </w:pPr>
      <w:r>
        <w:rPr>
          <w:color w:val="0A0A0A"/>
          <w:sz w:val="24"/>
        </w:rPr>
        <w:t>Head</w:t>
      </w:r>
      <w:r>
        <w:rPr>
          <w:color w:val="0A0A0A"/>
          <w:spacing w:val="-4"/>
          <w:sz w:val="24"/>
        </w:rPr>
        <w:t> </w:t>
      </w:r>
      <w:r>
        <w:rPr>
          <w:color w:val="0A0A0A"/>
          <w:sz w:val="24"/>
        </w:rPr>
        <w:t>of</w:t>
      </w:r>
      <w:r>
        <w:rPr>
          <w:color w:val="0A0A0A"/>
          <w:spacing w:val="-6"/>
          <w:sz w:val="24"/>
        </w:rPr>
        <w:t> </w:t>
      </w:r>
      <w:r>
        <w:rPr>
          <w:color w:val="0A0A0A"/>
          <w:sz w:val="24"/>
        </w:rPr>
        <w:t>Finance</w:t>
      </w:r>
      <w:r>
        <w:rPr>
          <w:color w:val="0A0A0A"/>
          <w:spacing w:val="-1"/>
          <w:sz w:val="24"/>
        </w:rPr>
        <w:t> </w:t>
      </w:r>
      <w:r>
        <w:rPr>
          <w:color w:val="0A0A0A"/>
          <w:sz w:val="24"/>
        </w:rPr>
        <w:t>and</w:t>
      </w:r>
      <w:r>
        <w:rPr>
          <w:color w:val="0A0A0A"/>
          <w:spacing w:val="-8"/>
          <w:sz w:val="24"/>
        </w:rPr>
        <w:t> </w:t>
      </w:r>
      <w:r>
        <w:rPr>
          <w:color w:val="0A0A0A"/>
          <w:sz w:val="24"/>
        </w:rPr>
        <w:t>Business Services Civic Offices</w:t>
      </w:r>
    </w:p>
    <w:p>
      <w:pPr>
        <w:spacing w:before="6" w:line="237" w:lineRule="auto"/>
        <w:ind w:left="698" w:right="7125" w:firstLine="10"/>
        <w:jc w:val="left"/>
        <w:rPr>
          <w:sz w:val="24"/>
        </w:rPr>
      </w:pPr>
      <w:r>
        <w:rPr>
          <w:color w:val="0A0A0A"/>
          <w:sz w:val="24"/>
        </w:rPr>
        <w:t>Elstree Way </w:t>
      </w:r>
      <w:r>
        <w:rPr>
          <w:color w:val="0A0A0A"/>
          <w:spacing w:val="-2"/>
          <w:sz w:val="24"/>
        </w:rPr>
        <w:t>Borehamwood Hertfordshire WD61WA</w:t>
      </w:r>
    </w:p>
    <w:p>
      <w:pPr>
        <w:spacing w:after="0" w:line="237" w:lineRule="auto"/>
        <w:jc w:val="left"/>
        <w:rPr>
          <w:sz w:val="24"/>
        </w:rPr>
        <w:sectPr>
          <w:headerReference w:type="even" r:id="rId34"/>
          <w:pgSz w:w="11910" w:h="16830"/>
          <w:pgMar w:top="600" w:right="920" w:bottom="520" w:left="840" w:header="0" w:footer="0"/>
        </w:sectPr>
      </w:pPr>
    </w:p>
    <w:p>
      <w:pPr>
        <w:pStyle w:val="ListParagraph"/>
        <w:numPr>
          <w:ilvl w:val="1"/>
          <w:numId w:val="4"/>
        </w:numPr>
        <w:tabs>
          <w:tab w:val="left" w:leader="none" w:pos="990"/>
        </w:tabs>
        <w:spacing w:before="206" w:after="0" w:line="496" w:lineRule="auto"/>
        <w:ind w:left="585" w:right="6255" w:firstLine="3"/>
        <w:jc w:val="both"/>
        <w:rPr>
          <w:b/>
          <w:color w:val="0A0A0A"/>
          <w:sz w:val="23"/>
        </w:rPr>
      </w:pPr>
      <w:r>
        <w:rPr>
          <w:b/>
          <w:color w:val="0A0A0A"/>
          <w:spacing w:val="-2"/>
          <w:w w:val="105"/>
          <w:sz w:val="23"/>
        </w:rPr>
        <w:t>Summary</w:t>
      </w:r>
      <w:r>
        <w:rPr>
          <w:b/>
          <w:color w:val="0A0A0A"/>
          <w:spacing w:val="-15"/>
          <w:w w:val="105"/>
          <w:sz w:val="23"/>
        </w:rPr>
        <w:t> </w:t>
      </w:r>
      <w:r>
        <w:rPr>
          <w:b/>
          <w:color w:val="0A0A0A"/>
          <w:spacing w:val="-2"/>
          <w:w w:val="105"/>
          <w:sz w:val="23"/>
        </w:rPr>
        <w:t>of</w:t>
      </w:r>
      <w:r>
        <w:rPr>
          <w:b/>
          <w:color w:val="0A0A0A"/>
          <w:spacing w:val="-15"/>
          <w:w w:val="105"/>
          <w:sz w:val="23"/>
        </w:rPr>
        <w:t> </w:t>
      </w:r>
      <w:r>
        <w:rPr>
          <w:b/>
          <w:color w:val="0A0A0A"/>
          <w:spacing w:val="-2"/>
          <w:w w:val="105"/>
          <w:sz w:val="23"/>
        </w:rPr>
        <w:t>Performance </w:t>
      </w:r>
      <w:r>
        <w:rPr>
          <w:b/>
          <w:color w:val="0A0A0A"/>
          <w:w w:val="105"/>
          <w:sz w:val="23"/>
        </w:rPr>
        <w:t>Non-Financial Performance</w:t>
      </w:r>
    </w:p>
    <w:p>
      <w:pPr>
        <w:spacing w:before="5" w:line="249" w:lineRule="auto"/>
        <w:ind w:left="587" w:right="523" w:firstLine="3"/>
        <w:jc w:val="both"/>
        <w:rPr>
          <w:sz w:val="23"/>
        </w:rPr>
      </w:pPr>
      <w:r>
        <w:rPr>
          <w:color w:val="0A0A0A"/>
          <w:w w:val="105"/>
          <w:sz w:val="23"/>
        </w:rPr>
        <w:t>In</w:t>
      </w:r>
      <w:r>
        <w:rPr>
          <w:color w:val="0A0A0A"/>
          <w:spacing w:val="-10"/>
          <w:w w:val="105"/>
          <w:sz w:val="23"/>
        </w:rPr>
        <w:t> </w:t>
      </w:r>
      <w:r>
        <w:rPr>
          <w:color w:val="0A0A0A"/>
          <w:w w:val="105"/>
          <w:sz w:val="23"/>
        </w:rPr>
        <w:t>the</w:t>
      </w:r>
      <w:r>
        <w:rPr>
          <w:color w:val="0A0A0A"/>
          <w:spacing w:val="-6"/>
          <w:w w:val="105"/>
          <w:sz w:val="23"/>
        </w:rPr>
        <w:t> </w:t>
      </w:r>
      <w:r>
        <w:rPr>
          <w:color w:val="0A0A0A"/>
          <w:w w:val="105"/>
          <w:sz w:val="23"/>
        </w:rPr>
        <w:t>current financial</w:t>
      </w:r>
      <w:r>
        <w:rPr>
          <w:color w:val="0A0A0A"/>
          <w:spacing w:val="-3"/>
          <w:w w:val="105"/>
          <w:sz w:val="23"/>
        </w:rPr>
        <w:t> </w:t>
      </w:r>
      <w:r>
        <w:rPr>
          <w:color w:val="0A0A0A"/>
          <w:w w:val="105"/>
          <w:sz w:val="23"/>
        </w:rPr>
        <w:t>climate, local</w:t>
      </w:r>
      <w:r>
        <w:rPr>
          <w:color w:val="0A0A0A"/>
          <w:spacing w:val="-2"/>
          <w:w w:val="105"/>
          <w:sz w:val="23"/>
        </w:rPr>
        <w:t> </w:t>
      </w:r>
      <w:r>
        <w:rPr>
          <w:color w:val="0A0A0A"/>
          <w:w w:val="105"/>
          <w:sz w:val="23"/>
        </w:rPr>
        <w:t>authorities have</w:t>
      </w:r>
      <w:r>
        <w:rPr>
          <w:color w:val="0A0A0A"/>
          <w:spacing w:val="-4"/>
          <w:w w:val="105"/>
          <w:sz w:val="23"/>
        </w:rPr>
        <w:t> </w:t>
      </w:r>
      <w:r>
        <w:rPr>
          <w:color w:val="0A0A0A"/>
          <w:w w:val="105"/>
          <w:sz w:val="23"/>
        </w:rPr>
        <w:t>to</w:t>
      </w:r>
      <w:r>
        <w:rPr>
          <w:color w:val="0A0A0A"/>
          <w:spacing w:val="-5"/>
          <w:w w:val="105"/>
          <w:sz w:val="23"/>
        </w:rPr>
        <w:t> </w:t>
      </w:r>
      <w:r>
        <w:rPr>
          <w:color w:val="0A0A0A"/>
          <w:w w:val="105"/>
          <w:sz w:val="23"/>
        </w:rPr>
        <w:t>think creatively about how</w:t>
      </w:r>
      <w:r>
        <w:rPr>
          <w:color w:val="0A0A0A"/>
          <w:spacing w:val="-5"/>
          <w:w w:val="105"/>
          <w:sz w:val="23"/>
        </w:rPr>
        <w:t> </w:t>
      </w:r>
      <w:r>
        <w:rPr>
          <w:color w:val="0A0A0A"/>
          <w:w w:val="105"/>
          <w:sz w:val="23"/>
        </w:rPr>
        <w:t>to reduce</w:t>
      </w:r>
      <w:r>
        <w:rPr>
          <w:color w:val="0A0A0A"/>
          <w:spacing w:val="-17"/>
          <w:w w:val="105"/>
          <w:sz w:val="23"/>
        </w:rPr>
        <w:t> </w:t>
      </w:r>
      <w:r>
        <w:rPr>
          <w:color w:val="0A0A0A"/>
          <w:w w:val="105"/>
          <w:sz w:val="23"/>
        </w:rPr>
        <w:t>costs</w:t>
      </w:r>
      <w:r>
        <w:rPr>
          <w:color w:val="0A0A0A"/>
          <w:spacing w:val="-17"/>
          <w:w w:val="105"/>
          <w:sz w:val="23"/>
        </w:rPr>
        <w:t> </w:t>
      </w:r>
      <w:r>
        <w:rPr>
          <w:color w:val="0A0A0A"/>
          <w:w w:val="105"/>
          <w:sz w:val="23"/>
        </w:rPr>
        <w:t>whilst</w:t>
      </w:r>
      <w:r>
        <w:rPr>
          <w:color w:val="0A0A0A"/>
          <w:spacing w:val="-17"/>
          <w:w w:val="105"/>
          <w:sz w:val="23"/>
        </w:rPr>
        <w:t> </w:t>
      </w:r>
      <w:r>
        <w:rPr>
          <w:color w:val="0A0A0A"/>
          <w:w w:val="105"/>
          <w:sz w:val="23"/>
        </w:rPr>
        <w:t>still</w:t>
      </w:r>
      <w:r>
        <w:rPr>
          <w:color w:val="0A0A0A"/>
          <w:spacing w:val="-17"/>
          <w:w w:val="105"/>
          <w:sz w:val="23"/>
        </w:rPr>
        <w:t> </w:t>
      </w:r>
      <w:r>
        <w:rPr>
          <w:color w:val="0A0A0A"/>
          <w:w w:val="105"/>
          <w:sz w:val="23"/>
        </w:rPr>
        <w:t>delivering</w:t>
      </w:r>
      <w:r>
        <w:rPr>
          <w:color w:val="0A0A0A"/>
          <w:spacing w:val="-16"/>
          <w:w w:val="105"/>
          <w:sz w:val="23"/>
        </w:rPr>
        <w:t> </w:t>
      </w:r>
      <w:r>
        <w:rPr>
          <w:color w:val="0A0A0A"/>
          <w:w w:val="105"/>
          <w:sz w:val="23"/>
        </w:rPr>
        <w:t>high</w:t>
      </w:r>
      <w:r>
        <w:rPr>
          <w:color w:val="0A0A0A"/>
          <w:spacing w:val="-17"/>
          <w:w w:val="105"/>
          <w:sz w:val="23"/>
        </w:rPr>
        <w:t> </w:t>
      </w:r>
      <w:r>
        <w:rPr>
          <w:color w:val="0A0A0A"/>
          <w:w w:val="105"/>
          <w:sz w:val="23"/>
        </w:rPr>
        <w:t>quality</w:t>
      </w:r>
      <w:r>
        <w:rPr>
          <w:color w:val="0A0A0A"/>
          <w:spacing w:val="-17"/>
          <w:w w:val="105"/>
          <w:sz w:val="23"/>
        </w:rPr>
        <w:t> </w:t>
      </w:r>
      <w:r>
        <w:rPr>
          <w:color w:val="0A0A0A"/>
          <w:w w:val="105"/>
          <w:sz w:val="23"/>
        </w:rPr>
        <w:t>services.</w:t>
      </w:r>
      <w:r>
        <w:rPr>
          <w:color w:val="0A0A0A"/>
          <w:spacing w:val="-17"/>
          <w:w w:val="105"/>
          <w:sz w:val="23"/>
        </w:rPr>
        <w:t> </w:t>
      </w:r>
      <w:r>
        <w:rPr>
          <w:color w:val="0A0A0A"/>
          <w:w w:val="105"/>
          <w:sz w:val="23"/>
        </w:rPr>
        <w:t>Hertsmere</w:t>
      </w:r>
      <w:r>
        <w:rPr>
          <w:color w:val="0A0A0A"/>
          <w:spacing w:val="-16"/>
          <w:w w:val="105"/>
          <w:sz w:val="23"/>
        </w:rPr>
        <w:t> </w:t>
      </w:r>
      <w:r>
        <w:rPr>
          <w:color w:val="0A0A0A"/>
          <w:w w:val="105"/>
          <w:sz w:val="23"/>
        </w:rPr>
        <w:t>remains</w:t>
      </w:r>
      <w:r>
        <w:rPr>
          <w:color w:val="0A0A0A"/>
          <w:spacing w:val="-17"/>
          <w:w w:val="105"/>
          <w:sz w:val="23"/>
        </w:rPr>
        <w:t> </w:t>
      </w:r>
      <w:r>
        <w:rPr>
          <w:color w:val="0A0A0A"/>
          <w:w w:val="105"/>
          <w:sz w:val="23"/>
        </w:rPr>
        <w:t>committed to</w:t>
      </w:r>
      <w:r>
        <w:rPr>
          <w:color w:val="0A0A0A"/>
          <w:spacing w:val="-17"/>
          <w:w w:val="105"/>
          <w:sz w:val="23"/>
        </w:rPr>
        <w:t> </w:t>
      </w:r>
      <w:r>
        <w:rPr>
          <w:color w:val="0A0A0A"/>
          <w:w w:val="105"/>
          <w:sz w:val="23"/>
        </w:rPr>
        <w:t>making</w:t>
      </w:r>
      <w:r>
        <w:rPr>
          <w:color w:val="0A0A0A"/>
          <w:spacing w:val="-8"/>
          <w:w w:val="105"/>
          <w:sz w:val="23"/>
        </w:rPr>
        <w:t> </w:t>
      </w:r>
      <w:r>
        <w:rPr>
          <w:color w:val="0A0A0A"/>
          <w:w w:val="105"/>
          <w:sz w:val="23"/>
        </w:rPr>
        <w:t>the</w:t>
      </w:r>
      <w:r>
        <w:rPr>
          <w:color w:val="0A0A0A"/>
          <w:spacing w:val="-17"/>
          <w:w w:val="105"/>
          <w:sz w:val="23"/>
        </w:rPr>
        <w:t> </w:t>
      </w:r>
      <w:r>
        <w:rPr>
          <w:color w:val="0A0A0A"/>
          <w:w w:val="105"/>
          <w:sz w:val="23"/>
        </w:rPr>
        <w:t>most</w:t>
      </w:r>
      <w:r>
        <w:rPr>
          <w:color w:val="0A0A0A"/>
          <w:spacing w:val="-10"/>
          <w:w w:val="105"/>
          <w:sz w:val="23"/>
        </w:rPr>
        <w:t> </w:t>
      </w:r>
      <w:r>
        <w:rPr>
          <w:color w:val="0A0A0A"/>
          <w:w w:val="105"/>
          <w:sz w:val="23"/>
        </w:rPr>
        <w:t>of</w:t>
      </w:r>
      <w:r>
        <w:rPr>
          <w:color w:val="0A0A0A"/>
          <w:spacing w:val="-16"/>
          <w:w w:val="105"/>
          <w:sz w:val="23"/>
        </w:rPr>
        <w:t> </w:t>
      </w:r>
      <w:r>
        <w:rPr>
          <w:color w:val="0A0A0A"/>
          <w:w w:val="105"/>
          <w:sz w:val="23"/>
        </w:rPr>
        <w:t>our</w:t>
      </w:r>
      <w:r>
        <w:rPr>
          <w:color w:val="0A0A0A"/>
          <w:spacing w:val="-12"/>
          <w:w w:val="105"/>
          <w:sz w:val="23"/>
        </w:rPr>
        <w:t> </w:t>
      </w:r>
      <w:r>
        <w:rPr>
          <w:color w:val="0A0A0A"/>
          <w:w w:val="105"/>
          <w:sz w:val="23"/>
        </w:rPr>
        <w:t>assets</w:t>
      </w:r>
      <w:r>
        <w:rPr>
          <w:color w:val="0A0A0A"/>
          <w:spacing w:val="-4"/>
          <w:w w:val="105"/>
          <w:sz w:val="23"/>
        </w:rPr>
        <w:t> </w:t>
      </w:r>
      <w:r>
        <w:rPr>
          <w:color w:val="0A0A0A"/>
          <w:w w:val="105"/>
          <w:sz w:val="23"/>
        </w:rPr>
        <w:t>whilst</w:t>
      </w:r>
      <w:r>
        <w:rPr>
          <w:color w:val="0A0A0A"/>
          <w:spacing w:val="-5"/>
          <w:w w:val="105"/>
          <w:sz w:val="23"/>
        </w:rPr>
        <w:t> </w:t>
      </w:r>
      <w:r>
        <w:rPr>
          <w:color w:val="0A0A0A"/>
          <w:w w:val="105"/>
          <w:sz w:val="23"/>
        </w:rPr>
        <w:t>finding</w:t>
      </w:r>
      <w:r>
        <w:rPr>
          <w:color w:val="0A0A0A"/>
          <w:spacing w:val="-5"/>
          <w:w w:val="105"/>
          <w:sz w:val="23"/>
        </w:rPr>
        <w:t> </w:t>
      </w:r>
      <w:r>
        <w:rPr>
          <w:color w:val="0A0A0A"/>
          <w:w w:val="105"/>
          <w:sz w:val="23"/>
        </w:rPr>
        <w:t>new</w:t>
      </w:r>
      <w:r>
        <w:rPr>
          <w:color w:val="0A0A0A"/>
          <w:spacing w:val="-10"/>
          <w:w w:val="105"/>
          <w:sz w:val="23"/>
        </w:rPr>
        <w:t> </w:t>
      </w:r>
      <w:r>
        <w:rPr>
          <w:color w:val="0A0A0A"/>
          <w:w w:val="105"/>
          <w:sz w:val="23"/>
        </w:rPr>
        <w:t>ways</w:t>
      </w:r>
      <w:r>
        <w:rPr>
          <w:color w:val="0A0A0A"/>
          <w:spacing w:val="-13"/>
          <w:w w:val="105"/>
          <w:sz w:val="23"/>
        </w:rPr>
        <w:t> </w:t>
      </w:r>
      <w:r>
        <w:rPr>
          <w:color w:val="0A0A0A"/>
          <w:w w:val="105"/>
          <w:sz w:val="23"/>
        </w:rPr>
        <w:t>to</w:t>
      </w:r>
      <w:r>
        <w:rPr>
          <w:color w:val="0A0A0A"/>
          <w:spacing w:val="-13"/>
          <w:w w:val="105"/>
          <w:sz w:val="23"/>
        </w:rPr>
        <w:t> </w:t>
      </w:r>
      <w:r>
        <w:rPr>
          <w:color w:val="0A0A0A"/>
          <w:w w:val="105"/>
          <w:sz w:val="23"/>
        </w:rPr>
        <w:t>deliver</w:t>
      </w:r>
      <w:r>
        <w:rPr>
          <w:color w:val="0A0A0A"/>
          <w:spacing w:val="-1"/>
          <w:w w:val="105"/>
          <w:sz w:val="23"/>
        </w:rPr>
        <w:t> </w:t>
      </w:r>
      <w:r>
        <w:rPr>
          <w:color w:val="0A0A0A"/>
          <w:w w:val="105"/>
          <w:sz w:val="23"/>
        </w:rPr>
        <w:t>services</w:t>
      </w:r>
      <w:r>
        <w:rPr>
          <w:color w:val="0A0A0A"/>
          <w:spacing w:val="-2"/>
          <w:w w:val="105"/>
          <w:sz w:val="23"/>
        </w:rPr>
        <w:t> </w:t>
      </w:r>
      <w:r>
        <w:rPr>
          <w:color w:val="0A0A0A"/>
          <w:w w:val="105"/>
          <w:sz w:val="23"/>
        </w:rPr>
        <w:t>that</w:t>
      </w:r>
      <w:r>
        <w:rPr>
          <w:color w:val="0A0A0A"/>
          <w:spacing w:val="-14"/>
          <w:w w:val="105"/>
          <w:sz w:val="23"/>
        </w:rPr>
        <w:t> </w:t>
      </w:r>
      <w:r>
        <w:rPr>
          <w:color w:val="0A0A0A"/>
          <w:w w:val="105"/>
          <w:sz w:val="23"/>
        </w:rPr>
        <w:t>meet the</w:t>
      </w:r>
      <w:r>
        <w:rPr>
          <w:color w:val="0A0A0A"/>
          <w:spacing w:val="-6"/>
          <w:w w:val="105"/>
          <w:sz w:val="23"/>
        </w:rPr>
        <w:t> </w:t>
      </w:r>
      <w:r>
        <w:rPr>
          <w:color w:val="0A0A0A"/>
          <w:w w:val="105"/>
          <w:sz w:val="23"/>
        </w:rPr>
        <w:t>needs of</w:t>
      </w:r>
      <w:r>
        <w:rPr>
          <w:color w:val="0A0A0A"/>
          <w:spacing w:val="-5"/>
          <w:w w:val="105"/>
          <w:sz w:val="23"/>
        </w:rPr>
        <w:t> </w:t>
      </w:r>
      <w:r>
        <w:rPr>
          <w:color w:val="0A0A0A"/>
          <w:w w:val="105"/>
          <w:sz w:val="23"/>
        </w:rPr>
        <w:t>our residents. The</w:t>
      </w:r>
      <w:r>
        <w:rPr>
          <w:color w:val="0A0A0A"/>
          <w:spacing w:val="-5"/>
          <w:w w:val="105"/>
          <w:sz w:val="23"/>
        </w:rPr>
        <w:t> </w:t>
      </w:r>
      <w:r>
        <w:rPr>
          <w:color w:val="0A0A0A"/>
          <w:w w:val="105"/>
          <w:sz w:val="23"/>
        </w:rPr>
        <w:t>Council is</w:t>
      </w:r>
      <w:r>
        <w:rPr>
          <w:color w:val="0A0A0A"/>
          <w:spacing w:val="-7"/>
          <w:w w:val="105"/>
          <w:sz w:val="23"/>
        </w:rPr>
        <w:t> </w:t>
      </w:r>
      <w:r>
        <w:rPr>
          <w:color w:val="0A0A0A"/>
          <w:w w:val="105"/>
          <w:sz w:val="23"/>
        </w:rPr>
        <w:t>in</w:t>
      </w:r>
      <w:r>
        <w:rPr>
          <w:color w:val="0A0A0A"/>
          <w:spacing w:val="-3"/>
          <w:w w:val="105"/>
          <w:sz w:val="23"/>
        </w:rPr>
        <w:t> </w:t>
      </w:r>
      <w:r>
        <w:rPr>
          <w:color w:val="0A0A0A"/>
          <w:w w:val="105"/>
          <w:sz w:val="23"/>
        </w:rPr>
        <w:t>a</w:t>
      </w:r>
      <w:r>
        <w:rPr>
          <w:color w:val="0A0A0A"/>
          <w:spacing w:val="-4"/>
          <w:w w:val="105"/>
          <w:sz w:val="23"/>
        </w:rPr>
        <w:t> </w:t>
      </w:r>
      <w:r>
        <w:rPr>
          <w:color w:val="0A0A0A"/>
          <w:w w:val="105"/>
          <w:sz w:val="23"/>
        </w:rPr>
        <w:t>healthy financial position, and aims</w:t>
      </w:r>
      <w:r>
        <w:rPr>
          <w:color w:val="0A0A0A"/>
          <w:spacing w:val="-6"/>
          <w:w w:val="105"/>
          <w:sz w:val="23"/>
        </w:rPr>
        <w:t> </w:t>
      </w:r>
      <w:r>
        <w:rPr>
          <w:color w:val="0A0A0A"/>
          <w:w w:val="105"/>
          <w:sz w:val="23"/>
        </w:rPr>
        <w:t>to maintain its</w:t>
      </w:r>
      <w:r>
        <w:rPr>
          <w:color w:val="0A0A0A"/>
          <w:spacing w:val="-11"/>
          <w:w w:val="105"/>
          <w:sz w:val="23"/>
        </w:rPr>
        <w:t> </w:t>
      </w:r>
      <w:r>
        <w:rPr>
          <w:color w:val="0A0A0A"/>
          <w:w w:val="105"/>
          <w:sz w:val="23"/>
        </w:rPr>
        <w:t>financial resilience and</w:t>
      </w:r>
      <w:r>
        <w:rPr>
          <w:color w:val="0A0A0A"/>
          <w:spacing w:val="-2"/>
          <w:w w:val="105"/>
          <w:sz w:val="23"/>
        </w:rPr>
        <w:t> </w:t>
      </w:r>
      <w:r>
        <w:rPr>
          <w:color w:val="0A0A0A"/>
          <w:w w:val="105"/>
          <w:sz w:val="23"/>
        </w:rPr>
        <w:t>continues to</w:t>
      </w:r>
      <w:r>
        <w:rPr>
          <w:color w:val="0A0A0A"/>
          <w:spacing w:val="-3"/>
          <w:w w:val="105"/>
          <w:sz w:val="23"/>
        </w:rPr>
        <w:t> </w:t>
      </w:r>
      <w:r>
        <w:rPr>
          <w:color w:val="0A0A0A"/>
          <w:w w:val="105"/>
          <w:sz w:val="23"/>
        </w:rPr>
        <w:t>work towards self-sufficiency.</w:t>
      </w:r>
    </w:p>
    <w:p>
      <w:pPr>
        <w:pStyle w:val="BodyText"/>
        <w:spacing w:before="18"/>
        <w:rPr>
          <w:sz w:val="23"/>
        </w:rPr>
      </w:pPr>
    </w:p>
    <w:p>
      <w:pPr>
        <w:spacing w:before="1"/>
        <w:ind w:left="594" w:right="0" w:firstLine="0"/>
        <w:jc w:val="both"/>
        <w:rPr>
          <w:b/>
          <w:i/>
          <w:sz w:val="23"/>
        </w:rPr>
      </w:pPr>
      <w:r>
        <w:rPr>
          <w:b/>
          <w:i/>
          <w:color w:val="0A0A0A"/>
          <w:w w:val="105"/>
          <w:sz w:val="23"/>
        </w:rPr>
        <w:t>Income</w:t>
      </w:r>
      <w:r>
        <w:rPr>
          <w:b/>
          <w:i/>
          <w:color w:val="0A0A0A"/>
          <w:spacing w:val="-11"/>
          <w:w w:val="105"/>
          <w:sz w:val="23"/>
        </w:rPr>
        <w:t> </w:t>
      </w:r>
      <w:r>
        <w:rPr>
          <w:b/>
          <w:i/>
          <w:color w:val="0A0A0A"/>
          <w:spacing w:val="-2"/>
          <w:w w:val="105"/>
          <w:sz w:val="23"/>
        </w:rPr>
        <w:t>maximisation</w:t>
      </w:r>
    </w:p>
    <w:p>
      <w:pPr>
        <w:spacing w:before="14" w:line="252" w:lineRule="auto"/>
        <w:ind w:left="589" w:right="522" w:firstLine="2"/>
        <w:jc w:val="both"/>
        <w:rPr>
          <w:sz w:val="23"/>
        </w:rPr>
      </w:pPr>
      <w:r>
        <w:rPr>
          <w:color w:val="0A0A0A"/>
          <w:spacing w:val="-2"/>
          <w:w w:val="105"/>
          <w:sz w:val="23"/>
        </w:rPr>
        <w:t>The</w:t>
      </w:r>
      <w:r>
        <w:rPr>
          <w:color w:val="0A0A0A"/>
          <w:spacing w:val="-15"/>
          <w:w w:val="105"/>
          <w:sz w:val="23"/>
        </w:rPr>
        <w:t> </w:t>
      </w:r>
      <w:r>
        <w:rPr>
          <w:color w:val="0A0A0A"/>
          <w:spacing w:val="-2"/>
          <w:w w:val="105"/>
          <w:sz w:val="23"/>
        </w:rPr>
        <w:t>Council</w:t>
      </w:r>
      <w:r>
        <w:rPr>
          <w:color w:val="0A0A0A"/>
          <w:spacing w:val="-12"/>
          <w:w w:val="105"/>
          <w:sz w:val="23"/>
        </w:rPr>
        <w:t> </w:t>
      </w:r>
      <w:r>
        <w:rPr>
          <w:color w:val="0A0A0A"/>
          <w:spacing w:val="-2"/>
          <w:w w:val="105"/>
          <w:sz w:val="23"/>
        </w:rPr>
        <w:t>generates</w:t>
      </w:r>
      <w:r>
        <w:rPr>
          <w:color w:val="0A0A0A"/>
          <w:spacing w:val="-4"/>
          <w:w w:val="105"/>
          <w:sz w:val="23"/>
        </w:rPr>
        <w:t> </w:t>
      </w:r>
      <w:r>
        <w:rPr>
          <w:color w:val="0A0A0A"/>
          <w:spacing w:val="-2"/>
          <w:w w:val="105"/>
          <w:sz w:val="23"/>
        </w:rPr>
        <w:t>income</w:t>
      </w:r>
      <w:r>
        <w:rPr>
          <w:color w:val="0A0A0A"/>
          <w:spacing w:val="-9"/>
          <w:w w:val="105"/>
          <w:sz w:val="23"/>
        </w:rPr>
        <w:t> </w:t>
      </w:r>
      <w:r>
        <w:rPr>
          <w:color w:val="0A0A0A"/>
          <w:spacing w:val="-2"/>
          <w:w w:val="105"/>
          <w:sz w:val="23"/>
        </w:rPr>
        <w:t>from</w:t>
      </w:r>
      <w:r>
        <w:rPr>
          <w:color w:val="0A0A0A"/>
          <w:spacing w:val="-12"/>
          <w:w w:val="105"/>
          <w:sz w:val="23"/>
        </w:rPr>
        <w:t> </w:t>
      </w:r>
      <w:r>
        <w:rPr>
          <w:color w:val="0A0A0A"/>
          <w:spacing w:val="-2"/>
          <w:w w:val="105"/>
          <w:sz w:val="23"/>
        </w:rPr>
        <w:t>various</w:t>
      </w:r>
      <w:r>
        <w:rPr>
          <w:color w:val="0A0A0A"/>
          <w:spacing w:val="-3"/>
          <w:w w:val="105"/>
          <w:sz w:val="23"/>
        </w:rPr>
        <w:t> </w:t>
      </w:r>
      <w:r>
        <w:rPr>
          <w:color w:val="0A0A0A"/>
          <w:spacing w:val="-2"/>
          <w:w w:val="105"/>
          <w:sz w:val="23"/>
        </w:rPr>
        <w:t>sources including funding, project specific </w:t>
      </w:r>
      <w:r>
        <w:rPr>
          <w:color w:val="0A0A0A"/>
          <w:w w:val="105"/>
          <w:sz w:val="23"/>
        </w:rPr>
        <w:t>grants,</w:t>
      </w:r>
      <w:r>
        <w:rPr>
          <w:color w:val="0A0A0A"/>
          <w:spacing w:val="-10"/>
          <w:w w:val="105"/>
          <w:sz w:val="23"/>
        </w:rPr>
        <w:t> </w:t>
      </w:r>
      <w:r>
        <w:rPr>
          <w:color w:val="0A0A0A"/>
          <w:w w:val="105"/>
          <w:sz w:val="23"/>
        </w:rPr>
        <w:t>fees</w:t>
      </w:r>
      <w:r>
        <w:rPr>
          <w:color w:val="0A0A0A"/>
          <w:spacing w:val="-16"/>
          <w:w w:val="105"/>
          <w:sz w:val="23"/>
        </w:rPr>
        <w:t> </w:t>
      </w:r>
      <w:r>
        <w:rPr>
          <w:color w:val="0A0A0A"/>
          <w:w w:val="105"/>
          <w:sz w:val="23"/>
        </w:rPr>
        <w:t>and</w:t>
      </w:r>
      <w:r>
        <w:rPr>
          <w:color w:val="0A0A0A"/>
          <w:spacing w:val="-17"/>
          <w:w w:val="105"/>
          <w:sz w:val="23"/>
        </w:rPr>
        <w:t> </w:t>
      </w:r>
      <w:r>
        <w:rPr>
          <w:color w:val="0A0A0A"/>
          <w:w w:val="105"/>
          <w:sz w:val="23"/>
        </w:rPr>
        <w:t>charges,</w:t>
      </w:r>
      <w:r>
        <w:rPr>
          <w:color w:val="0A0A0A"/>
          <w:spacing w:val="-7"/>
          <w:w w:val="105"/>
          <w:sz w:val="23"/>
        </w:rPr>
        <w:t> </w:t>
      </w:r>
      <w:r>
        <w:rPr>
          <w:color w:val="0A0A0A"/>
          <w:w w:val="105"/>
          <w:sz w:val="23"/>
        </w:rPr>
        <w:t>investment</w:t>
      </w:r>
      <w:r>
        <w:rPr>
          <w:color w:val="0A0A0A"/>
          <w:spacing w:val="-2"/>
          <w:w w:val="105"/>
          <w:sz w:val="23"/>
        </w:rPr>
        <w:t> </w:t>
      </w:r>
      <w:r>
        <w:rPr>
          <w:color w:val="0A0A0A"/>
          <w:w w:val="105"/>
          <w:sz w:val="23"/>
        </w:rPr>
        <w:t>income</w:t>
      </w:r>
      <w:r>
        <w:rPr>
          <w:color w:val="0A0A0A"/>
          <w:spacing w:val="-14"/>
          <w:w w:val="105"/>
          <w:sz w:val="23"/>
        </w:rPr>
        <w:t> </w:t>
      </w:r>
      <w:r>
        <w:rPr>
          <w:color w:val="0A0A0A"/>
          <w:w w:val="105"/>
          <w:sz w:val="23"/>
        </w:rPr>
        <w:t>and</w:t>
      </w:r>
      <w:r>
        <w:rPr>
          <w:color w:val="0A0A0A"/>
          <w:spacing w:val="-17"/>
          <w:w w:val="105"/>
          <w:sz w:val="23"/>
        </w:rPr>
        <w:t> </w:t>
      </w:r>
      <w:r>
        <w:rPr>
          <w:color w:val="0A0A0A"/>
          <w:w w:val="105"/>
          <w:sz w:val="23"/>
        </w:rPr>
        <w:t>also</w:t>
      </w:r>
      <w:r>
        <w:rPr>
          <w:color w:val="0A0A0A"/>
          <w:spacing w:val="-12"/>
          <w:w w:val="105"/>
          <w:sz w:val="23"/>
        </w:rPr>
        <w:t> </w:t>
      </w:r>
      <w:r>
        <w:rPr>
          <w:color w:val="0A0A0A"/>
          <w:w w:val="105"/>
          <w:sz w:val="23"/>
        </w:rPr>
        <w:t>uses</w:t>
      </w:r>
      <w:r>
        <w:rPr>
          <w:color w:val="0A0A0A"/>
          <w:spacing w:val="-17"/>
          <w:w w:val="105"/>
          <w:sz w:val="23"/>
        </w:rPr>
        <w:t> </w:t>
      </w:r>
      <w:r>
        <w:rPr>
          <w:color w:val="0A0A0A"/>
          <w:w w:val="105"/>
          <w:sz w:val="23"/>
        </w:rPr>
        <w:t>planned</w:t>
      </w:r>
      <w:r>
        <w:rPr>
          <w:color w:val="0A0A0A"/>
          <w:spacing w:val="-12"/>
          <w:w w:val="105"/>
          <w:sz w:val="23"/>
        </w:rPr>
        <w:t> </w:t>
      </w:r>
      <w:r>
        <w:rPr>
          <w:color w:val="0A0A0A"/>
          <w:w w:val="105"/>
          <w:sz w:val="23"/>
        </w:rPr>
        <w:t>drawdowns</w:t>
      </w:r>
      <w:r>
        <w:rPr>
          <w:color w:val="0A0A0A"/>
          <w:spacing w:val="-8"/>
          <w:w w:val="105"/>
          <w:sz w:val="23"/>
        </w:rPr>
        <w:t> </w:t>
      </w:r>
      <w:r>
        <w:rPr>
          <w:color w:val="0A0A0A"/>
          <w:w w:val="105"/>
          <w:sz w:val="23"/>
        </w:rPr>
        <w:t>from specific reserves to</w:t>
      </w:r>
      <w:r>
        <w:rPr>
          <w:color w:val="0A0A0A"/>
          <w:spacing w:val="-2"/>
          <w:w w:val="105"/>
          <w:sz w:val="23"/>
        </w:rPr>
        <w:t> </w:t>
      </w:r>
      <w:r>
        <w:rPr>
          <w:color w:val="0A0A0A"/>
          <w:w w:val="105"/>
          <w:sz w:val="23"/>
        </w:rPr>
        <w:t>fund expenditure. This income is</w:t>
      </w:r>
      <w:r>
        <w:rPr>
          <w:color w:val="0A0A0A"/>
          <w:spacing w:val="-2"/>
          <w:w w:val="105"/>
          <w:sz w:val="23"/>
        </w:rPr>
        <w:t> </w:t>
      </w:r>
      <w:r>
        <w:rPr>
          <w:color w:val="0A0A0A"/>
          <w:w w:val="105"/>
          <w:sz w:val="23"/>
        </w:rPr>
        <w:t>used to support the</w:t>
      </w:r>
      <w:r>
        <w:rPr>
          <w:color w:val="0A0A0A"/>
          <w:spacing w:val="-1"/>
          <w:w w:val="105"/>
          <w:sz w:val="23"/>
        </w:rPr>
        <w:t> </w:t>
      </w:r>
      <w:r>
        <w:rPr>
          <w:color w:val="0A0A0A"/>
          <w:w w:val="105"/>
          <w:sz w:val="23"/>
        </w:rPr>
        <w:t>delivery of our services.</w:t>
      </w:r>
    </w:p>
    <w:p>
      <w:pPr>
        <w:pStyle w:val="BodyText"/>
        <w:spacing w:before="8"/>
        <w:rPr>
          <w:sz w:val="23"/>
        </w:rPr>
      </w:pPr>
    </w:p>
    <w:p>
      <w:pPr>
        <w:spacing w:before="1"/>
        <w:ind w:left="595" w:right="0" w:firstLine="0"/>
        <w:jc w:val="left"/>
        <w:rPr>
          <w:b/>
          <w:i/>
          <w:sz w:val="23"/>
        </w:rPr>
      </w:pPr>
      <w:r>
        <w:rPr>
          <w:b/>
          <w:i/>
          <w:color w:val="0A0A0A"/>
          <w:spacing w:val="-2"/>
          <w:w w:val="105"/>
          <w:sz w:val="23"/>
        </w:rPr>
        <w:t>Apprenticeships</w:t>
      </w:r>
    </w:p>
    <w:p>
      <w:pPr>
        <w:spacing w:before="14" w:line="249" w:lineRule="auto"/>
        <w:ind w:left="591" w:right="520" w:firstLine="2"/>
        <w:jc w:val="both"/>
        <w:rPr>
          <w:sz w:val="23"/>
        </w:rPr>
      </w:pPr>
      <w:r>
        <w:rPr>
          <w:color w:val="0A0A0A"/>
          <w:w w:val="105"/>
          <w:sz w:val="23"/>
        </w:rPr>
        <w:t>We</w:t>
      </w:r>
      <w:r>
        <w:rPr>
          <w:color w:val="0A0A0A"/>
          <w:spacing w:val="-17"/>
          <w:w w:val="105"/>
          <w:sz w:val="23"/>
        </w:rPr>
        <w:t> </w:t>
      </w:r>
      <w:r>
        <w:rPr>
          <w:color w:val="0A0A0A"/>
          <w:w w:val="105"/>
          <w:sz w:val="23"/>
        </w:rPr>
        <w:t>have</w:t>
      </w:r>
      <w:r>
        <w:rPr>
          <w:color w:val="0A0A0A"/>
          <w:spacing w:val="-17"/>
          <w:w w:val="105"/>
          <w:sz w:val="23"/>
        </w:rPr>
        <w:t> </w:t>
      </w:r>
      <w:r>
        <w:rPr>
          <w:color w:val="0A0A0A"/>
          <w:w w:val="105"/>
          <w:sz w:val="23"/>
        </w:rPr>
        <w:t>looked</w:t>
      </w:r>
      <w:r>
        <w:rPr>
          <w:color w:val="0A0A0A"/>
          <w:spacing w:val="-7"/>
          <w:w w:val="105"/>
          <w:sz w:val="23"/>
        </w:rPr>
        <w:t> </w:t>
      </w:r>
      <w:r>
        <w:rPr>
          <w:color w:val="0A0A0A"/>
          <w:w w:val="105"/>
          <w:sz w:val="23"/>
        </w:rPr>
        <w:t>at</w:t>
      </w:r>
      <w:r>
        <w:rPr>
          <w:color w:val="0A0A0A"/>
          <w:spacing w:val="-17"/>
          <w:w w:val="105"/>
          <w:sz w:val="23"/>
        </w:rPr>
        <w:t> </w:t>
      </w:r>
      <w:r>
        <w:rPr>
          <w:color w:val="0A0A0A"/>
          <w:w w:val="105"/>
          <w:sz w:val="23"/>
        </w:rPr>
        <w:t>new</w:t>
      </w:r>
      <w:r>
        <w:rPr>
          <w:color w:val="0A0A0A"/>
          <w:spacing w:val="-10"/>
          <w:w w:val="105"/>
          <w:sz w:val="23"/>
        </w:rPr>
        <w:t> </w:t>
      </w:r>
      <w:r>
        <w:rPr>
          <w:color w:val="0A0A0A"/>
          <w:w w:val="105"/>
          <w:sz w:val="23"/>
        </w:rPr>
        <w:t>ways</w:t>
      </w:r>
      <w:r>
        <w:rPr>
          <w:color w:val="0A0A0A"/>
          <w:spacing w:val="-13"/>
          <w:w w:val="105"/>
          <w:sz w:val="23"/>
        </w:rPr>
        <w:t> </w:t>
      </w:r>
      <w:r>
        <w:rPr>
          <w:color w:val="0A0A0A"/>
          <w:w w:val="105"/>
          <w:sz w:val="23"/>
        </w:rPr>
        <w:t>to</w:t>
      </w:r>
      <w:r>
        <w:rPr>
          <w:color w:val="0A0A0A"/>
          <w:spacing w:val="-14"/>
          <w:w w:val="105"/>
          <w:sz w:val="23"/>
        </w:rPr>
        <w:t> </w:t>
      </w:r>
      <w:r>
        <w:rPr>
          <w:color w:val="0A0A0A"/>
          <w:w w:val="105"/>
          <w:sz w:val="23"/>
        </w:rPr>
        <w:t>recruit</w:t>
      </w:r>
      <w:r>
        <w:rPr>
          <w:color w:val="0A0A0A"/>
          <w:spacing w:val="-1"/>
          <w:w w:val="105"/>
          <w:sz w:val="23"/>
        </w:rPr>
        <w:t> </w:t>
      </w:r>
      <w:r>
        <w:rPr>
          <w:color w:val="0A0A0A"/>
          <w:w w:val="105"/>
          <w:sz w:val="23"/>
        </w:rPr>
        <w:t>and</w:t>
      </w:r>
      <w:r>
        <w:rPr>
          <w:color w:val="0A0A0A"/>
          <w:spacing w:val="-13"/>
          <w:w w:val="105"/>
          <w:sz w:val="23"/>
        </w:rPr>
        <w:t> </w:t>
      </w:r>
      <w:r>
        <w:rPr>
          <w:color w:val="0A0A0A"/>
          <w:w w:val="105"/>
          <w:sz w:val="23"/>
        </w:rPr>
        <w:t>develop</w:t>
      </w:r>
      <w:r>
        <w:rPr>
          <w:color w:val="0A0A0A"/>
          <w:spacing w:val="-3"/>
          <w:w w:val="105"/>
          <w:sz w:val="23"/>
        </w:rPr>
        <w:t> </w:t>
      </w:r>
      <w:r>
        <w:rPr>
          <w:color w:val="0A0A0A"/>
          <w:w w:val="105"/>
          <w:sz w:val="23"/>
        </w:rPr>
        <w:t>staff,</w:t>
      </w:r>
      <w:r>
        <w:rPr>
          <w:color w:val="0A0A0A"/>
          <w:spacing w:val="-10"/>
          <w:w w:val="105"/>
          <w:sz w:val="23"/>
        </w:rPr>
        <w:t> </w:t>
      </w:r>
      <w:r>
        <w:rPr>
          <w:color w:val="0A0A0A"/>
          <w:w w:val="105"/>
          <w:sz w:val="23"/>
        </w:rPr>
        <w:t>particularly </w:t>
      </w:r>
      <w:r>
        <w:rPr>
          <w:color w:val="1A1A1A"/>
          <w:w w:val="105"/>
          <w:sz w:val="23"/>
        </w:rPr>
        <w:t>in</w:t>
      </w:r>
      <w:r>
        <w:rPr>
          <w:color w:val="1A1A1A"/>
          <w:spacing w:val="-17"/>
          <w:w w:val="105"/>
          <w:sz w:val="23"/>
        </w:rPr>
        <w:t> </w:t>
      </w:r>
      <w:r>
        <w:rPr>
          <w:color w:val="0A0A0A"/>
          <w:w w:val="105"/>
          <w:sz w:val="23"/>
        </w:rPr>
        <w:t>hard</w:t>
      </w:r>
      <w:r>
        <w:rPr>
          <w:color w:val="0A0A0A"/>
          <w:spacing w:val="-10"/>
          <w:w w:val="105"/>
          <w:sz w:val="23"/>
        </w:rPr>
        <w:t> </w:t>
      </w:r>
      <w:r>
        <w:rPr>
          <w:color w:val="0A0A0A"/>
          <w:w w:val="105"/>
          <w:sz w:val="23"/>
        </w:rPr>
        <w:t>to</w:t>
      </w:r>
      <w:r>
        <w:rPr>
          <w:color w:val="0A0A0A"/>
          <w:spacing w:val="-14"/>
          <w:w w:val="105"/>
          <w:sz w:val="23"/>
        </w:rPr>
        <w:t> </w:t>
      </w:r>
      <w:r>
        <w:rPr>
          <w:color w:val="0A0A0A"/>
          <w:w w:val="105"/>
          <w:sz w:val="23"/>
        </w:rPr>
        <w:t>recruit </w:t>
      </w:r>
      <w:r>
        <w:rPr>
          <w:color w:val="1A1A1A"/>
          <w:spacing w:val="-2"/>
          <w:w w:val="105"/>
          <w:sz w:val="23"/>
        </w:rPr>
        <w:t>professions,</w:t>
      </w:r>
      <w:r>
        <w:rPr>
          <w:color w:val="1A1A1A"/>
          <w:spacing w:val="2"/>
          <w:w w:val="105"/>
          <w:sz w:val="23"/>
        </w:rPr>
        <w:t> </w:t>
      </w:r>
      <w:r>
        <w:rPr>
          <w:color w:val="0A0A0A"/>
          <w:spacing w:val="-2"/>
          <w:w w:val="105"/>
          <w:sz w:val="23"/>
        </w:rPr>
        <w:t>and</w:t>
      </w:r>
      <w:r>
        <w:rPr>
          <w:color w:val="0A0A0A"/>
          <w:spacing w:val="-7"/>
          <w:w w:val="105"/>
          <w:sz w:val="23"/>
        </w:rPr>
        <w:t> </w:t>
      </w:r>
      <w:r>
        <w:rPr>
          <w:color w:val="1A1A1A"/>
          <w:spacing w:val="-2"/>
          <w:w w:val="105"/>
          <w:sz w:val="23"/>
        </w:rPr>
        <w:t>currently </w:t>
      </w:r>
      <w:r>
        <w:rPr>
          <w:color w:val="0A0A0A"/>
          <w:spacing w:val="-2"/>
          <w:w w:val="105"/>
          <w:sz w:val="23"/>
        </w:rPr>
        <w:t>there</w:t>
      </w:r>
      <w:r>
        <w:rPr>
          <w:color w:val="0A0A0A"/>
          <w:spacing w:val="-4"/>
          <w:w w:val="105"/>
          <w:sz w:val="23"/>
        </w:rPr>
        <w:t> </w:t>
      </w:r>
      <w:r>
        <w:rPr>
          <w:color w:val="0A0A0A"/>
          <w:spacing w:val="-2"/>
          <w:w w:val="105"/>
          <w:sz w:val="23"/>
        </w:rPr>
        <w:t>are</w:t>
      </w:r>
      <w:r>
        <w:rPr>
          <w:color w:val="0A0A0A"/>
          <w:spacing w:val="-6"/>
          <w:w w:val="105"/>
          <w:sz w:val="23"/>
        </w:rPr>
        <w:t> </w:t>
      </w:r>
      <w:r>
        <w:rPr>
          <w:color w:val="0A0A0A"/>
          <w:spacing w:val="-2"/>
          <w:w w:val="105"/>
          <w:sz w:val="23"/>
        </w:rPr>
        <w:t>14</w:t>
      </w:r>
      <w:r>
        <w:rPr>
          <w:color w:val="0A0A0A"/>
          <w:spacing w:val="-15"/>
          <w:w w:val="105"/>
          <w:sz w:val="23"/>
        </w:rPr>
        <w:t> </w:t>
      </w:r>
      <w:r>
        <w:rPr>
          <w:color w:val="0A0A0A"/>
          <w:spacing w:val="-2"/>
          <w:w w:val="105"/>
          <w:sz w:val="23"/>
        </w:rPr>
        <w:t>apprenticeships</w:t>
      </w:r>
      <w:r>
        <w:rPr>
          <w:color w:val="0A0A0A"/>
          <w:spacing w:val="-15"/>
          <w:w w:val="105"/>
          <w:sz w:val="23"/>
        </w:rPr>
        <w:t> </w:t>
      </w:r>
      <w:r>
        <w:rPr>
          <w:color w:val="0A0A0A"/>
          <w:spacing w:val="-2"/>
          <w:w w:val="105"/>
          <w:sz w:val="23"/>
        </w:rPr>
        <w:t>in</w:t>
      </w:r>
      <w:r>
        <w:rPr>
          <w:color w:val="0A0A0A"/>
          <w:spacing w:val="-15"/>
          <w:w w:val="105"/>
          <w:sz w:val="23"/>
        </w:rPr>
        <w:t> </w:t>
      </w:r>
      <w:r>
        <w:rPr>
          <w:color w:val="0A0A0A"/>
          <w:spacing w:val="-2"/>
          <w:w w:val="105"/>
          <w:sz w:val="23"/>
        </w:rPr>
        <w:t>place</w:t>
      </w:r>
      <w:r>
        <w:rPr>
          <w:color w:val="0A0A0A"/>
          <w:spacing w:val="-11"/>
          <w:w w:val="105"/>
          <w:sz w:val="23"/>
        </w:rPr>
        <w:t> </w:t>
      </w:r>
      <w:r>
        <w:rPr>
          <w:color w:val="0A0A0A"/>
          <w:spacing w:val="-2"/>
          <w:w w:val="105"/>
          <w:sz w:val="23"/>
        </w:rPr>
        <w:t>across seven</w:t>
      </w:r>
      <w:r>
        <w:rPr>
          <w:color w:val="0A0A0A"/>
          <w:spacing w:val="-13"/>
          <w:w w:val="105"/>
          <w:sz w:val="23"/>
        </w:rPr>
        <w:t> </w:t>
      </w:r>
      <w:r>
        <w:rPr>
          <w:color w:val="0A0A0A"/>
          <w:spacing w:val="-2"/>
          <w:w w:val="105"/>
          <w:sz w:val="23"/>
        </w:rPr>
        <w:t>different </w:t>
      </w:r>
      <w:r>
        <w:rPr>
          <w:color w:val="1A1A1A"/>
          <w:w w:val="105"/>
          <w:sz w:val="23"/>
        </w:rPr>
        <w:t>Council </w:t>
      </w:r>
      <w:r>
        <w:rPr>
          <w:color w:val="0A0A0A"/>
          <w:w w:val="105"/>
          <w:sz w:val="23"/>
        </w:rPr>
        <w:t>departments</w:t>
      </w:r>
      <w:r>
        <w:rPr>
          <w:color w:val="414141"/>
          <w:w w:val="105"/>
          <w:sz w:val="23"/>
        </w:rPr>
        <w:t>.</w:t>
      </w:r>
    </w:p>
    <w:p>
      <w:pPr>
        <w:pStyle w:val="BodyText"/>
        <w:spacing w:before="15"/>
        <w:rPr>
          <w:sz w:val="23"/>
        </w:rPr>
      </w:pPr>
    </w:p>
    <w:p>
      <w:pPr>
        <w:spacing w:before="0"/>
        <w:ind w:left="591" w:right="0" w:firstLine="0"/>
        <w:jc w:val="both"/>
        <w:rPr>
          <w:b/>
          <w:i/>
          <w:sz w:val="23"/>
        </w:rPr>
      </w:pPr>
      <w:r>
        <w:rPr>
          <w:b/>
          <w:i/>
          <w:color w:val="0A0A0A"/>
          <w:w w:val="105"/>
          <w:sz w:val="23"/>
        </w:rPr>
        <w:t>Leisure</w:t>
      </w:r>
      <w:r>
        <w:rPr>
          <w:b/>
          <w:i/>
          <w:color w:val="0A0A0A"/>
          <w:spacing w:val="-15"/>
          <w:w w:val="105"/>
          <w:sz w:val="23"/>
        </w:rPr>
        <w:t> </w:t>
      </w:r>
      <w:r>
        <w:rPr>
          <w:b/>
          <w:i/>
          <w:color w:val="0A0A0A"/>
          <w:w w:val="105"/>
          <w:sz w:val="23"/>
        </w:rPr>
        <w:t>Service</w:t>
      </w:r>
      <w:r>
        <w:rPr>
          <w:b/>
          <w:i/>
          <w:color w:val="0A0A0A"/>
          <w:spacing w:val="-15"/>
          <w:w w:val="105"/>
          <w:sz w:val="23"/>
        </w:rPr>
        <w:t> </w:t>
      </w:r>
      <w:r>
        <w:rPr>
          <w:b/>
          <w:i/>
          <w:color w:val="0A0A0A"/>
          <w:spacing w:val="-2"/>
          <w:w w:val="105"/>
          <w:sz w:val="23"/>
        </w:rPr>
        <w:t>Improvements</w:t>
      </w:r>
    </w:p>
    <w:p>
      <w:pPr>
        <w:spacing w:before="10" w:line="249" w:lineRule="auto"/>
        <w:ind w:left="592" w:right="511" w:hanging="2"/>
        <w:jc w:val="both"/>
        <w:rPr>
          <w:sz w:val="23"/>
        </w:rPr>
      </w:pPr>
      <w:r>
        <w:rPr>
          <w:color w:val="0A0A0A"/>
          <w:w w:val="105"/>
          <w:sz w:val="23"/>
        </w:rPr>
        <w:t>In</w:t>
      </w:r>
      <w:r>
        <w:rPr>
          <w:color w:val="0A0A0A"/>
          <w:spacing w:val="-17"/>
          <w:w w:val="105"/>
          <w:sz w:val="23"/>
        </w:rPr>
        <w:t> </w:t>
      </w:r>
      <w:r>
        <w:rPr>
          <w:color w:val="0A0A0A"/>
          <w:w w:val="105"/>
          <w:sz w:val="23"/>
        </w:rPr>
        <w:t>partnership</w:t>
      </w:r>
      <w:r>
        <w:rPr>
          <w:color w:val="0A0A0A"/>
          <w:spacing w:val="-3"/>
          <w:w w:val="105"/>
          <w:sz w:val="23"/>
        </w:rPr>
        <w:t> </w:t>
      </w:r>
      <w:r>
        <w:rPr>
          <w:color w:val="0A0A0A"/>
          <w:w w:val="105"/>
          <w:sz w:val="23"/>
        </w:rPr>
        <w:t>with</w:t>
      </w:r>
      <w:r>
        <w:rPr>
          <w:color w:val="0A0A0A"/>
          <w:spacing w:val="-5"/>
          <w:w w:val="105"/>
          <w:sz w:val="23"/>
        </w:rPr>
        <w:t> </w:t>
      </w:r>
      <w:r>
        <w:rPr>
          <w:color w:val="0A0A0A"/>
          <w:w w:val="105"/>
          <w:sz w:val="23"/>
        </w:rPr>
        <w:t>lnspireAII</w:t>
      </w:r>
      <w:r>
        <w:rPr>
          <w:color w:val="0A0A0A"/>
          <w:spacing w:val="-14"/>
          <w:w w:val="105"/>
          <w:sz w:val="23"/>
        </w:rPr>
        <w:t> </w:t>
      </w:r>
      <w:r>
        <w:rPr>
          <w:color w:val="0A0A0A"/>
          <w:w w:val="105"/>
          <w:sz w:val="23"/>
        </w:rPr>
        <w:t>(formerly</w:t>
      </w:r>
      <w:r>
        <w:rPr>
          <w:color w:val="0A0A0A"/>
          <w:spacing w:val="-7"/>
          <w:w w:val="105"/>
          <w:sz w:val="23"/>
        </w:rPr>
        <w:t> </w:t>
      </w:r>
      <w:r>
        <w:rPr>
          <w:color w:val="0A0A0A"/>
          <w:w w:val="105"/>
          <w:sz w:val="23"/>
        </w:rPr>
        <w:t>Hertsmere</w:t>
      </w:r>
      <w:r>
        <w:rPr>
          <w:color w:val="0A0A0A"/>
          <w:spacing w:val="-6"/>
          <w:w w:val="105"/>
          <w:sz w:val="23"/>
        </w:rPr>
        <w:t> </w:t>
      </w:r>
      <w:r>
        <w:rPr>
          <w:color w:val="0A0A0A"/>
          <w:w w:val="105"/>
          <w:sz w:val="23"/>
        </w:rPr>
        <w:t>Leisure</w:t>
      </w:r>
      <w:r>
        <w:rPr>
          <w:color w:val="0A0A0A"/>
          <w:spacing w:val="-17"/>
          <w:w w:val="105"/>
          <w:sz w:val="23"/>
        </w:rPr>
        <w:t> </w:t>
      </w:r>
      <w:r>
        <w:rPr>
          <w:color w:val="0A0A0A"/>
          <w:w w:val="105"/>
          <w:sz w:val="23"/>
        </w:rPr>
        <w:t>Trust),</w:t>
      </w:r>
      <w:r>
        <w:rPr>
          <w:color w:val="0A0A0A"/>
          <w:spacing w:val="-6"/>
          <w:w w:val="105"/>
          <w:sz w:val="23"/>
        </w:rPr>
        <w:t> </w:t>
      </w:r>
      <w:r>
        <w:rPr>
          <w:color w:val="0A0A0A"/>
          <w:w w:val="105"/>
          <w:sz w:val="23"/>
        </w:rPr>
        <w:t>£5.0m</w:t>
      </w:r>
      <w:r>
        <w:rPr>
          <w:color w:val="0A0A0A"/>
          <w:spacing w:val="-9"/>
          <w:w w:val="105"/>
          <w:sz w:val="23"/>
        </w:rPr>
        <w:t> </w:t>
      </w:r>
      <w:r>
        <w:rPr>
          <w:color w:val="0A0A0A"/>
          <w:w w:val="105"/>
          <w:sz w:val="23"/>
        </w:rPr>
        <w:t>was</w:t>
      </w:r>
      <w:r>
        <w:rPr>
          <w:color w:val="0A0A0A"/>
          <w:spacing w:val="-2"/>
          <w:w w:val="105"/>
          <w:sz w:val="23"/>
        </w:rPr>
        <w:t> </w:t>
      </w:r>
      <w:r>
        <w:rPr>
          <w:color w:val="1A1A1A"/>
          <w:w w:val="105"/>
          <w:sz w:val="23"/>
        </w:rPr>
        <w:t>spent</w:t>
      </w:r>
      <w:r>
        <w:rPr>
          <w:color w:val="1A1A1A"/>
          <w:spacing w:val="-9"/>
          <w:w w:val="105"/>
          <w:sz w:val="23"/>
        </w:rPr>
        <w:t> </w:t>
      </w:r>
      <w:r>
        <w:rPr>
          <w:color w:val="0A0A0A"/>
          <w:w w:val="105"/>
          <w:sz w:val="23"/>
        </w:rPr>
        <w:t>by 2019/20</w:t>
      </w:r>
      <w:r>
        <w:rPr>
          <w:color w:val="0A0A0A"/>
          <w:w w:val="105"/>
          <w:sz w:val="23"/>
        </w:rPr>
        <w:t> by</w:t>
      </w:r>
      <w:r>
        <w:rPr>
          <w:color w:val="0A0A0A"/>
          <w:w w:val="105"/>
          <w:sz w:val="23"/>
        </w:rPr>
        <w:t> the</w:t>
      </w:r>
      <w:r>
        <w:rPr>
          <w:color w:val="0A0A0A"/>
          <w:w w:val="105"/>
          <w:sz w:val="23"/>
        </w:rPr>
        <w:t> Trust</w:t>
      </w:r>
      <w:r>
        <w:rPr>
          <w:color w:val="0A0A0A"/>
          <w:w w:val="105"/>
          <w:sz w:val="23"/>
        </w:rPr>
        <w:t> to</w:t>
      </w:r>
      <w:r>
        <w:rPr>
          <w:color w:val="0A0A0A"/>
          <w:w w:val="105"/>
          <w:sz w:val="23"/>
        </w:rPr>
        <w:t> deliver</w:t>
      </w:r>
      <w:r>
        <w:rPr>
          <w:color w:val="0A0A0A"/>
          <w:w w:val="105"/>
          <w:sz w:val="23"/>
        </w:rPr>
        <w:t> a</w:t>
      </w:r>
      <w:r>
        <w:rPr>
          <w:color w:val="0A0A0A"/>
          <w:w w:val="105"/>
          <w:sz w:val="23"/>
        </w:rPr>
        <w:t> range</w:t>
      </w:r>
      <w:r>
        <w:rPr>
          <w:color w:val="0A0A0A"/>
          <w:w w:val="105"/>
          <w:sz w:val="23"/>
        </w:rPr>
        <w:t> of</w:t>
      </w:r>
      <w:r>
        <w:rPr>
          <w:color w:val="0A0A0A"/>
          <w:w w:val="105"/>
          <w:sz w:val="23"/>
        </w:rPr>
        <w:t> improvements</w:t>
      </w:r>
      <w:r>
        <w:rPr>
          <w:color w:val="0A0A0A"/>
          <w:w w:val="105"/>
          <w:sz w:val="23"/>
        </w:rPr>
        <w:t> in</w:t>
      </w:r>
      <w:r>
        <w:rPr>
          <w:color w:val="0A0A0A"/>
          <w:w w:val="105"/>
          <w:sz w:val="23"/>
        </w:rPr>
        <w:t> facilities</w:t>
      </w:r>
      <w:r>
        <w:rPr>
          <w:color w:val="0A0A0A"/>
          <w:w w:val="105"/>
          <w:sz w:val="23"/>
        </w:rPr>
        <w:t> across the borough's main leisure centres</w:t>
      </w:r>
      <w:r>
        <w:rPr>
          <w:color w:val="414141"/>
          <w:w w:val="105"/>
          <w:sz w:val="23"/>
        </w:rPr>
        <w:t>.</w:t>
      </w:r>
    </w:p>
    <w:p>
      <w:pPr>
        <w:pStyle w:val="BodyText"/>
        <w:spacing w:before="15"/>
        <w:rPr>
          <w:sz w:val="23"/>
        </w:rPr>
      </w:pPr>
    </w:p>
    <w:p>
      <w:pPr>
        <w:spacing w:before="0" w:line="252" w:lineRule="auto"/>
        <w:ind w:left="589" w:right="501" w:firstLine="3"/>
        <w:jc w:val="both"/>
        <w:rPr>
          <w:sz w:val="23"/>
        </w:rPr>
      </w:pPr>
      <w:r>
        <w:rPr>
          <w:color w:val="0A0A0A"/>
          <w:w w:val="105"/>
          <w:sz w:val="23"/>
        </w:rPr>
        <w:t>The</w:t>
      </w:r>
      <w:r>
        <w:rPr>
          <w:color w:val="0A0A0A"/>
          <w:spacing w:val="-17"/>
          <w:w w:val="105"/>
          <w:sz w:val="23"/>
        </w:rPr>
        <w:t> </w:t>
      </w:r>
      <w:r>
        <w:rPr>
          <w:color w:val="0A0A0A"/>
          <w:w w:val="105"/>
          <w:sz w:val="23"/>
        </w:rPr>
        <w:t>Covid-19</w:t>
      </w:r>
      <w:r>
        <w:rPr>
          <w:color w:val="0A0A0A"/>
          <w:spacing w:val="-11"/>
          <w:w w:val="105"/>
          <w:sz w:val="23"/>
        </w:rPr>
        <w:t> </w:t>
      </w:r>
      <w:r>
        <w:rPr>
          <w:color w:val="0A0A0A"/>
          <w:w w:val="105"/>
          <w:sz w:val="23"/>
        </w:rPr>
        <w:t>lockdown</w:t>
      </w:r>
      <w:r>
        <w:rPr>
          <w:color w:val="0A0A0A"/>
          <w:spacing w:val="-14"/>
          <w:w w:val="105"/>
          <w:sz w:val="23"/>
        </w:rPr>
        <w:t> </w:t>
      </w:r>
      <w:r>
        <w:rPr>
          <w:color w:val="0A0A0A"/>
          <w:w w:val="105"/>
          <w:sz w:val="23"/>
        </w:rPr>
        <w:t>restrictions</w:t>
      </w:r>
      <w:r>
        <w:rPr>
          <w:color w:val="0A0A0A"/>
          <w:spacing w:val="-5"/>
          <w:w w:val="105"/>
          <w:sz w:val="23"/>
        </w:rPr>
        <w:t> </w:t>
      </w:r>
      <w:r>
        <w:rPr>
          <w:color w:val="0A0A0A"/>
          <w:w w:val="105"/>
          <w:sz w:val="23"/>
        </w:rPr>
        <w:t>however</w:t>
      </w:r>
      <w:r>
        <w:rPr>
          <w:color w:val="0A0A0A"/>
          <w:spacing w:val="-5"/>
          <w:w w:val="105"/>
          <w:sz w:val="23"/>
        </w:rPr>
        <w:t> </w:t>
      </w:r>
      <w:r>
        <w:rPr>
          <w:color w:val="0A0A0A"/>
          <w:w w:val="105"/>
          <w:sz w:val="23"/>
        </w:rPr>
        <w:t>meant</w:t>
      </w:r>
      <w:r>
        <w:rPr>
          <w:color w:val="0A0A0A"/>
          <w:spacing w:val="-11"/>
          <w:w w:val="105"/>
          <w:sz w:val="23"/>
        </w:rPr>
        <w:t> </w:t>
      </w:r>
      <w:r>
        <w:rPr>
          <w:color w:val="0A0A0A"/>
          <w:w w:val="105"/>
          <w:sz w:val="23"/>
        </w:rPr>
        <w:t>lnspireAII</w:t>
      </w:r>
      <w:r>
        <w:rPr>
          <w:color w:val="0A0A0A"/>
          <w:spacing w:val="-12"/>
          <w:w w:val="105"/>
          <w:sz w:val="23"/>
        </w:rPr>
        <w:t> </w:t>
      </w:r>
      <w:r>
        <w:rPr>
          <w:color w:val="0A0A0A"/>
          <w:w w:val="105"/>
          <w:sz w:val="23"/>
        </w:rPr>
        <w:t>was</w:t>
      </w:r>
      <w:r>
        <w:rPr>
          <w:color w:val="0A0A0A"/>
          <w:spacing w:val="-13"/>
          <w:w w:val="105"/>
          <w:sz w:val="23"/>
        </w:rPr>
        <w:t> </w:t>
      </w:r>
      <w:r>
        <w:rPr>
          <w:color w:val="0A0A0A"/>
          <w:w w:val="105"/>
          <w:sz w:val="23"/>
        </w:rPr>
        <w:t>not</w:t>
      </w:r>
      <w:r>
        <w:rPr>
          <w:color w:val="0A0A0A"/>
          <w:spacing w:val="-10"/>
          <w:w w:val="105"/>
          <w:sz w:val="23"/>
        </w:rPr>
        <w:t> </w:t>
      </w:r>
      <w:r>
        <w:rPr>
          <w:color w:val="0A0A0A"/>
          <w:w w:val="105"/>
          <w:sz w:val="23"/>
        </w:rPr>
        <w:t>able</w:t>
      </w:r>
      <w:r>
        <w:rPr>
          <w:color w:val="0A0A0A"/>
          <w:spacing w:val="-16"/>
          <w:w w:val="105"/>
          <w:sz w:val="23"/>
        </w:rPr>
        <w:t> </w:t>
      </w:r>
      <w:r>
        <w:rPr>
          <w:color w:val="0A0A0A"/>
          <w:w w:val="105"/>
          <w:sz w:val="23"/>
        </w:rPr>
        <w:t>to</w:t>
      </w:r>
      <w:r>
        <w:rPr>
          <w:color w:val="0A0A0A"/>
          <w:spacing w:val="-17"/>
          <w:w w:val="105"/>
          <w:sz w:val="23"/>
        </w:rPr>
        <w:t> </w:t>
      </w:r>
      <w:r>
        <w:rPr>
          <w:color w:val="0A0A0A"/>
          <w:w w:val="105"/>
          <w:sz w:val="23"/>
        </w:rPr>
        <w:t>open</w:t>
      </w:r>
      <w:r>
        <w:rPr>
          <w:color w:val="0A0A0A"/>
          <w:spacing w:val="-12"/>
          <w:w w:val="105"/>
          <w:sz w:val="23"/>
        </w:rPr>
        <w:t> </w:t>
      </w:r>
      <w:r>
        <w:rPr>
          <w:color w:val="0A0A0A"/>
          <w:w w:val="105"/>
          <w:sz w:val="23"/>
        </w:rPr>
        <w:t>its leisure</w:t>
      </w:r>
      <w:r>
        <w:rPr>
          <w:color w:val="0A0A0A"/>
          <w:spacing w:val="-17"/>
          <w:w w:val="105"/>
          <w:sz w:val="23"/>
        </w:rPr>
        <w:t> </w:t>
      </w:r>
      <w:r>
        <w:rPr>
          <w:color w:val="0A0A0A"/>
          <w:w w:val="105"/>
          <w:sz w:val="23"/>
        </w:rPr>
        <w:t>and</w:t>
      </w:r>
      <w:r>
        <w:rPr>
          <w:color w:val="0A0A0A"/>
          <w:spacing w:val="-17"/>
          <w:w w:val="105"/>
          <w:sz w:val="23"/>
        </w:rPr>
        <w:t> </w:t>
      </w:r>
      <w:r>
        <w:rPr>
          <w:color w:val="0A0A0A"/>
          <w:w w:val="105"/>
          <w:sz w:val="23"/>
        </w:rPr>
        <w:t>community</w:t>
      </w:r>
      <w:r>
        <w:rPr>
          <w:color w:val="0A0A0A"/>
          <w:spacing w:val="-17"/>
          <w:w w:val="105"/>
          <w:sz w:val="23"/>
        </w:rPr>
        <w:t> </w:t>
      </w:r>
      <w:r>
        <w:rPr>
          <w:color w:val="0A0A0A"/>
          <w:w w:val="105"/>
          <w:sz w:val="23"/>
        </w:rPr>
        <w:t>centres</w:t>
      </w:r>
      <w:r>
        <w:rPr>
          <w:color w:val="0A0A0A"/>
          <w:spacing w:val="-6"/>
          <w:w w:val="105"/>
          <w:sz w:val="23"/>
        </w:rPr>
        <w:t> </w:t>
      </w:r>
      <w:r>
        <w:rPr>
          <w:color w:val="0A0A0A"/>
          <w:w w:val="105"/>
          <w:sz w:val="23"/>
        </w:rPr>
        <w:t>over</w:t>
      </w:r>
      <w:r>
        <w:rPr>
          <w:color w:val="0A0A0A"/>
          <w:spacing w:val="-17"/>
          <w:w w:val="105"/>
          <w:sz w:val="23"/>
        </w:rPr>
        <w:t> </w:t>
      </w:r>
      <w:r>
        <w:rPr>
          <w:color w:val="0A0A0A"/>
          <w:w w:val="105"/>
          <w:sz w:val="23"/>
        </w:rPr>
        <w:t>long</w:t>
      </w:r>
      <w:r>
        <w:rPr>
          <w:color w:val="0A0A0A"/>
          <w:spacing w:val="-17"/>
          <w:w w:val="105"/>
          <w:sz w:val="23"/>
        </w:rPr>
        <w:t> </w:t>
      </w:r>
      <w:r>
        <w:rPr>
          <w:color w:val="0A0A0A"/>
          <w:w w:val="105"/>
          <w:sz w:val="23"/>
        </w:rPr>
        <w:t>periods</w:t>
      </w:r>
      <w:r>
        <w:rPr>
          <w:color w:val="0A0A0A"/>
          <w:spacing w:val="-14"/>
          <w:w w:val="105"/>
          <w:sz w:val="23"/>
        </w:rPr>
        <w:t> </w:t>
      </w:r>
      <w:r>
        <w:rPr>
          <w:color w:val="0A0A0A"/>
          <w:w w:val="105"/>
          <w:sz w:val="23"/>
        </w:rPr>
        <w:t>during</w:t>
      </w:r>
      <w:r>
        <w:rPr>
          <w:color w:val="0A0A0A"/>
          <w:spacing w:val="-16"/>
          <w:w w:val="105"/>
          <w:sz w:val="23"/>
        </w:rPr>
        <w:t> </w:t>
      </w:r>
      <w:r>
        <w:rPr>
          <w:color w:val="0A0A0A"/>
          <w:w w:val="105"/>
          <w:sz w:val="23"/>
        </w:rPr>
        <w:t>2020/21</w:t>
      </w:r>
      <w:r>
        <w:rPr>
          <w:color w:val="0A0A0A"/>
          <w:spacing w:val="-12"/>
          <w:w w:val="105"/>
          <w:sz w:val="23"/>
        </w:rPr>
        <w:t> </w:t>
      </w:r>
      <w:r>
        <w:rPr>
          <w:color w:val="0A0A0A"/>
          <w:w w:val="105"/>
          <w:sz w:val="23"/>
        </w:rPr>
        <w:t>and</w:t>
      </w:r>
      <w:r>
        <w:rPr>
          <w:color w:val="0A0A0A"/>
          <w:spacing w:val="-17"/>
          <w:w w:val="105"/>
          <w:sz w:val="23"/>
        </w:rPr>
        <w:t> </w:t>
      </w:r>
      <w:r>
        <w:rPr>
          <w:color w:val="0A0A0A"/>
          <w:w w:val="105"/>
          <w:sz w:val="23"/>
        </w:rPr>
        <w:t>has</w:t>
      </w:r>
      <w:r>
        <w:rPr>
          <w:color w:val="0A0A0A"/>
          <w:spacing w:val="-17"/>
          <w:w w:val="105"/>
          <w:sz w:val="23"/>
        </w:rPr>
        <w:t> </w:t>
      </w:r>
      <w:r>
        <w:rPr>
          <w:color w:val="0A0A0A"/>
          <w:w w:val="105"/>
          <w:sz w:val="23"/>
        </w:rPr>
        <w:t>experienced significant</w:t>
      </w:r>
      <w:r>
        <w:rPr>
          <w:color w:val="0A0A0A"/>
          <w:spacing w:val="-4"/>
          <w:w w:val="105"/>
          <w:sz w:val="23"/>
        </w:rPr>
        <w:t> </w:t>
      </w:r>
      <w:r>
        <w:rPr>
          <w:color w:val="0A0A0A"/>
          <w:w w:val="105"/>
          <w:sz w:val="23"/>
        </w:rPr>
        <w:t>financial</w:t>
      </w:r>
      <w:r>
        <w:rPr>
          <w:color w:val="0A0A0A"/>
          <w:spacing w:val="-11"/>
          <w:w w:val="105"/>
          <w:sz w:val="23"/>
        </w:rPr>
        <w:t> </w:t>
      </w:r>
      <w:r>
        <w:rPr>
          <w:color w:val="0A0A0A"/>
          <w:w w:val="105"/>
          <w:sz w:val="23"/>
        </w:rPr>
        <w:t>losses</w:t>
      </w:r>
      <w:r>
        <w:rPr>
          <w:color w:val="0A0A0A"/>
          <w:spacing w:val="-7"/>
          <w:w w:val="105"/>
          <w:sz w:val="23"/>
        </w:rPr>
        <w:t> </w:t>
      </w:r>
      <w:r>
        <w:rPr>
          <w:color w:val="0A0A0A"/>
          <w:w w:val="105"/>
          <w:sz w:val="23"/>
        </w:rPr>
        <w:t>as</w:t>
      </w:r>
      <w:r>
        <w:rPr>
          <w:color w:val="0A0A0A"/>
          <w:spacing w:val="-11"/>
          <w:w w:val="105"/>
          <w:sz w:val="23"/>
        </w:rPr>
        <w:t> </w:t>
      </w:r>
      <w:r>
        <w:rPr>
          <w:color w:val="0A0A0A"/>
          <w:w w:val="105"/>
          <w:sz w:val="23"/>
        </w:rPr>
        <w:t>a</w:t>
      </w:r>
      <w:r>
        <w:rPr>
          <w:color w:val="0A0A0A"/>
          <w:spacing w:val="-17"/>
          <w:w w:val="105"/>
          <w:sz w:val="23"/>
        </w:rPr>
        <w:t> </w:t>
      </w:r>
      <w:r>
        <w:rPr>
          <w:color w:val="0A0A0A"/>
          <w:w w:val="105"/>
          <w:sz w:val="23"/>
        </w:rPr>
        <w:t>result.</w:t>
      </w:r>
      <w:r>
        <w:rPr>
          <w:color w:val="0A0A0A"/>
          <w:spacing w:val="-9"/>
          <w:w w:val="105"/>
          <w:sz w:val="23"/>
        </w:rPr>
        <w:t> </w:t>
      </w:r>
      <w:r>
        <w:rPr>
          <w:color w:val="0A0A0A"/>
          <w:w w:val="105"/>
          <w:sz w:val="23"/>
        </w:rPr>
        <w:t>The</w:t>
      </w:r>
      <w:r>
        <w:rPr>
          <w:color w:val="0A0A0A"/>
          <w:spacing w:val="-13"/>
          <w:w w:val="105"/>
          <w:sz w:val="23"/>
        </w:rPr>
        <w:t> </w:t>
      </w:r>
      <w:r>
        <w:rPr>
          <w:color w:val="0A0A0A"/>
          <w:w w:val="105"/>
          <w:sz w:val="23"/>
        </w:rPr>
        <w:t>Council</w:t>
      </w:r>
      <w:r>
        <w:rPr>
          <w:color w:val="0A0A0A"/>
          <w:spacing w:val="-12"/>
          <w:w w:val="105"/>
          <w:sz w:val="23"/>
        </w:rPr>
        <w:t> </w:t>
      </w:r>
      <w:r>
        <w:rPr>
          <w:color w:val="0A0A0A"/>
          <w:w w:val="105"/>
          <w:sz w:val="23"/>
        </w:rPr>
        <w:t>have</w:t>
      </w:r>
      <w:r>
        <w:rPr>
          <w:color w:val="0A0A0A"/>
          <w:spacing w:val="-9"/>
          <w:w w:val="105"/>
          <w:sz w:val="23"/>
        </w:rPr>
        <w:t> </w:t>
      </w:r>
      <w:r>
        <w:rPr>
          <w:color w:val="0A0A0A"/>
          <w:w w:val="105"/>
          <w:sz w:val="23"/>
        </w:rPr>
        <w:t>worked</w:t>
      </w:r>
      <w:r>
        <w:rPr>
          <w:color w:val="0A0A0A"/>
          <w:spacing w:val="-4"/>
          <w:w w:val="105"/>
          <w:sz w:val="23"/>
        </w:rPr>
        <w:t> </w:t>
      </w:r>
      <w:r>
        <w:rPr>
          <w:color w:val="0A0A0A"/>
          <w:w w:val="105"/>
          <w:sz w:val="23"/>
        </w:rPr>
        <w:t>closely</w:t>
      </w:r>
      <w:r>
        <w:rPr>
          <w:color w:val="0A0A0A"/>
          <w:spacing w:val="-1"/>
          <w:w w:val="105"/>
          <w:sz w:val="23"/>
        </w:rPr>
        <w:t> </w:t>
      </w:r>
      <w:r>
        <w:rPr>
          <w:color w:val="0A0A0A"/>
          <w:w w:val="105"/>
          <w:sz w:val="23"/>
        </w:rPr>
        <w:t>with</w:t>
      </w:r>
      <w:r>
        <w:rPr>
          <w:color w:val="0A0A0A"/>
          <w:spacing w:val="-15"/>
          <w:w w:val="105"/>
          <w:sz w:val="23"/>
        </w:rPr>
        <w:t> </w:t>
      </w:r>
      <w:r>
        <w:rPr>
          <w:color w:val="0A0A0A"/>
          <w:w w:val="105"/>
          <w:sz w:val="23"/>
        </w:rPr>
        <w:t>the</w:t>
      </w:r>
      <w:r>
        <w:rPr>
          <w:color w:val="0A0A0A"/>
          <w:spacing w:val="-13"/>
          <w:w w:val="105"/>
          <w:sz w:val="23"/>
        </w:rPr>
        <w:t> </w:t>
      </w:r>
      <w:r>
        <w:rPr>
          <w:color w:val="0A0A0A"/>
          <w:w w:val="105"/>
          <w:sz w:val="23"/>
        </w:rPr>
        <w:t>Trust throughout the</w:t>
      </w:r>
      <w:r>
        <w:rPr>
          <w:color w:val="0A0A0A"/>
          <w:spacing w:val="-16"/>
          <w:w w:val="105"/>
          <w:sz w:val="23"/>
        </w:rPr>
        <w:t> </w:t>
      </w:r>
      <w:r>
        <w:rPr>
          <w:color w:val="0A0A0A"/>
          <w:w w:val="105"/>
          <w:sz w:val="23"/>
        </w:rPr>
        <w:t>year</w:t>
      </w:r>
      <w:r>
        <w:rPr>
          <w:color w:val="0A0A0A"/>
          <w:spacing w:val="-5"/>
          <w:w w:val="105"/>
          <w:sz w:val="23"/>
        </w:rPr>
        <w:t> </w:t>
      </w:r>
      <w:r>
        <w:rPr>
          <w:color w:val="0A0A0A"/>
          <w:w w:val="105"/>
          <w:sz w:val="23"/>
        </w:rPr>
        <w:t>and</w:t>
      </w:r>
      <w:r>
        <w:rPr>
          <w:color w:val="0A0A0A"/>
          <w:spacing w:val="-15"/>
          <w:w w:val="105"/>
          <w:sz w:val="23"/>
        </w:rPr>
        <w:t> </w:t>
      </w:r>
      <w:r>
        <w:rPr>
          <w:color w:val="0A0A0A"/>
          <w:w w:val="105"/>
          <w:sz w:val="23"/>
        </w:rPr>
        <w:t>have</w:t>
      </w:r>
      <w:r>
        <w:rPr>
          <w:color w:val="0A0A0A"/>
          <w:spacing w:val="-10"/>
          <w:w w:val="105"/>
          <w:sz w:val="23"/>
        </w:rPr>
        <w:t> </w:t>
      </w:r>
      <w:r>
        <w:rPr>
          <w:color w:val="0A0A0A"/>
          <w:w w:val="105"/>
          <w:sz w:val="23"/>
        </w:rPr>
        <w:t>agreed</w:t>
      </w:r>
      <w:r>
        <w:rPr>
          <w:color w:val="0A0A0A"/>
          <w:spacing w:val="-8"/>
          <w:w w:val="105"/>
          <w:sz w:val="23"/>
        </w:rPr>
        <w:t> </w:t>
      </w:r>
      <w:r>
        <w:rPr>
          <w:color w:val="0A0A0A"/>
          <w:w w:val="105"/>
          <w:sz w:val="23"/>
        </w:rPr>
        <w:t>various</w:t>
      </w:r>
      <w:r>
        <w:rPr>
          <w:color w:val="0A0A0A"/>
          <w:spacing w:val="-7"/>
          <w:w w:val="105"/>
          <w:sz w:val="23"/>
        </w:rPr>
        <w:t> </w:t>
      </w:r>
      <w:r>
        <w:rPr>
          <w:color w:val="0A0A0A"/>
          <w:w w:val="105"/>
          <w:sz w:val="23"/>
        </w:rPr>
        <w:t>measure</w:t>
      </w:r>
      <w:r>
        <w:rPr>
          <w:color w:val="0A0A0A"/>
          <w:spacing w:val="-2"/>
          <w:w w:val="105"/>
          <w:sz w:val="23"/>
        </w:rPr>
        <w:t> </w:t>
      </w:r>
      <w:r>
        <w:rPr>
          <w:color w:val="0A0A0A"/>
          <w:w w:val="105"/>
          <w:sz w:val="23"/>
        </w:rPr>
        <w:t>of</w:t>
      </w:r>
      <w:r>
        <w:rPr>
          <w:color w:val="0A0A0A"/>
          <w:spacing w:val="-11"/>
          <w:w w:val="105"/>
          <w:sz w:val="23"/>
        </w:rPr>
        <w:t> </w:t>
      </w:r>
      <w:r>
        <w:rPr>
          <w:color w:val="0A0A0A"/>
          <w:w w:val="105"/>
          <w:sz w:val="23"/>
        </w:rPr>
        <w:t>support</w:t>
      </w:r>
      <w:r>
        <w:rPr>
          <w:color w:val="0A0A0A"/>
          <w:spacing w:val="-3"/>
          <w:w w:val="105"/>
          <w:sz w:val="23"/>
        </w:rPr>
        <w:t> </w:t>
      </w:r>
      <w:r>
        <w:rPr>
          <w:color w:val="0A0A0A"/>
          <w:w w:val="105"/>
          <w:sz w:val="23"/>
        </w:rPr>
        <w:t>to</w:t>
      </w:r>
      <w:r>
        <w:rPr>
          <w:color w:val="0A0A0A"/>
          <w:spacing w:val="-16"/>
          <w:w w:val="105"/>
          <w:sz w:val="23"/>
        </w:rPr>
        <w:t> </w:t>
      </w:r>
      <w:r>
        <w:rPr>
          <w:color w:val="0A0A0A"/>
          <w:w w:val="105"/>
          <w:sz w:val="23"/>
        </w:rPr>
        <w:t>enable lnspireAII to</w:t>
      </w:r>
      <w:r>
        <w:rPr>
          <w:color w:val="0A0A0A"/>
          <w:spacing w:val="-17"/>
          <w:w w:val="105"/>
          <w:sz w:val="23"/>
        </w:rPr>
        <w:t> </w:t>
      </w:r>
      <w:r>
        <w:rPr>
          <w:color w:val="0A0A0A"/>
          <w:w w:val="105"/>
          <w:sz w:val="23"/>
        </w:rPr>
        <w:t>recover</w:t>
      </w:r>
      <w:r>
        <w:rPr>
          <w:color w:val="0A0A0A"/>
          <w:spacing w:val="-17"/>
          <w:w w:val="105"/>
          <w:sz w:val="23"/>
        </w:rPr>
        <w:t> </w:t>
      </w:r>
      <w:r>
        <w:rPr>
          <w:color w:val="0A0A0A"/>
          <w:w w:val="105"/>
          <w:sz w:val="23"/>
        </w:rPr>
        <w:t>from</w:t>
      </w:r>
      <w:r>
        <w:rPr>
          <w:color w:val="0A0A0A"/>
          <w:spacing w:val="-17"/>
          <w:w w:val="105"/>
          <w:sz w:val="23"/>
        </w:rPr>
        <w:t> </w:t>
      </w:r>
      <w:r>
        <w:rPr>
          <w:color w:val="0A0A0A"/>
          <w:w w:val="105"/>
          <w:sz w:val="23"/>
        </w:rPr>
        <w:t>the</w:t>
      </w:r>
      <w:r>
        <w:rPr>
          <w:color w:val="0A0A0A"/>
          <w:spacing w:val="-17"/>
          <w:w w:val="105"/>
          <w:sz w:val="23"/>
        </w:rPr>
        <w:t> </w:t>
      </w:r>
      <w:r>
        <w:rPr>
          <w:color w:val="0A0A0A"/>
          <w:w w:val="105"/>
          <w:sz w:val="23"/>
        </w:rPr>
        <w:t>pandemic.</w:t>
      </w:r>
      <w:r>
        <w:rPr>
          <w:color w:val="0A0A0A"/>
          <w:spacing w:val="-16"/>
          <w:w w:val="105"/>
          <w:sz w:val="23"/>
        </w:rPr>
        <w:t> </w:t>
      </w:r>
      <w:r>
        <w:rPr>
          <w:color w:val="0A0A0A"/>
          <w:w w:val="105"/>
          <w:sz w:val="23"/>
        </w:rPr>
        <w:t>These</w:t>
      </w:r>
      <w:r>
        <w:rPr>
          <w:color w:val="0A0A0A"/>
          <w:spacing w:val="-17"/>
          <w:w w:val="105"/>
          <w:sz w:val="23"/>
        </w:rPr>
        <w:t> </w:t>
      </w:r>
      <w:r>
        <w:rPr>
          <w:color w:val="0A0A0A"/>
          <w:w w:val="105"/>
          <w:sz w:val="23"/>
        </w:rPr>
        <w:t>measures</w:t>
      </w:r>
      <w:r>
        <w:rPr>
          <w:color w:val="0A0A0A"/>
          <w:spacing w:val="-17"/>
          <w:w w:val="105"/>
          <w:sz w:val="23"/>
        </w:rPr>
        <w:t> </w:t>
      </w:r>
      <w:r>
        <w:rPr>
          <w:color w:val="0A0A0A"/>
          <w:w w:val="105"/>
          <w:sz w:val="23"/>
        </w:rPr>
        <w:t>have</w:t>
      </w:r>
      <w:r>
        <w:rPr>
          <w:color w:val="0A0A0A"/>
          <w:spacing w:val="-17"/>
          <w:w w:val="105"/>
          <w:sz w:val="23"/>
        </w:rPr>
        <w:t> </w:t>
      </w:r>
      <w:r>
        <w:rPr>
          <w:color w:val="0A0A0A"/>
          <w:w w:val="105"/>
          <w:sz w:val="23"/>
        </w:rPr>
        <w:t>included</w:t>
      </w:r>
      <w:r>
        <w:rPr>
          <w:color w:val="0A0A0A"/>
          <w:spacing w:val="-16"/>
          <w:w w:val="105"/>
          <w:sz w:val="23"/>
        </w:rPr>
        <w:t> </w:t>
      </w:r>
      <w:r>
        <w:rPr>
          <w:color w:val="0A0A0A"/>
          <w:w w:val="105"/>
          <w:sz w:val="23"/>
        </w:rPr>
        <w:t>extending</w:t>
      </w:r>
      <w:r>
        <w:rPr>
          <w:color w:val="0A0A0A"/>
          <w:spacing w:val="-17"/>
          <w:w w:val="105"/>
          <w:sz w:val="23"/>
        </w:rPr>
        <w:t> </w:t>
      </w:r>
      <w:r>
        <w:rPr>
          <w:color w:val="0A0A0A"/>
          <w:w w:val="105"/>
          <w:sz w:val="23"/>
        </w:rPr>
        <w:t>their</w:t>
      </w:r>
      <w:r>
        <w:rPr>
          <w:color w:val="0A0A0A"/>
          <w:spacing w:val="-17"/>
          <w:w w:val="105"/>
          <w:sz w:val="23"/>
        </w:rPr>
        <w:t> </w:t>
      </w:r>
      <w:r>
        <w:rPr>
          <w:color w:val="0A0A0A"/>
          <w:w w:val="105"/>
          <w:sz w:val="23"/>
        </w:rPr>
        <w:t>contract </w:t>
      </w:r>
      <w:r>
        <w:rPr>
          <w:color w:val="1A1A1A"/>
          <w:w w:val="105"/>
          <w:sz w:val="23"/>
        </w:rPr>
        <w:t>by</w:t>
      </w:r>
      <w:r>
        <w:rPr>
          <w:color w:val="1A1A1A"/>
          <w:spacing w:val="-17"/>
          <w:w w:val="105"/>
          <w:sz w:val="23"/>
        </w:rPr>
        <w:t> </w:t>
      </w:r>
      <w:r>
        <w:rPr>
          <w:color w:val="1A1A1A"/>
          <w:w w:val="105"/>
          <w:sz w:val="23"/>
        </w:rPr>
        <w:t>five</w:t>
      </w:r>
      <w:r>
        <w:rPr>
          <w:color w:val="1A1A1A"/>
          <w:spacing w:val="-17"/>
          <w:w w:val="105"/>
          <w:sz w:val="23"/>
        </w:rPr>
        <w:t> </w:t>
      </w:r>
      <w:r>
        <w:rPr>
          <w:color w:val="1A1A1A"/>
          <w:w w:val="105"/>
          <w:sz w:val="23"/>
        </w:rPr>
        <w:t>years</w:t>
      </w:r>
      <w:r>
        <w:rPr>
          <w:color w:val="1A1A1A"/>
          <w:spacing w:val="-17"/>
          <w:w w:val="105"/>
          <w:sz w:val="23"/>
        </w:rPr>
        <w:t> </w:t>
      </w:r>
      <w:r>
        <w:rPr>
          <w:color w:val="1A1A1A"/>
          <w:w w:val="105"/>
          <w:sz w:val="23"/>
        </w:rPr>
        <w:t>to</w:t>
      </w:r>
      <w:r>
        <w:rPr>
          <w:color w:val="1A1A1A"/>
          <w:spacing w:val="-17"/>
          <w:w w:val="105"/>
          <w:sz w:val="23"/>
        </w:rPr>
        <w:t> </w:t>
      </w:r>
      <w:r>
        <w:rPr>
          <w:color w:val="1A1A1A"/>
          <w:w w:val="105"/>
          <w:sz w:val="23"/>
        </w:rPr>
        <w:t>2032,</w:t>
      </w:r>
      <w:r>
        <w:rPr>
          <w:color w:val="1A1A1A"/>
          <w:spacing w:val="-16"/>
          <w:w w:val="105"/>
          <w:sz w:val="23"/>
        </w:rPr>
        <w:t> </w:t>
      </w:r>
      <w:r>
        <w:rPr>
          <w:color w:val="1A1A1A"/>
          <w:w w:val="105"/>
          <w:sz w:val="23"/>
        </w:rPr>
        <w:t>waiving</w:t>
      </w:r>
      <w:r>
        <w:rPr>
          <w:color w:val="1A1A1A"/>
          <w:spacing w:val="-12"/>
          <w:w w:val="105"/>
          <w:sz w:val="23"/>
        </w:rPr>
        <w:t> </w:t>
      </w:r>
      <w:r>
        <w:rPr>
          <w:color w:val="0A0A0A"/>
          <w:w w:val="105"/>
          <w:sz w:val="23"/>
        </w:rPr>
        <w:t>the</w:t>
      </w:r>
      <w:r>
        <w:rPr>
          <w:color w:val="0A0A0A"/>
          <w:spacing w:val="-17"/>
          <w:w w:val="105"/>
          <w:sz w:val="23"/>
        </w:rPr>
        <w:t> </w:t>
      </w:r>
      <w:r>
        <w:rPr>
          <w:color w:val="1A1A1A"/>
          <w:w w:val="105"/>
          <w:sz w:val="23"/>
        </w:rPr>
        <w:t>2020/21</w:t>
      </w:r>
      <w:r>
        <w:rPr>
          <w:color w:val="1A1A1A"/>
          <w:spacing w:val="-17"/>
          <w:w w:val="105"/>
          <w:sz w:val="23"/>
        </w:rPr>
        <w:t> </w:t>
      </w:r>
      <w:r>
        <w:rPr>
          <w:color w:val="1A1A1A"/>
          <w:w w:val="105"/>
          <w:sz w:val="23"/>
        </w:rPr>
        <w:t>management</w:t>
      </w:r>
      <w:r>
        <w:rPr>
          <w:color w:val="1A1A1A"/>
          <w:spacing w:val="-1"/>
          <w:w w:val="105"/>
          <w:sz w:val="23"/>
        </w:rPr>
        <w:t> </w:t>
      </w:r>
      <w:r>
        <w:rPr>
          <w:color w:val="1A1A1A"/>
          <w:w w:val="105"/>
          <w:sz w:val="23"/>
        </w:rPr>
        <w:t>fee</w:t>
      </w:r>
      <w:r>
        <w:rPr>
          <w:color w:val="1A1A1A"/>
          <w:spacing w:val="-17"/>
          <w:w w:val="105"/>
          <w:sz w:val="23"/>
        </w:rPr>
        <w:t> </w:t>
      </w:r>
      <w:r>
        <w:rPr>
          <w:color w:val="1A1A1A"/>
          <w:w w:val="105"/>
          <w:sz w:val="23"/>
        </w:rPr>
        <w:t>and</w:t>
      </w:r>
      <w:r>
        <w:rPr>
          <w:color w:val="1A1A1A"/>
          <w:spacing w:val="-16"/>
          <w:w w:val="105"/>
          <w:sz w:val="23"/>
        </w:rPr>
        <w:t> </w:t>
      </w:r>
      <w:r>
        <w:rPr>
          <w:color w:val="0A0A0A"/>
          <w:w w:val="105"/>
          <w:sz w:val="23"/>
        </w:rPr>
        <w:t>initially</w:t>
      </w:r>
      <w:r>
        <w:rPr>
          <w:color w:val="0A0A0A"/>
          <w:spacing w:val="-8"/>
          <w:w w:val="105"/>
          <w:sz w:val="23"/>
        </w:rPr>
        <w:t> </w:t>
      </w:r>
      <w:r>
        <w:rPr>
          <w:color w:val="1A1A1A"/>
          <w:w w:val="105"/>
          <w:sz w:val="23"/>
        </w:rPr>
        <w:t>deferring</w:t>
      </w:r>
      <w:r>
        <w:rPr>
          <w:color w:val="1A1A1A"/>
          <w:spacing w:val="-6"/>
          <w:w w:val="105"/>
          <w:sz w:val="23"/>
        </w:rPr>
        <w:t> </w:t>
      </w:r>
      <w:r>
        <w:rPr>
          <w:color w:val="0A0A0A"/>
          <w:w w:val="105"/>
          <w:sz w:val="23"/>
        </w:rPr>
        <w:t>loan </w:t>
      </w:r>
      <w:r>
        <w:rPr>
          <w:color w:val="1A1A1A"/>
          <w:w w:val="105"/>
          <w:sz w:val="23"/>
        </w:rPr>
        <w:t>repayments</w:t>
      </w:r>
      <w:r>
        <w:rPr>
          <w:color w:val="1A1A1A"/>
          <w:w w:val="105"/>
          <w:sz w:val="23"/>
        </w:rPr>
        <w:t> (principal</w:t>
      </w:r>
      <w:r>
        <w:rPr>
          <w:color w:val="1A1A1A"/>
          <w:w w:val="105"/>
          <w:sz w:val="23"/>
        </w:rPr>
        <w:t> and</w:t>
      </w:r>
      <w:r>
        <w:rPr>
          <w:color w:val="1A1A1A"/>
          <w:w w:val="105"/>
          <w:sz w:val="23"/>
        </w:rPr>
        <w:t> interest).</w:t>
      </w:r>
      <w:r>
        <w:rPr>
          <w:color w:val="1A1A1A"/>
          <w:w w:val="105"/>
          <w:sz w:val="23"/>
        </w:rPr>
        <w:t> The</w:t>
      </w:r>
      <w:r>
        <w:rPr>
          <w:color w:val="1A1A1A"/>
          <w:w w:val="105"/>
          <w:sz w:val="23"/>
        </w:rPr>
        <w:t> </w:t>
      </w:r>
      <w:r>
        <w:rPr>
          <w:color w:val="0A0A0A"/>
          <w:w w:val="105"/>
          <w:sz w:val="23"/>
        </w:rPr>
        <w:t>loan</w:t>
      </w:r>
      <w:r>
        <w:rPr>
          <w:color w:val="0A0A0A"/>
          <w:w w:val="105"/>
          <w:sz w:val="23"/>
        </w:rPr>
        <w:t> agreement</w:t>
      </w:r>
      <w:r>
        <w:rPr>
          <w:color w:val="0A0A0A"/>
          <w:w w:val="105"/>
          <w:sz w:val="23"/>
        </w:rPr>
        <w:t> was</w:t>
      </w:r>
      <w:r>
        <w:rPr>
          <w:color w:val="0A0A0A"/>
          <w:w w:val="105"/>
          <w:sz w:val="23"/>
        </w:rPr>
        <w:t> </w:t>
      </w:r>
      <w:r>
        <w:rPr>
          <w:color w:val="1A1A1A"/>
          <w:w w:val="105"/>
          <w:sz w:val="23"/>
        </w:rPr>
        <w:t>subsequently </w:t>
      </w:r>
      <w:r>
        <w:rPr>
          <w:color w:val="0A0A0A"/>
          <w:w w:val="105"/>
          <w:sz w:val="23"/>
        </w:rPr>
        <w:t>renegotiated</w:t>
      </w:r>
      <w:r>
        <w:rPr>
          <w:color w:val="0A0A0A"/>
          <w:w w:val="105"/>
          <w:sz w:val="23"/>
        </w:rPr>
        <w:t> </w:t>
      </w:r>
      <w:r>
        <w:rPr>
          <w:color w:val="1A1A1A"/>
          <w:w w:val="105"/>
          <w:sz w:val="23"/>
        </w:rPr>
        <w:t>and</w:t>
      </w:r>
      <w:r>
        <w:rPr>
          <w:color w:val="1A1A1A"/>
          <w:w w:val="105"/>
          <w:sz w:val="23"/>
        </w:rPr>
        <w:t> a two</w:t>
      </w:r>
      <w:r>
        <w:rPr>
          <w:color w:val="1A1A1A"/>
          <w:w w:val="105"/>
          <w:sz w:val="23"/>
        </w:rPr>
        <w:t> year</w:t>
      </w:r>
      <w:r>
        <w:rPr>
          <w:color w:val="1A1A1A"/>
          <w:w w:val="105"/>
          <w:sz w:val="23"/>
        </w:rPr>
        <w:t> </w:t>
      </w:r>
      <w:r>
        <w:rPr>
          <w:color w:val="2F2F2F"/>
          <w:w w:val="105"/>
          <w:sz w:val="23"/>
        </w:rPr>
        <w:t>interest</w:t>
      </w:r>
      <w:r>
        <w:rPr>
          <w:color w:val="2F2F2F"/>
          <w:w w:val="105"/>
          <w:sz w:val="23"/>
        </w:rPr>
        <w:t> </w:t>
      </w:r>
      <w:r>
        <w:rPr>
          <w:color w:val="1A1A1A"/>
          <w:w w:val="105"/>
          <w:sz w:val="23"/>
        </w:rPr>
        <w:t>free </w:t>
      </w:r>
      <w:r>
        <w:rPr>
          <w:color w:val="0A0A0A"/>
          <w:w w:val="105"/>
          <w:sz w:val="23"/>
        </w:rPr>
        <w:t>period</w:t>
      </w:r>
      <w:r>
        <w:rPr>
          <w:color w:val="0A0A0A"/>
          <w:w w:val="105"/>
          <w:sz w:val="23"/>
        </w:rPr>
        <w:t> agreed</w:t>
      </w:r>
      <w:r>
        <w:rPr>
          <w:color w:val="0A0A0A"/>
          <w:w w:val="105"/>
          <w:sz w:val="23"/>
        </w:rPr>
        <w:t> for</w:t>
      </w:r>
      <w:r>
        <w:rPr>
          <w:color w:val="0A0A0A"/>
          <w:w w:val="105"/>
          <w:sz w:val="23"/>
        </w:rPr>
        <w:t> 2021/22</w:t>
      </w:r>
      <w:r>
        <w:rPr>
          <w:color w:val="0A0A0A"/>
          <w:w w:val="105"/>
          <w:sz w:val="23"/>
        </w:rPr>
        <w:t> and</w:t>
      </w:r>
      <w:r>
        <w:rPr>
          <w:color w:val="0A0A0A"/>
          <w:w w:val="105"/>
          <w:sz w:val="23"/>
        </w:rPr>
        <w:t> 2022/23, </w:t>
      </w:r>
      <w:r>
        <w:rPr>
          <w:color w:val="0A0A0A"/>
          <w:spacing w:val="-2"/>
          <w:w w:val="105"/>
          <w:sz w:val="23"/>
        </w:rPr>
        <w:t>providing</w:t>
      </w:r>
      <w:r>
        <w:rPr>
          <w:color w:val="0A0A0A"/>
          <w:spacing w:val="-6"/>
          <w:w w:val="105"/>
          <w:sz w:val="23"/>
        </w:rPr>
        <w:t> </w:t>
      </w:r>
      <w:r>
        <w:rPr>
          <w:color w:val="0A0A0A"/>
          <w:spacing w:val="-2"/>
          <w:w w:val="105"/>
          <w:sz w:val="23"/>
        </w:rPr>
        <w:t>further</w:t>
      </w:r>
      <w:r>
        <w:rPr>
          <w:color w:val="0A0A0A"/>
          <w:spacing w:val="-4"/>
          <w:w w:val="105"/>
          <w:sz w:val="23"/>
        </w:rPr>
        <w:t> </w:t>
      </w:r>
      <w:r>
        <w:rPr>
          <w:color w:val="0A0A0A"/>
          <w:spacing w:val="-2"/>
          <w:w w:val="105"/>
          <w:sz w:val="23"/>
        </w:rPr>
        <w:t>support</w:t>
      </w:r>
      <w:r>
        <w:rPr>
          <w:color w:val="0A0A0A"/>
          <w:spacing w:val="-7"/>
          <w:w w:val="105"/>
          <w:sz w:val="23"/>
        </w:rPr>
        <w:t> </w:t>
      </w:r>
      <w:r>
        <w:rPr>
          <w:color w:val="0A0A0A"/>
          <w:spacing w:val="-2"/>
          <w:w w:val="105"/>
          <w:sz w:val="23"/>
        </w:rPr>
        <w:t>as</w:t>
      </w:r>
      <w:r>
        <w:rPr>
          <w:color w:val="0A0A0A"/>
          <w:spacing w:val="-9"/>
          <w:w w:val="105"/>
          <w:sz w:val="23"/>
        </w:rPr>
        <w:t> </w:t>
      </w:r>
      <w:r>
        <w:rPr>
          <w:color w:val="0A0A0A"/>
          <w:spacing w:val="-2"/>
          <w:w w:val="105"/>
          <w:sz w:val="23"/>
        </w:rPr>
        <w:t>lnspireAII</w:t>
      </w:r>
      <w:r>
        <w:rPr>
          <w:color w:val="0A0A0A"/>
          <w:spacing w:val="-11"/>
          <w:w w:val="105"/>
          <w:sz w:val="23"/>
        </w:rPr>
        <w:t> </w:t>
      </w:r>
      <w:r>
        <w:rPr>
          <w:color w:val="0A0A0A"/>
          <w:spacing w:val="-2"/>
          <w:w w:val="105"/>
          <w:sz w:val="23"/>
        </w:rPr>
        <w:t>recover</w:t>
      </w:r>
      <w:r>
        <w:rPr>
          <w:color w:val="0A0A0A"/>
          <w:spacing w:val="-3"/>
          <w:w w:val="105"/>
          <w:sz w:val="23"/>
        </w:rPr>
        <w:t> </w:t>
      </w:r>
      <w:r>
        <w:rPr>
          <w:color w:val="0A0A0A"/>
          <w:spacing w:val="-2"/>
          <w:w w:val="105"/>
          <w:sz w:val="23"/>
        </w:rPr>
        <w:t>from</w:t>
      </w:r>
      <w:r>
        <w:rPr>
          <w:color w:val="0A0A0A"/>
          <w:spacing w:val="-9"/>
          <w:w w:val="105"/>
          <w:sz w:val="23"/>
        </w:rPr>
        <w:t> </w:t>
      </w:r>
      <w:r>
        <w:rPr>
          <w:color w:val="0A0A0A"/>
          <w:spacing w:val="-2"/>
          <w:w w:val="105"/>
          <w:sz w:val="23"/>
        </w:rPr>
        <w:t>the</w:t>
      </w:r>
      <w:r>
        <w:rPr>
          <w:color w:val="0A0A0A"/>
          <w:spacing w:val="-15"/>
          <w:w w:val="105"/>
          <w:sz w:val="23"/>
        </w:rPr>
        <w:t> </w:t>
      </w:r>
      <w:r>
        <w:rPr>
          <w:color w:val="0A0A0A"/>
          <w:spacing w:val="-2"/>
          <w:w w:val="105"/>
          <w:sz w:val="23"/>
        </w:rPr>
        <w:t>pandemic. The</w:t>
      </w:r>
      <w:r>
        <w:rPr>
          <w:color w:val="0A0A0A"/>
          <w:spacing w:val="-12"/>
          <w:w w:val="105"/>
          <w:sz w:val="23"/>
        </w:rPr>
        <w:t> </w:t>
      </w:r>
      <w:r>
        <w:rPr>
          <w:color w:val="1A1A1A"/>
          <w:spacing w:val="-2"/>
          <w:w w:val="105"/>
          <w:sz w:val="23"/>
        </w:rPr>
        <w:t>interest</w:t>
      </w:r>
      <w:r>
        <w:rPr>
          <w:color w:val="1A1A1A"/>
          <w:spacing w:val="-11"/>
          <w:w w:val="105"/>
          <w:sz w:val="23"/>
        </w:rPr>
        <w:t> </w:t>
      </w:r>
      <w:r>
        <w:rPr>
          <w:color w:val="0A0A0A"/>
          <w:spacing w:val="-2"/>
          <w:w w:val="105"/>
          <w:sz w:val="23"/>
        </w:rPr>
        <w:t>forgone </w:t>
      </w:r>
      <w:r>
        <w:rPr>
          <w:color w:val="0A0A0A"/>
          <w:w w:val="105"/>
          <w:sz w:val="23"/>
        </w:rPr>
        <w:t>will</w:t>
      </w:r>
      <w:r>
        <w:rPr>
          <w:color w:val="0A0A0A"/>
          <w:spacing w:val="-17"/>
          <w:w w:val="105"/>
          <w:sz w:val="23"/>
        </w:rPr>
        <w:t> </w:t>
      </w:r>
      <w:r>
        <w:rPr>
          <w:color w:val="0A0A0A"/>
          <w:w w:val="105"/>
          <w:sz w:val="23"/>
        </w:rPr>
        <w:t>however</w:t>
      </w:r>
      <w:r>
        <w:rPr>
          <w:color w:val="0A0A0A"/>
          <w:spacing w:val="-7"/>
          <w:w w:val="105"/>
          <w:sz w:val="23"/>
        </w:rPr>
        <w:t> </w:t>
      </w:r>
      <w:r>
        <w:rPr>
          <w:color w:val="0A0A0A"/>
          <w:w w:val="105"/>
          <w:sz w:val="23"/>
        </w:rPr>
        <w:t>be</w:t>
      </w:r>
      <w:r>
        <w:rPr>
          <w:color w:val="0A0A0A"/>
          <w:spacing w:val="-14"/>
          <w:w w:val="105"/>
          <w:sz w:val="23"/>
        </w:rPr>
        <w:t> </w:t>
      </w:r>
      <w:r>
        <w:rPr>
          <w:color w:val="0A0A0A"/>
          <w:w w:val="105"/>
          <w:sz w:val="23"/>
        </w:rPr>
        <w:t>recovered</w:t>
      </w:r>
      <w:r>
        <w:rPr>
          <w:color w:val="0A0A0A"/>
          <w:spacing w:val="-4"/>
          <w:w w:val="105"/>
          <w:sz w:val="23"/>
        </w:rPr>
        <w:t> </w:t>
      </w:r>
      <w:r>
        <w:rPr>
          <w:color w:val="0A0A0A"/>
          <w:w w:val="105"/>
          <w:sz w:val="23"/>
        </w:rPr>
        <w:t>through</w:t>
      </w:r>
      <w:r>
        <w:rPr>
          <w:color w:val="0A0A0A"/>
          <w:spacing w:val="-5"/>
          <w:w w:val="105"/>
          <w:sz w:val="23"/>
        </w:rPr>
        <w:t> </w:t>
      </w:r>
      <w:r>
        <w:rPr>
          <w:color w:val="0A0A0A"/>
          <w:w w:val="105"/>
          <w:sz w:val="23"/>
        </w:rPr>
        <w:t>an</w:t>
      </w:r>
      <w:r>
        <w:rPr>
          <w:color w:val="0A0A0A"/>
          <w:spacing w:val="-15"/>
          <w:w w:val="105"/>
          <w:sz w:val="23"/>
        </w:rPr>
        <w:t> </w:t>
      </w:r>
      <w:r>
        <w:rPr>
          <w:color w:val="1A1A1A"/>
          <w:w w:val="105"/>
          <w:sz w:val="23"/>
        </w:rPr>
        <w:t>increased </w:t>
      </w:r>
      <w:r>
        <w:rPr>
          <w:color w:val="0A0A0A"/>
          <w:w w:val="105"/>
          <w:sz w:val="23"/>
        </w:rPr>
        <w:t>interest</w:t>
      </w:r>
      <w:r>
        <w:rPr>
          <w:color w:val="0A0A0A"/>
          <w:spacing w:val="-8"/>
          <w:w w:val="105"/>
          <w:sz w:val="23"/>
        </w:rPr>
        <w:t> </w:t>
      </w:r>
      <w:r>
        <w:rPr>
          <w:color w:val="0A0A0A"/>
          <w:w w:val="105"/>
          <w:sz w:val="23"/>
        </w:rPr>
        <w:t>rate</w:t>
      </w:r>
      <w:r>
        <w:rPr>
          <w:color w:val="0A0A0A"/>
          <w:spacing w:val="-16"/>
          <w:w w:val="105"/>
          <w:sz w:val="23"/>
        </w:rPr>
        <w:t> </w:t>
      </w:r>
      <w:r>
        <w:rPr>
          <w:color w:val="0A0A0A"/>
          <w:w w:val="105"/>
          <w:sz w:val="23"/>
        </w:rPr>
        <w:t>from</w:t>
      </w:r>
      <w:r>
        <w:rPr>
          <w:color w:val="0A0A0A"/>
          <w:spacing w:val="-6"/>
          <w:w w:val="105"/>
          <w:sz w:val="23"/>
        </w:rPr>
        <w:t> </w:t>
      </w:r>
      <w:r>
        <w:rPr>
          <w:color w:val="0A0A0A"/>
          <w:w w:val="105"/>
          <w:sz w:val="23"/>
        </w:rPr>
        <w:t>2023/24. lnspireAII have</w:t>
      </w:r>
      <w:r>
        <w:rPr>
          <w:color w:val="0A0A0A"/>
          <w:spacing w:val="-17"/>
          <w:w w:val="105"/>
          <w:sz w:val="23"/>
        </w:rPr>
        <w:t> </w:t>
      </w:r>
      <w:r>
        <w:rPr>
          <w:color w:val="0A0A0A"/>
          <w:w w:val="105"/>
          <w:sz w:val="23"/>
        </w:rPr>
        <w:t>also</w:t>
      </w:r>
      <w:r>
        <w:rPr>
          <w:color w:val="0A0A0A"/>
          <w:spacing w:val="-17"/>
          <w:w w:val="105"/>
          <w:sz w:val="23"/>
        </w:rPr>
        <w:t> </w:t>
      </w:r>
      <w:r>
        <w:rPr>
          <w:color w:val="0A0A0A"/>
          <w:w w:val="105"/>
          <w:sz w:val="23"/>
        </w:rPr>
        <w:t>received</w:t>
      </w:r>
      <w:r>
        <w:rPr>
          <w:color w:val="0A0A0A"/>
          <w:spacing w:val="-17"/>
          <w:w w:val="105"/>
          <w:sz w:val="23"/>
        </w:rPr>
        <w:t> </w:t>
      </w:r>
      <w:r>
        <w:rPr>
          <w:color w:val="0A0A0A"/>
          <w:w w:val="105"/>
          <w:sz w:val="23"/>
        </w:rPr>
        <w:t>government</w:t>
      </w:r>
      <w:r>
        <w:rPr>
          <w:color w:val="0A0A0A"/>
          <w:spacing w:val="-17"/>
          <w:w w:val="105"/>
          <w:sz w:val="23"/>
        </w:rPr>
        <w:t> </w:t>
      </w:r>
      <w:r>
        <w:rPr>
          <w:color w:val="0A0A0A"/>
          <w:w w:val="105"/>
          <w:sz w:val="23"/>
        </w:rPr>
        <w:t>grant</w:t>
      </w:r>
      <w:r>
        <w:rPr>
          <w:color w:val="0A0A0A"/>
          <w:spacing w:val="-16"/>
          <w:w w:val="105"/>
          <w:sz w:val="23"/>
        </w:rPr>
        <w:t> </w:t>
      </w:r>
      <w:r>
        <w:rPr>
          <w:color w:val="0A0A0A"/>
          <w:w w:val="105"/>
          <w:sz w:val="23"/>
        </w:rPr>
        <w:t>funding</w:t>
      </w:r>
      <w:r>
        <w:rPr>
          <w:color w:val="0A0A0A"/>
          <w:spacing w:val="-17"/>
          <w:w w:val="105"/>
          <w:sz w:val="23"/>
        </w:rPr>
        <w:t> </w:t>
      </w:r>
      <w:r>
        <w:rPr>
          <w:color w:val="0A0A0A"/>
          <w:w w:val="105"/>
          <w:sz w:val="23"/>
        </w:rPr>
        <w:t>through</w:t>
      </w:r>
      <w:r>
        <w:rPr>
          <w:color w:val="0A0A0A"/>
          <w:spacing w:val="-17"/>
          <w:w w:val="105"/>
          <w:sz w:val="23"/>
        </w:rPr>
        <w:t> </w:t>
      </w:r>
      <w:r>
        <w:rPr>
          <w:color w:val="0A0A0A"/>
          <w:w w:val="105"/>
          <w:sz w:val="23"/>
        </w:rPr>
        <w:t>various</w:t>
      </w:r>
      <w:r>
        <w:rPr>
          <w:color w:val="0A0A0A"/>
          <w:spacing w:val="-17"/>
          <w:w w:val="105"/>
          <w:sz w:val="23"/>
        </w:rPr>
        <w:t> </w:t>
      </w:r>
      <w:r>
        <w:rPr>
          <w:color w:val="0A0A0A"/>
          <w:w w:val="105"/>
          <w:sz w:val="23"/>
        </w:rPr>
        <w:t>business</w:t>
      </w:r>
      <w:r>
        <w:rPr>
          <w:color w:val="0A0A0A"/>
          <w:spacing w:val="-16"/>
          <w:w w:val="105"/>
          <w:sz w:val="23"/>
        </w:rPr>
        <w:t> </w:t>
      </w:r>
      <w:r>
        <w:rPr>
          <w:color w:val="0A0A0A"/>
          <w:w w:val="105"/>
          <w:sz w:val="23"/>
        </w:rPr>
        <w:t>support</w:t>
      </w:r>
      <w:r>
        <w:rPr>
          <w:color w:val="0A0A0A"/>
          <w:spacing w:val="-17"/>
          <w:w w:val="105"/>
          <w:sz w:val="23"/>
        </w:rPr>
        <w:t> </w:t>
      </w:r>
      <w:r>
        <w:rPr>
          <w:color w:val="0A0A0A"/>
          <w:w w:val="105"/>
          <w:sz w:val="23"/>
        </w:rPr>
        <w:t>grants and the Leisure Recovery Fund.</w:t>
      </w:r>
    </w:p>
    <w:p>
      <w:pPr>
        <w:spacing w:before="263"/>
        <w:ind w:left="592" w:right="0" w:firstLine="0"/>
        <w:jc w:val="left"/>
        <w:rPr>
          <w:b/>
          <w:i/>
          <w:sz w:val="23"/>
        </w:rPr>
      </w:pPr>
      <w:r>
        <w:rPr>
          <w:b/>
          <w:i/>
          <w:color w:val="0A0A0A"/>
          <w:w w:val="105"/>
          <w:sz w:val="23"/>
        </w:rPr>
        <w:t>Elstree</w:t>
      </w:r>
      <w:r>
        <w:rPr>
          <w:b/>
          <w:i/>
          <w:color w:val="0A0A0A"/>
          <w:spacing w:val="-15"/>
          <w:w w:val="105"/>
          <w:sz w:val="23"/>
        </w:rPr>
        <w:t> </w:t>
      </w:r>
      <w:r>
        <w:rPr>
          <w:b/>
          <w:i/>
          <w:color w:val="0A0A0A"/>
          <w:spacing w:val="-2"/>
          <w:w w:val="105"/>
          <w:sz w:val="23"/>
        </w:rPr>
        <w:t>Studios</w:t>
      </w:r>
    </w:p>
    <w:p>
      <w:pPr>
        <w:spacing w:before="14" w:line="249" w:lineRule="auto"/>
        <w:ind w:left="591" w:right="504" w:firstLine="5"/>
        <w:jc w:val="both"/>
        <w:rPr>
          <w:sz w:val="23"/>
        </w:rPr>
      </w:pPr>
      <w:r>
        <w:rPr>
          <w:color w:val="0A0A0A"/>
          <w:w w:val="105"/>
          <w:sz w:val="23"/>
        </w:rPr>
        <w:t>The</w:t>
      </w:r>
      <w:r>
        <w:rPr>
          <w:color w:val="0A0A0A"/>
          <w:spacing w:val="-8"/>
          <w:w w:val="105"/>
          <w:sz w:val="23"/>
        </w:rPr>
        <w:t> </w:t>
      </w:r>
      <w:r>
        <w:rPr>
          <w:color w:val="0A0A0A"/>
          <w:w w:val="105"/>
          <w:sz w:val="23"/>
        </w:rPr>
        <w:t>world</w:t>
      </w:r>
      <w:r>
        <w:rPr>
          <w:color w:val="0A0A0A"/>
          <w:spacing w:val="-4"/>
          <w:w w:val="105"/>
          <w:sz w:val="23"/>
        </w:rPr>
        <w:t> </w:t>
      </w:r>
      <w:r>
        <w:rPr>
          <w:color w:val="0A0A0A"/>
          <w:w w:val="105"/>
          <w:sz w:val="23"/>
        </w:rPr>
        <w:t>renowned, council-owned</w:t>
      </w:r>
      <w:r>
        <w:rPr>
          <w:color w:val="0A0A0A"/>
          <w:w w:val="105"/>
          <w:sz w:val="23"/>
        </w:rPr>
        <w:t> Elstree</w:t>
      </w:r>
      <w:r>
        <w:rPr>
          <w:color w:val="0A0A0A"/>
          <w:spacing w:val="-2"/>
          <w:w w:val="105"/>
          <w:sz w:val="23"/>
        </w:rPr>
        <w:t> </w:t>
      </w:r>
      <w:r>
        <w:rPr>
          <w:color w:val="0A0A0A"/>
          <w:w w:val="105"/>
          <w:sz w:val="23"/>
        </w:rPr>
        <w:t>Studios, continue</w:t>
      </w:r>
      <w:r>
        <w:rPr>
          <w:color w:val="0A0A0A"/>
          <w:spacing w:val="-5"/>
          <w:w w:val="105"/>
          <w:sz w:val="23"/>
        </w:rPr>
        <w:t> </w:t>
      </w:r>
      <w:r>
        <w:rPr>
          <w:color w:val="0A0A0A"/>
          <w:w w:val="105"/>
          <w:sz w:val="23"/>
        </w:rPr>
        <w:t>to</w:t>
      </w:r>
      <w:r>
        <w:rPr>
          <w:color w:val="0A0A0A"/>
          <w:spacing w:val="-10"/>
          <w:w w:val="105"/>
          <w:sz w:val="23"/>
        </w:rPr>
        <w:t> </w:t>
      </w:r>
      <w:r>
        <w:rPr>
          <w:color w:val="0A0A0A"/>
          <w:w w:val="105"/>
          <w:sz w:val="23"/>
        </w:rPr>
        <w:t>provide over</w:t>
      </w:r>
      <w:r>
        <w:rPr>
          <w:color w:val="0A0A0A"/>
          <w:spacing w:val="-4"/>
          <w:w w:val="105"/>
          <w:sz w:val="23"/>
        </w:rPr>
        <w:t> </w:t>
      </w:r>
      <w:r>
        <w:rPr>
          <w:color w:val="0A0A0A"/>
          <w:w w:val="105"/>
          <w:sz w:val="23"/>
        </w:rPr>
        <w:t>£1.?m </w:t>
      </w:r>
      <w:r>
        <w:rPr>
          <w:color w:val="1A1A1A"/>
          <w:w w:val="105"/>
          <w:sz w:val="23"/>
        </w:rPr>
        <w:t>in</w:t>
      </w:r>
      <w:r>
        <w:rPr>
          <w:color w:val="1A1A1A"/>
          <w:spacing w:val="-1"/>
          <w:w w:val="105"/>
          <w:sz w:val="23"/>
        </w:rPr>
        <w:t> </w:t>
      </w:r>
      <w:r>
        <w:rPr>
          <w:color w:val="0A0A0A"/>
          <w:w w:val="105"/>
          <w:sz w:val="23"/>
        </w:rPr>
        <w:t>rental payments and investment</w:t>
      </w:r>
      <w:r>
        <w:rPr>
          <w:color w:val="0A0A0A"/>
          <w:spacing w:val="32"/>
          <w:w w:val="105"/>
          <w:sz w:val="23"/>
        </w:rPr>
        <w:t> </w:t>
      </w:r>
      <w:r>
        <w:rPr>
          <w:color w:val="0A0A0A"/>
          <w:w w:val="105"/>
          <w:sz w:val="23"/>
        </w:rPr>
        <w:t>income to</w:t>
      </w:r>
      <w:r>
        <w:rPr>
          <w:color w:val="0A0A0A"/>
          <w:spacing w:val="-1"/>
          <w:w w:val="105"/>
          <w:sz w:val="23"/>
        </w:rPr>
        <w:t> </w:t>
      </w:r>
      <w:r>
        <w:rPr>
          <w:color w:val="0A0A0A"/>
          <w:w w:val="105"/>
          <w:sz w:val="23"/>
        </w:rPr>
        <w:t>the council in</w:t>
      </w:r>
      <w:r>
        <w:rPr>
          <w:color w:val="0A0A0A"/>
          <w:spacing w:val="-2"/>
          <w:w w:val="105"/>
          <w:sz w:val="23"/>
        </w:rPr>
        <w:t> </w:t>
      </w:r>
      <w:r>
        <w:rPr>
          <w:color w:val="0A0A0A"/>
          <w:w w:val="105"/>
          <w:sz w:val="23"/>
        </w:rPr>
        <w:t>2022/23.</w:t>
      </w:r>
    </w:p>
    <w:p>
      <w:pPr>
        <w:pStyle w:val="BodyText"/>
        <w:spacing w:before="12"/>
        <w:rPr>
          <w:sz w:val="23"/>
        </w:rPr>
      </w:pPr>
    </w:p>
    <w:p>
      <w:pPr>
        <w:spacing w:before="0" w:line="249" w:lineRule="auto"/>
        <w:ind w:left="591" w:right="490" w:firstLine="0"/>
        <w:jc w:val="both"/>
        <w:rPr>
          <w:sz w:val="23"/>
        </w:rPr>
      </w:pPr>
      <w:r>
        <w:rPr>
          <w:color w:val="0A0A0A"/>
          <w:w w:val="105"/>
          <w:sz w:val="23"/>
        </w:rPr>
        <w:t>The</w:t>
      </w:r>
      <w:r>
        <w:rPr>
          <w:color w:val="0A0A0A"/>
          <w:spacing w:val="-16"/>
          <w:w w:val="105"/>
          <w:sz w:val="23"/>
        </w:rPr>
        <w:t> </w:t>
      </w:r>
      <w:r>
        <w:rPr>
          <w:color w:val="0A0A0A"/>
          <w:w w:val="105"/>
          <w:sz w:val="23"/>
        </w:rPr>
        <w:t>Council</w:t>
      </w:r>
      <w:r>
        <w:rPr>
          <w:color w:val="0A0A0A"/>
          <w:spacing w:val="-14"/>
          <w:w w:val="105"/>
          <w:sz w:val="23"/>
        </w:rPr>
        <w:t> </w:t>
      </w:r>
      <w:r>
        <w:rPr>
          <w:color w:val="0A0A0A"/>
          <w:w w:val="105"/>
          <w:sz w:val="23"/>
        </w:rPr>
        <w:t>approved</w:t>
      </w:r>
      <w:r>
        <w:rPr>
          <w:color w:val="0A0A0A"/>
          <w:spacing w:val="-1"/>
          <w:w w:val="105"/>
          <w:sz w:val="23"/>
        </w:rPr>
        <w:t> </w:t>
      </w:r>
      <w:r>
        <w:rPr>
          <w:color w:val="0A0A0A"/>
          <w:w w:val="105"/>
          <w:sz w:val="23"/>
        </w:rPr>
        <w:t>an</w:t>
      </w:r>
      <w:r>
        <w:rPr>
          <w:color w:val="0A0A0A"/>
          <w:spacing w:val="-16"/>
          <w:w w:val="105"/>
          <w:sz w:val="23"/>
        </w:rPr>
        <w:t> </w:t>
      </w:r>
      <w:r>
        <w:rPr>
          <w:color w:val="0A0A0A"/>
          <w:w w:val="105"/>
          <w:sz w:val="23"/>
        </w:rPr>
        <w:t>ambitious</w:t>
      </w:r>
      <w:r>
        <w:rPr>
          <w:color w:val="0A0A0A"/>
          <w:spacing w:val="-4"/>
          <w:w w:val="105"/>
          <w:sz w:val="23"/>
        </w:rPr>
        <w:t> </w:t>
      </w:r>
      <w:r>
        <w:rPr>
          <w:color w:val="0A0A0A"/>
          <w:w w:val="105"/>
          <w:sz w:val="23"/>
        </w:rPr>
        <w:t>regeneration of</w:t>
      </w:r>
      <w:r>
        <w:rPr>
          <w:color w:val="0A0A0A"/>
          <w:spacing w:val="-17"/>
          <w:w w:val="105"/>
          <w:sz w:val="23"/>
        </w:rPr>
        <w:t> </w:t>
      </w:r>
      <w:r>
        <w:rPr>
          <w:color w:val="0A0A0A"/>
          <w:w w:val="105"/>
          <w:sz w:val="23"/>
        </w:rPr>
        <w:t>Elstree</w:t>
      </w:r>
      <w:r>
        <w:rPr>
          <w:color w:val="0A0A0A"/>
          <w:spacing w:val="-11"/>
          <w:w w:val="105"/>
          <w:sz w:val="23"/>
        </w:rPr>
        <w:t> </w:t>
      </w:r>
      <w:r>
        <w:rPr>
          <w:color w:val="0A0A0A"/>
          <w:w w:val="105"/>
          <w:sz w:val="23"/>
        </w:rPr>
        <w:t>Film</w:t>
      </w:r>
      <w:r>
        <w:rPr>
          <w:color w:val="0A0A0A"/>
          <w:spacing w:val="-15"/>
          <w:w w:val="105"/>
          <w:sz w:val="23"/>
        </w:rPr>
        <w:t> </w:t>
      </w:r>
      <w:r>
        <w:rPr>
          <w:color w:val="0A0A0A"/>
          <w:w w:val="105"/>
          <w:sz w:val="23"/>
        </w:rPr>
        <w:t>Studios</w:t>
      </w:r>
      <w:r>
        <w:rPr>
          <w:color w:val="0A0A0A"/>
          <w:spacing w:val="-7"/>
          <w:w w:val="105"/>
          <w:sz w:val="23"/>
        </w:rPr>
        <w:t> </w:t>
      </w:r>
      <w:r>
        <w:rPr>
          <w:color w:val="0A0A0A"/>
          <w:w w:val="105"/>
          <w:sz w:val="23"/>
        </w:rPr>
        <w:t>with</w:t>
      </w:r>
      <w:r>
        <w:rPr>
          <w:color w:val="0A0A0A"/>
          <w:spacing w:val="-15"/>
          <w:w w:val="105"/>
          <w:sz w:val="23"/>
        </w:rPr>
        <w:t> </w:t>
      </w:r>
      <w:r>
        <w:rPr>
          <w:color w:val="0A0A0A"/>
          <w:w w:val="105"/>
          <w:sz w:val="23"/>
        </w:rPr>
        <w:t>two</w:t>
      </w:r>
      <w:r>
        <w:rPr>
          <w:color w:val="0A0A0A"/>
          <w:spacing w:val="-15"/>
          <w:w w:val="105"/>
          <w:sz w:val="23"/>
        </w:rPr>
        <w:t> </w:t>
      </w:r>
      <w:r>
        <w:rPr>
          <w:color w:val="0A0A0A"/>
          <w:w w:val="105"/>
          <w:sz w:val="23"/>
        </w:rPr>
        <w:t>new sound stages</w:t>
      </w:r>
      <w:r>
        <w:rPr>
          <w:color w:val="0A0A0A"/>
          <w:w w:val="105"/>
          <w:sz w:val="23"/>
        </w:rPr>
        <w:t> and workshops</w:t>
      </w:r>
      <w:r>
        <w:rPr>
          <w:color w:val="0A0A0A"/>
          <w:w w:val="105"/>
          <w:sz w:val="23"/>
        </w:rPr>
        <w:t> to be built on the disused Big Brother site. The £15.6 million project, </w:t>
      </w:r>
      <w:r>
        <w:rPr>
          <w:color w:val="1A1A1A"/>
          <w:w w:val="105"/>
          <w:sz w:val="23"/>
        </w:rPr>
        <w:t>which</w:t>
      </w:r>
      <w:r>
        <w:rPr>
          <w:color w:val="1A1A1A"/>
          <w:spacing w:val="-1"/>
          <w:w w:val="105"/>
          <w:sz w:val="23"/>
        </w:rPr>
        <w:t> </w:t>
      </w:r>
      <w:r>
        <w:rPr>
          <w:color w:val="0A0A0A"/>
          <w:w w:val="105"/>
          <w:sz w:val="23"/>
        </w:rPr>
        <w:t>completed in</w:t>
      </w:r>
      <w:r>
        <w:rPr>
          <w:color w:val="0A0A0A"/>
          <w:spacing w:val="-10"/>
          <w:w w:val="105"/>
          <w:sz w:val="23"/>
        </w:rPr>
        <w:t> </w:t>
      </w:r>
      <w:r>
        <w:rPr>
          <w:color w:val="0A0A0A"/>
          <w:w w:val="105"/>
          <w:sz w:val="23"/>
        </w:rPr>
        <w:t>early July </w:t>
      </w:r>
      <w:r>
        <w:rPr>
          <w:color w:val="1A1A1A"/>
          <w:w w:val="105"/>
          <w:sz w:val="23"/>
        </w:rPr>
        <w:t>2022, </w:t>
      </w:r>
      <w:r>
        <w:rPr>
          <w:color w:val="0A0A0A"/>
          <w:w w:val="105"/>
          <w:sz w:val="23"/>
        </w:rPr>
        <w:t>will</w:t>
      </w:r>
      <w:r>
        <w:rPr>
          <w:color w:val="0A0A0A"/>
          <w:spacing w:val="-2"/>
          <w:w w:val="105"/>
          <w:sz w:val="23"/>
        </w:rPr>
        <w:t> </w:t>
      </w:r>
      <w:r>
        <w:rPr>
          <w:color w:val="0A0A0A"/>
          <w:w w:val="105"/>
          <w:sz w:val="23"/>
        </w:rPr>
        <w:t>provide further rental</w:t>
      </w:r>
      <w:r>
        <w:rPr>
          <w:color w:val="0A0A0A"/>
          <w:spacing w:val="-2"/>
          <w:w w:val="105"/>
          <w:sz w:val="23"/>
        </w:rPr>
        <w:t> </w:t>
      </w:r>
      <w:r>
        <w:rPr>
          <w:color w:val="0A0A0A"/>
          <w:w w:val="105"/>
          <w:sz w:val="23"/>
        </w:rPr>
        <w:t>income for</w:t>
      </w:r>
      <w:r>
        <w:rPr>
          <w:color w:val="0A0A0A"/>
          <w:spacing w:val="-7"/>
          <w:w w:val="105"/>
          <w:sz w:val="23"/>
        </w:rPr>
        <w:t> </w:t>
      </w:r>
      <w:r>
        <w:rPr>
          <w:color w:val="0A0A0A"/>
          <w:w w:val="105"/>
          <w:sz w:val="23"/>
        </w:rPr>
        <w:t>the</w:t>
      </w:r>
      <w:r>
        <w:rPr>
          <w:color w:val="0A0A0A"/>
          <w:spacing w:val="-15"/>
          <w:w w:val="105"/>
          <w:sz w:val="23"/>
        </w:rPr>
        <w:t> </w:t>
      </w:r>
      <w:r>
        <w:rPr>
          <w:color w:val="0A0A0A"/>
          <w:w w:val="105"/>
          <w:sz w:val="23"/>
        </w:rPr>
        <w:t>Council </w:t>
      </w:r>
      <w:r>
        <w:rPr>
          <w:color w:val="1A1A1A"/>
          <w:w w:val="105"/>
          <w:sz w:val="23"/>
        </w:rPr>
        <w:t>and</w:t>
      </w:r>
      <w:r>
        <w:rPr>
          <w:color w:val="1A1A1A"/>
          <w:spacing w:val="-9"/>
          <w:w w:val="105"/>
          <w:sz w:val="23"/>
        </w:rPr>
        <w:t> </w:t>
      </w:r>
      <w:r>
        <w:rPr>
          <w:color w:val="0A0A0A"/>
          <w:w w:val="105"/>
          <w:sz w:val="23"/>
        </w:rPr>
        <w:t>regeneration to</w:t>
      </w:r>
      <w:r>
        <w:rPr>
          <w:color w:val="0A0A0A"/>
          <w:spacing w:val="-16"/>
          <w:w w:val="105"/>
          <w:sz w:val="23"/>
        </w:rPr>
        <w:t> </w:t>
      </w:r>
      <w:r>
        <w:rPr>
          <w:color w:val="0A0A0A"/>
          <w:w w:val="105"/>
          <w:sz w:val="23"/>
        </w:rPr>
        <w:t>the</w:t>
      </w:r>
      <w:r>
        <w:rPr>
          <w:color w:val="0A0A0A"/>
          <w:spacing w:val="-8"/>
          <w:w w:val="105"/>
          <w:sz w:val="23"/>
        </w:rPr>
        <w:t> </w:t>
      </w:r>
      <w:r>
        <w:rPr>
          <w:color w:val="0A0A0A"/>
          <w:w w:val="105"/>
          <w:sz w:val="23"/>
        </w:rPr>
        <w:t>local</w:t>
      </w:r>
      <w:r>
        <w:rPr>
          <w:color w:val="0A0A0A"/>
          <w:spacing w:val="-12"/>
          <w:w w:val="105"/>
          <w:sz w:val="23"/>
        </w:rPr>
        <w:t> </w:t>
      </w:r>
      <w:r>
        <w:rPr>
          <w:color w:val="0A0A0A"/>
          <w:w w:val="105"/>
          <w:sz w:val="23"/>
        </w:rPr>
        <w:t>area </w:t>
      </w:r>
      <w:r>
        <w:rPr>
          <w:color w:val="1A1A1A"/>
          <w:w w:val="105"/>
          <w:sz w:val="23"/>
        </w:rPr>
        <w:t>with</w:t>
      </w:r>
      <w:r>
        <w:rPr>
          <w:color w:val="1A1A1A"/>
          <w:spacing w:val="-10"/>
          <w:w w:val="105"/>
          <w:sz w:val="23"/>
        </w:rPr>
        <w:t> </w:t>
      </w:r>
      <w:r>
        <w:rPr>
          <w:color w:val="0A0A0A"/>
          <w:w w:val="105"/>
          <w:sz w:val="23"/>
        </w:rPr>
        <w:t>the</w:t>
      </w:r>
      <w:r>
        <w:rPr>
          <w:color w:val="0A0A0A"/>
          <w:spacing w:val="-12"/>
          <w:w w:val="105"/>
          <w:sz w:val="23"/>
        </w:rPr>
        <w:t> </w:t>
      </w:r>
      <w:r>
        <w:rPr>
          <w:color w:val="0A0A0A"/>
          <w:w w:val="105"/>
          <w:sz w:val="23"/>
        </w:rPr>
        <w:t>creation</w:t>
      </w:r>
      <w:r>
        <w:rPr>
          <w:color w:val="0A0A0A"/>
          <w:spacing w:val="-6"/>
          <w:w w:val="105"/>
          <w:sz w:val="23"/>
        </w:rPr>
        <w:t> </w:t>
      </w:r>
      <w:r>
        <w:rPr>
          <w:color w:val="0A0A0A"/>
          <w:w w:val="105"/>
          <w:sz w:val="23"/>
        </w:rPr>
        <w:t>of</w:t>
      </w:r>
      <w:r>
        <w:rPr>
          <w:color w:val="0A0A0A"/>
          <w:spacing w:val="-7"/>
          <w:w w:val="105"/>
          <w:sz w:val="23"/>
        </w:rPr>
        <w:t> </w:t>
      </w:r>
      <w:r>
        <w:rPr>
          <w:color w:val="0A0A0A"/>
          <w:w w:val="105"/>
          <w:sz w:val="23"/>
        </w:rPr>
        <w:t>around</w:t>
      </w:r>
      <w:r>
        <w:rPr>
          <w:color w:val="0A0A0A"/>
          <w:spacing w:val="-3"/>
          <w:w w:val="105"/>
          <w:sz w:val="23"/>
        </w:rPr>
        <w:t> </w:t>
      </w:r>
      <w:r>
        <w:rPr>
          <w:color w:val="0A0A0A"/>
          <w:w w:val="105"/>
          <w:sz w:val="23"/>
        </w:rPr>
        <w:t>800</w:t>
      </w:r>
      <w:r>
        <w:rPr>
          <w:color w:val="0A0A0A"/>
          <w:spacing w:val="-9"/>
          <w:w w:val="105"/>
          <w:sz w:val="23"/>
        </w:rPr>
        <w:t> </w:t>
      </w:r>
      <w:r>
        <w:rPr>
          <w:color w:val="0A0A0A"/>
          <w:w w:val="105"/>
          <w:sz w:val="23"/>
        </w:rPr>
        <w:t>new jobs and up to 120 learning opportunities. Some of the</w:t>
      </w:r>
      <w:r>
        <w:rPr>
          <w:color w:val="0A0A0A"/>
          <w:spacing w:val="-2"/>
          <w:w w:val="105"/>
          <w:sz w:val="23"/>
        </w:rPr>
        <w:t> </w:t>
      </w:r>
      <w:r>
        <w:rPr>
          <w:color w:val="0A0A0A"/>
          <w:w w:val="105"/>
          <w:sz w:val="23"/>
        </w:rPr>
        <w:t>profits will also be reinvested </w:t>
      </w:r>
      <w:r>
        <w:rPr>
          <w:color w:val="0A0A0A"/>
          <w:spacing w:val="-2"/>
          <w:w w:val="105"/>
          <w:sz w:val="23"/>
        </w:rPr>
        <w:t>in</w:t>
      </w:r>
      <w:r>
        <w:rPr>
          <w:color w:val="0A0A0A"/>
          <w:spacing w:val="-15"/>
          <w:w w:val="105"/>
          <w:sz w:val="23"/>
        </w:rPr>
        <w:t> </w:t>
      </w:r>
      <w:r>
        <w:rPr>
          <w:color w:val="0A0A0A"/>
          <w:spacing w:val="-2"/>
          <w:w w:val="105"/>
          <w:sz w:val="23"/>
        </w:rPr>
        <w:t>the</w:t>
      </w:r>
      <w:r>
        <w:rPr>
          <w:color w:val="0A0A0A"/>
          <w:spacing w:val="-15"/>
          <w:w w:val="105"/>
          <w:sz w:val="23"/>
        </w:rPr>
        <w:t> </w:t>
      </w:r>
      <w:r>
        <w:rPr>
          <w:color w:val="0A0A0A"/>
          <w:spacing w:val="-2"/>
          <w:w w:val="105"/>
          <w:sz w:val="23"/>
        </w:rPr>
        <w:t>creative</w:t>
      </w:r>
      <w:r>
        <w:rPr>
          <w:color w:val="0A0A0A"/>
          <w:spacing w:val="-6"/>
          <w:w w:val="105"/>
          <w:sz w:val="23"/>
        </w:rPr>
        <w:t> </w:t>
      </w:r>
      <w:r>
        <w:rPr>
          <w:color w:val="0A0A0A"/>
          <w:spacing w:val="-2"/>
          <w:w w:val="105"/>
          <w:sz w:val="23"/>
        </w:rPr>
        <w:t>industry. The</w:t>
      </w:r>
      <w:r>
        <w:rPr>
          <w:color w:val="0A0A0A"/>
          <w:spacing w:val="-9"/>
          <w:w w:val="105"/>
          <w:sz w:val="23"/>
        </w:rPr>
        <w:t> </w:t>
      </w:r>
      <w:r>
        <w:rPr>
          <w:color w:val="0A0A0A"/>
          <w:spacing w:val="-2"/>
          <w:w w:val="105"/>
          <w:sz w:val="23"/>
        </w:rPr>
        <w:t>project was</w:t>
      </w:r>
      <w:r>
        <w:rPr>
          <w:color w:val="0A0A0A"/>
          <w:spacing w:val="-14"/>
          <w:w w:val="105"/>
          <w:sz w:val="23"/>
        </w:rPr>
        <w:t> </w:t>
      </w:r>
      <w:r>
        <w:rPr>
          <w:color w:val="0A0A0A"/>
          <w:spacing w:val="-2"/>
          <w:w w:val="105"/>
          <w:sz w:val="23"/>
        </w:rPr>
        <w:t>part</w:t>
      </w:r>
      <w:r>
        <w:rPr>
          <w:color w:val="0A0A0A"/>
          <w:spacing w:val="-14"/>
          <w:w w:val="105"/>
          <w:sz w:val="23"/>
        </w:rPr>
        <w:t> </w:t>
      </w:r>
      <w:r>
        <w:rPr>
          <w:color w:val="0A0A0A"/>
          <w:spacing w:val="-2"/>
          <w:w w:val="105"/>
          <w:sz w:val="23"/>
        </w:rPr>
        <w:t>funded, £6</w:t>
      </w:r>
      <w:r>
        <w:rPr>
          <w:color w:val="0A0A0A"/>
          <w:spacing w:val="-15"/>
          <w:w w:val="105"/>
          <w:sz w:val="23"/>
        </w:rPr>
        <w:t> </w:t>
      </w:r>
      <w:r>
        <w:rPr>
          <w:color w:val="0A0A0A"/>
          <w:spacing w:val="-2"/>
          <w:w w:val="105"/>
          <w:sz w:val="23"/>
        </w:rPr>
        <w:t>million, from</w:t>
      </w:r>
      <w:r>
        <w:rPr>
          <w:color w:val="0A0A0A"/>
          <w:spacing w:val="-5"/>
          <w:w w:val="105"/>
          <w:sz w:val="23"/>
        </w:rPr>
        <w:t> </w:t>
      </w:r>
      <w:r>
        <w:rPr>
          <w:color w:val="0A0A0A"/>
          <w:spacing w:val="-2"/>
          <w:w w:val="105"/>
          <w:sz w:val="23"/>
        </w:rPr>
        <w:t>the</w:t>
      </w:r>
      <w:r>
        <w:rPr>
          <w:color w:val="0A0A0A"/>
          <w:spacing w:val="-15"/>
          <w:w w:val="105"/>
          <w:sz w:val="23"/>
        </w:rPr>
        <w:t> </w:t>
      </w:r>
      <w:r>
        <w:rPr>
          <w:color w:val="0A0A0A"/>
          <w:spacing w:val="-2"/>
          <w:w w:val="105"/>
          <w:sz w:val="23"/>
        </w:rPr>
        <w:t>Government's </w:t>
      </w:r>
      <w:r>
        <w:rPr>
          <w:color w:val="0A0A0A"/>
          <w:w w:val="105"/>
          <w:sz w:val="23"/>
        </w:rPr>
        <w:t>"Get Building Fund" via</w:t>
      </w:r>
      <w:r>
        <w:rPr>
          <w:color w:val="0A0A0A"/>
          <w:spacing w:val="-5"/>
          <w:w w:val="105"/>
          <w:sz w:val="23"/>
        </w:rPr>
        <w:t> </w:t>
      </w:r>
      <w:r>
        <w:rPr>
          <w:color w:val="0A0A0A"/>
          <w:w w:val="105"/>
          <w:sz w:val="23"/>
        </w:rPr>
        <w:t>the</w:t>
      </w:r>
      <w:r>
        <w:rPr>
          <w:color w:val="0A0A0A"/>
          <w:spacing w:val="-4"/>
          <w:w w:val="105"/>
          <w:sz w:val="23"/>
        </w:rPr>
        <w:t> </w:t>
      </w:r>
      <w:r>
        <w:rPr>
          <w:color w:val="0A0A0A"/>
          <w:w w:val="105"/>
          <w:sz w:val="23"/>
        </w:rPr>
        <w:t>Hertfordshire Local Enterprise Partnership (LEP).</w:t>
      </w:r>
    </w:p>
    <w:p>
      <w:pPr>
        <w:pStyle w:val="BodyText"/>
        <w:spacing w:before="15"/>
        <w:rPr>
          <w:sz w:val="23"/>
        </w:rPr>
      </w:pPr>
    </w:p>
    <w:p>
      <w:pPr>
        <w:spacing w:before="1" w:line="249" w:lineRule="auto"/>
        <w:ind w:left="591" w:right="483" w:firstLine="1"/>
        <w:jc w:val="both"/>
        <w:rPr>
          <w:sz w:val="23"/>
        </w:rPr>
      </w:pPr>
      <w:r>
        <w:rPr>
          <w:color w:val="0A0A0A"/>
          <w:w w:val="105"/>
          <w:sz w:val="23"/>
        </w:rPr>
        <w:t>Unfortunately</w:t>
      </w:r>
      <w:r>
        <w:rPr>
          <w:color w:val="0A0A0A"/>
          <w:w w:val="105"/>
          <w:sz w:val="23"/>
        </w:rPr>
        <w:t> in</w:t>
      </w:r>
      <w:r>
        <w:rPr>
          <w:color w:val="0A0A0A"/>
          <w:spacing w:val="-1"/>
          <w:w w:val="105"/>
          <w:sz w:val="23"/>
        </w:rPr>
        <w:t> </w:t>
      </w:r>
      <w:r>
        <w:rPr>
          <w:color w:val="0A0A0A"/>
          <w:w w:val="105"/>
          <w:sz w:val="23"/>
        </w:rPr>
        <w:t>August 2022, whilst carrying</w:t>
      </w:r>
      <w:r>
        <w:rPr>
          <w:color w:val="0A0A0A"/>
          <w:spacing w:val="-3"/>
          <w:w w:val="105"/>
          <w:sz w:val="23"/>
        </w:rPr>
        <w:t> </w:t>
      </w:r>
      <w:r>
        <w:rPr>
          <w:color w:val="0A0A0A"/>
          <w:w w:val="105"/>
          <w:sz w:val="23"/>
        </w:rPr>
        <w:t>out</w:t>
      </w:r>
      <w:r>
        <w:rPr>
          <w:color w:val="0A0A0A"/>
          <w:spacing w:val="-6"/>
          <w:w w:val="105"/>
          <w:sz w:val="23"/>
        </w:rPr>
        <w:t> </w:t>
      </w:r>
      <w:r>
        <w:rPr>
          <w:color w:val="0A0A0A"/>
          <w:w w:val="105"/>
          <w:sz w:val="23"/>
        </w:rPr>
        <w:t>planned stage </w:t>
      </w:r>
      <w:r>
        <w:rPr>
          <w:color w:val="1A1A1A"/>
          <w:w w:val="105"/>
          <w:sz w:val="23"/>
        </w:rPr>
        <w:t>door </w:t>
      </w:r>
      <w:r>
        <w:rPr>
          <w:color w:val="0A0A0A"/>
          <w:w w:val="105"/>
          <w:sz w:val="23"/>
        </w:rPr>
        <w:t>replacement at Elstree </w:t>
      </w:r>
      <w:r>
        <w:rPr>
          <w:color w:val="1A1A1A"/>
          <w:w w:val="105"/>
          <w:sz w:val="23"/>
        </w:rPr>
        <w:t>Studios </w:t>
      </w:r>
      <w:r>
        <w:rPr>
          <w:color w:val="0A0A0A"/>
          <w:w w:val="105"/>
          <w:sz w:val="23"/>
        </w:rPr>
        <w:t>in stages 7, 8 and 9, asbestos</w:t>
      </w:r>
      <w:r>
        <w:rPr>
          <w:color w:val="0A0A0A"/>
          <w:w w:val="105"/>
          <w:sz w:val="23"/>
        </w:rPr>
        <w:t> was</w:t>
      </w:r>
      <w:r>
        <w:rPr>
          <w:color w:val="0A0A0A"/>
          <w:w w:val="105"/>
          <w:sz w:val="23"/>
        </w:rPr>
        <w:t> </w:t>
      </w:r>
      <w:r>
        <w:rPr>
          <w:color w:val="1A1A1A"/>
          <w:w w:val="105"/>
          <w:sz w:val="23"/>
        </w:rPr>
        <w:t>found.</w:t>
      </w:r>
      <w:r>
        <w:rPr>
          <w:color w:val="1A1A1A"/>
          <w:w w:val="105"/>
          <w:sz w:val="23"/>
        </w:rPr>
        <w:t> </w:t>
      </w:r>
      <w:r>
        <w:rPr>
          <w:color w:val="0A0A0A"/>
          <w:w w:val="105"/>
          <w:sz w:val="23"/>
        </w:rPr>
        <w:t>As a </w:t>
      </w:r>
      <w:r>
        <w:rPr>
          <w:color w:val="1A1A1A"/>
          <w:w w:val="105"/>
          <w:sz w:val="23"/>
        </w:rPr>
        <w:t>result </w:t>
      </w:r>
      <w:r>
        <w:rPr>
          <w:color w:val="0A0A0A"/>
          <w:w w:val="105"/>
          <w:sz w:val="23"/>
        </w:rPr>
        <w:t>these</w:t>
      </w:r>
      <w:r>
        <w:rPr>
          <w:color w:val="0A0A0A"/>
          <w:w w:val="105"/>
          <w:sz w:val="23"/>
        </w:rPr>
        <w:t> </w:t>
      </w:r>
      <w:r>
        <w:rPr>
          <w:color w:val="1A1A1A"/>
          <w:w w:val="105"/>
          <w:sz w:val="23"/>
        </w:rPr>
        <w:t>stages </w:t>
      </w:r>
      <w:r>
        <w:rPr>
          <w:color w:val="0A0A0A"/>
          <w:w w:val="105"/>
          <w:sz w:val="23"/>
        </w:rPr>
        <w:t>had</w:t>
      </w:r>
      <w:r>
        <w:rPr>
          <w:color w:val="0A0A0A"/>
          <w:spacing w:val="-11"/>
          <w:w w:val="105"/>
          <w:sz w:val="23"/>
        </w:rPr>
        <w:t> </w:t>
      </w:r>
      <w:r>
        <w:rPr>
          <w:color w:val="0A0A0A"/>
          <w:w w:val="105"/>
          <w:sz w:val="23"/>
        </w:rPr>
        <w:t>to</w:t>
      </w:r>
      <w:r>
        <w:rPr>
          <w:color w:val="0A0A0A"/>
          <w:spacing w:val="-15"/>
          <w:w w:val="105"/>
          <w:sz w:val="23"/>
        </w:rPr>
        <w:t> </w:t>
      </w:r>
      <w:r>
        <w:rPr>
          <w:color w:val="0A0A0A"/>
          <w:w w:val="105"/>
          <w:sz w:val="23"/>
        </w:rPr>
        <w:t>be</w:t>
      </w:r>
      <w:r>
        <w:rPr>
          <w:color w:val="0A0A0A"/>
          <w:spacing w:val="-10"/>
          <w:w w:val="105"/>
          <w:sz w:val="23"/>
        </w:rPr>
        <w:t> </w:t>
      </w:r>
      <w:r>
        <w:rPr>
          <w:color w:val="0A0A0A"/>
          <w:w w:val="105"/>
          <w:sz w:val="23"/>
        </w:rPr>
        <w:t>closed immediately and</w:t>
      </w:r>
      <w:r>
        <w:rPr>
          <w:color w:val="0A0A0A"/>
          <w:spacing w:val="-7"/>
          <w:w w:val="105"/>
          <w:sz w:val="23"/>
        </w:rPr>
        <w:t> </w:t>
      </w:r>
      <w:r>
        <w:rPr>
          <w:color w:val="0A0A0A"/>
          <w:w w:val="105"/>
          <w:sz w:val="23"/>
        </w:rPr>
        <w:t>have</w:t>
      </w:r>
      <w:r>
        <w:rPr>
          <w:color w:val="0A0A0A"/>
          <w:spacing w:val="-4"/>
          <w:w w:val="105"/>
          <w:sz w:val="23"/>
        </w:rPr>
        <w:t> </w:t>
      </w:r>
      <w:r>
        <w:rPr>
          <w:color w:val="0A0A0A"/>
          <w:w w:val="105"/>
          <w:sz w:val="23"/>
        </w:rPr>
        <w:t>remained closed</w:t>
      </w:r>
      <w:r>
        <w:rPr>
          <w:color w:val="0A0A0A"/>
          <w:spacing w:val="-5"/>
          <w:w w:val="105"/>
          <w:sz w:val="23"/>
        </w:rPr>
        <w:t> </w:t>
      </w:r>
      <w:r>
        <w:rPr>
          <w:color w:val="0A0A0A"/>
          <w:w w:val="105"/>
          <w:sz w:val="23"/>
        </w:rPr>
        <w:t>whilst asbestos remediation works were carried</w:t>
      </w:r>
      <w:r>
        <w:rPr>
          <w:color w:val="0A0A0A"/>
          <w:spacing w:val="21"/>
          <w:w w:val="105"/>
          <w:sz w:val="23"/>
        </w:rPr>
        <w:t> </w:t>
      </w:r>
      <w:r>
        <w:rPr>
          <w:color w:val="0A0A0A"/>
          <w:w w:val="105"/>
          <w:sz w:val="23"/>
        </w:rPr>
        <w:t>out. It was initially</w:t>
      </w:r>
      <w:r>
        <w:rPr>
          <w:color w:val="0A0A0A"/>
          <w:spacing w:val="22"/>
          <w:w w:val="105"/>
          <w:sz w:val="23"/>
        </w:rPr>
        <w:t> </w:t>
      </w:r>
      <w:r>
        <w:rPr>
          <w:color w:val="0A0A0A"/>
          <w:w w:val="105"/>
          <w:sz w:val="23"/>
        </w:rPr>
        <w:t>planned</w:t>
      </w:r>
      <w:r>
        <w:rPr>
          <w:color w:val="0A0A0A"/>
          <w:spacing w:val="21"/>
          <w:w w:val="105"/>
          <w:sz w:val="23"/>
        </w:rPr>
        <w:t> </w:t>
      </w:r>
      <w:r>
        <w:rPr>
          <w:color w:val="0A0A0A"/>
          <w:w w:val="105"/>
          <w:sz w:val="23"/>
        </w:rPr>
        <w:t>that following</w:t>
      </w:r>
      <w:r>
        <w:rPr>
          <w:color w:val="0A0A0A"/>
          <w:spacing w:val="21"/>
          <w:w w:val="105"/>
          <w:sz w:val="23"/>
        </w:rPr>
        <w:t> </w:t>
      </w:r>
      <w:r>
        <w:rPr>
          <w:color w:val="0A0A0A"/>
          <w:w w:val="105"/>
          <w:sz w:val="23"/>
        </w:rPr>
        <w:t>the </w:t>
      </w:r>
      <w:r>
        <w:rPr>
          <w:color w:val="1A1A1A"/>
          <w:w w:val="105"/>
          <w:sz w:val="23"/>
        </w:rPr>
        <w:t>remediation</w:t>
      </w:r>
      <w:r>
        <w:rPr>
          <w:color w:val="1A1A1A"/>
          <w:spacing w:val="33"/>
          <w:w w:val="105"/>
          <w:sz w:val="23"/>
        </w:rPr>
        <w:t> </w:t>
      </w:r>
      <w:r>
        <w:rPr>
          <w:color w:val="0A0A0A"/>
          <w:w w:val="105"/>
          <w:sz w:val="23"/>
        </w:rPr>
        <w:t>works</w:t>
      </w:r>
    </w:p>
    <w:p>
      <w:pPr>
        <w:spacing w:after="0" w:line="249" w:lineRule="auto"/>
        <w:jc w:val="both"/>
        <w:rPr>
          <w:sz w:val="23"/>
        </w:rPr>
        <w:sectPr>
          <w:headerReference w:type="default" r:id="rId37"/>
          <w:footerReference w:type="default" r:id="rId38"/>
          <w:footerReference w:type="even" r:id="rId39"/>
          <w:pgSz w:w="11910" w:h="16830"/>
          <w:pgMar w:top="580" w:right="920" w:bottom="680" w:left="840" w:header="392" w:footer="482"/>
          <w:pgNumType w:start="17"/>
        </w:sectPr>
      </w:pPr>
    </w:p>
    <w:p>
      <w:pPr>
        <w:pStyle w:val="BodyText"/>
        <w:spacing w:line="153" w:lineRule="exact"/>
        <w:ind w:left="871"/>
        <w:rPr>
          <w:sz w:val="15"/>
        </w:rPr>
      </w:pPr>
      <w:r>
        <w:rPr/>
        <ve:AlternateContent>
          <ve:Choice Requires="wps">
            <w:drawing>
              <wp:anchor distT="0" distB="0" distL="0" distR="0" simplePos="0" relativeHeight="15740928" behindDoc="0" locked="0" layoutInCell="1" allowOverlap="1">
                <wp:simplePos x="0" y="0"/>
                <wp:positionH relativeFrom="page">
                  <wp:posOffset>45793</wp:posOffset>
                </wp:positionH>
                <wp:positionV relativeFrom="page">
                  <wp:posOffset>8635694</wp:posOffset>
                </wp:positionV>
                <wp:extent cx="1270" cy="464184"/>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1270" cy="464184"/>
                        </a:xfrm>
                        <a:custGeom>
                          <a:avLst/>
                          <a:gdLst/>
                          <a:ahLst/>
                          <a:cxnLst/>
                          <a:rect l="l" t="t" r="r" b="b"/>
                          <a:pathLst>
                            <a:path w="0" h="464184">
                              <a:moveTo>
                                <a:pt x="0" y="463824"/>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40928" stroked="true" strokecolor="#000000" strokeweight=".961549pt" from="3.605807pt,716.497574pt" to="3.605807pt,679.975952pt">
                <v:stroke dashstyle="solid"/>
                <w10:wrap type="none"/>
              </v:line>
            </w:pict>
          </ve:Fallback>
        </ve:AlternateContent>
      </w:r>
      <w:r>
        <w:rPr>
          <w:position w:val="-2"/>
          <w:sz w:val="15"/>
        </w:rPr>
        <w:drawing>
          <wp:inline distT="0" distB="0" distL="0" distR="0">
            <wp:extent cx="1134613" cy="97535"/>
            <wp:effectExtent l="0" t="0" r="0" b="0"/>
            <wp:docPr id="60" name="Image 60"/>
            <wp:cNvGraphicFramePr>
              <a:graphicFrameLocks/>
            </wp:cNvGraphicFramePr>
            <a:graphic>
              <a:graphicData uri="http://schemas.openxmlformats.org/drawingml/2006/picture">
                <pic:pic>
                  <pic:nvPicPr>
                    <pic:cNvPr id="60" name="Image 60"/>
                    <pic:cNvPicPr/>
                  </pic:nvPicPr>
                  <pic:blipFill>
                    <a:blip r:embed="rId41" cstate="print"/>
                    <a:stretch>
                      <a:fillRect/>
                    </a:stretch>
                  </pic:blipFill>
                  <pic:spPr>
                    <a:xfrm>
                      <a:off x="0" y="0"/>
                      <a:ext cx="1134613" cy="97535"/>
                    </a:xfrm>
                    <a:prstGeom prst="rect">
                      <a:avLst/>
                    </a:prstGeom>
                  </pic:spPr>
                </pic:pic>
              </a:graphicData>
            </a:graphic>
          </wp:inline>
        </w:drawing>
      </w:r>
      <w:r>
        <w:rPr>
          <w:position w:val="-2"/>
          <w:sz w:val="15"/>
        </w:rPr>
      </w:r>
    </w:p>
    <w:p>
      <w:pPr>
        <w:spacing w:before="196" w:line="240" w:lineRule="auto"/>
        <w:ind w:left="862" w:right="237" w:firstLine="9"/>
        <w:jc w:val="both"/>
        <w:rPr>
          <w:sz w:val="24"/>
        </w:rPr>
      </w:pPr>
      <w:r>
        <w:rPr>
          <w:color w:val="0F0F0F"/>
          <w:sz w:val="24"/>
        </w:rPr>
        <w:t>that these stages would be</w:t>
      </w:r>
      <w:r>
        <w:rPr>
          <w:color w:val="0F0F0F"/>
          <w:spacing w:val="-5"/>
          <w:sz w:val="24"/>
        </w:rPr>
        <w:t> </w:t>
      </w:r>
      <w:r>
        <w:rPr>
          <w:color w:val="0F0F0F"/>
          <w:sz w:val="24"/>
        </w:rPr>
        <w:t>reinstated and</w:t>
      </w:r>
      <w:r>
        <w:rPr>
          <w:color w:val="0F0F0F"/>
          <w:spacing w:val="-4"/>
          <w:sz w:val="24"/>
        </w:rPr>
        <w:t> </w:t>
      </w:r>
      <w:r>
        <w:rPr>
          <w:color w:val="0F0F0F"/>
          <w:sz w:val="24"/>
        </w:rPr>
        <w:t>brought back into</w:t>
      </w:r>
      <w:r>
        <w:rPr>
          <w:color w:val="0F0F0F"/>
          <w:spacing w:val="-1"/>
          <w:sz w:val="24"/>
        </w:rPr>
        <w:t> </w:t>
      </w:r>
      <w:r>
        <w:rPr>
          <w:color w:val="0F0F0F"/>
          <w:sz w:val="24"/>
        </w:rPr>
        <w:t>use</w:t>
      </w:r>
      <w:r>
        <w:rPr>
          <w:color w:val="0F0F0F"/>
          <w:spacing w:val="-1"/>
          <w:sz w:val="24"/>
        </w:rPr>
        <w:t> </w:t>
      </w:r>
      <w:r>
        <w:rPr>
          <w:color w:val="0F0F0F"/>
          <w:sz w:val="24"/>
        </w:rPr>
        <w:t>as</w:t>
      </w:r>
      <w:r>
        <w:rPr>
          <w:color w:val="0F0F0F"/>
          <w:spacing w:val="-2"/>
          <w:sz w:val="24"/>
        </w:rPr>
        <w:t> </w:t>
      </w:r>
      <w:r>
        <w:rPr>
          <w:color w:val="0F0F0F"/>
          <w:sz w:val="24"/>
        </w:rPr>
        <w:t>soon as</w:t>
      </w:r>
      <w:r>
        <w:rPr>
          <w:color w:val="0F0F0F"/>
          <w:spacing w:val="-5"/>
          <w:sz w:val="24"/>
        </w:rPr>
        <w:t> </w:t>
      </w:r>
      <w:r>
        <w:rPr>
          <w:color w:val="0F0F0F"/>
          <w:sz w:val="24"/>
        </w:rPr>
        <w:t>possible however due to further structural issues alternatives including the demolition and rebuild</w:t>
      </w:r>
      <w:r>
        <w:rPr>
          <w:color w:val="0F0F0F"/>
          <w:spacing w:val="-12"/>
          <w:sz w:val="24"/>
        </w:rPr>
        <w:t> </w:t>
      </w:r>
      <w:r>
        <w:rPr>
          <w:color w:val="0F0F0F"/>
          <w:sz w:val="24"/>
        </w:rPr>
        <w:t>of</w:t>
      </w:r>
      <w:r>
        <w:rPr>
          <w:color w:val="0F0F0F"/>
          <w:spacing w:val="-17"/>
          <w:sz w:val="24"/>
        </w:rPr>
        <w:t> </w:t>
      </w:r>
      <w:r>
        <w:rPr>
          <w:color w:val="0F0F0F"/>
          <w:sz w:val="24"/>
        </w:rPr>
        <w:t>these</w:t>
      </w:r>
      <w:r>
        <w:rPr>
          <w:color w:val="0F0F0F"/>
          <w:spacing w:val="-7"/>
          <w:sz w:val="24"/>
        </w:rPr>
        <w:t> </w:t>
      </w:r>
      <w:r>
        <w:rPr>
          <w:color w:val="0F0F0F"/>
          <w:sz w:val="24"/>
        </w:rPr>
        <w:t>stages</w:t>
      </w:r>
      <w:r>
        <w:rPr>
          <w:color w:val="0F0F0F"/>
          <w:spacing w:val="-14"/>
          <w:sz w:val="24"/>
        </w:rPr>
        <w:t> </w:t>
      </w:r>
      <w:r>
        <w:rPr>
          <w:color w:val="0F0F0F"/>
          <w:sz w:val="24"/>
        </w:rPr>
        <w:t>have</w:t>
      </w:r>
      <w:r>
        <w:rPr>
          <w:color w:val="0F0F0F"/>
          <w:spacing w:val="-17"/>
          <w:sz w:val="24"/>
        </w:rPr>
        <w:t> </w:t>
      </w:r>
      <w:r>
        <w:rPr>
          <w:color w:val="0F0F0F"/>
          <w:sz w:val="24"/>
        </w:rPr>
        <w:t>been</w:t>
      </w:r>
      <w:r>
        <w:rPr>
          <w:color w:val="0F0F0F"/>
          <w:spacing w:val="-11"/>
          <w:sz w:val="24"/>
        </w:rPr>
        <w:t> </w:t>
      </w:r>
      <w:r>
        <w:rPr>
          <w:color w:val="0F0F0F"/>
          <w:sz w:val="24"/>
        </w:rPr>
        <w:t>considered</w:t>
      </w:r>
      <w:r>
        <w:rPr>
          <w:color w:val="0F0F0F"/>
          <w:spacing w:val="-4"/>
          <w:sz w:val="24"/>
        </w:rPr>
        <w:t> </w:t>
      </w:r>
      <w:r>
        <w:rPr>
          <w:color w:val="0F0F0F"/>
          <w:sz w:val="24"/>
        </w:rPr>
        <w:t>and</w:t>
      </w:r>
      <w:r>
        <w:rPr>
          <w:color w:val="0F0F0F"/>
          <w:spacing w:val="-17"/>
          <w:sz w:val="24"/>
        </w:rPr>
        <w:t> </w:t>
      </w:r>
      <w:r>
        <w:rPr>
          <w:color w:val="0F0F0F"/>
          <w:sz w:val="24"/>
        </w:rPr>
        <w:t>in</w:t>
      </w:r>
      <w:r>
        <w:rPr>
          <w:color w:val="0F0F0F"/>
          <w:spacing w:val="-17"/>
          <w:sz w:val="24"/>
        </w:rPr>
        <w:t> </w:t>
      </w:r>
      <w:r>
        <w:rPr>
          <w:color w:val="0F0F0F"/>
          <w:sz w:val="24"/>
        </w:rPr>
        <w:t>subsequently in</w:t>
      </w:r>
      <w:r>
        <w:rPr>
          <w:color w:val="0F0F0F"/>
          <w:spacing w:val="-17"/>
          <w:sz w:val="24"/>
        </w:rPr>
        <w:t> </w:t>
      </w:r>
      <w:r>
        <w:rPr>
          <w:color w:val="0F0F0F"/>
          <w:sz w:val="24"/>
        </w:rPr>
        <w:t>September</w:t>
      </w:r>
      <w:r>
        <w:rPr>
          <w:color w:val="0F0F0F"/>
          <w:spacing w:val="-3"/>
          <w:sz w:val="24"/>
        </w:rPr>
        <w:t> </w:t>
      </w:r>
      <w:r>
        <w:rPr>
          <w:color w:val="0F0F0F"/>
          <w:sz w:val="24"/>
        </w:rPr>
        <w:t>2023 the full Council approved a significant project for the demolition and rebuild of these </w:t>
      </w:r>
      <w:r>
        <w:rPr>
          <w:color w:val="0F0F0F"/>
          <w:spacing w:val="-2"/>
          <w:sz w:val="24"/>
        </w:rPr>
        <w:t>stages.</w:t>
      </w:r>
    </w:p>
    <w:p>
      <w:pPr>
        <w:pStyle w:val="BodyText"/>
        <w:spacing w:before="1"/>
        <w:rPr>
          <w:sz w:val="24"/>
        </w:rPr>
      </w:pPr>
    </w:p>
    <w:p>
      <w:pPr>
        <w:spacing w:before="1"/>
        <w:ind w:left="857" w:right="0" w:firstLine="0"/>
        <w:jc w:val="both"/>
        <w:rPr>
          <w:b/>
          <w:i/>
          <w:sz w:val="23"/>
        </w:rPr>
      </w:pPr>
      <w:r>
        <w:rPr>
          <w:b/>
          <w:i/>
          <w:color w:val="0F0F0F"/>
          <w:w w:val="105"/>
          <w:sz w:val="23"/>
        </w:rPr>
        <w:t>Parking</w:t>
      </w:r>
      <w:r>
        <w:rPr>
          <w:b/>
          <w:i/>
          <w:color w:val="0F0F0F"/>
          <w:spacing w:val="1"/>
          <w:w w:val="105"/>
          <w:sz w:val="23"/>
        </w:rPr>
        <w:t> </w:t>
      </w:r>
      <w:r>
        <w:rPr>
          <w:b/>
          <w:i/>
          <w:color w:val="0F0F0F"/>
          <w:spacing w:val="-2"/>
          <w:w w:val="105"/>
          <w:sz w:val="23"/>
        </w:rPr>
        <w:t>Partnership</w:t>
      </w:r>
    </w:p>
    <w:p>
      <w:pPr>
        <w:spacing w:before="4" w:line="240" w:lineRule="auto"/>
        <w:ind w:left="845" w:right="257" w:firstLine="3"/>
        <w:jc w:val="both"/>
        <w:rPr>
          <w:sz w:val="24"/>
        </w:rPr>
      </w:pPr>
      <w:r>
        <w:rPr>
          <w:color w:val="0F0F0F"/>
          <w:sz w:val="24"/>
        </w:rPr>
        <w:t>In addition </w:t>
      </w:r>
      <w:r>
        <w:rPr>
          <w:color w:val="262626"/>
          <w:sz w:val="24"/>
        </w:rPr>
        <w:t>to </w:t>
      </w:r>
      <w:r>
        <w:rPr>
          <w:color w:val="0F0F0F"/>
          <w:sz w:val="24"/>
        </w:rPr>
        <w:t>our existing partnerships for the delivery of services, such as building control and the</w:t>
      </w:r>
      <w:r>
        <w:rPr>
          <w:color w:val="0F0F0F"/>
          <w:spacing w:val="-5"/>
          <w:sz w:val="24"/>
        </w:rPr>
        <w:t> </w:t>
      </w:r>
      <w:r>
        <w:rPr>
          <w:color w:val="0F0F0F"/>
          <w:sz w:val="24"/>
        </w:rPr>
        <w:t>anti-fraud service, the Council has</w:t>
      </w:r>
      <w:r>
        <w:rPr>
          <w:color w:val="0F0F0F"/>
          <w:spacing w:val="-1"/>
          <w:sz w:val="24"/>
        </w:rPr>
        <w:t> </w:t>
      </w:r>
      <w:r>
        <w:rPr>
          <w:color w:val="0F0F0F"/>
          <w:sz w:val="24"/>
        </w:rPr>
        <w:t>entered into a parking partnership arrangement</w:t>
      </w:r>
      <w:r>
        <w:rPr>
          <w:color w:val="0F0F0F"/>
          <w:spacing w:val="-17"/>
          <w:sz w:val="24"/>
        </w:rPr>
        <w:t> </w:t>
      </w:r>
      <w:r>
        <w:rPr>
          <w:color w:val="0F0F0F"/>
          <w:sz w:val="24"/>
        </w:rPr>
        <w:t>with</w:t>
      </w:r>
      <w:r>
        <w:rPr>
          <w:color w:val="0F0F0F"/>
          <w:spacing w:val="-17"/>
          <w:sz w:val="24"/>
        </w:rPr>
        <w:t> </w:t>
      </w:r>
      <w:r>
        <w:rPr>
          <w:color w:val="0F0F0F"/>
          <w:sz w:val="24"/>
        </w:rPr>
        <w:t>Three</w:t>
      </w:r>
      <w:r>
        <w:rPr>
          <w:color w:val="0F0F0F"/>
          <w:spacing w:val="-16"/>
          <w:sz w:val="24"/>
        </w:rPr>
        <w:t> </w:t>
      </w:r>
      <w:r>
        <w:rPr>
          <w:color w:val="0F0F0F"/>
          <w:sz w:val="24"/>
        </w:rPr>
        <w:t>Rivers</w:t>
      </w:r>
      <w:r>
        <w:rPr>
          <w:color w:val="0F0F0F"/>
          <w:spacing w:val="-14"/>
          <w:sz w:val="24"/>
        </w:rPr>
        <w:t> </w:t>
      </w:r>
      <w:r>
        <w:rPr>
          <w:color w:val="0F0F0F"/>
          <w:sz w:val="24"/>
        </w:rPr>
        <w:t>District</w:t>
      </w:r>
      <w:r>
        <w:rPr>
          <w:color w:val="0F0F0F"/>
          <w:spacing w:val="-7"/>
          <w:sz w:val="24"/>
        </w:rPr>
        <w:t> </w:t>
      </w:r>
      <w:r>
        <w:rPr>
          <w:color w:val="0F0F0F"/>
          <w:sz w:val="24"/>
        </w:rPr>
        <w:t>Council</w:t>
      </w:r>
      <w:r>
        <w:rPr>
          <w:color w:val="0F0F0F"/>
          <w:spacing w:val="-13"/>
          <w:sz w:val="24"/>
        </w:rPr>
        <w:t> </w:t>
      </w:r>
      <w:r>
        <w:rPr>
          <w:color w:val="0F0F0F"/>
          <w:sz w:val="24"/>
        </w:rPr>
        <w:t>on</w:t>
      </w:r>
      <w:r>
        <w:rPr>
          <w:color w:val="0F0F0F"/>
          <w:spacing w:val="-17"/>
          <w:sz w:val="24"/>
        </w:rPr>
        <w:t> </w:t>
      </w:r>
      <w:r>
        <w:rPr>
          <w:color w:val="0F0F0F"/>
          <w:sz w:val="24"/>
        </w:rPr>
        <w:t>1</w:t>
      </w:r>
      <w:r>
        <w:rPr>
          <w:color w:val="0F0F0F"/>
          <w:spacing w:val="-17"/>
          <w:sz w:val="24"/>
        </w:rPr>
        <w:t> </w:t>
      </w:r>
      <w:r>
        <w:rPr>
          <w:color w:val="0F0F0F"/>
          <w:sz w:val="24"/>
        </w:rPr>
        <w:t>April</w:t>
      </w:r>
      <w:r>
        <w:rPr>
          <w:color w:val="0F0F0F"/>
          <w:spacing w:val="-16"/>
          <w:sz w:val="24"/>
        </w:rPr>
        <w:t> </w:t>
      </w:r>
      <w:r>
        <w:rPr>
          <w:color w:val="0F0F0F"/>
          <w:sz w:val="24"/>
        </w:rPr>
        <w:t>2018,</w:t>
      </w:r>
      <w:r>
        <w:rPr>
          <w:color w:val="0F0F0F"/>
          <w:spacing w:val="-17"/>
          <w:sz w:val="24"/>
        </w:rPr>
        <w:t> </w:t>
      </w:r>
      <w:r>
        <w:rPr>
          <w:color w:val="0F0F0F"/>
          <w:sz w:val="24"/>
        </w:rPr>
        <w:t>generating</w:t>
      </w:r>
      <w:r>
        <w:rPr>
          <w:color w:val="0F0F0F"/>
          <w:spacing w:val="-7"/>
          <w:sz w:val="24"/>
        </w:rPr>
        <w:t> </w:t>
      </w:r>
      <w:r>
        <w:rPr>
          <w:color w:val="0F0F0F"/>
          <w:sz w:val="24"/>
        </w:rPr>
        <w:t>efficiencies for both Council's, which covers all</w:t>
      </w:r>
      <w:r>
        <w:rPr>
          <w:color w:val="0F0F0F"/>
          <w:spacing w:val="-11"/>
          <w:sz w:val="24"/>
        </w:rPr>
        <w:t> </w:t>
      </w:r>
      <w:r>
        <w:rPr>
          <w:color w:val="0F0F0F"/>
          <w:sz w:val="24"/>
        </w:rPr>
        <w:t>parking enforcement and</w:t>
      </w:r>
      <w:r>
        <w:rPr>
          <w:color w:val="0F0F0F"/>
          <w:spacing w:val="-1"/>
          <w:sz w:val="24"/>
        </w:rPr>
        <w:t> </w:t>
      </w:r>
      <w:r>
        <w:rPr>
          <w:color w:val="0F0F0F"/>
          <w:sz w:val="24"/>
        </w:rPr>
        <w:t>support services.</w:t>
      </w:r>
    </w:p>
    <w:p>
      <w:pPr>
        <w:pStyle w:val="BodyText"/>
        <w:spacing w:before="20"/>
        <w:rPr>
          <w:sz w:val="23"/>
        </w:rPr>
      </w:pPr>
    </w:p>
    <w:p>
      <w:pPr>
        <w:spacing w:before="1"/>
        <w:ind w:left="840" w:right="0" w:firstLine="0"/>
        <w:jc w:val="both"/>
        <w:rPr>
          <w:b/>
          <w:sz w:val="23"/>
        </w:rPr>
      </w:pPr>
      <w:r>
        <w:rPr>
          <w:b/>
          <w:color w:val="0F0F0F"/>
          <w:w w:val="105"/>
          <w:sz w:val="23"/>
          <w:u w:val="thick" w:color="0F0F0F"/>
        </w:rPr>
        <w:t>Planning</w:t>
      </w:r>
      <w:r>
        <w:rPr>
          <w:b/>
          <w:color w:val="0F0F0F"/>
          <w:spacing w:val="7"/>
          <w:w w:val="105"/>
          <w:sz w:val="23"/>
          <w:u w:val="thick" w:color="0F0F0F"/>
        </w:rPr>
        <w:t> </w:t>
      </w:r>
      <w:r>
        <w:rPr>
          <w:b/>
          <w:color w:val="0F0F0F"/>
          <w:w w:val="105"/>
          <w:sz w:val="23"/>
          <w:u w:val="thick" w:color="0F0F0F"/>
        </w:rPr>
        <w:t>for</w:t>
      </w:r>
      <w:r>
        <w:rPr>
          <w:b/>
          <w:color w:val="0F0F0F"/>
          <w:spacing w:val="-4"/>
          <w:w w:val="105"/>
          <w:sz w:val="23"/>
          <w:u w:val="thick" w:color="0F0F0F"/>
        </w:rPr>
        <w:t> </w:t>
      </w:r>
      <w:r>
        <w:rPr>
          <w:b/>
          <w:color w:val="0F0F0F"/>
          <w:w w:val="105"/>
          <w:sz w:val="23"/>
          <w:u w:val="thick" w:color="0F0F0F"/>
        </w:rPr>
        <w:t>the</w:t>
      </w:r>
      <w:r>
        <w:rPr>
          <w:b/>
          <w:color w:val="0F0F0F"/>
          <w:spacing w:val="-9"/>
          <w:w w:val="105"/>
          <w:sz w:val="23"/>
          <w:u w:val="thick" w:color="0F0F0F"/>
        </w:rPr>
        <w:t> </w:t>
      </w:r>
      <w:r>
        <w:rPr>
          <w:b/>
          <w:color w:val="0F0F0F"/>
          <w:spacing w:val="-2"/>
          <w:w w:val="105"/>
          <w:sz w:val="23"/>
          <w:u w:val="thick" w:color="0F0F0F"/>
        </w:rPr>
        <w:t>Future</w:t>
      </w:r>
    </w:p>
    <w:p>
      <w:pPr>
        <w:pStyle w:val="BodyText"/>
        <w:spacing w:before="21"/>
        <w:rPr>
          <w:b/>
          <w:sz w:val="23"/>
        </w:rPr>
      </w:pPr>
    </w:p>
    <w:p>
      <w:pPr>
        <w:spacing w:before="0" w:line="237" w:lineRule="auto"/>
        <w:ind w:left="827" w:right="280" w:firstLine="5"/>
        <w:jc w:val="both"/>
        <w:rPr>
          <w:sz w:val="24"/>
        </w:rPr>
      </w:pPr>
      <w:r>
        <w:rPr>
          <w:color w:val="0F0F0F"/>
          <w:sz w:val="24"/>
        </w:rPr>
        <w:t>A</w:t>
      </w:r>
      <w:r>
        <w:rPr>
          <w:color w:val="0F0F0F"/>
          <w:spacing w:val="-13"/>
          <w:sz w:val="24"/>
        </w:rPr>
        <w:t> </w:t>
      </w:r>
      <w:r>
        <w:rPr>
          <w:color w:val="0F0F0F"/>
          <w:sz w:val="24"/>
        </w:rPr>
        <w:t>key</w:t>
      </w:r>
      <w:r>
        <w:rPr>
          <w:color w:val="0F0F0F"/>
          <w:spacing w:val="-8"/>
          <w:sz w:val="24"/>
        </w:rPr>
        <w:t> </w:t>
      </w:r>
      <w:r>
        <w:rPr>
          <w:color w:val="0F0F0F"/>
          <w:sz w:val="24"/>
        </w:rPr>
        <w:t>role</w:t>
      </w:r>
      <w:r>
        <w:rPr>
          <w:color w:val="0F0F0F"/>
          <w:spacing w:val="-7"/>
          <w:sz w:val="24"/>
        </w:rPr>
        <w:t> </w:t>
      </w:r>
      <w:r>
        <w:rPr>
          <w:color w:val="0F0F0F"/>
          <w:sz w:val="24"/>
        </w:rPr>
        <w:t>of</w:t>
      </w:r>
      <w:r>
        <w:rPr>
          <w:color w:val="0F0F0F"/>
          <w:spacing w:val="-16"/>
          <w:sz w:val="24"/>
        </w:rPr>
        <w:t> </w:t>
      </w:r>
      <w:r>
        <w:rPr>
          <w:color w:val="0F0F0F"/>
          <w:sz w:val="24"/>
        </w:rPr>
        <w:t>the</w:t>
      </w:r>
      <w:r>
        <w:rPr>
          <w:color w:val="0F0F0F"/>
          <w:spacing w:val="-17"/>
          <w:sz w:val="24"/>
        </w:rPr>
        <w:t> </w:t>
      </w:r>
      <w:r>
        <w:rPr>
          <w:color w:val="0F0F0F"/>
          <w:sz w:val="24"/>
        </w:rPr>
        <w:t>Council</w:t>
      </w:r>
      <w:r>
        <w:rPr>
          <w:color w:val="0F0F0F"/>
          <w:spacing w:val="-6"/>
          <w:sz w:val="24"/>
        </w:rPr>
        <w:t> </w:t>
      </w:r>
      <w:r>
        <w:rPr>
          <w:color w:val="0F0F0F"/>
          <w:sz w:val="24"/>
        </w:rPr>
        <w:t>is</w:t>
      </w:r>
      <w:r>
        <w:rPr>
          <w:color w:val="0F0F0F"/>
          <w:spacing w:val="-17"/>
          <w:sz w:val="24"/>
        </w:rPr>
        <w:t> </w:t>
      </w:r>
      <w:r>
        <w:rPr>
          <w:color w:val="0F0F0F"/>
          <w:sz w:val="24"/>
        </w:rPr>
        <w:t>to</w:t>
      </w:r>
      <w:r>
        <w:rPr>
          <w:color w:val="0F0F0F"/>
          <w:spacing w:val="-13"/>
          <w:sz w:val="24"/>
        </w:rPr>
        <w:t> </w:t>
      </w:r>
      <w:r>
        <w:rPr>
          <w:color w:val="0F0F0F"/>
          <w:sz w:val="24"/>
        </w:rPr>
        <w:t>help</w:t>
      </w:r>
      <w:r>
        <w:rPr>
          <w:color w:val="0F0F0F"/>
          <w:spacing w:val="-5"/>
          <w:sz w:val="24"/>
        </w:rPr>
        <w:t> </w:t>
      </w:r>
      <w:r>
        <w:rPr>
          <w:color w:val="0F0F0F"/>
          <w:sz w:val="24"/>
        </w:rPr>
        <w:t>shape</w:t>
      </w:r>
      <w:r>
        <w:rPr>
          <w:color w:val="0F0F0F"/>
          <w:spacing w:val="-13"/>
          <w:sz w:val="24"/>
        </w:rPr>
        <w:t> </w:t>
      </w:r>
      <w:r>
        <w:rPr>
          <w:color w:val="0F0F0F"/>
          <w:sz w:val="24"/>
        </w:rPr>
        <w:t>the</w:t>
      </w:r>
      <w:r>
        <w:rPr>
          <w:color w:val="0F0F0F"/>
          <w:spacing w:val="-17"/>
          <w:sz w:val="24"/>
        </w:rPr>
        <w:t> </w:t>
      </w:r>
      <w:r>
        <w:rPr>
          <w:color w:val="0F0F0F"/>
          <w:sz w:val="24"/>
        </w:rPr>
        <w:t>future of</w:t>
      </w:r>
      <w:r>
        <w:rPr>
          <w:color w:val="0F0F0F"/>
          <w:spacing w:val="-16"/>
          <w:sz w:val="24"/>
        </w:rPr>
        <w:t> </w:t>
      </w:r>
      <w:r>
        <w:rPr>
          <w:color w:val="0F0F0F"/>
          <w:sz w:val="24"/>
        </w:rPr>
        <w:t>the</w:t>
      </w:r>
      <w:r>
        <w:rPr>
          <w:color w:val="0F0F0F"/>
          <w:spacing w:val="-17"/>
          <w:sz w:val="24"/>
        </w:rPr>
        <w:t> </w:t>
      </w:r>
      <w:r>
        <w:rPr>
          <w:color w:val="0F0F0F"/>
          <w:sz w:val="24"/>
        </w:rPr>
        <w:t>borough and</w:t>
      </w:r>
      <w:r>
        <w:rPr>
          <w:color w:val="0F0F0F"/>
          <w:spacing w:val="-16"/>
          <w:sz w:val="24"/>
        </w:rPr>
        <w:t> </w:t>
      </w:r>
      <w:r>
        <w:rPr>
          <w:color w:val="0F0F0F"/>
          <w:sz w:val="24"/>
        </w:rPr>
        <w:t>during</w:t>
      </w:r>
      <w:r>
        <w:rPr>
          <w:color w:val="0F0F0F"/>
          <w:spacing w:val="-9"/>
          <w:sz w:val="24"/>
        </w:rPr>
        <w:t> </w:t>
      </w:r>
      <w:r>
        <w:rPr>
          <w:color w:val="0F0F0F"/>
          <w:sz w:val="24"/>
        </w:rPr>
        <w:t>2022/23 we have </w:t>
      </w:r>
      <w:r>
        <w:rPr>
          <w:color w:val="363636"/>
          <w:sz w:val="24"/>
        </w:rPr>
        <w:t>invested </w:t>
      </w:r>
      <w:r>
        <w:rPr>
          <w:color w:val="0F0F0F"/>
          <w:sz w:val="24"/>
        </w:rPr>
        <w:t>more than £14 million in capital projects.</w:t>
      </w:r>
    </w:p>
    <w:p>
      <w:pPr>
        <w:pStyle w:val="BodyText"/>
        <w:spacing w:before="11"/>
        <w:rPr>
          <w:sz w:val="24"/>
        </w:rPr>
      </w:pPr>
    </w:p>
    <w:p>
      <w:pPr>
        <w:spacing w:before="0"/>
        <w:ind w:left="823" w:right="0" w:firstLine="0"/>
        <w:jc w:val="both"/>
        <w:rPr>
          <w:b/>
          <w:i/>
          <w:sz w:val="23"/>
        </w:rPr>
      </w:pPr>
      <w:r>
        <w:rPr>
          <w:b/>
          <w:i/>
          <w:color w:val="0F0F0F"/>
          <w:w w:val="105"/>
          <w:sz w:val="23"/>
        </w:rPr>
        <w:t>Expenditure</w:t>
      </w:r>
      <w:r>
        <w:rPr>
          <w:b/>
          <w:i/>
          <w:color w:val="0F0F0F"/>
          <w:spacing w:val="7"/>
          <w:w w:val="105"/>
          <w:sz w:val="23"/>
        </w:rPr>
        <w:t> </w:t>
      </w:r>
      <w:r>
        <w:rPr>
          <w:b/>
          <w:i/>
          <w:color w:val="0F0F0F"/>
          <w:w w:val="105"/>
          <w:sz w:val="23"/>
        </w:rPr>
        <w:t>on</w:t>
      </w:r>
      <w:r>
        <w:rPr>
          <w:b/>
          <w:i/>
          <w:color w:val="0F0F0F"/>
          <w:spacing w:val="-14"/>
          <w:w w:val="105"/>
          <w:sz w:val="23"/>
        </w:rPr>
        <w:t> </w:t>
      </w:r>
      <w:r>
        <w:rPr>
          <w:b/>
          <w:i/>
          <w:color w:val="0F0F0F"/>
          <w:spacing w:val="-4"/>
          <w:w w:val="105"/>
          <w:sz w:val="23"/>
        </w:rPr>
        <w:t>Parks</w:t>
      </w:r>
    </w:p>
    <w:p>
      <w:pPr>
        <w:spacing w:before="5" w:line="240" w:lineRule="auto"/>
        <w:ind w:left="810" w:right="270" w:firstLine="5"/>
        <w:jc w:val="both"/>
        <w:rPr>
          <w:sz w:val="24"/>
        </w:rPr>
      </w:pPr>
      <w:r>
        <w:rPr>
          <w:color w:val="0F0F0F"/>
          <w:sz w:val="24"/>
        </w:rPr>
        <w:t>We continue to invest in our parks and green spaces including phase two of the Meadow Park</w:t>
      </w:r>
      <w:r>
        <w:rPr>
          <w:color w:val="0F0F0F"/>
          <w:spacing w:val="-3"/>
          <w:sz w:val="24"/>
        </w:rPr>
        <w:t> </w:t>
      </w:r>
      <w:r>
        <w:rPr>
          <w:color w:val="0F0F0F"/>
          <w:sz w:val="24"/>
        </w:rPr>
        <w:t>redevelopment which</w:t>
      </w:r>
      <w:r>
        <w:rPr>
          <w:color w:val="0F0F0F"/>
          <w:spacing w:val="-2"/>
          <w:sz w:val="24"/>
        </w:rPr>
        <w:t> </w:t>
      </w:r>
      <w:r>
        <w:rPr>
          <w:color w:val="0F0F0F"/>
          <w:sz w:val="24"/>
        </w:rPr>
        <w:t>is</w:t>
      </w:r>
      <w:r>
        <w:rPr>
          <w:color w:val="0F0F0F"/>
          <w:spacing w:val="-12"/>
          <w:sz w:val="24"/>
        </w:rPr>
        <w:t> </w:t>
      </w:r>
      <w:r>
        <w:rPr>
          <w:color w:val="0F0F0F"/>
          <w:sz w:val="24"/>
        </w:rPr>
        <w:t>ongoing, ensuring</w:t>
      </w:r>
      <w:r>
        <w:rPr>
          <w:color w:val="0F0F0F"/>
          <w:spacing w:val="-5"/>
          <w:sz w:val="24"/>
        </w:rPr>
        <w:t> </w:t>
      </w:r>
      <w:r>
        <w:rPr>
          <w:color w:val="0F0F0F"/>
          <w:sz w:val="24"/>
        </w:rPr>
        <w:t>that</w:t>
      </w:r>
      <w:r>
        <w:rPr>
          <w:color w:val="0F0F0F"/>
          <w:spacing w:val="-13"/>
          <w:sz w:val="24"/>
        </w:rPr>
        <w:t> </w:t>
      </w:r>
      <w:r>
        <w:rPr>
          <w:color w:val="0F0F0F"/>
          <w:sz w:val="24"/>
        </w:rPr>
        <w:t>green and</w:t>
      </w:r>
      <w:r>
        <w:rPr>
          <w:color w:val="0F0F0F"/>
          <w:spacing w:val="-16"/>
          <w:sz w:val="24"/>
        </w:rPr>
        <w:t> </w:t>
      </w:r>
      <w:r>
        <w:rPr>
          <w:color w:val="0F0F0F"/>
          <w:sz w:val="24"/>
        </w:rPr>
        <w:t>open</w:t>
      </w:r>
      <w:r>
        <w:rPr>
          <w:color w:val="0F0F0F"/>
          <w:spacing w:val="-7"/>
          <w:sz w:val="24"/>
        </w:rPr>
        <w:t> </w:t>
      </w:r>
      <w:r>
        <w:rPr>
          <w:color w:val="0F0F0F"/>
          <w:sz w:val="24"/>
        </w:rPr>
        <w:t>spaces are available for future use.</w:t>
      </w:r>
    </w:p>
    <w:p>
      <w:pPr>
        <w:pStyle w:val="BodyText"/>
        <w:spacing w:before="11"/>
        <w:rPr>
          <w:sz w:val="24"/>
        </w:rPr>
      </w:pPr>
    </w:p>
    <w:p>
      <w:pPr>
        <w:spacing w:before="0"/>
        <w:ind w:left="803" w:right="0" w:firstLine="0"/>
        <w:jc w:val="both"/>
        <w:rPr>
          <w:b/>
          <w:i/>
          <w:sz w:val="23"/>
        </w:rPr>
      </w:pPr>
      <w:r>
        <w:rPr>
          <w:b/>
          <w:i/>
          <w:color w:val="0F0F0F"/>
          <w:w w:val="105"/>
          <w:sz w:val="23"/>
        </w:rPr>
        <w:t>Lead</w:t>
      </w:r>
      <w:r>
        <w:rPr>
          <w:b/>
          <w:i/>
          <w:color w:val="0F0F0F"/>
          <w:spacing w:val="-6"/>
          <w:w w:val="105"/>
          <w:sz w:val="23"/>
        </w:rPr>
        <w:t> </w:t>
      </w:r>
      <w:r>
        <w:rPr>
          <w:b/>
          <w:i/>
          <w:color w:val="0F0F0F"/>
          <w:w w:val="105"/>
          <w:sz w:val="23"/>
        </w:rPr>
        <w:t>role</w:t>
      </w:r>
      <w:r>
        <w:rPr>
          <w:b/>
          <w:i/>
          <w:color w:val="0F0F0F"/>
          <w:spacing w:val="-14"/>
          <w:w w:val="105"/>
          <w:sz w:val="23"/>
        </w:rPr>
        <w:t> </w:t>
      </w:r>
      <w:r>
        <w:rPr>
          <w:b/>
          <w:i/>
          <w:color w:val="0F0F0F"/>
          <w:w w:val="105"/>
          <w:sz w:val="23"/>
        </w:rPr>
        <w:t>on</w:t>
      </w:r>
      <w:r>
        <w:rPr>
          <w:b/>
          <w:i/>
          <w:color w:val="0F0F0F"/>
          <w:spacing w:val="-8"/>
          <w:w w:val="105"/>
          <w:sz w:val="23"/>
        </w:rPr>
        <w:t> </w:t>
      </w:r>
      <w:r>
        <w:rPr>
          <w:b/>
          <w:i/>
          <w:color w:val="0F0F0F"/>
          <w:w w:val="105"/>
          <w:sz w:val="23"/>
        </w:rPr>
        <w:t>ParksHerts</w:t>
      </w:r>
      <w:r>
        <w:rPr>
          <w:b/>
          <w:i/>
          <w:color w:val="0F0F0F"/>
          <w:spacing w:val="8"/>
          <w:w w:val="105"/>
          <w:sz w:val="23"/>
        </w:rPr>
        <w:t> </w:t>
      </w:r>
      <w:r>
        <w:rPr>
          <w:b/>
          <w:i/>
          <w:color w:val="0F0F0F"/>
          <w:spacing w:val="-2"/>
          <w:w w:val="105"/>
          <w:sz w:val="23"/>
        </w:rPr>
        <w:t>delivery</w:t>
      </w:r>
    </w:p>
    <w:p>
      <w:pPr>
        <w:spacing w:before="7" w:line="237" w:lineRule="auto"/>
        <w:ind w:left="788" w:right="285" w:firstLine="5"/>
        <w:jc w:val="both"/>
        <w:rPr>
          <w:sz w:val="24"/>
        </w:rPr>
      </w:pPr>
      <w:r>
        <w:rPr>
          <w:color w:val="0F0F0F"/>
          <w:sz w:val="24"/>
        </w:rPr>
        <w:t>Hertsmere</w:t>
      </w:r>
      <w:r>
        <w:rPr>
          <w:color w:val="0F0F0F"/>
          <w:spacing w:val="-8"/>
          <w:sz w:val="24"/>
        </w:rPr>
        <w:t> </w:t>
      </w:r>
      <w:r>
        <w:rPr>
          <w:color w:val="0F0F0F"/>
          <w:sz w:val="24"/>
        </w:rPr>
        <w:t>Council</w:t>
      </w:r>
      <w:r>
        <w:rPr>
          <w:color w:val="0F0F0F"/>
          <w:spacing w:val="-8"/>
          <w:sz w:val="24"/>
        </w:rPr>
        <w:t> </w:t>
      </w:r>
      <w:r>
        <w:rPr>
          <w:color w:val="0F0F0F"/>
          <w:sz w:val="24"/>
        </w:rPr>
        <w:t>continue</w:t>
      </w:r>
      <w:r>
        <w:rPr>
          <w:color w:val="0F0F0F"/>
          <w:spacing w:val="-12"/>
          <w:sz w:val="24"/>
        </w:rPr>
        <w:t> </w:t>
      </w:r>
      <w:r>
        <w:rPr>
          <w:color w:val="0F0F0F"/>
          <w:sz w:val="24"/>
        </w:rPr>
        <w:t>to</w:t>
      </w:r>
      <w:r>
        <w:rPr>
          <w:color w:val="0F0F0F"/>
          <w:spacing w:val="-17"/>
          <w:sz w:val="24"/>
        </w:rPr>
        <w:t> </w:t>
      </w:r>
      <w:r>
        <w:rPr>
          <w:color w:val="0F0F0F"/>
          <w:sz w:val="24"/>
        </w:rPr>
        <w:t>take</w:t>
      </w:r>
      <w:r>
        <w:rPr>
          <w:color w:val="0F0F0F"/>
          <w:spacing w:val="-17"/>
          <w:sz w:val="24"/>
        </w:rPr>
        <w:t> </w:t>
      </w:r>
      <w:r>
        <w:rPr>
          <w:color w:val="0F0F0F"/>
          <w:sz w:val="24"/>
        </w:rPr>
        <w:t>the</w:t>
      </w:r>
      <w:r>
        <w:rPr>
          <w:color w:val="0F0F0F"/>
          <w:spacing w:val="-13"/>
          <w:sz w:val="24"/>
        </w:rPr>
        <w:t> </w:t>
      </w:r>
      <w:r>
        <w:rPr>
          <w:color w:val="0F0F0F"/>
          <w:sz w:val="24"/>
        </w:rPr>
        <w:t>lead</w:t>
      </w:r>
      <w:r>
        <w:rPr>
          <w:color w:val="0F0F0F"/>
          <w:spacing w:val="-8"/>
          <w:sz w:val="24"/>
        </w:rPr>
        <w:t> </w:t>
      </w:r>
      <w:r>
        <w:rPr>
          <w:color w:val="0F0F0F"/>
          <w:sz w:val="24"/>
        </w:rPr>
        <w:t>on</w:t>
      </w:r>
      <w:r>
        <w:rPr>
          <w:color w:val="0F0F0F"/>
          <w:spacing w:val="-13"/>
          <w:sz w:val="24"/>
        </w:rPr>
        <w:t> </w:t>
      </w:r>
      <w:r>
        <w:rPr>
          <w:color w:val="0F0F0F"/>
          <w:sz w:val="24"/>
        </w:rPr>
        <w:t>the</w:t>
      </w:r>
      <w:r>
        <w:rPr>
          <w:color w:val="0F0F0F"/>
          <w:spacing w:val="-16"/>
          <w:sz w:val="24"/>
        </w:rPr>
        <w:t> </w:t>
      </w:r>
      <w:r>
        <w:rPr>
          <w:color w:val="0F0F0F"/>
          <w:sz w:val="24"/>
        </w:rPr>
        <w:t>ParksHerts website. This</w:t>
      </w:r>
      <w:r>
        <w:rPr>
          <w:color w:val="0F0F0F"/>
          <w:spacing w:val="-11"/>
          <w:sz w:val="24"/>
        </w:rPr>
        <w:t> </w:t>
      </w:r>
      <w:r>
        <w:rPr>
          <w:color w:val="0F0F0F"/>
          <w:sz w:val="24"/>
        </w:rPr>
        <w:t>is</w:t>
      </w:r>
      <w:r>
        <w:rPr>
          <w:color w:val="0F0F0F"/>
          <w:spacing w:val="-17"/>
          <w:sz w:val="24"/>
        </w:rPr>
        <w:t> </w:t>
      </w:r>
      <w:r>
        <w:rPr>
          <w:color w:val="0F0F0F"/>
          <w:sz w:val="24"/>
        </w:rPr>
        <w:t>funded by</w:t>
      </w:r>
      <w:r>
        <w:rPr>
          <w:color w:val="0F0F0F"/>
          <w:spacing w:val="-2"/>
          <w:sz w:val="24"/>
        </w:rPr>
        <w:t> </w:t>
      </w:r>
      <w:r>
        <w:rPr>
          <w:color w:val="0F0F0F"/>
          <w:sz w:val="24"/>
        </w:rPr>
        <w:t>all</w:t>
      </w:r>
      <w:r>
        <w:rPr>
          <w:color w:val="0F0F0F"/>
          <w:spacing w:val="-7"/>
          <w:sz w:val="24"/>
        </w:rPr>
        <w:t> </w:t>
      </w:r>
      <w:r>
        <w:rPr>
          <w:color w:val="0F0F0F"/>
          <w:sz w:val="24"/>
        </w:rPr>
        <w:t>ten</w:t>
      </w:r>
      <w:r>
        <w:rPr>
          <w:color w:val="0F0F0F"/>
          <w:spacing w:val="-1"/>
          <w:sz w:val="24"/>
        </w:rPr>
        <w:t> </w:t>
      </w:r>
      <w:r>
        <w:rPr>
          <w:color w:val="0F0F0F"/>
          <w:sz w:val="24"/>
        </w:rPr>
        <w:t>District councils in</w:t>
      </w:r>
      <w:r>
        <w:rPr>
          <w:color w:val="0F0F0F"/>
          <w:spacing w:val="-11"/>
          <w:sz w:val="24"/>
        </w:rPr>
        <w:t> </w:t>
      </w:r>
      <w:r>
        <w:rPr>
          <w:color w:val="0F0F0F"/>
          <w:sz w:val="24"/>
        </w:rPr>
        <w:t>Hertfordshire,</w:t>
      </w:r>
      <w:r>
        <w:rPr>
          <w:color w:val="0F0F0F"/>
          <w:spacing w:val="-10"/>
          <w:sz w:val="24"/>
        </w:rPr>
        <w:t> </w:t>
      </w:r>
      <w:r>
        <w:rPr>
          <w:color w:val="0F0F0F"/>
          <w:sz w:val="24"/>
        </w:rPr>
        <w:t>to</w:t>
      </w:r>
      <w:r>
        <w:rPr>
          <w:color w:val="0F0F0F"/>
          <w:spacing w:val="-13"/>
          <w:sz w:val="24"/>
        </w:rPr>
        <w:t> </w:t>
      </w:r>
      <w:r>
        <w:rPr>
          <w:color w:val="0F0F0F"/>
          <w:sz w:val="24"/>
        </w:rPr>
        <w:t>promote all</w:t>
      </w:r>
      <w:r>
        <w:rPr>
          <w:color w:val="0F0F0F"/>
          <w:spacing w:val="-7"/>
          <w:sz w:val="24"/>
        </w:rPr>
        <w:t> </w:t>
      </w:r>
      <w:r>
        <w:rPr>
          <w:color w:val="0F0F0F"/>
          <w:sz w:val="24"/>
        </w:rPr>
        <w:t>year round</w:t>
      </w:r>
      <w:r>
        <w:rPr>
          <w:color w:val="0F0F0F"/>
          <w:spacing w:val="-1"/>
          <w:sz w:val="24"/>
        </w:rPr>
        <w:t> </w:t>
      </w:r>
      <w:r>
        <w:rPr>
          <w:color w:val="0F0F0F"/>
          <w:sz w:val="24"/>
        </w:rPr>
        <w:t>outdoor exercise by encouraging people</w:t>
      </w:r>
      <w:r>
        <w:rPr>
          <w:color w:val="0F0F0F"/>
          <w:spacing w:val="-2"/>
          <w:sz w:val="24"/>
        </w:rPr>
        <w:t> </w:t>
      </w:r>
      <w:r>
        <w:rPr>
          <w:color w:val="0F0F0F"/>
          <w:sz w:val="24"/>
        </w:rPr>
        <w:t>to</w:t>
      </w:r>
      <w:r>
        <w:rPr>
          <w:color w:val="0F0F0F"/>
          <w:spacing w:val="-2"/>
          <w:sz w:val="24"/>
        </w:rPr>
        <w:t> </w:t>
      </w:r>
      <w:r>
        <w:rPr>
          <w:color w:val="0F0F0F"/>
          <w:sz w:val="24"/>
        </w:rPr>
        <w:t>visit Hertfordshire's</w:t>
      </w:r>
      <w:r>
        <w:rPr>
          <w:color w:val="0F0F0F"/>
          <w:spacing w:val="-7"/>
          <w:sz w:val="24"/>
        </w:rPr>
        <w:t> </w:t>
      </w:r>
      <w:r>
        <w:rPr>
          <w:color w:val="0F0F0F"/>
          <w:sz w:val="24"/>
        </w:rPr>
        <w:t>free to access parks and open spaces.</w:t>
      </w:r>
    </w:p>
    <w:p>
      <w:pPr>
        <w:pStyle w:val="BodyText"/>
        <w:spacing w:before="16"/>
        <w:rPr>
          <w:sz w:val="24"/>
        </w:rPr>
      </w:pPr>
    </w:p>
    <w:p>
      <w:pPr>
        <w:spacing w:before="1"/>
        <w:ind w:left="787" w:right="0" w:firstLine="0"/>
        <w:jc w:val="both"/>
        <w:rPr>
          <w:b/>
          <w:i/>
          <w:sz w:val="23"/>
        </w:rPr>
      </w:pPr>
      <w:r>
        <w:rPr>
          <w:b/>
          <w:i/>
          <w:color w:val="0F0F0F"/>
          <w:w w:val="105"/>
          <w:sz w:val="23"/>
        </w:rPr>
        <w:t>Affordable</w:t>
      </w:r>
      <w:r>
        <w:rPr>
          <w:b/>
          <w:i/>
          <w:color w:val="0F0F0F"/>
          <w:spacing w:val="-5"/>
          <w:w w:val="105"/>
          <w:sz w:val="23"/>
        </w:rPr>
        <w:t> </w:t>
      </w:r>
      <w:r>
        <w:rPr>
          <w:b/>
          <w:i/>
          <w:color w:val="0F0F0F"/>
          <w:spacing w:val="-2"/>
          <w:w w:val="105"/>
          <w:sz w:val="23"/>
        </w:rPr>
        <w:t>Housing</w:t>
      </w:r>
    </w:p>
    <w:p>
      <w:pPr>
        <w:spacing w:before="0" w:line="240" w:lineRule="auto"/>
        <w:ind w:left="769" w:right="292" w:firstLine="15"/>
        <w:jc w:val="both"/>
        <w:rPr>
          <w:sz w:val="24"/>
        </w:rPr>
      </w:pPr>
      <w:r>
        <w:rPr>
          <w:color w:val="0F0F0F"/>
          <w:sz w:val="24"/>
        </w:rPr>
        <w:t>The council's wholly owned housing development company commenced its first developments during the year and is due to deliver 26 </w:t>
      </w:r>
      <w:r>
        <w:rPr>
          <w:color w:val="262626"/>
          <w:sz w:val="24"/>
        </w:rPr>
        <w:t>new </w:t>
      </w:r>
      <w:r>
        <w:rPr>
          <w:color w:val="0F0F0F"/>
          <w:sz w:val="24"/>
        </w:rPr>
        <w:t>affordable housing units next year. We are also building our own social and affordable housing utilising developer contributions which have been set</w:t>
      </w:r>
      <w:r>
        <w:rPr>
          <w:color w:val="0F0F0F"/>
          <w:spacing w:val="-1"/>
          <w:sz w:val="24"/>
        </w:rPr>
        <w:t> </w:t>
      </w:r>
      <w:r>
        <w:rPr>
          <w:color w:val="0F0F0F"/>
          <w:sz w:val="24"/>
        </w:rPr>
        <w:t>aside</w:t>
      </w:r>
      <w:r>
        <w:rPr>
          <w:color w:val="0F0F0F"/>
          <w:spacing w:val="-5"/>
          <w:sz w:val="24"/>
        </w:rPr>
        <w:t> </w:t>
      </w:r>
      <w:r>
        <w:rPr>
          <w:color w:val="0F0F0F"/>
          <w:sz w:val="24"/>
        </w:rPr>
        <w:t>for that</w:t>
      </w:r>
      <w:r>
        <w:rPr>
          <w:color w:val="0F0F0F"/>
          <w:spacing w:val="-5"/>
          <w:sz w:val="24"/>
        </w:rPr>
        <w:t> </w:t>
      </w:r>
      <w:r>
        <w:rPr>
          <w:color w:val="0F0F0F"/>
          <w:sz w:val="24"/>
        </w:rPr>
        <w:t>purpose. This will</w:t>
      </w:r>
      <w:r>
        <w:rPr>
          <w:color w:val="0F0F0F"/>
          <w:spacing w:val="-1"/>
          <w:sz w:val="24"/>
        </w:rPr>
        <w:t> </w:t>
      </w:r>
      <w:r>
        <w:rPr>
          <w:color w:val="0F0F0F"/>
          <w:sz w:val="24"/>
        </w:rPr>
        <w:t>provide housing requirements for the local commun</w:t>
      </w:r>
      <w:r>
        <w:rPr>
          <w:color w:val="363636"/>
          <w:sz w:val="24"/>
        </w:rPr>
        <w:t>i</w:t>
      </w:r>
      <w:r>
        <w:rPr>
          <w:color w:val="0F0F0F"/>
          <w:sz w:val="24"/>
        </w:rPr>
        <w:t>ty</w:t>
      </w:r>
      <w:r>
        <w:rPr>
          <w:color w:val="6B6B6B"/>
          <w:sz w:val="24"/>
        </w:rPr>
        <w:t>.</w:t>
      </w:r>
    </w:p>
    <w:p>
      <w:pPr>
        <w:pStyle w:val="BodyText"/>
        <w:spacing w:before="2"/>
        <w:rPr>
          <w:sz w:val="24"/>
        </w:rPr>
      </w:pPr>
    </w:p>
    <w:p>
      <w:pPr>
        <w:spacing w:before="0" w:line="242" w:lineRule="auto"/>
        <w:ind w:left="760" w:right="301" w:firstLine="0"/>
        <w:jc w:val="both"/>
        <w:rPr>
          <w:sz w:val="24"/>
        </w:rPr>
      </w:pPr>
      <w:r>
        <w:rPr>
          <w:color w:val="0F0F0F"/>
          <w:sz w:val="24"/>
        </w:rPr>
        <w:t>Hertsmere </w:t>
      </w:r>
      <w:r>
        <w:rPr>
          <w:color w:val="262626"/>
          <w:sz w:val="24"/>
        </w:rPr>
        <w:t>is</w:t>
      </w:r>
      <w:r>
        <w:rPr>
          <w:color w:val="262626"/>
          <w:spacing w:val="-5"/>
          <w:sz w:val="24"/>
        </w:rPr>
        <w:t> </w:t>
      </w:r>
      <w:r>
        <w:rPr>
          <w:color w:val="0F0F0F"/>
          <w:sz w:val="24"/>
        </w:rPr>
        <w:t>a great place</w:t>
      </w:r>
      <w:r>
        <w:rPr>
          <w:color w:val="0F0F0F"/>
          <w:spacing w:val="-8"/>
          <w:sz w:val="24"/>
        </w:rPr>
        <w:t> </w:t>
      </w:r>
      <w:r>
        <w:rPr>
          <w:color w:val="0F0F0F"/>
          <w:sz w:val="24"/>
        </w:rPr>
        <w:t>to</w:t>
      </w:r>
      <w:r>
        <w:rPr>
          <w:color w:val="0F0F0F"/>
          <w:spacing w:val="-1"/>
          <w:sz w:val="24"/>
        </w:rPr>
        <w:t> </w:t>
      </w:r>
      <w:r>
        <w:rPr>
          <w:color w:val="262626"/>
          <w:sz w:val="24"/>
        </w:rPr>
        <w:t>live</w:t>
      </w:r>
      <w:r>
        <w:rPr>
          <w:color w:val="262626"/>
          <w:spacing w:val="-1"/>
          <w:sz w:val="24"/>
        </w:rPr>
        <w:t> </w:t>
      </w:r>
      <w:r>
        <w:rPr>
          <w:color w:val="0F0F0F"/>
          <w:sz w:val="24"/>
        </w:rPr>
        <w:t>and</w:t>
      </w:r>
      <w:r>
        <w:rPr>
          <w:color w:val="0F0F0F"/>
          <w:spacing w:val="-1"/>
          <w:sz w:val="24"/>
        </w:rPr>
        <w:t> </w:t>
      </w:r>
      <w:r>
        <w:rPr>
          <w:color w:val="0F0F0F"/>
          <w:sz w:val="24"/>
        </w:rPr>
        <w:t>work and we're trying to</w:t>
      </w:r>
      <w:r>
        <w:rPr>
          <w:color w:val="0F0F0F"/>
          <w:spacing w:val="-5"/>
          <w:sz w:val="24"/>
        </w:rPr>
        <w:t> </w:t>
      </w:r>
      <w:r>
        <w:rPr>
          <w:color w:val="0F0F0F"/>
          <w:sz w:val="24"/>
        </w:rPr>
        <w:t>make sure it</w:t>
      </w:r>
      <w:r>
        <w:rPr>
          <w:color w:val="0F0F0F"/>
          <w:spacing w:val="-6"/>
          <w:sz w:val="24"/>
        </w:rPr>
        <w:t> </w:t>
      </w:r>
      <w:r>
        <w:rPr>
          <w:color w:val="0F0F0F"/>
          <w:sz w:val="24"/>
        </w:rPr>
        <w:t>stays</w:t>
      </w:r>
      <w:r>
        <w:rPr>
          <w:color w:val="0F0F0F"/>
          <w:spacing w:val="-2"/>
          <w:sz w:val="24"/>
        </w:rPr>
        <w:t> </w:t>
      </w:r>
      <w:r>
        <w:rPr>
          <w:color w:val="0F0F0F"/>
          <w:sz w:val="24"/>
        </w:rPr>
        <w:t>that way, both for existing communities and for future generations. We</w:t>
      </w:r>
      <w:r>
        <w:rPr>
          <w:color w:val="0F0F0F"/>
          <w:spacing w:val="-9"/>
          <w:sz w:val="24"/>
        </w:rPr>
        <w:t> </w:t>
      </w:r>
      <w:r>
        <w:rPr>
          <w:color w:val="0F0F0F"/>
          <w:sz w:val="24"/>
        </w:rPr>
        <w:t>know the borough will have to grow and develop.</w:t>
      </w:r>
    </w:p>
    <w:p>
      <w:pPr>
        <w:pStyle w:val="BodyText"/>
        <w:spacing w:before="13"/>
        <w:rPr>
          <w:sz w:val="23"/>
        </w:rPr>
      </w:pPr>
    </w:p>
    <w:p>
      <w:pPr>
        <w:spacing w:before="1"/>
        <w:ind w:left="757" w:right="0" w:firstLine="0"/>
        <w:jc w:val="both"/>
        <w:rPr>
          <w:b/>
          <w:sz w:val="23"/>
        </w:rPr>
      </w:pPr>
      <w:r>
        <w:rPr>
          <w:b/>
          <w:color w:val="0F0F0F"/>
          <w:w w:val="105"/>
          <w:sz w:val="23"/>
          <w:u w:val="thick" w:color="0F0F0F"/>
        </w:rPr>
        <w:t>Supporting</w:t>
      </w:r>
      <w:r>
        <w:rPr>
          <w:b/>
          <w:color w:val="0F0F0F"/>
          <w:spacing w:val="3"/>
          <w:w w:val="105"/>
          <w:sz w:val="23"/>
          <w:u w:val="thick" w:color="0F0F0F"/>
        </w:rPr>
        <w:t> </w:t>
      </w:r>
      <w:r>
        <w:rPr>
          <w:b/>
          <w:color w:val="0F0F0F"/>
          <w:w w:val="105"/>
          <w:sz w:val="23"/>
          <w:u w:val="thick" w:color="0F0F0F"/>
        </w:rPr>
        <w:t>our</w:t>
      </w:r>
      <w:r>
        <w:rPr>
          <w:b/>
          <w:color w:val="0F0F0F"/>
          <w:spacing w:val="-8"/>
          <w:w w:val="105"/>
          <w:sz w:val="23"/>
          <w:u w:val="thick" w:color="0F0F0F"/>
        </w:rPr>
        <w:t> </w:t>
      </w:r>
      <w:r>
        <w:rPr>
          <w:b/>
          <w:color w:val="0F0F0F"/>
          <w:spacing w:val="-2"/>
          <w:w w:val="105"/>
          <w:sz w:val="23"/>
          <w:u w:val="thick" w:color="0F0F0F"/>
        </w:rPr>
        <w:t>Communities</w:t>
      </w:r>
    </w:p>
    <w:p>
      <w:pPr>
        <w:pStyle w:val="BodyText"/>
        <w:spacing w:before="19"/>
        <w:rPr>
          <w:b/>
          <w:sz w:val="23"/>
        </w:rPr>
      </w:pPr>
    </w:p>
    <w:p>
      <w:pPr>
        <w:spacing w:before="0" w:line="240" w:lineRule="auto"/>
        <w:ind w:left="733" w:right="306" w:firstLine="15"/>
        <w:jc w:val="both"/>
        <w:rPr>
          <w:sz w:val="24"/>
        </w:rPr>
      </w:pPr>
      <w:r>
        <w:rPr>
          <w:color w:val="0F0F0F"/>
          <w:sz w:val="24"/>
        </w:rPr>
        <w:t>We have continued to support our residents as the rising cost of living impacts on communities, we recognise the need to develop and grow our local partnerships to deliver the</w:t>
      </w:r>
      <w:r>
        <w:rPr>
          <w:color w:val="0F0F0F"/>
          <w:spacing w:val="-13"/>
          <w:sz w:val="24"/>
        </w:rPr>
        <w:t> </w:t>
      </w:r>
      <w:r>
        <w:rPr>
          <w:color w:val="0F0F0F"/>
          <w:sz w:val="24"/>
        </w:rPr>
        <w:t>best outcomes for</w:t>
      </w:r>
      <w:r>
        <w:rPr>
          <w:color w:val="0F0F0F"/>
          <w:spacing w:val="-5"/>
          <w:sz w:val="24"/>
        </w:rPr>
        <w:t> </w:t>
      </w:r>
      <w:r>
        <w:rPr>
          <w:color w:val="0F0F0F"/>
          <w:sz w:val="24"/>
        </w:rPr>
        <w:t>our</w:t>
      </w:r>
      <w:r>
        <w:rPr>
          <w:color w:val="0F0F0F"/>
          <w:spacing w:val="-7"/>
          <w:sz w:val="24"/>
        </w:rPr>
        <w:t> </w:t>
      </w:r>
      <w:r>
        <w:rPr>
          <w:color w:val="0F0F0F"/>
          <w:sz w:val="24"/>
        </w:rPr>
        <w:t>residents and</w:t>
      </w:r>
      <w:r>
        <w:rPr>
          <w:color w:val="0F0F0F"/>
          <w:spacing w:val="-5"/>
          <w:sz w:val="24"/>
        </w:rPr>
        <w:t> </w:t>
      </w:r>
      <w:r>
        <w:rPr>
          <w:color w:val="0F0F0F"/>
          <w:sz w:val="24"/>
        </w:rPr>
        <w:t>we</w:t>
      </w:r>
      <w:r>
        <w:rPr>
          <w:color w:val="0F0F0F"/>
          <w:spacing w:val="-9"/>
          <w:sz w:val="24"/>
        </w:rPr>
        <w:t> </w:t>
      </w:r>
      <w:r>
        <w:rPr>
          <w:color w:val="0F0F0F"/>
          <w:sz w:val="24"/>
        </w:rPr>
        <w:t>have</w:t>
      </w:r>
      <w:r>
        <w:rPr>
          <w:color w:val="0F0F0F"/>
          <w:spacing w:val="-4"/>
          <w:sz w:val="24"/>
        </w:rPr>
        <w:t> </w:t>
      </w:r>
      <w:r>
        <w:rPr>
          <w:color w:val="0F0F0F"/>
          <w:sz w:val="24"/>
        </w:rPr>
        <w:t>been</w:t>
      </w:r>
      <w:r>
        <w:rPr>
          <w:color w:val="0F0F0F"/>
          <w:spacing w:val="-2"/>
          <w:sz w:val="24"/>
        </w:rPr>
        <w:t> </w:t>
      </w:r>
      <w:r>
        <w:rPr>
          <w:color w:val="0F0F0F"/>
          <w:sz w:val="24"/>
        </w:rPr>
        <w:t>working with</w:t>
      </w:r>
      <w:r>
        <w:rPr>
          <w:color w:val="0F0F0F"/>
          <w:spacing w:val="-5"/>
          <w:sz w:val="24"/>
        </w:rPr>
        <w:t> </w:t>
      </w:r>
      <w:r>
        <w:rPr>
          <w:color w:val="0F0F0F"/>
          <w:sz w:val="24"/>
        </w:rPr>
        <w:t>a</w:t>
      </w:r>
      <w:r>
        <w:rPr>
          <w:color w:val="0F0F0F"/>
          <w:spacing w:val="-12"/>
          <w:sz w:val="24"/>
        </w:rPr>
        <w:t> </w:t>
      </w:r>
      <w:r>
        <w:rPr>
          <w:color w:val="0F0F0F"/>
          <w:sz w:val="24"/>
        </w:rPr>
        <w:t>range</w:t>
      </w:r>
      <w:r>
        <w:rPr>
          <w:color w:val="0F0F0F"/>
          <w:spacing w:val="-2"/>
          <w:sz w:val="24"/>
        </w:rPr>
        <w:t> </w:t>
      </w:r>
      <w:r>
        <w:rPr>
          <w:color w:val="0F0F0F"/>
          <w:sz w:val="24"/>
        </w:rPr>
        <w:t>of organisations, from statutory and voluntary, to engage with residents to help keep them happy, healthy and safe.</w:t>
      </w:r>
    </w:p>
    <w:p>
      <w:pPr>
        <w:pStyle w:val="BodyText"/>
        <w:spacing w:before="2"/>
        <w:rPr>
          <w:sz w:val="24"/>
        </w:rPr>
      </w:pPr>
    </w:p>
    <w:p>
      <w:pPr>
        <w:spacing w:before="0"/>
        <w:ind w:left="722" w:right="0" w:firstLine="0"/>
        <w:jc w:val="both"/>
        <w:rPr>
          <w:sz w:val="24"/>
        </w:rPr>
      </w:pPr>
      <w:r>
        <w:rPr>
          <w:color w:val="0F0F0F"/>
          <w:sz w:val="24"/>
        </w:rPr>
        <w:t>A</w:t>
      </w:r>
      <w:r>
        <w:rPr>
          <w:color w:val="0F0F0F"/>
          <w:spacing w:val="-2"/>
          <w:sz w:val="24"/>
        </w:rPr>
        <w:t> </w:t>
      </w:r>
      <w:r>
        <w:rPr>
          <w:color w:val="0F0F0F"/>
          <w:sz w:val="24"/>
        </w:rPr>
        <w:t>number</w:t>
      </w:r>
      <w:r>
        <w:rPr>
          <w:color w:val="0F0F0F"/>
          <w:spacing w:val="7"/>
          <w:sz w:val="24"/>
        </w:rPr>
        <w:t> </w:t>
      </w:r>
      <w:r>
        <w:rPr>
          <w:color w:val="0F0F0F"/>
          <w:sz w:val="24"/>
        </w:rPr>
        <w:t>of</w:t>
      </w:r>
      <w:r>
        <w:rPr>
          <w:color w:val="0F0F0F"/>
          <w:spacing w:val="-2"/>
          <w:sz w:val="24"/>
        </w:rPr>
        <w:t> </w:t>
      </w:r>
      <w:r>
        <w:rPr>
          <w:color w:val="0F0F0F"/>
          <w:sz w:val="24"/>
        </w:rPr>
        <w:t>initiatives</w:t>
      </w:r>
      <w:r>
        <w:rPr>
          <w:color w:val="0F0F0F"/>
          <w:spacing w:val="4"/>
          <w:sz w:val="24"/>
        </w:rPr>
        <w:t> </w:t>
      </w:r>
      <w:r>
        <w:rPr>
          <w:color w:val="0F0F0F"/>
          <w:sz w:val="24"/>
        </w:rPr>
        <w:t>took</w:t>
      </w:r>
      <w:r>
        <w:rPr>
          <w:color w:val="0F0F0F"/>
          <w:spacing w:val="6"/>
          <w:sz w:val="24"/>
        </w:rPr>
        <w:t> </w:t>
      </w:r>
      <w:r>
        <w:rPr>
          <w:color w:val="0F0F0F"/>
          <w:sz w:val="24"/>
        </w:rPr>
        <w:t>place</w:t>
      </w:r>
      <w:r>
        <w:rPr>
          <w:color w:val="0F0F0F"/>
          <w:spacing w:val="5"/>
          <w:sz w:val="24"/>
        </w:rPr>
        <w:t> </w:t>
      </w:r>
      <w:r>
        <w:rPr>
          <w:color w:val="0F0F0F"/>
          <w:sz w:val="24"/>
        </w:rPr>
        <w:t>during the</w:t>
      </w:r>
      <w:r>
        <w:rPr>
          <w:color w:val="0F0F0F"/>
          <w:spacing w:val="2"/>
          <w:sz w:val="24"/>
        </w:rPr>
        <w:t> </w:t>
      </w:r>
      <w:r>
        <w:rPr>
          <w:color w:val="0F0F0F"/>
          <w:sz w:val="24"/>
        </w:rPr>
        <w:t>year,</w:t>
      </w:r>
      <w:r>
        <w:rPr>
          <w:color w:val="0F0F0F"/>
          <w:spacing w:val="8"/>
          <w:sz w:val="24"/>
        </w:rPr>
        <w:t> </w:t>
      </w:r>
      <w:r>
        <w:rPr>
          <w:color w:val="0F0F0F"/>
          <w:spacing w:val="-2"/>
          <w:sz w:val="24"/>
        </w:rPr>
        <w:t>including:</w:t>
      </w:r>
    </w:p>
    <w:p>
      <w:pPr>
        <w:pStyle w:val="BodyText"/>
        <w:spacing w:before="15"/>
        <w:rPr>
          <w:sz w:val="24"/>
        </w:rPr>
      </w:pPr>
    </w:p>
    <w:p>
      <w:pPr>
        <w:pStyle w:val="ListParagraph"/>
        <w:numPr>
          <w:ilvl w:val="0"/>
          <w:numId w:val="5"/>
        </w:numPr>
        <w:tabs>
          <w:tab w:val="left" w:leader="none" w:pos="1415"/>
          <w:tab w:val="left" w:leader="none" w:pos="1429"/>
        </w:tabs>
        <w:spacing w:before="0" w:after="0" w:line="240" w:lineRule="auto"/>
        <w:ind w:left="1415" w:right="321" w:hanging="341"/>
        <w:jc w:val="both"/>
        <w:rPr>
          <w:sz w:val="24"/>
        </w:rPr>
      </w:pPr>
      <w:r>
        <w:rPr>
          <w:color w:val="0F0F0F"/>
          <w:sz w:val="24"/>
        </w:rPr>
        <w:tab/>
        <w:t>We have implemented the Government's Energy Rebate scheme, making payments</w:t>
      </w:r>
      <w:r>
        <w:rPr>
          <w:color w:val="0F0F0F"/>
          <w:spacing w:val="-17"/>
          <w:sz w:val="24"/>
        </w:rPr>
        <w:t> </w:t>
      </w:r>
      <w:r>
        <w:rPr>
          <w:color w:val="0F0F0F"/>
          <w:sz w:val="24"/>
        </w:rPr>
        <w:t>of</w:t>
      </w:r>
      <w:r>
        <w:rPr>
          <w:color w:val="0F0F0F"/>
          <w:spacing w:val="-17"/>
          <w:sz w:val="24"/>
        </w:rPr>
        <w:t> </w:t>
      </w:r>
      <w:r>
        <w:rPr>
          <w:color w:val="0F0F0F"/>
          <w:sz w:val="24"/>
        </w:rPr>
        <w:t>£150</w:t>
      </w:r>
      <w:r>
        <w:rPr>
          <w:color w:val="0F0F0F"/>
          <w:spacing w:val="-16"/>
          <w:sz w:val="24"/>
        </w:rPr>
        <w:t> </w:t>
      </w:r>
      <w:r>
        <w:rPr>
          <w:color w:val="0F0F0F"/>
          <w:sz w:val="24"/>
        </w:rPr>
        <w:t>to</w:t>
      </w:r>
      <w:r>
        <w:rPr>
          <w:color w:val="0F0F0F"/>
          <w:spacing w:val="-17"/>
          <w:sz w:val="24"/>
        </w:rPr>
        <w:t> </w:t>
      </w:r>
      <w:r>
        <w:rPr>
          <w:color w:val="0F0F0F"/>
          <w:sz w:val="24"/>
        </w:rPr>
        <w:t>around</w:t>
      </w:r>
      <w:r>
        <w:rPr>
          <w:color w:val="0F0F0F"/>
          <w:spacing w:val="-14"/>
          <w:sz w:val="24"/>
        </w:rPr>
        <w:t> </w:t>
      </w:r>
      <w:r>
        <w:rPr>
          <w:color w:val="0F0F0F"/>
          <w:sz w:val="24"/>
        </w:rPr>
        <w:t>24,500</w:t>
      </w:r>
      <w:r>
        <w:rPr>
          <w:color w:val="0F0F0F"/>
          <w:spacing w:val="-16"/>
          <w:sz w:val="24"/>
        </w:rPr>
        <w:t> </w:t>
      </w:r>
      <w:r>
        <w:rPr>
          <w:color w:val="0F0F0F"/>
          <w:sz w:val="24"/>
        </w:rPr>
        <w:t>households</w:t>
      </w:r>
      <w:r>
        <w:rPr>
          <w:color w:val="0F0F0F"/>
          <w:spacing w:val="-1"/>
          <w:sz w:val="24"/>
        </w:rPr>
        <w:t> </w:t>
      </w:r>
      <w:r>
        <w:rPr>
          <w:color w:val="0F0F0F"/>
          <w:sz w:val="24"/>
        </w:rPr>
        <w:t>in</w:t>
      </w:r>
      <w:r>
        <w:rPr>
          <w:color w:val="0F0F0F"/>
          <w:spacing w:val="-17"/>
          <w:sz w:val="24"/>
        </w:rPr>
        <w:t> </w:t>
      </w:r>
      <w:r>
        <w:rPr>
          <w:color w:val="0F0F0F"/>
          <w:sz w:val="24"/>
        </w:rPr>
        <w:t>council</w:t>
      </w:r>
      <w:r>
        <w:rPr>
          <w:color w:val="0F0F0F"/>
          <w:spacing w:val="-11"/>
          <w:sz w:val="24"/>
        </w:rPr>
        <w:t> </w:t>
      </w:r>
      <w:r>
        <w:rPr>
          <w:color w:val="262626"/>
          <w:sz w:val="24"/>
        </w:rPr>
        <w:t>tax</w:t>
      </w:r>
      <w:r>
        <w:rPr>
          <w:color w:val="262626"/>
          <w:spacing w:val="-10"/>
          <w:sz w:val="24"/>
        </w:rPr>
        <w:t> </w:t>
      </w:r>
      <w:r>
        <w:rPr>
          <w:color w:val="0F0F0F"/>
          <w:sz w:val="24"/>
        </w:rPr>
        <w:t>bands</w:t>
      </w:r>
      <w:r>
        <w:rPr>
          <w:color w:val="0F0F0F"/>
          <w:spacing w:val="-9"/>
          <w:sz w:val="24"/>
        </w:rPr>
        <w:t> </w:t>
      </w:r>
      <w:r>
        <w:rPr>
          <w:color w:val="0F0F0F"/>
          <w:sz w:val="24"/>
        </w:rPr>
        <w:t>A-O</w:t>
      </w:r>
      <w:r>
        <w:rPr>
          <w:color w:val="0F0F0F"/>
          <w:spacing w:val="-10"/>
          <w:sz w:val="24"/>
        </w:rPr>
        <w:t> </w:t>
      </w:r>
      <w:r>
        <w:rPr>
          <w:color w:val="0F0F0F"/>
          <w:sz w:val="24"/>
        </w:rPr>
        <w:t>across the borough. We have also introduced a discretionary scheme providing a rebate to over 700 vulnerable households in</w:t>
      </w:r>
      <w:r>
        <w:rPr>
          <w:color w:val="0F0F0F"/>
          <w:spacing w:val="-1"/>
          <w:sz w:val="24"/>
        </w:rPr>
        <w:t> </w:t>
      </w:r>
      <w:r>
        <w:rPr>
          <w:color w:val="0F0F0F"/>
          <w:sz w:val="24"/>
        </w:rPr>
        <w:t>bands E-H and also a </w:t>
      </w:r>
      <w:r>
        <w:rPr>
          <w:color w:val="262626"/>
          <w:sz w:val="24"/>
        </w:rPr>
        <w:t>top up </w:t>
      </w:r>
      <w:r>
        <w:rPr>
          <w:color w:val="0F0F0F"/>
          <w:sz w:val="24"/>
        </w:rPr>
        <w:t>for around 6,500 vulnerable households across all bands.</w:t>
      </w:r>
    </w:p>
    <w:p>
      <w:pPr>
        <w:spacing w:after="0" w:line="240" w:lineRule="auto"/>
        <w:jc w:val="both"/>
        <w:rPr>
          <w:sz w:val="24"/>
        </w:rPr>
        <w:sectPr>
          <w:headerReference w:type="even" r:id="rId40"/>
          <w:pgSz w:w="11910" w:h="16830"/>
          <w:pgMar w:top="580" w:right="920" w:bottom="540" w:left="840" w:header="0" w:footer="0"/>
        </w:sectPr>
      </w:pPr>
    </w:p>
    <w:p>
      <w:pPr>
        <w:pStyle w:val="ListParagraph"/>
        <w:numPr>
          <w:ilvl w:val="0"/>
          <w:numId w:val="6"/>
        </w:numPr>
        <w:tabs>
          <w:tab w:val="left" w:leader="none" w:pos="1313"/>
        </w:tabs>
        <w:spacing w:before="225" w:after="0" w:line="252" w:lineRule="auto"/>
        <w:ind w:left="1313" w:right="521" w:hanging="348"/>
        <w:jc w:val="both"/>
        <w:rPr>
          <w:sz w:val="23"/>
        </w:rPr>
      </w:pPr>
      <w:r>
        <w:rPr>
          <w:color w:val="0E0E0E"/>
          <w:w w:val="105"/>
          <w:sz w:val="23"/>
        </w:rPr>
        <w:t>We</w:t>
      </w:r>
      <w:r>
        <w:rPr>
          <w:color w:val="0E0E0E"/>
          <w:spacing w:val="-17"/>
          <w:w w:val="105"/>
          <w:sz w:val="23"/>
        </w:rPr>
        <w:t> </w:t>
      </w:r>
      <w:r>
        <w:rPr>
          <w:color w:val="0E0E0E"/>
          <w:w w:val="105"/>
          <w:sz w:val="23"/>
        </w:rPr>
        <w:t>have</w:t>
      </w:r>
      <w:r>
        <w:rPr>
          <w:color w:val="0E0E0E"/>
          <w:spacing w:val="-6"/>
          <w:w w:val="105"/>
          <w:sz w:val="23"/>
        </w:rPr>
        <w:t> </w:t>
      </w:r>
      <w:r>
        <w:rPr>
          <w:color w:val="0E0E0E"/>
          <w:w w:val="105"/>
          <w:sz w:val="23"/>
        </w:rPr>
        <w:t>supported a</w:t>
      </w:r>
      <w:r>
        <w:rPr>
          <w:color w:val="0E0E0E"/>
          <w:spacing w:val="-14"/>
          <w:w w:val="105"/>
          <w:sz w:val="23"/>
        </w:rPr>
        <w:t> </w:t>
      </w:r>
      <w:r>
        <w:rPr>
          <w:color w:val="0E0E0E"/>
          <w:w w:val="105"/>
          <w:sz w:val="23"/>
        </w:rPr>
        <w:t>network</w:t>
      </w:r>
      <w:r>
        <w:rPr>
          <w:color w:val="0E0E0E"/>
          <w:spacing w:val="-2"/>
          <w:w w:val="105"/>
          <w:sz w:val="23"/>
        </w:rPr>
        <w:t> </w:t>
      </w:r>
      <w:r>
        <w:rPr>
          <w:color w:val="0E0E0E"/>
          <w:w w:val="105"/>
          <w:sz w:val="23"/>
        </w:rPr>
        <w:t>of</w:t>
      </w:r>
      <w:r>
        <w:rPr>
          <w:color w:val="0E0E0E"/>
          <w:spacing w:val="-11"/>
          <w:w w:val="105"/>
          <w:sz w:val="23"/>
        </w:rPr>
        <w:t> </w:t>
      </w:r>
      <w:r>
        <w:rPr>
          <w:color w:val="0E0E0E"/>
          <w:w w:val="105"/>
          <w:sz w:val="23"/>
        </w:rPr>
        <w:t>warm</w:t>
      </w:r>
      <w:r>
        <w:rPr>
          <w:color w:val="0E0E0E"/>
          <w:spacing w:val="-1"/>
          <w:w w:val="105"/>
          <w:sz w:val="23"/>
        </w:rPr>
        <w:t> </w:t>
      </w:r>
      <w:r>
        <w:rPr>
          <w:color w:val="0E0E0E"/>
          <w:w w:val="105"/>
          <w:sz w:val="23"/>
        </w:rPr>
        <w:t>spaces</w:t>
      </w:r>
      <w:r>
        <w:rPr>
          <w:color w:val="0E0E0E"/>
          <w:spacing w:val="-3"/>
          <w:w w:val="105"/>
          <w:sz w:val="23"/>
        </w:rPr>
        <w:t> </w:t>
      </w:r>
      <w:r>
        <w:rPr>
          <w:color w:val="0E0E0E"/>
          <w:w w:val="105"/>
          <w:sz w:val="23"/>
        </w:rPr>
        <w:t>across</w:t>
      </w:r>
      <w:r>
        <w:rPr>
          <w:color w:val="0E0E0E"/>
          <w:spacing w:val="-2"/>
          <w:w w:val="105"/>
          <w:sz w:val="23"/>
        </w:rPr>
        <w:t> </w:t>
      </w:r>
      <w:r>
        <w:rPr>
          <w:color w:val="0E0E0E"/>
          <w:w w:val="105"/>
          <w:sz w:val="23"/>
        </w:rPr>
        <w:t>the</w:t>
      </w:r>
      <w:r>
        <w:rPr>
          <w:color w:val="0E0E0E"/>
          <w:spacing w:val="-17"/>
          <w:w w:val="105"/>
          <w:sz w:val="23"/>
        </w:rPr>
        <w:t> </w:t>
      </w:r>
      <w:r>
        <w:rPr>
          <w:color w:val="0E0E0E"/>
          <w:w w:val="105"/>
          <w:sz w:val="23"/>
        </w:rPr>
        <w:t>borough</w:t>
      </w:r>
      <w:r>
        <w:rPr>
          <w:color w:val="0E0E0E"/>
          <w:spacing w:val="-9"/>
          <w:w w:val="105"/>
          <w:sz w:val="23"/>
        </w:rPr>
        <w:t> </w:t>
      </w:r>
      <w:r>
        <w:rPr>
          <w:color w:val="0E0E0E"/>
          <w:w w:val="105"/>
          <w:sz w:val="23"/>
        </w:rPr>
        <w:t>providing a safe</w:t>
      </w:r>
      <w:r>
        <w:rPr>
          <w:color w:val="0E0E0E"/>
          <w:spacing w:val="-17"/>
          <w:w w:val="105"/>
          <w:sz w:val="23"/>
        </w:rPr>
        <w:t> </w:t>
      </w:r>
      <w:r>
        <w:rPr>
          <w:color w:val="0E0E0E"/>
          <w:w w:val="105"/>
          <w:sz w:val="23"/>
        </w:rPr>
        <w:t>and</w:t>
      </w:r>
      <w:r>
        <w:rPr>
          <w:color w:val="0E0E0E"/>
          <w:spacing w:val="-17"/>
          <w:w w:val="105"/>
          <w:sz w:val="23"/>
        </w:rPr>
        <w:t> </w:t>
      </w:r>
      <w:r>
        <w:rPr>
          <w:color w:val="0E0E0E"/>
          <w:w w:val="105"/>
          <w:sz w:val="23"/>
        </w:rPr>
        <w:t>welcoming</w:t>
      </w:r>
      <w:r>
        <w:rPr>
          <w:color w:val="0E0E0E"/>
          <w:spacing w:val="-17"/>
          <w:w w:val="105"/>
          <w:sz w:val="23"/>
        </w:rPr>
        <w:t> </w:t>
      </w:r>
      <w:r>
        <w:rPr>
          <w:color w:val="0E0E0E"/>
          <w:w w:val="105"/>
          <w:sz w:val="23"/>
        </w:rPr>
        <w:t>space</w:t>
      </w:r>
      <w:r>
        <w:rPr>
          <w:color w:val="0E0E0E"/>
          <w:spacing w:val="-17"/>
          <w:w w:val="105"/>
          <w:sz w:val="23"/>
        </w:rPr>
        <w:t> </w:t>
      </w:r>
      <w:r>
        <w:rPr>
          <w:color w:val="0E0E0E"/>
          <w:w w:val="105"/>
          <w:sz w:val="23"/>
        </w:rPr>
        <w:t>for</w:t>
      </w:r>
      <w:r>
        <w:rPr>
          <w:color w:val="0E0E0E"/>
          <w:spacing w:val="-16"/>
          <w:w w:val="105"/>
          <w:sz w:val="23"/>
        </w:rPr>
        <w:t> </w:t>
      </w:r>
      <w:r>
        <w:rPr>
          <w:color w:val="0E0E0E"/>
          <w:w w:val="105"/>
          <w:sz w:val="23"/>
        </w:rPr>
        <w:t>people</w:t>
      </w:r>
      <w:r>
        <w:rPr>
          <w:color w:val="0E0E0E"/>
          <w:spacing w:val="-17"/>
          <w:w w:val="105"/>
          <w:sz w:val="23"/>
        </w:rPr>
        <w:t> </w:t>
      </w:r>
      <w:r>
        <w:rPr>
          <w:color w:val="0E0E0E"/>
          <w:w w:val="105"/>
          <w:sz w:val="23"/>
        </w:rPr>
        <w:t>to</w:t>
      </w:r>
      <w:r>
        <w:rPr>
          <w:color w:val="0E0E0E"/>
          <w:spacing w:val="-17"/>
          <w:w w:val="105"/>
          <w:sz w:val="23"/>
        </w:rPr>
        <w:t> </w:t>
      </w:r>
      <w:r>
        <w:rPr>
          <w:color w:val="0E0E0E"/>
          <w:w w:val="105"/>
          <w:sz w:val="23"/>
        </w:rPr>
        <w:t>enjoy</w:t>
      </w:r>
      <w:r>
        <w:rPr>
          <w:color w:val="0E0E0E"/>
          <w:spacing w:val="-17"/>
          <w:w w:val="105"/>
          <w:sz w:val="23"/>
        </w:rPr>
        <w:t> </w:t>
      </w:r>
      <w:r>
        <w:rPr>
          <w:color w:val="0E0E0E"/>
          <w:w w:val="105"/>
          <w:sz w:val="23"/>
        </w:rPr>
        <w:t>some</w:t>
      </w:r>
      <w:r>
        <w:rPr>
          <w:color w:val="0E0E0E"/>
          <w:spacing w:val="-16"/>
          <w:w w:val="105"/>
          <w:sz w:val="23"/>
        </w:rPr>
        <w:t> </w:t>
      </w:r>
      <w:r>
        <w:rPr>
          <w:color w:val="0E0E0E"/>
          <w:w w:val="105"/>
          <w:sz w:val="23"/>
        </w:rPr>
        <w:t>company</w:t>
      </w:r>
      <w:r>
        <w:rPr>
          <w:color w:val="0E0E0E"/>
          <w:spacing w:val="-15"/>
          <w:w w:val="105"/>
          <w:sz w:val="23"/>
        </w:rPr>
        <w:t> </w:t>
      </w:r>
      <w:r>
        <w:rPr>
          <w:color w:val="0E0E0E"/>
          <w:w w:val="105"/>
          <w:sz w:val="23"/>
        </w:rPr>
        <w:t>during</w:t>
      </w:r>
      <w:r>
        <w:rPr>
          <w:color w:val="0E0E0E"/>
          <w:spacing w:val="-13"/>
          <w:w w:val="105"/>
          <w:sz w:val="23"/>
        </w:rPr>
        <w:t> </w:t>
      </w:r>
      <w:r>
        <w:rPr>
          <w:color w:val="0E0E0E"/>
          <w:w w:val="105"/>
          <w:sz w:val="23"/>
        </w:rPr>
        <w:t>the</w:t>
      </w:r>
      <w:r>
        <w:rPr>
          <w:color w:val="0E0E0E"/>
          <w:spacing w:val="-17"/>
          <w:w w:val="105"/>
          <w:sz w:val="23"/>
        </w:rPr>
        <w:t> </w:t>
      </w:r>
      <w:r>
        <w:rPr>
          <w:color w:val="0E0E0E"/>
          <w:w w:val="105"/>
          <w:sz w:val="23"/>
        </w:rPr>
        <w:t>colder </w:t>
      </w:r>
      <w:r>
        <w:rPr>
          <w:color w:val="0E0E0E"/>
          <w:spacing w:val="-2"/>
          <w:w w:val="105"/>
          <w:sz w:val="23"/>
        </w:rPr>
        <w:t>months.</w:t>
      </w:r>
    </w:p>
    <w:p>
      <w:pPr>
        <w:pStyle w:val="ListParagraph"/>
        <w:numPr>
          <w:ilvl w:val="0"/>
          <w:numId w:val="6"/>
        </w:numPr>
        <w:tabs>
          <w:tab w:val="left" w:leader="none" w:pos="1317"/>
          <w:tab w:val="left" w:leader="none" w:pos="1320"/>
        </w:tabs>
        <w:spacing w:before="133" w:after="0" w:line="249" w:lineRule="auto"/>
        <w:ind w:left="1317" w:right="513" w:hanging="348"/>
        <w:jc w:val="both"/>
        <w:rPr>
          <w:sz w:val="23"/>
        </w:rPr>
      </w:pPr>
      <w:r>
        <w:rPr>
          <w:color w:val="0E0E0E"/>
          <w:sz w:val="23"/>
        </w:rPr>
        <w:tab/>
      </w:r>
      <w:r>
        <w:rPr>
          <w:color w:val="0E0E0E"/>
          <w:w w:val="105"/>
          <w:sz w:val="23"/>
        </w:rPr>
        <w:t>Over</w:t>
      </w:r>
      <w:r>
        <w:rPr>
          <w:color w:val="0E0E0E"/>
          <w:w w:val="105"/>
          <w:sz w:val="23"/>
        </w:rPr>
        <w:t> the summer</w:t>
      </w:r>
      <w:r>
        <w:rPr>
          <w:color w:val="0E0E0E"/>
          <w:w w:val="105"/>
          <w:sz w:val="23"/>
        </w:rPr>
        <w:t> we handed</w:t>
      </w:r>
      <w:r>
        <w:rPr>
          <w:color w:val="0E0E0E"/>
          <w:w w:val="105"/>
          <w:sz w:val="23"/>
        </w:rPr>
        <w:t> out</w:t>
      </w:r>
      <w:r>
        <w:rPr>
          <w:color w:val="0E0E0E"/>
          <w:w w:val="105"/>
          <w:sz w:val="23"/>
        </w:rPr>
        <w:t> over</w:t>
      </w:r>
      <w:r>
        <w:rPr>
          <w:color w:val="0E0E0E"/>
          <w:w w:val="105"/>
          <w:sz w:val="23"/>
        </w:rPr>
        <w:t> 6,000</w:t>
      </w:r>
      <w:r>
        <w:rPr>
          <w:color w:val="0E0E0E"/>
          <w:w w:val="105"/>
          <w:sz w:val="23"/>
        </w:rPr>
        <w:t> free</w:t>
      </w:r>
      <w:r>
        <w:rPr>
          <w:color w:val="0E0E0E"/>
          <w:w w:val="105"/>
          <w:sz w:val="23"/>
        </w:rPr>
        <w:t> hot meals</w:t>
      </w:r>
      <w:r>
        <w:rPr>
          <w:color w:val="0E0E0E"/>
          <w:w w:val="105"/>
          <w:sz w:val="23"/>
        </w:rPr>
        <w:t> to</w:t>
      </w:r>
      <w:r>
        <w:rPr>
          <w:color w:val="0E0E0E"/>
          <w:w w:val="105"/>
          <w:sz w:val="23"/>
        </w:rPr>
        <w:t> families</w:t>
      </w:r>
      <w:r>
        <w:rPr>
          <w:color w:val="0E0E0E"/>
          <w:w w:val="105"/>
          <w:sz w:val="23"/>
        </w:rPr>
        <w:t> and individuals</w:t>
      </w:r>
      <w:r>
        <w:rPr>
          <w:color w:val="0E0E0E"/>
          <w:w w:val="105"/>
          <w:sz w:val="23"/>
        </w:rPr>
        <w:t> from</w:t>
      </w:r>
      <w:r>
        <w:rPr>
          <w:color w:val="0E0E0E"/>
          <w:w w:val="105"/>
          <w:sz w:val="23"/>
        </w:rPr>
        <w:t> hubs</w:t>
      </w:r>
      <w:r>
        <w:rPr>
          <w:color w:val="0E0E0E"/>
          <w:w w:val="105"/>
          <w:sz w:val="23"/>
        </w:rPr>
        <w:t> across</w:t>
      </w:r>
      <w:r>
        <w:rPr>
          <w:color w:val="0E0E0E"/>
          <w:w w:val="105"/>
          <w:sz w:val="23"/>
        </w:rPr>
        <w:t> the</w:t>
      </w:r>
      <w:r>
        <w:rPr>
          <w:color w:val="0E0E0E"/>
          <w:w w:val="105"/>
          <w:sz w:val="23"/>
        </w:rPr>
        <w:t> borough,</w:t>
      </w:r>
      <w:r>
        <w:rPr>
          <w:color w:val="0E0E0E"/>
          <w:w w:val="105"/>
          <w:sz w:val="23"/>
        </w:rPr>
        <w:t> made</w:t>
      </w:r>
      <w:r>
        <w:rPr>
          <w:color w:val="0E0E0E"/>
          <w:w w:val="105"/>
          <w:sz w:val="23"/>
        </w:rPr>
        <w:t> possible</w:t>
      </w:r>
      <w:r>
        <w:rPr>
          <w:color w:val="0E0E0E"/>
          <w:w w:val="105"/>
          <w:sz w:val="23"/>
        </w:rPr>
        <w:t> with</w:t>
      </w:r>
      <w:r>
        <w:rPr>
          <w:color w:val="0E0E0E"/>
          <w:w w:val="105"/>
          <w:sz w:val="23"/>
        </w:rPr>
        <w:t> funding</w:t>
      </w:r>
      <w:r>
        <w:rPr>
          <w:color w:val="0E0E0E"/>
          <w:w w:val="105"/>
          <w:sz w:val="23"/>
        </w:rPr>
        <w:t> from GMSP Foundation, The Childhood Trust and</w:t>
      </w:r>
      <w:r>
        <w:rPr>
          <w:color w:val="0E0E0E"/>
          <w:spacing w:val="-5"/>
          <w:w w:val="105"/>
          <w:sz w:val="23"/>
        </w:rPr>
        <w:t> </w:t>
      </w:r>
      <w:r>
        <w:rPr>
          <w:color w:val="0E0E0E"/>
          <w:w w:val="105"/>
          <w:sz w:val="23"/>
        </w:rPr>
        <w:t>the</w:t>
      </w:r>
      <w:r>
        <w:rPr>
          <w:color w:val="0E0E0E"/>
          <w:spacing w:val="-4"/>
          <w:w w:val="105"/>
          <w:sz w:val="23"/>
        </w:rPr>
        <w:t> </w:t>
      </w:r>
      <w:r>
        <w:rPr>
          <w:color w:val="0E0E0E"/>
          <w:w w:val="105"/>
          <w:sz w:val="23"/>
        </w:rPr>
        <w:t>Akshaya Patra Foundation.</w:t>
      </w:r>
    </w:p>
    <w:p>
      <w:pPr>
        <w:pStyle w:val="ListParagraph"/>
        <w:numPr>
          <w:ilvl w:val="0"/>
          <w:numId w:val="6"/>
        </w:numPr>
        <w:tabs>
          <w:tab w:val="left" w:leader="none" w:pos="1322"/>
          <w:tab w:val="left" w:leader="none" w:pos="1325"/>
        </w:tabs>
        <w:spacing w:before="141" w:after="0" w:line="249" w:lineRule="auto"/>
        <w:ind w:left="1322" w:right="504" w:hanging="348"/>
        <w:jc w:val="left"/>
        <w:rPr>
          <w:sz w:val="23"/>
        </w:rPr>
      </w:pPr>
      <w:r>
        <w:rPr>
          <w:color w:val="0E0E0E"/>
          <w:sz w:val="23"/>
        </w:rPr>
        <w:tab/>
      </w:r>
      <w:r>
        <w:rPr>
          <w:color w:val="0E0E0E"/>
          <w:w w:val="105"/>
          <w:sz w:val="23"/>
        </w:rPr>
        <w:t>We</w:t>
      </w:r>
      <w:r>
        <w:rPr>
          <w:color w:val="0E0E0E"/>
          <w:spacing w:val="-17"/>
          <w:w w:val="105"/>
          <w:sz w:val="23"/>
        </w:rPr>
        <w:t> </w:t>
      </w:r>
      <w:r>
        <w:rPr>
          <w:color w:val="0E0E0E"/>
          <w:w w:val="105"/>
          <w:sz w:val="23"/>
        </w:rPr>
        <w:t>continue</w:t>
      </w:r>
      <w:r>
        <w:rPr>
          <w:color w:val="0E0E0E"/>
          <w:spacing w:val="-5"/>
          <w:w w:val="105"/>
          <w:sz w:val="23"/>
        </w:rPr>
        <w:t> </w:t>
      </w:r>
      <w:r>
        <w:rPr>
          <w:color w:val="0E0E0E"/>
          <w:w w:val="105"/>
          <w:sz w:val="23"/>
        </w:rPr>
        <w:t>to</w:t>
      </w:r>
      <w:r>
        <w:rPr>
          <w:color w:val="0E0E0E"/>
          <w:spacing w:val="-17"/>
          <w:w w:val="105"/>
          <w:sz w:val="23"/>
        </w:rPr>
        <w:t> </w:t>
      </w:r>
      <w:r>
        <w:rPr>
          <w:color w:val="0E0E0E"/>
          <w:w w:val="105"/>
          <w:sz w:val="23"/>
        </w:rPr>
        <w:t>tackle</w:t>
      </w:r>
      <w:r>
        <w:rPr>
          <w:color w:val="0E0E0E"/>
          <w:spacing w:val="-10"/>
          <w:w w:val="105"/>
          <w:sz w:val="23"/>
        </w:rPr>
        <w:t> </w:t>
      </w:r>
      <w:r>
        <w:rPr>
          <w:color w:val="0E0E0E"/>
          <w:w w:val="105"/>
          <w:sz w:val="23"/>
        </w:rPr>
        <w:t>the</w:t>
      </w:r>
      <w:r>
        <w:rPr>
          <w:color w:val="0E0E0E"/>
          <w:spacing w:val="-9"/>
          <w:w w:val="105"/>
          <w:sz w:val="23"/>
        </w:rPr>
        <w:t> </w:t>
      </w:r>
      <w:r>
        <w:rPr>
          <w:color w:val="0E0E0E"/>
          <w:w w:val="105"/>
          <w:sz w:val="23"/>
        </w:rPr>
        <w:t>increased demand</w:t>
      </w:r>
      <w:r>
        <w:rPr>
          <w:color w:val="0E0E0E"/>
          <w:spacing w:val="-6"/>
          <w:w w:val="105"/>
          <w:sz w:val="23"/>
        </w:rPr>
        <w:t> </w:t>
      </w:r>
      <w:r>
        <w:rPr>
          <w:color w:val="0E0E0E"/>
          <w:w w:val="105"/>
          <w:sz w:val="23"/>
        </w:rPr>
        <w:t>for</w:t>
      </w:r>
      <w:r>
        <w:rPr>
          <w:color w:val="0E0E0E"/>
          <w:spacing w:val="-13"/>
          <w:w w:val="105"/>
          <w:sz w:val="23"/>
        </w:rPr>
        <w:t> </w:t>
      </w:r>
      <w:r>
        <w:rPr>
          <w:color w:val="0E0E0E"/>
          <w:w w:val="105"/>
          <w:sz w:val="23"/>
        </w:rPr>
        <w:t>foodbanks in</w:t>
      </w:r>
      <w:r>
        <w:rPr>
          <w:color w:val="0E0E0E"/>
          <w:spacing w:val="-13"/>
          <w:w w:val="105"/>
          <w:sz w:val="23"/>
        </w:rPr>
        <w:t> </w:t>
      </w:r>
      <w:r>
        <w:rPr>
          <w:color w:val="0E0E0E"/>
          <w:w w:val="105"/>
          <w:sz w:val="23"/>
        </w:rPr>
        <w:t>the</w:t>
      </w:r>
      <w:r>
        <w:rPr>
          <w:color w:val="0E0E0E"/>
          <w:spacing w:val="-13"/>
          <w:w w:val="105"/>
          <w:sz w:val="23"/>
        </w:rPr>
        <w:t> </w:t>
      </w:r>
      <w:r>
        <w:rPr>
          <w:color w:val="0E0E0E"/>
          <w:w w:val="105"/>
          <w:sz w:val="23"/>
        </w:rPr>
        <w:t>borough</w:t>
      </w:r>
      <w:r>
        <w:rPr>
          <w:color w:val="0E0E0E"/>
          <w:spacing w:val="-3"/>
          <w:w w:val="105"/>
          <w:sz w:val="23"/>
        </w:rPr>
        <w:t> </w:t>
      </w:r>
      <w:r>
        <w:rPr>
          <w:color w:val="0E0E0E"/>
          <w:w w:val="105"/>
          <w:sz w:val="23"/>
        </w:rPr>
        <w:t>and have worked with our</w:t>
      </w:r>
      <w:r>
        <w:rPr>
          <w:color w:val="0E0E0E"/>
          <w:spacing w:val="-6"/>
          <w:w w:val="105"/>
          <w:sz w:val="23"/>
        </w:rPr>
        <w:t> </w:t>
      </w:r>
      <w:r>
        <w:rPr>
          <w:color w:val="0E0E0E"/>
          <w:w w:val="105"/>
          <w:sz w:val="23"/>
        </w:rPr>
        <w:t>partners to</w:t>
      </w:r>
      <w:r>
        <w:rPr>
          <w:color w:val="0E0E0E"/>
          <w:spacing w:val="-7"/>
          <w:w w:val="105"/>
          <w:sz w:val="23"/>
        </w:rPr>
        <w:t> </w:t>
      </w:r>
      <w:r>
        <w:rPr>
          <w:color w:val="0E0E0E"/>
          <w:w w:val="105"/>
          <w:sz w:val="23"/>
        </w:rPr>
        <w:t>produce a</w:t>
      </w:r>
      <w:r>
        <w:rPr>
          <w:color w:val="0E0E0E"/>
          <w:spacing w:val="-5"/>
          <w:w w:val="105"/>
          <w:sz w:val="23"/>
        </w:rPr>
        <w:t> </w:t>
      </w:r>
      <w:r>
        <w:rPr>
          <w:color w:val="0E0E0E"/>
          <w:w w:val="105"/>
          <w:sz w:val="23"/>
        </w:rPr>
        <w:t>"Worrying about Money leaflet.</w:t>
      </w:r>
    </w:p>
    <w:p>
      <w:pPr>
        <w:pStyle w:val="ListParagraph"/>
        <w:numPr>
          <w:ilvl w:val="0"/>
          <w:numId w:val="6"/>
        </w:numPr>
        <w:tabs>
          <w:tab w:val="left" w:leader="none" w:pos="1324"/>
        </w:tabs>
        <w:spacing w:before="137" w:after="0" w:line="252" w:lineRule="auto"/>
        <w:ind w:left="1324" w:right="511" w:hanging="351"/>
        <w:jc w:val="left"/>
        <w:rPr>
          <w:sz w:val="23"/>
        </w:rPr>
      </w:pPr>
      <w:r>
        <w:rPr>
          <w:color w:val="0E0E0E"/>
          <w:w w:val="105"/>
          <w:sz w:val="23"/>
        </w:rPr>
        <w:t>We</w:t>
      </w:r>
      <w:r>
        <w:rPr>
          <w:color w:val="0E0E0E"/>
          <w:spacing w:val="-6"/>
          <w:w w:val="105"/>
          <w:sz w:val="23"/>
        </w:rPr>
        <w:t> </w:t>
      </w:r>
      <w:r>
        <w:rPr>
          <w:color w:val="0E0E0E"/>
          <w:w w:val="105"/>
          <w:sz w:val="23"/>
        </w:rPr>
        <w:t>continue to</w:t>
      </w:r>
      <w:r>
        <w:rPr>
          <w:color w:val="0E0E0E"/>
          <w:spacing w:val="-2"/>
          <w:w w:val="105"/>
          <w:sz w:val="23"/>
        </w:rPr>
        <w:t> </w:t>
      </w:r>
      <w:r>
        <w:rPr>
          <w:color w:val="0E0E0E"/>
          <w:w w:val="105"/>
          <w:sz w:val="23"/>
        </w:rPr>
        <w:t>fund</w:t>
      </w:r>
      <w:r>
        <w:rPr>
          <w:color w:val="0E0E0E"/>
          <w:spacing w:val="-3"/>
          <w:w w:val="105"/>
          <w:sz w:val="23"/>
        </w:rPr>
        <w:t> </w:t>
      </w:r>
      <w:r>
        <w:rPr>
          <w:color w:val="0E0E0E"/>
          <w:w w:val="105"/>
          <w:sz w:val="23"/>
        </w:rPr>
        <w:t>Citizens Advice with around £273,000 to</w:t>
      </w:r>
      <w:r>
        <w:rPr>
          <w:color w:val="0E0E0E"/>
          <w:spacing w:val="-10"/>
          <w:w w:val="105"/>
          <w:sz w:val="23"/>
        </w:rPr>
        <w:t> </w:t>
      </w:r>
      <w:r>
        <w:rPr>
          <w:color w:val="0E0E0E"/>
          <w:w w:val="105"/>
          <w:sz w:val="23"/>
        </w:rPr>
        <w:t>provide support and advice to our residents such as debt management.</w:t>
      </w:r>
    </w:p>
    <w:p>
      <w:pPr>
        <w:pStyle w:val="ListParagraph"/>
        <w:numPr>
          <w:ilvl w:val="0"/>
          <w:numId w:val="6"/>
        </w:numPr>
        <w:tabs>
          <w:tab w:val="left" w:leader="none" w:pos="1325"/>
        </w:tabs>
        <w:spacing w:before="136" w:after="0" w:line="252" w:lineRule="auto"/>
        <w:ind w:left="1325" w:right="499" w:hanging="351"/>
        <w:jc w:val="left"/>
        <w:rPr>
          <w:sz w:val="23"/>
        </w:rPr>
      </w:pPr>
      <w:r>
        <w:rPr>
          <w:color w:val="0E0E0E"/>
          <w:w w:val="105"/>
          <w:sz w:val="23"/>
        </w:rPr>
        <w:t>We</w:t>
      </w:r>
      <w:r>
        <w:rPr>
          <w:color w:val="0E0E0E"/>
          <w:spacing w:val="33"/>
          <w:w w:val="105"/>
          <w:sz w:val="23"/>
        </w:rPr>
        <w:t> </w:t>
      </w:r>
      <w:r>
        <w:rPr>
          <w:color w:val="0E0E0E"/>
          <w:w w:val="105"/>
          <w:sz w:val="23"/>
        </w:rPr>
        <w:t>have</w:t>
      </w:r>
      <w:r>
        <w:rPr>
          <w:color w:val="0E0E0E"/>
          <w:spacing w:val="40"/>
          <w:w w:val="105"/>
          <w:sz w:val="23"/>
        </w:rPr>
        <w:t> </w:t>
      </w:r>
      <w:r>
        <w:rPr>
          <w:color w:val="0E0E0E"/>
          <w:w w:val="105"/>
          <w:sz w:val="23"/>
        </w:rPr>
        <w:t>also</w:t>
      </w:r>
      <w:r>
        <w:rPr>
          <w:color w:val="0E0E0E"/>
          <w:spacing w:val="40"/>
          <w:w w:val="105"/>
          <w:sz w:val="23"/>
        </w:rPr>
        <w:t> </w:t>
      </w:r>
      <w:r>
        <w:rPr>
          <w:color w:val="0E0E0E"/>
          <w:w w:val="105"/>
          <w:sz w:val="23"/>
        </w:rPr>
        <w:t>awarded</w:t>
      </w:r>
      <w:r>
        <w:rPr>
          <w:color w:val="0E0E0E"/>
          <w:spacing w:val="40"/>
          <w:w w:val="105"/>
          <w:sz w:val="23"/>
        </w:rPr>
        <w:t> </w:t>
      </w:r>
      <w:r>
        <w:rPr>
          <w:color w:val="0E0E0E"/>
          <w:w w:val="105"/>
          <w:sz w:val="23"/>
        </w:rPr>
        <w:t>almost</w:t>
      </w:r>
      <w:r>
        <w:rPr>
          <w:color w:val="0E0E0E"/>
          <w:spacing w:val="40"/>
          <w:w w:val="105"/>
          <w:sz w:val="23"/>
        </w:rPr>
        <w:t> </w:t>
      </w:r>
      <w:r>
        <w:rPr>
          <w:color w:val="0E0E0E"/>
          <w:w w:val="105"/>
          <w:sz w:val="23"/>
        </w:rPr>
        <w:t>£400,000</w:t>
      </w:r>
      <w:r>
        <w:rPr>
          <w:color w:val="0E0E0E"/>
          <w:spacing w:val="40"/>
          <w:w w:val="105"/>
          <w:sz w:val="23"/>
        </w:rPr>
        <w:t> </w:t>
      </w:r>
      <w:r>
        <w:rPr>
          <w:color w:val="0E0E0E"/>
          <w:w w:val="105"/>
          <w:sz w:val="23"/>
        </w:rPr>
        <w:t>in</w:t>
      </w:r>
      <w:r>
        <w:rPr>
          <w:color w:val="0E0E0E"/>
          <w:spacing w:val="40"/>
          <w:w w:val="105"/>
          <w:sz w:val="23"/>
        </w:rPr>
        <w:t> </w:t>
      </w:r>
      <w:r>
        <w:rPr>
          <w:color w:val="0E0E0E"/>
          <w:w w:val="105"/>
          <w:sz w:val="23"/>
        </w:rPr>
        <w:t>community</w:t>
      </w:r>
      <w:r>
        <w:rPr>
          <w:color w:val="0E0E0E"/>
          <w:spacing w:val="40"/>
          <w:w w:val="105"/>
          <w:sz w:val="23"/>
        </w:rPr>
        <w:t> </w:t>
      </w:r>
      <w:r>
        <w:rPr>
          <w:color w:val="0E0E0E"/>
          <w:w w:val="105"/>
          <w:sz w:val="23"/>
        </w:rPr>
        <w:t>grants</w:t>
      </w:r>
      <w:r>
        <w:rPr>
          <w:color w:val="0E0E0E"/>
          <w:spacing w:val="40"/>
          <w:w w:val="105"/>
          <w:sz w:val="23"/>
        </w:rPr>
        <w:t> </w:t>
      </w:r>
      <w:r>
        <w:rPr>
          <w:color w:val="0E0E0E"/>
          <w:w w:val="105"/>
          <w:sz w:val="23"/>
        </w:rPr>
        <w:t>to</w:t>
      </w:r>
      <w:r>
        <w:rPr>
          <w:color w:val="0E0E0E"/>
          <w:spacing w:val="38"/>
          <w:w w:val="105"/>
          <w:sz w:val="23"/>
        </w:rPr>
        <w:t> </w:t>
      </w:r>
      <w:r>
        <w:rPr>
          <w:color w:val="0E0E0E"/>
          <w:w w:val="105"/>
          <w:sz w:val="23"/>
        </w:rPr>
        <w:t>the</w:t>
      </w:r>
      <w:r>
        <w:rPr>
          <w:color w:val="0E0E0E"/>
          <w:spacing w:val="38"/>
          <w:w w:val="105"/>
          <w:sz w:val="23"/>
        </w:rPr>
        <w:t> </w:t>
      </w:r>
      <w:r>
        <w:rPr>
          <w:color w:val="0E0E0E"/>
          <w:w w:val="105"/>
          <w:sz w:val="23"/>
        </w:rPr>
        <w:t>local voluntary sector and community groups.</w:t>
      </w:r>
    </w:p>
    <w:p>
      <w:pPr>
        <w:pStyle w:val="ListParagraph"/>
        <w:numPr>
          <w:ilvl w:val="0"/>
          <w:numId w:val="6"/>
        </w:numPr>
        <w:tabs>
          <w:tab w:val="left" w:leader="none" w:pos="1322"/>
          <w:tab w:val="left" w:leader="none" w:pos="1326"/>
        </w:tabs>
        <w:spacing w:before="132" w:after="0" w:line="252" w:lineRule="auto"/>
        <w:ind w:left="1326" w:right="501" w:hanging="347"/>
        <w:jc w:val="left"/>
        <w:rPr>
          <w:sz w:val="23"/>
        </w:rPr>
      </w:pPr>
      <w:r>
        <w:rPr>
          <w:color w:val="0E0E0E"/>
          <w:spacing w:val="-2"/>
          <w:w w:val="105"/>
          <w:sz w:val="23"/>
        </w:rPr>
        <w:t>The</w:t>
      </w:r>
      <w:r>
        <w:rPr>
          <w:color w:val="0E0E0E"/>
          <w:spacing w:val="-14"/>
          <w:w w:val="105"/>
          <w:sz w:val="23"/>
        </w:rPr>
        <w:t> </w:t>
      </w:r>
      <w:r>
        <w:rPr>
          <w:color w:val="0E0E0E"/>
          <w:spacing w:val="-2"/>
          <w:w w:val="105"/>
          <w:sz w:val="23"/>
        </w:rPr>
        <w:t>Hertsmere Community Lottery</w:t>
      </w:r>
      <w:r>
        <w:rPr>
          <w:color w:val="0E0E0E"/>
          <w:spacing w:val="-4"/>
          <w:w w:val="105"/>
          <w:sz w:val="23"/>
        </w:rPr>
        <w:t> </w:t>
      </w:r>
      <w:r>
        <w:rPr>
          <w:color w:val="0E0E0E"/>
          <w:spacing w:val="-2"/>
          <w:w w:val="105"/>
          <w:sz w:val="23"/>
        </w:rPr>
        <w:t>continues</w:t>
      </w:r>
      <w:r>
        <w:rPr>
          <w:color w:val="0E0E0E"/>
          <w:spacing w:val="-3"/>
          <w:w w:val="105"/>
          <w:sz w:val="23"/>
        </w:rPr>
        <w:t> </w:t>
      </w:r>
      <w:r>
        <w:rPr>
          <w:color w:val="0E0E0E"/>
          <w:spacing w:val="-2"/>
          <w:w w:val="105"/>
          <w:sz w:val="23"/>
        </w:rPr>
        <w:t>to</w:t>
      </w:r>
      <w:r>
        <w:rPr>
          <w:color w:val="0E0E0E"/>
          <w:spacing w:val="-17"/>
          <w:w w:val="105"/>
          <w:sz w:val="23"/>
        </w:rPr>
        <w:t> </w:t>
      </w:r>
      <w:r>
        <w:rPr>
          <w:color w:val="0E0E0E"/>
          <w:spacing w:val="-2"/>
          <w:w w:val="105"/>
          <w:sz w:val="23"/>
        </w:rPr>
        <w:t>offer</w:t>
      </w:r>
      <w:r>
        <w:rPr>
          <w:color w:val="0E0E0E"/>
          <w:spacing w:val="-7"/>
          <w:w w:val="105"/>
          <w:sz w:val="23"/>
        </w:rPr>
        <w:t> </w:t>
      </w:r>
      <w:r>
        <w:rPr>
          <w:color w:val="0E0E0E"/>
          <w:spacing w:val="-2"/>
          <w:w w:val="105"/>
          <w:sz w:val="23"/>
        </w:rPr>
        <w:t>a</w:t>
      </w:r>
      <w:r>
        <w:rPr>
          <w:color w:val="0E0E0E"/>
          <w:spacing w:val="-18"/>
          <w:w w:val="105"/>
          <w:sz w:val="23"/>
        </w:rPr>
        <w:t> </w:t>
      </w:r>
      <w:r>
        <w:rPr>
          <w:color w:val="0E0E0E"/>
          <w:spacing w:val="-2"/>
          <w:w w:val="105"/>
          <w:sz w:val="23"/>
        </w:rPr>
        <w:t>free</w:t>
      </w:r>
      <w:r>
        <w:rPr>
          <w:color w:val="0E0E0E"/>
          <w:spacing w:val="-12"/>
          <w:w w:val="105"/>
          <w:sz w:val="23"/>
        </w:rPr>
        <w:t> </w:t>
      </w:r>
      <w:r>
        <w:rPr>
          <w:color w:val="0E0E0E"/>
          <w:spacing w:val="-2"/>
          <w:w w:val="105"/>
          <w:sz w:val="23"/>
        </w:rPr>
        <w:t>fundraising</w:t>
      </w:r>
      <w:r>
        <w:rPr>
          <w:color w:val="0E0E0E"/>
          <w:spacing w:val="-7"/>
          <w:w w:val="105"/>
          <w:sz w:val="23"/>
        </w:rPr>
        <w:t> </w:t>
      </w:r>
      <w:r>
        <w:rPr>
          <w:color w:val="0E0E0E"/>
          <w:spacing w:val="-2"/>
          <w:w w:val="105"/>
          <w:sz w:val="23"/>
        </w:rPr>
        <w:t>platform </w:t>
      </w:r>
      <w:r>
        <w:rPr>
          <w:color w:val="0E0E0E"/>
          <w:w w:val="105"/>
          <w:sz w:val="23"/>
        </w:rPr>
        <w:t>for 31 local causes.</w:t>
      </w:r>
    </w:p>
    <w:p>
      <w:pPr>
        <w:spacing w:after="0" w:line="252" w:lineRule="auto"/>
        <w:jc w:val="left"/>
        <w:rPr>
          <w:sz w:val="23"/>
        </w:rPr>
        <w:sectPr>
          <w:headerReference w:type="default" r:id="rId42"/>
          <w:footerReference w:type="default" r:id="rId43"/>
          <w:footerReference w:type="even" r:id="rId44"/>
          <w:pgSz w:w="11910" w:h="16830"/>
          <w:pgMar w:top="580" w:right="920" w:bottom="660" w:left="840" w:header="406" w:footer="478"/>
          <w:pgNumType w:start="19"/>
        </w:sectPr>
      </w:pPr>
    </w:p>
    <w:p>
      <w:pPr>
        <w:pStyle w:val="BodyText"/>
        <w:spacing w:line="130" w:lineRule="exact"/>
        <w:ind w:left="890"/>
        <w:rPr>
          <w:sz w:val="13"/>
        </w:rPr>
      </w:pPr>
      <w:r>
        <w:rPr/>
        <ve:AlternateContent>
          <ve:Choice Requires="wps">
            <w:drawing>
              <wp:anchor distT="0" distB="0" distL="0" distR="0" simplePos="0" relativeHeight="15741440" behindDoc="0" locked="0" layoutInCell="1" allowOverlap="1">
                <wp:simplePos x="0" y="0"/>
                <wp:positionH relativeFrom="page">
                  <wp:posOffset>15264</wp:posOffset>
                </wp:positionH>
                <wp:positionV relativeFrom="page">
                  <wp:posOffset>9966138</wp:posOffset>
                </wp:positionV>
                <wp:extent cx="1270" cy="61087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1270" cy="610870"/>
                        </a:xfrm>
                        <a:custGeom>
                          <a:avLst/>
                          <a:gdLst/>
                          <a:ahLst/>
                          <a:cxnLst/>
                          <a:rect l="l" t="t" r="r" b="b"/>
                          <a:pathLst>
                            <a:path w="0" h="610870">
                              <a:moveTo>
                                <a:pt x="0" y="610295"/>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41440" stroked="true" strokecolor="#000000" strokeweight=".961549pt" from="1.201936pt,832.790117pt" to="1.201936pt,784.735352pt">
                <v:stroke dashstyle="solid"/>
                <w10:wrap type="none"/>
              </v:line>
            </w:pict>
          </ve:Fallback>
        </ve:AlternateContent>
      </w:r>
      <w:r>
        <w:rPr/>
        <ve:AlternateContent>
          <ve:Choice Requires="wps">
            <w:drawing>
              <wp:anchor distT="0" distB="0" distL="0" distR="0" simplePos="0" relativeHeight="15741952" behindDoc="0" locked="0" layoutInCell="1" allowOverlap="1">
                <wp:simplePos x="0" y="0"/>
                <wp:positionH relativeFrom="page">
                  <wp:posOffset>33582</wp:posOffset>
                </wp:positionH>
                <wp:positionV relativeFrom="page">
                  <wp:posOffset>9294814</wp:posOffset>
                </wp:positionV>
                <wp:extent cx="1270" cy="488315"/>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1270" cy="488315"/>
                        </a:xfrm>
                        <a:custGeom>
                          <a:avLst/>
                          <a:gdLst/>
                          <a:ahLst/>
                          <a:cxnLst/>
                          <a:rect l="l" t="t" r="r" b="b"/>
                          <a:pathLst>
                            <a:path w="0" h="488315">
                              <a:moveTo>
                                <a:pt x="0" y="488236"/>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41952" stroked="true" strokecolor="#000000" strokeweight=".961549pt" from="2.644258pt,770.318935pt" to="2.644258pt,731.875122pt">
                <v:stroke dashstyle="solid"/>
                <w10:wrap type="none"/>
              </v:line>
            </w:pict>
          </ve:Fallback>
        </ve:AlternateContent>
      </w:r>
      <w:r>
        <w:rPr>
          <w:position w:val="-2"/>
          <w:sz w:val="13"/>
        </w:rPr>
        <w:drawing>
          <wp:inline distT="0" distB="0" distL="0" distR="0">
            <wp:extent cx="1096186" cy="82676"/>
            <wp:effectExtent l="0" t="0" r="0" b="0"/>
            <wp:docPr id="66" name="Image 66"/>
            <wp:cNvGraphicFramePr>
              <a:graphicFrameLocks/>
            </wp:cNvGraphicFramePr>
            <a:graphic>
              <a:graphicData uri="http://schemas.openxmlformats.org/drawingml/2006/picture">
                <pic:pic>
                  <pic:nvPicPr>
                    <pic:cNvPr id="66" name="Image 66"/>
                    <pic:cNvPicPr/>
                  </pic:nvPicPr>
                  <pic:blipFill>
                    <a:blip r:embed="rId46" cstate="print"/>
                    <a:stretch>
                      <a:fillRect/>
                    </a:stretch>
                  </pic:blipFill>
                  <pic:spPr>
                    <a:xfrm>
                      <a:off x="0" y="0"/>
                      <a:ext cx="1096186" cy="82676"/>
                    </a:xfrm>
                    <a:prstGeom prst="rect">
                      <a:avLst/>
                    </a:prstGeom>
                  </pic:spPr>
                </pic:pic>
              </a:graphicData>
            </a:graphic>
          </wp:inline>
        </w:drawing>
      </w:r>
      <w:r>
        <w:rPr>
          <w:position w:val="-2"/>
          <w:sz w:val="13"/>
        </w:rPr>
      </w:r>
    </w:p>
    <w:p>
      <w:pPr>
        <w:spacing w:before="218"/>
        <w:ind w:left="878" w:right="0" w:firstLine="0"/>
        <w:jc w:val="left"/>
        <w:rPr>
          <w:b/>
          <w:sz w:val="23"/>
        </w:rPr>
      </w:pPr>
      <w:r>
        <w:rPr>
          <w:b/>
          <w:color w:val="606060"/>
          <w:w w:val="105"/>
          <w:sz w:val="23"/>
        </w:rPr>
        <w:t>Financial</w:t>
      </w:r>
      <w:r>
        <w:rPr>
          <w:b/>
          <w:color w:val="606060"/>
          <w:spacing w:val="-8"/>
          <w:w w:val="105"/>
          <w:sz w:val="23"/>
        </w:rPr>
        <w:t> </w:t>
      </w:r>
      <w:r>
        <w:rPr>
          <w:b/>
          <w:color w:val="606060"/>
          <w:spacing w:val="-2"/>
          <w:w w:val="105"/>
          <w:sz w:val="23"/>
        </w:rPr>
        <w:t>Performance</w:t>
      </w:r>
    </w:p>
    <w:p>
      <w:pPr>
        <w:pStyle w:val="BodyText"/>
        <w:spacing w:before="139"/>
        <w:rPr>
          <w:b/>
          <w:sz w:val="23"/>
        </w:rPr>
      </w:pPr>
    </w:p>
    <w:p>
      <w:pPr>
        <w:spacing w:before="0"/>
        <w:ind w:left="875" w:right="0" w:firstLine="0"/>
        <w:jc w:val="both"/>
        <w:rPr>
          <w:b/>
          <w:sz w:val="23"/>
        </w:rPr>
      </w:pPr>
      <w:r>
        <w:rPr>
          <w:b/>
          <w:color w:val="0A0A0A"/>
          <w:w w:val="105"/>
          <w:sz w:val="23"/>
          <w:u w:val="thick" w:color="0A0A0A"/>
        </w:rPr>
        <w:t>Council</w:t>
      </w:r>
      <w:r>
        <w:rPr>
          <w:b/>
          <w:color w:val="0A0A0A"/>
          <w:spacing w:val="-4"/>
          <w:w w:val="105"/>
          <w:sz w:val="23"/>
          <w:u w:val="thick" w:color="0A0A0A"/>
        </w:rPr>
        <w:t> </w:t>
      </w:r>
      <w:r>
        <w:rPr>
          <w:b/>
          <w:color w:val="0A0A0A"/>
          <w:spacing w:val="-2"/>
          <w:w w:val="105"/>
          <w:sz w:val="23"/>
          <w:u w:val="thick" w:color="0A0A0A"/>
        </w:rPr>
        <w:t>Funding</w:t>
      </w:r>
    </w:p>
    <w:p>
      <w:pPr>
        <w:pStyle w:val="BodyText"/>
        <w:spacing w:before="14"/>
        <w:rPr>
          <w:b/>
          <w:sz w:val="23"/>
        </w:rPr>
      </w:pPr>
    </w:p>
    <w:p>
      <w:pPr>
        <w:spacing w:before="0" w:line="242" w:lineRule="auto"/>
        <w:ind w:left="860" w:right="236" w:hanging="2"/>
        <w:jc w:val="both"/>
        <w:rPr>
          <w:sz w:val="24"/>
        </w:rPr>
      </w:pPr>
      <w:r>
        <w:rPr>
          <w:color w:val="0A0A0A"/>
          <w:sz w:val="24"/>
        </w:rPr>
        <w:t>In</w:t>
      </w:r>
      <w:r>
        <w:rPr>
          <w:color w:val="0A0A0A"/>
          <w:spacing w:val="-14"/>
          <w:sz w:val="24"/>
        </w:rPr>
        <w:t> </w:t>
      </w:r>
      <w:r>
        <w:rPr>
          <w:color w:val="0A0A0A"/>
          <w:sz w:val="24"/>
        </w:rPr>
        <w:t>line</w:t>
      </w:r>
      <w:r>
        <w:rPr>
          <w:color w:val="0A0A0A"/>
          <w:spacing w:val="-4"/>
          <w:sz w:val="24"/>
        </w:rPr>
        <w:t> </w:t>
      </w:r>
      <w:r>
        <w:rPr>
          <w:color w:val="0A0A0A"/>
          <w:sz w:val="24"/>
        </w:rPr>
        <w:t>with</w:t>
      </w:r>
      <w:r>
        <w:rPr>
          <w:color w:val="0A0A0A"/>
          <w:spacing w:val="-9"/>
          <w:sz w:val="24"/>
        </w:rPr>
        <w:t> </w:t>
      </w:r>
      <w:r>
        <w:rPr>
          <w:color w:val="0A0A0A"/>
          <w:sz w:val="24"/>
        </w:rPr>
        <w:t>the</w:t>
      </w:r>
      <w:r>
        <w:rPr>
          <w:color w:val="0A0A0A"/>
          <w:spacing w:val="-13"/>
          <w:sz w:val="24"/>
        </w:rPr>
        <w:t> </w:t>
      </w:r>
      <w:r>
        <w:rPr>
          <w:color w:val="0A0A0A"/>
          <w:sz w:val="24"/>
        </w:rPr>
        <w:t>rest</w:t>
      </w:r>
      <w:r>
        <w:rPr>
          <w:color w:val="0A0A0A"/>
          <w:spacing w:val="-9"/>
          <w:sz w:val="24"/>
        </w:rPr>
        <w:t> </w:t>
      </w:r>
      <w:r>
        <w:rPr>
          <w:color w:val="0A0A0A"/>
          <w:sz w:val="24"/>
        </w:rPr>
        <w:t>of</w:t>
      </w:r>
      <w:r>
        <w:rPr>
          <w:color w:val="0A0A0A"/>
          <w:spacing w:val="-10"/>
          <w:sz w:val="24"/>
        </w:rPr>
        <w:t> </w:t>
      </w:r>
      <w:r>
        <w:rPr>
          <w:color w:val="0A0A0A"/>
          <w:sz w:val="24"/>
        </w:rPr>
        <w:t>local</w:t>
      </w:r>
      <w:r>
        <w:rPr>
          <w:color w:val="0A0A0A"/>
          <w:spacing w:val="-8"/>
          <w:sz w:val="24"/>
        </w:rPr>
        <w:t> </w:t>
      </w:r>
      <w:r>
        <w:rPr>
          <w:color w:val="0A0A0A"/>
          <w:sz w:val="24"/>
        </w:rPr>
        <w:t>government,</w:t>
      </w:r>
      <w:r>
        <w:rPr>
          <w:color w:val="0A0A0A"/>
          <w:spacing w:val="16"/>
          <w:sz w:val="24"/>
        </w:rPr>
        <w:t> </w:t>
      </w:r>
      <w:r>
        <w:rPr>
          <w:color w:val="0A0A0A"/>
          <w:sz w:val="24"/>
        </w:rPr>
        <w:t>the</w:t>
      </w:r>
      <w:r>
        <w:rPr>
          <w:color w:val="0A0A0A"/>
          <w:spacing w:val="-14"/>
          <w:sz w:val="24"/>
        </w:rPr>
        <w:t> </w:t>
      </w:r>
      <w:r>
        <w:rPr>
          <w:color w:val="0A0A0A"/>
          <w:sz w:val="24"/>
        </w:rPr>
        <w:t>Council</w:t>
      </w:r>
      <w:r>
        <w:rPr>
          <w:color w:val="0A0A0A"/>
          <w:spacing w:val="-1"/>
          <w:sz w:val="24"/>
        </w:rPr>
        <w:t> </w:t>
      </w:r>
      <w:r>
        <w:rPr>
          <w:color w:val="0A0A0A"/>
          <w:sz w:val="24"/>
        </w:rPr>
        <w:t>has</w:t>
      </w:r>
      <w:r>
        <w:rPr>
          <w:color w:val="0A0A0A"/>
          <w:spacing w:val="-6"/>
          <w:sz w:val="24"/>
        </w:rPr>
        <w:t> </w:t>
      </w:r>
      <w:r>
        <w:rPr>
          <w:color w:val="0A0A0A"/>
          <w:sz w:val="24"/>
        </w:rPr>
        <w:t>seen</w:t>
      </w:r>
      <w:r>
        <w:rPr>
          <w:color w:val="0A0A0A"/>
          <w:spacing w:val="-10"/>
          <w:sz w:val="24"/>
        </w:rPr>
        <w:t> </w:t>
      </w:r>
      <w:r>
        <w:rPr>
          <w:color w:val="0A0A0A"/>
          <w:sz w:val="24"/>
        </w:rPr>
        <w:t>an</w:t>
      </w:r>
      <w:r>
        <w:rPr>
          <w:color w:val="0A0A0A"/>
          <w:spacing w:val="-12"/>
          <w:sz w:val="24"/>
        </w:rPr>
        <w:t> </w:t>
      </w:r>
      <w:r>
        <w:rPr>
          <w:color w:val="0A0A0A"/>
          <w:sz w:val="24"/>
        </w:rPr>
        <w:t>ongoing</w:t>
      </w:r>
      <w:r>
        <w:rPr>
          <w:color w:val="0A0A0A"/>
          <w:spacing w:val="-1"/>
          <w:sz w:val="24"/>
        </w:rPr>
        <w:t> </w:t>
      </w:r>
      <w:r>
        <w:rPr>
          <w:color w:val="0A0A0A"/>
          <w:sz w:val="24"/>
        </w:rPr>
        <w:t>reduction in its core funding putting increasing pressure on local council tax.</w:t>
      </w:r>
    </w:p>
    <w:p>
      <w:pPr>
        <w:spacing w:before="274" w:line="240" w:lineRule="auto"/>
        <w:ind w:left="836" w:right="245" w:firstLine="15"/>
        <w:jc w:val="both"/>
        <w:rPr>
          <w:sz w:val="24"/>
        </w:rPr>
      </w:pPr>
      <w:r>
        <w:rPr>
          <w:color w:val="0A0A0A"/>
          <w:sz w:val="24"/>
        </w:rPr>
        <w:t>For Hertsmere in 2022/23, central government core funding from retained business rates amounted to</w:t>
      </w:r>
      <w:r>
        <w:rPr>
          <w:color w:val="0A0A0A"/>
          <w:spacing w:val="-10"/>
          <w:sz w:val="24"/>
        </w:rPr>
        <w:t> </w:t>
      </w:r>
      <w:r>
        <w:rPr>
          <w:color w:val="0A0A0A"/>
          <w:sz w:val="24"/>
        </w:rPr>
        <w:t>£3.001m wh</w:t>
      </w:r>
      <w:r>
        <w:rPr>
          <w:color w:val="343434"/>
          <w:sz w:val="24"/>
        </w:rPr>
        <w:t>i</w:t>
      </w:r>
      <w:r>
        <w:rPr>
          <w:color w:val="1A1A1A"/>
          <w:sz w:val="24"/>
        </w:rPr>
        <w:t>ch</w:t>
      </w:r>
      <w:r>
        <w:rPr>
          <w:color w:val="1A1A1A"/>
          <w:spacing w:val="-9"/>
          <w:sz w:val="24"/>
        </w:rPr>
        <w:t> </w:t>
      </w:r>
      <w:r>
        <w:rPr>
          <w:color w:val="1A1A1A"/>
          <w:sz w:val="24"/>
        </w:rPr>
        <w:t>now</w:t>
      </w:r>
      <w:r>
        <w:rPr>
          <w:color w:val="1A1A1A"/>
          <w:spacing w:val="-6"/>
          <w:sz w:val="24"/>
        </w:rPr>
        <w:t> </w:t>
      </w:r>
      <w:r>
        <w:rPr>
          <w:color w:val="1A1A1A"/>
          <w:sz w:val="24"/>
        </w:rPr>
        <w:t>represents </w:t>
      </w:r>
      <w:r>
        <w:rPr>
          <w:color w:val="0A0A0A"/>
          <w:sz w:val="24"/>
        </w:rPr>
        <w:t>just </w:t>
      </w:r>
      <w:r>
        <w:rPr>
          <w:color w:val="1A1A1A"/>
          <w:sz w:val="24"/>
        </w:rPr>
        <w:t>24%</w:t>
      </w:r>
      <w:r>
        <w:rPr>
          <w:color w:val="1A1A1A"/>
          <w:spacing w:val="-8"/>
          <w:sz w:val="24"/>
        </w:rPr>
        <w:t> </w:t>
      </w:r>
      <w:r>
        <w:rPr>
          <w:color w:val="0A0A0A"/>
          <w:sz w:val="24"/>
        </w:rPr>
        <w:t>of</w:t>
      </w:r>
      <w:r>
        <w:rPr>
          <w:color w:val="0A0A0A"/>
          <w:spacing w:val="-4"/>
          <w:sz w:val="24"/>
        </w:rPr>
        <w:t> </w:t>
      </w:r>
      <w:r>
        <w:rPr>
          <w:color w:val="1A1A1A"/>
          <w:sz w:val="24"/>
        </w:rPr>
        <w:t>the</w:t>
      </w:r>
      <w:r>
        <w:rPr>
          <w:color w:val="1A1A1A"/>
          <w:spacing w:val="-14"/>
          <w:sz w:val="24"/>
        </w:rPr>
        <w:t> </w:t>
      </w:r>
      <w:r>
        <w:rPr>
          <w:color w:val="1A1A1A"/>
          <w:sz w:val="24"/>
        </w:rPr>
        <w:t>funding </w:t>
      </w:r>
      <w:r>
        <w:rPr>
          <w:color w:val="0A0A0A"/>
          <w:sz w:val="24"/>
        </w:rPr>
        <w:t>required to meet </w:t>
      </w:r>
      <w:r>
        <w:rPr>
          <w:color w:val="1A1A1A"/>
          <w:sz w:val="24"/>
        </w:rPr>
        <w:t>the Council's </w:t>
      </w:r>
      <w:r>
        <w:rPr>
          <w:color w:val="0A0A0A"/>
          <w:sz w:val="24"/>
        </w:rPr>
        <w:t>budgeted net </w:t>
      </w:r>
      <w:r>
        <w:rPr>
          <w:color w:val="1A1A1A"/>
          <w:sz w:val="24"/>
        </w:rPr>
        <w:t>expenditure </w:t>
      </w:r>
      <w:r>
        <w:rPr>
          <w:color w:val="0A0A0A"/>
          <w:sz w:val="24"/>
        </w:rPr>
        <w:t>of £12.290m. Around 67% or just over two thirds of the Council's total funding now comes from local Council Tax with the remainder coming from other government grants, contributions from reserves and retained growth from business rates.</w:t>
      </w:r>
    </w:p>
    <w:p>
      <w:pPr>
        <w:pStyle w:val="BodyText"/>
        <w:rPr>
          <w:sz w:val="24"/>
        </w:rPr>
      </w:pPr>
    </w:p>
    <w:p>
      <w:pPr>
        <w:spacing w:before="0" w:line="242" w:lineRule="auto"/>
        <w:ind w:left="828" w:right="269" w:firstLine="5"/>
        <w:jc w:val="both"/>
        <w:rPr>
          <w:sz w:val="24"/>
        </w:rPr>
      </w:pPr>
      <w:r>
        <w:rPr>
          <w:color w:val="1A1A1A"/>
          <w:sz w:val="24"/>
        </w:rPr>
        <w:t>Against</w:t>
      </w:r>
      <w:r>
        <w:rPr>
          <w:color w:val="1A1A1A"/>
          <w:spacing w:val="-15"/>
          <w:sz w:val="24"/>
        </w:rPr>
        <w:t> </w:t>
      </w:r>
      <w:r>
        <w:rPr>
          <w:color w:val="1A1A1A"/>
          <w:sz w:val="24"/>
        </w:rPr>
        <w:t>this</w:t>
      </w:r>
      <w:r>
        <w:rPr>
          <w:color w:val="1A1A1A"/>
          <w:spacing w:val="-15"/>
          <w:sz w:val="24"/>
        </w:rPr>
        <w:t> </w:t>
      </w:r>
      <w:r>
        <w:rPr>
          <w:color w:val="1A1A1A"/>
          <w:sz w:val="24"/>
        </w:rPr>
        <w:t>background, </w:t>
      </w:r>
      <w:r>
        <w:rPr>
          <w:color w:val="0A0A0A"/>
          <w:sz w:val="24"/>
        </w:rPr>
        <w:t>the</w:t>
      </w:r>
      <w:r>
        <w:rPr>
          <w:color w:val="0A0A0A"/>
          <w:spacing w:val="-17"/>
          <w:sz w:val="24"/>
        </w:rPr>
        <w:t> </w:t>
      </w:r>
      <w:r>
        <w:rPr>
          <w:color w:val="0A0A0A"/>
          <w:sz w:val="24"/>
        </w:rPr>
        <w:t>Council</w:t>
      </w:r>
      <w:r>
        <w:rPr>
          <w:color w:val="0A0A0A"/>
          <w:spacing w:val="-7"/>
          <w:sz w:val="24"/>
        </w:rPr>
        <w:t> </w:t>
      </w:r>
      <w:r>
        <w:rPr>
          <w:color w:val="1A1A1A"/>
          <w:sz w:val="24"/>
        </w:rPr>
        <w:t>continues</w:t>
      </w:r>
      <w:r>
        <w:rPr>
          <w:color w:val="1A1A1A"/>
          <w:spacing w:val="-5"/>
          <w:sz w:val="24"/>
        </w:rPr>
        <w:t> </w:t>
      </w:r>
      <w:r>
        <w:rPr>
          <w:color w:val="1A1A1A"/>
          <w:sz w:val="24"/>
        </w:rPr>
        <w:t>to</w:t>
      </w:r>
      <w:r>
        <w:rPr>
          <w:color w:val="1A1A1A"/>
          <w:spacing w:val="-17"/>
          <w:sz w:val="24"/>
        </w:rPr>
        <w:t> </w:t>
      </w:r>
      <w:r>
        <w:rPr>
          <w:color w:val="0A0A0A"/>
          <w:sz w:val="24"/>
        </w:rPr>
        <w:t>lead</w:t>
      </w:r>
      <w:r>
        <w:rPr>
          <w:color w:val="0A0A0A"/>
          <w:spacing w:val="-16"/>
          <w:sz w:val="24"/>
        </w:rPr>
        <w:t> </w:t>
      </w:r>
      <w:r>
        <w:rPr>
          <w:color w:val="0A0A0A"/>
          <w:sz w:val="24"/>
        </w:rPr>
        <w:t>the</w:t>
      </w:r>
      <w:r>
        <w:rPr>
          <w:color w:val="0A0A0A"/>
          <w:spacing w:val="-16"/>
          <w:sz w:val="24"/>
        </w:rPr>
        <w:t> </w:t>
      </w:r>
      <w:r>
        <w:rPr>
          <w:color w:val="0A0A0A"/>
          <w:sz w:val="24"/>
        </w:rPr>
        <w:t>way</w:t>
      </w:r>
      <w:r>
        <w:rPr>
          <w:color w:val="0A0A0A"/>
          <w:spacing w:val="-11"/>
          <w:sz w:val="24"/>
        </w:rPr>
        <w:t> </w:t>
      </w:r>
      <w:r>
        <w:rPr>
          <w:color w:val="1A1A1A"/>
          <w:sz w:val="24"/>
        </w:rPr>
        <w:t>in</w:t>
      </w:r>
      <w:r>
        <w:rPr>
          <w:color w:val="1A1A1A"/>
          <w:spacing w:val="-17"/>
          <w:sz w:val="24"/>
        </w:rPr>
        <w:t> </w:t>
      </w:r>
      <w:r>
        <w:rPr>
          <w:color w:val="0A0A0A"/>
          <w:sz w:val="24"/>
        </w:rPr>
        <w:t>rising</w:t>
      </w:r>
      <w:r>
        <w:rPr>
          <w:color w:val="0A0A0A"/>
          <w:spacing w:val="-10"/>
          <w:sz w:val="24"/>
        </w:rPr>
        <w:t> </w:t>
      </w:r>
      <w:r>
        <w:rPr>
          <w:color w:val="0A0A0A"/>
          <w:sz w:val="24"/>
        </w:rPr>
        <w:t>to</w:t>
      </w:r>
      <w:r>
        <w:rPr>
          <w:color w:val="0A0A0A"/>
          <w:spacing w:val="-17"/>
          <w:sz w:val="24"/>
        </w:rPr>
        <w:t> </w:t>
      </w:r>
      <w:r>
        <w:rPr>
          <w:color w:val="0A0A0A"/>
          <w:sz w:val="24"/>
        </w:rPr>
        <w:t>the</w:t>
      </w:r>
      <w:r>
        <w:rPr>
          <w:color w:val="0A0A0A"/>
          <w:spacing w:val="-17"/>
          <w:sz w:val="24"/>
        </w:rPr>
        <w:t> </w:t>
      </w:r>
      <w:r>
        <w:rPr>
          <w:color w:val="0A0A0A"/>
          <w:sz w:val="24"/>
        </w:rPr>
        <w:t>financial </w:t>
      </w:r>
      <w:r>
        <w:rPr>
          <w:color w:val="1A1A1A"/>
          <w:sz w:val="24"/>
        </w:rPr>
        <w:t>challenges facing local</w:t>
      </w:r>
      <w:r>
        <w:rPr>
          <w:color w:val="1A1A1A"/>
          <w:spacing w:val="-11"/>
          <w:sz w:val="24"/>
        </w:rPr>
        <w:t> </w:t>
      </w:r>
      <w:r>
        <w:rPr>
          <w:color w:val="0A0A0A"/>
          <w:sz w:val="24"/>
        </w:rPr>
        <w:t>government </w:t>
      </w:r>
      <w:r>
        <w:rPr>
          <w:color w:val="1A1A1A"/>
          <w:sz w:val="24"/>
        </w:rPr>
        <w:t>by implementing</w:t>
      </w:r>
      <w:r>
        <w:rPr>
          <w:color w:val="1A1A1A"/>
          <w:spacing w:val="37"/>
          <w:sz w:val="24"/>
        </w:rPr>
        <w:t> </w:t>
      </w:r>
      <w:r>
        <w:rPr>
          <w:color w:val="0A0A0A"/>
          <w:sz w:val="24"/>
        </w:rPr>
        <w:t>a number of strategies:</w:t>
      </w:r>
    </w:p>
    <w:p>
      <w:pPr>
        <w:pStyle w:val="BodyText"/>
        <w:spacing w:before="19"/>
        <w:rPr>
          <w:sz w:val="24"/>
        </w:rPr>
      </w:pPr>
    </w:p>
    <w:p>
      <w:pPr>
        <w:pStyle w:val="ListParagraph"/>
        <w:numPr>
          <w:ilvl w:val="0"/>
          <w:numId w:val="7"/>
        </w:numPr>
        <w:tabs>
          <w:tab w:val="left" w:leader="none" w:pos="1536"/>
          <w:tab w:val="left" w:leader="none" w:pos="1546"/>
        </w:tabs>
        <w:spacing w:before="0" w:after="0" w:line="237" w:lineRule="auto"/>
        <w:ind w:left="1536" w:right="282" w:hanging="361"/>
        <w:jc w:val="left"/>
        <w:rPr>
          <w:color w:val="0A0A0A"/>
          <w:sz w:val="24"/>
        </w:rPr>
      </w:pPr>
      <w:r>
        <w:rPr>
          <w:color w:val="0A0A0A"/>
          <w:sz w:val="24"/>
        </w:rPr>
        <w:tab/>
        <w:t>We</w:t>
      </w:r>
      <w:r>
        <w:rPr>
          <w:color w:val="0A0A0A"/>
          <w:spacing w:val="-20"/>
          <w:sz w:val="24"/>
        </w:rPr>
        <w:t> </w:t>
      </w:r>
      <w:r>
        <w:rPr>
          <w:color w:val="0A0A0A"/>
          <w:sz w:val="24"/>
        </w:rPr>
        <w:t>have</w:t>
      </w:r>
      <w:r>
        <w:rPr>
          <w:color w:val="0A0A0A"/>
          <w:spacing w:val="-17"/>
          <w:sz w:val="24"/>
        </w:rPr>
        <w:t> </w:t>
      </w:r>
      <w:r>
        <w:rPr>
          <w:color w:val="0A0A0A"/>
          <w:sz w:val="24"/>
        </w:rPr>
        <w:t>adopted</w:t>
      </w:r>
      <w:r>
        <w:rPr>
          <w:color w:val="0A0A0A"/>
          <w:spacing w:val="-10"/>
          <w:sz w:val="24"/>
        </w:rPr>
        <w:t> </w:t>
      </w:r>
      <w:r>
        <w:rPr>
          <w:color w:val="0A0A0A"/>
          <w:sz w:val="24"/>
        </w:rPr>
        <w:t>a</w:t>
      </w:r>
      <w:r>
        <w:rPr>
          <w:color w:val="0A0A0A"/>
          <w:spacing w:val="-25"/>
          <w:sz w:val="24"/>
        </w:rPr>
        <w:t> </w:t>
      </w:r>
      <w:r>
        <w:rPr>
          <w:color w:val="0A0A0A"/>
          <w:sz w:val="24"/>
        </w:rPr>
        <w:t>more</w:t>
      </w:r>
      <w:r>
        <w:rPr>
          <w:color w:val="0A0A0A"/>
          <w:spacing w:val="-17"/>
          <w:sz w:val="24"/>
        </w:rPr>
        <w:t> </w:t>
      </w:r>
      <w:r>
        <w:rPr>
          <w:color w:val="0A0A0A"/>
          <w:sz w:val="24"/>
        </w:rPr>
        <w:t>entrepreneurial</w:t>
      </w:r>
      <w:r>
        <w:rPr>
          <w:color w:val="0A0A0A"/>
          <w:spacing w:val="-22"/>
          <w:sz w:val="24"/>
        </w:rPr>
        <w:t> </w:t>
      </w:r>
      <w:r>
        <w:rPr>
          <w:color w:val="0A0A0A"/>
          <w:sz w:val="24"/>
        </w:rPr>
        <w:t>approach</w:t>
      </w:r>
      <w:r>
        <w:rPr>
          <w:color w:val="0A0A0A"/>
          <w:spacing w:val="-8"/>
          <w:sz w:val="24"/>
        </w:rPr>
        <w:t> </w:t>
      </w:r>
      <w:r>
        <w:rPr>
          <w:color w:val="0A0A0A"/>
          <w:sz w:val="24"/>
        </w:rPr>
        <w:t>and</w:t>
      </w:r>
      <w:r>
        <w:rPr>
          <w:color w:val="0A0A0A"/>
          <w:spacing w:val="-18"/>
          <w:sz w:val="24"/>
        </w:rPr>
        <w:t> </w:t>
      </w:r>
      <w:r>
        <w:rPr>
          <w:color w:val="0A0A0A"/>
          <w:sz w:val="24"/>
        </w:rPr>
        <w:t>focussed</w:t>
      </w:r>
      <w:r>
        <w:rPr>
          <w:color w:val="0A0A0A"/>
          <w:spacing w:val="-3"/>
          <w:sz w:val="24"/>
        </w:rPr>
        <w:t> </w:t>
      </w:r>
      <w:r>
        <w:rPr>
          <w:color w:val="0A0A0A"/>
          <w:sz w:val="24"/>
        </w:rPr>
        <w:t>on</w:t>
      </w:r>
      <w:r>
        <w:rPr>
          <w:color w:val="0A0A0A"/>
          <w:spacing w:val="-26"/>
          <w:sz w:val="24"/>
        </w:rPr>
        <w:t> </w:t>
      </w:r>
      <w:r>
        <w:rPr>
          <w:color w:val="0A0A0A"/>
          <w:sz w:val="24"/>
        </w:rPr>
        <w:t>expanding our ability to generate income as well as reducing costs.</w:t>
      </w:r>
    </w:p>
    <w:p>
      <w:pPr>
        <w:pStyle w:val="ListParagraph"/>
        <w:numPr>
          <w:ilvl w:val="0"/>
          <w:numId w:val="7"/>
        </w:numPr>
        <w:tabs>
          <w:tab w:val="left" w:leader="none" w:pos="1530"/>
        </w:tabs>
        <w:spacing w:before="19" w:after="0" w:line="240" w:lineRule="auto"/>
        <w:ind w:left="1530" w:right="0" w:hanging="354"/>
        <w:jc w:val="left"/>
        <w:rPr>
          <w:color w:val="0A0A0A"/>
          <w:sz w:val="24"/>
        </w:rPr>
      </w:pPr>
      <w:r>
        <w:rPr>
          <w:color w:val="0A0A0A"/>
          <w:sz w:val="24"/>
        </w:rPr>
        <w:t>Entering</w:t>
      </w:r>
      <w:r>
        <w:rPr>
          <w:color w:val="0A0A0A"/>
          <w:spacing w:val="9"/>
          <w:sz w:val="24"/>
        </w:rPr>
        <w:t> </w:t>
      </w:r>
      <w:r>
        <w:rPr>
          <w:color w:val="0A0A0A"/>
          <w:sz w:val="24"/>
        </w:rPr>
        <w:t>into</w:t>
      </w:r>
      <w:r>
        <w:rPr>
          <w:color w:val="0A0A0A"/>
          <w:spacing w:val="-9"/>
          <w:sz w:val="24"/>
        </w:rPr>
        <w:t> </w:t>
      </w:r>
      <w:r>
        <w:rPr>
          <w:color w:val="0A0A0A"/>
          <w:sz w:val="24"/>
        </w:rPr>
        <w:t>partnerships</w:t>
      </w:r>
      <w:r>
        <w:rPr>
          <w:color w:val="0A0A0A"/>
          <w:spacing w:val="18"/>
          <w:sz w:val="24"/>
        </w:rPr>
        <w:t> </w:t>
      </w:r>
      <w:r>
        <w:rPr>
          <w:color w:val="0A0A0A"/>
          <w:sz w:val="24"/>
        </w:rPr>
        <w:t>with</w:t>
      </w:r>
      <w:r>
        <w:rPr>
          <w:color w:val="0A0A0A"/>
          <w:spacing w:val="-8"/>
          <w:sz w:val="24"/>
        </w:rPr>
        <w:t> </w:t>
      </w:r>
      <w:r>
        <w:rPr>
          <w:color w:val="0A0A0A"/>
          <w:sz w:val="24"/>
        </w:rPr>
        <w:t>other</w:t>
      </w:r>
      <w:r>
        <w:rPr>
          <w:color w:val="0A0A0A"/>
          <w:spacing w:val="-7"/>
          <w:sz w:val="24"/>
        </w:rPr>
        <w:t> </w:t>
      </w:r>
      <w:r>
        <w:rPr>
          <w:color w:val="0A0A0A"/>
          <w:spacing w:val="-2"/>
          <w:sz w:val="24"/>
        </w:rPr>
        <w:t>councils.</w:t>
      </w:r>
    </w:p>
    <w:p>
      <w:pPr>
        <w:pStyle w:val="ListParagraph"/>
        <w:numPr>
          <w:ilvl w:val="0"/>
          <w:numId w:val="7"/>
        </w:numPr>
        <w:tabs>
          <w:tab w:val="left" w:leader="none" w:pos="1527"/>
        </w:tabs>
        <w:spacing w:before="17" w:after="0" w:line="240" w:lineRule="auto"/>
        <w:ind w:left="1527" w:right="0" w:hanging="351"/>
        <w:jc w:val="left"/>
        <w:rPr>
          <w:color w:val="1A1A1A"/>
          <w:sz w:val="24"/>
        </w:rPr>
      </w:pPr>
      <w:r>
        <w:rPr>
          <w:color w:val="0A0A0A"/>
          <w:sz w:val="24"/>
        </w:rPr>
        <w:t>Looking</w:t>
      </w:r>
      <w:r>
        <w:rPr>
          <w:color w:val="0A0A0A"/>
          <w:spacing w:val="2"/>
          <w:sz w:val="24"/>
        </w:rPr>
        <w:t> </w:t>
      </w:r>
      <w:r>
        <w:rPr>
          <w:color w:val="0A0A0A"/>
          <w:sz w:val="24"/>
        </w:rPr>
        <w:t>for</w:t>
      </w:r>
      <w:r>
        <w:rPr>
          <w:color w:val="0A0A0A"/>
          <w:spacing w:val="-6"/>
          <w:sz w:val="24"/>
        </w:rPr>
        <w:t> </w:t>
      </w:r>
      <w:r>
        <w:rPr>
          <w:color w:val="0A0A0A"/>
          <w:sz w:val="24"/>
        </w:rPr>
        <w:t>commercial</w:t>
      </w:r>
      <w:r>
        <w:rPr>
          <w:color w:val="0A0A0A"/>
          <w:spacing w:val="4"/>
          <w:sz w:val="24"/>
        </w:rPr>
        <w:t> </w:t>
      </w:r>
      <w:r>
        <w:rPr>
          <w:color w:val="0A0A0A"/>
          <w:spacing w:val="-2"/>
          <w:sz w:val="24"/>
        </w:rPr>
        <w:t>opportunities.</w:t>
      </w:r>
    </w:p>
    <w:p>
      <w:pPr>
        <w:pStyle w:val="ListParagraph"/>
        <w:numPr>
          <w:ilvl w:val="0"/>
          <w:numId w:val="7"/>
        </w:numPr>
        <w:tabs>
          <w:tab w:val="left" w:leader="none" w:pos="1527"/>
        </w:tabs>
        <w:spacing w:before="17" w:after="0" w:line="240" w:lineRule="auto"/>
        <w:ind w:left="1527" w:right="0" w:hanging="361"/>
        <w:jc w:val="left"/>
        <w:rPr>
          <w:color w:val="0A0A0A"/>
          <w:sz w:val="24"/>
        </w:rPr>
      </w:pPr>
      <w:r>
        <w:rPr>
          <w:color w:val="0A0A0A"/>
          <w:sz w:val="24"/>
        </w:rPr>
        <w:t>Building</w:t>
      </w:r>
      <w:r>
        <w:rPr>
          <w:color w:val="0A0A0A"/>
          <w:spacing w:val="6"/>
          <w:sz w:val="24"/>
        </w:rPr>
        <w:t> </w:t>
      </w:r>
      <w:r>
        <w:rPr>
          <w:color w:val="0A0A0A"/>
          <w:sz w:val="24"/>
        </w:rPr>
        <w:t>new affordable</w:t>
      </w:r>
      <w:r>
        <w:rPr>
          <w:color w:val="0A0A0A"/>
          <w:spacing w:val="7"/>
          <w:sz w:val="24"/>
        </w:rPr>
        <w:t> </w:t>
      </w:r>
      <w:r>
        <w:rPr>
          <w:color w:val="0A0A0A"/>
          <w:sz w:val="24"/>
        </w:rPr>
        <w:t>housing</w:t>
      </w:r>
      <w:r>
        <w:rPr>
          <w:color w:val="0A0A0A"/>
          <w:spacing w:val="-2"/>
          <w:sz w:val="24"/>
        </w:rPr>
        <w:t> </w:t>
      </w:r>
      <w:r>
        <w:rPr>
          <w:color w:val="0A0A0A"/>
          <w:sz w:val="24"/>
        </w:rPr>
        <w:t>for</w:t>
      </w:r>
      <w:r>
        <w:rPr>
          <w:color w:val="0A0A0A"/>
          <w:spacing w:val="-6"/>
          <w:sz w:val="24"/>
        </w:rPr>
        <w:t> </w:t>
      </w:r>
      <w:r>
        <w:rPr>
          <w:color w:val="0A0A0A"/>
          <w:sz w:val="24"/>
        </w:rPr>
        <w:t>rent</w:t>
      </w:r>
      <w:r>
        <w:rPr>
          <w:color w:val="0A0A0A"/>
          <w:spacing w:val="-3"/>
          <w:sz w:val="24"/>
        </w:rPr>
        <w:t> </w:t>
      </w:r>
      <w:r>
        <w:rPr>
          <w:color w:val="0A0A0A"/>
          <w:sz w:val="24"/>
        </w:rPr>
        <w:t>to</w:t>
      </w:r>
      <w:r>
        <w:rPr>
          <w:color w:val="0A0A0A"/>
          <w:spacing w:val="-12"/>
          <w:sz w:val="24"/>
        </w:rPr>
        <w:t> </w:t>
      </w:r>
      <w:r>
        <w:rPr>
          <w:color w:val="0A0A0A"/>
          <w:sz w:val="24"/>
        </w:rPr>
        <w:t>meet</w:t>
      </w:r>
      <w:r>
        <w:rPr>
          <w:color w:val="0A0A0A"/>
          <w:spacing w:val="-4"/>
          <w:sz w:val="24"/>
        </w:rPr>
        <w:t> </w:t>
      </w:r>
      <w:r>
        <w:rPr>
          <w:color w:val="0A0A0A"/>
          <w:sz w:val="24"/>
        </w:rPr>
        <w:t>local</w:t>
      </w:r>
      <w:r>
        <w:rPr>
          <w:color w:val="0A0A0A"/>
          <w:spacing w:val="-10"/>
          <w:sz w:val="24"/>
        </w:rPr>
        <w:t> </w:t>
      </w:r>
      <w:r>
        <w:rPr>
          <w:color w:val="0A0A0A"/>
          <w:spacing w:val="-2"/>
          <w:sz w:val="24"/>
        </w:rPr>
        <w:t>demand.</w:t>
      </w:r>
    </w:p>
    <w:p>
      <w:pPr>
        <w:pStyle w:val="ListParagraph"/>
        <w:numPr>
          <w:ilvl w:val="0"/>
          <w:numId w:val="7"/>
        </w:numPr>
        <w:tabs>
          <w:tab w:val="left" w:leader="none" w:pos="1517"/>
          <w:tab w:val="left" w:leader="none" w:pos="1520"/>
        </w:tabs>
        <w:spacing w:before="19" w:after="0" w:line="237" w:lineRule="auto"/>
        <w:ind w:left="1517" w:right="280" w:hanging="351"/>
        <w:jc w:val="left"/>
        <w:rPr>
          <w:color w:val="1A1A1A"/>
          <w:sz w:val="24"/>
        </w:rPr>
      </w:pPr>
      <w:r>
        <w:rPr>
          <w:color w:val="1A1A1A"/>
          <w:sz w:val="24"/>
        </w:rPr>
        <w:tab/>
      </w:r>
      <w:r>
        <w:rPr>
          <w:color w:val="0A0A0A"/>
          <w:sz w:val="24"/>
        </w:rPr>
        <w:t>Establishing our own property development company to take forward housing developments on Council-owned land.</w:t>
      </w:r>
    </w:p>
    <w:p>
      <w:pPr>
        <w:pStyle w:val="BodyText"/>
        <w:rPr>
          <w:sz w:val="23"/>
        </w:rPr>
      </w:pPr>
    </w:p>
    <w:p>
      <w:pPr>
        <w:pStyle w:val="BodyText"/>
        <w:spacing w:before="32"/>
        <w:rPr>
          <w:sz w:val="23"/>
        </w:rPr>
      </w:pPr>
    </w:p>
    <w:p>
      <w:pPr>
        <w:spacing w:before="1"/>
        <w:ind w:left="782" w:right="0" w:firstLine="0"/>
        <w:jc w:val="both"/>
        <w:rPr>
          <w:b/>
          <w:sz w:val="23"/>
        </w:rPr>
      </w:pPr>
      <w:r>
        <w:rPr>
          <w:b/>
          <w:color w:val="0A0A0A"/>
          <w:w w:val="105"/>
          <w:sz w:val="23"/>
          <w:u w:val="thick" w:color="0A0A0A"/>
        </w:rPr>
        <w:t>Financial</w:t>
      </w:r>
      <w:r>
        <w:rPr>
          <w:b/>
          <w:color w:val="0A0A0A"/>
          <w:spacing w:val="-3"/>
          <w:w w:val="105"/>
          <w:sz w:val="23"/>
          <w:u w:val="thick" w:color="0A0A0A"/>
        </w:rPr>
        <w:t> </w:t>
      </w:r>
      <w:r>
        <w:rPr>
          <w:b/>
          <w:color w:val="0A0A0A"/>
          <w:w w:val="105"/>
          <w:sz w:val="23"/>
          <w:u w:val="thick" w:color="0A0A0A"/>
        </w:rPr>
        <w:t>Management</w:t>
      </w:r>
      <w:r>
        <w:rPr>
          <w:b/>
          <w:color w:val="0A0A0A"/>
          <w:spacing w:val="2"/>
          <w:w w:val="105"/>
          <w:sz w:val="23"/>
          <w:u w:val="thick" w:color="0A0A0A"/>
        </w:rPr>
        <w:t> </w:t>
      </w:r>
      <w:r>
        <w:rPr>
          <w:b/>
          <w:color w:val="0A0A0A"/>
          <w:w w:val="105"/>
          <w:sz w:val="23"/>
          <w:u w:val="thick" w:color="0A0A0A"/>
        </w:rPr>
        <w:t>and</w:t>
      </w:r>
      <w:r>
        <w:rPr>
          <w:b/>
          <w:color w:val="0A0A0A"/>
          <w:spacing w:val="-5"/>
          <w:w w:val="105"/>
          <w:sz w:val="23"/>
          <w:u w:val="thick" w:color="0A0A0A"/>
        </w:rPr>
        <w:t> </w:t>
      </w:r>
      <w:r>
        <w:rPr>
          <w:b/>
          <w:color w:val="0A0A0A"/>
          <w:spacing w:val="-2"/>
          <w:w w:val="105"/>
          <w:sz w:val="23"/>
          <w:u w:val="thick" w:color="0A0A0A"/>
        </w:rPr>
        <w:t>Sustainability</w:t>
      </w:r>
    </w:p>
    <w:p>
      <w:pPr>
        <w:pStyle w:val="BodyText"/>
        <w:spacing w:before="18"/>
        <w:rPr>
          <w:b/>
          <w:sz w:val="23"/>
        </w:rPr>
      </w:pPr>
    </w:p>
    <w:p>
      <w:pPr>
        <w:spacing w:before="1" w:line="240" w:lineRule="auto"/>
        <w:ind w:left="758" w:right="292" w:firstLine="15"/>
        <w:jc w:val="both"/>
        <w:rPr>
          <w:sz w:val="24"/>
        </w:rPr>
      </w:pPr>
      <w:r>
        <w:rPr>
          <w:color w:val="0A0A0A"/>
          <w:sz w:val="24"/>
        </w:rPr>
        <w:t>The</w:t>
      </w:r>
      <w:r>
        <w:rPr>
          <w:color w:val="0A0A0A"/>
          <w:spacing w:val="-17"/>
          <w:sz w:val="24"/>
        </w:rPr>
        <w:t> </w:t>
      </w:r>
      <w:r>
        <w:rPr>
          <w:color w:val="0A0A0A"/>
          <w:sz w:val="24"/>
        </w:rPr>
        <w:t>2022/23</w:t>
      </w:r>
      <w:r>
        <w:rPr>
          <w:color w:val="0A0A0A"/>
          <w:spacing w:val="-15"/>
          <w:sz w:val="24"/>
        </w:rPr>
        <w:t> </w:t>
      </w:r>
      <w:r>
        <w:rPr>
          <w:color w:val="0A0A0A"/>
          <w:sz w:val="24"/>
        </w:rPr>
        <w:t>budget</w:t>
      </w:r>
      <w:r>
        <w:rPr>
          <w:color w:val="0A0A0A"/>
          <w:spacing w:val="-5"/>
          <w:sz w:val="24"/>
        </w:rPr>
        <w:t> </w:t>
      </w:r>
      <w:r>
        <w:rPr>
          <w:color w:val="0A0A0A"/>
          <w:sz w:val="24"/>
        </w:rPr>
        <w:t>was</w:t>
      </w:r>
      <w:r>
        <w:rPr>
          <w:color w:val="0A0A0A"/>
          <w:spacing w:val="-7"/>
          <w:sz w:val="24"/>
        </w:rPr>
        <w:t> </w:t>
      </w:r>
      <w:r>
        <w:rPr>
          <w:color w:val="0A0A0A"/>
          <w:sz w:val="24"/>
        </w:rPr>
        <w:t>set</w:t>
      </w:r>
      <w:r>
        <w:rPr>
          <w:color w:val="0A0A0A"/>
          <w:spacing w:val="-13"/>
          <w:sz w:val="24"/>
        </w:rPr>
        <w:t> </w:t>
      </w:r>
      <w:r>
        <w:rPr>
          <w:color w:val="0A0A0A"/>
          <w:sz w:val="24"/>
        </w:rPr>
        <w:t>in</w:t>
      </w:r>
      <w:r>
        <w:rPr>
          <w:color w:val="0A0A0A"/>
          <w:spacing w:val="-17"/>
          <w:sz w:val="24"/>
        </w:rPr>
        <w:t> </w:t>
      </w:r>
      <w:r>
        <w:rPr>
          <w:color w:val="0A0A0A"/>
          <w:sz w:val="24"/>
        </w:rPr>
        <w:t>the</w:t>
      </w:r>
      <w:r>
        <w:rPr>
          <w:color w:val="0A0A0A"/>
          <w:spacing w:val="-15"/>
          <w:sz w:val="24"/>
        </w:rPr>
        <w:t> </w:t>
      </w:r>
      <w:r>
        <w:rPr>
          <w:color w:val="0A0A0A"/>
          <w:sz w:val="24"/>
        </w:rPr>
        <w:t>wake of</w:t>
      </w:r>
      <w:r>
        <w:rPr>
          <w:color w:val="0A0A0A"/>
          <w:spacing w:val="-17"/>
          <w:sz w:val="24"/>
        </w:rPr>
        <w:t> </w:t>
      </w:r>
      <w:r>
        <w:rPr>
          <w:color w:val="0A0A0A"/>
          <w:sz w:val="24"/>
        </w:rPr>
        <w:t>the</w:t>
      </w:r>
      <w:r>
        <w:rPr>
          <w:color w:val="0A0A0A"/>
          <w:spacing w:val="-12"/>
          <w:sz w:val="24"/>
        </w:rPr>
        <w:t> </w:t>
      </w:r>
      <w:r>
        <w:rPr>
          <w:color w:val="0A0A0A"/>
          <w:sz w:val="24"/>
        </w:rPr>
        <w:t>COVID-19</w:t>
      </w:r>
      <w:r>
        <w:rPr>
          <w:color w:val="0A0A0A"/>
          <w:spacing w:val="-5"/>
          <w:sz w:val="24"/>
        </w:rPr>
        <w:t> </w:t>
      </w:r>
      <w:r>
        <w:rPr>
          <w:color w:val="0A0A0A"/>
          <w:sz w:val="24"/>
        </w:rPr>
        <w:t>pandemic and</w:t>
      </w:r>
      <w:r>
        <w:rPr>
          <w:color w:val="0A0A0A"/>
          <w:spacing w:val="-15"/>
          <w:sz w:val="24"/>
        </w:rPr>
        <w:t> </w:t>
      </w:r>
      <w:r>
        <w:rPr>
          <w:color w:val="0A0A0A"/>
          <w:sz w:val="24"/>
        </w:rPr>
        <w:t>also</w:t>
      </w:r>
      <w:r>
        <w:rPr>
          <w:color w:val="0A0A0A"/>
          <w:spacing w:val="-8"/>
          <w:sz w:val="24"/>
        </w:rPr>
        <w:t> </w:t>
      </w:r>
      <w:r>
        <w:rPr>
          <w:color w:val="0A0A0A"/>
          <w:sz w:val="24"/>
        </w:rPr>
        <w:t>the</w:t>
      </w:r>
      <w:r>
        <w:rPr>
          <w:color w:val="0A0A0A"/>
          <w:spacing w:val="-17"/>
          <w:sz w:val="24"/>
        </w:rPr>
        <w:t> </w:t>
      </w:r>
      <w:r>
        <w:rPr>
          <w:color w:val="0A0A0A"/>
          <w:sz w:val="24"/>
        </w:rPr>
        <w:t>UK's exit from</w:t>
      </w:r>
      <w:r>
        <w:rPr>
          <w:color w:val="0A0A0A"/>
          <w:spacing w:val="-2"/>
          <w:sz w:val="24"/>
        </w:rPr>
        <w:t> </w:t>
      </w:r>
      <w:r>
        <w:rPr>
          <w:color w:val="0A0A0A"/>
          <w:sz w:val="24"/>
        </w:rPr>
        <w:t>the</w:t>
      </w:r>
      <w:r>
        <w:rPr>
          <w:color w:val="0A0A0A"/>
          <w:spacing w:val="-5"/>
          <w:sz w:val="24"/>
        </w:rPr>
        <w:t> </w:t>
      </w:r>
      <w:r>
        <w:rPr>
          <w:color w:val="0A0A0A"/>
          <w:sz w:val="24"/>
        </w:rPr>
        <w:t>European Union and has reflected </w:t>
      </w:r>
      <w:r>
        <w:rPr>
          <w:color w:val="1A1A1A"/>
          <w:sz w:val="24"/>
        </w:rPr>
        <w:t>the</w:t>
      </w:r>
      <w:r>
        <w:rPr>
          <w:color w:val="1A1A1A"/>
          <w:spacing w:val="-3"/>
          <w:sz w:val="24"/>
        </w:rPr>
        <w:t> </w:t>
      </w:r>
      <w:r>
        <w:rPr>
          <w:color w:val="1A1A1A"/>
          <w:sz w:val="24"/>
        </w:rPr>
        <w:t>ongoing </w:t>
      </w:r>
      <w:r>
        <w:rPr>
          <w:color w:val="0A0A0A"/>
          <w:sz w:val="24"/>
        </w:rPr>
        <w:t>impact </w:t>
      </w:r>
      <w:r>
        <w:rPr>
          <w:color w:val="1A1A1A"/>
          <w:sz w:val="24"/>
        </w:rPr>
        <w:t>that</w:t>
      </w:r>
      <w:r>
        <w:rPr>
          <w:color w:val="1A1A1A"/>
          <w:spacing w:val="-8"/>
          <w:sz w:val="24"/>
        </w:rPr>
        <w:t> </w:t>
      </w:r>
      <w:r>
        <w:rPr>
          <w:color w:val="0A0A0A"/>
          <w:sz w:val="24"/>
        </w:rPr>
        <w:t>these events have had</w:t>
      </w:r>
      <w:r>
        <w:rPr>
          <w:color w:val="0A0A0A"/>
          <w:spacing w:val="-6"/>
          <w:sz w:val="24"/>
        </w:rPr>
        <w:t> </w:t>
      </w:r>
      <w:r>
        <w:rPr>
          <w:color w:val="0A0A0A"/>
          <w:sz w:val="24"/>
        </w:rPr>
        <w:t>and</w:t>
      </w:r>
      <w:r>
        <w:rPr>
          <w:color w:val="0A0A0A"/>
          <w:spacing w:val="-6"/>
          <w:sz w:val="24"/>
        </w:rPr>
        <w:t> </w:t>
      </w:r>
      <w:r>
        <w:rPr>
          <w:color w:val="0A0A0A"/>
          <w:sz w:val="24"/>
        </w:rPr>
        <w:t>continue</w:t>
      </w:r>
      <w:r>
        <w:rPr>
          <w:color w:val="0A0A0A"/>
          <w:spacing w:val="-3"/>
          <w:sz w:val="24"/>
        </w:rPr>
        <w:t> </w:t>
      </w:r>
      <w:r>
        <w:rPr>
          <w:color w:val="0A0A0A"/>
          <w:sz w:val="24"/>
        </w:rPr>
        <w:t>to</w:t>
      </w:r>
      <w:r>
        <w:rPr>
          <w:color w:val="0A0A0A"/>
          <w:spacing w:val="-6"/>
          <w:sz w:val="24"/>
        </w:rPr>
        <w:t> </w:t>
      </w:r>
      <w:r>
        <w:rPr>
          <w:color w:val="0A0A0A"/>
          <w:sz w:val="24"/>
        </w:rPr>
        <w:t>have on</w:t>
      </w:r>
      <w:r>
        <w:rPr>
          <w:color w:val="0A0A0A"/>
          <w:spacing w:val="-10"/>
          <w:sz w:val="24"/>
        </w:rPr>
        <w:t> </w:t>
      </w:r>
      <w:r>
        <w:rPr>
          <w:color w:val="0A0A0A"/>
          <w:sz w:val="24"/>
        </w:rPr>
        <w:t>the</w:t>
      </w:r>
      <w:r>
        <w:rPr>
          <w:color w:val="0A0A0A"/>
          <w:spacing w:val="-6"/>
          <w:sz w:val="24"/>
        </w:rPr>
        <w:t> </w:t>
      </w:r>
      <w:r>
        <w:rPr>
          <w:color w:val="0A0A0A"/>
          <w:sz w:val="24"/>
        </w:rPr>
        <w:t>Counci</w:t>
      </w:r>
      <w:r>
        <w:rPr>
          <w:color w:val="343434"/>
          <w:sz w:val="24"/>
        </w:rPr>
        <w:t>l</w:t>
      </w:r>
      <w:r>
        <w:rPr>
          <w:color w:val="1A1A1A"/>
          <w:sz w:val="24"/>
        </w:rPr>
        <w:t>'s services </w:t>
      </w:r>
      <w:r>
        <w:rPr>
          <w:color w:val="0A0A0A"/>
          <w:sz w:val="24"/>
        </w:rPr>
        <w:t>and</w:t>
      </w:r>
      <w:r>
        <w:rPr>
          <w:color w:val="0A0A0A"/>
          <w:spacing w:val="-2"/>
          <w:sz w:val="24"/>
        </w:rPr>
        <w:t> </w:t>
      </w:r>
      <w:r>
        <w:rPr>
          <w:color w:val="1A1A1A"/>
          <w:sz w:val="24"/>
        </w:rPr>
        <w:t>its</w:t>
      </w:r>
      <w:r>
        <w:rPr>
          <w:color w:val="1A1A1A"/>
          <w:spacing w:val="-7"/>
          <w:sz w:val="24"/>
        </w:rPr>
        <w:t> </w:t>
      </w:r>
      <w:r>
        <w:rPr>
          <w:color w:val="1A1A1A"/>
          <w:sz w:val="24"/>
        </w:rPr>
        <w:t>financial </w:t>
      </w:r>
      <w:r>
        <w:rPr>
          <w:color w:val="0A0A0A"/>
          <w:sz w:val="24"/>
        </w:rPr>
        <w:t>position</w:t>
      </w:r>
      <w:r>
        <w:rPr>
          <w:color w:val="0A0A0A"/>
          <w:spacing w:val="-3"/>
          <w:sz w:val="24"/>
        </w:rPr>
        <w:t> </w:t>
      </w:r>
      <w:r>
        <w:rPr>
          <w:color w:val="0A0A0A"/>
          <w:sz w:val="24"/>
        </w:rPr>
        <w:t>and performance</w:t>
      </w:r>
      <w:r>
        <w:rPr>
          <w:color w:val="0A0A0A"/>
          <w:spacing w:val="3"/>
          <w:sz w:val="24"/>
        </w:rPr>
        <w:t> </w:t>
      </w:r>
      <w:r>
        <w:rPr>
          <w:color w:val="1A1A1A"/>
          <w:sz w:val="24"/>
        </w:rPr>
        <w:t>during </w:t>
      </w:r>
      <w:r>
        <w:rPr>
          <w:color w:val="0A0A0A"/>
          <w:sz w:val="24"/>
        </w:rPr>
        <w:t>2022/23 and</w:t>
      </w:r>
      <w:r>
        <w:rPr>
          <w:color w:val="0A0A0A"/>
          <w:spacing w:val="-12"/>
          <w:sz w:val="24"/>
        </w:rPr>
        <w:t> </w:t>
      </w:r>
      <w:r>
        <w:rPr>
          <w:color w:val="1A1A1A"/>
          <w:sz w:val="24"/>
        </w:rPr>
        <w:t>beyond</w:t>
      </w:r>
      <w:r>
        <w:rPr>
          <w:color w:val="444444"/>
          <w:sz w:val="24"/>
        </w:rPr>
        <w:t>.</w:t>
      </w:r>
      <w:r>
        <w:rPr>
          <w:color w:val="444444"/>
          <w:spacing w:val="-17"/>
          <w:sz w:val="24"/>
        </w:rPr>
        <w:t> </w:t>
      </w:r>
      <w:r>
        <w:rPr>
          <w:color w:val="0A0A0A"/>
          <w:sz w:val="24"/>
        </w:rPr>
        <w:t>This</w:t>
      </w:r>
      <w:r>
        <w:rPr>
          <w:color w:val="0A0A0A"/>
          <w:spacing w:val="-1"/>
          <w:sz w:val="24"/>
        </w:rPr>
        <w:t> </w:t>
      </w:r>
      <w:r>
        <w:rPr>
          <w:color w:val="0A0A0A"/>
          <w:sz w:val="24"/>
        </w:rPr>
        <w:t>includes for</w:t>
      </w:r>
      <w:r>
        <w:rPr>
          <w:color w:val="0A0A0A"/>
          <w:spacing w:val="-3"/>
          <w:sz w:val="24"/>
        </w:rPr>
        <w:t> </w:t>
      </w:r>
      <w:r>
        <w:rPr>
          <w:color w:val="1A1A1A"/>
          <w:sz w:val="24"/>
        </w:rPr>
        <w:t>example national</w:t>
      </w:r>
      <w:r>
        <w:rPr>
          <w:color w:val="1A1A1A"/>
          <w:spacing w:val="-12"/>
          <w:sz w:val="24"/>
        </w:rPr>
        <w:t> </w:t>
      </w:r>
      <w:r>
        <w:rPr>
          <w:color w:val="0A0A0A"/>
          <w:sz w:val="24"/>
        </w:rPr>
        <w:t>changes in</w:t>
      </w:r>
      <w:r>
        <w:rPr>
          <w:color w:val="0A0A0A"/>
          <w:spacing w:val="-5"/>
          <w:sz w:val="24"/>
        </w:rPr>
        <w:t> </w:t>
      </w:r>
      <w:r>
        <w:rPr>
          <w:color w:val="1A1A1A"/>
          <w:sz w:val="24"/>
        </w:rPr>
        <w:t>behaviours and </w:t>
      </w:r>
      <w:r>
        <w:rPr>
          <w:color w:val="0A0A0A"/>
          <w:sz w:val="24"/>
        </w:rPr>
        <w:t>working practices </w:t>
      </w:r>
      <w:r>
        <w:rPr>
          <w:color w:val="1A1A1A"/>
          <w:sz w:val="24"/>
        </w:rPr>
        <w:t>such</w:t>
      </w:r>
      <w:r>
        <w:rPr>
          <w:color w:val="1A1A1A"/>
          <w:spacing w:val="-8"/>
          <w:sz w:val="24"/>
        </w:rPr>
        <w:t> </w:t>
      </w:r>
      <w:r>
        <w:rPr>
          <w:color w:val="0A0A0A"/>
          <w:sz w:val="24"/>
        </w:rPr>
        <w:t>as</w:t>
      </w:r>
      <w:r>
        <w:rPr>
          <w:color w:val="0A0A0A"/>
          <w:spacing w:val="-10"/>
          <w:sz w:val="24"/>
        </w:rPr>
        <w:t> </w:t>
      </w:r>
      <w:r>
        <w:rPr>
          <w:color w:val="0A0A0A"/>
          <w:sz w:val="24"/>
        </w:rPr>
        <w:t>remote working </w:t>
      </w:r>
      <w:r>
        <w:rPr>
          <w:color w:val="1A1A1A"/>
          <w:sz w:val="24"/>
        </w:rPr>
        <w:t>and</w:t>
      </w:r>
      <w:r>
        <w:rPr>
          <w:color w:val="1A1A1A"/>
          <w:spacing w:val="-6"/>
          <w:sz w:val="24"/>
        </w:rPr>
        <w:t> </w:t>
      </w:r>
      <w:r>
        <w:rPr>
          <w:color w:val="1A1A1A"/>
          <w:sz w:val="24"/>
        </w:rPr>
        <w:t>consideration </w:t>
      </w:r>
      <w:r>
        <w:rPr>
          <w:color w:val="0A0A0A"/>
          <w:sz w:val="24"/>
        </w:rPr>
        <w:t>of</w:t>
      </w:r>
      <w:r>
        <w:rPr>
          <w:color w:val="0A0A0A"/>
          <w:spacing w:val="-5"/>
          <w:sz w:val="24"/>
        </w:rPr>
        <w:t> </w:t>
      </w:r>
      <w:r>
        <w:rPr>
          <w:color w:val="0A0A0A"/>
          <w:sz w:val="24"/>
        </w:rPr>
        <w:t>the following risks were therefore reflected in</w:t>
      </w:r>
      <w:r>
        <w:rPr>
          <w:color w:val="0A0A0A"/>
          <w:spacing w:val="-2"/>
          <w:sz w:val="24"/>
        </w:rPr>
        <w:t> </w:t>
      </w:r>
      <w:r>
        <w:rPr>
          <w:color w:val="0A0A0A"/>
          <w:sz w:val="24"/>
        </w:rPr>
        <w:t>the budget:</w:t>
      </w:r>
    </w:p>
    <w:p>
      <w:pPr>
        <w:pStyle w:val="BodyText"/>
        <w:spacing w:before="19"/>
        <w:rPr>
          <w:sz w:val="24"/>
        </w:rPr>
      </w:pPr>
    </w:p>
    <w:p>
      <w:pPr>
        <w:pStyle w:val="ListParagraph"/>
        <w:numPr>
          <w:ilvl w:val="0"/>
          <w:numId w:val="7"/>
        </w:numPr>
        <w:tabs>
          <w:tab w:val="left" w:leader="none" w:pos="1464"/>
          <w:tab w:val="left" w:leader="none" w:pos="1470"/>
        </w:tabs>
        <w:spacing w:before="0" w:after="0" w:line="242" w:lineRule="auto"/>
        <w:ind w:left="1464" w:right="303" w:hanging="351"/>
        <w:jc w:val="left"/>
        <w:rPr>
          <w:color w:val="1A1A1A"/>
          <w:sz w:val="24"/>
        </w:rPr>
      </w:pPr>
      <w:r>
        <w:rPr>
          <w:color w:val="1A1A1A"/>
          <w:sz w:val="24"/>
        </w:rPr>
        <w:tab/>
      </w:r>
      <w:r>
        <w:rPr>
          <w:color w:val="0A0A0A"/>
          <w:sz w:val="24"/>
        </w:rPr>
        <w:t>Ongoing loss of</w:t>
      </w:r>
      <w:r>
        <w:rPr>
          <w:color w:val="0A0A0A"/>
          <w:spacing w:val="-6"/>
          <w:sz w:val="24"/>
        </w:rPr>
        <w:t> </w:t>
      </w:r>
      <w:r>
        <w:rPr>
          <w:color w:val="0A0A0A"/>
          <w:sz w:val="24"/>
        </w:rPr>
        <w:t>income on</w:t>
      </w:r>
      <w:r>
        <w:rPr>
          <w:color w:val="0A0A0A"/>
          <w:spacing w:val="-8"/>
          <w:sz w:val="24"/>
        </w:rPr>
        <w:t> </w:t>
      </w:r>
      <w:r>
        <w:rPr>
          <w:color w:val="1A1A1A"/>
          <w:sz w:val="24"/>
        </w:rPr>
        <w:t>a</w:t>
      </w:r>
      <w:r>
        <w:rPr>
          <w:color w:val="1A1A1A"/>
          <w:spacing w:val="-4"/>
          <w:sz w:val="24"/>
        </w:rPr>
        <w:t> </w:t>
      </w:r>
      <w:r>
        <w:rPr>
          <w:color w:val="1A1A1A"/>
          <w:sz w:val="24"/>
        </w:rPr>
        <w:t>service</w:t>
      </w:r>
      <w:r>
        <w:rPr>
          <w:color w:val="1A1A1A"/>
          <w:spacing w:val="-1"/>
          <w:sz w:val="24"/>
        </w:rPr>
        <w:t> </w:t>
      </w:r>
      <w:r>
        <w:rPr>
          <w:color w:val="0A0A0A"/>
          <w:sz w:val="24"/>
        </w:rPr>
        <w:t>by</w:t>
      </w:r>
      <w:r>
        <w:rPr>
          <w:color w:val="0A0A0A"/>
          <w:spacing w:val="-7"/>
          <w:sz w:val="24"/>
        </w:rPr>
        <w:t> </w:t>
      </w:r>
      <w:r>
        <w:rPr>
          <w:color w:val="0A0A0A"/>
          <w:sz w:val="24"/>
        </w:rPr>
        <w:t>service </w:t>
      </w:r>
      <w:r>
        <w:rPr>
          <w:color w:val="1A1A1A"/>
          <w:sz w:val="24"/>
        </w:rPr>
        <w:t>basis, </w:t>
      </w:r>
      <w:r>
        <w:rPr>
          <w:color w:val="0A0A0A"/>
          <w:sz w:val="24"/>
        </w:rPr>
        <w:t>in</w:t>
      </w:r>
      <w:r>
        <w:rPr>
          <w:color w:val="0A0A0A"/>
          <w:spacing w:val="-14"/>
          <w:sz w:val="24"/>
        </w:rPr>
        <w:t> </w:t>
      </w:r>
      <w:r>
        <w:rPr>
          <w:color w:val="0A0A0A"/>
          <w:sz w:val="24"/>
        </w:rPr>
        <w:t>part</w:t>
      </w:r>
      <w:r>
        <w:rPr>
          <w:color w:val="343434"/>
          <w:sz w:val="24"/>
        </w:rPr>
        <w:t>i</w:t>
      </w:r>
      <w:r>
        <w:rPr>
          <w:color w:val="1A1A1A"/>
          <w:sz w:val="24"/>
        </w:rPr>
        <w:t>cular</w:t>
      </w:r>
      <w:r>
        <w:rPr>
          <w:color w:val="1A1A1A"/>
          <w:spacing w:val="-17"/>
          <w:sz w:val="24"/>
        </w:rPr>
        <w:t> </w:t>
      </w:r>
      <w:r>
        <w:rPr>
          <w:color w:val="0A0A0A"/>
          <w:sz w:val="24"/>
        </w:rPr>
        <w:t>in</w:t>
      </w:r>
      <w:r>
        <w:rPr>
          <w:color w:val="0A0A0A"/>
          <w:spacing w:val="-13"/>
          <w:sz w:val="24"/>
        </w:rPr>
        <w:t> </w:t>
      </w:r>
      <w:r>
        <w:rPr>
          <w:color w:val="0A0A0A"/>
          <w:sz w:val="24"/>
        </w:rPr>
        <w:t>relation</w:t>
      </w:r>
      <w:r>
        <w:rPr>
          <w:color w:val="0A0A0A"/>
          <w:spacing w:val="-9"/>
          <w:sz w:val="24"/>
        </w:rPr>
        <w:t> </w:t>
      </w:r>
      <w:r>
        <w:rPr>
          <w:color w:val="0A0A0A"/>
          <w:sz w:val="24"/>
        </w:rPr>
        <w:t>to demand led services </w:t>
      </w:r>
      <w:r>
        <w:rPr>
          <w:color w:val="1A1A1A"/>
          <w:sz w:val="24"/>
        </w:rPr>
        <w:t>such as parking </w:t>
      </w:r>
      <w:r>
        <w:rPr>
          <w:color w:val="0A0A0A"/>
          <w:sz w:val="24"/>
        </w:rPr>
        <w:t>where demand has </w:t>
      </w:r>
      <w:r>
        <w:rPr>
          <w:color w:val="1A1A1A"/>
          <w:sz w:val="24"/>
        </w:rPr>
        <w:t>reduced.</w:t>
      </w:r>
    </w:p>
    <w:p>
      <w:pPr>
        <w:pStyle w:val="ListParagraph"/>
        <w:numPr>
          <w:ilvl w:val="0"/>
          <w:numId w:val="7"/>
        </w:numPr>
        <w:tabs>
          <w:tab w:val="left" w:leader="none" w:pos="1455"/>
          <w:tab w:val="left" w:leader="none" w:pos="1458"/>
        </w:tabs>
        <w:spacing w:before="137" w:after="0" w:line="237" w:lineRule="auto"/>
        <w:ind w:left="1455" w:right="318" w:hanging="352"/>
        <w:jc w:val="left"/>
        <w:rPr>
          <w:color w:val="0A0A0A"/>
          <w:sz w:val="24"/>
        </w:rPr>
      </w:pPr>
      <w:r>
        <w:rPr>
          <w:color w:val="0A0A0A"/>
          <w:sz w:val="24"/>
        </w:rPr>
        <w:tab/>
        <w:t>Additional expenditure</w:t>
      </w:r>
      <w:r>
        <w:rPr>
          <w:color w:val="0A0A0A"/>
          <w:spacing w:val="40"/>
          <w:sz w:val="24"/>
        </w:rPr>
        <w:t> </w:t>
      </w:r>
      <w:r>
        <w:rPr>
          <w:color w:val="0A0A0A"/>
          <w:sz w:val="24"/>
        </w:rPr>
        <w:t>on a service by service basis</w:t>
      </w:r>
      <w:r>
        <w:rPr>
          <w:color w:val="0A0A0A"/>
          <w:spacing w:val="33"/>
          <w:sz w:val="24"/>
        </w:rPr>
        <w:t> </w:t>
      </w:r>
      <w:r>
        <w:rPr>
          <w:color w:val="0A0A0A"/>
          <w:sz w:val="24"/>
        </w:rPr>
        <w:t>and expanded</w:t>
      </w:r>
      <w:r>
        <w:rPr>
          <w:color w:val="0A0A0A"/>
          <w:spacing w:val="39"/>
          <w:sz w:val="24"/>
        </w:rPr>
        <w:t> </w:t>
      </w:r>
      <w:r>
        <w:rPr>
          <w:color w:val="0A0A0A"/>
          <w:sz w:val="24"/>
        </w:rPr>
        <w:t>services such as waste and recycling where demand has increased</w:t>
      </w:r>
      <w:r>
        <w:rPr>
          <w:color w:val="343434"/>
          <w:sz w:val="24"/>
        </w:rPr>
        <w:t>.</w:t>
      </w:r>
    </w:p>
    <w:p>
      <w:pPr>
        <w:pStyle w:val="ListParagraph"/>
        <w:numPr>
          <w:ilvl w:val="0"/>
          <w:numId w:val="7"/>
        </w:numPr>
        <w:tabs>
          <w:tab w:val="left" w:leader="none" w:pos="1448"/>
          <w:tab w:val="left" w:leader="none" w:pos="1450"/>
        </w:tabs>
        <w:spacing w:before="145" w:after="0" w:line="237" w:lineRule="auto"/>
        <w:ind w:left="1448" w:right="323" w:hanging="355"/>
        <w:jc w:val="left"/>
        <w:rPr>
          <w:color w:val="0A0A0A"/>
          <w:sz w:val="24"/>
        </w:rPr>
      </w:pPr>
      <w:r>
        <w:rPr>
          <w:color w:val="0A0A0A"/>
          <w:sz w:val="24"/>
        </w:rPr>
        <w:tab/>
        <w:t>Changes</w:t>
      </w:r>
      <w:r>
        <w:rPr>
          <w:color w:val="0A0A0A"/>
          <w:spacing w:val="34"/>
          <w:sz w:val="24"/>
        </w:rPr>
        <w:t> </w:t>
      </w:r>
      <w:r>
        <w:rPr>
          <w:color w:val="1A1A1A"/>
          <w:sz w:val="24"/>
        </w:rPr>
        <w:t>to </w:t>
      </w:r>
      <w:r>
        <w:rPr>
          <w:color w:val="0A0A0A"/>
          <w:sz w:val="24"/>
        </w:rPr>
        <w:t>government</w:t>
      </w:r>
      <w:r>
        <w:rPr>
          <w:color w:val="0A0A0A"/>
          <w:spacing w:val="36"/>
          <w:sz w:val="24"/>
        </w:rPr>
        <w:t> </w:t>
      </w:r>
      <w:r>
        <w:rPr>
          <w:color w:val="0A0A0A"/>
          <w:sz w:val="24"/>
        </w:rPr>
        <w:t>policy</w:t>
      </w:r>
      <w:r>
        <w:rPr>
          <w:color w:val="0A0A0A"/>
          <w:spacing w:val="31"/>
          <w:sz w:val="24"/>
        </w:rPr>
        <w:t> </w:t>
      </w:r>
      <w:r>
        <w:rPr>
          <w:color w:val="0A0A0A"/>
          <w:sz w:val="24"/>
        </w:rPr>
        <w:t>such as business</w:t>
      </w:r>
      <w:r>
        <w:rPr>
          <w:color w:val="0A0A0A"/>
          <w:spacing w:val="38"/>
          <w:sz w:val="24"/>
        </w:rPr>
        <w:t> </w:t>
      </w:r>
      <w:r>
        <w:rPr>
          <w:color w:val="0A0A0A"/>
          <w:sz w:val="24"/>
        </w:rPr>
        <w:t>rate reliefs</w:t>
      </w:r>
      <w:r>
        <w:rPr>
          <w:color w:val="0A0A0A"/>
          <w:spacing w:val="33"/>
          <w:sz w:val="24"/>
        </w:rPr>
        <w:t> </w:t>
      </w:r>
      <w:r>
        <w:rPr>
          <w:color w:val="0A0A0A"/>
          <w:sz w:val="24"/>
        </w:rPr>
        <w:t>and the Energy Rebate Scheme which impact on resilience and resource capacity.</w:t>
      </w:r>
    </w:p>
    <w:p>
      <w:pPr>
        <w:pStyle w:val="ListParagraph"/>
        <w:numPr>
          <w:ilvl w:val="0"/>
          <w:numId w:val="7"/>
        </w:numPr>
        <w:tabs>
          <w:tab w:val="left" w:leader="none" w:pos="1447"/>
        </w:tabs>
        <w:spacing w:before="139" w:after="0" w:line="240" w:lineRule="auto"/>
        <w:ind w:left="1447" w:right="0" w:hanging="353"/>
        <w:jc w:val="left"/>
        <w:rPr>
          <w:color w:val="1A1A1A"/>
          <w:sz w:val="24"/>
        </w:rPr>
      </w:pPr>
      <w:r>
        <w:rPr>
          <w:color w:val="0A0A0A"/>
          <w:sz w:val="24"/>
        </w:rPr>
        <w:t>The</w:t>
      </w:r>
      <w:r>
        <w:rPr>
          <w:color w:val="0A0A0A"/>
          <w:spacing w:val="-1"/>
          <w:sz w:val="24"/>
        </w:rPr>
        <w:t> </w:t>
      </w:r>
      <w:r>
        <w:rPr>
          <w:color w:val="0A0A0A"/>
          <w:sz w:val="24"/>
        </w:rPr>
        <w:t>impact</w:t>
      </w:r>
      <w:r>
        <w:rPr>
          <w:color w:val="0A0A0A"/>
          <w:spacing w:val="7"/>
          <w:sz w:val="24"/>
        </w:rPr>
        <w:t> </w:t>
      </w:r>
      <w:r>
        <w:rPr>
          <w:color w:val="0A0A0A"/>
          <w:sz w:val="24"/>
        </w:rPr>
        <w:t>on</w:t>
      </w:r>
      <w:r>
        <w:rPr>
          <w:color w:val="0A0A0A"/>
          <w:spacing w:val="-5"/>
          <w:sz w:val="24"/>
        </w:rPr>
        <w:t> </w:t>
      </w:r>
      <w:r>
        <w:rPr>
          <w:color w:val="0A0A0A"/>
          <w:sz w:val="24"/>
        </w:rPr>
        <w:t>recruitment</w:t>
      </w:r>
      <w:r>
        <w:rPr>
          <w:color w:val="0A0A0A"/>
          <w:spacing w:val="15"/>
          <w:sz w:val="24"/>
        </w:rPr>
        <w:t> </w:t>
      </w:r>
      <w:r>
        <w:rPr>
          <w:color w:val="0A0A0A"/>
          <w:sz w:val="24"/>
        </w:rPr>
        <w:t>and</w:t>
      </w:r>
      <w:r>
        <w:rPr>
          <w:color w:val="0A0A0A"/>
          <w:spacing w:val="-3"/>
          <w:sz w:val="24"/>
        </w:rPr>
        <w:t> </w:t>
      </w:r>
      <w:r>
        <w:rPr>
          <w:color w:val="0A0A0A"/>
          <w:sz w:val="24"/>
        </w:rPr>
        <w:t>retention</w:t>
      </w:r>
      <w:r>
        <w:rPr>
          <w:color w:val="0A0A0A"/>
          <w:spacing w:val="7"/>
          <w:sz w:val="24"/>
        </w:rPr>
        <w:t> </w:t>
      </w:r>
      <w:r>
        <w:rPr>
          <w:color w:val="0A0A0A"/>
          <w:sz w:val="24"/>
        </w:rPr>
        <w:t>with</w:t>
      </w:r>
      <w:r>
        <w:rPr>
          <w:color w:val="0A0A0A"/>
          <w:spacing w:val="-6"/>
          <w:sz w:val="24"/>
        </w:rPr>
        <w:t> </w:t>
      </w:r>
      <w:r>
        <w:rPr>
          <w:color w:val="0A0A0A"/>
          <w:sz w:val="24"/>
        </w:rPr>
        <w:t>many</w:t>
      </w:r>
      <w:r>
        <w:rPr>
          <w:color w:val="0A0A0A"/>
          <w:spacing w:val="3"/>
          <w:sz w:val="24"/>
        </w:rPr>
        <w:t> </w:t>
      </w:r>
      <w:r>
        <w:rPr>
          <w:color w:val="0A0A0A"/>
          <w:sz w:val="24"/>
        </w:rPr>
        <w:t>roles</w:t>
      </w:r>
      <w:r>
        <w:rPr>
          <w:color w:val="0A0A0A"/>
          <w:spacing w:val="-8"/>
          <w:sz w:val="24"/>
        </w:rPr>
        <w:t> </w:t>
      </w:r>
      <w:r>
        <w:rPr>
          <w:color w:val="0A0A0A"/>
          <w:sz w:val="24"/>
        </w:rPr>
        <w:t>being</w:t>
      </w:r>
      <w:r>
        <w:rPr>
          <w:color w:val="0A0A0A"/>
          <w:spacing w:val="-1"/>
          <w:sz w:val="24"/>
        </w:rPr>
        <w:t> </w:t>
      </w:r>
      <w:r>
        <w:rPr>
          <w:color w:val="0A0A0A"/>
          <w:sz w:val="24"/>
        </w:rPr>
        <w:t>difficult</w:t>
      </w:r>
      <w:r>
        <w:rPr>
          <w:color w:val="0A0A0A"/>
          <w:spacing w:val="9"/>
          <w:sz w:val="24"/>
        </w:rPr>
        <w:t> </w:t>
      </w:r>
      <w:r>
        <w:rPr>
          <w:color w:val="0A0A0A"/>
          <w:sz w:val="24"/>
        </w:rPr>
        <w:t>to</w:t>
      </w:r>
      <w:r>
        <w:rPr>
          <w:color w:val="0A0A0A"/>
          <w:spacing w:val="-9"/>
          <w:sz w:val="24"/>
        </w:rPr>
        <w:t> </w:t>
      </w:r>
      <w:r>
        <w:rPr>
          <w:color w:val="0A0A0A"/>
          <w:spacing w:val="-2"/>
          <w:sz w:val="24"/>
        </w:rPr>
        <w:t>fill.</w:t>
      </w:r>
    </w:p>
    <w:p>
      <w:pPr>
        <w:pStyle w:val="BodyText"/>
        <w:spacing w:before="115"/>
        <w:rPr>
          <w:sz w:val="24"/>
        </w:rPr>
      </w:pPr>
    </w:p>
    <w:p>
      <w:pPr>
        <w:spacing w:before="1" w:line="240" w:lineRule="auto"/>
        <w:ind w:left="702" w:right="312" w:firstLine="16"/>
        <w:jc w:val="both"/>
        <w:rPr>
          <w:sz w:val="24"/>
        </w:rPr>
      </w:pPr>
      <w:r>
        <w:rPr>
          <w:color w:val="0A0A0A"/>
          <w:sz w:val="24"/>
        </w:rPr>
        <w:t>As part of the budget process the Medium </w:t>
      </w:r>
      <w:r>
        <w:rPr>
          <w:color w:val="1A1A1A"/>
          <w:sz w:val="24"/>
        </w:rPr>
        <w:t>Term Financial Plan (MTFP) was also </w:t>
      </w:r>
      <w:r>
        <w:rPr>
          <w:color w:val="0A0A0A"/>
          <w:sz w:val="24"/>
        </w:rPr>
        <w:t>reviewed and updated and now shows a </w:t>
      </w:r>
      <w:r>
        <w:rPr>
          <w:color w:val="1A1A1A"/>
          <w:sz w:val="24"/>
        </w:rPr>
        <w:t>budgetary gap of £1</w:t>
      </w:r>
      <w:r>
        <w:rPr>
          <w:color w:val="444444"/>
          <w:sz w:val="24"/>
        </w:rPr>
        <w:t>.</w:t>
      </w:r>
      <w:r>
        <w:rPr>
          <w:color w:val="1A1A1A"/>
          <w:sz w:val="24"/>
        </w:rPr>
        <w:t>5 million over the</w:t>
      </w:r>
      <w:r>
        <w:rPr>
          <w:color w:val="1A1A1A"/>
          <w:spacing w:val="-1"/>
          <w:sz w:val="24"/>
        </w:rPr>
        <w:t> </w:t>
      </w:r>
      <w:r>
        <w:rPr>
          <w:color w:val="1A1A1A"/>
          <w:sz w:val="24"/>
        </w:rPr>
        <w:t>four year period to 2026/27</w:t>
      </w:r>
      <w:r>
        <w:rPr>
          <w:color w:val="444444"/>
          <w:sz w:val="24"/>
        </w:rPr>
        <w:t>. </w:t>
      </w:r>
      <w:r>
        <w:rPr>
          <w:color w:val="0A0A0A"/>
          <w:sz w:val="24"/>
        </w:rPr>
        <w:t>The </w:t>
      </w:r>
      <w:r>
        <w:rPr>
          <w:color w:val="1A1A1A"/>
          <w:sz w:val="24"/>
        </w:rPr>
        <w:t>revised MTFP was approved by the full Council in February 2023 who also acknowledged that this needs </w:t>
      </w:r>
      <w:r>
        <w:rPr>
          <w:color w:val="343434"/>
          <w:sz w:val="24"/>
        </w:rPr>
        <w:t>to </w:t>
      </w:r>
      <w:r>
        <w:rPr>
          <w:color w:val="1A1A1A"/>
          <w:sz w:val="24"/>
        </w:rPr>
        <w:t>be managed through the delivery of efficiencies and additional income </w:t>
      </w:r>
      <w:r>
        <w:rPr>
          <w:color w:val="0A0A0A"/>
          <w:sz w:val="24"/>
        </w:rPr>
        <w:t>and is an </w:t>
      </w:r>
      <w:r>
        <w:rPr>
          <w:color w:val="1A1A1A"/>
          <w:sz w:val="24"/>
        </w:rPr>
        <w:t>integral </w:t>
      </w:r>
      <w:r>
        <w:rPr>
          <w:color w:val="0A0A0A"/>
          <w:sz w:val="24"/>
        </w:rPr>
        <w:t>part of the annual budget process.</w:t>
      </w:r>
    </w:p>
    <w:p>
      <w:pPr>
        <w:spacing w:before="266" w:line="275" w:lineRule="exact"/>
        <w:ind w:left="692" w:right="0" w:firstLine="0"/>
        <w:jc w:val="both"/>
        <w:rPr>
          <w:sz w:val="24"/>
        </w:rPr>
      </w:pPr>
      <w:r>
        <w:rPr>
          <w:color w:val="0A0A0A"/>
          <w:sz w:val="24"/>
        </w:rPr>
        <w:t>The</w:t>
      </w:r>
      <w:r>
        <w:rPr>
          <w:color w:val="0A0A0A"/>
          <w:spacing w:val="-3"/>
          <w:sz w:val="24"/>
        </w:rPr>
        <w:t> </w:t>
      </w:r>
      <w:r>
        <w:rPr>
          <w:color w:val="0A0A0A"/>
          <w:sz w:val="24"/>
        </w:rPr>
        <w:t>Council's</w:t>
      </w:r>
      <w:r>
        <w:rPr>
          <w:color w:val="0A0A0A"/>
          <w:spacing w:val="11"/>
          <w:sz w:val="24"/>
        </w:rPr>
        <w:t> </w:t>
      </w:r>
      <w:r>
        <w:rPr>
          <w:color w:val="0A0A0A"/>
          <w:sz w:val="24"/>
        </w:rPr>
        <w:t>General</w:t>
      </w:r>
      <w:r>
        <w:rPr>
          <w:color w:val="0A0A0A"/>
          <w:spacing w:val="5"/>
          <w:sz w:val="24"/>
        </w:rPr>
        <w:t> </w:t>
      </w:r>
      <w:r>
        <w:rPr>
          <w:color w:val="1A1A1A"/>
          <w:sz w:val="24"/>
        </w:rPr>
        <w:t>Fund</w:t>
      </w:r>
      <w:r>
        <w:rPr>
          <w:color w:val="1A1A1A"/>
          <w:spacing w:val="-1"/>
          <w:sz w:val="24"/>
        </w:rPr>
        <w:t> </w:t>
      </w:r>
      <w:r>
        <w:rPr>
          <w:color w:val="0A0A0A"/>
          <w:sz w:val="24"/>
        </w:rPr>
        <w:t>Reserves</w:t>
      </w:r>
      <w:r>
        <w:rPr>
          <w:color w:val="0A0A0A"/>
          <w:spacing w:val="18"/>
          <w:sz w:val="24"/>
        </w:rPr>
        <w:t> </w:t>
      </w:r>
      <w:r>
        <w:rPr>
          <w:color w:val="1A1A1A"/>
          <w:sz w:val="24"/>
        </w:rPr>
        <w:t>remain</w:t>
      </w:r>
      <w:r>
        <w:rPr>
          <w:color w:val="1A1A1A"/>
          <w:spacing w:val="12"/>
          <w:sz w:val="24"/>
        </w:rPr>
        <w:t> </w:t>
      </w:r>
      <w:r>
        <w:rPr>
          <w:color w:val="1A1A1A"/>
          <w:sz w:val="24"/>
        </w:rPr>
        <w:t>healthy</w:t>
      </w:r>
      <w:r>
        <w:rPr>
          <w:color w:val="1A1A1A"/>
          <w:spacing w:val="17"/>
          <w:sz w:val="24"/>
        </w:rPr>
        <w:t> </w:t>
      </w:r>
      <w:r>
        <w:rPr>
          <w:color w:val="0A0A0A"/>
          <w:sz w:val="24"/>
        </w:rPr>
        <w:t>and</w:t>
      </w:r>
      <w:r>
        <w:rPr>
          <w:color w:val="0A0A0A"/>
          <w:spacing w:val="-2"/>
          <w:sz w:val="24"/>
        </w:rPr>
        <w:t> </w:t>
      </w:r>
      <w:r>
        <w:rPr>
          <w:color w:val="0A0A0A"/>
          <w:sz w:val="24"/>
        </w:rPr>
        <w:t>as</w:t>
      </w:r>
      <w:r>
        <w:rPr>
          <w:color w:val="0A0A0A"/>
          <w:spacing w:val="1"/>
          <w:sz w:val="24"/>
        </w:rPr>
        <w:t> </w:t>
      </w:r>
      <w:r>
        <w:rPr>
          <w:color w:val="0A0A0A"/>
          <w:sz w:val="24"/>
        </w:rPr>
        <w:t>at</w:t>
      </w:r>
      <w:r>
        <w:rPr>
          <w:color w:val="0A0A0A"/>
          <w:spacing w:val="-5"/>
          <w:sz w:val="24"/>
        </w:rPr>
        <w:t> </w:t>
      </w:r>
      <w:r>
        <w:rPr>
          <w:color w:val="0A0A0A"/>
          <w:sz w:val="24"/>
        </w:rPr>
        <w:t>31</w:t>
      </w:r>
      <w:r>
        <w:rPr>
          <w:color w:val="0A0A0A"/>
          <w:spacing w:val="-12"/>
          <w:sz w:val="24"/>
        </w:rPr>
        <w:t> </w:t>
      </w:r>
      <w:r>
        <w:rPr>
          <w:color w:val="0A0A0A"/>
          <w:sz w:val="24"/>
        </w:rPr>
        <w:t>March</w:t>
      </w:r>
      <w:r>
        <w:rPr>
          <w:color w:val="0A0A0A"/>
          <w:spacing w:val="4"/>
          <w:sz w:val="24"/>
        </w:rPr>
        <w:t> </w:t>
      </w:r>
      <w:r>
        <w:rPr>
          <w:color w:val="1A1A1A"/>
          <w:sz w:val="24"/>
        </w:rPr>
        <w:t>2023</w:t>
      </w:r>
      <w:r>
        <w:rPr>
          <w:color w:val="1A1A1A"/>
          <w:spacing w:val="21"/>
          <w:sz w:val="24"/>
        </w:rPr>
        <w:t> </w:t>
      </w:r>
      <w:r>
        <w:rPr>
          <w:color w:val="1A1A1A"/>
          <w:spacing w:val="-4"/>
          <w:sz w:val="24"/>
        </w:rPr>
        <w:t>were</w:t>
      </w:r>
    </w:p>
    <w:p>
      <w:pPr>
        <w:spacing w:before="0" w:line="275" w:lineRule="exact"/>
        <w:ind w:left="690" w:right="0" w:firstLine="0"/>
        <w:jc w:val="both"/>
        <w:rPr>
          <w:sz w:val="24"/>
        </w:rPr>
      </w:pPr>
      <w:r>
        <w:rPr>
          <w:color w:val="0A0A0A"/>
          <w:sz w:val="24"/>
        </w:rPr>
        <w:t>£42.735</w:t>
      </w:r>
      <w:r>
        <w:rPr>
          <w:color w:val="0A0A0A"/>
          <w:spacing w:val="27"/>
          <w:sz w:val="24"/>
        </w:rPr>
        <w:t> </w:t>
      </w:r>
      <w:r>
        <w:rPr>
          <w:color w:val="0A0A0A"/>
          <w:sz w:val="24"/>
        </w:rPr>
        <w:t>million.</w:t>
      </w:r>
      <w:r>
        <w:rPr>
          <w:color w:val="0A0A0A"/>
          <w:spacing w:val="23"/>
          <w:sz w:val="24"/>
        </w:rPr>
        <w:t> </w:t>
      </w:r>
      <w:r>
        <w:rPr>
          <w:color w:val="0A0A0A"/>
          <w:sz w:val="24"/>
        </w:rPr>
        <w:t>This</w:t>
      </w:r>
      <w:r>
        <w:rPr>
          <w:color w:val="0A0A0A"/>
          <w:spacing w:val="18"/>
          <w:sz w:val="24"/>
        </w:rPr>
        <w:t> </w:t>
      </w:r>
      <w:r>
        <w:rPr>
          <w:color w:val="0A0A0A"/>
          <w:sz w:val="24"/>
        </w:rPr>
        <w:t>is</w:t>
      </w:r>
      <w:r>
        <w:rPr>
          <w:color w:val="0A0A0A"/>
          <w:spacing w:val="7"/>
          <w:sz w:val="24"/>
        </w:rPr>
        <w:t> </w:t>
      </w:r>
      <w:r>
        <w:rPr>
          <w:color w:val="1A1A1A"/>
          <w:sz w:val="24"/>
        </w:rPr>
        <w:t>made</w:t>
      </w:r>
      <w:r>
        <w:rPr>
          <w:color w:val="1A1A1A"/>
          <w:spacing w:val="16"/>
          <w:sz w:val="24"/>
        </w:rPr>
        <w:t> </w:t>
      </w:r>
      <w:r>
        <w:rPr>
          <w:color w:val="0A0A0A"/>
          <w:sz w:val="24"/>
        </w:rPr>
        <w:t>up</w:t>
      </w:r>
      <w:r>
        <w:rPr>
          <w:color w:val="0A0A0A"/>
          <w:spacing w:val="13"/>
          <w:sz w:val="24"/>
        </w:rPr>
        <w:t> </w:t>
      </w:r>
      <w:r>
        <w:rPr>
          <w:color w:val="0A0A0A"/>
          <w:sz w:val="24"/>
        </w:rPr>
        <w:t>of</w:t>
      </w:r>
      <w:r>
        <w:rPr>
          <w:color w:val="0A0A0A"/>
          <w:spacing w:val="16"/>
          <w:sz w:val="24"/>
        </w:rPr>
        <w:t> </w:t>
      </w:r>
      <w:r>
        <w:rPr>
          <w:color w:val="0A0A0A"/>
          <w:sz w:val="24"/>
        </w:rPr>
        <w:t>£8</w:t>
      </w:r>
      <w:r>
        <w:rPr>
          <w:color w:val="343434"/>
          <w:sz w:val="24"/>
        </w:rPr>
        <w:t>.</w:t>
      </w:r>
      <w:r>
        <w:rPr>
          <w:color w:val="1A1A1A"/>
          <w:sz w:val="24"/>
        </w:rPr>
        <w:t>520 </w:t>
      </w:r>
      <w:r>
        <w:rPr>
          <w:color w:val="0A0A0A"/>
          <w:sz w:val="24"/>
        </w:rPr>
        <w:t>million</w:t>
      </w:r>
      <w:r>
        <w:rPr>
          <w:color w:val="0A0A0A"/>
          <w:spacing w:val="15"/>
          <w:sz w:val="24"/>
        </w:rPr>
        <w:t> </w:t>
      </w:r>
      <w:r>
        <w:rPr>
          <w:color w:val="0A0A0A"/>
          <w:sz w:val="24"/>
        </w:rPr>
        <w:t>in</w:t>
      </w:r>
      <w:r>
        <w:rPr>
          <w:color w:val="0A0A0A"/>
          <w:spacing w:val="6"/>
          <w:sz w:val="24"/>
        </w:rPr>
        <w:t> </w:t>
      </w:r>
      <w:r>
        <w:rPr>
          <w:color w:val="0A0A0A"/>
          <w:sz w:val="24"/>
        </w:rPr>
        <w:t>an</w:t>
      </w:r>
      <w:r>
        <w:rPr>
          <w:color w:val="0A0A0A"/>
          <w:spacing w:val="13"/>
          <w:sz w:val="24"/>
        </w:rPr>
        <w:t> </w:t>
      </w:r>
      <w:r>
        <w:rPr>
          <w:color w:val="0A0A0A"/>
          <w:sz w:val="24"/>
        </w:rPr>
        <w:t>un-ring-fenced</w:t>
      </w:r>
      <w:r>
        <w:rPr>
          <w:color w:val="0A0A0A"/>
          <w:spacing w:val="16"/>
          <w:sz w:val="24"/>
        </w:rPr>
        <w:t> </w:t>
      </w:r>
      <w:r>
        <w:rPr>
          <w:color w:val="1A1A1A"/>
          <w:sz w:val="24"/>
        </w:rPr>
        <w:t>general</w:t>
      </w:r>
      <w:r>
        <w:rPr>
          <w:color w:val="1A1A1A"/>
          <w:spacing w:val="22"/>
          <w:sz w:val="24"/>
        </w:rPr>
        <w:t> </w:t>
      </w:r>
      <w:r>
        <w:rPr>
          <w:color w:val="1A1A1A"/>
          <w:spacing w:val="-4"/>
          <w:sz w:val="24"/>
        </w:rPr>
        <w:t>fund</w:t>
      </w:r>
    </w:p>
    <w:p>
      <w:pPr>
        <w:spacing w:after="0" w:line="275" w:lineRule="exact"/>
        <w:jc w:val="both"/>
        <w:rPr>
          <w:sz w:val="24"/>
        </w:rPr>
        <w:sectPr>
          <w:headerReference w:type="even" r:id="rId45"/>
          <w:pgSz w:w="11910" w:h="16830"/>
          <w:pgMar w:top="600" w:right="920" w:bottom="520" w:left="840" w:header="0" w:footer="0"/>
        </w:sectPr>
      </w:pPr>
    </w:p>
    <w:p>
      <w:pPr>
        <w:spacing w:before="197" w:line="240" w:lineRule="auto"/>
        <w:ind w:left="612" w:right="502" w:firstLine="2"/>
        <w:jc w:val="both"/>
        <w:rPr>
          <w:sz w:val="24"/>
        </w:rPr>
      </w:pPr>
      <w:r>
        <w:rPr>
          <w:color w:val="0C0C0C"/>
          <w:sz w:val="24"/>
        </w:rPr>
        <w:t>reserve which</w:t>
      </w:r>
      <w:r>
        <w:rPr>
          <w:color w:val="0C0C0C"/>
          <w:spacing w:val="-11"/>
          <w:sz w:val="24"/>
        </w:rPr>
        <w:t> </w:t>
      </w:r>
      <w:r>
        <w:rPr>
          <w:color w:val="0C0C0C"/>
          <w:sz w:val="24"/>
        </w:rPr>
        <w:t>exists</w:t>
      </w:r>
      <w:r>
        <w:rPr>
          <w:color w:val="0C0C0C"/>
          <w:spacing w:val="-9"/>
          <w:sz w:val="24"/>
        </w:rPr>
        <w:t> </w:t>
      </w:r>
      <w:r>
        <w:rPr>
          <w:color w:val="0C0C0C"/>
          <w:sz w:val="24"/>
        </w:rPr>
        <w:t>to</w:t>
      </w:r>
      <w:r>
        <w:rPr>
          <w:color w:val="0C0C0C"/>
          <w:spacing w:val="-15"/>
          <w:sz w:val="24"/>
        </w:rPr>
        <w:t> </w:t>
      </w:r>
      <w:r>
        <w:rPr>
          <w:color w:val="0C0C0C"/>
          <w:sz w:val="24"/>
        </w:rPr>
        <w:t>cushion</w:t>
      </w:r>
      <w:r>
        <w:rPr>
          <w:color w:val="0C0C0C"/>
          <w:spacing w:val="-7"/>
          <w:sz w:val="24"/>
        </w:rPr>
        <w:t> </w:t>
      </w:r>
      <w:r>
        <w:rPr>
          <w:color w:val="0C0C0C"/>
          <w:sz w:val="24"/>
        </w:rPr>
        <w:t>the</w:t>
      </w:r>
      <w:r>
        <w:rPr>
          <w:color w:val="0C0C0C"/>
          <w:spacing w:val="-12"/>
          <w:sz w:val="24"/>
        </w:rPr>
        <w:t> </w:t>
      </w:r>
      <w:r>
        <w:rPr>
          <w:color w:val="0C0C0C"/>
          <w:sz w:val="24"/>
        </w:rPr>
        <w:t>impact of</w:t>
      </w:r>
      <w:r>
        <w:rPr>
          <w:color w:val="0C0C0C"/>
          <w:spacing w:val="-16"/>
          <w:sz w:val="24"/>
        </w:rPr>
        <w:t> </w:t>
      </w:r>
      <w:r>
        <w:rPr>
          <w:color w:val="1C1C1C"/>
          <w:sz w:val="24"/>
        </w:rPr>
        <w:t>unforeseen events</w:t>
      </w:r>
      <w:r>
        <w:rPr>
          <w:color w:val="1C1C1C"/>
          <w:spacing w:val="-9"/>
          <w:sz w:val="24"/>
        </w:rPr>
        <w:t> </w:t>
      </w:r>
      <w:r>
        <w:rPr>
          <w:color w:val="0C0C0C"/>
          <w:sz w:val="24"/>
        </w:rPr>
        <w:t>that</w:t>
      </w:r>
      <w:r>
        <w:rPr>
          <w:color w:val="0C0C0C"/>
          <w:spacing w:val="-11"/>
          <w:sz w:val="24"/>
        </w:rPr>
        <w:t> </w:t>
      </w:r>
      <w:r>
        <w:rPr>
          <w:color w:val="1C1C1C"/>
          <w:sz w:val="24"/>
        </w:rPr>
        <w:t>would</w:t>
      </w:r>
      <w:r>
        <w:rPr>
          <w:color w:val="1C1C1C"/>
          <w:spacing w:val="-12"/>
          <w:sz w:val="24"/>
        </w:rPr>
        <w:t> </w:t>
      </w:r>
      <w:r>
        <w:rPr>
          <w:color w:val="0C0C0C"/>
          <w:sz w:val="24"/>
        </w:rPr>
        <w:t>impact</w:t>
      </w:r>
      <w:r>
        <w:rPr>
          <w:color w:val="0C0C0C"/>
          <w:spacing w:val="-2"/>
          <w:sz w:val="24"/>
        </w:rPr>
        <w:t> </w:t>
      </w:r>
      <w:r>
        <w:rPr>
          <w:color w:val="0C0C0C"/>
          <w:sz w:val="24"/>
        </w:rPr>
        <w:t>on the Council's resources and cannot be contained within </w:t>
      </w:r>
      <w:r>
        <w:rPr>
          <w:color w:val="1C1C1C"/>
          <w:sz w:val="24"/>
        </w:rPr>
        <w:t>existing </w:t>
      </w:r>
      <w:r>
        <w:rPr>
          <w:color w:val="0C0C0C"/>
          <w:sz w:val="24"/>
        </w:rPr>
        <w:t>budgets and would not</w:t>
      </w:r>
      <w:r>
        <w:rPr>
          <w:color w:val="0C0C0C"/>
          <w:spacing w:val="-4"/>
          <w:sz w:val="24"/>
        </w:rPr>
        <w:t> </w:t>
      </w:r>
      <w:r>
        <w:rPr>
          <w:color w:val="0C0C0C"/>
          <w:sz w:val="24"/>
        </w:rPr>
        <w:t>be</w:t>
      </w:r>
      <w:r>
        <w:rPr>
          <w:color w:val="0C0C0C"/>
          <w:spacing w:val="-4"/>
          <w:sz w:val="24"/>
        </w:rPr>
        <w:t> </w:t>
      </w:r>
      <w:r>
        <w:rPr>
          <w:color w:val="0C0C0C"/>
          <w:sz w:val="24"/>
        </w:rPr>
        <w:t>covered by</w:t>
      </w:r>
      <w:r>
        <w:rPr>
          <w:color w:val="0C0C0C"/>
          <w:spacing w:val="-4"/>
          <w:sz w:val="24"/>
        </w:rPr>
        <w:t> </w:t>
      </w:r>
      <w:r>
        <w:rPr>
          <w:color w:val="0C0C0C"/>
          <w:sz w:val="24"/>
        </w:rPr>
        <w:t>normal insurance arrangements. The remaining £34.215</w:t>
      </w:r>
      <w:r>
        <w:rPr>
          <w:color w:val="0C0C0C"/>
          <w:spacing w:val="-2"/>
          <w:sz w:val="24"/>
        </w:rPr>
        <w:t> </w:t>
      </w:r>
      <w:r>
        <w:rPr>
          <w:color w:val="0C0C0C"/>
          <w:sz w:val="24"/>
        </w:rPr>
        <w:t>million is being held in specific ring-fenced reserves available for specific revenue and capital </w:t>
      </w:r>
      <w:r>
        <w:rPr>
          <w:color w:val="0C0C0C"/>
          <w:spacing w:val="-2"/>
          <w:sz w:val="24"/>
        </w:rPr>
        <w:t>projects.</w:t>
      </w:r>
    </w:p>
    <w:p>
      <w:pPr>
        <w:spacing w:before="273" w:line="240" w:lineRule="auto"/>
        <w:ind w:left="615" w:right="495" w:firstLine="5"/>
        <w:jc w:val="both"/>
        <w:rPr>
          <w:sz w:val="24"/>
        </w:rPr>
      </w:pPr>
      <w:r>
        <w:rPr>
          <w:color w:val="0C0C0C"/>
          <w:sz w:val="24"/>
        </w:rPr>
        <w:t>The</w:t>
      </w:r>
      <w:r>
        <w:rPr>
          <w:color w:val="0C0C0C"/>
          <w:spacing w:val="-13"/>
          <w:sz w:val="24"/>
        </w:rPr>
        <w:t> </w:t>
      </w:r>
      <w:r>
        <w:rPr>
          <w:color w:val="0C0C0C"/>
          <w:sz w:val="24"/>
        </w:rPr>
        <w:t>Accounting Code</w:t>
      </w:r>
      <w:r>
        <w:rPr>
          <w:color w:val="0C0C0C"/>
          <w:spacing w:val="-15"/>
          <w:sz w:val="24"/>
        </w:rPr>
        <w:t> </w:t>
      </w:r>
      <w:r>
        <w:rPr>
          <w:color w:val="0C0C0C"/>
          <w:sz w:val="24"/>
        </w:rPr>
        <w:t>of</w:t>
      </w:r>
      <w:r>
        <w:rPr>
          <w:color w:val="0C0C0C"/>
          <w:spacing w:val="-17"/>
          <w:sz w:val="24"/>
        </w:rPr>
        <w:t> </w:t>
      </w:r>
      <w:r>
        <w:rPr>
          <w:color w:val="0C0C0C"/>
          <w:sz w:val="24"/>
        </w:rPr>
        <w:t>Practice</w:t>
      </w:r>
      <w:r>
        <w:rPr>
          <w:color w:val="0C0C0C"/>
          <w:spacing w:val="-8"/>
          <w:sz w:val="24"/>
        </w:rPr>
        <w:t> </w:t>
      </w:r>
      <w:r>
        <w:rPr>
          <w:color w:val="0C0C0C"/>
          <w:sz w:val="24"/>
        </w:rPr>
        <w:t>requires</w:t>
      </w:r>
      <w:r>
        <w:rPr>
          <w:color w:val="0C0C0C"/>
          <w:spacing w:val="-6"/>
          <w:sz w:val="24"/>
        </w:rPr>
        <w:t> </w:t>
      </w:r>
      <w:r>
        <w:rPr>
          <w:color w:val="0C0C0C"/>
          <w:sz w:val="24"/>
        </w:rPr>
        <w:t>that</w:t>
      </w:r>
      <w:r>
        <w:rPr>
          <w:color w:val="0C0C0C"/>
          <w:spacing w:val="-7"/>
          <w:sz w:val="24"/>
        </w:rPr>
        <w:t> </w:t>
      </w:r>
      <w:r>
        <w:rPr>
          <w:color w:val="0C0C0C"/>
          <w:sz w:val="24"/>
        </w:rPr>
        <w:t>local</w:t>
      </w:r>
      <w:r>
        <w:rPr>
          <w:color w:val="0C0C0C"/>
          <w:spacing w:val="-17"/>
          <w:sz w:val="24"/>
        </w:rPr>
        <w:t> </w:t>
      </w:r>
      <w:r>
        <w:rPr>
          <w:color w:val="0C0C0C"/>
          <w:sz w:val="24"/>
        </w:rPr>
        <w:t>authorities</w:t>
      </w:r>
      <w:r>
        <w:rPr>
          <w:color w:val="0C0C0C"/>
          <w:spacing w:val="-6"/>
          <w:sz w:val="24"/>
        </w:rPr>
        <w:t> </w:t>
      </w:r>
      <w:r>
        <w:rPr>
          <w:color w:val="0C0C0C"/>
          <w:sz w:val="24"/>
        </w:rPr>
        <w:t>prepare</w:t>
      </w:r>
      <w:r>
        <w:rPr>
          <w:color w:val="0C0C0C"/>
          <w:spacing w:val="-12"/>
          <w:sz w:val="24"/>
        </w:rPr>
        <w:t> </w:t>
      </w:r>
      <w:r>
        <w:rPr>
          <w:color w:val="0C0C0C"/>
          <w:sz w:val="24"/>
        </w:rPr>
        <w:t>their</w:t>
      </w:r>
      <w:r>
        <w:rPr>
          <w:color w:val="0C0C0C"/>
          <w:spacing w:val="-9"/>
          <w:sz w:val="24"/>
        </w:rPr>
        <w:t> </w:t>
      </w:r>
      <w:r>
        <w:rPr>
          <w:color w:val="0C0C0C"/>
          <w:sz w:val="24"/>
        </w:rPr>
        <w:t>accounts on a going concern basis, as they can only be </w:t>
      </w:r>
      <w:r>
        <w:rPr>
          <w:color w:val="1C1C1C"/>
          <w:sz w:val="24"/>
        </w:rPr>
        <w:t>discontinued </w:t>
      </w:r>
      <w:r>
        <w:rPr>
          <w:color w:val="0C0C0C"/>
          <w:sz w:val="24"/>
        </w:rPr>
        <w:t>under </w:t>
      </w:r>
      <w:r>
        <w:rPr>
          <w:color w:val="1C1C1C"/>
          <w:sz w:val="24"/>
        </w:rPr>
        <w:t>statutory </w:t>
      </w:r>
      <w:r>
        <w:rPr>
          <w:color w:val="0C0C0C"/>
          <w:sz w:val="24"/>
        </w:rPr>
        <w:t>prescription. Hertsmere has there is a robust budget </w:t>
      </w:r>
      <w:r>
        <w:rPr>
          <w:color w:val="1C1C1C"/>
          <w:sz w:val="24"/>
        </w:rPr>
        <w:t>cycle. </w:t>
      </w:r>
      <w:r>
        <w:rPr>
          <w:color w:val="0C0C0C"/>
          <w:sz w:val="24"/>
        </w:rPr>
        <w:t>For these reasons the Council does not consider that</w:t>
      </w:r>
      <w:r>
        <w:rPr>
          <w:color w:val="0C0C0C"/>
          <w:spacing w:val="-2"/>
          <w:sz w:val="24"/>
        </w:rPr>
        <w:t> </w:t>
      </w:r>
      <w:r>
        <w:rPr>
          <w:color w:val="0C0C0C"/>
          <w:sz w:val="24"/>
        </w:rPr>
        <w:t>there is</w:t>
      </w:r>
      <w:r>
        <w:rPr>
          <w:color w:val="0C0C0C"/>
          <w:spacing w:val="-1"/>
          <w:sz w:val="24"/>
        </w:rPr>
        <w:t> </w:t>
      </w:r>
      <w:r>
        <w:rPr>
          <w:color w:val="0C0C0C"/>
          <w:sz w:val="24"/>
        </w:rPr>
        <w:t>material uncertainty in respect of its ability to continue as a going concern for the foreseeable future.</w:t>
      </w:r>
    </w:p>
    <w:p>
      <w:pPr>
        <w:pStyle w:val="BodyText"/>
        <w:rPr>
          <w:sz w:val="23"/>
        </w:rPr>
      </w:pPr>
    </w:p>
    <w:p>
      <w:pPr>
        <w:pStyle w:val="BodyText"/>
        <w:spacing w:before="37"/>
        <w:rPr>
          <w:sz w:val="23"/>
        </w:rPr>
      </w:pPr>
    </w:p>
    <w:p>
      <w:pPr>
        <w:spacing w:before="0"/>
        <w:ind w:left="619" w:right="0" w:firstLine="0"/>
        <w:jc w:val="both"/>
        <w:rPr>
          <w:b/>
          <w:sz w:val="23"/>
        </w:rPr>
      </w:pPr>
      <w:r>
        <w:rPr>
          <w:b/>
          <w:color w:val="0C0C0C"/>
          <w:w w:val="105"/>
          <w:sz w:val="23"/>
          <w:u w:val="thick" w:color="0C0C0C"/>
        </w:rPr>
        <w:t>Revenue</w:t>
      </w:r>
      <w:r>
        <w:rPr>
          <w:b/>
          <w:color w:val="0C0C0C"/>
          <w:spacing w:val="-17"/>
          <w:w w:val="105"/>
          <w:sz w:val="23"/>
          <w:u w:val="thick" w:color="0C0C0C"/>
        </w:rPr>
        <w:t> </w:t>
      </w:r>
      <w:r>
        <w:rPr>
          <w:b/>
          <w:color w:val="0C0C0C"/>
          <w:spacing w:val="-2"/>
          <w:w w:val="105"/>
          <w:sz w:val="23"/>
          <w:u w:val="thick" w:color="0C0C0C"/>
        </w:rPr>
        <w:t>outturn</w:t>
      </w:r>
    </w:p>
    <w:p>
      <w:pPr>
        <w:pStyle w:val="BodyText"/>
        <w:spacing w:before="14"/>
        <w:rPr>
          <w:b/>
          <w:sz w:val="23"/>
        </w:rPr>
      </w:pPr>
    </w:p>
    <w:p>
      <w:pPr>
        <w:spacing w:before="0" w:line="240" w:lineRule="auto"/>
        <w:ind w:left="615" w:right="486" w:firstLine="3"/>
        <w:jc w:val="both"/>
        <w:rPr>
          <w:sz w:val="24"/>
        </w:rPr>
      </w:pPr>
      <w:r>
        <w:rPr>
          <w:color w:val="0C0C0C"/>
          <w:sz w:val="24"/>
        </w:rPr>
        <w:t>In 2022/23 the budget for the Council's cost of services was set at £12.290 million after funding from reserves. The budget was regularly monitored and reported to senior</w:t>
      </w:r>
      <w:r>
        <w:rPr>
          <w:color w:val="0C0C0C"/>
          <w:spacing w:val="-17"/>
          <w:sz w:val="24"/>
        </w:rPr>
        <w:t> </w:t>
      </w:r>
      <w:r>
        <w:rPr>
          <w:color w:val="0C0C0C"/>
          <w:sz w:val="24"/>
        </w:rPr>
        <w:t>management and</w:t>
      </w:r>
      <w:r>
        <w:rPr>
          <w:color w:val="0C0C0C"/>
          <w:spacing w:val="-17"/>
          <w:sz w:val="24"/>
        </w:rPr>
        <w:t> </w:t>
      </w:r>
      <w:r>
        <w:rPr>
          <w:color w:val="0C0C0C"/>
          <w:sz w:val="24"/>
        </w:rPr>
        <w:t>members</w:t>
      </w:r>
      <w:r>
        <w:rPr>
          <w:color w:val="0C0C0C"/>
          <w:spacing w:val="-10"/>
          <w:sz w:val="24"/>
        </w:rPr>
        <w:t> </w:t>
      </w:r>
      <w:r>
        <w:rPr>
          <w:color w:val="0C0C0C"/>
          <w:sz w:val="24"/>
        </w:rPr>
        <w:t>throughout</w:t>
      </w:r>
      <w:r>
        <w:rPr>
          <w:color w:val="0C0C0C"/>
          <w:spacing w:val="-3"/>
          <w:sz w:val="24"/>
        </w:rPr>
        <w:t> </w:t>
      </w:r>
      <w:r>
        <w:rPr>
          <w:color w:val="0C0C0C"/>
          <w:sz w:val="24"/>
        </w:rPr>
        <w:t>the</w:t>
      </w:r>
      <w:r>
        <w:rPr>
          <w:color w:val="0C0C0C"/>
          <w:spacing w:val="-17"/>
          <w:sz w:val="24"/>
        </w:rPr>
        <w:t> </w:t>
      </w:r>
      <w:r>
        <w:rPr>
          <w:color w:val="0C0C0C"/>
          <w:sz w:val="24"/>
        </w:rPr>
        <w:t>year.</w:t>
      </w:r>
      <w:r>
        <w:rPr>
          <w:color w:val="0C0C0C"/>
          <w:spacing w:val="-15"/>
          <w:sz w:val="24"/>
        </w:rPr>
        <w:t> </w:t>
      </w:r>
      <w:r>
        <w:rPr>
          <w:color w:val="0C0C0C"/>
          <w:sz w:val="24"/>
        </w:rPr>
        <w:t>There</w:t>
      </w:r>
      <w:r>
        <w:rPr>
          <w:color w:val="0C0C0C"/>
          <w:spacing w:val="-14"/>
          <w:sz w:val="24"/>
        </w:rPr>
        <w:t> </w:t>
      </w:r>
      <w:r>
        <w:rPr>
          <w:color w:val="0C0C0C"/>
          <w:sz w:val="24"/>
        </w:rPr>
        <w:t>were</w:t>
      </w:r>
      <w:r>
        <w:rPr>
          <w:color w:val="0C0C0C"/>
          <w:spacing w:val="-17"/>
          <w:sz w:val="24"/>
        </w:rPr>
        <w:t> </w:t>
      </w:r>
      <w:r>
        <w:rPr>
          <w:color w:val="0C0C0C"/>
          <w:sz w:val="24"/>
        </w:rPr>
        <w:t>various</w:t>
      </w:r>
      <w:r>
        <w:rPr>
          <w:color w:val="0C0C0C"/>
          <w:spacing w:val="-9"/>
          <w:sz w:val="24"/>
        </w:rPr>
        <w:t> </w:t>
      </w:r>
      <w:r>
        <w:rPr>
          <w:color w:val="0C0C0C"/>
          <w:sz w:val="24"/>
        </w:rPr>
        <w:t>budgetary pressure to</w:t>
      </w:r>
      <w:r>
        <w:rPr>
          <w:color w:val="0C0C0C"/>
          <w:spacing w:val="-4"/>
          <w:sz w:val="24"/>
        </w:rPr>
        <w:t> </w:t>
      </w:r>
      <w:r>
        <w:rPr>
          <w:color w:val="0C0C0C"/>
          <w:sz w:val="24"/>
        </w:rPr>
        <w:t>manage during the year and these were more than offset by efficiencies with the actual service spend for the year being £12.126 million, within the approved budget. This has resulted in an overall favourable variance for 2022/23 of £0.164 million against the approved budget.</w:t>
      </w:r>
    </w:p>
    <w:p>
      <w:pPr>
        <w:spacing w:after="0" w:line="240" w:lineRule="auto"/>
        <w:jc w:val="both"/>
        <w:rPr>
          <w:sz w:val="24"/>
        </w:rPr>
        <w:sectPr>
          <w:headerReference w:type="default" r:id="rId47"/>
          <w:footerReference w:type="default" r:id="rId48"/>
          <w:footerReference w:type="even" r:id="rId49"/>
          <w:pgSz w:w="11910" w:h="16830"/>
          <w:pgMar w:top="580" w:right="920" w:bottom="680" w:left="840" w:header="397" w:footer="487"/>
          <w:pgNumType w:start="21"/>
        </w:sectPr>
      </w:pPr>
    </w:p>
    <w:p>
      <w:pPr>
        <w:spacing w:before="65"/>
        <w:ind w:left="840" w:right="0" w:firstLine="0"/>
        <w:jc w:val="left"/>
        <w:rPr>
          <w:sz w:val="15"/>
        </w:rPr>
      </w:pPr>
      <w:r>
        <w:rPr>
          <w:color w:val="A1A1A1"/>
          <w:w w:val="105"/>
          <w:sz w:val="15"/>
        </w:rPr>
        <w:t>NARRATIVE</w:t>
      </w:r>
      <w:r>
        <w:rPr>
          <w:color w:val="A1A1A1"/>
          <w:spacing w:val="27"/>
          <w:w w:val="105"/>
          <w:sz w:val="15"/>
        </w:rPr>
        <w:t> </w:t>
      </w:r>
      <w:r>
        <w:rPr>
          <w:color w:val="A1A1A1"/>
          <w:spacing w:val="-2"/>
          <w:w w:val="105"/>
          <w:sz w:val="15"/>
        </w:rPr>
        <w:t>STATEMENT</w:t>
      </w:r>
    </w:p>
    <w:p>
      <w:pPr>
        <w:pStyle w:val="BodyText"/>
        <w:spacing w:before="151"/>
        <w:rPr>
          <w:sz w:val="15"/>
        </w:rPr>
      </w:pPr>
    </w:p>
    <w:p>
      <w:pPr>
        <w:spacing w:before="0" w:line="523" w:lineRule="auto"/>
        <w:ind w:left="1022" w:right="5657" w:hanging="2"/>
        <w:jc w:val="left"/>
        <w:rPr>
          <w:b/>
          <w:sz w:val="19"/>
        </w:rPr>
      </w:pPr>
      <w:r>
        <w:rPr/>
        <ve:AlternateContent>
          <ve:Choice Requires="wps">
            <w:drawing>
              <wp:anchor distT="0" distB="0" distL="0" distR="0" simplePos="0" relativeHeight="15743488" behindDoc="0" locked="0" layoutInCell="1" allowOverlap="1">
                <wp:simplePos x="0" y="0"/>
                <wp:positionH relativeFrom="page">
                  <wp:posOffset>6035616</wp:posOffset>
                </wp:positionH>
                <wp:positionV relativeFrom="paragraph">
                  <wp:posOffset>-93901</wp:posOffset>
                </wp:positionV>
                <wp:extent cx="867410" cy="60769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867410" cy="607695"/>
                        </a:xfrm>
                        <a:prstGeom prst="rect">
                          <a:avLst/>
                        </a:prstGeom>
                        <a:ln w="9158">
                          <a:solidFill>
                            <a:srgbClr val="000000"/>
                          </a:solidFill>
                          <a:prstDash val="solid"/>
                        </a:ln>
                      </wps:spPr>
                      <wps:txbx>
                        <w:txbxContent>
                          <w:p>
                            <w:pPr>
                              <w:pStyle w:val="BodyText"/>
                              <w:spacing w:before="47"/>
                              <w:rPr>
                                <w:b/>
                                <w:sz w:val="19"/>
                              </w:rPr>
                            </w:pPr>
                          </w:p>
                          <w:p>
                            <w:pPr>
                              <w:spacing w:before="1" w:line="242" w:lineRule="auto"/>
                              <w:ind w:left="232" w:right="187" w:hanging="16"/>
                              <w:jc w:val="left"/>
                              <w:rPr>
                                <w:b/>
                                <w:sz w:val="19"/>
                              </w:rPr>
                            </w:pPr>
                            <w:r>
                              <w:rPr>
                                <w:b/>
                                <w:color w:val="131313"/>
                                <w:spacing w:val="-4"/>
                                <w:w w:val="105"/>
                                <w:sz w:val="19"/>
                              </w:rPr>
                              <w:t>SURPLUS </w:t>
                            </w:r>
                            <w:r>
                              <w:rPr>
                                <w:b/>
                                <w:color w:val="212121"/>
                                <w:spacing w:val="-2"/>
                                <w:w w:val="105"/>
                                <w:sz w:val="19"/>
                              </w:rPr>
                              <w:t>(DEFICIT)</w:t>
                            </w:r>
                          </w:p>
                        </w:txbxContent>
                      </wps:txbx>
                      <wps:bodyPr wrap="square" lIns="0" tIns="0" rIns="0" bIns="0" rtlCol="0">
                        <a:noAutofit/>
                      </wps:bodyPr>
                    </wps:wsp>
                  </a:graphicData>
                </a:graphic>
              </wp:anchor>
            </w:drawing>
          </ve:Choice>
          <ve:Fallback>
            <w:pict>
              <v:shape id="docshape36" style="position:absolute;margin-left:475.245361pt;margin-top:-7.393822pt;width:68.3pt;height:47.85pt;mso-position-horizontal-relative:page;mso-position-vertical-relative:paragraph;z-index:15743488" filled="false" stroked="true" strokecolor="#000000" strokeweight=".721161pt" type="#_x0000_t202">
                <v:textbox inset="0,0,0,0">
                  <w:txbxContent>
                    <w:p>
                      <w:pPr>
                        <w:pStyle w:val="BodyText"/>
                        <w:spacing w:before="47"/>
                        <w:rPr>
                          <w:b/>
                          <w:sz w:val="19"/>
                        </w:rPr>
                      </w:pPr>
                    </w:p>
                    <w:p>
                      <w:pPr>
                        <w:spacing w:before="1" w:line="242" w:lineRule="auto"/>
                        <w:ind w:left="232" w:right="187" w:hanging="16"/>
                        <w:jc w:val="left"/>
                        <w:rPr>
                          <w:b/>
                          <w:sz w:val="19"/>
                        </w:rPr>
                      </w:pPr>
                      <w:r>
                        <w:rPr>
                          <w:b/>
                          <w:color w:val="131313"/>
                          <w:spacing w:val="-4"/>
                          <w:w w:val="105"/>
                          <w:sz w:val="19"/>
                        </w:rPr>
                        <w:t>SURPLUS </w:t>
                      </w:r>
                      <w:r>
                        <w:rPr>
                          <w:b/>
                          <w:color w:val="212121"/>
                          <w:spacing w:val="-2"/>
                          <w:w w:val="105"/>
                          <w:sz w:val="19"/>
                        </w:rPr>
                        <w:t>(DEFICIT)</w:t>
                      </w:r>
                    </w:p>
                  </w:txbxContent>
                </v:textbox>
                <v:stroke dashstyle="solid"/>
                <w10:wrap type="none"/>
              </v:shape>
            </w:pict>
          </ve:Fallback>
        </ve:AlternateContent>
      </w:r>
      <w:r>
        <w:rPr/>
        <ve:AlternateContent>
          <ve:Choice Requires="wps">
            <w:drawing>
              <wp:anchor distT="0" distB="0" distL="0" distR="0" simplePos="0" relativeHeight="15744000" behindDoc="0" locked="0" layoutInCell="1" allowOverlap="1">
                <wp:simplePos x="0" y="0"/>
                <wp:positionH relativeFrom="page">
                  <wp:posOffset>5000677</wp:posOffset>
                </wp:positionH>
                <wp:positionV relativeFrom="paragraph">
                  <wp:posOffset>-93901</wp:posOffset>
                </wp:positionV>
                <wp:extent cx="775970" cy="60769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775970" cy="607695"/>
                        </a:xfrm>
                        <a:prstGeom prst="rect">
                          <a:avLst/>
                        </a:prstGeom>
                        <a:ln w="9158">
                          <a:solidFill>
                            <a:srgbClr val="000000"/>
                          </a:solidFill>
                          <a:prstDash val="solid"/>
                        </a:ln>
                      </wps:spPr>
                      <wps:txbx>
                        <w:txbxContent>
                          <w:p>
                            <w:pPr>
                              <w:spacing w:before="33" w:line="249" w:lineRule="auto"/>
                              <w:ind w:left="166" w:right="159" w:hanging="8"/>
                              <w:jc w:val="center"/>
                              <w:rPr>
                                <w:b/>
                                <w:sz w:val="19"/>
                              </w:rPr>
                            </w:pPr>
                            <w:r>
                              <w:rPr>
                                <w:b/>
                                <w:color w:val="131313"/>
                                <w:spacing w:val="-2"/>
                                <w:w w:val="105"/>
                                <w:sz w:val="19"/>
                              </w:rPr>
                              <w:t>ACTUAL SPEND </w:t>
                            </w:r>
                            <w:r>
                              <w:rPr>
                                <w:b/>
                                <w:color w:val="131313"/>
                                <w:w w:val="105"/>
                                <w:sz w:val="19"/>
                              </w:rPr>
                              <w:t>FOR</w:t>
                            </w:r>
                            <w:r>
                              <w:rPr>
                                <w:b/>
                                <w:color w:val="131313"/>
                                <w:spacing w:val="-14"/>
                                <w:w w:val="105"/>
                                <w:sz w:val="19"/>
                              </w:rPr>
                              <w:t> </w:t>
                            </w:r>
                            <w:r>
                              <w:rPr>
                                <w:b/>
                                <w:color w:val="131313"/>
                                <w:w w:val="105"/>
                                <w:sz w:val="19"/>
                              </w:rPr>
                              <w:t>THE </w:t>
                            </w:r>
                            <w:r>
                              <w:rPr>
                                <w:b/>
                                <w:color w:val="131313"/>
                                <w:spacing w:val="-4"/>
                                <w:w w:val="105"/>
                                <w:sz w:val="19"/>
                              </w:rPr>
                              <w:t>YEAR</w:t>
                            </w:r>
                          </w:p>
                        </w:txbxContent>
                      </wps:txbx>
                      <wps:bodyPr wrap="square" lIns="0" tIns="0" rIns="0" bIns="0" rtlCol="0">
                        <a:noAutofit/>
                      </wps:bodyPr>
                    </wps:wsp>
                  </a:graphicData>
                </a:graphic>
              </wp:anchor>
            </w:drawing>
          </ve:Choice>
          <ve:Fallback>
            <w:pict>
              <v:shape id="docshape37" style="position:absolute;margin-left:393.75412pt;margin-top:-7.393822pt;width:61.1pt;height:47.85pt;mso-position-horizontal-relative:page;mso-position-vertical-relative:paragraph;z-index:15744000" filled="false" stroked="true" strokecolor="#000000" strokeweight=".721161pt" type="#_x0000_t202">
                <v:textbox inset="0,0,0,0">
                  <w:txbxContent>
                    <w:p>
                      <w:pPr>
                        <w:spacing w:before="33" w:line="249" w:lineRule="auto"/>
                        <w:ind w:left="166" w:right="159" w:hanging="8"/>
                        <w:jc w:val="center"/>
                        <w:rPr>
                          <w:b/>
                          <w:sz w:val="19"/>
                        </w:rPr>
                      </w:pPr>
                      <w:r>
                        <w:rPr>
                          <w:b/>
                          <w:color w:val="131313"/>
                          <w:spacing w:val="-2"/>
                          <w:w w:val="105"/>
                          <w:sz w:val="19"/>
                        </w:rPr>
                        <w:t>ACTUAL SPEND </w:t>
                      </w:r>
                      <w:r>
                        <w:rPr>
                          <w:b/>
                          <w:color w:val="131313"/>
                          <w:w w:val="105"/>
                          <w:sz w:val="19"/>
                        </w:rPr>
                        <w:t>FOR</w:t>
                      </w:r>
                      <w:r>
                        <w:rPr>
                          <w:b/>
                          <w:color w:val="131313"/>
                          <w:spacing w:val="-14"/>
                          <w:w w:val="105"/>
                          <w:sz w:val="19"/>
                        </w:rPr>
                        <w:t> </w:t>
                      </w:r>
                      <w:r>
                        <w:rPr>
                          <w:b/>
                          <w:color w:val="131313"/>
                          <w:w w:val="105"/>
                          <w:sz w:val="19"/>
                        </w:rPr>
                        <w:t>THE </w:t>
                      </w:r>
                      <w:r>
                        <w:rPr>
                          <w:b/>
                          <w:color w:val="131313"/>
                          <w:spacing w:val="-4"/>
                          <w:w w:val="105"/>
                          <w:sz w:val="19"/>
                        </w:rPr>
                        <w:t>YEAR</w:t>
                      </w:r>
                    </w:p>
                  </w:txbxContent>
                </v:textbox>
                <v:stroke dashstyle="solid"/>
                <w10:wrap type="none"/>
              </v:shape>
            </w:pict>
          </ve:Fallback>
        </ve:AlternateContent>
      </w:r>
      <w:r>
        <w:rPr/>
        <ve:AlternateContent>
          <ve:Choice Requires="wps">
            <w:drawing>
              <wp:anchor distT="0" distB="0" distL="0" distR="0" simplePos="0" relativeHeight="15744512" behindDoc="0" locked="0" layoutInCell="1" allowOverlap="1">
                <wp:simplePos x="0" y="0"/>
                <wp:positionH relativeFrom="page">
                  <wp:posOffset>3877204</wp:posOffset>
                </wp:positionH>
                <wp:positionV relativeFrom="paragraph">
                  <wp:posOffset>-93901</wp:posOffset>
                </wp:positionV>
                <wp:extent cx="855344" cy="607695"/>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855344" cy="607695"/>
                        </a:xfrm>
                        <a:prstGeom prst="rect">
                          <a:avLst/>
                        </a:prstGeom>
                        <a:ln w="9158">
                          <a:solidFill>
                            <a:srgbClr val="000000"/>
                          </a:solidFill>
                          <a:prstDash val="solid"/>
                        </a:ln>
                      </wps:spPr>
                      <wps:txbx>
                        <w:txbxContent>
                          <w:p>
                            <w:pPr>
                              <w:pStyle w:val="BodyText"/>
                              <w:spacing w:before="52"/>
                              <w:rPr>
                                <w:b/>
                                <w:sz w:val="19"/>
                              </w:rPr>
                            </w:pPr>
                          </w:p>
                          <w:p>
                            <w:pPr>
                              <w:spacing w:before="0" w:line="247" w:lineRule="auto"/>
                              <w:ind w:left="252" w:right="227" w:hanging="20"/>
                              <w:jc w:val="left"/>
                              <w:rPr>
                                <w:b/>
                                <w:sz w:val="19"/>
                              </w:rPr>
                            </w:pPr>
                            <w:r>
                              <w:rPr>
                                <w:b/>
                                <w:color w:val="131313"/>
                                <w:spacing w:val="-2"/>
                                <w:w w:val="105"/>
                                <w:sz w:val="19"/>
                              </w:rPr>
                              <w:t>REVISED BUDGET</w:t>
                            </w:r>
                          </w:p>
                        </w:txbxContent>
                      </wps:txbx>
                      <wps:bodyPr wrap="square" lIns="0" tIns="0" rIns="0" bIns="0" rtlCol="0">
                        <a:noAutofit/>
                      </wps:bodyPr>
                    </wps:wsp>
                  </a:graphicData>
                </a:graphic>
              </wp:anchor>
            </w:drawing>
          </ve:Choice>
          <ve:Fallback>
            <w:pict>
              <v:shape id="docshape38" style="position:absolute;margin-left:305.291656pt;margin-top:-7.393822pt;width:67.350pt;height:47.85pt;mso-position-horizontal-relative:page;mso-position-vertical-relative:paragraph;z-index:15744512" filled="false" stroked="true" strokecolor="#000000" strokeweight=".721161pt" type="#_x0000_t202">
                <v:textbox inset="0,0,0,0">
                  <w:txbxContent>
                    <w:p>
                      <w:pPr>
                        <w:pStyle w:val="BodyText"/>
                        <w:spacing w:before="52"/>
                        <w:rPr>
                          <w:b/>
                          <w:sz w:val="19"/>
                        </w:rPr>
                      </w:pPr>
                    </w:p>
                    <w:p>
                      <w:pPr>
                        <w:spacing w:before="0" w:line="247" w:lineRule="auto"/>
                        <w:ind w:left="252" w:right="227" w:hanging="20"/>
                        <w:jc w:val="left"/>
                        <w:rPr>
                          <w:b/>
                          <w:sz w:val="19"/>
                        </w:rPr>
                      </w:pPr>
                      <w:r>
                        <w:rPr>
                          <w:b/>
                          <w:color w:val="131313"/>
                          <w:spacing w:val="-2"/>
                          <w:w w:val="105"/>
                          <w:sz w:val="19"/>
                        </w:rPr>
                        <w:t>REVISED BUDGET</w:t>
                      </w:r>
                    </w:p>
                  </w:txbxContent>
                </v:textbox>
                <v:stroke dashstyle="solid"/>
                <w10:wrap type="none"/>
              </v:shape>
            </w:pict>
          </ve:Fallback>
        </ve:AlternateContent>
      </w:r>
      <w:r>
        <w:rPr>
          <w:b/>
          <w:color w:val="131313"/>
          <w:w w:val="105"/>
          <w:sz w:val="19"/>
        </w:rPr>
        <w:t>FINANCIAL</w:t>
      </w:r>
      <w:r>
        <w:rPr>
          <w:b/>
          <w:color w:val="131313"/>
          <w:spacing w:val="-11"/>
          <w:w w:val="105"/>
          <w:sz w:val="19"/>
        </w:rPr>
        <w:t> </w:t>
      </w:r>
      <w:r>
        <w:rPr>
          <w:b/>
          <w:color w:val="131313"/>
          <w:w w:val="105"/>
          <w:sz w:val="19"/>
        </w:rPr>
        <w:t>MONITORING</w:t>
      </w:r>
      <w:r>
        <w:rPr>
          <w:b/>
          <w:color w:val="131313"/>
          <w:spacing w:val="-7"/>
          <w:w w:val="105"/>
          <w:sz w:val="19"/>
        </w:rPr>
        <w:t> </w:t>
      </w:r>
      <w:r>
        <w:rPr>
          <w:b/>
          <w:color w:val="131313"/>
          <w:w w:val="105"/>
          <w:sz w:val="19"/>
        </w:rPr>
        <w:t>POSITION 31 Mar 2023</w:t>
      </w:r>
    </w:p>
    <w:p>
      <w:pPr>
        <w:tabs>
          <w:tab w:val="left" w:leader="none" w:pos="6062"/>
          <w:tab w:val="left" w:leader="none" w:pos="7702"/>
          <w:tab w:val="left" w:leader="none" w:pos="9490"/>
        </w:tabs>
        <w:spacing w:before="115"/>
        <w:ind w:left="1013" w:right="0" w:firstLine="0"/>
        <w:jc w:val="left"/>
        <w:rPr>
          <w:b/>
          <w:sz w:val="19"/>
        </w:rPr>
      </w:pPr>
      <w:r>
        <w:rPr>
          <w:b/>
          <w:color w:val="131313"/>
          <w:w w:val="105"/>
          <w:sz w:val="19"/>
        </w:rPr>
        <w:t>SUMMARY</w:t>
      </w:r>
      <w:r>
        <w:rPr>
          <w:b/>
          <w:color w:val="131313"/>
          <w:spacing w:val="15"/>
          <w:w w:val="105"/>
          <w:sz w:val="19"/>
        </w:rPr>
        <w:t> </w:t>
      </w:r>
      <w:r>
        <w:rPr>
          <w:b/>
          <w:color w:val="131313"/>
          <w:w w:val="105"/>
          <w:sz w:val="19"/>
        </w:rPr>
        <w:t>OF</w:t>
      </w:r>
      <w:r>
        <w:rPr>
          <w:b/>
          <w:color w:val="131313"/>
          <w:spacing w:val="-12"/>
          <w:w w:val="105"/>
          <w:sz w:val="19"/>
        </w:rPr>
        <w:t> </w:t>
      </w:r>
      <w:r>
        <w:rPr>
          <w:b/>
          <w:color w:val="131313"/>
          <w:spacing w:val="-2"/>
          <w:w w:val="105"/>
          <w:sz w:val="19"/>
        </w:rPr>
        <w:t>PERFORMANCE</w:t>
      </w:r>
      <w:r>
        <w:rPr>
          <w:b/>
          <w:color w:val="131313"/>
          <w:sz w:val="19"/>
        </w:rPr>
        <w:tab/>
      </w:r>
      <w:r>
        <w:rPr>
          <w:b/>
          <w:color w:val="131313"/>
          <w:spacing w:val="-4"/>
          <w:w w:val="105"/>
          <w:sz w:val="19"/>
        </w:rPr>
        <w:t>£000</w:t>
      </w:r>
      <w:r>
        <w:rPr>
          <w:b/>
          <w:color w:val="131313"/>
          <w:sz w:val="19"/>
        </w:rPr>
        <w:tab/>
      </w:r>
      <w:r>
        <w:rPr>
          <w:b/>
          <w:color w:val="131313"/>
          <w:spacing w:val="-4"/>
          <w:w w:val="105"/>
          <w:sz w:val="19"/>
        </w:rPr>
        <w:t>£000</w:t>
      </w:r>
      <w:r>
        <w:rPr>
          <w:b/>
          <w:color w:val="131313"/>
          <w:sz w:val="19"/>
        </w:rPr>
        <w:tab/>
      </w:r>
      <w:r>
        <w:rPr>
          <w:b/>
          <w:color w:val="212121"/>
          <w:spacing w:val="-4"/>
          <w:w w:val="105"/>
          <w:sz w:val="19"/>
        </w:rPr>
        <w:t>£000</w:t>
      </w:r>
    </w:p>
    <w:p>
      <w:pPr>
        <w:pStyle w:val="BodyText"/>
        <w:spacing w:before="5"/>
        <w:rPr>
          <w:b/>
          <w:sz w:val="9"/>
        </w:rPr>
      </w:pPr>
    </w:p>
    <w:tbl>
      <w:tblPr>
        <w:tblW w:w="0" w:type="auto"/>
        <w:jc w:val="left"/>
        <w:tblInd w:w="90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372"/>
        <w:gridCol w:w="1709"/>
        <w:gridCol w:w="1690"/>
        <w:gridCol w:w="1365"/>
      </w:tblGrid>
      <w:tr>
        <w:trPr>
          <w:trHeight w:val="3017" w:hRule="atLeast"/>
        </w:trPr>
        <w:tc>
          <w:tcPr>
            <w:tcW w:w="7771" w:type="dxa"/>
            <w:gridSpan w:val="3"/>
            <w:tcBorders>
              <w:right w:val="single" w:color="000000" w:sz="12" w:space="0"/>
            </w:tcBorders>
          </w:tcPr>
          <w:p>
            <w:pPr>
              <w:pStyle w:val="TableParagraph"/>
              <w:tabs>
                <w:tab w:val="left" w:leader="none" w:pos="5104"/>
                <w:tab w:val="left" w:leader="none" w:pos="6748"/>
              </w:tabs>
              <w:spacing w:before="124"/>
              <w:ind w:left="115"/>
              <w:rPr>
                <w:sz w:val="20"/>
              </w:rPr>
            </w:pPr>
            <w:r>
              <w:rPr>
                <w:color w:val="131313"/>
                <w:sz w:val="20"/>
              </w:rPr>
              <w:t>Planning</w:t>
            </w:r>
            <w:r>
              <w:rPr>
                <w:color w:val="131313"/>
                <w:spacing w:val="6"/>
                <w:sz w:val="20"/>
              </w:rPr>
              <w:t> </w:t>
            </w:r>
            <w:r>
              <w:rPr>
                <w:color w:val="131313"/>
                <w:sz w:val="20"/>
              </w:rPr>
              <w:t>&amp;</w:t>
            </w:r>
            <w:r>
              <w:rPr>
                <w:color w:val="131313"/>
                <w:spacing w:val="-5"/>
                <w:sz w:val="20"/>
              </w:rPr>
              <w:t> </w:t>
            </w:r>
            <w:r>
              <w:rPr>
                <w:color w:val="131313"/>
                <w:sz w:val="20"/>
              </w:rPr>
              <w:t>Economic</w:t>
            </w:r>
            <w:r>
              <w:rPr>
                <w:color w:val="131313"/>
                <w:spacing w:val="2"/>
                <w:sz w:val="20"/>
              </w:rPr>
              <w:t> </w:t>
            </w:r>
            <w:r>
              <w:rPr>
                <w:color w:val="131313"/>
                <w:spacing w:val="-2"/>
                <w:sz w:val="20"/>
              </w:rPr>
              <w:t>Development</w:t>
            </w:r>
            <w:r>
              <w:rPr>
                <w:color w:val="131313"/>
                <w:sz w:val="20"/>
              </w:rPr>
              <w:tab/>
            </w:r>
            <w:r>
              <w:rPr>
                <w:color w:val="131313"/>
                <w:spacing w:val="-2"/>
                <w:sz w:val="20"/>
              </w:rPr>
              <w:t>1,203</w:t>
            </w:r>
            <w:r>
              <w:rPr>
                <w:color w:val="131313"/>
                <w:sz w:val="20"/>
              </w:rPr>
              <w:tab/>
            </w:r>
            <w:r>
              <w:rPr>
                <w:color w:val="131313"/>
                <w:spacing w:val="-2"/>
                <w:sz w:val="20"/>
              </w:rPr>
              <w:t>1,259</w:t>
            </w:r>
          </w:p>
          <w:p>
            <w:pPr>
              <w:pStyle w:val="TableParagraph"/>
              <w:tabs>
                <w:tab w:val="left" w:leader="none" w:pos="5104"/>
                <w:tab w:val="left" w:leader="none" w:pos="6911"/>
              </w:tabs>
              <w:spacing w:before="1"/>
              <w:ind w:left="110"/>
              <w:rPr>
                <w:sz w:val="20"/>
              </w:rPr>
            </w:pPr>
            <w:r>
              <w:rPr>
                <w:color w:val="131313"/>
                <w:sz w:val="20"/>
              </w:rPr>
              <w:t>Housing</w:t>
            </w:r>
            <w:r>
              <w:rPr>
                <w:color w:val="131313"/>
                <w:spacing w:val="3"/>
                <w:sz w:val="20"/>
              </w:rPr>
              <w:t> </w:t>
            </w:r>
            <w:r>
              <w:rPr>
                <w:color w:val="131313"/>
                <w:spacing w:val="-2"/>
                <w:sz w:val="20"/>
              </w:rPr>
              <w:t>Services</w:t>
            </w:r>
            <w:r>
              <w:rPr>
                <w:color w:val="131313"/>
                <w:sz w:val="20"/>
              </w:rPr>
              <w:tab/>
            </w:r>
            <w:r>
              <w:rPr>
                <w:color w:val="131313"/>
                <w:spacing w:val="-2"/>
                <w:sz w:val="20"/>
              </w:rPr>
              <w:t>1,151</w:t>
            </w:r>
            <w:r>
              <w:rPr>
                <w:color w:val="131313"/>
                <w:sz w:val="20"/>
              </w:rPr>
              <w:tab/>
            </w:r>
            <w:r>
              <w:rPr>
                <w:color w:val="131313"/>
                <w:spacing w:val="-5"/>
                <w:sz w:val="20"/>
              </w:rPr>
              <w:t>981</w:t>
            </w:r>
          </w:p>
          <w:p>
            <w:pPr>
              <w:pStyle w:val="TableParagraph"/>
              <w:tabs>
                <w:tab w:val="left" w:leader="none" w:pos="5106"/>
                <w:tab w:val="left" w:leader="none" w:pos="6744"/>
              </w:tabs>
              <w:spacing w:before="1"/>
              <w:ind w:left="110"/>
              <w:rPr>
                <w:sz w:val="20"/>
              </w:rPr>
            </w:pPr>
            <w:r>
              <w:rPr>
                <w:color w:val="131313"/>
                <w:sz w:val="20"/>
              </w:rPr>
              <w:t>Partnership &amp;</w:t>
            </w:r>
            <w:r>
              <w:rPr>
                <w:color w:val="131313"/>
                <w:spacing w:val="-11"/>
                <w:sz w:val="20"/>
              </w:rPr>
              <w:t> </w:t>
            </w:r>
            <w:r>
              <w:rPr>
                <w:color w:val="131313"/>
                <w:sz w:val="20"/>
              </w:rPr>
              <w:t>Community</w:t>
            </w:r>
            <w:r>
              <w:rPr>
                <w:color w:val="131313"/>
                <w:spacing w:val="8"/>
                <w:sz w:val="20"/>
              </w:rPr>
              <w:t> </w:t>
            </w:r>
            <w:r>
              <w:rPr>
                <w:color w:val="131313"/>
                <w:spacing w:val="-2"/>
                <w:sz w:val="20"/>
              </w:rPr>
              <w:t>Engagement</w:t>
            </w:r>
            <w:r>
              <w:rPr>
                <w:color w:val="131313"/>
                <w:sz w:val="20"/>
              </w:rPr>
              <w:tab/>
            </w:r>
            <w:r>
              <w:rPr>
                <w:b/>
                <w:color w:val="131313"/>
                <w:spacing w:val="-2"/>
                <w:sz w:val="19"/>
              </w:rPr>
              <w:t>1,234</w:t>
            </w:r>
            <w:r>
              <w:rPr>
                <w:b/>
                <w:color w:val="131313"/>
                <w:sz w:val="19"/>
              </w:rPr>
              <w:tab/>
            </w:r>
            <w:r>
              <w:rPr>
                <w:color w:val="131313"/>
                <w:spacing w:val="-2"/>
                <w:sz w:val="20"/>
              </w:rPr>
              <w:t>1,220</w:t>
            </w:r>
          </w:p>
          <w:p>
            <w:pPr>
              <w:pStyle w:val="TableParagraph"/>
              <w:tabs>
                <w:tab w:val="left" w:leader="none" w:pos="5099"/>
                <w:tab w:val="left" w:leader="none" w:pos="6744"/>
              </w:tabs>
              <w:spacing w:before="1"/>
              <w:ind w:left="105"/>
              <w:rPr>
                <w:sz w:val="20"/>
              </w:rPr>
            </w:pPr>
            <w:r>
              <w:rPr>
                <w:color w:val="131313"/>
                <w:sz w:val="20"/>
              </w:rPr>
              <w:t>Environmental</w:t>
            </w:r>
            <w:r>
              <w:rPr>
                <w:color w:val="131313"/>
                <w:spacing w:val="-7"/>
                <w:sz w:val="20"/>
              </w:rPr>
              <w:t> </w:t>
            </w:r>
            <w:r>
              <w:rPr>
                <w:color w:val="131313"/>
                <w:spacing w:val="-2"/>
                <w:sz w:val="20"/>
              </w:rPr>
              <w:t>Health</w:t>
            </w:r>
            <w:r>
              <w:rPr>
                <w:color w:val="131313"/>
                <w:sz w:val="20"/>
              </w:rPr>
              <w:tab/>
            </w:r>
            <w:r>
              <w:rPr>
                <w:color w:val="131313"/>
                <w:spacing w:val="-2"/>
                <w:sz w:val="20"/>
              </w:rPr>
              <w:t>1,154</w:t>
            </w:r>
            <w:r>
              <w:rPr>
                <w:color w:val="131313"/>
                <w:sz w:val="20"/>
              </w:rPr>
              <w:tab/>
            </w:r>
            <w:r>
              <w:rPr>
                <w:color w:val="131313"/>
                <w:spacing w:val="-2"/>
                <w:sz w:val="20"/>
              </w:rPr>
              <w:t>1,116</w:t>
            </w:r>
          </w:p>
          <w:p>
            <w:pPr>
              <w:pStyle w:val="TableParagraph"/>
              <w:tabs>
                <w:tab w:val="left" w:leader="none" w:pos="5103"/>
                <w:tab w:val="left" w:leader="none" w:pos="6742"/>
              </w:tabs>
              <w:spacing w:line="228" w:lineRule="exact"/>
              <w:ind w:left="107"/>
              <w:rPr>
                <w:sz w:val="20"/>
              </w:rPr>
            </w:pPr>
            <w:r>
              <w:rPr>
                <w:color w:val="131313"/>
                <w:sz w:val="20"/>
              </w:rPr>
              <w:t>Street</w:t>
            </w:r>
            <w:r>
              <w:rPr>
                <w:color w:val="131313"/>
                <w:spacing w:val="-2"/>
                <w:sz w:val="20"/>
              </w:rPr>
              <w:t> </w:t>
            </w:r>
            <w:r>
              <w:rPr>
                <w:color w:val="131313"/>
                <w:sz w:val="20"/>
              </w:rPr>
              <w:t>Scene</w:t>
            </w:r>
            <w:r>
              <w:rPr>
                <w:color w:val="131313"/>
                <w:spacing w:val="-1"/>
                <w:sz w:val="20"/>
              </w:rPr>
              <w:t> </w:t>
            </w:r>
            <w:r>
              <w:rPr>
                <w:color w:val="131313"/>
                <w:spacing w:val="-2"/>
                <w:sz w:val="20"/>
              </w:rPr>
              <w:t>Services</w:t>
            </w:r>
            <w:r>
              <w:rPr>
                <w:color w:val="131313"/>
                <w:sz w:val="20"/>
              </w:rPr>
              <w:tab/>
            </w:r>
            <w:r>
              <w:rPr>
                <w:color w:val="131313"/>
                <w:spacing w:val="-2"/>
                <w:sz w:val="20"/>
              </w:rPr>
              <w:t>5,438</w:t>
            </w:r>
            <w:r>
              <w:rPr>
                <w:color w:val="131313"/>
                <w:sz w:val="20"/>
              </w:rPr>
              <w:tab/>
            </w:r>
            <w:r>
              <w:rPr>
                <w:color w:val="131313"/>
                <w:spacing w:val="-2"/>
                <w:sz w:val="20"/>
              </w:rPr>
              <w:t>5,204</w:t>
            </w:r>
          </w:p>
          <w:p>
            <w:pPr>
              <w:pStyle w:val="TableParagraph"/>
              <w:tabs>
                <w:tab w:val="left" w:leader="none" w:pos="5266"/>
                <w:tab w:val="left" w:leader="none" w:pos="6901"/>
              </w:tabs>
              <w:spacing w:line="228" w:lineRule="exact"/>
              <w:ind w:left="100"/>
              <w:rPr>
                <w:sz w:val="20"/>
              </w:rPr>
            </w:pPr>
            <w:r>
              <w:rPr>
                <w:color w:val="131313"/>
                <w:sz w:val="20"/>
              </w:rPr>
              <w:t>Engineering</w:t>
            </w:r>
            <w:r>
              <w:rPr>
                <w:color w:val="131313"/>
                <w:spacing w:val="-4"/>
                <w:sz w:val="20"/>
              </w:rPr>
              <w:t> </w:t>
            </w:r>
            <w:r>
              <w:rPr>
                <w:color w:val="131313"/>
                <w:spacing w:val="-2"/>
                <w:sz w:val="20"/>
              </w:rPr>
              <w:t>Services</w:t>
            </w:r>
            <w:r>
              <w:rPr>
                <w:color w:val="131313"/>
                <w:sz w:val="20"/>
              </w:rPr>
              <w:tab/>
            </w:r>
            <w:r>
              <w:rPr>
                <w:color w:val="131313"/>
                <w:spacing w:val="-5"/>
                <w:sz w:val="20"/>
              </w:rPr>
              <w:t>347</w:t>
            </w:r>
            <w:r>
              <w:rPr>
                <w:color w:val="131313"/>
                <w:sz w:val="20"/>
              </w:rPr>
              <w:tab/>
            </w:r>
            <w:r>
              <w:rPr>
                <w:color w:val="131313"/>
                <w:spacing w:val="-5"/>
                <w:sz w:val="20"/>
              </w:rPr>
              <w:t>381</w:t>
            </w:r>
          </w:p>
          <w:p>
            <w:pPr>
              <w:pStyle w:val="TableParagraph"/>
              <w:tabs>
                <w:tab w:val="left" w:leader="none" w:pos="4960"/>
                <w:tab w:val="left" w:leader="none" w:pos="6604"/>
              </w:tabs>
              <w:spacing w:before="1"/>
              <w:ind w:left="97"/>
              <w:rPr>
                <w:sz w:val="20"/>
              </w:rPr>
            </w:pPr>
            <w:r>
              <w:rPr>
                <w:color w:val="131313"/>
                <w:sz w:val="20"/>
              </w:rPr>
              <w:t>Asset</w:t>
            </w:r>
            <w:r>
              <w:rPr>
                <w:color w:val="131313"/>
                <w:spacing w:val="-10"/>
                <w:sz w:val="20"/>
              </w:rPr>
              <w:t> </w:t>
            </w:r>
            <w:r>
              <w:rPr>
                <w:color w:val="131313"/>
                <w:spacing w:val="-2"/>
                <w:sz w:val="20"/>
              </w:rPr>
              <w:t>Management</w:t>
            </w:r>
            <w:r>
              <w:rPr>
                <w:color w:val="131313"/>
                <w:sz w:val="20"/>
              </w:rPr>
              <w:tab/>
            </w:r>
            <w:r>
              <w:rPr>
                <w:color w:val="131313"/>
                <w:spacing w:val="-2"/>
                <w:sz w:val="20"/>
              </w:rPr>
              <w:t>(4,946)</w:t>
            </w:r>
            <w:r>
              <w:rPr>
                <w:color w:val="131313"/>
                <w:sz w:val="20"/>
              </w:rPr>
              <w:tab/>
            </w:r>
            <w:r>
              <w:rPr>
                <w:color w:val="131313"/>
                <w:spacing w:val="-2"/>
                <w:sz w:val="20"/>
              </w:rPr>
              <w:t>(4</w:t>
            </w:r>
            <w:r>
              <w:rPr>
                <w:color w:val="424242"/>
                <w:spacing w:val="-2"/>
                <w:sz w:val="20"/>
              </w:rPr>
              <w:t>,</w:t>
            </w:r>
            <w:r>
              <w:rPr>
                <w:color w:val="131313"/>
                <w:spacing w:val="-2"/>
                <w:sz w:val="20"/>
              </w:rPr>
              <w:t>049)</w:t>
            </w:r>
          </w:p>
          <w:p>
            <w:pPr>
              <w:pStyle w:val="TableParagraph"/>
              <w:tabs>
                <w:tab w:val="left" w:leader="none" w:pos="5091"/>
                <w:tab w:val="left" w:leader="none" w:pos="6735"/>
              </w:tabs>
              <w:spacing w:before="1"/>
              <w:ind w:left="95"/>
              <w:rPr>
                <w:sz w:val="20"/>
              </w:rPr>
            </w:pPr>
            <w:r>
              <w:rPr>
                <w:color w:val="131313"/>
                <w:sz w:val="20"/>
              </w:rPr>
              <w:t>Finance</w:t>
            </w:r>
            <w:r>
              <w:rPr>
                <w:color w:val="131313"/>
                <w:spacing w:val="8"/>
                <w:sz w:val="20"/>
              </w:rPr>
              <w:t> </w:t>
            </w:r>
            <w:r>
              <w:rPr>
                <w:color w:val="131313"/>
                <w:sz w:val="20"/>
              </w:rPr>
              <w:t>&amp;</w:t>
            </w:r>
            <w:r>
              <w:rPr>
                <w:color w:val="131313"/>
                <w:spacing w:val="-1"/>
                <w:sz w:val="20"/>
              </w:rPr>
              <w:t> </w:t>
            </w:r>
            <w:r>
              <w:rPr>
                <w:color w:val="131313"/>
                <w:sz w:val="20"/>
              </w:rPr>
              <w:t>Business</w:t>
            </w:r>
            <w:r>
              <w:rPr>
                <w:color w:val="131313"/>
                <w:spacing w:val="3"/>
                <w:sz w:val="20"/>
              </w:rPr>
              <w:t> </w:t>
            </w:r>
            <w:r>
              <w:rPr>
                <w:color w:val="131313"/>
                <w:spacing w:val="-2"/>
                <w:sz w:val="20"/>
              </w:rPr>
              <w:t>Services</w:t>
            </w:r>
            <w:r>
              <w:rPr>
                <w:color w:val="131313"/>
                <w:sz w:val="20"/>
              </w:rPr>
              <w:tab/>
            </w:r>
            <w:r>
              <w:rPr>
                <w:color w:val="131313"/>
                <w:spacing w:val="-2"/>
                <w:sz w:val="20"/>
              </w:rPr>
              <w:t>2,616</w:t>
            </w:r>
            <w:r>
              <w:rPr>
                <w:color w:val="131313"/>
                <w:sz w:val="20"/>
              </w:rPr>
              <w:tab/>
            </w:r>
            <w:r>
              <w:rPr>
                <w:color w:val="131313"/>
                <w:spacing w:val="-2"/>
                <w:sz w:val="20"/>
              </w:rPr>
              <w:t>2,561</w:t>
            </w:r>
          </w:p>
          <w:p>
            <w:pPr>
              <w:pStyle w:val="TableParagraph"/>
              <w:tabs>
                <w:tab w:val="left" w:leader="none" w:pos="5080"/>
                <w:tab w:val="left" w:leader="none" w:pos="5253"/>
                <w:tab w:val="left" w:leader="none" w:pos="6725"/>
                <w:tab w:val="left" w:leader="none" w:pos="6896"/>
              </w:tabs>
              <w:spacing w:line="242" w:lineRule="auto"/>
              <w:ind w:left="86" w:right="523" w:firstLine="15"/>
              <w:jc w:val="both"/>
              <w:rPr>
                <w:sz w:val="20"/>
              </w:rPr>
            </w:pPr>
            <w:r>
              <w:rPr>
                <w:color w:val="212121"/>
                <w:sz w:val="20"/>
              </w:rPr>
              <w:t>Legal </w:t>
            </w:r>
            <w:r>
              <w:rPr>
                <w:color w:val="131313"/>
                <w:sz w:val="20"/>
              </w:rPr>
              <w:t>&amp; </w:t>
            </w:r>
            <w:r>
              <w:rPr>
                <w:color w:val="212121"/>
                <w:sz w:val="20"/>
              </w:rPr>
              <w:t>Democratic Services</w:t>
              <w:tab/>
            </w:r>
            <w:r>
              <w:rPr>
                <w:color w:val="212121"/>
                <w:spacing w:val="-52"/>
                <w:sz w:val="20"/>
              </w:rPr>
              <w:t> </w:t>
            </w:r>
            <w:r>
              <w:rPr>
                <w:color w:val="131313"/>
                <w:spacing w:val="-2"/>
                <w:sz w:val="20"/>
              </w:rPr>
              <w:t>1,574</w:t>
            </w:r>
            <w:r>
              <w:rPr>
                <w:color w:val="131313"/>
                <w:sz w:val="20"/>
              </w:rPr>
              <w:tab/>
            </w:r>
            <w:r>
              <w:rPr>
                <w:color w:val="131313"/>
                <w:spacing w:val="-14"/>
                <w:sz w:val="20"/>
              </w:rPr>
              <w:t> </w:t>
            </w:r>
            <w:r>
              <w:rPr>
                <w:color w:val="131313"/>
                <w:spacing w:val="-10"/>
                <w:sz w:val="20"/>
              </w:rPr>
              <w:t>1,563 </w:t>
            </w:r>
            <w:r>
              <w:rPr>
                <w:color w:val="212121"/>
                <w:sz w:val="20"/>
              </w:rPr>
              <w:t>Human Resources &amp; Customer </w:t>
            </w:r>
            <w:r>
              <w:rPr>
                <w:color w:val="131313"/>
                <w:sz w:val="20"/>
              </w:rPr>
              <w:t>Services</w:t>
              <w:tab/>
            </w:r>
            <w:r>
              <w:rPr>
                <w:color w:val="131313"/>
                <w:spacing w:val="-2"/>
                <w:sz w:val="20"/>
              </w:rPr>
              <w:t>1,278</w:t>
            </w:r>
            <w:r>
              <w:rPr>
                <w:color w:val="131313"/>
                <w:sz w:val="20"/>
              </w:rPr>
              <w:tab/>
            </w:r>
            <w:r>
              <w:rPr>
                <w:color w:val="131313"/>
                <w:spacing w:val="-2"/>
                <w:sz w:val="20"/>
              </w:rPr>
              <w:t>1,251 </w:t>
            </w:r>
            <w:r>
              <w:rPr>
                <w:color w:val="131313"/>
                <w:sz w:val="20"/>
              </w:rPr>
              <w:t>Executive</w:t>
            </w:r>
            <w:r>
              <w:rPr>
                <w:color w:val="131313"/>
                <w:spacing w:val="-4"/>
                <w:sz w:val="20"/>
              </w:rPr>
              <w:t> </w:t>
            </w:r>
            <w:r>
              <w:rPr>
                <w:color w:val="131313"/>
                <w:spacing w:val="-2"/>
                <w:sz w:val="20"/>
              </w:rPr>
              <w:t>Directors</w:t>
            </w:r>
            <w:r>
              <w:rPr>
                <w:color w:val="131313"/>
                <w:sz w:val="20"/>
              </w:rPr>
              <w:tab/>
              <w:tab/>
            </w:r>
            <w:r>
              <w:rPr>
                <w:color w:val="131313"/>
                <w:spacing w:val="-5"/>
                <w:sz w:val="20"/>
              </w:rPr>
              <w:t>497</w:t>
            </w:r>
            <w:r>
              <w:rPr>
                <w:color w:val="131313"/>
                <w:sz w:val="20"/>
              </w:rPr>
              <w:tab/>
              <w:tab/>
            </w:r>
            <w:r>
              <w:rPr>
                <w:color w:val="131313"/>
                <w:spacing w:val="-5"/>
                <w:sz w:val="20"/>
              </w:rPr>
              <w:t>506</w:t>
            </w:r>
          </w:p>
          <w:p>
            <w:pPr>
              <w:pStyle w:val="TableParagraph"/>
              <w:tabs>
                <w:tab w:val="left" w:leader="none" w:pos="4371"/>
                <w:tab w:val="left" w:leader="none" w:pos="5248"/>
                <w:tab w:val="left" w:leader="none" w:pos="6893"/>
              </w:tabs>
              <w:spacing w:line="225" w:lineRule="exact"/>
              <w:ind w:left="88"/>
              <w:jc w:val="both"/>
              <w:rPr>
                <w:sz w:val="20"/>
              </w:rPr>
            </w:pPr>
            <w:r>
              <w:rPr>
                <w:color w:val="131313"/>
                <w:sz w:val="20"/>
              </w:rPr>
              <w:t>Audit &amp;</w:t>
            </w:r>
            <w:r>
              <w:rPr>
                <w:color w:val="131313"/>
                <w:spacing w:val="-4"/>
                <w:sz w:val="20"/>
              </w:rPr>
              <w:t> </w:t>
            </w:r>
            <w:r>
              <w:rPr>
                <w:color w:val="131313"/>
                <w:spacing w:val="-2"/>
                <w:sz w:val="20"/>
              </w:rPr>
              <w:t>Assurance</w:t>
            </w:r>
            <w:r>
              <w:rPr>
                <w:color w:val="131313"/>
                <w:sz w:val="20"/>
              </w:rPr>
              <w:tab/>
            </w:r>
            <w:r>
              <w:rPr>
                <w:color w:val="131313"/>
                <w:sz w:val="20"/>
                <w:u w:val="single" w:color="000000"/>
              </w:rPr>
              <w:tab/>
            </w:r>
            <w:r>
              <w:rPr>
                <w:color w:val="131313"/>
                <w:spacing w:val="-5"/>
                <w:sz w:val="20"/>
                <w:u w:val="single" w:color="000000"/>
              </w:rPr>
              <w:t>191</w:t>
            </w:r>
            <w:r>
              <w:rPr>
                <w:color w:val="131313"/>
                <w:sz w:val="20"/>
                <w:u w:val="single" w:color="000000"/>
              </w:rPr>
              <w:tab/>
            </w:r>
            <w:r>
              <w:rPr>
                <w:color w:val="131313"/>
                <w:spacing w:val="-5"/>
                <w:sz w:val="20"/>
                <w:u w:val="single" w:color="000000"/>
              </w:rPr>
              <w:t>195</w:t>
            </w:r>
            <w:r>
              <w:rPr>
                <w:color w:val="131313"/>
                <w:spacing w:val="80"/>
                <w:sz w:val="20"/>
                <w:u w:val="single" w:color="000000"/>
              </w:rPr>
              <w:t>   </w:t>
            </w:r>
          </w:p>
        </w:tc>
        <w:tc>
          <w:tcPr>
            <w:tcW w:w="1365" w:type="dxa"/>
            <w:tcBorders>
              <w:left w:val="single" w:color="000000" w:sz="12" w:space="0"/>
            </w:tcBorders>
          </w:tcPr>
          <w:p>
            <w:pPr>
              <w:pStyle w:val="TableParagraph"/>
              <w:spacing w:before="124"/>
              <w:ind w:right="92"/>
              <w:jc w:val="right"/>
              <w:rPr>
                <w:b/>
                <w:sz w:val="19"/>
              </w:rPr>
            </w:pPr>
            <w:r>
              <w:rPr>
                <w:b/>
                <w:color w:val="212121"/>
                <w:spacing w:val="-4"/>
                <w:w w:val="105"/>
                <w:sz w:val="19"/>
              </w:rPr>
              <w:t>(56)</w:t>
            </w:r>
          </w:p>
          <w:p>
            <w:pPr>
              <w:pStyle w:val="TableParagraph"/>
              <w:spacing w:before="12"/>
              <w:ind w:right="93"/>
              <w:jc w:val="right"/>
              <w:rPr>
                <w:b/>
                <w:sz w:val="19"/>
              </w:rPr>
            </w:pPr>
            <w:r>
              <w:rPr>
                <w:b/>
                <w:color w:val="212121"/>
                <w:spacing w:val="-5"/>
                <w:w w:val="105"/>
                <w:sz w:val="19"/>
              </w:rPr>
              <w:t>170</w:t>
            </w:r>
          </w:p>
          <w:p>
            <w:pPr>
              <w:pStyle w:val="TableParagraph"/>
              <w:spacing w:before="13"/>
              <w:ind w:right="106"/>
              <w:jc w:val="right"/>
              <w:rPr>
                <w:b/>
                <w:sz w:val="19"/>
              </w:rPr>
            </w:pPr>
            <w:r>
              <w:rPr>
                <w:b/>
                <w:color w:val="212121"/>
                <w:spacing w:val="-5"/>
                <w:sz w:val="19"/>
              </w:rPr>
              <w:t>14</w:t>
            </w:r>
          </w:p>
          <w:p>
            <w:pPr>
              <w:pStyle w:val="TableParagraph"/>
              <w:spacing w:before="7" w:line="226" w:lineRule="exact"/>
              <w:ind w:right="98"/>
              <w:jc w:val="right"/>
              <w:rPr>
                <w:sz w:val="20"/>
              </w:rPr>
            </w:pPr>
            <w:r>
              <w:rPr>
                <w:color w:val="212121"/>
                <w:spacing w:val="-5"/>
                <w:sz w:val="20"/>
              </w:rPr>
              <w:t>38</w:t>
            </w:r>
          </w:p>
          <w:p>
            <w:pPr>
              <w:pStyle w:val="TableParagraph"/>
              <w:spacing w:line="213" w:lineRule="exact"/>
              <w:ind w:left="907"/>
              <w:rPr>
                <w:rFonts w:ascii="Times New Roman"/>
                <w:b/>
                <w:sz w:val="21"/>
              </w:rPr>
            </w:pPr>
            <w:r>
              <w:rPr>
                <w:rFonts w:ascii="Times New Roman"/>
                <w:b/>
                <w:color w:val="212121"/>
                <w:spacing w:val="-5"/>
                <w:w w:val="105"/>
                <w:sz w:val="21"/>
              </w:rPr>
              <w:t>234</w:t>
            </w:r>
          </w:p>
          <w:p>
            <w:pPr>
              <w:pStyle w:val="TableParagraph"/>
              <w:spacing w:line="217" w:lineRule="exact"/>
              <w:ind w:left="889"/>
              <w:rPr>
                <w:rFonts w:ascii="Times New Roman"/>
                <w:sz w:val="13"/>
              </w:rPr>
            </w:pPr>
            <w:r>
              <w:rPr>
                <w:rFonts w:ascii="Times New Roman"/>
                <w:b/>
                <w:color w:val="212121"/>
                <w:w w:val="90"/>
                <w:sz w:val="21"/>
              </w:rPr>
              <w:t>(34)</w:t>
            </w:r>
            <w:r>
              <w:rPr>
                <w:rFonts w:ascii="Times New Roman"/>
                <w:b/>
                <w:color w:val="212121"/>
                <w:spacing w:val="18"/>
                <w:sz w:val="21"/>
              </w:rPr>
              <w:t> </w:t>
            </w:r>
            <w:r>
              <w:rPr>
                <w:rFonts w:ascii="Times New Roman"/>
                <w:color w:val="BABABA"/>
                <w:spacing w:val="-10"/>
                <w:w w:val="70"/>
                <w:sz w:val="13"/>
              </w:rPr>
              <w:t>I</w:t>
            </w:r>
          </w:p>
          <w:p>
            <w:pPr>
              <w:pStyle w:val="TableParagraph"/>
              <w:spacing w:before="31" w:line="223" w:lineRule="exact"/>
              <w:ind w:right="114"/>
              <w:jc w:val="right"/>
              <w:rPr>
                <w:sz w:val="20"/>
              </w:rPr>
            </w:pPr>
            <w:r>
              <w:rPr>
                <w:color w:val="212121"/>
                <w:spacing w:val="-2"/>
                <w:sz w:val="20"/>
              </w:rPr>
              <w:t>(897)</w:t>
            </w:r>
          </w:p>
          <w:p>
            <w:pPr>
              <w:pStyle w:val="TableParagraph"/>
              <w:spacing w:line="242" w:lineRule="exact"/>
              <w:ind w:right="117"/>
              <w:jc w:val="right"/>
              <w:rPr>
                <w:i/>
                <w:sz w:val="22"/>
              </w:rPr>
            </w:pPr>
            <w:r>
              <w:rPr>
                <w:i/>
                <w:color w:val="212121"/>
                <w:spacing w:val="-5"/>
                <w:sz w:val="22"/>
              </w:rPr>
              <w:t>55</w:t>
            </w:r>
          </w:p>
          <w:p>
            <w:pPr>
              <w:pStyle w:val="TableParagraph"/>
              <w:spacing w:line="226" w:lineRule="exact"/>
              <w:ind w:right="102"/>
              <w:jc w:val="right"/>
              <w:rPr>
                <w:sz w:val="20"/>
              </w:rPr>
            </w:pPr>
            <w:r>
              <w:rPr>
                <w:color w:val="212121"/>
                <w:spacing w:val="-5"/>
                <w:w w:val="105"/>
                <w:sz w:val="20"/>
              </w:rPr>
              <w:t>11</w:t>
            </w:r>
          </w:p>
          <w:p>
            <w:pPr>
              <w:pStyle w:val="TableParagraph"/>
              <w:spacing w:before="1"/>
              <w:ind w:left="991" w:right="108" w:firstLine="20"/>
              <w:jc w:val="right"/>
              <w:rPr>
                <w:sz w:val="20"/>
              </w:rPr>
            </w:pPr>
            <w:r>
              <w:rPr>
                <w:color w:val="131313"/>
                <w:spacing w:val="-6"/>
                <w:sz w:val="20"/>
              </w:rPr>
              <w:t>27 </w:t>
            </w:r>
            <w:r>
              <w:rPr>
                <w:color w:val="212121"/>
                <w:spacing w:val="-5"/>
                <w:w w:val="90"/>
                <w:sz w:val="20"/>
              </w:rPr>
              <w:t>(S)</w:t>
            </w:r>
          </w:p>
          <w:p>
            <w:pPr>
              <w:pStyle w:val="TableParagraph"/>
              <w:spacing w:line="245" w:lineRule="exact"/>
              <w:ind w:right="111"/>
              <w:jc w:val="right"/>
              <w:rPr>
                <w:sz w:val="22"/>
              </w:rPr>
            </w:pPr>
            <w:r>
              <w:rPr>
                <w:color w:val="212121"/>
                <w:spacing w:val="-5"/>
                <w:sz w:val="22"/>
                <w:u w:val="thick" w:color="212121"/>
              </w:rPr>
              <w:t>(4)</w:t>
            </w:r>
          </w:p>
        </w:tc>
      </w:tr>
      <w:tr>
        <w:trPr>
          <w:trHeight w:val="458" w:hRule="atLeast"/>
        </w:trPr>
        <w:tc>
          <w:tcPr>
            <w:tcW w:w="4372" w:type="dxa"/>
          </w:tcPr>
          <w:p>
            <w:pPr>
              <w:pStyle w:val="TableParagraph"/>
              <w:spacing w:before="120"/>
              <w:ind w:left="78"/>
              <w:rPr>
                <w:b/>
                <w:sz w:val="19"/>
              </w:rPr>
            </w:pPr>
            <w:r>
              <w:rPr>
                <w:b/>
                <w:color w:val="131313"/>
                <w:w w:val="105"/>
                <w:sz w:val="19"/>
              </w:rPr>
              <w:t>Net</w:t>
            </w:r>
            <w:r>
              <w:rPr>
                <w:b/>
                <w:color w:val="131313"/>
                <w:spacing w:val="-6"/>
                <w:w w:val="105"/>
                <w:sz w:val="19"/>
              </w:rPr>
              <w:t> </w:t>
            </w:r>
            <w:r>
              <w:rPr>
                <w:b/>
                <w:color w:val="131313"/>
                <w:w w:val="105"/>
                <w:sz w:val="19"/>
              </w:rPr>
              <w:t>Service</w:t>
            </w:r>
            <w:r>
              <w:rPr>
                <w:b/>
                <w:color w:val="131313"/>
                <w:spacing w:val="1"/>
                <w:w w:val="105"/>
                <w:sz w:val="19"/>
              </w:rPr>
              <w:t> </w:t>
            </w:r>
            <w:r>
              <w:rPr>
                <w:b/>
                <w:color w:val="131313"/>
                <w:w w:val="105"/>
                <w:sz w:val="19"/>
              </w:rPr>
              <w:t>Operational</w:t>
            </w:r>
            <w:r>
              <w:rPr>
                <w:b/>
                <w:color w:val="131313"/>
                <w:spacing w:val="5"/>
                <w:w w:val="105"/>
                <w:sz w:val="19"/>
              </w:rPr>
              <w:t> </w:t>
            </w:r>
            <w:r>
              <w:rPr>
                <w:b/>
                <w:color w:val="131313"/>
                <w:spacing w:val="-2"/>
                <w:w w:val="105"/>
                <w:sz w:val="19"/>
              </w:rPr>
              <w:t>Expenditure</w:t>
            </w:r>
          </w:p>
        </w:tc>
        <w:tc>
          <w:tcPr>
            <w:tcW w:w="1709" w:type="dxa"/>
          </w:tcPr>
          <w:p>
            <w:pPr>
              <w:pStyle w:val="TableParagraph"/>
              <w:spacing w:before="120"/>
              <w:ind w:right="500"/>
              <w:jc w:val="right"/>
              <w:rPr>
                <w:b/>
                <w:sz w:val="19"/>
              </w:rPr>
            </w:pPr>
            <w:r>
              <w:rPr>
                <w:b/>
                <w:color w:val="131313"/>
                <w:spacing w:val="-2"/>
                <w:w w:val="105"/>
                <w:sz w:val="19"/>
              </w:rPr>
              <w:t>11,737</w:t>
            </w:r>
          </w:p>
        </w:tc>
        <w:tc>
          <w:tcPr>
            <w:tcW w:w="1690" w:type="dxa"/>
            <w:tcBorders>
              <w:right w:val="single" w:color="000000" w:sz="12" w:space="0"/>
            </w:tcBorders>
          </w:tcPr>
          <w:p>
            <w:pPr>
              <w:pStyle w:val="TableParagraph"/>
              <w:spacing w:before="120"/>
              <w:ind w:right="532"/>
              <w:jc w:val="right"/>
              <w:rPr>
                <w:b/>
                <w:sz w:val="19"/>
              </w:rPr>
            </w:pPr>
            <w:r>
              <w:rPr>
                <w:b/>
                <w:color w:val="131313"/>
                <w:spacing w:val="-2"/>
                <w:w w:val="105"/>
                <w:sz w:val="19"/>
              </w:rPr>
              <w:t>12,188</w:t>
            </w:r>
          </w:p>
        </w:tc>
        <w:tc>
          <w:tcPr>
            <w:tcW w:w="1365" w:type="dxa"/>
            <w:tcBorders>
              <w:left w:val="single" w:color="000000" w:sz="12" w:space="0"/>
            </w:tcBorders>
          </w:tcPr>
          <w:p>
            <w:pPr>
              <w:pStyle w:val="TableParagraph"/>
              <w:spacing w:before="115"/>
              <w:ind w:right="113"/>
              <w:jc w:val="right"/>
              <w:rPr>
                <w:b/>
                <w:sz w:val="19"/>
              </w:rPr>
            </w:pPr>
            <w:r>
              <w:rPr>
                <w:b/>
                <w:color w:val="131313"/>
                <w:spacing w:val="-4"/>
                <w:w w:val="105"/>
                <w:sz w:val="19"/>
              </w:rPr>
              <w:t>(451)</w:t>
            </w:r>
          </w:p>
        </w:tc>
      </w:tr>
      <w:tr>
        <w:trPr>
          <w:trHeight w:val="570" w:hRule="atLeast"/>
        </w:trPr>
        <w:tc>
          <w:tcPr>
            <w:tcW w:w="4372" w:type="dxa"/>
          </w:tcPr>
          <w:p>
            <w:pPr>
              <w:pStyle w:val="TableParagraph"/>
              <w:spacing w:before="90" w:line="230" w:lineRule="atLeast"/>
              <w:ind w:left="73" w:right="330" w:hanging="1"/>
              <w:rPr>
                <w:sz w:val="20"/>
              </w:rPr>
            </w:pPr>
            <w:r>
              <w:rPr>
                <w:color w:val="131313"/>
                <w:sz w:val="20"/>
              </w:rPr>
              <w:t>General</w:t>
            </w:r>
            <w:r>
              <w:rPr>
                <w:color w:val="131313"/>
                <w:spacing w:val="-10"/>
                <w:sz w:val="20"/>
              </w:rPr>
              <w:t> </w:t>
            </w:r>
            <w:r>
              <w:rPr>
                <w:color w:val="131313"/>
                <w:sz w:val="20"/>
              </w:rPr>
              <w:t>Expenses, Audit</w:t>
            </w:r>
            <w:r>
              <w:rPr>
                <w:color w:val="131313"/>
                <w:spacing w:val="-14"/>
                <w:sz w:val="20"/>
              </w:rPr>
              <w:t> </w:t>
            </w:r>
            <w:r>
              <w:rPr>
                <w:color w:val="131313"/>
                <w:sz w:val="20"/>
              </w:rPr>
              <w:t>Fees,</w:t>
            </w:r>
            <w:r>
              <w:rPr>
                <w:color w:val="131313"/>
                <w:spacing w:val="-8"/>
                <w:sz w:val="20"/>
              </w:rPr>
              <w:t> </w:t>
            </w:r>
            <w:r>
              <w:rPr>
                <w:color w:val="131313"/>
                <w:sz w:val="20"/>
              </w:rPr>
              <w:t>Bank </w:t>
            </w:r>
            <w:r>
              <w:rPr>
                <w:color w:val="131313"/>
                <w:spacing w:val="-2"/>
                <w:sz w:val="20"/>
              </w:rPr>
              <w:t>Charges</w:t>
            </w:r>
          </w:p>
        </w:tc>
        <w:tc>
          <w:tcPr>
            <w:tcW w:w="1709" w:type="dxa"/>
          </w:tcPr>
          <w:p>
            <w:pPr>
              <w:pStyle w:val="TableParagraph"/>
              <w:spacing w:before="114"/>
              <w:rPr>
                <w:b/>
                <w:sz w:val="20"/>
              </w:rPr>
            </w:pPr>
          </w:p>
          <w:p>
            <w:pPr>
              <w:pStyle w:val="TableParagraph"/>
              <w:spacing w:line="206" w:lineRule="exact"/>
              <w:ind w:right="500"/>
              <w:jc w:val="right"/>
              <w:rPr>
                <w:sz w:val="20"/>
              </w:rPr>
            </w:pPr>
            <w:r>
              <w:rPr>
                <w:color w:val="131313"/>
                <w:spacing w:val="-5"/>
                <w:sz w:val="20"/>
              </w:rPr>
              <w:t>284</w:t>
            </w:r>
          </w:p>
        </w:tc>
        <w:tc>
          <w:tcPr>
            <w:tcW w:w="1690" w:type="dxa"/>
            <w:tcBorders>
              <w:right w:val="single" w:color="000000" w:sz="12" w:space="0"/>
            </w:tcBorders>
          </w:tcPr>
          <w:p>
            <w:pPr>
              <w:pStyle w:val="TableParagraph"/>
              <w:spacing w:before="114"/>
              <w:rPr>
                <w:b/>
                <w:sz w:val="20"/>
              </w:rPr>
            </w:pPr>
          </w:p>
          <w:p>
            <w:pPr>
              <w:pStyle w:val="TableParagraph"/>
              <w:spacing w:line="206" w:lineRule="exact"/>
              <w:ind w:right="532"/>
              <w:jc w:val="right"/>
              <w:rPr>
                <w:sz w:val="20"/>
              </w:rPr>
            </w:pPr>
            <w:r>
              <w:rPr>
                <w:color w:val="131313"/>
                <w:spacing w:val="-5"/>
                <w:sz w:val="20"/>
              </w:rPr>
              <w:t>474</w:t>
            </w:r>
          </w:p>
        </w:tc>
        <w:tc>
          <w:tcPr>
            <w:tcW w:w="1365" w:type="dxa"/>
            <w:tcBorders>
              <w:left w:val="single" w:color="000000" w:sz="12" w:space="0"/>
            </w:tcBorders>
          </w:tcPr>
          <w:p>
            <w:pPr>
              <w:pStyle w:val="TableParagraph"/>
              <w:spacing w:before="109"/>
              <w:rPr>
                <w:b/>
                <w:sz w:val="20"/>
              </w:rPr>
            </w:pPr>
          </w:p>
          <w:p>
            <w:pPr>
              <w:pStyle w:val="TableParagraph"/>
              <w:spacing w:line="211" w:lineRule="exact"/>
              <w:ind w:right="129"/>
              <w:jc w:val="right"/>
              <w:rPr>
                <w:sz w:val="20"/>
              </w:rPr>
            </w:pPr>
            <w:r>
              <w:rPr>
                <w:color w:val="212121"/>
                <w:spacing w:val="-2"/>
                <w:sz w:val="20"/>
              </w:rPr>
              <w:t>(190)</w:t>
            </w:r>
          </w:p>
        </w:tc>
      </w:tr>
      <w:tr>
        <w:trPr>
          <w:trHeight w:val="233" w:hRule="atLeast"/>
        </w:trPr>
        <w:tc>
          <w:tcPr>
            <w:tcW w:w="4372" w:type="dxa"/>
          </w:tcPr>
          <w:p>
            <w:pPr>
              <w:pStyle w:val="TableParagraph"/>
              <w:spacing w:before="4" w:line="209" w:lineRule="exact"/>
              <w:ind w:left="68"/>
              <w:rPr>
                <w:sz w:val="20"/>
              </w:rPr>
            </w:pPr>
            <w:r>
              <w:rPr>
                <w:color w:val="131313"/>
                <w:sz w:val="20"/>
              </w:rPr>
              <w:t>Apprenticeship </w:t>
            </w:r>
            <w:r>
              <w:rPr>
                <w:color w:val="131313"/>
                <w:spacing w:val="-4"/>
                <w:sz w:val="20"/>
              </w:rPr>
              <w:t>Levy</w:t>
            </w:r>
          </w:p>
        </w:tc>
        <w:tc>
          <w:tcPr>
            <w:tcW w:w="1709" w:type="dxa"/>
          </w:tcPr>
          <w:p>
            <w:pPr>
              <w:pStyle w:val="TableParagraph"/>
              <w:spacing w:before="4" w:line="209" w:lineRule="exact"/>
              <w:ind w:right="498"/>
              <w:jc w:val="right"/>
              <w:rPr>
                <w:sz w:val="20"/>
              </w:rPr>
            </w:pPr>
            <w:r>
              <w:rPr>
                <w:color w:val="131313"/>
                <w:spacing w:val="-5"/>
                <w:w w:val="105"/>
                <w:sz w:val="20"/>
              </w:rPr>
              <w:t>31</w:t>
            </w:r>
          </w:p>
        </w:tc>
        <w:tc>
          <w:tcPr>
            <w:tcW w:w="1690" w:type="dxa"/>
            <w:tcBorders>
              <w:right w:val="single" w:color="000000" w:sz="12" w:space="0"/>
            </w:tcBorders>
          </w:tcPr>
          <w:p>
            <w:pPr>
              <w:pStyle w:val="TableParagraph"/>
              <w:spacing w:before="4" w:line="209" w:lineRule="exact"/>
              <w:ind w:right="536"/>
              <w:jc w:val="right"/>
              <w:rPr>
                <w:sz w:val="20"/>
              </w:rPr>
            </w:pPr>
            <w:r>
              <w:rPr>
                <w:color w:val="131313"/>
                <w:spacing w:val="-5"/>
                <w:sz w:val="20"/>
              </w:rPr>
              <w:t>38</w:t>
            </w:r>
          </w:p>
        </w:tc>
        <w:tc>
          <w:tcPr>
            <w:tcW w:w="1365" w:type="dxa"/>
            <w:tcBorders>
              <w:left w:val="single" w:color="000000" w:sz="12" w:space="0"/>
            </w:tcBorders>
          </w:tcPr>
          <w:p>
            <w:pPr>
              <w:pStyle w:val="TableParagraph"/>
              <w:spacing w:line="213" w:lineRule="exact"/>
              <w:ind w:right="127"/>
              <w:jc w:val="right"/>
              <w:rPr>
                <w:sz w:val="20"/>
              </w:rPr>
            </w:pPr>
            <w:r>
              <w:rPr>
                <w:color w:val="212121"/>
                <w:spacing w:val="-5"/>
                <w:sz w:val="20"/>
              </w:rPr>
              <w:t>(7)</w:t>
            </w:r>
          </w:p>
        </w:tc>
      </w:tr>
      <w:tr>
        <w:trPr>
          <w:trHeight w:val="233" w:hRule="atLeast"/>
        </w:trPr>
        <w:tc>
          <w:tcPr>
            <w:tcW w:w="4372" w:type="dxa"/>
          </w:tcPr>
          <w:p>
            <w:pPr>
              <w:pStyle w:val="TableParagraph"/>
              <w:spacing w:before="2" w:line="211" w:lineRule="exact"/>
              <w:ind w:left="63"/>
              <w:rPr>
                <w:sz w:val="20"/>
              </w:rPr>
            </w:pPr>
            <w:r>
              <w:rPr>
                <w:color w:val="131313"/>
                <w:sz w:val="20"/>
              </w:rPr>
              <w:t>Central</w:t>
            </w:r>
            <w:r>
              <w:rPr>
                <w:color w:val="131313"/>
                <w:spacing w:val="-6"/>
                <w:sz w:val="20"/>
              </w:rPr>
              <w:t> </w:t>
            </w:r>
            <w:r>
              <w:rPr>
                <w:color w:val="131313"/>
                <w:spacing w:val="-2"/>
                <w:sz w:val="20"/>
              </w:rPr>
              <w:t>Contingency</w:t>
            </w:r>
          </w:p>
        </w:tc>
        <w:tc>
          <w:tcPr>
            <w:tcW w:w="1709" w:type="dxa"/>
          </w:tcPr>
          <w:p>
            <w:pPr>
              <w:pStyle w:val="TableParagraph"/>
              <w:spacing w:before="2" w:line="211" w:lineRule="exact"/>
              <w:ind w:right="508"/>
              <w:jc w:val="right"/>
              <w:rPr>
                <w:sz w:val="20"/>
              </w:rPr>
            </w:pPr>
            <w:r>
              <w:rPr>
                <w:color w:val="131313"/>
                <w:spacing w:val="-5"/>
                <w:sz w:val="20"/>
              </w:rPr>
              <w:t>155</w:t>
            </w:r>
          </w:p>
        </w:tc>
        <w:tc>
          <w:tcPr>
            <w:tcW w:w="1690" w:type="dxa"/>
            <w:tcBorders>
              <w:right w:val="single" w:color="000000" w:sz="12" w:space="0"/>
            </w:tcBorders>
          </w:tcPr>
          <w:p>
            <w:pPr>
              <w:pStyle w:val="TableParagraph"/>
              <w:spacing w:before="2" w:line="211" w:lineRule="exact"/>
              <w:ind w:right="538"/>
              <w:jc w:val="right"/>
              <w:rPr>
                <w:sz w:val="20"/>
              </w:rPr>
            </w:pPr>
            <w:r>
              <w:rPr>
                <w:color w:val="131313"/>
                <w:spacing w:val="-5"/>
                <w:sz w:val="20"/>
              </w:rPr>
              <w:t>85</w:t>
            </w:r>
          </w:p>
        </w:tc>
        <w:tc>
          <w:tcPr>
            <w:tcW w:w="1365" w:type="dxa"/>
            <w:tcBorders>
              <w:left w:val="single" w:color="000000" w:sz="12" w:space="0"/>
            </w:tcBorders>
          </w:tcPr>
          <w:p>
            <w:pPr>
              <w:pStyle w:val="TableParagraph"/>
              <w:spacing w:line="213" w:lineRule="exact"/>
              <w:ind w:right="117"/>
              <w:jc w:val="right"/>
              <w:rPr>
                <w:sz w:val="20"/>
              </w:rPr>
            </w:pPr>
            <w:r>
              <w:rPr>
                <w:color w:val="212121"/>
                <w:spacing w:val="-5"/>
                <w:w w:val="105"/>
                <w:sz w:val="20"/>
              </w:rPr>
              <w:t>70</w:t>
            </w:r>
          </w:p>
        </w:tc>
      </w:tr>
      <w:tr>
        <w:trPr>
          <w:trHeight w:val="230" w:hRule="atLeast"/>
        </w:trPr>
        <w:tc>
          <w:tcPr>
            <w:tcW w:w="4372" w:type="dxa"/>
          </w:tcPr>
          <w:p>
            <w:pPr>
              <w:pStyle w:val="TableParagraph"/>
              <w:spacing w:line="211" w:lineRule="exact"/>
              <w:ind w:left="58"/>
              <w:rPr>
                <w:sz w:val="20"/>
              </w:rPr>
            </w:pPr>
            <w:r>
              <w:rPr>
                <w:color w:val="131313"/>
                <w:sz w:val="20"/>
              </w:rPr>
              <w:t>Minimum</w:t>
            </w:r>
            <w:r>
              <w:rPr>
                <w:color w:val="131313"/>
                <w:spacing w:val="11"/>
                <w:sz w:val="20"/>
              </w:rPr>
              <w:t> </w:t>
            </w:r>
            <w:r>
              <w:rPr>
                <w:color w:val="131313"/>
                <w:sz w:val="20"/>
              </w:rPr>
              <w:t>Revenue</w:t>
            </w:r>
            <w:r>
              <w:rPr>
                <w:color w:val="131313"/>
                <w:spacing w:val="1"/>
                <w:sz w:val="20"/>
              </w:rPr>
              <w:t> </w:t>
            </w:r>
            <w:r>
              <w:rPr>
                <w:color w:val="131313"/>
                <w:spacing w:val="-2"/>
                <w:sz w:val="20"/>
              </w:rPr>
              <w:t>Provision</w:t>
            </w:r>
          </w:p>
        </w:tc>
        <w:tc>
          <w:tcPr>
            <w:tcW w:w="1709" w:type="dxa"/>
          </w:tcPr>
          <w:p>
            <w:pPr>
              <w:pStyle w:val="TableParagraph"/>
              <w:spacing w:line="211" w:lineRule="exact"/>
              <w:ind w:right="510"/>
              <w:jc w:val="right"/>
              <w:rPr>
                <w:sz w:val="20"/>
              </w:rPr>
            </w:pPr>
            <w:r>
              <w:rPr>
                <w:color w:val="131313"/>
                <w:spacing w:val="-5"/>
                <w:sz w:val="20"/>
              </w:rPr>
              <w:t>482</w:t>
            </w:r>
          </w:p>
        </w:tc>
        <w:tc>
          <w:tcPr>
            <w:tcW w:w="1690" w:type="dxa"/>
            <w:tcBorders>
              <w:right w:val="single" w:color="000000" w:sz="12" w:space="0"/>
            </w:tcBorders>
          </w:tcPr>
          <w:p>
            <w:pPr>
              <w:pStyle w:val="TableParagraph"/>
              <w:spacing w:line="211" w:lineRule="exact"/>
              <w:ind w:right="541"/>
              <w:jc w:val="right"/>
              <w:rPr>
                <w:sz w:val="20"/>
              </w:rPr>
            </w:pPr>
            <w:r>
              <w:rPr>
                <w:color w:val="131313"/>
                <w:spacing w:val="-5"/>
                <w:sz w:val="20"/>
              </w:rPr>
              <w:t>482</w:t>
            </w:r>
          </w:p>
        </w:tc>
        <w:tc>
          <w:tcPr>
            <w:tcW w:w="1365" w:type="dxa"/>
            <w:tcBorders>
              <w:left w:val="single" w:color="000000" w:sz="12" w:space="0"/>
            </w:tcBorders>
          </w:tcPr>
          <w:p>
            <w:pPr>
              <w:pStyle w:val="TableParagraph"/>
              <w:rPr>
                <w:rFonts w:ascii="Times New Roman"/>
                <w:sz w:val="16"/>
              </w:rPr>
            </w:pPr>
          </w:p>
        </w:tc>
      </w:tr>
      <w:tr>
        <w:trPr>
          <w:trHeight w:val="434" w:hRule="atLeast"/>
        </w:trPr>
        <w:tc>
          <w:tcPr>
            <w:tcW w:w="4372" w:type="dxa"/>
          </w:tcPr>
          <w:p>
            <w:pPr>
              <w:pStyle w:val="TableParagraph"/>
              <w:spacing w:line="230" w:lineRule="exact"/>
              <w:ind w:left="54"/>
              <w:rPr>
                <w:sz w:val="20"/>
              </w:rPr>
            </w:pPr>
            <w:r>
              <w:rPr>
                <w:color w:val="131313"/>
                <w:sz w:val="20"/>
              </w:rPr>
              <w:t>Investment</w:t>
            </w:r>
            <w:r>
              <w:rPr>
                <w:color w:val="131313"/>
                <w:spacing w:val="5"/>
                <w:sz w:val="20"/>
              </w:rPr>
              <w:t> </w:t>
            </w:r>
            <w:r>
              <w:rPr>
                <w:color w:val="131313"/>
                <w:spacing w:val="-2"/>
                <w:sz w:val="20"/>
              </w:rPr>
              <w:t>Interest</w:t>
            </w:r>
          </w:p>
        </w:tc>
        <w:tc>
          <w:tcPr>
            <w:tcW w:w="1709" w:type="dxa"/>
            <w:tcBorders>
              <w:bottom w:val="single" w:color="000000" w:sz="6" w:space="0"/>
            </w:tcBorders>
          </w:tcPr>
          <w:p>
            <w:pPr>
              <w:pStyle w:val="TableParagraph"/>
              <w:spacing w:line="230" w:lineRule="exact"/>
              <w:ind w:right="521"/>
              <w:jc w:val="right"/>
              <w:rPr>
                <w:sz w:val="20"/>
              </w:rPr>
            </w:pPr>
            <w:r>
              <w:rPr>
                <w:color w:val="131313"/>
                <w:spacing w:val="-2"/>
                <w:sz w:val="20"/>
              </w:rPr>
              <w:t>(400)</w:t>
            </w:r>
          </w:p>
        </w:tc>
        <w:tc>
          <w:tcPr>
            <w:tcW w:w="1690" w:type="dxa"/>
            <w:tcBorders>
              <w:bottom w:val="single" w:color="000000" w:sz="6" w:space="0"/>
              <w:right w:val="single" w:color="000000" w:sz="12" w:space="0"/>
            </w:tcBorders>
          </w:tcPr>
          <w:p>
            <w:pPr>
              <w:pStyle w:val="TableParagraph"/>
              <w:spacing w:line="225" w:lineRule="exact"/>
              <w:ind w:right="557"/>
              <w:jc w:val="right"/>
              <w:rPr>
                <w:sz w:val="20"/>
              </w:rPr>
            </w:pPr>
            <w:r>
              <w:rPr>
                <w:color w:val="131313"/>
                <w:spacing w:val="-2"/>
                <w:sz w:val="20"/>
              </w:rPr>
              <w:t>(1,142)</w:t>
            </w:r>
          </w:p>
        </w:tc>
        <w:tc>
          <w:tcPr>
            <w:tcW w:w="1365" w:type="dxa"/>
            <w:tcBorders>
              <w:left w:val="single" w:color="000000" w:sz="12" w:space="0"/>
              <w:bottom w:val="single" w:color="000000" w:sz="6" w:space="0"/>
            </w:tcBorders>
          </w:tcPr>
          <w:p>
            <w:pPr>
              <w:pStyle w:val="TableParagraph"/>
              <w:spacing w:line="225" w:lineRule="exact"/>
              <w:ind w:right="126"/>
              <w:jc w:val="right"/>
              <w:rPr>
                <w:sz w:val="20"/>
              </w:rPr>
            </w:pPr>
            <w:r>
              <w:rPr>
                <w:color w:val="212121"/>
                <w:spacing w:val="-5"/>
                <w:sz w:val="20"/>
              </w:rPr>
              <w:t>742</w:t>
            </w:r>
          </w:p>
        </w:tc>
      </w:tr>
      <w:tr>
        <w:trPr>
          <w:trHeight w:val="474" w:hRule="atLeast"/>
        </w:trPr>
        <w:tc>
          <w:tcPr>
            <w:tcW w:w="4372" w:type="dxa"/>
          </w:tcPr>
          <w:p>
            <w:pPr>
              <w:pStyle w:val="TableParagraph"/>
              <w:spacing w:before="37"/>
              <w:rPr>
                <w:b/>
                <w:sz w:val="19"/>
              </w:rPr>
            </w:pPr>
          </w:p>
          <w:p>
            <w:pPr>
              <w:pStyle w:val="TableParagraph"/>
              <w:spacing w:before="1" w:line="199" w:lineRule="exact"/>
              <w:ind w:left="50"/>
              <w:rPr>
                <w:b/>
                <w:sz w:val="19"/>
              </w:rPr>
            </w:pPr>
            <w:r>
              <w:rPr>
                <w:b/>
                <w:color w:val="131313"/>
                <w:w w:val="105"/>
                <w:sz w:val="19"/>
              </w:rPr>
              <w:t>Total</w:t>
            </w:r>
            <w:r>
              <w:rPr>
                <w:b/>
                <w:color w:val="131313"/>
                <w:spacing w:val="-4"/>
                <w:w w:val="105"/>
                <w:sz w:val="19"/>
              </w:rPr>
              <w:t> </w:t>
            </w:r>
            <w:r>
              <w:rPr>
                <w:b/>
                <w:color w:val="131313"/>
                <w:w w:val="105"/>
                <w:sz w:val="19"/>
              </w:rPr>
              <w:t>Service</w:t>
            </w:r>
            <w:r>
              <w:rPr>
                <w:b/>
                <w:color w:val="131313"/>
                <w:spacing w:val="6"/>
                <w:w w:val="105"/>
                <w:sz w:val="19"/>
              </w:rPr>
              <w:t> </w:t>
            </w:r>
            <w:r>
              <w:rPr>
                <w:b/>
                <w:color w:val="131313"/>
                <w:spacing w:val="-2"/>
                <w:w w:val="105"/>
                <w:sz w:val="19"/>
              </w:rPr>
              <w:t>Costs</w:t>
            </w:r>
          </w:p>
        </w:tc>
        <w:tc>
          <w:tcPr>
            <w:tcW w:w="1709" w:type="dxa"/>
            <w:tcBorders>
              <w:top w:val="single" w:color="000000" w:sz="6" w:space="0"/>
            </w:tcBorders>
          </w:tcPr>
          <w:p>
            <w:pPr>
              <w:pStyle w:val="TableParagraph"/>
              <w:spacing w:before="37"/>
              <w:rPr>
                <w:b/>
                <w:sz w:val="19"/>
              </w:rPr>
            </w:pPr>
          </w:p>
          <w:p>
            <w:pPr>
              <w:pStyle w:val="TableParagraph"/>
              <w:spacing w:before="1" w:line="199" w:lineRule="exact"/>
              <w:ind w:right="519"/>
              <w:jc w:val="right"/>
              <w:rPr>
                <w:b/>
                <w:sz w:val="19"/>
              </w:rPr>
            </w:pPr>
            <w:r>
              <w:rPr>
                <w:b/>
                <w:color w:val="131313"/>
                <w:spacing w:val="-2"/>
                <w:w w:val="105"/>
                <w:sz w:val="19"/>
              </w:rPr>
              <w:t>12,289</w:t>
            </w:r>
          </w:p>
        </w:tc>
        <w:tc>
          <w:tcPr>
            <w:tcW w:w="1690" w:type="dxa"/>
            <w:tcBorders>
              <w:top w:val="single" w:color="000000" w:sz="6" w:space="0"/>
            </w:tcBorders>
          </w:tcPr>
          <w:p>
            <w:pPr>
              <w:pStyle w:val="TableParagraph"/>
              <w:spacing w:before="37"/>
              <w:rPr>
                <w:b/>
                <w:sz w:val="19"/>
              </w:rPr>
            </w:pPr>
          </w:p>
          <w:p>
            <w:pPr>
              <w:pStyle w:val="TableParagraph"/>
              <w:spacing w:before="1" w:line="199" w:lineRule="exact"/>
              <w:ind w:right="571"/>
              <w:jc w:val="right"/>
              <w:rPr>
                <w:b/>
                <w:sz w:val="19"/>
              </w:rPr>
            </w:pPr>
            <w:r>
              <w:rPr>
                <w:b/>
                <w:color w:val="131313"/>
                <w:spacing w:val="-2"/>
                <w:w w:val="105"/>
                <w:sz w:val="19"/>
              </w:rPr>
              <w:t>12,125</w:t>
            </w:r>
          </w:p>
        </w:tc>
        <w:tc>
          <w:tcPr>
            <w:tcW w:w="1365" w:type="dxa"/>
            <w:tcBorders>
              <w:top w:val="single" w:color="000000" w:sz="6" w:space="0"/>
            </w:tcBorders>
          </w:tcPr>
          <w:p>
            <w:pPr>
              <w:pStyle w:val="TableParagraph"/>
              <w:spacing w:before="33"/>
              <w:rPr>
                <w:b/>
                <w:sz w:val="19"/>
              </w:rPr>
            </w:pPr>
          </w:p>
          <w:p>
            <w:pPr>
              <w:pStyle w:val="TableParagraph"/>
              <w:spacing w:line="203" w:lineRule="exact"/>
              <w:ind w:right="133"/>
              <w:jc w:val="right"/>
              <w:rPr>
                <w:b/>
                <w:sz w:val="19"/>
              </w:rPr>
            </w:pPr>
            <w:r>
              <w:rPr>
                <w:b/>
                <w:color w:val="212121"/>
                <w:spacing w:val="-5"/>
                <w:w w:val="105"/>
                <w:sz w:val="19"/>
              </w:rPr>
              <w:t>164</w:t>
            </w:r>
          </w:p>
        </w:tc>
      </w:tr>
    </w:tbl>
    <w:p>
      <w:pPr>
        <w:pStyle w:val="BodyText"/>
        <w:spacing w:before="1"/>
        <w:rPr>
          <w:b/>
          <w:sz w:val="18"/>
        </w:rPr>
      </w:pPr>
      <w:r>
        <w:rPr/>
        <ve:AlternateContent>
          <ve:Choice Requires="wps">
            <w:drawing>
              <wp:anchor distT="0" distB="0" distL="0" distR="0" simplePos="0" relativeHeight="487601664" behindDoc="1" locked="0" layoutInCell="1" allowOverlap="1">
                <wp:simplePos x="0" y="0"/>
                <wp:positionH relativeFrom="page">
                  <wp:posOffset>3834463</wp:posOffset>
                </wp:positionH>
                <wp:positionV relativeFrom="paragraph">
                  <wp:posOffset>147523</wp:posOffset>
                </wp:positionV>
                <wp:extent cx="3053080" cy="1270"/>
                <wp:effectExtent l="0" t="0" r="0" b="0"/>
                <wp:wrapTopAndBottom/>
                <wp:docPr id="73" name="Graphic 73"/>
                <wp:cNvGraphicFramePr>
                  <a:graphicFrameLocks/>
                </wp:cNvGraphicFramePr>
                <a:graphic>
                  <a:graphicData uri="http://schemas.microsoft.com/office/word/2010/wordprocessingShape">
                    <wps:wsp>
                      <wps:cNvPr id="73" name="Graphic 73"/>
                      <wps:cNvSpPr/>
                      <wps:spPr>
                        <a:xfrm>
                          <a:off x="0" y="0"/>
                          <a:ext cx="3053080" cy="1270"/>
                        </a:xfrm>
                        <a:custGeom>
                          <a:avLst/>
                          <a:gdLst/>
                          <a:ahLst/>
                          <a:cxnLst/>
                          <a:rect l="l" t="t" r="r" b="b"/>
                          <a:pathLst>
                            <a:path w="3053080" h="0">
                              <a:moveTo>
                                <a:pt x="0" y="0"/>
                              </a:moveTo>
                              <a:lnTo>
                                <a:pt x="3052916"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39" style="position:absolute;margin-left:301.926239pt;margin-top:11.615988pt;width:240.4pt;height:.1pt;mso-position-horizontal-relative:page;mso-position-vertical-relative:paragraph;z-index:-15714816;mso-wrap-distance-left:0;mso-wrap-distance-right:0" coordsize="4808,0" coordorigin="6039,232" filled="false" stroked="true" strokecolor="#000000" strokeweight=".720821pt" path="m6039,232l10846,232e">
                <v:path arrowok="t"/>
                <v:stroke dashstyle="solid"/>
                <w10:wrap type="topAndBottom"/>
              </v:shape>
            </w:pict>
          </ve:Fallback>
        </ve:AlternateContent>
      </w:r>
      <w:r>
        <w:rPr/>
        <ve:AlternateContent>
          <ve:Choice Requires="wps">
            <w:drawing>
              <wp:anchor distT="0" distB="0" distL="0" distR="0" simplePos="0" relativeHeight="487602176" behindDoc="1" locked="0" layoutInCell="1" allowOverlap="1">
                <wp:simplePos x="0" y="0"/>
                <wp:positionH relativeFrom="page">
                  <wp:posOffset>6020351</wp:posOffset>
                </wp:positionH>
                <wp:positionV relativeFrom="paragraph">
                  <wp:posOffset>437202</wp:posOffset>
                </wp:positionV>
                <wp:extent cx="794385" cy="1270"/>
                <wp:effectExtent l="0" t="0" r="0" b="0"/>
                <wp:wrapTopAndBottom/>
                <wp:docPr id="74" name="Graphic 74"/>
                <wp:cNvGraphicFramePr>
                  <a:graphicFrameLocks/>
                </wp:cNvGraphicFramePr>
                <a:graphic>
                  <a:graphicData uri="http://schemas.microsoft.com/office/word/2010/wordprocessingShape">
                    <wps:wsp>
                      <wps:cNvPr id="74" name="Graphic 74"/>
                      <wps:cNvSpPr/>
                      <wps:spPr>
                        <a:xfrm>
                          <a:off x="0" y="0"/>
                          <a:ext cx="794385" cy="1270"/>
                        </a:xfrm>
                        <a:custGeom>
                          <a:avLst/>
                          <a:gdLst/>
                          <a:ahLst/>
                          <a:cxnLst/>
                          <a:rect l="l" t="t" r="r" b="b"/>
                          <a:pathLst>
                            <a:path w="794385" h="0">
                              <a:moveTo>
                                <a:pt x="0" y="0"/>
                              </a:moveTo>
                              <a:lnTo>
                                <a:pt x="793758"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0" style="position:absolute;margin-left:474.043396pt;margin-top:34.425423pt;width:62.55pt;height:.1pt;mso-position-horizontal-relative:page;mso-position-vertical-relative:paragraph;z-index:-15714304;mso-wrap-distance-left:0;mso-wrap-distance-right:0" coordsize="1251,0" coordorigin="9481,689" filled="false" stroked="true" strokecolor="#000000" strokeweight=".720821pt" path="m9481,689l10731,689e">
                <v:path arrowok="t"/>
                <v:stroke dashstyle="solid"/>
                <w10:wrap type="topAndBottom"/>
              </v:shape>
            </w:pict>
          </ve:Fallback>
        </ve:AlternateContent>
      </w:r>
    </w:p>
    <w:p>
      <w:pPr>
        <w:pStyle w:val="BodyText"/>
        <w:spacing w:before="195"/>
        <w:rPr>
          <w:b/>
          <w:sz w:val="20"/>
        </w:rPr>
      </w:pPr>
    </w:p>
    <w:p>
      <w:pPr>
        <w:spacing w:after="0"/>
        <w:rPr>
          <w:sz w:val="20"/>
        </w:rPr>
        <w:sectPr>
          <w:headerReference w:type="even" r:id="rId50"/>
          <w:pgSz w:w="11910" w:h="16830"/>
          <w:pgMar w:top="520" w:right="920" w:bottom="520" w:left="840" w:header="0" w:footer="0"/>
        </w:sectPr>
      </w:pPr>
    </w:p>
    <w:p>
      <w:pPr>
        <w:pStyle w:val="ListParagraph"/>
        <w:numPr>
          <w:ilvl w:val="1"/>
          <w:numId w:val="4"/>
        </w:numPr>
        <w:tabs>
          <w:tab w:val="left" w:leader="none" w:pos="577"/>
          <w:tab w:val="left" w:leader="none" w:pos="584"/>
        </w:tabs>
        <w:spacing w:before="201" w:after="0" w:line="271" w:lineRule="auto"/>
        <w:ind w:left="584" w:right="790" w:hanging="429"/>
        <w:jc w:val="left"/>
        <w:rPr>
          <w:b/>
          <w:color w:val="0F0F0F"/>
          <w:sz w:val="23"/>
        </w:rPr>
      </w:pPr>
      <w:r>
        <w:rPr>
          <w:b/>
          <w:color w:val="0F0F0F"/>
          <w:w w:val="105"/>
          <w:sz w:val="23"/>
        </w:rPr>
        <w:t>Reconciliation</w:t>
      </w:r>
      <w:r>
        <w:rPr>
          <w:b/>
          <w:color w:val="0F0F0F"/>
          <w:spacing w:val="-17"/>
          <w:w w:val="105"/>
          <w:sz w:val="23"/>
        </w:rPr>
        <w:t> </w:t>
      </w:r>
      <w:r>
        <w:rPr>
          <w:b/>
          <w:color w:val="0F0F0F"/>
          <w:w w:val="105"/>
          <w:sz w:val="23"/>
        </w:rPr>
        <w:t>from</w:t>
      </w:r>
      <w:r>
        <w:rPr>
          <w:b/>
          <w:color w:val="0F0F0F"/>
          <w:spacing w:val="-15"/>
          <w:w w:val="105"/>
          <w:sz w:val="23"/>
        </w:rPr>
        <w:t> </w:t>
      </w:r>
      <w:r>
        <w:rPr>
          <w:b/>
          <w:color w:val="0F0F0F"/>
          <w:w w:val="105"/>
          <w:sz w:val="23"/>
        </w:rPr>
        <w:t>the</w:t>
      </w:r>
      <w:r>
        <w:rPr>
          <w:b/>
          <w:color w:val="0F0F0F"/>
          <w:spacing w:val="-12"/>
          <w:w w:val="105"/>
          <w:sz w:val="23"/>
        </w:rPr>
        <w:t> </w:t>
      </w:r>
      <w:r>
        <w:rPr>
          <w:b/>
          <w:color w:val="0F0F0F"/>
          <w:w w:val="105"/>
          <w:sz w:val="23"/>
        </w:rPr>
        <w:t>reported</w:t>
      </w:r>
      <w:r>
        <w:rPr>
          <w:b/>
          <w:color w:val="0F0F0F"/>
          <w:spacing w:val="-4"/>
          <w:w w:val="105"/>
          <w:sz w:val="23"/>
        </w:rPr>
        <w:t> </w:t>
      </w:r>
      <w:r>
        <w:rPr>
          <w:b/>
          <w:color w:val="0F0F0F"/>
          <w:w w:val="105"/>
          <w:sz w:val="23"/>
        </w:rPr>
        <w:t>underspend</w:t>
      </w:r>
      <w:r>
        <w:rPr>
          <w:b/>
          <w:color w:val="0F0F0F"/>
          <w:spacing w:val="10"/>
          <w:w w:val="105"/>
          <w:sz w:val="23"/>
        </w:rPr>
        <w:t> </w:t>
      </w:r>
      <w:r>
        <w:rPr>
          <w:b/>
          <w:color w:val="0F0F0F"/>
          <w:w w:val="105"/>
          <w:sz w:val="23"/>
        </w:rPr>
        <w:t>for</w:t>
      </w:r>
      <w:r>
        <w:rPr>
          <w:b/>
          <w:color w:val="0F0F0F"/>
          <w:spacing w:val="-12"/>
          <w:w w:val="105"/>
          <w:sz w:val="23"/>
        </w:rPr>
        <w:t> </w:t>
      </w:r>
      <w:r>
        <w:rPr>
          <w:b/>
          <w:color w:val="0F0F0F"/>
          <w:w w:val="105"/>
          <w:sz w:val="23"/>
        </w:rPr>
        <w:t>the</w:t>
      </w:r>
      <w:r>
        <w:rPr>
          <w:b/>
          <w:color w:val="0F0F0F"/>
          <w:spacing w:val="-8"/>
          <w:w w:val="105"/>
          <w:sz w:val="23"/>
        </w:rPr>
        <w:t> </w:t>
      </w:r>
      <w:r>
        <w:rPr>
          <w:b/>
          <w:color w:val="0F0F0F"/>
          <w:w w:val="105"/>
          <w:sz w:val="23"/>
        </w:rPr>
        <w:t>year</w:t>
      </w:r>
      <w:r>
        <w:rPr>
          <w:b/>
          <w:color w:val="0F0F0F"/>
          <w:spacing w:val="-8"/>
          <w:w w:val="105"/>
          <w:sz w:val="23"/>
        </w:rPr>
        <w:t> </w:t>
      </w:r>
      <w:r>
        <w:rPr>
          <w:b/>
          <w:color w:val="0F0F0F"/>
          <w:w w:val="105"/>
          <w:sz w:val="23"/>
        </w:rPr>
        <w:t>to</w:t>
      </w:r>
      <w:r>
        <w:rPr>
          <w:b/>
          <w:color w:val="0F0F0F"/>
          <w:spacing w:val="-10"/>
          <w:w w:val="105"/>
          <w:sz w:val="23"/>
        </w:rPr>
        <w:t> </w:t>
      </w:r>
      <w:r>
        <w:rPr>
          <w:b/>
          <w:color w:val="0F0F0F"/>
          <w:w w:val="105"/>
          <w:sz w:val="23"/>
        </w:rPr>
        <w:t>the</w:t>
      </w:r>
      <w:r>
        <w:rPr>
          <w:b/>
          <w:color w:val="0F0F0F"/>
          <w:spacing w:val="-14"/>
          <w:w w:val="105"/>
          <w:sz w:val="23"/>
        </w:rPr>
        <w:t> </w:t>
      </w:r>
      <w:r>
        <w:rPr>
          <w:b/>
          <w:color w:val="0F0F0F"/>
          <w:w w:val="105"/>
          <w:sz w:val="23"/>
        </w:rPr>
        <w:t>movement</w:t>
      </w:r>
      <w:r>
        <w:rPr>
          <w:b/>
          <w:color w:val="0F0F0F"/>
          <w:spacing w:val="-15"/>
          <w:w w:val="105"/>
          <w:sz w:val="23"/>
        </w:rPr>
        <w:t> </w:t>
      </w:r>
      <w:r>
        <w:rPr>
          <w:b/>
          <w:color w:val="0F0F0F"/>
          <w:w w:val="105"/>
          <w:sz w:val="23"/>
        </w:rPr>
        <w:t>in the General Fund balance</w:t>
      </w:r>
    </w:p>
    <w:p>
      <w:pPr>
        <w:pStyle w:val="BodyText"/>
        <w:rPr>
          <w:b/>
          <w:sz w:val="20"/>
        </w:rPr>
      </w:pPr>
    </w:p>
    <w:p>
      <w:pPr>
        <w:pStyle w:val="BodyText"/>
        <w:rPr>
          <w:b/>
          <w:sz w:val="20"/>
        </w:rPr>
      </w:pPr>
    </w:p>
    <w:p>
      <w:pPr>
        <w:pStyle w:val="BodyText"/>
        <w:spacing w:before="69"/>
        <w:rPr>
          <w:b/>
          <w:sz w:val="20"/>
        </w:rPr>
      </w:pPr>
    </w:p>
    <w:p>
      <w:pPr>
        <w:spacing w:after="0"/>
        <w:rPr>
          <w:sz w:val="20"/>
        </w:rPr>
        <w:sectPr>
          <w:headerReference w:type="default" r:id="rId51"/>
          <w:footerReference w:type="default" r:id="rId52"/>
          <w:footerReference w:type="even" r:id="rId53"/>
          <w:pgSz w:w="11910" w:h="16830"/>
          <w:pgMar w:top="620" w:right="920" w:bottom="640" w:left="840" w:header="421" w:footer="448"/>
          <w:pgNumType w:start="23"/>
        </w:sectPr>
      </w:pPr>
    </w:p>
    <w:p>
      <w:pPr>
        <w:pStyle w:val="BodyText"/>
        <w:spacing w:before="95"/>
        <w:rPr>
          <w:b/>
          <w:sz w:val="20"/>
        </w:rPr>
      </w:pPr>
    </w:p>
    <w:p>
      <w:pPr>
        <w:spacing w:before="0"/>
        <w:ind w:left="694" w:right="0" w:firstLine="0"/>
        <w:jc w:val="left"/>
        <w:rPr>
          <w:b/>
          <w:sz w:val="20"/>
        </w:rPr>
      </w:pPr>
      <w:r>
        <w:rPr>
          <w:b/>
          <w:color w:val="0F0F0F"/>
          <w:sz w:val="20"/>
        </w:rPr>
        <w:t>Table</w:t>
      </w:r>
      <w:r>
        <w:rPr>
          <w:b/>
          <w:color w:val="0F0F0F"/>
          <w:spacing w:val="-9"/>
          <w:sz w:val="20"/>
        </w:rPr>
        <w:t> </w:t>
      </w:r>
      <w:r>
        <w:rPr>
          <w:b/>
          <w:color w:val="0F0F0F"/>
          <w:spacing w:val="-10"/>
          <w:sz w:val="20"/>
        </w:rPr>
        <w:t>1</w:t>
      </w:r>
    </w:p>
    <w:p>
      <w:pPr>
        <w:tabs>
          <w:tab w:val="left" w:leader="none" w:pos="2309"/>
        </w:tabs>
        <w:spacing w:before="94"/>
        <w:ind w:left="694" w:right="0" w:firstLine="0"/>
        <w:jc w:val="left"/>
        <w:rPr>
          <w:b/>
          <w:sz w:val="20"/>
        </w:rPr>
      </w:pPr>
      <w:r>
        <w:rPr/>
        <w:br w:type="column"/>
      </w:r>
      <w:r>
        <w:rPr>
          <w:b/>
          <w:color w:val="0F0F0F"/>
          <w:spacing w:val="-2"/>
          <w:sz w:val="20"/>
        </w:rPr>
        <w:t>General</w:t>
      </w:r>
      <w:r>
        <w:rPr>
          <w:b/>
          <w:color w:val="0F0F0F"/>
          <w:spacing w:val="-1"/>
          <w:sz w:val="20"/>
        </w:rPr>
        <w:t> </w:t>
      </w:r>
      <w:r>
        <w:rPr>
          <w:b/>
          <w:color w:val="0F0F0F"/>
          <w:spacing w:val="-4"/>
          <w:sz w:val="20"/>
        </w:rPr>
        <w:t>Fund</w:t>
      </w:r>
      <w:r>
        <w:rPr>
          <w:b/>
          <w:color w:val="0F0F0F"/>
          <w:sz w:val="20"/>
        </w:rPr>
        <w:tab/>
      </w:r>
      <w:r>
        <w:rPr>
          <w:b/>
          <w:color w:val="0F0F0F"/>
          <w:spacing w:val="-5"/>
          <w:sz w:val="20"/>
        </w:rPr>
        <w:t>Reserves</w:t>
      </w:r>
    </w:p>
    <w:p>
      <w:pPr>
        <w:tabs>
          <w:tab w:val="left" w:leader="none" w:pos="2534"/>
        </w:tabs>
        <w:spacing w:before="1"/>
        <w:ind w:left="1111" w:right="0" w:firstLine="0"/>
        <w:jc w:val="left"/>
        <w:rPr>
          <w:b/>
          <w:sz w:val="20"/>
        </w:rPr>
      </w:pPr>
      <w:r>
        <w:rPr>
          <w:b/>
          <w:color w:val="0F0F0F"/>
          <w:spacing w:val="-4"/>
          <w:sz w:val="20"/>
        </w:rPr>
        <w:t>£000</w:t>
      </w:r>
      <w:r>
        <w:rPr>
          <w:b/>
          <w:color w:val="0F0F0F"/>
          <w:sz w:val="20"/>
        </w:rPr>
        <w:tab/>
      </w:r>
      <w:r>
        <w:rPr>
          <w:b/>
          <w:color w:val="0F0F0F"/>
          <w:spacing w:val="-4"/>
          <w:sz w:val="20"/>
        </w:rPr>
        <w:t>£000</w:t>
      </w:r>
    </w:p>
    <w:p>
      <w:pPr>
        <w:spacing w:before="94"/>
        <w:ind w:left="674" w:right="0" w:firstLine="0"/>
        <w:jc w:val="left"/>
        <w:rPr>
          <w:b/>
          <w:sz w:val="20"/>
        </w:rPr>
      </w:pPr>
      <w:r>
        <w:rPr/>
        <w:br w:type="column"/>
      </w:r>
      <w:r>
        <w:rPr>
          <w:b/>
          <w:color w:val="0F0F0F"/>
          <w:spacing w:val="-2"/>
          <w:sz w:val="20"/>
        </w:rPr>
        <w:t>Total</w:t>
      </w:r>
    </w:p>
    <w:p>
      <w:pPr>
        <w:spacing w:before="1"/>
        <w:ind w:left="691" w:right="0" w:firstLine="0"/>
        <w:jc w:val="left"/>
        <w:rPr>
          <w:b/>
          <w:sz w:val="20"/>
        </w:rPr>
      </w:pPr>
      <w:r>
        <w:rPr>
          <w:b/>
          <w:color w:val="0F0F0F"/>
          <w:spacing w:val="-4"/>
          <w:sz w:val="20"/>
        </w:rPr>
        <w:t>£000</w:t>
      </w:r>
    </w:p>
    <w:p>
      <w:pPr>
        <w:spacing w:after="0"/>
        <w:jc w:val="left"/>
        <w:rPr>
          <w:sz w:val="20"/>
        </w:rPr>
        <w:sectPr>
          <w:type w:val="continuous"/>
          <w:pgSz w:w="11910" w:h="16830"/>
          <w:pgMar w:top="1940" w:right="920" w:bottom="280" w:left="840" w:header="421" w:footer="448"/>
          <w:cols w:equalWidth="0" w:num="3">
            <w:col w:w="1420" w:space="2858"/>
            <w:col w:w="3183" w:space="40"/>
            <w:col w:w="2649"/>
          </w:cols>
        </w:sectPr>
      </w:pPr>
    </w:p>
    <w:p>
      <w:pPr>
        <w:pStyle w:val="BodyText"/>
        <w:rPr>
          <w:b/>
          <w:sz w:val="20"/>
        </w:rPr>
      </w:pPr>
    </w:p>
    <w:p>
      <w:pPr>
        <w:pStyle w:val="BodyText"/>
        <w:spacing w:before="147"/>
        <w:rPr>
          <w:b/>
          <w:sz w:val="20"/>
        </w:rPr>
      </w:pPr>
    </w:p>
    <w:tbl>
      <w:tblPr>
        <w:tblW w:w="0" w:type="auto"/>
        <w:jc w:val="left"/>
        <w:tblInd w:w="6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531"/>
        <w:gridCol w:w="1440"/>
        <w:gridCol w:w="1390"/>
        <w:gridCol w:w="1097"/>
      </w:tblGrid>
      <w:tr>
        <w:trPr>
          <w:trHeight w:val="228" w:hRule="atLeast"/>
        </w:trPr>
        <w:tc>
          <w:tcPr>
            <w:tcW w:w="4531" w:type="dxa"/>
          </w:tcPr>
          <w:p>
            <w:pPr>
              <w:pStyle w:val="TableParagraph"/>
              <w:spacing w:line="209" w:lineRule="exact"/>
              <w:ind w:left="50"/>
              <w:rPr>
                <w:b/>
                <w:sz w:val="20"/>
              </w:rPr>
            </w:pPr>
            <w:r>
              <w:rPr>
                <w:b/>
                <w:color w:val="0F0F0F"/>
                <w:sz w:val="20"/>
              </w:rPr>
              <w:t>Financial</w:t>
            </w:r>
            <w:r>
              <w:rPr>
                <w:b/>
                <w:color w:val="0F0F0F"/>
                <w:spacing w:val="-14"/>
                <w:sz w:val="20"/>
              </w:rPr>
              <w:t> </w:t>
            </w:r>
            <w:r>
              <w:rPr>
                <w:b/>
                <w:color w:val="0F0F0F"/>
                <w:sz w:val="20"/>
              </w:rPr>
              <w:t>Monitoring</w:t>
            </w:r>
            <w:r>
              <w:rPr>
                <w:b/>
                <w:color w:val="0F0F0F"/>
                <w:spacing w:val="-8"/>
                <w:sz w:val="20"/>
              </w:rPr>
              <w:t> </w:t>
            </w:r>
            <w:r>
              <w:rPr>
                <w:b/>
                <w:color w:val="0F0F0F"/>
                <w:spacing w:val="-2"/>
                <w:sz w:val="20"/>
              </w:rPr>
              <w:t>Surplus</w:t>
            </w:r>
          </w:p>
        </w:tc>
        <w:tc>
          <w:tcPr>
            <w:tcW w:w="1440" w:type="dxa"/>
          </w:tcPr>
          <w:p>
            <w:pPr>
              <w:pStyle w:val="TableParagraph"/>
              <w:spacing w:before="8" w:line="201" w:lineRule="exact"/>
              <w:ind w:right="291"/>
              <w:jc w:val="right"/>
              <w:rPr>
                <w:sz w:val="19"/>
              </w:rPr>
            </w:pPr>
            <w:r>
              <w:rPr>
                <w:color w:val="0F0F0F"/>
                <w:spacing w:val="-5"/>
                <w:w w:val="105"/>
                <w:sz w:val="19"/>
              </w:rPr>
              <w:t>164</w:t>
            </w:r>
          </w:p>
        </w:tc>
        <w:tc>
          <w:tcPr>
            <w:tcW w:w="1390" w:type="dxa"/>
          </w:tcPr>
          <w:p>
            <w:pPr>
              <w:pStyle w:val="TableParagraph"/>
              <w:rPr>
                <w:rFonts w:ascii="Times New Roman"/>
                <w:sz w:val="16"/>
              </w:rPr>
            </w:pPr>
          </w:p>
        </w:tc>
        <w:tc>
          <w:tcPr>
            <w:tcW w:w="1097" w:type="dxa"/>
          </w:tcPr>
          <w:p>
            <w:pPr>
              <w:pStyle w:val="TableParagraph"/>
              <w:spacing w:line="209" w:lineRule="exact"/>
              <w:ind w:right="11"/>
              <w:jc w:val="right"/>
              <w:rPr>
                <w:b/>
                <w:sz w:val="20"/>
              </w:rPr>
            </w:pPr>
            <w:r>
              <w:rPr>
                <w:b/>
                <w:color w:val="0F0F0F"/>
                <w:spacing w:val="-5"/>
                <w:sz w:val="20"/>
              </w:rPr>
              <w:t>164</w:t>
            </w:r>
          </w:p>
        </w:tc>
      </w:tr>
      <w:tr>
        <w:trPr>
          <w:trHeight w:val="234" w:hRule="atLeast"/>
        </w:trPr>
        <w:tc>
          <w:tcPr>
            <w:tcW w:w="4531" w:type="dxa"/>
          </w:tcPr>
          <w:p>
            <w:pPr>
              <w:pStyle w:val="TableParagraph"/>
              <w:spacing w:before="10" w:line="205" w:lineRule="exact"/>
              <w:ind w:left="50"/>
              <w:rPr>
                <w:sz w:val="19"/>
              </w:rPr>
            </w:pPr>
            <w:r>
              <w:rPr>
                <w:color w:val="0F0F0F"/>
                <w:w w:val="105"/>
                <w:sz w:val="19"/>
              </w:rPr>
              <w:t>Movements</w:t>
            </w:r>
            <w:r>
              <w:rPr>
                <w:color w:val="0F0F0F"/>
                <w:spacing w:val="-1"/>
                <w:w w:val="105"/>
                <w:sz w:val="19"/>
              </w:rPr>
              <w:t> </w:t>
            </w:r>
            <w:r>
              <w:rPr>
                <w:color w:val="0F0F0F"/>
                <w:w w:val="105"/>
                <w:sz w:val="19"/>
              </w:rPr>
              <w:t>post</w:t>
            </w:r>
            <w:r>
              <w:rPr>
                <w:color w:val="0F0F0F"/>
                <w:spacing w:val="-12"/>
                <w:w w:val="105"/>
                <w:sz w:val="19"/>
              </w:rPr>
              <w:t> </w:t>
            </w:r>
            <w:r>
              <w:rPr>
                <w:color w:val="0F0F0F"/>
                <w:w w:val="105"/>
                <w:sz w:val="19"/>
              </w:rPr>
              <w:t>Financial</w:t>
            </w:r>
            <w:r>
              <w:rPr>
                <w:color w:val="0F0F0F"/>
                <w:spacing w:val="-8"/>
                <w:w w:val="105"/>
                <w:sz w:val="19"/>
              </w:rPr>
              <w:t> </w:t>
            </w:r>
            <w:r>
              <w:rPr>
                <w:color w:val="0F0F0F"/>
                <w:w w:val="105"/>
                <w:sz w:val="19"/>
              </w:rPr>
              <w:t>Monitoring</w:t>
            </w:r>
            <w:r>
              <w:rPr>
                <w:color w:val="0F0F0F"/>
                <w:spacing w:val="3"/>
                <w:w w:val="105"/>
                <w:sz w:val="19"/>
              </w:rPr>
              <w:t> </w:t>
            </w:r>
            <w:r>
              <w:rPr>
                <w:color w:val="0F0F0F"/>
                <w:spacing w:val="-2"/>
                <w:w w:val="105"/>
                <w:sz w:val="19"/>
              </w:rPr>
              <w:t>Report</w:t>
            </w:r>
          </w:p>
        </w:tc>
        <w:tc>
          <w:tcPr>
            <w:tcW w:w="1440" w:type="dxa"/>
            <w:tcBorders>
              <w:bottom w:val="single" w:color="000000" w:sz="6" w:space="0"/>
            </w:tcBorders>
          </w:tcPr>
          <w:p>
            <w:pPr>
              <w:pStyle w:val="TableParagraph"/>
              <w:spacing w:before="10" w:line="213" w:lineRule="exact"/>
              <w:ind w:right="294"/>
              <w:jc w:val="right"/>
              <w:rPr>
                <w:sz w:val="19"/>
              </w:rPr>
            </w:pPr>
            <w:r>
              <w:rPr>
                <w:color w:val="0F0F0F"/>
                <w:w w:val="110"/>
                <w:sz w:val="19"/>
              </w:rPr>
              <w:t>6</w:t>
            </w:r>
            <w:r>
              <w:rPr>
                <w:color w:val="0F0F0F"/>
                <w:spacing w:val="-8"/>
                <w:w w:val="110"/>
                <w:sz w:val="19"/>
              </w:rPr>
              <w:t> </w:t>
            </w:r>
            <w:r>
              <w:rPr>
                <w:color w:val="0F0F0F"/>
                <w:spacing w:val="-5"/>
                <w:w w:val="110"/>
                <w:sz w:val="19"/>
              </w:rPr>
              <w:t>898</w:t>
            </w:r>
          </w:p>
        </w:tc>
        <w:tc>
          <w:tcPr>
            <w:tcW w:w="1390" w:type="dxa"/>
            <w:tcBorders>
              <w:bottom w:val="single" w:color="000000" w:sz="6" w:space="0"/>
            </w:tcBorders>
          </w:tcPr>
          <w:p>
            <w:pPr>
              <w:pStyle w:val="TableParagraph"/>
              <w:rPr>
                <w:rFonts w:ascii="Times New Roman"/>
                <w:sz w:val="16"/>
              </w:rPr>
            </w:pPr>
          </w:p>
        </w:tc>
        <w:tc>
          <w:tcPr>
            <w:tcW w:w="1097" w:type="dxa"/>
            <w:tcBorders>
              <w:bottom w:val="single" w:color="000000" w:sz="6" w:space="0"/>
            </w:tcBorders>
          </w:tcPr>
          <w:p>
            <w:pPr>
              <w:pStyle w:val="TableParagraph"/>
              <w:spacing w:line="223" w:lineRule="exact"/>
              <w:ind w:right="18"/>
              <w:jc w:val="right"/>
              <w:rPr>
                <w:b/>
                <w:sz w:val="20"/>
              </w:rPr>
            </w:pPr>
            <w:r>
              <w:rPr>
                <w:b/>
                <w:color w:val="0F0F0F"/>
                <w:spacing w:val="-2"/>
                <w:sz w:val="20"/>
              </w:rPr>
              <w:t>6,898</w:t>
            </w:r>
          </w:p>
        </w:tc>
      </w:tr>
      <w:tr>
        <w:trPr>
          <w:trHeight w:val="227" w:hRule="atLeast"/>
        </w:trPr>
        <w:tc>
          <w:tcPr>
            <w:tcW w:w="4531" w:type="dxa"/>
          </w:tcPr>
          <w:p>
            <w:pPr>
              <w:pStyle w:val="TableParagraph"/>
              <w:rPr>
                <w:rFonts w:ascii="Times New Roman"/>
                <w:sz w:val="16"/>
              </w:rPr>
            </w:pPr>
          </w:p>
        </w:tc>
        <w:tc>
          <w:tcPr>
            <w:tcW w:w="1440" w:type="dxa"/>
            <w:tcBorders>
              <w:top w:val="single" w:color="000000" w:sz="6" w:space="0"/>
            </w:tcBorders>
          </w:tcPr>
          <w:p>
            <w:pPr>
              <w:pStyle w:val="TableParagraph"/>
              <w:spacing w:line="200" w:lineRule="exact"/>
              <w:ind w:right="297"/>
              <w:jc w:val="right"/>
              <w:rPr>
                <w:sz w:val="19"/>
              </w:rPr>
            </w:pPr>
            <w:r>
              <w:rPr>
                <w:color w:val="0F0F0F"/>
                <w:spacing w:val="-2"/>
                <w:w w:val="105"/>
                <w:sz w:val="19"/>
              </w:rPr>
              <w:t>7,062</w:t>
            </w:r>
          </w:p>
        </w:tc>
        <w:tc>
          <w:tcPr>
            <w:tcW w:w="1390" w:type="dxa"/>
            <w:tcBorders>
              <w:top w:val="single" w:color="000000" w:sz="6" w:space="0"/>
            </w:tcBorders>
          </w:tcPr>
          <w:p>
            <w:pPr>
              <w:pStyle w:val="TableParagraph"/>
              <w:rPr>
                <w:rFonts w:ascii="Times New Roman"/>
                <w:sz w:val="14"/>
              </w:rPr>
            </w:pPr>
          </w:p>
        </w:tc>
        <w:tc>
          <w:tcPr>
            <w:tcW w:w="1097" w:type="dxa"/>
            <w:tcBorders>
              <w:top w:val="single" w:color="000000" w:sz="6" w:space="0"/>
            </w:tcBorders>
          </w:tcPr>
          <w:p>
            <w:pPr>
              <w:pStyle w:val="TableParagraph"/>
              <w:spacing w:line="200" w:lineRule="exact"/>
              <w:ind w:right="8"/>
              <w:jc w:val="right"/>
              <w:rPr>
                <w:b/>
                <w:sz w:val="20"/>
              </w:rPr>
            </w:pPr>
            <w:r>
              <w:rPr>
                <w:b/>
                <w:color w:val="0F0F0F"/>
                <w:spacing w:val="-2"/>
                <w:sz w:val="20"/>
              </w:rPr>
              <w:t>7,062</w:t>
            </w:r>
          </w:p>
        </w:tc>
      </w:tr>
      <w:tr>
        <w:trPr>
          <w:trHeight w:val="230" w:hRule="atLeast"/>
        </w:trPr>
        <w:tc>
          <w:tcPr>
            <w:tcW w:w="4531" w:type="dxa"/>
          </w:tcPr>
          <w:p>
            <w:pPr>
              <w:pStyle w:val="TableParagraph"/>
              <w:spacing w:before="3" w:line="208" w:lineRule="exact"/>
              <w:ind w:left="51"/>
              <w:rPr>
                <w:sz w:val="19"/>
              </w:rPr>
            </w:pPr>
            <w:r>
              <w:rPr>
                <w:color w:val="0F0F0F"/>
                <w:w w:val="105"/>
                <w:sz w:val="19"/>
              </w:rPr>
              <w:t>Surplus</w:t>
            </w:r>
            <w:r>
              <w:rPr>
                <w:color w:val="0F0F0F"/>
                <w:spacing w:val="-12"/>
                <w:w w:val="105"/>
                <w:sz w:val="19"/>
              </w:rPr>
              <w:t> </w:t>
            </w:r>
            <w:r>
              <w:rPr>
                <w:color w:val="0F0F0F"/>
                <w:w w:val="105"/>
                <w:sz w:val="19"/>
              </w:rPr>
              <w:t>transferred</w:t>
            </w:r>
            <w:r>
              <w:rPr>
                <w:color w:val="0F0F0F"/>
                <w:spacing w:val="-4"/>
                <w:w w:val="105"/>
                <w:sz w:val="19"/>
              </w:rPr>
              <w:t> </w:t>
            </w:r>
            <w:r>
              <w:rPr>
                <w:color w:val="0F0F0F"/>
                <w:spacing w:val="-5"/>
                <w:w w:val="105"/>
                <w:sz w:val="19"/>
              </w:rPr>
              <w:t>to</w:t>
            </w:r>
          </w:p>
        </w:tc>
        <w:tc>
          <w:tcPr>
            <w:tcW w:w="1440" w:type="dxa"/>
          </w:tcPr>
          <w:p>
            <w:pPr>
              <w:pStyle w:val="TableParagraph"/>
              <w:rPr>
                <w:rFonts w:ascii="Times New Roman"/>
                <w:sz w:val="16"/>
              </w:rPr>
            </w:pPr>
          </w:p>
        </w:tc>
        <w:tc>
          <w:tcPr>
            <w:tcW w:w="1390" w:type="dxa"/>
          </w:tcPr>
          <w:p>
            <w:pPr>
              <w:pStyle w:val="TableParagraph"/>
              <w:rPr>
                <w:rFonts w:ascii="Times New Roman"/>
                <w:sz w:val="16"/>
              </w:rPr>
            </w:pPr>
          </w:p>
        </w:tc>
        <w:tc>
          <w:tcPr>
            <w:tcW w:w="1097" w:type="dxa"/>
          </w:tcPr>
          <w:p>
            <w:pPr>
              <w:pStyle w:val="TableParagraph"/>
              <w:rPr>
                <w:rFonts w:ascii="Times New Roman"/>
                <w:sz w:val="16"/>
              </w:rPr>
            </w:pPr>
          </w:p>
        </w:tc>
      </w:tr>
      <w:tr>
        <w:trPr>
          <w:trHeight w:val="230" w:hRule="atLeast"/>
        </w:trPr>
        <w:tc>
          <w:tcPr>
            <w:tcW w:w="4531" w:type="dxa"/>
          </w:tcPr>
          <w:p>
            <w:pPr>
              <w:pStyle w:val="TableParagraph"/>
              <w:spacing w:before="3" w:line="208" w:lineRule="exact"/>
              <w:ind w:left="50"/>
              <w:rPr>
                <w:sz w:val="19"/>
              </w:rPr>
            </w:pPr>
            <w:r>
              <w:rPr>
                <w:color w:val="0F0F0F"/>
                <w:w w:val="105"/>
                <w:sz w:val="19"/>
              </w:rPr>
              <w:t>Minor</w:t>
            </w:r>
            <w:r>
              <w:rPr>
                <w:color w:val="0F0F0F"/>
                <w:spacing w:val="-5"/>
                <w:w w:val="105"/>
                <w:sz w:val="19"/>
              </w:rPr>
              <w:t> </w:t>
            </w:r>
            <w:r>
              <w:rPr>
                <w:color w:val="0F0F0F"/>
                <w:w w:val="105"/>
                <w:sz w:val="19"/>
              </w:rPr>
              <w:t>Revenue</w:t>
            </w:r>
            <w:r>
              <w:rPr>
                <w:color w:val="0F0F0F"/>
                <w:spacing w:val="-10"/>
                <w:w w:val="105"/>
                <w:sz w:val="19"/>
              </w:rPr>
              <w:t> </w:t>
            </w:r>
            <w:r>
              <w:rPr>
                <w:color w:val="0F0F0F"/>
                <w:spacing w:val="-2"/>
                <w:w w:val="105"/>
                <w:sz w:val="19"/>
              </w:rPr>
              <w:t>Grants</w:t>
            </w:r>
          </w:p>
        </w:tc>
        <w:tc>
          <w:tcPr>
            <w:tcW w:w="1440" w:type="dxa"/>
          </w:tcPr>
          <w:p>
            <w:pPr>
              <w:pStyle w:val="TableParagraph"/>
              <w:spacing w:before="3" w:line="208" w:lineRule="exact"/>
              <w:ind w:right="291"/>
              <w:jc w:val="right"/>
              <w:rPr>
                <w:sz w:val="19"/>
              </w:rPr>
            </w:pPr>
            <w:r>
              <w:rPr>
                <w:color w:val="0F0F0F"/>
                <w:spacing w:val="-4"/>
                <w:w w:val="105"/>
                <w:sz w:val="19"/>
              </w:rPr>
              <w:t>(70)</w:t>
            </w:r>
          </w:p>
        </w:tc>
        <w:tc>
          <w:tcPr>
            <w:tcW w:w="1390" w:type="dxa"/>
          </w:tcPr>
          <w:p>
            <w:pPr>
              <w:pStyle w:val="TableParagraph"/>
              <w:spacing w:before="3" w:line="208" w:lineRule="exact"/>
              <w:ind w:right="459"/>
              <w:jc w:val="right"/>
              <w:rPr>
                <w:sz w:val="19"/>
              </w:rPr>
            </w:pPr>
            <w:r>
              <w:rPr>
                <w:color w:val="0F0F0F"/>
                <w:spacing w:val="-5"/>
                <w:w w:val="110"/>
                <w:sz w:val="19"/>
              </w:rPr>
              <w:t>70</w:t>
            </w:r>
          </w:p>
        </w:tc>
        <w:tc>
          <w:tcPr>
            <w:tcW w:w="1097" w:type="dxa"/>
          </w:tcPr>
          <w:p>
            <w:pPr>
              <w:pStyle w:val="TableParagraph"/>
              <w:rPr>
                <w:rFonts w:ascii="Times New Roman"/>
                <w:sz w:val="16"/>
              </w:rPr>
            </w:pPr>
          </w:p>
        </w:tc>
      </w:tr>
      <w:tr>
        <w:trPr>
          <w:trHeight w:val="230" w:hRule="atLeast"/>
        </w:trPr>
        <w:tc>
          <w:tcPr>
            <w:tcW w:w="4531" w:type="dxa"/>
          </w:tcPr>
          <w:p>
            <w:pPr>
              <w:pStyle w:val="TableParagraph"/>
              <w:spacing w:before="3" w:line="208" w:lineRule="exact"/>
              <w:ind w:left="54"/>
              <w:rPr>
                <w:sz w:val="19"/>
              </w:rPr>
            </w:pPr>
            <w:r>
              <w:rPr>
                <w:color w:val="0F0F0F"/>
                <w:w w:val="105"/>
                <w:sz w:val="19"/>
              </w:rPr>
              <w:t>HR</w:t>
            </w:r>
            <w:r>
              <w:rPr>
                <w:color w:val="0F0F0F"/>
                <w:spacing w:val="-6"/>
                <w:w w:val="105"/>
                <w:sz w:val="19"/>
              </w:rPr>
              <w:t> </w:t>
            </w:r>
            <w:r>
              <w:rPr>
                <w:color w:val="0F0F0F"/>
                <w:w w:val="105"/>
                <w:sz w:val="19"/>
              </w:rPr>
              <w:t>Strategy </w:t>
            </w:r>
            <w:r>
              <w:rPr>
                <w:color w:val="0F0F0F"/>
                <w:spacing w:val="-2"/>
                <w:w w:val="105"/>
                <w:sz w:val="19"/>
              </w:rPr>
              <w:t>Reserve</w:t>
            </w:r>
          </w:p>
        </w:tc>
        <w:tc>
          <w:tcPr>
            <w:tcW w:w="1440" w:type="dxa"/>
          </w:tcPr>
          <w:p>
            <w:pPr>
              <w:pStyle w:val="TableParagraph"/>
              <w:spacing w:before="3" w:line="208" w:lineRule="exact"/>
              <w:ind w:right="299"/>
              <w:jc w:val="right"/>
              <w:rPr>
                <w:sz w:val="19"/>
              </w:rPr>
            </w:pPr>
            <w:r>
              <w:rPr>
                <w:color w:val="0F0F0F"/>
                <w:spacing w:val="-4"/>
                <w:w w:val="105"/>
                <w:sz w:val="19"/>
              </w:rPr>
              <w:t>(200)</w:t>
            </w:r>
          </w:p>
        </w:tc>
        <w:tc>
          <w:tcPr>
            <w:tcW w:w="1390" w:type="dxa"/>
          </w:tcPr>
          <w:p>
            <w:pPr>
              <w:pStyle w:val="TableParagraph"/>
              <w:spacing w:before="3" w:line="208" w:lineRule="exact"/>
              <w:ind w:right="469"/>
              <w:jc w:val="right"/>
              <w:rPr>
                <w:sz w:val="19"/>
              </w:rPr>
            </w:pPr>
            <w:r>
              <w:rPr>
                <w:color w:val="0F0F0F"/>
                <w:spacing w:val="-5"/>
                <w:w w:val="105"/>
                <w:sz w:val="19"/>
              </w:rPr>
              <w:t>200</w:t>
            </w:r>
          </w:p>
        </w:tc>
        <w:tc>
          <w:tcPr>
            <w:tcW w:w="1097" w:type="dxa"/>
          </w:tcPr>
          <w:p>
            <w:pPr>
              <w:pStyle w:val="TableParagraph"/>
              <w:rPr>
                <w:rFonts w:ascii="Times New Roman"/>
                <w:sz w:val="16"/>
              </w:rPr>
            </w:pPr>
          </w:p>
        </w:tc>
      </w:tr>
      <w:tr>
        <w:trPr>
          <w:trHeight w:val="230" w:hRule="atLeast"/>
        </w:trPr>
        <w:tc>
          <w:tcPr>
            <w:tcW w:w="4531" w:type="dxa"/>
          </w:tcPr>
          <w:p>
            <w:pPr>
              <w:pStyle w:val="TableParagraph"/>
              <w:spacing w:before="3" w:line="208" w:lineRule="exact"/>
              <w:ind w:left="50"/>
              <w:rPr>
                <w:sz w:val="19"/>
              </w:rPr>
            </w:pPr>
            <w:r>
              <w:rPr>
                <w:color w:val="0F0F0F"/>
                <w:w w:val="105"/>
                <w:sz w:val="19"/>
              </w:rPr>
              <w:t>Uninsured</w:t>
            </w:r>
            <w:r>
              <w:rPr>
                <w:color w:val="0F0F0F"/>
                <w:spacing w:val="-12"/>
                <w:w w:val="105"/>
                <w:sz w:val="19"/>
              </w:rPr>
              <w:t> </w:t>
            </w:r>
            <w:r>
              <w:rPr>
                <w:color w:val="0F0F0F"/>
                <w:spacing w:val="-2"/>
                <w:w w:val="105"/>
                <w:sz w:val="19"/>
              </w:rPr>
              <w:t>Losses</w:t>
            </w:r>
          </w:p>
        </w:tc>
        <w:tc>
          <w:tcPr>
            <w:tcW w:w="1440" w:type="dxa"/>
          </w:tcPr>
          <w:p>
            <w:pPr>
              <w:pStyle w:val="TableParagraph"/>
              <w:spacing w:before="3" w:line="208" w:lineRule="exact"/>
              <w:ind w:right="298"/>
              <w:jc w:val="right"/>
              <w:rPr>
                <w:sz w:val="19"/>
              </w:rPr>
            </w:pPr>
            <w:r>
              <w:rPr>
                <w:color w:val="0F0F0F"/>
                <w:spacing w:val="-2"/>
                <w:w w:val="105"/>
                <w:sz w:val="19"/>
              </w:rPr>
              <w:t>(6,496)</w:t>
            </w:r>
          </w:p>
        </w:tc>
        <w:tc>
          <w:tcPr>
            <w:tcW w:w="1390" w:type="dxa"/>
          </w:tcPr>
          <w:p>
            <w:pPr>
              <w:pStyle w:val="TableParagraph"/>
              <w:spacing w:before="3" w:line="208" w:lineRule="exact"/>
              <w:ind w:right="464"/>
              <w:jc w:val="right"/>
              <w:rPr>
                <w:sz w:val="19"/>
              </w:rPr>
            </w:pPr>
            <w:r>
              <w:rPr>
                <w:color w:val="0F0F0F"/>
                <w:spacing w:val="-2"/>
                <w:w w:val="105"/>
                <w:sz w:val="19"/>
              </w:rPr>
              <w:t>6,496</w:t>
            </w:r>
          </w:p>
        </w:tc>
        <w:tc>
          <w:tcPr>
            <w:tcW w:w="1097" w:type="dxa"/>
          </w:tcPr>
          <w:p>
            <w:pPr>
              <w:pStyle w:val="TableParagraph"/>
              <w:rPr>
                <w:rFonts w:ascii="Times New Roman"/>
                <w:sz w:val="16"/>
              </w:rPr>
            </w:pPr>
          </w:p>
        </w:tc>
      </w:tr>
      <w:tr>
        <w:trPr>
          <w:trHeight w:val="341" w:hRule="atLeast"/>
        </w:trPr>
        <w:tc>
          <w:tcPr>
            <w:tcW w:w="4531" w:type="dxa"/>
          </w:tcPr>
          <w:p>
            <w:pPr>
              <w:pStyle w:val="TableParagraph"/>
              <w:spacing w:before="3"/>
              <w:ind w:left="55"/>
              <w:rPr>
                <w:sz w:val="19"/>
              </w:rPr>
            </w:pPr>
            <w:r>
              <w:rPr>
                <w:color w:val="0F0F0F"/>
                <w:w w:val="105"/>
                <w:sz w:val="19"/>
              </w:rPr>
              <w:t>Business</w:t>
            </w:r>
            <w:r>
              <w:rPr>
                <w:color w:val="0F0F0F"/>
                <w:spacing w:val="-2"/>
                <w:w w:val="105"/>
                <w:sz w:val="19"/>
              </w:rPr>
              <w:t> </w:t>
            </w:r>
            <w:r>
              <w:rPr>
                <w:color w:val="0F0F0F"/>
                <w:w w:val="105"/>
                <w:sz w:val="19"/>
              </w:rPr>
              <w:t>Rate</w:t>
            </w:r>
            <w:r>
              <w:rPr>
                <w:color w:val="0F0F0F"/>
                <w:spacing w:val="-5"/>
                <w:w w:val="105"/>
                <w:sz w:val="19"/>
              </w:rPr>
              <w:t> </w:t>
            </w:r>
            <w:r>
              <w:rPr>
                <w:color w:val="0F0F0F"/>
                <w:spacing w:val="-2"/>
                <w:w w:val="105"/>
                <w:sz w:val="19"/>
              </w:rPr>
              <w:t>Equalisation</w:t>
            </w:r>
          </w:p>
        </w:tc>
        <w:tc>
          <w:tcPr>
            <w:tcW w:w="1440" w:type="dxa"/>
          </w:tcPr>
          <w:p>
            <w:pPr>
              <w:pStyle w:val="TableParagraph"/>
              <w:spacing w:before="3"/>
              <w:ind w:right="299"/>
              <w:jc w:val="right"/>
              <w:rPr>
                <w:sz w:val="19"/>
              </w:rPr>
            </w:pPr>
            <w:r>
              <w:rPr>
                <w:color w:val="0F0F0F"/>
                <w:spacing w:val="-4"/>
                <w:w w:val="105"/>
                <w:sz w:val="19"/>
              </w:rPr>
              <w:t>(211)</w:t>
            </w:r>
          </w:p>
        </w:tc>
        <w:tc>
          <w:tcPr>
            <w:tcW w:w="1390" w:type="dxa"/>
          </w:tcPr>
          <w:p>
            <w:pPr>
              <w:pStyle w:val="TableParagraph"/>
              <w:spacing w:before="3"/>
              <w:ind w:right="459"/>
              <w:jc w:val="right"/>
              <w:rPr>
                <w:sz w:val="19"/>
              </w:rPr>
            </w:pPr>
            <w:r>
              <w:rPr>
                <w:color w:val="0F0F0F"/>
                <w:spacing w:val="-5"/>
                <w:w w:val="105"/>
                <w:sz w:val="19"/>
              </w:rPr>
              <w:t>211</w:t>
            </w:r>
          </w:p>
        </w:tc>
        <w:tc>
          <w:tcPr>
            <w:tcW w:w="1097" w:type="dxa"/>
          </w:tcPr>
          <w:p>
            <w:pPr>
              <w:pStyle w:val="TableParagraph"/>
              <w:rPr>
                <w:rFonts w:ascii="Times New Roman"/>
                <w:sz w:val="18"/>
              </w:rPr>
            </w:pPr>
          </w:p>
        </w:tc>
      </w:tr>
      <w:tr>
        <w:trPr>
          <w:trHeight w:val="347" w:hRule="atLeast"/>
        </w:trPr>
        <w:tc>
          <w:tcPr>
            <w:tcW w:w="4531" w:type="dxa"/>
          </w:tcPr>
          <w:p>
            <w:pPr>
              <w:pStyle w:val="TableParagraph"/>
              <w:spacing w:before="123" w:line="204" w:lineRule="exact"/>
              <w:ind w:left="55"/>
              <w:rPr>
                <w:sz w:val="19"/>
              </w:rPr>
            </w:pPr>
            <w:r>
              <w:rPr>
                <w:color w:val="0F0F0F"/>
                <w:w w:val="105"/>
                <w:sz w:val="19"/>
              </w:rPr>
              <w:t>Budgeted</w:t>
            </w:r>
            <w:r>
              <w:rPr>
                <w:color w:val="0F0F0F"/>
                <w:spacing w:val="-1"/>
                <w:w w:val="105"/>
                <w:sz w:val="19"/>
              </w:rPr>
              <w:t> </w:t>
            </w:r>
            <w:r>
              <w:rPr>
                <w:color w:val="0F0F0F"/>
                <w:w w:val="105"/>
                <w:sz w:val="19"/>
              </w:rPr>
              <w:t>and</w:t>
            </w:r>
            <w:r>
              <w:rPr>
                <w:color w:val="0F0F0F"/>
                <w:spacing w:val="-6"/>
                <w:w w:val="105"/>
                <w:sz w:val="19"/>
              </w:rPr>
              <w:t> </w:t>
            </w:r>
            <w:r>
              <w:rPr>
                <w:color w:val="0F0F0F"/>
                <w:w w:val="105"/>
                <w:sz w:val="19"/>
              </w:rPr>
              <w:t>other</w:t>
            </w:r>
            <w:r>
              <w:rPr>
                <w:color w:val="0F0F0F"/>
                <w:spacing w:val="-1"/>
                <w:w w:val="105"/>
                <w:sz w:val="19"/>
              </w:rPr>
              <w:t> </w:t>
            </w:r>
            <w:r>
              <w:rPr>
                <w:color w:val="0F0F0F"/>
                <w:w w:val="105"/>
                <w:sz w:val="19"/>
              </w:rPr>
              <w:t>transfers</w:t>
            </w:r>
            <w:r>
              <w:rPr>
                <w:color w:val="0F0F0F"/>
                <w:spacing w:val="3"/>
                <w:w w:val="105"/>
                <w:sz w:val="19"/>
              </w:rPr>
              <w:t> </w:t>
            </w:r>
            <w:r>
              <w:rPr>
                <w:color w:val="0F0F0F"/>
                <w:w w:val="105"/>
                <w:sz w:val="19"/>
              </w:rPr>
              <w:t>to</w:t>
            </w:r>
            <w:r>
              <w:rPr>
                <w:color w:val="0F0F0F"/>
                <w:spacing w:val="-6"/>
                <w:w w:val="105"/>
                <w:sz w:val="19"/>
              </w:rPr>
              <w:t> </w:t>
            </w:r>
            <w:r>
              <w:rPr>
                <w:color w:val="0F0F0F"/>
                <w:spacing w:val="-2"/>
                <w:w w:val="105"/>
                <w:sz w:val="19"/>
              </w:rPr>
              <w:t>reserves</w:t>
            </w:r>
          </w:p>
        </w:tc>
        <w:tc>
          <w:tcPr>
            <w:tcW w:w="1440" w:type="dxa"/>
          </w:tcPr>
          <w:p>
            <w:pPr>
              <w:pStyle w:val="TableParagraph"/>
              <w:rPr>
                <w:rFonts w:ascii="Times New Roman"/>
                <w:sz w:val="18"/>
              </w:rPr>
            </w:pPr>
          </w:p>
        </w:tc>
        <w:tc>
          <w:tcPr>
            <w:tcW w:w="1390" w:type="dxa"/>
          </w:tcPr>
          <w:p>
            <w:pPr>
              <w:pStyle w:val="TableParagraph"/>
              <w:spacing w:before="123" w:line="204" w:lineRule="exact"/>
              <w:ind w:right="458"/>
              <w:jc w:val="right"/>
              <w:rPr>
                <w:sz w:val="19"/>
              </w:rPr>
            </w:pPr>
            <w:r>
              <w:rPr>
                <w:color w:val="0F0F0F"/>
                <w:spacing w:val="-5"/>
                <w:w w:val="110"/>
                <w:sz w:val="19"/>
              </w:rPr>
              <w:t>676</w:t>
            </w:r>
          </w:p>
        </w:tc>
        <w:tc>
          <w:tcPr>
            <w:tcW w:w="1097" w:type="dxa"/>
          </w:tcPr>
          <w:p>
            <w:pPr>
              <w:pStyle w:val="TableParagraph"/>
              <w:spacing w:before="113" w:line="214" w:lineRule="exact"/>
              <w:ind w:right="6"/>
              <w:jc w:val="right"/>
              <w:rPr>
                <w:b/>
                <w:sz w:val="20"/>
              </w:rPr>
            </w:pPr>
            <w:r>
              <w:rPr>
                <w:b/>
                <w:color w:val="0F0F0F"/>
                <w:spacing w:val="-5"/>
                <w:sz w:val="20"/>
              </w:rPr>
              <w:t>676</w:t>
            </w:r>
          </w:p>
        </w:tc>
      </w:tr>
      <w:tr>
        <w:trPr>
          <w:trHeight w:val="229" w:hRule="atLeast"/>
        </w:trPr>
        <w:tc>
          <w:tcPr>
            <w:tcW w:w="4531" w:type="dxa"/>
          </w:tcPr>
          <w:p>
            <w:pPr>
              <w:pStyle w:val="TableParagraph"/>
              <w:spacing w:before="6" w:line="203" w:lineRule="exact"/>
              <w:ind w:left="55"/>
              <w:rPr>
                <w:sz w:val="19"/>
              </w:rPr>
            </w:pPr>
            <w:r>
              <w:rPr>
                <w:color w:val="0F0F0F"/>
                <w:w w:val="105"/>
                <w:sz w:val="19"/>
              </w:rPr>
              <w:t>Capital</w:t>
            </w:r>
            <w:r>
              <w:rPr>
                <w:color w:val="0F0F0F"/>
                <w:spacing w:val="-9"/>
                <w:w w:val="105"/>
                <w:sz w:val="19"/>
              </w:rPr>
              <w:t> </w:t>
            </w:r>
            <w:r>
              <w:rPr>
                <w:color w:val="0F0F0F"/>
                <w:w w:val="105"/>
                <w:sz w:val="19"/>
              </w:rPr>
              <w:t>expenditure</w:t>
            </w:r>
            <w:r>
              <w:rPr>
                <w:color w:val="0F0F0F"/>
                <w:spacing w:val="2"/>
                <w:w w:val="105"/>
                <w:sz w:val="19"/>
              </w:rPr>
              <w:t> </w:t>
            </w:r>
            <w:r>
              <w:rPr>
                <w:color w:val="0F0F0F"/>
                <w:w w:val="105"/>
                <w:sz w:val="19"/>
              </w:rPr>
              <w:t>funded</w:t>
            </w:r>
            <w:r>
              <w:rPr>
                <w:color w:val="0F0F0F"/>
                <w:spacing w:val="-2"/>
                <w:w w:val="105"/>
                <w:sz w:val="19"/>
              </w:rPr>
              <w:t> </w:t>
            </w:r>
            <w:r>
              <w:rPr>
                <w:color w:val="0F0F0F"/>
                <w:w w:val="105"/>
                <w:sz w:val="19"/>
              </w:rPr>
              <w:t>from</w:t>
            </w:r>
            <w:r>
              <w:rPr>
                <w:color w:val="0F0F0F"/>
                <w:spacing w:val="-11"/>
                <w:w w:val="105"/>
                <w:sz w:val="19"/>
              </w:rPr>
              <w:t> </w:t>
            </w:r>
            <w:r>
              <w:rPr>
                <w:color w:val="0F0F0F"/>
                <w:spacing w:val="-2"/>
                <w:w w:val="105"/>
                <w:sz w:val="19"/>
              </w:rPr>
              <w:t>reserves</w:t>
            </w:r>
          </w:p>
        </w:tc>
        <w:tc>
          <w:tcPr>
            <w:tcW w:w="1440" w:type="dxa"/>
          </w:tcPr>
          <w:p>
            <w:pPr>
              <w:pStyle w:val="TableParagraph"/>
              <w:rPr>
                <w:rFonts w:ascii="Times New Roman"/>
                <w:sz w:val="16"/>
              </w:rPr>
            </w:pPr>
          </w:p>
        </w:tc>
        <w:tc>
          <w:tcPr>
            <w:tcW w:w="1390" w:type="dxa"/>
          </w:tcPr>
          <w:p>
            <w:pPr>
              <w:pStyle w:val="TableParagraph"/>
              <w:spacing w:before="11" w:line="198" w:lineRule="exact"/>
              <w:ind w:right="473"/>
              <w:jc w:val="right"/>
              <w:rPr>
                <w:sz w:val="19"/>
              </w:rPr>
            </w:pPr>
            <w:r>
              <w:rPr>
                <w:color w:val="0F0F0F"/>
                <w:spacing w:val="-2"/>
                <w:w w:val="105"/>
                <w:sz w:val="19"/>
              </w:rPr>
              <w:t>(1,961)</w:t>
            </w:r>
          </w:p>
        </w:tc>
        <w:tc>
          <w:tcPr>
            <w:tcW w:w="1097" w:type="dxa"/>
          </w:tcPr>
          <w:p>
            <w:pPr>
              <w:pStyle w:val="TableParagraph"/>
              <w:spacing w:line="210" w:lineRule="exact"/>
              <w:ind w:right="8"/>
              <w:jc w:val="right"/>
              <w:rPr>
                <w:b/>
                <w:sz w:val="20"/>
              </w:rPr>
            </w:pPr>
            <w:r>
              <w:rPr>
                <w:b/>
                <w:color w:val="0F0F0F"/>
                <w:spacing w:val="-2"/>
                <w:sz w:val="20"/>
              </w:rPr>
              <w:t>(1,961)</w:t>
            </w:r>
          </w:p>
        </w:tc>
      </w:tr>
      <w:tr>
        <w:trPr>
          <w:trHeight w:val="228" w:hRule="atLeast"/>
        </w:trPr>
        <w:tc>
          <w:tcPr>
            <w:tcW w:w="4531" w:type="dxa"/>
          </w:tcPr>
          <w:p>
            <w:pPr>
              <w:pStyle w:val="TableParagraph"/>
              <w:spacing w:before="7" w:line="201" w:lineRule="exact"/>
              <w:ind w:left="55"/>
              <w:rPr>
                <w:sz w:val="19"/>
              </w:rPr>
            </w:pPr>
            <w:r>
              <w:rPr>
                <w:color w:val="0F0F0F"/>
                <w:w w:val="105"/>
                <w:sz w:val="19"/>
              </w:rPr>
              <w:t>LCTS</w:t>
            </w:r>
            <w:r>
              <w:rPr>
                <w:color w:val="0F0F0F"/>
                <w:spacing w:val="-8"/>
                <w:w w:val="105"/>
                <w:sz w:val="19"/>
              </w:rPr>
              <w:t> </w:t>
            </w:r>
            <w:r>
              <w:rPr>
                <w:color w:val="0F0F0F"/>
                <w:spacing w:val="-2"/>
                <w:w w:val="105"/>
                <w:sz w:val="19"/>
              </w:rPr>
              <w:t>Grant</w:t>
            </w:r>
          </w:p>
        </w:tc>
        <w:tc>
          <w:tcPr>
            <w:tcW w:w="1440" w:type="dxa"/>
          </w:tcPr>
          <w:p>
            <w:pPr>
              <w:pStyle w:val="TableParagraph"/>
              <w:rPr>
                <w:rFonts w:ascii="Times New Roman"/>
                <w:sz w:val="16"/>
              </w:rPr>
            </w:pPr>
          </w:p>
        </w:tc>
        <w:tc>
          <w:tcPr>
            <w:tcW w:w="1390" w:type="dxa"/>
          </w:tcPr>
          <w:p>
            <w:pPr>
              <w:pStyle w:val="TableParagraph"/>
              <w:spacing w:before="7" w:line="201" w:lineRule="exact"/>
              <w:ind w:right="459"/>
              <w:jc w:val="right"/>
              <w:rPr>
                <w:sz w:val="19"/>
              </w:rPr>
            </w:pPr>
            <w:r>
              <w:rPr>
                <w:color w:val="0F0F0F"/>
                <w:spacing w:val="-4"/>
                <w:w w:val="105"/>
                <w:sz w:val="19"/>
              </w:rPr>
              <w:t>(65)</w:t>
            </w:r>
          </w:p>
        </w:tc>
        <w:tc>
          <w:tcPr>
            <w:tcW w:w="1097" w:type="dxa"/>
          </w:tcPr>
          <w:p>
            <w:pPr>
              <w:pStyle w:val="TableParagraph"/>
              <w:spacing w:line="208" w:lineRule="exact"/>
              <w:ind w:right="-15"/>
              <w:jc w:val="right"/>
              <w:rPr>
                <w:b/>
                <w:sz w:val="20"/>
              </w:rPr>
            </w:pPr>
            <w:r>
              <w:rPr>
                <w:b/>
                <w:color w:val="0F0F0F"/>
                <w:spacing w:val="-4"/>
                <w:sz w:val="20"/>
              </w:rPr>
              <w:t>(65)</w:t>
            </w:r>
          </w:p>
        </w:tc>
      </w:tr>
      <w:tr>
        <w:trPr>
          <w:trHeight w:val="230" w:hRule="atLeast"/>
        </w:trPr>
        <w:tc>
          <w:tcPr>
            <w:tcW w:w="4531" w:type="dxa"/>
          </w:tcPr>
          <w:p>
            <w:pPr>
              <w:pStyle w:val="TableParagraph"/>
              <w:spacing w:before="10" w:line="201" w:lineRule="exact"/>
              <w:ind w:left="52"/>
              <w:rPr>
                <w:sz w:val="19"/>
              </w:rPr>
            </w:pPr>
            <w:r>
              <w:rPr>
                <w:color w:val="0F0F0F"/>
                <w:w w:val="105"/>
                <w:sz w:val="19"/>
              </w:rPr>
              <w:t>In</w:t>
            </w:r>
            <w:r>
              <w:rPr>
                <w:color w:val="0F0F0F"/>
                <w:spacing w:val="-3"/>
                <w:w w:val="105"/>
                <w:sz w:val="19"/>
              </w:rPr>
              <w:t> </w:t>
            </w:r>
            <w:r>
              <w:rPr>
                <w:color w:val="0F0F0F"/>
                <w:w w:val="105"/>
                <w:sz w:val="19"/>
              </w:rPr>
              <w:t>lieu</w:t>
            </w:r>
            <w:r>
              <w:rPr>
                <w:color w:val="0F0F0F"/>
                <w:spacing w:val="-8"/>
                <w:w w:val="105"/>
                <w:sz w:val="19"/>
              </w:rPr>
              <w:t> </w:t>
            </w:r>
            <w:r>
              <w:rPr>
                <w:color w:val="0F0F0F"/>
                <w:w w:val="105"/>
                <w:sz w:val="19"/>
              </w:rPr>
              <w:t>of</w:t>
            </w:r>
            <w:r>
              <w:rPr>
                <w:color w:val="0F0F0F"/>
                <w:spacing w:val="-9"/>
                <w:w w:val="105"/>
                <w:sz w:val="19"/>
              </w:rPr>
              <w:t> </w:t>
            </w:r>
            <w:r>
              <w:rPr>
                <w:color w:val="0F0F0F"/>
                <w:w w:val="105"/>
                <w:sz w:val="19"/>
              </w:rPr>
              <w:t>lnspireAII</w:t>
            </w:r>
            <w:r>
              <w:rPr>
                <w:color w:val="0F0F0F"/>
                <w:spacing w:val="-6"/>
                <w:w w:val="105"/>
                <w:sz w:val="19"/>
              </w:rPr>
              <w:t> </w:t>
            </w:r>
            <w:r>
              <w:rPr>
                <w:color w:val="0F0F0F"/>
                <w:spacing w:val="-2"/>
                <w:w w:val="105"/>
                <w:sz w:val="19"/>
              </w:rPr>
              <w:t>interest</w:t>
            </w:r>
          </w:p>
        </w:tc>
        <w:tc>
          <w:tcPr>
            <w:tcW w:w="1440" w:type="dxa"/>
          </w:tcPr>
          <w:p>
            <w:pPr>
              <w:pStyle w:val="TableParagraph"/>
              <w:rPr>
                <w:rFonts w:ascii="Times New Roman"/>
                <w:sz w:val="16"/>
              </w:rPr>
            </w:pPr>
          </w:p>
        </w:tc>
        <w:tc>
          <w:tcPr>
            <w:tcW w:w="1390" w:type="dxa"/>
          </w:tcPr>
          <w:p>
            <w:pPr>
              <w:pStyle w:val="TableParagraph"/>
              <w:spacing w:before="10" w:line="201" w:lineRule="exact"/>
              <w:ind w:right="468"/>
              <w:jc w:val="right"/>
              <w:rPr>
                <w:sz w:val="19"/>
              </w:rPr>
            </w:pPr>
            <w:r>
              <w:rPr>
                <w:color w:val="0F0F0F"/>
                <w:spacing w:val="-4"/>
                <w:w w:val="105"/>
                <w:sz w:val="19"/>
              </w:rPr>
              <w:t>(218)</w:t>
            </w:r>
          </w:p>
        </w:tc>
        <w:tc>
          <w:tcPr>
            <w:tcW w:w="1097" w:type="dxa"/>
          </w:tcPr>
          <w:p>
            <w:pPr>
              <w:pStyle w:val="TableParagraph"/>
              <w:spacing w:line="211" w:lineRule="exact"/>
              <w:ind w:right="5"/>
              <w:jc w:val="right"/>
              <w:rPr>
                <w:b/>
                <w:sz w:val="20"/>
              </w:rPr>
            </w:pPr>
            <w:r>
              <w:rPr>
                <w:b/>
                <w:color w:val="0F0F0F"/>
                <w:spacing w:val="-2"/>
                <w:sz w:val="20"/>
              </w:rPr>
              <w:t>(218)</w:t>
            </w:r>
          </w:p>
        </w:tc>
      </w:tr>
      <w:tr>
        <w:trPr>
          <w:trHeight w:val="230" w:hRule="atLeast"/>
        </w:trPr>
        <w:tc>
          <w:tcPr>
            <w:tcW w:w="4531" w:type="dxa"/>
          </w:tcPr>
          <w:p>
            <w:pPr>
              <w:pStyle w:val="TableParagraph"/>
              <w:spacing w:before="10" w:line="201" w:lineRule="exact"/>
              <w:ind w:left="50"/>
              <w:rPr>
                <w:sz w:val="19"/>
              </w:rPr>
            </w:pPr>
            <w:r>
              <w:rPr>
                <w:color w:val="0F0F0F"/>
                <w:w w:val="105"/>
                <w:sz w:val="19"/>
              </w:rPr>
              <w:t>Cost</w:t>
            </w:r>
            <w:r>
              <w:rPr>
                <w:color w:val="0F0F0F"/>
                <w:spacing w:val="-4"/>
                <w:w w:val="105"/>
                <w:sz w:val="19"/>
              </w:rPr>
              <w:t> </w:t>
            </w:r>
            <w:r>
              <w:rPr>
                <w:color w:val="0F0F0F"/>
                <w:w w:val="105"/>
                <w:sz w:val="19"/>
              </w:rPr>
              <w:t>of</w:t>
            </w:r>
            <w:r>
              <w:rPr>
                <w:color w:val="0F0F0F"/>
                <w:spacing w:val="-2"/>
                <w:w w:val="105"/>
                <w:sz w:val="19"/>
              </w:rPr>
              <w:t> Living</w:t>
            </w:r>
          </w:p>
        </w:tc>
        <w:tc>
          <w:tcPr>
            <w:tcW w:w="1440" w:type="dxa"/>
          </w:tcPr>
          <w:p>
            <w:pPr>
              <w:pStyle w:val="TableParagraph"/>
              <w:rPr>
                <w:rFonts w:ascii="Times New Roman"/>
                <w:sz w:val="16"/>
              </w:rPr>
            </w:pPr>
          </w:p>
        </w:tc>
        <w:tc>
          <w:tcPr>
            <w:tcW w:w="1390" w:type="dxa"/>
          </w:tcPr>
          <w:p>
            <w:pPr>
              <w:pStyle w:val="TableParagraph"/>
              <w:spacing w:before="10" w:line="201" w:lineRule="exact"/>
              <w:ind w:right="463"/>
              <w:jc w:val="right"/>
              <w:rPr>
                <w:sz w:val="19"/>
              </w:rPr>
            </w:pPr>
            <w:r>
              <w:rPr>
                <w:color w:val="0F0F0F"/>
                <w:spacing w:val="-4"/>
                <w:w w:val="105"/>
                <w:sz w:val="19"/>
              </w:rPr>
              <w:t>(248)</w:t>
            </w:r>
          </w:p>
        </w:tc>
        <w:tc>
          <w:tcPr>
            <w:tcW w:w="1097" w:type="dxa"/>
          </w:tcPr>
          <w:p>
            <w:pPr>
              <w:pStyle w:val="TableParagraph"/>
              <w:spacing w:line="211" w:lineRule="exact"/>
              <w:ind w:right="1"/>
              <w:jc w:val="right"/>
              <w:rPr>
                <w:b/>
                <w:sz w:val="20"/>
              </w:rPr>
            </w:pPr>
            <w:r>
              <w:rPr>
                <w:b/>
                <w:color w:val="0F0F0F"/>
                <w:spacing w:val="-2"/>
                <w:sz w:val="20"/>
              </w:rPr>
              <w:t>(248)</w:t>
            </w:r>
          </w:p>
        </w:tc>
      </w:tr>
      <w:tr>
        <w:trPr>
          <w:trHeight w:val="230" w:hRule="atLeast"/>
        </w:trPr>
        <w:tc>
          <w:tcPr>
            <w:tcW w:w="4531" w:type="dxa"/>
          </w:tcPr>
          <w:p>
            <w:pPr>
              <w:pStyle w:val="TableParagraph"/>
              <w:spacing w:before="10" w:line="201" w:lineRule="exact"/>
              <w:ind w:left="54"/>
              <w:rPr>
                <w:sz w:val="19"/>
              </w:rPr>
            </w:pPr>
            <w:r>
              <w:rPr>
                <w:color w:val="0F0F0F"/>
                <w:w w:val="105"/>
                <w:sz w:val="19"/>
              </w:rPr>
              <w:t>Housing</w:t>
            </w:r>
            <w:r>
              <w:rPr>
                <w:color w:val="0F0F0F"/>
                <w:spacing w:val="-7"/>
                <w:w w:val="105"/>
                <w:sz w:val="19"/>
              </w:rPr>
              <w:t> </w:t>
            </w:r>
            <w:r>
              <w:rPr>
                <w:color w:val="0F0F0F"/>
                <w:w w:val="105"/>
                <w:sz w:val="19"/>
              </w:rPr>
              <w:t>Benefit</w:t>
            </w:r>
            <w:r>
              <w:rPr>
                <w:color w:val="0F0F0F"/>
                <w:spacing w:val="-9"/>
                <w:w w:val="105"/>
                <w:sz w:val="19"/>
              </w:rPr>
              <w:t> </w:t>
            </w:r>
            <w:r>
              <w:rPr>
                <w:color w:val="0F0F0F"/>
                <w:w w:val="105"/>
                <w:sz w:val="19"/>
              </w:rPr>
              <w:t>Overpayments</w:t>
            </w:r>
            <w:r>
              <w:rPr>
                <w:color w:val="0F0F0F"/>
                <w:spacing w:val="2"/>
                <w:w w:val="105"/>
                <w:sz w:val="19"/>
              </w:rPr>
              <w:t> </w:t>
            </w:r>
            <w:r>
              <w:rPr>
                <w:color w:val="0F0F0F"/>
                <w:spacing w:val="-2"/>
                <w:w w:val="105"/>
                <w:sz w:val="19"/>
              </w:rPr>
              <w:t>reserve</w:t>
            </w:r>
          </w:p>
        </w:tc>
        <w:tc>
          <w:tcPr>
            <w:tcW w:w="1440" w:type="dxa"/>
          </w:tcPr>
          <w:p>
            <w:pPr>
              <w:pStyle w:val="TableParagraph"/>
              <w:rPr>
                <w:rFonts w:ascii="Times New Roman"/>
                <w:sz w:val="16"/>
              </w:rPr>
            </w:pPr>
          </w:p>
        </w:tc>
        <w:tc>
          <w:tcPr>
            <w:tcW w:w="1390" w:type="dxa"/>
          </w:tcPr>
          <w:p>
            <w:pPr>
              <w:pStyle w:val="TableParagraph"/>
              <w:spacing w:before="10" w:line="201" w:lineRule="exact"/>
              <w:ind w:right="461"/>
              <w:jc w:val="right"/>
              <w:rPr>
                <w:sz w:val="19"/>
              </w:rPr>
            </w:pPr>
            <w:r>
              <w:rPr>
                <w:color w:val="0F0F0F"/>
                <w:spacing w:val="-5"/>
                <w:w w:val="105"/>
                <w:sz w:val="19"/>
              </w:rPr>
              <w:t>295</w:t>
            </w:r>
          </w:p>
        </w:tc>
        <w:tc>
          <w:tcPr>
            <w:tcW w:w="1097" w:type="dxa"/>
          </w:tcPr>
          <w:p>
            <w:pPr>
              <w:pStyle w:val="TableParagraph"/>
              <w:spacing w:line="211" w:lineRule="exact"/>
              <w:ind w:right="1"/>
              <w:jc w:val="right"/>
              <w:rPr>
                <w:b/>
                <w:sz w:val="20"/>
              </w:rPr>
            </w:pPr>
            <w:r>
              <w:rPr>
                <w:b/>
                <w:color w:val="0F0F0F"/>
                <w:spacing w:val="-5"/>
                <w:sz w:val="20"/>
              </w:rPr>
              <w:t>295</w:t>
            </w:r>
          </w:p>
        </w:tc>
      </w:tr>
      <w:tr>
        <w:trPr>
          <w:trHeight w:val="230" w:hRule="atLeast"/>
        </w:trPr>
        <w:tc>
          <w:tcPr>
            <w:tcW w:w="4531" w:type="dxa"/>
          </w:tcPr>
          <w:p>
            <w:pPr>
              <w:pStyle w:val="TableParagraph"/>
              <w:spacing w:before="10" w:line="201" w:lineRule="exact"/>
              <w:ind w:left="54"/>
              <w:rPr>
                <w:sz w:val="19"/>
              </w:rPr>
            </w:pPr>
            <w:r>
              <w:rPr>
                <w:color w:val="0F0F0F"/>
                <w:w w:val="105"/>
                <w:sz w:val="19"/>
              </w:rPr>
              <w:t>Uninsured</w:t>
            </w:r>
            <w:r>
              <w:rPr>
                <w:color w:val="0F0F0F"/>
                <w:spacing w:val="-2"/>
                <w:w w:val="105"/>
                <w:sz w:val="19"/>
              </w:rPr>
              <w:t> </w:t>
            </w:r>
            <w:r>
              <w:rPr>
                <w:color w:val="0F0F0F"/>
                <w:w w:val="105"/>
                <w:sz w:val="19"/>
              </w:rPr>
              <w:t>Losses</w:t>
            </w:r>
            <w:r>
              <w:rPr>
                <w:color w:val="0F0F0F"/>
                <w:spacing w:val="-13"/>
                <w:w w:val="105"/>
                <w:sz w:val="19"/>
              </w:rPr>
              <w:t> </w:t>
            </w:r>
            <w:r>
              <w:rPr>
                <w:color w:val="0F0F0F"/>
                <w:w w:val="105"/>
                <w:sz w:val="19"/>
              </w:rPr>
              <w:t>-</w:t>
            </w:r>
            <w:r>
              <w:rPr>
                <w:color w:val="0F0F0F"/>
                <w:spacing w:val="40"/>
                <w:w w:val="105"/>
                <w:sz w:val="19"/>
              </w:rPr>
              <w:t> </w:t>
            </w:r>
            <w:r>
              <w:rPr>
                <w:color w:val="0F0F0F"/>
                <w:w w:val="105"/>
                <w:sz w:val="19"/>
              </w:rPr>
              <w:t>insurance</w:t>
            </w:r>
            <w:r>
              <w:rPr>
                <w:color w:val="0F0F0F"/>
                <w:spacing w:val="6"/>
                <w:w w:val="105"/>
                <w:sz w:val="19"/>
              </w:rPr>
              <w:t> </w:t>
            </w:r>
            <w:r>
              <w:rPr>
                <w:color w:val="0F0F0F"/>
                <w:spacing w:val="-2"/>
                <w:w w:val="105"/>
                <w:sz w:val="19"/>
              </w:rPr>
              <w:t>receipt</w:t>
            </w:r>
          </w:p>
        </w:tc>
        <w:tc>
          <w:tcPr>
            <w:tcW w:w="1440" w:type="dxa"/>
          </w:tcPr>
          <w:p>
            <w:pPr>
              <w:pStyle w:val="TableParagraph"/>
              <w:rPr>
                <w:rFonts w:ascii="Times New Roman"/>
                <w:sz w:val="16"/>
              </w:rPr>
            </w:pPr>
          </w:p>
        </w:tc>
        <w:tc>
          <w:tcPr>
            <w:tcW w:w="1390" w:type="dxa"/>
          </w:tcPr>
          <w:p>
            <w:pPr>
              <w:pStyle w:val="TableParagraph"/>
              <w:spacing w:before="10" w:line="201" w:lineRule="exact"/>
              <w:ind w:right="458"/>
              <w:jc w:val="right"/>
              <w:rPr>
                <w:sz w:val="19"/>
              </w:rPr>
            </w:pPr>
            <w:r>
              <w:rPr>
                <w:color w:val="0F0F0F"/>
                <w:spacing w:val="-5"/>
                <w:w w:val="105"/>
                <w:sz w:val="19"/>
              </w:rPr>
              <w:t>498</w:t>
            </w:r>
          </w:p>
        </w:tc>
        <w:tc>
          <w:tcPr>
            <w:tcW w:w="1097" w:type="dxa"/>
          </w:tcPr>
          <w:p>
            <w:pPr>
              <w:pStyle w:val="TableParagraph"/>
              <w:spacing w:line="211" w:lineRule="exact"/>
              <w:jc w:val="right"/>
              <w:rPr>
                <w:b/>
                <w:sz w:val="20"/>
              </w:rPr>
            </w:pPr>
            <w:r>
              <w:rPr>
                <w:b/>
                <w:color w:val="0F0F0F"/>
                <w:spacing w:val="-5"/>
                <w:sz w:val="20"/>
              </w:rPr>
              <w:t>498</w:t>
            </w:r>
          </w:p>
        </w:tc>
      </w:tr>
      <w:tr>
        <w:trPr>
          <w:trHeight w:val="228" w:hRule="atLeast"/>
        </w:trPr>
        <w:tc>
          <w:tcPr>
            <w:tcW w:w="4531" w:type="dxa"/>
          </w:tcPr>
          <w:p>
            <w:pPr>
              <w:pStyle w:val="TableParagraph"/>
              <w:spacing w:before="10" w:line="198" w:lineRule="exact"/>
              <w:ind w:left="54"/>
              <w:rPr>
                <w:sz w:val="19"/>
              </w:rPr>
            </w:pPr>
            <w:r>
              <w:rPr>
                <w:color w:val="0F0F0F"/>
                <w:w w:val="105"/>
                <w:sz w:val="19"/>
              </w:rPr>
              <w:t>Homeless</w:t>
            </w:r>
            <w:r>
              <w:rPr>
                <w:color w:val="0F0F0F"/>
                <w:spacing w:val="-7"/>
                <w:w w:val="105"/>
                <w:sz w:val="19"/>
              </w:rPr>
              <w:t> </w:t>
            </w:r>
            <w:r>
              <w:rPr>
                <w:color w:val="0F0F0F"/>
                <w:w w:val="105"/>
                <w:sz w:val="19"/>
              </w:rPr>
              <w:t>Prevention</w:t>
            </w:r>
            <w:r>
              <w:rPr>
                <w:color w:val="0F0F0F"/>
                <w:spacing w:val="-10"/>
                <w:w w:val="105"/>
                <w:sz w:val="19"/>
              </w:rPr>
              <w:t> </w:t>
            </w:r>
            <w:r>
              <w:rPr>
                <w:color w:val="0F0F0F"/>
                <w:spacing w:val="-2"/>
                <w:w w:val="105"/>
                <w:sz w:val="19"/>
              </w:rPr>
              <w:t>Grant</w:t>
            </w:r>
          </w:p>
        </w:tc>
        <w:tc>
          <w:tcPr>
            <w:tcW w:w="1440" w:type="dxa"/>
          </w:tcPr>
          <w:p>
            <w:pPr>
              <w:pStyle w:val="TableParagraph"/>
              <w:rPr>
                <w:rFonts w:ascii="Times New Roman"/>
                <w:sz w:val="16"/>
              </w:rPr>
            </w:pPr>
          </w:p>
        </w:tc>
        <w:tc>
          <w:tcPr>
            <w:tcW w:w="1390" w:type="dxa"/>
          </w:tcPr>
          <w:p>
            <w:pPr>
              <w:pStyle w:val="TableParagraph"/>
              <w:spacing w:before="10" w:line="198" w:lineRule="exact"/>
              <w:ind w:right="454"/>
              <w:jc w:val="right"/>
              <w:rPr>
                <w:sz w:val="19"/>
              </w:rPr>
            </w:pPr>
            <w:r>
              <w:rPr>
                <w:color w:val="0F0F0F"/>
                <w:spacing w:val="-5"/>
                <w:w w:val="105"/>
                <w:sz w:val="19"/>
              </w:rPr>
              <w:t>455</w:t>
            </w:r>
          </w:p>
        </w:tc>
        <w:tc>
          <w:tcPr>
            <w:tcW w:w="1097" w:type="dxa"/>
          </w:tcPr>
          <w:p>
            <w:pPr>
              <w:pStyle w:val="TableParagraph"/>
              <w:spacing w:line="208" w:lineRule="exact"/>
              <w:jc w:val="right"/>
              <w:rPr>
                <w:b/>
                <w:sz w:val="20"/>
              </w:rPr>
            </w:pPr>
            <w:r>
              <w:rPr>
                <w:b/>
                <w:color w:val="0F0F0F"/>
                <w:spacing w:val="-5"/>
                <w:sz w:val="20"/>
              </w:rPr>
              <w:t>455</w:t>
            </w:r>
          </w:p>
        </w:tc>
      </w:tr>
      <w:tr>
        <w:trPr>
          <w:trHeight w:val="345" w:hRule="atLeast"/>
        </w:trPr>
        <w:tc>
          <w:tcPr>
            <w:tcW w:w="4531" w:type="dxa"/>
          </w:tcPr>
          <w:p>
            <w:pPr>
              <w:pStyle w:val="TableParagraph"/>
              <w:spacing w:before="7"/>
              <w:ind w:left="54"/>
              <w:rPr>
                <w:sz w:val="19"/>
              </w:rPr>
            </w:pPr>
            <w:r>
              <w:rPr>
                <w:color w:val="0F0F0F"/>
                <w:w w:val="105"/>
                <w:sz w:val="19"/>
              </w:rPr>
              <w:t>Funding</w:t>
            </w:r>
            <w:r>
              <w:rPr>
                <w:color w:val="0F0F0F"/>
                <w:spacing w:val="-7"/>
                <w:w w:val="105"/>
                <w:sz w:val="19"/>
              </w:rPr>
              <w:t> </w:t>
            </w:r>
            <w:r>
              <w:rPr>
                <w:color w:val="0F0F0F"/>
                <w:w w:val="105"/>
                <w:sz w:val="19"/>
              </w:rPr>
              <w:t>additional</w:t>
            </w:r>
            <w:r>
              <w:rPr>
                <w:color w:val="0F0F0F"/>
                <w:spacing w:val="-8"/>
                <w:w w:val="105"/>
                <w:sz w:val="19"/>
              </w:rPr>
              <w:t> </w:t>
            </w:r>
            <w:r>
              <w:rPr>
                <w:color w:val="0F0F0F"/>
                <w:w w:val="105"/>
                <w:sz w:val="19"/>
              </w:rPr>
              <w:t>pension</w:t>
            </w:r>
            <w:r>
              <w:rPr>
                <w:color w:val="0F0F0F"/>
                <w:spacing w:val="-5"/>
                <w:w w:val="105"/>
                <w:sz w:val="19"/>
              </w:rPr>
              <w:t> </w:t>
            </w:r>
            <w:r>
              <w:rPr>
                <w:color w:val="0F0F0F"/>
                <w:spacing w:val="-4"/>
                <w:w w:val="105"/>
                <w:sz w:val="19"/>
              </w:rPr>
              <w:t>cost</w:t>
            </w:r>
          </w:p>
        </w:tc>
        <w:tc>
          <w:tcPr>
            <w:tcW w:w="1440" w:type="dxa"/>
          </w:tcPr>
          <w:p>
            <w:pPr>
              <w:pStyle w:val="TableParagraph"/>
              <w:rPr>
                <w:rFonts w:ascii="Times New Roman"/>
                <w:sz w:val="18"/>
              </w:rPr>
            </w:pPr>
          </w:p>
        </w:tc>
        <w:tc>
          <w:tcPr>
            <w:tcW w:w="1390" w:type="dxa"/>
          </w:tcPr>
          <w:p>
            <w:pPr>
              <w:pStyle w:val="TableParagraph"/>
              <w:spacing w:before="7"/>
              <w:ind w:right="463"/>
              <w:jc w:val="right"/>
              <w:rPr>
                <w:sz w:val="19"/>
              </w:rPr>
            </w:pPr>
            <w:r>
              <w:rPr>
                <w:color w:val="0F0F0F"/>
                <w:spacing w:val="-4"/>
                <w:w w:val="105"/>
                <w:sz w:val="19"/>
              </w:rPr>
              <w:t>(116)</w:t>
            </w:r>
          </w:p>
        </w:tc>
        <w:tc>
          <w:tcPr>
            <w:tcW w:w="1097" w:type="dxa"/>
          </w:tcPr>
          <w:p>
            <w:pPr>
              <w:pStyle w:val="TableParagraph"/>
              <w:spacing w:line="223" w:lineRule="exact"/>
              <w:jc w:val="right"/>
              <w:rPr>
                <w:b/>
                <w:sz w:val="20"/>
              </w:rPr>
            </w:pPr>
            <w:r>
              <w:rPr>
                <w:b/>
                <w:color w:val="0F0F0F"/>
                <w:spacing w:val="-2"/>
                <w:sz w:val="20"/>
              </w:rPr>
              <w:t>(116)</w:t>
            </w:r>
          </w:p>
        </w:tc>
      </w:tr>
      <w:tr>
        <w:trPr>
          <w:trHeight w:val="574" w:hRule="atLeast"/>
        </w:trPr>
        <w:tc>
          <w:tcPr>
            <w:tcW w:w="4531" w:type="dxa"/>
          </w:tcPr>
          <w:p>
            <w:pPr>
              <w:pStyle w:val="TableParagraph"/>
              <w:spacing w:before="113"/>
              <w:ind w:left="55"/>
              <w:rPr>
                <w:b/>
                <w:sz w:val="20"/>
              </w:rPr>
            </w:pPr>
            <w:r>
              <w:rPr>
                <w:b/>
                <w:color w:val="0F0F0F"/>
                <w:sz w:val="20"/>
              </w:rPr>
              <w:t>Funding</w:t>
            </w:r>
            <w:r>
              <w:rPr>
                <w:b/>
                <w:color w:val="0F0F0F"/>
                <w:spacing w:val="-11"/>
                <w:sz w:val="20"/>
              </w:rPr>
              <w:t> </w:t>
            </w:r>
            <w:r>
              <w:rPr>
                <w:b/>
                <w:color w:val="0F0F0F"/>
                <w:spacing w:val="-2"/>
                <w:sz w:val="20"/>
              </w:rPr>
              <w:t>variances:</w:t>
            </w:r>
          </w:p>
          <w:p>
            <w:pPr>
              <w:pStyle w:val="TableParagraph"/>
              <w:spacing w:before="10" w:line="201" w:lineRule="exact"/>
              <w:ind w:left="55"/>
              <w:rPr>
                <w:sz w:val="19"/>
              </w:rPr>
            </w:pPr>
            <w:r>
              <w:rPr>
                <w:color w:val="0F0F0F"/>
                <w:w w:val="105"/>
                <w:sz w:val="19"/>
              </w:rPr>
              <w:t>Business</w:t>
            </w:r>
            <w:r>
              <w:rPr>
                <w:color w:val="0F0F0F"/>
                <w:spacing w:val="-4"/>
                <w:w w:val="105"/>
                <w:sz w:val="19"/>
              </w:rPr>
              <w:t> </w:t>
            </w:r>
            <w:r>
              <w:rPr>
                <w:color w:val="0F0F0F"/>
                <w:w w:val="105"/>
                <w:sz w:val="19"/>
              </w:rPr>
              <w:t>Rate</w:t>
            </w:r>
            <w:r>
              <w:rPr>
                <w:color w:val="0F0F0F"/>
                <w:spacing w:val="-4"/>
                <w:w w:val="105"/>
                <w:sz w:val="19"/>
              </w:rPr>
              <w:t> </w:t>
            </w:r>
            <w:r>
              <w:rPr>
                <w:color w:val="0F0F0F"/>
                <w:spacing w:val="-2"/>
                <w:w w:val="105"/>
                <w:sz w:val="19"/>
              </w:rPr>
              <w:t>Equalisation</w:t>
            </w:r>
          </w:p>
        </w:tc>
        <w:tc>
          <w:tcPr>
            <w:tcW w:w="1440" w:type="dxa"/>
          </w:tcPr>
          <w:p>
            <w:pPr>
              <w:pStyle w:val="TableParagraph"/>
              <w:rPr>
                <w:rFonts w:ascii="Times New Roman"/>
                <w:sz w:val="18"/>
              </w:rPr>
            </w:pPr>
          </w:p>
        </w:tc>
        <w:tc>
          <w:tcPr>
            <w:tcW w:w="1390" w:type="dxa"/>
          </w:tcPr>
          <w:p>
            <w:pPr>
              <w:pStyle w:val="TableParagraph"/>
              <w:spacing w:before="135"/>
              <w:rPr>
                <w:b/>
                <w:sz w:val="19"/>
              </w:rPr>
            </w:pPr>
          </w:p>
          <w:p>
            <w:pPr>
              <w:pStyle w:val="TableParagraph"/>
              <w:spacing w:line="201" w:lineRule="exact"/>
              <w:ind w:right="453"/>
              <w:jc w:val="right"/>
              <w:rPr>
                <w:sz w:val="19"/>
              </w:rPr>
            </w:pPr>
            <w:r>
              <w:rPr>
                <w:color w:val="0F0F0F"/>
                <w:spacing w:val="-2"/>
                <w:w w:val="105"/>
                <w:sz w:val="19"/>
              </w:rPr>
              <w:t>1,547</w:t>
            </w:r>
          </w:p>
        </w:tc>
        <w:tc>
          <w:tcPr>
            <w:tcW w:w="1097" w:type="dxa"/>
          </w:tcPr>
          <w:p>
            <w:pPr>
              <w:pStyle w:val="TableParagraph"/>
              <w:spacing w:before="109"/>
              <w:rPr>
                <w:b/>
                <w:sz w:val="20"/>
              </w:rPr>
            </w:pPr>
          </w:p>
          <w:p>
            <w:pPr>
              <w:pStyle w:val="TableParagraph"/>
              <w:spacing w:line="215" w:lineRule="exact"/>
              <w:ind w:right="-15"/>
              <w:jc w:val="right"/>
              <w:rPr>
                <w:b/>
                <w:sz w:val="20"/>
              </w:rPr>
            </w:pPr>
            <w:r>
              <w:rPr>
                <w:b/>
                <w:color w:val="0F0F0F"/>
                <w:spacing w:val="-2"/>
                <w:sz w:val="20"/>
              </w:rPr>
              <w:t>1,547</w:t>
            </w:r>
          </w:p>
        </w:tc>
      </w:tr>
      <w:tr>
        <w:trPr>
          <w:trHeight w:val="228" w:hRule="atLeast"/>
        </w:trPr>
        <w:tc>
          <w:tcPr>
            <w:tcW w:w="4531" w:type="dxa"/>
          </w:tcPr>
          <w:p>
            <w:pPr>
              <w:pStyle w:val="TableParagraph"/>
              <w:spacing w:before="10" w:line="199" w:lineRule="exact"/>
              <w:ind w:left="55"/>
              <w:rPr>
                <w:sz w:val="19"/>
              </w:rPr>
            </w:pPr>
            <w:r>
              <w:rPr>
                <w:color w:val="0F0F0F"/>
                <w:w w:val="105"/>
                <w:sz w:val="19"/>
              </w:rPr>
              <w:t>Collection</w:t>
            </w:r>
            <w:r>
              <w:rPr>
                <w:color w:val="0F0F0F"/>
                <w:spacing w:val="-4"/>
                <w:w w:val="105"/>
                <w:sz w:val="19"/>
              </w:rPr>
              <w:t> </w:t>
            </w:r>
            <w:r>
              <w:rPr>
                <w:color w:val="0F0F0F"/>
                <w:w w:val="105"/>
                <w:sz w:val="19"/>
              </w:rPr>
              <w:t>Fund</w:t>
            </w:r>
            <w:r>
              <w:rPr>
                <w:color w:val="0F0F0F"/>
                <w:spacing w:val="-6"/>
                <w:w w:val="105"/>
                <w:sz w:val="19"/>
              </w:rPr>
              <w:t> </w:t>
            </w:r>
            <w:r>
              <w:rPr>
                <w:color w:val="0F0F0F"/>
                <w:w w:val="105"/>
                <w:sz w:val="19"/>
              </w:rPr>
              <w:t>Reserve</w:t>
            </w:r>
            <w:r>
              <w:rPr>
                <w:color w:val="0F0F0F"/>
                <w:spacing w:val="-1"/>
                <w:w w:val="105"/>
                <w:sz w:val="19"/>
              </w:rPr>
              <w:t> </w:t>
            </w:r>
            <w:r>
              <w:rPr>
                <w:color w:val="0F0F0F"/>
                <w:w w:val="105"/>
                <w:sz w:val="19"/>
              </w:rPr>
              <w:t>-</w:t>
            </w:r>
            <w:r>
              <w:rPr>
                <w:color w:val="0F0F0F"/>
                <w:spacing w:val="1"/>
                <w:w w:val="105"/>
                <w:sz w:val="19"/>
              </w:rPr>
              <w:t> </w:t>
            </w:r>
            <w:r>
              <w:rPr>
                <w:color w:val="0F0F0F"/>
                <w:w w:val="105"/>
                <w:sz w:val="19"/>
              </w:rPr>
              <w:t>3</w:t>
            </w:r>
            <w:r>
              <w:rPr>
                <w:color w:val="0F0F0F"/>
                <w:spacing w:val="-1"/>
                <w:w w:val="105"/>
                <w:sz w:val="19"/>
              </w:rPr>
              <w:t> </w:t>
            </w:r>
            <w:r>
              <w:rPr>
                <w:color w:val="0F0F0F"/>
                <w:w w:val="105"/>
                <w:sz w:val="19"/>
              </w:rPr>
              <w:t>Year</w:t>
            </w:r>
            <w:r>
              <w:rPr>
                <w:color w:val="0F0F0F"/>
                <w:spacing w:val="-7"/>
                <w:w w:val="105"/>
                <w:sz w:val="19"/>
              </w:rPr>
              <w:t> </w:t>
            </w:r>
            <w:r>
              <w:rPr>
                <w:color w:val="0F0F0F"/>
                <w:spacing w:val="-2"/>
                <w:w w:val="105"/>
                <w:sz w:val="19"/>
              </w:rPr>
              <w:t>Spreading</w:t>
            </w:r>
          </w:p>
        </w:tc>
        <w:tc>
          <w:tcPr>
            <w:tcW w:w="1440" w:type="dxa"/>
          </w:tcPr>
          <w:p>
            <w:pPr>
              <w:pStyle w:val="TableParagraph"/>
              <w:rPr>
                <w:rFonts w:ascii="Times New Roman"/>
                <w:sz w:val="16"/>
              </w:rPr>
            </w:pPr>
          </w:p>
        </w:tc>
        <w:tc>
          <w:tcPr>
            <w:tcW w:w="1390" w:type="dxa"/>
          </w:tcPr>
          <w:p>
            <w:pPr>
              <w:pStyle w:val="TableParagraph"/>
              <w:spacing w:before="10" w:line="199" w:lineRule="exact"/>
              <w:ind w:right="468"/>
              <w:jc w:val="right"/>
              <w:rPr>
                <w:sz w:val="19"/>
              </w:rPr>
            </w:pPr>
            <w:r>
              <w:rPr>
                <w:color w:val="0F0F0F"/>
                <w:spacing w:val="-2"/>
                <w:w w:val="105"/>
                <w:sz w:val="19"/>
              </w:rPr>
              <w:t>(5,942)</w:t>
            </w:r>
          </w:p>
        </w:tc>
        <w:tc>
          <w:tcPr>
            <w:tcW w:w="1097" w:type="dxa"/>
          </w:tcPr>
          <w:p>
            <w:pPr>
              <w:pStyle w:val="TableParagraph"/>
              <w:spacing w:line="209" w:lineRule="exact"/>
              <w:ind w:right="-15"/>
              <w:jc w:val="right"/>
              <w:rPr>
                <w:b/>
                <w:sz w:val="20"/>
              </w:rPr>
            </w:pPr>
            <w:r>
              <w:rPr>
                <w:b/>
                <w:color w:val="0F0F0F"/>
                <w:spacing w:val="-2"/>
                <w:sz w:val="20"/>
              </w:rPr>
              <w:t>(5,942)</w:t>
            </w:r>
          </w:p>
        </w:tc>
      </w:tr>
    </w:tbl>
    <w:p>
      <w:pPr>
        <w:tabs>
          <w:tab w:val="left" w:leader="none" w:pos="4794"/>
          <w:tab w:val="left" w:leader="none" w:pos="5174"/>
          <w:tab w:val="left" w:leader="none" w:pos="6103"/>
          <w:tab w:val="left" w:leader="none" w:pos="7044"/>
          <w:tab w:val="left" w:leader="none" w:pos="7215"/>
          <w:tab w:val="left" w:leader="none" w:pos="8606"/>
          <w:tab w:val="left" w:leader="none" w:pos="8771"/>
        </w:tabs>
        <w:spacing w:before="9" w:line="244" w:lineRule="auto"/>
        <w:ind w:left="693" w:right="904" w:firstLine="4"/>
        <w:jc w:val="left"/>
        <w:rPr>
          <w:b/>
          <w:sz w:val="20"/>
        </w:rPr>
      </w:pPr>
      <w:r>
        <w:rPr>
          <w:color w:val="0F0F0F"/>
          <w:sz w:val="19"/>
        </w:rPr>
        <w:t>New Homes Bonus</w:t>
        <w:tab/>
        <w:tab/>
      </w:r>
      <w:r>
        <w:rPr>
          <w:color w:val="0F0F0F"/>
          <w:sz w:val="19"/>
          <w:u w:val="single" w:color="000000"/>
        </w:rPr>
        <w:tab/>
        <w:tab/>
        <w:tab/>
      </w:r>
      <w:r>
        <w:rPr>
          <w:color w:val="0F0F0F"/>
          <w:spacing w:val="-4"/>
          <w:sz w:val="19"/>
          <w:u w:val="single" w:color="000000"/>
        </w:rPr>
        <w:t>475</w:t>
      </w:r>
      <w:r>
        <w:rPr>
          <w:color w:val="0F0F0F"/>
          <w:sz w:val="19"/>
          <w:u w:val="single" w:color="000000"/>
        </w:rPr>
        <w:tab/>
        <w:tab/>
      </w:r>
      <w:r>
        <w:rPr>
          <w:b/>
          <w:color w:val="0F0F0F"/>
          <w:spacing w:val="-4"/>
          <w:sz w:val="20"/>
          <w:u w:val="single" w:color="000000"/>
        </w:rPr>
        <w:t>475</w:t>
      </w:r>
      <w:r>
        <w:rPr>
          <w:b/>
          <w:color w:val="0F0F0F"/>
          <w:spacing w:val="-4"/>
          <w:sz w:val="20"/>
          <w:u w:val="none"/>
        </w:rPr>
        <w:t> </w:t>
      </w:r>
      <w:r>
        <w:rPr>
          <w:b/>
          <w:color w:val="0F0F0F"/>
          <w:sz w:val="20"/>
          <w:u w:val="none"/>
        </w:rPr>
        <w:t>Movement</w:t>
      </w:r>
      <w:r>
        <w:rPr>
          <w:b/>
          <w:color w:val="0F0F0F"/>
          <w:spacing w:val="4"/>
          <w:sz w:val="20"/>
          <w:u w:val="none"/>
        </w:rPr>
        <w:t> </w:t>
      </w:r>
      <w:r>
        <w:rPr>
          <w:b/>
          <w:color w:val="0F0F0F"/>
          <w:sz w:val="20"/>
          <w:u w:val="none"/>
        </w:rPr>
        <w:t>in</w:t>
      </w:r>
      <w:r>
        <w:rPr>
          <w:b/>
          <w:color w:val="0F0F0F"/>
          <w:spacing w:val="-9"/>
          <w:sz w:val="20"/>
          <w:u w:val="none"/>
        </w:rPr>
        <w:t> </w:t>
      </w:r>
      <w:r>
        <w:rPr>
          <w:b/>
          <w:color w:val="0F0F0F"/>
          <w:sz w:val="20"/>
          <w:u w:val="none"/>
        </w:rPr>
        <w:t>General</w:t>
      </w:r>
      <w:r>
        <w:rPr>
          <w:b/>
          <w:color w:val="0F0F0F"/>
          <w:spacing w:val="-6"/>
          <w:sz w:val="20"/>
          <w:u w:val="none"/>
        </w:rPr>
        <w:t> </w:t>
      </w:r>
      <w:r>
        <w:rPr>
          <w:b/>
          <w:color w:val="0F0F0F"/>
          <w:sz w:val="20"/>
          <w:u w:val="none"/>
        </w:rPr>
        <w:t>Fund</w:t>
      </w:r>
      <w:r>
        <w:rPr>
          <w:b/>
          <w:color w:val="0F0F0F"/>
          <w:spacing w:val="-7"/>
          <w:sz w:val="20"/>
          <w:u w:val="none"/>
        </w:rPr>
        <w:t> </w:t>
      </w:r>
      <w:r>
        <w:rPr>
          <w:b/>
          <w:color w:val="0F0F0F"/>
          <w:spacing w:val="-2"/>
          <w:sz w:val="20"/>
          <w:u w:val="none"/>
        </w:rPr>
        <w:t>Balance</w:t>
      </w:r>
      <w:r>
        <w:rPr>
          <w:b/>
          <w:color w:val="0F0F0F"/>
          <w:sz w:val="20"/>
          <w:u w:val="none"/>
        </w:rPr>
        <w:tab/>
      </w:r>
      <w:r>
        <w:rPr>
          <w:b/>
          <w:color w:val="0F0F0F"/>
          <w:sz w:val="20"/>
          <w:u w:val="single" w:color="000000"/>
        </w:rPr>
        <w:tab/>
        <w:tab/>
      </w:r>
      <w:r>
        <w:rPr>
          <w:b/>
          <w:color w:val="0F0F0F"/>
          <w:spacing w:val="-5"/>
          <w:sz w:val="20"/>
          <w:u w:val="single" w:color="000000"/>
        </w:rPr>
        <w:t>85</w:t>
      </w:r>
      <w:r>
        <w:rPr>
          <w:b/>
          <w:color w:val="0F0F0F"/>
          <w:sz w:val="20"/>
          <w:u w:val="single" w:color="000000"/>
        </w:rPr>
        <w:tab/>
      </w:r>
      <w:r>
        <w:rPr>
          <w:b/>
          <w:color w:val="0F0F0F"/>
          <w:spacing w:val="-2"/>
          <w:sz w:val="20"/>
          <w:u w:val="single" w:color="000000"/>
        </w:rPr>
        <w:t>2,373</w:t>
      </w:r>
      <w:r>
        <w:rPr>
          <w:b/>
          <w:color w:val="0F0F0F"/>
          <w:sz w:val="20"/>
          <w:u w:val="single" w:color="000000"/>
        </w:rPr>
        <w:tab/>
      </w:r>
      <w:r>
        <w:rPr>
          <w:b/>
          <w:color w:val="0F0F0F"/>
          <w:spacing w:val="-2"/>
          <w:position w:val="1"/>
          <w:sz w:val="20"/>
          <w:u w:val="single" w:color="000000"/>
        </w:rPr>
        <w:t>2,458</w:t>
      </w:r>
      <w:r>
        <w:rPr>
          <w:b/>
          <w:color w:val="0F0F0F"/>
          <w:spacing w:val="80"/>
          <w:position w:val="1"/>
          <w:sz w:val="20"/>
          <w:u w:val="single" w:color="000000"/>
        </w:rPr>
        <w:t> </w:t>
      </w:r>
    </w:p>
    <w:p>
      <w:pPr>
        <w:spacing w:after="0" w:line="244" w:lineRule="auto"/>
        <w:jc w:val="left"/>
        <w:rPr>
          <w:sz w:val="20"/>
        </w:rPr>
        <w:sectPr>
          <w:type w:val="continuous"/>
          <w:pgSz w:w="11910" w:h="16830"/>
          <w:pgMar w:top="1940" w:right="920" w:bottom="280" w:left="840" w:header="421" w:footer="448"/>
        </w:sectPr>
      </w:pPr>
    </w:p>
    <w:p>
      <w:pPr>
        <w:pStyle w:val="BodyText"/>
        <w:rPr>
          <w:b/>
          <w:sz w:val="15"/>
        </w:rPr>
      </w:pPr>
      <w:r>
        <w:rPr/>
        <ve:AlternateContent>
          <ve:Choice Requires="wps">
            <w:drawing>
              <wp:anchor distT="0" distB="0" distL="0" distR="0" simplePos="0" relativeHeight="15745024" behindDoc="0" locked="0" layoutInCell="1" allowOverlap="1">
                <wp:simplePos x="0" y="0"/>
                <wp:positionH relativeFrom="page">
                  <wp:posOffset>106852</wp:posOffset>
                </wp:positionH>
                <wp:positionV relativeFrom="page">
                  <wp:posOffset>2703622</wp:posOffset>
                </wp:positionV>
                <wp:extent cx="1270" cy="683895"/>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1270" cy="683895"/>
                        </a:xfrm>
                        <a:custGeom>
                          <a:avLst/>
                          <a:gdLst/>
                          <a:ahLst/>
                          <a:cxnLst/>
                          <a:rect l="l" t="t" r="r" b="b"/>
                          <a:pathLst>
                            <a:path w="0" h="683895">
                              <a:moveTo>
                                <a:pt x="0" y="683530"/>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45024" stroked="true" strokecolor="#000000" strokeweight="1.201936pt" from="8.413549pt,266.704989pt" to="8.413549pt,212.883652pt">
                <v:stroke dashstyle="solid"/>
                <w10:wrap type="none"/>
              </v:line>
            </w:pict>
          </ve:Fallback>
        </ve:AlternateContent>
      </w:r>
      <w:r>
        <w:rPr/>
        <ve:AlternateContent>
          <ve:Choice Requires="wps">
            <w:drawing>
              <wp:anchor distT="0" distB="0" distL="0" distR="0" simplePos="0" relativeHeight="15745536" behindDoc="0" locked="0" layoutInCell="1" allowOverlap="1">
                <wp:simplePos x="0" y="0"/>
                <wp:positionH relativeFrom="page">
                  <wp:posOffset>119063</wp:posOffset>
                </wp:positionH>
                <wp:positionV relativeFrom="page">
                  <wp:posOffset>1922444</wp:posOffset>
                </wp:positionV>
                <wp:extent cx="1270" cy="513080"/>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1270" cy="513080"/>
                        </a:xfrm>
                        <a:custGeom>
                          <a:avLst/>
                          <a:gdLst/>
                          <a:ahLst/>
                          <a:cxnLst/>
                          <a:rect l="l" t="t" r="r" b="b"/>
                          <a:pathLst>
                            <a:path w="0" h="513080">
                              <a:moveTo>
                                <a:pt x="0" y="512648"/>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45536" stroked="true" strokecolor="#000000" strokeweight=".961549pt" from="9.375098pt,191.739554pt" to="9.375098pt,151.37355pt">
                <v:stroke dashstyle="solid"/>
                <w10:wrap type="none"/>
              </v:line>
            </w:pict>
          </ve:Fallback>
        </ve:AlternateContent>
      </w:r>
      <w:r>
        <w:rPr/>
        <ve:AlternateContent>
          <ve:Choice Requires="wps">
            <w:drawing>
              <wp:anchor distT="0" distB="0" distL="0" distR="0" simplePos="0" relativeHeight="15746048" behindDoc="0" locked="0" layoutInCell="1" allowOverlap="1">
                <wp:simplePos x="0" y="0"/>
                <wp:positionH relativeFrom="page">
                  <wp:posOffset>146539</wp:posOffset>
                </wp:positionH>
                <wp:positionV relativeFrom="page">
                  <wp:posOffset>164793</wp:posOffset>
                </wp:positionV>
                <wp:extent cx="1270" cy="756920"/>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1270" cy="756920"/>
                        </a:xfrm>
                        <a:custGeom>
                          <a:avLst/>
                          <a:gdLst/>
                          <a:ahLst/>
                          <a:cxnLst/>
                          <a:rect l="l" t="t" r="r" b="b"/>
                          <a:pathLst>
                            <a:path w="0" h="756920">
                              <a:moveTo>
                                <a:pt x="0" y="756766"/>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46048" stroked="true" strokecolor="#000000" strokeweight=".721161pt" from="11.538582pt,72.563741pt" to="11.538582pt,12.975832pt">
                <v:stroke dashstyle="solid"/>
                <w10:wrap type="none"/>
              </v:line>
            </w:pict>
          </ve:Fallback>
        </ve:AlternateContent>
      </w:r>
    </w:p>
    <w:p>
      <w:pPr>
        <w:pStyle w:val="BodyText"/>
        <w:rPr>
          <w:b/>
          <w:sz w:val="15"/>
        </w:rPr>
      </w:pPr>
    </w:p>
    <w:p>
      <w:pPr>
        <w:pStyle w:val="BodyText"/>
        <w:spacing w:before="72"/>
        <w:rPr>
          <w:b/>
          <w:sz w:val="15"/>
        </w:rPr>
      </w:pPr>
    </w:p>
    <w:p>
      <w:pPr>
        <w:spacing w:before="0"/>
        <w:ind w:left="845" w:right="0" w:firstLine="0"/>
        <w:jc w:val="left"/>
        <w:rPr>
          <w:sz w:val="15"/>
        </w:rPr>
      </w:pPr>
      <w:r>
        <w:rPr>
          <w:color w:val="A0A0A0"/>
          <w:w w:val="105"/>
          <w:sz w:val="15"/>
        </w:rPr>
        <w:t>NARRATIVE</w:t>
      </w:r>
      <w:r>
        <w:rPr>
          <w:color w:val="A0A0A0"/>
          <w:spacing w:val="26"/>
          <w:w w:val="105"/>
          <w:sz w:val="15"/>
        </w:rPr>
        <w:t> </w:t>
      </w:r>
      <w:r>
        <w:rPr>
          <w:color w:val="A0A0A0"/>
          <w:w w:val="105"/>
          <w:sz w:val="15"/>
        </w:rPr>
        <w:t>STA</w:t>
      </w:r>
      <w:r>
        <w:rPr>
          <w:color w:val="A0A0A0"/>
          <w:spacing w:val="-22"/>
          <w:w w:val="105"/>
          <w:sz w:val="15"/>
        </w:rPr>
        <w:t> </w:t>
      </w:r>
      <w:r>
        <w:rPr>
          <w:color w:val="A0A0A0"/>
          <w:spacing w:val="-2"/>
          <w:w w:val="105"/>
          <w:sz w:val="15"/>
        </w:rPr>
        <w:t>T'::MENT</w:t>
      </w:r>
    </w:p>
    <w:p>
      <w:pPr>
        <w:pStyle w:val="BodyText"/>
        <w:spacing w:before="22"/>
        <w:rPr>
          <w:sz w:val="15"/>
        </w:rPr>
      </w:pPr>
    </w:p>
    <w:p>
      <w:pPr>
        <w:pStyle w:val="ListParagraph"/>
        <w:numPr>
          <w:ilvl w:val="1"/>
          <w:numId w:val="4"/>
        </w:numPr>
        <w:tabs>
          <w:tab w:val="left" w:leader="none" w:pos="827"/>
          <w:tab w:val="left" w:leader="none" w:pos="829"/>
        </w:tabs>
        <w:spacing w:before="1" w:after="0" w:line="259" w:lineRule="auto"/>
        <w:ind w:left="827" w:right="767" w:hanging="414"/>
        <w:jc w:val="left"/>
        <w:rPr>
          <w:color w:val="0F0F0F"/>
          <w:sz w:val="24"/>
        </w:rPr>
      </w:pPr>
      <w:r>
        <w:rPr>
          <w:color w:val="0F0F0F"/>
          <w:sz w:val="24"/>
        </w:rPr>
        <w:tab/>
      </w:r>
      <w:r>
        <w:rPr>
          <w:color w:val="0F0F0F"/>
          <w:w w:val="110"/>
          <w:sz w:val="24"/>
        </w:rPr>
        <w:t>Reconciliation</w:t>
      </w:r>
      <w:r>
        <w:rPr>
          <w:color w:val="0F0F0F"/>
          <w:spacing w:val="-19"/>
          <w:w w:val="110"/>
          <w:sz w:val="24"/>
        </w:rPr>
        <w:t> </w:t>
      </w:r>
      <w:r>
        <w:rPr>
          <w:color w:val="0F0F0F"/>
          <w:w w:val="110"/>
          <w:sz w:val="24"/>
        </w:rPr>
        <w:t>from</w:t>
      </w:r>
      <w:r>
        <w:rPr>
          <w:color w:val="0F0F0F"/>
          <w:spacing w:val="-18"/>
          <w:w w:val="110"/>
          <w:sz w:val="24"/>
        </w:rPr>
        <w:t> </w:t>
      </w:r>
      <w:r>
        <w:rPr>
          <w:color w:val="0F0F0F"/>
          <w:w w:val="110"/>
          <w:sz w:val="24"/>
        </w:rPr>
        <w:t>the</w:t>
      </w:r>
      <w:r>
        <w:rPr>
          <w:color w:val="0F0F0F"/>
          <w:spacing w:val="-19"/>
          <w:w w:val="110"/>
          <w:sz w:val="24"/>
        </w:rPr>
        <w:t> </w:t>
      </w:r>
      <w:r>
        <w:rPr>
          <w:color w:val="0F0F0F"/>
          <w:w w:val="110"/>
          <w:sz w:val="24"/>
        </w:rPr>
        <w:t>reported</w:t>
      </w:r>
      <w:r>
        <w:rPr>
          <w:color w:val="0F0F0F"/>
          <w:spacing w:val="-18"/>
          <w:w w:val="110"/>
          <w:sz w:val="24"/>
        </w:rPr>
        <w:t> </w:t>
      </w:r>
      <w:r>
        <w:rPr>
          <w:color w:val="0F0F0F"/>
          <w:w w:val="110"/>
          <w:sz w:val="24"/>
        </w:rPr>
        <w:t>spend</w:t>
      </w:r>
      <w:r>
        <w:rPr>
          <w:color w:val="0F0F0F"/>
          <w:spacing w:val="-18"/>
          <w:w w:val="110"/>
          <w:sz w:val="24"/>
        </w:rPr>
        <w:t> </w:t>
      </w:r>
      <w:r>
        <w:rPr>
          <w:color w:val="0F0F0F"/>
          <w:w w:val="110"/>
          <w:sz w:val="24"/>
        </w:rPr>
        <w:t>for</w:t>
      </w:r>
      <w:r>
        <w:rPr>
          <w:color w:val="0F0F0F"/>
          <w:spacing w:val="-5"/>
          <w:w w:val="110"/>
          <w:sz w:val="24"/>
        </w:rPr>
        <w:t> </w:t>
      </w:r>
      <w:r>
        <w:rPr>
          <w:color w:val="0F0F0F"/>
          <w:w w:val="110"/>
          <w:sz w:val="24"/>
        </w:rPr>
        <w:t>the</w:t>
      </w:r>
      <w:r>
        <w:rPr>
          <w:color w:val="0F0F0F"/>
          <w:spacing w:val="-18"/>
          <w:w w:val="110"/>
          <w:sz w:val="24"/>
        </w:rPr>
        <w:t> </w:t>
      </w:r>
      <w:r>
        <w:rPr>
          <w:color w:val="0F0F0F"/>
          <w:w w:val="110"/>
          <w:sz w:val="24"/>
        </w:rPr>
        <w:t>year</w:t>
      </w:r>
      <w:r>
        <w:rPr>
          <w:color w:val="0F0F0F"/>
          <w:spacing w:val="-15"/>
          <w:w w:val="110"/>
          <w:sz w:val="24"/>
        </w:rPr>
        <w:t> </w:t>
      </w:r>
      <w:r>
        <w:rPr>
          <w:color w:val="0F0F0F"/>
          <w:w w:val="110"/>
          <w:sz w:val="24"/>
        </w:rPr>
        <w:t>to</w:t>
      </w:r>
      <w:r>
        <w:rPr>
          <w:color w:val="0F0F0F"/>
          <w:spacing w:val="-6"/>
          <w:w w:val="110"/>
          <w:sz w:val="24"/>
        </w:rPr>
        <w:t> </w:t>
      </w:r>
      <w:r>
        <w:rPr>
          <w:color w:val="0F0F0F"/>
          <w:w w:val="110"/>
          <w:sz w:val="24"/>
        </w:rPr>
        <w:t>the</w:t>
      </w:r>
      <w:r>
        <w:rPr>
          <w:color w:val="0F0F0F"/>
          <w:spacing w:val="-19"/>
          <w:w w:val="110"/>
          <w:sz w:val="24"/>
        </w:rPr>
        <w:t> </w:t>
      </w:r>
      <w:r>
        <w:rPr>
          <w:color w:val="0F0F0F"/>
          <w:w w:val="110"/>
          <w:sz w:val="24"/>
        </w:rPr>
        <w:t>Expenditure</w:t>
      </w:r>
      <w:r>
        <w:rPr>
          <w:color w:val="0F0F0F"/>
          <w:spacing w:val="-6"/>
          <w:w w:val="110"/>
          <w:sz w:val="24"/>
        </w:rPr>
        <w:t> </w:t>
      </w:r>
      <w:r>
        <w:rPr>
          <w:color w:val="0F0F0F"/>
          <w:w w:val="110"/>
          <w:sz w:val="24"/>
        </w:rPr>
        <w:t>and Funding</w:t>
      </w:r>
      <w:r>
        <w:rPr>
          <w:color w:val="0F0F0F"/>
          <w:spacing w:val="-16"/>
          <w:w w:val="110"/>
          <w:sz w:val="24"/>
        </w:rPr>
        <w:t> </w:t>
      </w:r>
      <w:r>
        <w:rPr>
          <w:color w:val="0F0F0F"/>
          <w:w w:val="110"/>
          <w:sz w:val="24"/>
        </w:rPr>
        <w:t>analysis</w:t>
      </w:r>
      <w:r>
        <w:rPr>
          <w:color w:val="0F0F0F"/>
          <w:spacing w:val="-3"/>
          <w:w w:val="110"/>
          <w:sz w:val="24"/>
        </w:rPr>
        <w:t> </w:t>
      </w:r>
      <w:r>
        <w:rPr>
          <w:color w:val="0F0F0F"/>
          <w:w w:val="110"/>
          <w:sz w:val="24"/>
        </w:rPr>
        <w:t>-</w:t>
      </w:r>
      <w:r>
        <w:rPr>
          <w:color w:val="0F0F0F"/>
          <w:spacing w:val="40"/>
          <w:w w:val="110"/>
          <w:sz w:val="24"/>
        </w:rPr>
        <w:t> </w:t>
      </w:r>
      <w:r>
        <w:rPr>
          <w:color w:val="0F0F0F"/>
          <w:w w:val="110"/>
          <w:sz w:val="24"/>
        </w:rPr>
        <w:t>Net</w:t>
      </w:r>
      <w:r>
        <w:rPr>
          <w:color w:val="0F0F0F"/>
          <w:spacing w:val="-21"/>
          <w:w w:val="110"/>
          <w:sz w:val="24"/>
        </w:rPr>
        <w:t> </w:t>
      </w:r>
      <w:r>
        <w:rPr>
          <w:color w:val="0F0F0F"/>
          <w:w w:val="110"/>
          <w:sz w:val="24"/>
        </w:rPr>
        <w:t>General</w:t>
      </w:r>
      <w:r>
        <w:rPr>
          <w:color w:val="0F0F0F"/>
          <w:spacing w:val="-13"/>
          <w:w w:val="110"/>
          <w:sz w:val="24"/>
        </w:rPr>
        <w:t> </w:t>
      </w:r>
      <w:r>
        <w:rPr>
          <w:color w:val="0F0F0F"/>
          <w:w w:val="110"/>
          <w:sz w:val="24"/>
        </w:rPr>
        <w:t>Fund</w:t>
      </w:r>
      <w:r>
        <w:rPr>
          <w:color w:val="0F0F0F"/>
          <w:spacing w:val="-17"/>
          <w:w w:val="110"/>
          <w:sz w:val="24"/>
        </w:rPr>
        <w:t> </w:t>
      </w:r>
      <w:r>
        <w:rPr>
          <w:color w:val="0F0F0F"/>
          <w:w w:val="110"/>
          <w:sz w:val="24"/>
        </w:rPr>
        <w:t>Expenditure (note</w:t>
      </w:r>
      <w:r>
        <w:rPr>
          <w:color w:val="0F0F0F"/>
          <w:spacing w:val="-8"/>
          <w:w w:val="110"/>
          <w:sz w:val="24"/>
        </w:rPr>
        <w:t> </w:t>
      </w:r>
      <w:r>
        <w:rPr>
          <w:b/>
          <w:color w:val="0F0F0F"/>
          <w:w w:val="110"/>
          <w:sz w:val="23"/>
        </w:rPr>
        <w:t>5.15 </w:t>
      </w:r>
      <w:r>
        <w:rPr>
          <w:color w:val="0F0F0F"/>
          <w:w w:val="110"/>
          <w:sz w:val="24"/>
        </w:rPr>
        <w:t>column</w:t>
      </w:r>
      <w:r>
        <w:rPr>
          <w:color w:val="0F0F0F"/>
          <w:spacing w:val="-19"/>
          <w:w w:val="110"/>
          <w:sz w:val="24"/>
        </w:rPr>
        <w:t> </w:t>
      </w:r>
      <w:r>
        <w:rPr>
          <w:color w:val="0F0F0F"/>
          <w:w w:val="110"/>
          <w:sz w:val="24"/>
        </w:rPr>
        <w:t>1).</w:t>
      </w:r>
    </w:p>
    <w:p>
      <w:pPr>
        <w:pStyle w:val="BodyText"/>
        <w:spacing w:before="8"/>
        <w:rPr>
          <w:sz w:val="13"/>
        </w:rPr>
      </w:pPr>
    </w:p>
    <w:tbl>
      <w:tblPr>
        <w:tblW w:w="0" w:type="auto"/>
        <w:jc w:val="left"/>
        <w:tblInd w:w="4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2081"/>
        <w:gridCol w:w="1196"/>
        <w:gridCol w:w="1410"/>
        <w:gridCol w:w="1257"/>
        <w:gridCol w:w="1488"/>
        <w:gridCol w:w="1085"/>
        <w:gridCol w:w="996"/>
      </w:tblGrid>
      <w:tr>
        <w:trPr>
          <w:trHeight w:val="619" w:hRule="atLeast"/>
        </w:trPr>
        <w:tc>
          <w:tcPr>
            <w:tcW w:w="3277" w:type="dxa"/>
            <w:gridSpan w:val="2"/>
          </w:tcPr>
          <w:p>
            <w:pPr>
              <w:pStyle w:val="TableParagraph"/>
              <w:spacing w:before="195" w:line="202" w:lineRule="exact"/>
              <w:ind w:left="2337" w:right="232" w:hanging="40"/>
              <w:jc w:val="right"/>
              <w:rPr>
                <w:b/>
                <w:sz w:val="18"/>
              </w:rPr>
            </w:pPr>
            <w:r>
              <w:rPr>
                <w:b/>
                <w:color w:val="0F0F0F"/>
                <w:spacing w:val="-2"/>
                <w:sz w:val="18"/>
              </w:rPr>
              <w:t>Revenue Outturn</w:t>
            </w:r>
          </w:p>
        </w:tc>
        <w:tc>
          <w:tcPr>
            <w:tcW w:w="1410" w:type="dxa"/>
          </w:tcPr>
          <w:p>
            <w:pPr>
              <w:pStyle w:val="TableParagraph"/>
              <w:spacing w:line="201" w:lineRule="exact"/>
              <w:ind w:left="177" w:firstLine="263"/>
              <w:rPr>
                <w:b/>
                <w:sz w:val="18"/>
              </w:rPr>
            </w:pPr>
            <w:r>
              <w:rPr>
                <w:b/>
                <w:color w:val="0F0F0F"/>
                <w:spacing w:val="-2"/>
                <w:sz w:val="18"/>
              </w:rPr>
              <w:t>Other</w:t>
            </w:r>
          </w:p>
          <w:p>
            <w:pPr>
              <w:pStyle w:val="TableParagraph"/>
              <w:spacing w:line="202" w:lineRule="exact"/>
              <w:ind w:left="147" w:right="196" w:firstLine="29"/>
              <w:rPr>
                <w:b/>
                <w:sz w:val="18"/>
              </w:rPr>
            </w:pPr>
            <w:r>
              <w:rPr>
                <w:b/>
                <w:color w:val="0F0F0F"/>
                <w:spacing w:val="-2"/>
                <w:sz w:val="18"/>
              </w:rPr>
              <w:t>movements </w:t>
            </w:r>
            <w:r>
              <w:rPr>
                <w:b/>
                <w:color w:val="0F0F0F"/>
                <w:sz w:val="18"/>
              </w:rPr>
              <w:t>post</w:t>
            </w:r>
            <w:r>
              <w:rPr>
                <w:b/>
                <w:color w:val="0F0F0F"/>
                <w:spacing w:val="-13"/>
                <w:sz w:val="18"/>
              </w:rPr>
              <w:t> </w:t>
            </w:r>
            <w:r>
              <w:rPr>
                <w:b/>
                <w:color w:val="0F0F0F"/>
                <w:sz w:val="18"/>
              </w:rPr>
              <w:t>outturn</w:t>
            </w:r>
          </w:p>
        </w:tc>
        <w:tc>
          <w:tcPr>
            <w:tcW w:w="1257" w:type="dxa"/>
          </w:tcPr>
          <w:p>
            <w:pPr>
              <w:pStyle w:val="TableParagraph"/>
              <w:spacing w:line="201" w:lineRule="exact"/>
              <w:ind w:left="254" w:firstLine="29"/>
              <w:rPr>
                <w:b/>
                <w:sz w:val="18"/>
              </w:rPr>
            </w:pPr>
            <w:r>
              <w:rPr>
                <w:b/>
                <w:color w:val="0F0F0F"/>
                <w:spacing w:val="-2"/>
                <w:sz w:val="18"/>
              </w:rPr>
              <w:t>Trading</w:t>
            </w:r>
          </w:p>
          <w:p>
            <w:pPr>
              <w:pStyle w:val="TableParagraph"/>
              <w:spacing w:line="202" w:lineRule="exact"/>
              <w:ind w:left="145" w:firstLine="109"/>
              <w:rPr>
                <w:b/>
                <w:sz w:val="18"/>
              </w:rPr>
            </w:pPr>
            <w:r>
              <w:rPr>
                <w:b/>
                <w:color w:val="0F0F0F"/>
                <w:spacing w:val="-2"/>
                <w:sz w:val="18"/>
              </w:rPr>
              <w:t>Account Recharges</w:t>
            </w:r>
          </w:p>
        </w:tc>
        <w:tc>
          <w:tcPr>
            <w:tcW w:w="1488" w:type="dxa"/>
          </w:tcPr>
          <w:p>
            <w:pPr>
              <w:pStyle w:val="TableParagraph"/>
              <w:ind w:left="124" w:right="204" w:hanging="3"/>
              <w:jc w:val="center"/>
              <w:rPr>
                <w:b/>
                <w:sz w:val="18"/>
              </w:rPr>
            </w:pPr>
            <w:r>
              <w:rPr>
                <w:b/>
                <w:color w:val="0F0F0F"/>
                <w:spacing w:val="-2"/>
                <w:w w:val="105"/>
                <w:sz w:val="18"/>
              </w:rPr>
              <w:t>Contribution </w:t>
            </w:r>
            <w:r>
              <w:rPr>
                <w:b/>
                <w:color w:val="0F0F0F"/>
                <w:w w:val="105"/>
                <w:sz w:val="18"/>
              </w:rPr>
              <w:t>to/from</w:t>
            </w:r>
            <w:r>
              <w:rPr>
                <w:b/>
                <w:color w:val="0F0F0F"/>
                <w:spacing w:val="-4"/>
                <w:w w:val="105"/>
                <w:sz w:val="18"/>
              </w:rPr>
              <w:t> </w:t>
            </w:r>
            <w:r>
              <w:rPr>
                <w:b/>
                <w:color w:val="0F0F0F"/>
                <w:w w:val="105"/>
                <w:sz w:val="18"/>
              </w:rPr>
              <w:t>EMR</w:t>
            </w:r>
          </w:p>
          <w:p>
            <w:pPr>
              <w:pStyle w:val="TableParagraph"/>
              <w:spacing w:line="187" w:lineRule="exact"/>
              <w:ind w:left="9" w:right="91"/>
              <w:jc w:val="center"/>
              <w:rPr>
                <w:b/>
                <w:sz w:val="18"/>
              </w:rPr>
            </w:pPr>
            <w:r>
              <w:rPr>
                <w:b/>
                <w:color w:val="0F0F0F"/>
                <w:spacing w:val="-2"/>
                <w:w w:val="105"/>
                <w:sz w:val="18"/>
              </w:rPr>
              <w:t>in</w:t>
            </w:r>
            <w:r>
              <w:rPr>
                <w:b/>
                <w:color w:val="0F0F0F"/>
                <w:spacing w:val="-11"/>
                <w:w w:val="105"/>
                <w:sz w:val="18"/>
              </w:rPr>
              <w:t> </w:t>
            </w:r>
            <w:r>
              <w:rPr>
                <w:b/>
                <w:color w:val="0F0F0F"/>
                <w:spacing w:val="-2"/>
                <w:w w:val="105"/>
                <w:sz w:val="18"/>
              </w:rPr>
              <w:t>outturn</w:t>
            </w:r>
          </w:p>
        </w:tc>
        <w:tc>
          <w:tcPr>
            <w:tcW w:w="1085" w:type="dxa"/>
          </w:tcPr>
          <w:p>
            <w:pPr>
              <w:pStyle w:val="TableParagraph"/>
              <w:spacing w:line="201" w:lineRule="exact"/>
              <w:ind w:left="233" w:hanging="38"/>
              <w:rPr>
                <w:b/>
                <w:sz w:val="18"/>
              </w:rPr>
            </w:pPr>
            <w:r>
              <w:rPr>
                <w:b/>
                <w:color w:val="0F0F0F"/>
                <w:spacing w:val="-2"/>
                <w:sz w:val="18"/>
              </w:rPr>
              <w:t>Shown</w:t>
            </w:r>
          </w:p>
          <w:p>
            <w:pPr>
              <w:pStyle w:val="TableParagraph"/>
              <w:spacing w:line="206" w:lineRule="exact"/>
              <w:ind w:left="299" w:right="334" w:hanging="67"/>
              <w:rPr>
                <w:b/>
                <w:sz w:val="18"/>
              </w:rPr>
            </w:pPr>
            <w:r>
              <w:rPr>
                <w:b/>
                <w:color w:val="0F0F0F"/>
                <w:spacing w:val="-2"/>
                <w:sz w:val="18"/>
              </w:rPr>
              <w:t>below </w:t>
            </w:r>
            <w:r>
              <w:rPr>
                <w:b/>
                <w:color w:val="0F0F0F"/>
                <w:spacing w:val="-4"/>
                <w:sz w:val="18"/>
              </w:rPr>
              <w:t>NCS</w:t>
            </w:r>
          </w:p>
        </w:tc>
        <w:tc>
          <w:tcPr>
            <w:tcW w:w="996" w:type="dxa"/>
          </w:tcPr>
          <w:p>
            <w:pPr>
              <w:pStyle w:val="TableParagraph"/>
              <w:spacing w:before="201" w:line="207" w:lineRule="exact"/>
              <w:ind w:left="84" w:right="10"/>
              <w:jc w:val="center"/>
              <w:rPr>
                <w:b/>
                <w:sz w:val="18"/>
              </w:rPr>
            </w:pPr>
            <w:r>
              <w:rPr>
                <w:b/>
                <w:color w:val="0F0F0F"/>
                <w:spacing w:val="-5"/>
                <w:sz w:val="18"/>
              </w:rPr>
              <w:t>EFA</w:t>
            </w:r>
          </w:p>
          <w:p>
            <w:pPr>
              <w:pStyle w:val="TableParagraph"/>
              <w:spacing w:line="192" w:lineRule="exact"/>
              <w:ind w:left="84"/>
              <w:jc w:val="center"/>
              <w:rPr>
                <w:b/>
                <w:sz w:val="18"/>
              </w:rPr>
            </w:pPr>
            <w:r>
              <w:rPr>
                <w:b/>
                <w:color w:val="0F0F0F"/>
                <w:sz w:val="18"/>
              </w:rPr>
              <w:t>Column</w:t>
            </w:r>
            <w:r>
              <w:rPr>
                <w:b/>
                <w:color w:val="0F0F0F"/>
                <w:spacing w:val="-11"/>
                <w:sz w:val="18"/>
              </w:rPr>
              <w:t> </w:t>
            </w:r>
            <w:r>
              <w:rPr>
                <w:b/>
                <w:color w:val="0F0F0F"/>
                <w:spacing w:val="-10"/>
                <w:sz w:val="18"/>
              </w:rPr>
              <w:t>1</w:t>
            </w:r>
          </w:p>
        </w:tc>
      </w:tr>
      <w:tr>
        <w:trPr>
          <w:trHeight w:val="206" w:hRule="atLeast"/>
        </w:trPr>
        <w:tc>
          <w:tcPr>
            <w:tcW w:w="3277" w:type="dxa"/>
            <w:gridSpan w:val="2"/>
          </w:tcPr>
          <w:p>
            <w:pPr>
              <w:pStyle w:val="TableParagraph"/>
              <w:tabs>
                <w:tab w:val="left" w:leader="none" w:pos="2469"/>
              </w:tabs>
              <w:spacing w:line="186" w:lineRule="exact"/>
              <w:ind w:left="103"/>
              <w:rPr>
                <w:b/>
                <w:sz w:val="18"/>
              </w:rPr>
            </w:pPr>
            <w:r>
              <w:rPr>
                <w:b/>
                <w:color w:val="0F0F0F"/>
                <w:spacing w:val="-2"/>
                <w:sz w:val="18"/>
              </w:rPr>
              <w:t>Service</w:t>
            </w:r>
            <w:r>
              <w:rPr>
                <w:b/>
                <w:color w:val="0F0F0F"/>
                <w:sz w:val="18"/>
              </w:rPr>
              <w:tab/>
            </w:r>
            <w:r>
              <w:rPr>
                <w:b/>
                <w:color w:val="0F0F0F"/>
                <w:spacing w:val="-4"/>
                <w:sz w:val="18"/>
              </w:rPr>
              <w:t>£000</w:t>
            </w:r>
          </w:p>
        </w:tc>
        <w:tc>
          <w:tcPr>
            <w:tcW w:w="1410" w:type="dxa"/>
          </w:tcPr>
          <w:p>
            <w:pPr>
              <w:pStyle w:val="TableParagraph"/>
              <w:spacing w:line="186" w:lineRule="exact"/>
              <w:ind w:left="18" w:right="78"/>
              <w:jc w:val="center"/>
              <w:rPr>
                <w:b/>
                <w:sz w:val="18"/>
              </w:rPr>
            </w:pPr>
            <w:r>
              <w:rPr>
                <w:b/>
                <w:color w:val="0F0F0F"/>
                <w:spacing w:val="-4"/>
                <w:sz w:val="18"/>
              </w:rPr>
              <w:t>£000</w:t>
            </w:r>
          </w:p>
        </w:tc>
        <w:tc>
          <w:tcPr>
            <w:tcW w:w="1257" w:type="dxa"/>
          </w:tcPr>
          <w:p>
            <w:pPr>
              <w:pStyle w:val="TableParagraph"/>
              <w:spacing w:line="186" w:lineRule="exact"/>
              <w:ind w:left="412"/>
              <w:rPr>
                <w:b/>
                <w:sz w:val="18"/>
              </w:rPr>
            </w:pPr>
            <w:r>
              <w:rPr>
                <w:b/>
                <w:color w:val="0F0F0F"/>
                <w:spacing w:val="-4"/>
                <w:sz w:val="18"/>
              </w:rPr>
              <w:t>£000</w:t>
            </w:r>
          </w:p>
        </w:tc>
        <w:tc>
          <w:tcPr>
            <w:tcW w:w="1488" w:type="dxa"/>
          </w:tcPr>
          <w:p>
            <w:pPr>
              <w:pStyle w:val="TableParagraph"/>
              <w:spacing w:line="186" w:lineRule="exact"/>
              <w:ind w:right="91"/>
              <w:jc w:val="center"/>
              <w:rPr>
                <w:b/>
                <w:sz w:val="18"/>
              </w:rPr>
            </w:pPr>
            <w:r>
              <w:rPr>
                <w:b/>
                <w:color w:val="0F0F0F"/>
                <w:spacing w:val="-4"/>
                <w:sz w:val="18"/>
              </w:rPr>
              <w:t>£000</w:t>
            </w:r>
          </w:p>
        </w:tc>
        <w:tc>
          <w:tcPr>
            <w:tcW w:w="1085" w:type="dxa"/>
          </w:tcPr>
          <w:p>
            <w:pPr>
              <w:pStyle w:val="TableParagraph"/>
              <w:spacing w:line="186" w:lineRule="exact"/>
              <w:ind w:left="292"/>
              <w:rPr>
                <w:b/>
                <w:sz w:val="18"/>
              </w:rPr>
            </w:pPr>
            <w:r>
              <w:rPr>
                <w:b/>
                <w:color w:val="0F0F0F"/>
                <w:spacing w:val="-4"/>
                <w:sz w:val="18"/>
              </w:rPr>
              <w:t>£000</w:t>
            </w:r>
          </w:p>
        </w:tc>
        <w:tc>
          <w:tcPr>
            <w:tcW w:w="996" w:type="dxa"/>
          </w:tcPr>
          <w:p>
            <w:pPr>
              <w:pStyle w:val="TableParagraph"/>
              <w:spacing w:line="186" w:lineRule="exact"/>
              <w:ind w:left="337"/>
              <w:rPr>
                <w:b/>
                <w:sz w:val="18"/>
              </w:rPr>
            </w:pPr>
            <w:r>
              <w:rPr>
                <w:b/>
                <w:color w:val="0F0F0F"/>
                <w:spacing w:val="-4"/>
                <w:sz w:val="18"/>
              </w:rPr>
              <w:t>£000</w:t>
            </w:r>
          </w:p>
        </w:tc>
      </w:tr>
      <w:tr>
        <w:trPr>
          <w:trHeight w:val="204" w:hRule="atLeast"/>
        </w:trPr>
        <w:tc>
          <w:tcPr>
            <w:tcW w:w="2081" w:type="dxa"/>
          </w:tcPr>
          <w:p>
            <w:pPr>
              <w:pStyle w:val="TableParagraph"/>
              <w:spacing w:line="184" w:lineRule="exact"/>
              <w:ind w:left="105"/>
              <w:rPr>
                <w:sz w:val="18"/>
              </w:rPr>
            </w:pPr>
            <w:r>
              <w:rPr>
                <w:color w:val="0F0F0F"/>
                <w:sz w:val="18"/>
              </w:rPr>
              <w:t>Asset</w:t>
            </w:r>
            <w:r>
              <w:rPr>
                <w:color w:val="0F0F0F"/>
                <w:spacing w:val="-9"/>
                <w:sz w:val="18"/>
              </w:rPr>
              <w:t> </w:t>
            </w:r>
            <w:r>
              <w:rPr>
                <w:color w:val="0F0F0F"/>
                <w:spacing w:val="-2"/>
                <w:sz w:val="18"/>
              </w:rPr>
              <w:t>Management</w:t>
            </w:r>
          </w:p>
        </w:tc>
        <w:tc>
          <w:tcPr>
            <w:tcW w:w="1196" w:type="dxa"/>
          </w:tcPr>
          <w:p>
            <w:pPr>
              <w:pStyle w:val="TableParagraph"/>
              <w:spacing w:line="184" w:lineRule="exact"/>
              <w:ind w:right="146"/>
              <w:jc w:val="right"/>
              <w:rPr>
                <w:b/>
                <w:sz w:val="18"/>
              </w:rPr>
            </w:pPr>
            <w:r>
              <w:rPr>
                <w:b/>
                <w:color w:val="0F0F0F"/>
                <w:spacing w:val="-2"/>
                <w:sz w:val="18"/>
              </w:rPr>
              <w:t>(4,049)</w:t>
            </w:r>
          </w:p>
        </w:tc>
        <w:tc>
          <w:tcPr>
            <w:tcW w:w="1410" w:type="dxa"/>
          </w:tcPr>
          <w:p>
            <w:pPr>
              <w:pStyle w:val="TableParagraph"/>
              <w:spacing w:line="184" w:lineRule="exact"/>
              <w:ind w:right="146"/>
              <w:jc w:val="right"/>
              <w:rPr>
                <w:sz w:val="18"/>
              </w:rPr>
            </w:pPr>
            <w:r>
              <w:rPr>
                <w:color w:val="0F0F0F"/>
                <w:spacing w:val="-2"/>
                <w:sz w:val="18"/>
              </w:rPr>
              <w:t>(6,719)</w:t>
            </w:r>
          </w:p>
        </w:tc>
        <w:tc>
          <w:tcPr>
            <w:tcW w:w="1257" w:type="dxa"/>
          </w:tcPr>
          <w:p>
            <w:pPr>
              <w:pStyle w:val="TableParagraph"/>
              <w:rPr>
                <w:rFonts w:ascii="Times New Roman"/>
                <w:sz w:val="14"/>
              </w:rPr>
            </w:pPr>
          </w:p>
        </w:tc>
        <w:tc>
          <w:tcPr>
            <w:tcW w:w="1488" w:type="dxa"/>
          </w:tcPr>
          <w:p>
            <w:pPr>
              <w:pStyle w:val="TableParagraph"/>
              <w:spacing w:line="184" w:lineRule="exact"/>
              <w:ind w:right="193"/>
              <w:jc w:val="right"/>
              <w:rPr>
                <w:sz w:val="18"/>
              </w:rPr>
            </w:pPr>
            <w:r>
              <w:rPr>
                <w:color w:val="0F0F0F"/>
                <w:spacing w:val="-2"/>
                <w:sz w:val="18"/>
              </w:rPr>
              <w:t>(198)</w:t>
            </w:r>
          </w:p>
        </w:tc>
        <w:tc>
          <w:tcPr>
            <w:tcW w:w="1085" w:type="dxa"/>
          </w:tcPr>
          <w:p>
            <w:pPr>
              <w:pStyle w:val="TableParagraph"/>
              <w:spacing w:line="184" w:lineRule="exact"/>
              <w:ind w:right="121"/>
              <w:jc w:val="right"/>
              <w:rPr>
                <w:sz w:val="18"/>
              </w:rPr>
            </w:pPr>
            <w:r>
              <w:rPr>
                <w:color w:val="0F0F0F"/>
                <w:spacing w:val="-5"/>
                <w:w w:val="105"/>
                <w:sz w:val="18"/>
              </w:rPr>
              <w:t>569</w:t>
            </w:r>
          </w:p>
        </w:tc>
        <w:tc>
          <w:tcPr>
            <w:tcW w:w="996" w:type="dxa"/>
          </w:tcPr>
          <w:p>
            <w:pPr>
              <w:pStyle w:val="TableParagraph"/>
              <w:spacing w:line="184" w:lineRule="exact"/>
              <w:ind w:right="8"/>
              <w:jc w:val="right"/>
              <w:rPr>
                <w:sz w:val="18"/>
              </w:rPr>
            </w:pPr>
            <w:r>
              <w:rPr>
                <w:color w:val="0F0F0F"/>
                <w:spacing w:val="-2"/>
                <w:sz w:val="18"/>
              </w:rPr>
              <w:t>(10,397)</w:t>
            </w:r>
          </w:p>
        </w:tc>
      </w:tr>
      <w:tr>
        <w:trPr>
          <w:trHeight w:val="212" w:hRule="atLeast"/>
        </w:trPr>
        <w:tc>
          <w:tcPr>
            <w:tcW w:w="2081" w:type="dxa"/>
          </w:tcPr>
          <w:p>
            <w:pPr>
              <w:pStyle w:val="TableParagraph"/>
              <w:spacing w:line="192" w:lineRule="exact"/>
              <w:ind w:left="100"/>
              <w:rPr>
                <w:sz w:val="18"/>
              </w:rPr>
            </w:pPr>
            <w:r>
              <w:rPr>
                <w:color w:val="0F0F0F"/>
                <w:sz w:val="18"/>
              </w:rPr>
              <w:t>Audit</w:t>
            </w:r>
            <w:r>
              <w:rPr>
                <w:color w:val="0F0F0F"/>
                <w:spacing w:val="-4"/>
                <w:sz w:val="18"/>
              </w:rPr>
              <w:t> </w:t>
            </w:r>
            <w:r>
              <w:rPr>
                <w:color w:val="0F0F0F"/>
                <w:sz w:val="19"/>
              </w:rPr>
              <w:t>&amp;</w:t>
            </w:r>
            <w:r>
              <w:rPr>
                <w:color w:val="0F0F0F"/>
                <w:spacing w:val="-7"/>
                <w:sz w:val="19"/>
              </w:rPr>
              <w:t> </w:t>
            </w:r>
            <w:r>
              <w:rPr>
                <w:color w:val="0F0F0F"/>
                <w:spacing w:val="-2"/>
                <w:sz w:val="18"/>
              </w:rPr>
              <w:t>Assurance</w:t>
            </w:r>
          </w:p>
        </w:tc>
        <w:tc>
          <w:tcPr>
            <w:tcW w:w="1196" w:type="dxa"/>
          </w:tcPr>
          <w:p>
            <w:pPr>
              <w:pStyle w:val="TableParagraph"/>
              <w:spacing w:before="1" w:line="191" w:lineRule="exact"/>
              <w:ind w:right="148"/>
              <w:jc w:val="right"/>
              <w:rPr>
                <w:sz w:val="18"/>
              </w:rPr>
            </w:pPr>
            <w:r>
              <w:rPr>
                <w:color w:val="0F0F0F"/>
                <w:spacing w:val="-5"/>
                <w:sz w:val="18"/>
              </w:rPr>
              <w:t>195</w:t>
            </w:r>
          </w:p>
        </w:tc>
        <w:tc>
          <w:tcPr>
            <w:tcW w:w="1410" w:type="dxa"/>
          </w:tcPr>
          <w:p>
            <w:pPr>
              <w:pStyle w:val="TableParagraph"/>
              <w:rPr>
                <w:rFonts w:ascii="Times New Roman"/>
                <w:sz w:val="14"/>
              </w:rPr>
            </w:pPr>
          </w:p>
        </w:tc>
        <w:tc>
          <w:tcPr>
            <w:tcW w:w="1257" w:type="dxa"/>
          </w:tcPr>
          <w:p>
            <w:pPr>
              <w:pStyle w:val="TableParagraph"/>
              <w:rPr>
                <w:rFonts w:ascii="Times New Roman"/>
                <w:sz w:val="14"/>
              </w:rPr>
            </w:pPr>
          </w:p>
        </w:tc>
        <w:tc>
          <w:tcPr>
            <w:tcW w:w="1488" w:type="dxa"/>
          </w:tcPr>
          <w:p>
            <w:pPr>
              <w:pStyle w:val="TableParagraph"/>
              <w:rPr>
                <w:rFonts w:ascii="Times New Roman"/>
                <w:sz w:val="14"/>
              </w:rPr>
            </w:pPr>
          </w:p>
        </w:tc>
        <w:tc>
          <w:tcPr>
            <w:tcW w:w="1085" w:type="dxa"/>
          </w:tcPr>
          <w:p>
            <w:pPr>
              <w:pStyle w:val="TableParagraph"/>
              <w:rPr>
                <w:rFonts w:ascii="Times New Roman"/>
                <w:sz w:val="14"/>
              </w:rPr>
            </w:pPr>
          </w:p>
        </w:tc>
        <w:tc>
          <w:tcPr>
            <w:tcW w:w="996" w:type="dxa"/>
          </w:tcPr>
          <w:p>
            <w:pPr>
              <w:pStyle w:val="TableParagraph"/>
              <w:spacing w:before="1" w:line="191" w:lineRule="exact"/>
              <w:ind w:right="-15"/>
              <w:jc w:val="right"/>
              <w:rPr>
                <w:sz w:val="18"/>
              </w:rPr>
            </w:pPr>
            <w:r>
              <w:rPr>
                <w:color w:val="0F0F0F"/>
                <w:spacing w:val="-5"/>
                <w:sz w:val="18"/>
              </w:rPr>
              <w:t>195</w:t>
            </w:r>
          </w:p>
        </w:tc>
      </w:tr>
      <w:tr>
        <w:trPr>
          <w:trHeight w:val="207" w:hRule="atLeast"/>
        </w:trPr>
        <w:tc>
          <w:tcPr>
            <w:tcW w:w="2081" w:type="dxa"/>
          </w:tcPr>
          <w:p>
            <w:pPr>
              <w:pStyle w:val="TableParagraph"/>
              <w:spacing w:line="188" w:lineRule="exact"/>
              <w:ind w:left="95"/>
              <w:rPr>
                <w:sz w:val="18"/>
              </w:rPr>
            </w:pPr>
            <w:r>
              <w:rPr>
                <w:color w:val="0F0F0F"/>
                <w:sz w:val="18"/>
              </w:rPr>
              <w:t>Executive</w:t>
            </w:r>
            <w:r>
              <w:rPr>
                <w:color w:val="0F0F0F"/>
                <w:spacing w:val="-3"/>
                <w:sz w:val="18"/>
              </w:rPr>
              <w:t> </w:t>
            </w:r>
            <w:r>
              <w:rPr>
                <w:color w:val="0F0F0F"/>
                <w:spacing w:val="-2"/>
                <w:sz w:val="18"/>
              </w:rPr>
              <w:t>Directors</w:t>
            </w:r>
          </w:p>
        </w:tc>
        <w:tc>
          <w:tcPr>
            <w:tcW w:w="1196" w:type="dxa"/>
          </w:tcPr>
          <w:p>
            <w:pPr>
              <w:pStyle w:val="TableParagraph"/>
              <w:spacing w:line="187" w:lineRule="exact"/>
              <w:ind w:right="147"/>
              <w:jc w:val="right"/>
              <w:rPr>
                <w:sz w:val="18"/>
              </w:rPr>
            </w:pPr>
            <w:r>
              <w:rPr>
                <w:color w:val="0F0F0F"/>
                <w:spacing w:val="-5"/>
                <w:sz w:val="18"/>
              </w:rPr>
              <w:t>506</w:t>
            </w:r>
          </w:p>
        </w:tc>
        <w:tc>
          <w:tcPr>
            <w:tcW w:w="1410" w:type="dxa"/>
          </w:tcPr>
          <w:p>
            <w:pPr>
              <w:pStyle w:val="TableParagraph"/>
              <w:spacing w:line="188" w:lineRule="exact"/>
              <w:ind w:right="148"/>
              <w:jc w:val="right"/>
              <w:rPr>
                <w:sz w:val="18"/>
              </w:rPr>
            </w:pPr>
            <w:r>
              <w:rPr>
                <w:color w:val="0F0F0F"/>
                <w:spacing w:val="-5"/>
                <w:sz w:val="18"/>
              </w:rPr>
              <w:t>(3)</w:t>
            </w:r>
          </w:p>
        </w:tc>
        <w:tc>
          <w:tcPr>
            <w:tcW w:w="1257" w:type="dxa"/>
          </w:tcPr>
          <w:p>
            <w:pPr>
              <w:pStyle w:val="TableParagraph"/>
              <w:spacing w:line="188" w:lineRule="exact"/>
              <w:ind w:right="117"/>
              <w:jc w:val="right"/>
              <w:rPr>
                <w:sz w:val="18"/>
              </w:rPr>
            </w:pPr>
            <w:r>
              <w:rPr>
                <w:color w:val="0F0F0F"/>
                <w:spacing w:val="-5"/>
                <w:sz w:val="18"/>
              </w:rPr>
              <w:t>(2)</w:t>
            </w:r>
          </w:p>
        </w:tc>
        <w:tc>
          <w:tcPr>
            <w:tcW w:w="1488" w:type="dxa"/>
          </w:tcPr>
          <w:p>
            <w:pPr>
              <w:pStyle w:val="TableParagraph"/>
              <w:spacing w:line="187" w:lineRule="exact"/>
              <w:ind w:right="188"/>
              <w:jc w:val="right"/>
              <w:rPr>
                <w:sz w:val="18"/>
              </w:rPr>
            </w:pPr>
            <w:r>
              <w:rPr>
                <w:color w:val="0F0F0F"/>
                <w:spacing w:val="-10"/>
                <w:w w:val="105"/>
                <w:sz w:val="18"/>
              </w:rPr>
              <w:t>5</w:t>
            </w:r>
          </w:p>
        </w:tc>
        <w:tc>
          <w:tcPr>
            <w:tcW w:w="1085" w:type="dxa"/>
          </w:tcPr>
          <w:p>
            <w:pPr>
              <w:pStyle w:val="TableParagraph"/>
              <w:rPr>
                <w:rFonts w:ascii="Times New Roman"/>
                <w:sz w:val="14"/>
              </w:rPr>
            </w:pPr>
          </w:p>
        </w:tc>
        <w:tc>
          <w:tcPr>
            <w:tcW w:w="996" w:type="dxa"/>
          </w:tcPr>
          <w:p>
            <w:pPr>
              <w:pStyle w:val="TableParagraph"/>
              <w:spacing w:line="188" w:lineRule="exact"/>
              <w:ind w:right="-15"/>
              <w:jc w:val="right"/>
              <w:rPr>
                <w:sz w:val="18"/>
              </w:rPr>
            </w:pPr>
            <w:r>
              <w:rPr>
                <w:color w:val="0F0F0F"/>
                <w:spacing w:val="-5"/>
                <w:w w:val="105"/>
                <w:sz w:val="18"/>
              </w:rPr>
              <w:t>506</w:t>
            </w:r>
          </w:p>
        </w:tc>
      </w:tr>
      <w:tr>
        <w:trPr>
          <w:trHeight w:val="206" w:hRule="atLeast"/>
        </w:trPr>
        <w:tc>
          <w:tcPr>
            <w:tcW w:w="2081" w:type="dxa"/>
          </w:tcPr>
          <w:p>
            <w:pPr>
              <w:pStyle w:val="TableParagraph"/>
              <w:spacing w:line="187" w:lineRule="exact"/>
              <w:ind w:left="95"/>
              <w:rPr>
                <w:sz w:val="18"/>
              </w:rPr>
            </w:pPr>
            <w:r>
              <w:rPr>
                <w:color w:val="0F0F0F"/>
                <w:sz w:val="18"/>
              </w:rPr>
              <w:t>Engineering</w:t>
            </w:r>
            <w:r>
              <w:rPr>
                <w:color w:val="0F0F0F"/>
                <w:spacing w:val="-2"/>
                <w:sz w:val="18"/>
              </w:rPr>
              <w:t> Services</w:t>
            </w:r>
          </w:p>
        </w:tc>
        <w:tc>
          <w:tcPr>
            <w:tcW w:w="1196" w:type="dxa"/>
          </w:tcPr>
          <w:p>
            <w:pPr>
              <w:pStyle w:val="TableParagraph"/>
              <w:spacing w:line="187" w:lineRule="exact"/>
              <w:ind w:right="144"/>
              <w:jc w:val="right"/>
              <w:rPr>
                <w:sz w:val="18"/>
              </w:rPr>
            </w:pPr>
            <w:r>
              <w:rPr>
                <w:color w:val="0F0F0F"/>
                <w:spacing w:val="-5"/>
                <w:sz w:val="18"/>
              </w:rPr>
              <w:t>381</w:t>
            </w:r>
          </w:p>
        </w:tc>
        <w:tc>
          <w:tcPr>
            <w:tcW w:w="1410" w:type="dxa"/>
          </w:tcPr>
          <w:p>
            <w:pPr>
              <w:pStyle w:val="TableParagraph"/>
              <w:spacing w:line="187" w:lineRule="exact"/>
              <w:ind w:right="143"/>
              <w:jc w:val="right"/>
              <w:rPr>
                <w:sz w:val="18"/>
              </w:rPr>
            </w:pPr>
            <w:r>
              <w:rPr>
                <w:color w:val="0F0F0F"/>
                <w:spacing w:val="-5"/>
                <w:sz w:val="18"/>
              </w:rPr>
              <w:t>200</w:t>
            </w:r>
          </w:p>
        </w:tc>
        <w:tc>
          <w:tcPr>
            <w:tcW w:w="1257" w:type="dxa"/>
          </w:tcPr>
          <w:p>
            <w:pPr>
              <w:pStyle w:val="TableParagraph"/>
              <w:rPr>
                <w:rFonts w:ascii="Times New Roman"/>
                <w:sz w:val="14"/>
              </w:rPr>
            </w:pPr>
          </w:p>
        </w:tc>
        <w:tc>
          <w:tcPr>
            <w:tcW w:w="1488" w:type="dxa"/>
          </w:tcPr>
          <w:p>
            <w:pPr>
              <w:pStyle w:val="TableParagraph"/>
              <w:spacing w:line="187" w:lineRule="exact"/>
              <w:ind w:right="186"/>
              <w:jc w:val="right"/>
              <w:rPr>
                <w:sz w:val="18"/>
              </w:rPr>
            </w:pPr>
            <w:r>
              <w:rPr>
                <w:color w:val="0F0F0F"/>
                <w:spacing w:val="-5"/>
                <w:w w:val="105"/>
                <w:sz w:val="18"/>
              </w:rPr>
              <w:t>11</w:t>
            </w:r>
          </w:p>
        </w:tc>
        <w:tc>
          <w:tcPr>
            <w:tcW w:w="1085" w:type="dxa"/>
          </w:tcPr>
          <w:p>
            <w:pPr>
              <w:pStyle w:val="TableParagraph"/>
              <w:rPr>
                <w:rFonts w:ascii="Times New Roman"/>
                <w:sz w:val="14"/>
              </w:rPr>
            </w:pPr>
          </w:p>
        </w:tc>
        <w:tc>
          <w:tcPr>
            <w:tcW w:w="996" w:type="dxa"/>
          </w:tcPr>
          <w:p>
            <w:pPr>
              <w:pStyle w:val="TableParagraph"/>
              <w:spacing w:line="187" w:lineRule="exact"/>
              <w:jc w:val="right"/>
              <w:rPr>
                <w:sz w:val="18"/>
              </w:rPr>
            </w:pPr>
            <w:r>
              <w:rPr>
                <w:color w:val="0F0F0F"/>
                <w:spacing w:val="-5"/>
                <w:sz w:val="18"/>
              </w:rPr>
              <w:t>592</w:t>
            </w:r>
          </w:p>
        </w:tc>
      </w:tr>
      <w:tr>
        <w:trPr>
          <w:trHeight w:val="410" w:hRule="atLeast"/>
        </w:trPr>
        <w:tc>
          <w:tcPr>
            <w:tcW w:w="2081" w:type="dxa"/>
          </w:tcPr>
          <w:p>
            <w:pPr>
              <w:pStyle w:val="TableParagraph"/>
              <w:spacing w:line="201" w:lineRule="exact"/>
              <w:ind w:left="90"/>
              <w:rPr>
                <w:sz w:val="18"/>
              </w:rPr>
            </w:pPr>
            <w:r>
              <w:rPr>
                <w:color w:val="0F0F0F"/>
                <w:sz w:val="18"/>
              </w:rPr>
              <w:t>Environmental</w:t>
            </w:r>
            <w:r>
              <w:rPr>
                <w:color w:val="0F0F0F"/>
                <w:spacing w:val="-3"/>
                <w:sz w:val="18"/>
              </w:rPr>
              <w:t> </w:t>
            </w:r>
            <w:r>
              <w:rPr>
                <w:color w:val="0F0F0F"/>
                <w:spacing w:val="-2"/>
                <w:sz w:val="18"/>
              </w:rPr>
              <w:t>Health</w:t>
            </w:r>
          </w:p>
          <w:p>
            <w:pPr>
              <w:pStyle w:val="TableParagraph"/>
              <w:spacing w:line="190" w:lineRule="exact"/>
              <w:ind w:left="85"/>
              <w:rPr>
                <w:sz w:val="18"/>
              </w:rPr>
            </w:pPr>
            <w:r>
              <w:rPr>
                <w:color w:val="0F0F0F"/>
                <w:sz w:val="18"/>
              </w:rPr>
              <w:t>Finance</w:t>
            </w:r>
            <w:r>
              <w:rPr>
                <w:color w:val="0F0F0F"/>
                <w:spacing w:val="7"/>
                <w:sz w:val="18"/>
              </w:rPr>
              <w:t> </w:t>
            </w:r>
            <w:r>
              <w:rPr>
                <w:color w:val="0F0F0F"/>
                <w:sz w:val="18"/>
              </w:rPr>
              <w:t>&amp;</w:t>
            </w:r>
            <w:r>
              <w:rPr>
                <w:color w:val="0F0F0F"/>
                <w:spacing w:val="-4"/>
                <w:sz w:val="18"/>
              </w:rPr>
              <w:t> </w:t>
            </w:r>
            <w:r>
              <w:rPr>
                <w:color w:val="0F0F0F"/>
                <w:spacing w:val="-2"/>
                <w:sz w:val="18"/>
              </w:rPr>
              <w:t>Business</w:t>
            </w:r>
          </w:p>
        </w:tc>
        <w:tc>
          <w:tcPr>
            <w:tcW w:w="1196" w:type="dxa"/>
          </w:tcPr>
          <w:p>
            <w:pPr>
              <w:pStyle w:val="TableParagraph"/>
              <w:spacing w:line="202" w:lineRule="exact"/>
              <w:ind w:right="151"/>
              <w:jc w:val="right"/>
              <w:rPr>
                <w:sz w:val="18"/>
              </w:rPr>
            </w:pPr>
            <w:r>
              <w:rPr>
                <w:color w:val="0F0F0F"/>
                <w:spacing w:val="-2"/>
                <w:sz w:val="18"/>
              </w:rPr>
              <w:t>1,116</w:t>
            </w:r>
          </w:p>
        </w:tc>
        <w:tc>
          <w:tcPr>
            <w:tcW w:w="1410" w:type="dxa"/>
          </w:tcPr>
          <w:p>
            <w:pPr>
              <w:pStyle w:val="TableParagraph"/>
              <w:spacing w:line="206" w:lineRule="exact"/>
              <w:ind w:right="140"/>
              <w:jc w:val="right"/>
              <w:rPr>
                <w:sz w:val="18"/>
              </w:rPr>
            </w:pPr>
            <w:r>
              <w:rPr>
                <w:color w:val="0F0F0F"/>
                <w:spacing w:val="-5"/>
                <w:w w:val="105"/>
                <w:sz w:val="18"/>
              </w:rPr>
              <w:t>19</w:t>
            </w:r>
          </w:p>
        </w:tc>
        <w:tc>
          <w:tcPr>
            <w:tcW w:w="1257" w:type="dxa"/>
          </w:tcPr>
          <w:p>
            <w:pPr>
              <w:pStyle w:val="TableParagraph"/>
              <w:rPr>
                <w:rFonts w:ascii="Times New Roman"/>
                <w:sz w:val="18"/>
              </w:rPr>
            </w:pPr>
          </w:p>
        </w:tc>
        <w:tc>
          <w:tcPr>
            <w:tcW w:w="1488" w:type="dxa"/>
          </w:tcPr>
          <w:p>
            <w:pPr>
              <w:pStyle w:val="TableParagraph"/>
              <w:spacing w:line="202" w:lineRule="exact"/>
              <w:ind w:right="194"/>
              <w:jc w:val="right"/>
              <w:rPr>
                <w:sz w:val="18"/>
              </w:rPr>
            </w:pPr>
            <w:r>
              <w:rPr>
                <w:color w:val="0F0F0F"/>
                <w:spacing w:val="-4"/>
                <w:sz w:val="18"/>
              </w:rPr>
              <w:t>(19)</w:t>
            </w:r>
          </w:p>
        </w:tc>
        <w:tc>
          <w:tcPr>
            <w:tcW w:w="1085" w:type="dxa"/>
          </w:tcPr>
          <w:p>
            <w:pPr>
              <w:pStyle w:val="TableParagraph"/>
              <w:spacing w:line="206" w:lineRule="exact"/>
              <w:ind w:right="126"/>
              <w:jc w:val="right"/>
              <w:rPr>
                <w:sz w:val="18"/>
              </w:rPr>
            </w:pPr>
            <w:r>
              <w:rPr>
                <w:color w:val="0F0F0F"/>
                <w:spacing w:val="-10"/>
                <w:w w:val="110"/>
                <w:sz w:val="18"/>
              </w:rPr>
              <w:t>2</w:t>
            </w:r>
          </w:p>
        </w:tc>
        <w:tc>
          <w:tcPr>
            <w:tcW w:w="996" w:type="dxa"/>
          </w:tcPr>
          <w:p>
            <w:pPr>
              <w:pStyle w:val="TableParagraph"/>
              <w:spacing w:line="202" w:lineRule="exact"/>
              <w:ind w:right="7"/>
              <w:jc w:val="right"/>
              <w:rPr>
                <w:sz w:val="18"/>
              </w:rPr>
            </w:pPr>
            <w:r>
              <w:rPr>
                <w:color w:val="0F0F0F"/>
                <w:spacing w:val="-2"/>
                <w:sz w:val="18"/>
              </w:rPr>
              <w:t>1,118</w:t>
            </w:r>
          </w:p>
        </w:tc>
      </w:tr>
      <w:tr>
        <w:trPr>
          <w:trHeight w:val="209" w:hRule="atLeast"/>
        </w:trPr>
        <w:tc>
          <w:tcPr>
            <w:tcW w:w="2081" w:type="dxa"/>
          </w:tcPr>
          <w:p>
            <w:pPr>
              <w:pStyle w:val="TableParagraph"/>
              <w:spacing w:line="189" w:lineRule="exact"/>
              <w:ind w:left="92"/>
              <w:rPr>
                <w:sz w:val="18"/>
              </w:rPr>
            </w:pPr>
            <w:r>
              <w:rPr>
                <w:color w:val="0F0F0F"/>
                <w:spacing w:val="-2"/>
                <w:sz w:val="18"/>
              </w:rPr>
              <w:t>Services</w:t>
            </w:r>
          </w:p>
        </w:tc>
        <w:tc>
          <w:tcPr>
            <w:tcW w:w="1196" w:type="dxa"/>
          </w:tcPr>
          <w:p>
            <w:pPr>
              <w:pStyle w:val="TableParagraph"/>
              <w:spacing w:before="1" w:line="187" w:lineRule="exact"/>
              <w:ind w:right="156"/>
              <w:jc w:val="right"/>
              <w:rPr>
                <w:sz w:val="18"/>
              </w:rPr>
            </w:pPr>
            <w:r>
              <w:rPr>
                <w:color w:val="0F0F0F"/>
                <w:spacing w:val="-2"/>
                <w:sz w:val="18"/>
              </w:rPr>
              <w:t>2,561</w:t>
            </w:r>
          </w:p>
        </w:tc>
        <w:tc>
          <w:tcPr>
            <w:tcW w:w="1410" w:type="dxa"/>
          </w:tcPr>
          <w:p>
            <w:pPr>
              <w:pStyle w:val="TableParagraph"/>
              <w:spacing w:before="1" w:line="187" w:lineRule="exact"/>
              <w:ind w:right="149"/>
              <w:jc w:val="right"/>
              <w:rPr>
                <w:b/>
                <w:sz w:val="18"/>
              </w:rPr>
            </w:pPr>
            <w:r>
              <w:rPr>
                <w:b/>
                <w:color w:val="0F0F0F"/>
                <w:spacing w:val="-2"/>
                <w:sz w:val="18"/>
              </w:rPr>
              <w:t>(284)</w:t>
            </w:r>
          </w:p>
        </w:tc>
        <w:tc>
          <w:tcPr>
            <w:tcW w:w="1257" w:type="dxa"/>
          </w:tcPr>
          <w:p>
            <w:pPr>
              <w:pStyle w:val="TableParagraph"/>
              <w:spacing w:before="1" w:line="187" w:lineRule="exact"/>
              <w:ind w:right="118"/>
              <w:jc w:val="right"/>
              <w:rPr>
                <w:sz w:val="18"/>
              </w:rPr>
            </w:pPr>
            <w:r>
              <w:rPr>
                <w:color w:val="0F0F0F"/>
                <w:spacing w:val="-4"/>
                <w:sz w:val="18"/>
              </w:rPr>
              <w:t>(32)</w:t>
            </w:r>
          </w:p>
        </w:tc>
        <w:tc>
          <w:tcPr>
            <w:tcW w:w="1488" w:type="dxa"/>
          </w:tcPr>
          <w:p>
            <w:pPr>
              <w:pStyle w:val="TableParagraph"/>
              <w:spacing w:before="1" w:line="187" w:lineRule="exact"/>
              <w:ind w:right="190"/>
              <w:jc w:val="right"/>
              <w:rPr>
                <w:sz w:val="18"/>
              </w:rPr>
            </w:pPr>
            <w:r>
              <w:rPr>
                <w:color w:val="0F0F0F"/>
                <w:spacing w:val="-5"/>
                <w:w w:val="105"/>
                <w:sz w:val="18"/>
              </w:rPr>
              <w:t>371</w:t>
            </w:r>
          </w:p>
        </w:tc>
        <w:tc>
          <w:tcPr>
            <w:tcW w:w="1085" w:type="dxa"/>
          </w:tcPr>
          <w:p>
            <w:pPr>
              <w:pStyle w:val="TableParagraph"/>
              <w:spacing w:before="1" w:line="187" w:lineRule="exact"/>
              <w:ind w:right="132"/>
              <w:jc w:val="right"/>
              <w:rPr>
                <w:sz w:val="18"/>
              </w:rPr>
            </w:pPr>
            <w:r>
              <w:rPr>
                <w:color w:val="0F0F0F"/>
                <w:spacing w:val="-5"/>
                <w:sz w:val="18"/>
              </w:rPr>
              <w:t>106</w:t>
            </w:r>
          </w:p>
        </w:tc>
        <w:tc>
          <w:tcPr>
            <w:tcW w:w="996" w:type="dxa"/>
          </w:tcPr>
          <w:p>
            <w:pPr>
              <w:pStyle w:val="TableParagraph"/>
              <w:spacing w:before="1" w:line="187" w:lineRule="exact"/>
              <w:ind w:right="7"/>
              <w:jc w:val="right"/>
              <w:rPr>
                <w:sz w:val="18"/>
              </w:rPr>
            </w:pPr>
            <w:r>
              <w:rPr>
                <w:color w:val="2D2D2D"/>
                <w:spacing w:val="-2"/>
                <w:sz w:val="18"/>
              </w:rPr>
              <w:t>2,722</w:t>
            </w:r>
          </w:p>
        </w:tc>
      </w:tr>
      <w:tr>
        <w:trPr>
          <w:trHeight w:val="209" w:hRule="atLeast"/>
        </w:trPr>
        <w:tc>
          <w:tcPr>
            <w:tcW w:w="2081" w:type="dxa"/>
          </w:tcPr>
          <w:p>
            <w:pPr>
              <w:pStyle w:val="TableParagraph"/>
              <w:spacing w:line="189" w:lineRule="exact"/>
              <w:ind w:left="86"/>
              <w:rPr>
                <w:sz w:val="18"/>
              </w:rPr>
            </w:pPr>
            <w:r>
              <w:rPr>
                <w:color w:val="0F0F0F"/>
                <w:sz w:val="18"/>
              </w:rPr>
              <w:t>General</w:t>
            </w:r>
            <w:r>
              <w:rPr>
                <w:color w:val="0F0F0F"/>
                <w:spacing w:val="-5"/>
                <w:sz w:val="18"/>
              </w:rPr>
              <w:t> </w:t>
            </w:r>
            <w:r>
              <w:rPr>
                <w:color w:val="0F0F0F"/>
                <w:spacing w:val="-2"/>
                <w:sz w:val="18"/>
              </w:rPr>
              <w:t>Expenses</w:t>
            </w:r>
          </w:p>
        </w:tc>
        <w:tc>
          <w:tcPr>
            <w:tcW w:w="1196" w:type="dxa"/>
          </w:tcPr>
          <w:p>
            <w:pPr>
              <w:pStyle w:val="TableParagraph"/>
              <w:spacing w:line="189" w:lineRule="exact"/>
              <w:ind w:right="161"/>
              <w:jc w:val="right"/>
              <w:rPr>
                <w:sz w:val="18"/>
              </w:rPr>
            </w:pPr>
            <w:r>
              <w:rPr>
                <w:color w:val="0F0F0F"/>
                <w:spacing w:val="-2"/>
                <w:sz w:val="18"/>
              </w:rPr>
              <w:t>1,079</w:t>
            </w:r>
          </w:p>
        </w:tc>
        <w:tc>
          <w:tcPr>
            <w:tcW w:w="1410" w:type="dxa"/>
          </w:tcPr>
          <w:p>
            <w:pPr>
              <w:pStyle w:val="TableParagraph"/>
              <w:spacing w:before="4" w:line="185" w:lineRule="exact"/>
              <w:ind w:right="148"/>
              <w:jc w:val="right"/>
              <w:rPr>
                <w:sz w:val="18"/>
              </w:rPr>
            </w:pPr>
            <w:r>
              <w:rPr>
                <w:color w:val="0F0F0F"/>
                <w:spacing w:val="-5"/>
                <w:sz w:val="18"/>
              </w:rPr>
              <w:t>266</w:t>
            </w:r>
          </w:p>
        </w:tc>
        <w:tc>
          <w:tcPr>
            <w:tcW w:w="1257" w:type="dxa"/>
          </w:tcPr>
          <w:p>
            <w:pPr>
              <w:pStyle w:val="TableParagraph"/>
              <w:spacing w:line="189" w:lineRule="exact"/>
              <w:ind w:right="122"/>
              <w:jc w:val="right"/>
              <w:rPr>
                <w:sz w:val="18"/>
              </w:rPr>
            </w:pPr>
            <w:r>
              <w:rPr>
                <w:color w:val="0F0F0F"/>
                <w:spacing w:val="-5"/>
                <w:sz w:val="18"/>
              </w:rPr>
              <w:t>(4)</w:t>
            </w:r>
          </w:p>
        </w:tc>
        <w:tc>
          <w:tcPr>
            <w:tcW w:w="1488" w:type="dxa"/>
          </w:tcPr>
          <w:p>
            <w:pPr>
              <w:pStyle w:val="TableParagraph"/>
              <w:spacing w:line="189" w:lineRule="exact"/>
              <w:ind w:right="202"/>
              <w:jc w:val="right"/>
              <w:rPr>
                <w:sz w:val="18"/>
              </w:rPr>
            </w:pPr>
            <w:r>
              <w:rPr>
                <w:color w:val="0F0F0F"/>
                <w:spacing w:val="-2"/>
                <w:sz w:val="18"/>
              </w:rPr>
              <w:t>(592)</w:t>
            </w:r>
          </w:p>
        </w:tc>
        <w:tc>
          <w:tcPr>
            <w:tcW w:w="1085" w:type="dxa"/>
          </w:tcPr>
          <w:p>
            <w:pPr>
              <w:pStyle w:val="TableParagraph"/>
              <w:spacing w:line="189" w:lineRule="exact"/>
              <w:ind w:right="137"/>
              <w:jc w:val="right"/>
              <w:rPr>
                <w:b/>
                <w:sz w:val="18"/>
              </w:rPr>
            </w:pPr>
            <w:r>
              <w:rPr>
                <w:b/>
                <w:color w:val="0F0F0F"/>
                <w:spacing w:val="-2"/>
                <w:sz w:val="18"/>
              </w:rPr>
              <w:t>(482)</w:t>
            </w:r>
          </w:p>
        </w:tc>
        <w:tc>
          <w:tcPr>
            <w:tcW w:w="996" w:type="dxa"/>
          </w:tcPr>
          <w:p>
            <w:pPr>
              <w:pStyle w:val="TableParagraph"/>
              <w:spacing w:line="189" w:lineRule="exact"/>
              <w:ind w:right="3"/>
              <w:jc w:val="right"/>
              <w:rPr>
                <w:sz w:val="18"/>
              </w:rPr>
            </w:pPr>
            <w:r>
              <w:rPr>
                <w:color w:val="0F0F0F"/>
                <w:spacing w:val="-5"/>
                <w:sz w:val="18"/>
              </w:rPr>
              <w:t>267</w:t>
            </w:r>
          </w:p>
        </w:tc>
      </w:tr>
      <w:tr>
        <w:trPr>
          <w:trHeight w:val="206" w:hRule="atLeast"/>
        </w:trPr>
        <w:tc>
          <w:tcPr>
            <w:tcW w:w="2081" w:type="dxa"/>
          </w:tcPr>
          <w:p>
            <w:pPr>
              <w:pStyle w:val="TableParagraph"/>
              <w:spacing w:line="187" w:lineRule="exact"/>
              <w:ind w:left="81"/>
              <w:rPr>
                <w:sz w:val="18"/>
              </w:rPr>
            </w:pPr>
            <w:r>
              <w:rPr>
                <w:color w:val="0F0F0F"/>
                <w:sz w:val="18"/>
              </w:rPr>
              <w:t>Housing </w:t>
            </w:r>
            <w:r>
              <w:rPr>
                <w:color w:val="0F0F0F"/>
                <w:spacing w:val="-2"/>
                <w:sz w:val="18"/>
              </w:rPr>
              <w:t>Services</w:t>
            </w:r>
          </w:p>
        </w:tc>
        <w:tc>
          <w:tcPr>
            <w:tcW w:w="1196" w:type="dxa"/>
          </w:tcPr>
          <w:p>
            <w:pPr>
              <w:pStyle w:val="TableParagraph"/>
              <w:spacing w:line="187" w:lineRule="exact"/>
              <w:ind w:right="159"/>
              <w:jc w:val="right"/>
              <w:rPr>
                <w:sz w:val="18"/>
              </w:rPr>
            </w:pPr>
            <w:r>
              <w:rPr>
                <w:color w:val="0F0F0F"/>
                <w:spacing w:val="-5"/>
                <w:sz w:val="18"/>
              </w:rPr>
              <w:t>981</w:t>
            </w:r>
          </w:p>
        </w:tc>
        <w:tc>
          <w:tcPr>
            <w:tcW w:w="1410" w:type="dxa"/>
          </w:tcPr>
          <w:p>
            <w:pPr>
              <w:pStyle w:val="TableParagraph"/>
              <w:spacing w:line="187" w:lineRule="exact"/>
              <w:ind w:right="151"/>
              <w:jc w:val="right"/>
              <w:rPr>
                <w:b/>
                <w:sz w:val="18"/>
              </w:rPr>
            </w:pPr>
            <w:r>
              <w:rPr>
                <w:b/>
                <w:color w:val="0F0F0F"/>
                <w:spacing w:val="-5"/>
                <w:w w:val="105"/>
                <w:sz w:val="18"/>
              </w:rPr>
              <w:t>40</w:t>
            </w:r>
          </w:p>
        </w:tc>
        <w:tc>
          <w:tcPr>
            <w:tcW w:w="1257" w:type="dxa"/>
          </w:tcPr>
          <w:p>
            <w:pPr>
              <w:pStyle w:val="TableParagraph"/>
              <w:rPr>
                <w:rFonts w:ascii="Times New Roman"/>
                <w:sz w:val="14"/>
              </w:rPr>
            </w:pPr>
          </w:p>
        </w:tc>
        <w:tc>
          <w:tcPr>
            <w:tcW w:w="1488" w:type="dxa"/>
          </w:tcPr>
          <w:p>
            <w:pPr>
              <w:pStyle w:val="TableParagraph"/>
              <w:spacing w:line="187" w:lineRule="exact"/>
              <w:ind w:right="197"/>
              <w:jc w:val="right"/>
              <w:rPr>
                <w:b/>
                <w:sz w:val="18"/>
              </w:rPr>
            </w:pPr>
            <w:r>
              <w:rPr>
                <w:b/>
                <w:color w:val="0F0F0F"/>
                <w:spacing w:val="-2"/>
                <w:sz w:val="18"/>
              </w:rPr>
              <w:t>(140)</w:t>
            </w:r>
          </w:p>
        </w:tc>
        <w:tc>
          <w:tcPr>
            <w:tcW w:w="1085" w:type="dxa"/>
          </w:tcPr>
          <w:p>
            <w:pPr>
              <w:pStyle w:val="TableParagraph"/>
              <w:spacing w:line="187" w:lineRule="exact"/>
              <w:ind w:right="140"/>
              <w:jc w:val="right"/>
              <w:rPr>
                <w:sz w:val="18"/>
              </w:rPr>
            </w:pPr>
            <w:r>
              <w:rPr>
                <w:color w:val="0F0F0F"/>
                <w:spacing w:val="-4"/>
                <w:sz w:val="18"/>
              </w:rPr>
              <w:t>(30)</w:t>
            </w:r>
          </w:p>
        </w:tc>
        <w:tc>
          <w:tcPr>
            <w:tcW w:w="996" w:type="dxa"/>
          </w:tcPr>
          <w:p>
            <w:pPr>
              <w:pStyle w:val="TableParagraph"/>
              <w:spacing w:line="187" w:lineRule="exact"/>
              <w:ind w:right="3"/>
              <w:jc w:val="right"/>
              <w:rPr>
                <w:sz w:val="18"/>
              </w:rPr>
            </w:pPr>
            <w:r>
              <w:rPr>
                <w:color w:val="0F0F0F"/>
                <w:spacing w:val="-5"/>
                <w:sz w:val="18"/>
              </w:rPr>
              <w:t>851</w:t>
            </w:r>
          </w:p>
        </w:tc>
      </w:tr>
      <w:tr>
        <w:trPr>
          <w:trHeight w:val="206" w:hRule="atLeast"/>
        </w:trPr>
        <w:tc>
          <w:tcPr>
            <w:tcW w:w="2081" w:type="dxa"/>
          </w:tcPr>
          <w:p>
            <w:pPr>
              <w:pStyle w:val="TableParagraph"/>
              <w:spacing w:line="187" w:lineRule="exact"/>
              <w:ind w:left="76"/>
              <w:rPr>
                <w:sz w:val="18"/>
              </w:rPr>
            </w:pPr>
            <w:r>
              <w:rPr>
                <w:color w:val="0F0F0F"/>
                <w:sz w:val="18"/>
              </w:rPr>
              <w:t>Human</w:t>
            </w:r>
            <w:r>
              <w:rPr>
                <w:color w:val="0F0F0F"/>
                <w:spacing w:val="-2"/>
                <w:sz w:val="18"/>
              </w:rPr>
              <w:t> </w:t>
            </w:r>
            <w:r>
              <w:rPr>
                <w:color w:val="0F0F0F"/>
                <w:sz w:val="18"/>
              </w:rPr>
              <w:t>Resources</w:t>
            </w:r>
            <w:r>
              <w:rPr>
                <w:color w:val="0F0F0F"/>
                <w:spacing w:val="14"/>
                <w:sz w:val="18"/>
              </w:rPr>
              <w:t> </w:t>
            </w:r>
            <w:r>
              <w:rPr>
                <w:color w:val="0F0F0F"/>
                <w:spacing w:val="-10"/>
                <w:sz w:val="18"/>
              </w:rPr>
              <w:t>&amp;</w:t>
            </w:r>
          </w:p>
        </w:tc>
        <w:tc>
          <w:tcPr>
            <w:tcW w:w="1196" w:type="dxa"/>
          </w:tcPr>
          <w:p>
            <w:pPr>
              <w:pStyle w:val="TableParagraph"/>
              <w:rPr>
                <w:rFonts w:ascii="Times New Roman"/>
                <w:sz w:val="14"/>
              </w:rPr>
            </w:pPr>
          </w:p>
        </w:tc>
        <w:tc>
          <w:tcPr>
            <w:tcW w:w="1410" w:type="dxa"/>
          </w:tcPr>
          <w:p>
            <w:pPr>
              <w:pStyle w:val="TableParagraph"/>
              <w:rPr>
                <w:rFonts w:ascii="Times New Roman"/>
                <w:sz w:val="14"/>
              </w:rPr>
            </w:pPr>
          </w:p>
        </w:tc>
        <w:tc>
          <w:tcPr>
            <w:tcW w:w="1257" w:type="dxa"/>
          </w:tcPr>
          <w:p>
            <w:pPr>
              <w:pStyle w:val="TableParagraph"/>
              <w:rPr>
                <w:rFonts w:ascii="Times New Roman"/>
                <w:sz w:val="14"/>
              </w:rPr>
            </w:pPr>
          </w:p>
        </w:tc>
        <w:tc>
          <w:tcPr>
            <w:tcW w:w="1488" w:type="dxa"/>
          </w:tcPr>
          <w:p>
            <w:pPr>
              <w:pStyle w:val="TableParagraph"/>
              <w:rPr>
                <w:rFonts w:ascii="Times New Roman"/>
                <w:sz w:val="14"/>
              </w:rPr>
            </w:pPr>
          </w:p>
        </w:tc>
        <w:tc>
          <w:tcPr>
            <w:tcW w:w="1085" w:type="dxa"/>
          </w:tcPr>
          <w:p>
            <w:pPr>
              <w:pStyle w:val="TableParagraph"/>
              <w:rPr>
                <w:rFonts w:ascii="Times New Roman"/>
                <w:sz w:val="14"/>
              </w:rPr>
            </w:pPr>
          </w:p>
        </w:tc>
        <w:tc>
          <w:tcPr>
            <w:tcW w:w="996" w:type="dxa"/>
          </w:tcPr>
          <w:p>
            <w:pPr>
              <w:pStyle w:val="TableParagraph"/>
              <w:rPr>
                <w:rFonts w:ascii="Times New Roman"/>
                <w:sz w:val="14"/>
              </w:rPr>
            </w:pPr>
          </w:p>
        </w:tc>
      </w:tr>
      <w:tr>
        <w:trPr>
          <w:trHeight w:val="413" w:hRule="atLeast"/>
        </w:trPr>
        <w:tc>
          <w:tcPr>
            <w:tcW w:w="2081" w:type="dxa"/>
          </w:tcPr>
          <w:p>
            <w:pPr>
              <w:pStyle w:val="TableParagraph"/>
              <w:spacing w:line="206" w:lineRule="exact"/>
              <w:ind w:left="72" w:right="422" w:firstLine="4"/>
              <w:rPr>
                <w:sz w:val="18"/>
              </w:rPr>
            </w:pPr>
            <w:r>
              <w:rPr>
                <w:color w:val="0F0F0F"/>
                <w:sz w:val="18"/>
              </w:rPr>
              <w:t>Customer Services Legal</w:t>
            </w:r>
            <w:r>
              <w:rPr>
                <w:color w:val="0F0F0F"/>
                <w:spacing w:val="-5"/>
                <w:sz w:val="18"/>
              </w:rPr>
              <w:t> </w:t>
            </w:r>
            <w:r>
              <w:rPr>
                <w:color w:val="0F0F0F"/>
                <w:sz w:val="18"/>
              </w:rPr>
              <w:t>&amp;</w:t>
            </w:r>
            <w:r>
              <w:rPr>
                <w:color w:val="0F0F0F"/>
                <w:spacing w:val="1"/>
                <w:sz w:val="18"/>
              </w:rPr>
              <w:t> </w:t>
            </w:r>
            <w:r>
              <w:rPr>
                <w:color w:val="0F0F0F"/>
                <w:spacing w:val="-2"/>
                <w:sz w:val="18"/>
              </w:rPr>
              <w:t>Democratic</w:t>
            </w:r>
          </w:p>
        </w:tc>
        <w:tc>
          <w:tcPr>
            <w:tcW w:w="1196" w:type="dxa"/>
          </w:tcPr>
          <w:p>
            <w:pPr>
              <w:pStyle w:val="TableParagraph"/>
              <w:spacing w:before="1"/>
              <w:ind w:right="161"/>
              <w:jc w:val="right"/>
              <w:rPr>
                <w:sz w:val="18"/>
              </w:rPr>
            </w:pPr>
            <w:r>
              <w:rPr>
                <w:color w:val="0F0F0F"/>
                <w:spacing w:val="-2"/>
                <w:sz w:val="18"/>
              </w:rPr>
              <w:t>1,251</w:t>
            </w:r>
          </w:p>
        </w:tc>
        <w:tc>
          <w:tcPr>
            <w:tcW w:w="1410" w:type="dxa"/>
          </w:tcPr>
          <w:p>
            <w:pPr>
              <w:pStyle w:val="TableParagraph"/>
              <w:spacing w:before="1"/>
              <w:ind w:right="154"/>
              <w:jc w:val="right"/>
              <w:rPr>
                <w:sz w:val="18"/>
              </w:rPr>
            </w:pPr>
            <w:r>
              <w:rPr>
                <w:color w:val="0F0F0F"/>
                <w:spacing w:val="-5"/>
                <w:w w:val="105"/>
                <w:sz w:val="18"/>
              </w:rPr>
              <w:t>209</w:t>
            </w:r>
          </w:p>
        </w:tc>
        <w:tc>
          <w:tcPr>
            <w:tcW w:w="1257" w:type="dxa"/>
          </w:tcPr>
          <w:p>
            <w:pPr>
              <w:pStyle w:val="TableParagraph"/>
              <w:spacing w:before="1"/>
              <w:ind w:right="128"/>
              <w:jc w:val="right"/>
              <w:rPr>
                <w:sz w:val="18"/>
              </w:rPr>
            </w:pPr>
            <w:r>
              <w:rPr>
                <w:color w:val="0F0F0F"/>
                <w:spacing w:val="-4"/>
                <w:sz w:val="18"/>
              </w:rPr>
              <w:t>(15)</w:t>
            </w:r>
          </w:p>
        </w:tc>
        <w:tc>
          <w:tcPr>
            <w:tcW w:w="1488" w:type="dxa"/>
          </w:tcPr>
          <w:p>
            <w:pPr>
              <w:pStyle w:val="TableParagraph"/>
              <w:spacing w:before="1"/>
              <w:ind w:right="198"/>
              <w:jc w:val="right"/>
              <w:rPr>
                <w:sz w:val="18"/>
              </w:rPr>
            </w:pPr>
            <w:r>
              <w:rPr>
                <w:color w:val="0F0F0F"/>
                <w:spacing w:val="-5"/>
                <w:w w:val="105"/>
                <w:sz w:val="18"/>
              </w:rPr>
              <w:t>16</w:t>
            </w:r>
          </w:p>
        </w:tc>
        <w:tc>
          <w:tcPr>
            <w:tcW w:w="1085" w:type="dxa"/>
          </w:tcPr>
          <w:p>
            <w:pPr>
              <w:pStyle w:val="TableParagraph"/>
              <w:rPr>
                <w:rFonts w:ascii="Times New Roman"/>
                <w:sz w:val="18"/>
              </w:rPr>
            </w:pPr>
          </w:p>
        </w:tc>
        <w:tc>
          <w:tcPr>
            <w:tcW w:w="996" w:type="dxa"/>
          </w:tcPr>
          <w:p>
            <w:pPr>
              <w:pStyle w:val="TableParagraph"/>
              <w:spacing w:before="1"/>
              <w:ind w:right="8"/>
              <w:jc w:val="right"/>
              <w:rPr>
                <w:sz w:val="18"/>
              </w:rPr>
            </w:pPr>
            <w:r>
              <w:rPr>
                <w:color w:val="0F0F0F"/>
                <w:spacing w:val="-2"/>
                <w:sz w:val="18"/>
              </w:rPr>
              <w:t>1,461</w:t>
            </w:r>
          </w:p>
        </w:tc>
      </w:tr>
      <w:tr>
        <w:trPr>
          <w:trHeight w:val="413" w:hRule="atLeast"/>
        </w:trPr>
        <w:tc>
          <w:tcPr>
            <w:tcW w:w="2081" w:type="dxa"/>
          </w:tcPr>
          <w:p>
            <w:pPr>
              <w:pStyle w:val="TableParagraph"/>
              <w:spacing w:line="206" w:lineRule="exact"/>
              <w:ind w:left="67" w:right="434" w:firstLine="5"/>
              <w:rPr>
                <w:sz w:val="18"/>
              </w:rPr>
            </w:pPr>
            <w:r>
              <w:rPr>
                <w:color w:val="0F0F0F"/>
                <w:spacing w:val="-2"/>
                <w:sz w:val="18"/>
              </w:rPr>
              <w:t>Services </w:t>
            </w:r>
            <w:r>
              <w:rPr>
                <w:color w:val="0F0F0F"/>
                <w:sz w:val="18"/>
              </w:rPr>
              <w:t>Partnership</w:t>
            </w:r>
            <w:r>
              <w:rPr>
                <w:color w:val="0F0F0F"/>
                <w:spacing w:val="-13"/>
                <w:sz w:val="18"/>
              </w:rPr>
              <w:t> </w:t>
            </w:r>
            <w:r>
              <w:rPr>
                <w:color w:val="0F0F0F"/>
                <w:sz w:val="18"/>
              </w:rPr>
              <w:t>&amp;</w:t>
            </w:r>
          </w:p>
        </w:tc>
        <w:tc>
          <w:tcPr>
            <w:tcW w:w="1196" w:type="dxa"/>
          </w:tcPr>
          <w:p>
            <w:pPr>
              <w:pStyle w:val="TableParagraph"/>
              <w:spacing w:before="1"/>
              <w:ind w:right="171"/>
              <w:jc w:val="right"/>
              <w:rPr>
                <w:sz w:val="18"/>
              </w:rPr>
            </w:pPr>
            <w:r>
              <w:rPr>
                <w:color w:val="0F0F0F"/>
                <w:spacing w:val="-2"/>
                <w:sz w:val="18"/>
              </w:rPr>
              <w:t>1,563</w:t>
            </w:r>
          </w:p>
        </w:tc>
        <w:tc>
          <w:tcPr>
            <w:tcW w:w="1410" w:type="dxa"/>
          </w:tcPr>
          <w:p>
            <w:pPr>
              <w:pStyle w:val="TableParagraph"/>
              <w:spacing w:before="1"/>
              <w:ind w:right="164"/>
              <w:jc w:val="right"/>
              <w:rPr>
                <w:sz w:val="18"/>
              </w:rPr>
            </w:pPr>
            <w:r>
              <w:rPr>
                <w:color w:val="0F0F0F"/>
                <w:spacing w:val="-4"/>
                <w:sz w:val="18"/>
              </w:rPr>
              <w:t>(38)</w:t>
            </w:r>
          </w:p>
        </w:tc>
        <w:tc>
          <w:tcPr>
            <w:tcW w:w="1257" w:type="dxa"/>
          </w:tcPr>
          <w:p>
            <w:pPr>
              <w:pStyle w:val="TableParagraph"/>
              <w:spacing w:before="1"/>
              <w:ind w:right="132"/>
              <w:jc w:val="right"/>
              <w:rPr>
                <w:sz w:val="18"/>
              </w:rPr>
            </w:pPr>
            <w:r>
              <w:rPr>
                <w:color w:val="0F0F0F"/>
                <w:spacing w:val="-5"/>
                <w:sz w:val="18"/>
              </w:rPr>
              <w:t>(1)</w:t>
            </w:r>
          </w:p>
        </w:tc>
        <w:tc>
          <w:tcPr>
            <w:tcW w:w="1488" w:type="dxa"/>
          </w:tcPr>
          <w:p>
            <w:pPr>
              <w:pStyle w:val="TableParagraph"/>
              <w:spacing w:before="6"/>
              <w:ind w:right="202"/>
              <w:jc w:val="right"/>
              <w:rPr>
                <w:sz w:val="18"/>
              </w:rPr>
            </w:pPr>
            <w:r>
              <w:rPr>
                <w:color w:val="0F0F0F"/>
                <w:spacing w:val="-5"/>
                <w:w w:val="105"/>
                <w:sz w:val="18"/>
              </w:rPr>
              <w:t>91</w:t>
            </w:r>
          </w:p>
        </w:tc>
        <w:tc>
          <w:tcPr>
            <w:tcW w:w="1085" w:type="dxa"/>
          </w:tcPr>
          <w:p>
            <w:pPr>
              <w:pStyle w:val="TableParagraph"/>
              <w:rPr>
                <w:rFonts w:ascii="Times New Roman"/>
                <w:sz w:val="18"/>
              </w:rPr>
            </w:pPr>
          </w:p>
        </w:tc>
        <w:tc>
          <w:tcPr>
            <w:tcW w:w="996" w:type="dxa"/>
          </w:tcPr>
          <w:p>
            <w:pPr>
              <w:pStyle w:val="TableParagraph"/>
              <w:spacing w:before="1"/>
              <w:ind w:right="17"/>
              <w:jc w:val="right"/>
              <w:rPr>
                <w:sz w:val="18"/>
              </w:rPr>
            </w:pPr>
            <w:r>
              <w:rPr>
                <w:color w:val="0F0F0F"/>
                <w:spacing w:val="-2"/>
                <w:sz w:val="18"/>
              </w:rPr>
              <w:t>1,615</w:t>
            </w:r>
          </w:p>
        </w:tc>
      </w:tr>
      <w:tr>
        <w:trPr>
          <w:trHeight w:val="209" w:hRule="atLeast"/>
        </w:trPr>
        <w:tc>
          <w:tcPr>
            <w:tcW w:w="2081" w:type="dxa"/>
          </w:tcPr>
          <w:p>
            <w:pPr>
              <w:pStyle w:val="TableParagraph"/>
              <w:spacing w:line="189" w:lineRule="exact"/>
              <w:ind w:left="67"/>
              <w:rPr>
                <w:sz w:val="18"/>
              </w:rPr>
            </w:pPr>
            <w:r>
              <w:rPr>
                <w:color w:val="0F0F0F"/>
                <w:spacing w:val="-2"/>
                <w:sz w:val="18"/>
              </w:rPr>
              <w:t>Community</w:t>
            </w:r>
          </w:p>
        </w:tc>
        <w:tc>
          <w:tcPr>
            <w:tcW w:w="1196" w:type="dxa"/>
          </w:tcPr>
          <w:p>
            <w:pPr>
              <w:pStyle w:val="TableParagraph"/>
              <w:rPr>
                <w:rFonts w:ascii="Times New Roman"/>
                <w:sz w:val="14"/>
              </w:rPr>
            </w:pPr>
          </w:p>
        </w:tc>
        <w:tc>
          <w:tcPr>
            <w:tcW w:w="1410" w:type="dxa"/>
          </w:tcPr>
          <w:p>
            <w:pPr>
              <w:pStyle w:val="TableParagraph"/>
              <w:rPr>
                <w:rFonts w:ascii="Times New Roman"/>
                <w:sz w:val="14"/>
              </w:rPr>
            </w:pPr>
          </w:p>
        </w:tc>
        <w:tc>
          <w:tcPr>
            <w:tcW w:w="1257" w:type="dxa"/>
          </w:tcPr>
          <w:p>
            <w:pPr>
              <w:pStyle w:val="TableParagraph"/>
              <w:rPr>
                <w:rFonts w:ascii="Times New Roman"/>
                <w:sz w:val="14"/>
              </w:rPr>
            </w:pPr>
          </w:p>
        </w:tc>
        <w:tc>
          <w:tcPr>
            <w:tcW w:w="1488" w:type="dxa"/>
          </w:tcPr>
          <w:p>
            <w:pPr>
              <w:pStyle w:val="TableParagraph"/>
              <w:rPr>
                <w:rFonts w:ascii="Times New Roman"/>
                <w:sz w:val="14"/>
              </w:rPr>
            </w:pPr>
          </w:p>
        </w:tc>
        <w:tc>
          <w:tcPr>
            <w:tcW w:w="1085" w:type="dxa"/>
          </w:tcPr>
          <w:p>
            <w:pPr>
              <w:pStyle w:val="TableParagraph"/>
              <w:rPr>
                <w:rFonts w:ascii="Times New Roman"/>
                <w:sz w:val="14"/>
              </w:rPr>
            </w:pPr>
          </w:p>
        </w:tc>
        <w:tc>
          <w:tcPr>
            <w:tcW w:w="996" w:type="dxa"/>
          </w:tcPr>
          <w:p>
            <w:pPr>
              <w:pStyle w:val="TableParagraph"/>
              <w:rPr>
                <w:rFonts w:ascii="Times New Roman"/>
                <w:sz w:val="14"/>
              </w:rPr>
            </w:pPr>
          </w:p>
        </w:tc>
      </w:tr>
      <w:tr>
        <w:trPr>
          <w:trHeight w:val="415" w:hRule="atLeast"/>
        </w:trPr>
        <w:tc>
          <w:tcPr>
            <w:tcW w:w="2081" w:type="dxa"/>
          </w:tcPr>
          <w:p>
            <w:pPr>
              <w:pStyle w:val="TableParagraph"/>
              <w:spacing w:line="206" w:lineRule="exact"/>
              <w:ind w:left="57" w:right="298" w:firstLine="4"/>
              <w:rPr>
                <w:sz w:val="18"/>
              </w:rPr>
            </w:pPr>
            <w:r>
              <w:rPr>
                <w:color w:val="0F0F0F"/>
                <w:spacing w:val="-2"/>
                <w:sz w:val="18"/>
              </w:rPr>
              <w:t>Engagement</w:t>
            </w:r>
            <w:r>
              <w:rPr>
                <w:color w:val="0F0F0F"/>
                <w:spacing w:val="40"/>
                <w:sz w:val="18"/>
              </w:rPr>
              <w:t> </w:t>
            </w:r>
            <w:r>
              <w:rPr>
                <w:color w:val="0F0F0F"/>
                <w:sz w:val="18"/>
              </w:rPr>
              <w:t>Planning</w:t>
            </w:r>
            <w:r>
              <w:rPr>
                <w:color w:val="0F0F0F"/>
                <w:spacing w:val="-12"/>
                <w:sz w:val="18"/>
              </w:rPr>
              <w:t> </w:t>
            </w:r>
            <w:r>
              <w:rPr>
                <w:color w:val="0F0F0F"/>
                <w:sz w:val="18"/>
              </w:rPr>
              <w:t>&amp;</w:t>
            </w:r>
            <w:r>
              <w:rPr>
                <w:color w:val="0F0F0F"/>
                <w:spacing w:val="-13"/>
                <w:sz w:val="18"/>
              </w:rPr>
              <w:t> </w:t>
            </w:r>
            <w:r>
              <w:rPr>
                <w:color w:val="0F0F0F"/>
                <w:sz w:val="18"/>
              </w:rPr>
              <w:t>Economic</w:t>
            </w:r>
          </w:p>
        </w:tc>
        <w:tc>
          <w:tcPr>
            <w:tcW w:w="1196" w:type="dxa"/>
          </w:tcPr>
          <w:p>
            <w:pPr>
              <w:pStyle w:val="TableParagraph"/>
              <w:spacing w:before="4"/>
              <w:ind w:right="180"/>
              <w:jc w:val="right"/>
              <w:rPr>
                <w:sz w:val="18"/>
              </w:rPr>
            </w:pPr>
            <w:r>
              <w:rPr>
                <w:color w:val="0F0F0F"/>
                <w:spacing w:val="-2"/>
                <w:sz w:val="18"/>
              </w:rPr>
              <w:t>1,220</w:t>
            </w:r>
          </w:p>
        </w:tc>
        <w:tc>
          <w:tcPr>
            <w:tcW w:w="1410" w:type="dxa"/>
          </w:tcPr>
          <w:p>
            <w:pPr>
              <w:pStyle w:val="TableParagraph"/>
              <w:spacing w:before="4"/>
              <w:ind w:right="170"/>
              <w:jc w:val="right"/>
              <w:rPr>
                <w:sz w:val="18"/>
              </w:rPr>
            </w:pPr>
            <w:r>
              <w:rPr>
                <w:color w:val="0F0F0F"/>
                <w:spacing w:val="-5"/>
                <w:sz w:val="18"/>
              </w:rPr>
              <w:t>225</w:t>
            </w:r>
          </w:p>
        </w:tc>
        <w:tc>
          <w:tcPr>
            <w:tcW w:w="1257" w:type="dxa"/>
          </w:tcPr>
          <w:p>
            <w:pPr>
              <w:pStyle w:val="TableParagraph"/>
              <w:rPr>
                <w:rFonts w:ascii="Times New Roman"/>
                <w:sz w:val="18"/>
              </w:rPr>
            </w:pPr>
          </w:p>
        </w:tc>
        <w:tc>
          <w:tcPr>
            <w:tcW w:w="1488" w:type="dxa"/>
          </w:tcPr>
          <w:p>
            <w:pPr>
              <w:pStyle w:val="TableParagraph"/>
              <w:spacing w:before="4"/>
              <w:ind w:right="213"/>
              <w:jc w:val="right"/>
              <w:rPr>
                <w:sz w:val="18"/>
              </w:rPr>
            </w:pPr>
            <w:r>
              <w:rPr>
                <w:color w:val="0F0F0F"/>
                <w:spacing w:val="-2"/>
                <w:sz w:val="18"/>
              </w:rPr>
              <w:t>(348)</w:t>
            </w:r>
          </w:p>
        </w:tc>
        <w:tc>
          <w:tcPr>
            <w:tcW w:w="1085" w:type="dxa"/>
          </w:tcPr>
          <w:p>
            <w:pPr>
              <w:pStyle w:val="TableParagraph"/>
              <w:rPr>
                <w:rFonts w:ascii="Times New Roman"/>
                <w:sz w:val="18"/>
              </w:rPr>
            </w:pPr>
          </w:p>
        </w:tc>
        <w:tc>
          <w:tcPr>
            <w:tcW w:w="996" w:type="dxa"/>
          </w:tcPr>
          <w:p>
            <w:pPr>
              <w:pStyle w:val="TableParagraph"/>
              <w:spacing w:line="206" w:lineRule="exact"/>
              <w:ind w:right="22"/>
              <w:jc w:val="right"/>
              <w:rPr>
                <w:sz w:val="18"/>
              </w:rPr>
            </w:pPr>
            <w:r>
              <w:rPr>
                <w:color w:val="0F0F0F"/>
                <w:spacing w:val="-2"/>
                <w:sz w:val="18"/>
              </w:rPr>
              <w:t>1,097</w:t>
            </w:r>
          </w:p>
        </w:tc>
      </w:tr>
      <w:tr>
        <w:trPr>
          <w:trHeight w:val="211" w:hRule="atLeast"/>
        </w:trPr>
        <w:tc>
          <w:tcPr>
            <w:tcW w:w="2081" w:type="dxa"/>
          </w:tcPr>
          <w:p>
            <w:pPr>
              <w:pStyle w:val="TableParagraph"/>
              <w:spacing w:line="191" w:lineRule="exact"/>
              <w:ind w:left="57"/>
              <w:rPr>
                <w:sz w:val="18"/>
              </w:rPr>
            </w:pPr>
            <w:r>
              <w:rPr>
                <w:color w:val="0F0F0F"/>
                <w:spacing w:val="-2"/>
                <w:sz w:val="18"/>
              </w:rPr>
              <w:t>Development</w:t>
            </w:r>
          </w:p>
        </w:tc>
        <w:tc>
          <w:tcPr>
            <w:tcW w:w="1196" w:type="dxa"/>
          </w:tcPr>
          <w:p>
            <w:pPr>
              <w:pStyle w:val="TableParagraph"/>
              <w:spacing w:before="1" w:line="190" w:lineRule="exact"/>
              <w:ind w:right="181"/>
              <w:jc w:val="right"/>
              <w:rPr>
                <w:sz w:val="18"/>
              </w:rPr>
            </w:pPr>
            <w:r>
              <w:rPr>
                <w:color w:val="0F0F0F"/>
                <w:spacing w:val="-2"/>
                <w:sz w:val="18"/>
              </w:rPr>
              <w:t>1,259</w:t>
            </w:r>
          </w:p>
        </w:tc>
        <w:tc>
          <w:tcPr>
            <w:tcW w:w="1410" w:type="dxa"/>
          </w:tcPr>
          <w:p>
            <w:pPr>
              <w:pStyle w:val="TableParagraph"/>
              <w:spacing w:before="1" w:line="190" w:lineRule="exact"/>
              <w:ind w:right="175"/>
              <w:jc w:val="right"/>
              <w:rPr>
                <w:sz w:val="18"/>
              </w:rPr>
            </w:pPr>
            <w:r>
              <w:rPr>
                <w:color w:val="0F0F0F"/>
                <w:spacing w:val="-4"/>
                <w:sz w:val="18"/>
              </w:rPr>
              <w:t>(85)</w:t>
            </w:r>
          </w:p>
        </w:tc>
        <w:tc>
          <w:tcPr>
            <w:tcW w:w="1257" w:type="dxa"/>
          </w:tcPr>
          <w:p>
            <w:pPr>
              <w:pStyle w:val="TableParagraph"/>
              <w:rPr>
                <w:rFonts w:ascii="Times New Roman"/>
                <w:sz w:val="14"/>
              </w:rPr>
            </w:pPr>
          </w:p>
        </w:tc>
        <w:tc>
          <w:tcPr>
            <w:tcW w:w="1488" w:type="dxa"/>
          </w:tcPr>
          <w:p>
            <w:pPr>
              <w:pStyle w:val="TableParagraph"/>
              <w:spacing w:before="1" w:line="190" w:lineRule="exact"/>
              <w:ind w:right="215"/>
              <w:jc w:val="right"/>
              <w:rPr>
                <w:sz w:val="18"/>
              </w:rPr>
            </w:pPr>
            <w:r>
              <w:rPr>
                <w:color w:val="0F0F0F"/>
                <w:spacing w:val="-5"/>
                <w:sz w:val="18"/>
              </w:rPr>
              <w:t>165</w:t>
            </w:r>
          </w:p>
        </w:tc>
        <w:tc>
          <w:tcPr>
            <w:tcW w:w="1085" w:type="dxa"/>
          </w:tcPr>
          <w:p>
            <w:pPr>
              <w:pStyle w:val="TableParagraph"/>
              <w:spacing w:line="191" w:lineRule="exact"/>
              <w:ind w:right="156"/>
              <w:jc w:val="right"/>
              <w:rPr>
                <w:b/>
                <w:sz w:val="18"/>
              </w:rPr>
            </w:pPr>
            <w:r>
              <w:rPr>
                <w:b/>
                <w:color w:val="0F0F0F"/>
                <w:spacing w:val="-4"/>
                <w:sz w:val="18"/>
              </w:rPr>
              <w:t>(44)</w:t>
            </w:r>
          </w:p>
        </w:tc>
        <w:tc>
          <w:tcPr>
            <w:tcW w:w="996" w:type="dxa"/>
          </w:tcPr>
          <w:p>
            <w:pPr>
              <w:pStyle w:val="TableParagraph"/>
              <w:spacing w:line="191" w:lineRule="exact"/>
              <w:ind w:right="27"/>
              <w:jc w:val="right"/>
              <w:rPr>
                <w:sz w:val="18"/>
              </w:rPr>
            </w:pPr>
            <w:r>
              <w:rPr>
                <w:color w:val="0F0F0F"/>
                <w:spacing w:val="-2"/>
                <w:sz w:val="18"/>
              </w:rPr>
              <w:t>1,295</w:t>
            </w:r>
          </w:p>
        </w:tc>
      </w:tr>
      <w:tr>
        <w:trPr>
          <w:trHeight w:val="408" w:hRule="atLeast"/>
        </w:trPr>
        <w:tc>
          <w:tcPr>
            <w:tcW w:w="2081" w:type="dxa"/>
          </w:tcPr>
          <w:p>
            <w:pPr>
              <w:pStyle w:val="TableParagraph"/>
              <w:spacing w:line="202" w:lineRule="exact"/>
              <w:ind w:left="50" w:firstLine="8"/>
              <w:rPr>
                <w:sz w:val="18"/>
              </w:rPr>
            </w:pPr>
            <w:r>
              <w:rPr>
                <w:color w:val="0F0F0F"/>
                <w:sz w:val="18"/>
              </w:rPr>
              <w:t>Street</w:t>
            </w:r>
            <w:r>
              <w:rPr>
                <w:color w:val="0F0F0F"/>
                <w:spacing w:val="-15"/>
                <w:sz w:val="18"/>
              </w:rPr>
              <w:t> </w:t>
            </w:r>
            <w:r>
              <w:rPr>
                <w:color w:val="0F0F0F"/>
                <w:sz w:val="18"/>
              </w:rPr>
              <w:t>Scene</w:t>
            </w:r>
            <w:r>
              <w:rPr>
                <w:color w:val="0F0F0F"/>
                <w:spacing w:val="-12"/>
                <w:sz w:val="18"/>
              </w:rPr>
              <w:t> </w:t>
            </w:r>
            <w:r>
              <w:rPr>
                <w:color w:val="0F0F0F"/>
                <w:sz w:val="18"/>
              </w:rPr>
              <w:t>Services Investment Interest</w:t>
            </w:r>
          </w:p>
        </w:tc>
        <w:tc>
          <w:tcPr>
            <w:tcW w:w="1196" w:type="dxa"/>
            <w:tcBorders>
              <w:bottom w:val="single" w:color="000000" w:sz="6" w:space="0"/>
            </w:tcBorders>
          </w:tcPr>
          <w:p>
            <w:pPr>
              <w:pStyle w:val="TableParagraph"/>
              <w:spacing w:before="1" w:line="204" w:lineRule="exact"/>
              <w:ind w:right="183"/>
              <w:jc w:val="right"/>
              <w:rPr>
                <w:sz w:val="18"/>
              </w:rPr>
            </w:pPr>
            <w:r>
              <w:rPr>
                <w:color w:val="0F0F0F"/>
                <w:spacing w:val="-2"/>
                <w:sz w:val="18"/>
              </w:rPr>
              <w:t>5,204</w:t>
            </w:r>
          </w:p>
          <w:p>
            <w:pPr>
              <w:pStyle w:val="TableParagraph"/>
              <w:spacing w:line="201" w:lineRule="exact"/>
              <w:ind w:right="192"/>
              <w:jc w:val="right"/>
              <w:rPr>
                <w:sz w:val="18"/>
              </w:rPr>
            </w:pPr>
            <w:r>
              <w:rPr>
                <w:color w:val="2D2D2D"/>
                <w:spacing w:val="-2"/>
                <w:sz w:val="18"/>
              </w:rPr>
              <w:t>{1,142}</w:t>
            </w:r>
          </w:p>
        </w:tc>
        <w:tc>
          <w:tcPr>
            <w:tcW w:w="1410" w:type="dxa"/>
            <w:tcBorders>
              <w:bottom w:val="single" w:color="000000" w:sz="6" w:space="0"/>
            </w:tcBorders>
          </w:tcPr>
          <w:p>
            <w:pPr>
              <w:pStyle w:val="TableParagraph"/>
              <w:spacing w:line="204" w:lineRule="exact"/>
              <w:ind w:right="178"/>
              <w:jc w:val="right"/>
              <w:rPr>
                <w:sz w:val="18"/>
              </w:rPr>
            </w:pPr>
            <w:r>
              <w:rPr>
                <w:color w:val="0F0F0F"/>
                <w:spacing w:val="-2"/>
                <w:sz w:val="18"/>
              </w:rPr>
              <w:t>(323)</w:t>
            </w:r>
          </w:p>
          <w:p>
            <w:pPr>
              <w:pStyle w:val="TableParagraph"/>
              <w:spacing w:before="4" w:line="199" w:lineRule="exact"/>
              <w:ind w:right="179"/>
              <w:jc w:val="right"/>
              <w:rPr>
                <w:sz w:val="18"/>
              </w:rPr>
            </w:pPr>
            <w:r>
              <w:rPr>
                <w:color w:val="2D2D2D"/>
                <w:spacing w:val="-4"/>
                <w:sz w:val="18"/>
              </w:rPr>
              <w:t>(11}</w:t>
            </w:r>
          </w:p>
        </w:tc>
        <w:tc>
          <w:tcPr>
            <w:tcW w:w="1257" w:type="dxa"/>
            <w:tcBorders>
              <w:bottom w:val="single" w:color="000000" w:sz="6" w:space="0"/>
            </w:tcBorders>
          </w:tcPr>
          <w:p>
            <w:pPr>
              <w:pStyle w:val="TableParagraph"/>
              <w:spacing w:before="1"/>
              <w:ind w:right="138"/>
              <w:jc w:val="right"/>
              <w:rPr>
                <w:b/>
                <w:sz w:val="18"/>
              </w:rPr>
            </w:pPr>
            <w:r>
              <w:rPr>
                <w:b/>
                <w:color w:val="0F0F0F"/>
                <w:spacing w:val="-5"/>
                <w:w w:val="105"/>
                <w:sz w:val="18"/>
              </w:rPr>
              <w:t>54</w:t>
            </w:r>
          </w:p>
        </w:tc>
        <w:tc>
          <w:tcPr>
            <w:tcW w:w="1488" w:type="dxa"/>
            <w:tcBorders>
              <w:bottom w:val="single" w:color="000000" w:sz="6" w:space="0"/>
            </w:tcBorders>
          </w:tcPr>
          <w:p>
            <w:pPr>
              <w:pStyle w:val="TableParagraph"/>
              <w:spacing w:line="204" w:lineRule="exact"/>
              <w:ind w:right="223"/>
              <w:jc w:val="right"/>
              <w:rPr>
                <w:sz w:val="18"/>
              </w:rPr>
            </w:pPr>
            <w:r>
              <w:rPr>
                <w:color w:val="0F0F0F"/>
                <w:spacing w:val="-2"/>
                <w:sz w:val="18"/>
              </w:rPr>
              <w:t>(557)</w:t>
            </w:r>
          </w:p>
        </w:tc>
        <w:tc>
          <w:tcPr>
            <w:tcW w:w="1085" w:type="dxa"/>
            <w:tcBorders>
              <w:bottom w:val="single" w:color="000000" w:sz="6" w:space="0"/>
            </w:tcBorders>
          </w:tcPr>
          <w:p>
            <w:pPr>
              <w:pStyle w:val="TableParagraph"/>
              <w:spacing w:line="204" w:lineRule="exact"/>
              <w:ind w:right="150"/>
              <w:jc w:val="right"/>
              <w:rPr>
                <w:sz w:val="18"/>
              </w:rPr>
            </w:pPr>
            <w:r>
              <w:rPr>
                <w:color w:val="0F0F0F"/>
                <w:spacing w:val="-5"/>
                <w:w w:val="105"/>
                <w:sz w:val="18"/>
              </w:rPr>
              <w:t>89</w:t>
            </w:r>
          </w:p>
        </w:tc>
        <w:tc>
          <w:tcPr>
            <w:tcW w:w="996" w:type="dxa"/>
            <w:tcBorders>
              <w:bottom w:val="single" w:color="000000" w:sz="6" w:space="0"/>
            </w:tcBorders>
          </w:tcPr>
          <w:p>
            <w:pPr>
              <w:pStyle w:val="TableParagraph"/>
              <w:spacing w:line="201" w:lineRule="exact"/>
              <w:ind w:right="19"/>
              <w:jc w:val="right"/>
              <w:rPr>
                <w:sz w:val="18"/>
              </w:rPr>
            </w:pPr>
            <w:r>
              <w:rPr>
                <w:color w:val="0F0F0F"/>
                <w:spacing w:val="-2"/>
                <w:sz w:val="18"/>
              </w:rPr>
              <w:t>4,467</w:t>
            </w:r>
          </w:p>
          <w:p>
            <w:pPr>
              <w:pStyle w:val="TableParagraph"/>
              <w:spacing w:line="204" w:lineRule="exact"/>
              <w:ind w:right="15"/>
              <w:jc w:val="right"/>
              <w:rPr>
                <w:sz w:val="18"/>
              </w:rPr>
            </w:pPr>
            <w:r>
              <w:rPr>
                <w:color w:val="2D2D2D"/>
                <w:spacing w:val="-2"/>
                <w:sz w:val="18"/>
              </w:rPr>
              <w:t>(1</w:t>
            </w:r>
            <w:r>
              <w:rPr>
                <w:color w:val="575757"/>
                <w:spacing w:val="-2"/>
                <w:sz w:val="18"/>
              </w:rPr>
              <w:t>,</w:t>
            </w:r>
            <w:r>
              <w:rPr>
                <w:color w:val="0F0F0F"/>
                <w:spacing w:val="-2"/>
                <w:sz w:val="18"/>
              </w:rPr>
              <w:t>15</w:t>
            </w:r>
            <w:r>
              <w:rPr>
                <w:color w:val="2D2D2D"/>
                <w:spacing w:val="-2"/>
                <w:sz w:val="18"/>
              </w:rPr>
              <w:t>3}</w:t>
            </w:r>
          </w:p>
        </w:tc>
      </w:tr>
      <w:tr>
        <w:trPr>
          <w:trHeight w:val="186" w:hRule="atLeast"/>
        </w:trPr>
        <w:tc>
          <w:tcPr>
            <w:tcW w:w="2081" w:type="dxa"/>
          </w:tcPr>
          <w:p>
            <w:pPr>
              <w:pStyle w:val="TableParagraph"/>
              <w:rPr>
                <w:rFonts w:ascii="Times New Roman"/>
                <w:sz w:val="12"/>
              </w:rPr>
            </w:pPr>
          </w:p>
        </w:tc>
        <w:tc>
          <w:tcPr>
            <w:tcW w:w="1196" w:type="dxa"/>
            <w:tcBorders>
              <w:top w:val="single" w:color="000000" w:sz="6" w:space="0"/>
              <w:bottom w:val="single" w:color="000000" w:sz="6" w:space="0"/>
            </w:tcBorders>
          </w:tcPr>
          <w:p>
            <w:pPr>
              <w:pStyle w:val="TableParagraph"/>
              <w:spacing w:line="148" w:lineRule="exact"/>
              <w:ind w:right="182"/>
              <w:jc w:val="right"/>
              <w:rPr>
                <w:b/>
                <w:sz w:val="18"/>
              </w:rPr>
            </w:pPr>
            <w:r>
              <w:rPr>
                <w:b/>
                <w:color w:val="0F0F0F"/>
                <w:spacing w:val="-2"/>
                <w:sz w:val="18"/>
              </w:rPr>
              <w:t>12</w:t>
            </w:r>
            <w:r>
              <w:rPr>
                <w:b/>
                <w:color w:val="484848"/>
                <w:spacing w:val="-2"/>
                <w:sz w:val="18"/>
              </w:rPr>
              <w:t>,</w:t>
            </w:r>
            <w:r>
              <w:rPr>
                <w:b/>
                <w:color w:val="0F0F0F"/>
                <w:spacing w:val="-2"/>
                <w:sz w:val="18"/>
              </w:rPr>
              <w:t>125</w:t>
            </w:r>
          </w:p>
        </w:tc>
        <w:tc>
          <w:tcPr>
            <w:tcW w:w="1410" w:type="dxa"/>
            <w:tcBorders>
              <w:top w:val="single" w:color="000000" w:sz="6" w:space="0"/>
              <w:bottom w:val="single" w:color="000000" w:sz="6" w:space="0"/>
            </w:tcBorders>
          </w:tcPr>
          <w:p>
            <w:pPr>
              <w:pStyle w:val="TableParagraph"/>
              <w:spacing w:line="148" w:lineRule="exact"/>
              <w:ind w:right="183"/>
              <w:jc w:val="right"/>
              <w:rPr>
                <w:b/>
                <w:sz w:val="18"/>
              </w:rPr>
            </w:pPr>
            <w:r>
              <w:rPr>
                <w:b/>
                <w:color w:val="0F0F0F"/>
                <w:spacing w:val="-2"/>
                <w:sz w:val="18"/>
              </w:rPr>
              <w:t>(6,504)</w:t>
            </w:r>
          </w:p>
        </w:tc>
        <w:tc>
          <w:tcPr>
            <w:tcW w:w="1257" w:type="dxa"/>
            <w:tcBorders>
              <w:top w:val="single" w:color="000000" w:sz="6" w:space="0"/>
              <w:bottom w:val="single" w:color="000000" w:sz="6" w:space="0"/>
            </w:tcBorders>
          </w:tcPr>
          <w:p>
            <w:pPr>
              <w:pStyle w:val="TableParagraph"/>
              <w:rPr>
                <w:rFonts w:ascii="Times New Roman"/>
                <w:sz w:val="10"/>
              </w:rPr>
            </w:pPr>
          </w:p>
        </w:tc>
        <w:tc>
          <w:tcPr>
            <w:tcW w:w="1488" w:type="dxa"/>
            <w:tcBorders>
              <w:top w:val="single" w:color="000000" w:sz="6" w:space="0"/>
              <w:bottom w:val="single" w:color="000000" w:sz="6" w:space="0"/>
            </w:tcBorders>
          </w:tcPr>
          <w:p>
            <w:pPr>
              <w:pStyle w:val="TableParagraph"/>
              <w:spacing w:line="148" w:lineRule="exact"/>
              <w:ind w:right="219"/>
              <w:jc w:val="right"/>
              <w:rPr>
                <w:b/>
                <w:sz w:val="18"/>
              </w:rPr>
            </w:pPr>
            <w:r>
              <w:rPr>
                <w:b/>
                <w:color w:val="2D2D2D"/>
                <w:spacing w:val="-2"/>
                <w:sz w:val="18"/>
              </w:rPr>
              <w:t>(1,195)</w:t>
            </w:r>
          </w:p>
        </w:tc>
        <w:tc>
          <w:tcPr>
            <w:tcW w:w="1085" w:type="dxa"/>
            <w:tcBorders>
              <w:top w:val="single" w:color="000000" w:sz="6" w:space="0"/>
              <w:bottom w:val="single" w:color="000000" w:sz="6" w:space="0"/>
            </w:tcBorders>
          </w:tcPr>
          <w:p>
            <w:pPr>
              <w:pStyle w:val="TableParagraph"/>
              <w:spacing w:line="148" w:lineRule="exact"/>
              <w:ind w:right="152"/>
              <w:jc w:val="right"/>
              <w:rPr>
                <w:b/>
                <w:sz w:val="18"/>
              </w:rPr>
            </w:pPr>
            <w:r>
              <w:rPr>
                <w:b/>
                <w:color w:val="0F0F0F"/>
                <w:spacing w:val="-5"/>
                <w:w w:val="105"/>
                <w:sz w:val="18"/>
              </w:rPr>
              <w:t>210</w:t>
            </w:r>
          </w:p>
        </w:tc>
        <w:tc>
          <w:tcPr>
            <w:tcW w:w="996" w:type="dxa"/>
            <w:tcBorders>
              <w:top w:val="single" w:color="000000" w:sz="6" w:space="0"/>
              <w:bottom w:val="single" w:color="000000" w:sz="6" w:space="0"/>
            </w:tcBorders>
          </w:tcPr>
          <w:p>
            <w:pPr>
              <w:pStyle w:val="TableParagraph"/>
              <w:spacing w:line="148" w:lineRule="exact"/>
              <w:ind w:right="19"/>
              <w:jc w:val="right"/>
              <w:rPr>
                <w:b/>
                <w:sz w:val="18"/>
              </w:rPr>
            </w:pPr>
            <w:r>
              <w:rPr>
                <w:b/>
                <w:color w:val="0F0F0F"/>
                <w:spacing w:val="-2"/>
                <w:sz w:val="18"/>
              </w:rPr>
              <w:t>4</w:t>
            </w:r>
            <w:r>
              <w:rPr>
                <w:b/>
                <w:color w:val="484848"/>
                <w:spacing w:val="-2"/>
                <w:sz w:val="18"/>
              </w:rPr>
              <w:t>,</w:t>
            </w:r>
            <w:r>
              <w:rPr>
                <w:b/>
                <w:color w:val="0F0F0F"/>
                <w:spacing w:val="-2"/>
                <w:sz w:val="18"/>
              </w:rPr>
              <w:t>636</w:t>
            </w:r>
          </w:p>
        </w:tc>
      </w:tr>
    </w:tbl>
    <w:p>
      <w:pPr>
        <w:spacing w:after="0" w:line="148" w:lineRule="exact"/>
        <w:jc w:val="right"/>
        <w:rPr>
          <w:sz w:val="18"/>
        </w:rPr>
        <w:sectPr>
          <w:headerReference w:type="even" r:id="rId54"/>
          <w:pgSz w:w="11910" w:h="16830"/>
          <w:pgMar w:top="260" w:right="920" w:bottom="220" w:left="840" w:header="0" w:footer="0"/>
        </w:sectPr>
      </w:pPr>
    </w:p>
    <w:p>
      <w:pPr>
        <w:spacing w:before="84"/>
        <w:ind w:left="744" w:right="0" w:firstLine="0"/>
        <w:jc w:val="both"/>
        <w:rPr>
          <w:sz w:val="15"/>
        </w:rPr>
      </w:pPr>
      <w:r>
        <w:rPr>
          <w:color w:val="9E9E9E"/>
          <w:w w:val="105"/>
          <w:sz w:val="15"/>
        </w:rPr>
        <w:t>NARRATIVE</w:t>
      </w:r>
      <w:r>
        <w:rPr>
          <w:color w:val="9E9E9E"/>
          <w:spacing w:val="25"/>
          <w:w w:val="105"/>
          <w:sz w:val="15"/>
        </w:rPr>
        <w:t> </w:t>
      </w:r>
      <w:r>
        <w:rPr>
          <w:color w:val="9E9E9E"/>
          <w:spacing w:val="-2"/>
          <w:w w:val="105"/>
          <w:sz w:val="15"/>
        </w:rPr>
        <w:t>STATEMENT</w:t>
      </w:r>
    </w:p>
    <w:p>
      <w:pPr>
        <w:pStyle w:val="BodyText"/>
        <w:spacing w:before="32"/>
        <w:rPr>
          <w:sz w:val="15"/>
        </w:rPr>
      </w:pPr>
    </w:p>
    <w:p>
      <w:pPr>
        <w:pStyle w:val="ListParagraph"/>
        <w:numPr>
          <w:ilvl w:val="1"/>
          <w:numId w:val="4"/>
        </w:numPr>
        <w:tabs>
          <w:tab w:val="left" w:leader="none" w:pos="713"/>
        </w:tabs>
        <w:spacing w:before="0" w:after="0" w:line="240" w:lineRule="auto"/>
        <w:ind w:left="713" w:right="0" w:hanging="399"/>
        <w:jc w:val="left"/>
        <w:rPr>
          <w:b/>
          <w:color w:val="151515"/>
          <w:sz w:val="23"/>
        </w:rPr>
      </w:pPr>
      <w:r>
        <w:rPr>
          <w:b/>
          <w:color w:val="151515"/>
          <w:w w:val="105"/>
          <w:sz w:val="23"/>
        </w:rPr>
        <w:t>Capital</w:t>
      </w:r>
      <w:r>
        <w:rPr>
          <w:b/>
          <w:color w:val="151515"/>
          <w:spacing w:val="-12"/>
          <w:w w:val="105"/>
          <w:sz w:val="23"/>
        </w:rPr>
        <w:t> </w:t>
      </w:r>
      <w:r>
        <w:rPr>
          <w:b/>
          <w:color w:val="151515"/>
          <w:spacing w:val="-2"/>
          <w:w w:val="105"/>
          <w:sz w:val="23"/>
        </w:rPr>
        <w:t>outturn</w:t>
      </w:r>
    </w:p>
    <w:p>
      <w:pPr>
        <w:pStyle w:val="BodyText"/>
        <w:spacing w:before="4"/>
        <w:rPr>
          <w:b/>
          <w:sz w:val="23"/>
        </w:rPr>
      </w:pPr>
    </w:p>
    <w:p>
      <w:pPr>
        <w:spacing w:before="0" w:line="240" w:lineRule="auto"/>
        <w:ind w:left="746" w:right="362" w:hanging="1"/>
        <w:jc w:val="both"/>
        <w:rPr>
          <w:sz w:val="24"/>
        </w:rPr>
      </w:pPr>
      <w:r>
        <w:rPr>
          <w:color w:val="151515"/>
          <w:sz w:val="24"/>
        </w:rPr>
        <w:t>The council spent £14</w:t>
      </w:r>
      <w:r>
        <w:rPr>
          <w:color w:val="464646"/>
          <w:sz w:val="24"/>
        </w:rPr>
        <w:t>.</w:t>
      </w:r>
      <w:r>
        <w:rPr>
          <w:color w:val="151515"/>
          <w:sz w:val="24"/>
        </w:rPr>
        <w:t>146 million on capital expenditure during 2022/23 and </w:t>
      </w:r>
      <w:r>
        <w:rPr>
          <w:color w:val="2A2A2A"/>
          <w:sz w:val="24"/>
        </w:rPr>
        <w:t>is </w:t>
      </w:r>
      <w:r>
        <w:rPr>
          <w:color w:val="151515"/>
          <w:sz w:val="24"/>
        </w:rPr>
        <w:t>committed</w:t>
      </w:r>
      <w:r>
        <w:rPr>
          <w:color w:val="151515"/>
          <w:spacing w:val="-17"/>
          <w:sz w:val="24"/>
        </w:rPr>
        <w:t> </w:t>
      </w:r>
      <w:r>
        <w:rPr>
          <w:color w:val="151515"/>
          <w:sz w:val="24"/>
        </w:rPr>
        <w:t>to</w:t>
      </w:r>
      <w:r>
        <w:rPr>
          <w:color w:val="151515"/>
          <w:spacing w:val="-17"/>
          <w:sz w:val="24"/>
        </w:rPr>
        <w:t> </w:t>
      </w:r>
      <w:r>
        <w:rPr>
          <w:color w:val="151515"/>
          <w:sz w:val="24"/>
        </w:rPr>
        <w:t>spending</w:t>
      </w:r>
      <w:r>
        <w:rPr>
          <w:color w:val="151515"/>
          <w:spacing w:val="-5"/>
          <w:sz w:val="24"/>
        </w:rPr>
        <w:t> </w:t>
      </w:r>
      <w:r>
        <w:rPr>
          <w:color w:val="151515"/>
          <w:sz w:val="24"/>
        </w:rPr>
        <w:t>a</w:t>
      </w:r>
      <w:r>
        <w:rPr>
          <w:color w:val="151515"/>
          <w:spacing w:val="-16"/>
          <w:sz w:val="24"/>
        </w:rPr>
        <w:t> </w:t>
      </w:r>
      <w:r>
        <w:rPr>
          <w:color w:val="151515"/>
          <w:sz w:val="24"/>
        </w:rPr>
        <w:t>total</w:t>
      </w:r>
      <w:r>
        <w:rPr>
          <w:color w:val="151515"/>
          <w:spacing w:val="-14"/>
          <w:sz w:val="24"/>
        </w:rPr>
        <w:t> </w:t>
      </w:r>
      <w:r>
        <w:rPr>
          <w:color w:val="151515"/>
          <w:sz w:val="24"/>
        </w:rPr>
        <w:t>of</w:t>
      </w:r>
      <w:r>
        <w:rPr>
          <w:color w:val="151515"/>
          <w:spacing w:val="-13"/>
          <w:sz w:val="24"/>
        </w:rPr>
        <w:t> </w:t>
      </w:r>
      <w:r>
        <w:rPr>
          <w:color w:val="151515"/>
          <w:sz w:val="24"/>
        </w:rPr>
        <w:t>£39</w:t>
      </w:r>
      <w:r>
        <w:rPr>
          <w:color w:val="464646"/>
          <w:sz w:val="24"/>
        </w:rPr>
        <w:t>.</w:t>
      </w:r>
      <w:r>
        <w:rPr>
          <w:color w:val="151515"/>
          <w:sz w:val="24"/>
        </w:rPr>
        <w:t>068</w:t>
      </w:r>
      <w:r>
        <w:rPr>
          <w:color w:val="151515"/>
          <w:spacing w:val="-17"/>
          <w:sz w:val="24"/>
        </w:rPr>
        <w:t> </w:t>
      </w:r>
      <w:r>
        <w:rPr>
          <w:color w:val="151515"/>
          <w:sz w:val="24"/>
        </w:rPr>
        <w:t>million</w:t>
      </w:r>
      <w:r>
        <w:rPr>
          <w:color w:val="151515"/>
          <w:spacing w:val="-8"/>
          <w:sz w:val="24"/>
        </w:rPr>
        <w:t> </w:t>
      </w:r>
      <w:r>
        <w:rPr>
          <w:color w:val="151515"/>
          <w:sz w:val="24"/>
        </w:rPr>
        <w:t>over</w:t>
      </w:r>
      <w:r>
        <w:rPr>
          <w:color w:val="151515"/>
          <w:spacing w:val="-10"/>
          <w:sz w:val="24"/>
        </w:rPr>
        <w:t> </w:t>
      </w:r>
      <w:r>
        <w:rPr>
          <w:color w:val="151515"/>
          <w:sz w:val="24"/>
        </w:rPr>
        <w:t>the</w:t>
      </w:r>
      <w:r>
        <w:rPr>
          <w:color w:val="151515"/>
          <w:spacing w:val="-17"/>
          <w:sz w:val="24"/>
        </w:rPr>
        <w:t> </w:t>
      </w:r>
      <w:r>
        <w:rPr>
          <w:color w:val="151515"/>
          <w:sz w:val="24"/>
        </w:rPr>
        <w:t>remaining</w:t>
      </w:r>
      <w:r>
        <w:rPr>
          <w:color w:val="151515"/>
          <w:spacing w:val="-4"/>
          <w:sz w:val="24"/>
        </w:rPr>
        <w:t> </w:t>
      </w:r>
      <w:r>
        <w:rPr>
          <w:color w:val="151515"/>
          <w:sz w:val="24"/>
        </w:rPr>
        <w:t>3</w:t>
      </w:r>
      <w:r>
        <w:rPr>
          <w:color w:val="151515"/>
          <w:spacing w:val="-17"/>
          <w:sz w:val="24"/>
        </w:rPr>
        <w:t> </w:t>
      </w:r>
      <w:r>
        <w:rPr>
          <w:color w:val="151515"/>
          <w:sz w:val="24"/>
        </w:rPr>
        <w:t>year</w:t>
      </w:r>
      <w:r>
        <w:rPr>
          <w:color w:val="151515"/>
          <w:spacing w:val="-12"/>
          <w:sz w:val="24"/>
        </w:rPr>
        <w:t> </w:t>
      </w:r>
      <w:r>
        <w:rPr>
          <w:color w:val="151515"/>
          <w:sz w:val="24"/>
        </w:rPr>
        <w:t>programme </w:t>
      </w:r>
      <w:r>
        <w:rPr>
          <w:color w:val="2A2A2A"/>
          <w:sz w:val="24"/>
        </w:rPr>
        <w:t>(see </w:t>
      </w:r>
      <w:r>
        <w:rPr>
          <w:color w:val="151515"/>
          <w:sz w:val="24"/>
        </w:rPr>
        <w:t>Note 5</w:t>
      </w:r>
      <w:r>
        <w:rPr>
          <w:color w:val="464646"/>
          <w:sz w:val="24"/>
        </w:rPr>
        <w:t>.</w:t>
      </w:r>
      <w:r>
        <w:rPr>
          <w:color w:val="151515"/>
          <w:sz w:val="24"/>
        </w:rPr>
        <w:t>17</w:t>
      </w:r>
      <w:r>
        <w:rPr>
          <w:color w:val="464646"/>
          <w:sz w:val="24"/>
        </w:rPr>
        <w:t>.</w:t>
      </w:r>
      <w:r>
        <w:rPr>
          <w:color w:val="151515"/>
          <w:sz w:val="24"/>
        </w:rPr>
        <w:t>1)</w:t>
      </w:r>
      <w:r>
        <w:rPr>
          <w:color w:val="464646"/>
          <w:sz w:val="24"/>
        </w:rPr>
        <w:t>. </w:t>
      </w:r>
      <w:r>
        <w:rPr>
          <w:color w:val="151515"/>
          <w:sz w:val="24"/>
        </w:rPr>
        <w:t>The outstanding major capital commitments include the Civic Offices</w:t>
      </w:r>
      <w:r>
        <w:rPr>
          <w:color w:val="151515"/>
          <w:spacing w:val="-17"/>
          <w:sz w:val="24"/>
        </w:rPr>
        <w:t> </w:t>
      </w:r>
      <w:r>
        <w:rPr>
          <w:color w:val="151515"/>
          <w:sz w:val="24"/>
        </w:rPr>
        <w:t>repurposing, refurbishment and</w:t>
      </w:r>
      <w:r>
        <w:rPr>
          <w:color w:val="151515"/>
          <w:spacing w:val="-11"/>
          <w:sz w:val="24"/>
        </w:rPr>
        <w:t> </w:t>
      </w:r>
      <w:r>
        <w:rPr>
          <w:color w:val="151515"/>
          <w:sz w:val="24"/>
        </w:rPr>
        <w:t>re-planning</w:t>
      </w:r>
      <w:r>
        <w:rPr>
          <w:color w:val="464646"/>
          <w:sz w:val="24"/>
        </w:rPr>
        <w:t>,</w:t>
      </w:r>
      <w:r>
        <w:rPr>
          <w:color w:val="464646"/>
          <w:spacing w:val="-17"/>
          <w:sz w:val="24"/>
        </w:rPr>
        <w:t> </w:t>
      </w:r>
      <w:r>
        <w:rPr>
          <w:color w:val="151515"/>
          <w:sz w:val="24"/>
        </w:rPr>
        <w:t>housing</w:t>
      </w:r>
      <w:r>
        <w:rPr>
          <w:color w:val="464646"/>
          <w:sz w:val="24"/>
        </w:rPr>
        <w:t>,</w:t>
      </w:r>
      <w:r>
        <w:rPr>
          <w:color w:val="464646"/>
          <w:spacing w:val="-17"/>
          <w:sz w:val="24"/>
        </w:rPr>
        <w:t> </w:t>
      </w:r>
      <w:r>
        <w:rPr>
          <w:color w:val="151515"/>
          <w:sz w:val="24"/>
        </w:rPr>
        <w:t>disabled</w:t>
      </w:r>
      <w:r>
        <w:rPr>
          <w:color w:val="151515"/>
          <w:spacing w:val="-9"/>
          <w:sz w:val="24"/>
        </w:rPr>
        <w:t> </w:t>
      </w:r>
      <w:r>
        <w:rPr>
          <w:color w:val="151515"/>
          <w:sz w:val="24"/>
        </w:rPr>
        <w:t>facilities</w:t>
      </w:r>
      <w:r>
        <w:rPr>
          <w:color w:val="151515"/>
          <w:spacing w:val="-6"/>
          <w:sz w:val="24"/>
        </w:rPr>
        <w:t> </w:t>
      </w:r>
      <w:r>
        <w:rPr>
          <w:color w:val="151515"/>
          <w:sz w:val="24"/>
        </w:rPr>
        <w:t>grants and purchase of Street Scene Vehicles</w:t>
      </w:r>
      <w:r>
        <w:rPr>
          <w:color w:val="464646"/>
          <w:sz w:val="24"/>
        </w:rPr>
        <w:t>.</w:t>
      </w:r>
    </w:p>
    <w:p>
      <w:pPr>
        <w:pStyle w:val="BodyText"/>
        <w:spacing w:before="57"/>
        <w:rPr>
          <w:sz w:val="20"/>
        </w:rPr>
      </w:pPr>
    </w:p>
    <w:tbl>
      <w:tblPr>
        <w:tblW w:w="0" w:type="auto"/>
        <w:jc w:val="left"/>
        <w:tblInd w:w="8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777"/>
        <w:gridCol w:w="1020"/>
        <w:gridCol w:w="385"/>
        <w:gridCol w:w="1149"/>
      </w:tblGrid>
      <w:tr>
        <w:trPr>
          <w:trHeight w:val="411" w:hRule="atLeast"/>
        </w:trPr>
        <w:tc>
          <w:tcPr>
            <w:tcW w:w="4777" w:type="dxa"/>
            <w:tcBorders>
              <w:right w:val="single" w:color="000000" w:sz="8" w:space="0"/>
            </w:tcBorders>
          </w:tcPr>
          <w:p>
            <w:pPr>
              <w:pStyle w:val="TableParagraph"/>
              <w:spacing w:before="13"/>
              <w:ind w:left="52"/>
              <w:rPr>
                <w:b/>
                <w:sz w:val="19"/>
              </w:rPr>
            </w:pPr>
            <w:r>
              <w:rPr>
                <w:b/>
                <w:color w:val="151515"/>
                <w:w w:val="105"/>
                <w:sz w:val="19"/>
              </w:rPr>
              <w:t>FINANCIAL</w:t>
            </w:r>
            <w:r>
              <w:rPr>
                <w:b/>
                <w:color w:val="151515"/>
                <w:spacing w:val="-9"/>
                <w:w w:val="105"/>
                <w:sz w:val="19"/>
              </w:rPr>
              <w:t> </w:t>
            </w:r>
            <w:r>
              <w:rPr>
                <w:b/>
                <w:color w:val="151515"/>
                <w:w w:val="105"/>
                <w:sz w:val="19"/>
              </w:rPr>
              <w:t>MONITORING</w:t>
            </w:r>
            <w:r>
              <w:rPr>
                <w:b/>
                <w:color w:val="151515"/>
                <w:spacing w:val="-7"/>
                <w:w w:val="105"/>
                <w:sz w:val="19"/>
              </w:rPr>
              <w:t> </w:t>
            </w:r>
            <w:r>
              <w:rPr>
                <w:b/>
                <w:color w:val="151515"/>
                <w:spacing w:val="-2"/>
                <w:w w:val="105"/>
                <w:sz w:val="19"/>
              </w:rPr>
              <w:t>POSITION</w:t>
            </w:r>
          </w:p>
        </w:tc>
        <w:tc>
          <w:tcPr>
            <w:tcW w:w="1020" w:type="dxa"/>
            <w:tcBorders>
              <w:top w:val="single" w:color="000000" w:sz="8" w:space="0"/>
              <w:left w:val="single" w:color="000000" w:sz="8" w:space="0"/>
              <w:right w:val="single" w:color="000000" w:sz="8" w:space="0"/>
            </w:tcBorders>
          </w:tcPr>
          <w:p>
            <w:pPr>
              <w:pStyle w:val="TableParagraph"/>
              <w:rPr>
                <w:rFonts w:ascii="Times New Roman"/>
                <w:sz w:val="20"/>
              </w:rPr>
            </w:pPr>
          </w:p>
        </w:tc>
        <w:tc>
          <w:tcPr>
            <w:tcW w:w="385" w:type="dxa"/>
            <w:tcBorders>
              <w:left w:val="single" w:color="000000" w:sz="8" w:space="0"/>
              <w:right w:val="single" w:color="000000" w:sz="8" w:space="0"/>
            </w:tcBorders>
          </w:tcPr>
          <w:p>
            <w:pPr>
              <w:pStyle w:val="TableParagraph"/>
              <w:rPr>
                <w:rFonts w:ascii="Times New Roman"/>
                <w:sz w:val="20"/>
              </w:rPr>
            </w:pPr>
          </w:p>
        </w:tc>
        <w:tc>
          <w:tcPr>
            <w:tcW w:w="1149" w:type="dxa"/>
            <w:tcBorders>
              <w:top w:val="single" w:color="000000" w:sz="8" w:space="0"/>
              <w:left w:val="single" w:color="000000" w:sz="8" w:space="0"/>
              <w:right w:val="single" w:color="000000" w:sz="12" w:space="0"/>
            </w:tcBorders>
          </w:tcPr>
          <w:p>
            <w:pPr>
              <w:pStyle w:val="TableParagraph"/>
              <w:rPr>
                <w:rFonts w:ascii="Times New Roman"/>
                <w:sz w:val="20"/>
              </w:rPr>
            </w:pPr>
          </w:p>
        </w:tc>
      </w:tr>
      <w:tr>
        <w:trPr>
          <w:trHeight w:val="458" w:hRule="atLeast"/>
        </w:trPr>
        <w:tc>
          <w:tcPr>
            <w:tcW w:w="4777" w:type="dxa"/>
            <w:tcBorders>
              <w:right w:val="single" w:color="000000" w:sz="8" w:space="0"/>
            </w:tcBorders>
          </w:tcPr>
          <w:p>
            <w:pPr>
              <w:pStyle w:val="TableParagraph"/>
              <w:rPr>
                <w:rFonts w:ascii="Times New Roman"/>
                <w:sz w:val="20"/>
              </w:rPr>
            </w:pPr>
          </w:p>
        </w:tc>
        <w:tc>
          <w:tcPr>
            <w:tcW w:w="1020" w:type="dxa"/>
            <w:tcBorders>
              <w:left w:val="single" w:color="000000" w:sz="8" w:space="0"/>
              <w:right w:val="single" w:color="000000" w:sz="8" w:space="0"/>
            </w:tcBorders>
          </w:tcPr>
          <w:p>
            <w:pPr>
              <w:pStyle w:val="TableParagraph"/>
              <w:spacing w:before="173"/>
              <w:ind w:left="168"/>
              <w:rPr>
                <w:b/>
                <w:sz w:val="19"/>
              </w:rPr>
            </w:pPr>
            <w:r>
              <w:rPr>
                <w:b/>
                <w:color w:val="151515"/>
                <w:sz w:val="19"/>
              </w:rPr>
              <w:t>2021-</w:t>
            </w:r>
            <w:r>
              <w:rPr>
                <w:b/>
                <w:color w:val="151515"/>
                <w:spacing w:val="-5"/>
                <w:sz w:val="19"/>
              </w:rPr>
              <w:t>22</w:t>
            </w:r>
          </w:p>
        </w:tc>
        <w:tc>
          <w:tcPr>
            <w:tcW w:w="385" w:type="dxa"/>
            <w:tcBorders>
              <w:left w:val="single" w:color="000000" w:sz="8" w:space="0"/>
              <w:right w:val="single" w:color="000000" w:sz="8" w:space="0"/>
            </w:tcBorders>
          </w:tcPr>
          <w:p>
            <w:pPr>
              <w:pStyle w:val="TableParagraph"/>
              <w:rPr>
                <w:rFonts w:ascii="Times New Roman"/>
                <w:sz w:val="20"/>
              </w:rPr>
            </w:pPr>
          </w:p>
        </w:tc>
        <w:tc>
          <w:tcPr>
            <w:tcW w:w="1149" w:type="dxa"/>
            <w:tcBorders>
              <w:left w:val="single" w:color="000000" w:sz="8" w:space="0"/>
              <w:right w:val="single" w:color="000000" w:sz="12" w:space="0"/>
            </w:tcBorders>
          </w:tcPr>
          <w:p>
            <w:pPr>
              <w:pStyle w:val="TableParagraph"/>
              <w:spacing w:before="173"/>
              <w:ind w:right="88"/>
              <w:jc w:val="right"/>
              <w:rPr>
                <w:b/>
                <w:sz w:val="19"/>
              </w:rPr>
            </w:pPr>
            <w:r>
              <w:rPr>
                <w:b/>
                <w:color w:val="151515"/>
                <w:sz w:val="19"/>
              </w:rPr>
              <w:t>2022-</w:t>
            </w:r>
            <w:r>
              <w:rPr>
                <w:b/>
                <w:color w:val="151515"/>
                <w:spacing w:val="-5"/>
                <w:sz w:val="19"/>
              </w:rPr>
              <w:t>23</w:t>
            </w:r>
          </w:p>
        </w:tc>
      </w:tr>
      <w:tr>
        <w:trPr>
          <w:trHeight w:val="483" w:hRule="atLeast"/>
        </w:trPr>
        <w:tc>
          <w:tcPr>
            <w:tcW w:w="4777" w:type="dxa"/>
            <w:tcBorders>
              <w:right w:val="single" w:color="000000" w:sz="8" w:space="0"/>
            </w:tcBorders>
          </w:tcPr>
          <w:p>
            <w:pPr>
              <w:pStyle w:val="TableParagraph"/>
              <w:spacing w:before="60"/>
              <w:ind w:left="54"/>
              <w:rPr>
                <w:b/>
                <w:sz w:val="19"/>
              </w:rPr>
            </w:pPr>
            <w:r>
              <w:rPr>
                <w:b/>
                <w:color w:val="151515"/>
                <w:w w:val="105"/>
                <w:sz w:val="19"/>
              </w:rPr>
              <w:t>31</w:t>
            </w:r>
            <w:r>
              <w:rPr>
                <w:b/>
                <w:color w:val="151515"/>
                <w:spacing w:val="-13"/>
                <w:w w:val="105"/>
                <w:sz w:val="19"/>
              </w:rPr>
              <w:t> </w:t>
            </w:r>
            <w:r>
              <w:rPr>
                <w:b/>
                <w:color w:val="151515"/>
                <w:w w:val="105"/>
                <w:sz w:val="19"/>
              </w:rPr>
              <w:t>March</w:t>
            </w:r>
            <w:r>
              <w:rPr>
                <w:b/>
                <w:color w:val="151515"/>
                <w:spacing w:val="7"/>
                <w:w w:val="105"/>
                <w:sz w:val="19"/>
              </w:rPr>
              <w:t> </w:t>
            </w:r>
            <w:r>
              <w:rPr>
                <w:b/>
                <w:color w:val="151515"/>
                <w:spacing w:val="-4"/>
                <w:w w:val="105"/>
                <w:sz w:val="19"/>
              </w:rPr>
              <w:t>2022</w:t>
            </w:r>
          </w:p>
        </w:tc>
        <w:tc>
          <w:tcPr>
            <w:tcW w:w="1020" w:type="dxa"/>
            <w:tcBorders>
              <w:left w:val="single" w:color="000000" w:sz="8" w:space="0"/>
              <w:bottom w:val="single" w:color="000000" w:sz="8" w:space="0"/>
              <w:right w:val="single" w:color="000000" w:sz="8" w:space="0"/>
            </w:tcBorders>
          </w:tcPr>
          <w:p>
            <w:pPr>
              <w:pStyle w:val="TableParagraph"/>
              <w:rPr>
                <w:rFonts w:ascii="Times New Roman"/>
                <w:sz w:val="20"/>
              </w:rPr>
            </w:pPr>
          </w:p>
        </w:tc>
        <w:tc>
          <w:tcPr>
            <w:tcW w:w="385" w:type="dxa"/>
            <w:tcBorders>
              <w:left w:val="single" w:color="000000" w:sz="8" w:space="0"/>
              <w:right w:val="single" w:color="000000" w:sz="8" w:space="0"/>
            </w:tcBorders>
          </w:tcPr>
          <w:p>
            <w:pPr>
              <w:pStyle w:val="TableParagraph"/>
              <w:rPr>
                <w:rFonts w:ascii="Times New Roman"/>
                <w:sz w:val="20"/>
              </w:rPr>
            </w:pPr>
          </w:p>
        </w:tc>
        <w:tc>
          <w:tcPr>
            <w:tcW w:w="1149" w:type="dxa"/>
            <w:tcBorders>
              <w:left w:val="single" w:color="000000" w:sz="8" w:space="0"/>
              <w:right w:val="single" w:color="000000" w:sz="12" w:space="0"/>
            </w:tcBorders>
          </w:tcPr>
          <w:p>
            <w:pPr>
              <w:pStyle w:val="TableParagraph"/>
              <w:rPr>
                <w:sz w:val="20"/>
              </w:rPr>
            </w:pPr>
          </w:p>
          <w:p>
            <w:pPr>
              <w:pStyle w:val="TableParagraph"/>
              <w:spacing w:before="33"/>
              <w:rPr>
                <w:sz w:val="20"/>
              </w:rPr>
            </w:pPr>
          </w:p>
          <w:p>
            <w:pPr>
              <w:pStyle w:val="TableParagraph"/>
              <w:spacing w:line="20" w:lineRule="exact"/>
              <w:ind w:left="-20"/>
              <w:rPr>
                <w:sz w:val="2"/>
              </w:rPr>
            </w:pPr>
            <w:r>
              <w:rPr>
                <w:sz w:val="2"/>
              </w:rPr>
              <ve:AlternateContent>
                <ve:Choice Requires="wps">
                  <w:drawing>
                    <wp:inline distT="0" distB="0" distL="0" distR="0">
                      <wp:extent cx="678180" cy="12700"/>
                      <wp:effectExtent l="9525" t="0" r="0" b="6350"/>
                      <wp:docPr id="83" name="Group 83"/>
                      <wp:cNvGraphicFramePr>
                        <a:graphicFrameLocks/>
                      </wp:cNvGraphicFramePr>
                      <a:graphic>
                        <a:graphicData uri="http://schemas.microsoft.com/office/word/2010/wordprocessingGroup">
                          <wpg:wgp>
                            <wpg:cNvPr id="83" name="Group 83"/>
                            <wpg:cNvGrpSpPr/>
                            <wpg:grpSpPr>
                              <a:xfrm>
                                <a:off x="0" y="0"/>
                                <a:ext cx="678180" cy="12700"/>
                                <a:chExt cx="678180" cy="12700"/>
                              </a:xfrm>
                            </wpg:grpSpPr>
                            <wps:wsp>
                              <wps:cNvPr id="84" name="Graphic 84"/>
                              <wps:cNvSpPr/>
                              <wps:spPr>
                                <a:xfrm>
                                  <a:off x="0" y="6102"/>
                                  <a:ext cx="678180" cy="1270"/>
                                </a:xfrm>
                                <a:custGeom>
                                  <a:avLst/>
                                  <a:gdLst/>
                                  <a:ahLst/>
                                  <a:cxnLst/>
                                  <a:rect l="l" t="t" r="r" b="b"/>
                                  <a:pathLst>
                                    <a:path w="678180" h="0">
                                      <a:moveTo>
                                        <a:pt x="0" y="0"/>
                                      </a:moveTo>
                                      <a:lnTo>
                                        <a:pt x="677747" y="0"/>
                                      </a:lnTo>
                                    </a:path>
                                  </a:pathLst>
                                </a:custGeom>
                                <a:ln w="1220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6" style="width:53.4pt;height:1pt;mso-position-horizontal-relative:char;mso-position-vertical-relative:line" coordsize="1068,20" coordorigin="0,0">
                      <v:line style="position:absolute" stroked="true" strokecolor="#000000" strokeweight=".961095pt" from="0,10" to="1067,10">
                        <v:stroke dashstyle="solid"/>
                      </v:line>
                    </v:group>
                  </w:pict>
                </ve:Fallback>
              </ve:AlternateContent>
            </w:r>
            <w:r>
              <w:rPr>
                <w:sz w:val="2"/>
              </w:rPr>
            </w:r>
          </w:p>
        </w:tc>
      </w:tr>
      <w:tr>
        <w:trPr>
          <w:trHeight w:val="599" w:hRule="atLeast"/>
        </w:trPr>
        <w:tc>
          <w:tcPr>
            <w:tcW w:w="4777" w:type="dxa"/>
          </w:tcPr>
          <w:p>
            <w:pPr>
              <w:pStyle w:val="TableParagraph"/>
              <w:spacing w:before="19"/>
              <w:rPr>
                <w:sz w:val="19"/>
              </w:rPr>
            </w:pPr>
          </w:p>
          <w:p>
            <w:pPr>
              <w:pStyle w:val="TableParagraph"/>
              <w:spacing w:before="1"/>
              <w:ind w:left="54"/>
              <w:rPr>
                <w:b/>
                <w:sz w:val="19"/>
              </w:rPr>
            </w:pPr>
            <w:r>
              <w:rPr>
                <w:b/>
                <w:color w:val="151515"/>
                <w:w w:val="105"/>
                <w:sz w:val="19"/>
              </w:rPr>
              <w:t>SUMMARY OF</w:t>
            </w:r>
            <w:r>
              <w:rPr>
                <w:b/>
                <w:color w:val="151515"/>
                <w:spacing w:val="-13"/>
                <w:w w:val="105"/>
                <w:sz w:val="19"/>
              </w:rPr>
              <w:t> </w:t>
            </w:r>
            <w:r>
              <w:rPr>
                <w:b/>
                <w:color w:val="151515"/>
                <w:w w:val="105"/>
                <w:sz w:val="19"/>
              </w:rPr>
              <w:t>CAPITAL </w:t>
            </w:r>
            <w:r>
              <w:rPr>
                <w:b/>
                <w:color w:val="151515"/>
                <w:spacing w:val="-2"/>
                <w:w w:val="105"/>
                <w:sz w:val="19"/>
              </w:rPr>
              <w:t>SPEND</w:t>
            </w:r>
          </w:p>
        </w:tc>
        <w:tc>
          <w:tcPr>
            <w:tcW w:w="1020" w:type="dxa"/>
            <w:tcBorders>
              <w:top w:val="single" w:color="000000" w:sz="8" w:space="0"/>
            </w:tcBorders>
          </w:tcPr>
          <w:p>
            <w:pPr>
              <w:pStyle w:val="TableParagraph"/>
              <w:spacing w:before="24"/>
              <w:rPr>
                <w:sz w:val="19"/>
              </w:rPr>
            </w:pPr>
          </w:p>
          <w:p>
            <w:pPr>
              <w:pStyle w:val="TableParagraph"/>
              <w:ind w:left="283"/>
              <w:rPr>
                <w:b/>
                <w:sz w:val="19"/>
              </w:rPr>
            </w:pPr>
            <w:r>
              <w:rPr>
                <w:b/>
                <w:color w:val="151515"/>
                <w:spacing w:val="-4"/>
                <w:w w:val="105"/>
                <w:sz w:val="19"/>
              </w:rPr>
              <w:t>£000</w:t>
            </w:r>
          </w:p>
        </w:tc>
        <w:tc>
          <w:tcPr>
            <w:tcW w:w="385" w:type="dxa"/>
          </w:tcPr>
          <w:p>
            <w:pPr>
              <w:pStyle w:val="TableParagraph"/>
              <w:rPr>
                <w:rFonts w:ascii="Times New Roman"/>
                <w:sz w:val="20"/>
              </w:rPr>
            </w:pPr>
          </w:p>
        </w:tc>
        <w:tc>
          <w:tcPr>
            <w:tcW w:w="1149" w:type="dxa"/>
          </w:tcPr>
          <w:p>
            <w:pPr>
              <w:pStyle w:val="TableParagraph"/>
              <w:spacing w:before="216"/>
              <w:ind w:right="99"/>
              <w:jc w:val="right"/>
              <w:rPr>
                <w:rFonts w:ascii="Times New Roman" w:hAnsi="Times New Roman"/>
                <w:b/>
                <w:sz w:val="22"/>
              </w:rPr>
            </w:pPr>
            <w:r>
              <w:rPr>
                <w:rFonts w:ascii="Times New Roman" w:hAnsi="Times New Roman"/>
                <w:b/>
                <w:color w:val="151515"/>
                <w:spacing w:val="-4"/>
                <w:sz w:val="22"/>
              </w:rPr>
              <w:t>£000</w:t>
            </w:r>
          </w:p>
        </w:tc>
      </w:tr>
      <w:tr>
        <w:trPr>
          <w:trHeight w:val="386" w:hRule="atLeast"/>
        </w:trPr>
        <w:tc>
          <w:tcPr>
            <w:tcW w:w="4777" w:type="dxa"/>
          </w:tcPr>
          <w:p>
            <w:pPr>
              <w:pStyle w:val="TableParagraph"/>
              <w:spacing w:before="139" w:line="227" w:lineRule="exact"/>
              <w:ind w:left="52"/>
              <w:rPr>
                <w:sz w:val="20"/>
              </w:rPr>
            </w:pPr>
            <w:r>
              <w:rPr>
                <w:color w:val="151515"/>
                <w:sz w:val="20"/>
              </w:rPr>
              <w:t>Asset</w:t>
            </w:r>
            <w:r>
              <w:rPr>
                <w:color w:val="151515"/>
                <w:spacing w:val="-10"/>
                <w:sz w:val="20"/>
              </w:rPr>
              <w:t> </w:t>
            </w:r>
            <w:r>
              <w:rPr>
                <w:color w:val="151515"/>
                <w:spacing w:val="-2"/>
                <w:sz w:val="20"/>
              </w:rPr>
              <w:t>Management</w:t>
            </w:r>
          </w:p>
        </w:tc>
        <w:tc>
          <w:tcPr>
            <w:tcW w:w="1020" w:type="dxa"/>
          </w:tcPr>
          <w:p>
            <w:pPr>
              <w:pStyle w:val="TableParagraph"/>
              <w:spacing w:before="144" w:line="222" w:lineRule="exact"/>
              <w:ind w:left="291"/>
              <w:rPr>
                <w:sz w:val="20"/>
              </w:rPr>
            </w:pPr>
            <w:r>
              <w:rPr>
                <w:color w:val="151515"/>
                <w:spacing w:val="-2"/>
                <w:sz w:val="20"/>
              </w:rPr>
              <w:t>14,087</w:t>
            </w:r>
          </w:p>
        </w:tc>
        <w:tc>
          <w:tcPr>
            <w:tcW w:w="385" w:type="dxa"/>
            <w:tcBorders>
              <w:right w:val="single" w:color="000000" w:sz="8" w:space="0"/>
            </w:tcBorders>
          </w:tcPr>
          <w:p>
            <w:pPr>
              <w:pStyle w:val="TableParagraph"/>
              <w:rPr>
                <w:rFonts w:ascii="Times New Roman"/>
                <w:sz w:val="20"/>
              </w:rPr>
            </w:pPr>
          </w:p>
        </w:tc>
        <w:tc>
          <w:tcPr>
            <w:tcW w:w="1149" w:type="dxa"/>
            <w:tcBorders>
              <w:left w:val="single" w:color="000000" w:sz="8" w:space="0"/>
            </w:tcBorders>
          </w:tcPr>
          <w:p>
            <w:pPr>
              <w:pStyle w:val="TableParagraph"/>
              <w:spacing w:before="134" w:line="231" w:lineRule="exact"/>
              <w:ind w:left="-20" w:right="96"/>
              <w:jc w:val="right"/>
              <w:rPr>
                <w:b/>
                <w:sz w:val="21"/>
              </w:rPr>
            </w:pPr>
            <w:r>
              <w:rPr>
                <w:b/>
                <w:color w:val="151515"/>
                <w:spacing w:val="-2"/>
                <w:sz w:val="21"/>
              </w:rPr>
              <w:t>9,984</w:t>
            </w:r>
          </w:p>
        </w:tc>
      </w:tr>
      <w:tr>
        <w:trPr>
          <w:trHeight w:val="249" w:hRule="atLeast"/>
        </w:trPr>
        <w:tc>
          <w:tcPr>
            <w:tcW w:w="4777" w:type="dxa"/>
          </w:tcPr>
          <w:p>
            <w:pPr>
              <w:pStyle w:val="TableParagraph"/>
              <w:spacing w:before="8" w:line="222" w:lineRule="exact"/>
              <w:ind w:left="55"/>
              <w:rPr>
                <w:sz w:val="20"/>
              </w:rPr>
            </w:pPr>
            <w:r>
              <w:rPr>
                <w:color w:val="151515"/>
                <w:sz w:val="20"/>
              </w:rPr>
              <w:t>Planning</w:t>
            </w:r>
            <w:r>
              <w:rPr>
                <w:color w:val="151515"/>
                <w:spacing w:val="-2"/>
                <w:sz w:val="20"/>
              </w:rPr>
              <w:t> </w:t>
            </w:r>
            <w:r>
              <w:rPr>
                <w:color w:val="151515"/>
                <w:sz w:val="20"/>
              </w:rPr>
              <w:t>&amp;</w:t>
            </w:r>
            <w:r>
              <w:rPr>
                <w:color w:val="151515"/>
                <w:spacing w:val="-10"/>
                <w:sz w:val="20"/>
              </w:rPr>
              <w:t> </w:t>
            </w:r>
            <w:r>
              <w:rPr>
                <w:color w:val="151515"/>
                <w:sz w:val="20"/>
              </w:rPr>
              <w:t>Economic</w:t>
            </w:r>
            <w:r>
              <w:rPr>
                <w:color w:val="151515"/>
                <w:spacing w:val="1"/>
                <w:sz w:val="20"/>
              </w:rPr>
              <w:t> </w:t>
            </w:r>
            <w:r>
              <w:rPr>
                <w:color w:val="151515"/>
                <w:spacing w:val="-2"/>
                <w:sz w:val="20"/>
              </w:rPr>
              <w:t>Development</w:t>
            </w:r>
          </w:p>
        </w:tc>
        <w:tc>
          <w:tcPr>
            <w:tcW w:w="1020" w:type="dxa"/>
          </w:tcPr>
          <w:p>
            <w:pPr>
              <w:pStyle w:val="TableParagraph"/>
              <w:spacing w:before="12" w:line="217" w:lineRule="exact"/>
              <w:ind w:right="100"/>
              <w:jc w:val="right"/>
              <w:rPr>
                <w:sz w:val="20"/>
              </w:rPr>
            </w:pPr>
            <w:r>
              <w:rPr>
                <w:color w:val="151515"/>
                <w:spacing w:val="-10"/>
                <w:w w:val="105"/>
                <w:sz w:val="20"/>
              </w:rPr>
              <w:t>8</w:t>
            </w:r>
          </w:p>
        </w:tc>
        <w:tc>
          <w:tcPr>
            <w:tcW w:w="385" w:type="dxa"/>
            <w:tcBorders>
              <w:right w:val="single" w:color="000000" w:sz="8" w:space="0"/>
            </w:tcBorders>
          </w:tcPr>
          <w:p>
            <w:pPr>
              <w:pStyle w:val="TableParagraph"/>
              <w:rPr>
                <w:rFonts w:ascii="Times New Roman"/>
                <w:sz w:val="18"/>
              </w:rPr>
            </w:pPr>
          </w:p>
        </w:tc>
        <w:tc>
          <w:tcPr>
            <w:tcW w:w="1149" w:type="dxa"/>
            <w:tcBorders>
              <w:left w:val="single" w:color="000000" w:sz="8" w:space="0"/>
            </w:tcBorders>
          </w:tcPr>
          <w:p>
            <w:pPr>
              <w:pStyle w:val="TableParagraph"/>
              <w:spacing w:before="3" w:line="227" w:lineRule="exact"/>
              <w:ind w:left="-20" w:right="96"/>
              <w:jc w:val="right"/>
              <w:rPr>
                <w:b/>
                <w:sz w:val="21"/>
              </w:rPr>
            </w:pPr>
            <w:r>
              <w:rPr>
                <w:b/>
                <w:color w:val="151515"/>
                <w:spacing w:val="-5"/>
                <w:sz w:val="21"/>
              </w:rPr>
              <w:t>862</w:t>
            </w:r>
          </w:p>
        </w:tc>
      </w:tr>
      <w:tr>
        <w:trPr>
          <w:trHeight w:val="251" w:hRule="atLeast"/>
        </w:trPr>
        <w:tc>
          <w:tcPr>
            <w:tcW w:w="4777" w:type="dxa"/>
          </w:tcPr>
          <w:p>
            <w:pPr>
              <w:pStyle w:val="TableParagraph"/>
              <w:spacing w:before="8" w:line="223" w:lineRule="exact"/>
              <w:ind w:left="50"/>
              <w:rPr>
                <w:sz w:val="20"/>
              </w:rPr>
            </w:pPr>
            <w:r>
              <w:rPr>
                <w:color w:val="151515"/>
                <w:spacing w:val="-2"/>
                <w:sz w:val="20"/>
              </w:rPr>
              <w:t>Environmental</w:t>
            </w:r>
            <w:r>
              <w:rPr>
                <w:color w:val="151515"/>
                <w:spacing w:val="9"/>
                <w:sz w:val="20"/>
              </w:rPr>
              <w:t> </w:t>
            </w:r>
            <w:r>
              <w:rPr>
                <w:color w:val="151515"/>
                <w:spacing w:val="-2"/>
                <w:sz w:val="20"/>
              </w:rPr>
              <w:t>Health</w:t>
            </w:r>
          </w:p>
        </w:tc>
        <w:tc>
          <w:tcPr>
            <w:tcW w:w="1020" w:type="dxa"/>
          </w:tcPr>
          <w:p>
            <w:pPr>
              <w:pStyle w:val="TableParagraph"/>
              <w:spacing w:before="12" w:line="219" w:lineRule="exact"/>
              <w:ind w:right="104"/>
              <w:jc w:val="right"/>
              <w:rPr>
                <w:sz w:val="20"/>
              </w:rPr>
            </w:pPr>
            <w:r>
              <w:rPr>
                <w:color w:val="151515"/>
                <w:spacing w:val="-5"/>
                <w:sz w:val="20"/>
              </w:rPr>
              <w:t>826</w:t>
            </w:r>
          </w:p>
        </w:tc>
        <w:tc>
          <w:tcPr>
            <w:tcW w:w="385" w:type="dxa"/>
            <w:tcBorders>
              <w:right w:val="single" w:color="000000" w:sz="8" w:space="0"/>
            </w:tcBorders>
          </w:tcPr>
          <w:p>
            <w:pPr>
              <w:pStyle w:val="TableParagraph"/>
              <w:rPr>
                <w:rFonts w:ascii="Times New Roman"/>
                <w:sz w:val="18"/>
              </w:rPr>
            </w:pPr>
          </w:p>
        </w:tc>
        <w:tc>
          <w:tcPr>
            <w:tcW w:w="1149" w:type="dxa"/>
            <w:tcBorders>
              <w:left w:val="single" w:color="000000" w:sz="8" w:space="0"/>
            </w:tcBorders>
          </w:tcPr>
          <w:p>
            <w:pPr>
              <w:pStyle w:val="TableParagraph"/>
              <w:spacing w:line="231" w:lineRule="exact"/>
              <w:ind w:left="-20" w:right="95"/>
              <w:jc w:val="right"/>
              <w:rPr>
                <w:b/>
                <w:sz w:val="21"/>
              </w:rPr>
            </w:pPr>
            <w:r>
              <w:rPr>
                <w:b/>
                <w:color w:val="151515"/>
                <w:spacing w:val="-4"/>
                <w:sz w:val="21"/>
              </w:rPr>
              <w:t>1</w:t>
            </w:r>
            <w:r>
              <w:rPr>
                <w:b/>
                <w:color w:val="464646"/>
                <w:spacing w:val="-4"/>
                <w:sz w:val="21"/>
              </w:rPr>
              <w:t>,</w:t>
            </w:r>
            <w:r>
              <w:rPr>
                <w:b/>
                <w:color w:val="151515"/>
                <w:spacing w:val="-4"/>
                <w:sz w:val="21"/>
              </w:rPr>
              <w:t>462</w:t>
            </w:r>
          </w:p>
        </w:tc>
      </w:tr>
      <w:tr>
        <w:trPr>
          <w:trHeight w:val="254" w:hRule="atLeast"/>
        </w:trPr>
        <w:tc>
          <w:tcPr>
            <w:tcW w:w="4777" w:type="dxa"/>
          </w:tcPr>
          <w:p>
            <w:pPr>
              <w:pStyle w:val="TableParagraph"/>
              <w:spacing w:before="11" w:line="223" w:lineRule="exact"/>
              <w:ind w:left="57"/>
              <w:rPr>
                <w:sz w:val="20"/>
              </w:rPr>
            </w:pPr>
            <w:r>
              <w:rPr>
                <w:color w:val="151515"/>
                <w:sz w:val="20"/>
              </w:rPr>
              <w:t>Street</w:t>
            </w:r>
            <w:r>
              <w:rPr>
                <w:color w:val="151515"/>
                <w:spacing w:val="-5"/>
                <w:sz w:val="20"/>
              </w:rPr>
              <w:t> </w:t>
            </w:r>
            <w:r>
              <w:rPr>
                <w:color w:val="151515"/>
                <w:sz w:val="20"/>
              </w:rPr>
              <w:t>Scene</w:t>
            </w:r>
            <w:r>
              <w:rPr>
                <w:color w:val="151515"/>
                <w:spacing w:val="-6"/>
                <w:sz w:val="20"/>
              </w:rPr>
              <w:t> </w:t>
            </w:r>
            <w:r>
              <w:rPr>
                <w:color w:val="151515"/>
                <w:spacing w:val="-2"/>
                <w:sz w:val="20"/>
              </w:rPr>
              <w:t>Services</w:t>
            </w:r>
          </w:p>
        </w:tc>
        <w:tc>
          <w:tcPr>
            <w:tcW w:w="1020" w:type="dxa"/>
          </w:tcPr>
          <w:p>
            <w:pPr>
              <w:pStyle w:val="TableParagraph"/>
              <w:spacing w:before="16" w:line="219" w:lineRule="exact"/>
              <w:ind w:right="104"/>
              <w:jc w:val="right"/>
              <w:rPr>
                <w:sz w:val="20"/>
              </w:rPr>
            </w:pPr>
            <w:r>
              <w:rPr>
                <w:color w:val="151515"/>
                <w:spacing w:val="-5"/>
                <w:sz w:val="20"/>
              </w:rPr>
              <w:t>983</w:t>
            </w:r>
          </w:p>
        </w:tc>
        <w:tc>
          <w:tcPr>
            <w:tcW w:w="385" w:type="dxa"/>
            <w:tcBorders>
              <w:right w:val="single" w:color="000000" w:sz="8" w:space="0"/>
            </w:tcBorders>
          </w:tcPr>
          <w:p>
            <w:pPr>
              <w:pStyle w:val="TableParagraph"/>
              <w:rPr>
                <w:rFonts w:ascii="Times New Roman"/>
                <w:sz w:val="18"/>
              </w:rPr>
            </w:pPr>
          </w:p>
        </w:tc>
        <w:tc>
          <w:tcPr>
            <w:tcW w:w="1149" w:type="dxa"/>
            <w:tcBorders>
              <w:left w:val="single" w:color="000000" w:sz="8" w:space="0"/>
            </w:tcBorders>
          </w:tcPr>
          <w:p>
            <w:pPr>
              <w:pStyle w:val="TableParagraph"/>
              <w:spacing w:before="2" w:line="233" w:lineRule="exact"/>
              <w:ind w:left="-20" w:right="102"/>
              <w:jc w:val="right"/>
              <w:rPr>
                <w:b/>
                <w:sz w:val="21"/>
              </w:rPr>
            </w:pPr>
            <w:r>
              <w:rPr>
                <w:b/>
                <w:color w:val="2A2A2A"/>
                <w:spacing w:val="-2"/>
                <w:sz w:val="21"/>
              </w:rPr>
              <w:t>1,722</w:t>
            </w:r>
          </w:p>
        </w:tc>
      </w:tr>
      <w:tr>
        <w:trPr>
          <w:trHeight w:val="255" w:hRule="atLeast"/>
        </w:trPr>
        <w:tc>
          <w:tcPr>
            <w:tcW w:w="4777" w:type="dxa"/>
          </w:tcPr>
          <w:p>
            <w:pPr>
              <w:pStyle w:val="TableParagraph"/>
              <w:spacing w:before="6" w:line="229" w:lineRule="exact"/>
              <w:ind w:left="54"/>
              <w:rPr>
                <w:sz w:val="20"/>
              </w:rPr>
            </w:pPr>
            <w:r>
              <w:rPr>
                <w:color w:val="151515"/>
                <w:sz w:val="20"/>
              </w:rPr>
              <w:t>Finance</w:t>
            </w:r>
            <w:r>
              <w:rPr>
                <w:color w:val="151515"/>
                <w:spacing w:val="-3"/>
                <w:sz w:val="20"/>
              </w:rPr>
              <w:t> </w:t>
            </w:r>
            <w:r>
              <w:rPr>
                <w:color w:val="151515"/>
                <w:sz w:val="20"/>
              </w:rPr>
              <w:t>And</w:t>
            </w:r>
            <w:r>
              <w:rPr>
                <w:color w:val="151515"/>
                <w:spacing w:val="-9"/>
                <w:sz w:val="20"/>
              </w:rPr>
              <w:t> </w:t>
            </w:r>
            <w:r>
              <w:rPr>
                <w:color w:val="151515"/>
                <w:sz w:val="20"/>
              </w:rPr>
              <w:t>Business</w:t>
            </w:r>
            <w:r>
              <w:rPr>
                <w:color w:val="151515"/>
                <w:spacing w:val="-2"/>
                <w:sz w:val="20"/>
              </w:rPr>
              <w:t> Services</w:t>
            </w:r>
          </w:p>
        </w:tc>
        <w:tc>
          <w:tcPr>
            <w:tcW w:w="1020" w:type="dxa"/>
          </w:tcPr>
          <w:p>
            <w:pPr>
              <w:pStyle w:val="TableParagraph"/>
              <w:spacing w:before="11" w:line="224" w:lineRule="exact"/>
              <w:ind w:right="108"/>
              <w:jc w:val="right"/>
              <w:rPr>
                <w:sz w:val="20"/>
              </w:rPr>
            </w:pPr>
            <w:r>
              <w:rPr>
                <w:color w:val="151515"/>
                <w:spacing w:val="-5"/>
                <w:sz w:val="20"/>
              </w:rPr>
              <w:t>16</w:t>
            </w:r>
          </w:p>
        </w:tc>
        <w:tc>
          <w:tcPr>
            <w:tcW w:w="385" w:type="dxa"/>
            <w:tcBorders>
              <w:right w:val="single" w:color="000000" w:sz="8" w:space="0"/>
            </w:tcBorders>
          </w:tcPr>
          <w:p>
            <w:pPr>
              <w:pStyle w:val="TableParagraph"/>
              <w:rPr>
                <w:rFonts w:ascii="Times New Roman"/>
                <w:sz w:val="18"/>
              </w:rPr>
            </w:pPr>
          </w:p>
        </w:tc>
        <w:tc>
          <w:tcPr>
            <w:tcW w:w="1149" w:type="dxa"/>
            <w:tcBorders>
              <w:left w:val="single" w:color="000000" w:sz="8" w:space="0"/>
            </w:tcBorders>
          </w:tcPr>
          <w:p>
            <w:pPr>
              <w:pStyle w:val="TableParagraph"/>
              <w:spacing w:before="2" w:line="234" w:lineRule="exact"/>
              <w:ind w:left="-20" w:right="83"/>
              <w:jc w:val="right"/>
              <w:rPr>
                <w:b/>
                <w:sz w:val="21"/>
              </w:rPr>
            </w:pPr>
            <w:r>
              <w:rPr>
                <w:b/>
                <w:color w:val="151515"/>
                <w:spacing w:val="-5"/>
                <w:sz w:val="21"/>
              </w:rPr>
              <w:t>92</w:t>
            </w:r>
          </w:p>
        </w:tc>
      </w:tr>
      <w:tr>
        <w:trPr>
          <w:trHeight w:val="245" w:hRule="atLeast"/>
        </w:trPr>
        <w:tc>
          <w:tcPr>
            <w:tcW w:w="4777" w:type="dxa"/>
          </w:tcPr>
          <w:p>
            <w:pPr>
              <w:pStyle w:val="TableParagraph"/>
              <w:spacing w:before="15" w:line="210" w:lineRule="exact"/>
              <w:ind w:left="50"/>
              <w:rPr>
                <w:sz w:val="20"/>
              </w:rPr>
            </w:pPr>
            <w:r>
              <w:rPr>
                <w:color w:val="151515"/>
                <w:sz w:val="20"/>
              </w:rPr>
              <w:t>Housing</w:t>
            </w:r>
            <w:r>
              <w:rPr>
                <w:color w:val="151515"/>
                <w:spacing w:val="-3"/>
                <w:sz w:val="20"/>
              </w:rPr>
              <w:t> </w:t>
            </w:r>
            <w:r>
              <w:rPr>
                <w:color w:val="151515"/>
                <w:sz w:val="20"/>
              </w:rPr>
              <w:t>&amp;</w:t>
            </w:r>
            <w:r>
              <w:rPr>
                <w:color w:val="151515"/>
                <w:spacing w:val="-8"/>
                <w:sz w:val="20"/>
              </w:rPr>
              <w:t> </w:t>
            </w:r>
            <w:r>
              <w:rPr>
                <w:color w:val="151515"/>
                <w:spacing w:val="-2"/>
                <w:sz w:val="20"/>
              </w:rPr>
              <w:t>Partnerships</w:t>
            </w:r>
          </w:p>
        </w:tc>
        <w:tc>
          <w:tcPr>
            <w:tcW w:w="1020" w:type="dxa"/>
          </w:tcPr>
          <w:p>
            <w:pPr>
              <w:pStyle w:val="TableParagraph"/>
              <w:tabs>
                <w:tab w:val="left" w:leader="none" w:pos="685"/>
              </w:tabs>
              <w:spacing w:before="5" w:line="220" w:lineRule="exact"/>
              <w:ind w:right="2"/>
              <w:jc w:val="right"/>
              <w:rPr>
                <w:sz w:val="20"/>
              </w:rPr>
            </w:pPr>
            <w:r>
              <w:rPr>
                <w:color w:val="151515"/>
                <w:sz w:val="20"/>
                <w:u w:val="single" w:color="000000"/>
              </w:rPr>
              <w:tab/>
            </w:r>
            <w:r>
              <w:rPr>
                <w:color w:val="151515"/>
                <w:spacing w:val="-5"/>
                <w:sz w:val="20"/>
                <w:u w:val="single" w:color="000000"/>
              </w:rPr>
              <w:t>43</w:t>
            </w:r>
            <w:r>
              <w:rPr>
                <w:color w:val="151515"/>
                <w:spacing w:val="80"/>
                <w:sz w:val="20"/>
                <w:u w:val="single" w:color="000000"/>
              </w:rPr>
              <w:t> </w:t>
            </w:r>
          </w:p>
        </w:tc>
        <w:tc>
          <w:tcPr>
            <w:tcW w:w="385" w:type="dxa"/>
            <w:tcBorders>
              <w:right w:val="single" w:color="000000" w:sz="8" w:space="0"/>
            </w:tcBorders>
          </w:tcPr>
          <w:p>
            <w:pPr>
              <w:pStyle w:val="TableParagraph"/>
              <w:rPr>
                <w:rFonts w:ascii="Times New Roman"/>
                <w:sz w:val="16"/>
              </w:rPr>
            </w:pPr>
          </w:p>
        </w:tc>
        <w:tc>
          <w:tcPr>
            <w:tcW w:w="1149" w:type="dxa"/>
            <w:tcBorders>
              <w:left w:val="single" w:color="000000" w:sz="8" w:space="0"/>
            </w:tcBorders>
          </w:tcPr>
          <w:p>
            <w:pPr>
              <w:pStyle w:val="TableParagraph"/>
              <w:tabs>
                <w:tab w:val="left" w:leader="none" w:pos="821"/>
              </w:tabs>
              <w:spacing w:before="15" w:line="210" w:lineRule="exact"/>
              <w:ind w:left="-20" w:right="93"/>
              <w:jc w:val="right"/>
              <w:rPr>
                <w:b/>
                <w:sz w:val="19"/>
              </w:rPr>
            </w:pPr>
            <w:r>
              <w:rPr>
                <w:b/>
                <w:color w:val="151515"/>
                <w:sz w:val="19"/>
                <w:u w:val="single" w:color="000000"/>
              </w:rPr>
              <w:tab/>
            </w:r>
            <w:r>
              <w:rPr>
                <w:b/>
                <w:color w:val="151515"/>
                <w:spacing w:val="-5"/>
                <w:w w:val="105"/>
                <w:sz w:val="19"/>
                <w:u w:val="single" w:color="000000"/>
              </w:rPr>
              <w:t>24</w:t>
            </w:r>
          </w:p>
        </w:tc>
      </w:tr>
      <w:tr>
        <w:trPr>
          <w:trHeight w:val="773" w:hRule="atLeast"/>
        </w:trPr>
        <w:tc>
          <w:tcPr>
            <w:tcW w:w="4777" w:type="dxa"/>
          </w:tcPr>
          <w:p>
            <w:pPr>
              <w:pStyle w:val="TableParagraph"/>
              <w:spacing w:before="70"/>
              <w:rPr>
                <w:sz w:val="19"/>
              </w:rPr>
            </w:pPr>
          </w:p>
          <w:p>
            <w:pPr>
              <w:pStyle w:val="TableParagraph"/>
              <w:ind w:left="52"/>
              <w:rPr>
                <w:b/>
                <w:sz w:val="19"/>
              </w:rPr>
            </w:pPr>
            <w:r>
              <w:rPr>
                <w:b/>
                <w:color w:val="151515"/>
                <w:w w:val="105"/>
                <w:sz w:val="19"/>
              </w:rPr>
              <w:t>Total</w:t>
            </w:r>
            <w:r>
              <w:rPr>
                <w:b/>
                <w:color w:val="151515"/>
                <w:spacing w:val="-7"/>
                <w:w w:val="105"/>
                <w:sz w:val="19"/>
              </w:rPr>
              <w:t> </w:t>
            </w:r>
            <w:r>
              <w:rPr>
                <w:b/>
                <w:color w:val="151515"/>
                <w:w w:val="105"/>
                <w:sz w:val="19"/>
              </w:rPr>
              <w:t>Capital</w:t>
            </w:r>
            <w:r>
              <w:rPr>
                <w:b/>
                <w:color w:val="151515"/>
                <w:spacing w:val="-2"/>
                <w:w w:val="105"/>
                <w:sz w:val="19"/>
              </w:rPr>
              <w:t> Expenditure</w:t>
            </w:r>
          </w:p>
        </w:tc>
        <w:tc>
          <w:tcPr>
            <w:tcW w:w="1020" w:type="dxa"/>
            <w:tcBorders>
              <w:bottom w:val="single" w:color="000000" w:sz="12" w:space="0"/>
            </w:tcBorders>
          </w:tcPr>
          <w:p>
            <w:pPr>
              <w:pStyle w:val="TableParagraph"/>
              <w:spacing w:before="75"/>
              <w:rPr>
                <w:sz w:val="19"/>
              </w:rPr>
            </w:pPr>
          </w:p>
          <w:p>
            <w:pPr>
              <w:pStyle w:val="TableParagraph"/>
              <w:ind w:left="298"/>
              <w:rPr>
                <w:b/>
                <w:sz w:val="19"/>
              </w:rPr>
            </w:pPr>
            <w:r>
              <w:rPr>
                <w:b/>
                <w:color w:val="151515"/>
                <w:spacing w:val="-2"/>
                <w:w w:val="105"/>
                <w:sz w:val="19"/>
              </w:rPr>
              <w:t>15,963</w:t>
            </w:r>
          </w:p>
        </w:tc>
        <w:tc>
          <w:tcPr>
            <w:tcW w:w="385" w:type="dxa"/>
          </w:tcPr>
          <w:p>
            <w:pPr>
              <w:pStyle w:val="TableParagraph"/>
              <w:rPr>
                <w:rFonts w:ascii="Times New Roman"/>
                <w:sz w:val="20"/>
              </w:rPr>
            </w:pPr>
          </w:p>
        </w:tc>
        <w:tc>
          <w:tcPr>
            <w:tcW w:w="1149" w:type="dxa"/>
          </w:tcPr>
          <w:p>
            <w:pPr>
              <w:pStyle w:val="TableParagraph"/>
              <w:spacing w:before="8"/>
              <w:rPr>
                <w:sz w:val="22"/>
              </w:rPr>
            </w:pPr>
          </w:p>
          <w:p>
            <w:pPr>
              <w:pStyle w:val="TableParagraph"/>
              <w:ind w:right="98"/>
              <w:jc w:val="right"/>
              <w:rPr>
                <w:rFonts w:ascii="Times New Roman"/>
                <w:b/>
                <w:sz w:val="22"/>
              </w:rPr>
            </w:pPr>
            <w:r>
              <w:rPr/>
              <ve:AlternateContent>
                <ve:Choice Requires="wps">
                  <w:drawing>
                    <wp:anchor distT="0" distB="0" distL="0" distR="0" simplePos="0" relativeHeight="475859456" behindDoc="1" locked="0" layoutInCell="1" allowOverlap="1">
                      <wp:simplePos x="0" y="0"/>
                      <wp:positionH relativeFrom="column">
                        <wp:posOffset>0</wp:posOffset>
                      </wp:positionH>
                      <wp:positionV relativeFrom="paragraph">
                        <wp:posOffset>325716</wp:posOffset>
                      </wp:positionV>
                      <wp:extent cx="671830" cy="18415"/>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671830" cy="18415"/>
                                <a:chExt cx="671830" cy="18415"/>
                              </a:xfrm>
                            </wpg:grpSpPr>
                            <wps:wsp>
                              <wps:cNvPr id="86" name="Graphic 86"/>
                              <wps:cNvSpPr/>
                              <wps:spPr>
                                <a:xfrm>
                                  <a:off x="0" y="9154"/>
                                  <a:ext cx="671830" cy="1270"/>
                                </a:xfrm>
                                <a:custGeom>
                                  <a:avLst/>
                                  <a:gdLst/>
                                  <a:ahLst/>
                                  <a:cxnLst/>
                                  <a:rect l="l" t="t" r="r" b="b"/>
                                  <a:pathLst>
                                    <a:path w="671830" h="0">
                                      <a:moveTo>
                                        <a:pt x="0" y="0"/>
                                      </a:moveTo>
                                      <a:lnTo>
                                        <a:pt x="671641" y="0"/>
                                      </a:lnTo>
                                    </a:path>
                                  </a:pathLst>
                                </a:custGeom>
                                <a:ln w="18308">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7" style="position:absolute;margin-left:0pt;margin-top:25.647007pt;width:52.9pt;height:1.45pt;mso-position-horizontal-relative:column;mso-position-vertical-relative:paragraph;z-index:-27457024" coordsize="1058,29" coordorigin="0,513">
                      <v:line style="position:absolute" stroked="true" strokecolor="#000000" strokeweight="1.441643pt" from="0,527" to="1058,527">
                        <v:stroke dashstyle="solid"/>
                      </v:line>
                      <w10:wrap type="none"/>
                    </v:group>
                  </w:pict>
                </ve:Fallback>
              </ve:AlternateContent>
            </w:r>
            <w:r>
              <w:rPr>
                <w:rFonts w:ascii="Times New Roman"/>
                <w:b/>
                <w:color w:val="151515"/>
                <w:spacing w:val="-2"/>
                <w:sz w:val="22"/>
              </w:rPr>
              <w:t>14,146</w:t>
            </w:r>
          </w:p>
        </w:tc>
      </w:tr>
      <w:tr>
        <w:trPr>
          <w:trHeight w:val="653" w:hRule="atLeast"/>
        </w:trPr>
        <w:tc>
          <w:tcPr>
            <w:tcW w:w="4777" w:type="dxa"/>
          </w:tcPr>
          <w:p>
            <w:pPr>
              <w:pStyle w:val="TableParagraph"/>
              <w:spacing w:before="47"/>
              <w:rPr>
                <w:sz w:val="20"/>
              </w:rPr>
            </w:pPr>
          </w:p>
          <w:p>
            <w:pPr>
              <w:pStyle w:val="TableParagraph"/>
              <w:spacing w:before="1"/>
              <w:ind w:left="50"/>
              <w:rPr>
                <w:sz w:val="20"/>
              </w:rPr>
            </w:pPr>
            <w:r>
              <w:rPr>
                <w:color w:val="151515"/>
                <w:sz w:val="20"/>
              </w:rPr>
              <w:t>FUNDING</w:t>
            </w:r>
            <w:r>
              <w:rPr>
                <w:color w:val="151515"/>
                <w:spacing w:val="-10"/>
                <w:sz w:val="20"/>
              </w:rPr>
              <w:t> </w:t>
            </w:r>
            <w:r>
              <w:rPr>
                <w:color w:val="151515"/>
                <w:spacing w:val="-2"/>
                <w:sz w:val="20"/>
              </w:rPr>
              <w:t>SOURCES</w:t>
            </w:r>
          </w:p>
        </w:tc>
        <w:tc>
          <w:tcPr>
            <w:tcW w:w="1020" w:type="dxa"/>
            <w:tcBorders>
              <w:top w:val="single" w:color="000000" w:sz="12" w:space="0"/>
            </w:tcBorders>
          </w:tcPr>
          <w:p>
            <w:pPr>
              <w:pStyle w:val="TableParagraph"/>
              <w:spacing w:before="52"/>
              <w:rPr>
                <w:sz w:val="20"/>
              </w:rPr>
            </w:pPr>
          </w:p>
          <w:p>
            <w:pPr>
              <w:pStyle w:val="TableParagraph"/>
              <w:ind w:left="287"/>
              <w:rPr>
                <w:sz w:val="20"/>
              </w:rPr>
            </w:pPr>
            <w:r>
              <w:rPr>
                <w:color w:val="151515"/>
                <w:spacing w:val="-4"/>
                <w:sz w:val="20"/>
              </w:rPr>
              <w:t>£000</w:t>
            </w:r>
          </w:p>
        </w:tc>
        <w:tc>
          <w:tcPr>
            <w:tcW w:w="385" w:type="dxa"/>
            <w:tcBorders>
              <w:right w:val="single" w:color="000000" w:sz="2" w:space="0"/>
            </w:tcBorders>
          </w:tcPr>
          <w:p>
            <w:pPr>
              <w:pStyle w:val="TableParagraph"/>
              <w:rPr>
                <w:rFonts w:ascii="Times New Roman"/>
                <w:sz w:val="20"/>
              </w:rPr>
            </w:pPr>
          </w:p>
        </w:tc>
        <w:tc>
          <w:tcPr>
            <w:tcW w:w="1149" w:type="dxa"/>
            <w:tcBorders>
              <w:left w:val="single" w:color="000000" w:sz="2" w:space="0"/>
            </w:tcBorders>
          </w:tcPr>
          <w:p>
            <w:pPr>
              <w:pStyle w:val="TableParagraph"/>
              <w:spacing w:before="73"/>
              <w:rPr>
                <w:sz w:val="19"/>
              </w:rPr>
            </w:pPr>
          </w:p>
          <w:p>
            <w:pPr>
              <w:pStyle w:val="TableParagraph"/>
              <w:ind w:left="-3" w:right="89"/>
              <w:jc w:val="right"/>
              <w:rPr>
                <w:b/>
                <w:sz w:val="19"/>
              </w:rPr>
            </w:pPr>
            <w:r>
              <w:rPr>
                <w:b/>
                <w:color w:val="151515"/>
                <w:spacing w:val="-4"/>
                <w:w w:val="105"/>
                <w:sz w:val="19"/>
              </w:rPr>
              <w:t>£000</w:t>
            </w:r>
          </w:p>
        </w:tc>
      </w:tr>
      <w:tr>
        <w:trPr>
          <w:trHeight w:val="372" w:hRule="atLeast"/>
        </w:trPr>
        <w:tc>
          <w:tcPr>
            <w:tcW w:w="4777" w:type="dxa"/>
          </w:tcPr>
          <w:p>
            <w:pPr>
              <w:pStyle w:val="TableParagraph"/>
              <w:spacing w:before="134" w:line="219" w:lineRule="exact"/>
              <w:ind w:left="55"/>
              <w:rPr>
                <w:sz w:val="20"/>
              </w:rPr>
            </w:pPr>
            <w:r>
              <w:rPr>
                <w:color w:val="151515"/>
                <w:sz w:val="20"/>
              </w:rPr>
              <w:t>Usable</w:t>
            </w:r>
            <w:r>
              <w:rPr>
                <w:color w:val="151515"/>
                <w:spacing w:val="-6"/>
                <w:sz w:val="20"/>
              </w:rPr>
              <w:t> </w:t>
            </w:r>
            <w:r>
              <w:rPr>
                <w:color w:val="151515"/>
                <w:sz w:val="20"/>
              </w:rPr>
              <w:t>Capital</w:t>
            </w:r>
            <w:r>
              <w:rPr>
                <w:color w:val="151515"/>
                <w:spacing w:val="-14"/>
                <w:sz w:val="20"/>
              </w:rPr>
              <w:t> </w:t>
            </w:r>
            <w:r>
              <w:rPr>
                <w:color w:val="151515"/>
                <w:spacing w:val="-2"/>
                <w:sz w:val="20"/>
              </w:rPr>
              <w:t>Receipts</w:t>
            </w:r>
          </w:p>
        </w:tc>
        <w:tc>
          <w:tcPr>
            <w:tcW w:w="1020" w:type="dxa"/>
          </w:tcPr>
          <w:p>
            <w:pPr>
              <w:pStyle w:val="TableParagraph"/>
              <w:spacing w:before="134" w:line="219" w:lineRule="exact"/>
              <w:ind w:right="104"/>
              <w:jc w:val="right"/>
              <w:rPr>
                <w:sz w:val="20"/>
              </w:rPr>
            </w:pPr>
            <w:r>
              <w:rPr>
                <w:color w:val="151515"/>
                <w:spacing w:val="-5"/>
                <w:sz w:val="20"/>
              </w:rPr>
              <w:t>592</w:t>
            </w:r>
          </w:p>
        </w:tc>
        <w:tc>
          <w:tcPr>
            <w:tcW w:w="385" w:type="dxa"/>
            <w:tcBorders>
              <w:right w:val="single" w:color="000000" w:sz="8" w:space="0"/>
            </w:tcBorders>
          </w:tcPr>
          <w:p>
            <w:pPr>
              <w:pStyle w:val="TableParagraph"/>
              <w:rPr>
                <w:rFonts w:ascii="Times New Roman"/>
                <w:sz w:val="20"/>
              </w:rPr>
            </w:pPr>
          </w:p>
        </w:tc>
        <w:tc>
          <w:tcPr>
            <w:tcW w:w="1149" w:type="dxa"/>
            <w:tcBorders>
              <w:left w:val="single" w:color="000000" w:sz="8" w:space="0"/>
            </w:tcBorders>
          </w:tcPr>
          <w:p>
            <w:pPr>
              <w:pStyle w:val="TableParagraph"/>
              <w:spacing w:before="134" w:line="219" w:lineRule="exact"/>
              <w:ind w:left="-20" w:right="87"/>
              <w:jc w:val="right"/>
              <w:rPr>
                <w:sz w:val="20"/>
              </w:rPr>
            </w:pPr>
            <w:r>
              <w:rPr>
                <w:color w:val="151515"/>
                <w:spacing w:val="-5"/>
                <w:sz w:val="20"/>
              </w:rPr>
              <w:t>267</w:t>
            </w:r>
          </w:p>
        </w:tc>
      </w:tr>
      <w:tr>
        <w:trPr>
          <w:trHeight w:val="254" w:hRule="atLeast"/>
        </w:trPr>
        <w:tc>
          <w:tcPr>
            <w:tcW w:w="4777" w:type="dxa"/>
          </w:tcPr>
          <w:p>
            <w:pPr>
              <w:pStyle w:val="TableParagraph"/>
              <w:spacing w:before="16" w:line="219" w:lineRule="exact"/>
              <w:ind w:left="50"/>
              <w:rPr>
                <w:sz w:val="20"/>
              </w:rPr>
            </w:pPr>
            <w:r>
              <w:rPr>
                <w:color w:val="151515"/>
                <w:spacing w:val="-2"/>
                <w:sz w:val="20"/>
              </w:rPr>
              <w:t>Reserves</w:t>
            </w:r>
          </w:p>
        </w:tc>
        <w:tc>
          <w:tcPr>
            <w:tcW w:w="1020" w:type="dxa"/>
          </w:tcPr>
          <w:p>
            <w:pPr>
              <w:pStyle w:val="TableParagraph"/>
              <w:spacing w:before="16" w:line="219" w:lineRule="exact"/>
              <w:ind w:right="108"/>
              <w:jc w:val="right"/>
              <w:rPr>
                <w:sz w:val="20"/>
              </w:rPr>
            </w:pPr>
            <w:r>
              <w:rPr>
                <w:color w:val="151515"/>
                <w:spacing w:val="-5"/>
                <w:sz w:val="20"/>
              </w:rPr>
              <w:t>905</w:t>
            </w:r>
          </w:p>
        </w:tc>
        <w:tc>
          <w:tcPr>
            <w:tcW w:w="385" w:type="dxa"/>
            <w:tcBorders>
              <w:right w:val="single" w:color="000000" w:sz="8" w:space="0"/>
            </w:tcBorders>
          </w:tcPr>
          <w:p>
            <w:pPr>
              <w:pStyle w:val="TableParagraph"/>
              <w:rPr>
                <w:rFonts w:ascii="Times New Roman"/>
                <w:sz w:val="18"/>
              </w:rPr>
            </w:pPr>
          </w:p>
        </w:tc>
        <w:tc>
          <w:tcPr>
            <w:tcW w:w="1149" w:type="dxa"/>
            <w:tcBorders>
              <w:left w:val="single" w:color="000000" w:sz="8" w:space="0"/>
            </w:tcBorders>
          </w:tcPr>
          <w:p>
            <w:pPr>
              <w:pStyle w:val="TableParagraph"/>
              <w:spacing w:before="2" w:line="233" w:lineRule="exact"/>
              <w:ind w:left="-20" w:right="87"/>
              <w:jc w:val="right"/>
              <w:rPr>
                <w:sz w:val="21"/>
              </w:rPr>
            </w:pPr>
            <w:r>
              <w:rPr>
                <w:color w:val="151515"/>
                <w:spacing w:val="-2"/>
                <w:sz w:val="21"/>
              </w:rPr>
              <w:t>1,821</w:t>
            </w:r>
          </w:p>
        </w:tc>
      </w:tr>
      <w:tr>
        <w:trPr>
          <w:trHeight w:val="250" w:hRule="atLeast"/>
        </w:trPr>
        <w:tc>
          <w:tcPr>
            <w:tcW w:w="4777" w:type="dxa"/>
          </w:tcPr>
          <w:p>
            <w:pPr>
              <w:pStyle w:val="TableParagraph"/>
              <w:spacing w:before="11" w:line="219" w:lineRule="exact"/>
              <w:ind w:left="51"/>
              <w:rPr>
                <w:sz w:val="20"/>
              </w:rPr>
            </w:pPr>
            <w:r>
              <w:rPr>
                <w:color w:val="151515"/>
                <w:spacing w:val="-2"/>
                <w:sz w:val="20"/>
              </w:rPr>
              <w:t>Grants</w:t>
            </w:r>
          </w:p>
        </w:tc>
        <w:tc>
          <w:tcPr>
            <w:tcW w:w="1020" w:type="dxa"/>
          </w:tcPr>
          <w:p>
            <w:pPr>
              <w:pStyle w:val="TableParagraph"/>
              <w:spacing w:before="11" w:line="219" w:lineRule="exact"/>
              <w:ind w:right="85"/>
              <w:jc w:val="right"/>
              <w:rPr>
                <w:sz w:val="20"/>
              </w:rPr>
            </w:pPr>
            <w:r>
              <w:rPr>
                <w:color w:val="151515"/>
                <w:spacing w:val="-4"/>
                <w:w w:val="105"/>
                <w:sz w:val="20"/>
              </w:rPr>
              <w:t>7</w:t>
            </w:r>
            <w:r>
              <w:rPr>
                <w:color w:val="464646"/>
                <w:spacing w:val="-4"/>
                <w:w w:val="105"/>
                <w:sz w:val="20"/>
              </w:rPr>
              <w:t>,</w:t>
            </w:r>
            <w:r>
              <w:rPr>
                <w:color w:val="151515"/>
                <w:spacing w:val="-4"/>
                <w:w w:val="105"/>
                <w:sz w:val="20"/>
              </w:rPr>
              <w:t>211</w:t>
            </w:r>
          </w:p>
        </w:tc>
        <w:tc>
          <w:tcPr>
            <w:tcW w:w="385" w:type="dxa"/>
            <w:tcBorders>
              <w:right w:val="single" w:color="000000" w:sz="8" w:space="0"/>
            </w:tcBorders>
          </w:tcPr>
          <w:p>
            <w:pPr>
              <w:pStyle w:val="TableParagraph"/>
              <w:rPr>
                <w:rFonts w:ascii="Times New Roman"/>
                <w:sz w:val="18"/>
              </w:rPr>
            </w:pPr>
          </w:p>
        </w:tc>
        <w:tc>
          <w:tcPr>
            <w:tcW w:w="1149" w:type="dxa"/>
            <w:tcBorders>
              <w:left w:val="single" w:color="000000" w:sz="8" w:space="0"/>
            </w:tcBorders>
          </w:tcPr>
          <w:p>
            <w:pPr>
              <w:pStyle w:val="TableParagraph"/>
              <w:spacing w:before="2" w:line="228" w:lineRule="exact"/>
              <w:ind w:left="-20" w:right="76"/>
              <w:jc w:val="right"/>
              <w:rPr>
                <w:sz w:val="21"/>
              </w:rPr>
            </w:pPr>
            <w:r>
              <w:rPr>
                <w:color w:val="151515"/>
                <w:spacing w:val="-4"/>
                <w:sz w:val="21"/>
              </w:rPr>
              <w:t>5</w:t>
            </w:r>
            <w:r>
              <w:rPr>
                <w:color w:val="464646"/>
                <w:spacing w:val="-4"/>
                <w:sz w:val="21"/>
              </w:rPr>
              <w:t>,</w:t>
            </w:r>
            <w:r>
              <w:rPr>
                <w:color w:val="151515"/>
                <w:spacing w:val="-4"/>
                <w:sz w:val="21"/>
              </w:rPr>
              <w:t>328</w:t>
            </w:r>
          </w:p>
        </w:tc>
      </w:tr>
      <w:tr>
        <w:trPr>
          <w:trHeight w:val="261" w:hRule="atLeast"/>
        </w:trPr>
        <w:tc>
          <w:tcPr>
            <w:tcW w:w="4777" w:type="dxa"/>
          </w:tcPr>
          <w:p>
            <w:pPr>
              <w:pStyle w:val="TableParagraph"/>
              <w:spacing w:before="10"/>
              <w:ind w:left="50"/>
              <w:rPr>
                <w:sz w:val="20"/>
              </w:rPr>
            </w:pPr>
            <w:r>
              <w:rPr>
                <w:color w:val="151515"/>
                <w:spacing w:val="-2"/>
                <w:sz w:val="20"/>
              </w:rPr>
              <w:t>Revenue</w:t>
            </w:r>
          </w:p>
        </w:tc>
        <w:tc>
          <w:tcPr>
            <w:tcW w:w="1020" w:type="dxa"/>
          </w:tcPr>
          <w:p>
            <w:pPr>
              <w:pStyle w:val="TableParagraph"/>
              <w:spacing w:before="10"/>
              <w:ind w:right="97"/>
              <w:jc w:val="right"/>
              <w:rPr>
                <w:sz w:val="20"/>
              </w:rPr>
            </w:pPr>
            <w:r>
              <w:rPr>
                <w:color w:val="151515"/>
                <w:spacing w:val="-5"/>
                <w:w w:val="105"/>
                <w:sz w:val="20"/>
              </w:rPr>
              <w:t>40</w:t>
            </w:r>
          </w:p>
        </w:tc>
        <w:tc>
          <w:tcPr>
            <w:tcW w:w="385" w:type="dxa"/>
            <w:tcBorders>
              <w:right w:val="single" w:color="000000" w:sz="2" w:space="0"/>
            </w:tcBorders>
          </w:tcPr>
          <w:p>
            <w:pPr>
              <w:pStyle w:val="TableParagraph"/>
              <w:rPr>
                <w:rFonts w:ascii="Times New Roman"/>
                <w:sz w:val="18"/>
              </w:rPr>
            </w:pPr>
          </w:p>
        </w:tc>
        <w:tc>
          <w:tcPr>
            <w:tcW w:w="1149" w:type="dxa"/>
            <w:tcBorders>
              <w:left w:val="single" w:color="000000" w:sz="2" w:space="0"/>
            </w:tcBorders>
          </w:tcPr>
          <w:p>
            <w:pPr>
              <w:pStyle w:val="TableParagraph"/>
              <w:spacing w:line="241" w:lineRule="exact"/>
              <w:ind w:left="-3" w:right="87"/>
              <w:jc w:val="right"/>
              <w:rPr>
                <w:rFonts w:ascii="Times New Roman"/>
                <w:sz w:val="22"/>
              </w:rPr>
            </w:pPr>
            <w:r>
              <w:rPr>
                <w:rFonts w:ascii="Times New Roman"/>
                <w:color w:val="2A2A2A"/>
                <w:spacing w:val="-5"/>
                <w:w w:val="105"/>
                <w:sz w:val="22"/>
              </w:rPr>
              <w:t>156</w:t>
            </w:r>
          </w:p>
        </w:tc>
      </w:tr>
      <w:tr>
        <w:trPr>
          <w:trHeight w:val="239" w:hRule="atLeast"/>
        </w:trPr>
        <w:tc>
          <w:tcPr>
            <w:tcW w:w="4777" w:type="dxa"/>
          </w:tcPr>
          <w:p>
            <w:pPr>
              <w:pStyle w:val="TableParagraph"/>
              <w:spacing w:before="4" w:line="216" w:lineRule="exact"/>
              <w:ind w:left="51"/>
              <w:rPr>
                <w:sz w:val="20"/>
              </w:rPr>
            </w:pPr>
            <w:r>
              <w:rPr>
                <w:color w:val="151515"/>
                <w:spacing w:val="-2"/>
                <w:sz w:val="20"/>
              </w:rPr>
              <w:t>Borrowing</w:t>
            </w:r>
          </w:p>
        </w:tc>
        <w:tc>
          <w:tcPr>
            <w:tcW w:w="1020" w:type="dxa"/>
          </w:tcPr>
          <w:p>
            <w:pPr>
              <w:pStyle w:val="TableParagraph"/>
              <w:tabs>
                <w:tab w:val="left" w:leader="none" w:pos="413"/>
              </w:tabs>
              <w:spacing w:before="4" w:line="216" w:lineRule="exact"/>
              <w:ind w:right="2"/>
              <w:jc w:val="right"/>
              <w:rPr>
                <w:sz w:val="20"/>
              </w:rPr>
            </w:pPr>
            <w:r>
              <w:rPr>
                <w:color w:val="151515"/>
                <w:sz w:val="20"/>
                <w:u w:val="single" w:color="000000"/>
              </w:rPr>
              <w:tab/>
            </w:r>
            <w:r>
              <w:rPr>
                <w:color w:val="151515"/>
                <w:spacing w:val="-2"/>
                <w:sz w:val="20"/>
                <w:u w:val="single" w:color="000000"/>
              </w:rPr>
              <w:t>7,215</w:t>
            </w:r>
            <w:r>
              <w:rPr>
                <w:color w:val="151515"/>
                <w:spacing w:val="80"/>
                <w:sz w:val="20"/>
                <w:u w:val="single" w:color="000000"/>
              </w:rPr>
              <w:t> </w:t>
            </w:r>
          </w:p>
        </w:tc>
        <w:tc>
          <w:tcPr>
            <w:tcW w:w="385" w:type="dxa"/>
            <w:tcBorders>
              <w:right w:val="single" w:color="000000" w:sz="2" w:space="0"/>
            </w:tcBorders>
          </w:tcPr>
          <w:p>
            <w:pPr>
              <w:pStyle w:val="TableParagraph"/>
              <w:rPr>
                <w:rFonts w:ascii="Times New Roman"/>
                <w:sz w:val="16"/>
              </w:rPr>
            </w:pPr>
          </w:p>
        </w:tc>
        <w:tc>
          <w:tcPr>
            <w:tcW w:w="1149" w:type="dxa"/>
            <w:tcBorders>
              <w:left w:val="single" w:color="000000" w:sz="2" w:space="0"/>
            </w:tcBorders>
          </w:tcPr>
          <w:p>
            <w:pPr>
              <w:pStyle w:val="TableParagraph"/>
              <w:tabs>
                <w:tab w:val="left" w:leader="none" w:pos="552"/>
              </w:tabs>
              <w:spacing w:before="9" w:line="211" w:lineRule="exact"/>
              <w:ind w:left="-3" w:right="91"/>
              <w:jc w:val="right"/>
              <w:rPr>
                <w:sz w:val="20"/>
              </w:rPr>
            </w:pPr>
            <w:r>
              <w:rPr>
                <w:color w:val="151515"/>
                <w:sz w:val="20"/>
                <w:u w:val="single" w:color="000000"/>
              </w:rPr>
              <w:tab/>
            </w:r>
            <w:r>
              <w:rPr>
                <w:color w:val="151515"/>
                <w:spacing w:val="-12"/>
                <w:sz w:val="20"/>
                <w:u w:val="single" w:color="000000"/>
              </w:rPr>
              <w:t>6</w:t>
            </w:r>
            <w:r>
              <w:rPr>
                <w:color w:val="464646"/>
                <w:spacing w:val="-12"/>
                <w:sz w:val="20"/>
                <w:u w:val="single" w:color="000000"/>
              </w:rPr>
              <w:t>J</w:t>
            </w:r>
            <w:r>
              <w:rPr>
                <w:color w:val="151515"/>
                <w:spacing w:val="-12"/>
                <w:sz w:val="20"/>
                <w:u w:val="single" w:color="000000"/>
              </w:rPr>
              <w:t>574</w:t>
            </w:r>
          </w:p>
        </w:tc>
      </w:tr>
      <w:tr>
        <w:trPr>
          <w:trHeight w:val="518" w:hRule="atLeast"/>
        </w:trPr>
        <w:tc>
          <w:tcPr>
            <w:tcW w:w="4777" w:type="dxa"/>
          </w:tcPr>
          <w:p>
            <w:pPr>
              <w:pStyle w:val="TableParagraph"/>
              <w:spacing w:before="53"/>
              <w:rPr>
                <w:sz w:val="20"/>
              </w:rPr>
            </w:pPr>
          </w:p>
          <w:p>
            <w:pPr>
              <w:pStyle w:val="TableParagraph"/>
              <w:spacing w:line="215" w:lineRule="exact"/>
              <w:ind w:left="52"/>
              <w:rPr>
                <w:sz w:val="20"/>
              </w:rPr>
            </w:pPr>
            <w:r>
              <w:rPr>
                <w:color w:val="151515"/>
                <w:spacing w:val="-2"/>
                <w:w w:val="110"/>
                <w:sz w:val="20"/>
              </w:rPr>
              <w:t>Total</w:t>
            </w:r>
            <w:r>
              <w:rPr>
                <w:color w:val="151515"/>
                <w:spacing w:val="-15"/>
                <w:w w:val="110"/>
                <w:sz w:val="20"/>
              </w:rPr>
              <w:t> </w:t>
            </w:r>
            <w:r>
              <w:rPr>
                <w:color w:val="151515"/>
                <w:spacing w:val="-2"/>
                <w:w w:val="110"/>
                <w:sz w:val="20"/>
              </w:rPr>
              <w:t>Funding</w:t>
            </w:r>
            <w:r>
              <w:rPr>
                <w:color w:val="151515"/>
                <w:w w:val="110"/>
                <w:sz w:val="20"/>
              </w:rPr>
              <w:t> </w:t>
            </w:r>
            <w:r>
              <w:rPr>
                <w:color w:val="151515"/>
                <w:spacing w:val="-2"/>
                <w:w w:val="110"/>
                <w:sz w:val="20"/>
              </w:rPr>
              <w:t>Sources</w:t>
            </w:r>
          </w:p>
        </w:tc>
        <w:tc>
          <w:tcPr>
            <w:tcW w:w="1020" w:type="dxa"/>
          </w:tcPr>
          <w:p>
            <w:pPr>
              <w:pStyle w:val="TableParagraph"/>
              <w:spacing w:before="79"/>
              <w:rPr>
                <w:sz w:val="19"/>
              </w:rPr>
            </w:pPr>
          </w:p>
          <w:p>
            <w:pPr>
              <w:pStyle w:val="TableParagraph"/>
              <w:spacing w:line="201" w:lineRule="exact"/>
              <w:ind w:left="303"/>
              <w:rPr>
                <w:b/>
                <w:sz w:val="19"/>
              </w:rPr>
            </w:pPr>
            <w:r>
              <w:rPr>
                <w:b/>
                <w:color w:val="151515"/>
                <w:spacing w:val="-2"/>
                <w:w w:val="105"/>
                <w:sz w:val="19"/>
              </w:rPr>
              <w:t>15,963</w:t>
            </w:r>
          </w:p>
        </w:tc>
        <w:tc>
          <w:tcPr>
            <w:tcW w:w="385" w:type="dxa"/>
          </w:tcPr>
          <w:p>
            <w:pPr>
              <w:pStyle w:val="TableParagraph"/>
              <w:rPr>
                <w:rFonts w:ascii="Times New Roman"/>
                <w:sz w:val="20"/>
              </w:rPr>
            </w:pPr>
          </w:p>
        </w:tc>
        <w:tc>
          <w:tcPr>
            <w:tcW w:w="1149" w:type="dxa"/>
          </w:tcPr>
          <w:p>
            <w:pPr>
              <w:pStyle w:val="TableParagraph"/>
              <w:spacing w:before="12"/>
              <w:rPr>
                <w:sz w:val="22"/>
              </w:rPr>
            </w:pPr>
          </w:p>
          <w:p>
            <w:pPr>
              <w:pStyle w:val="TableParagraph"/>
              <w:spacing w:line="233" w:lineRule="exact"/>
              <w:ind w:right="88"/>
              <w:jc w:val="right"/>
              <w:rPr>
                <w:rFonts w:ascii="Times New Roman"/>
                <w:b/>
                <w:sz w:val="22"/>
              </w:rPr>
            </w:pPr>
            <w:r>
              <w:rPr>
                <w:rFonts w:ascii="Times New Roman"/>
                <w:b/>
                <w:color w:val="151515"/>
                <w:spacing w:val="-2"/>
                <w:sz w:val="22"/>
              </w:rPr>
              <w:t>14,146</w:t>
            </w:r>
          </w:p>
        </w:tc>
      </w:tr>
    </w:tbl>
    <w:p>
      <w:pPr>
        <w:pStyle w:val="BodyText"/>
        <w:spacing w:before="20"/>
        <w:rPr>
          <w:sz w:val="20"/>
        </w:rPr>
      </w:pPr>
      <w:r>
        <w:rPr/>
        <ve:AlternateContent>
          <ve:Choice Requires="wps">
            <w:drawing>
              <wp:anchor distT="0" distB="0" distL="0" distR="0" simplePos="0" relativeHeight="487606272" behindDoc="1" locked="0" layoutInCell="1" allowOverlap="1">
                <wp:simplePos x="0" y="0"/>
                <wp:positionH relativeFrom="page">
                  <wp:posOffset>4127543</wp:posOffset>
                </wp:positionH>
                <wp:positionV relativeFrom="paragraph">
                  <wp:posOffset>177106</wp:posOffset>
                </wp:positionV>
                <wp:extent cx="671830" cy="1270"/>
                <wp:effectExtent l="0" t="0" r="0" b="0"/>
                <wp:wrapTopAndBottom/>
                <wp:docPr id="87" name="Graphic 87"/>
                <wp:cNvGraphicFramePr>
                  <a:graphicFrameLocks/>
                </wp:cNvGraphicFramePr>
                <a:graphic>
                  <a:graphicData uri="http://schemas.microsoft.com/office/word/2010/wordprocessingShape">
                    <wps:wsp>
                      <wps:cNvPr id="87" name="Graphic 87"/>
                      <wps:cNvSpPr/>
                      <wps:spPr>
                        <a:xfrm>
                          <a:off x="0" y="0"/>
                          <a:ext cx="671830" cy="1270"/>
                        </a:xfrm>
                        <a:custGeom>
                          <a:avLst/>
                          <a:gdLst/>
                          <a:ahLst/>
                          <a:cxnLst/>
                          <a:rect l="l" t="t" r="r" b="b"/>
                          <a:pathLst>
                            <a:path w="671830" h="0">
                              <a:moveTo>
                                <a:pt x="0" y="0"/>
                              </a:moveTo>
                              <a:lnTo>
                                <a:pt x="671641" y="0"/>
                              </a:lnTo>
                            </a:path>
                          </a:pathLst>
                        </a:custGeom>
                        <a:ln w="21360">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8" style="position:absolute;margin-left:325.003387pt;margin-top:13.945397pt;width:52.9pt;height:.1pt;mso-position-horizontal-relative:page;mso-position-vertical-relative:paragraph;z-index:-15710208;mso-wrap-distance-left:0;mso-wrap-distance-right:0" coordsize="1058,0" coordorigin="6500,279" filled="false" stroked="true" strokecolor="#000000" strokeweight="1.681917pt" path="m6500,279l7558,279e">
                <v:path arrowok="t"/>
                <v:stroke dashstyle="solid"/>
                <w10:wrap type="topAndBottom"/>
              </v:shape>
            </w:pict>
          </ve:Fallback>
        </ve:AlternateContent>
      </w:r>
      <w:r>
        <w:rPr/>
        <ve:AlternateContent>
          <ve:Choice Requires="wps">
            <w:drawing>
              <wp:anchor distT="0" distB="0" distL="0" distR="0" simplePos="0" relativeHeight="487606784" behindDoc="1" locked="0" layoutInCell="1" allowOverlap="1">
                <wp:simplePos x="0" y="0"/>
                <wp:positionH relativeFrom="page">
                  <wp:posOffset>5018994</wp:posOffset>
                </wp:positionH>
                <wp:positionV relativeFrom="paragraph">
                  <wp:posOffset>174055</wp:posOffset>
                </wp:positionV>
                <wp:extent cx="757555" cy="1270"/>
                <wp:effectExtent l="0" t="0" r="0" b="0"/>
                <wp:wrapTopAndBottom/>
                <wp:docPr id="88" name="Graphic 88"/>
                <wp:cNvGraphicFramePr>
                  <a:graphicFrameLocks/>
                </wp:cNvGraphicFramePr>
                <a:graphic>
                  <a:graphicData uri="http://schemas.microsoft.com/office/word/2010/wordprocessingShape">
                    <wps:wsp>
                      <wps:cNvPr id="88" name="Graphic 88"/>
                      <wps:cNvSpPr/>
                      <wps:spPr>
                        <a:xfrm>
                          <a:off x="0" y="0"/>
                          <a:ext cx="757555" cy="1270"/>
                        </a:xfrm>
                        <a:custGeom>
                          <a:avLst/>
                          <a:gdLst/>
                          <a:ahLst/>
                          <a:cxnLst/>
                          <a:rect l="l" t="t" r="r" b="b"/>
                          <a:pathLst>
                            <a:path w="757555" h="0">
                              <a:moveTo>
                                <a:pt x="0" y="0"/>
                              </a:moveTo>
                              <a:lnTo>
                                <a:pt x="757123" y="0"/>
                              </a:lnTo>
                            </a:path>
                          </a:pathLst>
                        </a:custGeom>
                        <a:ln w="21360">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9" style="position:absolute;margin-left:395.196442pt;margin-top:13.705124pt;width:59.65pt;height:.1pt;mso-position-horizontal-relative:page;mso-position-vertical-relative:paragraph;z-index:-15709696;mso-wrap-distance-left:0;mso-wrap-distance-right:0" coordsize="1193,0" coordorigin="7904,274" filled="false" stroked="true" strokecolor="#000000" strokeweight="1.681917pt" path="m7904,274l9096,274e">
                <v:path arrowok="t"/>
                <v:stroke dashstyle="solid"/>
                <w10:wrap type="topAndBottom"/>
              </v:shape>
            </w:pict>
          </ve:Fallback>
        </ve:AlternateContent>
      </w:r>
    </w:p>
    <w:p>
      <w:pPr>
        <w:spacing w:after="0"/>
        <w:rPr>
          <w:sz w:val="20"/>
        </w:rPr>
        <w:sectPr>
          <w:headerReference w:type="default" r:id="rId55"/>
          <w:footerReference w:type="default" r:id="rId56"/>
          <w:footerReference w:type="even" r:id="rId57"/>
          <w:pgSz w:w="11910" w:h="16830"/>
          <w:pgMar w:top="660" w:right="920" w:bottom="320" w:left="840" w:header="0" w:footer="136"/>
          <w:pgNumType w:start="25"/>
        </w:sectPr>
      </w:pPr>
    </w:p>
    <w:p>
      <w:pPr>
        <w:pStyle w:val="BodyText"/>
        <w:spacing w:line="130" w:lineRule="exact"/>
        <w:ind w:left="871"/>
        <w:rPr>
          <w:sz w:val="13"/>
        </w:rPr>
      </w:pPr>
      <w:r>
        <w:rPr>
          <w:position w:val="-2"/>
          <w:sz w:val="13"/>
        </w:rPr>
        <w:drawing>
          <wp:inline distT="0" distB="0" distL="0" distR="0">
            <wp:extent cx="1121593" cy="82676"/>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59" cstate="print"/>
                    <a:stretch>
                      <a:fillRect/>
                    </a:stretch>
                  </pic:blipFill>
                  <pic:spPr>
                    <a:xfrm>
                      <a:off x="0" y="0"/>
                      <a:ext cx="1121593" cy="82676"/>
                    </a:xfrm>
                    <a:prstGeom prst="rect">
                      <a:avLst/>
                    </a:prstGeom>
                  </pic:spPr>
                </pic:pic>
              </a:graphicData>
            </a:graphic>
          </wp:inline>
        </w:drawing>
      </w:r>
      <w:r>
        <w:rPr>
          <w:position w:val="-2"/>
          <w:sz w:val="13"/>
        </w:rPr>
      </w:r>
    </w:p>
    <w:p>
      <w:pPr>
        <w:spacing w:before="211"/>
        <w:ind w:left="845" w:right="0" w:firstLine="0"/>
        <w:jc w:val="both"/>
        <w:rPr>
          <w:b/>
          <w:sz w:val="23"/>
        </w:rPr>
      </w:pPr>
      <w:r>
        <w:rPr>
          <w:b/>
          <w:color w:val="0F0F0F"/>
          <w:w w:val="105"/>
          <w:sz w:val="23"/>
          <w:u w:val="thick" w:color="0F0F0F"/>
        </w:rPr>
        <w:t>Economic</w:t>
      </w:r>
      <w:r>
        <w:rPr>
          <w:b/>
          <w:color w:val="0F0F0F"/>
          <w:spacing w:val="-12"/>
          <w:w w:val="105"/>
          <w:sz w:val="23"/>
          <w:u w:val="thick" w:color="0F0F0F"/>
        </w:rPr>
        <w:t> </w:t>
      </w:r>
      <w:r>
        <w:rPr>
          <w:b/>
          <w:color w:val="0F0F0F"/>
          <w:spacing w:val="-2"/>
          <w:w w:val="105"/>
          <w:sz w:val="23"/>
          <w:u w:val="thick" w:color="0F0F0F"/>
        </w:rPr>
        <w:t>climate</w:t>
      </w:r>
    </w:p>
    <w:p>
      <w:pPr>
        <w:pStyle w:val="BodyText"/>
        <w:spacing w:before="10"/>
        <w:rPr>
          <w:b/>
          <w:sz w:val="23"/>
        </w:rPr>
      </w:pPr>
    </w:p>
    <w:p>
      <w:pPr>
        <w:spacing w:before="0" w:line="240" w:lineRule="auto"/>
        <w:ind w:left="810" w:right="264" w:firstLine="26"/>
        <w:jc w:val="both"/>
        <w:rPr>
          <w:sz w:val="24"/>
        </w:rPr>
      </w:pPr>
      <w:r>
        <w:rPr>
          <w:color w:val="262626"/>
          <w:sz w:val="24"/>
        </w:rPr>
        <w:t>The </w:t>
      </w:r>
      <w:r>
        <w:rPr>
          <w:color w:val="0F0F0F"/>
          <w:sz w:val="24"/>
        </w:rPr>
        <w:t>economic climate </w:t>
      </w:r>
      <w:r>
        <w:rPr>
          <w:color w:val="262626"/>
          <w:sz w:val="24"/>
        </w:rPr>
        <w:t>has </w:t>
      </w:r>
      <w:r>
        <w:rPr>
          <w:color w:val="0F0F0F"/>
          <w:sz w:val="24"/>
        </w:rPr>
        <w:t>been extremely challenging during 2022/23</w:t>
      </w:r>
      <w:r>
        <w:rPr>
          <w:color w:val="5B5B5B"/>
          <w:sz w:val="24"/>
        </w:rPr>
        <w:t>.</w:t>
      </w:r>
      <w:r>
        <w:rPr>
          <w:color w:val="5B5B5B"/>
          <w:spacing w:val="-6"/>
          <w:sz w:val="24"/>
        </w:rPr>
        <w:t> </w:t>
      </w:r>
      <w:r>
        <w:rPr>
          <w:color w:val="262626"/>
          <w:sz w:val="24"/>
        </w:rPr>
        <w:t>The </w:t>
      </w:r>
      <w:r>
        <w:rPr>
          <w:color w:val="0F0F0F"/>
          <w:sz w:val="24"/>
        </w:rPr>
        <w:t>Bank of England base rate has</w:t>
      </w:r>
      <w:r>
        <w:rPr>
          <w:color w:val="0F0F0F"/>
          <w:spacing w:val="-2"/>
          <w:sz w:val="24"/>
        </w:rPr>
        <w:t> </w:t>
      </w:r>
      <w:r>
        <w:rPr>
          <w:color w:val="0F0F0F"/>
          <w:sz w:val="24"/>
        </w:rPr>
        <w:t>been increasing progressively</w:t>
      </w:r>
      <w:r>
        <w:rPr>
          <w:color w:val="0F0F0F"/>
          <w:spacing w:val="37"/>
          <w:sz w:val="24"/>
        </w:rPr>
        <w:t> </w:t>
      </w:r>
      <w:r>
        <w:rPr>
          <w:color w:val="0F0F0F"/>
          <w:sz w:val="24"/>
        </w:rPr>
        <w:t>over the past year from 0</w:t>
      </w:r>
      <w:r>
        <w:rPr>
          <w:color w:val="4B4B4B"/>
          <w:sz w:val="24"/>
        </w:rPr>
        <w:t>.</w:t>
      </w:r>
      <w:r>
        <w:rPr>
          <w:color w:val="0F0F0F"/>
          <w:sz w:val="24"/>
        </w:rPr>
        <w:t>75% to</w:t>
      </w:r>
      <w:r>
        <w:rPr>
          <w:color w:val="0F0F0F"/>
          <w:spacing w:val="-17"/>
          <w:sz w:val="24"/>
        </w:rPr>
        <w:t> </w:t>
      </w:r>
      <w:r>
        <w:rPr>
          <w:color w:val="0F0F0F"/>
          <w:sz w:val="24"/>
        </w:rPr>
        <w:t>4.00%</w:t>
      </w:r>
      <w:r>
        <w:rPr>
          <w:color w:val="0F0F0F"/>
          <w:spacing w:val="-6"/>
          <w:sz w:val="24"/>
        </w:rPr>
        <w:t> </w:t>
      </w:r>
      <w:r>
        <w:rPr>
          <w:color w:val="0F0F0F"/>
          <w:sz w:val="24"/>
        </w:rPr>
        <w:t>by</w:t>
      </w:r>
      <w:r>
        <w:rPr>
          <w:color w:val="0F0F0F"/>
          <w:spacing w:val="-5"/>
          <w:sz w:val="24"/>
        </w:rPr>
        <w:t> </w:t>
      </w:r>
      <w:r>
        <w:rPr>
          <w:color w:val="0F0F0F"/>
          <w:sz w:val="24"/>
        </w:rPr>
        <w:t>the</w:t>
      </w:r>
      <w:r>
        <w:rPr>
          <w:color w:val="0F0F0F"/>
          <w:spacing w:val="-7"/>
          <w:sz w:val="24"/>
        </w:rPr>
        <w:t> </w:t>
      </w:r>
      <w:r>
        <w:rPr>
          <w:color w:val="0F0F0F"/>
          <w:sz w:val="24"/>
        </w:rPr>
        <w:t>end of</w:t>
      </w:r>
      <w:r>
        <w:rPr>
          <w:color w:val="0F0F0F"/>
          <w:spacing w:val="-3"/>
          <w:sz w:val="24"/>
        </w:rPr>
        <w:t> </w:t>
      </w:r>
      <w:r>
        <w:rPr>
          <w:color w:val="262626"/>
          <w:sz w:val="24"/>
        </w:rPr>
        <w:t>the </w:t>
      </w:r>
      <w:r>
        <w:rPr>
          <w:color w:val="0F0F0F"/>
          <w:sz w:val="24"/>
        </w:rPr>
        <w:t>financial year</w:t>
      </w:r>
      <w:r>
        <w:rPr>
          <w:color w:val="4B4B4B"/>
          <w:sz w:val="24"/>
        </w:rPr>
        <w:t>.</w:t>
      </w:r>
      <w:r>
        <w:rPr>
          <w:color w:val="4B4B4B"/>
          <w:spacing w:val="-17"/>
          <w:sz w:val="24"/>
        </w:rPr>
        <w:t> </w:t>
      </w:r>
      <w:r>
        <w:rPr>
          <w:color w:val="0F0F0F"/>
          <w:sz w:val="24"/>
        </w:rPr>
        <w:t>The</w:t>
      </w:r>
      <w:r>
        <w:rPr>
          <w:color w:val="0F0F0F"/>
          <w:spacing w:val="-2"/>
          <w:sz w:val="24"/>
        </w:rPr>
        <w:t> </w:t>
      </w:r>
      <w:r>
        <w:rPr>
          <w:color w:val="0F0F0F"/>
          <w:sz w:val="24"/>
        </w:rPr>
        <w:t>successive base rate</w:t>
      </w:r>
      <w:r>
        <w:rPr>
          <w:color w:val="0F0F0F"/>
          <w:spacing w:val="-3"/>
          <w:sz w:val="24"/>
        </w:rPr>
        <w:t> </w:t>
      </w:r>
      <w:r>
        <w:rPr>
          <w:color w:val="262626"/>
          <w:sz w:val="24"/>
        </w:rPr>
        <w:t>increases</w:t>
      </w:r>
      <w:r>
        <w:rPr>
          <w:color w:val="262626"/>
          <w:spacing w:val="21"/>
          <w:sz w:val="24"/>
        </w:rPr>
        <w:t> </w:t>
      </w:r>
      <w:r>
        <w:rPr>
          <w:color w:val="0F0F0F"/>
          <w:sz w:val="24"/>
        </w:rPr>
        <w:t>agreed by the Monetary policy Committee (MPC) </w:t>
      </w:r>
      <w:r>
        <w:rPr>
          <w:color w:val="262626"/>
          <w:sz w:val="24"/>
        </w:rPr>
        <w:t>have been </w:t>
      </w:r>
      <w:r>
        <w:rPr>
          <w:color w:val="0F0F0F"/>
          <w:sz w:val="24"/>
        </w:rPr>
        <w:t>in response to </w:t>
      </w:r>
      <w:r>
        <w:rPr>
          <w:color w:val="262626"/>
          <w:sz w:val="24"/>
        </w:rPr>
        <w:t>high inflation, </w:t>
      </w:r>
      <w:r>
        <w:rPr>
          <w:color w:val="0F0F0F"/>
          <w:sz w:val="24"/>
        </w:rPr>
        <w:t>currently 10.1%</w:t>
      </w:r>
      <w:r>
        <w:rPr>
          <w:color w:val="0F0F0F"/>
          <w:spacing w:val="-4"/>
          <w:sz w:val="24"/>
        </w:rPr>
        <w:t> </w:t>
      </w:r>
      <w:r>
        <w:rPr>
          <w:color w:val="0F0F0F"/>
          <w:sz w:val="24"/>
        </w:rPr>
        <w:t>(CPI), which has</w:t>
      </w:r>
      <w:r>
        <w:rPr>
          <w:color w:val="0F0F0F"/>
          <w:spacing w:val="-5"/>
          <w:sz w:val="24"/>
        </w:rPr>
        <w:t> </w:t>
      </w:r>
      <w:r>
        <w:rPr>
          <w:color w:val="0F0F0F"/>
          <w:sz w:val="24"/>
        </w:rPr>
        <w:t>been driven </w:t>
      </w:r>
      <w:r>
        <w:rPr>
          <w:color w:val="262626"/>
          <w:sz w:val="24"/>
        </w:rPr>
        <w:t>by</w:t>
      </w:r>
      <w:r>
        <w:rPr>
          <w:color w:val="262626"/>
          <w:spacing w:val="-2"/>
          <w:sz w:val="24"/>
        </w:rPr>
        <w:t> </w:t>
      </w:r>
      <w:r>
        <w:rPr>
          <w:color w:val="0F0F0F"/>
          <w:sz w:val="24"/>
        </w:rPr>
        <w:t>factors such as</w:t>
      </w:r>
      <w:r>
        <w:rPr>
          <w:color w:val="0F0F0F"/>
          <w:spacing w:val="-1"/>
          <w:sz w:val="24"/>
        </w:rPr>
        <w:t> </w:t>
      </w:r>
      <w:r>
        <w:rPr>
          <w:color w:val="0F0F0F"/>
          <w:sz w:val="24"/>
        </w:rPr>
        <w:t>the</w:t>
      </w:r>
      <w:r>
        <w:rPr>
          <w:color w:val="0F0F0F"/>
          <w:spacing w:val="-8"/>
          <w:sz w:val="24"/>
        </w:rPr>
        <w:t> </w:t>
      </w:r>
      <w:r>
        <w:rPr>
          <w:color w:val="262626"/>
          <w:sz w:val="24"/>
        </w:rPr>
        <w:t>impact </w:t>
      </w:r>
      <w:r>
        <w:rPr>
          <w:color w:val="0F0F0F"/>
          <w:sz w:val="24"/>
        </w:rPr>
        <w:t>of</w:t>
      </w:r>
      <w:r>
        <w:rPr>
          <w:color w:val="0F0F0F"/>
          <w:spacing w:val="-6"/>
          <w:sz w:val="24"/>
        </w:rPr>
        <w:t> </w:t>
      </w:r>
      <w:r>
        <w:rPr>
          <w:color w:val="0F0F0F"/>
          <w:sz w:val="24"/>
        </w:rPr>
        <w:t>Brexit, the Covid-19 pandemic and the war in Ukraine. These factors have resulted in significant</w:t>
      </w:r>
      <w:r>
        <w:rPr>
          <w:color w:val="0F0F0F"/>
          <w:spacing w:val="-14"/>
          <w:sz w:val="24"/>
        </w:rPr>
        <w:t> </w:t>
      </w:r>
      <w:r>
        <w:rPr>
          <w:color w:val="0F0F0F"/>
          <w:sz w:val="24"/>
        </w:rPr>
        <w:t>rises</w:t>
      </w:r>
      <w:r>
        <w:rPr>
          <w:color w:val="0F0F0F"/>
          <w:spacing w:val="-3"/>
          <w:sz w:val="24"/>
        </w:rPr>
        <w:t> </w:t>
      </w:r>
      <w:r>
        <w:rPr>
          <w:color w:val="0F0F0F"/>
          <w:sz w:val="24"/>
        </w:rPr>
        <w:t>in</w:t>
      </w:r>
      <w:r>
        <w:rPr>
          <w:color w:val="0F0F0F"/>
          <w:spacing w:val="-17"/>
          <w:sz w:val="24"/>
        </w:rPr>
        <w:t> </w:t>
      </w:r>
      <w:r>
        <w:rPr>
          <w:color w:val="0F0F0F"/>
          <w:sz w:val="24"/>
        </w:rPr>
        <w:t>energy and</w:t>
      </w:r>
      <w:r>
        <w:rPr>
          <w:color w:val="0F0F0F"/>
          <w:spacing w:val="-17"/>
          <w:sz w:val="24"/>
        </w:rPr>
        <w:t> </w:t>
      </w:r>
      <w:r>
        <w:rPr>
          <w:color w:val="0F0F0F"/>
          <w:sz w:val="24"/>
        </w:rPr>
        <w:t>fuel</w:t>
      </w:r>
      <w:r>
        <w:rPr>
          <w:color w:val="0F0F0F"/>
          <w:spacing w:val="-9"/>
          <w:sz w:val="24"/>
        </w:rPr>
        <w:t> </w:t>
      </w:r>
      <w:r>
        <w:rPr>
          <w:color w:val="0F0F0F"/>
          <w:sz w:val="24"/>
        </w:rPr>
        <w:t>costs</w:t>
      </w:r>
      <w:r>
        <w:rPr>
          <w:color w:val="4B4B4B"/>
          <w:sz w:val="24"/>
        </w:rPr>
        <w:t>,</w:t>
      </w:r>
      <w:r>
        <w:rPr>
          <w:color w:val="4B4B4B"/>
          <w:spacing w:val="-17"/>
          <w:sz w:val="24"/>
        </w:rPr>
        <w:t> </w:t>
      </w:r>
      <w:r>
        <w:rPr>
          <w:color w:val="0F0F0F"/>
          <w:sz w:val="24"/>
        </w:rPr>
        <w:t>rising</w:t>
      </w:r>
      <w:r>
        <w:rPr>
          <w:color w:val="0F0F0F"/>
          <w:spacing w:val="-1"/>
          <w:sz w:val="24"/>
        </w:rPr>
        <w:t> </w:t>
      </w:r>
      <w:r>
        <w:rPr>
          <w:color w:val="0F0F0F"/>
          <w:sz w:val="24"/>
        </w:rPr>
        <w:t>import</w:t>
      </w:r>
      <w:r>
        <w:rPr>
          <w:color w:val="0F0F0F"/>
          <w:spacing w:val="-2"/>
          <w:sz w:val="24"/>
        </w:rPr>
        <w:t> </w:t>
      </w:r>
      <w:r>
        <w:rPr>
          <w:color w:val="0F0F0F"/>
          <w:sz w:val="24"/>
        </w:rPr>
        <w:t>costs</w:t>
      </w:r>
      <w:r>
        <w:rPr>
          <w:color w:val="0F0F0F"/>
          <w:spacing w:val="-6"/>
          <w:sz w:val="24"/>
        </w:rPr>
        <w:t> </w:t>
      </w:r>
      <w:r>
        <w:rPr>
          <w:color w:val="0F0F0F"/>
          <w:sz w:val="24"/>
        </w:rPr>
        <w:t>and</w:t>
      </w:r>
      <w:r>
        <w:rPr>
          <w:color w:val="0F0F0F"/>
          <w:spacing w:val="-8"/>
          <w:sz w:val="24"/>
        </w:rPr>
        <w:t> </w:t>
      </w:r>
      <w:r>
        <w:rPr>
          <w:color w:val="0F0F0F"/>
          <w:sz w:val="24"/>
        </w:rPr>
        <w:t>UK</w:t>
      </w:r>
      <w:r>
        <w:rPr>
          <w:color w:val="0F0F0F"/>
          <w:spacing w:val="-9"/>
          <w:sz w:val="24"/>
        </w:rPr>
        <w:t> </w:t>
      </w:r>
      <w:r>
        <w:rPr>
          <w:color w:val="0F0F0F"/>
          <w:sz w:val="24"/>
        </w:rPr>
        <w:t>labour and</w:t>
      </w:r>
      <w:r>
        <w:rPr>
          <w:color w:val="0F0F0F"/>
          <w:spacing w:val="-6"/>
          <w:sz w:val="24"/>
        </w:rPr>
        <w:t> </w:t>
      </w:r>
      <w:r>
        <w:rPr>
          <w:color w:val="0F0F0F"/>
          <w:sz w:val="24"/>
        </w:rPr>
        <w:t>supply shortages. By increasing </w:t>
      </w:r>
      <w:r>
        <w:rPr>
          <w:color w:val="262626"/>
          <w:sz w:val="24"/>
        </w:rPr>
        <w:t>interest rates </w:t>
      </w:r>
      <w:r>
        <w:rPr>
          <w:color w:val="0F0F0F"/>
          <w:sz w:val="24"/>
        </w:rPr>
        <w:t>the</w:t>
      </w:r>
      <w:r>
        <w:rPr>
          <w:color w:val="0F0F0F"/>
          <w:spacing w:val="-2"/>
          <w:sz w:val="24"/>
        </w:rPr>
        <w:t> </w:t>
      </w:r>
      <w:r>
        <w:rPr>
          <w:color w:val="0F0F0F"/>
          <w:sz w:val="24"/>
        </w:rPr>
        <w:t>MPC are looking to</w:t>
      </w:r>
      <w:r>
        <w:rPr>
          <w:color w:val="0F0F0F"/>
          <w:spacing w:val="-2"/>
          <w:sz w:val="24"/>
        </w:rPr>
        <w:t> </w:t>
      </w:r>
      <w:r>
        <w:rPr>
          <w:color w:val="0F0F0F"/>
          <w:sz w:val="24"/>
        </w:rPr>
        <w:t>counter the high level of inflation and bring this back under control.</w:t>
      </w:r>
    </w:p>
    <w:p>
      <w:pPr>
        <w:pStyle w:val="BodyText"/>
        <w:rPr>
          <w:sz w:val="23"/>
        </w:rPr>
      </w:pPr>
    </w:p>
    <w:p>
      <w:pPr>
        <w:pStyle w:val="BodyText"/>
        <w:spacing w:before="33"/>
        <w:rPr>
          <w:sz w:val="23"/>
        </w:rPr>
      </w:pPr>
    </w:p>
    <w:p>
      <w:pPr>
        <w:spacing w:before="1"/>
        <w:ind w:left="801" w:right="0" w:firstLine="0"/>
        <w:jc w:val="both"/>
        <w:rPr>
          <w:b/>
          <w:sz w:val="23"/>
        </w:rPr>
      </w:pPr>
      <w:r>
        <w:rPr>
          <w:b/>
          <w:color w:val="262626"/>
          <w:w w:val="105"/>
          <w:sz w:val="23"/>
          <w:u w:val="thick" w:color="0F0F0F"/>
        </w:rPr>
        <w:t>Finance</w:t>
      </w:r>
      <w:r>
        <w:rPr>
          <w:b/>
          <w:color w:val="262626"/>
          <w:spacing w:val="-8"/>
          <w:w w:val="105"/>
          <w:sz w:val="23"/>
          <w:u w:val="thick" w:color="0F0F0F"/>
        </w:rPr>
        <w:t> </w:t>
      </w:r>
      <w:r>
        <w:rPr>
          <w:b/>
          <w:color w:val="0F0F0F"/>
          <w:spacing w:val="-2"/>
          <w:w w:val="105"/>
          <w:sz w:val="23"/>
          <w:u w:val="thick" w:color="0F0F0F"/>
        </w:rPr>
        <w:t>Strategy</w:t>
      </w:r>
    </w:p>
    <w:p>
      <w:pPr>
        <w:pStyle w:val="BodyText"/>
        <w:spacing w:before="14"/>
        <w:rPr>
          <w:b/>
          <w:sz w:val="23"/>
        </w:rPr>
      </w:pPr>
    </w:p>
    <w:p>
      <w:pPr>
        <w:spacing w:before="0" w:line="242" w:lineRule="auto"/>
        <w:ind w:left="776" w:right="297" w:firstLine="22"/>
        <w:jc w:val="both"/>
        <w:rPr>
          <w:sz w:val="24"/>
        </w:rPr>
      </w:pPr>
      <w:r>
        <w:rPr>
          <w:color w:val="262626"/>
          <w:sz w:val="24"/>
        </w:rPr>
        <w:t>The</w:t>
      </w:r>
      <w:r>
        <w:rPr>
          <w:color w:val="262626"/>
          <w:spacing w:val="-17"/>
          <w:sz w:val="24"/>
        </w:rPr>
        <w:t> </w:t>
      </w:r>
      <w:r>
        <w:rPr>
          <w:color w:val="0F0F0F"/>
          <w:sz w:val="24"/>
        </w:rPr>
        <w:t>Finance</w:t>
      </w:r>
      <w:r>
        <w:rPr>
          <w:color w:val="0F0F0F"/>
          <w:spacing w:val="-17"/>
          <w:sz w:val="24"/>
        </w:rPr>
        <w:t> </w:t>
      </w:r>
      <w:r>
        <w:rPr>
          <w:color w:val="0F0F0F"/>
          <w:sz w:val="24"/>
        </w:rPr>
        <w:t>Strategy</w:t>
      </w:r>
      <w:r>
        <w:rPr>
          <w:color w:val="0F0F0F"/>
          <w:spacing w:val="-16"/>
          <w:sz w:val="24"/>
        </w:rPr>
        <w:t> </w:t>
      </w:r>
      <w:r>
        <w:rPr>
          <w:color w:val="0F0F0F"/>
          <w:sz w:val="24"/>
        </w:rPr>
        <w:t>was</w:t>
      </w:r>
      <w:r>
        <w:rPr>
          <w:color w:val="0F0F0F"/>
          <w:spacing w:val="-17"/>
          <w:sz w:val="24"/>
        </w:rPr>
        <w:t> </w:t>
      </w:r>
      <w:r>
        <w:rPr>
          <w:color w:val="0F0F0F"/>
          <w:sz w:val="24"/>
        </w:rPr>
        <w:t>last</w:t>
      </w:r>
      <w:r>
        <w:rPr>
          <w:color w:val="0F0F0F"/>
          <w:spacing w:val="-17"/>
          <w:sz w:val="24"/>
        </w:rPr>
        <w:t> </w:t>
      </w:r>
      <w:r>
        <w:rPr>
          <w:color w:val="0F0F0F"/>
          <w:sz w:val="24"/>
        </w:rPr>
        <w:t>reviewed</w:t>
      </w:r>
      <w:r>
        <w:rPr>
          <w:color w:val="0F0F0F"/>
          <w:spacing w:val="-17"/>
          <w:sz w:val="24"/>
        </w:rPr>
        <w:t> </w:t>
      </w:r>
      <w:r>
        <w:rPr>
          <w:color w:val="0F0F0F"/>
          <w:sz w:val="24"/>
        </w:rPr>
        <w:t>in</w:t>
      </w:r>
      <w:r>
        <w:rPr>
          <w:color w:val="0F0F0F"/>
          <w:spacing w:val="-16"/>
          <w:sz w:val="24"/>
        </w:rPr>
        <w:t> </w:t>
      </w:r>
      <w:r>
        <w:rPr>
          <w:color w:val="0F0F0F"/>
          <w:sz w:val="24"/>
        </w:rPr>
        <w:t>July</w:t>
      </w:r>
      <w:r>
        <w:rPr>
          <w:color w:val="0F0F0F"/>
          <w:spacing w:val="-7"/>
          <w:sz w:val="24"/>
        </w:rPr>
        <w:t> </w:t>
      </w:r>
      <w:r>
        <w:rPr>
          <w:color w:val="0F0F0F"/>
          <w:sz w:val="24"/>
        </w:rPr>
        <w:t>2018.</w:t>
      </w:r>
      <w:r>
        <w:rPr>
          <w:color w:val="0F0F0F"/>
          <w:spacing w:val="-17"/>
          <w:sz w:val="24"/>
        </w:rPr>
        <w:t> </w:t>
      </w:r>
      <w:r>
        <w:rPr>
          <w:color w:val="0F0F0F"/>
          <w:sz w:val="24"/>
        </w:rPr>
        <w:t>This</w:t>
      </w:r>
      <w:r>
        <w:rPr>
          <w:color w:val="0F0F0F"/>
          <w:spacing w:val="-17"/>
          <w:sz w:val="24"/>
        </w:rPr>
        <w:t> </w:t>
      </w:r>
      <w:r>
        <w:rPr>
          <w:color w:val="0F0F0F"/>
          <w:sz w:val="24"/>
        </w:rPr>
        <w:t>strategy</w:t>
      </w:r>
      <w:r>
        <w:rPr>
          <w:color w:val="0F0F0F"/>
          <w:spacing w:val="-9"/>
          <w:sz w:val="24"/>
        </w:rPr>
        <w:t> </w:t>
      </w:r>
      <w:r>
        <w:rPr>
          <w:color w:val="0F0F0F"/>
          <w:sz w:val="24"/>
        </w:rPr>
        <w:t>will</w:t>
      </w:r>
      <w:r>
        <w:rPr>
          <w:color w:val="0F0F0F"/>
          <w:spacing w:val="-17"/>
          <w:sz w:val="24"/>
        </w:rPr>
        <w:t> </w:t>
      </w:r>
      <w:r>
        <w:rPr>
          <w:color w:val="0F0F0F"/>
          <w:sz w:val="24"/>
        </w:rPr>
        <w:t>assist</w:t>
      </w:r>
      <w:r>
        <w:rPr>
          <w:color w:val="0F0F0F"/>
          <w:spacing w:val="-17"/>
          <w:sz w:val="24"/>
        </w:rPr>
        <w:t> </w:t>
      </w:r>
      <w:r>
        <w:rPr>
          <w:color w:val="262626"/>
          <w:sz w:val="24"/>
        </w:rPr>
        <w:t>the</w:t>
      </w:r>
      <w:r>
        <w:rPr>
          <w:color w:val="262626"/>
          <w:spacing w:val="-16"/>
          <w:sz w:val="24"/>
        </w:rPr>
        <w:t> </w:t>
      </w:r>
      <w:r>
        <w:rPr>
          <w:color w:val="0F0F0F"/>
          <w:sz w:val="24"/>
        </w:rPr>
        <w:t>Head of Finance and</w:t>
      </w:r>
      <w:r>
        <w:rPr>
          <w:color w:val="0F0F0F"/>
          <w:spacing w:val="-4"/>
          <w:sz w:val="24"/>
        </w:rPr>
        <w:t> </w:t>
      </w:r>
      <w:r>
        <w:rPr>
          <w:color w:val="0F0F0F"/>
          <w:sz w:val="24"/>
        </w:rPr>
        <w:t>Business Services </w:t>
      </w:r>
      <w:r>
        <w:rPr>
          <w:color w:val="262626"/>
          <w:sz w:val="24"/>
        </w:rPr>
        <w:t>in</w:t>
      </w:r>
      <w:r>
        <w:rPr>
          <w:color w:val="262626"/>
          <w:spacing w:val="-9"/>
          <w:sz w:val="24"/>
        </w:rPr>
        <w:t> </w:t>
      </w:r>
      <w:r>
        <w:rPr>
          <w:color w:val="0F0F0F"/>
          <w:sz w:val="24"/>
        </w:rPr>
        <w:t>planning the</w:t>
      </w:r>
      <w:r>
        <w:rPr>
          <w:color w:val="0F0F0F"/>
          <w:spacing w:val="-3"/>
          <w:sz w:val="24"/>
        </w:rPr>
        <w:t> </w:t>
      </w:r>
      <w:r>
        <w:rPr>
          <w:color w:val="0F0F0F"/>
          <w:sz w:val="24"/>
        </w:rPr>
        <w:t>Council</w:t>
      </w:r>
      <w:r>
        <w:rPr>
          <w:color w:val="3B3B3B"/>
          <w:sz w:val="24"/>
        </w:rPr>
        <w:t>'</w:t>
      </w:r>
      <w:r>
        <w:rPr>
          <w:color w:val="0F0F0F"/>
          <w:sz w:val="24"/>
        </w:rPr>
        <w:t>s</w:t>
      </w:r>
      <w:r>
        <w:rPr>
          <w:color w:val="0F0F0F"/>
          <w:spacing w:val="-6"/>
          <w:sz w:val="24"/>
        </w:rPr>
        <w:t> </w:t>
      </w:r>
      <w:r>
        <w:rPr>
          <w:color w:val="0F0F0F"/>
          <w:sz w:val="24"/>
        </w:rPr>
        <w:t>financial resources </w:t>
      </w:r>
      <w:r>
        <w:rPr>
          <w:color w:val="262626"/>
          <w:sz w:val="24"/>
        </w:rPr>
        <w:t>in</w:t>
      </w:r>
      <w:r>
        <w:rPr>
          <w:color w:val="262626"/>
          <w:spacing w:val="-6"/>
          <w:sz w:val="24"/>
        </w:rPr>
        <w:t> </w:t>
      </w:r>
      <w:r>
        <w:rPr>
          <w:color w:val="0F0F0F"/>
          <w:sz w:val="24"/>
        </w:rPr>
        <w:t>the short </w:t>
      </w:r>
      <w:r>
        <w:rPr>
          <w:color w:val="262626"/>
          <w:sz w:val="24"/>
        </w:rPr>
        <w:t>to medium </w:t>
      </w:r>
      <w:r>
        <w:rPr>
          <w:color w:val="0F0F0F"/>
          <w:sz w:val="24"/>
        </w:rPr>
        <w:t>term (3 to 5 years) with a view to deliver the Council</w:t>
      </w:r>
      <w:r>
        <w:rPr>
          <w:color w:val="3B3B3B"/>
          <w:sz w:val="24"/>
        </w:rPr>
        <w:t>'</w:t>
      </w:r>
      <w:r>
        <w:rPr>
          <w:color w:val="0F0F0F"/>
          <w:sz w:val="24"/>
        </w:rPr>
        <w:t>s service priorities.</w:t>
      </w:r>
      <w:r>
        <w:rPr>
          <w:color w:val="0F0F0F"/>
          <w:spacing w:val="-17"/>
          <w:sz w:val="24"/>
        </w:rPr>
        <w:t> </w:t>
      </w:r>
      <w:r>
        <w:rPr>
          <w:color w:val="0F0F0F"/>
          <w:sz w:val="24"/>
        </w:rPr>
        <w:t>The</w:t>
      </w:r>
      <w:r>
        <w:rPr>
          <w:color w:val="0F0F0F"/>
          <w:spacing w:val="-17"/>
          <w:sz w:val="24"/>
        </w:rPr>
        <w:t> </w:t>
      </w:r>
      <w:r>
        <w:rPr>
          <w:color w:val="0F0F0F"/>
          <w:sz w:val="24"/>
        </w:rPr>
        <w:t>strategy</w:t>
      </w:r>
      <w:r>
        <w:rPr>
          <w:color w:val="0F0F0F"/>
          <w:spacing w:val="-15"/>
          <w:sz w:val="24"/>
        </w:rPr>
        <w:t> </w:t>
      </w:r>
      <w:r>
        <w:rPr>
          <w:color w:val="0F0F0F"/>
          <w:sz w:val="24"/>
        </w:rPr>
        <w:t>sets</w:t>
      </w:r>
      <w:r>
        <w:rPr>
          <w:color w:val="0F0F0F"/>
          <w:spacing w:val="-15"/>
          <w:sz w:val="24"/>
        </w:rPr>
        <w:t> </w:t>
      </w:r>
      <w:r>
        <w:rPr>
          <w:color w:val="0F0F0F"/>
          <w:sz w:val="24"/>
        </w:rPr>
        <w:t>out</w:t>
      </w:r>
      <w:r>
        <w:rPr>
          <w:color w:val="0F0F0F"/>
          <w:spacing w:val="-17"/>
          <w:sz w:val="24"/>
        </w:rPr>
        <w:t> </w:t>
      </w:r>
      <w:r>
        <w:rPr>
          <w:color w:val="0F0F0F"/>
          <w:sz w:val="24"/>
        </w:rPr>
        <w:t>the</w:t>
      </w:r>
      <w:r>
        <w:rPr>
          <w:color w:val="0F0F0F"/>
          <w:spacing w:val="-17"/>
          <w:sz w:val="24"/>
        </w:rPr>
        <w:t> </w:t>
      </w:r>
      <w:r>
        <w:rPr>
          <w:color w:val="0F0F0F"/>
          <w:sz w:val="24"/>
        </w:rPr>
        <w:t>framework and</w:t>
      </w:r>
      <w:r>
        <w:rPr>
          <w:color w:val="0F0F0F"/>
          <w:spacing w:val="-17"/>
          <w:sz w:val="24"/>
        </w:rPr>
        <w:t> </w:t>
      </w:r>
      <w:r>
        <w:rPr>
          <w:color w:val="0F0F0F"/>
          <w:sz w:val="24"/>
        </w:rPr>
        <w:t>principle</w:t>
      </w:r>
      <w:r>
        <w:rPr>
          <w:color w:val="0F0F0F"/>
          <w:spacing w:val="-10"/>
          <w:sz w:val="24"/>
        </w:rPr>
        <w:t> </w:t>
      </w:r>
      <w:r>
        <w:rPr>
          <w:color w:val="0F0F0F"/>
          <w:sz w:val="24"/>
        </w:rPr>
        <w:t>on</w:t>
      </w:r>
      <w:r>
        <w:rPr>
          <w:color w:val="0F0F0F"/>
          <w:spacing w:val="-17"/>
          <w:sz w:val="24"/>
        </w:rPr>
        <w:t> </w:t>
      </w:r>
      <w:r>
        <w:rPr>
          <w:color w:val="0F0F0F"/>
          <w:sz w:val="24"/>
        </w:rPr>
        <w:t>which</w:t>
      </w:r>
      <w:r>
        <w:rPr>
          <w:color w:val="0F0F0F"/>
          <w:spacing w:val="-17"/>
          <w:sz w:val="24"/>
        </w:rPr>
        <w:t> </w:t>
      </w:r>
      <w:r>
        <w:rPr>
          <w:color w:val="0F0F0F"/>
          <w:sz w:val="24"/>
        </w:rPr>
        <w:t>the</w:t>
      </w:r>
      <w:r>
        <w:rPr>
          <w:color w:val="0F0F0F"/>
          <w:spacing w:val="-16"/>
          <w:sz w:val="24"/>
        </w:rPr>
        <w:t> </w:t>
      </w:r>
      <w:r>
        <w:rPr>
          <w:color w:val="0F0F0F"/>
          <w:sz w:val="24"/>
        </w:rPr>
        <w:t>Council</w:t>
      </w:r>
      <w:r>
        <w:rPr>
          <w:color w:val="0F0F0F"/>
          <w:spacing w:val="-8"/>
          <w:sz w:val="24"/>
        </w:rPr>
        <w:t> </w:t>
      </w:r>
      <w:r>
        <w:rPr>
          <w:color w:val="0F0F0F"/>
          <w:sz w:val="24"/>
        </w:rPr>
        <w:t>plans and </w:t>
      </w:r>
      <w:r>
        <w:rPr>
          <w:color w:val="262626"/>
          <w:sz w:val="24"/>
        </w:rPr>
        <w:t>manages </w:t>
      </w:r>
      <w:r>
        <w:rPr>
          <w:color w:val="0F0F0F"/>
          <w:sz w:val="24"/>
        </w:rPr>
        <w:t>its finances. As such it forms an integral part of the Council's Budget and Policy framework.</w:t>
      </w:r>
    </w:p>
    <w:p>
      <w:pPr>
        <w:spacing w:before="269" w:line="240" w:lineRule="auto"/>
        <w:ind w:left="754" w:right="308" w:firstLine="13"/>
        <w:jc w:val="both"/>
        <w:rPr>
          <w:sz w:val="24"/>
        </w:rPr>
      </w:pPr>
      <w:r>
        <w:rPr>
          <w:color w:val="0F0F0F"/>
          <w:sz w:val="24"/>
        </w:rPr>
        <w:t>Core</w:t>
      </w:r>
      <w:r>
        <w:rPr>
          <w:color w:val="0F0F0F"/>
          <w:spacing w:val="-17"/>
          <w:sz w:val="24"/>
        </w:rPr>
        <w:t> </w:t>
      </w:r>
      <w:r>
        <w:rPr>
          <w:color w:val="0F0F0F"/>
          <w:sz w:val="24"/>
        </w:rPr>
        <w:t>appendices</w:t>
      </w:r>
      <w:r>
        <w:rPr>
          <w:color w:val="0F0F0F"/>
          <w:spacing w:val="-17"/>
          <w:sz w:val="24"/>
        </w:rPr>
        <w:t> </w:t>
      </w:r>
      <w:r>
        <w:rPr>
          <w:color w:val="0F0F0F"/>
          <w:sz w:val="24"/>
        </w:rPr>
        <w:t>to</w:t>
      </w:r>
      <w:r>
        <w:rPr>
          <w:color w:val="0F0F0F"/>
          <w:spacing w:val="-16"/>
          <w:sz w:val="24"/>
        </w:rPr>
        <w:t> </w:t>
      </w:r>
      <w:r>
        <w:rPr>
          <w:color w:val="0F0F0F"/>
          <w:sz w:val="24"/>
        </w:rPr>
        <w:t>the</w:t>
      </w:r>
      <w:r>
        <w:rPr>
          <w:color w:val="0F0F0F"/>
          <w:spacing w:val="-17"/>
          <w:sz w:val="24"/>
        </w:rPr>
        <w:t> </w:t>
      </w:r>
      <w:r>
        <w:rPr>
          <w:color w:val="0F0F0F"/>
          <w:sz w:val="24"/>
        </w:rPr>
        <w:t>strategy</w:t>
      </w:r>
      <w:r>
        <w:rPr>
          <w:color w:val="0F0F0F"/>
          <w:spacing w:val="-17"/>
          <w:sz w:val="24"/>
        </w:rPr>
        <w:t> </w:t>
      </w:r>
      <w:r>
        <w:rPr>
          <w:color w:val="0F0F0F"/>
          <w:sz w:val="24"/>
        </w:rPr>
        <w:t>including</w:t>
      </w:r>
      <w:r>
        <w:rPr>
          <w:color w:val="0F0F0F"/>
          <w:spacing w:val="-12"/>
          <w:sz w:val="24"/>
        </w:rPr>
        <w:t> </w:t>
      </w:r>
      <w:r>
        <w:rPr>
          <w:color w:val="0F0F0F"/>
          <w:sz w:val="24"/>
        </w:rPr>
        <w:t>the</w:t>
      </w:r>
      <w:r>
        <w:rPr>
          <w:color w:val="0F0F0F"/>
          <w:spacing w:val="-17"/>
          <w:sz w:val="24"/>
        </w:rPr>
        <w:t> </w:t>
      </w:r>
      <w:r>
        <w:rPr>
          <w:color w:val="0F0F0F"/>
          <w:sz w:val="24"/>
        </w:rPr>
        <w:t>Medium</w:t>
      </w:r>
      <w:r>
        <w:rPr>
          <w:color w:val="0F0F0F"/>
          <w:spacing w:val="-8"/>
          <w:sz w:val="24"/>
        </w:rPr>
        <w:t> </w:t>
      </w:r>
      <w:r>
        <w:rPr>
          <w:color w:val="0F0F0F"/>
          <w:sz w:val="24"/>
        </w:rPr>
        <w:t>Term</w:t>
      </w:r>
      <w:r>
        <w:rPr>
          <w:color w:val="0F0F0F"/>
          <w:spacing w:val="-17"/>
          <w:sz w:val="24"/>
        </w:rPr>
        <w:t> </w:t>
      </w:r>
      <w:r>
        <w:rPr>
          <w:color w:val="0F0F0F"/>
          <w:sz w:val="24"/>
        </w:rPr>
        <w:t>Financial</w:t>
      </w:r>
      <w:r>
        <w:rPr>
          <w:color w:val="0F0F0F"/>
          <w:spacing w:val="-15"/>
          <w:sz w:val="24"/>
        </w:rPr>
        <w:t> </w:t>
      </w:r>
      <w:r>
        <w:rPr>
          <w:color w:val="0F0F0F"/>
          <w:sz w:val="24"/>
        </w:rPr>
        <w:t>Plan</w:t>
      </w:r>
      <w:r>
        <w:rPr>
          <w:color w:val="0F0F0F"/>
          <w:spacing w:val="-16"/>
          <w:sz w:val="24"/>
        </w:rPr>
        <w:t> </w:t>
      </w:r>
      <w:r>
        <w:rPr>
          <w:color w:val="0F0F0F"/>
          <w:sz w:val="24"/>
        </w:rPr>
        <w:t>and</w:t>
      </w:r>
      <w:r>
        <w:rPr>
          <w:color w:val="0F0F0F"/>
          <w:spacing w:val="-17"/>
          <w:sz w:val="24"/>
        </w:rPr>
        <w:t> </w:t>
      </w:r>
      <w:r>
        <w:rPr>
          <w:color w:val="0F0F0F"/>
          <w:sz w:val="24"/>
        </w:rPr>
        <w:t>Capital Strategy are updated annually to take into account the national and regional context and</w:t>
      </w:r>
      <w:r>
        <w:rPr>
          <w:color w:val="0F0F0F"/>
          <w:spacing w:val="-4"/>
          <w:sz w:val="24"/>
        </w:rPr>
        <w:t> </w:t>
      </w:r>
      <w:r>
        <w:rPr>
          <w:color w:val="0F0F0F"/>
          <w:sz w:val="24"/>
        </w:rPr>
        <w:t>link</w:t>
      </w:r>
      <w:r>
        <w:rPr>
          <w:color w:val="0F0F0F"/>
          <w:spacing w:val="-16"/>
          <w:sz w:val="24"/>
        </w:rPr>
        <w:t> </w:t>
      </w:r>
      <w:r>
        <w:rPr>
          <w:color w:val="0F0F0F"/>
          <w:sz w:val="24"/>
        </w:rPr>
        <w:t>those</w:t>
      </w:r>
      <w:r>
        <w:rPr>
          <w:color w:val="0F0F0F"/>
          <w:spacing w:val="-8"/>
          <w:sz w:val="24"/>
        </w:rPr>
        <w:t> </w:t>
      </w:r>
      <w:r>
        <w:rPr>
          <w:color w:val="0F0F0F"/>
          <w:sz w:val="24"/>
        </w:rPr>
        <w:t>with</w:t>
      </w:r>
      <w:r>
        <w:rPr>
          <w:color w:val="0F0F0F"/>
          <w:spacing w:val="-15"/>
          <w:sz w:val="24"/>
        </w:rPr>
        <w:t> </w:t>
      </w:r>
      <w:r>
        <w:rPr>
          <w:color w:val="0F0F0F"/>
          <w:sz w:val="24"/>
        </w:rPr>
        <w:t>the</w:t>
      </w:r>
      <w:r>
        <w:rPr>
          <w:color w:val="0F0F0F"/>
          <w:spacing w:val="-13"/>
          <w:sz w:val="24"/>
        </w:rPr>
        <w:t> </w:t>
      </w:r>
      <w:r>
        <w:rPr>
          <w:color w:val="0F0F0F"/>
          <w:sz w:val="24"/>
        </w:rPr>
        <w:t>Council's</w:t>
      </w:r>
      <w:r>
        <w:rPr>
          <w:color w:val="0F0F0F"/>
          <w:spacing w:val="-7"/>
          <w:sz w:val="24"/>
        </w:rPr>
        <w:t> </w:t>
      </w:r>
      <w:r>
        <w:rPr>
          <w:color w:val="0F0F0F"/>
          <w:sz w:val="24"/>
        </w:rPr>
        <w:t>corporate goals</w:t>
      </w:r>
      <w:r>
        <w:rPr>
          <w:color w:val="0F0F0F"/>
          <w:spacing w:val="-11"/>
          <w:sz w:val="24"/>
        </w:rPr>
        <w:t> </w:t>
      </w:r>
      <w:r>
        <w:rPr>
          <w:color w:val="0F0F0F"/>
          <w:sz w:val="24"/>
        </w:rPr>
        <w:t>and</w:t>
      </w:r>
      <w:r>
        <w:rPr>
          <w:color w:val="0F0F0F"/>
          <w:spacing w:val="-8"/>
          <w:sz w:val="24"/>
        </w:rPr>
        <w:t> </w:t>
      </w:r>
      <w:r>
        <w:rPr>
          <w:color w:val="0F0F0F"/>
          <w:sz w:val="24"/>
        </w:rPr>
        <w:t>priorities. The</w:t>
      </w:r>
      <w:r>
        <w:rPr>
          <w:color w:val="0F0F0F"/>
          <w:spacing w:val="-17"/>
          <w:sz w:val="24"/>
        </w:rPr>
        <w:t> </w:t>
      </w:r>
      <w:r>
        <w:rPr>
          <w:color w:val="0F0F0F"/>
          <w:sz w:val="24"/>
        </w:rPr>
        <w:t>Strategy has</w:t>
      </w:r>
      <w:r>
        <w:rPr>
          <w:color w:val="0F0F0F"/>
          <w:spacing w:val="-14"/>
          <w:sz w:val="24"/>
        </w:rPr>
        <w:t> </w:t>
      </w:r>
      <w:r>
        <w:rPr>
          <w:color w:val="0F0F0F"/>
          <w:sz w:val="24"/>
        </w:rPr>
        <w:t>been updated to </w:t>
      </w:r>
      <w:r>
        <w:rPr>
          <w:color w:val="262626"/>
          <w:sz w:val="24"/>
        </w:rPr>
        <w:t>reflect </w:t>
      </w:r>
      <w:r>
        <w:rPr>
          <w:color w:val="0F0F0F"/>
          <w:sz w:val="24"/>
        </w:rPr>
        <w:t>ongoing reductions in Government funding and the other </w:t>
      </w:r>
      <w:r>
        <w:rPr>
          <w:color w:val="262626"/>
          <w:sz w:val="24"/>
        </w:rPr>
        <w:t>financial </w:t>
      </w:r>
      <w:r>
        <w:rPr>
          <w:color w:val="0F0F0F"/>
          <w:sz w:val="24"/>
        </w:rPr>
        <w:t>pressures noted in this statement.</w:t>
      </w:r>
    </w:p>
    <w:p>
      <w:pPr>
        <w:pStyle w:val="BodyText"/>
        <w:spacing w:before="2"/>
        <w:rPr>
          <w:sz w:val="24"/>
        </w:rPr>
      </w:pPr>
    </w:p>
    <w:p>
      <w:pPr>
        <w:spacing w:before="0"/>
        <w:ind w:left="750" w:right="0" w:firstLine="0"/>
        <w:jc w:val="both"/>
        <w:rPr>
          <w:sz w:val="24"/>
        </w:rPr>
      </w:pPr>
      <w:r>
        <w:rPr>
          <w:color w:val="0F0F0F"/>
          <w:sz w:val="24"/>
        </w:rPr>
        <w:t>The</w:t>
      </w:r>
      <w:r>
        <w:rPr>
          <w:color w:val="0F0F0F"/>
          <w:spacing w:val="-3"/>
          <w:sz w:val="24"/>
        </w:rPr>
        <w:t> </w:t>
      </w:r>
      <w:r>
        <w:rPr>
          <w:color w:val="0F0F0F"/>
          <w:sz w:val="24"/>
        </w:rPr>
        <w:t>Financial</w:t>
      </w:r>
      <w:r>
        <w:rPr>
          <w:color w:val="0F0F0F"/>
          <w:spacing w:val="1"/>
          <w:sz w:val="24"/>
        </w:rPr>
        <w:t> </w:t>
      </w:r>
      <w:r>
        <w:rPr>
          <w:color w:val="0F0F0F"/>
          <w:sz w:val="24"/>
        </w:rPr>
        <w:t>Strategy</w:t>
      </w:r>
      <w:r>
        <w:rPr>
          <w:color w:val="0F0F0F"/>
          <w:spacing w:val="11"/>
          <w:sz w:val="24"/>
        </w:rPr>
        <w:t> </w:t>
      </w:r>
      <w:r>
        <w:rPr>
          <w:color w:val="0F0F0F"/>
          <w:sz w:val="24"/>
        </w:rPr>
        <w:t>will</w:t>
      </w:r>
      <w:r>
        <w:rPr>
          <w:color w:val="0F0F0F"/>
          <w:spacing w:val="-13"/>
          <w:sz w:val="24"/>
        </w:rPr>
        <w:t> </w:t>
      </w:r>
      <w:r>
        <w:rPr>
          <w:color w:val="0F0F0F"/>
          <w:sz w:val="24"/>
        </w:rPr>
        <w:t>be</w:t>
      </w:r>
      <w:r>
        <w:rPr>
          <w:color w:val="0F0F0F"/>
          <w:spacing w:val="-7"/>
          <w:sz w:val="24"/>
        </w:rPr>
        <w:t> </w:t>
      </w:r>
      <w:r>
        <w:rPr>
          <w:color w:val="0F0F0F"/>
          <w:sz w:val="24"/>
        </w:rPr>
        <w:t>reviewed</w:t>
      </w:r>
      <w:r>
        <w:rPr>
          <w:color w:val="0F0F0F"/>
          <w:spacing w:val="8"/>
          <w:sz w:val="24"/>
        </w:rPr>
        <w:t> </w:t>
      </w:r>
      <w:r>
        <w:rPr>
          <w:color w:val="0F0F0F"/>
          <w:sz w:val="24"/>
        </w:rPr>
        <w:t>during</w:t>
      </w:r>
      <w:r>
        <w:rPr>
          <w:color w:val="0F0F0F"/>
          <w:spacing w:val="-1"/>
          <w:sz w:val="24"/>
        </w:rPr>
        <w:t> </w:t>
      </w:r>
      <w:r>
        <w:rPr>
          <w:color w:val="0F0F0F"/>
          <w:spacing w:val="-2"/>
          <w:sz w:val="24"/>
        </w:rPr>
        <w:t>2023/24.</w:t>
      </w:r>
    </w:p>
    <w:p>
      <w:pPr>
        <w:pStyle w:val="BodyText"/>
        <w:rPr>
          <w:sz w:val="23"/>
        </w:rPr>
      </w:pPr>
    </w:p>
    <w:p>
      <w:pPr>
        <w:pStyle w:val="BodyText"/>
        <w:spacing w:before="31"/>
        <w:rPr>
          <w:sz w:val="23"/>
        </w:rPr>
      </w:pPr>
    </w:p>
    <w:p>
      <w:pPr>
        <w:spacing w:before="0"/>
        <w:ind w:left="745" w:right="0" w:firstLine="0"/>
        <w:jc w:val="both"/>
        <w:rPr>
          <w:b/>
          <w:sz w:val="23"/>
        </w:rPr>
      </w:pPr>
      <w:r>
        <w:rPr>
          <w:b/>
          <w:color w:val="0F0F0F"/>
          <w:w w:val="105"/>
          <w:sz w:val="23"/>
          <w:u w:val="thick" w:color="0F0F0F"/>
        </w:rPr>
        <w:t>Corporate</w:t>
      </w:r>
      <w:r>
        <w:rPr>
          <w:b/>
          <w:color w:val="0F0F0F"/>
          <w:spacing w:val="-12"/>
          <w:w w:val="105"/>
          <w:sz w:val="23"/>
          <w:u w:val="thick" w:color="0F0F0F"/>
        </w:rPr>
        <w:t> </w:t>
      </w:r>
      <w:r>
        <w:rPr>
          <w:b/>
          <w:color w:val="0F0F0F"/>
          <w:spacing w:val="-2"/>
          <w:w w:val="105"/>
          <w:sz w:val="23"/>
          <w:u w:val="thick" w:color="0F0F0F"/>
        </w:rPr>
        <w:t>Risks</w:t>
      </w:r>
    </w:p>
    <w:p>
      <w:pPr>
        <w:pStyle w:val="BodyText"/>
        <w:spacing w:before="19"/>
        <w:rPr>
          <w:b/>
          <w:sz w:val="23"/>
        </w:rPr>
      </w:pPr>
    </w:p>
    <w:p>
      <w:pPr>
        <w:spacing w:before="0" w:line="240" w:lineRule="auto"/>
        <w:ind w:left="721" w:right="333" w:firstLine="11"/>
        <w:jc w:val="both"/>
        <w:rPr>
          <w:sz w:val="24"/>
        </w:rPr>
      </w:pPr>
      <w:r>
        <w:rPr>
          <w:color w:val="0F0F0F"/>
          <w:sz w:val="24"/>
        </w:rPr>
        <w:t>As set out in the Annual Governance Statement, the Council routinely identifies, monitors and reports its risks to the Corporate Governance Group and the Audit Committee. The</w:t>
      </w:r>
      <w:r>
        <w:rPr>
          <w:color w:val="0F0F0F"/>
          <w:spacing w:val="-11"/>
          <w:sz w:val="24"/>
        </w:rPr>
        <w:t> </w:t>
      </w:r>
      <w:r>
        <w:rPr>
          <w:color w:val="0F0F0F"/>
          <w:sz w:val="24"/>
        </w:rPr>
        <w:t>process</w:t>
      </w:r>
      <w:r>
        <w:rPr>
          <w:color w:val="0F0F0F"/>
          <w:spacing w:val="-3"/>
          <w:sz w:val="24"/>
        </w:rPr>
        <w:t> </w:t>
      </w:r>
      <w:r>
        <w:rPr>
          <w:color w:val="0F0F0F"/>
          <w:sz w:val="24"/>
        </w:rPr>
        <w:t>of</w:t>
      </w:r>
      <w:r>
        <w:rPr>
          <w:color w:val="0F0F0F"/>
          <w:spacing w:val="-17"/>
          <w:sz w:val="24"/>
        </w:rPr>
        <w:t> </w:t>
      </w:r>
      <w:r>
        <w:rPr>
          <w:color w:val="0F0F0F"/>
          <w:sz w:val="24"/>
        </w:rPr>
        <w:t>managing these</w:t>
      </w:r>
      <w:r>
        <w:rPr>
          <w:color w:val="0F0F0F"/>
          <w:spacing w:val="-16"/>
          <w:sz w:val="24"/>
        </w:rPr>
        <w:t> </w:t>
      </w:r>
      <w:r>
        <w:rPr>
          <w:color w:val="0F0F0F"/>
          <w:sz w:val="24"/>
        </w:rPr>
        <w:t>risks</w:t>
      </w:r>
      <w:r>
        <w:rPr>
          <w:color w:val="0F0F0F"/>
          <w:spacing w:val="-5"/>
          <w:sz w:val="24"/>
        </w:rPr>
        <w:t> </w:t>
      </w:r>
      <w:r>
        <w:rPr>
          <w:color w:val="0F0F0F"/>
          <w:sz w:val="24"/>
        </w:rPr>
        <w:t>not</w:t>
      </w:r>
      <w:r>
        <w:rPr>
          <w:color w:val="0F0F0F"/>
          <w:spacing w:val="-8"/>
          <w:sz w:val="24"/>
        </w:rPr>
        <w:t> </w:t>
      </w:r>
      <w:r>
        <w:rPr>
          <w:color w:val="0F0F0F"/>
          <w:sz w:val="24"/>
        </w:rPr>
        <w:t>only</w:t>
      </w:r>
      <w:r>
        <w:rPr>
          <w:color w:val="0F0F0F"/>
          <w:spacing w:val="-11"/>
          <w:sz w:val="24"/>
        </w:rPr>
        <w:t> </w:t>
      </w:r>
      <w:r>
        <w:rPr>
          <w:color w:val="0F0F0F"/>
          <w:sz w:val="24"/>
        </w:rPr>
        <w:t>controls the</w:t>
      </w:r>
      <w:r>
        <w:rPr>
          <w:color w:val="0F0F0F"/>
          <w:spacing w:val="-13"/>
          <w:sz w:val="24"/>
        </w:rPr>
        <w:t> </w:t>
      </w:r>
      <w:r>
        <w:rPr>
          <w:color w:val="0F0F0F"/>
          <w:sz w:val="24"/>
        </w:rPr>
        <w:t>threats</w:t>
      </w:r>
      <w:r>
        <w:rPr>
          <w:color w:val="0F0F0F"/>
          <w:spacing w:val="-10"/>
          <w:sz w:val="24"/>
        </w:rPr>
        <w:t> </w:t>
      </w:r>
      <w:r>
        <w:rPr>
          <w:color w:val="0F0F0F"/>
          <w:sz w:val="24"/>
        </w:rPr>
        <w:t>but</w:t>
      </w:r>
      <w:r>
        <w:rPr>
          <w:color w:val="0F0F0F"/>
          <w:spacing w:val="-14"/>
          <w:sz w:val="24"/>
        </w:rPr>
        <w:t> </w:t>
      </w:r>
      <w:r>
        <w:rPr>
          <w:color w:val="0F0F0F"/>
          <w:sz w:val="24"/>
        </w:rPr>
        <w:t>also provides a means to identify and respond to opportunities.</w:t>
      </w:r>
    </w:p>
    <w:p>
      <w:pPr>
        <w:pStyle w:val="BodyText"/>
        <w:spacing w:before="4"/>
        <w:rPr>
          <w:sz w:val="24"/>
        </w:rPr>
      </w:pPr>
    </w:p>
    <w:p>
      <w:pPr>
        <w:spacing w:before="0" w:line="240" w:lineRule="auto"/>
        <w:ind w:left="710" w:right="332" w:firstLine="6"/>
        <w:jc w:val="both"/>
        <w:rPr>
          <w:sz w:val="24"/>
        </w:rPr>
      </w:pPr>
      <w:r>
        <w:rPr>
          <w:color w:val="0F0F0F"/>
          <w:sz w:val="24"/>
        </w:rPr>
        <w:t>The strategic risks that have been considered by the Corporate Governance Group and reported to the Audit Committee are those that can affect the delivery of the Council's corporate goals and that relate to significant change projects.</w:t>
      </w:r>
    </w:p>
    <w:p>
      <w:pPr>
        <w:pStyle w:val="BodyText"/>
        <w:spacing w:before="1"/>
        <w:rPr>
          <w:sz w:val="24"/>
        </w:rPr>
      </w:pPr>
    </w:p>
    <w:p>
      <w:pPr>
        <w:spacing w:before="0" w:line="240" w:lineRule="auto"/>
        <w:ind w:left="694" w:right="338" w:firstLine="10"/>
        <w:jc w:val="both"/>
        <w:rPr>
          <w:sz w:val="24"/>
        </w:rPr>
      </w:pPr>
      <w:r>
        <w:rPr>
          <w:color w:val="0F0F0F"/>
          <w:sz w:val="24"/>
        </w:rPr>
        <w:t>It </w:t>
      </w:r>
      <w:r>
        <w:rPr>
          <w:color w:val="262626"/>
          <w:sz w:val="24"/>
        </w:rPr>
        <w:t>is </w:t>
      </w:r>
      <w:r>
        <w:rPr>
          <w:color w:val="0F0F0F"/>
          <w:sz w:val="24"/>
        </w:rPr>
        <w:t>worth noting </w:t>
      </w:r>
      <w:r>
        <w:rPr>
          <w:color w:val="262626"/>
          <w:sz w:val="24"/>
        </w:rPr>
        <w:t>that </w:t>
      </w:r>
      <w:r>
        <w:rPr>
          <w:color w:val="0F0F0F"/>
          <w:sz w:val="24"/>
        </w:rPr>
        <w:t>these risks are continuously monitored and reviewed by the Corporate Governance Group and reported to the Audit Committee to ensure that appropriate mitigation plans are in</w:t>
      </w:r>
      <w:r>
        <w:rPr>
          <w:color w:val="0F0F0F"/>
          <w:spacing w:val="-1"/>
          <w:sz w:val="24"/>
        </w:rPr>
        <w:t> </w:t>
      </w:r>
      <w:r>
        <w:rPr>
          <w:color w:val="0F0F0F"/>
          <w:sz w:val="24"/>
        </w:rPr>
        <w:t>place to</w:t>
      </w:r>
      <w:r>
        <w:rPr>
          <w:color w:val="0F0F0F"/>
          <w:spacing w:val="-1"/>
          <w:sz w:val="24"/>
        </w:rPr>
        <w:t> </w:t>
      </w:r>
      <w:r>
        <w:rPr>
          <w:color w:val="0F0F0F"/>
          <w:sz w:val="24"/>
        </w:rPr>
        <w:t>counteract any occurrence of these risks. The</w:t>
      </w:r>
      <w:r>
        <w:rPr>
          <w:color w:val="0F0F0F"/>
          <w:spacing w:val="-17"/>
          <w:sz w:val="24"/>
        </w:rPr>
        <w:t> </w:t>
      </w:r>
      <w:r>
        <w:rPr>
          <w:color w:val="0F0F0F"/>
          <w:sz w:val="24"/>
        </w:rPr>
        <w:t>Council's</w:t>
      </w:r>
      <w:r>
        <w:rPr>
          <w:color w:val="0F0F0F"/>
          <w:spacing w:val="-2"/>
          <w:sz w:val="24"/>
        </w:rPr>
        <w:t> </w:t>
      </w:r>
      <w:r>
        <w:rPr>
          <w:color w:val="0F0F0F"/>
          <w:sz w:val="24"/>
        </w:rPr>
        <w:t>senior</w:t>
      </w:r>
      <w:r>
        <w:rPr>
          <w:color w:val="0F0F0F"/>
          <w:spacing w:val="-10"/>
          <w:sz w:val="24"/>
        </w:rPr>
        <w:t> </w:t>
      </w:r>
      <w:r>
        <w:rPr>
          <w:color w:val="0F0F0F"/>
          <w:sz w:val="24"/>
        </w:rPr>
        <w:t>managers</w:t>
      </w:r>
      <w:r>
        <w:rPr>
          <w:color w:val="0F0F0F"/>
          <w:spacing w:val="13"/>
          <w:sz w:val="24"/>
        </w:rPr>
        <w:t> </w:t>
      </w:r>
      <w:r>
        <w:rPr>
          <w:color w:val="0F0F0F"/>
          <w:sz w:val="24"/>
        </w:rPr>
        <w:t>take</w:t>
      </w:r>
      <w:r>
        <w:rPr>
          <w:color w:val="0F0F0F"/>
          <w:spacing w:val="-17"/>
          <w:sz w:val="24"/>
        </w:rPr>
        <w:t> </w:t>
      </w:r>
      <w:r>
        <w:rPr>
          <w:color w:val="0F0F0F"/>
          <w:sz w:val="24"/>
        </w:rPr>
        <w:t>responsibility</w:t>
      </w:r>
      <w:r>
        <w:rPr>
          <w:color w:val="0F0F0F"/>
          <w:spacing w:val="-17"/>
          <w:sz w:val="24"/>
        </w:rPr>
        <w:t> </w:t>
      </w:r>
      <w:r>
        <w:rPr>
          <w:color w:val="0F0F0F"/>
          <w:sz w:val="24"/>
        </w:rPr>
        <w:t>and</w:t>
      </w:r>
      <w:r>
        <w:rPr>
          <w:color w:val="0F0F0F"/>
          <w:spacing w:val="-13"/>
          <w:sz w:val="24"/>
        </w:rPr>
        <w:t> </w:t>
      </w:r>
      <w:r>
        <w:rPr>
          <w:color w:val="0F0F0F"/>
          <w:sz w:val="24"/>
        </w:rPr>
        <w:t>ownership of</w:t>
      </w:r>
      <w:r>
        <w:rPr>
          <w:color w:val="0F0F0F"/>
          <w:spacing w:val="-10"/>
          <w:sz w:val="24"/>
        </w:rPr>
        <w:t> </w:t>
      </w:r>
      <w:r>
        <w:rPr>
          <w:color w:val="0F0F0F"/>
          <w:sz w:val="24"/>
        </w:rPr>
        <w:t>these</w:t>
      </w:r>
      <w:r>
        <w:rPr>
          <w:color w:val="0F0F0F"/>
          <w:spacing w:val="-17"/>
          <w:sz w:val="24"/>
        </w:rPr>
        <w:t> </w:t>
      </w:r>
      <w:r>
        <w:rPr>
          <w:color w:val="0F0F0F"/>
          <w:sz w:val="24"/>
        </w:rPr>
        <w:t>risks</w:t>
      </w:r>
      <w:r>
        <w:rPr>
          <w:color w:val="0F0F0F"/>
          <w:spacing w:val="-5"/>
          <w:sz w:val="24"/>
        </w:rPr>
        <w:t> </w:t>
      </w:r>
      <w:r>
        <w:rPr>
          <w:color w:val="0F0F0F"/>
          <w:sz w:val="24"/>
        </w:rPr>
        <w:t>as</w:t>
      </w:r>
      <w:r>
        <w:rPr>
          <w:color w:val="0F0F0F"/>
          <w:spacing w:val="-17"/>
          <w:sz w:val="24"/>
        </w:rPr>
        <w:t> </w:t>
      </w:r>
      <w:r>
        <w:rPr>
          <w:color w:val="0F0F0F"/>
          <w:sz w:val="24"/>
        </w:rPr>
        <w:t>well as</w:t>
      </w:r>
      <w:r>
        <w:rPr>
          <w:color w:val="0F0F0F"/>
          <w:spacing w:val="-10"/>
          <w:sz w:val="24"/>
        </w:rPr>
        <w:t> </w:t>
      </w:r>
      <w:r>
        <w:rPr>
          <w:color w:val="0F0F0F"/>
          <w:sz w:val="24"/>
        </w:rPr>
        <w:t>maintaining risk mitigation plans. Management, along with</w:t>
      </w:r>
      <w:r>
        <w:rPr>
          <w:color w:val="0F0F0F"/>
          <w:spacing w:val="-2"/>
          <w:sz w:val="24"/>
        </w:rPr>
        <w:t> </w:t>
      </w:r>
      <w:r>
        <w:rPr>
          <w:color w:val="0F0F0F"/>
          <w:sz w:val="24"/>
        </w:rPr>
        <w:t>the Council's Execut</w:t>
      </w:r>
      <w:r>
        <w:rPr>
          <w:color w:val="3B3B3B"/>
          <w:sz w:val="24"/>
        </w:rPr>
        <w:t>i</w:t>
      </w:r>
      <w:r>
        <w:rPr>
          <w:color w:val="0F0F0F"/>
          <w:sz w:val="24"/>
        </w:rPr>
        <w:t>ve are continuously working towards risks minimisation.</w:t>
      </w:r>
    </w:p>
    <w:p>
      <w:pPr>
        <w:spacing w:after="0" w:line="240" w:lineRule="auto"/>
        <w:jc w:val="both"/>
        <w:rPr>
          <w:sz w:val="24"/>
        </w:rPr>
        <w:sectPr>
          <w:headerReference w:type="even" r:id="rId58"/>
          <w:pgSz w:w="11910" w:h="16830"/>
          <w:pgMar w:top="640" w:right="920" w:bottom="480" w:left="840" w:header="0" w:footer="0"/>
        </w:sectPr>
      </w:pPr>
    </w:p>
    <w:p>
      <w:pPr>
        <w:spacing w:before="201"/>
        <w:ind w:left="578" w:right="0" w:firstLine="0"/>
        <w:jc w:val="left"/>
        <w:rPr>
          <w:b/>
          <w:sz w:val="23"/>
        </w:rPr>
      </w:pPr>
      <w:r>
        <w:rPr>
          <w:b/>
          <w:color w:val="0A0A0A"/>
          <w:w w:val="105"/>
          <w:sz w:val="23"/>
        </w:rPr>
        <w:t>The</w:t>
      </w:r>
      <w:r>
        <w:rPr>
          <w:b/>
          <w:color w:val="0A0A0A"/>
          <w:spacing w:val="-17"/>
          <w:w w:val="105"/>
          <w:sz w:val="23"/>
        </w:rPr>
        <w:t> </w:t>
      </w:r>
      <w:r>
        <w:rPr>
          <w:b/>
          <w:color w:val="0A0A0A"/>
          <w:w w:val="105"/>
          <w:sz w:val="23"/>
        </w:rPr>
        <w:t>Council's</w:t>
      </w:r>
      <w:r>
        <w:rPr>
          <w:b/>
          <w:color w:val="0A0A0A"/>
          <w:spacing w:val="-5"/>
          <w:w w:val="105"/>
          <w:sz w:val="23"/>
        </w:rPr>
        <w:t> </w:t>
      </w:r>
      <w:r>
        <w:rPr>
          <w:b/>
          <w:color w:val="0A0A0A"/>
          <w:spacing w:val="-2"/>
          <w:w w:val="105"/>
          <w:sz w:val="23"/>
        </w:rPr>
        <w:t>Finances</w:t>
      </w:r>
    </w:p>
    <w:p>
      <w:pPr>
        <w:pStyle w:val="BodyText"/>
        <w:rPr>
          <w:b/>
          <w:sz w:val="23"/>
        </w:rPr>
      </w:pPr>
    </w:p>
    <w:p>
      <w:pPr>
        <w:pStyle w:val="BodyText"/>
        <w:spacing w:before="124"/>
        <w:rPr>
          <w:b/>
          <w:sz w:val="23"/>
        </w:rPr>
      </w:pPr>
    </w:p>
    <w:p>
      <w:pPr>
        <w:spacing w:before="1"/>
        <w:ind w:left="578" w:right="0" w:firstLine="0"/>
        <w:jc w:val="both"/>
        <w:rPr>
          <w:b/>
          <w:sz w:val="23"/>
        </w:rPr>
      </w:pPr>
      <w:r>
        <w:rPr>
          <w:b/>
          <w:color w:val="0A0A0A"/>
          <w:w w:val="105"/>
          <w:sz w:val="23"/>
          <w:u w:val="thick" w:color="0A0A0A"/>
        </w:rPr>
        <w:t>The</w:t>
      </w:r>
      <w:r>
        <w:rPr>
          <w:b/>
          <w:color w:val="0A0A0A"/>
          <w:spacing w:val="-16"/>
          <w:w w:val="105"/>
          <w:sz w:val="23"/>
          <w:u w:val="thick" w:color="0A0A0A"/>
        </w:rPr>
        <w:t> </w:t>
      </w:r>
      <w:r>
        <w:rPr>
          <w:b/>
          <w:color w:val="0A0A0A"/>
          <w:w w:val="105"/>
          <w:sz w:val="23"/>
          <w:u w:val="thick" w:color="0A0A0A"/>
        </w:rPr>
        <w:t>General</w:t>
      </w:r>
      <w:r>
        <w:rPr>
          <w:b/>
          <w:color w:val="0A0A0A"/>
          <w:spacing w:val="-7"/>
          <w:w w:val="105"/>
          <w:sz w:val="23"/>
          <w:u w:val="thick" w:color="0A0A0A"/>
        </w:rPr>
        <w:t> </w:t>
      </w:r>
      <w:r>
        <w:rPr>
          <w:b/>
          <w:color w:val="0A0A0A"/>
          <w:spacing w:val="-4"/>
          <w:w w:val="105"/>
          <w:sz w:val="23"/>
          <w:u w:val="thick" w:color="0A0A0A"/>
        </w:rPr>
        <w:t>Fund</w:t>
      </w:r>
    </w:p>
    <w:p>
      <w:pPr>
        <w:spacing w:before="182" w:line="240" w:lineRule="auto"/>
        <w:ind w:left="574" w:right="532" w:hanging="2"/>
        <w:jc w:val="both"/>
        <w:rPr>
          <w:sz w:val="24"/>
        </w:rPr>
      </w:pPr>
      <w:r>
        <w:rPr>
          <w:color w:val="0A0A0A"/>
          <w:sz w:val="24"/>
        </w:rPr>
        <w:t>The Council maintains an</w:t>
      </w:r>
      <w:r>
        <w:rPr>
          <w:color w:val="0A0A0A"/>
          <w:spacing w:val="-2"/>
          <w:sz w:val="24"/>
        </w:rPr>
        <w:t> </w:t>
      </w:r>
      <w:r>
        <w:rPr>
          <w:color w:val="0A0A0A"/>
          <w:sz w:val="24"/>
        </w:rPr>
        <w:t>unallocated reserve, the</w:t>
      </w:r>
      <w:r>
        <w:rPr>
          <w:color w:val="0A0A0A"/>
          <w:spacing w:val="-2"/>
          <w:sz w:val="24"/>
        </w:rPr>
        <w:t> </w:t>
      </w:r>
      <w:r>
        <w:rPr>
          <w:color w:val="0A0A0A"/>
          <w:sz w:val="24"/>
        </w:rPr>
        <w:t>General Fund.</w:t>
      </w:r>
      <w:r>
        <w:rPr>
          <w:color w:val="0A0A0A"/>
          <w:spacing w:val="40"/>
          <w:sz w:val="24"/>
        </w:rPr>
        <w:t> </w:t>
      </w:r>
      <w:r>
        <w:rPr>
          <w:color w:val="0A0A0A"/>
          <w:sz w:val="24"/>
        </w:rPr>
        <w:t>The maintenance of</w:t>
      </w:r>
      <w:r>
        <w:rPr>
          <w:color w:val="0A0A0A"/>
          <w:spacing w:val="-10"/>
          <w:sz w:val="24"/>
        </w:rPr>
        <w:t> </w:t>
      </w:r>
      <w:r>
        <w:rPr>
          <w:color w:val="0A0A0A"/>
          <w:sz w:val="24"/>
        </w:rPr>
        <w:t>such</w:t>
      </w:r>
      <w:r>
        <w:rPr>
          <w:color w:val="0A0A0A"/>
          <w:spacing w:val="-4"/>
          <w:sz w:val="24"/>
        </w:rPr>
        <w:t> </w:t>
      </w:r>
      <w:r>
        <w:rPr>
          <w:color w:val="0A0A0A"/>
          <w:sz w:val="24"/>
        </w:rPr>
        <w:t>a</w:t>
      </w:r>
      <w:r>
        <w:rPr>
          <w:color w:val="0A0A0A"/>
          <w:spacing w:val="-14"/>
          <w:sz w:val="24"/>
        </w:rPr>
        <w:t> </w:t>
      </w:r>
      <w:r>
        <w:rPr>
          <w:color w:val="0A0A0A"/>
          <w:sz w:val="24"/>
        </w:rPr>
        <w:t>fund</w:t>
      </w:r>
      <w:r>
        <w:rPr>
          <w:color w:val="0A0A0A"/>
          <w:spacing w:val="-10"/>
          <w:sz w:val="24"/>
        </w:rPr>
        <w:t> </w:t>
      </w:r>
      <w:r>
        <w:rPr>
          <w:color w:val="0A0A0A"/>
          <w:sz w:val="24"/>
        </w:rPr>
        <w:t>is</w:t>
      </w:r>
      <w:r>
        <w:rPr>
          <w:color w:val="0A0A0A"/>
          <w:spacing w:val="-14"/>
          <w:sz w:val="24"/>
        </w:rPr>
        <w:t> </w:t>
      </w:r>
      <w:r>
        <w:rPr>
          <w:color w:val="0A0A0A"/>
          <w:sz w:val="24"/>
        </w:rPr>
        <w:t>necessary to</w:t>
      </w:r>
      <w:r>
        <w:rPr>
          <w:color w:val="0A0A0A"/>
          <w:spacing w:val="-10"/>
          <w:sz w:val="24"/>
        </w:rPr>
        <w:t> </w:t>
      </w:r>
      <w:r>
        <w:rPr>
          <w:color w:val="0A0A0A"/>
          <w:sz w:val="24"/>
        </w:rPr>
        <w:t>cover</w:t>
      </w:r>
      <w:r>
        <w:rPr>
          <w:color w:val="0A0A0A"/>
          <w:spacing w:val="-1"/>
          <w:sz w:val="24"/>
        </w:rPr>
        <w:t> </w:t>
      </w:r>
      <w:r>
        <w:rPr>
          <w:color w:val="0A0A0A"/>
          <w:sz w:val="24"/>
        </w:rPr>
        <w:t>both</w:t>
      </w:r>
      <w:r>
        <w:rPr>
          <w:color w:val="0A0A0A"/>
          <w:spacing w:val="-15"/>
          <w:sz w:val="24"/>
        </w:rPr>
        <w:t> </w:t>
      </w:r>
      <w:r>
        <w:rPr>
          <w:color w:val="0A0A0A"/>
          <w:sz w:val="24"/>
        </w:rPr>
        <w:t>planned and</w:t>
      </w:r>
      <w:r>
        <w:rPr>
          <w:color w:val="0A0A0A"/>
          <w:spacing w:val="-5"/>
          <w:sz w:val="24"/>
        </w:rPr>
        <w:t> </w:t>
      </w:r>
      <w:r>
        <w:rPr>
          <w:color w:val="0A0A0A"/>
          <w:sz w:val="24"/>
        </w:rPr>
        <w:t>unforeseen expenditure and</w:t>
      </w:r>
      <w:r>
        <w:rPr>
          <w:color w:val="0A0A0A"/>
          <w:spacing w:val="-15"/>
          <w:sz w:val="24"/>
        </w:rPr>
        <w:t> </w:t>
      </w:r>
      <w:r>
        <w:rPr>
          <w:color w:val="0A0A0A"/>
          <w:sz w:val="24"/>
        </w:rPr>
        <w:t>to provide adequate levels of reserves for the Council's operations. At 31 March 2023 the balance</w:t>
      </w:r>
      <w:r>
        <w:rPr>
          <w:color w:val="0A0A0A"/>
          <w:spacing w:val="29"/>
          <w:sz w:val="24"/>
        </w:rPr>
        <w:t> </w:t>
      </w:r>
      <w:r>
        <w:rPr>
          <w:color w:val="0A0A0A"/>
          <w:sz w:val="24"/>
        </w:rPr>
        <w:t>on the</w:t>
      </w:r>
      <w:r>
        <w:rPr>
          <w:color w:val="0A0A0A"/>
          <w:spacing w:val="15"/>
          <w:sz w:val="24"/>
        </w:rPr>
        <w:t> </w:t>
      </w:r>
      <w:r>
        <w:rPr>
          <w:color w:val="0A0A0A"/>
          <w:sz w:val="24"/>
        </w:rPr>
        <w:t>General</w:t>
      </w:r>
      <w:r>
        <w:rPr>
          <w:color w:val="0A0A0A"/>
          <w:spacing w:val="26"/>
          <w:sz w:val="24"/>
        </w:rPr>
        <w:t> </w:t>
      </w:r>
      <w:r>
        <w:rPr>
          <w:color w:val="0A0A0A"/>
          <w:sz w:val="24"/>
        </w:rPr>
        <w:t>Fund</w:t>
      </w:r>
      <w:r>
        <w:rPr>
          <w:color w:val="0A0A0A"/>
          <w:spacing w:val="17"/>
          <w:sz w:val="24"/>
        </w:rPr>
        <w:t> </w:t>
      </w:r>
      <w:r>
        <w:rPr>
          <w:color w:val="0A0A0A"/>
          <w:sz w:val="24"/>
        </w:rPr>
        <w:t>was</w:t>
      </w:r>
      <w:r>
        <w:rPr>
          <w:color w:val="0A0A0A"/>
          <w:spacing w:val="29"/>
          <w:sz w:val="24"/>
        </w:rPr>
        <w:t> </w:t>
      </w:r>
      <w:r>
        <w:rPr>
          <w:color w:val="0A0A0A"/>
          <w:sz w:val="24"/>
        </w:rPr>
        <w:t>£42.735m</w:t>
      </w:r>
      <w:r>
        <w:rPr>
          <w:color w:val="0A0A0A"/>
          <w:spacing w:val="33"/>
          <w:sz w:val="24"/>
        </w:rPr>
        <w:t> </w:t>
      </w:r>
      <w:r>
        <w:rPr>
          <w:color w:val="0A0A0A"/>
          <w:sz w:val="24"/>
        </w:rPr>
        <w:t>(2021/22</w:t>
      </w:r>
      <w:r>
        <w:rPr>
          <w:color w:val="0A0A0A"/>
          <w:spacing w:val="32"/>
          <w:sz w:val="24"/>
        </w:rPr>
        <w:t> </w:t>
      </w:r>
      <w:r>
        <w:rPr>
          <w:color w:val="0A0A0A"/>
          <w:sz w:val="24"/>
        </w:rPr>
        <w:t>£40.277m)</w:t>
      </w:r>
      <w:r>
        <w:rPr>
          <w:color w:val="0A0A0A"/>
          <w:spacing w:val="40"/>
          <w:sz w:val="24"/>
        </w:rPr>
        <w:t> </w:t>
      </w:r>
      <w:r>
        <w:rPr>
          <w:color w:val="0A0A0A"/>
          <w:sz w:val="24"/>
        </w:rPr>
        <w:t>-</w:t>
      </w:r>
      <w:r>
        <w:rPr>
          <w:color w:val="0A0A0A"/>
          <w:spacing w:val="17"/>
          <w:sz w:val="24"/>
        </w:rPr>
        <w:t> </w:t>
      </w:r>
      <w:r>
        <w:rPr>
          <w:color w:val="0A0A0A"/>
          <w:sz w:val="24"/>
        </w:rPr>
        <w:t>out</w:t>
      </w:r>
      <w:r>
        <w:rPr>
          <w:color w:val="0A0A0A"/>
          <w:spacing w:val="25"/>
          <w:sz w:val="24"/>
        </w:rPr>
        <w:t> </w:t>
      </w:r>
      <w:r>
        <w:rPr>
          <w:color w:val="0A0A0A"/>
          <w:sz w:val="24"/>
        </w:rPr>
        <w:t>of</w:t>
      </w:r>
      <w:r>
        <w:rPr>
          <w:color w:val="0A0A0A"/>
          <w:spacing w:val="21"/>
          <w:sz w:val="24"/>
        </w:rPr>
        <w:t> </w:t>
      </w:r>
      <w:r>
        <w:rPr>
          <w:color w:val="0A0A0A"/>
          <w:sz w:val="24"/>
        </w:rPr>
        <w:t>this,</w:t>
      </w:r>
    </w:p>
    <w:p>
      <w:pPr>
        <w:spacing w:before="2" w:line="242" w:lineRule="auto"/>
        <w:ind w:left="579" w:right="539" w:firstLine="1"/>
        <w:jc w:val="both"/>
        <w:rPr>
          <w:sz w:val="24"/>
        </w:rPr>
      </w:pPr>
      <w:r>
        <w:rPr>
          <w:color w:val="0A0A0A"/>
          <w:sz w:val="24"/>
        </w:rPr>
        <w:t>£8.520m was held as a contingency for unforeseen events and £34.215m has been earmarked for specific projects.</w:t>
      </w:r>
    </w:p>
    <w:p>
      <w:pPr>
        <w:spacing w:before="273" w:line="242" w:lineRule="auto"/>
        <w:ind w:left="579" w:right="536" w:hanging="2"/>
        <w:jc w:val="both"/>
        <w:rPr>
          <w:sz w:val="24"/>
        </w:rPr>
      </w:pPr>
      <w:r>
        <w:rPr>
          <w:color w:val="0A0A0A"/>
          <w:sz w:val="24"/>
        </w:rPr>
        <w:t>The Council's Net Budget Requirement (NBR), which is</w:t>
      </w:r>
      <w:r>
        <w:rPr>
          <w:color w:val="0A0A0A"/>
          <w:spacing w:val="-7"/>
          <w:sz w:val="24"/>
        </w:rPr>
        <w:t> </w:t>
      </w:r>
      <w:r>
        <w:rPr>
          <w:color w:val="0A0A0A"/>
          <w:sz w:val="24"/>
        </w:rPr>
        <w:t>the</w:t>
      </w:r>
      <w:r>
        <w:rPr>
          <w:color w:val="0A0A0A"/>
          <w:spacing w:val="-1"/>
          <w:sz w:val="24"/>
        </w:rPr>
        <w:t> </w:t>
      </w:r>
      <w:r>
        <w:rPr>
          <w:color w:val="0A0A0A"/>
          <w:sz w:val="24"/>
        </w:rPr>
        <w:t>net</w:t>
      </w:r>
      <w:r>
        <w:rPr>
          <w:color w:val="0A0A0A"/>
          <w:spacing w:val="-5"/>
          <w:sz w:val="24"/>
        </w:rPr>
        <w:t> </w:t>
      </w:r>
      <w:r>
        <w:rPr>
          <w:color w:val="0A0A0A"/>
          <w:sz w:val="24"/>
        </w:rPr>
        <w:t>budget position after budgeting for</w:t>
      </w:r>
      <w:r>
        <w:rPr>
          <w:color w:val="0A0A0A"/>
          <w:spacing w:val="-12"/>
          <w:sz w:val="24"/>
        </w:rPr>
        <w:t> </w:t>
      </w:r>
      <w:r>
        <w:rPr>
          <w:color w:val="0A0A0A"/>
          <w:sz w:val="24"/>
        </w:rPr>
        <w:t>gross</w:t>
      </w:r>
      <w:r>
        <w:rPr>
          <w:color w:val="0A0A0A"/>
          <w:spacing w:val="-11"/>
          <w:sz w:val="24"/>
        </w:rPr>
        <w:t> </w:t>
      </w:r>
      <w:r>
        <w:rPr>
          <w:color w:val="0A0A0A"/>
          <w:sz w:val="24"/>
        </w:rPr>
        <w:t>expenditure on</w:t>
      </w:r>
      <w:r>
        <w:rPr>
          <w:color w:val="0A0A0A"/>
          <w:spacing w:val="-10"/>
          <w:sz w:val="24"/>
        </w:rPr>
        <w:t> </w:t>
      </w:r>
      <w:r>
        <w:rPr>
          <w:color w:val="0A0A0A"/>
          <w:sz w:val="24"/>
        </w:rPr>
        <w:t>service</w:t>
      </w:r>
      <w:r>
        <w:rPr>
          <w:color w:val="0A0A0A"/>
          <w:spacing w:val="-9"/>
          <w:sz w:val="24"/>
        </w:rPr>
        <w:t> </w:t>
      </w:r>
      <w:r>
        <w:rPr>
          <w:color w:val="0A0A0A"/>
          <w:sz w:val="24"/>
        </w:rPr>
        <w:t>provision less</w:t>
      </w:r>
      <w:r>
        <w:rPr>
          <w:color w:val="0A0A0A"/>
          <w:spacing w:val="-8"/>
          <w:sz w:val="24"/>
        </w:rPr>
        <w:t> </w:t>
      </w:r>
      <w:r>
        <w:rPr>
          <w:color w:val="0A0A0A"/>
          <w:sz w:val="24"/>
        </w:rPr>
        <w:t>any</w:t>
      </w:r>
      <w:r>
        <w:rPr>
          <w:color w:val="0A0A0A"/>
          <w:spacing w:val="-8"/>
          <w:sz w:val="24"/>
        </w:rPr>
        <w:t> </w:t>
      </w:r>
      <w:r>
        <w:rPr>
          <w:color w:val="0A0A0A"/>
          <w:sz w:val="24"/>
        </w:rPr>
        <w:t>income</w:t>
      </w:r>
      <w:r>
        <w:rPr>
          <w:color w:val="0A0A0A"/>
          <w:spacing w:val="-5"/>
          <w:sz w:val="24"/>
        </w:rPr>
        <w:t> </w:t>
      </w:r>
      <w:r>
        <w:rPr>
          <w:color w:val="0A0A0A"/>
          <w:sz w:val="24"/>
        </w:rPr>
        <w:t>generated</w:t>
      </w:r>
      <w:r>
        <w:rPr>
          <w:color w:val="0A0A0A"/>
          <w:spacing w:val="-5"/>
          <w:sz w:val="24"/>
        </w:rPr>
        <w:t> </w:t>
      </w:r>
      <w:r>
        <w:rPr>
          <w:color w:val="0A0A0A"/>
          <w:sz w:val="24"/>
        </w:rPr>
        <w:t>from fees and charges, rental income and specific funding including grants, contributions and</w:t>
      </w:r>
      <w:r>
        <w:rPr>
          <w:color w:val="0A0A0A"/>
          <w:spacing w:val="-6"/>
          <w:sz w:val="24"/>
        </w:rPr>
        <w:t> </w:t>
      </w:r>
      <w:r>
        <w:rPr>
          <w:color w:val="0A0A0A"/>
          <w:sz w:val="24"/>
        </w:rPr>
        <w:t>reserves must be</w:t>
      </w:r>
      <w:r>
        <w:rPr>
          <w:color w:val="0A0A0A"/>
          <w:spacing w:val="-4"/>
          <w:sz w:val="24"/>
        </w:rPr>
        <w:t> </w:t>
      </w:r>
      <w:r>
        <w:rPr>
          <w:color w:val="0A0A0A"/>
          <w:sz w:val="24"/>
        </w:rPr>
        <w:t>fully funded</w:t>
      </w:r>
      <w:r>
        <w:rPr>
          <w:color w:val="0A0A0A"/>
          <w:spacing w:val="-2"/>
          <w:sz w:val="24"/>
        </w:rPr>
        <w:t> </w:t>
      </w:r>
      <w:r>
        <w:rPr>
          <w:color w:val="0A0A0A"/>
          <w:sz w:val="24"/>
        </w:rPr>
        <w:t>from</w:t>
      </w:r>
      <w:r>
        <w:rPr>
          <w:color w:val="0A0A0A"/>
          <w:spacing w:val="-9"/>
          <w:sz w:val="24"/>
        </w:rPr>
        <w:t> </w:t>
      </w:r>
      <w:r>
        <w:rPr>
          <w:color w:val="0A0A0A"/>
          <w:sz w:val="24"/>
        </w:rPr>
        <w:t>Government Grant</w:t>
      </w:r>
      <w:r>
        <w:rPr>
          <w:color w:val="0A0A0A"/>
          <w:spacing w:val="-3"/>
          <w:sz w:val="24"/>
        </w:rPr>
        <w:t> </w:t>
      </w:r>
      <w:r>
        <w:rPr>
          <w:color w:val="0A0A0A"/>
          <w:sz w:val="24"/>
        </w:rPr>
        <w:t>and</w:t>
      </w:r>
      <w:r>
        <w:rPr>
          <w:color w:val="0A0A0A"/>
          <w:spacing w:val="-6"/>
          <w:sz w:val="24"/>
        </w:rPr>
        <w:t> </w:t>
      </w:r>
      <w:r>
        <w:rPr>
          <w:color w:val="0A0A0A"/>
          <w:sz w:val="24"/>
        </w:rPr>
        <w:t>local</w:t>
      </w:r>
      <w:r>
        <w:rPr>
          <w:color w:val="0A0A0A"/>
          <w:spacing w:val="-10"/>
          <w:sz w:val="24"/>
        </w:rPr>
        <w:t> </w:t>
      </w:r>
      <w:r>
        <w:rPr>
          <w:color w:val="0A0A0A"/>
          <w:sz w:val="24"/>
        </w:rPr>
        <w:t>taxation</w:t>
      </w:r>
      <w:r>
        <w:rPr>
          <w:color w:val="0A0A0A"/>
          <w:spacing w:val="-1"/>
          <w:sz w:val="24"/>
        </w:rPr>
        <w:t> </w:t>
      </w:r>
      <w:r>
        <w:rPr>
          <w:color w:val="0A0A0A"/>
          <w:sz w:val="24"/>
        </w:rPr>
        <w:t>in</w:t>
      </w:r>
      <w:r>
        <w:rPr>
          <w:color w:val="0A0A0A"/>
          <w:spacing w:val="-12"/>
          <w:sz w:val="24"/>
        </w:rPr>
        <w:t> </w:t>
      </w:r>
      <w:r>
        <w:rPr>
          <w:color w:val="0A0A0A"/>
          <w:sz w:val="24"/>
        </w:rPr>
        <w:t>order to set a balanced budget, which the Council is legally required to do.</w:t>
      </w:r>
    </w:p>
    <w:p>
      <w:pPr>
        <w:spacing w:before="269" w:line="240" w:lineRule="auto"/>
        <w:ind w:left="579" w:right="523" w:firstLine="3"/>
        <w:jc w:val="both"/>
        <w:rPr>
          <w:sz w:val="24"/>
        </w:rPr>
      </w:pPr>
      <w:r>
        <w:rPr>
          <w:color w:val="0A0A0A"/>
          <w:sz w:val="24"/>
        </w:rPr>
        <w:t>The Council has however seen reductions in core grant funding over a sustained period with the future of some funding streams such as the New Homes Bonus and Business Rates growth being uncertain due to long overdue funding reviews. Whilst the Council has continued to balance its budget through the delivery of efficiencies and increased income with challenging economic conditions and such funding uncertainty</w:t>
      </w:r>
      <w:r>
        <w:rPr>
          <w:color w:val="0A0A0A"/>
          <w:spacing w:val="-13"/>
          <w:sz w:val="24"/>
        </w:rPr>
        <w:t> </w:t>
      </w:r>
      <w:r>
        <w:rPr>
          <w:color w:val="1A1A1A"/>
          <w:sz w:val="24"/>
        </w:rPr>
        <w:t>it</w:t>
      </w:r>
      <w:r>
        <w:rPr>
          <w:color w:val="1A1A1A"/>
          <w:spacing w:val="-16"/>
          <w:sz w:val="24"/>
        </w:rPr>
        <w:t> </w:t>
      </w:r>
      <w:r>
        <w:rPr>
          <w:color w:val="0A0A0A"/>
          <w:sz w:val="24"/>
        </w:rPr>
        <w:t>is</w:t>
      </w:r>
      <w:r>
        <w:rPr>
          <w:color w:val="0A0A0A"/>
          <w:spacing w:val="-15"/>
          <w:sz w:val="24"/>
        </w:rPr>
        <w:t> </w:t>
      </w:r>
      <w:r>
        <w:rPr>
          <w:color w:val="0A0A0A"/>
          <w:sz w:val="24"/>
        </w:rPr>
        <w:t>vital</w:t>
      </w:r>
      <w:r>
        <w:rPr>
          <w:color w:val="0A0A0A"/>
          <w:spacing w:val="-15"/>
          <w:sz w:val="24"/>
        </w:rPr>
        <w:t> </w:t>
      </w:r>
      <w:r>
        <w:rPr>
          <w:color w:val="0A0A0A"/>
          <w:sz w:val="24"/>
        </w:rPr>
        <w:t>that</w:t>
      </w:r>
      <w:r>
        <w:rPr>
          <w:color w:val="0A0A0A"/>
          <w:spacing w:val="-13"/>
          <w:sz w:val="24"/>
        </w:rPr>
        <w:t> </w:t>
      </w:r>
      <w:r>
        <w:rPr>
          <w:color w:val="0A0A0A"/>
          <w:sz w:val="24"/>
        </w:rPr>
        <w:t>robust</w:t>
      </w:r>
      <w:r>
        <w:rPr>
          <w:color w:val="0A0A0A"/>
          <w:spacing w:val="-6"/>
          <w:sz w:val="24"/>
        </w:rPr>
        <w:t> </w:t>
      </w:r>
      <w:r>
        <w:rPr>
          <w:color w:val="0A0A0A"/>
          <w:sz w:val="24"/>
        </w:rPr>
        <w:t>levels</w:t>
      </w:r>
      <w:r>
        <w:rPr>
          <w:color w:val="0A0A0A"/>
          <w:spacing w:val="-10"/>
          <w:sz w:val="24"/>
        </w:rPr>
        <w:t> </w:t>
      </w:r>
      <w:r>
        <w:rPr>
          <w:color w:val="0A0A0A"/>
          <w:sz w:val="24"/>
        </w:rPr>
        <w:t>of</w:t>
      </w:r>
      <w:r>
        <w:rPr>
          <w:color w:val="0A0A0A"/>
          <w:spacing w:val="-17"/>
          <w:sz w:val="24"/>
        </w:rPr>
        <w:t> </w:t>
      </w:r>
      <w:r>
        <w:rPr>
          <w:color w:val="0A0A0A"/>
          <w:sz w:val="24"/>
        </w:rPr>
        <w:t>reserves are</w:t>
      </w:r>
      <w:r>
        <w:rPr>
          <w:color w:val="0A0A0A"/>
          <w:spacing w:val="-17"/>
          <w:sz w:val="24"/>
        </w:rPr>
        <w:t> </w:t>
      </w:r>
      <w:r>
        <w:rPr>
          <w:color w:val="0A0A0A"/>
          <w:sz w:val="24"/>
        </w:rPr>
        <w:t>maintained</w:t>
      </w:r>
      <w:r>
        <w:rPr>
          <w:color w:val="0A0A0A"/>
          <w:spacing w:val="-1"/>
          <w:sz w:val="24"/>
        </w:rPr>
        <w:t> </w:t>
      </w:r>
      <w:r>
        <w:rPr>
          <w:color w:val="0A0A0A"/>
          <w:sz w:val="24"/>
        </w:rPr>
        <w:t>in</w:t>
      </w:r>
      <w:r>
        <w:rPr>
          <w:color w:val="0A0A0A"/>
          <w:spacing w:val="-17"/>
          <w:sz w:val="24"/>
        </w:rPr>
        <w:t> </w:t>
      </w:r>
      <w:r>
        <w:rPr>
          <w:color w:val="0A0A0A"/>
          <w:sz w:val="24"/>
        </w:rPr>
        <w:t>order</w:t>
      </w:r>
      <w:r>
        <w:rPr>
          <w:color w:val="0A0A0A"/>
          <w:spacing w:val="-7"/>
          <w:sz w:val="24"/>
        </w:rPr>
        <w:t> </w:t>
      </w:r>
      <w:r>
        <w:rPr>
          <w:color w:val="0A0A0A"/>
          <w:sz w:val="24"/>
        </w:rPr>
        <w:t>to</w:t>
      </w:r>
      <w:r>
        <w:rPr>
          <w:color w:val="0A0A0A"/>
          <w:spacing w:val="-17"/>
          <w:sz w:val="24"/>
        </w:rPr>
        <w:t> </w:t>
      </w:r>
      <w:r>
        <w:rPr>
          <w:color w:val="0A0A0A"/>
          <w:sz w:val="24"/>
        </w:rPr>
        <w:t>safeguard </w:t>
      </w:r>
      <w:r>
        <w:rPr>
          <w:color w:val="0A0A0A"/>
          <w:spacing w:val="-2"/>
          <w:sz w:val="24"/>
        </w:rPr>
        <w:t>services</w:t>
      </w:r>
      <w:r>
        <w:rPr>
          <w:color w:val="363636"/>
          <w:spacing w:val="-2"/>
          <w:sz w:val="24"/>
        </w:rPr>
        <w:t>.</w:t>
      </w:r>
    </w:p>
    <w:p>
      <w:pPr>
        <w:pStyle w:val="BodyText"/>
        <w:rPr>
          <w:sz w:val="23"/>
        </w:rPr>
      </w:pPr>
    </w:p>
    <w:p>
      <w:pPr>
        <w:pStyle w:val="BodyText"/>
        <w:spacing w:before="33"/>
        <w:rPr>
          <w:sz w:val="23"/>
        </w:rPr>
      </w:pPr>
    </w:p>
    <w:p>
      <w:pPr>
        <w:spacing w:before="1"/>
        <w:ind w:left="580" w:right="0" w:firstLine="0"/>
        <w:jc w:val="both"/>
        <w:rPr>
          <w:b/>
          <w:sz w:val="23"/>
        </w:rPr>
      </w:pPr>
      <w:r>
        <w:rPr>
          <w:b/>
          <w:color w:val="0A0A0A"/>
          <w:w w:val="105"/>
          <w:sz w:val="23"/>
          <w:u w:val="thick" w:color="0A0A0A"/>
        </w:rPr>
        <w:t>Earmarked</w:t>
      </w:r>
      <w:r>
        <w:rPr>
          <w:b/>
          <w:color w:val="0A0A0A"/>
          <w:spacing w:val="-16"/>
          <w:w w:val="105"/>
          <w:sz w:val="23"/>
          <w:u w:val="thick" w:color="0A0A0A"/>
        </w:rPr>
        <w:t> </w:t>
      </w:r>
      <w:r>
        <w:rPr>
          <w:b/>
          <w:color w:val="0A0A0A"/>
          <w:spacing w:val="-2"/>
          <w:w w:val="105"/>
          <w:sz w:val="23"/>
          <w:u w:val="thick" w:color="0A0A0A"/>
        </w:rPr>
        <w:t>reserves</w:t>
      </w:r>
    </w:p>
    <w:p>
      <w:pPr>
        <w:pStyle w:val="BodyText"/>
        <w:spacing w:before="14"/>
        <w:rPr>
          <w:b/>
          <w:sz w:val="23"/>
        </w:rPr>
      </w:pPr>
    </w:p>
    <w:p>
      <w:pPr>
        <w:spacing w:before="0" w:line="240" w:lineRule="auto"/>
        <w:ind w:left="585" w:right="508" w:hanging="2"/>
        <w:jc w:val="both"/>
        <w:rPr>
          <w:sz w:val="24"/>
        </w:rPr>
      </w:pPr>
      <w:r>
        <w:rPr>
          <w:color w:val="0A0A0A"/>
          <w:sz w:val="24"/>
        </w:rPr>
        <w:t>Earmarked</w:t>
      </w:r>
      <w:r>
        <w:rPr>
          <w:color w:val="0A0A0A"/>
          <w:spacing w:val="-12"/>
          <w:sz w:val="24"/>
        </w:rPr>
        <w:t> </w:t>
      </w:r>
      <w:r>
        <w:rPr>
          <w:color w:val="0A0A0A"/>
          <w:sz w:val="24"/>
        </w:rPr>
        <w:t>reserves</w:t>
      </w:r>
      <w:r>
        <w:rPr>
          <w:color w:val="0A0A0A"/>
          <w:spacing w:val="-10"/>
          <w:sz w:val="24"/>
        </w:rPr>
        <w:t> </w:t>
      </w:r>
      <w:r>
        <w:rPr>
          <w:color w:val="0A0A0A"/>
          <w:sz w:val="24"/>
        </w:rPr>
        <w:t>are</w:t>
      </w:r>
      <w:r>
        <w:rPr>
          <w:color w:val="0A0A0A"/>
          <w:spacing w:val="-17"/>
          <w:sz w:val="24"/>
        </w:rPr>
        <w:t> </w:t>
      </w:r>
      <w:r>
        <w:rPr>
          <w:color w:val="0A0A0A"/>
          <w:sz w:val="24"/>
        </w:rPr>
        <w:t>funds</w:t>
      </w:r>
      <w:r>
        <w:rPr>
          <w:color w:val="0A0A0A"/>
          <w:spacing w:val="-14"/>
          <w:sz w:val="24"/>
        </w:rPr>
        <w:t> </w:t>
      </w:r>
      <w:r>
        <w:rPr>
          <w:color w:val="0A0A0A"/>
          <w:sz w:val="24"/>
        </w:rPr>
        <w:t>generated</w:t>
      </w:r>
      <w:r>
        <w:rPr>
          <w:color w:val="0A0A0A"/>
          <w:spacing w:val="-8"/>
          <w:sz w:val="24"/>
        </w:rPr>
        <w:t> </w:t>
      </w:r>
      <w:r>
        <w:rPr>
          <w:color w:val="0A0A0A"/>
          <w:sz w:val="24"/>
        </w:rPr>
        <w:t>through</w:t>
      </w:r>
      <w:r>
        <w:rPr>
          <w:color w:val="0A0A0A"/>
          <w:spacing w:val="-12"/>
          <w:sz w:val="24"/>
        </w:rPr>
        <w:t> </w:t>
      </w:r>
      <w:r>
        <w:rPr>
          <w:color w:val="0A0A0A"/>
          <w:sz w:val="24"/>
        </w:rPr>
        <w:t>the</w:t>
      </w:r>
      <w:r>
        <w:rPr>
          <w:color w:val="0A0A0A"/>
          <w:spacing w:val="-17"/>
          <w:sz w:val="24"/>
        </w:rPr>
        <w:t> </w:t>
      </w:r>
      <w:r>
        <w:rPr>
          <w:color w:val="0A0A0A"/>
          <w:sz w:val="24"/>
        </w:rPr>
        <w:t>revenue</w:t>
      </w:r>
      <w:r>
        <w:rPr>
          <w:color w:val="0A0A0A"/>
          <w:spacing w:val="-6"/>
          <w:sz w:val="24"/>
        </w:rPr>
        <w:t> </w:t>
      </w:r>
      <w:r>
        <w:rPr>
          <w:color w:val="0A0A0A"/>
          <w:sz w:val="24"/>
        </w:rPr>
        <w:t>account</w:t>
      </w:r>
      <w:r>
        <w:rPr>
          <w:color w:val="0A0A0A"/>
          <w:spacing w:val="-9"/>
          <w:sz w:val="24"/>
        </w:rPr>
        <w:t> </w:t>
      </w:r>
      <w:r>
        <w:rPr>
          <w:color w:val="0A0A0A"/>
          <w:sz w:val="24"/>
        </w:rPr>
        <w:t>that</w:t>
      </w:r>
      <w:r>
        <w:rPr>
          <w:color w:val="0A0A0A"/>
          <w:spacing w:val="-16"/>
          <w:sz w:val="24"/>
        </w:rPr>
        <w:t> </w:t>
      </w:r>
      <w:r>
        <w:rPr>
          <w:color w:val="0A0A0A"/>
          <w:sz w:val="24"/>
        </w:rPr>
        <w:t>have</w:t>
      </w:r>
      <w:r>
        <w:rPr>
          <w:color w:val="0A0A0A"/>
          <w:spacing w:val="-17"/>
          <w:sz w:val="24"/>
        </w:rPr>
        <w:t> </w:t>
      </w:r>
      <w:r>
        <w:rPr>
          <w:color w:val="0A0A0A"/>
          <w:sz w:val="24"/>
        </w:rPr>
        <w:t>been specifically set aside for future revenue and capital projects. The Council has once </w:t>
      </w:r>
      <w:r>
        <w:rPr>
          <w:color w:val="1A1A1A"/>
          <w:sz w:val="24"/>
        </w:rPr>
        <w:t>again been able to make good use of its earmarked reserves by using them to help pay for the</w:t>
      </w:r>
      <w:r>
        <w:rPr>
          <w:color w:val="1A1A1A"/>
          <w:spacing w:val="-3"/>
          <w:sz w:val="24"/>
        </w:rPr>
        <w:t> </w:t>
      </w:r>
      <w:r>
        <w:rPr>
          <w:color w:val="1A1A1A"/>
          <w:sz w:val="24"/>
        </w:rPr>
        <w:t>shortfalls in</w:t>
      </w:r>
      <w:r>
        <w:rPr>
          <w:color w:val="1A1A1A"/>
          <w:spacing w:val="-11"/>
          <w:sz w:val="24"/>
        </w:rPr>
        <w:t> </w:t>
      </w:r>
      <w:r>
        <w:rPr>
          <w:color w:val="363636"/>
          <w:sz w:val="24"/>
        </w:rPr>
        <w:t>income, </w:t>
      </w:r>
      <w:r>
        <w:rPr>
          <w:color w:val="1A1A1A"/>
          <w:sz w:val="24"/>
        </w:rPr>
        <w:t>and redirecting those that were</w:t>
      </w:r>
      <w:r>
        <w:rPr>
          <w:color w:val="1A1A1A"/>
          <w:spacing w:val="-2"/>
          <w:sz w:val="24"/>
        </w:rPr>
        <w:t> </w:t>
      </w:r>
      <w:r>
        <w:rPr>
          <w:color w:val="0A0A0A"/>
          <w:sz w:val="24"/>
        </w:rPr>
        <w:t>reserved </w:t>
      </w:r>
      <w:r>
        <w:rPr>
          <w:color w:val="1A1A1A"/>
          <w:sz w:val="24"/>
        </w:rPr>
        <w:t>for</w:t>
      </w:r>
      <w:r>
        <w:rPr>
          <w:color w:val="1A1A1A"/>
          <w:spacing w:val="-1"/>
          <w:sz w:val="24"/>
        </w:rPr>
        <w:t> </w:t>
      </w:r>
      <w:r>
        <w:rPr>
          <w:color w:val="1A1A1A"/>
          <w:sz w:val="24"/>
        </w:rPr>
        <w:t>projects no longer </w:t>
      </w:r>
      <w:r>
        <w:rPr>
          <w:color w:val="0A0A0A"/>
          <w:sz w:val="24"/>
        </w:rPr>
        <w:t>required </w:t>
      </w:r>
      <w:r>
        <w:rPr>
          <w:color w:val="1A1A1A"/>
          <w:sz w:val="24"/>
        </w:rPr>
        <w:t>or considered a priority. During the year </w:t>
      </w:r>
      <w:r>
        <w:rPr>
          <w:color w:val="0A0A0A"/>
          <w:sz w:val="24"/>
        </w:rPr>
        <w:t>a </w:t>
      </w:r>
      <w:r>
        <w:rPr>
          <w:color w:val="1A1A1A"/>
          <w:sz w:val="24"/>
        </w:rPr>
        <w:t>net £2.373m was transferred to earmarked reserves</w:t>
      </w:r>
      <w:r>
        <w:rPr>
          <w:color w:val="494949"/>
          <w:sz w:val="24"/>
        </w:rPr>
        <w:t>.</w:t>
      </w:r>
      <w:r>
        <w:rPr>
          <w:color w:val="494949"/>
          <w:spacing w:val="-12"/>
          <w:sz w:val="24"/>
        </w:rPr>
        <w:t> </w:t>
      </w:r>
      <w:r>
        <w:rPr>
          <w:color w:val="1A1A1A"/>
          <w:sz w:val="24"/>
        </w:rPr>
        <w:t>Total</w:t>
      </w:r>
      <w:r>
        <w:rPr>
          <w:color w:val="1A1A1A"/>
          <w:spacing w:val="-1"/>
          <w:sz w:val="24"/>
        </w:rPr>
        <w:t> </w:t>
      </w:r>
      <w:r>
        <w:rPr>
          <w:color w:val="1A1A1A"/>
          <w:sz w:val="24"/>
        </w:rPr>
        <w:t>funds </w:t>
      </w:r>
      <w:r>
        <w:rPr>
          <w:color w:val="0A0A0A"/>
          <w:sz w:val="24"/>
        </w:rPr>
        <w:t>earmarked for</w:t>
      </w:r>
      <w:r>
        <w:rPr>
          <w:color w:val="0A0A0A"/>
          <w:spacing w:val="-1"/>
          <w:sz w:val="24"/>
        </w:rPr>
        <w:t> </w:t>
      </w:r>
      <w:r>
        <w:rPr>
          <w:color w:val="0A0A0A"/>
          <w:sz w:val="24"/>
        </w:rPr>
        <w:t>future use at</w:t>
      </w:r>
      <w:r>
        <w:rPr>
          <w:color w:val="0A0A0A"/>
          <w:spacing w:val="-3"/>
          <w:sz w:val="24"/>
        </w:rPr>
        <w:t> </w:t>
      </w:r>
      <w:r>
        <w:rPr>
          <w:color w:val="0A0A0A"/>
          <w:sz w:val="24"/>
        </w:rPr>
        <w:t>31</w:t>
      </w:r>
      <w:r>
        <w:rPr>
          <w:color w:val="0A0A0A"/>
          <w:spacing w:val="-11"/>
          <w:sz w:val="24"/>
        </w:rPr>
        <w:t> </w:t>
      </w:r>
      <w:r>
        <w:rPr>
          <w:color w:val="0A0A0A"/>
          <w:sz w:val="24"/>
        </w:rPr>
        <w:t>March 2023 were £34.215m. The breakdown of</w:t>
      </w:r>
      <w:r>
        <w:rPr>
          <w:color w:val="0A0A0A"/>
          <w:spacing w:val="-2"/>
          <w:sz w:val="24"/>
        </w:rPr>
        <w:t> </w:t>
      </w:r>
      <w:r>
        <w:rPr>
          <w:color w:val="0A0A0A"/>
          <w:sz w:val="24"/>
        </w:rPr>
        <w:t>this sum is</w:t>
      </w:r>
      <w:r>
        <w:rPr>
          <w:color w:val="0A0A0A"/>
          <w:spacing w:val="-5"/>
          <w:sz w:val="24"/>
        </w:rPr>
        <w:t> </w:t>
      </w:r>
      <w:r>
        <w:rPr>
          <w:color w:val="0A0A0A"/>
          <w:sz w:val="24"/>
        </w:rPr>
        <w:t>provided at</w:t>
      </w:r>
      <w:r>
        <w:rPr>
          <w:color w:val="0A0A0A"/>
          <w:spacing w:val="-1"/>
          <w:sz w:val="24"/>
        </w:rPr>
        <w:t> </w:t>
      </w:r>
      <w:r>
        <w:rPr>
          <w:color w:val="0A0A0A"/>
          <w:sz w:val="24"/>
        </w:rPr>
        <w:t>note 5.30.2.</w:t>
      </w:r>
    </w:p>
    <w:p>
      <w:pPr>
        <w:pStyle w:val="BodyText"/>
        <w:spacing w:before="2"/>
        <w:rPr>
          <w:sz w:val="24"/>
        </w:rPr>
      </w:pPr>
    </w:p>
    <w:p>
      <w:pPr>
        <w:spacing w:before="1" w:line="240" w:lineRule="auto"/>
        <w:ind w:left="584" w:right="490" w:firstLine="0"/>
        <w:jc w:val="both"/>
        <w:rPr>
          <w:sz w:val="24"/>
        </w:rPr>
      </w:pPr>
      <w:r>
        <w:rPr>
          <w:color w:val="0A0A0A"/>
          <w:sz w:val="24"/>
        </w:rPr>
        <w:t>Included within</w:t>
      </w:r>
      <w:r>
        <w:rPr>
          <w:color w:val="0A0A0A"/>
          <w:spacing w:val="-1"/>
          <w:sz w:val="24"/>
        </w:rPr>
        <w:t> </w:t>
      </w:r>
      <w:r>
        <w:rPr>
          <w:color w:val="0A0A0A"/>
          <w:sz w:val="24"/>
        </w:rPr>
        <w:t>the</w:t>
      </w:r>
      <w:r>
        <w:rPr>
          <w:color w:val="0A0A0A"/>
          <w:spacing w:val="-4"/>
          <w:sz w:val="24"/>
        </w:rPr>
        <w:t> </w:t>
      </w:r>
      <w:r>
        <w:rPr>
          <w:color w:val="0A0A0A"/>
          <w:sz w:val="24"/>
        </w:rPr>
        <w:t>opening earmarked reserves balance was £6.391m</w:t>
      </w:r>
      <w:r>
        <w:rPr>
          <w:color w:val="0A0A0A"/>
          <w:spacing w:val="-8"/>
          <w:sz w:val="24"/>
        </w:rPr>
        <w:t> </w:t>
      </w:r>
      <w:r>
        <w:rPr>
          <w:color w:val="0A0A0A"/>
          <w:sz w:val="24"/>
        </w:rPr>
        <w:t>earmarked to fund the</w:t>
      </w:r>
      <w:r>
        <w:rPr>
          <w:color w:val="0A0A0A"/>
          <w:spacing w:val="-3"/>
          <w:sz w:val="24"/>
        </w:rPr>
        <w:t> </w:t>
      </w:r>
      <w:r>
        <w:rPr>
          <w:color w:val="0A0A0A"/>
          <w:sz w:val="24"/>
        </w:rPr>
        <w:t>release of</w:t>
      </w:r>
      <w:r>
        <w:rPr>
          <w:color w:val="0A0A0A"/>
          <w:spacing w:val="-8"/>
          <w:sz w:val="24"/>
        </w:rPr>
        <w:t> </w:t>
      </w:r>
      <w:r>
        <w:rPr>
          <w:color w:val="0A0A0A"/>
          <w:sz w:val="24"/>
        </w:rPr>
        <w:t>the</w:t>
      </w:r>
      <w:r>
        <w:rPr>
          <w:color w:val="0A0A0A"/>
          <w:spacing w:val="-7"/>
          <w:sz w:val="24"/>
        </w:rPr>
        <w:t> </w:t>
      </w:r>
      <w:r>
        <w:rPr>
          <w:color w:val="0A0A0A"/>
          <w:sz w:val="24"/>
        </w:rPr>
        <w:t>2020/21 collection</w:t>
      </w:r>
      <w:r>
        <w:rPr>
          <w:color w:val="0A0A0A"/>
          <w:spacing w:val="-1"/>
          <w:sz w:val="24"/>
        </w:rPr>
        <w:t> </w:t>
      </w:r>
      <w:r>
        <w:rPr>
          <w:color w:val="0A0A0A"/>
          <w:sz w:val="24"/>
        </w:rPr>
        <w:t>fund</w:t>
      </w:r>
      <w:r>
        <w:rPr>
          <w:color w:val="0A0A0A"/>
          <w:spacing w:val="-4"/>
          <w:sz w:val="24"/>
        </w:rPr>
        <w:t> </w:t>
      </w:r>
      <w:r>
        <w:rPr>
          <w:color w:val="0A0A0A"/>
          <w:sz w:val="24"/>
        </w:rPr>
        <w:t>deficit, which had</w:t>
      </w:r>
      <w:r>
        <w:rPr>
          <w:color w:val="0A0A0A"/>
          <w:spacing w:val="-1"/>
          <w:sz w:val="24"/>
        </w:rPr>
        <w:t> </w:t>
      </w:r>
      <w:r>
        <w:rPr>
          <w:color w:val="0A0A0A"/>
          <w:sz w:val="24"/>
        </w:rPr>
        <w:t>arisen mainly due</w:t>
      </w:r>
      <w:r>
        <w:rPr>
          <w:color w:val="0A0A0A"/>
          <w:spacing w:val="-7"/>
          <w:sz w:val="24"/>
        </w:rPr>
        <w:t> </w:t>
      </w:r>
      <w:r>
        <w:rPr>
          <w:color w:val="0A0A0A"/>
          <w:sz w:val="24"/>
        </w:rPr>
        <w:t>to the</w:t>
      </w:r>
      <w:r>
        <w:rPr>
          <w:color w:val="0A0A0A"/>
          <w:spacing w:val="-1"/>
          <w:sz w:val="24"/>
        </w:rPr>
        <w:t> </w:t>
      </w:r>
      <w:r>
        <w:rPr>
          <w:color w:val="0A0A0A"/>
          <w:sz w:val="24"/>
        </w:rPr>
        <w:t>100% extended retail relief announced by</w:t>
      </w:r>
      <w:r>
        <w:rPr>
          <w:color w:val="0A0A0A"/>
          <w:spacing w:val="-5"/>
          <w:sz w:val="24"/>
        </w:rPr>
        <w:t> </w:t>
      </w:r>
      <w:r>
        <w:rPr>
          <w:color w:val="0A0A0A"/>
          <w:sz w:val="24"/>
        </w:rPr>
        <w:t>the</w:t>
      </w:r>
      <w:r>
        <w:rPr>
          <w:color w:val="0A0A0A"/>
          <w:spacing w:val="-5"/>
          <w:sz w:val="24"/>
        </w:rPr>
        <w:t> </w:t>
      </w:r>
      <w:r>
        <w:rPr>
          <w:color w:val="0A0A0A"/>
          <w:sz w:val="24"/>
        </w:rPr>
        <w:t>Government. Collection authorities such as Hertsmere were compensated for the resulting losses in collection via a section 31</w:t>
      </w:r>
      <w:r>
        <w:rPr>
          <w:color w:val="0A0A0A"/>
          <w:spacing w:val="-5"/>
          <w:sz w:val="24"/>
        </w:rPr>
        <w:t> </w:t>
      </w:r>
      <w:r>
        <w:rPr>
          <w:color w:val="0A0A0A"/>
          <w:sz w:val="24"/>
        </w:rPr>
        <w:t>grant and it</w:t>
      </w:r>
      <w:r>
        <w:rPr>
          <w:color w:val="0A0A0A"/>
          <w:spacing w:val="-1"/>
          <w:sz w:val="24"/>
        </w:rPr>
        <w:t> </w:t>
      </w:r>
      <w:r>
        <w:rPr>
          <w:color w:val="0A0A0A"/>
          <w:sz w:val="24"/>
        </w:rPr>
        <w:t>is the surplus grant funding (less Hertsmere's share) which is held in reserves and will need to be paid back to the Government.</w:t>
      </w:r>
      <w:r>
        <w:rPr>
          <w:color w:val="0A0A0A"/>
          <w:spacing w:val="40"/>
          <w:sz w:val="24"/>
        </w:rPr>
        <w:t> </w:t>
      </w:r>
      <w:r>
        <w:rPr>
          <w:color w:val="0A0A0A"/>
          <w:sz w:val="24"/>
        </w:rPr>
        <w:t>£5.942m of this reserve was drawn down during 2022/23 leaving £0.449m to be drawn down in 2023/24, the final year of the deficit spreading.</w:t>
      </w:r>
    </w:p>
    <w:p>
      <w:pPr>
        <w:pStyle w:val="BodyText"/>
        <w:rPr>
          <w:sz w:val="23"/>
        </w:rPr>
      </w:pPr>
    </w:p>
    <w:p>
      <w:pPr>
        <w:pStyle w:val="BodyText"/>
        <w:spacing w:before="30"/>
        <w:rPr>
          <w:sz w:val="23"/>
        </w:rPr>
      </w:pPr>
    </w:p>
    <w:p>
      <w:pPr>
        <w:spacing w:before="0"/>
        <w:ind w:left="596" w:right="0" w:firstLine="0"/>
        <w:jc w:val="both"/>
        <w:rPr>
          <w:b/>
          <w:sz w:val="23"/>
        </w:rPr>
      </w:pPr>
      <w:r>
        <w:rPr>
          <w:b/>
          <w:color w:val="1A1A1A"/>
          <w:spacing w:val="-2"/>
          <w:w w:val="105"/>
          <w:sz w:val="23"/>
          <w:u w:val="thick" w:color="1A1A1A"/>
        </w:rPr>
        <w:t>Capital</w:t>
      </w:r>
      <w:r>
        <w:rPr>
          <w:b/>
          <w:color w:val="1A1A1A"/>
          <w:spacing w:val="2"/>
          <w:w w:val="105"/>
          <w:sz w:val="23"/>
          <w:u w:val="thick" w:color="1A1A1A"/>
        </w:rPr>
        <w:t> </w:t>
      </w:r>
      <w:r>
        <w:rPr>
          <w:b/>
          <w:color w:val="1A1A1A"/>
          <w:spacing w:val="-2"/>
          <w:w w:val="105"/>
          <w:sz w:val="23"/>
          <w:u w:val="thick" w:color="1A1A1A"/>
        </w:rPr>
        <w:t>expenditure</w:t>
      </w:r>
      <w:r>
        <w:rPr>
          <w:b/>
          <w:color w:val="1A1A1A"/>
          <w:spacing w:val="5"/>
          <w:w w:val="105"/>
          <w:sz w:val="23"/>
          <w:u w:val="thick" w:color="1A1A1A"/>
        </w:rPr>
        <w:t> </w:t>
      </w:r>
      <w:r>
        <w:rPr>
          <w:b/>
          <w:color w:val="1A1A1A"/>
          <w:spacing w:val="-2"/>
          <w:w w:val="105"/>
          <w:sz w:val="23"/>
          <w:u w:val="thick" w:color="1A1A1A"/>
        </w:rPr>
        <w:t>programme</w:t>
      </w:r>
      <w:r>
        <w:rPr>
          <w:b/>
          <w:color w:val="1A1A1A"/>
          <w:spacing w:val="7"/>
          <w:w w:val="105"/>
          <w:sz w:val="23"/>
          <w:u w:val="thick" w:color="1A1A1A"/>
        </w:rPr>
        <w:t> </w:t>
      </w:r>
      <w:r>
        <w:rPr>
          <w:b/>
          <w:color w:val="1A1A1A"/>
          <w:spacing w:val="-2"/>
          <w:w w:val="105"/>
          <w:sz w:val="23"/>
          <w:u w:val="thick" w:color="1A1A1A"/>
        </w:rPr>
        <w:t>and</w:t>
      </w:r>
      <w:r>
        <w:rPr>
          <w:b/>
          <w:color w:val="1A1A1A"/>
          <w:spacing w:val="-12"/>
          <w:w w:val="105"/>
          <w:sz w:val="23"/>
          <w:u w:val="thick" w:color="1A1A1A"/>
        </w:rPr>
        <w:t> </w:t>
      </w:r>
      <w:r>
        <w:rPr>
          <w:b/>
          <w:color w:val="1A1A1A"/>
          <w:spacing w:val="-2"/>
          <w:w w:val="105"/>
          <w:sz w:val="23"/>
          <w:u w:val="thick" w:color="1A1A1A"/>
        </w:rPr>
        <w:t>associated</w:t>
      </w:r>
      <w:r>
        <w:rPr>
          <w:b/>
          <w:color w:val="1A1A1A"/>
          <w:spacing w:val="8"/>
          <w:w w:val="105"/>
          <w:sz w:val="23"/>
          <w:u w:val="thick" w:color="1A1A1A"/>
        </w:rPr>
        <w:t> </w:t>
      </w:r>
      <w:r>
        <w:rPr>
          <w:b/>
          <w:color w:val="1A1A1A"/>
          <w:spacing w:val="-2"/>
          <w:w w:val="105"/>
          <w:sz w:val="23"/>
          <w:u w:val="thick" w:color="1A1A1A"/>
        </w:rPr>
        <w:t>financing</w:t>
      </w:r>
    </w:p>
    <w:p>
      <w:pPr>
        <w:pStyle w:val="BodyText"/>
        <w:spacing w:before="15"/>
        <w:rPr>
          <w:b/>
          <w:sz w:val="23"/>
        </w:rPr>
      </w:pPr>
    </w:p>
    <w:p>
      <w:pPr>
        <w:spacing w:before="0" w:line="240" w:lineRule="auto"/>
        <w:ind w:left="588" w:right="485" w:firstLine="0"/>
        <w:jc w:val="both"/>
        <w:rPr>
          <w:sz w:val="24"/>
        </w:rPr>
      </w:pPr>
      <w:r>
        <w:rPr>
          <w:color w:val="0A0A0A"/>
          <w:sz w:val="24"/>
        </w:rPr>
        <w:t>During the year the Council incurred expenditure of £14.146m on capital projects, which can include anything from the purchase or replacement of vehicles and equipment to the refurbishment of existing assets. The most significant projects undertaken during the year included £5.879m spent on the development and refurbishment of the Elstree Film Studios, £3.512m on new housing developments including</w:t>
      </w:r>
      <w:r>
        <w:rPr>
          <w:color w:val="0A0A0A"/>
          <w:spacing w:val="-17"/>
          <w:sz w:val="24"/>
        </w:rPr>
        <w:t> </w:t>
      </w:r>
      <w:r>
        <w:rPr>
          <w:color w:val="0A0A0A"/>
          <w:sz w:val="24"/>
        </w:rPr>
        <w:t>through</w:t>
      </w:r>
      <w:r>
        <w:rPr>
          <w:color w:val="0A0A0A"/>
          <w:spacing w:val="-17"/>
          <w:sz w:val="24"/>
        </w:rPr>
        <w:t> </w:t>
      </w:r>
      <w:r>
        <w:rPr>
          <w:color w:val="0A0A0A"/>
          <w:sz w:val="24"/>
        </w:rPr>
        <w:t>the</w:t>
      </w:r>
      <w:r>
        <w:rPr>
          <w:color w:val="0A0A0A"/>
          <w:spacing w:val="-20"/>
          <w:sz w:val="24"/>
        </w:rPr>
        <w:t> </w:t>
      </w:r>
      <w:r>
        <w:rPr>
          <w:color w:val="0A0A0A"/>
          <w:sz w:val="24"/>
        </w:rPr>
        <w:t>Council's</w:t>
      </w:r>
      <w:r>
        <w:rPr>
          <w:color w:val="0A0A0A"/>
          <w:spacing w:val="-14"/>
          <w:sz w:val="24"/>
        </w:rPr>
        <w:t> </w:t>
      </w:r>
      <w:r>
        <w:rPr>
          <w:color w:val="0A0A0A"/>
          <w:sz w:val="24"/>
        </w:rPr>
        <w:t>development company,</w:t>
      </w:r>
      <w:r>
        <w:rPr>
          <w:color w:val="0A0A0A"/>
          <w:spacing w:val="-1"/>
          <w:sz w:val="24"/>
        </w:rPr>
        <w:t> </w:t>
      </w:r>
      <w:r>
        <w:rPr>
          <w:color w:val="0A0A0A"/>
          <w:sz w:val="24"/>
        </w:rPr>
        <w:t>£1.462m</w:t>
      </w:r>
      <w:r>
        <w:rPr>
          <w:color w:val="0A0A0A"/>
          <w:spacing w:val="-13"/>
          <w:sz w:val="24"/>
        </w:rPr>
        <w:t> </w:t>
      </w:r>
      <w:r>
        <w:rPr>
          <w:color w:val="0A0A0A"/>
          <w:sz w:val="24"/>
        </w:rPr>
        <w:t>on</w:t>
      </w:r>
      <w:r>
        <w:rPr>
          <w:color w:val="0A0A0A"/>
          <w:spacing w:val="-21"/>
          <w:sz w:val="24"/>
        </w:rPr>
        <w:t> </w:t>
      </w:r>
      <w:r>
        <w:rPr>
          <w:color w:val="0A0A0A"/>
          <w:sz w:val="24"/>
        </w:rPr>
        <w:t>Disabled</w:t>
      </w:r>
      <w:r>
        <w:rPr>
          <w:color w:val="0A0A0A"/>
          <w:spacing w:val="-13"/>
          <w:sz w:val="24"/>
        </w:rPr>
        <w:t> </w:t>
      </w:r>
      <w:r>
        <w:rPr>
          <w:color w:val="0A0A0A"/>
          <w:sz w:val="24"/>
        </w:rPr>
        <w:t>Facilities</w:t>
      </w:r>
    </w:p>
    <w:p>
      <w:pPr>
        <w:spacing w:after="0" w:line="240" w:lineRule="auto"/>
        <w:jc w:val="both"/>
        <w:rPr>
          <w:sz w:val="24"/>
        </w:rPr>
        <w:sectPr>
          <w:headerReference w:type="default" r:id="rId60"/>
          <w:headerReference w:type="even" r:id="rId61"/>
          <w:footerReference w:type="default" r:id="rId62"/>
          <w:footerReference w:type="even" r:id="rId63"/>
          <w:pgSz w:w="11910" w:h="16830"/>
          <w:pgMar w:top="620" w:right="920" w:bottom="620" w:left="840" w:header="435" w:footer="429"/>
          <w:pgNumType w:start="27"/>
        </w:sectPr>
      </w:pPr>
    </w:p>
    <w:p>
      <w:pPr>
        <w:spacing w:before="221" w:line="249" w:lineRule="auto"/>
        <w:ind w:left="846" w:right="281" w:firstLine="3"/>
        <w:jc w:val="both"/>
        <w:rPr>
          <w:sz w:val="23"/>
        </w:rPr>
      </w:pPr>
      <w:r>
        <w:rPr>
          <w:color w:val="0F0F0F"/>
          <w:w w:val="105"/>
          <w:sz w:val="23"/>
        </w:rPr>
        <w:t>Grants for home adaptations,</w:t>
      </w:r>
      <w:r>
        <w:rPr>
          <w:color w:val="0F0F0F"/>
          <w:w w:val="105"/>
          <w:sz w:val="23"/>
        </w:rPr>
        <w:t> £0.931m</w:t>
      </w:r>
      <w:r>
        <w:rPr>
          <w:color w:val="0F0F0F"/>
          <w:w w:val="105"/>
          <w:sz w:val="23"/>
        </w:rPr>
        <w:t> on new Street Scene vehicles</w:t>
      </w:r>
      <w:r>
        <w:rPr>
          <w:color w:val="0F0F0F"/>
          <w:w w:val="105"/>
          <w:sz w:val="23"/>
        </w:rPr>
        <w:t> and £0.778m has been invested in our parks and open spaces.</w:t>
      </w:r>
    </w:p>
    <w:p>
      <w:pPr>
        <w:pStyle w:val="BodyText"/>
        <w:spacing w:before="7"/>
        <w:rPr>
          <w:sz w:val="23"/>
        </w:rPr>
      </w:pPr>
    </w:p>
    <w:p>
      <w:pPr>
        <w:spacing w:before="0" w:line="249" w:lineRule="auto"/>
        <w:ind w:left="830" w:right="283" w:firstLine="7"/>
        <w:jc w:val="both"/>
        <w:rPr>
          <w:sz w:val="23"/>
        </w:rPr>
      </w:pPr>
      <w:r>
        <w:rPr>
          <w:color w:val="0F0F0F"/>
          <w:spacing w:val="-2"/>
          <w:w w:val="105"/>
          <w:sz w:val="23"/>
        </w:rPr>
        <w:t>At</w:t>
      </w:r>
      <w:r>
        <w:rPr>
          <w:color w:val="0F0F0F"/>
          <w:spacing w:val="-15"/>
          <w:w w:val="105"/>
          <w:sz w:val="23"/>
        </w:rPr>
        <w:t> </w:t>
      </w:r>
      <w:r>
        <w:rPr>
          <w:color w:val="0F0F0F"/>
          <w:spacing w:val="-2"/>
          <w:w w:val="105"/>
          <w:sz w:val="23"/>
        </w:rPr>
        <w:t>the</w:t>
      </w:r>
      <w:r>
        <w:rPr>
          <w:color w:val="0F0F0F"/>
          <w:spacing w:val="-13"/>
          <w:w w:val="105"/>
          <w:sz w:val="23"/>
        </w:rPr>
        <w:t> </w:t>
      </w:r>
      <w:r>
        <w:rPr>
          <w:color w:val="0F0F0F"/>
          <w:spacing w:val="-2"/>
          <w:w w:val="105"/>
          <w:sz w:val="23"/>
        </w:rPr>
        <w:t>balance</w:t>
      </w:r>
      <w:r>
        <w:rPr>
          <w:color w:val="0F0F0F"/>
          <w:spacing w:val="-11"/>
          <w:w w:val="105"/>
          <w:sz w:val="23"/>
        </w:rPr>
        <w:t> </w:t>
      </w:r>
      <w:r>
        <w:rPr>
          <w:color w:val="0F0F0F"/>
          <w:spacing w:val="-2"/>
          <w:w w:val="105"/>
          <w:sz w:val="23"/>
        </w:rPr>
        <w:t>sheet</w:t>
      </w:r>
      <w:r>
        <w:rPr>
          <w:color w:val="0F0F0F"/>
          <w:spacing w:val="-13"/>
          <w:w w:val="105"/>
          <w:sz w:val="23"/>
        </w:rPr>
        <w:t> </w:t>
      </w:r>
      <w:r>
        <w:rPr>
          <w:color w:val="0F0F0F"/>
          <w:spacing w:val="-2"/>
          <w:w w:val="105"/>
          <w:sz w:val="23"/>
        </w:rPr>
        <w:t>date</w:t>
      </w:r>
      <w:r>
        <w:rPr>
          <w:color w:val="0F0F0F"/>
          <w:spacing w:val="-14"/>
          <w:w w:val="105"/>
          <w:sz w:val="23"/>
        </w:rPr>
        <w:t> </w:t>
      </w:r>
      <w:r>
        <w:rPr>
          <w:color w:val="0F0F0F"/>
          <w:spacing w:val="-2"/>
          <w:w w:val="105"/>
          <w:sz w:val="23"/>
        </w:rPr>
        <w:t>the</w:t>
      </w:r>
      <w:r>
        <w:rPr>
          <w:color w:val="0F0F0F"/>
          <w:spacing w:val="-10"/>
          <w:w w:val="105"/>
          <w:sz w:val="23"/>
        </w:rPr>
        <w:t> </w:t>
      </w:r>
      <w:r>
        <w:rPr>
          <w:color w:val="0F0F0F"/>
          <w:spacing w:val="-2"/>
          <w:w w:val="105"/>
          <w:sz w:val="23"/>
        </w:rPr>
        <w:t>Council</w:t>
      </w:r>
      <w:r>
        <w:rPr>
          <w:color w:val="0F0F0F"/>
          <w:spacing w:val="-10"/>
          <w:w w:val="105"/>
          <w:sz w:val="23"/>
        </w:rPr>
        <w:t> </w:t>
      </w:r>
      <w:r>
        <w:rPr>
          <w:color w:val="0F0F0F"/>
          <w:spacing w:val="-2"/>
          <w:w w:val="105"/>
          <w:sz w:val="23"/>
        </w:rPr>
        <w:t>was</w:t>
      </w:r>
      <w:r>
        <w:rPr>
          <w:color w:val="0F0F0F"/>
          <w:spacing w:val="-8"/>
          <w:w w:val="105"/>
          <w:sz w:val="23"/>
        </w:rPr>
        <w:t> </w:t>
      </w:r>
      <w:r>
        <w:rPr>
          <w:color w:val="0F0F0F"/>
          <w:spacing w:val="-2"/>
          <w:w w:val="105"/>
          <w:sz w:val="23"/>
        </w:rPr>
        <w:t>committed to</w:t>
      </w:r>
      <w:r>
        <w:rPr>
          <w:color w:val="0F0F0F"/>
          <w:spacing w:val="-15"/>
          <w:w w:val="105"/>
          <w:sz w:val="23"/>
        </w:rPr>
        <w:t> </w:t>
      </w:r>
      <w:r>
        <w:rPr>
          <w:color w:val="0F0F0F"/>
          <w:spacing w:val="-2"/>
          <w:w w:val="105"/>
          <w:sz w:val="23"/>
        </w:rPr>
        <w:t>capital</w:t>
      </w:r>
      <w:r>
        <w:rPr>
          <w:color w:val="0F0F0F"/>
          <w:spacing w:val="-3"/>
          <w:w w:val="105"/>
          <w:sz w:val="23"/>
        </w:rPr>
        <w:t> </w:t>
      </w:r>
      <w:r>
        <w:rPr>
          <w:color w:val="0F0F0F"/>
          <w:spacing w:val="-2"/>
          <w:w w:val="105"/>
          <w:sz w:val="23"/>
        </w:rPr>
        <w:t>spending of</w:t>
      </w:r>
      <w:r>
        <w:rPr>
          <w:color w:val="0F0F0F"/>
          <w:spacing w:val="-13"/>
          <w:w w:val="105"/>
          <w:sz w:val="23"/>
        </w:rPr>
        <w:t> </w:t>
      </w:r>
      <w:r>
        <w:rPr>
          <w:color w:val="0F0F0F"/>
          <w:spacing w:val="-2"/>
          <w:w w:val="105"/>
          <w:sz w:val="23"/>
        </w:rPr>
        <w:t>£39.068m. Significant</w:t>
      </w:r>
      <w:r>
        <w:rPr>
          <w:color w:val="0F0F0F"/>
          <w:spacing w:val="-8"/>
          <w:w w:val="105"/>
          <w:sz w:val="23"/>
        </w:rPr>
        <w:t> </w:t>
      </w:r>
      <w:r>
        <w:rPr>
          <w:color w:val="0F0F0F"/>
          <w:spacing w:val="-2"/>
          <w:w w:val="105"/>
          <w:sz w:val="23"/>
        </w:rPr>
        <w:t>work</w:t>
      </w:r>
      <w:r>
        <w:rPr>
          <w:color w:val="0F0F0F"/>
          <w:spacing w:val="-11"/>
          <w:w w:val="105"/>
          <w:sz w:val="23"/>
        </w:rPr>
        <w:t> </w:t>
      </w:r>
      <w:r>
        <w:rPr>
          <w:color w:val="0F0F0F"/>
          <w:spacing w:val="-2"/>
          <w:w w:val="105"/>
          <w:sz w:val="23"/>
        </w:rPr>
        <w:t>will</w:t>
      </w:r>
      <w:r>
        <w:rPr>
          <w:color w:val="0F0F0F"/>
          <w:spacing w:val="-15"/>
          <w:w w:val="105"/>
          <w:sz w:val="23"/>
        </w:rPr>
        <w:t> </w:t>
      </w:r>
      <w:r>
        <w:rPr>
          <w:color w:val="0F0F0F"/>
          <w:spacing w:val="-2"/>
          <w:w w:val="105"/>
          <w:sz w:val="23"/>
        </w:rPr>
        <w:t>continue</w:t>
      </w:r>
      <w:r>
        <w:rPr>
          <w:color w:val="0F0F0F"/>
          <w:spacing w:val="-6"/>
          <w:w w:val="105"/>
          <w:sz w:val="23"/>
        </w:rPr>
        <w:t> </w:t>
      </w:r>
      <w:r>
        <w:rPr>
          <w:color w:val="0F0F0F"/>
          <w:spacing w:val="-2"/>
          <w:w w:val="105"/>
          <w:sz w:val="23"/>
        </w:rPr>
        <w:t>on</w:t>
      </w:r>
      <w:r>
        <w:rPr>
          <w:color w:val="0F0F0F"/>
          <w:spacing w:val="-15"/>
          <w:w w:val="105"/>
          <w:sz w:val="23"/>
        </w:rPr>
        <w:t> </w:t>
      </w:r>
      <w:r>
        <w:rPr>
          <w:color w:val="0F0F0F"/>
          <w:spacing w:val="-2"/>
          <w:w w:val="105"/>
          <w:sz w:val="23"/>
        </w:rPr>
        <w:t>a</w:t>
      </w:r>
      <w:r>
        <w:rPr>
          <w:color w:val="0F0F0F"/>
          <w:spacing w:val="-15"/>
          <w:w w:val="105"/>
          <w:sz w:val="23"/>
        </w:rPr>
        <w:t> </w:t>
      </w:r>
      <w:r>
        <w:rPr>
          <w:color w:val="0F0F0F"/>
          <w:spacing w:val="-2"/>
          <w:w w:val="105"/>
          <w:sz w:val="23"/>
        </w:rPr>
        <w:t>wide</w:t>
      </w:r>
      <w:r>
        <w:rPr>
          <w:color w:val="0F0F0F"/>
          <w:spacing w:val="-13"/>
          <w:w w:val="105"/>
          <w:sz w:val="23"/>
        </w:rPr>
        <w:t> </w:t>
      </w:r>
      <w:r>
        <w:rPr>
          <w:color w:val="0F0F0F"/>
          <w:spacing w:val="-2"/>
          <w:w w:val="105"/>
          <w:sz w:val="23"/>
        </w:rPr>
        <w:t>range</w:t>
      </w:r>
      <w:r>
        <w:rPr>
          <w:color w:val="0F0F0F"/>
          <w:spacing w:val="-15"/>
          <w:w w:val="105"/>
          <w:sz w:val="23"/>
        </w:rPr>
        <w:t> </w:t>
      </w:r>
      <w:r>
        <w:rPr>
          <w:color w:val="0F0F0F"/>
          <w:spacing w:val="-2"/>
          <w:w w:val="105"/>
          <w:sz w:val="23"/>
        </w:rPr>
        <w:t>of</w:t>
      </w:r>
      <w:r>
        <w:rPr>
          <w:color w:val="0F0F0F"/>
          <w:spacing w:val="-15"/>
          <w:w w:val="105"/>
          <w:sz w:val="23"/>
        </w:rPr>
        <w:t> </w:t>
      </w:r>
      <w:r>
        <w:rPr>
          <w:color w:val="0F0F0F"/>
          <w:spacing w:val="-2"/>
          <w:w w:val="105"/>
          <w:sz w:val="23"/>
        </w:rPr>
        <w:t>community facilities</w:t>
      </w:r>
      <w:r>
        <w:rPr>
          <w:color w:val="0F0F0F"/>
          <w:spacing w:val="-10"/>
          <w:w w:val="105"/>
          <w:sz w:val="23"/>
        </w:rPr>
        <w:t> </w:t>
      </w:r>
      <w:r>
        <w:rPr>
          <w:color w:val="0F0F0F"/>
          <w:spacing w:val="-2"/>
          <w:w w:val="105"/>
          <w:sz w:val="23"/>
        </w:rPr>
        <w:t>and</w:t>
      </w:r>
      <w:r>
        <w:rPr>
          <w:color w:val="0F0F0F"/>
          <w:spacing w:val="-9"/>
          <w:w w:val="105"/>
          <w:sz w:val="23"/>
        </w:rPr>
        <w:t> </w:t>
      </w:r>
      <w:r>
        <w:rPr>
          <w:color w:val="0F0F0F"/>
          <w:spacing w:val="-2"/>
          <w:w w:val="105"/>
          <w:sz w:val="23"/>
        </w:rPr>
        <w:t>green spaces </w:t>
      </w:r>
      <w:r>
        <w:rPr>
          <w:color w:val="0F0F0F"/>
          <w:w w:val="105"/>
          <w:sz w:val="23"/>
        </w:rPr>
        <w:t>as well as the refurbishment</w:t>
      </w:r>
      <w:r>
        <w:rPr>
          <w:color w:val="0F0F0F"/>
          <w:w w:val="105"/>
          <w:sz w:val="23"/>
        </w:rPr>
        <w:t> and development</w:t>
      </w:r>
      <w:r>
        <w:rPr>
          <w:color w:val="0F0F0F"/>
          <w:w w:val="105"/>
          <w:sz w:val="23"/>
        </w:rPr>
        <w:t> of Elstree Film</w:t>
      </w:r>
      <w:r>
        <w:rPr>
          <w:color w:val="0F0F0F"/>
          <w:w w:val="105"/>
          <w:sz w:val="23"/>
        </w:rPr>
        <w:t> Studios</w:t>
      </w:r>
      <w:r>
        <w:rPr>
          <w:color w:val="0F0F0F"/>
          <w:w w:val="105"/>
          <w:sz w:val="23"/>
        </w:rPr>
        <w:t> and housing development at Orchard Close and</w:t>
      </w:r>
      <w:r>
        <w:rPr>
          <w:color w:val="0F0F0F"/>
          <w:spacing w:val="-1"/>
          <w:w w:val="105"/>
          <w:sz w:val="23"/>
        </w:rPr>
        <w:t> </w:t>
      </w:r>
      <w:r>
        <w:rPr>
          <w:color w:val="0F0F0F"/>
          <w:w w:val="105"/>
          <w:sz w:val="23"/>
        </w:rPr>
        <w:t>St John's Church and Hall.</w:t>
      </w:r>
    </w:p>
    <w:p>
      <w:pPr>
        <w:pStyle w:val="BodyText"/>
        <w:spacing w:before="15"/>
        <w:rPr>
          <w:sz w:val="23"/>
        </w:rPr>
      </w:pPr>
    </w:p>
    <w:p>
      <w:pPr>
        <w:spacing w:before="0" w:line="249" w:lineRule="auto"/>
        <w:ind w:left="813" w:right="273" w:firstLine="10"/>
        <w:jc w:val="both"/>
        <w:rPr>
          <w:sz w:val="23"/>
        </w:rPr>
      </w:pPr>
      <w:r>
        <w:rPr>
          <w:color w:val="0F0F0F"/>
          <w:w w:val="105"/>
          <w:sz w:val="23"/>
        </w:rPr>
        <w:t>Funds</w:t>
      </w:r>
      <w:r>
        <w:rPr>
          <w:color w:val="0F0F0F"/>
          <w:spacing w:val="-17"/>
          <w:w w:val="105"/>
          <w:sz w:val="23"/>
        </w:rPr>
        <w:t> </w:t>
      </w:r>
      <w:r>
        <w:rPr>
          <w:color w:val="0F0F0F"/>
          <w:w w:val="105"/>
          <w:sz w:val="23"/>
        </w:rPr>
        <w:t>have</w:t>
      </w:r>
      <w:r>
        <w:rPr>
          <w:color w:val="0F0F0F"/>
          <w:spacing w:val="-17"/>
          <w:w w:val="105"/>
          <w:sz w:val="23"/>
        </w:rPr>
        <w:t> </w:t>
      </w:r>
      <w:r>
        <w:rPr>
          <w:color w:val="0F0F0F"/>
          <w:w w:val="105"/>
          <w:sz w:val="23"/>
        </w:rPr>
        <w:t>also</w:t>
      </w:r>
      <w:r>
        <w:rPr>
          <w:color w:val="0F0F0F"/>
          <w:spacing w:val="-17"/>
          <w:w w:val="105"/>
          <w:sz w:val="23"/>
        </w:rPr>
        <w:t> </w:t>
      </w:r>
      <w:r>
        <w:rPr>
          <w:color w:val="0F0F0F"/>
          <w:w w:val="105"/>
          <w:sz w:val="23"/>
        </w:rPr>
        <w:t>been</w:t>
      </w:r>
      <w:r>
        <w:rPr>
          <w:color w:val="0F0F0F"/>
          <w:spacing w:val="-17"/>
          <w:w w:val="105"/>
          <w:sz w:val="23"/>
        </w:rPr>
        <w:t> </w:t>
      </w:r>
      <w:r>
        <w:rPr>
          <w:color w:val="0F0F0F"/>
          <w:w w:val="105"/>
          <w:sz w:val="23"/>
        </w:rPr>
        <w:t>committed</w:t>
      </w:r>
      <w:r>
        <w:rPr>
          <w:color w:val="0F0F0F"/>
          <w:spacing w:val="-16"/>
          <w:w w:val="105"/>
          <w:sz w:val="23"/>
        </w:rPr>
        <w:t> </w:t>
      </w:r>
      <w:r>
        <w:rPr>
          <w:color w:val="0F0F0F"/>
          <w:w w:val="105"/>
          <w:sz w:val="23"/>
        </w:rPr>
        <w:t>for</w:t>
      </w:r>
      <w:r>
        <w:rPr>
          <w:color w:val="0F0F0F"/>
          <w:spacing w:val="-17"/>
          <w:w w:val="105"/>
          <w:sz w:val="23"/>
        </w:rPr>
        <w:t> </w:t>
      </w:r>
      <w:r>
        <w:rPr>
          <w:color w:val="0F0F0F"/>
          <w:w w:val="105"/>
          <w:sz w:val="23"/>
        </w:rPr>
        <w:t>further</w:t>
      </w:r>
      <w:r>
        <w:rPr>
          <w:color w:val="0F0F0F"/>
          <w:spacing w:val="-17"/>
          <w:w w:val="105"/>
          <w:sz w:val="23"/>
        </w:rPr>
        <w:t> </w:t>
      </w:r>
      <w:r>
        <w:rPr>
          <w:color w:val="0F0F0F"/>
          <w:w w:val="105"/>
          <w:sz w:val="23"/>
        </w:rPr>
        <w:t>structural</w:t>
      </w:r>
      <w:r>
        <w:rPr>
          <w:color w:val="0F0F0F"/>
          <w:spacing w:val="-17"/>
          <w:w w:val="105"/>
          <w:sz w:val="23"/>
        </w:rPr>
        <w:t> </w:t>
      </w:r>
      <w:r>
        <w:rPr>
          <w:color w:val="0F0F0F"/>
          <w:w w:val="105"/>
          <w:sz w:val="23"/>
        </w:rPr>
        <w:t>repairs</w:t>
      </w:r>
      <w:r>
        <w:rPr>
          <w:color w:val="0F0F0F"/>
          <w:spacing w:val="-16"/>
          <w:w w:val="105"/>
          <w:sz w:val="23"/>
        </w:rPr>
        <w:t> </w:t>
      </w:r>
      <w:r>
        <w:rPr>
          <w:color w:val="0F0F0F"/>
          <w:w w:val="105"/>
          <w:sz w:val="23"/>
        </w:rPr>
        <w:t>and</w:t>
      </w:r>
      <w:r>
        <w:rPr>
          <w:color w:val="0F0F0F"/>
          <w:spacing w:val="-17"/>
          <w:w w:val="105"/>
          <w:sz w:val="23"/>
        </w:rPr>
        <w:t> </w:t>
      </w:r>
      <w:r>
        <w:rPr>
          <w:color w:val="0F0F0F"/>
          <w:w w:val="105"/>
          <w:sz w:val="23"/>
        </w:rPr>
        <w:t>refurbishment</w:t>
      </w:r>
      <w:r>
        <w:rPr>
          <w:color w:val="0F0F0F"/>
          <w:spacing w:val="-17"/>
          <w:w w:val="105"/>
          <w:sz w:val="23"/>
        </w:rPr>
        <w:t> </w:t>
      </w:r>
      <w:r>
        <w:rPr>
          <w:color w:val="0F0F0F"/>
          <w:w w:val="105"/>
          <w:sz w:val="23"/>
        </w:rPr>
        <w:t>of</w:t>
      </w:r>
      <w:r>
        <w:rPr>
          <w:color w:val="0F0F0F"/>
          <w:spacing w:val="-17"/>
          <w:w w:val="105"/>
          <w:sz w:val="23"/>
        </w:rPr>
        <w:t> </w:t>
      </w:r>
      <w:r>
        <w:rPr>
          <w:color w:val="0F0F0F"/>
          <w:w w:val="105"/>
          <w:sz w:val="23"/>
        </w:rPr>
        <w:t>the Council's</w:t>
      </w:r>
      <w:r>
        <w:rPr>
          <w:color w:val="0F0F0F"/>
          <w:w w:val="105"/>
          <w:sz w:val="23"/>
        </w:rPr>
        <w:t> many</w:t>
      </w:r>
      <w:r>
        <w:rPr>
          <w:color w:val="0F0F0F"/>
          <w:w w:val="105"/>
          <w:sz w:val="23"/>
        </w:rPr>
        <w:t> properties</w:t>
      </w:r>
      <w:r>
        <w:rPr>
          <w:color w:val="0F0F0F"/>
          <w:w w:val="105"/>
          <w:sz w:val="23"/>
        </w:rPr>
        <w:t> and</w:t>
      </w:r>
      <w:r>
        <w:rPr>
          <w:color w:val="0F0F0F"/>
          <w:w w:val="105"/>
          <w:sz w:val="23"/>
        </w:rPr>
        <w:t> further</w:t>
      </w:r>
      <w:r>
        <w:rPr>
          <w:color w:val="0F0F0F"/>
          <w:w w:val="105"/>
          <w:sz w:val="23"/>
        </w:rPr>
        <w:t> investment</w:t>
      </w:r>
      <w:r>
        <w:rPr>
          <w:color w:val="0F0F0F"/>
          <w:w w:val="105"/>
          <w:sz w:val="23"/>
        </w:rPr>
        <w:t> in</w:t>
      </w:r>
      <w:r>
        <w:rPr>
          <w:color w:val="0F0F0F"/>
          <w:w w:val="105"/>
          <w:sz w:val="23"/>
        </w:rPr>
        <w:t> the</w:t>
      </w:r>
      <w:r>
        <w:rPr>
          <w:color w:val="0F0F0F"/>
          <w:w w:val="105"/>
          <w:sz w:val="23"/>
        </w:rPr>
        <w:t> Council's</w:t>
      </w:r>
      <w:r>
        <w:rPr>
          <w:color w:val="0F0F0F"/>
          <w:w w:val="105"/>
          <w:sz w:val="23"/>
        </w:rPr>
        <w:t> wholly</w:t>
      </w:r>
      <w:r>
        <w:rPr>
          <w:color w:val="0F0F0F"/>
          <w:w w:val="105"/>
          <w:sz w:val="23"/>
        </w:rPr>
        <w:t> owned property</w:t>
      </w:r>
      <w:r>
        <w:rPr>
          <w:color w:val="0F0F0F"/>
          <w:spacing w:val="-17"/>
          <w:w w:val="105"/>
          <w:sz w:val="23"/>
        </w:rPr>
        <w:t> </w:t>
      </w:r>
      <w:r>
        <w:rPr>
          <w:color w:val="0F0F0F"/>
          <w:w w:val="105"/>
          <w:sz w:val="23"/>
        </w:rPr>
        <w:t>development</w:t>
      </w:r>
      <w:r>
        <w:rPr>
          <w:color w:val="0F0F0F"/>
          <w:spacing w:val="-12"/>
          <w:w w:val="105"/>
          <w:sz w:val="23"/>
        </w:rPr>
        <w:t> </w:t>
      </w:r>
      <w:r>
        <w:rPr>
          <w:color w:val="0F0F0F"/>
          <w:w w:val="105"/>
          <w:sz w:val="23"/>
        </w:rPr>
        <w:t>company,</w:t>
      </w:r>
      <w:r>
        <w:rPr>
          <w:color w:val="0F0F0F"/>
          <w:spacing w:val="-2"/>
          <w:w w:val="105"/>
          <w:sz w:val="23"/>
        </w:rPr>
        <w:t> </w:t>
      </w:r>
      <w:r>
        <w:rPr>
          <w:color w:val="0F0F0F"/>
          <w:w w:val="105"/>
          <w:sz w:val="23"/>
        </w:rPr>
        <w:t>Hertsmere</w:t>
      </w:r>
      <w:r>
        <w:rPr>
          <w:color w:val="0F0F0F"/>
          <w:spacing w:val="-15"/>
          <w:w w:val="105"/>
          <w:sz w:val="23"/>
        </w:rPr>
        <w:t> </w:t>
      </w:r>
      <w:r>
        <w:rPr>
          <w:color w:val="0F0F0F"/>
          <w:w w:val="105"/>
          <w:sz w:val="23"/>
        </w:rPr>
        <w:t>Developments</w:t>
      </w:r>
      <w:r>
        <w:rPr>
          <w:color w:val="0F0F0F"/>
          <w:spacing w:val="-2"/>
          <w:w w:val="105"/>
          <w:sz w:val="23"/>
        </w:rPr>
        <w:t> </w:t>
      </w:r>
      <w:r>
        <w:rPr>
          <w:color w:val="0F0F0F"/>
          <w:w w:val="105"/>
          <w:sz w:val="23"/>
        </w:rPr>
        <w:t>Limited,</w:t>
      </w:r>
      <w:r>
        <w:rPr>
          <w:color w:val="0F0F0F"/>
          <w:spacing w:val="-14"/>
          <w:w w:val="105"/>
          <w:sz w:val="23"/>
        </w:rPr>
        <w:t> </w:t>
      </w:r>
      <w:r>
        <w:rPr>
          <w:color w:val="0F0F0F"/>
          <w:w w:val="105"/>
          <w:sz w:val="23"/>
        </w:rPr>
        <w:t>for</w:t>
      </w:r>
      <w:r>
        <w:rPr>
          <w:color w:val="0F0F0F"/>
          <w:spacing w:val="-17"/>
          <w:w w:val="105"/>
          <w:sz w:val="23"/>
        </w:rPr>
        <w:t> </w:t>
      </w:r>
      <w:r>
        <w:rPr>
          <w:color w:val="262626"/>
          <w:w w:val="105"/>
          <w:sz w:val="23"/>
        </w:rPr>
        <w:t>the</w:t>
      </w:r>
      <w:r>
        <w:rPr>
          <w:color w:val="262626"/>
          <w:spacing w:val="-17"/>
          <w:w w:val="105"/>
          <w:sz w:val="23"/>
        </w:rPr>
        <w:t> </w:t>
      </w:r>
      <w:r>
        <w:rPr>
          <w:color w:val="262626"/>
          <w:w w:val="105"/>
          <w:sz w:val="23"/>
        </w:rPr>
        <w:t>purpose</w:t>
      </w:r>
      <w:r>
        <w:rPr>
          <w:color w:val="262626"/>
          <w:spacing w:val="-11"/>
          <w:w w:val="105"/>
          <w:sz w:val="23"/>
        </w:rPr>
        <w:t> </w:t>
      </w:r>
      <w:r>
        <w:rPr>
          <w:color w:val="0F0F0F"/>
          <w:w w:val="105"/>
          <w:sz w:val="23"/>
        </w:rPr>
        <w:t>of housing provision</w:t>
      </w:r>
      <w:r>
        <w:rPr>
          <w:color w:val="0F0F0F"/>
          <w:w w:val="105"/>
          <w:sz w:val="23"/>
        </w:rPr>
        <w:t> and revenue generation,</w:t>
      </w:r>
      <w:r>
        <w:rPr>
          <w:color w:val="0F0F0F"/>
          <w:w w:val="105"/>
          <w:sz w:val="23"/>
        </w:rPr>
        <w:t> to promote mixed use development</w:t>
      </w:r>
      <w:r>
        <w:rPr>
          <w:color w:val="0F0F0F"/>
          <w:w w:val="105"/>
          <w:sz w:val="23"/>
        </w:rPr>
        <w:t> and utilisation of council owned surplus sites.</w:t>
      </w:r>
    </w:p>
    <w:p>
      <w:pPr>
        <w:pStyle w:val="BodyText"/>
        <w:rPr>
          <w:sz w:val="23"/>
        </w:rPr>
      </w:pPr>
    </w:p>
    <w:p>
      <w:pPr>
        <w:pStyle w:val="BodyText"/>
        <w:spacing w:before="27"/>
        <w:rPr>
          <w:sz w:val="23"/>
        </w:rPr>
      </w:pPr>
    </w:p>
    <w:p>
      <w:pPr>
        <w:spacing w:before="0"/>
        <w:ind w:left="801" w:right="0" w:firstLine="0"/>
        <w:jc w:val="both"/>
        <w:rPr>
          <w:b/>
          <w:sz w:val="23"/>
        </w:rPr>
      </w:pPr>
      <w:r>
        <w:rPr>
          <w:b/>
          <w:color w:val="0F0F0F"/>
          <w:w w:val="105"/>
          <w:sz w:val="23"/>
          <w:u w:val="thick" w:color="0F0F0F"/>
        </w:rPr>
        <w:t>Pension</w:t>
      </w:r>
      <w:r>
        <w:rPr>
          <w:b/>
          <w:color w:val="0F0F0F"/>
          <w:spacing w:val="1"/>
          <w:w w:val="105"/>
          <w:sz w:val="23"/>
          <w:u w:val="thick" w:color="0F0F0F"/>
        </w:rPr>
        <w:t> </w:t>
      </w:r>
      <w:r>
        <w:rPr>
          <w:b/>
          <w:color w:val="0F0F0F"/>
          <w:w w:val="105"/>
          <w:sz w:val="23"/>
          <w:u w:val="thick" w:color="0F0F0F"/>
        </w:rPr>
        <w:t>fund</w:t>
      </w:r>
      <w:r>
        <w:rPr>
          <w:b/>
          <w:color w:val="0F0F0F"/>
          <w:spacing w:val="-7"/>
          <w:w w:val="105"/>
          <w:sz w:val="23"/>
          <w:u w:val="thick" w:color="0F0F0F"/>
        </w:rPr>
        <w:t> </w:t>
      </w:r>
      <w:r>
        <w:rPr>
          <w:b/>
          <w:color w:val="0F0F0F"/>
          <w:spacing w:val="-2"/>
          <w:w w:val="105"/>
          <w:sz w:val="23"/>
          <w:u w:val="thick" w:color="0F0F0F"/>
        </w:rPr>
        <w:t>liability</w:t>
      </w:r>
    </w:p>
    <w:p>
      <w:pPr>
        <w:pStyle w:val="BodyText"/>
        <w:spacing w:before="29"/>
        <w:rPr>
          <w:b/>
          <w:sz w:val="23"/>
        </w:rPr>
      </w:pPr>
    </w:p>
    <w:p>
      <w:pPr>
        <w:spacing w:before="0" w:line="249" w:lineRule="auto"/>
        <w:ind w:left="789" w:right="300" w:firstLine="4"/>
        <w:jc w:val="both"/>
        <w:rPr>
          <w:sz w:val="23"/>
        </w:rPr>
      </w:pPr>
      <w:r>
        <w:rPr>
          <w:color w:val="0F0F0F"/>
          <w:w w:val="105"/>
          <w:sz w:val="23"/>
        </w:rPr>
        <w:t>The</w:t>
      </w:r>
      <w:r>
        <w:rPr>
          <w:color w:val="0F0F0F"/>
          <w:spacing w:val="-6"/>
          <w:w w:val="105"/>
          <w:sz w:val="23"/>
        </w:rPr>
        <w:t> </w:t>
      </w:r>
      <w:r>
        <w:rPr>
          <w:color w:val="0F0F0F"/>
          <w:w w:val="105"/>
          <w:sz w:val="23"/>
        </w:rPr>
        <w:t>Council's net</w:t>
      </w:r>
      <w:r>
        <w:rPr>
          <w:color w:val="0F0F0F"/>
          <w:spacing w:val="-17"/>
          <w:w w:val="105"/>
          <w:sz w:val="23"/>
        </w:rPr>
        <w:t> </w:t>
      </w:r>
      <w:r>
        <w:rPr>
          <w:color w:val="0F0F0F"/>
          <w:w w:val="105"/>
          <w:sz w:val="23"/>
        </w:rPr>
        <w:t>pension</w:t>
      </w:r>
      <w:r>
        <w:rPr>
          <w:color w:val="0F0F0F"/>
          <w:spacing w:val="-7"/>
          <w:w w:val="105"/>
          <w:sz w:val="23"/>
        </w:rPr>
        <w:t> </w:t>
      </w:r>
      <w:r>
        <w:rPr>
          <w:color w:val="0F0F0F"/>
          <w:w w:val="105"/>
          <w:sz w:val="23"/>
        </w:rPr>
        <w:t>fund</w:t>
      </w:r>
      <w:r>
        <w:rPr>
          <w:color w:val="0F0F0F"/>
          <w:spacing w:val="-15"/>
          <w:w w:val="105"/>
          <w:sz w:val="23"/>
        </w:rPr>
        <w:t> </w:t>
      </w:r>
      <w:r>
        <w:rPr>
          <w:color w:val="0F0F0F"/>
          <w:w w:val="105"/>
          <w:sz w:val="23"/>
        </w:rPr>
        <w:t>deficit</w:t>
      </w:r>
      <w:r>
        <w:rPr>
          <w:color w:val="0F0F0F"/>
          <w:spacing w:val="-9"/>
          <w:w w:val="105"/>
          <w:sz w:val="23"/>
        </w:rPr>
        <w:t> </w:t>
      </w:r>
      <w:r>
        <w:rPr>
          <w:color w:val="0F0F0F"/>
          <w:w w:val="105"/>
          <w:sz w:val="23"/>
        </w:rPr>
        <w:t>has</w:t>
      </w:r>
      <w:r>
        <w:rPr>
          <w:color w:val="0F0F0F"/>
          <w:spacing w:val="-12"/>
          <w:w w:val="105"/>
          <w:sz w:val="23"/>
        </w:rPr>
        <w:t> </w:t>
      </w:r>
      <w:r>
        <w:rPr>
          <w:color w:val="0F0F0F"/>
          <w:w w:val="105"/>
          <w:sz w:val="23"/>
        </w:rPr>
        <w:t>decreased</w:t>
      </w:r>
      <w:r>
        <w:rPr>
          <w:color w:val="0F0F0F"/>
          <w:spacing w:val="-8"/>
          <w:w w:val="105"/>
          <w:sz w:val="23"/>
        </w:rPr>
        <w:t> </w:t>
      </w:r>
      <w:r>
        <w:rPr>
          <w:color w:val="0F0F0F"/>
          <w:w w:val="105"/>
          <w:sz w:val="23"/>
        </w:rPr>
        <w:t>by</w:t>
      </w:r>
      <w:r>
        <w:rPr>
          <w:color w:val="0F0F0F"/>
          <w:spacing w:val="-7"/>
          <w:w w:val="105"/>
          <w:sz w:val="23"/>
        </w:rPr>
        <w:t> </w:t>
      </w:r>
      <w:r>
        <w:rPr>
          <w:color w:val="0F0F0F"/>
          <w:w w:val="105"/>
          <w:sz w:val="23"/>
        </w:rPr>
        <w:t>£29</w:t>
      </w:r>
      <w:r>
        <w:rPr>
          <w:color w:val="464646"/>
          <w:w w:val="105"/>
          <w:sz w:val="23"/>
        </w:rPr>
        <w:t>.</w:t>
      </w:r>
      <w:r>
        <w:rPr>
          <w:color w:val="0F0F0F"/>
          <w:w w:val="105"/>
          <w:sz w:val="23"/>
        </w:rPr>
        <w:t>689m</w:t>
      </w:r>
      <w:r>
        <w:rPr>
          <w:color w:val="0F0F0F"/>
          <w:spacing w:val="-3"/>
          <w:w w:val="105"/>
          <w:sz w:val="23"/>
        </w:rPr>
        <w:t> </w:t>
      </w:r>
      <w:r>
        <w:rPr>
          <w:color w:val="0F0F0F"/>
          <w:w w:val="105"/>
          <w:sz w:val="23"/>
        </w:rPr>
        <w:t>over</w:t>
      </w:r>
      <w:r>
        <w:rPr>
          <w:color w:val="0F0F0F"/>
          <w:spacing w:val="-3"/>
          <w:w w:val="105"/>
          <w:sz w:val="23"/>
        </w:rPr>
        <w:t> </w:t>
      </w:r>
      <w:r>
        <w:rPr>
          <w:color w:val="0F0F0F"/>
          <w:w w:val="105"/>
          <w:sz w:val="23"/>
        </w:rPr>
        <w:t>the</w:t>
      </w:r>
      <w:r>
        <w:rPr>
          <w:color w:val="0F0F0F"/>
          <w:spacing w:val="-7"/>
          <w:w w:val="105"/>
          <w:sz w:val="23"/>
        </w:rPr>
        <w:t> </w:t>
      </w:r>
      <w:r>
        <w:rPr>
          <w:color w:val="0F0F0F"/>
          <w:w w:val="105"/>
          <w:sz w:val="23"/>
        </w:rPr>
        <w:t>last</w:t>
      </w:r>
      <w:r>
        <w:rPr>
          <w:color w:val="0F0F0F"/>
          <w:spacing w:val="-9"/>
          <w:w w:val="105"/>
          <w:sz w:val="23"/>
        </w:rPr>
        <w:t> </w:t>
      </w:r>
      <w:r>
        <w:rPr>
          <w:color w:val="0F0F0F"/>
          <w:w w:val="105"/>
          <w:sz w:val="23"/>
        </w:rPr>
        <w:t>year, from</w:t>
      </w:r>
      <w:r>
        <w:rPr>
          <w:color w:val="0F0F0F"/>
          <w:w w:val="105"/>
          <w:sz w:val="23"/>
        </w:rPr>
        <w:t> £40</w:t>
      </w:r>
      <w:r>
        <w:rPr>
          <w:color w:val="464646"/>
          <w:w w:val="105"/>
          <w:sz w:val="23"/>
        </w:rPr>
        <w:t>.</w:t>
      </w:r>
      <w:r>
        <w:rPr>
          <w:color w:val="0F0F0F"/>
          <w:w w:val="105"/>
          <w:sz w:val="23"/>
        </w:rPr>
        <w:t>326m</w:t>
      </w:r>
      <w:r>
        <w:rPr>
          <w:color w:val="0F0F0F"/>
          <w:w w:val="105"/>
          <w:sz w:val="23"/>
        </w:rPr>
        <w:t> to</w:t>
      </w:r>
      <w:r>
        <w:rPr>
          <w:color w:val="0F0F0F"/>
          <w:w w:val="105"/>
          <w:sz w:val="23"/>
        </w:rPr>
        <w:t> £10.637m</w:t>
      </w:r>
      <w:r>
        <w:rPr>
          <w:color w:val="0F0F0F"/>
          <w:w w:val="105"/>
          <w:sz w:val="23"/>
        </w:rPr>
        <w:t> due</w:t>
      </w:r>
      <w:r>
        <w:rPr>
          <w:color w:val="0F0F0F"/>
          <w:w w:val="105"/>
          <w:sz w:val="23"/>
        </w:rPr>
        <w:t> mainly</w:t>
      </w:r>
      <w:r>
        <w:rPr>
          <w:color w:val="0F0F0F"/>
          <w:w w:val="105"/>
          <w:sz w:val="23"/>
        </w:rPr>
        <w:t> to</w:t>
      </w:r>
      <w:r>
        <w:rPr>
          <w:color w:val="0F0F0F"/>
          <w:w w:val="105"/>
          <w:sz w:val="23"/>
        </w:rPr>
        <w:t> the</w:t>
      </w:r>
      <w:r>
        <w:rPr>
          <w:color w:val="0F0F0F"/>
          <w:w w:val="105"/>
          <w:sz w:val="23"/>
        </w:rPr>
        <w:t> re-measurement</w:t>
      </w:r>
      <w:r>
        <w:rPr>
          <w:color w:val="0F0F0F"/>
          <w:w w:val="105"/>
          <w:sz w:val="23"/>
        </w:rPr>
        <w:t> of</w:t>
      </w:r>
      <w:r>
        <w:rPr>
          <w:color w:val="0F0F0F"/>
          <w:w w:val="105"/>
          <w:sz w:val="23"/>
        </w:rPr>
        <w:t> the</w:t>
      </w:r>
      <w:r>
        <w:rPr>
          <w:color w:val="0F0F0F"/>
          <w:w w:val="105"/>
          <w:sz w:val="23"/>
        </w:rPr>
        <w:t> net</w:t>
      </w:r>
      <w:r>
        <w:rPr>
          <w:color w:val="0F0F0F"/>
          <w:w w:val="105"/>
          <w:sz w:val="23"/>
        </w:rPr>
        <w:t> liability which is detailed in the table below:</w:t>
      </w:r>
    </w:p>
    <w:p>
      <w:pPr>
        <w:pStyle w:val="BodyText"/>
        <w:spacing w:before="10"/>
        <w:rPr>
          <w:sz w:val="15"/>
        </w:rPr>
      </w:pPr>
    </w:p>
    <w:p>
      <w:pPr>
        <w:spacing w:after="0"/>
        <w:rPr>
          <w:sz w:val="15"/>
        </w:rPr>
        <w:sectPr>
          <w:pgSz w:w="11910" w:h="16830"/>
          <w:pgMar w:top="740" w:right="920" w:bottom="500" w:left="840" w:header="559" w:footer="308"/>
        </w:sectPr>
      </w:pPr>
    </w:p>
    <w:p>
      <w:pPr>
        <w:spacing w:before="98"/>
        <w:ind w:left="887" w:right="0" w:firstLine="0"/>
        <w:jc w:val="left"/>
        <w:rPr>
          <w:sz w:val="23"/>
        </w:rPr>
      </w:pPr>
      <w:r>
        <w:rPr>
          <w:color w:val="0F0F0F"/>
          <w:w w:val="105"/>
          <w:sz w:val="23"/>
        </w:rPr>
        <w:t>Return</w:t>
      </w:r>
      <w:r>
        <w:rPr>
          <w:color w:val="0F0F0F"/>
          <w:spacing w:val="4"/>
          <w:w w:val="105"/>
          <w:sz w:val="23"/>
        </w:rPr>
        <w:t> </w:t>
      </w:r>
      <w:r>
        <w:rPr>
          <w:color w:val="0F0F0F"/>
          <w:w w:val="105"/>
          <w:sz w:val="23"/>
        </w:rPr>
        <w:t>on</w:t>
      </w:r>
      <w:r>
        <w:rPr>
          <w:color w:val="0F0F0F"/>
          <w:spacing w:val="-5"/>
          <w:w w:val="105"/>
          <w:sz w:val="23"/>
        </w:rPr>
        <w:t> </w:t>
      </w:r>
      <w:r>
        <w:rPr>
          <w:color w:val="0F0F0F"/>
          <w:w w:val="105"/>
          <w:sz w:val="23"/>
        </w:rPr>
        <w:t>plan</w:t>
      </w:r>
      <w:r>
        <w:rPr>
          <w:color w:val="0F0F0F"/>
          <w:spacing w:val="-10"/>
          <w:w w:val="105"/>
          <w:sz w:val="23"/>
        </w:rPr>
        <w:t> </w:t>
      </w:r>
      <w:r>
        <w:rPr>
          <w:color w:val="0F0F0F"/>
          <w:spacing w:val="-2"/>
          <w:w w:val="105"/>
          <w:sz w:val="23"/>
        </w:rPr>
        <w:t>assets</w:t>
      </w:r>
    </w:p>
    <w:p>
      <w:pPr>
        <w:spacing w:before="14" w:line="249" w:lineRule="auto"/>
        <w:ind w:left="879" w:right="0" w:firstLine="6"/>
        <w:jc w:val="left"/>
        <w:rPr>
          <w:sz w:val="23"/>
        </w:rPr>
      </w:pPr>
      <w:r>
        <w:rPr>
          <w:color w:val="0F0F0F"/>
          <w:w w:val="105"/>
          <w:sz w:val="23"/>
        </w:rPr>
        <w:t>Actuarial gain on changes in financial assumptions Actuarial</w:t>
      </w:r>
      <w:r>
        <w:rPr>
          <w:color w:val="0F0F0F"/>
          <w:spacing w:val="-12"/>
          <w:w w:val="105"/>
          <w:sz w:val="23"/>
        </w:rPr>
        <w:t> </w:t>
      </w:r>
      <w:r>
        <w:rPr>
          <w:color w:val="0F0F0F"/>
          <w:w w:val="105"/>
          <w:sz w:val="23"/>
        </w:rPr>
        <w:t>gain</w:t>
      </w:r>
      <w:r>
        <w:rPr>
          <w:color w:val="0F0F0F"/>
          <w:spacing w:val="-12"/>
          <w:w w:val="105"/>
          <w:sz w:val="23"/>
        </w:rPr>
        <w:t> </w:t>
      </w:r>
      <w:r>
        <w:rPr>
          <w:color w:val="0F0F0F"/>
          <w:w w:val="105"/>
          <w:sz w:val="23"/>
        </w:rPr>
        <w:t>on</w:t>
      </w:r>
      <w:r>
        <w:rPr>
          <w:color w:val="0F0F0F"/>
          <w:spacing w:val="-12"/>
          <w:w w:val="105"/>
          <w:sz w:val="23"/>
        </w:rPr>
        <w:t> </w:t>
      </w:r>
      <w:r>
        <w:rPr>
          <w:color w:val="0F0F0F"/>
          <w:w w:val="105"/>
          <w:sz w:val="23"/>
        </w:rPr>
        <w:t>changes</w:t>
      </w:r>
      <w:r>
        <w:rPr>
          <w:color w:val="0F0F0F"/>
          <w:spacing w:val="-3"/>
          <w:w w:val="105"/>
          <w:sz w:val="23"/>
        </w:rPr>
        <w:t> </w:t>
      </w:r>
      <w:r>
        <w:rPr>
          <w:color w:val="0F0F0F"/>
          <w:w w:val="105"/>
          <w:sz w:val="23"/>
        </w:rPr>
        <w:t>in</w:t>
      </w:r>
      <w:r>
        <w:rPr>
          <w:color w:val="0F0F0F"/>
          <w:spacing w:val="-17"/>
          <w:w w:val="105"/>
          <w:sz w:val="23"/>
        </w:rPr>
        <w:t> </w:t>
      </w:r>
      <w:r>
        <w:rPr>
          <w:color w:val="0F0F0F"/>
          <w:w w:val="105"/>
          <w:sz w:val="23"/>
        </w:rPr>
        <w:t>demographic assumptions Other experience losses</w:t>
      </w:r>
    </w:p>
    <w:p>
      <w:pPr>
        <w:spacing w:before="11"/>
        <w:ind w:left="873" w:right="0" w:firstLine="0"/>
        <w:jc w:val="left"/>
        <w:rPr>
          <w:b/>
          <w:sz w:val="23"/>
        </w:rPr>
      </w:pPr>
      <w:r>
        <w:rPr>
          <w:b/>
          <w:color w:val="0F0F0F"/>
          <w:spacing w:val="-2"/>
          <w:w w:val="105"/>
          <w:sz w:val="23"/>
        </w:rPr>
        <w:t>Re-measurements</w:t>
      </w:r>
      <w:r>
        <w:rPr>
          <w:b/>
          <w:color w:val="0F0F0F"/>
          <w:spacing w:val="-3"/>
          <w:w w:val="105"/>
          <w:sz w:val="23"/>
        </w:rPr>
        <w:t> </w:t>
      </w:r>
      <w:r>
        <w:rPr>
          <w:b/>
          <w:color w:val="0F0F0F"/>
          <w:spacing w:val="-2"/>
          <w:w w:val="105"/>
          <w:sz w:val="23"/>
        </w:rPr>
        <w:t>of</w:t>
      </w:r>
      <w:r>
        <w:rPr>
          <w:b/>
          <w:color w:val="0F0F0F"/>
          <w:spacing w:val="-17"/>
          <w:w w:val="105"/>
          <w:sz w:val="23"/>
        </w:rPr>
        <w:t> </w:t>
      </w:r>
      <w:r>
        <w:rPr>
          <w:b/>
          <w:color w:val="0F0F0F"/>
          <w:spacing w:val="-2"/>
          <w:w w:val="105"/>
          <w:sz w:val="23"/>
        </w:rPr>
        <w:t>the</w:t>
      </w:r>
      <w:r>
        <w:rPr>
          <w:b/>
          <w:color w:val="0F0F0F"/>
          <w:spacing w:val="-6"/>
          <w:w w:val="105"/>
          <w:sz w:val="23"/>
        </w:rPr>
        <w:t> </w:t>
      </w:r>
      <w:r>
        <w:rPr>
          <w:b/>
          <w:color w:val="0F0F0F"/>
          <w:spacing w:val="-2"/>
          <w:w w:val="105"/>
          <w:sz w:val="23"/>
        </w:rPr>
        <w:t>net</w:t>
      </w:r>
      <w:r>
        <w:rPr>
          <w:b/>
          <w:color w:val="0F0F0F"/>
          <w:spacing w:val="-15"/>
          <w:w w:val="105"/>
          <w:sz w:val="23"/>
        </w:rPr>
        <w:t> </w:t>
      </w:r>
      <w:r>
        <w:rPr>
          <w:b/>
          <w:color w:val="0F0F0F"/>
          <w:spacing w:val="-2"/>
          <w:w w:val="105"/>
          <w:sz w:val="23"/>
        </w:rPr>
        <w:t>pension</w:t>
      </w:r>
      <w:r>
        <w:rPr>
          <w:b/>
          <w:color w:val="0F0F0F"/>
          <w:spacing w:val="3"/>
          <w:w w:val="105"/>
          <w:sz w:val="23"/>
        </w:rPr>
        <w:t> </w:t>
      </w:r>
      <w:r>
        <w:rPr>
          <w:b/>
          <w:color w:val="0F0F0F"/>
          <w:spacing w:val="-2"/>
          <w:w w:val="105"/>
          <w:sz w:val="23"/>
        </w:rPr>
        <w:t>liability</w:t>
      </w:r>
      <w:r>
        <w:rPr>
          <w:b/>
          <w:color w:val="0F0F0F"/>
          <w:spacing w:val="1"/>
          <w:w w:val="105"/>
          <w:sz w:val="23"/>
        </w:rPr>
        <w:t> </w:t>
      </w:r>
      <w:r>
        <w:rPr>
          <w:b/>
          <w:color w:val="0F0F0F"/>
          <w:spacing w:val="-2"/>
          <w:w w:val="105"/>
          <w:sz w:val="23"/>
        </w:rPr>
        <w:t>(decrease)</w:t>
      </w:r>
    </w:p>
    <w:p>
      <w:pPr>
        <w:spacing w:before="93" w:line="252" w:lineRule="auto"/>
        <w:ind w:left="1254" w:right="429" w:firstLine="160"/>
        <w:jc w:val="both"/>
        <w:rPr>
          <w:sz w:val="23"/>
        </w:rPr>
      </w:pPr>
      <w:r>
        <w:rPr/>
        <w:br w:type="column"/>
      </w:r>
      <w:r>
        <w:rPr>
          <w:color w:val="0F0F0F"/>
          <w:spacing w:val="-2"/>
          <w:sz w:val="23"/>
        </w:rPr>
        <w:t>£10.749m (£50.714m) (£1.044m)</w:t>
      </w:r>
    </w:p>
    <w:p>
      <w:pPr>
        <w:tabs>
          <w:tab w:val="left" w:leader="none" w:pos="1544"/>
        </w:tabs>
        <w:spacing w:before="0" w:line="263" w:lineRule="exact"/>
        <w:ind w:left="71" w:right="0" w:firstLine="0"/>
        <w:jc w:val="both"/>
        <w:rPr>
          <w:sz w:val="23"/>
        </w:rPr>
      </w:pPr>
      <w:r>
        <w:rPr>
          <w:color w:val="0F0F0F"/>
          <w:sz w:val="23"/>
          <w:u w:val="single" w:color="000000"/>
        </w:rPr>
        <w:tab/>
      </w:r>
      <w:r>
        <w:rPr>
          <w:color w:val="0F0F0F"/>
          <w:spacing w:val="-2"/>
          <w:sz w:val="23"/>
          <w:u w:val="single" w:color="000000"/>
        </w:rPr>
        <w:t>£8.712m</w:t>
      </w:r>
      <w:r>
        <w:rPr>
          <w:color w:val="0F0F0F"/>
          <w:spacing w:val="80"/>
          <w:sz w:val="23"/>
          <w:u w:val="single" w:color="000000"/>
        </w:rPr>
        <w:t> </w:t>
      </w:r>
    </w:p>
    <w:p>
      <w:pPr>
        <w:spacing w:before="24"/>
        <w:ind w:left="1228" w:right="0" w:firstLine="0"/>
        <w:jc w:val="left"/>
        <w:rPr>
          <w:b/>
          <w:sz w:val="23"/>
        </w:rPr>
      </w:pPr>
      <w:r>
        <w:rPr>
          <w:b/>
          <w:color w:val="0F0F0F"/>
          <w:spacing w:val="-2"/>
          <w:w w:val="105"/>
          <w:sz w:val="23"/>
        </w:rPr>
        <w:t>(£32.297m)</w:t>
      </w:r>
    </w:p>
    <w:p>
      <w:pPr>
        <w:spacing w:after="0"/>
        <w:jc w:val="left"/>
        <w:rPr>
          <w:sz w:val="23"/>
        </w:rPr>
        <w:sectPr>
          <w:type w:val="continuous"/>
          <w:pgSz w:w="11910" w:h="16830"/>
          <w:pgMar w:top="1940" w:right="920" w:bottom="280" w:left="840" w:header="559" w:footer="308"/>
          <w:cols w:equalWidth="0" w:num="2">
            <w:col w:w="7203" w:space="40"/>
            <w:col w:w="2907"/>
          </w:cols>
        </w:sectPr>
      </w:pPr>
    </w:p>
    <w:p>
      <w:pPr>
        <w:pStyle w:val="BodyText"/>
        <w:spacing w:before="23"/>
        <w:rPr>
          <w:b/>
          <w:sz w:val="23"/>
        </w:rPr>
      </w:pPr>
    </w:p>
    <w:p>
      <w:pPr>
        <w:spacing w:before="0" w:line="252" w:lineRule="auto"/>
        <w:ind w:left="742" w:right="313" w:firstLine="17"/>
        <w:jc w:val="both"/>
        <w:rPr>
          <w:sz w:val="23"/>
        </w:rPr>
      </w:pPr>
      <w:r>
        <w:rPr>
          <w:color w:val="0F0F0F"/>
          <w:w w:val="105"/>
          <w:sz w:val="23"/>
        </w:rPr>
        <w:t>The</w:t>
      </w:r>
      <w:r>
        <w:rPr>
          <w:color w:val="0F0F0F"/>
          <w:spacing w:val="-16"/>
          <w:w w:val="105"/>
          <w:sz w:val="23"/>
        </w:rPr>
        <w:t> </w:t>
      </w:r>
      <w:r>
        <w:rPr>
          <w:color w:val="0F0F0F"/>
          <w:w w:val="105"/>
          <w:sz w:val="23"/>
        </w:rPr>
        <w:t>value</w:t>
      </w:r>
      <w:r>
        <w:rPr>
          <w:color w:val="0F0F0F"/>
          <w:spacing w:val="-12"/>
          <w:w w:val="105"/>
          <w:sz w:val="23"/>
        </w:rPr>
        <w:t> </w:t>
      </w:r>
      <w:r>
        <w:rPr>
          <w:color w:val="0F0F0F"/>
          <w:w w:val="105"/>
          <w:sz w:val="23"/>
        </w:rPr>
        <w:t>of</w:t>
      </w:r>
      <w:r>
        <w:rPr>
          <w:color w:val="0F0F0F"/>
          <w:spacing w:val="-17"/>
          <w:w w:val="105"/>
          <w:sz w:val="23"/>
        </w:rPr>
        <w:t> </w:t>
      </w:r>
      <w:r>
        <w:rPr>
          <w:color w:val="0F0F0F"/>
          <w:w w:val="105"/>
          <w:sz w:val="23"/>
        </w:rPr>
        <w:t>assets</w:t>
      </w:r>
      <w:r>
        <w:rPr>
          <w:color w:val="0F0F0F"/>
          <w:spacing w:val="-11"/>
          <w:w w:val="105"/>
          <w:sz w:val="23"/>
        </w:rPr>
        <w:t> </w:t>
      </w:r>
      <w:r>
        <w:rPr>
          <w:color w:val="0F0F0F"/>
          <w:w w:val="105"/>
          <w:sz w:val="23"/>
        </w:rPr>
        <w:t>held</w:t>
      </w:r>
      <w:r>
        <w:rPr>
          <w:color w:val="0F0F0F"/>
          <w:spacing w:val="-12"/>
          <w:w w:val="105"/>
          <w:sz w:val="23"/>
        </w:rPr>
        <w:t> </w:t>
      </w:r>
      <w:r>
        <w:rPr>
          <w:color w:val="0F0F0F"/>
          <w:w w:val="105"/>
          <w:sz w:val="23"/>
        </w:rPr>
        <w:t>within</w:t>
      </w:r>
      <w:r>
        <w:rPr>
          <w:color w:val="0F0F0F"/>
          <w:spacing w:val="-12"/>
          <w:w w:val="105"/>
          <w:sz w:val="23"/>
        </w:rPr>
        <w:t> </w:t>
      </w:r>
      <w:r>
        <w:rPr>
          <w:color w:val="0F0F0F"/>
          <w:w w:val="105"/>
          <w:sz w:val="23"/>
        </w:rPr>
        <w:t>the</w:t>
      </w:r>
      <w:r>
        <w:rPr>
          <w:color w:val="0F0F0F"/>
          <w:spacing w:val="-15"/>
          <w:w w:val="105"/>
          <w:sz w:val="23"/>
        </w:rPr>
        <w:t> </w:t>
      </w:r>
      <w:r>
        <w:rPr>
          <w:color w:val="0F0F0F"/>
          <w:w w:val="105"/>
          <w:sz w:val="23"/>
        </w:rPr>
        <w:t>scheme</w:t>
      </w:r>
      <w:r>
        <w:rPr>
          <w:color w:val="0F0F0F"/>
          <w:spacing w:val="-11"/>
          <w:w w:val="105"/>
          <w:sz w:val="23"/>
        </w:rPr>
        <w:t> </w:t>
      </w:r>
      <w:r>
        <w:rPr>
          <w:color w:val="0F0F0F"/>
          <w:w w:val="105"/>
          <w:sz w:val="23"/>
        </w:rPr>
        <w:t>decreased</w:t>
      </w:r>
      <w:r>
        <w:rPr>
          <w:color w:val="0F0F0F"/>
          <w:spacing w:val="-6"/>
          <w:w w:val="105"/>
          <w:sz w:val="23"/>
        </w:rPr>
        <w:t> </w:t>
      </w:r>
      <w:r>
        <w:rPr>
          <w:color w:val="0F0F0F"/>
          <w:w w:val="105"/>
          <w:sz w:val="23"/>
        </w:rPr>
        <w:t>from</w:t>
      </w:r>
      <w:r>
        <w:rPr>
          <w:color w:val="0F0F0F"/>
          <w:spacing w:val="-11"/>
          <w:w w:val="105"/>
          <w:sz w:val="23"/>
        </w:rPr>
        <w:t> </w:t>
      </w:r>
      <w:r>
        <w:rPr>
          <w:color w:val="0F0F0F"/>
          <w:w w:val="105"/>
          <w:sz w:val="23"/>
        </w:rPr>
        <w:t>£110.561m</w:t>
      </w:r>
      <w:r>
        <w:rPr>
          <w:color w:val="0F0F0F"/>
          <w:spacing w:val="-11"/>
          <w:w w:val="105"/>
          <w:sz w:val="23"/>
        </w:rPr>
        <w:t> </w:t>
      </w:r>
      <w:r>
        <w:rPr>
          <w:color w:val="0F0F0F"/>
          <w:w w:val="105"/>
          <w:sz w:val="23"/>
        </w:rPr>
        <w:t>to</w:t>
      </w:r>
      <w:r>
        <w:rPr>
          <w:color w:val="0F0F0F"/>
          <w:spacing w:val="-16"/>
          <w:w w:val="105"/>
          <w:sz w:val="23"/>
        </w:rPr>
        <w:t> </w:t>
      </w:r>
      <w:r>
        <w:rPr>
          <w:color w:val="0F0F0F"/>
          <w:w w:val="105"/>
          <w:sz w:val="23"/>
        </w:rPr>
        <w:t>£101.940m whilst</w:t>
      </w:r>
      <w:r>
        <w:rPr>
          <w:color w:val="0F0F0F"/>
          <w:spacing w:val="-17"/>
          <w:w w:val="105"/>
          <w:sz w:val="23"/>
        </w:rPr>
        <w:t> </w:t>
      </w:r>
      <w:r>
        <w:rPr>
          <w:color w:val="0F0F0F"/>
          <w:w w:val="105"/>
          <w:sz w:val="23"/>
        </w:rPr>
        <w:t>the</w:t>
      </w:r>
      <w:r>
        <w:rPr>
          <w:color w:val="0F0F0F"/>
          <w:spacing w:val="-17"/>
          <w:w w:val="105"/>
          <w:sz w:val="23"/>
        </w:rPr>
        <w:t> </w:t>
      </w:r>
      <w:r>
        <w:rPr>
          <w:color w:val="0F0F0F"/>
          <w:w w:val="105"/>
          <w:sz w:val="23"/>
        </w:rPr>
        <w:t>liabilities</w:t>
      </w:r>
      <w:r>
        <w:rPr>
          <w:color w:val="0F0F0F"/>
          <w:spacing w:val="-17"/>
          <w:w w:val="105"/>
          <w:sz w:val="23"/>
        </w:rPr>
        <w:t> </w:t>
      </w:r>
      <w:r>
        <w:rPr>
          <w:color w:val="0F0F0F"/>
          <w:w w:val="105"/>
          <w:sz w:val="23"/>
        </w:rPr>
        <w:t>have</w:t>
      </w:r>
      <w:r>
        <w:rPr>
          <w:color w:val="0F0F0F"/>
          <w:spacing w:val="-17"/>
          <w:w w:val="105"/>
          <w:sz w:val="23"/>
        </w:rPr>
        <w:t> </w:t>
      </w:r>
      <w:r>
        <w:rPr>
          <w:color w:val="0F0F0F"/>
          <w:w w:val="105"/>
          <w:sz w:val="23"/>
        </w:rPr>
        <w:t>decreased</w:t>
      </w:r>
      <w:r>
        <w:rPr>
          <w:color w:val="0F0F0F"/>
          <w:spacing w:val="-5"/>
          <w:w w:val="105"/>
          <w:sz w:val="23"/>
        </w:rPr>
        <w:t> </w:t>
      </w:r>
      <w:r>
        <w:rPr>
          <w:color w:val="0F0F0F"/>
          <w:w w:val="105"/>
          <w:sz w:val="23"/>
        </w:rPr>
        <w:t>from</w:t>
      </w:r>
      <w:r>
        <w:rPr>
          <w:color w:val="0F0F0F"/>
          <w:spacing w:val="-16"/>
          <w:w w:val="105"/>
          <w:sz w:val="23"/>
        </w:rPr>
        <w:t> </w:t>
      </w:r>
      <w:r>
        <w:rPr>
          <w:color w:val="0F0F0F"/>
          <w:w w:val="105"/>
          <w:sz w:val="23"/>
        </w:rPr>
        <w:t>£150.887m</w:t>
      </w:r>
      <w:r>
        <w:rPr>
          <w:color w:val="0F0F0F"/>
          <w:spacing w:val="-2"/>
          <w:w w:val="105"/>
          <w:sz w:val="23"/>
        </w:rPr>
        <w:t> </w:t>
      </w:r>
      <w:r>
        <w:rPr>
          <w:color w:val="0F0F0F"/>
          <w:w w:val="105"/>
          <w:sz w:val="23"/>
        </w:rPr>
        <w:t>to</w:t>
      </w:r>
      <w:r>
        <w:rPr>
          <w:color w:val="0F0F0F"/>
          <w:spacing w:val="-16"/>
          <w:w w:val="105"/>
          <w:sz w:val="23"/>
        </w:rPr>
        <w:t> </w:t>
      </w:r>
      <w:r>
        <w:rPr>
          <w:color w:val="0F0F0F"/>
          <w:w w:val="105"/>
          <w:sz w:val="23"/>
        </w:rPr>
        <w:t>£112.577m. It</w:t>
      </w:r>
      <w:r>
        <w:rPr>
          <w:color w:val="0F0F0F"/>
          <w:spacing w:val="-17"/>
          <w:w w:val="105"/>
          <w:sz w:val="23"/>
        </w:rPr>
        <w:t> </w:t>
      </w:r>
      <w:r>
        <w:rPr>
          <w:color w:val="0F0F0F"/>
          <w:w w:val="105"/>
          <w:sz w:val="23"/>
        </w:rPr>
        <w:t>should</w:t>
      </w:r>
      <w:r>
        <w:rPr>
          <w:color w:val="0F0F0F"/>
          <w:spacing w:val="-10"/>
          <w:w w:val="105"/>
          <w:sz w:val="23"/>
        </w:rPr>
        <w:t> </w:t>
      </w:r>
      <w:r>
        <w:rPr>
          <w:color w:val="0F0F0F"/>
          <w:w w:val="105"/>
          <w:sz w:val="23"/>
        </w:rPr>
        <w:t>be</w:t>
      </w:r>
      <w:r>
        <w:rPr>
          <w:color w:val="0F0F0F"/>
          <w:spacing w:val="-17"/>
          <w:w w:val="105"/>
          <w:sz w:val="23"/>
        </w:rPr>
        <w:t> </w:t>
      </w:r>
      <w:r>
        <w:rPr>
          <w:color w:val="0F0F0F"/>
          <w:w w:val="105"/>
          <w:sz w:val="23"/>
        </w:rPr>
        <w:t>noted that</w:t>
      </w:r>
      <w:r>
        <w:rPr>
          <w:color w:val="0F0F0F"/>
          <w:spacing w:val="-7"/>
          <w:w w:val="105"/>
          <w:sz w:val="23"/>
        </w:rPr>
        <w:t> </w:t>
      </w:r>
      <w:r>
        <w:rPr>
          <w:color w:val="0F0F0F"/>
          <w:w w:val="105"/>
          <w:sz w:val="23"/>
        </w:rPr>
        <w:t>movements on</w:t>
      </w:r>
      <w:r>
        <w:rPr>
          <w:color w:val="0F0F0F"/>
          <w:spacing w:val="-9"/>
          <w:w w:val="105"/>
          <w:sz w:val="23"/>
        </w:rPr>
        <w:t> </w:t>
      </w:r>
      <w:r>
        <w:rPr>
          <w:color w:val="0F0F0F"/>
          <w:w w:val="105"/>
          <w:sz w:val="23"/>
        </w:rPr>
        <w:t>the</w:t>
      </w:r>
      <w:r>
        <w:rPr>
          <w:color w:val="0F0F0F"/>
          <w:spacing w:val="-13"/>
          <w:w w:val="105"/>
          <w:sz w:val="23"/>
        </w:rPr>
        <w:t> </w:t>
      </w:r>
      <w:r>
        <w:rPr>
          <w:color w:val="0F0F0F"/>
          <w:w w:val="105"/>
          <w:sz w:val="23"/>
        </w:rPr>
        <w:t>pension</w:t>
      </w:r>
      <w:r>
        <w:rPr>
          <w:color w:val="0F0F0F"/>
          <w:spacing w:val="-5"/>
          <w:w w:val="105"/>
          <w:sz w:val="23"/>
        </w:rPr>
        <w:t> </w:t>
      </w:r>
      <w:r>
        <w:rPr>
          <w:color w:val="0F0F0F"/>
          <w:w w:val="105"/>
          <w:sz w:val="23"/>
        </w:rPr>
        <w:t>fund</w:t>
      </w:r>
      <w:r>
        <w:rPr>
          <w:color w:val="0F0F0F"/>
          <w:spacing w:val="-6"/>
          <w:w w:val="105"/>
          <w:sz w:val="23"/>
        </w:rPr>
        <w:t> </w:t>
      </w:r>
      <w:r>
        <w:rPr>
          <w:color w:val="0F0F0F"/>
          <w:w w:val="105"/>
          <w:sz w:val="23"/>
        </w:rPr>
        <w:t>liability are</w:t>
      </w:r>
      <w:r>
        <w:rPr>
          <w:color w:val="0F0F0F"/>
          <w:spacing w:val="-7"/>
          <w:w w:val="105"/>
          <w:sz w:val="23"/>
        </w:rPr>
        <w:t> </w:t>
      </w:r>
      <w:r>
        <w:rPr>
          <w:color w:val="0F0F0F"/>
          <w:w w:val="105"/>
          <w:sz w:val="23"/>
        </w:rPr>
        <w:t>not</w:t>
      </w:r>
      <w:r>
        <w:rPr>
          <w:color w:val="0F0F0F"/>
          <w:spacing w:val="-15"/>
          <w:w w:val="105"/>
          <w:sz w:val="23"/>
        </w:rPr>
        <w:t> </w:t>
      </w:r>
      <w:r>
        <w:rPr>
          <w:color w:val="0F0F0F"/>
          <w:w w:val="105"/>
          <w:sz w:val="23"/>
        </w:rPr>
        <w:t>taken</w:t>
      </w:r>
      <w:r>
        <w:rPr>
          <w:color w:val="0F0F0F"/>
          <w:spacing w:val="-7"/>
          <w:w w:val="105"/>
          <w:sz w:val="23"/>
        </w:rPr>
        <w:t> </w:t>
      </w:r>
      <w:r>
        <w:rPr>
          <w:color w:val="0F0F0F"/>
          <w:w w:val="105"/>
          <w:sz w:val="23"/>
        </w:rPr>
        <w:t>to</w:t>
      </w:r>
      <w:r>
        <w:rPr>
          <w:color w:val="0F0F0F"/>
          <w:spacing w:val="-13"/>
          <w:w w:val="105"/>
          <w:sz w:val="23"/>
        </w:rPr>
        <w:t> </w:t>
      </w:r>
      <w:r>
        <w:rPr>
          <w:color w:val="0F0F0F"/>
          <w:w w:val="105"/>
          <w:sz w:val="23"/>
        </w:rPr>
        <w:t>the</w:t>
      </w:r>
      <w:r>
        <w:rPr>
          <w:color w:val="0F0F0F"/>
          <w:spacing w:val="-10"/>
          <w:w w:val="105"/>
          <w:sz w:val="23"/>
        </w:rPr>
        <w:t> </w:t>
      </w:r>
      <w:r>
        <w:rPr>
          <w:color w:val="0F0F0F"/>
          <w:w w:val="105"/>
          <w:sz w:val="23"/>
        </w:rPr>
        <w:t>General</w:t>
      </w:r>
      <w:r>
        <w:rPr>
          <w:color w:val="0F0F0F"/>
          <w:spacing w:val="-5"/>
          <w:w w:val="105"/>
          <w:sz w:val="23"/>
        </w:rPr>
        <w:t> </w:t>
      </w:r>
      <w:r>
        <w:rPr>
          <w:color w:val="0F0F0F"/>
          <w:w w:val="105"/>
          <w:sz w:val="23"/>
        </w:rPr>
        <w:t>Fund,</w:t>
      </w:r>
      <w:r>
        <w:rPr>
          <w:color w:val="0F0F0F"/>
          <w:spacing w:val="-6"/>
          <w:w w:val="105"/>
          <w:sz w:val="23"/>
        </w:rPr>
        <w:t> </w:t>
      </w:r>
      <w:r>
        <w:rPr>
          <w:color w:val="0F0F0F"/>
          <w:w w:val="105"/>
          <w:sz w:val="23"/>
        </w:rPr>
        <w:t>which is only charged with pension fund contributions</w:t>
      </w:r>
      <w:r>
        <w:rPr>
          <w:color w:val="0F0F0F"/>
          <w:w w:val="105"/>
          <w:sz w:val="23"/>
        </w:rPr>
        <w:t> actually paid</w:t>
      </w:r>
      <w:r>
        <w:rPr>
          <w:color w:val="0F0F0F"/>
          <w:spacing w:val="-1"/>
          <w:w w:val="105"/>
          <w:sz w:val="23"/>
        </w:rPr>
        <w:t> </w:t>
      </w:r>
      <w:r>
        <w:rPr>
          <w:color w:val="0F0F0F"/>
          <w:w w:val="105"/>
          <w:sz w:val="23"/>
        </w:rPr>
        <w:t>by the Council. Instead they</w:t>
      </w:r>
      <w:r>
        <w:rPr>
          <w:color w:val="0F0F0F"/>
          <w:spacing w:val="-17"/>
          <w:w w:val="105"/>
          <w:sz w:val="23"/>
        </w:rPr>
        <w:t> </w:t>
      </w:r>
      <w:r>
        <w:rPr>
          <w:color w:val="0F0F0F"/>
          <w:w w:val="105"/>
          <w:sz w:val="23"/>
        </w:rPr>
        <w:t>are</w:t>
      </w:r>
      <w:r>
        <w:rPr>
          <w:color w:val="0F0F0F"/>
          <w:spacing w:val="-17"/>
          <w:w w:val="105"/>
          <w:sz w:val="23"/>
        </w:rPr>
        <w:t> </w:t>
      </w:r>
      <w:r>
        <w:rPr>
          <w:color w:val="0F0F0F"/>
          <w:w w:val="105"/>
          <w:sz w:val="23"/>
        </w:rPr>
        <w:t>charged</w:t>
      </w:r>
      <w:r>
        <w:rPr>
          <w:color w:val="0F0F0F"/>
          <w:spacing w:val="-17"/>
          <w:w w:val="105"/>
          <w:sz w:val="23"/>
        </w:rPr>
        <w:t> </w:t>
      </w:r>
      <w:r>
        <w:rPr>
          <w:color w:val="0F0F0F"/>
          <w:w w:val="105"/>
          <w:sz w:val="23"/>
        </w:rPr>
        <w:t>or</w:t>
      </w:r>
      <w:r>
        <w:rPr>
          <w:color w:val="0F0F0F"/>
          <w:spacing w:val="-17"/>
          <w:w w:val="105"/>
          <w:sz w:val="23"/>
        </w:rPr>
        <w:t> </w:t>
      </w:r>
      <w:r>
        <w:rPr>
          <w:color w:val="0F0F0F"/>
          <w:w w:val="105"/>
          <w:sz w:val="23"/>
        </w:rPr>
        <w:t>credited</w:t>
      </w:r>
      <w:r>
        <w:rPr>
          <w:color w:val="0F0F0F"/>
          <w:spacing w:val="-16"/>
          <w:w w:val="105"/>
          <w:sz w:val="23"/>
        </w:rPr>
        <w:t> </w:t>
      </w:r>
      <w:r>
        <w:rPr>
          <w:color w:val="0F0F0F"/>
          <w:w w:val="105"/>
          <w:sz w:val="23"/>
        </w:rPr>
        <w:t>to</w:t>
      </w:r>
      <w:r>
        <w:rPr>
          <w:color w:val="0F0F0F"/>
          <w:spacing w:val="-17"/>
          <w:w w:val="105"/>
          <w:sz w:val="23"/>
        </w:rPr>
        <w:t> </w:t>
      </w:r>
      <w:r>
        <w:rPr>
          <w:color w:val="0F0F0F"/>
          <w:w w:val="105"/>
          <w:sz w:val="23"/>
        </w:rPr>
        <w:t>the</w:t>
      </w:r>
      <w:r>
        <w:rPr>
          <w:color w:val="0F0F0F"/>
          <w:spacing w:val="-17"/>
          <w:w w:val="105"/>
          <w:sz w:val="23"/>
        </w:rPr>
        <w:t> </w:t>
      </w:r>
      <w:r>
        <w:rPr>
          <w:color w:val="0F0F0F"/>
          <w:w w:val="105"/>
          <w:sz w:val="23"/>
        </w:rPr>
        <w:t>Pensions</w:t>
      </w:r>
      <w:r>
        <w:rPr>
          <w:color w:val="0F0F0F"/>
          <w:spacing w:val="-17"/>
          <w:w w:val="105"/>
          <w:sz w:val="23"/>
        </w:rPr>
        <w:t> </w:t>
      </w:r>
      <w:r>
        <w:rPr>
          <w:color w:val="0F0F0F"/>
          <w:w w:val="105"/>
          <w:sz w:val="23"/>
        </w:rPr>
        <w:t>Reserve</w:t>
      </w:r>
      <w:r>
        <w:rPr>
          <w:color w:val="0F0F0F"/>
          <w:spacing w:val="-16"/>
          <w:w w:val="105"/>
          <w:sz w:val="23"/>
        </w:rPr>
        <w:t> </w:t>
      </w:r>
      <w:r>
        <w:rPr>
          <w:color w:val="0F0F0F"/>
          <w:w w:val="105"/>
          <w:sz w:val="23"/>
        </w:rPr>
        <w:t>(see</w:t>
      </w:r>
      <w:r>
        <w:rPr>
          <w:color w:val="0F0F0F"/>
          <w:spacing w:val="-17"/>
          <w:w w:val="105"/>
          <w:sz w:val="23"/>
        </w:rPr>
        <w:t> </w:t>
      </w:r>
      <w:r>
        <w:rPr>
          <w:color w:val="0F0F0F"/>
          <w:w w:val="105"/>
          <w:sz w:val="23"/>
        </w:rPr>
        <w:t>note</w:t>
      </w:r>
      <w:r>
        <w:rPr>
          <w:color w:val="0F0F0F"/>
          <w:spacing w:val="-17"/>
          <w:w w:val="105"/>
          <w:sz w:val="23"/>
        </w:rPr>
        <w:t> </w:t>
      </w:r>
      <w:r>
        <w:rPr>
          <w:color w:val="0F0F0F"/>
          <w:w w:val="105"/>
          <w:sz w:val="23"/>
        </w:rPr>
        <w:t>5.31.5</w:t>
      </w:r>
      <w:r>
        <w:rPr>
          <w:color w:val="0F0F0F"/>
          <w:spacing w:val="-17"/>
          <w:w w:val="105"/>
          <w:sz w:val="23"/>
        </w:rPr>
        <w:t> </w:t>
      </w:r>
      <w:r>
        <w:rPr>
          <w:color w:val="0F0F0F"/>
          <w:w w:val="105"/>
          <w:sz w:val="23"/>
        </w:rPr>
        <w:t>to</w:t>
      </w:r>
      <w:r>
        <w:rPr>
          <w:color w:val="0F0F0F"/>
          <w:spacing w:val="-17"/>
          <w:w w:val="105"/>
          <w:sz w:val="23"/>
        </w:rPr>
        <w:t> </w:t>
      </w:r>
      <w:r>
        <w:rPr>
          <w:color w:val="0F0F0F"/>
          <w:w w:val="105"/>
          <w:sz w:val="23"/>
        </w:rPr>
        <w:t>the</w:t>
      </w:r>
      <w:r>
        <w:rPr>
          <w:color w:val="0F0F0F"/>
          <w:spacing w:val="-16"/>
          <w:w w:val="105"/>
          <w:sz w:val="23"/>
        </w:rPr>
        <w:t> </w:t>
      </w:r>
      <w:r>
        <w:rPr>
          <w:color w:val="0F0F0F"/>
          <w:w w:val="105"/>
          <w:sz w:val="23"/>
        </w:rPr>
        <w:t>accounts) which</w:t>
      </w:r>
      <w:r>
        <w:rPr>
          <w:color w:val="0F0F0F"/>
          <w:spacing w:val="-15"/>
          <w:w w:val="105"/>
          <w:sz w:val="23"/>
        </w:rPr>
        <w:t> </w:t>
      </w:r>
      <w:r>
        <w:rPr>
          <w:color w:val="0F0F0F"/>
          <w:w w:val="105"/>
          <w:sz w:val="23"/>
        </w:rPr>
        <w:t>absorbs</w:t>
      </w:r>
      <w:r>
        <w:rPr>
          <w:color w:val="0F0F0F"/>
          <w:spacing w:val="-12"/>
          <w:w w:val="105"/>
          <w:sz w:val="23"/>
        </w:rPr>
        <w:t> </w:t>
      </w:r>
      <w:r>
        <w:rPr>
          <w:color w:val="0F0F0F"/>
          <w:w w:val="105"/>
          <w:sz w:val="23"/>
        </w:rPr>
        <w:t>the</w:t>
      </w:r>
      <w:r>
        <w:rPr>
          <w:color w:val="0F0F0F"/>
          <w:spacing w:val="-17"/>
          <w:w w:val="105"/>
          <w:sz w:val="23"/>
        </w:rPr>
        <w:t> </w:t>
      </w:r>
      <w:r>
        <w:rPr>
          <w:color w:val="0F0F0F"/>
          <w:w w:val="105"/>
          <w:sz w:val="23"/>
        </w:rPr>
        <w:t>differences</w:t>
      </w:r>
      <w:r>
        <w:rPr>
          <w:color w:val="0F0F0F"/>
          <w:spacing w:val="-10"/>
          <w:w w:val="105"/>
          <w:sz w:val="23"/>
        </w:rPr>
        <w:t> </w:t>
      </w:r>
      <w:r>
        <w:rPr>
          <w:color w:val="0F0F0F"/>
          <w:w w:val="105"/>
          <w:sz w:val="23"/>
        </w:rPr>
        <w:t>between</w:t>
      </w:r>
      <w:r>
        <w:rPr>
          <w:color w:val="0F0F0F"/>
          <w:spacing w:val="-5"/>
          <w:w w:val="105"/>
          <w:sz w:val="23"/>
        </w:rPr>
        <w:t> </w:t>
      </w:r>
      <w:r>
        <w:rPr>
          <w:color w:val="0F0F0F"/>
          <w:w w:val="105"/>
          <w:sz w:val="23"/>
        </w:rPr>
        <w:t>accounting adjustments and</w:t>
      </w:r>
      <w:r>
        <w:rPr>
          <w:color w:val="0F0F0F"/>
          <w:spacing w:val="-17"/>
          <w:w w:val="105"/>
          <w:sz w:val="23"/>
        </w:rPr>
        <w:t> </w:t>
      </w:r>
      <w:r>
        <w:rPr>
          <w:color w:val="0F0F0F"/>
          <w:w w:val="105"/>
          <w:sz w:val="23"/>
        </w:rPr>
        <w:t>actual</w:t>
      </w:r>
      <w:r>
        <w:rPr>
          <w:color w:val="0F0F0F"/>
          <w:spacing w:val="-17"/>
          <w:w w:val="105"/>
          <w:sz w:val="23"/>
        </w:rPr>
        <w:t> </w:t>
      </w:r>
      <w:r>
        <w:rPr>
          <w:color w:val="0F0F0F"/>
          <w:w w:val="105"/>
          <w:sz w:val="23"/>
        </w:rPr>
        <w:t>charges</w:t>
      </w:r>
      <w:r>
        <w:rPr>
          <w:color w:val="0F0F0F"/>
          <w:spacing w:val="-5"/>
          <w:w w:val="105"/>
          <w:sz w:val="23"/>
        </w:rPr>
        <w:t> </w:t>
      </w:r>
      <w:r>
        <w:rPr>
          <w:color w:val="0F0F0F"/>
          <w:w w:val="105"/>
          <w:sz w:val="23"/>
        </w:rPr>
        <w:t>in accordance with statute.</w:t>
      </w:r>
    </w:p>
    <w:p>
      <w:pPr>
        <w:pStyle w:val="BodyText"/>
        <w:spacing w:before="7"/>
        <w:rPr>
          <w:sz w:val="23"/>
        </w:rPr>
      </w:pPr>
    </w:p>
    <w:p>
      <w:pPr>
        <w:spacing w:before="0" w:line="252" w:lineRule="auto"/>
        <w:ind w:left="716" w:right="320" w:firstLine="17"/>
        <w:jc w:val="both"/>
        <w:rPr>
          <w:sz w:val="23"/>
        </w:rPr>
      </w:pPr>
      <w:r>
        <w:rPr>
          <w:color w:val="0F0F0F"/>
          <w:w w:val="105"/>
          <w:sz w:val="23"/>
        </w:rPr>
        <w:t>It is important</w:t>
      </w:r>
      <w:r>
        <w:rPr>
          <w:color w:val="0F0F0F"/>
          <w:w w:val="105"/>
          <w:sz w:val="23"/>
        </w:rPr>
        <w:t> to recognise</w:t>
      </w:r>
      <w:r>
        <w:rPr>
          <w:color w:val="0F0F0F"/>
          <w:w w:val="105"/>
          <w:sz w:val="23"/>
        </w:rPr>
        <w:t> that</w:t>
      </w:r>
      <w:r>
        <w:rPr>
          <w:color w:val="0F0F0F"/>
          <w:w w:val="105"/>
          <w:sz w:val="23"/>
        </w:rPr>
        <w:t> the pension</w:t>
      </w:r>
      <w:r>
        <w:rPr>
          <w:color w:val="0F0F0F"/>
          <w:w w:val="105"/>
          <w:sz w:val="23"/>
        </w:rPr>
        <w:t> fund</w:t>
      </w:r>
      <w:r>
        <w:rPr>
          <w:color w:val="0F0F0F"/>
          <w:w w:val="105"/>
          <w:sz w:val="23"/>
        </w:rPr>
        <w:t> liability</w:t>
      </w:r>
      <w:r>
        <w:rPr>
          <w:color w:val="0F0F0F"/>
          <w:w w:val="105"/>
          <w:sz w:val="23"/>
        </w:rPr>
        <w:t> reflects</w:t>
      </w:r>
      <w:r>
        <w:rPr>
          <w:color w:val="0F0F0F"/>
          <w:w w:val="105"/>
          <w:sz w:val="23"/>
        </w:rPr>
        <w:t> the outlook</w:t>
      </w:r>
      <w:r>
        <w:rPr>
          <w:color w:val="0F0F0F"/>
          <w:w w:val="105"/>
          <w:sz w:val="23"/>
        </w:rPr>
        <w:t> using assumptions</w:t>
      </w:r>
      <w:r>
        <w:rPr>
          <w:color w:val="0F0F0F"/>
          <w:spacing w:val="-16"/>
          <w:w w:val="105"/>
          <w:sz w:val="23"/>
        </w:rPr>
        <w:t> </w:t>
      </w:r>
      <w:r>
        <w:rPr>
          <w:color w:val="0F0F0F"/>
          <w:w w:val="105"/>
          <w:sz w:val="23"/>
        </w:rPr>
        <w:t>which</w:t>
      </w:r>
      <w:r>
        <w:rPr>
          <w:color w:val="0F0F0F"/>
          <w:spacing w:val="-17"/>
          <w:w w:val="105"/>
          <w:sz w:val="23"/>
        </w:rPr>
        <w:t> </w:t>
      </w:r>
      <w:r>
        <w:rPr>
          <w:color w:val="0F0F0F"/>
          <w:w w:val="105"/>
          <w:sz w:val="23"/>
        </w:rPr>
        <w:t>cover</w:t>
      </w:r>
      <w:r>
        <w:rPr>
          <w:color w:val="0F0F0F"/>
          <w:spacing w:val="-17"/>
          <w:w w:val="105"/>
          <w:sz w:val="23"/>
        </w:rPr>
        <w:t> </w:t>
      </w:r>
      <w:r>
        <w:rPr>
          <w:color w:val="0F0F0F"/>
          <w:w w:val="105"/>
          <w:sz w:val="23"/>
        </w:rPr>
        <w:t>an</w:t>
      </w:r>
      <w:r>
        <w:rPr>
          <w:color w:val="0F0F0F"/>
          <w:spacing w:val="-17"/>
          <w:w w:val="105"/>
          <w:sz w:val="23"/>
        </w:rPr>
        <w:t> </w:t>
      </w:r>
      <w:r>
        <w:rPr>
          <w:color w:val="0F0F0F"/>
          <w:w w:val="105"/>
          <w:sz w:val="23"/>
        </w:rPr>
        <w:t>extremely</w:t>
      </w:r>
      <w:r>
        <w:rPr>
          <w:color w:val="0F0F0F"/>
          <w:spacing w:val="-8"/>
          <w:w w:val="105"/>
          <w:sz w:val="23"/>
        </w:rPr>
        <w:t> </w:t>
      </w:r>
      <w:r>
        <w:rPr>
          <w:color w:val="0F0F0F"/>
          <w:w w:val="105"/>
          <w:sz w:val="23"/>
        </w:rPr>
        <w:t>long</w:t>
      </w:r>
      <w:r>
        <w:rPr>
          <w:color w:val="0F0F0F"/>
          <w:spacing w:val="-17"/>
          <w:w w:val="105"/>
          <w:sz w:val="23"/>
        </w:rPr>
        <w:t> </w:t>
      </w:r>
      <w:r>
        <w:rPr>
          <w:color w:val="0F0F0F"/>
          <w:w w:val="105"/>
          <w:sz w:val="23"/>
        </w:rPr>
        <w:t>term.</w:t>
      </w:r>
      <w:r>
        <w:rPr>
          <w:color w:val="0F0F0F"/>
          <w:spacing w:val="-11"/>
          <w:w w:val="105"/>
          <w:sz w:val="23"/>
        </w:rPr>
        <w:t> </w:t>
      </w:r>
      <w:r>
        <w:rPr>
          <w:color w:val="0F0F0F"/>
          <w:w w:val="105"/>
          <w:sz w:val="23"/>
        </w:rPr>
        <w:t>The</w:t>
      </w:r>
      <w:r>
        <w:rPr>
          <w:color w:val="0F0F0F"/>
          <w:spacing w:val="-17"/>
          <w:w w:val="105"/>
          <w:sz w:val="23"/>
        </w:rPr>
        <w:t> </w:t>
      </w:r>
      <w:r>
        <w:rPr>
          <w:color w:val="0F0F0F"/>
          <w:w w:val="105"/>
          <w:sz w:val="23"/>
        </w:rPr>
        <w:t>net</w:t>
      </w:r>
      <w:r>
        <w:rPr>
          <w:color w:val="0F0F0F"/>
          <w:spacing w:val="-14"/>
          <w:w w:val="105"/>
          <w:sz w:val="23"/>
        </w:rPr>
        <w:t> </w:t>
      </w:r>
      <w:r>
        <w:rPr>
          <w:color w:val="262626"/>
          <w:w w:val="105"/>
          <w:sz w:val="23"/>
        </w:rPr>
        <w:t>liability</w:t>
      </w:r>
      <w:r>
        <w:rPr>
          <w:color w:val="262626"/>
          <w:spacing w:val="-9"/>
          <w:w w:val="105"/>
          <w:sz w:val="23"/>
        </w:rPr>
        <w:t> </w:t>
      </w:r>
      <w:r>
        <w:rPr>
          <w:color w:val="0F0F0F"/>
          <w:w w:val="105"/>
          <w:sz w:val="23"/>
        </w:rPr>
        <w:t>reflects</w:t>
      </w:r>
      <w:r>
        <w:rPr>
          <w:color w:val="0F0F0F"/>
          <w:spacing w:val="-17"/>
          <w:w w:val="105"/>
          <w:sz w:val="23"/>
        </w:rPr>
        <w:t> </w:t>
      </w:r>
      <w:r>
        <w:rPr>
          <w:color w:val="0F0F0F"/>
          <w:w w:val="105"/>
          <w:sz w:val="23"/>
        </w:rPr>
        <w:t>the</w:t>
      </w:r>
      <w:r>
        <w:rPr>
          <w:color w:val="0F0F0F"/>
          <w:spacing w:val="-17"/>
          <w:w w:val="105"/>
          <w:sz w:val="23"/>
        </w:rPr>
        <w:t> </w:t>
      </w:r>
      <w:r>
        <w:rPr>
          <w:color w:val="0F0F0F"/>
          <w:w w:val="105"/>
          <w:sz w:val="23"/>
        </w:rPr>
        <w:t>valuation of</w:t>
      </w:r>
      <w:r>
        <w:rPr>
          <w:color w:val="0F0F0F"/>
          <w:spacing w:val="-4"/>
          <w:w w:val="105"/>
          <w:sz w:val="23"/>
        </w:rPr>
        <w:t> </w:t>
      </w:r>
      <w:r>
        <w:rPr>
          <w:color w:val="0F0F0F"/>
          <w:w w:val="105"/>
          <w:sz w:val="23"/>
        </w:rPr>
        <w:t>assets which themselves can be</w:t>
      </w:r>
      <w:r>
        <w:rPr>
          <w:color w:val="0F0F0F"/>
          <w:spacing w:val="-2"/>
          <w:w w:val="105"/>
          <w:sz w:val="23"/>
        </w:rPr>
        <w:t> </w:t>
      </w:r>
      <w:r>
        <w:rPr>
          <w:color w:val="0F0F0F"/>
          <w:w w:val="105"/>
          <w:sz w:val="23"/>
        </w:rPr>
        <w:t>subject to</w:t>
      </w:r>
      <w:r>
        <w:rPr>
          <w:color w:val="0F0F0F"/>
          <w:spacing w:val="-5"/>
          <w:w w:val="105"/>
          <w:sz w:val="23"/>
        </w:rPr>
        <w:t> </w:t>
      </w:r>
      <w:r>
        <w:rPr>
          <w:color w:val="0F0F0F"/>
          <w:w w:val="105"/>
          <w:sz w:val="23"/>
        </w:rPr>
        <w:t>wide</w:t>
      </w:r>
      <w:r>
        <w:rPr>
          <w:color w:val="0F0F0F"/>
          <w:spacing w:val="-2"/>
          <w:w w:val="105"/>
          <w:sz w:val="23"/>
        </w:rPr>
        <w:t> </w:t>
      </w:r>
      <w:r>
        <w:rPr>
          <w:color w:val="0F0F0F"/>
          <w:w w:val="105"/>
          <w:sz w:val="23"/>
        </w:rPr>
        <w:t>fluctuations over the</w:t>
      </w:r>
      <w:r>
        <w:rPr>
          <w:color w:val="0F0F0F"/>
          <w:spacing w:val="-3"/>
          <w:w w:val="105"/>
          <w:sz w:val="23"/>
        </w:rPr>
        <w:t> </w:t>
      </w:r>
      <w:r>
        <w:rPr>
          <w:color w:val="0F0F0F"/>
          <w:w w:val="105"/>
          <w:sz w:val="23"/>
        </w:rPr>
        <w:t>long</w:t>
      </w:r>
      <w:r>
        <w:rPr>
          <w:color w:val="0F0F0F"/>
          <w:spacing w:val="-6"/>
          <w:w w:val="105"/>
          <w:sz w:val="23"/>
        </w:rPr>
        <w:t> </w:t>
      </w:r>
      <w:r>
        <w:rPr>
          <w:color w:val="0F0F0F"/>
          <w:w w:val="105"/>
          <w:sz w:val="23"/>
        </w:rPr>
        <w:t>term. In common</w:t>
      </w:r>
      <w:r>
        <w:rPr>
          <w:color w:val="0F0F0F"/>
          <w:spacing w:val="-7"/>
          <w:w w:val="105"/>
          <w:sz w:val="23"/>
        </w:rPr>
        <w:t> </w:t>
      </w:r>
      <w:r>
        <w:rPr>
          <w:color w:val="0F0F0F"/>
          <w:w w:val="105"/>
          <w:sz w:val="23"/>
        </w:rPr>
        <w:t>with</w:t>
      </w:r>
      <w:r>
        <w:rPr>
          <w:color w:val="0F0F0F"/>
          <w:spacing w:val="-11"/>
          <w:w w:val="105"/>
          <w:sz w:val="23"/>
        </w:rPr>
        <w:t> </w:t>
      </w:r>
      <w:r>
        <w:rPr>
          <w:color w:val="0F0F0F"/>
          <w:w w:val="105"/>
          <w:sz w:val="23"/>
        </w:rPr>
        <w:t>other</w:t>
      </w:r>
      <w:r>
        <w:rPr>
          <w:color w:val="0F0F0F"/>
          <w:spacing w:val="-9"/>
          <w:w w:val="105"/>
          <w:sz w:val="23"/>
        </w:rPr>
        <w:t> </w:t>
      </w:r>
      <w:r>
        <w:rPr>
          <w:color w:val="0F0F0F"/>
          <w:w w:val="105"/>
          <w:sz w:val="23"/>
        </w:rPr>
        <w:t>employers</w:t>
      </w:r>
      <w:r>
        <w:rPr>
          <w:color w:val="0F0F0F"/>
          <w:spacing w:val="-2"/>
          <w:w w:val="105"/>
          <w:sz w:val="23"/>
        </w:rPr>
        <w:t> </w:t>
      </w:r>
      <w:r>
        <w:rPr>
          <w:color w:val="0F0F0F"/>
          <w:w w:val="105"/>
          <w:sz w:val="23"/>
        </w:rPr>
        <w:t>who</w:t>
      </w:r>
      <w:r>
        <w:rPr>
          <w:color w:val="0F0F0F"/>
          <w:spacing w:val="-17"/>
          <w:w w:val="105"/>
          <w:sz w:val="23"/>
        </w:rPr>
        <w:t> </w:t>
      </w:r>
      <w:r>
        <w:rPr>
          <w:color w:val="0F0F0F"/>
          <w:w w:val="105"/>
          <w:sz w:val="23"/>
        </w:rPr>
        <w:t>participate</w:t>
      </w:r>
      <w:r>
        <w:rPr>
          <w:color w:val="0F0F0F"/>
          <w:spacing w:val="-9"/>
          <w:w w:val="105"/>
          <w:sz w:val="23"/>
        </w:rPr>
        <w:t> </w:t>
      </w:r>
      <w:r>
        <w:rPr>
          <w:color w:val="0F0F0F"/>
          <w:w w:val="105"/>
          <w:sz w:val="23"/>
        </w:rPr>
        <w:t>in</w:t>
      </w:r>
      <w:r>
        <w:rPr>
          <w:color w:val="0F0F0F"/>
          <w:spacing w:val="-12"/>
          <w:w w:val="105"/>
          <w:sz w:val="23"/>
        </w:rPr>
        <w:t> </w:t>
      </w:r>
      <w:r>
        <w:rPr>
          <w:color w:val="0F0F0F"/>
          <w:w w:val="105"/>
          <w:sz w:val="23"/>
        </w:rPr>
        <w:t>the</w:t>
      </w:r>
      <w:r>
        <w:rPr>
          <w:color w:val="0F0F0F"/>
          <w:spacing w:val="-17"/>
          <w:w w:val="105"/>
          <w:sz w:val="23"/>
        </w:rPr>
        <w:t> </w:t>
      </w:r>
      <w:r>
        <w:rPr>
          <w:color w:val="0F0F0F"/>
          <w:w w:val="105"/>
          <w:sz w:val="23"/>
        </w:rPr>
        <w:t>scheme,</w:t>
      </w:r>
      <w:r>
        <w:rPr>
          <w:color w:val="0F0F0F"/>
          <w:spacing w:val="-9"/>
          <w:w w:val="105"/>
          <w:sz w:val="23"/>
        </w:rPr>
        <w:t> </w:t>
      </w:r>
      <w:r>
        <w:rPr>
          <w:color w:val="0F0F0F"/>
          <w:w w:val="105"/>
          <w:sz w:val="23"/>
        </w:rPr>
        <w:t>the</w:t>
      </w:r>
      <w:r>
        <w:rPr>
          <w:color w:val="0F0F0F"/>
          <w:spacing w:val="-17"/>
          <w:w w:val="105"/>
          <w:sz w:val="23"/>
        </w:rPr>
        <w:t> </w:t>
      </w:r>
      <w:r>
        <w:rPr>
          <w:color w:val="0F0F0F"/>
          <w:w w:val="105"/>
          <w:sz w:val="23"/>
        </w:rPr>
        <w:t>Council</w:t>
      </w:r>
      <w:r>
        <w:rPr>
          <w:color w:val="0F0F0F"/>
          <w:spacing w:val="-12"/>
          <w:w w:val="105"/>
          <w:sz w:val="23"/>
        </w:rPr>
        <w:t> </w:t>
      </w:r>
      <w:r>
        <w:rPr>
          <w:color w:val="0F0F0F"/>
          <w:w w:val="105"/>
          <w:sz w:val="23"/>
        </w:rPr>
        <w:t>will</w:t>
      </w:r>
      <w:r>
        <w:rPr>
          <w:color w:val="0F0F0F"/>
          <w:spacing w:val="-17"/>
          <w:w w:val="105"/>
          <w:sz w:val="23"/>
        </w:rPr>
        <w:t> </w:t>
      </w:r>
      <w:r>
        <w:rPr>
          <w:color w:val="0F0F0F"/>
          <w:w w:val="105"/>
          <w:sz w:val="23"/>
        </w:rPr>
        <w:t>continue to</w:t>
      </w:r>
      <w:r>
        <w:rPr>
          <w:color w:val="0F0F0F"/>
          <w:spacing w:val="-6"/>
          <w:w w:val="105"/>
          <w:sz w:val="23"/>
        </w:rPr>
        <w:t> </w:t>
      </w:r>
      <w:r>
        <w:rPr>
          <w:color w:val="0F0F0F"/>
          <w:w w:val="105"/>
          <w:sz w:val="23"/>
        </w:rPr>
        <w:t>fund</w:t>
      </w:r>
      <w:r>
        <w:rPr>
          <w:color w:val="0F0F0F"/>
          <w:spacing w:val="-3"/>
          <w:w w:val="105"/>
          <w:sz w:val="23"/>
        </w:rPr>
        <w:t> </w:t>
      </w:r>
      <w:r>
        <w:rPr>
          <w:color w:val="0F0F0F"/>
          <w:w w:val="105"/>
          <w:sz w:val="23"/>
        </w:rPr>
        <w:t>the scheme at</w:t>
      </w:r>
      <w:r>
        <w:rPr>
          <w:color w:val="0F0F0F"/>
          <w:spacing w:val="-10"/>
          <w:w w:val="105"/>
          <w:sz w:val="23"/>
        </w:rPr>
        <w:t> </w:t>
      </w:r>
      <w:r>
        <w:rPr>
          <w:color w:val="0F0F0F"/>
          <w:w w:val="105"/>
          <w:sz w:val="23"/>
        </w:rPr>
        <w:t>the rate</w:t>
      </w:r>
      <w:r>
        <w:rPr>
          <w:color w:val="0F0F0F"/>
          <w:spacing w:val="-1"/>
          <w:w w:val="105"/>
          <w:sz w:val="23"/>
        </w:rPr>
        <w:t> </w:t>
      </w:r>
      <w:r>
        <w:rPr>
          <w:color w:val="0F0F0F"/>
          <w:w w:val="105"/>
          <w:sz w:val="23"/>
        </w:rPr>
        <w:t>recommended by the</w:t>
      </w:r>
      <w:r>
        <w:rPr>
          <w:color w:val="0F0F0F"/>
          <w:spacing w:val="-2"/>
          <w:w w:val="105"/>
          <w:sz w:val="23"/>
        </w:rPr>
        <w:t> </w:t>
      </w:r>
      <w:r>
        <w:rPr>
          <w:color w:val="0F0F0F"/>
          <w:w w:val="105"/>
          <w:sz w:val="23"/>
        </w:rPr>
        <w:t>actuary to</w:t>
      </w:r>
      <w:r>
        <w:rPr>
          <w:color w:val="0F0F0F"/>
          <w:spacing w:val="-8"/>
          <w:w w:val="105"/>
          <w:sz w:val="23"/>
        </w:rPr>
        <w:t> </w:t>
      </w:r>
      <w:r>
        <w:rPr>
          <w:color w:val="0F0F0F"/>
          <w:w w:val="105"/>
          <w:sz w:val="23"/>
        </w:rPr>
        <w:t>enable the scheme to meet its obligations.</w:t>
      </w:r>
    </w:p>
    <w:p>
      <w:pPr>
        <w:pStyle w:val="BodyText"/>
        <w:spacing w:before="6"/>
        <w:rPr>
          <w:sz w:val="23"/>
        </w:rPr>
      </w:pPr>
    </w:p>
    <w:p>
      <w:pPr>
        <w:spacing w:before="0" w:line="249" w:lineRule="auto"/>
        <w:ind w:left="709" w:right="333" w:firstLine="3"/>
        <w:jc w:val="both"/>
        <w:rPr>
          <w:sz w:val="23"/>
        </w:rPr>
      </w:pPr>
      <w:r>
        <w:rPr>
          <w:color w:val="0F0F0F"/>
          <w:w w:val="105"/>
          <w:sz w:val="23"/>
        </w:rPr>
        <w:t>The latest</w:t>
      </w:r>
      <w:r>
        <w:rPr>
          <w:color w:val="0F0F0F"/>
          <w:spacing w:val="-4"/>
          <w:w w:val="105"/>
          <w:sz w:val="23"/>
        </w:rPr>
        <w:t> </w:t>
      </w:r>
      <w:r>
        <w:rPr>
          <w:color w:val="0F0F0F"/>
          <w:w w:val="105"/>
          <w:sz w:val="23"/>
        </w:rPr>
        <w:t>triennial valuation of</w:t>
      </w:r>
      <w:r>
        <w:rPr>
          <w:color w:val="0F0F0F"/>
          <w:spacing w:val="-6"/>
          <w:w w:val="105"/>
          <w:sz w:val="23"/>
        </w:rPr>
        <w:t> </w:t>
      </w:r>
      <w:r>
        <w:rPr>
          <w:color w:val="0F0F0F"/>
          <w:w w:val="105"/>
          <w:sz w:val="23"/>
        </w:rPr>
        <w:t>the</w:t>
      </w:r>
      <w:r>
        <w:rPr>
          <w:color w:val="0F0F0F"/>
          <w:spacing w:val="-8"/>
          <w:w w:val="105"/>
          <w:sz w:val="23"/>
        </w:rPr>
        <w:t> </w:t>
      </w:r>
      <w:r>
        <w:rPr>
          <w:color w:val="0F0F0F"/>
          <w:w w:val="105"/>
          <w:sz w:val="23"/>
        </w:rPr>
        <w:t>fund was carried out</w:t>
      </w:r>
      <w:r>
        <w:rPr>
          <w:color w:val="0F0F0F"/>
          <w:spacing w:val="-5"/>
          <w:w w:val="105"/>
          <w:sz w:val="23"/>
        </w:rPr>
        <w:t> </w:t>
      </w:r>
      <w:r>
        <w:rPr>
          <w:color w:val="0F0F0F"/>
          <w:w w:val="105"/>
          <w:sz w:val="23"/>
        </w:rPr>
        <w:t>as</w:t>
      </w:r>
      <w:r>
        <w:rPr>
          <w:color w:val="0F0F0F"/>
          <w:spacing w:val="-3"/>
          <w:w w:val="105"/>
          <w:sz w:val="23"/>
        </w:rPr>
        <w:t> </w:t>
      </w:r>
      <w:r>
        <w:rPr>
          <w:color w:val="0F0F0F"/>
          <w:w w:val="105"/>
          <w:sz w:val="23"/>
        </w:rPr>
        <w:t>at</w:t>
      </w:r>
      <w:r>
        <w:rPr>
          <w:color w:val="0F0F0F"/>
          <w:spacing w:val="-4"/>
          <w:w w:val="105"/>
          <w:sz w:val="23"/>
        </w:rPr>
        <w:t> </w:t>
      </w:r>
      <w:r>
        <w:rPr>
          <w:color w:val="0F0F0F"/>
          <w:w w:val="105"/>
          <w:sz w:val="23"/>
        </w:rPr>
        <w:t>31</w:t>
      </w:r>
      <w:r>
        <w:rPr>
          <w:color w:val="0F0F0F"/>
          <w:spacing w:val="-5"/>
          <w:w w:val="105"/>
          <w:sz w:val="23"/>
        </w:rPr>
        <w:t> </w:t>
      </w:r>
      <w:r>
        <w:rPr>
          <w:color w:val="0F0F0F"/>
          <w:w w:val="105"/>
          <w:sz w:val="23"/>
        </w:rPr>
        <w:t>March 2022</w:t>
      </w:r>
      <w:r>
        <w:rPr>
          <w:color w:val="0F0F0F"/>
          <w:spacing w:val="-2"/>
          <w:w w:val="105"/>
          <w:sz w:val="23"/>
        </w:rPr>
        <w:t> </w:t>
      </w:r>
      <w:r>
        <w:rPr>
          <w:color w:val="0F0F0F"/>
          <w:w w:val="105"/>
          <w:sz w:val="23"/>
        </w:rPr>
        <w:t>and</w:t>
      </w:r>
      <w:r>
        <w:rPr>
          <w:color w:val="0F0F0F"/>
          <w:spacing w:val="-3"/>
          <w:w w:val="105"/>
          <w:sz w:val="23"/>
        </w:rPr>
        <w:t> </w:t>
      </w:r>
      <w:r>
        <w:rPr>
          <w:color w:val="0F0F0F"/>
          <w:w w:val="105"/>
          <w:sz w:val="23"/>
        </w:rPr>
        <w:t>the results</w:t>
      </w:r>
      <w:r>
        <w:rPr>
          <w:color w:val="0F0F0F"/>
          <w:w w:val="105"/>
          <w:sz w:val="23"/>
        </w:rPr>
        <w:t> were</w:t>
      </w:r>
      <w:r>
        <w:rPr>
          <w:color w:val="0F0F0F"/>
          <w:w w:val="105"/>
          <w:sz w:val="23"/>
        </w:rPr>
        <w:t> incorporated</w:t>
      </w:r>
      <w:r>
        <w:rPr>
          <w:color w:val="0F0F0F"/>
          <w:w w:val="105"/>
          <w:sz w:val="23"/>
        </w:rPr>
        <w:t> in</w:t>
      </w:r>
      <w:r>
        <w:rPr>
          <w:color w:val="0F0F0F"/>
          <w:w w:val="105"/>
          <w:sz w:val="23"/>
        </w:rPr>
        <w:t> the</w:t>
      </w:r>
      <w:r>
        <w:rPr>
          <w:color w:val="0F0F0F"/>
          <w:w w:val="105"/>
          <w:sz w:val="23"/>
        </w:rPr>
        <w:t> actuary's</w:t>
      </w:r>
      <w:r>
        <w:rPr>
          <w:color w:val="0F0F0F"/>
          <w:w w:val="105"/>
          <w:sz w:val="23"/>
        </w:rPr>
        <w:t> report,</w:t>
      </w:r>
      <w:r>
        <w:rPr>
          <w:color w:val="0F0F0F"/>
          <w:w w:val="105"/>
          <w:sz w:val="23"/>
        </w:rPr>
        <w:t> with</w:t>
      </w:r>
      <w:r>
        <w:rPr>
          <w:color w:val="0F0F0F"/>
          <w:w w:val="105"/>
          <w:sz w:val="23"/>
        </w:rPr>
        <w:t> assumptions</w:t>
      </w:r>
      <w:r>
        <w:rPr>
          <w:color w:val="0F0F0F"/>
          <w:w w:val="105"/>
          <w:sz w:val="23"/>
        </w:rPr>
        <w:t> updated</w:t>
      </w:r>
      <w:r>
        <w:rPr>
          <w:color w:val="0F0F0F"/>
          <w:w w:val="105"/>
          <w:sz w:val="23"/>
        </w:rPr>
        <w:t> where </w:t>
      </w:r>
      <w:r>
        <w:rPr>
          <w:color w:val="0F0F0F"/>
          <w:spacing w:val="-2"/>
          <w:w w:val="105"/>
          <w:sz w:val="23"/>
        </w:rPr>
        <w:t>appropriate.</w:t>
      </w:r>
    </w:p>
    <w:p>
      <w:pPr>
        <w:pStyle w:val="BodyText"/>
        <w:rPr>
          <w:sz w:val="23"/>
        </w:rPr>
      </w:pPr>
    </w:p>
    <w:p>
      <w:pPr>
        <w:pStyle w:val="BodyText"/>
        <w:spacing w:before="20"/>
        <w:rPr>
          <w:sz w:val="23"/>
        </w:rPr>
      </w:pPr>
    </w:p>
    <w:p>
      <w:pPr>
        <w:spacing w:before="0"/>
        <w:ind w:left="704" w:right="0" w:firstLine="0"/>
        <w:jc w:val="both"/>
        <w:rPr>
          <w:b/>
          <w:sz w:val="23"/>
        </w:rPr>
      </w:pPr>
      <w:r>
        <w:rPr>
          <w:b/>
          <w:color w:val="0F0F0F"/>
          <w:w w:val="105"/>
          <w:sz w:val="23"/>
          <w:u w:val="thick" w:color="0F0F0F"/>
        </w:rPr>
        <w:t>Significant</w:t>
      </w:r>
      <w:r>
        <w:rPr>
          <w:b/>
          <w:color w:val="0F0F0F"/>
          <w:spacing w:val="1"/>
          <w:w w:val="105"/>
          <w:sz w:val="23"/>
          <w:u w:val="thick" w:color="0F0F0F"/>
        </w:rPr>
        <w:t> </w:t>
      </w:r>
      <w:r>
        <w:rPr>
          <w:b/>
          <w:color w:val="0F0F0F"/>
          <w:w w:val="105"/>
          <w:sz w:val="23"/>
          <w:u w:val="thick" w:color="0F0F0F"/>
        </w:rPr>
        <w:t>changes</w:t>
      </w:r>
      <w:r>
        <w:rPr>
          <w:b/>
          <w:color w:val="0F0F0F"/>
          <w:spacing w:val="6"/>
          <w:w w:val="105"/>
          <w:sz w:val="23"/>
          <w:u w:val="thick" w:color="0F0F0F"/>
        </w:rPr>
        <w:t> </w:t>
      </w:r>
      <w:r>
        <w:rPr>
          <w:b/>
          <w:color w:val="0F0F0F"/>
          <w:w w:val="105"/>
          <w:sz w:val="23"/>
          <w:u w:val="thick" w:color="0F0F0F"/>
        </w:rPr>
        <w:t>to</w:t>
      </w:r>
      <w:r>
        <w:rPr>
          <w:b/>
          <w:color w:val="0F0F0F"/>
          <w:spacing w:val="-8"/>
          <w:w w:val="105"/>
          <w:sz w:val="23"/>
          <w:u w:val="thick" w:color="0F0F0F"/>
        </w:rPr>
        <w:t> </w:t>
      </w:r>
      <w:r>
        <w:rPr>
          <w:b/>
          <w:color w:val="0F0F0F"/>
          <w:spacing w:val="-2"/>
          <w:w w:val="105"/>
          <w:sz w:val="23"/>
          <w:u w:val="thick" w:color="0F0F0F"/>
        </w:rPr>
        <w:t>provisions</w:t>
      </w:r>
    </w:p>
    <w:p>
      <w:pPr>
        <w:pStyle w:val="BodyText"/>
        <w:spacing w:before="24"/>
        <w:rPr>
          <w:b/>
          <w:sz w:val="23"/>
        </w:rPr>
      </w:pPr>
    </w:p>
    <w:p>
      <w:pPr>
        <w:spacing w:before="0" w:line="249" w:lineRule="auto"/>
        <w:ind w:left="675" w:right="345" w:firstLine="12"/>
        <w:jc w:val="both"/>
        <w:rPr>
          <w:sz w:val="23"/>
        </w:rPr>
      </w:pPr>
      <w:r>
        <w:rPr>
          <w:color w:val="0F0F0F"/>
          <w:w w:val="105"/>
          <w:sz w:val="23"/>
        </w:rPr>
        <w:t>The</w:t>
      </w:r>
      <w:r>
        <w:rPr>
          <w:color w:val="0F0F0F"/>
          <w:w w:val="105"/>
          <w:sz w:val="23"/>
        </w:rPr>
        <w:t> Council's</w:t>
      </w:r>
      <w:r>
        <w:rPr>
          <w:color w:val="0F0F0F"/>
          <w:w w:val="105"/>
          <w:sz w:val="23"/>
        </w:rPr>
        <w:t> accounts</w:t>
      </w:r>
      <w:r>
        <w:rPr>
          <w:color w:val="0F0F0F"/>
          <w:w w:val="105"/>
          <w:sz w:val="23"/>
        </w:rPr>
        <w:t> include</w:t>
      </w:r>
      <w:r>
        <w:rPr>
          <w:color w:val="0F0F0F"/>
          <w:w w:val="105"/>
          <w:sz w:val="23"/>
        </w:rPr>
        <w:t> its</w:t>
      </w:r>
      <w:r>
        <w:rPr>
          <w:color w:val="0F0F0F"/>
          <w:w w:val="105"/>
          <w:sz w:val="23"/>
        </w:rPr>
        <w:t> share</w:t>
      </w:r>
      <w:r>
        <w:rPr>
          <w:color w:val="0F0F0F"/>
          <w:w w:val="105"/>
          <w:sz w:val="23"/>
        </w:rPr>
        <w:t> of the</w:t>
      </w:r>
      <w:r>
        <w:rPr>
          <w:color w:val="0F0F0F"/>
          <w:w w:val="105"/>
          <w:sz w:val="23"/>
        </w:rPr>
        <w:t> provision</w:t>
      </w:r>
      <w:r>
        <w:rPr>
          <w:color w:val="0F0F0F"/>
          <w:w w:val="105"/>
          <w:sz w:val="23"/>
        </w:rPr>
        <w:t> in respect</w:t>
      </w:r>
      <w:r>
        <w:rPr>
          <w:color w:val="0F0F0F"/>
          <w:w w:val="105"/>
          <w:sz w:val="23"/>
        </w:rPr>
        <w:t> of</w:t>
      </w:r>
      <w:r>
        <w:rPr>
          <w:color w:val="0F0F0F"/>
          <w:w w:val="105"/>
          <w:sz w:val="23"/>
        </w:rPr>
        <w:t> the cost</w:t>
      </w:r>
      <w:r>
        <w:rPr>
          <w:color w:val="0F0F0F"/>
          <w:w w:val="105"/>
          <w:sz w:val="23"/>
        </w:rPr>
        <w:t> of successful</w:t>
      </w:r>
      <w:r>
        <w:rPr>
          <w:color w:val="0F0F0F"/>
          <w:spacing w:val="-13"/>
          <w:w w:val="105"/>
          <w:sz w:val="23"/>
        </w:rPr>
        <w:t> </w:t>
      </w:r>
      <w:r>
        <w:rPr>
          <w:color w:val="0F0F0F"/>
          <w:w w:val="105"/>
          <w:sz w:val="23"/>
        </w:rPr>
        <w:t>appeals against</w:t>
      </w:r>
      <w:r>
        <w:rPr>
          <w:color w:val="0F0F0F"/>
          <w:spacing w:val="-4"/>
          <w:w w:val="105"/>
          <w:sz w:val="23"/>
        </w:rPr>
        <w:t> </w:t>
      </w:r>
      <w:r>
        <w:rPr>
          <w:color w:val="0F0F0F"/>
          <w:w w:val="105"/>
          <w:sz w:val="23"/>
        </w:rPr>
        <w:t>valuations for</w:t>
      </w:r>
      <w:r>
        <w:rPr>
          <w:color w:val="0F0F0F"/>
          <w:spacing w:val="-14"/>
          <w:w w:val="105"/>
          <w:sz w:val="23"/>
        </w:rPr>
        <w:t> </w:t>
      </w:r>
      <w:r>
        <w:rPr>
          <w:color w:val="0F0F0F"/>
          <w:w w:val="105"/>
          <w:sz w:val="23"/>
        </w:rPr>
        <w:t>business</w:t>
      </w:r>
      <w:r>
        <w:rPr>
          <w:color w:val="0F0F0F"/>
          <w:spacing w:val="-5"/>
          <w:w w:val="105"/>
          <w:sz w:val="23"/>
        </w:rPr>
        <w:t> </w:t>
      </w:r>
      <w:r>
        <w:rPr>
          <w:color w:val="262626"/>
          <w:w w:val="105"/>
          <w:sz w:val="23"/>
        </w:rPr>
        <w:t>rates</w:t>
      </w:r>
      <w:r>
        <w:rPr>
          <w:color w:val="262626"/>
          <w:spacing w:val="-10"/>
          <w:w w:val="105"/>
          <w:sz w:val="23"/>
        </w:rPr>
        <w:t> </w:t>
      </w:r>
      <w:r>
        <w:rPr>
          <w:color w:val="0F0F0F"/>
          <w:w w:val="105"/>
          <w:sz w:val="23"/>
        </w:rPr>
        <w:t>(see</w:t>
      </w:r>
      <w:r>
        <w:rPr>
          <w:color w:val="0F0F0F"/>
          <w:spacing w:val="-13"/>
          <w:w w:val="105"/>
          <w:sz w:val="23"/>
        </w:rPr>
        <w:t> </w:t>
      </w:r>
      <w:r>
        <w:rPr>
          <w:color w:val="0F0F0F"/>
          <w:w w:val="105"/>
          <w:sz w:val="23"/>
        </w:rPr>
        <w:t>note</w:t>
      </w:r>
      <w:r>
        <w:rPr>
          <w:color w:val="0F0F0F"/>
          <w:spacing w:val="-7"/>
          <w:w w:val="105"/>
          <w:sz w:val="23"/>
        </w:rPr>
        <w:t> </w:t>
      </w:r>
      <w:r>
        <w:rPr>
          <w:color w:val="0F0F0F"/>
          <w:w w:val="105"/>
          <w:sz w:val="23"/>
        </w:rPr>
        <w:t>5</w:t>
      </w:r>
      <w:r>
        <w:rPr>
          <w:color w:val="5B5B5B"/>
          <w:w w:val="105"/>
          <w:sz w:val="23"/>
        </w:rPr>
        <w:t>.</w:t>
      </w:r>
      <w:r>
        <w:rPr>
          <w:color w:val="0F0F0F"/>
          <w:w w:val="105"/>
          <w:sz w:val="23"/>
        </w:rPr>
        <w:t>26).</w:t>
      </w:r>
      <w:r>
        <w:rPr>
          <w:color w:val="0F0F0F"/>
          <w:spacing w:val="29"/>
          <w:w w:val="105"/>
          <w:sz w:val="23"/>
        </w:rPr>
        <w:t> </w:t>
      </w:r>
      <w:r>
        <w:rPr>
          <w:color w:val="0F0F0F"/>
          <w:w w:val="105"/>
          <w:sz w:val="23"/>
        </w:rPr>
        <w:t>At</w:t>
      </w:r>
      <w:r>
        <w:rPr>
          <w:color w:val="0F0F0F"/>
          <w:spacing w:val="-10"/>
          <w:w w:val="105"/>
          <w:sz w:val="23"/>
        </w:rPr>
        <w:t> </w:t>
      </w:r>
      <w:r>
        <w:rPr>
          <w:color w:val="0F0F0F"/>
          <w:w w:val="105"/>
          <w:sz w:val="23"/>
        </w:rPr>
        <w:t>31</w:t>
      </w:r>
      <w:r>
        <w:rPr>
          <w:color w:val="0F0F0F"/>
          <w:spacing w:val="-17"/>
          <w:w w:val="105"/>
          <w:sz w:val="23"/>
        </w:rPr>
        <w:t> </w:t>
      </w:r>
      <w:r>
        <w:rPr>
          <w:color w:val="0F0F0F"/>
          <w:w w:val="105"/>
          <w:sz w:val="23"/>
        </w:rPr>
        <w:t>March 2022</w:t>
      </w:r>
      <w:r>
        <w:rPr>
          <w:color w:val="0F0F0F"/>
          <w:w w:val="105"/>
          <w:sz w:val="23"/>
        </w:rPr>
        <w:t> the Council's</w:t>
      </w:r>
      <w:r>
        <w:rPr>
          <w:color w:val="0F0F0F"/>
          <w:w w:val="105"/>
          <w:sz w:val="23"/>
        </w:rPr>
        <w:t> share</w:t>
      </w:r>
      <w:r>
        <w:rPr>
          <w:color w:val="0F0F0F"/>
          <w:w w:val="105"/>
          <w:sz w:val="23"/>
        </w:rPr>
        <w:t> stood at £1.363m</w:t>
      </w:r>
      <w:r>
        <w:rPr>
          <w:color w:val="0F0F0F"/>
          <w:w w:val="105"/>
          <w:sz w:val="23"/>
        </w:rPr>
        <w:t> and</w:t>
      </w:r>
      <w:r>
        <w:rPr>
          <w:color w:val="0F0F0F"/>
          <w:w w:val="105"/>
          <w:sz w:val="23"/>
        </w:rPr>
        <w:t> after taking</w:t>
      </w:r>
      <w:r>
        <w:rPr>
          <w:color w:val="0F0F0F"/>
          <w:w w:val="105"/>
          <w:sz w:val="23"/>
        </w:rPr>
        <w:t> into account</w:t>
      </w:r>
      <w:r>
        <w:rPr>
          <w:color w:val="0F0F0F"/>
          <w:w w:val="105"/>
          <w:sz w:val="23"/>
        </w:rPr>
        <w:t> the sums utilised</w:t>
      </w:r>
      <w:r>
        <w:rPr>
          <w:color w:val="0F0F0F"/>
          <w:w w:val="105"/>
          <w:sz w:val="23"/>
        </w:rPr>
        <w:t> in</w:t>
      </w:r>
      <w:r>
        <w:rPr>
          <w:color w:val="0F0F0F"/>
          <w:w w:val="105"/>
          <w:sz w:val="23"/>
        </w:rPr>
        <w:t> 2022/23,</w:t>
      </w:r>
      <w:r>
        <w:rPr>
          <w:color w:val="0F0F0F"/>
          <w:w w:val="105"/>
          <w:sz w:val="23"/>
        </w:rPr>
        <w:t> the</w:t>
      </w:r>
      <w:r>
        <w:rPr>
          <w:color w:val="0F0F0F"/>
          <w:w w:val="105"/>
          <w:sz w:val="23"/>
        </w:rPr>
        <w:t> provision</w:t>
      </w:r>
      <w:r>
        <w:rPr>
          <w:color w:val="0F0F0F"/>
          <w:w w:val="105"/>
          <w:sz w:val="23"/>
        </w:rPr>
        <w:t> decreased</w:t>
      </w:r>
      <w:r>
        <w:rPr>
          <w:color w:val="0F0F0F"/>
          <w:w w:val="105"/>
          <w:sz w:val="23"/>
        </w:rPr>
        <w:t> to</w:t>
      </w:r>
      <w:r>
        <w:rPr>
          <w:color w:val="0F0F0F"/>
          <w:w w:val="105"/>
          <w:sz w:val="23"/>
        </w:rPr>
        <w:t> £0.418m</w:t>
      </w:r>
      <w:r>
        <w:rPr>
          <w:color w:val="0F0F0F"/>
          <w:w w:val="105"/>
          <w:sz w:val="23"/>
        </w:rPr>
        <w:t> at</w:t>
      </w:r>
      <w:r>
        <w:rPr>
          <w:color w:val="0F0F0F"/>
          <w:w w:val="105"/>
          <w:sz w:val="23"/>
        </w:rPr>
        <w:t> 31</w:t>
      </w:r>
      <w:r>
        <w:rPr>
          <w:color w:val="0F0F0F"/>
          <w:w w:val="105"/>
          <w:sz w:val="23"/>
        </w:rPr>
        <w:t> March</w:t>
      </w:r>
      <w:r>
        <w:rPr>
          <w:color w:val="0F0F0F"/>
          <w:w w:val="105"/>
          <w:sz w:val="23"/>
        </w:rPr>
        <w:t> 2023.</w:t>
      </w:r>
      <w:r>
        <w:rPr>
          <w:color w:val="0F0F0F"/>
          <w:w w:val="105"/>
          <w:sz w:val="23"/>
        </w:rPr>
        <w:t> The decrease</w:t>
      </w:r>
      <w:r>
        <w:rPr>
          <w:color w:val="0F0F0F"/>
          <w:w w:val="105"/>
          <w:sz w:val="23"/>
        </w:rPr>
        <w:t> was mainly</w:t>
      </w:r>
      <w:r>
        <w:rPr>
          <w:color w:val="0F0F0F"/>
          <w:w w:val="105"/>
          <w:sz w:val="23"/>
        </w:rPr>
        <w:t> due to rateable</w:t>
      </w:r>
      <w:r>
        <w:rPr>
          <w:color w:val="0F0F0F"/>
          <w:w w:val="105"/>
          <w:sz w:val="23"/>
        </w:rPr>
        <w:t> value list amendments</w:t>
      </w:r>
      <w:r>
        <w:rPr>
          <w:color w:val="0F0F0F"/>
          <w:w w:val="105"/>
          <w:sz w:val="23"/>
        </w:rPr>
        <w:t> being charged against the provision.</w:t>
      </w:r>
    </w:p>
    <w:p>
      <w:pPr>
        <w:spacing w:after="0" w:line="249" w:lineRule="auto"/>
        <w:jc w:val="both"/>
        <w:rPr>
          <w:sz w:val="23"/>
        </w:rPr>
        <w:sectPr>
          <w:type w:val="continuous"/>
          <w:pgSz w:w="11910" w:h="16830"/>
          <w:pgMar w:top="1940" w:right="920" w:bottom="280" w:left="840" w:header="559" w:footer="308"/>
        </w:sectPr>
      </w:pPr>
    </w:p>
    <w:p>
      <w:pPr>
        <w:pStyle w:val="BodyText"/>
        <w:rPr>
          <w:sz w:val="23"/>
        </w:rPr>
      </w:pPr>
    </w:p>
    <w:p>
      <w:pPr>
        <w:pStyle w:val="BodyText"/>
        <w:spacing w:before="220"/>
        <w:rPr>
          <w:sz w:val="23"/>
        </w:rPr>
      </w:pPr>
    </w:p>
    <w:p>
      <w:pPr>
        <w:spacing w:before="0"/>
        <w:ind w:left="582" w:right="0" w:firstLine="0"/>
        <w:jc w:val="both"/>
        <w:rPr>
          <w:b/>
          <w:sz w:val="23"/>
        </w:rPr>
      </w:pPr>
      <w:r>
        <w:rPr>
          <w:b/>
          <w:color w:val="0A0A0A"/>
          <w:w w:val="105"/>
          <w:sz w:val="23"/>
          <w:u w:val="thick" w:color="0A0A0A"/>
        </w:rPr>
        <w:t>The</w:t>
      </w:r>
      <w:r>
        <w:rPr>
          <w:b/>
          <w:color w:val="0A0A0A"/>
          <w:spacing w:val="-17"/>
          <w:w w:val="105"/>
          <w:sz w:val="23"/>
          <w:u w:val="thick" w:color="0A0A0A"/>
        </w:rPr>
        <w:t> </w:t>
      </w:r>
      <w:r>
        <w:rPr>
          <w:b/>
          <w:color w:val="0A0A0A"/>
          <w:w w:val="105"/>
          <w:sz w:val="23"/>
          <w:u w:val="thick" w:color="0A0A0A"/>
        </w:rPr>
        <w:t>Council's</w:t>
      </w:r>
      <w:r>
        <w:rPr>
          <w:b/>
          <w:color w:val="0A0A0A"/>
          <w:spacing w:val="-12"/>
          <w:w w:val="105"/>
          <w:sz w:val="23"/>
          <w:u w:val="thick" w:color="0A0A0A"/>
        </w:rPr>
        <w:t> </w:t>
      </w:r>
      <w:r>
        <w:rPr>
          <w:b/>
          <w:color w:val="0A0A0A"/>
          <w:w w:val="105"/>
          <w:sz w:val="23"/>
          <w:u w:val="thick" w:color="0A0A0A"/>
        </w:rPr>
        <w:t>accounting</w:t>
      </w:r>
      <w:r>
        <w:rPr>
          <w:b/>
          <w:color w:val="0A0A0A"/>
          <w:spacing w:val="-6"/>
          <w:w w:val="105"/>
          <w:sz w:val="23"/>
          <w:u w:val="thick" w:color="0A0A0A"/>
        </w:rPr>
        <w:t> </w:t>
      </w:r>
      <w:r>
        <w:rPr>
          <w:b/>
          <w:color w:val="0A0A0A"/>
          <w:spacing w:val="-2"/>
          <w:w w:val="105"/>
          <w:sz w:val="23"/>
          <w:u w:val="thick" w:color="0A0A0A"/>
        </w:rPr>
        <w:t>policies</w:t>
      </w:r>
    </w:p>
    <w:p>
      <w:pPr>
        <w:pStyle w:val="BodyText"/>
        <w:spacing w:before="14"/>
        <w:rPr>
          <w:b/>
          <w:sz w:val="23"/>
        </w:rPr>
      </w:pPr>
    </w:p>
    <w:p>
      <w:pPr>
        <w:spacing w:before="0" w:line="278" w:lineRule="auto"/>
        <w:ind w:left="584" w:right="528" w:firstLine="2"/>
        <w:jc w:val="both"/>
        <w:rPr>
          <w:sz w:val="24"/>
        </w:rPr>
      </w:pPr>
      <w:r>
        <w:rPr>
          <w:color w:val="0A0A0A"/>
          <w:sz w:val="24"/>
        </w:rPr>
        <w:t>The Council reviews its accounting policies each year and implements any changes necessary to ensure that it complies with the CIPFA/LASAAC Code of Practice on Local Authority Accounting in the United Kingdom.</w:t>
      </w:r>
    </w:p>
    <w:p>
      <w:pPr>
        <w:pStyle w:val="BodyText"/>
        <w:spacing w:before="217"/>
        <w:rPr>
          <w:sz w:val="23"/>
        </w:rPr>
      </w:pPr>
    </w:p>
    <w:p>
      <w:pPr>
        <w:spacing w:before="0"/>
        <w:ind w:left="594" w:right="0" w:firstLine="0"/>
        <w:jc w:val="both"/>
        <w:rPr>
          <w:b/>
          <w:sz w:val="23"/>
        </w:rPr>
      </w:pPr>
      <w:r>
        <w:rPr>
          <w:b/>
          <w:color w:val="0A0A0A"/>
          <w:w w:val="105"/>
          <w:sz w:val="23"/>
          <w:u w:val="thick" w:color="0A0A0A"/>
        </w:rPr>
        <w:t>Statement</w:t>
      </w:r>
      <w:r>
        <w:rPr>
          <w:b/>
          <w:color w:val="0A0A0A"/>
          <w:spacing w:val="-4"/>
          <w:w w:val="105"/>
          <w:sz w:val="23"/>
          <w:u w:val="thick" w:color="0A0A0A"/>
        </w:rPr>
        <w:t> </w:t>
      </w:r>
      <w:r>
        <w:rPr>
          <w:b/>
          <w:color w:val="0A0A0A"/>
          <w:w w:val="105"/>
          <w:sz w:val="23"/>
          <w:u w:val="thick" w:color="0A0A0A"/>
        </w:rPr>
        <w:t>of</w:t>
      </w:r>
      <w:r>
        <w:rPr>
          <w:b/>
          <w:color w:val="0A0A0A"/>
          <w:spacing w:val="-7"/>
          <w:w w:val="105"/>
          <w:sz w:val="23"/>
          <w:u w:val="thick" w:color="0A0A0A"/>
        </w:rPr>
        <w:t> </w:t>
      </w:r>
      <w:r>
        <w:rPr>
          <w:b/>
          <w:color w:val="0A0A0A"/>
          <w:spacing w:val="-2"/>
          <w:w w:val="105"/>
          <w:sz w:val="23"/>
          <w:u w:val="thick" w:color="0A0A0A"/>
        </w:rPr>
        <w:t>Accounts</w:t>
      </w:r>
    </w:p>
    <w:p>
      <w:pPr>
        <w:pStyle w:val="BodyText"/>
        <w:spacing w:before="14"/>
        <w:rPr>
          <w:b/>
          <w:sz w:val="23"/>
        </w:rPr>
      </w:pPr>
    </w:p>
    <w:p>
      <w:pPr>
        <w:spacing w:before="0" w:line="242" w:lineRule="auto"/>
        <w:ind w:left="585" w:right="520" w:firstLine="1"/>
        <w:jc w:val="both"/>
        <w:rPr>
          <w:sz w:val="24"/>
        </w:rPr>
      </w:pPr>
      <w:r>
        <w:rPr>
          <w:color w:val="0A0A0A"/>
          <w:sz w:val="24"/>
        </w:rPr>
        <w:t>The Council's financial statements for the year ended 31 March 2023 are set out following this narrative statement in pages 32 to 160. Where appropriate, figures for 2021/22 are also shown to</w:t>
      </w:r>
      <w:r>
        <w:rPr>
          <w:color w:val="0A0A0A"/>
          <w:spacing w:val="-1"/>
          <w:sz w:val="24"/>
        </w:rPr>
        <w:t> </w:t>
      </w:r>
      <w:r>
        <w:rPr>
          <w:color w:val="0A0A0A"/>
          <w:sz w:val="24"/>
        </w:rPr>
        <w:t>enable comparisons between the two years.</w:t>
      </w:r>
    </w:p>
    <w:p>
      <w:pPr>
        <w:spacing w:before="274" w:line="240" w:lineRule="auto"/>
        <w:ind w:left="588" w:right="508" w:hanging="1"/>
        <w:jc w:val="both"/>
        <w:rPr>
          <w:sz w:val="24"/>
        </w:rPr>
      </w:pPr>
      <w:r>
        <w:rPr>
          <w:color w:val="0A0A0A"/>
          <w:sz w:val="24"/>
        </w:rPr>
        <w:t>Under provisions contained in the Local Audit and Accountability Act 2014 and the Accounts and Audit Regulations 2015 (as amended in 2021), the Statement of Accounts for 2022/23 will</w:t>
      </w:r>
      <w:r>
        <w:rPr>
          <w:color w:val="0A0A0A"/>
          <w:spacing w:val="-1"/>
          <w:sz w:val="24"/>
        </w:rPr>
        <w:t> </w:t>
      </w:r>
      <w:r>
        <w:rPr>
          <w:color w:val="0A0A0A"/>
          <w:sz w:val="24"/>
        </w:rPr>
        <w:t>be made available for inspection on the Council's website, and at the Council offices from 11 January 2024. This is later than required by the regulations which is in part due to the late audit of the 2021/22 financial statements which is</w:t>
      </w:r>
      <w:r>
        <w:rPr>
          <w:color w:val="0A0A0A"/>
          <w:spacing w:val="-4"/>
          <w:sz w:val="24"/>
        </w:rPr>
        <w:t> </w:t>
      </w:r>
      <w:r>
        <w:rPr>
          <w:color w:val="0A0A0A"/>
          <w:sz w:val="24"/>
        </w:rPr>
        <w:t>ongoing and also due to</w:t>
      </w:r>
      <w:r>
        <w:rPr>
          <w:color w:val="0A0A0A"/>
          <w:spacing w:val="-4"/>
          <w:sz w:val="24"/>
        </w:rPr>
        <w:t> </w:t>
      </w:r>
      <w:r>
        <w:rPr>
          <w:color w:val="0A0A0A"/>
          <w:sz w:val="24"/>
        </w:rPr>
        <w:t>changes in</w:t>
      </w:r>
      <w:r>
        <w:rPr>
          <w:color w:val="0A0A0A"/>
          <w:spacing w:val="-5"/>
          <w:sz w:val="24"/>
        </w:rPr>
        <w:t> </w:t>
      </w:r>
      <w:r>
        <w:rPr>
          <w:color w:val="0A0A0A"/>
          <w:sz w:val="24"/>
        </w:rPr>
        <w:t>key</w:t>
      </w:r>
      <w:r>
        <w:rPr>
          <w:color w:val="0A0A0A"/>
          <w:spacing w:val="-3"/>
          <w:sz w:val="24"/>
        </w:rPr>
        <w:t> </w:t>
      </w:r>
      <w:r>
        <w:rPr>
          <w:color w:val="0A0A0A"/>
          <w:sz w:val="24"/>
        </w:rPr>
        <w:t>personnel during the preparation of these statements.</w:t>
      </w:r>
    </w:p>
    <w:p>
      <w:pPr>
        <w:pStyle w:val="BodyText"/>
        <w:spacing w:before="3"/>
        <w:rPr>
          <w:sz w:val="24"/>
        </w:rPr>
      </w:pPr>
    </w:p>
    <w:p>
      <w:pPr>
        <w:spacing w:before="0" w:line="240" w:lineRule="auto"/>
        <w:ind w:left="588" w:right="500" w:firstLine="0"/>
        <w:jc w:val="both"/>
        <w:rPr>
          <w:sz w:val="24"/>
        </w:rPr>
      </w:pPr>
      <w:r>
        <w:rPr>
          <w:color w:val="0A0A0A"/>
          <w:sz w:val="24"/>
        </w:rPr>
        <w:t>In</w:t>
      </w:r>
      <w:r>
        <w:rPr>
          <w:color w:val="0A0A0A"/>
          <w:spacing w:val="-17"/>
          <w:sz w:val="24"/>
        </w:rPr>
        <w:t> </w:t>
      </w:r>
      <w:r>
        <w:rPr>
          <w:color w:val="0A0A0A"/>
          <w:sz w:val="24"/>
        </w:rPr>
        <w:t>addition</w:t>
      </w:r>
      <w:r>
        <w:rPr>
          <w:color w:val="0A0A0A"/>
          <w:spacing w:val="-17"/>
          <w:sz w:val="24"/>
        </w:rPr>
        <w:t> </w:t>
      </w:r>
      <w:r>
        <w:rPr>
          <w:color w:val="0A0A0A"/>
          <w:sz w:val="24"/>
        </w:rPr>
        <w:t>to</w:t>
      </w:r>
      <w:r>
        <w:rPr>
          <w:color w:val="0A0A0A"/>
          <w:spacing w:val="-16"/>
          <w:sz w:val="24"/>
        </w:rPr>
        <w:t> </w:t>
      </w:r>
      <w:r>
        <w:rPr>
          <w:color w:val="0A0A0A"/>
          <w:sz w:val="24"/>
        </w:rPr>
        <w:t>this</w:t>
      </w:r>
      <w:r>
        <w:rPr>
          <w:color w:val="0A0A0A"/>
          <w:spacing w:val="-17"/>
          <w:sz w:val="24"/>
        </w:rPr>
        <w:t> </w:t>
      </w:r>
      <w:r>
        <w:rPr>
          <w:color w:val="0A0A0A"/>
          <w:sz w:val="24"/>
        </w:rPr>
        <w:t>report,</w:t>
      </w:r>
      <w:r>
        <w:rPr>
          <w:color w:val="0A0A0A"/>
          <w:spacing w:val="-17"/>
          <w:sz w:val="24"/>
        </w:rPr>
        <w:t> </w:t>
      </w:r>
      <w:r>
        <w:rPr>
          <w:color w:val="0A0A0A"/>
          <w:sz w:val="24"/>
        </w:rPr>
        <w:t>the</w:t>
      </w:r>
      <w:r>
        <w:rPr>
          <w:color w:val="0A0A0A"/>
          <w:spacing w:val="-17"/>
          <w:sz w:val="24"/>
        </w:rPr>
        <w:t> </w:t>
      </w:r>
      <w:r>
        <w:rPr>
          <w:color w:val="0A0A0A"/>
          <w:sz w:val="24"/>
        </w:rPr>
        <w:t>Council</w:t>
      </w:r>
      <w:r>
        <w:rPr>
          <w:color w:val="0A0A0A"/>
          <w:spacing w:val="-15"/>
          <w:sz w:val="24"/>
        </w:rPr>
        <w:t> </w:t>
      </w:r>
      <w:r>
        <w:rPr>
          <w:color w:val="0A0A0A"/>
          <w:sz w:val="24"/>
        </w:rPr>
        <w:t>is</w:t>
      </w:r>
      <w:r>
        <w:rPr>
          <w:color w:val="0A0A0A"/>
          <w:spacing w:val="-17"/>
          <w:sz w:val="24"/>
        </w:rPr>
        <w:t> </w:t>
      </w:r>
      <w:r>
        <w:rPr>
          <w:color w:val="0A0A0A"/>
          <w:sz w:val="24"/>
        </w:rPr>
        <w:t>required</w:t>
      </w:r>
      <w:r>
        <w:rPr>
          <w:color w:val="0A0A0A"/>
          <w:spacing w:val="-9"/>
          <w:sz w:val="24"/>
        </w:rPr>
        <w:t> </w:t>
      </w:r>
      <w:r>
        <w:rPr>
          <w:color w:val="0A0A0A"/>
          <w:sz w:val="24"/>
        </w:rPr>
        <w:t>to</w:t>
      </w:r>
      <w:r>
        <w:rPr>
          <w:color w:val="0A0A0A"/>
          <w:spacing w:val="-17"/>
          <w:sz w:val="24"/>
        </w:rPr>
        <w:t> </w:t>
      </w:r>
      <w:r>
        <w:rPr>
          <w:color w:val="0A0A0A"/>
          <w:sz w:val="24"/>
        </w:rPr>
        <w:t>meet</w:t>
      </w:r>
      <w:r>
        <w:rPr>
          <w:color w:val="0A0A0A"/>
          <w:spacing w:val="-12"/>
          <w:sz w:val="24"/>
        </w:rPr>
        <w:t> </w:t>
      </w:r>
      <w:r>
        <w:rPr>
          <w:color w:val="0A0A0A"/>
          <w:sz w:val="24"/>
        </w:rPr>
        <w:t>certain</w:t>
      </w:r>
      <w:r>
        <w:rPr>
          <w:color w:val="0A0A0A"/>
          <w:spacing w:val="-8"/>
          <w:sz w:val="24"/>
        </w:rPr>
        <w:t> </w:t>
      </w:r>
      <w:r>
        <w:rPr>
          <w:color w:val="0A0A0A"/>
          <w:sz w:val="24"/>
        </w:rPr>
        <w:t>statutory</w:t>
      </w:r>
      <w:r>
        <w:rPr>
          <w:color w:val="0A0A0A"/>
          <w:spacing w:val="-6"/>
          <w:sz w:val="24"/>
        </w:rPr>
        <w:t> </w:t>
      </w:r>
      <w:r>
        <w:rPr>
          <w:color w:val="0A0A0A"/>
          <w:sz w:val="24"/>
        </w:rPr>
        <w:t>requirements. Details of these responsibilities and the officer responsible are disclosed in the Statement of Responsibilities.</w:t>
      </w:r>
    </w:p>
    <w:p>
      <w:pPr>
        <w:spacing w:after="0" w:line="240" w:lineRule="auto"/>
        <w:jc w:val="both"/>
        <w:rPr>
          <w:sz w:val="24"/>
        </w:rPr>
        <w:sectPr>
          <w:headerReference w:type="default" r:id="rId64"/>
          <w:headerReference w:type="even" r:id="rId65"/>
          <w:footerReference w:type="default" r:id="rId66"/>
          <w:footerReference w:type="even" r:id="rId67"/>
          <w:pgSz w:w="11910" w:h="16830"/>
          <w:pgMar w:top="640" w:right="920" w:bottom="620" w:left="840" w:header="440" w:footer="424"/>
          <w:pgNumType w:start="29"/>
        </w:sectPr>
      </w:pPr>
    </w:p>
    <w:p>
      <w:pPr>
        <w:spacing w:before="226"/>
        <w:ind w:left="852" w:right="0" w:firstLine="0"/>
        <w:jc w:val="left"/>
        <w:rPr>
          <w:b/>
          <w:sz w:val="23"/>
        </w:rPr>
      </w:pPr>
      <w:r>
        <w:rPr>
          <w:b/>
          <w:color w:val="565656"/>
          <w:w w:val="105"/>
          <w:sz w:val="23"/>
        </w:rPr>
        <w:t>The</w:t>
      </w:r>
      <w:r>
        <w:rPr>
          <w:b/>
          <w:color w:val="565656"/>
          <w:spacing w:val="-14"/>
          <w:w w:val="105"/>
          <w:sz w:val="23"/>
        </w:rPr>
        <w:t> </w:t>
      </w:r>
      <w:r>
        <w:rPr>
          <w:b/>
          <w:color w:val="565656"/>
          <w:w w:val="105"/>
          <w:sz w:val="23"/>
        </w:rPr>
        <w:t>Core</w:t>
      </w:r>
      <w:r>
        <w:rPr>
          <w:b/>
          <w:color w:val="565656"/>
          <w:spacing w:val="-9"/>
          <w:w w:val="105"/>
          <w:sz w:val="23"/>
        </w:rPr>
        <w:t> </w:t>
      </w:r>
      <w:r>
        <w:rPr>
          <w:b/>
          <w:color w:val="565656"/>
          <w:w w:val="105"/>
          <w:sz w:val="23"/>
        </w:rPr>
        <w:t>Financial</w:t>
      </w:r>
      <w:r>
        <w:rPr>
          <w:b/>
          <w:color w:val="565656"/>
          <w:spacing w:val="2"/>
          <w:w w:val="105"/>
          <w:sz w:val="23"/>
        </w:rPr>
        <w:t> </w:t>
      </w:r>
      <w:r>
        <w:rPr>
          <w:b/>
          <w:color w:val="565656"/>
          <w:spacing w:val="-2"/>
          <w:w w:val="105"/>
          <w:sz w:val="23"/>
        </w:rPr>
        <w:t>Statements</w:t>
      </w:r>
    </w:p>
    <w:p>
      <w:pPr>
        <w:spacing w:before="269"/>
        <w:ind w:left="843" w:right="0" w:firstLine="0"/>
        <w:jc w:val="both"/>
        <w:rPr>
          <w:sz w:val="24"/>
        </w:rPr>
      </w:pPr>
      <w:r>
        <w:rPr>
          <w:color w:val="0A0A0A"/>
          <w:sz w:val="24"/>
          <w:u w:val="thick" w:color="1A1A1A"/>
        </w:rPr>
        <w:t>Movement</w:t>
      </w:r>
      <w:r>
        <w:rPr>
          <w:color w:val="0A0A0A"/>
          <w:spacing w:val="2"/>
          <w:sz w:val="24"/>
          <w:u w:val="thick" w:color="1A1A1A"/>
        </w:rPr>
        <w:t> </w:t>
      </w:r>
      <w:r>
        <w:rPr>
          <w:color w:val="0A0A0A"/>
          <w:sz w:val="24"/>
          <w:u w:val="thick" w:color="1A1A1A"/>
        </w:rPr>
        <w:t>in</w:t>
      </w:r>
      <w:r>
        <w:rPr>
          <w:color w:val="0A0A0A"/>
          <w:spacing w:val="-9"/>
          <w:sz w:val="24"/>
          <w:u w:val="thick" w:color="1A1A1A"/>
        </w:rPr>
        <w:t> </w:t>
      </w:r>
      <w:r>
        <w:rPr>
          <w:color w:val="0A0A0A"/>
          <w:sz w:val="24"/>
          <w:u w:val="thick" w:color="1A1A1A"/>
        </w:rPr>
        <w:t>Reserves</w:t>
      </w:r>
      <w:r>
        <w:rPr>
          <w:color w:val="0A0A0A"/>
          <w:spacing w:val="15"/>
          <w:sz w:val="24"/>
          <w:u w:val="thick" w:color="1A1A1A"/>
        </w:rPr>
        <w:t> </w:t>
      </w:r>
      <w:r>
        <w:rPr>
          <w:color w:val="1A1A1A"/>
          <w:spacing w:val="-2"/>
          <w:sz w:val="24"/>
          <w:u w:val="thick" w:color="1A1A1A"/>
        </w:rPr>
        <w:t>Statement</w:t>
      </w:r>
    </w:p>
    <w:p>
      <w:pPr>
        <w:pStyle w:val="BodyText"/>
        <w:spacing w:before="1"/>
        <w:rPr>
          <w:sz w:val="24"/>
        </w:rPr>
      </w:pPr>
    </w:p>
    <w:p>
      <w:pPr>
        <w:spacing w:before="0" w:line="240" w:lineRule="auto"/>
        <w:ind w:left="814" w:right="271" w:firstLine="27"/>
        <w:jc w:val="both"/>
        <w:rPr>
          <w:sz w:val="24"/>
        </w:rPr>
      </w:pPr>
      <w:r>
        <w:rPr>
          <w:color w:val="1A1A1A"/>
          <w:sz w:val="24"/>
        </w:rPr>
        <w:t>This statement shows the</w:t>
      </w:r>
      <w:r>
        <w:rPr>
          <w:color w:val="1A1A1A"/>
          <w:spacing w:val="-11"/>
          <w:sz w:val="24"/>
        </w:rPr>
        <w:t> </w:t>
      </w:r>
      <w:r>
        <w:rPr>
          <w:color w:val="1A1A1A"/>
          <w:sz w:val="24"/>
        </w:rPr>
        <w:t>movement </w:t>
      </w:r>
      <w:r>
        <w:rPr>
          <w:color w:val="0A0A0A"/>
          <w:sz w:val="24"/>
        </w:rPr>
        <w:t>in</w:t>
      </w:r>
      <w:r>
        <w:rPr>
          <w:color w:val="0A0A0A"/>
          <w:spacing w:val="-9"/>
          <w:sz w:val="24"/>
        </w:rPr>
        <w:t> </w:t>
      </w:r>
      <w:r>
        <w:rPr>
          <w:color w:val="0A0A0A"/>
          <w:sz w:val="24"/>
        </w:rPr>
        <w:t>the </w:t>
      </w:r>
      <w:r>
        <w:rPr>
          <w:color w:val="1A1A1A"/>
          <w:sz w:val="24"/>
        </w:rPr>
        <w:t>year on</w:t>
      </w:r>
      <w:r>
        <w:rPr>
          <w:color w:val="1A1A1A"/>
          <w:spacing w:val="-6"/>
          <w:sz w:val="24"/>
        </w:rPr>
        <w:t> </w:t>
      </w:r>
      <w:r>
        <w:rPr>
          <w:color w:val="1A1A1A"/>
          <w:sz w:val="24"/>
        </w:rPr>
        <w:t>the</w:t>
      </w:r>
      <w:r>
        <w:rPr>
          <w:color w:val="1A1A1A"/>
          <w:spacing w:val="-8"/>
          <w:sz w:val="24"/>
        </w:rPr>
        <w:t> </w:t>
      </w:r>
      <w:r>
        <w:rPr>
          <w:color w:val="1A1A1A"/>
          <w:sz w:val="24"/>
        </w:rPr>
        <w:t>different reserves held</w:t>
      </w:r>
      <w:r>
        <w:rPr>
          <w:color w:val="1A1A1A"/>
          <w:spacing w:val="-7"/>
          <w:sz w:val="24"/>
        </w:rPr>
        <w:t> </w:t>
      </w:r>
      <w:r>
        <w:rPr>
          <w:color w:val="1A1A1A"/>
          <w:sz w:val="24"/>
        </w:rPr>
        <w:t>by</w:t>
      </w:r>
      <w:r>
        <w:rPr>
          <w:color w:val="1A1A1A"/>
          <w:spacing w:val="-12"/>
          <w:sz w:val="24"/>
        </w:rPr>
        <w:t> </w:t>
      </w:r>
      <w:r>
        <w:rPr>
          <w:color w:val="1A1A1A"/>
          <w:sz w:val="24"/>
        </w:rPr>
        <w:t>the Council, analysed into </w:t>
      </w:r>
      <w:r>
        <w:rPr>
          <w:color w:val="3F3F3F"/>
          <w:sz w:val="24"/>
        </w:rPr>
        <w:t>'usable </w:t>
      </w:r>
      <w:r>
        <w:rPr>
          <w:color w:val="1A1A1A"/>
          <w:sz w:val="24"/>
        </w:rPr>
        <w:t>reserves' (i.e. those that can be applied to </w:t>
      </w:r>
      <w:r>
        <w:rPr>
          <w:color w:val="0A0A0A"/>
          <w:sz w:val="24"/>
        </w:rPr>
        <w:t>fund </w:t>
      </w:r>
      <w:r>
        <w:rPr>
          <w:color w:val="1A1A1A"/>
          <w:sz w:val="24"/>
        </w:rPr>
        <w:t>expenditure or reduce local taxation) </w:t>
      </w:r>
      <w:r>
        <w:rPr>
          <w:color w:val="0A0A0A"/>
          <w:sz w:val="24"/>
        </w:rPr>
        <w:t>and </w:t>
      </w:r>
      <w:r>
        <w:rPr>
          <w:color w:val="1A1A1A"/>
          <w:sz w:val="24"/>
        </w:rPr>
        <w:t>other reserves. The Total Comprehensive </w:t>
      </w:r>
      <w:r>
        <w:rPr>
          <w:color w:val="0A0A0A"/>
          <w:sz w:val="24"/>
        </w:rPr>
        <w:t>Income and Expenditure shows the true economic cost of providing the Council's services. These</w:t>
      </w:r>
      <w:r>
        <w:rPr>
          <w:color w:val="0A0A0A"/>
          <w:spacing w:val="-10"/>
          <w:sz w:val="24"/>
        </w:rPr>
        <w:t> </w:t>
      </w:r>
      <w:r>
        <w:rPr>
          <w:color w:val="0A0A0A"/>
          <w:sz w:val="24"/>
        </w:rPr>
        <w:t>are</w:t>
      </w:r>
      <w:r>
        <w:rPr>
          <w:color w:val="0A0A0A"/>
          <w:spacing w:val="-15"/>
          <w:sz w:val="24"/>
        </w:rPr>
        <w:t> </w:t>
      </w:r>
      <w:r>
        <w:rPr>
          <w:color w:val="1A1A1A"/>
          <w:sz w:val="24"/>
        </w:rPr>
        <w:t>different </w:t>
      </w:r>
      <w:r>
        <w:rPr>
          <w:color w:val="0A0A0A"/>
          <w:sz w:val="24"/>
        </w:rPr>
        <w:t>from</w:t>
      </w:r>
      <w:r>
        <w:rPr>
          <w:color w:val="0A0A0A"/>
          <w:spacing w:val="-9"/>
          <w:sz w:val="24"/>
        </w:rPr>
        <w:t> </w:t>
      </w:r>
      <w:r>
        <w:rPr>
          <w:color w:val="0A0A0A"/>
          <w:sz w:val="24"/>
        </w:rPr>
        <w:t>the</w:t>
      </w:r>
      <w:r>
        <w:rPr>
          <w:color w:val="0A0A0A"/>
          <w:spacing w:val="-9"/>
          <w:sz w:val="24"/>
        </w:rPr>
        <w:t> </w:t>
      </w:r>
      <w:r>
        <w:rPr>
          <w:color w:val="0A0A0A"/>
          <w:sz w:val="24"/>
        </w:rPr>
        <w:t>statutory</w:t>
      </w:r>
      <w:r>
        <w:rPr>
          <w:color w:val="0A0A0A"/>
          <w:spacing w:val="-3"/>
          <w:sz w:val="24"/>
        </w:rPr>
        <w:t> </w:t>
      </w:r>
      <w:r>
        <w:rPr>
          <w:color w:val="0A0A0A"/>
          <w:sz w:val="24"/>
        </w:rPr>
        <w:t>amounts required</w:t>
      </w:r>
      <w:r>
        <w:rPr>
          <w:color w:val="0A0A0A"/>
          <w:spacing w:val="-3"/>
          <w:sz w:val="24"/>
        </w:rPr>
        <w:t> </w:t>
      </w:r>
      <w:r>
        <w:rPr>
          <w:color w:val="0A0A0A"/>
          <w:sz w:val="24"/>
        </w:rPr>
        <w:t>to</w:t>
      </w:r>
      <w:r>
        <w:rPr>
          <w:color w:val="0A0A0A"/>
          <w:spacing w:val="-15"/>
          <w:sz w:val="24"/>
        </w:rPr>
        <w:t> </w:t>
      </w:r>
      <w:r>
        <w:rPr>
          <w:color w:val="0A0A0A"/>
          <w:sz w:val="24"/>
        </w:rPr>
        <w:t>be</w:t>
      </w:r>
      <w:r>
        <w:rPr>
          <w:color w:val="0A0A0A"/>
          <w:spacing w:val="-8"/>
          <w:sz w:val="24"/>
        </w:rPr>
        <w:t> </w:t>
      </w:r>
      <w:r>
        <w:rPr>
          <w:color w:val="0A0A0A"/>
          <w:sz w:val="24"/>
        </w:rPr>
        <w:t>charged</w:t>
      </w:r>
      <w:r>
        <w:rPr>
          <w:color w:val="0A0A0A"/>
          <w:spacing w:val="-6"/>
          <w:sz w:val="24"/>
        </w:rPr>
        <w:t> </w:t>
      </w:r>
      <w:r>
        <w:rPr>
          <w:color w:val="1A1A1A"/>
          <w:sz w:val="24"/>
        </w:rPr>
        <w:t>to</w:t>
      </w:r>
      <w:r>
        <w:rPr>
          <w:color w:val="1A1A1A"/>
          <w:spacing w:val="-16"/>
          <w:sz w:val="24"/>
        </w:rPr>
        <w:t> </w:t>
      </w:r>
      <w:r>
        <w:rPr>
          <w:color w:val="0A0A0A"/>
          <w:sz w:val="24"/>
        </w:rPr>
        <w:t>the General Fund for </w:t>
      </w:r>
      <w:r>
        <w:rPr>
          <w:color w:val="1A1A1A"/>
          <w:sz w:val="24"/>
        </w:rPr>
        <w:t>council </w:t>
      </w:r>
      <w:r>
        <w:rPr>
          <w:color w:val="0A0A0A"/>
          <w:sz w:val="24"/>
        </w:rPr>
        <w:t>tax setting purposes, which is </w:t>
      </w:r>
      <w:r>
        <w:rPr>
          <w:color w:val="1A1A1A"/>
          <w:sz w:val="24"/>
        </w:rPr>
        <w:t>arrived </w:t>
      </w:r>
      <w:r>
        <w:rPr>
          <w:color w:val="0A0A0A"/>
          <w:sz w:val="24"/>
        </w:rPr>
        <w:t>at by combining the Total Comprehensive Income and Expenditure with the Adjustments between accounting basis and funding basis under regulations.</w:t>
      </w:r>
    </w:p>
    <w:p>
      <w:pPr>
        <w:pStyle w:val="BodyText"/>
        <w:spacing w:before="5"/>
        <w:rPr>
          <w:sz w:val="24"/>
        </w:rPr>
      </w:pPr>
    </w:p>
    <w:p>
      <w:pPr>
        <w:spacing w:before="0" w:line="240" w:lineRule="auto"/>
        <w:ind w:left="803" w:right="286" w:firstLine="5"/>
        <w:jc w:val="both"/>
        <w:rPr>
          <w:sz w:val="24"/>
        </w:rPr>
      </w:pPr>
      <w:r>
        <w:rPr>
          <w:color w:val="0A0A0A"/>
          <w:sz w:val="24"/>
        </w:rPr>
        <w:t>The Accounting Code of Practice </w:t>
      </w:r>
      <w:r>
        <w:rPr>
          <w:color w:val="1A1A1A"/>
          <w:sz w:val="24"/>
        </w:rPr>
        <w:t>identifies </w:t>
      </w:r>
      <w:r>
        <w:rPr>
          <w:color w:val="0A0A0A"/>
          <w:sz w:val="24"/>
        </w:rPr>
        <w:t>Earmarked Reserves to be part of the General Fund balance. The earmarking of reserves has no formal status in</w:t>
      </w:r>
      <w:r>
        <w:rPr>
          <w:color w:val="0A0A0A"/>
          <w:spacing w:val="-1"/>
          <w:sz w:val="24"/>
        </w:rPr>
        <w:t> </w:t>
      </w:r>
      <w:r>
        <w:rPr>
          <w:color w:val="0A0A0A"/>
          <w:sz w:val="24"/>
        </w:rPr>
        <w:t>financial reporting or statute for local government.</w:t>
      </w:r>
    </w:p>
    <w:p>
      <w:pPr>
        <w:pStyle w:val="BodyText"/>
        <w:spacing w:before="2"/>
        <w:rPr>
          <w:sz w:val="24"/>
        </w:rPr>
      </w:pPr>
    </w:p>
    <w:p>
      <w:pPr>
        <w:spacing w:before="0" w:line="242" w:lineRule="auto"/>
        <w:ind w:left="794" w:right="295" w:firstLine="0"/>
        <w:jc w:val="both"/>
        <w:rPr>
          <w:sz w:val="24"/>
        </w:rPr>
      </w:pPr>
      <w:r>
        <w:rPr>
          <w:color w:val="0A0A0A"/>
          <w:sz w:val="24"/>
        </w:rPr>
        <w:t>Further analysis of</w:t>
      </w:r>
      <w:r>
        <w:rPr>
          <w:color w:val="0A0A0A"/>
          <w:spacing w:val="-6"/>
          <w:sz w:val="24"/>
        </w:rPr>
        <w:t> </w:t>
      </w:r>
      <w:r>
        <w:rPr>
          <w:color w:val="0A0A0A"/>
          <w:sz w:val="24"/>
        </w:rPr>
        <w:t>the</w:t>
      </w:r>
      <w:r>
        <w:rPr>
          <w:color w:val="0A0A0A"/>
          <w:spacing w:val="-14"/>
          <w:sz w:val="24"/>
        </w:rPr>
        <w:t> </w:t>
      </w:r>
      <w:r>
        <w:rPr>
          <w:color w:val="0A0A0A"/>
          <w:sz w:val="24"/>
        </w:rPr>
        <w:t>General</w:t>
      </w:r>
      <w:r>
        <w:rPr>
          <w:color w:val="0A0A0A"/>
          <w:spacing w:val="-16"/>
          <w:sz w:val="24"/>
        </w:rPr>
        <w:t> </w:t>
      </w:r>
      <w:r>
        <w:rPr>
          <w:color w:val="0A0A0A"/>
          <w:sz w:val="24"/>
        </w:rPr>
        <w:t>Fund</w:t>
      </w:r>
      <w:r>
        <w:rPr>
          <w:color w:val="0A0A0A"/>
          <w:spacing w:val="-6"/>
          <w:sz w:val="24"/>
        </w:rPr>
        <w:t> </w:t>
      </w:r>
      <w:r>
        <w:rPr>
          <w:color w:val="0A0A0A"/>
          <w:sz w:val="24"/>
        </w:rPr>
        <w:t>is</w:t>
      </w:r>
      <w:r>
        <w:rPr>
          <w:color w:val="0A0A0A"/>
          <w:spacing w:val="-11"/>
          <w:sz w:val="24"/>
        </w:rPr>
        <w:t> </w:t>
      </w:r>
      <w:r>
        <w:rPr>
          <w:color w:val="0A0A0A"/>
          <w:sz w:val="24"/>
        </w:rPr>
        <w:t>disclosed in</w:t>
      </w:r>
      <w:r>
        <w:rPr>
          <w:color w:val="0A0A0A"/>
          <w:spacing w:val="-10"/>
          <w:sz w:val="24"/>
        </w:rPr>
        <w:t> </w:t>
      </w:r>
      <w:r>
        <w:rPr>
          <w:color w:val="0A0A0A"/>
          <w:sz w:val="24"/>
        </w:rPr>
        <w:t>the</w:t>
      </w:r>
      <w:r>
        <w:rPr>
          <w:color w:val="0A0A0A"/>
          <w:spacing w:val="-17"/>
          <w:sz w:val="24"/>
        </w:rPr>
        <w:t> </w:t>
      </w:r>
      <w:r>
        <w:rPr>
          <w:color w:val="0A0A0A"/>
          <w:sz w:val="24"/>
        </w:rPr>
        <w:t>notes</w:t>
      </w:r>
      <w:r>
        <w:rPr>
          <w:color w:val="0A0A0A"/>
          <w:spacing w:val="-5"/>
          <w:sz w:val="24"/>
        </w:rPr>
        <w:t> </w:t>
      </w:r>
      <w:r>
        <w:rPr>
          <w:color w:val="0A0A0A"/>
          <w:sz w:val="24"/>
        </w:rPr>
        <w:t>to</w:t>
      </w:r>
      <w:r>
        <w:rPr>
          <w:color w:val="0A0A0A"/>
          <w:spacing w:val="-10"/>
          <w:sz w:val="24"/>
        </w:rPr>
        <w:t> </w:t>
      </w:r>
      <w:r>
        <w:rPr>
          <w:color w:val="0A0A0A"/>
          <w:sz w:val="24"/>
        </w:rPr>
        <w:t>the</w:t>
      </w:r>
      <w:r>
        <w:rPr>
          <w:color w:val="0A0A0A"/>
          <w:spacing w:val="-10"/>
          <w:sz w:val="24"/>
        </w:rPr>
        <w:t> </w:t>
      </w:r>
      <w:r>
        <w:rPr>
          <w:color w:val="0A0A0A"/>
          <w:sz w:val="24"/>
        </w:rPr>
        <w:t>accounts, in</w:t>
      </w:r>
      <w:r>
        <w:rPr>
          <w:color w:val="0A0A0A"/>
          <w:spacing w:val="-14"/>
          <w:sz w:val="24"/>
        </w:rPr>
        <w:t> </w:t>
      </w:r>
      <w:r>
        <w:rPr>
          <w:color w:val="0A0A0A"/>
          <w:sz w:val="24"/>
        </w:rPr>
        <w:t>Note 5.30, </w:t>
      </w:r>
      <w:r>
        <w:rPr>
          <w:color w:val="1A1A1A"/>
          <w:sz w:val="24"/>
        </w:rPr>
        <w:t>identifying </w:t>
      </w:r>
      <w:r>
        <w:rPr>
          <w:color w:val="0A0A0A"/>
          <w:sz w:val="24"/>
        </w:rPr>
        <w:t>where part of</w:t>
      </w:r>
      <w:r>
        <w:rPr>
          <w:color w:val="0A0A0A"/>
          <w:spacing w:val="-2"/>
          <w:sz w:val="24"/>
        </w:rPr>
        <w:t> </w:t>
      </w:r>
      <w:r>
        <w:rPr>
          <w:color w:val="0A0A0A"/>
          <w:sz w:val="24"/>
        </w:rPr>
        <w:t>the fund has been earmarked for specific purposes.</w:t>
      </w:r>
    </w:p>
    <w:p>
      <w:pPr>
        <w:pStyle w:val="BodyText"/>
        <w:spacing w:before="271"/>
        <w:rPr>
          <w:sz w:val="24"/>
        </w:rPr>
      </w:pPr>
    </w:p>
    <w:p>
      <w:pPr>
        <w:spacing w:before="1"/>
        <w:ind w:left="777" w:right="0" w:firstLine="0"/>
        <w:jc w:val="both"/>
        <w:rPr>
          <w:sz w:val="24"/>
        </w:rPr>
      </w:pPr>
      <w:r>
        <w:rPr>
          <w:color w:val="0A0A0A"/>
          <w:sz w:val="24"/>
          <w:u w:val="thick" w:color="1A1A1A"/>
        </w:rPr>
        <w:t>Comprehensive</w:t>
      </w:r>
      <w:r>
        <w:rPr>
          <w:color w:val="0A0A0A"/>
          <w:spacing w:val="13"/>
          <w:sz w:val="24"/>
          <w:u w:val="thick" w:color="1A1A1A"/>
        </w:rPr>
        <w:t> </w:t>
      </w:r>
      <w:r>
        <w:rPr>
          <w:color w:val="0A0A0A"/>
          <w:sz w:val="24"/>
          <w:u w:val="thick" w:color="1A1A1A"/>
        </w:rPr>
        <w:t>Income</w:t>
      </w:r>
      <w:r>
        <w:rPr>
          <w:color w:val="0A0A0A"/>
          <w:spacing w:val="-9"/>
          <w:sz w:val="24"/>
          <w:u w:val="thick" w:color="1A1A1A"/>
        </w:rPr>
        <w:t> </w:t>
      </w:r>
      <w:r>
        <w:rPr>
          <w:color w:val="0A0A0A"/>
          <w:sz w:val="24"/>
          <w:u w:val="thick" w:color="1A1A1A"/>
        </w:rPr>
        <w:t>&amp;</w:t>
      </w:r>
      <w:r>
        <w:rPr>
          <w:color w:val="0A0A0A"/>
          <w:spacing w:val="-12"/>
          <w:sz w:val="24"/>
          <w:u w:val="thick" w:color="1A1A1A"/>
        </w:rPr>
        <w:t> </w:t>
      </w:r>
      <w:r>
        <w:rPr>
          <w:color w:val="1A1A1A"/>
          <w:sz w:val="24"/>
          <w:u w:val="thick" w:color="1A1A1A"/>
        </w:rPr>
        <w:t>Expenditure </w:t>
      </w:r>
      <w:r>
        <w:rPr>
          <w:color w:val="1A1A1A"/>
          <w:spacing w:val="-2"/>
          <w:sz w:val="24"/>
          <w:u w:val="thick" w:color="1A1A1A"/>
        </w:rPr>
        <w:t>Statement</w:t>
      </w:r>
    </w:p>
    <w:p>
      <w:pPr>
        <w:pStyle w:val="BodyText"/>
        <w:rPr>
          <w:sz w:val="24"/>
        </w:rPr>
      </w:pPr>
    </w:p>
    <w:p>
      <w:pPr>
        <w:spacing w:before="0" w:line="242" w:lineRule="auto"/>
        <w:ind w:left="759" w:right="303" w:firstLine="15"/>
        <w:jc w:val="both"/>
        <w:rPr>
          <w:sz w:val="24"/>
        </w:rPr>
      </w:pPr>
      <w:r>
        <w:rPr>
          <w:color w:val="0A0A0A"/>
          <w:sz w:val="24"/>
        </w:rPr>
        <w:t>This statement shows the accounting cost in the year of providing services in accordance with </w:t>
      </w:r>
      <w:r>
        <w:rPr>
          <w:color w:val="1A1A1A"/>
          <w:sz w:val="24"/>
        </w:rPr>
        <w:t>generally </w:t>
      </w:r>
      <w:r>
        <w:rPr>
          <w:color w:val="0A0A0A"/>
          <w:sz w:val="24"/>
        </w:rPr>
        <w:t>accepted accounting practices, rather </w:t>
      </w:r>
      <w:r>
        <w:rPr>
          <w:color w:val="1A1A1A"/>
          <w:sz w:val="24"/>
        </w:rPr>
        <w:t>than</w:t>
      </w:r>
      <w:r>
        <w:rPr>
          <w:color w:val="1A1A1A"/>
          <w:spacing w:val="-3"/>
          <w:sz w:val="24"/>
        </w:rPr>
        <w:t> </w:t>
      </w:r>
      <w:r>
        <w:rPr>
          <w:color w:val="0A0A0A"/>
          <w:sz w:val="24"/>
        </w:rPr>
        <w:t>the </w:t>
      </w:r>
      <w:r>
        <w:rPr>
          <w:color w:val="1A1A1A"/>
          <w:sz w:val="24"/>
        </w:rPr>
        <w:t>amount </w:t>
      </w:r>
      <w:r>
        <w:rPr>
          <w:color w:val="0A0A0A"/>
          <w:sz w:val="24"/>
        </w:rPr>
        <w:t>to be </w:t>
      </w:r>
      <w:r>
        <w:rPr>
          <w:color w:val="1A1A1A"/>
          <w:sz w:val="24"/>
        </w:rPr>
        <w:t>funded </w:t>
      </w:r>
      <w:r>
        <w:rPr>
          <w:color w:val="0A0A0A"/>
          <w:sz w:val="24"/>
        </w:rPr>
        <w:t>from taxation. Councils raise </w:t>
      </w:r>
      <w:r>
        <w:rPr>
          <w:color w:val="1A1A1A"/>
          <w:sz w:val="24"/>
        </w:rPr>
        <w:t>taxation </w:t>
      </w:r>
      <w:r>
        <w:rPr>
          <w:color w:val="0A0A0A"/>
          <w:sz w:val="24"/>
        </w:rPr>
        <w:t>to cover expenditure in accordance with regulations; this may</w:t>
      </w:r>
      <w:r>
        <w:rPr>
          <w:color w:val="0A0A0A"/>
          <w:spacing w:val="-1"/>
          <w:sz w:val="24"/>
        </w:rPr>
        <w:t> </w:t>
      </w:r>
      <w:r>
        <w:rPr>
          <w:color w:val="0A0A0A"/>
          <w:sz w:val="24"/>
        </w:rPr>
        <w:t>be</w:t>
      </w:r>
      <w:r>
        <w:rPr>
          <w:color w:val="0A0A0A"/>
          <w:spacing w:val="-3"/>
          <w:sz w:val="24"/>
        </w:rPr>
        <w:t> </w:t>
      </w:r>
      <w:r>
        <w:rPr>
          <w:color w:val="0A0A0A"/>
          <w:sz w:val="24"/>
        </w:rPr>
        <w:t>different from the</w:t>
      </w:r>
      <w:r>
        <w:rPr>
          <w:color w:val="0A0A0A"/>
          <w:spacing w:val="-4"/>
          <w:sz w:val="24"/>
        </w:rPr>
        <w:t> </w:t>
      </w:r>
      <w:r>
        <w:rPr>
          <w:color w:val="0A0A0A"/>
          <w:sz w:val="24"/>
        </w:rPr>
        <w:t>accounting cost. The</w:t>
      </w:r>
      <w:r>
        <w:rPr>
          <w:color w:val="0A0A0A"/>
          <w:spacing w:val="-2"/>
          <w:sz w:val="24"/>
        </w:rPr>
        <w:t> </w:t>
      </w:r>
      <w:r>
        <w:rPr>
          <w:color w:val="0A0A0A"/>
          <w:sz w:val="24"/>
        </w:rPr>
        <w:t>taxation position is shown in the Movement in Reserves</w:t>
      </w:r>
      <w:r>
        <w:rPr>
          <w:color w:val="0A0A0A"/>
          <w:spacing w:val="40"/>
          <w:sz w:val="24"/>
        </w:rPr>
        <w:t> </w:t>
      </w:r>
      <w:r>
        <w:rPr>
          <w:color w:val="0A0A0A"/>
          <w:sz w:val="24"/>
        </w:rPr>
        <w:t>Statement.</w:t>
      </w:r>
    </w:p>
    <w:p>
      <w:pPr>
        <w:pStyle w:val="BodyText"/>
        <w:spacing w:before="262"/>
        <w:rPr>
          <w:sz w:val="24"/>
        </w:rPr>
      </w:pPr>
    </w:p>
    <w:p>
      <w:pPr>
        <w:spacing w:before="0"/>
        <w:ind w:left="757" w:right="0" w:firstLine="0"/>
        <w:jc w:val="both"/>
        <w:rPr>
          <w:sz w:val="24"/>
        </w:rPr>
      </w:pPr>
      <w:r>
        <w:rPr>
          <w:color w:val="1A1A1A"/>
          <w:sz w:val="24"/>
          <w:u w:val="thick" w:color="0A0A0A"/>
        </w:rPr>
        <w:t>Balance</w:t>
      </w:r>
      <w:r>
        <w:rPr>
          <w:color w:val="1A1A1A"/>
          <w:spacing w:val="-8"/>
          <w:sz w:val="24"/>
          <w:u w:val="thick" w:color="0A0A0A"/>
        </w:rPr>
        <w:t> </w:t>
      </w:r>
      <w:r>
        <w:rPr>
          <w:color w:val="0A0A0A"/>
          <w:spacing w:val="-4"/>
          <w:sz w:val="24"/>
          <w:u w:val="thick" w:color="0A0A0A"/>
        </w:rPr>
        <w:t>Sheet</w:t>
      </w:r>
    </w:p>
    <w:p>
      <w:pPr>
        <w:pStyle w:val="BodyText"/>
        <w:spacing w:before="6"/>
        <w:rPr>
          <w:sz w:val="24"/>
        </w:rPr>
      </w:pPr>
    </w:p>
    <w:p>
      <w:pPr>
        <w:spacing w:before="0" w:line="240" w:lineRule="auto"/>
        <w:ind w:left="726" w:right="323" w:firstLine="19"/>
        <w:jc w:val="both"/>
        <w:rPr>
          <w:sz w:val="24"/>
        </w:rPr>
      </w:pPr>
      <w:r>
        <w:rPr>
          <w:color w:val="0A0A0A"/>
          <w:sz w:val="24"/>
        </w:rPr>
        <w:t>The Balance Sheet shows the</w:t>
      </w:r>
      <w:r>
        <w:rPr>
          <w:color w:val="0A0A0A"/>
          <w:spacing w:val="-1"/>
          <w:sz w:val="24"/>
        </w:rPr>
        <w:t> </w:t>
      </w:r>
      <w:r>
        <w:rPr>
          <w:color w:val="0A0A0A"/>
          <w:sz w:val="24"/>
        </w:rPr>
        <w:t>values as</w:t>
      </w:r>
      <w:r>
        <w:rPr>
          <w:color w:val="0A0A0A"/>
          <w:spacing w:val="-2"/>
          <w:sz w:val="24"/>
        </w:rPr>
        <w:t> </w:t>
      </w:r>
      <w:r>
        <w:rPr>
          <w:color w:val="0A0A0A"/>
          <w:sz w:val="24"/>
        </w:rPr>
        <w:t>at</w:t>
      </w:r>
      <w:r>
        <w:rPr>
          <w:color w:val="0A0A0A"/>
          <w:spacing w:val="-9"/>
          <w:sz w:val="24"/>
        </w:rPr>
        <w:t> </w:t>
      </w:r>
      <w:r>
        <w:rPr>
          <w:color w:val="0A0A0A"/>
          <w:sz w:val="24"/>
        </w:rPr>
        <w:t>the Balance Sheet date</w:t>
      </w:r>
      <w:r>
        <w:rPr>
          <w:color w:val="0A0A0A"/>
          <w:spacing w:val="-4"/>
          <w:sz w:val="24"/>
        </w:rPr>
        <w:t> </w:t>
      </w:r>
      <w:r>
        <w:rPr>
          <w:color w:val="0A0A0A"/>
          <w:sz w:val="24"/>
        </w:rPr>
        <w:t>of the assets and liabilities </w:t>
      </w:r>
      <w:r>
        <w:rPr>
          <w:color w:val="1A1A1A"/>
          <w:sz w:val="24"/>
        </w:rPr>
        <w:t>recognised </w:t>
      </w:r>
      <w:r>
        <w:rPr>
          <w:color w:val="0A0A0A"/>
          <w:sz w:val="24"/>
        </w:rPr>
        <w:t>by the Council. The net assets of the Council (assets less liabilities) are</w:t>
      </w:r>
      <w:r>
        <w:rPr>
          <w:color w:val="0A0A0A"/>
          <w:spacing w:val="-7"/>
          <w:sz w:val="24"/>
        </w:rPr>
        <w:t> </w:t>
      </w:r>
      <w:r>
        <w:rPr>
          <w:color w:val="0A0A0A"/>
          <w:sz w:val="24"/>
        </w:rPr>
        <w:t>matched by</w:t>
      </w:r>
      <w:r>
        <w:rPr>
          <w:color w:val="0A0A0A"/>
          <w:spacing w:val="-9"/>
          <w:sz w:val="24"/>
        </w:rPr>
        <w:t> </w:t>
      </w:r>
      <w:r>
        <w:rPr>
          <w:color w:val="0A0A0A"/>
          <w:sz w:val="24"/>
        </w:rPr>
        <w:t>the</w:t>
      </w:r>
      <w:r>
        <w:rPr>
          <w:color w:val="0A0A0A"/>
          <w:spacing w:val="-3"/>
          <w:sz w:val="24"/>
        </w:rPr>
        <w:t> </w:t>
      </w:r>
      <w:r>
        <w:rPr>
          <w:color w:val="0A0A0A"/>
          <w:sz w:val="24"/>
        </w:rPr>
        <w:t>reserves held</w:t>
      </w:r>
      <w:r>
        <w:rPr>
          <w:color w:val="0A0A0A"/>
          <w:spacing w:val="-4"/>
          <w:sz w:val="24"/>
        </w:rPr>
        <w:t> </w:t>
      </w:r>
      <w:r>
        <w:rPr>
          <w:color w:val="0A0A0A"/>
          <w:sz w:val="24"/>
        </w:rPr>
        <w:t>by</w:t>
      </w:r>
      <w:r>
        <w:rPr>
          <w:color w:val="0A0A0A"/>
          <w:spacing w:val="-9"/>
          <w:sz w:val="24"/>
        </w:rPr>
        <w:t> </w:t>
      </w:r>
      <w:r>
        <w:rPr>
          <w:color w:val="0A0A0A"/>
          <w:sz w:val="24"/>
        </w:rPr>
        <w:t>the</w:t>
      </w:r>
      <w:r>
        <w:rPr>
          <w:color w:val="0A0A0A"/>
          <w:spacing w:val="-10"/>
          <w:sz w:val="24"/>
        </w:rPr>
        <w:t> </w:t>
      </w:r>
      <w:r>
        <w:rPr>
          <w:color w:val="0A0A0A"/>
          <w:sz w:val="24"/>
        </w:rPr>
        <w:t>Council.</w:t>
      </w:r>
      <w:r>
        <w:rPr>
          <w:color w:val="0A0A0A"/>
          <w:spacing w:val="40"/>
          <w:sz w:val="24"/>
        </w:rPr>
        <w:t> </w:t>
      </w:r>
      <w:r>
        <w:rPr>
          <w:color w:val="0A0A0A"/>
          <w:sz w:val="24"/>
        </w:rPr>
        <w:t>Reserves are reported in two categories. The first category of reserves is usable reserves, i.e. those reserves that</w:t>
      </w:r>
      <w:r>
        <w:rPr>
          <w:color w:val="0A0A0A"/>
          <w:spacing w:val="-8"/>
          <w:sz w:val="24"/>
        </w:rPr>
        <w:t> </w:t>
      </w:r>
      <w:r>
        <w:rPr>
          <w:color w:val="0A0A0A"/>
          <w:sz w:val="24"/>
        </w:rPr>
        <w:t>the</w:t>
      </w:r>
      <w:r>
        <w:rPr>
          <w:color w:val="0A0A0A"/>
          <w:spacing w:val="-12"/>
          <w:sz w:val="24"/>
        </w:rPr>
        <w:t> </w:t>
      </w:r>
      <w:r>
        <w:rPr>
          <w:color w:val="0A0A0A"/>
          <w:sz w:val="24"/>
        </w:rPr>
        <w:t>Council</w:t>
      </w:r>
      <w:r>
        <w:rPr>
          <w:color w:val="0A0A0A"/>
          <w:spacing w:val="-9"/>
          <w:sz w:val="24"/>
        </w:rPr>
        <w:t> </w:t>
      </w:r>
      <w:r>
        <w:rPr>
          <w:color w:val="0A0A0A"/>
          <w:sz w:val="24"/>
        </w:rPr>
        <w:t>may</w:t>
      </w:r>
      <w:r>
        <w:rPr>
          <w:color w:val="0A0A0A"/>
          <w:spacing w:val="-12"/>
          <w:sz w:val="24"/>
        </w:rPr>
        <w:t> </w:t>
      </w:r>
      <w:r>
        <w:rPr>
          <w:color w:val="0A0A0A"/>
          <w:sz w:val="24"/>
        </w:rPr>
        <w:t>use</w:t>
      </w:r>
      <w:r>
        <w:rPr>
          <w:color w:val="0A0A0A"/>
          <w:spacing w:val="-13"/>
          <w:sz w:val="24"/>
        </w:rPr>
        <w:t> </w:t>
      </w:r>
      <w:r>
        <w:rPr>
          <w:color w:val="0A0A0A"/>
          <w:sz w:val="24"/>
        </w:rPr>
        <w:t>to</w:t>
      </w:r>
      <w:r>
        <w:rPr>
          <w:color w:val="0A0A0A"/>
          <w:spacing w:val="-17"/>
          <w:sz w:val="24"/>
        </w:rPr>
        <w:t> </w:t>
      </w:r>
      <w:r>
        <w:rPr>
          <w:color w:val="0A0A0A"/>
          <w:sz w:val="24"/>
        </w:rPr>
        <w:t>provide</w:t>
      </w:r>
      <w:r>
        <w:rPr>
          <w:color w:val="0A0A0A"/>
          <w:spacing w:val="-6"/>
          <w:sz w:val="24"/>
        </w:rPr>
        <w:t> </w:t>
      </w:r>
      <w:r>
        <w:rPr>
          <w:color w:val="0A0A0A"/>
          <w:sz w:val="24"/>
        </w:rPr>
        <w:t>services,</w:t>
      </w:r>
      <w:r>
        <w:rPr>
          <w:color w:val="0A0A0A"/>
          <w:spacing w:val="15"/>
          <w:sz w:val="24"/>
        </w:rPr>
        <w:t> </w:t>
      </w:r>
      <w:r>
        <w:rPr>
          <w:color w:val="0A0A0A"/>
          <w:sz w:val="24"/>
        </w:rPr>
        <w:t>subject</w:t>
      </w:r>
      <w:r>
        <w:rPr>
          <w:color w:val="0A0A0A"/>
          <w:spacing w:val="-4"/>
          <w:sz w:val="24"/>
        </w:rPr>
        <w:t> </w:t>
      </w:r>
      <w:r>
        <w:rPr>
          <w:color w:val="0A0A0A"/>
          <w:sz w:val="24"/>
        </w:rPr>
        <w:t>to</w:t>
      </w:r>
      <w:r>
        <w:rPr>
          <w:color w:val="0A0A0A"/>
          <w:spacing w:val="-12"/>
          <w:sz w:val="24"/>
        </w:rPr>
        <w:t> </w:t>
      </w:r>
      <w:r>
        <w:rPr>
          <w:color w:val="0A0A0A"/>
          <w:sz w:val="24"/>
        </w:rPr>
        <w:t>the</w:t>
      </w:r>
      <w:r>
        <w:rPr>
          <w:color w:val="0A0A0A"/>
          <w:spacing w:val="-17"/>
          <w:sz w:val="24"/>
        </w:rPr>
        <w:t> </w:t>
      </w:r>
      <w:r>
        <w:rPr>
          <w:color w:val="0A0A0A"/>
          <w:sz w:val="24"/>
        </w:rPr>
        <w:t>need</w:t>
      </w:r>
      <w:r>
        <w:rPr>
          <w:color w:val="0A0A0A"/>
          <w:spacing w:val="-10"/>
          <w:sz w:val="24"/>
        </w:rPr>
        <w:t> </w:t>
      </w:r>
      <w:r>
        <w:rPr>
          <w:color w:val="0A0A0A"/>
          <w:sz w:val="24"/>
        </w:rPr>
        <w:t>to</w:t>
      </w:r>
      <w:r>
        <w:rPr>
          <w:color w:val="0A0A0A"/>
          <w:spacing w:val="-17"/>
          <w:sz w:val="24"/>
        </w:rPr>
        <w:t> </w:t>
      </w:r>
      <w:r>
        <w:rPr>
          <w:color w:val="0A0A0A"/>
          <w:sz w:val="24"/>
        </w:rPr>
        <w:t>maintain a</w:t>
      </w:r>
      <w:r>
        <w:rPr>
          <w:color w:val="0A0A0A"/>
          <w:spacing w:val="-17"/>
          <w:sz w:val="24"/>
        </w:rPr>
        <w:t> </w:t>
      </w:r>
      <w:r>
        <w:rPr>
          <w:color w:val="0A0A0A"/>
          <w:sz w:val="24"/>
        </w:rPr>
        <w:t>prudent level of reserves and any statutory limitations on their use (for example, the Capital Receipts Reserve may only be used to fund capital expenditure or repay debt).</w:t>
      </w:r>
    </w:p>
    <w:p>
      <w:pPr>
        <w:pStyle w:val="BodyText"/>
        <w:spacing w:before="7"/>
        <w:rPr>
          <w:sz w:val="24"/>
        </w:rPr>
      </w:pPr>
    </w:p>
    <w:p>
      <w:pPr>
        <w:spacing w:before="0" w:line="240" w:lineRule="auto"/>
        <w:ind w:left="704" w:right="328" w:firstLine="17"/>
        <w:jc w:val="both"/>
        <w:rPr>
          <w:sz w:val="24"/>
        </w:rPr>
      </w:pPr>
      <w:r>
        <w:rPr>
          <w:color w:val="0A0A0A"/>
          <w:sz w:val="24"/>
        </w:rPr>
        <w:t>The second category of reserves comprises</w:t>
      </w:r>
      <w:r>
        <w:rPr>
          <w:color w:val="0A0A0A"/>
          <w:spacing w:val="28"/>
          <w:sz w:val="24"/>
        </w:rPr>
        <w:t> </w:t>
      </w:r>
      <w:r>
        <w:rPr>
          <w:color w:val="0A0A0A"/>
          <w:sz w:val="24"/>
        </w:rPr>
        <w:t>those that the Council is not able to</w:t>
      </w:r>
      <w:r>
        <w:rPr>
          <w:color w:val="0A0A0A"/>
          <w:spacing w:val="-2"/>
          <w:sz w:val="24"/>
        </w:rPr>
        <w:t> </w:t>
      </w:r>
      <w:r>
        <w:rPr>
          <w:color w:val="0A0A0A"/>
          <w:sz w:val="24"/>
        </w:rPr>
        <w:t>use to</w:t>
      </w:r>
      <w:r>
        <w:rPr>
          <w:color w:val="0A0A0A"/>
          <w:spacing w:val="-3"/>
          <w:sz w:val="24"/>
        </w:rPr>
        <w:t> </w:t>
      </w:r>
      <w:r>
        <w:rPr>
          <w:color w:val="0A0A0A"/>
          <w:sz w:val="24"/>
        </w:rPr>
        <w:t>provide services. This category of reserves includes reserves that hold unrealised gains and losses (for example the Revaluation Reserve}, where amounts would only become available to</w:t>
      </w:r>
      <w:r>
        <w:rPr>
          <w:color w:val="0A0A0A"/>
          <w:spacing w:val="-15"/>
          <w:sz w:val="24"/>
        </w:rPr>
        <w:t> </w:t>
      </w:r>
      <w:r>
        <w:rPr>
          <w:color w:val="0A0A0A"/>
          <w:sz w:val="24"/>
        </w:rPr>
        <w:t>fund services if</w:t>
      </w:r>
      <w:r>
        <w:rPr>
          <w:color w:val="0A0A0A"/>
          <w:spacing w:val="-14"/>
          <w:sz w:val="24"/>
        </w:rPr>
        <w:t> </w:t>
      </w:r>
      <w:r>
        <w:rPr>
          <w:color w:val="0A0A0A"/>
          <w:sz w:val="24"/>
        </w:rPr>
        <w:t>the</w:t>
      </w:r>
      <w:r>
        <w:rPr>
          <w:color w:val="0A0A0A"/>
          <w:spacing w:val="-5"/>
          <w:sz w:val="24"/>
        </w:rPr>
        <w:t> </w:t>
      </w:r>
      <w:r>
        <w:rPr>
          <w:color w:val="0A0A0A"/>
          <w:sz w:val="24"/>
        </w:rPr>
        <w:t>assets are</w:t>
      </w:r>
      <w:r>
        <w:rPr>
          <w:color w:val="0A0A0A"/>
          <w:spacing w:val="-3"/>
          <w:sz w:val="24"/>
        </w:rPr>
        <w:t> </w:t>
      </w:r>
      <w:r>
        <w:rPr>
          <w:color w:val="0A0A0A"/>
          <w:sz w:val="24"/>
        </w:rPr>
        <w:t>sold; and</w:t>
      </w:r>
      <w:r>
        <w:rPr>
          <w:color w:val="0A0A0A"/>
          <w:spacing w:val="-8"/>
          <w:sz w:val="24"/>
        </w:rPr>
        <w:t> </w:t>
      </w:r>
      <w:r>
        <w:rPr>
          <w:color w:val="0A0A0A"/>
          <w:sz w:val="24"/>
        </w:rPr>
        <w:t>reserves </w:t>
      </w:r>
      <w:r>
        <w:rPr>
          <w:color w:val="1A1A1A"/>
          <w:sz w:val="24"/>
        </w:rPr>
        <w:t>that </w:t>
      </w:r>
      <w:r>
        <w:rPr>
          <w:color w:val="0A0A0A"/>
          <w:sz w:val="24"/>
        </w:rPr>
        <w:t>hold</w:t>
      </w:r>
      <w:r>
        <w:rPr>
          <w:color w:val="0A0A0A"/>
          <w:spacing w:val="-10"/>
          <w:sz w:val="24"/>
        </w:rPr>
        <w:t> </w:t>
      </w:r>
      <w:r>
        <w:rPr>
          <w:color w:val="0A0A0A"/>
          <w:sz w:val="24"/>
        </w:rPr>
        <w:t>timing differences shown</w:t>
      </w:r>
      <w:r>
        <w:rPr>
          <w:color w:val="0A0A0A"/>
          <w:spacing w:val="-10"/>
          <w:sz w:val="24"/>
        </w:rPr>
        <w:t> </w:t>
      </w:r>
      <w:r>
        <w:rPr>
          <w:color w:val="0A0A0A"/>
          <w:sz w:val="24"/>
        </w:rPr>
        <w:t>in</w:t>
      </w:r>
      <w:r>
        <w:rPr>
          <w:color w:val="0A0A0A"/>
          <w:spacing w:val="-17"/>
          <w:sz w:val="24"/>
        </w:rPr>
        <w:t> </w:t>
      </w:r>
      <w:r>
        <w:rPr>
          <w:color w:val="0A0A0A"/>
          <w:sz w:val="24"/>
        </w:rPr>
        <w:t>the</w:t>
      </w:r>
      <w:r>
        <w:rPr>
          <w:color w:val="0A0A0A"/>
          <w:spacing w:val="-10"/>
          <w:sz w:val="24"/>
        </w:rPr>
        <w:t> </w:t>
      </w:r>
      <w:r>
        <w:rPr>
          <w:color w:val="0A0A0A"/>
          <w:sz w:val="24"/>
        </w:rPr>
        <w:t>Movement in</w:t>
      </w:r>
      <w:r>
        <w:rPr>
          <w:color w:val="0A0A0A"/>
          <w:spacing w:val="-17"/>
          <w:sz w:val="24"/>
        </w:rPr>
        <w:t> </w:t>
      </w:r>
      <w:r>
        <w:rPr>
          <w:color w:val="0A0A0A"/>
          <w:sz w:val="24"/>
        </w:rPr>
        <w:t>Reserves</w:t>
      </w:r>
      <w:r>
        <w:rPr>
          <w:color w:val="0A0A0A"/>
          <w:spacing w:val="-2"/>
          <w:sz w:val="24"/>
        </w:rPr>
        <w:t> </w:t>
      </w:r>
      <w:r>
        <w:rPr>
          <w:color w:val="0A0A0A"/>
          <w:sz w:val="24"/>
        </w:rPr>
        <w:t>Statement line</w:t>
      </w:r>
      <w:r>
        <w:rPr>
          <w:color w:val="0A0A0A"/>
          <w:spacing w:val="-8"/>
          <w:sz w:val="24"/>
        </w:rPr>
        <w:t> </w:t>
      </w:r>
      <w:r>
        <w:rPr>
          <w:color w:val="1A1A1A"/>
          <w:sz w:val="24"/>
        </w:rPr>
        <w:t>'Adjustments </w:t>
      </w:r>
      <w:r>
        <w:rPr>
          <w:color w:val="0A0A0A"/>
          <w:sz w:val="24"/>
        </w:rPr>
        <w:t>between accounting basis and funding basis under regulations.'</w:t>
      </w:r>
    </w:p>
    <w:p>
      <w:pPr>
        <w:spacing w:after="0" w:line="240" w:lineRule="auto"/>
        <w:jc w:val="both"/>
        <w:rPr>
          <w:sz w:val="24"/>
        </w:rPr>
        <w:sectPr>
          <w:pgSz w:w="11910" w:h="16830"/>
          <w:pgMar w:top="740" w:right="920" w:bottom="500" w:left="840" w:header="559" w:footer="300"/>
        </w:sectPr>
      </w:pPr>
    </w:p>
    <w:p>
      <w:pPr>
        <w:spacing w:before="192"/>
        <w:ind w:left="585" w:right="0" w:firstLine="0"/>
        <w:jc w:val="both"/>
        <w:rPr>
          <w:sz w:val="24"/>
        </w:rPr>
      </w:pPr>
      <w:r>
        <w:rPr>
          <w:color w:val="111111"/>
          <w:sz w:val="24"/>
          <w:u w:val="thick" w:color="111111"/>
        </w:rPr>
        <w:t>Cash</w:t>
      </w:r>
      <w:r>
        <w:rPr>
          <w:color w:val="111111"/>
          <w:spacing w:val="-10"/>
          <w:sz w:val="24"/>
          <w:u w:val="thick" w:color="111111"/>
        </w:rPr>
        <w:t> </w:t>
      </w:r>
      <w:r>
        <w:rPr>
          <w:color w:val="111111"/>
          <w:sz w:val="24"/>
          <w:u w:val="thick" w:color="111111"/>
        </w:rPr>
        <w:t>Flow</w:t>
      </w:r>
      <w:r>
        <w:rPr>
          <w:color w:val="111111"/>
          <w:spacing w:val="-6"/>
          <w:sz w:val="24"/>
          <w:u w:val="thick" w:color="111111"/>
        </w:rPr>
        <w:t> </w:t>
      </w:r>
      <w:r>
        <w:rPr>
          <w:color w:val="111111"/>
          <w:spacing w:val="-2"/>
          <w:sz w:val="24"/>
          <w:u w:val="thick" w:color="111111"/>
        </w:rPr>
        <w:t>Statement</w:t>
      </w:r>
    </w:p>
    <w:p>
      <w:pPr>
        <w:pStyle w:val="BodyText"/>
        <w:rPr>
          <w:sz w:val="24"/>
        </w:rPr>
      </w:pPr>
    </w:p>
    <w:p>
      <w:pPr>
        <w:spacing w:before="0" w:line="240" w:lineRule="auto"/>
        <w:ind w:left="580" w:right="522" w:hanging="4"/>
        <w:jc w:val="both"/>
        <w:rPr>
          <w:sz w:val="24"/>
        </w:rPr>
      </w:pPr>
      <w:r>
        <w:rPr>
          <w:color w:val="111111"/>
          <w:sz w:val="24"/>
        </w:rPr>
        <w:t>The Cash Flow Statement shows the changes in cash and cash equivalents of the Council</w:t>
      </w:r>
      <w:r>
        <w:rPr>
          <w:color w:val="111111"/>
          <w:spacing w:val="-2"/>
          <w:sz w:val="24"/>
        </w:rPr>
        <w:t> </w:t>
      </w:r>
      <w:r>
        <w:rPr>
          <w:color w:val="111111"/>
          <w:sz w:val="24"/>
        </w:rPr>
        <w:t>during the</w:t>
      </w:r>
      <w:r>
        <w:rPr>
          <w:color w:val="111111"/>
          <w:spacing w:val="-11"/>
          <w:sz w:val="24"/>
        </w:rPr>
        <w:t> </w:t>
      </w:r>
      <w:r>
        <w:rPr>
          <w:color w:val="111111"/>
          <w:sz w:val="24"/>
        </w:rPr>
        <w:t>reporting period.</w:t>
      </w:r>
      <w:r>
        <w:rPr>
          <w:color w:val="111111"/>
          <w:spacing w:val="-1"/>
          <w:sz w:val="24"/>
        </w:rPr>
        <w:t> </w:t>
      </w:r>
      <w:r>
        <w:rPr>
          <w:color w:val="111111"/>
          <w:sz w:val="24"/>
        </w:rPr>
        <w:t>The</w:t>
      </w:r>
      <w:r>
        <w:rPr>
          <w:color w:val="111111"/>
          <w:spacing w:val="-3"/>
          <w:sz w:val="24"/>
        </w:rPr>
        <w:t> </w:t>
      </w:r>
      <w:r>
        <w:rPr>
          <w:color w:val="111111"/>
          <w:sz w:val="24"/>
        </w:rPr>
        <w:t>statement shows how</w:t>
      </w:r>
      <w:r>
        <w:rPr>
          <w:color w:val="111111"/>
          <w:spacing w:val="-2"/>
          <w:sz w:val="24"/>
        </w:rPr>
        <w:t> </w:t>
      </w:r>
      <w:r>
        <w:rPr>
          <w:color w:val="111111"/>
          <w:sz w:val="24"/>
        </w:rPr>
        <w:t>the</w:t>
      </w:r>
      <w:r>
        <w:rPr>
          <w:color w:val="111111"/>
          <w:spacing w:val="-12"/>
          <w:sz w:val="24"/>
        </w:rPr>
        <w:t> </w:t>
      </w:r>
      <w:r>
        <w:rPr>
          <w:color w:val="111111"/>
          <w:sz w:val="24"/>
        </w:rPr>
        <w:t>Council generates and</w:t>
      </w:r>
      <w:r>
        <w:rPr>
          <w:color w:val="111111"/>
          <w:spacing w:val="-2"/>
          <w:sz w:val="24"/>
        </w:rPr>
        <w:t> </w:t>
      </w:r>
      <w:r>
        <w:rPr>
          <w:color w:val="111111"/>
          <w:sz w:val="24"/>
        </w:rPr>
        <w:t>uses</w:t>
      </w:r>
      <w:r>
        <w:rPr>
          <w:color w:val="111111"/>
          <w:spacing w:val="-4"/>
          <w:sz w:val="24"/>
        </w:rPr>
        <w:t> </w:t>
      </w:r>
      <w:r>
        <w:rPr>
          <w:color w:val="111111"/>
          <w:sz w:val="24"/>
        </w:rPr>
        <w:t>cash</w:t>
      </w:r>
      <w:r>
        <w:rPr>
          <w:color w:val="111111"/>
          <w:spacing w:val="-8"/>
          <w:sz w:val="24"/>
        </w:rPr>
        <w:t> </w:t>
      </w:r>
      <w:r>
        <w:rPr>
          <w:color w:val="111111"/>
          <w:sz w:val="24"/>
        </w:rPr>
        <w:t>and</w:t>
      </w:r>
      <w:r>
        <w:rPr>
          <w:color w:val="111111"/>
          <w:spacing w:val="-1"/>
          <w:sz w:val="24"/>
        </w:rPr>
        <w:t> </w:t>
      </w:r>
      <w:r>
        <w:rPr>
          <w:color w:val="111111"/>
          <w:sz w:val="24"/>
        </w:rPr>
        <w:t>cash</w:t>
      </w:r>
      <w:r>
        <w:rPr>
          <w:color w:val="111111"/>
          <w:spacing w:val="-8"/>
          <w:sz w:val="24"/>
        </w:rPr>
        <w:t> </w:t>
      </w:r>
      <w:r>
        <w:rPr>
          <w:color w:val="111111"/>
          <w:sz w:val="24"/>
        </w:rPr>
        <w:t>equivalents by</w:t>
      </w:r>
      <w:r>
        <w:rPr>
          <w:color w:val="111111"/>
          <w:spacing w:val="-9"/>
          <w:sz w:val="24"/>
        </w:rPr>
        <w:t> </w:t>
      </w:r>
      <w:r>
        <w:rPr>
          <w:color w:val="111111"/>
          <w:sz w:val="24"/>
        </w:rPr>
        <w:t>classifying cash</w:t>
      </w:r>
      <w:r>
        <w:rPr>
          <w:color w:val="111111"/>
          <w:spacing w:val="-6"/>
          <w:sz w:val="24"/>
        </w:rPr>
        <w:t> </w:t>
      </w:r>
      <w:r>
        <w:rPr>
          <w:color w:val="111111"/>
          <w:sz w:val="24"/>
        </w:rPr>
        <w:t>flows as</w:t>
      </w:r>
      <w:r>
        <w:rPr>
          <w:color w:val="111111"/>
          <w:spacing w:val="-5"/>
          <w:sz w:val="24"/>
        </w:rPr>
        <w:t> </w:t>
      </w:r>
      <w:r>
        <w:rPr>
          <w:color w:val="111111"/>
          <w:sz w:val="24"/>
        </w:rPr>
        <w:t>operating, investing and</w:t>
      </w:r>
      <w:r>
        <w:rPr>
          <w:color w:val="111111"/>
          <w:spacing w:val="-17"/>
          <w:sz w:val="24"/>
        </w:rPr>
        <w:t> </w:t>
      </w:r>
      <w:r>
        <w:rPr>
          <w:color w:val="111111"/>
          <w:sz w:val="24"/>
        </w:rPr>
        <w:t>financing activities. The</w:t>
      </w:r>
      <w:r>
        <w:rPr>
          <w:color w:val="111111"/>
          <w:spacing w:val="-9"/>
          <w:sz w:val="24"/>
        </w:rPr>
        <w:t> </w:t>
      </w:r>
      <w:r>
        <w:rPr>
          <w:color w:val="111111"/>
          <w:sz w:val="24"/>
        </w:rPr>
        <w:t>amount of</w:t>
      </w:r>
      <w:r>
        <w:rPr>
          <w:color w:val="111111"/>
          <w:spacing w:val="-11"/>
          <w:sz w:val="24"/>
        </w:rPr>
        <w:t> </w:t>
      </w:r>
      <w:r>
        <w:rPr>
          <w:color w:val="111111"/>
          <w:sz w:val="24"/>
        </w:rPr>
        <w:t>net</w:t>
      </w:r>
      <w:r>
        <w:rPr>
          <w:color w:val="111111"/>
          <w:spacing w:val="-11"/>
          <w:sz w:val="24"/>
        </w:rPr>
        <w:t> </w:t>
      </w:r>
      <w:r>
        <w:rPr>
          <w:color w:val="111111"/>
          <w:sz w:val="24"/>
        </w:rPr>
        <w:t>cash</w:t>
      </w:r>
      <w:r>
        <w:rPr>
          <w:color w:val="111111"/>
          <w:spacing w:val="-7"/>
          <w:sz w:val="24"/>
        </w:rPr>
        <w:t> </w:t>
      </w:r>
      <w:r>
        <w:rPr>
          <w:color w:val="111111"/>
          <w:sz w:val="24"/>
        </w:rPr>
        <w:t>flows arising</w:t>
      </w:r>
      <w:r>
        <w:rPr>
          <w:color w:val="111111"/>
          <w:spacing w:val="-3"/>
          <w:sz w:val="24"/>
        </w:rPr>
        <w:t> </w:t>
      </w:r>
      <w:r>
        <w:rPr>
          <w:color w:val="111111"/>
          <w:sz w:val="24"/>
        </w:rPr>
        <w:t>from</w:t>
      </w:r>
      <w:r>
        <w:rPr>
          <w:color w:val="111111"/>
          <w:spacing w:val="-8"/>
          <w:sz w:val="24"/>
        </w:rPr>
        <w:t> </w:t>
      </w:r>
      <w:r>
        <w:rPr>
          <w:color w:val="111111"/>
          <w:sz w:val="24"/>
        </w:rPr>
        <w:t>operating activities is a key </w:t>
      </w:r>
      <w:r>
        <w:rPr>
          <w:color w:val="2B2B2B"/>
          <w:sz w:val="24"/>
        </w:rPr>
        <w:t>indicator </w:t>
      </w:r>
      <w:r>
        <w:rPr>
          <w:color w:val="111111"/>
          <w:sz w:val="24"/>
        </w:rPr>
        <w:t>of the extent to which the operations of the Council are funded by way of </w:t>
      </w:r>
      <w:r>
        <w:rPr>
          <w:color w:val="2B2B2B"/>
          <w:sz w:val="24"/>
        </w:rPr>
        <w:t>taxation </w:t>
      </w:r>
      <w:r>
        <w:rPr>
          <w:color w:val="111111"/>
          <w:sz w:val="24"/>
        </w:rPr>
        <w:t>and grant </w:t>
      </w:r>
      <w:r>
        <w:rPr>
          <w:color w:val="2B2B2B"/>
          <w:sz w:val="24"/>
        </w:rPr>
        <w:t>income </w:t>
      </w:r>
      <w:r>
        <w:rPr>
          <w:color w:val="111111"/>
          <w:sz w:val="24"/>
        </w:rPr>
        <w:t>or from </w:t>
      </w:r>
      <w:r>
        <w:rPr>
          <w:color w:val="2B2B2B"/>
          <w:sz w:val="24"/>
        </w:rPr>
        <w:t>the recipients </w:t>
      </w:r>
      <w:r>
        <w:rPr>
          <w:color w:val="111111"/>
          <w:sz w:val="24"/>
        </w:rPr>
        <w:t>of services provided by the Council. Investing activities </w:t>
      </w:r>
      <w:r>
        <w:rPr>
          <w:color w:val="2B2B2B"/>
          <w:sz w:val="24"/>
        </w:rPr>
        <w:t>represent the </w:t>
      </w:r>
      <w:r>
        <w:rPr>
          <w:color w:val="111111"/>
          <w:sz w:val="24"/>
        </w:rPr>
        <w:t>extent to which cash outflows have been made for resources which are intended to contribute to the Council's future service delivery. Cash</w:t>
      </w:r>
      <w:r>
        <w:rPr>
          <w:color w:val="111111"/>
          <w:spacing w:val="-4"/>
          <w:sz w:val="24"/>
        </w:rPr>
        <w:t> </w:t>
      </w:r>
      <w:r>
        <w:rPr>
          <w:color w:val="2B2B2B"/>
          <w:sz w:val="24"/>
        </w:rPr>
        <w:t>flows</w:t>
      </w:r>
      <w:r>
        <w:rPr>
          <w:color w:val="2B2B2B"/>
          <w:spacing w:val="-3"/>
          <w:sz w:val="24"/>
        </w:rPr>
        <w:t> </w:t>
      </w:r>
      <w:r>
        <w:rPr>
          <w:color w:val="111111"/>
          <w:sz w:val="24"/>
        </w:rPr>
        <w:t>arising from</w:t>
      </w:r>
      <w:r>
        <w:rPr>
          <w:color w:val="111111"/>
          <w:spacing w:val="-7"/>
          <w:sz w:val="24"/>
        </w:rPr>
        <w:t> </w:t>
      </w:r>
      <w:r>
        <w:rPr>
          <w:color w:val="111111"/>
          <w:sz w:val="24"/>
        </w:rPr>
        <w:t>financing activities</w:t>
      </w:r>
      <w:r>
        <w:rPr>
          <w:color w:val="111111"/>
          <w:spacing w:val="-3"/>
          <w:sz w:val="24"/>
        </w:rPr>
        <w:t> </w:t>
      </w:r>
      <w:r>
        <w:rPr>
          <w:color w:val="111111"/>
          <w:sz w:val="24"/>
        </w:rPr>
        <w:t>are</w:t>
      </w:r>
      <w:r>
        <w:rPr>
          <w:color w:val="111111"/>
          <w:spacing w:val="-5"/>
          <w:sz w:val="24"/>
        </w:rPr>
        <w:t> </w:t>
      </w:r>
      <w:r>
        <w:rPr>
          <w:color w:val="111111"/>
          <w:sz w:val="24"/>
        </w:rPr>
        <w:t>useful</w:t>
      </w:r>
      <w:r>
        <w:rPr>
          <w:color w:val="111111"/>
          <w:spacing w:val="-9"/>
          <w:sz w:val="24"/>
        </w:rPr>
        <w:t> </w:t>
      </w:r>
      <w:r>
        <w:rPr>
          <w:color w:val="111111"/>
          <w:sz w:val="24"/>
        </w:rPr>
        <w:t>in</w:t>
      </w:r>
      <w:r>
        <w:rPr>
          <w:color w:val="111111"/>
          <w:spacing w:val="-13"/>
          <w:sz w:val="24"/>
        </w:rPr>
        <w:t> </w:t>
      </w:r>
      <w:r>
        <w:rPr>
          <w:color w:val="111111"/>
          <w:sz w:val="24"/>
        </w:rPr>
        <w:t>predicting claims on future cash flows by providers of capital (i.e. borrowing) to the Council.</w:t>
      </w:r>
    </w:p>
    <w:p>
      <w:pPr>
        <w:spacing w:after="0" w:line="240" w:lineRule="auto"/>
        <w:jc w:val="both"/>
        <w:rPr>
          <w:sz w:val="24"/>
        </w:rPr>
        <w:sectPr>
          <w:headerReference w:type="default" r:id="rId68"/>
          <w:headerReference w:type="even" r:id="rId69"/>
          <w:footerReference w:type="default" r:id="rId70"/>
          <w:footerReference w:type="even" r:id="rId71"/>
          <w:pgSz w:w="11910" w:h="16830"/>
          <w:pgMar w:top="640" w:right="920" w:bottom="640" w:left="840" w:header="440" w:footer="443"/>
          <w:pgNumType w:start="31"/>
        </w:sectPr>
      </w:pPr>
    </w:p>
    <w:p>
      <w:pPr>
        <w:spacing w:before="221"/>
        <w:ind w:left="849" w:right="0" w:firstLine="0"/>
        <w:jc w:val="left"/>
        <w:rPr>
          <w:b/>
          <w:sz w:val="23"/>
        </w:rPr>
      </w:pPr>
      <w:r>
        <w:rPr/>
        <ve:AlternateContent>
          <ve:Choice Requires="wps">
            <w:drawing>
              <wp:anchor distT="0" distB="0" distL="0" distR="0" simplePos="0" relativeHeight="15748608" behindDoc="0" locked="0" layoutInCell="1" allowOverlap="1">
                <wp:simplePos x="0" y="0"/>
                <wp:positionH relativeFrom="page">
                  <wp:posOffset>15264</wp:posOffset>
                </wp:positionH>
                <wp:positionV relativeFrom="page">
                  <wp:posOffset>9770844</wp:posOffset>
                </wp:positionV>
                <wp:extent cx="1270" cy="598170"/>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1270" cy="598170"/>
                        </a:xfrm>
                        <a:custGeom>
                          <a:avLst/>
                          <a:gdLst/>
                          <a:ahLst/>
                          <a:cxnLst/>
                          <a:rect l="l" t="t" r="r" b="b"/>
                          <a:pathLst>
                            <a:path w="0" h="598170">
                              <a:moveTo>
                                <a:pt x="0" y="598089"/>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48608" stroked="true" strokecolor="#000000" strokeweight=".961549pt" from="1.201936pt,816.45152pt" to="1.201936pt,769.357849pt">
                <v:stroke dashstyle="solid"/>
                <w10:wrap type="none"/>
              </v:line>
            </w:pict>
          </ve:Fallback>
        </ve:AlternateContent>
      </w:r>
      <w:r>
        <w:rPr>
          <w:b/>
          <w:color w:val="0A0A0A"/>
          <w:sz w:val="23"/>
        </w:rPr>
        <w:t>Supplementary</w:t>
      </w:r>
      <w:r>
        <w:rPr>
          <w:b/>
          <w:color w:val="0A0A0A"/>
          <w:spacing w:val="57"/>
          <w:sz w:val="23"/>
        </w:rPr>
        <w:t> </w:t>
      </w:r>
      <w:r>
        <w:rPr>
          <w:b/>
          <w:color w:val="0A0A0A"/>
          <w:spacing w:val="-2"/>
          <w:sz w:val="23"/>
        </w:rPr>
        <w:t>Statements</w:t>
      </w:r>
    </w:p>
    <w:p>
      <w:pPr>
        <w:spacing w:before="274"/>
        <w:ind w:left="841" w:right="0" w:firstLine="0"/>
        <w:jc w:val="left"/>
        <w:rPr>
          <w:sz w:val="24"/>
        </w:rPr>
      </w:pPr>
      <w:r>
        <w:rPr>
          <w:color w:val="0A0A0A"/>
          <w:sz w:val="24"/>
          <w:u w:val="thick" w:color="1C1C1C"/>
        </w:rPr>
        <w:t>The</w:t>
      </w:r>
      <w:r>
        <w:rPr>
          <w:color w:val="0A0A0A"/>
          <w:spacing w:val="-12"/>
          <w:sz w:val="24"/>
          <w:u w:val="thick" w:color="1C1C1C"/>
        </w:rPr>
        <w:t> </w:t>
      </w:r>
      <w:r>
        <w:rPr>
          <w:color w:val="1C1C1C"/>
          <w:sz w:val="24"/>
          <w:u w:val="thick" w:color="1C1C1C"/>
        </w:rPr>
        <w:t>Expenditure</w:t>
      </w:r>
      <w:r>
        <w:rPr>
          <w:color w:val="1C1C1C"/>
          <w:spacing w:val="5"/>
          <w:sz w:val="24"/>
          <w:u w:val="thick" w:color="1C1C1C"/>
        </w:rPr>
        <w:t> </w:t>
      </w:r>
      <w:r>
        <w:rPr>
          <w:color w:val="1C1C1C"/>
          <w:sz w:val="24"/>
          <w:u w:val="thick" w:color="1C1C1C"/>
        </w:rPr>
        <w:t>and</w:t>
      </w:r>
      <w:r>
        <w:rPr>
          <w:color w:val="1C1C1C"/>
          <w:spacing w:val="-10"/>
          <w:sz w:val="24"/>
          <w:u w:val="thick" w:color="1C1C1C"/>
        </w:rPr>
        <w:t> </w:t>
      </w:r>
      <w:r>
        <w:rPr>
          <w:color w:val="1C1C1C"/>
          <w:sz w:val="24"/>
          <w:u w:val="thick" w:color="1C1C1C"/>
        </w:rPr>
        <w:t>Funding</w:t>
      </w:r>
      <w:r>
        <w:rPr>
          <w:color w:val="1C1C1C"/>
          <w:spacing w:val="-1"/>
          <w:sz w:val="24"/>
          <w:u w:val="thick" w:color="1C1C1C"/>
        </w:rPr>
        <w:t> </w:t>
      </w:r>
      <w:r>
        <w:rPr>
          <w:color w:val="1C1C1C"/>
          <w:spacing w:val="-2"/>
          <w:sz w:val="24"/>
          <w:u w:val="thick" w:color="1C1C1C"/>
        </w:rPr>
        <w:t>Analysis</w:t>
      </w:r>
    </w:p>
    <w:p>
      <w:pPr>
        <w:pStyle w:val="BodyText"/>
        <w:spacing w:before="1"/>
        <w:rPr>
          <w:sz w:val="24"/>
        </w:rPr>
      </w:pPr>
    </w:p>
    <w:p>
      <w:pPr>
        <w:spacing w:before="0"/>
        <w:ind w:left="837" w:right="0" w:firstLine="0"/>
        <w:jc w:val="left"/>
        <w:rPr>
          <w:sz w:val="24"/>
        </w:rPr>
      </w:pPr>
      <w:r>
        <w:rPr>
          <w:color w:val="0A0A0A"/>
          <w:sz w:val="24"/>
        </w:rPr>
        <w:t>The</w:t>
      </w:r>
      <w:r>
        <w:rPr>
          <w:color w:val="0A0A0A"/>
          <w:spacing w:val="-15"/>
          <w:sz w:val="24"/>
        </w:rPr>
        <w:t> </w:t>
      </w:r>
      <w:r>
        <w:rPr>
          <w:color w:val="0A0A0A"/>
          <w:sz w:val="24"/>
        </w:rPr>
        <w:t>Expenditure</w:t>
      </w:r>
      <w:r>
        <w:rPr>
          <w:color w:val="0A0A0A"/>
          <w:spacing w:val="6"/>
          <w:sz w:val="24"/>
        </w:rPr>
        <w:t> </w:t>
      </w:r>
      <w:r>
        <w:rPr>
          <w:color w:val="0A0A0A"/>
          <w:sz w:val="24"/>
        </w:rPr>
        <w:t>and</w:t>
      </w:r>
      <w:r>
        <w:rPr>
          <w:color w:val="0A0A0A"/>
          <w:spacing w:val="-1"/>
          <w:sz w:val="24"/>
        </w:rPr>
        <w:t> </w:t>
      </w:r>
      <w:r>
        <w:rPr>
          <w:color w:val="0A0A0A"/>
          <w:sz w:val="24"/>
        </w:rPr>
        <w:t>Funding</w:t>
      </w:r>
      <w:r>
        <w:rPr>
          <w:color w:val="0A0A0A"/>
          <w:spacing w:val="3"/>
          <w:sz w:val="24"/>
        </w:rPr>
        <w:t> </w:t>
      </w:r>
      <w:r>
        <w:rPr>
          <w:color w:val="0A0A0A"/>
          <w:sz w:val="24"/>
        </w:rPr>
        <w:t>Analysis</w:t>
      </w:r>
      <w:r>
        <w:rPr>
          <w:color w:val="0A0A0A"/>
          <w:spacing w:val="1"/>
          <w:sz w:val="24"/>
        </w:rPr>
        <w:t> </w:t>
      </w:r>
      <w:r>
        <w:rPr>
          <w:color w:val="0A0A0A"/>
          <w:sz w:val="24"/>
        </w:rPr>
        <w:t>shows</w:t>
      </w:r>
      <w:r>
        <w:rPr>
          <w:color w:val="0A0A0A"/>
          <w:spacing w:val="-3"/>
          <w:sz w:val="24"/>
        </w:rPr>
        <w:t> </w:t>
      </w:r>
      <w:r>
        <w:rPr>
          <w:color w:val="0A0A0A"/>
          <w:sz w:val="24"/>
        </w:rPr>
        <w:t>for</w:t>
      </w:r>
      <w:r>
        <w:rPr>
          <w:color w:val="0A0A0A"/>
          <w:spacing w:val="-6"/>
          <w:sz w:val="24"/>
        </w:rPr>
        <w:t> </w:t>
      </w:r>
      <w:r>
        <w:rPr>
          <w:color w:val="0A0A0A"/>
          <w:sz w:val="24"/>
        </w:rPr>
        <w:t>each</w:t>
      </w:r>
      <w:r>
        <w:rPr>
          <w:color w:val="0A0A0A"/>
          <w:spacing w:val="-3"/>
          <w:sz w:val="24"/>
        </w:rPr>
        <w:t> </w:t>
      </w:r>
      <w:r>
        <w:rPr>
          <w:color w:val="0A0A0A"/>
          <w:sz w:val="24"/>
        </w:rPr>
        <w:t>of</w:t>
      </w:r>
      <w:r>
        <w:rPr>
          <w:color w:val="0A0A0A"/>
          <w:spacing w:val="-12"/>
          <w:sz w:val="24"/>
        </w:rPr>
        <w:t> </w:t>
      </w:r>
      <w:r>
        <w:rPr>
          <w:color w:val="0A0A0A"/>
          <w:sz w:val="24"/>
        </w:rPr>
        <w:t>the</w:t>
      </w:r>
      <w:r>
        <w:rPr>
          <w:color w:val="0A0A0A"/>
          <w:spacing w:val="-8"/>
          <w:sz w:val="24"/>
        </w:rPr>
        <w:t> </w:t>
      </w:r>
      <w:r>
        <w:rPr>
          <w:color w:val="0A0A0A"/>
          <w:sz w:val="24"/>
        </w:rPr>
        <w:t>Council's</w:t>
      </w:r>
      <w:r>
        <w:rPr>
          <w:color w:val="0A0A0A"/>
          <w:spacing w:val="5"/>
          <w:sz w:val="24"/>
        </w:rPr>
        <w:t> </w:t>
      </w:r>
      <w:r>
        <w:rPr>
          <w:color w:val="0A0A0A"/>
          <w:spacing w:val="-2"/>
          <w:sz w:val="24"/>
        </w:rPr>
        <w:t>services:</w:t>
      </w:r>
    </w:p>
    <w:p>
      <w:pPr>
        <w:pStyle w:val="BodyText"/>
        <w:spacing w:before="15"/>
        <w:rPr>
          <w:sz w:val="24"/>
        </w:rPr>
      </w:pPr>
    </w:p>
    <w:p>
      <w:pPr>
        <w:pStyle w:val="ListParagraph"/>
        <w:numPr>
          <w:ilvl w:val="0"/>
          <w:numId w:val="8"/>
        </w:numPr>
        <w:tabs>
          <w:tab w:val="left" w:leader="none" w:pos="1539"/>
          <w:tab w:val="left" w:leader="none" w:pos="1544"/>
        </w:tabs>
        <w:spacing w:before="0" w:after="0" w:line="240" w:lineRule="auto"/>
        <w:ind w:left="1539" w:right="286" w:hanging="349"/>
        <w:jc w:val="both"/>
        <w:rPr>
          <w:sz w:val="24"/>
        </w:rPr>
      </w:pPr>
      <w:r>
        <w:rPr>
          <w:color w:val="1C1C1C"/>
          <w:sz w:val="24"/>
        </w:rPr>
        <w:tab/>
      </w:r>
      <w:r>
        <w:rPr>
          <w:color w:val="0A0A0A"/>
          <w:sz w:val="24"/>
        </w:rPr>
        <w:t>the</w:t>
      </w:r>
      <w:r>
        <w:rPr>
          <w:color w:val="0A0A0A"/>
          <w:spacing w:val="-7"/>
          <w:sz w:val="24"/>
        </w:rPr>
        <w:t> </w:t>
      </w:r>
      <w:r>
        <w:rPr>
          <w:color w:val="0A0A0A"/>
          <w:sz w:val="24"/>
        </w:rPr>
        <w:t>amount spent under the</w:t>
      </w:r>
      <w:r>
        <w:rPr>
          <w:color w:val="0A0A0A"/>
          <w:spacing w:val="-5"/>
          <w:sz w:val="24"/>
        </w:rPr>
        <w:t> </w:t>
      </w:r>
      <w:r>
        <w:rPr>
          <w:color w:val="0A0A0A"/>
          <w:sz w:val="24"/>
        </w:rPr>
        <w:t>Council's rules</w:t>
      </w:r>
      <w:r>
        <w:rPr>
          <w:color w:val="0A0A0A"/>
          <w:spacing w:val="-2"/>
          <w:sz w:val="24"/>
        </w:rPr>
        <w:t> </w:t>
      </w:r>
      <w:r>
        <w:rPr>
          <w:color w:val="0A0A0A"/>
          <w:sz w:val="24"/>
        </w:rPr>
        <w:t>for</w:t>
      </w:r>
      <w:r>
        <w:rPr>
          <w:color w:val="0A0A0A"/>
          <w:spacing w:val="-6"/>
          <w:sz w:val="24"/>
        </w:rPr>
        <w:t> </w:t>
      </w:r>
      <w:r>
        <w:rPr>
          <w:color w:val="0A0A0A"/>
          <w:sz w:val="24"/>
        </w:rPr>
        <w:t>monitoring expenditure against </w:t>
      </w:r>
      <w:r>
        <w:rPr>
          <w:color w:val="1C1C1C"/>
          <w:sz w:val="24"/>
        </w:rPr>
        <w:t>the </w:t>
      </w:r>
      <w:r>
        <w:rPr>
          <w:color w:val="0A0A0A"/>
          <w:sz w:val="24"/>
        </w:rPr>
        <w:t>funding in the annual budget for the General Fund shown as Net General Fund Expenditure in the Expenditure and Funding Analysis</w:t>
      </w:r>
    </w:p>
    <w:p>
      <w:pPr>
        <w:pStyle w:val="BodyText"/>
        <w:spacing w:before="16"/>
        <w:rPr>
          <w:sz w:val="24"/>
        </w:rPr>
      </w:pPr>
    </w:p>
    <w:p>
      <w:pPr>
        <w:pStyle w:val="ListParagraph"/>
        <w:numPr>
          <w:ilvl w:val="0"/>
          <w:numId w:val="8"/>
        </w:numPr>
        <w:tabs>
          <w:tab w:val="left" w:leader="none" w:pos="1525"/>
          <w:tab w:val="left" w:leader="none" w:pos="1529"/>
        </w:tabs>
        <w:spacing w:before="0" w:after="0" w:line="240" w:lineRule="auto"/>
        <w:ind w:left="1525" w:right="279" w:hanging="350"/>
        <w:jc w:val="both"/>
        <w:rPr>
          <w:sz w:val="24"/>
        </w:rPr>
      </w:pPr>
      <w:r>
        <w:rPr>
          <w:color w:val="1C1C1C"/>
          <w:sz w:val="24"/>
        </w:rPr>
        <w:tab/>
      </w:r>
      <w:r>
        <w:rPr>
          <w:color w:val="0A0A0A"/>
          <w:sz w:val="24"/>
        </w:rPr>
        <w:t>the</w:t>
      </w:r>
      <w:r>
        <w:rPr>
          <w:color w:val="0A0A0A"/>
          <w:spacing w:val="-17"/>
          <w:sz w:val="24"/>
        </w:rPr>
        <w:t> </w:t>
      </w:r>
      <w:r>
        <w:rPr>
          <w:color w:val="0A0A0A"/>
          <w:sz w:val="24"/>
        </w:rPr>
        <w:t>resources</w:t>
      </w:r>
      <w:r>
        <w:rPr>
          <w:color w:val="0A0A0A"/>
          <w:spacing w:val="-17"/>
          <w:sz w:val="24"/>
        </w:rPr>
        <w:t> </w:t>
      </w:r>
      <w:r>
        <w:rPr>
          <w:color w:val="0A0A0A"/>
          <w:sz w:val="24"/>
        </w:rPr>
        <w:t>actually</w:t>
      </w:r>
      <w:r>
        <w:rPr>
          <w:color w:val="0A0A0A"/>
          <w:spacing w:val="-16"/>
          <w:sz w:val="24"/>
        </w:rPr>
        <w:t> </w:t>
      </w:r>
      <w:r>
        <w:rPr>
          <w:color w:val="1C1C1C"/>
          <w:sz w:val="24"/>
        </w:rPr>
        <w:t>consumed</w:t>
      </w:r>
      <w:r>
        <w:rPr>
          <w:color w:val="1C1C1C"/>
          <w:spacing w:val="-8"/>
          <w:sz w:val="24"/>
        </w:rPr>
        <w:t> </w:t>
      </w:r>
      <w:r>
        <w:rPr>
          <w:color w:val="343434"/>
          <w:sz w:val="24"/>
        </w:rPr>
        <w:t>in</w:t>
      </w:r>
      <w:r>
        <w:rPr>
          <w:color w:val="343434"/>
          <w:spacing w:val="-17"/>
          <w:sz w:val="24"/>
        </w:rPr>
        <w:t> </w:t>
      </w:r>
      <w:r>
        <w:rPr>
          <w:color w:val="1C1C1C"/>
          <w:sz w:val="24"/>
        </w:rPr>
        <w:t>the</w:t>
      </w:r>
      <w:r>
        <w:rPr>
          <w:color w:val="1C1C1C"/>
          <w:spacing w:val="-16"/>
          <w:sz w:val="24"/>
        </w:rPr>
        <w:t> </w:t>
      </w:r>
      <w:r>
        <w:rPr>
          <w:color w:val="0A0A0A"/>
          <w:sz w:val="24"/>
        </w:rPr>
        <w:t>year</w:t>
      </w:r>
      <w:r>
        <w:rPr>
          <w:color w:val="0A0A0A"/>
          <w:spacing w:val="-15"/>
          <w:sz w:val="24"/>
        </w:rPr>
        <w:t> </w:t>
      </w:r>
      <w:r>
        <w:rPr>
          <w:color w:val="1C1C1C"/>
          <w:sz w:val="24"/>
        </w:rPr>
        <w:t>as</w:t>
      </w:r>
      <w:r>
        <w:rPr>
          <w:color w:val="1C1C1C"/>
          <w:spacing w:val="-17"/>
          <w:sz w:val="24"/>
        </w:rPr>
        <w:t> </w:t>
      </w:r>
      <w:r>
        <w:rPr>
          <w:color w:val="0A0A0A"/>
          <w:sz w:val="24"/>
        </w:rPr>
        <w:t>measured</w:t>
      </w:r>
      <w:r>
        <w:rPr>
          <w:color w:val="0A0A0A"/>
          <w:spacing w:val="-14"/>
          <w:sz w:val="24"/>
        </w:rPr>
        <w:t> </w:t>
      </w:r>
      <w:r>
        <w:rPr>
          <w:color w:val="0A0A0A"/>
          <w:sz w:val="24"/>
        </w:rPr>
        <w:t>by</w:t>
      </w:r>
      <w:r>
        <w:rPr>
          <w:color w:val="0A0A0A"/>
          <w:spacing w:val="-17"/>
          <w:sz w:val="24"/>
        </w:rPr>
        <w:t> </w:t>
      </w:r>
      <w:r>
        <w:rPr>
          <w:color w:val="1C1C1C"/>
          <w:sz w:val="24"/>
        </w:rPr>
        <w:t>proper</w:t>
      </w:r>
      <w:r>
        <w:rPr>
          <w:color w:val="1C1C1C"/>
          <w:spacing w:val="-3"/>
          <w:sz w:val="24"/>
        </w:rPr>
        <w:t> </w:t>
      </w:r>
      <w:r>
        <w:rPr>
          <w:color w:val="0A0A0A"/>
          <w:sz w:val="24"/>
        </w:rPr>
        <w:t>accounting practices in</w:t>
      </w:r>
      <w:r>
        <w:rPr>
          <w:color w:val="0A0A0A"/>
          <w:spacing w:val="-4"/>
          <w:sz w:val="24"/>
        </w:rPr>
        <w:t> </w:t>
      </w:r>
      <w:r>
        <w:rPr>
          <w:color w:val="0A0A0A"/>
          <w:sz w:val="24"/>
        </w:rPr>
        <w:t>the </w:t>
      </w:r>
      <w:r>
        <w:rPr>
          <w:color w:val="1C1C1C"/>
          <w:sz w:val="24"/>
        </w:rPr>
        <w:t>Comprehensive </w:t>
      </w:r>
      <w:r>
        <w:rPr>
          <w:color w:val="0A0A0A"/>
          <w:sz w:val="24"/>
        </w:rPr>
        <w:t>Income </w:t>
      </w:r>
      <w:r>
        <w:rPr>
          <w:color w:val="1C1C1C"/>
          <w:sz w:val="24"/>
        </w:rPr>
        <w:t>and</w:t>
      </w:r>
      <w:r>
        <w:rPr>
          <w:color w:val="1C1C1C"/>
          <w:spacing w:val="-11"/>
          <w:sz w:val="24"/>
        </w:rPr>
        <w:t> </w:t>
      </w:r>
      <w:r>
        <w:rPr>
          <w:color w:val="1C1C1C"/>
          <w:sz w:val="24"/>
        </w:rPr>
        <w:t>Expenditure </w:t>
      </w:r>
      <w:r>
        <w:rPr>
          <w:color w:val="0A0A0A"/>
          <w:sz w:val="24"/>
        </w:rPr>
        <w:t>Statement shown</w:t>
      </w:r>
      <w:r>
        <w:rPr>
          <w:color w:val="0A0A0A"/>
          <w:spacing w:val="-7"/>
          <w:sz w:val="24"/>
        </w:rPr>
        <w:t> </w:t>
      </w:r>
      <w:r>
        <w:rPr>
          <w:color w:val="0A0A0A"/>
          <w:sz w:val="24"/>
        </w:rPr>
        <w:t>as Amounts</w:t>
      </w:r>
      <w:r>
        <w:rPr>
          <w:color w:val="0A0A0A"/>
          <w:spacing w:val="-17"/>
          <w:sz w:val="24"/>
        </w:rPr>
        <w:t> </w:t>
      </w:r>
      <w:r>
        <w:rPr>
          <w:color w:val="0A0A0A"/>
          <w:sz w:val="24"/>
        </w:rPr>
        <w:t>included</w:t>
      </w:r>
      <w:r>
        <w:rPr>
          <w:color w:val="0A0A0A"/>
          <w:spacing w:val="-16"/>
          <w:sz w:val="24"/>
        </w:rPr>
        <w:t> </w:t>
      </w:r>
      <w:r>
        <w:rPr>
          <w:color w:val="0A0A0A"/>
          <w:sz w:val="24"/>
        </w:rPr>
        <w:t>in</w:t>
      </w:r>
      <w:r>
        <w:rPr>
          <w:color w:val="0A0A0A"/>
          <w:spacing w:val="-17"/>
          <w:sz w:val="24"/>
        </w:rPr>
        <w:t> </w:t>
      </w:r>
      <w:r>
        <w:rPr>
          <w:color w:val="0A0A0A"/>
          <w:sz w:val="24"/>
        </w:rPr>
        <w:t>the</w:t>
      </w:r>
      <w:r>
        <w:rPr>
          <w:color w:val="0A0A0A"/>
          <w:spacing w:val="-17"/>
          <w:sz w:val="24"/>
        </w:rPr>
        <w:t> </w:t>
      </w:r>
      <w:r>
        <w:rPr>
          <w:color w:val="0A0A0A"/>
          <w:sz w:val="24"/>
        </w:rPr>
        <w:t>Comprehensive Income</w:t>
      </w:r>
      <w:r>
        <w:rPr>
          <w:color w:val="0A0A0A"/>
          <w:spacing w:val="-9"/>
          <w:sz w:val="24"/>
        </w:rPr>
        <w:t> </w:t>
      </w:r>
      <w:r>
        <w:rPr>
          <w:color w:val="0A0A0A"/>
          <w:sz w:val="24"/>
        </w:rPr>
        <w:t>and</w:t>
      </w:r>
      <w:r>
        <w:rPr>
          <w:color w:val="0A0A0A"/>
          <w:spacing w:val="-17"/>
          <w:sz w:val="24"/>
        </w:rPr>
        <w:t> </w:t>
      </w:r>
      <w:r>
        <w:rPr>
          <w:color w:val="0A0A0A"/>
          <w:sz w:val="24"/>
        </w:rPr>
        <w:t>Expenditure</w:t>
      </w:r>
      <w:r>
        <w:rPr>
          <w:color w:val="0A0A0A"/>
          <w:spacing w:val="-2"/>
          <w:sz w:val="24"/>
        </w:rPr>
        <w:t> </w:t>
      </w:r>
      <w:r>
        <w:rPr>
          <w:color w:val="0A0A0A"/>
          <w:sz w:val="24"/>
        </w:rPr>
        <w:t>Statement in the Expenditure and Funding Analysis.</w:t>
      </w:r>
    </w:p>
    <w:p>
      <w:pPr>
        <w:pStyle w:val="BodyText"/>
        <w:spacing w:before="4"/>
        <w:rPr>
          <w:sz w:val="24"/>
        </w:rPr>
      </w:pPr>
    </w:p>
    <w:p>
      <w:pPr>
        <w:spacing w:before="0" w:line="240" w:lineRule="auto"/>
        <w:ind w:left="790" w:right="296" w:firstLine="8"/>
        <w:jc w:val="both"/>
        <w:rPr>
          <w:sz w:val="24"/>
        </w:rPr>
      </w:pPr>
      <w:r>
        <w:rPr>
          <w:color w:val="0A0A0A"/>
          <w:sz w:val="24"/>
        </w:rPr>
        <w:t>The</w:t>
      </w:r>
      <w:r>
        <w:rPr>
          <w:color w:val="0A0A0A"/>
          <w:spacing w:val="-1"/>
          <w:sz w:val="24"/>
        </w:rPr>
        <w:t> </w:t>
      </w:r>
      <w:r>
        <w:rPr>
          <w:color w:val="0A0A0A"/>
          <w:sz w:val="24"/>
        </w:rPr>
        <w:t>reasons for</w:t>
      </w:r>
      <w:r>
        <w:rPr>
          <w:color w:val="0A0A0A"/>
          <w:spacing w:val="-3"/>
          <w:sz w:val="24"/>
        </w:rPr>
        <w:t> </w:t>
      </w:r>
      <w:r>
        <w:rPr>
          <w:color w:val="0A0A0A"/>
          <w:sz w:val="24"/>
        </w:rPr>
        <w:t>differences between the</w:t>
      </w:r>
      <w:r>
        <w:rPr>
          <w:color w:val="0A0A0A"/>
          <w:spacing w:val="-8"/>
          <w:sz w:val="24"/>
        </w:rPr>
        <w:t> </w:t>
      </w:r>
      <w:r>
        <w:rPr>
          <w:color w:val="0A0A0A"/>
          <w:sz w:val="24"/>
        </w:rPr>
        <w:t>two amounts for</w:t>
      </w:r>
      <w:r>
        <w:rPr>
          <w:color w:val="0A0A0A"/>
          <w:spacing w:val="-1"/>
          <w:sz w:val="24"/>
        </w:rPr>
        <w:t> </w:t>
      </w:r>
      <w:r>
        <w:rPr>
          <w:color w:val="0A0A0A"/>
          <w:sz w:val="24"/>
        </w:rPr>
        <w:t>each service are</w:t>
      </w:r>
      <w:r>
        <w:rPr>
          <w:color w:val="0A0A0A"/>
          <w:spacing w:val="-7"/>
          <w:sz w:val="24"/>
        </w:rPr>
        <w:t> </w:t>
      </w:r>
      <w:r>
        <w:rPr>
          <w:color w:val="0A0A0A"/>
          <w:sz w:val="24"/>
        </w:rPr>
        <w:t>explained in the tables following the Expenditure and Funding Analysis (5.15.1 - Note to the Expenditure and Funding Analysis).</w:t>
      </w:r>
    </w:p>
    <w:p>
      <w:pPr>
        <w:pStyle w:val="BodyText"/>
        <w:spacing w:before="275"/>
        <w:rPr>
          <w:sz w:val="24"/>
        </w:rPr>
      </w:pPr>
    </w:p>
    <w:p>
      <w:pPr>
        <w:spacing w:before="0"/>
        <w:ind w:left="789" w:right="0" w:firstLine="0"/>
        <w:jc w:val="both"/>
        <w:rPr>
          <w:sz w:val="24"/>
        </w:rPr>
      </w:pPr>
      <w:r>
        <w:rPr>
          <w:color w:val="0A0A0A"/>
          <w:sz w:val="24"/>
          <w:u w:val="thick" w:color="1C1C1C"/>
        </w:rPr>
        <w:t>The</w:t>
      </w:r>
      <w:r>
        <w:rPr>
          <w:color w:val="0A0A0A"/>
          <w:spacing w:val="-10"/>
          <w:sz w:val="24"/>
          <w:u w:val="thick" w:color="1C1C1C"/>
        </w:rPr>
        <w:t> </w:t>
      </w:r>
      <w:r>
        <w:rPr>
          <w:color w:val="1C1C1C"/>
          <w:sz w:val="24"/>
          <w:u w:val="thick" w:color="1C1C1C"/>
        </w:rPr>
        <w:t>Collection </w:t>
      </w:r>
      <w:r>
        <w:rPr>
          <w:color w:val="1C1C1C"/>
          <w:spacing w:val="-4"/>
          <w:sz w:val="24"/>
          <w:u w:val="thick" w:color="1C1C1C"/>
        </w:rPr>
        <w:t>Fund</w:t>
      </w:r>
    </w:p>
    <w:p>
      <w:pPr>
        <w:pStyle w:val="BodyText"/>
        <w:spacing w:before="5"/>
        <w:rPr>
          <w:sz w:val="24"/>
        </w:rPr>
      </w:pPr>
    </w:p>
    <w:p>
      <w:pPr>
        <w:spacing w:before="1" w:line="240" w:lineRule="auto"/>
        <w:ind w:left="764" w:right="297" w:firstLine="14"/>
        <w:jc w:val="both"/>
        <w:rPr>
          <w:sz w:val="24"/>
        </w:rPr>
      </w:pPr>
      <w:r>
        <w:rPr>
          <w:color w:val="0A0A0A"/>
          <w:sz w:val="24"/>
        </w:rPr>
        <w:t>The Collection Fund is an agent's statement that reflects the statutory obligation for billing autho</w:t>
      </w:r>
      <w:r>
        <w:rPr>
          <w:color w:val="343434"/>
          <w:sz w:val="24"/>
        </w:rPr>
        <w:t>rities </w:t>
      </w:r>
      <w:r>
        <w:rPr>
          <w:color w:val="1C1C1C"/>
          <w:sz w:val="24"/>
        </w:rPr>
        <w:t>(i.e., </w:t>
      </w:r>
      <w:r>
        <w:rPr>
          <w:color w:val="0A0A0A"/>
          <w:sz w:val="24"/>
        </w:rPr>
        <w:t>those that raise </w:t>
      </w:r>
      <w:r>
        <w:rPr>
          <w:color w:val="1C1C1C"/>
          <w:sz w:val="24"/>
        </w:rPr>
        <w:t>bills for council </w:t>
      </w:r>
      <w:r>
        <w:rPr>
          <w:color w:val="0A0A0A"/>
          <w:sz w:val="24"/>
        </w:rPr>
        <w:t>tax </w:t>
      </w:r>
      <w:r>
        <w:rPr>
          <w:color w:val="1C1C1C"/>
          <w:sz w:val="24"/>
        </w:rPr>
        <w:t>and business rates) to </w:t>
      </w:r>
      <w:r>
        <w:rPr>
          <w:color w:val="0A0A0A"/>
          <w:sz w:val="24"/>
        </w:rPr>
        <w:t>maintain a </w:t>
      </w:r>
      <w:r>
        <w:rPr>
          <w:color w:val="1C1C1C"/>
          <w:sz w:val="24"/>
        </w:rPr>
        <w:t>separate </w:t>
      </w:r>
      <w:r>
        <w:rPr>
          <w:color w:val="0A0A0A"/>
          <w:sz w:val="24"/>
        </w:rPr>
        <w:t>Collection Fund. The statement shows </w:t>
      </w:r>
      <w:r>
        <w:rPr>
          <w:color w:val="1C1C1C"/>
          <w:sz w:val="24"/>
        </w:rPr>
        <w:t>the transactions of the </w:t>
      </w:r>
      <w:r>
        <w:rPr>
          <w:color w:val="0A0A0A"/>
          <w:sz w:val="24"/>
        </w:rPr>
        <w:t>billing authority in </w:t>
      </w:r>
      <w:r>
        <w:rPr>
          <w:color w:val="1C1C1C"/>
          <w:sz w:val="24"/>
        </w:rPr>
        <w:t>relation to </w:t>
      </w:r>
      <w:r>
        <w:rPr>
          <w:color w:val="0A0A0A"/>
          <w:sz w:val="24"/>
        </w:rPr>
        <w:t>the collection from </w:t>
      </w:r>
      <w:r>
        <w:rPr>
          <w:color w:val="1C1C1C"/>
          <w:sz w:val="24"/>
        </w:rPr>
        <w:t>taxpayers and distribution to </w:t>
      </w:r>
      <w:r>
        <w:rPr>
          <w:color w:val="0A0A0A"/>
          <w:sz w:val="24"/>
        </w:rPr>
        <w:t>local authorities and the </w:t>
      </w:r>
      <w:r>
        <w:rPr>
          <w:color w:val="1C1C1C"/>
          <w:sz w:val="24"/>
        </w:rPr>
        <w:t>government </w:t>
      </w:r>
      <w:r>
        <w:rPr>
          <w:color w:val="0A0A0A"/>
          <w:sz w:val="24"/>
        </w:rPr>
        <w:t>of council tax and business rates.</w:t>
      </w:r>
    </w:p>
    <w:p>
      <w:pPr>
        <w:spacing w:before="273"/>
        <w:ind w:left="762" w:right="0" w:firstLine="0"/>
        <w:jc w:val="both"/>
        <w:rPr>
          <w:sz w:val="24"/>
        </w:rPr>
      </w:pPr>
      <w:r>
        <w:rPr>
          <w:color w:val="1C1C1C"/>
          <w:sz w:val="24"/>
          <w:u w:val="thick" w:color="1C1C1C"/>
        </w:rPr>
        <w:t>Group </w:t>
      </w:r>
      <w:r>
        <w:rPr>
          <w:color w:val="1C1C1C"/>
          <w:spacing w:val="-2"/>
          <w:sz w:val="24"/>
          <w:u w:val="thick" w:color="1C1C1C"/>
        </w:rPr>
        <w:t>Accounts</w:t>
      </w:r>
    </w:p>
    <w:p>
      <w:pPr>
        <w:pStyle w:val="BodyText"/>
        <w:spacing w:before="5"/>
        <w:rPr>
          <w:sz w:val="24"/>
        </w:rPr>
      </w:pPr>
    </w:p>
    <w:p>
      <w:pPr>
        <w:spacing w:before="0" w:line="242" w:lineRule="auto"/>
        <w:ind w:left="738" w:right="319" w:firstLine="12"/>
        <w:jc w:val="both"/>
        <w:rPr>
          <w:sz w:val="24"/>
        </w:rPr>
      </w:pPr>
      <w:r>
        <w:rPr>
          <w:color w:val="0A0A0A"/>
          <w:sz w:val="24"/>
        </w:rPr>
        <w:t>These show the consolidated position of</w:t>
      </w:r>
      <w:r>
        <w:rPr>
          <w:color w:val="0A0A0A"/>
          <w:spacing w:val="-1"/>
          <w:sz w:val="24"/>
        </w:rPr>
        <w:t> </w:t>
      </w:r>
      <w:r>
        <w:rPr>
          <w:color w:val="0A0A0A"/>
          <w:sz w:val="24"/>
        </w:rPr>
        <w:t>the Council with its 100% owned subsidiary companies Elstree Studios Limited and Hertsmere Developments Limited. Group accounts are</w:t>
      </w:r>
      <w:r>
        <w:rPr>
          <w:color w:val="0A0A0A"/>
          <w:spacing w:val="-6"/>
          <w:sz w:val="24"/>
        </w:rPr>
        <w:t> </w:t>
      </w:r>
      <w:r>
        <w:rPr>
          <w:color w:val="0A0A0A"/>
          <w:sz w:val="24"/>
        </w:rPr>
        <w:t>presented, in</w:t>
      </w:r>
      <w:r>
        <w:rPr>
          <w:color w:val="0A0A0A"/>
          <w:spacing w:val="-7"/>
          <w:sz w:val="24"/>
        </w:rPr>
        <w:t> </w:t>
      </w:r>
      <w:r>
        <w:rPr>
          <w:color w:val="0A0A0A"/>
          <w:sz w:val="24"/>
        </w:rPr>
        <w:t>addition to</w:t>
      </w:r>
      <w:r>
        <w:rPr>
          <w:color w:val="0A0A0A"/>
          <w:spacing w:val="-2"/>
          <w:sz w:val="24"/>
        </w:rPr>
        <w:t> </w:t>
      </w:r>
      <w:r>
        <w:rPr>
          <w:color w:val="0A0A0A"/>
          <w:sz w:val="24"/>
        </w:rPr>
        <w:t>the Council's single entity statements, in</w:t>
      </w:r>
      <w:r>
        <w:rPr>
          <w:color w:val="0A0A0A"/>
          <w:spacing w:val="-1"/>
          <w:sz w:val="24"/>
        </w:rPr>
        <w:t> </w:t>
      </w:r>
      <w:r>
        <w:rPr>
          <w:color w:val="0A0A0A"/>
          <w:sz w:val="24"/>
        </w:rPr>
        <w:t>order to</w:t>
      </w:r>
      <w:r>
        <w:rPr>
          <w:color w:val="0A0A0A"/>
          <w:spacing w:val="-13"/>
          <w:sz w:val="24"/>
        </w:rPr>
        <w:t> </w:t>
      </w:r>
      <w:r>
        <w:rPr>
          <w:color w:val="0A0A0A"/>
          <w:sz w:val="24"/>
        </w:rPr>
        <w:t>provide a</w:t>
      </w:r>
      <w:r>
        <w:rPr>
          <w:color w:val="0A0A0A"/>
          <w:spacing w:val="-12"/>
          <w:sz w:val="24"/>
        </w:rPr>
        <w:t> </w:t>
      </w:r>
      <w:r>
        <w:rPr>
          <w:color w:val="0A0A0A"/>
          <w:sz w:val="24"/>
        </w:rPr>
        <w:t>full</w:t>
      </w:r>
      <w:r>
        <w:rPr>
          <w:color w:val="0A0A0A"/>
          <w:spacing w:val="-14"/>
          <w:sz w:val="24"/>
        </w:rPr>
        <w:t> </w:t>
      </w:r>
      <w:r>
        <w:rPr>
          <w:color w:val="0A0A0A"/>
          <w:sz w:val="24"/>
        </w:rPr>
        <w:t>picture of</w:t>
      </w:r>
      <w:r>
        <w:rPr>
          <w:color w:val="0A0A0A"/>
          <w:spacing w:val="-6"/>
          <w:sz w:val="24"/>
        </w:rPr>
        <w:t> </w:t>
      </w:r>
      <w:r>
        <w:rPr>
          <w:color w:val="0A0A0A"/>
          <w:sz w:val="24"/>
        </w:rPr>
        <w:t>the</w:t>
      </w:r>
      <w:r>
        <w:rPr>
          <w:color w:val="0A0A0A"/>
          <w:spacing w:val="-8"/>
          <w:sz w:val="24"/>
        </w:rPr>
        <w:t> </w:t>
      </w:r>
      <w:r>
        <w:rPr>
          <w:color w:val="0A0A0A"/>
          <w:sz w:val="24"/>
        </w:rPr>
        <w:t>Council's economic activities and</w:t>
      </w:r>
      <w:r>
        <w:rPr>
          <w:color w:val="0A0A0A"/>
          <w:spacing w:val="-7"/>
          <w:sz w:val="24"/>
        </w:rPr>
        <w:t> </w:t>
      </w:r>
      <w:r>
        <w:rPr>
          <w:color w:val="0A0A0A"/>
          <w:sz w:val="24"/>
        </w:rPr>
        <w:t>financial position. The Group Accounts comprise</w:t>
      </w:r>
      <w:r>
        <w:rPr>
          <w:color w:val="343434"/>
          <w:sz w:val="24"/>
        </w:rPr>
        <w:t>:</w:t>
      </w:r>
    </w:p>
    <w:p>
      <w:pPr>
        <w:pStyle w:val="BodyText"/>
        <w:spacing w:before="12"/>
        <w:rPr>
          <w:sz w:val="24"/>
        </w:rPr>
      </w:pPr>
    </w:p>
    <w:p>
      <w:pPr>
        <w:pStyle w:val="ListParagraph"/>
        <w:numPr>
          <w:ilvl w:val="0"/>
          <w:numId w:val="9"/>
        </w:numPr>
        <w:tabs>
          <w:tab w:val="left" w:leader="none" w:pos="1454"/>
        </w:tabs>
        <w:spacing w:before="1" w:after="0" w:line="240" w:lineRule="auto"/>
        <w:ind w:left="1454" w:right="0" w:hanging="365"/>
        <w:jc w:val="left"/>
        <w:rPr>
          <w:color w:val="0A0A0A"/>
          <w:sz w:val="24"/>
        </w:rPr>
      </w:pPr>
      <w:r>
        <w:rPr>
          <w:color w:val="0A0A0A"/>
          <w:sz w:val="24"/>
        </w:rPr>
        <w:t>Group</w:t>
      </w:r>
      <w:r>
        <w:rPr>
          <w:color w:val="0A0A0A"/>
          <w:spacing w:val="4"/>
          <w:sz w:val="24"/>
        </w:rPr>
        <w:t> </w:t>
      </w:r>
      <w:r>
        <w:rPr>
          <w:color w:val="0A0A0A"/>
          <w:sz w:val="24"/>
        </w:rPr>
        <w:t>Movement</w:t>
      </w:r>
      <w:r>
        <w:rPr>
          <w:color w:val="0A0A0A"/>
          <w:spacing w:val="4"/>
          <w:sz w:val="24"/>
        </w:rPr>
        <w:t> </w:t>
      </w:r>
      <w:r>
        <w:rPr>
          <w:color w:val="0A0A0A"/>
          <w:sz w:val="24"/>
        </w:rPr>
        <w:t>in</w:t>
      </w:r>
      <w:r>
        <w:rPr>
          <w:color w:val="0A0A0A"/>
          <w:spacing w:val="-16"/>
          <w:sz w:val="24"/>
        </w:rPr>
        <w:t> </w:t>
      </w:r>
      <w:r>
        <w:rPr>
          <w:color w:val="0A0A0A"/>
          <w:sz w:val="24"/>
        </w:rPr>
        <w:t>Reserves</w:t>
      </w:r>
      <w:r>
        <w:rPr>
          <w:color w:val="0A0A0A"/>
          <w:spacing w:val="16"/>
          <w:sz w:val="24"/>
        </w:rPr>
        <w:t> </w:t>
      </w:r>
      <w:r>
        <w:rPr>
          <w:color w:val="0A0A0A"/>
          <w:spacing w:val="-2"/>
          <w:sz w:val="24"/>
        </w:rPr>
        <w:t>Statement;</w:t>
      </w:r>
    </w:p>
    <w:p>
      <w:pPr>
        <w:pStyle w:val="ListParagraph"/>
        <w:numPr>
          <w:ilvl w:val="0"/>
          <w:numId w:val="9"/>
        </w:numPr>
        <w:tabs>
          <w:tab w:val="left" w:leader="none" w:pos="1454"/>
        </w:tabs>
        <w:spacing w:before="12" w:after="0" w:line="240" w:lineRule="auto"/>
        <w:ind w:left="1454" w:right="0" w:hanging="360"/>
        <w:jc w:val="left"/>
        <w:rPr>
          <w:color w:val="0A0A0A"/>
          <w:sz w:val="24"/>
        </w:rPr>
      </w:pPr>
      <w:r>
        <w:rPr>
          <w:color w:val="0A0A0A"/>
          <w:sz w:val="24"/>
        </w:rPr>
        <w:t>Group</w:t>
      </w:r>
      <w:r>
        <w:rPr>
          <w:color w:val="0A0A0A"/>
          <w:spacing w:val="-3"/>
          <w:sz w:val="24"/>
        </w:rPr>
        <w:t> </w:t>
      </w:r>
      <w:r>
        <w:rPr>
          <w:color w:val="0A0A0A"/>
          <w:sz w:val="24"/>
        </w:rPr>
        <w:t>Comprehensive</w:t>
      </w:r>
      <w:r>
        <w:rPr>
          <w:color w:val="0A0A0A"/>
          <w:spacing w:val="14"/>
          <w:sz w:val="24"/>
        </w:rPr>
        <w:t> </w:t>
      </w:r>
      <w:r>
        <w:rPr>
          <w:color w:val="0A0A0A"/>
          <w:sz w:val="24"/>
        </w:rPr>
        <w:t>Income</w:t>
      </w:r>
      <w:r>
        <w:rPr>
          <w:color w:val="0A0A0A"/>
          <w:spacing w:val="-4"/>
          <w:sz w:val="24"/>
        </w:rPr>
        <w:t> </w:t>
      </w:r>
      <w:r>
        <w:rPr>
          <w:color w:val="0A0A0A"/>
          <w:sz w:val="24"/>
        </w:rPr>
        <w:t>and</w:t>
      </w:r>
      <w:r>
        <w:rPr>
          <w:color w:val="0A0A0A"/>
          <w:spacing w:val="-14"/>
          <w:sz w:val="24"/>
        </w:rPr>
        <w:t> </w:t>
      </w:r>
      <w:r>
        <w:rPr>
          <w:color w:val="0A0A0A"/>
          <w:sz w:val="24"/>
        </w:rPr>
        <w:t>Expenditure</w:t>
      </w:r>
      <w:r>
        <w:rPr>
          <w:color w:val="0A0A0A"/>
          <w:spacing w:val="9"/>
          <w:sz w:val="24"/>
        </w:rPr>
        <w:t> </w:t>
      </w:r>
      <w:r>
        <w:rPr>
          <w:color w:val="0A0A0A"/>
          <w:spacing w:val="-2"/>
          <w:sz w:val="24"/>
        </w:rPr>
        <w:t>Statement;</w:t>
      </w:r>
    </w:p>
    <w:p>
      <w:pPr>
        <w:pStyle w:val="ListParagraph"/>
        <w:numPr>
          <w:ilvl w:val="0"/>
          <w:numId w:val="9"/>
        </w:numPr>
        <w:tabs>
          <w:tab w:val="left" w:leader="none" w:pos="1450"/>
        </w:tabs>
        <w:spacing w:before="22" w:after="0" w:line="240" w:lineRule="auto"/>
        <w:ind w:left="1450" w:right="0" w:hanging="361"/>
        <w:jc w:val="left"/>
        <w:rPr>
          <w:color w:val="1C1C1C"/>
          <w:sz w:val="24"/>
        </w:rPr>
      </w:pPr>
      <w:r>
        <w:rPr>
          <w:color w:val="0A0A0A"/>
          <w:sz w:val="24"/>
        </w:rPr>
        <w:t>Group</w:t>
      </w:r>
      <w:r>
        <w:rPr>
          <w:color w:val="0A0A0A"/>
          <w:spacing w:val="-2"/>
          <w:sz w:val="24"/>
        </w:rPr>
        <w:t> </w:t>
      </w:r>
      <w:r>
        <w:rPr>
          <w:color w:val="0A0A0A"/>
          <w:sz w:val="24"/>
        </w:rPr>
        <w:t>Balance</w:t>
      </w:r>
      <w:r>
        <w:rPr>
          <w:color w:val="0A0A0A"/>
          <w:spacing w:val="8"/>
          <w:sz w:val="24"/>
        </w:rPr>
        <w:t> </w:t>
      </w:r>
      <w:r>
        <w:rPr>
          <w:color w:val="0A0A0A"/>
          <w:spacing w:val="-2"/>
          <w:sz w:val="24"/>
        </w:rPr>
        <w:t>Sheet;</w:t>
      </w:r>
    </w:p>
    <w:p>
      <w:pPr>
        <w:pStyle w:val="ListParagraph"/>
        <w:numPr>
          <w:ilvl w:val="0"/>
          <w:numId w:val="9"/>
        </w:numPr>
        <w:tabs>
          <w:tab w:val="left" w:leader="none" w:pos="1445"/>
        </w:tabs>
        <w:spacing w:before="17" w:after="0" w:line="240" w:lineRule="auto"/>
        <w:ind w:left="1445" w:right="0" w:hanging="361"/>
        <w:jc w:val="left"/>
        <w:rPr>
          <w:color w:val="1C1C1C"/>
          <w:sz w:val="24"/>
        </w:rPr>
      </w:pPr>
      <w:r>
        <w:rPr>
          <w:color w:val="0A0A0A"/>
          <w:sz w:val="24"/>
        </w:rPr>
        <w:t>Group</w:t>
      </w:r>
      <w:r>
        <w:rPr>
          <w:color w:val="0A0A0A"/>
          <w:spacing w:val="7"/>
          <w:sz w:val="24"/>
        </w:rPr>
        <w:t> </w:t>
      </w:r>
      <w:r>
        <w:rPr>
          <w:color w:val="0A0A0A"/>
          <w:sz w:val="24"/>
        </w:rPr>
        <w:t>Cash Flow</w:t>
      </w:r>
      <w:r>
        <w:rPr>
          <w:color w:val="0A0A0A"/>
          <w:spacing w:val="3"/>
          <w:sz w:val="24"/>
        </w:rPr>
        <w:t> </w:t>
      </w:r>
      <w:r>
        <w:rPr>
          <w:color w:val="0A0A0A"/>
          <w:spacing w:val="-2"/>
          <w:sz w:val="24"/>
        </w:rPr>
        <w:t>Statement.</w:t>
      </w:r>
    </w:p>
    <w:p>
      <w:pPr>
        <w:pStyle w:val="BodyText"/>
        <w:spacing w:before="1"/>
        <w:rPr>
          <w:sz w:val="24"/>
        </w:rPr>
      </w:pPr>
    </w:p>
    <w:p>
      <w:pPr>
        <w:spacing w:before="0"/>
        <w:ind w:left="716" w:right="0" w:firstLine="0"/>
        <w:jc w:val="both"/>
        <w:rPr>
          <w:sz w:val="24"/>
        </w:rPr>
      </w:pPr>
      <w:r>
        <w:rPr>
          <w:color w:val="0A0A0A"/>
          <w:sz w:val="24"/>
        </w:rPr>
        <w:t>These</w:t>
      </w:r>
      <w:r>
        <w:rPr>
          <w:color w:val="0A0A0A"/>
          <w:spacing w:val="4"/>
          <w:sz w:val="24"/>
        </w:rPr>
        <w:t> </w:t>
      </w:r>
      <w:r>
        <w:rPr>
          <w:color w:val="0A0A0A"/>
          <w:sz w:val="24"/>
        </w:rPr>
        <w:t>statements</w:t>
      </w:r>
      <w:r>
        <w:rPr>
          <w:color w:val="0A0A0A"/>
          <w:spacing w:val="15"/>
          <w:sz w:val="24"/>
        </w:rPr>
        <w:t> </w:t>
      </w:r>
      <w:r>
        <w:rPr>
          <w:color w:val="0A0A0A"/>
          <w:sz w:val="24"/>
        </w:rPr>
        <w:t>are</w:t>
      </w:r>
      <w:r>
        <w:rPr>
          <w:color w:val="0A0A0A"/>
          <w:spacing w:val="-3"/>
          <w:sz w:val="24"/>
        </w:rPr>
        <w:t> </w:t>
      </w:r>
      <w:r>
        <w:rPr>
          <w:color w:val="0A0A0A"/>
          <w:sz w:val="24"/>
        </w:rPr>
        <w:t>set</w:t>
      </w:r>
      <w:r>
        <w:rPr>
          <w:color w:val="0A0A0A"/>
          <w:spacing w:val="2"/>
          <w:sz w:val="24"/>
        </w:rPr>
        <w:t> </w:t>
      </w:r>
      <w:r>
        <w:rPr>
          <w:color w:val="0A0A0A"/>
          <w:sz w:val="24"/>
        </w:rPr>
        <w:t>out</w:t>
      </w:r>
      <w:r>
        <w:rPr>
          <w:color w:val="0A0A0A"/>
          <w:spacing w:val="-2"/>
          <w:sz w:val="24"/>
        </w:rPr>
        <w:t> </w:t>
      </w:r>
      <w:r>
        <w:rPr>
          <w:color w:val="0A0A0A"/>
          <w:sz w:val="24"/>
        </w:rPr>
        <w:t>on</w:t>
      </w:r>
      <w:r>
        <w:rPr>
          <w:color w:val="0A0A0A"/>
          <w:spacing w:val="-11"/>
          <w:sz w:val="24"/>
        </w:rPr>
        <w:t> </w:t>
      </w:r>
      <w:r>
        <w:rPr>
          <w:color w:val="0A0A0A"/>
          <w:sz w:val="24"/>
        </w:rPr>
        <w:t>pages</w:t>
      </w:r>
      <w:r>
        <w:rPr>
          <w:color w:val="0A0A0A"/>
          <w:spacing w:val="5"/>
          <w:sz w:val="24"/>
        </w:rPr>
        <w:t> </w:t>
      </w:r>
      <w:r>
        <w:rPr>
          <w:color w:val="0A0A0A"/>
          <w:sz w:val="24"/>
        </w:rPr>
        <w:t>118</w:t>
      </w:r>
      <w:r>
        <w:rPr>
          <w:color w:val="0A0A0A"/>
          <w:spacing w:val="6"/>
          <w:sz w:val="24"/>
        </w:rPr>
        <w:t> </w:t>
      </w:r>
      <w:r>
        <w:rPr>
          <w:color w:val="0A0A0A"/>
          <w:sz w:val="24"/>
        </w:rPr>
        <w:t>to </w:t>
      </w:r>
      <w:r>
        <w:rPr>
          <w:color w:val="0A0A0A"/>
          <w:spacing w:val="-4"/>
          <w:sz w:val="24"/>
        </w:rPr>
        <w:t>123</w:t>
      </w:r>
      <w:r>
        <w:rPr>
          <w:color w:val="565656"/>
          <w:spacing w:val="-4"/>
          <w:sz w:val="24"/>
        </w:rPr>
        <w:t>.</w:t>
      </w:r>
    </w:p>
    <w:p>
      <w:pPr>
        <w:spacing w:after="0"/>
        <w:jc w:val="both"/>
        <w:rPr>
          <w:sz w:val="24"/>
        </w:rPr>
        <w:sectPr>
          <w:pgSz w:w="11910" w:h="16830"/>
          <w:pgMar w:top="740" w:right="920" w:bottom="500" w:left="840" w:header="559" w:footer="304"/>
        </w:sectPr>
      </w:pPr>
    </w:p>
    <w:p>
      <w:pPr>
        <w:spacing w:before="65"/>
        <w:ind w:left="432" w:right="0" w:firstLine="0"/>
        <w:jc w:val="left"/>
        <w:rPr>
          <w:sz w:val="14"/>
        </w:rPr>
      </w:pPr>
      <w:r>
        <w:rPr>
          <w:color w:val="757575"/>
          <w:sz w:val="14"/>
        </w:rPr>
        <w:t>'1-.(ESEN</w:t>
      </w:r>
      <w:r>
        <w:rPr>
          <w:color w:val="757575"/>
          <w:spacing w:val="-5"/>
          <w:sz w:val="14"/>
        </w:rPr>
        <w:t> </w:t>
      </w:r>
      <w:r>
        <w:rPr>
          <w:color w:val="757575"/>
          <w:sz w:val="14"/>
        </w:rPr>
        <w:t>IAI</w:t>
      </w:r>
      <w:r>
        <w:rPr>
          <w:color w:val="757575"/>
          <w:spacing w:val="62"/>
          <w:sz w:val="14"/>
        </w:rPr>
        <w:t> </w:t>
      </w:r>
      <w:r>
        <w:rPr>
          <w:color w:val="757575"/>
          <w:sz w:val="14"/>
        </w:rPr>
        <w:t>ION</w:t>
      </w:r>
      <w:r>
        <w:rPr>
          <w:color w:val="757575"/>
          <w:spacing w:val="41"/>
          <w:w w:val="110"/>
          <w:sz w:val="14"/>
        </w:rPr>
        <w:t> </w:t>
      </w:r>
      <w:r>
        <w:rPr>
          <w:color w:val="858585"/>
          <w:w w:val="110"/>
          <w:sz w:val="11"/>
        </w:rPr>
        <w:t>(JI-</w:t>
      </w:r>
      <w:r>
        <w:rPr>
          <w:color w:val="858585"/>
          <w:spacing w:val="39"/>
          <w:w w:val="110"/>
          <w:sz w:val="11"/>
        </w:rPr>
        <w:t> </w:t>
      </w:r>
      <w:r>
        <w:rPr>
          <w:color w:val="858585"/>
          <w:sz w:val="14"/>
        </w:rPr>
        <w:t>r1</w:t>
      </w:r>
      <w:r>
        <w:rPr>
          <w:color w:val="B8B8B8"/>
          <w:sz w:val="14"/>
        </w:rPr>
        <w:t>-</w:t>
      </w:r>
      <w:r>
        <w:rPr>
          <w:color w:val="858585"/>
          <w:sz w:val="14"/>
        </w:rPr>
        <w:t>H:</w:t>
      </w:r>
      <w:r>
        <w:rPr>
          <w:color w:val="858585"/>
          <w:spacing w:val="18"/>
          <w:sz w:val="14"/>
        </w:rPr>
        <w:t> </w:t>
      </w:r>
      <w:r>
        <w:rPr>
          <w:color w:val="757575"/>
          <w:sz w:val="14"/>
        </w:rPr>
        <w:t>r</w:t>
      </w:r>
      <w:r>
        <w:rPr>
          <w:color w:val="757575"/>
          <w:spacing w:val="12"/>
          <w:sz w:val="14"/>
        </w:rPr>
        <w:t> </w:t>
      </w:r>
      <w:r>
        <w:rPr>
          <w:color w:val="757575"/>
          <w:sz w:val="14"/>
        </w:rPr>
        <w:t>IN</w:t>
      </w:r>
      <w:r>
        <w:rPr>
          <w:color w:val="A1A1A1"/>
          <w:sz w:val="14"/>
        </w:rPr>
        <w:t>.</w:t>
      </w:r>
      <w:r>
        <w:rPr>
          <w:color w:val="858585"/>
          <w:sz w:val="14"/>
        </w:rPr>
        <w:t>4[ol</w:t>
      </w:r>
      <w:r>
        <w:rPr>
          <w:color w:val="858585"/>
          <w:spacing w:val="24"/>
          <w:sz w:val="14"/>
        </w:rPr>
        <w:t> </w:t>
      </w:r>
      <w:r>
        <w:rPr>
          <w:color w:val="757575"/>
          <w:sz w:val="14"/>
        </w:rPr>
        <w:t>IAl</w:t>
      </w:r>
      <w:r>
        <w:rPr>
          <w:color w:val="757575"/>
          <w:spacing w:val="61"/>
          <w:w w:val="150"/>
          <w:sz w:val="14"/>
        </w:rPr>
        <w:t> </w:t>
      </w:r>
      <w:r>
        <w:rPr>
          <w:color w:val="858585"/>
          <w:sz w:val="15"/>
        </w:rPr>
        <w:t>:i</w:t>
      </w:r>
      <w:r>
        <w:rPr>
          <w:color w:val="858585"/>
          <w:spacing w:val="14"/>
          <w:sz w:val="15"/>
        </w:rPr>
        <w:t> </w:t>
      </w:r>
      <w:r>
        <w:rPr>
          <w:color w:val="858585"/>
          <w:sz w:val="14"/>
        </w:rPr>
        <w:t>ff\</w:t>
      </w:r>
      <w:r>
        <w:rPr>
          <w:color w:val="858585"/>
          <w:spacing w:val="18"/>
          <w:sz w:val="14"/>
        </w:rPr>
        <w:t> </w:t>
      </w:r>
      <w:r>
        <w:rPr>
          <w:color w:val="858585"/>
          <w:sz w:val="14"/>
        </w:rPr>
        <w:t>l</w:t>
      </w:r>
      <w:r>
        <w:rPr>
          <w:color w:val="858585"/>
          <w:spacing w:val="9"/>
          <w:sz w:val="14"/>
        </w:rPr>
        <w:t> </w:t>
      </w:r>
      <w:r>
        <w:rPr>
          <w:color w:val="858585"/>
          <w:sz w:val="14"/>
        </w:rPr>
        <w:t>l'.IVIEI\J</w:t>
      </w:r>
      <w:r>
        <w:rPr>
          <w:color w:val="858585"/>
          <w:spacing w:val="-1"/>
          <w:sz w:val="14"/>
        </w:rPr>
        <w:t> </w:t>
      </w:r>
      <w:r>
        <w:rPr>
          <w:color w:val="757575"/>
          <w:spacing w:val="-5"/>
          <w:sz w:val="14"/>
        </w:rPr>
        <w:t>r:;</w:t>
      </w:r>
    </w:p>
    <w:p>
      <w:pPr>
        <w:pStyle w:val="BodyText"/>
        <w:spacing w:before="15"/>
        <w:rPr>
          <w:sz w:val="20"/>
        </w:rPr>
      </w:pPr>
    </w:p>
    <w:tbl>
      <w:tblPr>
        <w:tblW w:w="0" w:type="auto"/>
        <w:jc w:val="left"/>
        <w:tblInd w:w="34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5512"/>
        <w:gridCol w:w="1148"/>
        <w:gridCol w:w="1149"/>
        <w:gridCol w:w="1288"/>
        <w:gridCol w:w="1238"/>
        <w:gridCol w:w="1293"/>
        <w:gridCol w:w="1288"/>
        <w:gridCol w:w="1223"/>
      </w:tblGrid>
      <w:tr>
        <w:trPr>
          <w:trHeight w:val="471" w:hRule="atLeast"/>
        </w:trPr>
        <w:tc>
          <w:tcPr>
            <w:tcW w:w="6660" w:type="dxa"/>
            <w:gridSpan w:val="2"/>
          </w:tcPr>
          <w:p>
            <w:pPr>
              <w:pStyle w:val="TableParagraph"/>
              <w:tabs>
                <w:tab w:val="left" w:leader="none" w:pos="762"/>
              </w:tabs>
              <w:spacing w:line="246" w:lineRule="exact"/>
              <w:ind w:left="50"/>
              <w:rPr>
                <w:sz w:val="22"/>
              </w:rPr>
            </w:pPr>
            <w:r>
              <w:rPr>
                <w:color w:val="757575"/>
                <w:spacing w:val="-5"/>
                <w:w w:val="105"/>
                <w:sz w:val="22"/>
              </w:rPr>
              <w:t>4.1</w:t>
            </w:r>
            <w:r>
              <w:rPr>
                <w:color w:val="757575"/>
                <w:sz w:val="22"/>
              </w:rPr>
              <w:tab/>
            </w:r>
            <w:r>
              <w:rPr>
                <w:color w:val="757575"/>
                <w:w w:val="105"/>
                <w:sz w:val="22"/>
              </w:rPr>
              <w:t>Movement</w:t>
            </w:r>
            <w:r>
              <w:rPr>
                <w:color w:val="757575"/>
                <w:spacing w:val="2"/>
                <w:w w:val="105"/>
                <w:sz w:val="22"/>
              </w:rPr>
              <w:t> </w:t>
            </w:r>
            <w:r>
              <w:rPr>
                <w:color w:val="757575"/>
                <w:w w:val="105"/>
                <w:sz w:val="22"/>
              </w:rPr>
              <w:t>in</w:t>
            </w:r>
            <w:r>
              <w:rPr>
                <w:color w:val="757575"/>
                <w:spacing w:val="6"/>
                <w:w w:val="105"/>
                <w:sz w:val="22"/>
              </w:rPr>
              <w:t> </w:t>
            </w:r>
            <w:r>
              <w:rPr>
                <w:color w:val="757575"/>
                <w:w w:val="105"/>
                <w:sz w:val="22"/>
              </w:rPr>
              <w:t>Reserves</w:t>
            </w:r>
            <w:r>
              <w:rPr>
                <w:color w:val="757575"/>
                <w:spacing w:val="-2"/>
                <w:w w:val="105"/>
                <w:sz w:val="22"/>
              </w:rPr>
              <w:t> Statement</w:t>
            </w:r>
          </w:p>
        </w:tc>
        <w:tc>
          <w:tcPr>
            <w:tcW w:w="7479" w:type="dxa"/>
            <w:gridSpan w:val="6"/>
          </w:tcPr>
          <w:p>
            <w:pPr>
              <w:pStyle w:val="TableParagraph"/>
              <w:rPr>
                <w:rFonts w:ascii="Times New Roman"/>
                <w:sz w:val="20"/>
              </w:rPr>
            </w:pPr>
          </w:p>
        </w:tc>
      </w:tr>
      <w:tr>
        <w:trPr>
          <w:trHeight w:val="730" w:hRule="atLeast"/>
        </w:trPr>
        <w:tc>
          <w:tcPr>
            <w:tcW w:w="6660" w:type="dxa"/>
            <w:gridSpan w:val="2"/>
          </w:tcPr>
          <w:p>
            <w:pPr>
              <w:pStyle w:val="TableParagraph"/>
              <w:rPr>
                <w:rFonts w:ascii="Times New Roman"/>
                <w:sz w:val="20"/>
              </w:rPr>
            </w:pPr>
          </w:p>
        </w:tc>
        <w:tc>
          <w:tcPr>
            <w:tcW w:w="1149" w:type="dxa"/>
          </w:tcPr>
          <w:p>
            <w:pPr>
              <w:pStyle w:val="TableParagraph"/>
              <w:spacing w:before="211" w:line="250" w:lineRule="exact"/>
              <w:ind w:left="314" w:right="150" w:hanging="143"/>
              <w:rPr>
                <w:sz w:val="22"/>
              </w:rPr>
            </w:pPr>
            <w:r>
              <w:rPr>
                <w:color w:val="050505"/>
                <w:spacing w:val="-2"/>
                <w:w w:val="105"/>
                <w:sz w:val="22"/>
              </w:rPr>
              <w:t>General </w:t>
            </w:r>
            <w:r>
              <w:rPr>
                <w:color w:val="050505"/>
                <w:spacing w:val="-4"/>
                <w:w w:val="105"/>
                <w:sz w:val="22"/>
              </w:rPr>
              <w:t>Fund</w:t>
            </w:r>
          </w:p>
        </w:tc>
        <w:tc>
          <w:tcPr>
            <w:tcW w:w="1288" w:type="dxa"/>
          </w:tcPr>
          <w:p>
            <w:pPr>
              <w:pStyle w:val="TableParagraph"/>
              <w:spacing w:before="205" w:line="250" w:lineRule="atLeast"/>
              <w:ind w:left="114" w:firstLine="88"/>
              <w:rPr>
                <w:sz w:val="22"/>
              </w:rPr>
            </w:pPr>
            <w:r>
              <w:rPr>
                <w:color w:val="050505"/>
                <w:spacing w:val="-2"/>
                <w:w w:val="105"/>
                <w:sz w:val="22"/>
              </w:rPr>
              <w:t>Capital Receipts</w:t>
            </w:r>
          </w:p>
        </w:tc>
        <w:tc>
          <w:tcPr>
            <w:tcW w:w="1238" w:type="dxa"/>
          </w:tcPr>
          <w:p>
            <w:pPr>
              <w:pStyle w:val="TableParagraph"/>
              <w:spacing w:before="211" w:line="250" w:lineRule="exact"/>
              <w:ind w:left="207" w:hanging="14"/>
              <w:rPr>
                <w:sz w:val="22"/>
              </w:rPr>
            </w:pPr>
            <w:r>
              <w:rPr>
                <w:color w:val="050505"/>
                <w:spacing w:val="-2"/>
                <w:w w:val="105"/>
                <w:sz w:val="22"/>
              </w:rPr>
              <w:t>Capital Grants</w:t>
            </w:r>
          </w:p>
        </w:tc>
        <w:tc>
          <w:tcPr>
            <w:tcW w:w="1293" w:type="dxa"/>
          </w:tcPr>
          <w:p>
            <w:pPr>
              <w:pStyle w:val="TableParagraph"/>
              <w:spacing w:before="211" w:line="250" w:lineRule="exact"/>
              <w:ind w:left="310" w:firstLine="98"/>
              <w:rPr>
                <w:sz w:val="22"/>
              </w:rPr>
            </w:pPr>
            <w:r>
              <w:rPr>
                <w:color w:val="050505"/>
                <w:spacing w:val="-2"/>
                <w:w w:val="110"/>
                <w:sz w:val="22"/>
              </w:rPr>
              <w:t>Total </w:t>
            </w:r>
            <w:r>
              <w:rPr>
                <w:color w:val="050505"/>
                <w:spacing w:val="-2"/>
                <w:sz w:val="22"/>
              </w:rPr>
              <w:t>Usable</w:t>
            </w:r>
          </w:p>
        </w:tc>
        <w:tc>
          <w:tcPr>
            <w:tcW w:w="1288" w:type="dxa"/>
          </w:tcPr>
          <w:p>
            <w:pPr>
              <w:pStyle w:val="TableParagraph"/>
              <w:spacing w:before="225"/>
              <w:rPr>
                <w:sz w:val="22"/>
              </w:rPr>
            </w:pPr>
          </w:p>
          <w:p>
            <w:pPr>
              <w:pStyle w:val="TableParagraph"/>
              <w:spacing w:line="233" w:lineRule="exact"/>
              <w:ind w:right="132"/>
              <w:jc w:val="right"/>
              <w:rPr>
                <w:sz w:val="22"/>
              </w:rPr>
            </w:pPr>
            <w:r>
              <w:rPr>
                <w:color w:val="050505"/>
                <w:spacing w:val="-2"/>
                <w:w w:val="105"/>
                <w:sz w:val="22"/>
              </w:rPr>
              <w:t>Unusable</w:t>
            </w:r>
          </w:p>
        </w:tc>
        <w:tc>
          <w:tcPr>
            <w:tcW w:w="1223" w:type="dxa"/>
          </w:tcPr>
          <w:p>
            <w:pPr>
              <w:pStyle w:val="TableParagraph"/>
              <w:spacing w:before="211" w:line="250" w:lineRule="exact"/>
              <w:ind w:left="171" w:right="84" w:firstLine="220"/>
              <w:rPr>
                <w:sz w:val="22"/>
              </w:rPr>
            </w:pPr>
            <w:r>
              <w:rPr>
                <w:color w:val="050505"/>
                <w:spacing w:val="-2"/>
                <w:w w:val="110"/>
                <w:sz w:val="22"/>
              </w:rPr>
              <w:t>Total Authority</w:t>
            </w:r>
          </w:p>
        </w:tc>
      </w:tr>
      <w:tr>
        <w:trPr>
          <w:trHeight w:val="259" w:hRule="atLeast"/>
        </w:trPr>
        <w:tc>
          <w:tcPr>
            <w:tcW w:w="6660" w:type="dxa"/>
            <w:gridSpan w:val="2"/>
          </w:tcPr>
          <w:p>
            <w:pPr>
              <w:pStyle w:val="TableParagraph"/>
              <w:rPr>
                <w:rFonts w:ascii="Times New Roman"/>
                <w:sz w:val="18"/>
              </w:rPr>
            </w:pPr>
          </w:p>
        </w:tc>
        <w:tc>
          <w:tcPr>
            <w:tcW w:w="1149" w:type="dxa"/>
          </w:tcPr>
          <w:p>
            <w:pPr>
              <w:pStyle w:val="TableParagraph"/>
              <w:spacing w:line="240" w:lineRule="exact"/>
              <w:ind w:right="139"/>
              <w:jc w:val="right"/>
              <w:rPr>
                <w:sz w:val="22"/>
              </w:rPr>
            </w:pPr>
            <w:r>
              <w:rPr>
                <w:color w:val="050505"/>
                <w:spacing w:val="-2"/>
                <w:w w:val="105"/>
                <w:sz w:val="22"/>
              </w:rPr>
              <w:t>Balance</w:t>
            </w:r>
          </w:p>
        </w:tc>
        <w:tc>
          <w:tcPr>
            <w:tcW w:w="1288" w:type="dxa"/>
          </w:tcPr>
          <w:p>
            <w:pPr>
              <w:pStyle w:val="TableParagraph"/>
              <w:spacing w:line="240" w:lineRule="exact"/>
              <w:ind w:right="294"/>
              <w:jc w:val="right"/>
              <w:rPr>
                <w:sz w:val="22"/>
              </w:rPr>
            </w:pPr>
            <w:r>
              <w:rPr>
                <w:color w:val="050505"/>
                <w:spacing w:val="-2"/>
                <w:w w:val="105"/>
                <w:sz w:val="22"/>
              </w:rPr>
              <w:t>Reserve</w:t>
            </w:r>
          </w:p>
        </w:tc>
        <w:tc>
          <w:tcPr>
            <w:tcW w:w="1238" w:type="dxa"/>
          </w:tcPr>
          <w:p>
            <w:pPr>
              <w:pStyle w:val="TableParagraph"/>
              <w:spacing w:line="240" w:lineRule="exact"/>
              <w:ind w:right="145"/>
              <w:jc w:val="right"/>
              <w:rPr>
                <w:sz w:val="22"/>
              </w:rPr>
            </w:pPr>
            <w:r>
              <w:rPr>
                <w:color w:val="050505"/>
                <w:spacing w:val="-2"/>
                <w:w w:val="105"/>
                <w:sz w:val="22"/>
              </w:rPr>
              <w:t>Unapplied</w:t>
            </w:r>
          </w:p>
        </w:tc>
        <w:tc>
          <w:tcPr>
            <w:tcW w:w="1293" w:type="dxa"/>
          </w:tcPr>
          <w:p>
            <w:pPr>
              <w:pStyle w:val="TableParagraph"/>
              <w:spacing w:before="2" w:line="237" w:lineRule="exact"/>
              <w:ind w:left="180"/>
              <w:rPr>
                <w:sz w:val="22"/>
              </w:rPr>
            </w:pPr>
            <w:r>
              <w:rPr>
                <w:color w:val="050505"/>
                <w:spacing w:val="-2"/>
                <w:w w:val="105"/>
                <w:sz w:val="22"/>
              </w:rPr>
              <w:t>Reserves</w:t>
            </w:r>
          </w:p>
        </w:tc>
        <w:tc>
          <w:tcPr>
            <w:tcW w:w="1288" w:type="dxa"/>
          </w:tcPr>
          <w:p>
            <w:pPr>
              <w:pStyle w:val="TableParagraph"/>
              <w:spacing w:before="2" w:line="237" w:lineRule="exact"/>
              <w:ind w:right="145"/>
              <w:jc w:val="right"/>
              <w:rPr>
                <w:sz w:val="22"/>
              </w:rPr>
            </w:pPr>
            <w:r>
              <w:rPr>
                <w:color w:val="050505"/>
                <w:spacing w:val="-2"/>
                <w:w w:val="105"/>
                <w:sz w:val="22"/>
              </w:rPr>
              <w:t>Reserves</w:t>
            </w:r>
          </w:p>
        </w:tc>
        <w:tc>
          <w:tcPr>
            <w:tcW w:w="1223" w:type="dxa"/>
          </w:tcPr>
          <w:p>
            <w:pPr>
              <w:pStyle w:val="TableParagraph"/>
              <w:spacing w:before="2" w:line="237" w:lineRule="exact"/>
              <w:ind w:right="89"/>
              <w:jc w:val="right"/>
              <w:rPr>
                <w:sz w:val="22"/>
              </w:rPr>
            </w:pPr>
            <w:r>
              <w:rPr>
                <w:color w:val="050505"/>
                <w:spacing w:val="-2"/>
                <w:w w:val="105"/>
                <w:sz w:val="22"/>
              </w:rPr>
              <w:t>Reserves</w:t>
            </w:r>
          </w:p>
        </w:tc>
      </w:tr>
      <w:tr>
        <w:trPr>
          <w:trHeight w:val="260" w:hRule="atLeast"/>
        </w:trPr>
        <w:tc>
          <w:tcPr>
            <w:tcW w:w="6660" w:type="dxa"/>
            <w:gridSpan w:val="2"/>
          </w:tcPr>
          <w:p>
            <w:pPr>
              <w:pStyle w:val="TableParagraph"/>
              <w:spacing w:line="240" w:lineRule="exact"/>
              <w:ind w:right="232"/>
              <w:jc w:val="right"/>
              <w:rPr>
                <w:sz w:val="22"/>
              </w:rPr>
            </w:pPr>
            <w:r>
              <w:rPr>
                <w:color w:val="050505"/>
                <w:spacing w:val="-4"/>
                <w:w w:val="105"/>
                <w:sz w:val="22"/>
              </w:rPr>
              <w:t>Note</w:t>
            </w:r>
          </w:p>
        </w:tc>
        <w:tc>
          <w:tcPr>
            <w:tcW w:w="1149" w:type="dxa"/>
          </w:tcPr>
          <w:p>
            <w:pPr>
              <w:pStyle w:val="TableParagraph"/>
              <w:spacing w:before="2" w:line="238" w:lineRule="exact"/>
              <w:ind w:left="344"/>
              <w:rPr>
                <w:sz w:val="22"/>
              </w:rPr>
            </w:pPr>
            <w:r>
              <w:rPr>
                <w:color w:val="050505"/>
                <w:spacing w:val="-4"/>
                <w:sz w:val="22"/>
              </w:rPr>
              <w:t>£000</w:t>
            </w:r>
          </w:p>
        </w:tc>
        <w:tc>
          <w:tcPr>
            <w:tcW w:w="1288" w:type="dxa"/>
          </w:tcPr>
          <w:p>
            <w:pPr>
              <w:pStyle w:val="TableParagraph"/>
              <w:spacing w:before="2" w:line="238" w:lineRule="exact"/>
              <w:ind w:left="326"/>
              <w:rPr>
                <w:sz w:val="22"/>
              </w:rPr>
            </w:pPr>
            <w:r>
              <w:rPr>
                <w:color w:val="050505"/>
                <w:spacing w:val="-4"/>
                <w:sz w:val="22"/>
              </w:rPr>
              <w:t>£000</w:t>
            </w:r>
          </w:p>
        </w:tc>
        <w:tc>
          <w:tcPr>
            <w:tcW w:w="1238" w:type="dxa"/>
          </w:tcPr>
          <w:p>
            <w:pPr>
              <w:pStyle w:val="TableParagraph"/>
              <w:spacing w:before="2" w:line="238" w:lineRule="exact"/>
              <w:ind w:left="317"/>
              <w:rPr>
                <w:sz w:val="22"/>
              </w:rPr>
            </w:pPr>
            <w:r>
              <w:rPr>
                <w:color w:val="050505"/>
                <w:spacing w:val="-4"/>
                <w:sz w:val="22"/>
              </w:rPr>
              <w:t>£000</w:t>
            </w:r>
          </w:p>
        </w:tc>
        <w:tc>
          <w:tcPr>
            <w:tcW w:w="1293" w:type="dxa"/>
          </w:tcPr>
          <w:p>
            <w:pPr>
              <w:pStyle w:val="TableParagraph"/>
              <w:spacing w:before="7" w:line="233" w:lineRule="exact"/>
              <w:ind w:left="430"/>
              <w:rPr>
                <w:sz w:val="22"/>
              </w:rPr>
            </w:pPr>
            <w:r>
              <w:rPr>
                <w:color w:val="050505"/>
                <w:spacing w:val="-4"/>
                <w:sz w:val="22"/>
              </w:rPr>
              <w:t>£000</w:t>
            </w:r>
          </w:p>
        </w:tc>
        <w:tc>
          <w:tcPr>
            <w:tcW w:w="1288" w:type="dxa"/>
          </w:tcPr>
          <w:p>
            <w:pPr>
              <w:pStyle w:val="TableParagraph"/>
              <w:spacing w:before="7" w:line="233" w:lineRule="exact"/>
              <w:ind w:left="422"/>
              <w:rPr>
                <w:sz w:val="22"/>
              </w:rPr>
            </w:pPr>
            <w:r>
              <w:rPr>
                <w:color w:val="050505"/>
                <w:spacing w:val="-4"/>
                <w:sz w:val="22"/>
              </w:rPr>
              <w:t>£000</w:t>
            </w:r>
          </w:p>
        </w:tc>
        <w:tc>
          <w:tcPr>
            <w:tcW w:w="1223" w:type="dxa"/>
          </w:tcPr>
          <w:p>
            <w:pPr>
              <w:pStyle w:val="TableParagraph"/>
              <w:spacing w:before="7" w:line="233" w:lineRule="exact"/>
              <w:ind w:left="408"/>
              <w:rPr>
                <w:sz w:val="22"/>
              </w:rPr>
            </w:pPr>
            <w:r>
              <w:rPr>
                <w:color w:val="050505"/>
                <w:spacing w:val="-4"/>
                <w:sz w:val="22"/>
              </w:rPr>
              <w:t>£000</w:t>
            </w:r>
          </w:p>
        </w:tc>
      </w:tr>
      <w:tr>
        <w:trPr>
          <w:trHeight w:val="252" w:hRule="atLeast"/>
        </w:trPr>
        <w:tc>
          <w:tcPr>
            <w:tcW w:w="5512" w:type="dxa"/>
          </w:tcPr>
          <w:p>
            <w:pPr>
              <w:pStyle w:val="TableParagraph"/>
              <w:spacing w:line="228" w:lineRule="exact"/>
              <w:ind w:left="238"/>
              <w:rPr>
                <w:sz w:val="22"/>
              </w:rPr>
            </w:pPr>
            <w:r>
              <w:rPr>
                <w:color w:val="050505"/>
                <w:sz w:val="22"/>
              </w:rPr>
              <w:t>Balance</w:t>
            </w:r>
            <w:r>
              <w:rPr>
                <w:color w:val="050505"/>
                <w:spacing w:val="2"/>
                <w:sz w:val="22"/>
              </w:rPr>
              <w:t> </w:t>
            </w:r>
            <w:r>
              <w:rPr>
                <w:color w:val="050505"/>
                <w:sz w:val="22"/>
              </w:rPr>
              <w:t>at</w:t>
            </w:r>
            <w:r>
              <w:rPr>
                <w:color w:val="050505"/>
                <w:spacing w:val="-4"/>
                <w:sz w:val="22"/>
              </w:rPr>
              <w:t> </w:t>
            </w:r>
            <w:r>
              <w:rPr>
                <w:color w:val="050505"/>
                <w:sz w:val="22"/>
              </w:rPr>
              <w:t>31</w:t>
            </w:r>
            <w:r>
              <w:rPr>
                <w:color w:val="050505"/>
                <w:spacing w:val="-20"/>
                <w:sz w:val="22"/>
              </w:rPr>
              <w:t> </w:t>
            </w:r>
            <w:r>
              <w:rPr>
                <w:color w:val="050505"/>
                <w:sz w:val="22"/>
              </w:rPr>
              <w:t>March</w:t>
            </w:r>
            <w:r>
              <w:rPr>
                <w:color w:val="050505"/>
                <w:spacing w:val="7"/>
                <w:sz w:val="22"/>
              </w:rPr>
              <w:t> </w:t>
            </w:r>
            <w:r>
              <w:rPr>
                <w:color w:val="050505"/>
                <w:spacing w:val="-4"/>
                <w:sz w:val="22"/>
              </w:rPr>
              <w:t>2021</w:t>
            </w:r>
          </w:p>
        </w:tc>
        <w:tc>
          <w:tcPr>
            <w:tcW w:w="1148" w:type="dxa"/>
          </w:tcPr>
          <w:p>
            <w:pPr>
              <w:pStyle w:val="TableParagraph"/>
              <w:rPr>
                <w:rFonts w:ascii="Times New Roman"/>
                <w:sz w:val="18"/>
              </w:rPr>
            </w:pPr>
          </w:p>
        </w:tc>
        <w:tc>
          <w:tcPr>
            <w:tcW w:w="1149" w:type="dxa"/>
          </w:tcPr>
          <w:p>
            <w:pPr>
              <w:pStyle w:val="TableParagraph"/>
              <w:spacing w:line="228" w:lineRule="exact"/>
              <w:ind w:right="107"/>
              <w:jc w:val="right"/>
              <w:rPr>
                <w:sz w:val="22"/>
              </w:rPr>
            </w:pPr>
            <w:r>
              <w:rPr>
                <w:color w:val="050505"/>
                <w:spacing w:val="-2"/>
                <w:sz w:val="22"/>
              </w:rPr>
              <w:t>(44,015)</w:t>
            </w:r>
          </w:p>
        </w:tc>
        <w:tc>
          <w:tcPr>
            <w:tcW w:w="1288" w:type="dxa"/>
          </w:tcPr>
          <w:p>
            <w:pPr>
              <w:pStyle w:val="TableParagraph"/>
              <w:spacing w:before="7" w:line="221" w:lineRule="exact"/>
              <w:ind w:right="253"/>
              <w:jc w:val="right"/>
              <w:rPr>
                <w:b/>
                <w:sz w:val="21"/>
              </w:rPr>
            </w:pPr>
            <w:r>
              <w:rPr>
                <w:b/>
                <w:color w:val="050505"/>
                <w:spacing w:val="-2"/>
                <w:w w:val="105"/>
                <w:sz w:val="21"/>
              </w:rPr>
              <w:t>(5,656)</w:t>
            </w:r>
          </w:p>
        </w:tc>
        <w:tc>
          <w:tcPr>
            <w:tcW w:w="1238" w:type="dxa"/>
          </w:tcPr>
          <w:p>
            <w:pPr>
              <w:pStyle w:val="TableParagraph"/>
              <w:spacing w:before="12" w:line="216" w:lineRule="exact"/>
              <w:ind w:right="75"/>
              <w:jc w:val="right"/>
              <w:rPr>
                <w:b/>
                <w:sz w:val="21"/>
              </w:rPr>
            </w:pPr>
            <w:r>
              <w:rPr>
                <w:b/>
                <w:color w:val="050505"/>
                <w:spacing w:val="-2"/>
                <w:w w:val="105"/>
                <w:sz w:val="21"/>
              </w:rPr>
              <w:t>(14,557)</w:t>
            </w:r>
          </w:p>
        </w:tc>
        <w:tc>
          <w:tcPr>
            <w:tcW w:w="1293" w:type="dxa"/>
          </w:tcPr>
          <w:p>
            <w:pPr>
              <w:pStyle w:val="TableParagraph"/>
              <w:spacing w:before="12" w:line="216" w:lineRule="exact"/>
              <w:ind w:left="384"/>
              <w:rPr>
                <w:b/>
                <w:sz w:val="21"/>
              </w:rPr>
            </w:pPr>
            <w:r>
              <w:rPr>
                <w:b/>
                <w:color w:val="050505"/>
                <w:spacing w:val="-2"/>
                <w:w w:val="105"/>
                <w:sz w:val="21"/>
              </w:rPr>
              <w:t>(64,228)</w:t>
            </w:r>
          </w:p>
        </w:tc>
        <w:tc>
          <w:tcPr>
            <w:tcW w:w="1288" w:type="dxa"/>
          </w:tcPr>
          <w:p>
            <w:pPr>
              <w:pStyle w:val="TableParagraph"/>
              <w:spacing w:before="12" w:line="216" w:lineRule="exact"/>
              <w:ind w:right="92"/>
              <w:jc w:val="right"/>
              <w:rPr>
                <w:b/>
                <w:sz w:val="21"/>
              </w:rPr>
            </w:pPr>
            <w:r>
              <w:rPr>
                <w:b/>
                <w:color w:val="050505"/>
                <w:spacing w:val="-2"/>
                <w:w w:val="105"/>
                <w:sz w:val="21"/>
              </w:rPr>
              <w:t>(94,211)</w:t>
            </w:r>
          </w:p>
        </w:tc>
        <w:tc>
          <w:tcPr>
            <w:tcW w:w="1223" w:type="dxa"/>
          </w:tcPr>
          <w:p>
            <w:pPr>
              <w:pStyle w:val="TableParagraph"/>
              <w:spacing w:before="12" w:line="216" w:lineRule="exact"/>
              <w:ind w:right="42"/>
              <w:jc w:val="right"/>
              <w:rPr>
                <w:b/>
                <w:sz w:val="21"/>
              </w:rPr>
            </w:pPr>
            <w:r>
              <w:rPr>
                <w:b/>
                <w:color w:val="050505"/>
                <w:spacing w:val="-2"/>
                <w:w w:val="105"/>
                <w:sz w:val="21"/>
              </w:rPr>
              <w:t>(158,439)</w:t>
            </w:r>
          </w:p>
        </w:tc>
      </w:tr>
      <w:tr>
        <w:trPr>
          <w:trHeight w:val="516" w:hRule="atLeast"/>
        </w:trPr>
        <w:tc>
          <w:tcPr>
            <w:tcW w:w="5512" w:type="dxa"/>
          </w:tcPr>
          <w:p>
            <w:pPr>
              <w:pStyle w:val="TableParagraph"/>
              <w:spacing w:line="250" w:lineRule="exact"/>
              <w:ind w:left="245" w:hanging="1"/>
              <w:rPr>
                <w:sz w:val="22"/>
              </w:rPr>
            </w:pPr>
            <w:r>
              <w:rPr>
                <w:color w:val="050505"/>
                <w:sz w:val="22"/>
              </w:rPr>
              <w:t>Total comprehensive income and expenditure Adjustments</w:t>
            </w:r>
            <w:r>
              <w:rPr>
                <w:color w:val="050505"/>
                <w:spacing w:val="-3"/>
                <w:sz w:val="22"/>
              </w:rPr>
              <w:t> </w:t>
            </w:r>
            <w:r>
              <w:rPr>
                <w:color w:val="050505"/>
                <w:sz w:val="22"/>
              </w:rPr>
              <w:t>between</w:t>
            </w:r>
            <w:r>
              <w:rPr>
                <w:color w:val="050505"/>
                <w:spacing w:val="-9"/>
                <w:sz w:val="22"/>
              </w:rPr>
              <w:t> </w:t>
            </w:r>
            <w:r>
              <w:rPr>
                <w:color w:val="050505"/>
                <w:sz w:val="22"/>
              </w:rPr>
              <w:t>accounting</w:t>
            </w:r>
            <w:r>
              <w:rPr>
                <w:color w:val="050505"/>
                <w:spacing w:val="-4"/>
                <w:sz w:val="22"/>
              </w:rPr>
              <w:t> </w:t>
            </w:r>
            <w:r>
              <w:rPr>
                <w:color w:val="050505"/>
                <w:sz w:val="22"/>
              </w:rPr>
              <w:t>&amp;</w:t>
            </w:r>
            <w:r>
              <w:rPr>
                <w:color w:val="050505"/>
                <w:spacing w:val="-16"/>
                <w:sz w:val="22"/>
              </w:rPr>
              <w:t> </w:t>
            </w:r>
            <w:r>
              <w:rPr>
                <w:color w:val="050505"/>
                <w:sz w:val="22"/>
              </w:rPr>
              <w:t>funding</w:t>
            </w:r>
            <w:r>
              <w:rPr>
                <w:color w:val="050505"/>
                <w:spacing w:val="-6"/>
                <w:sz w:val="22"/>
              </w:rPr>
              <w:t> </w:t>
            </w:r>
            <w:r>
              <w:rPr>
                <w:color w:val="050505"/>
                <w:sz w:val="22"/>
              </w:rPr>
              <w:t>basis</w:t>
            </w:r>
          </w:p>
        </w:tc>
        <w:tc>
          <w:tcPr>
            <w:tcW w:w="1148" w:type="dxa"/>
          </w:tcPr>
          <w:p>
            <w:pPr>
              <w:pStyle w:val="TableParagraph"/>
              <w:rPr>
                <w:rFonts w:ascii="Times New Roman"/>
                <w:sz w:val="20"/>
              </w:rPr>
            </w:pPr>
          </w:p>
        </w:tc>
        <w:tc>
          <w:tcPr>
            <w:tcW w:w="1149" w:type="dxa"/>
          </w:tcPr>
          <w:p>
            <w:pPr>
              <w:pStyle w:val="TableParagraph"/>
              <w:spacing w:before="18"/>
              <w:ind w:right="114"/>
              <w:jc w:val="right"/>
              <w:rPr>
                <w:sz w:val="22"/>
              </w:rPr>
            </w:pPr>
            <w:r>
              <w:rPr>
                <w:color w:val="050505"/>
                <w:spacing w:val="-2"/>
                <w:sz w:val="22"/>
              </w:rPr>
              <w:t>(9,941)</w:t>
            </w:r>
          </w:p>
        </w:tc>
        <w:tc>
          <w:tcPr>
            <w:tcW w:w="1288" w:type="dxa"/>
          </w:tcPr>
          <w:p>
            <w:pPr>
              <w:pStyle w:val="TableParagraph"/>
              <w:spacing w:line="297" w:lineRule="exact"/>
              <w:ind w:right="251"/>
              <w:jc w:val="right"/>
              <w:rPr>
                <w:sz w:val="27"/>
              </w:rPr>
            </w:pPr>
            <w:r>
              <w:rPr>
                <w:color w:val="212121"/>
                <w:spacing w:val="-10"/>
                <w:w w:val="95"/>
                <w:sz w:val="27"/>
              </w:rPr>
              <w:t>-</w:t>
            </w:r>
          </w:p>
        </w:tc>
        <w:tc>
          <w:tcPr>
            <w:tcW w:w="1238" w:type="dxa"/>
          </w:tcPr>
          <w:p>
            <w:pPr>
              <w:pStyle w:val="TableParagraph"/>
              <w:spacing w:line="302" w:lineRule="exact"/>
              <w:ind w:right="65"/>
              <w:jc w:val="right"/>
              <w:rPr>
                <w:sz w:val="27"/>
              </w:rPr>
            </w:pPr>
            <w:r>
              <w:rPr>
                <w:color w:val="212121"/>
                <w:spacing w:val="-10"/>
                <w:w w:val="95"/>
                <w:sz w:val="27"/>
              </w:rPr>
              <w:t>-</w:t>
            </w:r>
          </w:p>
        </w:tc>
        <w:tc>
          <w:tcPr>
            <w:tcW w:w="1293" w:type="dxa"/>
          </w:tcPr>
          <w:p>
            <w:pPr>
              <w:pStyle w:val="TableParagraph"/>
              <w:spacing w:before="28"/>
              <w:ind w:right="86"/>
              <w:jc w:val="right"/>
              <w:rPr>
                <w:b/>
                <w:sz w:val="21"/>
              </w:rPr>
            </w:pPr>
            <w:r>
              <w:rPr>
                <w:b/>
                <w:color w:val="050505"/>
                <w:spacing w:val="-2"/>
                <w:w w:val="105"/>
                <w:sz w:val="21"/>
              </w:rPr>
              <w:t>(9,941)</w:t>
            </w:r>
          </w:p>
        </w:tc>
        <w:tc>
          <w:tcPr>
            <w:tcW w:w="1288" w:type="dxa"/>
          </w:tcPr>
          <w:p>
            <w:pPr>
              <w:pStyle w:val="TableParagraph"/>
              <w:spacing w:before="23"/>
              <w:ind w:right="103"/>
              <w:jc w:val="right"/>
              <w:rPr>
                <w:sz w:val="22"/>
              </w:rPr>
            </w:pPr>
            <w:r>
              <w:rPr>
                <w:color w:val="050505"/>
                <w:spacing w:val="-2"/>
                <w:sz w:val="22"/>
              </w:rPr>
              <w:t>(12,587)</w:t>
            </w:r>
          </w:p>
        </w:tc>
        <w:tc>
          <w:tcPr>
            <w:tcW w:w="1223" w:type="dxa"/>
          </w:tcPr>
          <w:p>
            <w:pPr>
              <w:pStyle w:val="TableParagraph"/>
              <w:spacing w:before="28"/>
              <w:ind w:right="39"/>
              <w:jc w:val="right"/>
              <w:rPr>
                <w:b/>
                <w:sz w:val="21"/>
              </w:rPr>
            </w:pPr>
            <w:r>
              <w:rPr>
                <w:b/>
                <w:color w:val="050505"/>
                <w:spacing w:val="-2"/>
                <w:w w:val="105"/>
                <w:sz w:val="21"/>
              </w:rPr>
              <w:t>(22,528)</w:t>
            </w:r>
          </w:p>
        </w:tc>
      </w:tr>
      <w:tr>
        <w:trPr>
          <w:trHeight w:val="518" w:hRule="atLeast"/>
        </w:trPr>
        <w:tc>
          <w:tcPr>
            <w:tcW w:w="5512" w:type="dxa"/>
          </w:tcPr>
          <w:p>
            <w:pPr>
              <w:pStyle w:val="TableParagraph"/>
              <w:spacing w:line="250" w:lineRule="exact"/>
              <w:ind w:left="240"/>
              <w:rPr>
                <w:sz w:val="22"/>
              </w:rPr>
            </w:pPr>
            <w:r>
              <w:rPr>
                <w:color w:val="050505"/>
                <w:sz w:val="22"/>
              </w:rPr>
              <w:t>under</w:t>
            </w:r>
            <w:r>
              <w:rPr>
                <w:color w:val="050505"/>
                <w:spacing w:val="-6"/>
                <w:sz w:val="22"/>
              </w:rPr>
              <w:t> </w:t>
            </w:r>
            <w:r>
              <w:rPr>
                <w:color w:val="050505"/>
                <w:spacing w:val="-2"/>
                <w:sz w:val="22"/>
              </w:rPr>
              <w:t>regulations</w:t>
            </w:r>
          </w:p>
        </w:tc>
        <w:tc>
          <w:tcPr>
            <w:tcW w:w="1148" w:type="dxa"/>
          </w:tcPr>
          <w:p>
            <w:pPr>
              <w:pStyle w:val="TableParagraph"/>
              <w:spacing w:before="35"/>
              <w:ind w:left="472"/>
              <w:rPr>
                <w:sz w:val="19"/>
              </w:rPr>
            </w:pPr>
            <w:r>
              <w:rPr>
                <w:color w:val="050505"/>
                <w:spacing w:val="-4"/>
                <w:w w:val="105"/>
                <w:sz w:val="19"/>
              </w:rPr>
              <w:t>5.14</w:t>
            </w:r>
          </w:p>
        </w:tc>
        <w:tc>
          <w:tcPr>
            <w:tcW w:w="1149" w:type="dxa"/>
          </w:tcPr>
          <w:p>
            <w:pPr>
              <w:pStyle w:val="TableParagraph"/>
              <w:spacing w:before="7"/>
              <w:ind w:right="107"/>
              <w:jc w:val="right"/>
              <w:rPr>
                <w:sz w:val="22"/>
              </w:rPr>
            </w:pPr>
            <w:r>
              <w:rPr>
                <w:color w:val="050505"/>
                <w:spacing w:val="-2"/>
                <w:sz w:val="22"/>
              </w:rPr>
              <w:t>13,679</w:t>
            </w:r>
          </w:p>
        </w:tc>
        <w:tc>
          <w:tcPr>
            <w:tcW w:w="1288" w:type="dxa"/>
          </w:tcPr>
          <w:p>
            <w:pPr>
              <w:pStyle w:val="TableParagraph"/>
              <w:spacing w:before="12"/>
              <w:ind w:right="257"/>
              <w:jc w:val="right"/>
              <w:rPr>
                <w:sz w:val="22"/>
              </w:rPr>
            </w:pPr>
            <w:r>
              <w:rPr>
                <w:color w:val="050505"/>
                <w:spacing w:val="-5"/>
                <w:sz w:val="22"/>
              </w:rPr>
              <w:t>570</w:t>
            </w:r>
          </w:p>
        </w:tc>
        <w:tc>
          <w:tcPr>
            <w:tcW w:w="1238" w:type="dxa"/>
          </w:tcPr>
          <w:p>
            <w:pPr>
              <w:pStyle w:val="TableParagraph"/>
              <w:spacing w:before="12"/>
              <w:ind w:right="86"/>
              <w:jc w:val="right"/>
              <w:rPr>
                <w:sz w:val="22"/>
              </w:rPr>
            </w:pPr>
            <w:r>
              <w:rPr>
                <w:color w:val="050505"/>
                <w:spacing w:val="-2"/>
                <w:sz w:val="22"/>
              </w:rPr>
              <w:t>(3,768)</w:t>
            </w:r>
          </w:p>
        </w:tc>
        <w:tc>
          <w:tcPr>
            <w:tcW w:w="1293" w:type="dxa"/>
          </w:tcPr>
          <w:p>
            <w:pPr>
              <w:pStyle w:val="TableParagraph"/>
              <w:spacing w:before="21"/>
              <w:ind w:right="89"/>
              <w:jc w:val="right"/>
              <w:rPr>
                <w:b/>
                <w:sz w:val="21"/>
              </w:rPr>
            </w:pPr>
            <w:r>
              <w:rPr>
                <w:b/>
                <w:color w:val="050505"/>
                <w:spacing w:val="-2"/>
                <w:w w:val="105"/>
                <w:sz w:val="21"/>
              </w:rPr>
              <w:t>10,481</w:t>
            </w:r>
          </w:p>
        </w:tc>
        <w:tc>
          <w:tcPr>
            <w:tcW w:w="1288" w:type="dxa"/>
          </w:tcPr>
          <w:p>
            <w:pPr>
              <w:pStyle w:val="TableParagraph"/>
              <w:spacing w:before="12"/>
              <w:ind w:right="103"/>
              <w:jc w:val="right"/>
              <w:rPr>
                <w:sz w:val="22"/>
              </w:rPr>
            </w:pPr>
            <w:r>
              <w:rPr>
                <w:color w:val="050505"/>
                <w:spacing w:val="-2"/>
                <w:sz w:val="22"/>
              </w:rPr>
              <w:t>(10,481)</w:t>
            </w:r>
          </w:p>
        </w:tc>
        <w:tc>
          <w:tcPr>
            <w:tcW w:w="1223" w:type="dxa"/>
          </w:tcPr>
          <w:p>
            <w:pPr>
              <w:pStyle w:val="TableParagraph"/>
              <w:rPr>
                <w:rFonts w:ascii="Times New Roman"/>
                <w:sz w:val="20"/>
              </w:rPr>
            </w:pPr>
          </w:p>
        </w:tc>
      </w:tr>
      <w:tr>
        <w:trPr>
          <w:trHeight w:val="528" w:hRule="atLeast"/>
        </w:trPr>
        <w:tc>
          <w:tcPr>
            <w:tcW w:w="6660" w:type="dxa"/>
            <w:gridSpan w:val="2"/>
          </w:tcPr>
          <w:p>
            <w:pPr>
              <w:pStyle w:val="TableParagraph"/>
              <w:spacing w:before="2"/>
              <w:ind w:left="239"/>
              <w:rPr>
                <w:sz w:val="22"/>
              </w:rPr>
            </w:pPr>
            <w:r>
              <w:rPr>
                <w:color w:val="050505"/>
                <w:spacing w:val="-2"/>
                <w:w w:val="110"/>
                <w:sz w:val="22"/>
              </w:rPr>
              <w:t>Total</w:t>
            </w:r>
            <w:r>
              <w:rPr>
                <w:color w:val="050505"/>
                <w:spacing w:val="-15"/>
                <w:w w:val="110"/>
                <w:sz w:val="22"/>
              </w:rPr>
              <w:t> </w:t>
            </w:r>
            <w:r>
              <w:rPr>
                <w:color w:val="050505"/>
                <w:spacing w:val="-2"/>
                <w:w w:val="110"/>
                <w:sz w:val="22"/>
              </w:rPr>
              <w:t>(increase)/</w:t>
            </w:r>
            <w:r>
              <w:rPr>
                <w:color w:val="050505"/>
                <w:spacing w:val="4"/>
                <w:w w:val="110"/>
                <w:sz w:val="22"/>
              </w:rPr>
              <w:t> </w:t>
            </w:r>
            <w:r>
              <w:rPr>
                <w:color w:val="050505"/>
                <w:spacing w:val="-2"/>
                <w:w w:val="110"/>
                <w:sz w:val="22"/>
              </w:rPr>
              <w:t>decrease</w:t>
            </w:r>
            <w:r>
              <w:rPr>
                <w:color w:val="050505"/>
                <w:spacing w:val="2"/>
                <w:w w:val="110"/>
                <w:sz w:val="22"/>
              </w:rPr>
              <w:t> </w:t>
            </w:r>
            <w:r>
              <w:rPr>
                <w:color w:val="050505"/>
                <w:spacing w:val="-2"/>
                <w:w w:val="110"/>
                <w:sz w:val="22"/>
              </w:rPr>
              <w:t>during</w:t>
            </w:r>
            <w:r>
              <w:rPr>
                <w:color w:val="050505"/>
                <w:spacing w:val="-5"/>
                <w:w w:val="110"/>
                <w:sz w:val="22"/>
              </w:rPr>
              <w:t> </w:t>
            </w:r>
            <w:r>
              <w:rPr>
                <w:color w:val="050505"/>
                <w:spacing w:val="-2"/>
                <w:w w:val="110"/>
                <w:sz w:val="22"/>
              </w:rPr>
              <w:t>the</w:t>
            </w:r>
            <w:r>
              <w:rPr>
                <w:color w:val="050505"/>
                <w:spacing w:val="-8"/>
                <w:w w:val="110"/>
                <w:sz w:val="22"/>
              </w:rPr>
              <w:t> </w:t>
            </w:r>
            <w:r>
              <w:rPr>
                <w:color w:val="050505"/>
                <w:spacing w:val="-4"/>
                <w:w w:val="110"/>
                <w:sz w:val="22"/>
              </w:rPr>
              <w:t>year</w:t>
            </w:r>
          </w:p>
        </w:tc>
        <w:tc>
          <w:tcPr>
            <w:tcW w:w="2437" w:type="dxa"/>
            <w:gridSpan w:val="2"/>
            <w:tcBorders>
              <w:top w:val="single" w:color="000000" w:sz="6" w:space="0"/>
            </w:tcBorders>
          </w:tcPr>
          <w:p>
            <w:pPr>
              <w:pStyle w:val="TableParagraph"/>
              <w:tabs>
                <w:tab w:val="left" w:leader="none" w:pos="498"/>
                <w:tab w:val="left" w:leader="none" w:pos="1814"/>
                <w:tab w:val="left" w:leader="none" w:pos="2415"/>
              </w:tabs>
              <w:spacing w:before="21"/>
              <w:ind w:left="1"/>
              <w:rPr>
                <w:b/>
                <w:sz w:val="21"/>
              </w:rPr>
            </w:pPr>
            <w:r>
              <w:rPr>
                <w:b/>
                <w:color w:val="050505"/>
                <w:sz w:val="21"/>
                <w:u w:val="single" w:color="000000"/>
              </w:rPr>
              <w:tab/>
            </w:r>
            <w:r>
              <w:rPr>
                <w:b/>
                <w:color w:val="050505"/>
                <w:spacing w:val="-4"/>
                <w:w w:val="105"/>
                <w:sz w:val="21"/>
                <w:u w:val="single" w:color="000000"/>
              </w:rPr>
              <w:t>3,738</w:t>
            </w:r>
            <w:r>
              <w:rPr>
                <w:b/>
                <w:color w:val="050505"/>
                <w:sz w:val="21"/>
                <w:u w:val="single" w:color="000000"/>
              </w:rPr>
              <w:tab/>
            </w:r>
            <w:r>
              <w:rPr>
                <w:b/>
                <w:color w:val="050505"/>
                <w:spacing w:val="-5"/>
                <w:w w:val="105"/>
                <w:sz w:val="21"/>
                <w:u w:val="single" w:color="000000"/>
              </w:rPr>
              <w:t>570</w:t>
            </w:r>
            <w:r>
              <w:rPr>
                <w:b/>
                <w:color w:val="050505"/>
                <w:sz w:val="21"/>
                <w:u w:val="single" w:color="000000"/>
              </w:rPr>
              <w:tab/>
            </w:r>
          </w:p>
        </w:tc>
        <w:tc>
          <w:tcPr>
            <w:tcW w:w="1238" w:type="dxa"/>
            <w:tcBorders>
              <w:top w:val="single" w:color="000000" w:sz="6" w:space="0"/>
            </w:tcBorders>
          </w:tcPr>
          <w:p>
            <w:pPr>
              <w:pStyle w:val="TableParagraph"/>
              <w:spacing w:before="26"/>
              <w:ind w:right="79"/>
              <w:jc w:val="right"/>
              <w:rPr>
                <w:b/>
                <w:sz w:val="21"/>
              </w:rPr>
            </w:pPr>
            <w:r>
              <w:rPr>
                <w:b/>
                <w:color w:val="212121"/>
                <w:spacing w:val="-2"/>
                <w:sz w:val="21"/>
              </w:rPr>
              <w:t>{3,768}</w:t>
            </w:r>
          </w:p>
        </w:tc>
        <w:tc>
          <w:tcPr>
            <w:tcW w:w="1293" w:type="dxa"/>
            <w:tcBorders>
              <w:top w:val="single" w:color="000000" w:sz="6" w:space="0"/>
            </w:tcBorders>
          </w:tcPr>
          <w:p>
            <w:pPr>
              <w:pStyle w:val="TableParagraph"/>
              <w:tabs>
                <w:tab w:val="left" w:leader="none" w:pos="760"/>
              </w:tabs>
              <w:spacing w:before="21"/>
              <w:ind w:right="-15"/>
              <w:jc w:val="right"/>
              <w:rPr>
                <w:b/>
                <w:sz w:val="21"/>
              </w:rPr>
            </w:pPr>
            <w:r>
              <w:rPr>
                <w:b/>
                <w:color w:val="050505"/>
                <w:sz w:val="21"/>
                <w:u w:val="single" w:color="000000"/>
              </w:rPr>
              <w:tab/>
            </w:r>
            <w:r>
              <w:rPr>
                <w:b/>
                <w:color w:val="050505"/>
                <w:spacing w:val="-5"/>
                <w:w w:val="105"/>
                <w:sz w:val="21"/>
                <w:u w:val="single" w:color="000000"/>
              </w:rPr>
              <w:t>540</w:t>
            </w:r>
            <w:r>
              <w:rPr>
                <w:b/>
                <w:color w:val="050505"/>
                <w:spacing w:val="40"/>
                <w:w w:val="105"/>
                <w:sz w:val="21"/>
                <w:u w:val="single" w:color="000000"/>
              </w:rPr>
              <w:t> </w:t>
            </w:r>
          </w:p>
        </w:tc>
        <w:tc>
          <w:tcPr>
            <w:tcW w:w="1288" w:type="dxa"/>
          </w:tcPr>
          <w:p>
            <w:pPr>
              <w:pStyle w:val="TableParagraph"/>
              <w:spacing w:before="36"/>
              <w:ind w:right="100"/>
              <w:jc w:val="right"/>
              <w:rPr>
                <w:b/>
                <w:sz w:val="21"/>
              </w:rPr>
            </w:pPr>
            <w:r>
              <w:rPr>
                <w:b/>
                <w:color w:val="212121"/>
                <w:spacing w:val="-2"/>
                <w:sz w:val="21"/>
              </w:rPr>
              <w:t>(23!068}</w:t>
            </w:r>
          </w:p>
        </w:tc>
        <w:tc>
          <w:tcPr>
            <w:tcW w:w="1223" w:type="dxa"/>
          </w:tcPr>
          <w:p>
            <w:pPr>
              <w:pStyle w:val="TableParagraph"/>
              <w:spacing w:before="26"/>
              <w:ind w:right="121"/>
              <w:jc w:val="right"/>
              <w:rPr>
                <w:b/>
                <w:sz w:val="21"/>
              </w:rPr>
            </w:pPr>
            <w:r>
              <w:rPr>
                <w:b/>
                <w:color w:val="050505"/>
                <w:spacing w:val="-2"/>
                <w:w w:val="95"/>
                <w:sz w:val="21"/>
              </w:rPr>
              <w:t>(22_1528</w:t>
            </w:r>
          </w:p>
        </w:tc>
      </w:tr>
      <w:tr>
        <w:trPr>
          <w:trHeight w:val="287" w:hRule="atLeast"/>
        </w:trPr>
        <w:tc>
          <w:tcPr>
            <w:tcW w:w="6660" w:type="dxa"/>
            <w:gridSpan w:val="2"/>
          </w:tcPr>
          <w:p>
            <w:pPr>
              <w:pStyle w:val="TableParagraph"/>
              <w:spacing w:before="26" w:line="241" w:lineRule="exact"/>
              <w:ind w:left="238"/>
              <w:rPr>
                <w:sz w:val="22"/>
              </w:rPr>
            </w:pPr>
            <w:r>
              <w:rPr>
                <w:color w:val="050505"/>
                <w:w w:val="105"/>
                <w:sz w:val="22"/>
              </w:rPr>
              <w:t>Balance</w:t>
            </w:r>
            <w:r>
              <w:rPr>
                <w:color w:val="050505"/>
                <w:spacing w:val="-1"/>
                <w:w w:val="105"/>
                <w:sz w:val="22"/>
              </w:rPr>
              <w:t> </w:t>
            </w:r>
            <w:r>
              <w:rPr>
                <w:color w:val="050505"/>
                <w:w w:val="105"/>
                <w:sz w:val="22"/>
              </w:rPr>
              <w:t>at</w:t>
            </w:r>
            <w:r>
              <w:rPr>
                <w:color w:val="050505"/>
                <w:spacing w:val="-1"/>
                <w:w w:val="105"/>
                <w:sz w:val="22"/>
              </w:rPr>
              <w:t> </w:t>
            </w:r>
            <w:r>
              <w:rPr>
                <w:color w:val="050505"/>
                <w:w w:val="105"/>
                <w:sz w:val="22"/>
              </w:rPr>
              <w:t>31</w:t>
            </w:r>
            <w:r>
              <w:rPr>
                <w:color w:val="050505"/>
                <w:spacing w:val="-16"/>
                <w:w w:val="105"/>
                <w:sz w:val="22"/>
              </w:rPr>
              <w:t> </w:t>
            </w:r>
            <w:r>
              <w:rPr>
                <w:color w:val="050505"/>
                <w:w w:val="105"/>
                <w:sz w:val="22"/>
              </w:rPr>
              <w:t>March</w:t>
            </w:r>
            <w:r>
              <w:rPr>
                <w:color w:val="050505"/>
                <w:spacing w:val="-3"/>
                <w:w w:val="105"/>
                <w:sz w:val="22"/>
              </w:rPr>
              <w:t> </w:t>
            </w:r>
            <w:r>
              <w:rPr>
                <w:color w:val="050505"/>
                <w:spacing w:val="-4"/>
                <w:w w:val="105"/>
                <w:sz w:val="22"/>
              </w:rPr>
              <w:t>2022</w:t>
            </w:r>
          </w:p>
        </w:tc>
        <w:tc>
          <w:tcPr>
            <w:tcW w:w="1149" w:type="dxa"/>
            <w:tcBorders>
              <w:top w:val="single" w:color="000000" w:sz="6" w:space="0"/>
              <w:bottom w:val="single" w:color="000000" w:sz="6" w:space="0"/>
            </w:tcBorders>
          </w:tcPr>
          <w:p>
            <w:pPr>
              <w:pStyle w:val="TableParagraph"/>
              <w:spacing w:before="17" w:line="251" w:lineRule="exact"/>
              <w:ind w:right="115"/>
              <w:jc w:val="right"/>
              <w:rPr>
                <w:sz w:val="22"/>
              </w:rPr>
            </w:pPr>
            <w:r>
              <w:rPr>
                <w:color w:val="050505"/>
                <w:spacing w:val="-2"/>
                <w:sz w:val="22"/>
              </w:rPr>
              <w:t>(40,277)</w:t>
            </w:r>
          </w:p>
        </w:tc>
        <w:tc>
          <w:tcPr>
            <w:tcW w:w="1288" w:type="dxa"/>
            <w:tcBorders>
              <w:top w:val="single" w:color="000000" w:sz="6" w:space="0"/>
              <w:bottom w:val="single" w:color="000000" w:sz="6" w:space="0"/>
            </w:tcBorders>
          </w:tcPr>
          <w:p>
            <w:pPr>
              <w:pStyle w:val="TableParagraph"/>
              <w:spacing w:before="26"/>
              <w:ind w:right="258"/>
              <w:jc w:val="right"/>
              <w:rPr>
                <w:b/>
                <w:sz w:val="21"/>
              </w:rPr>
            </w:pPr>
            <w:r>
              <w:rPr>
                <w:b/>
                <w:color w:val="050505"/>
                <w:spacing w:val="-2"/>
                <w:w w:val="105"/>
                <w:sz w:val="21"/>
              </w:rPr>
              <w:t>(5,086)</w:t>
            </w:r>
          </w:p>
        </w:tc>
        <w:tc>
          <w:tcPr>
            <w:tcW w:w="1238" w:type="dxa"/>
            <w:tcBorders>
              <w:top w:val="single" w:color="000000" w:sz="6" w:space="0"/>
              <w:bottom w:val="single" w:color="000000" w:sz="6" w:space="0"/>
            </w:tcBorders>
          </w:tcPr>
          <w:p>
            <w:pPr>
              <w:pStyle w:val="TableParagraph"/>
              <w:spacing w:before="31" w:line="237" w:lineRule="exact"/>
              <w:ind w:right="75"/>
              <w:jc w:val="right"/>
              <w:rPr>
                <w:b/>
                <w:sz w:val="21"/>
              </w:rPr>
            </w:pPr>
            <w:r>
              <w:rPr>
                <w:b/>
                <w:color w:val="050505"/>
                <w:spacing w:val="-2"/>
                <w:w w:val="105"/>
                <w:sz w:val="21"/>
              </w:rPr>
              <w:t>(18,325)</w:t>
            </w:r>
          </w:p>
        </w:tc>
        <w:tc>
          <w:tcPr>
            <w:tcW w:w="1293" w:type="dxa"/>
            <w:tcBorders>
              <w:top w:val="single" w:color="000000" w:sz="6" w:space="0"/>
              <w:bottom w:val="single" w:color="000000" w:sz="6" w:space="0"/>
            </w:tcBorders>
          </w:tcPr>
          <w:p>
            <w:pPr>
              <w:pStyle w:val="TableParagraph"/>
              <w:spacing w:before="31" w:line="237" w:lineRule="exact"/>
              <w:ind w:left="384"/>
              <w:rPr>
                <w:b/>
                <w:sz w:val="21"/>
              </w:rPr>
            </w:pPr>
            <w:r>
              <w:rPr>
                <w:b/>
                <w:color w:val="050505"/>
                <w:spacing w:val="-2"/>
                <w:w w:val="105"/>
                <w:sz w:val="21"/>
              </w:rPr>
              <w:t>(63,688)</w:t>
            </w:r>
          </w:p>
        </w:tc>
        <w:tc>
          <w:tcPr>
            <w:tcW w:w="1288" w:type="dxa"/>
            <w:tcBorders>
              <w:top w:val="single" w:color="000000" w:sz="6" w:space="0"/>
              <w:bottom w:val="single" w:color="000000" w:sz="6" w:space="0"/>
            </w:tcBorders>
          </w:tcPr>
          <w:p>
            <w:pPr>
              <w:pStyle w:val="TableParagraph"/>
              <w:spacing w:before="31" w:line="237" w:lineRule="exact"/>
              <w:ind w:right="99"/>
              <w:jc w:val="right"/>
              <w:rPr>
                <w:b/>
                <w:sz w:val="21"/>
              </w:rPr>
            </w:pPr>
            <w:r>
              <w:rPr>
                <w:b/>
                <w:color w:val="050505"/>
                <w:spacing w:val="-2"/>
                <w:w w:val="105"/>
                <w:sz w:val="21"/>
              </w:rPr>
              <w:t>(117,279)</w:t>
            </w:r>
          </w:p>
        </w:tc>
        <w:tc>
          <w:tcPr>
            <w:tcW w:w="1223" w:type="dxa"/>
          </w:tcPr>
          <w:p>
            <w:pPr>
              <w:pStyle w:val="TableParagraph"/>
              <w:spacing w:before="31" w:line="237" w:lineRule="exact"/>
              <w:ind w:right="42"/>
              <w:jc w:val="right"/>
              <w:rPr>
                <w:b/>
                <w:sz w:val="21"/>
              </w:rPr>
            </w:pPr>
            <w:r>
              <w:rPr>
                <w:b/>
                <w:color w:val="050505"/>
                <w:spacing w:val="-2"/>
                <w:w w:val="105"/>
                <w:sz w:val="21"/>
              </w:rPr>
              <w:t>(180,967)</w:t>
            </w:r>
          </w:p>
        </w:tc>
      </w:tr>
    </w:tbl>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90"/>
        <w:rPr>
          <w:sz w:val="14"/>
        </w:rPr>
      </w:pPr>
    </w:p>
    <w:p>
      <w:pPr>
        <w:pStyle w:val="BodyText"/>
        <w:ind w:left="566"/>
      </w:pPr>
      <w:r>
        <w:rPr/>
        <ve:AlternateContent>
          <ve:Choice Requires="wps">
            <w:drawing>
              <wp:anchor distT="0" distB="0" distL="0" distR="0" simplePos="0" relativeHeight="15750144" behindDoc="0" locked="0" layoutInCell="1" allowOverlap="1">
                <wp:simplePos x="0" y="0"/>
                <wp:positionH relativeFrom="page">
                  <wp:posOffset>4418267</wp:posOffset>
                </wp:positionH>
                <wp:positionV relativeFrom="paragraph">
                  <wp:posOffset>-728417</wp:posOffset>
                </wp:positionV>
                <wp:extent cx="5278120" cy="1541145"/>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5278120" cy="154114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790"/>
                              <w:gridCol w:w="1253"/>
                              <w:gridCol w:w="1137"/>
                              <w:gridCol w:w="1282"/>
                              <w:gridCol w:w="1202"/>
                              <w:gridCol w:w="1255"/>
                              <w:gridCol w:w="1274"/>
                            </w:tblGrid>
                            <w:tr>
                              <w:trPr>
                                <w:trHeight w:val="762" w:hRule="atLeast"/>
                              </w:trPr>
                              <w:tc>
                                <w:tcPr>
                                  <w:tcW w:w="790" w:type="dxa"/>
                                </w:tcPr>
                                <w:p>
                                  <w:pPr>
                                    <w:pStyle w:val="TableParagraph"/>
                                    <w:rPr>
                                      <w:rFonts w:ascii="Times New Roman"/>
                                      <w:sz w:val="20"/>
                                    </w:rPr>
                                  </w:pPr>
                                </w:p>
                              </w:tc>
                              <w:tc>
                                <w:tcPr>
                                  <w:tcW w:w="1253" w:type="dxa"/>
                                </w:tcPr>
                                <w:p>
                                  <w:pPr>
                                    <w:pStyle w:val="TableParagraph"/>
                                    <w:spacing w:line="245" w:lineRule="exact"/>
                                    <w:ind w:left="83"/>
                                    <w:jc w:val="center"/>
                                    <w:rPr>
                                      <w:sz w:val="22"/>
                                    </w:rPr>
                                  </w:pPr>
                                  <w:r>
                                    <w:rPr>
                                      <w:color w:val="050505"/>
                                      <w:spacing w:val="-2"/>
                                      <w:w w:val="105"/>
                                      <w:sz w:val="22"/>
                                    </w:rPr>
                                    <w:t>General</w:t>
                                  </w:r>
                                </w:p>
                                <w:p>
                                  <w:pPr>
                                    <w:pStyle w:val="TableParagraph"/>
                                    <w:spacing w:line="250" w:lineRule="exact"/>
                                    <w:ind w:left="246" w:right="160" w:firstLine="7"/>
                                    <w:jc w:val="center"/>
                                    <w:rPr>
                                      <w:sz w:val="22"/>
                                    </w:rPr>
                                  </w:pPr>
                                  <w:r>
                                    <w:rPr>
                                      <w:color w:val="050505"/>
                                      <w:spacing w:val="-4"/>
                                      <w:w w:val="110"/>
                                      <w:sz w:val="22"/>
                                    </w:rPr>
                                    <w:t>Fund </w:t>
                                  </w:r>
                                  <w:r>
                                    <w:rPr>
                                      <w:color w:val="050505"/>
                                      <w:spacing w:val="-2"/>
                                      <w:sz w:val="22"/>
                                    </w:rPr>
                                    <w:t>Balance</w:t>
                                  </w:r>
                                </w:p>
                              </w:tc>
                              <w:tc>
                                <w:tcPr>
                                  <w:tcW w:w="1137" w:type="dxa"/>
                                </w:tcPr>
                                <w:p>
                                  <w:pPr>
                                    <w:pStyle w:val="TableParagraph"/>
                                    <w:spacing w:line="246" w:lineRule="exact"/>
                                    <w:ind w:left="108" w:firstLine="97"/>
                                    <w:rPr>
                                      <w:sz w:val="22"/>
                                    </w:rPr>
                                  </w:pPr>
                                  <w:r>
                                    <w:rPr>
                                      <w:color w:val="050505"/>
                                      <w:spacing w:val="-2"/>
                                      <w:w w:val="105"/>
                                      <w:sz w:val="22"/>
                                    </w:rPr>
                                    <w:t>Capital</w:t>
                                  </w:r>
                                </w:p>
                                <w:p>
                                  <w:pPr>
                                    <w:pStyle w:val="TableParagraph"/>
                                    <w:spacing w:line="250" w:lineRule="exact"/>
                                    <w:ind w:left="137" w:hanging="29"/>
                                    <w:rPr>
                                      <w:sz w:val="22"/>
                                    </w:rPr>
                                  </w:pPr>
                                  <w:r>
                                    <w:rPr>
                                      <w:color w:val="050505"/>
                                      <w:spacing w:val="-2"/>
                                      <w:w w:val="105"/>
                                      <w:sz w:val="22"/>
                                    </w:rPr>
                                    <w:t>Receipts Reserve</w:t>
                                  </w:r>
                                </w:p>
                              </w:tc>
                              <w:tc>
                                <w:tcPr>
                                  <w:tcW w:w="1282" w:type="dxa"/>
                                </w:tcPr>
                                <w:p>
                                  <w:pPr>
                                    <w:pStyle w:val="TableParagraph"/>
                                    <w:spacing w:line="246" w:lineRule="exact"/>
                                    <w:ind w:left="285" w:hanging="9"/>
                                    <w:rPr>
                                      <w:sz w:val="22"/>
                                    </w:rPr>
                                  </w:pPr>
                                  <w:r>
                                    <w:rPr>
                                      <w:color w:val="050505"/>
                                      <w:spacing w:val="-2"/>
                                      <w:w w:val="105"/>
                                      <w:sz w:val="22"/>
                                    </w:rPr>
                                    <w:t>Capital</w:t>
                                  </w:r>
                                </w:p>
                                <w:p>
                                  <w:pPr>
                                    <w:pStyle w:val="TableParagraph"/>
                                    <w:spacing w:line="250" w:lineRule="exact"/>
                                    <w:ind w:left="111" w:firstLine="174"/>
                                    <w:rPr>
                                      <w:sz w:val="22"/>
                                    </w:rPr>
                                  </w:pPr>
                                  <w:r>
                                    <w:rPr>
                                      <w:color w:val="050505"/>
                                      <w:spacing w:val="-2"/>
                                      <w:w w:val="105"/>
                                      <w:sz w:val="22"/>
                                    </w:rPr>
                                    <w:t>Grants Unapplied</w:t>
                                  </w:r>
                                </w:p>
                              </w:tc>
                              <w:tc>
                                <w:tcPr>
                                  <w:tcW w:w="1202" w:type="dxa"/>
                                </w:tcPr>
                                <w:p>
                                  <w:pPr>
                                    <w:pStyle w:val="TableParagraph"/>
                                    <w:spacing w:line="250" w:lineRule="exact"/>
                                    <w:ind w:left="108" w:right="123" w:firstLine="27"/>
                                    <w:jc w:val="center"/>
                                    <w:rPr>
                                      <w:sz w:val="22"/>
                                    </w:rPr>
                                  </w:pPr>
                                  <w:r>
                                    <w:rPr>
                                      <w:color w:val="050505"/>
                                      <w:spacing w:val="-4"/>
                                      <w:w w:val="105"/>
                                      <w:sz w:val="22"/>
                                    </w:rPr>
                                    <w:t>Total </w:t>
                                  </w:r>
                                  <w:r>
                                    <w:rPr>
                                      <w:color w:val="050505"/>
                                      <w:spacing w:val="-2"/>
                                      <w:w w:val="105"/>
                                      <w:sz w:val="22"/>
                                    </w:rPr>
                                    <w:t>Usable </w:t>
                                  </w:r>
                                  <w:r>
                                    <w:rPr>
                                      <w:color w:val="050505"/>
                                      <w:spacing w:val="-2"/>
                                      <w:sz w:val="22"/>
                                    </w:rPr>
                                    <w:t>Reserves</w:t>
                                  </w:r>
                                </w:p>
                              </w:tc>
                              <w:tc>
                                <w:tcPr>
                                  <w:tcW w:w="1255" w:type="dxa"/>
                                </w:tcPr>
                                <w:p>
                                  <w:pPr>
                                    <w:pStyle w:val="TableParagraph"/>
                                    <w:spacing w:before="242" w:line="250" w:lineRule="exact"/>
                                    <w:ind w:left="113" w:hanging="5"/>
                                    <w:rPr>
                                      <w:sz w:val="22"/>
                                    </w:rPr>
                                  </w:pPr>
                                  <w:r>
                                    <w:rPr>
                                      <w:color w:val="050505"/>
                                      <w:spacing w:val="-2"/>
                                      <w:w w:val="105"/>
                                      <w:sz w:val="22"/>
                                    </w:rPr>
                                    <w:t>Unusable Reserves</w:t>
                                  </w:r>
                                </w:p>
                              </w:tc>
                              <w:tc>
                                <w:tcPr>
                                  <w:tcW w:w="1274" w:type="dxa"/>
                                </w:tcPr>
                                <w:p>
                                  <w:pPr>
                                    <w:pStyle w:val="TableParagraph"/>
                                    <w:spacing w:line="237" w:lineRule="auto"/>
                                    <w:ind w:left="165" w:firstLine="225"/>
                                    <w:rPr>
                                      <w:sz w:val="22"/>
                                    </w:rPr>
                                  </w:pPr>
                                  <w:r>
                                    <w:rPr>
                                      <w:color w:val="050505"/>
                                      <w:spacing w:val="-2"/>
                                      <w:w w:val="110"/>
                                      <w:sz w:val="22"/>
                                    </w:rPr>
                                    <w:t>Total Authority</w:t>
                                  </w:r>
                                </w:p>
                                <w:p>
                                  <w:pPr>
                                    <w:pStyle w:val="TableParagraph"/>
                                    <w:spacing w:before="2" w:line="240" w:lineRule="exact"/>
                                    <w:ind w:left="157"/>
                                    <w:rPr>
                                      <w:sz w:val="22"/>
                                    </w:rPr>
                                  </w:pPr>
                                  <w:r>
                                    <w:rPr>
                                      <w:color w:val="050505"/>
                                      <w:spacing w:val="-2"/>
                                      <w:w w:val="105"/>
                                      <w:sz w:val="22"/>
                                    </w:rPr>
                                    <w:t>Reserves</w:t>
                                  </w:r>
                                </w:p>
                              </w:tc>
                            </w:tr>
                            <w:tr>
                              <w:trPr>
                                <w:trHeight w:val="292" w:hRule="atLeast"/>
                              </w:trPr>
                              <w:tc>
                                <w:tcPr>
                                  <w:tcW w:w="790" w:type="dxa"/>
                                </w:tcPr>
                                <w:p>
                                  <w:pPr>
                                    <w:pStyle w:val="TableParagraph"/>
                                    <w:ind w:left="50"/>
                                    <w:rPr>
                                      <w:sz w:val="22"/>
                                    </w:rPr>
                                  </w:pPr>
                                  <w:r>
                                    <w:rPr>
                                      <w:color w:val="050505"/>
                                      <w:spacing w:val="-4"/>
                                      <w:w w:val="105"/>
                                      <w:sz w:val="22"/>
                                    </w:rPr>
                                    <w:t>Note</w:t>
                                  </w:r>
                                </w:p>
                              </w:tc>
                              <w:tc>
                                <w:tcPr>
                                  <w:tcW w:w="1253" w:type="dxa"/>
                                </w:tcPr>
                                <w:p>
                                  <w:pPr>
                                    <w:pStyle w:val="TableParagraph"/>
                                    <w:spacing w:before="9"/>
                                    <w:ind w:left="420"/>
                                    <w:rPr>
                                      <w:b/>
                                      <w:sz w:val="21"/>
                                    </w:rPr>
                                  </w:pPr>
                                  <w:r>
                                    <w:rPr>
                                      <w:b/>
                                      <w:color w:val="050505"/>
                                      <w:spacing w:val="-4"/>
                                      <w:w w:val="105"/>
                                      <w:sz w:val="21"/>
                                    </w:rPr>
                                    <w:t>£000</w:t>
                                  </w:r>
                                </w:p>
                              </w:tc>
                              <w:tc>
                                <w:tcPr>
                                  <w:tcW w:w="1137" w:type="dxa"/>
                                </w:tcPr>
                                <w:p>
                                  <w:pPr>
                                    <w:pStyle w:val="TableParagraph"/>
                                    <w:spacing w:before="9"/>
                                    <w:ind w:left="321"/>
                                    <w:rPr>
                                      <w:b/>
                                      <w:sz w:val="21"/>
                                    </w:rPr>
                                  </w:pPr>
                                  <w:r>
                                    <w:rPr>
                                      <w:b/>
                                      <w:color w:val="050505"/>
                                      <w:spacing w:val="-4"/>
                                      <w:w w:val="105"/>
                                      <w:sz w:val="21"/>
                                    </w:rPr>
                                    <w:t>£000</w:t>
                                  </w:r>
                                </w:p>
                              </w:tc>
                              <w:tc>
                                <w:tcPr>
                                  <w:tcW w:w="1282" w:type="dxa"/>
                                </w:tcPr>
                                <w:p>
                                  <w:pPr>
                                    <w:pStyle w:val="TableParagraph"/>
                                    <w:spacing w:before="14"/>
                                    <w:ind w:left="396"/>
                                    <w:rPr>
                                      <w:b/>
                                      <w:sz w:val="21"/>
                                    </w:rPr>
                                  </w:pPr>
                                  <w:r>
                                    <w:rPr>
                                      <w:b/>
                                      <w:color w:val="050505"/>
                                      <w:spacing w:val="-4"/>
                                      <w:w w:val="105"/>
                                      <w:sz w:val="21"/>
                                    </w:rPr>
                                    <w:t>£000</w:t>
                                  </w:r>
                                </w:p>
                              </w:tc>
                              <w:tc>
                                <w:tcPr>
                                  <w:tcW w:w="1202" w:type="dxa"/>
                                </w:tcPr>
                                <w:p>
                                  <w:pPr>
                                    <w:pStyle w:val="TableParagraph"/>
                                    <w:spacing w:before="9"/>
                                    <w:ind w:left="355"/>
                                    <w:rPr>
                                      <w:b/>
                                      <w:sz w:val="21"/>
                                    </w:rPr>
                                  </w:pPr>
                                  <w:r>
                                    <w:rPr>
                                      <w:b/>
                                      <w:color w:val="050505"/>
                                      <w:spacing w:val="-4"/>
                                      <w:w w:val="105"/>
                                      <w:sz w:val="21"/>
                                    </w:rPr>
                                    <w:t>£000</w:t>
                                  </w:r>
                                </w:p>
                              </w:tc>
                              <w:tc>
                                <w:tcPr>
                                  <w:tcW w:w="1255" w:type="dxa"/>
                                </w:tcPr>
                                <w:p>
                                  <w:pPr>
                                    <w:pStyle w:val="TableParagraph"/>
                                    <w:spacing w:before="9"/>
                                    <w:ind w:left="355"/>
                                    <w:rPr>
                                      <w:b/>
                                      <w:sz w:val="21"/>
                                    </w:rPr>
                                  </w:pPr>
                                  <w:r>
                                    <w:rPr>
                                      <w:b/>
                                      <w:color w:val="050505"/>
                                      <w:spacing w:val="-4"/>
                                      <w:w w:val="105"/>
                                      <w:sz w:val="21"/>
                                    </w:rPr>
                                    <w:t>£000</w:t>
                                  </w:r>
                                </w:p>
                              </w:tc>
                              <w:tc>
                                <w:tcPr>
                                  <w:tcW w:w="1274" w:type="dxa"/>
                                </w:tcPr>
                                <w:p>
                                  <w:pPr>
                                    <w:pStyle w:val="TableParagraph"/>
                                    <w:spacing w:before="9"/>
                                    <w:ind w:left="399"/>
                                    <w:rPr>
                                      <w:b/>
                                      <w:sz w:val="21"/>
                                    </w:rPr>
                                  </w:pPr>
                                  <w:r>
                                    <w:rPr>
                                      <w:b/>
                                      <w:color w:val="050505"/>
                                      <w:spacing w:val="-4"/>
                                      <w:w w:val="105"/>
                                      <w:sz w:val="21"/>
                                    </w:rPr>
                                    <w:t>£000</w:t>
                                  </w:r>
                                </w:p>
                              </w:tc>
                            </w:tr>
                            <w:tr>
                              <w:trPr>
                                <w:trHeight w:val="450" w:hRule="atLeast"/>
                              </w:trPr>
                              <w:tc>
                                <w:tcPr>
                                  <w:tcW w:w="790" w:type="dxa"/>
                                </w:tcPr>
                                <w:p>
                                  <w:pPr>
                                    <w:pStyle w:val="TableParagraph"/>
                                    <w:rPr>
                                      <w:rFonts w:ascii="Times New Roman"/>
                                      <w:sz w:val="20"/>
                                    </w:rPr>
                                  </w:pPr>
                                </w:p>
                              </w:tc>
                              <w:tc>
                                <w:tcPr>
                                  <w:tcW w:w="1253" w:type="dxa"/>
                                </w:tcPr>
                                <w:p>
                                  <w:pPr>
                                    <w:pStyle w:val="TableParagraph"/>
                                    <w:spacing w:before="29"/>
                                    <w:ind w:right="108"/>
                                    <w:jc w:val="right"/>
                                    <w:rPr>
                                      <w:sz w:val="22"/>
                                    </w:rPr>
                                  </w:pPr>
                                  <w:r>
                                    <w:rPr>
                                      <w:color w:val="050505"/>
                                      <w:spacing w:val="-2"/>
                                      <w:sz w:val="22"/>
                                    </w:rPr>
                                    <w:t>(40,277)</w:t>
                                  </w:r>
                                </w:p>
                              </w:tc>
                              <w:tc>
                                <w:tcPr>
                                  <w:tcW w:w="1137" w:type="dxa"/>
                                </w:tcPr>
                                <w:p>
                                  <w:pPr>
                                    <w:pStyle w:val="TableParagraph"/>
                                    <w:spacing w:before="39"/>
                                    <w:ind w:right="108"/>
                                    <w:jc w:val="right"/>
                                    <w:rPr>
                                      <w:b/>
                                      <w:sz w:val="21"/>
                                    </w:rPr>
                                  </w:pPr>
                                  <w:r>
                                    <w:rPr>
                                      <w:b/>
                                      <w:color w:val="050505"/>
                                      <w:spacing w:val="-2"/>
                                      <w:w w:val="105"/>
                                      <w:sz w:val="21"/>
                                    </w:rPr>
                                    <w:t>(5,086)</w:t>
                                  </w:r>
                                </w:p>
                              </w:tc>
                              <w:tc>
                                <w:tcPr>
                                  <w:tcW w:w="1282" w:type="dxa"/>
                                </w:tcPr>
                                <w:p>
                                  <w:pPr>
                                    <w:pStyle w:val="TableParagraph"/>
                                    <w:spacing w:before="39"/>
                                    <w:ind w:right="111"/>
                                    <w:jc w:val="right"/>
                                    <w:rPr>
                                      <w:b/>
                                      <w:sz w:val="21"/>
                                    </w:rPr>
                                  </w:pPr>
                                  <w:r>
                                    <w:rPr>
                                      <w:b/>
                                      <w:color w:val="050505"/>
                                      <w:spacing w:val="-2"/>
                                      <w:w w:val="105"/>
                                      <w:sz w:val="21"/>
                                    </w:rPr>
                                    <w:t>(18,325)</w:t>
                                  </w:r>
                                </w:p>
                              </w:tc>
                              <w:tc>
                                <w:tcPr>
                                  <w:tcW w:w="1202" w:type="dxa"/>
                                </w:tcPr>
                                <w:p>
                                  <w:pPr>
                                    <w:pStyle w:val="TableParagraph"/>
                                    <w:spacing w:before="39"/>
                                    <w:ind w:right="108"/>
                                    <w:jc w:val="right"/>
                                    <w:rPr>
                                      <w:b/>
                                      <w:sz w:val="21"/>
                                    </w:rPr>
                                  </w:pPr>
                                  <w:r>
                                    <w:rPr>
                                      <w:b/>
                                      <w:color w:val="050505"/>
                                      <w:spacing w:val="-2"/>
                                      <w:w w:val="105"/>
                                      <w:sz w:val="21"/>
                                    </w:rPr>
                                    <w:t>(63,688)</w:t>
                                  </w:r>
                                </w:p>
                              </w:tc>
                              <w:tc>
                                <w:tcPr>
                                  <w:tcW w:w="1255" w:type="dxa"/>
                                </w:tcPr>
                                <w:p>
                                  <w:pPr>
                                    <w:pStyle w:val="TableParagraph"/>
                                    <w:spacing w:before="29"/>
                                    <w:ind w:right="158"/>
                                    <w:jc w:val="right"/>
                                    <w:rPr>
                                      <w:sz w:val="22"/>
                                    </w:rPr>
                                  </w:pPr>
                                  <w:r>
                                    <w:rPr>
                                      <w:color w:val="050505"/>
                                      <w:spacing w:val="-2"/>
                                      <w:sz w:val="22"/>
                                    </w:rPr>
                                    <w:t>(117,279)</w:t>
                                  </w:r>
                                </w:p>
                              </w:tc>
                              <w:tc>
                                <w:tcPr>
                                  <w:tcW w:w="1274" w:type="dxa"/>
                                </w:tcPr>
                                <w:p>
                                  <w:pPr>
                                    <w:pStyle w:val="TableParagraph"/>
                                    <w:spacing w:before="29"/>
                                    <w:ind w:right="51"/>
                                    <w:jc w:val="right"/>
                                    <w:rPr>
                                      <w:sz w:val="22"/>
                                    </w:rPr>
                                  </w:pPr>
                                  <w:r>
                                    <w:rPr>
                                      <w:color w:val="050505"/>
                                      <w:spacing w:val="-2"/>
                                      <w:sz w:val="22"/>
                                    </w:rPr>
                                    <w:t>(180,967)</w:t>
                                  </w:r>
                                </w:p>
                              </w:tc>
                            </w:tr>
                            <w:tr>
                              <w:trPr>
                                <w:trHeight w:val="548" w:hRule="atLeast"/>
                              </w:trPr>
                              <w:tc>
                                <w:tcPr>
                                  <w:tcW w:w="790" w:type="dxa"/>
                                </w:tcPr>
                                <w:p>
                                  <w:pPr>
                                    <w:pStyle w:val="TableParagraph"/>
                                    <w:rPr>
                                      <w:rFonts w:ascii="Times New Roman"/>
                                      <w:sz w:val="20"/>
                                    </w:rPr>
                                  </w:pPr>
                                </w:p>
                              </w:tc>
                              <w:tc>
                                <w:tcPr>
                                  <w:tcW w:w="1253" w:type="dxa"/>
                                </w:tcPr>
                                <w:p>
                                  <w:pPr>
                                    <w:pStyle w:val="TableParagraph"/>
                                    <w:spacing w:before="161"/>
                                    <w:ind w:right="120"/>
                                    <w:jc w:val="right"/>
                                    <w:rPr>
                                      <w:sz w:val="22"/>
                                    </w:rPr>
                                  </w:pPr>
                                  <w:r>
                                    <w:rPr>
                                      <w:color w:val="050505"/>
                                      <w:spacing w:val="-2"/>
                                      <w:sz w:val="22"/>
                                    </w:rPr>
                                    <w:t>(9,508)</w:t>
                                  </w:r>
                                </w:p>
                              </w:tc>
                              <w:tc>
                                <w:tcPr>
                                  <w:tcW w:w="1137" w:type="dxa"/>
                                </w:tcPr>
                                <w:p>
                                  <w:pPr>
                                    <w:pStyle w:val="TableParagraph"/>
                                    <w:rPr>
                                      <w:rFonts w:ascii="Times New Roman"/>
                                      <w:sz w:val="20"/>
                                    </w:rPr>
                                  </w:pPr>
                                </w:p>
                              </w:tc>
                              <w:tc>
                                <w:tcPr>
                                  <w:tcW w:w="1282" w:type="dxa"/>
                                </w:tcPr>
                                <w:p>
                                  <w:pPr>
                                    <w:pStyle w:val="TableParagraph"/>
                                    <w:rPr>
                                      <w:rFonts w:ascii="Times New Roman"/>
                                      <w:sz w:val="20"/>
                                    </w:rPr>
                                  </w:pPr>
                                </w:p>
                              </w:tc>
                              <w:tc>
                                <w:tcPr>
                                  <w:tcW w:w="1202" w:type="dxa"/>
                                </w:tcPr>
                                <w:p>
                                  <w:pPr>
                                    <w:pStyle w:val="TableParagraph"/>
                                    <w:spacing w:before="170"/>
                                    <w:ind w:right="111"/>
                                    <w:jc w:val="right"/>
                                    <w:rPr>
                                      <w:b/>
                                      <w:sz w:val="21"/>
                                    </w:rPr>
                                  </w:pPr>
                                  <w:r>
                                    <w:rPr>
                                      <w:b/>
                                      <w:color w:val="050505"/>
                                      <w:spacing w:val="-2"/>
                                      <w:w w:val="105"/>
                                      <w:sz w:val="21"/>
                                    </w:rPr>
                                    <w:t>(9,508)</w:t>
                                  </w:r>
                                </w:p>
                              </w:tc>
                              <w:tc>
                                <w:tcPr>
                                  <w:tcW w:w="1255" w:type="dxa"/>
                                </w:tcPr>
                                <w:p>
                                  <w:pPr>
                                    <w:pStyle w:val="TableParagraph"/>
                                    <w:spacing w:before="165"/>
                                    <w:ind w:right="172"/>
                                    <w:jc w:val="right"/>
                                    <w:rPr>
                                      <w:sz w:val="22"/>
                                    </w:rPr>
                                  </w:pPr>
                                  <w:r>
                                    <w:rPr>
                                      <w:color w:val="050505"/>
                                      <w:spacing w:val="-2"/>
                                      <w:sz w:val="22"/>
                                    </w:rPr>
                                    <w:t>(51,005)</w:t>
                                  </w:r>
                                </w:p>
                              </w:tc>
                              <w:tc>
                                <w:tcPr>
                                  <w:tcW w:w="1274" w:type="dxa"/>
                                </w:tcPr>
                                <w:p>
                                  <w:pPr>
                                    <w:pStyle w:val="TableParagraph"/>
                                    <w:spacing w:before="161"/>
                                    <w:ind w:right="49"/>
                                    <w:jc w:val="right"/>
                                    <w:rPr>
                                      <w:sz w:val="22"/>
                                    </w:rPr>
                                  </w:pPr>
                                  <w:r>
                                    <w:rPr>
                                      <w:color w:val="050505"/>
                                      <w:spacing w:val="-2"/>
                                      <w:sz w:val="22"/>
                                    </w:rPr>
                                    <w:t>(60,513)</w:t>
                                  </w:r>
                                </w:p>
                              </w:tc>
                            </w:tr>
                            <w:tr>
                              <w:trPr>
                                <w:trHeight w:val="375" w:hRule="atLeast"/>
                              </w:trPr>
                              <w:tc>
                                <w:tcPr>
                                  <w:tcW w:w="790" w:type="dxa"/>
                                </w:tcPr>
                                <w:p>
                                  <w:pPr>
                                    <w:pStyle w:val="TableParagraph"/>
                                    <w:spacing w:before="150" w:line="205" w:lineRule="exact"/>
                                    <w:ind w:left="102"/>
                                    <w:rPr>
                                      <w:sz w:val="19"/>
                                    </w:rPr>
                                  </w:pPr>
                                  <w:r>
                                    <w:rPr>
                                      <w:color w:val="050505"/>
                                      <w:spacing w:val="-4"/>
                                      <w:sz w:val="19"/>
                                    </w:rPr>
                                    <w:t>5</w:t>
                                  </w:r>
                                  <w:r>
                                    <w:rPr>
                                      <w:color w:val="3D3D3D"/>
                                      <w:spacing w:val="-4"/>
                                      <w:sz w:val="19"/>
                                    </w:rPr>
                                    <w:t>.</w:t>
                                  </w:r>
                                  <w:r>
                                    <w:rPr>
                                      <w:color w:val="050505"/>
                                      <w:spacing w:val="-4"/>
                                      <w:sz w:val="19"/>
                                    </w:rPr>
                                    <w:t>14</w:t>
                                  </w:r>
                                </w:p>
                              </w:tc>
                              <w:tc>
                                <w:tcPr>
                                  <w:tcW w:w="1253" w:type="dxa"/>
                                </w:tcPr>
                                <w:p>
                                  <w:pPr>
                                    <w:pStyle w:val="TableParagraph"/>
                                    <w:spacing w:before="122" w:line="233" w:lineRule="exact"/>
                                    <w:ind w:right="105"/>
                                    <w:jc w:val="right"/>
                                    <w:rPr>
                                      <w:sz w:val="22"/>
                                    </w:rPr>
                                  </w:pPr>
                                  <w:r>
                                    <w:rPr>
                                      <w:color w:val="050505"/>
                                      <w:spacing w:val="-2"/>
                                      <w:sz w:val="22"/>
                                    </w:rPr>
                                    <w:t>7,050</w:t>
                                  </w:r>
                                </w:p>
                              </w:tc>
                              <w:tc>
                                <w:tcPr>
                                  <w:tcW w:w="1137" w:type="dxa"/>
                                </w:tcPr>
                                <w:p>
                                  <w:pPr>
                                    <w:pStyle w:val="TableParagraph"/>
                                    <w:spacing w:before="122" w:line="233" w:lineRule="exact"/>
                                    <w:ind w:right="119"/>
                                    <w:jc w:val="right"/>
                                    <w:rPr>
                                      <w:sz w:val="22"/>
                                    </w:rPr>
                                  </w:pPr>
                                  <w:r>
                                    <w:rPr>
                                      <w:color w:val="050505"/>
                                      <w:spacing w:val="-4"/>
                                      <w:sz w:val="22"/>
                                    </w:rPr>
                                    <w:t>(52)</w:t>
                                  </w:r>
                                </w:p>
                              </w:tc>
                              <w:tc>
                                <w:tcPr>
                                  <w:tcW w:w="1282" w:type="dxa"/>
                                </w:tcPr>
                                <w:p>
                                  <w:pPr>
                                    <w:pStyle w:val="TableParagraph"/>
                                    <w:spacing w:before="122" w:line="233" w:lineRule="exact"/>
                                    <w:ind w:right="124"/>
                                    <w:jc w:val="right"/>
                                    <w:rPr>
                                      <w:sz w:val="22"/>
                                    </w:rPr>
                                  </w:pPr>
                                  <w:r>
                                    <w:rPr>
                                      <w:color w:val="050505"/>
                                      <w:spacing w:val="-2"/>
                                      <w:sz w:val="22"/>
                                    </w:rPr>
                                    <w:t>(1,629)</w:t>
                                  </w:r>
                                </w:p>
                              </w:tc>
                              <w:tc>
                                <w:tcPr>
                                  <w:tcW w:w="1202" w:type="dxa"/>
                                </w:tcPr>
                                <w:p>
                                  <w:pPr>
                                    <w:pStyle w:val="TableParagraph"/>
                                    <w:spacing w:before="127" w:line="228" w:lineRule="exact"/>
                                    <w:ind w:left="472"/>
                                    <w:rPr>
                                      <w:b/>
                                      <w:sz w:val="21"/>
                                    </w:rPr>
                                  </w:pPr>
                                  <w:r>
                                    <w:rPr>
                                      <w:b/>
                                      <w:color w:val="050505"/>
                                      <w:spacing w:val="-4"/>
                                      <w:w w:val="105"/>
                                      <w:sz w:val="21"/>
                                    </w:rPr>
                                    <w:t>5,369</w:t>
                                  </w:r>
                                </w:p>
                              </w:tc>
                              <w:tc>
                                <w:tcPr>
                                  <w:tcW w:w="1255" w:type="dxa"/>
                                </w:tcPr>
                                <w:p>
                                  <w:pPr>
                                    <w:pStyle w:val="TableParagraph"/>
                                    <w:spacing w:before="122" w:line="233" w:lineRule="exact"/>
                                    <w:ind w:right="167"/>
                                    <w:jc w:val="right"/>
                                    <w:rPr>
                                      <w:sz w:val="22"/>
                                    </w:rPr>
                                  </w:pPr>
                                  <w:r>
                                    <w:rPr>
                                      <w:color w:val="050505"/>
                                      <w:spacing w:val="-2"/>
                                      <w:sz w:val="22"/>
                                    </w:rPr>
                                    <w:t>(5,369)</w:t>
                                  </w:r>
                                </w:p>
                              </w:tc>
                              <w:tc>
                                <w:tcPr>
                                  <w:tcW w:w="1274" w:type="dxa"/>
                                </w:tcPr>
                                <w:p>
                                  <w:pPr>
                                    <w:pStyle w:val="TableParagraph"/>
                                    <w:rPr>
                                      <w:rFonts w:ascii="Times New Roman"/>
                                      <w:sz w:val="20"/>
                                    </w:rPr>
                                  </w:pPr>
                                </w:p>
                              </w:tc>
                            </w:tr>
                          </w:tbl>
                          <w:p>
                            <w:pPr>
                              <w:pStyle w:val="BodyText"/>
                            </w:pPr>
                          </w:p>
                        </w:txbxContent>
                      </wps:txbx>
                      <wps:bodyPr wrap="square" lIns="0" tIns="0" rIns="0" bIns="0" rtlCol="0">
                        <a:noAutofit/>
                      </wps:bodyPr>
                    </wps:wsp>
                  </a:graphicData>
                </a:graphic>
              </wp:anchor>
            </w:drawing>
          </ve:Choice>
          <ve:Fallback>
            <w:pict>
              <v:shape id="docshape59" style="position:absolute;margin-left:347.895111pt;margin-top:-57.355743pt;width:415.6pt;height:121.35pt;mso-position-horizontal-relative:page;mso-position-vertical-relative:paragraph;z-index:15750144"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790"/>
                        <w:gridCol w:w="1253"/>
                        <w:gridCol w:w="1137"/>
                        <w:gridCol w:w="1282"/>
                        <w:gridCol w:w="1202"/>
                        <w:gridCol w:w="1255"/>
                        <w:gridCol w:w="1274"/>
                      </w:tblGrid>
                      <w:tr>
                        <w:trPr>
                          <w:trHeight w:val="762" w:hRule="atLeast"/>
                        </w:trPr>
                        <w:tc>
                          <w:tcPr>
                            <w:tcW w:w="790" w:type="dxa"/>
                          </w:tcPr>
                          <w:p>
                            <w:pPr>
                              <w:pStyle w:val="TableParagraph"/>
                              <w:rPr>
                                <w:rFonts w:ascii="Times New Roman"/>
                                <w:sz w:val="20"/>
                              </w:rPr>
                            </w:pPr>
                          </w:p>
                        </w:tc>
                        <w:tc>
                          <w:tcPr>
                            <w:tcW w:w="1253" w:type="dxa"/>
                          </w:tcPr>
                          <w:p>
                            <w:pPr>
                              <w:pStyle w:val="TableParagraph"/>
                              <w:spacing w:line="245" w:lineRule="exact"/>
                              <w:ind w:left="83"/>
                              <w:jc w:val="center"/>
                              <w:rPr>
                                <w:sz w:val="22"/>
                              </w:rPr>
                            </w:pPr>
                            <w:r>
                              <w:rPr>
                                <w:color w:val="050505"/>
                                <w:spacing w:val="-2"/>
                                <w:w w:val="105"/>
                                <w:sz w:val="22"/>
                              </w:rPr>
                              <w:t>General</w:t>
                            </w:r>
                          </w:p>
                          <w:p>
                            <w:pPr>
                              <w:pStyle w:val="TableParagraph"/>
                              <w:spacing w:line="250" w:lineRule="exact"/>
                              <w:ind w:left="246" w:right="160" w:firstLine="7"/>
                              <w:jc w:val="center"/>
                              <w:rPr>
                                <w:sz w:val="22"/>
                              </w:rPr>
                            </w:pPr>
                            <w:r>
                              <w:rPr>
                                <w:color w:val="050505"/>
                                <w:spacing w:val="-4"/>
                                <w:w w:val="110"/>
                                <w:sz w:val="22"/>
                              </w:rPr>
                              <w:t>Fund </w:t>
                            </w:r>
                            <w:r>
                              <w:rPr>
                                <w:color w:val="050505"/>
                                <w:spacing w:val="-2"/>
                                <w:sz w:val="22"/>
                              </w:rPr>
                              <w:t>Balance</w:t>
                            </w:r>
                          </w:p>
                        </w:tc>
                        <w:tc>
                          <w:tcPr>
                            <w:tcW w:w="1137" w:type="dxa"/>
                          </w:tcPr>
                          <w:p>
                            <w:pPr>
                              <w:pStyle w:val="TableParagraph"/>
                              <w:spacing w:line="246" w:lineRule="exact"/>
                              <w:ind w:left="108" w:firstLine="97"/>
                              <w:rPr>
                                <w:sz w:val="22"/>
                              </w:rPr>
                            </w:pPr>
                            <w:r>
                              <w:rPr>
                                <w:color w:val="050505"/>
                                <w:spacing w:val="-2"/>
                                <w:w w:val="105"/>
                                <w:sz w:val="22"/>
                              </w:rPr>
                              <w:t>Capital</w:t>
                            </w:r>
                          </w:p>
                          <w:p>
                            <w:pPr>
                              <w:pStyle w:val="TableParagraph"/>
                              <w:spacing w:line="250" w:lineRule="exact"/>
                              <w:ind w:left="137" w:hanging="29"/>
                              <w:rPr>
                                <w:sz w:val="22"/>
                              </w:rPr>
                            </w:pPr>
                            <w:r>
                              <w:rPr>
                                <w:color w:val="050505"/>
                                <w:spacing w:val="-2"/>
                                <w:w w:val="105"/>
                                <w:sz w:val="22"/>
                              </w:rPr>
                              <w:t>Receipts Reserve</w:t>
                            </w:r>
                          </w:p>
                        </w:tc>
                        <w:tc>
                          <w:tcPr>
                            <w:tcW w:w="1282" w:type="dxa"/>
                          </w:tcPr>
                          <w:p>
                            <w:pPr>
                              <w:pStyle w:val="TableParagraph"/>
                              <w:spacing w:line="246" w:lineRule="exact"/>
                              <w:ind w:left="285" w:hanging="9"/>
                              <w:rPr>
                                <w:sz w:val="22"/>
                              </w:rPr>
                            </w:pPr>
                            <w:r>
                              <w:rPr>
                                <w:color w:val="050505"/>
                                <w:spacing w:val="-2"/>
                                <w:w w:val="105"/>
                                <w:sz w:val="22"/>
                              </w:rPr>
                              <w:t>Capital</w:t>
                            </w:r>
                          </w:p>
                          <w:p>
                            <w:pPr>
                              <w:pStyle w:val="TableParagraph"/>
                              <w:spacing w:line="250" w:lineRule="exact"/>
                              <w:ind w:left="111" w:firstLine="174"/>
                              <w:rPr>
                                <w:sz w:val="22"/>
                              </w:rPr>
                            </w:pPr>
                            <w:r>
                              <w:rPr>
                                <w:color w:val="050505"/>
                                <w:spacing w:val="-2"/>
                                <w:w w:val="105"/>
                                <w:sz w:val="22"/>
                              </w:rPr>
                              <w:t>Grants Unapplied</w:t>
                            </w:r>
                          </w:p>
                        </w:tc>
                        <w:tc>
                          <w:tcPr>
                            <w:tcW w:w="1202" w:type="dxa"/>
                          </w:tcPr>
                          <w:p>
                            <w:pPr>
                              <w:pStyle w:val="TableParagraph"/>
                              <w:spacing w:line="250" w:lineRule="exact"/>
                              <w:ind w:left="108" w:right="123" w:firstLine="27"/>
                              <w:jc w:val="center"/>
                              <w:rPr>
                                <w:sz w:val="22"/>
                              </w:rPr>
                            </w:pPr>
                            <w:r>
                              <w:rPr>
                                <w:color w:val="050505"/>
                                <w:spacing w:val="-4"/>
                                <w:w w:val="105"/>
                                <w:sz w:val="22"/>
                              </w:rPr>
                              <w:t>Total </w:t>
                            </w:r>
                            <w:r>
                              <w:rPr>
                                <w:color w:val="050505"/>
                                <w:spacing w:val="-2"/>
                                <w:w w:val="105"/>
                                <w:sz w:val="22"/>
                              </w:rPr>
                              <w:t>Usable </w:t>
                            </w:r>
                            <w:r>
                              <w:rPr>
                                <w:color w:val="050505"/>
                                <w:spacing w:val="-2"/>
                                <w:sz w:val="22"/>
                              </w:rPr>
                              <w:t>Reserves</w:t>
                            </w:r>
                          </w:p>
                        </w:tc>
                        <w:tc>
                          <w:tcPr>
                            <w:tcW w:w="1255" w:type="dxa"/>
                          </w:tcPr>
                          <w:p>
                            <w:pPr>
                              <w:pStyle w:val="TableParagraph"/>
                              <w:spacing w:before="242" w:line="250" w:lineRule="exact"/>
                              <w:ind w:left="113" w:hanging="5"/>
                              <w:rPr>
                                <w:sz w:val="22"/>
                              </w:rPr>
                            </w:pPr>
                            <w:r>
                              <w:rPr>
                                <w:color w:val="050505"/>
                                <w:spacing w:val="-2"/>
                                <w:w w:val="105"/>
                                <w:sz w:val="22"/>
                              </w:rPr>
                              <w:t>Unusable Reserves</w:t>
                            </w:r>
                          </w:p>
                        </w:tc>
                        <w:tc>
                          <w:tcPr>
                            <w:tcW w:w="1274" w:type="dxa"/>
                          </w:tcPr>
                          <w:p>
                            <w:pPr>
                              <w:pStyle w:val="TableParagraph"/>
                              <w:spacing w:line="237" w:lineRule="auto"/>
                              <w:ind w:left="165" w:firstLine="225"/>
                              <w:rPr>
                                <w:sz w:val="22"/>
                              </w:rPr>
                            </w:pPr>
                            <w:r>
                              <w:rPr>
                                <w:color w:val="050505"/>
                                <w:spacing w:val="-2"/>
                                <w:w w:val="110"/>
                                <w:sz w:val="22"/>
                              </w:rPr>
                              <w:t>Total Authority</w:t>
                            </w:r>
                          </w:p>
                          <w:p>
                            <w:pPr>
                              <w:pStyle w:val="TableParagraph"/>
                              <w:spacing w:before="2" w:line="240" w:lineRule="exact"/>
                              <w:ind w:left="157"/>
                              <w:rPr>
                                <w:sz w:val="22"/>
                              </w:rPr>
                            </w:pPr>
                            <w:r>
                              <w:rPr>
                                <w:color w:val="050505"/>
                                <w:spacing w:val="-2"/>
                                <w:w w:val="105"/>
                                <w:sz w:val="22"/>
                              </w:rPr>
                              <w:t>Reserves</w:t>
                            </w:r>
                          </w:p>
                        </w:tc>
                      </w:tr>
                      <w:tr>
                        <w:trPr>
                          <w:trHeight w:val="292" w:hRule="atLeast"/>
                        </w:trPr>
                        <w:tc>
                          <w:tcPr>
                            <w:tcW w:w="790" w:type="dxa"/>
                          </w:tcPr>
                          <w:p>
                            <w:pPr>
                              <w:pStyle w:val="TableParagraph"/>
                              <w:ind w:left="50"/>
                              <w:rPr>
                                <w:sz w:val="22"/>
                              </w:rPr>
                            </w:pPr>
                            <w:r>
                              <w:rPr>
                                <w:color w:val="050505"/>
                                <w:spacing w:val="-4"/>
                                <w:w w:val="105"/>
                                <w:sz w:val="22"/>
                              </w:rPr>
                              <w:t>Note</w:t>
                            </w:r>
                          </w:p>
                        </w:tc>
                        <w:tc>
                          <w:tcPr>
                            <w:tcW w:w="1253" w:type="dxa"/>
                          </w:tcPr>
                          <w:p>
                            <w:pPr>
                              <w:pStyle w:val="TableParagraph"/>
                              <w:spacing w:before="9"/>
                              <w:ind w:left="420"/>
                              <w:rPr>
                                <w:b/>
                                <w:sz w:val="21"/>
                              </w:rPr>
                            </w:pPr>
                            <w:r>
                              <w:rPr>
                                <w:b/>
                                <w:color w:val="050505"/>
                                <w:spacing w:val="-4"/>
                                <w:w w:val="105"/>
                                <w:sz w:val="21"/>
                              </w:rPr>
                              <w:t>£000</w:t>
                            </w:r>
                          </w:p>
                        </w:tc>
                        <w:tc>
                          <w:tcPr>
                            <w:tcW w:w="1137" w:type="dxa"/>
                          </w:tcPr>
                          <w:p>
                            <w:pPr>
                              <w:pStyle w:val="TableParagraph"/>
                              <w:spacing w:before="9"/>
                              <w:ind w:left="321"/>
                              <w:rPr>
                                <w:b/>
                                <w:sz w:val="21"/>
                              </w:rPr>
                            </w:pPr>
                            <w:r>
                              <w:rPr>
                                <w:b/>
                                <w:color w:val="050505"/>
                                <w:spacing w:val="-4"/>
                                <w:w w:val="105"/>
                                <w:sz w:val="21"/>
                              </w:rPr>
                              <w:t>£000</w:t>
                            </w:r>
                          </w:p>
                        </w:tc>
                        <w:tc>
                          <w:tcPr>
                            <w:tcW w:w="1282" w:type="dxa"/>
                          </w:tcPr>
                          <w:p>
                            <w:pPr>
                              <w:pStyle w:val="TableParagraph"/>
                              <w:spacing w:before="14"/>
                              <w:ind w:left="396"/>
                              <w:rPr>
                                <w:b/>
                                <w:sz w:val="21"/>
                              </w:rPr>
                            </w:pPr>
                            <w:r>
                              <w:rPr>
                                <w:b/>
                                <w:color w:val="050505"/>
                                <w:spacing w:val="-4"/>
                                <w:w w:val="105"/>
                                <w:sz w:val="21"/>
                              </w:rPr>
                              <w:t>£000</w:t>
                            </w:r>
                          </w:p>
                        </w:tc>
                        <w:tc>
                          <w:tcPr>
                            <w:tcW w:w="1202" w:type="dxa"/>
                          </w:tcPr>
                          <w:p>
                            <w:pPr>
                              <w:pStyle w:val="TableParagraph"/>
                              <w:spacing w:before="9"/>
                              <w:ind w:left="355"/>
                              <w:rPr>
                                <w:b/>
                                <w:sz w:val="21"/>
                              </w:rPr>
                            </w:pPr>
                            <w:r>
                              <w:rPr>
                                <w:b/>
                                <w:color w:val="050505"/>
                                <w:spacing w:val="-4"/>
                                <w:w w:val="105"/>
                                <w:sz w:val="21"/>
                              </w:rPr>
                              <w:t>£000</w:t>
                            </w:r>
                          </w:p>
                        </w:tc>
                        <w:tc>
                          <w:tcPr>
                            <w:tcW w:w="1255" w:type="dxa"/>
                          </w:tcPr>
                          <w:p>
                            <w:pPr>
                              <w:pStyle w:val="TableParagraph"/>
                              <w:spacing w:before="9"/>
                              <w:ind w:left="355"/>
                              <w:rPr>
                                <w:b/>
                                <w:sz w:val="21"/>
                              </w:rPr>
                            </w:pPr>
                            <w:r>
                              <w:rPr>
                                <w:b/>
                                <w:color w:val="050505"/>
                                <w:spacing w:val="-4"/>
                                <w:w w:val="105"/>
                                <w:sz w:val="21"/>
                              </w:rPr>
                              <w:t>£000</w:t>
                            </w:r>
                          </w:p>
                        </w:tc>
                        <w:tc>
                          <w:tcPr>
                            <w:tcW w:w="1274" w:type="dxa"/>
                          </w:tcPr>
                          <w:p>
                            <w:pPr>
                              <w:pStyle w:val="TableParagraph"/>
                              <w:spacing w:before="9"/>
                              <w:ind w:left="399"/>
                              <w:rPr>
                                <w:b/>
                                <w:sz w:val="21"/>
                              </w:rPr>
                            </w:pPr>
                            <w:r>
                              <w:rPr>
                                <w:b/>
                                <w:color w:val="050505"/>
                                <w:spacing w:val="-4"/>
                                <w:w w:val="105"/>
                                <w:sz w:val="21"/>
                              </w:rPr>
                              <w:t>£000</w:t>
                            </w:r>
                          </w:p>
                        </w:tc>
                      </w:tr>
                      <w:tr>
                        <w:trPr>
                          <w:trHeight w:val="450" w:hRule="atLeast"/>
                        </w:trPr>
                        <w:tc>
                          <w:tcPr>
                            <w:tcW w:w="790" w:type="dxa"/>
                          </w:tcPr>
                          <w:p>
                            <w:pPr>
                              <w:pStyle w:val="TableParagraph"/>
                              <w:rPr>
                                <w:rFonts w:ascii="Times New Roman"/>
                                <w:sz w:val="20"/>
                              </w:rPr>
                            </w:pPr>
                          </w:p>
                        </w:tc>
                        <w:tc>
                          <w:tcPr>
                            <w:tcW w:w="1253" w:type="dxa"/>
                          </w:tcPr>
                          <w:p>
                            <w:pPr>
                              <w:pStyle w:val="TableParagraph"/>
                              <w:spacing w:before="29"/>
                              <w:ind w:right="108"/>
                              <w:jc w:val="right"/>
                              <w:rPr>
                                <w:sz w:val="22"/>
                              </w:rPr>
                            </w:pPr>
                            <w:r>
                              <w:rPr>
                                <w:color w:val="050505"/>
                                <w:spacing w:val="-2"/>
                                <w:sz w:val="22"/>
                              </w:rPr>
                              <w:t>(40,277)</w:t>
                            </w:r>
                          </w:p>
                        </w:tc>
                        <w:tc>
                          <w:tcPr>
                            <w:tcW w:w="1137" w:type="dxa"/>
                          </w:tcPr>
                          <w:p>
                            <w:pPr>
                              <w:pStyle w:val="TableParagraph"/>
                              <w:spacing w:before="39"/>
                              <w:ind w:right="108"/>
                              <w:jc w:val="right"/>
                              <w:rPr>
                                <w:b/>
                                <w:sz w:val="21"/>
                              </w:rPr>
                            </w:pPr>
                            <w:r>
                              <w:rPr>
                                <w:b/>
                                <w:color w:val="050505"/>
                                <w:spacing w:val="-2"/>
                                <w:w w:val="105"/>
                                <w:sz w:val="21"/>
                              </w:rPr>
                              <w:t>(5,086)</w:t>
                            </w:r>
                          </w:p>
                        </w:tc>
                        <w:tc>
                          <w:tcPr>
                            <w:tcW w:w="1282" w:type="dxa"/>
                          </w:tcPr>
                          <w:p>
                            <w:pPr>
                              <w:pStyle w:val="TableParagraph"/>
                              <w:spacing w:before="39"/>
                              <w:ind w:right="111"/>
                              <w:jc w:val="right"/>
                              <w:rPr>
                                <w:b/>
                                <w:sz w:val="21"/>
                              </w:rPr>
                            </w:pPr>
                            <w:r>
                              <w:rPr>
                                <w:b/>
                                <w:color w:val="050505"/>
                                <w:spacing w:val="-2"/>
                                <w:w w:val="105"/>
                                <w:sz w:val="21"/>
                              </w:rPr>
                              <w:t>(18,325)</w:t>
                            </w:r>
                          </w:p>
                        </w:tc>
                        <w:tc>
                          <w:tcPr>
                            <w:tcW w:w="1202" w:type="dxa"/>
                          </w:tcPr>
                          <w:p>
                            <w:pPr>
                              <w:pStyle w:val="TableParagraph"/>
                              <w:spacing w:before="39"/>
                              <w:ind w:right="108"/>
                              <w:jc w:val="right"/>
                              <w:rPr>
                                <w:b/>
                                <w:sz w:val="21"/>
                              </w:rPr>
                            </w:pPr>
                            <w:r>
                              <w:rPr>
                                <w:b/>
                                <w:color w:val="050505"/>
                                <w:spacing w:val="-2"/>
                                <w:w w:val="105"/>
                                <w:sz w:val="21"/>
                              </w:rPr>
                              <w:t>(63,688)</w:t>
                            </w:r>
                          </w:p>
                        </w:tc>
                        <w:tc>
                          <w:tcPr>
                            <w:tcW w:w="1255" w:type="dxa"/>
                          </w:tcPr>
                          <w:p>
                            <w:pPr>
                              <w:pStyle w:val="TableParagraph"/>
                              <w:spacing w:before="29"/>
                              <w:ind w:right="158"/>
                              <w:jc w:val="right"/>
                              <w:rPr>
                                <w:sz w:val="22"/>
                              </w:rPr>
                            </w:pPr>
                            <w:r>
                              <w:rPr>
                                <w:color w:val="050505"/>
                                <w:spacing w:val="-2"/>
                                <w:sz w:val="22"/>
                              </w:rPr>
                              <w:t>(117,279)</w:t>
                            </w:r>
                          </w:p>
                        </w:tc>
                        <w:tc>
                          <w:tcPr>
                            <w:tcW w:w="1274" w:type="dxa"/>
                          </w:tcPr>
                          <w:p>
                            <w:pPr>
                              <w:pStyle w:val="TableParagraph"/>
                              <w:spacing w:before="29"/>
                              <w:ind w:right="51"/>
                              <w:jc w:val="right"/>
                              <w:rPr>
                                <w:sz w:val="22"/>
                              </w:rPr>
                            </w:pPr>
                            <w:r>
                              <w:rPr>
                                <w:color w:val="050505"/>
                                <w:spacing w:val="-2"/>
                                <w:sz w:val="22"/>
                              </w:rPr>
                              <w:t>(180,967)</w:t>
                            </w:r>
                          </w:p>
                        </w:tc>
                      </w:tr>
                      <w:tr>
                        <w:trPr>
                          <w:trHeight w:val="548" w:hRule="atLeast"/>
                        </w:trPr>
                        <w:tc>
                          <w:tcPr>
                            <w:tcW w:w="790" w:type="dxa"/>
                          </w:tcPr>
                          <w:p>
                            <w:pPr>
                              <w:pStyle w:val="TableParagraph"/>
                              <w:rPr>
                                <w:rFonts w:ascii="Times New Roman"/>
                                <w:sz w:val="20"/>
                              </w:rPr>
                            </w:pPr>
                          </w:p>
                        </w:tc>
                        <w:tc>
                          <w:tcPr>
                            <w:tcW w:w="1253" w:type="dxa"/>
                          </w:tcPr>
                          <w:p>
                            <w:pPr>
                              <w:pStyle w:val="TableParagraph"/>
                              <w:spacing w:before="161"/>
                              <w:ind w:right="120"/>
                              <w:jc w:val="right"/>
                              <w:rPr>
                                <w:sz w:val="22"/>
                              </w:rPr>
                            </w:pPr>
                            <w:r>
                              <w:rPr>
                                <w:color w:val="050505"/>
                                <w:spacing w:val="-2"/>
                                <w:sz w:val="22"/>
                              </w:rPr>
                              <w:t>(9,508)</w:t>
                            </w:r>
                          </w:p>
                        </w:tc>
                        <w:tc>
                          <w:tcPr>
                            <w:tcW w:w="1137" w:type="dxa"/>
                          </w:tcPr>
                          <w:p>
                            <w:pPr>
                              <w:pStyle w:val="TableParagraph"/>
                              <w:rPr>
                                <w:rFonts w:ascii="Times New Roman"/>
                                <w:sz w:val="20"/>
                              </w:rPr>
                            </w:pPr>
                          </w:p>
                        </w:tc>
                        <w:tc>
                          <w:tcPr>
                            <w:tcW w:w="1282" w:type="dxa"/>
                          </w:tcPr>
                          <w:p>
                            <w:pPr>
                              <w:pStyle w:val="TableParagraph"/>
                              <w:rPr>
                                <w:rFonts w:ascii="Times New Roman"/>
                                <w:sz w:val="20"/>
                              </w:rPr>
                            </w:pPr>
                          </w:p>
                        </w:tc>
                        <w:tc>
                          <w:tcPr>
                            <w:tcW w:w="1202" w:type="dxa"/>
                          </w:tcPr>
                          <w:p>
                            <w:pPr>
                              <w:pStyle w:val="TableParagraph"/>
                              <w:spacing w:before="170"/>
                              <w:ind w:right="111"/>
                              <w:jc w:val="right"/>
                              <w:rPr>
                                <w:b/>
                                <w:sz w:val="21"/>
                              </w:rPr>
                            </w:pPr>
                            <w:r>
                              <w:rPr>
                                <w:b/>
                                <w:color w:val="050505"/>
                                <w:spacing w:val="-2"/>
                                <w:w w:val="105"/>
                                <w:sz w:val="21"/>
                              </w:rPr>
                              <w:t>(9,508)</w:t>
                            </w:r>
                          </w:p>
                        </w:tc>
                        <w:tc>
                          <w:tcPr>
                            <w:tcW w:w="1255" w:type="dxa"/>
                          </w:tcPr>
                          <w:p>
                            <w:pPr>
                              <w:pStyle w:val="TableParagraph"/>
                              <w:spacing w:before="165"/>
                              <w:ind w:right="172"/>
                              <w:jc w:val="right"/>
                              <w:rPr>
                                <w:sz w:val="22"/>
                              </w:rPr>
                            </w:pPr>
                            <w:r>
                              <w:rPr>
                                <w:color w:val="050505"/>
                                <w:spacing w:val="-2"/>
                                <w:sz w:val="22"/>
                              </w:rPr>
                              <w:t>(51,005)</w:t>
                            </w:r>
                          </w:p>
                        </w:tc>
                        <w:tc>
                          <w:tcPr>
                            <w:tcW w:w="1274" w:type="dxa"/>
                          </w:tcPr>
                          <w:p>
                            <w:pPr>
                              <w:pStyle w:val="TableParagraph"/>
                              <w:spacing w:before="161"/>
                              <w:ind w:right="49"/>
                              <w:jc w:val="right"/>
                              <w:rPr>
                                <w:sz w:val="22"/>
                              </w:rPr>
                            </w:pPr>
                            <w:r>
                              <w:rPr>
                                <w:color w:val="050505"/>
                                <w:spacing w:val="-2"/>
                                <w:sz w:val="22"/>
                              </w:rPr>
                              <w:t>(60,513)</w:t>
                            </w:r>
                          </w:p>
                        </w:tc>
                      </w:tr>
                      <w:tr>
                        <w:trPr>
                          <w:trHeight w:val="375" w:hRule="atLeast"/>
                        </w:trPr>
                        <w:tc>
                          <w:tcPr>
                            <w:tcW w:w="790" w:type="dxa"/>
                          </w:tcPr>
                          <w:p>
                            <w:pPr>
                              <w:pStyle w:val="TableParagraph"/>
                              <w:spacing w:before="150" w:line="205" w:lineRule="exact"/>
                              <w:ind w:left="102"/>
                              <w:rPr>
                                <w:sz w:val="19"/>
                              </w:rPr>
                            </w:pPr>
                            <w:r>
                              <w:rPr>
                                <w:color w:val="050505"/>
                                <w:spacing w:val="-4"/>
                                <w:sz w:val="19"/>
                              </w:rPr>
                              <w:t>5</w:t>
                            </w:r>
                            <w:r>
                              <w:rPr>
                                <w:color w:val="3D3D3D"/>
                                <w:spacing w:val="-4"/>
                                <w:sz w:val="19"/>
                              </w:rPr>
                              <w:t>.</w:t>
                            </w:r>
                            <w:r>
                              <w:rPr>
                                <w:color w:val="050505"/>
                                <w:spacing w:val="-4"/>
                                <w:sz w:val="19"/>
                              </w:rPr>
                              <w:t>14</w:t>
                            </w:r>
                          </w:p>
                        </w:tc>
                        <w:tc>
                          <w:tcPr>
                            <w:tcW w:w="1253" w:type="dxa"/>
                          </w:tcPr>
                          <w:p>
                            <w:pPr>
                              <w:pStyle w:val="TableParagraph"/>
                              <w:spacing w:before="122" w:line="233" w:lineRule="exact"/>
                              <w:ind w:right="105"/>
                              <w:jc w:val="right"/>
                              <w:rPr>
                                <w:sz w:val="22"/>
                              </w:rPr>
                            </w:pPr>
                            <w:r>
                              <w:rPr>
                                <w:color w:val="050505"/>
                                <w:spacing w:val="-2"/>
                                <w:sz w:val="22"/>
                              </w:rPr>
                              <w:t>7,050</w:t>
                            </w:r>
                          </w:p>
                        </w:tc>
                        <w:tc>
                          <w:tcPr>
                            <w:tcW w:w="1137" w:type="dxa"/>
                          </w:tcPr>
                          <w:p>
                            <w:pPr>
                              <w:pStyle w:val="TableParagraph"/>
                              <w:spacing w:before="122" w:line="233" w:lineRule="exact"/>
                              <w:ind w:right="119"/>
                              <w:jc w:val="right"/>
                              <w:rPr>
                                <w:sz w:val="22"/>
                              </w:rPr>
                            </w:pPr>
                            <w:r>
                              <w:rPr>
                                <w:color w:val="050505"/>
                                <w:spacing w:val="-4"/>
                                <w:sz w:val="22"/>
                              </w:rPr>
                              <w:t>(52)</w:t>
                            </w:r>
                          </w:p>
                        </w:tc>
                        <w:tc>
                          <w:tcPr>
                            <w:tcW w:w="1282" w:type="dxa"/>
                          </w:tcPr>
                          <w:p>
                            <w:pPr>
                              <w:pStyle w:val="TableParagraph"/>
                              <w:spacing w:before="122" w:line="233" w:lineRule="exact"/>
                              <w:ind w:right="124"/>
                              <w:jc w:val="right"/>
                              <w:rPr>
                                <w:sz w:val="22"/>
                              </w:rPr>
                            </w:pPr>
                            <w:r>
                              <w:rPr>
                                <w:color w:val="050505"/>
                                <w:spacing w:val="-2"/>
                                <w:sz w:val="22"/>
                              </w:rPr>
                              <w:t>(1,629)</w:t>
                            </w:r>
                          </w:p>
                        </w:tc>
                        <w:tc>
                          <w:tcPr>
                            <w:tcW w:w="1202" w:type="dxa"/>
                          </w:tcPr>
                          <w:p>
                            <w:pPr>
                              <w:pStyle w:val="TableParagraph"/>
                              <w:spacing w:before="127" w:line="228" w:lineRule="exact"/>
                              <w:ind w:left="472"/>
                              <w:rPr>
                                <w:b/>
                                <w:sz w:val="21"/>
                              </w:rPr>
                            </w:pPr>
                            <w:r>
                              <w:rPr>
                                <w:b/>
                                <w:color w:val="050505"/>
                                <w:spacing w:val="-4"/>
                                <w:w w:val="105"/>
                                <w:sz w:val="21"/>
                              </w:rPr>
                              <w:t>5,369</w:t>
                            </w:r>
                          </w:p>
                        </w:tc>
                        <w:tc>
                          <w:tcPr>
                            <w:tcW w:w="1255" w:type="dxa"/>
                          </w:tcPr>
                          <w:p>
                            <w:pPr>
                              <w:pStyle w:val="TableParagraph"/>
                              <w:spacing w:before="122" w:line="233" w:lineRule="exact"/>
                              <w:ind w:right="167"/>
                              <w:jc w:val="right"/>
                              <w:rPr>
                                <w:sz w:val="22"/>
                              </w:rPr>
                            </w:pPr>
                            <w:r>
                              <w:rPr>
                                <w:color w:val="050505"/>
                                <w:spacing w:val="-2"/>
                                <w:sz w:val="22"/>
                              </w:rPr>
                              <w:t>(5,369)</w:t>
                            </w:r>
                          </w:p>
                        </w:tc>
                        <w:tc>
                          <w:tcPr>
                            <w:tcW w:w="1274" w:type="dxa"/>
                          </w:tcPr>
                          <w:p>
                            <w:pPr>
                              <w:pStyle w:val="TableParagraph"/>
                              <w:rPr>
                                <w:rFonts w:ascii="Times New Roman"/>
                                <w:sz w:val="20"/>
                              </w:rPr>
                            </w:pPr>
                          </w:p>
                        </w:tc>
                      </w:tr>
                    </w:tbl>
                    <w:p>
                      <w:pPr>
                        <w:pStyle w:val="BodyText"/>
                      </w:pPr>
                    </w:p>
                  </w:txbxContent>
                </v:textbox>
                <w10:wrap type="none"/>
              </v:shape>
            </w:pict>
          </ve:Fallback>
        </ve:AlternateContent>
      </w:r>
      <w:r>
        <w:rPr>
          <w:color w:val="050505"/>
          <w:w w:val="105"/>
        </w:rPr>
        <w:t>Balance at</w:t>
      </w:r>
      <w:r>
        <w:rPr>
          <w:color w:val="050505"/>
          <w:spacing w:val="1"/>
          <w:w w:val="105"/>
        </w:rPr>
        <w:t> </w:t>
      </w:r>
      <w:r>
        <w:rPr>
          <w:color w:val="050505"/>
          <w:w w:val="105"/>
        </w:rPr>
        <w:t>31</w:t>
      </w:r>
      <w:r>
        <w:rPr>
          <w:color w:val="050505"/>
          <w:spacing w:val="-19"/>
          <w:w w:val="105"/>
        </w:rPr>
        <w:t> </w:t>
      </w:r>
      <w:r>
        <w:rPr>
          <w:color w:val="050505"/>
          <w:w w:val="105"/>
        </w:rPr>
        <w:t>March</w:t>
      </w:r>
      <w:r>
        <w:rPr>
          <w:color w:val="050505"/>
          <w:spacing w:val="-3"/>
          <w:w w:val="105"/>
        </w:rPr>
        <w:t> </w:t>
      </w:r>
      <w:r>
        <w:rPr>
          <w:color w:val="050505"/>
          <w:spacing w:val="-4"/>
          <w:w w:val="105"/>
        </w:rPr>
        <w:t>2022</w:t>
      </w:r>
    </w:p>
    <w:p>
      <w:pPr>
        <w:pStyle w:val="BodyText"/>
        <w:spacing w:before="13"/>
      </w:pPr>
    </w:p>
    <w:p>
      <w:pPr>
        <w:pStyle w:val="BodyText"/>
        <w:ind w:left="563" w:right="9764" w:hanging="1"/>
      </w:pPr>
      <w:r>
        <w:rPr>
          <w:color w:val="050505"/>
        </w:rPr>
        <w:t>Total comprehensive income and expenditure Adjustments between</w:t>
      </w:r>
      <w:r>
        <w:rPr>
          <w:color w:val="050505"/>
          <w:spacing w:val="-5"/>
        </w:rPr>
        <w:t> </w:t>
      </w:r>
      <w:r>
        <w:rPr>
          <w:color w:val="050505"/>
        </w:rPr>
        <w:t>accounting</w:t>
      </w:r>
      <w:r>
        <w:rPr>
          <w:color w:val="050505"/>
          <w:spacing w:val="-6"/>
        </w:rPr>
        <w:t> </w:t>
      </w:r>
      <w:r>
        <w:rPr>
          <w:color w:val="050505"/>
        </w:rPr>
        <w:t>&amp;</w:t>
      </w:r>
      <w:r>
        <w:rPr>
          <w:color w:val="050505"/>
          <w:spacing w:val="-16"/>
        </w:rPr>
        <w:t> </w:t>
      </w:r>
      <w:r>
        <w:rPr>
          <w:color w:val="050505"/>
        </w:rPr>
        <w:t>funding</w:t>
      </w:r>
      <w:r>
        <w:rPr>
          <w:color w:val="050505"/>
          <w:spacing w:val="-7"/>
        </w:rPr>
        <w:t> </w:t>
      </w:r>
      <w:r>
        <w:rPr>
          <w:color w:val="050505"/>
        </w:rPr>
        <w:t>basis under regulations</w:t>
      </w:r>
    </w:p>
    <w:p>
      <w:pPr>
        <w:pStyle w:val="BodyText"/>
        <w:spacing w:before="11"/>
        <w:rPr>
          <w:sz w:val="20"/>
        </w:rPr>
      </w:pPr>
      <w:r>
        <w:rPr/>
        <ve:AlternateContent>
          <ve:Choice Requires="wps">
            <w:drawing>
              <wp:anchor distT="0" distB="0" distL="0" distR="0" simplePos="0" relativeHeight="487608320" behindDoc="1" locked="0" layoutInCell="1" allowOverlap="1">
                <wp:simplePos x="0" y="0"/>
                <wp:positionH relativeFrom="page">
                  <wp:posOffset>4911064</wp:posOffset>
                </wp:positionH>
                <wp:positionV relativeFrom="paragraph">
                  <wp:posOffset>168367</wp:posOffset>
                </wp:positionV>
                <wp:extent cx="4721860" cy="1270"/>
                <wp:effectExtent l="0" t="0" r="0" b="0"/>
                <wp:wrapTopAndBottom/>
                <wp:docPr id="104" name="Graphic 104"/>
                <wp:cNvGraphicFramePr>
                  <a:graphicFrameLocks/>
                </wp:cNvGraphicFramePr>
                <a:graphic>
                  <a:graphicData uri="http://schemas.microsoft.com/office/word/2010/wordprocessingShape">
                    <wps:wsp>
                      <wps:cNvPr id="104" name="Graphic 104"/>
                      <wps:cNvSpPr/>
                      <wps:spPr>
                        <a:xfrm>
                          <a:off x="0" y="0"/>
                          <a:ext cx="4721860" cy="1270"/>
                        </a:xfrm>
                        <a:custGeom>
                          <a:avLst/>
                          <a:gdLst/>
                          <a:ahLst/>
                          <a:cxnLst/>
                          <a:rect l="l" t="t" r="r" b="b"/>
                          <a:pathLst>
                            <a:path w="4721860" h="0">
                              <a:moveTo>
                                <a:pt x="0" y="0"/>
                              </a:moveTo>
                              <a:lnTo>
                                <a:pt x="4721707"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60" style="position:absolute;margin-left:386.697998pt;margin-top:13.257316pt;width:371.8pt;height:.1pt;mso-position-horizontal-relative:page;mso-position-vertical-relative:paragraph;z-index:-15708160;mso-wrap-distance-left:0;mso-wrap-distance-right:0" coordsize="7436,0" coordorigin="7734,265" filled="false" stroked="true" strokecolor="#000000" strokeweight=".721232pt" path="m7734,265l15170,265e">
                <v:path arrowok="t"/>
                <v:stroke dashstyle="solid"/>
                <w10:wrap type="topAndBottom"/>
              </v:shape>
            </w:pict>
          </ve:Fallback>
        </ve:AlternateContent>
      </w:r>
    </w:p>
    <w:p>
      <w:pPr>
        <w:tabs>
          <w:tab w:val="left" w:leader="none" w:pos="6993"/>
          <w:tab w:val="left" w:leader="none" w:pos="7511"/>
          <w:tab w:val="left" w:leader="none" w:pos="8950"/>
          <w:tab w:val="left" w:leader="none" w:pos="9926"/>
          <w:tab w:val="left" w:leader="none" w:pos="11121"/>
          <w:tab w:val="left" w:leader="none" w:pos="12215"/>
          <w:tab w:val="left" w:leader="none" w:pos="13598"/>
        </w:tabs>
        <w:spacing w:before="7"/>
        <w:ind w:left="563" w:right="0" w:firstLine="0"/>
        <w:jc w:val="left"/>
        <w:rPr>
          <w:sz w:val="22"/>
        </w:rPr>
      </w:pPr>
      <w:r>
        <w:rPr>
          <w:color w:val="050505"/>
          <w:w w:val="105"/>
          <w:sz w:val="22"/>
        </w:rPr>
        <w:t>Total (increase)/</w:t>
      </w:r>
      <w:r>
        <w:rPr>
          <w:color w:val="050505"/>
          <w:spacing w:val="35"/>
          <w:w w:val="105"/>
          <w:sz w:val="22"/>
        </w:rPr>
        <w:t> </w:t>
      </w:r>
      <w:r>
        <w:rPr>
          <w:color w:val="050505"/>
          <w:w w:val="105"/>
          <w:sz w:val="22"/>
        </w:rPr>
        <w:t>decrease</w:t>
      </w:r>
      <w:r>
        <w:rPr>
          <w:color w:val="050505"/>
          <w:spacing w:val="29"/>
          <w:w w:val="105"/>
          <w:sz w:val="22"/>
        </w:rPr>
        <w:t> </w:t>
      </w:r>
      <w:r>
        <w:rPr>
          <w:color w:val="050505"/>
          <w:w w:val="105"/>
          <w:sz w:val="22"/>
        </w:rPr>
        <w:t>during</w:t>
      </w:r>
      <w:r>
        <w:rPr>
          <w:color w:val="050505"/>
          <w:spacing w:val="12"/>
          <w:w w:val="105"/>
          <w:sz w:val="22"/>
        </w:rPr>
        <w:t> </w:t>
      </w:r>
      <w:r>
        <w:rPr>
          <w:color w:val="050505"/>
          <w:w w:val="105"/>
          <w:sz w:val="22"/>
        </w:rPr>
        <w:t>the</w:t>
      </w:r>
      <w:r>
        <w:rPr>
          <w:color w:val="050505"/>
          <w:spacing w:val="14"/>
          <w:w w:val="105"/>
          <w:sz w:val="22"/>
        </w:rPr>
        <w:t> </w:t>
      </w:r>
      <w:r>
        <w:rPr>
          <w:color w:val="050505"/>
          <w:spacing w:val="-4"/>
          <w:w w:val="105"/>
          <w:sz w:val="22"/>
        </w:rPr>
        <w:t>year</w:t>
      </w:r>
      <w:r>
        <w:rPr>
          <w:color w:val="050505"/>
          <w:sz w:val="22"/>
        </w:rPr>
        <w:tab/>
      </w:r>
      <w:r>
        <w:rPr>
          <w:b/>
          <w:color w:val="050505"/>
          <w:sz w:val="21"/>
          <w:u w:val="single" w:color="000000"/>
        </w:rPr>
        <w:tab/>
      </w:r>
      <w:r>
        <w:rPr>
          <w:b/>
          <w:color w:val="050505"/>
          <w:spacing w:val="-2"/>
          <w:w w:val="105"/>
          <w:sz w:val="21"/>
          <w:u w:val="single" w:color="000000"/>
        </w:rPr>
        <w:t>(2,458)</w:t>
      </w:r>
      <w:r>
        <w:rPr>
          <w:b/>
          <w:color w:val="050505"/>
          <w:sz w:val="21"/>
          <w:u w:val="single" w:color="000000"/>
        </w:rPr>
        <w:tab/>
      </w:r>
      <w:r>
        <w:rPr>
          <w:b/>
          <w:color w:val="050505"/>
          <w:w w:val="105"/>
          <w:position w:val="1"/>
          <w:sz w:val="21"/>
          <w:u w:val="single" w:color="000000"/>
        </w:rPr>
        <w:t>(52) </w:t>
      </w:r>
      <w:r>
        <w:rPr>
          <w:b/>
          <w:color w:val="050505"/>
          <w:position w:val="1"/>
          <w:sz w:val="21"/>
          <w:u w:val="none"/>
        </w:rPr>
        <w:tab/>
      </w:r>
      <w:r>
        <w:rPr>
          <w:b/>
          <w:color w:val="050505"/>
          <w:w w:val="105"/>
          <w:sz w:val="21"/>
          <w:u w:val="none"/>
        </w:rPr>
        <w:t>(1,629}</w:t>
      </w:r>
      <w:r>
        <w:rPr>
          <w:b/>
          <w:color w:val="050505"/>
          <w:spacing w:val="68"/>
          <w:w w:val="105"/>
          <w:sz w:val="21"/>
          <w:u w:val="none"/>
        </w:rPr>
        <w:t> </w:t>
      </w:r>
      <w:r>
        <w:rPr>
          <w:color w:val="050505"/>
          <w:sz w:val="22"/>
          <w:u w:val="single" w:color="000000"/>
        </w:rPr>
        <w:tab/>
      </w:r>
      <w:r>
        <w:rPr>
          <w:color w:val="050505"/>
          <w:spacing w:val="-2"/>
          <w:w w:val="105"/>
          <w:sz w:val="22"/>
          <w:u w:val="single" w:color="000000"/>
        </w:rPr>
        <w:t>(4,139)</w:t>
      </w:r>
      <w:r>
        <w:rPr>
          <w:color w:val="050505"/>
          <w:sz w:val="22"/>
          <w:u w:val="single" w:color="000000"/>
        </w:rPr>
        <w:tab/>
      </w:r>
      <w:r>
        <w:rPr>
          <w:b/>
          <w:color w:val="050505"/>
          <w:spacing w:val="-2"/>
          <w:w w:val="105"/>
          <w:position w:val="1"/>
          <w:sz w:val="21"/>
          <w:u w:val="single" w:color="000000"/>
        </w:rPr>
        <w:t>(56,374)</w:t>
      </w:r>
      <w:r>
        <w:rPr>
          <w:b/>
          <w:color w:val="050505"/>
          <w:position w:val="1"/>
          <w:sz w:val="21"/>
          <w:u w:val="single" w:color="000000"/>
        </w:rPr>
        <w:tab/>
      </w:r>
      <w:r>
        <w:rPr>
          <w:color w:val="050505"/>
          <w:spacing w:val="-2"/>
          <w:w w:val="105"/>
          <w:position w:val="1"/>
          <w:sz w:val="22"/>
          <w:u w:val="single" w:color="000000"/>
        </w:rPr>
        <w:t>(60,513</w:t>
      </w:r>
      <w:r>
        <w:rPr>
          <w:color w:val="050505"/>
          <w:spacing w:val="40"/>
          <w:w w:val="105"/>
          <w:position w:val="1"/>
          <w:sz w:val="22"/>
          <w:u w:val="single" w:color="000000"/>
        </w:rPr>
        <w:t> </w:t>
      </w:r>
    </w:p>
    <w:p>
      <w:pPr>
        <w:pStyle w:val="BodyText"/>
        <w:spacing w:before="12"/>
        <w:rPr>
          <w:sz w:val="20"/>
        </w:rPr>
      </w:pPr>
      <w:r>
        <w:rPr/>
        <ve:AlternateContent>
          <ve:Choice Requires="wps">
            <w:drawing>
              <wp:anchor distT="0" distB="0" distL="0" distR="0" simplePos="0" relativeHeight="487608832" behindDoc="1" locked="0" layoutInCell="1" allowOverlap="1">
                <wp:simplePos x="0" y="0"/>
                <wp:positionH relativeFrom="page">
                  <wp:posOffset>4911064</wp:posOffset>
                </wp:positionH>
                <wp:positionV relativeFrom="paragraph">
                  <wp:posOffset>168997</wp:posOffset>
                </wp:positionV>
                <wp:extent cx="4721860" cy="1270"/>
                <wp:effectExtent l="0" t="0" r="0" b="0"/>
                <wp:wrapTopAndBottom/>
                <wp:docPr id="105" name="Graphic 105"/>
                <wp:cNvGraphicFramePr>
                  <a:graphicFrameLocks/>
                </wp:cNvGraphicFramePr>
                <a:graphic>
                  <a:graphicData uri="http://schemas.microsoft.com/office/word/2010/wordprocessingShape">
                    <wps:wsp>
                      <wps:cNvPr id="105" name="Graphic 105"/>
                      <wps:cNvSpPr/>
                      <wps:spPr>
                        <a:xfrm>
                          <a:off x="0" y="0"/>
                          <a:ext cx="4721860" cy="1270"/>
                        </a:xfrm>
                        <a:custGeom>
                          <a:avLst/>
                          <a:gdLst/>
                          <a:ahLst/>
                          <a:cxnLst/>
                          <a:rect l="l" t="t" r="r" b="b"/>
                          <a:pathLst>
                            <a:path w="4721860" h="0">
                              <a:moveTo>
                                <a:pt x="0" y="0"/>
                              </a:moveTo>
                              <a:lnTo>
                                <a:pt x="4721707"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61" style="position:absolute;margin-left:386.697998pt;margin-top:13.306861pt;width:371.8pt;height:.1pt;mso-position-horizontal-relative:page;mso-position-vertical-relative:paragraph;z-index:-15707648;mso-wrap-distance-left:0;mso-wrap-distance-right:0" coordsize="7436,0" coordorigin="7734,266" filled="false" stroked="true" strokecolor="#000000" strokeweight=".721232pt" path="m7734,266l15170,266e">
                <v:path arrowok="t"/>
                <v:stroke dashstyle="solid"/>
                <w10:wrap type="topAndBottom"/>
              </v:shape>
            </w:pict>
          </ve:Fallback>
        </ve:AlternateContent>
      </w:r>
    </w:p>
    <w:p>
      <w:pPr>
        <w:tabs>
          <w:tab w:val="left" w:leader="none" w:pos="7384"/>
          <w:tab w:val="left" w:leader="none" w:pos="8642"/>
          <w:tab w:val="left" w:leader="none" w:pos="9806"/>
          <w:tab w:val="left" w:leader="none" w:pos="11001"/>
          <w:tab w:val="left" w:leader="none" w:pos="12088"/>
          <w:tab w:val="left" w:leader="none" w:pos="13475"/>
        </w:tabs>
        <w:spacing w:before="45"/>
        <w:ind w:left="556" w:right="0" w:firstLine="0"/>
        <w:jc w:val="left"/>
        <w:rPr>
          <w:b/>
          <w:sz w:val="21"/>
        </w:rPr>
      </w:pPr>
      <w:r>
        <w:rPr>
          <w:color w:val="050505"/>
          <w:w w:val="105"/>
          <w:sz w:val="22"/>
        </w:rPr>
        <w:t>Balance at</w:t>
      </w:r>
      <w:r>
        <w:rPr>
          <w:color w:val="050505"/>
          <w:spacing w:val="1"/>
          <w:w w:val="105"/>
          <w:sz w:val="22"/>
        </w:rPr>
        <w:t> </w:t>
      </w:r>
      <w:r>
        <w:rPr>
          <w:color w:val="050505"/>
          <w:w w:val="105"/>
          <w:sz w:val="22"/>
        </w:rPr>
        <w:t>31</w:t>
      </w:r>
      <w:r>
        <w:rPr>
          <w:color w:val="050505"/>
          <w:spacing w:val="-17"/>
          <w:w w:val="105"/>
          <w:sz w:val="22"/>
        </w:rPr>
        <w:t> </w:t>
      </w:r>
      <w:r>
        <w:rPr>
          <w:color w:val="050505"/>
          <w:w w:val="105"/>
          <w:sz w:val="22"/>
        </w:rPr>
        <w:t>March </w:t>
      </w:r>
      <w:r>
        <w:rPr>
          <w:color w:val="050505"/>
          <w:spacing w:val="-4"/>
          <w:w w:val="105"/>
          <w:sz w:val="22"/>
        </w:rPr>
        <w:t>2023</w:t>
      </w:r>
      <w:r>
        <w:rPr>
          <w:color w:val="050505"/>
          <w:sz w:val="22"/>
        </w:rPr>
        <w:tab/>
      </w:r>
      <w:r>
        <w:rPr>
          <w:color w:val="050505"/>
          <w:spacing w:val="-2"/>
          <w:w w:val="105"/>
          <w:sz w:val="22"/>
        </w:rPr>
        <w:t>(42,735)</w:t>
      </w:r>
      <w:r>
        <w:rPr>
          <w:color w:val="050505"/>
          <w:sz w:val="22"/>
        </w:rPr>
        <w:tab/>
      </w:r>
      <w:r>
        <w:rPr>
          <w:b/>
          <w:color w:val="050505"/>
          <w:w w:val="105"/>
          <w:position w:val="-3"/>
          <w:sz w:val="21"/>
          <w:u w:val="thick" w:color="050505"/>
        </w:rPr>
        <w:t>(5,138)</w:t>
      </w:r>
      <w:r>
        <w:rPr>
          <w:b/>
          <w:color w:val="050505"/>
          <w:w w:val="105"/>
          <w:position w:val="-3"/>
          <w:sz w:val="21"/>
          <w:u w:val="none"/>
        </w:rPr>
        <w:t> </w:t>
      </w:r>
      <w:r>
        <w:rPr>
          <w:b/>
          <w:color w:val="050505"/>
          <w:position w:val="-4"/>
          <w:sz w:val="21"/>
          <w:u w:val="single" w:color="000000"/>
        </w:rPr>
        <w:tab/>
      </w:r>
      <w:r>
        <w:rPr>
          <w:b/>
          <w:color w:val="050505"/>
          <w:w w:val="120"/>
          <w:position w:val="-4"/>
          <w:sz w:val="21"/>
          <w:u w:val="single" w:color="000000"/>
        </w:rPr>
        <w:t>(19,95</w:t>
      </w:r>
      <w:r>
        <w:rPr>
          <w:b/>
          <w:color w:val="050505"/>
          <w:spacing w:val="40"/>
          <w:w w:val="120"/>
          <w:position w:val="-4"/>
          <w:sz w:val="21"/>
          <w:u w:val="single" w:color="000000"/>
        </w:rPr>
        <w:t> </w:t>
      </w:r>
      <w:r>
        <w:rPr>
          <w:b/>
          <w:color w:val="050505"/>
          <w:position w:val="-4"/>
          <w:sz w:val="21"/>
          <w:u w:val="none"/>
        </w:rPr>
        <w:tab/>
      </w:r>
      <w:r>
        <w:rPr>
          <w:color w:val="050505"/>
          <w:spacing w:val="-2"/>
          <w:w w:val="105"/>
          <w:position w:val="1"/>
          <w:sz w:val="22"/>
          <w:u w:val="none"/>
        </w:rPr>
        <w:t>(67,827)</w:t>
      </w:r>
      <w:r>
        <w:rPr>
          <w:color w:val="050505"/>
          <w:position w:val="1"/>
          <w:sz w:val="22"/>
          <w:u w:val="none"/>
        </w:rPr>
        <w:tab/>
      </w:r>
      <w:r>
        <w:rPr>
          <w:color w:val="050505"/>
          <w:spacing w:val="-2"/>
          <w:w w:val="105"/>
          <w:position w:val="1"/>
          <w:sz w:val="22"/>
          <w:u w:val="none"/>
        </w:rPr>
        <w:t>(173,653)</w:t>
      </w:r>
      <w:r>
        <w:rPr>
          <w:color w:val="050505"/>
          <w:position w:val="1"/>
          <w:sz w:val="22"/>
          <w:u w:val="none"/>
        </w:rPr>
        <w:tab/>
      </w:r>
      <w:r>
        <w:rPr>
          <w:b/>
          <w:color w:val="050505"/>
          <w:spacing w:val="-2"/>
          <w:w w:val="105"/>
          <w:position w:val="2"/>
          <w:sz w:val="21"/>
          <w:u w:val="none"/>
        </w:rPr>
        <w:t>(241,480)</w:t>
      </w:r>
    </w:p>
    <w:p>
      <w:pPr>
        <w:pStyle w:val="BodyText"/>
        <w:rPr>
          <w:b/>
          <w:sz w:val="19"/>
        </w:rPr>
      </w:pPr>
    </w:p>
    <w:p>
      <w:pPr>
        <w:pStyle w:val="BodyText"/>
        <w:rPr>
          <w:b/>
          <w:sz w:val="19"/>
        </w:rPr>
      </w:pPr>
    </w:p>
    <w:p>
      <w:pPr>
        <w:pStyle w:val="BodyText"/>
        <w:rPr>
          <w:b/>
          <w:sz w:val="19"/>
        </w:rPr>
      </w:pPr>
    </w:p>
    <w:p>
      <w:pPr>
        <w:pStyle w:val="BodyText"/>
        <w:rPr>
          <w:b/>
          <w:sz w:val="19"/>
        </w:rPr>
      </w:pPr>
    </w:p>
    <w:p>
      <w:pPr>
        <w:pStyle w:val="BodyText"/>
        <w:rPr>
          <w:b/>
          <w:sz w:val="19"/>
        </w:rPr>
      </w:pPr>
    </w:p>
    <w:p>
      <w:pPr>
        <w:pStyle w:val="BodyText"/>
        <w:spacing w:before="65"/>
        <w:rPr>
          <w:b/>
          <w:sz w:val="19"/>
        </w:rPr>
      </w:pPr>
    </w:p>
    <w:p>
      <w:pPr>
        <w:spacing w:before="0"/>
        <w:ind w:left="0" w:right="104" w:firstLine="0"/>
        <w:jc w:val="right"/>
        <w:rPr>
          <w:sz w:val="19"/>
        </w:rPr>
      </w:pPr>
      <w:r>
        <w:rPr>
          <w:color w:val="050505"/>
          <w:spacing w:val="-5"/>
          <w:w w:val="105"/>
          <w:sz w:val="19"/>
        </w:rPr>
        <w:t>33</w:t>
      </w:r>
    </w:p>
    <w:p>
      <w:pPr>
        <w:spacing w:after="0"/>
        <w:jc w:val="right"/>
        <w:rPr>
          <w:sz w:val="19"/>
        </w:rPr>
        <w:sectPr>
          <w:headerReference w:type="default" r:id="rId72"/>
          <w:footerReference w:type="default" r:id="rId73"/>
          <w:pgSz w:w="16830" w:h="11910" w:orient="landscape"/>
          <w:pgMar w:top="760" w:right="460" w:bottom="280" w:left="740" w:header="0" w:footer="0"/>
        </w:sectPr>
      </w:pPr>
    </w:p>
    <w:p>
      <w:pPr>
        <w:pStyle w:val="BodyText"/>
        <w:spacing w:line="20" w:lineRule="exact"/>
        <w:ind w:left="10726"/>
        <w:rPr>
          <w:sz w:val="2"/>
        </w:rPr>
      </w:pPr>
      <w:r>
        <w:rPr/>
        <ve:AlternateContent>
          <ve:Choice Requires="wps">
            <w:drawing>
              <wp:anchor distT="0" distB="0" distL="0" distR="0" simplePos="0" relativeHeight="15753728" behindDoc="0" locked="0" layoutInCell="1" allowOverlap="1">
                <wp:simplePos x="0" y="0"/>
                <wp:positionH relativeFrom="page">
                  <wp:posOffset>10017593</wp:posOffset>
                </wp:positionH>
                <wp:positionV relativeFrom="page">
                  <wp:posOffset>132091</wp:posOffset>
                </wp:positionV>
                <wp:extent cx="669290" cy="9525"/>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669290" cy="9525"/>
                        </a:xfrm>
                        <a:custGeom>
                          <a:avLst/>
                          <a:gdLst/>
                          <a:ahLst/>
                          <a:cxnLst/>
                          <a:rect l="l" t="t" r="r" b="b"/>
                          <a:pathLst>
                            <a:path w="669290" h="9525">
                              <a:moveTo>
                                <a:pt x="668693" y="9159"/>
                              </a:moveTo>
                              <a:lnTo>
                                <a:pt x="0" y="9159"/>
                              </a:lnTo>
                              <a:lnTo>
                                <a:pt x="0" y="0"/>
                              </a:lnTo>
                              <a:lnTo>
                                <a:pt x="668693" y="0"/>
                              </a:lnTo>
                              <a:lnTo>
                                <a:pt x="668693" y="9159"/>
                              </a:lnTo>
                              <a:close/>
                            </a:path>
                          </a:pathLst>
                        </a:custGeom>
                        <a:solidFill>
                          <a:srgbClr val="000000"/>
                        </a:solidFill>
                      </wps:spPr>
                      <wps:bodyPr wrap="square" lIns="0" tIns="0" rIns="0" bIns="0" rtlCol="0">
                        <a:prstTxWarp prst="textNoShape">
                          <a:avLst/>
                        </a:prstTxWarp>
                        <a:noAutofit/>
                      </wps:bodyPr>
                    </wps:wsp>
                  </a:graphicData>
                </a:graphic>
              </wp:anchor>
            </w:drawing>
          </ve:Choice>
          <ve:Fallback>
            <w:pict>
              <v:rect id="docshape62" style="position:absolute;margin-left:788.786926pt;margin-top:10.400904pt;width:52.653048pt;height:.721232pt;mso-position-horizontal-relative:page;mso-position-vertical-relative:page;z-index:15753728" filled="true" fillcolor="#000000" stroked="false">
                <v:fill type="solid"/>
                <w10:wrap type="none"/>
              </v:rect>
            </w:pict>
          </ve:Fallback>
        </ve:AlternateContent>
      </w:r>
      <w:r>
        <w:rPr>
          <w:sz w:val="2"/>
        </w:rPr>
        <ve:AlternateContent>
          <ve:Choice Requires="wps">
            <w:drawing>
              <wp:inline distT="0" distB="0" distL="0" distR="0">
                <wp:extent cx="1099820" cy="6350"/>
                <wp:effectExtent l="9525" t="0" r="0" b="3175"/>
                <wp:docPr id="107" name="Group 107"/>
                <wp:cNvGraphicFramePr>
                  <a:graphicFrameLocks/>
                </wp:cNvGraphicFramePr>
                <a:graphic>
                  <a:graphicData uri="http://schemas.microsoft.com/office/word/2010/wordprocessingGroup">
                    <wpg:wgp>
                      <wpg:cNvPr id="107" name="Group 107"/>
                      <wpg:cNvGrpSpPr/>
                      <wpg:grpSpPr>
                        <a:xfrm>
                          <a:off x="0" y="0"/>
                          <a:ext cx="1099820" cy="6350"/>
                          <a:chExt cx="1099820" cy="6350"/>
                        </a:xfrm>
                      </wpg:grpSpPr>
                      <wps:wsp>
                        <wps:cNvPr id="108" name="Graphic 108"/>
                        <wps:cNvSpPr/>
                        <wps:spPr>
                          <a:xfrm>
                            <a:off x="0" y="3053"/>
                            <a:ext cx="1099820" cy="1270"/>
                          </a:xfrm>
                          <a:custGeom>
                            <a:avLst/>
                            <a:gdLst/>
                            <a:ahLst/>
                            <a:cxnLst/>
                            <a:rect l="l" t="t" r="r" b="b"/>
                            <a:pathLst>
                              <a:path w="1099820" h="0">
                                <a:moveTo>
                                  <a:pt x="0" y="0"/>
                                </a:moveTo>
                                <a:lnTo>
                                  <a:pt x="1099492" y="0"/>
                                </a:lnTo>
                              </a:path>
                            </a:pathLst>
                          </a:custGeom>
                          <a:ln w="6106">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63" style="width:86.6pt;height:.5pt;mso-position-horizontal-relative:char;mso-position-vertical-relative:line" coordsize="1732,10" coordorigin="0,0">
                <v:line style="position:absolute" stroked="true" strokecolor="#000000" strokeweight=".480821pt" from="0,5" to="1731,5">
                  <v:stroke dashstyle="solid"/>
                </v:line>
              </v:group>
            </w:pict>
          </ve:Fallback>
        </ve:AlternateContent>
      </w:r>
      <w:r>
        <w:rPr>
          <w:sz w:val="2"/>
        </w:rPr>
      </w:r>
    </w:p>
    <w:p>
      <w:pPr>
        <w:pStyle w:val="BodyText"/>
        <w:spacing w:line="20" w:lineRule="exact"/>
        <w:ind w:left="12881"/>
        <w:rPr>
          <w:sz w:val="2"/>
        </w:rPr>
      </w:pPr>
      <w:r>
        <w:rPr>
          <w:sz w:val="2"/>
        </w:rPr>
        <ve:AlternateContent>
          <ve:Choice Requires="wps">
            <w:drawing>
              <wp:inline distT="0" distB="0" distL="0" distR="0">
                <wp:extent cx="561975" cy="3175"/>
                <wp:effectExtent l="9525" t="0" r="0" b="6350"/>
                <wp:docPr id="109" name="Group 109"/>
                <wp:cNvGraphicFramePr>
                  <a:graphicFrameLocks/>
                </wp:cNvGraphicFramePr>
                <a:graphic>
                  <a:graphicData uri="http://schemas.microsoft.com/office/word/2010/wordprocessingGroup">
                    <wpg:wgp>
                      <wpg:cNvPr id="109" name="Group 109"/>
                      <wpg:cNvGrpSpPr/>
                      <wpg:grpSpPr>
                        <a:xfrm>
                          <a:off x="0" y="0"/>
                          <a:ext cx="561975" cy="3175"/>
                          <a:chExt cx="561975" cy="3175"/>
                        </a:xfrm>
                      </wpg:grpSpPr>
                      <wps:wsp>
                        <wps:cNvPr id="110" name="Graphic 110"/>
                        <wps:cNvSpPr/>
                        <wps:spPr>
                          <a:xfrm>
                            <a:off x="0" y="1526"/>
                            <a:ext cx="561975" cy="1270"/>
                          </a:xfrm>
                          <a:custGeom>
                            <a:avLst/>
                            <a:gdLst/>
                            <a:ahLst/>
                            <a:cxnLst/>
                            <a:rect l="l" t="t" r="r" b="b"/>
                            <a:pathLst>
                              <a:path w="561975" h="0">
                                <a:moveTo>
                                  <a:pt x="0" y="0"/>
                                </a:moveTo>
                                <a:lnTo>
                                  <a:pt x="561962" y="0"/>
                                </a:lnTo>
                              </a:path>
                            </a:pathLst>
                          </a:custGeom>
                          <a:ln w="3053">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64" style="width:44.25pt;height:.25pt;mso-position-horizontal-relative:char;mso-position-vertical-relative:line" coordsize="885,5" coordorigin="0,0">
                <v:line style="position:absolute" stroked="true" strokecolor="#000000" strokeweight=".240411pt" from="0,2" to="885,2">
                  <v:stroke dashstyle="solid"/>
                </v:line>
              </v:group>
            </w:pict>
          </ve:Fallback>
        </ve:AlternateContent>
      </w:r>
      <w:r>
        <w:rPr>
          <w:sz w:val="2"/>
        </w:rPr>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2"/>
        <w:rPr>
          <w:sz w:val="14"/>
        </w:rPr>
      </w:pPr>
    </w:p>
    <w:p>
      <w:pPr>
        <w:spacing w:before="0"/>
        <w:ind w:left="100" w:right="0" w:firstLine="0"/>
        <w:jc w:val="left"/>
        <w:rPr>
          <w:sz w:val="14"/>
        </w:rPr>
      </w:pPr>
      <w:r>
        <w:rPr>
          <w:color w:val="707070"/>
          <w:w w:val="120"/>
          <w:sz w:val="14"/>
        </w:rPr>
        <w:t>PRESEN</w:t>
      </w:r>
      <w:r>
        <w:rPr>
          <w:color w:val="707070"/>
          <w:spacing w:val="-12"/>
          <w:w w:val="120"/>
          <w:sz w:val="14"/>
        </w:rPr>
        <w:t> </w:t>
      </w:r>
      <w:r>
        <w:rPr>
          <w:color w:val="707070"/>
          <w:w w:val="120"/>
          <w:sz w:val="14"/>
        </w:rPr>
        <w:t>fATION</w:t>
      </w:r>
      <w:r>
        <w:rPr>
          <w:color w:val="707070"/>
          <w:spacing w:val="-11"/>
          <w:w w:val="120"/>
          <w:sz w:val="14"/>
        </w:rPr>
        <w:t> </w:t>
      </w:r>
      <w:r>
        <w:rPr>
          <w:color w:val="707070"/>
          <w:w w:val="120"/>
          <w:sz w:val="14"/>
        </w:rPr>
        <w:t>OF</w:t>
      </w:r>
      <w:r>
        <w:rPr>
          <w:color w:val="707070"/>
          <w:spacing w:val="26"/>
          <w:w w:val="120"/>
          <w:sz w:val="14"/>
        </w:rPr>
        <w:t> </w:t>
      </w:r>
      <w:r>
        <w:rPr>
          <w:color w:val="545454"/>
          <w:w w:val="120"/>
          <w:sz w:val="15"/>
        </w:rPr>
        <w:t>i</w:t>
      </w:r>
      <w:r>
        <w:rPr>
          <w:color w:val="545454"/>
          <w:spacing w:val="-12"/>
          <w:w w:val="120"/>
          <w:sz w:val="15"/>
        </w:rPr>
        <w:t> </w:t>
      </w:r>
      <w:r>
        <w:rPr>
          <w:color w:val="707070"/>
          <w:w w:val="120"/>
          <w:sz w:val="14"/>
        </w:rPr>
        <w:t>HE</w:t>
      </w:r>
      <w:r>
        <w:rPr>
          <w:color w:val="707070"/>
          <w:spacing w:val="1"/>
          <w:w w:val="120"/>
          <w:sz w:val="14"/>
        </w:rPr>
        <w:t> </w:t>
      </w:r>
      <w:r>
        <w:rPr>
          <w:color w:val="707070"/>
          <w:w w:val="120"/>
          <w:sz w:val="14"/>
        </w:rPr>
        <w:t>FINANLIAl</w:t>
      </w:r>
      <w:r>
        <w:rPr>
          <w:color w:val="707070"/>
          <w:spacing w:val="27"/>
          <w:w w:val="120"/>
          <w:sz w:val="14"/>
        </w:rPr>
        <w:t>  </w:t>
      </w:r>
      <w:r>
        <w:rPr>
          <w:color w:val="707070"/>
          <w:w w:val="120"/>
          <w:sz w:val="14"/>
        </w:rPr>
        <w:t>;</w:t>
      </w:r>
      <w:r>
        <w:rPr>
          <w:color w:val="707070"/>
          <w:spacing w:val="-33"/>
          <w:w w:val="120"/>
          <w:sz w:val="14"/>
        </w:rPr>
        <w:t> </w:t>
      </w:r>
      <w:r>
        <w:rPr>
          <w:color w:val="707070"/>
          <w:w w:val="120"/>
          <w:sz w:val="15"/>
        </w:rPr>
        <w:t>iA</w:t>
      </w:r>
      <w:r>
        <w:rPr>
          <w:color w:val="707070"/>
          <w:spacing w:val="-5"/>
          <w:w w:val="120"/>
          <w:sz w:val="15"/>
        </w:rPr>
        <w:t> </w:t>
      </w:r>
      <w:r>
        <w:rPr>
          <w:color w:val="707070"/>
          <w:w w:val="120"/>
          <w:sz w:val="14"/>
        </w:rPr>
        <w:t>lTMENI</w:t>
      </w:r>
      <w:r>
        <w:rPr>
          <w:color w:val="707070"/>
          <w:spacing w:val="-21"/>
          <w:w w:val="120"/>
          <w:sz w:val="14"/>
        </w:rPr>
        <w:t> </w:t>
      </w:r>
      <w:r>
        <w:rPr>
          <w:color w:val="8A8A8A"/>
          <w:spacing w:val="-10"/>
          <w:w w:val="120"/>
          <w:sz w:val="14"/>
        </w:rPr>
        <w:t>S</w:t>
      </w:r>
    </w:p>
    <w:p>
      <w:pPr>
        <w:pStyle w:val="BodyText"/>
        <w:spacing w:before="90"/>
        <w:rPr>
          <w:sz w:val="14"/>
        </w:rPr>
      </w:pPr>
    </w:p>
    <w:p>
      <w:pPr>
        <w:pStyle w:val="ListParagraph"/>
        <w:numPr>
          <w:ilvl w:val="1"/>
          <w:numId w:val="10"/>
        </w:numPr>
        <w:tabs>
          <w:tab w:val="left" w:leader="none" w:pos="817"/>
        </w:tabs>
        <w:spacing w:before="0" w:after="0" w:line="240" w:lineRule="auto"/>
        <w:ind w:left="817" w:right="0" w:hanging="715"/>
        <w:jc w:val="left"/>
        <w:rPr>
          <w:b/>
          <w:color w:val="545454"/>
          <w:position w:val="2"/>
          <w:sz w:val="21"/>
        </w:rPr>
      </w:pPr>
      <w:r>
        <w:rPr>
          <w:b/>
          <w:color w:val="545454"/>
          <w:w w:val="105"/>
          <w:sz w:val="21"/>
        </w:rPr>
        <w:t>Comprehensive</w:t>
      </w:r>
      <w:r>
        <w:rPr>
          <w:b/>
          <w:color w:val="545454"/>
          <w:spacing w:val="-5"/>
          <w:w w:val="105"/>
          <w:sz w:val="21"/>
        </w:rPr>
        <w:t> </w:t>
      </w:r>
      <w:r>
        <w:rPr>
          <w:b/>
          <w:color w:val="545454"/>
          <w:w w:val="105"/>
          <w:sz w:val="21"/>
        </w:rPr>
        <w:t>Income</w:t>
      </w:r>
      <w:r>
        <w:rPr>
          <w:b/>
          <w:color w:val="545454"/>
          <w:spacing w:val="-16"/>
          <w:w w:val="105"/>
          <w:sz w:val="21"/>
        </w:rPr>
        <w:t> </w:t>
      </w:r>
      <w:r>
        <w:rPr>
          <w:b/>
          <w:color w:val="545454"/>
          <w:w w:val="105"/>
          <w:sz w:val="21"/>
        </w:rPr>
        <w:t>and</w:t>
      </w:r>
      <w:r>
        <w:rPr>
          <w:b/>
          <w:color w:val="545454"/>
          <w:spacing w:val="-15"/>
          <w:w w:val="105"/>
          <w:sz w:val="21"/>
        </w:rPr>
        <w:t> </w:t>
      </w:r>
      <w:r>
        <w:rPr>
          <w:b/>
          <w:color w:val="545454"/>
          <w:w w:val="105"/>
          <w:sz w:val="21"/>
        </w:rPr>
        <w:t>Expenditure</w:t>
      </w:r>
      <w:r>
        <w:rPr>
          <w:b/>
          <w:color w:val="545454"/>
          <w:spacing w:val="-10"/>
          <w:w w:val="105"/>
          <w:sz w:val="21"/>
        </w:rPr>
        <w:t> </w:t>
      </w:r>
      <w:r>
        <w:rPr>
          <w:b/>
          <w:color w:val="545454"/>
          <w:spacing w:val="-2"/>
          <w:w w:val="105"/>
          <w:sz w:val="21"/>
        </w:rPr>
        <w:t>Statement</w:t>
      </w:r>
    </w:p>
    <w:p>
      <w:pPr>
        <w:pStyle w:val="BodyText"/>
        <w:spacing w:before="8"/>
        <w:rPr>
          <w:b/>
          <w:sz w:val="21"/>
        </w:rPr>
      </w:pPr>
    </w:p>
    <w:p>
      <w:pPr>
        <w:tabs>
          <w:tab w:val="left" w:leader="none" w:pos="13899"/>
        </w:tabs>
        <w:spacing w:before="0" w:line="276" w:lineRule="exact"/>
        <w:ind w:left="2760" w:right="0" w:firstLine="0"/>
        <w:jc w:val="center"/>
        <w:rPr>
          <w:b/>
          <w:sz w:val="21"/>
        </w:rPr>
      </w:pPr>
      <w:r>
        <w:rPr>
          <w:b/>
          <w:color w:val="050505"/>
          <w:sz w:val="21"/>
        </w:rPr>
        <w:t>2021-</w:t>
      </w:r>
      <w:r>
        <w:rPr>
          <w:b/>
          <w:color w:val="050505"/>
          <w:spacing w:val="-5"/>
          <w:sz w:val="21"/>
        </w:rPr>
        <w:t>22</w:t>
      </w:r>
      <w:r>
        <w:rPr>
          <w:b/>
          <w:color w:val="050505"/>
          <w:sz w:val="21"/>
        </w:rPr>
        <w:tab/>
      </w:r>
      <w:r>
        <w:rPr>
          <w:b/>
          <w:color w:val="050505"/>
          <w:position w:val="-4"/>
          <w:sz w:val="21"/>
        </w:rPr>
        <w:t>2022-</w:t>
      </w:r>
      <w:r>
        <w:rPr>
          <w:b/>
          <w:color w:val="050505"/>
          <w:spacing w:val="-5"/>
          <w:position w:val="-4"/>
          <w:sz w:val="21"/>
        </w:rPr>
        <w:t>23</w:t>
      </w:r>
    </w:p>
    <w:p>
      <w:pPr>
        <w:tabs>
          <w:tab w:val="left" w:leader="none" w:pos="13895"/>
        </w:tabs>
        <w:spacing w:before="0" w:line="252" w:lineRule="exact"/>
        <w:ind w:left="2766" w:right="0" w:firstLine="0"/>
        <w:jc w:val="center"/>
        <w:rPr>
          <w:b/>
          <w:sz w:val="21"/>
        </w:rPr>
      </w:pPr>
      <w:r>
        <w:rPr>
          <w:b/>
          <w:color w:val="050505"/>
          <w:spacing w:val="-5"/>
          <w:w w:val="105"/>
          <w:sz w:val="21"/>
        </w:rPr>
        <w:t>Net</w:t>
      </w:r>
      <w:r>
        <w:rPr>
          <w:b/>
          <w:color w:val="050505"/>
          <w:sz w:val="21"/>
        </w:rPr>
        <w:tab/>
      </w:r>
      <w:r>
        <w:rPr>
          <w:b/>
          <w:color w:val="050505"/>
          <w:spacing w:val="-5"/>
          <w:w w:val="105"/>
          <w:position w:val="-4"/>
          <w:sz w:val="21"/>
        </w:rPr>
        <w:t>Net</w:t>
      </w:r>
    </w:p>
    <w:p>
      <w:pPr>
        <w:tabs>
          <w:tab w:val="left" w:leader="none" w:pos="1967"/>
          <w:tab w:val="left" w:leader="none" w:pos="2996"/>
          <w:tab w:val="left" w:leader="none" w:pos="11836"/>
          <w:tab w:val="left" w:leader="none" w:pos="13144"/>
          <w:tab w:val="left" w:leader="none" w:pos="14130"/>
        </w:tabs>
        <w:spacing w:before="0" w:line="249" w:lineRule="exact"/>
        <w:ind w:left="625" w:right="0" w:firstLine="0"/>
        <w:jc w:val="left"/>
        <w:rPr>
          <w:b/>
          <w:sz w:val="21"/>
        </w:rPr>
      </w:pPr>
      <w:r>
        <w:rPr>
          <w:b/>
          <w:color w:val="050505"/>
          <w:spacing w:val="-4"/>
          <w:w w:val="105"/>
          <w:position w:val="1"/>
          <w:sz w:val="21"/>
        </w:rPr>
        <w:t>Gross</w:t>
      </w:r>
      <w:r>
        <w:rPr>
          <w:b/>
          <w:color w:val="050505"/>
          <w:position w:val="1"/>
          <w:sz w:val="21"/>
        </w:rPr>
        <w:tab/>
      </w:r>
      <w:r>
        <w:rPr>
          <w:b/>
          <w:color w:val="050505"/>
          <w:spacing w:val="-2"/>
          <w:w w:val="105"/>
          <w:sz w:val="21"/>
        </w:rPr>
        <w:t>Gross</w:t>
      </w:r>
      <w:r>
        <w:rPr>
          <w:b/>
          <w:color w:val="050505"/>
          <w:sz w:val="21"/>
        </w:rPr>
        <w:tab/>
      </w:r>
      <w:r>
        <w:rPr>
          <w:b/>
          <w:color w:val="050505"/>
          <w:spacing w:val="-2"/>
          <w:w w:val="105"/>
          <w:sz w:val="21"/>
        </w:rPr>
        <w:t>Expenditure</w:t>
      </w:r>
      <w:r>
        <w:rPr>
          <w:b/>
          <w:color w:val="050505"/>
          <w:sz w:val="21"/>
        </w:rPr>
        <w:tab/>
      </w:r>
      <w:r>
        <w:rPr>
          <w:b/>
          <w:color w:val="050505"/>
          <w:spacing w:val="-2"/>
          <w:w w:val="105"/>
          <w:position w:val="-2"/>
          <w:sz w:val="21"/>
        </w:rPr>
        <w:t>Gross</w:t>
      </w:r>
      <w:r>
        <w:rPr>
          <w:b/>
          <w:color w:val="050505"/>
          <w:position w:val="-2"/>
          <w:sz w:val="21"/>
        </w:rPr>
        <w:tab/>
      </w:r>
      <w:r>
        <w:rPr>
          <w:b/>
          <w:color w:val="050505"/>
          <w:spacing w:val="-2"/>
          <w:w w:val="105"/>
          <w:position w:val="-2"/>
          <w:sz w:val="21"/>
        </w:rPr>
        <w:t>Gross</w:t>
      </w:r>
      <w:r>
        <w:rPr>
          <w:b/>
          <w:color w:val="050505"/>
          <w:position w:val="-2"/>
          <w:sz w:val="21"/>
        </w:rPr>
        <w:tab/>
      </w:r>
      <w:r>
        <w:rPr>
          <w:b/>
          <w:color w:val="050505"/>
          <w:spacing w:val="-2"/>
          <w:w w:val="105"/>
          <w:position w:val="-3"/>
          <w:sz w:val="21"/>
        </w:rPr>
        <w:t>Expenditure</w:t>
      </w:r>
    </w:p>
    <w:p>
      <w:pPr>
        <w:tabs>
          <w:tab w:val="left" w:leader="none" w:pos="1895"/>
          <w:tab w:val="left" w:leader="none" w:pos="3112"/>
          <w:tab w:val="left" w:leader="none" w:pos="10749"/>
          <w:tab w:val="left" w:leader="none" w:pos="11518"/>
          <w:tab w:val="left" w:leader="none" w:pos="13073"/>
          <w:tab w:val="left" w:leader="none" w:pos="14246"/>
        </w:tabs>
        <w:spacing w:before="0" w:line="250" w:lineRule="exact"/>
        <w:ind w:left="307" w:right="0" w:firstLine="0"/>
        <w:jc w:val="left"/>
        <w:rPr>
          <w:b/>
          <w:sz w:val="21"/>
        </w:rPr>
      </w:pPr>
      <w:r>
        <w:rPr>
          <w:b/>
          <w:color w:val="050505"/>
          <w:spacing w:val="-2"/>
          <w:w w:val="105"/>
          <w:position w:val="4"/>
          <w:sz w:val="21"/>
        </w:rPr>
        <w:t>Expenditure</w:t>
      </w:r>
      <w:r>
        <w:rPr>
          <w:b/>
          <w:color w:val="050505"/>
          <w:position w:val="4"/>
          <w:sz w:val="21"/>
        </w:rPr>
        <w:tab/>
      </w:r>
      <w:r>
        <w:rPr>
          <w:b/>
          <w:color w:val="050505"/>
          <w:spacing w:val="-2"/>
          <w:w w:val="105"/>
          <w:position w:val="3"/>
          <w:sz w:val="21"/>
        </w:rPr>
        <w:t>Income</w:t>
      </w:r>
      <w:r>
        <w:rPr>
          <w:b/>
          <w:color w:val="050505"/>
          <w:position w:val="3"/>
          <w:sz w:val="21"/>
        </w:rPr>
        <w:tab/>
      </w:r>
      <w:r>
        <w:rPr>
          <w:color w:val="050505"/>
          <w:w w:val="105"/>
          <w:position w:val="3"/>
          <w:sz w:val="21"/>
        </w:rPr>
        <w:t>/</w:t>
      </w:r>
      <w:r>
        <w:rPr>
          <w:color w:val="050505"/>
          <w:spacing w:val="-4"/>
          <w:w w:val="105"/>
          <w:position w:val="3"/>
          <w:sz w:val="21"/>
        </w:rPr>
        <w:t> </w:t>
      </w:r>
      <w:r>
        <w:rPr>
          <w:b/>
          <w:color w:val="050505"/>
          <w:spacing w:val="-2"/>
          <w:w w:val="105"/>
          <w:position w:val="3"/>
          <w:sz w:val="21"/>
        </w:rPr>
        <w:t>(Income)</w:t>
      </w:r>
      <w:r>
        <w:rPr>
          <w:b/>
          <w:color w:val="050505"/>
          <w:position w:val="3"/>
          <w:sz w:val="21"/>
        </w:rPr>
        <w:tab/>
      </w:r>
      <w:r>
        <w:rPr>
          <w:b/>
          <w:color w:val="050505"/>
          <w:spacing w:val="-4"/>
          <w:w w:val="105"/>
          <w:sz w:val="21"/>
        </w:rPr>
        <w:t>Note</w:t>
      </w:r>
      <w:r>
        <w:rPr>
          <w:b/>
          <w:color w:val="050505"/>
          <w:sz w:val="21"/>
        </w:rPr>
        <w:tab/>
      </w:r>
      <w:r>
        <w:rPr>
          <w:b/>
          <w:color w:val="050505"/>
          <w:spacing w:val="-2"/>
          <w:w w:val="105"/>
          <w:sz w:val="21"/>
        </w:rPr>
        <w:t>Expenditure</w:t>
      </w:r>
      <w:r>
        <w:rPr>
          <w:b/>
          <w:color w:val="050505"/>
          <w:sz w:val="21"/>
        </w:rPr>
        <w:tab/>
      </w:r>
      <w:r>
        <w:rPr>
          <w:b/>
          <w:color w:val="050505"/>
          <w:spacing w:val="-2"/>
          <w:w w:val="105"/>
          <w:sz w:val="21"/>
        </w:rPr>
        <w:t>Income</w:t>
      </w:r>
      <w:r>
        <w:rPr>
          <w:b/>
          <w:color w:val="050505"/>
          <w:sz w:val="21"/>
        </w:rPr>
        <w:tab/>
      </w:r>
      <w:r>
        <w:rPr>
          <w:color w:val="050505"/>
          <w:w w:val="105"/>
          <w:sz w:val="21"/>
        </w:rPr>
        <w:t>/</w:t>
      </w:r>
      <w:r>
        <w:rPr>
          <w:color w:val="050505"/>
          <w:spacing w:val="-4"/>
          <w:w w:val="105"/>
          <w:sz w:val="21"/>
        </w:rPr>
        <w:t> </w:t>
      </w:r>
      <w:r>
        <w:rPr>
          <w:b/>
          <w:color w:val="050505"/>
          <w:spacing w:val="-2"/>
          <w:w w:val="105"/>
          <w:sz w:val="21"/>
        </w:rPr>
        <w:t>(Income)</w:t>
      </w:r>
    </w:p>
    <w:p>
      <w:pPr>
        <w:tabs>
          <w:tab w:val="left" w:leader="none" w:pos="2043"/>
          <w:tab w:val="left" w:leader="none" w:pos="3390"/>
          <w:tab w:val="left" w:leader="none" w:pos="11912"/>
          <w:tab w:val="left" w:leader="none" w:pos="13221"/>
          <w:tab w:val="left" w:leader="none" w:pos="14524"/>
        </w:tabs>
        <w:spacing w:before="0" w:line="253" w:lineRule="exact"/>
        <w:ind w:left="701" w:right="0" w:firstLine="0"/>
        <w:jc w:val="left"/>
        <w:rPr>
          <w:b/>
          <w:sz w:val="21"/>
        </w:rPr>
      </w:pPr>
      <w:r>
        <w:rPr>
          <w:b/>
          <w:color w:val="050505"/>
          <w:spacing w:val="-4"/>
          <w:w w:val="105"/>
          <w:position w:val="1"/>
          <w:sz w:val="21"/>
        </w:rPr>
        <w:t>£000</w:t>
      </w:r>
      <w:r>
        <w:rPr>
          <w:b/>
          <w:color w:val="050505"/>
          <w:position w:val="1"/>
          <w:sz w:val="21"/>
        </w:rPr>
        <w:tab/>
      </w:r>
      <w:r>
        <w:rPr>
          <w:b/>
          <w:color w:val="050505"/>
          <w:spacing w:val="-4"/>
          <w:w w:val="105"/>
          <w:sz w:val="21"/>
        </w:rPr>
        <w:t>£000</w:t>
      </w:r>
      <w:r>
        <w:rPr>
          <w:b/>
          <w:color w:val="050505"/>
          <w:sz w:val="21"/>
        </w:rPr>
        <w:tab/>
      </w:r>
      <w:r>
        <w:rPr>
          <w:b/>
          <w:color w:val="050505"/>
          <w:spacing w:val="-4"/>
          <w:w w:val="105"/>
          <w:sz w:val="21"/>
        </w:rPr>
        <w:t>£000</w:t>
      </w:r>
      <w:r>
        <w:rPr>
          <w:b/>
          <w:color w:val="050505"/>
          <w:sz w:val="21"/>
        </w:rPr>
        <w:tab/>
      </w:r>
      <w:r>
        <w:rPr>
          <w:b/>
          <w:color w:val="050505"/>
          <w:spacing w:val="-4"/>
          <w:w w:val="105"/>
          <w:position w:val="-1"/>
          <w:sz w:val="21"/>
        </w:rPr>
        <w:t>£000</w:t>
      </w:r>
      <w:r>
        <w:rPr>
          <w:b/>
          <w:color w:val="050505"/>
          <w:position w:val="-1"/>
          <w:sz w:val="21"/>
        </w:rPr>
        <w:tab/>
      </w:r>
      <w:r>
        <w:rPr>
          <w:b/>
          <w:color w:val="050505"/>
          <w:spacing w:val="-4"/>
          <w:w w:val="105"/>
          <w:position w:val="-2"/>
          <w:sz w:val="21"/>
        </w:rPr>
        <w:t>£000</w:t>
      </w:r>
      <w:r>
        <w:rPr>
          <w:b/>
          <w:color w:val="050505"/>
          <w:position w:val="-2"/>
          <w:sz w:val="21"/>
        </w:rPr>
        <w:tab/>
      </w:r>
      <w:r>
        <w:rPr>
          <w:b/>
          <w:color w:val="050505"/>
          <w:spacing w:val="-4"/>
          <w:w w:val="105"/>
          <w:position w:val="-2"/>
          <w:sz w:val="21"/>
        </w:rPr>
        <w:t>£000</w:t>
      </w:r>
    </w:p>
    <w:p>
      <w:pPr>
        <w:tabs>
          <w:tab w:val="left" w:leader="none" w:pos="2084"/>
          <w:tab w:val="left" w:leader="none" w:pos="3572"/>
          <w:tab w:val="left" w:leader="none" w:pos="4815"/>
          <w:tab w:val="left" w:leader="none" w:pos="12251"/>
          <w:tab w:val="left" w:leader="none" w:pos="13098"/>
          <w:tab w:val="left" w:leader="none" w:pos="14702"/>
        </w:tabs>
        <w:spacing w:before="0" w:line="236" w:lineRule="exact"/>
        <w:ind w:left="1025" w:right="0" w:firstLine="0"/>
        <w:jc w:val="left"/>
        <w:rPr>
          <w:b/>
          <w:sz w:val="21"/>
        </w:rPr>
      </w:pPr>
      <w:r>
        <w:rPr>
          <w:color w:val="050505"/>
          <w:spacing w:val="-2"/>
          <w:position w:val="3"/>
          <w:sz w:val="22"/>
        </w:rPr>
        <w:t>1,706</w:t>
      </w:r>
      <w:r>
        <w:rPr>
          <w:color w:val="050505"/>
          <w:position w:val="3"/>
          <w:sz w:val="22"/>
        </w:rPr>
        <w:tab/>
      </w:r>
      <w:r>
        <w:rPr>
          <w:color w:val="050505"/>
          <w:spacing w:val="-2"/>
          <w:position w:val="3"/>
          <w:sz w:val="22"/>
        </w:rPr>
        <w:t>(4,958)</w:t>
      </w:r>
      <w:r>
        <w:rPr>
          <w:color w:val="050505"/>
          <w:position w:val="3"/>
          <w:sz w:val="22"/>
        </w:rPr>
        <w:tab/>
      </w:r>
      <w:r>
        <w:rPr>
          <w:b/>
          <w:color w:val="050505"/>
          <w:spacing w:val="-2"/>
          <w:position w:val="2"/>
          <w:sz w:val="21"/>
        </w:rPr>
        <w:t>(3,252)</w:t>
      </w:r>
      <w:r>
        <w:rPr>
          <w:b/>
          <w:color w:val="050505"/>
          <w:position w:val="2"/>
          <w:sz w:val="21"/>
        </w:rPr>
        <w:tab/>
      </w:r>
      <w:r>
        <w:rPr>
          <w:color w:val="050505"/>
          <w:position w:val="2"/>
          <w:sz w:val="22"/>
        </w:rPr>
        <w:t>Asset</w:t>
      </w:r>
      <w:r>
        <w:rPr>
          <w:color w:val="050505"/>
          <w:spacing w:val="-8"/>
          <w:position w:val="2"/>
          <w:sz w:val="22"/>
        </w:rPr>
        <w:t> </w:t>
      </w:r>
      <w:r>
        <w:rPr>
          <w:color w:val="050505"/>
          <w:spacing w:val="-2"/>
          <w:position w:val="2"/>
          <w:sz w:val="22"/>
        </w:rPr>
        <w:t>Management</w:t>
      </w:r>
      <w:r>
        <w:rPr>
          <w:color w:val="050505"/>
          <w:position w:val="2"/>
          <w:sz w:val="22"/>
        </w:rPr>
        <w:tab/>
      </w:r>
      <w:r>
        <w:rPr>
          <w:color w:val="050505"/>
          <w:spacing w:val="-2"/>
          <w:sz w:val="22"/>
        </w:rPr>
        <w:t>8,479</w:t>
      </w:r>
      <w:r>
        <w:rPr>
          <w:color w:val="050505"/>
          <w:sz w:val="22"/>
        </w:rPr>
        <w:tab/>
      </w:r>
      <w:r>
        <w:rPr>
          <w:color w:val="050505"/>
          <w:spacing w:val="-2"/>
          <w:sz w:val="22"/>
        </w:rPr>
        <w:t>(13,823)</w:t>
      </w:r>
      <w:r>
        <w:rPr>
          <w:color w:val="050505"/>
          <w:sz w:val="22"/>
        </w:rPr>
        <w:tab/>
      </w:r>
      <w:r>
        <w:rPr>
          <w:b/>
          <w:color w:val="050505"/>
          <w:spacing w:val="-2"/>
          <w:sz w:val="21"/>
        </w:rPr>
        <w:t>(5,344)</w:t>
      </w:r>
    </w:p>
    <w:p>
      <w:pPr>
        <w:tabs>
          <w:tab w:val="left" w:leader="none" w:pos="2658"/>
          <w:tab w:val="left" w:leader="none" w:pos="3846"/>
          <w:tab w:val="left" w:leader="none" w:pos="4810"/>
          <w:tab w:val="left" w:leader="none" w:pos="12433"/>
          <w:tab w:val="left" w:leader="none" w:pos="13784"/>
          <w:tab w:val="right" w:leader="none" w:pos="15344"/>
        </w:tabs>
        <w:spacing w:before="0" w:line="299" w:lineRule="exact"/>
        <w:ind w:left="1212" w:right="0" w:firstLine="0"/>
        <w:jc w:val="left"/>
        <w:rPr>
          <w:b/>
          <w:sz w:val="21"/>
        </w:rPr>
      </w:pPr>
      <w:r>
        <w:rPr>
          <w:color w:val="050505"/>
          <w:spacing w:val="-5"/>
          <w:sz w:val="22"/>
        </w:rPr>
        <w:t>189</w:t>
      </w:r>
      <w:r>
        <w:rPr>
          <w:color w:val="050505"/>
          <w:sz w:val="22"/>
        </w:rPr>
        <w:tab/>
      </w:r>
      <w:r>
        <w:rPr>
          <w:color w:val="1C1C1C"/>
          <w:spacing w:val="-10"/>
          <w:sz w:val="22"/>
        </w:rPr>
        <w:t>-</w:t>
      </w:r>
      <w:r>
        <w:rPr>
          <w:color w:val="1C1C1C"/>
          <w:sz w:val="22"/>
        </w:rPr>
        <w:tab/>
      </w:r>
      <w:r>
        <w:rPr>
          <w:b/>
          <w:color w:val="050505"/>
          <w:spacing w:val="-5"/>
          <w:sz w:val="21"/>
        </w:rPr>
        <w:t>189</w:t>
      </w:r>
      <w:r>
        <w:rPr>
          <w:b/>
          <w:color w:val="050505"/>
          <w:sz w:val="21"/>
        </w:rPr>
        <w:tab/>
      </w:r>
      <w:r>
        <w:rPr>
          <w:color w:val="050505"/>
          <w:sz w:val="22"/>
        </w:rPr>
        <w:t>Audit</w:t>
      </w:r>
      <w:r>
        <w:rPr>
          <w:color w:val="050505"/>
          <w:spacing w:val="4"/>
          <w:sz w:val="22"/>
        </w:rPr>
        <w:t> </w:t>
      </w:r>
      <w:r>
        <w:rPr>
          <w:color w:val="050505"/>
          <w:sz w:val="22"/>
        </w:rPr>
        <w:t>&amp;</w:t>
      </w:r>
      <w:r>
        <w:rPr>
          <w:color w:val="050505"/>
          <w:spacing w:val="-3"/>
          <w:sz w:val="22"/>
        </w:rPr>
        <w:t> </w:t>
      </w:r>
      <w:r>
        <w:rPr>
          <w:color w:val="050505"/>
          <w:spacing w:val="-2"/>
          <w:sz w:val="22"/>
        </w:rPr>
        <w:t>Assurance</w:t>
      </w:r>
      <w:r>
        <w:rPr>
          <w:color w:val="050505"/>
          <w:sz w:val="22"/>
        </w:rPr>
        <w:tab/>
      </w:r>
      <w:r>
        <w:rPr>
          <w:color w:val="050505"/>
          <w:spacing w:val="-5"/>
          <w:position w:val="-1"/>
          <w:sz w:val="22"/>
        </w:rPr>
        <w:t>195</w:t>
      </w:r>
      <w:r>
        <w:rPr>
          <w:color w:val="050505"/>
          <w:position w:val="-1"/>
          <w:sz w:val="22"/>
        </w:rPr>
        <w:tab/>
      </w:r>
      <w:r>
        <w:rPr>
          <w:color w:val="363636"/>
          <w:spacing w:val="-10"/>
          <w:position w:val="-4"/>
          <w:sz w:val="32"/>
        </w:rPr>
        <w:t>-</w:t>
      </w:r>
      <w:r>
        <w:rPr>
          <w:color w:val="363636"/>
          <w:position w:val="-4"/>
          <w:sz w:val="32"/>
        </w:rPr>
        <w:tab/>
      </w:r>
      <w:r>
        <w:rPr>
          <w:b/>
          <w:color w:val="050505"/>
          <w:spacing w:val="-5"/>
          <w:position w:val="-1"/>
          <w:sz w:val="21"/>
        </w:rPr>
        <w:t>195</w:t>
      </w:r>
    </w:p>
    <w:p>
      <w:pPr>
        <w:tabs>
          <w:tab w:val="left" w:leader="none" w:pos="2512"/>
          <w:tab w:val="left" w:leader="none" w:pos="3843"/>
          <w:tab w:val="left" w:leader="none" w:pos="4812"/>
          <w:tab w:val="left" w:leader="none" w:pos="12433"/>
          <w:tab w:val="left" w:leader="none" w:pos="13791"/>
          <w:tab w:val="right" w:leader="none" w:pos="15346"/>
        </w:tabs>
        <w:spacing w:before="0" w:line="245" w:lineRule="exact"/>
        <w:ind w:left="1217" w:right="0" w:firstLine="0"/>
        <w:jc w:val="left"/>
        <w:rPr>
          <w:b/>
          <w:sz w:val="21"/>
        </w:rPr>
      </w:pPr>
      <w:r>
        <w:rPr>
          <w:color w:val="050505"/>
          <w:spacing w:val="-5"/>
          <w:sz w:val="22"/>
        </w:rPr>
        <w:t>521</w:t>
      </w:r>
      <w:r>
        <w:rPr>
          <w:color w:val="050505"/>
          <w:sz w:val="22"/>
        </w:rPr>
        <w:tab/>
      </w:r>
      <w:r>
        <w:rPr>
          <w:color w:val="050505"/>
          <w:spacing w:val="-5"/>
          <w:sz w:val="22"/>
        </w:rPr>
        <w:t>(2)</w:t>
      </w:r>
      <w:r>
        <w:rPr>
          <w:color w:val="050505"/>
          <w:sz w:val="22"/>
        </w:rPr>
        <w:tab/>
      </w:r>
      <w:r>
        <w:rPr>
          <w:b/>
          <w:color w:val="050505"/>
          <w:spacing w:val="-5"/>
          <w:sz w:val="21"/>
        </w:rPr>
        <w:t>519</w:t>
      </w:r>
      <w:r>
        <w:rPr>
          <w:b/>
          <w:color w:val="050505"/>
          <w:sz w:val="21"/>
        </w:rPr>
        <w:tab/>
      </w:r>
      <w:r>
        <w:rPr>
          <w:color w:val="050505"/>
          <w:sz w:val="22"/>
        </w:rPr>
        <w:t>Executive</w:t>
      </w:r>
      <w:r>
        <w:rPr>
          <w:color w:val="050505"/>
          <w:spacing w:val="-11"/>
          <w:sz w:val="22"/>
        </w:rPr>
        <w:t> </w:t>
      </w:r>
      <w:r>
        <w:rPr>
          <w:color w:val="050505"/>
          <w:spacing w:val="-2"/>
          <w:sz w:val="22"/>
        </w:rPr>
        <w:t>Directors</w:t>
      </w:r>
      <w:r>
        <w:rPr>
          <w:color w:val="050505"/>
          <w:sz w:val="22"/>
        </w:rPr>
        <w:tab/>
      </w:r>
      <w:r>
        <w:rPr>
          <w:color w:val="050505"/>
          <w:spacing w:val="-5"/>
          <w:position w:val="-1"/>
          <w:sz w:val="22"/>
        </w:rPr>
        <w:t>558</w:t>
      </w:r>
      <w:r>
        <w:rPr>
          <w:color w:val="050505"/>
          <w:position w:val="-1"/>
          <w:sz w:val="22"/>
        </w:rPr>
        <w:tab/>
      </w:r>
      <w:r>
        <w:rPr>
          <w:color w:val="1C1C1C"/>
          <w:spacing w:val="-10"/>
          <w:position w:val="-3"/>
          <w:sz w:val="27"/>
        </w:rPr>
        <w:t>-</w:t>
      </w:r>
      <w:r>
        <w:rPr>
          <w:color w:val="1C1C1C"/>
          <w:position w:val="-3"/>
          <w:sz w:val="27"/>
        </w:rPr>
        <w:tab/>
      </w:r>
      <w:r>
        <w:rPr>
          <w:b/>
          <w:color w:val="050505"/>
          <w:spacing w:val="-5"/>
          <w:position w:val="-2"/>
          <w:sz w:val="21"/>
        </w:rPr>
        <w:t>558</w:t>
      </w:r>
    </w:p>
    <w:p>
      <w:pPr>
        <w:pStyle w:val="BodyText"/>
        <w:tabs>
          <w:tab w:val="left" w:leader="none" w:pos="2276"/>
          <w:tab w:val="left" w:leader="none" w:pos="3849"/>
          <w:tab w:val="left" w:leader="none" w:pos="4812"/>
          <w:tab w:val="left" w:leader="none" w:pos="12434"/>
          <w:tab w:val="left" w:leader="none" w:pos="13536"/>
          <w:tab w:val="right" w:leader="none" w:pos="15343"/>
        </w:tabs>
        <w:spacing w:line="244" w:lineRule="exact"/>
        <w:ind w:left="1213"/>
        <w:rPr>
          <w:b/>
          <w:sz w:val="21"/>
        </w:rPr>
      </w:pPr>
      <w:r>
        <w:rPr>
          <w:color w:val="050505"/>
          <w:spacing w:val="-5"/>
          <w:position w:val="1"/>
        </w:rPr>
        <w:t>607</w:t>
      </w:r>
      <w:r>
        <w:rPr>
          <w:color w:val="050505"/>
          <w:position w:val="1"/>
        </w:rPr>
        <w:tab/>
      </w:r>
      <w:r>
        <w:rPr>
          <w:color w:val="050505"/>
          <w:spacing w:val="-2"/>
        </w:rPr>
        <w:t>(180)</w:t>
      </w:r>
      <w:r>
        <w:rPr>
          <w:color w:val="050505"/>
        </w:rPr>
        <w:tab/>
      </w:r>
      <w:r>
        <w:rPr>
          <w:b/>
          <w:color w:val="050505"/>
          <w:spacing w:val="-5"/>
          <w:sz w:val="21"/>
        </w:rPr>
        <w:t>427</w:t>
      </w:r>
      <w:r>
        <w:rPr>
          <w:b/>
          <w:color w:val="050505"/>
          <w:sz w:val="21"/>
        </w:rPr>
        <w:tab/>
      </w:r>
      <w:r>
        <w:rPr>
          <w:color w:val="050505"/>
        </w:rPr>
        <w:t>Engineering </w:t>
      </w:r>
      <w:r>
        <w:rPr>
          <w:color w:val="050505"/>
          <w:spacing w:val="-2"/>
        </w:rPr>
        <w:t>Services</w:t>
      </w:r>
      <w:r>
        <w:rPr>
          <w:color w:val="050505"/>
        </w:rPr>
        <w:tab/>
      </w:r>
      <w:r>
        <w:rPr>
          <w:color w:val="050505"/>
          <w:spacing w:val="-5"/>
          <w:position w:val="-1"/>
        </w:rPr>
        <w:t>669</w:t>
      </w:r>
      <w:r>
        <w:rPr>
          <w:color w:val="050505"/>
          <w:position w:val="-1"/>
        </w:rPr>
        <w:tab/>
      </w:r>
      <w:r>
        <w:rPr>
          <w:color w:val="050505"/>
          <w:spacing w:val="-4"/>
          <w:position w:val="-1"/>
        </w:rPr>
        <w:t>(24)</w:t>
      </w:r>
      <w:r>
        <w:rPr>
          <w:color w:val="050505"/>
          <w:position w:val="-1"/>
        </w:rPr>
        <w:tab/>
      </w:r>
      <w:r>
        <w:rPr>
          <w:b/>
          <w:color w:val="050505"/>
          <w:spacing w:val="-5"/>
          <w:position w:val="-1"/>
          <w:sz w:val="21"/>
        </w:rPr>
        <w:t>645</w:t>
      </w:r>
    </w:p>
    <w:p>
      <w:pPr>
        <w:pStyle w:val="BodyText"/>
        <w:tabs>
          <w:tab w:val="left" w:leader="none" w:pos="2276"/>
          <w:tab w:val="left" w:leader="none" w:pos="3663"/>
          <w:tab w:val="left" w:leader="none" w:pos="4816"/>
          <w:tab w:val="left" w:leader="none" w:pos="12251"/>
          <w:tab w:val="left" w:leader="none" w:pos="13410"/>
          <w:tab w:val="left" w:leader="none" w:pos="14797"/>
        </w:tabs>
        <w:spacing w:line="257" w:lineRule="exact"/>
        <w:ind w:left="1035"/>
        <w:rPr>
          <w:b/>
          <w:sz w:val="21"/>
        </w:rPr>
      </w:pPr>
      <w:r>
        <w:rPr>
          <w:color w:val="050505"/>
          <w:spacing w:val="-2"/>
          <w:position w:val="3"/>
        </w:rPr>
        <w:t>1,645</w:t>
      </w:r>
      <w:r>
        <w:rPr>
          <w:color w:val="050505"/>
          <w:position w:val="3"/>
        </w:rPr>
        <w:tab/>
      </w:r>
      <w:r>
        <w:rPr>
          <w:color w:val="050505"/>
          <w:spacing w:val="-4"/>
          <w:position w:val="2"/>
        </w:rPr>
        <w:t>(323)</w:t>
      </w:r>
      <w:r>
        <w:rPr>
          <w:color w:val="050505"/>
          <w:position w:val="2"/>
        </w:rPr>
        <w:tab/>
      </w:r>
      <w:r>
        <w:rPr>
          <w:b/>
          <w:color w:val="050505"/>
          <w:spacing w:val="-2"/>
          <w:position w:val="2"/>
          <w:sz w:val="21"/>
        </w:rPr>
        <w:t>1,322</w:t>
      </w:r>
      <w:r>
        <w:rPr>
          <w:b/>
          <w:color w:val="050505"/>
          <w:position w:val="2"/>
          <w:sz w:val="21"/>
        </w:rPr>
        <w:tab/>
      </w:r>
      <w:r>
        <w:rPr>
          <w:color w:val="050505"/>
          <w:position w:val="2"/>
        </w:rPr>
        <w:t>Environmental</w:t>
      </w:r>
      <w:r>
        <w:rPr>
          <w:color w:val="050505"/>
          <w:spacing w:val="-7"/>
          <w:position w:val="2"/>
        </w:rPr>
        <w:t> </w:t>
      </w:r>
      <w:r>
        <w:rPr>
          <w:color w:val="050505"/>
          <w:spacing w:val="-2"/>
          <w:position w:val="2"/>
        </w:rPr>
        <w:t>Health</w:t>
      </w:r>
      <w:r>
        <w:rPr>
          <w:color w:val="050505"/>
          <w:position w:val="2"/>
        </w:rPr>
        <w:tab/>
      </w:r>
      <w:r>
        <w:rPr>
          <w:color w:val="050505"/>
          <w:spacing w:val="-2"/>
        </w:rPr>
        <w:t>1,698</w:t>
      </w:r>
      <w:r>
        <w:rPr>
          <w:color w:val="050505"/>
        </w:rPr>
        <w:tab/>
      </w:r>
      <w:r>
        <w:rPr>
          <w:color w:val="050505"/>
          <w:spacing w:val="-2"/>
        </w:rPr>
        <w:t>(455)</w:t>
      </w:r>
      <w:r>
        <w:rPr>
          <w:color w:val="050505"/>
        </w:rPr>
        <w:tab/>
      </w:r>
      <w:r>
        <w:rPr>
          <w:b/>
          <w:color w:val="050505"/>
          <w:spacing w:val="-2"/>
          <w:sz w:val="21"/>
        </w:rPr>
        <w:t>1,243</w:t>
      </w:r>
    </w:p>
    <w:p>
      <w:pPr>
        <w:pStyle w:val="BodyText"/>
        <w:tabs>
          <w:tab w:val="left" w:leader="none" w:pos="1973"/>
          <w:tab w:val="left" w:leader="none" w:pos="3674"/>
          <w:tab w:val="left" w:leader="none" w:pos="4816"/>
          <w:tab w:val="left" w:leader="none" w:pos="12133"/>
          <w:tab w:val="left" w:leader="none" w:pos="13112"/>
          <w:tab w:val="left" w:leader="none" w:pos="14801"/>
        </w:tabs>
        <w:spacing w:line="257" w:lineRule="exact"/>
        <w:ind w:left="919"/>
        <w:rPr>
          <w:b/>
          <w:sz w:val="21"/>
        </w:rPr>
      </w:pPr>
      <w:r>
        <w:rPr>
          <w:color w:val="050505"/>
          <w:spacing w:val="-2"/>
          <w:position w:val="3"/>
        </w:rPr>
        <w:t>30,738</w:t>
      </w:r>
      <w:r>
        <w:rPr>
          <w:color w:val="050505"/>
          <w:position w:val="3"/>
        </w:rPr>
        <w:tab/>
      </w:r>
      <w:r>
        <w:rPr>
          <w:color w:val="050505"/>
          <w:spacing w:val="-2"/>
          <w:position w:val="2"/>
        </w:rPr>
        <w:t>(27,880)</w:t>
      </w:r>
      <w:r>
        <w:rPr>
          <w:color w:val="050505"/>
          <w:position w:val="2"/>
        </w:rPr>
        <w:tab/>
      </w:r>
      <w:r>
        <w:rPr>
          <w:b/>
          <w:color w:val="050505"/>
          <w:spacing w:val="-2"/>
          <w:position w:val="2"/>
          <w:sz w:val="21"/>
        </w:rPr>
        <w:t>2,858</w:t>
      </w:r>
      <w:r>
        <w:rPr>
          <w:b/>
          <w:color w:val="050505"/>
          <w:position w:val="2"/>
          <w:sz w:val="21"/>
        </w:rPr>
        <w:tab/>
      </w:r>
      <w:r>
        <w:rPr>
          <w:color w:val="050505"/>
          <w:position w:val="2"/>
        </w:rPr>
        <w:t>Finance</w:t>
      </w:r>
      <w:r>
        <w:rPr>
          <w:color w:val="050505"/>
          <w:spacing w:val="3"/>
          <w:position w:val="2"/>
        </w:rPr>
        <w:t> </w:t>
      </w:r>
      <w:r>
        <w:rPr>
          <w:color w:val="050505"/>
          <w:position w:val="2"/>
        </w:rPr>
        <w:t>&amp;</w:t>
      </w:r>
      <w:r>
        <w:rPr>
          <w:color w:val="050505"/>
          <w:spacing w:val="-8"/>
          <w:position w:val="2"/>
        </w:rPr>
        <w:t> </w:t>
      </w:r>
      <w:r>
        <w:rPr>
          <w:color w:val="050505"/>
          <w:position w:val="2"/>
        </w:rPr>
        <w:t>Business</w:t>
      </w:r>
      <w:r>
        <w:rPr>
          <w:color w:val="050505"/>
          <w:spacing w:val="11"/>
          <w:position w:val="2"/>
        </w:rPr>
        <w:t> </w:t>
      </w:r>
      <w:r>
        <w:rPr>
          <w:color w:val="050505"/>
          <w:spacing w:val="-2"/>
          <w:position w:val="2"/>
        </w:rPr>
        <w:t>Services</w:t>
      </w:r>
      <w:r>
        <w:rPr>
          <w:color w:val="050505"/>
          <w:position w:val="2"/>
        </w:rPr>
        <w:tab/>
      </w:r>
      <w:r>
        <w:rPr>
          <w:color w:val="050505"/>
          <w:spacing w:val="-2"/>
        </w:rPr>
        <w:t>29,930</w:t>
      </w:r>
      <w:r>
        <w:rPr>
          <w:color w:val="050505"/>
        </w:rPr>
        <w:tab/>
      </w:r>
      <w:r>
        <w:rPr>
          <w:color w:val="050505"/>
          <w:spacing w:val="-2"/>
        </w:rPr>
        <w:t>(26,813)</w:t>
      </w:r>
      <w:r>
        <w:rPr>
          <w:color w:val="050505"/>
        </w:rPr>
        <w:tab/>
      </w:r>
      <w:r>
        <w:rPr>
          <w:b/>
          <w:color w:val="050505"/>
          <w:spacing w:val="-2"/>
          <w:sz w:val="21"/>
        </w:rPr>
        <w:t>3,117</w:t>
      </w:r>
    </w:p>
    <w:p>
      <w:pPr>
        <w:pStyle w:val="BodyText"/>
        <w:tabs>
          <w:tab w:val="left" w:leader="none" w:pos="2401"/>
          <w:tab w:val="left" w:leader="none" w:pos="3853"/>
          <w:tab w:val="left" w:leader="none" w:pos="4822"/>
          <w:tab w:val="left" w:leader="none" w:pos="12438"/>
          <w:tab w:val="left" w:leader="none" w:pos="13536"/>
          <w:tab w:val="right" w:leader="none" w:pos="15349"/>
        </w:tabs>
        <w:spacing w:line="250" w:lineRule="exact"/>
        <w:ind w:left="1222"/>
        <w:rPr>
          <w:b/>
          <w:sz w:val="21"/>
        </w:rPr>
      </w:pPr>
      <w:r>
        <w:rPr>
          <w:color w:val="050505"/>
          <w:spacing w:val="-5"/>
          <w:position w:val="2"/>
        </w:rPr>
        <w:t>505</w:t>
      </w:r>
      <w:r>
        <w:rPr>
          <w:color w:val="050505"/>
          <w:position w:val="2"/>
        </w:rPr>
        <w:tab/>
      </w:r>
      <w:r>
        <w:rPr>
          <w:color w:val="050505"/>
          <w:spacing w:val="-4"/>
          <w:position w:val="2"/>
        </w:rPr>
        <w:t>(81)</w:t>
      </w:r>
      <w:r>
        <w:rPr>
          <w:color w:val="050505"/>
          <w:position w:val="2"/>
        </w:rPr>
        <w:tab/>
      </w:r>
      <w:r>
        <w:rPr>
          <w:b/>
          <w:color w:val="050505"/>
          <w:spacing w:val="-5"/>
          <w:position w:val="2"/>
          <w:sz w:val="21"/>
        </w:rPr>
        <w:t>424</w:t>
      </w:r>
      <w:r>
        <w:rPr>
          <w:b/>
          <w:color w:val="050505"/>
          <w:position w:val="2"/>
          <w:sz w:val="21"/>
        </w:rPr>
        <w:tab/>
      </w:r>
      <w:r>
        <w:rPr>
          <w:color w:val="050505"/>
          <w:position w:val="1"/>
        </w:rPr>
        <w:t>General</w:t>
      </w:r>
      <w:r>
        <w:rPr>
          <w:color w:val="050505"/>
          <w:spacing w:val="-3"/>
          <w:position w:val="1"/>
        </w:rPr>
        <w:t> </w:t>
      </w:r>
      <w:r>
        <w:rPr>
          <w:color w:val="050505"/>
          <w:spacing w:val="-2"/>
          <w:position w:val="1"/>
        </w:rPr>
        <w:t>Expenses</w:t>
      </w:r>
      <w:r>
        <w:rPr>
          <w:color w:val="050505"/>
          <w:position w:val="1"/>
        </w:rPr>
        <w:tab/>
      </w:r>
      <w:r>
        <w:rPr>
          <w:color w:val="050505"/>
          <w:spacing w:val="-5"/>
        </w:rPr>
        <w:t>366</w:t>
      </w:r>
      <w:r>
        <w:rPr>
          <w:color w:val="050505"/>
        </w:rPr>
        <w:tab/>
      </w:r>
      <w:r>
        <w:rPr>
          <w:color w:val="050505"/>
          <w:spacing w:val="-4"/>
        </w:rPr>
        <w:t>(99)</w:t>
      </w:r>
      <w:r>
        <w:rPr>
          <w:color w:val="050505"/>
        </w:rPr>
        <w:tab/>
      </w:r>
      <w:r>
        <w:rPr>
          <w:b/>
          <w:color w:val="050505"/>
          <w:spacing w:val="-5"/>
          <w:sz w:val="21"/>
        </w:rPr>
        <w:t>267</w:t>
      </w:r>
    </w:p>
    <w:p>
      <w:pPr>
        <w:pStyle w:val="BodyText"/>
        <w:tabs>
          <w:tab w:val="left" w:leader="none" w:pos="2098"/>
          <w:tab w:val="left" w:leader="none" w:pos="3668"/>
          <w:tab w:val="left" w:leader="none" w:pos="4821"/>
          <w:tab w:val="left" w:leader="none" w:pos="12260"/>
          <w:tab w:val="left" w:leader="none" w:pos="13233"/>
          <w:tab w:val="left" w:leader="none" w:pos="14809"/>
        </w:tabs>
        <w:spacing w:line="253" w:lineRule="exact"/>
        <w:ind w:left="1044"/>
        <w:rPr>
          <w:b/>
          <w:sz w:val="21"/>
        </w:rPr>
      </w:pPr>
      <w:r>
        <w:rPr>
          <w:color w:val="050505"/>
          <w:spacing w:val="-2"/>
          <w:position w:val="2"/>
        </w:rPr>
        <w:t>3,178</w:t>
      </w:r>
      <w:r>
        <w:rPr>
          <w:color w:val="050505"/>
          <w:position w:val="2"/>
        </w:rPr>
        <w:tab/>
      </w:r>
      <w:r>
        <w:rPr>
          <w:color w:val="050505"/>
          <w:spacing w:val="-2"/>
          <w:position w:val="2"/>
        </w:rPr>
        <w:t>(1,415)</w:t>
      </w:r>
      <w:r>
        <w:rPr>
          <w:color w:val="050505"/>
          <w:position w:val="2"/>
        </w:rPr>
        <w:tab/>
      </w:r>
      <w:r>
        <w:rPr>
          <w:b/>
          <w:color w:val="050505"/>
          <w:spacing w:val="-2"/>
          <w:position w:val="2"/>
          <w:sz w:val="21"/>
        </w:rPr>
        <w:t>1,763</w:t>
      </w:r>
      <w:r>
        <w:rPr>
          <w:b/>
          <w:color w:val="050505"/>
          <w:position w:val="2"/>
          <w:sz w:val="21"/>
        </w:rPr>
        <w:tab/>
      </w:r>
      <w:r>
        <w:rPr>
          <w:color w:val="050505"/>
          <w:position w:val="1"/>
        </w:rPr>
        <w:t>Housing</w:t>
      </w:r>
      <w:r>
        <w:rPr>
          <w:color w:val="050505"/>
          <w:spacing w:val="5"/>
          <w:position w:val="1"/>
        </w:rPr>
        <w:t> </w:t>
      </w:r>
      <w:r>
        <w:rPr>
          <w:color w:val="050505"/>
          <w:spacing w:val="-2"/>
          <w:position w:val="1"/>
        </w:rPr>
        <w:t>Services</w:t>
      </w:r>
      <w:r>
        <w:rPr>
          <w:color w:val="050505"/>
          <w:position w:val="1"/>
        </w:rPr>
        <w:tab/>
      </w:r>
      <w:r>
        <w:rPr>
          <w:color w:val="050505"/>
          <w:spacing w:val="-2"/>
        </w:rPr>
        <w:t>3,692</w:t>
      </w:r>
      <w:r>
        <w:rPr>
          <w:color w:val="050505"/>
        </w:rPr>
        <w:tab/>
      </w:r>
      <w:r>
        <w:rPr>
          <w:color w:val="050505"/>
          <w:spacing w:val="-2"/>
        </w:rPr>
        <w:t>(1,285)</w:t>
      </w:r>
      <w:r>
        <w:rPr>
          <w:color w:val="050505"/>
        </w:rPr>
        <w:tab/>
      </w:r>
      <w:r>
        <w:rPr>
          <w:b/>
          <w:color w:val="050505"/>
          <w:spacing w:val="-2"/>
          <w:sz w:val="21"/>
        </w:rPr>
        <w:t>2,407</w:t>
      </w:r>
    </w:p>
    <w:p>
      <w:pPr>
        <w:pStyle w:val="BodyText"/>
        <w:tabs>
          <w:tab w:val="left" w:leader="none" w:pos="2406"/>
          <w:tab w:val="left" w:leader="none" w:pos="3673"/>
          <w:tab w:val="left" w:leader="none" w:pos="4830"/>
          <w:tab w:val="left" w:leader="none" w:pos="12260"/>
          <w:tab w:val="left" w:leader="none" w:pos="13540"/>
          <w:tab w:val="left" w:leader="none" w:pos="14807"/>
        </w:tabs>
        <w:spacing w:line="252" w:lineRule="exact"/>
        <w:ind w:left="1044"/>
        <w:rPr>
          <w:b/>
          <w:sz w:val="21"/>
        </w:rPr>
      </w:pPr>
      <w:r>
        <w:rPr>
          <w:color w:val="050505"/>
          <w:spacing w:val="-2"/>
          <w:position w:val="1"/>
        </w:rPr>
        <w:t>1,556</w:t>
      </w:r>
      <w:r>
        <w:rPr>
          <w:color w:val="050505"/>
          <w:position w:val="1"/>
        </w:rPr>
        <w:tab/>
      </w:r>
      <w:r>
        <w:rPr>
          <w:color w:val="050505"/>
          <w:spacing w:val="-4"/>
          <w:position w:val="1"/>
        </w:rPr>
        <w:t>(70)</w:t>
      </w:r>
      <w:r>
        <w:rPr>
          <w:color w:val="050505"/>
          <w:position w:val="1"/>
        </w:rPr>
        <w:tab/>
      </w:r>
      <w:r>
        <w:rPr>
          <w:b/>
          <w:color w:val="050505"/>
          <w:spacing w:val="-2"/>
          <w:position w:val="1"/>
          <w:sz w:val="21"/>
        </w:rPr>
        <w:t>1,486</w:t>
      </w:r>
      <w:r>
        <w:rPr>
          <w:b/>
          <w:color w:val="050505"/>
          <w:position w:val="1"/>
          <w:sz w:val="21"/>
        </w:rPr>
        <w:tab/>
      </w:r>
      <w:r>
        <w:rPr>
          <w:color w:val="1C1C1C"/>
        </w:rPr>
        <w:t>Human</w:t>
      </w:r>
      <w:r>
        <w:rPr>
          <w:color w:val="1C1C1C"/>
          <w:spacing w:val="2"/>
        </w:rPr>
        <w:t> </w:t>
      </w:r>
      <w:r>
        <w:rPr>
          <w:color w:val="1C1C1C"/>
        </w:rPr>
        <w:t>Resources</w:t>
      </w:r>
      <w:r>
        <w:rPr>
          <w:color w:val="1C1C1C"/>
          <w:spacing w:val="2"/>
        </w:rPr>
        <w:t> </w:t>
      </w:r>
      <w:r>
        <w:rPr>
          <w:color w:val="050505"/>
        </w:rPr>
        <w:t>&amp;</w:t>
      </w:r>
      <w:r>
        <w:rPr>
          <w:color w:val="050505"/>
          <w:spacing w:val="-13"/>
        </w:rPr>
        <w:t> </w:t>
      </w:r>
      <w:r>
        <w:rPr>
          <w:color w:val="050505"/>
        </w:rPr>
        <w:t>Customer</w:t>
      </w:r>
      <w:r>
        <w:rPr>
          <w:color w:val="050505"/>
          <w:spacing w:val="6"/>
        </w:rPr>
        <w:t> </w:t>
      </w:r>
      <w:r>
        <w:rPr>
          <w:color w:val="050505"/>
          <w:spacing w:val="-2"/>
        </w:rPr>
        <w:t>Services</w:t>
      </w:r>
      <w:r>
        <w:rPr>
          <w:color w:val="050505"/>
        </w:rPr>
        <w:tab/>
      </w:r>
      <w:r>
        <w:rPr>
          <w:color w:val="050505"/>
          <w:spacing w:val="-2"/>
        </w:rPr>
        <w:t>1,724</w:t>
      </w:r>
      <w:r>
        <w:rPr>
          <w:color w:val="050505"/>
        </w:rPr>
        <w:tab/>
      </w:r>
      <w:r>
        <w:rPr>
          <w:color w:val="050505"/>
          <w:spacing w:val="-4"/>
        </w:rPr>
        <w:t>(96)</w:t>
      </w:r>
      <w:r>
        <w:rPr>
          <w:color w:val="050505"/>
        </w:rPr>
        <w:tab/>
      </w:r>
      <w:r>
        <w:rPr>
          <w:b/>
          <w:color w:val="050505"/>
          <w:spacing w:val="-2"/>
          <w:sz w:val="21"/>
        </w:rPr>
        <w:t>1,628</w:t>
      </w:r>
    </w:p>
    <w:p>
      <w:pPr>
        <w:pStyle w:val="BodyText"/>
        <w:tabs>
          <w:tab w:val="left" w:leader="none" w:pos="2286"/>
          <w:tab w:val="left" w:leader="none" w:pos="3673"/>
          <w:tab w:val="left" w:leader="none" w:pos="4832"/>
          <w:tab w:val="left" w:leader="none" w:pos="12260"/>
          <w:tab w:val="left" w:leader="none" w:pos="13420"/>
          <w:tab w:val="left" w:leader="none" w:pos="14807"/>
        </w:tabs>
        <w:spacing w:line="255" w:lineRule="exact"/>
        <w:ind w:left="1047"/>
        <w:rPr>
          <w:b/>
          <w:sz w:val="21"/>
        </w:rPr>
      </w:pPr>
      <w:r>
        <w:rPr>
          <w:color w:val="050505"/>
          <w:spacing w:val="-2"/>
          <w:position w:val="1"/>
        </w:rPr>
        <w:t>2,036</w:t>
      </w:r>
      <w:r>
        <w:rPr>
          <w:color w:val="050505"/>
          <w:position w:val="1"/>
        </w:rPr>
        <w:tab/>
      </w:r>
      <w:r>
        <w:rPr>
          <w:color w:val="050505"/>
          <w:spacing w:val="-4"/>
          <w:position w:val="1"/>
        </w:rPr>
        <w:t>(542)</w:t>
      </w:r>
      <w:r>
        <w:rPr>
          <w:color w:val="050505"/>
          <w:position w:val="1"/>
        </w:rPr>
        <w:tab/>
      </w:r>
      <w:r>
        <w:rPr>
          <w:b/>
          <w:color w:val="050505"/>
          <w:spacing w:val="-2"/>
          <w:position w:val="1"/>
          <w:sz w:val="21"/>
        </w:rPr>
        <w:t>1,494</w:t>
      </w:r>
      <w:r>
        <w:rPr>
          <w:b/>
          <w:color w:val="050505"/>
          <w:position w:val="1"/>
          <w:sz w:val="21"/>
        </w:rPr>
        <w:tab/>
      </w:r>
      <w:r>
        <w:rPr>
          <w:color w:val="1C1C1C"/>
          <w:position w:val="1"/>
        </w:rPr>
        <w:t>Legal</w:t>
      </w:r>
      <w:r>
        <w:rPr>
          <w:color w:val="1C1C1C"/>
          <w:spacing w:val="-5"/>
          <w:position w:val="1"/>
        </w:rPr>
        <w:t> </w:t>
      </w:r>
      <w:r>
        <w:rPr>
          <w:color w:val="050505"/>
          <w:position w:val="1"/>
        </w:rPr>
        <w:t>&amp;</w:t>
      </w:r>
      <w:r>
        <w:rPr>
          <w:color w:val="050505"/>
          <w:spacing w:val="-6"/>
          <w:position w:val="1"/>
        </w:rPr>
        <w:t> </w:t>
      </w:r>
      <w:r>
        <w:rPr>
          <w:color w:val="1C1C1C"/>
          <w:position w:val="1"/>
        </w:rPr>
        <w:t>Democratic</w:t>
      </w:r>
      <w:r>
        <w:rPr>
          <w:color w:val="1C1C1C"/>
          <w:spacing w:val="8"/>
          <w:position w:val="1"/>
        </w:rPr>
        <w:t> </w:t>
      </w:r>
      <w:r>
        <w:rPr>
          <w:color w:val="050505"/>
          <w:spacing w:val="-2"/>
          <w:position w:val="1"/>
        </w:rPr>
        <w:t>Services</w:t>
      </w:r>
      <w:r>
        <w:rPr>
          <w:color w:val="050505"/>
          <w:position w:val="1"/>
        </w:rPr>
        <w:tab/>
      </w:r>
      <w:r>
        <w:rPr>
          <w:color w:val="050505"/>
          <w:spacing w:val="-2"/>
        </w:rPr>
        <w:t>1,885</w:t>
      </w:r>
      <w:r>
        <w:rPr>
          <w:color w:val="050505"/>
        </w:rPr>
        <w:tab/>
      </w:r>
      <w:r>
        <w:rPr>
          <w:color w:val="050505"/>
          <w:spacing w:val="-2"/>
        </w:rPr>
        <w:t>(178)</w:t>
      </w:r>
      <w:r>
        <w:rPr>
          <w:color w:val="050505"/>
        </w:rPr>
        <w:tab/>
      </w:r>
      <w:r>
        <w:rPr>
          <w:b/>
          <w:color w:val="050505"/>
          <w:spacing w:val="-2"/>
          <w:sz w:val="21"/>
        </w:rPr>
        <w:t>1,707</w:t>
      </w:r>
    </w:p>
    <w:p>
      <w:pPr>
        <w:pStyle w:val="BodyText"/>
        <w:tabs>
          <w:tab w:val="left" w:leader="none" w:pos="2286"/>
          <w:tab w:val="left" w:leader="none" w:pos="3677"/>
          <w:tab w:val="left" w:leader="none" w:pos="4831"/>
          <w:tab w:val="left" w:leader="none" w:pos="12268"/>
          <w:tab w:val="left" w:leader="none" w:pos="13425"/>
          <w:tab w:val="left" w:leader="none" w:pos="14812"/>
        </w:tabs>
        <w:spacing w:line="252" w:lineRule="exact"/>
        <w:ind w:left="1047"/>
        <w:rPr>
          <w:b/>
          <w:sz w:val="21"/>
        </w:rPr>
      </w:pPr>
      <w:r>
        <w:rPr>
          <w:color w:val="050505"/>
          <w:spacing w:val="-2"/>
          <w:position w:val="1"/>
        </w:rPr>
        <w:t>2,168</w:t>
      </w:r>
      <w:r>
        <w:rPr>
          <w:color w:val="050505"/>
          <w:position w:val="1"/>
        </w:rPr>
        <w:tab/>
      </w:r>
      <w:r>
        <w:rPr>
          <w:color w:val="050505"/>
          <w:spacing w:val="-4"/>
          <w:position w:val="1"/>
        </w:rPr>
        <w:t>(628)</w:t>
      </w:r>
      <w:r>
        <w:rPr>
          <w:color w:val="050505"/>
          <w:position w:val="1"/>
        </w:rPr>
        <w:tab/>
      </w:r>
      <w:r>
        <w:rPr>
          <w:b/>
          <w:color w:val="050505"/>
          <w:spacing w:val="-2"/>
          <w:position w:val="1"/>
          <w:sz w:val="21"/>
        </w:rPr>
        <w:t>1,540</w:t>
      </w:r>
      <w:r>
        <w:rPr>
          <w:b/>
          <w:color w:val="050505"/>
          <w:position w:val="1"/>
          <w:sz w:val="21"/>
        </w:rPr>
        <w:tab/>
      </w:r>
      <w:r>
        <w:rPr>
          <w:color w:val="1C1C1C"/>
        </w:rPr>
        <w:t>Partnership</w:t>
      </w:r>
      <w:r>
        <w:rPr>
          <w:color w:val="1C1C1C"/>
          <w:spacing w:val="2"/>
        </w:rPr>
        <w:t> </w:t>
      </w:r>
      <w:r>
        <w:rPr>
          <w:color w:val="1C1C1C"/>
        </w:rPr>
        <w:t>&amp;</w:t>
      </w:r>
      <w:r>
        <w:rPr>
          <w:color w:val="1C1C1C"/>
          <w:spacing w:val="-12"/>
        </w:rPr>
        <w:t> </w:t>
      </w:r>
      <w:r>
        <w:rPr>
          <w:color w:val="1C1C1C"/>
        </w:rPr>
        <w:t>Community</w:t>
      </w:r>
      <w:r>
        <w:rPr>
          <w:color w:val="1C1C1C"/>
          <w:spacing w:val="-2"/>
        </w:rPr>
        <w:t> </w:t>
      </w:r>
      <w:r>
        <w:rPr>
          <w:color w:val="050505"/>
          <w:spacing w:val="-2"/>
        </w:rPr>
        <w:t>Engagement</w:t>
      </w:r>
      <w:r>
        <w:rPr>
          <w:color w:val="050505"/>
        </w:rPr>
        <w:tab/>
      </w:r>
      <w:r>
        <w:rPr>
          <w:color w:val="050505"/>
          <w:spacing w:val="-2"/>
        </w:rPr>
        <w:t>2,020</w:t>
      </w:r>
      <w:r>
        <w:rPr>
          <w:color w:val="050505"/>
        </w:rPr>
        <w:tab/>
      </w:r>
      <w:r>
        <w:rPr>
          <w:color w:val="050505"/>
          <w:spacing w:val="-2"/>
        </w:rPr>
        <w:t>(923)</w:t>
      </w:r>
      <w:r>
        <w:rPr>
          <w:color w:val="050505"/>
        </w:rPr>
        <w:tab/>
      </w:r>
      <w:r>
        <w:rPr>
          <w:b/>
          <w:color w:val="050505"/>
          <w:spacing w:val="-2"/>
          <w:sz w:val="21"/>
        </w:rPr>
        <w:t>1,097</w:t>
      </w:r>
    </w:p>
    <w:p>
      <w:pPr>
        <w:pStyle w:val="BodyText"/>
        <w:tabs>
          <w:tab w:val="left" w:leader="none" w:pos="2103"/>
          <w:tab w:val="left" w:leader="none" w:pos="3684"/>
          <w:tab w:val="left" w:leader="none" w:pos="4831"/>
          <w:tab w:val="left" w:leader="none" w:pos="12270"/>
          <w:tab w:val="left" w:leader="none" w:pos="13242"/>
          <w:tab w:val="left" w:leader="none" w:pos="14818"/>
        </w:tabs>
        <w:spacing w:line="255" w:lineRule="exact"/>
        <w:ind w:left="1049"/>
        <w:rPr>
          <w:b/>
          <w:sz w:val="21"/>
        </w:rPr>
      </w:pPr>
      <w:r>
        <w:rPr>
          <w:color w:val="050505"/>
          <w:spacing w:val="-2"/>
          <w:position w:val="1"/>
        </w:rPr>
        <w:t>3,549</w:t>
      </w:r>
      <w:r>
        <w:rPr>
          <w:color w:val="050505"/>
          <w:position w:val="1"/>
        </w:rPr>
        <w:tab/>
      </w:r>
      <w:r>
        <w:rPr>
          <w:color w:val="050505"/>
          <w:spacing w:val="-2"/>
          <w:position w:val="1"/>
        </w:rPr>
        <w:t>(1,316)</w:t>
      </w:r>
      <w:r>
        <w:rPr>
          <w:color w:val="050505"/>
          <w:position w:val="1"/>
        </w:rPr>
        <w:tab/>
      </w:r>
      <w:r>
        <w:rPr>
          <w:b/>
          <w:color w:val="050505"/>
          <w:spacing w:val="-2"/>
          <w:position w:val="1"/>
          <w:sz w:val="21"/>
        </w:rPr>
        <w:t>2,233</w:t>
      </w:r>
      <w:r>
        <w:rPr>
          <w:b/>
          <w:color w:val="050505"/>
          <w:position w:val="1"/>
          <w:sz w:val="21"/>
        </w:rPr>
        <w:tab/>
      </w:r>
      <w:r>
        <w:rPr>
          <w:color w:val="1C1C1C"/>
        </w:rPr>
        <w:t>Planning</w:t>
      </w:r>
      <w:r>
        <w:rPr>
          <w:color w:val="1C1C1C"/>
          <w:spacing w:val="5"/>
        </w:rPr>
        <w:t> </w:t>
      </w:r>
      <w:r>
        <w:rPr>
          <w:color w:val="1C1C1C"/>
        </w:rPr>
        <w:t>&amp;</w:t>
      </w:r>
      <w:r>
        <w:rPr>
          <w:color w:val="1C1C1C"/>
          <w:spacing w:val="-9"/>
        </w:rPr>
        <w:t> </w:t>
      </w:r>
      <w:r>
        <w:rPr>
          <w:color w:val="1C1C1C"/>
        </w:rPr>
        <w:t>Economic</w:t>
      </w:r>
      <w:r>
        <w:rPr>
          <w:color w:val="1C1C1C"/>
          <w:spacing w:val="4"/>
        </w:rPr>
        <w:t> </w:t>
      </w:r>
      <w:r>
        <w:rPr>
          <w:color w:val="050505"/>
          <w:spacing w:val="-2"/>
        </w:rPr>
        <w:t>Development</w:t>
      </w:r>
      <w:r>
        <w:rPr>
          <w:color w:val="050505"/>
        </w:rPr>
        <w:tab/>
      </w:r>
      <w:r>
        <w:rPr>
          <w:color w:val="050505"/>
          <w:spacing w:val="-2"/>
        </w:rPr>
        <w:t>3,804</w:t>
      </w:r>
      <w:r>
        <w:rPr>
          <w:color w:val="050505"/>
        </w:rPr>
        <w:tab/>
      </w:r>
      <w:r>
        <w:rPr>
          <w:color w:val="050505"/>
          <w:spacing w:val="-2"/>
        </w:rPr>
        <w:t>(1,703)</w:t>
      </w:r>
      <w:r>
        <w:rPr>
          <w:color w:val="050505"/>
        </w:rPr>
        <w:tab/>
      </w:r>
      <w:r>
        <w:rPr>
          <w:b/>
          <w:color w:val="050505"/>
          <w:spacing w:val="-2"/>
          <w:sz w:val="21"/>
        </w:rPr>
        <w:t>2,101</w:t>
      </w:r>
    </w:p>
    <w:p>
      <w:pPr>
        <w:pStyle w:val="BodyText"/>
        <w:tabs>
          <w:tab w:val="left" w:leader="none" w:pos="2108"/>
          <w:tab w:val="left" w:leader="none" w:pos="3685"/>
          <w:tab w:val="left" w:leader="none" w:pos="4838"/>
          <w:tab w:val="left" w:leader="none" w:pos="12270"/>
          <w:tab w:val="left" w:leader="none" w:pos="13247"/>
          <w:tab w:val="left" w:leader="none" w:pos="14814"/>
        </w:tabs>
        <w:spacing w:line="255" w:lineRule="exact"/>
        <w:ind w:left="1048"/>
        <w:rPr>
          <w:b/>
          <w:sz w:val="21"/>
        </w:rPr>
      </w:pPr>
      <w:r>
        <w:rPr>
          <w:color w:val="050505"/>
          <w:spacing w:val="-2"/>
          <w:position w:val="1"/>
        </w:rPr>
        <w:t>7,961</w:t>
      </w:r>
      <w:r>
        <w:rPr>
          <w:color w:val="050505"/>
          <w:position w:val="1"/>
        </w:rPr>
        <w:tab/>
      </w:r>
      <w:r>
        <w:rPr>
          <w:color w:val="050505"/>
          <w:spacing w:val="-2"/>
          <w:position w:val="1"/>
        </w:rPr>
        <w:t>(2,868)</w:t>
      </w:r>
      <w:r>
        <w:rPr>
          <w:color w:val="050505"/>
          <w:position w:val="1"/>
        </w:rPr>
        <w:tab/>
      </w:r>
      <w:r>
        <w:rPr>
          <w:b/>
          <w:color w:val="050505"/>
          <w:spacing w:val="-2"/>
          <w:position w:val="1"/>
          <w:sz w:val="21"/>
        </w:rPr>
        <w:t>5,093</w:t>
      </w:r>
      <w:r>
        <w:rPr>
          <w:b/>
          <w:color w:val="050505"/>
          <w:position w:val="1"/>
          <w:sz w:val="21"/>
        </w:rPr>
        <w:tab/>
      </w:r>
      <w:r>
        <w:rPr>
          <w:color w:val="1C1C1C"/>
        </w:rPr>
        <w:t>Street</w:t>
      </w:r>
      <w:r>
        <w:rPr>
          <w:color w:val="1C1C1C"/>
          <w:spacing w:val="-1"/>
        </w:rPr>
        <w:t> </w:t>
      </w:r>
      <w:r>
        <w:rPr>
          <w:color w:val="1C1C1C"/>
        </w:rPr>
        <w:t>Scene</w:t>
      </w:r>
      <w:r>
        <w:rPr>
          <w:color w:val="1C1C1C"/>
          <w:spacing w:val="-7"/>
        </w:rPr>
        <w:t> </w:t>
      </w:r>
      <w:r>
        <w:rPr>
          <w:color w:val="1C1C1C"/>
          <w:spacing w:val="-2"/>
        </w:rPr>
        <w:t>Services</w:t>
      </w:r>
      <w:r>
        <w:rPr>
          <w:color w:val="1C1C1C"/>
        </w:rPr>
        <w:tab/>
      </w:r>
      <w:r>
        <w:rPr>
          <w:color w:val="050505"/>
          <w:spacing w:val="-2"/>
        </w:rPr>
        <w:t>9,067</w:t>
      </w:r>
      <w:r>
        <w:rPr>
          <w:color w:val="050505"/>
        </w:rPr>
        <w:tab/>
      </w:r>
      <w:r>
        <w:rPr>
          <w:color w:val="050505"/>
          <w:spacing w:val="-2"/>
        </w:rPr>
        <w:t>(3,511)</w:t>
      </w:r>
      <w:r>
        <w:rPr>
          <w:color w:val="050505"/>
        </w:rPr>
        <w:tab/>
      </w:r>
      <w:r>
        <w:rPr>
          <w:b/>
          <w:color w:val="050505"/>
          <w:spacing w:val="-2"/>
          <w:sz w:val="21"/>
        </w:rPr>
        <w:t>5,556</w:t>
      </w:r>
    </w:p>
    <w:p>
      <w:pPr>
        <w:pStyle w:val="BodyText"/>
        <w:tabs>
          <w:tab w:val="left" w:leader="none" w:pos="2290"/>
          <w:tab w:val="left" w:leader="none" w:pos="3865"/>
          <w:tab w:val="left" w:leader="none" w:pos="4836"/>
        </w:tabs>
        <w:spacing w:line="197" w:lineRule="exact"/>
        <w:ind w:left="1237"/>
      </w:pPr>
      <w:r>
        <w:rPr>
          <w:color w:val="050505"/>
          <w:spacing w:val="-5"/>
        </w:rPr>
        <w:t>304</w:t>
      </w:r>
      <w:r>
        <w:rPr>
          <w:color w:val="050505"/>
        </w:rPr>
        <w:tab/>
      </w:r>
      <w:r>
        <w:rPr>
          <w:color w:val="050505"/>
          <w:spacing w:val="-2"/>
        </w:rPr>
        <w:t>(139)</w:t>
      </w:r>
      <w:r>
        <w:rPr>
          <w:color w:val="050505"/>
        </w:rPr>
        <w:tab/>
      </w:r>
      <w:r>
        <w:rPr>
          <w:b/>
          <w:color w:val="050505"/>
          <w:spacing w:val="-5"/>
          <w:sz w:val="21"/>
        </w:rPr>
        <w:t>165</w:t>
      </w:r>
      <w:r>
        <w:rPr>
          <w:b/>
          <w:color w:val="050505"/>
          <w:sz w:val="21"/>
        </w:rPr>
        <w:tab/>
      </w:r>
      <w:r>
        <w:rPr>
          <w:color w:val="050505"/>
        </w:rPr>
        <w:t>Exceptional</w:t>
      </w:r>
      <w:r>
        <w:rPr>
          <w:color w:val="050505"/>
          <w:spacing w:val="1"/>
        </w:rPr>
        <w:t> </w:t>
      </w:r>
      <w:r>
        <w:rPr>
          <w:color w:val="050505"/>
        </w:rPr>
        <w:t>Items</w:t>
      </w:r>
      <w:r>
        <w:rPr>
          <w:color w:val="050505"/>
          <w:spacing w:val="-7"/>
        </w:rPr>
        <w:t> </w:t>
      </w:r>
      <w:r>
        <w:rPr>
          <w:color w:val="050505"/>
        </w:rPr>
        <w:t>-</w:t>
      </w:r>
      <w:r>
        <w:rPr>
          <w:color w:val="050505"/>
          <w:spacing w:val="-14"/>
        </w:rPr>
        <w:t> </w:t>
      </w:r>
      <w:r>
        <w:rPr>
          <w:color w:val="050505"/>
        </w:rPr>
        <w:t>Covid-</w:t>
      </w:r>
      <w:r>
        <w:rPr>
          <w:color w:val="050505"/>
          <w:spacing w:val="-5"/>
        </w:rPr>
        <w:t>19</w:t>
      </w:r>
    </w:p>
    <w:p>
      <w:pPr>
        <w:pStyle w:val="BodyText"/>
        <w:tabs>
          <w:tab w:val="left" w:leader="none" w:pos="2117"/>
          <w:tab w:val="left" w:leader="none" w:pos="4173"/>
          <w:tab w:val="left" w:leader="none" w:pos="4836"/>
        </w:tabs>
        <w:spacing w:line="312" w:lineRule="exact"/>
        <w:ind w:left="1054"/>
      </w:pPr>
      <w:r>
        <w:rPr>
          <w:color w:val="050505"/>
          <w:spacing w:val="-2"/>
        </w:rPr>
        <w:t>1,642</w:t>
      </w:r>
      <w:r>
        <w:rPr>
          <w:color w:val="050505"/>
        </w:rPr>
        <w:tab/>
      </w:r>
      <w:r>
        <w:rPr>
          <w:color w:val="050505"/>
          <w:spacing w:val="-2"/>
        </w:rPr>
        <w:t>(1,642)</w:t>
      </w:r>
      <w:r>
        <w:rPr>
          <w:color w:val="050505"/>
        </w:rPr>
        <w:tab/>
      </w:r>
      <w:r>
        <w:rPr>
          <w:color w:val="1C1C1C"/>
          <w:spacing w:val="-10"/>
          <w:position w:val="-3"/>
          <w:sz w:val="38"/>
        </w:rPr>
        <w:t>-</w:t>
      </w:r>
      <w:r>
        <w:rPr>
          <w:color w:val="1C1C1C"/>
          <w:position w:val="-3"/>
          <w:sz w:val="38"/>
        </w:rPr>
        <w:tab/>
      </w:r>
      <w:r>
        <w:rPr>
          <w:color w:val="050505"/>
        </w:rPr>
        <w:t>Exceptional</w:t>
      </w:r>
      <w:r>
        <w:rPr>
          <w:color w:val="050505"/>
          <w:spacing w:val="7"/>
        </w:rPr>
        <w:t> </w:t>
      </w:r>
      <w:r>
        <w:rPr>
          <w:color w:val="1C1C1C"/>
        </w:rPr>
        <w:t>Items</w:t>
      </w:r>
      <w:r>
        <w:rPr>
          <w:color w:val="1C1C1C"/>
          <w:spacing w:val="-12"/>
        </w:rPr>
        <w:t> </w:t>
      </w:r>
      <w:r>
        <w:rPr>
          <w:color w:val="050505"/>
        </w:rPr>
        <w:t>-</w:t>
      </w:r>
      <w:r>
        <w:rPr>
          <w:color w:val="050505"/>
          <w:spacing w:val="-11"/>
        </w:rPr>
        <w:t> </w:t>
      </w:r>
      <w:r>
        <w:rPr>
          <w:color w:val="050505"/>
        </w:rPr>
        <w:t>Covid-19</w:t>
      </w:r>
      <w:r>
        <w:rPr>
          <w:color w:val="050505"/>
          <w:spacing w:val="-2"/>
        </w:rPr>
        <w:t> </w:t>
      </w:r>
      <w:r>
        <w:rPr>
          <w:color w:val="050505"/>
        </w:rPr>
        <w:t>Business</w:t>
      </w:r>
      <w:r>
        <w:rPr>
          <w:color w:val="050505"/>
          <w:spacing w:val="3"/>
        </w:rPr>
        <w:t> </w:t>
      </w:r>
      <w:r>
        <w:rPr>
          <w:color w:val="050505"/>
        </w:rPr>
        <w:t>Support </w:t>
      </w:r>
      <w:r>
        <w:rPr>
          <w:color w:val="050505"/>
          <w:spacing w:val="-2"/>
        </w:rPr>
        <w:t>Grants</w:t>
      </w:r>
    </w:p>
    <w:p>
      <w:pPr>
        <w:pStyle w:val="BodyText"/>
        <w:tabs>
          <w:tab w:val="left" w:leader="none" w:pos="1362"/>
          <w:tab w:val="left" w:leader="none" w:pos="2420"/>
          <w:tab w:val="left" w:leader="none" w:pos="4175"/>
          <w:tab w:val="left" w:leader="none" w:pos="4564"/>
          <w:tab w:val="left" w:leader="none" w:pos="4840"/>
        </w:tabs>
        <w:spacing w:line="285" w:lineRule="exact"/>
        <w:ind w:left="106"/>
      </w:pPr>
      <w:r>
        <w:rPr/>
        <ve:AlternateContent>
          <ve:Choice Requires="wps">
            <w:drawing>
              <wp:anchor distT="0" distB="0" distL="0" distR="0" simplePos="0" relativeHeight="15754240" behindDoc="0" locked="0" layoutInCell="1" allowOverlap="1">
                <wp:simplePos x="0" y="0"/>
                <wp:positionH relativeFrom="page">
                  <wp:posOffset>7726985</wp:posOffset>
                </wp:positionH>
                <wp:positionV relativeFrom="paragraph">
                  <wp:posOffset>162261</wp:posOffset>
                </wp:positionV>
                <wp:extent cx="2559685" cy="1270"/>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2559685" cy="1270"/>
                        </a:xfrm>
                        <a:custGeom>
                          <a:avLst/>
                          <a:gdLst/>
                          <a:ahLst/>
                          <a:cxnLst/>
                          <a:rect l="l" t="t" r="r" b="b"/>
                          <a:pathLst>
                            <a:path w="2559685" h="0">
                              <a:moveTo>
                                <a:pt x="0" y="0"/>
                              </a:moveTo>
                              <a:lnTo>
                                <a:pt x="2559373"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54240" stroked="true" strokecolor="#000000" strokeweight=".721232pt" from="608.424072pt,12.776473pt" to="809.94952pt,12.776473pt">
                <v:stroke dashstyle="solid"/>
                <w10:wrap type="none"/>
              </v:line>
            </w:pict>
          </ve:Fallback>
        </ve:AlternateContent>
      </w:r>
      <w:r>
        <w:rPr>
          <w:color w:val="050505"/>
          <w:u w:val="single" w:color="000000"/>
        </w:rPr>
        <w:tab/>
      </w:r>
      <w:r>
        <w:rPr>
          <w:color w:val="050505"/>
          <w:spacing w:val="-5"/>
          <w:u w:val="single" w:color="000000"/>
        </w:rPr>
        <w:t>67</w:t>
      </w:r>
      <w:r>
        <w:rPr>
          <w:color w:val="050505"/>
          <w:u w:val="single" w:color="000000"/>
        </w:rPr>
        <w:tab/>
      </w:r>
      <w:r>
        <w:rPr>
          <w:color w:val="050505"/>
          <w:spacing w:val="-4"/>
          <w:u w:val="single" w:color="000000"/>
        </w:rPr>
        <w:t>(67)</w:t>
      </w:r>
      <w:r>
        <w:rPr>
          <w:color w:val="050505"/>
          <w:u w:val="single" w:color="000000"/>
        </w:rPr>
        <w:tab/>
      </w:r>
      <w:r>
        <w:rPr>
          <w:color w:val="1C1C1C"/>
          <w:spacing w:val="-10"/>
          <w:position w:val="-1"/>
          <w:sz w:val="32"/>
          <w:u w:val="single" w:color="000000"/>
        </w:rPr>
        <w:t>-</w:t>
      </w:r>
      <w:r>
        <w:rPr>
          <w:color w:val="1C1C1C"/>
          <w:position w:val="-1"/>
          <w:sz w:val="32"/>
          <w:u w:val="single" w:color="000000"/>
        </w:rPr>
        <w:tab/>
      </w:r>
      <w:r>
        <w:rPr>
          <w:color w:val="1C1C1C"/>
          <w:position w:val="-1"/>
          <w:sz w:val="32"/>
          <w:u w:val="none"/>
        </w:rPr>
        <w:tab/>
      </w:r>
      <w:r>
        <w:rPr>
          <w:color w:val="050505"/>
          <w:u w:val="none"/>
        </w:rPr>
        <w:t>Except</w:t>
      </w:r>
      <w:r>
        <w:rPr>
          <w:color w:val="363636"/>
          <w:u w:val="none"/>
        </w:rPr>
        <w:t>i</w:t>
      </w:r>
      <w:r>
        <w:rPr>
          <w:color w:val="1C1C1C"/>
          <w:u w:val="none"/>
        </w:rPr>
        <w:t>onal</w:t>
      </w:r>
      <w:r>
        <w:rPr>
          <w:color w:val="1C1C1C"/>
          <w:spacing w:val="-5"/>
          <w:u w:val="none"/>
        </w:rPr>
        <w:t> </w:t>
      </w:r>
      <w:r>
        <w:rPr>
          <w:color w:val="050505"/>
          <w:u w:val="none"/>
        </w:rPr>
        <w:t>Items</w:t>
      </w:r>
      <w:r>
        <w:rPr>
          <w:color w:val="050505"/>
          <w:spacing w:val="-5"/>
          <w:u w:val="none"/>
        </w:rPr>
        <w:t> </w:t>
      </w:r>
      <w:r>
        <w:rPr>
          <w:color w:val="050505"/>
          <w:u w:val="none"/>
        </w:rPr>
        <w:t>-</w:t>
      </w:r>
      <w:r>
        <w:rPr>
          <w:color w:val="050505"/>
          <w:spacing w:val="-11"/>
          <w:u w:val="none"/>
        </w:rPr>
        <w:t> </w:t>
      </w:r>
      <w:r>
        <w:rPr>
          <w:color w:val="050505"/>
          <w:u w:val="none"/>
        </w:rPr>
        <w:t>Covid-19</w:t>
      </w:r>
      <w:r>
        <w:rPr>
          <w:color w:val="050505"/>
          <w:spacing w:val="10"/>
          <w:u w:val="none"/>
        </w:rPr>
        <w:t> </w:t>
      </w:r>
      <w:r>
        <w:rPr>
          <w:color w:val="050505"/>
          <w:u w:val="none"/>
        </w:rPr>
        <w:t>Self</w:t>
      </w:r>
      <w:r>
        <w:rPr>
          <w:color w:val="050505"/>
          <w:spacing w:val="2"/>
          <w:u w:val="none"/>
        </w:rPr>
        <w:t> </w:t>
      </w:r>
      <w:r>
        <w:rPr>
          <w:color w:val="050505"/>
          <w:spacing w:val="-2"/>
          <w:u w:val="none"/>
        </w:rPr>
        <w:t>Isolation</w:t>
      </w:r>
    </w:p>
    <w:p>
      <w:pPr>
        <w:tabs>
          <w:tab w:val="left" w:leader="none" w:pos="1995"/>
          <w:tab w:val="left" w:leader="none" w:pos="3567"/>
          <w:tab w:val="left" w:leader="none" w:pos="4843"/>
          <w:tab w:val="left" w:leader="none" w:pos="12155"/>
          <w:tab w:val="left" w:leader="none" w:pos="13134"/>
          <w:tab w:val="left" w:leader="none" w:pos="14759"/>
        </w:tabs>
        <w:spacing w:before="0" w:line="231" w:lineRule="exact"/>
        <w:ind w:left="943" w:right="0" w:firstLine="0"/>
        <w:jc w:val="left"/>
        <w:rPr>
          <w:b/>
          <w:sz w:val="21"/>
        </w:rPr>
      </w:pPr>
      <w:r>
        <w:rPr>
          <w:b/>
          <w:color w:val="050505"/>
          <w:spacing w:val="-2"/>
          <w:w w:val="105"/>
          <w:sz w:val="21"/>
        </w:rPr>
        <w:t>58,372</w:t>
      </w:r>
      <w:r>
        <w:rPr>
          <w:b/>
          <w:color w:val="050505"/>
          <w:sz w:val="21"/>
        </w:rPr>
        <w:tab/>
      </w:r>
      <w:r>
        <w:rPr>
          <w:b/>
          <w:color w:val="050505"/>
          <w:spacing w:val="-2"/>
          <w:w w:val="105"/>
          <w:sz w:val="21"/>
        </w:rPr>
        <w:t>(42,111)</w:t>
      </w:r>
      <w:r>
        <w:rPr>
          <w:b/>
          <w:color w:val="050505"/>
          <w:sz w:val="21"/>
        </w:rPr>
        <w:tab/>
      </w:r>
      <w:r>
        <w:rPr>
          <w:b/>
          <w:color w:val="050505"/>
          <w:spacing w:val="-2"/>
          <w:w w:val="105"/>
          <w:sz w:val="21"/>
        </w:rPr>
        <w:t>16,261</w:t>
      </w:r>
      <w:r>
        <w:rPr>
          <w:b/>
          <w:color w:val="050505"/>
          <w:sz w:val="21"/>
        </w:rPr>
        <w:tab/>
      </w:r>
      <w:r>
        <w:rPr>
          <w:b/>
          <w:color w:val="050505"/>
          <w:w w:val="105"/>
          <w:sz w:val="21"/>
        </w:rPr>
        <w:t>Net</w:t>
      </w:r>
      <w:r>
        <w:rPr>
          <w:b/>
          <w:color w:val="050505"/>
          <w:spacing w:val="5"/>
          <w:w w:val="105"/>
          <w:sz w:val="21"/>
        </w:rPr>
        <w:t> </w:t>
      </w:r>
      <w:r>
        <w:rPr>
          <w:b/>
          <w:color w:val="1C1C1C"/>
          <w:w w:val="105"/>
          <w:sz w:val="21"/>
        </w:rPr>
        <w:t>Cost</w:t>
      </w:r>
      <w:r>
        <w:rPr>
          <w:b/>
          <w:color w:val="1C1C1C"/>
          <w:spacing w:val="-6"/>
          <w:w w:val="105"/>
          <w:sz w:val="21"/>
        </w:rPr>
        <w:t> </w:t>
      </w:r>
      <w:r>
        <w:rPr>
          <w:b/>
          <w:color w:val="050505"/>
          <w:w w:val="105"/>
          <w:sz w:val="21"/>
        </w:rPr>
        <w:t>of</w:t>
      </w:r>
      <w:r>
        <w:rPr>
          <w:b/>
          <w:color w:val="050505"/>
          <w:spacing w:val="7"/>
          <w:w w:val="105"/>
          <w:sz w:val="21"/>
        </w:rPr>
        <w:t> </w:t>
      </w:r>
      <w:r>
        <w:rPr>
          <w:b/>
          <w:color w:val="1C1C1C"/>
          <w:spacing w:val="-2"/>
          <w:w w:val="105"/>
          <w:sz w:val="21"/>
        </w:rPr>
        <w:t>Services</w:t>
      </w:r>
      <w:r>
        <w:rPr>
          <w:b/>
          <w:color w:val="1C1C1C"/>
          <w:sz w:val="21"/>
        </w:rPr>
        <w:tab/>
      </w:r>
      <w:r>
        <w:rPr>
          <w:b/>
          <w:color w:val="050505"/>
          <w:spacing w:val="-2"/>
          <w:w w:val="105"/>
          <w:sz w:val="21"/>
        </w:rPr>
        <w:t>64,087</w:t>
      </w:r>
      <w:r>
        <w:rPr>
          <w:b/>
          <w:color w:val="050505"/>
          <w:sz w:val="21"/>
        </w:rPr>
        <w:tab/>
      </w:r>
      <w:r>
        <w:rPr>
          <w:b/>
          <w:color w:val="050505"/>
          <w:spacing w:val="-2"/>
          <w:w w:val="105"/>
          <w:sz w:val="21"/>
        </w:rPr>
        <w:t>(48,910)</w:t>
      </w:r>
      <w:r>
        <w:rPr>
          <w:b/>
          <w:color w:val="050505"/>
          <w:sz w:val="21"/>
        </w:rPr>
        <w:tab/>
      </w:r>
      <w:r>
        <w:rPr>
          <w:b/>
          <w:color w:val="050505"/>
          <w:spacing w:val="-2"/>
          <w:w w:val="105"/>
          <w:sz w:val="21"/>
        </w:rPr>
        <w:t>15,177</w:t>
      </w:r>
    </w:p>
    <w:p>
      <w:pPr>
        <w:pStyle w:val="BodyText"/>
        <w:spacing w:before="16"/>
        <w:rPr>
          <w:b/>
          <w:sz w:val="21"/>
        </w:rPr>
      </w:pPr>
    </w:p>
    <w:p>
      <w:pPr>
        <w:pStyle w:val="BodyText"/>
        <w:tabs>
          <w:tab w:val="left" w:leader="none" w:pos="2425"/>
          <w:tab w:val="left" w:leader="none" w:pos="3692"/>
          <w:tab w:val="left" w:leader="none" w:pos="4852"/>
          <w:tab w:val="left" w:leader="none" w:pos="10885"/>
          <w:tab w:val="left" w:leader="none" w:pos="12279"/>
          <w:tab w:val="left" w:leader="none" w:pos="13439"/>
          <w:tab w:val="left" w:leader="none" w:pos="14821"/>
        </w:tabs>
        <w:spacing w:before="1" w:line="252" w:lineRule="exact"/>
        <w:ind w:left="1063"/>
        <w:rPr>
          <w:b/>
          <w:sz w:val="21"/>
        </w:rPr>
      </w:pPr>
      <w:r>
        <w:rPr>
          <w:color w:val="050505"/>
          <w:spacing w:val="-2"/>
        </w:rPr>
        <w:t>1,225</w:t>
      </w:r>
      <w:r>
        <w:rPr>
          <w:color w:val="050505"/>
        </w:rPr>
        <w:tab/>
      </w:r>
      <w:r>
        <w:rPr>
          <w:color w:val="050505"/>
          <w:spacing w:val="-4"/>
        </w:rPr>
        <w:t>(13)</w:t>
      </w:r>
      <w:r>
        <w:rPr>
          <w:color w:val="050505"/>
        </w:rPr>
        <w:tab/>
      </w:r>
      <w:r>
        <w:rPr>
          <w:b/>
          <w:color w:val="050505"/>
          <w:spacing w:val="-2"/>
          <w:position w:val="1"/>
          <w:sz w:val="21"/>
        </w:rPr>
        <w:t>1,212</w:t>
      </w:r>
      <w:r>
        <w:rPr>
          <w:b/>
          <w:color w:val="050505"/>
          <w:position w:val="1"/>
          <w:sz w:val="21"/>
        </w:rPr>
        <w:tab/>
      </w:r>
      <w:r>
        <w:rPr>
          <w:color w:val="1C1C1C"/>
        </w:rPr>
        <w:t>Other</w:t>
      </w:r>
      <w:r>
        <w:rPr>
          <w:color w:val="1C1C1C"/>
          <w:spacing w:val="-10"/>
        </w:rPr>
        <w:t> </w:t>
      </w:r>
      <w:r>
        <w:rPr>
          <w:color w:val="1C1C1C"/>
        </w:rPr>
        <w:t>Operating</w:t>
      </w:r>
      <w:r>
        <w:rPr>
          <w:color w:val="1C1C1C"/>
          <w:spacing w:val="2"/>
        </w:rPr>
        <w:t> </w:t>
      </w:r>
      <w:r>
        <w:rPr>
          <w:color w:val="1C1C1C"/>
          <w:spacing w:val="-2"/>
        </w:rPr>
        <w:t>Expenditure</w:t>
      </w:r>
      <w:r>
        <w:rPr>
          <w:color w:val="1C1C1C"/>
        </w:rPr>
        <w:tab/>
      </w:r>
      <w:r>
        <w:rPr>
          <w:color w:val="050505"/>
          <w:spacing w:val="-5"/>
        </w:rPr>
        <w:t>5.7</w:t>
      </w:r>
      <w:r>
        <w:rPr>
          <w:color w:val="050505"/>
        </w:rPr>
        <w:tab/>
      </w:r>
      <w:r>
        <w:rPr>
          <w:color w:val="050505"/>
          <w:spacing w:val="-2"/>
        </w:rPr>
        <w:t>1,914</w:t>
      </w:r>
      <w:r>
        <w:rPr>
          <w:color w:val="050505"/>
        </w:rPr>
        <w:tab/>
      </w:r>
      <w:r>
        <w:rPr>
          <w:color w:val="050505"/>
          <w:spacing w:val="-2"/>
        </w:rPr>
        <w:t>(759)</w:t>
      </w:r>
      <w:r>
        <w:rPr>
          <w:color w:val="050505"/>
        </w:rPr>
        <w:tab/>
      </w:r>
      <w:r>
        <w:rPr>
          <w:b/>
          <w:color w:val="050505"/>
          <w:spacing w:val="-2"/>
          <w:position w:val="1"/>
          <w:sz w:val="21"/>
        </w:rPr>
        <w:t>1,155</w:t>
      </w:r>
    </w:p>
    <w:p>
      <w:pPr>
        <w:pStyle w:val="BodyText"/>
        <w:tabs>
          <w:tab w:val="left" w:leader="none" w:pos="2127"/>
          <w:tab w:val="left" w:leader="none" w:pos="3611"/>
          <w:tab w:val="left" w:leader="none" w:pos="4854"/>
          <w:tab w:val="left" w:leader="none" w:pos="10885"/>
          <w:tab w:val="left" w:leader="none" w:pos="12286"/>
          <w:tab w:val="left" w:leader="none" w:pos="13261"/>
          <w:tab w:val="left" w:leader="none" w:pos="14745"/>
        </w:tabs>
        <w:spacing w:line="248" w:lineRule="exact"/>
        <w:ind w:left="1068"/>
        <w:rPr>
          <w:b/>
          <w:sz w:val="21"/>
        </w:rPr>
      </w:pPr>
      <w:r>
        <w:rPr>
          <w:color w:val="050505"/>
          <w:spacing w:val="-2"/>
        </w:rPr>
        <w:t>1,680</w:t>
      </w:r>
      <w:r>
        <w:rPr>
          <w:color w:val="050505"/>
        </w:rPr>
        <w:tab/>
      </w:r>
      <w:r>
        <w:rPr>
          <w:color w:val="050505"/>
          <w:spacing w:val="-2"/>
        </w:rPr>
        <w:t>(2,940)</w:t>
      </w:r>
      <w:r>
        <w:rPr>
          <w:color w:val="050505"/>
        </w:rPr>
        <w:tab/>
      </w:r>
      <w:r>
        <w:rPr>
          <w:b/>
          <w:color w:val="050505"/>
          <w:spacing w:val="-2"/>
          <w:sz w:val="21"/>
        </w:rPr>
        <w:t>(1,260)</w:t>
      </w:r>
      <w:r>
        <w:rPr>
          <w:b/>
          <w:color w:val="050505"/>
          <w:sz w:val="21"/>
        </w:rPr>
        <w:tab/>
      </w:r>
      <w:r>
        <w:rPr>
          <w:color w:val="1C1C1C"/>
        </w:rPr>
        <w:t>Financing</w:t>
      </w:r>
      <w:r>
        <w:rPr>
          <w:color w:val="1C1C1C"/>
          <w:spacing w:val="5"/>
        </w:rPr>
        <w:t> </w:t>
      </w:r>
      <w:r>
        <w:rPr>
          <w:color w:val="1C1C1C"/>
        </w:rPr>
        <w:t>and</w:t>
      </w:r>
      <w:r>
        <w:rPr>
          <w:color w:val="1C1C1C"/>
          <w:spacing w:val="-16"/>
        </w:rPr>
        <w:t> </w:t>
      </w:r>
      <w:r>
        <w:rPr>
          <w:color w:val="1C1C1C"/>
        </w:rPr>
        <w:t>Investment</w:t>
      </w:r>
      <w:r>
        <w:rPr>
          <w:color w:val="1C1C1C"/>
          <w:spacing w:val="6"/>
        </w:rPr>
        <w:t> </w:t>
      </w:r>
      <w:r>
        <w:rPr>
          <w:color w:val="1C1C1C"/>
        </w:rPr>
        <w:t>Income</w:t>
      </w:r>
      <w:r>
        <w:rPr>
          <w:color w:val="1C1C1C"/>
          <w:spacing w:val="-2"/>
        </w:rPr>
        <w:t> </w:t>
      </w:r>
      <w:r>
        <w:rPr>
          <w:color w:val="1C1C1C"/>
        </w:rPr>
        <w:t>and</w:t>
      </w:r>
      <w:r>
        <w:rPr>
          <w:color w:val="1C1C1C"/>
          <w:spacing w:val="-14"/>
        </w:rPr>
        <w:t> </w:t>
      </w:r>
      <w:r>
        <w:rPr>
          <w:color w:val="1C1C1C"/>
          <w:spacing w:val="-2"/>
        </w:rPr>
        <w:t>Expenditure</w:t>
      </w:r>
      <w:r>
        <w:rPr>
          <w:color w:val="1C1C1C"/>
        </w:rPr>
        <w:tab/>
      </w:r>
      <w:r>
        <w:rPr>
          <w:color w:val="050505"/>
          <w:spacing w:val="-5"/>
        </w:rPr>
        <w:t>5.8</w:t>
      </w:r>
      <w:r>
        <w:rPr>
          <w:color w:val="050505"/>
        </w:rPr>
        <w:tab/>
      </w:r>
      <w:r>
        <w:rPr>
          <w:color w:val="050505"/>
          <w:spacing w:val="-2"/>
        </w:rPr>
        <w:t>4,974</w:t>
      </w:r>
      <w:r>
        <w:rPr>
          <w:color w:val="050505"/>
        </w:rPr>
        <w:tab/>
      </w:r>
      <w:r>
        <w:rPr>
          <w:color w:val="050505"/>
          <w:spacing w:val="-2"/>
        </w:rPr>
        <w:t>(6,711)</w:t>
      </w:r>
      <w:r>
        <w:rPr>
          <w:color w:val="050505"/>
        </w:rPr>
        <w:tab/>
      </w:r>
      <w:r>
        <w:rPr>
          <w:b/>
          <w:color w:val="050505"/>
          <w:spacing w:val="-2"/>
          <w:position w:val="1"/>
          <w:sz w:val="21"/>
        </w:rPr>
        <w:t>(1,737)</w:t>
      </w:r>
    </w:p>
    <w:p>
      <w:pPr>
        <w:pStyle w:val="BodyText"/>
        <w:tabs>
          <w:tab w:val="left" w:leader="none" w:pos="2002"/>
          <w:tab w:val="left" w:leader="none" w:pos="3491"/>
          <w:tab w:val="left" w:leader="none" w:pos="4858"/>
          <w:tab w:val="left" w:leader="none" w:pos="10890"/>
          <w:tab w:val="left" w:leader="none" w:pos="12164"/>
          <w:tab w:val="left" w:leader="none" w:pos="13141"/>
          <w:tab w:val="left" w:leader="none" w:pos="14620"/>
        </w:tabs>
        <w:spacing w:line="259" w:lineRule="exact"/>
        <w:ind w:left="951"/>
        <w:rPr>
          <w:b/>
          <w:sz w:val="21"/>
        </w:rPr>
      </w:pPr>
      <w:r>
        <w:rPr/>
        <ve:AlternateContent>
          <ve:Choice Requires="wps">
            <w:drawing>
              <wp:anchor distT="0" distB="0" distL="0" distR="0" simplePos="0" relativeHeight="487610880" behindDoc="1" locked="0" layoutInCell="1" allowOverlap="1">
                <wp:simplePos x="0" y="0"/>
                <wp:positionH relativeFrom="page">
                  <wp:posOffset>797131</wp:posOffset>
                </wp:positionH>
                <wp:positionV relativeFrom="paragraph">
                  <wp:posOffset>177499</wp:posOffset>
                </wp:positionV>
                <wp:extent cx="2571750" cy="1270"/>
                <wp:effectExtent l="0" t="0" r="0" b="0"/>
                <wp:wrapTopAndBottom/>
                <wp:docPr id="112" name="Graphic 112"/>
                <wp:cNvGraphicFramePr>
                  <a:graphicFrameLocks/>
                </wp:cNvGraphicFramePr>
                <a:graphic>
                  <a:graphicData uri="http://schemas.microsoft.com/office/word/2010/wordprocessingShape">
                    <wps:wsp>
                      <wps:cNvPr id="112" name="Graphic 112"/>
                      <wps:cNvSpPr/>
                      <wps:spPr>
                        <a:xfrm>
                          <a:off x="0" y="0"/>
                          <a:ext cx="2571750" cy="1270"/>
                        </a:xfrm>
                        <a:custGeom>
                          <a:avLst/>
                          <a:gdLst/>
                          <a:ahLst/>
                          <a:cxnLst/>
                          <a:rect l="l" t="t" r="r" b="b"/>
                          <a:pathLst>
                            <a:path w="2571750" h="0">
                              <a:moveTo>
                                <a:pt x="0" y="0"/>
                              </a:moveTo>
                              <a:lnTo>
                                <a:pt x="2571589"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65" style="position:absolute;margin-left:62.766277pt;margin-top:13.976324pt;width:202.5pt;height:.1pt;mso-position-horizontal-relative:page;mso-position-vertical-relative:paragraph;z-index:-15705600;mso-wrap-distance-left:0;mso-wrap-distance-right:0" coordsize="4050,0" coordorigin="1255,280" filled="false" stroked="true" strokecolor="#000000" strokeweight=".721232pt" path="m1255,280l5305,280e">
                <v:path arrowok="t"/>
                <v:stroke dashstyle="solid"/>
                <w10:wrap type="topAndBottom"/>
              </v:shape>
            </w:pict>
          </ve:Fallback>
        </ve:AlternateContent>
      </w:r>
      <w:r>
        <w:rPr/>
        <ve:AlternateContent>
          <ve:Choice Requires="wps">
            <w:drawing>
              <wp:anchor distT="0" distB="0" distL="0" distR="0" simplePos="0" relativeHeight="487611392" behindDoc="1" locked="0" layoutInCell="1" allowOverlap="1">
                <wp:simplePos x="0" y="0"/>
                <wp:positionH relativeFrom="page">
                  <wp:posOffset>7726985</wp:posOffset>
                </wp:positionH>
                <wp:positionV relativeFrom="paragraph">
                  <wp:posOffset>177499</wp:posOffset>
                </wp:positionV>
                <wp:extent cx="2559685" cy="1270"/>
                <wp:effectExtent l="0" t="0" r="0" b="0"/>
                <wp:wrapTopAndBottom/>
                <wp:docPr id="113" name="Graphic 113"/>
                <wp:cNvGraphicFramePr>
                  <a:graphicFrameLocks/>
                </wp:cNvGraphicFramePr>
                <a:graphic>
                  <a:graphicData uri="http://schemas.microsoft.com/office/word/2010/wordprocessingShape">
                    <wps:wsp>
                      <wps:cNvPr id="113" name="Graphic 113"/>
                      <wps:cNvSpPr/>
                      <wps:spPr>
                        <a:xfrm>
                          <a:off x="0" y="0"/>
                          <a:ext cx="2559685" cy="1270"/>
                        </a:xfrm>
                        <a:custGeom>
                          <a:avLst/>
                          <a:gdLst/>
                          <a:ahLst/>
                          <a:cxnLst/>
                          <a:rect l="l" t="t" r="r" b="b"/>
                          <a:pathLst>
                            <a:path w="2559685" h="0">
                              <a:moveTo>
                                <a:pt x="0" y="0"/>
                              </a:moveTo>
                              <a:lnTo>
                                <a:pt x="2559373"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66" style="position:absolute;margin-left:608.424072pt;margin-top:13.976324pt;width:201.55pt;height:.1pt;mso-position-horizontal-relative:page;mso-position-vertical-relative:paragraph;z-index:-15705088;mso-wrap-distance-left:0;mso-wrap-distance-right:0" coordsize="4031,0" coordorigin="12168,280" filled="false" stroked="true" strokecolor="#000000" strokeweight=".721232pt" path="m12168,280l16199,280e">
                <v:path arrowok="t"/>
                <v:stroke dashstyle="solid"/>
                <w10:wrap type="topAndBottom"/>
              </v:shape>
            </w:pict>
          </ve:Fallback>
        </ve:AlternateContent>
      </w:r>
      <w:r>
        <w:rPr>
          <w:color w:val="050505"/>
          <w:spacing w:val="-2"/>
        </w:rPr>
        <w:t>21,004</w:t>
      </w:r>
      <w:r>
        <w:rPr>
          <w:color w:val="050505"/>
        </w:rPr>
        <w:tab/>
      </w:r>
      <w:r>
        <w:rPr>
          <w:color w:val="050505"/>
          <w:spacing w:val="-2"/>
        </w:rPr>
        <w:t>(47,158)</w:t>
      </w:r>
      <w:r>
        <w:rPr>
          <w:color w:val="050505"/>
        </w:rPr>
        <w:tab/>
      </w:r>
      <w:r>
        <w:rPr>
          <w:b/>
          <w:color w:val="050505"/>
          <w:spacing w:val="-2"/>
          <w:sz w:val="21"/>
        </w:rPr>
        <w:t>(26,154)</w:t>
      </w:r>
      <w:r>
        <w:rPr>
          <w:b/>
          <w:color w:val="050505"/>
          <w:sz w:val="21"/>
        </w:rPr>
        <w:tab/>
      </w:r>
      <w:r>
        <w:rPr>
          <w:color w:val="1C1C1C"/>
        </w:rPr>
        <w:t>Taxation</w:t>
      </w:r>
      <w:r>
        <w:rPr>
          <w:color w:val="1C1C1C"/>
          <w:spacing w:val="4"/>
        </w:rPr>
        <w:t> </w:t>
      </w:r>
      <w:r>
        <w:rPr>
          <w:color w:val="1C1C1C"/>
        </w:rPr>
        <w:t>and</w:t>
      </w:r>
      <w:r>
        <w:rPr>
          <w:color w:val="1C1C1C"/>
          <w:spacing w:val="-15"/>
        </w:rPr>
        <w:t> </w:t>
      </w:r>
      <w:r>
        <w:rPr>
          <w:color w:val="1C1C1C"/>
        </w:rPr>
        <w:t>Non-Specific</w:t>
      </w:r>
      <w:r>
        <w:rPr>
          <w:color w:val="1C1C1C"/>
          <w:spacing w:val="9"/>
        </w:rPr>
        <w:t> </w:t>
      </w:r>
      <w:r>
        <w:rPr>
          <w:color w:val="1C1C1C"/>
        </w:rPr>
        <w:t>Grant</w:t>
      </w:r>
      <w:r>
        <w:rPr>
          <w:color w:val="1C1C1C"/>
          <w:spacing w:val="-7"/>
        </w:rPr>
        <w:t> </w:t>
      </w:r>
      <w:r>
        <w:rPr>
          <w:color w:val="050505"/>
          <w:spacing w:val="-2"/>
        </w:rPr>
        <w:t>Income</w:t>
      </w:r>
      <w:r>
        <w:rPr>
          <w:color w:val="050505"/>
        </w:rPr>
        <w:tab/>
      </w:r>
      <w:r>
        <w:rPr>
          <w:color w:val="050505"/>
          <w:spacing w:val="-5"/>
        </w:rPr>
        <w:t>5.9</w:t>
      </w:r>
      <w:r>
        <w:rPr>
          <w:color w:val="050505"/>
        </w:rPr>
        <w:tab/>
      </w:r>
      <w:r>
        <w:rPr>
          <w:color w:val="050505"/>
          <w:spacing w:val="-2"/>
        </w:rPr>
        <w:t>16,967</w:t>
      </w:r>
      <w:r>
        <w:rPr>
          <w:color w:val="050505"/>
        </w:rPr>
        <w:tab/>
      </w:r>
      <w:r>
        <w:rPr>
          <w:color w:val="050505"/>
          <w:spacing w:val="-2"/>
          <w:position w:val="1"/>
        </w:rPr>
        <w:t>(41</w:t>
      </w:r>
      <w:r>
        <w:rPr>
          <w:color w:val="545454"/>
          <w:spacing w:val="-2"/>
          <w:position w:val="1"/>
        </w:rPr>
        <w:t>,</w:t>
      </w:r>
      <w:r>
        <w:rPr>
          <w:color w:val="050505"/>
          <w:spacing w:val="-2"/>
          <w:position w:val="1"/>
        </w:rPr>
        <w:t>070)</w:t>
      </w:r>
      <w:r>
        <w:rPr>
          <w:color w:val="050505"/>
          <w:position w:val="1"/>
        </w:rPr>
        <w:tab/>
      </w:r>
      <w:r>
        <w:rPr>
          <w:b/>
          <w:color w:val="050505"/>
          <w:spacing w:val="-2"/>
          <w:position w:val="1"/>
          <w:sz w:val="21"/>
        </w:rPr>
        <w:t>(24,103)</w:t>
      </w:r>
    </w:p>
    <w:p>
      <w:pPr>
        <w:tabs>
          <w:tab w:val="left" w:leader="none" w:pos="2004"/>
          <w:tab w:val="left" w:leader="none" w:pos="3616"/>
          <w:tab w:val="left" w:leader="none" w:pos="4857"/>
          <w:tab w:val="left" w:leader="none" w:pos="11428"/>
          <w:tab w:val="left" w:leader="none" w:pos="12170"/>
          <w:tab w:val="left" w:leader="none" w:pos="14750"/>
        </w:tabs>
        <w:spacing w:before="0"/>
        <w:ind w:left="953" w:right="0" w:firstLine="0"/>
        <w:jc w:val="left"/>
        <w:rPr>
          <w:b/>
          <w:sz w:val="21"/>
        </w:rPr>
      </w:pPr>
      <w:r>
        <w:rPr>
          <w:b/>
          <w:color w:val="050505"/>
          <w:spacing w:val="-2"/>
          <w:w w:val="105"/>
          <w:sz w:val="21"/>
        </w:rPr>
        <w:t>82,281</w:t>
      </w:r>
      <w:r>
        <w:rPr>
          <w:b/>
          <w:color w:val="050505"/>
          <w:sz w:val="21"/>
        </w:rPr>
        <w:tab/>
      </w:r>
      <w:r>
        <w:rPr>
          <w:b/>
          <w:color w:val="1C1C1C"/>
          <w:spacing w:val="-2"/>
          <w:w w:val="105"/>
          <w:sz w:val="21"/>
          <w:u w:val="thick" w:color="1C1C1C"/>
        </w:rPr>
        <w:t>(92,222)</w:t>
      </w:r>
      <w:r>
        <w:rPr>
          <w:b/>
          <w:color w:val="1C1C1C"/>
          <w:sz w:val="21"/>
          <w:u w:val="none"/>
        </w:rPr>
        <w:tab/>
      </w:r>
      <w:r>
        <w:rPr>
          <w:b/>
          <w:color w:val="050505"/>
          <w:spacing w:val="-2"/>
          <w:w w:val="105"/>
          <w:position w:val="1"/>
          <w:sz w:val="21"/>
          <w:u w:val="none"/>
        </w:rPr>
        <w:t>(9,941)</w:t>
      </w:r>
      <w:r>
        <w:rPr>
          <w:b/>
          <w:color w:val="050505"/>
          <w:position w:val="1"/>
          <w:sz w:val="21"/>
          <w:u w:val="none"/>
        </w:rPr>
        <w:tab/>
      </w:r>
      <w:r>
        <w:rPr>
          <w:b/>
          <w:color w:val="1C1C1C"/>
          <w:w w:val="105"/>
          <w:sz w:val="21"/>
          <w:u w:val="none"/>
        </w:rPr>
        <w:t>(Surplus)/</w:t>
      </w:r>
      <w:r>
        <w:rPr>
          <w:b/>
          <w:color w:val="1C1C1C"/>
          <w:spacing w:val="13"/>
          <w:w w:val="105"/>
          <w:sz w:val="21"/>
          <w:u w:val="none"/>
        </w:rPr>
        <w:t> </w:t>
      </w:r>
      <w:r>
        <w:rPr>
          <w:b/>
          <w:color w:val="050505"/>
          <w:w w:val="105"/>
          <w:sz w:val="21"/>
          <w:u w:val="none"/>
        </w:rPr>
        <w:t>Deficit</w:t>
      </w:r>
      <w:r>
        <w:rPr>
          <w:b/>
          <w:color w:val="050505"/>
          <w:spacing w:val="9"/>
          <w:w w:val="105"/>
          <w:sz w:val="21"/>
          <w:u w:val="none"/>
        </w:rPr>
        <w:t> </w:t>
      </w:r>
      <w:r>
        <w:rPr>
          <w:b/>
          <w:color w:val="1C1C1C"/>
          <w:w w:val="105"/>
          <w:sz w:val="21"/>
          <w:u w:val="none"/>
        </w:rPr>
        <w:t>on</w:t>
      </w:r>
      <w:r>
        <w:rPr>
          <w:b/>
          <w:color w:val="1C1C1C"/>
          <w:spacing w:val="3"/>
          <w:w w:val="105"/>
          <w:sz w:val="21"/>
          <w:u w:val="none"/>
        </w:rPr>
        <w:t> </w:t>
      </w:r>
      <w:r>
        <w:rPr>
          <w:b/>
          <w:color w:val="050505"/>
          <w:w w:val="105"/>
          <w:sz w:val="21"/>
          <w:u w:val="none"/>
        </w:rPr>
        <w:t>Provision</w:t>
      </w:r>
      <w:r>
        <w:rPr>
          <w:b/>
          <w:color w:val="050505"/>
          <w:spacing w:val="18"/>
          <w:w w:val="105"/>
          <w:sz w:val="21"/>
          <w:u w:val="none"/>
        </w:rPr>
        <w:t> </w:t>
      </w:r>
      <w:r>
        <w:rPr>
          <w:b/>
          <w:color w:val="1C1C1C"/>
          <w:w w:val="105"/>
          <w:sz w:val="21"/>
          <w:u w:val="none"/>
        </w:rPr>
        <w:t>of</w:t>
      </w:r>
      <w:r>
        <w:rPr>
          <w:b/>
          <w:color w:val="1C1C1C"/>
          <w:spacing w:val="10"/>
          <w:w w:val="105"/>
          <w:sz w:val="21"/>
          <w:u w:val="none"/>
        </w:rPr>
        <w:t> </w:t>
      </w:r>
      <w:r>
        <w:rPr>
          <w:b/>
          <w:color w:val="1C1C1C"/>
          <w:spacing w:val="-2"/>
          <w:w w:val="105"/>
          <w:sz w:val="21"/>
          <w:u w:val="none"/>
        </w:rPr>
        <w:t>Services</w:t>
      </w:r>
      <w:r>
        <w:rPr>
          <w:b/>
          <w:color w:val="1C1C1C"/>
          <w:sz w:val="21"/>
          <w:u w:val="none"/>
        </w:rPr>
        <w:tab/>
      </w:r>
      <w:r>
        <w:rPr>
          <w:b/>
          <w:color w:val="050505"/>
          <w:position w:val="1"/>
          <w:sz w:val="21"/>
          <w:u w:val="single" w:color="000000"/>
        </w:rPr>
        <w:tab/>
      </w:r>
      <w:r>
        <w:rPr>
          <w:b/>
          <w:color w:val="050505"/>
          <w:w w:val="105"/>
          <w:position w:val="1"/>
          <w:sz w:val="21"/>
          <w:u w:val="single" w:color="000000"/>
        </w:rPr>
        <w:t>87,942</w:t>
      </w:r>
      <w:r>
        <w:rPr>
          <w:b/>
          <w:color w:val="050505"/>
          <w:spacing w:val="56"/>
          <w:w w:val="105"/>
          <w:position w:val="1"/>
          <w:sz w:val="21"/>
          <w:u w:val="single" w:color="000000"/>
        </w:rPr>
        <w:t> </w:t>
      </w:r>
      <w:r>
        <w:rPr>
          <w:b/>
          <w:color w:val="050505"/>
          <w:spacing w:val="23"/>
          <w:w w:val="105"/>
          <w:position w:val="1"/>
          <w:sz w:val="21"/>
          <w:u w:val="none"/>
        </w:rPr>
        <w:t>  </w:t>
      </w:r>
      <w:r>
        <w:rPr>
          <w:b/>
          <w:color w:val="050505"/>
          <w:spacing w:val="-2"/>
          <w:w w:val="105"/>
          <w:position w:val="1"/>
          <w:sz w:val="21"/>
          <w:u w:val="thick" w:color="050505"/>
        </w:rPr>
        <w:t>(97,450)</w:t>
      </w:r>
      <w:r>
        <w:rPr>
          <w:b/>
          <w:color w:val="050505"/>
          <w:position w:val="1"/>
          <w:sz w:val="21"/>
          <w:u w:val="none"/>
        </w:rPr>
        <w:tab/>
      </w:r>
      <w:r>
        <w:rPr>
          <w:b/>
          <w:color w:val="050505"/>
          <w:spacing w:val="-2"/>
          <w:w w:val="105"/>
          <w:position w:val="1"/>
          <w:sz w:val="21"/>
          <w:u w:val="none"/>
        </w:rPr>
        <w:t>(9,508)</w:t>
      </w:r>
    </w:p>
    <w:p>
      <w:pPr>
        <w:tabs>
          <w:tab w:val="left" w:leader="none" w:pos="1238"/>
          <w:tab w:val="left" w:leader="none" w:pos="7115"/>
          <w:tab w:val="left" w:leader="none" w:pos="11014"/>
        </w:tabs>
        <w:spacing w:before="241" w:line="259" w:lineRule="exact"/>
        <w:ind w:left="0" w:right="179" w:firstLine="0"/>
        <w:jc w:val="right"/>
        <w:rPr>
          <w:b/>
          <w:sz w:val="21"/>
        </w:rPr>
      </w:pPr>
      <w:r>
        <w:rPr>
          <w:b/>
          <w:color w:val="050505"/>
          <w:spacing w:val="-2"/>
          <w:sz w:val="21"/>
        </w:rPr>
        <w:t>(7,451)</w:t>
      </w:r>
      <w:r>
        <w:rPr>
          <w:b/>
          <w:color w:val="050505"/>
          <w:sz w:val="21"/>
        </w:rPr>
        <w:tab/>
      </w:r>
      <w:r>
        <w:rPr>
          <w:color w:val="1C1C1C"/>
          <w:sz w:val="22"/>
        </w:rPr>
        <w:t>(Surplus)/</w:t>
      </w:r>
      <w:r>
        <w:rPr>
          <w:color w:val="1C1C1C"/>
          <w:spacing w:val="3"/>
          <w:sz w:val="22"/>
        </w:rPr>
        <w:t> </w:t>
      </w:r>
      <w:r>
        <w:rPr>
          <w:color w:val="1C1C1C"/>
          <w:sz w:val="22"/>
        </w:rPr>
        <w:t>Deficit</w:t>
      </w:r>
      <w:r>
        <w:rPr>
          <w:color w:val="1C1C1C"/>
          <w:spacing w:val="7"/>
          <w:sz w:val="22"/>
        </w:rPr>
        <w:t> </w:t>
      </w:r>
      <w:r>
        <w:rPr>
          <w:color w:val="1C1C1C"/>
          <w:sz w:val="22"/>
        </w:rPr>
        <w:t>on</w:t>
      </w:r>
      <w:r>
        <w:rPr>
          <w:color w:val="1C1C1C"/>
          <w:spacing w:val="-2"/>
          <w:sz w:val="22"/>
        </w:rPr>
        <w:t> </w:t>
      </w:r>
      <w:r>
        <w:rPr>
          <w:color w:val="1C1C1C"/>
          <w:sz w:val="22"/>
        </w:rPr>
        <w:t>revaluation</w:t>
      </w:r>
      <w:r>
        <w:rPr>
          <w:color w:val="1C1C1C"/>
          <w:spacing w:val="13"/>
          <w:sz w:val="22"/>
        </w:rPr>
        <w:t> </w:t>
      </w:r>
      <w:r>
        <w:rPr>
          <w:color w:val="1C1C1C"/>
          <w:sz w:val="22"/>
        </w:rPr>
        <w:t>of non-current</w:t>
      </w:r>
      <w:r>
        <w:rPr>
          <w:color w:val="1C1C1C"/>
          <w:spacing w:val="16"/>
          <w:sz w:val="22"/>
        </w:rPr>
        <w:t> </w:t>
      </w:r>
      <w:r>
        <w:rPr>
          <w:color w:val="050505"/>
          <w:spacing w:val="-2"/>
          <w:sz w:val="22"/>
        </w:rPr>
        <w:t>assets</w:t>
      </w:r>
      <w:r>
        <w:rPr>
          <w:color w:val="050505"/>
          <w:sz w:val="22"/>
        </w:rPr>
        <w:tab/>
      </w:r>
      <w:r>
        <w:rPr>
          <w:color w:val="050505"/>
          <w:spacing w:val="-2"/>
          <w:position w:val="1"/>
          <w:sz w:val="22"/>
        </w:rPr>
        <w:t>5.31.1</w:t>
      </w:r>
      <w:r>
        <w:rPr>
          <w:color w:val="050505"/>
          <w:position w:val="1"/>
          <w:sz w:val="22"/>
        </w:rPr>
        <w:tab/>
      </w:r>
      <w:r>
        <w:rPr>
          <w:b/>
          <w:color w:val="1C1C1C"/>
          <w:spacing w:val="-2"/>
          <w:position w:val="1"/>
          <w:sz w:val="21"/>
        </w:rPr>
        <w:t>(18,708)</w:t>
      </w:r>
    </w:p>
    <w:p>
      <w:pPr>
        <w:tabs>
          <w:tab w:val="left" w:leader="none" w:pos="3620"/>
          <w:tab w:val="left" w:leader="none" w:pos="4564"/>
          <w:tab w:val="left" w:leader="none" w:pos="4865"/>
          <w:tab w:val="left" w:leader="none" w:pos="10740"/>
          <w:tab w:val="left" w:leader="none" w:pos="14639"/>
        </w:tabs>
        <w:spacing w:before="0" w:line="244" w:lineRule="auto"/>
        <w:ind w:left="3505" w:right="174" w:hanging="591"/>
        <w:jc w:val="right"/>
        <w:rPr>
          <w:b/>
          <w:sz w:val="21"/>
        </w:rPr>
      </w:pPr>
      <w:r>
        <w:rPr/>
        <ve:AlternateContent>
          <ve:Choice Requires="wps">
            <w:drawing>
              <wp:anchor distT="0" distB="0" distL="0" distR="0" simplePos="0" relativeHeight="15754752" behindDoc="0" locked="0" layoutInCell="1" allowOverlap="1">
                <wp:simplePos x="0" y="0"/>
                <wp:positionH relativeFrom="page">
                  <wp:posOffset>9394549</wp:posOffset>
                </wp:positionH>
                <wp:positionV relativeFrom="paragraph">
                  <wp:posOffset>174731</wp:posOffset>
                </wp:positionV>
                <wp:extent cx="892175" cy="1270"/>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892175" cy="1270"/>
                        </a:xfrm>
                        <a:custGeom>
                          <a:avLst/>
                          <a:gdLst/>
                          <a:ahLst/>
                          <a:cxnLst/>
                          <a:rect l="l" t="t" r="r" b="b"/>
                          <a:pathLst>
                            <a:path w="892175" h="0">
                              <a:moveTo>
                                <a:pt x="0" y="0"/>
                              </a:moveTo>
                              <a:lnTo>
                                <a:pt x="891810"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54752" stroked="true" strokecolor="#000000" strokeweight=".721232pt" from="739.728271pt,13.758381pt" to="809.949549pt,13.758381pt">
                <v:stroke dashstyle="solid"/>
                <w10:wrap type="none"/>
              </v:line>
            </w:pict>
          </ve:Fallback>
        </ve:AlternateContent>
      </w:r>
      <w:r>
        <w:rPr>
          <w:b/>
          <w:color w:val="1C1C1C"/>
          <w:sz w:val="21"/>
          <w:u w:val="single" w:color="000000"/>
        </w:rPr>
        <w:tab/>
        <w:tab/>
      </w:r>
      <w:r>
        <w:rPr>
          <w:b/>
          <w:color w:val="1C1C1C"/>
          <w:spacing w:val="-2"/>
          <w:w w:val="105"/>
          <w:sz w:val="21"/>
          <w:u w:val="single" w:color="000000"/>
        </w:rPr>
        <w:t>(51136)</w:t>
      </w:r>
      <w:r>
        <w:rPr>
          <w:b/>
          <w:color w:val="1C1C1C"/>
          <w:sz w:val="21"/>
          <w:u w:val="single" w:color="000000"/>
        </w:rPr>
        <w:tab/>
      </w:r>
      <w:r>
        <w:rPr>
          <w:b/>
          <w:color w:val="1C1C1C"/>
          <w:sz w:val="21"/>
          <w:u w:val="none"/>
        </w:rPr>
        <w:tab/>
      </w:r>
      <w:r>
        <w:rPr>
          <w:color w:val="1C1C1C"/>
          <w:w w:val="105"/>
          <w:sz w:val="22"/>
          <w:u w:val="none"/>
        </w:rPr>
        <w:t>Re-measurements </w:t>
      </w:r>
      <w:r>
        <w:rPr>
          <w:color w:val="050505"/>
          <w:w w:val="105"/>
          <w:sz w:val="22"/>
          <w:u w:val="none"/>
        </w:rPr>
        <w:t>of </w:t>
      </w:r>
      <w:r>
        <w:rPr>
          <w:color w:val="1C1C1C"/>
          <w:w w:val="105"/>
          <w:sz w:val="22"/>
          <w:u w:val="none"/>
        </w:rPr>
        <w:t>net pension </w:t>
      </w:r>
      <w:r>
        <w:rPr>
          <w:color w:val="050505"/>
          <w:w w:val="105"/>
          <w:sz w:val="22"/>
          <w:u w:val="none"/>
        </w:rPr>
        <w:t>liab</w:t>
      </w:r>
      <w:r>
        <w:rPr>
          <w:color w:val="363636"/>
          <w:w w:val="105"/>
          <w:sz w:val="22"/>
          <w:u w:val="none"/>
        </w:rPr>
        <w:t>i</w:t>
      </w:r>
      <w:r>
        <w:rPr>
          <w:color w:val="1C1C1C"/>
          <w:w w:val="105"/>
          <w:sz w:val="22"/>
          <w:u w:val="none"/>
        </w:rPr>
        <w:t>lity</w:t>
      </w:r>
      <w:r>
        <w:rPr>
          <w:color w:val="1C1C1C"/>
          <w:sz w:val="22"/>
          <w:u w:val="none"/>
        </w:rPr>
        <w:tab/>
      </w:r>
      <w:r>
        <w:rPr>
          <w:color w:val="050505"/>
          <w:spacing w:val="-2"/>
          <w:w w:val="105"/>
          <w:position w:val="1"/>
          <w:sz w:val="22"/>
          <w:u w:val="none"/>
        </w:rPr>
        <w:t>5.29</w:t>
      </w:r>
      <w:r>
        <w:rPr>
          <w:color w:val="363636"/>
          <w:spacing w:val="-2"/>
          <w:w w:val="105"/>
          <w:position w:val="1"/>
          <w:sz w:val="22"/>
          <w:u w:val="none"/>
        </w:rPr>
        <w:t>.</w:t>
      </w:r>
      <w:r>
        <w:rPr>
          <w:color w:val="050505"/>
          <w:spacing w:val="-2"/>
          <w:w w:val="105"/>
          <w:position w:val="1"/>
          <w:sz w:val="22"/>
          <w:u w:val="none"/>
        </w:rPr>
        <w:t>1</w:t>
      </w:r>
      <w:r>
        <w:rPr>
          <w:color w:val="050505"/>
          <w:position w:val="1"/>
          <w:sz w:val="22"/>
          <w:u w:val="none"/>
        </w:rPr>
        <w:tab/>
      </w:r>
      <w:r>
        <w:rPr>
          <w:b/>
          <w:color w:val="1C1C1C"/>
          <w:spacing w:val="-2"/>
          <w:w w:val="105"/>
          <w:position w:val="1"/>
          <w:sz w:val="21"/>
          <w:u w:val="none"/>
        </w:rPr>
        <w:t>(32,297) </w:t>
      </w:r>
      <w:r>
        <w:rPr>
          <w:b/>
          <w:color w:val="050505"/>
          <w:spacing w:val="-2"/>
          <w:w w:val="105"/>
          <w:sz w:val="21"/>
          <w:u w:val="none"/>
        </w:rPr>
        <w:t>(12,587)</w:t>
      </w:r>
      <w:r>
        <w:rPr>
          <w:b/>
          <w:color w:val="050505"/>
          <w:sz w:val="21"/>
          <w:u w:val="none"/>
        </w:rPr>
        <w:tab/>
        <w:tab/>
      </w:r>
      <w:r>
        <w:rPr>
          <w:b/>
          <w:color w:val="050505"/>
          <w:spacing w:val="-51"/>
          <w:sz w:val="21"/>
          <w:u w:val="none"/>
        </w:rPr>
        <w:t> </w:t>
      </w:r>
      <w:r>
        <w:rPr>
          <w:b/>
          <w:color w:val="1C1C1C"/>
          <w:w w:val="105"/>
          <w:sz w:val="21"/>
          <w:u w:val="none"/>
        </w:rPr>
        <w:t>Other</w:t>
      </w:r>
      <w:r>
        <w:rPr>
          <w:b/>
          <w:color w:val="1C1C1C"/>
          <w:spacing w:val="-16"/>
          <w:w w:val="105"/>
          <w:sz w:val="21"/>
          <w:u w:val="none"/>
        </w:rPr>
        <w:t> </w:t>
      </w:r>
      <w:r>
        <w:rPr>
          <w:b/>
          <w:color w:val="1C1C1C"/>
          <w:w w:val="105"/>
          <w:sz w:val="21"/>
          <w:u w:val="none"/>
        </w:rPr>
        <w:t>Comprehensive</w:t>
      </w:r>
      <w:r>
        <w:rPr>
          <w:b/>
          <w:color w:val="1C1C1C"/>
          <w:spacing w:val="3"/>
          <w:w w:val="105"/>
          <w:sz w:val="21"/>
          <w:u w:val="none"/>
        </w:rPr>
        <w:t> </w:t>
      </w:r>
      <w:r>
        <w:rPr>
          <w:b/>
          <w:color w:val="1C1C1C"/>
          <w:w w:val="105"/>
          <w:sz w:val="21"/>
          <w:u w:val="none"/>
        </w:rPr>
        <w:t>(Income)</w:t>
      </w:r>
      <w:r>
        <w:rPr>
          <w:b/>
          <w:color w:val="1C1C1C"/>
          <w:spacing w:val="-10"/>
          <w:w w:val="105"/>
          <w:sz w:val="21"/>
          <w:u w:val="none"/>
        </w:rPr>
        <w:t> </w:t>
      </w:r>
      <w:r>
        <w:rPr>
          <w:b/>
          <w:color w:val="1C1C1C"/>
          <w:w w:val="105"/>
          <w:sz w:val="21"/>
          <w:u w:val="none"/>
        </w:rPr>
        <w:t>and</w:t>
      </w:r>
      <w:r>
        <w:rPr>
          <w:b/>
          <w:color w:val="1C1C1C"/>
          <w:spacing w:val="-15"/>
          <w:w w:val="105"/>
          <w:sz w:val="21"/>
          <w:u w:val="none"/>
        </w:rPr>
        <w:t> </w:t>
      </w:r>
      <w:r>
        <w:rPr>
          <w:b/>
          <w:color w:val="050505"/>
          <w:spacing w:val="-2"/>
          <w:w w:val="105"/>
          <w:sz w:val="21"/>
          <w:u w:val="none"/>
        </w:rPr>
        <w:t>Expenditure</w:t>
      </w:r>
      <w:r>
        <w:rPr>
          <w:b/>
          <w:color w:val="050505"/>
          <w:sz w:val="21"/>
          <w:u w:val="none"/>
        </w:rPr>
        <w:tab/>
        <w:tab/>
      </w:r>
      <w:r>
        <w:rPr>
          <w:b/>
          <w:color w:val="050505"/>
          <w:spacing w:val="-54"/>
          <w:sz w:val="21"/>
          <w:u w:val="none"/>
        </w:rPr>
        <w:t> </w:t>
      </w:r>
      <w:r>
        <w:rPr>
          <w:b/>
          <w:color w:val="1C1C1C"/>
          <w:spacing w:val="-4"/>
          <w:w w:val="105"/>
          <w:position w:val="1"/>
          <w:sz w:val="21"/>
          <w:u w:val="none"/>
        </w:rPr>
        <w:t>(51,005)</w:t>
      </w:r>
    </w:p>
    <w:p>
      <w:pPr>
        <w:pStyle w:val="BodyText"/>
        <w:spacing w:before="5"/>
        <w:rPr>
          <w:b/>
          <w:sz w:val="18"/>
        </w:rPr>
      </w:pPr>
      <w:r>
        <w:rPr/>
        <ve:AlternateContent>
          <ve:Choice Requires="wps">
            <w:drawing>
              <wp:anchor distT="0" distB="0" distL="0" distR="0" simplePos="0" relativeHeight="487611904" behindDoc="1" locked="0" layoutInCell="1" allowOverlap="1">
                <wp:simplePos x="0" y="0"/>
                <wp:positionH relativeFrom="page">
                  <wp:posOffset>2321149</wp:posOffset>
                </wp:positionH>
                <wp:positionV relativeFrom="paragraph">
                  <wp:posOffset>150145</wp:posOffset>
                </wp:positionV>
                <wp:extent cx="1047750" cy="1270"/>
                <wp:effectExtent l="0" t="0" r="0" b="0"/>
                <wp:wrapTopAndBottom/>
                <wp:docPr id="115" name="Graphic 115"/>
                <wp:cNvGraphicFramePr>
                  <a:graphicFrameLocks/>
                </wp:cNvGraphicFramePr>
                <a:graphic>
                  <a:graphicData uri="http://schemas.microsoft.com/office/word/2010/wordprocessingShape">
                    <wps:wsp>
                      <wps:cNvPr id="115" name="Graphic 115"/>
                      <wps:cNvSpPr/>
                      <wps:spPr>
                        <a:xfrm>
                          <a:off x="0" y="0"/>
                          <a:ext cx="1047750" cy="1270"/>
                        </a:xfrm>
                        <a:custGeom>
                          <a:avLst/>
                          <a:gdLst/>
                          <a:ahLst/>
                          <a:cxnLst/>
                          <a:rect l="l" t="t" r="r" b="b"/>
                          <a:pathLst>
                            <a:path w="1047750" h="0">
                              <a:moveTo>
                                <a:pt x="0" y="0"/>
                              </a:moveTo>
                              <a:lnTo>
                                <a:pt x="1047571" y="0"/>
                              </a:lnTo>
                            </a:path>
                          </a:pathLst>
                        </a:custGeom>
                        <a:ln w="3053">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67" style="position:absolute;margin-left:182.767715pt;margin-top:11.822497pt;width:82.5pt;height:.1pt;mso-position-horizontal-relative:page;mso-position-vertical-relative:paragraph;z-index:-15704576;mso-wrap-distance-left:0;mso-wrap-distance-right:0" coordsize="1650,0" coordorigin="3655,236" filled="false" stroked="true" strokecolor="#000000" strokeweight=".240411pt" path="m3655,236l5305,236e">
                <v:path arrowok="t"/>
                <v:stroke dashstyle="solid"/>
                <w10:wrap type="topAndBottom"/>
              </v:shape>
            </w:pict>
          </ve:Fallback>
        </ve:AlternateContent>
      </w:r>
      <w:r>
        <w:rPr/>
        <ve:AlternateContent>
          <ve:Choice Requires="wps">
            <w:drawing>
              <wp:anchor distT="0" distB="0" distL="0" distR="0" simplePos="0" relativeHeight="487612416" behindDoc="1" locked="0" layoutInCell="1" allowOverlap="1">
                <wp:simplePos x="0" y="0"/>
                <wp:positionH relativeFrom="page">
                  <wp:posOffset>9394549</wp:posOffset>
                </wp:positionH>
                <wp:positionV relativeFrom="paragraph">
                  <wp:posOffset>150145</wp:posOffset>
                </wp:positionV>
                <wp:extent cx="892175" cy="1270"/>
                <wp:effectExtent l="0" t="0" r="0" b="0"/>
                <wp:wrapTopAndBottom/>
                <wp:docPr id="116" name="Graphic 116"/>
                <wp:cNvGraphicFramePr>
                  <a:graphicFrameLocks/>
                </wp:cNvGraphicFramePr>
                <a:graphic>
                  <a:graphicData uri="http://schemas.microsoft.com/office/word/2010/wordprocessingShape">
                    <wps:wsp>
                      <wps:cNvPr id="116" name="Graphic 116"/>
                      <wps:cNvSpPr/>
                      <wps:spPr>
                        <a:xfrm>
                          <a:off x="0" y="0"/>
                          <a:ext cx="892175" cy="1270"/>
                        </a:xfrm>
                        <a:custGeom>
                          <a:avLst/>
                          <a:gdLst/>
                          <a:ahLst/>
                          <a:cxnLst/>
                          <a:rect l="l" t="t" r="r" b="b"/>
                          <a:pathLst>
                            <a:path w="892175" h="0">
                              <a:moveTo>
                                <a:pt x="0" y="0"/>
                              </a:moveTo>
                              <a:lnTo>
                                <a:pt x="891810"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68" style="position:absolute;margin-left:739.728271pt;margin-top:11.822497pt;width:70.25pt;height:.1pt;mso-position-horizontal-relative:page;mso-position-vertical-relative:paragraph;z-index:-15704064;mso-wrap-distance-left:0;mso-wrap-distance-right:0" coordsize="1405,0" coordorigin="14795,236" filled="false" stroked="true" strokecolor="#000000" strokeweight=".721232pt" path="m14795,236l16199,236e">
                <v:path arrowok="t"/>
                <v:stroke dashstyle="solid"/>
                <w10:wrap type="topAndBottom"/>
              </v:shape>
            </w:pict>
          </ve:Fallback>
        </ve:AlternateContent>
      </w:r>
    </w:p>
    <w:p>
      <w:pPr>
        <w:tabs>
          <w:tab w:val="left" w:leader="none" w:pos="4868"/>
          <w:tab w:val="left" w:leader="none" w:pos="14054"/>
          <w:tab w:val="left" w:leader="none" w:pos="14644"/>
        </w:tabs>
        <w:spacing w:before="16"/>
        <w:ind w:left="3510" w:right="0" w:firstLine="0"/>
        <w:jc w:val="left"/>
        <w:rPr>
          <w:b/>
          <w:sz w:val="21"/>
        </w:rPr>
      </w:pPr>
      <w:r>
        <w:rPr>
          <w:b/>
          <w:color w:val="050505"/>
          <w:spacing w:val="-2"/>
          <w:w w:val="105"/>
          <w:sz w:val="21"/>
        </w:rPr>
        <w:t>(22,528)</w:t>
      </w:r>
      <w:r>
        <w:rPr>
          <w:b/>
          <w:color w:val="050505"/>
          <w:sz w:val="21"/>
        </w:rPr>
        <w:tab/>
      </w:r>
      <w:r>
        <w:rPr>
          <w:b/>
          <w:color w:val="050505"/>
          <w:w w:val="105"/>
          <w:sz w:val="21"/>
        </w:rPr>
        <w:t>Total</w:t>
      </w:r>
      <w:r>
        <w:rPr>
          <w:b/>
          <w:color w:val="050505"/>
          <w:spacing w:val="-14"/>
          <w:w w:val="105"/>
          <w:sz w:val="21"/>
        </w:rPr>
        <w:t> </w:t>
      </w:r>
      <w:r>
        <w:rPr>
          <w:b/>
          <w:color w:val="050505"/>
          <w:w w:val="105"/>
          <w:sz w:val="21"/>
        </w:rPr>
        <w:t>Comprehensive</w:t>
      </w:r>
      <w:r>
        <w:rPr>
          <w:b/>
          <w:color w:val="050505"/>
          <w:spacing w:val="13"/>
          <w:w w:val="105"/>
          <w:sz w:val="21"/>
        </w:rPr>
        <w:t> </w:t>
      </w:r>
      <w:r>
        <w:rPr>
          <w:b/>
          <w:color w:val="050505"/>
          <w:w w:val="105"/>
          <w:sz w:val="21"/>
        </w:rPr>
        <w:t>(Income)</w:t>
      </w:r>
      <w:r>
        <w:rPr>
          <w:b/>
          <w:color w:val="050505"/>
          <w:spacing w:val="-9"/>
          <w:w w:val="105"/>
          <w:sz w:val="21"/>
        </w:rPr>
        <w:t> </w:t>
      </w:r>
      <w:r>
        <w:rPr>
          <w:b/>
          <w:color w:val="050505"/>
          <w:w w:val="105"/>
          <w:sz w:val="21"/>
        </w:rPr>
        <w:t>and</w:t>
      </w:r>
      <w:r>
        <w:rPr>
          <w:b/>
          <w:color w:val="050505"/>
          <w:spacing w:val="-14"/>
          <w:w w:val="105"/>
          <w:sz w:val="21"/>
        </w:rPr>
        <w:t> </w:t>
      </w:r>
      <w:r>
        <w:rPr>
          <w:b/>
          <w:color w:val="050505"/>
          <w:spacing w:val="-2"/>
          <w:w w:val="105"/>
          <w:sz w:val="21"/>
        </w:rPr>
        <w:t>Expenditure</w:t>
      </w:r>
      <w:r>
        <w:rPr>
          <w:b/>
          <w:color w:val="050505"/>
          <w:sz w:val="21"/>
        </w:rPr>
        <w:tab/>
      </w:r>
      <w:r>
        <w:rPr>
          <w:b/>
          <w:color w:val="050505"/>
          <w:position w:val="1"/>
          <w:sz w:val="21"/>
          <w:u w:val="single" w:color="000000"/>
        </w:rPr>
        <w:tab/>
      </w:r>
      <w:r>
        <w:rPr>
          <w:b/>
          <w:color w:val="050505"/>
          <w:spacing w:val="-2"/>
          <w:w w:val="105"/>
          <w:position w:val="1"/>
          <w:sz w:val="21"/>
          <w:u w:val="single" w:color="000000"/>
        </w:rPr>
        <w:t>(60,513)</w:t>
      </w:r>
    </w:p>
    <w:p>
      <w:pPr>
        <w:pStyle w:val="BodyText"/>
        <w:rPr>
          <w:b/>
          <w:sz w:val="21"/>
        </w:rPr>
      </w:pPr>
    </w:p>
    <w:p>
      <w:pPr>
        <w:pStyle w:val="BodyText"/>
        <w:spacing w:before="6"/>
        <w:rPr>
          <w:b/>
          <w:sz w:val="21"/>
        </w:rPr>
      </w:pPr>
    </w:p>
    <w:p>
      <w:pPr>
        <w:spacing w:before="0"/>
        <w:ind w:left="0" w:right="285" w:firstLine="0"/>
        <w:jc w:val="right"/>
        <w:rPr>
          <w:sz w:val="19"/>
        </w:rPr>
      </w:pPr>
      <w:r>
        <w:rPr>
          <w:color w:val="050505"/>
          <w:spacing w:val="-5"/>
          <w:w w:val="105"/>
          <w:sz w:val="19"/>
        </w:rPr>
        <w:t>34</w:t>
      </w:r>
    </w:p>
    <w:p>
      <w:pPr>
        <w:spacing w:after="0"/>
        <w:jc w:val="right"/>
        <w:rPr>
          <w:sz w:val="19"/>
        </w:rPr>
        <w:sectPr>
          <w:headerReference w:type="even" r:id="rId74"/>
          <w:footerReference w:type="even" r:id="rId75"/>
          <w:pgSz w:w="16830" w:h="11910" w:orient="landscape"/>
          <w:pgMar w:top="180" w:right="460" w:bottom="280" w:left="740" w:header="0" w:footer="0"/>
        </w:sectPr>
      </w:pPr>
    </w:p>
    <w:p>
      <w:pPr>
        <w:spacing w:before="78"/>
        <w:ind w:left="1564" w:right="0" w:firstLine="0"/>
        <w:jc w:val="left"/>
        <w:rPr>
          <w:sz w:val="15"/>
        </w:rPr>
      </w:pPr>
      <w:r>
        <w:rPr>
          <w:color w:val="6B6B6B"/>
          <w:w w:val="105"/>
          <w:sz w:val="15"/>
        </w:rPr>
        <w:t>PRESENTATION</w:t>
      </w:r>
      <w:r>
        <w:rPr>
          <w:color w:val="6B6B6B"/>
          <w:spacing w:val="19"/>
          <w:w w:val="105"/>
          <w:sz w:val="15"/>
        </w:rPr>
        <w:t> </w:t>
      </w:r>
      <w:r>
        <w:rPr>
          <w:color w:val="6B6B6B"/>
          <w:w w:val="105"/>
          <w:sz w:val="15"/>
        </w:rPr>
        <w:t>OF</w:t>
      </w:r>
      <w:r>
        <w:rPr>
          <w:color w:val="6B6B6B"/>
          <w:spacing w:val="10"/>
          <w:w w:val="105"/>
          <w:sz w:val="15"/>
        </w:rPr>
        <w:t> </w:t>
      </w:r>
      <w:r>
        <w:rPr>
          <w:color w:val="6B6B6B"/>
          <w:w w:val="105"/>
          <w:sz w:val="15"/>
        </w:rPr>
        <w:t>THE</w:t>
      </w:r>
      <w:r>
        <w:rPr>
          <w:color w:val="6B6B6B"/>
          <w:spacing w:val="1"/>
          <w:w w:val="105"/>
          <w:sz w:val="15"/>
        </w:rPr>
        <w:t> </w:t>
      </w:r>
      <w:r>
        <w:rPr>
          <w:color w:val="6B6B6B"/>
          <w:w w:val="105"/>
          <w:sz w:val="15"/>
        </w:rPr>
        <w:t>FINANCIAL</w:t>
      </w:r>
      <w:r>
        <w:rPr>
          <w:color w:val="6B6B6B"/>
          <w:spacing w:val="17"/>
          <w:w w:val="105"/>
          <w:sz w:val="15"/>
        </w:rPr>
        <w:t> </w:t>
      </w:r>
      <w:r>
        <w:rPr>
          <w:color w:val="6B6B6B"/>
          <w:spacing w:val="-2"/>
          <w:w w:val="105"/>
          <w:sz w:val="15"/>
        </w:rPr>
        <w:t>STATEMENTS</w:t>
      </w:r>
    </w:p>
    <w:p>
      <w:pPr>
        <w:pStyle w:val="BodyText"/>
        <w:spacing w:before="74"/>
        <w:rPr>
          <w:sz w:val="15"/>
        </w:rPr>
      </w:pPr>
    </w:p>
    <w:p>
      <w:pPr>
        <w:pStyle w:val="ListParagraph"/>
        <w:numPr>
          <w:ilvl w:val="1"/>
          <w:numId w:val="10"/>
        </w:numPr>
        <w:tabs>
          <w:tab w:val="left" w:leader="none" w:pos="2272"/>
        </w:tabs>
        <w:spacing w:before="0" w:after="0" w:line="240" w:lineRule="auto"/>
        <w:ind w:left="2272" w:right="0" w:hanging="715"/>
        <w:jc w:val="left"/>
        <w:rPr>
          <w:b/>
          <w:color w:val="6B6B6B"/>
          <w:sz w:val="21"/>
        </w:rPr>
      </w:pPr>
      <w:r>
        <w:rPr>
          <w:b/>
          <w:color w:val="6B6B6B"/>
          <w:w w:val="105"/>
          <w:sz w:val="21"/>
        </w:rPr>
        <w:t>Balance</w:t>
      </w:r>
      <w:r>
        <w:rPr>
          <w:b/>
          <w:color w:val="6B6B6B"/>
          <w:spacing w:val="-8"/>
          <w:w w:val="105"/>
          <w:sz w:val="21"/>
        </w:rPr>
        <w:t> </w:t>
      </w:r>
      <w:r>
        <w:rPr>
          <w:b/>
          <w:color w:val="6B6B6B"/>
          <w:spacing w:val="-2"/>
          <w:w w:val="105"/>
          <w:sz w:val="21"/>
        </w:rPr>
        <w:t>Sheet</w:t>
      </w:r>
    </w:p>
    <w:p>
      <w:pPr>
        <w:pStyle w:val="BodyText"/>
        <w:spacing w:before="88"/>
        <w:rPr>
          <w:b/>
          <w:sz w:val="20"/>
        </w:rPr>
      </w:pPr>
    </w:p>
    <w:tbl>
      <w:tblPr>
        <w:tblW w:w="0" w:type="auto"/>
        <w:jc w:val="left"/>
        <w:tblInd w:w="156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553"/>
        <w:gridCol w:w="5587"/>
        <w:gridCol w:w="1168"/>
        <w:gridCol w:w="1394"/>
      </w:tblGrid>
      <w:tr>
        <w:trPr>
          <w:trHeight w:val="499" w:hRule="atLeast"/>
        </w:trPr>
        <w:tc>
          <w:tcPr>
            <w:tcW w:w="1553" w:type="dxa"/>
          </w:tcPr>
          <w:p>
            <w:pPr>
              <w:pStyle w:val="TableParagraph"/>
              <w:spacing w:line="240" w:lineRule="exact"/>
              <w:ind w:right="283"/>
              <w:jc w:val="right"/>
              <w:rPr>
                <w:b/>
                <w:sz w:val="21"/>
              </w:rPr>
            </w:pPr>
            <w:r>
              <w:rPr>
                <w:b/>
                <w:color w:val="6B6B6B"/>
                <w:sz w:val="21"/>
              </w:rPr>
              <w:t>31-Mar-</w:t>
            </w:r>
            <w:r>
              <w:rPr>
                <w:b/>
                <w:color w:val="6B6B6B"/>
                <w:spacing w:val="-5"/>
                <w:sz w:val="21"/>
              </w:rPr>
              <w:t>22</w:t>
            </w:r>
          </w:p>
        </w:tc>
        <w:tc>
          <w:tcPr>
            <w:tcW w:w="5587" w:type="dxa"/>
          </w:tcPr>
          <w:p>
            <w:pPr>
              <w:pStyle w:val="TableParagraph"/>
              <w:rPr>
                <w:rFonts w:ascii="Times New Roman"/>
                <w:sz w:val="20"/>
              </w:rPr>
            </w:pPr>
          </w:p>
        </w:tc>
        <w:tc>
          <w:tcPr>
            <w:tcW w:w="1168" w:type="dxa"/>
          </w:tcPr>
          <w:p>
            <w:pPr>
              <w:pStyle w:val="TableParagraph"/>
              <w:spacing w:line="240" w:lineRule="exact"/>
              <w:ind w:left="131" w:right="86"/>
              <w:jc w:val="center"/>
              <w:rPr>
                <w:b/>
                <w:sz w:val="21"/>
              </w:rPr>
            </w:pPr>
            <w:r>
              <w:rPr>
                <w:b/>
                <w:color w:val="0F0F0F"/>
                <w:spacing w:val="-4"/>
                <w:w w:val="105"/>
                <w:sz w:val="21"/>
              </w:rPr>
              <w:t>Note</w:t>
            </w:r>
          </w:p>
        </w:tc>
        <w:tc>
          <w:tcPr>
            <w:tcW w:w="1394" w:type="dxa"/>
          </w:tcPr>
          <w:p>
            <w:pPr>
              <w:pStyle w:val="TableParagraph"/>
              <w:spacing w:line="235" w:lineRule="exact"/>
              <w:ind w:left="275"/>
              <w:rPr>
                <w:b/>
                <w:sz w:val="21"/>
              </w:rPr>
            </w:pPr>
            <w:r>
              <w:rPr>
                <w:b/>
                <w:color w:val="0F0F0F"/>
                <w:sz w:val="21"/>
              </w:rPr>
              <w:t>31-Mar-</w:t>
            </w:r>
            <w:r>
              <w:rPr>
                <w:b/>
                <w:color w:val="0F0F0F"/>
                <w:spacing w:val="-5"/>
                <w:sz w:val="21"/>
              </w:rPr>
              <w:t>23</w:t>
            </w:r>
          </w:p>
        </w:tc>
      </w:tr>
      <w:tr>
        <w:trPr>
          <w:trHeight w:val="684" w:hRule="atLeast"/>
        </w:trPr>
        <w:tc>
          <w:tcPr>
            <w:tcW w:w="1553" w:type="dxa"/>
          </w:tcPr>
          <w:p>
            <w:pPr>
              <w:pStyle w:val="TableParagraph"/>
              <w:spacing w:before="21"/>
              <w:rPr>
                <w:b/>
                <w:sz w:val="21"/>
              </w:rPr>
            </w:pPr>
          </w:p>
          <w:p>
            <w:pPr>
              <w:pStyle w:val="TableParagraph"/>
              <w:ind w:right="33"/>
              <w:jc w:val="center"/>
              <w:rPr>
                <w:b/>
                <w:sz w:val="21"/>
              </w:rPr>
            </w:pPr>
            <w:r>
              <w:rPr>
                <w:b/>
                <w:color w:val="0F0F0F"/>
                <w:spacing w:val="-4"/>
                <w:w w:val="105"/>
                <w:sz w:val="21"/>
              </w:rPr>
              <w:t>£000</w:t>
            </w:r>
          </w:p>
        </w:tc>
        <w:tc>
          <w:tcPr>
            <w:tcW w:w="5587" w:type="dxa"/>
          </w:tcPr>
          <w:p>
            <w:pPr>
              <w:pStyle w:val="TableParagraph"/>
              <w:rPr>
                <w:rFonts w:ascii="Times New Roman"/>
                <w:sz w:val="20"/>
              </w:rPr>
            </w:pPr>
          </w:p>
        </w:tc>
        <w:tc>
          <w:tcPr>
            <w:tcW w:w="1168" w:type="dxa"/>
          </w:tcPr>
          <w:p>
            <w:pPr>
              <w:pStyle w:val="TableParagraph"/>
              <w:rPr>
                <w:rFonts w:ascii="Times New Roman"/>
                <w:sz w:val="20"/>
              </w:rPr>
            </w:pPr>
          </w:p>
        </w:tc>
        <w:tc>
          <w:tcPr>
            <w:tcW w:w="1394" w:type="dxa"/>
          </w:tcPr>
          <w:p>
            <w:pPr>
              <w:pStyle w:val="TableParagraph"/>
              <w:spacing w:before="11"/>
              <w:rPr>
                <w:b/>
                <w:sz w:val="21"/>
              </w:rPr>
            </w:pPr>
          </w:p>
          <w:p>
            <w:pPr>
              <w:pStyle w:val="TableParagraph"/>
              <w:ind w:left="546"/>
              <w:rPr>
                <w:b/>
                <w:sz w:val="21"/>
              </w:rPr>
            </w:pPr>
            <w:r>
              <w:rPr>
                <w:b/>
                <w:color w:val="0F0F0F"/>
                <w:spacing w:val="-4"/>
                <w:w w:val="105"/>
                <w:sz w:val="21"/>
              </w:rPr>
              <w:t>£000</w:t>
            </w:r>
          </w:p>
        </w:tc>
      </w:tr>
      <w:tr>
        <w:trPr>
          <w:trHeight w:val="450" w:hRule="atLeast"/>
        </w:trPr>
        <w:tc>
          <w:tcPr>
            <w:tcW w:w="1553" w:type="dxa"/>
          </w:tcPr>
          <w:p>
            <w:pPr>
              <w:pStyle w:val="TableParagraph"/>
              <w:spacing w:before="178"/>
              <w:ind w:right="235"/>
              <w:jc w:val="right"/>
              <w:rPr>
                <w:sz w:val="21"/>
              </w:rPr>
            </w:pPr>
            <w:r>
              <w:rPr>
                <w:color w:val="0F0F0F"/>
                <w:spacing w:val="-2"/>
                <w:w w:val="105"/>
                <w:sz w:val="21"/>
              </w:rPr>
              <w:t>162,181</w:t>
            </w:r>
          </w:p>
        </w:tc>
        <w:tc>
          <w:tcPr>
            <w:tcW w:w="5587" w:type="dxa"/>
          </w:tcPr>
          <w:p>
            <w:pPr>
              <w:pStyle w:val="TableParagraph"/>
              <w:spacing w:before="178"/>
              <w:ind w:left="219"/>
              <w:rPr>
                <w:sz w:val="21"/>
              </w:rPr>
            </w:pPr>
            <w:r>
              <w:rPr>
                <w:color w:val="0F0F0F"/>
                <w:w w:val="105"/>
                <w:sz w:val="21"/>
              </w:rPr>
              <w:t>Property</w:t>
            </w:r>
            <w:r>
              <w:rPr>
                <w:color w:val="0F0F0F"/>
                <w:spacing w:val="3"/>
                <w:w w:val="105"/>
                <w:sz w:val="21"/>
              </w:rPr>
              <w:t> </w:t>
            </w:r>
            <w:r>
              <w:rPr>
                <w:color w:val="0F0F0F"/>
                <w:w w:val="105"/>
                <w:sz w:val="21"/>
              </w:rPr>
              <w:t>Plant</w:t>
            </w:r>
            <w:r>
              <w:rPr>
                <w:color w:val="0F0F0F"/>
                <w:spacing w:val="-2"/>
                <w:w w:val="105"/>
                <w:sz w:val="21"/>
              </w:rPr>
              <w:t> </w:t>
            </w:r>
            <w:r>
              <w:rPr>
                <w:color w:val="0F0F0F"/>
                <w:w w:val="105"/>
                <w:sz w:val="21"/>
              </w:rPr>
              <w:t>and</w:t>
            </w:r>
            <w:r>
              <w:rPr>
                <w:color w:val="0F0F0F"/>
                <w:spacing w:val="-14"/>
                <w:w w:val="105"/>
                <w:sz w:val="21"/>
              </w:rPr>
              <w:t> </w:t>
            </w:r>
            <w:r>
              <w:rPr>
                <w:color w:val="0F0F0F"/>
                <w:spacing w:val="-2"/>
                <w:w w:val="105"/>
                <w:sz w:val="21"/>
              </w:rPr>
              <w:t>Equipment</w:t>
            </w:r>
          </w:p>
        </w:tc>
        <w:tc>
          <w:tcPr>
            <w:tcW w:w="1168" w:type="dxa"/>
          </w:tcPr>
          <w:p>
            <w:pPr>
              <w:pStyle w:val="TableParagraph"/>
              <w:spacing w:before="203"/>
              <w:ind w:left="131" w:right="73"/>
              <w:jc w:val="center"/>
              <w:rPr>
                <w:rFonts w:ascii="Times New Roman"/>
                <w:sz w:val="19"/>
              </w:rPr>
            </w:pPr>
            <w:r>
              <w:rPr>
                <w:rFonts w:ascii="Times New Roman"/>
                <w:color w:val="0F0F0F"/>
                <w:spacing w:val="-4"/>
                <w:w w:val="105"/>
                <w:sz w:val="19"/>
              </w:rPr>
              <w:t>5</w:t>
            </w:r>
            <w:r>
              <w:rPr>
                <w:rFonts w:ascii="Times New Roman"/>
                <w:color w:val="4B4B4B"/>
                <w:spacing w:val="-4"/>
                <w:w w:val="105"/>
                <w:sz w:val="19"/>
              </w:rPr>
              <w:t>.</w:t>
            </w:r>
            <w:r>
              <w:rPr>
                <w:rFonts w:ascii="Times New Roman"/>
                <w:color w:val="0F0F0F"/>
                <w:spacing w:val="-4"/>
                <w:w w:val="105"/>
                <w:sz w:val="19"/>
              </w:rPr>
              <w:t>16</w:t>
            </w:r>
          </w:p>
        </w:tc>
        <w:tc>
          <w:tcPr>
            <w:tcW w:w="1394" w:type="dxa"/>
          </w:tcPr>
          <w:p>
            <w:pPr>
              <w:pStyle w:val="TableParagraph"/>
              <w:spacing w:before="174"/>
              <w:ind w:right="100"/>
              <w:jc w:val="right"/>
              <w:rPr>
                <w:sz w:val="21"/>
              </w:rPr>
            </w:pPr>
            <w:r>
              <w:rPr>
                <w:color w:val="0F0F0F"/>
                <w:spacing w:val="-2"/>
                <w:w w:val="105"/>
                <w:sz w:val="21"/>
              </w:rPr>
              <w:t>186,202</w:t>
            </w:r>
          </w:p>
        </w:tc>
      </w:tr>
      <w:tr>
        <w:trPr>
          <w:trHeight w:val="302" w:hRule="atLeast"/>
        </w:trPr>
        <w:tc>
          <w:tcPr>
            <w:tcW w:w="1553" w:type="dxa"/>
          </w:tcPr>
          <w:p>
            <w:pPr>
              <w:pStyle w:val="TableParagraph"/>
              <w:spacing w:before="31"/>
              <w:ind w:right="233"/>
              <w:jc w:val="right"/>
              <w:rPr>
                <w:sz w:val="21"/>
              </w:rPr>
            </w:pPr>
            <w:r>
              <w:rPr>
                <w:color w:val="0F0F0F"/>
                <w:spacing w:val="-4"/>
                <w:w w:val="105"/>
                <w:sz w:val="21"/>
              </w:rPr>
              <w:t>1,222</w:t>
            </w:r>
          </w:p>
        </w:tc>
        <w:tc>
          <w:tcPr>
            <w:tcW w:w="5587" w:type="dxa"/>
          </w:tcPr>
          <w:p>
            <w:pPr>
              <w:pStyle w:val="TableParagraph"/>
              <w:spacing w:before="26"/>
              <w:ind w:left="218"/>
              <w:rPr>
                <w:sz w:val="21"/>
              </w:rPr>
            </w:pPr>
            <w:r>
              <w:rPr>
                <w:color w:val="0F0F0F"/>
                <w:w w:val="105"/>
                <w:sz w:val="21"/>
              </w:rPr>
              <w:t>Heritage</w:t>
            </w:r>
            <w:r>
              <w:rPr>
                <w:color w:val="0F0F0F"/>
                <w:spacing w:val="-1"/>
                <w:w w:val="105"/>
                <w:sz w:val="21"/>
              </w:rPr>
              <w:t> </w:t>
            </w:r>
            <w:r>
              <w:rPr>
                <w:color w:val="0F0F0F"/>
                <w:spacing w:val="-2"/>
                <w:w w:val="105"/>
                <w:sz w:val="21"/>
              </w:rPr>
              <w:t>Assets</w:t>
            </w:r>
          </w:p>
        </w:tc>
        <w:tc>
          <w:tcPr>
            <w:tcW w:w="1168" w:type="dxa"/>
          </w:tcPr>
          <w:p>
            <w:pPr>
              <w:pStyle w:val="TableParagraph"/>
              <w:spacing w:before="55"/>
              <w:ind w:left="131" w:right="65"/>
              <w:jc w:val="center"/>
              <w:rPr>
                <w:rFonts w:ascii="Times New Roman"/>
                <w:sz w:val="19"/>
              </w:rPr>
            </w:pPr>
            <w:r>
              <w:rPr>
                <w:rFonts w:ascii="Times New Roman"/>
                <w:color w:val="0F0F0F"/>
                <w:spacing w:val="-4"/>
                <w:w w:val="110"/>
                <w:sz w:val="19"/>
              </w:rPr>
              <w:t>5.19</w:t>
            </w:r>
          </w:p>
        </w:tc>
        <w:tc>
          <w:tcPr>
            <w:tcW w:w="1394" w:type="dxa"/>
          </w:tcPr>
          <w:p>
            <w:pPr>
              <w:pStyle w:val="TableParagraph"/>
              <w:spacing w:before="21"/>
              <w:ind w:right="98"/>
              <w:jc w:val="right"/>
              <w:rPr>
                <w:sz w:val="21"/>
              </w:rPr>
            </w:pPr>
            <w:r>
              <w:rPr>
                <w:color w:val="0F0F0F"/>
                <w:spacing w:val="-4"/>
                <w:w w:val="105"/>
                <w:sz w:val="21"/>
              </w:rPr>
              <w:t>1,199</w:t>
            </w:r>
          </w:p>
        </w:tc>
      </w:tr>
      <w:tr>
        <w:trPr>
          <w:trHeight w:val="302" w:hRule="atLeast"/>
        </w:trPr>
        <w:tc>
          <w:tcPr>
            <w:tcW w:w="1553" w:type="dxa"/>
          </w:tcPr>
          <w:p>
            <w:pPr>
              <w:pStyle w:val="TableParagraph"/>
              <w:spacing w:before="31"/>
              <w:ind w:right="228"/>
              <w:jc w:val="right"/>
              <w:rPr>
                <w:sz w:val="21"/>
              </w:rPr>
            </w:pPr>
            <w:r>
              <w:rPr>
                <w:color w:val="0F0F0F"/>
                <w:spacing w:val="-4"/>
                <w:w w:val="105"/>
                <w:sz w:val="21"/>
              </w:rPr>
              <w:t>9,692</w:t>
            </w:r>
          </w:p>
        </w:tc>
        <w:tc>
          <w:tcPr>
            <w:tcW w:w="5587" w:type="dxa"/>
          </w:tcPr>
          <w:p>
            <w:pPr>
              <w:pStyle w:val="TableParagraph"/>
              <w:spacing w:before="26"/>
              <w:ind w:left="220"/>
              <w:rPr>
                <w:sz w:val="21"/>
              </w:rPr>
            </w:pPr>
            <w:r>
              <w:rPr>
                <w:color w:val="0F0F0F"/>
                <w:w w:val="105"/>
                <w:sz w:val="21"/>
              </w:rPr>
              <w:t>Investment</w:t>
            </w:r>
            <w:r>
              <w:rPr>
                <w:color w:val="0F0F0F"/>
                <w:spacing w:val="-12"/>
                <w:w w:val="105"/>
                <w:sz w:val="21"/>
              </w:rPr>
              <w:t> </w:t>
            </w:r>
            <w:r>
              <w:rPr>
                <w:color w:val="0F0F0F"/>
                <w:spacing w:val="-2"/>
                <w:w w:val="105"/>
                <w:sz w:val="21"/>
              </w:rPr>
              <w:t>Properties</w:t>
            </w:r>
          </w:p>
        </w:tc>
        <w:tc>
          <w:tcPr>
            <w:tcW w:w="1168" w:type="dxa"/>
          </w:tcPr>
          <w:p>
            <w:pPr>
              <w:pStyle w:val="TableParagraph"/>
              <w:spacing w:before="51"/>
              <w:ind w:left="131" w:right="63"/>
              <w:jc w:val="center"/>
              <w:rPr>
                <w:rFonts w:ascii="Times New Roman"/>
                <w:sz w:val="19"/>
              </w:rPr>
            </w:pPr>
            <w:r>
              <w:rPr>
                <w:rFonts w:ascii="Times New Roman"/>
                <w:color w:val="0F0F0F"/>
                <w:spacing w:val="-4"/>
                <w:w w:val="105"/>
                <w:sz w:val="19"/>
              </w:rPr>
              <w:t>5</w:t>
            </w:r>
            <w:r>
              <w:rPr>
                <w:rFonts w:ascii="Times New Roman"/>
                <w:color w:val="383838"/>
                <w:spacing w:val="-4"/>
                <w:w w:val="105"/>
                <w:sz w:val="19"/>
              </w:rPr>
              <w:t>.</w:t>
            </w:r>
            <w:r>
              <w:rPr>
                <w:rFonts w:ascii="Times New Roman"/>
                <w:color w:val="0F0F0F"/>
                <w:spacing w:val="-4"/>
                <w:w w:val="105"/>
                <w:sz w:val="19"/>
              </w:rPr>
              <w:t>20</w:t>
            </w:r>
          </w:p>
        </w:tc>
        <w:tc>
          <w:tcPr>
            <w:tcW w:w="1394" w:type="dxa"/>
          </w:tcPr>
          <w:p>
            <w:pPr>
              <w:pStyle w:val="TableParagraph"/>
              <w:spacing w:before="21"/>
              <w:ind w:right="103"/>
              <w:jc w:val="right"/>
              <w:rPr>
                <w:sz w:val="21"/>
              </w:rPr>
            </w:pPr>
            <w:r>
              <w:rPr>
                <w:color w:val="0F0F0F"/>
                <w:spacing w:val="-2"/>
                <w:w w:val="105"/>
                <w:sz w:val="21"/>
              </w:rPr>
              <w:t>10,076</w:t>
            </w:r>
          </w:p>
        </w:tc>
      </w:tr>
      <w:tr>
        <w:trPr>
          <w:trHeight w:val="298" w:hRule="atLeast"/>
        </w:trPr>
        <w:tc>
          <w:tcPr>
            <w:tcW w:w="1553" w:type="dxa"/>
          </w:tcPr>
          <w:p>
            <w:pPr>
              <w:pStyle w:val="TableParagraph"/>
              <w:spacing w:before="27"/>
              <w:ind w:right="224"/>
              <w:jc w:val="right"/>
              <w:rPr>
                <w:sz w:val="21"/>
              </w:rPr>
            </w:pPr>
            <w:r>
              <w:rPr>
                <w:color w:val="0F0F0F"/>
                <w:spacing w:val="-5"/>
                <w:w w:val="105"/>
                <w:sz w:val="21"/>
              </w:rPr>
              <w:t>404</w:t>
            </w:r>
          </w:p>
        </w:tc>
        <w:tc>
          <w:tcPr>
            <w:tcW w:w="5587" w:type="dxa"/>
          </w:tcPr>
          <w:p>
            <w:pPr>
              <w:pStyle w:val="TableParagraph"/>
              <w:spacing w:before="27"/>
              <w:ind w:left="220"/>
              <w:rPr>
                <w:sz w:val="21"/>
              </w:rPr>
            </w:pPr>
            <w:r>
              <w:rPr>
                <w:color w:val="0F0F0F"/>
                <w:w w:val="105"/>
                <w:sz w:val="21"/>
              </w:rPr>
              <w:t>Intangible</w:t>
            </w:r>
            <w:r>
              <w:rPr>
                <w:color w:val="0F0F0F"/>
                <w:spacing w:val="-9"/>
                <w:w w:val="105"/>
                <w:sz w:val="21"/>
              </w:rPr>
              <w:t> </w:t>
            </w:r>
            <w:r>
              <w:rPr>
                <w:color w:val="0F0F0F"/>
                <w:spacing w:val="-2"/>
                <w:w w:val="105"/>
                <w:sz w:val="21"/>
              </w:rPr>
              <w:t>Assets</w:t>
            </w:r>
          </w:p>
        </w:tc>
        <w:tc>
          <w:tcPr>
            <w:tcW w:w="1168" w:type="dxa"/>
          </w:tcPr>
          <w:p>
            <w:pPr>
              <w:pStyle w:val="TableParagraph"/>
              <w:spacing w:before="51"/>
              <w:ind w:left="131" w:right="75"/>
              <w:jc w:val="center"/>
              <w:rPr>
                <w:rFonts w:ascii="Times New Roman"/>
                <w:sz w:val="19"/>
              </w:rPr>
            </w:pPr>
            <w:r>
              <w:rPr>
                <w:rFonts w:ascii="Times New Roman"/>
                <w:color w:val="0F0F0F"/>
                <w:spacing w:val="-4"/>
                <w:w w:val="105"/>
                <w:sz w:val="19"/>
              </w:rPr>
              <w:t>5.21</w:t>
            </w:r>
          </w:p>
        </w:tc>
        <w:tc>
          <w:tcPr>
            <w:tcW w:w="1394" w:type="dxa"/>
          </w:tcPr>
          <w:p>
            <w:pPr>
              <w:pStyle w:val="TableParagraph"/>
              <w:spacing w:before="22"/>
              <w:ind w:right="93"/>
              <w:jc w:val="right"/>
              <w:rPr>
                <w:sz w:val="21"/>
              </w:rPr>
            </w:pPr>
            <w:r>
              <w:rPr>
                <w:color w:val="0F0F0F"/>
                <w:spacing w:val="-5"/>
                <w:w w:val="105"/>
                <w:sz w:val="21"/>
              </w:rPr>
              <w:t>372</w:t>
            </w:r>
          </w:p>
        </w:tc>
      </w:tr>
      <w:tr>
        <w:trPr>
          <w:trHeight w:val="300" w:hRule="atLeast"/>
        </w:trPr>
        <w:tc>
          <w:tcPr>
            <w:tcW w:w="1553" w:type="dxa"/>
          </w:tcPr>
          <w:p>
            <w:pPr>
              <w:pStyle w:val="TableParagraph"/>
              <w:spacing w:before="31"/>
              <w:ind w:right="228"/>
              <w:jc w:val="right"/>
              <w:rPr>
                <w:sz w:val="21"/>
              </w:rPr>
            </w:pPr>
            <w:r>
              <w:rPr>
                <w:color w:val="0F0F0F"/>
                <w:spacing w:val="-4"/>
                <w:w w:val="105"/>
                <w:sz w:val="21"/>
              </w:rPr>
              <w:t>5,000</w:t>
            </w:r>
          </w:p>
        </w:tc>
        <w:tc>
          <w:tcPr>
            <w:tcW w:w="5587" w:type="dxa"/>
          </w:tcPr>
          <w:p>
            <w:pPr>
              <w:pStyle w:val="TableParagraph"/>
              <w:spacing w:before="26"/>
              <w:ind w:left="220"/>
              <w:rPr>
                <w:sz w:val="21"/>
              </w:rPr>
            </w:pPr>
            <w:r>
              <w:rPr>
                <w:color w:val="0F0F0F"/>
                <w:w w:val="105"/>
                <w:sz w:val="21"/>
              </w:rPr>
              <w:t>Long</w:t>
            </w:r>
            <w:r>
              <w:rPr>
                <w:color w:val="0F0F0F"/>
                <w:spacing w:val="-6"/>
                <w:w w:val="105"/>
                <w:sz w:val="21"/>
              </w:rPr>
              <w:t> </w:t>
            </w:r>
            <w:r>
              <w:rPr>
                <w:color w:val="0F0F0F"/>
                <w:w w:val="105"/>
                <w:sz w:val="21"/>
              </w:rPr>
              <w:t>Term</w:t>
            </w:r>
            <w:r>
              <w:rPr>
                <w:color w:val="0F0F0F"/>
                <w:spacing w:val="-1"/>
                <w:w w:val="105"/>
                <w:sz w:val="21"/>
              </w:rPr>
              <w:t> </w:t>
            </w:r>
            <w:r>
              <w:rPr>
                <w:color w:val="0F0F0F"/>
                <w:spacing w:val="-2"/>
                <w:w w:val="105"/>
                <w:sz w:val="21"/>
              </w:rPr>
              <w:t>Investments</w:t>
            </w:r>
          </w:p>
        </w:tc>
        <w:tc>
          <w:tcPr>
            <w:tcW w:w="1168" w:type="dxa"/>
          </w:tcPr>
          <w:p>
            <w:pPr>
              <w:pStyle w:val="TableParagraph"/>
              <w:spacing w:before="55"/>
              <w:ind w:left="131" w:right="49"/>
              <w:jc w:val="center"/>
              <w:rPr>
                <w:rFonts w:ascii="Times New Roman"/>
                <w:sz w:val="19"/>
              </w:rPr>
            </w:pPr>
            <w:r>
              <w:rPr>
                <w:rFonts w:ascii="Times New Roman"/>
                <w:color w:val="0F0F0F"/>
                <w:spacing w:val="-4"/>
                <w:w w:val="110"/>
                <w:sz w:val="19"/>
              </w:rPr>
              <w:t>5.23</w:t>
            </w:r>
          </w:p>
        </w:tc>
        <w:tc>
          <w:tcPr>
            <w:tcW w:w="1394" w:type="dxa"/>
          </w:tcPr>
          <w:p>
            <w:pPr>
              <w:pStyle w:val="TableParagraph"/>
              <w:spacing w:before="21"/>
              <w:ind w:right="94"/>
              <w:jc w:val="right"/>
              <w:rPr>
                <w:sz w:val="21"/>
              </w:rPr>
            </w:pPr>
            <w:r>
              <w:rPr>
                <w:color w:val="0F0F0F"/>
                <w:spacing w:val="-4"/>
                <w:w w:val="105"/>
                <w:sz w:val="21"/>
              </w:rPr>
              <w:t>5,491</w:t>
            </w:r>
          </w:p>
        </w:tc>
      </w:tr>
      <w:tr>
        <w:trPr>
          <w:trHeight w:val="314" w:hRule="atLeast"/>
        </w:trPr>
        <w:tc>
          <w:tcPr>
            <w:tcW w:w="1553" w:type="dxa"/>
            <w:tcBorders>
              <w:bottom w:val="single" w:color="000000" w:sz="2" w:space="0"/>
            </w:tcBorders>
          </w:tcPr>
          <w:p>
            <w:pPr>
              <w:pStyle w:val="TableParagraph"/>
              <w:spacing w:before="33"/>
              <w:ind w:right="229"/>
              <w:jc w:val="right"/>
              <w:rPr>
                <w:sz w:val="21"/>
              </w:rPr>
            </w:pPr>
            <w:r>
              <w:rPr>
                <w:color w:val="0F0F0F"/>
                <w:spacing w:val="-4"/>
                <w:w w:val="105"/>
                <w:sz w:val="21"/>
              </w:rPr>
              <w:t>7,369</w:t>
            </w:r>
          </w:p>
        </w:tc>
        <w:tc>
          <w:tcPr>
            <w:tcW w:w="5587" w:type="dxa"/>
          </w:tcPr>
          <w:p>
            <w:pPr>
              <w:pStyle w:val="TableParagraph"/>
              <w:spacing w:before="29"/>
              <w:ind w:left="220"/>
              <w:rPr>
                <w:sz w:val="21"/>
              </w:rPr>
            </w:pPr>
            <w:r>
              <w:rPr>
                <w:color w:val="0F0F0F"/>
                <w:w w:val="105"/>
                <w:sz w:val="21"/>
              </w:rPr>
              <w:t>Long</w:t>
            </w:r>
            <w:r>
              <w:rPr>
                <w:color w:val="0F0F0F"/>
                <w:spacing w:val="-3"/>
                <w:w w:val="105"/>
                <w:sz w:val="21"/>
              </w:rPr>
              <w:t> </w:t>
            </w:r>
            <w:r>
              <w:rPr>
                <w:color w:val="0F0F0F"/>
                <w:w w:val="105"/>
                <w:sz w:val="21"/>
              </w:rPr>
              <w:t>Term</w:t>
            </w:r>
            <w:r>
              <w:rPr>
                <w:color w:val="0F0F0F"/>
                <w:spacing w:val="-1"/>
                <w:w w:val="105"/>
                <w:sz w:val="21"/>
              </w:rPr>
              <w:t> </w:t>
            </w:r>
            <w:r>
              <w:rPr>
                <w:color w:val="0F0F0F"/>
                <w:spacing w:val="-2"/>
                <w:w w:val="105"/>
                <w:sz w:val="21"/>
              </w:rPr>
              <w:t>Debtors</w:t>
            </w:r>
          </w:p>
        </w:tc>
        <w:tc>
          <w:tcPr>
            <w:tcW w:w="1168" w:type="dxa"/>
          </w:tcPr>
          <w:p>
            <w:pPr>
              <w:pStyle w:val="TableParagraph"/>
              <w:spacing w:before="53"/>
              <w:ind w:left="131" w:right="63"/>
              <w:jc w:val="center"/>
              <w:rPr>
                <w:rFonts w:ascii="Times New Roman"/>
                <w:sz w:val="19"/>
              </w:rPr>
            </w:pPr>
            <w:r>
              <w:rPr>
                <w:rFonts w:ascii="Times New Roman"/>
                <w:color w:val="0F0F0F"/>
                <w:spacing w:val="-4"/>
                <w:w w:val="105"/>
                <w:sz w:val="19"/>
              </w:rPr>
              <w:t>5</w:t>
            </w:r>
            <w:r>
              <w:rPr>
                <w:rFonts w:ascii="Times New Roman"/>
                <w:color w:val="383838"/>
                <w:spacing w:val="-4"/>
                <w:w w:val="105"/>
                <w:sz w:val="19"/>
              </w:rPr>
              <w:t>.</w:t>
            </w:r>
            <w:r>
              <w:rPr>
                <w:rFonts w:ascii="Times New Roman"/>
                <w:color w:val="0F0F0F"/>
                <w:spacing w:val="-4"/>
                <w:w w:val="105"/>
                <w:sz w:val="19"/>
              </w:rPr>
              <w:t>22</w:t>
            </w:r>
          </w:p>
        </w:tc>
        <w:tc>
          <w:tcPr>
            <w:tcW w:w="1394" w:type="dxa"/>
            <w:tcBorders>
              <w:bottom w:val="single" w:color="000000" w:sz="2" w:space="0"/>
            </w:tcBorders>
          </w:tcPr>
          <w:p>
            <w:pPr>
              <w:pStyle w:val="TableParagraph"/>
              <w:spacing w:before="19"/>
              <w:ind w:right="86"/>
              <w:jc w:val="right"/>
              <w:rPr>
                <w:sz w:val="21"/>
              </w:rPr>
            </w:pPr>
            <w:r>
              <w:rPr>
                <w:color w:val="0F0F0F"/>
                <w:spacing w:val="-4"/>
                <w:w w:val="105"/>
                <w:sz w:val="21"/>
              </w:rPr>
              <w:t>7</w:t>
            </w:r>
            <w:r>
              <w:rPr>
                <w:color w:val="4B4B4B"/>
                <w:spacing w:val="-4"/>
                <w:w w:val="105"/>
                <w:sz w:val="21"/>
              </w:rPr>
              <w:t>,</w:t>
            </w:r>
            <w:r>
              <w:rPr>
                <w:color w:val="0F0F0F"/>
                <w:spacing w:val="-4"/>
                <w:w w:val="105"/>
                <w:sz w:val="21"/>
              </w:rPr>
              <w:t>013</w:t>
            </w:r>
          </w:p>
        </w:tc>
      </w:tr>
      <w:tr>
        <w:trPr>
          <w:trHeight w:val="441" w:hRule="atLeast"/>
        </w:trPr>
        <w:tc>
          <w:tcPr>
            <w:tcW w:w="1553" w:type="dxa"/>
            <w:tcBorders>
              <w:top w:val="single" w:color="000000" w:sz="2" w:space="0"/>
            </w:tcBorders>
          </w:tcPr>
          <w:p>
            <w:pPr>
              <w:pStyle w:val="TableParagraph"/>
              <w:spacing w:before="16"/>
              <w:ind w:right="236"/>
              <w:jc w:val="right"/>
              <w:rPr>
                <w:b/>
                <w:sz w:val="21"/>
              </w:rPr>
            </w:pPr>
            <w:r>
              <w:rPr>
                <w:b/>
                <w:color w:val="0F0F0F"/>
                <w:spacing w:val="-2"/>
                <w:w w:val="105"/>
                <w:sz w:val="21"/>
              </w:rPr>
              <w:t>185,868</w:t>
            </w:r>
          </w:p>
        </w:tc>
        <w:tc>
          <w:tcPr>
            <w:tcW w:w="5587" w:type="dxa"/>
          </w:tcPr>
          <w:p>
            <w:pPr>
              <w:pStyle w:val="TableParagraph"/>
              <w:spacing w:before="16"/>
              <w:ind w:left="219"/>
              <w:rPr>
                <w:b/>
                <w:sz w:val="21"/>
              </w:rPr>
            </w:pPr>
            <w:r>
              <w:rPr>
                <w:b/>
                <w:color w:val="0F0F0F"/>
                <w:w w:val="105"/>
                <w:sz w:val="21"/>
              </w:rPr>
              <w:t>Long</w:t>
            </w:r>
            <w:r>
              <w:rPr>
                <w:b/>
                <w:color w:val="0F0F0F"/>
                <w:spacing w:val="-1"/>
                <w:w w:val="105"/>
                <w:sz w:val="21"/>
              </w:rPr>
              <w:t> </w:t>
            </w:r>
            <w:r>
              <w:rPr>
                <w:b/>
                <w:color w:val="0F0F0F"/>
                <w:w w:val="105"/>
                <w:sz w:val="21"/>
              </w:rPr>
              <w:t>Term</w:t>
            </w:r>
            <w:r>
              <w:rPr>
                <w:b/>
                <w:color w:val="0F0F0F"/>
                <w:spacing w:val="1"/>
                <w:w w:val="105"/>
                <w:sz w:val="21"/>
              </w:rPr>
              <w:t> </w:t>
            </w:r>
            <w:r>
              <w:rPr>
                <w:b/>
                <w:color w:val="0F0F0F"/>
                <w:spacing w:val="-2"/>
                <w:w w:val="105"/>
                <w:sz w:val="21"/>
              </w:rPr>
              <w:t>Assets</w:t>
            </w:r>
          </w:p>
        </w:tc>
        <w:tc>
          <w:tcPr>
            <w:tcW w:w="1168" w:type="dxa"/>
          </w:tcPr>
          <w:p>
            <w:pPr>
              <w:pStyle w:val="TableParagraph"/>
              <w:rPr>
                <w:rFonts w:ascii="Times New Roman"/>
                <w:sz w:val="20"/>
              </w:rPr>
            </w:pPr>
          </w:p>
        </w:tc>
        <w:tc>
          <w:tcPr>
            <w:tcW w:w="1394" w:type="dxa"/>
            <w:tcBorders>
              <w:top w:val="single" w:color="000000" w:sz="2" w:space="0"/>
            </w:tcBorders>
          </w:tcPr>
          <w:p>
            <w:pPr>
              <w:pStyle w:val="TableParagraph"/>
              <w:spacing w:before="12"/>
              <w:ind w:right="102"/>
              <w:jc w:val="right"/>
              <w:rPr>
                <w:b/>
                <w:sz w:val="21"/>
              </w:rPr>
            </w:pPr>
            <w:r>
              <w:rPr>
                <w:b/>
                <w:color w:val="0F0F0F"/>
                <w:spacing w:val="-2"/>
                <w:sz w:val="21"/>
              </w:rPr>
              <w:t>210,353</w:t>
            </w:r>
          </w:p>
        </w:tc>
      </w:tr>
      <w:tr>
        <w:trPr>
          <w:trHeight w:val="452" w:hRule="atLeast"/>
        </w:trPr>
        <w:tc>
          <w:tcPr>
            <w:tcW w:w="1553" w:type="dxa"/>
          </w:tcPr>
          <w:p>
            <w:pPr>
              <w:pStyle w:val="TableParagraph"/>
              <w:spacing w:before="181"/>
              <w:ind w:right="230"/>
              <w:jc w:val="right"/>
              <w:rPr>
                <w:sz w:val="21"/>
              </w:rPr>
            </w:pPr>
            <w:r>
              <w:rPr>
                <w:color w:val="0F0F0F"/>
                <w:spacing w:val="-2"/>
                <w:w w:val="105"/>
                <w:sz w:val="21"/>
              </w:rPr>
              <w:t>40,092</w:t>
            </w:r>
          </w:p>
        </w:tc>
        <w:tc>
          <w:tcPr>
            <w:tcW w:w="5587" w:type="dxa"/>
          </w:tcPr>
          <w:p>
            <w:pPr>
              <w:pStyle w:val="TableParagraph"/>
              <w:spacing w:before="181"/>
              <w:ind w:left="220"/>
              <w:rPr>
                <w:sz w:val="21"/>
              </w:rPr>
            </w:pPr>
            <w:r>
              <w:rPr>
                <w:color w:val="0F0F0F"/>
                <w:w w:val="105"/>
                <w:sz w:val="21"/>
              </w:rPr>
              <w:t>Short</w:t>
            </w:r>
            <w:r>
              <w:rPr>
                <w:color w:val="0F0F0F"/>
                <w:spacing w:val="-3"/>
                <w:w w:val="105"/>
                <w:sz w:val="21"/>
              </w:rPr>
              <w:t> </w:t>
            </w:r>
            <w:r>
              <w:rPr>
                <w:color w:val="0F0F0F"/>
                <w:w w:val="105"/>
                <w:sz w:val="21"/>
              </w:rPr>
              <w:t>Term</w:t>
            </w:r>
            <w:r>
              <w:rPr>
                <w:color w:val="0F0F0F"/>
                <w:spacing w:val="-4"/>
                <w:w w:val="105"/>
                <w:sz w:val="21"/>
              </w:rPr>
              <w:t> </w:t>
            </w:r>
            <w:r>
              <w:rPr>
                <w:color w:val="0F0F0F"/>
                <w:spacing w:val="-2"/>
                <w:w w:val="105"/>
                <w:sz w:val="21"/>
              </w:rPr>
              <w:t>Investments</w:t>
            </w:r>
          </w:p>
        </w:tc>
        <w:tc>
          <w:tcPr>
            <w:tcW w:w="1168" w:type="dxa"/>
          </w:tcPr>
          <w:p>
            <w:pPr>
              <w:pStyle w:val="TableParagraph"/>
              <w:spacing w:before="205"/>
              <w:ind w:left="131" w:right="39"/>
              <w:jc w:val="center"/>
              <w:rPr>
                <w:rFonts w:ascii="Times New Roman"/>
                <w:sz w:val="19"/>
              </w:rPr>
            </w:pPr>
            <w:r>
              <w:rPr>
                <w:rFonts w:ascii="Times New Roman"/>
                <w:color w:val="0F0F0F"/>
                <w:spacing w:val="-4"/>
                <w:w w:val="110"/>
                <w:sz w:val="19"/>
              </w:rPr>
              <w:t>5.23</w:t>
            </w:r>
          </w:p>
        </w:tc>
        <w:tc>
          <w:tcPr>
            <w:tcW w:w="1394" w:type="dxa"/>
          </w:tcPr>
          <w:p>
            <w:pPr>
              <w:pStyle w:val="TableParagraph"/>
              <w:spacing w:before="176"/>
              <w:ind w:right="87"/>
              <w:jc w:val="right"/>
              <w:rPr>
                <w:sz w:val="21"/>
              </w:rPr>
            </w:pPr>
            <w:r>
              <w:rPr>
                <w:color w:val="0F0F0F"/>
                <w:spacing w:val="-2"/>
                <w:w w:val="105"/>
                <w:sz w:val="21"/>
              </w:rPr>
              <w:t>31,371</w:t>
            </w:r>
          </w:p>
        </w:tc>
      </w:tr>
      <w:tr>
        <w:trPr>
          <w:trHeight w:val="302" w:hRule="atLeast"/>
        </w:trPr>
        <w:tc>
          <w:tcPr>
            <w:tcW w:w="1553" w:type="dxa"/>
          </w:tcPr>
          <w:p>
            <w:pPr>
              <w:pStyle w:val="TableParagraph"/>
              <w:spacing w:before="31"/>
              <w:ind w:right="228"/>
              <w:jc w:val="right"/>
              <w:rPr>
                <w:sz w:val="21"/>
              </w:rPr>
            </w:pPr>
            <w:r>
              <w:rPr>
                <w:color w:val="0F0F0F"/>
                <w:spacing w:val="-4"/>
                <w:w w:val="105"/>
                <w:sz w:val="21"/>
              </w:rPr>
              <w:t>5,232</w:t>
            </w:r>
          </w:p>
        </w:tc>
        <w:tc>
          <w:tcPr>
            <w:tcW w:w="5587" w:type="dxa"/>
          </w:tcPr>
          <w:p>
            <w:pPr>
              <w:pStyle w:val="TableParagraph"/>
              <w:spacing w:before="26"/>
              <w:ind w:left="225"/>
              <w:rPr>
                <w:sz w:val="21"/>
              </w:rPr>
            </w:pPr>
            <w:r>
              <w:rPr>
                <w:color w:val="0F0F0F"/>
                <w:w w:val="105"/>
                <w:sz w:val="21"/>
              </w:rPr>
              <w:t>Short</w:t>
            </w:r>
            <w:r>
              <w:rPr>
                <w:color w:val="0F0F0F"/>
                <w:spacing w:val="-4"/>
                <w:w w:val="105"/>
                <w:sz w:val="21"/>
              </w:rPr>
              <w:t> </w:t>
            </w:r>
            <w:r>
              <w:rPr>
                <w:color w:val="0F0F0F"/>
                <w:w w:val="105"/>
                <w:sz w:val="21"/>
              </w:rPr>
              <w:t>Term</w:t>
            </w:r>
            <w:r>
              <w:rPr>
                <w:color w:val="0F0F0F"/>
                <w:spacing w:val="-4"/>
                <w:w w:val="105"/>
                <w:sz w:val="21"/>
              </w:rPr>
              <w:t> </w:t>
            </w:r>
            <w:r>
              <w:rPr>
                <w:color w:val="0F0F0F"/>
                <w:spacing w:val="-2"/>
                <w:w w:val="105"/>
                <w:sz w:val="21"/>
              </w:rPr>
              <w:t>Debtors</w:t>
            </w:r>
          </w:p>
        </w:tc>
        <w:tc>
          <w:tcPr>
            <w:tcW w:w="1168" w:type="dxa"/>
          </w:tcPr>
          <w:p>
            <w:pPr>
              <w:pStyle w:val="TableParagraph"/>
              <w:spacing w:before="55"/>
              <w:ind w:left="131" w:right="46"/>
              <w:jc w:val="center"/>
              <w:rPr>
                <w:rFonts w:ascii="Times New Roman"/>
                <w:sz w:val="19"/>
              </w:rPr>
            </w:pPr>
            <w:r>
              <w:rPr>
                <w:rFonts w:ascii="Times New Roman"/>
                <w:color w:val="0F0F0F"/>
                <w:spacing w:val="-4"/>
                <w:w w:val="110"/>
                <w:sz w:val="19"/>
              </w:rPr>
              <w:t>5.22</w:t>
            </w:r>
          </w:p>
        </w:tc>
        <w:tc>
          <w:tcPr>
            <w:tcW w:w="1394" w:type="dxa"/>
          </w:tcPr>
          <w:p>
            <w:pPr>
              <w:pStyle w:val="TableParagraph"/>
              <w:spacing w:before="21"/>
              <w:ind w:right="87"/>
              <w:jc w:val="right"/>
              <w:rPr>
                <w:sz w:val="21"/>
              </w:rPr>
            </w:pPr>
            <w:r>
              <w:rPr>
                <w:color w:val="0F0F0F"/>
                <w:spacing w:val="-2"/>
                <w:w w:val="105"/>
                <w:sz w:val="21"/>
              </w:rPr>
              <w:t>19,323</w:t>
            </w:r>
          </w:p>
        </w:tc>
      </w:tr>
      <w:tr>
        <w:trPr>
          <w:trHeight w:val="299" w:hRule="atLeast"/>
        </w:trPr>
        <w:tc>
          <w:tcPr>
            <w:tcW w:w="1553" w:type="dxa"/>
          </w:tcPr>
          <w:p>
            <w:pPr>
              <w:pStyle w:val="TableParagraph"/>
              <w:spacing w:before="31"/>
              <w:ind w:right="224"/>
              <w:jc w:val="right"/>
              <w:rPr>
                <w:sz w:val="21"/>
              </w:rPr>
            </w:pPr>
            <w:r>
              <w:rPr>
                <w:color w:val="0F0F0F"/>
                <w:spacing w:val="-5"/>
                <w:w w:val="105"/>
                <w:sz w:val="21"/>
              </w:rPr>
              <w:t>105</w:t>
            </w:r>
          </w:p>
        </w:tc>
        <w:tc>
          <w:tcPr>
            <w:tcW w:w="5587" w:type="dxa"/>
          </w:tcPr>
          <w:p>
            <w:pPr>
              <w:pStyle w:val="TableParagraph"/>
              <w:spacing w:before="26"/>
              <w:ind w:left="220"/>
              <w:rPr>
                <w:sz w:val="21"/>
              </w:rPr>
            </w:pPr>
            <w:r>
              <w:rPr>
                <w:color w:val="0F0F0F"/>
                <w:spacing w:val="-2"/>
                <w:w w:val="105"/>
                <w:sz w:val="21"/>
              </w:rPr>
              <w:t>Inventories</w:t>
            </w:r>
          </w:p>
        </w:tc>
        <w:tc>
          <w:tcPr>
            <w:tcW w:w="1168" w:type="dxa"/>
          </w:tcPr>
          <w:p>
            <w:pPr>
              <w:pStyle w:val="TableParagraph"/>
              <w:rPr>
                <w:rFonts w:ascii="Times New Roman"/>
                <w:sz w:val="20"/>
              </w:rPr>
            </w:pPr>
          </w:p>
        </w:tc>
        <w:tc>
          <w:tcPr>
            <w:tcW w:w="1394" w:type="dxa"/>
          </w:tcPr>
          <w:p>
            <w:pPr>
              <w:pStyle w:val="TableParagraph"/>
              <w:spacing w:before="21"/>
              <w:ind w:right="78"/>
              <w:jc w:val="right"/>
              <w:rPr>
                <w:sz w:val="21"/>
              </w:rPr>
            </w:pPr>
            <w:r>
              <w:rPr>
                <w:color w:val="0F0F0F"/>
                <w:spacing w:val="-5"/>
                <w:w w:val="105"/>
                <w:sz w:val="21"/>
              </w:rPr>
              <w:t>110</w:t>
            </w:r>
          </w:p>
        </w:tc>
      </w:tr>
      <w:tr>
        <w:trPr>
          <w:trHeight w:val="310" w:hRule="atLeast"/>
        </w:trPr>
        <w:tc>
          <w:tcPr>
            <w:tcW w:w="1553" w:type="dxa"/>
            <w:tcBorders>
              <w:bottom w:val="single" w:color="000000" w:sz="2" w:space="0"/>
            </w:tcBorders>
          </w:tcPr>
          <w:p>
            <w:pPr>
              <w:pStyle w:val="TableParagraph"/>
              <w:spacing w:before="29"/>
              <w:ind w:right="229"/>
              <w:jc w:val="right"/>
              <w:rPr>
                <w:sz w:val="21"/>
              </w:rPr>
            </w:pPr>
            <w:r>
              <w:rPr>
                <w:color w:val="0F0F0F"/>
                <w:spacing w:val="-2"/>
                <w:w w:val="105"/>
                <w:sz w:val="21"/>
              </w:rPr>
              <w:t>28</w:t>
            </w:r>
            <w:r>
              <w:rPr>
                <w:color w:val="6B6B6B"/>
                <w:spacing w:val="-2"/>
                <w:w w:val="105"/>
                <w:sz w:val="21"/>
              </w:rPr>
              <w:t>,</w:t>
            </w:r>
            <w:r>
              <w:rPr>
                <w:color w:val="0F0F0F"/>
                <w:spacing w:val="-2"/>
                <w:w w:val="105"/>
                <w:sz w:val="21"/>
              </w:rPr>
              <w:t>384</w:t>
            </w:r>
          </w:p>
        </w:tc>
        <w:tc>
          <w:tcPr>
            <w:tcW w:w="5587" w:type="dxa"/>
          </w:tcPr>
          <w:p>
            <w:pPr>
              <w:pStyle w:val="TableParagraph"/>
              <w:spacing w:before="25"/>
              <w:ind w:left="224"/>
              <w:rPr>
                <w:sz w:val="21"/>
              </w:rPr>
            </w:pPr>
            <w:r>
              <w:rPr>
                <w:color w:val="0F0F0F"/>
                <w:w w:val="105"/>
                <w:sz w:val="21"/>
              </w:rPr>
              <w:t>Cash and</w:t>
            </w:r>
            <w:r>
              <w:rPr>
                <w:color w:val="0F0F0F"/>
                <w:spacing w:val="-10"/>
                <w:w w:val="105"/>
                <w:sz w:val="21"/>
              </w:rPr>
              <w:t> </w:t>
            </w:r>
            <w:r>
              <w:rPr>
                <w:color w:val="0F0F0F"/>
                <w:w w:val="105"/>
                <w:sz w:val="21"/>
              </w:rPr>
              <w:t>Cash</w:t>
            </w:r>
            <w:r>
              <w:rPr>
                <w:color w:val="0F0F0F"/>
                <w:spacing w:val="-8"/>
                <w:w w:val="105"/>
                <w:sz w:val="21"/>
              </w:rPr>
              <w:t> </w:t>
            </w:r>
            <w:r>
              <w:rPr>
                <w:color w:val="0F0F0F"/>
                <w:spacing w:val="-2"/>
                <w:w w:val="105"/>
                <w:sz w:val="21"/>
              </w:rPr>
              <w:t>Equivalents</w:t>
            </w:r>
          </w:p>
        </w:tc>
        <w:tc>
          <w:tcPr>
            <w:tcW w:w="1168" w:type="dxa"/>
          </w:tcPr>
          <w:p>
            <w:pPr>
              <w:pStyle w:val="TableParagraph"/>
              <w:spacing w:before="54"/>
              <w:ind w:left="131" w:right="58"/>
              <w:jc w:val="center"/>
              <w:rPr>
                <w:rFonts w:ascii="Times New Roman"/>
                <w:sz w:val="19"/>
              </w:rPr>
            </w:pPr>
            <w:r>
              <w:rPr>
                <w:rFonts w:ascii="Times New Roman"/>
                <w:color w:val="0F0F0F"/>
                <w:spacing w:val="-4"/>
                <w:w w:val="105"/>
                <w:sz w:val="19"/>
              </w:rPr>
              <w:t>5</w:t>
            </w:r>
            <w:r>
              <w:rPr>
                <w:rFonts w:ascii="Times New Roman"/>
                <w:color w:val="383838"/>
                <w:spacing w:val="-4"/>
                <w:w w:val="105"/>
                <w:sz w:val="19"/>
              </w:rPr>
              <w:t>.</w:t>
            </w:r>
            <w:r>
              <w:rPr>
                <w:rFonts w:ascii="Times New Roman"/>
                <w:color w:val="0F0F0F"/>
                <w:spacing w:val="-4"/>
                <w:w w:val="105"/>
                <w:sz w:val="19"/>
              </w:rPr>
              <w:t>24</w:t>
            </w:r>
          </w:p>
        </w:tc>
        <w:tc>
          <w:tcPr>
            <w:tcW w:w="1394" w:type="dxa"/>
            <w:tcBorders>
              <w:bottom w:val="single" w:color="000000" w:sz="2" w:space="0"/>
            </w:tcBorders>
          </w:tcPr>
          <w:p>
            <w:pPr>
              <w:pStyle w:val="TableParagraph"/>
              <w:spacing w:before="20"/>
              <w:ind w:right="66"/>
              <w:jc w:val="right"/>
              <w:rPr>
                <w:sz w:val="21"/>
              </w:rPr>
            </w:pPr>
            <w:r>
              <w:rPr>
                <w:color w:val="0F0F0F"/>
                <w:spacing w:val="-2"/>
                <w:w w:val="105"/>
                <w:sz w:val="21"/>
              </w:rPr>
              <w:t>28</w:t>
            </w:r>
            <w:r>
              <w:rPr>
                <w:color w:val="4B4B4B"/>
                <w:spacing w:val="-2"/>
                <w:w w:val="105"/>
                <w:sz w:val="21"/>
              </w:rPr>
              <w:t>,</w:t>
            </w:r>
            <w:r>
              <w:rPr>
                <w:color w:val="0F0F0F"/>
                <w:spacing w:val="-2"/>
                <w:w w:val="105"/>
                <w:sz w:val="21"/>
              </w:rPr>
              <w:t>381</w:t>
            </w:r>
          </w:p>
        </w:tc>
      </w:tr>
      <w:tr>
        <w:trPr>
          <w:trHeight w:val="441" w:hRule="atLeast"/>
        </w:trPr>
        <w:tc>
          <w:tcPr>
            <w:tcW w:w="1553" w:type="dxa"/>
            <w:tcBorders>
              <w:top w:val="single" w:color="000000" w:sz="2" w:space="0"/>
            </w:tcBorders>
          </w:tcPr>
          <w:p>
            <w:pPr>
              <w:pStyle w:val="TableParagraph"/>
              <w:spacing w:before="16"/>
              <w:ind w:right="227"/>
              <w:jc w:val="right"/>
              <w:rPr>
                <w:b/>
                <w:sz w:val="21"/>
              </w:rPr>
            </w:pPr>
            <w:r>
              <w:rPr>
                <w:b/>
                <w:color w:val="0F0F0F"/>
                <w:spacing w:val="-2"/>
                <w:w w:val="105"/>
                <w:sz w:val="21"/>
              </w:rPr>
              <w:t>73,813</w:t>
            </w:r>
          </w:p>
        </w:tc>
        <w:tc>
          <w:tcPr>
            <w:tcW w:w="5587" w:type="dxa"/>
          </w:tcPr>
          <w:p>
            <w:pPr>
              <w:pStyle w:val="TableParagraph"/>
              <w:spacing w:before="16"/>
              <w:ind w:left="220"/>
              <w:rPr>
                <w:b/>
                <w:sz w:val="21"/>
              </w:rPr>
            </w:pPr>
            <w:r>
              <w:rPr>
                <w:b/>
                <w:color w:val="0F0F0F"/>
                <w:w w:val="105"/>
                <w:sz w:val="21"/>
              </w:rPr>
              <w:t>Current</w:t>
            </w:r>
            <w:r>
              <w:rPr>
                <w:b/>
                <w:color w:val="0F0F0F"/>
                <w:spacing w:val="11"/>
                <w:w w:val="105"/>
                <w:sz w:val="21"/>
              </w:rPr>
              <w:t> </w:t>
            </w:r>
            <w:r>
              <w:rPr>
                <w:b/>
                <w:color w:val="0F0F0F"/>
                <w:spacing w:val="-2"/>
                <w:w w:val="105"/>
                <w:sz w:val="21"/>
              </w:rPr>
              <w:t>Assets</w:t>
            </w:r>
          </w:p>
        </w:tc>
        <w:tc>
          <w:tcPr>
            <w:tcW w:w="1168" w:type="dxa"/>
          </w:tcPr>
          <w:p>
            <w:pPr>
              <w:pStyle w:val="TableParagraph"/>
              <w:rPr>
                <w:rFonts w:ascii="Times New Roman"/>
                <w:sz w:val="20"/>
              </w:rPr>
            </w:pPr>
          </w:p>
        </w:tc>
        <w:tc>
          <w:tcPr>
            <w:tcW w:w="1394" w:type="dxa"/>
            <w:tcBorders>
              <w:top w:val="single" w:color="000000" w:sz="2" w:space="0"/>
            </w:tcBorders>
          </w:tcPr>
          <w:p>
            <w:pPr>
              <w:pStyle w:val="TableParagraph"/>
              <w:spacing w:before="12"/>
              <w:ind w:right="89"/>
              <w:jc w:val="right"/>
              <w:rPr>
                <w:b/>
                <w:sz w:val="21"/>
              </w:rPr>
            </w:pPr>
            <w:r>
              <w:rPr>
                <w:b/>
                <w:color w:val="0F0F0F"/>
                <w:spacing w:val="-2"/>
                <w:w w:val="105"/>
                <w:sz w:val="21"/>
              </w:rPr>
              <w:t>79,185</w:t>
            </w:r>
          </w:p>
        </w:tc>
      </w:tr>
      <w:tr>
        <w:trPr>
          <w:trHeight w:val="454" w:hRule="atLeast"/>
        </w:trPr>
        <w:tc>
          <w:tcPr>
            <w:tcW w:w="1553" w:type="dxa"/>
          </w:tcPr>
          <w:p>
            <w:pPr>
              <w:pStyle w:val="TableParagraph"/>
              <w:spacing w:before="181"/>
              <w:ind w:right="233"/>
              <w:jc w:val="right"/>
              <w:rPr>
                <w:sz w:val="21"/>
              </w:rPr>
            </w:pPr>
            <w:r>
              <w:rPr>
                <w:color w:val="0F0F0F"/>
                <w:spacing w:val="-2"/>
                <w:w w:val="105"/>
                <w:sz w:val="21"/>
              </w:rPr>
              <w:t>(25,169)</w:t>
            </w:r>
          </w:p>
        </w:tc>
        <w:tc>
          <w:tcPr>
            <w:tcW w:w="5587" w:type="dxa"/>
          </w:tcPr>
          <w:p>
            <w:pPr>
              <w:pStyle w:val="TableParagraph"/>
              <w:spacing w:before="181"/>
              <w:ind w:left="220"/>
              <w:rPr>
                <w:sz w:val="21"/>
              </w:rPr>
            </w:pPr>
            <w:r>
              <w:rPr>
                <w:color w:val="0F0F0F"/>
                <w:w w:val="105"/>
                <w:sz w:val="21"/>
              </w:rPr>
              <w:t>Short Term</w:t>
            </w:r>
            <w:r>
              <w:rPr>
                <w:color w:val="0F0F0F"/>
                <w:spacing w:val="-3"/>
                <w:w w:val="105"/>
                <w:sz w:val="21"/>
              </w:rPr>
              <w:t> </w:t>
            </w:r>
            <w:r>
              <w:rPr>
                <w:color w:val="0F0F0F"/>
                <w:spacing w:val="-2"/>
                <w:w w:val="105"/>
                <w:sz w:val="21"/>
              </w:rPr>
              <w:t>Creditors</w:t>
            </w:r>
          </w:p>
        </w:tc>
        <w:tc>
          <w:tcPr>
            <w:tcW w:w="1168" w:type="dxa"/>
          </w:tcPr>
          <w:p>
            <w:pPr>
              <w:pStyle w:val="TableParagraph"/>
              <w:spacing w:before="205"/>
              <w:ind w:left="131" w:right="33"/>
              <w:jc w:val="center"/>
              <w:rPr>
                <w:rFonts w:ascii="Times New Roman"/>
                <w:sz w:val="19"/>
              </w:rPr>
            </w:pPr>
            <w:r>
              <w:rPr>
                <w:rFonts w:ascii="Times New Roman"/>
                <w:color w:val="0F0F0F"/>
                <w:spacing w:val="-4"/>
                <w:w w:val="110"/>
                <w:sz w:val="19"/>
              </w:rPr>
              <w:t>5.25</w:t>
            </w:r>
          </w:p>
        </w:tc>
        <w:tc>
          <w:tcPr>
            <w:tcW w:w="1394" w:type="dxa"/>
          </w:tcPr>
          <w:p>
            <w:pPr>
              <w:pStyle w:val="TableParagraph"/>
              <w:spacing w:before="176"/>
              <w:ind w:right="31"/>
              <w:jc w:val="right"/>
              <w:rPr>
                <w:sz w:val="21"/>
              </w:rPr>
            </w:pPr>
            <w:r>
              <w:rPr>
                <w:color w:val="0F0F0F"/>
                <w:spacing w:val="-2"/>
                <w:w w:val="105"/>
                <w:sz w:val="21"/>
              </w:rPr>
              <w:t>(28,162)</w:t>
            </w:r>
          </w:p>
        </w:tc>
      </w:tr>
      <w:tr>
        <w:trPr>
          <w:trHeight w:val="314" w:hRule="atLeast"/>
        </w:trPr>
        <w:tc>
          <w:tcPr>
            <w:tcW w:w="1553" w:type="dxa"/>
            <w:tcBorders>
              <w:bottom w:val="single" w:color="000000" w:sz="2" w:space="0"/>
            </w:tcBorders>
          </w:tcPr>
          <w:p>
            <w:pPr>
              <w:pStyle w:val="TableParagraph"/>
              <w:spacing w:before="24"/>
              <w:ind w:right="233"/>
              <w:jc w:val="right"/>
              <w:rPr>
                <w:sz w:val="21"/>
              </w:rPr>
            </w:pPr>
            <w:r>
              <w:rPr>
                <w:color w:val="0F0F0F"/>
                <w:spacing w:val="-2"/>
                <w:w w:val="105"/>
                <w:sz w:val="21"/>
              </w:rPr>
              <w:t>(1,373)</w:t>
            </w:r>
          </w:p>
        </w:tc>
        <w:tc>
          <w:tcPr>
            <w:tcW w:w="5587" w:type="dxa"/>
          </w:tcPr>
          <w:p>
            <w:pPr>
              <w:pStyle w:val="TableParagraph"/>
              <w:spacing w:before="24"/>
              <w:ind w:left="224"/>
              <w:rPr>
                <w:sz w:val="21"/>
              </w:rPr>
            </w:pPr>
            <w:r>
              <w:rPr>
                <w:color w:val="0F0F0F"/>
                <w:spacing w:val="-2"/>
                <w:w w:val="105"/>
                <w:sz w:val="21"/>
              </w:rPr>
              <w:t>Provisions</w:t>
            </w:r>
          </w:p>
        </w:tc>
        <w:tc>
          <w:tcPr>
            <w:tcW w:w="1168" w:type="dxa"/>
          </w:tcPr>
          <w:p>
            <w:pPr>
              <w:pStyle w:val="TableParagraph"/>
              <w:spacing w:before="48"/>
              <w:ind w:left="131" w:right="34"/>
              <w:jc w:val="center"/>
              <w:rPr>
                <w:rFonts w:ascii="Times New Roman"/>
                <w:sz w:val="19"/>
              </w:rPr>
            </w:pPr>
            <w:r>
              <w:rPr>
                <w:rFonts w:ascii="Times New Roman"/>
                <w:color w:val="0F0F0F"/>
                <w:spacing w:val="-4"/>
                <w:w w:val="105"/>
                <w:sz w:val="19"/>
              </w:rPr>
              <w:t>5</w:t>
            </w:r>
            <w:r>
              <w:rPr>
                <w:rFonts w:ascii="Times New Roman"/>
                <w:color w:val="4B4B4B"/>
                <w:spacing w:val="-4"/>
                <w:w w:val="105"/>
                <w:sz w:val="19"/>
              </w:rPr>
              <w:t>.</w:t>
            </w:r>
            <w:r>
              <w:rPr>
                <w:rFonts w:ascii="Times New Roman"/>
                <w:color w:val="0F0F0F"/>
                <w:spacing w:val="-4"/>
                <w:w w:val="105"/>
                <w:sz w:val="19"/>
              </w:rPr>
              <w:t>26</w:t>
            </w:r>
          </w:p>
        </w:tc>
        <w:tc>
          <w:tcPr>
            <w:tcW w:w="1394" w:type="dxa"/>
            <w:tcBorders>
              <w:bottom w:val="single" w:color="000000" w:sz="2" w:space="0"/>
            </w:tcBorders>
          </w:tcPr>
          <w:p>
            <w:pPr>
              <w:pStyle w:val="TableParagraph"/>
              <w:spacing w:before="24"/>
              <w:ind w:right="6"/>
              <w:jc w:val="right"/>
              <w:rPr>
                <w:sz w:val="21"/>
              </w:rPr>
            </w:pPr>
            <w:r>
              <w:rPr>
                <w:color w:val="383838"/>
                <w:spacing w:val="-4"/>
                <w:w w:val="105"/>
                <w:sz w:val="21"/>
              </w:rPr>
              <w:t>{</w:t>
            </w:r>
            <w:r>
              <w:rPr>
                <w:color w:val="0F0F0F"/>
                <w:spacing w:val="-4"/>
                <w:w w:val="105"/>
                <w:sz w:val="21"/>
              </w:rPr>
              <w:t>420</w:t>
            </w:r>
            <w:r>
              <w:rPr>
                <w:color w:val="2A2A2A"/>
                <w:spacing w:val="-4"/>
                <w:w w:val="105"/>
                <w:sz w:val="21"/>
              </w:rPr>
              <w:t>}</w:t>
            </w:r>
          </w:p>
        </w:tc>
      </w:tr>
      <w:tr>
        <w:trPr>
          <w:trHeight w:val="433" w:hRule="atLeast"/>
        </w:trPr>
        <w:tc>
          <w:tcPr>
            <w:tcW w:w="1553" w:type="dxa"/>
            <w:tcBorders>
              <w:top w:val="single" w:color="000000" w:sz="2" w:space="0"/>
            </w:tcBorders>
          </w:tcPr>
          <w:p>
            <w:pPr>
              <w:pStyle w:val="TableParagraph"/>
              <w:spacing w:before="12"/>
              <w:ind w:right="225"/>
              <w:jc w:val="right"/>
              <w:rPr>
                <w:b/>
                <w:sz w:val="21"/>
              </w:rPr>
            </w:pPr>
            <w:r>
              <w:rPr>
                <w:b/>
                <w:color w:val="0F0F0F"/>
                <w:spacing w:val="-2"/>
                <w:w w:val="105"/>
                <w:sz w:val="21"/>
              </w:rPr>
              <w:t>(26,542)</w:t>
            </w:r>
          </w:p>
        </w:tc>
        <w:tc>
          <w:tcPr>
            <w:tcW w:w="5587" w:type="dxa"/>
          </w:tcPr>
          <w:p>
            <w:pPr>
              <w:pStyle w:val="TableParagraph"/>
              <w:spacing w:before="12"/>
              <w:ind w:left="225"/>
              <w:rPr>
                <w:b/>
                <w:sz w:val="21"/>
              </w:rPr>
            </w:pPr>
            <w:r>
              <w:rPr>
                <w:b/>
                <w:color w:val="0F0F0F"/>
                <w:w w:val="105"/>
                <w:sz w:val="21"/>
              </w:rPr>
              <w:t>Current</w:t>
            </w:r>
            <w:r>
              <w:rPr>
                <w:b/>
                <w:color w:val="0F0F0F"/>
                <w:spacing w:val="-1"/>
                <w:w w:val="105"/>
                <w:sz w:val="21"/>
              </w:rPr>
              <w:t> </w:t>
            </w:r>
            <w:r>
              <w:rPr>
                <w:b/>
                <w:color w:val="0F0F0F"/>
                <w:spacing w:val="-2"/>
                <w:w w:val="105"/>
                <w:sz w:val="21"/>
              </w:rPr>
              <w:t>Liabilities</w:t>
            </w:r>
          </w:p>
        </w:tc>
        <w:tc>
          <w:tcPr>
            <w:tcW w:w="1168" w:type="dxa"/>
          </w:tcPr>
          <w:p>
            <w:pPr>
              <w:pStyle w:val="TableParagraph"/>
              <w:rPr>
                <w:rFonts w:ascii="Times New Roman"/>
                <w:sz w:val="20"/>
              </w:rPr>
            </w:pPr>
          </w:p>
        </w:tc>
        <w:tc>
          <w:tcPr>
            <w:tcW w:w="1394" w:type="dxa"/>
            <w:tcBorders>
              <w:top w:val="single" w:color="000000" w:sz="2" w:space="0"/>
            </w:tcBorders>
          </w:tcPr>
          <w:p>
            <w:pPr>
              <w:pStyle w:val="TableParagraph"/>
              <w:spacing w:before="7"/>
              <w:ind w:right="13"/>
              <w:jc w:val="right"/>
              <w:rPr>
                <w:b/>
                <w:sz w:val="21"/>
              </w:rPr>
            </w:pPr>
            <w:r>
              <w:rPr>
                <w:b/>
                <w:color w:val="0F0F0F"/>
                <w:spacing w:val="-2"/>
                <w:w w:val="105"/>
                <w:sz w:val="21"/>
              </w:rPr>
              <w:t>(28,582)</w:t>
            </w:r>
          </w:p>
        </w:tc>
      </w:tr>
      <w:tr>
        <w:trPr>
          <w:trHeight w:val="454" w:hRule="atLeast"/>
        </w:trPr>
        <w:tc>
          <w:tcPr>
            <w:tcW w:w="1553" w:type="dxa"/>
          </w:tcPr>
          <w:p>
            <w:pPr>
              <w:pStyle w:val="TableParagraph"/>
              <w:spacing w:before="183"/>
              <w:ind w:right="226"/>
              <w:jc w:val="right"/>
              <w:rPr>
                <w:sz w:val="21"/>
              </w:rPr>
            </w:pPr>
            <w:r>
              <w:rPr>
                <w:color w:val="0F0F0F"/>
                <w:spacing w:val="-2"/>
                <w:w w:val="105"/>
                <w:sz w:val="21"/>
              </w:rPr>
              <w:t>(182)</w:t>
            </w:r>
          </w:p>
        </w:tc>
        <w:tc>
          <w:tcPr>
            <w:tcW w:w="5587" w:type="dxa"/>
          </w:tcPr>
          <w:p>
            <w:pPr>
              <w:pStyle w:val="TableParagraph"/>
              <w:spacing w:before="178"/>
              <w:ind w:left="224"/>
              <w:rPr>
                <w:sz w:val="21"/>
              </w:rPr>
            </w:pPr>
            <w:r>
              <w:rPr>
                <w:color w:val="0F0F0F"/>
                <w:spacing w:val="-2"/>
                <w:w w:val="105"/>
                <w:sz w:val="21"/>
              </w:rPr>
              <w:t>Provisions</w:t>
            </w:r>
          </w:p>
        </w:tc>
        <w:tc>
          <w:tcPr>
            <w:tcW w:w="1168" w:type="dxa"/>
          </w:tcPr>
          <w:p>
            <w:pPr>
              <w:pStyle w:val="TableParagraph"/>
              <w:spacing w:before="208"/>
              <w:ind w:left="131" w:right="34"/>
              <w:jc w:val="center"/>
              <w:rPr>
                <w:rFonts w:ascii="Times New Roman"/>
                <w:sz w:val="19"/>
              </w:rPr>
            </w:pPr>
            <w:r>
              <w:rPr>
                <w:rFonts w:ascii="Times New Roman"/>
                <w:color w:val="0F0F0F"/>
                <w:spacing w:val="-4"/>
                <w:w w:val="105"/>
                <w:sz w:val="19"/>
              </w:rPr>
              <w:t>5</w:t>
            </w:r>
            <w:r>
              <w:rPr>
                <w:rFonts w:ascii="Times New Roman"/>
                <w:color w:val="383838"/>
                <w:spacing w:val="-4"/>
                <w:w w:val="105"/>
                <w:sz w:val="19"/>
              </w:rPr>
              <w:t>.</w:t>
            </w:r>
            <w:r>
              <w:rPr>
                <w:rFonts w:ascii="Times New Roman"/>
                <w:color w:val="0F0F0F"/>
                <w:spacing w:val="-4"/>
                <w:w w:val="105"/>
                <w:sz w:val="19"/>
              </w:rPr>
              <w:t>26</w:t>
            </w:r>
          </w:p>
        </w:tc>
        <w:tc>
          <w:tcPr>
            <w:tcW w:w="1394" w:type="dxa"/>
          </w:tcPr>
          <w:p>
            <w:pPr>
              <w:pStyle w:val="TableParagraph"/>
              <w:spacing w:before="174"/>
              <w:ind w:right="73"/>
              <w:jc w:val="right"/>
              <w:rPr>
                <w:sz w:val="21"/>
              </w:rPr>
            </w:pPr>
            <w:r>
              <w:rPr>
                <w:color w:val="0F0F0F"/>
                <w:spacing w:val="-4"/>
                <w:w w:val="105"/>
                <w:sz w:val="21"/>
              </w:rPr>
              <w:t>(56)</w:t>
            </w:r>
          </w:p>
        </w:tc>
      </w:tr>
      <w:tr>
        <w:trPr>
          <w:trHeight w:val="302" w:hRule="atLeast"/>
        </w:trPr>
        <w:tc>
          <w:tcPr>
            <w:tcW w:w="1553" w:type="dxa"/>
          </w:tcPr>
          <w:p>
            <w:pPr>
              <w:pStyle w:val="TableParagraph"/>
              <w:spacing w:before="26"/>
              <w:ind w:right="233"/>
              <w:jc w:val="right"/>
              <w:rPr>
                <w:sz w:val="21"/>
              </w:rPr>
            </w:pPr>
            <w:r>
              <w:rPr>
                <w:color w:val="0F0F0F"/>
                <w:spacing w:val="-2"/>
                <w:w w:val="105"/>
                <w:sz w:val="21"/>
              </w:rPr>
              <w:t>(40,326)</w:t>
            </w:r>
          </w:p>
        </w:tc>
        <w:tc>
          <w:tcPr>
            <w:tcW w:w="5587" w:type="dxa"/>
          </w:tcPr>
          <w:p>
            <w:pPr>
              <w:pStyle w:val="TableParagraph"/>
              <w:spacing w:before="26"/>
              <w:ind w:left="224"/>
              <w:rPr>
                <w:sz w:val="21"/>
              </w:rPr>
            </w:pPr>
            <w:r>
              <w:rPr>
                <w:color w:val="0F0F0F"/>
                <w:w w:val="105"/>
                <w:sz w:val="21"/>
              </w:rPr>
              <w:t>Liability</w:t>
            </w:r>
            <w:r>
              <w:rPr>
                <w:color w:val="0F0F0F"/>
                <w:spacing w:val="2"/>
                <w:w w:val="105"/>
                <w:sz w:val="21"/>
              </w:rPr>
              <w:t> </w:t>
            </w:r>
            <w:r>
              <w:rPr>
                <w:color w:val="0F0F0F"/>
                <w:w w:val="105"/>
                <w:sz w:val="21"/>
              </w:rPr>
              <w:t>related</w:t>
            </w:r>
            <w:r>
              <w:rPr>
                <w:color w:val="0F0F0F"/>
                <w:spacing w:val="-8"/>
                <w:w w:val="105"/>
                <w:sz w:val="21"/>
              </w:rPr>
              <w:t> </w:t>
            </w:r>
            <w:r>
              <w:rPr>
                <w:color w:val="0F0F0F"/>
                <w:w w:val="105"/>
                <w:sz w:val="21"/>
              </w:rPr>
              <w:t>to</w:t>
            </w:r>
            <w:r>
              <w:rPr>
                <w:color w:val="0F0F0F"/>
                <w:spacing w:val="-12"/>
                <w:w w:val="105"/>
                <w:sz w:val="21"/>
              </w:rPr>
              <w:t> </w:t>
            </w:r>
            <w:r>
              <w:rPr>
                <w:color w:val="0F0F0F"/>
                <w:w w:val="105"/>
                <w:sz w:val="21"/>
              </w:rPr>
              <w:t>Defined</w:t>
            </w:r>
            <w:r>
              <w:rPr>
                <w:color w:val="0F0F0F"/>
                <w:spacing w:val="-9"/>
                <w:w w:val="105"/>
                <w:sz w:val="21"/>
              </w:rPr>
              <w:t> </w:t>
            </w:r>
            <w:r>
              <w:rPr>
                <w:color w:val="0F0F0F"/>
                <w:w w:val="105"/>
                <w:sz w:val="21"/>
              </w:rPr>
              <w:t>Benefit</w:t>
            </w:r>
            <w:r>
              <w:rPr>
                <w:color w:val="0F0F0F"/>
                <w:spacing w:val="-4"/>
                <w:w w:val="105"/>
                <w:sz w:val="21"/>
              </w:rPr>
              <w:t> </w:t>
            </w:r>
            <w:r>
              <w:rPr>
                <w:color w:val="0F0F0F"/>
                <w:w w:val="105"/>
                <w:sz w:val="21"/>
              </w:rPr>
              <w:t>Pension</w:t>
            </w:r>
            <w:r>
              <w:rPr>
                <w:color w:val="0F0F0F"/>
                <w:spacing w:val="2"/>
                <w:w w:val="105"/>
                <w:sz w:val="21"/>
              </w:rPr>
              <w:t> </w:t>
            </w:r>
            <w:r>
              <w:rPr>
                <w:color w:val="0F0F0F"/>
                <w:spacing w:val="-2"/>
                <w:w w:val="105"/>
                <w:sz w:val="21"/>
              </w:rPr>
              <w:t>Scheme</w:t>
            </w:r>
          </w:p>
        </w:tc>
        <w:tc>
          <w:tcPr>
            <w:tcW w:w="1168" w:type="dxa"/>
          </w:tcPr>
          <w:p>
            <w:pPr>
              <w:pStyle w:val="TableParagraph"/>
              <w:spacing w:before="55"/>
              <w:ind w:left="131" w:right="12"/>
              <w:jc w:val="center"/>
              <w:rPr>
                <w:rFonts w:ascii="Times New Roman"/>
                <w:sz w:val="19"/>
              </w:rPr>
            </w:pPr>
            <w:r>
              <w:rPr>
                <w:rFonts w:ascii="Times New Roman"/>
                <w:color w:val="0F0F0F"/>
                <w:spacing w:val="-2"/>
                <w:w w:val="110"/>
                <w:sz w:val="19"/>
              </w:rPr>
              <w:t>5.29.3</w:t>
            </w:r>
          </w:p>
        </w:tc>
        <w:tc>
          <w:tcPr>
            <w:tcW w:w="1394" w:type="dxa"/>
          </w:tcPr>
          <w:p>
            <w:pPr>
              <w:pStyle w:val="TableParagraph"/>
              <w:spacing w:before="21"/>
              <w:ind w:right="21"/>
              <w:jc w:val="right"/>
              <w:rPr>
                <w:sz w:val="21"/>
              </w:rPr>
            </w:pPr>
            <w:r>
              <w:rPr>
                <w:color w:val="0F0F0F"/>
                <w:spacing w:val="-2"/>
                <w:w w:val="105"/>
                <w:sz w:val="21"/>
              </w:rPr>
              <w:t>(10,637)</w:t>
            </w:r>
          </w:p>
        </w:tc>
      </w:tr>
      <w:tr>
        <w:trPr>
          <w:trHeight w:val="300" w:hRule="atLeast"/>
        </w:trPr>
        <w:tc>
          <w:tcPr>
            <w:tcW w:w="1553" w:type="dxa"/>
          </w:tcPr>
          <w:p>
            <w:pPr>
              <w:pStyle w:val="TableParagraph"/>
              <w:spacing w:before="26"/>
              <w:ind w:right="226"/>
              <w:jc w:val="right"/>
              <w:rPr>
                <w:sz w:val="21"/>
              </w:rPr>
            </w:pPr>
            <w:r>
              <w:rPr>
                <w:color w:val="0F0F0F"/>
                <w:spacing w:val="-2"/>
                <w:w w:val="105"/>
                <w:sz w:val="21"/>
              </w:rPr>
              <w:t>(148)</w:t>
            </w:r>
          </w:p>
        </w:tc>
        <w:tc>
          <w:tcPr>
            <w:tcW w:w="5587" w:type="dxa"/>
          </w:tcPr>
          <w:p>
            <w:pPr>
              <w:pStyle w:val="TableParagraph"/>
              <w:spacing w:before="21"/>
              <w:ind w:left="230"/>
              <w:rPr>
                <w:sz w:val="21"/>
              </w:rPr>
            </w:pPr>
            <w:r>
              <w:rPr>
                <w:color w:val="0F0F0F"/>
                <w:w w:val="105"/>
                <w:sz w:val="21"/>
              </w:rPr>
              <w:t>Other</w:t>
            </w:r>
            <w:r>
              <w:rPr>
                <w:color w:val="0F0F0F"/>
                <w:spacing w:val="-4"/>
                <w:w w:val="105"/>
                <w:sz w:val="21"/>
              </w:rPr>
              <w:t> </w:t>
            </w:r>
            <w:r>
              <w:rPr>
                <w:color w:val="0F0F0F"/>
                <w:w w:val="105"/>
                <w:sz w:val="21"/>
              </w:rPr>
              <w:t>Long</w:t>
            </w:r>
            <w:r>
              <w:rPr>
                <w:color w:val="0F0F0F"/>
                <w:spacing w:val="-7"/>
                <w:w w:val="105"/>
                <w:sz w:val="21"/>
              </w:rPr>
              <w:t> </w:t>
            </w:r>
            <w:r>
              <w:rPr>
                <w:color w:val="0F0F0F"/>
                <w:w w:val="105"/>
                <w:sz w:val="21"/>
              </w:rPr>
              <w:t>Term</w:t>
            </w:r>
            <w:r>
              <w:rPr>
                <w:color w:val="0F0F0F"/>
                <w:spacing w:val="-8"/>
                <w:w w:val="105"/>
                <w:sz w:val="21"/>
              </w:rPr>
              <w:t> </w:t>
            </w:r>
            <w:r>
              <w:rPr>
                <w:color w:val="0F0F0F"/>
                <w:spacing w:val="-2"/>
                <w:w w:val="105"/>
                <w:sz w:val="21"/>
              </w:rPr>
              <w:t>Liabilities</w:t>
            </w:r>
          </w:p>
        </w:tc>
        <w:tc>
          <w:tcPr>
            <w:tcW w:w="1168" w:type="dxa"/>
          </w:tcPr>
          <w:p>
            <w:pPr>
              <w:pStyle w:val="TableParagraph"/>
              <w:spacing w:before="51"/>
              <w:ind w:left="131" w:right="16"/>
              <w:jc w:val="center"/>
              <w:rPr>
                <w:rFonts w:ascii="Times New Roman"/>
                <w:sz w:val="19"/>
              </w:rPr>
            </w:pPr>
            <w:r>
              <w:rPr>
                <w:rFonts w:ascii="Times New Roman"/>
                <w:color w:val="0F0F0F"/>
                <w:spacing w:val="-4"/>
                <w:w w:val="110"/>
                <w:sz w:val="19"/>
              </w:rPr>
              <w:t>5.25</w:t>
            </w:r>
          </w:p>
        </w:tc>
        <w:tc>
          <w:tcPr>
            <w:tcW w:w="1394" w:type="dxa"/>
          </w:tcPr>
          <w:p>
            <w:pPr>
              <w:pStyle w:val="TableParagraph"/>
              <w:spacing w:before="21"/>
              <w:ind w:right="14"/>
              <w:jc w:val="right"/>
              <w:rPr>
                <w:sz w:val="21"/>
              </w:rPr>
            </w:pPr>
            <w:r>
              <w:rPr>
                <w:color w:val="0F0F0F"/>
                <w:spacing w:val="-2"/>
                <w:w w:val="105"/>
                <w:sz w:val="21"/>
              </w:rPr>
              <w:t>(173)</w:t>
            </w:r>
          </w:p>
        </w:tc>
      </w:tr>
      <w:tr>
        <w:trPr>
          <w:trHeight w:val="319" w:hRule="atLeast"/>
        </w:trPr>
        <w:tc>
          <w:tcPr>
            <w:tcW w:w="1553" w:type="dxa"/>
            <w:tcBorders>
              <w:bottom w:val="single" w:color="000000" w:sz="2" w:space="0"/>
            </w:tcBorders>
          </w:tcPr>
          <w:p>
            <w:pPr>
              <w:pStyle w:val="TableParagraph"/>
              <w:spacing w:before="24"/>
              <w:ind w:right="233"/>
              <w:jc w:val="right"/>
              <w:rPr>
                <w:sz w:val="21"/>
              </w:rPr>
            </w:pPr>
            <w:r>
              <w:rPr>
                <w:color w:val="0F0F0F"/>
                <w:spacing w:val="-2"/>
                <w:w w:val="105"/>
                <w:sz w:val="21"/>
              </w:rPr>
              <w:t>(11,516)</w:t>
            </w:r>
          </w:p>
        </w:tc>
        <w:tc>
          <w:tcPr>
            <w:tcW w:w="5587" w:type="dxa"/>
          </w:tcPr>
          <w:p>
            <w:pPr>
              <w:pStyle w:val="TableParagraph"/>
              <w:spacing w:before="24"/>
              <w:ind w:left="224"/>
              <w:rPr>
                <w:sz w:val="21"/>
              </w:rPr>
            </w:pPr>
            <w:r>
              <w:rPr>
                <w:color w:val="0F0F0F"/>
                <w:w w:val="105"/>
                <w:sz w:val="21"/>
              </w:rPr>
              <w:t>Capital</w:t>
            </w:r>
            <w:r>
              <w:rPr>
                <w:color w:val="0F0F0F"/>
                <w:spacing w:val="-8"/>
                <w:w w:val="105"/>
                <w:sz w:val="21"/>
              </w:rPr>
              <w:t> </w:t>
            </w:r>
            <w:r>
              <w:rPr>
                <w:color w:val="0F0F0F"/>
                <w:w w:val="105"/>
                <w:sz w:val="21"/>
              </w:rPr>
              <w:t>Grants</w:t>
            </w:r>
            <w:r>
              <w:rPr>
                <w:color w:val="0F0F0F"/>
                <w:spacing w:val="-5"/>
                <w:w w:val="105"/>
                <w:sz w:val="21"/>
              </w:rPr>
              <w:t> </w:t>
            </w:r>
            <w:r>
              <w:rPr>
                <w:color w:val="0F0F0F"/>
                <w:w w:val="105"/>
                <w:sz w:val="21"/>
              </w:rPr>
              <w:t>Received</w:t>
            </w:r>
            <w:r>
              <w:rPr>
                <w:color w:val="0F0F0F"/>
                <w:spacing w:val="-4"/>
                <w:w w:val="105"/>
                <w:sz w:val="21"/>
              </w:rPr>
              <w:t> </w:t>
            </w:r>
            <w:r>
              <w:rPr>
                <w:color w:val="0F0F0F"/>
                <w:w w:val="105"/>
                <w:sz w:val="21"/>
              </w:rPr>
              <w:t>In</w:t>
            </w:r>
            <w:r>
              <w:rPr>
                <w:color w:val="0F0F0F"/>
                <w:spacing w:val="-2"/>
                <w:w w:val="105"/>
                <w:sz w:val="21"/>
              </w:rPr>
              <w:t> Advance</w:t>
            </w:r>
          </w:p>
        </w:tc>
        <w:tc>
          <w:tcPr>
            <w:tcW w:w="1168" w:type="dxa"/>
          </w:tcPr>
          <w:p>
            <w:pPr>
              <w:pStyle w:val="TableParagraph"/>
              <w:spacing w:before="53"/>
              <w:ind w:left="131" w:right="20"/>
              <w:jc w:val="center"/>
              <w:rPr>
                <w:rFonts w:ascii="Times New Roman"/>
                <w:sz w:val="19"/>
              </w:rPr>
            </w:pPr>
            <w:r>
              <w:rPr>
                <w:rFonts w:ascii="Times New Roman"/>
                <w:color w:val="0F0F0F"/>
                <w:spacing w:val="-4"/>
                <w:w w:val="105"/>
                <w:sz w:val="19"/>
              </w:rPr>
              <w:t>5</w:t>
            </w:r>
            <w:r>
              <w:rPr>
                <w:rFonts w:ascii="Times New Roman"/>
                <w:color w:val="383838"/>
                <w:spacing w:val="-4"/>
                <w:w w:val="105"/>
                <w:sz w:val="19"/>
              </w:rPr>
              <w:t>.</w:t>
            </w:r>
            <w:r>
              <w:rPr>
                <w:rFonts w:ascii="Times New Roman"/>
                <w:color w:val="0F0F0F"/>
                <w:spacing w:val="-4"/>
                <w:w w:val="105"/>
                <w:sz w:val="19"/>
              </w:rPr>
              <w:t>27</w:t>
            </w:r>
          </w:p>
        </w:tc>
        <w:tc>
          <w:tcPr>
            <w:tcW w:w="1394" w:type="dxa"/>
            <w:tcBorders>
              <w:bottom w:val="single" w:color="000000" w:sz="2" w:space="0"/>
            </w:tcBorders>
          </w:tcPr>
          <w:p>
            <w:pPr>
              <w:pStyle w:val="TableParagraph"/>
              <w:spacing w:before="24"/>
              <w:ind w:right="17"/>
              <w:jc w:val="right"/>
              <w:rPr>
                <w:sz w:val="21"/>
              </w:rPr>
            </w:pPr>
            <w:r>
              <w:rPr>
                <w:color w:val="0F0F0F"/>
                <w:spacing w:val="-2"/>
                <w:sz w:val="21"/>
              </w:rPr>
              <w:t>{8,610}</w:t>
            </w:r>
          </w:p>
        </w:tc>
      </w:tr>
      <w:tr>
        <w:trPr>
          <w:trHeight w:val="533" w:hRule="atLeast"/>
        </w:trPr>
        <w:tc>
          <w:tcPr>
            <w:tcW w:w="1553" w:type="dxa"/>
            <w:tcBorders>
              <w:top w:val="single" w:color="000000" w:sz="2" w:space="0"/>
              <w:bottom w:val="single" w:color="000000" w:sz="6" w:space="0"/>
            </w:tcBorders>
          </w:tcPr>
          <w:p>
            <w:pPr>
              <w:pStyle w:val="TableParagraph"/>
              <w:spacing w:before="12"/>
              <w:ind w:right="220"/>
              <w:jc w:val="right"/>
              <w:rPr>
                <w:b/>
                <w:sz w:val="21"/>
              </w:rPr>
            </w:pPr>
            <w:r>
              <w:rPr>
                <w:b/>
                <w:color w:val="0F0F0F"/>
                <w:spacing w:val="-2"/>
                <w:w w:val="105"/>
                <w:sz w:val="21"/>
              </w:rPr>
              <w:t>(52,172)</w:t>
            </w:r>
          </w:p>
        </w:tc>
        <w:tc>
          <w:tcPr>
            <w:tcW w:w="5587" w:type="dxa"/>
          </w:tcPr>
          <w:p>
            <w:pPr>
              <w:pStyle w:val="TableParagraph"/>
              <w:spacing w:before="7"/>
              <w:ind w:left="228"/>
              <w:rPr>
                <w:b/>
                <w:sz w:val="21"/>
              </w:rPr>
            </w:pPr>
            <w:r>
              <w:rPr>
                <w:b/>
                <w:color w:val="0F0F0F"/>
                <w:w w:val="105"/>
                <w:sz w:val="21"/>
              </w:rPr>
              <w:t>Long</w:t>
            </w:r>
            <w:r>
              <w:rPr>
                <w:b/>
                <w:color w:val="0F0F0F"/>
                <w:spacing w:val="-4"/>
                <w:w w:val="105"/>
                <w:sz w:val="21"/>
              </w:rPr>
              <w:t> </w:t>
            </w:r>
            <w:r>
              <w:rPr>
                <w:b/>
                <w:color w:val="0F0F0F"/>
                <w:w w:val="105"/>
                <w:sz w:val="21"/>
              </w:rPr>
              <w:t>Term</w:t>
            </w:r>
            <w:r>
              <w:rPr>
                <w:b/>
                <w:color w:val="0F0F0F"/>
                <w:spacing w:val="-8"/>
                <w:w w:val="105"/>
                <w:sz w:val="21"/>
              </w:rPr>
              <w:t> </w:t>
            </w:r>
            <w:r>
              <w:rPr>
                <w:b/>
                <w:color w:val="0F0F0F"/>
                <w:spacing w:val="-2"/>
                <w:w w:val="105"/>
                <w:sz w:val="21"/>
              </w:rPr>
              <w:t>Liabilities</w:t>
            </w:r>
          </w:p>
        </w:tc>
        <w:tc>
          <w:tcPr>
            <w:tcW w:w="1168" w:type="dxa"/>
          </w:tcPr>
          <w:p>
            <w:pPr>
              <w:pStyle w:val="TableParagraph"/>
              <w:rPr>
                <w:rFonts w:ascii="Times New Roman"/>
                <w:sz w:val="20"/>
              </w:rPr>
            </w:pPr>
          </w:p>
        </w:tc>
        <w:tc>
          <w:tcPr>
            <w:tcW w:w="1394" w:type="dxa"/>
            <w:tcBorders>
              <w:top w:val="single" w:color="000000" w:sz="2" w:space="0"/>
              <w:bottom w:val="single" w:color="000000" w:sz="6" w:space="0"/>
            </w:tcBorders>
          </w:tcPr>
          <w:p>
            <w:pPr>
              <w:pStyle w:val="TableParagraph"/>
              <w:spacing w:before="7"/>
              <w:ind w:right="3"/>
              <w:jc w:val="right"/>
              <w:rPr>
                <w:b/>
                <w:sz w:val="21"/>
              </w:rPr>
            </w:pPr>
            <w:r>
              <w:rPr>
                <w:b/>
                <w:color w:val="0F0F0F"/>
                <w:spacing w:val="-2"/>
                <w:w w:val="105"/>
                <w:sz w:val="21"/>
              </w:rPr>
              <w:t>(19,476)</w:t>
            </w:r>
          </w:p>
        </w:tc>
      </w:tr>
      <w:tr>
        <w:trPr>
          <w:trHeight w:val="308" w:hRule="atLeast"/>
        </w:trPr>
        <w:tc>
          <w:tcPr>
            <w:tcW w:w="1553" w:type="dxa"/>
            <w:tcBorders>
              <w:top w:val="single" w:color="000000" w:sz="6" w:space="0"/>
              <w:bottom w:val="single" w:color="000000" w:sz="6" w:space="0"/>
            </w:tcBorders>
          </w:tcPr>
          <w:p>
            <w:pPr>
              <w:pStyle w:val="TableParagraph"/>
              <w:spacing w:before="74" w:line="203" w:lineRule="exact"/>
              <w:ind w:right="224"/>
              <w:jc w:val="right"/>
              <w:rPr>
                <w:b/>
                <w:sz w:val="21"/>
              </w:rPr>
            </w:pPr>
            <w:r>
              <w:rPr>
                <w:b/>
                <w:color w:val="0F0F0F"/>
                <w:spacing w:val="-2"/>
                <w:w w:val="105"/>
                <w:sz w:val="21"/>
              </w:rPr>
              <w:t>180,967</w:t>
            </w:r>
          </w:p>
        </w:tc>
        <w:tc>
          <w:tcPr>
            <w:tcW w:w="5587" w:type="dxa"/>
          </w:tcPr>
          <w:p>
            <w:pPr>
              <w:pStyle w:val="TableParagraph"/>
              <w:spacing w:before="74" w:line="214" w:lineRule="exact"/>
              <w:ind w:left="229"/>
              <w:rPr>
                <w:b/>
                <w:sz w:val="21"/>
              </w:rPr>
            </w:pPr>
            <w:r>
              <w:rPr>
                <w:b/>
                <w:color w:val="0F0F0F"/>
                <w:w w:val="105"/>
                <w:sz w:val="21"/>
              </w:rPr>
              <w:t>Net</w:t>
            </w:r>
            <w:r>
              <w:rPr>
                <w:b/>
                <w:color w:val="0F0F0F"/>
                <w:spacing w:val="6"/>
                <w:w w:val="105"/>
                <w:sz w:val="21"/>
              </w:rPr>
              <w:t> </w:t>
            </w:r>
            <w:r>
              <w:rPr>
                <w:b/>
                <w:color w:val="0F0F0F"/>
                <w:spacing w:val="-2"/>
                <w:w w:val="105"/>
                <w:sz w:val="21"/>
              </w:rPr>
              <w:t>Assets</w:t>
            </w:r>
          </w:p>
        </w:tc>
        <w:tc>
          <w:tcPr>
            <w:tcW w:w="1168" w:type="dxa"/>
          </w:tcPr>
          <w:p>
            <w:pPr>
              <w:pStyle w:val="TableParagraph"/>
              <w:rPr>
                <w:rFonts w:ascii="Times New Roman"/>
                <w:sz w:val="20"/>
              </w:rPr>
            </w:pPr>
          </w:p>
        </w:tc>
        <w:tc>
          <w:tcPr>
            <w:tcW w:w="1394" w:type="dxa"/>
            <w:tcBorders>
              <w:top w:val="single" w:color="000000" w:sz="6" w:space="0"/>
              <w:bottom w:val="single" w:color="000000" w:sz="6" w:space="0"/>
            </w:tcBorders>
          </w:tcPr>
          <w:p>
            <w:pPr>
              <w:pStyle w:val="TableParagraph"/>
              <w:spacing w:before="64" w:line="213" w:lineRule="exact"/>
              <w:ind w:right="71"/>
              <w:jc w:val="right"/>
              <w:rPr>
                <w:b/>
                <w:sz w:val="21"/>
              </w:rPr>
            </w:pPr>
            <w:r>
              <w:rPr>
                <w:b/>
                <w:color w:val="0F0F0F"/>
                <w:spacing w:val="-2"/>
                <w:w w:val="105"/>
                <w:sz w:val="21"/>
              </w:rPr>
              <w:t>241,480</w:t>
            </w:r>
          </w:p>
        </w:tc>
      </w:tr>
      <w:tr>
        <w:trPr>
          <w:trHeight w:val="647" w:hRule="atLeast"/>
        </w:trPr>
        <w:tc>
          <w:tcPr>
            <w:tcW w:w="1553" w:type="dxa"/>
            <w:tcBorders>
              <w:top w:val="single" w:color="000000" w:sz="6" w:space="0"/>
            </w:tcBorders>
          </w:tcPr>
          <w:p>
            <w:pPr>
              <w:pStyle w:val="TableParagraph"/>
              <w:spacing w:before="140"/>
              <w:rPr>
                <w:b/>
                <w:sz w:val="21"/>
              </w:rPr>
            </w:pPr>
          </w:p>
          <w:p>
            <w:pPr>
              <w:pStyle w:val="TableParagraph"/>
              <w:ind w:right="233"/>
              <w:jc w:val="right"/>
              <w:rPr>
                <w:sz w:val="21"/>
              </w:rPr>
            </w:pPr>
            <w:r>
              <w:rPr>
                <w:color w:val="0F0F0F"/>
                <w:spacing w:val="-2"/>
                <w:w w:val="105"/>
                <w:sz w:val="21"/>
              </w:rPr>
              <w:t>(63,688)</w:t>
            </w:r>
          </w:p>
        </w:tc>
        <w:tc>
          <w:tcPr>
            <w:tcW w:w="5587" w:type="dxa"/>
          </w:tcPr>
          <w:p>
            <w:pPr>
              <w:pStyle w:val="TableParagraph"/>
              <w:spacing w:before="129"/>
              <w:rPr>
                <w:b/>
                <w:sz w:val="21"/>
              </w:rPr>
            </w:pPr>
          </w:p>
          <w:p>
            <w:pPr>
              <w:pStyle w:val="TableParagraph"/>
              <w:ind w:left="228"/>
              <w:rPr>
                <w:sz w:val="21"/>
              </w:rPr>
            </w:pPr>
            <w:r>
              <w:rPr>
                <w:color w:val="0F0F0F"/>
                <w:w w:val="105"/>
                <w:sz w:val="21"/>
              </w:rPr>
              <w:t>Usable</w:t>
            </w:r>
            <w:r>
              <w:rPr>
                <w:color w:val="0F0F0F"/>
                <w:spacing w:val="-5"/>
                <w:w w:val="105"/>
                <w:sz w:val="21"/>
              </w:rPr>
              <w:t> </w:t>
            </w:r>
            <w:r>
              <w:rPr>
                <w:color w:val="0F0F0F"/>
                <w:spacing w:val="-2"/>
                <w:w w:val="105"/>
                <w:sz w:val="21"/>
              </w:rPr>
              <w:t>Reserves</w:t>
            </w:r>
          </w:p>
        </w:tc>
        <w:tc>
          <w:tcPr>
            <w:tcW w:w="1168" w:type="dxa"/>
          </w:tcPr>
          <w:p>
            <w:pPr>
              <w:pStyle w:val="TableParagraph"/>
              <w:spacing w:before="181"/>
              <w:rPr>
                <w:b/>
                <w:sz w:val="19"/>
              </w:rPr>
            </w:pPr>
          </w:p>
          <w:p>
            <w:pPr>
              <w:pStyle w:val="TableParagraph"/>
              <w:ind w:left="131" w:right="15"/>
              <w:jc w:val="center"/>
              <w:rPr>
                <w:rFonts w:ascii="Times New Roman"/>
                <w:sz w:val="19"/>
              </w:rPr>
            </w:pPr>
            <w:r>
              <w:rPr>
                <w:rFonts w:ascii="Times New Roman"/>
                <w:color w:val="0F0F0F"/>
                <w:spacing w:val="-4"/>
                <w:w w:val="105"/>
                <w:sz w:val="19"/>
              </w:rPr>
              <w:t>5</w:t>
            </w:r>
            <w:r>
              <w:rPr>
                <w:rFonts w:ascii="Times New Roman"/>
                <w:color w:val="383838"/>
                <w:spacing w:val="-4"/>
                <w:w w:val="105"/>
                <w:sz w:val="19"/>
              </w:rPr>
              <w:t>.</w:t>
            </w:r>
            <w:r>
              <w:rPr>
                <w:rFonts w:ascii="Times New Roman"/>
                <w:color w:val="0F0F0F"/>
                <w:spacing w:val="-4"/>
                <w:w w:val="105"/>
                <w:sz w:val="19"/>
              </w:rPr>
              <w:t>30</w:t>
            </w:r>
          </w:p>
        </w:tc>
        <w:tc>
          <w:tcPr>
            <w:tcW w:w="1394" w:type="dxa"/>
            <w:tcBorders>
              <w:top w:val="single" w:color="000000" w:sz="6" w:space="0"/>
            </w:tcBorders>
          </w:tcPr>
          <w:p>
            <w:pPr>
              <w:pStyle w:val="TableParagraph"/>
              <w:spacing w:before="135"/>
              <w:rPr>
                <w:b/>
                <w:sz w:val="21"/>
              </w:rPr>
            </w:pPr>
          </w:p>
          <w:p>
            <w:pPr>
              <w:pStyle w:val="TableParagraph"/>
              <w:ind w:right="11"/>
              <w:jc w:val="right"/>
              <w:rPr>
                <w:sz w:val="21"/>
              </w:rPr>
            </w:pPr>
            <w:r>
              <w:rPr>
                <w:color w:val="0F0F0F"/>
                <w:spacing w:val="-2"/>
                <w:w w:val="105"/>
                <w:sz w:val="21"/>
              </w:rPr>
              <w:t>(67,827)</w:t>
            </w:r>
          </w:p>
        </w:tc>
      </w:tr>
      <w:tr>
        <w:trPr>
          <w:trHeight w:val="317" w:hRule="atLeast"/>
        </w:trPr>
        <w:tc>
          <w:tcPr>
            <w:tcW w:w="1553" w:type="dxa"/>
            <w:tcBorders>
              <w:bottom w:val="single" w:color="000000" w:sz="2" w:space="0"/>
            </w:tcBorders>
          </w:tcPr>
          <w:p>
            <w:pPr>
              <w:pStyle w:val="TableParagraph"/>
              <w:spacing w:before="26"/>
              <w:ind w:right="236"/>
              <w:jc w:val="right"/>
              <w:rPr>
                <w:sz w:val="21"/>
              </w:rPr>
            </w:pPr>
            <w:r>
              <w:rPr>
                <w:color w:val="0F0F0F"/>
                <w:spacing w:val="-2"/>
                <w:sz w:val="21"/>
              </w:rPr>
              <w:t>{117,279}</w:t>
            </w:r>
          </w:p>
        </w:tc>
        <w:tc>
          <w:tcPr>
            <w:tcW w:w="5587" w:type="dxa"/>
          </w:tcPr>
          <w:p>
            <w:pPr>
              <w:pStyle w:val="TableParagraph"/>
              <w:spacing w:before="26"/>
              <w:ind w:left="228"/>
              <w:rPr>
                <w:sz w:val="21"/>
              </w:rPr>
            </w:pPr>
            <w:r>
              <w:rPr>
                <w:color w:val="0F0F0F"/>
                <w:w w:val="105"/>
                <w:sz w:val="21"/>
              </w:rPr>
              <w:t>Unusable</w:t>
            </w:r>
            <w:r>
              <w:rPr>
                <w:color w:val="0F0F0F"/>
                <w:spacing w:val="-11"/>
                <w:w w:val="105"/>
                <w:sz w:val="21"/>
              </w:rPr>
              <w:t> </w:t>
            </w:r>
            <w:r>
              <w:rPr>
                <w:color w:val="0F0F0F"/>
                <w:spacing w:val="-2"/>
                <w:w w:val="105"/>
                <w:sz w:val="21"/>
              </w:rPr>
              <w:t>Reserves</w:t>
            </w:r>
          </w:p>
        </w:tc>
        <w:tc>
          <w:tcPr>
            <w:tcW w:w="1168" w:type="dxa"/>
          </w:tcPr>
          <w:p>
            <w:pPr>
              <w:pStyle w:val="TableParagraph"/>
              <w:spacing w:before="51"/>
              <w:ind w:left="131"/>
              <w:jc w:val="center"/>
              <w:rPr>
                <w:rFonts w:ascii="Times New Roman"/>
                <w:sz w:val="19"/>
              </w:rPr>
            </w:pPr>
            <w:r>
              <w:rPr>
                <w:rFonts w:ascii="Times New Roman"/>
                <w:color w:val="0F0F0F"/>
                <w:spacing w:val="-4"/>
                <w:w w:val="110"/>
                <w:sz w:val="19"/>
              </w:rPr>
              <w:t>5</w:t>
            </w:r>
            <w:r>
              <w:rPr>
                <w:rFonts w:ascii="Times New Roman"/>
                <w:color w:val="383838"/>
                <w:spacing w:val="-4"/>
                <w:w w:val="110"/>
                <w:sz w:val="19"/>
              </w:rPr>
              <w:t>.</w:t>
            </w:r>
            <w:r>
              <w:rPr>
                <w:rFonts w:ascii="Times New Roman"/>
                <w:color w:val="0F0F0F"/>
                <w:spacing w:val="-4"/>
                <w:w w:val="110"/>
                <w:sz w:val="19"/>
              </w:rPr>
              <w:t>31</w:t>
            </w:r>
          </w:p>
        </w:tc>
        <w:tc>
          <w:tcPr>
            <w:tcW w:w="1394" w:type="dxa"/>
            <w:tcBorders>
              <w:bottom w:val="single" w:color="000000" w:sz="2" w:space="0"/>
            </w:tcBorders>
          </w:tcPr>
          <w:p>
            <w:pPr>
              <w:pStyle w:val="TableParagraph"/>
              <w:spacing w:before="21"/>
              <w:ind w:right="7"/>
              <w:jc w:val="right"/>
              <w:rPr>
                <w:sz w:val="21"/>
              </w:rPr>
            </w:pPr>
            <w:r>
              <w:rPr>
                <w:color w:val="2A2A2A"/>
                <w:spacing w:val="-2"/>
                <w:w w:val="105"/>
                <w:sz w:val="21"/>
              </w:rPr>
              <w:t>(173,653}</w:t>
            </w:r>
          </w:p>
        </w:tc>
      </w:tr>
      <w:tr>
        <w:trPr>
          <w:trHeight w:val="239" w:hRule="atLeast"/>
        </w:trPr>
        <w:tc>
          <w:tcPr>
            <w:tcW w:w="1553" w:type="dxa"/>
            <w:tcBorders>
              <w:top w:val="single" w:color="000000" w:sz="2" w:space="0"/>
              <w:bottom w:val="single" w:color="000000" w:sz="6" w:space="0"/>
            </w:tcBorders>
          </w:tcPr>
          <w:p>
            <w:pPr>
              <w:pStyle w:val="TableParagraph"/>
              <w:spacing w:before="12" w:line="208" w:lineRule="exact"/>
              <w:ind w:right="226"/>
              <w:jc w:val="right"/>
              <w:rPr>
                <w:b/>
                <w:sz w:val="21"/>
              </w:rPr>
            </w:pPr>
            <w:r>
              <w:rPr>
                <w:b/>
                <w:color w:val="0F0F0F"/>
                <w:spacing w:val="-2"/>
                <w:w w:val="105"/>
                <w:sz w:val="21"/>
              </w:rPr>
              <w:t>(180,967)</w:t>
            </w:r>
          </w:p>
        </w:tc>
        <w:tc>
          <w:tcPr>
            <w:tcW w:w="5587" w:type="dxa"/>
          </w:tcPr>
          <w:p>
            <w:pPr>
              <w:pStyle w:val="TableParagraph"/>
              <w:spacing w:before="12" w:line="208" w:lineRule="exact"/>
              <w:ind w:left="230"/>
              <w:rPr>
                <w:b/>
                <w:sz w:val="21"/>
              </w:rPr>
            </w:pPr>
            <w:r>
              <w:rPr>
                <w:b/>
                <w:color w:val="0F0F0F"/>
                <w:w w:val="105"/>
                <w:sz w:val="21"/>
              </w:rPr>
              <w:t>Total</w:t>
            </w:r>
            <w:r>
              <w:rPr>
                <w:b/>
                <w:color w:val="0F0F0F"/>
                <w:spacing w:val="-2"/>
                <w:w w:val="105"/>
                <w:sz w:val="21"/>
              </w:rPr>
              <w:t> Reserves</w:t>
            </w:r>
          </w:p>
        </w:tc>
        <w:tc>
          <w:tcPr>
            <w:tcW w:w="1168" w:type="dxa"/>
          </w:tcPr>
          <w:p>
            <w:pPr>
              <w:pStyle w:val="TableParagraph"/>
              <w:rPr>
                <w:rFonts w:ascii="Times New Roman"/>
                <w:sz w:val="16"/>
              </w:rPr>
            </w:pPr>
          </w:p>
        </w:tc>
        <w:tc>
          <w:tcPr>
            <w:tcW w:w="1394" w:type="dxa"/>
            <w:tcBorders>
              <w:top w:val="single" w:color="000000" w:sz="2" w:space="0"/>
              <w:bottom w:val="single" w:color="000000" w:sz="6" w:space="0"/>
            </w:tcBorders>
          </w:tcPr>
          <w:p>
            <w:pPr>
              <w:pStyle w:val="TableParagraph"/>
              <w:spacing w:before="7" w:line="213" w:lineRule="exact"/>
              <w:ind w:right="-15"/>
              <w:jc w:val="right"/>
              <w:rPr>
                <w:b/>
                <w:sz w:val="21"/>
              </w:rPr>
            </w:pPr>
            <w:r>
              <w:rPr>
                <w:b/>
                <w:color w:val="0F0F0F"/>
                <w:spacing w:val="-2"/>
                <w:w w:val="105"/>
                <w:sz w:val="21"/>
              </w:rPr>
              <w:t>(241,480)</w:t>
            </w:r>
          </w:p>
        </w:tc>
      </w:tr>
    </w:tbl>
    <w:p>
      <w:pPr>
        <w:spacing w:after="0" w:line="213" w:lineRule="exact"/>
        <w:jc w:val="right"/>
        <w:rPr>
          <w:sz w:val="21"/>
        </w:rPr>
        <w:sectPr>
          <w:headerReference w:type="default" r:id="rId76"/>
          <w:footerReference w:type="default" r:id="rId77"/>
          <w:footerReference w:type="even" r:id="rId78"/>
          <w:pgSz w:w="11910" w:h="16830"/>
          <w:pgMar w:top="940" w:right="100" w:bottom="1060" w:left="20" w:header="0" w:footer="872"/>
          <w:pgNumType w:start="35"/>
        </w:sectPr>
      </w:pPr>
    </w:p>
    <w:p>
      <w:pPr>
        <w:spacing w:before="69"/>
        <w:ind w:left="1665" w:right="0" w:firstLine="0"/>
        <w:jc w:val="left"/>
        <w:rPr>
          <w:sz w:val="15"/>
        </w:rPr>
      </w:pPr>
      <w:r>
        <w:rPr>
          <w:color w:val="777777"/>
          <w:w w:val="110"/>
          <w:sz w:val="15"/>
        </w:rPr>
        <w:t>PRESE</w:t>
      </w:r>
      <w:r>
        <w:rPr>
          <w:color w:val="777777"/>
          <w:spacing w:val="-12"/>
          <w:w w:val="110"/>
          <w:sz w:val="15"/>
        </w:rPr>
        <w:t> </w:t>
      </w:r>
      <w:r>
        <w:rPr>
          <w:color w:val="777777"/>
          <w:w w:val="110"/>
          <w:sz w:val="15"/>
        </w:rPr>
        <w:t>JT</w:t>
      </w:r>
      <w:r>
        <w:rPr>
          <w:color w:val="777777"/>
          <w:spacing w:val="-20"/>
          <w:w w:val="110"/>
          <w:sz w:val="15"/>
        </w:rPr>
        <w:t> </w:t>
      </w:r>
      <w:r>
        <w:rPr>
          <w:color w:val="646464"/>
          <w:w w:val="110"/>
          <w:sz w:val="15"/>
        </w:rPr>
        <w:t>A</w:t>
      </w:r>
      <w:r>
        <w:rPr>
          <w:color w:val="646464"/>
          <w:spacing w:val="-28"/>
          <w:w w:val="110"/>
          <w:sz w:val="15"/>
        </w:rPr>
        <w:t> </w:t>
      </w:r>
      <w:r>
        <w:rPr>
          <w:color w:val="777777"/>
          <w:w w:val="110"/>
          <w:sz w:val="15"/>
        </w:rPr>
        <w:t>T!ON</w:t>
      </w:r>
      <w:r>
        <w:rPr>
          <w:color w:val="777777"/>
          <w:spacing w:val="-12"/>
          <w:w w:val="110"/>
          <w:sz w:val="15"/>
        </w:rPr>
        <w:t> </w:t>
      </w:r>
      <w:r>
        <w:rPr>
          <w:color w:val="777777"/>
          <w:w w:val="110"/>
          <w:sz w:val="15"/>
        </w:rPr>
        <w:t>OF</w:t>
      </w:r>
      <w:r>
        <w:rPr>
          <w:color w:val="777777"/>
          <w:spacing w:val="-5"/>
          <w:w w:val="110"/>
          <w:sz w:val="15"/>
        </w:rPr>
        <w:t> </w:t>
      </w:r>
      <w:r>
        <w:rPr>
          <w:color w:val="777777"/>
          <w:w w:val="110"/>
          <w:sz w:val="15"/>
        </w:rPr>
        <w:t>THE</w:t>
      </w:r>
      <w:r>
        <w:rPr>
          <w:color w:val="777777"/>
          <w:spacing w:val="-4"/>
          <w:w w:val="110"/>
          <w:sz w:val="15"/>
        </w:rPr>
        <w:t> </w:t>
      </w:r>
      <w:r>
        <w:rPr>
          <w:color w:val="777777"/>
          <w:w w:val="110"/>
          <w:sz w:val="15"/>
        </w:rPr>
        <w:t>FINANClAl Sf</w:t>
      </w:r>
      <w:r>
        <w:rPr>
          <w:color w:val="777777"/>
          <w:spacing w:val="-11"/>
          <w:w w:val="110"/>
          <w:sz w:val="15"/>
        </w:rPr>
        <w:t> </w:t>
      </w:r>
      <w:r>
        <w:rPr>
          <w:color w:val="777777"/>
          <w:w w:val="110"/>
          <w:sz w:val="13"/>
        </w:rPr>
        <w:t>i</w:t>
      </w:r>
      <w:r>
        <w:rPr>
          <w:color w:val="777777"/>
          <w:spacing w:val="31"/>
          <w:w w:val="110"/>
          <w:sz w:val="13"/>
        </w:rPr>
        <w:t> </w:t>
      </w:r>
      <w:r>
        <w:rPr>
          <w:color w:val="777777"/>
          <w:spacing w:val="-2"/>
          <w:w w:val="110"/>
          <w:sz w:val="15"/>
        </w:rPr>
        <w:t>TEMENTS</w:t>
      </w:r>
    </w:p>
    <w:p>
      <w:pPr>
        <w:pStyle w:val="BodyText"/>
        <w:spacing w:before="74"/>
        <w:rPr>
          <w:sz w:val="15"/>
        </w:rPr>
      </w:pPr>
    </w:p>
    <w:p>
      <w:pPr>
        <w:pStyle w:val="ListParagraph"/>
        <w:numPr>
          <w:ilvl w:val="1"/>
          <w:numId w:val="10"/>
        </w:numPr>
        <w:tabs>
          <w:tab w:val="left" w:leader="none" w:pos="2364"/>
        </w:tabs>
        <w:spacing w:before="0" w:after="0" w:line="240" w:lineRule="auto"/>
        <w:ind w:left="2364" w:right="0" w:hanging="706"/>
        <w:jc w:val="left"/>
        <w:rPr>
          <w:b/>
          <w:color w:val="646464"/>
          <w:sz w:val="21"/>
        </w:rPr>
      </w:pPr>
      <w:r>
        <w:rPr>
          <w:b/>
          <w:color w:val="646464"/>
          <w:w w:val="105"/>
          <w:sz w:val="21"/>
        </w:rPr>
        <w:t>Cash</w:t>
      </w:r>
      <w:r>
        <w:rPr>
          <w:b/>
          <w:color w:val="646464"/>
          <w:spacing w:val="-4"/>
          <w:w w:val="105"/>
          <w:sz w:val="21"/>
        </w:rPr>
        <w:t> </w:t>
      </w:r>
      <w:r>
        <w:rPr>
          <w:b/>
          <w:color w:val="646464"/>
          <w:w w:val="105"/>
          <w:sz w:val="21"/>
        </w:rPr>
        <w:t>Flow</w:t>
      </w:r>
      <w:r>
        <w:rPr>
          <w:b/>
          <w:color w:val="646464"/>
          <w:spacing w:val="3"/>
          <w:w w:val="105"/>
          <w:sz w:val="21"/>
        </w:rPr>
        <w:t> </w:t>
      </w:r>
      <w:r>
        <w:rPr>
          <w:b/>
          <w:color w:val="646464"/>
          <w:spacing w:val="-2"/>
          <w:w w:val="105"/>
          <w:sz w:val="21"/>
        </w:rPr>
        <w:t>Statement</w:t>
      </w:r>
    </w:p>
    <w:p>
      <w:pPr>
        <w:pStyle w:val="BodyText"/>
        <w:spacing w:before="155" w:after="1"/>
        <w:rPr>
          <w:b/>
          <w:sz w:val="20"/>
        </w:rPr>
      </w:pPr>
    </w:p>
    <w:tbl>
      <w:tblPr>
        <w:tblW w:w="0" w:type="auto"/>
        <w:jc w:val="left"/>
        <w:tblInd w:w="165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70"/>
        <w:gridCol w:w="197"/>
        <w:gridCol w:w="5327"/>
        <w:gridCol w:w="1135"/>
        <w:gridCol w:w="1072"/>
        <w:gridCol w:w="117"/>
      </w:tblGrid>
      <w:tr>
        <w:trPr>
          <w:trHeight w:val="239" w:hRule="atLeast"/>
        </w:trPr>
        <w:tc>
          <w:tcPr>
            <w:tcW w:w="1370" w:type="dxa"/>
          </w:tcPr>
          <w:p>
            <w:pPr>
              <w:pStyle w:val="TableParagraph"/>
              <w:spacing w:line="220" w:lineRule="exact"/>
              <w:ind w:left="364"/>
              <w:rPr>
                <w:b/>
                <w:sz w:val="21"/>
              </w:rPr>
            </w:pPr>
            <w:r>
              <w:rPr>
                <w:b/>
                <w:color w:val="646464"/>
                <w:sz w:val="21"/>
              </w:rPr>
              <w:t>2021-</w:t>
            </w:r>
            <w:r>
              <w:rPr>
                <w:b/>
                <w:color w:val="646464"/>
                <w:spacing w:val="-5"/>
                <w:sz w:val="21"/>
              </w:rPr>
              <w:t>22</w:t>
            </w:r>
          </w:p>
        </w:tc>
        <w:tc>
          <w:tcPr>
            <w:tcW w:w="6659" w:type="dxa"/>
            <w:gridSpan w:val="3"/>
          </w:tcPr>
          <w:p>
            <w:pPr>
              <w:pStyle w:val="TableParagraph"/>
              <w:spacing w:line="220" w:lineRule="exact"/>
              <w:ind w:right="205"/>
              <w:jc w:val="right"/>
              <w:rPr>
                <w:b/>
                <w:sz w:val="21"/>
              </w:rPr>
            </w:pPr>
            <w:r>
              <w:rPr>
                <w:b/>
                <w:color w:val="080808"/>
                <w:spacing w:val="-4"/>
                <w:w w:val="105"/>
                <w:sz w:val="21"/>
              </w:rPr>
              <w:t>Note</w:t>
            </w:r>
          </w:p>
        </w:tc>
        <w:tc>
          <w:tcPr>
            <w:tcW w:w="1189" w:type="dxa"/>
            <w:gridSpan w:val="2"/>
          </w:tcPr>
          <w:p>
            <w:pPr>
              <w:pStyle w:val="TableParagraph"/>
              <w:spacing w:line="220" w:lineRule="exact"/>
              <w:ind w:left="215"/>
              <w:rPr>
                <w:b/>
                <w:sz w:val="21"/>
              </w:rPr>
            </w:pPr>
            <w:r>
              <w:rPr>
                <w:b/>
                <w:color w:val="080808"/>
                <w:sz w:val="21"/>
              </w:rPr>
              <w:t>2022-</w:t>
            </w:r>
            <w:r>
              <w:rPr>
                <w:b/>
                <w:color w:val="080808"/>
                <w:spacing w:val="-5"/>
                <w:sz w:val="21"/>
              </w:rPr>
              <w:t>23</w:t>
            </w:r>
          </w:p>
        </w:tc>
      </w:tr>
      <w:tr>
        <w:trPr>
          <w:trHeight w:val="528" w:hRule="atLeast"/>
        </w:trPr>
        <w:tc>
          <w:tcPr>
            <w:tcW w:w="1370" w:type="dxa"/>
          </w:tcPr>
          <w:p>
            <w:pPr>
              <w:pStyle w:val="TableParagraph"/>
              <w:spacing w:before="45"/>
              <w:rPr>
                <w:b/>
                <w:sz w:val="21"/>
              </w:rPr>
            </w:pPr>
          </w:p>
          <w:p>
            <w:pPr>
              <w:pStyle w:val="TableParagraph"/>
              <w:spacing w:line="222" w:lineRule="exact"/>
              <w:ind w:left="513"/>
              <w:rPr>
                <w:b/>
                <w:sz w:val="21"/>
              </w:rPr>
            </w:pPr>
            <w:r>
              <w:rPr>
                <w:b/>
                <w:color w:val="646464"/>
                <w:spacing w:val="-4"/>
                <w:w w:val="105"/>
                <w:sz w:val="21"/>
              </w:rPr>
              <w:t>£000</w:t>
            </w:r>
          </w:p>
        </w:tc>
        <w:tc>
          <w:tcPr>
            <w:tcW w:w="7848" w:type="dxa"/>
            <w:gridSpan w:val="5"/>
          </w:tcPr>
          <w:p>
            <w:pPr>
              <w:pStyle w:val="TableParagraph"/>
              <w:spacing w:before="40"/>
              <w:rPr>
                <w:b/>
                <w:sz w:val="21"/>
              </w:rPr>
            </w:pPr>
          </w:p>
          <w:p>
            <w:pPr>
              <w:pStyle w:val="TableParagraph"/>
              <w:spacing w:line="226" w:lineRule="exact"/>
              <w:ind w:right="326"/>
              <w:jc w:val="right"/>
              <w:rPr>
                <w:b/>
                <w:sz w:val="21"/>
              </w:rPr>
            </w:pPr>
            <w:r>
              <w:rPr>
                <w:b/>
                <w:color w:val="080808"/>
                <w:spacing w:val="-4"/>
                <w:w w:val="105"/>
                <w:sz w:val="21"/>
              </w:rPr>
              <w:t>£000</w:t>
            </w:r>
          </w:p>
        </w:tc>
      </w:tr>
      <w:tr>
        <w:trPr>
          <w:trHeight w:val="725" w:hRule="atLeast"/>
        </w:trPr>
        <w:tc>
          <w:tcPr>
            <w:tcW w:w="1370" w:type="dxa"/>
          </w:tcPr>
          <w:p>
            <w:pPr>
              <w:pStyle w:val="TableParagraph"/>
              <w:spacing w:before="165"/>
              <w:rPr>
                <w:b/>
                <w:sz w:val="21"/>
              </w:rPr>
            </w:pPr>
          </w:p>
          <w:p>
            <w:pPr>
              <w:pStyle w:val="TableParagraph"/>
              <w:ind w:right="76"/>
              <w:jc w:val="right"/>
              <w:rPr>
                <w:sz w:val="21"/>
              </w:rPr>
            </w:pPr>
            <w:r>
              <w:rPr>
                <w:color w:val="080808"/>
                <w:spacing w:val="-2"/>
                <w:sz w:val="21"/>
              </w:rPr>
              <w:t>(9,941)</w:t>
            </w:r>
          </w:p>
        </w:tc>
        <w:tc>
          <w:tcPr>
            <w:tcW w:w="197" w:type="dxa"/>
          </w:tcPr>
          <w:p>
            <w:pPr>
              <w:pStyle w:val="TableParagraph"/>
              <w:rPr>
                <w:rFonts w:ascii="Times New Roman"/>
                <w:sz w:val="20"/>
              </w:rPr>
            </w:pPr>
          </w:p>
        </w:tc>
        <w:tc>
          <w:tcPr>
            <w:tcW w:w="5327" w:type="dxa"/>
          </w:tcPr>
          <w:p>
            <w:pPr>
              <w:pStyle w:val="TableParagraph"/>
              <w:spacing w:before="165"/>
              <w:rPr>
                <w:b/>
                <w:sz w:val="21"/>
              </w:rPr>
            </w:pPr>
          </w:p>
          <w:p>
            <w:pPr>
              <w:pStyle w:val="TableParagraph"/>
              <w:ind w:left="338"/>
              <w:rPr>
                <w:sz w:val="21"/>
              </w:rPr>
            </w:pPr>
            <w:r>
              <w:rPr>
                <w:color w:val="080808"/>
                <w:w w:val="105"/>
                <w:sz w:val="21"/>
              </w:rPr>
              <w:t>(Surplus)/</w:t>
            </w:r>
            <w:r>
              <w:rPr>
                <w:color w:val="080808"/>
                <w:spacing w:val="10"/>
                <w:w w:val="105"/>
                <w:sz w:val="21"/>
              </w:rPr>
              <w:t> </w:t>
            </w:r>
            <w:r>
              <w:rPr>
                <w:color w:val="080808"/>
                <w:w w:val="105"/>
                <w:sz w:val="21"/>
              </w:rPr>
              <w:t>Deficit</w:t>
            </w:r>
            <w:r>
              <w:rPr>
                <w:color w:val="080808"/>
                <w:spacing w:val="13"/>
                <w:w w:val="105"/>
                <w:sz w:val="21"/>
              </w:rPr>
              <w:t> </w:t>
            </w:r>
            <w:r>
              <w:rPr>
                <w:color w:val="080808"/>
                <w:w w:val="105"/>
                <w:sz w:val="21"/>
              </w:rPr>
              <w:t>on</w:t>
            </w:r>
            <w:r>
              <w:rPr>
                <w:color w:val="080808"/>
                <w:spacing w:val="-2"/>
                <w:w w:val="105"/>
                <w:sz w:val="21"/>
              </w:rPr>
              <w:t> </w:t>
            </w:r>
            <w:r>
              <w:rPr>
                <w:color w:val="080808"/>
                <w:w w:val="105"/>
                <w:sz w:val="21"/>
              </w:rPr>
              <w:t>Provision</w:t>
            </w:r>
            <w:r>
              <w:rPr>
                <w:color w:val="080808"/>
                <w:spacing w:val="15"/>
                <w:w w:val="105"/>
                <w:sz w:val="21"/>
              </w:rPr>
              <w:t> </w:t>
            </w:r>
            <w:r>
              <w:rPr>
                <w:color w:val="080808"/>
                <w:w w:val="105"/>
                <w:sz w:val="21"/>
              </w:rPr>
              <w:t>of</w:t>
            </w:r>
            <w:r>
              <w:rPr>
                <w:color w:val="080808"/>
                <w:spacing w:val="2"/>
                <w:w w:val="105"/>
                <w:sz w:val="21"/>
              </w:rPr>
              <w:t> </w:t>
            </w:r>
            <w:r>
              <w:rPr>
                <w:color w:val="080808"/>
                <w:spacing w:val="-2"/>
                <w:w w:val="105"/>
                <w:sz w:val="21"/>
              </w:rPr>
              <w:t>Services</w:t>
            </w:r>
          </w:p>
        </w:tc>
        <w:tc>
          <w:tcPr>
            <w:tcW w:w="1135" w:type="dxa"/>
          </w:tcPr>
          <w:p>
            <w:pPr>
              <w:pStyle w:val="TableParagraph"/>
              <w:spacing w:before="188"/>
              <w:rPr>
                <w:b/>
                <w:sz w:val="19"/>
              </w:rPr>
            </w:pPr>
          </w:p>
          <w:p>
            <w:pPr>
              <w:pStyle w:val="TableParagraph"/>
              <w:ind w:right="314"/>
              <w:jc w:val="right"/>
              <w:rPr>
                <w:sz w:val="19"/>
              </w:rPr>
            </w:pPr>
            <w:r>
              <w:rPr>
                <w:color w:val="080808"/>
                <w:spacing w:val="-5"/>
                <w:w w:val="105"/>
                <w:sz w:val="19"/>
              </w:rPr>
              <w:t>4.2</w:t>
            </w:r>
          </w:p>
        </w:tc>
        <w:tc>
          <w:tcPr>
            <w:tcW w:w="1072" w:type="dxa"/>
          </w:tcPr>
          <w:p>
            <w:pPr>
              <w:pStyle w:val="TableParagraph"/>
              <w:spacing w:before="160"/>
              <w:rPr>
                <w:b/>
                <w:sz w:val="21"/>
              </w:rPr>
            </w:pPr>
          </w:p>
          <w:p>
            <w:pPr>
              <w:pStyle w:val="TableParagraph"/>
              <w:spacing w:before="1"/>
              <w:ind w:right="2"/>
              <w:jc w:val="right"/>
              <w:rPr>
                <w:sz w:val="21"/>
              </w:rPr>
            </w:pPr>
            <w:r>
              <w:rPr>
                <w:color w:val="080808"/>
                <w:spacing w:val="-2"/>
                <w:w w:val="105"/>
                <w:sz w:val="21"/>
              </w:rPr>
              <w:t>(9,508)</w:t>
            </w:r>
          </w:p>
        </w:tc>
        <w:tc>
          <w:tcPr>
            <w:tcW w:w="117" w:type="dxa"/>
          </w:tcPr>
          <w:p>
            <w:pPr>
              <w:pStyle w:val="TableParagraph"/>
              <w:rPr>
                <w:rFonts w:ascii="Times New Roman"/>
                <w:sz w:val="20"/>
              </w:rPr>
            </w:pPr>
          </w:p>
        </w:tc>
      </w:tr>
      <w:tr>
        <w:trPr>
          <w:trHeight w:val="797" w:hRule="atLeast"/>
        </w:trPr>
        <w:tc>
          <w:tcPr>
            <w:tcW w:w="1370" w:type="dxa"/>
          </w:tcPr>
          <w:p>
            <w:pPr>
              <w:pStyle w:val="TableParagraph"/>
              <w:spacing w:before="80"/>
              <w:ind w:right="74"/>
              <w:jc w:val="right"/>
              <w:rPr>
                <w:sz w:val="21"/>
              </w:rPr>
            </w:pPr>
            <w:r>
              <w:rPr>
                <w:color w:val="080808"/>
                <w:spacing w:val="-2"/>
                <w:w w:val="105"/>
                <w:sz w:val="21"/>
              </w:rPr>
              <w:t>(3,193)</w:t>
            </w:r>
          </w:p>
        </w:tc>
        <w:tc>
          <w:tcPr>
            <w:tcW w:w="197" w:type="dxa"/>
          </w:tcPr>
          <w:p>
            <w:pPr>
              <w:pStyle w:val="TableParagraph"/>
              <w:rPr>
                <w:rFonts w:ascii="Times New Roman"/>
                <w:sz w:val="20"/>
              </w:rPr>
            </w:pPr>
          </w:p>
        </w:tc>
        <w:tc>
          <w:tcPr>
            <w:tcW w:w="5327" w:type="dxa"/>
          </w:tcPr>
          <w:p>
            <w:pPr>
              <w:pStyle w:val="TableParagraph"/>
              <w:spacing w:before="80" w:line="252" w:lineRule="auto"/>
              <w:ind w:left="330" w:right="277" w:firstLine="2"/>
              <w:rPr>
                <w:sz w:val="21"/>
              </w:rPr>
            </w:pPr>
            <w:r>
              <w:rPr>
                <w:color w:val="080808"/>
                <w:w w:val="105"/>
                <w:sz w:val="21"/>
              </w:rPr>
              <w:t>Adjustments to net (Surplus) / Deficit on Provision</w:t>
            </w:r>
            <w:r>
              <w:rPr>
                <w:color w:val="080808"/>
                <w:spacing w:val="-2"/>
                <w:w w:val="105"/>
                <w:sz w:val="21"/>
              </w:rPr>
              <w:t> </w:t>
            </w:r>
            <w:r>
              <w:rPr>
                <w:color w:val="080808"/>
                <w:w w:val="105"/>
                <w:sz w:val="21"/>
              </w:rPr>
              <w:t>of</w:t>
            </w:r>
            <w:r>
              <w:rPr>
                <w:color w:val="080808"/>
                <w:spacing w:val="-16"/>
                <w:w w:val="105"/>
                <w:sz w:val="21"/>
              </w:rPr>
              <w:t> </w:t>
            </w:r>
            <w:r>
              <w:rPr>
                <w:color w:val="080808"/>
                <w:w w:val="105"/>
                <w:sz w:val="21"/>
              </w:rPr>
              <w:t>Services</w:t>
            </w:r>
            <w:r>
              <w:rPr>
                <w:color w:val="080808"/>
                <w:spacing w:val="-9"/>
                <w:w w:val="105"/>
                <w:sz w:val="21"/>
              </w:rPr>
              <w:t> </w:t>
            </w:r>
            <w:r>
              <w:rPr>
                <w:color w:val="080808"/>
                <w:w w:val="105"/>
                <w:sz w:val="21"/>
              </w:rPr>
              <w:t>for</w:t>
            </w:r>
            <w:r>
              <w:rPr>
                <w:color w:val="080808"/>
                <w:spacing w:val="-13"/>
                <w:w w:val="105"/>
                <w:sz w:val="21"/>
              </w:rPr>
              <w:t> </w:t>
            </w:r>
            <w:r>
              <w:rPr>
                <w:color w:val="080808"/>
                <w:w w:val="105"/>
                <w:sz w:val="21"/>
              </w:rPr>
              <w:t>non-cash</w:t>
            </w:r>
            <w:r>
              <w:rPr>
                <w:color w:val="080808"/>
                <w:spacing w:val="-9"/>
                <w:w w:val="105"/>
                <w:sz w:val="21"/>
              </w:rPr>
              <w:t> </w:t>
            </w:r>
            <w:r>
              <w:rPr>
                <w:color w:val="080808"/>
                <w:w w:val="105"/>
                <w:sz w:val="21"/>
              </w:rPr>
              <w:t>movements</w:t>
            </w:r>
          </w:p>
        </w:tc>
        <w:tc>
          <w:tcPr>
            <w:tcW w:w="1135" w:type="dxa"/>
          </w:tcPr>
          <w:p>
            <w:pPr>
              <w:pStyle w:val="TableParagraph"/>
              <w:spacing w:before="79"/>
              <w:ind w:right="261"/>
              <w:jc w:val="right"/>
              <w:rPr>
                <w:sz w:val="19"/>
              </w:rPr>
            </w:pPr>
            <w:r>
              <w:rPr>
                <w:color w:val="080808"/>
                <w:spacing w:val="-4"/>
                <w:w w:val="105"/>
                <w:sz w:val="19"/>
              </w:rPr>
              <w:t>5.32</w:t>
            </w:r>
          </w:p>
        </w:tc>
        <w:tc>
          <w:tcPr>
            <w:tcW w:w="1072" w:type="dxa"/>
          </w:tcPr>
          <w:p>
            <w:pPr>
              <w:pStyle w:val="TableParagraph"/>
              <w:spacing w:before="70"/>
              <w:jc w:val="right"/>
              <w:rPr>
                <w:sz w:val="21"/>
              </w:rPr>
            </w:pPr>
            <w:r>
              <w:rPr>
                <w:color w:val="080808"/>
                <w:spacing w:val="-2"/>
                <w:w w:val="105"/>
                <w:sz w:val="21"/>
              </w:rPr>
              <w:t>(697)</w:t>
            </w:r>
          </w:p>
        </w:tc>
        <w:tc>
          <w:tcPr>
            <w:tcW w:w="117" w:type="dxa"/>
          </w:tcPr>
          <w:p>
            <w:pPr>
              <w:pStyle w:val="TableParagraph"/>
              <w:rPr>
                <w:rFonts w:ascii="Times New Roman"/>
                <w:sz w:val="20"/>
              </w:rPr>
            </w:pPr>
          </w:p>
        </w:tc>
      </w:tr>
      <w:tr>
        <w:trPr>
          <w:trHeight w:val="1120" w:hRule="atLeast"/>
        </w:trPr>
        <w:tc>
          <w:tcPr>
            <w:tcW w:w="1370" w:type="dxa"/>
            <w:tcBorders>
              <w:bottom w:val="single" w:color="000000" w:sz="6" w:space="0"/>
            </w:tcBorders>
          </w:tcPr>
          <w:p>
            <w:pPr>
              <w:pStyle w:val="TableParagraph"/>
              <w:spacing w:before="219"/>
              <w:ind w:right="75"/>
              <w:jc w:val="right"/>
              <w:rPr>
                <w:sz w:val="21"/>
              </w:rPr>
            </w:pPr>
            <w:r>
              <w:rPr>
                <w:color w:val="080808"/>
                <w:spacing w:val="-2"/>
                <w:w w:val="105"/>
                <w:sz w:val="21"/>
              </w:rPr>
              <w:t>11,001</w:t>
            </w:r>
          </w:p>
        </w:tc>
        <w:tc>
          <w:tcPr>
            <w:tcW w:w="197" w:type="dxa"/>
            <w:tcBorders>
              <w:bottom w:val="single" w:color="000000" w:sz="6" w:space="0"/>
            </w:tcBorders>
          </w:tcPr>
          <w:p>
            <w:pPr>
              <w:pStyle w:val="TableParagraph"/>
              <w:rPr>
                <w:rFonts w:ascii="Times New Roman"/>
                <w:sz w:val="20"/>
              </w:rPr>
            </w:pPr>
          </w:p>
        </w:tc>
        <w:tc>
          <w:tcPr>
            <w:tcW w:w="5327" w:type="dxa"/>
          </w:tcPr>
          <w:p>
            <w:pPr>
              <w:pStyle w:val="TableParagraph"/>
              <w:spacing w:before="219" w:line="252" w:lineRule="auto"/>
              <w:ind w:left="319" w:right="277" w:firstLine="12"/>
              <w:rPr>
                <w:sz w:val="21"/>
              </w:rPr>
            </w:pPr>
            <w:r>
              <w:rPr>
                <w:color w:val="1F1F1F"/>
                <w:w w:val="105"/>
                <w:sz w:val="21"/>
              </w:rPr>
              <w:t>Adjustments </w:t>
            </w:r>
            <w:r>
              <w:rPr>
                <w:color w:val="080808"/>
                <w:w w:val="105"/>
                <w:sz w:val="21"/>
              </w:rPr>
              <w:t>for items </w:t>
            </w:r>
            <w:r>
              <w:rPr>
                <w:color w:val="1F1F1F"/>
                <w:w w:val="105"/>
                <w:sz w:val="21"/>
              </w:rPr>
              <w:t>included </w:t>
            </w:r>
            <w:r>
              <w:rPr>
                <w:color w:val="080808"/>
                <w:w w:val="105"/>
                <w:sz w:val="21"/>
              </w:rPr>
              <w:t>in </w:t>
            </w:r>
            <w:r>
              <w:rPr>
                <w:color w:val="1F1F1F"/>
                <w:w w:val="105"/>
                <w:sz w:val="21"/>
              </w:rPr>
              <w:t>the net (Surplus)/ </w:t>
            </w:r>
            <w:r>
              <w:rPr>
                <w:color w:val="080808"/>
                <w:w w:val="105"/>
                <w:sz w:val="21"/>
              </w:rPr>
              <w:t>Deficit on Provis</w:t>
            </w:r>
            <w:r>
              <w:rPr>
                <w:color w:val="333333"/>
                <w:w w:val="105"/>
                <w:sz w:val="21"/>
              </w:rPr>
              <w:t>ion</w:t>
            </w:r>
            <w:r>
              <w:rPr>
                <w:color w:val="333333"/>
                <w:spacing w:val="-10"/>
                <w:w w:val="105"/>
                <w:sz w:val="21"/>
              </w:rPr>
              <w:t> </w:t>
            </w:r>
            <w:r>
              <w:rPr>
                <w:color w:val="080808"/>
                <w:w w:val="105"/>
                <w:sz w:val="21"/>
              </w:rPr>
              <w:t>of </w:t>
            </w:r>
            <w:r>
              <w:rPr>
                <w:color w:val="1F1F1F"/>
                <w:w w:val="105"/>
                <w:sz w:val="21"/>
              </w:rPr>
              <w:t>Services </w:t>
            </w:r>
            <w:r>
              <w:rPr>
                <w:color w:val="080808"/>
                <w:w w:val="105"/>
                <w:sz w:val="21"/>
              </w:rPr>
              <w:t>that are investing and financing activities</w:t>
            </w:r>
          </w:p>
        </w:tc>
        <w:tc>
          <w:tcPr>
            <w:tcW w:w="1135" w:type="dxa"/>
          </w:tcPr>
          <w:p>
            <w:pPr>
              <w:pStyle w:val="TableParagraph"/>
              <w:rPr>
                <w:b/>
                <w:sz w:val="19"/>
              </w:rPr>
            </w:pPr>
          </w:p>
          <w:p>
            <w:pPr>
              <w:pStyle w:val="TableParagraph"/>
              <w:ind w:right="273"/>
              <w:jc w:val="right"/>
              <w:rPr>
                <w:sz w:val="19"/>
              </w:rPr>
            </w:pPr>
            <w:r>
              <w:rPr>
                <w:color w:val="080808"/>
                <w:spacing w:val="-4"/>
                <w:w w:val="105"/>
                <w:sz w:val="19"/>
              </w:rPr>
              <w:t>5.32</w:t>
            </w:r>
          </w:p>
        </w:tc>
        <w:tc>
          <w:tcPr>
            <w:tcW w:w="1072" w:type="dxa"/>
            <w:tcBorders>
              <w:bottom w:val="single" w:color="000000" w:sz="6" w:space="0"/>
            </w:tcBorders>
          </w:tcPr>
          <w:p>
            <w:pPr>
              <w:pStyle w:val="TableParagraph"/>
              <w:spacing w:before="214"/>
              <w:jc w:val="right"/>
              <w:rPr>
                <w:sz w:val="21"/>
              </w:rPr>
            </w:pPr>
            <w:r>
              <w:rPr>
                <w:color w:val="080808"/>
                <w:spacing w:val="-4"/>
                <w:w w:val="105"/>
                <w:sz w:val="21"/>
              </w:rPr>
              <w:t>7,717</w:t>
            </w:r>
          </w:p>
        </w:tc>
        <w:tc>
          <w:tcPr>
            <w:tcW w:w="117" w:type="dxa"/>
          </w:tcPr>
          <w:p>
            <w:pPr>
              <w:pStyle w:val="TableParagraph"/>
              <w:rPr>
                <w:rFonts w:ascii="Times New Roman"/>
                <w:sz w:val="20"/>
              </w:rPr>
            </w:pPr>
          </w:p>
        </w:tc>
      </w:tr>
      <w:tr>
        <w:trPr>
          <w:trHeight w:val="731" w:hRule="atLeast"/>
        </w:trPr>
        <w:tc>
          <w:tcPr>
            <w:tcW w:w="1370" w:type="dxa"/>
            <w:tcBorders>
              <w:top w:val="single" w:color="000000" w:sz="6" w:space="0"/>
            </w:tcBorders>
          </w:tcPr>
          <w:p>
            <w:pPr>
              <w:pStyle w:val="TableParagraph"/>
              <w:spacing w:before="31"/>
              <w:ind w:right="87"/>
              <w:jc w:val="right"/>
              <w:rPr>
                <w:b/>
                <w:sz w:val="21"/>
              </w:rPr>
            </w:pPr>
            <w:r>
              <w:rPr>
                <w:b/>
                <w:color w:val="080808"/>
                <w:spacing w:val="-2"/>
                <w:w w:val="105"/>
                <w:sz w:val="21"/>
              </w:rPr>
              <w:t>(2,133)</w:t>
            </w:r>
          </w:p>
        </w:tc>
        <w:tc>
          <w:tcPr>
            <w:tcW w:w="197" w:type="dxa"/>
            <w:tcBorders>
              <w:top w:val="single" w:color="000000" w:sz="6" w:space="0"/>
            </w:tcBorders>
          </w:tcPr>
          <w:p>
            <w:pPr>
              <w:pStyle w:val="TableParagraph"/>
              <w:rPr>
                <w:rFonts w:ascii="Times New Roman"/>
                <w:sz w:val="20"/>
              </w:rPr>
            </w:pPr>
          </w:p>
        </w:tc>
        <w:tc>
          <w:tcPr>
            <w:tcW w:w="5327" w:type="dxa"/>
          </w:tcPr>
          <w:p>
            <w:pPr>
              <w:pStyle w:val="TableParagraph"/>
              <w:spacing w:before="31" w:line="252" w:lineRule="auto"/>
              <w:ind w:left="312" w:hanging="1"/>
              <w:rPr>
                <w:b/>
                <w:sz w:val="21"/>
              </w:rPr>
            </w:pPr>
            <w:r>
              <w:rPr>
                <w:b/>
                <w:color w:val="080808"/>
                <w:w w:val="105"/>
                <w:sz w:val="21"/>
              </w:rPr>
              <w:t>Net</w:t>
            </w:r>
            <w:r>
              <w:rPr>
                <w:b/>
                <w:color w:val="080808"/>
                <w:spacing w:val="-1"/>
                <w:w w:val="105"/>
                <w:sz w:val="21"/>
              </w:rPr>
              <w:t> </w:t>
            </w:r>
            <w:r>
              <w:rPr>
                <w:b/>
                <w:color w:val="080808"/>
                <w:w w:val="105"/>
                <w:sz w:val="21"/>
              </w:rPr>
              <w:t>cash (inflow)/ outflow from</w:t>
            </w:r>
            <w:r>
              <w:rPr>
                <w:b/>
                <w:color w:val="080808"/>
                <w:spacing w:val="-3"/>
                <w:w w:val="105"/>
                <w:sz w:val="21"/>
              </w:rPr>
              <w:t> </w:t>
            </w:r>
            <w:r>
              <w:rPr>
                <w:b/>
                <w:color w:val="080808"/>
                <w:w w:val="105"/>
                <w:sz w:val="21"/>
              </w:rPr>
              <w:t>Operating </w:t>
            </w:r>
            <w:r>
              <w:rPr>
                <w:b/>
                <w:color w:val="080808"/>
                <w:spacing w:val="-2"/>
                <w:w w:val="105"/>
                <w:sz w:val="21"/>
              </w:rPr>
              <w:t>Activities</w:t>
            </w:r>
          </w:p>
        </w:tc>
        <w:tc>
          <w:tcPr>
            <w:tcW w:w="1135" w:type="dxa"/>
          </w:tcPr>
          <w:p>
            <w:pPr>
              <w:pStyle w:val="TableParagraph"/>
              <w:rPr>
                <w:rFonts w:ascii="Times New Roman"/>
                <w:sz w:val="20"/>
              </w:rPr>
            </w:pPr>
          </w:p>
        </w:tc>
        <w:tc>
          <w:tcPr>
            <w:tcW w:w="1072" w:type="dxa"/>
            <w:tcBorders>
              <w:top w:val="single" w:color="000000" w:sz="6" w:space="0"/>
            </w:tcBorders>
          </w:tcPr>
          <w:p>
            <w:pPr>
              <w:pStyle w:val="TableParagraph"/>
              <w:spacing w:before="21"/>
              <w:ind w:right="1"/>
              <w:jc w:val="right"/>
              <w:rPr>
                <w:b/>
                <w:sz w:val="21"/>
              </w:rPr>
            </w:pPr>
            <w:r>
              <w:rPr>
                <w:b/>
                <w:color w:val="080808"/>
                <w:spacing w:val="-2"/>
                <w:w w:val="105"/>
                <w:sz w:val="21"/>
              </w:rPr>
              <w:t>(2,488)</w:t>
            </w:r>
          </w:p>
        </w:tc>
        <w:tc>
          <w:tcPr>
            <w:tcW w:w="117" w:type="dxa"/>
          </w:tcPr>
          <w:p>
            <w:pPr>
              <w:pStyle w:val="TableParagraph"/>
              <w:rPr>
                <w:rFonts w:ascii="Times New Roman"/>
                <w:sz w:val="20"/>
              </w:rPr>
            </w:pPr>
          </w:p>
        </w:tc>
      </w:tr>
      <w:tr>
        <w:trPr>
          <w:trHeight w:val="723" w:hRule="atLeast"/>
        </w:trPr>
        <w:tc>
          <w:tcPr>
            <w:tcW w:w="1370" w:type="dxa"/>
          </w:tcPr>
          <w:p>
            <w:pPr>
              <w:pStyle w:val="TableParagraph"/>
              <w:spacing w:before="202"/>
              <w:ind w:right="108"/>
              <w:jc w:val="right"/>
              <w:rPr>
                <w:sz w:val="21"/>
              </w:rPr>
            </w:pPr>
            <w:r>
              <w:rPr>
                <w:color w:val="080808"/>
                <w:spacing w:val="-2"/>
                <w:w w:val="105"/>
                <w:sz w:val="21"/>
              </w:rPr>
              <w:t>(9,261)</w:t>
            </w:r>
          </w:p>
        </w:tc>
        <w:tc>
          <w:tcPr>
            <w:tcW w:w="197" w:type="dxa"/>
          </w:tcPr>
          <w:p>
            <w:pPr>
              <w:pStyle w:val="TableParagraph"/>
              <w:rPr>
                <w:rFonts w:ascii="Times New Roman"/>
                <w:sz w:val="20"/>
              </w:rPr>
            </w:pPr>
          </w:p>
        </w:tc>
        <w:tc>
          <w:tcPr>
            <w:tcW w:w="5327" w:type="dxa"/>
          </w:tcPr>
          <w:p>
            <w:pPr>
              <w:pStyle w:val="TableParagraph"/>
              <w:spacing w:before="207"/>
              <w:ind w:left="302"/>
              <w:rPr>
                <w:sz w:val="21"/>
              </w:rPr>
            </w:pPr>
            <w:r>
              <w:rPr>
                <w:color w:val="080808"/>
                <w:w w:val="105"/>
                <w:sz w:val="21"/>
              </w:rPr>
              <w:t>Investing</w:t>
            </w:r>
            <w:r>
              <w:rPr>
                <w:color w:val="080808"/>
                <w:spacing w:val="-1"/>
                <w:w w:val="105"/>
                <w:sz w:val="21"/>
              </w:rPr>
              <w:t> </w:t>
            </w:r>
            <w:r>
              <w:rPr>
                <w:color w:val="080808"/>
                <w:spacing w:val="-2"/>
                <w:w w:val="105"/>
                <w:sz w:val="21"/>
              </w:rPr>
              <w:t>Activities</w:t>
            </w:r>
          </w:p>
        </w:tc>
        <w:tc>
          <w:tcPr>
            <w:tcW w:w="1135" w:type="dxa"/>
          </w:tcPr>
          <w:p>
            <w:pPr>
              <w:pStyle w:val="TableParagraph"/>
              <w:spacing w:before="202"/>
              <w:ind w:right="284"/>
              <w:jc w:val="right"/>
              <w:rPr>
                <w:sz w:val="19"/>
              </w:rPr>
            </w:pPr>
            <w:r>
              <w:rPr>
                <w:color w:val="080808"/>
                <w:spacing w:val="-4"/>
                <w:w w:val="105"/>
                <w:sz w:val="19"/>
              </w:rPr>
              <w:t>5.33</w:t>
            </w:r>
          </w:p>
        </w:tc>
        <w:tc>
          <w:tcPr>
            <w:tcW w:w="1072" w:type="dxa"/>
          </w:tcPr>
          <w:p>
            <w:pPr>
              <w:pStyle w:val="TableParagraph"/>
              <w:spacing w:before="198"/>
              <w:ind w:right="11"/>
              <w:jc w:val="right"/>
              <w:rPr>
                <w:sz w:val="21"/>
              </w:rPr>
            </w:pPr>
            <w:r>
              <w:rPr>
                <w:color w:val="080808"/>
                <w:spacing w:val="-5"/>
                <w:w w:val="105"/>
                <w:sz w:val="21"/>
              </w:rPr>
              <w:t>166</w:t>
            </w:r>
          </w:p>
        </w:tc>
        <w:tc>
          <w:tcPr>
            <w:tcW w:w="117" w:type="dxa"/>
          </w:tcPr>
          <w:p>
            <w:pPr>
              <w:pStyle w:val="TableParagraph"/>
              <w:rPr>
                <w:rFonts w:ascii="Times New Roman"/>
                <w:sz w:val="20"/>
              </w:rPr>
            </w:pPr>
          </w:p>
        </w:tc>
      </w:tr>
      <w:tr>
        <w:trPr>
          <w:trHeight w:val="1033" w:hRule="atLeast"/>
        </w:trPr>
        <w:tc>
          <w:tcPr>
            <w:tcW w:w="1370" w:type="dxa"/>
            <w:tcBorders>
              <w:bottom w:val="single" w:color="000000" w:sz="6" w:space="0"/>
            </w:tcBorders>
          </w:tcPr>
          <w:p>
            <w:pPr>
              <w:pStyle w:val="TableParagraph"/>
              <w:spacing w:before="30"/>
              <w:rPr>
                <w:b/>
                <w:sz w:val="21"/>
              </w:rPr>
            </w:pPr>
          </w:p>
          <w:p>
            <w:pPr>
              <w:pStyle w:val="TableParagraph"/>
              <w:spacing w:before="1"/>
              <w:ind w:right="110"/>
              <w:jc w:val="right"/>
              <w:rPr>
                <w:sz w:val="21"/>
              </w:rPr>
            </w:pPr>
            <w:r>
              <w:rPr>
                <w:color w:val="080808"/>
                <w:spacing w:val="-2"/>
                <w:w w:val="105"/>
                <w:sz w:val="21"/>
              </w:rPr>
              <w:t>(1,838)</w:t>
            </w:r>
          </w:p>
        </w:tc>
        <w:tc>
          <w:tcPr>
            <w:tcW w:w="197" w:type="dxa"/>
            <w:tcBorders>
              <w:bottom w:val="single" w:color="000000" w:sz="6" w:space="0"/>
            </w:tcBorders>
          </w:tcPr>
          <w:p>
            <w:pPr>
              <w:pStyle w:val="TableParagraph"/>
              <w:rPr>
                <w:rFonts w:ascii="Times New Roman"/>
                <w:sz w:val="20"/>
              </w:rPr>
            </w:pPr>
          </w:p>
        </w:tc>
        <w:tc>
          <w:tcPr>
            <w:tcW w:w="5327" w:type="dxa"/>
          </w:tcPr>
          <w:p>
            <w:pPr>
              <w:pStyle w:val="TableParagraph"/>
              <w:spacing w:before="35"/>
              <w:rPr>
                <w:b/>
                <w:sz w:val="21"/>
              </w:rPr>
            </w:pPr>
          </w:p>
          <w:p>
            <w:pPr>
              <w:pStyle w:val="TableParagraph"/>
              <w:ind w:left="290"/>
              <w:rPr>
                <w:sz w:val="21"/>
              </w:rPr>
            </w:pPr>
            <w:r>
              <w:rPr>
                <w:color w:val="080808"/>
                <w:w w:val="105"/>
                <w:sz w:val="21"/>
              </w:rPr>
              <w:t>Financing </w:t>
            </w:r>
            <w:r>
              <w:rPr>
                <w:color w:val="080808"/>
                <w:spacing w:val="-2"/>
                <w:w w:val="105"/>
                <w:sz w:val="21"/>
              </w:rPr>
              <w:t>Activities</w:t>
            </w:r>
          </w:p>
        </w:tc>
        <w:tc>
          <w:tcPr>
            <w:tcW w:w="1135" w:type="dxa"/>
          </w:tcPr>
          <w:p>
            <w:pPr>
              <w:pStyle w:val="TableParagraph"/>
              <w:spacing w:before="53"/>
              <w:rPr>
                <w:b/>
                <w:sz w:val="19"/>
              </w:rPr>
            </w:pPr>
          </w:p>
          <w:p>
            <w:pPr>
              <w:pStyle w:val="TableParagraph"/>
              <w:ind w:right="294"/>
              <w:jc w:val="right"/>
              <w:rPr>
                <w:sz w:val="19"/>
              </w:rPr>
            </w:pPr>
            <w:r>
              <w:rPr>
                <w:color w:val="080808"/>
                <w:spacing w:val="-4"/>
                <w:sz w:val="19"/>
              </w:rPr>
              <w:t>5</w:t>
            </w:r>
            <w:r>
              <w:rPr>
                <w:color w:val="333333"/>
                <w:spacing w:val="-4"/>
                <w:sz w:val="19"/>
              </w:rPr>
              <w:t>.</w:t>
            </w:r>
            <w:r>
              <w:rPr>
                <w:color w:val="080808"/>
                <w:spacing w:val="-4"/>
                <w:sz w:val="19"/>
              </w:rPr>
              <w:t>34</w:t>
            </w:r>
          </w:p>
        </w:tc>
        <w:tc>
          <w:tcPr>
            <w:tcW w:w="1072" w:type="dxa"/>
            <w:tcBorders>
              <w:bottom w:val="single" w:color="000000" w:sz="6" w:space="0"/>
            </w:tcBorders>
          </w:tcPr>
          <w:p>
            <w:pPr>
              <w:pStyle w:val="TableParagraph"/>
              <w:spacing w:before="26"/>
              <w:rPr>
                <w:b/>
                <w:sz w:val="21"/>
              </w:rPr>
            </w:pPr>
          </w:p>
          <w:p>
            <w:pPr>
              <w:pStyle w:val="TableParagraph"/>
              <w:ind w:right="19"/>
              <w:jc w:val="right"/>
              <w:rPr>
                <w:sz w:val="21"/>
              </w:rPr>
            </w:pPr>
            <w:r>
              <w:rPr>
                <w:color w:val="080808"/>
                <w:spacing w:val="-4"/>
                <w:w w:val="105"/>
                <w:sz w:val="21"/>
              </w:rPr>
              <w:t>2,325</w:t>
            </w:r>
          </w:p>
        </w:tc>
        <w:tc>
          <w:tcPr>
            <w:tcW w:w="117" w:type="dxa"/>
          </w:tcPr>
          <w:p>
            <w:pPr>
              <w:pStyle w:val="TableParagraph"/>
              <w:rPr>
                <w:rFonts w:ascii="Times New Roman"/>
                <w:sz w:val="20"/>
              </w:rPr>
            </w:pPr>
          </w:p>
        </w:tc>
      </w:tr>
      <w:tr>
        <w:trPr>
          <w:trHeight w:val="729" w:hRule="atLeast"/>
        </w:trPr>
        <w:tc>
          <w:tcPr>
            <w:tcW w:w="1370" w:type="dxa"/>
            <w:tcBorders>
              <w:top w:val="single" w:color="000000" w:sz="6" w:space="0"/>
            </w:tcBorders>
          </w:tcPr>
          <w:p>
            <w:pPr>
              <w:pStyle w:val="TableParagraph"/>
              <w:spacing w:before="26"/>
              <w:ind w:left="431"/>
              <w:rPr>
                <w:b/>
                <w:sz w:val="21"/>
              </w:rPr>
            </w:pPr>
            <w:r>
              <w:rPr>
                <w:b/>
                <w:color w:val="080808"/>
                <w:spacing w:val="-2"/>
                <w:w w:val="105"/>
                <w:sz w:val="21"/>
              </w:rPr>
              <w:t>(13,232)</w:t>
            </w:r>
          </w:p>
        </w:tc>
        <w:tc>
          <w:tcPr>
            <w:tcW w:w="197" w:type="dxa"/>
            <w:tcBorders>
              <w:top w:val="single" w:color="000000" w:sz="6" w:space="0"/>
            </w:tcBorders>
          </w:tcPr>
          <w:p>
            <w:pPr>
              <w:pStyle w:val="TableParagraph"/>
              <w:rPr>
                <w:rFonts w:ascii="Times New Roman"/>
                <w:sz w:val="20"/>
              </w:rPr>
            </w:pPr>
          </w:p>
        </w:tc>
        <w:tc>
          <w:tcPr>
            <w:tcW w:w="5327" w:type="dxa"/>
          </w:tcPr>
          <w:p>
            <w:pPr>
              <w:pStyle w:val="TableParagraph"/>
              <w:spacing w:before="26" w:line="252" w:lineRule="auto"/>
              <w:ind w:left="282" w:firstLine="5"/>
              <w:rPr>
                <w:b/>
                <w:sz w:val="21"/>
              </w:rPr>
            </w:pPr>
            <w:r>
              <w:rPr>
                <w:b/>
                <w:color w:val="080808"/>
                <w:w w:val="105"/>
                <w:sz w:val="21"/>
              </w:rPr>
              <w:t>Decrease /</w:t>
            </w:r>
            <w:r>
              <w:rPr>
                <w:b/>
                <w:color w:val="080808"/>
                <w:spacing w:val="-11"/>
                <w:w w:val="105"/>
                <w:sz w:val="21"/>
              </w:rPr>
              <w:t> </w:t>
            </w:r>
            <w:r>
              <w:rPr>
                <w:b/>
                <w:color w:val="080808"/>
                <w:w w:val="105"/>
                <w:sz w:val="21"/>
              </w:rPr>
              <w:t>(increase) in</w:t>
            </w:r>
            <w:r>
              <w:rPr>
                <w:b/>
                <w:color w:val="080808"/>
                <w:spacing w:val="-14"/>
                <w:w w:val="105"/>
                <w:sz w:val="21"/>
              </w:rPr>
              <w:t> </w:t>
            </w:r>
            <w:r>
              <w:rPr>
                <w:b/>
                <w:color w:val="080808"/>
                <w:w w:val="105"/>
                <w:sz w:val="21"/>
              </w:rPr>
              <w:t>cash</w:t>
            </w:r>
            <w:r>
              <w:rPr>
                <w:b/>
                <w:color w:val="080808"/>
                <w:spacing w:val="-8"/>
                <w:w w:val="105"/>
                <w:sz w:val="21"/>
              </w:rPr>
              <w:t> </w:t>
            </w:r>
            <w:r>
              <w:rPr>
                <w:b/>
                <w:color w:val="080808"/>
                <w:w w:val="105"/>
                <w:sz w:val="21"/>
              </w:rPr>
              <w:t>and</w:t>
            </w:r>
            <w:r>
              <w:rPr>
                <w:b/>
                <w:color w:val="080808"/>
                <w:spacing w:val="-13"/>
                <w:w w:val="105"/>
                <w:sz w:val="21"/>
              </w:rPr>
              <w:t> </w:t>
            </w:r>
            <w:r>
              <w:rPr>
                <w:b/>
                <w:color w:val="080808"/>
                <w:w w:val="105"/>
                <w:sz w:val="21"/>
              </w:rPr>
              <w:t>cash </w:t>
            </w:r>
            <w:r>
              <w:rPr>
                <w:b/>
                <w:color w:val="080808"/>
                <w:spacing w:val="-2"/>
                <w:w w:val="105"/>
                <w:sz w:val="21"/>
              </w:rPr>
              <w:t>equivalents</w:t>
            </w:r>
          </w:p>
        </w:tc>
        <w:tc>
          <w:tcPr>
            <w:tcW w:w="1135" w:type="dxa"/>
          </w:tcPr>
          <w:p>
            <w:pPr>
              <w:pStyle w:val="TableParagraph"/>
              <w:rPr>
                <w:rFonts w:ascii="Times New Roman"/>
                <w:sz w:val="20"/>
              </w:rPr>
            </w:pPr>
          </w:p>
        </w:tc>
        <w:tc>
          <w:tcPr>
            <w:tcW w:w="1072" w:type="dxa"/>
            <w:tcBorders>
              <w:top w:val="single" w:color="000000" w:sz="6" w:space="0"/>
            </w:tcBorders>
          </w:tcPr>
          <w:p>
            <w:pPr>
              <w:pStyle w:val="TableParagraph"/>
              <w:spacing w:before="21"/>
              <w:ind w:right="23"/>
              <w:jc w:val="right"/>
              <w:rPr>
                <w:b/>
                <w:sz w:val="21"/>
              </w:rPr>
            </w:pPr>
            <w:r>
              <w:rPr>
                <w:b/>
                <w:color w:val="080808"/>
                <w:spacing w:val="-10"/>
                <w:w w:val="105"/>
                <w:sz w:val="21"/>
              </w:rPr>
              <w:t>3</w:t>
            </w:r>
          </w:p>
        </w:tc>
        <w:tc>
          <w:tcPr>
            <w:tcW w:w="117" w:type="dxa"/>
          </w:tcPr>
          <w:p>
            <w:pPr>
              <w:pStyle w:val="TableParagraph"/>
              <w:rPr>
                <w:rFonts w:ascii="Times New Roman"/>
                <w:sz w:val="20"/>
              </w:rPr>
            </w:pPr>
          </w:p>
        </w:tc>
      </w:tr>
      <w:tr>
        <w:trPr>
          <w:trHeight w:val="1273" w:hRule="atLeast"/>
        </w:trPr>
        <w:tc>
          <w:tcPr>
            <w:tcW w:w="1370" w:type="dxa"/>
            <w:tcBorders>
              <w:bottom w:val="single" w:color="000000" w:sz="6" w:space="0"/>
            </w:tcBorders>
          </w:tcPr>
          <w:p>
            <w:pPr>
              <w:pStyle w:val="TableParagraph"/>
              <w:spacing w:before="200"/>
              <w:ind w:right="124"/>
              <w:jc w:val="right"/>
              <w:rPr>
                <w:sz w:val="21"/>
              </w:rPr>
            </w:pPr>
            <w:r>
              <w:rPr>
                <w:color w:val="080808"/>
                <w:spacing w:val="-2"/>
                <w:w w:val="105"/>
                <w:sz w:val="21"/>
              </w:rPr>
              <w:t>15,152</w:t>
            </w:r>
          </w:p>
        </w:tc>
        <w:tc>
          <w:tcPr>
            <w:tcW w:w="197" w:type="dxa"/>
          </w:tcPr>
          <w:p>
            <w:pPr>
              <w:pStyle w:val="TableParagraph"/>
              <w:rPr>
                <w:rFonts w:ascii="Times New Roman"/>
                <w:sz w:val="20"/>
              </w:rPr>
            </w:pPr>
          </w:p>
        </w:tc>
        <w:tc>
          <w:tcPr>
            <w:tcW w:w="5327" w:type="dxa"/>
          </w:tcPr>
          <w:p>
            <w:pPr>
              <w:pStyle w:val="TableParagraph"/>
              <w:spacing w:before="205" w:line="252" w:lineRule="auto"/>
              <w:ind w:left="275" w:right="277" w:firstLine="2"/>
              <w:rPr>
                <w:sz w:val="21"/>
              </w:rPr>
            </w:pPr>
            <w:r>
              <w:rPr>
                <w:color w:val="080808"/>
                <w:w w:val="105"/>
                <w:sz w:val="21"/>
              </w:rPr>
              <w:t>Cash</w:t>
            </w:r>
            <w:r>
              <w:rPr>
                <w:color w:val="080808"/>
                <w:spacing w:val="-3"/>
                <w:w w:val="105"/>
                <w:sz w:val="21"/>
              </w:rPr>
              <w:t> </w:t>
            </w:r>
            <w:r>
              <w:rPr>
                <w:color w:val="080808"/>
                <w:w w:val="105"/>
                <w:sz w:val="21"/>
              </w:rPr>
              <w:t>and</w:t>
            </w:r>
            <w:r>
              <w:rPr>
                <w:color w:val="080808"/>
                <w:spacing w:val="-11"/>
                <w:w w:val="105"/>
                <w:sz w:val="21"/>
              </w:rPr>
              <w:t> </w:t>
            </w:r>
            <w:r>
              <w:rPr>
                <w:color w:val="080808"/>
                <w:w w:val="105"/>
                <w:sz w:val="21"/>
              </w:rPr>
              <w:t>cash</w:t>
            </w:r>
            <w:r>
              <w:rPr>
                <w:color w:val="080808"/>
                <w:spacing w:val="-8"/>
                <w:w w:val="105"/>
                <w:sz w:val="21"/>
              </w:rPr>
              <w:t> </w:t>
            </w:r>
            <w:r>
              <w:rPr>
                <w:color w:val="080808"/>
                <w:w w:val="105"/>
                <w:sz w:val="21"/>
              </w:rPr>
              <w:t>equivalents at</w:t>
            </w:r>
            <w:r>
              <w:rPr>
                <w:color w:val="080808"/>
                <w:spacing w:val="-10"/>
                <w:w w:val="105"/>
                <w:sz w:val="21"/>
              </w:rPr>
              <w:t> </w:t>
            </w:r>
            <w:r>
              <w:rPr>
                <w:color w:val="080808"/>
                <w:w w:val="105"/>
                <w:sz w:val="21"/>
              </w:rPr>
              <w:t>the</w:t>
            </w:r>
            <w:r>
              <w:rPr>
                <w:color w:val="080808"/>
                <w:spacing w:val="-5"/>
                <w:w w:val="105"/>
                <w:sz w:val="21"/>
              </w:rPr>
              <w:t> </w:t>
            </w:r>
            <w:r>
              <w:rPr>
                <w:color w:val="080808"/>
                <w:w w:val="105"/>
                <w:sz w:val="21"/>
              </w:rPr>
              <w:t>beginning of the reporting period</w:t>
            </w:r>
          </w:p>
        </w:tc>
        <w:tc>
          <w:tcPr>
            <w:tcW w:w="1135" w:type="dxa"/>
          </w:tcPr>
          <w:p>
            <w:pPr>
              <w:pStyle w:val="TableParagraph"/>
              <w:rPr>
                <w:rFonts w:ascii="Times New Roman"/>
                <w:sz w:val="20"/>
              </w:rPr>
            </w:pPr>
          </w:p>
        </w:tc>
        <w:tc>
          <w:tcPr>
            <w:tcW w:w="1072" w:type="dxa"/>
            <w:tcBorders>
              <w:bottom w:val="single" w:color="000000" w:sz="6" w:space="0"/>
            </w:tcBorders>
          </w:tcPr>
          <w:p>
            <w:pPr>
              <w:pStyle w:val="TableParagraph"/>
              <w:spacing w:before="200"/>
              <w:ind w:right="25"/>
              <w:jc w:val="right"/>
              <w:rPr>
                <w:sz w:val="21"/>
              </w:rPr>
            </w:pPr>
            <w:r>
              <w:rPr>
                <w:color w:val="080808"/>
                <w:spacing w:val="-2"/>
                <w:w w:val="105"/>
                <w:sz w:val="21"/>
              </w:rPr>
              <w:t>28,384</w:t>
            </w:r>
          </w:p>
        </w:tc>
        <w:tc>
          <w:tcPr>
            <w:tcW w:w="117" w:type="dxa"/>
            <w:tcBorders>
              <w:bottom w:val="single" w:color="000000" w:sz="6" w:space="0"/>
            </w:tcBorders>
          </w:tcPr>
          <w:p>
            <w:pPr>
              <w:pStyle w:val="TableParagraph"/>
              <w:rPr>
                <w:rFonts w:ascii="Times New Roman"/>
                <w:sz w:val="20"/>
              </w:rPr>
            </w:pPr>
          </w:p>
        </w:tc>
      </w:tr>
      <w:tr>
        <w:trPr>
          <w:trHeight w:val="718" w:hRule="atLeast"/>
        </w:trPr>
        <w:tc>
          <w:tcPr>
            <w:tcW w:w="1370" w:type="dxa"/>
            <w:tcBorders>
              <w:top w:val="single" w:color="000000" w:sz="6" w:space="0"/>
            </w:tcBorders>
          </w:tcPr>
          <w:p>
            <w:pPr>
              <w:pStyle w:val="TableParagraph"/>
              <w:spacing w:before="11"/>
              <w:ind w:right="137"/>
              <w:jc w:val="right"/>
              <w:rPr>
                <w:b/>
                <w:sz w:val="21"/>
              </w:rPr>
            </w:pPr>
            <w:r>
              <w:rPr/>
              <ve:AlternateContent>
                <ve:Choice Requires="wps">
                  <w:drawing>
                    <wp:anchor distT="0" distB="0" distL="0" distR="0" simplePos="0" relativeHeight="15755776" behindDoc="0" locked="0" layoutInCell="1" allowOverlap="1">
                      <wp:simplePos x="0" y="0"/>
                      <wp:positionH relativeFrom="column">
                        <wp:posOffset>-9158</wp:posOffset>
                      </wp:positionH>
                      <wp:positionV relativeFrom="paragraph">
                        <wp:posOffset>440264</wp:posOffset>
                      </wp:positionV>
                      <wp:extent cx="867410" cy="12700"/>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867410" cy="12700"/>
                                <a:chExt cx="867410" cy="12700"/>
                              </a:xfrm>
                            </wpg:grpSpPr>
                            <wps:wsp>
                              <wps:cNvPr id="120" name="Graphic 120"/>
                              <wps:cNvSpPr/>
                              <wps:spPr>
                                <a:xfrm>
                                  <a:off x="0" y="6102"/>
                                  <a:ext cx="867410" cy="1270"/>
                                </a:xfrm>
                                <a:custGeom>
                                  <a:avLst/>
                                  <a:gdLst/>
                                  <a:ahLst/>
                                  <a:cxnLst/>
                                  <a:rect l="l" t="t" r="r" b="b"/>
                                  <a:pathLst>
                                    <a:path w="867410" h="0">
                                      <a:moveTo>
                                        <a:pt x="0" y="0"/>
                                      </a:moveTo>
                                      <a:lnTo>
                                        <a:pt x="867028"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71" style="position:absolute;margin-left:-.721161pt;margin-top:34.666531pt;width:68.3pt;height:1pt;mso-position-horizontal-relative:column;mso-position-vertical-relative:paragraph;z-index:15755776" coordsize="1366,20" coordorigin="-14,693">
                      <v:line style="position:absolute" stroked="true" strokecolor="#000000" strokeweight=".961095pt" from="-14,703" to="1351,703">
                        <v:stroke dashstyle="solid"/>
                      </v:line>
                      <w10:wrap type="none"/>
                    </v:group>
                  </w:pict>
                </ve:Fallback>
              </ve:AlternateContent>
            </w:r>
            <w:r>
              <w:rPr>
                <w:b/>
                <w:color w:val="080808"/>
                <w:spacing w:val="-2"/>
                <w:w w:val="105"/>
                <w:sz w:val="21"/>
              </w:rPr>
              <w:t>28,384</w:t>
            </w:r>
          </w:p>
        </w:tc>
        <w:tc>
          <w:tcPr>
            <w:tcW w:w="197" w:type="dxa"/>
          </w:tcPr>
          <w:p>
            <w:pPr>
              <w:pStyle w:val="TableParagraph"/>
              <w:rPr>
                <w:rFonts w:ascii="Times New Roman"/>
                <w:sz w:val="20"/>
              </w:rPr>
            </w:pPr>
          </w:p>
        </w:tc>
        <w:tc>
          <w:tcPr>
            <w:tcW w:w="5327" w:type="dxa"/>
          </w:tcPr>
          <w:p>
            <w:pPr>
              <w:pStyle w:val="TableParagraph"/>
              <w:spacing w:before="16" w:line="256" w:lineRule="auto"/>
              <w:ind w:left="270" w:hanging="1"/>
              <w:rPr>
                <w:b/>
                <w:sz w:val="21"/>
              </w:rPr>
            </w:pPr>
            <w:r>
              <w:rPr>
                <w:b/>
                <w:color w:val="080808"/>
                <w:w w:val="105"/>
                <w:sz w:val="21"/>
              </w:rPr>
              <w:t>Cash</w:t>
            </w:r>
            <w:r>
              <w:rPr>
                <w:b/>
                <w:color w:val="080808"/>
                <w:spacing w:val="-1"/>
                <w:w w:val="105"/>
                <w:sz w:val="21"/>
              </w:rPr>
              <w:t> </w:t>
            </w:r>
            <w:r>
              <w:rPr>
                <w:b/>
                <w:color w:val="080808"/>
                <w:w w:val="105"/>
                <w:sz w:val="21"/>
              </w:rPr>
              <w:t>and</w:t>
            </w:r>
            <w:r>
              <w:rPr>
                <w:b/>
                <w:color w:val="080808"/>
                <w:spacing w:val="-9"/>
                <w:w w:val="105"/>
                <w:sz w:val="21"/>
              </w:rPr>
              <w:t> </w:t>
            </w:r>
            <w:r>
              <w:rPr>
                <w:b/>
                <w:color w:val="080808"/>
                <w:w w:val="105"/>
                <w:sz w:val="21"/>
              </w:rPr>
              <w:t>cash</w:t>
            </w:r>
            <w:r>
              <w:rPr>
                <w:b/>
                <w:color w:val="080808"/>
                <w:spacing w:val="-3"/>
                <w:w w:val="105"/>
                <w:sz w:val="21"/>
              </w:rPr>
              <w:t> </w:t>
            </w:r>
            <w:r>
              <w:rPr>
                <w:b/>
                <w:color w:val="080808"/>
                <w:w w:val="105"/>
                <w:sz w:val="21"/>
              </w:rPr>
              <w:t>equivalents at</w:t>
            </w:r>
            <w:r>
              <w:rPr>
                <w:b/>
                <w:color w:val="080808"/>
                <w:spacing w:val="-11"/>
                <w:w w:val="105"/>
                <w:sz w:val="21"/>
              </w:rPr>
              <w:t> </w:t>
            </w:r>
            <w:r>
              <w:rPr>
                <w:b/>
                <w:color w:val="080808"/>
                <w:w w:val="105"/>
                <w:sz w:val="21"/>
              </w:rPr>
              <w:t>the</w:t>
            </w:r>
            <w:r>
              <w:rPr>
                <w:b/>
                <w:color w:val="080808"/>
                <w:spacing w:val="-1"/>
                <w:w w:val="105"/>
                <w:sz w:val="21"/>
              </w:rPr>
              <w:t> </w:t>
            </w:r>
            <w:r>
              <w:rPr>
                <w:b/>
                <w:color w:val="080808"/>
                <w:w w:val="105"/>
                <w:sz w:val="21"/>
              </w:rPr>
              <w:t>end</w:t>
            </w:r>
            <w:r>
              <w:rPr>
                <w:b/>
                <w:color w:val="080808"/>
                <w:spacing w:val="-2"/>
                <w:w w:val="105"/>
                <w:sz w:val="21"/>
              </w:rPr>
              <w:t> </w:t>
            </w:r>
            <w:r>
              <w:rPr>
                <w:b/>
                <w:color w:val="080808"/>
                <w:w w:val="105"/>
                <w:sz w:val="21"/>
              </w:rPr>
              <w:t>of</w:t>
            </w:r>
            <w:r>
              <w:rPr>
                <w:b/>
                <w:color w:val="080808"/>
                <w:spacing w:val="-6"/>
                <w:w w:val="105"/>
                <w:sz w:val="21"/>
              </w:rPr>
              <w:t> </w:t>
            </w:r>
            <w:r>
              <w:rPr>
                <w:b/>
                <w:color w:val="080808"/>
                <w:w w:val="105"/>
                <w:sz w:val="21"/>
              </w:rPr>
              <w:t>the reporting period</w:t>
            </w:r>
          </w:p>
        </w:tc>
        <w:tc>
          <w:tcPr>
            <w:tcW w:w="1135" w:type="dxa"/>
          </w:tcPr>
          <w:p>
            <w:pPr>
              <w:pStyle w:val="TableParagraph"/>
              <w:spacing w:before="16"/>
              <w:ind w:right="308"/>
              <w:jc w:val="right"/>
              <w:rPr>
                <w:sz w:val="19"/>
              </w:rPr>
            </w:pPr>
            <w:r>
              <w:rPr>
                <w:color w:val="080808"/>
                <w:spacing w:val="-4"/>
                <w:w w:val="105"/>
                <w:sz w:val="19"/>
              </w:rPr>
              <w:t>5.24</w:t>
            </w:r>
          </w:p>
        </w:tc>
        <w:tc>
          <w:tcPr>
            <w:tcW w:w="1072" w:type="dxa"/>
            <w:tcBorders>
              <w:top w:val="single" w:color="000000" w:sz="6" w:space="0"/>
            </w:tcBorders>
          </w:tcPr>
          <w:p>
            <w:pPr>
              <w:pStyle w:val="TableParagraph"/>
              <w:spacing w:before="7"/>
              <w:ind w:right="37"/>
              <w:jc w:val="right"/>
              <w:rPr>
                <w:b/>
                <w:sz w:val="21"/>
              </w:rPr>
            </w:pPr>
            <w:r>
              <w:rPr/>
              <ve:AlternateContent>
                <ve:Choice Requires="wps">
                  <w:drawing>
                    <wp:anchor distT="0" distB="0" distL="0" distR="0" simplePos="0" relativeHeight="15755264" behindDoc="0" locked="0" layoutInCell="1" allowOverlap="1">
                      <wp:simplePos x="0" y="0"/>
                      <wp:positionH relativeFrom="column">
                        <wp:posOffset>-15264</wp:posOffset>
                      </wp:positionH>
                      <wp:positionV relativeFrom="paragraph">
                        <wp:posOffset>440775</wp:posOffset>
                      </wp:positionV>
                      <wp:extent cx="757555" cy="12700"/>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757555" cy="12700"/>
                                <a:chExt cx="757555" cy="12700"/>
                              </a:xfrm>
                            </wpg:grpSpPr>
                            <wps:wsp>
                              <wps:cNvPr id="122" name="Graphic 122"/>
                              <wps:cNvSpPr/>
                              <wps:spPr>
                                <a:xfrm>
                                  <a:off x="0" y="6102"/>
                                  <a:ext cx="757555" cy="1270"/>
                                </a:xfrm>
                                <a:custGeom>
                                  <a:avLst/>
                                  <a:gdLst/>
                                  <a:ahLst/>
                                  <a:cxnLst/>
                                  <a:rect l="l" t="t" r="r" b="b"/>
                                  <a:pathLst>
                                    <a:path w="757555" h="0">
                                      <a:moveTo>
                                        <a:pt x="0" y="0"/>
                                      </a:moveTo>
                                      <a:lnTo>
                                        <a:pt x="757123"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72" style="position:absolute;margin-left:-1.201936pt;margin-top:34.706757pt;width:59.65pt;height:1pt;mso-position-horizontal-relative:column;mso-position-vertical-relative:paragraph;z-index:15755264" coordsize="1193,20" coordorigin="-24,694">
                      <v:line style="position:absolute" stroked="true" strokecolor="#000000" strokeweight=".961095pt" from="-24,704" to="1168,704">
                        <v:stroke dashstyle="solid"/>
                      </v:line>
                      <w10:wrap type="none"/>
                    </v:group>
                  </w:pict>
                </ve:Fallback>
              </ve:AlternateContent>
            </w:r>
            <w:r>
              <w:rPr>
                <w:b/>
                <w:color w:val="080808"/>
                <w:spacing w:val="-2"/>
                <w:w w:val="105"/>
                <w:sz w:val="21"/>
              </w:rPr>
              <w:t>28,381</w:t>
            </w:r>
          </w:p>
        </w:tc>
        <w:tc>
          <w:tcPr>
            <w:tcW w:w="117" w:type="dxa"/>
            <w:tcBorders>
              <w:top w:val="single" w:color="000000" w:sz="6" w:space="0"/>
            </w:tcBorders>
          </w:tcPr>
          <w:p>
            <w:pPr>
              <w:pStyle w:val="TableParagraph"/>
              <w:rPr>
                <w:rFonts w:ascii="Times New Roman"/>
                <w:sz w:val="20"/>
              </w:rPr>
            </w:pPr>
          </w:p>
        </w:tc>
      </w:tr>
    </w:tbl>
    <w:p>
      <w:pPr>
        <w:spacing w:after="0"/>
        <w:rPr>
          <w:rFonts w:ascii="Times New Roman"/>
          <w:sz w:val="20"/>
        </w:rPr>
        <w:sectPr>
          <w:headerReference w:type="even" r:id="rId79"/>
          <w:pgSz w:w="11910" w:h="16830"/>
          <w:pgMar w:top="800" w:right="100" w:bottom="1200" w:left="20" w:header="0" w:footer="0"/>
        </w:sectPr>
      </w:pPr>
    </w:p>
    <w:p>
      <w:pPr>
        <w:pStyle w:val="ListParagraph"/>
        <w:numPr>
          <w:ilvl w:val="0"/>
          <w:numId w:val="11"/>
        </w:numPr>
        <w:tabs>
          <w:tab w:val="left" w:leader="none" w:pos="2122"/>
        </w:tabs>
        <w:spacing w:before="80" w:after="0" w:line="240" w:lineRule="auto"/>
        <w:ind w:left="2122" w:right="0" w:hanging="711"/>
        <w:jc w:val="both"/>
        <w:rPr>
          <w:sz w:val="15"/>
        </w:rPr>
      </w:pPr>
      <w:r>
        <w:rPr>
          <w:color w:val="484848"/>
          <w:sz w:val="15"/>
        </w:rPr>
        <w:t>NOTES</w:t>
      </w:r>
      <w:r>
        <w:rPr>
          <w:color w:val="484848"/>
          <w:spacing w:val="35"/>
          <w:sz w:val="15"/>
        </w:rPr>
        <w:t> </w:t>
      </w:r>
      <w:r>
        <w:rPr>
          <w:color w:val="484848"/>
          <w:sz w:val="15"/>
        </w:rPr>
        <w:t>TO</w:t>
      </w:r>
      <w:r>
        <w:rPr>
          <w:color w:val="484848"/>
          <w:spacing w:val="22"/>
          <w:sz w:val="15"/>
        </w:rPr>
        <w:t> </w:t>
      </w:r>
      <w:r>
        <w:rPr>
          <w:color w:val="484848"/>
          <w:sz w:val="15"/>
        </w:rPr>
        <w:t>THE</w:t>
      </w:r>
      <w:r>
        <w:rPr>
          <w:color w:val="484848"/>
          <w:spacing w:val="25"/>
          <w:sz w:val="15"/>
        </w:rPr>
        <w:t> </w:t>
      </w:r>
      <w:r>
        <w:rPr>
          <w:color w:val="606060"/>
          <w:spacing w:val="-2"/>
          <w:sz w:val="15"/>
        </w:rPr>
        <w:t>A.CCOUNTS</w:t>
      </w:r>
    </w:p>
    <w:p>
      <w:pPr>
        <w:pStyle w:val="BodyText"/>
        <w:spacing w:before="65"/>
        <w:rPr>
          <w:sz w:val="15"/>
        </w:rPr>
      </w:pPr>
    </w:p>
    <w:p>
      <w:pPr>
        <w:pStyle w:val="Heading3"/>
        <w:numPr>
          <w:ilvl w:val="1"/>
          <w:numId w:val="11"/>
        </w:numPr>
        <w:tabs>
          <w:tab w:val="left" w:leader="none" w:pos="2116"/>
        </w:tabs>
        <w:spacing w:before="0" w:after="0" w:line="465" w:lineRule="auto"/>
        <w:ind w:left="1406" w:right="7562" w:firstLine="1"/>
        <w:jc w:val="both"/>
        <w:rPr>
          <w:color w:val="484848"/>
        </w:rPr>
      </w:pPr>
      <w:r>
        <w:rPr>
          <w:color w:val="484848"/>
        </w:rPr>
        <w:t>Accounting</w:t>
      </w:r>
      <w:r>
        <w:rPr>
          <w:color w:val="484848"/>
          <w:spacing w:val="-16"/>
        </w:rPr>
        <w:t> </w:t>
      </w:r>
      <w:r>
        <w:rPr>
          <w:color w:val="484848"/>
        </w:rPr>
        <w:t>Policies Basis of Preparation</w:t>
      </w:r>
    </w:p>
    <w:p>
      <w:pPr>
        <w:spacing w:before="23" w:line="290" w:lineRule="auto"/>
        <w:ind w:left="1403" w:right="1342" w:hanging="1"/>
        <w:jc w:val="both"/>
        <w:rPr>
          <w:sz w:val="21"/>
        </w:rPr>
      </w:pPr>
      <w:r>
        <w:rPr>
          <w:color w:val="0E0E0E"/>
          <w:w w:val="105"/>
          <w:sz w:val="21"/>
        </w:rPr>
        <w:t>The</w:t>
      </w:r>
      <w:r>
        <w:rPr>
          <w:color w:val="0E0E0E"/>
          <w:spacing w:val="-5"/>
          <w:w w:val="105"/>
          <w:sz w:val="21"/>
        </w:rPr>
        <w:t> </w:t>
      </w:r>
      <w:r>
        <w:rPr>
          <w:color w:val="0E0E0E"/>
          <w:w w:val="105"/>
          <w:sz w:val="21"/>
        </w:rPr>
        <w:t>Statement of</w:t>
      </w:r>
      <w:r>
        <w:rPr>
          <w:color w:val="0E0E0E"/>
          <w:spacing w:val="-11"/>
          <w:w w:val="105"/>
          <w:sz w:val="21"/>
        </w:rPr>
        <w:t> </w:t>
      </w:r>
      <w:r>
        <w:rPr>
          <w:color w:val="0E0E0E"/>
          <w:w w:val="105"/>
          <w:sz w:val="21"/>
        </w:rPr>
        <w:t>Accounts summarises the</w:t>
      </w:r>
      <w:r>
        <w:rPr>
          <w:color w:val="0E0E0E"/>
          <w:spacing w:val="-3"/>
          <w:w w:val="105"/>
          <w:sz w:val="21"/>
        </w:rPr>
        <w:t> </w:t>
      </w:r>
      <w:r>
        <w:rPr>
          <w:color w:val="0E0E0E"/>
          <w:w w:val="105"/>
          <w:sz w:val="21"/>
        </w:rPr>
        <w:t>Authority's transactions for</w:t>
      </w:r>
      <w:r>
        <w:rPr>
          <w:color w:val="0E0E0E"/>
          <w:spacing w:val="-8"/>
          <w:w w:val="105"/>
          <w:sz w:val="21"/>
        </w:rPr>
        <w:t> </w:t>
      </w:r>
      <w:r>
        <w:rPr>
          <w:color w:val="0E0E0E"/>
          <w:w w:val="105"/>
          <w:sz w:val="21"/>
        </w:rPr>
        <w:t>the</w:t>
      </w:r>
      <w:r>
        <w:rPr>
          <w:color w:val="0E0E0E"/>
          <w:spacing w:val="-8"/>
          <w:w w:val="105"/>
          <w:sz w:val="21"/>
        </w:rPr>
        <w:t> </w:t>
      </w:r>
      <w:r>
        <w:rPr>
          <w:color w:val="0E0E0E"/>
          <w:w w:val="105"/>
          <w:sz w:val="21"/>
        </w:rPr>
        <w:t>2022/23</w:t>
      </w:r>
      <w:r>
        <w:rPr>
          <w:color w:val="0E0E0E"/>
          <w:spacing w:val="-9"/>
          <w:w w:val="105"/>
          <w:sz w:val="21"/>
        </w:rPr>
        <w:t> </w:t>
      </w:r>
      <w:r>
        <w:rPr>
          <w:color w:val="0E0E0E"/>
          <w:w w:val="105"/>
          <w:sz w:val="21"/>
        </w:rPr>
        <w:t>financial year and its position at the year-end of 31 March 2023. The Authority is required to prepare an annual Statement of</w:t>
      </w:r>
      <w:r>
        <w:rPr>
          <w:color w:val="0E0E0E"/>
          <w:spacing w:val="-1"/>
          <w:w w:val="105"/>
          <w:sz w:val="21"/>
        </w:rPr>
        <w:t> </w:t>
      </w:r>
      <w:r>
        <w:rPr>
          <w:color w:val="0E0E0E"/>
          <w:w w:val="105"/>
          <w:sz w:val="21"/>
        </w:rPr>
        <w:t>Accounts by the</w:t>
      </w:r>
      <w:r>
        <w:rPr>
          <w:color w:val="0E0E0E"/>
          <w:spacing w:val="-6"/>
          <w:w w:val="105"/>
          <w:sz w:val="21"/>
        </w:rPr>
        <w:t> </w:t>
      </w:r>
      <w:r>
        <w:rPr>
          <w:color w:val="0E0E0E"/>
          <w:w w:val="105"/>
          <w:sz w:val="21"/>
        </w:rPr>
        <w:t>Accounts</w:t>
      </w:r>
      <w:r>
        <w:rPr>
          <w:color w:val="0E0E0E"/>
          <w:w w:val="105"/>
          <w:sz w:val="21"/>
        </w:rPr>
        <w:t> and</w:t>
      </w:r>
      <w:r>
        <w:rPr>
          <w:color w:val="0E0E0E"/>
          <w:spacing w:val="-6"/>
          <w:w w:val="105"/>
          <w:sz w:val="21"/>
        </w:rPr>
        <w:t> </w:t>
      </w:r>
      <w:r>
        <w:rPr>
          <w:color w:val="0E0E0E"/>
          <w:w w:val="105"/>
          <w:sz w:val="21"/>
        </w:rPr>
        <w:t>Audit Regulations</w:t>
      </w:r>
      <w:r>
        <w:rPr>
          <w:color w:val="0E0E0E"/>
          <w:w w:val="105"/>
          <w:sz w:val="21"/>
        </w:rPr>
        <w:t> 2015, which</w:t>
      </w:r>
      <w:r>
        <w:rPr>
          <w:color w:val="0E0E0E"/>
          <w:spacing w:val="-2"/>
          <w:w w:val="105"/>
          <w:sz w:val="21"/>
        </w:rPr>
        <w:t> </w:t>
      </w:r>
      <w:r>
        <w:rPr>
          <w:color w:val="0E0E0E"/>
          <w:w w:val="105"/>
          <w:sz w:val="21"/>
        </w:rPr>
        <w:t>those regulations</w:t>
      </w:r>
      <w:r>
        <w:rPr>
          <w:color w:val="0E0E0E"/>
          <w:w w:val="105"/>
          <w:sz w:val="21"/>
        </w:rPr>
        <w:t> require to be prepared in</w:t>
      </w:r>
      <w:r>
        <w:rPr>
          <w:color w:val="0E0E0E"/>
          <w:w w:val="105"/>
          <w:sz w:val="21"/>
        </w:rPr>
        <w:t> accordance</w:t>
      </w:r>
      <w:r>
        <w:rPr>
          <w:color w:val="0E0E0E"/>
          <w:w w:val="105"/>
          <w:sz w:val="21"/>
        </w:rPr>
        <w:t> with</w:t>
      </w:r>
      <w:r>
        <w:rPr>
          <w:color w:val="0E0E0E"/>
          <w:w w:val="105"/>
          <w:sz w:val="21"/>
        </w:rPr>
        <w:t> proper</w:t>
      </w:r>
      <w:r>
        <w:rPr>
          <w:color w:val="0E0E0E"/>
          <w:w w:val="105"/>
          <w:sz w:val="21"/>
        </w:rPr>
        <w:t> accounting</w:t>
      </w:r>
      <w:r>
        <w:rPr>
          <w:color w:val="0E0E0E"/>
          <w:w w:val="105"/>
          <w:sz w:val="21"/>
        </w:rPr>
        <w:t> practices.</w:t>
      </w:r>
      <w:r>
        <w:rPr>
          <w:color w:val="0E0E0E"/>
          <w:w w:val="105"/>
          <w:sz w:val="21"/>
        </w:rPr>
        <w:t> These practices primarily comprise the</w:t>
      </w:r>
      <w:r>
        <w:rPr>
          <w:color w:val="0E0E0E"/>
          <w:spacing w:val="-11"/>
          <w:w w:val="105"/>
          <w:sz w:val="21"/>
        </w:rPr>
        <w:t> </w:t>
      </w:r>
      <w:r>
        <w:rPr>
          <w:color w:val="0E0E0E"/>
          <w:w w:val="105"/>
          <w:sz w:val="21"/>
        </w:rPr>
        <w:t>Code</w:t>
      </w:r>
      <w:r>
        <w:rPr>
          <w:color w:val="0E0E0E"/>
          <w:spacing w:val="-2"/>
          <w:w w:val="105"/>
          <w:sz w:val="21"/>
        </w:rPr>
        <w:t> </w:t>
      </w:r>
      <w:r>
        <w:rPr>
          <w:color w:val="0E0E0E"/>
          <w:w w:val="105"/>
          <w:sz w:val="21"/>
        </w:rPr>
        <w:t>of</w:t>
      </w:r>
      <w:r>
        <w:rPr>
          <w:color w:val="0E0E0E"/>
          <w:spacing w:val="-12"/>
          <w:w w:val="105"/>
          <w:sz w:val="21"/>
        </w:rPr>
        <w:t> </w:t>
      </w:r>
      <w:r>
        <w:rPr>
          <w:color w:val="0E0E0E"/>
          <w:w w:val="105"/>
          <w:sz w:val="21"/>
        </w:rPr>
        <w:t>Practice on</w:t>
      </w:r>
      <w:r>
        <w:rPr>
          <w:color w:val="0E0E0E"/>
          <w:spacing w:val="-14"/>
          <w:w w:val="105"/>
          <w:sz w:val="21"/>
        </w:rPr>
        <w:t> </w:t>
      </w:r>
      <w:r>
        <w:rPr>
          <w:color w:val="0E0E0E"/>
          <w:w w:val="105"/>
          <w:sz w:val="21"/>
        </w:rPr>
        <w:t>Local</w:t>
      </w:r>
      <w:r>
        <w:rPr>
          <w:color w:val="0E0E0E"/>
          <w:spacing w:val="-16"/>
          <w:w w:val="105"/>
          <w:sz w:val="21"/>
        </w:rPr>
        <w:t> </w:t>
      </w:r>
      <w:r>
        <w:rPr>
          <w:color w:val="0E0E0E"/>
          <w:w w:val="105"/>
          <w:sz w:val="21"/>
        </w:rPr>
        <w:t>Authority</w:t>
      </w:r>
      <w:r>
        <w:rPr>
          <w:color w:val="0E0E0E"/>
          <w:spacing w:val="-1"/>
          <w:w w:val="105"/>
          <w:sz w:val="21"/>
        </w:rPr>
        <w:t> </w:t>
      </w:r>
      <w:r>
        <w:rPr>
          <w:color w:val="0E0E0E"/>
          <w:w w:val="105"/>
          <w:sz w:val="21"/>
        </w:rPr>
        <w:t>Accounting</w:t>
      </w:r>
      <w:r>
        <w:rPr>
          <w:color w:val="0E0E0E"/>
          <w:spacing w:val="-3"/>
          <w:w w:val="105"/>
          <w:sz w:val="21"/>
        </w:rPr>
        <w:t> </w:t>
      </w:r>
      <w:r>
        <w:rPr>
          <w:color w:val="0E0E0E"/>
          <w:w w:val="105"/>
          <w:sz w:val="21"/>
        </w:rPr>
        <w:t>in</w:t>
      </w:r>
      <w:r>
        <w:rPr>
          <w:color w:val="0E0E0E"/>
          <w:spacing w:val="-9"/>
          <w:w w:val="105"/>
          <w:sz w:val="21"/>
        </w:rPr>
        <w:t> </w:t>
      </w:r>
      <w:r>
        <w:rPr>
          <w:color w:val="0E0E0E"/>
          <w:w w:val="105"/>
          <w:sz w:val="21"/>
        </w:rPr>
        <w:t>the</w:t>
      </w:r>
      <w:r>
        <w:rPr>
          <w:color w:val="0E0E0E"/>
          <w:spacing w:val="-12"/>
          <w:w w:val="105"/>
          <w:sz w:val="21"/>
        </w:rPr>
        <w:t> </w:t>
      </w:r>
      <w:r>
        <w:rPr>
          <w:color w:val="0E0E0E"/>
          <w:w w:val="105"/>
          <w:sz w:val="21"/>
        </w:rPr>
        <w:t>United Kingdom 2022/23, supported by</w:t>
      </w:r>
      <w:r>
        <w:rPr>
          <w:color w:val="0E0E0E"/>
          <w:spacing w:val="-4"/>
          <w:w w:val="105"/>
          <w:sz w:val="21"/>
        </w:rPr>
        <w:t> </w:t>
      </w:r>
      <w:r>
        <w:rPr>
          <w:color w:val="0E0E0E"/>
          <w:w w:val="105"/>
          <w:sz w:val="21"/>
        </w:rPr>
        <w:t>International Financial Reporting Standards (IFRS).</w:t>
      </w:r>
    </w:p>
    <w:p>
      <w:pPr>
        <w:spacing w:before="198" w:line="290" w:lineRule="auto"/>
        <w:ind w:left="1413" w:right="1347" w:hanging="7"/>
        <w:jc w:val="both"/>
        <w:rPr>
          <w:sz w:val="21"/>
        </w:rPr>
      </w:pPr>
      <w:r>
        <w:rPr>
          <w:color w:val="0E0E0E"/>
          <w:w w:val="105"/>
          <w:sz w:val="21"/>
        </w:rPr>
        <w:t>The</w:t>
      </w:r>
      <w:r>
        <w:rPr>
          <w:color w:val="0E0E0E"/>
          <w:spacing w:val="-14"/>
          <w:w w:val="105"/>
          <w:sz w:val="21"/>
        </w:rPr>
        <w:t> </w:t>
      </w:r>
      <w:r>
        <w:rPr>
          <w:color w:val="0E0E0E"/>
          <w:w w:val="105"/>
          <w:sz w:val="21"/>
        </w:rPr>
        <w:t>accounts</w:t>
      </w:r>
      <w:r>
        <w:rPr>
          <w:color w:val="0E0E0E"/>
          <w:spacing w:val="-3"/>
          <w:w w:val="105"/>
          <w:sz w:val="21"/>
        </w:rPr>
        <w:t> </w:t>
      </w:r>
      <w:r>
        <w:rPr>
          <w:color w:val="0E0E0E"/>
          <w:w w:val="105"/>
          <w:sz w:val="21"/>
        </w:rPr>
        <w:t>have</w:t>
      </w:r>
      <w:r>
        <w:rPr>
          <w:color w:val="0E0E0E"/>
          <w:spacing w:val="-8"/>
          <w:w w:val="105"/>
          <w:sz w:val="21"/>
        </w:rPr>
        <w:t> </w:t>
      </w:r>
      <w:r>
        <w:rPr>
          <w:color w:val="0E0E0E"/>
          <w:w w:val="105"/>
          <w:sz w:val="21"/>
        </w:rPr>
        <w:t>been</w:t>
      </w:r>
      <w:r>
        <w:rPr>
          <w:color w:val="0E0E0E"/>
          <w:spacing w:val="-9"/>
          <w:w w:val="105"/>
          <w:sz w:val="21"/>
        </w:rPr>
        <w:t> </w:t>
      </w:r>
      <w:r>
        <w:rPr>
          <w:color w:val="0E0E0E"/>
          <w:w w:val="105"/>
          <w:sz w:val="21"/>
        </w:rPr>
        <w:t>prepared</w:t>
      </w:r>
      <w:r>
        <w:rPr>
          <w:color w:val="0E0E0E"/>
          <w:spacing w:val="-2"/>
          <w:w w:val="105"/>
          <w:sz w:val="21"/>
        </w:rPr>
        <w:t> </w:t>
      </w:r>
      <w:r>
        <w:rPr>
          <w:color w:val="0E0E0E"/>
          <w:w w:val="105"/>
          <w:sz w:val="21"/>
        </w:rPr>
        <w:t>using</w:t>
      </w:r>
      <w:r>
        <w:rPr>
          <w:color w:val="0E0E0E"/>
          <w:spacing w:val="-7"/>
          <w:w w:val="105"/>
          <w:sz w:val="21"/>
        </w:rPr>
        <w:t> </w:t>
      </w:r>
      <w:r>
        <w:rPr>
          <w:color w:val="0E0E0E"/>
          <w:w w:val="105"/>
          <w:sz w:val="21"/>
        </w:rPr>
        <w:t>the</w:t>
      </w:r>
      <w:r>
        <w:rPr>
          <w:color w:val="0E0E0E"/>
          <w:spacing w:val="-13"/>
          <w:w w:val="105"/>
          <w:sz w:val="21"/>
        </w:rPr>
        <w:t> </w:t>
      </w:r>
      <w:r>
        <w:rPr>
          <w:color w:val="0E0E0E"/>
          <w:w w:val="105"/>
          <w:sz w:val="21"/>
        </w:rPr>
        <w:t>going</w:t>
      </w:r>
      <w:r>
        <w:rPr>
          <w:color w:val="0E0E0E"/>
          <w:spacing w:val="-8"/>
          <w:w w:val="105"/>
          <w:sz w:val="21"/>
        </w:rPr>
        <w:t> </w:t>
      </w:r>
      <w:r>
        <w:rPr>
          <w:color w:val="0E0E0E"/>
          <w:w w:val="105"/>
          <w:sz w:val="21"/>
        </w:rPr>
        <w:t>concern</w:t>
      </w:r>
      <w:r>
        <w:rPr>
          <w:color w:val="0E0E0E"/>
          <w:spacing w:val="-1"/>
          <w:w w:val="105"/>
          <w:sz w:val="21"/>
        </w:rPr>
        <w:t> </w:t>
      </w:r>
      <w:r>
        <w:rPr>
          <w:color w:val="0E0E0E"/>
          <w:w w:val="105"/>
          <w:sz w:val="21"/>
        </w:rPr>
        <w:t>and</w:t>
      </w:r>
      <w:r>
        <w:rPr>
          <w:color w:val="0E0E0E"/>
          <w:spacing w:val="-13"/>
          <w:w w:val="105"/>
          <w:sz w:val="21"/>
        </w:rPr>
        <w:t> </w:t>
      </w:r>
      <w:r>
        <w:rPr>
          <w:color w:val="0E0E0E"/>
          <w:w w:val="105"/>
          <w:sz w:val="21"/>
        </w:rPr>
        <w:t>accruals</w:t>
      </w:r>
      <w:r>
        <w:rPr>
          <w:color w:val="0E0E0E"/>
          <w:spacing w:val="-1"/>
          <w:w w:val="105"/>
          <w:sz w:val="21"/>
        </w:rPr>
        <w:t> </w:t>
      </w:r>
      <w:r>
        <w:rPr>
          <w:color w:val="0E0E0E"/>
          <w:w w:val="105"/>
          <w:sz w:val="21"/>
        </w:rPr>
        <w:t>basis.</w:t>
      </w:r>
      <w:r>
        <w:rPr>
          <w:color w:val="0E0E0E"/>
          <w:spacing w:val="-3"/>
          <w:w w:val="105"/>
          <w:sz w:val="21"/>
        </w:rPr>
        <w:t> </w:t>
      </w:r>
      <w:r>
        <w:rPr>
          <w:color w:val="0E0E0E"/>
          <w:w w:val="105"/>
          <w:sz w:val="21"/>
        </w:rPr>
        <w:t>The</w:t>
      </w:r>
      <w:r>
        <w:rPr>
          <w:color w:val="0E0E0E"/>
          <w:spacing w:val="-12"/>
          <w:w w:val="105"/>
          <w:sz w:val="21"/>
        </w:rPr>
        <w:t> </w:t>
      </w:r>
      <w:r>
        <w:rPr>
          <w:color w:val="0E0E0E"/>
          <w:w w:val="105"/>
          <w:sz w:val="21"/>
        </w:rPr>
        <w:t>historical cost</w:t>
      </w:r>
      <w:r>
        <w:rPr>
          <w:color w:val="0E0E0E"/>
          <w:spacing w:val="-2"/>
          <w:w w:val="105"/>
          <w:sz w:val="21"/>
        </w:rPr>
        <w:t> </w:t>
      </w:r>
      <w:r>
        <w:rPr>
          <w:color w:val="0E0E0E"/>
          <w:w w:val="105"/>
          <w:sz w:val="21"/>
        </w:rPr>
        <w:t>convention has</w:t>
      </w:r>
      <w:r>
        <w:rPr>
          <w:color w:val="0E0E0E"/>
          <w:spacing w:val="-6"/>
          <w:w w:val="105"/>
          <w:sz w:val="21"/>
        </w:rPr>
        <w:t> </w:t>
      </w:r>
      <w:r>
        <w:rPr>
          <w:color w:val="0E0E0E"/>
          <w:w w:val="105"/>
          <w:sz w:val="21"/>
        </w:rPr>
        <w:t>been</w:t>
      </w:r>
      <w:r>
        <w:rPr>
          <w:color w:val="0E0E0E"/>
          <w:spacing w:val="-4"/>
          <w:w w:val="105"/>
          <w:sz w:val="21"/>
        </w:rPr>
        <w:t> </w:t>
      </w:r>
      <w:r>
        <w:rPr>
          <w:color w:val="0E0E0E"/>
          <w:w w:val="105"/>
          <w:sz w:val="21"/>
        </w:rPr>
        <w:t>applied, modified for</w:t>
      </w:r>
      <w:r>
        <w:rPr>
          <w:color w:val="0E0E0E"/>
          <w:spacing w:val="-4"/>
          <w:w w:val="105"/>
          <w:sz w:val="21"/>
        </w:rPr>
        <w:t> </w:t>
      </w:r>
      <w:r>
        <w:rPr>
          <w:color w:val="0E0E0E"/>
          <w:w w:val="105"/>
          <w:sz w:val="21"/>
        </w:rPr>
        <w:t>the</w:t>
      </w:r>
      <w:r>
        <w:rPr>
          <w:color w:val="0E0E0E"/>
          <w:spacing w:val="-1"/>
          <w:w w:val="105"/>
          <w:sz w:val="21"/>
        </w:rPr>
        <w:t> </w:t>
      </w:r>
      <w:r>
        <w:rPr>
          <w:color w:val="0E0E0E"/>
          <w:w w:val="105"/>
          <w:sz w:val="21"/>
        </w:rPr>
        <w:t>revaluation of</w:t>
      </w:r>
      <w:r>
        <w:rPr>
          <w:color w:val="0E0E0E"/>
          <w:spacing w:val="-7"/>
          <w:w w:val="105"/>
          <w:sz w:val="21"/>
        </w:rPr>
        <w:t> </w:t>
      </w:r>
      <w:r>
        <w:rPr>
          <w:color w:val="0E0E0E"/>
          <w:w w:val="105"/>
          <w:sz w:val="21"/>
        </w:rPr>
        <w:t>certain non-current assets.</w:t>
      </w:r>
    </w:p>
    <w:p>
      <w:pPr>
        <w:spacing w:before="198" w:line="290" w:lineRule="auto"/>
        <w:ind w:left="1408" w:right="1336" w:firstLine="4"/>
        <w:jc w:val="both"/>
        <w:rPr>
          <w:sz w:val="21"/>
        </w:rPr>
      </w:pPr>
      <w:r>
        <w:rPr>
          <w:color w:val="0E0E0E"/>
          <w:spacing w:val="-2"/>
          <w:w w:val="105"/>
          <w:sz w:val="21"/>
        </w:rPr>
        <w:t>The</w:t>
      </w:r>
      <w:r>
        <w:rPr>
          <w:color w:val="0E0E0E"/>
          <w:spacing w:val="-14"/>
          <w:w w:val="105"/>
          <w:sz w:val="21"/>
        </w:rPr>
        <w:t> </w:t>
      </w:r>
      <w:r>
        <w:rPr>
          <w:color w:val="0E0E0E"/>
          <w:spacing w:val="-2"/>
          <w:w w:val="105"/>
          <w:sz w:val="21"/>
        </w:rPr>
        <w:t>accounting policies are</w:t>
      </w:r>
      <w:r>
        <w:rPr>
          <w:color w:val="0E0E0E"/>
          <w:spacing w:val="-14"/>
          <w:w w:val="105"/>
          <w:sz w:val="21"/>
        </w:rPr>
        <w:t> </w:t>
      </w:r>
      <w:r>
        <w:rPr>
          <w:color w:val="0E0E0E"/>
          <w:spacing w:val="-2"/>
          <w:w w:val="105"/>
          <w:sz w:val="21"/>
        </w:rPr>
        <w:t>reviewed regularly</w:t>
      </w:r>
      <w:r>
        <w:rPr>
          <w:color w:val="0E0E0E"/>
          <w:spacing w:val="-3"/>
          <w:w w:val="105"/>
          <w:sz w:val="21"/>
        </w:rPr>
        <w:t> </w:t>
      </w:r>
      <w:r>
        <w:rPr>
          <w:color w:val="0E0E0E"/>
          <w:spacing w:val="-2"/>
          <w:w w:val="105"/>
          <w:sz w:val="21"/>
        </w:rPr>
        <w:t>to</w:t>
      </w:r>
      <w:r>
        <w:rPr>
          <w:color w:val="0E0E0E"/>
          <w:spacing w:val="-14"/>
          <w:w w:val="105"/>
          <w:sz w:val="21"/>
        </w:rPr>
        <w:t> </w:t>
      </w:r>
      <w:r>
        <w:rPr>
          <w:color w:val="0E0E0E"/>
          <w:spacing w:val="-2"/>
          <w:w w:val="105"/>
          <w:sz w:val="21"/>
        </w:rPr>
        <w:t>ensure</w:t>
      </w:r>
      <w:r>
        <w:rPr>
          <w:color w:val="0E0E0E"/>
          <w:spacing w:val="-11"/>
          <w:w w:val="105"/>
          <w:sz w:val="21"/>
        </w:rPr>
        <w:t> </w:t>
      </w:r>
      <w:r>
        <w:rPr>
          <w:color w:val="0E0E0E"/>
          <w:spacing w:val="-2"/>
          <w:w w:val="105"/>
          <w:sz w:val="21"/>
        </w:rPr>
        <w:t>that</w:t>
      </w:r>
      <w:r>
        <w:rPr>
          <w:color w:val="0E0E0E"/>
          <w:spacing w:val="-9"/>
          <w:w w:val="105"/>
          <w:sz w:val="21"/>
        </w:rPr>
        <w:t> </w:t>
      </w:r>
      <w:r>
        <w:rPr>
          <w:color w:val="0E0E0E"/>
          <w:spacing w:val="-2"/>
          <w:w w:val="105"/>
          <w:sz w:val="21"/>
        </w:rPr>
        <w:t>they</w:t>
      </w:r>
      <w:r>
        <w:rPr>
          <w:color w:val="0E0E0E"/>
          <w:spacing w:val="-6"/>
          <w:w w:val="105"/>
          <w:sz w:val="21"/>
        </w:rPr>
        <w:t> </w:t>
      </w:r>
      <w:r>
        <w:rPr>
          <w:color w:val="0E0E0E"/>
          <w:spacing w:val="-2"/>
          <w:w w:val="105"/>
          <w:sz w:val="21"/>
        </w:rPr>
        <w:t>remain</w:t>
      </w:r>
      <w:r>
        <w:rPr>
          <w:color w:val="0E0E0E"/>
          <w:spacing w:val="-4"/>
          <w:w w:val="105"/>
          <w:sz w:val="21"/>
        </w:rPr>
        <w:t> </w:t>
      </w:r>
      <w:r>
        <w:rPr>
          <w:color w:val="0E0E0E"/>
          <w:spacing w:val="-2"/>
          <w:w w:val="105"/>
          <w:sz w:val="21"/>
        </w:rPr>
        <w:t>the</w:t>
      </w:r>
      <w:r>
        <w:rPr>
          <w:color w:val="0E0E0E"/>
          <w:spacing w:val="-13"/>
          <w:w w:val="105"/>
          <w:sz w:val="21"/>
        </w:rPr>
        <w:t> </w:t>
      </w:r>
      <w:r>
        <w:rPr>
          <w:color w:val="0E0E0E"/>
          <w:spacing w:val="-2"/>
          <w:w w:val="105"/>
          <w:sz w:val="21"/>
        </w:rPr>
        <w:t>most appropriate </w:t>
      </w:r>
      <w:r>
        <w:rPr>
          <w:color w:val="0E0E0E"/>
          <w:w w:val="105"/>
          <w:sz w:val="21"/>
        </w:rPr>
        <w:t>to the Council's particular circumstances. Any change to the accounting</w:t>
      </w:r>
      <w:r>
        <w:rPr>
          <w:color w:val="0E0E0E"/>
          <w:w w:val="105"/>
          <w:sz w:val="21"/>
        </w:rPr>
        <w:t> policies</w:t>
      </w:r>
      <w:r>
        <w:rPr>
          <w:color w:val="0E0E0E"/>
          <w:w w:val="105"/>
          <w:sz w:val="21"/>
        </w:rPr>
        <w:t> will only be made if</w:t>
      </w:r>
      <w:r>
        <w:rPr>
          <w:color w:val="0E0E0E"/>
          <w:spacing w:val="-2"/>
          <w:w w:val="105"/>
          <w:sz w:val="21"/>
        </w:rPr>
        <w:t> </w:t>
      </w:r>
      <w:r>
        <w:rPr>
          <w:color w:val="0E0E0E"/>
          <w:w w:val="105"/>
          <w:sz w:val="21"/>
        </w:rPr>
        <w:t>it is judged that the new policy will</w:t>
      </w:r>
      <w:r>
        <w:rPr>
          <w:color w:val="0E0E0E"/>
          <w:spacing w:val="-3"/>
          <w:w w:val="105"/>
          <w:sz w:val="21"/>
        </w:rPr>
        <w:t> </w:t>
      </w:r>
      <w:r>
        <w:rPr>
          <w:color w:val="0E0E0E"/>
          <w:w w:val="105"/>
          <w:sz w:val="21"/>
        </w:rPr>
        <w:t>result in the accounts providing reliable and more relevant</w:t>
      </w:r>
      <w:r>
        <w:rPr>
          <w:color w:val="0E0E0E"/>
          <w:w w:val="105"/>
          <w:sz w:val="21"/>
        </w:rPr>
        <w:t> information about the Council's financial position or if</w:t>
      </w:r>
      <w:r>
        <w:rPr>
          <w:color w:val="0E0E0E"/>
          <w:spacing w:val="-4"/>
          <w:w w:val="105"/>
          <w:sz w:val="21"/>
        </w:rPr>
        <w:t> </w:t>
      </w:r>
      <w:r>
        <w:rPr>
          <w:color w:val="0E0E0E"/>
          <w:w w:val="105"/>
          <w:sz w:val="21"/>
        </w:rPr>
        <w:t>the change is required by the </w:t>
      </w:r>
      <w:r>
        <w:rPr>
          <w:color w:val="0E0E0E"/>
          <w:spacing w:val="-4"/>
          <w:w w:val="105"/>
          <w:sz w:val="21"/>
        </w:rPr>
        <w:t>Code.</w:t>
      </w:r>
    </w:p>
    <w:p>
      <w:pPr>
        <w:pStyle w:val="Heading3"/>
        <w:spacing w:before="188"/>
        <w:ind w:left="1411"/>
      </w:pPr>
      <w:r>
        <w:rPr>
          <w:color w:val="0E0E0E"/>
        </w:rPr>
        <w:t>Revenue</w:t>
      </w:r>
      <w:r>
        <w:rPr>
          <w:color w:val="0E0E0E"/>
          <w:spacing w:val="-15"/>
        </w:rPr>
        <w:t> </w:t>
      </w:r>
      <w:r>
        <w:rPr>
          <w:color w:val="0E0E0E"/>
          <w:spacing w:val="-2"/>
        </w:rPr>
        <w:t>Recognition</w:t>
      </w:r>
    </w:p>
    <w:p>
      <w:pPr>
        <w:pStyle w:val="BodyText"/>
        <w:spacing w:before="8"/>
        <w:rPr>
          <w:b/>
        </w:rPr>
      </w:pPr>
    </w:p>
    <w:p>
      <w:pPr>
        <w:spacing w:before="0" w:line="252" w:lineRule="auto"/>
        <w:ind w:left="1410" w:right="1323" w:hanging="1"/>
        <w:jc w:val="both"/>
        <w:rPr>
          <w:sz w:val="21"/>
        </w:rPr>
      </w:pPr>
      <w:r>
        <w:rPr>
          <w:color w:val="0E0E0E"/>
          <w:w w:val="105"/>
          <w:sz w:val="21"/>
        </w:rPr>
        <w:t>Revenue is</w:t>
      </w:r>
      <w:r>
        <w:rPr>
          <w:color w:val="0E0E0E"/>
          <w:spacing w:val="-10"/>
          <w:w w:val="105"/>
          <w:sz w:val="21"/>
        </w:rPr>
        <w:t> </w:t>
      </w:r>
      <w:r>
        <w:rPr>
          <w:color w:val="0E0E0E"/>
          <w:w w:val="105"/>
          <w:sz w:val="21"/>
        </w:rPr>
        <w:t>measured at</w:t>
      </w:r>
      <w:r>
        <w:rPr>
          <w:color w:val="0E0E0E"/>
          <w:spacing w:val="-9"/>
          <w:w w:val="105"/>
          <w:sz w:val="21"/>
        </w:rPr>
        <w:t> </w:t>
      </w:r>
      <w:r>
        <w:rPr>
          <w:color w:val="0E0E0E"/>
          <w:w w:val="105"/>
          <w:sz w:val="21"/>
        </w:rPr>
        <w:t>fair</w:t>
      </w:r>
      <w:r>
        <w:rPr>
          <w:color w:val="0E0E0E"/>
          <w:spacing w:val="-3"/>
          <w:w w:val="105"/>
          <w:sz w:val="21"/>
        </w:rPr>
        <w:t> </w:t>
      </w:r>
      <w:r>
        <w:rPr>
          <w:color w:val="0E0E0E"/>
          <w:w w:val="105"/>
          <w:sz w:val="21"/>
        </w:rPr>
        <w:t>value</w:t>
      </w:r>
      <w:r>
        <w:rPr>
          <w:color w:val="0E0E0E"/>
          <w:spacing w:val="-3"/>
          <w:w w:val="105"/>
          <w:sz w:val="21"/>
        </w:rPr>
        <w:t> </w:t>
      </w:r>
      <w:r>
        <w:rPr>
          <w:color w:val="0E0E0E"/>
          <w:w w:val="105"/>
          <w:sz w:val="21"/>
        </w:rPr>
        <w:t>of</w:t>
      </w:r>
      <w:r>
        <w:rPr>
          <w:color w:val="0E0E0E"/>
          <w:spacing w:val="-11"/>
          <w:w w:val="105"/>
          <w:sz w:val="21"/>
        </w:rPr>
        <w:t> </w:t>
      </w:r>
      <w:r>
        <w:rPr>
          <w:color w:val="0E0E0E"/>
          <w:w w:val="105"/>
          <w:sz w:val="21"/>
        </w:rPr>
        <w:t>the</w:t>
      </w:r>
      <w:r>
        <w:rPr>
          <w:color w:val="0E0E0E"/>
          <w:spacing w:val="-12"/>
          <w:w w:val="105"/>
          <w:sz w:val="21"/>
        </w:rPr>
        <w:t> </w:t>
      </w:r>
      <w:r>
        <w:rPr>
          <w:color w:val="0E0E0E"/>
          <w:w w:val="105"/>
          <w:sz w:val="21"/>
        </w:rPr>
        <w:t>consideration received or</w:t>
      </w:r>
      <w:r>
        <w:rPr>
          <w:color w:val="0E0E0E"/>
          <w:spacing w:val="-6"/>
          <w:w w:val="105"/>
          <w:sz w:val="21"/>
        </w:rPr>
        <w:t> </w:t>
      </w:r>
      <w:r>
        <w:rPr>
          <w:color w:val="0E0E0E"/>
          <w:w w:val="105"/>
          <w:sz w:val="21"/>
        </w:rPr>
        <w:t>receivable on</w:t>
      </w:r>
      <w:r>
        <w:rPr>
          <w:color w:val="0E0E0E"/>
          <w:spacing w:val="-9"/>
          <w:w w:val="105"/>
          <w:sz w:val="21"/>
        </w:rPr>
        <w:t> </w:t>
      </w:r>
      <w:r>
        <w:rPr>
          <w:color w:val="0E0E0E"/>
          <w:w w:val="105"/>
          <w:sz w:val="21"/>
        </w:rPr>
        <w:t>an</w:t>
      </w:r>
      <w:r>
        <w:rPr>
          <w:color w:val="0E0E0E"/>
          <w:spacing w:val="-8"/>
          <w:w w:val="105"/>
          <w:sz w:val="21"/>
        </w:rPr>
        <w:t> </w:t>
      </w:r>
      <w:r>
        <w:rPr>
          <w:color w:val="0E0E0E"/>
          <w:w w:val="105"/>
          <w:sz w:val="21"/>
        </w:rPr>
        <w:t>accruals basis</w:t>
      </w:r>
      <w:r>
        <w:rPr>
          <w:color w:val="0E0E0E"/>
          <w:spacing w:val="-16"/>
          <w:w w:val="105"/>
          <w:sz w:val="21"/>
        </w:rPr>
        <w:t> </w:t>
      </w:r>
      <w:r>
        <w:rPr>
          <w:color w:val="0E0E0E"/>
          <w:w w:val="105"/>
          <w:sz w:val="21"/>
        </w:rPr>
        <w:t>in</w:t>
      </w:r>
      <w:r>
        <w:rPr>
          <w:color w:val="0E0E0E"/>
          <w:spacing w:val="-15"/>
          <w:w w:val="105"/>
          <w:sz w:val="21"/>
        </w:rPr>
        <w:t> </w:t>
      </w:r>
      <w:r>
        <w:rPr>
          <w:color w:val="0E0E0E"/>
          <w:w w:val="105"/>
          <w:sz w:val="21"/>
        </w:rPr>
        <w:t>the</w:t>
      </w:r>
      <w:r>
        <w:rPr>
          <w:color w:val="0E0E0E"/>
          <w:spacing w:val="-15"/>
          <w:w w:val="105"/>
          <w:sz w:val="21"/>
        </w:rPr>
        <w:t> </w:t>
      </w:r>
      <w:r>
        <w:rPr>
          <w:color w:val="0E0E0E"/>
          <w:w w:val="105"/>
          <w:sz w:val="21"/>
        </w:rPr>
        <w:t>period</w:t>
      </w:r>
      <w:r>
        <w:rPr>
          <w:color w:val="0E0E0E"/>
          <w:spacing w:val="-16"/>
          <w:w w:val="105"/>
          <w:sz w:val="21"/>
        </w:rPr>
        <w:t> </w:t>
      </w:r>
      <w:r>
        <w:rPr>
          <w:color w:val="0E0E0E"/>
          <w:w w:val="105"/>
          <w:sz w:val="21"/>
        </w:rPr>
        <w:t>in</w:t>
      </w:r>
      <w:r>
        <w:rPr>
          <w:color w:val="0E0E0E"/>
          <w:spacing w:val="-15"/>
          <w:w w:val="105"/>
          <w:sz w:val="21"/>
        </w:rPr>
        <w:t> </w:t>
      </w:r>
      <w:r>
        <w:rPr>
          <w:color w:val="0E0E0E"/>
          <w:w w:val="105"/>
          <w:sz w:val="21"/>
        </w:rPr>
        <w:t>which</w:t>
      </w:r>
      <w:r>
        <w:rPr>
          <w:color w:val="0E0E0E"/>
          <w:spacing w:val="-15"/>
          <w:w w:val="105"/>
          <w:sz w:val="21"/>
        </w:rPr>
        <w:t> </w:t>
      </w:r>
      <w:r>
        <w:rPr>
          <w:color w:val="0E0E0E"/>
          <w:w w:val="105"/>
          <w:sz w:val="21"/>
        </w:rPr>
        <w:t>the</w:t>
      </w:r>
      <w:r>
        <w:rPr>
          <w:color w:val="0E0E0E"/>
          <w:spacing w:val="-16"/>
          <w:w w:val="105"/>
          <w:sz w:val="21"/>
        </w:rPr>
        <w:t> </w:t>
      </w:r>
      <w:r>
        <w:rPr>
          <w:color w:val="0E0E0E"/>
          <w:w w:val="105"/>
          <w:sz w:val="21"/>
        </w:rPr>
        <w:t>supply</w:t>
      </w:r>
      <w:r>
        <w:rPr>
          <w:color w:val="0E0E0E"/>
          <w:spacing w:val="-15"/>
          <w:w w:val="105"/>
          <w:sz w:val="21"/>
        </w:rPr>
        <w:t> </w:t>
      </w:r>
      <w:r>
        <w:rPr>
          <w:color w:val="0E0E0E"/>
          <w:w w:val="105"/>
          <w:sz w:val="21"/>
        </w:rPr>
        <w:t>or</w:t>
      </w:r>
      <w:r>
        <w:rPr>
          <w:color w:val="0E0E0E"/>
          <w:spacing w:val="-15"/>
          <w:w w:val="105"/>
          <w:sz w:val="21"/>
        </w:rPr>
        <w:t> </w:t>
      </w:r>
      <w:r>
        <w:rPr>
          <w:color w:val="0E0E0E"/>
          <w:w w:val="105"/>
          <w:sz w:val="21"/>
        </w:rPr>
        <w:t>service</w:t>
      </w:r>
      <w:r>
        <w:rPr>
          <w:color w:val="0E0E0E"/>
          <w:spacing w:val="-16"/>
          <w:w w:val="105"/>
          <w:sz w:val="21"/>
        </w:rPr>
        <w:t> </w:t>
      </w:r>
      <w:r>
        <w:rPr>
          <w:color w:val="0E0E0E"/>
          <w:w w:val="105"/>
          <w:sz w:val="21"/>
        </w:rPr>
        <w:t>is</w:t>
      </w:r>
      <w:r>
        <w:rPr>
          <w:color w:val="0E0E0E"/>
          <w:spacing w:val="-15"/>
          <w:w w:val="105"/>
          <w:sz w:val="21"/>
        </w:rPr>
        <w:t> </w:t>
      </w:r>
      <w:r>
        <w:rPr>
          <w:color w:val="0E0E0E"/>
          <w:w w:val="105"/>
          <w:sz w:val="21"/>
        </w:rPr>
        <w:t>delivered</w:t>
      </w:r>
      <w:r>
        <w:rPr>
          <w:color w:val="0E0E0E"/>
          <w:spacing w:val="-15"/>
          <w:w w:val="105"/>
          <w:sz w:val="21"/>
        </w:rPr>
        <w:t> </w:t>
      </w:r>
      <w:r>
        <w:rPr>
          <w:color w:val="0E0E0E"/>
          <w:w w:val="105"/>
          <w:sz w:val="21"/>
        </w:rPr>
        <w:t>by</w:t>
      </w:r>
      <w:r>
        <w:rPr>
          <w:color w:val="0E0E0E"/>
          <w:spacing w:val="-16"/>
          <w:w w:val="105"/>
          <w:sz w:val="21"/>
        </w:rPr>
        <w:t> </w:t>
      </w:r>
      <w:r>
        <w:rPr>
          <w:color w:val="0E0E0E"/>
          <w:w w:val="105"/>
          <w:sz w:val="21"/>
        </w:rPr>
        <w:t>the</w:t>
      </w:r>
      <w:r>
        <w:rPr>
          <w:color w:val="0E0E0E"/>
          <w:spacing w:val="-15"/>
          <w:w w:val="105"/>
          <w:sz w:val="21"/>
        </w:rPr>
        <w:t> </w:t>
      </w:r>
      <w:r>
        <w:rPr>
          <w:color w:val="0E0E0E"/>
          <w:w w:val="105"/>
          <w:sz w:val="21"/>
        </w:rPr>
        <w:t>Council.</w:t>
      </w:r>
      <w:r>
        <w:rPr>
          <w:color w:val="0E0E0E"/>
          <w:spacing w:val="-3"/>
          <w:w w:val="105"/>
          <w:sz w:val="21"/>
        </w:rPr>
        <w:t> </w:t>
      </w:r>
      <w:r>
        <w:rPr>
          <w:color w:val="0E0E0E"/>
          <w:w w:val="105"/>
          <w:sz w:val="21"/>
        </w:rPr>
        <w:t>Revenue</w:t>
      </w:r>
      <w:r>
        <w:rPr>
          <w:color w:val="0E0E0E"/>
          <w:spacing w:val="-7"/>
          <w:w w:val="105"/>
          <w:sz w:val="21"/>
        </w:rPr>
        <w:t> </w:t>
      </w:r>
      <w:r>
        <w:rPr>
          <w:color w:val="0E0E0E"/>
          <w:w w:val="105"/>
          <w:sz w:val="21"/>
        </w:rPr>
        <w:t>includes fees, charges,</w:t>
      </w:r>
      <w:r>
        <w:rPr>
          <w:color w:val="0E0E0E"/>
          <w:w w:val="105"/>
          <w:sz w:val="21"/>
        </w:rPr>
        <w:t> rents and any</w:t>
      </w:r>
      <w:r>
        <w:rPr>
          <w:color w:val="0E0E0E"/>
          <w:w w:val="105"/>
          <w:sz w:val="21"/>
        </w:rPr>
        <w:t> other income receivable</w:t>
      </w:r>
      <w:r>
        <w:rPr>
          <w:color w:val="0E0E0E"/>
          <w:w w:val="105"/>
          <w:sz w:val="21"/>
        </w:rPr>
        <w:t> by the Council for services</w:t>
      </w:r>
      <w:r>
        <w:rPr>
          <w:color w:val="0E0E0E"/>
          <w:w w:val="105"/>
          <w:sz w:val="21"/>
        </w:rPr>
        <w:t> provided; and</w:t>
      </w:r>
      <w:r>
        <w:rPr>
          <w:color w:val="0E0E0E"/>
          <w:spacing w:val="-10"/>
          <w:w w:val="105"/>
          <w:sz w:val="21"/>
        </w:rPr>
        <w:t> </w:t>
      </w:r>
      <w:r>
        <w:rPr>
          <w:color w:val="0E0E0E"/>
          <w:w w:val="105"/>
          <w:sz w:val="21"/>
        </w:rPr>
        <w:t>excludes any</w:t>
      </w:r>
      <w:r>
        <w:rPr>
          <w:color w:val="0E0E0E"/>
          <w:spacing w:val="-4"/>
          <w:w w:val="105"/>
          <w:sz w:val="21"/>
        </w:rPr>
        <w:t> </w:t>
      </w:r>
      <w:r>
        <w:rPr>
          <w:color w:val="0E0E0E"/>
          <w:w w:val="105"/>
          <w:sz w:val="21"/>
        </w:rPr>
        <w:t>discounts, refunds and</w:t>
      </w:r>
      <w:r>
        <w:rPr>
          <w:color w:val="0E0E0E"/>
          <w:spacing w:val="-7"/>
          <w:w w:val="105"/>
          <w:sz w:val="21"/>
        </w:rPr>
        <w:t> </w:t>
      </w:r>
      <w:r>
        <w:rPr>
          <w:color w:val="0E0E0E"/>
          <w:w w:val="105"/>
          <w:sz w:val="21"/>
        </w:rPr>
        <w:t>value added</w:t>
      </w:r>
      <w:r>
        <w:rPr>
          <w:color w:val="0E0E0E"/>
          <w:spacing w:val="-4"/>
          <w:w w:val="105"/>
          <w:sz w:val="21"/>
        </w:rPr>
        <w:t> </w:t>
      </w:r>
      <w:r>
        <w:rPr>
          <w:color w:val="0E0E0E"/>
          <w:w w:val="105"/>
          <w:sz w:val="21"/>
        </w:rPr>
        <w:t>tax.</w:t>
      </w:r>
      <w:r>
        <w:rPr>
          <w:color w:val="0E0E0E"/>
          <w:spacing w:val="-4"/>
          <w:w w:val="105"/>
          <w:sz w:val="21"/>
        </w:rPr>
        <w:t> </w:t>
      </w:r>
      <w:r>
        <w:rPr>
          <w:color w:val="0E0E0E"/>
          <w:w w:val="105"/>
          <w:sz w:val="21"/>
        </w:rPr>
        <w:t>Council tax</w:t>
      </w:r>
      <w:r>
        <w:rPr>
          <w:color w:val="0E0E0E"/>
          <w:spacing w:val="-6"/>
          <w:w w:val="105"/>
          <w:sz w:val="21"/>
        </w:rPr>
        <w:t> </w:t>
      </w:r>
      <w:r>
        <w:rPr>
          <w:color w:val="0E0E0E"/>
          <w:w w:val="105"/>
          <w:sz w:val="21"/>
        </w:rPr>
        <w:t>is</w:t>
      </w:r>
      <w:r>
        <w:rPr>
          <w:color w:val="0E0E0E"/>
          <w:spacing w:val="-12"/>
          <w:w w:val="105"/>
          <w:sz w:val="21"/>
        </w:rPr>
        <w:t> </w:t>
      </w:r>
      <w:r>
        <w:rPr>
          <w:color w:val="0E0E0E"/>
          <w:w w:val="105"/>
          <w:sz w:val="21"/>
        </w:rPr>
        <w:t>measured</w:t>
      </w:r>
      <w:r>
        <w:rPr>
          <w:color w:val="0E0E0E"/>
          <w:spacing w:val="-1"/>
          <w:w w:val="105"/>
          <w:sz w:val="21"/>
        </w:rPr>
        <w:t> </w:t>
      </w:r>
      <w:r>
        <w:rPr>
          <w:color w:val="0E0E0E"/>
          <w:w w:val="105"/>
          <w:sz w:val="21"/>
        </w:rPr>
        <w:t>at</w:t>
      </w:r>
      <w:r>
        <w:rPr>
          <w:color w:val="0E0E0E"/>
          <w:spacing w:val="-7"/>
          <w:w w:val="105"/>
          <w:sz w:val="21"/>
        </w:rPr>
        <w:t> </w:t>
      </w:r>
      <w:r>
        <w:rPr>
          <w:color w:val="0E0E0E"/>
          <w:w w:val="105"/>
          <w:sz w:val="21"/>
        </w:rPr>
        <w:t>the</w:t>
      </w:r>
      <w:r>
        <w:rPr>
          <w:color w:val="0E0E0E"/>
          <w:spacing w:val="-5"/>
          <w:w w:val="105"/>
          <w:sz w:val="21"/>
        </w:rPr>
        <w:t> </w:t>
      </w:r>
      <w:r>
        <w:rPr>
          <w:color w:val="0E0E0E"/>
          <w:w w:val="105"/>
          <w:sz w:val="21"/>
        </w:rPr>
        <w:t>full amount receivable (net of any impairment losses).</w:t>
      </w:r>
    </w:p>
    <w:p>
      <w:pPr>
        <w:pStyle w:val="BodyText"/>
        <w:spacing w:before="9"/>
        <w:rPr>
          <w:sz w:val="21"/>
        </w:rPr>
      </w:pPr>
    </w:p>
    <w:p>
      <w:pPr>
        <w:spacing w:before="0" w:line="254" w:lineRule="auto"/>
        <w:ind w:left="1409" w:right="1316" w:firstLine="3"/>
        <w:jc w:val="both"/>
        <w:rPr>
          <w:sz w:val="21"/>
        </w:rPr>
      </w:pPr>
      <w:r>
        <w:rPr>
          <w:color w:val="0E0E0E"/>
          <w:w w:val="105"/>
          <w:sz w:val="21"/>
        </w:rPr>
        <w:t>The</w:t>
      </w:r>
      <w:r>
        <w:rPr>
          <w:color w:val="0E0E0E"/>
          <w:spacing w:val="-7"/>
          <w:w w:val="105"/>
          <w:sz w:val="21"/>
        </w:rPr>
        <w:t> </w:t>
      </w:r>
      <w:r>
        <w:rPr>
          <w:color w:val="0E0E0E"/>
          <w:w w:val="105"/>
          <w:sz w:val="21"/>
        </w:rPr>
        <w:t>above</w:t>
      </w:r>
      <w:r>
        <w:rPr>
          <w:color w:val="0E0E0E"/>
          <w:spacing w:val="-4"/>
          <w:w w:val="105"/>
          <w:sz w:val="21"/>
        </w:rPr>
        <w:t> </w:t>
      </w:r>
      <w:r>
        <w:rPr>
          <w:color w:val="0E0E0E"/>
          <w:w w:val="105"/>
          <w:sz w:val="21"/>
        </w:rPr>
        <w:t>policy</w:t>
      </w:r>
      <w:r>
        <w:rPr>
          <w:color w:val="0E0E0E"/>
          <w:spacing w:val="-5"/>
          <w:w w:val="105"/>
          <w:sz w:val="21"/>
        </w:rPr>
        <w:t> </w:t>
      </w:r>
      <w:r>
        <w:rPr>
          <w:color w:val="0E0E0E"/>
          <w:w w:val="105"/>
          <w:sz w:val="21"/>
        </w:rPr>
        <w:t>is</w:t>
      </w:r>
      <w:r>
        <w:rPr>
          <w:color w:val="0E0E0E"/>
          <w:spacing w:val="-9"/>
          <w:w w:val="105"/>
          <w:sz w:val="21"/>
        </w:rPr>
        <w:t> </w:t>
      </w:r>
      <w:r>
        <w:rPr>
          <w:color w:val="0E0E0E"/>
          <w:w w:val="105"/>
          <w:sz w:val="21"/>
        </w:rPr>
        <w:t>consistent with</w:t>
      </w:r>
      <w:r>
        <w:rPr>
          <w:color w:val="0E0E0E"/>
          <w:spacing w:val="-11"/>
          <w:w w:val="105"/>
          <w:sz w:val="21"/>
        </w:rPr>
        <w:t> </w:t>
      </w:r>
      <w:r>
        <w:rPr>
          <w:color w:val="0E0E0E"/>
          <w:w w:val="105"/>
          <w:sz w:val="21"/>
        </w:rPr>
        <w:t>IFRS</w:t>
      </w:r>
      <w:r>
        <w:rPr>
          <w:color w:val="0E0E0E"/>
          <w:spacing w:val="-8"/>
          <w:w w:val="105"/>
          <w:sz w:val="21"/>
        </w:rPr>
        <w:t> </w:t>
      </w:r>
      <w:r>
        <w:rPr>
          <w:color w:val="0E0E0E"/>
          <w:w w:val="105"/>
          <w:sz w:val="21"/>
        </w:rPr>
        <w:t>15</w:t>
      </w:r>
      <w:r>
        <w:rPr>
          <w:color w:val="0E0E0E"/>
          <w:spacing w:val="-11"/>
          <w:w w:val="105"/>
          <w:sz w:val="21"/>
        </w:rPr>
        <w:t> </w:t>
      </w:r>
      <w:r>
        <w:rPr>
          <w:color w:val="0E0E0E"/>
          <w:w w:val="105"/>
          <w:sz w:val="21"/>
        </w:rPr>
        <w:t>Revenue Recognition; recognising income</w:t>
      </w:r>
      <w:r>
        <w:rPr>
          <w:color w:val="0E0E0E"/>
          <w:spacing w:val="-3"/>
          <w:w w:val="105"/>
          <w:sz w:val="21"/>
        </w:rPr>
        <w:t> </w:t>
      </w:r>
      <w:r>
        <w:rPr>
          <w:color w:val="0E0E0E"/>
          <w:w w:val="105"/>
          <w:sz w:val="21"/>
        </w:rPr>
        <w:t>when the Council meets performance</w:t>
      </w:r>
      <w:r>
        <w:rPr>
          <w:color w:val="0E0E0E"/>
          <w:w w:val="105"/>
          <w:sz w:val="21"/>
        </w:rPr>
        <w:t> obligations by transferring</w:t>
      </w:r>
      <w:r>
        <w:rPr>
          <w:color w:val="0E0E0E"/>
          <w:w w:val="105"/>
          <w:sz w:val="21"/>
        </w:rPr>
        <w:t> control of goods</w:t>
      </w:r>
      <w:r>
        <w:rPr>
          <w:color w:val="0E0E0E"/>
          <w:w w:val="105"/>
          <w:sz w:val="21"/>
        </w:rPr>
        <w:t> and services</w:t>
      </w:r>
      <w:r>
        <w:rPr>
          <w:color w:val="0E0E0E"/>
          <w:w w:val="105"/>
          <w:sz w:val="21"/>
        </w:rPr>
        <w:t> to </w:t>
      </w:r>
      <w:r>
        <w:rPr>
          <w:color w:val="0E0E0E"/>
          <w:spacing w:val="-2"/>
          <w:w w:val="105"/>
          <w:sz w:val="21"/>
        </w:rPr>
        <w:t>customers.</w:t>
      </w:r>
    </w:p>
    <w:p>
      <w:pPr>
        <w:pStyle w:val="Heading3"/>
        <w:spacing w:before="237"/>
        <w:ind w:left="1411"/>
      </w:pPr>
      <w:r>
        <w:rPr>
          <w:color w:val="0E0E0E"/>
        </w:rPr>
        <w:t>Property,</w:t>
      </w:r>
      <w:r>
        <w:rPr>
          <w:color w:val="0E0E0E"/>
          <w:spacing w:val="7"/>
        </w:rPr>
        <w:t> </w:t>
      </w:r>
      <w:r>
        <w:rPr>
          <w:color w:val="0E0E0E"/>
        </w:rPr>
        <w:t>Plant</w:t>
      </w:r>
      <w:r>
        <w:rPr>
          <w:color w:val="0E0E0E"/>
          <w:spacing w:val="-9"/>
        </w:rPr>
        <w:t> </w:t>
      </w:r>
      <w:r>
        <w:rPr>
          <w:color w:val="0E0E0E"/>
        </w:rPr>
        <w:t>and</w:t>
      </w:r>
      <w:r>
        <w:rPr>
          <w:color w:val="0E0E0E"/>
          <w:spacing w:val="-12"/>
        </w:rPr>
        <w:t> </w:t>
      </w:r>
      <w:r>
        <w:rPr>
          <w:color w:val="0E0E0E"/>
          <w:spacing w:val="-2"/>
        </w:rPr>
        <w:t>Equipment</w:t>
      </w:r>
    </w:p>
    <w:p>
      <w:pPr>
        <w:pStyle w:val="BodyText"/>
        <w:spacing w:before="13"/>
        <w:rPr>
          <w:b/>
        </w:rPr>
      </w:pPr>
    </w:p>
    <w:p>
      <w:pPr>
        <w:spacing w:before="0"/>
        <w:ind w:left="1418" w:right="0" w:firstLine="0"/>
        <w:jc w:val="left"/>
        <w:rPr>
          <w:i/>
          <w:sz w:val="21"/>
        </w:rPr>
      </w:pPr>
      <w:r>
        <w:rPr>
          <w:i/>
          <w:color w:val="0E0E0E"/>
          <w:w w:val="105"/>
          <w:sz w:val="21"/>
        </w:rPr>
        <w:t>Basis</w:t>
      </w:r>
      <w:r>
        <w:rPr>
          <w:i/>
          <w:color w:val="0E0E0E"/>
          <w:spacing w:val="-5"/>
          <w:w w:val="105"/>
          <w:sz w:val="21"/>
        </w:rPr>
        <w:t> </w:t>
      </w:r>
      <w:r>
        <w:rPr>
          <w:i/>
          <w:color w:val="0E0E0E"/>
          <w:w w:val="105"/>
          <w:sz w:val="21"/>
        </w:rPr>
        <w:t>of</w:t>
      </w:r>
      <w:r>
        <w:rPr>
          <w:i/>
          <w:color w:val="0E0E0E"/>
          <w:spacing w:val="-4"/>
          <w:w w:val="105"/>
          <w:sz w:val="21"/>
        </w:rPr>
        <w:t> </w:t>
      </w:r>
      <w:r>
        <w:rPr>
          <w:i/>
          <w:color w:val="0E0E0E"/>
          <w:spacing w:val="-2"/>
          <w:w w:val="105"/>
          <w:sz w:val="21"/>
        </w:rPr>
        <w:t>Recognition</w:t>
      </w:r>
    </w:p>
    <w:p>
      <w:pPr>
        <w:pStyle w:val="BodyText"/>
        <w:spacing w:before="21"/>
        <w:rPr>
          <w:i/>
          <w:sz w:val="21"/>
        </w:rPr>
      </w:pPr>
    </w:p>
    <w:p>
      <w:pPr>
        <w:spacing w:before="0" w:line="252" w:lineRule="auto"/>
        <w:ind w:left="1414" w:right="1311" w:firstLine="3"/>
        <w:jc w:val="both"/>
        <w:rPr>
          <w:sz w:val="21"/>
        </w:rPr>
      </w:pPr>
      <w:r>
        <w:rPr>
          <w:color w:val="0E0E0E"/>
          <w:w w:val="105"/>
          <w:sz w:val="21"/>
        </w:rPr>
        <w:t>The</w:t>
      </w:r>
      <w:r>
        <w:rPr>
          <w:color w:val="0E0E0E"/>
          <w:spacing w:val="-12"/>
          <w:w w:val="105"/>
          <w:sz w:val="21"/>
        </w:rPr>
        <w:t> </w:t>
      </w:r>
      <w:r>
        <w:rPr>
          <w:color w:val="0E0E0E"/>
          <w:w w:val="105"/>
          <w:sz w:val="21"/>
        </w:rPr>
        <w:t>cost</w:t>
      </w:r>
      <w:r>
        <w:rPr>
          <w:color w:val="0E0E0E"/>
          <w:spacing w:val="-6"/>
          <w:w w:val="105"/>
          <w:sz w:val="21"/>
        </w:rPr>
        <w:t> </w:t>
      </w:r>
      <w:r>
        <w:rPr>
          <w:color w:val="0E0E0E"/>
          <w:w w:val="105"/>
          <w:sz w:val="21"/>
        </w:rPr>
        <w:t>of</w:t>
      </w:r>
      <w:r>
        <w:rPr>
          <w:color w:val="0E0E0E"/>
          <w:spacing w:val="-11"/>
          <w:w w:val="105"/>
          <w:sz w:val="21"/>
        </w:rPr>
        <w:t> </w:t>
      </w:r>
      <w:r>
        <w:rPr>
          <w:color w:val="0E0E0E"/>
          <w:w w:val="105"/>
          <w:sz w:val="21"/>
        </w:rPr>
        <w:t>an</w:t>
      </w:r>
      <w:r>
        <w:rPr>
          <w:color w:val="0E0E0E"/>
          <w:spacing w:val="-16"/>
          <w:w w:val="105"/>
          <w:sz w:val="21"/>
        </w:rPr>
        <w:t> </w:t>
      </w:r>
      <w:r>
        <w:rPr>
          <w:color w:val="0E0E0E"/>
          <w:w w:val="105"/>
          <w:sz w:val="21"/>
        </w:rPr>
        <w:t>item</w:t>
      </w:r>
      <w:r>
        <w:rPr>
          <w:color w:val="0E0E0E"/>
          <w:spacing w:val="-11"/>
          <w:w w:val="105"/>
          <w:sz w:val="21"/>
        </w:rPr>
        <w:t> </w:t>
      </w:r>
      <w:r>
        <w:rPr>
          <w:color w:val="0E0E0E"/>
          <w:w w:val="105"/>
          <w:sz w:val="21"/>
        </w:rPr>
        <w:t>of</w:t>
      </w:r>
      <w:r>
        <w:rPr>
          <w:color w:val="0E0E0E"/>
          <w:spacing w:val="-13"/>
          <w:w w:val="105"/>
          <w:sz w:val="21"/>
        </w:rPr>
        <w:t> </w:t>
      </w:r>
      <w:r>
        <w:rPr>
          <w:color w:val="0E0E0E"/>
          <w:w w:val="105"/>
          <w:sz w:val="21"/>
        </w:rPr>
        <w:t>property, plant</w:t>
      </w:r>
      <w:r>
        <w:rPr>
          <w:color w:val="0E0E0E"/>
          <w:spacing w:val="-3"/>
          <w:w w:val="105"/>
          <w:sz w:val="21"/>
        </w:rPr>
        <w:t> </w:t>
      </w:r>
      <w:r>
        <w:rPr>
          <w:color w:val="0E0E0E"/>
          <w:w w:val="105"/>
          <w:sz w:val="21"/>
        </w:rPr>
        <w:t>and</w:t>
      </w:r>
      <w:r>
        <w:rPr>
          <w:color w:val="0E0E0E"/>
          <w:spacing w:val="-16"/>
          <w:w w:val="105"/>
          <w:sz w:val="21"/>
        </w:rPr>
        <w:t> </w:t>
      </w:r>
      <w:r>
        <w:rPr>
          <w:color w:val="0E0E0E"/>
          <w:w w:val="105"/>
          <w:sz w:val="21"/>
        </w:rPr>
        <w:t>equipment is</w:t>
      </w:r>
      <w:r>
        <w:rPr>
          <w:color w:val="0E0E0E"/>
          <w:spacing w:val="-11"/>
          <w:w w:val="105"/>
          <w:sz w:val="21"/>
        </w:rPr>
        <w:t> </w:t>
      </w:r>
      <w:r>
        <w:rPr>
          <w:color w:val="0E0E0E"/>
          <w:w w:val="105"/>
          <w:sz w:val="21"/>
        </w:rPr>
        <w:t>recognised</w:t>
      </w:r>
      <w:r>
        <w:rPr>
          <w:color w:val="0E0E0E"/>
          <w:spacing w:val="-3"/>
          <w:w w:val="105"/>
          <w:sz w:val="21"/>
        </w:rPr>
        <w:t> </w:t>
      </w:r>
      <w:r>
        <w:rPr>
          <w:color w:val="0E0E0E"/>
          <w:w w:val="105"/>
          <w:sz w:val="21"/>
        </w:rPr>
        <w:t>(and</w:t>
      </w:r>
      <w:r>
        <w:rPr>
          <w:color w:val="0E0E0E"/>
          <w:spacing w:val="-13"/>
          <w:w w:val="105"/>
          <w:sz w:val="21"/>
        </w:rPr>
        <w:t> </w:t>
      </w:r>
      <w:r>
        <w:rPr>
          <w:color w:val="0E0E0E"/>
          <w:w w:val="105"/>
          <w:sz w:val="21"/>
        </w:rPr>
        <w:t>hence</w:t>
      </w:r>
      <w:r>
        <w:rPr>
          <w:color w:val="0E0E0E"/>
          <w:spacing w:val="-10"/>
          <w:w w:val="105"/>
          <w:sz w:val="21"/>
        </w:rPr>
        <w:t> </w:t>
      </w:r>
      <w:r>
        <w:rPr>
          <w:color w:val="0E0E0E"/>
          <w:w w:val="105"/>
          <w:sz w:val="21"/>
        </w:rPr>
        <w:t>capitalised) on the Council's Balance Sheet</w:t>
      </w:r>
      <w:r>
        <w:rPr>
          <w:color w:val="0E0E0E"/>
          <w:w w:val="105"/>
          <w:sz w:val="21"/>
        </w:rPr>
        <w:t> provided that the asset</w:t>
      </w:r>
      <w:r>
        <w:rPr>
          <w:color w:val="0E0E0E"/>
          <w:w w:val="105"/>
          <w:sz w:val="21"/>
        </w:rPr>
        <w:t> yields benefits</w:t>
      </w:r>
      <w:r>
        <w:rPr>
          <w:color w:val="0E0E0E"/>
          <w:w w:val="105"/>
          <w:sz w:val="21"/>
        </w:rPr>
        <w:t> to the Council,</w:t>
      </w:r>
      <w:r>
        <w:rPr>
          <w:color w:val="0E0E0E"/>
          <w:w w:val="105"/>
          <w:sz w:val="21"/>
        </w:rPr>
        <w:t> and the service it provides is for a period of more than one year</w:t>
      </w:r>
      <w:r>
        <w:rPr>
          <w:color w:val="484848"/>
          <w:w w:val="105"/>
          <w:sz w:val="21"/>
        </w:rPr>
        <w:t>.</w:t>
      </w:r>
    </w:p>
    <w:p>
      <w:pPr>
        <w:pStyle w:val="BodyText"/>
        <w:spacing w:before="12"/>
        <w:rPr>
          <w:sz w:val="21"/>
        </w:rPr>
      </w:pPr>
    </w:p>
    <w:p>
      <w:pPr>
        <w:spacing w:before="0" w:line="252" w:lineRule="auto"/>
        <w:ind w:left="1413" w:right="1293" w:firstLine="1"/>
        <w:jc w:val="both"/>
        <w:rPr>
          <w:sz w:val="21"/>
        </w:rPr>
      </w:pPr>
      <w:r>
        <w:rPr>
          <w:color w:val="0E0E0E"/>
          <w:w w:val="105"/>
          <w:sz w:val="21"/>
        </w:rPr>
        <w:t>However, due to the high administrative</w:t>
      </w:r>
      <w:r>
        <w:rPr>
          <w:color w:val="0E0E0E"/>
          <w:spacing w:val="-7"/>
          <w:w w:val="105"/>
          <w:sz w:val="21"/>
        </w:rPr>
        <w:t> </w:t>
      </w:r>
      <w:r>
        <w:rPr>
          <w:color w:val="0E0E0E"/>
          <w:w w:val="105"/>
          <w:sz w:val="21"/>
        </w:rPr>
        <w:t>burden that would be required if all such items were included on</w:t>
      </w:r>
      <w:r>
        <w:rPr>
          <w:color w:val="0E0E0E"/>
          <w:spacing w:val="-5"/>
          <w:w w:val="105"/>
          <w:sz w:val="21"/>
        </w:rPr>
        <w:t> </w:t>
      </w:r>
      <w:r>
        <w:rPr>
          <w:color w:val="0E0E0E"/>
          <w:w w:val="105"/>
          <w:sz w:val="21"/>
        </w:rPr>
        <w:t>the asset register, a</w:t>
      </w:r>
      <w:r>
        <w:rPr>
          <w:color w:val="0E0E0E"/>
          <w:spacing w:val="-3"/>
          <w:w w:val="105"/>
          <w:sz w:val="21"/>
        </w:rPr>
        <w:t> </w:t>
      </w:r>
      <w:r>
        <w:rPr>
          <w:color w:val="0E0E0E"/>
          <w:w w:val="105"/>
          <w:sz w:val="21"/>
        </w:rPr>
        <w:t>de-minimis level has been set to</w:t>
      </w:r>
      <w:r>
        <w:rPr>
          <w:color w:val="0E0E0E"/>
          <w:spacing w:val="-1"/>
          <w:w w:val="105"/>
          <w:sz w:val="21"/>
        </w:rPr>
        <w:t> </w:t>
      </w:r>
      <w:r>
        <w:rPr>
          <w:color w:val="0E0E0E"/>
          <w:w w:val="105"/>
          <w:sz w:val="21"/>
        </w:rPr>
        <w:t>determine which items will be</w:t>
      </w:r>
      <w:r>
        <w:rPr>
          <w:color w:val="0E0E0E"/>
          <w:spacing w:val="-16"/>
          <w:w w:val="105"/>
          <w:sz w:val="21"/>
        </w:rPr>
        <w:t> </w:t>
      </w:r>
      <w:r>
        <w:rPr>
          <w:color w:val="0E0E0E"/>
          <w:w w:val="105"/>
          <w:sz w:val="21"/>
        </w:rPr>
        <w:t>capitalised</w:t>
      </w:r>
      <w:r>
        <w:rPr>
          <w:color w:val="0E0E0E"/>
          <w:spacing w:val="-15"/>
          <w:w w:val="105"/>
          <w:sz w:val="21"/>
        </w:rPr>
        <w:t> </w:t>
      </w:r>
      <w:r>
        <w:rPr>
          <w:color w:val="0E0E0E"/>
          <w:w w:val="105"/>
          <w:sz w:val="21"/>
        </w:rPr>
        <w:t>and</w:t>
      </w:r>
      <w:r>
        <w:rPr>
          <w:color w:val="0E0E0E"/>
          <w:spacing w:val="-15"/>
          <w:w w:val="105"/>
          <w:sz w:val="21"/>
        </w:rPr>
        <w:t> </w:t>
      </w:r>
      <w:r>
        <w:rPr>
          <w:color w:val="0E0E0E"/>
          <w:w w:val="105"/>
          <w:sz w:val="21"/>
        </w:rPr>
        <w:t>which</w:t>
      </w:r>
      <w:r>
        <w:rPr>
          <w:color w:val="0E0E0E"/>
          <w:spacing w:val="-16"/>
          <w:w w:val="105"/>
          <w:sz w:val="21"/>
        </w:rPr>
        <w:t> </w:t>
      </w:r>
      <w:r>
        <w:rPr>
          <w:color w:val="0E0E0E"/>
          <w:w w:val="105"/>
          <w:sz w:val="21"/>
        </w:rPr>
        <w:t>will</w:t>
      </w:r>
      <w:r>
        <w:rPr>
          <w:color w:val="0E0E0E"/>
          <w:spacing w:val="-15"/>
          <w:w w:val="105"/>
          <w:sz w:val="21"/>
        </w:rPr>
        <w:t> </w:t>
      </w:r>
      <w:r>
        <w:rPr>
          <w:color w:val="0E0E0E"/>
          <w:w w:val="105"/>
          <w:sz w:val="21"/>
        </w:rPr>
        <w:t>be</w:t>
      </w:r>
      <w:r>
        <w:rPr>
          <w:color w:val="0E0E0E"/>
          <w:spacing w:val="-15"/>
          <w:w w:val="105"/>
          <w:sz w:val="21"/>
        </w:rPr>
        <w:t> </w:t>
      </w:r>
      <w:r>
        <w:rPr>
          <w:color w:val="0E0E0E"/>
          <w:w w:val="105"/>
          <w:sz w:val="21"/>
        </w:rPr>
        <w:t>expensed</w:t>
      </w:r>
      <w:r>
        <w:rPr>
          <w:color w:val="0E0E0E"/>
          <w:spacing w:val="-16"/>
          <w:w w:val="105"/>
          <w:sz w:val="21"/>
        </w:rPr>
        <w:t> </w:t>
      </w:r>
      <w:r>
        <w:rPr>
          <w:color w:val="0E0E0E"/>
          <w:w w:val="105"/>
          <w:sz w:val="21"/>
        </w:rPr>
        <w:t>in</w:t>
      </w:r>
      <w:r>
        <w:rPr>
          <w:color w:val="0E0E0E"/>
          <w:spacing w:val="-15"/>
          <w:w w:val="105"/>
          <w:sz w:val="21"/>
        </w:rPr>
        <w:t> </w:t>
      </w:r>
      <w:r>
        <w:rPr>
          <w:color w:val="0E0E0E"/>
          <w:w w:val="105"/>
          <w:sz w:val="21"/>
        </w:rPr>
        <w:t>the</w:t>
      </w:r>
      <w:r>
        <w:rPr>
          <w:color w:val="0E0E0E"/>
          <w:spacing w:val="-15"/>
          <w:w w:val="105"/>
          <w:sz w:val="21"/>
        </w:rPr>
        <w:t> </w:t>
      </w:r>
      <w:r>
        <w:rPr>
          <w:color w:val="0E0E0E"/>
          <w:w w:val="105"/>
          <w:sz w:val="21"/>
        </w:rPr>
        <w:t>Surplus</w:t>
      </w:r>
      <w:r>
        <w:rPr>
          <w:color w:val="0E0E0E"/>
          <w:spacing w:val="-16"/>
          <w:w w:val="105"/>
          <w:sz w:val="21"/>
        </w:rPr>
        <w:t> </w:t>
      </w:r>
      <w:r>
        <w:rPr>
          <w:color w:val="0E0E0E"/>
          <w:w w:val="105"/>
          <w:sz w:val="21"/>
        </w:rPr>
        <w:t>or</w:t>
      </w:r>
      <w:r>
        <w:rPr>
          <w:color w:val="0E0E0E"/>
          <w:spacing w:val="-15"/>
          <w:w w:val="105"/>
          <w:sz w:val="21"/>
        </w:rPr>
        <w:t> </w:t>
      </w:r>
      <w:r>
        <w:rPr>
          <w:color w:val="0E0E0E"/>
          <w:w w:val="105"/>
          <w:sz w:val="21"/>
        </w:rPr>
        <w:t>Deficit</w:t>
      </w:r>
      <w:r>
        <w:rPr>
          <w:color w:val="0E0E0E"/>
          <w:spacing w:val="-15"/>
          <w:w w:val="105"/>
          <w:sz w:val="21"/>
        </w:rPr>
        <w:t> </w:t>
      </w:r>
      <w:r>
        <w:rPr>
          <w:color w:val="0E0E0E"/>
          <w:w w:val="105"/>
          <w:sz w:val="21"/>
        </w:rPr>
        <w:t>on</w:t>
      </w:r>
      <w:r>
        <w:rPr>
          <w:color w:val="0E0E0E"/>
          <w:spacing w:val="-16"/>
          <w:w w:val="105"/>
          <w:sz w:val="21"/>
        </w:rPr>
        <w:t> </w:t>
      </w:r>
      <w:r>
        <w:rPr>
          <w:color w:val="0E0E0E"/>
          <w:w w:val="105"/>
          <w:sz w:val="21"/>
        </w:rPr>
        <w:t>the</w:t>
      </w:r>
      <w:r>
        <w:rPr>
          <w:color w:val="0E0E0E"/>
          <w:spacing w:val="-15"/>
          <w:w w:val="105"/>
          <w:sz w:val="21"/>
        </w:rPr>
        <w:t> </w:t>
      </w:r>
      <w:r>
        <w:rPr>
          <w:color w:val="0E0E0E"/>
          <w:w w:val="105"/>
          <w:sz w:val="21"/>
        </w:rPr>
        <w:t>Provision</w:t>
      </w:r>
      <w:r>
        <w:rPr>
          <w:color w:val="0E0E0E"/>
          <w:spacing w:val="-15"/>
          <w:w w:val="105"/>
          <w:sz w:val="21"/>
        </w:rPr>
        <w:t> </w:t>
      </w:r>
      <w:r>
        <w:rPr>
          <w:color w:val="0E0E0E"/>
          <w:w w:val="105"/>
          <w:sz w:val="21"/>
        </w:rPr>
        <w:t>of</w:t>
      </w:r>
      <w:r>
        <w:rPr>
          <w:color w:val="0E0E0E"/>
          <w:spacing w:val="-16"/>
          <w:w w:val="105"/>
          <w:sz w:val="21"/>
        </w:rPr>
        <w:t> </w:t>
      </w:r>
      <w:r>
        <w:rPr>
          <w:color w:val="0E0E0E"/>
          <w:w w:val="105"/>
          <w:sz w:val="21"/>
        </w:rPr>
        <w:t>Services</w:t>
      </w:r>
      <w:r>
        <w:rPr>
          <w:color w:val="484848"/>
          <w:w w:val="105"/>
          <w:sz w:val="21"/>
        </w:rPr>
        <w:t>. </w:t>
      </w:r>
      <w:r>
        <w:rPr>
          <w:color w:val="0E0E0E"/>
          <w:w w:val="105"/>
          <w:sz w:val="21"/>
        </w:rPr>
        <w:t>The</w:t>
      </w:r>
      <w:r>
        <w:rPr>
          <w:color w:val="0E0E0E"/>
          <w:spacing w:val="-1"/>
          <w:w w:val="105"/>
          <w:sz w:val="21"/>
        </w:rPr>
        <w:t> </w:t>
      </w:r>
      <w:r>
        <w:rPr>
          <w:color w:val="0E0E0E"/>
          <w:w w:val="105"/>
          <w:sz w:val="21"/>
        </w:rPr>
        <w:t>de-minimis level</w:t>
      </w:r>
      <w:r>
        <w:rPr>
          <w:color w:val="0E0E0E"/>
          <w:spacing w:val="-4"/>
          <w:w w:val="105"/>
          <w:sz w:val="21"/>
        </w:rPr>
        <w:t> </w:t>
      </w:r>
      <w:r>
        <w:rPr>
          <w:color w:val="0E0E0E"/>
          <w:w w:val="105"/>
          <w:sz w:val="21"/>
        </w:rPr>
        <w:t>is applied against the</w:t>
      </w:r>
      <w:r>
        <w:rPr>
          <w:color w:val="0E0E0E"/>
          <w:spacing w:val="-5"/>
          <w:w w:val="105"/>
          <w:sz w:val="21"/>
        </w:rPr>
        <w:t> </w:t>
      </w:r>
      <w:r>
        <w:rPr>
          <w:color w:val="0E0E0E"/>
          <w:w w:val="105"/>
          <w:sz w:val="21"/>
        </w:rPr>
        <w:t>collective total</w:t>
      </w:r>
      <w:r>
        <w:rPr>
          <w:color w:val="0E0E0E"/>
          <w:spacing w:val="-2"/>
          <w:w w:val="105"/>
          <w:sz w:val="21"/>
        </w:rPr>
        <w:t> </w:t>
      </w:r>
      <w:r>
        <w:rPr>
          <w:color w:val="0E0E0E"/>
          <w:w w:val="105"/>
          <w:sz w:val="21"/>
        </w:rPr>
        <w:t>of project costs</w:t>
      </w:r>
      <w:r>
        <w:rPr>
          <w:color w:val="0E0E0E"/>
          <w:spacing w:val="-2"/>
          <w:w w:val="105"/>
          <w:sz w:val="21"/>
        </w:rPr>
        <w:t> </w:t>
      </w:r>
      <w:r>
        <w:rPr>
          <w:color w:val="0E0E0E"/>
          <w:w w:val="105"/>
          <w:sz w:val="21"/>
        </w:rPr>
        <w:t>except for</w:t>
      </w:r>
      <w:r>
        <w:rPr>
          <w:color w:val="0E0E0E"/>
          <w:spacing w:val="-2"/>
          <w:w w:val="105"/>
          <w:sz w:val="21"/>
        </w:rPr>
        <w:t> </w:t>
      </w:r>
      <w:r>
        <w:rPr>
          <w:color w:val="0E0E0E"/>
          <w:w w:val="105"/>
          <w:sz w:val="21"/>
        </w:rPr>
        <w:t>items of Vehicles, Plant &amp;</w:t>
      </w:r>
      <w:r>
        <w:rPr>
          <w:color w:val="0E0E0E"/>
          <w:spacing w:val="-1"/>
          <w:w w:val="105"/>
          <w:sz w:val="21"/>
        </w:rPr>
        <w:t> </w:t>
      </w:r>
      <w:r>
        <w:rPr>
          <w:color w:val="0E0E0E"/>
          <w:w w:val="105"/>
          <w:sz w:val="21"/>
        </w:rPr>
        <w:t>Equipment which are measured on an</w:t>
      </w:r>
      <w:r>
        <w:rPr>
          <w:color w:val="0E0E0E"/>
          <w:spacing w:val="-3"/>
          <w:w w:val="105"/>
          <w:sz w:val="21"/>
        </w:rPr>
        <w:t> </w:t>
      </w:r>
      <w:r>
        <w:rPr>
          <w:color w:val="0E0E0E"/>
          <w:w w:val="105"/>
          <w:sz w:val="21"/>
        </w:rPr>
        <w:t>individual item basis.</w:t>
      </w:r>
    </w:p>
    <w:p>
      <w:pPr>
        <w:pStyle w:val="BodyText"/>
        <w:spacing w:before="11"/>
        <w:rPr>
          <w:sz w:val="19"/>
        </w:rPr>
      </w:pPr>
    </w:p>
    <w:tbl>
      <w:tblPr>
        <w:tblW w:w="0" w:type="auto"/>
        <w:jc w:val="left"/>
        <w:tblInd w:w="142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Look w:val="01E0"/>
      </w:tblPr>
      <w:tblGrid>
        <w:gridCol w:w="4519"/>
        <w:gridCol w:w="4529"/>
      </w:tblGrid>
      <w:tr>
        <w:trPr>
          <w:trHeight w:val="244" w:hRule="atLeast"/>
        </w:trPr>
        <w:tc>
          <w:tcPr>
            <w:tcW w:w="4519" w:type="dxa"/>
          </w:tcPr>
          <w:p>
            <w:pPr>
              <w:pStyle w:val="TableParagraph"/>
              <w:spacing w:before="12" w:line="212" w:lineRule="exact"/>
              <w:ind w:left="1417"/>
              <w:rPr>
                <w:b/>
                <w:sz w:val="22"/>
              </w:rPr>
            </w:pPr>
            <w:r>
              <w:rPr>
                <w:b/>
                <w:color w:val="0E0E0E"/>
                <w:sz w:val="22"/>
              </w:rPr>
              <w:t>Asset</w:t>
            </w:r>
            <w:r>
              <w:rPr>
                <w:b/>
                <w:color w:val="0E0E0E"/>
                <w:spacing w:val="-4"/>
                <w:sz w:val="22"/>
              </w:rPr>
              <w:t> </w:t>
            </w:r>
            <w:r>
              <w:rPr>
                <w:b/>
                <w:color w:val="0E0E0E"/>
                <w:spacing w:val="-2"/>
                <w:sz w:val="22"/>
              </w:rPr>
              <w:t>Cateaory:</w:t>
            </w:r>
          </w:p>
        </w:tc>
        <w:tc>
          <w:tcPr>
            <w:tcW w:w="4529" w:type="dxa"/>
          </w:tcPr>
          <w:p>
            <w:pPr>
              <w:pStyle w:val="TableParagraph"/>
              <w:spacing w:before="7" w:line="217" w:lineRule="exact"/>
              <w:ind w:left="1354"/>
              <w:rPr>
                <w:b/>
                <w:sz w:val="22"/>
              </w:rPr>
            </w:pPr>
            <w:r>
              <w:rPr>
                <w:b/>
                <w:color w:val="0E0E0E"/>
                <w:sz w:val="22"/>
              </w:rPr>
              <w:t>De-minimis</w:t>
            </w:r>
            <w:r>
              <w:rPr>
                <w:b/>
                <w:color w:val="0E0E0E"/>
                <w:spacing w:val="-3"/>
                <w:sz w:val="22"/>
              </w:rPr>
              <w:t> </w:t>
            </w:r>
            <w:r>
              <w:rPr>
                <w:b/>
                <w:color w:val="0E0E0E"/>
                <w:spacing w:val="-2"/>
                <w:sz w:val="22"/>
              </w:rPr>
              <w:t>level:</w:t>
            </w:r>
          </w:p>
        </w:tc>
      </w:tr>
      <w:tr>
        <w:trPr>
          <w:trHeight w:val="249" w:hRule="atLeast"/>
        </w:trPr>
        <w:tc>
          <w:tcPr>
            <w:tcW w:w="4519" w:type="dxa"/>
          </w:tcPr>
          <w:p>
            <w:pPr>
              <w:pStyle w:val="TableParagraph"/>
              <w:spacing w:before="26" w:line="203" w:lineRule="exact"/>
              <w:ind w:left="114"/>
              <w:rPr>
                <w:sz w:val="21"/>
              </w:rPr>
            </w:pPr>
            <w:r>
              <w:rPr>
                <w:color w:val="0E0E0E"/>
                <w:sz w:val="21"/>
              </w:rPr>
              <w:t>Other</w:t>
            </w:r>
            <w:r>
              <w:rPr>
                <w:color w:val="0E0E0E"/>
                <w:spacing w:val="22"/>
                <w:sz w:val="21"/>
              </w:rPr>
              <w:t> </w:t>
            </w:r>
            <w:r>
              <w:rPr>
                <w:color w:val="0E0E0E"/>
                <w:sz w:val="21"/>
              </w:rPr>
              <w:t>land</w:t>
            </w:r>
            <w:r>
              <w:rPr>
                <w:color w:val="0E0E0E"/>
                <w:spacing w:val="17"/>
                <w:sz w:val="21"/>
              </w:rPr>
              <w:t> </w:t>
            </w:r>
            <w:r>
              <w:rPr>
                <w:color w:val="0E0E0E"/>
                <w:sz w:val="21"/>
              </w:rPr>
              <w:t>&amp;</w:t>
            </w:r>
            <w:r>
              <w:rPr>
                <w:color w:val="0E0E0E"/>
                <w:spacing w:val="16"/>
                <w:sz w:val="21"/>
              </w:rPr>
              <w:t> </w:t>
            </w:r>
            <w:r>
              <w:rPr>
                <w:color w:val="0E0E0E"/>
                <w:spacing w:val="-2"/>
                <w:sz w:val="21"/>
              </w:rPr>
              <w:t>buildinQs</w:t>
            </w:r>
          </w:p>
        </w:tc>
        <w:tc>
          <w:tcPr>
            <w:tcW w:w="4529" w:type="dxa"/>
          </w:tcPr>
          <w:p>
            <w:pPr>
              <w:pStyle w:val="TableParagraph"/>
              <w:spacing w:before="21" w:line="208" w:lineRule="exact"/>
              <w:ind w:left="117"/>
              <w:rPr>
                <w:sz w:val="21"/>
              </w:rPr>
            </w:pPr>
            <w:r>
              <w:rPr>
                <w:color w:val="0E0E0E"/>
                <w:spacing w:val="-2"/>
                <w:w w:val="105"/>
                <w:sz w:val="21"/>
              </w:rPr>
              <w:t>£5</w:t>
            </w:r>
            <w:r>
              <w:rPr>
                <w:color w:val="606060"/>
                <w:spacing w:val="-2"/>
                <w:w w:val="105"/>
                <w:sz w:val="21"/>
              </w:rPr>
              <w:t>,</w:t>
            </w:r>
            <w:r>
              <w:rPr>
                <w:color w:val="0E0E0E"/>
                <w:spacing w:val="-2"/>
                <w:w w:val="105"/>
                <w:sz w:val="21"/>
              </w:rPr>
              <w:t>000</w:t>
            </w:r>
          </w:p>
        </w:tc>
      </w:tr>
      <w:tr>
        <w:trPr>
          <w:trHeight w:val="249" w:hRule="atLeast"/>
        </w:trPr>
        <w:tc>
          <w:tcPr>
            <w:tcW w:w="4519" w:type="dxa"/>
          </w:tcPr>
          <w:p>
            <w:pPr>
              <w:pStyle w:val="TableParagraph"/>
              <w:spacing w:before="21" w:line="208" w:lineRule="exact"/>
              <w:ind w:left="114"/>
              <w:rPr>
                <w:sz w:val="21"/>
              </w:rPr>
            </w:pPr>
            <w:r>
              <w:rPr>
                <w:color w:val="0E0E0E"/>
                <w:w w:val="105"/>
                <w:sz w:val="21"/>
              </w:rPr>
              <w:t>Vehicles</w:t>
            </w:r>
            <w:r>
              <w:rPr>
                <w:color w:val="484848"/>
                <w:w w:val="105"/>
                <w:sz w:val="21"/>
              </w:rPr>
              <w:t>,</w:t>
            </w:r>
            <w:r>
              <w:rPr>
                <w:color w:val="484848"/>
                <w:spacing w:val="-8"/>
                <w:w w:val="105"/>
                <w:sz w:val="21"/>
              </w:rPr>
              <w:t> </w:t>
            </w:r>
            <w:r>
              <w:rPr>
                <w:color w:val="0E0E0E"/>
                <w:w w:val="105"/>
                <w:sz w:val="21"/>
              </w:rPr>
              <w:t>plant</w:t>
            </w:r>
            <w:r>
              <w:rPr>
                <w:color w:val="484848"/>
                <w:w w:val="105"/>
                <w:sz w:val="21"/>
              </w:rPr>
              <w:t>,</w:t>
            </w:r>
            <w:r>
              <w:rPr>
                <w:color w:val="484848"/>
                <w:spacing w:val="-20"/>
                <w:w w:val="105"/>
                <w:sz w:val="21"/>
              </w:rPr>
              <w:t> </w:t>
            </w:r>
            <w:r>
              <w:rPr>
                <w:color w:val="0E0E0E"/>
                <w:w w:val="105"/>
                <w:sz w:val="21"/>
              </w:rPr>
              <w:t>furniture</w:t>
            </w:r>
            <w:r>
              <w:rPr>
                <w:color w:val="0E0E0E"/>
                <w:spacing w:val="5"/>
                <w:w w:val="105"/>
                <w:sz w:val="21"/>
              </w:rPr>
              <w:t> </w:t>
            </w:r>
            <w:r>
              <w:rPr>
                <w:color w:val="0E0E0E"/>
                <w:w w:val="105"/>
                <w:sz w:val="21"/>
              </w:rPr>
              <w:t>&amp;</w:t>
            </w:r>
            <w:r>
              <w:rPr>
                <w:color w:val="0E0E0E"/>
                <w:spacing w:val="-1"/>
                <w:w w:val="105"/>
                <w:sz w:val="21"/>
              </w:rPr>
              <w:t> </w:t>
            </w:r>
            <w:r>
              <w:rPr>
                <w:color w:val="0E0E0E"/>
                <w:spacing w:val="-2"/>
                <w:w w:val="105"/>
                <w:sz w:val="21"/>
              </w:rPr>
              <w:t>equipment</w:t>
            </w:r>
          </w:p>
        </w:tc>
        <w:tc>
          <w:tcPr>
            <w:tcW w:w="4529" w:type="dxa"/>
          </w:tcPr>
          <w:p>
            <w:pPr>
              <w:pStyle w:val="TableParagraph"/>
              <w:spacing w:before="21" w:line="208" w:lineRule="exact"/>
              <w:ind w:left="117"/>
              <w:rPr>
                <w:sz w:val="21"/>
              </w:rPr>
            </w:pPr>
            <w:r>
              <w:rPr>
                <w:color w:val="0E0E0E"/>
                <w:spacing w:val="-2"/>
                <w:w w:val="105"/>
                <w:sz w:val="21"/>
              </w:rPr>
              <w:t>£5</w:t>
            </w:r>
            <w:r>
              <w:rPr>
                <w:color w:val="484848"/>
                <w:spacing w:val="-2"/>
                <w:w w:val="105"/>
                <w:sz w:val="21"/>
              </w:rPr>
              <w:t>,</w:t>
            </w:r>
            <w:r>
              <w:rPr>
                <w:color w:val="0E0E0E"/>
                <w:spacing w:val="-2"/>
                <w:w w:val="105"/>
                <w:sz w:val="21"/>
              </w:rPr>
              <w:t>000</w:t>
            </w:r>
          </w:p>
        </w:tc>
      </w:tr>
      <w:tr>
        <w:trPr>
          <w:trHeight w:val="244" w:hRule="atLeast"/>
        </w:trPr>
        <w:tc>
          <w:tcPr>
            <w:tcW w:w="4519" w:type="dxa"/>
          </w:tcPr>
          <w:p>
            <w:pPr>
              <w:pStyle w:val="TableParagraph"/>
              <w:spacing w:before="21" w:line="203" w:lineRule="exact"/>
              <w:ind w:left="114"/>
              <w:rPr>
                <w:sz w:val="21"/>
              </w:rPr>
            </w:pPr>
            <w:r>
              <w:rPr>
                <w:color w:val="0E0E0E"/>
                <w:w w:val="105"/>
                <w:sz w:val="21"/>
              </w:rPr>
              <w:t>Infrastructure</w:t>
            </w:r>
            <w:r>
              <w:rPr>
                <w:color w:val="0E0E0E"/>
                <w:spacing w:val="-13"/>
                <w:w w:val="105"/>
                <w:sz w:val="21"/>
              </w:rPr>
              <w:t> </w:t>
            </w:r>
            <w:r>
              <w:rPr>
                <w:color w:val="0E0E0E"/>
                <w:spacing w:val="-2"/>
                <w:w w:val="105"/>
                <w:sz w:val="21"/>
              </w:rPr>
              <w:t>assets</w:t>
            </w:r>
          </w:p>
        </w:tc>
        <w:tc>
          <w:tcPr>
            <w:tcW w:w="4529" w:type="dxa"/>
          </w:tcPr>
          <w:p>
            <w:pPr>
              <w:pStyle w:val="TableParagraph"/>
              <w:spacing w:before="16" w:line="208" w:lineRule="exact"/>
              <w:ind w:left="117"/>
              <w:rPr>
                <w:sz w:val="21"/>
              </w:rPr>
            </w:pPr>
            <w:r>
              <w:rPr>
                <w:color w:val="0E0E0E"/>
                <w:spacing w:val="-2"/>
                <w:w w:val="105"/>
                <w:sz w:val="21"/>
              </w:rPr>
              <w:t>£5</w:t>
            </w:r>
            <w:r>
              <w:rPr>
                <w:color w:val="484848"/>
                <w:spacing w:val="-2"/>
                <w:w w:val="105"/>
                <w:sz w:val="21"/>
              </w:rPr>
              <w:t>,</w:t>
            </w:r>
            <w:r>
              <w:rPr>
                <w:color w:val="0E0E0E"/>
                <w:spacing w:val="-2"/>
                <w:w w:val="105"/>
                <w:sz w:val="21"/>
              </w:rPr>
              <w:t>000</w:t>
            </w:r>
          </w:p>
        </w:tc>
      </w:tr>
      <w:tr>
        <w:trPr>
          <w:trHeight w:val="244" w:hRule="atLeast"/>
        </w:trPr>
        <w:tc>
          <w:tcPr>
            <w:tcW w:w="4519" w:type="dxa"/>
          </w:tcPr>
          <w:p>
            <w:pPr>
              <w:pStyle w:val="TableParagraph"/>
              <w:spacing w:before="21" w:line="203" w:lineRule="exact"/>
              <w:ind w:left="119"/>
              <w:rPr>
                <w:sz w:val="21"/>
              </w:rPr>
            </w:pPr>
            <w:r>
              <w:rPr>
                <w:color w:val="0E0E0E"/>
                <w:w w:val="105"/>
                <w:sz w:val="21"/>
              </w:rPr>
              <w:t>Community</w:t>
            </w:r>
            <w:r>
              <w:rPr>
                <w:color w:val="0E0E0E"/>
                <w:spacing w:val="-3"/>
                <w:w w:val="105"/>
                <w:sz w:val="21"/>
              </w:rPr>
              <w:t> </w:t>
            </w:r>
            <w:r>
              <w:rPr>
                <w:color w:val="0E0E0E"/>
                <w:spacing w:val="-2"/>
                <w:w w:val="105"/>
                <w:sz w:val="21"/>
              </w:rPr>
              <w:t>assets</w:t>
            </w:r>
          </w:p>
        </w:tc>
        <w:tc>
          <w:tcPr>
            <w:tcW w:w="4529" w:type="dxa"/>
          </w:tcPr>
          <w:p>
            <w:pPr>
              <w:pStyle w:val="TableParagraph"/>
              <w:spacing w:before="21" w:line="203" w:lineRule="exact"/>
              <w:ind w:left="122"/>
              <w:rPr>
                <w:sz w:val="21"/>
              </w:rPr>
            </w:pPr>
            <w:r>
              <w:rPr>
                <w:color w:val="0E0E0E"/>
                <w:spacing w:val="-2"/>
                <w:w w:val="105"/>
                <w:sz w:val="21"/>
              </w:rPr>
              <w:t>£1</w:t>
            </w:r>
            <w:r>
              <w:rPr>
                <w:color w:val="484848"/>
                <w:spacing w:val="-2"/>
                <w:w w:val="105"/>
                <w:sz w:val="21"/>
              </w:rPr>
              <w:t>,</w:t>
            </w:r>
            <w:r>
              <w:rPr>
                <w:color w:val="0E0E0E"/>
                <w:spacing w:val="-2"/>
                <w:w w:val="105"/>
                <w:sz w:val="21"/>
              </w:rPr>
              <w:t>000</w:t>
            </w:r>
          </w:p>
        </w:tc>
      </w:tr>
    </w:tbl>
    <w:p>
      <w:pPr>
        <w:pStyle w:val="BodyText"/>
        <w:spacing w:before="36"/>
        <w:rPr>
          <w:sz w:val="21"/>
        </w:rPr>
      </w:pPr>
    </w:p>
    <w:p>
      <w:pPr>
        <w:spacing w:before="0" w:line="247" w:lineRule="auto"/>
        <w:ind w:left="1420" w:right="1294" w:firstLine="4"/>
        <w:jc w:val="both"/>
        <w:rPr>
          <w:sz w:val="21"/>
        </w:rPr>
      </w:pPr>
      <w:r>
        <w:rPr>
          <w:color w:val="0E0E0E"/>
          <w:w w:val="105"/>
          <w:sz w:val="21"/>
        </w:rPr>
        <w:t>Where an</w:t>
      </w:r>
      <w:r>
        <w:rPr>
          <w:color w:val="0E0E0E"/>
          <w:spacing w:val="-7"/>
          <w:w w:val="105"/>
          <w:sz w:val="21"/>
        </w:rPr>
        <w:t> </w:t>
      </w:r>
      <w:r>
        <w:rPr>
          <w:color w:val="0E0E0E"/>
          <w:w w:val="105"/>
          <w:sz w:val="21"/>
        </w:rPr>
        <w:t>item of</w:t>
      </w:r>
      <w:r>
        <w:rPr>
          <w:color w:val="0E0E0E"/>
          <w:spacing w:val="-6"/>
          <w:w w:val="105"/>
          <w:sz w:val="21"/>
        </w:rPr>
        <w:t> </w:t>
      </w:r>
      <w:r>
        <w:rPr>
          <w:color w:val="0E0E0E"/>
          <w:w w:val="105"/>
          <w:sz w:val="21"/>
        </w:rPr>
        <w:t>Property, Plant and</w:t>
      </w:r>
      <w:r>
        <w:rPr>
          <w:color w:val="0E0E0E"/>
          <w:spacing w:val="-8"/>
          <w:w w:val="105"/>
          <w:sz w:val="21"/>
        </w:rPr>
        <w:t> </w:t>
      </w:r>
      <w:r>
        <w:rPr>
          <w:color w:val="0E0E0E"/>
          <w:w w:val="105"/>
          <w:sz w:val="21"/>
        </w:rPr>
        <w:t>Equipment has</w:t>
      </w:r>
      <w:r>
        <w:rPr>
          <w:color w:val="0E0E0E"/>
          <w:spacing w:val="-4"/>
          <w:w w:val="105"/>
          <w:sz w:val="21"/>
        </w:rPr>
        <w:t> </w:t>
      </w:r>
      <w:r>
        <w:rPr>
          <w:color w:val="0E0E0E"/>
          <w:w w:val="105"/>
          <w:sz w:val="21"/>
        </w:rPr>
        <w:t>major</w:t>
      </w:r>
      <w:r>
        <w:rPr>
          <w:color w:val="0E0E0E"/>
          <w:spacing w:val="-4"/>
          <w:w w:val="105"/>
          <w:sz w:val="21"/>
        </w:rPr>
        <w:t> </w:t>
      </w:r>
      <w:r>
        <w:rPr>
          <w:color w:val="0E0E0E"/>
          <w:w w:val="105"/>
          <w:sz w:val="21"/>
        </w:rPr>
        <w:t>components, the cost of</w:t>
      </w:r>
      <w:r>
        <w:rPr>
          <w:color w:val="0E0E0E"/>
          <w:spacing w:val="-5"/>
          <w:w w:val="105"/>
          <w:sz w:val="21"/>
        </w:rPr>
        <w:t> </w:t>
      </w:r>
      <w:r>
        <w:rPr>
          <w:color w:val="0E0E0E"/>
          <w:w w:val="105"/>
          <w:sz w:val="21"/>
        </w:rPr>
        <w:t>which</w:t>
      </w:r>
      <w:r>
        <w:rPr>
          <w:color w:val="0E0E0E"/>
          <w:spacing w:val="-1"/>
          <w:w w:val="105"/>
          <w:sz w:val="21"/>
        </w:rPr>
        <w:t> </w:t>
      </w:r>
      <w:r>
        <w:rPr>
          <w:color w:val="0E0E0E"/>
          <w:w w:val="105"/>
          <w:sz w:val="21"/>
        </w:rPr>
        <w:t>is significant in</w:t>
      </w:r>
      <w:r>
        <w:rPr>
          <w:color w:val="0E0E0E"/>
          <w:spacing w:val="-3"/>
          <w:w w:val="105"/>
          <w:sz w:val="21"/>
        </w:rPr>
        <w:t> </w:t>
      </w:r>
      <w:r>
        <w:rPr>
          <w:color w:val="0E0E0E"/>
          <w:w w:val="105"/>
          <w:sz w:val="21"/>
        </w:rPr>
        <w:t>relation</w:t>
      </w:r>
      <w:r>
        <w:rPr>
          <w:color w:val="0E0E0E"/>
          <w:spacing w:val="-9"/>
          <w:w w:val="105"/>
          <w:sz w:val="21"/>
        </w:rPr>
        <w:t> </w:t>
      </w:r>
      <w:r>
        <w:rPr>
          <w:color w:val="0E0E0E"/>
          <w:w w:val="105"/>
          <w:sz w:val="21"/>
        </w:rPr>
        <w:t>to</w:t>
      </w:r>
      <w:r>
        <w:rPr>
          <w:color w:val="0E0E0E"/>
          <w:spacing w:val="-11"/>
          <w:w w:val="105"/>
          <w:sz w:val="21"/>
        </w:rPr>
        <w:t> </w:t>
      </w:r>
      <w:r>
        <w:rPr>
          <w:color w:val="0E0E0E"/>
          <w:w w:val="105"/>
          <w:sz w:val="21"/>
        </w:rPr>
        <w:t>the</w:t>
      </w:r>
      <w:r>
        <w:rPr>
          <w:color w:val="0E0E0E"/>
          <w:spacing w:val="-9"/>
          <w:w w:val="105"/>
          <w:sz w:val="21"/>
        </w:rPr>
        <w:t> </w:t>
      </w:r>
      <w:r>
        <w:rPr>
          <w:color w:val="0E0E0E"/>
          <w:w w:val="105"/>
          <w:sz w:val="21"/>
        </w:rPr>
        <w:t>total</w:t>
      </w:r>
      <w:r>
        <w:rPr>
          <w:color w:val="0E0E0E"/>
          <w:spacing w:val="-6"/>
          <w:w w:val="105"/>
          <w:sz w:val="21"/>
        </w:rPr>
        <w:t> </w:t>
      </w:r>
      <w:r>
        <w:rPr>
          <w:color w:val="0E0E0E"/>
          <w:w w:val="105"/>
          <w:sz w:val="21"/>
        </w:rPr>
        <w:t>cost of</w:t>
      </w:r>
      <w:r>
        <w:rPr>
          <w:color w:val="0E0E0E"/>
          <w:spacing w:val="-9"/>
          <w:w w:val="105"/>
          <w:sz w:val="21"/>
        </w:rPr>
        <w:t> </w:t>
      </w:r>
      <w:r>
        <w:rPr>
          <w:color w:val="0E0E0E"/>
          <w:w w:val="105"/>
          <w:sz w:val="21"/>
        </w:rPr>
        <w:t>the</w:t>
      </w:r>
      <w:r>
        <w:rPr>
          <w:color w:val="0E0E0E"/>
          <w:spacing w:val="-11"/>
          <w:w w:val="105"/>
          <w:sz w:val="21"/>
        </w:rPr>
        <w:t> </w:t>
      </w:r>
      <w:r>
        <w:rPr>
          <w:color w:val="0E0E0E"/>
          <w:w w:val="105"/>
          <w:sz w:val="21"/>
        </w:rPr>
        <w:t>item,</w:t>
      </w:r>
      <w:r>
        <w:rPr>
          <w:color w:val="0E0E0E"/>
          <w:spacing w:val="-4"/>
          <w:w w:val="105"/>
          <w:sz w:val="21"/>
        </w:rPr>
        <w:t> </w:t>
      </w:r>
      <w:r>
        <w:rPr>
          <w:color w:val="0E0E0E"/>
          <w:w w:val="105"/>
          <w:sz w:val="21"/>
        </w:rPr>
        <w:t>the components are</w:t>
      </w:r>
      <w:r>
        <w:rPr>
          <w:color w:val="0E0E0E"/>
          <w:spacing w:val="-5"/>
          <w:w w:val="105"/>
          <w:sz w:val="21"/>
        </w:rPr>
        <w:t> </w:t>
      </w:r>
      <w:r>
        <w:rPr>
          <w:color w:val="0E0E0E"/>
          <w:w w:val="105"/>
          <w:sz w:val="21"/>
        </w:rPr>
        <w:t>depreciated separately.</w:t>
      </w:r>
    </w:p>
    <w:p>
      <w:pPr>
        <w:spacing w:after="0" w:line="247" w:lineRule="auto"/>
        <w:jc w:val="both"/>
        <w:rPr>
          <w:sz w:val="21"/>
        </w:rPr>
        <w:sectPr>
          <w:headerReference w:type="default" r:id="rId80"/>
          <w:footerReference w:type="default" r:id="rId81"/>
          <w:footerReference w:type="even" r:id="rId82"/>
          <w:pgSz w:w="11910" w:h="16830"/>
          <w:pgMar w:top="640" w:right="100" w:bottom="1360" w:left="20" w:header="0" w:footer="1165"/>
          <w:pgNumType w:start="37"/>
        </w:sectPr>
      </w:pPr>
    </w:p>
    <w:p>
      <w:pPr>
        <w:pStyle w:val="BodyText"/>
        <w:spacing w:line="134" w:lineRule="exact"/>
        <w:ind w:left="2143"/>
        <w:rPr>
          <w:sz w:val="13"/>
        </w:rPr>
      </w:pPr>
      <w:r>
        <w:rPr>
          <w:position w:val="-2"/>
          <w:sz w:val="13"/>
        </w:rPr>
        <w:drawing>
          <wp:inline distT="0" distB="0" distL="0" distR="0">
            <wp:extent cx="1366147" cy="85344"/>
            <wp:effectExtent l="0" t="0" r="0" b="0"/>
            <wp:docPr id="125" name="Image 125"/>
            <wp:cNvGraphicFramePr>
              <a:graphicFrameLocks/>
            </wp:cNvGraphicFramePr>
            <a:graphic>
              <a:graphicData uri="http://schemas.openxmlformats.org/drawingml/2006/picture">
                <pic:pic>
                  <pic:nvPicPr>
                    <pic:cNvPr id="125" name="Image 125"/>
                    <pic:cNvPicPr/>
                  </pic:nvPicPr>
                  <pic:blipFill>
                    <a:blip r:embed="rId84" cstate="print"/>
                    <a:stretch>
                      <a:fillRect/>
                    </a:stretch>
                  </pic:blipFill>
                  <pic:spPr>
                    <a:xfrm>
                      <a:off x="0" y="0"/>
                      <a:ext cx="1366147" cy="85344"/>
                    </a:xfrm>
                    <a:prstGeom prst="rect">
                      <a:avLst/>
                    </a:prstGeom>
                  </pic:spPr>
                </pic:pic>
              </a:graphicData>
            </a:graphic>
          </wp:inline>
        </w:drawing>
      </w:r>
      <w:r>
        <w:rPr>
          <w:position w:val="-2"/>
          <w:sz w:val="13"/>
        </w:rPr>
      </w:r>
    </w:p>
    <w:p>
      <w:pPr>
        <w:pStyle w:val="BodyText"/>
        <w:spacing w:before="2"/>
      </w:pPr>
    </w:p>
    <w:p>
      <w:pPr>
        <w:pStyle w:val="BodyText"/>
        <w:spacing w:line="244" w:lineRule="auto"/>
        <w:ind w:left="1649" w:right="1096" w:firstLine="5"/>
        <w:jc w:val="both"/>
      </w:pPr>
      <w:r>
        <w:rPr>
          <w:color w:val="0E0E0E"/>
        </w:rPr>
        <w:t>Where such components have significantly different asset lives, the depreciation is</w:t>
      </w:r>
      <w:r>
        <w:rPr>
          <w:color w:val="0E0E0E"/>
          <w:spacing w:val="-1"/>
        </w:rPr>
        <w:t> </w:t>
      </w:r>
      <w:r>
        <w:rPr>
          <w:color w:val="0E0E0E"/>
        </w:rPr>
        <w:t>charged over</w:t>
      </w:r>
      <w:r>
        <w:rPr>
          <w:color w:val="0E0E0E"/>
          <w:spacing w:val="-16"/>
        </w:rPr>
        <w:t> </w:t>
      </w:r>
      <w:r>
        <w:rPr>
          <w:color w:val="0E0E0E"/>
        </w:rPr>
        <w:t>the</w:t>
      </w:r>
      <w:r>
        <w:rPr>
          <w:color w:val="0E0E0E"/>
          <w:spacing w:val="-15"/>
        </w:rPr>
        <w:t> </w:t>
      </w:r>
      <w:r>
        <w:rPr>
          <w:color w:val="0E0E0E"/>
        </w:rPr>
        <w:t>useful</w:t>
      </w:r>
      <w:r>
        <w:rPr>
          <w:color w:val="0E0E0E"/>
          <w:spacing w:val="-15"/>
        </w:rPr>
        <w:t> </w:t>
      </w:r>
      <w:r>
        <w:rPr>
          <w:color w:val="0E0E0E"/>
        </w:rPr>
        <w:t>economic life</w:t>
      </w:r>
      <w:r>
        <w:rPr>
          <w:color w:val="0E0E0E"/>
          <w:spacing w:val="-10"/>
        </w:rPr>
        <w:t> </w:t>
      </w:r>
      <w:r>
        <w:rPr>
          <w:color w:val="0E0E0E"/>
        </w:rPr>
        <w:t>of</w:t>
      </w:r>
      <w:r>
        <w:rPr>
          <w:color w:val="0E0E0E"/>
          <w:spacing w:val="-16"/>
        </w:rPr>
        <w:t> </w:t>
      </w:r>
      <w:r>
        <w:rPr>
          <w:color w:val="0E0E0E"/>
        </w:rPr>
        <w:t>each</w:t>
      </w:r>
      <w:r>
        <w:rPr>
          <w:color w:val="0E0E0E"/>
          <w:spacing w:val="-10"/>
        </w:rPr>
        <w:t> </w:t>
      </w:r>
      <w:r>
        <w:rPr>
          <w:color w:val="0E0E0E"/>
        </w:rPr>
        <w:t>component.</w:t>
      </w:r>
      <w:r>
        <w:rPr>
          <w:color w:val="0E0E0E"/>
          <w:spacing w:val="40"/>
        </w:rPr>
        <w:t> </w:t>
      </w:r>
      <w:r>
        <w:rPr>
          <w:color w:val="0E0E0E"/>
        </w:rPr>
        <w:t>Where</w:t>
      </w:r>
      <w:r>
        <w:rPr>
          <w:color w:val="0E0E0E"/>
          <w:spacing w:val="-2"/>
        </w:rPr>
        <w:t> </w:t>
      </w:r>
      <w:r>
        <w:rPr>
          <w:color w:val="0E0E0E"/>
        </w:rPr>
        <w:t>a</w:t>
      </w:r>
      <w:r>
        <w:rPr>
          <w:color w:val="0E0E0E"/>
          <w:spacing w:val="-11"/>
        </w:rPr>
        <w:t> </w:t>
      </w:r>
      <w:r>
        <w:rPr>
          <w:color w:val="0E0E0E"/>
        </w:rPr>
        <w:t>component is</w:t>
      </w:r>
      <w:r>
        <w:rPr>
          <w:color w:val="0E0E0E"/>
          <w:spacing w:val="-16"/>
        </w:rPr>
        <w:t> </w:t>
      </w:r>
      <w:r>
        <w:rPr>
          <w:color w:val="0E0E0E"/>
        </w:rPr>
        <w:t>replaced</w:t>
      </w:r>
      <w:r>
        <w:rPr>
          <w:color w:val="0E0E0E"/>
          <w:spacing w:val="-9"/>
        </w:rPr>
        <w:t> </w:t>
      </w:r>
      <w:r>
        <w:rPr>
          <w:color w:val="0E0E0E"/>
        </w:rPr>
        <w:t>or</w:t>
      </w:r>
      <w:r>
        <w:rPr>
          <w:color w:val="0E0E0E"/>
          <w:spacing w:val="-16"/>
        </w:rPr>
        <w:t> </w:t>
      </w:r>
      <w:r>
        <w:rPr>
          <w:color w:val="0E0E0E"/>
        </w:rPr>
        <w:t>restored (i.e. enhancements)</w:t>
      </w:r>
      <w:r>
        <w:rPr>
          <w:color w:val="0E0E0E"/>
          <w:spacing w:val="25"/>
        </w:rPr>
        <w:t> </w:t>
      </w:r>
      <w:r>
        <w:rPr>
          <w:color w:val="0E0E0E"/>
        </w:rPr>
        <w:t>the carrying amount of the old</w:t>
      </w:r>
      <w:r>
        <w:rPr>
          <w:color w:val="0E0E0E"/>
          <w:spacing w:val="-2"/>
        </w:rPr>
        <w:t> </w:t>
      </w:r>
      <w:r>
        <w:rPr>
          <w:color w:val="0E0E0E"/>
        </w:rPr>
        <w:t>component is derecognised and</w:t>
      </w:r>
      <w:r>
        <w:rPr>
          <w:color w:val="0E0E0E"/>
          <w:spacing w:val="-5"/>
        </w:rPr>
        <w:t> </w:t>
      </w:r>
      <w:r>
        <w:rPr>
          <w:color w:val="0E0E0E"/>
        </w:rPr>
        <w:t>the cost of the new component is reflected in the carrying amount of the asset.</w:t>
      </w:r>
    </w:p>
    <w:p>
      <w:pPr>
        <w:pStyle w:val="BodyText"/>
        <w:spacing w:before="8"/>
      </w:pPr>
    </w:p>
    <w:p>
      <w:pPr>
        <w:spacing w:before="0"/>
        <w:ind w:left="1642" w:right="0" w:firstLine="0"/>
        <w:jc w:val="left"/>
        <w:rPr>
          <w:i/>
          <w:sz w:val="21"/>
        </w:rPr>
      </w:pPr>
      <w:r>
        <w:rPr>
          <w:i/>
          <w:color w:val="0E0E0E"/>
          <w:spacing w:val="-2"/>
          <w:sz w:val="21"/>
        </w:rPr>
        <w:t>Measurement</w:t>
      </w:r>
    </w:p>
    <w:p>
      <w:pPr>
        <w:pStyle w:val="BodyText"/>
        <w:spacing w:before="26"/>
        <w:rPr>
          <w:i/>
          <w:sz w:val="21"/>
        </w:rPr>
      </w:pPr>
    </w:p>
    <w:p>
      <w:pPr>
        <w:pStyle w:val="BodyText"/>
        <w:spacing w:line="242" w:lineRule="auto"/>
        <w:ind w:left="1621" w:right="1102" w:firstLine="12"/>
        <w:jc w:val="both"/>
      </w:pPr>
      <w:r>
        <w:rPr>
          <w:color w:val="0E0E0E"/>
        </w:rPr>
        <w:t>An item of property, plant and equipment that qualifies for recognition as an asset is </w:t>
      </w:r>
      <w:r>
        <w:rPr>
          <w:color w:val="363636"/>
        </w:rPr>
        <w:t>initially </w:t>
      </w:r>
      <w:r>
        <w:rPr>
          <w:color w:val="0E0E0E"/>
        </w:rPr>
        <w:t>measured at cost and capitalised on an accruals </w:t>
      </w:r>
      <w:r>
        <w:rPr>
          <w:color w:val="1D1D1D"/>
        </w:rPr>
        <w:t>basis</w:t>
      </w:r>
      <w:r>
        <w:rPr>
          <w:color w:val="545454"/>
        </w:rPr>
        <w:t>.</w:t>
      </w:r>
      <w:r>
        <w:rPr>
          <w:color w:val="545454"/>
          <w:spacing w:val="-9"/>
        </w:rPr>
        <w:t> </w:t>
      </w:r>
      <w:r>
        <w:rPr>
          <w:color w:val="0E0E0E"/>
        </w:rPr>
        <w:t>The </w:t>
      </w:r>
      <w:r>
        <w:rPr>
          <w:color w:val="1D1D1D"/>
        </w:rPr>
        <w:t>cost </w:t>
      </w:r>
      <w:r>
        <w:rPr>
          <w:color w:val="0E0E0E"/>
        </w:rPr>
        <w:t>of an asset comprises all </w:t>
      </w:r>
      <w:r>
        <w:rPr>
          <w:color w:val="1D1D1D"/>
        </w:rPr>
        <w:t>expenditure </w:t>
      </w:r>
      <w:r>
        <w:rPr>
          <w:color w:val="0E0E0E"/>
        </w:rPr>
        <w:t>directly </w:t>
      </w:r>
      <w:r>
        <w:rPr>
          <w:color w:val="1D1D1D"/>
        </w:rPr>
        <w:t>attributable to</w:t>
      </w:r>
      <w:r>
        <w:rPr>
          <w:color w:val="1D1D1D"/>
          <w:spacing w:val="-7"/>
        </w:rPr>
        <w:t> </w:t>
      </w:r>
      <w:r>
        <w:rPr>
          <w:color w:val="1D1D1D"/>
        </w:rPr>
        <w:t>bring </w:t>
      </w:r>
      <w:r>
        <w:rPr>
          <w:color w:val="0E0E0E"/>
        </w:rPr>
        <w:t>the</w:t>
      </w:r>
      <w:r>
        <w:rPr>
          <w:color w:val="0E0E0E"/>
          <w:spacing w:val="-4"/>
        </w:rPr>
        <w:t> </w:t>
      </w:r>
      <w:r>
        <w:rPr>
          <w:color w:val="0E0E0E"/>
        </w:rPr>
        <w:t>asset into working condition for</w:t>
      </w:r>
      <w:r>
        <w:rPr>
          <w:color w:val="0E0E0E"/>
          <w:spacing w:val="-4"/>
        </w:rPr>
        <w:t> </w:t>
      </w:r>
      <w:r>
        <w:rPr>
          <w:color w:val="0E0E0E"/>
        </w:rPr>
        <w:t>its</w:t>
      </w:r>
      <w:r>
        <w:rPr>
          <w:color w:val="0E0E0E"/>
          <w:spacing w:val="-9"/>
        </w:rPr>
        <w:t> </w:t>
      </w:r>
      <w:r>
        <w:rPr>
          <w:color w:val="0E0E0E"/>
        </w:rPr>
        <w:t>intended use. </w:t>
      </w:r>
      <w:r>
        <w:rPr>
          <w:color w:val="1D1D1D"/>
        </w:rPr>
        <w:t>Assets </w:t>
      </w:r>
      <w:r>
        <w:rPr>
          <w:color w:val="0E0E0E"/>
        </w:rPr>
        <w:t>are</w:t>
      </w:r>
      <w:r>
        <w:rPr>
          <w:color w:val="0E0E0E"/>
          <w:spacing w:val="-3"/>
        </w:rPr>
        <w:t> </w:t>
      </w:r>
      <w:r>
        <w:rPr>
          <w:color w:val="0E0E0E"/>
        </w:rPr>
        <w:t>subsequently</w:t>
      </w:r>
      <w:r>
        <w:rPr>
          <w:color w:val="0E0E0E"/>
          <w:spacing w:val="24"/>
        </w:rPr>
        <w:t> </w:t>
      </w:r>
      <w:r>
        <w:rPr>
          <w:color w:val="0E0E0E"/>
        </w:rPr>
        <w:t>valued </w:t>
      </w:r>
      <w:r>
        <w:rPr>
          <w:color w:val="1D1D1D"/>
        </w:rPr>
        <w:t>using</w:t>
      </w:r>
      <w:r>
        <w:rPr>
          <w:color w:val="1D1D1D"/>
          <w:spacing w:val="-4"/>
        </w:rPr>
        <w:t> </w:t>
      </w:r>
      <w:r>
        <w:rPr>
          <w:color w:val="0E0E0E"/>
        </w:rPr>
        <w:t>the</w:t>
      </w:r>
      <w:r>
        <w:rPr>
          <w:color w:val="0E0E0E"/>
          <w:spacing w:val="-10"/>
        </w:rPr>
        <w:t> </w:t>
      </w:r>
      <w:r>
        <w:rPr>
          <w:color w:val="0E0E0E"/>
        </w:rPr>
        <w:t>following basis and</w:t>
      </w:r>
      <w:r>
        <w:rPr>
          <w:color w:val="0E0E0E"/>
          <w:spacing w:val="-2"/>
        </w:rPr>
        <w:t> </w:t>
      </w:r>
      <w:r>
        <w:rPr>
          <w:color w:val="0E0E0E"/>
        </w:rPr>
        <w:t>are</w:t>
      </w:r>
      <w:r>
        <w:rPr>
          <w:color w:val="0E0E0E"/>
          <w:spacing w:val="-5"/>
        </w:rPr>
        <w:t> </w:t>
      </w:r>
      <w:r>
        <w:rPr>
          <w:color w:val="0E0E0E"/>
        </w:rPr>
        <w:t>carried</w:t>
      </w:r>
      <w:r>
        <w:rPr>
          <w:color w:val="0E0E0E"/>
          <w:spacing w:val="-4"/>
        </w:rPr>
        <w:t> </w:t>
      </w:r>
      <w:r>
        <w:rPr>
          <w:color w:val="0E0E0E"/>
        </w:rPr>
        <w:t>net of accumulated depreciation and </w:t>
      </w:r>
      <w:r>
        <w:rPr>
          <w:color w:val="1D1D1D"/>
        </w:rPr>
        <w:t>impairment.</w:t>
      </w:r>
    </w:p>
    <w:p>
      <w:pPr>
        <w:pStyle w:val="BodyText"/>
        <w:spacing w:before="7"/>
        <w:rPr>
          <w:sz w:val="16"/>
        </w:rPr>
      </w:pPr>
    </w:p>
    <w:p>
      <w:pPr>
        <w:spacing w:after="0"/>
        <w:rPr>
          <w:sz w:val="16"/>
        </w:rPr>
        <w:sectPr>
          <w:headerReference w:type="even" r:id="rId83"/>
          <w:pgSz w:w="11910" w:h="16830"/>
          <w:pgMar w:top="880" w:right="100" w:bottom="1200" w:left="20" w:header="0" w:footer="0"/>
        </w:sectPr>
      </w:pPr>
    </w:p>
    <w:p>
      <w:pPr>
        <w:spacing w:before="98"/>
        <w:ind w:left="3008" w:right="0" w:firstLine="0"/>
        <w:jc w:val="left"/>
        <w:rPr>
          <w:b/>
          <w:sz w:val="21"/>
        </w:rPr>
      </w:pPr>
      <w:r>
        <w:rPr>
          <w:b/>
          <w:color w:val="0E0E0E"/>
          <w:w w:val="105"/>
          <w:sz w:val="21"/>
        </w:rPr>
        <w:t>Asset </w:t>
      </w:r>
      <w:r>
        <w:rPr>
          <w:b/>
          <w:color w:val="0E0E0E"/>
          <w:spacing w:val="-2"/>
          <w:w w:val="105"/>
          <w:sz w:val="21"/>
        </w:rPr>
        <w:t>Category:</w:t>
      </w:r>
    </w:p>
    <w:p>
      <w:pPr>
        <w:pStyle w:val="BodyText"/>
        <w:spacing w:before="14"/>
        <w:ind w:left="1839"/>
      </w:pPr>
      <w:r>
        <w:rPr>
          <w:color w:val="0E0E0E"/>
        </w:rPr>
        <w:t>Other</w:t>
      </w:r>
      <w:r>
        <w:rPr>
          <w:color w:val="0E0E0E"/>
          <w:spacing w:val="1"/>
        </w:rPr>
        <w:t> </w:t>
      </w:r>
      <w:r>
        <w:rPr>
          <w:color w:val="0E0E0E"/>
        </w:rPr>
        <w:t>land</w:t>
      </w:r>
      <w:r>
        <w:rPr>
          <w:color w:val="0E0E0E"/>
          <w:spacing w:val="-5"/>
        </w:rPr>
        <w:t> </w:t>
      </w:r>
      <w:r>
        <w:rPr>
          <w:color w:val="0E0E0E"/>
        </w:rPr>
        <w:t>&amp;</w:t>
      </w:r>
      <w:r>
        <w:rPr>
          <w:color w:val="0E0E0E"/>
          <w:spacing w:val="-10"/>
        </w:rPr>
        <w:t> </w:t>
      </w:r>
      <w:r>
        <w:rPr>
          <w:color w:val="0E0E0E"/>
          <w:spacing w:val="-2"/>
        </w:rPr>
        <w:t>buildings</w:t>
      </w:r>
    </w:p>
    <w:p>
      <w:pPr>
        <w:pStyle w:val="BodyText"/>
      </w:pPr>
    </w:p>
    <w:p>
      <w:pPr>
        <w:pStyle w:val="BodyText"/>
        <w:spacing w:before="9"/>
      </w:pPr>
    </w:p>
    <w:p>
      <w:pPr>
        <w:pStyle w:val="BodyText"/>
        <w:spacing w:before="1" w:line="249" w:lineRule="auto"/>
        <w:ind w:left="1819" w:firstLine="10"/>
      </w:pPr>
      <w:r>
        <w:rPr>
          <w:color w:val="0E0E0E"/>
        </w:rPr>
        <w:t>Vehicles,</w:t>
      </w:r>
      <w:r>
        <w:rPr>
          <w:color w:val="0E0E0E"/>
          <w:spacing w:val="-14"/>
        </w:rPr>
        <w:t> </w:t>
      </w:r>
      <w:r>
        <w:rPr>
          <w:color w:val="0E0E0E"/>
        </w:rPr>
        <w:t>plant</w:t>
      </w:r>
      <w:r>
        <w:rPr>
          <w:color w:val="0E0E0E"/>
          <w:spacing w:val="-13"/>
        </w:rPr>
        <w:t> </w:t>
      </w:r>
      <w:r>
        <w:rPr>
          <w:color w:val="0E0E0E"/>
        </w:rPr>
        <w:t>&amp;</w:t>
      </w:r>
      <w:r>
        <w:rPr>
          <w:color w:val="0E0E0E"/>
          <w:spacing w:val="-15"/>
        </w:rPr>
        <w:t> </w:t>
      </w:r>
      <w:r>
        <w:rPr>
          <w:color w:val="0E0E0E"/>
        </w:rPr>
        <w:t>equipment Infrastructure assets Community assets</w:t>
      </w:r>
    </w:p>
    <w:p>
      <w:pPr>
        <w:pStyle w:val="BodyText"/>
        <w:spacing w:before="3"/>
        <w:ind w:left="1816"/>
      </w:pPr>
      <w:r>
        <w:rPr>
          <w:color w:val="0E0E0E"/>
        </w:rPr>
        <w:t>Assets under</w:t>
      </w:r>
      <w:r>
        <w:rPr>
          <w:color w:val="0E0E0E"/>
          <w:spacing w:val="-1"/>
        </w:rPr>
        <w:t> </w:t>
      </w:r>
      <w:r>
        <w:rPr>
          <w:color w:val="0E0E0E"/>
          <w:spacing w:val="-2"/>
        </w:rPr>
        <w:t>construction</w:t>
      </w:r>
    </w:p>
    <w:p>
      <w:pPr>
        <w:spacing w:before="93"/>
        <w:ind w:left="2673" w:right="0" w:firstLine="0"/>
        <w:jc w:val="left"/>
        <w:rPr>
          <w:b/>
          <w:sz w:val="21"/>
        </w:rPr>
      </w:pPr>
      <w:r>
        <w:rPr/>
        <w:br w:type="column"/>
      </w:r>
      <w:r>
        <w:rPr>
          <w:b/>
          <w:color w:val="0E0E0E"/>
          <w:w w:val="105"/>
          <w:sz w:val="21"/>
        </w:rPr>
        <w:t>Basis</w:t>
      </w:r>
      <w:r>
        <w:rPr>
          <w:b/>
          <w:color w:val="0E0E0E"/>
          <w:spacing w:val="-3"/>
          <w:w w:val="105"/>
          <w:sz w:val="21"/>
        </w:rPr>
        <w:t> </w:t>
      </w:r>
      <w:r>
        <w:rPr>
          <w:b/>
          <w:color w:val="0E0E0E"/>
          <w:w w:val="105"/>
          <w:sz w:val="21"/>
        </w:rPr>
        <w:t>of</w:t>
      </w:r>
      <w:r>
        <w:rPr>
          <w:b/>
          <w:color w:val="0E0E0E"/>
          <w:spacing w:val="-3"/>
          <w:w w:val="105"/>
          <w:sz w:val="21"/>
        </w:rPr>
        <w:t> </w:t>
      </w:r>
      <w:r>
        <w:rPr>
          <w:b/>
          <w:color w:val="0E0E0E"/>
          <w:spacing w:val="-2"/>
          <w:w w:val="105"/>
          <w:sz w:val="21"/>
        </w:rPr>
        <w:t>Valuation:</w:t>
      </w:r>
    </w:p>
    <w:p>
      <w:pPr>
        <w:pStyle w:val="BodyText"/>
        <w:spacing w:before="14"/>
        <w:ind w:left="1347" w:right="1008" w:firstLine="8"/>
      </w:pPr>
      <w:r>
        <w:rPr>
          <w:color w:val="0E0E0E"/>
        </w:rPr>
        <w:t>Current value</w:t>
      </w:r>
      <w:r>
        <w:rPr>
          <w:color w:val="0E0E0E"/>
          <w:spacing w:val="-2"/>
        </w:rPr>
        <w:t> </w:t>
      </w:r>
      <w:r>
        <w:rPr>
          <w:color w:val="0E0E0E"/>
        </w:rPr>
        <w:t>(Existing use)</w:t>
      </w:r>
      <w:r>
        <w:rPr>
          <w:color w:val="0E0E0E"/>
          <w:spacing w:val="-3"/>
        </w:rPr>
        <w:t> </w:t>
      </w:r>
      <w:r>
        <w:rPr>
          <w:color w:val="0E0E0E"/>
        </w:rPr>
        <w:t>except</w:t>
      </w:r>
      <w:r>
        <w:rPr>
          <w:color w:val="0E0E0E"/>
          <w:spacing w:val="-2"/>
        </w:rPr>
        <w:t> </w:t>
      </w:r>
      <w:r>
        <w:rPr>
          <w:color w:val="0E0E0E"/>
        </w:rPr>
        <w:t>in</w:t>
      </w:r>
      <w:r>
        <w:rPr>
          <w:color w:val="0E0E0E"/>
          <w:spacing w:val="-13"/>
        </w:rPr>
        <w:t> </w:t>
      </w:r>
      <w:r>
        <w:rPr>
          <w:color w:val="0E0E0E"/>
        </w:rPr>
        <w:t>the</w:t>
      </w:r>
      <w:r>
        <w:rPr>
          <w:color w:val="0E0E0E"/>
          <w:spacing w:val="-9"/>
        </w:rPr>
        <w:t> </w:t>
      </w:r>
      <w:r>
        <w:rPr>
          <w:color w:val="0E0E0E"/>
        </w:rPr>
        <w:t>case of specialised assets where depreciated replacement cost is used</w:t>
      </w:r>
    </w:p>
    <w:p>
      <w:pPr>
        <w:pStyle w:val="BodyText"/>
        <w:spacing w:before="15" w:line="249" w:lineRule="auto"/>
        <w:ind w:left="1339" w:right="3019" w:firstLine="5"/>
        <w:jc w:val="both"/>
      </w:pPr>
      <w:r>
        <w:rPr>
          <w:color w:val="0E0E0E"/>
        </w:rPr>
        <w:t>Depreciated</w:t>
      </w:r>
      <w:r>
        <w:rPr>
          <w:color w:val="0E0E0E"/>
          <w:spacing w:val="-13"/>
        </w:rPr>
        <w:t> </w:t>
      </w:r>
      <w:r>
        <w:rPr>
          <w:color w:val="0E0E0E"/>
        </w:rPr>
        <w:t>Historical</w:t>
      </w:r>
      <w:r>
        <w:rPr>
          <w:color w:val="0E0E0E"/>
          <w:spacing w:val="-10"/>
        </w:rPr>
        <w:t> </w:t>
      </w:r>
      <w:r>
        <w:rPr>
          <w:color w:val="0E0E0E"/>
        </w:rPr>
        <w:t>Cost Depreciated</w:t>
      </w:r>
      <w:r>
        <w:rPr>
          <w:color w:val="0E0E0E"/>
          <w:spacing w:val="-9"/>
        </w:rPr>
        <w:t> </w:t>
      </w:r>
      <w:r>
        <w:rPr>
          <w:color w:val="0E0E0E"/>
        </w:rPr>
        <w:t>Historical</w:t>
      </w:r>
      <w:r>
        <w:rPr>
          <w:color w:val="0E0E0E"/>
          <w:spacing w:val="-8"/>
        </w:rPr>
        <w:t> </w:t>
      </w:r>
      <w:r>
        <w:rPr>
          <w:color w:val="0E0E0E"/>
        </w:rPr>
        <w:t>Cost Depreciated</w:t>
      </w:r>
      <w:r>
        <w:rPr>
          <w:color w:val="0E0E0E"/>
          <w:spacing w:val="-7"/>
        </w:rPr>
        <w:t> </w:t>
      </w:r>
      <w:r>
        <w:rPr>
          <w:color w:val="0E0E0E"/>
        </w:rPr>
        <w:t>Historical</w:t>
      </w:r>
      <w:r>
        <w:rPr>
          <w:color w:val="0E0E0E"/>
          <w:spacing w:val="-10"/>
        </w:rPr>
        <w:t> </w:t>
      </w:r>
      <w:r>
        <w:rPr>
          <w:color w:val="0E0E0E"/>
        </w:rPr>
        <w:t>Cost Historical Cost</w:t>
      </w:r>
    </w:p>
    <w:p>
      <w:pPr>
        <w:spacing w:after="0" w:line="249" w:lineRule="auto"/>
        <w:jc w:val="both"/>
        <w:sectPr>
          <w:type w:val="continuous"/>
          <w:pgSz w:w="11910" w:h="16830"/>
          <w:pgMar w:top="1940" w:right="100" w:bottom="280" w:left="20" w:header="0" w:footer="0"/>
          <w:cols w:equalWidth="0" w:num="2">
            <w:col w:w="4703" w:space="40"/>
            <w:col w:w="7047"/>
          </w:cols>
        </w:sectPr>
      </w:pPr>
    </w:p>
    <w:p>
      <w:pPr>
        <w:pStyle w:val="BodyText"/>
        <w:spacing w:before="250" w:line="242" w:lineRule="auto"/>
        <w:ind w:left="1578" w:right="1125" w:firstLine="10"/>
        <w:jc w:val="both"/>
      </w:pPr>
      <w:r>
        <w:rPr>
          <w:color w:val="1D1D1D"/>
        </w:rPr>
        <w:t>In the case </w:t>
      </w:r>
      <w:r>
        <w:rPr>
          <w:color w:val="0E0E0E"/>
        </w:rPr>
        <w:t>of </w:t>
      </w:r>
      <w:r>
        <w:rPr>
          <w:color w:val="1D1D1D"/>
        </w:rPr>
        <w:t>specialised assets</w:t>
      </w:r>
      <w:r>
        <w:rPr>
          <w:color w:val="545454"/>
        </w:rPr>
        <w:t>, </w:t>
      </w:r>
      <w:r>
        <w:rPr>
          <w:color w:val="1D1D1D"/>
        </w:rPr>
        <w:t>depreciated replacement cost is established using the modern equivalent asset methodology</w:t>
      </w:r>
      <w:r>
        <w:rPr>
          <w:color w:val="545454"/>
        </w:rPr>
        <w:t>,</w:t>
      </w:r>
      <w:r>
        <w:rPr>
          <w:color w:val="545454"/>
          <w:spacing w:val="-16"/>
        </w:rPr>
        <w:t> </w:t>
      </w:r>
      <w:r>
        <w:rPr>
          <w:color w:val="1D1D1D"/>
        </w:rPr>
        <w:t>which provides the current cost of</w:t>
      </w:r>
      <w:r>
        <w:rPr>
          <w:color w:val="1D1D1D"/>
          <w:spacing w:val="-10"/>
        </w:rPr>
        <w:t> </w:t>
      </w:r>
      <w:r>
        <w:rPr>
          <w:color w:val="1D1D1D"/>
        </w:rPr>
        <w:t>replacing an asset with</w:t>
      </w:r>
      <w:r>
        <w:rPr>
          <w:color w:val="1D1D1D"/>
          <w:spacing w:val="-16"/>
        </w:rPr>
        <w:t> </w:t>
      </w:r>
      <w:r>
        <w:rPr>
          <w:color w:val="1D1D1D"/>
        </w:rPr>
        <w:t>its</w:t>
      </w:r>
      <w:r>
        <w:rPr>
          <w:color w:val="1D1D1D"/>
          <w:spacing w:val="-6"/>
        </w:rPr>
        <w:t> </w:t>
      </w:r>
      <w:r>
        <w:rPr>
          <w:color w:val="1D1D1D"/>
        </w:rPr>
        <w:t>modern</w:t>
      </w:r>
      <w:r>
        <w:rPr>
          <w:color w:val="1D1D1D"/>
          <w:spacing w:val="-6"/>
        </w:rPr>
        <w:t> </w:t>
      </w:r>
      <w:r>
        <w:rPr>
          <w:color w:val="1D1D1D"/>
        </w:rPr>
        <w:t>equivalent,</w:t>
      </w:r>
      <w:r>
        <w:rPr>
          <w:color w:val="1D1D1D"/>
          <w:spacing w:val="17"/>
        </w:rPr>
        <w:t> </w:t>
      </w:r>
      <w:r>
        <w:rPr>
          <w:color w:val="0E0E0E"/>
        </w:rPr>
        <w:t>less</w:t>
      </w:r>
      <w:r>
        <w:rPr>
          <w:color w:val="0E0E0E"/>
          <w:spacing w:val="-10"/>
        </w:rPr>
        <w:t> </w:t>
      </w:r>
      <w:r>
        <w:rPr>
          <w:color w:val="0E0E0E"/>
        </w:rPr>
        <w:t>deductions </w:t>
      </w:r>
      <w:r>
        <w:rPr>
          <w:color w:val="1D1D1D"/>
        </w:rPr>
        <w:t>for</w:t>
      </w:r>
      <w:r>
        <w:rPr>
          <w:color w:val="1D1D1D"/>
          <w:spacing w:val="-5"/>
        </w:rPr>
        <w:t> </w:t>
      </w:r>
      <w:r>
        <w:rPr>
          <w:color w:val="1D1D1D"/>
        </w:rPr>
        <w:t>all</w:t>
      </w:r>
      <w:r>
        <w:rPr>
          <w:color w:val="1D1D1D"/>
          <w:spacing w:val="-14"/>
        </w:rPr>
        <w:t> </w:t>
      </w:r>
      <w:r>
        <w:rPr>
          <w:color w:val="1D1D1D"/>
        </w:rPr>
        <w:t>physical</w:t>
      </w:r>
      <w:r>
        <w:rPr>
          <w:color w:val="1D1D1D"/>
          <w:spacing w:val="-1"/>
        </w:rPr>
        <w:t> </w:t>
      </w:r>
      <w:r>
        <w:rPr>
          <w:color w:val="1D1D1D"/>
        </w:rPr>
        <w:t>deterioration </w:t>
      </w:r>
      <w:r>
        <w:rPr>
          <w:color w:val="0E0E0E"/>
        </w:rPr>
        <w:t>and</w:t>
      </w:r>
      <w:r>
        <w:rPr>
          <w:color w:val="0E0E0E"/>
          <w:spacing w:val="-15"/>
        </w:rPr>
        <w:t> </w:t>
      </w:r>
      <w:r>
        <w:rPr>
          <w:color w:val="1D1D1D"/>
        </w:rPr>
        <w:t>all</w:t>
      </w:r>
      <w:r>
        <w:rPr>
          <w:color w:val="1D1D1D"/>
          <w:spacing w:val="-16"/>
        </w:rPr>
        <w:t> </w:t>
      </w:r>
      <w:r>
        <w:rPr>
          <w:color w:val="1D1D1D"/>
        </w:rPr>
        <w:t>relevant forms </w:t>
      </w:r>
      <w:r>
        <w:rPr>
          <w:color w:val="0E0E0E"/>
        </w:rPr>
        <w:t>of obsolescence and optimisation.</w:t>
      </w:r>
    </w:p>
    <w:p>
      <w:pPr>
        <w:pStyle w:val="BodyText"/>
        <w:spacing w:before="246"/>
        <w:ind w:left="1561" w:right="1136" w:firstLine="9"/>
        <w:jc w:val="both"/>
      </w:pPr>
      <w:r>
        <w:rPr>
          <w:color w:val="0E0E0E"/>
        </w:rPr>
        <w:t>The Council ensures that the carrying amount of </w:t>
      </w:r>
      <w:r>
        <w:rPr>
          <w:color w:val="1D1D1D"/>
        </w:rPr>
        <w:t>items </w:t>
      </w:r>
      <w:r>
        <w:rPr>
          <w:color w:val="0E0E0E"/>
        </w:rPr>
        <w:t>of property (and other land and buildings,</w:t>
      </w:r>
      <w:r>
        <w:rPr>
          <w:color w:val="0E0E0E"/>
          <w:spacing w:val="16"/>
        </w:rPr>
        <w:t> </w:t>
      </w:r>
      <w:r>
        <w:rPr>
          <w:color w:val="0E0E0E"/>
        </w:rPr>
        <w:t>see</w:t>
      </w:r>
      <w:r>
        <w:rPr>
          <w:color w:val="0E0E0E"/>
          <w:spacing w:val="-15"/>
        </w:rPr>
        <w:t> </w:t>
      </w:r>
      <w:r>
        <w:rPr>
          <w:color w:val="0E0E0E"/>
        </w:rPr>
        <w:t>note</w:t>
      </w:r>
      <w:r>
        <w:rPr>
          <w:color w:val="0E0E0E"/>
          <w:spacing w:val="-8"/>
        </w:rPr>
        <w:t> </w:t>
      </w:r>
      <w:r>
        <w:rPr>
          <w:color w:val="0E0E0E"/>
        </w:rPr>
        <w:t>5.16) </w:t>
      </w:r>
      <w:r>
        <w:rPr>
          <w:color w:val="1D1D1D"/>
        </w:rPr>
        <w:t>does</w:t>
      </w:r>
      <w:r>
        <w:rPr>
          <w:color w:val="1D1D1D"/>
          <w:spacing w:val="-3"/>
        </w:rPr>
        <w:t> </w:t>
      </w:r>
      <w:r>
        <w:rPr>
          <w:color w:val="0E0E0E"/>
        </w:rPr>
        <w:t>not</w:t>
      </w:r>
      <w:r>
        <w:rPr>
          <w:color w:val="0E0E0E"/>
          <w:spacing w:val="-12"/>
        </w:rPr>
        <w:t> </w:t>
      </w:r>
      <w:r>
        <w:rPr>
          <w:color w:val="0E0E0E"/>
        </w:rPr>
        <w:t>differ</w:t>
      </w:r>
      <w:r>
        <w:rPr>
          <w:color w:val="0E0E0E"/>
          <w:spacing w:val="-14"/>
        </w:rPr>
        <w:t> </w:t>
      </w:r>
      <w:r>
        <w:rPr>
          <w:color w:val="0E0E0E"/>
        </w:rPr>
        <w:t>materially from</w:t>
      </w:r>
      <w:r>
        <w:rPr>
          <w:color w:val="0E0E0E"/>
          <w:spacing w:val="-8"/>
        </w:rPr>
        <w:t> </w:t>
      </w:r>
      <w:r>
        <w:rPr>
          <w:color w:val="0E0E0E"/>
        </w:rPr>
        <w:t>that</w:t>
      </w:r>
      <w:r>
        <w:rPr>
          <w:color w:val="0E0E0E"/>
          <w:spacing w:val="-9"/>
        </w:rPr>
        <w:t> </w:t>
      </w:r>
      <w:r>
        <w:rPr>
          <w:color w:val="0E0E0E"/>
        </w:rPr>
        <w:t>which</w:t>
      </w:r>
      <w:r>
        <w:rPr>
          <w:color w:val="0E0E0E"/>
          <w:spacing w:val="-2"/>
        </w:rPr>
        <w:t> </w:t>
      </w:r>
      <w:r>
        <w:rPr>
          <w:color w:val="0E0E0E"/>
        </w:rPr>
        <w:t>would</w:t>
      </w:r>
      <w:r>
        <w:rPr>
          <w:color w:val="0E0E0E"/>
          <w:spacing w:val="-5"/>
        </w:rPr>
        <w:t> </w:t>
      </w:r>
      <w:r>
        <w:rPr>
          <w:color w:val="0E0E0E"/>
        </w:rPr>
        <w:t>be</w:t>
      </w:r>
      <w:r>
        <w:rPr>
          <w:color w:val="0E0E0E"/>
          <w:spacing w:val="-6"/>
        </w:rPr>
        <w:t> </w:t>
      </w:r>
      <w:r>
        <w:rPr>
          <w:color w:val="1D1D1D"/>
        </w:rPr>
        <w:t>determined </w:t>
      </w:r>
      <w:r>
        <w:rPr>
          <w:color w:val="0E0E0E"/>
        </w:rPr>
        <w:t>using current </w:t>
      </w:r>
      <w:r>
        <w:rPr>
          <w:color w:val="1D1D1D"/>
        </w:rPr>
        <w:t>value </w:t>
      </w:r>
      <w:r>
        <w:rPr>
          <w:color w:val="0E0E0E"/>
        </w:rPr>
        <w:t>at the </w:t>
      </w:r>
      <w:r>
        <w:rPr>
          <w:color w:val="1D1D1D"/>
        </w:rPr>
        <w:t>end </w:t>
      </w:r>
      <w:r>
        <w:rPr>
          <w:color w:val="0E0E0E"/>
        </w:rPr>
        <w:t>of each reporting period.</w:t>
      </w:r>
      <w:r>
        <w:rPr>
          <w:color w:val="0E0E0E"/>
          <w:spacing w:val="40"/>
        </w:rPr>
        <w:t> </w:t>
      </w:r>
      <w:r>
        <w:rPr>
          <w:color w:val="0E0E0E"/>
        </w:rPr>
        <w:t>Such items are grouped for valuation purposes in a manner which ensures that </w:t>
      </w:r>
      <w:r>
        <w:rPr>
          <w:color w:val="1D1D1D"/>
        </w:rPr>
        <w:t>each asset </w:t>
      </w:r>
      <w:r>
        <w:rPr>
          <w:color w:val="0E0E0E"/>
        </w:rPr>
        <w:t>is </w:t>
      </w:r>
      <w:r>
        <w:rPr>
          <w:color w:val="363636"/>
        </w:rPr>
        <w:t>revalued </w:t>
      </w:r>
      <w:r>
        <w:rPr>
          <w:color w:val="0E0E0E"/>
        </w:rPr>
        <w:t>in full at least every </w:t>
      </w:r>
      <w:r>
        <w:rPr>
          <w:color w:val="1D1D1D"/>
        </w:rPr>
        <w:t>three </w:t>
      </w:r>
      <w:r>
        <w:rPr>
          <w:color w:val="0E0E0E"/>
        </w:rPr>
        <w:t>years.</w:t>
      </w:r>
      <w:r>
        <w:rPr>
          <w:color w:val="0E0E0E"/>
          <w:spacing w:val="40"/>
        </w:rPr>
        <w:t> </w:t>
      </w:r>
      <w:r>
        <w:rPr>
          <w:color w:val="0E0E0E"/>
        </w:rPr>
        <w:t>All assets are reviewed </w:t>
      </w:r>
      <w:r>
        <w:rPr>
          <w:color w:val="1D1D1D"/>
        </w:rPr>
        <w:t>annually </w:t>
      </w:r>
      <w:r>
        <w:rPr>
          <w:color w:val="0E0E0E"/>
        </w:rPr>
        <w:t>for </w:t>
      </w:r>
      <w:r>
        <w:rPr>
          <w:color w:val="1D1D1D"/>
        </w:rPr>
        <w:t>evidence of material </w:t>
      </w:r>
      <w:r>
        <w:rPr>
          <w:color w:val="0E0E0E"/>
        </w:rPr>
        <w:t>changes in </w:t>
      </w:r>
      <w:r>
        <w:rPr>
          <w:color w:val="1D1D1D"/>
        </w:rPr>
        <w:t>current </w:t>
      </w:r>
      <w:r>
        <w:rPr>
          <w:color w:val="0E0E0E"/>
        </w:rPr>
        <w:t>value.</w:t>
      </w:r>
    </w:p>
    <w:p>
      <w:pPr>
        <w:pStyle w:val="BodyText"/>
        <w:spacing w:before="20"/>
      </w:pPr>
    </w:p>
    <w:p>
      <w:pPr>
        <w:spacing w:before="0"/>
        <w:ind w:left="1554" w:right="0" w:firstLine="0"/>
        <w:jc w:val="both"/>
        <w:rPr>
          <w:i/>
          <w:sz w:val="21"/>
        </w:rPr>
      </w:pPr>
      <w:r>
        <w:rPr>
          <w:i/>
          <w:color w:val="0E0E0E"/>
          <w:w w:val="105"/>
          <w:sz w:val="21"/>
        </w:rPr>
        <w:t>Increases</w:t>
      </w:r>
      <w:r>
        <w:rPr>
          <w:i/>
          <w:color w:val="0E0E0E"/>
          <w:spacing w:val="10"/>
          <w:w w:val="105"/>
          <w:sz w:val="21"/>
        </w:rPr>
        <w:t> </w:t>
      </w:r>
      <w:r>
        <w:rPr>
          <w:i/>
          <w:color w:val="0E0E0E"/>
          <w:w w:val="105"/>
          <w:sz w:val="21"/>
        </w:rPr>
        <w:t>and</w:t>
      </w:r>
      <w:r>
        <w:rPr>
          <w:i/>
          <w:color w:val="0E0E0E"/>
          <w:spacing w:val="-6"/>
          <w:w w:val="105"/>
          <w:sz w:val="21"/>
        </w:rPr>
        <w:t> </w:t>
      </w:r>
      <w:r>
        <w:rPr>
          <w:i/>
          <w:color w:val="0E0E0E"/>
          <w:w w:val="105"/>
          <w:sz w:val="21"/>
        </w:rPr>
        <w:t>decreases</w:t>
      </w:r>
      <w:r>
        <w:rPr>
          <w:i/>
          <w:color w:val="0E0E0E"/>
          <w:spacing w:val="10"/>
          <w:w w:val="105"/>
          <w:sz w:val="21"/>
        </w:rPr>
        <w:t> </w:t>
      </w:r>
      <w:r>
        <w:rPr>
          <w:i/>
          <w:color w:val="0E0E0E"/>
          <w:w w:val="105"/>
          <w:sz w:val="21"/>
        </w:rPr>
        <w:t>on</w:t>
      </w:r>
      <w:r>
        <w:rPr>
          <w:i/>
          <w:color w:val="0E0E0E"/>
          <w:spacing w:val="-4"/>
          <w:w w:val="105"/>
          <w:sz w:val="21"/>
        </w:rPr>
        <w:t> </w:t>
      </w:r>
      <w:r>
        <w:rPr>
          <w:i/>
          <w:color w:val="0E0E0E"/>
          <w:spacing w:val="-2"/>
          <w:w w:val="105"/>
          <w:sz w:val="21"/>
        </w:rPr>
        <w:t>revaluation</w:t>
      </w:r>
    </w:p>
    <w:p>
      <w:pPr>
        <w:pStyle w:val="BodyText"/>
        <w:spacing w:before="12"/>
        <w:rPr>
          <w:i/>
          <w:sz w:val="21"/>
        </w:rPr>
      </w:pPr>
    </w:p>
    <w:p>
      <w:pPr>
        <w:pStyle w:val="BodyText"/>
        <w:ind w:left="1532" w:right="1154" w:firstLine="10"/>
        <w:jc w:val="both"/>
      </w:pPr>
      <w:r>
        <w:rPr>
          <w:color w:val="0E0E0E"/>
        </w:rPr>
        <w:t>An increase in the carrying amount of an asset arising on revaluation is credited to the </w:t>
      </w:r>
      <w:r>
        <w:rPr>
          <w:color w:val="1D1D1D"/>
        </w:rPr>
        <w:t>Revaluation Reserve </w:t>
      </w:r>
      <w:r>
        <w:rPr>
          <w:color w:val="0E0E0E"/>
        </w:rPr>
        <w:t>unless </w:t>
      </w:r>
      <w:r>
        <w:rPr>
          <w:color w:val="1D1D1D"/>
        </w:rPr>
        <w:t>the increase is </w:t>
      </w:r>
      <w:r>
        <w:rPr>
          <w:color w:val="0E0E0E"/>
        </w:rPr>
        <w:t>reversing a previous revaluation </w:t>
      </w:r>
      <w:r>
        <w:rPr>
          <w:color w:val="1D1D1D"/>
        </w:rPr>
        <w:t>decrease charged </w:t>
      </w:r>
      <w:r>
        <w:rPr>
          <w:color w:val="0E0E0E"/>
        </w:rPr>
        <w:t>to</w:t>
      </w:r>
      <w:r>
        <w:rPr>
          <w:color w:val="0E0E0E"/>
          <w:spacing w:val="-1"/>
        </w:rPr>
        <w:t> </w:t>
      </w:r>
      <w:r>
        <w:rPr>
          <w:color w:val="1D1D1D"/>
        </w:rPr>
        <w:t>the</w:t>
      </w:r>
      <w:r>
        <w:rPr>
          <w:color w:val="1D1D1D"/>
          <w:spacing w:val="-6"/>
        </w:rPr>
        <w:t> </w:t>
      </w:r>
      <w:r>
        <w:rPr>
          <w:color w:val="1D1D1D"/>
        </w:rPr>
        <w:t>Surplus </w:t>
      </w:r>
      <w:r>
        <w:rPr>
          <w:color w:val="0E0E0E"/>
        </w:rPr>
        <w:t>or </w:t>
      </w:r>
      <w:r>
        <w:rPr>
          <w:color w:val="1D1D1D"/>
        </w:rPr>
        <w:t>Deficit </w:t>
      </w:r>
      <w:r>
        <w:rPr>
          <w:color w:val="0E0E0E"/>
        </w:rPr>
        <w:t>on</w:t>
      </w:r>
      <w:r>
        <w:rPr>
          <w:color w:val="0E0E0E"/>
          <w:spacing w:val="-8"/>
        </w:rPr>
        <w:t> </w:t>
      </w:r>
      <w:r>
        <w:rPr>
          <w:color w:val="1D1D1D"/>
        </w:rPr>
        <w:t>the</w:t>
      </w:r>
      <w:r>
        <w:rPr>
          <w:color w:val="1D1D1D"/>
          <w:spacing w:val="-3"/>
        </w:rPr>
        <w:t> </w:t>
      </w:r>
      <w:r>
        <w:rPr>
          <w:color w:val="1D1D1D"/>
        </w:rPr>
        <w:t>Provision </w:t>
      </w:r>
      <w:r>
        <w:rPr>
          <w:color w:val="0E0E0E"/>
        </w:rPr>
        <w:t>of </w:t>
      </w:r>
      <w:r>
        <w:rPr>
          <w:color w:val="1D1D1D"/>
        </w:rPr>
        <w:t>Services </w:t>
      </w:r>
      <w:r>
        <w:rPr>
          <w:color w:val="0E0E0E"/>
        </w:rPr>
        <w:t>on</w:t>
      </w:r>
      <w:r>
        <w:rPr>
          <w:color w:val="0E0E0E"/>
          <w:spacing w:val="-5"/>
        </w:rPr>
        <w:t> </w:t>
      </w:r>
      <w:r>
        <w:rPr>
          <w:color w:val="0E0E0E"/>
        </w:rPr>
        <w:t>the same asset or </w:t>
      </w:r>
      <w:r>
        <w:rPr>
          <w:color w:val="1D1D1D"/>
        </w:rPr>
        <w:t>reversing a previous impairment </w:t>
      </w:r>
      <w:r>
        <w:rPr>
          <w:color w:val="0E0E0E"/>
        </w:rPr>
        <w:t>loss </w:t>
      </w:r>
      <w:r>
        <w:rPr>
          <w:color w:val="1D1D1D"/>
        </w:rPr>
        <w:t>(see </w:t>
      </w:r>
      <w:r>
        <w:rPr>
          <w:color w:val="0E0E0E"/>
        </w:rPr>
        <w:t>below) </w:t>
      </w:r>
      <w:r>
        <w:rPr>
          <w:color w:val="1D1D1D"/>
        </w:rPr>
        <w:t>charged </w:t>
      </w:r>
      <w:r>
        <w:rPr>
          <w:color w:val="0E0E0E"/>
        </w:rPr>
        <w:t>to the Surplus or</w:t>
      </w:r>
      <w:r>
        <w:rPr>
          <w:color w:val="0E0E0E"/>
          <w:spacing w:val="-2"/>
        </w:rPr>
        <w:t> </w:t>
      </w:r>
      <w:r>
        <w:rPr>
          <w:color w:val="0E0E0E"/>
        </w:rPr>
        <w:t>Deficit on</w:t>
      </w:r>
      <w:r>
        <w:rPr>
          <w:color w:val="0E0E0E"/>
          <w:spacing w:val="-2"/>
        </w:rPr>
        <w:t> </w:t>
      </w:r>
      <w:r>
        <w:rPr>
          <w:color w:val="0E0E0E"/>
        </w:rPr>
        <w:t>the Provision of Services on the same asset.</w:t>
      </w:r>
    </w:p>
    <w:p>
      <w:pPr>
        <w:pStyle w:val="BodyText"/>
        <w:spacing w:before="1"/>
      </w:pPr>
    </w:p>
    <w:p>
      <w:pPr>
        <w:pStyle w:val="BodyText"/>
        <w:ind w:left="1523" w:right="1166" w:firstLine="4"/>
        <w:jc w:val="both"/>
      </w:pPr>
      <w:r>
        <w:rPr>
          <w:color w:val="0E0E0E"/>
        </w:rPr>
        <w:t>The</w:t>
      </w:r>
      <w:r>
        <w:rPr>
          <w:color w:val="0E0E0E"/>
          <w:spacing w:val="-16"/>
        </w:rPr>
        <w:t> </w:t>
      </w:r>
      <w:r>
        <w:rPr>
          <w:color w:val="0E0E0E"/>
        </w:rPr>
        <w:t>reversal</w:t>
      </w:r>
      <w:r>
        <w:rPr>
          <w:color w:val="0E0E0E"/>
          <w:spacing w:val="-12"/>
        </w:rPr>
        <w:t> </w:t>
      </w:r>
      <w:r>
        <w:rPr>
          <w:color w:val="0E0E0E"/>
        </w:rPr>
        <w:t>of</w:t>
      </w:r>
      <w:r>
        <w:rPr>
          <w:color w:val="0E0E0E"/>
          <w:spacing w:val="-9"/>
        </w:rPr>
        <w:t> </w:t>
      </w:r>
      <w:r>
        <w:rPr>
          <w:color w:val="0E0E0E"/>
        </w:rPr>
        <w:t>an</w:t>
      </w:r>
      <w:r>
        <w:rPr>
          <w:color w:val="0E0E0E"/>
          <w:spacing w:val="-16"/>
        </w:rPr>
        <w:t> </w:t>
      </w:r>
      <w:r>
        <w:rPr>
          <w:color w:val="0E0E0E"/>
        </w:rPr>
        <w:t>impairment </w:t>
      </w:r>
      <w:r>
        <w:rPr>
          <w:color w:val="1D1D1D"/>
        </w:rPr>
        <w:t>loss</w:t>
      </w:r>
      <w:r>
        <w:rPr>
          <w:color w:val="1D1D1D"/>
          <w:spacing w:val="-16"/>
        </w:rPr>
        <w:t> </w:t>
      </w:r>
      <w:r>
        <w:rPr>
          <w:color w:val="1D1D1D"/>
        </w:rPr>
        <w:t>previously recognised </w:t>
      </w:r>
      <w:r>
        <w:rPr>
          <w:color w:val="0E0E0E"/>
        </w:rPr>
        <w:t>in</w:t>
      </w:r>
      <w:r>
        <w:rPr>
          <w:color w:val="0E0E0E"/>
          <w:spacing w:val="-12"/>
        </w:rPr>
        <w:t> </w:t>
      </w:r>
      <w:r>
        <w:rPr>
          <w:color w:val="1D1D1D"/>
        </w:rPr>
        <w:t>Surplus or</w:t>
      </w:r>
      <w:r>
        <w:rPr>
          <w:color w:val="1D1D1D"/>
          <w:spacing w:val="-16"/>
        </w:rPr>
        <w:t> </w:t>
      </w:r>
      <w:r>
        <w:rPr>
          <w:color w:val="1D1D1D"/>
        </w:rPr>
        <w:t>Deficit</w:t>
      </w:r>
      <w:r>
        <w:rPr>
          <w:color w:val="1D1D1D"/>
          <w:spacing w:val="-4"/>
        </w:rPr>
        <w:t> </w:t>
      </w:r>
      <w:r>
        <w:rPr>
          <w:color w:val="1D1D1D"/>
        </w:rPr>
        <w:t>on</w:t>
      </w:r>
      <w:r>
        <w:rPr>
          <w:color w:val="1D1D1D"/>
          <w:spacing w:val="-16"/>
        </w:rPr>
        <w:t> </w:t>
      </w:r>
      <w:r>
        <w:rPr>
          <w:color w:val="1D1D1D"/>
        </w:rPr>
        <w:t>the</w:t>
      </w:r>
      <w:r>
        <w:rPr>
          <w:color w:val="1D1D1D"/>
          <w:spacing w:val="-15"/>
        </w:rPr>
        <w:t> </w:t>
      </w:r>
      <w:r>
        <w:rPr>
          <w:color w:val="1D1D1D"/>
        </w:rPr>
        <w:t>Provision </w:t>
      </w:r>
      <w:r>
        <w:rPr>
          <w:color w:val="0E0E0E"/>
        </w:rPr>
        <w:t>of</w:t>
      </w:r>
      <w:r>
        <w:rPr>
          <w:color w:val="0E0E0E"/>
          <w:spacing w:val="-4"/>
        </w:rPr>
        <w:t> </w:t>
      </w:r>
      <w:r>
        <w:rPr>
          <w:color w:val="0E0E0E"/>
        </w:rPr>
        <w:t>Services shall</w:t>
      </w:r>
      <w:r>
        <w:rPr>
          <w:color w:val="0E0E0E"/>
          <w:spacing w:val="-10"/>
        </w:rPr>
        <w:t> </w:t>
      </w:r>
      <w:r>
        <w:rPr>
          <w:color w:val="0E0E0E"/>
        </w:rPr>
        <w:t>not exceed </w:t>
      </w:r>
      <w:r>
        <w:rPr>
          <w:color w:val="1D1D1D"/>
        </w:rPr>
        <w:t>the</w:t>
      </w:r>
      <w:r>
        <w:rPr>
          <w:color w:val="1D1D1D"/>
          <w:spacing w:val="-1"/>
        </w:rPr>
        <w:t> </w:t>
      </w:r>
      <w:r>
        <w:rPr>
          <w:color w:val="0E0E0E"/>
        </w:rPr>
        <w:t>increase</w:t>
      </w:r>
      <w:r>
        <w:rPr>
          <w:color w:val="0E0E0E"/>
          <w:spacing w:val="-5"/>
        </w:rPr>
        <w:t> </w:t>
      </w:r>
      <w:r>
        <w:rPr>
          <w:color w:val="1D1D1D"/>
        </w:rPr>
        <w:t>that would</w:t>
      </w:r>
      <w:r>
        <w:rPr>
          <w:color w:val="1D1D1D"/>
          <w:spacing w:val="-3"/>
        </w:rPr>
        <w:t> </w:t>
      </w:r>
      <w:r>
        <w:rPr>
          <w:color w:val="0E0E0E"/>
        </w:rPr>
        <w:t>reinstate </w:t>
      </w:r>
      <w:r>
        <w:rPr>
          <w:color w:val="1D1D1D"/>
        </w:rPr>
        <w:t>the</w:t>
      </w:r>
      <w:r>
        <w:rPr>
          <w:color w:val="1D1D1D"/>
          <w:spacing w:val="-8"/>
        </w:rPr>
        <w:t> </w:t>
      </w:r>
      <w:r>
        <w:rPr>
          <w:color w:val="0E0E0E"/>
        </w:rPr>
        <w:t>carrying amount </w:t>
      </w:r>
      <w:r>
        <w:rPr>
          <w:color w:val="1D1D1D"/>
        </w:rPr>
        <w:t>that would </w:t>
      </w:r>
      <w:r>
        <w:rPr>
          <w:color w:val="0E0E0E"/>
        </w:rPr>
        <w:t>have </w:t>
      </w:r>
      <w:r>
        <w:rPr>
          <w:color w:val="1D1D1D"/>
        </w:rPr>
        <w:t>been determined (net of amortisation or depreciation) had </w:t>
      </w:r>
      <w:r>
        <w:rPr>
          <w:color w:val="0E0E0E"/>
        </w:rPr>
        <w:t>no </w:t>
      </w:r>
      <w:r>
        <w:rPr>
          <w:color w:val="1D1D1D"/>
        </w:rPr>
        <w:t>impairment </w:t>
      </w:r>
      <w:r>
        <w:rPr>
          <w:color w:val="0E0E0E"/>
        </w:rPr>
        <w:t>loss been </w:t>
      </w:r>
      <w:r>
        <w:rPr>
          <w:color w:val="1D1D1D"/>
        </w:rPr>
        <w:t>recognised</w:t>
      </w:r>
      <w:r>
        <w:rPr>
          <w:color w:val="1D1D1D"/>
          <w:spacing w:val="-16"/>
        </w:rPr>
        <w:t> </w:t>
      </w:r>
      <w:r>
        <w:rPr>
          <w:color w:val="1D1D1D"/>
        </w:rPr>
        <w:t>for</w:t>
      </w:r>
      <w:r>
        <w:rPr>
          <w:color w:val="1D1D1D"/>
          <w:spacing w:val="-15"/>
        </w:rPr>
        <w:t> </w:t>
      </w:r>
      <w:r>
        <w:rPr>
          <w:color w:val="1D1D1D"/>
        </w:rPr>
        <w:t>the</w:t>
      </w:r>
      <w:r>
        <w:rPr>
          <w:color w:val="1D1D1D"/>
          <w:spacing w:val="-12"/>
        </w:rPr>
        <w:t> </w:t>
      </w:r>
      <w:r>
        <w:rPr>
          <w:color w:val="1D1D1D"/>
        </w:rPr>
        <w:t>asset</w:t>
      </w:r>
      <w:r>
        <w:rPr>
          <w:color w:val="1D1D1D"/>
          <w:spacing w:val="-5"/>
        </w:rPr>
        <w:t> </w:t>
      </w:r>
      <w:r>
        <w:rPr>
          <w:color w:val="1D1D1D"/>
        </w:rPr>
        <w:t>in</w:t>
      </w:r>
      <w:r>
        <w:rPr>
          <w:color w:val="1D1D1D"/>
          <w:spacing w:val="-16"/>
        </w:rPr>
        <w:t> </w:t>
      </w:r>
      <w:r>
        <w:rPr>
          <w:color w:val="1D1D1D"/>
        </w:rPr>
        <w:t>prior years</w:t>
      </w:r>
      <w:r>
        <w:rPr>
          <w:color w:val="545454"/>
        </w:rPr>
        <w:t>.</w:t>
      </w:r>
      <w:r>
        <w:rPr>
          <w:color w:val="545454"/>
          <w:spacing w:val="-16"/>
        </w:rPr>
        <w:t> </w:t>
      </w:r>
      <w:r>
        <w:rPr>
          <w:color w:val="1D1D1D"/>
        </w:rPr>
        <w:t>Any</w:t>
      </w:r>
      <w:r>
        <w:rPr>
          <w:color w:val="1D1D1D"/>
          <w:spacing w:val="-11"/>
        </w:rPr>
        <w:t> </w:t>
      </w:r>
      <w:r>
        <w:rPr>
          <w:color w:val="0E0E0E"/>
        </w:rPr>
        <w:t>excess</w:t>
      </w:r>
      <w:r>
        <w:rPr>
          <w:color w:val="0E0E0E"/>
          <w:spacing w:val="-5"/>
        </w:rPr>
        <w:t> </w:t>
      </w:r>
      <w:r>
        <w:rPr>
          <w:color w:val="1D1D1D"/>
        </w:rPr>
        <w:t>above</w:t>
      </w:r>
      <w:r>
        <w:rPr>
          <w:color w:val="1D1D1D"/>
          <w:spacing w:val="-8"/>
        </w:rPr>
        <w:t> </w:t>
      </w:r>
      <w:r>
        <w:rPr>
          <w:color w:val="0E0E0E"/>
        </w:rPr>
        <w:t>the</w:t>
      </w:r>
      <w:r>
        <w:rPr>
          <w:color w:val="0E0E0E"/>
          <w:spacing w:val="-14"/>
        </w:rPr>
        <w:t> </w:t>
      </w:r>
      <w:r>
        <w:rPr>
          <w:color w:val="0E0E0E"/>
        </w:rPr>
        <w:t>carrying amount</w:t>
      </w:r>
      <w:r>
        <w:rPr>
          <w:color w:val="0E0E0E"/>
          <w:spacing w:val="-3"/>
        </w:rPr>
        <w:t> </w:t>
      </w:r>
      <w:r>
        <w:rPr>
          <w:color w:val="0E0E0E"/>
        </w:rPr>
        <w:t>that</w:t>
      </w:r>
      <w:r>
        <w:rPr>
          <w:color w:val="0E0E0E"/>
          <w:spacing w:val="-9"/>
        </w:rPr>
        <w:t> </w:t>
      </w:r>
      <w:r>
        <w:rPr>
          <w:color w:val="0E0E0E"/>
        </w:rPr>
        <w:t>would</w:t>
      </w:r>
      <w:r>
        <w:rPr>
          <w:color w:val="0E0E0E"/>
          <w:spacing w:val="-13"/>
        </w:rPr>
        <w:t> </w:t>
      </w:r>
      <w:r>
        <w:rPr>
          <w:color w:val="0E0E0E"/>
        </w:rPr>
        <w:t>have </w:t>
      </w:r>
      <w:r>
        <w:rPr>
          <w:color w:val="1D1D1D"/>
        </w:rPr>
        <w:t>been</w:t>
      </w:r>
      <w:r>
        <w:rPr>
          <w:color w:val="1D1D1D"/>
          <w:spacing w:val="-16"/>
        </w:rPr>
        <w:t> </w:t>
      </w:r>
      <w:r>
        <w:rPr>
          <w:color w:val="1D1D1D"/>
        </w:rPr>
        <w:t>determined</w:t>
      </w:r>
      <w:r>
        <w:rPr>
          <w:color w:val="1D1D1D"/>
          <w:spacing w:val="-12"/>
        </w:rPr>
        <w:t> </w:t>
      </w:r>
      <w:r>
        <w:rPr>
          <w:color w:val="1D1D1D"/>
        </w:rPr>
        <w:t>(net</w:t>
      </w:r>
      <w:r>
        <w:rPr>
          <w:color w:val="1D1D1D"/>
          <w:spacing w:val="-10"/>
        </w:rPr>
        <w:t> </w:t>
      </w:r>
      <w:r>
        <w:rPr>
          <w:color w:val="1D1D1D"/>
        </w:rPr>
        <w:t>of</w:t>
      </w:r>
      <w:r>
        <w:rPr>
          <w:color w:val="1D1D1D"/>
          <w:spacing w:val="-14"/>
        </w:rPr>
        <w:t> </w:t>
      </w:r>
      <w:r>
        <w:rPr>
          <w:color w:val="1D1D1D"/>
        </w:rPr>
        <w:t>amortisation</w:t>
      </w:r>
      <w:r>
        <w:rPr>
          <w:color w:val="1D1D1D"/>
          <w:spacing w:val="-5"/>
        </w:rPr>
        <w:t> </w:t>
      </w:r>
      <w:r>
        <w:rPr>
          <w:color w:val="1D1D1D"/>
        </w:rPr>
        <w:t>or</w:t>
      </w:r>
      <w:r>
        <w:rPr>
          <w:color w:val="1D1D1D"/>
          <w:spacing w:val="-19"/>
        </w:rPr>
        <w:t> </w:t>
      </w:r>
      <w:r>
        <w:rPr>
          <w:color w:val="1D1D1D"/>
        </w:rPr>
        <w:t>depreciation) </w:t>
      </w:r>
      <w:r>
        <w:rPr>
          <w:color w:val="0E0E0E"/>
        </w:rPr>
        <w:t>had</w:t>
      </w:r>
      <w:r>
        <w:rPr>
          <w:color w:val="0E0E0E"/>
          <w:spacing w:val="-26"/>
        </w:rPr>
        <w:t> </w:t>
      </w:r>
      <w:r>
        <w:rPr>
          <w:color w:val="0E0E0E"/>
        </w:rPr>
        <w:t>no</w:t>
      </w:r>
      <w:r>
        <w:rPr>
          <w:color w:val="0E0E0E"/>
          <w:spacing w:val="-18"/>
        </w:rPr>
        <w:t> </w:t>
      </w:r>
      <w:r>
        <w:rPr>
          <w:color w:val="0E0E0E"/>
        </w:rPr>
        <w:t>impairment</w:t>
      </w:r>
      <w:r>
        <w:rPr>
          <w:color w:val="0E0E0E"/>
          <w:spacing w:val="-3"/>
        </w:rPr>
        <w:t> </w:t>
      </w:r>
      <w:r>
        <w:rPr>
          <w:color w:val="0E0E0E"/>
        </w:rPr>
        <w:t>loss</w:t>
      </w:r>
      <w:r>
        <w:rPr>
          <w:color w:val="0E0E0E"/>
          <w:spacing w:val="-15"/>
        </w:rPr>
        <w:t> </w:t>
      </w:r>
      <w:r>
        <w:rPr>
          <w:color w:val="0E0E0E"/>
        </w:rPr>
        <w:t>been</w:t>
      </w:r>
      <w:r>
        <w:rPr>
          <w:color w:val="0E0E0E"/>
          <w:spacing w:val="-18"/>
        </w:rPr>
        <w:t> </w:t>
      </w:r>
      <w:r>
        <w:rPr>
          <w:color w:val="0E0E0E"/>
        </w:rPr>
        <w:t>recognised</w:t>
      </w:r>
    </w:p>
    <w:p>
      <w:pPr>
        <w:spacing w:after="0"/>
        <w:jc w:val="both"/>
        <w:sectPr>
          <w:type w:val="continuous"/>
          <w:pgSz w:w="11910" w:h="16830"/>
          <w:pgMar w:top="1940" w:right="100" w:bottom="280" w:left="20" w:header="0" w:footer="0"/>
        </w:sectPr>
      </w:pPr>
    </w:p>
    <w:p>
      <w:pPr>
        <w:tabs>
          <w:tab w:val="left" w:leader="none" w:pos="2127"/>
        </w:tabs>
        <w:spacing w:before="85"/>
        <w:ind w:left="1408" w:right="0" w:firstLine="0"/>
        <w:jc w:val="left"/>
        <w:rPr>
          <w:sz w:val="15"/>
        </w:rPr>
      </w:pPr>
      <w:r>
        <w:rPr>
          <w:color w:val="A8A8A8"/>
          <w:spacing w:val="-5"/>
          <w:sz w:val="15"/>
        </w:rPr>
        <w:t>::,</w:t>
      </w:r>
      <w:r>
        <w:rPr>
          <w:color w:val="A8A8A8"/>
          <w:sz w:val="15"/>
        </w:rPr>
        <w:tab/>
        <w:t>NOTES</w:t>
      </w:r>
      <w:r>
        <w:rPr>
          <w:color w:val="A8A8A8"/>
          <w:spacing w:val="33"/>
          <w:sz w:val="15"/>
        </w:rPr>
        <w:t> </w:t>
      </w:r>
      <w:r>
        <w:rPr>
          <w:color w:val="A8A8A8"/>
          <w:sz w:val="15"/>
        </w:rPr>
        <w:t>TO</w:t>
      </w:r>
      <w:r>
        <w:rPr>
          <w:color w:val="A8A8A8"/>
          <w:spacing w:val="23"/>
          <w:sz w:val="15"/>
        </w:rPr>
        <w:t> </w:t>
      </w:r>
      <w:r>
        <w:rPr>
          <w:color w:val="A8A8A8"/>
          <w:sz w:val="15"/>
        </w:rPr>
        <w:t>THE</w:t>
      </w:r>
      <w:r>
        <w:rPr>
          <w:color w:val="A8A8A8"/>
          <w:spacing w:val="5"/>
          <w:sz w:val="15"/>
        </w:rPr>
        <w:t> </w:t>
      </w:r>
      <w:r>
        <w:rPr>
          <w:color w:val="A8A8A8"/>
          <w:spacing w:val="-2"/>
          <w:sz w:val="15"/>
        </w:rPr>
        <w:t>1KCOUNTS</w:t>
      </w:r>
    </w:p>
    <w:p>
      <w:pPr>
        <w:pStyle w:val="BodyText"/>
        <w:spacing w:before="60"/>
        <w:rPr>
          <w:sz w:val="15"/>
        </w:rPr>
      </w:pPr>
    </w:p>
    <w:p>
      <w:pPr>
        <w:pStyle w:val="BodyText"/>
        <w:ind w:left="1404" w:right="1172" w:firstLine="1"/>
      </w:pPr>
      <w:r>
        <w:rPr>
          <w:color w:val="0E0E0E"/>
        </w:rPr>
        <w:t>for the asset in prior</w:t>
      </w:r>
      <w:r>
        <w:rPr>
          <w:color w:val="0E0E0E"/>
          <w:spacing w:val="22"/>
        </w:rPr>
        <w:t> </w:t>
      </w:r>
      <w:r>
        <w:rPr>
          <w:color w:val="0E0E0E"/>
        </w:rPr>
        <w:t>years is treated as a revaluation</w:t>
      </w:r>
      <w:r>
        <w:rPr>
          <w:color w:val="0E0E0E"/>
          <w:spacing w:val="33"/>
        </w:rPr>
        <w:t> </w:t>
      </w:r>
      <w:r>
        <w:rPr>
          <w:color w:val="0E0E0E"/>
        </w:rPr>
        <w:t>gain and charged to the Revaluation </w:t>
      </w:r>
      <w:r>
        <w:rPr>
          <w:color w:val="0E0E0E"/>
          <w:spacing w:val="-2"/>
        </w:rPr>
        <w:t>Reserve.</w:t>
      </w:r>
    </w:p>
    <w:p>
      <w:pPr>
        <w:pStyle w:val="BodyText"/>
      </w:pPr>
    </w:p>
    <w:p>
      <w:pPr>
        <w:pStyle w:val="BodyText"/>
        <w:ind w:left="1404" w:right="1346" w:firstLine="3"/>
        <w:jc w:val="both"/>
      </w:pPr>
      <w:r>
        <w:rPr>
          <w:color w:val="0E0E0E"/>
        </w:rPr>
        <w:t>A decrease in the carrying amount of an asset arising on revaluation is charged to the Revaluation Reserve up</w:t>
      </w:r>
      <w:r>
        <w:rPr>
          <w:color w:val="0E0E0E"/>
          <w:spacing w:val="-10"/>
        </w:rPr>
        <w:t> </w:t>
      </w:r>
      <w:r>
        <w:rPr>
          <w:color w:val="0E0E0E"/>
        </w:rPr>
        <w:t>to</w:t>
      </w:r>
      <w:r>
        <w:rPr>
          <w:color w:val="0E0E0E"/>
          <w:spacing w:val="-14"/>
        </w:rPr>
        <w:t> </w:t>
      </w:r>
      <w:r>
        <w:rPr>
          <w:color w:val="0E0E0E"/>
        </w:rPr>
        <w:t>the</w:t>
      </w:r>
      <w:r>
        <w:rPr>
          <w:color w:val="0E0E0E"/>
          <w:spacing w:val="-4"/>
        </w:rPr>
        <w:t> </w:t>
      </w:r>
      <w:r>
        <w:rPr>
          <w:color w:val="0E0E0E"/>
        </w:rPr>
        <w:t>value of</w:t>
      </w:r>
      <w:r>
        <w:rPr>
          <w:color w:val="0E0E0E"/>
          <w:spacing w:val="-3"/>
        </w:rPr>
        <w:t> </w:t>
      </w:r>
      <w:r>
        <w:rPr>
          <w:color w:val="0E0E0E"/>
        </w:rPr>
        <w:t>the</w:t>
      </w:r>
      <w:r>
        <w:rPr>
          <w:color w:val="0E0E0E"/>
          <w:spacing w:val="-4"/>
        </w:rPr>
        <w:t> </w:t>
      </w:r>
      <w:r>
        <w:rPr>
          <w:color w:val="0E0E0E"/>
        </w:rPr>
        <w:t>credit</w:t>
      </w:r>
      <w:r>
        <w:rPr>
          <w:color w:val="0E0E0E"/>
          <w:spacing w:val="-6"/>
        </w:rPr>
        <w:t> </w:t>
      </w:r>
      <w:r>
        <w:rPr>
          <w:color w:val="0E0E0E"/>
        </w:rPr>
        <w:t>balance</w:t>
      </w:r>
      <w:r>
        <w:rPr>
          <w:color w:val="0E0E0E"/>
          <w:spacing w:val="-7"/>
        </w:rPr>
        <w:t> </w:t>
      </w:r>
      <w:r>
        <w:rPr>
          <w:color w:val="0E0E0E"/>
        </w:rPr>
        <w:t>existing</w:t>
      </w:r>
      <w:r>
        <w:rPr>
          <w:color w:val="0E0E0E"/>
          <w:spacing w:val="-5"/>
        </w:rPr>
        <w:t> </w:t>
      </w:r>
      <w:r>
        <w:rPr>
          <w:color w:val="0E0E0E"/>
        </w:rPr>
        <w:t>in</w:t>
      </w:r>
      <w:r>
        <w:rPr>
          <w:color w:val="0E0E0E"/>
          <w:spacing w:val="-16"/>
        </w:rPr>
        <w:t> </w:t>
      </w:r>
      <w:r>
        <w:rPr>
          <w:color w:val="0E0E0E"/>
        </w:rPr>
        <w:t>respect of</w:t>
      </w:r>
      <w:r>
        <w:rPr>
          <w:color w:val="0E0E0E"/>
          <w:spacing w:val="-7"/>
        </w:rPr>
        <w:t> </w:t>
      </w:r>
      <w:r>
        <w:rPr>
          <w:color w:val="0E0E0E"/>
        </w:rPr>
        <w:t>the</w:t>
      </w:r>
      <w:r>
        <w:rPr>
          <w:color w:val="0E0E0E"/>
          <w:spacing w:val="-1"/>
        </w:rPr>
        <w:t> </w:t>
      </w:r>
      <w:r>
        <w:rPr>
          <w:color w:val="0E0E0E"/>
        </w:rPr>
        <w:t>asset and thereafter in</w:t>
      </w:r>
      <w:r>
        <w:rPr>
          <w:color w:val="0E0E0E"/>
          <w:spacing w:val="-7"/>
        </w:rPr>
        <w:t> </w:t>
      </w:r>
      <w:r>
        <w:rPr>
          <w:color w:val="0E0E0E"/>
        </w:rPr>
        <w:t>the Surplus or Deficit on</w:t>
      </w:r>
      <w:r>
        <w:rPr>
          <w:color w:val="0E0E0E"/>
          <w:spacing w:val="-4"/>
        </w:rPr>
        <w:t> </w:t>
      </w:r>
      <w:r>
        <w:rPr>
          <w:color w:val="0E0E0E"/>
        </w:rPr>
        <w:t>the Provision of Services.</w:t>
      </w:r>
    </w:p>
    <w:p>
      <w:pPr>
        <w:pStyle w:val="BodyText"/>
        <w:spacing w:before="7"/>
      </w:pPr>
    </w:p>
    <w:p>
      <w:pPr>
        <w:spacing w:before="0"/>
        <w:ind w:left="1411" w:right="0" w:firstLine="0"/>
        <w:jc w:val="left"/>
        <w:rPr>
          <w:b/>
          <w:sz w:val="21"/>
        </w:rPr>
      </w:pPr>
      <w:r>
        <w:rPr>
          <w:b/>
          <w:color w:val="0E0E0E"/>
          <w:spacing w:val="-2"/>
          <w:w w:val="105"/>
          <w:sz w:val="21"/>
        </w:rPr>
        <w:t>Depreciation</w:t>
      </w:r>
    </w:p>
    <w:p>
      <w:pPr>
        <w:pStyle w:val="BodyText"/>
        <w:spacing w:before="17"/>
        <w:rPr>
          <w:b/>
          <w:sz w:val="21"/>
        </w:rPr>
      </w:pPr>
    </w:p>
    <w:p>
      <w:pPr>
        <w:pStyle w:val="BodyText"/>
        <w:ind w:left="1410" w:right="1334" w:hanging="5"/>
        <w:jc w:val="both"/>
      </w:pPr>
      <w:r>
        <w:rPr>
          <w:color w:val="0E0E0E"/>
        </w:rPr>
        <w:t>Items of property, plant and equipment (other than land, community assets to be held in perpetuity and having no determinable useful life and assets under construction) are depreciated over their expected useful economic lives on a straight line basis over the following number of years:</w:t>
      </w:r>
    </w:p>
    <w:p>
      <w:pPr>
        <w:pStyle w:val="BodyText"/>
        <w:spacing w:before="5"/>
        <w:rPr>
          <w:sz w:val="15"/>
        </w:rPr>
      </w:pPr>
    </w:p>
    <w:p>
      <w:pPr>
        <w:spacing w:after="0"/>
        <w:rPr>
          <w:sz w:val="15"/>
        </w:rPr>
        <w:sectPr>
          <w:headerReference w:type="default" r:id="rId85"/>
          <w:footerReference w:type="default" r:id="rId86"/>
          <w:footerReference w:type="even" r:id="rId87"/>
          <w:pgSz w:w="11910" w:h="16830"/>
          <w:pgMar w:top="640" w:right="100" w:bottom="1340" w:left="20" w:header="0" w:footer="1159"/>
          <w:pgNumType w:start="39"/>
        </w:sectPr>
      </w:pPr>
    </w:p>
    <w:p>
      <w:pPr>
        <w:spacing w:before="98"/>
        <w:ind w:left="3028" w:right="0" w:firstLine="0"/>
        <w:jc w:val="left"/>
        <w:rPr>
          <w:b/>
          <w:sz w:val="21"/>
        </w:rPr>
      </w:pPr>
      <w:r>
        <w:rPr>
          <w:b/>
          <w:color w:val="0E0E0E"/>
          <w:w w:val="105"/>
          <w:sz w:val="21"/>
        </w:rPr>
        <w:t>Asset</w:t>
      </w:r>
      <w:r>
        <w:rPr>
          <w:b/>
          <w:color w:val="0E0E0E"/>
          <w:spacing w:val="-10"/>
          <w:w w:val="105"/>
          <w:sz w:val="21"/>
        </w:rPr>
        <w:t> </w:t>
      </w:r>
      <w:r>
        <w:rPr>
          <w:b/>
          <w:color w:val="0E0E0E"/>
          <w:spacing w:val="-2"/>
          <w:w w:val="105"/>
          <w:sz w:val="21"/>
        </w:rPr>
        <w:t>Category:</w:t>
      </w:r>
    </w:p>
    <w:p>
      <w:pPr>
        <w:pStyle w:val="BodyText"/>
        <w:spacing w:before="19" w:line="249" w:lineRule="auto"/>
        <w:ind w:left="1637" w:right="1103" w:hanging="6"/>
      </w:pPr>
      <w:r>
        <w:rPr>
          <w:color w:val="0E0E0E"/>
        </w:rPr>
        <w:t>Infrastructure</w:t>
      </w:r>
      <w:r>
        <w:rPr>
          <w:color w:val="0E0E0E"/>
          <w:spacing w:val="-10"/>
        </w:rPr>
        <w:t> </w:t>
      </w:r>
      <w:r>
        <w:rPr>
          <w:color w:val="0E0E0E"/>
        </w:rPr>
        <w:t>Assets Other</w:t>
      </w:r>
      <w:r>
        <w:rPr>
          <w:color w:val="0E0E0E"/>
          <w:spacing w:val="-15"/>
        </w:rPr>
        <w:t> </w:t>
      </w:r>
      <w:r>
        <w:rPr>
          <w:color w:val="0E0E0E"/>
        </w:rPr>
        <w:t>Land</w:t>
      </w:r>
      <w:r>
        <w:rPr>
          <w:color w:val="0E0E0E"/>
          <w:spacing w:val="-15"/>
        </w:rPr>
        <w:t> </w:t>
      </w:r>
      <w:r>
        <w:rPr>
          <w:color w:val="0E0E0E"/>
        </w:rPr>
        <w:t>&amp;</w:t>
      </w:r>
      <w:r>
        <w:rPr>
          <w:color w:val="0E0E0E"/>
          <w:spacing w:val="-14"/>
        </w:rPr>
        <w:t> </w:t>
      </w:r>
      <w:r>
        <w:rPr>
          <w:color w:val="0E0E0E"/>
        </w:rPr>
        <w:t>Buildings</w:t>
      </w:r>
    </w:p>
    <w:p>
      <w:pPr>
        <w:pStyle w:val="BodyText"/>
        <w:spacing w:line="251" w:lineRule="exact"/>
        <w:ind w:left="1632"/>
      </w:pPr>
      <w:r>
        <w:rPr>
          <w:color w:val="0E0E0E"/>
        </w:rPr>
        <w:t>Vehicles,</w:t>
      </w:r>
      <w:r>
        <w:rPr>
          <w:color w:val="0E0E0E"/>
          <w:spacing w:val="5"/>
        </w:rPr>
        <w:t> </w:t>
      </w:r>
      <w:r>
        <w:rPr>
          <w:color w:val="0E0E0E"/>
        </w:rPr>
        <w:t>Plant</w:t>
      </w:r>
      <w:r>
        <w:rPr>
          <w:color w:val="0E0E0E"/>
          <w:spacing w:val="-6"/>
        </w:rPr>
        <w:t> </w:t>
      </w:r>
      <w:r>
        <w:rPr>
          <w:color w:val="0E0E0E"/>
        </w:rPr>
        <w:t>&amp;</w:t>
      </w:r>
      <w:r>
        <w:rPr>
          <w:color w:val="0E0E0E"/>
          <w:spacing w:val="-10"/>
        </w:rPr>
        <w:t> </w:t>
      </w:r>
      <w:r>
        <w:rPr>
          <w:color w:val="0E0E0E"/>
        </w:rPr>
        <w:t>Other</w:t>
      </w:r>
      <w:r>
        <w:rPr>
          <w:color w:val="0E0E0E"/>
          <w:spacing w:val="-6"/>
        </w:rPr>
        <w:t> </w:t>
      </w:r>
      <w:r>
        <w:rPr>
          <w:color w:val="0E0E0E"/>
          <w:spacing w:val="-2"/>
        </w:rPr>
        <w:t>Equipment</w:t>
      </w:r>
    </w:p>
    <w:p>
      <w:pPr>
        <w:pStyle w:val="BodyText"/>
        <w:spacing w:before="17"/>
      </w:pPr>
    </w:p>
    <w:p>
      <w:pPr>
        <w:spacing w:before="0"/>
        <w:ind w:left="1412" w:right="0" w:firstLine="0"/>
        <w:jc w:val="left"/>
        <w:rPr>
          <w:b/>
          <w:sz w:val="21"/>
        </w:rPr>
      </w:pPr>
      <w:r>
        <w:rPr>
          <w:b/>
          <w:color w:val="0E0E0E"/>
          <w:spacing w:val="-2"/>
          <w:w w:val="105"/>
          <w:sz w:val="21"/>
        </w:rPr>
        <w:t>Impairment</w:t>
      </w:r>
    </w:p>
    <w:p>
      <w:pPr>
        <w:spacing w:before="94"/>
        <w:ind w:left="2330" w:right="0" w:firstLine="0"/>
        <w:jc w:val="both"/>
        <w:rPr>
          <w:b/>
          <w:sz w:val="21"/>
        </w:rPr>
      </w:pPr>
      <w:r>
        <w:rPr/>
        <w:br w:type="column"/>
      </w:r>
      <w:r>
        <w:rPr>
          <w:b/>
          <w:color w:val="0E0E0E"/>
          <w:w w:val="105"/>
          <w:sz w:val="21"/>
        </w:rPr>
        <w:t>Depreciation</w:t>
      </w:r>
      <w:r>
        <w:rPr>
          <w:b/>
          <w:color w:val="0E0E0E"/>
          <w:spacing w:val="-15"/>
          <w:w w:val="105"/>
          <w:sz w:val="21"/>
        </w:rPr>
        <w:t> </w:t>
      </w:r>
      <w:r>
        <w:rPr>
          <w:b/>
          <w:color w:val="0E0E0E"/>
          <w:spacing w:val="-2"/>
          <w:w w:val="105"/>
          <w:sz w:val="21"/>
        </w:rPr>
        <w:t>Basis:</w:t>
      </w:r>
    </w:p>
    <w:p>
      <w:pPr>
        <w:pStyle w:val="BodyText"/>
        <w:spacing w:before="18" w:line="249" w:lineRule="auto"/>
        <w:ind w:left="1275" w:right="4007" w:hanging="5"/>
        <w:jc w:val="both"/>
      </w:pPr>
      <w:r>
        <w:rPr>
          <w:color w:val="0E0E0E"/>
        </w:rPr>
        <w:t>Up</w:t>
      </w:r>
      <w:r>
        <w:rPr>
          <w:color w:val="0E0E0E"/>
          <w:spacing w:val="-16"/>
        </w:rPr>
        <w:t> </w:t>
      </w:r>
      <w:r>
        <w:rPr>
          <w:color w:val="0E0E0E"/>
        </w:rPr>
        <w:t>to</w:t>
      </w:r>
      <w:r>
        <w:rPr>
          <w:color w:val="0E0E0E"/>
          <w:spacing w:val="-13"/>
        </w:rPr>
        <w:t> </w:t>
      </w:r>
      <w:r>
        <w:rPr>
          <w:color w:val="0E0E0E"/>
        </w:rPr>
        <w:t>20</w:t>
      </w:r>
      <w:r>
        <w:rPr>
          <w:color w:val="0E0E0E"/>
          <w:spacing w:val="-6"/>
        </w:rPr>
        <w:t> </w:t>
      </w:r>
      <w:r>
        <w:rPr>
          <w:color w:val="0E0E0E"/>
        </w:rPr>
        <w:t>Years Up</w:t>
      </w:r>
      <w:r>
        <w:rPr>
          <w:color w:val="0E0E0E"/>
          <w:spacing w:val="-14"/>
        </w:rPr>
        <w:t> </w:t>
      </w:r>
      <w:r>
        <w:rPr>
          <w:color w:val="0E0E0E"/>
        </w:rPr>
        <w:t>to</w:t>
      </w:r>
      <w:r>
        <w:rPr>
          <w:color w:val="0E0E0E"/>
          <w:spacing w:val="-14"/>
        </w:rPr>
        <w:t> </w:t>
      </w:r>
      <w:r>
        <w:rPr>
          <w:color w:val="0E0E0E"/>
        </w:rPr>
        <w:t>60</w:t>
      </w:r>
      <w:r>
        <w:rPr>
          <w:color w:val="0E0E0E"/>
          <w:spacing w:val="-13"/>
        </w:rPr>
        <w:t> </w:t>
      </w:r>
      <w:r>
        <w:rPr>
          <w:color w:val="0E0E0E"/>
        </w:rPr>
        <w:t>Years 3 to 25 Years</w:t>
      </w:r>
    </w:p>
    <w:p>
      <w:pPr>
        <w:spacing w:after="0" w:line="249" w:lineRule="auto"/>
        <w:jc w:val="both"/>
        <w:sectPr>
          <w:type w:val="continuous"/>
          <w:pgSz w:w="11910" w:h="16830"/>
          <w:pgMar w:top="1940" w:right="100" w:bottom="280" w:left="20" w:header="0" w:footer="1159"/>
          <w:cols w:equalWidth="0" w:num="2">
            <w:col w:w="4999" w:space="40"/>
            <w:col w:w="6751"/>
          </w:cols>
        </w:sectPr>
      </w:pPr>
    </w:p>
    <w:p>
      <w:pPr>
        <w:pStyle w:val="BodyText"/>
        <w:spacing w:before="6"/>
      </w:pPr>
    </w:p>
    <w:p>
      <w:pPr>
        <w:pStyle w:val="BodyText"/>
        <w:ind w:left="1412" w:right="1321" w:firstLine="4"/>
        <w:jc w:val="both"/>
      </w:pPr>
      <w:r>
        <w:rPr>
          <w:color w:val="0E0E0E"/>
        </w:rPr>
        <w:t>The</w:t>
      </w:r>
      <w:r>
        <w:rPr>
          <w:color w:val="0E0E0E"/>
          <w:spacing w:val="-3"/>
        </w:rPr>
        <w:t> </w:t>
      </w:r>
      <w:r>
        <w:rPr>
          <w:color w:val="0E0E0E"/>
        </w:rPr>
        <w:t>Council's assets are</w:t>
      </w:r>
      <w:r>
        <w:rPr>
          <w:color w:val="0E0E0E"/>
          <w:spacing w:val="-4"/>
        </w:rPr>
        <w:t> </w:t>
      </w:r>
      <w:r>
        <w:rPr>
          <w:color w:val="0E0E0E"/>
        </w:rPr>
        <w:t>reviewed for any evidence of</w:t>
      </w:r>
      <w:r>
        <w:rPr>
          <w:color w:val="0E0E0E"/>
          <w:spacing w:val="-5"/>
        </w:rPr>
        <w:t> </w:t>
      </w:r>
      <w:r>
        <w:rPr>
          <w:color w:val="0E0E0E"/>
        </w:rPr>
        <w:t>impairment (e.g., a significant decline in</w:t>
      </w:r>
      <w:r>
        <w:rPr>
          <w:color w:val="0E0E0E"/>
          <w:spacing w:val="-16"/>
        </w:rPr>
        <w:t> </w:t>
      </w:r>
      <w:r>
        <w:rPr>
          <w:color w:val="0E0E0E"/>
        </w:rPr>
        <w:t>the</w:t>
      </w:r>
      <w:r>
        <w:rPr>
          <w:color w:val="0E0E0E"/>
          <w:spacing w:val="-15"/>
        </w:rPr>
        <w:t> </w:t>
      </w:r>
      <w:r>
        <w:rPr>
          <w:color w:val="0E0E0E"/>
        </w:rPr>
        <w:t>asset's</w:t>
      </w:r>
      <w:r>
        <w:rPr>
          <w:color w:val="0E0E0E"/>
          <w:spacing w:val="-15"/>
        </w:rPr>
        <w:t> </w:t>
      </w:r>
      <w:r>
        <w:rPr>
          <w:color w:val="0E0E0E"/>
        </w:rPr>
        <w:t>carrying</w:t>
      </w:r>
      <w:r>
        <w:rPr>
          <w:color w:val="0E0E0E"/>
          <w:spacing w:val="-16"/>
        </w:rPr>
        <w:t> </w:t>
      </w:r>
      <w:r>
        <w:rPr>
          <w:color w:val="0E0E0E"/>
        </w:rPr>
        <w:t>amount</w:t>
      </w:r>
      <w:r>
        <w:rPr>
          <w:color w:val="0E0E0E"/>
          <w:spacing w:val="-10"/>
        </w:rPr>
        <w:t> </w:t>
      </w:r>
      <w:r>
        <w:rPr>
          <w:color w:val="0E0E0E"/>
        </w:rPr>
        <w:t>which</w:t>
      </w:r>
      <w:r>
        <w:rPr>
          <w:color w:val="0E0E0E"/>
          <w:spacing w:val="-16"/>
        </w:rPr>
        <w:t> </w:t>
      </w:r>
      <w:r>
        <w:rPr>
          <w:color w:val="0E0E0E"/>
        </w:rPr>
        <w:t>is</w:t>
      </w:r>
      <w:r>
        <w:rPr>
          <w:color w:val="0E0E0E"/>
          <w:spacing w:val="-15"/>
        </w:rPr>
        <w:t> </w:t>
      </w:r>
      <w:r>
        <w:rPr>
          <w:color w:val="0E0E0E"/>
        </w:rPr>
        <w:t>specific</w:t>
      </w:r>
      <w:r>
        <w:rPr>
          <w:color w:val="0E0E0E"/>
          <w:spacing w:val="-12"/>
        </w:rPr>
        <w:t> </w:t>
      </w:r>
      <w:r>
        <w:rPr>
          <w:color w:val="0E0E0E"/>
        </w:rPr>
        <w:t>to</w:t>
      </w:r>
      <w:r>
        <w:rPr>
          <w:color w:val="0E0E0E"/>
          <w:spacing w:val="-16"/>
        </w:rPr>
        <w:t> </w:t>
      </w:r>
      <w:r>
        <w:rPr>
          <w:color w:val="0E0E0E"/>
        </w:rPr>
        <w:t>the</w:t>
      </w:r>
      <w:r>
        <w:rPr>
          <w:color w:val="0E0E0E"/>
          <w:spacing w:val="-15"/>
        </w:rPr>
        <w:t> </w:t>
      </w:r>
      <w:r>
        <w:rPr>
          <w:color w:val="0E0E0E"/>
        </w:rPr>
        <w:t>asset,</w:t>
      </w:r>
      <w:r>
        <w:rPr>
          <w:color w:val="0E0E0E"/>
          <w:spacing w:val="-4"/>
        </w:rPr>
        <w:t> </w:t>
      </w:r>
      <w:r>
        <w:rPr>
          <w:color w:val="0E0E0E"/>
        </w:rPr>
        <w:t>obsolescence or</w:t>
      </w:r>
      <w:r>
        <w:rPr>
          <w:color w:val="0E0E0E"/>
          <w:spacing w:val="-16"/>
        </w:rPr>
        <w:t> </w:t>
      </w:r>
      <w:r>
        <w:rPr>
          <w:color w:val="0E0E0E"/>
        </w:rPr>
        <w:t>damage) at</w:t>
      </w:r>
      <w:r>
        <w:rPr>
          <w:color w:val="0E0E0E"/>
          <w:spacing w:val="-16"/>
        </w:rPr>
        <w:t> </w:t>
      </w:r>
      <w:r>
        <w:rPr>
          <w:color w:val="0E0E0E"/>
        </w:rPr>
        <w:t>each balance sheet date.</w:t>
      </w:r>
      <w:r>
        <w:rPr>
          <w:color w:val="0E0E0E"/>
          <w:spacing w:val="40"/>
        </w:rPr>
        <w:t> </w:t>
      </w:r>
      <w:r>
        <w:rPr>
          <w:color w:val="0E0E0E"/>
        </w:rPr>
        <w:t>Any impairment loss is charged to the Revaluation Reserve up to the value of the credit balance existing in respect of the asset and thereafter in the Surplus or Deficit on the Provision of Services.</w:t>
      </w:r>
    </w:p>
    <w:p>
      <w:pPr>
        <w:pStyle w:val="BodyText"/>
        <w:spacing w:before="10"/>
      </w:pPr>
    </w:p>
    <w:p>
      <w:pPr>
        <w:spacing w:before="0"/>
        <w:ind w:left="1416" w:right="0" w:firstLine="0"/>
        <w:jc w:val="left"/>
        <w:rPr>
          <w:b/>
          <w:sz w:val="21"/>
        </w:rPr>
      </w:pPr>
      <w:r>
        <w:rPr>
          <w:b/>
          <w:color w:val="0E0E0E"/>
          <w:spacing w:val="-2"/>
          <w:w w:val="105"/>
          <w:sz w:val="21"/>
        </w:rPr>
        <w:t>Disposals</w:t>
      </w:r>
    </w:p>
    <w:p>
      <w:pPr>
        <w:pStyle w:val="BodyText"/>
        <w:spacing w:before="12"/>
        <w:rPr>
          <w:b/>
          <w:sz w:val="21"/>
        </w:rPr>
      </w:pPr>
    </w:p>
    <w:p>
      <w:pPr>
        <w:pStyle w:val="BodyText"/>
        <w:ind w:left="1419" w:right="1312" w:firstLine="2"/>
        <w:jc w:val="both"/>
      </w:pPr>
      <w:r>
        <w:rPr>
          <w:color w:val="0E0E0E"/>
        </w:rPr>
        <w:t>On</w:t>
      </w:r>
      <w:r>
        <w:rPr>
          <w:color w:val="0E0E0E"/>
          <w:spacing w:val="-16"/>
        </w:rPr>
        <w:t> </w:t>
      </w:r>
      <w:r>
        <w:rPr>
          <w:color w:val="0E0E0E"/>
        </w:rPr>
        <w:t>disposal</w:t>
      </w:r>
      <w:r>
        <w:rPr>
          <w:color w:val="0E0E0E"/>
          <w:spacing w:val="-2"/>
        </w:rPr>
        <w:t> </w:t>
      </w:r>
      <w:r>
        <w:rPr>
          <w:color w:val="0E0E0E"/>
        </w:rPr>
        <w:t>of</w:t>
      </w:r>
      <w:r>
        <w:rPr>
          <w:color w:val="0E0E0E"/>
          <w:spacing w:val="-14"/>
        </w:rPr>
        <w:t> </w:t>
      </w:r>
      <w:r>
        <w:rPr>
          <w:color w:val="0E0E0E"/>
        </w:rPr>
        <w:t>assets</w:t>
      </w:r>
      <w:r>
        <w:rPr>
          <w:color w:val="0E0E0E"/>
          <w:spacing w:val="-9"/>
        </w:rPr>
        <w:t> </w:t>
      </w:r>
      <w:r>
        <w:rPr>
          <w:color w:val="0E0E0E"/>
        </w:rPr>
        <w:t>the</w:t>
      </w:r>
      <w:r>
        <w:rPr>
          <w:color w:val="0E0E0E"/>
          <w:spacing w:val="-16"/>
        </w:rPr>
        <w:t> </w:t>
      </w:r>
      <w:r>
        <w:rPr>
          <w:color w:val="0E0E0E"/>
        </w:rPr>
        <w:t>difference</w:t>
      </w:r>
      <w:r>
        <w:rPr>
          <w:color w:val="0E0E0E"/>
          <w:spacing w:val="-2"/>
        </w:rPr>
        <w:t> </w:t>
      </w:r>
      <w:r>
        <w:rPr>
          <w:color w:val="0E0E0E"/>
        </w:rPr>
        <w:t>between</w:t>
      </w:r>
      <w:r>
        <w:rPr>
          <w:color w:val="0E0E0E"/>
          <w:spacing w:val="-9"/>
        </w:rPr>
        <w:t> </w:t>
      </w:r>
      <w:r>
        <w:rPr>
          <w:color w:val="0E0E0E"/>
        </w:rPr>
        <w:t>the</w:t>
      </w:r>
      <w:r>
        <w:rPr>
          <w:color w:val="0E0E0E"/>
          <w:spacing w:val="-16"/>
        </w:rPr>
        <w:t> </w:t>
      </w:r>
      <w:r>
        <w:rPr>
          <w:color w:val="0E0E0E"/>
        </w:rPr>
        <w:t>net</w:t>
      </w:r>
      <w:r>
        <w:rPr>
          <w:color w:val="0E0E0E"/>
          <w:spacing w:val="-11"/>
        </w:rPr>
        <w:t> </w:t>
      </w:r>
      <w:r>
        <w:rPr>
          <w:color w:val="0E0E0E"/>
        </w:rPr>
        <w:t>disposal</w:t>
      </w:r>
      <w:r>
        <w:rPr>
          <w:color w:val="0E0E0E"/>
          <w:spacing w:val="-8"/>
        </w:rPr>
        <w:t> </w:t>
      </w:r>
      <w:r>
        <w:rPr>
          <w:color w:val="0E0E0E"/>
        </w:rPr>
        <w:t>proceeds</w:t>
      </w:r>
      <w:r>
        <w:rPr>
          <w:color w:val="0E0E0E"/>
          <w:spacing w:val="-1"/>
        </w:rPr>
        <w:t> </w:t>
      </w:r>
      <w:r>
        <w:rPr>
          <w:color w:val="0E0E0E"/>
        </w:rPr>
        <w:t>after</w:t>
      </w:r>
      <w:r>
        <w:rPr>
          <w:color w:val="0E0E0E"/>
          <w:spacing w:val="-4"/>
        </w:rPr>
        <w:t> </w:t>
      </w:r>
      <w:r>
        <w:rPr>
          <w:color w:val="0E0E0E"/>
        </w:rPr>
        <w:t>any</w:t>
      </w:r>
      <w:r>
        <w:rPr>
          <w:color w:val="0E0E0E"/>
          <w:spacing w:val="-11"/>
        </w:rPr>
        <w:t> </w:t>
      </w:r>
      <w:r>
        <w:rPr>
          <w:color w:val="0E0E0E"/>
        </w:rPr>
        <w:t>fees</w:t>
      </w:r>
      <w:r>
        <w:rPr>
          <w:color w:val="0E0E0E"/>
          <w:spacing w:val="-3"/>
        </w:rPr>
        <w:t> </w:t>
      </w:r>
      <w:r>
        <w:rPr>
          <w:color w:val="0E0E0E"/>
        </w:rPr>
        <w:t>and</w:t>
      </w:r>
      <w:r>
        <w:rPr>
          <w:color w:val="0E0E0E"/>
          <w:spacing w:val="-16"/>
        </w:rPr>
        <w:t> </w:t>
      </w:r>
      <w:r>
        <w:rPr>
          <w:color w:val="0E0E0E"/>
        </w:rPr>
        <w:t>the carrying amount of the asset is included in the Comprehensive Income &amp; Expenditure Statement.</w:t>
      </w:r>
      <w:r>
        <w:rPr>
          <w:color w:val="0E0E0E"/>
          <w:spacing w:val="40"/>
        </w:rPr>
        <w:t> </w:t>
      </w:r>
      <w:r>
        <w:rPr>
          <w:color w:val="0E0E0E"/>
        </w:rPr>
        <w:t>However such a gain or loss on</w:t>
      </w:r>
      <w:r>
        <w:rPr>
          <w:color w:val="0E0E0E"/>
          <w:spacing w:val="-2"/>
        </w:rPr>
        <w:t> </w:t>
      </w:r>
      <w:r>
        <w:rPr>
          <w:color w:val="0E0E0E"/>
        </w:rPr>
        <w:t>de-recognition</w:t>
      </w:r>
      <w:r>
        <w:rPr>
          <w:color w:val="0E0E0E"/>
          <w:spacing w:val="-11"/>
        </w:rPr>
        <w:t> </w:t>
      </w:r>
      <w:r>
        <w:rPr>
          <w:color w:val="0E0E0E"/>
        </w:rPr>
        <w:t>is not deemed a proper credit or charge in the General Fund and is subsequently reported in the Movement in Reserves Statement with an amount equal to the net disposal proceeds being credited to the Capital Receipts Reserve and</w:t>
      </w:r>
      <w:r>
        <w:rPr>
          <w:color w:val="0E0E0E"/>
          <w:spacing w:val="-6"/>
        </w:rPr>
        <w:t> </w:t>
      </w:r>
      <w:r>
        <w:rPr>
          <w:color w:val="0E0E0E"/>
        </w:rPr>
        <w:t>an</w:t>
      </w:r>
      <w:r>
        <w:rPr>
          <w:color w:val="0E0E0E"/>
          <w:spacing w:val="-4"/>
        </w:rPr>
        <w:t> </w:t>
      </w:r>
      <w:r>
        <w:rPr>
          <w:color w:val="0E0E0E"/>
        </w:rPr>
        <w:t>amount equal</w:t>
      </w:r>
      <w:r>
        <w:rPr>
          <w:color w:val="0E0E0E"/>
          <w:spacing w:val="-5"/>
        </w:rPr>
        <w:t> </w:t>
      </w:r>
      <w:r>
        <w:rPr>
          <w:color w:val="0E0E0E"/>
        </w:rPr>
        <w:t>to</w:t>
      </w:r>
      <w:r>
        <w:rPr>
          <w:color w:val="0E0E0E"/>
          <w:spacing w:val="-11"/>
        </w:rPr>
        <w:t> </w:t>
      </w:r>
      <w:r>
        <w:rPr>
          <w:color w:val="0E0E0E"/>
        </w:rPr>
        <w:t>the</w:t>
      </w:r>
      <w:r>
        <w:rPr>
          <w:color w:val="0E0E0E"/>
          <w:spacing w:val="-1"/>
        </w:rPr>
        <w:t> </w:t>
      </w:r>
      <w:r>
        <w:rPr>
          <w:color w:val="0E0E0E"/>
        </w:rPr>
        <w:t>carrying amount of</w:t>
      </w:r>
      <w:r>
        <w:rPr>
          <w:color w:val="0E0E0E"/>
          <w:spacing w:val="-11"/>
        </w:rPr>
        <w:t> </w:t>
      </w:r>
      <w:r>
        <w:rPr>
          <w:color w:val="0E0E0E"/>
        </w:rPr>
        <w:t>the</w:t>
      </w:r>
      <w:r>
        <w:rPr>
          <w:color w:val="0E0E0E"/>
          <w:spacing w:val="-1"/>
        </w:rPr>
        <w:t> </w:t>
      </w:r>
      <w:r>
        <w:rPr>
          <w:color w:val="0E0E0E"/>
        </w:rPr>
        <w:t>asset being charged</w:t>
      </w:r>
      <w:r>
        <w:rPr>
          <w:color w:val="0E0E0E"/>
          <w:spacing w:val="-2"/>
        </w:rPr>
        <w:t> </w:t>
      </w:r>
      <w:r>
        <w:rPr>
          <w:color w:val="0E0E0E"/>
        </w:rPr>
        <w:t>to the Capital Adjustment Account.</w:t>
      </w:r>
    </w:p>
    <w:p>
      <w:pPr>
        <w:pStyle w:val="BodyText"/>
        <w:spacing w:before="8"/>
      </w:pPr>
    </w:p>
    <w:p>
      <w:pPr>
        <w:spacing w:before="1"/>
        <w:ind w:left="1421" w:right="0" w:firstLine="0"/>
        <w:jc w:val="left"/>
        <w:rPr>
          <w:b/>
          <w:sz w:val="21"/>
        </w:rPr>
      </w:pPr>
      <w:r>
        <w:rPr>
          <w:b/>
          <w:color w:val="0E0E0E"/>
          <w:w w:val="105"/>
          <w:sz w:val="21"/>
        </w:rPr>
        <w:t>Charges to</w:t>
      </w:r>
      <w:r>
        <w:rPr>
          <w:b/>
          <w:color w:val="0E0E0E"/>
          <w:spacing w:val="-14"/>
          <w:w w:val="105"/>
          <w:sz w:val="21"/>
        </w:rPr>
        <w:t> </w:t>
      </w:r>
      <w:r>
        <w:rPr>
          <w:b/>
          <w:color w:val="0E0E0E"/>
          <w:w w:val="105"/>
          <w:sz w:val="21"/>
        </w:rPr>
        <w:t>the</w:t>
      </w:r>
      <w:r>
        <w:rPr>
          <w:b/>
          <w:color w:val="0E0E0E"/>
          <w:spacing w:val="-15"/>
          <w:w w:val="105"/>
          <w:sz w:val="21"/>
        </w:rPr>
        <w:t> </w:t>
      </w:r>
      <w:r>
        <w:rPr>
          <w:b/>
          <w:color w:val="0E0E0E"/>
          <w:w w:val="105"/>
          <w:sz w:val="21"/>
        </w:rPr>
        <w:t>Comprehensive</w:t>
      </w:r>
      <w:r>
        <w:rPr>
          <w:b/>
          <w:color w:val="0E0E0E"/>
          <w:spacing w:val="13"/>
          <w:w w:val="105"/>
          <w:sz w:val="21"/>
        </w:rPr>
        <w:t> </w:t>
      </w:r>
      <w:r>
        <w:rPr>
          <w:b/>
          <w:color w:val="0E0E0E"/>
          <w:w w:val="105"/>
          <w:sz w:val="21"/>
        </w:rPr>
        <w:t>Income</w:t>
      </w:r>
      <w:r>
        <w:rPr>
          <w:b/>
          <w:color w:val="0E0E0E"/>
          <w:spacing w:val="-1"/>
          <w:w w:val="105"/>
          <w:sz w:val="21"/>
        </w:rPr>
        <w:t> </w:t>
      </w:r>
      <w:r>
        <w:rPr>
          <w:b/>
          <w:color w:val="0E0E0E"/>
          <w:w w:val="105"/>
          <w:sz w:val="21"/>
        </w:rPr>
        <w:t>&amp;</w:t>
      </w:r>
      <w:r>
        <w:rPr>
          <w:b/>
          <w:color w:val="0E0E0E"/>
          <w:spacing w:val="-9"/>
          <w:w w:val="105"/>
          <w:sz w:val="21"/>
        </w:rPr>
        <w:t> </w:t>
      </w:r>
      <w:r>
        <w:rPr>
          <w:b/>
          <w:color w:val="0E0E0E"/>
          <w:w w:val="105"/>
          <w:sz w:val="21"/>
        </w:rPr>
        <w:t>Expenditure</w:t>
      </w:r>
      <w:r>
        <w:rPr>
          <w:b/>
          <w:color w:val="0E0E0E"/>
          <w:spacing w:val="9"/>
          <w:w w:val="105"/>
          <w:sz w:val="21"/>
        </w:rPr>
        <w:t> </w:t>
      </w:r>
      <w:r>
        <w:rPr>
          <w:b/>
          <w:color w:val="0E0E0E"/>
          <w:w w:val="105"/>
          <w:sz w:val="21"/>
        </w:rPr>
        <w:t>Statement for</w:t>
      </w:r>
      <w:r>
        <w:rPr>
          <w:b/>
          <w:color w:val="0E0E0E"/>
          <w:spacing w:val="-11"/>
          <w:w w:val="105"/>
          <w:sz w:val="21"/>
        </w:rPr>
        <w:t> </w:t>
      </w:r>
      <w:r>
        <w:rPr>
          <w:b/>
          <w:color w:val="0E0E0E"/>
          <w:w w:val="105"/>
          <w:sz w:val="21"/>
        </w:rPr>
        <w:t>the</w:t>
      </w:r>
      <w:r>
        <w:rPr>
          <w:b/>
          <w:color w:val="0E0E0E"/>
          <w:spacing w:val="-6"/>
          <w:w w:val="105"/>
          <w:sz w:val="21"/>
        </w:rPr>
        <w:t> </w:t>
      </w:r>
      <w:r>
        <w:rPr>
          <w:b/>
          <w:color w:val="0E0E0E"/>
          <w:w w:val="105"/>
          <w:sz w:val="21"/>
        </w:rPr>
        <w:t>Use</w:t>
      </w:r>
      <w:r>
        <w:rPr>
          <w:b/>
          <w:color w:val="0E0E0E"/>
          <w:spacing w:val="-10"/>
          <w:w w:val="105"/>
          <w:sz w:val="21"/>
        </w:rPr>
        <w:t> </w:t>
      </w:r>
      <w:r>
        <w:rPr>
          <w:b/>
          <w:color w:val="0E0E0E"/>
          <w:w w:val="105"/>
          <w:sz w:val="21"/>
        </w:rPr>
        <w:t>of</w:t>
      </w:r>
      <w:r>
        <w:rPr>
          <w:b/>
          <w:color w:val="0E0E0E"/>
          <w:spacing w:val="-7"/>
          <w:w w:val="105"/>
          <w:sz w:val="21"/>
        </w:rPr>
        <w:t> </w:t>
      </w:r>
      <w:r>
        <w:rPr>
          <w:b/>
          <w:color w:val="0E0E0E"/>
          <w:spacing w:val="-2"/>
          <w:w w:val="105"/>
          <w:sz w:val="21"/>
        </w:rPr>
        <w:t>Assets</w:t>
      </w:r>
    </w:p>
    <w:p>
      <w:pPr>
        <w:pStyle w:val="BodyText"/>
        <w:spacing w:before="17"/>
        <w:rPr>
          <w:b/>
          <w:sz w:val="21"/>
        </w:rPr>
      </w:pPr>
    </w:p>
    <w:p>
      <w:pPr>
        <w:pStyle w:val="BodyText"/>
        <w:ind w:left="1424" w:right="1296" w:hanging="3"/>
        <w:jc w:val="both"/>
      </w:pPr>
      <w:r>
        <w:rPr>
          <w:color w:val="0E0E0E"/>
        </w:rPr>
        <w:t>Service revenue accounts, support services and trading accounts are charged with the real cost of</w:t>
      </w:r>
      <w:r>
        <w:rPr>
          <w:color w:val="0E0E0E"/>
          <w:spacing w:val="-4"/>
        </w:rPr>
        <w:t> </w:t>
      </w:r>
      <w:r>
        <w:rPr>
          <w:color w:val="0E0E0E"/>
        </w:rPr>
        <w:t>utilising assets through depreciation, revaluation and</w:t>
      </w:r>
      <w:r>
        <w:rPr>
          <w:color w:val="0E0E0E"/>
          <w:spacing w:val="-1"/>
        </w:rPr>
        <w:t> </w:t>
      </w:r>
      <w:r>
        <w:rPr>
          <w:color w:val="0E0E0E"/>
        </w:rPr>
        <w:t>impairment losses as disclosed above. However local government statute does not</w:t>
      </w:r>
      <w:r>
        <w:rPr>
          <w:color w:val="0E0E0E"/>
          <w:spacing w:val="-1"/>
        </w:rPr>
        <w:t> </w:t>
      </w:r>
      <w:r>
        <w:rPr>
          <w:color w:val="0E0E0E"/>
        </w:rPr>
        <w:t>require the council to raise council tax to cover these </w:t>
      </w:r>
      <w:r>
        <w:rPr>
          <w:color w:val="242424"/>
        </w:rPr>
        <w:t>charges </w:t>
      </w:r>
      <w:r>
        <w:rPr>
          <w:color w:val="0E0E0E"/>
        </w:rPr>
        <w:t>and they </w:t>
      </w:r>
      <w:r>
        <w:rPr>
          <w:color w:val="242424"/>
        </w:rPr>
        <w:t>are </w:t>
      </w:r>
      <w:r>
        <w:rPr>
          <w:color w:val="0E0E0E"/>
        </w:rPr>
        <w:t>subsequently transferred </w:t>
      </w:r>
      <w:r>
        <w:rPr>
          <w:color w:val="242424"/>
        </w:rPr>
        <w:t>from </w:t>
      </w:r>
      <w:r>
        <w:rPr>
          <w:color w:val="0E0E0E"/>
        </w:rPr>
        <w:t>the General Fund to the Capital Adjustment</w:t>
      </w:r>
      <w:r>
        <w:rPr>
          <w:color w:val="0E0E0E"/>
          <w:spacing w:val="35"/>
        </w:rPr>
        <w:t> </w:t>
      </w:r>
      <w:r>
        <w:rPr>
          <w:color w:val="0E0E0E"/>
        </w:rPr>
        <w:t>Account and</w:t>
      </w:r>
      <w:r>
        <w:rPr>
          <w:color w:val="0E0E0E"/>
          <w:spacing w:val="-5"/>
        </w:rPr>
        <w:t> </w:t>
      </w:r>
      <w:r>
        <w:rPr>
          <w:color w:val="0E0E0E"/>
        </w:rPr>
        <w:t>reported in</w:t>
      </w:r>
      <w:r>
        <w:rPr>
          <w:color w:val="0E0E0E"/>
          <w:spacing w:val="-3"/>
        </w:rPr>
        <w:t> </w:t>
      </w:r>
      <w:r>
        <w:rPr>
          <w:color w:val="242424"/>
        </w:rPr>
        <w:t>the</w:t>
      </w:r>
      <w:r>
        <w:rPr>
          <w:color w:val="242424"/>
          <w:spacing w:val="-10"/>
        </w:rPr>
        <w:t> </w:t>
      </w:r>
      <w:r>
        <w:rPr>
          <w:color w:val="0E0E0E"/>
        </w:rPr>
        <w:t>Movement in </w:t>
      </w:r>
      <w:r>
        <w:rPr>
          <w:color w:val="242424"/>
        </w:rPr>
        <w:t>Reserves</w:t>
      </w:r>
      <w:r>
        <w:rPr>
          <w:color w:val="242424"/>
          <w:spacing w:val="32"/>
        </w:rPr>
        <w:t> </w:t>
      </w:r>
      <w:r>
        <w:rPr>
          <w:color w:val="0E0E0E"/>
        </w:rPr>
        <w:t>Statement.</w:t>
      </w:r>
    </w:p>
    <w:p>
      <w:pPr>
        <w:pStyle w:val="BodyText"/>
        <w:spacing w:before="14"/>
      </w:pPr>
    </w:p>
    <w:p>
      <w:pPr>
        <w:spacing w:before="1"/>
        <w:ind w:left="1426" w:right="0" w:firstLine="0"/>
        <w:jc w:val="left"/>
        <w:rPr>
          <w:b/>
          <w:sz w:val="21"/>
        </w:rPr>
      </w:pPr>
      <w:r>
        <w:rPr>
          <w:b/>
          <w:color w:val="0E0E0E"/>
          <w:w w:val="105"/>
          <w:sz w:val="21"/>
        </w:rPr>
        <w:t>Heritage</w:t>
      </w:r>
      <w:r>
        <w:rPr>
          <w:b/>
          <w:color w:val="0E0E0E"/>
          <w:spacing w:val="-12"/>
          <w:w w:val="105"/>
          <w:sz w:val="21"/>
        </w:rPr>
        <w:t> </w:t>
      </w:r>
      <w:r>
        <w:rPr>
          <w:b/>
          <w:color w:val="0E0E0E"/>
          <w:spacing w:val="-2"/>
          <w:w w:val="105"/>
          <w:sz w:val="21"/>
        </w:rPr>
        <w:t>assets</w:t>
      </w:r>
    </w:p>
    <w:p>
      <w:pPr>
        <w:pStyle w:val="BodyText"/>
        <w:spacing w:before="18"/>
        <w:rPr>
          <w:b/>
          <w:sz w:val="21"/>
        </w:rPr>
      </w:pPr>
    </w:p>
    <w:p>
      <w:pPr>
        <w:pStyle w:val="BodyText"/>
        <w:spacing w:before="1" w:line="237" w:lineRule="auto"/>
        <w:ind w:left="1428" w:right="1282" w:hanging="5"/>
        <w:jc w:val="both"/>
      </w:pPr>
      <w:r>
        <w:rPr>
          <w:color w:val="0E0E0E"/>
        </w:rPr>
        <w:t>Heritage assets are those assets that are intended to be preserved in trust for future generations because of their cultural, environmental or historical associations.</w:t>
      </w:r>
      <w:r>
        <w:rPr>
          <w:color w:val="0E0E0E"/>
          <w:spacing w:val="40"/>
        </w:rPr>
        <w:t> </w:t>
      </w:r>
      <w:r>
        <w:rPr>
          <w:color w:val="0E0E0E"/>
        </w:rPr>
        <w:t>Such assets are recognised and measured (including the treatment of revaluation gains and losses) in accordance with the Council's accounting policies for property, plant and equipment. However, some of</w:t>
      </w:r>
      <w:r>
        <w:rPr>
          <w:color w:val="0E0E0E"/>
          <w:spacing w:val="-2"/>
        </w:rPr>
        <w:t> </w:t>
      </w:r>
      <w:r>
        <w:rPr>
          <w:color w:val="0E0E0E"/>
        </w:rPr>
        <w:t>the</w:t>
      </w:r>
      <w:r>
        <w:rPr>
          <w:color w:val="0E0E0E"/>
          <w:spacing w:val="-5"/>
        </w:rPr>
        <w:t> </w:t>
      </w:r>
      <w:r>
        <w:rPr>
          <w:color w:val="242424"/>
        </w:rPr>
        <w:t>measurement </w:t>
      </w:r>
      <w:r>
        <w:rPr>
          <w:color w:val="0E0E0E"/>
        </w:rPr>
        <w:t>rules are</w:t>
      </w:r>
      <w:r>
        <w:rPr>
          <w:color w:val="0E0E0E"/>
          <w:spacing w:val="-4"/>
        </w:rPr>
        <w:t> </w:t>
      </w:r>
      <w:r>
        <w:rPr>
          <w:color w:val="0E0E0E"/>
        </w:rPr>
        <w:t>relaxed when the</w:t>
      </w:r>
      <w:r>
        <w:rPr>
          <w:color w:val="0E0E0E"/>
          <w:spacing w:val="-1"/>
        </w:rPr>
        <w:t> </w:t>
      </w:r>
      <w:r>
        <w:rPr>
          <w:color w:val="0E0E0E"/>
        </w:rPr>
        <w:t>Council is</w:t>
      </w:r>
      <w:r>
        <w:rPr>
          <w:color w:val="0E0E0E"/>
          <w:spacing w:val="-5"/>
        </w:rPr>
        <w:t> </w:t>
      </w:r>
      <w:r>
        <w:rPr>
          <w:color w:val="0E0E0E"/>
        </w:rPr>
        <w:t>of</w:t>
      </w:r>
      <w:r>
        <w:rPr>
          <w:color w:val="0E0E0E"/>
          <w:spacing w:val="-3"/>
        </w:rPr>
        <w:t> </w:t>
      </w:r>
      <w:r>
        <w:rPr>
          <w:color w:val="0E0E0E"/>
        </w:rPr>
        <w:t>the</w:t>
      </w:r>
      <w:r>
        <w:rPr>
          <w:color w:val="0E0E0E"/>
          <w:spacing w:val="-4"/>
        </w:rPr>
        <w:t> </w:t>
      </w:r>
      <w:r>
        <w:rPr>
          <w:color w:val="0E0E0E"/>
        </w:rPr>
        <w:t>view that to</w:t>
      </w:r>
    </w:p>
    <w:p>
      <w:pPr>
        <w:spacing w:after="0" w:line="237" w:lineRule="auto"/>
        <w:jc w:val="both"/>
        <w:sectPr>
          <w:type w:val="continuous"/>
          <w:pgSz w:w="11910" w:h="16830"/>
          <w:pgMar w:top="1940" w:right="100" w:bottom="280" w:left="20" w:header="0" w:footer="1159"/>
        </w:sectPr>
      </w:pPr>
    </w:p>
    <w:p>
      <w:pPr>
        <w:pStyle w:val="BodyText"/>
        <w:spacing w:line="153" w:lineRule="exact"/>
        <w:ind w:left="2143"/>
        <w:rPr>
          <w:sz w:val="15"/>
        </w:rPr>
      </w:pPr>
      <w:r>
        <w:rPr/>
        <ve:AlternateContent>
          <ve:Choice Requires="wps">
            <w:drawing>
              <wp:anchor distT="0" distB="0" distL="0" distR="0" simplePos="0" relativeHeight="15756288" behindDoc="0" locked="0" layoutInCell="1" allowOverlap="1">
                <wp:simplePos x="0" y="0"/>
                <wp:positionH relativeFrom="page">
                  <wp:posOffset>15264</wp:posOffset>
                </wp:positionH>
                <wp:positionV relativeFrom="page">
                  <wp:posOffset>9892903</wp:posOffset>
                </wp:positionV>
                <wp:extent cx="1270" cy="683895"/>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1270" cy="683895"/>
                        </a:xfrm>
                        <a:custGeom>
                          <a:avLst/>
                          <a:gdLst/>
                          <a:ahLst/>
                          <a:cxnLst/>
                          <a:rect l="l" t="t" r="r" b="b"/>
                          <a:pathLst>
                            <a:path w="0" h="683895">
                              <a:moveTo>
                                <a:pt x="0" y="683530"/>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56288" stroked="true" strokecolor="#000000" strokeweight=".961549pt" from="1.201936pt,832.790149pt" to="1.201936pt,778.968811pt">
                <v:stroke dashstyle="solid"/>
                <w10:wrap type="none"/>
              </v:line>
            </w:pict>
          </ve:Fallback>
        </ve:AlternateContent>
      </w:r>
      <w:r>
        <w:rPr/>
        <ve:AlternateContent>
          <ve:Choice Requires="wps">
            <w:drawing>
              <wp:anchor distT="0" distB="0" distL="0" distR="0" simplePos="0" relativeHeight="15756800" behindDoc="0" locked="0" layoutInCell="1" allowOverlap="1">
                <wp:simplePos x="0" y="0"/>
                <wp:positionH relativeFrom="page">
                  <wp:posOffset>33582</wp:posOffset>
                </wp:positionH>
                <wp:positionV relativeFrom="page">
                  <wp:posOffset>9136136</wp:posOffset>
                </wp:positionV>
                <wp:extent cx="1270" cy="488315"/>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1270" cy="488315"/>
                        </a:xfrm>
                        <a:custGeom>
                          <a:avLst/>
                          <a:gdLst/>
                          <a:ahLst/>
                          <a:cxnLst/>
                          <a:rect l="l" t="t" r="r" b="b"/>
                          <a:pathLst>
                            <a:path w="0" h="488315">
                              <a:moveTo>
                                <a:pt x="0" y="488236"/>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56800" stroked="true" strokecolor="#000000" strokeweight=".961549pt" from="2.644258pt,757.824672pt" to="2.644258pt,719.380859pt">
                <v:stroke dashstyle="solid"/>
                <w10:wrap type="none"/>
              </v:line>
            </w:pict>
          </ve:Fallback>
        </ve:AlternateContent>
      </w:r>
      <w:r>
        <w:rPr>
          <w:position w:val="-2"/>
          <w:sz w:val="15"/>
        </w:rPr>
        <w:drawing>
          <wp:inline distT="0" distB="0" distL="0" distR="0">
            <wp:extent cx="1366148" cy="97535"/>
            <wp:effectExtent l="0" t="0" r="0" b="0"/>
            <wp:docPr id="130" name="Image 130"/>
            <wp:cNvGraphicFramePr>
              <a:graphicFrameLocks/>
            </wp:cNvGraphicFramePr>
            <a:graphic>
              <a:graphicData uri="http://schemas.openxmlformats.org/drawingml/2006/picture">
                <pic:pic>
                  <pic:nvPicPr>
                    <pic:cNvPr id="130" name="Image 130"/>
                    <pic:cNvPicPr/>
                  </pic:nvPicPr>
                  <pic:blipFill>
                    <a:blip r:embed="rId89" cstate="print"/>
                    <a:stretch>
                      <a:fillRect/>
                    </a:stretch>
                  </pic:blipFill>
                  <pic:spPr>
                    <a:xfrm>
                      <a:off x="0" y="0"/>
                      <a:ext cx="1366148" cy="97535"/>
                    </a:xfrm>
                    <a:prstGeom prst="rect">
                      <a:avLst/>
                    </a:prstGeom>
                  </pic:spPr>
                </pic:pic>
              </a:graphicData>
            </a:graphic>
          </wp:inline>
        </w:drawing>
      </w:r>
      <w:r>
        <w:rPr>
          <w:position w:val="-2"/>
          <w:sz w:val="15"/>
        </w:rPr>
      </w:r>
    </w:p>
    <w:p>
      <w:pPr>
        <w:pStyle w:val="BodyText"/>
        <w:spacing w:before="248" w:line="237" w:lineRule="auto"/>
        <w:ind w:left="1655" w:right="1103" w:firstLine="4"/>
        <w:jc w:val="both"/>
      </w:pPr>
      <w:r>
        <w:rPr>
          <w:color w:val="0A0A0A"/>
        </w:rPr>
        <w:t>obtain</w:t>
      </w:r>
      <w:r>
        <w:rPr>
          <w:color w:val="0A0A0A"/>
          <w:spacing w:val="-8"/>
        </w:rPr>
        <w:t> </w:t>
      </w:r>
      <w:r>
        <w:rPr>
          <w:color w:val="0A0A0A"/>
        </w:rPr>
        <w:t>a</w:t>
      </w:r>
      <w:r>
        <w:rPr>
          <w:color w:val="0A0A0A"/>
          <w:spacing w:val="-3"/>
        </w:rPr>
        <w:t> </w:t>
      </w:r>
      <w:r>
        <w:rPr>
          <w:color w:val="0A0A0A"/>
        </w:rPr>
        <w:t>valuation of</w:t>
      </w:r>
      <w:r>
        <w:rPr>
          <w:color w:val="0A0A0A"/>
          <w:spacing w:val="-5"/>
        </w:rPr>
        <w:t> </w:t>
      </w:r>
      <w:r>
        <w:rPr>
          <w:color w:val="0A0A0A"/>
        </w:rPr>
        <w:t>the</w:t>
      </w:r>
      <w:r>
        <w:rPr>
          <w:color w:val="0A0A0A"/>
          <w:spacing w:val="-5"/>
        </w:rPr>
        <w:t> </w:t>
      </w:r>
      <w:r>
        <w:rPr>
          <w:color w:val="0A0A0A"/>
        </w:rPr>
        <w:t>asset would</w:t>
      </w:r>
      <w:r>
        <w:rPr>
          <w:color w:val="0A0A0A"/>
          <w:spacing w:val="-3"/>
        </w:rPr>
        <w:t> </w:t>
      </w:r>
      <w:r>
        <w:rPr>
          <w:color w:val="0A0A0A"/>
        </w:rPr>
        <w:t>involve</w:t>
      </w:r>
      <w:r>
        <w:rPr>
          <w:color w:val="0A0A0A"/>
          <w:spacing w:val="-3"/>
        </w:rPr>
        <w:t> </w:t>
      </w:r>
      <w:r>
        <w:rPr>
          <w:color w:val="0A0A0A"/>
        </w:rPr>
        <w:t>a</w:t>
      </w:r>
      <w:r>
        <w:rPr>
          <w:color w:val="0A0A0A"/>
          <w:spacing w:val="-4"/>
        </w:rPr>
        <w:t> </w:t>
      </w:r>
      <w:r>
        <w:rPr>
          <w:color w:val="0A0A0A"/>
        </w:rPr>
        <w:t>cost disproportionate</w:t>
      </w:r>
      <w:r>
        <w:rPr>
          <w:color w:val="0A0A0A"/>
          <w:spacing w:val="-16"/>
        </w:rPr>
        <w:t> </w:t>
      </w:r>
      <w:r>
        <w:rPr>
          <w:color w:val="0A0A0A"/>
        </w:rPr>
        <w:t>to</w:t>
      </w:r>
      <w:r>
        <w:rPr>
          <w:color w:val="0A0A0A"/>
          <w:spacing w:val="-5"/>
        </w:rPr>
        <w:t> </w:t>
      </w:r>
      <w:r>
        <w:rPr>
          <w:color w:val="0A0A0A"/>
        </w:rPr>
        <w:t>the</w:t>
      </w:r>
      <w:r>
        <w:rPr>
          <w:color w:val="0A0A0A"/>
          <w:spacing w:val="-7"/>
        </w:rPr>
        <w:t> </w:t>
      </w:r>
      <w:r>
        <w:rPr>
          <w:color w:val="0A0A0A"/>
        </w:rPr>
        <w:t>benefit of</w:t>
      </w:r>
      <w:r>
        <w:rPr>
          <w:color w:val="0A0A0A"/>
          <w:spacing w:val="-4"/>
        </w:rPr>
        <w:t> </w:t>
      </w:r>
      <w:r>
        <w:rPr>
          <w:color w:val="0A0A0A"/>
        </w:rPr>
        <w:t>the</w:t>
      </w:r>
      <w:r>
        <w:rPr>
          <w:color w:val="0A0A0A"/>
          <w:spacing w:val="-5"/>
        </w:rPr>
        <w:t> </w:t>
      </w:r>
      <w:r>
        <w:rPr>
          <w:color w:val="0A0A0A"/>
        </w:rPr>
        <w:t>user of the accounts</w:t>
      </w:r>
      <w:r>
        <w:rPr>
          <w:color w:val="6B6B6B"/>
        </w:rPr>
        <w:t>.</w:t>
      </w:r>
    </w:p>
    <w:p>
      <w:pPr>
        <w:pStyle w:val="BodyText"/>
        <w:spacing w:before="252" w:line="276" w:lineRule="auto"/>
        <w:ind w:left="1633" w:right="1101" w:firstLine="15"/>
        <w:jc w:val="both"/>
      </w:pPr>
      <w:r>
        <w:rPr>
          <w:color w:val="0A0A0A"/>
        </w:rPr>
        <w:t>Heritage</w:t>
      </w:r>
      <w:r>
        <w:rPr>
          <w:color w:val="0A0A0A"/>
          <w:spacing w:val="-8"/>
        </w:rPr>
        <w:t> </w:t>
      </w:r>
      <w:r>
        <w:rPr>
          <w:color w:val="0A0A0A"/>
        </w:rPr>
        <w:t>assets</w:t>
      </w:r>
      <w:r>
        <w:rPr>
          <w:color w:val="0A0A0A"/>
          <w:spacing w:val="-1"/>
        </w:rPr>
        <w:t> </w:t>
      </w:r>
      <w:r>
        <w:rPr>
          <w:color w:val="0A0A0A"/>
        </w:rPr>
        <w:t>are</w:t>
      </w:r>
      <w:r>
        <w:rPr>
          <w:color w:val="0A0A0A"/>
          <w:spacing w:val="-14"/>
        </w:rPr>
        <w:t> </w:t>
      </w:r>
      <w:r>
        <w:rPr>
          <w:color w:val="0A0A0A"/>
        </w:rPr>
        <w:t>not</w:t>
      </w:r>
      <w:r>
        <w:rPr>
          <w:color w:val="0A0A0A"/>
          <w:spacing w:val="-9"/>
        </w:rPr>
        <w:t> </w:t>
      </w:r>
      <w:r>
        <w:rPr>
          <w:color w:val="0A0A0A"/>
        </w:rPr>
        <w:t>subject</w:t>
      </w:r>
      <w:r>
        <w:rPr>
          <w:color w:val="0A0A0A"/>
          <w:spacing w:val="-6"/>
        </w:rPr>
        <w:t> </w:t>
      </w:r>
      <w:r>
        <w:rPr>
          <w:color w:val="0A0A0A"/>
        </w:rPr>
        <w:t>to</w:t>
      </w:r>
      <w:r>
        <w:rPr>
          <w:color w:val="0A0A0A"/>
          <w:spacing w:val="-16"/>
        </w:rPr>
        <w:t> </w:t>
      </w:r>
      <w:r>
        <w:rPr>
          <w:color w:val="0A0A0A"/>
        </w:rPr>
        <w:t>depreciation except</w:t>
      </w:r>
      <w:r>
        <w:rPr>
          <w:color w:val="0A0A0A"/>
          <w:spacing w:val="-6"/>
        </w:rPr>
        <w:t> </w:t>
      </w:r>
      <w:r>
        <w:rPr>
          <w:color w:val="0A0A0A"/>
        </w:rPr>
        <w:t>where</w:t>
      </w:r>
      <w:r>
        <w:rPr>
          <w:color w:val="0A0A0A"/>
          <w:spacing w:val="-9"/>
        </w:rPr>
        <w:t> </w:t>
      </w:r>
      <w:r>
        <w:rPr>
          <w:color w:val="0A0A0A"/>
        </w:rPr>
        <w:t>it</w:t>
      </w:r>
      <w:r>
        <w:rPr>
          <w:color w:val="0A0A0A"/>
          <w:spacing w:val="-16"/>
        </w:rPr>
        <w:t> </w:t>
      </w:r>
      <w:r>
        <w:rPr>
          <w:color w:val="0A0A0A"/>
        </w:rPr>
        <w:t>has</w:t>
      </w:r>
      <w:r>
        <w:rPr>
          <w:color w:val="0A0A0A"/>
          <w:spacing w:val="-11"/>
        </w:rPr>
        <w:t> </w:t>
      </w:r>
      <w:r>
        <w:rPr>
          <w:color w:val="0A0A0A"/>
        </w:rPr>
        <w:t>been</w:t>
      </w:r>
      <w:r>
        <w:rPr>
          <w:color w:val="0A0A0A"/>
          <w:spacing w:val="-9"/>
        </w:rPr>
        <w:t> </w:t>
      </w:r>
      <w:r>
        <w:rPr>
          <w:color w:val="0A0A0A"/>
        </w:rPr>
        <w:t>determined</w:t>
      </w:r>
      <w:r>
        <w:rPr>
          <w:color w:val="0A0A0A"/>
          <w:spacing w:val="-3"/>
        </w:rPr>
        <w:t> </w:t>
      </w:r>
      <w:r>
        <w:rPr>
          <w:color w:val="0A0A0A"/>
        </w:rPr>
        <w:t>that</w:t>
      </w:r>
      <w:r>
        <w:rPr>
          <w:color w:val="0A0A0A"/>
          <w:spacing w:val="-13"/>
        </w:rPr>
        <w:t> </w:t>
      </w:r>
      <w:r>
        <w:rPr>
          <w:color w:val="0A0A0A"/>
        </w:rPr>
        <w:t>they have a finite useful life.</w:t>
      </w:r>
      <w:r>
        <w:rPr>
          <w:color w:val="0A0A0A"/>
          <w:spacing w:val="40"/>
        </w:rPr>
        <w:t> </w:t>
      </w:r>
      <w:r>
        <w:rPr>
          <w:color w:val="0A0A0A"/>
        </w:rPr>
        <w:t>The carrying amounts of such assets are reviewed when there is evidence</w:t>
      </w:r>
      <w:r>
        <w:rPr>
          <w:color w:val="0A0A0A"/>
          <w:spacing w:val="-5"/>
        </w:rPr>
        <w:t> </w:t>
      </w:r>
      <w:r>
        <w:rPr>
          <w:color w:val="0A0A0A"/>
        </w:rPr>
        <w:t>of</w:t>
      </w:r>
      <w:r>
        <w:rPr>
          <w:color w:val="0A0A0A"/>
          <w:spacing w:val="-8"/>
        </w:rPr>
        <w:t> </w:t>
      </w:r>
      <w:r>
        <w:rPr>
          <w:color w:val="0A0A0A"/>
        </w:rPr>
        <w:t>impairment</w:t>
      </w:r>
      <w:r>
        <w:rPr>
          <w:color w:val="0A0A0A"/>
          <w:spacing w:val="19"/>
        </w:rPr>
        <w:t> </w:t>
      </w:r>
      <w:r>
        <w:rPr>
          <w:color w:val="0A0A0A"/>
        </w:rPr>
        <w:t>and</w:t>
      </w:r>
      <w:r>
        <w:rPr>
          <w:color w:val="0A0A0A"/>
          <w:spacing w:val="-7"/>
        </w:rPr>
        <w:t> </w:t>
      </w:r>
      <w:r>
        <w:rPr>
          <w:color w:val="0A0A0A"/>
        </w:rPr>
        <w:t>any</w:t>
      </w:r>
      <w:r>
        <w:rPr>
          <w:color w:val="0A0A0A"/>
          <w:spacing w:val="-2"/>
        </w:rPr>
        <w:t> </w:t>
      </w:r>
      <w:r>
        <w:rPr>
          <w:color w:val="0A0A0A"/>
        </w:rPr>
        <w:t>such</w:t>
      </w:r>
      <w:r>
        <w:rPr>
          <w:color w:val="0A0A0A"/>
          <w:spacing w:val="-7"/>
        </w:rPr>
        <w:t> </w:t>
      </w:r>
      <w:r>
        <w:rPr>
          <w:color w:val="1C1C1C"/>
        </w:rPr>
        <w:t>impairment </w:t>
      </w:r>
      <w:r>
        <w:rPr>
          <w:color w:val="0A0A0A"/>
        </w:rPr>
        <w:t>is</w:t>
      </w:r>
      <w:r>
        <w:rPr>
          <w:color w:val="0A0A0A"/>
          <w:spacing w:val="-10"/>
        </w:rPr>
        <w:t> </w:t>
      </w:r>
      <w:r>
        <w:rPr>
          <w:color w:val="0A0A0A"/>
        </w:rPr>
        <w:t>recognised and</w:t>
      </w:r>
      <w:r>
        <w:rPr>
          <w:color w:val="0A0A0A"/>
          <w:spacing w:val="-16"/>
        </w:rPr>
        <w:t> </w:t>
      </w:r>
      <w:r>
        <w:rPr>
          <w:color w:val="0A0A0A"/>
        </w:rPr>
        <w:t>measured in</w:t>
      </w:r>
      <w:r>
        <w:rPr>
          <w:color w:val="0A0A0A"/>
          <w:spacing w:val="-16"/>
        </w:rPr>
        <w:t> </w:t>
      </w:r>
      <w:r>
        <w:rPr>
          <w:color w:val="0A0A0A"/>
        </w:rPr>
        <w:t>accordance with the Council's accounting policies for property, plant and equipment. The proceeds of disposal of heritage assets are accounted for in accordance with the Council's accounting policies for property, plant and equipment.</w:t>
      </w:r>
    </w:p>
    <w:p>
      <w:pPr>
        <w:spacing w:before="205"/>
        <w:ind w:left="1624" w:right="0" w:firstLine="0"/>
        <w:jc w:val="both"/>
        <w:rPr>
          <w:b/>
          <w:sz w:val="21"/>
        </w:rPr>
      </w:pPr>
      <w:r>
        <w:rPr>
          <w:b/>
          <w:color w:val="0A0A0A"/>
          <w:w w:val="105"/>
          <w:sz w:val="21"/>
        </w:rPr>
        <w:t>Investment</w:t>
      </w:r>
      <w:r>
        <w:rPr>
          <w:b/>
          <w:color w:val="0A0A0A"/>
          <w:spacing w:val="-10"/>
          <w:w w:val="105"/>
          <w:sz w:val="21"/>
        </w:rPr>
        <w:t> </w:t>
      </w:r>
      <w:r>
        <w:rPr>
          <w:b/>
          <w:color w:val="0A0A0A"/>
          <w:spacing w:val="-2"/>
          <w:w w:val="105"/>
          <w:sz w:val="21"/>
        </w:rPr>
        <w:t>Property</w:t>
      </w:r>
    </w:p>
    <w:p>
      <w:pPr>
        <w:pStyle w:val="BodyText"/>
        <w:spacing w:before="239"/>
        <w:ind w:left="1611" w:right="1114" w:firstLine="10"/>
        <w:jc w:val="both"/>
      </w:pPr>
      <w:r>
        <w:rPr>
          <w:color w:val="1C1C1C"/>
        </w:rPr>
        <w:t>Properties</w:t>
      </w:r>
      <w:r>
        <w:rPr>
          <w:color w:val="1C1C1C"/>
          <w:spacing w:val="-4"/>
        </w:rPr>
        <w:t> </w:t>
      </w:r>
      <w:r>
        <w:rPr>
          <w:color w:val="1C1C1C"/>
        </w:rPr>
        <w:t>that</w:t>
      </w:r>
      <w:r>
        <w:rPr>
          <w:color w:val="1C1C1C"/>
          <w:spacing w:val="-11"/>
        </w:rPr>
        <w:t> </w:t>
      </w:r>
      <w:r>
        <w:rPr>
          <w:color w:val="1C1C1C"/>
        </w:rPr>
        <w:t>are</w:t>
      </w:r>
      <w:r>
        <w:rPr>
          <w:color w:val="1C1C1C"/>
          <w:spacing w:val="-13"/>
        </w:rPr>
        <w:t> </w:t>
      </w:r>
      <w:r>
        <w:rPr>
          <w:color w:val="1C1C1C"/>
        </w:rPr>
        <w:t>held</w:t>
      </w:r>
      <w:r>
        <w:rPr>
          <w:color w:val="1C1C1C"/>
          <w:spacing w:val="-16"/>
        </w:rPr>
        <w:t> </w:t>
      </w:r>
      <w:r>
        <w:rPr>
          <w:color w:val="1C1C1C"/>
        </w:rPr>
        <w:t>solely</w:t>
      </w:r>
      <w:r>
        <w:rPr>
          <w:color w:val="1C1C1C"/>
          <w:spacing w:val="-4"/>
        </w:rPr>
        <w:t> </w:t>
      </w:r>
      <w:r>
        <w:rPr>
          <w:color w:val="1C1C1C"/>
        </w:rPr>
        <w:t>for</w:t>
      </w:r>
      <w:r>
        <w:rPr>
          <w:color w:val="1C1C1C"/>
          <w:spacing w:val="-8"/>
        </w:rPr>
        <w:t> </w:t>
      </w:r>
      <w:r>
        <w:rPr>
          <w:color w:val="1C1C1C"/>
        </w:rPr>
        <w:t>the</w:t>
      </w:r>
      <w:r>
        <w:rPr>
          <w:color w:val="1C1C1C"/>
          <w:spacing w:val="-12"/>
        </w:rPr>
        <w:t> </w:t>
      </w:r>
      <w:r>
        <w:rPr>
          <w:color w:val="1C1C1C"/>
        </w:rPr>
        <w:t>purpose</w:t>
      </w:r>
      <w:r>
        <w:rPr>
          <w:color w:val="1C1C1C"/>
          <w:spacing w:val="-2"/>
        </w:rPr>
        <w:t> </w:t>
      </w:r>
      <w:r>
        <w:rPr>
          <w:color w:val="1C1C1C"/>
        </w:rPr>
        <w:t>of</w:t>
      </w:r>
      <w:r>
        <w:rPr>
          <w:color w:val="1C1C1C"/>
          <w:spacing w:val="-16"/>
        </w:rPr>
        <w:t> </w:t>
      </w:r>
      <w:r>
        <w:rPr>
          <w:color w:val="1C1C1C"/>
        </w:rPr>
        <w:t>earning</w:t>
      </w:r>
      <w:r>
        <w:rPr>
          <w:color w:val="1C1C1C"/>
          <w:spacing w:val="-7"/>
        </w:rPr>
        <w:t> </w:t>
      </w:r>
      <w:r>
        <w:rPr>
          <w:color w:val="1C1C1C"/>
        </w:rPr>
        <w:t>rentals,</w:t>
      </w:r>
      <w:r>
        <w:rPr>
          <w:color w:val="1C1C1C"/>
          <w:spacing w:val="-5"/>
        </w:rPr>
        <w:t> </w:t>
      </w:r>
      <w:r>
        <w:rPr>
          <w:color w:val="1C1C1C"/>
        </w:rPr>
        <w:t>for</w:t>
      </w:r>
      <w:r>
        <w:rPr>
          <w:color w:val="1C1C1C"/>
          <w:spacing w:val="-9"/>
        </w:rPr>
        <w:t> </w:t>
      </w:r>
      <w:r>
        <w:rPr>
          <w:color w:val="1C1C1C"/>
        </w:rPr>
        <w:t>capital</w:t>
      </w:r>
      <w:r>
        <w:rPr>
          <w:color w:val="1C1C1C"/>
          <w:spacing w:val="-3"/>
        </w:rPr>
        <w:t> </w:t>
      </w:r>
      <w:r>
        <w:rPr>
          <w:color w:val="1C1C1C"/>
        </w:rPr>
        <w:t>appreciation</w:t>
      </w:r>
      <w:r>
        <w:rPr>
          <w:color w:val="1C1C1C"/>
          <w:spacing w:val="11"/>
        </w:rPr>
        <w:t> </w:t>
      </w:r>
      <w:r>
        <w:rPr>
          <w:color w:val="1C1C1C"/>
        </w:rPr>
        <w:t>or</w:t>
      </w:r>
      <w:r>
        <w:rPr>
          <w:color w:val="1C1C1C"/>
          <w:spacing w:val="-16"/>
        </w:rPr>
        <w:t> </w:t>
      </w:r>
      <w:r>
        <w:rPr>
          <w:color w:val="1C1C1C"/>
        </w:rPr>
        <w:t>for both</w:t>
      </w:r>
      <w:r>
        <w:rPr>
          <w:color w:val="1C1C1C"/>
          <w:spacing w:val="-10"/>
        </w:rPr>
        <w:t> </w:t>
      </w:r>
      <w:r>
        <w:rPr>
          <w:color w:val="1C1C1C"/>
        </w:rPr>
        <w:t>purposes are</w:t>
      </w:r>
      <w:r>
        <w:rPr>
          <w:color w:val="1C1C1C"/>
          <w:spacing w:val="-5"/>
        </w:rPr>
        <w:t> </w:t>
      </w:r>
      <w:r>
        <w:rPr>
          <w:color w:val="1C1C1C"/>
        </w:rPr>
        <w:t>classified as</w:t>
      </w:r>
      <w:r>
        <w:rPr>
          <w:color w:val="1C1C1C"/>
          <w:spacing w:val="-5"/>
        </w:rPr>
        <w:t> </w:t>
      </w:r>
      <w:r>
        <w:rPr>
          <w:color w:val="313131"/>
        </w:rPr>
        <w:t>investment </w:t>
      </w:r>
      <w:r>
        <w:rPr>
          <w:color w:val="1C1C1C"/>
        </w:rPr>
        <w:t>properties</w:t>
      </w:r>
      <w:r>
        <w:rPr>
          <w:color w:val="6B6B6B"/>
        </w:rPr>
        <w:t>.</w:t>
      </w:r>
      <w:r>
        <w:rPr>
          <w:color w:val="6B6B6B"/>
          <w:spacing w:val="40"/>
        </w:rPr>
        <w:t> </w:t>
      </w:r>
      <w:r>
        <w:rPr>
          <w:color w:val="1C1C1C"/>
        </w:rPr>
        <w:t>Where part of</w:t>
      </w:r>
      <w:r>
        <w:rPr>
          <w:color w:val="1C1C1C"/>
          <w:spacing w:val="-3"/>
        </w:rPr>
        <w:t> </w:t>
      </w:r>
      <w:r>
        <w:rPr>
          <w:color w:val="1C1C1C"/>
        </w:rPr>
        <w:t>an</w:t>
      </w:r>
      <w:r>
        <w:rPr>
          <w:color w:val="1C1C1C"/>
          <w:spacing w:val="-12"/>
        </w:rPr>
        <w:t> </w:t>
      </w:r>
      <w:r>
        <w:rPr>
          <w:color w:val="313131"/>
        </w:rPr>
        <w:t>investment </w:t>
      </w:r>
      <w:r>
        <w:rPr>
          <w:color w:val="0A0A0A"/>
        </w:rPr>
        <w:t>property </w:t>
      </w:r>
      <w:r>
        <w:rPr>
          <w:color w:val="313131"/>
        </w:rPr>
        <w:t>is</w:t>
      </w:r>
      <w:r>
        <w:rPr>
          <w:color w:val="313131"/>
          <w:spacing w:val="-13"/>
        </w:rPr>
        <w:t> </w:t>
      </w:r>
      <w:r>
        <w:rPr>
          <w:color w:val="1C1C1C"/>
        </w:rPr>
        <w:t>replaced</w:t>
      </w:r>
      <w:r>
        <w:rPr>
          <w:color w:val="4F4F4F"/>
        </w:rPr>
        <w:t>,</w:t>
      </w:r>
      <w:r>
        <w:rPr>
          <w:color w:val="4F4F4F"/>
          <w:spacing w:val="-16"/>
        </w:rPr>
        <w:t> </w:t>
      </w:r>
      <w:r>
        <w:rPr>
          <w:color w:val="313131"/>
        </w:rPr>
        <w:t>the </w:t>
      </w:r>
      <w:r>
        <w:rPr>
          <w:color w:val="1C1C1C"/>
        </w:rPr>
        <w:t>carrying amount of</w:t>
      </w:r>
      <w:r>
        <w:rPr>
          <w:color w:val="1C1C1C"/>
          <w:spacing w:val="-5"/>
        </w:rPr>
        <w:t> </w:t>
      </w:r>
      <w:r>
        <w:rPr>
          <w:color w:val="1C1C1C"/>
        </w:rPr>
        <w:t>the</w:t>
      </w:r>
      <w:r>
        <w:rPr>
          <w:color w:val="1C1C1C"/>
          <w:spacing w:val="-7"/>
        </w:rPr>
        <w:t> </w:t>
      </w:r>
      <w:r>
        <w:rPr>
          <w:color w:val="1C1C1C"/>
        </w:rPr>
        <w:t>part which </w:t>
      </w:r>
      <w:r>
        <w:rPr>
          <w:color w:val="313131"/>
        </w:rPr>
        <w:t>is</w:t>
      </w:r>
      <w:r>
        <w:rPr>
          <w:color w:val="313131"/>
          <w:spacing w:val="-11"/>
        </w:rPr>
        <w:t> </w:t>
      </w:r>
      <w:r>
        <w:rPr>
          <w:color w:val="1C1C1C"/>
        </w:rPr>
        <w:t>replaced</w:t>
      </w:r>
      <w:r>
        <w:rPr>
          <w:color w:val="1C1C1C"/>
          <w:spacing w:val="-3"/>
        </w:rPr>
        <w:t> </w:t>
      </w:r>
      <w:r>
        <w:rPr>
          <w:color w:val="313131"/>
        </w:rPr>
        <w:t>is</w:t>
      </w:r>
      <w:r>
        <w:rPr>
          <w:color w:val="313131"/>
          <w:spacing w:val="-3"/>
        </w:rPr>
        <w:t> </w:t>
      </w:r>
      <w:r>
        <w:rPr>
          <w:color w:val="1C1C1C"/>
        </w:rPr>
        <w:t>derecognised and</w:t>
      </w:r>
      <w:r>
        <w:rPr>
          <w:color w:val="1C1C1C"/>
          <w:spacing w:val="-16"/>
        </w:rPr>
        <w:t> </w:t>
      </w:r>
      <w:r>
        <w:rPr>
          <w:color w:val="1C1C1C"/>
        </w:rPr>
        <w:t>the cost</w:t>
      </w:r>
      <w:r>
        <w:rPr>
          <w:color w:val="1C1C1C"/>
          <w:spacing w:val="-1"/>
        </w:rPr>
        <w:t> </w:t>
      </w:r>
      <w:r>
        <w:rPr>
          <w:color w:val="1C1C1C"/>
        </w:rPr>
        <w:t>of </w:t>
      </w:r>
      <w:r>
        <w:rPr>
          <w:color w:val="0A0A0A"/>
        </w:rPr>
        <w:t>the new part </w:t>
      </w:r>
      <w:r>
        <w:rPr>
          <w:color w:val="1C1C1C"/>
        </w:rPr>
        <w:t>is </w:t>
      </w:r>
      <w:r>
        <w:rPr>
          <w:color w:val="0A0A0A"/>
        </w:rPr>
        <w:t>reflected in</w:t>
      </w:r>
      <w:r>
        <w:rPr>
          <w:color w:val="0A0A0A"/>
          <w:spacing w:val="-5"/>
        </w:rPr>
        <w:t> </w:t>
      </w:r>
      <w:r>
        <w:rPr>
          <w:color w:val="0A0A0A"/>
        </w:rPr>
        <w:t>the carrying amount of the asset.</w:t>
      </w:r>
    </w:p>
    <w:p>
      <w:pPr>
        <w:pStyle w:val="BodyText"/>
        <w:spacing w:before="4"/>
      </w:pPr>
    </w:p>
    <w:p>
      <w:pPr>
        <w:pStyle w:val="BodyText"/>
        <w:ind w:left="1590" w:right="1122" w:firstLine="18"/>
        <w:jc w:val="both"/>
      </w:pPr>
      <w:r>
        <w:rPr>
          <w:color w:val="1C1C1C"/>
        </w:rPr>
        <w:t>Investment </w:t>
      </w:r>
      <w:r>
        <w:rPr>
          <w:color w:val="0A0A0A"/>
        </w:rPr>
        <w:t>properties are </w:t>
      </w:r>
      <w:r>
        <w:rPr>
          <w:color w:val="313131"/>
        </w:rPr>
        <w:t>initially recognised </w:t>
      </w:r>
      <w:r>
        <w:rPr>
          <w:color w:val="1C1C1C"/>
        </w:rPr>
        <w:t>at cost and are subsequently measured at fair value </w:t>
      </w:r>
      <w:r>
        <w:rPr>
          <w:color w:val="313131"/>
        </w:rPr>
        <w:t>(market </w:t>
      </w:r>
      <w:r>
        <w:rPr>
          <w:color w:val="1C1C1C"/>
        </w:rPr>
        <w:t>value) </w:t>
      </w:r>
      <w:r>
        <w:rPr>
          <w:color w:val="0A0A0A"/>
        </w:rPr>
        <w:t>at the </w:t>
      </w:r>
      <w:r>
        <w:rPr>
          <w:color w:val="1C1C1C"/>
        </w:rPr>
        <w:t>balance sheet </w:t>
      </w:r>
      <w:r>
        <w:rPr>
          <w:color w:val="0A0A0A"/>
        </w:rPr>
        <w:t>date</w:t>
      </w:r>
      <w:r>
        <w:rPr>
          <w:color w:val="4F4F4F"/>
        </w:rPr>
        <w:t>.</w:t>
      </w:r>
      <w:r>
        <w:rPr>
          <w:color w:val="4F4F4F"/>
          <w:spacing w:val="80"/>
        </w:rPr>
        <w:t> </w:t>
      </w:r>
      <w:r>
        <w:rPr>
          <w:color w:val="1C1C1C"/>
        </w:rPr>
        <w:t>A gain or </w:t>
      </w:r>
      <w:r>
        <w:rPr>
          <w:color w:val="0A0A0A"/>
        </w:rPr>
        <w:t>loss </w:t>
      </w:r>
      <w:r>
        <w:rPr>
          <w:color w:val="1C1C1C"/>
        </w:rPr>
        <w:t>arising from a change </w:t>
      </w:r>
      <w:r>
        <w:rPr>
          <w:color w:val="313131"/>
        </w:rPr>
        <w:t>in </w:t>
      </w:r>
      <w:r>
        <w:rPr>
          <w:color w:val="1C1C1C"/>
        </w:rPr>
        <w:t>the fair</w:t>
      </w:r>
      <w:r>
        <w:rPr>
          <w:color w:val="1C1C1C"/>
          <w:spacing w:val="-16"/>
        </w:rPr>
        <w:t> </w:t>
      </w:r>
      <w:r>
        <w:rPr>
          <w:color w:val="1C1C1C"/>
        </w:rPr>
        <w:t>value</w:t>
      </w:r>
      <w:r>
        <w:rPr>
          <w:color w:val="1C1C1C"/>
          <w:spacing w:val="-15"/>
        </w:rPr>
        <w:t> </w:t>
      </w:r>
      <w:r>
        <w:rPr>
          <w:color w:val="1C1C1C"/>
        </w:rPr>
        <w:t>of</w:t>
      </w:r>
      <w:r>
        <w:rPr>
          <w:color w:val="1C1C1C"/>
          <w:spacing w:val="-15"/>
        </w:rPr>
        <w:t> </w:t>
      </w:r>
      <w:r>
        <w:rPr>
          <w:color w:val="0A0A0A"/>
        </w:rPr>
        <w:t>an</w:t>
      </w:r>
      <w:r>
        <w:rPr>
          <w:color w:val="0A0A0A"/>
          <w:spacing w:val="-16"/>
        </w:rPr>
        <w:t> </w:t>
      </w:r>
      <w:r>
        <w:rPr>
          <w:color w:val="1C1C1C"/>
        </w:rPr>
        <w:t>investment</w:t>
      </w:r>
      <w:r>
        <w:rPr>
          <w:color w:val="1C1C1C"/>
          <w:spacing w:val="-15"/>
        </w:rPr>
        <w:t> </w:t>
      </w:r>
      <w:r>
        <w:rPr>
          <w:color w:val="1C1C1C"/>
        </w:rPr>
        <w:t>property</w:t>
      </w:r>
      <w:r>
        <w:rPr>
          <w:color w:val="1C1C1C"/>
          <w:spacing w:val="-15"/>
        </w:rPr>
        <w:t> </w:t>
      </w:r>
      <w:r>
        <w:rPr>
          <w:color w:val="313131"/>
        </w:rPr>
        <w:t>is</w:t>
      </w:r>
      <w:r>
        <w:rPr>
          <w:color w:val="313131"/>
          <w:spacing w:val="-15"/>
        </w:rPr>
        <w:t> </w:t>
      </w:r>
      <w:r>
        <w:rPr>
          <w:color w:val="1C1C1C"/>
        </w:rPr>
        <w:t>recognised</w:t>
      </w:r>
      <w:r>
        <w:rPr>
          <w:color w:val="1C1C1C"/>
          <w:spacing w:val="-16"/>
        </w:rPr>
        <w:t> </w:t>
      </w:r>
      <w:r>
        <w:rPr>
          <w:color w:val="1C1C1C"/>
        </w:rPr>
        <w:t>in</w:t>
      </w:r>
      <w:r>
        <w:rPr>
          <w:color w:val="1C1C1C"/>
          <w:spacing w:val="-15"/>
        </w:rPr>
        <w:t> </w:t>
      </w:r>
      <w:r>
        <w:rPr>
          <w:color w:val="1C1C1C"/>
        </w:rPr>
        <w:t>the</w:t>
      </w:r>
      <w:r>
        <w:rPr>
          <w:color w:val="1C1C1C"/>
          <w:spacing w:val="-15"/>
        </w:rPr>
        <w:t> </w:t>
      </w:r>
      <w:r>
        <w:rPr>
          <w:color w:val="1C1C1C"/>
        </w:rPr>
        <w:t>Comprehensive</w:t>
      </w:r>
      <w:r>
        <w:rPr>
          <w:color w:val="1C1C1C"/>
          <w:spacing w:val="-3"/>
        </w:rPr>
        <w:t> </w:t>
      </w:r>
      <w:r>
        <w:rPr>
          <w:color w:val="1C1C1C"/>
        </w:rPr>
        <w:t>Income</w:t>
      </w:r>
      <w:r>
        <w:rPr>
          <w:color w:val="1C1C1C"/>
          <w:spacing w:val="-12"/>
        </w:rPr>
        <w:t> </w:t>
      </w:r>
      <w:r>
        <w:rPr>
          <w:color w:val="1C1C1C"/>
        </w:rPr>
        <w:t>&amp;</w:t>
      </w:r>
      <w:r>
        <w:rPr>
          <w:color w:val="1C1C1C"/>
          <w:spacing w:val="-16"/>
        </w:rPr>
        <w:t> </w:t>
      </w:r>
      <w:r>
        <w:rPr>
          <w:color w:val="1C1C1C"/>
        </w:rPr>
        <w:t>Expenditure </w:t>
      </w:r>
      <w:r>
        <w:rPr>
          <w:color w:val="0A0A0A"/>
        </w:rPr>
        <w:t>Statement. On disposal of an investment property </w:t>
      </w:r>
      <w:r>
        <w:rPr>
          <w:color w:val="1C1C1C"/>
        </w:rPr>
        <w:t>the difference between the net disposal </w:t>
      </w:r>
      <w:r>
        <w:rPr>
          <w:color w:val="0A0A0A"/>
        </w:rPr>
        <w:t>proceeds</w:t>
      </w:r>
      <w:r>
        <w:rPr>
          <w:color w:val="0A0A0A"/>
          <w:spacing w:val="20"/>
        </w:rPr>
        <w:t> </w:t>
      </w:r>
      <w:r>
        <w:rPr>
          <w:color w:val="0A0A0A"/>
        </w:rPr>
        <w:t>and the carrying</w:t>
      </w:r>
      <w:r>
        <w:rPr>
          <w:color w:val="0A0A0A"/>
          <w:spacing w:val="20"/>
        </w:rPr>
        <w:t> </w:t>
      </w:r>
      <w:r>
        <w:rPr>
          <w:color w:val="0A0A0A"/>
        </w:rPr>
        <w:t>amount</w:t>
      </w:r>
      <w:r>
        <w:rPr>
          <w:color w:val="0A0A0A"/>
          <w:spacing w:val="23"/>
        </w:rPr>
        <w:t> </w:t>
      </w:r>
      <w:r>
        <w:rPr>
          <w:color w:val="0A0A0A"/>
        </w:rPr>
        <w:t>of the</w:t>
      </w:r>
      <w:r>
        <w:rPr>
          <w:color w:val="0A0A0A"/>
          <w:spacing w:val="-2"/>
        </w:rPr>
        <w:t> </w:t>
      </w:r>
      <w:r>
        <w:rPr>
          <w:color w:val="0A0A0A"/>
        </w:rPr>
        <w:t>property </w:t>
      </w:r>
      <w:r>
        <w:rPr>
          <w:color w:val="313131"/>
        </w:rPr>
        <w:t>is </w:t>
      </w:r>
      <w:r>
        <w:rPr>
          <w:color w:val="1C1C1C"/>
        </w:rPr>
        <w:t>included in the Comprehensive</w:t>
      </w:r>
      <w:r>
        <w:rPr>
          <w:color w:val="1C1C1C"/>
          <w:spacing w:val="28"/>
        </w:rPr>
        <w:t> </w:t>
      </w:r>
      <w:r>
        <w:rPr>
          <w:color w:val="1C1C1C"/>
        </w:rPr>
        <w:t>Income </w:t>
      </w:r>
      <w:r>
        <w:rPr>
          <w:color w:val="0A0A0A"/>
        </w:rPr>
        <w:t>&amp; Expenditure Statement.</w:t>
      </w:r>
    </w:p>
    <w:p>
      <w:pPr>
        <w:pStyle w:val="BodyText"/>
        <w:spacing w:before="7"/>
      </w:pPr>
    </w:p>
    <w:p>
      <w:pPr>
        <w:pStyle w:val="BodyText"/>
        <w:ind w:left="1571" w:right="1136" w:firstLine="10"/>
        <w:jc w:val="both"/>
      </w:pPr>
      <w:r>
        <w:rPr>
          <w:color w:val="0A0A0A"/>
        </w:rPr>
        <w:t>However</w:t>
      </w:r>
      <w:r>
        <w:rPr>
          <w:color w:val="0A0A0A"/>
          <w:spacing w:val="21"/>
        </w:rPr>
        <w:t> </w:t>
      </w:r>
      <w:r>
        <w:rPr>
          <w:color w:val="0A0A0A"/>
        </w:rPr>
        <w:t>such a</w:t>
      </w:r>
      <w:r>
        <w:rPr>
          <w:color w:val="0A0A0A"/>
          <w:spacing w:val="-4"/>
        </w:rPr>
        <w:t> </w:t>
      </w:r>
      <w:r>
        <w:rPr>
          <w:color w:val="0A0A0A"/>
        </w:rPr>
        <w:t>gain</w:t>
      </w:r>
      <w:r>
        <w:rPr>
          <w:color w:val="0A0A0A"/>
          <w:spacing w:val="-1"/>
        </w:rPr>
        <w:t> </w:t>
      </w:r>
      <w:r>
        <w:rPr>
          <w:color w:val="0A0A0A"/>
        </w:rPr>
        <w:t>or</w:t>
      </w:r>
      <w:r>
        <w:rPr>
          <w:color w:val="0A0A0A"/>
          <w:spacing w:val="-2"/>
        </w:rPr>
        <w:t> </w:t>
      </w:r>
      <w:r>
        <w:rPr>
          <w:color w:val="0A0A0A"/>
        </w:rPr>
        <w:t>loss on</w:t>
      </w:r>
      <w:r>
        <w:rPr>
          <w:color w:val="0A0A0A"/>
          <w:spacing w:val="-4"/>
        </w:rPr>
        <w:t> </w:t>
      </w:r>
      <w:r>
        <w:rPr>
          <w:color w:val="0A0A0A"/>
        </w:rPr>
        <w:t>de-recognition</w:t>
      </w:r>
      <w:r>
        <w:rPr>
          <w:color w:val="0A0A0A"/>
          <w:spacing w:val="-13"/>
        </w:rPr>
        <w:t> </w:t>
      </w:r>
      <w:r>
        <w:rPr>
          <w:color w:val="0A0A0A"/>
        </w:rPr>
        <w:t>is</w:t>
      </w:r>
      <w:r>
        <w:rPr>
          <w:color w:val="0A0A0A"/>
          <w:spacing w:val="-6"/>
        </w:rPr>
        <w:t> </w:t>
      </w:r>
      <w:r>
        <w:rPr>
          <w:color w:val="0A0A0A"/>
        </w:rPr>
        <w:t>not a</w:t>
      </w:r>
      <w:r>
        <w:rPr>
          <w:color w:val="0A0A0A"/>
          <w:spacing w:val="-1"/>
        </w:rPr>
        <w:t> </w:t>
      </w:r>
      <w:r>
        <w:rPr>
          <w:color w:val="1C1C1C"/>
        </w:rPr>
        <w:t>proper credit </w:t>
      </w:r>
      <w:r>
        <w:rPr>
          <w:color w:val="0A0A0A"/>
        </w:rPr>
        <w:t>or</w:t>
      </w:r>
      <w:r>
        <w:rPr>
          <w:color w:val="0A0A0A"/>
          <w:spacing w:val="-5"/>
        </w:rPr>
        <w:t> </w:t>
      </w:r>
      <w:r>
        <w:rPr>
          <w:color w:val="0A0A0A"/>
        </w:rPr>
        <w:t>charge in</w:t>
      </w:r>
      <w:r>
        <w:rPr>
          <w:color w:val="0A0A0A"/>
          <w:spacing w:val="-13"/>
        </w:rPr>
        <w:t> </w:t>
      </w:r>
      <w:r>
        <w:rPr>
          <w:color w:val="0A0A0A"/>
        </w:rPr>
        <w:t>the</w:t>
      </w:r>
      <w:r>
        <w:rPr>
          <w:color w:val="0A0A0A"/>
          <w:spacing w:val="-4"/>
        </w:rPr>
        <w:t> </w:t>
      </w:r>
      <w:r>
        <w:rPr>
          <w:color w:val="0A0A0A"/>
        </w:rPr>
        <w:t>General Fund and is subsequently reported in</w:t>
      </w:r>
      <w:r>
        <w:rPr>
          <w:color w:val="0A0A0A"/>
          <w:spacing w:val="-5"/>
        </w:rPr>
        <w:t> </w:t>
      </w:r>
      <w:r>
        <w:rPr>
          <w:color w:val="0A0A0A"/>
        </w:rPr>
        <w:t>the Movement in </w:t>
      </w:r>
      <w:r>
        <w:rPr>
          <w:color w:val="1C1C1C"/>
        </w:rPr>
        <w:t>Reserves Statement </w:t>
      </w:r>
      <w:r>
        <w:rPr>
          <w:color w:val="0A0A0A"/>
        </w:rPr>
        <w:t>with an amount equal to the net </w:t>
      </w:r>
      <w:r>
        <w:rPr>
          <w:color w:val="1C1C1C"/>
        </w:rPr>
        <w:t>disposal </w:t>
      </w:r>
      <w:r>
        <w:rPr>
          <w:color w:val="0A0A0A"/>
        </w:rPr>
        <w:t>proceeds being credited to the Capital Receipts </w:t>
      </w:r>
      <w:r>
        <w:rPr>
          <w:color w:val="1C1C1C"/>
        </w:rPr>
        <w:t>Reserve </w:t>
      </w:r>
      <w:r>
        <w:rPr>
          <w:color w:val="0A0A0A"/>
        </w:rPr>
        <w:t>and an amount equal to </w:t>
      </w:r>
      <w:r>
        <w:rPr>
          <w:color w:val="1C1C1C"/>
        </w:rPr>
        <w:t>the </w:t>
      </w:r>
      <w:r>
        <w:rPr>
          <w:color w:val="0A0A0A"/>
        </w:rPr>
        <w:t>carrying amount of the asset being charged to </w:t>
      </w:r>
      <w:r>
        <w:rPr>
          <w:color w:val="1C1C1C"/>
        </w:rPr>
        <w:t>the </w:t>
      </w:r>
      <w:r>
        <w:rPr>
          <w:color w:val="0A0A0A"/>
        </w:rPr>
        <w:t>Capital </w:t>
      </w:r>
      <w:r>
        <w:rPr>
          <w:color w:val="1C1C1C"/>
        </w:rPr>
        <w:t>Adjustment </w:t>
      </w:r>
      <w:r>
        <w:rPr>
          <w:color w:val="0A0A0A"/>
        </w:rPr>
        <w:t>Account. Investment properties are not subject to depreciation.</w:t>
      </w:r>
    </w:p>
    <w:p>
      <w:pPr>
        <w:pStyle w:val="BodyText"/>
        <w:spacing w:before="5"/>
      </w:pPr>
    </w:p>
    <w:p>
      <w:pPr>
        <w:spacing w:before="0"/>
        <w:ind w:left="1561" w:right="0" w:firstLine="0"/>
        <w:jc w:val="both"/>
        <w:rPr>
          <w:b/>
          <w:sz w:val="21"/>
        </w:rPr>
      </w:pPr>
      <w:r>
        <w:rPr>
          <w:b/>
          <w:color w:val="0A0A0A"/>
          <w:w w:val="105"/>
          <w:sz w:val="21"/>
        </w:rPr>
        <w:t>Intangible</w:t>
      </w:r>
      <w:r>
        <w:rPr>
          <w:b/>
          <w:color w:val="0A0A0A"/>
          <w:spacing w:val="-3"/>
          <w:w w:val="105"/>
          <w:sz w:val="21"/>
        </w:rPr>
        <w:t> </w:t>
      </w:r>
      <w:r>
        <w:rPr>
          <w:b/>
          <w:color w:val="0A0A0A"/>
          <w:spacing w:val="-2"/>
          <w:w w:val="105"/>
          <w:sz w:val="21"/>
        </w:rPr>
        <w:t>Assets</w:t>
      </w:r>
    </w:p>
    <w:p>
      <w:pPr>
        <w:pStyle w:val="BodyText"/>
        <w:spacing w:before="17"/>
        <w:rPr>
          <w:b/>
          <w:sz w:val="21"/>
        </w:rPr>
      </w:pPr>
    </w:p>
    <w:p>
      <w:pPr>
        <w:pStyle w:val="BodyText"/>
        <w:ind w:left="1550" w:right="1148" w:firstLine="5"/>
        <w:jc w:val="both"/>
      </w:pPr>
      <w:r>
        <w:rPr>
          <w:color w:val="0A0A0A"/>
        </w:rPr>
        <w:t>Intangible assets are</w:t>
      </w:r>
      <w:r>
        <w:rPr>
          <w:color w:val="0A0A0A"/>
          <w:spacing w:val="-3"/>
        </w:rPr>
        <w:t> </w:t>
      </w:r>
      <w:r>
        <w:rPr>
          <w:color w:val="0A0A0A"/>
        </w:rPr>
        <w:t>identifiable non-monetary assets without physical </w:t>
      </w:r>
      <w:r>
        <w:rPr>
          <w:color w:val="1C1C1C"/>
        </w:rPr>
        <w:t>substance. They </w:t>
      </w:r>
      <w:r>
        <w:rPr>
          <w:color w:val="0A0A0A"/>
        </w:rPr>
        <w:t>are recognised only where</w:t>
      </w:r>
      <w:r>
        <w:rPr>
          <w:color w:val="0A0A0A"/>
          <w:spacing w:val="-1"/>
        </w:rPr>
        <w:t> </w:t>
      </w:r>
      <w:r>
        <w:rPr>
          <w:color w:val="0A0A0A"/>
        </w:rPr>
        <w:t>it</w:t>
      </w:r>
      <w:r>
        <w:rPr>
          <w:color w:val="0A0A0A"/>
          <w:spacing w:val="-13"/>
        </w:rPr>
        <w:t> </w:t>
      </w:r>
      <w:r>
        <w:rPr>
          <w:color w:val="0A0A0A"/>
        </w:rPr>
        <w:t>is</w:t>
      </w:r>
      <w:r>
        <w:rPr>
          <w:color w:val="0A0A0A"/>
          <w:spacing w:val="-14"/>
        </w:rPr>
        <w:t> </w:t>
      </w:r>
      <w:r>
        <w:rPr>
          <w:color w:val="1C1C1C"/>
        </w:rPr>
        <w:t>probable</w:t>
      </w:r>
      <w:r>
        <w:rPr>
          <w:color w:val="1C1C1C"/>
          <w:spacing w:val="-3"/>
        </w:rPr>
        <w:t> </w:t>
      </w:r>
      <w:r>
        <w:rPr>
          <w:color w:val="0A0A0A"/>
        </w:rPr>
        <w:t>that</w:t>
      </w:r>
      <w:r>
        <w:rPr>
          <w:color w:val="0A0A0A"/>
          <w:spacing w:val="-5"/>
        </w:rPr>
        <w:t> </w:t>
      </w:r>
      <w:r>
        <w:rPr>
          <w:color w:val="0A0A0A"/>
        </w:rPr>
        <w:t>expected</w:t>
      </w:r>
      <w:r>
        <w:rPr>
          <w:color w:val="0A0A0A"/>
          <w:spacing w:val="-2"/>
        </w:rPr>
        <w:t> </w:t>
      </w:r>
      <w:r>
        <w:rPr>
          <w:color w:val="0A0A0A"/>
        </w:rPr>
        <w:t>future</w:t>
      </w:r>
      <w:r>
        <w:rPr>
          <w:color w:val="0A0A0A"/>
          <w:spacing w:val="-1"/>
        </w:rPr>
        <w:t> </w:t>
      </w:r>
      <w:r>
        <w:rPr>
          <w:color w:val="1C1C1C"/>
        </w:rPr>
        <w:t>benefits </w:t>
      </w:r>
      <w:r>
        <w:rPr>
          <w:color w:val="0A0A0A"/>
        </w:rPr>
        <w:t>attributable to</w:t>
      </w:r>
      <w:r>
        <w:rPr>
          <w:color w:val="0A0A0A"/>
          <w:spacing w:val="-10"/>
        </w:rPr>
        <w:t> </w:t>
      </w:r>
      <w:r>
        <w:rPr>
          <w:color w:val="0A0A0A"/>
        </w:rPr>
        <w:t>the </w:t>
      </w:r>
      <w:r>
        <w:rPr>
          <w:color w:val="1C1C1C"/>
        </w:rPr>
        <w:t>asset</w:t>
      </w:r>
      <w:r>
        <w:rPr>
          <w:color w:val="1C1C1C"/>
          <w:spacing w:val="-2"/>
        </w:rPr>
        <w:t> </w:t>
      </w:r>
      <w:r>
        <w:rPr>
          <w:color w:val="0A0A0A"/>
        </w:rPr>
        <w:t>will flow to</w:t>
      </w:r>
      <w:r>
        <w:rPr>
          <w:color w:val="0A0A0A"/>
          <w:spacing w:val="-1"/>
        </w:rPr>
        <w:t> </w:t>
      </w:r>
      <w:r>
        <w:rPr>
          <w:color w:val="0A0A0A"/>
        </w:rPr>
        <w:t>the council.</w:t>
      </w:r>
      <w:r>
        <w:rPr>
          <w:color w:val="0A0A0A"/>
          <w:spacing w:val="80"/>
        </w:rPr>
        <w:t> </w:t>
      </w:r>
      <w:r>
        <w:rPr>
          <w:color w:val="0A0A0A"/>
        </w:rPr>
        <w:t>They</w:t>
      </w:r>
      <w:r>
        <w:rPr>
          <w:color w:val="0A0A0A"/>
          <w:spacing w:val="18"/>
        </w:rPr>
        <w:t> </w:t>
      </w:r>
      <w:r>
        <w:rPr>
          <w:color w:val="1C1C1C"/>
        </w:rPr>
        <w:t>are measured</w:t>
      </w:r>
      <w:r>
        <w:rPr>
          <w:color w:val="1C1C1C"/>
          <w:spacing w:val="16"/>
        </w:rPr>
        <w:t> </w:t>
      </w:r>
      <w:r>
        <w:rPr>
          <w:color w:val="0A0A0A"/>
        </w:rPr>
        <w:t>initially</w:t>
      </w:r>
      <w:r>
        <w:rPr>
          <w:color w:val="0A0A0A"/>
          <w:spacing w:val="21"/>
        </w:rPr>
        <w:t> </w:t>
      </w:r>
      <w:r>
        <w:rPr>
          <w:color w:val="0A0A0A"/>
        </w:rPr>
        <w:t>at cost and subsequently</w:t>
      </w:r>
      <w:r>
        <w:rPr>
          <w:color w:val="0A0A0A"/>
          <w:spacing w:val="34"/>
        </w:rPr>
        <w:t> </w:t>
      </w:r>
      <w:r>
        <w:rPr>
          <w:color w:val="0A0A0A"/>
        </w:rPr>
        <w:t>at amortised</w:t>
      </w:r>
      <w:r>
        <w:rPr>
          <w:color w:val="0A0A0A"/>
          <w:spacing w:val="18"/>
        </w:rPr>
        <w:t> </w:t>
      </w:r>
      <w:r>
        <w:rPr>
          <w:color w:val="0A0A0A"/>
        </w:rPr>
        <w:t>cost.</w:t>
      </w:r>
    </w:p>
    <w:p>
      <w:pPr>
        <w:spacing w:after="0"/>
        <w:jc w:val="both"/>
        <w:sectPr>
          <w:headerReference w:type="even" r:id="rId88"/>
          <w:pgSz w:w="11910" w:h="16830"/>
          <w:pgMar w:top="880" w:right="100" w:bottom="1200" w:left="20" w:header="0" w:footer="0"/>
        </w:sectPr>
      </w:pPr>
    </w:p>
    <w:p>
      <w:pPr>
        <w:pStyle w:val="BodyText"/>
        <w:spacing w:before="237"/>
        <w:ind w:left="1423" w:right="1172" w:firstLine="3"/>
      </w:pPr>
      <w:r>
        <w:rPr>
          <w:color w:val="0E0E0E"/>
        </w:rPr>
        <w:t>Subsequent expenditure that does not</w:t>
      </w:r>
      <w:r>
        <w:rPr>
          <w:color w:val="0E0E0E"/>
          <w:spacing w:val="-4"/>
        </w:rPr>
        <w:t> </w:t>
      </w:r>
      <w:r>
        <w:rPr>
          <w:color w:val="0E0E0E"/>
        </w:rPr>
        <w:t>enhance the asset is</w:t>
      </w:r>
      <w:r>
        <w:rPr>
          <w:color w:val="0E0E0E"/>
          <w:spacing w:val="-10"/>
        </w:rPr>
        <w:t> </w:t>
      </w:r>
      <w:r>
        <w:rPr>
          <w:color w:val="0E0E0E"/>
        </w:rPr>
        <w:t>charged to</w:t>
      </w:r>
      <w:r>
        <w:rPr>
          <w:color w:val="0E0E0E"/>
          <w:spacing w:val="-1"/>
        </w:rPr>
        <w:t> </w:t>
      </w:r>
      <w:r>
        <w:rPr>
          <w:color w:val="0E0E0E"/>
        </w:rPr>
        <w:t>Surplus or</w:t>
      </w:r>
      <w:r>
        <w:rPr>
          <w:color w:val="0E0E0E"/>
          <w:spacing w:val="-1"/>
        </w:rPr>
        <w:t> </w:t>
      </w:r>
      <w:r>
        <w:rPr>
          <w:color w:val="0E0E0E"/>
        </w:rPr>
        <w:t>Deficit on the Provision of Services when incurred.</w:t>
      </w:r>
    </w:p>
    <w:p>
      <w:pPr>
        <w:pStyle w:val="BodyText"/>
        <w:spacing w:before="249"/>
        <w:ind w:left="1429" w:right="1172" w:hanging="4"/>
      </w:pPr>
      <w:r>
        <w:rPr>
          <w:color w:val="0E0E0E"/>
        </w:rPr>
        <w:t>The</w:t>
      </w:r>
      <w:r>
        <w:rPr>
          <w:color w:val="0E0E0E"/>
          <w:spacing w:val="37"/>
        </w:rPr>
        <w:t> </w:t>
      </w:r>
      <w:r>
        <w:rPr>
          <w:color w:val="0E0E0E"/>
        </w:rPr>
        <w:t>depreciable</w:t>
      </w:r>
      <w:r>
        <w:rPr>
          <w:color w:val="0E0E0E"/>
          <w:spacing w:val="40"/>
        </w:rPr>
        <w:t> </w:t>
      </w:r>
      <w:r>
        <w:rPr>
          <w:color w:val="0E0E0E"/>
        </w:rPr>
        <w:t>amount</w:t>
      </w:r>
      <w:r>
        <w:rPr>
          <w:color w:val="0E0E0E"/>
          <w:spacing w:val="40"/>
        </w:rPr>
        <w:t> </w:t>
      </w:r>
      <w:r>
        <w:rPr>
          <w:color w:val="0E0E0E"/>
        </w:rPr>
        <w:t>of</w:t>
      </w:r>
      <w:r>
        <w:rPr>
          <w:color w:val="0E0E0E"/>
          <w:spacing w:val="40"/>
        </w:rPr>
        <w:t> </w:t>
      </w:r>
      <w:r>
        <w:rPr>
          <w:color w:val="0E0E0E"/>
        </w:rPr>
        <w:t>an</w:t>
      </w:r>
      <w:r>
        <w:rPr>
          <w:color w:val="0E0E0E"/>
          <w:spacing w:val="29"/>
        </w:rPr>
        <w:t> </w:t>
      </w:r>
      <w:r>
        <w:rPr>
          <w:color w:val="0E0E0E"/>
        </w:rPr>
        <w:t>intangible</w:t>
      </w:r>
      <w:r>
        <w:rPr>
          <w:color w:val="0E0E0E"/>
          <w:spacing w:val="40"/>
        </w:rPr>
        <w:t> </w:t>
      </w:r>
      <w:r>
        <w:rPr>
          <w:color w:val="0E0E0E"/>
        </w:rPr>
        <w:t>asset</w:t>
      </w:r>
      <w:r>
        <w:rPr>
          <w:color w:val="0E0E0E"/>
          <w:spacing w:val="40"/>
        </w:rPr>
        <w:t> </w:t>
      </w:r>
      <w:r>
        <w:rPr>
          <w:color w:val="0E0E0E"/>
        </w:rPr>
        <w:t>with</w:t>
      </w:r>
      <w:r>
        <w:rPr>
          <w:color w:val="0E0E0E"/>
          <w:spacing w:val="37"/>
        </w:rPr>
        <w:t> </w:t>
      </w:r>
      <w:r>
        <w:rPr>
          <w:color w:val="0E0E0E"/>
        </w:rPr>
        <w:t>a</w:t>
      </w:r>
      <w:r>
        <w:rPr>
          <w:color w:val="0E0E0E"/>
          <w:spacing w:val="27"/>
        </w:rPr>
        <w:t> </w:t>
      </w:r>
      <w:r>
        <w:rPr>
          <w:color w:val="0E0E0E"/>
        </w:rPr>
        <w:t>finite</w:t>
      </w:r>
      <w:r>
        <w:rPr>
          <w:color w:val="0E0E0E"/>
          <w:spacing w:val="29"/>
        </w:rPr>
        <w:t> </w:t>
      </w:r>
      <w:r>
        <w:rPr>
          <w:color w:val="0E0E0E"/>
        </w:rPr>
        <w:t>useful</w:t>
      </w:r>
      <w:r>
        <w:rPr>
          <w:color w:val="0E0E0E"/>
          <w:spacing w:val="34"/>
        </w:rPr>
        <w:t> </w:t>
      </w:r>
      <w:r>
        <w:rPr>
          <w:color w:val="0E0E0E"/>
        </w:rPr>
        <w:t>life</w:t>
      </w:r>
      <w:r>
        <w:rPr>
          <w:color w:val="0E0E0E"/>
          <w:spacing w:val="31"/>
        </w:rPr>
        <w:t> </w:t>
      </w:r>
      <w:r>
        <w:rPr>
          <w:color w:val="0E0E0E"/>
        </w:rPr>
        <w:t>is</w:t>
      </w:r>
      <w:r>
        <w:rPr>
          <w:color w:val="0E0E0E"/>
          <w:spacing w:val="40"/>
        </w:rPr>
        <w:t> </w:t>
      </w:r>
      <w:r>
        <w:rPr>
          <w:color w:val="0E0E0E"/>
        </w:rPr>
        <w:t>amortised</w:t>
      </w:r>
      <w:r>
        <w:rPr>
          <w:color w:val="0E0E0E"/>
          <w:spacing w:val="40"/>
        </w:rPr>
        <w:t> </w:t>
      </w:r>
      <w:r>
        <w:rPr>
          <w:color w:val="0E0E0E"/>
        </w:rPr>
        <w:t>on</w:t>
      </w:r>
      <w:r>
        <w:rPr>
          <w:color w:val="0E0E0E"/>
          <w:spacing w:val="35"/>
        </w:rPr>
        <w:t> </w:t>
      </w:r>
      <w:r>
        <w:rPr>
          <w:color w:val="0E0E0E"/>
        </w:rPr>
        <w:t>a systematic basis over its</w:t>
      </w:r>
      <w:r>
        <w:rPr>
          <w:color w:val="0E0E0E"/>
          <w:spacing w:val="-4"/>
        </w:rPr>
        <w:t> </w:t>
      </w:r>
      <w:r>
        <w:rPr>
          <w:color w:val="0E0E0E"/>
        </w:rPr>
        <w:t>useful</w:t>
      </w:r>
      <w:r>
        <w:rPr>
          <w:color w:val="0E0E0E"/>
          <w:spacing w:val="-1"/>
        </w:rPr>
        <w:t> </w:t>
      </w:r>
      <w:r>
        <w:rPr>
          <w:color w:val="0E0E0E"/>
        </w:rPr>
        <w:t>life,</w:t>
      </w:r>
      <w:r>
        <w:rPr>
          <w:color w:val="0E0E0E"/>
          <w:spacing w:val="-3"/>
        </w:rPr>
        <w:t> </w:t>
      </w:r>
      <w:r>
        <w:rPr>
          <w:color w:val="0E0E0E"/>
        </w:rPr>
        <w:t>beginning when</w:t>
      </w:r>
      <w:r>
        <w:rPr>
          <w:color w:val="0E0E0E"/>
          <w:spacing w:val="-6"/>
        </w:rPr>
        <w:t> </w:t>
      </w:r>
      <w:r>
        <w:rPr>
          <w:color w:val="0E0E0E"/>
        </w:rPr>
        <w:t>the</w:t>
      </w:r>
      <w:r>
        <w:rPr>
          <w:color w:val="0E0E0E"/>
          <w:spacing w:val="-3"/>
        </w:rPr>
        <w:t> </w:t>
      </w:r>
      <w:r>
        <w:rPr>
          <w:color w:val="0E0E0E"/>
        </w:rPr>
        <w:t>intangible asset is</w:t>
      </w:r>
      <w:r>
        <w:rPr>
          <w:color w:val="0E0E0E"/>
          <w:spacing w:val="-5"/>
        </w:rPr>
        <w:t> </w:t>
      </w:r>
      <w:r>
        <w:rPr>
          <w:color w:val="0E0E0E"/>
        </w:rPr>
        <w:t>available for use.</w:t>
      </w:r>
    </w:p>
    <w:p>
      <w:pPr>
        <w:pStyle w:val="BodyText"/>
        <w:spacing w:before="38"/>
      </w:pPr>
    </w:p>
    <w:p>
      <w:pPr>
        <w:spacing w:before="0"/>
        <w:ind w:left="1434" w:right="0" w:firstLine="0"/>
        <w:jc w:val="left"/>
        <w:rPr>
          <w:i/>
          <w:sz w:val="21"/>
        </w:rPr>
      </w:pPr>
      <w:r>
        <w:rPr>
          <w:i/>
          <w:color w:val="0E0E0E"/>
          <w:w w:val="105"/>
          <w:sz w:val="21"/>
        </w:rPr>
        <w:t>Internally</w:t>
      </w:r>
      <w:r>
        <w:rPr>
          <w:i/>
          <w:color w:val="0E0E0E"/>
          <w:spacing w:val="-10"/>
          <w:w w:val="105"/>
          <w:sz w:val="21"/>
        </w:rPr>
        <w:t> </w:t>
      </w:r>
      <w:r>
        <w:rPr>
          <w:i/>
          <w:color w:val="0E0E0E"/>
          <w:w w:val="105"/>
          <w:sz w:val="21"/>
        </w:rPr>
        <w:t>generated</w:t>
      </w:r>
      <w:r>
        <w:rPr>
          <w:i/>
          <w:color w:val="0E0E0E"/>
          <w:spacing w:val="-12"/>
          <w:w w:val="105"/>
          <w:sz w:val="21"/>
        </w:rPr>
        <w:t> </w:t>
      </w:r>
      <w:r>
        <w:rPr>
          <w:i/>
          <w:color w:val="0E0E0E"/>
          <w:w w:val="105"/>
          <w:sz w:val="21"/>
        </w:rPr>
        <w:t>intangible</w:t>
      </w:r>
      <w:r>
        <w:rPr>
          <w:i/>
          <w:color w:val="0E0E0E"/>
          <w:spacing w:val="-9"/>
          <w:w w:val="105"/>
          <w:sz w:val="21"/>
        </w:rPr>
        <w:t> </w:t>
      </w:r>
      <w:r>
        <w:rPr>
          <w:i/>
          <w:color w:val="0E0E0E"/>
          <w:spacing w:val="-2"/>
          <w:w w:val="105"/>
          <w:sz w:val="21"/>
        </w:rPr>
        <w:t>assets</w:t>
      </w:r>
    </w:p>
    <w:p>
      <w:pPr>
        <w:pStyle w:val="BodyText"/>
        <w:spacing w:before="32"/>
        <w:rPr>
          <w:i/>
          <w:sz w:val="21"/>
        </w:rPr>
      </w:pPr>
    </w:p>
    <w:p>
      <w:pPr>
        <w:pStyle w:val="BodyText"/>
        <w:ind w:left="1430"/>
      </w:pPr>
      <w:r>
        <w:rPr>
          <w:color w:val="0E0E0E"/>
        </w:rPr>
        <w:t>Internally</w:t>
      </w:r>
      <w:r>
        <w:rPr>
          <w:color w:val="0E0E0E"/>
          <w:spacing w:val="-16"/>
        </w:rPr>
        <w:t> </w:t>
      </w:r>
      <w:r>
        <w:rPr>
          <w:color w:val="0E0E0E"/>
        </w:rPr>
        <w:t>generated</w:t>
      </w:r>
      <w:r>
        <w:rPr>
          <w:color w:val="0E0E0E"/>
          <w:spacing w:val="-15"/>
        </w:rPr>
        <w:t> </w:t>
      </w:r>
      <w:r>
        <w:rPr>
          <w:color w:val="0E0E0E"/>
        </w:rPr>
        <w:t>assets</w:t>
      </w:r>
      <w:r>
        <w:rPr>
          <w:color w:val="0E0E0E"/>
          <w:spacing w:val="-15"/>
        </w:rPr>
        <w:t> </w:t>
      </w:r>
      <w:r>
        <w:rPr>
          <w:color w:val="0E0E0E"/>
        </w:rPr>
        <w:t>are</w:t>
      </w:r>
      <w:r>
        <w:rPr>
          <w:color w:val="0E0E0E"/>
          <w:spacing w:val="-16"/>
        </w:rPr>
        <w:t> </w:t>
      </w:r>
      <w:r>
        <w:rPr>
          <w:color w:val="0E0E0E"/>
        </w:rPr>
        <w:t>recognised</w:t>
      </w:r>
      <w:r>
        <w:rPr>
          <w:color w:val="0E0E0E"/>
          <w:spacing w:val="-16"/>
        </w:rPr>
        <w:t> </w:t>
      </w:r>
      <w:r>
        <w:rPr>
          <w:color w:val="0E0E0E"/>
        </w:rPr>
        <w:t>only</w:t>
      </w:r>
      <w:r>
        <w:rPr>
          <w:color w:val="0E0E0E"/>
          <w:spacing w:val="-12"/>
        </w:rPr>
        <w:t> </w:t>
      </w:r>
      <w:r>
        <w:rPr>
          <w:color w:val="0E0E0E"/>
        </w:rPr>
        <w:t>if</w:t>
      </w:r>
      <w:r>
        <w:rPr>
          <w:color w:val="0E0E0E"/>
          <w:spacing w:val="-16"/>
        </w:rPr>
        <w:t> </w:t>
      </w:r>
      <w:r>
        <w:rPr>
          <w:color w:val="0E0E0E"/>
        </w:rPr>
        <w:t>all</w:t>
      </w:r>
      <w:r>
        <w:rPr>
          <w:color w:val="0E0E0E"/>
          <w:spacing w:val="-19"/>
        </w:rPr>
        <w:t> </w:t>
      </w:r>
      <w:r>
        <w:rPr>
          <w:color w:val="0E0E0E"/>
        </w:rPr>
        <w:t>of</w:t>
      </w:r>
      <w:r>
        <w:rPr>
          <w:color w:val="0E0E0E"/>
          <w:spacing w:val="-15"/>
        </w:rPr>
        <w:t> </w:t>
      </w:r>
      <w:r>
        <w:rPr>
          <w:color w:val="0E0E0E"/>
        </w:rPr>
        <w:t>the</w:t>
      </w:r>
      <w:r>
        <w:rPr>
          <w:color w:val="0E0E0E"/>
          <w:spacing w:val="-15"/>
        </w:rPr>
        <w:t> </w:t>
      </w:r>
      <w:r>
        <w:rPr>
          <w:color w:val="0E0E0E"/>
        </w:rPr>
        <w:t>following</w:t>
      </w:r>
      <w:r>
        <w:rPr>
          <w:color w:val="0E0E0E"/>
          <w:spacing w:val="-13"/>
        </w:rPr>
        <w:t> </w:t>
      </w:r>
      <w:r>
        <w:rPr>
          <w:color w:val="0E0E0E"/>
        </w:rPr>
        <w:t>have</w:t>
      </w:r>
      <w:r>
        <w:rPr>
          <w:color w:val="0E0E0E"/>
          <w:spacing w:val="-15"/>
        </w:rPr>
        <w:t> </w:t>
      </w:r>
      <w:r>
        <w:rPr>
          <w:color w:val="0E0E0E"/>
        </w:rPr>
        <w:t>been</w:t>
      </w:r>
      <w:r>
        <w:rPr>
          <w:color w:val="0E0E0E"/>
          <w:spacing w:val="-15"/>
        </w:rPr>
        <w:t> </w:t>
      </w:r>
      <w:r>
        <w:rPr>
          <w:color w:val="0E0E0E"/>
          <w:spacing w:val="-2"/>
        </w:rPr>
        <w:t>demonstrated:</w:t>
      </w:r>
    </w:p>
    <w:p>
      <w:pPr>
        <w:pStyle w:val="BodyText"/>
        <w:spacing w:before="17"/>
      </w:pPr>
    </w:p>
    <w:p>
      <w:pPr>
        <w:pStyle w:val="ListParagraph"/>
        <w:numPr>
          <w:ilvl w:val="0"/>
          <w:numId w:val="12"/>
        </w:numPr>
        <w:tabs>
          <w:tab w:val="left" w:leader="none" w:pos="2426"/>
          <w:tab w:val="left" w:leader="none" w:pos="2428"/>
        </w:tabs>
        <w:spacing w:before="1" w:after="0" w:line="240" w:lineRule="auto"/>
        <w:ind w:left="2428" w:right="2181" w:hanging="355"/>
        <w:jc w:val="left"/>
        <w:rPr>
          <w:sz w:val="22"/>
        </w:rPr>
      </w:pPr>
      <w:r>
        <w:rPr>
          <w:color w:val="0E0E0E"/>
          <w:sz w:val="22"/>
        </w:rPr>
        <w:t>The</w:t>
      </w:r>
      <w:r>
        <w:rPr>
          <w:color w:val="0E0E0E"/>
          <w:spacing w:val="-11"/>
          <w:sz w:val="22"/>
        </w:rPr>
        <w:t> </w:t>
      </w:r>
      <w:r>
        <w:rPr>
          <w:color w:val="0E0E0E"/>
          <w:sz w:val="22"/>
        </w:rPr>
        <w:t>technical</w:t>
      </w:r>
      <w:r>
        <w:rPr>
          <w:color w:val="0E0E0E"/>
          <w:spacing w:val="-4"/>
          <w:sz w:val="22"/>
        </w:rPr>
        <w:t> </w:t>
      </w:r>
      <w:r>
        <w:rPr>
          <w:color w:val="0E0E0E"/>
          <w:sz w:val="22"/>
        </w:rPr>
        <w:t>feasibility of</w:t>
      </w:r>
      <w:r>
        <w:rPr>
          <w:color w:val="0E0E0E"/>
          <w:spacing w:val="-3"/>
          <w:sz w:val="22"/>
        </w:rPr>
        <w:t> </w:t>
      </w:r>
      <w:r>
        <w:rPr>
          <w:color w:val="0E0E0E"/>
          <w:sz w:val="22"/>
        </w:rPr>
        <w:t>completing the</w:t>
      </w:r>
      <w:r>
        <w:rPr>
          <w:color w:val="0E0E0E"/>
          <w:spacing w:val="-8"/>
          <w:sz w:val="22"/>
        </w:rPr>
        <w:t> </w:t>
      </w:r>
      <w:r>
        <w:rPr>
          <w:color w:val="0E0E0E"/>
          <w:sz w:val="22"/>
        </w:rPr>
        <w:t>intangible asset so</w:t>
      </w:r>
      <w:r>
        <w:rPr>
          <w:color w:val="0E0E0E"/>
          <w:spacing w:val="-9"/>
          <w:sz w:val="22"/>
        </w:rPr>
        <w:t> </w:t>
      </w:r>
      <w:r>
        <w:rPr>
          <w:color w:val="0E0E0E"/>
          <w:sz w:val="22"/>
        </w:rPr>
        <w:t>that</w:t>
      </w:r>
      <w:r>
        <w:rPr>
          <w:color w:val="0E0E0E"/>
          <w:spacing w:val="-1"/>
          <w:sz w:val="22"/>
        </w:rPr>
        <w:t> </w:t>
      </w:r>
      <w:r>
        <w:rPr>
          <w:color w:val="0E0E0E"/>
          <w:sz w:val="22"/>
        </w:rPr>
        <w:t>it</w:t>
      </w:r>
      <w:r>
        <w:rPr>
          <w:color w:val="0E0E0E"/>
          <w:spacing w:val="-6"/>
          <w:sz w:val="22"/>
        </w:rPr>
        <w:t> </w:t>
      </w:r>
      <w:r>
        <w:rPr>
          <w:color w:val="0E0E0E"/>
          <w:sz w:val="22"/>
        </w:rPr>
        <w:t>will</w:t>
      </w:r>
      <w:r>
        <w:rPr>
          <w:color w:val="0E0E0E"/>
          <w:spacing w:val="-11"/>
          <w:sz w:val="22"/>
        </w:rPr>
        <w:t> </w:t>
      </w:r>
      <w:r>
        <w:rPr>
          <w:color w:val="0E0E0E"/>
          <w:sz w:val="22"/>
        </w:rPr>
        <w:t>be available for use or for sale.</w:t>
      </w:r>
    </w:p>
    <w:p>
      <w:pPr>
        <w:pStyle w:val="ListParagraph"/>
        <w:numPr>
          <w:ilvl w:val="0"/>
          <w:numId w:val="12"/>
        </w:numPr>
        <w:tabs>
          <w:tab w:val="left" w:leader="none" w:pos="2426"/>
        </w:tabs>
        <w:spacing w:before="17" w:after="0" w:line="240" w:lineRule="auto"/>
        <w:ind w:left="2426" w:right="0" w:hanging="352"/>
        <w:jc w:val="left"/>
        <w:rPr>
          <w:sz w:val="22"/>
        </w:rPr>
      </w:pPr>
      <w:r>
        <w:rPr>
          <w:color w:val="0E0E0E"/>
          <w:sz w:val="22"/>
        </w:rPr>
        <w:t>The</w:t>
      </w:r>
      <w:r>
        <w:rPr>
          <w:color w:val="0E0E0E"/>
          <w:spacing w:val="-13"/>
          <w:sz w:val="22"/>
        </w:rPr>
        <w:t> </w:t>
      </w:r>
      <w:r>
        <w:rPr>
          <w:color w:val="0E0E0E"/>
          <w:sz w:val="22"/>
        </w:rPr>
        <w:t>intention</w:t>
      </w:r>
      <w:r>
        <w:rPr>
          <w:color w:val="0E0E0E"/>
          <w:spacing w:val="-6"/>
          <w:sz w:val="22"/>
        </w:rPr>
        <w:t> </w:t>
      </w:r>
      <w:r>
        <w:rPr>
          <w:color w:val="0E0E0E"/>
          <w:sz w:val="22"/>
        </w:rPr>
        <w:t>to</w:t>
      </w:r>
      <w:r>
        <w:rPr>
          <w:color w:val="0E0E0E"/>
          <w:spacing w:val="-9"/>
          <w:sz w:val="22"/>
        </w:rPr>
        <w:t> </w:t>
      </w:r>
      <w:r>
        <w:rPr>
          <w:color w:val="0E0E0E"/>
          <w:sz w:val="22"/>
        </w:rPr>
        <w:t>complete</w:t>
      </w:r>
      <w:r>
        <w:rPr>
          <w:color w:val="0E0E0E"/>
          <w:spacing w:val="2"/>
          <w:sz w:val="22"/>
        </w:rPr>
        <w:t> </w:t>
      </w:r>
      <w:r>
        <w:rPr>
          <w:color w:val="0E0E0E"/>
          <w:sz w:val="22"/>
        </w:rPr>
        <w:t>the</w:t>
      </w:r>
      <w:r>
        <w:rPr>
          <w:color w:val="0E0E0E"/>
          <w:spacing w:val="-9"/>
          <w:sz w:val="22"/>
        </w:rPr>
        <w:t> </w:t>
      </w:r>
      <w:r>
        <w:rPr>
          <w:color w:val="0E0E0E"/>
          <w:sz w:val="22"/>
        </w:rPr>
        <w:t>intangible</w:t>
      </w:r>
      <w:r>
        <w:rPr>
          <w:color w:val="0E0E0E"/>
          <w:spacing w:val="3"/>
          <w:sz w:val="22"/>
        </w:rPr>
        <w:t> </w:t>
      </w:r>
      <w:r>
        <w:rPr>
          <w:color w:val="0E0E0E"/>
          <w:sz w:val="22"/>
        </w:rPr>
        <w:t>asset</w:t>
      </w:r>
      <w:r>
        <w:rPr>
          <w:color w:val="0E0E0E"/>
          <w:spacing w:val="2"/>
          <w:sz w:val="22"/>
        </w:rPr>
        <w:t> </w:t>
      </w:r>
      <w:r>
        <w:rPr>
          <w:color w:val="0E0E0E"/>
          <w:sz w:val="22"/>
        </w:rPr>
        <w:t>and</w:t>
      </w:r>
      <w:r>
        <w:rPr>
          <w:color w:val="0E0E0E"/>
          <w:spacing w:val="-14"/>
          <w:sz w:val="22"/>
        </w:rPr>
        <w:t> </w:t>
      </w:r>
      <w:r>
        <w:rPr>
          <w:color w:val="0E0E0E"/>
          <w:sz w:val="22"/>
        </w:rPr>
        <w:t>use</w:t>
      </w:r>
      <w:r>
        <w:rPr>
          <w:color w:val="0E0E0E"/>
          <w:spacing w:val="-2"/>
          <w:sz w:val="22"/>
        </w:rPr>
        <w:t> </w:t>
      </w:r>
      <w:r>
        <w:rPr>
          <w:color w:val="0E0E0E"/>
          <w:spacing w:val="-5"/>
          <w:sz w:val="22"/>
        </w:rPr>
        <w:t>it.</w:t>
      </w:r>
    </w:p>
    <w:p>
      <w:pPr>
        <w:pStyle w:val="ListParagraph"/>
        <w:numPr>
          <w:ilvl w:val="0"/>
          <w:numId w:val="12"/>
        </w:numPr>
        <w:tabs>
          <w:tab w:val="left" w:leader="none" w:pos="2431"/>
        </w:tabs>
        <w:spacing w:before="17" w:after="0" w:line="240" w:lineRule="auto"/>
        <w:ind w:left="2431" w:right="0" w:hanging="357"/>
        <w:jc w:val="left"/>
        <w:rPr>
          <w:sz w:val="22"/>
        </w:rPr>
      </w:pPr>
      <w:r>
        <w:rPr>
          <w:color w:val="0E0E0E"/>
          <w:sz w:val="22"/>
        </w:rPr>
        <w:t>The</w:t>
      </w:r>
      <w:r>
        <w:rPr>
          <w:color w:val="0E0E0E"/>
          <w:spacing w:val="-6"/>
          <w:sz w:val="22"/>
        </w:rPr>
        <w:t> </w:t>
      </w:r>
      <w:r>
        <w:rPr>
          <w:color w:val="0E0E0E"/>
          <w:sz w:val="22"/>
        </w:rPr>
        <w:t>ability</w:t>
      </w:r>
      <w:r>
        <w:rPr>
          <w:color w:val="0E0E0E"/>
          <w:spacing w:val="1"/>
          <w:sz w:val="22"/>
        </w:rPr>
        <w:t> </w:t>
      </w:r>
      <w:r>
        <w:rPr>
          <w:color w:val="0E0E0E"/>
          <w:sz w:val="22"/>
        </w:rPr>
        <w:t>to</w:t>
      </w:r>
      <w:r>
        <w:rPr>
          <w:color w:val="0E0E0E"/>
          <w:spacing w:val="-1"/>
          <w:sz w:val="22"/>
        </w:rPr>
        <w:t> </w:t>
      </w:r>
      <w:r>
        <w:rPr>
          <w:color w:val="0E0E0E"/>
          <w:sz w:val="22"/>
        </w:rPr>
        <w:t>sell</w:t>
      </w:r>
      <w:r>
        <w:rPr>
          <w:color w:val="0E0E0E"/>
          <w:spacing w:val="-5"/>
          <w:sz w:val="22"/>
        </w:rPr>
        <w:t> </w:t>
      </w:r>
      <w:r>
        <w:rPr>
          <w:color w:val="0E0E0E"/>
          <w:sz w:val="22"/>
        </w:rPr>
        <w:t>or</w:t>
      </w:r>
      <w:r>
        <w:rPr>
          <w:color w:val="0E0E0E"/>
          <w:spacing w:val="-7"/>
          <w:sz w:val="22"/>
        </w:rPr>
        <w:t> </w:t>
      </w:r>
      <w:r>
        <w:rPr>
          <w:color w:val="0E0E0E"/>
          <w:sz w:val="22"/>
        </w:rPr>
        <w:t>use</w:t>
      </w:r>
      <w:r>
        <w:rPr>
          <w:color w:val="0E0E0E"/>
          <w:spacing w:val="-8"/>
          <w:sz w:val="22"/>
        </w:rPr>
        <w:t> </w:t>
      </w:r>
      <w:r>
        <w:rPr>
          <w:color w:val="0E0E0E"/>
          <w:sz w:val="22"/>
        </w:rPr>
        <w:t>the</w:t>
      </w:r>
      <w:r>
        <w:rPr>
          <w:color w:val="0E0E0E"/>
          <w:spacing w:val="-8"/>
          <w:sz w:val="22"/>
        </w:rPr>
        <w:t> </w:t>
      </w:r>
      <w:r>
        <w:rPr>
          <w:color w:val="0E0E0E"/>
          <w:sz w:val="22"/>
        </w:rPr>
        <w:t>intangible</w:t>
      </w:r>
      <w:r>
        <w:rPr>
          <w:color w:val="0E0E0E"/>
          <w:spacing w:val="10"/>
          <w:sz w:val="22"/>
        </w:rPr>
        <w:t> </w:t>
      </w:r>
      <w:r>
        <w:rPr>
          <w:color w:val="0E0E0E"/>
          <w:spacing w:val="-2"/>
          <w:sz w:val="22"/>
        </w:rPr>
        <w:t>asset.</w:t>
      </w:r>
    </w:p>
    <w:p>
      <w:pPr>
        <w:pStyle w:val="ListParagraph"/>
        <w:numPr>
          <w:ilvl w:val="0"/>
          <w:numId w:val="12"/>
        </w:numPr>
        <w:tabs>
          <w:tab w:val="left" w:leader="none" w:pos="2428"/>
          <w:tab w:val="left" w:leader="none" w:pos="2434"/>
        </w:tabs>
        <w:spacing w:before="16" w:after="0" w:line="240" w:lineRule="auto"/>
        <w:ind w:left="2434" w:right="2021" w:hanging="361"/>
        <w:jc w:val="left"/>
        <w:rPr>
          <w:sz w:val="22"/>
        </w:rPr>
      </w:pPr>
      <w:r>
        <w:rPr>
          <w:color w:val="0E0E0E"/>
          <w:sz w:val="22"/>
        </w:rPr>
        <w:t>How</w:t>
      </w:r>
      <w:r>
        <w:rPr>
          <w:color w:val="0E0E0E"/>
          <w:spacing w:val="-7"/>
          <w:sz w:val="22"/>
        </w:rPr>
        <w:t> </w:t>
      </w:r>
      <w:r>
        <w:rPr>
          <w:color w:val="0E0E0E"/>
          <w:sz w:val="22"/>
        </w:rPr>
        <w:t>the</w:t>
      </w:r>
      <w:r>
        <w:rPr>
          <w:color w:val="0E0E0E"/>
          <w:spacing w:val="-12"/>
          <w:sz w:val="22"/>
        </w:rPr>
        <w:t> </w:t>
      </w:r>
      <w:r>
        <w:rPr>
          <w:color w:val="0E0E0E"/>
          <w:sz w:val="22"/>
        </w:rPr>
        <w:t>intangible asset</w:t>
      </w:r>
      <w:r>
        <w:rPr>
          <w:color w:val="0E0E0E"/>
          <w:spacing w:val="-7"/>
          <w:sz w:val="22"/>
        </w:rPr>
        <w:t> </w:t>
      </w:r>
      <w:r>
        <w:rPr>
          <w:color w:val="0E0E0E"/>
          <w:sz w:val="22"/>
        </w:rPr>
        <w:t>will</w:t>
      </w:r>
      <w:r>
        <w:rPr>
          <w:color w:val="0E0E0E"/>
          <w:spacing w:val="-10"/>
          <w:sz w:val="22"/>
        </w:rPr>
        <w:t> </w:t>
      </w:r>
      <w:r>
        <w:rPr>
          <w:color w:val="0E0E0E"/>
          <w:sz w:val="22"/>
        </w:rPr>
        <w:t>generate probable future</w:t>
      </w:r>
      <w:r>
        <w:rPr>
          <w:color w:val="0E0E0E"/>
          <w:spacing w:val="-9"/>
          <w:sz w:val="22"/>
        </w:rPr>
        <w:t> </w:t>
      </w:r>
      <w:r>
        <w:rPr>
          <w:color w:val="0E0E0E"/>
          <w:sz w:val="22"/>
        </w:rPr>
        <w:t>economic</w:t>
      </w:r>
      <w:r>
        <w:rPr>
          <w:color w:val="0E0E0E"/>
          <w:spacing w:val="-2"/>
          <w:sz w:val="22"/>
        </w:rPr>
        <w:t> </w:t>
      </w:r>
      <w:r>
        <w:rPr>
          <w:color w:val="0E0E0E"/>
          <w:sz w:val="22"/>
        </w:rPr>
        <w:t>benefits or service potential.</w:t>
      </w:r>
    </w:p>
    <w:p>
      <w:pPr>
        <w:pStyle w:val="ListParagraph"/>
        <w:numPr>
          <w:ilvl w:val="0"/>
          <w:numId w:val="12"/>
        </w:numPr>
        <w:tabs>
          <w:tab w:val="left" w:leader="none" w:pos="2431"/>
          <w:tab w:val="left" w:leader="none" w:pos="2433"/>
        </w:tabs>
        <w:spacing w:before="13" w:after="0" w:line="240" w:lineRule="auto"/>
        <w:ind w:left="2433" w:right="1598" w:hanging="360"/>
        <w:jc w:val="left"/>
        <w:rPr>
          <w:sz w:val="22"/>
        </w:rPr>
      </w:pPr>
      <w:r>
        <w:rPr>
          <w:color w:val="0E0E0E"/>
          <w:sz w:val="22"/>
        </w:rPr>
        <w:t>The</w:t>
      </w:r>
      <w:r>
        <w:rPr>
          <w:color w:val="0E0E0E"/>
          <w:spacing w:val="-9"/>
          <w:sz w:val="22"/>
        </w:rPr>
        <w:t> </w:t>
      </w:r>
      <w:r>
        <w:rPr>
          <w:color w:val="0E0E0E"/>
          <w:sz w:val="22"/>
        </w:rPr>
        <w:t>availability of</w:t>
      </w:r>
      <w:r>
        <w:rPr>
          <w:color w:val="0E0E0E"/>
          <w:spacing w:val="-5"/>
          <w:sz w:val="22"/>
        </w:rPr>
        <w:t> </w:t>
      </w:r>
      <w:r>
        <w:rPr>
          <w:color w:val="0E0E0E"/>
          <w:sz w:val="22"/>
        </w:rPr>
        <w:t>adequate technical, financial</w:t>
      </w:r>
      <w:r>
        <w:rPr>
          <w:color w:val="0E0E0E"/>
          <w:spacing w:val="-3"/>
          <w:sz w:val="22"/>
        </w:rPr>
        <w:t> </w:t>
      </w:r>
      <w:r>
        <w:rPr>
          <w:color w:val="0E0E0E"/>
          <w:sz w:val="22"/>
        </w:rPr>
        <w:t>and</w:t>
      </w:r>
      <w:r>
        <w:rPr>
          <w:color w:val="0E0E0E"/>
          <w:spacing w:val="-5"/>
          <w:sz w:val="22"/>
        </w:rPr>
        <w:t> </w:t>
      </w:r>
      <w:r>
        <w:rPr>
          <w:color w:val="0E0E0E"/>
          <w:sz w:val="22"/>
        </w:rPr>
        <w:t>other</w:t>
      </w:r>
      <w:r>
        <w:rPr>
          <w:color w:val="0E0E0E"/>
          <w:spacing w:val="-11"/>
          <w:sz w:val="22"/>
        </w:rPr>
        <w:t> </w:t>
      </w:r>
      <w:r>
        <w:rPr>
          <w:color w:val="0E0E0E"/>
          <w:sz w:val="22"/>
        </w:rPr>
        <w:t>resources</w:t>
      </w:r>
      <w:r>
        <w:rPr>
          <w:color w:val="0E0E0E"/>
          <w:spacing w:val="-7"/>
          <w:sz w:val="22"/>
        </w:rPr>
        <w:t> </w:t>
      </w:r>
      <w:r>
        <w:rPr>
          <w:color w:val="0E0E0E"/>
          <w:sz w:val="22"/>
        </w:rPr>
        <w:t>to</w:t>
      </w:r>
      <w:r>
        <w:rPr>
          <w:color w:val="0E0E0E"/>
          <w:spacing w:val="-12"/>
          <w:sz w:val="22"/>
        </w:rPr>
        <w:t> </w:t>
      </w:r>
      <w:r>
        <w:rPr>
          <w:color w:val="0E0E0E"/>
          <w:sz w:val="22"/>
        </w:rPr>
        <w:t>complete the intangible asset and</w:t>
      </w:r>
      <w:r>
        <w:rPr>
          <w:color w:val="0E0E0E"/>
          <w:spacing w:val="-2"/>
          <w:sz w:val="22"/>
        </w:rPr>
        <w:t> </w:t>
      </w:r>
      <w:r>
        <w:rPr>
          <w:color w:val="0E0E0E"/>
          <w:sz w:val="22"/>
        </w:rPr>
        <w:t>to use or sell the</w:t>
      </w:r>
      <w:r>
        <w:rPr>
          <w:color w:val="0E0E0E"/>
          <w:spacing w:val="-2"/>
          <w:sz w:val="22"/>
        </w:rPr>
        <w:t> </w:t>
      </w:r>
      <w:r>
        <w:rPr>
          <w:color w:val="0E0E0E"/>
          <w:sz w:val="22"/>
        </w:rPr>
        <w:t>intangible</w:t>
      </w:r>
      <w:r>
        <w:rPr>
          <w:color w:val="0E0E0E"/>
          <w:spacing w:val="33"/>
          <w:sz w:val="22"/>
        </w:rPr>
        <w:t> </w:t>
      </w:r>
      <w:r>
        <w:rPr>
          <w:color w:val="0E0E0E"/>
          <w:sz w:val="22"/>
        </w:rPr>
        <w:t>asset.</w:t>
      </w:r>
    </w:p>
    <w:p>
      <w:pPr>
        <w:pStyle w:val="ListParagraph"/>
        <w:numPr>
          <w:ilvl w:val="0"/>
          <w:numId w:val="12"/>
        </w:numPr>
        <w:tabs>
          <w:tab w:val="left" w:leader="none" w:pos="2431"/>
          <w:tab w:val="left" w:leader="none" w:pos="2434"/>
        </w:tabs>
        <w:spacing w:before="18" w:after="0" w:line="240" w:lineRule="auto"/>
        <w:ind w:left="2434" w:right="1496" w:hanging="356"/>
        <w:jc w:val="left"/>
        <w:rPr>
          <w:sz w:val="22"/>
        </w:rPr>
      </w:pPr>
      <w:r>
        <w:rPr>
          <w:color w:val="0E0E0E"/>
          <w:sz w:val="22"/>
        </w:rPr>
        <w:t>The</w:t>
      </w:r>
      <w:r>
        <w:rPr>
          <w:color w:val="0E0E0E"/>
          <w:spacing w:val="-12"/>
          <w:sz w:val="22"/>
        </w:rPr>
        <w:t> </w:t>
      </w:r>
      <w:r>
        <w:rPr>
          <w:color w:val="0E0E0E"/>
          <w:sz w:val="22"/>
        </w:rPr>
        <w:t>ability</w:t>
      </w:r>
      <w:r>
        <w:rPr>
          <w:color w:val="0E0E0E"/>
          <w:spacing w:val="-2"/>
          <w:sz w:val="22"/>
        </w:rPr>
        <w:t> </w:t>
      </w:r>
      <w:r>
        <w:rPr>
          <w:color w:val="0E0E0E"/>
          <w:sz w:val="22"/>
        </w:rPr>
        <w:t>to</w:t>
      </w:r>
      <w:r>
        <w:rPr>
          <w:color w:val="0E0E0E"/>
          <w:spacing w:val="-11"/>
          <w:sz w:val="22"/>
        </w:rPr>
        <w:t> </w:t>
      </w:r>
      <w:r>
        <w:rPr>
          <w:color w:val="0E0E0E"/>
          <w:sz w:val="22"/>
        </w:rPr>
        <w:t>measure reliably the</w:t>
      </w:r>
      <w:r>
        <w:rPr>
          <w:color w:val="0E0E0E"/>
          <w:spacing w:val="-8"/>
          <w:sz w:val="22"/>
        </w:rPr>
        <w:t> </w:t>
      </w:r>
      <w:r>
        <w:rPr>
          <w:color w:val="0E0E0E"/>
          <w:sz w:val="22"/>
        </w:rPr>
        <w:t>expenditure attributable to</w:t>
      </w:r>
      <w:r>
        <w:rPr>
          <w:color w:val="0E0E0E"/>
          <w:spacing w:val="-9"/>
          <w:sz w:val="22"/>
        </w:rPr>
        <w:t> </w:t>
      </w:r>
      <w:r>
        <w:rPr>
          <w:color w:val="0E0E0E"/>
          <w:sz w:val="22"/>
        </w:rPr>
        <w:t>the</w:t>
      </w:r>
      <w:r>
        <w:rPr>
          <w:color w:val="0E0E0E"/>
          <w:spacing w:val="-7"/>
          <w:sz w:val="22"/>
        </w:rPr>
        <w:t> </w:t>
      </w:r>
      <w:r>
        <w:rPr>
          <w:color w:val="0E0E0E"/>
          <w:sz w:val="22"/>
        </w:rPr>
        <w:t>intangible asset during its development.</w:t>
      </w:r>
    </w:p>
    <w:p>
      <w:pPr>
        <w:pStyle w:val="BodyText"/>
        <w:spacing w:before="172"/>
      </w:pPr>
    </w:p>
    <w:p>
      <w:pPr>
        <w:spacing w:before="1"/>
        <w:ind w:left="1441" w:right="0" w:firstLine="0"/>
        <w:jc w:val="left"/>
        <w:rPr>
          <w:i/>
          <w:sz w:val="21"/>
        </w:rPr>
      </w:pPr>
      <w:r>
        <w:rPr>
          <w:i/>
          <w:color w:val="0E0E0E"/>
          <w:spacing w:val="-2"/>
          <w:sz w:val="21"/>
        </w:rPr>
        <w:t>Software</w:t>
      </w:r>
    </w:p>
    <w:p>
      <w:pPr>
        <w:pStyle w:val="BodyText"/>
        <w:spacing w:before="234" w:line="276" w:lineRule="auto"/>
        <w:ind w:left="1438" w:right="1299" w:firstLine="3"/>
        <w:jc w:val="both"/>
      </w:pPr>
      <w:r>
        <w:rPr>
          <w:color w:val="0E0E0E"/>
        </w:rPr>
        <w:t>Software</w:t>
      </w:r>
      <w:r>
        <w:rPr>
          <w:color w:val="0E0E0E"/>
          <w:spacing w:val="-1"/>
        </w:rPr>
        <w:t> </w:t>
      </w:r>
      <w:r>
        <w:rPr>
          <w:color w:val="0E0E0E"/>
        </w:rPr>
        <w:t>which</w:t>
      </w:r>
      <w:r>
        <w:rPr>
          <w:color w:val="0E0E0E"/>
          <w:spacing w:val="-12"/>
        </w:rPr>
        <w:t> </w:t>
      </w:r>
      <w:r>
        <w:rPr>
          <w:color w:val="0E0E0E"/>
        </w:rPr>
        <w:t>is</w:t>
      </w:r>
      <w:r>
        <w:rPr>
          <w:color w:val="0E0E0E"/>
          <w:spacing w:val="-15"/>
        </w:rPr>
        <w:t> </w:t>
      </w:r>
      <w:r>
        <w:rPr>
          <w:color w:val="0E0E0E"/>
        </w:rPr>
        <w:t>integral</w:t>
      </w:r>
      <w:r>
        <w:rPr>
          <w:color w:val="0E0E0E"/>
          <w:spacing w:val="-4"/>
        </w:rPr>
        <w:t> </w:t>
      </w:r>
      <w:r>
        <w:rPr>
          <w:color w:val="0E0E0E"/>
        </w:rPr>
        <w:t>to</w:t>
      </w:r>
      <w:r>
        <w:rPr>
          <w:color w:val="0E0E0E"/>
          <w:spacing w:val="-11"/>
        </w:rPr>
        <w:t> </w:t>
      </w:r>
      <w:r>
        <w:rPr>
          <w:color w:val="0E0E0E"/>
        </w:rPr>
        <w:t>the</w:t>
      </w:r>
      <w:r>
        <w:rPr>
          <w:color w:val="0E0E0E"/>
          <w:spacing w:val="-10"/>
        </w:rPr>
        <w:t> </w:t>
      </w:r>
      <w:r>
        <w:rPr>
          <w:color w:val="0E0E0E"/>
        </w:rPr>
        <w:t>operation of</w:t>
      </w:r>
      <w:r>
        <w:rPr>
          <w:color w:val="0E0E0E"/>
          <w:spacing w:val="-16"/>
        </w:rPr>
        <w:t> </w:t>
      </w:r>
      <w:r>
        <w:rPr>
          <w:color w:val="0E0E0E"/>
        </w:rPr>
        <w:t>hardware e.g.</w:t>
      </w:r>
      <w:r>
        <w:rPr>
          <w:color w:val="0E0E0E"/>
          <w:spacing w:val="-3"/>
        </w:rPr>
        <w:t> </w:t>
      </w:r>
      <w:r>
        <w:rPr>
          <w:color w:val="0E0E0E"/>
        </w:rPr>
        <w:t>an</w:t>
      </w:r>
      <w:r>
        <w:rPr>
          <w:color w:val="0E0E0E"/>
          <w:spacing w:val="-12"/>
        </w:rPr>
        <w:t> </w:t>
      </w:r>
      <w:r>
        <w:rPr>
          <w:color w:val="0E0E0E"/>
        </w:rPr>
        <w:t>operating system</w:t>
      </w:r>
      <w:r>
        <w:rPr>
          <w:color w:val="0E0E0E"/>
          <w:spacing w:val="-1"/>
        </w:rPr>
        <w:t> </w:t>
      </w:r>
      <w:r>
        <w:rPr>
          <w:color w:val="0E0E0E"/>
        </w:rPr>
        <w:t>is</w:t>
      </w:r>
      <w:r>
        <w:rPr>
          <w:color w:val="0E0E0E"/>
          <w:spacing w:val="-14"/>
        </w:rPr>
        <w:t> </w:t>
      </w:r>
      <w:r>
        <w:rPr>
          <w:color w:val="0E0E0E"/>
        </w:rPr>
        <w:t>capitalised as</w:t>
      </w:r>
      <w:r>
        <w:rPr>
          <w:color w:val="0E0E0E"/>
          <w:spacing w:val="-12"/>
        </w:rPr>
        <w:t> </w:t>
      </w:r>
      <w:r>
        <w:rPr>
          <w:color w:val="0E0E0E"/>
        </w:rPr>
        <w:t>part</w:t>
      </w:r>
      <w:r>
        <w:rPr>
          <w:color w:val="0E0E0E"/>
          <w:spacing w:val="-6"/>
        </w:rPr>
        <w:t> </w:t>
      </w:r>
      <w:r>
        <w:rPr>
          <w:color w:val="0E0E0E"/>
        </w:rPr>
        <w:t>of</w:t>
      </w:r>
      <w:r>
        <w:rPr>
          <w:color w:val="0E0E0E"/>
          <w:spacing w:val="-10"/>
        </w:rPr>
        <w:t> </w:t>
      </w:r>
      <w:r>
        <w:rPr>
          <w:color w:val="0E0E0E"/>
        </w:rPr>
        <w:t>the</w:t>
      </w:r>
      <w:r>
        <w:rPr>
          <w:color w:val="0E0E0E"/>
          <w:spacing w:val="-12"/>
        </w:rPr>
        <w:t> </w:t>
      </w:r>
      <w:r>
        <w:rPr>
          <w:color w:val="0E0E0E"/>
        </w:rPr>
        <w:t>relevant item of</w:t>
      </w:r>
      <w:r>
        <w:rPr>
          <w:color w:val="0E0E0E"/>
          <w:spacing w:val="-7"/>
        </w:rPr>
        <w:t> </w:t>
      </w:r>
      <w:r>
        <w:rPr>
          <w:color w:val="0E0E0E"/>
        </w:rPr>
        <w:t>property, plant and</w:t>
      </w:r>
      <w:r>
        <w:rPr>
          <w:color w:val="0E0E0E"/>
          <w:spacing w:val="-11"/>
        </w:rPr>
        <w:t> </w:t>
      </w:r>
      <w:r>
        <w:rPr>
          <w:color w:val="0E0E0E"/>
        </w:rPr>
        <w:t>equipment. Software which</w:t>
      </w:r>
      <w:r>
        <w:rPr>
          <w:color w:val="0E0E0E"/>
          <w:spacing w:val="-4"/>
        </w:rPr>
        <w:t> </w:t>
      </w:r>
      <w:r>
        <w:rPr>
          <w:color w:val="0E0E0E"/>
        </w:rPr>
        <w:t>is</w:t>
      </w:r>
      <w:r>
        <w:rPr>
          <w:color w:val="0E0E0E"/>
          <w:spacing w:val="-11"/>
        </w:rPr>
        <w:t> </w:t>
      </w:r>
      <w:r>
        <w:rPr>
          <w:color w:val="0E0E0E"/>
        </w:rPr>
        <w:t>not</w:t>
      </w:r>
      <w:r>
        <w:rPr>
          <w:color w:val="0E0E0E"/>
          <w:spacing w:val="-10"/>
        </w:rPr>
        <w:t> </w:t>
      </w:r>
      <w:r>
        <w:rPr>
          <w:color w:val="0E0E0E"/>
        </w:rPr>
        <w:t>integral</w:t>
      </w:r>
      <w:r>
        <w:rPr>
          <w:color w:val="0E0E0E"/>
          <w:spacing w:val="-4"/>
        </w:rPr>
        <w:t> </w:t>
      </w:r>
      <w:r>
        <w:rPr>
          <w:color w:val="0E0E0E"/>
        </w:rPr>
        <w:t>to the</w:t>
      </w:r>
      <w:r>
        <w:rPr>
          <w:color w:val="0E0E0E"/>
          <w:spacing w:val="-2"/>
        </w:rPr>
        <w:t> </w:t>
      </w:r>
      <w:r>
        <w:rPr>
          <w:color w:val="0E0E0E"/>
        </w:rPr>
        <w:t>operation of</w:t>
      </w:r>
      <w:r>
        <w:rPr>
          <w:color w:val="0E0E0E"/>
          <w:spacing w:val="-3"/>
        </w:rPr>
        <w:t> </w:t>
      </w:r>
      <w:r>
        <w:rPr>
          <w:color w:val="0E0E0E"/>
        </w:rPr>
        <w:t>hardware e.g. application software, is</w:t>
      </w:r>
      <w:r>
        <w:rPr>
          <w:color w:val="0E0E0E"/>
          <w:spacing w:val="-5"/>
        </w:rPr>
        <w:t> </w:t>
      </w:r>
      <w:r>
        <w:rPr>
          <w:color w:val="0E0E0E"/>
        </w:rPr>
        <w:t>capitalised as an</w:t>
      </w:r>
      <w:r>
        <w:rPr>
          <w:color w:val="0E0E0E"/>
          <w:spacing w:val="-11"/>
        </w:rPr>
        <w:t> </w:t>
      </w:r>
      <w:r>
        <w:rPr>
          <w:color w:val="0E0E0E"/>
        </w:rPr>
        <w:t>intangible asset.</w:t>
      </w:r>
      <w:r>
        <w:rPr>
          <w:color w:val="0E0E0E"/>
          <w:spacing w:val="40"/>
        </w:rPr>
        <w:t> </w:t>
      </w:r>
      <w:r>
        <w:rPr>
          <w:color w:val="0E0E0E"/>
        </w:rPr>
        <w:t>All software is given a finite useful life, based on</w:t>
      </w:r>
      <w:r>
        <w:rPr>
          <w:color w:val="0E0E0E"/>
          <w:spacing w:val="-2"/>
        </w:rPr>
        <w:t> </w:t>
      </w:r>
      <w:r>
        <w:rPr>
          <w:color w:val="0E0E0E"/>
        </w:rPr>
        <w:t>assessments of the period that the software is expected to be of use to the Council.</w:t>
      </w:r>
    </w:p>
    <w:p>
      <w:pPr>
        <w:pStyle w:val="Heading3"/>
        <w:spacing w:before="199"/>
        <w:ind w:left="1439"/>
      </w:pPr>
      <w:r>
        <w:rPr>
          <w:color w:val="0E0E0E"/>
        </w:rPr>
        <w:t>Revenue</w:t>
      </w:r>
      <w:r>
        <w:rPr>
          <w:color w:val="0E0E0E"/>
          <w:spacing w:val="-6"/>
        </w:rPr>
        <w:t> </w:t>
      </w:r>
      <w:r>
        <w:rPr>
          <w:color w:val="0E0E0E"/>
        </w:rPr>
        <w:t>Expenditure</w:t>
      </w:r>
      <w:r>
        <w:rPr>
          <w:color w:val="0E0E0E"/>
          <w:spacing w:val="-1"/>
        </w:rPr>
        <w:t> </w:t>
      </w:r>
      <w:r>
        <w:rPr>
          <w:color w:val="0E0E0E"/>
        </w:rPr>
        <w:t>Funded</w:t>
      </w:r>
      <w:r>
        <w:rPr>
          <w:color w:val="0E0E0E"/>
          <w:spacing w:val="-6"/>
        </w:rPr>
        <w:t> </w:t>
      </w:r>
      <w:r>
        <w:rPr>
          <w:color w:val="0E0E0E"/>
        </w:rPr>
        <w:t>by</w:t>
      </w:r>
      <w:r>
        <w:rPr>
          <w:color w:val="0E0E0E"/>
          <w:spacing w:val="-13"/>
        </w:rPr>
        <w:t> </w:t>
      </w:r>
      <w:r>
        <w:rPr>
          <w:color w:val="0E0E0E"/>
        </w:rPr>
        <w:t>Capital</w:t>
      </w:r>
      <w:r>
        <w:rPr>
          <w:color w:val="0E0E0E"/>
          <w:spacing w:val="-7"/>
        </w:rPr>
        <w:t> </w:t>
      </w:r>
      <w:r>
        <w:rPr>
          <w:color w:val="0E0E0E"/>
        </w:rPr>
        <w:t>Under</w:t>
      </w:r>
      <w:r>
        <w:rPr>
          <w:color w:val="0E0E0E"/>
          <w:spacing w:val="-2"/>
        </w:rPr>
        <w:t> Statute</w:t>
      </w:r>
    </w:p>
    <w:p>
      <w:pPr>
        <w:pStyle w:val="BodyText"/>
        <w:spacing w:before="3"/>
        <w:rPr>
          <w:b/>
        </w:rPr>
      </w:pPr>
    </w:p>
    <w:p>
      <w:pPr>
        <w:pStyle w:val="BodyText"/>
        <w:spacing w:line="278" w:lineRule="auto"/>
        <w:ind w:left="1438" w:right="1291"/>
        <w:jc w:val="both"/>
      </w:pPr>
      <w:r>
        <w:rPr>
          <w:color w:val="0E0E0E"/>
        </w:rPr>
        <w:t>Expenditure that may be capitalised under statutory provisions, but does not result in the creation of non-current assets, has been charged as expenditure to the relevant service revenue account in the year. Where the Council has decided to meet the cost of this expenditure from existing capital resources or by borrowing, a transfer to the Capital Adjustment</w:t>
      </w:r>
      <w:r>
        <w:rPr>
          <w:color w:val="0E0E0E"/>
          <w:spacing w:val="-9"/>
        </w:rPr>
        <w:t> </w:t>
      </w:r>
      <w:r>
        <w:rPr>
          <w:color w:val="0E0E0E"/>
        </w:rPr>
        <w:t>Account via</w:t>
      </w:r>
      <w:r>
        <w:rPr>
          <w:color w:val="0E0E0E"/>
          <w:spacing w:val="-12"/>
        </w:rPr>
        <w:t> </w:t>
      </w:r>
      <w:r>
        <w:rPr>
          <w:color w:val="0E0E0E"/>
        </w:rPr>
        <w:t>the</w:t>
      </w:r>
      <w:r>
        <w:rPr>
          <w:color w:val="0E0E0E"/>
          <w:spacing w:val="-9"/>
        </w:rPr>
        <w:t> </w:t>
      </w:r>
      <w:r>
        <w:rPr>
          <w:color w:val="0E0E0E"/>
        </w:rPr>
        <w:t>Movement in</w:t>
      </w:r>
      <w:r>
        <w:rPr>
          <w:color w:val="0E0E0E"/>
          <w:spacing w:val="-16"/>
        </w:rPr>
        <w:t> </w:t>
      </w:r>
      <w:r>
        <w:rPr>
          <w:color w:val="0E0E0E"/>
        </w:rPr>
        <w:t>Reserves Statement then</w:t>
      </w:r>
      <w:r>
        <w:rPr>
          <w:color w:val="0E0E0E"/>
          <w:spacing w:val="-15"/>
        </w:rPr>
        <w:t> </w:t>
      </w:r>
      <w:r>
        <w:rPr>
          <w:color w:val="0E0E0E"/>
        </w:rPr>
        <w:t>reverses out</w:t>
      </w:r>
      <w:r>
        <w:rPr>
          <w:color w:val="0E0E0E"/>
          <w:spacing w:val="-16"/>
        </w:rPr>
        <w:t> </w:t>
      </w:r>
      <w:r>
        <w:rPr>
          <w:color w:val="0E0E0E"/>
        </w:rPr>
        <w:t>the</w:t>
      </w:r>
      <w:r>
        <w:rPr>
          <w:color w:val="0E0E0E"/>
          <w:spacing w:val="-10"/>
        </w:rPr>
        <w:t> </w:t>
      </w:r>
      <w:r>
        <w:rPr>
          <w:color w:val="0E0E0E"/>
        </w:rPr>
        <w:t>amounts charged</w:t>
      </w:r>
      <w:r>
        <w:rPr>
          <w:color w:val="0E0E0E"/>
          <w:spacing w:val="-9"/>
        </w:rPr>
        <w:t> </w:t>
      </w:r>
      <w:r>
        <w:rPr>
          <w:color w:val="0E0E0E"/>
        </w:rPr>
        <w:t>in</w:t>
      </w:r>
      <w:r>
        <w:rPr>
          <w:color w:val="0E0E0E"/>
          <w:spacing w:val="-16"/>
        </w:rPr>
        <w:t> </w:t>
      </w:r>
      <w:r>
        <w:rPr>
          <w:color w:val="0E0E0E"/>
        </w:rPr>
        <w:t>the</w:t>
      </w:r>
      <w:r>
        <w:rPr>
          <w:color w:val="0E0E0E"/>
          <w:spacing w:val="-14"/>
        </w:rPr>
        <w:t> </w:t>
      </w:r>
      <w:r>
        <w:rPr>
          <w:color w:val="0E0E0E"/>
        </w:rPr>
        <w:t>Comprehensive</w:t>
      </w:r>
      <w:r>
        <w:rPr>
          <w:color w:val="0E0E0E"/>
          <w:spacing w:val="17"/>
        </w:rPr>
        <w:t> </w:t>
      </w:r>
      <w:r>
        <w:rPr>
          <w:color w:val="0E0E0E"/>
        </w:rPr>
        <w:t>Income and</w:t>
      </w:r>
      <w:r>
        <w:rPr>
          <w:color w:val="0E0E0E"/>
          <w:spacing w:val="-13"/>
        </w:rPr>
        <w:t> </w:t>
      </w:r>
      <w:r>
        <w:rPr>
          <w:color w:val="0E0E0E"/>
        </w:rPr>
        <w:t>Expenditure Statement, thereby ensuring</w:t>
      </w:r>
      <w:r>
        <w:rPr>
          <w:color w:val="0E0E0E"/>
          <w:spacing w:val="-2"/>
        </w:rPr>
        <w:t> </w:t>
      </w:r>
      <w:r>
        <w:rPr>
          <w:color w:val="0E0E0E"/>
        </w:rPr>
        <w:t>there</w:t>
      </w:r>
      <w:r>
        <w:rPr>
          <w:color w:val="0E0E0E"/>
          <w:spacing w:val="-6"/>
        </w:rPr>
        <w:t> </w:t>
      </w:r>
      <w:r>
        <w:rPr>
          <w:color w:val="0E0E0E"/>
        </w:rPr>
        <w:t>is no impact on the level of General Fund Balances.</w:t>
      </w:r>
    </w:p>
    <w:p>
      <w:pPr>
        <w:pStyle w:val="Heading3"/>
        <w:spacing w:before="185"/>
        <w:ind w:left="1445"/>
      </w:pPr>
      <w:r>
        <w:rPr>
          <w:color w:val="0E0E0E"/>
        </w:rPr>
        <w:t>Grants</w:t>
      </w:r>
      <w:r>
        <w:rPr>
          <w:color w:val="0E0E0E"/>
          <w:spacing w:val="-5"/>
        </w:rPr>
        <w:t> </w:t>
      </w:r>
      <w:r>
        <w:rPr>
          <w:color w:val="0E0E0E"/>
        </w:rPr>
        <w:t>and</w:t>
      </w:r>
      <w:r>
        <w:rPr>
          <w:color w:val="0E0E0E"/>
          <w:spacing w:val="-9"/>
        </w:rPr>
        <w:t> </w:t>
      </w:r>
      <w:r>
        <w:rPr>
          <w:color w:val="0E0E0E"/>
        </w:rPr>
        <w:t>Other</w:t>
      </w:r>
      <w:r>
        <w:rPr>
          <w:color w:val="0E0E0E"/>
          <w:spacing w:val="-7"/>
        </w:rPr>
        <w:t> </w:t>
      </w:r>
      <w:r>
        <w:rPr>
          <w:color w:val="0E0E0E"/>
          <w:spacing w:val="-2"/>
        </w:rPr>
        <w:t>Contributions</w:t>
      </w:r>
    </w:p>
    <w:p>
      <w:pPr>
        <w:pStyle w:val="BodyText"/>
        <w:spacing w:before="237" w:line="276" w:lineRule="auto"/>
        <w:ind w:left="1442" w:right="1273" w:hanging="2"/>
        <w:jc w:val="both"/>
      </w:pPr>
      <w:r>
        <w:rPr>
          <w:color w:val="0E0E0E"/>
        </w:rPr>
        <w:t>There</w:t>
      </w:r>
      <w:r>
        <w:rPr>
          <w:color w:val="0E0E0E"/>
          <w:spacing w:val="-2"/>
        </w:rPr>
        <w:t> </w:t>
      </w:r>
      <w:r>
        <w:rPr>
          <w:color w:val="0E0E0E"/>
        </w:rPr>
        <w:t>are</w:t>
      </w:r>
      <w:r>
        <w:rPr>
          <w:color w:val="0E0E0E"/>
          <w:spacing w:val="-6"/>
        </w:rPr>
        <w:t> </w:t>
      </w:r>
      <w:r>
        <w:rPr>
          <w:color w:val="0E0E0E"/>
        </w:rPr>
        <w:t>several</w:t>
      </w:r>
      <w:r>
        <w:rPr>
          <w:color w:val="0E0E0E"/>
          <w:spacing w:val="-8"/>
        </w:rPr>
        <w:t> </w:t>
      </w:r>
      <w:r>
        <w:rPr>
          <w:color w:val="0E0E0E"/>
        </w:rPr>
        <w:t>instances whereby the</w:t>
      </w:r>
      <w:r>
        <w:rPr>
          <w:color w:val="0E0E0E"/>
          <w:spacing w:val="-8"/>
        </w:rPr>
        <w:t> </w:t>
      </w:r>
      <w:r>
        <w:rPr>
          <w:color w:val="0E0E0E"/>
        </w:rPr>
        <w:t>Council</w:t>
      </w:r>
      <w:r>
        <w:rPr>
          <w:color w:val="0E0E0E"/>
          <w:spacing w:val="-3"/>
        </w:rPr>
        <w:t> </w:t>
      </w:r>
      <w:r>
        <w:rPr>
          <w:color w:val="0E0E0E"/>
        </w:rPr>
        <w:t>may</w:t>
      </w:r>
      <w:r>
        <w:rPr>
          <w:color w:val="0E0E0E"/>
          <w:spacing w:val="-4"/>
        </w:rPr>
        <w:t> </w:t>
      </w:r>
      <w:r>
        <w:rPr>
          <w:color w:val="0E0E0E"/>
        </w:rPr>
        <w:t>receive a</w:t>
      </w:r>
      <w:r>
        <w:rPr>
          <w:color w:val="0E0E0E"/>
          <w:spacing w:val="-8"/>
        </w:rPr>
        <w:t> </w:t>
      </w:r>
      <w:r>
        <w:rPr>
          <w:color w:val="0E0E0E"/>
        </w:rPr>
        <w:t>grant or</w:t>
      </w:r>
      <w:r>
        <w:rPr>
          <w:color w:val="0E0E0E"/>
          <w:spacing w:val="-6"/>
        </w:rPr>
        <w:t> </w:t>
      </w:r>
      <w:r>
        <w:rPr>
          <w:color w:val="0E0E0E"/>
        </w:rPr>
        <w:t>contribution towards expenditure from central government or other bodies.</w:t>
      </w:r>
      <w:r>
        <w:rPr>
          <w:color w:val="0E0E0E"/>
          <w:spacing w:val="40"/>
        </w:rPr>
        <w:t> </w:t>
      </w:r>
      <w:r>
        <w:rPr>
          <w:color w:val="0E0E0E"/>
        </w:rPr>
        <w:t>Where</w:t>
      </w:r>
      <w:r>
        <w:rPr>
          <w:color w:val="0E0E0E"/>
          <w:spacing w:val="-6"/>
        </w:rPr>
        <w:t> </w:t>
      </w:r>
      <w:r>
        <w:rPr>
          <w:color w:val="0E0E0E"/>
        </w:rPr>
        <w:t>there</w:t>
      </w:r>
      <w:r>
        <w:rPr>
          <w:color w:val="0E0E0E"/>
          <w:spacing w:val="-2"/>
        </w:rPr>
        <w:t> </w:t>
      </w:r>
      <w:r>
        <w:rPr>
          <w:color w:val="0E0E0E"/>
        </w:rPr>
        <w:t>is</w:t>
      </w:r>
      <w:r>
        <w:rPr>
          <w:color w:val="0E0E0E"/>
          <w:spacing w:val="-5"/>
        </w:rPr>
        <w:t> </w:t>
      </w:r>
      <w:r>
        <w:rPr>
          <w:color w:val="0E0E0E"/>
        </w:rPr>
        <w:t>reasonable assurance that the grants or contributions will be received and that the Council will comply with the conditions attached to</w:t>
      </w:r>
      <w:r>
        <w:rPr>
          <w:color w:val="0E0E0E"/>
          <w:spacing w:val="-15"/>
        </w:rPr>
        <w:t> </w:t>
      </w:r>
      <w:r>
        <w:rPr>
          <w:color w:val="0E0E0E"/>
        </w:rPr>
        <w:t>them, grants</w:t>
      </w:r>
      <w:r>
        <w:rPr>
          <w:color w:val="0E0E0E"/>
          <w:spacing w:val="-3"/>
        </w:rPr>
        <w:t> </w:t>
      </w:r>
      <w:r>
        <w:rPr>
          <w:color w:val="0E0E0E"/>
        </w:rPr>
        <w:t>and</w:t>
      </w:r>
      <w:r>
        <w:rPr>
          <w:color w:val="0E0E0E"/>
          <w:spacing w:val="-11"/>
        </w:rPr>
        <w:t> </w:t>
      </w:r>
      <w:r>
        <w:rPr>
          <w:color w:val="0E0E0E"/>
        </w:rPr>
        <w:t>contributions which</w:t>
      </w:r>
      <w:r>
        <w:rPr>
          <w:color w:val="0E0E0E"/>
          <w:spacing w:val="-12"/>
        </w:rPr>
        <w:t> </w:t>
      </w:r>
      <w:r>
        <w:rPr>
          <w:color w:val="0E0E0E"/>
        </w:rPr>
        <w:t>relate</w:t>
      </w:r>
      <w:r>
        <w:rPr>
          <w:color w:val="0E0E0E"/>
          <w:spacing w:val="-10"/>
        </w:rPr>
        <w:t> </w:t>
      </w:r>
      <w:r>
        <w:rPr>
          <w:color w:val="0E0E0E"/>
        </w:rPr>
        <w:t>to</w:t>
      </w:r>
      <w:r>
        <w:rPr>
          <w:color w:val="0E0E0E"/>
          <w:spacing w:val="-13"/>
        </w:rPr>
        <w:t> </w:t>
      </w:r>
      <w:r>
        <w:rPr>
          <w:color w:val="0E0E0E"/>
        </w:rPr>
        <w:t>both</w:t>
      </w:r>
      <w:r>
        <w:rPr>
          <w:color w:val="0E0E0E"/>
          <w:spacing w:val="-16"/>
        </w:rPr>
        <w:t> </w:t>
      </w:r>
      <w:r>
        <w:rPr>
          <w:color w:val="0E0E0E"/>
        </w:rPr>
        <w:t>revenue and</w:t>
      </w:r>
      <w:r>
        <w:rPr>
          <w:color w:val="0E0E0E"/>
          <w:spacing w:val="-16"/>
        </w:rPr>
        <w:t> </w:t>
      </w:r>
      <w:r>
        <w:rPr>
          <w:color w:val="0E0E0E"/>
        </w:rPr>
        <w:t>capital expenditure are accounted for on an accruals basis and recognised immediately in the Comprehensive Income and</w:t>
      </w:r>
      <w:r>
        <w:rPr>
          <w:color w:val="0E0E0E"/>
          <w:spacing w:val="-1"/>
        </w:rPr>
        <w:t> </w:t>
      </w:r>
      <w:r>
        <w:rPr>
          <w:color w:val="0E0E0E"/>
        </w:rPr>
        <w:t>Expenditure Statement as income as follows:</w:t>
      </w:r>
    </w:p>
    <w:p>
      <w:pPr>
        <w:spacing w:after="0" w:line="276" w:lineRule="auto"/>
        <w:jc w:val="both"/>
        <w:sectPr>
          <w:headerReference w:type="default" r:id="rId90"/>
          <w:footerReference w:type="default" r:id="rId91"/>
          <w:footerReference w:type="even" r:id="rId92"/>
          <w:pgSz w:w="11910" w:h="16830"/>
          <w:pgMar w:top="880" w:right="100" w:bottom="1380" w:left="20" w:header="692" w:footer="1184"/>
          <w:pgNumType w:start="41"/>
        </w:sectPr>
      </w:pPr>
    </w:p>
    <w:p>
      <w:pPr>
        <w:tabs>
          <w:tab w:val="left" w:leader="none" w:pos="2410"/>
        </w:tabs>
        <w:spacing w:before="74"/>
        <w:ind w:left="1699" w:right="0" w:firstLine="0"/>
        <w:jc w:val="left"/>
        <w:rPr>
          <w:sz w:val="15"/>
        </w:rPr>
      </w:pPr>
      <w:r>
        <w:rPr>
          <w:color w:val="ACACAC"/>
          <w:spacing w:val="-10"/>
          <w:w w:val="105"/>
          <w:sz w:val="15"/>
        </w:rPr>
        <w:t>5</w:t>
      </w:r>
      <w:r>
        <w:rPr>
          <w:color w:val="ACACAC"/>
          <w:sz w:val="15"/>
        </w:rPr>
        <w:tab/>
      </w:r>
      <w:r>
        <w:rPr>
          <w:color w:val="ACACAC"/>
          <w:w w:val="105"/>
          <w:sz w:val="15"/>
        </w:rPr>
        <w:t>NOT::.3</w:t>
      </w:r>
      <w:r>
        <w:rPr>
          <w:color w:val="ACACAC"/>
          <w:spacing w:val="-1"/>
          <w:w w:val="105"/>
          <w:sz w:val="15"/>
        </w:rPr>
        <w:t> </w:t>
      </w:r>
      <w:r>
        <w:rPr>
          <w:i/>
          <w:color w:val="ACACAC"/>
          <w:w w:val="105"/>
          <w:sz w:val="15"/>
        </w:rPr>
        <w:t>TO</w:t>
      </w:r>
      <w:r>
        <w:rPr>
          <w:i/>
          <w:color w:val="ACACAC"/>
          <w:spacing w:val="12"/>
          <w:w w:val="105"/>
          <w:sz w:val="15"/>
        </w:rPr>
        <w:t> </w:t>
      </w:r>
      <w:r>
        <w:rPr>
          <w:color w:val="ACACAC"/>
          <w:w w:val="105"/>
          <w:sz w:val="15"/>
        </w:rPr>
        <w:t>THc:</w:t>
      </w:r>
      <w:r>
        <w:rPr>
          <w:color w:val="ACACAC"/>
          <w:spacing w:val="-4"/>
          <w:w w:val="105"/>
          <w:sz w:val="15"/>
        </w:rPr>
        <w:t> </w:t>
      </w:r>
      <w:r>
        <w:rPr>
          <w:color w:val="ACACAC"/>
          <w:w w:val="105"/>
          <w:sz w:val="15"/>
        </w:rPr>
        <w:t>;</w:t>
      </w:r>
      <w:r>
        <w:rPr>
          <w:color w:val="ACACAC"/>
          <w:spacing w:val="-2"/>
          <w:w w:val="105"/>
          <w:sz w:val="15"/>
        </w:rPr>
        <w:t> </w:t>
      </w:r>
      <w:r>
        <w:rPr>
          <w:color w:val="ACACAC"/>
          <w:w w:val="105"/>
          <w:sz w:val="15"/>
        </w:rPr>
        <w:t>CCOUN</w:t>
      </w:r>
      <w:r>
        <w:rPr>
          <w:color w:val="ACACAC"/>
          <w:spacing w:val="-27"/>
          <w:w w:val="105"/>
          <w:sz w:val="15"/>
        </w:rPr>
        <w:t> </w:t>
      </w:r>
      <w:r>
        <w:rPr>
          <w:color w:val="ACACAC"/>
          <w:spacing w:val="-5"/>
          <w:w w:val="105"/>
          <w:sz w:val="15"/>
        </w:rPr>
        <w:t>r3</w:t>
      </w:r>
    </w:p>
    <w:p>
      <w:pPr>
        <w:pStyle w:val="BodyText"/>
        <w:spacing w:before="93"/>
        <w:rPr>
          <w:sz w:val="15"/>
        </w:rPr>
      </w:pPr>
    </w:p>
    <w:p>
      <w:pPr>
        <w:pStyle w:val="ListParagraph"/>
        <w:numPr>
          <w:ilvl w:val="0"/>
          <w:numId w:val="12"/>
        </w:numPr>
        <w:tabs>
          <w:tab w:val="left" w:leader="none" w:pos="2397"/>
        </w:tabs>
        <w:spacing w:before="1" w:after="0" w:line="240" w:lineRule="auto"/>
        <w:ind w:left="2397" w:right="0" w:hanging="352"/>
        <w:jc w:val="left"/>
        <w:rPr>
          <w:i/>
          <w:sz w:val="21"/>
        </w:rPr>
      </w:pPr>
      <w:r>
        <w:rPr>
          <w:i/>
          <w:color w:val="0C0C0C"/>
          <w:w w:val="105"/>
          <w:sz w:val="21"/>
        </w:rPr>
        <w:t>Specific</w:t>
      </w:r>
      <w:r>
        <w:rPr>
          <w:i/>
          <w:color w:val="0C0C0C"/>
          <w:spacing w:val="-7"/>
          <w:w w:val="105"/>
          <w:sz w:val="21"/>
        </w:rPr>
        <w:t> </w:t>
      </w:r>
      <w:r>
        <w:rPr>
          <w:i/>
          <w:color w:val="0C0C0C"/>
          <w:w w:val="105"/>
          <w:sz w:val="21"/>
        </w:rPr>
        <w:t>Revenue</w:t>
      </w:r>
      <w:r>
        <w:rPr>
          <w:i/>
          <w:color w:val="0C0C0C"/>
          <w:spacing w:val="-6"/>
          <w:w w:val="105"/>
          <w:sz w:val="21"/>
        </w:rPr>
        <w:t> </w:t>
      </w:r>
      <w:r>
        <w:rPr>
          <w:i/>
          <w:color w:val="0C0C0C"/>
          <w:spacing w:val="-2"/>
          <w:w w:val="105"/>
          <w:sz w:val="21"/>
        </w:rPr>
        <w:t>Grants</w:t>
      </w:r>
    </w:p>
    <w:p>
      <w:pPr>
        <w:pStyle w:val="BodyText"/>
        <w:spacing w:before="14"/>
        <w:rPr>
          <w:i/>
          <w:sz w:val="21"/>
        </w:rPr>
      </w:pPr>
    </w:p>
    <w:p>
      <w:pPr>
        <w:pStyle w:val="BodyText"/>
        <w:spacing w:line="237" w:lineRule="auto"/>
        <w:ind w:left="2389" w:right="1092" w:firstLine="3"/>
        <w:jc w:val="both"/>
      </w:pPr>
      <w:r>
        <w:rPr>
          <w:color w:val="0C0C0C"/>
        </w:rPr>
        <w:t>Specific revenue grants are credited to service revenue accounts, support services, trading accounts and corporate accounts.</w:t>
      </w:r>
    </w:p>
    <w:p>
      <w:pPr>
        <w:pStyle w:val="BodyText"/>
        <w:spacing w:before="27"/>
      </w:pPr>
    </w:p>
    <w:p>
      <w:pPr>
        <w:pStyle w:val="ListParagraph"/>
        <w:numPr>
          <w:ilvl w:val="0"/>
          <w:numId w:val="12"/>
        </w:numPr>
        <w:tabs>
          <w:tab w:val="left" w:leader="none" w:pos="2382"/>
        </w:tabs>
        <w:spacing w:before="0" w:after="0" w:line="240" w:lineRule="auto"/>
        <w:ind w:left="2382" w:right="0" w:hanging="361"/>
        <w:jc w:val="left"/>
        <w:rPr>
          <w:i/>
          <w:sz w:val="21"/>
        </w:rPr>
      </w:pPr>
      <w:r>
        <w:rPr>
          <w:i/>
          <w:color w:val="0C0C0C"/>
          <w:w w:val="105"/>
          <w:sz w:val="21"/>
        </w:rPr>
        <w:t>General</w:t>
      </w:r>
      <w:r>
        <w:rPr>
          <w:i/>
          <w:color w:val="0C0C0C"/>
          <w:spacing w:val="-7"/>
          <w:w w:val="105"/>
          <w:sz w:val="21"/>
        </w:rPr>
        <w:t> </w:t>
      </w:r>
      <w:r>
        <w:rPr>
          <w:i/>
          <w:color w:val="0C0C0C"/>
          <w:w w:val="105"/>
          <w:sz w:val="21"/>
        </w:rPr>
        <w:t>Revenue</w:t>
      </w:r>
      <w:r>
        <w:rPr>
          <w:i/>
          <w:color w:val="0C0C0C"/>
          <w:spacing w:val="-10"/>
          <w:w w:val="105"/>
          <w:sz w:val="21"/>
        </w:rPr>
        <w:t> </w:t>
      </w:r>
      <w:r>
        <w:rPr>
          <w:i/>
          <w:color w:val="0C0C0C"/>
          <w:spacing w:val="-2"/>
          <w:w w:val="105"/>
          <w:sz w:val="21"/>
        </w:rPr>
        <w:t>Grants</w:t>
      </w:r>
    </w:p>
    <w:p>
      <w:pPr>
        <w:pStyle w:val="BodyText"/>
        <w:spacing w:before="14"/>
        <w:rPr>
          <w:i/>
          <w:sz w:val="21"/>
        </w:rPr>
      </w:pPr>
    </w:p>
    <w:p>
      <w:pPr>
        <w:pStyle w:val="BodyText"/>
        <w:spacing w:line="237" w:lineRule="auto"/>
        <w:ind w:left="2369" w:right="1089" w:firstLine="2"/>
        <w:jc w:val="both"/>
      </w:pPr>
      <w:r>
        <w:rPr>
          <w:color w:val="0C0C0C"/>
        </w:rPr>
        <w:t>General</w:t>
      </w:r>
      <w:r>
        <w:rPr>
          <w:color w:val="0C0C0C"/>
          <w:spacing w:val="-16"/>
        </w:rPr>
        <w:t> </w:t>
      </w:r>
      <w:r>
        <w:rPr>
          <w:color w:val="0C0C0C"/>
        </w:rPr>
        <w:t>revenue</w:t>
      </w:r>
      <w:r>
        <w:rPr>
          <w:color w:val="0C0C0C"/>
          <w:spacing w:val="-12"/>
        </w:rPr>
        <w:t> </w:t>
      </w:r>
      <w:r>
        <w:rPr>
          <w:color w:val="0C0C0C"/>
        </w:rPr>
        <w:t>grants,</w:t>
      </w:r>
      <w:r>
        <w:rPr>
          <w:color w:val="0C0C0C"/>
          <w:spacing w:val="-4"/>
        </w:rPr>
        <w:t> </w:t>
      </w:r>
      <w:r>
        <w:rPr>
          <w:color w:val="0C0C0C"/>
        </w:rPr>
        <w:t>such</w:t>
      </w:r>
      <w:r>
        <w:rPr>
          <w:color w:val="0C0C0C"/>
          <w:spacing w:val="-11"/>
        </w:rPr>
        <w:t> </w:t>
      </w:r>
      <w:r>
        <w:rPr>
          <w:color w:val="0C0C0C"/>
        </w:rPr>
        <w:t>as</w:t>
      </w:r>
      <w:r>
        <w:rPr>
          <w:color w:val="0C0C0C"/>
          <w:spacing w:val="-16"/>
        </w:rPr>
        <w:t> </w:t>
      </w:r>
      <w:r>
        <w:rPr>
          <w:color w:val="0C0C0C"/>
        </w:rPr>
        <w:t>the</w:t>
      </w:r>
      <w:r>
        <w:rPr>
          <w:color w:val="0C0C0C"/>
          <w:spacing w:val="-15"/>
        </w:rPr>
        <w:t> </w:t>
      </w:r>
      <w:r>
        <w:rPr>
          <w:color w:val="0C0C0C"/>
        </w:rPr>
        <w:t>Business</w:t>
      </w:r>
      <w:r>
        <w:rPr>
          <w:color w:val="0C0C0C"/>
          <w:spacing w:val="-8"/>
        </w:rPr>
        <w:t> </w:t>
      </w:r>
      <w:r>
        <w:rPr>
          <w:color w:val="0C0C0C"/>
        </w:rPr>
        <w:t>Rates</w:t>
      </w:r>
      <w:r>
        <w:rPr>
          <w:color w:val="0C0C0C"/>
          <w:spacing w:val="-4"/>
        </w:rPr>
        <w:t> </w:t>
      </w:r>
      <w:r>
        <w:rPr>
          <w:color w:val="0C0C0C"/>
        </w:rPr>
        <w:t>Baseline</w:t>
      </w:r>
      <w:r>
        <w:rPr>
          <w:color w:val="0C0C0C"/>
          <w:spacing w:val="-4"/>
        </w:rPr>
        <w:t> </w:t>
      </w:r>
      <w:r>
        <w:rPr>
          <w:color w:val="0C0C0C"/>
        </w:rPr>
        <w:t>grant,</w:t>
      </w:r>
      <w:r>
        <w:rPr>
          <w:color w:val="0C0C0C"/>
          <w:spacing w:val="-6"/>
        </w:rPr>
        <w:t> </w:t>
      </w:r>
      <w:r>
        <w:rPr>
          <w:color w:val="0C0C0C"/>
        </w:rPr>
        <w:t>are</w:t>
      </w:r>
      <w:r>
        <w:rPr>
          <w:color w:val="0C0C0C"/>
          <w:spacing w:val="-15"/>
        </w:rPr>
        <w:t> </w:t>
      </w:r>
      <w:r>
        <w:rPr>
          <w:color w:val="0C0C0C"/>
        </w:rPr>
        <w:t>credited</w:t>
      </w:r>
      <w:r>
        <w:rPr>
          <w:color w:val="0C0C0C"/>
          <w:spacing w:val="-3"/>
        </w:rPr>
        <w:t> </w:t>
      </w:r>
      <w:r>
        <w:rPr>
          <w:color w:val="0C0C0C"/>
        </w:rPr>
        <w:t>after net operating expenses.</w:t>
      </w:r>
    </w:p>
    <w:p>
      <w:pPr>
        <w:pStyle w:val="BodyText"/>
        <w:spacing w:before="32"/>
      </w:pPr>
    </w:p>
    <w:p>
      <w:pPr>
        <w:pStyle w:val="ListParagraph"/>
        <w:numPr>
          <w:ilvl w:val="0"/>
          <w:numId w:val="12"/>
        </w:numPr>
        <w:tabs>
          <w:tab w:val="left" w:leader="none" w:pos="2369"/>
        </w:tabs>
        <w:spacing w:before="0" w:after="0" w:line="240" w:lineRule="auto"/>
        <w:ind w:left="2369" w:right="0" w:hanging="357"/>
        <w:jc w:val="left"/>
        <w:rPr>
          <w:i/>
          <w:sz w:val="21"/>
        </w:rPr>
      </w:pPr>
      <w:r>
        <w:rPr>
          <w:i/>
          <w:color w:val="0C0C0C"/>
          <w:w w:val="105"/>
          <w:sz w:val="21"/>
        </w:rPr>
        <w:t>Capital</w:t>
      </w:r>
      <w:r>
        <w:rPr>
          <w:i/>
          <w:color w:val="0C0C0C"/>
          <w:spacing w:val="-5"/>
          <w:w w:val="105"/>
          <w:sz w:val="21"/>
        </w:rPr>
        <w:t> </w:t>
      </w:r>
      <w:r>
        <w:rPr>
          <w:i/>
          <w:color w:val="0C0C0C"/>
          <w:w w:val="105"/>
          <w:sz w:val="21"/>
        </w:rPr>
        <w:t>Grants</w:t>
      </w:r>
      <w:r>
        <w:rPr>
          <w:i/>
          <w:color w:val="0C0C0C"/>
          <w:spacing w:val="-2"/>
          <w:w w:val="105"/>
          <w:sz w:val="21"/>
        </w:rPr>
        <w:t> </w:t>
      </w:r>
      <w:r>
        <w:rPr>
          <w:i/>
          <w:color w:val="0C0C0C"/>
          <w:w w:val="105"/>
          <w:sz w:val="21"/>
        </w:rPr>
        <w:t>and</w:t>
      </w:r>
      <w:r>
        <w:rPr>
          <w:i/>
          <w:color w:val="0C0C0C"/>
          <w:spacing w:val="-7"/>
          <w:w w:val="105"/>
          <w:sz w:val="21"/>
        </w:rPr>
        <w:t> </w:t>
      </w:r>
      <w:r>
        <w:rPr>
          <w:i/>
          <w:color w:val="0C0C0C"/>
          <w:spacing w:val="-2"/>
          <w:w w:val="105"/>
          <w:sz w:val="21"/>
        </w:rPr>
        <w:t>Contributions</w:t>
      </w:r>
    </w:p>
    <w:p>
      <w:pPr>
        <w:pStyle w:val="BodyText"/>
        <w:spacing w:before="12"/>
        <w:rPr>
          <w:i/>
          <w:sz w:val="21"/>
        </w:rPr>
      </w:pPr>
    </w:p>
    <w:p>
      <w:pPr>
        <w:pStyle w:val="BodyText"/>
        <w:ind w:left="2353" w:right="1092" w:firstLine="4"/>
        <w:jc w:val="both"/>
      </w:pPr>
      <w:r>
        <w:rPr>
          <w:color w:val="0C0C0C"/>
        </w:rPr>
        <w:t>Capital grants and contributions relate to specific capital </w:t>
      </w:r>
      <w:r>
        <w:rPr>
          <w:color w:val="1D1D1D"/>
        </w:rPr>
        <w:t>expenditure</w:t>
      </w:r>
      <w:r>
        <w:rPr>
          <w:color w:val="4B4B4B"/>
        </w:rPr>
        <w:t>.</w:t>
      </w:r>
      <w:r>
        <w:rPr>
          <w:color w:val="4B4B4B"/>
          <w:spacing w:val="40"/>
        </w:rPr>
        <w:t> </w:t>
      </w:r>
      <w:r>
        <w:rPr>
          <w:color w:val="0C0C0C"/>
        </w:rPr>
        <w:t>Where assets are capitalised, the associated grants and contributions are credited to the Comprehensive Income and Expenditure Statement after net operating expenses.</w:t>
      </w:r>
    </w:p>
    <w:p>
      <w:pPr>
        <w:pStyle w:val="BodyText"/>
        <w:spacing w:before="2"/>
      </w:pPr>
    </w:p>
    <w:p>
      <w:pPr>
        <w:pStyle w:val="BodyText"/>
        <w:ind w:left="1614" w:right="1088" w:firstLine="14"/>
        <w:jc w:val="both"/>
      </w:pPr>
      <w:r>
        <w:rPr>
          <w:color w:val="0C0C0C"/>
        </w:rPr>
        <w:t>The receipt of a capital grant or contribution is </w:t>
      </w:r>
      <w:r>
        <w:rPr>
          <w:color w:val="343434"/>
        </w:rPr>
        <w:t>not </w:t>
      </w:r>
      <w:r>
        <w:rPr>
          <w:color w:val="1D1D1D"/>
        </w:rPr>
        <w:t>a proper credit to the General Fund and </w:t>
      </w:r>
      <w:r>
        <w:rPr>
          <w:color w:val="0C0C0C"/>
        </w:rPr>
        <w:t>where such a grant or contribution has been </w:t>
      </w:r>
      <w:r>
        <w:rPr>
          <w:color w:val="1D1D1D"/>
        </w:rPr>
        <w:t>recognised as income in the </w:t>
      </w:r>
      <w:r>
        <w:rPr>
          <w:color w:val="0C0C0C"/>
        </w:rPr>
        <w:t>Comprehensive Income and Expenditure Statement and the </w:t>
      </w:r>
      <w:r>
        <w:rPr>
          <w:color w:val="1D1D1D"/>
        </w:rPr>
        <w:t>expenditure to be financed from that grant or </w:t>
      </w:r>
      <w:r>
        <w:rPr>
          <w:color w:val="0C0C0C"/>
        </w:rPr>
        <w:t>contribution has been incurred at the Balance Sheet </w:t>
      </w:r>
      <w:r>
        <w:rPr>
          <w:color w:val="1D1D1D"/>
        </w:rPr>
        <w:t>date</w:t>
      </w:r>
      <w:r>
        <w:rPr>
          <w:color w:val="4B4B4B"/>
        </w:rPr>
        <w:t>, </w:t>
      </w:r>
      <w:r>
        <w:rPr>
          <w:color w:val="1D1D1D"/>
        </w:rPr>
        <w:t>the grant or contribution is </w:t>
      </w:r>
      <w:r>
        <w:rPr>
          <w:color w:val="0C0C0C"/>
        </w:rPr>
        <w:t>transferred</w:t>
      </w:r>
      <w:r>
        <w:rPr>
          <w:color w:val="0C0C0C"/>
          <w:spacing w:val="-16"/>
        </w:rPr>
        <w:t> </w:t>
      </w:r>
      <w:r>
        <w:rPr>
          <w:color w:val="0C0C0C"/>
        </w:rPr>
        <w:t>from</w:t>
      </w:r>
      <w:r>
        <w:rPr>
          <w:color w:val="0C0C0C"/>
          <w:spacing w:val="-14"/>
        </w:rPr>
        <w:t> </w:t>
      </w:r>
      <w:r>
        <w:rPr>
          <w:color w:val="0C0C0C"/>
        </w:rPr>
        <w:t>the</w:t>
      </w:r>
      <w:r>
        <w:rPr>
          <w:color w:val="0C0C0C"/>
          <w:spacing w:val="-16"/>
        </w:rPr>
        <w:t> </w:t>
      </w:r>
      <w:r>
        <w:rPr>
          <w:color w:val="0C0C0C"/>
        </w:rPr>
        <w:t>General</w:t>
      </w:r>
      <w:r>
        <w:rPr>
          <w:color w:val="0C0C0C"/>
          <w:spacing w:val="-8"/>
        </w:rPr>
        <w:t> </w:t>
      </w:r>
      <w:r>
        <w:rPr>
          <w:color w:val="0C0C0C"/>
        </w:rPr>
        <w:t>Fund</w:t>
      </w:r>
      <w:r>
        <w:rPr>
          <w:color w:val="0C0C0C"/>
          <w:spacing w:val="-16"/>
        </w:rPr>
        <w:t> </w:t>
      </w:r>
      <w:r>
        <w:rPr>
          <w:color w:val="0C0C0C"/>
        </w:rPr>
        <w:t>to</w:t>
      </w:r>
      <w:r>
        <w:rPr>
          <w:color w:val="0C0C0C"/>
          <w:spacing w:val="-15"/>
        </w:rPr>
        <w:t> </w:t>
      </w:r>
      <w:r>
        <w:rPr>
          <w:color w:val="0C0C0C"/>
        </w:rPr>
        <w:t>the</w:t>
      </w:r>
      <w:r>
        <w:rPr>
          <w:color w:val="0C0C0C"/>
          <w:spacing w:val="-14"/>
        </w:rPr>
        <w:t> </w:t>
      </w:r>
      <w:r>
        <w:rPr>
          <w:color w:val="0C0C0C"/>
        </w:rPr>
        <w:t>Capital</w:t>
      </w:r>
      <w:r>
        <w:rPr>
          <w:color w:val="0C0C0C"/>
          <w:spacing w:val="-10"/>
        </w:rPr>
        <w:t> </w:t>
      </w:r>
      <w:r>
        <w:rPr>
          <w:color w:val="0C0C0C"/>
        </w:rPr>
        <w:t>Adjustment</w:t>
      </w:r>
      <w:r>
        <w:rPr>
          <w:color w:val="0C0C0C"/>
          <w:spacing w:val="-4"/>
        </w:rPr>
        <w:t> </w:t>
      </w:r>
      <w:r>
        <w:rPr>
          <w:color w:val="0C0C0C"/>
        </w:rPr>
        <w:t>Account.</w:t>
      </w:r>
      <w:r>
        <w:rPr>
          <w:color w:val="0C0C0C"/>
          <w:spacing w:val="39"/>
        </w:rPr>
        <w:t> </w:t>
      </w:r>
      <w:r>
        <w:rPr>
          <w:color w:val="0C0C0C"/>
        </w:rPr>
        <w:t>This</w:t>
      </w:r>
      <w:r>
        <w:rPr>
          <w:color w:val="0C0C0C"/>
          <w:spacing w:val="-16"/>
        </w:rPr>
        <w:t> </w:t>
      </w:r>
      <w:r>
        <w:rPr>
          <w:color w:val="0C0C0C"/>
        </w:rPr>
        <w:t>transfer</w:t>
      </w:r>
      <w:r>
        <w:rPr>
          <w:color w:val="0C0C0C"/>
          <w:spacing w:val="-10"/>
        </w:rPr>
        <w:t> </w:t>
      </w:r>
      <w:r>
        <w:rPr>
          <w:color w:val="1D1D1D"/>
        </w:rPr>
        <w:t>is</w:t>
      </w:r>
      <w:r>
        <w:rPr>
          <w:color w:val="1D1D1D"/>
          <w:spacing w:val="-16"/>
        </w:rPr>
        <w:t> </w:t>
      </w:r>
      <w:r>
        <w:rPr>
          <w:color w:val="0C0C0C"/>
        </w:rPr>
        <w:t>reported in the Movement in Reserves Statement.</w:t>
      </w:r>
    </w:p>
    <w:p>
      <w:pPr>
        <w:pStyle w:val="BodyText"/>
        <w:spacing w:before="2"/>
      </w:pPr>
    </w:p>
    <w:p>
      <w:pPr>
        <w:spacing w:before="1"/>
        <w:ind w:left="1607" w:right="0" w:firstLine="0"/>
        <w:jc w:val="both"/>
        <w:rPr>
          <w:b/>
          <w:sz w:val="21"/>
        </w:rPr>
      </w:pPr>
      <w:r>
        <w:rPr>
          <w:b/>
          <w:color w:val="0C0C0C"/>
          <w:w w:val="105"/>
          <w:sz w:val="21"/>
        </w:rPr>
        <w:t>Section</w:t>
      </w:r>
      <w:r>
        <w:rPr>
          <w:b/>
          <w:color w:val="0C0C0C"/>
          <w:spacing w:val="-9"/>
          <w:w w:val="105"/>
          <w:sz w:val="21"/>
        </w:rPr>
        <w:t> </w:t>
      </w:r>
      <w:r>
        <w:rPr>
          <w:b/>
          <w:color w:val="0C0C0C"/>
          <w:spacing w:val="-5"/>
          <w:w w:val="105"/>
          <w:sz w:val="21"/>
        </w:rPr>
        <w:t>106</w:t>
      </w:r>
    </w:p>
    <w:p>
      <w:pPr>
        <w:pStyle w:val="BodyText"/>
        <w:spacing w:before="21"/>
        <w:rPr>
          <w:b/>
          <w:sz w:val="21"/>
        </w:rPr>
      </w:pPr>
    </w:p>
    <w:p>
      <w:pPr>
        <w:pStyle w:val="BodyText"/>
        <w:spacing w:line="276" w:lineRule="auto"/>
        <w:ind w:left="1585" w:right="1112" w:firstLine="12"/>
        <w:jc w:val="both"/>
      </w:pPr>
      <w:r>
        <w:rPr>
          <w:color w:val="0C0C0C"/>
        </w:rPr>
        <w:t>Capital contributions received under Section 106 are recognised on</w:t>
      </w:r>
      <w:r>
        <w:rPr>
          <w:color w:val="0C0C0C"/>
          <w:spacing w:val="-5"/>
        </w:rPr>
        <w:t> </w:t>
      </w:r>
      <w:r>
        <w:rPr>
          <w:color w:val="0C0C0C"/>
        </w:rPr>
        <w:t>receipt as a liability and are released to the Comprehensive Income and Expenditure Statement following the completion of off-site facilities related to the development in question. For contributions received in lieu of a cash receipt a debtor is recognised and matched by a deferred capital </w:t>
      </w:r>
      <w:r>
        <w:rPr>
          <w:color w:val="0C0C0C"/>
          <w:spacing w:val="-2"/>
        </w:rPr>
        <w:t>receipt.</w:t>
      </w:r>
    </w:p>
    <w:p>
      <w:pPr>
        <w:spacing w:before="213"/>
        <w:ind w:left="1575" w:right="0" w:firstLine="0"/>
        <w:jc w:val="both"/>
        <w:rPr>
          <w:b/>
          <w:sz w:val="21"/>
        </w:rPr>
      </w:pPr>
      <w:r>
        <w:rPr>
          <w:b/>
          <w:color w:val="0C0C0C"/>
          <w:w w:val="105"/>
          <w:sz w:val="21"/>
        </w:rPr>
        <w:t>Community</w:t>
      </w:r>
      <w:r>
        <w:rPr>
          <w:b/>
          <w:color w:val="0C0C0C"/>
          <w:spacing w:val="3"/>
          <w:w w:val="105"/>
          <w:sz w:val="21"/>
        </w:rPr>
        <w:t> </w:t>
      </w:r>
      <w:r>
        <w:rPr>
          <w:b/>
          <w:color w:val="0C0C0C"/>
          <w:w w:val="105"/>
          <w:sz w:val="21"/>
        </w:rPr>
        <w:t>Infrastructure</w:t>
      </w:r>
      <w:r>
        <w:rPr>
          <w:b/>
          <w:color w:val="0C0C0C"/>
          <w:spacing w:val="-15"/>
          <w:w w:val="105"/>
          <w:sz w:val="21"/>
        </w:rPr>
        <w:t> </w:t>
      </w:r>
      <w:r>
        <w:rPr>
          <w:b/>
          <w:color w:val="0C0C0C"/>
          <w:spacing w:val="-4"/>
          <w:w w:val="105"/>
          <w:sz w:val="21"/>
        </w:rPr>
        <w:t>Levy</w:t>
      </w:r>
    </w:p>
    <w:p>
      <w:pPr>
        <w:pStyle w:val="BodyText"/>
        <w:spacing w:before="17"/>
        <w:rPr>
          <w:b/>
          <w:sz w:val="21"/>
        </w:rPr>
      </w:pPr>
    </w:p>
    <w:p>
      <w:pPr>
        <w:pStyle w:val="BodyText"/>
        <w:ind w:left="1549" w:right="1129" w:firstLine="21"/>
        <w:jc w:val="both"/>
      </w:pPr>
      <w:r>
        <w:rPr>
          <w:color w:val="0C0C0C"/>
        </w:rPr>
        <w:t>The Community Infrastructure Levy (CIL) was </w:t>
      </w:r>
      <w:r>
        <w:rPr>
          <w:color w:val="1D1D1D"/>
        </w:rPr>
        <w:t>introduced </w:t>
      </w:r>
      <w:r>
        <w:rPr>
          <w:color w:val="0C0C0C"/>
        </w:rPr>
        <w:t>by the Planning Act 2008 and the Community Infrastructure</w:t>
      </w:r>
      <w:r>
        <w:rPr>
          <w:color w:val="0C0C0C"/>
          <w:spacing w:val="-16"/>
        </w:rPr>
        <w:t> </w:t>
      </w:r>
      <w:r>
        <w:rPr>
          <w:color w:val="0C0C0C"/>
        </w:rPr>
        <w:t>Levy</w:t>
      </w:r>
      <w:r>
        <w:rPr>
          <w:color w:val="0C0C0C"/>
          <w:spacing w:val="-2"/>
        </w:rPr>
        <w:t> </w:t>
      </w:r>
      <w:r>
        <w:rPr>
          <w:color w:val="0C0C0C"/>
        </w:rPr>
        <w:t>Regulations 2010</w:t>
      </w:r>
      <w:r>
        <w:rPr>
          <w:color w:val="0C0C0C"/>
          <w:spacing w:val="-8"/>
        </w:rPr>
        <w:t> </w:t>
      </w:r>
      <w:r>
        <w:rPr>
          <w:color w:val="0C0C0C"/>
        </w:rPr>
        <w:t>and</w:t>
      </w:r>
      <w:r>
        <w:rPr>
          <w:color w:val="0C0C0C"/>
          <w:spacing w:val="-11"/>
        </w:rPr>
        <w:t> </w:t>
      </w:r>
      <w:r>
        <w:rPr>
          <w:color w:val="0C0C0C"/>
        </w:rPr>
        <w:t>is</w:t>
      </w:r>
      <w:r>
        <w:rPr>
          <w:color w:val="0C0C0C"/>
          <w:spacing w:val="-10"/>
        </w:rPr>
        <w:t> </w:t>
      </w:r>
      <w:r>
        <w:rPr>
          <w:color w:val="0C0C0C"/>
        </w:rPr>
        <w:t>a</w:t>
      </w:r>
      <w:r>
        <w:rPr>
          <w:color w:val="0C0C0C"/>
          <w:spacing w:val="-16"/>
        </w:rPr>
        <w:t> </w:t>
      </w:r>
      <w:r>
        <w:rPr>
          <w:color w:val="0C0C0C"/>
        </w:rPr>
        <w:t>discretionary charge which</w:t>
      </w:r>
      <w:r>
        <w:rPr>
          <w:color w:val="0C0C0C"/>
          <w:spacing w:val="-11"/>
        </w:rPr>
        <w:t> </w:t>
      </w:r>
      <w:r>
        <w:rPr>
          <w:color w:val="0C0C0C"/>
        </w:rPr>
        <w:t>relevant local</w:t>
      </w:r>
      <w:r>
        <w:rPr>
          <w:color w:val="0C0C0C"/>
          <w:spacing w:val="-2"/>
        </w:rPr>
        <w:t> </w:t>
      </w:r>
      <w:r>
        <w:rPr>
          <w:color w:val="1D1D1D"/>
        </w:rPr>
        <w:t>authorities are</w:t>
      </w:r>
      <w:r>
        <w:rPr>
          <w:color w:val="1D1D1D"/>
          <w:spacing w:val="-13"/>
        </w:rPr>
        <w:t> </w:t>
      </w:r>
      <w:r>
        <w:rPr>
          <w:color w:val="0C0C0C"/>
        </w:rPr>
        <w:t>empowered </w:t>
      </w:r>
      <w:r>
        <w:rPr>
          <w:color w:val="1D1D1D"/>
        </w:rPr>
        <w:t>to</w:t>
      </w:r>
      <w:r>
        <w:rPr>
          <w:color w:val="1D1D1D"/>
          <w:spacing w:val="-5"/>
        </w:rPr>
        <w:t> </w:t>
      </w:r>
      <w:r>
        <w:rPr>
          <w:color w:val="1D1D1D"/>
        </w:rPr>
        <w:t>charge </w:t>
      </w:r>
      <w:r>
        <w:rPr>
          <w:color w:val="0C0C0C"/>
        </w:rPr>
        <w:t>on</w:t>
      </w:r>
      <w:r>
        <w:rPr>
          <w:color w:val="0C0C0C"/>
          <w:spacing w:val="-14"/>
        </w:rPr>
        <w:t> </w:t>
      </w:r>
      <w:r>
        <w:rPr>
          <w:color w:val="0C0C0C"/>
        </w:rPr>
        <w:t>new</w:t>
      </w:r>
      <w:r>
        <w:rPr>
          <w:color w:val="0C0C0C"/>
          <w:spacing w:val="-13"/>
        </w:rPr>
        <w:t> </w:t>
      </w:r>
      <w:r>
        <w:rPr>
          <w:color w:val="1D1D1D"/>
        </w:rPr>
        <w:t>development </w:t>
      </w:r>
      <w:r>
        <w:rPr>
          <w:color w:val="0C0C0C"/>
        </w:rPr>
        <w:t>in</w:t>
      </w:r>
      <w:r>
        <w:rPr>
          <w:color w:val="0C0C0C"/>
          <w:spacing w:val="-4"/>
        </w:rPr>
        <w:t> </w:t>
      </w:r>
      <w:r>
        <w:rPr>
          <w:color w:val="1D1D1D"/>
        </w:rPr>
        <w:t>their</w:t>
      </w:r>
      <w:r>
        <w:rPr>
          <w:color w:val="1D1D1D"/>
          <w:spacing w:val="-3"/>
        </w:rPr>
        <w:t> </w:t>
      </w:r>
      <w:r>
        <w:rPr>
          <w:color w:val="1D1D1D"/>
        </w:rPr>
        <w:t>area.</w:t>
      </w:r>
      <w:r>
        <w:rPr>
          <w:color w:val="1D1D1D"/>
          <w:spacing w:val="-1"/>
        </w:rPr>
        <w:t> </w:t>
      </w:r>
      <w:r>
        <w:rPr>
          <w:color w:val="0C0C0C"/>
        </w:rPr>
        <w:t>CIL</w:t>
      </w:r>
      <w:r>
        <w:rPr>
          <w:color w:val="0C0C0C"/>
          <w:spacing w:val="-13"/>
        </w:rPr>
        <w:t> </w:t>
      </w:r>
      <w:r>
        <w:rPr>
          <w:color w:val="0C0C0C"/>
        </w:rPr>
        <w:t>charges will be based on</w:t>
      </w:r>
      <w:r>
        <w:rPr>
          <w:color w:val="0C0C0C"/>
          <w:spacing w:val="-1"/>
        </w:rPr>
        <w:t> </w:t>
      </w:r>
      <w:r>
        <w:rPr>
          <w:color w:val="0C0C0C"/>
        </w:rPr>
        <w:t>a </w:t>
      </w:r>
      <w:r>
        <w:rPr>
          <w:color w:val="1D1D1D"/>
        </w:rPr>
        <w:t>formula which </w:t>
      </w:r>
      <w:r>
        <w:rPr>
          <w:color w:val="0C0C0C"/>
        </w:rPr>
        <w:t>relates </w:t>
      </w:r>
      <w:r>
        <w:rPr>
          <w:color w:val="1D1D1D"/>
        </w:rPr>
        <w:t>the</w:t>
      </w:r>
      <w:r>
        <w:rPr>
          <w:color w:val="1D1D1D"/>
          <w:spacing w:val="-2"/>
        </w:rPr>
        <w:t> </w:t>
      </w:r>
      <w:r>
        <w:rPr>
          <w:color w:val="0C0C0C"/>
        </w:rPr>
        <w:t>charge </w:t>
      </w:r>
      <w:r>
        <w:rPr>
          <w:color w:val="1D1D1D"/>
        </w:rPr>
        <w:t>to</w:t>
      </w:r>
      <w:r>
        <w:rPr>
          <w:color w:val="1D1D1D"/>
          <w:spacing w:val="-4"/>
        </w:rPr>
        <w:t> </w:t>
      </w:r>
      <w:r>
        <w:rPr>
          <w:color w:val="1D1D1D"/>
        </w:rPr>
        <w:t>the size of the development. </w:t>
      </w:r>
      <w:r>
        <w:rPr>
          <w:color w:val="0C0C0C"/>
        </w:rPr>
        <w:t>Income from CIL charges, with</w:t>
      </w:r>
      <w:r>
        <w:rPr>
          <w:color w:val="0C0C0C"/>
          <w:spacing w:val="-2"/>
        </w:rPr>
        <w:t> </w:t>
      </w:r>
      <w:r>
        <w:rPr>
          <w:color w:val="0C0C0C"/>
        </w:rPr>
        <w:t>the </w:t>
      </w:r>
      <w:r>
        <w:rPr>
          <w:color w:val="1D1D1D"/>
        </w:rPr>
        <w:t>exception </w:t>
      </w:r>
      <w:r>
        <w:rPr>
          <w:color w:val="0C0C0C"/>
        </w:rPr>
        <w:t>of</w:t>
      </w:r>
      <w:r>
        <w:rPr>
          <w:color w:val="0C0C0C"/>
          <w:spacing w:val="-3"/>
        </w:rPr>
        <w:t> </w:t>
      </w:r>
      <w:r>
        <w:rPr>
          <w:color w:val="0C0C0C"/>
        </w:rPr>
        <w:t>amounts </w:t>
      </w:r>
      <w:r>
        <w:rPr>
          <w:color w:val="1D1D1D"/>
        </w:rPr>
        <w:t>applied </w:t>
      </w:r>
      <w:r>
        <w:rPr>
          <w:color w:val="0C0C0C"/>
        </w:rPr>
        <w:t>in</w:t>
      </w:r>
      <w:r>
        <w:rPr>
          <w:color w:val="0C0C0C"/>
          <w:spacing w:val="-10"/>
        </w:rPr>
        <w:t> </w:t>
      </w:r>
      <w:r>
        <w:rPr>
          <w:color w:val="0C0C0C"/>
        </w:rPr>
        <w:t>accordance </w:t>
      </w:r>
      <w:r>
        <w:rPr>
          <w:color w:val="1D1D1D"/>
        </w:rPr>
        <w:t>with</w:t>
      </w:r>
      <w:r>
        <w:rPr>
          <w:color w:val="1D1D1D"/>
          <w:spacing w:val="-3"/>
        </w:rPr>
        <w:t> </w:t>
      </w:r>
      <w:r>
        <w:rPr>
          <w:color w:val="0C0C0C"/>
        </w:rPr>
        <w:t>the</w:t>
      </w:r>
      <w:r>
        <w:rPr>
          <w:color w:val="0C0C0C"/>
          <w:spacing w:val="-5"/>
        </w:rPr>
        <w:t> </w:t>
      </w:r>
      <w:r>
        <w:rPr>
          <w:color w:val="0C0C0C"/>
        </w:rPr>
        <w:t>CIL</w:t>
      </w:r>
      <w:r>
        <w:rPr>
          <w:color w:val="0C0C0C"/>
          <w:spacing w:val="-6"/>
        </w:rPr>
        <w:t> </w:t>
      </w:r>
      <w:r>
        <w:rPr>
          <w:color w:val="0C0C0C"/>
        </w:rPr>
        <w:t>regulations to meet administrative </w:t>
      </w:r>
      <w:r>
        <w:rPr>
          <w:color w:val="1D1D1D"/>
        </w:rPr>
        <w:t>expenses, </w:t>
      </w:r>
      <w:r>
        <w:rPr>
          <w:color w:val="0C0C0C"/>
        </w:rPr>
        <w:t>must be </w:t>
      </w:r>
      <w:r>
        <w:rPr>
          <w:color w:val="1D1D1D"/>
        </w:rPr>
        <w:t>applied </w:t>
      </w:r>
      <w:r>
        <w:rPr>
          <w:color w:val="0C0C0C"/>
        </w:rPr>
        <w:t>to </w:t>
      </w:r>
      <w:r>
        <w:rPr>
          <w:color w:val="1D1D1D"/>
        </w:rPr>
        <w:t>fund infrastructure </w:t>
      </w:r>
      <w:r>
        <w:rPr>
          <w:color w:val="0C0C0C"/>
        </w:rPr>
        <w:t>to support the development</w:t>
      </w:r>
      <w:r>
        <w:rPr>
          <w:color w:val="0C0C0C"/>
          <w:spacing w:val="40"/>
        </w:rPr>
        <w:t> </w:t>
      </w:r>
      <w:r>
        <w:rPr>
          <w:color w:val="0C0C0C"/>
        </w:rPr>
        <w:t>of the area.</w:t>
      </w:r>
    </w:p>
    <w:p>
      <w:pPr>
        <w:pStyle w:val="BodyText"/>
        <w:spacing w:before="252"/>
        <w:ind w:left="1539" w:right="1140" w:firstLine="14"/>
        <w:jc w:val="both"/>
      </w:pPr>
      <w:r>
        <w:rPr>
          <w:color w:val="1D1D1D"/>
        </w:rPr>
        <w:t>Where </w:t>
      </w:r>
      <w:r>
        <w:rPr>
          <w:color w:val="0C0C0C"/>
        </w:rPr>
        <w:t>CIL </w:t>
      </w:r>
      <w:r>
        <w:rPr>
          <w:color w:val="1D1D1D"/>
        </w:rPr>
        <w:t>charges to be applied to fund capital expenditure have been </w:t>
      </w:r>
      <w:r>
        <w:rPr>
          <w:color w:val="0C0C0C"/>
        </w:rPr>
        <w:t>received </w:t>
      </w:r>
      <w:r>
        <w:rPr>
          <w:color w:val="1D1D1D"/>
        </w:rPr>
        <w:t>prior to the commencement</w:t>
      </w:r>
      <w:r>
        <w:rPr>
          <w:color w:val="1D1D1D"/>
          <w:spacing w:val="40"/>
        </w:rPr>
        <w:t> </w:t>
      </w:r>
      <w:r>
        <w:rPr>
          <w:color w:val="1D1D1D"/>
        </w:rPr>
        <w:t>date for the chargeable development</w:t>
      </w:r>
      <w:r>
        <w:rPr>
          <w:color w:val="4B4B4B"/>
        </w:rPr>
        <w:t>,</w:t>
      </w:r>
      <w:r>
        <w:rPr>
          <w:color w:val="4B4B4B"/>
          <w:spacing w:val="-9"/>
        </w:rPr>
        <w:t> </w:t>
      </w:r>
      <w:r>
        <w:rPr>
          <w:color w:val="1D1D1D"/>
        </w:rPr>
        <w:t>the CIL charges </w:t>
      </w:r>
      <w:r>
        <w:rPr>
          <w:color w:val="0C0C0C"/>
        </w:rPr>
        <w:t>are </w:t>
      </w:r>
      <w:r>
        <w:rPr>
          <w:color w:val="1D1D1D"/>
        </w:rPr>
        <w:t>transferred from the</w:t>
      </w:r>
      <w:r>
        <w:rPr>
          <w:color w:val="1D1D1D"/>
          <w:spacing w:val="-1"/>
        </w:rPr>
        <w:t> </w:t>
      </w:r>
      <w:r>
        <w:rPr>
          <w:color w:val="1D1D1D"/>
        </w:rPr>
        <w:t>General Fund</w:t>
      </w:r>
      <w:r>
        <w:rPr>
          <w:color w:val="1D1D1D"/>
          <w:spacing w:val="-3"/>
        </w:rPr>
        <w:t> </w:t>
      </w:r>
      <w:r>
        <w:rPr>
          <w:color w:val="1D1D1D"/>
        </w:rPr>
        <w:t>to the</w:t>
      </w:r>
      <w:r>
        <w:rPr>
          <w:color w:val="1D1D1D"/>
          <w:spacing w:val="-2"/>
        </w:rPr>
        <w:t> </w:t>
      </w:r>
      <w:r>
        <w:rPr>
          <w:color w:val="1D1D1D"/>
        </w:rPr>
        <w:t>Capital Grants </w:t>
      </w:r>
      <w:r>
        <w:rPr>
          <w:color w:val="0C0C0C"/>
        </w:rPr>
        <w:t>Unapplied </w:t>
      </w:r>
      <w:r>
        <w:rPr>
          <w:color w:val="1D1D1D"/>
        </w:rPr>
        <w:t>Account until such</w:t>
      </w:r>
      <w:r>
        <w:rPr>
          <w:color w:val="1D1D1D"/>
          <w:spacing w:val="-1"/>
        </w:rPr>
        <w:t> </w:t>
      </w:r>
      <w:r>
        <w:rPr>
          <w:color w:val="0C0C0C"/>
        </w:rPr>
        <w:t>a time </w:t>
      </w:r>
      <w:r>
        <w:rPr>
          <w:color w:val="1D1D1D"/>
        </w:rPr>
        <w:t>that the charges </w:t>
      </w:r>
      <w:r>
        <w:rPr>
          <w:color w:val="0C0C0C"/>
        </w:rPr>
        <w:t>are applied to capital expenditure.</w:t>
      </w:r>
    </w:p>
    <w:p>
      <w:pPr>
        <w:pStyle w:val="BodyText"/>
        <w:spacing w:before="4"/>
      </w:pPr>
    </w:p>
    <w:p>
      <w:pPr>
        <w:pStyle w:val="BodyText"/>
        <w:ind w:left="1533" w:right="1150" w:firstLine="6"/>
        <w:jc w:val="both"/>
      </w:pPr>
      <w:r>
        <w:rPr>
          <w:color w:val="1D1D1D"/>
        </w:rPr>
        <w:t>When CIL charges have been applied to fund capital expenditure</w:t>
      </w:r>
      <w:r>
        <w:rPr>
          <w:color w:val="5D5D5D"/>
        </w:rPr>
        <w:t>, </w:t>
      </w:r>
      <w:r>
        <w:rPr>
          <w:color w:val="1D1D1D"/>
        </w:rPr>
        <w:t>the CIL charges are transferred from the General Fund (or the Capital Grants Unapplied Account) to the </w:t>
      </w:r>
      <w:r>
        <w:rPr>
          <w:color w:val="0C0C0C"/>
        </w:rPr>
        <w:t>Capital </w:t>
      </w:r>
      <w:r>
        <w:rPr>
          <w:color w:val="1D1D1D"/>
        </w:rPr>
        <w:t>Adjustment Account. Where CIL</w:t>
      </w:r>
      <w:r>
        <w:rPr>
          <w:color w:val="1D1D1D"/>
          <w:spacing w:val="-1"/>
        </w:rPr>
        <w:t> </w:t>
      </w:r>
      <w:r>
        <w:rPr>
          <w:color w:val="1D1D1D"/>
        </w:rPr>
        <w:t>charges are</w:t>
      </w:r>
      <w:r>
        <w:rPr>
          <w:color w:val="1D1D1D"/>
          <w:spacing w:val="-12"/>
        </w:rPr>
        <w:t> </w:t>
      </w:r>
      <w:r>
        <w:rPr>
          <w:color w:val="1D1D1D"/>
        </w:rPr>
        <w:t>to</w:t>
      </w:r>
      <w:r>
        <w:rPr>
          <w:color w:val="1D1D1D"/>
          <w:spacing w:val="-15"/>
        </w:rPr>
        <w:t> </w:t>
      </w:r>
      <w:r>
        <w:rPr>
          <w:color w:val="0C0C0C"/>
        </w:rPr>
        <w:t>be </w:t>
      </w:r>
      <w:r>
        <w:rPr>
          <w:color w:val="1D1D1D"/>
        </w:rPr>
        <w:t>applied</w:t>
      </w:r>
      <w:r>
        <w:rPr>
          <w:color w:val="1D1D1D"/>
          <w:spacing w:val="-10"/>
        </w:rPr>
        <w:t> </w:t>
      </w:r>
      <w:r>
        <w:rPr>
          <w:color w:val="1D1D1D"/>
        </w:rPr>
        <w:t>to</w:t>
      </w:r>
      <w:r>
        <w:rPr>
          <w:color w:val="1D1D1D"/>
          <w:spacing w:val="-9"/>
        </w:rPr>
        <w:t> </w:t>
      </w:r>
      <w:r>
        <w:rPr>
          <w:color w:val="1D1D1D"/>
        </w:rPr>
        <w:t>fund</w:t>
      </w:r>
      <w:r>
        <w:rPr>
          <w:color w:val="1D1D1D"/>
          <w:spacing w:val="-9"/>
        </w:rPr>
        <w:t> </w:t>
      </w:r>
      <w:r>
        <w:rPr>
          <w:color w:val="1D1D1D"/>
        </w:rPr>
        <w:t>revenue expenditure (such</w:t>
      </w:r>
    </w:p>
    <w:p>
      <w:pPr>
        <w:spacing w:after="0"/>
        <w:jc w:val="both"/>
        <w:sectPr>
          <w:headerReference w:type="even" r:id="rId93"/>
          <w:pgSz w:w="11910" w:h="16830"/>
          <w:pgMar w:top="800" w:right="100" w:bottom="1180" w:left="20" w:header="0" w:footer="0"/>
        </w:sectPr>
      </w:pPr>
    </w:p>
    <w:p>
      <w:pPr>
        <w:pStyle w:val="BodyText"/>
        <w:spacing w:before="241" w:line="237" w:lineRule="auto"/>
        <w:ind w:left="1409" w:right="1359" w:firstLine="5"/>
        <w:jc w:val="both"/>
      </w:pPr>
      <w:r>
        <w:rPr>
          <w:color w:val="0E0E0E"/>
        </w:rPr>
        <w:t>as administration expenses), the CIL charges are not to be transferred out of the General </w:t>
      </w:r>
      <w:r>
        <w:rPr>
          <w:color w:val="0E0E0E"/>
          <w:spacing w:val="-2"/>
        </w:rPr>
        <w:t>Fund.</w:t>
      </w:r>
    </w:p>
    <w:p>
      <w:pPr>
        <w:pStyle w:val="BodyText"/>
        <w:spacing w:before="18"/>
      </w:pPr>
    </w:p>
    <w:p>
      <w:pPr>
        <w:pStyle w:val="Heading3"/>
        <w:ind w:left="1411"/>
        <w:jc w:val="both"/>
      </w:pPr>
      <w:r>
        <w:rPr>
          <w:color w:val="0E0E0E"/>
        </w:rPr>
        <w:t>Fair</w:t>
      </w:r>
      <w:r>
        <w:rPr>
          <w:color w:val="0E0E0E"/>
          <w:spacing w:val="4"/>
        </w:rPr>
        <w:t> </w:t>
      </w:r>
      <w:r>
        <w:rPr>
          <w:color w:val="0E0E0E"/>
          <w:spacing w:val="-2"/>
        </w:rPr>
        <w:t>Value</w:t>
      </w:r>
    </w:p>
    <w:p>
      <w:pPr>
        <w:pStyle w:val="BodyText"/>
        <w:spacing w:before="3"/>
        <w:rPr>
          <w:b/>
        </w:rPr>
      </w:pPr>
    </w:p>
    <w:p>
      <w:pPr>
        <w:pStyle w:val="BodyText"/>
        <w:spacing w:before="1"/>
        <w:ind w:left="1412" w:right="1325" w:hanging="1"/>
        <w:jc w:val="both"/>
      </w:pPr>
      <w:r>
        <w:rPr>
          <w:color w:val="0E0E0E"/>
        </w:rPr>
        <w:t>The Council measures some of its non-financial assets, such as surplus assets and investment properties, and</w:t>
      </w:r>
      <w:r>
        <w:rPr>
          <w:color w:val="0E0E0E"/>
          <w:spacing w:val="-6"/>
        </w:rPr>
        <w:t> </w:t>
      </w:r>
      <w:r>
        <w:rPr>
          <w:color w:val="0E0E0E"/>
        </w:rPr>
        <w:t>some</w:t>
      </w:r>
      <w:r>
        <w:rPr>
          <w:color w:val="0E0E0E"/>
          <w:spacing w:val="-3"/>
        </w:rPr>
        <w:t> </w:t>
      </w:r>
      <w:r>
        <w:rPr>
          <w:color w:val="0E0E0E"/>
        </w:rPr>
        <w:t>of</w:t>
      </w:r>
      <w:r>
        <w:rPr>
          <w:color w:val="0E0E0E"/>
          <w:spacing w:val="-10"/>
        </w:rPr>
        <w:t> </w:t>
      </w:r>
      <w:r>
        <w:rPr>
          <w:color w:val="0E0E0E"/>
        </w:rPr>
        <w:t>its</w:t>
      </w:r>
      <w:r>
        <w:rPr>
          <w:color w:val="0E0E0E"/>
          <w:spacing w:val="-8"/>
        </w:rPr>
        <w:t> </w:t>
      </w:r>
      <w:r>
        <w:rPr>
          <w:color w:val="0E0E0E"/>
        </w:rPr>
        <w:t>financial instruments, such</w:t>
      </w:r>
      <w:r>
        <w:rPr>
          <w:color w:val="0E0E0E"/>
          <w:spacing w:val="-8"/>
        </w:rPr>
        <w:t> </w:t>
      </w:r>
      <w:r>
        <w:rPr>
          <w:color w:val="0E0E0E"/>
        </w:rPr>
        <w:t>as</w:t>
      </w:r>
      <w:r>
        <w:rPr>
          <w:color w:val="0E0E0E"/>
          <w:spacing w:val="-4"/>
        </w:rPr>
        <w:t> </w:t>
      </w:r>
      <w:r>
        <w:rPr>
          <w:color w:val="0E0E0E"/>
        </w:rPr>
        <w:t>short</w:t>
      </w:r>
      <w:r>
        <w:rPr>
          <w:color w:val="0E0E0E"/>
          <w:spacing w:val="-3"/>
        </w:rPr>
        <w:t> </w:t>
      </w:r>
      <w:r>
        <w:rPr>
          <w:color w:val="0E0E0E"/>
        </w:rPr>
        <w:t>term</w:t>
      </w:r>
      <w:r>
        <w:rPr>
          <w:color w:val="0E0E0E"/>
          <w:spacing w:val="-3"/>
        </w:rPr>
        <w:t> </w:t>
      </w:r>
      <w:r>
        <w:rPr>
          <w:color w:val="0E0E0E"/>
        </w:rPr>
        <w:t>investments, at fair value at each reporting date. Fair value is the price that would be received to sell an asset or</w:t>
      </w:r>
      <w:r>
        <w:rPr>
          <w:color w:val="0E0E0E"/>
          <w:spacing w:val="-10"/>
        </w:rPr>
        <w:t> </w:t>
      </w:r>
      <w:r>
        <w:rPr>
          <w:color w:val="0E0E0E"/>
        </w:rPr>
        <w:t>paid</w:t>
      </w:r>
      <w:r>
        <w:rPr>
          <w:color w:val="0E0E0E"/>
          <w:spacing w:val="-9"/>
        </w:rPr>
        <w:t> </w:t>
      </w:r>
      <w:r>
        <w:rPr>
          <w:color w:val="0E0E0E"/>
        </w:rPr>
        <w:t>to</w:t>
      </w:r>
      <w:r>
        <w:rPr>
          <w:color w:val="0E0E0E"/>
          <w:spacing w:val="-11"/>
        </w:rPr>
        <w:t> </w:t>
      </w:r>
      <w:r>
        <w:rPr>
          <w:color w:val="0E0E0E"/>
        </w:rPr>
        <w:t>transfer a</w:t>
      </w:r>
      <w:r>
        <w:rPr>
          <w:color w:val="0E0E0E"/>
          <w:spacing w:val="-11"/>
        </w:rPr>
        <w:t> </w:t>
      </w:r>
      <w:r>
        <w:rPr>
          <w:color w:val="0E0E0E"/>
        </w:rPr>
        <w:t>liability in</w:t>
      </w:r>
      <w:r>
        <w:rPr>
          <w:color w:val="0E0E0E"/>
          <w:spacing w:val="-10"/>
        </w:rPr>
        <w:t> </w:t>
      </w:r>
      <w:r>
        <w:rPr>
          <w:color w:val="0E0E0E"/>
        </w:rPr>
        <w:t>an</w:t>
      </w:r>
      <w:r>
        <w:rPr>
          <w:color w:val="0E0E0E"/>
          <w:spacing w:val="-7"/>
        </w:rPr>
        <w:t> </w:t>
      </w:r>
      <w:r>
        <w:rPr>
          <w:color w:val="0E0E0E"/>
        </w:rPr>
        <w:t>orderly transaction between market</w:t>
      </w:r>
      <w:r>
        <w:rPr>
          <w:color w:val="0E0E0E"/>
          <w:spacing w:val="-1"/>
        </w:rPr>
        <w:t> </w:t>
      </w:r>
      <w:r>
        <w:rPr>
          <w:color w:val="0E0E0E"/>
        </w:rPr>
        <w:t>participants at</w:t>
      </w:r>
      <w:r>
        <w:rPr>
          <w:color w:val="0E0E0E"/>
          <w:spacing w:val="-9"/>
        </w:rPr>
        <w:t> </w:t>
      </w:r>
      <w:r>
        <w:rPr>
          <w:color w:val="0E0E0E"/>
        </w:rPr>
        <w:t>the measurement</w:t>
      </w:r>
      <w:r>
        <w:rPr>
          <w:color w:val="0E0E0E"/>
          <w:spacing w:val="-16"/>
        </w:rPr>
        <w:t> </w:t>
      </w:r>
      <w:r>
        <w:rPr>
          <w:color w:val="0E0E0E"/>
        </w:rPr>
        <w:t>date.</w:t>
      </w:r>
      <w:r>
        <w:rPr>
          <w:color w:val="0E0E0E"/>
          <w:spacing w:val="-15"/>
        </w:rPr>
        <w:t> </w:t>
      </w:r>
      <w:r>
        <w:rPr>
          <w:color w:val="0E0E0E"/>
        </w:rPr>
        <w:t>The</w:t>
      </w:r>
      <w:r>
        <w:rPr>
          <w:color w:val="0E0E0E"/>
          <w:spacing w:val="-15"/>
        </w:rPr>
        <w:t> </w:t>
      </w:r>
      <w:r>
        <w:rPr>
          <w:color w:val="0E0E0E"/>
        </w:rPr>
        <w:t>fair</w:t>
      </w:r>
      <w:r>
        <w:rPr>
          <w:color w:val="0E0E0E"/>
          <w:spacing w:val="-16"/>
        </w:rPr>
        <w:t> </w:t>
      </w:r>
      <w:r>
        <w:rPr>
          <w:color w:val="0E0E0E"/>
        </w:rPr>
        <w:t>value</w:t>
      </w:r>
      <w:r>
        <w:rPr>
          <w:color w:val="0E0E0E"/>
          <w:spacing w:val="-15"/>
        </w:rPr>
        <w:t> </w:t>
      </w:r>
      <w:r>
        <w:rPr>
          <w:color w:val="0E0E0E"/>
        </w:rPr>
        <w:t>measurement</w:t>
      </w:r>
      <w:r>
        <w:rPr>
          <w:color w:val="0E0E0E"/>
          <w:spacing w:val="12"/>
        </w:rPr>
        <w:t> </w:t>
      </w:r>
      <w:r>
        <w:rPr>
          <w:color w:val="0E0E0E"/>
        </w:rPr>
        <w:t>assumes</w:t>
      </w:r>
      <w:r>
        <w:rPr>
          <w:color w:val="0E0E0E"/>
          <w:spacing w:val="-5"/>
        </w:rPr>
        <w:t> </w:t>
      </w:r>
      <w:r>
        <w:rPr>
          <w:color w:val="0E0E0E"/>
        </w:rPr>
        <w:t>that</w:t>
      </w:r>
      <w:r>
        <w:rPr>
          <w:color w:val="0E0E0E"/>
          <w:spacing w:val="-16"/>
        </w:rPr>
        <w:t> </w:t>
      </w:r>
      <w:r>
        <w:rPr>
          <w:color w:val="0E0E0E"/>
        </w:rPr>
        <w:t>the</w:t>
      </w:r>
      <w:r>
        <w:rPr>
          <w:color w:val="0E0E0E"/>
          <w:spacing w:val="-15"/>
        </w:rPr>
        <w:t> </w:t>
      </w:r>
      <w:r>
        <w:rPr>
          <w:color w:val="0E0E0E"/>
        </w:rPr>
        <w:t>transaction</w:t>
      </w:r>
      <w:r>
        <w:rPr>
          <w:color w:val="0E0E0E"/>
          <w:spacing w:val="-1"/>
        </w:rPr>
        <w:t> </w:t>
      </w:r>
      <w:r>
        <w:rPr>
          <w:color w:val="0E0E0E"/>
        </w:rPr>
        <w:t>to</w:t>
      </w:r>
      <w:r>
        <w:rPr>
          <w:color w:val="0E0E0E"/>
          <w:spacing w:val="-16"/>
        </w:rPr>
        <w:t> </w:t>
      </w:r>
      <w:r>
        <w:rPr>
          <w:color w:val="0E0E0E"/>
        </w:rPr>
        <w:t>sell</w:t>
      </w:r>
      <w:r>
        <w:rPr>
          <w:color w:val="0E0E0E"/>
          <w:spacing w:val="-15"/>
        </w:rPr>
        <w:t> </w:t>
      </w:r>
      <w:r>
        <w:rPr>
          <w:color w:val="0E0E0E"/>
        </w:rPr>
        <w:t>the</w:t>
      </w:r>
      <w:r>
        <w:rPr>
          <w:color w:val="0E0E0E"/>
          <w:spacing w:val="-15"/>
        </w:rPr>
        <w:t> </w:t>
      </w:r>
      <w:r>
        <w:rPr>
          <w:color w:val="0E0E0E"/>
        </w:rPr>
        <w:t>asset or transfer the liability takes place either </w:t>
      </w:r>
      <w:r>
        <w:rPr>
          <w:color w:val="1C1C1C"/>
        </w:rPr>
        <w:t>in</w:t>
      </w:r>
      <w:r>
        <w:rPr>
          <w:color w:val="1C1C1C"/>
          <w:spacing w:val="-4"/>
        </w:rPr>
        <w:t> </w:t>
      </w:r>
      <w:r>
        <w:rPr>
          <w:color w:val="0E0E0E"/>
        </w:rPr>
        <w:t>the principal market for the asset or liability or in the absence of a principal market, in</w:t>
      </w:r>
      <w:r>
        <w:rPr>
          <w:color w:val="0E0E0E"/>
          <w:spacing w:val="-10"/>
        </w:rPr>
        <w:t> </w:t>
      </w:r>
      <w:r>
        <w:rPr>
          <w:color w:val="0E0E0E"/>
        </w:rPr>
        <w:t>the most advantageous market for the asset</w:t>
      </w:r>
    </w:p>
    <w:p>
      <w:pPr>
        <w:pStyle w:val="BodyText"/>
        <w:spacing w:before="8"/>
      </w:pPr>
    </w:p>
    <w:p>
      <w:pPr>
        <w:pStyle w:val="BodyText"/>
        <w:ind w:left="1412" w:right="1345" w:firstLine="4"/>
        <w:jc w:val="both"/>
      </w:pPr>
      <w:r>
        <w:rPr>
          <w:color w:val="0E0E0E"/>
        </w:rPr>
        <w:t>The Council measures the fair value of an asset or liability on the same basis that market participants would</w:t>
      </w:r>
      <w:r>
        <w:rPr>
          <w:color w:val="0E0E0E"/>
          <w:spacing w:val="-8"/>
        </w:rPr>
        <w:t> </w:t>
      </w:r>
      <w:r>
        <w:rPr>
          <w:color w:val="0E0E0E"/>
        </w:rPr>
        <w:t>use</w:t>
      </w:r>
      <w:r>
        <w:rPr>
          <w:color w:val="0E0E0E"/>
          <w:spacing w:val="-4"/>
        </w:rPr>
        <w:t> </w:t>
      </w:r>
      <w:r>
        <w:rPr>
          <w:color w:val="0E0E0E"/>
        </w:rPr>
        <w:t>when</w:t>
      </w:r>
      <w:r>
        <w:rPr>
          <w:color w:val="0E0E0E"/>
          <w:spacing w:val="-3"/>
        </w:rPr>
        <w:t> </w:t>
      </w:r>
      <w:r>
        <w:rPr>
          <w:color w:val="0E0E0E"/>
        </w:rPr>
        <w:t>pricing</w:t>
      </w:r>
      <w:r>
        <w:rPr>
          <w:color w:val="0E0E0E"/>
          <w:spacing w:val="-3"/>
        </w:rPr>
        <w:t> </w:t>
      </w:r>
      <w:r>
        <w:rPr>
          <w:color w:val="0E0E0E"/>
        </w:rPr>
        <w:t>the</w:t>
      </w:r>
      <w:r>
        <w:rPr>
          <w:color w:val="0E0E0E"/>
          <w:spacing w:val="-3"/>
        </w:rPr>
        <w:t> </w:t>
      </w:r>
      <w:r>
        <w:rPr>
          <w:color w:val="0E0E0E"/>
        </w:rPr>
        <w:t>asset or</w:t>
      </w:r>
      <w:r>
        <w:rPr>
          <w:color w:val="0E0E0E"/>
          <w:spacing w:val="-13"/>
        </w:rPr>
        <w:t> </w:t>
      </w:r>
      <w:r>
        <w:rPr>
          <w:color w:val="0E0E0E"/>
        </w:rPr>
        <w:t>liability (assuming those</w:t>
      </w:r>
      <w:r>
        <w:rPr>
          <w:color w:val="0E0E0E"/>
          <w:spacing w:val="-3"/>
        </w:rPr>
        <w:t> </w:t>
      </w:r>
      <w:r>
        <w:rPr>
          <w:color w:val="0E0E0E"/>
        </w:rPr>
        <w:t>market participants were acting </w:t>
      </w:r>
      <w:r>
        <w:rPr>
          <w:color w:val="1C1C1C"/>
        </w:rPr>
        <w:t>in</w:t>
      </w:r>
      <w:r>
        <w:rPr>
          <w:color w:val="1C1C1C"/>
          <w:spacing w:val="-7"/>
        </w:rPr>
        <w:t> </w:t>
      </w:r>
      <w:r>
        <w:rPr>
          <w:color w:val="0E0E0E"/>
        </w:rPr>
        <w:t>their economic best interest).</w:t>
      </w:r>
    </w:p>
    <w:p>
      <w:pPr>
        <w:pStyle w:val="BodyText"/>
        <w:spacing w:before="4"/>
      </w:pPr>
    </w:p>
    <w:p>
      <w:pPr>
        <w:pStyle w:val="BodyText"/>
        <w:spacing w:before="1" w:line="237" w:lineRule="auto"/>
        <w:ind w:left="1422" w:right="1329" w:hanging="8"/>
        <w:jc w:val="both"/>
      </w:pPr>
      <w:r>
        <w:rPr>
          <w:color w:val="0E0E0E"/>
        </w:rPr>
        <w:t>When measuring the fair value of a non-financial asset, the Council takes into account a </w:t>
      </w:r>
      <w:r>
        <w:rPr>
          <w:color w:val="1C1C1C"/>
        </w:rPr>
        <w:t>market</w:t>
      </w:r>
      <w:r>
        <w:rPr>
          <w:color w:val="1C1C1C"/>
          <w:spacing w:val="-14"/>
        </w:rPr>
        <w:t> </w:t>
      </w:r>
      <w:r>
        <w:rPr>
          <w:color w:val="1C1C1C"/>
        </w:rPr>
        <w:t>participant's ability</w:t>
      </w:r>
      <w:r>
        <w:rPr>
          <w:color w:val="1C1C1C"/>
          <w:spacing w:val="-4"/>
        </w:rPr>
        <w:t> </w:t>
      </w:r>
      <w:r>
        <w:rPr>
          <w:color w:val="0E0E0E"/>
        </w:rPr>
        <w:t>to</w:t>
      </w:r>
      <w:r>
        <w:rPr>
          <w:color w:val="0E0E0E"/>
          <w:spacing w:val="-12"/>
        </w:rPr>
        <w:t> </w:t>
      </w:r>
      <w:r>
        <w:rPr>
          <w:color w:val="0E0E0E"/>
        </w:rPr>
        <w:t>generate</w:t>
      </w:r>
      <w:r>
        <w:rPr>
          <w:color w:val="0E0E0E"/>
          <w:spacing w:val="-3"/>
        </w:rPr>
        <w:t> </w:t>
      </w:r>
      <w:r>
        <w:rPr>
          <w:color w:val="1C1C1C"/>
        </w:rPr>
        <w:t>economic benefits</w:t>
      </w:r>
      <w:r>
        <w:rPr>
          <w:color w:val="1C1C1C"/>
          <w:spacing w:val="-3"/>
        </w:rPr>
        <w:t> </w:t>
      </w:r>
      <w:r>
        <w:rPr>
          <w:color w:val="0E0E0E"/>
        </w:rPr>
        <w:t>by</w:t>
      </w:r>
      <w:r>
        <w:rPr>
          <w:color w:val="0E0E0E"/>
          <w:spacing w:val="-12"/>
        </w:rPr>
        <w:t> </w:t>
      </w:r>
      <w:r>
        <w:rPr>
          <w:color w:val="0E0E0E"/>
        </w:rPr>
        <w:t>using</w:t>
      </w:r>
      <w:r>
        <w:rPr>
          <w:color w:val="0E0E0E"/>
          <w:spacing w:val="-6"/>
        </w:rPr>
        <w:t> </w:t>
      </w:r>
      <w:r>
        <w:rPr>
          <w:color w:val="0E0E0E"/>
        </w:rPr>
        <w:t>the</w:t>
      </w:r>
      <w:r>
        <w:rPr>
          <w:color w:val="0E0E0E"/>
          <w:spacing w:val="-11"/>
        </w:rPr>
        <w:t> </w:t>
      </w:r>
      <w:r>
        <w:rPr>
          <w:color w:val="0E0E0E"/>
        </w:rPr>
        <w:t>asset </w:t>
      </w:r>
      <w:r>
        <w:rPr>
          <w:color w:val="2B2B2B"/>
        </w:rPr>
        <w:t>in</w:t>
      </w:r>
      <w:r>
        <w:rPr>
          <w:color w:val="2B2B2B"/>
          <w:spacing w:val="-16"/>
        </w:rPr>
        <w:t> </w:t>
      </w:r>
      <w:r>
        <w:rPr>
          <w:color w:val="2B2B2B"/>
        </w:rPr>
        <w:t>its</w:t>
      </w:r>
      <w:r>
        <w:rPr>
          <w:color w:val="2B2B2B"/>
          <w:spacing w:val="-15"/>
        </w:rPr>
        <w:t> </w:t>
      </w:r>
      <w:r>
        <w:rPr>
          <w:color w:val="0E0E0E"/>
        </w:rPr>
        <w:t>highest and best </w:t>
      </w:r>
      <w:r>
        <w:rPr>
          <w:color w:val="1C1C1C"/>
        </w:rPr>
        <w:t>use or by selling </w:t>
      </w:r>
      <w:r>
        <w:rPr>
          <w:color w:val="2B2B2B"/>
        </w:rPr>
        <w:t>it </w:t>
      </w:r>
      <w:r>
        <w:rPr>
          <w:color w:val="0E0E0E"/>
        </w:rPr>
        <w:t>to another market </w:t>
      </w:r>
      <w:r>
        <w:rPr>
          <w:color w:val="1C1C1C"/>
        </w:rPr>
        <w:t>participant </w:t>
      </w:r>
      <w:r>
        <w:rPr>
          <w:color w:val="0E0E0E"/>
        </w:rPr>
        <w:t>that would use the </w:t>
      </w:r>
      <w:r>
        <w:rPr>
          <w:color w:val="1C1C1C"/>
        </w:rPr>
        <w:t>asset in </w:t>
      </w:r>
      <w:r>
        <w:rPr>
          <w:color w:val="0E0E0E"/>
        </w:rPr>
        <w:t>its highest </w:t>
      </w:r>
      <w:r>
        <w:rPr>
          <w:color w:val="1C1C1C"/>
        </w:rPr>
        <w:t>and best use.</w:t>
      </w:r>
    </w:p>
    <w:p>
      <w:pPr>
        <w:pStyle w:val="BodyText"/>
        <w:spacing w:before="6"/>
      </w:pPr>
    </w:p>
    <w:p>
      <w:pPr>
        <w:pStyle w:val="BodyText"/>
        <w:spacing w:before="1"/>
        <w:ind w:left="1419" w:right="1324" w:hanging="7"/>
        <w:jc w:val="both"/>
      </w:pPr>
      <w:r>
        <w:rPr>
          <w:color w:val="0E0E0E"/>
        </w:rPr>
        <w:t>The</w:t>
      </w:r>
      <w:r>
        <w:rPr>
          <w:color w:val="0E0E0E"/>
          <w:spacing w:val="-16"/>
        </w:rPr>
        <w:t> </w:t>
      </w:r>
      <w:r>
        <w:rPr>
          <w:color w:val="1C1C1C"/>
        </w:rPr>
        <w:t>Council</w:t>
      </w:r>
      <w:r>
        <w:rPr>
          <w:color w:val="1C1C1C"/>
          <w:spacing w:val="-15"/>
        </w:rPr>
        <w:t> </w:t>
      </w:r>
      <w:r>
        <w:rPr>
          <w:color w:val="1C1C1C"/>
        </w:rPr>
        <w:t>uses</w:t>
      </w:r>
      <w:r>
        <w:rPr>
          <w:color w:val="1C1C1C"/>
          <w:spacing w:val="-15"/>
        </w:rPr>
        <w:t> </w:t>
      </w:r>
      <w:r>
        <w:rPr>
          <w:color w:val="1C1C1C"/>
        </w:rPr>
        <w:t>appropriate</w:t>
      </w:r>
      <w:r>
        <w:rPr>
          <w:color w:val="1C1C1C"/>
          <w:spacing w:val="-16"/>
        </w:rPr>
        <w:t> </w:t>
      </w:r>
      <w:r>
        <w:rPr>
          <w:color w:val="1C1C1C"/>
        </w:rPr>
        <w:t>valuation</w:t>
      </w:r>
      <w:r>
        <w:rPr>
          <w:color w:val="1C1C1C"/>
          <w:spacing w:val="-15"/>
        </w:rPr>
        <w:t> </w:t>
      </w:r>
      <w:r>
        <w:rPr>
          <w:color w:val="0E0E0E"/>
        </w:rPr>
        <w:t>techniques</w:t>
      </w:r>
      <w:r>
        <w:rPr>
          <w:color w:val="0E0E0E"/>
          <w:spacing w:val="-11"/>
        </w:rPr>
        <w:t> </w:t>
      </w:r>
      <w:r>
        <w:rPr>
          <w:color w:val="0E0E0E"/>
        </w:rPr>
        <w:t>for</w:t>
      </w:r>
      <w:r>
        <w:rPr>
          <w:color w:val="0E0E0E"/>
          <w:spacing w:val="-16"/>
        </w:rPr>
        <w:t> </w:t>
      </w:r>
      <w:r>
        <w:rPr>
          <w:color w:val="0E0E0E"/>
        </w:rPr>
        <w:t>each</w:t>
      </w:r>
      <w:r>
        <w:rPr>
          <w:color w:val="0E0E0E"/>
          <w:spacing w:val="-15"/>
        </w:rPr>
        <w:t> </w:t>
      </w:r>
      <w:r>
        <w:rPr>
          <w:color w:val="0E0E0E"/>
        </w:rPr>
        <w:t>circumstance, maximising</w:t>
      </w:r>
      <w:r>
        <w:rPr>
          <w:color w:val="0E0E0E"/>
          <w:spacing w:val="-12"/>
        </w:rPr>
        <w:t> </w:t>
      </w:r>
      <w:r>
        <w:rPr>
          <w:color w:val="0E0E0E"/>
        </w:rPr>
        <w:t>the</w:t>
      </w:r>
      <w:r>
        <w:rPr>
          <w:color w:val="0E0E0E"/>
          <w:spacing w:val="-16"/>
        </w:rPr>
        <w:t> </w:t>
      </w:r>
      <w:r>
        <w:rPr>
          <w:color w:val="0E0E0E"/>
        </w:rPr>
        <w:t>use of </w:t>
      </w:r>
      <w:r>
        <w:rPr>
          <w:color w:val="1C1C1C"/>
        </w:rPr>
        <w:t>relevant known </w:t>
      </w:r>
      <w:r>
        <w:rPr>
          <w:color w:val="0E0E0E"/>
        </w:rPr>
        <w:t>data </w:t>
      </w:r>
      <w:r>
        <w:rPr>
          <w:color w:val="1C1C1C"/>
        </w:rPr>
        <w:t>and </w:t>
      </w:r>
      <w:r>
        <w:rPr>
          <w:color w:val="2B2B2B"/>
        </w:rPr>
        <w:t>minimising </w:t>
      </w:r>
      <w:r>
        <w:rPr>
          <w:color w:val="0E0E0E"/>
        </w:rPr>
        <w:t>the use of estimates or unknowns. This takes into account the</w:t>
      </w:r>
      <w:r>
        <w:rPr>
          <w:color w:val="0E0E0E"/>
          <w:spacing w:val="-2"/>
        </w:rPr>
        <w:t> </w:t>
      </w:r>
      <w:r>
        <w:rPr>
          <w:color w:val="0E0E0E"/>
        </w:rPr>
        <w:t>three levels of categories for inputs to valuations for</w:t>
      </w:r>
      <w:r>
        <w:rPr>
          <w:color w:val="0E0E0E"/>
          <w:spacing w:val="-2"/>
        </w:rPr>
        <w:t> </w:t>
      </w:r>
      <w:r>
        <w:rPr>
          <w:color w:val="0E0E0E"/>
        </w:rPr>
        <w:t>fair value assets:</w:t>
      </w:r>
    </w:p>
    <w:p>
      <w:pPr>
        <w:pStyle w:val="ListParagraph"/>
        <w:numPr>
          <w:ilvl w:val="0"/>
          <w:numId w:val="13"/>
        </w:numPr>
        <w:tabs>
          <w:tab w:val="left" w:leader="none" w:pos="2131"/>
        </w:tabs>
        <w:spacing w:before="19" w:after="0" w:line="240" w:lineRule="auto"/>
        <w:ind w:left="2131" w:right="0" w:hanging="355"/>
        <w:jc w:val="left"/>
        <w:rPr>
          <w:color w:val="0E0E0E"/>
          <w:sz w:val="22"/>
        </w:rPr>
      </w:pPr>
      <w:r>
        <w:rPr>
          <w:b/>
          <w:color w:val="0E0E0E"/>
          <w:sz w:val="22"/>
        </w:rPr>
        <w:t>Level</w:t>
      </w:r>
      <w:r>
        <w:rPr>
          <w:b/>
          <w:color w:val="0E0E0E"/>
          <w:spacing w:val="6"/>
          <w:sz w:val="22"/>
        </w:rPr>
        <w:t> </w:t>
      </w:r>
      <w:r>
        <w:rPr>
          <w:b/>
          <w:color w:val="0E0E0E"/>
          <w:sz w:val="22"/>
        </w:rPr>
        <w:t>1</w:t>
      </w:r>
      <w:r>
        <w:rPr>
          <w:b/>
          <w:color w:val="0E0E0E"/>
          <w:spacing w:val="-20"/>
          <w:sz w:val="22"/>
        </w:rPr>
        <w:t> </w:t>
      </w:r>
      <w:r>
        <w:rPr>
          <w:color w:val="0E0E0E"/>
          <w:sz w:val="22"/>
        </w:rPr>
        <w:t>-</w:t>
      </w:r>
      <w:r>
        <w:rPr>
          <w:color w:val="0E0E0E"/>
          <w:spacing w:val="51"/>
          <w:sz w:val="22"/>
        </w:rPr>
        <w:t> </w:t>
      </w:r>
      <w:r>
        <w:rPr>
          <w:color w:val="0E0E0E"/>
          <w:sz w:val="22"/>
        </w:rPr>
        <w:t>quoted</w:t>
      </w:r>
      <w:r>
        <w:rPr>
          <w:color w:val="0E0E0E"/>
          <w:spacing w:val="3"/>
          <w:sz w:val="22"/>
        </w:rPr>
        <w:t> </w:t>
      </w:r>
      <w:r>
        <w:rPr>
          <w:color w:val="0E0E0E"/>
          <w:spacing w:val="-2"/>
          <w:sz w:val="22"/>
        </w:rPr>
        <w:t>prices;</w:t>
      </w:r>
    </w:p>
    <w:p>
      <w:pPr>
        <w:pStyle w:val="ListParagraph"/>
        <w:numPr>
          <w:ilvl w:val="0"/>
          <w:numId w:val="13"/>
        </w:numPr>
        <w:tabs>
          <w:tab w:val="left" w:leader="none" w:pos="2131"/>
        </w:tabs>
        <w:spacing w:before="18" w:after="0" w:line="237" w:lineRule="auto"/>
        <w:ind w:left="2131" w:right="1344" w:hanging="356"/>
        <w:jc w:val="left"/>
        <w:rPr>
          <w:color w:val="1C1C1C"/>
          <w:sz w:val="22"/>
        </w:rPr>
      </w:pPr>
      <w:r>
        <w:rPr>
          <w:b/>
          <w:color w:val="0E0E0E"/>
          <w:sz w:val="22"/>
        </w:rPr>
        <w:t>Level 2</w:t>
      </w:r>
      <w:r>
        <w:rPr>
          <w:b/>
          <w:color w:val="0E0E0E"/>
          <w:spacing w:val="-14"/>
          <w:sz w:val="22"/>
        </w:rPr>
        <w:t> </w:t>
      </w:r>
      <w:r>
        <w:rPr>
          <w:color w:val="0E0E0E"/>
          <w:sz w:val="22"/>
        </w:rPr>
        <w:t>-</w:t>
      </w:r>
      <w:r>
        <w:rPr>
          <w:color w:val="0E0E0E"/>
          <w:spacing w:val="40"/>
          <w:sz w:val="22"/>
        </w:rPr>
        <w:t> </w:t>
      </w:r>
      <w:r>
        <w:rPr>
          <w:color w:val="0E0E0E"/>
          <w:sz w:val="22"/>
        </w:rPr>
        <w:t>inputs other than quoted prices included within</w:t>
      </w:r>
      <w:r>
        <w:rPr>
          <w:color w:val="0E0E0E"/>
          <w:spacing w:val="-6"/>
          <w:sz w:val="22"/>
        </w:rPr>
        <w:t> </w:t>
      </w:r>
      <w:r>
        <w:rPr>
          <w:color w:val="0E0E0E"/>
          <w:sz w:val="22"/>
        </w:rPr>
        <w:t>Level 1</w:t>
      </w:r>
      <w:r>
        <w:rPr>
          <w:color w:val="0E0E0E"/>
          <w:spacing w:val="-2"/>
          <w:sz w:val="22"/>
        </w:rPr>
        <w:t> </w:t>
      </w:r>
      <w:r>
        <w:rPr>
          <w:color w:val="0E0E0E"/>
          <w:sz w:val="22"/>
        </w:rPr>
        <w:t>that are observable for the asset or liability;</w:t>
      </w:r>
    </w:p>
    <w:p>
      <w:pPr>
        <w:pStyle w:val="ListParagraph"/>
        <w:numPr>
          <w:ilvl w:val="0"/>
          <w:numId w:val="13"/>
        </w:numPr>
        <w:tabs>
          <w:tab w:val="left" w:leader="none" w:pos="2131"/>
        </w:tabs>
        <w:spacing w:before="36" w:after="0" w:line="240" w:lineRule="auto"/>
        <w:ind w:left="2131" w:right="0" w:hanging="351"/>
        <w:jc w:val="left"/>
        <w:rPr>
          <w:color w:val="1C1C1C"/>
          <w:sz w:val="22"/>
        </w:rPr>
      </w:pPr>
      <w:r>
        <w:rPr>
          <w:b/>
          <w:color w:val="0E0E0E"/>
          <w:sz w:val="22"/>
        </w:rPr>
        <w:t>Level</w:t>
      </w:r>
      <w:r>
        <w:rPr>
          <w:b/>
          <w:color w:val="0E0E0E"/>
          <w:spacing w:val="-4"/>
          <w:sz w:val="22"/>
        </w:rPr>
        <w:t> </w:t>
      </w:r>
      <w:r>
        <w:rPr>
          <w:b/>
          <w:color w:val="0E0E0E"/>
          <w:sz w:val="22"/>
        </w:rPr>
        <w:t>3</w:t>
      </w:r>
      <w:r>
        <w:rPr>
          <w:b/>
          <w:color w:val="0E0E0E"/>
          <w:spacing w:val="-19"/>
          <w:sz w:val="22"/>
        </w:rPr>
        <w:t> </w:t>
      </w:r>
      <w:r>
        <w:rPr>
          <w:color w:val="0E0E0E"/>
          <w:sz w:val="22"/>
        </w:rPr>
        <w:t>-</w:t>
      </w:r>
      <w:r>
        <w:rPr>
          <w:color w:val="0E0E0E"/>
          <w:spacing w:val="45"/>
          <w:sz w:val="22"/>
        </w:rPr>
        <w:t> </w:t>
      </w:r>
      <w:r>
        <w:rPr>
          <w:color w:val="0E0E0E"/>
          <w:sz w:val="22"/>
        </w:rPr>
        <w:t>unobservable</w:t>
      </w:r>
      <w:r>
        <w:rPr>
          <w:color w:val="0E0E0E"/>
          <w:spacing w:val="15"/>
          <w:sz w:val="22"/>
        </w:rPr>
        <w:t> </w:t>
      </w:r>
      <w:r>
        <w:rPr>
          <w:color w:val="0E0E0E"/>
          <w:sz w:val="22"/>
        </w:rPr>
        <w:t>inputs</w:t>
      </w:r>
      <w:r>
        <w:rPr>
          <w:color w:val="0E0E0E"/>
          <w:spacing w:val="2"/>
          <w:sz w:val="22"/>
        </w:rPr>
        <w:t> </w:t>
      </w:r>
      <w:r>
        <w:rPr>
          <w:color w:val="0E0E0E"/>
          <w:sz w:val="22"/>
        </w:rPr>
        <w:t>for</w:t>
      </w:r>
      <w:r>
        <w:rPr>
          <w:color w:val="0E0E0E"/>
          <w:spacing w:val="-7"/>
          <w:sz w:val="22"/>
        </w:rPr>
        <w:t> </w:t>
      </w:r>
      <w:r>
        <w:rPr>
          <w:color w:val="0E0E0E"/>
          <w:sz w:val="22"/>
        </w:rPr>
        <w:t>the</w:t>
      </w:r>
      <w:r>
        <w:rPr>
          <w:color w:val="0E0E0E"/>
          <w:spacing w:val="-7"/>
          <w:sz w:val="22"/>
        </w:rPr>
        <w:t> </w:t>
      </w:r>
      <w:r>
        <w:rPr>
          <w:color w:val="0E0E0E"/>
          <w:sz w:val="22"/>
        </w:rPr>
        <w:t>asset</w:t>
      </w:r>
      <w:r>
        <w:rPr>
          <w:color w:val="0E0E0E"/>
          <w:spacing w:val="5"/>
          <w:sz w:val="22"/>
        </w:rPr>
        <w:t> </w:t>
      </w:r>
      <w:r>
        <w:rPr>
          <w:color w:val="0E0E0E"/>
          <w:sz w:val="22"/>
        </w:rPr>
        <w:t>or</w:t>
      </w:r>
      <w:r>
        <w:rPr>
          <w:color w:val="0E0E0E"/>
          <w:spacing w:val="-6"/>
          <w:sz w:val="22"/>
        </w:rPr>
        <w:t> </w:t>
      </w:r>
      <w:r>
        <w:rPr>
          <w:color w:val="0E0E0E"/>
          <w:spacing w:val="-2"/>
          <w:sz w:val="22"/>
        </w:rPr>
        <w:t>liability.</w:t>
      </w:r>
    </w:p>
    <w:p>
      <w:pPr>
        <w:pStyle w:val="BodyText"/>
        <w:spacing w:before="32"/>
      </w:pPr>
    </w:p>
    <w:p>
      <w:pPr>
        <w:spacing w:before="0"/>
        <w:ind w:left="1415" w:right="0" w:firstLine="0"/>
        <w:jc w:val="both"/>
        <w:rPr>
          <w:b/>
          <w:sz w:val="23"/>
        </w:rPr>
      </w:pPr>
      <w:r>
        <w:rPr>
          <w:b/>
          <w:color w:val="0E0E0E"/>
          <w:w w:val="105"/>
          <w:sz w:val="23"/>
        </w:rPr>
        <w:t>Financial</w:t>
      </w:r>
      <w:r>
        <w:rPr>
          <w:b/>
          <w:color w:val="0E0E0E"/>
          <w:spacing w:val="-16"/>
          <w:w w:val="105"/>
          <w:sz w:val="23"/>
        </w:rPr>
        <w:t> </w:t>
      </w:r>
      <w:r>
        <w:rPr>
          <w:b/>
          <w:color w:val="0E0E0E"/>
          <w:spacing w:val="-2"/>
          <w:w w:val="105"/>
          <w:sz w:val="23"/>
        </w:rPr>
        <w:t>Instruments</w:t>
      </w:r>
    </w:p>
    <w:p>
      <w:pPr>
        <w:pStyle w:val="BodyText"/>
        <w:spacing w:before="254"/>
        <w:ind w:left="1418" w:right="1315" w:firstLine="4"/>
        <w:jc w:val="both"/>
      </w:pPr>
      <w:r>
        <w:rPr>
          <w:color w:val="0E0E0E"/>
        </w:rPr>
        <w:t>Financial</w:t>
      </w:r>
      <w:r>
        <w:rPr>
          <w:color w:val="0E0E0E"/>
          <w:spacing w:val="-16"/>
        </w:rPr>
        <w:t> </w:t>
      </w:r>
      <w:r>
        <w:rPr>
          <w:color w:val="0E0E0E"/>
        </w:rPr>
        <w:t>instruments</w:t>
      </w:r>
      <w:r>
        <w:rPr>
          <w:color w:val="0E0E0E"/>
          <w:spacing w:val="-15"/>
        </w:rPr>
        <w:t> </w:t>
      </w:r>
      <w:r>
        <w:rPr>
          <w:color w:val="1C1C1C"/>
        </w:rPr>
        <w:t>are</w:t>
      </w:r>
      <w:r>
        <w:rPr>
          <w:color w:val="1C1C1C"/>
          <w:spacing w:val="-15"/>
        </w:rPr>
        <w:t> </w:t>
      </w:r>
      <w:r>
        <w:rPr>
          <w:color w:val="2B2B2B"/>
        </w:rPr>
        <w:t>recognised</w:t>
      </w:r>
      <w:r>
        <w:rPr>
          <w:color w:val="2B2B2B"/>
          <w:spacing w:val="-16"/>
        </w:rPr>
        <w:t> </w:t>
      </w:r>
      <w:r>
        <w:rPr>
          <w:color w:val="1C1C1C"/>
        </w:rPr>
        <w:t>on</w:t>
      </w:r>
      <w:r>
        <w:rPr>
          <w:color w:val="1C1C1C"/>
          <w:spacing w:val="-15"/>
        </w:rPr>
        <w:t> </w:t>
      </w:r>
      <w:r>
        <w:rPr>
          <w:color w:val="1C1C1C"/>
        </w:rPr>
        <w:t>the</w:t>
      </w:r>
      <w:r>
        <w:rPr>
          <w:color w:val="1C1C1C"/>
          <w:spacing w:val="-15"/>
        </w:rPr>
        <w:t> </w:t>
      </w:r>
      <w:r>
        <w:rPr>
          <w:color w:val="0E0E0E"/>
        </w:rPr>
        <w:t>Balance</w:t>
      </w:r>
      <w:r>
        <w:rPr>
          <w:color w:val="0E0E0E"/>
          <w:spacing w:val="-13"/>
        </w:rPr>
        <w:t> </w:t>
      </w:r>
      <w:r>
        <w:rPr>
          <w:color w:val="1C1C1C"/>
        </w:rPr>
        <w:t>Sheet</w:t>
      </w:r>
      <w:r>
        <w:rPr>
          <w:color w:val="1C1C1C"/>
          <w:spacing w:val="-15"/>
        </w:rPr>
        <w:t> </w:t>
      </w:r>
      <w:r>
        <w:rPr>
          <w:color w:val="1C1C1C"/>
        </w:rPr>
        <w:t>when</w:t>
      </w:r>
      <w:r>
        <w:rPr>
          <w:color w:val="1C1C1C"/>
          <w:spacing w:val="-15"/>
        </w:rPr>
        <w:t> </w:t>
      </w:r>
      <w:r>
        <w:rPr>
          <w:color w:val="0E0E0E"/>
        </w:rPr>
        <w:t>the</w:t>
      </w:r>
      <w:r>
        <w:rPr>
          <w:color w:val="0E0E0E"/>
          <w:spacing w:val="-15"/>
        </w:rPr>
        <w:t> </w:t>
      </w:r>
      <w:r>
        <w:rPr>
          <w:color w:val="0E0E0E"/>
        </w:rPr>
        <w:t>Council</w:t>
      </w:r>
      <w:r>
        <w:rPr>
          <w:color w:val="0E0E0E"/>
          <w:spacing w:val="-11"/>
        </w:rPr>
        <w:t> </w:t>
      </w:r>
      <w:r>
        <w:rPr>
          <w:color w:val="0E0E0E"/>
        </w:rPr>
        <w:t>becomes</w:t>
      </w:r>
      <w:r>
        <w:rPr>
          <w:color w:val="0E0E0E"/>
          <w:spacing w:val="-8"/>
        </w:rPr>
        <w:t> </w:t>
      </w:r>
      <w:r>
        <w:rPr>
          <w:color w:val="0E0E0E"/>
        </w:rPr>
        <w:t>a</w:t>
      </w:r>
      <w:r>
        <w:rPr>
          <w:color w:val="0E0E0E"/>
          <w:spacing w:val="-16"/>
        </w:rPr>
        <w:t> </w:t>
      </w:r>
      <w:r>
        <w:rPr>
          <w:color w:val="0E0E0E"/>
        </w:rPr>
        <w:t>party </w:t>
      </w:r>
      <w:r>
        <w:rPr>
          <w:color w:val="1C1C1C"/>
        </w:rPr>
        <w:t>to </w:t>
      </w:r>
      <w:r>
        <w:rPr>
          <w:color w:val="2B2B2B"/>
        </w:rPr>
        <w:t>the </w:t>
      </w:r>
      <w:r>
        <w:rPr>
          <w:color w:val="0E0E0E"/>
        </w:rPr>
        <w:t>contractual provisions of </w:t>
      </w:r>
      <w:r>
        <w:rPr>
          <w:color w:val="2B2B2B"/>
        </w:rPr>
        <w:t>the </w:t>
      </w:r>
      <w:r>
        <w:rPr>
          <w:color w:val="1C1C1C"/>
        </w:rPr>
        <w:t>financial instrument. They </w:t>
      </w:r>
      <w:r>
        <w:rPr>
          <w:color w:val="0E0E0E"/>
        </w:rPr>
        <w:t>are initially measured at fair </w:t>
      </w:r>
      <w:r>
        <w:rPr>
          <w:color w:val="1C1C1C"/>
          <w:spacing w:val="-2"/>
        </w:rPr>
        <w:t>value</w:t>
      </w:r>
      <w:r>
        <w:rPr>
          <w:color w:val="626262"/>
          <w:spacing w:val="-2"/>
        </w:rPr>
        <w:t>.</w:t>
      </w:r>
    </w:p>
    <w:p>
      <w:pPr>
        <w:pStyle w:val="BodyText"/>
        <w:spacing w:before="31"/>
      </w:pPr>
    </w:p>
    <w:p>
      <w:pPr>
        <w:spacing w:before="0"/>
        <w:ind w:left="1421" w:right="0" w:firstLine="0"/>
        <w:jc w:val="both"/>
        <w:rPr>
          <w:sz w:val="23"/>
        </w:rPr>
      </w:pPr>
      <w:r>
        <w:rPr>
          <w:i/>
          <w:color w:val="0E0E0E"/>
          <w:spacing w:val="-2"/>
          <w:w w:val="105"/>
          <w:sz w:val="23"/>
        </w:rPr>
        <w:t>Financial</w:t>
      </w:r>
      <w:r>
        <w:rPr>
          <w:i/>
          <w:color w:val="0E0E0E"/>
          <w:w w:val="105"/>
          <w:sz w:val="23"/>
        </w:rPr>
        <w:t> </w:t>
      </w:r>
      <w:r>
        <w:rPr>
          <w:color w:val="0E0E0E"/>
          <w:spacing w:val="-2"/>
          <w:w w:val="105"/>
          <w:sz w:val="23"/>
        </w:rPr>
        <w:t>Assets</w:t>
      </w:r>
    </w:p>
    <w:p>
      <w:pPr>
        <w:pStyle w:val="BodyText"/>
        <w:spacing w:before="19"/>
        <w:rPr>
          <w:sz w:val="23"/>
        </w:rPr>
      </w:pPr>
    </w:p>
    <w:p>
      <w:pPr>
        <w:pStyle w:val="BodyText"/>
        <w:ind w:left="1418"/>
        <w:jc w:val="both"/>
      </w:pPr>
      <w:r>
        <w:rPr>
          <w:color w:val="0E0E0E"/>
        </w:rPr>
        <w:t>Financial</w:t>
      </w:r>
      <w:r>
        <w:rPr>
          <w:color w:val="0E0E0E"/>
          <w:spacing w:val="2"/>
        </w:rPr>
        <w:t> </w:t>
      </w:r>
      <w:r>
        <w:rPr>
          <w:color w:val="0E0E0E"/>
        </w:rPr>
        <w:t>assets are</w:t>
      </w:r>
      <w:r>
        <w:rPr>
          <w:color w:val="0E0E0E"/>
          <w:spacing w:val="-7"/>
        </w:rPr>
        <w:t> </w:t>
      </w:r>
      <w:r>
        <w:rPr>
          <w:color w:val="0E0E0E"/>
        </w:rPr>
        <w:t>subsequently</w:t>
      </w:r>
      <w:r>
        <w:rPr>
          <w:color w:val="0E0E0E"/>
          <w:spacing w:val="8"/>
        </w:rPr>
        <w:t> </w:t>
      </w:r>
      <w:r>
        <w:rPr>
          <w:color w:val="0E0E0E"/>
        </w:rPr>
        <w:t>measured</w:t>
      </w:r>
      <w:r>
        <w:rPr>
          <w:color w:val="0E0E0E"/>
          <w:spacing w:val="2"/>
        </w:rPr>
        <w:t> </w:t>
      </w:r>
      <w:r>
        <w:rPr>
          <w:color w:val="0E0E0E"/>
        </w:rPr>
        <w:t>in</w:t>
      </w:r>
      <w:r>
        <w:rPr>
          <w:color w:val="0E0E0E"/>
          <w:spacing w:val="-8"/>
        </w:rPr>
        <w:t> </w:t>
      </w:r>
      <w:r>
        <w:rPr>
          <w:color w:val="0E0E0E"/>
        </w:rPr>
        <w:t>one</w:t>
      </w:r>
      <w:r>
        <w:rPr>
          <w:color w:val="0E0E0E"/>
          <w:spacing w:val="-6"/>
        </w:rPr>
        <w:t> </w:t>
      </w:r>
      <w:r>
        <w:rPr>
          <w:color w:val="0E0E0E"/>
        </w:rPr>
        <w:t>of</w:t>
      </w:r>
      <w:r>
        <w:rPr>
          <w:color w:val="0E0E0E"/>
          <w:spacing w:val="-9"/>
        </w:rPr>
        <w:t> </w:t>
      </w:r>
      <w:r>
        <w:rPr>
          <w:color w:val="0E0E0E"/>
        </w:rPr>
        <w:t>two</w:t>
      </w:r>
      <w:r>
        <w:rPr>
          <w:color w:val="0E0E0E"/>
          <w:spacing w:val="-7"/>
        </w:rPr>
        <w:t> </w:t>
      </w:r>
      <w:r>
        <w:rPr>
          <w:color w:val="0E0E0E"/>
          <w:spacing w:val="-2"/>
        </w:rPr>
        <w:t>ways:</w:t>
      </w:r>
    </w:p>
    <w:p>
      <w:pPr>
        <w:pStyle w:val="ListParagraph"/>
        <w:numPr>
          <w:ilvl w:val="0"/>
          <w:numId w:val="13"/>
        </w:numPr>
        <w:tabs>
          <w:tab w:val="left" w:leader="none" w:pos="2135"/>
          <w:tab w:val="left" w:leader="none" w:pos="2139"/>
        </w:tabs>
        <w:spacing w:before="16" w:after="0" w:line="240" w:lineRule="auto"/>
        <w:ind w:left="2135" w:right="1308" w:hanging="355"/>
        <w:jc w:val="both"/>
        <w:rPr>
          <w:color w:val="1C1C1C"/>
          <w:sz w:val="22"/>
        </w:rPr>
      </w:pPr>
      <w:r>
        <w:rPr>
          <w:color w:val="1C1C1C"/>
          <w:sz w:val="22"/>
        </w:rPr>
        <w:tab/>
        <w:t>amortised cost</w:t>
      </w:r>
      <w:r>
        <w:rPr>
          <w:color w:val="1C1C1C"/>
          <w:spacing w:val="-13"/>
          <w:sz w:val="22"/>
        </w:rPr>
        <w:t> </w:t>
      </w:r>
      <w:r>
        <w:rPr>
          <w:color w:val="2B2B2B"/>
          <w:sz w:val="22"/>
        </w:rPr>
        <w:t>-</w:t>
      </w:r>
      <w:r>
        <w:rPr>
          <w:color w:val="2B2B2B"/>
          <w:spacing w:val="40"/>
          <w:sz w:val="22"/>
        </w:rPr>
        <w:t> </w:t>
      </w:r>
      <w:r>
        <w:rPr>
          <w:color w:val="1C1C1C"/>
          <w:sz w:val="22"/>
        </w:rPr>
        <w:t>assets</w:t>
      </w:r>
      <w:r>
        <w:rPr>
          <w:color w:val="1C1C1C"/>
          <w:spacing w:val="-14"/>
          <w:sz w:val="22"/>
        </w:rPr>
        <w:t> </w:t>
      </w:r>
      <w:r>
        <w:rPr>
          <w:color w:val="1C1C1C"/>
          <w:sz w:val="22"/>
        </w:rPr>
        <w:t>whose contractual</w:t>
      </w:r>
      <w:r>
        <w:rPr>
          <w:color w:val="1C1C1C"/>
          <w:spacing w:val="-2"/>
          <w:sz w:val="22"/>
        </w:rPr>
        <w:t> </w:t>
      </w:r>
      <w:r>
        <w:rPr>
          <w:color w:val="1C1C1C"/>
          <w:sz w:val="22"/>
        </w:rPr>
        <w:t>terms</w:t>
      </w:r>
      <w:r>
        <w:rPr>
          <w:color w:val="1C1C1C"/>
          <w:spacing w:val="-4"/>
          <w:sz w:val="22"/>
        </w:rPr>
        <w:t> </w:t>
      </w:r>
      <w:r>
        <w:rPr>
          <w:color w:val="1C1C1C"/>
          <w:sz w:val="22"/>
        </w:rPr>
        <w:t>are</w:t>
      </w:r>
      <w:r>
        <w:rPr>
          <w:color w:val="1C1C1C"/>
          <w:spacing w:val="-10"/>
          <w:sz w:val="22"/>
        </w:rPr>
        <w:t> </w:t>
      </w:r>
      <w:r>
        <w:rPr>
          <w:color w:val="1C1C1C"/>
          <w:sz w:val="22"/>
        </w:rPr>
        <w:t>basic</w:t>
      </w:r>
      <w:r>
        <w:rPr>
          <w:color w:val="1C1C1C"/>
          <w:spacing w:val="-1"/>
          <w:sz w:val="22"/>
        </w:rPr>
        <w:t> </w:t>
      </w:r>
      <w:r>
        <w:rPr>
          <w:color w:val="2B2B2B"/>
          <w:sz w:val="22"/>
        </w:rPr>
        <w:t>lending</w:t>
      </w:r>
      <w:r>
        <w:rPr>
          <w:color w:val="2B2B2B"/>
          <w:spacing w:val="-2"/>
          <w:sz w:val="22"/>
        </w:rPr>
        <w:t> </w:t>
      </w:r>
      <w:r>
        <w:rPr>
          <w:color w:val="0E0E0E"/>
          <w:sz w:val="22"/>
        </w:rPr>
        <w:t>arrangements </w:t>
      </w:r>
      <w:r>
        <w:rPr>
          <w:color w:val="2B2B2B"/>
          <w:sz w:val="22"/>
        </w:rPr>
        <w:t>(I.e. </w:t>
      </w:r>
      <w:r>
        <w:rPr>
          <w:color w:val="1C1C1C"/>
          <w:sz w:val="22"/>
        </w:rPr>
        <w:t>they give</w:t>
      </w:r>
      <w:r>
        <w:rPr>
          <w:color w:val="1C1C1C"/>
          <w:spacing w:val="-4"/>
          <w:sz w:val="22"/>
        </w:rPr>
        <w:t> </w:t>
      </w:r>
      <w:r>
        <w:rPr>
          <w:color w:val="1C1C1C"/>
          <w:sz w:val="22"/>
        </w:rPr>
        <w:t>rise on</w:t>
      </w:r>
      <w:r>
        <w:rPr>
          <w:color w:val="1C1C1C"/>
          <w:spacing w:val="-1"/>
          <w:sz w:val="22"/>
        </w:rPr>
        <w:t> </w:t>
      </w:r>
      <w:r>
        <w:rPr>
          <w:color w:val="0E0E0E"/>
          <w:sz w:val="22"/>
        </w:rPr>
        <w:t>specified</w:t>
      </w:r>
      <w:r>
        <w:rPr>
          <w:color w:val="0E0E0E"/>
          <w:spacing w:val="-2"/>
          <w:sz w:val="22"/>
        </w:rPr>
        <w:t> </w:t>
      </w:r>
      <w:r>
        <w:rPr>
          <w:color w:val="1C1C1C"/>
          <w:sz w:val="22"/>
        </w:rPr>
        <w:t>dates to cash</w:t>
      </w:r>
      <w:r>
        <w:rPr>
          <w:color w:val="1C1C1C"/>
          <w:spacing w:val="-3"/>
          <w:sz w:val="22"/>
        </w:rPr>
        <w:t> </w:t>
      </w:r>
      <w:r>
        <w:rPr>
          <w:color w:val="0E0E0E"/>
          <w:sz w:val="22"/>
        </w:rPr>
        <w:t>flows </w:t>
      </w:r>
      <w:r>
        <w:rPr>
          <w:color w:val="2B2B2B"/>
          <w:sz w:val="22"/>
        </w:rPr>
        <w:t>that </w:t>
      </w:r>
      <w:r>
        <w:rPr>
          <w:color w:val="1C1C1C"/>
          <w:sz w:val="22"/>
        </w:rPr>
        <w:t>are</w:t>
      </w:r>
      <w:r>
        <w:rPr>
          <w:color w:val="1C1C1C"/>
          <w:spacing w:val="-3"/>
          <w:sz w:val="22"/>
        </w:rPr>
        <w:t> </w:t>
      </w:r>
      <w:r>
        <w:rPr>
          <w:color w:val="1C1C1C"/>
          <w:sz w:val="22"/>
        </w:rPr>
        <w:t>solely payments of</w:t>
      </w:r>
      <w:r>
        <w:rPr>
          <w:color w:val="1C1C1C"/>
          <w:spacing w:val="-4"/>
          <w:sz w:val="22"/>
        </w:rPr>
        <w:t> </w:t>
      </w:r>
      <w:r>
        <w:rPr>
          <w:color w:val="1C1C1C"/>
          <w:sz w:val="22"/>
        </w:rPr>
        <w:t>principal</w:t>
      </w:r>
      <w:r>
        <w:rPr>
          <w:color w:val="1C1C1C"/>
          <w:spacing w:val="-2"/>
          <w:sz w:val="22"/>
        </w:rPr>
        <w:t> </w:t>
      </w:r>
      <w:r>
        <w:rPr>
          <w:color w:val="0E0E0E"/>
          <w:sz w:val="22"/>
        </w:rPr>
        <w:t>or </w:t>
      </w:r>
      <w:r>
        <w:rPr>
          <w:color w:val="2B2B2B"/>
          <w:sz w:val="22"/>
        </w:rPr>
        <w:t>interest</w:t>
      </w:r>
      <w:r>
        <w:rPr>
          <w:color w:val="2B2B2B"/>
          <w:spacing w:val="-16"/>
          <w:sz w:val="22"/>
        </w:rPr>
        <w:t> </w:t>
      </w:r>
      <w:r>
        <w:rPr>
          <w:color w:val="1C1C1C"/>
          <w:sz w:val="22"/>
        </w:rPr>
        <w:t>on</w:t>
      </w:r>
      <w:r>
        <w:rPr>
          <w:color w:val="1C1C1C"/>
          <w:spacing w:val="-15"/>
          <w:sz w:val="22"/>
        </w:rPr>
        <w:t> </w:t>
      </w:r>
      <w:r>
        <w:rPr>
          <w:color w:val="1C1C1C"/>
          <w:sz w:val="22"/>
        </w:rPr>
        <w:t>the</w:t>
      </w:r>
      <w:r>
        <w:rPr>
          <w:color w:val="1C1C1C"/>
          <w:spacing w:val="-15"/>
          <w:sz w:val="22"/>
        </w:rPr>
        <w:t> </w:t>
      </w:r>
      <w:r>
        <w:rPr>
          <w:color w:val="1C1C1C"/>
          <w:sz w:val="22"/>
        </w:rPr>
        <w:t>principal</w:t>
      </w:r>
      <w:r>
        <w:rPr>
          <w:color w:val="1C1C1C"/>
          <w:spacing w:val="-11"/>
          <w:sz w:val="22"/>
        </w:rPr>
        <w:t> </w:t>
      </w:r>
      <w:r>
        <w:rPr>
          <w:color w:val="1C1C1C"/>
          <w:sz w:val="22"/>
        </w:rPr>
        <w:t>amount</w:t>
      </w:r>
      <w:r>
        <w:rPr>
          <w:color w:val="1C1C1C"/>
          <w:spacing w:val="-4"/>
          <w:sz w:val="22"/>
        </w:rPr>
        <w:t> </w:t>
      </w:r>
      <w:r>
        <w:rPr>
          <w:color w:val="1C1C1C"/>
          <w:sz w:val="22"/>
        </w:rPr>
        <w:t>outstanding</w:t>
      </w:r>
      <w:r>
        <w:rPr>
          <w:color w:val="626262"/>
          <w:sz w:val="22"/>
        </w:rPr>
        <w:t>,</w:t>
      </w:r>
      <w:r>
        <w:rPr>
          <w:color w:val="626262"/>
          <w:spacing w:val="-16"/>
          <w:sz w:val="22"/>
        </w:rPr>
        <w:t> </w:t>
      </w:r>
      <w:r>
        <w:rPr>
          <w:color w:val="1C1C1C"/>
          <w:sz w:val="22"/>
        </w:rPr>
        <w:t>which</w:t>
      </w:r>
      <w:r>
        <w:rPr>
          <w:color w:val="1C1C1C"/>
          <w:spacing w:val="-10"/>
          <w:sz w:val="22"/>
        </w:rPr>
        <w:t> </w:t>
      </w:r>
      <w:r>
        <w:rPr>
          <w:color w:val="1C1C1C"/>
          <w:sz w:val="22"/>
        </w:rPr>
        <w:t>the</w:t>
      </w:r>
      <w:r>
        <w:rPr>
          <w:color w:val="1C1C1C"/>
          <w:spacing w:val="-16"/>
          <w:sz w:val="22"/>
        </w:rPr>
        <w:t> </w:t>
      </w:r>
      <w:r>
        <w:rPr>
          <w:color w:val="1C1C1C"/>
          <w:sz w:val="22"/>
        </w:rPr>
        <w:t>Council</w:t>
      </w:r>
      <w:r>
        <w:rPr>
          <w:color w:val="1C1C1C"/>
          <w:spacing w:val="-8"/>
          <w:sz w:val="22"/>
        </w:rPr>
        <w:t> </w:t>
      </w:r>
      <w:r>
        <w:rPr>
          <w:color w:val="2B2B2B"/>
          <w:sz w:val="22"/>
        </w:rPr>
        <w:t>holds</w:t>
      </w:r>
      <w:r>
        <w:rPr>
          <w:color w:val="2B2B2B"/>
          <w:spacing w:val="-1"/>
          <w:sz w:val="22"/>
        </w:rPr>
        <w:t> </w:t>
      </w:r>
      <w:r>
        <w:rPr>
          <w:color w:val="1C1C1C"/>
          <w:sz w:val="22"/>
        </w:rPr>
        <w:t>under</w:t>
      </w:r>
      <w:r>
        <w:rPr>
          <w:color w:val="1C1C1C"/>
          <w:spacing w:val="-8"/>
          <w:sz w:val="22"/>
        </w:rPr>
        <w:t> </w:t>
      </w:r>
      <w:r>
        <w:rPr>
          <w:color w:val="1C1C1C"/>
          <w:sz w:val="22"/>
        </w:rPr>
        <w:t>a</w:t>
      </w:r>
      <w:r>
        <w:rPr>
          <w:color w:val="1C1C1C"/>
          <w:spacing w:val="-16"/>
          <w:sz w:val="22"/>
        </w:rPr>
        <w:t> </w:t>
      </w:r>
      <w:r>
        <w:rPr>
          <w:color w:val="1C1C1C"/>
          <w:sz w:val="22"/>
        </w:rPr>
        <w:t>business model whose objective is </w:t>
      </w:r>
      <w:r>
        <w:rPr>
          <w:color w:val="2B2B2B"/>
          <w:sz w:val="22"/>
        </w:rPr>
        <w:t>to </w:t>
      </w:r>
      <w:r>
        <w:rPr>
          <w:color w:val="0E0E0E"/>
          <w:sz w:val="22"/>
        </w:rPr>
        <w:t>collect </w:t>
      </w:r>
      <w:r>
        <w:rPr>
          <w:color w:val="1C1C1C"/>
          <w:sz w:val="22"/>
        </w:rPr>
        <w:t>those </w:t>
      </w:r>
      <w:r>
        <w:rPr>
          <w:color w:val="0E0E0E"/>
          <w:sz w:val="22"/>
        </w:rPr>
        <w:t>cash flows)</w:t>
      </w:r>
    </w:p>
    <w:p>
      <w:pPr>
        <w:pStyle w:val="ListParagraph"/>
        <w:numPr>
          <w:ilvl w:val="0"/>
          <w:numId w:val="13"/>
        </w:numPr>
        <w:tabs>
          <w:tab w:val="left" w:leader="none" w:pos="2135"/>
        </w:tabs>
        <w:spacing w:before="17" w:after="0" w:line="240" w:lineRule="auto"/>
        <w:ind w:left="2135" w:right="0" w:hanging="355"/>
        <w:jc w:val="both"/>
        <w:rPr>
          <w:color w:val="1C1C1C"/>
          <w:sz w:val="22"/>
        </w:rPr>
      </w:pPr>
      <w:r>
        <w:rPr>
          <w:color w:val="0E0E0E"/>
          <w:sz w:val="22"/>
        </w:rPr>
        <w:t>fair</w:t>
      </w:r>
      <w:r>
        <w:rPr>
          <w:color w:val="0E0E0E"/>
          <w:spacing w:val="-4"/>
          <w:sz w:val="22"/>
        </w:rPr>
        <w:t> </w:t>
      </w:r>
      <w:r>
        <w:rPr>
          <w:color w:val="0E0E0E"/>
          <w:sz w:val="22"/>
        </w:rPr>
        <w:t>value</w:t>
      </w:r>
      <w:r>
        <w:rPr>
          <w:color w:val="0E0E0E"/>
          <w:spacing w:val="-9"/>
          <w:sz w:val="22"/>
        </w:rPr>
        <w:t> </w:t>
      </w:r>
      <w:r>
        <w:rPr>
          <w:color w:val="0E0E0E"/>
          <w:sz w:val="22"/>
        </w:rPr>
        <w:t>-</w:t>
      </w:r>
      <w:r>
        <w:rPr>
          <w:color w:val="0E0E0E"/>
          <w:spacing w:val="51"/>
          <w:sz w:val="22"/>
        </w:rPr>
        <w:t> </w:t>
      </w:r>
      <w:r>
        <w:rPr>
          <w:color w:val="0E0E0E"/>
          <w:sz w:val="22"/>
        </w:rPr>
        <w:t>all</w:t>
      </w:r>
      <w:r>
        <w:rPr>
          <w:color w:val="0E0E0E"/>
          <w:spacing w:val="-9"/>
          <w:sz w:val="22"/>
        </w:rPr>
        <w:t> </w:t>
      </w:r>
      <w:r>
        <w:rPr>
          <w:color w:val="0E0E0E"/>
          <w:sz w:val="22"/>
        </w:rPr>
        <w:t>other</w:t>
      </w:r>
      <w:r>
        <w:rPr>
          <w:color w:val="0E0E0E"/>
          <w:spacing w:val="-2"/>
          <w:sz w:val="22"/>
        </w:rPr>
        <w:t> </w:t>
      </w:r>
      <w:r>
        <w:rPr>
          <w:color w:val="0E0E0E"/>
          <w:sz w:val="22"/>
        </w:rPr>
        <w:t>financial</w:t>
      </w:r>
      <w:r>
        <w:rPr>
          <w:color w:val="0E0E0E"/>
          <w:spacing w:val="2"/>
          <w:sz w:val="22"/>
        </w:rPr>
        <w:t> </w:t>
      </w:r>
      <w:r>
        <w:rPr>
          <w:color w:val="0E0E0E"/>
          <w:spacing w:val="-2"/>
          <w:sz w:val="22"/>
        </w:rPr>
        <w:t>assets.</w:t>
      </w:r>
    </w:p>
    <w:p>
      <w:pPr>
        <w:pStyle w:val="BodyText"/>
        <w:spacing w:before="3"/>
      </w:pPr>
    </w:p>
    <w:p>
      <w:pPr>
        <w:pStyle w:val="BodyText"/>
        <w:ind w:left="1417" w:right="1303"/>
        <w:jc w:val="both"/>
      </w:pPr>
      <w:r>
        <w:rPr>
          <w:color w:val="0E0E0E"/>
        </w:rPr>
        <w:t>Amortised cost assets are measured in the Balance Sheet at the outstanding principal repayable</w:t>
      </w:r>
      <w:r>
        <w:rPr>
          <w:color w:val="0E0E0E"/>
          <w:spacing w:val="-7"/>
        </w:rPr>
        <w:t> </w:t>
      </w:r>
      <w:r>
        <w:rPr>
          <w:color w:val="0E0E0E"/>
        </w:rPr>
        <w:t>(plus</w:t>
      </w:r>
      <w:r>
        <w:rPr>
          <w:color w:val="0E0E0E"/>
          <w:spacing w:val="-7"/>
        </w:rPr>
        <w:t> </w:t>
      </w:r>
      <w:r>
        <w:rPr>
          <w:color w:val="0E0E0E"/>
        </w:rPr>
        <w:t>accrued</w:t>
      </w:r>
      <w:r>
        <w:rPr>
          <w:color w:val="0E0E0E"/>
          <w:spacing w:val="-10"/>
        </w:rPr>
        <w:t> </w:t>
      </w:r>
      <w:r>
        <w:rPr>
          <w:color w:val="1C1C1C"/>
        </w:rPr>
        <w:t>interest).</w:t>
      </w:r>
      <w:r>
        <w:rPr>
          <w:color w:val="1C1C1C"/>
          <w:spacing w:val="-3"/>
        </w:rPr>
        <w:t> </w:t>
      </w:r>
      <w:r>
        <w:rPr>
          <w:color w:val="0E0E0E"/>
        </w:rPr>
        <w:t>Annual</w:t>
      </w:r>
      <w:r>
        <w:rPr>
          <w:color w:val="0E0E0E"/>
          <w:spacing w:val="-9"/>
        </w:rPr>
        <w:t> </w:t>
      </w:r>
      <w:r>
        <w:rPr>
          <w:color w:val="0E0E0E"/>
        </w:rPr>
        <w:t>credits</w:t>
      </w:r>
      <w:r>
        <w:rPr>
          <w:color w:val="0E0E0E"/>
          <w:spacing w:val="-13"/>
        </w:rPr>
        <w:t> </w:t>
      </w:r>
      <w:r>
        <w:rPr>
          <w:color w:val="0E0E0E"/>
        </w:rPr>
        <w:t>to</w:t>
      </w:r>
      <w:r>
        <w:rPr>
          <w:color w:val="0E0E0E"/>
          <w:spacing w:val="-16"/>
        </w:rPr>
        <w:t> </w:t>
      </w:r>
      <w:r>
        <w:rPr>
          <w:color w:val="0E0E0E"/>
        </w:rPr>
        <w:t>the</w:t>
      </w:r>
      <w:r>
        <w:rPr>
          <w:color w:val="0E0E0E"/>
          <w:spacing w:val="-15"/>
        </w:rPr>
        <w:t> </w:t>
      </w:r>
      <w:r>
        <w:rPr>
          <w:color w:val="0E0E0E"/>
        </w:rPr>
        <w:t>Financing</w:t>
      </w:r>
      <w:r>
        <w:rPr>
          <w:color w:val="0E0E0E"/>
          <w:spacing w:val="-4"/>
        </w:rPr>
        <w:t> </w:t>
      </w:r>
      <w:r>
        <w:rPr>
          <w:color w:val="0E0E0E"/>
        </w:rPr>
        <w:t>and</w:t>
      </w:r>
      <w:r>
        <w:rPr>
          <w:color w:val="0E0E0E"/>
          <w:spacing w:val="-16"/>
        </w:rPr>
        <w:t> </w:t>
      </w:r>
      <w:r>
        <w:rPr>
          <w:color w:val="0E0E0E"/>
        </w:rPr>
        <w:t>Investment Income</w:t>
      </w:r>
      <w:r>
        <w:rPr>
          <w:color w:val="0E0E0E"/>
          <w:spacing w:val="-2"/>
        </w:rPr>
        <w:t> </w:t>
      </w:r>
      <w:r>
        <w:rPr>
          <w:color w:val="0E0E0E"/>
        </w:rPr>
        <w:t>and Expenditure line</w:t>
      </w:r>
      <w:r>
        <w:rPr>
          <w:color w:val="0E0E0E"/>
          <w:spacing w:val="-11"/>
        </w:rPr>
        <w:t> </w:t>
      </w:r>
      <w:r>
        <w:rPr>
          <w:color w:val="1C1C1C"/>
        </w:rPr>
        <w:t>in</w:t>
      </w:r>
      <w:r>
        <w:rPr>
          <w:color w:val="1C1C1C"/>
          <w:spacing w:val="-16"/>
        </w:rPr>
        <w:t> </w:t>
      </w:r>
      <w:r>
        <w:rPr>
          <w:color w:val="0E0E0E"/>
        </w:rPr>
        <w:t>the</w:t>
      </w:r>
      <w:r>
        <w:rPr>
          <w:color w:val="0E0E0E"/>
          <w:spacing w:val="-14"/>
        </w:rPr>
        <w:t> </w:t>
      </w:r>
      <w:r>
        <w:rPr>
          <w:color w:val="0E0E0E"/>
        </w:rPr>
        <w:t>Comprehensive</w:t>
      </w:r>
      <w:r>
        <w:rPr>
          <w:color w:val="0E0E0E"/>
          <w:spacing w:val="19"/>
        </w:rPr>
        <w:t> </w:t>
      </w:r>
      <w:r>
        <w:rPr>
          <w:color w:val="0E0E0E"/>
        </w:rPr>
        <w:t>Income and</w:t>
      </w:r>
      <w:r>
        <w:rPr>
          <w:color w:val="0E0E0E"/>
          <w:spacing w:val="-16"/>
        </w:rPr>
        <w:t> </w:t>
      </w:r>
      <w:r>
        <w:rPr>
          <w:color w:val="0E0E0E"/>
        </w:rPr>
        <w:t>Expenditure Statement (CIES) are</w:t>
      </w:r>
      <w:r>
        <w:rPr>
          <w:color w:val="0E0E0E"/>
          <w:spacing w:val="-8"/>
        </w:rPr>
        <w:t> </w:t>
      </w:r>
      <w:r>
        <w:rPr>
          <w:color w:val="0E0E0E"/>
        </w:rPr>
        <w:t>based on the carrying amount of the asset, multiplied by the effective rate of interest for the </w:t>
      </w:r>
      <w:r>
        <w:rPr>
          <w:color w:val="1C1C1C"/>
          <w:spacing w:val="-2"/>
        </w:rPr>
        <w:t>instrument.</w:t>
      </w:r>
    </w:p>
    <w:p>
      <w:pPr>
        <w:pStyle w:val="BodyText"/>
        <w:spacing w:before="249"/>
        <w:ind w:left="1418" w:right="1309" w:hanging="1"/>
        <w:jc w:val="both"/>
      </w:pPr>
      <w:r>
        <w:rPr>
          <w:color w:val="0E0E0E"/>
        </w:rPr>
        <w:t>Allowances for impairment losses have been calculated for amortised cost assets, applying the</w:t>
      </w:r>
      <w:r>
        <w:rPr>
          <w:color w:val="0E0E0E"/>
          <w:spacing w:val="-16"/>
        </w:rPr>
        <w:t> </w:t>
      </w:r>
      <w:r>
        <w:rPr>
          <w:color w:val="0E0E0E"/>
        </w:rPr>
        <w:t>expected</w:t>
      </w:r>
      <w:r>
        <w:rPr>
          <w:color w:val="0E0E0E"/>
          <w:spacing w:val="-15"/>
        </w:rPr>
        <w:t> </w:t>
      </w:r>
      <w:r>
        <w:rPr>
          <w:color w:val="0E0E0E"/>
        </w:rPr>
        <w:t>credit</w:t>
      </w:r>
      <w:r>
        <w:rPr>
          <w:color w:val="0E0E0E"/>
          <w:spacing w:val="-15"/>
        </w:rPr>
        <w:t> </w:t>
      </w:r>
      <w:r>
        <w:rPr>
          <w:color w:val="0E0E0E"/>
        </w:rPr>
        <w:t>losses</w:t>
      </w:r>
      <w:r>
        <w:rPr>
          <w:color w:val="0E0E0E"/>
          <w:spacing w:val="-16"/>
        </w:rPr>
        <w:t> </w:t>
      </w:r>
      <w:r>
        <w:rPr>
          <w:color w:val="0E0E0E"/>
        </w:rPr>
        <w:t>model.</w:t>
      </w:r>
      <w:r>
        <w:rPr>
          <w:color w:val="0E0E0E"/>
          <w:spacing w:val="-15"/>
        </w:rPr>
        <w:t> </w:t>
      </w:r>
      <w:r>
        <w:rPr>
          <w:color w:val="0E0E0E"/>
        </w:rPr>
        <w:t>Changes</w:t>
      </w:r>
      <w:r>
        <w:rPr>
          <w:color w:val="0E0E0E"/>
          <w:spacing w:val="-15"/>
        </w:rPr>
        <w:t> </w:t>
      </w:r>
      <w:r>
        <w:rPr>
          <w:color w:val="0E0E0E"/>
        </w:rPr>
        <w:t>in</w:t>
      </w:r>
      <w:r>
        <w:rPr>
          <w:color w:val="0E0E0E"/>
          <w:spacing w:val="-23"/>
        </w:rPr>
        <w:t> </w:t>
      </w:r>
      <w:r>
        <w:rPr>
          <w:color w:val="1C1C1C"/>
        </w:rPr>
        <w:t>loss</w:t>
      </w:r>
      <w:r>
        <w:rPr>
          <w:color w:val="1C1C1C"/>
          <w:spacing w:val="-15"/>
        </w:rPr>
        <w:t> </w:t>
      </w:r>
      <w:r>
        <w:rPr>
          <w:color w:val="0E0E0E"/>
        </w:rPr>
        <w:t>allowances</w:t>
      </w:r>
      <w:r>
        <w:rPr>
          <w:color w:val="0E0E0E"/>
          <w:spacing w:val="-15"/>
        </w:rPr>
        <w:t> </w:t>
      </w:r>
      <w:r>
        <w:rPr>
          <w:color w:val="0E0E0E"/>
        </w:rPr>
        <w:t>(including</w:t>
      </w:r>
      <w:r>
        <w:rPr>
          <w:color w:val="0E0E0E"/>
          <w:spacing w:val="-9"/>
        </w:rPr>
        <w:t> </w:t>
      </w:r>
      <w:r>
        <w:rPr>
          <w:color w:val="0E0E0E"/>
        </w:rPr>
        <w:t>balances</w:t>
      </w:r>
      <w:r>
        <w:rPr>
          <w:color w:val="0E0E0E"/>
          <w:spacing w:val="-8"/>
        </w:rPr>
        <w:t> </w:t>
      </w:r>
      <w:r>
        <w:rPr>
          <w:color w:val="0E0E0E"/>
        </w:rPr>
        <w:t>outstanding</w:t>
      </w:r>
    </w:p>
    <w:p>
      <w:pPr>
        <w:spacing w:after="0"/>
        <w:jc w:val="both"/>
        <w:sectPr>
          <w:headerReference w:type="default" r:id="rId94"/>
          <w:footerReference w:type="default" r:id="rId95"/>
          <w:footerReference w:type="even" r:id="rId96"/>
          <w:pgSz w:w="11910" w:h="16830"/>
          <w:pgMar w:top="900" w:right="100" w:bottom="1340" w:left="20" w:header="704" w:footer="1160"/>
          <w:pgNumType w:start="43"/>
        </w:sectPr>
      </w:pPr>
    </w:p>
    <w:p>
      <w:pPr>
        <w:pStyle w:val="BodyText"/>
        <w:spacing w:line="139" w:lineRule="exact"/>
        <w:ind w:left="2143"/>
        <w:rPr>
          <w:sz w:val="13"/>
        </w:rPr>
      </w:pPr>
      <w:r>
        <w:rPr>
          <w:position w:val="-2"/>
          <w:sz w:val="13"/>
        </w:rPr>
        <w:drawing>
          <wp:inline distT="0" distB="0" distL="0" distR="0">
            <wp:extent cx="1366147" cy="88392"/>
            <wp:effectExtent l="0" t="0" r="0" b="0"/>
            <wp:docPr id="139" name="Image 139"/>
            <wp:cNvGraphicFramePr>
              <a:graphicFrameLocks/>
            </wp:cNvGraphicFramePr>
            <a:graphic>
              <a:graphicData uri="http://schemas.openxmlformats.org/drawingml/2006/picture">
                <pic:pic>
                  <pic:nvPicPr>
                    <pic:cNvPr id="139" name="Image 139"/>
                    <pic:cNvPicPr/>
                  </pic:nvPicPr>
                  <pic:blipFill>
                    <a:blip r:embed="rId98" cstate="print"/>
                    <a:stretch>
                      <a:fillRect/>
                    </a:stretch>
                  </pic:blipFill>
                  <pic:spPr>
                    <a:xfrm>
                      <a:off x="0" y="0"/>
                      <a:ext cx="1366147" cy="88392"/>
                    </a:xfrm>
                    <a:prstGeom prst="rect">
                      <a:avLst/>
                    </a:prstGeom>
                  </pic:spPr>
                </pic:pic>
              </a:graphicData>
            </a:graphic>
          </wp:inline>
        </w:drawing>
      </w:r>
      <w:r>
        <w:rPr>
          <w:position w:val="-2"/>
          <w:sz w:val="13"/>
        </w:rPr>
      </w:r>
    </w:p>
    <w:p>
      <w:pPr>
        <w:pStyle w:val="BodyText"/>
        <w:spacing w:before="13"/>
      </w:pPr>
    </w:p>
    <w:p>
      <w:pPr>
        <w:pStyle w:val="BodyText"/>
        <w:spacing w:line="237" w:lineRule="auto"/>
        <w:ind w:left="1632" w:right="1137" w:firstLine="7"/>
        <w:jc w:val="both"/>
      </w:pPr>
      <w:r>
        <w:rPr>
          <w:color w:val="0A0A0A"/>
        </w:rPr>
        <w:t>at</w:t>
      </w:r>
      <w:r>
        <w:rPr>
          <w:color w:val="0A0A0A"/>
          <w:spacing w:val="-16"/>
        </w:rPr>
        <w:t> </w:t>
      </w:r>
      <w:r>
        <w:rPr>
          <w:color w:val="0A0A0A"/>
        </w:rPr>
        <w:t>the</w:t>
      </w:r>
      <w:r>
        <w:rPr>
          <w:color w:val="0A0A0A"/>
          <w:spacing w:val="-15"/>
        </w:rPr>
        <w:t> </w:t>
      </w:r>
      <w:r>
        <w:rPr>
          <w:color w:val="0A0A0A"/>
        </w:rPr>
        <w:t>date</w:t>
      </w:r>
      <w:r>
        <w:rPr>
          <w:color w:val="0A0A0A"/>
          <w:spacing w:val="-15"/>
        </w:rPr>
        <w:t> </w:t>
      </w:r>
      <w:r>
        <w:rPr>
          <w:color w:val="0A0A0A"/>
        </w:rPr>
        <w:t>of</w:t>
      </w:r>
      <w:r>
        <w:rPr>
          <w:color w:val="0A0A0A"/>
          <w:spacing w:val="-16"/>
        </w:rPr>
        <w:t> </w:t>
      </w:r>
      <w:r>
        <w:rPr>
          <w:color w:val="0A0A0A"/>
        </w:rPr>
        <w:t>derecognition</w:t>
      </w:r>
      <w:r>
        <w:rPr>
          <w:color w:val="0A0A0A"/>
          <w:spacing w:val="-4"/>
        </w:rPr>
        <w:t> </w:t>
      </w:r>
      <w:r>
        <w:rPr>
          <w:color w:val="0A0A0A"/>
        </w:rPr>
        <w:t>of</w:t>
      </w:r>
      <w:r>
        <w:rPr>
          <w:color w:val="0A0A0A"/>
          <w:spacing w:val="-13"/>
        </w:rPr>
        <w:t> </w:t>
      </w:r>
      <w:r>
        <w:rPr>
          <w:color w:val="0A0A0A"/>
        </w:rPr>
        <w:t>an</w:t>
      </w:r>
      <w:r>
        <w:rPr>
          <w:color w:val="0A0A0A"/>
          <w:spacing w:val="-16"/>
        </w:rPr>
        <w:t> </w:t>
      </w:r>
      <w:r>
        <w:rPr>
          <w:color w:val="0A0A0A"/>
        </w:rPr>
        <w:t>asset)</w:t>
      </w:r>
      <w:r>
        <w:rPr>
          <w:color w:val="0A0A0A"/>
          <w:spacing w:val="-1"/>
        </w:rPr>
        <w:t> </w:t>
      </w:r>
      <w:r>
        <w:rPr>
          <w:color w:val="0A0A0A"/>
        </w:rPr>
        <w:t>are</w:t>
      </w:r>
      <w:r>
        <w:rPr>
          <w:color w:val="0A0A0A"/>
          <w:spacing w:val="-16"/>
        </w:rPr>
        <w:t> </w:t>
      </w:r>
      <w:r>
        <w:rPr>
          <w:color w:val="0A0A0A"/>
        </w:rPr>
        <w:t>debited/ credited</w:t>
      </w:r>
      <w:r>
        <w:rPr>
          <w:color w:val="0A0A0A"/>
          <w:spacing w:val="-11"/>
        </w:rPr>
        <w:t> </w:t>
      </w:r>
      <w:r>
        <w:rPr>
          <w:color w:val="0A0A0A"/>
        </w:rPr>
        <w:t>to</w:t>
      </w:r>
      <w:r>
        <w:rPr>
          <w:color w:val="0A0A0A"/>
          <w:spacing w:val="-16"/>
        </w:rPr>
        <w:t> </w:t>
      </w:r>
      <w:r>
        <w:rPr>
          <w:color w:val="0A0A0A"/>
        </w:rPr>
        <w:t>the</w:t>
      </w:r>
      <w:r>
        <w:rPr>
          <w:color w:val="0A0A0A"/>
          <w:spacing w:val="-15"/>
        </w:rPr>
        <w:t> </w:t>
      </w:r>
      <w:r>
        <w:rPr>
          <w:color w:val="0A0A0A"/>
        </w:rPr>
        <w:t>Financing and</w:t>
      </w:r>
      <w:r>
        <w:rPr>
          <w:color w:val="0A0A0A"/>
          <w:spacing w:val="-16"/>
        </w:rPr>
        <w:t> </w:t>
      </w:r>
      <w:r>
        <w:rPr>
          <w:color w:val="0A0A0A"/>
        </w:rPr>
        <w:t>Investment Income and Expenditure line in the GIES.</w:t>
      </w:r>
    </w:p>
    <w:p>
      <w:pPr>
        <w:pStyle w:val="BodyText"/>
        <w:spacing w:before="252"/>
        <w:ind w:left="1620" w:right="1108" w:firstLine="11"/>
        <w:jc w:val="both"/>
      </w:pPr>
      <w:r>
        <w:rPr>
          <w:color w:val="0A0A0A"/>
        </w:rPr>
        <w:t>Changes in</w:t>
      </w:r>
      <w:r>
        <w:rPr>
          <w:color w:val="0A0A0A"/>
          <w:spacing w:val="-11"/>
        </w:rPr>
        <w:t> </w:t>
      </w:r>
      <w:r>
        <w:rPr>
          <w:color w:val="0A0A0A"/>
        </w:rPr>
        <w:t>the</w:t>
      </w:r>
      <w:r>
        <w:rPr>
          <w:color w:val="0A0A0A"/>
          <w:spacing w:val="-1"/>
        </w:rPr>
        <w:t> </w:t>
      </w:r>
      <w:r>
        <w:rPr>
          <w:color w:val="0A0A0A"/>
        </w:rPr>
        <w:t>value</w:t>
      </w:r>
      <w:r>
        <w:rPr>
          <w:color w:val="0A0A0A"/>
          <w:spacing w:val="-2"/>
        </w:rPr>
        <w:t> </w:t>
      </w:r>
      <w:r>
        <w:rPr>
          <w:color w:val="0A0A0A"/>
        </w:rPr>
        <w:t>of</w:t>
      </w:r>
      <w:r>
        <w:rPr>
          <w:color w:val="0A0A0A"/>
          <w:spacing w:val="-2"/>
        </w:rPr>
        <w:t> </w:t>
      </w:r>
      <w:r>
        <w:rPr>
          <w:color w:val="0A0A0A"/>
        </w:rPr>
        <w:t>assets carried</w:t>
      </w:r>
      <w:r>
        <w:rPr>
          <w:color w:val="0A0A0A"/>
          <w:spacing w:val="-1"/>
        </w:rPr>
        <w:t> </w:t>
      </w:r>
      <w:r>
        <w:rPr>
          <w:color w:val="0A0A0A"/>
        </w:rPr>
        <w:t>at</w:t>
      </w:r>
      <w:r>
        <w:rPr>
          <w:color w:val="0A0A0A"/>
          <w:spacing w:val="-9"/>
        </w:rPr>
        <w:t> </w:t>
      </w:r>
      <w:r>
        <w:rPr>
          <w:color w:val="0A0A0A"/>
        </w:rPr>
        <w:t>fair</w:t>
      </w:r>
      <w:r>
        <w:rPr>
          <w:color w:val="0A0A0A"/>
          <w:spacing w:val="-2"/>
        </w:rPr>
        <w:t> </w:t>
      </w:r>
      <w:r>
        <w:rPr>
          <w:color w:val="0A0A0A"/>
        </w:rPr>
        <w:t>value (described as</w:t>
      </w:r>
      <w:r>
        <w:rPr>
          <w:color w:val="0A0A0A"/>
          <w:spacing w:val="-11"/>
        </w:rPr>
        <w:t> </w:t>
      </w:r>
      <w:r>
        <w:rPr>
          <w:color w:val="0A0A0A"/>
        </w:rPr>
        <w:t>Fair</w:t>
      </w:r>
      <w:r>
        <w:rPr>
          <w:color w:val="0A0A0A"/>
          <w:spacing w:val="-2"/>
        </w:rPr>
        <w:t> </w:t>
      </w:r>
      <w:r>
        <w:rPr>
          <w:color w:val="0A0A0A"/>
        </w:rPr>
        <w:t>Value</w:t>
      </w:r>
      <w:r>
        <w:rPr>
          <w:color w:val="0A0A0A"/>
          <w:spacing w:val="-2"/>
        </w:rPr>
        <w:t> </w:t>
      </w:r>
      <w:r>
        <w:rPr>
          <w:color w:val="0A0A0A"/>
        </w:rPr>
        <w:t>through Profit or Loss) are debited/ credited to the</w:t>
      </w:r>
      <w:r>
        <w:rPr>
          <w:color w:val="0A0A0A"/>
          <w:spacing w:val="-2"/>
        </w:rPr>
        <w:t> </w:t>
      </w:r>
      <w:r>
        <w:rPr>
          <w:color w:val="0A0A0A"/>
        </w:rPr>
        <w:t>Financing and</w:t>
      </w:r>
      <w:r>
        <w:rPr>
          <w:color w:val="0A0A0A"/>
          <w:spacing w:val="-2"/>
        </w:rPr>
        <w:t> </w:t>
      </w:r>
      <w:r>
        <w:rPr>
          <w:color w:val="0A0A0A"/>
        </w:rPr>
        <w:t>Investment Income and</w:t>
      </w:r>
      <w:r>
        <w:rPr>
          <w:color w:val="0A0A0A"/>
          <w:spacing w:val="-1"/>
        </w:rPr>
        <w:t> </w:t>
      </w:r>
      <w:r>
        <w:rPr>
          <w:color w:val="0A0A0A"/>
        </w:rPr>
        <w:t>Expenditure line in the GIES as they arise</w:t>
      </w:r>
      <w:r>
        <w:rPr>
          <w:color w:val="626262"/>
        </w:rPr>
        <w:t>.</w:t>
      </w:r>
    </w:p>
    <w:p>
      <w:pPr>
        <w:pStyle w:val="BodyText"/>
        <w:spacing w:before="1"/>
      </w:pPr>
    </w:p>
    <w:p>
      <w:pPr>
        <w:spacing w:before="0"/>
        <w:ind w:left="1623" w:right="0" w:firstLine="0"/>
        <w:jc w:val="both"/>
        <w:rPr>
          <w:i/>
          <w:sz w:val="21"/>
        </w:rPr>
      </w:pPr>
      <w:r>
        <w:rPr>
          <w:i/>
          <w:color w:val="0A0A0A"/>
          <w:w w:val="105"/>
          <w:sz w:val="21"/>
        </w:rPr>
        <w:t>Statutory</w:t>
      </w:r>
      <w:r>
        <w:rPr>
          <w:i/>
          <w:color w:val="0A0A0A"/>
          <w:spacing w:val="-4"/>
          <w:w w:val="105"/>
          <w:sz w:val="21"/>
        </w:rPr>
        <w:t> </w:t>
      </w:r>
      <w:r>
        <w:rPr>
          <w:i/>
          <w:color w:val="0A0A0A"/>
          <w:spacing w:val="-2"/>
          <w:w w:val="105"/>
          <w:sz w:val="21"/>
        </w:rPr>
        <w:t>Reversals</w:t>
      </w:r>
    </w:p>
    <w:p>
      <w:pPr>
        <w:pStyle w:val="BodyText"/>
        <w:spacing w:before="17"/>
        <w:rPr>
          <w:i/>
          <w:sz w:val="21"/>
        </w:rPr>
      </w:pPr>
    </w:p>
    <w:p>
      <w:pPr>
        <w:pStyle w:val="BodyText"/>
        <w:spacing w:before="1"/>
        <w:ind w:left="1604" w:right="1118" w:firstLine="4"/>
        <w:jc w:val="both"/>
      </w:pPr>
      <w:r>
        <w:rPr>
          <w:color w:val="0A0A0A"/>
        </w:rPr>
        <w:t>Statutory regulations allow</w:t>
      </w:r>
      <w:r>
        <w:rPr>
          <w:color w:val="0A0A0A"/>
          <w:spacing w:val="-10"/>
        </w:rPr>
        <w:t> </w:t>
      </w:r>
      <w:r>
        <w:rPr>
          <w:color w:val="0A0A0A"/>
        </w:rPr>
        <w:t>the</w:t>
      </w:r>
      <w:r>
        <w:rPr>
          <w:color w:val="0A0A0A"/>
          <w:spacing w:val="-16"/>
        </w:rPr>
        <w:t> </w:t>
      </w:r>
      <w:r>
        <w:rPr>
          <w:color w:val="0A0A0A"/>
        </w:rPr>
        <w:t>reversal</w:t>
      </w:r>
      <w:r>
        <w:rPr>
          <w:color w:val="0A0A0A"/>
          <w:spacing w:val="-7"/>
        </w:rPr>
        <w:t> </w:t>
      </w:r>
      <w:r>
        <w:rPr>
          <w:color w:val="0A0A0A"/>
        </w:rPr>
        <w:t>of</w:t>
      </w:r>
      <w:r>
        <w:rPr>
          <w:color w:val="0A0A0A"/>
          <w:spacing w:val="-12"/>
        </w:rPr>
        <w:t> </w:t>
      </w:r>
      <w:r>
        <w:rPr>
          <w:color w:val="0A0A0A"/>
        </w:rPr>
        <w:t>impairment losses</w:t>
      </w:r>
      <w:r>
        <w:rPr>
          <w:color w:val="0A0A0A"/>
          <w:spacing w:val="-5"/>
        </w:rPr>
        <w:t> </w:t>
      </w:r>
      <w:r>
        <w:rPr>
          <w:color w:val="0A0A0A"/>
        </w:rPr>
        <w:t>out</w:t>
      </w:r>
      <w:r>
        <w:rPr>
          <w:color w:val="0A0A0A"/>
          <w:spacing w:val="-1"/>
        </w:rPr>
        <w:t> </w:t>
      </w:r>
      <w:r>
        <w:rPr>
          <w:color w:val="0A0A0A"/>
        </w:rPr>
        <w:t>of</w:t>
      </w:r>
      <w:r>
        <w:rPr>
          <w:color w:val="0A0A0A"/>
          <w:spacing w:val="-14"/>
        </w:rPr>
        <w:t> </w:t>
      </w:r>
      <w:r>
        <w:rPr>
          <w:color w:val="0A0A0A"/>
        </w:rPr>
        <w:t>the</w:t>
      </w:r>
      <w:r>
        <w:rPr>
          <w:color w:val="0A0A0A"/>
          <w:spacing w:val="-16"/>
        </w:rPr>
        <w:t> </w:t>
      </w:r>
      <w:r>
        <w:rPr>
          <w:color w:val="0A0A0A"/>
        </w:rPr>
        <w:t>General</w:t>
      </w:r>
      <w:r>
        <w:rPr>
          <w:color w:val="0A0A0A"/>
          <w:spacing w:val="-11"/>
        </w:rPr>
        <w:t> </w:t>
      </w:r>
      <w:r>
        <w:rPr>
          <w:color w:val="0A0A0A"/>
        </w:rPr>
        <w:t>Fund</w:t>
      </w:r>
      <w:r>
        <w:rPr>
          <w:color w:val="0A0A0A"/>
          <w:spacing w:val="-13"/>
        </w:rPr>
        <w:t> </w:t>
      </w:r>
      <w:r>
        <w:rPr>
          <w:color w:val="0A0A0A"/>
        </w:rPr>
        <w:t>Balance if the financial instruments are covered by the capital expenditure definition specified in regulation 25 of the 2003 Capital Finance Regulations.</w:t>
      </w:r>
    </w:p>
    <w:p>
      <w:pPr>
        <w:pStyle w:val="BodyText"/>
        <w:spacing w:before="11"/>
      </w:pPr>
    </w:p>
    <w:p>
      <w:pPr>
        <w:spacing w:before="0"/>
        <w:ind w:left="1600" w:right="0" w:firstLine="0"/>
        <w:jc w:val="both"/>
        <w:rPr>
          <w:i/>
          <w:sz w:val="21"/>
        </w:rPr>
      </w:pPr>
      <w:r>
        <w:rPr>
          <w:i/>
          <w:color w:val="0A0A0A"/>
          <w:w w:val="105"/>
          <w:sz w:val="21"/>
        </w:rPr>
        <w:t>Financial</w:t>
      </w:r>
      <w:r>
        <w:rPr>
          <w:i/>
          <w:color w:val="0A0A0A"/>
          <w:spacing w:val="-11"/>
          <w:w w:val="105"/>
          <w:sz w:val="21"/>
        </w:rPr>
        <w:t> </w:t>
      </w:r>
      <w:r>
        <w:rPr>
          <w:i/>
          <w:color w:val="0A0A0A"/>
          <w:spacing w:val="-2"/>
          <w:w w:val="105"/>
          <w:sz w:val="21"/>
        </w:rPr>
        <w:t>Liabilities</w:t>
      </w:r>
    </w:p>
    <w:p>
      <w:pPr>
        <w:pStyle w:val="BodyText"/>
        <w:spacing w:before="17"/>
        <w:rPr>
          <w:i/>
          <w:sz w:val="21"/>
        </w:rPr>
      </w:pPr>
    </w:p>
    <w:p>
      <w:pPr>
        <w:pStyle w:val="BodyText"/>
        <w:ind w:left="1591"/>
        <w:jc w:val="both"/>
      </w:pPr>
      <w:r>
        <w:rPr>
          <w:color w:val="0A0A0A"/>
        </w:rPr>
        <w:t>Financial</w:t>
      </w:r>
      <w:r>
        <w:rPr>
          <w:color w:val="0A0A0A"/>
          <w:spacing w:val="-3"/>
        </w:rPr>
        <w:t> </w:t>
      </w:r>
      <w:r>
        <w:rPr>
          <w:color w:val="0A0A0A"/>
        </w:rPr>
        <w:t>liabilities</w:t>
      </w:r>
      <w:r>
        <w:rPr>
          <w:color w:val="0A0A0A"/>
          <w:spacing w:val="3"/>
        </w:rPr>
        <w:t> </w:t>
      </w:r>
      <w:r>
        <w:rPr>
          <w:color w:val="0A0A0A"/>
        </w:rPr>
        <w:t>are</w:t>
      </w:r>
      <w:r>
        <w:rPr>
          <w:color w:val="0A0A0A"/>
          <w:spacing w:val="-8"/>
        </w:rPr>
        <w:t> </w:t>
      </w:r>
      <w:r>
        <w:rPr>
          <w:color w:val="0A0A0A"/>
        </w:rPr>
        <w:t>subsequently</w:t>
      </w:r>
      <w:r>
        <w:rPr>
          <w:color w:val="0A0A0A"/>
          <w:spacing w:val="4"/>
        </w:rPr>
        <w:t> </w:t>
      </w:r>
      <w:r>
        <w:rPr>
          <w:color w:val="0A0A0A"/>
        </w:rPr>
        <w:t>measured</w:t>
      </w:r>
      <w:r>
        <w:rPr>
          <w:color w:val="0A0A0A"/>
          <w:spacing w:val="-5"/>
        </w:rPr>
        <w:t> </w:t>
      </w:r>
      <w:r>
        <w:rPr>
          <w:color w:val="0A0A0A"/>
        </w:rPr>
        <w:t>at</w:t>
      </w:r>
      <w:r>
        <w:rPr>
          <w:color w:val="0A0A0A"/>
          <w:spacing w:val="-9"/>
        </w:rPr>
        <w:t> </w:t>
      </w:r>
      <w:r>
        <w:rPr>
          <w:color w:val="0A0A0A"/>
        </w:rPr>
        <w:t>amortised</w:t>
      </w:r>
      <w:r>
        <w:rPr>
          <w:color w:val="0A0A0A"/>
          <w:spacing w:val="-1"/>
        </w:rPr>
        <w:t> </w:t>
      </w:r>
      <w:r>
        <w:rPr>
          <w:color w:val="0A0A0A"/>
          <w:spacing w:val="-2"/>
        </w:rPr>
        <w:t>cost.</w:t>
      </w:r>
    </w:p>
    <w:p>
      <w:pPr>
        <w:pStyle w:val="BodyText"/>
        <w:spacing w:before="8"/>
      </w:pPr>
    </w:p>
    <w:p>
      <w:pPr>
        <w:spacing w:before="0"/>
        <w:ind w:left="1584" w:right="0" w:firstLine="0"/>
        <w:jc w:val="left"/>
        <w:rPr>
          <w:b/>
          <w:sz w:val="21"/>
        </w:rPr>
      </w:pPr>
      <w:r>
        <w:rPr>
          <w:b/>
          <w:color w:val="0A0A0A"/>
          <w:spacing w:val="-2"/>
          <w:w w:val="105"/>
          <w:sz w:val="21"/>
        </w:rPr>
        <w:t>Provisions</w:t>
      </w:r>
    </w:p>
    <w:p>
      <w:pPr>
        <w:pStyle w:val="BodyText"/>
        <w:spacing w:before="12"/>
        <w:rPr>
          <w:b/>
          <w:sz w:val="21"/>
        </w:rPr>
      </w:pPr>
    </w:p>
    <w:p>
      <w:pPr>
        <w:pStyle w:val="BodyText"/>
        <w:ind w:left="1558" w:right="1172" w:firstLine="19"/>
      </w:pPr>
      <w:r>
        <w:rPr>
          <w:color w:val="0A0A0A"/>
        </w:rPr>
        <w:t>Provisions are</w:t>
      </w:r>
      <w:r>
        <w:rPr>
          <w:color w:val="0A0A0A"/>
          <w:spacing w:val="-4"/>
        </w:rPr>
        <w:t> </w:t>
      </w:r>
      <w:r>
        <w:rPr>
          <w:color w:val="0A0A0A"/>
        </w:rPr>
        <w:t>recognised when </w:t>
      </w:r>
      <w:r>
        <w:rPr>
          <w:color w:val="1D1D1D"/>
        </w:rPr>
        <w:t>the</w:t>
      </w:r>
      <w:r>
        <w:rPr>
          <w:color w:val="1D1D1D"/>
          <w:spacing w:val="-8"/>
        </w:rPr>
        <w:t> </w:t>
      </w:r>
      <w:r>
        <w:rPr>
          <w:color w:val="1D1D1D"/>
        </w:rPr>
        <w:t>Council has </w:t>
      </w:r>
      <w:r>
        <w:rPr>
          <w:color w:val="0A0A0A"/>
        </w:rPr>
        <w:t>a</w:t>
      </w:r>
      <w:r>
        <w:rPr>
          <w:color w:val="0A0A0A"/>
          <w:spacing w:val="-7"/>
        </w:rPr>
        <w:t> </w:t>
      </w:r>
      <w:r>
        <w:rPr>
          <w:color w:val="0A0A0A"/>
        </w:rPr>
        <w:t>present legal</w:t>
      </w:r>
      <w:r>
        <w:rPr>
          <w:color w:val="0A0A0A"/>
          <w:spacing w:val="-6"/>
        </w:rPr>
        <w:t> </w:t>
      </w:r>
      <w:r>
        <w:rPr>
          <w:color w:val="0A0A0A"/>
        </w:rPr>
        <w:t>or</w:t>
      </w:r>
      <w:r>
        <w:rPr>
          <w:color w:val="0A0A0A"/>
          <w:spacing w:val="-6"/>
        </w:rPr>
        <w:t> </w:t>
      </w:r>
      <w:r>
        <w:rPr>
          <w:color w:val="0A0A0A"/>
        </w:rPr>
        <w:t>constructive</w:t>
      </w:r>
      <w:r>
        <w:rPr>
          <w:color w:val="0A0A0A"/>
          <w:spacing w:val="22"/>
        </w:rPr>
        <w:t> </w:t>
      </w:r>
      <w:r>
        <w:rPr>
          <w:color w:val="1D1D1D"/>
        </w:rPr>
        <w:t>obligation as </w:t>
      </w:r>
      <w:r>
        <w:rPr>
          <w:color w:val="0A0A0A"/>
        </w:rPr>
        <w:t>a result of a past </w:t>
      </w:r>
      <w:r>
        <w:rPr>
          <w:color w:val="1D1D1D"/>
        </w:rPr>
        <w:t>event</w:t>
      </w:r>
      <w:r>
        <w:rPr>
          <w:color w:val="4F4F4F"/>
        </w:rPr>
        <w:t>,</w:t>
      </w:r>
      <w:r>
        <w:rPr>
          <w:color w:val="4F4F4F"/>
          <w:spacing w:val="-16"/>
        </w:rPr>
        <w:t> </w:t>
      </w:r>
      <w:r>
        <w:rPr>
          <w:color w:val="0A0A0A"/>
        </w:rPr>
        <w:t>it is probable </w:t>
      </w:r>
      <w:r>
        <w:rPr>
          <w:color w:val="1D1D1D"/>
        </w:rPr>
        <w:t>that the Council will </w:t>
      </w:r>
      <w:r>
        <w:rPr>
          <w:color w:val="0A0A0A"/>
        </w:rPr>
        <w:t>be</w:t>
      </w:r>
      <w:r>
        <w:rPr>
          <w:color w:val="0A0A0A"/>
          <w:spacing w:val="-3"/>
        </w:rPr>
        <w:t> </w:t>
      </w:r>
      <w:r>
        <w:rPr>
          <w:color w:val="0A0A0A"/>
        </w:rPr>
        <w:t>required to settle the </w:t>
      </w:r>
      <w:r>
        <w:rPr>
          <w:color w:val="1D1D1D"/>
        </w:rPr>
        <w:t>obligation </w:t>
      </w:r>
      <w:r>
        <w:rPr>
          <w:color w:val="0A0A0A"/>
        </w:rPr>
        <w:t>and</w:t>
      </w:r>
      <w:r>
        <w:rPr>
          <w:color w:val="0A0A0A"/>
          <w:spacing w:val="-5"/>
        </w:rPr>
        <w:t> </w:t>
      </w:r>
      <w:r>
        <w:rPr>
          <w:color w:val="0A0A0A"/>
        </w:rPr>
        <w:t>a</w:t>
      </w:r>
      <w:r>
        <w:rPr>
          <w:color w:val="0A0A0A"/>
          <w:spacing w:val="-13"/>
        </w:rPr>
        <w:t> </w:t>
      </w:r>
      <w:r>
        <w:rPr>
          <w:color w:val="1D1D1D"/>
        </w:rPr>
        <w:t>reliable</w:t>
      </w:r>
      <w:r>
        <w:rPr>
          <w:color w:val="1D1D1D"/>
          <w:spacing w:val="-2"/>
        </w:rPr>
        <w:t> </w:t>
      </w:r>
      <w:r>
        <w:rPr>
          <w:color w:val="1D1D1D"/>
        </w:rPr>
        <w:t>estimate </w:t>
      </w:r>
      <w:r>
        <w:rPr>
          <w:color w:val="0A0A0A"/>
        </w:rPr>
        <w:t>can</w:t>
      </w:r>
      <w:r>
        <w:rPr>
          <w:color w:val="0A0A0A"/>
          <w:spacing w:val="-5"/>
        </w:rPr>
        <w:t> </w:t>
      </w:r>
      <w:r>
        <w:rPr>
          <w:color w:val="0A0A0A"/>
        </w:rPr>
        <w:t>be</w:t>
      </w:r>
      <w:r>
        <w:rPr>
          <w:color w:val="0A0A0A"/>
          <w:spacing w:val="-10"/>
        </w:rPr>
        <w:t> </w:t>
      </w:r>
      <w:r>
        <w:rPr>
          <w:color w:val="1D1D1D"/>
        </w:rPr>
        <w:t>made</w:t>
      </w:r>
      <w:r>
        <w:rPr>
          <w:color w:val="1D1D1D"/>
          <w:spacing w:val="-11"/>
        </w:rPr>
        <w:t> </w:t>
      </w:r>
      <w:r>
        <w:rPr>
          <w:color w:val="0A0A0A"/>
        </w:rPr>
        <w:t>of</w:t>
      </w:r>
      <w:r>
        <w:rPr>
          <w:color w:val="0A0A0A"/>
          <w:spacing w:val="-12"/>
        </w:rPr>
        <w:t> </w:t>
      </w:r>
      <w:r>
        <w:rPr>
          <w:color w:val="0A0A0A"/>
        </w:rPr>
        <w:t>the</w:t>
      </w:r>
      <w:r>
        <w:rPr>
          <w:color w:val="0A0A0A"/>
          <w:spacing w:val="-3"/>
        </w:rPr>
        <w:t> </w:t>
      </w:r>
      <w:r>
        <w:rPr>
          <w:color w:val="1D1D1D"/>
        </w:rPr>
        <w:t>obligation.</w:t>
      </w:r>
      <w:r>
        <w:rPr>
          <w:color w:val="1D1D1D"/>
          <w:spacing w:val="40"/>
        </w:rPr>
        <w:t> </w:t>
      </w:r>
      <w:r>
        <w:rPr>
          <w:color w:val="0A0A0A"/>
        </w:rPr>
        <w:t>The</w:t>
      </w:r>
      <w:r>
        <w:rPr>
          <w:color w:val="0A0A0A"/>
          <w:spacing w:val="-7"/>
        </w:rPr>
        <w:t> </w:t>
      </w:r>
      <w:r>
        <w:rPr>
          <w:color w:val="0A0A0A"/>
        </w:rPr>
        <w:t>amount </w:t>
      </w:r>
      <w:r>
        <w:rPr>
          <w:color w:val="1D1D1D"/>
        </w:rPr>
        <w:t>recognised </w:t>
      </w:r>
      <w:r>
        <w:rPr>
          <w:color w:val="0A0A0A"/>
        </w:rPr>
        <w:t>as</w:t>
      </w:r>
      <w:r>
        <w:rPr>
          <w:color w:val="0A0A0A"/>
          <w:spacing w:val="-2"/>
        </w:rPr>
        <w:t> </w:t>
      </w:r>
      <w:r>
        <w:rPr>
          <w:color w:val="0A0A0A"/>
        </w:rPr>
        <w:t>a</w:t>
      </w:r>
      <w:r>
        <w:rPr>
          <w:color w:val="0A0A0A"/>
          <w:spacing w:val="-8"/>
        </w:rPr>
        <w:t> </w:t>
      </w:r>
      <w:r>
        <w:rPr>
          <w:color w:val="0A0A0A"/>
        </w:rPr>
        <w:t>provision is</w:t>
      </w:r>
      <w:r>
        <w:rPr>
          <w:color w:val="0A0A0A"/>
          <w:spacing w:val="27"/>
        </w:rPr>
        <w:t> </w:t>
      </w:r>
      <w:r>
        <w:rPr>
          <w:color w:val="0A0A0A"/>
        </w:rPr>
        <w:t>the</w:t>
      </w:r>
      <w:r>
        <w:rPr>
          <w:color w:val="0A0A0A"/>
          <w:spacing w:val="33"/>
        </w:rPr>
        <w:t> </w:t>
      </w:r>
      <w:r>
        <w:rPr>
          <w:color w:val="0A0A0A"/>
        </w:rPr>
        <w:t>best</w:t>
      </w:r>
      <w:r>
        <w:rPr>
          <w:color w:val="0A0A0A"/>
          <w:spacing w:val="40"/>
        </w:rPr>
        <w:t> </w:t>
      </w:r>
      <w:r>
        <w:rPr>
          <w:color w:val="1D1D1D"/>
        </w:rPr>
        <w:t>estimate</w:t>
      </w:r>
      <w:r>
        <w:rPr>
          <w:color w:val="1D1D1D"/>
          <w:spacing w:val="40"/>
        </w:rPr>
        <w:t> </w:t>
      </w:r>
      <w:r>
        <w:rPr>
          <w:color w:val="0A0A0A"/>
        </w:rPr>
        <w:t>of</w:t>
      </w:r>
      <w:r>
        <w:rPr>
          <w:color w:val="0A0A0A"/>
          <w:spacing w:val="36"/>
        </w:rPr>
        <w:t> </w:t>
      </w:r>
      <w:r>
        <w:rPr>
          <w:color w:val="0A0A0A"/>
        </w:rPr>
        <w:t>the</w:t>
      </w:r>
      <w:r>
        <w:rPr>
          <w:color w:val="0A0A0A"/>
          <w:spacing w:val="39"/>
        </w:rPr>
        <w:t> </w:t>
      </w:r>
      <w:r>
        <w:rPr>
          <w:color w:val="1D1D1D"/>
        </w:rPr>
        <w:t>expenditure</w:t>
      </w:r>
      <w:r>
        <w:rPr>
          <w:color w:val="1D1D1D"/>
          <w:spacing w:val="40"/>
        </w:rPr>
        <w:t> </w:t>
      </w:r>
      <w:r>
        <w:rPr>
          <w:color w:val="1D1D1D"/>
        </w:rPr>
        <w:t>required</w:t>
      </w:r>
      <w:r>
        <w:rPr>
          <w:color w:val="1D1D1D"/>
          <w:spacing w:val="40"/>
        </w:rPr>
        <w:t> </w:t>
      </w:r>
      <w:r>
        <w:rPr>
          <w:color w:val="0A0A0A"/>
        </w:rPr>
        <w:t>to</w:t>
      </w:r>
      <w:r>
        <w:rPr>
          <w:color w:val="0A0A0A"/>
          <w:spacing w:val="35"/>
        </w:rPr>
        <w:t> </w:t>
      </w:r>
      <w:r>
        <w:rPr>
          <w:color w:val="0A0A0A"/>
        </w:rPr>
        <w:t>settle</w:t>
      </w:r>
      <w:r>
        <w:rPr>
          <w:color w:val="0A0A0A"/>
          <w:spacing w:val="29"/>
        </w:rPr>
        <w:t> </w:t>
      </w:r>
      <w:r>
        <w:rPr>
          <w:color w:val="0A0A0A"/>
        </w:rPr>
        <w:t>the</w:t>
      </w:r>
      <w:r>
        <w:rPr>
          <w:color w:val="0A0A0A"/>
          <w:spacing w:val="40"/>
        </w:rPr>
        <w:t> </w:t>
      </w:r>
      <w:r>
        <w:rPr>
          <w:color w:val="0A0A0A"/>
        </w:rPr>
        <w:t>obligation</w:t>
      </w:r>
      <w:r>
        <w:rPr>
          <w:color w:val="0A0A0A"/>
          <w:spacing w:val="40"/>
        </w:rPr>
        <w:t> </w:t>
      </w:r>
      <w:r>
        <w:rPr>
          <w:color w:val="0A0A0A"/>
        </w:rPr>
        <w:t>at</w:t>
      </w:r>
      <w:r>
        <w:rPr>
          <w:color w:val="0A0A0A"/>
          <w:spacing w:val="31"/>
        </w:rPr>
        <w:t> </w:t>
      </w:r>
      <w:r>
        <w:rPr>
          <w:color w:val="0A0A0A"/>
        </w:rPr>
        <w:t>the</w:t>
      </w:r>
      <w:r>
        <w:rPr>
          <w:color w:val="0A0A0A"/>
          <w:spacing w:val="29"/>
        </w:rPr>
        <w:t> </w:t>
      </w:r>
      <w:r>
        <w:rPr>
          <w:color w:val="0A0A0A"/>
        </w:rPr>
        <w:t>end</w:t>
      </w:r>
      <w:r>
        <w:rPr>
          <w:color w:val="0A0A0A"/>
          <w:spacing w:val="38"/>
        </w:rPr>
        <w:t> </w:t>
      </w:r>
      <w:r>
        <w:rPr>
          <w:color w:val="1D1D1D"/>
        </w:rPr>
        <w:t>of</w:t>
      </w:r>
      <w:r>
        <w:rPr>
          <w:color w:val="1D1D1D"/>
          <w:spacing w:val="35"/>
        </w:rPr>
        <w:t> </w:t>
      </w:r>
      <w:r>
        <w:rPr>
          <w:color w:val="1D1D1D"/>
        </w:rPr>
        <w:t>the </w:t>
      </w:r>
      <w:r>
        <w:rPr>
          <w:color w:val="0A0A0A"/>
        </w:rPr>
        <w:t>reporting period, taking into account</w:t>
      </w:r>
      <w:r>
        <w:rPr>
          <w:color w:val="0A0A0A"/>
          <w:spacing w:val="-1"/>
        </w:rPr>
        <w:t> </w:t>
      </w:r>
      <w:r>
        <w:rPr>
          <w:color w:val="0A0A0A"/>
        </w:rPr>
        <w:t>the</w:t>
      </w:r>
      <w:r>
        <w:rPr>
          <w:color w:val="0A0A0A"/>
          <w:spacing w:val="-11"/>
        </w:rPr>
        <w:t> </w:t>
      </w:r>
      <w:r>
        <w:rPr>
          <w:color w:val="1D1D1D"/>
        </w:rPr>
        <w:t>risks</w:t>
      </w:r>
      <w:r>
        <w:rPr>
          <w:color w:val="1D1D1D"/>
          <w:spacing w:val="-5"/>
        </w:rPr>
        <w:t> </w:t>
      </w:r>
      <w:r>
        <w:rPr>
          <w:color w:val="1D1D1D"/>
        </w:rPr>
        <w:t>and</w:t>
      </w:r>
      <w:r>
        <w:rPr>
          <w:color w:val="1D1D1D"/>
          <w:spacing w:val="-13"/>
        </w:rPr>
        <w:t> </w:t>
      </w:r>
      <w:r>
        <w:rPr>
          <w:color w:val="1D1D1D"/>
        </w:rPr>
        <w:t>uncertainties.</w:t>
      </w:r>
      <w:r>
        <w:rPr>
          <w:color w:val="1D1D1D"/>
          <w:spacing w:val="-6"/>
        </w:rPr>
        <w:t> </w:t>
      </w:r>
      <w:r>
        <w:rPr>
          <w:color w:val="0A0A0A"/>
        </w:rPr>
        <w:t>When</w:t>
      </w:r>
      <w:r>
        <w:rPr>
          <w:color w:val="0A0A0A"/>
          <w:spacing w:val="-9"/>
        </w:rPr>
        <w:t> </w:t>
      </w:r>
      <w:r>
        <w:rPr>
          <w:color w:val="1D1D1D"/>
        </w:rPr>
        <w:t>recognised, </w:t>
      </w:r>
      <w:r>
        <w:rPr>
          <w:color w:val="0A0A0A"/>
        </w:rPr>
        <w:t>provisions are</w:t>
      </w:r>
      <w:r>
        <w:rPr>
          <w:color w:val="0A0A0A"/>
          <w:spacing w:val="-1"/>
        </w:rPr>
        <w:t> </w:t>
      </w:r>
      <w:r>
        <w:rPr>
          <w:color w:val="0A0A0A"/>
        </w:rPr>
        <w:t>charged as</w:t>
      </w:r>
      <w:r>
        <w:rPr>
          <w:color w:val="0A0A0A"/>
          <w:spacing w:val="-6"/>
        </w:rPr>
        <w:t> </w:t>
      </w:r>
      <w:r>
        <w:rPr>
          <w:color w:val="0A0A0A"/>
        </w:rPr>
        <w:t>an</w:t>
      </w:r>
      <w:r>
        <w:rPr>
          <w:color w:val="0A0A0A"/>
          <w:spacing w:val="-4"/>
        </w:rPr>
        <w:t> </w:t>
      </w:r>
      <w:r>
        <w:rPr>
          <w:color w:val="0A0A0A"/>
        </w:rPr>
        <w:t>expense to</w:t>
      </w:r>
      <w:r>
        <w:rPr>
          <w:color w:val="0A0A0A"/>
          <w:spacing w:val="-3"/>
        </w:rPr>
        <w:t> </w:t>
      </w:r>
      <w:r>
        <w:rPr>
          <w:color w:val="1D1D1D"/>
        </w:rPr>
        <w:t>the</w:t>
      </w:r>
      <w:r>
        <w:rPr>
          <w:color w:val="1D1D1D"/>
          <w:spacing w:val="-2"/>
        </w:rPr>
        <w:t> </w:t>
      </w:r>
      <w:r>
        <w:rPr>
          <w:color w:val="0A0A0A"/>
        </w:rPr>
        <w:t>appropriate </w:t>
      </w:r>
      <w:r>
        <w:rPr>
          <w:color w:val="1D1D1D"/>
        </w:rPr>
        <w:t>service </w:t>
      </w:r>
      <w:r>
        <w:rPr>
          <w:color w:val="0A0A0A"/>
        </w:rPr>
        <w:t>line</w:t>
      </w:r>
      <w:r>
        <w:rPr>
          <w:color w:val="0A0A0A"/>
          <w:spacing w:val="-1"/>
        </w:rPr>
        <w:t> </w:t>
      </w:r>
      <w:r>
        <w:rPr>
          <w:color w:val="0A0A0A"/>
        </w:rPr>
        <w:t>in</w:t>
      </w:r>
      <w:r>
        <w:rPr>
          <w:color w:val="0A0A0A"/>
          <w:spacing w:val="-6"/>
        </w:rPr>
        <w:t> </w:t>
      </w:r>
      <w:r>
        <w:rPr>
          <w:color w:val="0A0A0A"/>
        </w:rPr>
        <w:t>the Comprehens</w:t>
      </w:r>
      <w:r>
        <w:rPr>
          <w:color w:val="3D3D3D"/>
        </w:rPr>
        <w:t>i</w:t>
      </w:r>
      <w:r>
        <w:rPr>
          <w:color w:val="0A0A0A"/>
        </w:rPr>
        <w:t>ve</w:t>
      </w:r>
      <w:r>
        <w:rPr>
          <w:color w:val="0A0A0A"/>
          <w:spacing w:val="-10"/>
        </w:rPr>
        <w:t> </w:t>
      </w:r>
      <w:r>
        <w:rPr>
          <w:color w:val="0A0A0A"/>
        </w:rPr>
        <w:t>Income and Expenditure Statement.</w:t>
      </w:r>
    </w:p>
    <w:p>
      <w:pPr>
        <w:pStyle w:val="BodyText"/>
        <w:spacing w:before="13"/>
      </w:pPr>
    </w:p>
    <w:p>
      <w:pPr>
        <w:spacing w:before="1"/>
        <w:ind w:left="1556" w:right="0" w:firstLine="0"/>
        <w:jc w:val="left"/>
        <w:rPr>
          <w:b/>
          <w:sz w:val="21"/>
        </w:rPr>
      </w:pPr>
      <w:r>
        <w:rPr>
          <w:b/>
          <w:color w:val="0A0A0A"/>
          <w:w w:val="105"/>
          <w:sz w:val="21"/>
        </w:rPr>
        <w:t>Financial</w:t>
      </w:r>
      <w:r>
        <w:rPr>
          <w:b/>
          <w:color w:val="0A0A0A"/>
          <w:spacing w:val="-4"/>
          <w:w w:val="105"/>
          <w:sz w:val="21"/>
        </w:rPr>
        <w:t> </w:t>
      </w:r>
      <w:r>
        <w:rPr>
          <w:b/>
          <w:color w:val="0A0A0A"/>
          <w:spacing w:val="-2"/>
          <w:w w:val="105"/>
          <w:sz w:val="21"/>
        </w:rPr>
        <w:t>guarantees</w:t>
      </w:r>
    </w:p>
    <w:p>
      <w:pPr>
        <w:pStyle w:val="BodyText"/>
        <w:spacing w:before="17"/>
        <w:rPr>
          <w:b/>
          <w:sz w:val="21"/>
        </w:rPr>
      </w:pPr>
    </w:p>
    <w:p>
      <w:pPr>
        <w:pStyle w:val="BodyText"/>
        <w:ind w:left="1534" w:right="1159" w:firstLine="13"/>
        <w:jc w:val="both"/>
      </w:pPr>
      <w:r>
        <w:rPr>
          <w:color w:val="0A0A0A"/>
        </w:rPr>
        <w:t>Financial guarantees are recognised when the Council enters into an agreement which </w:t>
      </w:r>
      <w:r>
        <w:rPr>
          <w:color w:val="1D1D1D"/>
        </w:rPr>
        <w:t>requires it </w:t>
      </w:r>
      <w:r>
        <w:rPr>
          <w:color w:val="0A0A0A"/>
        </w:rPr>
        <w:t>to make specified payments to reimburse </w:t>
      </w:r>
      <w:r>
        <w:rPr>
          <w:color w:val="1D1D1D"/>
        </w:rPr>
        <w:t>the other party to the agreement for </w:t>
      </w:r>
      <w:r>
        <w:rPr>
          <w:color w:val="0A0A0A"/>
        </w:rPr>
        <w:t>a </w:t>
      </w:r>
      <w:r>
        <w:rPr>
          <w:color w:val="1D1D1D"/>
        </w:rPr>
        <w:t>loss </w:t>
      </w:r>
      <w:r>
        <w:rPr>
          <w:color w:val="0A0A0A"/>
        </w:rPr>
        <w:t>that party incurs because a specified </w:t>
      </w:r>
      <w:r>
        <w:rPr>
          <w:color w:val="1D1D1D"/>
        </w:rPr>
        <w:t>debtor fails to make payment when due in </w:t>
      </w:r>
      <w:r>
        <w:rPr>
          <w:color w:val="0A0A0A"/>
        </w:rPr>
        <w:t>accordance with the original or</w:t>
      </w:r>
      <w:r>
        <w:rPr>
          <w:color w:val="0A0A0A"/>
          <w:spacing w:val="-1"/>
        </w:rPr>
        <w:t> </w:t>
      </w:r>
      <w:r>
        <w:rPr>
          <w:color w:val="0A0A0A"/>
        </w:rPr>
        <w:t>modified terms </w:t>
      </w:r>
      <w:r>
        <w:rPr>
          <w:color w:val="1D1D1D"/>
        </w:rPr>
        <w:t>of a debt instrument.</w:t>
      </w:r>
      <w:r>
        <w:rPr>
          <w:color w:val="1D1D1D"/>
          <w:spacing w:val="40"/>
        </w:rPr>
        <w:t> </w:t>
      </w:r>
      <w:r>
        <w:rPr>
          <w:color w:val="1D1D1D"/>
        </w:rPr>
        <w:t>Initial</w:t>
      </w:r>
      <w:r>
        <w:rPr>
          <w:color w:val="1D1D1D"/>
          <w:spacing w:val="-6"/>
        </w:rPr>
        <w:t> </w:t>
      </w:r>
      <w:r>
        <w:rPr>
          <w:color w:val="1D1D1D"/>
        </w:rPr>
        <w:t>recognition of the </w:t>
      </w:r>
      <w:r>
        <w:rPr>
          <w:color w:val="0A0A0A"/>
        </w:rPr>
        <w:t>guarantee is</w:t>
      </w:r>
      <w:r>
        <w:rPr>
          <w:color w:val="0A0A0A"/>
          <w:spacing w:val="-11"/>
        </w:rPr>
        <w:t> </w:t>
      </w:r>
      <w:r>
        <w:rPr>
          <w:color w:val="0A0A0A"/>
        </w:rPr>
        <w:t>at</w:t>
      </w:r>
      <w:r>
        <w:rPr>
          <w:color w:val="0A0A0A"/>
          <w:spacing w:val="-16"/>
        </w:rPr>
        <w:t> </w:t>
      </w:r>
      <w:r>
        <w:rPr>
          <w:color w:val="0A0A0A"/>
        </w:rPr>
        <w:t>fair</w:t>
      </w:r>
      <w:r>
        <w:rPr>
          <w:color w:val="0A0A0A"/>
          <w:spacing w:val="-3"/>
        </w:rPr>
        <w:t> </w:t>
      </w:r>
      <w:r>
        <w:rPr>
          <w:color w:val="0A0A0A"/>
        </w:rPr>
        <w:t>value</w:t>
      </w:r>
      <w:r>
        <w:rPr>
          <w:color w:val="0A0A0A"/>
          <w:spacing w:val="-6"/>
        </w:rPr>
        <w:t> </w:t>
      </w:r>
      <w:r>
        <w:rPr>
          <w:color w:val="0A0A0A"/>
        </w:rPr>
        <w:t>based</w:t>
      </w:r>
      <w:r>
        <w:rPr>
          <w:color w:val="0A0A0A"/>
          <w:spacing w:val="-4"/>
        </w:rPr>
        <w:t> </w:t>
      </w:r>
      <w:r>
        <w:rPr>
          <w:color w:val="0A0A0A"/>
        </w:rPr>
        <w:t>on</w:t>
      </w:r>
      <w:r>
        <w:rPr>
          <w:color w:val="0A0A0A"/>
          <w:spacing w:val="-11"/>
        </w:rPr>
        <w:t> </w:t>
      </w:r>
      <w:r>
        <w:rPr>
          <w:color w:val="0A0A0A"/>
        </w:rPr>
        <w:t>an</w:t>
      </w:r>
      <w:r>
        <w:rPr>
          <w:color w:val="0A0A0A"/>
          <w:spacing w:val="-16"/>
        </w:rPr>
        <w:t> </w:t>
      </w:r>
      <w:r>
        <w:rPr>
          <w:color w:val="0A0A0A"/>
        </w:rPr>
        <w:t>estimate of</w:t>
      </w:r>
      <w:r>
        <w:rPr>
          <w:color w:val="0A0A0A"/>
          <w:spacing w:val="-13"/>
        </w:rPr>
        <w:t> </w:t>
      </w:r>
      <w:r>
        <w:rPr>
          <w:color w:val="0A0A0A"/>
        </w:rPr>
        <w:t>the</w:t>
      </w:r>
      <w:r>
        <w:rPr>
          <w:color w:val="0A0A0A"/>
          <w:spacing w:val="-7"/>
        </w:rPr>
        <w:t> </w:t>
      </w:r>
      <w:r>
        <w:rPr>
          <w:color w:val="0A0A0A"/>
        </w:rPr>
        <w:t>probability of</w:t>
      </w:r>
      <w:r>
        <w:rPr>
          <w:color w:val="0A0A0A"/>
          <w:spacing w:val="-13"/>
        </w:rPr>
        <w:t> </w:t>
      </w:r>
      <w:r>
        <w:rPr>
          <w:color w:val="0A0A0A"/>
        </w:rPr>
        <w:t>the</w:t>
      </w:r>
      <w:r>
        <w:rPr>
          <w:color w:val="0A0A0A"/>
          <w:spacing w:val="-11"/>
        </w:rPr>
        <w:t> </w:t>
      </w:r>
      <w:r>
        <w:rPr>
          <w:color w:val="0A0A0A"/>
        </w:rPr>
        <w:t>guarantee being</w:t>
      </w:r>
      <w:r>
        <w:rPr>
          <w:color w:val="0A0A0A"/>
          <w:spacing w:val="-11"/>
        </w:rPr>
        <w:t> </w:t>
      </w:r>
      <w:r>
        <w:rPr>
          <w:color w:val="0A0A0A"/>
        </w:rPr>
        <w:t>called and the likely amount payable</w:t>
      </w:r>
    </w:p>
    <w:p>
      <w:pPr>
        <w:pStyle w:val="BodyText"/>
        <w:spacing w:before="7"/>
      </w:pPr>
    </w:p>
    <w:p>
      <w:pPr>
        <w:pStyle w:val="BodyText"/>
        <w:ind w:left="1517" w:right="1167" w:firstLine="9"/>
        <w:jc w:val="both"/>
      </w:pPr>
      <w:r>
        <w:rPr>
          <w:color w:val="0A0A0A"/>
        </w:rPr>
        <w:t>In subsequent years the fair value of the guarantee is amortised over the period of the underlying risk exposure to</w:t>
      </w:r>
      <w:r>
        <w:rPr>
          <w:color w:val="0A0A0A"/>
          <w:spacing w:val="-2"/>
        </w:rPr>
        <w:t> </w:t>
      </w:r>
      <w:r>
        <w:rPr>
          <w:color w:val="0A0A0A"/>
        </w:rPr>
        <w:t>the extent that </w:t>
      </w:r>
      <w:r>
        <w:rPr>
          <w:color w:val="1D1D1D"/>
        </w:rPr>
        <w:t>the</w:t>
      </w:r>
      <w:r>
        <w:rPr>
          <w:color w:val="1D1D1D"/>
          <w:spacing w:val="-1"/>
        </w:rPr>
        <w:t> </w:t>
      </w:r>
      <w:r>
        <w:rPr>
          <w:color w:val="0A0A0A"/>
        </w:rPr>
        <w:t>exposure </w:t>
      </w:r>
      <w:r>
        <w:rPr>
          <w:color w:val="1D1D1D"/>
        </w:rPr>
        <w:t>is </w:t>
      </w:r>
      <w:r>
        <w:rPr>
          <w:color w:val="0A0A0A"/>
        </w:rPr>
        <w:t>expected </w:t>
      </w:r>
      <w:r>
        <w:rPr>
          <w:color w:val="1D1D1D"/>
        </w:rPr>
        <w:t>to </w:t>
      </w:r>
      <w:r>
        <w:rPr>
          <w:color w:val="0A0A0A"/>
        </w:rPr>
        <w:t>fall</w:t>
      </w:r>
      <w:r>
        <w:rPr>
          <w:color w:val="0A0A0A"/>
          <w:spacing w:val="-2"/>
        </w:rPr>
        <w:t> </w:t>
      </w:r>
      <w:r>
        <w:rPr>
          <w:color w:val="0A0A0A"/>
        </w:rPr>
        <w:t>over </w:t>
      </w:r>
      <w:r>
        <w:rPr>
          <w:color w:val="1D1D1D"/>
        </w:rPr>
        <w:t>the</w:t>
      </w:r>
      <w:r>
        <w:rPr>
          <w:color w:val="1D1D1D"/>
          <w:spacing w:val="-2"/>
        </w:rPr>
        <w:t> </w:t>
      </w:r>
      <w:r>
        <w:rPr>
          <w:color w:val="1D1D1D"/>
        </w:rPr>
        <w:t>life</w:t>
      </w:r>
      <w:r>
        <w:rPr>
          <w:color w:val="1D1D1D"/>
          <w:spacing w:val="-5"/>
        </w:rPr>
        <w:t> </w:t>
      </w:r>
      <w:r>
        <w:rPr>
          <w:color w:val="0A0A0A"/>
        </w:rPr>
        <w:t>of</w:t>
      </w:r>
      <w:r>
        <w:rPr>
          <w:color w:val="0A0A0A"/>
          <w:spacing w:val="-2"/>
        </w:rPr>
        <w:t> </w:t>
      </w:r>
      <w:r>
        <w:rPr>
          <w:color w:val="0A0A0A"/>
        </w:rPr>
        <w:t>the </w:t>
      </w:r>
      <w:r>
        <w:rPr>
          <w:color w:val="1D1D1D"/>
        </w:rPr>
        <w:t>guarantee</w:t>
      </w:r>
      <w:r>
        <w:rPr>
          <w:color w:val="4F4F4F"/>
        </w:rPr>
        <w:t>. </w:t>
      </w:r>
      <w:r>
        <w:rPr>
          <w:color w:val="1D1D1D"/>
        </w:rPr>
        <w:t>Where payment of the guarantee becomes </w:t>
      </w:r>
      <w:r>
        <w:rPr>
          <w:color w:val="0A0A0A"/>
        </w:rPr>
        <w:t>probable</w:t>
      </w:r>
      <w:r>
        <w:rPr>
          <w:color w:val="4F4F4F"/>
        </w:rPr>
        <w:t>, </w:t>
      </w:r>
      <w:r>
        <w:rPr>
          <w:color w:val="0A0A0A"/>
        </w:rPr>
        <w:t>the fair </w:t>
      </w:r>
      <w:r>
        <w:rPr>
          <w:color w:val="1D1D1D"/>
        </w:rPr>
        <w:t>value </w:t>
      </w:r>
      <w:r>
        <w:rPr>
          <w:color w:val="0A0A0A"/>
        </w:rPr>
        <w:t>of the </w:t>
      </w:r>
      <w:r>
        <w:rPr>
          <w:color w:val="1D1D1D"/>
        </w:rPr>
        <w:t>guarantee will be deemed to be equivalent to </w:t>
      </w:r>
      <w:r>
        <w:rPr>
          <w:color w:val="0A0A0A"/>
        </w:rPr>
        <w:t>the amount that would be determined for a </w:t>
      </w:r>
      <w:r>
        <w:rPr>
          <w:color w:val="1D1D1D"/>
        </w:rPr>
        <w:t>provision in accordance with </w:t>
      </w:r>
      <w:r>
        <w:rPr>
          <w:color w:val="0A0A0A"/>
        </w:rPr>
        <w:t>International Accounting Standard (IAS) 37, Provisions, </w:t>
      </w:r>
      <w:r>
        <w:rPr>
          <w:color w:val="1D1D1D"/>
        </w:rPr>
        <w:t>Contingent Liabilities and Contingent Assets.</w:t>
      </w:r>
    </w:p>
    <w:p>
      <w:pPr>
        <w:pStyle w:val="BodyText"/>
        <w:spacing w:before="11"/>
      </w:pPr>
    </w:p>
    <w:p>
      <w:pPr>
        <w:spacing w:before="1"/>
        <w:ind w:left="1508" w:right="0" w:firstLine="0"/>
        <w:jc w:val="left"/>
        <w:rPr>
          <w:b/>
          <w:sz w:val="21"/>
        </w:rPr>
      </w:pPr>
      <w:r>
        <w:rPr>
          <w:b/>
          <w:color w:val="0A0A0A"/>
          <w:spacing w:val="-2"/>
          <w:w w:val="105"/>
          <w:sz w:val="21"/>
        </w:rPr>
        <w:t>Inventories</w:t>
      </w:r>
    </w:p>
    <w:p>
      <w:pPr>
        <w:pStyle w:val="BodyText"/>
        <w:spacing w:before="19"/>
        <w:rPr>
          <w:b/>
          <w:sz w:val="21"/>
        </w:rPr>
      </w:pPr>
    </w:p>
    <w:p>
      <w:pPr>
        <w:pStyle w:val="BodyText"/>
        <w:spacing w:line="237" w:lineRule="auto"/>
        <w:ind w:left="1500" w:right="1172" w:hanging="3"/>
      </w:pPr>
      <w:r>
        <w:rPr>
          <w:color w:val="0A0A0A"/>
        </w:rPr>
        <w:t>Inventories</w:t>
      </w:r>
      <w:r>
        <w:rPr>
          <w:color w:val="0A0A0A"/>
          <w:spacing w:val="32"/>
        </w:rPr>
        <w:t> </w:t>
      </w:r>
      <w:r>
        <w:rPr>
          <w:color w:val="0A0A0A"/>
        </w:rPr>
        <w:t>are valued at the lower of cost or net realisable</w:t>
      </w:r>
      <w:r>
        <w:rPr>
          <w:color w:val="0A0A0A"/>
          <w:spacing w:val="31"/>
        </w:rPr>
        <w:t> </w:t>
      </w:r>
      <w:r>
        <w:rPr>
          <w:color w:val="0A0A0A"/>
        </w:rPr>
        <w:t>value</w:t>
      </w:r>
      <w:r>
        <w:rPr>
          <w:color w:val="4F4F4F"/>
        </w:rPr>
        <w:t>,</w:t>
      </w:r>
      <w:r>
        <w:rPr>
          <w:color w:val="4F4F4F"/>
          <w:spacing w:val="-1"/>
        </w:rPr>
        <w:t> </w:t>
      </w:r>
      <w:r>
        <w:rPr>
          <w:color w:val="0A0A0A"/>
        </w:rPr>
        <w:t>using the first-in,</w:t>
      </w:r>
      <w:r>
        <w:rPr>
          <w:color w:val="0A0A0A"/>
          <w:spacing w:val="26"/>
        </w:rPr>
        <w:t> </w:t>
      </w:r>
      <w:r>
        <w:rPr>
          <w:color w:val="0A0A0A"/>
        </w:rPr>
        <w:t>first-out (FIFO) method.</w:t>
      </w:r>
    </w:p>
    <w:p>
      <w:pPr>
        <w:pStyle w:val="BodyText"/>
        <w:spacing w:before="7"/>
      </w:pPr>
    </w:p>
    <w:p>
      <w:pPr>
        <w:spacing w:before="1"/>
        <w:ind w:left="1489" w:right="0" w:firstLine="0"/>
        <w:jc w:val="left"/>
        <w:rPr>
          <w:b/>
          <w:sz w:val="21"/>
        </w:rPr>
      </w:pPr>
      <w:r>
        <w:rPr>
          <w:b/>
          <w:color w:val="0A0A0A"/>
          <w:w w:val="105"/>
          <w:sz w:val="21"/>
        </w:rPr>
        <w:t>Cost</w:t>
      </w:r>
      <w:r>
        <w:rPr>
          <w:b/>
          <w:color w:val="0A0A0A"/>
          <w:spacing w:val="9"/>
          <w:w w:val="105"/>
          <w:sz w:val="21"/>
        </w:rPr>
        <w:t> </w:t>
      </w:r>
      <w:r>
        <w:rPr>
          <w:b/>
          <w:color w:val="0A0A0A"/>
          <w:w w:val="105"/>
          <w:sz w:val="21"/>
        </w:rPr>
        <w:t>of</w:t>
      </w:r>
      <w:r>
        <w:rPr>
          <w:b/>
          <w:color w:val="0A0A0A"/>
          <w:spacing w:val="-5"/>
          <w:w w:val="105"/>
          <w:sz w:val="21"/>
        </w:rPr>
        <w:t> </w:t>
      </w:r>
      <w:r>
        <w:rPr>
          <w:b/>
          <w:color w:val="0A0A0A"/>
          <w:w w:val="105"/>
          <w:sz w:val="21"/>
        </w:rPr>
        <w:t>Support</w:t>
      </w:r>
      <w:r>
        <w:rPr>
          <w:b/>
          <w:color w:val="0A0A0A"/>
          <w:spacing w:val="7"/>
          <w:w w:val="105"/>
          <w:sz w:val="21"/>
        </w:rPr>
        <w:t> </w:t>
      </w:r>
      <w:r>
        <w:rPr>
          <w:b/>
          <w:color w:val="0A0A0A"/>
          <w:spacing w:val="-2"/>
          <w:w w:val="105"/>
          <w:sz w:val="21"/>
        </w:rPr>
        <w:t>Services</w:t>
      </w:r>
    </w:p>
    <w:p>
      <w:pPr>
        <w:pStyle w:val="BodyText"/>
        <w:spacing w:before="12"/>
        <w:rPr>
          <w:b/>
          <w:sz w:val="21"/>
        </w:rPr>
      </w:pPr>
    </w:p>
    <w:p>
      <w:pPr>
        <w:pStyle w:val="BodyText"/>
        <w:ind w:left="1481" w:right="1182" w:firstLine="7"/>
        <w:jc w:val="both"/>
      </w:pPr>
      <w:r>
        <w:rPr>
          <w:color w:val="1D1D1D"/>
        </w:rPr>
        <w:t>The 2022/23 </w:t>
      </w:r>
      <w:r>
        <w:rPr>
          <w:color w:val="0A0A0A"/>
        </w:rPr>
        <w:t>Accounting Code </w:t>
      </w:r>
      <w:r>
        <w:rPr>
          <w:color w:val="1D1D1D"/>
        </w:rPr>
        <w:t>of Practice requires the segmental analysis and amounts disclosed in the </w:t>
      </w:r>
      <w:r>
        <w:rPr>
          <w:color w:val="0A0A0A"/>
        </w:rPr>
        <w:t>Comprehensive </w:t>
      </w:r>
      <w:r>
        <w:rPr>
          <w:color w:val="1D1D1D"/>
        </w:rPr>
        <w:t>Income and Expenditure Statement to </w:t>
      </w:r>
      <w:r>
        <w:rPr>
          <w:color w:val="0A0A0A"/>
        </w:rPr>
        <w:t>be </w:t>
      </w:r>
      <w:r>
        <w:rPr>
          <w:color w:val="1D1D1D"/>
        </w:rPr>
        <w:t>based on the </w:t>
      </w:r>
      <w:r>
        <w:rPr>
          <w:color w:val="0A0A0A"/>
        </w:rPr>
        <w:t>Council</w:t>
      </w:r>
      <w:r>
        <w:rPr>
          <w:color w:val="4F4F4F"/>
        </w:rPr>
        <w:t>'</w:t>
      </w:r>
      <w:r>
        <w:rPr>
          <w:color w:val="1D1D1D"/>
        </w:rPr>
        <w:t>s financial monitoring reporting process. The cost of support </w:t>
      </w:r>
      <w:r>
        <w:rPr>
          <w:color w:val="0A0A0A"/>
        </w:rPr>
        <w:t>services</w:t>
      </w:r>
      <w:r>
        <w:rPr>
          <w:color w:val="3D3D3D"/>
        </w:rPr>
        <w:t>, </w:t>
      </w:r>
      <w:r>
        <w:rPr>
          <w:color w:val="1D1D1D"/>
        </w:rPr>
        <w:t>with the </w:t>
      </w:r>
      <w:r>
        <w:rPr>
          <w:color w:val="0A0A0A"/>
        </w:rPr>
        <w:t>exception of</w:t>
      </w:r>
      <w:r>
        <w:rPr>
          <w:color w:val="0A0A0A"/>
          <w:spacing w:val="-7"/>
        </w:rPr>
        <w:t> </w:t>
      </w:r>
      <w:r>
        <w:rPr>
          <w:color w:val="0A0A0A"/>
        </w:rPr>
        <w:t>those recharged to</w:t>
      </w:r>
      <w:r>
        <w:rPr>
          <w:color w:val="0A0A0A"/>
          <w:spacing w:val="-12"/>
        </w:rPr>
        <w:t> </w:t>
      </w:r>
      <w:r>
        <w:rPr>
          <w:color w:val="0A0A0A"/>
        </w:rPr>
        <w:t>trading accounts which</w:t>
      </w:r>
      <w:r>
        <w:rPr>
          <w:color w:val="0A0A0A"/>
          <w:spacing w:val="-2"/>
        </w:rPr>
        <w:t> </w:t>
      </w:r>
      <w:r>
        <w:rPr>
          <w:color w:val="0A0A0A"/>
        </w:rPr>
        <w:t>are</w:t>
      </w:r>
      <w:r>
        <w:rPr>
          <w:color w:val="0A0A0A"/>
          <w:spacing w:val="-7"/>
        </w:rPr>
        <w:t> </w:t>
      </w:r>
      <w:r>
        <w:rPr>
          <w:color w:val="0A0A0A"/>
        </w:rPr>
        <w:t>required</w:t>
      </w:r>
      <w:r>
        <w:rPr>
          <w:color w:val="0A0A0A"/>
          <w:spacing w:val="-7"/>
        </w:rPr>
        <w:t> </w:t>
      </w:r>
      <w:r>
        <w:rPr>
          <w:color w:val="0A0A0A"/>
        </w:rPr>
        <w:t>to</w:t>
      </w:r>
      <w:r>
        <w:rPr>
          <w:color w:val="0A0A0A"/>
          <w:spacing w:val="-9"/>
        </w:rPr>
        <w:t> </w:t>
      </w:r>
      <w:r>
        <w:rPr>
          <w:color w:val="0A0A0A"/>
        </w:rPr>
        <w:t>be</w:t>
      </w:r>
      <w:r>
        <w:rPr>
          <w:color w:val="0A0A0A"/>
          <w:spacing w:val="-11"/>
        </w:rPr>
        <w:t> </w:t>
      </w:r>
      <w:r>
        <w:rPr>
          <w:color w:val="0A0A0A"/>
        </w:rPr>
        <w:t>disclosed on</w:t>
      </w:r>
      <w:r>
        <w:rPr>
          <w:color w:val="0A0A0A"/>
          <w:spacing w:val="-9"/>
        </w:rPr>
        <w:t> </w:t>
      </w:r>
      <w:r>
        <w:rPr>
          <w:color w:val="0A0A0A"/>
        </w:rPr>
        <w:t>a</w:t>
      </w:r>
      <w:r>
        <w:rPr>
          <w:color w:val="0A0A0A"/>
          <w:spacing w:val="-10"/>
        </w:rPr>
        <w:t> </w:t>
      </w:r>
      <w:r>
        <w:rPr>
          <w:color w:val="0A0A0A"/>
        </w:rPr>
        <w:t>total</w:t>
      </w:r>
    </w:p>
    <w:p>
      <w:pPr>
        <w:spacing w:after="0"/>
        <w:jc w:val="both"/>
        <w:sectPr>
          <w:headerReference w:type="even" r:id="rId97"/>
          <w:pgSz w:w="11910" w:h="16830"/>
          <w:pgMar w:top="900" w:right="100" w:bottom="1180" w:left="20" w:header="0" w:footer="0"/>
        </w:sectPr>
      </w:pPr>
    </w:p>
    <w:p>
      <w:pPr>
        <w:pStyle w:val="BodyText"/>
        <w:spacing w:before="235" w:line="237" w:lineRule="auto"/>
        <w:ind w:left="1409" w:right="1350" w:firstLine="3"/>
        <w:jc w:val="both"/>
      </w:pPr>
      <w:r>
        <w:rPr>
          <w:color w:val="0C0C0C"/>
        </w:rPr>
        <w:t>cost basis, are not reallocated and are disclosed in the Comprehensive Income and Expenditure segment that hosts the support service.</w:t>
      </w:r>
    </w:p>
    <w:p>
      <w:pPr>
        <w:pStyle w:val="Heading3"/>
        <w:spacing w:before="251"/>
        <w:ind w:left="1411"/>
      </w:pPr>
      <w:r>
        <w:rPr>
          <w:color w:val="0C0C0C"/>
        </w:rPr>
        <w:t>Contingent</w:t>
      </w:r>
      <w:r>
        <w:rPr>
          <w:color w:val="0C0C0C"/>
          <w:spacing w:val="4"/>
        </w:rPr>
        <w:t> </w:t>
      </w:r>
      <w:r>
        <w:rPr>
          <w:color w:val="0C0C0C"/>
        </w:rPr>
        <w:t>Assets</w:t>
      </w:r>
      <w:r>
        <w:rPr>
          <w:color w:val="0C0C0C"/>
          <w:spacing w:val="-4"/>
        </w:rPr>
        <w:t> </w:t>
      </w:r>
      <w:r>
        <w:rPr>
          <w:color w:val="0C0C0C"/>
        </w:rPr>
        <w:t>&amp;</w:t>
      </w:r>
      <w:r>
        <w:rPr>
          <w:color w:val="0C0C0C"/>
          <w:spacing w:val="-15"/>
        </w:rPr>
        <w:t> </w:t>
      </w:r>
      <w:r>
        <w:rPr>
          <w:color w:val="0C0C0C"/>
          <w:spacing w:val="-2"/>
        </w:rPr>
        <w:t>Liabilities</w:t>
      </w:r>
    </w:p>
    <w:p>
      <w:pPr>
        <w:pStyle w:val="BodyText"/>
        <w:spacing w:before="3"/>
        <w:rPr>
          <w:b/>
        </w:rPr>
      </w:pPr>
    </w:p>
    <w:p>
      <w:pPr>
        <w:pStyle w:val="BodyText"/>
        <w:ind w:left="1415" w:right="1340" w:hanging="4"/>
        <w:jc w:val="both"/>
      </w:pPr>
      <w:r>
        <w:rPr>
          <w:color w:val="0C0C0C"/>
        </w:rPr>
        <w:t>Contingent</w:t>
      </w:r>
      <w:r>
        <w:rPr>
          <w:color w:val="0C0C0C"/>
          <w:spacing w:val="-16"/>
        </w:rPr>
        <w:t> </w:t>
      </w:r>
      <w:r>
        <w:rPr>
          <w:color w:val="0C0C0C"/>
        </w:rPr>
        <w:t>assets</w:t>
      </w:r>
      <w:r>
        <w:rPr>
          <w:color w:val="0C0C0C"/>
          <w:spacing w:val="-11"/>
        </w:rPr>
        <w:t> </w:t>
      </w:r>
      <w:r>
        <w:rPr>
          <w:color w:val="0C0C0C"/>
        </w:rPr>
        <w:t>and</w:t>
      </w:r>
      <w:r>
        <w:rPr>
          <w:color w:val="0C0C0C"/>
          <w:spacing w:val="-15"/>
        </w:rPr>
        <w:t> </w:t>
      </w:r>
      <w:r>
        <w:rPr>
          <w:color w:val="0C0C0C"/>
        </w:rPr>
        <w:t>liabilities</w:t>
      </w:r>
      <w:r>
        <w:rPr>
          <w:color w:val="0C0C0C"/>
          <w:spacing w:val="-6"/>
        </w:rPr>
        <w:t> </w:t>
      </w:r>
      <w:r>
        <w:rPr>
          <w:color w:val="0C0C0C"/>
        </w:rPr>
        <w:t>arise</w:t>
      </w:r>
      <w:r>
        <w:rPr>
          <w:color w:val="0C0C0C"/>
          <w:spacing w:val="-12"/>
        </w:rPr>
        <w:t> </w:t>
      </w:r>
      <w:r>
        <w:rPr>
          <w:color w:val="0C0C0C"/>
        </w:rPr>
        <w:t>from</w:t>
      </w:r>
      <w:r>
        <w:rPr>
          <w:color w:val="0C0C0C"/>
          <w:spacing w:val="-16"/>
        </w:rPr>
        <w:t> </w:t>
      </w:r>
      <w:r>
        <w:rPr>
          <w:color w:val="0C0C0C"/>
        </w:rPr>
        <w:t>past</w:t>
      </w:r>
      <w:r>
        <w:rPr>
          <w:color w:val="0C0C0C"/>
          <w:spacing w:val="-9"/>
        </w:rPr>
        <w:t> </w:t>
      </w:r>
      <w:r>
        <w:rPr>
          <w:color w:val="0C0C0C"/>
        </w:rPr>
        <w:t>events</w:t>
      </w:r>
      <w:r>
        <w:rPr>
          <w:color w:val="0C0C0C"/>
          <w:spacing w:val="-16"/>
        </w:rPr>
        <w:t> </w:t>
      </w:r>
      <w:r>
        <w:rPr>
          <w:color w:val="0C0C0C"/>
        </w:rPr>
        <w:t>but</w:t>
      </w:r>
      <w:r>
        <w:rPr>
          <w:color w:val="0C0C0C"/>
          <w:spacing w:val="-12"/>
        </w:rPr>
        <w:t> </w:t>
      </w:r>
      <w:r>
        <w:rPr>
          <w:color w:val="1C1C1C"/>
        </w:rPr>
        <w:t>where</w:t>
      </w:r>
      <w:r>
        <w:rPr>
          <w:color w:val="1C1C1C"/>
          <w:spacing w:val="-10"/>
        </w:rPr>
        <w:t> </w:t>
      </w:r>
      <w:r>
        <w:rPr>
          <w:color w:val="0C0C0C"/>
        </w:rPr>
        <w:t>the</w:t>
      </w:r>
      <w:r>
        <w:rPr>
          <w:color w:val="0C0C0C"/>
          <w:spacing w:val="-16"/>
        </w:rPr>
        <w:t> </w:t>
      </w:r>
      <w:r>
        <w:rPr>
          <w:color w:val="0C0C0C"/>
        </w:rPr>
        <w:t>future</w:t>
      </w:r>
      <w:r>
        <w:rPr>
          <w:color w:val="0C0C0C"/>
          <w:spacing w:val="-15"/>
        </w:rPr>
        <w:t> </w:t>
      </w:r>
      <w:r>
        <w:rPr>
          <w:color w:val="0C0C0C"/>
        </w:rPr>
        <w:t>asset</w:t>
      </w:r>
      <w:r>
        <w:rPr>
          <w:color w:val="0C0C0C"/>
          <w:spacing w:val="-8"/>
        </w:rPr>
        <w:t> </w:t>
      </w:r>
      <w:r>
        <w:rPr>
          <w:color w:val="0C0C0C"/>
        </w:rPr>
        <w:t>or</w:t>
      </w:r>
      <w:r>
        <w:rPr>
          <w:color w:val="0C0C0C"/>
          <w:spacing w:val="-15"/>
        </w:rPr>
        <w:t> </w:t>
      </w:r>
      <w:r>
        <w:rPr>
          <w:color w:val="0C0C0C"/>
        </w:rPr>
        <w:t>obligation are</w:t>
      </w:r>
      <w:r>
        <w:rPr>
          <w:color w:val="0C0C0C"/>
          <w:spacing w:val="-16"/>
        </w:rPr>
        <w:t> </w:t>
      </w:r>
      <w:r>
        <w:rPr>
          <w:color w:val="0C0C0C"/>
        </w:rPr>
        <w:t>uncertain</w:t>
      </w:r>
      <w:r>
        <w:rPr>
          <w:color w:val="0C0C0C"/>
          <w:spacing w:val="-15"/>
        </w:rPr>
        <w:t> </w:t>
      </w:r>
      <w:r>
        <w:rPr>
          <w:color w:val="0C0C0C"/>
        </w:rPr>
        <w:t>and</w:t>
      </w:r>
      <w:r>
        <w:rPr>
          <w:color w:val="0C0C0C"/>
          <w:spacing w:val="-15"/>
        </w:rPr>
        <w:t> </w:t>
      </w:r>
      <w:r>
        <w:rPr>
          <w:color w:val="0C0C0C"/>
        </w:rPr>
        <w:t>cannot</w:t>
      </w:r>
      <w:r>
        <w:rPr>
          <w:color w:val="0C0C0C"/>
          <w:spacing w:val="-16"/>
        </w:rPr>
        <w:t> </w:t>
      </w:r>
      <w:r>
        <w:rPr>
          <w:color w:val="0C0C0C"/>
        </w:rPr>
        <w:t>be</w:t>
      </w:r>
      <w:r>
        <w:rPr>
          <w:color w:val="0C0C0C"/>
          <w:spacing w:val="-15"/>
        </w:rPr>
        <w:t> </w:t>
      </w:r>
      <w:r>
        <w:rPr>
          <w:color w:val="0C0C0C"/>
        </w:rPr>
        <w:t>reliably</w:t>
      </w:r>
      <w:r>
        <w:rPr>
          <w:color w:val="0C0C0C"/>
          <w:spacing w:val="-14"/>
        </w:rPr>
        <w:t> </w:t>
      </w:r>
      <w:r>
        <w:rPr>
          <w:color w:val="0C0C0C"/>
        </w:rPr>
        <w:t>ascertained.</w:t>
      </w:r>
      <w:r>
        <w:rPr>
          <w:color w:val="0C0C0C"/>
          <w:spacing w:val="40"/>
        </w:rPr>
        <w:t> </w:t>
      </w:r>
      <w:r>
        <w:rPr>
          <w:color w:val="1C1C1C"/>
        </w:rPr>
        <w:t>Material</w:t>
      </w:r>
      <w:r>
        <w:rPr>
          <w:color w:val="1C1C1C"/>
          <w:spacing w:val="-9"/>
        </w:rPr>
        <w:t> </w:t>
      </w:r>
      <w:r>
        <w:rPr>
          <w:color w:val="1C1C1C"/>
        </w:rPr>
        <w:t>contingent assets</w:t>
      </w:r>
      <w:r>
        <w:rPr>
          <w:color w:val="1C1C1C"/>
          <w:spacing w:val="-14"/>
        </w:rPr>
        <w:t> </w:t>
      </w:r>
      <w:r>
        <w:rPr>
          <w:color w:val="0C0C0C"/>
        </w:rPr>
        <w:t>and</w:t>
      </w:r>
      <w:r>
        <w:rPr>
          <w:color w:val="0C0C0C"/>
          <w:spacing w:val="-16"/>
        </w:rPr>
        <w:t> </w:t>
      </w:r>
      <w:r>
        <w:rPr>
          <w:color w:val="0C0C0C"/>
        </w:rPr>
        <w:t>liabilities</w:t>
      </w:r>
      <w:r>
        <w:rPr>
          <w:color w:val="0C0C0C"/>
          <w:spacing w:val="-6"/>
        </w:rPr>
        <w:t> </w:t>
      </w:r>
      <w:r>
        <w:rPr>
          <w:color w:val="0C0C0C"/>
        </w:rPr>
        <w:t>are disclosed</w:t>
      </w:r>
      <w:r>
        <w:rPr>
          <w:color w:val="0C0C0C"/>
          <w:spacing w:val="-8"/>
        </w:rPr>
        <w:t> </w:t>
      </w:r>
      <w:r>
        <w:rPr>
          <w:color w:val="0C0C0C"/>
        </w:rPr>
        <w:t>in</w:t>
      </w:r>
      <w:r>
        <w:rPr>
          <w:color w:val="0C0C0C"/>
          <w:spacing w:val="-27"/>
        </w:rPr>
        <w:t> </w:t>
      </w:r>
      <w:r>
        <w:rPr>
          <w:color w:val="0C0C0C"/>
        </w:rPr>
        <w:t>the</w:t>
      </w:r>
      <w:r>
        <w:rPr>
          <w:color w:val="0C0C0C"/>
          <w:spacing w:val="-15"/>
        </w:rPr>
        <w:t> </w:t>
      </w:r>
      <w:r>
        <w:rPr>
          <w:color w:val="0C0C0C"/>
        </w:rPr>
        <w:t>Notes</w:t>
      </w:r>
      <w:r>
        <w:rPr>
          <w:color w:val="0C0C0C"/>
          <w:spacing w:val="-9"/>
        </w:rPr>
        <w:t> </w:t>
      </w:r>
      <w:r>
        <w:rPr>
          <w:color w:val="0C0C0C"/>
        </w:rPr>
        <w:t>to</w:t>
      </w:r>
      <w:r>
        <w:rPr>
          <w:color w:val="0C0C0C"/>
          <w:spacing w:val="-16"/>
        </w:rPr>
        <w:t> </w:t>
      </w:r>
      <w:r>
        <w:rPr>
          <w:color w:val="0C0C0C"/>
        </w:rPr>
        <w:t>the</w:t>
      </w:r>
      <w:r>
        <w:rPr>
          <w:color w:val="0C0C0C"/>
          <w:spacing w:val="-12"/>
        </w:rPr>
        <w:t> </w:t>
      </w:r>
      <w:r>
        <w:rPr>
          <w:color w:val="0C0C0C"/>
        </w:rPr>
        <w:t>Accounts</w:t>
      </w:r>
      <w:r>
        <w:rPr>
          <w:color w:val="0C0C0C"/>
          <w:spacing w:val="-4"/>
        </w:rPr>
        <w:t> </w:t>
      </w:r>
      <w:r>
        <w:rPr>
          <w:color w:val="0C0C0C"/>
        </w:rPr>
        <w:t>but</w:t>
      </w:r>
      <w:r>
        <w:rPr>
          <w:color w:val="0C0C0C"/>
          <w:spacing w:val="-13"/>
        </w:rPr>
        <w:t> </w:t>
      </w:r>
      <w:r>
        <w:rPr>
          <w:color w:val="0C0C0C"/>
        </w:rPr>
        <w:t>are</w:t>
      </w:r>
      <w:r>
        <w:rPr>
          <w:color w:val="0C0C0C"/>
          <w:spacing w:val="-16"/>
        </w:rPr>
        <w:t> </w:t>
      </w:r>
      <w:r>
        <w:rPr>
          <w:color w:val="0C0C0C"/>
        </w:rPr>
        <w:t>not</w:t>
      </w:r>
      <w:r>
        <w:rPr>
          <w:color w:val="0C0C0C"/>
          <w:spacing w:val="-21"/>
        </w:rPr>
        <w:t> </w:t>
      </w:r>
      <w:r>
        <w:rPr>
          <w:color w:val="0C0C0C"/>
        </w:rPr>
        <w:t>provided</w:t>
      </w:r>
      <w:r>
        <w:rPr>
          <w:color w:val="0C0C0C"/>
          <w:spacing w:val="-7"/>
        </w:rPr>
        <w:t> </w:t>
      </w:r>
      <w:r>
        <w:rPr>
          <w:color w:val="0C0C0C"/>
        </w:rPr>
        <w:t>for</w:t>
      </w:r>
      <w:r>
        <w:rPr>
          <w:color w:val="0C0C0C"/>
          <w:spacing w:val="-15"/>
        </w:rPr>
        <w:t> </w:t>
      </w:r>
      <w:r>
        <w:rPr>
          <w:color w:val="0C0C0C"/>
        </w:rPr>
        <w:t>in</w:t>
      </w:r>
      <w:r>
        <w:rPr>
          <w:color w:val="0C0C0C"/>
          <w:spacing w:val="-27"/>
        </w:rPr>
        <w:t> </w:t>
      </w:r>
      <w:r>
        <w:rPr>
          <w:color w:val="0C0C0C"/>
        </w:rPr>
        <w:t>the</w:t>
      </w:r>
      <w:r>
        <w:rPr>
          <w:color w:val="0C0C0C"/>
          <w:spacing w:val="-16"/>
        </w:rPr>
        <w:t> </w:t>
      </w:r>
      <w:r>
        <w:rPr>
          <w:color w:val="0C0C0C"/>
        </w:rPr>
        <w:t>core</w:t>
      </w:r>
      <w:r>
        <w:rPr>
          <w:color w:val="0C0C0C"/>
          <w:spacing w:val="-17"/>
        </w:rPr>
        <w:t> </w:t>
      </w:r>
      <w:r>
        <w:rPr>
          <w:color w:val="0C0C0C"/>
        </w:rPr>
        <w:t>financial</w:t>
      </w:r>
      <w:r>
        <w:rPr>
          <w:color w:val="0C0C0C"/>
          <w:spacing w:val="-5"/>
        </w:rPr>
        <w:t> </w:t>
      </w:r>
      <w:r>
        <w:rPr>
          <w:color w:val="0C0C0C"/>
        </w:rPr>
        <w:t>statements.</w:t>
      </w:r>
    </w:p>
    <w:p>
      <w:pPr>
        <w:pStyle w:val="BodyText"/>
        <w:spacing w:before="2"/>
      </w:pPr>
    </w:p>
    <w:p>
      <w:pPr>
        <w:pStyle w:val="Heading3"/>
        <w:ind w:left="1415"/>
      </w:pPr>
      <w:r>
        <w:rPr>
          <w:color w:val="0C0C0C"/>
          <w:spacing w:val="-2"/>
        </w:rPr>
        <w:t>Reserves</w:t>
      </w:r>
    </w:p>
    <w:p>
      <w:pPr>
        <w:pStyle w:val="BodyText"/>
        <w:spacing w:before="13"/>
        <w:rPr>
          <w:b/>
        </w:rPr>
      </w:pPr>
    </w:p>
    <w:p>
      <w:pPr>
        <w:spacing w:before="0"/>
        <w:ind w:left="1421" w:right="0" w:firstLine="0"/>
        <w:jc w:val="left"/>
        <w:rPr>
          <w:i/>
          <w:sz w:val="21"/>
        </w:rPr>
      </w:pPr>
      <w:r>
        <w:rPr>
          <w:i/>
          <w:color w:val="0C0C0C"/>
          <w:w w:val="105"/>
          <w:sz w:val="21"/>
        </w:rPr>
        <w:t>Usable</w:t>
      </w:r>
      <w:r>
        <w:rPr>
          <w:i/>
          <w:color w:val="0C0C0C"/>
          <w:spacing w:val="-15"/>
          <w:w w:val="105"/>
          <w:sz w:val="21"/>
        </w:rPr>
        <w:t> </w:t>
      </w:r>
      <w:r>
        <w:rPr>
          <w:i/>
          <w:color w:val="0C0C0C"/>
          <w:spacing w:val="-2"/>
          <w:w w:val="105"/>
          <w:sz w:val="21"/>
        </w:rPr>
        <w:t>reserves</w:t>
      </w:r>
    </w:p>
    <w:p>
      <w:pPr>
        <w:pStyle w:val="BodyText"/>
        <w:spacing w:before="12"/>
        <w:rPr>
          <w:i/>
          <w:sz w:val="21"/>
        </w:rPr>
      </w:pPr>
    </w:p>
    <w:p>
      <w:pPr>
        <w:pStyle w:val="BodyText"/>
        <w:spacing w:before="1"/>
        <w:ind w:left="1413" w:right="1321"/>
        <w:jc w:val="both"/>
      </w:pPr>
      <w:r>
        <w:rPr>
          <w:color w:val="0C0C0C"/>
        </w:rPr>
        <w:t>Usable</w:t>
      </w:r>
      <w:r>
        <w:rPr>
          <w:color w:val="0C0C0C"/>
          <w:spacing w:val="-13"/>
        </w:rPr>
        <w:t> </w:t>
      </w:r>
      <w:r>
        <w:rPr>
          <w:color w:val="0C0C0C"/>
        </w:rPr>
        <w:t>reserves are</w:t>
      </w:r>
      <w:r>
        <w:rPr>
          <w:color w:val="0C0C0C"/>
          <w:spacing w:val="-13"/>
        </w:rPr>
        <w:t> </w:t>
      </w:r>
      <w:r>
        <w:rPr>
          <w:color w:val="0C0C0C"/>
        </w:rPr>
        <w:t>those</w:t>
      </w:r>
      <w:r>
        <w:rPr>
          <w:color w:val="0C0C0C"/>
          <w:spacing w:val="-13"/>
        </w:rPr>
        <w:t> </w:t>
      </w:r>
      <w:r>
        <w:rPr>
          <w:color w:val="0C0C0C"/>
        </w:rPr>
        <w:t>reserves</w:t>
      </w:r>
      <w:r>
        <w:rPr>
          <w:color w:val="0C0C0C"/>
          <w:spacing w:val="-1"/>
        </w:rPr>
        <w:t> </w:t>
      </w:r>
      <w:r>
        <w:rPr>
          <w:color w:val="0C0C0C"/>
        </w:rPr>
        <w:t>that</w:t>
      </w:r>
      <w:r>
        <w:rPr>
          <w:color w:val="0C0C0C"/>
          <w:spacing w:val="-5"/>
        </w:rPr>
        <w:t> </w:t>
      </w:r>
      <w:r>
        <w:rPr>
          <w:color w:val="0C0C0C"/>
        </w:rPr>
        <w:t>can</w:t>
      </w:r>
      <w:r>
        <w:rPr>
          <w:color w:val="0C0C0C"/>
          <w:spacing w:val="-16"/>
        </w:rPr>
        <w:t> </w:t>
      </w:r>
      <w:r>
        <w:rPr>
          <w:color w:val="0C0C0C"/>
        </w:rPr>
        <w:t>be</w:t>
      </w:r>
      <w:r>
        <w:rPr>
          <w:color w:val="0C0C0C"/>
          <w:spacing w:val="-14"/>
        </w:rPr>
        <w:t> </w:t>
      </w:r>
      <w:r>
        <w:rPr>
          <w:color w:val="0C0C0C"/>
        </w:rPr>
        <w:t>applied</w:t>
      </w:r>
      <w:r>
        <w:rPr>
          <w:color w:val="0C0C0C"/>
          <w:spacing w:val="-14"/>
        </w:rPr>
        <w:t> </w:t>
      </w:r>
      <w:r>
        <w:rPr>
          <w:color w:val="0C0C0C"/>
        </w:rPr>
        <w:t>to</w:t>
      </w:r>
      <w:r>
        <w:rPr>
          <w:color w:val="0C0C0C"/>
          <w:spacing w:val="-16"/>
        </w:rPr>
        <w:t> </w:t>
      </w:r>
      <w:r>
        <w:rPr>
          <w:color w:val="0C0C0C"/>
        </w:rPr>
        <w:t>fund</w:t>
      </w:r>
      <w:r>
        <w:rPr>
          <w:color w:val="0C0C0C"/>
          <w:spacing w:val="-14"/>
        </w:rPr>
        <w:t> </w:t>
      </w:r>
      <w:r>
        <w:rPr>
          <w:color w:val="0C0C0C"/>
        </w:rPr>
        <w:t>revenue or</w:t>
      </w:r>
      <w:r>
        <w:rPr>
          <w:color w:val="0C0C0C"/>
          <w:spacing w:val="-13"/>
        </w:rPr>
        <w:t> </w:t>
      </w:r>
      <w:r>
        <w:rPr>
          <w:color w:val="0C0C0C"/>
        </w:rPr>
        <w:t>capital</w:t>
      </w:r>
      <w:r>
        <w:rPr>
          <w:color w:val="0C0C0C"/>
          <w:spacing w:val="-7"/>
        </w:rPr>
        <w:t> </w:t>
      </w:r>
      <w:r>
        <w:rPr>
          <w:color w:val="0C0C0C"/>
        </w:rPr>
        <w:t>expenditure </w:t>
      </w:r>
      <w:r>
        <w:rPr>
          <w:color w:val="1C1C1C"/>
        </w:rPr>
        <w:t>or</w:t>
      </w:r>
      <w:r>
        <w:rPr>
          <w:color w:val="1C1C1C"/>
          <w:spacing w:val="-14"/>
        </w:rPr>
        <w:t> </w:t>
      </w:r>
      <w:r>
        <w:rPr>
          <w:color w:val="1C1C1C"/>
        </w:rPr>
        <w:t>reduce</w:t>
      </w:r>
      <w:r>
        <w:rPr>
          <w:color w:val="1C1C1C"/>
          <w:spacing w:val="-11"/>
        </w:rPr>
        <w:t> </w:t>
      </w:r>
      <w:r>
        <w:rPr>
          <w:color w:val="1C1C1C"/>
        </w:rPr>
        <w:t>local</w:t>
      </w:r>
      <w:r>
        <w:rPr>
          <w:color w:val="1C1C1C"/>
          <w:spacing w:val="-13"/>
        </w:rPr>
        <w:t> </w:t>
      </w:r>
      <w:r>
        <w:rPr>
          <w:color w:val="1C1C1C"/>
        </w:rPr>
        <w:t>taxation</w:t>
      </w:r>
      <w:r>
        <w:rPr>
          <w:color w:val="595959"/>
        </w:rPr>
        <w:t>.</w:t>
      </w:r>
      <w:r>
        <w:rPr>
          <w:color w:val="595959"/>
          <w:spacing w:val="-16"/>
        </w:rPr>
        <w:t> </w:t>
      </w:r>
      <w:r>
        <w:rPr>
          <w:color w:val="1C1C1C"/>
        </w:rPr>
        <w:t>The</w:t>
      </w:r>
      <w:r>
        <w:rPr>
          <w:color w:val="1C1C1C"/>
          <w:spacing w:val="-7"/>
        </w:rPr>
        <w:t> </w:t>
      </w:r>
      <w:r>
        <w:rPr>
          <w:color w:val="1C1C1C"/>
        </w:rPr>
        <w:t>Council sets aside</w:t>
      </w:r>
      <w:r>
        <w:rPr>
          <w:color w:val="1C1C1C"/>
          <w:spacing w:val="-4"/>
        </w:rPr>
        <w:t> </w:t>
      </w:r>
      <w:r>
        <w:rPr>
          <w:color w:val="1C1C1C"/>
        </w:rPr>
        <w:t>specific</w:t>
      </w:r>
      <w:r>
        <w:rPr>
          <w:color w:val="1C1C1C"/>
          <w:spacing w:val="-2"/>
        </w:rPr>
        <w:t> </w:t>
      </w:r>
      <w:r>
        <w:rPr>
          <w:color w:val="1C1C1C"/>
        </w:rPr>
        <w:t>amounts as</w:t>
      </w:r>
      <w:r>
        <w:rPr>
          <w:color w:val="1C1C1C"/>
          <w:spacing w:val="-12"/>
        </w:rPr>
        <w:t> </w:t>
      </w:r>
      <w:r>
        <w:rPr>
          <w:color w:val="313131"/>
        </w:rPr>
        <w:t>reserves </w:t>
      </w:r>
      <w:r>
        <w:rPr>
          <w:color w:val="1C1C1C"/>
        </w:rPr>
        <w:t>for</w:t>
      </w:r>
      <w:r>
        <w:rPr>
          <w:color w:val="1C1C1C"/>
          <w:spacing w:val="-5"/>
        </w:rPr>
        <w:t> </w:t>
      </w:r>
      <w:r>
        <w:rPr>
          <w:color w:val="1C1C1C"/>
        </w:rPr>
        <w:t>future</w:t>
      </w:r>
      <w:r>
        <w:rPr>
          <w:color w:val="1C1C1C"/>
          <w:spacing w:val="-6"/>
        </w:rPr>
        <w:t> </w:t>
      </w:r>
      <w:r>
        <w:rPr>
          <w:color w:val="1C1C1C"/>
        </w:rPr>
        <w:t>policy purposes or to cover contingencies</w:t>
      </w:r>
      <w:r>
        <w:rPr>
          <w:color w:val="595959"/>
        </w:rPr>
        <w:t>. </w:t>
      </w:r>
      <w:r>
        <w:rPr>
          <w:color w:val="1C1C1C"/>
        </w:rPr>
        <w:t>Earmarked reserves </w:t>
      </w:r>
      <w:r>
        <w:rPr>
          <w:color w:val="0C0C0C"/>
        </w:rPr>
        <w:t>are </w:t>
      </w:r>
      <w:r>
        <w:rPr>
          <w:color w:val="1C1C1C"/>
        </w:rPr>
        <w:t>created by appropriating amounts from</w:t>
      </w:r>
      <w:r>
        <w:rPr>
          <w:color w:val="1C1C1C"/>
          <w:spacing w:val="-3"/>
        </w:rPr>
        <w:t> </w:t>
      </w:r>
      <w:r>
        <w:rPr>
          <w:color w:val="1C1C1C"/>
        </w:rPr>
        <w:t>the</w:t>
      </w:r>
      <w:r>
        <w:rPr>
          <w:color w:val="1C1C1C"/>
          <w:spacing w:val="-12"/>
        </w:rPr>
        <w:t> </w:t>
      </w:r>
      <w:r>
        <w:rPr>
          <w:color w:val="1C1C1C"/>
        </w:rPr>
        <w:t>General</w:t>
      </w:r>
      <w:r>
        <w:rPr>
          <w:color w:val="1C1C1C"/>
          <w:spacing w:val="-5"/>
        </w:rPr>
        <w:t> </w:t>
      </w:r>
      <w:r>
        <w:rPr>
          <w:color w:val="1C1C1C"/>
        </w:rPr>
        <w:t>Fund</w:t>
      </w:r>
      <w:r>
        <w:rPr>
          <w:color w:val="1C1C1C"/>
          <w:spacing w:val="-9"/>
        </w:rPr>
        <w:t> </w:t>
      </w:r>
      <w:r>
        <w:rPr>
          <w:color w:val="1C1C1C"/>
        </w:rPr>
        <w:t>and</w:t>
      </w:r>
      <w:r>
        <w:rPr>
          <w:color w:val="1C1C1C"/>
          <w:spacing w:val="-12"/>
        </w:rPr>
        <w:t> </w:t>
      </w:r>
      <w:r>
        <w:rPr>
          <w:color w:val="1C1C1C"/>
        </w:rPr>
        <w:t>are</w:t>
      </w:r>
      <w:r>
        <w:rPr>
          <w:color w:val="1C1C1C"/>
          <w:spacing w:val="-13"/>
        </w:rPr>
        <w:t> </w:t>
      </w:r>
      <w:r>
        <w:rPr>
          <w:color w:val="1C1C1C"/>
        </w:rPr>
        <w:t>separately disclosed </w:t>
      </w:r>
      <w:r>
        <w:rPr>
          <w:color w:val="0C0C0C"/>
        </w:rPr>
        <w:t>in</w:t>
      </w:r>
      <w:r>
        <w:rPr>
          <w:color w:val="0C0C0C"/>
          <w:spacing w:val="-5"/>
        </w:rPr>
        <w:t> </w:t>
      </w:r>
      <w:r>
        <w:rPr>
          <w:color w:val="1C1C1C"/>
        </w:rPr>
        <w:t>the</w:t>
      </w:r>
      <w:r>
        <w:rPr>
          <w:color w:val="1C1C1C"/>
          <w:spacing w:val="-5"/>
        </w:rPr>
        <w:t> </w:t>
      </w:r>
      <w:r>
        <w:rPr>
          <w:color w:val="1C1C1C"/>
        </w:rPr>
        <w:t>Usable Reserves </w:t>
      </w:r>
      <w:r>
        <w:rPr>
          <w:color w:val="313131"/>
        </w:rPr>
        <w:t>note</w:t>
      </w:r>
      <w:r>
        <w:rPr>
          <w:color w:val="313131"/>
          <w:spacing w:val="-7"/>
        </w:rPr>
        <w:t> </w:t>
      </w:r>
      <w:r>
        <w:rPr>
          <w:color w:val="313131"/>
        </w:rPr>
        <w:t>to </w:t>
      </w:r>
      <w:r>
        <w:rPr>
          <w:color w:val="1C1C1C"/>
        </w:rPr>
        <w:t>the balance sheet. When expenditure is financed </w:t>
      </w:r>
      <w:r>
        <w:rPr>
          <w:color w:val="0C0C0C"/>
        </w:rPr>
        <w:t>from a reserve, </w:t>
      </w:r>
      <w:r>
        <w:rPr>
          <w:color w:val="1C1C1C"/>
        </w:rPr>
        <w:t>it </w:t>
      </w:r>
      <w:r>
        <w:rPr>
          <w:color w:val="0C0C0C"/>
        </w:rPr>
        <w:t>is charged to the </w:t>
      </w:r>
      <w:r>
        <w:rPr>
          <w:color w:val="1C1C1C"/>
        </w:rPr>
        <w:t>appropriate service </w:t>
      </w:r>
      <w:r>
        <w:rPr>
          <w:color w:val="0C0C0C"/>
        </w:rPr>
        <w:t>revenue </w:t>
      </w:r>
      <w:r>
        <w:rPr>
          <w:color w:val="1C1C1C"/>
        </w:rPr>
        <w:t>account in</w:t>
      </w:r>
      <w:r>
        <w:rPr>
          <w:color w:val="1C1C1C"/>
          <w:spacing w:val="-3"/>
        </w:rPr>
        <w:t> </w:t>
      </w:r>
      <w:r>
        <w:rPr>
          <w:color w:val="0C0C0C"/>
        </w:rPr>
        <w:t>that </w:t>
      </w:r>
      <w:r>
        <w:rPr>
          <w:color w:val="1C1C1C"/>
        </w:rPr>
        <w:t>year, </w:t>
      </w:r>
      <w:r>
        <w:rPr>
          <w:color w:val="0C0C0C"/>
        </w:rPr>
        <w:t>including it </w:t>
      </w:r>
      <w:r>
        <w:rPr>
          <w:color w:val="1C1C1C"/>
        </w:rPr>
        <w:t>in</w:t>
      </w:r>
      <w:r>
        <w:rPr>
          <w:color w:val="1C1C1C"/>
          <w:spacing w:val="-1"/>
        </w:rPr>
        <w:t> </w:t>
      </w:r>
      <w:r>
        <w:rPr>
          <w:color w:val="0C0C0C"/>
        </w:rPr>
        <w:t>the Surplus or </w:t>
      </w:r>
      <w:r>
        <w:rPr>
          <w:color w:val="1C1C1C"/>
        </w:rPr>
        <w:t>Deficit </w:t>
      </w:r>
      <w:r>
        <w:rPr>
          <w:color w:val="0C0C0C"/>
        </w:rPr>
        <w:t>on</w:t>
      </w:r>
      <w:r>
        <w:rPr>
          <w:color w:val="0C0C0C"/>
          <w:spacing w:val="-5"/>
        </w:rPr>
        <w:t> </w:t>
      </w:r>
      <w:r>
        <w:rPr>
          <w:color w:val="0C0C0C"/>
        </w:rPr>
        <w:t>the </w:t>
      </w:r>
      <w:r>
        <w:rPr>
          <w:color w:val="1C1C1C"/>
        </w:rPr>
        <w:t>Provision </w:t>
      </w:r>
      <w:r>
        <w:rPr>
          <w:color w:val="0C0C0C"/>
        </w:rPr>
        <w:t>of</w:t>
      </w:r>
      <w:r>
        <w:rPr>
          <w:color w:val="0C0C0C"/>
          <w:spacing w:val="-2"/>
        </w:rPr>
        <w:t> </w:t>
      </w:r>
      <w:r>
        <w:rPr>
          <w:color w:val="1C1C1C"/>
        </w:rPr>
        <w:t>Services </w:t>
      </w:r>
      <w:r>
        <w:rPr>
          <w:color w:val="0C0C0C"/>
        </w:rPr>
        <w:t>as</w:t>
      </w:r>
      <w:r>
        <w:rPr>
          <w:color w:val="0C0C0C"/>
          <w:spacing w:val="-6"/>
        </w:rPr>
        <w:t> </w:t>
      </w:r>
      <w:r>
        <w:rPr>
          <w:color w:val="1C1C1C"/>
        </w:rPr>
        <w:t>required</w:t>
      </w:r>
      <w:r>
        <w:rPr>
          <w:color w:val="1C1C1C"/>
          <w:spacing w:val="-9"/>
        </w:rPr>
        <w:t> </w:t>
      </w:r>
      <w:r>
        <w:rPr>
          <w:color w:val="0C0C0C"/>
        </w:rPr>
        <w:t>under</w:t>
      </w:r>
      <w:r>
        <w:rPr>
          <w:color w:val="0C0C0C"/>
          <w:spacing w:val="-6"/>
        </w:rPr>
        <w:t> </w:t>
      </w:r>
      <w:r>
        <w:rPr>
          <w:color w:val="0C0C0C"/>
        </w:rPr>
        <w:t>the</w:t>
      </w:r>
      <w:r>
        <w:rPr>
          <w:color w:val="0C0C0C"/>
          <w:spacing w:val="-7"/>
        </w:rPr>
        <w:t> </w:t>
      </w:r>
      <w:r>
        <w:rPr>
          <w:color w:val="1C1C1C"/>
        </w:rPr>
        <w:t>Code.</w:t>
      </w:r>
      <w:r>
        <w:rPr>
          <w:color w:val="1C1C1C"/>
          <w:spacing w:val="-2"/>
        </w:rPr>
        <w:t> </w:t>
      </w:r>
      <w:r>
        <w:rPr>
          <w:color w:val="0C0C0C"/>
        </w:rPr>
        <w:t>The</w:t>
      </w:r>
      <w:r>
        <w:rPr>
          <w:color w:val="0C0C0C"/>
          <w:spacing w:val="-6"/>
        </w:rPr>
        <w:t> </w:t>
      </w:r>
      <w:r>
        <w:rPr>
          <w:color w:val="0C0C0C"/>
        </w:rPr>
        <w:t>amounts are</w:t>
      </w:r>
      <w:r>
        <w:rPr>
          <w:color w:val="0C0C0C"/>
          <w:spacing w:val="-9"/>
        </w:rPr>
        <w:t> </w:t>
      </w:r>
      <w:r>
        <w:rPr>
          <w:color w:val="0C0C0C"/>
        </w:rPr>
        <w:t>subsequently </w:t>
      </w:r>
      <w:r>
        <w:rPr>
          <w:color w:val="1C1C1C"/>
        </w:rPr>
        <w:t>charged</w:t>
      </w:r>
      <w:r>
        <w:rPr>
          <w:color w:val="1C1C1C"/>
          <w:spacing w:val="-9"/>
        </w:rPr>
        <w:t> </w:t>
      </w:r>
      <w:r>
        <w:rPr>
          <w:color w:val="0C0C0C"/>
        </w:rPr>
        <w:t>to the appropriate reserve in</w:t>
      </w:r>
      <w:r>
        <w:rPr>
          <w:color w:val="0C0C0C"/>
          <w:spacing w:val="-2"/>
        </w:rPr>
        <w:t> </w:t>
      </w:r>
      <w:r>
        <w:rPr>
          <w:color w:val="0C0C0C"/>
        </w:rPr>
        <w:t>the Usable Reserves note.</w:t>
      </w:r>
    </w:p>
    <w:p>
      <w:pPr>
        <w:pStyle w:val="BodyText"/>
        <w:spacing w:before="5"/>
      </w:pPr>
    </w:p>
    <w:p>
      <w:pPr>
        <w:pStyle w:val="BodyText"/>
        <w:ind w:left="1420" w:right="1172" w:hanging="3"/>
      </w:pPr>
      <w:r>
        <w:rPr>
          <w:color w:val="0C0C0C"/>
        </w:rPr>
        <w:t>All</w:t>
      </w:r>
      <w:r>
        <w:rPr>
          <w:color w:val="0C0C0C"/>
          <w:spacing w:val="-16"/>
        </w:rPr>
        <w:t> </w:t>
      </w:r>
      <w:r>
        <w:rPr>
          <w:color w:val="0C0C0C"/>
        </w:rPr>
        <w:t>other</w:t>
      </w:r>
      <w:r>
        <w:rPr>
          <w:color w:val="0C0C0C"/>
          <w:spacing w:val="-15"/>
        </w:rPr>
        <w:t> </w:t>
      </w:r>
      <w:r>
        <w:rPr>
          <w:color w:val="0C0C0C"/>
        </w:rPr>
        <w:t>movements</w:t>
      </w:r>
      <w:r>
        <w:rPr>
          <w:color w:val="0C0C0C"/>
          <w:spacing w:val="-5"/>
        </w:rPr>
        <w:t> </w:t>
      </w:r>
      <w:r>
        <w:rPr>
          <w:color w:val="0C0C0C"/>
        </w:rPr>
        <w:t>in</w:t>
      </w:r>
      <w:r>
        <w:rPr>
          <w:color w:val="0C0C0C"/>
          <w:spacing w:val="-17"/>
        </w:rPr>
        <w:t> </w:t>
      </w:r>
      <w:r>
        <w:rPr>
          <w:color w:val="0C0C0C"/>
        </w:rPr>
        <w:t>usable</w:t>
      </w:r>
      <w:r>
        <w:rPr>
          <w:color w:val="0C0C0C"/>
          <w:spacing w:val="-16"/>
        </w:rPr>
        <w:t> </w:t>
      </w:r>
      <w:r>
        <w:rPr>
          <w:color w:val="0C0C0C"/>
        </w:rPr>
        <w:t>reserves, including</w:t>
      </w:r>
      <w:r>
        <w:rPr>
          <w:color w:val="0C0C0C"/>
          <w:spacing w:val="-5"/>
        </w:rPr>
        <w:t> </w:t>
      </w:r>
      <w:r>
        <w:rPr>
          <w:color w:val="0C0C0C"/>
        </w:rPr>
        <w:t>adjustments</w:t>
      </w:r>
      <w:r>
        <w:rPr>
          <w:color w:val="0C0C0C"/>
          <w:spacing w:val="-5"/>
        </w:rPr>
        <w:t> </w:t>
      </w:r>
      <w:r>
        <w:rPr>
          <w:color w:val="0C0C0C"/>
        </w:rPr>
        <w:t>between</w:t>
      </w:r>
      <w:r>
        <w:rPr>
          <w:color w:val="0C0C0C"/>
          <w:spacing w:val="-4"/>
        </w:rPr>
        <w:t> </w:t>
      </w:r>
      <w:r>
        <w:rPr>
          <w:color w:val="0C0C0C"/>
        </w:rPr>
        <w:t>accounting</w:t>
      </w:r>
      <w:r>
        <w:rPr>
          <w:color w:val="0C0C0C"/>
          <w:spacing w:val="-2"/>
        </w:rPr>
        <w:t> </w:t>
      </w:r>
      <w:r>
        <w:rPr>
          <w:color w:val="0C0C0C"/>
        </w:rPr>
        <w:t>basis</w:t>
      </w:r>
      <w:r>
        <w:rPr>
          <w:color w:val="0C0C0C"/>
          <w:spacing w:val="-14"/>
        </w:rPr>
        <w:t> </w:t>
      </w:r>
      <w:r>
        <w:rPr>
          <w:color w:val="0C0C0C"/>
        </w:rPr>
        <w:t>and funding basis under regulations, are</w:t>
      </w:r>
      <w:r>
        <w:rPr>
          <w:color w:val="0C0C0C"/>
          <w:spacing w:val="-3"/>
        </w:rPr>
        <w:t> </w:t>
      </w:r>
      <w:r>
        <w:rPr>
          <w:color w:val="0C0C0C"/>
        </w:rPr>
        <w:t>reported in</w:t>
      </w:r>
      <w:r>
        <w:rPr>
          <w:color w:val="0C0C0C"/>
          <w:spacing w:val="-2"/>
        </w:rPr>
        <w:t> </w:t>
      </w:r>
      <w:r>
        <w:rPr>
          <w:color w:val="0C0C0C"/>
        </w:rPr>
        <w:t>the</w:t>
      </w:r>
      <w:r>
        <w:rPr>
          <w:color w:val="0C0C0C"/>
          <w:spacing w:val="-2"/>
        </w:rPr>
        <w:t> </w:t>
      </w:r>
      <w:r>
        <w:rPr>
          <w:color w:val="0C0C0C"/>
        </w:rPr>
        <w:t>Movement</w:t>
      </w:r>
      <w:r>
        <w:rPr>
          <w:color w:val="0C0C0C"/>
          <w:spacing w:val="31"/>
        </w:rPr>
        <w:t> </w:t>
      </w:r>
      <w:r>
        <w:rPr>
          <w:color w:val="0C0C0C"/>
        </w:rPr>
        <w:t>in</w:t>
      </w:r>
      <w:r>
        <w:rPr>
          <w:color w:val="0C0C0C"/>
          <w:spacing w:val="-14"/>
        </w:rPr>
        <w:t> </w:t>
      </w:r>
      <w:r>
        <w:rPr>
          <w:color w:val="0C0C0C"/>
        </w:rPr>
        <w:t>Reserves Statement.</w:t>
      </w:r>
    </w:p>
    <w:p>
      <w:pPr>
        <w:pStyle w:val="BodyText"/>
        <w:spacing w:before="15"/>
      </w:pPr>
    </w:p>
    <w:p>
      <w:pPr>
        <w:spacing w:before="0"/>
        <w:ind w:left="1421" w:right="0" w:firstLine="0"/>
        <w:jc w:val="left"/>
        <w:rPr>
          <w:i/>
          <w:sz w:val="21"/>
        </w:rPr>
      </w:pPr>
      <w:r>
        <w:rPr>
          <w:i/>
          <w:color w:val="0C0C0C"/>
          <w:w w:val="105"/>
          <w:sz w:val="21"/>
        </w:rPr>
        <w:t>Unusable</w:t>
      </w:r>
      <w:r>
        <w:rPr>
          <w:i/>
          <w:color w:val="0C0C0C"/>
          <w:spacing w:val="-13"/>
          <w:w w:val="105"/>
          <w:sz w:val="21"/>
        </w:rPr>
        <w:t> </w:t>
      </w:r>
      <w:r>
        <w:rPr>
          <w:i/>
          <w:color w:val="0C0C0C"/>
          <w:spacing w:val="-2"/>
          <w:w w:val="105"/>
          <w:sz w:val="21"/>
        </w:rPr>
        <w:t>reserves</w:t>
      </w:r>
    </w:p>
    <w:p>
      <w:pPr>
        <w:pStyle w:val="BodyText"/>
        <w:spacing w:before="234" w:line="273" w:lineRule="auto"/>
        <w:ind w:left="1418" w:right="1306" w:hanging="3"/>
        <w:jc w:val="both"/>
      </w:pPr>
      <w:r>
        <w:rPr>
          <w:color w:val="0C0C0C"/>
        </w:rPr>
        <w:t>Certain </w:t>
      </w:r>
      <w:r>
        <w:rPr>
          <w:color w:val="1C1C1C"/>
        </w:rPr>
        <w:t>reserves </w:t>
      </w:r>
      <w:r>
        <w:rPr>
          <w:color w:val="0C0C0C"/>
        </w:rPr>
        <w:t>are maintained to manage the accounting process for property, plant and equipment, financial instruments, retirement and other employee benefits, the collection of council tax </w:t>
      </w:r>
      <w:r>
        <w:rPr>
          <w:i/>
          <w:color w:val="0C0C0C"/>
          <w:sz w:val="23"/>
        </w:rPr>
        <w:t>I </w:t>
      </w:r>
      <w:r>
        <w:rPr>
          <w:color w:val="0C0C0C"/>
        </w:rPr>
        <w:t>business rates and deferred capital receipts and do not represent resources available to</w:t>
      </w:r>
      <w:r>
        <w:rPr>
          <w:color w:val="0C0C0C"/>
          <w:spacing w:val="-2"/>
        </w:rPr>
        <w:t> </w:t>
      </w:r>
      <w:r>
        <w:rPr>
          <w:color w:val="0C0C0C"/>
        </w:rPr>
        <w:t>the Council. Specific details relating to</w:t>
      </w:r>
      <w:r>
        <w:rPr>
          <w:color w:val="0C0C0C"/>
          <w:spacing w:val="-2"/>
        </w:rPr>
        <w:t> </w:t>
      </w:r>
      <w:r>
        <w:rPr>
          <w:color w:val="0C0C0C"/>
        </w:rPr>
        <w:t>these reserves are </w:t>
      </w:r>
      <w:r>
        <w:rPr>
          <w:color w:val="1C1C1C"/>
        </w:rPr>
        <w:t>included </w:t>
      </w:r>
      <w:r>
        <w:rPr>
          <w:color w:val="0C0C0C"/>
        </w:rPr>
        <w:t>elsewhere in these accounting policies and</w:t>
      </w:r>
      <w:r>
        <w:rPr>
          <w:color w:val="0C0C0C"/>
          <w:spacing w:val="-4"/>
        </w:rPr>
        <w:t> </w:t>
      </w:r>
      <w:r>
        <w:rPr>
          <w:color w:val="0C0C0C"/>
        </w:rPr>
        <w:t>details on</w:t>
      </w:r>
      <w:r>
        <w:rPr>
          <w:color w:val="0C0C0C"/>
          <w:spacing w:val="-8"/>
        </w:rPr>
        <w:t> </w:t>
      </w:r>
      <w:r>
        <w:rPr>
          <w:color w:val="0C0C0C"/>
        </w:rPr>
        <w:t>all</w:t>
      </w:r>
      <w:r>
        <w:rPr>
          <w:color w:val="0C0C0C"/>
          <w:spacing w:val="-10"/>
        </w:rPr>
        <w:t> </w:t>
      </w:r>
      <w:r>
        <w:rPr>
          <w:color w:val="0C0C0C"/>
        </w:rPr>
        <w:t>reserves are</w:t>
      </w:r>
      <w:r>
        <w:rPr>
          <w:color w:val="0C0C0C"/>
          <w:spacing w:val="-2"/>
        </w:rPr>
        <w:t> </w:t>
      </w:r>
      <w:r>
        <w:rPr>
          <w:color w:val="0C0C0C"/>
        </w:rPr>
        <w:t>included within the</w:t>
      </w:r>
      <w:r>
        <w:rPr>
          <w:color w:val="0C0C0C"/>
          <w:spacing w:val="-5"/>
        </w:rPr>
        <w:t> </w:t>
      </w:r>
      <w:r>
        <w:rPr>
          <w:color w:val="0C0C0C"/>
        </w:rPr>
        <w:t>reserves note</w:t>
      </w:r>
      <w:r>
        <w:rPr>
          <w:color w:val="0C0C0C"/>
          <w:spacing w:val="-1"/>
        </w:rPr>
        <w:t> </w:t>
      </w:r>
      <w:r>
        <w:rPr>
          <w:color w:val="0C0C0C"/>
        </w:rPr>
        <w:t>to the accounts.</w:t>
      </w:r>
    </w:p>
    <w:p>
      <w:pPr>
        <w:spacing w:after="0" w:line="273" w:lineRule="auto"/>
        <w:jc w:val="both"/>
        <w:sectPr>
          <w:headerReference w:type="default" r:id="rId99"/>
          <w:footerReference w:type="default" r:id="rId100"/>
          <w:pgSz w:w="11910" w:h="16830"/>
          <w:pgMar w:top="920" w:right="100" w:bottom="1320" w:left="20" w:header="735" w:footer="1121"/>
          <w:pgNumType w:start="45"/>
        </w:sectPr>
      </w:pPr>
    </w:p>
    <w:p>
      <w:pPr>
        <w:pStyle w:val="BodyText"/>
        <w:rPr>
          <w:sz w:val="15"/>
        </w:rPr>
      </w:pPr>
    </w:p>
    <w:p>
      <w:pPr>
        <w:pStyle w:val="BodyText"/>
        <w:rPr>
          <w:sz w:val="15"/>
        </w:rPr>
      </w:pPr>
    </w:p>
    <w:p>
      <w:pPr>
        <w:pStyle w:val="BodyText"/>
        <w:rPr>
          <w:sz w:val="15"/>
        </w:rPr>
      </w:pPr>
    </w:p>
    <w:p>
      <w:pPr>
        <w:pStyle w:val="BodyText"/>
        <w:rPr>
          <w:sz w:val="15"/>
        </w:rPr>
      </w:pPr>
    </w:p>
    <w:p>
      <w:pPr>
        <w:pStyle w:val="BodyText"/>
        <w:spacing w:before="16"/>
        <w:rPr>
          <w:sz w:val="15"/>
        </w:rPr>
      </w:pPr>
    </w:p>
    <w:p>
      <w:pPr>
        <w:pStyle w:val="ListParagraph"/>
        <w:numPr>
          <w:ilvl w:val="0"/>
          <w:numId w:val="14"/>
        </w:numPr>
        <w:tabs>
          <w:tab w:val="left" w:leader="none" w:pos="2377"/>
        </w:tabs>
        <w:spacing w:before="0" w:after="0" w:line="240" w:lineRule="auto"/>
        <w:ind w:left="2377" w:right="0" w:hanging="707"/>
        <w:jc w:val="left"/>
        <w:rPr>
          <w:sz w:val="15"/>
        </w:rPr>
      </w:pPr>
      <w:r>
        <w:rPr/>
        <ve:AlternateContent>
          <ve:Choice Requires="wps">
            <w:drawing>
              <wp:anchor distT="0" distB="0" distL="0" distR="0" simplePos="0" relativeHeight="15758848" behindDoc="0" locked="0" layoutInCell="1" allowOverlap="1">
                <wp:simplePos x="0" y="0"/>
                <wp:positionH relativeFrom="page">
                  <wp:posOffset>143487</wp:posOffset>
                </wp:positionH>
                <wp:positionV relativeFrom="paragraph">
                  <wp:posOffset>-563201</wp:posOffset>
                </wp:positionV>
                <wp:extent cx="1270" cy="768985"/>
                <wp:effectExtent l="0" t="0" r="0" b="0"/>
                <wp:wrapNone/>
                <wp:docPr id="143" name="Graphic 143"/>
                <wp:cNvGraphicFramePr>
                  <a:graphicFrameLocks/>
                </wp:cNvGraphicFramePr>
                <a:graphic>
                  <a:graphicData uri="http://schemas.microsoft.com/office/word/2010/wordprocessingShape">
                    <wps:wsp>
                      <wps:cNvPr id="143" name="Graphic 143"/>
                      <wps:cNvSpPr/>
                      <wps:spPr>
                        <a:xfrm>
                          <a:off x="0" y="0"/>
                          <a:ext cx="1270" cy="768985"/>
                        </a:xfrm>
                        <a:custGeom>
                          <a:avLst/>
                          <a:gdLst/>
                          <a:ahLst/>
                          <a:cxnLst/>
                          <a:rect l="l" t="t" r="r" b="b"/>
                          <a:pathLst>
                            <a:path w="0" h="768985">
                              <a:moveTo>
                                <a:pt x="0" y="768972"/>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58848" stroked="true" strokecolor="#000000" strokeweight=".961549pt" from="11.298195pt,16.202401pt" to="11.298195pt,-44.346603pt">
                <v:stroke dashstyle="solid"/>
                <w10:wrap type="none"/>
              </v:line>
            </w:pict>
          </ve:Fallback>
        </ve:AlternateContent>
      </w:r>
      <w:r>
        <w:rPr>
          <w:color w:val="898989"/>
          <w:w w:val="105"/>
          <w:sz w:val="15"/>
        </w:rPr>
        <w:t>NOTES</w:t>
      </w:r>
      <w:r>
        <w:rPr>
          <w:color w:val="898989"/>
          <w:spacing w:val="13"/>
          <w:w w:val="105"/>
          <w:sz w:val="15"/>
        </w:rPr>
        <w:t> </w:t>
      </w:r>
      <w:r>
        <w:rPr>
          <w:color w:val="898989"/>
          <w:w w:val="105"/>
          <w:sz w:val="15"/>
        </w:rPr>
        <w:t>TO</w:t>
      </w:r>
      <w:r>
        <w:rPr>
          <w:color w:val="898989"/>
          <w:spacing w:val="9"/>
          <w:w w:val="105"/>
          <w:sz w:val="15"/>
        </w:rPr>
        <w:t> </w:t>
      </w:r>
      <w:r>
        <w:rPr>
          <w:color w:val="898989"/>
          <w:w w:val="105"/>
          <w:sz w:val="15"/>
        </w:rPr>
        <w:t>THE</w:t>
      </w:r>
      <w:r>
        <w:rPr>
          <w:color w:val="898989"/>
          <w:spacing w:val="8"/>
          <w:w w:val="105"/>
          <w:sz w:val="15"/>
        </w:rPr>
        <w:t> </w:t>
      </w:r>
      <w:r>
        <w:rPr>
          <w:color w:val="898989"/>
          <w:spacing w:val="-2"/>
          <w:w w:val="105"/>
          <w:sz w:val="15"/>
        </w:rPr>
        <w:t>ACCOUNTS</w:t>
      </w:r>
    </w:p>
    <w:p>
      <w:pPr>
        <w:pStyle w:val="BodyText"/>
        <w:spacing w:before="65"/>
        <w:rPr>
          <w:sz w:val="15"/>
        </w:rPr>
      </w:pPr>
    </w:p>
    <w:p>
      <w:pPr>
        <w:spacing w:before="0"/>
        <w:ind w:left="1652" w:right="0" w:firstLine="0"/>
        <w:jc w:val="left"/>
        <w:rPr>
          <w:b/>
          <w:sz w:val="21"/>
        </w:rPr>
      </w:pPr>
      <w:r>
        <w:rPr>
          <w:b/>
          <w:color w:val="757575"/>
          <w:spacing w:val="-2"/>
          <w:w w:val="105"/>
          <w:sz w:val="21"/>
        </w:rPr>
        <w:t>Pensions</w:t>
      </w:r>
    </w:p>
    <w:p>
      <w:pPr>
        <w:pStyle w:val="BodyText"/>
        <w:spacing w:before="12"/>
        <w:rPr>
          <w:b/>
          <w:sz w:val="21"/>
        </w:rPr>
      </w:pPr>
    </w:p>
    <w:p>
      <w:pPr>
        <w:pStyle w:val="BodyText"/>
        <w:spacing w:before="1"/>
        <w:ind w:left="1641" w:right="928" w:firstLine="7"/>
      </w:pPr>
      <w:r>
        <w:rPr>
          <w:color w:val="0C0C0C"/>
        </w:rPr>
        <w:t>The Council participates in</w:t>
      </w:r>
      <w:r>
        <w:rPr>
          <w:color w:val="0C0C0C"/>
          <w:spacing w:val="-5"/>
        </w:rPr>
        <w:t> </w:t>
      </w:r>
      <w:r>
        <w:rPr>
          <w:color w:val="0C0C0C"/>
        </w:rPr>
        <w:t>the</w:t>
      </w:r>
      <w:r>
        <w:rPr>
          <w:color w:val="0C0C0C"/>
          <w:spacing w:val="-1"/>
        </w:rPr>
        <w:t> </w:t>
      </w:r>
      <w:r>
        <w:rPr>
          <w:color w:val="0C0C0C"/>
        </w:rPr>
        <w:t>Hertfordshire</w:t>
      </w:r>
      <w:r>
        <w:rPr>
          <w:color w:val="0C0C0C"/>
          <w:spacing w:val="22"/>
        </w:rPr>
        <w:t> </w:t>
      </w:r>
      <w:r>
        <w:rPr>
          <w:color w:val="1A1A1A"/>
        </w:rPr>
        <w:t>Local</w:t>
      </w:r>
      <w:r>
        <w:rPr>
          <w:color w:val="1A1A1A"/>
          <w:spacing w:val="-1"/>
        </w:rPr>
        <w:t> </w:t>
      </w:r>
      <w:r>
        <w:rPr>
          <w:color w:val="0C0C0C"/>
        </w:rPr>
        <w:t>Government</w:t>
      </w:r>
      <w:r>
        <w:rPr>
          <w:color w:val="0C0C0C"/>
          <w:spacing w:val="24"/>
        </w:rPr>
        <w:t> </w:t>
      </w:r>
      <w:r>
        <w:rPr>
          <w:color w:val="0C0C0C"/>
        </w:rPr>
        <w:t>Pension Scheme (LGPS), a defined benefit scheme operated by Hertfordshire County Council.</w:t>
      </w:r>
    </w:p>
    <w:p>
      <w:pPr>
        <w:pStyle w:val="BodyText"/>
        <w:spacing w:before="14"/>
      </w:pPr>
    </w:p>
    <w:p>
      <w:pPr>
        <w:pStyle w:val="ListParagraph"/>
        <w:numPr>
          <w:ilvl w:val="1"/>
          <w:numId w:val="14"/>
        </w:numPr>
        <w:tabs>
          <w:tab w:val="left" w:leader="none" w:pos="2353"/>
          <w:tab w:val="left" w:leader="none" w:pos="2357"/>
        </w:tabs>
        <w:spacing w:before="0" w:after="0" w:line="240" w:lineRule="auto"/>
        <w:ind w:left="2357" w:right="1112" w:hanging="365"/>
        <w:jc w:val="both"/>
        <w:rPr>
          <w:color w:val="0C0C0C"/>
          <w:sz w:val="22"/>
        </w:rPr>
      </w:pPr>
      <w:r>
        <w:rPr/>
        <ve:AlternateContent>
          <ve:Choice Requires="wps">
            <w:drawing>
              <wp:anchor distT="0" distB="0" distL="0" distR="0" simplePos="0" relativeHeight="15758336" behindDoc="0" locked="0" layoutInCell="1" allowOverlap="1">
                <wp:simplePos x="0" y="0"/>
                <wp:positionH relativeFrom="page">
                  <wp:posOffset>119063</wp:posOffset>
                </wp:positionH>
                <wp:positionV relativeFrom="paragraph">
                  <wp:posOffset>287046</wp:posOffset>
                </wp:positionV>
                <wp:extent cx="1270" cy="561975"/>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1270" cy="561975"/>
                        </a:xfrm>
                        <a:custGeom>
                          <a:avLst/>
                          <a:gdLst/>
                          <a:ahLst/>
                          <a:cxnLst/>
                          <a:rect l="l" t="t" r="r" b="b"/>
                          <a:pathLst>
                            <a:path w="0" h="561975">
                              <a:moveTo>
                                <a:pt x="0" y="561471"/>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58336" stroked="true" strokecolor="#000000" strokeweight=".961549pt" from="9.375098pt,66.812483pt" to="9.375098pt,22.602098pt">
                <v:stroke dashstyle="solid"/>
                <w10:wrap type="none"/>
              </v:line>
            </w:pict>
          </ve:Fallback>
        </ve:AlternateContent>
      </w:r>
      <w:r>
        <w:rPr>
          <w:color w:val="0C0C0C"/>
          <w:sz w:val="22"/>
        </w:rPr>
        <w:t>The</w:t>
      </w:r>
      <w:r>
        <w:rPr>
          <w:color w:val="0C0C0C"/>
          <w:spacing w:val="-16"/>
          <w:sz w:val="22"/>
        </w:rPr>
        <w:t> </w:t>
      </w:r>
      <w:r>
        <w:rPr>
          <w:color w:val="0C0C0C"/>
          <w:sz w:val="22"/>
        </w:rPr>
        <w:t>liabilities</w:t>
      </w:r>
      <w:r>
        <w:rPr>
          <w:color w:val="0C0C0C"/>
          <w:spacing w:val="-15"/>
          <w:sz w:val="22"/>
        </w:rPr>
        <w:t> </w:t>
      </w:r>
      <w:r>
        <w:rPr>
          <w:color w:val="0C0C0C"/>
          <w:sz w:val="22"/>
        </w:rPr>
        <w:t>of</w:t>
      </w:r>
      <w:r>
        <w:rPr>
          <w:color w:val="0C0C0C"/>
          <w:spacing w:val="-15"/>
          <w:sz w:val="22"/>
        </w:rPr>
        <w:t> </w:t>
      </w:r>
      <w:r>
        <w:rPr>
          <w:color w:val="0C0C0C"/>
          <w:sz w:val="22"/>
        </w:rPr>
        <w:t>the</w:t>
      </w:r>
      <w:r>
        <w:rPr>
          <w:color w:val="0C0C0C"/>
          <w:spacing w:val="-16"/>
          <w:sz w:val="22"/>
        </w:rPr>
        <w:t> </w:t>
      </w:r>
      <w:r>
        <w:rPr>
          <w:color w:val="0C0C0C"/>
          <w:sz w:val="22"/>
        </w:rPr>
        <w:t>LGPS</w:t>
      </w:r>
      <w:r>
        <w:rPr>
          <w:color w:val="0C0C0C"/>
          <w:spacing w:val="-10"/>
          <w:sz w:val="22"/>
        </w:rPr>
        <w:t> </w:t>
      </w:r>
      <w:r>
        <w:rPr>
          <w:color w:val="0C0C0C"/>
          <w:sz w:val="22"/>
        </w:rPr>
        <w:t>attributable to</w:t>
      </w:r>
      <w:r>
        <w:rPr>
          <w:color w:val="0C0C0C"/>
          <w:spacing w:val="-16"/>
          <w:sz w:val="22"/>
        </w:rPr>
        <w:t> </w:t>
      </w:r>
      <w:r>
        <w:rPr>
          <w:color w:val="0C0C0C"/>
          <w:sz w:val="22"/>
        </w:rPr>
        <w:t>the</w:t>
      </w:r>
      <w:r>
        <w:rPr>
          <w:color w:val="0C0C0C"/>
          <w:spacing w:val="-10"/>
          <w:sz w:val="22"/>
        </w:rPr>
        <w:t> </w:t>
      </w:r>
      <w:r>
        <w:rPr>
          <w:color w:val="0C0C0C"/>
          <w:sz w:val="22"/>
        </w:rPr>
        <w:t>Council</w:t>
      </w:r>
      <w:r>
        <w:rPr>
          <w:color w:val="0C0C0C"/>
          <w:spacing w:val="-5"/>
          <w:sz w:val="22"/>
        </w:rPr>
        <w:t> </w:t>
      </w:r>
      <w:r>
        <w:rPr>
          <w:color w:val="0C0C0C"/>
          <w:sz w:val="22"/>
        </w:rPr>
        <w:t>are</w:t>
      </w:r>
      <w:r>
        <w:rPr>
          <w:color w:val="0C0C0C"/>
          <w:spacing w:val="-16"/>
          <w:sz w:val="22"/>
        </w:rPr>
        <w:t> </w:t>
      </w:r>
      <w:r>
        <w:rPr>
          <w:color w:val="0C0C0C"/>
          <w:sz w:val="22"/>
        </w:rPr>
        <w:t>included</w:t>
      </w:r>
      <w:r>
        <w:rPr>
          <w:color w:val="0C0C0C"/>
          <w:spacing w:val="-7"/>
          <w:sz w:val="22"/>
        </w:rPr>
        <w:t> </w:t>
      </w:r>
      <w:r>
        <w:rPr>
          <w:color w:val="1A1A1A"/>
          <w:sz w:val="22"/>
        </w:rPr>
        <w:t>in</w:t>
      </w:r>
      <w:r>
        <w:rPr>
          <w:color w:val="1A1A1A"/>
          <w:spacing w:val="-16"/>
          <w:sz w:val="22"/>
        </w:rPr>
        <w:t> </w:t>
      </w:r>
      <w:r>
        <w:rPr>
          <w:color w:val="0C0C0C"/>
          <w:sz w:val="22"/>
        </w:rPr>
        <w:t>the</w:t>
      </w:r>
      <w:r>
        <w:rPr>
          <w:color w:val="0C0C0C"/>
          <w:spacing w:val="-15"/>
          <w:sz w:val="22"/>
        </w:rPr>
        <w:t> </w:t>
      </w:r>
      <w:r>
        <w:rPr>
          <w:color w:val="0C0C0C"/>
          <w:sz w:val="22"/>
        </w:rPr>
        <w:t>Balance</w:t>
      </w:r>
      <w:r>
        <w:rPr>
          <w:color w:val="0C0C0C"/>
          <w:spacing w:val="-1"/>
          <w:sz w:val="22"/>
        </w:rPr>
        <w:t> </w:t>
      </w:r>
      <w:r>
        <w:rPr>
          <w:color w:val="0C0C0C"/>
          <w:sz w:val="22"/>
        </w:rPr>
        <w:t>Sheet on an actuarial basis, using the projected unit method.</w:t>
      </w:r>
    </w:p>
    <w:p>
      <w:pPr>
        <w:pStyle w:val="ListParagraph"/>
        <w:numPr>
          <w:ilvl w:val="1"/>
          <w:numId w:val="14"/>
        </w:numPr>
        <w:tabs>
          <w:tab w:val="left" w:leader="none" w:pos="2345"/>
        </w:tabs>
        <w:spacing w:before="18" w:after="0" w:line="240" w:lineRule="auto"/>
        <w:ind w:left="2345" w:right="1109" w:hanging="354"/>
        <w:jc w:val="both"/>
        <w:rPr>
          <w:color w:val="1A1A1A"/>
          <w:sz w:val="22"/>
        </w:rPr>
      </w:pPr>
      <w:r>
        <w:rPr>
          <w:color w:val="0C0C0C"/>
          <w:sz w:val="22"/>
        </w:rPr>
        <w:t>Liabilities </w:t>
      </w:r>
      <w:r>
        <w:rPr>
          <w:color w:val="1A1A1A"/>
          <w:sz w:val="22"/>
        </w:rPr>
        <w:t>are </w:t>
      </w:r>
      <w:r>
        <w:rPr>
          <w:color w:val="0C0C0C"/>
          <w:sz w:val="22"/>
        </w:rPr>
        <w:t>discounted to</w:t>
      </w:r>
      <w:r>
        <w:rPr>
          <w:color w:val="0C0C0C"/>
          <w:spacing w:val="-3"/>
          <w:sz w:val="22"/>
        </w:rPr>
        <w:t> </w:t>
      </w:r>
      <w:r>
        <w:rPr>
          <w:color w:val="0C0C0C"/>
          <w:sz w:val="22"/>
        </w:rPr>
        <w:t>their value </w:t>
      </w:r>
      <w:r>
        <w:rPr>
          <w:color w:val="1A1A1A"/>
          <w:sz w:val="22"/>
        </w:rPr>
        <w:t>at </w:t>
      </w:r>
      <w:r>
        <w:rPr>
          <w:color w:val="0C0C0C"/>
          <w:sz w:val="22"/>
        </w:rPr>
        <w:t>current prices, using a discount rate</w:t>
      </w:r>
      <w:r>
        <w:rPr>
          <w:color w:val="0C0C0C"/>
          <w:spacing w:val="-1"/>
          <w:sz w:val="22"/>
        </w:rPr>
        <w:t> </w:t>
      </w:r>
      <w:r>
        <w:rPr>
          <w:color w:val="0C0C0C"/>
          <w:sz w:val="22"/>
        </w:rPr>
        <w:t>that is based upon</w:t>
      </w:r>
      <w:r>
        <w:rPr>
          <w:color w:val="0C0C0C"/>
          <w:spacing w:val="-5"/>
          <w:sz w:val="22"/>
        </w:rPr>
        <w:t> </w:t>
      </w:r>
      <w:r>
        <w:rPr>
          <w:color w:val="0C0C0C"/>
          <w:sz w:val="22"/>
        </w:rPr>
        <w:t>the</w:t>
      </w:r>
      <w:r>
        <w:rPr>
          <w:color w:val="0C0C0C"/>
          <w:spacing w:val="-9"/>
          <w:sz w:val="22"/>
        </w:rPr>
        <w:t> </w:t>
      </w:r>
      <w:r>
        <w:rPr>
          <w:color w:val="0C0C0C"/>
          <w:sz w:val="22"/>
        </w:rPr>
        <w:t>indicative rate</w:t>
      </w:r>
      <w:r>
        <w:rPr>
          <w:color w:val="0C0C0C"/>
          <w:spacing w:val="-1"/>
          <w:sz w:val="22"/>
        </w:rPr>
        <w:t> </w:t>
      </w:r>
      <w:r>
        <w:rPr>
          <w:color w:val="0C0C0C"/>
          <w:sz w:val="22"/>
        </w:rPr>
        <w:t>of</w:t>
      </w:r>
      <w:r>
        <w:rPr>
          <w:color w:val="0C0C0C"/>
          <w:spacing w:val="-4"/>
          <w:sz w:val="22"/>
        </w:rPr>
        <w:t> </w:t>
      </w:r>
      <w:r>
        <w:rPr>
          <w:color w:val="0C0C0C"/>
          <w:sz w:val="22"/>
        </w:rPr>
        <w:t>return on</w:t>
      </w:r>
      <w:r>
        <w:rPr>
          <w:color w:val="0C0C0C"/>
          <w:spacing w:val="-6"/>
          <w:sz w:val="22"/>
        </w:rPr>
        <w:t> </w:t>
      </w:r>
      <w:r>
        <w:rPr>
          <w:color w:val="0C0C0C"/>
          <w:sz w:val="22"/>
        </w:rPr>
        <w:t>a</w:t>
      </w:r>
      <w:r>
        <w:rPr>
          <w:color w:val="0C0C0C"/>
          <w:spacing w:val="-8"/>
          <w:sz w:val="22"/>
        </w:rPr>
        <w:t> </w:t>
      </w:r>
      <w:r>
        <w:rPr>
          <w:color w:val="0C0C0C"/>
          <w:sz w:val="22"/>
        </w:rPr>
        <w:t>high</w:t>
      </w:r>
      <w:r>
        <w:rPr>
          <w:color w:val="0C0C0C"/>
          <w:spacing w:val="-6"/>
          <w:sz w:val="22"/>
        </w:rPr>
        <w:t> </w:t>
      </w:r>
      <w:r>
        <w:rPr>
          <w:color w:val="0C0C0C"/>
          <w:sz w:val="22"/>
        </w:rPr>
        <w:t>quality corporate bond</w:t>
      </w:r>
      <w:r>
        <w:rPr>
          <w:color w:val="0C0C0C"/>
          <w:spacing w:val="-8"/>
          <w:sz w:val="22"/>
        </w:rPr>
        <w:t> </w:t>
      </w:r>
      <w:r>
        <w:rPr>
          <w:color w:val="0C0C0C"/>
          <w:sz w:val="22"/>
        </w:rPr>
        <w:t>of</w:t>
      </w:r>
      <w:r>
        <w:rPr>
          <w:color w:val="0C0C0C"/>
          <w:spacing w:val="-8"/>
          <w:sz w:val="22"/>
        </w:rPr>
        <w:t> </w:t>
      </w:r>
      <w:r>
        <w:rPr>
          <w:color w:val="0C0C0C"/>
          <w:sz w:val="22"/>
        </w:rPr>
        <w:t>equivalent currency and term to the scheme's liabilities.</w:t>
      </w:r>
    </w:p>
    <w:p>
      <w:pPr>
        <w:pStyle w:val="ListParagraph"/>
        <w:numPr>
          <w:ilvl w:val="1"/>
          <w:numId w:val="14"/>
        </w:numPr>
        <w:tabs>
          <w:tab w:val="left" w:leader="none" w:pos="2339"/>
          <w:tab w:val="left" w:leader="none" w:pos="2342"/>
        </w:tabs>
        <w:spacing w:before="15" w:after="0" w:line="240" w:lineRule="auto"/>
        <w:ind w:left="2342" w:right="1116" w:hanging="360"/>
        <w:jc w:val="both"/>
        <w:rPr>
          <w:color w:val="0C0C0C"/>
          <w:sz w:val="22"/>
        </w:rPr>
      </w:pPr>
      <w:r>
        <w:rPr/>
        <ve:AlternateContent>
          <ve:Choice Requires="wps">
            <w:drawing>
              <wp:anchor distT="0" distB="0" distL="0" distR="0" simplePos="0" relativeHeight="15757824" behindDoc="0" locked="0" layoutInCell="1" allowOverlap="1">
                <wp:simplePos x="0" y="0"/>
                <wp:positionH relativeFrom="page">
                  <wp:posOffset>106852</wp:posOffset>
                </wp:positionH>
                <wp:positionV relativeFrom="paragraph">
                  <wp:posOffset>302411</wp:posOffset>
                </wp:positionV>
                <wp:extent cx="1270" cy="659130"/>
                <wp:effectExtent l="0" t="0" r="0" b="0"/>
                <wp:wrapNone/>
                <wp:docPr id="145" name="Graphic 145"/>
                <wp:cNvGraphicFramePr>
                  <a:graphicFrameLocks/>
                </wp:cNvGraphicFramePr>
                <a:graphic>
                  <a:graphicData uri="http://schemas.microsoft.com/office/word/2010/wordprocessingShape">
                    <wps:wsp>
                      <wps:cNvPr id="145" name="Graphic 145"/>
                      <wps:cNvSpPr/>
                      <wps:spPr>
                        <a:xfrm>
                          <a:off x="0" y="0"/>
                          <a:ext cx="1270" cy="659130"/>
                        </a:xfrm>
                        <a:custGeom>
                          <a:avLst/>
                          <a:gdLst/>
                          <a:ahLst/>
                          <a:cxnLst/>
                          <a:rect l="l" t="t" r="r" b="b"/>
                          <a:pathLst>
                            <a:path w="0" h="659130">
                              <a:moveTo>
                                <a:pt x="0" y="659119"/>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57824" stroked="true" strokecolor="#000000" strokeweight=".961549pt" from="8.413549pt,75.711098pt" to="8.413549pt,23.811951pt">
                <v:stroke dashstyle="solid"/>
                <w10:wrap type="none"/>
              </v:line>
            </w:pict>
          </ve:Fallback>
        </ve:AlternateContent>
      </w:r>
      <w:r>
        <w:rPr>
          <w:color w:val="0C0C0C"/>
          <w:sz w:val="22"/>
        </w:rPr>
        <w:t>The assets of the</w:t>
      </w:r>
      <w:r>
        <w:rPr>
          <w:color w:val="0C0C0C"/>
          <w:spacing w:val="-7"/>
          <w:sz w:val="22"/>
        </w:rPr>
        <w:t> </w:t>
      </w:r>
      <w:r>
        <w:rPr>
          <w:color w:val="0C0C0C"/>
          <w:sz w:val="22"/>
        </w:rPr>
        <w:t>LGPS attributable to</w:t>
      </w:r>
      <w:r>
        <w:rPr>
          <w:color w:val="0C0C0C"/>
          <w:spacing w:val="-6"/>
          <w:sz w:val="22"/>
        </w:rPr>
        <w:t> </w:t>
      </w:r>
      <w:r>
        <w:rPr>
          <w:color w:val="0C0C0C"/>
          <w:sz w:val="22"/>
        </w:rPr>
        <w:t>the Council are included in</w:t>
      </w:r>
      <w:r>
        <w:rPr>
          <w:color w:val="0C0C0C"/>
          <w:spacing w:val="-5"/>
          <w:sz w:val="22"/>
        </w:rPr>
        <w:t> </w:t>
      </w:r>
      <w:r>
        <w:rPr>
          <w:color w:val="0C0C0C"/>
          <w:sz w:val="22"/>
        </w:rPr>
        <w:t>the Balance Sheet at their fair value.</w:t>
      </w:r>
    </w:p>
    <w:p>
      <w:pPr>
        <w:pStyle w:val="BodyText"/>
      </w:pPr>
    </w:p>
    <w:p>
      <w:pPr>
        <w:pStyle w:val="BodyText"/>
        <w:ind w:left="1608"/>
      </w:pPr>
      <w:r>
        <w:rPr>
          <w:color w:val="0C0C0C"/>
        </w:rPr>
        <w:t>Changes</w:t>
      </w:r>
      <w:r>
        <w:rPr>
          <w:color w:val="0C0C0C"/>
          <w:spacing w:val="8"/>
        </w:rPr>
        <w:t> </w:t>
      </w:r>
      <w:r>
        <w:rPr>
          <w:color w:val="0C0C0C"/>
        </w:rPr>
        <w:t>in</w:t>
      </w:r>
      <w:r>
        <w:rPr>
          <w:color w:val="0C0C0C"/>
          <w:spacing w:val="-5"/>
        </w:rPr>
        <w:t> </w:t>
      </w:r>
      <w:r>
        <w:rPr>
          <w:color w:val="0C0C0C"/>
        </w:rPr>
        <w:t>the</w:t>
      </w:r>
      <w:r>
        <w:rPr>
          <w:color w:val="0C0C0C"/>
          <w:spacing w:val="-9"/>
        </w:rPr>
        <w:t> </w:t>
      </w:r>
      <w:r>
        <w:rPr>
          <w:color w:val="0C0C0C"/>
        </w:rPr>
        <w:t>net</w:t>
      </w:r>
      <w:r>
        <w:rPr>
          <w:color w:val="0C0C0C"/>
          <w:spacing w:val="-10"/>
        </w:rPr>
        <w:t> </w:t>
      </w:r>
      <w:r>
        <w:rPr>
          <w:color w:val="0C0C0C"/>
        </w:rPr>
        <w:t>pension</w:t>
      </w:r>
      <w:r>
        <w:rPr>
          <w:color w:val="0C0C0C"/>
          <w:spacing w:val="4"/>
        </w:rPr>
        <w:t> </w:t>
      </w:r>
      <w:r>
        <w:rPr>
          <w:color w:val="0C0C0C"/>
        </w:rPr>
        <w:t>liability</w:t>
      </w:r>
      <w:r>
        <w:rPr>
          <w:color w:val="0C0C0C"/>
          <w:spacing w:val="11"/>
        </w:rPr>
        <w:t> </w:t>
      </w:r>
      <w:r>
        <w:rPr>
          <w:color w:val="0C0C0C"/>
        </w:rPr>
        <w:t>are</w:t>
      </w:r>
      <w:r>
        <w:rPr>
          <w:color w:val="0C0C0C"/>
          <w:spacing w:val="-5"/>
        </w:rPr>
        <w:t> </w:t>
      </w:r>
      <w:r>
        <w:rPr>
          <w:color w:val="0C0C0C"/>
        </w:rPr>
        <w:t>analysed</w:t>
      </w:r>
      <w:r>
        <w:rPr>
          <w:color w:val="0C0C0C"/>
          <w:spacing w:val="-3"/>
        </w:rPr>
        <w:t> </w:t>
      </w:r>
      <w:r>
        <w:rPr>
          <w:color w:val="0C0C0C"/>
        </w:rPr>
        <w:t>into</w:t>
      </w:r>
      <w:r>
        <w:rPr>
          <w:color w:val="0C0C0C"/>
          <w:spacing w:val="-9"/>
        </w:rPr>
        <w:t> </w:t>
      </w:r>
      <w:r>
        <w:rPr>
          <w:color w:val="0C0C0C"/>
        </w:rPr>
        <w:t>the</w:t>
      </w:r>
      <w:r>
        <w:rPr>
          <w:color w:val="0C0C0C"/>
          <w:spacing w:val="-4"/>
        </w:rPr>
        <w:t> </w:t>
      </w:r>
      <w:r>
        <w:rPr>
          <w:color w:val="0C0C0C"/>
        </w:rPr>
        <w:t>following</w:t>
      </w:r>
      <w:r>
        <w:rPr>
          <w:color w:val="0C0C0C"/>
          <w:spacing w:val="7"/>
        </w:rPr>
        <w:t> </w:t>
      </w:r>
      <w:r>
        <w:rPr>
          <w:color w:val="0C0C0C"/>
          <w:spacing w:val="-2"/>
        </w:rPr>
        <w:t>components</w:t>
      </w:r>
      <w:r>
        <w:rPr>
          <w:color w:val="545454"/>
          <w:spacing w:val="-2"/>
        </w:rPr>
        <w:t>:</w:t>
      </w:r>
    </w:p>
    <w:p>
      <w:pPr>
        <w:pStyle w:val="BodyText"/>
        <w:spacing w:before="8"/>
      </w:pPr>
    </w:p>
    <w:p>
      <w:pPr>
        <w:spacing w:before="0"/>
        <w:ind w:left="1609" w:right="0" w:firstLine="0"/>
        <w:jc w:val="left"/>
        <w:rPr>
          <w:i/>
          <w:sz w:val="21"/>
        </w:rPr>
      </w:pPr>
      <w:r>
        <w:rPr/>
        <w:drawing>
          <wp:anchor distT="0" distB="0" distL="0" distR="0" simplePos="0" relativeHeight="15757312" behindDoc="0" locked="0" layoutInCell="1" allowOverlap="1">
            <wp:simplePos x="0" y="0"/>
            <wp:positionH relativeFrom="page">
              <wp:posOffset>85481</wp:posOffset>
            </wp:positionH>
            <wp:positionV relativeFrom="paragraph">
              <wp:posOffset>241366</wp:posOffset>
            </wp:positionV>
            <wp:extent cx="36634" cy="659119"/>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103" cstate="print"/>
                    <a:stretch>
                      <a:fillRect/>
                    </a:stretch>
                  </pic:blipFill>
                  <pic:spPr>
                    <a:xfrm>
                      <a:off x="0" y="0"/>
                      <a:ext cx="36634" cy="659119"/>
                    </a:xfrm>
                    <a:prstGeom prst="rect">
                      <a:avLst/>
                    </a:prstGeom>
                  </pic:spPr>
                </pic:pic>
              </a:graphicData>
            </a:graphic>
          </wp:anchor>
        </w:drawing>
      </w:r>
      <w:r>
        <w:rPr>
          <w:i/>
          <w:color w:val="0C0C0C"/>
          <w:w w:val="105"/>
          <w:sz w:val="21"/>
        </w:rPr>
        <w:t>Service</w:t>
      </w:r>
      <w:r>
        <w:rPr>
          <w:i/>
          <w:color w:val="0C0C0C"/>
          <w:spacing w:val="-6"/>
          <w:w w:val="105"/>
          <w:sz w:val="21"/>
        </w:rPr>
        <w:t> </w:t>
      </w:r>
      <w:r>
        <w:rPr>
          <w:i/>
          <w:color w:val="0C0C0C"/>
          <w:spacing w:val="-2"/>
          <w:w w:val="105"/>
          <w:sz w:val="21"/>
        </w:rPr>
        <w:t>Costs</w:t>
      </w:r>
      <w:r>
        <w:rPr>
          <w:i/>
          <w:color w:val="3B3B3B"/>
          <w:spacing w:val="-2"/>
          <w:w w:val="105"/>
          <w:sz w:val="21"/>
        </w:rPr>
        <w:t>:</w:t>
      </w:r>
    </w:p>
    <w:p>
      <w:pPr>
        <w:pStyle w:val="BodyText"/>
        <w:spacing w:before="36"/>
        <w:rPr>
          <w:i/>
          <w:sz w:val="21"/>
        </w:rPr>
      </w:pPr>
    </w:p>
    <w:p>
      <w:pPr>
        <w:pStyle w:val="ListParagraph"/>
        <w:numPr>
          <w:ilvl w:val="1"/>
          <w:numId w:val="14"/>
        </w:numPr>
        <w:tabs>
          <w:tab w:val="left" w:leader="none" w:pos="2314"/>
          <w:tab w:val="left" w:leader="none" w:pos="2318"/>
        </w:tabs>
        <w:spacing w:before="0" w:after="0" w:line="240" w:lineRule="auto"/>
        <w:ind w:left="2314" w:right="1119" w:hanging="356"/>
        <w:jc w:val="both"/>
        <w:rPr>
          <w:color w:val="0C0C0C"/>
          <w:sz w:val="22"/>
        </w:rPr>
      </w:pPr>
      <w:r>
        <w:rPr>
          <w:color w:val="0C0C0C"/>
          <w:sz w:val="22"/>
        </w:rPr>
        <w:tab/>
        <w:t>Current service cost</w:t>
      </w:r>
      <w:r>
        <w:rPr>
          <w:color w:val="0C0C0C"/>
          <w:spacing w:val="-12"/>
          <w:sz w:val="22"/>
        </w:rPr>
        <w:t> </w:t>
      </w:r>
      <w:r>
        <w:rPr>
          <w:color w:val="0C0C0C"/>
          <w:sz w:val="22"/>
        </w:rPr>
        <w:t>-</w:t>
      </w:r>
      <w:r>
        <w:rPr>
          <w:color w:val="0C0C0C"/>
          <w:spacing w:val="40"/>
          <w:sz w:val="22"/>
        </w:rPr>
        <w:t> </w:t>
      </w:r>
      <w:r>
        <w:rPr>
          <w:color w:val="0C0C0C"/>
          <w:sz w:val="22"/>
        </w:rPr>
        <w:t>the</w:t>
      </w:r>
      <w:r>
        <w:rPr>
          <w:color w:val="0C0C0C"/>
          <w:spacing w:val="-10"/>
          <w:sz w:val="22"/>
        </w:rPr>
        <w:t> </w:t>
      </w:r>
      <w:r>
        <w:rPr>
          <w:color w:val="0C0C0C"/>
          <w:sz w:val="22"/>
        </w:rPr>
        <w:t>increase</w:t>
      </w:r>
      <w:r>
        <w:rPr>
          <w:color w:val="0C0C0C"/>
          <w:spacing w:val="-4"/>
          <w:sz w:val="22"/>
        </w:rPr>
        <w:t> </w:t>
      </w:r>
      <w:r>
        <w:rPr>
          <w:color w:val="0C0C0C"/>
          <w:sz w:val="22"/>
        </w:rPr>
        <w:t>in</w:t>
      </w:r>
      <w:r>
        <w:rPr>
          <w:color w:val="0C0C0C"/>
          <w:spacing w:val="-15"/>
          <w:sz w:val="22"/>
        </w:rPr>
        <w:t> </w:t>
      </w:r>
      <w:r>
        <w:rPr>
          <w:color w:val="1A1A1A"/>
          <w:sz w:val="22"/>
        </w:rPr>
        <w:t>liabilities </w:t>
      </w:r>
      <w:r>
        <w:rPr>
          <w:color w:val="0C0C0C"/>
          <w:sz w:val="22"/>
        </w:rPr>
        <w:t>as</w:t>
      </w:r>
      <w:r>
        <w:rPr>
          <w:color w:val="0C0C0C"/>
          <w:spacing w:val="-9"/>
          <w:sz w:val="22"/>
        </w:rPr>
        <w:t> </w:t>
      </w:r>
      <w:r>
        <w:rPr>
          <w:color w:val="0C0C0C"/>
          <w:sz w:val="22"/>
        </w:rPr>
        <w:t>a</w:t>
      </w:r>
      <w:r>
        <w:rPr>
          <w:color w:val="0C0C0C"/>
          <w:spacing w:val="-8"/>
          <w:sz w:val="22"/>
        </w:rPr>
        <w:t> </w:t>
      </w:r>
      <w:r>
        <w:rPr>
          <w:color w:val="0C0C0C"/>
          <w:sz w:val="22"/>
        </w:rPr>
        <w:t>result</w:t>
      </w:r>
      <w:r>
        <w:rPr>
          <w:color w:val="0C0C0C"/>
          <w:spacing w:val="-6"/>
          <w:sz w:val="22"/>
        </w:rPr>
        <w:t> </w:t>
      </w:r>
      <w:r>
        <w:rPr>
          <w:color w:val="0C0C0C"/>
          <w:sz w:val="22"/>
        </w:rPr>
        <w:t>of</w:t>
      </w:r>
      <w:r>
        <w:rPr>
          <w:color w:val="0C0C0C"/>
          <w:spacing w:val="-16"/>
          <w:sz w:val="22"/>
        </w:rPr>
        <w:t> </w:t>
      </w:r>
      <w:r>
        <w:rPr>
          <w:color w:val="0C0C0C"/>
          <w:sz w:val="22"/>
        </w:rPr>
        <w:t>service earned</w:t>
      </w:r>
      <w:r>
        <w:rPr>
          <w:color w:val="0C0C0C"/>
          <w:spacing w:val="-5"/>
          <w:sz w:val="22"/>
        </w:rPr>
        <w:t> </w:t>
      </w:r>
      <w:r>
        <w:rPr>
          <w:color w:val="0C0C0C"/>
          <w:sz w:val="22"/>
        </w:rPr>
        <w:t>during</w:t>
      </w:r>
      <w:r>
        <w:rPr>
          <w:color w:val="0C0C0C"/>
          <w:spacing w:val="-6"/>
          <w:sz w:val="22"/>
        </w:rPr>
        <w:t> </w:t>
      </w:r>
      <w:r>
        <w:rPr>
          <w:color w:val="0C0C0C"/>
          <w:sz w:val="22"/>
        </w:rPr>
        <w:t>the year is charged to</w:t>
      </w:r>
      <w:r>
        <w:rPr>
          <w:color w:val="0C0C0C"/>
          <w:spacing w:val="-5"/>
          <w:sz w:val="22"/>
        </w:rPr>
        <w:t> </w:t>
      </w:r>
      <w:r>
        <w:rPr>
          <w:color w:val="0C0C0C"/>
          <w:sz w:val="22"/>
        </w:rPr>
        <w:t>the</w:t>
      </w:r>
      <w:r>
        <w:rPr>
          <w:color w:val="0C0C0C"/>
          <w:spacing w:val="-3"/>
          <w:sz w:val="22"/>
        </w:rPr>
        <w:t> </w:t>
      </w:r>
      <w:r>
        <w:rPr>
          <w:color w:val="0C0C0C"/>
          <w:sz w:val="22"/>
        </w:rPr>
        <w:t>Comprehensive Income and</w:t>
      </w:r>
      <w:r>
        <w:rPr>
          <w:color w:val="0C0C0C"/>
          <w:spacing w:val="-4"/>
          <w:sz w:val="22"/>
        </w:rPr>
        <w:t> </w:t>
      </w:r>
      <w:r>
        <w:rPr>
          <w:color w:val="0C0C0C"/>
          <w:sz w:val="22"/>
        </w:rPr>
        <w:t>Expenditure Statement (i.e.</w:t>
      </w:r>
      <w:r>
        <w:rPr>
          <w:color w:val="0C0C0C"/>
          <w:spacing w:val="-3"/>
          <w:sz w:val="22"/>
        </w:rPr>
        <w:t> </w:t>
      </w:r>
      <w:r>
        <w:rPr>
          <w:color w:val="0C0C0C"/>
          <w:sz w:val="22"/>
        </w:rPr>
        <w:t>to</w:t>
      </w:r>
      <w:r>
        <w:rPr>
          <w:color w:val="0C0C0C"/>
          <w:spacing w:val="-6"/>
          <w:sz w:val="22"/>
        </w:rPr>
        <w:t> </w:t>
      </w:r>
      <w:r>
        <w:rPr>
          <w:color w:val="0C0C0C"/>
          <w:sz w:val="22"/>
        </w:rPr>
        <w:t>the services for which the employees worked);</w:t>
      </w:r>
    </w:p>
    <w:p>
      <w:pPr>
        <w:pStyle w:val="BodyText"/>
        <w:spacing w:before="12"/>
      </w:pPr>
    </w:p>
    <w:p>
      <w:pPr>
        <w:pStyle w:val="ListParagraph"/>
        <w:numPr>
          <w:ilvl w:val="1"/>
          <w:numId w:val="14"/>
        </w:numPr>
        <w:tabs>
          <w:tab w:val="left" w:leader="none" w:pos="2295"/>
          <w:tab w:val="left" w:leader="none" w:pos="2311"/>
        </w:tabs>
        <w:spacing w:before="0" w:after="0" w:line="242" w:lineRule="auto"/>
        <w:ind w:left="2295" w:right="1130" w:hanging="343"/>
        <w:jc w:val="both"/>
        <w:rPr>
          <w:color w:val="1A1A1A"/>
          <w:sz w:val="22"/>
        </w:rPr>
      </w:pPr>
      <w:r>
        <w:rPr>
          <w:color w:val="1A1A1A"/>
          <w:sz w:val="22"/>
        </w:rPr>
        <w:tab/>
        <w:t>Past</w:t>
      </w:r>
      <w:r>
        <w:rPr>
          <w:color w:val="1A1A1A"/>
          <w:spacing w:val="-16"/>
          <w:sz w:val="22"/>
        </w:rPr>
        <w:t> </w:t>
      </w:r>
      <w:r>
        <w:rPr>
          <w:color w:val="1A1A1A"/>
          <w:sz w:val="22"/>
        </w:rPr>
        <w:t>service</w:t>
      </w:r>
      <w:r>
        <w:rPr>
          <w:color w:val="1A1A1A"/>
          <w:spacing w:val="-15"/>
          <w:sz w:val="22"/>
        </w:rPr>
        <w:t> </w:t>
      </w:r>
      <w:r>
        <w:rPr>
          <w:color w:val="1A1A1A"/>
          <w:sz w:val="22"/>
        </w:rPr>
        <w:t>cost</w:t>
      </w:r>
      <w:r>
        <w:rPr>
          <w:color w:val="1A1A1A"/>
          <w:spacing w:val="-15"/>
          <w:sz w:val="22"/>
        </w:rPr>
        <w:t> </w:t>
      </w:r>
      <w:r>
        <w:rPr>
          <w:color w:val="0C0C0C"/>
          <w:sz w:val="22"/>
        </w:rPr>
        <w:t>-</w:t>
      </w:r>
      <w:r>
        <w:rPr>
          <w:color w:val="0C0C0C"/>
          <w:spacing w:val="-13"/>
          <w:sz w:val="22"/>
        </w:rPr>
        <w:t> </w:t>
      </w:r>
      <w:r>
        <w:rPr>
          <w:color w:val="2B2B2B"/>
          <w:sz w:val="22"/>
        </w:rPr>
        <w:t>the</w:t>
      </w:r>
      <w:r>
        <w:rPr>
          <w:color w:val="2B2B2B"/>
          <w:spacing w:val="-9"/>
          <w:sz w:val="22"/>
        </w:rPr>
        <w:t> </w:t>
      </w:r>
      <w:r>
        <w:rPr>
          <w:color w:val="2B2B2B"/>
          <w:sz w:val="22"/>
        </w:rPr>
        <w:t>increase</w:t>
      </w:r>
      <w:r>
        <w:rPr>
          <w:color w:val="2B2B2B"/>
          <w:spacing w:val="-8"/>
          <w:sz w:val="22"/>
        </w:rPr>
        <w:t> </w:t>
      </w:r>
      <w:r>
        <w:rPr>
          <w:color w:val="1A1A1A"/>
          <w:sz w:val="22"/>
        </w:rPr>
        <w:t>in</w:t>
      </w:r>
      <w:r>
        <w:rPr>
          <w:color w:val="1A1A1A"/>
          <w:spacing w:val="-16"/>
          <w:sz w:val="22"/>
        </w:rPr>
        <w:t> </w:t>
      </w:r>
      <w:r>
        <w:rPr>
          <w:color w:val="1A1A1A"/>
          <w:sz w:val="22"/>
        </w:rPr>
        <w:t>liabilities</w:t>
      </w:r>
      <w:r>
        <w:rPr>
          <w:color w:val="1A1A1A"/>
          <w:spacing w:val="-8"/>
          <w:sz w:val="22"/>
        </w:rPr>
        <w:t> </w:t>
      </w:r>
      <w:r>
        <w:rPr>
          <w:color w:val="0C0C0C"/>
          <w:sz w:val="22"/>
        </w:rPr>
        <w:t>arising</w:t>
      </w:r>
      <w:r>
        <w:rPr>
          <w:color w:val="0C0C0C"/>
          <w:spacing w:val="-16"/>
          <w:sz w:val="22"/>
        </w:rPr>
        <w:t> </w:t>
      </w:r>
      <w:r>
        <w:rPr>
          <w:color w:val="0C0C0C"/>
          <w:sz w:val="22"/>
        </w:rPr>
        <w:t>from</w:t>
      </w:r>
      <w:r>
        <w:rPr>
          <w:color w:val="0C0C0C"/>
          <w:spacing w:val="-5"/>
          <w:sz w:val="22"/>
        </w:rPr>
        <w:t> </w:t>
      </w:r>
      <w:r>
        <w:rPr>
          <w:color w:val="1A1A1A"/>
          <w:sz w:val="22"/>
        </w:rPr>
        <w:t>a</w:t>
      </w:r>
      <w:r>
        <w:rPr>
          <w:color w:val="1A1A1A"/>
          <w:spacing w:val="-16"/>
          <w:sz w:val="22"/>
        </w:rPr>
        <w:t> </w:t>
      </w:r>
      <w:r>
        <w:rPr>
          <w:color w:val="1A1A1A"/>
          <w:sz w:val="22"/>
        </w:rPr>
        <w:t>current</w:t>
      </w:r>
      <w:r>
        <w:rPr>
          <w:color w:val="1A1A1A"/>
          <w:spacing w:val="-5"/>
          <w:sz w:val="22"/>
        </w:rPr>
        <w:t> </w:t>
      </w:r>
      <w:r>
        <w:rPr>
          <w:color w:val="1A1A1A"/>
          <w:sz w:val="22"/>
        </w:rPr>
        <w:t>year</w:t>
      </w:r>
      <w:r>
        <w:rPr>
          <w:color w:val="1A1A1A"/>
          <w:spacing w:val="-15"/>
          <w:sz w:val="22"/>
        </w:rPr>
        <w:t> </w:t>
      </w:r>
      <w:r>
        <w:rPr>
          <w:color w:val="1A1A1A"/>
          <w:sz w:val="22"/>
        </w:rPr>
        <w:t>pension</w:t>
      </w:r>
      <w:r>
        <w:rPr>
          <w:color w:val="1A1A1A"/>
          <w:spacing w:val="-11"/>
          <w:sz w:val="22"/>
        </w:rPr>
        <w:t> </w:t>
      </w:r>
      <w:r>
        <w:rPr>
          <w:color w:val="0C0C0C"/>
          <w:sz w:val="22"/>
        </w:rPr>
        <w:t>scheme </w:t>
      </w:r>
      <w:r>
        <w:rPr>
          <w:color w:val="1A1A1A"/>
          <w:sz w:val="22"/>
        </w:rPr>
        <w:t>amendment</w:t>
      </w:r>
      <w:r>
        <w:rPr>
          <w:color w:val="1A1A1A"/>
          <w:spacing w:val="22"/>
          <w:sz w:val="22"/>
        </w:rPr>
        <w:t> </w:t>
      </w:r>
      <w:r>
        <w:rPr>
          <w:color w:val="1A1A1A"/>
          <w:sz w:val="22"/>
        </w:rPr>
        <w:t>or a</w:t>
      </w:r>
      <w:r>
        <w:rPr>
          <w:color w:val="1A1A1A"/>
          <w:spacing w:val="-6"/>
          <w:sz w:val="22"/>
        </w:rPr>
        <w:t> </w:t>
      </w:r>
      <w:r>
        <w:rPr>
          <w:color w:val="1A1A1A"/>
          <w:sz w:val="22"/>
        </w:rPr>
        <w:t>curtai</w:t>
      </w:r>
      <w:r>
        <w:rPr>
          <w:color w:val="3B3B3B"/>
          <w:sz w:val="22"/>
        </w:rPr>
        <w:t>lm</w:t>
      </w:r>
      <w:r>
        <w:rPr>
          <w:color w:val="1A1A1A"/>
          <w:sz w:val="22"/>
        </w:rPr>
        <w:t>ent</w:t>
      </w:r>
      <w:r>
        <w:rPr>
          <w:color w:val="545454"/>
          <w:sz w:val="22"/>
        </w:rPr>
        <w:t>,</w:t>
      </w:r>
      <w:r>
        <w:rPr>
          <w:color w:val="545454"/>
          <w:spacing w:val="-12"/>
          <w:sz w:val="22"/>
        </w:rPr>
        <w:t> </w:t>
      </w:r>
      <w:r>
        <w:rPr>
          <w:color w:val="1A1A1A"/>
          <w:sz w:val="22"/>
        </w:rPr>
        <w:t>whose effect</w:t>
      </w:r>
      <w:r>
        <w:rPr>
          <w:color w:val="1A1A1A"/>
          <w:spacing w:val="-5"/>
          <w:sz w:val="22"/>
        </w:rPr>
        <w:t> </w:t>
      </w:r>
      <w:r>
        <w:rPr>
          <w:color w:val="0C0C0C"/>
          <w:sz w:val="22"/>
        </w:rPr>
        <w:t>relates</w:t>
      </w:r>
      <w:r>
        <w:rPr>
          <w:color w:val="0C0C0C"/>
          <w:spacing w:val="-8"/>
          <w:sz w:val="22"/>
        </w:rPr>
        <w:t> </w:t>
      </w:r>
      <w:r>
        <w:rPr>
          <w:color w:val="0C0C0C"/>
          <w:sz w:val="22"/>
        </w:rPr>
        <w:t>to </w:t>
      </w:r>
      <w:r>
        <w:rPr>
          <w:color w:val="1A1A1A"/>
          <w:sz w:val="22"/>
        </w:rPr>
        <w:t>years of</w:t>
      </w:r>
      <w:r>
        <w:rPr>
          <w:color w:val="1A1A1A"/>
          <w:spacing w:val="-5"/>
          <w:sz w:val="22"/>
        </w:rPr>
        <w:t> </w:t>
      </w:r>
      <w:r>
        <w:rPr>
          <w:color w:val="0C0C0C"/>
          <w:sz w:val="22"/>
        </w:rPr>
        <w:t>service </w:t>
      </w:r>
      <w:r>
        <w:rPr>
          <w:color w:val="1A1A1A"/>
          <w:sz w:val="22"/>
        </w:rPr>
        <w:t>earned in</w:t>
      </w:r>
      <w:r>
        <w:rPr>
          <w:color w:val="1A1A1A"/>
          <w:spacing w:val="-7"/>
          <w:sz w:val="22"/>
        </w:rPr>
        <w:t> </w:t>
      </w:r>
      <w:r>
        <w:rPr>
          <w:color w:val="1A1A1A"/>
          <w:sz w:val="22"/>
        </w:rPr>
        <w:t>earlier years</w:t>
      </w:r>
      <w:r>
        <w:rPr>
          <w:color w:val="545454"/>
          <w:sz w:val="22"/>
        </w:rPr>
        <w:t>, </w:t>
      </w:r>
      <w:r>
        <w:rPr>
          <w:color w:val="1A1A1A"/>
          <w:sz w:val="22"/>
        </w:rPr>
        <w:t>is debited </w:t>
      </w:r>
      <w:r>
        <w:rPr>
          <w:color w:val="0C0C0C"/>
          <w:sz w:val="22"/>
        </w:rPr>
        <w:t>to </w:t>
      </w:r>
      <w:r>
        <w:rPr>
          <w:color w:val="1A1A1A"/>
          <w:sz w:val="22"/>
        </w:rPr>
        <w:t>the Surplus/Deficit on the Provision of Services </w:t>
      </w:r>
      <w:r>
        <w:rPr>
          <w:color w:val="2B2B2B"/>
          <w:sz w:val="22"/>
        </w:rPr>
        <w:t>in </w:t>
      </w:r>
      <w:r>
        <w:rPr>
          <w:color w:val="1A1A1A"/>
          <w:sz w:val="22"/>
        </w:rPr>
        <w:t>the </w:t>
      </w:r>
      <w:r>
        <w:rPr>
          <w:color w:val="0C0C0C"/>
          <w:sz w:val="22"/>
        </w:rPr>
        <w:t>Comprehensive Income and Expenditure Statement; and</w:t>
      </w:r>
    </w:p>
    <w:p>
      <w:pPr>
        <w:pStyle w:val="BodyText"/>
        <w:spacing w:before="15"/>
      </w:pPr>
    </w:p>
    <w:p>
      <w:pPr>
        <w:pStyle w:val="ListParagraph"/>
        <w:numPr>
          <w:ilvl w:val="1"/>
          <w:numId w:val="14"/>
        </w:numPr>
        <w:tabs>
          <w:tab w:val="left" w:leader="none" w:pos="2281"/>
          <w:tab w:val="left" w:leader="none" w:pos="2289"/>
        </w:tabs>
        <w:spacing w:before="0" w:after="0" w:line="237" w:lineRule="auto"/>
        <w:ind w:left="2281" w:right="1145" w:hanging="352"/>
        <w:jc w:val="both"/>
        <w:rPr>
          <w:color w:val="1A1A1A"/>
          <w:sz w:val="22"/>
        </w:rPr>
      </w:pPr>
      <w:r>
        <w:rPr>
          <w:color w:val="1A1A1A"/>
          <w:sz w:val="22"/>
        </w:rPr>
        <w:tab/>
      </w:r>
      <w:r>
        <w:rPr>
          <w:color w:val="0C0C0C"/>
          <w:sz w:val="22"/>
        </w:rPr>
        <w:t>Gains/losses on</w:t>
      </w:r>
      <w:r>
        <w:rPr>
          <w:color w:val="0C0C0C"/>
          <w:spacing w:val="-4"/>
          <w:sz w:val="22"/>
        </w:rPr>
        <w:t> </w:t>
      </w:r>
      <w:r>
        <w:rPr>
          <w:color w:val="0C0C0C"/>
          <w:sz w:val="22"/>
        </w:rPr>
        <w:t>settlements - the</w:t>
      </w:r>
      <w:r>
        <w:rPr>
          <w:color w:val="0C0C0C"/>
          <w:spacing w:val="-4"/>
          <w:sz w:val="22"/>
        </w:rPr>
        <w:t> </w:t>
      </w:r>
      <w:r>
        <w:rPr>
          <w:color w:val="0C0C0C"/>
          <w:sz w:val="22"/>
        </w:rPr>
        <w:t>results of actions to</w:t>
      </w:r>
      <w:r>
        <w:rPr>
          <w:color w:val="0C0C0C"/>
          <w:spacing w:val="-6"/>
          <w:sz w:val="22"/>
        </w:rPr>
        <w:t> </w:t>
      </w:r>
      <w:r>
        <w:rPr>
          <w:color w:val="0C0C0C"/>
          <w:sz w:val="22"/>
        </w:rPr>
        <w:t>relieve the Council of liabilities or events that reduce the expected future service or accrual of benefits of</w:t>
      </w:r>
      <w:r>
        <w:rPr>
          <w:color w:val="0C0C0C"/>
          <w:spacing w:val="-2"/>
          <w:sz w:val="22"/>
        </w:rPr>
        <w:t> </w:t>
      </w:r>
      <w:r>
        <w:rPr>
          <w:color w:val="0C0C0C"/>
          <w:sz w:val="22"/>
        </w:rPr>
        <w:t>employees are credited or debited to the Surplus/Deficit on the Provision of Services line in the Comprehensive Income and Expenditure Statement.</w:t>
      </w:r>
    </w:p>
    <w:p>
      <w:pPr>
        <w:pStyle w:val="BodyText"/>
        <w:spacing w:before="16"/>
      </w:pPr>
    </w:p>
    <w:p>
      <w:pPr>
        <w:spacing w:before="0"/>
        <w:ind w:left="1557" w:right="0" w:firstLine="0"/>
        <w:jc w:val="left"/>
        <w:rPr>
          <w:i/>
          <w:sz w:val="21"/>
        </w:rPr>
      </w:pPr>
      <w:r>
        <w:rPr>
          <w:i/>
          <w:color w:val="0C0C0C"/>
          <w:w w:val="105"/>
          <w:sz w:val="21"/>
        </w:rPr>
        <w:t>Net</w:t>
      </w:r>
      <w:r>
        <w:rPr>
          <w:i/>
          <w:color w:val="0C0C0C"/>
          <w:spacing w:val="-6"/>
          <w:w w:val="105"/>
          <w:sz w:val="21"/>
        </w:rPr>
        <w:t> </w:t>
      </w:r>
      <w:r>
        <w:rPr>
          <w:i/>
          <w:color w:val="0C0C0C"/>
          <w:w w:val="105"/>
          <w:sz w:val="21"/>
        </w:rPr>
        <w:t>interest</w:t>
      </w:r>
      <w:r>
        <w:rPr>
          <w:i/>
          <w:color w:val="0C0C0C"/>
          <w:spacing w:val="-3"/>
          <w:w w:val="105"/>
          <w:sz w:val="21"/>
        </w:rPr>
        <w:t> </w:t>
      </w:r>
      <w:r>
        <w:rPr>
          <w:i/>
          <w:color w:val="0C0C0C"/>
          <w:spacing w:val="-2"/>
          <w:w w:val="105"/>
          <w:sz w:val="21"/>
        </w:rPr>
        <w:t>expense:</w:t>
      </w:r>
    </w:p>
    <w:p>
      <w:pPr>
        <w:pStyle w:val="BodyText"/>
        <w:spacing w:before="17"/>
        <w:rPr>
          <w:i/>
          <w:sz w:val="21"/>
        </w:rPr>
      </w:pPr>
    </w:p>
    <w:p>
      <w:pPr>
        <w:pStyle w:val="BodyText"/>
        <w:spacing w:line="276" w:lineRule="auto"/>
        <w:ind w:left="1525" w:right="1150" w:firstLine="26"/>
        <w:jc w:val="both"/>
      </w:pPr>
      <w:r>
        <w:rPr>
          <w:color w:val="0C0C0C"/>
        </w:rPr>
        <w:t>The change during the period in the net pension liability arising from the passage of time. It </w:t>
      </w:r>
      <w:r>
        <w:rPr>
          <w:color w:val="1A1A1A"/>
        </w:rPr>
        <w:t>includes </w:t>
      </w:r>
      <w:r>
        <w:rPr>
          <w:color w:val="0C0C0C"/>
        </w:rPr>
        <w:t>interest income on plan assets and interest costs on the pension liability. It is calculated by applying the discount rate used to measure the net pension obligation at the beginning of</w:t>
      </w:r>
      <w:r>
        <w:rPr>
          <w:color w:val="0C0C0C"/>
          <w:spacing w:val="-1"/>
        </w:rPr>
        <w:t> </w:t>
      </w:r>
      <w:r>
        <w:rPr>
          <w:color w:val="0C0C0C"/>
        </w:rPr>
        <w:t>the period to the net pension liability at the</w:t>
      </w:r>
      <w:r>
        <w:rPr>
          <w:color w:val="0C0C0C"/>
          <w:spacing w:val="-2"/>
        </w:rPr>
        <w:t> </w:t>
      </w:r>
      <w:r>
        <w:rPr>
          <w:color w:val="0C0C0C"/>
        </w:rPr>
        <w:t>beginning of the</w:t>
      </w:r>
      <w:r>
        <w:rPr>
          <w:color w:val="0C0C0C"/>
          <w:spacing w:val="-1"/>
        </w:rPr>
        <w:t> </w:t>
      </w:r>
      <w:r>
        <w:rPr>
          <w:color w:val="0C0C0C"/>
        </w:rPr>
        <w:t>period -</w:t>
      </w:r>
      <w:r>
        <w:rPr>
          <w:color w:val="0C0C0C"/>
          <w:spacing w:val="40"/>
        </w:rPr>
        <w:t> </w:t>
      </w:r>
      <w:r>
        <w:rPr>
          <w:color w:val="0C0C0C"/>
        </w:rPr>
        <w:t>taking into account any changes in</w:t>
      </w:r>
      <w:r>
        <w:rPr>
          <w:color w:val="0C0C0C"/>
          <w:spacing w:val="-2"/>
        </w:rPr>
        <w:t> </w:t>
      </w:r>
      <w:r>
        <w:rPr>
          <w:color w:val="0C0C0C"/>
        </w:rPr>
        <w:t>the net pension liability during the period as a result of contribution and benefit payments. It</w:t>
      </w:r>
      <w:r>
        <w:rPr>
          <w:color w:val="0C0C0C"/>
          <w:spacing w:val="-11"/>
        </w:rPr>
        <w:t> </w:t>
      </w:r>
      <w:r>
        <w:rPr>
          <w:color w:val="0C0C0C"/>
        </w:rPr>
        <w:t>is charged or credited to</w:t>
      </w:r>
      <w:r>
        <w:rPr>
          <w:color w:val="0C0C0C"/>
          <w:spacing w:val="-2"/>
        </w:rPr>
        <w:t> </w:t>
      </w:r>
      <w:r>
        <w:rPr>
          <w:color w:val="0C0C0C"/>
        </w:rPr>
        <w:t>the </w:t>
      </w:r>
      <w:r>
        <w:rPr>
          <w:color w:val="1A1A1A"/>
        </w:rPr>
        <w:t>'Financing </w:t>
      </w:r>
      <w:r>
        <w:rPr>
          <w:color w:val="0C0C0C"/>
        </w:rPr>
        <w:t>and</w:t>
      </w:r>
      <w:r>
        <w:rPr>
          <w:color w:val="0C0C0C"/>
          <w:spacing w:val="-4"/>
        </w:rPr>
        <w:t> </w:t>
      </w:r>
      <w:r>
        <w:rPr>
          <w:color w:val="0C0C0C"/>
        </w:rPr>
        <w:t>Investment Income and Expenditure' line within the Comprehensive Income and</w:t>
      </w:r>
      <w:r>
        <w:rPr>
          <w:color w:val="0C0C0C"/>
          <w:spacing w:val="-1"/>
        </w:rPr>
        <w:t> </w:t>
      </w:r>
      <w:r>
        <w:rPr>
          <w:color w:val="0C0C0C"/>
        </w:rPr>
        <w:t>Expenditure Statement.</w:t>
      </w:r>
    </w:p>
    <w:p>
      <w:pPr>
        <w:spacing w:before="218"/>
        <w:ind w:left="1522" w:right="0" w:firstLine="0"/>
        <w:jc w:val="both"/>
        <w:rPr>
          <w:i/>
          <w:sz w:val="21"/>
        </w:rPr>
      </w:pPr>
      <w:r>
        <w:rPr>
          <w:i/>
          <w:color w:val="0C0C0C"/>
          <w:w w:val="105"/>
          <w:sz w:val="21"/>
        </w:rPr>
        <w:t>Re-measurements</w:t>
      </w:r>
      <w:r>
        <w:rPr>
          <w:i/>
          <w:color w:val="0C0C0C"/>
          <w:spacing w:val="1"/>
          <w:w w:val="105"/>
          <w:sz w:val="21"/>
        </w:rPr>
        <w:t> </w:t>
      </w:r>
      <w:r>
        <w:rPr>
          <w:i/>
          <w:color w:val="0C0C0C"/>
          <w:w w:val="105"/>
          <w:sz w:val="21"/>
        </w:rPr>
        <w:t>of</w:t>
      </w:r>
      <w:r>
        <w:rPr>
          <w:i/>
          <w:color w:val="0C0C0C"/>
          <w:spacing w:val="-1"/>
          <w:w w:val="105"/>
          <w:sz w:val="21"/>
        </w:rPr>
        <w:t> </w:t>
      </w:r>
      <w:r>
        <w:rPr>
          <w:i/>
          <w:color w:val="0C0C0C"/>
          <w:w w:val="105"/>
          <w:sz w:val="21"/>
        </w:rPr>
        <w:t>the</w:t>
      </w:r>
      <w:r>
        <w:rPr>
          <w:i/>
          <w:color w:val="0C0C0C"/>
          <w:spacing w:val="2"/>
          <w:w w:val="105"/>
          <w:sz w:val="21"/>
        </w:rPr>
        <w:t> </w:t>
      </w:r>
      <w:r>
        <w:rPr>
          <w:i/>
          <w:color w:val="0C0C0C"/>
          <w:w w:val="105"/>
          <w:sz w:val="21"/>
        </w:rPr>
        <w:t>net</w:t>
      </w:r>
      <w:r>
        <w:rPr>
          <w:i/>
          <w:color w:val="0C0C0C"/>
          <w:spacing w:val="-3"/>
          <w:w w:val="105"/>
          <w:sz w:val="21"/>
        </w:rPr>
        <w:t> </w:t>
      </w:r>
      <w:r>
        <w:rPr>
          <w:i/>
          <w:color w:val="0C0C0C"/>
          <w:w w:val="105"/>
          <w:sz w:val="21"/>
        </w:rPr>
        <w:t>pension</w:t>
      </w:r>
      <w:r>
        <w:rPr>
          <w:i/>
          <w:color w:val="0C0C0C"/>
          <w:spacing w:val="9"/>
          <w:w w:val="105"/>
          <w:sz w:val="21"/>
        </w:rPr>
        <w:t> </w:t>
      </w:r>
      <w:r>
        <w:rPr>
          <w:i/>
          <w:color w:val="0C0C0C"/>
          <w:spacing w:val="-2"/>
          <w:w w:val="105"/>
          <w:sz w:val="21"/>
        </w:rPr>
        <w:t>liability</w:t>
      </w:r>
    </w:p>
    <w:p>
      <w:pPr>
        <w:pStyle w:val="BodyText"/>
        <w:spacing w:before="239" w:line="276" w:lineRule="auto"/>
        <w:ind w:left="1510" w:right="1174" w:firstLine="7"/>
        <w:jc w:val="both"/>
      </w:pPr>
      <w:r>
        <w:rPr>
          <w:color w:val="0C0C0C"/>
        </w:rPr>
        <w:t>These are recognised as Other Comprehensive Income and Expenditure </w:t>
      </w:r>
      <w:r>
        <w:rPr>
          <w:color w:val="1A1A1A"/>
        </w:rPr>
        <w:t>in </w:t>
      </w:r>
      <w:r>
        <w:rPr>
          <w:color w:val="0C0C0C"/>
        </w:rPr>
        <w:t>the Comprehensive Income and Expenditure Statement and are charged to the Pensions Reserve. They comprise</w:t>
      </w:r>
      <w:r>
        <w:rPr>
          <w:color w:val="545454"/>
        </w:rPr>
        <w:t>:</w:t>
      </w:r>
    </w:p>
    <w:p>
      <w:pPr>
        <w:pStyle w:val="ListParagraph"/>
        <w:numPr>
          <w:ilvl w:val="1"/>
          <w:numId w:val="14"/>
        </w:numPr>
        <w:tabs>
          <w:tab w:val="left" w:leader="none" w:pos="2216"/>
          <w:tab w:val="left" w:leader="none" w:pos="2225"/>
        </w:tabs>
        <w:spacing w:before="213" w:after="0" w:line="276" w:lineRule="auto"/>
        <w:ind w:left="2216" w:right="1171" w:hanging="350"/>
        <w:jc w:val="both"/>
        <w:rPr>
          <w:color w:val="1A1A1A"/>
          <w:sz w:val="22"/>
        </w:rPr>
      </w:pPr>
      <w:r>
        <w:rPr>
          <w:color w:val="1A1A1A"/>
          <w:sz w:val="22"/>
        </w:rPr>
        <w:tab/>
      </w:r>
      <w:r>
        <w:rPr>
          <w:color w:val="0C0C0C"/>
          <w:sz w:val="22"/>
        </w:rPr>
        <w:t>Return on plan assets </w:t>
      </w:r>
      <w:r>
        <w:rPr>
          <w:color w:val="1A1A1A"/>
          <w:sz w:val="22"/>
        </w:rPr>
        <w:t>- </w:t>
      </w:r>
      <w:r>
        <w:rPr>
          <w:color w:val="0C0C0C"/>
          <w:sz w:val="22"/>
        </w:rPr>
        <w:t>interest, dividends and other income derived from the scheme's assets (excluding amounts</w:t>
      </w:r>
      <w:r>
        <w:rPr>
          <w:color w:val="0C0C0C"/>
          <w:spacing w:val="-7"/>
          <w:sz w:val="22"/>
        </w:rPr>
        <w:t> </w:t>
      </w:r>
      <w:r>
        <w:rPr>
          <w:color w:val="0C0C0C"/>
          <w:sz w:val="22"/>
        </w:rPr>
        <w:t>included</w:t>
      </w:r>
      <w:r>
        <w:rPr>
          <w:color w:val="0C0C0C"/>
          <w:spacing w:val="-4"/>
          <w:sz w:val="22"/>
        </w:rPr>
        <w:t> </w:t>
      </w:r>
      <w:r>
        <w:rPr>
          <w:color w:val="0C0C0C"/>
          <w:sz w:val="22"/>
        </w:rPr>
        <w:t>in</w:t>
      </w:r>
      <w:r>
        <w:rPr>
          <w:color w:val="0C0C0C"/>
          <w:spacing w:val="-16"/>
          <w:sz w:val="22"/>
        </w:rPr>
        <w:t> </w:t>
      </w:r>
      <w:r>
        <w:rPr>
          <w:color w:val="0C0C0C"/>
          <w:sz w:val="22"/>
        </w:rPr>
        <w:t>net</w:t>
      </w:r>
      <w:r>
        <w:rPr>
          <w:color w:val="0C0C0C"/>
          <w:spacing w:val="-1"/>
          <w:sz w:val="22"/>
        </w:rPr>
        <w:t> </w:t>
      </w:r>
      <w:r>
        <w:rPr>
          <w:color w:val="1A1A1A"/>
          <w:sz w:val="22"/>
        </w:rPr>
        <w:t>interest </w:t>
      </w:r>
      <w:r>
        <w:rPr>
          <w:color w:val="0C0C0C"/>
          <w:sz w:val="22"/>
        </w:rPr>
        <w:t>on</w:t>
      </w:r>
      <w:r>
        <w:rPr>
          <w:color w:val="0C0C0C"/>
          <w:spacing w:val="-16"/>
          <w:sz w:val="22"/>
        </w:rPr>
        <w:t> </w:t>
      </w:r>
      <w:r>
        <w:rPr>
          <w:color w:val="1A1A1A"/>
          <w:sz w:val="22"/>
        </w:rPr>
        <w:t>the</w:t>
      </w:r>
      <w:r>
        <w:rPr>
          <w:color w:val="1A1A1A"/>
          <w:spacing w:val="-9"/>
          <w:sz w:val="22"/>
        </w:rPr>
        <w:t> </w:t>
      </w:r>
      <w:r>
        <w:rPr>
          <w:color w:val="0C0C0C"/>
          <w:sz w:val="22"/>
        </w:rPr>
        <w:t>net</w:t>
      </w:r>
      <w:r>
        <w:rPr>
          <w:color w:val="0C0C0C"/>
          <w:spacing w:val="-5"/>
          <w:sz w:val="22"/>
        </w:rPr>
        <w:t> </w:t>
      </w:r>
      <w:r>
        <w:rPr>
          <w:color w:val="0C0C0C"/>
          <w:sz w:val="22"/>
        </w:rPr>
        <w:t>defined</w:t>
      </w:r>
      <w:r>
        <w:rPr>
          <w:color w:val="0C0C0C"/>
          <w:spacing w:val="-5"/>
          <w:sz w:val="22"/>
        </w:rPr>
        <w:t> </w:t>
      </w:r>
      <w:r>
        <w:rPr>
          <w:color w:val="0C0C0C"/>
          <w:sz w:val="22"/>
        </w:rPr>
        <w:t>benefit liability), together with realised and unrealised gains or losses on those assets, less costs of managing the assets and any taxes payable;</w:t>
      </w:r>
    </w:p>
    <w:p>
      <w:pPr>
        <w:pStyle w:val="ListParagraph"/>
        <w:numPr>
          <w:ilvl w:val="1"/>
          <w:numId w:val="14"/>
        </w:numPr>
        <w:tabs>
          <w:tab w:val="left" w:leader="none" w:pos="2206"/>
          <w:tab w:val="left" w:leader="none" w:pos="2214"/>
        </w:tabs>
        <w:spacing w:before="14" w:after="0" w:line="273" w:lineRule="auto"/>
        <w:ind w:left="2206" w:right="1183" w:hanging="354"/>
        <w:jc w:val="both"/>
        <w:rPr>
          <w:color w:val="1A1A1A"/>
          <w:sz w:val="22"/>
        </w:rPr>
      </w:pPr>
      <w:r>
        <w:rPr>
          <w:color w:val="1A1A1A"/>
          <w:sz w:val="22"/>
        </w:rPr>
        <w:tab/>
      </w:r>
      <w:r>
        <w:rPr>
          <w:color w:val="0C0C0C"/>
          <w:sz w:val="22"/>
        </w:rPr>
        <w:t>Actuarial gains and losses - changes in the net pension liability that arise because events have not coincided with assumptions made at the last actuarial valuation, or because the actuaries have updated their assumptions.</w:t>
      </w:r>
    </w:p>
    <w:p>
      <w:pPr>
        <w:spacing w:before="4"/>
        <w:ind w:left="0" w:right="1185" w:firstLine="0"/>
        <w:jc w:val="right"/>
        <w:rPr>
          <w:sz w:val="20"/>
        </w:rPr>
      </w:pPr>
      <w:r>
        <w:rPr>
          <w:color w:val="0C0C0C"/>
          <w:spacing w:val="-5"/>
          <w:w w:val="105"/>
          <w:sz w:val="20"/>
        </w:rPr>
        <w:t>46</w:t>
      </w:r>
    </w:p>
    <w:p>
      <w:pPr>
        <w:spacing w:after="0"/>
        <w:jc w:val="right"/>
        <w:rPr>
          <w:sz w:val="20"/>
        </w:rPr>
        <w:sectPr>
          <w:headerReference w:type="even" r:id="rId101"/>
          <w:footerReference w:type="even" r:id="rId102"/>
          <w:pgSz w:w="11910" w:h="16830"/>
          <w:pgMar w:top="240" w:right="100" w:bottom="280" w:left="20" w:header="0" w:footer="0"/>
        </w:sectPr>
      </w:pPr>
    </w:p>
    <w:p>
      <w:pPr>
        <w:tabs>
          <w:tab w:val="left" w:leader="none" w:pos="2295"/>
        </w:tabs>
        <w:spacing w:before="73"/>
        <w:ind w:left="1584" w:right="0" w:firstLine="0"/>
        <w:jc w:val="left"/>
        <w:rPr>
          <w:sz w:val="15"/>
        </w:rPr>
      </w:pPr>
      <w:r>
        <w:rPr>
          <w:color w:val="B8B8B8"/>
          <w:spacing w:val="-10"/>
          <w:sz w:val="15"/>
        </w:rPr>
        <w:t>5</w:t>
      </w:r>
      <w:r>
        <w:rPr>
          <w:color w:val="B8B8B8"/>
          <w:sz w:val="15"/>
        </w:rPr>
        <w:tab/>
      </w:r>
      <w:r>
        <w:rPr>
          <w:color w:val="A1A1A1"/>
          <w:sz w:val="15"/>
        </w:rPr>
        <w:t>NOTES</w:t>
      </w:r>
      <w:r>
        <w:rPr>
          <w:color w:val="A1A1A1"/>
          <w:spacing w:val="26"/>
          <w:sz w:val="15"/>
        </w:rPr>
        <w:t> </w:t>
      </w:r>
      <w:r>
        <w:rPr>
          <w:color w:val="A1A1A1"/>
          <w:sz w:val="15"/>
        </w:rPr>
        <w:t>TO</w:t>
      </w:r>
      <w:r>
        <w:rPr>
          <w:color w:val="A1A1A1"/>
          <w:spacing w:val="42"/>
          <w:sz w:val="15"/>
        </w:rPr>
        <w:t> </w:t>
      </w:r>
      <w:r>
        <w:rPr>
          <w:color w:val="A1A1A1"/>
          <w:sz w:val="15"/>
        </w:rPr>
        <w:t>fHE</w:t>
      </w:r>
      <w:r>
        <w:rPr>
          <w:color w:val="A1A1A1"/>
          <w:spacing w:val="58"/>
          <w:sz w:val="15"/>
        </w:rPr>
        <w:t> </w:t>
      </w:r>
      <w:r>
        <w:rPr>
          <w:color w:val="A1A1A1"/>
          <w:spacing w:val="-2"/>
          <w:sz w:val="15"/>
        </w:rPr>
        <w:t>ACCOUNTS</w:t>
      </w:r>
    </w:p>
    <w:p>
      <w:pPr>
        <w:pStyle w:val="BodyText"/>
        <w:spacing w:before="74"/>
        <w:rPr>
          <w:sz w:val="15"/>
        </w:rPr>
      </w:pPr>
    </w:p>
    <w:p>
      <w:pPr>
        <w:spacing w:before="1"/>
        <w:ind w:left="1571" w:right="0" w:firstLine="0"/>
        <w:jc w:val="left"/>
        <w:rPr>
          <w:i/>
          <w:sz w:val="21"/>
        </w:rPr>
      </w:pPr>
      <w:r>
        <w:rPr>
          <w:i/>
          <w:color w:val="0C0C0C"/>
          <w:w w:val="105"/>
          <w:sz w:val="21"/>
        </w:rPr>
        <w:t>Contributions</w:t>
      </w:r>
      <w:r>
        <w:rPr>
          <w:i/>
          <w:color w:val="0C0C0C"/>
          <w:spacing w:val="14"/>
          <w:w w:val="105"/>
          <w:sz w:val="21"/>
        </w:rPr>
        <w:t> </w:t>
      </w:r>
      <w:r>
        <w:rPr>
          <w:i/>
          <w:color w:val="0C0C0C"/>
          <w:w w:val="105"/>
          <w:sz w:val="21"/>
        </w:rPr>
        <w:t>paid</w:t>
      </w:r>
      <w:r>
        <w:rPr>
          <w:i/>
          <w:color w:val="0C0C0C"/>
          <w:spacing w:val="-6"/>
          <w:w w:val="105"/>
          <w:sz w:val="21"/>
        </w:rPr>
        <w:t> </w:t>
      </w:r>
      <w:r>
        <w:rPr>
          <w:i/>
          <w:color w:val="0C0C0C"/>
          <w:w w:val="105"/>
          <w:sz w:val="21"/>
        </w:rPr>
        <w:t>to</w:t>
      </w:r>
      <w:r>
        <w:rPr>
          <w:i/>
          <w:color w:val="0C0C0C"/>
          <w:spacing w:val="-14"/>
          <w:w w:val="105"/>
          <w:sz w:val="21"/>
        </w:rPr>
        <w:t> </w:t>
      </w:r>
      <w:r>
        <w:rPr>
          <w:i/>
          <w:color w:val="0C0C0C"/>
          <w:w w:val="105"/>
          <w:sz w:val="21"/>
        </w:rPr>
        <w:t>the</w:t>
      </w:r>
      <w:r>
        <w:rPr>
          <w:i/>
          <w:color w:val="0C0C0C"/>
          <w:spacing w:val="-14"/>
          <w:w w:val="105"/>
          <w:sz w:val="21"/>
        </w:rPr>
        <w:t> </w:t>
      </w:r>
      <w:r>
        <w:rPr>
          <w:i/>
          <w:color w:val="0C0C0C"/>
          <w:spacing w:val="-4"/>
          <w:w w:val="105"/>
          <w:sz w:val="21"/>
        </w:rPr>
        <w:t>LGPS</w:t>
      </w:r>
    </w:p>
    <w:p>
      <w:pPr>
        <w:pStyle w:val="BodyText"/>
        <w:spacing w:before="234" w:line="276" w:lineRule="auto"/>
        <w:ind w:left="1576" w:right="1182" w:firstLine="3"/>
        <w:jc w:val="both"/>
      </w:pPr>
      <w:r>
        <w:rPr>
          <w:color w:val="1D1D1D"/>
        </w:rPr>
        <w:t>Cash paid as employer's contributions to the Pension </w:t>
      </w:r>
      <w:r>
        <w:rPr>
          <w:color w:val="0C0C0C"/>
        </w:rPr>
        <w:t>Fund; these are not accounted for as </w:t>
      </w:r>
      <w:r>
        <w:rPr>
          <w:color w:val="1D1D1D"/>
        </w:rPr>
        <w:t>an expense within the Comprehensive </w:t>
      </w:r>
      <w:r>
        <w:rPr>
          <w:color w:val="0C0C0C"/>
        </w:rPr>
        <w:t>Income and Expenditure Statement. Statutory </w:t>
      </w:r>
      <w:r>
        <w:rPr>
          <w:color w:val="1D1D1D"/>
        </w:rPr>
        <w:t>provisions restrict the amount that the Council </w:t>
      </w:r>
      <w:r>
        <w:rPr>
          <w:color w:val="0C0C0C"/>
        </w:rPr>
        <w:t>can fund through council tax to the amounts </w:t>
      </w:r>
      <w:r>
        <w:rPr>
          <w:color w:val="1D1D1D"/>
        </w:rPr>
        <w:t>actually payable each year</w:t>
      </w:r>
      <w:r>
        <w:rPr>
          <w:color w:val="4F4F4F"/>
        </w:rPr>
        <w:t>,</w:t>
      </w:r>
      <w:r>
        <w:rPr>
          <w:color w:val="4F4F4F"/>
          <w:spacing w:val="-7"/>
        </w:rPr>
        <w:t> </w:t>
      </w:r>
      <w:r>
        <w:rPr>
          <w:color w:val="1D1D1D"/>
        </w:rPr>
        <w:t>and</w:t>
      </w:r>
      <w:r>
        <w:rPr>
          <w:color w:val="1D1D1D"/>
          <w:spacing w:val="-1"/>
        </w:rPr>
        <w:t> </w:t>
      </w:r>
      <w:r>
        <w:rPr>
          <w:color w:val="1D1D1D"/>
        </w:rPr>
        <w:t>as a </w:t>
      </w:r>
      <w:r>
        <w:rPr>
          <w:color w:val="333333"/>
        </w:rPr>
        <w:t>result </w:t>
      </w:r>
      <w:r>
        <w:rPr>
          <w:color w:val="1D1D1D"/>
        </w:rPr>
        <w:t>all </w:t>
      </w:r>
      <w:r>
        <w:rPr>
          <w:color w:val="0C0C0C"/>
        </w:rPr>
        <w:t>other movements are funded by the pension reserve, by means of transfers which are reported in the Comprehensive Income and Expenditure Statement and</w:t>
      </w:r>
      <w:r>
        <w:rPr>
          <w:color w:val="0C0C0C"/>
          <w:spacing w:val="-2"/>
        </w:rPr>
        <w:t> </w:t>
      </w:r>
      <w:r>
        <w:rPr>
          <w:color w:val="0C0C0C"/>
        </w:rPr>
        <w:t>the Movement in</w:t>
      </w:r>
      <w:r>
        <w:rPr>
          <w:color w:val="0C0C0C"/>
          <w:spacing w:val="-7"/>
        </w:rPr>
        <w:t> </w:t>
      </w:r>
      <w:r>
        <w:rPr>
          <w:color w:val="0C0C0C"/>
        </w:rPr>
        <w:t>Reserves Statement.</w:t>
      </w:r>
    </w:p>
    <w:p>
      <w:pPr>
        <w:spacing w:before="215"/>
        <w:ind w:left="1580" w:right="0" w:firstLine="0"/>
        <w:jc w:val="left"/>
        <w:rPr>
          <w:i/>
          <w:sz w:val="21"/>
        </w:rPr>
      </w:pPr>
      <w:r>
        <w:rPr>
          <w:i/>
          <w:color w:val="0C0C0C"/>
          <w:w w:val="105"/>
          <w:sz w:val="21"/>
        </w:rPr>
        <w:t>Short</w:t>
      </w:r>
      <w:r>
        <w:rPr>
          <w:i/>
          <w:color w:val="0C0C0C"/>
          <w:spacing w:val="-8"/>
          <w:w w:val="105"/>
          <w:sz w:val="21"/>
        </w:rPr>
        <w:t> </w:t>
      </w:r>
      <w:r>
        <w:rPr>
          <w:i/>
          <w:color w:val="0C0C0C"/>
          <w:w w:val="105"/>
          <w:sz w:val="21"/>
        </w:rPr>
        <w:t>Term</w:t>
      </w:r>
      <w:r>
        <w:rPr>
          <w:i/>
          <w:color w:val="0C0C0C"/>
          <w:spacing w:val="-10"/>
          <w:w w:val="105"/>
          <w:sz w:val="21"/>
        </w:rPr>
        <w:t> </w:t>
      </w:r>
      <w:r>
        <w:rPr>
          <w:i/>
          <w:color w:val="0C0C0C"/>
          <w:w w:val="105"/>
          <w:sz w:val="21"/>
        </w:rPr>
        <w:t>Employee</w:t>
      </w:r>
      <w:r>
        <w:rPr>
          <w:i/>
          <w:color w:val="0C0C0C"/>
          <w:spacing w:val="-9"/>
          <w:w w:val="105"/>
          <w:sz w:val="21"/>
        </w:rPr>
        <w:t> </w:t>
      </w:r>
      <w:r>
        <w:rPr>
          <w:i/>
          <w:color w:val="0C0C0C"/>
          <w:spacing w:val="-2"/>
          <w:w w:val="105"/>
          <w:sz w:val="21"/>
        </w:rPr>
        <w:t>Benefits</w:t>
      </w:r>
    </w:p>
    <w:p>
      <w:pPr>
        <w:pStyle w:val="BodyText"/>
        <w:spacing w:before="239" w:line="276" w:lineRule="auto"/>
        <w:ind w:left="1576" w:right="1164" w:firstLine="4"/>
        <w:jc w:val="both"/>
      </w:pPr>
      <w:r>
        <w:rPr>
          <w:color w:val="0C0C0C"/>
        </w:rPr>
        <w:t>Salaries, wages and</w:t>
      </w:r>
      <w:r>
        <w:rPr>
          <w:color w:val="0C0C0C"/>
          <w:spacing w:val="-12"/>
        </w:rPr>
        <w:t> </w:t>
      </w:r>
      <w:r>
        <w:rPr>
          <w:color w:val="0C0C0C"/>
        </w:rPr>
        <w:t>employment</w:t>
      </w:r>
      <w:r>
        <w:rPr>
          <w:color w:val="0C0C0C"/>
          <w:spacing w:val="22"/>
        </w:rPr>
        <w:t> </w:t>
      </w:r>
      <w:r>
        <w:rPr>
          <w:color w:val="0C0C0C"/>
        </w:rPr>
        <w:t>related</w:t>
      </w:r>
      <w:r>
        <w:rPr>
          <w:color w:val="0C0C0C"/>
          <w:spacing w:val="-3"/>
        </w:rPr>
        <w:t> </w:t>
      </w:r>
      <w:r>
        <w:rPr>
          <w:color w:val="0C0C0C"/>
        </w:rPr>
        <w:t>payments are</w:t>
      </w:r>
      <w:r>
        <w:rPr>
          <w:color w:val="0C0C0C"/>
          <w:spacing w:val="-5"/>
        </w:rPr>
        <w:t> </w:t>
      </w:r>
      <w:r>
        <w:rPr>
          <w:color w:val="0C0C0C"/>
        </w:rPr>
        <w:t>recognised in</w:t>
      </w:r>
      <w:r>
        <w:rPr>
          <w:color w:val="0C0C0C"/>
          <w:spacing w:val="-16"/>
        </w:rPr>
        <w:t> </w:t>
      </w:r>
      <w:r>
        <w:rPr>
          <w:color w:val="0C0C0C"/>
        </w:rPr>
        <w:t>the period</w:t>
      </w:r>
      <w:r>
        <w:rPr>
          <w:color w:val="0C0C0C"/>
          <w:spacing w:val="-5"/>
        </w:rPr>
        <w:t> </w:t>
      </w:r>
      <w:r>
        <w:rPr>
          <w:color w:val="0C0C0C"/>
        </w:rPr>
        <w:t>in</w:t>
      </w:r>
      <w:r>
        <w:rPr>
          <w:color w:val="0C0C0C"/>
          <w:spacing w:val="-8"/>
        </w:rPr>
        <w:t> </w:t>
      </w:r>
      <w:r>
        <w:rPr>
          <w:color w:val="0C0C0C"/>
        </w:rPr>
        <w:t>which</w:t>
      </w:r>
      <w:r>
        <w:rPr>
          <w:color w:val="0C0C0C"/>
          <w:spacing w:val="-5"/>
        </w:rPr>
        <w:t> </w:t>
      </w:r>
      <w:r>
        <w:rPr>
          <w:color w:val="0C0C0C"/>
        </w:rPr>
        <w:t>the service</w:t>
      </w:r>
      <w:r>
        <w:rPr>
          <w:color w:val="0C0C0C"/>
          <w:spacing w:val="-5"/>
        </w:rPr>
        <w:t> </w:t>
      </w:r>
      <w:r>
        <w:rPr>
          <w:color w:val="0C0C0C"/>
        </w:rPr>
        <w:t>is</w:t>
      </w:r>
      <w:r>
        <w:rPr>
          <w:color w:val="0C0C0C"/>
          <w:spacing w:val="-15"/>
        </w:rPr>
        <w:t> </w:t>
      </w:r>
      <w:r>
        <w:rPr>
          <w:color w:val="0C0C0C"/>
        </w:rPr>
        <w:t>received</w:t>
      </w:r>
      <w:r>
        <w:rPr>
          <w:color w:val="0C0C0C"/>
          <w:spacing w:val="-2"/>
        </w:rPr>
        <w:t> </w:t>
      </w:r>
      <w:r>
        <w:rPr>
          <w:color w:val="0C0C0C"/>
        </w:rPr>
        <w:t>from</w:t>
      </w:r>
      <w:r>
        <w:rPr>
          <w:color w:val="0C0C0C"/>
          <w:spacing w:val="-4"/>
        </w:rPr>
        <w:t> </w:t>
      </w:r>
      <w:r>
        <w:rPr>
          <w:color w:val="0C0C0C"/>
        </w:rPr>
        <w:t>employees. The cost of</w:t>
      </w:r>
      <w:r>
        <w:rPr>
          <w:color w:val="0C0C0C"/>
          <w:spacing w:val="-9"/>
        </w:rPr>
        <w:t> </w:t>
      </w:r>
      <w:r>
        <w:rPr>
          <w:color w:val="0C0C0C"/>
        </w:rPr>
        <w:t>annual</w:t>
      </w:r>
      <w:r>
        <w:rPr>
          <w:color w:val="0C0C0C"/>
          <w:spacing w:val="-2"/>
        </w:rPr>
        <w:t> </w:t>
      </w:r>
      <w:r>
        <w:rPr>
          <w:color w:val="0C0C0C"/>
        </w:rPr>
        <w:t>and</w:t>
      </w:r>
      <w:r>
        <w:rPr>
          <w:color w:val="0C0C0C"/>
          <w:spacing w:val="-5"/>
        </w:rPr>
        <w:t> </w:t>
      </w:r>
      <w:r>
        <w:rPr>
          <w:color w:val="0C0C0C"/>
        </w:rPr>
        <w:t>flexible</w:t>
      </w:r>
      <w:r>
        <w:rPr>
          <w:color w:val="0C0C0C"/>
          <w:spacing w:val="-1"/>
        </w:rPr>
        <w:t> </w:t>
      </w:r>
      <w:r>
        <w:rPr>
          <w:color w:val="0C0C0C"/>
        </w:rPr>
        <w:t>leave entitlement earned but </w:t>
      </w:r>
      <w:r>
        <w:rPr>
          <w:color w:val="1D1D1D"/>
        </w:rPr>
        <w:t>not taken</w:t>
      </w:r>
      <w:r>
        <w:rPr>
          <w:color w:val="1D1D1D"/>
          <w:spacing w:val="-1"/>
        </w:rPr>
        <w:t> </w:t>
      </w:r>
      <w:r>
        <w:rPr>
          <w:color w:val="1D1D1D"/>
        </w:rPr>
        <w:t>by employees at</w:t>
      </w:r>
      <w:r>
        <w:rPr>
          <w:color w:val="1D1D1D"/>
          <w:spacing w:val="-1"/>
        </w:rPr>
        <w:t> </w:t>
      </w:r>
      <w:r>
        <w:rPr>
          <w:color w:val="1D1D1D"/>
        </w:rPr>
        <w:t>the</w:t>
      </w:r>
      <w:r>
        <w:rPr>
          <w:color w:val="1D1D1D"/>
          <w:spacing w:val="-1"/>
        </w:rPr>
        <w:t> </w:t>
      </w:r>
      <w:r>
        <w:rPr>
          <w:color w:val="1D1D1D"/>
        </w:rPr>
        <w:t>end of </w:t>
      </w:r>
      <w:r>
        <w:rPr>
          <w:color w:val="333333"/>
        </w:rPr>
        <w:t>the</w:t>
      </w:r>
      <w:r>
        <w:rPr>
          <w:color w:val="333333"/>
          <w:spacing w:val="-2"/>
        </w:rPr>
        <w:t> </w:t>
      </w:r>
      <w:r>
        <w:rPr>
          <w:color w:val="1D1D1D"/>
        </w:rPr>
        <w:t>period </w:t>
      </w:r>
      <w:r>
        <w:rPr>
          <w:color w:val="333333"/>
        </w:rPr>
        <w:t>is</w:t>
      </w:r>
      <w:r>
        <w:rPr>
          <w:color w:val="333333"/>
          <w:spacing w:val="-1"/>
        </w:rPr>
        <w:t> </w:t>
      </w:r>
      <w:r>
        <w:rPr>
          <w:color w:val="1D1D1D"/>
        </w:rPr>
        <w:t>recognised in</w:t>
      </w:r>
      <w:r>
        <w:rPr>
          <w:color w:val="1D1D1D"/>
          <w:spacing w:val="-16"/>
        </w:rPr>
        <w:t> </w:t>
      </w:r>
      <w:r>
        <w:rPr>
          <w:color w:val="333333"/>
        </w:rPr>
        <w:t>the</w:t>
      </w:r>
      <w:r>
        <w:rPr>
          <w:color w:val="333333"/>
          <w:spacing w:val="-6"/>
        </w:rPr>
        <w:t> </w:t>
      </w:r>
      <w:r>
        <w:rPr>
          <w:color w:val="1D1D1D"/>
        </w:rPr>
        <w:t>financial statements </w:t>
      </w:r>
      <w:r>
        <w:rPr>
          <w:color w:val="0C0C0C"/>
        </w:rPr>
        <w:t>to</w:t>
      </w:r>
      <w:r>
        <w:rPr>
          <w:color w:val="0C0C0C"/>
          <w:spacing w:val="-16"/>
        </w:rPr>
        <w:t> </w:t>
      </w:r>
      <w:r>
        <w:rPr>
          <w:color w:val="0C0C0C"/>
        </w:rPr>
        <w:t>the</w:t>
      </w:r>
      <w:r>
        <w:rPr>
          <w:color w:val="0C0C0C"/>
          <w:spacing w:val="-15"/>
        </w:rPr>
        <w:t> </w:t>
      </w:r>
      <w:r>
        <w:rPr>
          <w:color w:val="1D1D1D"/>
        </w:rPr>
        <w:t>extent</w:t>
      </w:r>
      <w:r>
        <w:rPr>
          <w:color w:val="1D1D1D"/>
          <w:spacing w:val="-15"/>
        </w:rPr>
        <w:t> </w:t>
      </w:r>
      <w:r>
        <w:rPr>
          <w:color w:val="1D1D1D"/>
        </w:rPr>
        <w:t>that</w:t>
      </w:r>
      <w:r>
        <w:rPr>
          <w:color w:val="1D1D1D"/>
          <w:spacing w:val="-16"/>
        </w:rPr>
        <w:t> </w:t>
      </w:r>
      <w:r>
        <w:rPr>
          <w:color w:val="1D1D1D"/>
        </w:rPr>
        <w:t>employees</w:t>
      </w:r>
      <w:r>
        <w:rPr>
          <w:color w:val="1D1D1D"/>
          <w:spacing w:val="1"/>
        </w:rPr>
        <w:t> </w:t>
      </w:r>
      <w:r>
        <w:rPr>
          <w:color w:val="1D1D1D"/>
        </w:rPr>
        <w:t>are</w:t>
      </w:r>
      <w:r>
        <w:rPr>
          <w:color w:val="1D1D1D"/>
          <w:spacing w:val="-16"/>
        </w:rPr>
        <w:t> </w:t>
      </w:r>
      <w:r>
        <w:rPr>
          <w:color w:val="1D1D1D"/>
        </w:rPr>
        <w:t>permitted</w:t>
      </w:r>
      <w:r>
        <w:rPr>
          <w:color w:val="1D1D1D"/>
          <w:spacing w:val="-11"/>
        </w:rPr>
        <w:t> </w:t>
      </w:r>
      <w:r>
        <w:rPr>
          <w:color w:val="1D1D1D"/>
        </w:rPr>
        <w:t>to</w:t>
      </w:r>
      <w:r>
        <w:rPr>
          <w:color w:val="1D1D1D"/>
          <w:spacing w:val="-16"/>
        </w:rPr>
        <w:t> </w:t>
      </w:r>
      <w:r>
        <w:rPr>
          <w:color w:val="1D1D1D"/>
        </w:rPr>
        <w:t>carry forward</w:t>
      </w:r>
      <w:r>
        <w:rPr>
          <w:color w:val="1D1D1D"/>
          <w:spacing w:val="-7"/>
        </w:rPr>
        <w:t> </w:t>
      </w:r>
      <w:r>
        <w:rPr>
          <w:color w:val="1D1D1D"/>
        </w:rPr>
        <w:t>leave</w:t>
      </w:r>
      <w:r>
        <w:rPr>
          <w:color w:val="1D1D1D"/>
          <w:spacing w:val="-10"/>
        </w:rPr>
        <w:t> </w:t>
      </w:r>
      <w:r>
        <w:rPr>
          <w:color w:val="1D1D1D"/>
        </w:rPr>
        <w:t>into</w:t>
      </w:r>
      <w:r>
        <w:rPr>
          <w:color w:val="1D1D1D"/>
          <w:spacing w:val="-11"/>
        </w:rPr>
        <w:t> </w:t>
      </w:r>
      <w:r>
        <w:rPr>
          <w:color w:val="1D1D1D"/>
        </w:rPr>
        <w:t>the</w:t>
      </w:r>
      <w:r>
        <w:rPr>
          <w:color w:val="1D1D1D"/>
          <w:spacing w:val="-16"/>
        </w:rPr>
        <w:t> </w:t>
      </w:r>
      <w:r>
        <w:rPr>
          <w:color w:val="1D1D1D"/>
        </w:rPr>
        <w:t>following</w:t>
      </w:r>
      <w:r>
        <w:rPr>
          <w:color w:val="1D1D1D"/>
          <w:spacing w:val="-2"/>
        </w:rPr>
        <w:t> </w:t>
      </w:r>
      <w:r>
        <w:rPr>
          <w:color w:val="1D1D1D"/>
        </w:rPr>
        <w:t>period</w:t>
      </w:r>
      <w:r>
        <w:rPr>
          <w:color w:val="676767"/>
        </w:rPr>
        <w:t>.</w:t>
      </w:r>
      <w:r>
        <w:rPr>
          <w:color w:val="676767"/>
          <w:spacing w:val="-16"/>
        </w:rPr>
        <w:t> </w:t>
      </w:r>
      <w:r>
        <w:rPr>
          <w:color w:val="1D1D1D"/>
        </w:rPr>
        <w:t>The </w:t>
      </w:r>
      <w:r>
        <w:rPr>
          <w:color w:val="0C0C0C"/>
        </w:rPr>
        <w:t>estimation</w:t>
      </w:r>
      <w:r>
        <w:rPr>
          <w:color w:val="0C0C0C"/>
          <w:spacing w:val="-16"/>
        </w:rPr>
        <w:t> </w:t>
      </w:r>
      <w:r>
        <w:rPr>
          <w:color w:val="1D1D1D"/>
        </w:rPr>
        <w:t>of</w:t>
      </w:r>
      <w:r>
        <w:rPr>
          <w:color w:val="1D1D1D"/>
          <w:spacing w:val="-15"/>
        </w:rPr>
        <w:t> </w:t>
      </w:r>
      <w:r>
        <w:rPr>
          <w:color w:val="1D1D1D"/>
        </w:rPr>
        <w:t>such</w:t>
      </w:r>
      <w:r>
        <w:rPr>
          <w:color w:val="1D1D1D"/>
          <w:spacing w:val="-15"/>
        </w:rPr>
        <w:t> </w:t>
      </w:r>
      <w:r>
        <w:rPr>
          <w:color w:val="1D1D1D"/>
        </w:rPr>
        <w:t>costs</w:t>
      </w:r>
      <w:r>
        <w:rPr>
          <w:color w:val="1D1D1D"/>
          <w:spacing w:val="-16"/>
        </w:rPr>
        <w:t> </w:t>
      </w:r>
      <w:r>
        <w:rPr>
          <w:color w:val="1D1D1D"/>
        </w:rPr>
        <w:t>is</w:t>
      </w:r>
      <w:r>
        <w:rPr>
          <w:color w:val="1D1D1D"/>
          <w:spacing w:val="-15"/>
        </w:rPr>
        <w:t> </w:t>
      </w:r>
      <w:r>
        <w:rPr>
          <w:color w:val="1D1D1D"/>
        </w:rPr>
        <w:t>based</w:t>
      </w:r>
      <w:r>
        <w:rPr>
          <w:color w:val="1D1D1D"/>
          <w:spacing w:val="-15"/>
        </w:rPr>
        <w:t> </w:t>
      </w:r>
      <w:r>
        <w:rPr>
          <w:color w:val="1D1D1D"/>
        </w:rPr>
        <w:t>on</w:t>
      </w:r>
      <w:r>
        <w:rPr>
          <w:color w:val="1D1D1D"/>
          <w:spacing w:val="-15"/>
        </w:rPr>
        <w:t> </w:t>
      </w:r>
      <w:r>
        <w:rPr>
          <w:color w:val="1D1D1D"/>
        </w:rPr>
        <w:t>records</w:t>
      </w:r>
      <w:r>
        <w:rPr>
          <w:color w:val="1D1D1D"/>
          <w:spacing w:val="-16"/>
        </w:rPr>
        <w:t> </w:t>
      </w:r>
      <w:r>
        <w:rPr>
          <w:color w:val="1D1D1D"/>
        </w:rPr>
        <w:t>of</w:t>
      </w:r>
      <w:r>
        <w:rPr>
          <w:color w:val="1D1D1D"/>
          <w:spacing w:val="-13"/>
        </w:rPr>
        <w:t> </w:t>
      </w:r>
      <w:r>
        <w:rPr>
          <w:color w:val="1D1D1D"/>
        </w:rPr>
        <w:t>annual</w:t>
      </w:r>
      <w:r>
        <w:rPr>
          <w:color w:val="1D1D1D"/>
          <w:spacing w:val="-13"/>
        </w:rPr>
        <w:t> </w:t>
      </w:r>
      <w:r>
        <w:rPr>
          <w:color w:val="1D1D1D"/>
        </w:rPr>
        <w:t>and</w:t>
      </w:r>
      <w:r>
        <w:rPr>
          <w:color w:val="1D1D1D"/>
          <w:spacing w:val="-16"/>
        </w:rPr>
        <w:t> </w:t>
      </w:r>
      <w:r>
        <w:rPr>
          <w:color w:val="1D1D1D"/>
        </w:rPr>
        <w:t>flexible</w:t>
      </w:r>
      <w:r>
        <w:rPr>
          <w:color w:val="1D1D1D"/>
          <w:spacing w:val="-14"/>
        </w:rPr>
        <w:t> </w:t>
      </w:r>
      <w:r>
        <w:rPr>
          <w:color w:val="1D1D1D"/>
        </w:rPr>
        <w:t>leave</w:t>
      </w:r>
      <w:r>
        <w:rPr>
          <w:color w:val="1D1D1D"/>
          <w:spacing w:val="-3"/>
        </w:rPr>
        <w:t> </w:t>
      </w:r>
      <w:r>
        <w:rPr>
          <w:color w:val="1D1D1D"/>
        </w:rPr>
        <w:t>taken</w:t>
      </w:r>
      <w:r>
        <w:rPr>
          <w:color w:val="1D1D1D"/>
          <w:spacing w:val="-16"/>
        </w:rPr>
        <w:t> </w:t>
      </w:r>
      <w:r>
        <w:rPr>
          <w:color w:val="1D1D1D"/>
        </w:rPr>
        <w:t>and</w:t>
      </w:r>
      <w:r>
        <w:rPr>
          <w:color w:val="1D1D1D"/>
          <w:spacing w:val="-15"/>
        </w:rPr>
        <w:t> </w:t>
      </w:r>
      <w:r>
        <w:rPr>
          <w:color w:val="1D1D1D"/>
        </w:rPr>
        <w:t>contractual </w:t>
      </w:r>
      <w:r>
        <w:rPr>
          <w:color w:val="0C0C0C"/>
        </w:rPr>
        <w:t>entitlements to payment.</w:t>
      </w:r>
    </w:p>
    <w:p>
      <w:pPr>
        <w:spacing w:before="215"/>
        <w:ind w:left="1574" w:right="0" w:firstLine="0"/>
        <w:jc w:val="left"/>
        <w:rPr>
          <w:b/>
          <w:sz w:val="21"/>
        </w:rPr>
      </w:pPr>
      <w:r>
        <w:rPr>
          <w:b/>
          <w:color w:val="0C0C0C"/>
          <w:spacing w:val="-2"/>
          <w:w w:val="105"/>
          <w:sz w:val="21"/>
        </w:rPr>
        <w:t>Leases</w:t>
      </w:r>
    </w:p>
    <w:p>
      <w:pPr>
        <w:pStyle w:val="BodyText"/>
        <w:spacing w:before="3"/>
        <w:rPr>
          <w:b/>
          <w:sz w:val="21"/>
        </w:rPr>
      </w:pPr>
    </w:p>
    <w:p>
      <w:pPr>
        <w:pStyle w:val="BodyText"/>
        <w:spacing w:line="278" w:lineRule="auto"/>
        <w:ind w:left="1583" w:right="1169" w:hanging="4"/>
        <w:jc w:val="both"/>
      </w:pPr>
      <w:r>
        <w:rPr>
          <w:color w:val="0C0C0C"/>
        </w:rPr>
        <w:t>The determination of whether an arrangement is, or contains, a lease is based upon the substance of the arrangement at </w:t>
      </w:r>
      <w:r>
        <w:rPr>
          <w:color w:val="1D1D1D"/>
        </w:rPr>
        <w:t>inception </w:t>
      </w:r>
      <w:r>
        <w:rPr>
          <w:color w:val="0C0C0C"/>
        </w:rPr>
        <w:t>date</w:t>
      </w:r>
      <w:r>
        <w:rPr>
          <w:color w:val="4F4F4F"/>
        </w:rPr>
        <w:t>.</w:t>
      </w:r>
    </w:p>
    <w:p>
      <w:pPr>
        <w:spacing w:before="201"/>
        <w:ind w:left="1583" w:right="0" w:firstLine="0"/>
        <w:jc w:val="left"/>
        <w:rPr>
          <w:i/>
          <w:sz w:val="21"/>
        </w:rPr>
      </w:pPr>
      <w:r>
        <w:rPr>
          <w:i/>
          <w:color w:val="0C0C0C"/>
          <w:w w:val="105"/>
          <w:sz w:val="21"/>
        </w:rPr>
        <w:t>The</w:t>
      </w:r>
      <w:r>
        <w:rPr>
          <w:i/>
          <w:color w:val="0C0C0C"/>
          <w:spacing w:val="-12"/>
          <w:w w:val="105"/>
          <w:sz w:val="21"/>
        </w:rPr>
        <w:t> </w:t>
      </w:r>
      <w:r>
        <w:rPr>
          <w:i/>
          <w:color w:val="0C0C0C"/>
          <w:w w:val="105"/>
          <w:sz w:val="21"/>
        </w:rPr>
        <w:t>Council as</w:t>
      </w:r>
      <w:r>
        <w:rPr>
          <w:i/>
          <w:color w:val="0C0C0C"/>
          <w:spacing w:val="-11"/>
          <w:w w:val="105"/>
          <w:sz w:val="21"/>
        </w:rPr>
        <w:t> </w:t>
      </w:r>
      <w:r>
        <w:rPr>
          <w:i/>
          <w:color w:val="0C0C0C"/>
          <w:spacing w:val="-2"/>
          <w:w w:val="105"/>
          <w:sz w:val="21"/>
        </w:rPr>
        <w:t>lessee</w:t>
      </w:r>
    </w:p>
    <w:p>
      <w:pPr>
        <w:pStyle w:val="BodyText"/>
        <w:spacing w:before="2"/>
        <w:rPr>
          <w:i/>
          <w:sz w:val="21"/>
        </w:rPr>
      </w:pPr>
    </w:p>
    <w:p>
      <w:pPr>
        <w:pStyle w:val="BodyText"/>
        <w:spacing w:line="276" w:lineRule="auto"/>
        <w:ind w:left="1576" w:right="1157" w:firstLine="1"/>
        <w:jc w:val="both"/>
      </w:pPr>
      <w:r>
        <w:rPr>
          <w:color w:val="0C0C0C"/>
        </w:rPr>
        <w:t>Finance leases, which transfer to the</w:t>
      </w:r>
      <w:r>
        <w:rPr>
          <w:color w:val="0C0C0C"/>
          <w:spacing w:val="-6"/>
        </w:rPr>
        <w:t> </w:t>
      </w:r>
      <w:r>
        <w:rPr>
          <w:color w:val="0C0C0C"/>
        </w:rPr>
        <w:t>council</w:t>
      </w:r>
      <w:r>
        <w:rPr>
          <w:color w:val="0C0C0C"/>
          <w:spacing w:val="-3"/>
        </w:rPr>
        <w:t> </w:t>
      </w:r>
      <w:r>
        <w:rPr>
          <w:color w:val="0C0C0C"/>
        </w:rPr>
        <w:t>substantially all</w:t>
      </w:r>
      <w:r>
        <w:rPr>
          <w:color w:val="0C0C0C"/>
          <w:spacing w:val="-13"/>
        </w:rPr>
        <w:t> </w:t>
      </w:r>
      <w:r>
        <w:rPr>
          <w:color w:val="0C0C0C"/>
        </w:rPr>
        <w:t>the</w:t>
      </w:r>
      <w:r>
        <w:rPr>
          <w:color w:val="0C0C0C"/>
          <w:spacing w:val="-11"/>
        </w:rPr>
        <w:t> </w:t>
      </w:r>
      <w:r>
        <w:rPr>
          <w:color w:val="0C0C0C"/>
        </w:rPr>
        <w:t>risks and</w:t>
      </w:r>
      <w:r>
        <w:rPr>
          <w:color w:val="0C0C0C"/>
          <w:spacing w:val="-13"/>
        </w:rPr>
        <w:t> </w:t>
      </w:r>
      <w:r>
        <w:rPr>
          <w:color w:val="0C0C0C"/>
        </w:rPr>
        <w:t>benefits incidental to ownership</w:t>
      </w:r>
      <w:r>
        <w:rPr>
          <w:color w:val="0C0C0C"/>
          <w:spacing w:val="24"/>
        </w:rPr>
        <w:t> </w:t>
      </w:r>
      <w:r>
        <w:rPr>
          <w:color w:val="0C0C0C"/>
        </w:rPr>
        <w:t>of the leased item, are capitalised</w:t>
      </w:r>
      <w:r>
        <w:rPr>
          <w:color w:val="0C0C0C"/>
          <w:spacing w:val="17"/>
        </w:rPr>
        <w:t> </w:t>
      </w:r>
      <w:r>
        <w:rPr>
          <w:color w:val="0C0C0C"/>
        </w:rPr>
        <w:t>at</w:t>
      </w:r>
      <w:r>
        <w:rPr>
          <w:color w:val="0C0C0C"/>
          <w:spacing w:val="-2"/>
        </w:rPr>
        <w:t> </w:t>
      </w:r>
      <w:r>
        <w:rPr>
          <w:color w:val="0C0C0C"/>
        </w:rPr>
        <w:t>the</w:t>
      </w:r>
      <w:r>
        <w:rPr>
          <w:color w:val="0C0C0C"/>
          <w:spacing w:val="-1"/>
        </w:rPr>
        <w:t> </w:t>
      </w:r>
      <w:r>
        <w:rPr>
          <w:color w:val="0C0C0C"/>
        </w:rPr>
        <w:t>inception</w:t>
      </w:r>
      <w:r>
        <w:rPr>
          <w:color w:val="0C0C0C"/>
          <w:spacing w:val="18"/>
        </w:rPr>
        <w:t> </w:t>
      </w:r>
      <w:r>
        <w:rPr>
          <w:color w:val="0C0C0C"/>
        </w:rPr>
        <w:t>of</w:t>
      </w:r>
      <w:r>
        <w:rPr>
          <w:color w:val="0C0C0C"/>
          <w:spacing w:val="-3"/>
        </w:rPr>
        <w:t> </w:t>
      </w:r>
      <w:r>
        <w:rPr>
          <w:color w:val="0C0C0C"/>
        </w:rPr>
        <w:t>the lease at the</w:t>
      </w:r>
      <w:r>
        <w:rPr>
          <w:color w:val="0C0C0C"/>
          <w:spacing w:val="-2"/>
        </w:rPr>
        <w:t> </w:t>
      </w:r>
      <w:r>
        <w:rPr>
          <w:color w:val="0C0C0C"/>
        </w:rPr>
        <w:t>fair value of the leased asset or, if</w:t>
      </w:r>
      <w:r>
        <w:rPr>
          <w:color w:val="0C0C0C"/>
          <w:spacing w:val="-2"/>
        </w:rPr>
        <w:t> </w:t>
      </w:r>
      <w:r>
        <w:rPr>
          <w:color w:val="0C0C0C"/>
        </w:rPr>
        <w:t>lower, at the present value of the</w:t>
      </w:r>
      <w:r>
        <w:rPr>
          <w:color w:val="0C0C0C"/>
          <w:spacing w:val="-2"/>
        </w:rPr>
        <w:t> </w:t>
      </w:r>
      <w:r>
        <w:rPr>
          <w:color w:val="0C0C0C"/>
        </w:rPr>
        <w:t>minimum lease payments. Lease payments are</w:t>
      </w:r>
      <w:r>
        <w:rPr>
          <w:color w:val="0C0C0C"/>
          <w:spacing w:val="-7"/>
        </w:rPr>
        <w:t> </w:t>
      </w:r>
      <w:r>
        <w:rPr>
          <w:color w:val="0C0C0C"/>
        </w:rPr>
        <w:t>apportioned </w:t>
      </w:r>
      <w:r>
        <w:rPr>
          <w:color w:val="1D1D1D"/>
        </w:rPr>
        <w:t>between</w:t>
      </w:r>
      <w:r>
        <w:rPr>
          <w:color w:val="1D1D1D"/>
          <w:spacing w:val="-5"/>
        </w:rPr>
        <w:t> </w:t>
      </w:r>
      <w:r>
        <w:rPr>
          <w:color w:val="0C0C0C"/>
        </w:rPr>
        <w:t>the</w:t>
      </w:r>
      <w:r>
        <w:rPr>
          <w:color w:val="0C0C0C"/>
          <w:spacing w:val="-10"/>
        </w:rPr>
        <w:t> </w:t>
      </w:r>
      <w:r>
        <w:rPr>
          <w:color w:val="0C0C0C"/>
        </w:rPr>
        <w:t>finance charges and</w:t>
      </w:r>
      <w:r>
        <w:rPr>
          <w:color w:val="0C0C0C"/>
          <w:spacing w:val="-12"/>
        </w:rPr>
        <w:t> </w:t>
      </w:r>
      <w:r>
        <w:rPr>
          <w:color w:val="0C0C0C"/>
        </w:rPr>
        <w:t>reduction of</w:t>
      </w:r>
      <w:r>
        <w:rPr>
          <w:color w:val="0C0C0C"/>
          <w:spacing w:val="-11"/>
        </w:rPr>
        <w:t> </w:t>
      </w:r>
      <w:r>
        <w:rPr>
          <w:color w:val="0C0C0C"/>
        </w:rPr>
        <w:t>the</w:t>
      </w:r>
      <w:r>
        <w:rPr>
          <w:color w:val="0C0C0C"/>
          <w:spacing w:val="-8"/>
        </w:rPr>
        <w:t> </w:t>
      </w:r>
      <w:r>
        <w:rPr>
          <w:color w:val="0C0C0C"/>
        </w:rPr>
        <w:t>lease</w:t>
      </w:r>
      <w:r>
        <w:rPr>
          <w:color w:val="0C0C0C"/>
          <w:spacing w:val="-7"/>
        </w:rPr>
        <w:t> </w:t>
      </w:r>
      <w:r>
        <w:rPr>
          <w:color w:val="0C0C0C"/>
        </w:rPr>
        <w:t>liability so as to achieve a constant </w:t>
      </w:r>
      <w:r>
        <w:rPr>
          <w:color w:val="1D1D1D"/>
        </w:rPr>
        <w:t>rate of </w:t>
      </w:r>
      <w:r>
        <w:rPr>
          <w:color w:val="0C0C0C"/>
        </w:rPr>
        <w:t>interest on tt1e remaining balance of the liability. Finance charges are charged directly against income.</w:t>
      </w:r>
    </w:p>
    <w:p>
      <w:pPr>
        <w:pStyle w:val="BodyText"/>
        <w:spacing w:before="201" w:line="278" w:lineRule="auto"/>
        <w:ind w:left="1583" w:right="1148" w:hanging="7"/>
        <w:jc w:val="both"/>
      </w:pPr>
      <w:r>
        <w:rPr>
          <w:color w:val="0C0C0C"/>
        </w:rPr>
        <w:t>Assets held</w:t>
      </w:r>
      <w:r>
        <w:rPr>
          <w:color w:val="0C0C0C"/>
          <w:spacing w:val="-6"/>
        </w:rPr>
        <w:t> </w:t>
      </w:r>
      <w:r>
        <w:rPr>
          <w:color w:val="0C0C0C"/>
        </w:rPr>
        <w:t>under</w:t>
      </w:r>
      <w:r>
        <w:rPr>
          <w:color w:val="0C0C0C"/>
          <w:spacing w:val="-1"/>
        </w:rPr>
        <w:t> </w:t>
      </w:r>
      <w:r>
        <w:rPr>
          <w:color w:val="0C0C0C"/>
        </w:rPr>
        <w:t>finance leases are</w:t>
      </w:r>
      <w:r>
        <w:rPr>
          <w:color w:val="0C0C0C"/>
          <w:spacing w:val="-7"/>
        </w:rPr>
        <w:t> </w:t>
      </w:r>
      <w:r>
        <w:rPr>
          <w:color w:val="0C0C0C"/>
        </w:rPr>
        <w:t>depreciated over</w:t>
      </w:r>
      <w:r>
        <w:rPr>
          <w:color w:val="0C0C0C"/>
          <w:spacing w:val="-5"/>
        </w:rPr>
        <w:t> </w:t>
      </w:r>
      <w:r>
        <w:rPr>
          <w:color w:val="0C0C0C"/>
        </w:rPr>
        <w:t>the</w:t>
      </w:r>
      <w:r>
        <w:rPr>
          <w:color w:val="0C0C0C"/>
          <w:spacing w:val="-3"/>
        </w:rPr>
        <w:t> </w:t>
      </w:r>
      <w:r>
        <w:rPr>
          <w:color w:val="0C0C0C"/>
        </w:rPr>
        <w:t>shorter of</w:t>
      </w:r>
      <w:r>
        <w:rPr>
          <w:color w:val="0C0C0C"/>
          <w:spacing w:val="-9"/>
        </w:rPr>
        <w:t> </w:t>
      </w:r>
      <w:r>
        <w:rPr>
          <w:color w:val="0C0C0C"/>
        </w:rPr>
        <w:t>the</w:t>
      </w:r>
      <w:r>
        <w:rPr>
          <w:color w:val="0C0C0C"/>
          <w:spacing w:val="-5"/>
        </w:rPr>
        <w:t> </w:t>
      </w:r>
      <w:r>
        <w:rPr>
          <w:color w:val="0C0C0C"/>
        </w:rPr>
        <w:t>estimated useful</w:t>
      </w:r>
      <w:r>
        <w:rPr>
          <w:color w:val="0C0C0C"/>
          <w:spacing w:val="-9"/>
        </w:rPr>
        <w:t> </w:t>
      </w:r>
      <w:r>
        <w:rPr>
          <w:color w:val="0C0C0C"/>
        </w:rPr>
        <w:t>life of the asset and the lease term.</w:t>
      </w:r>
    </w:p>
    <w:p>
      <w:pPr>
        <w:pStyle w:val="BodyText"/>
        <w:spacing w:before="196" w:line="276" w:lineRule="auto"/>
        <w:ind w:left="1581" w:right="1148" w:hanging="6"/>
        <w:jc w:val="both"/>
      </w:pPr>
      <w:r>
        <w:rPr>
          <w:color w:val="0C0C0C"/>
        </w:rPr>
        <w:t>All other leases are classified as operating </w:t>
      </w:r>
      <w:r>
        <w:rPr>
          <w:color w:val="1D1D1D"/>
        </w:rPr>
        <w:t>leases. </w:t>
      </w:r>
      <w:r>
        <w:rPr>
          <w:color w:val="0C0C0C"/>
        </w:rPr>
        <w:t>Payments under operating leases are charged to the Comprehensive Income and Expenditure Statement on a straight-line basis over the period of the lease.</w:t>
      </w:r>
    </w:p>
    <w:p>
      <w:pPr>
        <w:spacing w:before="204"/>
        <w:ind w:left="1576" w:right="0" w:firstLine="0"/>
        <w:jc w:val="left"/>
        <w:rPr>
          <w:i/>
          <w:sz w:val="21"/>
        </w:rPr>
      </w:pPr>
      <w:r>
        <w:rPr>
          <w:i/>
          <w:color w:val="0C0C0C"/>
          <w:w w:val="105"/>
          <w:sz w:val="21"/>
        </w:rPr>
        <w:t>Council</w:t>
      </w:r>
      <w:r>
        <w:rPr>
          <w:i/>
          <w:color w:val="0C0C0C"/>
          <w:spacing w:val="-4"/>
          <w:w w:val="105"/>
          <w:sz w:val="21"/>
        </w:rPr>
        <w:t> </w:t>
      </w:r>
      <w:r>
        <w:rPr>
          <w:color w:val="0C0C0C"/>
          <w:w w:val="105"/>
          <w:sz w:val="22"/>
        </w:rPr>
        <w:t>as</w:t>
      </w:r>
      <w:r>
        <w:rPr>
          <w:color w:val="0C0C0C"/>
          <w:spacing w:val="-18"/>
          <w:w w:val="105"/>
          <w:sz w:val="22"/>
        </w:rPr>
        <w:t> </w:t>
      </w:r>
      <w:r>
        <w:rPr>
          <w:i/>
          <w:color w:val="0C0C0C"/>
          <w:spacing w:val="-2"/>
          <w:w w:val="105"/>
          <w:sz w:val="21"/>
        </w:rPr>
        <w:t>lessor</w:t>
      </w:r>
    </w:p>
    <w:p>
      <w:pPr>
        <w:pStyle w:val="BodyText"/>
        <w:spacing w:before="237" w:line="276" w:lineRule="auto"/>
        <w:ind w:left="1577" w:right="1136" w:hanging="1"/>
        <w:jc w:val="both"/>
      </w:pPr>
      <w:r>
        <w:rPr>
          <w:color w:val="0C0C0C"/>
        </w:rPr>
        <w:t>Finance leases -</w:t>
      </w:r>
      <w:r>
        <w:rPr>
          <w:color w:val="0C0C0C"/>
          <w:spacing w:val="-3"/>
        </w:rPr>
        <w:t> </w:t>
      </w:r>
      <w:r>
        <w:rPr>
          <w:color w:val="0C0C0C"/>
        </w:rPr>
        <w:t>the council recognises assets held under finance leases as a receivable at an</w:t>
      </w:r>
      <w:r>
        <w:rPr>
          <w:color w:val="0C0C0C"/>
          <w:spacing w:val="-1"/>
        </w:rPr>
        <w:t> </w:t>
      </w:r>
      <w:r>
        <w:rPr>
          <w:color w:val="0C0C0C"/>
        </w:rPr>
        <w:t>amount equal</w:t>
      </w:r>
      <w:r>
        <w:rPr>
          <w:color w:val="0C0C0C"/>
          <w:spacing w:val="-2"/>
        </w:rPr>
        <w:t> </w:t>
      </w:r>
      <w:r>
        <w:rPr>
          <w:color w:val="0C0C0C"/>
        </w:rPr>
        <w:t>to</w:t>
      </w:r>
      <w:r>
        <w:rPr>
          <w:color w:val="0C0C0C"/>
          <w:spacing w:val="-4"/>
        </w:rPr>
        <w:t> </w:t>
      </w:r>
      <w:r>
        <w:rPr>
          <w:color w:val="0C0C0C"/>
        </w:rPr>
        <w:t>the net investment in</w:t>
      </w:r>
      <w:r>
        <w:rPr>
          <w:color w:val="0C0C0C"/>
          <w:spacing w:val="-15"/>
        </w:rPr>
        <w:t> </w:t>
      </w:r>
      <w:r>
        <w:rPr>
          <w:color w:val="0C0C0C"/>
        </w:rPr>
        <w:t>the </w:t>
      </w:r>
      <w:r>
        <w:rPr>
          <w:color w:val="1D1D1D"/>
        </w:rPr>
        <w:t>lease. </w:t>
      </w:r>
      <w:r>
        <w:rPr>
          <w:color w:val="0C0C0C"/>
        </w:rPr>
        <w:t>The lease payment receivable is treated as </w:t>
      </w:r>
      <w:r>
        <w:rPr>
          <w:color w:val="1D1D1D"/>
        </w:rPr>
        <w:t>repayment </w:t>
      </w:r>
      <w:r>
        <w:rPr>
          <w:color w:val="0C0C0C"/>
        </w:rPr>
        <w:t>of principal and finance </w:t>
      </w:r>
      <w:r>
        <w:rPr>
          <w:color w:val="333333"/>
        </w:rPr>
        <w:t>income, </w:t>
      </w:r>
      <w:r>
        <w:rPr>
          <w:color w:val="1D1D1D"/>
        </w:rPr>
        <w:t>with </w:t>
      </w:r>
      <w:r>
        <w:rPr>
          <w:color w:val="0C0C0C"/>
        </w:rPr>
        <w:t>the </w:t>
      </w:r>
      <w:r>
        <w:rPr>
          <w:color w:val="1D1D1D"/>
        </w:rPr>
        <w:t>interest element </w:t>
      </w:r>
      <w:r>
        <w:rPr>
          <w:color w:val="0C0C0C"/>
        </w:rPr>
        <w:t>shown in Interest receivable and</w:t>
      </w:r>
      <w:r>
        <w:rPr>
          <w:color w:val="0C0C0C"/>
          <w:spacing w:val="-6"/>
        </w:rPr>
        <w:t> </w:t>
      </w:r>
      <w:r>
        <w:rPr>
          <w:color w:val="0C0C0C"/>
        </w:rPr>
        <w:t>similar </w:t>
      </w:r>
      <w:r>
        <w:rPr>
          <w:color w:val="1D1D1D"/>
        </w:rPr>
        <w:t>income</w:t>
      </w:r>
      <w:r>
        <w:rPr>
          <w:color w:val="1D1D1D"/>
          <w:spacing w:val="-2"/>
        </w:rPr>
        <w:t> </w:t>
      </w:r>
      <w:r>
        <w:rPr>
          <w:color w:val="0C0C0C"/>
        </w:rPr>
        <w:t>in</w:t>
      </w:r>
      <w:r>
        <w:rPr>
          <w:color w:val="0C0C0C"/>
          <w:spacing w:val="-16"/>
        </w:rPr>
        <w:t> </w:t>
      </w:r>
      <w:r>
        <w:rPr>
          <w:color w:val="0C0C0C"/>
        </w:rPr>
        <w:t>the</w:t>
      </w:r>
      <w:r>
        <w:rPr>
          <w:color w:val="0C0C0C"/>
          <w:spacing w:val="-15"/>
        </w:rPr>
        <w:t> </w:t>
      </w:r>
      <w:r>
        <w:rPr>
          <w:color w:val="0C0C0C"/>
        </w:rPr>
        <w:t>Comprehensive Income </w:t>
      </w:r>
      <w:r>
        <w:rPr>
          <w:color w:val="1D1D1D"/>
        </w:rPr>
        <w:t>and</w:t>
      </w:r>
      <w:r>
        <w:rPr>
          <w:color w:val="1D1D1D"/>
          <w:spacing w:val="-8"/>
        </w:rPr>
        <w:t> </w:t>
      </w:r>
      <w:r>
        <w:rPr>
          <w:color w:val="1D1D1D"/>
        </w:rPr>
        <w:t>Expenditure </w:t>
      </w:r>
      <w:r>
        <w:rPr>
          <w:color w:val="0C0C0C"/>
        </w:rPr>
        <w:t>Statement and the principal element reducing a</w:t>
      </w:r>
      <w:r>
        <w:rPr>
          <w:color w:val="0C0C0C"/>
          <w:spacing w:val="-4"/>
        </w:rPr>
        <w:t> </w:t>
      </w:r>
      <w:r>
        <w:rPr>
          <w:color w:val="0C0C0C"/>
        </w:rPr>
        <w:t>long</w:t>
      </w:r>
      <w:r>
        <w:rPr>
          <w:color w:val="0C0C0C"/>
          <w:spacing w:val="-3"/>
        </w:rPr>
        <w:t> </w:t>
      </w:r>
      <w:r>
        <w:rPr>
          <w:color w:val="0C0C0C"/>
        </w:rPr>
        <w:t>term debtor on</w:t>
      </w:r>
      <w:r>
        <w:rPr>
          <w:color w:val="0C0C0C"/>
          <w:spacing w:val="-7"/>
        </w:rPr>
        <w:t> </w:t>
      </w:r>
      <w:r>
        <w:rPr>
          <w:color w:val="0C0C0C"/>
        </w:rPr>
        <w:t>the</w:t>
      </w:r>
      <w:r>
        <w:rPr>
          <w:color w:val="0C0C0C"/>
          <w:spacing w:val="-1"/>
        </w:rPr>
        <w:t> </w:t>
      </w:r>
      <w:r>
        <w:rPr>
          <w:color w:val="0C0C0C"/>
        </w:rPr>
        <w:t>Balance Sheet. The</w:t>
      </w:r>
      <w:r>
        <w:rPr>
          <w:color w:val="0C0C0C"/>
          <w:spacing w:val="-1"/>
        </w:rPr>
        <w:t> </w:t>
      </w:r>
      <w:r>
        <w:rPr>
          <w:color w:val="0C0C0C"/>
        </w:rPr>
        <w:t>finance income is calculated so as to produce a constant periodic rate of return on the net investment. The asset itself is derecognised from Property, Plant and Equipment.</w:t>
      </w:r>
    </w:p>
    <w:p>
      <w:pPr>
        <w:pStyle w:val="BodyText"/>
        <w:spacing w:before="200" w:line="237" w:lineRule="auto"/>
        <w:ind w:left="1585" w:right="1138" w:hanging="1"/>
        <w:jc w:val="both"/>
      </w:pPr>
      <w:r>
        <w:rPr>
          <w:color w:val="1D1D1D"/>
        </w:rPr>
        <w:t>Operating leases</w:t>
      </w:r>
      <w:r>
        <w:rPr>
          <w:color w:val="1D1D1D"/>
          <w:spacing w:val="-2"/>
        </w:rPr>
        <w:t> </w:t>
      </w:r>
      <w:r>
        <w:rPr>
          <w:color w:val="0C0C0C"/>
        </w:rPr>
        <w:t>-</w:t>
      </w:r>
      <w:r>
        <w:rPr>
          <w:color w:val="0C0C0C"/>
          <w:spacing w:val="-6"/>
        </w:rPr>
        <w:t> </w:t>
      </w:r>
      <w:r>
        <w:rPr>
          <w:color w:val="333333"/>
        </w:rPr>
        <w:t>items </w:t>
      </w:r>
      <w:r>
        <w:rPr>
          <w:color w:val="0C0C0C"/>
        </w:rPr>
        <w:t>of property, plant and</w:t>
      </w:r>
      <w:r>
        <w:rPr>
          <w:color w:val="0C0C0C"/>
          <w:spacing w:val="-4"/>
        </w:rPr>
        <w:t> </w:t>
      </w:r>
      <w:r>
        <w:rPr>
          <w:color w:val="1D1D1D"/>
        </w:rPr>
        <w:t>equipment </w:t>
      </w:r>
      <w:r>
        <w:rPr>
          <w:color w:val="0C0C0C"/>
        </w:rPr>
        <w:t>let</w:t>
      </w:r>
      <w:r>
        <w:rPr>
          <w:color w:val="0C0C0C"/>
          <w:spacing w:val="-4"/>
        </w:rPr>
        <w:t> </w:t>
      </w:r>
      <w:r>
        <w:rPr>
          <w:color w:val="0C0C0C"/>
        </w:rPr>
        <w:t>out </w:t>
      </w:r>
      <w:r>
        <w:rPr>
          <w:color w:val="1D1D1D"/>
        </w:rPr>
        <w:t>under operating leases </w:t>
      </w:r>
      <w:r>
        <w:rPr>
          <w:color w:val="0C0C0C"/>
        </w:rPr>
        <w:t>are </w:t>
      </w:r>
      <w:r>
        <w:rPr>
          <w:color w:val="1D1D1D"/>
        </w:rPr>
        <w:t>presented according to</w:t>
      </w:r>
      <w:r>
        <w:rPr>
          <w:color w:val="1D1D1D"/>
          <w:spacing w:val="-2"/>
        </w:rPr>
        <w:t> </w:t>
      </w:r>
      <w:r>
        <w:rPr>
          <w:color w:val="0C0C0C"/>
        </w:rPr>
        <w:t>the nature of the asset.</w:t>
      </w:r>
      <w:r>
        <w:rPr>
          <w:color w:val="0C0C0C"/>
          <w:spacing w:val="24"/>
        </w:rPr>
        <w:t> </w:t>
      </w:r>
      <w:r>
        <w:rPr>
          <w:color w:val="0C0C0C"/>
        </w:rPr>
        <w:t>Income from operating</w:t>
      </w:r>
      <w:r>
        <w:rPr>
          <w:color w:val="0C0C0C"/>
          <w:spacing w:val="24"/>
        </w:rPr>
        <w:t> </w:t>
      </w:r>
      <w:r>
        <w:rPr>
          <w:color w:val="333333"/>
        </w:rPr>
        <w:t>leases </w:t>
      </w:r>
      <w:r>
        <w:rPr>
          <w:color w:val="0C0C0C"/>
        </w:rPr>
        <w:t>is </w:t>
      </w:r>
      <w:r>
        <w:rPr>
          <w:color w:val="1D1D1D"/>
        </w:rPr>
        <w:t>recognised</w:t>
      </w:r>
    </w:p>
    <w:p>
      <w:pPr>
        <w:spacing w:after="0" w:line="237" w:lineRule="auto"/>
        <w:jc w:val="both"/>
        <w:sectPr>
          <w:headerReference w:type="default" r:id="rId104"/>
          <w:footerReference w:type="default" r:id="rId105"/>
          <w:pgSz w:w="11910" w:h="16830"/>
          <w:pgMar w:top="940" w:right="100" w:bottom="1060" w:left="20" w:header="0" w:footer="861"/>
        </w:sectPr>
      </w:pPr>
    </w:p>
    <w:p>
      <w:pPr>
        <w:pStyle w:val="BodyText"/>
        <w:spacing w:line="153" w:lineRule="exact"/>
        <w:ind w:left="2143"/>
        <w:rPr>
          <w:sz w:val="15"/>
        </w:rPr>
      </w:pPr>
      <w:r>
        <w:rPr>
          <w:position w:val="-2"/>
          <w:sz w:val="15"/>
        </w:rPr>
        <w:drawing>
          <wp:inline distT="0" distB="0" distL="0" distR="0">
            <wp:extent cx="1366147" cy="97535"/>
            <wp:effectExtent l="0" t="0" r="0" b="0"/>
            <wp:docPr id="148" name="Image 148"/>
            <wp:cNvGraphicFramePr>
              <a:graphicFrameLocks/>
            </wp:cNvGraphicFramePr>
            <a:graphic>
              <a:graphicData uri="http://schemas.openxmlformats.org/drawingml/2006/picture">
                <pic:pic>
                  <pic:nvPicPr>
                    <pic:cNvPr id="148" name="Image 148"/>
                    <pic:cNvPicPr/>
                  </pic:nvPicPr>
                  <pic:blipFill>
                    <a:blip r:embed="rId108" cstate="print"/>
                    <a:stretch>
                      <a:fillRect/>
                    </a:stretch>
                  </pic:blipFill>
                  <pic:spPr>
                    <a:xfrm>
                      <a:off x="0" y="0"/>
                      <a:ext cx="1366147" cy="97535"/>
                    </a:xfrm>
                    <a:prstGeom prst="rect">
                      <a:avLst/>
                    </a:prstGeom>
                  </pic:spPr>
                </pic:pic>
              </a:graphicData>
            </a:graphic>
          </wp:inline>
        </w:drawing>
      </w:r>
      <w:r>
        <w:rPr>
          <w:position w:val="-2"/>
          <w:sz w:val="15"/>
        </w:rPr>
      </w:r>
    </w:p>
    <w:p>
      <w:pPr>
        <w:pStyle w:val="BodyText"/>
        <w:spacing w:before="19"/>
        <w:rPr>
          <w:sz w:val="21"/>
        </w:rPr>
      </w:pPr>
    </w:p>
    <w:p>
      <w:pPr>
        <w:spacing w:before="0" w:line="247" w:lineRule="auto"/>
        <w:ind w:left="1629" w:right="1107" w:firstLine="6"/>
        <w:jc w:val="both"/>
        <w:rPr>
          <w:sz w:val="21"/>
        </w:rPr>
      </w:pPr>
      <w:r>
        <w:rPr>
          <w:color w:val="0E0E0E"/>
          <w:w w:val="105"/>
          <w:sz w:val="21"/>
        </w:rPr>
        <w:t>on a straight-line</w:t>
      </w:r>
      <w:r>
        <w:rPr>
          <w:color w:val="0E0E0E"/>
          <w:w w:val="105"/>
          <w:sz w:val="21"/>
        </w:rPr>
        <w:t> basis over the lease term,</w:t>
      </w:r>
      <w:r>
        <w:rPr>
          <w:color w:val="0E0E0E"/>
          <w:w w:val="105"/>
          <w:sz w:val="21"/>
        </w:rPr>
        <w:t> even where this does not match the pattern</w:t>
      </w:r>
      <w:r>
        <w:rPr>
          <w:color w:val="0E0E0E"/>
          <w:w w:val="105"/>
          <w:sz w:val="21"/>
        </w:rPr>
        <w:t> of </w:t>
      </w:r>
      <w:r>
        <w:rPr>
          <w:color w:val="0E0E0E"/>
          <w:spacing w:val="-2"/>
          <w:w w:val="105"/>
          <w:sz w:val="21"/>
        </w:rPr>
        <w:t>payments</w:t>
      </w:r>
      <w:r>
        <w:rPr>
          <w:color w:val="5E5E5E"/>
          <w:spacing w:val="-2"/>
          <w:w w:val="105"/>
          <w:sz w:val="21"/>
        </w:rPr>
        <w:t>.</w:t>
      </w:r>
    </w:p>
    <w:p>
      <w:pPr>
        <w:pStyle w:val="BodyText"/>
        <w:spacing w:before="15"/>
        <w:rPr>
          <w:sz w:val="21"/>
        </w:rPr>
      </w:pPr>
    </w:p>
    <w:p>
      <w:pPr>
        <w:spacing w:before="0"/>
        <w:ind w:left="1624" w:right="0" w:firstLine="0"/>
        <w:jc w:val="left"/>
        <w:rPr>
          <w:b/>
          <w:sz w:val="21"/>
        </w:rPr>
      </w:pPr>
      <w:r>
        <w:rPr>
          <w:b/>
          <w:color w:val="0E0E0E"/>
          <w:w w:val="105"/>
          <w:sz w:val="21"/>
        </w:rPr>
        <w:t>Interests</w:t>
      </w:r>
      <w:r>
        <w:rPr>
          <w:b/>
          <w:color w:val="0E0E0E"/>
          <w:spacing w:val="-3"/>
          <w:w w:val="105"/>
          <w:sz w:val="21"/>
        </w:rPr>
        <w:t> </w:t>
      </w:r>
      <w:r>
        <w:rPr>
          <w:b/>
          <w:color w:val="0E0E0E"/>
          <w:w w:val="105"/>
          <w:sz w:val="21"/>
        </w:rPr>
        <w:t>in</w:t>
      </w:r>
      <w:r>
        <w:rPr>
          <w:b/>
          <w:color w:val="0E0E0E"/>
          <w:spacing w:val="-8"/>
          <w:w w:val="105"/>
          <w:sz w:val="21"/>
        </w:rPr>
        <w:t> </w:t>
      </w:r>
      <w:r>
        <w:rPr>
          <w:b/>
          <w:color w:val="0E0E0E"/>
          <w:w w:val="105"/>
          <w:sz w:val="21"/>
        </w:rPr>
        <w:t>Companies</w:t>
      </w:r>
      <w:r>
        <w:rPr>
          <w:b/>
          <w:color w:val="0E0E0E"/>
          <w:spacing w:val="2"/>
          <w:w w:val="105"/>
          <w:sz w:val="21"/>
        </w:rPr>
        <w:t> </w:t>
      </w:r>
      <w:r>
        <w:rPr>
          <w:b/>
          <w:color w:val="0E0E0E"/>
          <w:w w:val="105"/>
          <w:sz w:val="21"/>
        </w:rPr>
        <w:t>and</w:t>
      </w:r>
      <w:r>
        <w:rPr>
          <w:b/>
          <w:color w:val="0E0E0E"/>
          <w:spacing w:val="-9"/>
          <w:w w:val="105"/>
          <w:sz w:val="21"/>
        </w:rPr>
        <w:t> </w:t>
      </w:r>
      <w:r>
        <w:rPr>
          <w:b/>
          <w:color w:val="0E0E0E"/>
          <w:w w:val="105"/>
          <w:sz w:val="21"/>
        </w:rPr>
        <w:t>Other</w:t>
      </w:r>
      <w:r>
        <w:rPr>
          <w:b/>
          <w:color w:val="0E0E0E"/>
          <w:spacing w:val="-3"/>
          <w:w w:val="105"/>
          <w:sz w:val="21"/>
        </w:rPr>
        <w:t> </w:t>
      </w:r>
      <w:r>
        <w:rPr>
          <w:b/>
          <w:color w:val="0E0E0E"/>
          <w:spacing w:val="-2"/>
          <w:w w:val="105"/>
          <w:sz w:val="21"/>
        </w:rPr>
        <w:t>Entities</w:t>
      </w:r>
    </w:p>
    <w:p>
      <w:pPr>
        <w:pStyle w:val="BodyText"/>
        <w:spacing w:before="22"/>
        <w:rPr>
          <w:b/>
          <w:sz w:val="21"/>
        </w:rPr>
      </w:pPr>
    </w:p>
    <w:p>
      <w:pPr>
        <w:spacing w:before="0" w:line="249" w:lineRule="auto"/>
        <w:ind w:left="1605" w:right="1111" w:firstLine="13"/>
        <w:jc w:val="both"/>
        <w:rPr>
          <w:sz w:val="21"/>
        </w:rPr>
      </w:pPr>
      <w:r>
        <w:rPr>
          <w:color w:val="1D1D1D"/>
          <w:w w:val="105"/>
          <w:sz w:val="21"/>
        </w:rPr>
        <w:t>The</w:t>
      </w:r>
      <w:r>
        <w:rPr>
          <w:color w:val="1D1D1D"/>
          <w:w w:val="105"/>
          <w:sz w:val="21"/>
        </w:rPr>
        <w:t> Council</w:t>
      </w:r>
      <w:r>
        <w:rPr>
          <w:color w:val="1D1D1D"/>
          <w:w w:val="105"/>
          <w:sz w:val="21"/>
        </w:rPr>
        <w:t> is required</w:t>
      </w:r>
      <w:r>
        <w:rPr>
          <w:color w:val="1D1D1D"/>
          <w:w w:val="105"/>
          <w:sz w:val="21"/>
        </w:rPr>
        <w:t> to</w:t>
      </w:r>
      <w:r>
        <w:rPr>
          <w:color w:val="1D1D1D"/>
          <w:w w:val="105"/>
          <w:sz w:val="21"/>
        </w:rPr>
        <w:t> produce</w:t>
      </w:r>
      <w:r>
        <w:rPr>
          <w:color w:val="1D1D1D"/>
          <w:w w:val="105"/>
          <w:sz w:val="21"/>
        </w:rPr>
        <w:t> group</w:t>
      </w:r>
      <w:r>
        <w:rPr>
          <w:color w:val="1D1D1D"/>
          <w:w w:val="105"/>
          <w:sz w:val="21"/>
        </w:rPr>
        <w:t> accounts</w:t>
      </w:r>
      <w:r>
        <w:rPr>
          <w:color w:val="1D1D1D"/>
          <w:w w:val="105"/>
          <w:sz w:val="21"/>
        </w:rPr>
        <w:t> alongside</w:t>
      </w:r>
      <w:r>
        <w:rPr>
          <w:color w:val="1D1D1D"/>
          <w:w w:val="105"/>
          <w:sz w:val="21"/>
        </w:rPr>
        <w:t> its</w:t>
      </w:r>
      <w:r>
        <w:rPr>
          <w:color w:val="1D1D1D"/>
          <w:w w:val="105"/>
          <w:sz w:val="21"/>
        </w:rPr>
        <w:t> own financial</w:t>
      </w:r>
      <w:r>
        <w:rPr>
          <w:color w:val="1D1D1D"/>
          <w:w w:val="105"/>
          <w:sz w:val="21"/>
        </w:rPr>
        <w:t> statements where</w:t>
      </w:r>
      <w:r>
        <w:rPr>
          <w:color w:val="1D1D1D"/>
          <w:w w:val="105"/>
          <w:sz w:val="21"/>
        </w:rPr>
        <w:t> it</w:t>
      </w:r>
      <w:r>
        <w:rPr>
          <w:color w:val="1D1D1D"/>
          <w:w w:val="105"/>
          <w:sz w:val="21"/>
        </w:rPr>
        <w:t> has</w:t>
      </w:r>
      <w:r>
        <w:rPr>
          <w:color w:val="1D1D1D"/>
          <w:w w:val="105"/>
          <w:sz w:val="21"/>
        </w:rPr>
        <w:t> material</w:t>
      </w:r>
      <w:r>
        <w:rPr>
          <w:color w:val="1D1D1D"/>
          <w:w w:val="105"/>
          <w:sz w:val="21"/>
        </w:rPr>
        <w:t> interests</w:t>
      </w:r>
      <w:r>
        <w:rPr>
          <w:color w:val="1D1D1D"/>
          <w:w w:val="105"/>
          <w:sz w:val="21"/>
        </w:rPr>
        <w:t> in</w:t>
      </w:r>
      <w:r>
        <w:rPr>
          <w:color w:val="1D1D1D"/>
          <w:w w:val="105"/>
          <w:sz w:val="21"/>
        </w:rPr>
        <w:t> subsidiaries</w:t>
      </w:r>
      <w:r>
        <w:rPr>
          <w:color w:val="484848"/>
          <w:w w:val="105"/>
          <w:sz w:val="21"/>
        </w:rPr>
        <w:t>,</w:t>
      </w:r>
      <w:r>
        <w:rPr>
          <w:color w:val="484848"/>
          <w:w w:val="105"/>
          <w:sz w:val="21"/>
        </w:rPr>
        <w:t> </w:t>
      </w:r>
      <w:r>
        <w:rPr>
          <w:color w:val="1D1D1D"/>
          <w:w w:val="105"/>
          <w:sz w:val="21"/>
        </w:rPr>
        <w:t>associates</w:t>
      </w:r>
      <w:r>
        <w:rPr>
          <w:color w:val="1D1D1D"/>
          <w:w w:val="105"/>
          <w:sz w:val="21"/>
        </w:rPr>
        <w:t> and </w:t>
      </w:r>
      <w:r>
        <w:rPr>
          <w:i/>
          <w:color w:val="1D1D1D"/>
          <w:w w:val="105"/>
          <w:sz w:val="22"/>
        </w:rPr>
        <w:t>I</w:t>
      </w:r>
      <w:r>
        <w:rPr>
          <w:i/>
          <w:color w:val="1D1D1D"/>
          <w:w w:val="105"/>
          <w:sz w:val="22"/>
        </w:rPr>
        <w:t> </w:t>
      </w:r>
      <w:r>
        <w:rPr>
          <w:color w:val="1D1D1D"/>
          <w:w w:val="105"/>
          <w:sz w:val="21"/>
        </w:rPr>
        <w:t>or</w:t>
      </w:r>
      <w:r>
        <w:rPr>
          <w:color w:val="1D1D1D"/>
          <w:w w:val="105"/>
          <w:sz w:val="21"/>
        </w:rPr>
        <w:t> joint</w:t>
      </w:r>
      <w:r>
        <w:rPr>
          <w:color w:val="1D1D1D"/>
          <w:w w:val="105"/>
          <w:sz w:val="21"/>
        </w:rPr>
        <w:t> </w:t>
      </w:r>
      <w:r>
        <w:rPr>
          <w:color w:val="0E0E0E"/>
          <w:w w:val="105"/>
          <w:sz w:val="21"/>
        </w:rPr>
        <w:t>ventures.</w:t>
      </w:r>
      <w:r>
        <w:rPr>
          <w:color w:val="0E0E0E"/>
          <w:w w:val="105"/>
          <w:sz w:val="21"/>
        </w:rPr>
        <w:t> </w:t>
      </w:r>
      <w:r>
        <w:rPr>
          <w:color w:val="1D1D1D"/>
          <w:w w:val="105"/>
          <w:sz w:val="21"/>
        </w:rPr>
        <w:t>Group accounts</w:t>
      </w:r>
      <w:r>
        <w:rPr>
          <w:color w:val="1D1D1D"/>
          <w:spacing w:val="-13"/>
          <w:w w:val="105"/>
          <w:sz w:val="21"/>
        </w:rPr>
        <w:t> </w:t>
      </w:r>
      <w:r>
        <w:rPr>
          <w:color w:val="1D1D1D"/>
          <w:w w:val="105"/>
          <w:sz w:val="21"/>
        </w:rPr>
        <w:t>have</w:t>
      </w:r>
      <w:r>
        <w:rPr>
          <w:color w:val="1D1D1D"/>
          <w:spacing w:val="-16"/>
          <w:w w:val="105"/>
          <w:sz w:val="21"/>
        </w:rPr>
        <w:t> </w:t>
      </w:r>
      <w:r>
        <w:rPr>
          <w:color w:val="1D1D1D"/>
          <w:w w:val="105"/>
          <w:sz w:val="21"/>
        </w:rPr>
        <w:t>been</w:t>
      </w:r>
      <w:r>
        <w:rPr>
          <w:color w:val="1D1D1D"/>
          <w:spacing w:val="-12"/>
          <w:w w:val="105"/>
          <w:sz w:val="21"/>
        </w:rPr>
        <w:t> </w:t>
      </w:r>
      <w:r>
        <w:rPr>
          <w:color w:val="1D1D1D"/>
          <w:w w:val="105"/>
          <w:sz w:val="21"/>
        </w:rPr>
        <w:t>prepared</w:t>
      </w:r>
      <w:r>
        <w:rPr>
          <w:color w:val="1D1D1D"/>
          <w:spacing w:val="-8"/>
          <w:w w:val="105"/>
          <w:sz w:val="21"/>
        </w:rPr>
        <w:t> </w:t>
      </w:r>
      <w:r>
        <w:rPr>
          <w:color w:val="1D1D1D"/>
          <w:w w:val="105"/>
          <w:sz w:val="21"/>
        </w:rPr>
        <w:t>including Elstree</w:t>
      </w:r>
      <w:r>
        <w:rPr>
          <w:color w:val="1D1D1D"/>
          <w:spacing w:val="-8"/>
          <w:w w:val="105"/>
          <w:sz w:val="21"/>
        </w:rPr>
        <w:t> </w:t>
      </w:r>
      <w:r>
        <w:rPr>
          <w:color w:val="0E0E0E"/>
          <w:w w:val="105"/>
          <w:sz w:val="21"/>
        </w:rPr>
        <w:t>Studios</w:t>
      </w:r>
      <w:r>
        <w:rPr>
          <w:color w:val="0E0E0E"/>
          <w:spacing w:val="-7"/>
          <w:w w:val="105"/>
          <w:sz w:val="21"/>
        </w:rPr>
        <w:t> </w:t>
      </w:r>
      <w:r>
        <w:rPr>
          <w:color w:val="1D1D1D"/>
          <w:w w:val="105"/>
          <w:sz w:val="21"/>
        </w:rPr>
        <w:t>Ltd</w:t>
      </w:r>
      <w:r>
        <w:rPr>
          <w:color w:val="1D1D1D"/>
          <w:spacing w:val="-16"/>
          <w:w w:val="105"/>
          <w:sz w:val="21"/>
        </w:rPr>
        <w:t> </w:t>
      </w:r>
      <w:r>
        <w:rPr>
          <w:color w:val="0E0E0E"/>
          <w:w w:val="105"/>
          <w:sz w:val="21"/>
        </w:rPr>
        <w:t>and</w:t>
      </w:r>
      <w:r>
        <w:rPr>
          <w:color w:val="0E0E0E"/>
          <w:spacing w:val="-15"/>
          <w:w w:val="105"/>
          <w:sz w:val="21"/>
        </w:rPr>
        <w:t> </w:t>
      </w:r>
      <w:r>
        <w:rPr>
          <w:color w:val="1D1D1D"/>
          <w:w w:val="105"/>
          <w:sz w:val="21"/>
        </w:rPr>
        <w:t>Hertsmere</w:t>
      </w:r>
      <w:r>
        <w:rPr>
          <w:color w:val="1D1D1D"/>
          <w:spacing w:val="-8"/>
          <w:w w:val="105"/>
          <w:sz w:val="21"/>
        </w:rPr>
        <w:t> </w:t>
      </w:r>
      <w:r>
        <w:rPr>
          <w:color w:val="1D1D1D"/>
          <w:w w:val="105"/>
          <w:sz w:val="21"/>
        </w:rPr>
        <w:t>Developments</w:t>
      </w:r>
      <w:r>
        <w:rPr>
          <w:color w:val="1D1D1D"/>
          <w:spacing w:val="12"/>
          <w:w w:val="105"/>
          <w:sz w:val="21"/>
        </w:rPr>
        <w:t> </w:t>
      </w:r>
      <w:r>
        <w:rPr>
          <w:color w:val="1D1D1D"/>
          <w:w w:val="105"/>
          <w:sz w:val="21"/>
        </w:rPr>
        <w:t>Ltd </w:t>
      </w:r>
      <w:r>
        <w:rPr>
          <w:color w:val="0E0E0E"/>
          <w:w w:val="105"/>
          <w:sz w:val="21"/>
        </w:rPr>
        <w:t>(both</w:t>
      </w:r>
      <w:r>
        <w:rPr>
          <w:color w:val="0E0E0E"/>
          <w:w w:val="105"/>
          <w:sz w:val="21"/>
        </w:rPr>
        <w:t> 100%</w:t>
      </w:r>
      <w:r>
        <w:rPr>
          <w:color w:val="0E0E0E"/>
          <w:w w:val="105"/>
          <w:sz w:val="21"/>
        </w:rPr>
        <w:t> owned).</w:t>
      </w:r>
      <w:r>
        <w:rPr>
          <w:color w:val="0E0E0E"/>
          <w:w w:val="105"/>
          <w:sz w:val="21"/>
        </w:rPr>
        <w:t> In the Council's</w:t>
      </w:r>
      <w:r>
        <w:rPr>
          <w:color w:val="0E0E0E"/>
          <w:w w:val="105"/>
          <w:sz w:val="21"/>
        </w:rPr>
        <w:t> accounts</w:t>
      </w:r>
      <w:r>
        <w:rPr>
          <w:color w:val="0E0E0E"/>
          <w:w w:val="105"/>
          <w:sz w:val="21"/>
        </w:rPr>
        <w:t> the</w:t>
      </w:r>
      <w:r>
        <w:rPr>
          <w:color w:val="0E0E0E"/>
          <w:w w:val="105"/>
          <w:sz w:val="21"/>
        </w:rPr>
        <w:t> interests</w:t>
      </w:r>
      <w:r>
        <w:rPr>
          <w:color w:val="0E0E0E"/>
          <w:w w:val="105"/>
          <w:sz w:val="21"/>
        </w:rPr>
        <w:t> in</w:t>
      </w:r>
      <w:r>
        <w:rPr>
          <w:color w:val="0E0E0E"/>
          <w:w w:val="105"/>
          <w:sz w:val="21"/>
        </w:rPr>
        <w:t> companies</w:t>
      </w:r>
      <w:r>
        <w:rPr>
          <w:color w:val="0E0E0E"/>
          <w:w w:val="105"/>
          <w:sz w:val="21"/>
        </w:rPr>
        <w:t> are</w:t>
      </w:r>
      <w:r>
        <w:rPr>
          <w:color w:val="0E0E0E"/>
          <w:w w:val="105"/>
          <w:sz w:val="21"/>
        </w:rPr>
        <w:t> recorded</w:t>
      </w:r>
      <w:r>
        <w:rPr>
          <w:color w:val="0E0E0E"/>
          <w:w w:val="105"/>
          <w:sz w:val="21"/>
        </w:rPr>
        <w:t> as investments</w:t>
      </w:r>
      <w:r>
        <w:rPr>
          <w:color w:val="0E0E0E"/>
          <w:spacing w:val="40"/>
          <w:w w:val="105"/>
          <w:sz w:val="21"/>
        </w:rPr>
        <w:t> </w:t>
      </w:r>
      <w:r>
        <w:rPr>
          <w:color w:val="0E0E0E"/>
          <w:w w:val="105"/>
          <w:sz w:val="21"/>
        </w:rPr>
        <w:t>at cost or fair value.</w:t>
      </w:r>
    </w:p>
    <w:p>
      <w:pPr>
        <w:pStyle w:val="BodyText"/>
        <w:spacing w:before="9"/>
        <w:rPr>
          <w:sz w:val="21"/>
        </w:rPr>
      </w:pPr>
    </w:p>
    <w:p>
      <w:pPr>
        <w:spacing w:before="0"/>
        <w:ind w:left="1599" w:right="0" w:firstLine="0"/>
        <w:jc w:val="left"/>
        <w:rPr>
          <w:b/>
          <w:sz w:val="21"/>
        </w:rPr>
      </w:pPr>
      <w:r>
        <w:rPr>
          <w:b/>
          <w:color w:val="0E0E0E"/>
          <w:w w:val="105"/>
          <w:sz w:val="21"/>
        </w:rPr>
        <w:t>Prior</w:t>
      </w:r>
      <w:r>
        <w:rPr>
          <w:b/>
          <w:color w:val="0E0E0E"/>
          <w:spacing w:val="-13"/>
          <w:w w:val="105"/>
          <w:sz w:val="21"/>
        </w:rPr>
        <w:t> </w:t>
      </w:r>
      <w:r>
        <w:rPr>
          <w:b/>
          <w:color w:val="0E0E0E"/>
          <w:w w:val="105"/>
          <w:sz w:val="21"/>
        </w:rPr>
        <w:t>Period</w:t>
      </w:r>
      <w:r>
        <w:rPr>
          <w:b/>
          <w:color w:val="0E0E0E"/>
          <w:spacing w:val="-7"/>
          <w:w w:val="105"/>
          <w:sz w:val="21"/>
        </w:rPr>
        <w:t> </w:t>
      </w:r>
      <w:r>
        <w:rPr>
          <w:b/>
          <w:color w:val="0E0E0E"/>
          <w:w w:val="105"/>
          <w:sz w:val="21"/>
        </w:rPr>
        <w:t>Adjustments,</w:t>
      </w:r>
      <w:r>
        <w:rPr>
          <w:b/>
          <w:color w:val="0E0E0E"/>
          <w:spacing w:val="11"/>
          <w:w w:val="105"/>
          <w:sz w:val="21"/>
        </w:rPr>
        <w:t> </w:t>
      </w:r>
      <w:r>
        <w:rPr>
          <w:b/>
          <w:color w:val="0E0E0E"/>
          <w:w w:val="105"/>
          <w:sz w:val="21"/>
        </w:rPr>
        <w:t>Changes</w:t>
      </w:r>
      <w:r>
        <w:rPr>
          <w:b/>
          <w:color w:val="0E0E0E"/>
          <w:spacing w:val="-1"/>
          <w:w w:val="105"/>
          <w:sz w:val="21"/>
        </w:rPr>
        <w:t> </w:t>
      </w:r>
      <w:r>
        <w:rPr>
          <w:b/>
          <w:color w:val="0E0E0E"/>
          <w:w w:val="105"/>
          <w:sz w:val="21"/>
        </w:rPr>
        <w:t>in</w:t>
      </w:r>
      <w:r>
        <w:rPr>
          <w:b/>
          <w:color w:val="0E0E0E"/>
          <w:spacing w:val="-14"/>
          <w:w w:val="105"/>
          <w:sz w:val="21"/>
        </w:rPr>
        <w:t> </w:t>
      </w:r>
      <w:r>
        <w:rPr>
          <w:b/>
          <w:color w:val="0E0E0E"/>
          <w:w w:val="105"/>
          <w:sz w:val="21"/>
        </w:rPr>
        <w:t>Accounting</w:t>
      </w:r>
      <w:r>
        <w:rPr>
          <w:b/>
          <w:color w:val="0E0E0E"/>
          <w:spacing w:val="2"/>
          <w:w w:val="105"/>
          <w:sz w:val="21"/>
        </w:rPr>
        <w:t> </w:t>
      </w:r>
      <w:r>
        <w:rPr>
          <w:b/>
          <w:color w:val="0E0E0E"/>
          <w:w w:val="105"/>
          <w:sz w:val="21"/>
        </w:rPr>
        <w:t>Policies</w:t>
      </w:r>
      <w:r>
        <w:rPr>
          <w:b/>
          <w:color w:val="0E0E0E"/>
          <w:spacing w:val="-5"/>
          <w:w w:val="105"/>
          <w:sz w:val="21"/>
        </w:rPr>
        <w:t> </w:t>
      </w:r>
      <w:r>
        <w:rPr>
          <w:b/>
          <w:color w:val="0E0E0E"/>
          <w:w w:val="105"/>
          <w:sz w:val="21"/>
        </w:rPr>
        <w:t>and</w:t>
      </w:r>
      <w:r>
        <w:rPr>
          <w:b/>
          <w:color w:val="0E0E0E"/>
          <w:spacing w:val="-15"/>
          <w:w w:val="105"/>
          <w:sz w:val="21"/>
        </w:rPr>
        <w:t> </w:t>
      </w:r>
      <w:r>
        <w:rPr>
          <w:b/>
          <w:color w:val="0E0E0E"/>
          <w:w w:val="105"/>
          <w:sz w:val="21"/>
        </w:rPr>
        <w:t>Estimates</w:t>
      </w:r>
      <w:r>
        <w:rPr>
          <w:b/>
          <w:color w:val="0E0E0E"/>
          <w:spacing w:val="-5"/>
          <w:w w:val="105"/>
          <w:sz w:val="21"/>
        </w:rPr>
        <w:t> </w:t>
      </w:r>
      <w:r>
        <w:rPr>
          <w:b/>
          <w:color w:val="0E0E0E"/>
          <w:w w:val="105"/>
          <w:sz w:val="21"/>
        </w:rPr>
        <w:t>and</w:t>
      </w:r>
      <w:r>
        <w:rPr>
          <w:b/>
          <w:color w:val="0E0E0E"/>
          <w:spacing w:val="-15"/>
          <w:w w:val="105"/>
          <w:sz w:val="21"/>
        </w:rPr>
        <w:t> </w:t>
      </w:r>
      <w:r>
        <w:rPr>
          <w:b/>
          <w:color w:val="0E0E0E"/>
          <w:spacing w:val="-2"/>
          <w:w w:val="105"/>
          <w:sz w:val="21"/>
        </w:rPr>
        <w:t>Errors</w:t>
      </w:r>
    </w:p>
    <w:p>
      <w:pPr>
        <w:pStyle w:val="BodyText"/>
        <w:spacing w:before="27"/>
        <w:rPr>
          <w:b/>
          <w:sz w:val="21"/>
        </w:rPr>
      </w:pPr>
    </w:p>
    <w:p>
      <w:pPr>
        <w:spacing w:before="0" w:line="252" w:lineRule="auto"/>
        <w:ind w:left="1586" w:right="1133" w:firstLine="6"/>
        <w:jc w:val="both"/>
        <w:rPr>
          <w:sz w:val="21"/>
        </w:rPr>
      </w:pPr>
      <w:r>
        <w:rPr>
          <w:color w:val="0E0E0E"/>
          <w:w w:val="105"/>
          <w:sz w:val="21"/>
        </w:rPr>
        <w:t>Prior</w:t>
      </w:r>
      <w:r>
        <w:rPr>
          <w:color w:val="0E0E0E"/>
          <w:spacing w:val="-5"/>
          <w:w w:val="105"/>
          <w:sz w:val="21"/>
        </w:rPr>
        <w:t> </w:t>
      </w:r>
      <w:r>
        <w:rPr>
          <w:color w:val="1D1D1D"/>
          <w:w w:val="105"/>
          <w:sz w:val="21"/>
        </w:rPr>
        <w:t>period</w:t>
      </w:r>
      <w:r>
        <w:rPr>
          <w:color w:val="1D1D1D"/>
          <w:spacing w:val="-1"/>
          <w:w w:val="105"/>
          <w:sz w:val="21"/>
        </w:rPr>
        <w:t> </w:t>
      </w:r>
      <w:r>
        <w:rPr>
          <w:color w:val="0E0E0E"/>
          <w:w w:val="105"/>
          <w:sz w:val="21"/>
        </w:rPr>
        <w:t>adjustments</w:t>
      </w:r>
      <w:r>
        <w:rPr>
          <w:color w:val="0E0E0E"/>
          <w:spacing w:val="-1"/>
          <w:w w:val="105"/>
          <w:sz w:val="21"/>
        </w:rPr>
        <w:t> </w:t>
      </w:r>
      <w:r>
        <w:rPr>
          <w:color w:val="0E0E0E"/>
          <w:w w:val="105"/>
          <w:sz w:val="21"/>
        </w:rPr>
        <w:t>may</w:t>
      </w:r>
      <w:r>
        <w:rPr>
          <w:color w:val="0E0E0E"/>
          <w:spacing w:val="-6"/>
          <w:w w:val="105"/>
          <w:sz w:val="21"/>
        </w:rPr>
        <w:t> </w:t>
      </w:r>
      <w:r>
        <w:rPr>
          <w:color w:val="0E0E0E"/>
          <w:w w:val="105"/>
          <w:sz w:val="21"/>
        </w:rPr>
        <w:t>arise</w:t>
      </w:r>
      <w:r>
        <w:rPr>
          <w:color w:val="0E0E0E"/>
          <w:spacing w:val="-2"/>
          <w:w w:val="105"/>
          <w:sz w:val="21"/>
        </w:rPr>
        <w:t> </w:t>
      </w:r>
      <w:r>
        <w:rPr>
          <w:color w:val="0E0E0E"/>
          <w:w w:val="105"/>
          <w:sz w:val="21"/>
        </w:rPr>
        <w:t>as</w:t>
      </w:r>
      <w:r>
        <w:rPr>
          <w:color w:val="0E0E0E"/>
          <w:spacing w:val="-6"/>
          <w:w w:val="105"/>
          <w:sz w:val="21"/>
        </w:rPr>
        <w:t> </w:t>
      </w:r>
      <w:r>
        <w:rPr>
          <w:color w:val="0E0E0E"/>
          <w:w w:val="105"/>
          <w:sz w:val="21"/>
        </w:rPr>
        <w:t>a</w:t>
      </w:r>
      <w:r>
        <w:rPr>
          <w:color w:val="0E0E0E"/>
          <w:spacing w:val="-15"/>
          <w:w w:val="105"/>
          <w:sz w:val="21"/>
        </w:rPr>
        <w:t> </w:t>
      </w:r>
      <w:r>
        <w:rPr>
          <w:color w:val="0E0E0E"/>
          <w:w w:val="105"/>
          <w:sz w:val="21"/>
        </w:rPr>
        <w:t>result of</w:t>
      </w:r>
      <w:r>
        <w:rPr>
          <w:color w:val="0E0E0E"/>
          <w:spacing w:val="-5"/>
          <w:w w:val="105"/>
          <w:sz w:val="21"/>
        </w:rPr>
        <w:t> </w:t>
      </w:r>
      <w:r>
        <w:rPr>
          <w:color w:val="0E0E0E"/>
          <w:w w:val="105"/>
          <w:sz w:val="21"/>
        </w:rPr>
        <w:t>a</w:t>
      </w:r>
      <w:r>
        <w:rPr>
          <w:color w:val="0E0E0E"/>
          <w:spacing w:val="-10"/>
          <w:w w:val="105"/>
          <w:sz w:val="21"/>
        </w:rPr>
        <w:t> </w:t>
      </w:r>
      <w:r>
        <w:rPr>
          <w:color w:val="0E0E0E"/>
          <w:w w:val="105"/>
          <w:sz w:val="21"/>
        </w:rPr>
        <w:t>change</w:t>
      </w:r>
      <w:r>
        <w:rPr>
          <w:color w:val="0E0E0E"/>
          <w:spacing w:val="-5"/>
          <w:w w:val="105"/>
          <w:sz w:val="21"/>
        </w:rPr>
        <w:t> </w:t>
      </w:r>
      <w:r>
        <w:rPr>
          <w:color w:val="0E0E0E"/>
          <w:w w:val="105"/>
          <w:sz w:val="21"/>
        </w:rPr>
        <w:t>in</w:t>
      </w:r>
      <w:r>
        <w:rPr>
          <w:color w:val="0E0E0E"/>
          <w:spacing w:val="-6"/>
          <w:w w:val="105"/>
          <w:sz w:val="21"/>
        </w:rPr>
        <w:t> </w:t>
      </w:r>
      <w:r>
        <w:rPr>
          <w:color w:val="1D1D1D"/>
          <w:w w:val="105"/>
          <w:sz w:val="21"/>
        </w:rPr>
        <w:t>accounting policies </w:t>
      </w:r>
      <w:r>
        <w:rPr>
          <w:color w:val="0E0E0E"/>
          <w:w w:val="105"/>
          <w:sz w:val="21"/>
        </w:rPr>
        <w:t>or</w:t>
      </w:r>
      <w:r>
        <w:rPr>
          <w:color w:val="0E0E0E"/>
          <w:spacing w:val="-10"/>
          <w:w w:val="105"/>
          <w:sz w:val="21"/>
        </w:rPr>
        <w:t> </w:t>
      </w:r>
      <w:r>
        <w:rPr>
          <w:color w:val="0E0E0E"/>
          <w:w w:val="105"/>
          <w:sz w:val="21"/>
        </w:rPr>
        <w:t>to</w:t>
      </w:r>
      <w:r>
        <w:rPr>
          <w:color w:val="0E0E0E"/>
          <w:spacing w:val="-12"/>
          <w:w w:val="105"/>
          <w:sz w:val="21"/>
        </w:rPr>
        <w:t> </w:t>
      </w:r>
      <w:r>
        <w:rPr>
          <w:color w:val="0E0E0E"/>
          <w:w w:val="105"/>
          <w:sz w:val="21"/>
        </w:rPr>
        <w:t>correct a</w:t>
      </w:r>
      <w:r>
        <w:rPr>
          <w:color w:val="0E0E0E"/>
          <w:spacing w:val="-4"/>
          <w:w w:val="105"/>
          <w:sz w:val="21"/>
        </w:rPr>
        <w:t> </w:t>
      </w:r>
      <w:r>
        <w:rPr>
          <w:color w:val="0E0E0E"/>
          <w:w w:val="105"/>
          <w:sz w:val="21"/>
        </w:rPr>
        <w:t>material</w:t>
      </w:r>
      <w:r>
        <w:rPr>
          <w:color w:val="0E0E0E"/>
          <w:spacing w:val="-1"/>
          <w:w w:val="105"/>
          <w:sz w:val="21"/>
        </w:rPr>
        <w:t> </w:t>
      </w:r>
      <w:r>
        <w:rPr>
          <w:color w:val="0E0E0E"/>
          <w:w w:val="105"/>
          <w:sz w:val="21"/>
        </w:rPr>
        <w:t>error. Changes in</w:t>
      </w:r>
      <w:r>
        <w:rPr>
          <w:color w:val="0E0E0E"/>
          <w:spacing w:val="-4"/>
          <w:w w:val="105"/>
          <w:sz w:val="21"/>
        </w:rPr>
        <w:t> </w:t>
      </w:r>
      <w:r>
        <w:rPr>
          <w:color w:val="0E0E0E"/>
          <w:w w:val="105"/>
          <w:sz w:val="21"/>
        </w:rPr>
        <w:t>accounting estimates are accounted </w:t>
      </w:r>
      <w:r>
        <w:rPr>
          <w:color w:val="1D1D1D"/>
          <w:w w:val="105"/>
          <w:sz w:val="21"/>
        </w:rPr>
        <w:t>for</w:t>
      </w:r>
      <w:r>
        <w:rPr>
          <w:color w:val="1D1D1D"/>
          <w:spacing w:val="-7"/>
          <w:w w:val="105"/>
          <w:sz w:val="21"/>
        </w:rPr>
        <w:t> </w:t>
      </w:r>
      <w:r>
        <w:rPr>
          <w:color w:val="0E0E0E"/>
          <w:w w:val="105"/>
          <w:sz w:val="21"/>
        </w:rPr>
        <w:t>prospectively, i.e</w:t>
      </w:r>
      <w:r>
        <w:rPr>
          <w:color w:val="484848"/>
          <w:w w:val="105"/>
          <w:sz w:val="21"/>
        </w:rPr>
        <w:t>.</w:t>
      </w:r>
      <w:r>
        <w:rPr>
          <w:color w:val="484848"/>
          <w:spacing w:val="-15"/>
          <w:w w:val="105"/>
          <w:sz w:val="21"/>
        </w:rPr>
        <w:t> </w:t>
      </w:r>
      <w:r>
        <w:rPr>
          <w:color w:val="0E0E0E"/>
          <w:w w:val="105"/>
          <w:sz w:val="21"/>
        </w:rPr>
        <w:t>in</w:t>
      </w:r>
      <w:r>
        <w:rPr>
          <w:color w:val="0E0E0E"/>
          <w:spacing w:val="-6"/>
          <w:w w:val="105"/>
          <w:sz w:val="21"/>
        </w:rPr>
        <w:t> </w:t>
      </w:r>
      <w:r>
        <w:rPr>
          <w:color w:val="0E0E0E"/>
          <w:w w:val="105"/>
          <w:sz w:val="21"/>
        </w:rPr>
        <w:t>the current</w:t>
      </w:r>
      <w:r>
        <w:rPr>
          <w:color w:val="0E0E0E"/>
          <w:w w:val="105"/>
          <w:sz w:val="21"/>
        </w:rPr>
        <w:t> and</w:t>
      </w:r>
      <w:r>
        <w:rPr>
          <w:color w:val="0E0E0E"/>
          <w:w w:val="105"/>
          <w:sz w:val="21"/>
        </w:rPr>
        <w:t> future</w:t>
      </w:r>
      <w:r>
        <w:rPr>
          <w:color w:val="0E0E0E"/>
          <w:w w:val="105"/>
          <w:sz w:val="21"/>
        </w:rPr>
        <w:t> years</w:t>
      </w:r>
      <w:r>
        <w:rPr>
          <w:color w:val="0E0E0E"/>
          <w:w w:val="105"/>
          <w:sz w:val="21"/>
        </w:rPr>
        <w:t> affected by</w:t>
      </w:r>
      <w:r>
        <w:rPr>
          <w:color w:val="0E0E0E"/>
          <w:w w:val="105"/>
          <w:sz w:val="21"/>
        </w:rPr>
        <w:t> the</w:t>
      </w:r>
      <w:r>
        <w:rPr>
          <w:color w:val="0E0E0E"/>
          <w:w w:val="105"/>
          <w:sz w:val="21"/>
        </w:rPr>
        <w:t> change</w:t>
      </w:r>
      <w:r>
        <w:rPr>
          <w:color w:val="0E0E0E"/>
          <w:w w:val="105"/>
          <w:sz w:val="21"/>
        </w:rPr>
        <w:t> and</w:t>
      </w:r>
      <w:r>
        <w:rPr>
          <w:color w:val="0E0E0E"/>
          <w:w w:val="105"/>
          <w:sz w:val="21"/>
        </w:rPr>
        <w:t> do</w:t>
      </w:r>
      <w:r>
        <w:rPr>
          <w:color w:val="0E0E0E"/>
          <w:w w:val="105"/>
          <w:sz w:val="21"/>
        </w:rPr>
        <w:t> not</w:t>
      </w:r>
      <w:r>
        <w:rPr>
          <w:color w:val="0E0E0E"/>
          <w:w w:val="105"/>
          <w:sz w:val="21"/>
        </w:rPr>
        <w:t> give</w:t>
      </w:r>
      <w:r>
        <w:rPr>
          <w:color w:val="0E0E0E"/>
          <w:w w:val="105"/>
          <w:sz w:val="21"/>
        </w:rPr>
        <w:t> rise</w:t>
      </w:r>
      <w:r>
        <w:rPr>
          <w:color w:val="0E0E0E"/>
          <w:w w:val="105"/>
          <w:sz w:val="21"/>
        </w:rPr>
        <w:t> to</w:t>
      </w:r>
      <w:r>
        <w:rPr>
          <w:color w:val="0E0E0E"/>
          <w:w w:val="105"/>
          <w:sz w:val="21"/>
        </w:rPr>
        <w:t> a</w:t>
      </w:r>
      <w:r>
        <w:rPr>
          <w:color w:val="0E0E0E"/>
          <w:w w:val="105"/>
          <w:sz w:val="21"/>
        </w:rPr>
        <w:t> prior</w:t>
      </w:r>
      <w:r>
        <w:rPr>
          <w:color w:val="0E0E0E"/>
          <w:w w:val="105"/>
          <w:sz w:val="21"/>
        </w:rPr>
        <w:t> period </w:t>
      </w:r>
      <w:r>
        <w:rPr>
          <w:color w:val="0E0E0E"/>
          <w:spacing w:val="-2"/>
          <w:w w:val="105"/>
          <w:sz w:val="21"/>
        </w:rPr>
        <w:t>adjustment.</w:t>
      </w:r>
    </w:p>
    <w:p>
      <w:pPr>
        <w:pStyle w:val="BodyText"/>
        <w:spacing w:before="8"/>
        <w:rPr>
          <w:sz w:val="21"/>
        </w:rPr>
      </w:pPr>
    </w:p>
    <w:p>
      <w:pPr>
        <w:spacing w:before="0" w:line="252" w:lineRule="auto"/>
        <w:ind w:left="1563" w:right="1124" w:firstLine="21"/>
        <w:jc w:val="both"/>
        <w:rPr>
          <w:sz w:val="21"/>
        </w:rPr>
      </w:pPr>
      <w:r>
        <w:rPr>
          <w:color w:val="1D1D1D"/>
          <w:w w:val="105"/>
          <w:sz w:val="21"/>
        </w:rPr>
        <w:t>Changes </w:t>
      </w:r>
      <w:r>
        <w:rPr>
          <w:color w:val="0E0E0E"/>
          <w:w w:val="105"/>
          <w:sz w:val="21"/>
        </w:rPr>
        <w:t>in</w:t>
      </w:r>
      <w:r>
        <w:rPr>
          <w:color w:val="0E0E0E"/>
          <w:spacing w:val="-7"/>
          <w:w w:val="105"/>
          <w:sz w:val="21"/>
        </w:rPr>
        <w:t> </w:t>
      </w:r>
      <w:r>
        <w:rPr>
          <w:color w:val="0E0E0E"/>
          <w:w w:val="105"/>
          <w:sz w:val="21"/>
        </w:rPr>
        <w:t>accounting policies are</w:t>
      </w:r>
      <w:r>
        <w:rPr>
          <w:color w:val="0E0E0E"/>
          <w:spacing w:val="-3"/>
          <w:w w:val="105"/>
          <w:sz w:val="21"/>
        </w:rPr>
        <w:t> </w:t>
      </w:r>
      <w:r>
        <w:rPr>
          <w:color w:val="0E0E0E"/>
          <w:w w:val="105"/>
          <w:sz w:val="21"/>
        </w:rPr>
        <w:t>only</w:t>
      </w:r>
      <w:r>
        <w:rPr>
          <w:color w:val="0E0E0E"/>
          <w:spacing w:val="-1"/>
          <w:w w:val="105"/>
          <w:sz w:val="21"/>
        </w:rPr>
        <w:t> </w:t>
      </w:r>
      <w:r>
        <w:rPr>
          <w:color w:val="0E0E0E"/>
          <w:w w:val="105"/>
          <w:sz w:val="21"/>
        </w:rPr>
        <w:t>made</w:t>
      </w:r>
      <w:r>
        <w:rPr>
          <w:color w:val="0E0E0E"/>
          <w:spacing w:val="-5"/>
          <w:w w:val="105"/>
          <w:sz w:val="21"/>
        </w:rPr>
        <w:t> </w:t>
      </w:r>
      <w:r>
        <w:rPr>
          <w:color w:val="0E0E0E"/>
          <w:w w:val="105"/>
          <w:sz w:val="21"/>
        </w:rPr>
        <w:t>when </w:t>
      </w:r>
      <w:r>
        <w:rPr>
          <w:color w:val="1D1D1D"/>
          <w:w w:val="105"/>
          <w:sz w:val="21"/>
        </w:rPr>
        <w:t>required by</w:t>
      </w:r>
      <w:r>
        <w:rPr>
          <w:color w:val="1D1D1D"/>
          <w:spacing w:val="-7"/>
          <w:w w:val="105"/>
          <w:sz w:val="21"/>
        </w:rPr>
        <w:t> </w:t>
      </w:r>
      <w:r>
        <w:rPr>
          <w:color w:val="0E0E0E"/>
          <w:w w:val="105"/>
          <w:sz w:val="21"/>
        </w:rPr>
        <w:t>proper </w:t>
      </w:r>
      <w:r>
        <w:rPr>
          <w:color w:val="1D1D1D"/>
          <w:w w:val="105"/>
          <w:sz w:val="21"/>
        </w:rPr>
        <w:t>accounting </w:t>
      </w:r>
      <w:r>
        <w:rPr>
          <w:color w:val="0E0E0E"/>
          <w:w w:val="105"/>
          <w:sz w:val="21"/>
        </w:rPr>
        <w:t>practices </w:t>
      </w:r>
      <w:r>
        <w:rPr>
          <w:color w:val="1D1D1D"/>
          <w:w w:val="105"/>
          <w:sz w:val="21"/>
        </w:rPr>
        <w:t>or</w:t>
      </w:r>
      <w:r>
        <w:rPr>
          <w:color w:val="1D1D1D"/>
          <w:spacing w:val="-2"/>
          <w:w w:val="105"/>
          <w:sz w:val="21"/>
        </w:rPr>
        <w:t> </w:t>
      </w:r>
      <w:r>
        <w:rPr>
          <w:color w:val="1D1D1D"/>
          <w:w w:val="105"/>
          <w:sz w:val="21"/>
        </w:rPr>
        <w:t>the</w:t>
      </w:r>
      <w:r>
        <w:rPr>
          <w:color w:val="1D1D1D"/>
          <w:spacing w:val="-9"/>
          <w:w w:val="105"/>
          <w:sz w:val="21"/>
        </w:rPr>
        <w:t> </w:t>
      </w:r>
      <w:r>
        <w:rPr>
          <w:color w:val="0E0E0E"/>
          <w:w w:val="105"/>
          <w:sz w:val="21"/>
        </w:rPr>
        <w:t>change </w:t>
      </w:r>
      <w:r>
        <w:rPr>
          <w:color w:val="1D1D1D"/>
          <w:w w:val="105"/>
          <w:sz w:val="21"/>
        </w:rPr>
        <w:t>provides </w:t>
      </w:r>
      <w:r>
        <w:rPr>
          <w:color w:val="0E0E0E"/>
          <w:w w:val="105"/>
          <w:sz w:val="21"/>
        </w:rPr>
        <w:t>more</w:t>
      </w:r>
      <w:r>
        <w:rPr>
          <w:color w:val="0E0E0E"/>
          <w:spacing w:val="-2"/>
          <w:w w:val="105"/>
          <w:sz w:val="21"/>
        </w:rPr>
        <w:t> </w:t>
      </w:r>
      <w:r>
        <w:rPr>
          <w:color w:val="1D1D1D"/>
          <w:w w:val="105"/>
          <w:sz w:val="21"/>
        </w:rPr>
        <w:t>reliable </w:t>
      </w:r>
      <w:r>
        <w:rPr>
          <w:color w:val="0E0E0E"/>
          <w:w w:val="105"/>
          <w:sz w:val="21"/>
        </w:rPr>
        <w:t>or relevant information</w:t>
      </w:r>
      <w:r>
        <w:rPr>
          <w:color w:val="0E0E0E"/>
          <w:w w:val="105"/>
          <w:sz w:val="21"/>
        </w:rPr>
        <w:t> </w:t>
      </w:r>
      <w:r>
        <w:rPr>
          <w:color w:val="1D1D1D"/>
          <w:w w:val="105"/>
          <w:sz w:val="21"/>
        </w:rPr>
        <w:t>about </w:t>
      </w:r>
      <w:r>
        <w:rPr>
          <w:color w:val="0E0E0E"/>
          <w:w w:val="105"/>
          <w:sz w:val="21"/>
        </w:rPr>
        <w:t>the </w:t>
      </w:r>
      <w:r>
        <w:rPr>
          <w:color w:val="1D1D1D"/>
          <w:w w:val="105"/>
          <w:sz w:val="21"/>
        </w:rPr>
        <w:t>effect </w:t>
      </w:r>
      <w:r>
        <w:rPr>
          <w:color w:val="0E0E0E"/>
          <w:w w:val="105"/>
          <w:sz w:val="21"/>
        </w:rPr>
        <w:t>of transactions</w:t>
      </w:r>
      <w:r>
        <w:rPr>
          <w:color w:val="484848"/>
          <w:w w:val="105"/>
          <w:sz w:val="21"/>
        </w:rPr>
        <w:t>, </w:t>
      </w:r>
      <w:r>
        <w:rPr>
          <w:color w:val="0E0E0E"/>
          <w:w w:val="105"/>
          <w:sz w:val="21"/>
        </w:rPr>
        <w:t>other</w:t>
      </w:r>
      <w:r>
        <w:rPr>
          <w:color w:val="0E0E0E"/>
          <w:spacing w:val="-16"/>
          <w:w w:val="105"/>
          <w:sz w:val="21"/>
        </w:rPr>
        <w:t> </w:t>
      </w:r>
      <w:r>
        <w:rPr>
          <w:color w:val="0E0E0E"/>
          <w:w w:val="105"/>
          <w:sz w:val="21"/>
        </w:rPr>
        <w:t>events</w:t>
      </w:r>
      <w:r>
        <w:rPr>
          <w:color w:val="0E0E0E"/>
          <w:spacing w:val="-15"/>
          <w:w w:val="105"/>
          <w:sz w:val="21"/>
        </w:rPr>
        <w:t> </w:t>
      </w:r>
      <w:r>
        <w:rPr>
          <w:color w:val="0E0E0E"/>
          <w:w w:val="105"/>
          <w:sz w:val="21"/>
        </w:rPr>
        <w:t>and</w:t>
      </w:r>
      <w:r>
        <w:rPr>
          <w:color w:val="0E0E0E"/>
          <w:spacing w:val="-15"/>
          <w:w w:val="105"/>
          <w:sz w:val="21"/>
        </w:rPr>
        <w:t> </w:t>
      </w:r>
      <w:r>
        <w:rPr>
          <w:color w:val="1D1D1D"/>
          <w:w w:val="105"/>
          <w:sz w:val="21"/>
        </w:rPr>
        <w:t>conditions</w:t>
      </w:r>
      <w:r>
        <w:rPr>
          <w:color w:val="1D1D1D"/>
          <w:spacing w:val="-12"/>
          <w:w w:val="105"/>
          <w:sz w:val="21"/>
        </w:rPr>
        <w:t> </w:t>
      </w:r>
      <w:r>
        <w:rPr>
          <w:color w:val="1D1D1D"/>
          <w:w w:val="105"/>
          <w:sz w:val="21"/>
        </w:rPr>
        <w:t>on</w:t>
      </w:r>
      <w:r>
        <w:rPr>
          <w:color w:val="1D1D1D"/>
          <w:spacing w:val="-15"/>
          <w:w w:val="105"/>
          <w:sz w:val="21"/>
        </w:rPr>
        <w:t> </w:t>
      </w:r>
      <w:r>
        <w:rPr>
          <w:color w:val="1D1D1D"/>
          <w:w w:val="105"/>
          <w:sz w:val="21"/>
        </w:rPr>
        <w:t>the</w:t>
      </w:r>
      <w:r>
        <w:rPr>
          <w:color w:val="1D1D1D"/>
          <w:spacing w:val="-15"/>
          <w:w w:val="105"/>
          <w:sz w:val="21"/>
        </w:rPr>
        <w:t> </w:t>
      </w:r>
      <w:r>
        <w:rPr>
          <w:color w:val="1D1D1D"/>
          <w:w w:val="105"/>
          <w:sz w:val="21"/>
        </w:rPr>
        <w:t>Council's</w:t>
      </w:r>
      <w:r>
        <w:rPr>
          <w:color w:val="1D1D1D"/>
          <w:spacing w:val="-5"/>
          <w:w w:val="105"/>
          <w:sz w:val="21"/>
        </w:rPr>
        <w:t> </w:t>
      </w:r>
      <w:r>
        <w:rPr>
          <w:color w:val="1D1D1D"/>
          <w:w w:val="105"/>
          <w:sz w:val="21"/>
        </w:rPr>
        <w:t>financial</w:t>
      </w:r>
      <w:r>
        <w:rPr>
          <w:color w:val="1D1D1D"/>
          <w:spacing w:val="-10"/>
          <w:w w:val="105"/>
          <w:sz w:val="21"/>
        </w:rPr>
        <w:t> </w:t>
      </w:r>
      <w:r>
        <w:rPr>
          <w:color w:val="0E0E0E"/>
          <w:w w:val="105"/>
          <w:sz w:val="21"/>
        </w:rPr>
        <w:t>posit</w:t>
      </w:r>
      <w:r>
        <w:rPr>
          <w:color w:val="484848"/>
          <w:w w:val="105"/>
          <w:sz w:val="21"/>
        </w:rPr>
        <w:t>i</w:t>
      </w:r>
      <w:r>
        <w:rPr>
          <w:color w:val="1D1D1D"/>
          <w:w w:val="105"/>
          <w:sz w:val="21"/>
        </w:rPr>
        <w:t>on</w:t>
      </w:r>
      <w:r>
        <w:rPr>
          <w:color w:val="1D1D1D"/>
          <w:spacing w:val="-13"/>
          <w:w w:val="105"/>
          <w:sz w:val="21"/>
        </w:rPr>
        <w:t> </w:t>
      </w:r>
      <w:r>
        <w:rPr>
          <w:color w:val="0E0E0E"/>
          <w:w w:val="105"/>
          <w:sz w:val="21"/>
        </w:rPr>
        <w:t>or</w:t>
      </w:r>
      <w:r>
        <w:rPr>
          <w:color w:val="0E0E0E"/>
          <w:spacing w:val="-14"/>
          <w:w w:val="105"/>
          <w:sz w:val="21"/>
        </w:rPr>
        <w:t> </w:t>
      </w:r>
      <w:r>
        <w:rPr>
          <w:color w:val="1D1D1D"/>
          <w:w w:val="105"/>
          <w:sz w:val="21"/>
        </w:rPr>
        <w:t>financial</w:t>
      </w:r>
      <w:r>
        <w:rPr>
          <w:color w:val="1D1D1D"/>
          <w:spacing w:val="-5"/>
          <w:w w:val="105"/>
          <w:sz w:val="21"/>
        </w:rPr>
        <w:t> </w:t>
      </w:r>
      <w:r>
        <w:rPr>
          <w:color w:val="1D1D1D"/>
          <w:w w:val="105"/>
          <w:sz w:val="21"/>
        </w:rPr>
        <w:t>performance</w:t>
      </w:r>
      <w:r>
        <w:rPr>
          <w:color w:val="6E6E6E"/>
          <w:w w:val="105"/>
          <w:sz w:val="21"/>
        </w:rPr>
        <w:t>.</w:t>
      </w:r>
      <w:r>
        <w:rPr>
          <w:color w:val="6E6E6E"/>
          <w:spacing w:val="-16"/>
          <w:w w:val="105"/>
          <w:sz w:val="21"/>
        </w:rPr>
        <w:t> </w:t>
      </w:r>
      <w:r>
        <w:rPr>
          <w:color w:val="1D1D1D"/>
          <w:w w:val="105"/>
          <w:sz w:val="21"/>
        </w:rPr>
        <w:t>Where </w:t>
      </w:r>
      <w:r>
        <w:rPr>
          <w:color w:val="0E0E0E"/>
          <w:w w:val="105"/>
          <w:sz w:val="21"/>
        </w:rPr>
        <w:t>a</w:t>
      </w:r>
      <w:r>
        <w:rPr>
          <w:color w:val="0E0E0E"/>
          <w:spacing w:val="-3"/>
          <w:w w:val="105"/>
          <w:sz w:val="21"/>
        </w:rPr>
        <w:t> </w:t>
      </w:r>
      <w:r>
        <w:rPr>
          <w:color w:val="0E0E0E"/>
          <w:w w:val="105"/>
          <w:sz w:val="21"/>
        </w:rPr>
        <w:t>change is</w:t>
      </w:r>
      <w:r>
        <w:rPr>
          <w:color w:val="0E0E0E"/>
          <w:spacing w:val="-3"/>
          <w:w w:val="105"/>
          <w:sz w:val="21"/>
        </w:rPr>
        <w:t> </w:t>
      </w:r>
      <w:r>
        <w:rPr>
          <w:color w:val="0E0E0E"/>
          <w:w w:val="105"/>
          <w:sz w:val="21"/>
        </w:rPr>
        <w:t>made</w:t>
      </w:r>
      <w:r>
        <w:rPr>
          <w:color w:val="484848"/>
          <w:w w:val="105"/>
          <w:sz w:val="21"/>
        </w:rPr>
        <w:t>,</w:t>
      </w:r>
      <w:r>
        <w:rPr>
          <w:color w:val="484848"/>
          <w:spacing w:val="-15"/>
          <w:w w:val="105"/>
          <w:sz w:val="21"/>
        </w:rPr>
        <w:t> </w:t>
      </w:r>
      <w:r>
        <w:rPr>
          <w:color w:val="484848"/>
          <w:w w:val="105"/>
          <w:sz w:val="21"/>
        </w:rPr>
        <w:t>i</w:t>
      </w:r>
      <w:r>
        <w:rPr>
          <w:color w:val="1D1D1D"/>
          <w:w w:val="105"/>
          <w:sz w:val="21"/>
        </w:rPr>
        <w:t>t</w:t>
      </w:r>
      <w:r>
        <w:rPr>
          <w:color w:val="1D1D1D"/>
          <w:spacing w:val="-6"/>
          <w:w w:val="105"/>
          <w:sz w:val="21"/>
        </w:rPr>
        <w:t> </w:t>
      </w:r>
      <w:r>
        <w:rPr>
          <w:color w:val="363636"/>
          <w:w w:val="105"/>
          <w:sz w:val="21"/>
        </w:rPr>
        <w:t>is</w:t>
      </w:r>
      <w:r>
        <w:rPr>
          <w:color w:val="363636"/>
          <w:spacing w:val="-2"/>
          <w:w w:val="105"/>
          <w:sz w:val="21"/>
        </w:rPr>
        <w:t> </w:t>
      </w:r>
      <w:r>
        <w:rPr>
          <w:color w:val="1D1D1D"/>
          <w:w w:val="105"/>
          <w:sz w:val="21"/>
        </w:rPr>
        <w:t>applied</w:t>
      </w:r>
      <w:r>
        <w:rPr>
          <w:color w:val="1D1D1D"/>
          <w:spacing w:val="-2"/>
          <w:w w:val="105"/>
          <w:sz w:val="21"/>
        </w:rPr>
        <w:t> </w:t>
      </w:r>
      <w:r>
        <w:rPr>
          <w:color w:val="1D1D1D"/>
          <w:w w:val="105"/>
          <w:sz w:val="21"/>
        </w:rPr>
        <w:t>retrospectively (unless stated otherwise) by adjusting open</w:t>
      </w:r>
      <w:r>
        <w:rPr>
          <w:color w:val="484848"/>
          <w:w w:val="105"/>
          <w:sz w:val="21"/>
        </w:rPr>
        <w:t>in</w:t>
      </w:r>
      <w:r>
        <w:rPr>
          <w:color w:val="0E0E0E"/>
          <w:w w:val="105"/>
          <w:sz w:val="21"/>
        </w:rPr>
        <w:t>g balances and comparative </w:t>
      </w:r>
      <w:r>
        <w:rPr>
          <w:color w:val="1D1D1D"/>
          <w:w w:val="105"/>
          <w:sz w:val="21"/>
        </w:rPr>
        <w:t>amounts for the</w:t>
      </w:r>
      <w:r>
        <w:rPr>
          <w:color w:val="1D1D1D"/>
          <w:spacing w:val="-3"/>
          <w:w w:val="105"/>
          <w:sz w:val="21"/>
        </w:rPr>
        <w:t> </w:t>
      </w:r>
      <w:r>
        <w:rPr>
          <w:color w:val="1D1D1D"/>
          <w:w w:val="105"/>
          <w:sz w:val="21"/>
        </w:rPr>
        <w:t>prior period as if the new</w:t>
      </w:r>
      <w:r>
        <w:rPr>
          <w:color w:val="1D1D1D"/>
          <w:spacing w:val="-1"/>
          <w:w w:val="105"/>
          <w:sz w:val="21"/>
        </w:rPr>
        <w:t> </w:t>
      </w:r>
      <w:r>
        <w:rPr>
          <w:color w:val="1D1D1D"/>
          <w:w w:val="105"/>
          <w:sz w:val="21"/>
        </w:rPr>
        <w:t>policy had</w:t>
      </w:r>
      <w:r>
        <w:rPr>
          <w:color w:val="1D1D1D"/>
          <w:spacing w:val="-4"/>
          <w:w w:val="105"/>
          <w:sz w:val="21"/>
        </w:rPr>
        <w:t> </w:t>
      </w:r>
      <w:r>
        <w:rPr>
          <w:color w:val="1D1D1D"/>
          <w:w w:val="105"/>
          <w:sz w:val="21"/>
        </w:rPr>
        <w:t>always been </w:t>
      </w:r>
      <w:r>
        <w:rPr>
          <w:color w:val="0E0E0E"/>
          <w:spacing w:val="-2"/>
          <w:w w:val="105"/>
          <w:sz w:val="21"/>
        </w:rPr>
        <w:t>applied.</w:t>
      </w:r>
    </w:p>
    <w:p>
      <w:pPr>
        <w:pStyle w:val="BodyText"/>
        <w:spacing w:before="15"/>
        <w:rPr>
          <w:sz w:val="21"/>
        </w:rPr>
      </w:pPr>
    </w:p>
    <w:p>
      <w:pPr>
        <w:spacing w:before="0" w:line="290" w:lineRule="auto"/>
        <w:ind w:left="1554" w:right="1172" w:firstLine="0"/>
        <w:jc w:val="left"/>
        <w:rPr>
          <w:sz w:val="21"/>
        </w:rPr>
      </w:pPr>
      <w:r>
        <w:rPr>
          <w:color w:val="0E0E0E"/>
          <w:w w:val="105"/>
          <w:sz w:val="21"/>
        </w:rPr>
        <w:t>Material errors discovered in</w:t>
      </w:r>
      <w:r>
        <w:rPr>
          <w:color w:val="0E0E0E"/>
          <w:spacing w:val="-2"/>
          <w:w w:val="105"/>
          <w:sz w:val="21"/>
        </w:rPr>
        <w:t> </w:t>
      </w:r>
      <w:r>
        <w:rPr>
          <w:color w:val="0E0E0E"/>
          <w:w w:val="105"/>
          <w:sz w:val="21"/>
        </w:rPr>
        <w:t>prior</w:t>
      </w:r>
      <w:r>
        <w:rPr>
          <w:color w:val="0E0E0E"/>
          <w:spacing w:val="-1"/>
          <w:w w:val="105"/>
          <w:sz w:val="21"/>
        </w:rPr>
        <w:t> </w:t>
      </w:r>
      <w:r>
        <w:rPr>
          <w:color w:val="0E0E0E"/>
          <w:w w:val="105"/>
          <w:sz w:val="21"/>
        </w:rPr>
        <w:t>period</w:t>
      </w:r>
      <w:r>
        <w:rPr>
          <w:color w:val="0E0E0E"/>
          <w:spacing w:val="-6"/>
          <w:w w:val="105"/>
          <w:sz w:val="21"/>
        </w:rPr>
        <w:t> </w:t>
      </w:r>
      <w:r>
        <w:rPr>
          <w:color w:val="0E0E0E"/>
          <w:w w:val="105"/>
          <w:sz w:val="21"/>
        </w:rPr>
        <w:t>figures</w:t>
      </w:r>
      <w:r>
        <w:rPr>
          <w:color w:val="0E0E0E"/>
          <w:spacing w:val="-2"/>
          <w:w w:val="105"/>
          <w:sz w:val="21"/>
        </w:rPr>
        <w:t> </w:t>
      </w:r>
      <w:r>
        <w:rPr>
          <w:color w:val="0E0E0E"/>
          <w:w w:val="105"/>
          <w:sz w:val="21"/>
        </w:rPr>
        <w:t>are</w:t>
      </w:r>
      <w:r>
        <w:rPr>
          <w:color w:val="0E0E0E"/>
          <w:spacing w:val="-3"/>
          <w:w w:val="105"/>
          <w:sz w:val="21"/>
        </w:rPr>
        <w:t> </w:t>
      </w:r>
      <w:r>
        <w:rPr>
          <w:color w:val="0E0E0E"/>
          <w:w w:val="105"/>
          <w:sz w:val="21"/>
        </w:rPr>
        <w:t>corrected retrospectively</w:t>
      </w:r>
      <w:r>
        <w:rPr>
          <w:color w:val="0E0E0E"/>
          <w:spacing w:val="-15"/>
          <w:w w:val="105"/>
          <w:sz w:val="21"/>
        </w:rPr>
        <w:t> </w:t>
      </w:r>
      <w:r>
        <w:rPr>
          <w:color w:val="0E0E0E"/>
          <w:w w:val="105"/>
          <w:sz w:val="21"/>
        </w:rPr>
        <w:t>by</w:t>
      </w:r>
      <w:r>
        <w:rPr>
          <w:color w:val="0E0E0E"/>
          <w:spacing w:val="-3"/>
          <w:w w:val="105"/>
          <w:sz w:val="21"/>
        </w:rPr>
        <w:t> </w:t>
      </w:r>
      <w:r>
        <w:rPr>
          <w:color w:val="0E0E0E"/>
          <w:w w:val="105"/>
          <w:sz w:val="21"/>
        </w:rPr>
        <w:t>amending opening balances and comparative amounts for the prior period.</w:t>
      </w:r>
    </w:p>
    <w:p>
      <w:pPr>
        <w:spacing w:before="194"/>
        <w:ind w:left="1552" w:right="0" w:firstLine="0"/>
        <w:jc w:val="left"/>
        <w:rPr>
          <w:b/>
          <w:sz w:val="21"/>
        </w:rPr>
      </w:pPr>
      <w:r>
        <w:rPr>
          <w:b/>
          <w:color w:val="0E0E0E"/>
          <w:w w:val="105"/>
          <w:sz w:val="21"/>
        </w:rPr>
        <w:t>Value Added</w:t>
      </w:r>
      <w:r>
        <w:rPr>
          <w:b/>
          <w:color w:val="0E0E0E"/>
          <w:spacing w:val="2"/>
          <w:w w:val="105"/>
          <w:sz w:val="21"/>
        </w:rPr>
        <w:t> </w:t>
      </w:r>
      <w:r>
        <w:rPr>
          <w:b/>
          <w:color w:val="0E0E0E"/>
          <w:spacing w:val="-5"/>
          <w:w w:val="105"/>
          <w:sz w:val="21"/>
        </w:rPr>
        <w:t>Tax</w:t>
      </w:r>
    </w:p>
    <w:p>
      <w:pPr>
        <w:pStyle w:val="BodyText"/>
        <w:spacing w:before="26"/>
        <w:rPr>
          <w:b/>
          <w:sz w:val="21"/>
        </w:rPr>
      </w:pPr>
    </w:p>
    <w:p>
      <w:pPr>
        <w:spacing w:before="1" w:line="252" w:lineRule="auto"/>
        <w:ind w:left="1541" w:right="1172" w:firstLine="10"/>
        <w:jc w:val="left"/>
        <w:rPr>
          <w:sz w:val="21"/>
        </w:rPr>
      </w:pPr>
      <w:r>
        <w:rPr>
          <w:color w:val="1D1D1D"/>
          <w:w w:val="105"/>
          <w:sz w:val="21"/>
        </w:rPr>
        <w:t>VAT</w:t>
      </w:r>
      <w:r>
        <w:rPr>
          <w:color w:val="1D1D1D"/>
          <w:spacing w:val="-6"/>
          <w:w w:val="105"/>
          <w:sz w:val="21"/>
        </w:rPr>
        <w:t> </w:t>
      </w:r>
      <w:r>
        <w:rPr>
          <w:color w:val="1D1D1D"/>
          <w:w w:val="105"/>
          <w:sz w:val="21"/>
        </w:rPr>
        <w:t>payable </w:t>
      </w:r>
      <w:r>
        <w:rPr>
          <w:color w:val="0E0E0E"/>
          <w:w w:val="105"/>
          <w:sz w:val="21"/>
        </w:rPr>
        <w:t>is</w:t>
      </w:r>
      <w:r>
        <w:rPr>
          <w:color w:val="0E0E0E"/>
          <w:spacing w:val="-8"/>
          <w:w w:val="105"/>
          <w:sz w:val="21"/>
        </w:rPr>
        <w:t> </w:t>
      </w:r>
      <w:r>
        <w:rPr>
          <w:color w:val="1D1D1D"/>
          <w:w w:val="105"/>
          <w:sz w:val="21"/>
        </w:rPr>
        <w:t>included as</w:t>
      </w:r>
      <w:r>
        <w:rPr>
          <w:color w:val="1D1D1D"/>
          <w:spacing w:val="-3"/>
          <w:w w:val="105"/>
          <w:sz w:val="21"/>
        </w:rPr>
        <w:t> </w:t>
      </w:r>
      <w:r>
        <w:rPr>
          <w:color w:val="1D1D1D"/>
          <w:w w:val="105"/>
          <w:sz w:val="21"/>
        </w:rPr>
        <w:t>an</w:t>
      </w:r>
      <w:r>
        <w:rPr>
          <w:color w:val="1D1D1D"/>
          <w:spacing w:val="-2"/>
          <w:w w:val="105"/>
          <w:sz w:val="21"/>
        </w:rPr>
        <w:t> </w:t>
      </w:r>
      <w:r>
        <w:rPr>
          <w:color w:val="1D1D1D"/>
          <w:w w:val="105"/>
          <w:sz w:val="21"/>
        </w:rPr>
        <w:t>expense </w:t>
      </w:r>
      <w:r>
        <w:rPr>
          <w:color w:val="0E0E0E"/>
          <w:w w:val="105"/>
          <w:sz w:val="21"/>
        </w:rPr>
        <w:t>only</w:t>
      </w:r>
      <w:r>
        <w:rPr>
          <w:color w:val="0E0E0E"/>
          <w:spacing w:val="-5"/>
          <w:w w:val="105"/>
          <w:sz w:val="21"/>
        </w:rPr>
        <w:t> </w:t>
      </w:r>
      <w:r>
        <w:rPr>
          <w:color w:val="1D1D1D"/>
          <w:w w:val="105"/>
          <w:sz w:val="21"/>
        </w:rPr>
        <w:t>to the</w:t>
      </w:r>
      <w:r>
        <w:rPr>
          <w:color w:val="1D1D1D"/>
          <w:spacing w:val="-3"/>
          <w:w w:val="105"/>
          <w:sz w:val="21"/>
        </w:rPr>
        <w:t> </w:t>
      </w:r>
      <w:r>
        <w:rPr>
          <w:color w:val="0E0E0E"/>
          <w:w w:val="105"/>
          <w:sz w:val="21"/>
        </w:rPr>
        <w:t>extent </w:t>
      </w:r>
      <w:r>
        <w:rPr>
          <w:color w:val="1D1D1D"/>
          <w:w w:val="105"/>
          <w:sz w:val="21"/>
        </w:rPr>
        <w:t>that</w:t>
      </w:r>
      <w:r>
        <w:rPr>
          <w:color w:val="1D1D1D"/>
          <w:spacing w:val="-9"/>
          <w:w w:val="105"/>
          <w:sz w:val="21"/>
        </w:rPr>
        <w:t> </w:t>
      </w:r>
      <w:r>
        <w:rPr>
          <w:color w:val="0E0E0E"/>
          <w:w w:val="105"/>
          <w:sz w:val="21"/>
        </w:rPr>
        <w:t>it</w:t>
      </w:r>
      <w:r>
        <w:rPr>
          <w:color w:val="0E0E0E"/>
          <w:spacing w:val="-1"/>
          <w:w w:val="105"/>
          <w:sz w:val="21"/>
        </w:rPr>
        <w:t> </w:t>
      </w:r>
      <w:r>
        <w:rPr>
          <w:color w:val="0E0E0E"/>
          <w:w w:val="105"/>
          <w:sz w:val="21"/>
        </w:rPr>
        <w:t>is</w:t>
      </w:r>
      <w:r>
        <w:rPr>
          <w:color w:val="0E0E0E"/>
          <w:spacing w:val="-3"/>
          <w:w w:val="105"/>
          <w:sz w:val="21"/>
        </w:rPr>
        <w:t> </w:t>
      </w:r>
      <w:r>
        <w:rPr>
          <w:color w:val="0E0E0E"/>
          <w:w w:val="105"/>
          <w:sz w:val="21"/>
        </w:rPr>
        <w:t>not</w:t>
      </w:r>
      <w:r>
        <w:rPr>
          <w:color w:val="0E0E0E"/>
          <w:spacing w:val="-2"/>
          <w:w w:val="105"/>
          <w:sz w:val="21"/>
        </w:rPr>
        <w:t> </w:t>
      </w:r>
      <w:r>
        <w:rPr>
          <w:color w:val="0E0E0E"/>
          <w:w w:val="105"/>
          <w:sz w:val="21"/>
        </w:rPr>
        <w:t>recoverable from</w:t>
      </w:r>
      <w:r>
        <w:rPr>
          <w:color w:val="0E0E0E"/>
          <w:spacing w:val="-6"/>
          <w:w w:val="105"/>
          <w:sz w:val="21"/>
        </w:rPr>
        <w:t> </w:t>
      </w:r>
      <w:r>
        <w:rPr>
          <w:color w:val="0E0E0E"/>
          <w:w w:val="105"/>
          <w:sz w:val="21"/>
        </w:rPr>
        <w:t>His </w:t>
      </w:r>
      <w:r>
        <w:rPr>
          <w:color w:val="1D1D1D"/>
          <w:w w:val="105"/>
          <w:sz w:val="21"/>
        </w:rPr>
        <w:t>Majesty</w:t>
      </w:r>
      <w:r>
        <w:rPr>
          <w:color w:val="484848"/>
          <w:w w:val="105"/>
          <w:sz w:val="21"/>
        </w:rPr>
        <w:t>'</w:t>
      </w:r>
      <w:r>
        <w:rPr>
          <w:color w:val="1D1D1D"/>
          <w:w w:val="105"/>
          <w:sz w:val="21"/>
        </w:rPr>
        <w:t>s </w:t>
      </w:r>
      <w:r>
        <w:rPr>
          <w:color w:val="0E0E0E"/>
          <w:w w:val="105"/>
          <w:sz w:val="21"/>
        </w:rPr>
        <w:t>Revenue </w:t>
      </w:r>
      <w:r>
        <w:rPr>
          <w:color w:val="1D1D1D"/>
          <w:w w:val="105"/>
          <w:sz w:val="21"/>
        </w:rPr>
        <w:t>and Customs</w:t>
      </w:r>
      <w:r>
        <w:rPr>
          <w:color w:val="484848"/>
          <w:w w:val="105"/>
          <w:sz w:val="21"/>
        </w:rPr>
        <w:t>. </w:t>
      </w:r>
      <w:r>
        <w:rPr>
          <w:color w:val="1D1D1D"/>
          <w:w w:val="105"/>
          <w:sz w:val="21"/>
        </w:rPr>
        <w:t>VAT receivable is excluded from </w:t>
      </w:r>
      <w:r>
        <w:rPr>
          <w:color w:val="0E0E0E"/>
          <w:w w:val="105"/>
          <w:sz w:val="21"/>
        </w:rPr>
        <w:t>income</w:t>
      </w:r>
    </w:p>
    <w:p>
      <w:pPr>
        <w:pStyle w:val="BodyText"/>
        <w:spacing w:before="10"/>
        <w:rPr>
          <w:sz w:val="21"/>
        </w:rPr>
      </w:pPr>
    </w:p>
    <w:p>
      <w:pPr>
        <w:spacing w:before="0"/>
        <w:ind w:left="1531" w:right="0" w:firstLine="0"/>
        <w:jc w:val="left"/>
        <w:rPr>
          <w:b/>
          <w:sz w:val="21"/>
        </w:rPr>
      </w:pPr>
      <w:r>
        <w:rPr>
          <w:b/>
          <w:color w:val="0E0E0E"/>
          <w:w w:val="105"/>
          <w:sz w:val="21"/>
        </w:rPr>
        <w:t>Non-Current</w:t>
      </w:r>
      <w:r>
        <w:rPr>
          <w:b/>
          <w:color w:val="0E0E0E"/>
          <w:spacing w:val="10"/>
          <w:w w:val="105"/>
          <w:sz w:val="21"/>
        </w:rPr>
        <w:t> </w:t>
      </w:r>
      <w:r>
        <w:rPr>
          <w:b/>
          <w:color w:val="0E0E0E"/>
          <w:w w:val="105"/>
          <w:sz w:val="21"/>
        </w:rPr>
        <w:t>Assets Held</w:t>
      </w:r>
      <w:r>
        <w:rPr>
          <w:b/>
          <w:color w:val="0E0E0E"/>
          <w:spacing w:val="-4"/>
          <w:w w:val="105"/>
          <w:sz w:val="21"/>
        </w:rPr>
        <w:t> </w:t>
      </w:r>
      <w:r>
        <w:rPr>
          <w:b/>
          <w:color w:val="0E0E0E"/>
          <w:w w:val="105"/>
          <w:sz w:val="21"/>
        </w:rPr>
        <w:t>for </w:t>
      </w:r>
      <w:r>
        <w:rPr>
          <w:b/>
          <w:color w:val="0E0E0E"/>
          <w:spacing w:val="-4"/>
          <w:w w:val="105"/>
          <w:sz w:val="21"/>
        </w:rPr>
        <w:t>Sale</w:t>
      </w:r>
    </w:p>
    <w:p>
      <w:pPr>
        <w:pStyle w:val="BodyText"/>
        <w:spacing w:before="27"/>
        <w:rPr>
          <w:b/>
          <w:sz w:val="21"/>
        </w:rPr>
      </w:pPr>
    </w:p>
    <w:p>
      <w:pPr>
        <w:spacing w:before="0" w:line="252" w:lineRule="auto"/>
        <w:ind w:left="1504" w:right="1211" w:firstLine="25"/>
        <w:jc w:val="left"/>
        <w:rPr>
          <w:sz w:val="21"/>
        </w:rPr>
      </w:pPr>
      <w:r>
        <w:rPr>
          <w:color w:val="0E0E0E"/>
          <w:w w:val="105"/>
          <w:sz w:val="21"/>
        </w:rPr>
        <w:t>Where</w:t>
      </w:r>
      <w:r>
        <w:rPr>
          <w:color w:val="0E0E0E"/>
          <w:spacing w:val="-3"/>
          <w:w w:val="105"/>
          <w:sz w:val="21"/>
        </w:rPr>
        <w:t> </w:t>
      </w:r>
      <w:r>
        <w:rPr>
          <w:color w:val="1D1D1D"/>
          <w:w w:val="105"/>
          <w:sz w:val="21"/>
        </w:rPr>
        <w:t>it</w:t>
      </w:r>
      <w:r>
        <w:rPr>
          <w:color w:val="1D1D1D"/>
          <w:spacing w:val="-4"/>
          <w:w w:val="105"/>
          <w:sz w:val="21"/>
        </w:rPr>
        <w:t> </w:t>
      </w:r>
      <w:r>
        <w:rPr>
          <w:color w:val="0E0E0E"/>
          <w:w w:val="105"/>
          <w:sz w:val="21"/>
        </w:rPr>
        <w:t>becomes</w:t>
      </w:r>
      <w:r>
        <w:rPr>
          <w:color w:val="0E0E0E"/>
          <w:spacing w:val="-2"/>
          <w:w w:val="105"/>
          <w:sz w:val="21"/>
        </w:rPr>
        <w:t> </w:t>
      </w:r>
      <w:r>
        <w:rPr>
          <w:color w:val="0E0E0E"/>
          <w:w w:val="105"/>
          <w:sz w:val="21"/>
        </w:rPr>
        <w:t>probable </w:t>
      </w:r>
      <w:r>
        <w:rPr>
          <w:color w:val="1D1D1D"/>
          <w:w w:val="105"/>
          <w:sz w:val="21"/>
        </w:rPr>
        <w:t>that</w:t>
      </w:r>
      <w:r>
        <w:rPr>
          <w:color w:val="1D1D1D"/>
          <w:spacing w:val="-2"/>
          <w:w w:val="105"/>
          <w:sz w:val="21"/>
        </w:rPr>
        <w:t> </w:t>
      </w:r>
      <w:r>
        <w:rPr>
          <w:color w:val="0E0E0E"/>
          <w:w w:val="105"/>
          <w:sz w:val="21"/>
        </w:rPr>
        <w:t>the</w:t>
      </w:r>
      <w:r>
        <w:rPr>
          <w:color w:val="0E0E0E"/>
          <w:spacing w:val="-8"/>
          <w:w w:val="105"/>
          <w:sz w:val="21"/>
        </w:rPr>
        <w:t> </w:t>
      </w:r>
      <w:r>
        <w:rPr>
          <w:color w:val="0E0E0E"/>
          <w:w w:val="105"/>
          <w:sz w:val="21"/>
        </w:rPr>
        <w:t>carrying amount of</w:t>
      </w:r>
      <w:r>
        <w:rPr>
          <w:color w:val="0E0E0E"/>
          <w:spacing w:val="-1"/>
          <w:w w:val="105"/>
          <w:sz w:val="21"/>
        </w:rPr>
        <w:t> </w:t>
      </w:r>
      <w:r>
        <w:rPr>
          <w:color w:val="0E0E0E"/>
          <w:w w:val="105"/>
          <w:sz w:val="21"/>
        </w:rPr>
        <w:t>an</w:t>
      </w:r>
      <w:r>
        <w:rPr>
          <w:color w:val="0E0E0E"/>
          <w:spacing w:val="-9"/>
          <w:w w:val="105"/>
          <w:sz w:val="21"/>
        </w:rPr>
        <w:t> </w:t>
      </w:r>
      <w:r>
        <w:rPr>
          <w:color w:val="0E0E0E"/>
          <w:w w:val="105"/>
          <w:sz w:val="21"/>
        </w:rPr>
        <w:t>asset will</w:t>
      </w:r>
      <w:r>
        <w:rPr>
          <w:color w:val="0E0E0E"/>
          <w:spacing w:val="-9"/>
          <w:w w:val="105"/>
          <w:sz w:val="21"/>
        </w:rPr>
        <w:t> </w:t>
      </w:r>
      <w:r>
        <w:rPr>
          <w:color w:val="0E0E0E"/>
          <w:w w:val="105"/>
          <w:sz w:val="21"/>
        </w:rPr>
        <w:t>be</w:t>
      </w:r>
      <w:r>
        <w:rPr>
          <w:color w:val="0E0E0E"/>
          <w:spacing w:val="-9"/>
          <w:w w:val="105"/>
          <w:sz w:val="21"/>
        </w:rPr>
        <w:t> </w:t>
      </w:r>
      <w:r>
        <w:rPr>
          <w:color w:val="1D1D1D"/>
          <w:w w:val="105"/>
          <w:sz w:val="21"/>
        </w:rPr>
        <w:t>recovered </w:t>
      </w:r>
      <w:r>
        <w:rPr>
          <w:color w:val="0E0E0E"/>
          <w:w w:val="105"/>
          <w:sz w:val="21"/>
        </w:rPr>
        <w:t>principally </w:t>
      </w:r>
      <w:r>
        <w:rPr>
          <w:color w:val="1D1D1D"/>
          <w:w w:val="105"/>
          <w:sz w:val="21"/>
        </w:rPr>
        <w:t>through </w:t>
      </w:r>
      <w:r>
        <w:rPr>
          <w:color w:val="0E0E0E"/>
          <w:w w:val="105"/>
          <w:sz w:val="21"/>
        </w:rPr>
        <w:t>a sale </w:t>
      </w:r>
      <w:r>
        <w:rPr>
          <w:color w:val="1D1D1D"/>
          <w:w w:val="105"/>
          <w:sz w:val="21"/>
        </w:rPr>
        <w:t>transaction rather than </w:t>
      </w:r>
      <w:r>
        <w:rPr>
          <w:color w:val="0E0E0E"/>
          <w:w w:val="105"/>
          <w:sz w:val="21"/>
        </w:rPr>
        <w:t>continued use, it is</w:t>
      </w:r>
      <w:r>
        <w:rPr>
          <w:color w:val="0E0E0E"/>
          <w:spacing w:val="-1"/>
          <w:w w:val="105"/>
          <w:sz w:val="21"/>
        </w:rPr>
        <w:t> </w:t>
      </w:r>
      <w:r>
        <w:rPr>
          <w:color w:val="0E0E0E"/>
          <w:w w:val="105"/>
          <w:sz w:val="21"/>
        </w:rPr>
        <w:t>reclassified as an asset held</w:t>
      </w:r>
      <w:r>
        <w:rPr>
          <w:color w:val="0E0E0E"/>
          <w:spacing w:val="-9"/>
          <w:w w:val="105"/>
          <w:sz w:val="21"/>
        </w:rPr>
        <w:t> </w:t>
      </w:r>
      <w:r>
        <w:rPr>
          <w:color w:val="0E0E0E"/>
          <w:w w:val="105"/>
          <w:sz w:val="21"/>
        </w:rPr>
        <w:t>for </w:t>
      </w:r>
      <w:r>
        <w:rPr>
          <w:color w:val="1D1D1D"/>
          <w:w w:val="105"/>
          <w:sz w:val="21"/>
        </w:rPr>
        <w:t>sale</w:t>
      </w:r>
      <w:r>
        <w:rPr>
          <w:color w:val="6E6E6E"/>
          <w:w w:val="105"/>
          <w:sz w:val="21"/>
        </w:rPr>
        <w:t>.</w:t>
      </w:r>
      <w:r>
        <w:rPr>
          <w:color w:val="6E6E6E"/>
          <w:spacing w:val="-7"/>
          <w:w w:val="105"/>
          <w:sz w:val="21"/>
        </w:rPr>
        <w:t> </w:t>
      </w:r>
      <w:r>
        <w:rPr>
          <w:color w:val="0E0E0E"/>
          <w:w w:val="105"/>
          <w:sz w:val="21"/>
        </w:rPr>
        <w:t>A non-current </w:t>
      </w:r>
      <w:r>
        <w:rPr>
          <w:color w:val="1D1D1D"/>
          <w:w w:val="105"/>
          <w:sz w:val="21"/>
        </w:rPr>
        <w:t>asset </w:t>
      </w:r>
      <w:r>
        <w:rPr>
          <w:color w:val="0E0E0E"/>
          <w:w w:val="105"/>
          <w:sz w:val="21"/>
        </w:rPr>
        <w:t>classified as held</w:t>
      </w:r>
      <w:r>
        <w:rPr>
          <w:color w:val="0E0E0E"/>
          <w:spacing w:val="-4"/>
          <w:w w:val="105"/>
          <w:sz w:val="21"/>
        </w:rPr>
        <w:t> </w:t>
      </w:r>
      <w:r>
        <w:rPr>
          <w:color w:val="0E0E0E"/>
          <w:w w:val="105"/>
          <w:sz w:val="21"/>
        </w:rPr>
        <w:t>for sale is measured at the lower of</w:t>
      </w:r>
      <w:r>
        <w:rPr>
          <w:color w:val="0E0E0E"/>
          <w:spacing w:val="-2"/>
          <w:w w:val="105"/>
          <w:sz w:val="21"/>
        </w:rPr>
        <w:t> </w:t>
      </w:r>
      <w:r>
        <w:rPr>
          <w:color w:val="0E0E0E"/>
          <w:w w:val="105"/>
          <w:sz w:val="21"/>
        </w:rPr>
        <w:t>its carrying value</w:t>
      </w:r>
      <w:r>
        <w:rPr>
          <w:color w:val="0E0E0E"/>
          <w:spacing w:val="17"/>
          <w:w w:val="105"/>
          <w:sz w:val="21"/>
        </w:rPr>
        <w:t> </w:t>
      </w:r>
      <w:r>
        <w:rPr>
          <w:color w:val="0E0E0E"/>
          <w:w w:val="105"/>
          <w:sz w:val="21"/>
        </w:rPr>
        <w:t>and fair</w:t>
      </w:r>
      <w:r>
        <w:rPr>
          <w:color w:val="0E0E0E"/>
          <w:spacing w:val="13"/>
          <w:w w:val="105"/>
          <w:sz w:val="21"/>
        </w:rPr>
        <w:t> </w:t>
      </w:r>
      <w:r>
        <w:rPr>
          <w:color w:val="0E0E0E"/>
          <w:w w:val="105"/>
          <w:sz w:val="21"/>
        </w:rPr>
        <w:t>value less</w:t>
      </w:r>
      <w:r>
        <w:rPr>
          <w:color w:val="0E0E0E"/>
          <w:spacing w:val="16"/>
          <w:w w:val="105"/>
          <w:sz w:val="21"/>
        </w:rPr>
        <w:t> </w:t>
      </w:r>
      <w:r>
        <w:rPr>
          <w:color w:val="0E0E0E"/>
          <w:w w:val="105"/>
          <w:sz w:val="21"/>
        </w:rPr>
        <w:t>costs</w:t>
      </w:r>
      <w:r>
        <w:rPr>
          <w:color w:val="0E0E0E"/>
          <w:spacing w:val="15"/>
          <w:w w:val="105"/>
          <w:sz w:val="21"/>
        </w:rPr>
        <w:t> </w:t>
      </w:r>
      <w:r>
        <w:rPr>
          <w:color w:val="0E0E0E"/>
          <w:w w:val="105"/>
          <w:sz w:val="21"/>
        </w:rPr>
        <w:t>to sell at initial reclassification and at the end of each</w:t>
      </w:r>
      <w:r>
        <w:rPr>
          <w:color w:val="0E0E0E"/>
          <w:w w:val="105"/>
          <w:sz w:val="21"/>
        </w:rPr>
        <w:t> </w:t>
      </w:r>
      <w:r>
        <w:rPr>
          <w:color w:val="1D1D1D"/>
          <w:w w:val="105"/>
          <w:sz w:val="21"/>
        </w:rPr>
        <w:t>reporting period</w:t>
      </w:r>
      <w:r>
        <w:rPr>
          <w:color w:val="6E6E6E"/>
          <w:w w:val="105"/>
          <w:sz w:val="21"/>
        </w:rPr>
        <w:t>.</w:t>
      </w:r>
      <w:r>
        <w:rPr>
          <w:color w:val="6E6E6E"/>
          <w:spacing w:val="-4"/>
          <w:w w:val="105"/>
          <w:sz w:val="21"/>
        </w:rPr>
        <w:t> </w:t>
      </w:r>
      <w:r>
        <w:rPr>
          <w:color w:val="1D1D1D"/>
          <w:w w:val="105"/>
          <w:sz w:val="21"/>
        </w:rPr>
        <w:t>Any subsequent gains and losses are posted </w:t>
      </w:r>
      <w:r>
        <w:rPr>
          <w:color w:val="0E0E0E"/>
          <w:w w:val="105"/>
          <w:sz w:val="21"/>
        </w:rPr>
        <w:t>to Other </w:t>
      </w:r>
      <w:r>
        <w:rPr>
          <w:color w:val="1D1D1D"/>
          <w:w w:val="105"/>
          <w:sz w:val="21"/>
        </w:rPr>
        <w:t>Operating Expenditure in the</w:t>
      </w:r>
      <w:r>
        <w:rPr>
          <w:color w:val="1D1D1D"/>
          <w:spacing w:val="-3"/>
          <w:w w:val="105"/>
          <w:sz w:val="21"/>
        </w:rPr>
        <w:t> </w:t>
      </w:r>
      <w:r>
        <w:rPr>
          <w:color w:val="1D1D1D"/>
          <w:w w:val="105"/>
          <w:sz w:val="21"/>
        </w:rPr>
        <w:t>Comprehensive </w:t>
      </w:r>
      <w:r>
        <w:rPr>
          <w:color w:val="0E0E0E"/>
          <w:w w:val="105"/>
          <w:sz w:val="21"/>
        </w:rPr>
        <w:t>Income </w:t>
      </w:r>
      <w:r>
        <w:rPr>
          <w:color w:val="1D1D1D"/>
          <w:w w:val="105"/>
          <w:sz w:val="21"/>
        </w:rPr>
        <w:t>and</w:t>
      </w:r>
      <w:r>
        <w:rPr>
          <w:color w:val="1D1D1D"/>
          <w:spacing w:val="-6"/>
          <w:w w:val="105"/>
          <w:sz w:val="21"/>
        </w:rPr>
        <w:t> </w:t>
      </w:r>
      <w:r>
        <w:rPr>
          <w:color w:val="1D1D1D"/>
          <w:w w:val="105"/>
          <w:sz w:val="21"/>
        </w:rPr>
        <w:t>Expenditure Statement. Assets held</w:t>
      </w:r>
      <w:r>
        <w:rPr>
          <w:color w:val="1D1D1D"/>
          <w:spacing w:val="-5"/>
          <w:w w:val="105"/>
          <w:sz w:val="21"/>
        </w:rPr>
        <w:t> </w:t>
      </w:r>
      <w:r>
        <w:rPr>
          <w:color w:val="0E0E0E"/>
          <w:w w:val="105"/>
          <w:sz w:val="21"/>
        </w:rPr>
        <w:t>for sale </w:t>
      </w:r>
      <w:r>
        <w:rPr>
          <w:color w:val="1D1D1D"/>
          <w:w w:val="105"/>
          <w:sz w:val="21"/>
        </w:rPr>
        <w:t>are only recognised where a</w:t>
      </w:r>
      <w:r>
        <w:rPr>
          <w:color w:val="1D1D1D"/>
          <w:spacing w:val="-2"/>
          <w:w w:val="105"/>
          <w:sz w:val="21"/>
        </w:rPr>
        <w:t> </w:t>
      </w:r>
      <w:r>
        <w:rPr>
          <w:color w:val="1D1D1D"/>
          <w:w w:val="105"/>
          <w:sz w:val="21"/>
        </w:rPr>
        <w:t>property is being actively </w:t>
      </w:r>
      <w:r>
        <w:rPr>
          <w:color w:val="0E0E0E"/>
          <w:w w:val="105"/>
          <w:sz w:val="21"/>
        </w:rPr>
        <w:t>marketed,</w:t>
      </w:r>
      <w:r>
        <w:rPr>
          <w:color w:val="0E0E0E"/>
          <w:spacing w:val="32"/>
          <w:w w:val="105"/>
          <w:sz w:val="21"/>
        </w:rPr>
        <w:t> </w:t>
      </w:r>
      <w:r>
        <w:rPr>
          <w:color w:val="0E0E0E"/>
          <w:w w:val="105"/>
          <w:sz w:val="21"/>
        </w:rPr>
        <w:t>and</w:t>
      </w:r>
      <w:r>
        <w:rPr>
          <w:color w:val="0E0E0E"/>
          <w:spacing w:val="-3"/>
          <w:w w:val="105"/>
          <w:sz w:val="21"/>
        </w:rPr>
        <w:t> </w:t>
      </w:r>
      <w:r>
        <w:rPr>
          <w:color w:val="0E0E0E"/>
          <w:w w:val="105"/>
          <w:sz w:val="21"/>
        </w:rPr>
        <w:t>is </w:t>
      </w:r>
      <w:r>
        <w:rPr>
          <w:color w:val="1D1D1D"/>
          <w:w w:val="105"/>
          <w:sz w:val="21"/>
        </w:rPr>
        <w:t>likely </w:t>
      </w:r>
      <w:r>
        <w:rPr>
          <w:color w:val="363636"/>
          <w:w w:val="105"/>
          <w:sz w:val="21"/>
        </w:rPr>
        <w:t>to </w:t>
      </w:r>
      <w:r>
        <w:rPr>
          <w:color w:val="1D1D1D"/>
          <w:w w:val="105"/>
          <w:sz w:val="21"/>
        </w:rPr>
        <w:t>result in </w:t>
      </w:r>
      <w:r>
        <w:rPr>
          <w:color w:val="0E0E0E"/>
          <w:w w:val="105"/>
          <w:sz w:val="21"/>
        </w:rPr>
        <w:t>a probable sale within 12 months of the balance sheet date.</w:t>
      </w:r>
    </w:p>
    <w:p>
      <w:pPr>
        <w:pStyle w:val="BodyText"/>
        <w:spacing w:before="12"/>
        <w:rPr>
          <w:sz w:val="21"/>
        </w:rPr>
      </w:pPr>
    </w:p>
    <w:p>
      <w:pPr>
        <w:spacing w:before="0"/>
        <w:ind w:left="1503" w:right="0" w:firstLine="0"/>
        <w:jc w:val="both"/>
        <w:rPr>
          <w:b/>
          <w:sz w:val="21"/>
        </w:rPr>
      </w:pPr>
      <w:r>
        <w:rPr>
          <w:b/>
          <w:color w:val="0E0E0E"/>
          <w:w w:val="105"/>
          <w:sz w:val="21"/>
        </w:rPr>
        <w:t>Collection</w:t>
      </w:r>
      <w:r>
        <w:rPr>
          <w:b/>
          <w:color w:val="0E0E0E"/>
          <w:spacing w:val="7"/>
          <w:w w:val="105"/>
          <w:sz w:val="21"/>
        </w:rPr>
        <w:t> </w:t>
      </w:r>
      <w:r>
        <w:rPr>
          <w:b/>
          <w:color w:val="0E0E0E"/>
          <w:spacing w:val="-4"/>
          <w:w w:val="105"/>
          <w:sz w:val="21"/>
        </w:rPr>
        <w:t>Fund</w:t>
      </w:r>
    </w:p>
    <w:p>
      <w:pPr>
        <w:pStyle w:val="BodyText"/>
        <w:spacing w:before="27"/>
        <w:rPr>
          <w:b/>
          <w:sz w:val="21"/>
        </w:rPr>
      </w:pPr>
    </w:p>
    <w:p>
      <w:pPr>
        <w:spacing w:before="0" w:line="249" w:lineRule="auto"/>
        <w:ind w:left="1480" w:right="1180" w:firstLine="18"/>
        <w:jc w:val="both"/>
        <w:rPr>
          <w:sz w:val="21"/>
        </w:rPr>
      </w:pPr>
      <w:r>
        <w:rPr>
          <w:color w:val="0E0E0E"/>
          <w:w w:val="105"/>
          <w:sz w:val="21"/>
        </w:rPr>
        <w:t>This</w:t>
      </w:r>
      <w:r>
        <w:rPr>
          <w:color w:val="0E0E0E"/>
          <w:w w:val="105"/>
          <w:sz w:val="21"/>
        </w:rPr>
        <w:t> account</w:t>
      </w:r>
      <w:r>
        <w:rPr>
          <w:color w:val="0E0E0E"/>
          <w:w w:val="105"/>
          <w:sz w:val="21"/>
        </w:rPr>
        <w:t> reflects</w:t>
      </w:r>
      <w:r>
        <w:rPr>
          <w:color w:val="0E0E0E"/>
          <w:w w:val="105"/>
          <w:sz w:val="21"/>
        </w:rPr>
        <w:t> the statutory</w:t>
      </w:r>
      <w:r>
        <w:rPr>
          <w:color w:val="0E0E0E"/>
          <w:w w:val="105"/>
          <w:sz w:val="21"/>
        </w:rPr>
        <w:t> requirement</w:t>
      </w:r>
      <w:r>
        <w:rPr>
          <w:color w:val="0E0E0E"/>
          <w:w w:val="105"/>
          <w:sz w:val="21"/>
        </w:rPr>
        <w:t> for billing authorities</w:t>
      </w:r>
      <w:r>
        <w:rPr>
          <w:color w:val="0E0E0E"/>
          <w:w w:val="105"/>
          <w:sz w:val="21"/>
        </w:rPr>
        <w:t> to maintain</w:t>
      </w:r>
      <w:r>
        <w:rPr>
          <w:color w:val="0E0E0E"/>
          <w:w w:val="105"/>
          <w:sz w:val="21"/>
        </w:rPr>
        <w:t> a separate Collection Fund, showing the</w:t>
      </w:r>
      <w:r>
        <w:rPr>
          <w:color w:val="0E0E0E"/>
          <w:spacing w:val="-1"/>
          <w:w w:val="105"/>
          <w:sz w:val="21"/>
        </w:rPr>
        <w:t> </w:t>
      </w:r>
      <w:r>
        <w:rPr>
          <w:color w:val="0E0E0E"/>
          <w:w w:val="105"/>
          <w:sz w:val="21"/>
        </w:rPr>
        <w:t>transactions of the</w:t>
      </w:r>
      <w:r>
        <w:rPr>
          <w:color w:val="0E0E0E"/>
          <w:spacing w:val="-1"/>
          <w:w w:val="105"/>
          <w:sz w:val="21"/>
        </w:rPr>
        <w:t> </w:t>
      </w:r>
      <w:r>
        <w:rPr>
          <w:color w:val="0E0E0E"/>
          <w:w w:val="105"/>
          <w:sz w:val="21"/>
        </w:rPr>
        <w:t>billing </w:t>
      </w:r>
      <w:r>
        <w:rPr>
          <w:color w:val="1D1D1D"/>
          <w:w w:val="105"/>
          <w:sz w:val="21"/>
        </w:rPr>
        <w:t>authority in relation </w:t>
      </w:r>
      <w:r>
        <w:rPr>
          <w:color w:val="0E0E0E"/>
          <w:w w:val="105"/>
          <w:sz w:val="21"/>
        </w:rPr>
        <w:t>to </w:t>
      </w:r>
      <w:r>
        <w:rPr>
          <w:color w:val="1D1D1D"/>
          <w:w w:val="105"/>
          <w:sz w:val="21"/>
        </w:rPr>
        <w:t>business </w:t>
      </w:r>
      <w:r>
        <w:rPr>
          <w:color w:val="0E0E0E"/>
          <w:w w:val="105"/>
          <w:sz w:val="21"/>
        </w:rPr>
        <w:t>rates and</w:t>
      </w:r>
      <w:r>
        <w:rPr>
          <w:color w:val="0E0E0E"/>
          <w:spacing w:val="-8"/>
          <w:w w:val="105"/>
          <w:sz w:val="21"/>
        </w:rPr>
        <w:t> </w:t>
      </w:r>
      <w:r>
        <w:rPr>
          <w:color w:val="0E0E0E"/>
          <w:w w:val="105"/>
          <w:sz w:val="21"/>
        </w:rPr>
        <w:t>council</w:t>
      </w:r>
      <w:r>
        <w:rPr>
          <w:color w:val="0E0E0E"/>
          <w:spacing w:val="-5"/>
          <w:w w:val="105"/>
          <w:sz w:val="21"/>
        </w:rPr>
        <w:t> </w:t>
      </w:r>
      <w:r>
        <w:rPr>
          <w:color w:val="0E0E0E"/>
          <w:w w:val="105"/>
          <w:sz w:val="21"/>
        </w:rPr>
        <w:t>tax, and</w:t>
      </w:r>
      <w:r>
        <w:rPr>
          <w:color w:val="0E0E0E"/>
          <w:spacing w:val="-12"/>
          <w:w w:val="105"/>
          <w:sz w:val="21"/>
        </w:rPr>
        <w:t> </w:t>
      </w:r>
      <w:r>
        <w:rPr>
          <w:color w:val="0E0E0E"/>
          <w:w w:val="105"/>
          <w:sz w:val="21"/>
        </w:rPr>
        <w:t>illustrates the</w:t>
      </w:r>
      <w:r>
        <w:rPr>
          <w:color w:val="0E0E0E"/>
          <w:spacing w:val="-9"/>
          <w:w w:val="105"/>
          <w:sz w:val="21"/>
        </w:rPr>
        <w:t> </w:t>
      </w:r>
      <w:r>
        <w:rPr>
          <w:color w:val="0E0E0E"/>
          <w:w w:val="105"/>
          <w:sz w:val="21"/>
        </w:rPr>
        <w:t>way</w:t>
      </w:r>
      <w:r>
        <w:rPr>
          <w:color w:val="0E0E0E"/>
          <w:spacing w:val="-7"/>
          <w:w w:val="105"/>
          <w:sz w:val="21"/>
        </w:rPr>
        <w:t> </w:t>
      </w:r>
      <w:r>
        <w:rPr>
          <w:color w:val="0E0E0E"/>
          <w:w w:val="105"/>
          <w:sz w:val="21"/>
        </w:rPr>
        <w:t>in</w:t>
      </w:r>
      <w:r>
        <w:rPr>
          <w:color w:val="0E0E0E"/>
          <w:spacing w:val="-2"/>
          <w:w w:val="105"/>
          <w:sz w:val="21"/>
        </w:rPr>
        <w:t> </w:t>
      </w:r>
      <w:r>
        <w:rPr>
          <w:color w:val="0E0E0E"/>
          <w:w w:val="105"/>
          <w:sz w:val="21"/>
        </w:rPr>
        <w:t>which</w:t>
      </w:r>
      <w:r>
        <w:rPr>
          <w:color w:val="0E0E0E"/>
          <w:spacing w:val="-14"/>
          <w:w w:val="105"/>
          <w:sz w:val="21"/>
        </w:rPr>
        <w:t> </w:t>
      </w:r>
      <w:r>
        <w:rPr>
          <w:color w:val="0E0E0E"/>
          <w:w w:val="105"/>
          <w:sz w:val="21"/>
        </w:rPr>
        <w:t>these</w:t>
      </w:r>
      <w:r>
        <w:rPr>
          <w:color w:val="0E0E0E"/>
          <w:spacing w:val="-7"/>
          <w:w w:val="105"/>
          <w:sz w:val="21"/>
        </w:rPr>
        <w:t> </w:t>
      </w:r>
      <w:r>
        <w:rPr>
          <w:color w:val="1D1D1D"/>
          <w:w w:val="105"/>
          <w:sz w:val="21"/>
        </w:rPr>
        <w:t>have</w:t>
      </w:r>
      <w:r>
        <w:rPr>
          <w:color w:val="1D1D1D"/>
          <w:spacing w:val="-12"/>
          <w:w w:val="105"/>
          <w:sz w:val="21"/>
        </w:rPr>
        <w:t> </w:t>
      </w:r>
      <w:r>
        <w:rPr>
          <w:color w:val="0E0E0E"/>
          <w:w w:val="105"/>
          <w:sz w:val="21"/>
        </w:rPr>
        <w:t>been</w:t>
      </w:r>
      <w:r>
        <w:rPr>
          <w:color w:val="0E0E0E"/>
          <w:spacing w:val="-13"/>
          <w:w w:val="105"/>
          <w:sz w:val="21"/>
        </w:rPr>
        <w:t> </w:t>
      </w:r>
      <w:r>
        <w:rPr>
          <w:color w:val="0E0E0E"/>
          <w:w w:val="105"/>
          <w:sz w:val="21"/>
        </w:rPr>
        <w:t>distributed to</w:t>
      </w:r>
      <w:r>
        <w:rPr>
          <w:color w:val="0E0E0E"/>
          <w:spacing w:val="-14"/>
          <w:w w:val="105"/>
          <w:sz w:val="21"/>
        </w:rPr>
        <w:t> </w:t>
      </w:r>
      <w:r>
        <w:rPr>
          <w:color w:val="1D1D1D"/>
          <w:w w:val="105"/>
          <w:sz w:val="21"/>
        </w:rPr>
        <w:t>preceptors </w:t>
      </w:r>
      <w:r>
        <w:rPr>
          <w:color w:val="0E0E0E"/>
          <w:w w:val="105"/>
          <w:sz w:val="21"/>
        </w:rPr>
        <w:t>and </w:t>
      </w:r>
      <w:r>
        <w:rPr>
          <w:color w:val="1D1D1D"/>
          <w:w w:val="105"/>
          <w:sz w:val="21"/>
        </w:rPr>
        <w:t>the</w:t>
      </w:r>
      <w:r>
        <w:rPr>
          <w:color w:val="1D1D1D"/>
          <w:spacing w:val="-16"/>
          <w:w w:val="105"/>
          <w:sz w:val="21"/>
        </w:rPr>
        <w:t> </w:t>
      </w:r>
      <w:r>
        <w:rPr>
          <w:color w:val="1D1D1D"/>
          <w:w w:val="105"/>
          <w:sz w:val="21"/>
        </w:rPr>
        <w:t>General</w:t>
      </w:r>
      <w:r>
        <w:rPr>
          <w:color w:val="1D1D1D"/>
          <w:spacing w:val="-13"/>
          <w:w w:val="105"/>
          <w:sz w:val="21"/>
        </w:rPr>
        <w:t> </w:t>
      </w:r>
      <w:r>
        <w:rPr>
          <w:color w:val="1D1D1D"/>
          <w:w w:val="105"/>
          <w:sz w:val="21"/>
        </w:rPr>
        <w:t>Fund,</w:t>
      </w:r>
      <w:r>
        <w:rPr>
          <w:color w:val="1D1D1D"/>
          <w:spacing w:val="-3"/>
          <w:w w:val="105"/>
          <w:sz w:val="21"/>
        </w:rPr>
        <w:t> </w:t>
      </w:r>
      <w:r>
        <w:rPr>
          <w:color w:val="0E0E0E"/>
          <w:w w:val="105"/>
          <w:sz w:val="21"/>
        </w:rPr>
        <w:t>in</w:t>
      </w:r>
      <w:r>
        <w:rPr>
          <w:color w:val="0E0E0E"/>
          <w:spacing w:val="-10"/>
          <w:w w:val="105"/>
          <w:sz w:val="21"/>
        </w:rPr>
        <w:t> </w:t>
      </w:r>
      <w:r>
        <w:rPr>
          <w:color w:val="0E0E0E"/>
          <w:w w:val="105"/>
          <w:sz w:val="21"/>
        </w:rPr>
        <w:t>accordance with</w:t>
      </w:r>
      <w:r>
        <w:rPr>
          <w:color w:val="0E0E0E"/>
          <w:spacing w:val="-16"/>
          <w:w w:val="105"/>
          <w:sz w:val="21"/>
        </w:rPr>
        <w:t> </w:t>
      </w:r>
      <w:r>
        <w:rPr>
          <w:color w:val="0E0E0E"/>
          <w:w w:val="105"/>
          <w:sz w:val="21"/>
        </w:rPr>
        <w:t>relevant legislation. The</w:t>
      </w:r>
      <w:r>
        <w:rPr>
          <w:color w:val="0E0E0E"/>
          <w:spacing w:val="-10"/>
          <w:w w:val="105"/>
          <w:sz w:val="21"/>
        </w:rPr>
        <w:t> </w:t>
      </w:r>
      <w:r>
        <w:rPr>
          <w:color w:val="0E0E0E"/>
          <w:w w:val="105"/>
          <w:sz w:val="21"/>
        </w:rPr>
        <w:t>Collection</w:t>
      </w:r>
      <w:r>
        <w:rPr>
          <w:color w:val="0E0E0E"/>
          <w:spacing w:val="-5"/>
          <w:w w:val="105"/>
          <w:sz w:val="21"/>
        </w:rPr>
        <w:t> </w:t>
      </w:r>
      <w:r>
        <w:rPr>
          <w:color w:val="1D1D1D"/>
          <w:w w:val="105"/>
          <w:sz w:val="21"/>
        </w:rPr>
        <w:t>Fund</w:t>
      </w:r>
      <w:r>
        <w:rPr>
          <w:color w:val="1D1D1D"/>
          <w:spacing w:val="-16"/>
          <w:w w:val="105"/>
          <w:sz w:val="21"/>
        </w:rPr>
        <w:t> </w:t>
      </w:r>
      <w:r>
        <w:rPr>
          <w:color w:val="0E0E0E"/>
          <w:w w:val="105"/>
          <w:sz w:val="21"/>
        </w:rPr>
        <w:t>is</w:t>
      </w:r>
      <w:r>
        <w:rPr>
          <w:color w:val="0E0E0E"/>
          <w:spacing w:val="-15"/>
          <w:w w:val="105"/>
          <w:sz w:val="21"/>
        </w:rPr>
        <w:t> </w:t>
      </w:r>
      <w:r>
        <w:rPr>
          <w:color w:val="0E0E0E"/>
          <w:w w:val="105"/>
          <w:sz w:val="21"/>
        </w:rPr>
        <w:t>consolidated </w:t>
      </w:r>
      <w:r>
        <w:rPr>
          <w:color w:val="1D1D1D"/>
          <w:w w:val="105"/>
          <w:sz w:val="21"/>
        </w:rPr>
        <w:t>with</w:t>
      </w:r>
      <w:r>
        <w:rPr>
          <w:color w:val="1D1D1D"/>
          <w:spacing w:val="-2"/>
          <w:w w:val="105"/>
          <w:sz w:val="21"/>
        </w:rPr>
        <w:t> </w:t>
      </w:r>
      <w:r>
        <w:rPr>
          <w:color w:val="1D1D1D"/>
          <w:w w:val="105"/>
          <w:sz w:val="21"/>
        </w:rPr>
        <w:t>other</w:t>
      </w:r>
      <w:r>
        <w:rPr>
          <w:color w:val="1D1D1D"/>
          <w:spacing w:val="-1"/>
          <w:w w:val="105"/>
          <w:sz w:val="21"/>
        </w:rPr>
        <w:t> </w:t>
      </w:r>
      <w:r>
        <w:rPr>
          <w:color w:val="0E0E0E"/>
          <w:w w:val="105"/>
          <w:sz w:val="21"/>
        </w:rPr>
        <w:t>accounts of</w:t>
      </w:r>
      <w:r>
        <w:rPr>
          <w:color w:val="0E0E0E"/>
          <w:spacing w:val="-8"/>
          <w:w w:val="105"/>
          <w:sz w:val="21"/>
        </w:rPr>
        <w:t> </w:t>
      </w:r>
      <w:r>
        <w:rPr>
          <w:color w:val="0E0E0E"/>
          <w:w w:val="105"/>
          <w:sz w:val="21"/>
        </w:rPr>
        <w:t>the</w:t>
      </w:r>
      <w:r>
        <w:rPr>
          <w:color w:val="0E0E0E"/>
          <w:spacing w:val="-5"/>
          <w:w w:val="105"/>
          <w:sz w:val="21"/>
        </w:rPr>
        <w:t> </w:t>
      </w:r>
      <w:r>
        <w:rPr>
          <w:color w:val="0E0E0E"/>
          <w:w w:val="105"/>
          <w:sz w:val="21"/>
        </w:rPr>
        <w:t>Council, is</w:t>
      </w:r>
      <w:r>
        <w:rPr>
          <w:color w:val="0E0E0E"/>
          <w:spacing w:val="-12"/>
          <w:w w:val="105"/>
          <w:sz w:val="21"/>
        </w:rPr>
        <w:t> </w:t>
      </w:r>
      <w:r>
        <w:rPr>
          <w:color w:val="0E0E0E"/>
          <w:w w:val="105"/>
          <w:sz w:val="21"/>
        </w:rPr>
        <w:t>prepared</w:t>
      </w:r>
      <w:r>
        <w:rPr>
          <w:color w:val="0E0E0E"/>
          <w:spacing w:val="-3"/>
          <w:w w:val="105"/>
          <w:sz w:val="21"/>
        </w:rPr>
        <w:t> </w:t>
      </w:r>
      <w:r>
        <w:rPr>
          <w:color w:val="0E0E0E"/>
          <w:w w:val="105"/>
          <w:sz w:val="21"/>
        </w:rPr>
        <w:t>on</w:t>
      </w:r>
      <w:r>
        <w:rPr>
          <w:color w:val="0E0E0E"/>
          <w:spacing w:val="-11"/>
          <w:w w:val="105"/>
          <w:sz w:val="21"/>
        </w:rPr>
        <w:t> </w:t>
      </w:r>
      <w:r>
        <w:rPr>
          <w:color w:val="0E0E0E"/>
          <w:w w:val="105"/>
          <w:sz w:val="21"/>
        </w:rPr>
        <w:t>an</w:t>
      </w:r>
      <w:r>
        <w:rPr>
          <w:color w:val="0E0E0E"/>
          <w:spacing w:val="-6"/>
          <w:w w:val="105"/>
          <w:sz w:val="21"/>
        </w:rPr>
        <w:t> </w:t>
      </w:r>
      <w:r>
        <w:rPr>
          <w:color w:val="1D1D1D"/>
          <w:w w:val="105"/>
          <w:sz w:val="21"/>
        </w:rPr>
        <w:t>accruals </w:t>
      </w:r>
      <w:r>
        <w:rPr>
          <w:color w:val="0E0E0E"/>
          <w:w w:val="105"/>
          <w:sz w:val="21"/>
        </w:rPr>
        <w:t>basis</w:t>
      </w:r>
      <w:r>
        <w:rPr>
          <w:color w:val="0E0E0E"/>
          <w:spacing w:val="-1"/>
          <w:w w:val="105"/>
          <w:sz w:val="21"/>
        </w:rPr>
        <w:t> </w:t>
      </w:r>
      <w:r>
        <w:rPr>
          <w:color w:val="1D1D1D"/>
          <w:w w:val="105"/>
          <w:sz w:val="21"/>
        </w:rPr>
        <w:t>and</w:t>
      </w:r>
      <w:r>
        <w:rPr>
          <w:color w:val="1D1D1D"/>
          <w:spacing w:val="-7"/>
          <w:w w:val="105"/>
          <w:sz w:val="21"/>
        </w:rPr>
        <w:t> </w:t>
      </w:r>
      <w:r>
        <w:rPr>
          <w:color w:val="1D1D1D"/>
          <w:w w:val="105"/>
          <w:sz w:val="21"/>
        </w:rPr>
        <w:t>provision</w:t>
      </w:r>
      <w:r>
        <w:rPr>
          <w:color w:val="1D1D1D"/>
          <w:spacing w:val="-3"/>
          <w:w w:val="105"/>
          <w:sz w:val="21"/>
        </w:rPr>
        <w:t> </w:t>
      </w:r>
      <w:r>
        <w:rPr>
          <w:color w:val="0E0E0E"/>
          <w:w w:val="105"/>
          <w:sz w:val="21"/>
        </w:rPr>
        <w:t>is</w:t>
      </w:r>
      <w:r>
        <w:rPr>
          <w:color w:val="0E0E0E"/>
          <w:spacing w:val="-7"/>
          <w:w w:val="105"/>
          <w:sz w:val="21"/>
        </w:rPr>
        <w:t> </w:t>
      </w:r>
      <w:r>
        <w:rPr>
          <w:color w:val="0E0E0E"/>
          <w:w w:val="105"/>
          <w:sz w:val="21"/>
        </w:rPr>
        <w:t>made</w:t>
      </w:r>
      <w:r>
        <w:rPr>
          <w:color w:val="0E0E0E"/>
          <w:spacing w:val="-3"/>
          <w:w w:val="105"/>
          <w:sz w:val="21"/>
        </w:rPr>
        <w:t> </w:t>
      </w:r>
      <w:r>
        <w:rPr>
          <w:color w:val="0E0E0E"/>
          <w:w w:val="105"/>
          <w:sz w:val="21"/>
        </w:rPr>
        <w:t>for potential uncollectable amounts and Business Rates appeals.</w:t>
      </w:r>
    </w:p>
    <w:p>
      <w:pPr>
        <w:pStyle w:val="BodyText"/>
        <w:rPr>
          <w:sz w:val="21"/>
        </w:rPr>
      </w:pPr>
    </w:p>
    <w:p>
      <w:pPr>
        <w:pStyle w:val="BodyText"/>
        <w:rPr>
          <w:sz w:val="21"/>
        </w:rPr>
      </w:pPr>
    </w:p>
    <w:p>
      <w:pPr>
        <w:pStyle w:val="BodyText"/>
        <w:rPr>
          <w:sz w:val="21"/>
        </w:rPr>
      </w:pPr>
    </w:p>
    <w:p>
      <w:pPr>
        <w:pStyle w:val="BodyText"/>
        <w:spacing w:before="165"/>
        <w:rPr>
          <w:sz w:val="21"/>
        </w:rPr>
      </w:pPr>
    </w:p>
    <w:p>
      <w:pPr>
        <w:spacing w:before="0"/>
        <w:ind w:left="0" w:right="1195" w:firstLine="0"/>
        <w:jc w:val="right"/>
        <w:rPr>
          <w:b/>
          <w:sz w:val="19"/>
        </w:rPr>
      </w:pPr>
      <w:r>
        <w:rPr/>
        <ve:AlternateContent>
          <ve:Choice Requires="wps">
            <w:drawing>
              <wp:anchor distT="0" distB="0" distL="0" distR="0" simplePos="0" relativeHeight="15759360" behindDoc="0" locked="0" layoutInCell="1" allowOverlap="1">
                <wp:simplePos x="0" y="0"/>
                <wp:positionH relativeFrom="page">
                  <wp:posOffset>15264</wp:posOffset>
                </wp:positionH>
                <wp:positionV relativeFrom="paragraph">
                  <wp:posOffset>-170521</wp:posOffset>
                </wp:positionV>
                <wp:extent cx="1270" cy="830580"/>
                <wp:effectExtent l="0" t="0" r="0" b="0"/>
                <wp:wrapNone/>
                <wp:docPr id="149" name="Graphic 149"/>
                <wp:cNvGraphicFramePr>
                  <a:graphicFrameLocks/>
                </wp:cNvGraphicFramePr>
                <a:graphic>
                  <a:graphicData uri="http://schemas.microsoft.com/office/word/2010/wordprocessingShape">
                    <wps:wsp>
                      <wps:cNvPr id="149" name="Graphic 149"/>
                      <wps:cNvSpPr/>
                      <wps:spPr>
                        <a:xfrm>
                          <a:off x="0" y="0"/>
                          <a:ext cx="1270" cy="830580"/>
                        </a:xfrm>
                        <a:custGeom>
                          <a:avLst/>
                          <a:gdLst/>
                          <a:ahLst/>
                          <a:cxnLst/>
                          <a:rect l="l" t="t" r="r" b="b"/>
                          <a:pathLst>
                            <a:path w="0" h="830580">
                              <a:moveTo>
                                <a:pt x="0" y="830001"/>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59360" stroked="true" strokecolor="#000000" strokeweight=".961549pt" from="1.201936pt,51.927574pt" to="1.201936pt,-13.426908pt">
                <v:stroke dashstyle="solid"/>
                <w10:wrap type="none"/>
              </v:line>
            </w:pict>
          </ve:Fallback>
        </ve:AlternateContent>
      </w:r>
      <w:r>
        <w:rPr>
          <w:b/>
          <w:color w:val="0E0E0E"/>
          <w:spacing w:val="-5"/>
          <w:w w:val="110"/>
          <w:sz w:val="19"/>
        </w:rPr>
        <w:t>48</w:t>
      </w:r>
    </w:p>
    <w:p>
      <w:pPr>
        <w:spacing w:after="0"/>
        <w:jc w:val="right"/>
        <w:rPr>
          <w:sz w:val="19"/>
        </w:rPr>
        <w:sectPr>
          <w:headerReference w:type="even" r:id="rId106"/>
          <w:footerReference w:type="even" r:id="rId107"/>
          <w:pgSz w:w="11910" w:h="16830"/>
          <w:pgMar w:top="880" w:right="100" w:bottom="0" w:left="20" w:header="0" w:footer="0"/>
        </w:sectPr>
      </w:pPr>
    </w:p>
    <w:p>
      <w:pPr>
        <w:pStyle w:val="Heading3"/>
        <w:numPr>
          <w:ilvl w:val="1"/>
          <w:numId w:val="11"/>
        </w:numPr>
        <w:tabs>
          <w:tab w:val="left" w:leader="none" w:pos="2128"/>
        </w:tabs>
        <w:spacing w:before="239" w:after="0" w:line="240" w:lineRule="auto"/>
        <w:ind w:left="2128" w:right="0" w:hanging="716"/>
        <w:jc w:val="left"/>
        <w:rPr>
          <w:color w:val="0A0A0A"/>
        </w:rPr>
      </w:pPr>
      <w:r>
        <w:rPr>
          <w:color w:val="0A0A0A"/>
        </w:rPr>
        <w:t>Accounting</w:t>
      </w:r>
      <w:r>
        <w:rPr>
          <w:color w:val="0A0A0A"/>
          <w:spacing w:val="9"/>
        </w:rPr>
        <w:t> </w:t>
      </w:r>
      <w:r>
        <w:rPr>
          <w:color w:val="0A0A0A"/>
        </w:rPr>
        <w:t>Standards</w:t>
      </w:r>
      <w:r>
        <w:rPr>
          <w:color w:val="0A0A0A"/>
          <w:spacing w:val="6"/>
        </w:rPr>
        <w:t> </w:t>
      </w:r>
      <w:r>
        <w:rPr>
          <w:color w:val="0A0A0A"/>
        </w:rPr>
        <w:t>that</w:t>
      </w:r>
      <w:r>
        <w:rPr>
          <w:color w:val="0A0A0A"/>
          <w:spacing w:val="-10"/>
        </w:rPr>
        <w:t> </w:t>
      </w:r>
      <w:r>
        <w:rPr>
          <w:color w:val="0A0A0A"/>
        </w:rPr>
        <w:t>have</w:t>
      </w:r>
      <w:r>
        <w:rPr>
          <w:color w:val="0A0A0A"/>
          <w:spacing w:val="-9"/>
        </w:rPr>
        <w:t> </w:t>
      </w:r>
      <w:r>
        <w:rPr>
          <w:color w:val="0A0A0A"/>
        </w:rPr>
        <w:t>been</w:t>
      </w:r>
      <w:r>
        <w:rPr>
          <w:color w:val="0A0A0A"/>
          <w:spacing w:val="-5"/>
        </w:rPr>
        <w:t> </w:t>
      </w:r>
      <w:r>
        <w:rPr>
          <w:color w:val="0A0A0A"/>
        </w:rPr>
        <w:t>issued</w:t>
      </w:r>
      <w:r>
        <w:rPr>
          <w:color w:val="0A0A0A"/>
          <w:spacing w:val="-9"/>
        </w:rPr>
        <w:t> </w:t>
      </w:r>
      <w:r>
        <w:rPr>
          <w:color w:val="0A0A0A"/>
        </w:rPr>
        <w:t>but</w:t>
      </w:r>
      <w:r>
        <w:rPr>
          <w:color w:val="0A0A0A"/>
          <w:spacing w:val="-10"/>
        </w:rPr>
        <w:t> </w:t>
      </w:r>
      <w:r>
        <w:rPr>
          <w:color w:val="0A0A0A"/>
        </w:rPr>
        <w:t>have</w:t>
      </w:r>
      <w:r>
        <w:rPr>
          <w:color w:val="0A0A0A"/>
          <w:spacing w:val="-5"/>
        </w:rPr>
        <w:t> </w:t>
      </w:r>
      <w:r>
        <w:rPr>
          <w:color w:val="0A0A0A"/>
        </w:rPr>
        <w:t>not</w:t>
      </w:r>
      <w:r>
        <w:rPr>
          <w:color w:val="0A0A0A"/>
          <w:spacing w:val="-10"/>
        </w:rPr>
        <w:t> </w:t>
      </w:r>
      <w:r>
        <w:rPr>
          <w:color w:val="0A0A0A"/>
        </w:rPr>
        <w:t>yet</w:t>
      </w:r>
      <w:r>
        <w:rPr>
          <w:color w:val="0A0A0A"/>
          <w:spacing w:val="-10"/>
        </w:rPr>
        <w:t> </w:t>
      </w:r>
      <w:r>
        <w:rPr>
          <w:color w:val="0A0A0A"/>
        </w:rPr>
        <w:t>been</w:t>
      </w:r>
      <w:r>
        <w:rPr>
          <w:color w:val="0A0A0A"/>
          <w:spacing w:val="-5"/>
        </w:rPr>
        <w:t> </w:t>
      </w:r>
      <w:r>
        <w:rPr>
          <w:color w:val="0A0A0A"/>
          <w:spacing w:val="-2"/>
        </w:rPr>
        <w:t>adopted</w:t>
      </w:r>
    </w:p>
    <w:p>
      <w:pPr>
        <w:pStyle w:val="BodyText"/>
        <w:spacing w:before="233"/>
        <w:ind w:left="1417" w:right="1350" w:hanging="1"/>
        <w:jc w:val="both"/>
      </w:pPr>
      <w:r>
        <w:rPr>
          <w:color w:val="1C1C1C"/>
        </w:rPr>
        <w:t>The</w:t>
      </w:r>
      <w:r>
        <w:rPr>
          <w:color w:val="1C1C1C"/>
          <w:spacing w:val="-16"/>
        </w:rPr>
        <w:t> </w:t>
      </w:r>
      <w:r>
        <w:rPr>
          <w:color w:val="1C1C1C"/>
        </w:rPr>
        <w:t>Code</w:t>
      </w:r>
      <w:r>
        <w:rPr>
          <w:color w:val="1C1C1C"/>
          <w:spacing w:val="-15"/>
        </w:rPr>
        <w:t> </w:t>
      </w:r>
      <w:r>
        <w:rPr>
          <w:color w:val="0A0A0A"/>
        </w:rPr>
        <w:t>of</w:t>
      </w:r>
      <w:r>
        <w:rPr>
          <w:color w:val="0A0A0A"/>
          <w:spacing w:val="-15"/>
        </w:rPr>
        <w:t> </w:t>
      </w:r>
      <w:r>
        <w:rPr>
          <w:color w:val="1C1C1C"/>
        </w:rPr>
        <w:t>Practice</w:t>
      </w:r>
      <w:r>
        <w:rPr>
          <w:color w:val="1C1C1C"/>
          <w:spacing w:val="-16"/>
        </w:rPr>
        <w:t> </w:t>
      </w:r>
      <w:r>
        <w:rPr>
          <w:color w:val="1C1C1C"/>
        </w:rPr>
        <w:t>on</w:t>
      </w:r>
      <w:r>
        <w:rPr>
          <w:color w:val="1C1C1C"/>
          <w:spacing w:val="-15"/>
        </w:rPr>
        <w:t> </w:t>
      </w:r>
      <w:r>
        <w:rPr>
          <w:color w:val="1C1C1C"/>
        </w:rPr>
        <w:t>Local</w:t>
      </w:r>
      <w:r>
        <w:rPr>
          <w:color w:val="1C1C1C"/>
          <w:spacing w:val="-15"/>
        </w:rPr>
        <w:t> </w:t>
      </w:r>
      <w:r>
        <w:rPr>
          <w:color w:val="1C1C1C"/>
        </w:rPr>
        <w:t>Authority</w:t>
      </w:r>
      <w:r>
        <w:rPr>
          <w:color w:val="1C1C1C"/>
          <w:spacing w:val="-15"/>
        </w:rPr>
        <w:t> </w:t>
      </w:r>
      <w:r>
        <w:rPr>
          <w:color w:val="1C1C1C"/>
        </w:rPr>
        <w:t>Accounting</w:t>
      </w:r>
      <w:r>
        <w:rPr>
          <w:color w:val="1C1C1C"/>
          <w:spacing w:val="-16"/>
        </w:rPr>
        <w:t> </w:t>
      </w:r>
      <w:r>
        <w:rPr>
          <w:color w:val="1C1C1C"/>
        </w:rPr>
        <w:t>in</w:t>
      </w:r>
      <w:r>
        <w:rPr>
          <w:color w:val="1C1C1C"/>
          <w:spacing w:val="-15"/>
        </w:rPr>
        <w:t> </w:t>
      </w:r>
      <w:r>
        <w:rPr>
          <w:color w:val="1C1C1C"/>
        </w:rPr>
        <w:t>the</w:t>
      </w:r>
      <w:r>
        <w:rPr>
          <w:color w:val="1C1C1C"/>
          <w:spacing w:val="-15"/>
        </w:rPr>
        <w:t> </w:t>
      </w:r>
      <w:r>
        <w:rPr>
          <w:color w:val="1C1C1C"/>
        </w:rPr>
        <w:t>United</w:t>
      </w:r>
      <w:r>
        <w:rPr>
          <w:color w:val="1C1C1C"/>
          <w:spacing w:val="-16"/>
        </w:rPr>
        <w:t> </w:t>
      </w:r>
      <w:r>
        <w:rPr>
          <w:color w:val="1C1C1C"/>
        </w:rPr>
        <w:t>Kingdom</w:t>
      </w:r>
      <w:r>
        <w:rPr>
          <w:color w:val="1C1C1C"/>
          <w:spacing w:val="-15"/>
        </w:rPr>
        <w:t> </w:t>
      </w:r>
      <w:r>
        <w:rPr>
          <w:color w:val="1C1C1C"/>
        </w:rPr>
        <w:t>2022/23</w:t>
      </w:r>
      <w:r>
        <w:rPr>
          <w:color w:val="1C1C1C"/>
          <w:spacing w:val="-15"/>
        </w:rPr>
        <w:t> </w:t>
      </w:r>
      <w:r>
        <w:rPr>
          <w:color w:val="0A0A0A"/>
        </w:rPr>
        <w:t>(the</w:t>
      </w:r>
      <w:r>
        <w:rPr>
          <w:color w:val="0A0A0A"/>
          <w:spacing w:val="-15"/>
        </w:rPr>
        <w:t> </w:t>
      </w:r>
      <w:r>
        <w:rPr>
          <w:color w:val="1C1C1C"/>
        </w:rPr>
        <w:t>Code) requires</w:t>
      </w:r>
      <w:r>
        <w:rPr>
          <w:color w:val="1C1C1C"/>
          <w:spacing w:val="-16"/>
        </w:rPr>
        <w:t> </w:t>
      </w:r>
      <w:r>
        <w:rPr>
          <w:color w:val="1C1C1C"/>
        </w:rPr>
        <w:t>the</w:t>
      </w:r>
      <w:r>
        <w:rPr>
          <w:color w:val="1C1C1C"/>
          <w:spacing w:val="-15"/>
        </w:rPr>
        <w:t> </w:t>
      </w:r>
      <w:r>
        <w:rPr>
          <w:color w:val="1C1C1C"/>
        </w:rPr>
        <w:t>disclosure</w:t>
      </w:r>
      <w:r>
        <w:rPr>
          <w:color w:val="1C1C1C"/>
          <w:spacing w:val="-8"/>
        </w:rPr>
        <w:t> </w:t>
      </w:r>
      <w:r>
        <w:rPr>
          <w:color w:val="0A0A0A"/>
        </w:rPr>
        <w:t>of</w:t>
      </w:r>
      <w:r>
        <w:rPr>
          <w:color w:val="0A0A0A"/>
          <w:spacing w:val="-14"/>
        </w:rPr>
        <w:t> </w:t>
      </w:r>
      <w:r>
        <w:rPr>
          <w:color w:val="1C1C1C"/>
        </w:rPr>
        <w:t>information</w:t>
      </w:r>
      <w:r>
        <w:rPr>
          <w:color w:val="1C1C1C"/>
          <w:spacing w:val="-9"/>
        </w:rPr>
        <w:t> </w:t>
      </w:r>
      <w:r>
        <w:rPr>
          <w:color w:val="2D2D2D"/>
        </w:rPr>
        <w:t>relating</w:t>
      </w:r>
      <w:r>
        <w:rPr>
          <w:color w:val="2D2D2D"/>
          <w:spacing w:val="-10"/>
        </w:rPr>
        <w:t> </w:t>
      </w:r>
      <w:r>
        <w:rPr>
          <w:color w:val="2D2D2D"/>
        </w:rPr>
        <w:t>to</w:t>
      </w:r>
      <w:r>
        <w:rPr>
          <w:color w:val="2D2D2D"/>
          <w:spacing w:val="-16"/>
        </w:rPr>
        <w:t> </w:t>
      </w:r>
      <w:r>
        <w:rPr>
          <w:color w:val="1C1C1C"/>
        </w:rPr>
        <w:t>the</w:t>
      </w:r>
      <w:r>
        <w:rPr>
          <w:color w:val="1C1C1C"/>
          <w:spacing w:val="-14"/>
        </w:rPr>
        <w:t> </w:t>
      </w:r>
      <w:r>
        <w:rPr>
          <w:color w:val="1C1C1C"/>
        </w:rPr>
        <w:t>expected</w:t>
      </w:r>
      <w:r>
        <w:rPr>
          <w:color w:val="1C1C1C"/>
          <w:spacing w:val="-13"/>
        </w:rPr>
        <w:t> </w:t>
      </w:r>
      <w:r>
        <w:rPr>
          <w:color w:val="2D2D2D"/>
        </w:rPr>
        <w:t>impact</w:t>
      </w:r>
      <w:r>
        <w:rPr>
          <w:color w:val="2D2D2D"/>
          <w:spacing w:val="-1"/>
        </w:rPr>
        <w:t> </w:t>
      </w:r>
      <w:r>
        <w:rPr>
          <w:color w:val="1C1C1C"/>
        </w:rPr>
        <w:t>of</w:t>
      </w:r>
      <w:r>
        <w:rPr>
          <w:color w:val="1C1C1C"/>
          <w:spacing w:val="-13"/>
        </w:rPr>
        <w:t> </w:t>
      </w:r>
      <w:r>
        <w:rPr>
          <w:color w:val="1C1C1C"/>
        </w:rPr>
        <w:t>an</w:t>
      </w:r>
      <w:r>
        <w:rPr>
          <w:color w:val="1C1C1C"/>
          <w:spacing w:val="-16"/>
        </w:rPr>
        <w:t> </w:t>
      </w:r>
      <w:r>
        <w:rPr>
          <w:color w:val="1C1C1C"/>
        </w:rPr>
        <w:t>accounting change </w:t>
      </w:r>
      <w:r>
        <w:rPr>
          <w:color w:val="2D2D2D"/>
        </w:rPr>
        <w:t>that </w:t>
      </w:r>
      <w:r>
        <w:rPr>
          <w:color w:val="1C1C1C"/>
        </w:rPr>
        <w:t>will</w:t>
      </w:r>
      <w:r>
        <w:rPr>
          <w:color w:val="1C1C1C"/>
          <w:spacing w:val="-7"/>
        </w:rPr>
        <w:t> </w:t>
      </w:r>
      <w:r>
        <w:rPr>
          <w:color w:val="1C1C1C"/>
        </w:rPr>
        <w:t>be</w:t>
      </w:r>
      <w:r>
        <w:rPr>
          <w:color w:val="1C1C1C"/>
          <w:spacing w:val="-3"/>
        </w:rPr>
        <w:t> </w:t>
      </w:r>
      <w:r>
        <w:rPr>
          <w:color w:val="1C1C1C"/>
        </w:rPr>
        <w:t>required</w:t>
      </w:r>
      <w:r>
        <w:rPr>
          <w:color w:val="1C1C1C"/>
          <w:spacing w:val="-7"/>
        </w:rPr>
        <w:t> </w:t>
      </w:r>
      <w:r>
        <w:rPr>
          <w:color w:val="1C1C1C"/>
        </w:rPr>
        <w:t>by</w:t>
      </w:r>
      <w:r>
        <w:rPr>
          <w:color w:val="1C1C1C"/>
          <w:spacing w:val="-7"/>
        </w:rPr>
        <w:t> </w:t>
      </w:r>
      <w:r>
        <w:rPr>
          <w:color w:val="0A0A0A"/>
        </w:rPr>
        <w:t>a</w:t>
      </w:r>
      <w:r>
        <w:rPr>
          <w:color w:val="0A0A0A"/>
          <w:spacing w:val="-5"/>
        </w:rPr>
        <w:t> </w:t>
      </w:r>
      <w:r>
        <w:rPr>
          <w:color w:val="1C1C1C"/>
        </w:rPr>
        <w:t>new accounting standard</w:t>
      </w:r>
      <w:r>
        <w:rPr>
          <w:color w:val="1C1C1C"/>
          <w:spacing w:val="-2"/>
        </w:rPr>
        <w:t> </w:t>
      </w:r>
      <w:r>
        <w:rPr>
          <w:color w:val="1C1C1C"/>
        </w:rPr>
        <w:t>that</w:t>
      </w:r>
      <w:r>
        <w:rPr>
          <w:color w:val="1C1C1C"/>
          <w:spacing w:val="-1"/>
        </w:rPr>
        <w:t> </w:t>
      </w:r>
      <w:r>
        <w:rPr>
          <w:color w:val="1C1C1C"/>
        </w:rPr>
        <w:t>has</w:t>
      </w:r>
      <w:r>
        <w:rPr>
          <w:color w:val="1C1C1C"/>
          <w:spacing w:val="-3"/>
        </w:rPr>
        <w:t> </w:t>
      </w:r>
      <w:r>
        <w:rPr>
          <w:color w:val="1C1C1C"/>
        </w:rPr>
        <w:t>been</w:t>
      </w:r>
      <w:r>
        <w:rPr>
          <w:color w:val="1C1C1C"/>
          <w:spacing w:val="-7"/>
        </w:rPr>
        <w:t> </w:t>
      </w:r>
      <w:r>
        <w:rPr>
          <w:color w:val="2D2D2D"/>
        </w:rPr>
        <w:t>issued </w:t>
      </w:r>
      <w:r>
        <w:rPr>
          <w:color w:val="1C1C1C"/>
        </w:rPr>
        <w:t>but not yet </w:t>
      </w:r>
      <w:r>
        <w:rPr>
          <w:color w:val="0A0A0A"/>
        </w:rPr>
        <w:t>adopted.</w:t>
      </w:r>
    </w:p>
    <w:p>
      <w:pPr>
        <w:pStyle w:val="BodyText"/>
        <w:spacing w:before="6"/>
      </w:pPr>
    </w:p>
    <w:p>
      <w:pPr>
        <w:pStyle w:val="BodyText"/>
        <w:spacing w:before="1"/>
        <w:ind w:left="1417"/>
        <w:jc w:val="both"/>
      </w:pPr>
      <w:r>
        <w:rPr>
          <w:color w:val="0A0A0A"/>
        </w:rPr>
        <w:t>Accounting</w:t>
      </w:r>
      <w:r>
        <w:rPr>
          <w:color w:val="0A0A0A"/>
          <w:spacing w:val="3"/>
        </w:rPr>
        <w:t> </w:t>
      </w:r>
      <w:r>
        <w:rPr>
          <w:color w:val="0A0A0A"/>
        </w:rPr>
        <w:t>Standards</w:t>
      </w:r>
      <w:r>
        <w:rPr>
          <w:color w:val="0A0A0A"/>
          <w:spacing w:val="-3"/>
        </w:rPr>
        <w:t> </w:t>
      </w:r>
      <w:r>
        <w:rPr>
          <w:color w:val="0A0A0A"/>
        </w:rPr>
        <w:t>that</w:t>
      </w:r>
      <w:r>
        <w:rPr>
          <w:color w:val="0A0A0A"/>
          <w:spacing w:val="-7"/>
        </w:rPr>
        <w:t> </w:t>
      </w:r>
      <w:r>
        <w:rPr>
          <w:color w:val="0A0A0A"/>
        </w:rPr>
        <w:t>have</w:t>
      </w:r>
      <w:r>
        <w:rPr>
          <w:color w:val="0A0A0A"/>
          <w:spacing w:val="-9"/>
        </w:rPr>
        <w:t> </w:t>
      </w:r>
      <w:r>
        <w:rPr>
          <w:color w:val="0A0A0A"/>
        </w:rPr>
        <w:t>been</w:t>
      </w:r>
      <w:r>
        <w:rPr>
          <w:color w:val="0A0A0A"/>
          <w:spacing w:val="-13"/>
        </w:rPr>
        <w:t> </w:t>
      </w:r>
      <w:r>
        <w:rPr>
          <w:color w:val="0A0A0A"/>
        </w:rPr>
        <w:t>issued</w:t>
      </w:r>
      <w:r>
        <w:rPr>
          <w:color w:val="0A0A0A"/>
          <w:spacing w:val="-10"/>
        </w:rPr>
        <w:t> </w:t>
      </w:r>
      <w:r>
        <w:rPr>
          <w:color w:val="0A0A0A"/>
        </w:rPr>
        <w:t>but</w:t>
      </w:r>
      <w:r>
        <w:rPr>
          <w:color w:val="0A0A0A"/>
          <w:spacing w:val="-9"/>
        </w:rPr>
        <w:t> </w:t>
      </w:r>
      <w:r>
        <w:rPr>
          <w:color w:val="0A0A0A"/>
        </w:rPr>
        <w:t>not</w:t>
      </w:r>
      <w:r>
        <w:rPr>
          <w:color w:val="0A0A0A"/>
          <w:spacing w:val="-3"/>
        </w:rPr>
        <w:t> </w:t>
      </w:r>
      <w:r>
        <w:rPr>
          <w:color w:val="0A0A0A"/>
        </w:rPr>
        <w:t>yet</w:t>
      </w:r>
      <w:r>
        <w:rPr>
          <w:color w:val="0A0A0A"/>
          <w:spacing w:val="-7"/>
        </w:rPr>
        <w:t> </w:t>
      </w:r>
      <w:r>
        <w:rPr>
          <w:color w:val="0A0A0A"/>
        </w:rPr>
        <w:t>adopted, </w:t>
      </w:r>
      <w:r>
        <w:rPr>
          <w:color w:val="0A0A0A"/>
          <w:spacing w:val="-2"/>
        </w:rPr>
        <w:t>include:</w:t>
      </w:r>
    </w:p>
    <w:p>
      <w:pPr>
        <w:pStyle w:val="BodyText"/>
        <w:spacing w:before="12"/>
      </w:pPr>
    </w:p>
    <w:p>
      <w:pPr>
        <w:pStyle w:val="ListParagraph"/>
        <w:numPr>
          <w:ilvl w:val="2"/>
          <w:numId w:val="11"/>
        </w:numPr>
        <w:tabs>
          <w:tab w:val="left" w:leader="none" w:pos="2128"/>
          <w:tab w:val="left" w:leader="none" w:pos="2134"/>
        </w:tabs>
        <w:spacing w:before="1" w:after="0" w:line="240" w:lineRule="auto"/>
        <w:ind w:left="2128" w:right="1360" w:hanging="353"/>
        <w:jc w:val="left"/>
        <w:rPr>
          <w:color w:val="0A0A0A"/>
          <w:sz w:val="22"/>
        </w:rPr>
      </w:pPr>
      <w:r>
        <w:rPr>
          <w:color w:val="0A0A0A"/>
          <w:sz w:val="22"/>
        </w:rPr>
        <w:tab/>
        <w:t>Annual</w:t>
      </w:r>
      <w:r>
        <w:rPr>
          <w:color w:val="0A0A0A"/>
          <w:spacing w:val="-2"/>
          <w:sz w:val="22"/>
        </w:rPr>
        <w:t> </w:t>
      </w:r>
      <w:r>
        <w:rPr>
          <w:color w:val="0A0A0A"/>
          <w:sz w:val="22"/>
        </w:rPr>
        <w:t>Improvements to</w:t>
      </w:r>
      <w:r>
        <w:rPr>
          <w:color w:val="0A0A0A"/>
          <w:spacing w:val="-10"/>
          <w:sz w:val="22"/>
        </w:rPr>
        <w:t> </w:t>
      </w:r>
      <w:r>
        <w:rPr>
          <w:color w:val="0A0A0A"/>
          <w:sz w:val="22"/>
        </w:rPr>
        <w:t>IFRS Standards 2018-2020. The</w:t>
      </w:r>
      <w:r>
        <w:rPr>
          <w:color w:val="0A0A0A"/>
          <w:spacing w:val="-6"/>
          <w:sz w:val="22"/>
        </w:rPr>
        <w:t> </w:t>
      </w:r>
      <w:r>
        <w:rPr>
          <w:color w:val="0A0A0A"/>
          <w:sz w:val="22"/>
        </w:rPr>
        <w:t>annual</w:t>
      </w:r>
      <w:r>
        <w:rPr>
          <w:color w:val="0A0A0A"/>
          <w:spacing w:val="-5"/>
          <w:sz w:val="22"/>
        </w:rPr>
        <w:t> </w:t>
      </w:r>
      <w:r>
        <w:rPr>
          <w:color w:val="0A0A0A"/>
          <w:sz w:val="22"/>
        </w:rPr>
        <w:t>IFRS improvement programme notes 4 changed standards:</w:t>
      </w:r>
    </w:p>
    <w:p>
      <w:pPr>
        <w:pStyle w:val="ListParagraph"/>
        <w:numPr>
          <w:ilvl w:val="3"/>
          <w:numId w:val="11"/>
        </w:numPr>
        <w:tabs>
          <w:tab w:val="left" w:leader="none" w:pos="2848"/>
          <w:tab w:val="left" w:leader="none" w:pos="2856"/>
        </w:tabs>
        <w:spacing w:before="17" w:after="0" w:line="240" w:lineRule="auto"/>
        <w:ind w:left="2856" w:right="1342" w:hanging="365"/>
        <w:jc w:val="left"/>
        <w:rPr>
          <w:color w:val="1C1C1C"/>
          <w:sz w:val="22"/>
        </w:rPr>
      </w:pPr>
      <w:r>
        <w:rPr>
          <w:color w:val="0A0A0A"/>
          <w:sz w:val="22"/>
        </w:rPr>
        <w:t>IFRS</w:t>
      </w:r>
      <w:r>
        <w:rPr>
          <w:color w:val="0A0A0A"/>
          <w:spacing w:val="40"/>
          <w:sz w:val="22"/>
        </w:rPr>
        <w:t> </w:t>
      </w:r>
      <w:r>
        <w:rPr>
          <w:color w:val="0A0A0A"/>
          <w:sz w:val="22"/>
        </w:rPr>
        <w:t>1</w:t>
      </w:r>
      <w:r>
        <w:rPr>
          <w:color w:val="0A0A0A"/>
          <w:spacing w:val="28"/>
          <w:sz w:val="22"/>
        </w:rPr>
        <w:t> </w:t>
      </w:r>
      <w:r>
        <w:rPr>
          <w:color w:val="0A0A0A"/>
          <w:sz w:val="22"/>
        </w:rPr>
        <w:t>(First-time</w:t>
      </w:r>
      <w:r>
        <w:rPr>
          <w:color w:val="0A0A0A"/>
          <w:spacing w:val="40"/>
          <w:sz w:val="22"/>
        </w:rPr>
        <w:t> </w:t>
      </w:r>
      <w:r>
        <w:rPr>
          <w:color w:val="0A0A0A"/>
          <w:sz w:val="22"/>
        </w:rPr>
        <w:t>adoption)</w:t>
      </w:r>
      <w:r>
        <w:rPr>
          <w:color w:val="0A0A0A"/>
          <w:spacing w:val="40"/>
          <w:sz w:val="22"/>
        </w:rPr>
        <w:t> </w:t>
      </w:r>
      <w:r>
        <w:rPr>
          <w:color w:val="0A0A0A"/>
          <w:sz w:val="22"/>
        </w:rPr>
        <w:t>-</w:t>
      </w:r>
      <w:r>
        <w:rPr>
          <w:color w:val="0A0A0A"/>
          <w:spacing w:val="80"/>
          <w:sz w:val="22"/>
        </w:rPr>
        <w:t> </w:t>
      </w:r>
      <w:r>
        <w:rPr>
          <w:color w:val="0A0A0A"/>
          <w:sz w:val="22"/>
        </w:rPr>
        <w:t>amendment</w:t>
      </w:r>
      <w:r>
        <w:rPr>
          <w:color w:val="0A0A0A"/>
          <w:spacing w:val="40"/>
          <w:sz w:val="22"/>
        </w:rPr>
        <w:t> </w:t>
      </w:r>
      <w:r>
        <w:rPr>
          <w:color w:val="0A0A0A"/>
          <w:sz w:val="22"/>
        </w:rPr>
        <w:t>relates</w:t>
      </w:r>
      <w:r>
        <w:rPr>
          <w:color w:val="0A0A0A"/>
          <w:spacing w:val="40"/>
          <w:sz w:val="22"/>
        </w:rPr>
        <w:t> </w:t>
      </w:r>
      <w:r>
        <w:rPr>
          <w:color w:val="0A0A0A"/>
          <w:sz w:val="22"/>
        </w:rPr>
        <w:t>to</w:t>
      </w:r>
      <w:r>
        <w:rPr>
          <w:color w:val="0A0A0A"/>
          <w:spacing w:val="30"/>
          <w:sz w:val="22"/>
        </w:rPr>
        <w:t> </w:t>
      </w:r>
      <w:r>
        <w:rPr>
          <w:color w:val="0A0A0A"/>
          <w:sz w:val="22"/>
        </w:rPr>
        <w:t>foreign</w:t>
      </w:r>
      <w:r>
        <w:rPr>
          <w:color w:val="0A0A0A"/>
          <w:spacing w:val="37"/>
          <w:sz w:val="22"/>
        </w:rPr>
        <w:t> </w:t>
      </w:r>
      <w:r>
        <w:rPr>
          <w:color w:val="0A0A0A"/>
          <w:sz w:val="22"/>
        </w:rPr>
        <w:t>operations</w:t>
      </w:r>
      <w:r>
        <w:rPr>
          <w:color w:val="0A0A0A"/>
          <w:spacing w:val="40"/>
          <w:sz w:val="22"/>
        </w:rPr>
        <w:t> </w:t>
      </w:r>
      <w:r>
        <w:rPr>
          <w:color w:val="0A0A0A"/>
          <w:sz w:val="22"/>
        </w:rPr>
        <w:t>of acquired subsidiaries transitioning to IFRS</w:t>
      </w:r>
    </w:p>
    <w:p>
      <w:pPr>
        <w:pStyle w:val="ListParagraph"/>
        <w:numPr>
          <w:ilvl w:val="3"/>
          <w:numId w:val="11"/>
        </w:numPr>
        <w:tabs>
          <w:tab w:val="left" w:leader="none" w:pos="2848"/>
        </w:tabs>
        <w:spacing w:before="18" w:after="0" w:line="240" w:lineRule="auto"/>
        <w:ind w:left="2848" w:right="0" w:hanging="356"/>
        <w:jc w:val="left"/>
        <w:rPr>
          <w:color w:val="1C1C1C"/>
          <w:sz w:val="22"/>
        </w:rPr>
      </w:pPr>
      <w:r>
        <w:rPr>
          <w:color w:val="0A0A0A"/>
          <w:sz w:val="22"/>
        </w:rPr>
        <w:t>IAS</w:t>
      </w:r>
      <w:r>
        <w:rPr>
          <w:color w:val="0A0A0A"/>
          <w:spacing w:val="-8"/>
          <w:sz w:val="22"/>
        </w:rPr>
        <w:t> </w:t>
      </w:r>
      <w:r>
        <w:rPr>
          <w:color w:val="0A0A0A"/>
          <w:sz w:val="22"/>
        </w:rPr>
        <w:t>37</w:t>
      </w:r>
      <w:r>
        <w:rPr>
          <w:color w:val="0A0A0A"/>
          <w:spacing w:val="-7"/>
          <w:sz w:val="22"/>
        </w:rPr>
        <w:t> </w:t>
      </w:r>
      <w:r>
        <w:rPr>
          <w:color w:val="0A0A0A"/>
          <w:sz w:val="22"/>
        </w:rPr>
        <w:t>(Onerous</w:t>
      </w:r>
      <w:r>
        <w:rPr>
          <w:color w:val="0A0A0A"/>
          <w:spacing w:val="5"/>
          <w:sz w:val="22"/>
        </w:rPr>
        <w:t> </w:t>
      </w:r>
      <w:r>
        <w:rPr>
          <w:color w:val="0A0A0A"/>
          <w:sz w:val="22"/>
        </w:rPr>
        <w:t>contracts)</w:t>
      </w:r>
      <w:r>
        <w:rPr>
          <w:color w:val="0A0A0A"/>
          <w:spacing w:val="3"/>
          <w:sz w:val="22"/>
        </w:rPr>
        <w:t> </w:t>
      </w:r>
      <w:r>
        <w:rPr>
          <w:color w:val="0A0A0A"/>
          <w:sz w:val="22"/>
        </w:rPr>
        <w:t>-</w:t>
      </w:r>
      <w:r>
        <w:rPr>
          <w:color w:val="0A0A0A"/>
          <w:spacing w:val="53"/>
          <w:sz w:val="22"/>
        </w:rPr>
        <w:t> </w:t>
      </w:r>
      <w:r>
        <w:rPr>
          <w:color w:val="0A0A0A"/>
          <w:sz w:val="22"/>
        </w:rPr>
        <w:t>clarifies</w:t>
      </w:r>
      <w:r>
        <w:rPr>
          <w:color w:val="0A0A0A"/>
          <w:spacing w:val="-7"/>
          <w:sz w:val="22"/>
        </w:rPr>
        <w:t> </w:t>
      </w:r>
      <w:r>
        <w:rPr>
          <w:color w:val="0A0A0A"/>
          <w:sz w:val="22"/>
        </w:rPr>
        <w:t>the</w:t>
      </w:r>
      <w:r>
        <w:rPr>
          <w:color w:val="0A0A0A"/>
          <w:spacing w:val="-7"/>
          <w:sz w:val="22"/>
        </w:rPr>
        <w:t> </w:t>
      </w:r>
      <w:r>
        <w:rPr>
          <w:color w:val="0A0A0A"/>
          <w:sz w:val="22"/>
        </w:rPr>
        <w:t>intention</w:t>
      </w:r>
      <w:r>
        <w:rPr>
          <w:color w:val="0A0A0A"/>
          <w:spacing w:val="6"/>
          <w:sz w:val="22"/>
        </w:rPr>
        <w:t> </w:t>
      </w:r>
      <w:r>
        <w:rPr>
          <w:color w:val="0A0A0A"/>
          <w:sz w:val="22"/>
        </w:rPr>
        <w:t>of</w:t>
      </w:r>
      <w:r>
        <w:rPr>
          <w:color w:val="0A0A0A"/>
          <w:spacing w:val="-6"/>
          <w:sz w:val="22"/>
        </w:rPr>
        <w:t> </w:t>
      </w:r>
      <w:r>
        <w:rPr>
          <w:color w:val="0A0A0A"/>
          <w:sz w:val="22"/>
        </w:rPr>
        <w:t>the</w:t>
      </w:r>
      <w:r>
        <w:rPr>
          <w:color w:val="0A0A0A"/>
          <w:spacing w:val="-5"/>
          <w:sz w:val="22"/>
        </w:rPr>
        <w:t> </w:t>
      </w:r>
      <w:r>
        <w:rPr>
          <w:color w:val="0A0A0A"/>
          <w:spacing w:val="-2"/>
          <w:sz w:val="22"/>
        </w:rPr>
        <w:t>standard</w:t>
      </w:r>
    </w:p>
    <w:p>
      <w:pPr>
        <w:pStyle w:val="ListParagraph"/>
        <w:numPr>
          <w:ilvl w:val="3"/>
          <w:numId w:val="11"/>
        </w:numPr>
        <w:tabs>
          <w:tab w:val="left" w:leader="none" w:pos="2853"/>
          <w:tab w:val="left" w:leader="none" w:pos="2855"/>
        </w:tabs>
        <w:spacing w:before="16" w:after="0" w:line="240" w:lineRule="auto"/>
        <w:ind w:left="2855" w:right="1339" w:hanging="358"/>
        <w:jc w:val="left"/>
        <w:rPr>
          <w:color w:val="1C1C1C"/>
          <w:sz w:val="22"/>
        </w:rPr>
      </w:pPr>
      <w:r>
        <w:rPr>
          <w:color w:val="0A0A0A"/>
          <w:sz w:val="22"/>
        </w:rPr>
        <w:t>IFRS</w:t>
      </w:r>
      <w:r>
        <w:rPr>
          <w:color w:val="0A0A0A"/>
          <w:spacing w:val="25"/>
          <w:sz w:val="22"/>
        </w:rPr>
        <w:t> </w:t>
      </w:r>
      <w:r>
        <w:rPr>
          <w:color w:val="0A0A0A"/>
          <w:sz w:val="22"/>
        </w:rPr>
        <w:t>16 (Leases)</w:t>
      </w:r>
      <w:r>
        <w:rPr>
          <w:color w:val="0A0A0A"/>
          <w:spacing w:val="27"/>
          <w:sz w:val="22"/>
        </w:rPr>
        <w:t> </w:t>
      </w:r>
      <w:r>
        <w:rPr>
          <w:color w:val="0A0A0A"/>
          <w:sz w:val="22"/>
        </w:rPr>
        <w:t>-</w:t>
      </w:r>
      <w:r>
        <w:rPr>
          <w:color w:val="0A0A0A"/>
          <w:spacing w:val="40"/>
          <w:sz w:val="22"/>
        </w:rPr>
        <w:t> </w:t>
      </w:r>
      <w:r>
        <w:rPr>
          <w:color w:val="0A0A0A"/>
          <w:sz w:val="22"/>
        </w:rPr>
        <w:t>amendment</w:t>
      </w:r>
      <w:r>
        <w:rPr>
          <w:color w:val="0A0A0A"/>
          <w:spacing w:val="40"/>
          <w:sz w:val="22"/>
        </w:rPr>
        <w:t> </w:t>
      </w:r>
      <w:r>
        <w:rPr>
          <w:color w:val="0A0A0A"/>
          <w:sz w:val="22"/>
        </w:rPr>
        <w:t>removes</w:t>
      </w:r>
      <w:r>
        <w:rPr>
          <w:color w:val="0A0A0A"/>
          <w:spacing w:val="40"/>
          <w:sz w:val="22"/>
        </w:rPr>
        <w:t> </w:t>
      </w:r>
      <w:r>
        <w:rPr>
          <w:color w:val="0A0A0A"/>
          <w:sz w:val="22"/>
        </w:rPr>
        <w:t>a misleading</w:t>
      </w:r>
      <w:r>
        <w:rPr>
          <w:color w:val="0A0A0A"/>
          <w:spacing w:val="40"/>
          <w:sz w:val="22"/>
        </w:rPr>
        <w:t> </w:t>
      </w:r>
      <w:r>
        <w:rPr>
          <w:color w:val="0A0A0A"/>
          <w:sz w:val="22"/>
        </w:rPr>
        <w:t>example</w:t>
      </w:r>
      <w:r>
        <w:rPr>
          <w:color w:val="0A0A0A"/>
          <w:spacing w:val="32"/>
          <w:sz w:val="22"/>
        </w:rPr>
        <w:t> </w:t>
      </w:r>
      <w:r>
        <w:rPr>
          <w:color w:val="0A0A0A"/>
          <w:sz w:val="22"/>
        </w:rPr>
        <w:t>that</w:t>
      </w:r>
      <w:r>
        <w:rPr>
          <w:color w:val="0A0A0A"/>
          <w:spacing w:val="25"/>
          <w:sz w:val="22"/>
        </w:rPr>
        <w:t> </w:t>
      </w:r>
      <w:r>
        <w:rPr>
          <w:color w:val="0A0A0A"/>
          <w:sz w:val="22"/>
        </w:rPr>
        <w:t>is not referenced in the Code material</w:t>
      </w:r>
    </w:p>
    <w:p>
      <w:pPr>
        <w:pStyle w:val="ListParagraph"/>
        <w:numPr>
          <w:ilvl w:val="3"/>
          <w:numId w:val="11"/>
        </w:numPr>
        <w:tabs>
          <w:tab w:val="left" w:leader="none" w:pos="2848"/>
          <w:tab w:val="left" w:leader="none" w:pos="2851"/>
        </w:tabs>
        <w:spacing w:before="20" w:after="0" w:line="237" w:lineRule="auto"/>
        <w:ind w:left="2851" w:right="1334" w:hanging="364"/>
        <w:jc w:val="left"/>
        <w:rPr>
          <w:color w:val="0A0A0A"/>
          <w:sz w:val="22"/>
        </w:rPr>
      </w:pPr>
      <w:r>
        <w:rPr>
          <w:color w:val="0A0A0A"/>
          <w:sz w:val="22"/>
        </w:rPr>
        <w:t>IAS 41</w:t>
      </w:r>
      <w:r>
        <w:rPr>
          <w:color w:val="0A0A0A"/>
          <w:spacing w:val="-6"/>
          <w:sz w:val="22"/>
        </w:rPr>
        <w:t> </w:t>
      </w:r>
      <w:r>
        <w:rPr>
          <w:color w:val="0A0A0A"/>
          <w:sz w:val="22"/>
        </w:rPr>
        <w:t>(Agriculture) -</w:t>
      </w:r>
      <w:r>
        <w:rPr>
          <w:color w:val="0A0A0A"/>
          <w:spacing w:val="40"/>
          <w:sz w:val="22"/>
        </w:rPr>
        <w:t> </w:t>
      </w:r>
      <w:r>
        <w:rPr>
          <w:color w:val="0A0A0A"/>
          <w:sz w:val="22"/>
        </w:rPr>
        <w:t>one of a small number of</w:t>
      </w:r>
      <w:r>
        <w:rPr>
          <w:color w:val="0A0A0A"/>
          <w:spacing w:val="-2"/>
          <w:sz w:val="22"/>
        </w:rPr>
        <w:t> </w:t>
      </w:r>
      <w:r>
        <w:rPr>
          <w:color w:val="0A0A0A"/>
          <w:sz w:val="22"/>
        </w:rPr>
        <w:t>IFRSs that are</w:t>
      </w:r>
      <w:r>
        <w:rPr>
          <w:color w:val="0A0A0A"/>
          <w:spacing w:val="-3"/>
          <w:sz w:val="22"/>
        </w:rPr>
        <w:t> </w:t>
      </w:r>
      <w:r>
        <w:rPr>
          <w:color w:val="0A0A0A"/>
          <w:sz w:val="22"/>
        </w:rPr>
        <w:t>only expected to apply to local authorities in limited circumstances.</w:t>
      </w:r>
    </w:p>
    <w:p>
      <w:pPr>
        <w:pStyle w:val="BodyText"/>
        <w:spacing w:before="3"/>
      </w:pPr>
    </w:p>
    <w:p>
      <w:pPr>
        <w:pStyle w:val="BodyText"/>
        <w:spacing w:before="1"/>
        <w:ind w:left="2131" w:right="1326"/>
        <w:jc w:val="both"/>
      </w:pPr>
      <w:r>
        <w:rPr>
          <w:color w:val="0A0A0A"/>
        </w:rPr>
        <w:t>None</w:t>
      </w:r>
      <w:r>
        <w:rPr>
          <w:color w:val="0A0A0A"/>
          <w:spacing w:val="-4"/>
        </w:rPr>
        <w:t> </w:t>
      </w:r>
      <w:r>
        <w:rPr>
          <w:color w:val="0A0A0A"/>
        </w:rPr>
        <w:t>of</w:t>
      </w:r>
      <w:r>
        <w:rPr>
          <w:color w:val="0A0A0A"/>
          <w:spacing w:val="-6"/>
        </w:rPr>
        <w:t> </w:t>
      </w:r>
      <w:r>
        <w:rPr>
          <w:color w:val="0A0A0A"/>
        </w:rPr>
        <w:t>the</w:t>
      </w:r>
      <w:r>
        <w:rPr>
          <w:color w:val="0A0A0A"/>
          <w:spacing w:val="-6"/>
        </w:rPr>
        <w:t> </w:t>
      </w:r>
      <w:r>
        <w:rPr>
          <w:color w:val="0A0A0A"/>
        </w:rPr>
        <w:t>matters covered in</w:t>
      </w:r>
      <w:r>
        <w:rPr>
          <w:color w:val="0A0A0A"/>
          <w:spacing w:val="-16"/>
        </w:rPr>
        <w:t> </w:t>
      </w:r>
      <w:r>
        <w:rPr>
          <w:color w:val="0A0A0A"/>
        </w:rPr>
        <w:t>the annual</w:t>
      </w:r>
      <w:r>
        <w:rPr>
          <w:color w:val="0A0A0A"/>
          <w:spacing w:val="-3"/>
        </w:rPr>
        <w:t> </w:t>
      </w:r>
      <w:r>
        <w:rPr>
          <w:color w:val="1C1C1C"/>
        </w:rPr>
        <w:t>improvements</w:t>
      </w:r>
      <w:r>
        <w:rPr>
          <w:color w:val="1C1C1C"/>
          <w:spacing w:val="24"/>
        </w:rPr>
        <w:t> </w:t>
      </w:r>
      <w:r>
        <w:rPr>
          <w:color w:val="0A0A0A"/>
        </w:rPr>
        <w:t>are dealt</w:t>
      </w:r>
      <w:r>
        <w:rPr>
          <w:color w:val="0A0A0A"/>
          <w:spacing w:val="-2"/>
        </w:rPr>
        <w:t> </w:t>
      </w:r>
      <w:r>
        <w:rPr>
          <w:color w:val="0A0A0A"/>
        </w:rPr>
        <w:t>with</w:t>
      </w:r>
      <w:r>
        <w:rPr>
          <w:color w:val="0A0A0A"/>
          <w:spacing w:val="-13"/>
        </w:rPr>
        <w:t> </w:t>
      </w:r>
      <w:r>
        <w:rPr>
          <w:color w:val="0A0A0A"/>
        </w:rPr>
        <w:t>in</w:t>
      </w:r>
      <w:r>
        <w:rPr>
          <w:color w:val="0A0A0A"/>
          <w:spacing w:val="-6"/>
        </w:rPr>
        <w:t> </w:t>
      </w:r>
      <w:r>
        <w:rPr>
          <w:color w:val="0A0A0A"/>
        </w:rPr>
        <w:t>detail</w:t>
      </w:r>
      <w:r>
        <w:rPr>
          <w:color w:val="0A0A0A"/>
          <w:spacing w:val="-3"/>
        </w:rPr>
        <w:t> </w:t>
      </w:r>
      <w:r>
        <w:rPr>
          <w:color w:val="0A0A0A"/>
        </w:rPr>
        <w:t>in</w:t>
      </w:r>
      <w:r>
        <w:rPr>
          <w:color w:val="0A0A0A"/>
          <w:spacing w:val="-16"/>
        </w:rPr>
        <w:t> </w:t>
      </w:r>
      <w:r>
        <w:rPr>
          <w:color w:val="0A0A0A"/>
        </w:rPr>
        <w:t>the 2022/23 Code. During the</w:t>
      </w:r>
      <w:r>
        <w:rPr>
          <w:color w:val="0A0A0A"/>
          <w:spacing w:val="-4"/>
        </w:rPr>
        <w:t> </w:t>
      </w:r>
      <w:r>
        <w:rPr>
          <w:color w:val="0A0A0A"/>
        </w:rPr>
        <w:t>consultation process on</w:t>
      </w:r>
      <w:r>
        <w:rPr>
          <w:color w:val="0A0A0A"/>
          <w:spacing w:val="-11"/>
        </w:rPr>
        <w:t> </w:t>
      </w:r>
      <w:r>
        <w:rPr>
          <w:color w:val="0A0A0A"/>
        </w:rPr>
        <w:t>the</w:t>
      </w:r>
      <w:r>
        <w:rPr>
          <w:color w:val="0A0A0A"/>
          <w:spacing w:val="-4"/>
        </w:rPr>
        <w:t> </w:t>
      </w:r>
      <w:r>
        <w:rPr>
          <w:color w:val="0A0A0A"/>
        </w:rPr>
        <w:t>2022/23 Code</w:t>
      </w:r>
      <w:r>
        <w:rPr>
          <w:color w:val="0A0A0A"/>
          <w:spacing w:val="-3"/>
        </w:rPr>
        <w:t> </w:t>
      </w:r>
      <w:r>
        <w:rPr>
          <w:color w:val="0A0A0A"/>
        </w:rPr>
        <w:t>CIPFNLASAAC did</w:t>
      </w:r>
      <w:r>
        <w:rPr>
          <w:color w:val="0A0A0A"/>
          <w:spacing w:val="-26"/>
        </w:rPr>
        <w:t> </w:t>
      </w:r>
      <w:r>
        <w:rPr>
          <w:color w:val="0A0A0A"/>
        </w:rPr>
        <w:t>not</w:t>
      </w:r>
      <w:r>
        <w:rPr>
          <w:color w:val="0A0A0A"/>
          <w:spacing w:val="-19"/>
        </w:rPr>
        <w:t> </w:t>
      </w:r>
      <w:r>
        <w:rPr>
          <w:color w:val="0A0A0A"/>
        </w:rPr>
        <w:t>envisage</w:t>
      </w:r>
      <w:r>
        <w:rPr>
          <w:color w:val="0A0A0A"/>
          <w:spacing w:val="-16"/>
        </w:rPr>
        <w:t> </w:t>
      </w:r>
      <w:r>
        <w:rPr>
          <w:color w:val="0A0A0A"/>
        </w:rPr>
        <w:t>them</w:t>
      </w:r>
      <w:r>
        <w:rPr>
          <w:color w:val="0A0A0A"/>
          <w:spacing w:val="-15"/>
        </w:rPr>
        <w:t> </w:t>
      </w:r>
      <w:r>
        <w:rPr>
          <w:color w:val="0A0A0A"/>
        </w:rPr>
        <w:t>having</w:t>
      </w:r>
      <w:r>
        <w:rPr>
          <w:color w:val="0A0A0A"/>
          <w:spacing w:val="-15"/>
        </w:rPr>
        <w:t> </w:t>
      </w:r>
      <w:r>
        <w:rPr>
          <w:color w:val="0A0A0A"/>
        </w:rPr>
        <w:t>a</w:t>
      </w:r>
      <w:r>
        <w:rPr>
          <w:color w:val="0A0A0A"/>
          <w:spacing w:val="-16"/>
        </w:rPr>
        <w:t> </w:t>
      </w:r>
      <w:r>
        <w:rPr>
          <w:color w:val="0A0A0A"/>
        </w:rPr>
        <w:t>significant</w:t>
      </w:r>
      <w:r>
        <w:rPr>
          <w:color w:val="0A0A0A"/>
          <w:spacing w:val="-12"/>
        </w:rPr>
        <w:t> </w:t>
      </w:r>
      <w:r>
        <w:rPr>
          <w:color w:val="0A0A0A"/>
        </w:rPr>
        <w:t>effect</w:t>
      </w:r>
      <w:r>
        <w:rPr>
          <w:color w:val="0A0A0A"/>
          <w:spacing w:val="-11"/>
        </w:rPr>
        <w:t> </w:t>
      </w:r>
      <w:r>
        <w:rPr>
          <w:color w:val="0A0A0A"/>
        </w:rPr>
        <w:t>on</w:t>
      </w:r>
      <w:r>
        <w:rPr>
          <w:color w:val="0A0A0A"/>
          <w:spacing w:val="-25"/>
        </w:rPr>
        <w:t> </w:t>
      </w:r>
      <w:r>
        <w:rPr>
          <w:color w:val="0A0A0A"/>
        </w:rPr>
        <w:t>local</w:t>
      </w:r>
      <w:r>
        <w:rPr>
          <w:color w:val="0A0A0A"/>
          <w:spacing w:val="-12"/>
        </w:rPr>
        <w:t> </w:t>
      </w:r>
      <w:r>
        <w:rPr>
          <w:color w:val="0A0A0A"/>
        </w:rPr>
        <w:t>authority</w:t>
      </w:r>
      <w:r>
        <w:rPr>
          <w:color w:val="0A0A0A"/>
          <w:spacing w:val="-4"/>
        </w:rPr>
        <w:t> </w:t>
      </w:r>
      <w:r>
        <w:rPr>
          <w:color w:val="0A0A0A"/>
        </w:rPr>
        <w:t>financial</w:t>
      </w:r>
      <w:r>
        <w:rPr>
          <w:color w:val="0A0A0A"/>
          <w:spacing w:val="-13"/>
        </w:rPr>
        <w:t> </w:t>
      </w:r>
      <w:r>
        <w:rPr>
          <w:color w:val="0A0A0A"/>
        </w:rPr>
        <w:t>statements.</w:t>
      </w:r>
    </w:p>
    <w:p>
      <w:pPr>
        <w:pStyle w:val="BodyText"/>
        <w:spacing w:before="18"/>
      </w:pPr>
    </w:p>
    <w:p>
      <w:pPr>
        <w:pStyle w:val="ListParagraph"/>
        <w:numPr>
          <w:ilvl w:val="2"/>
          <w:numId w:val="11"/>
        </w:numPr>
        <w:tabs>
          <w:tab w:val="left" w:leader="none" w:pos="2129"/>
          <w:tab w:val="left" w:leader="none" w:pos="2134"/>
        </w:tabs>
        <w:spacing w:before="0" w:after="0" w:line="237" w:lineRule="auto"/>
        <w:ind w:left="2134" w:right="1321" w:hanging="354"/>
        <w:jc w:val="both"/>
        <w:rPr>
          <w:color w:val="1C1C1C"/>
          <w:sz w:val="22"/>
        </w:rPr>
      </w:pPr>
      <w:r>
        <w:rPr>
          <w:color w:val="0A0A0A"/>
          <w:sz w:val="22"/>
        </w:rPr>
        <w:t>Property, Plant and Equipment: Proceeds before Intended Use (Amendments to</w:t>
      </w:r>
      <w:r>
        <w:rPr>
          <w:color w:val="0A0A0A"/>
          <w:spacing w:val="-3"/>
          <w:sz w:val="22"/>
        </w:rPr>
        <w:t> </w:t>
      </w:r>
      <w:r>
        <w:rPr>
          <w:color w:val="0A0A0A"/>
          <w:sz w:val="22"/>
        </w:rPr>
        <w:t>IAS </w:t>
      </w:r>
      <w:r>
        <w:rPr>
          <w:color w:val="0A0A0A"/>
          <w:spacing w:val="-4"/>
          <w:sz w:val="22"/>
        </w:rPr>
        <w:t>16).</w:t>
      </w:r>
    </w:p>
    <w:p>
      <w:pPr>
        <w:pStyle w:val="ListParagraph"/>
        <w:numPr>
          <w:ilvl w:val="2"/>
          <w:numId w:val="11"/>
        </w:numPr>
        <w:tabs>
          <w:tab w:val="left" w:leader="none" w:pos="2133"/>
        </w:tabs>
        <w:spacing w:before="16" w:after="0" w:line="240" w:lineRule="auto"/>
        <w:ind w:left="2133" w:right="1335" w:hanging="353"/>
        <w:jc w:val="left"/>
        <w:rPr>
          <w:color w:val="1C1C1C"/>
          <w:sz w:val="22"/>
        </w:rPr>
      </w:pPr>
      <w:r>
        <w:rPr>
          <w:color w:val="0A0A0A"/>
          <w:sz w:val="22"/>
        </w:rPr>
        <w:t>IFRS 16 Leases</w:t>
      </w:r>
      <w:r>
        <w:rPr>
          <w:color w:val="0A0A0A"/>
          <w:spacing w:val="26"/>
          <w:sz w:val="22"/>
        </w:rPr>
        <w:t> </w:t>
      </w:r>
      <w:r>
        <w:rPr>
          <w:color w:val="0A0A0A"/>
          <w:sz w:val="22"/>
        </w:rPr>
        <w:t>has been deferred to the 2024/25 Code and will apply to reporting periods beginning on or after 1 April 2024.</w:t>
      </w:r>
    </w:p>
    <w:p>
      <w:pPr>
        <w:pStyle w:val="BodyText"/>
      </w:pPr>
    </w:p>
    <w:p>
      <w:pPr>
        <w:pStyle w:val="BodyText"/>
        <w:spacing w:before="2"/>
      </w:pPr>
    </w:p>
    <w:p>
      <w:pPr>
        <w:pStyle w:val="Heading3"/>
        <w:numPr>
          <w:ilvl w:val="1"/>
          <w:numId w:val="11"/>
        </w:numPr>
        <w:tabs>
          <w:tab w:val="left" w:leader="none" w:pos="2133"/>
        </w:tabs>
        <w:spacing w:before="0" w:after="0" w:line="240" w:lineRule="auto"/>
        <w:ind w:left="2133" w:right="0" w:hanging="711"/>
        <w:jc w:val="left"/>
        <w:rPr>
          <w:color w:val="0A0A0A"/>
        </w:rPr>
      </w:pPr>
      <w:r>
        <w:rPr>
          <w:color w:val="0A0A0A"/>
        </w:rPr>
        <w:t>Critical</w:t>
      </w:r>
      <w:r>
        <w:rPr>
          <w:color w:val="0A0A0A"/>
          <w:spacing w:val="-6"/>
        </w:rPr>
        <w:t> </w:t>
      </w:r>
      <w:r>
        <w:rPr>
          <w:color w:val="0A0A0A"/>
        </w:rPr>
        <w:t>Accounting</w:t>
      </w:r>
      <w:r>
        <w:rPr>
          <w:color w:val="0A0A0A"/>
          <w:spacing w:val="-5"/>
        </w:rPr>
        <w:t> </w:t>
      </w:r>
      <w:r>
        <w:rPr>
          <w:color w:val="0A0A0A"/>
        </w:rPr>
        <w:t>Estimates</w:t>
      </w:r>
      <w:r>
        <w:rPr>
          <w:color w:val="0A0A0A"/>
          <w:spacing w:val="1"/>
        </w:rPr>
        <w:t> </w:t>
      </w:r>
      <w:r>
        <w:rPr>
          <w:color w:val="0A0A0A"/>
        </w:rPr>
        <w:t>and</w:t>
      </w:r>
      <w:r>
        <w:rPr>
          <w:color w:val="0A0A0A"/>
          <w:spacing w:val="-11"/>
        </w:rPr>
        <w:t> </w:t>
      </w:r>
      <w:r>
        <w:rPr>
          <w:color w:val="0A0A0A"/>
          <w:spacing w:val="-2"/>
        </w:rPr>
        <w:t>Judgements</w:t>
      </w:r>
    </w:p>
    <w:p>
      <w:pPr>
        <w:pStyle w:val="BodyText"/>
        <w:spacing w:before="237" w:line="276" w:lineRule="auto"/>
        <w:ind w:left="1423" w:right="1320" w:hanging="7"/>
        <w:jc w:val="both"/>
      </w:pPr>
      <w:r>
        <w:rPr>
          <w:color w:val="0A0A0A"/>
        </w:rPr>
        <w:t>The preparation of accounts in accordance with the Code requires management to make judgements, estimates and assumptions about </w:t>
      </w:r>
      <w:r>
        <w:rPr>
          <w:color w:val="1C1C1C"/>
        </w:rPr>
        <w:t>the </w:t>
      </w:r>
      <w:r>
        <w:rPr>
          <w:color w:val="0A0A0A"/>
        </w:rPr>
        <w:t>carrying amount of assets and liabilities that</w:t>
      </w:r>
      <w:r>
        <w:rPr>
          <w:color w:val="0A0A0A"/>
          <w:spacing w:val="-5"/>
        </w:rPr>
        <w:t> </w:t>
      </w:r>
      <w:r>
        <w:rPr>
          <w:color w:val="0A0A0A"/>
        </w:rPr>
        <w:t>are</w:t>
      </w:r>
      <w:r>
        <w:rPr>
          <w:color w:val="0A0A0A"/>
          <w:spacing w:val="-15"/>
        </w:rPr>
        <w:t> </w:t>
      </w:r>
      <w:r>
        <w:rPr>
          <w:color w:val="0A0A0A"/>
        </w:rPr>
        <w:t>not</w:t>
      </w:r>
      <w:r>
        <w:rPr>
          <w:color w:val="0A0A0A"/>
          <w:spacing w:val="-7"/>
        </w:rPr>
        <w:t> </w:t>
      </w:r>
      <w:r>
        <w:rPr>
          <w:color w:val="0A0A0A"/>
        </w:rPr>
        <w:t>readily apparent from</w:t>
      </w:r>
      <w:r>
        <w:rPr>
          <w:color w:val="0A0A0A"/>
          <w:spacing w:val="-2"/>
        </w:rPr>
        <w:t> </w:t>
      </w:r>
      <w:r>
        <w:rPr>
          <w:color w:val="0A0A0A"/>
        </w:rPr>
        <w:t>other sources.</w:t>
      </w:r>
      <w:r>
        <w:rPr>
          <w:color w:val="0A0A0A"/>
          <w:spacing w:val="40"/>
        </w:rPr>
        <w:t> </w:t>
      </w:r>
      <w:r>
        <w:rPr>
          <w:color w:val="0A0A0A"/>
        </w:rPr>
        <w:t>The</w:t>
      </w:r>
      <w:r>
        <w:rPr>
          <w:color w:val="0A0A0A"/>
          <w:spacing w:val="-9"/>
        </w:rPr>
        <w:t> </w:t>
      </w:r>
      <w:r>
        <w:rPr>
          <w:color w:val="0A0A0A"/>
        </w:rPr>
        <w:t>estimates and</w:t>
      </w:r>
      <w:r>
        <w:rPr>
          <w:color w:val="0A0A0A"/>
          <w:spacing w:val="-9"/>
        </w:rPr>
        <w:t> </w:t>
      </w:r>
      <w:r>
        <w:rPr>
          <w:color w:val="0A0A0A"/>
        </w:rPr>
        <w:t>associated assumptions are</w:t>
      </w:r>
      <w:r>
        <w:rPr>
          <w:color w:val="0A0A0A"/>
          <w:spacing w:val="-4"/>
        </w:rPr>
        <w:t> </w:t>
      </w:r>
      <w:r>
        <w:rPr>
          <w:color w:val="0A0A0A"/>
        </w:rPr>
        <w:t>based on historical experience and other factors that are considered to be</w:t>
      </w:r>
      <w:r>
        <w:rPr>
          <w:color w:val="0A0A0A"/>
          <w:spacing w:val="-1"/>
        </w:rPr>
        <w:t> </w:t>
      </w:r>
      <w:r>
        <w:rPr>
          <w:color w:val="0A0A0A"/>
        </w:rPr>
        <w:t>relevant.</w:t>
      </w:r>
    </w:p>
    <w:p>
      <w:pPr>
        <w:pStyle w:val="BodyText"/>
        <w:spacing w:before="202"/>
        <w:ind w:left="1423" w:right="1307" w:hanging="2"/>
        <w:jc w:val="both"/>
      </w:pPr>
      <w:r>
        <w:rPr>
          <w:color w:val="0A0A0A"/>
        </w:rPr>
        <w:t>The</w:t>
      </w:r>
      <w:r>
        <w:rPr>
          <w:color w:val="0A0A0A"/>
          <w:spacing w:val="-14"/>
        </w:rPr>
        <w:t> </w:t>
      </w:r>
      <w:r>
        <w:rPr>
          <w:color w:val="0A0A0A"/>
        </w:rPr>
        <w:t>key</w:t>
      </w:r>
      <w:r>
        <w:rPr>
          <w:color w:val="0A0A0A"/>
          <w:spacing w:val="-1"/>
        </w:rPr>
        <w:t> </w:t>
      </w:r>
      <w:r>
        <w:rPr>
          <w:color w:val="0A0A0A"/>
        </w:rPr>
        <w:t>areas</w:t>
      </w:r>
      <w:r>
        <w:rPr>
          <w:color w:val="0A0A0A"/>
          <w:spacing w:val="-4"/>
        </w:rPr>
        <w:t> </w:t>
      </w:r>
      <w:r>
        <w:rPr>
          <w:color w:val="0A0A0A"/>
        </w:rPr>
        <w:t>of</w:t>
      </w:r>
      <w:r>
        <w:rPr>
          <w:color w:val="0A0A0A"/>
          <w:spacing w:val="-10"/>
        </w:rPr>
        <w:t> </w:t>
      </w:r>
      <w:r>
        <w:rPr>
          <w:color w:val="0A0A0A"/>
        </w:rPr>
        <w:t>judgement and</w:t>
      </w:r>
      <w:r>
        <w:rPr>
          <w:color w:val="0A0A0A"/>
          <w:spacing w:val="-10"/>
        </w:rPr>
        <w:t> </w:t>
      </w:r>
      <w:r>
        <w:rPr>
          <w:color w:val="0A0A0A"/>
        </w:rPr>
        <w:t>estimation uncertainty routinely applied</w:t>
      </w:r>
      <w:r>
        <w:rPr>
          <w:color w:val="0A0A0A"/>
          <w:spacing w:val="-5"/>
        </w:rPr>
        <w:t> </w:t>
      </w:r>
      <w:r>
        <w:rPr>
          <w:color w:val="0A0A0A"/>
        </w:rPr>
        <w:t>by</w:t>
      </w:r>
      <w:r>
        <w:rPr>
          <w:color w:val="0A0A0A"/>
          <w:spacing w:val="-4"/>
        </w:rPr>
        <w:t> </w:t>
      </w:r>
      <w:r>
        <w:rPr>
          <w:color w:val="0A0A0A"/>
        </w:rPr>
        <w:t>management are set out</w:t>
      </w:r>
      <w:r>
        <w:rPr>
          <w:color w:val="0A0A0A"/>
          <w:spacing w:val="-5"/>
        </w:rPr>
        <w:t> </w:t>
      </w:r>
      <w:r>
        <w:rPr>
          <w:color w:val="0A0A0A"/>
        </w:rPr>
        <w:t>in</w:t>
      </w:r>
      <w:r>
        <w:rPr>
          <w:color w:val="0A0A0A"/>
          <w:spacing w:val="-13"/>
        </w:rPr>
        <w:t> </w:t>
      </w:r>
      <w:r>
        <w:rPr>
          <w:color w:val="0A0A0A"/>
        </w:rPr>
        <w:t>the</w:t>
      </w:r>
      <w:r>
        <w:rPr>
          <w:color w:val="0A0A0A"/>
          <w:spacing w:val="-4"/>
        </w:rPr>
        <w:t> </w:t>
      </w:r>
      <w:r>
        <w:rPr>
          <w:color w:val="0A0A0A"/>
        </w:rPr>
        <w:t>accounting policies above and</w:t>
      </w:r>
      <w:r>
        <w:rPr>
          <w:color w:val="0A0A0A"/>
          <w:spacing w:val="-10"/>
        </w:rPr>
        <w:t> </w:t>
      </w:r>
      <w:r>
        <w:rPr>
          <w:color w:val="1C1C1C"/>
        </w:rPr>
        <w:t>in</w:t>
      </w:r>
      <w:r>
        <w:rPr>
          <w:color w:val="1C1C1C"/>
          <w:spacing w:val="-16"/>
        </w:rPr>
        <w:t> </w:t>
      </w:r>
      <w:r>
        <w:rPr>
          <w:color w:val="0A0A0A"/>
        </w:rPr>
        <w:t>individual notes</w:t>
      </w:r>
      <w:r>
        <w:rPr>
          <w:color w:val="0A0A0A"/>
          <w:spacing w:val="-5"/>
        </w:rPr>
        <w:t> </w:t>
      </w:r>
      <w:r>
        <w:rPr>
          <w:color w:val="0A0A0A"/>
        </w:rPr>
        <w:t>to</w:t>
      </w:r>
      <w:r>
        <w:rPr>
          <w:color w:val="0A0A0A"/>
          <w:spacing w:val="-10"/>
        </w:rPr>
        <w:t> </w:t>
      </w:r>
      <w:r>
        <w:rPr>
          <w:color w:val="0A0A0A"/>
        </w:rPr>
        <w:t>the</w:t>
      </w:r>
      <w:r>
        <w:rPr>
          <w:color w:val="0A0A0A"/>
          <w:spacing w:val="-2"/>
        </w:rPr>
        <w:t> </w:t>
      </w:r>
      <w:r>
        <w:rPr>
          <w:color w:val="0A0A0A"/>
        </w:rPr>
        <w:t>accounts which support the amounts </w:t>
      </w:r>
      <w:r>
        <w:rPr>
          <w:color w:val="1C1C1C"/>
        </w:rPr>
        <w:t>disclosed </w:t>
      </w:r>
      <w:r>
        <w:rPr>
          <w:color w:val="0A0A0A"/>
        </w:rPr>
        <w:t>in </w:t>
      </w:r>
      <w:r>
        <w:rPr>
          <w:color w:val="1C1C1C"/>
        </w:rPr>
        <w:t>the </w:t>
      </w:r>
      <w:r>
        <w:rPr>
          <w:color w:val="0A0A0A"/>
        </w:rPr>
        <w:t>Council's Balance Sheet.</w:t>
      </w:r>
      <w:r>
        <w:rPr>
          <w:color w:val="0A0A0A"/>
          <w:spacing w:val="40"/>
        </w:rPr>
        <w:t> </w:t>
      </w:r>
      <w:r>
        <w:rPr>
          <w:color w:val="0A0A0A"/>
        </w:rPr>
        <w:t>In addition, the following critical judgements have </w:t>
      </w:r>
      <w:r>
        <w:rPr>
          <w:color w:val="1C1C1C"/>
        </w:rPr>
        <w:t>been </w:t>
      </w:r>
      <w:r>
        <w:rPr>
          <w:color w:val="0A0A0A"/>
        </w:rPr>
        <w:t>applied</w:t>
      </w:r>
      <w:r>
        <w:rPr>
          <w:color w:val="0A0A0A"/>
          <w:spacing w:val="-3"/>
        </w:rPr>
        <w:t> </w:t>
      </w:r>
      <w:r>
        <w:rPr>
          <w:color w:val="0A0A0A"/>
        </w:rPr>
        <w:t>in </w:t>
      </w:r>
      <w:r>
        <w:rPr>
          <w:color w:val="1C1C1C"/>
        </w:rPr>
        <w:t>preparing </w:t>
      </w:r>
      <w:r>
        <w:rPr>
          <w:color w:val="0A0A0A"/>
        </w:rPr>
        <w:t>the Statement of Accounts:</w:t>
      </w:r>
    </w:p>
    <w:p>
      <w:pPr>
        <w:pStyle w:val="BodyText"/>
        <w:spacing w:before="17"/>
      </w:pPr>
    </w:p>
    <w:p>
      <w:pPr>
        <w:pStyle w:val="ListParagraph"/>
        <w:numPr>
          <w:ilvl w:val="2"/>
          <w:numId w:val="11"/>
        </w:numPr>
        <w:tabs>
          <w:tab w:val="left" w:leader="none" w:pos="2137"/>
        </w:tabs>
        <w:spacing w:before="1" w:after="0" w:line="240" w:lineRule="auto"/>
        <w:ind w:left="2137" w:right="1297" w:hanging="352"/>
        <w:jc w:val="both"/>
        <w:rPr>
          <w:color w:val="1C1C1C"/>
          <w:sz w:val="22"/>
        </w:rPr>
      </w:pPr>
      <w:r>
        <w:rPr>
          <w:color w:val="0A0A0A"/>
          <w:sz w:val="22"/>
        </w:rPr>
        <w:t>The Council is not represented on the board of lnspireAII, a charitable trust that operates the leisure facilities owned by the Council and formerly operated by the Council.</w:t>
      </w:r>
      <w:r>
        <w:rPr>
          <w:color w:val="0A0A0A"/>
          <w:spacing w:val="40"/>
          <w:sz w:val="22"/>
        </w:rPr>
        <w:t> </w:t>
      </w:r>
      <w:r>
        <w:rPr>
          <w:color w:val="0A0A0A"/>
          <w:sz w:val="22"/>
        </w:rPr>
        <w:t>Accordingly </w:t>
      </w:r>
      <w:r>
        <w:rPr>
          <w:color w:val="1C1C1C"/>
          <w:sz w:val="22"/>
        </w:rPr>
        <w:t>it</w:t>
      </w:r>
      <w:r>
        <w:rPr>
          <w:color w:val="1C1C1C"/>
          <w:spacing w:val="-16"/>
          <w:sz w:val="22"/>
        </w:rPr>
        <w:t> </w:t>
      </w:r>
      <w:r>
        <w:rPr>
          <w:color w:val="0A0A0A"/>
          <w:sz w:val="22"/>
        </w:rPr>
        <w:t>has</w:t>
      </w:r>
      <w:r>
        <w:rPr>
          <w:color w:val="0A0A0A"/>
          <w:spacing w:val="-3"/>
          <w:sz w:val="22"/>
        </w:rPr>
        <w:t> </w:t>
      </w:r>
      <w:r>
        <w:rPr>
          <w:color w:val="0A0A0A"/>
          <w:sz w:val="22"/>
        </w:rPr>
        <w:t>been</w:t>
      </w:r>
      <w:r>
        <w:rPr>
          <w:color w:val="0A0A0A"/>
          <w:spacing w:val="-7"/>
          <w:sz w:val="22"/>
        </w:rPr>
        <w:t> </w:t>
      </w:r>
      <w:r>
        <w:rPr>
          <w:color w:val="0A0A0A"/>
          <w:sz w:val="22"/>
        </w:rPr>
        <w:t>determined that</w:t>
      </w:r>
      <w:r>
        <w:rPr>
          <w:color w:val="0A0A0A"/>
          <w:spacing w:val="-9"/>
          <w:sz w:val="22"/>
        </w:rPr>
        <w:t> </w:t>
      </w:r>
      <w:r>
        <w:rPr>
          <w:color w:val="0A0A0A"/>
          <w:sz w:val="22"/>
        </w:rPr>
        <w:t>the</w:t>
      </w:r>
      <w:r>
        <w:rPr>
          <w:color w:val="0A0A0A"/>
          <w:spacing w:val="-4"/>
          <w:sz w:val="22"/>
        </w:rPr>
        <w:t> </w:t>
      </w:r>
      <w:r>
        <w:rPr>
          <w:color w:val="0A0A0A"/>
          <w:sz w:val="22"/>
        </w:rPr>
        <w:t>Council</w:t>
      </w:r>
      <w:r>
        <w:rPr>
          <w:color w:val="0A0A0A"/>
          <w:spacing w:val="-5"/>
          <w:sz w:val="22"/>
        </w:rPr>
        <w:t> </w:t>
      </w:r>
      <w:r>
        <w:rPr>
          <w:color w:val="0A0A0A"/>
          <w:sz w:val="22"/>
        </w:rPr>
        <w:t>does</w:t>
      </w:r>
      <w:r>
        <w:rPr>
          <w:color w:val="0A0A0A"/>
          <w:spacing w:val="-4"/>
          <w:sz w:val="22"/>
        </w:rPr>
        <w:t> </w:t>
      </w:r>
      <w:r>
        <w:rPr>
          <w:color w:val="0A0A0A"/>
          <w:sz w:val="22"/>
        </w:rPr>
        <w:t>not</w:t>
      </w:r>
      <w:r>
        <w:rPr>
          <w:color w:val="0A0A0A"/>
          <w:spacing w:val="-12"/>
          <w:sz w:val="22"/>
        </w:rPr>
        <w:t> </w:t>
      </w:r>
      <w:r>
        <w:rPr>
          <w:color w:val="0A0A0A"/>
          <w:sz w:val="22"/>
        </w:rPr>
        <w:t>have</w:t>
      </w:r>
      <w:r>
        <w:rPr>
          <w:color w:val="0A0A0A"/>
          <w:spacing w:val="-6"/>
          <w:sz w:val="22"/>
        </w:rPr>
        <w:t> </w:t>
      </w:r>
      <w:r>
        <w:rPr>
          <w:color w:val="0A0A0A"/>
          <w:sz w:val="22"/>
        </w:rPr>
        <w:t>control of the Trust and</w:t>
      </w:r>
      <w:r>
        <w:rPr>
          <w:color w:val="0A0A0A"/>
          <w:spacing w:val="-1"/>
          <w:sz w:val="22"/>
        </w:rPr>
        <w:t> </w:t>
      </w:r>
      <w:r>
        <w:rPr>
          <w:color w:val="0A0A0A"/>
          <w:sz w:val="22"/>
        </w:rPr>
        <w:t>that the Trust is not a subsidiary of the Council.</w:t>
      </w:r>
    </w:p>
    <w:p>
      <w:pPr>
        <w:pStyle w:val="BodyText"/>
        <w:spacing w:before="18"/>
      </w:pPr>
    </w:p>
    <w:p>
      <w:pPr>
        <w:pStyle w:val="ListParagraph"/>
        <w:numPr>
          <w:ilvl w:val="2"/>
          <w:numId w:val="11"/>
        </w:numPr>
        <w:tabs>
          <w:tab w:val="left" w:leader="none" w:pos="2139"/>
          <w:tab w:val="left" w:leader="none" w:pos="2143"/>
        </w:tabs>
        <w:spacing w:before="0" w:after="0" w:line="240" w:lineRule="auto"/>
        <w:ind w:left="2139" w:right="1410" w:hanging="359"/>
        <w:jc w:val="left"/>
        <w:rPr>
          <w:color w:val="0A0A0A"/>
          <w:sz w:val="22"/>
        </w:rPr>
      </w:pPr>
      <w:r>
        <w:rPr>
          <w:color w:val="0A0A0A"/>
          <w:sz w:val="22"/>
        </w:rPr>
        <w:tab/>
        <w:t>The Council has considered its relationships with other entities with which it has entered into</w:t>
      </w:r>
      <w:r>
        <w:rPr>
          <w:color w:val="0A0A0A"/>
          <w:spacing w:val="-4"/>
          <w:sz w:val="22"/>
        </w:rPr>
        <w:t> </w:t>
      </w:r>
      <w:r>
        <w:rPr>
          <w:color w:val="0A0A0A"/>
          <w:sz w:val="22"/>
        </w:rPr>
        <w:t>collaborative arrangements, details</w:t>
      </w:r>
      <w:r>
        <w:rPr>
          <w:color w:val="0A0A0A"/>
          <w:spacing w:val="-1"/>
          <w:sz w:val="22"/>
        </w:rPr>
        <w:t> </w:t>
      </w:r>
      <w:r>
        <w:rPr>
          <w:color w:val="0A0A0A"/>
          <w:sz w:val="22"/>
        </w:rPr>
        <w:t>of</w:t>
      </w:r>
      <w:r>
        <w:rPr>
          <w:color w:val="0A0A0A"/>
          <w:spacing w:val="-4"/>
          <w:sz w:val="22"/>
        </w:rPr>
        <w:t> </w:t>
      </w:r>
      <w:r>
        <w:rPr>
          <w:color w:val="0A0A0A"/>
          <w:sz w:val="22"/>
        </w:rPr>
        <w:t>which</w:t>
      </w:r>
      <w:r>
        <w:rPr>
          <w:color w:val="0A0A0A"/>
          <w:spacing w:val="-3"/>
          <w:sz w:val="22"/>
        </w:rPr>
        <w:t> </w:t>
      </w:r>
      <w:r>
        <w:rPr>
          <w:color w:val="0A0A0A"/>
          <w:sz w:val="22"/>
        </w:rPr>
        <w:t>are</w:t>
      </w:r>
      <w:r>
        <w:rPr>
          <w:color w:val="0A0A0A"/>
          <w:spacing w:val="-4"/>
          <w:sz w:val="22"/>
        </w:rPr>
        <w:t> </w:t>
      </w:r>
      <w:r>
        <w:rPr>
          <w:color w:val="0A0A0A"/>
          <w:sz w:val="22"/>
        </w:rPr>
        <w:t>given at</w:t>
      </w:r>
      <w:r>
        <w:rPr>
          <w:color w:val="0A0A0A"/>
          <w:spacing w:val="-7"/>
          <w:sz w:val="22"/>
        </w:rPr>
        <w:t> </w:t>
      </w:r>
      <w:r>
        <w:rPr>
          <w:color w:val="0A0A0A"/>
          <w:sz w:val="22"/>
        </w:rPr>
        <w:t>note</w:t>
      </w:r>
      <w:r>
        <w:rPr>
          <w:color w:val="0A0A0A"/>
          <w:spacing w:val="-5"/>
          <w:sz w:val="22"/>
        </w:rPr>
        <w:t> </w:t>
      </w:r>
      <w:r>
        <w:rPr>
          <w:color w:val="0A0A0A"/>
          <w:sz w:val="22"/>
        </w:rPr>
        <w:t>5.38. The council has concluded that the inclusion of such interests in a set of group financial statements should only be made where there is a</w:t>
      </w:r>
      <w:r>
        <w:rPr>
          <w:color w:val="0A0A0A"/>
          <w:spacing w:val="-1"/>
          <w:sz w:val="22"/>
        </w:rPr>
        <w:t> </w:t>
      </w:r>
      <w:r>
        <w:rPr>
          <w:color w:val="0A0A0A"/>
          <w:sz w:val="22"/>
        </w:rPr>
        <w:t>material effect on the Council's </w:t>
      </w:r>
      <w:r>
        <w:rPr>
          <w:color w:val="1C1C1C"/>
          <w:sz w:val="22"/>
        </w:rPr>
        <w:t>financial </w:t>
      </w:r>
      <w:r>
        <w:rPr>
          <w:color w:val="0A0A0A"/>
          <w:sz w:val="22"/>
        </w:rPr>
        <w:t>position and its obligations and such an effect </w:t>
      </w:r>
      <w:r>
        <w:rPr>
          <w:color w:val="1C1C1C"/>
          <w:sz w:val="22"/>
        </w:rPr>
        <w:t>is </w:t>
      </w:r>
      <w:r>
        <w:rPr>
          <w:color w:val="0A0A0A"/>
          <w:sz w:val="22"/>
        </w:rPr>
        <w:t>therefore material for an understanding of </w:t>
      </w:r>
      <w:r>
        <w:rPr>
          <w:color w:val="1C1C1C"/>
          <w:sz w:val="22"/>
        </w:rPr>
        <w:t>its </w:t>
      </w:r>
      <w:r>
        <w:rPr>
          <w:color w:val="0A0A0A"/>
          <w:sz w:val="22"/>
        </w:rPr>
        <w:t>financial affairs. The group financial statements reflect the combined results of the Council, Elstree Film Studios Limited and Hertsmere</w:t>
      </w:r>
    </w:p>
    <w:p>
      <w:pPr>
        <w:spacing w:after="0" w:line="240" w:lineRule="auto"/>
        <w:jc w:val="left"/>
        <w:rPr>
          <w:sz w:val="22"/>
        </w:rPr>
        <w:sectPr>
          <w:headerReference w:type="default" r:id="rId109"/>
          <w:headerReference w:type="even" r:id="rId110"/>
          <w:footerReference w:type="default" r:id="rId111"/>
          <w:pgSz w:w="11910" w:h="16830"/>
          <w:pgMar w:top="900" w:right="100" w:bottom="1320" w:left="20" w:header="709" w:footer="1140"/>
          <w:pgNumType w:start="49"/>
        </w:sectPr>
      </w:pPr>
    </w:p>
    <w:p>
      <w:pPr>
        <w:pStyle w:val="BodyText"/>
        <w:spacing w:before="237"/>
        <w:ind w:left="2357"/>
      </w:pPr>
      <w:r>
        <w:rPr>
          <w:color w:val="0F0F0F"/>
        </w:rPr>
        <w:t>Developments</w:t>
      </w:r>
      <w:r>
        <w:rPr>
          <w:color w:val="0F0F0F"/>
          <w:spacing w:val="-4"/>
        </w:rPr>
        <w:t> </w:t>
      </w:r>
      <w:r>
        <w:rPr>
          <w:color w:val="0F0F0F"/>
          <w:spacing w:val="-2"/>
        </w:rPr>
        <w:t>Limited.</w:t>
      </w:r>
    </w:p>
    <w:p>
      <w:pPr>
        <w:pStyle w:val="BodyText"/>
        <w:spacing w:before="15"/>
      </w:pPr>
    </w:p>
    <w:p>
      <w:pPr>
        <w:pStyle w:val="ListParagraph"/>
        <w:numPr>
          <w:ilvl w:val="3"/>
          <w:numId w:val="11"/>
        </w:numPr>
        <w:tabs>
          <w:tab w:val="left" w:leader="none" w:pos="2338"/>
          <w:tab w:val="left" w:leader="none" w:pos="2349"/>
        </w:tabs>
        <w:spacing w:before="0" w:after="0" w:line="237" w:lineRule="auto"/>
        <w:ind w:left="2338" w:right="1124" w:hanging="351"/>
        <w:jc w:val="both"/>
        <w:rPr>
          <w:color w:val="0F0F0F"/>
          <w:sz w:val="22"/>
        </w:rPr>
      </w:pPr>
      <w:r>
        <w:rPr>
          <w:color w:val="0F0F0F"/>
          <w:sz w:val="22"/>
        </w:rPr>
        <w:tab/>
        <w:t>The</w:t>
      </w:r>
      <w:r>
        <w:rPr>
          <w:color w:val="0F0F0F"/>
          <w:spacing w:val="-1"/>
          <w:sz w:val="22"/>
        </w:rPr>
        <w:t> </w:t>
      </w:r>
      <w:r>
        <w:rPr>
          <w:color w:val="0F0F0F"/>
          <w:sz w:val="22"/>
        </w:rPr>
        <w:t>Council has made provision in</w:t>
      </w:r>
      <w:r>
        <w:rPr>
          <w:color w:val="0F0F0F"/>
          <w:spacing w:val="-6"/>
          <w:sz w:val="22"/>
        </w:rPr>
        <w:t> </w:t>
      </w:r>
      <w:r>
        <w:rPr>
          <w:color w:val="0F0F0F"/>
          <w:sz w:val="22"/>
        </w:rPr>
        <w:t>its Collection Fund of £1</w:t>
      </w:r>
      <w:r>
        <w:rPr>
          <w:color w:val="464646"/>
          <w:sz w:val="22"/>
        </w:rPr>
        <w:t>.</w:t>
      </w:r>
      <w:r>
        <w:rPr>
          <w:color w:val="0F0F0F"/>
          <w:sz w:val="22"/>
        </w:rPr>
        <w:t>044</w:t>
      </w:r>
      <w:r>
        <w:rPr>
          <w:color w:val="0F0F0F"/>
          <w:spacing w:val="-4"/>
          <w:sz w:val="22"/>
        </w:rPr>
        <w:t> </w:t>
      </w:r>
      <w:r>
        <w:rPr>
          <w:color w:val="0F0F0F"/>
          <w:sz w:val="22"/>
        </w:rPr>
        <w:t>million for the</w:t>
      </w:r>
      <w:r>
        <w:rPr>
          <w:color w:val="0F0F0F"/>
          <w:spacing w:val="-2"/>
          <w:sz w:val="22"/>
        </w:rPr>
        <w:t> </w:t>
      </w:r>
      <w:r>
        <w:rPr>
          <w:color w:val="0F0F0F"/>
          <w:sz w:val="22"/>
        </w:rPr>
        <w:t>future cost of </w:t>
      </w:r>
      <w:r>
        <w:rPr>
          <w:color w:val="282828"/>
          <w:sz w:val="22"/>
        </w:rPr>
        <w:t>making </w:t>
      </w:r>
      <w:r>
        <w:rPr>
          <w:color w:val="0F0F0F"/>
          <w:sz w:val="22"/>
        </w:rPr>
        <w:t>repayments of business rates to payers who successfully appeal against</w:t>
      </w:r>
      <w:r>
        <w:rPr>
          <w:color w:val="0F0F0F"/>
          <w:spacing w:val="-8"/>
          <w:sz w:val="22"/>
        </w:rPr>
        <w:t> </w:t>
      </w:r>
      <w:r>
        <w:rPr>
          <w:color w:val="0F0F0F"/>
          <w:sz w:val="22"/>
        </w:rPr>
        <w:t>the</w:t>
      </w:r>
      <w:r>
        <w:rPr>
          <w:color w:val="0F0F0F"/>
          <w:spacing w:val="-16"/>
          <w:sz w:val="22"/>
        </w:rPr>
        <w:t> </w:t>
      </w:r>
      <w:r>
        <w:rPr>
          <w:color w:val="282828"/>
          <w:sz w:val="22"/>
        </w:rPr>
        <w:t>rateable </w:t>
      </w:r>
      <w:r>
        <w:rPr>
          <w:color w:val="0F0F0F"/>
          <w:sz w:val="22"/>
        </w:rPr>
        <w:t>value of</w:t>
      </w:r>
      <w:r>
        <w:rPr>
          <w:color w:val="0F0F0F"/>
          <w:spacing w:val="-9"/>
          <w:sz w:val="22"/>
        </w:rPr>
        <w:t> </w:t>
      </w:r>
      <w:r>
        <w:rPr>
          <w:color w:val="0F0F0F"/>
          <w:sz w:val="22"/>
        </w:rPr>
        <w:t>their</w:t>
      </w:r>
      <w:r>
        <w:rPr>
          <w:color w:val="0F0F0F"/>
          <w:spacing w:val="-13"/>
          <w:sz w:val="22"/>
        </w:rPr>
        <w:t> </w:t>
      </w:r>
      <w:r>
        <w:rPr>
          <w:color w:val="0F0F0F"/>
          <w:sz w:val="22"/>
        </w:rPr>
        <w:t>property as</w:t>
      </w:r>
      <w:r>
        <w:rPr>
          <w:color w:val="0F0F0F"/>
          <w:spacing w:val="-13"/>
          <w:sz w:val="22"/>
        </w:rPr>
        <w:t> </w:t>
      </w:r>
      <w:r>
        <w:rPr>
          <w:color w:val="0F0F0F"/>
          <w:sz w:val="22"/>
        </w:rPr>
        <w:t>determined by</w:t>
      </w:r>
      <w:r>
        <w:rPr>
          <w:color w:val="0F0F0F"/>
          <w:spacing w:val="-8"/>
          <w:sz w:val="22"/>
        </w:rPr>
        <w:t> </w:t>
      </w:r>
      <w:r>
        <w:rPr>
          <w:color w:val="0F0F0F"/>
          <w:sz w:val="22"/>
        </w:rPr>
        <w:t>the</w:t>
      </w:r>
      <w:r>
        <w:rPr>
          <w:color w:val="0F0F0F"/>
          <w:spacing w:val="-14"/>
          <w:sz w:val="22"/>
        </w:rPr>
        <w:t> </w:t>
      </w:r>
      <w:r>
        <w:rPr>
          <w:color w:val="0F0F0F"/>
          <w:sz w:val="22"/>
        </w:rPr>
        <w:t>local</w:t>
      </w:r>
      <w:r>
        <w:rPr>
          <w:color w:val="0F0F0F"/>
          <w:spacing w:val="-10"/>
          <w:sz w:val="22"/>
        </w:rPr>
        <w:t> </w:t>
      </w:r>
      <w:r>
        <w:rPr>
          <w:color w:val="0F0F0F"/>
          <w:sz w:val="22"/>
        </w:rPr>
        <w:t>Valuation</w:t>
      </w:r>
      <w:r>
        <w:rPr>
          <w:color w:val="0F0F0F"/>
          <w:spacing w:val="-3"/>
          <w:sz w:val="22"/>
        </w:rPr>
        <w:t> </w:t>
      </w:r>
      <w:r>
        <w:rPr>
          <w:color w:val="0F0F0F"/>
          <w:sz w:val="22"/>
        </w:rPr>
        <w:t>Office at</w:t>
      </w:r>
      <w:r>
        <w:rPr>
          <w:color w:val="0F0F0F"/>
          <w:spacing w:val="-15"/>
          <w:sz w:val="22"/>
        </w:rPr>
        <w:t> </w:t>
      </w:r>
      <w:r>
        <w:rPr>
          <w:color w:val="282828"/>
          <w:sz w:val="22"/>
        </w:rPr>
        <w:t>1</w:t>
      </w:r>
      <w:r>
        <w:rPr>
          <w:color w:val="282828"/>
          <w:spacing w:val="-8"/>
          <w:sz w:val="22"/>
        </w:rPr>
        <w:t> </w:t>
      </w:r>
      <w:r>
        <w:rPr>
          <w:color w:val="0F0F0F"/>
          <w:sz w:val="22"/>
        </w:rPr>
        <w:t>April</w:t>
      </w:r>
      <w:r>
        <w:rPr>
          <w:color w:val="0F0F0F"/>
          <w:spacing w:val="-10"/>
          <w:sz w:val="22"/>
        </w:rPr>
        <w:t> </w:t>
      </w:r>
      <w:r>
        <w:rPr>
          <w:color w:val="0F0F0F"/>
          <w:sz w:val="22"/>
        </w:rPr>
        <w:t>201</w:t>
      </w:r>
      <w:r>
        <w:rPr>
          <w:color w:val="0F0F0F"/>
          <w:sz w:val="21"/>
        </w:rPr>
        <w:t>O</w:t>
      </w:r>
      <w:r>
        <w:rPr>
          <w:color w:val="0F0F0F"/>
          <w:spacing w:val="-1"/>
          <w:sz w:val="21"/>
        </w:rPr>
        <w:t> </w:t>
      </w:r>
      <w:r>
        <w:rPr>
          <w:color w:val="0F0F0F"/>
          <w:sz w:val="22"/>
        </w:rPr>
        <w:t>or</w:t>
      </w:r>
      <w:r>
        <w:rPr>
          <w:color w:val="0F0F0F"/>
          <w:spacing w:val="-6"/>
          <w:sz w:val="22"/>
        </w:rPr>
        <w:t> </w:t>
      </w:r>
      <w:r>
        <w:rPr>
          <w:color w:val="0F0F0F"/>
          <w:sz w:val="22"/>
        </w:rPr>
        <w:t>at</w:t>
      </w:r>
      <w:r>
        <w:rPr>
          <w:color w:val="0F0F0F"/>
          <w:spacing w:val="-8"/>
          <w:sz w:val="22"/>
        </w:rPr>
        <w:t> </w:t>
      </w:r>
      <w:r>
        <w:rPr>
          <w:color w:val="0F0F0F"/>
          <w:sz w:val="22"/>
        </w:rPr>
        <w:t>a</w:t>
      </w:r>
      <w:r>
        <w:rPr>
          <w:color w:val="0F0F0F"/>
          <w:spacing w:val="-12"/>
          <w:sz w:val="22"/>
        </w:rPr>
        <w:t> </w:t>
      </w:r>
      <w:r>
        <w:rPr>
          <w:color w:val="282828"/>
          <w:sz w:val="22"/>
        </w:rPr>
        <w:t>later</w:t>
      </w:r>
      <w:r>
        <w:rPr>
          <w:color w:val="282828"/>
          <w:spacing w:val="-9"/>
          <w:sz w:val="22"/>
        </w:rPr>
        <w:t> </w:t>
      </w:r>
      <w:r>
        <w:rPr>
          <w:color w:val="0F0F0F"/>
          <w:sz w:val="22"/>
        </w:rPr>
        <w:t>date</w:t>
      </w:r>
      <w:r>
        <w:rPr>
          <w:color w:val="464646"/>
          <w:sz w:val="22"/>
        </w:rPr>
        <w:t>.</w:t>
      </w:r>
      <w:r>
        <w:rPr>
          <w:color w:val="464646"/>
          <w:spacing w:val="-16"/>
          <w:sz w:val="22"/>
        </w:rPr>
        <w:t> </w:t>
      </w:r>
      <w:r>
        <w:rPr>
          <w:color w:val="0F0F0F"/>
          <w:sz w:val="22"/>
        </w:rPr>
        <w:t>Note</w:t>
      </w:r>
      <w:r>
        <w:rPr>
          <w:color w:val="0F0F0F"/>
          <w:spacing w:val="-7"/>
          <w:sz w:val="22"/>
        </w:rPr>
        <w:t> </w:t>
      </w:r>
      <w:r>
        <w:rPr>
          <w:color w:val="0F0F0F"/>
          <w:sz w:val="22"/>
        </w:rPr>
        <w:t>5</w:t>
      </w:r>
      <w:r>
        <w:rPr>
          <w:color w:val="464646"/>
          <w:sz w:val="22"/>
        </w:rPr>
        <w:t>.</w:t>
      </w:r>
      <w:r>
        <w:rPr>
          <w:color w:val="0F0F0F"/>
          <w:sz w:val="22"/>
        </w:rPr>
        <w:t>26</w:t>
      </w:r>
      <w:r>
        <w:rPr>
          <w:color w:val="0F0F0F"/>
          <w:spacing w:val="-16"/>
          <w:sz w:val="22"/>
        </w:rPr>
        <w:t> </w:t>
      </w:r>
      <w:r>
        <w:rPr>
          <w:color w:val="0F0F0F"/>
          <w:sz w:val="22"/>
        </w:rPr>
        <w:t>to</w:t>
      </w:r>
      <w:r>
        <w:rPr>
          <w:color w:val="0F0F0F"/>
          <w:spacing w:val="-13"/>
          <w:sz w:val="22"/>
        </w:rPr>
        <w:t> </w:t>
      </w:r>
      <w:r>
        <w:rPr>
          <w:color w:val="0F0F0F"/>
          <w:sz w:val="22"/>
        </w:rPr>
        <w:t>the</w:t>
      </w:r>
      <w:r>
        <w:rPr>
          <w:color w:val="0F0F0F"/>
          <w:spacing w:val="-14"/>
          <w:sz w:val="22"/>
        </w:rPr>
        <w:t> </w:t>
      </w:r>
      <w:r>
        <w:rPr>
          <w:color w:val="0F0F0F"/>
          <w:sz w:val="22"/>
        </w:rPr>
        <w:t>Statement</w:t>
      </w:r>
      <w:r>
        <w:rPr>
          <w:color w:val="0F0F0F"/>
          <w:spacing w:val="12"/>
          <w:sz w:val="22"/>
        </w:rPr>
        <w:t> </w:t>
      </w:r>
      <w:r>
        <w:rPr>
          <w:color w:val="0F0F0F"/>
          <w:sz w:val="22"/>
        </w:rPr>
        <w:t>of</w:t>
      </w:r>
      <w:r>
        <w:rPr>
          <w:color w:val="0F0F0F"/>
          <w:spacing w:val="-14"/>
          <w:sz w:val="22"/>
        </w:rPr>
        <w:t> </w:t>
      </w:r>
      <w:r>
        <w:rPr>
          <w:color w:val="0F0F0F"/>
          <w:sz w:val="22"/>
        </w:rPr>
        <w:t>Accounts discloses the share of </w:t>
      </w:r>
      <w:r>
        <w:rPr>
          <w:color w:val="282828"/>
          <w:sz w:val="22"/>
        </w:rPr>
        <w:t>this </w:t>
      </w:r>
      <w:r>
        <w:rPr>
          <w:color w:val="0F0F0F"/>
          <w:sz w:val="22"/>
        </w:rPr>
        <w:t>provision allocated to</w:t>
      </w:r>
      <w:r>
        <w:rPr>
          <w:color w:val="0F0F0F"/>
          <w:spacing w:val="-3"/>
          <w:sz w:val="22"/>
        </w:rPr>
        <w:t> </w:t>
      </w:r>
      <w:r>
        <w:rPr>
          <w:color w:val="282828"/>
          <w:sz w:val="22"/>
        </w:rPr>
        <w:t>the </w:t>
      </w:r>
      <w:r>
        <w:rPr>
          <w:color w:val="0F0F0F"/>
          <w:sz w:val="22"/>
        </w:rPr>
        <w:t>Council (£0.418 million - 40% of the total).</w:t>
      </w:r>
    </w:p>
    <w:p>
      <w:pPr>
        <w:pStyle w:val="BodyText"/>
      </w:pPr>
    </w:p>
    <w:p>
      <w:pPr>
        <w:pStyle w:val="BodyText"/>
        <w:spacing w:before="4"/>
      </w:pPr>
    </w:p>
    <w:p>
      <w:pPr>
        <w:pStyle w:val="Heading3"/>
        <w:numPr>
          <w:ilvl w:val="1"/>
          <w:numId w:val="11"/>
        </w:numPr>
        <w:tabs>
          <w:tab w:val="left" w:leader="none" w:pos="2330"/>
        </w:tabs>
        <w:spacing w:before="0" w:after="0" w:line="278" w:lineRule="auto"/>
        <w:ind w:left="1604" w:right="1633" w:firstLine="5"/>
        <w:jc w:val="left"/>
        <w:rPr>
          <w:color w:val="0F0F0F"/>
        </w:rPr>
      </w:pPr>
      <w:r>
        <w:rPr>
          <w:color w:val="0F0F0F"/>
        </w:rPr>
        <w:t>Assumptions made</w:t>
      </w:r>
      <w:r>
        <w:rPr>
          <w:color w:val="0F0F0F"/>
          <w:spacing w:val="-12"/>
        </w:rPr>
        <w:t> </w:t>
      </w:r>
      <w:r>
        <w:rPr>
          <w:color w:val="0F0F0F"/>
        </w:rPr>
        <w:t>about the</w:t>
      </w:r>
      <w:r>
        <w:rPr>
          <w:color w:val="0F0F0F"/>
          <w:spacing w:val="-5"/>
        </w:rPr>
        <w:t> </w:t>
      </w:r>
      <w:r>
        <w:rPr>
          <w:color w:val="0F0F0F"/>
        </w:rPr>
        <w:t>future</w:t>
      </w:r>
      <w:r>
        <w:rPr>
          <w:color w:val="0F0F0F"/>
          <w:spacing w:val="-7"/>
        </w:rPr>
        <w:t> </w:t>
      </w:r>
      <w:r>
        <w:rPr>
          <w:color w:val="0F0F0F"/>
        </w:rPr>
        <w:t>and</w:t>
      </w:r>
      <w:r>
        <w:rPr>
          <w:color w:val="0F0F0F"/>
          <w:spacing w:val="-4"/>
        </w:rPr>
        <w:t> </w:t>
      </w:r>
      <w:r>
        <w:rPr>
          <w:color w:val="0F0F0F"/>
        </w:rPr>
        <w:t>other</w:t>
      </w:r>
      <w:r>
        <w:rPr>
          <w:color w:val="0F0F0F"/>
          <w:spacing w:val="-6"/>
        </w:rPr>
        <w:t> </w:t>
      </w:r>
      <w:r>
        <w:rPr>
          <w:color w:val="0F0F0F"/>
        </w:rPr>
        <w:t>major</w:t>
      </w:r>
      <w:r>
        <w:rPr>
          <w:color w:val="0F0F0F"/>
          <w:spacing w:val="-3"/>
        </w:rPr>
        <w:t> </w:t>
      </w:r>
      <w:r>
        <w:rPr>
          <w:color w:val="0F0F0F"/>
        </w:rPr>
        <w:t>sources</w:t>
      </w:r>
      <w:r>
        <w:rPr>
          <w:color w:val="0F0F0F"/>
          <w:spacing w:val="-4"/>
        </w:rPr>
        <w:t> </w:t>
      </w:r>
      <w:r>
        <w:rPr>
          <w:color w:val="0F0F0F"/>
        </w:rPr>
        <w:t>of</w:t>
      </w:r>
      <w:r>
        <w:rPr>
          <w:color w:val="0F0F0F"/>
          <w:spacing w:val="-10"/>
        </w:rPr>
        <w:t> </w:t>
      </w:r>
      <w:r>
        <w:rPr>
          <w:color w:val="0F0F0F"/>
        </w:rPr>
        <w:t>estimation </w:t>
      </w:r>
      <w:r>
        <w:rPr>
          <w:color w:val="0F0F0F"/>
          <w:spacing w:val="-2"/>
        </w:rPr>
        <w:t>uncertainty</w:t>
      </w:r>
    </w:p>
    <w:p>
      <w:pPr>
        <w:pStyle w:val="BodyText"/>
        <w:spacing w:before="196" w:line="278" w:lineRule="auto"/>
        <w:ind w:left="1587" w:right="1139" w:firstLine="8"/>
        <w:jc w:val="both"/>
      </w:pPr>
      <w:r>
        <w:rPr>
          <w:color w:val="0F0F0F"/>
        </w:rPr>
        <w:t>The Statement of</w:t>
      </w:r>
      <w:r>
        <w:rPr>
          <w:color w:val="0F0F0F"/>
          <w:spacing w:val="-3"/>
        </w:rPr>
        <w:t> </w:t>
      </w:r>
      <w:r>
        <w:rPr>
          <w:color w:val="0F0F0F"/>
        </w:rPr>
        <w:t>Accounts contains estimated</w:t>
      </w:r>
      <w:r>
        <w:rPr>
          <w:color w:val="0F0F0F"/>
          <w:spacing w:val="-1"/>
        </w:rPr>
        <w:t> </w:t>
      </w:r>
      <w:r>
        <w:rPr>
          <w:color w:val="0F0F0F"/>
        </w:rPr>
        <w:t>figures that are based</w:t>
      </w:r>
      <w:r>
        <w:rPr>
          <w:color w:val="0F0F0F"/>
          <w:spacing w:val="-2"/>
        </w:rPr>
        <w:t> </w:t>
      </w:r>
      <w:r>
        <w:rPr>
          <w:color w:val="0F0F0F"/>
        </w:rPr>
        <w:t>on</w:t>
      </w:r>
      <w:r>
        <w:rPr>
          <w:color w:val="0F0F0F"/>
          <w:spacing w:val="-9"/>
        </w:rPr>
        <w:t> </w:t>
      </w:r>
      <w:r>
        <w:rPr>
          <w:color w:val="0F0F0F"/>
        </w:rPr>
        <w:t>assumptions made by the Council about the future or that are otherwise uncertain.</w:t>
      </w:r>
      <w:r>
        <w:rPr>
          <w:color w:val="0F0F0F"/>
          <w:spacing w:val="80"/>
        </w:rPr>
        <w:t> </w:t>
      </w:r>
      <w:r>
        <w:rPr>
          <w:color w:val="0F0F0F"/>
        </w:rPr>
        <w:t>Estimates are</w:t>
      </w:r>
      <w:r>
        <w:rPr>
          <w:color w:val="0F0F0F"/>
          <w:spacing w:val="-2"/>
        </w:rPr>
        <w:t> </w:t>
      </w:r>
      <w:r>
        <w:rPr>
          <w:color w:val="0F0F0F"/>
        </w:rPr>
        <w:t>made taking into account historical experience, current trends and relevant factors.</w:t>
      </w:r>
      <w:r>
        <w:rPr>
          <w:color w:val="0F0F0F"/>
          <w:spacing w:val="40"/>
        </w:rPr>
        <w:t> </w:t>
      </w:r>
      <w:r>
        <w:rPr>
          <w:color w:val="0F0F0F"/>
        </w:rPr>
        <w:t>However, because balances</w:t>
      </w:r>
      <w:r>
        <w:rPr>
          <w:color w:val="0F0F0F"/>
          <w:spacing w:val="-5"/>
        </w:rPr>
        <w:t> </w:t>
      </w:r>
      <w:r>
        <w:rPr>
          <w:color w:val="0F0F0F"/>
        </w:rPr>
        <w:t>cannot</w:t>
      </w:r>
      <w:r>
        <w:rPr>
          <w:color w:val="0F0F0F"/>
          <w:spacing w:val="-2"/>
        </w:rPr>
        <w:t> </w:t>
      </w:r>
      <w:r>
        <w:rPr>
          <w:color w:val="0F0F0F"/>
        </w:rPr>
        <w:t>be</w:t>
      </w:r>
      <w:r>
        <w:rPr>
          <w:color w:val="0F0F0F"/>
          <w:spacing w:val="-13"/>
        </w:rPr>
        <w:t> </w:t>
      </w:r>
      <w:r>
        <w:rPr>
          <w:color w:val="0F0F0F"/>
        </w:rPr>
        <w:t>determined with</w:t>
      </w:r>
      <w:r>
        <w:rPr>
          <w:color w:val="0F0F0F"/>
          <w:spacing w:val="-8"/>
        </w:rPr>
        <w:t> </w:t>
      </w:r>
      <w:r>
        <w:rPr>
          <w:color w:val="0F0F0F"/>
        </w:rPr>
        <w:t>certainty, actual</w:t>
      </w:r>
      <w:r>
        <w:rPr>
          <w:color w:val="0F0F0F"/>
          <w:spacing w:val="-12"/>
        </w:rPr>
        <w:t> </w:t>
      </w:r>
      <w:r>
        <w:rPr>
          <w:color w:val="0F0F0F"/>
        </w:rPr>
        <w:t>results</w:t>
      </w:r>
      <w:r>
        <w:rPr>
          <w:color w:val="0F0F0F"/>
          <w:spacing w:val="-5"/>
        </w:rPr>
        <w:t> </w:t>
      </w:r>
      <w:r>
        <w:rPr>
          <w:color w:val="0F0F0F"/>
        </w:rPr>
        <w:t>could</w:t>
      </w:r>
      <w:r>
        <w:rPr>
          <w:color w:val="0F0F0F"/>
          <w:spacing w:val="-11"/>
        </w:rPr>
        <w:t> </w:t>
      </w:r>
      <w:r>
        <w:rPr>
          <w:color w:val="0F0F0F"/>
        </w:rPr>
        <w:t>be</w:t>
      </w:r>
      <w:r>
        <w:rPr>
          <w:color w:val="0F0F0F"/>
          <w:spacing w:val="-16"/>
        </w:rPr>
        <w:t> </w:t>
      </w:r>
      <w:r>
        <w:rPr>
          <w:color w:val="0F0F0F"/>
        </w:rPr>
        <w:t>materially different</w:t>
      </w:r>
      <w:r>
        <w:rPr>
          <w:color w:val="0F0F0F"/>
          <w:spacing w:val="-1"/>
        </w:rPr>
        <w:t> </w:t>
      </w:r>
      <w:r>
        <w:rPr>
          <w:color w:val="0F0F0F"/>
        </w:rPr>
        <w:t>from the assumptions</w:t>
      </w:r>
      <w:r>
        <w:rPr>
          <w:color w:val="0F0F0F"/>
          <w:spacing w:val="40"/>
        </w:rPr>
        <w:t> </w:t>
      </w:r>
      <w:r>
        <w:rPr>
          <w:color w:val="0F0F0F"/>
        </w:rPr>
        <w:t>and estimates.</w:t>
      </w:r>
    </w:p>
    <w:p>
      <w:pPr>
        <w:pStyle w:val="BodyText"/>
        <w:spacing w:before="191" w:line="283" w:lineRule="auto"/>
        <w:ind w:left="1578" w:right="1154" w:firstLine="2"/>
        <w:jc w:val="both"/>
      </w:pPr>
      <w:r>
        <w:rPr>
          <w:color w:val="0F0F0F"/>
        </w:rPr>
        <w:t>The</w:t>
      </w:r>
      <w:r>
        <w:rPr>
          <w:color w:val="0F0F0F"/>
          <w:spacing w:val="-8"/>
        </w:rPr>
        <w:t> </w:t>
      </w:r>
      <w:r>
        <w:rPr>
          <w:color w:val="0F0F0F"/>
        </w:rPr>
        <w:t>items in</w:t>
      </w:r>
      <w:r>
        <w:rPr>
          <w:color w:val="0F0F0F"/>
          <w:spacing w:val="-14"/>
        </w:rPr>
        <w:t> </w:t>
      </w:r>
      <w:r>
        <w:rPr>
          <w:color w:val="0F0F0F"/>
        </w:rPr>
        <w:t>the</w:t>
      </w:r>
      <w:r>
        <w:rPr>
          <w:color w:val="0F0F0F"/>
          <w:spacing w:val="-9"/>
        </w:rPr>
        <w:t> </w:t>
      </w:r>
      <w:r>
        <w:rPr>
          <w:color w:val="0F0F0F"/>
        </w:rPr>
        <w:t>Council's balance</w:t>
      </w:r>
      <w:r>
        <w:rPr>
          <w:color w:val="0F0F0F"/>
          <w:spacing w:val="-5"/>
        </w:rPr>
        <w:t> </w:t>
      </w:r>
      <w:r>
        <w:rPr>
          <w:color w:val="0F0F0F"/>
        </w:rPr>
        <w:t>sheet at</w:t>
      </w:r>
      <w:r>
        <w:rPr>
          <w:color w:val="0F0F0F"/>
          <w:spacing w:val="-3"/>
        </w:rPr>
        <w:t> </w:t>
      </w:r>
      <w:r>
        <w:rPr>
          <w:color w:val="0F0F0F"/>
        </w:rPr>
        <w:t>31</w:t>
      </w:r>
      <w:r>
        <w:rPr>
          <w:color w:val="0F0F0F"/>
          <w:spacing w:val="-14"/>
        </w:rPr>
        <w:t> </w:t>
      </w:r>
      <w:r>
        <w:rPr>
          <w:color w:val="0F0F0F"/>
        </w:rPr>
        <w:t>March</w:t>
      </w:r>
      <w:r>
        <w:rPr>
          <w:color w:val="0F0F0F"/>
          <w:spacing w:val="-1"/>
        </w:rPr>
        <w:t> </w:t>
      </w:r>
      <w:r>
        <w:rPr>
          <w:color w:val="0F0F0F"/>
        </w:rPr>
        <w:t>2023</w:t>
      </w:r>
      <w:r>
        <w:rPr>
          <w:color w:val="0F0F0F"/>
          <w:spacing w:val="-5"/>
        </w:rPr>
        <w:t> </w:t>
      </w:r>
      <w:r>
        <w:rPr>
          <w:color w:val="0F0F0F"/>
        </w:rPr>
        <w:t>for</w:t>
      </w:r>
      <w:r>
        <w:rPr>
          <w:color w:val="0F0F0F"/>
          <w:spacing w:val="-1"/>
        </w:rPr>
        <w:t> </w:t>
      </w:r>
      <w:r>
        <w:rPr>
          <w:color w:val="0F0F0F"/>
        </w:rPr>
        <w:t>which</w:t>
      </w:r>
      <w:r>
        <w:rPr>
          <w:color w:val="0F0F0F"/>
          <w:spacing w:val="-4"/>
        </w:rPr>
        <w:t> </w:t>
      </w:r>
      <w:r>
        <w:rPr>
          <w:color w:val="0F0F0F"/>
        </w:rPr>
        <w:t>there</w:t>
      </w:r>
      <w:r>
        <w:rPr>
          <w:color w:val="0F0F0F"/>
          <w:spacing w:val="-3"/>
        </w:rPr>
        <w:t> </w:t>
      </w:r>
      <w:r>
        <w:rPr>
          <w:color w:val="0F0F0F"/>
        </w:rPr>
        <w:t>is</w:t>
      </w:r>
      <w:r>
        <w:rPr>
          <w:color w:val="0F0F0F"/>
          <w:spacing w:val="-4"/>
        </w:rPr>
        <w:t> </w:t>
      </w:r>
      <w:r>
        <w:rPr>
          <w:color w:val="0F0F0F"/>
        </w:rPr>
        <w:t>a</w:t>
      </w:r>
      <w:r>
        <w:rPr>
          <w:color w:val="0F0F0F"/>
          <w:spacing w:val="-4"/>
        </w:rPr>
        <w:t> </w:t>
      </w:r>
      <w:r>
        <w:rPr>
          <w:color w:val="0F0F0F"/>
        </w:rPr>
        <w:t>significant risk of</w:t>
      </w:r>
      <w:r>
        <w:rPr>
          <w:color w:val="0F0F0F"/>
          <w:spacing w:val="-3"/>
        </w:rPr>
        <w:t> </w:t>
      </w:r>
      <w:r>
        <w:rPr>
          <w:color w:val="0F0F0F"/>
        </w:rPr>
        <w:t>material adjustment in</w:t>
      </w:r>
      <w:r>
        <w:rPr>
          <w:color w:val="0F0F0F"/>
          <w:spacing w:val="-2"/>
        </w:rPr>
        <w:t> </w:t>
      </w:r>
      <w:r>
        <w:rPr>
          <w:color w:val="0F0F0F"/>
        </w:rPr>
        <w:t>the forthcoming financial year are as follows: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4"/>
      </w:pPr>
    </w:p>
    <w:p>
      <w:pPr>
        <w:spacing w:before="0"/>
        <w:ind w:left="0" w:right="1205" w:firstLine="0"/>
        <w:jc w:val="right"/>
        <w:rPr>
          <w:sz w:val="26"/>
        </w:rPr>
      </w:pPr>
      <w:r>
        <w:rPr/>
        <ve:AlternateContent>
          <ve:Choice Requires="wps">
            <w:drawing>
              <wp:anchor distT="0" distB="0" distL="0" distR="0" simplePos="0" relativeHeight="15759872" behindDoc="0" locked="0" layoutInCell="1" allowOverlap="1">
                <wp:simplePos x="0" y="0"/>
                <wp:positionH relativeFrom="page">
                  <wp:posOffset>15264</wp:posOffset>
                </wp:positionH>
                <wp:positionV relativeFrom="paragraph">
                  <wp:posOffset>-141067</wp:posOffset>
                </wp:positionV>
                <wp:extent cx="1270" cy="671830"/>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1270" cy="671830"/>
                        </a:xfrm>
                        <a:custGeom>
                          <a:avLst/>
                          <a:gdLst/>
                          <a:ahLst/>
                          <a:cxnLst/>
                          <a:rect l="l" t="t" r="r" b="b"/>
                          <a:pathLst>
                            <a:path w="0" h="671830">
                              <a:moveTo>
                                <a:pt x="0" y="671325"/>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59872" stroked="true" strokecolor="#000000" strokeweight=".961549pt" from="1.201936pt,41.752604pt" to="1.201936pt,-11.107638pt">
                <v:stroke dashstyle="solid"/>
                <w10:wrap type="none"/>
              </v:line>
            </w:pict>
          </ve:Fallback>
        </ve:AlternateContent>
      </w:r>
      <w:r>
        <w:rPr>
          <w:color w:val="0F0F0F"/>
          <w:spacing w:val="-5"/>
          <w:w w:val="95"/>
          <w:sz w:val="26"/>
        </w:rPr>
        <w:t>so</w:t>
      </w:r>
    </w:p>
    <w:p>
      <w:pPr>
        <w:spacing w:after="0"/>
        <w:jc w:val="right"/>
        <w:rPr>
          <w:sz w:val="26"/>
        </w:rPr>
        <w:sectPr>
          <w:footerReference w:type="even" r:id="rId112"/>
          <w:pgSz w:w="11910" w:h="16830"/>
          <w:pgMar w:top="1040" w:right="100" w:bottom="280" w:left="20" w:header="0" w:footer="0"/>
        </w:sectPr>
      </w:pPr>
    </w:p>
    <w:p>
      <w:pPr>
        <w:pStyle w:val="BodyText"/>
        <w:spacing w:before="9"/>
        <w:rPr>
          <w:sz w:val="13"/>
        </w:rPr>
      </w:pPr>
    </w:p>
    <w:p>
      <w:pPr>
        <w:spacing w:after="0"/>
        <w:rPr>
          <w:sz w:val="13"/>
        </w:rPr>
        <w:sectPr>
          <w:headerReference w:type="default" r:id="rId113"/>
          <w:headerReference w:type="even" r:id="rId114"/>
          <w:footerReference w:type="default" r:id="rId115"/>
          <w:footerReference w:type="even" r:id="rId116"/>
          <w:pgSz w:w="11910" w:h="16830"/>
          <w:pgMar w:top="900" w:right="100" w:bottom="1340" w:left="20" w:header="726" w:footer="1156"/>
          <w:pgNumType w:start="51"/>
        </w:sectPr>
      </w:pPr>
    </w:p>
    <w:p>
      <w:pPr>
        <w:pStyle w:val="Heading3"/>
        <w:tabs>
          <w:tab w:val="left" w:leader="none" w:pos="4713"/>
        </w:tabs>
        <w:spacing w:before="98"/>
        <w:ind w:left="2311"/>
      </w:pPr>
      <w:r>
        <w:rPr>
          <w:color w:val="8E8E8E"/>
          <w:spacing w:val="-4"/>
        </w:rPr>
        <w:t>Item</w:t>
      </w:r>
      <w:r>
        <w:rPr>
          <w:color w:val="8E8E8E"/>
        </w:rPr>
        <w:tab/>
      </w:r>
      <w:r>
        <w:rPr>
          <w:color w:val="0F0F0F"/>
          <w:spacing w:val="-9"/>
        </w:rPr>
        <w:t>Uncertainty</w:t>
      </w:r>
    </w:p>
    <w:p>
      <w:pPr>
        <w:spacing w:before="100" w:line="237" w:lineRule="auto"/>
        <w:ind w:left="2689" w:right="795" w:hanging="1052"/>
        <w:jc w:val="left"/>
        <w:rPr>
          <w:b/>
          <w:sz w:val="22"/>
        </w:rPr>
      </w:pPr>
      <w:r>
        <w:rPr/>
        <w:br w:type="column"/>
      </w:r>
      <w:r>
        <w:rPr>
          <w:b/>
          <w:color w:val="0F0F0F"/>
          <w:sz w:val="22"/>
        </w:rPr>
        <w:t>Effect</w:t>
      </w:r>
      <w:r>
        <w:rPr>
          <w:b/>
          <w:color w:val="0F0F0F"/>
          <w:spacing w:val="-13"/>
          <w:sz w:val="22"/>
        </w:rPr>
        <w:t> </w:t>
      </w:r>
      <w:r>
        <w:rPr>
          <w:b/>
          <w:color w:val="0F0F0F"/>
          <w:sz w:val="22"/>
        </w:rPr>
        <w:t>if</w:t>
      </w:r>
      <w:r>
        <w:rPr>
          <w:b/>
          <w:color w:val="0F0F0F"/>
          <w:spacing w:val="-6"/>
          <w:sz w:val="22"/>
        </w:rPr>
        <w:t> </w:t>
      </w:r>
      <w:r>
        <w:rPr>
          <w:b/>
          <w:color w:val="0F0F0F"/>
          <w:sz w:val="22"/>
        </w:rPr>
        <w:t>actual</w:t>
      </w:r>
      <w:r>
        <w:rPr>
          <w:b/>
          <w:color w:val="0F0F0F"/>
          <w:spacing w:val="-4"/>
          <w:sz w:val="22"/>
        </w:rPr>
        <w:t> </w:t>
      </w:r>
      <w:r>
        <w:rPr>
          <w:b/>
          <w:color w:val="0F0F0F"/>
          <w:sz w:val="22"/>
        </w:rPr>
        <w:t>results</w:t>
      </w:r>
      <w:r>
        <w:rPr>
          <w:b/>
          <w:color w:val="0F0F0F"/>
          <w:spacing w:val="-2"/>
          <w:sz w:val="22"/>
        </w:rPr>
        <w:t> </w:t>
      </w:r>
      <w:r>
        <w:rPr>
          <w:b/>
          <w:color w:val="0F0F0F"/>
          <w:sz w:val="22"/>
        </w:rPr>
        <w:t>differ</w:t>
      </w:r>
      <w:r>
        <w:rPr>
          <w:b/>
          <w:color w:val="0F0F0F"/>
          <w:spacing w:val="-2"/>
          <w:sz w:val="22"/>
        </w:rPr>
        <w:t> </w:t>
      </w:r>
      <w:r>
        <w:rPr>
          <w:b/>
          <w:color w:val="0F0F0F"/>
          <w:sz w:val="22"/>
        </w:rPr>
        <w:t>from </w:t>
      </w:r>
      <w:r>
        <w:rPr>
          <w:b/>
          <w:color w:val="0F0F0F"/>
          <w:spacing w:val="-2"/>
          <w:sz w:val="22"/>
        </w:rPr>
        <w:t>assumptions</w:t>
      </w:r>
    </w:p>
    <w:p>
      <w:pPr>
        <w:spacing w:after="0" w:line="237" w:lineRule="auto"/>
        <w:jc w:val="left"/>
        <w:rPr>
          <w:sz w:val="22"/>
        </w:rPr>
        <w:sectPr>
          <w:type w:val="continuous"/>
          <w:pgSz w:w="11910" w:h="16830"/>
          <w:pgMar w:top="1940" w:right="100" w:bottom="280" w:left="20" w:header="726" w:footer="1156"/>
          <w:cols w:equalWidth="0" w:num="2">
            <w:col w:w="5854" w:space="40"/>
            <w:col w:w="5896"/>
          </w:cols>
        </w:sectPr>
      </w:pPr>
    </w:p>
    <w:p>
      <w:pPr>
        <w:pStyle w:val="BodyText"/>
        <w:spacing w:before="10"/>
        <w:rPr>
          <w:b/>
          <w:sz w:val="14"/>
        </w:rPr>
      </w:pPr>
    </w:p>
    <w:p>
      <w:pPr>
        <w:spacing w:after="0"/>
        <w:rPr>
          <w:sz w:val="14"/>
        </w:rPr>
        <w:sectPr>
          <w:type w:val="continuous"/>
          <w:pgSz w:w="11910" w:h="16830"/>
          <w:pgMar w:top="1940" w:right="100" w:bottom="280" w:left="20" w:header="726" w:footer="1156"/>
        </w:sectPr>
      </w:pPr>
    </w:p>
    <w:p>
      <w:pPr>
        <w:spacing w:before="99"/>
        <w:ind w:left="1803" w:right="0" w:firstLine="0"/>
        <w:jc w:val="left"/>
        <w:rPr>
          <w:sz w:val="19"/>
        </w:rPr>
      </w:pPr>
      <w:r>
        <w:rPr>
          <w:i/>
          <w:color w:val="0F0F0F"/>
          <w:w w:val="105"/>
          <w:sz w:val="19"/>
        </w:rPr>
        <w:t>Property</w:t>
      </w:r>
      <w:r>
        <w:rPr>
          <w:i/>
          <w:color w:val="0F0F0F"/>
          <w:spacing w:val="-4"/>
          <w:w w:val="105"/>
          <w:sz w:val="19"/>
        </w:rPr>
        <w:t> </w:t>
      </w:r>
      <w:r>
        <w:rPr>
          <w:i/>
          <w:color w:val="0F0F0F"/>
          <w:w w:val="105"/>
          <w:sz w:val="19"/>
        </w:rPr>
        <w:t>Plant </w:t>
      </w:r>
      <w:r>
        <w:rPr>
          <w:color w:val="0F0F0F"/>
          <w:spacing w:val="-10"/>
          <w:w w:val="105"/>
          <w:sz w:val="19"/>
        </w:rPr>
        <w:t>&amp;</w:t>
      </w:r>
    </w:p>
    <w:p>
      <w:pPr>
        <w:spacing w:before="12"/>
        <w:ind w:left="1798" w:right="0" w:firstLine="0"/>
        <w:jc w:val="left"/>
        <w:rPr>
          <w:i/>
          <w:sz w:val="19"/>
        </w:rPr>
      </w:pPr>
      <w:r>
        <w:rPr>
          <w:i/>
          <w:color w:val="0F0F0F"/>
          <w:spacing w:val="-2"/>
          <w:w w:val="105"/>
          <w:sz w:val="19"/>
        </w:rPr>
        <w:t>Equipment</w:t>
      </w:r>
    </w:p>
    <w:p>
      <w:pPr>
        <w:spacing w:before="94" w:line="254" w:lineRule="auto"/>
        <w:ind w:left="194" w:right="59" w:firstLine="3"/>
        <w:jc w:val="left"/>
        <w:rPr>
          <w:sz w:val="19"/>
        </w:rPr>
      </w:pPr>
      <w:r>
        <w:rPr/>
        <w:br w:type="column"/>
      </w:r>
      <w:r>
        <w:rPr>
          <w:color w:val="0F0F0F"/>
          <w:w w:val="105"/>
          <w:sz w:val="19"/>
        </w:rPr>
        <w:t>Assets</w:t>
      </w:r>
      <w:r>
        <w:rPr>
          <w:color w:val="0F0F0F"/>
          <w:spacing w:val="-6"/>
          <w:w w:val="105"/>
          <w:sz w:val="19"/>
        </w:rPr>
        <w:t> </w:t>
      </w:r>
      <w:r>
        <w:rPr>
          <w:color w:val="0F0F0F"/>
          <w:w w:val="105"/>
          <w:sz w:val="19"/>
        </w:rPr>
        <w:t>are</w:t>
      </w:r>
      <w:r>
        <w:rPr>
          <w:color w:val="0F0F0F"/>
          <w:spacing w:val="-9"/>
          <w:w w:val="105"/>
          <w:sz w:val="19"/>
        </w:rPr>
        <w:t> </w:t>
      </w:r>
      <w:r>
        <w:rPr>
          <w:color w:val="0F0F0F"/>
          <w:w w:val="105"/>
          <w:sz w:val="19"/>
        </w:rPr>
        <w:t>depreciated over</w:t>
      </w:r>
      <w:r>
        <w:rPr>
          <w:color w:val="0F0F0F"/>
          <w:spacing w:val="-9"/>
          <w:w w:val="105"/>
          <w:sz w:val="19"/>
        </w:rPr>
        <w:t> </w:t>
      </w:r>
      <w:r>
        <w:rPr>
          <w:color w:val="0F0F0F"/>
          <w:w w:val="105"/>
          <w:sz w:val="19"/>
        </w:rPr>
        <w:t>useful</w:t>
      </w:r>
      <w:r>
        <w:rPr>
          <w:color w:val="0F0F0F"/>
          <w:spacing w:val="-9"/>
          <w:w w:val="105"/>
          <w:sz w:val="19"/>
        </w:rPr>
        <w:t> </w:t>
      </w:r>
      <w:r>
        <w:rPr>
          <w:color w:val="0F0F0F"/>
          <w:w w:val="105"/>
          <w:sz w:val="19"/>
        </w:rPr>
        <w:t>lives that are dependent on assumptions about the level of repairs and maintenance</w:t>
      </w:r>
      <w:r>
        <w:rPr>
          <w:color w:val="0F0F0F"/>
          <w:spacing w:val="40"/>
          <w:w w:val="105"/>
          <w:sz w:val="19"/>
        </w:rPr>
        <w:t> </w:t>
      </w:r>
      <w:r>
        <w:rPr>
          <w:color w:val="0F0F0F"/>
          <w:w w:val="105"/>
          <w:sz w:val="19"/>
        </w:rPr>
        <w:t>that will be incurred in relation to</w:t>
      </w:r>
      <w:r>
        <w:rPr>
          <w:color w:val="0F0F0F"/>
          <w:spacing w:val="-7"/>
          <w:w w:val="105"/>
          <w:sz w:val="19"/>
        </w:rPr>
        <w:t> </w:t>
      </w:r>
      <w:r>
        <w:rPr>
          <w:color w:val="0F0F0F"/>
          <w:w w:val="105"/>
          <w:sz w:val="19"/>
        </w:rPr>
        <w:t>individual</w:t>
      </w:r>
      <w:r>
        <w:rPr>
          <w:color w:val="0F0F0F"/>
          <w:spacing w:val="-2"/>
          <w:w w:val="105"/>
          <w:sz w:val="19"/>
        </w:rPr>
        <w:t> </w:t>
      </w:r>
      <w:r>
        <w:rPr>
          <w:color w:val="0F0F0F"/>
          <w:w w:val="105"/>
          <w:sz w:val="19"/>
        </w:rPr>
        <w:t>assets</w:t>
      </w:r>
      <w:r>
        <w:rPr>
          <w:color w:val="383838"/>
          <w:w w:val="105"/>
          <w:sz w:val="19"/>
        </w:rPr>
        <w:t>.</w:t>
      </w:r>
      <w:r>
        <w:rPr>
          <w:color w:val="383838"/>
          <w:spacing w:val="-14"/>
          <w:w w:val="105"/>
          <w:sz w:val="19"/>
        </w:rPr>
        <w:t> </w:t>
      </w:r>
      <w:r>
        <w:rPr>
          <w:color w:val="0F0F0F"/>
          <w:w w:val="105"/>
          <w:sz w:val="19"/>
        </w:rPr>
        <w:t>The</w:t>
      </w:r>
      <w:r>
        <w:rPr>
          <w:color w:val="0F0F0F"/>
          <w:spacing w:val="-8"/>
          <w:w w:val="105"/>
          <w:sz w:val="19"/>
        </w:rPr>
        <w:t> </w:t>
      </w:r>
      <w:r>
        <w:rPr>
          <w:color w:val="0F0F0F"/>
          <w:w w:val="105"/>
          <w:sz w:val="19"/>
        </w:rPr>
        <w:t>current economic climate makes it uncertain that the authority</w:t>
      </w:r>
      <w:r>
        <w:rPr>
          <w:color w:val="0F0F0F"/>
          <w:spacing w:val="30"/>
          <w:w w:val="105"/>
          <w:sz w:val="19"/>
        </w:rPr>
        <w:t> </w:t>
      </w:r>
      <w:r>
        <w:rPr>
          <w:color w:val="0F0F0F"/>
          <w:w w:val="105"/>
          <w:sz w:val="19"/>
        </w:rPr>
        <w:t>will</w:t>
      </w:r>
      <w:r>
        <w:rPr>
          <w:color w:val="0F0F0F"/>
          <w:spacing w:val="-3"/>
          <w:w w:val="105"/>
          <w:sz w:val="19"/>
        </w:rPr>
        <w:t> </w:t>
      </w:r>
      <w:r>
        <w:rPr>
          <w:color w:val="0F0F0F"/>
          <w:w w:val="105"/>
          <w:sz w:val="19"/>
        </w:rPr>
        <w:t>be able to sustain its current spending on repairs and maintenance,</w:t>
      </w:r>
      <w:r>
        <w:rPr>
          <w:color w:val="0F0F0F"/>
          <w:w w:val="105"/>
          <w:sz w:val="19"/>
        </w:rPr>
        <w:t> bringing into doubt the useful lives assigned to assets.</w:t>
      </w:r>
    </w:p>
    <w:p>
      <w:pPr>
        <w:pStyle w:val="BodyText"/>
        <w:spacing w:before="3"/>
        <w:rPr>
          <w:sz w:val="19"/>
        </w:rPr>
      </w:pPr>
    </w:p>
    <w:p>
      <w:pPr>
        <w:spacing w:before="0" w:line="254" w:lineRule="auto"/>
        <w:ind w:left="204" w:right="0" w:firstLine="3"/>
        <w:jc w:val="left"/>
        <w:rPr>
          <w:sz w:val="19"/>
        </w:rPr>
      </w:pPr>
      <w:r>
        <w:rPr>
          <w:color w:val="0F0F0F"/>
          <w:w w:val="105"/>
          <w:sz w:val="19"/>
        </w:rPr>
        <w:t>Assets</w:t>
      </w:r>
      <w:r>
        <w:rPr>
          <w:color w:val="0F0F0F"/>
          <w:spacing w:val="-8"/>
          <w:w w:val="105"/>
          <w:sz w:val="19"/>
        </w:rPr>
        <w:t> </w:t>
      </w:r>
      <w:r>
        <w:rPr>
          <w:color w:val="0F0F0F"/>
          <w:w w:val="105"/>
          <w:sz w:val="19"/>
        </w:rPr>
        <w:t>are</w:t>
      </w:r>
      <w:r>
        <w:rPr>
          <w:color w:val="0F0F0F"/>
          <w:spacing w:val="-9"/>
          <w:w w:val="105"/>
          <w:sz w:val="19"/>
        </w:rPr>
        <w:t> </w:t>
      </w:r>
      <w:r>
        <w:rPr>
          <w:color w:val="0F0F0F"/>
          <w:w w:val="105"/>
          <w:sz w:val="19"/>
        </w:rPr>
        <w:t>valued</w:t>
      </w:r>
      <w:r>
        <w:rPr>
          <w:color w:val="0F0F0F"/>
          <w:spacing w:val="-3"/>
          <w:w w:val="105"/>
          <w:sz w:val="19"/>
        </w:rPr>
        <w:t> </w:t>
      </w:r>
      <w:r>
        <w:rPr>
          <w:color w:val="0F0F0F"/>
          <w:w w:val="105"/>
          <w:sz w:val="19"/>
        </w:rPr>
        <w:t>on</w:t>
      </w:r>
      <w:r>
        <w:rPr>
          <w:color w:val="0F0F0F"/>
          <w:spacing w:val="-10"/>
          <w:w w:val="105"/>
          <w:sz w:val="19"/>
        </w:rPr>
        <w:t> </w:t>
      </w:r>
      <w:r>
        <w:rPr>
          <w:color w:val="0F0F0F"/>
          <w:w w:val="105"/>
          <w:sz w:val="19"/>
        </w:rPr>
        <w:t>a</w:t>
      </w:r>
      <w:r>
        <w:rPr>
          <w:color w:val="0F0F0F"/>
          <w:spacing w:val="-12"/>
          <w:w w:val="105"/>
          <w:sz w:val="19"/>
        </w:rPr>
        <w:t> </w:t>
      </w:r>
      <w:r>
        <w:rPr>
          <w:color w:val="0F0F0F"/>
          <w:w w:val="105"/>
          <w:sz w:val="19"/>
        </w:rPr>
        <w:t>three-year rolling </w:t>
      </w:r>
      <w:r>
        <w:rPr>
          <w:color w:val="0F0F0F"/>
          <w:spacing w:val="-2"/>
          <w:w w:val="105"/>
          <w:sz w:val="19"/>
        </w:rPr>
        <w:t>basis.</w:t>
      </w:r>
    </w:p>
    <w:p>
      <w:pPr>
        <w:pStyle w:val="BodyText"/>
        <w:spacing w:before="10"/>
        <w:rPr>
          <w:sz w:val="19"/>
        </w:rPr>
      </w:pPr>
    </w:p>
    <w:p>
      <w:pPr>
        <w:spacing w:before="1" w:line="254" w:lineRule="auto"/>
        <w:ind w:left="205" w:right="58" w:firstLine="2"/>
        <w:jc w:val="left"/>
        <w:rPr>
          <w:sz w:val="19"/>
        </w:rPr>
      </w:pPr>
      <w:r>
        <w:rPr>
          <w:color w:val="0F0F0F"/>
          <w:w w:val="105"/>
          <w:sz w:val="19"/>
        </w:rPr>
        <w:t>Building indices are not applied to approximate for those assets that are not</w:t>
      </w:r>
      <w:r>
        <w:rPr>
          <w:color w:val="0F0F0F"/>
          <w:spacing w:val="-12"/>
          <w:w w:val="105"/>
          <w:sz w:val="19"/>
        </w:rPr>
        <w:t> </w:t>
      </w:r>
      <w:r>
        <w:rPr>
          <w:color w:val="0F0F0F"/>
          <w:w w:val="105"/>
          <w:sz w:val="19"/>
        </w:rPr>
        <w:t>subject</w:t>
      </w:r>
      <w:r>
        <w:rPr>
          <w:color w:val="0F0F0F"/>
          <w:spacing w:val="-3"/>
          <w:w w:val="105"/>
          <w:sz w:val="19"/>
        </w:rPr>
        <w:t> </w:t>
      </w:r>
      <w:r>
        <w:rPr>
          <w:color w:val="0F0F0F"/>
          <w:w w:val="105"/>
          <w:sz w:val="19"/>
        </w:rPr>
        <w:t>to</w:t>
      </w:r>
      <w:r>
        <w:rPr>
          <w:color w:val="0F0F0F"/>
          <w:spacing w:val="-6"/>
          <w:w w:val="105"/>
          <w:sz w:val="19"/>
        </w:rPr>
        <w:t> </w:t>
      </w:r>
      <w:r>
        <w:rPr>
          <w:color w:val="0F0F0F"/>
          <w:w w:val="105"/>
          <w:sz w:val="19"/>
        </w:rPr>
        <w:t>the</w:t>
      </w:r>
      <w:r>
        <w:rPr>
          <w:color w:val="0F0F0F"/>
          <w:spacing w:val="-9"/>
          <w:w w:val="105"/>
          <w:sz w:val="19"/>
        </w:rPr>
        <w:t> </w:t>
      </w:r>
      <w:r>
        <w:rPr>
          <w:color w:val="0F0F0F"/>
          <w:w w:val="105"/>
          <w:sz w:val="19"/>
        </w:rPr>
        <w:t>revaluation process in the year.</w:t>
      </w:r>
    </w:p>
    <w:p>
      <w:pPr>
        <w:spacing w:before="94" w:line="249" w:lineRule="auto"/>
        <w:ind w:left="187" w:right="375" w:hanging="7"/>
        <w:jc w:val="left"/>
        <w:rPr>
          <w:sz w:val="19"/>
        </w:rPr>
      </w:pPr>
      <w:r>
        <w:rPr/>
        <w:br w:type="column"/>
      </w:r>
      <w:r>
        <w:rPr>
          <w:color w:val="0F0F0F"/>
          <w:w w:val="105"/>
          <w:sz w:val="19"/>
        </w:rPr>
        <w:t>If the useful life of assets is reduced, depreciation increases</w:t>
      </w:r>
      <w:r>
        <w:rPr>
          <w:color w:val="0F0F0F"/>
          <w:spacing w:val="-6"/>
          <w:w w:val="105"/>
          <w:sz w:val="19"/>
        </w:rPr>
        <w:t> </w:t>
      </w:r>
      <w:r>
        <w:rPr>
          <w:color w:val="0F0F0F"/>
          <w:w w:val="105"/>
          <w:sz w:val="19"/>
        </w:rPr>
        <w:t>and</w:t>
      </w:r>
      <w:r>
        <w:rPr>
          <w:color w:val="0F0F0F"/>
          <w:spacing w:val="-14"/>
          <w:w w:val="105"/>
          <w:sz w:val="19"/>
        </w:rPr>
        <w:t> </w:t>
      </w:r>
      <w:r>
        <w:rPr>
          <w:color w:val="0F0F0F"/>
          <w:w w:val="105"/>
          <w:sz w:val="19"/>
        </w:rPr>
        <w:t>the</w:t>
      </w:r>
      <w:r>
        <w:rPr>
          <w:color w:val="0F0F0F"/>
          <w:spacing w:val="-12"/>
          <w:w w:val="105"/>
          <w:sz w:val="19"/>
        </w:rPr>
        <w:t> </w:t>
      </w:r>
      <w:r>
        <w:rPr>
          <w:color w:val="0F0F0F"/>
          <w:w w:val="105"/>
          <w:sz w:val="19"/>
        </w:rPr>
        <w:t>carrying amount of the assets falls</w:t>
      </w:r>
      <w:r>
        <w:rPr>
          <w:color w:val="383838"/>
          <w:w w:val="105"/>
          <w:sz w:val="19"/>
        </w:rPr>
        <w:t>.</w:t>
      </w:r>
    </w:p>
    <w:p>
      <w:pPr>
        <w:pStyle w:val="BodyText"/>
        <w:spacing w:before="66"/>
        <w:rPr>
          <w:sz w:val="19"/>
        </w:rPr>
      </w:pPr>
    </w:p>
    <w:p>
      <w:pPr>
        <w:spacing w:before="0" w:line="252" w:lineRule="auto"/>
        <w:ind w:left="191" w:right="572" w:hanging="2"/>
        <w:jc w:val="left"/>
        <w:rPr>
          <w:sz w:val="19"/>
        </w:rPr>
      </w:pPr>
      <w:r>
        <w:rPr>
          <w:color w:val="0F0F0F"/>
          <w:w w:val="105"/>
          <w:sz w:val="19"/>
        </w:rPr>
        <w:t>Based on</w:t>
      </w:r>
      <w:r>
        <w:rPr>
          <w:color w:val="0F0F0F"/>
          <w:spacing w:val="-8"/>
          <w:w w:val="105"/>
          <w:sz w:val="19"/>
        </w:rPr>
        <w:t> </w:t>
      </w:r>
      <w:r>
        <w:rPr>
          <w:color w:val="0F0F0F"/>
          <w:w w:val="105"/>
          <w:sz w:val="19"/>
        </w:rPr>
        <w:t>the</w:t>
      </w:r>
      <w:r>
        <w:rPr>
          <w:color w:val="0F0F0F"/>
          <w:spacing w:val="-4"/>
          <w:w w:val="105"/>
          <w:sz w:val="19"/>
        </w:rPr>
        <w:t> </w:t>
      </w:r>
      <w:r>
        <w:rPr>
          <w:color w:val="0F0F0F"/>
          <w:w w:val="105"/>
          <w:sz w:val="19"/>
        </w:rPr>
        <w:t>assets</w:t>
      </w:r>
      <w:r>
        <w:rPr>
          <w:color w:val="0F0F0F"/>
          <w:spacing w:val="-6"/>
          <w:w w:val="105"/>
          <w:sz w:val="19"/>
        </w:rPr>
        <w:t> </w:t>
      </w:r>
      <w:r>
        <w:rPr>
          <w:color w:val="0F0F0F"/>
          <w:w w:val="105"/>
          <w:sz w:val="19"/>
        </w:rPr>
        <w:t>that were</w:t>
      </w:r>
      <w:r>
        <w:rPr>
          <w:color w:val="0F0F0F"/>
          <w:spacing w:val="-1"/>
          <w:w w:val="105"/>
          <w:sz w:val="19"/>
        </w:rPr>
        <w:t> </w:t>
      </w:r>
      <w:r>
        <w:rPr>
          <w:color w:val="0F0F0F"/>
          <w:w w:val="105"/>
          <w:sz w:val="19"/>
        </w:rPr>
        <w:t>valued in the year as part of the three-year rolling revaluation programme, any 1%</w:t>
      </w:r>
      <w:r>
        <w:rPr>
          <w:color w:val="0F0F0F"/>
          <w:spacing w:val="-7"/>
          <w:w w:val="105"/>
          <w:sz w:val="19"/>
        </w:rPr>
        <w:t> </w:t>
      </w:r>
      <w:r>
        <w:rPr>
          <w:color w:val="0F0F0F"/>
          <w:w w:val="105"/>
          <w:sz w:val="19"/>
        </w:rPr>
        <w:t>increase </w:t>
      </w:r>
      <w:r>
        <w:rPr>
          <w:color w:val="262626"/>
          <w:w w:val="105"/>
          <w:sz w:val="19"/>
        </w:rPr>
        <w:t>in </w:t>
      </w:r>
      <w:r>
        <w:rPr>
          <w:color w:val="0F0F0F"/>
          <w:w w:val="105"/>
          <w:sz w:val="19"/>
        </w:rPr>
        <w:t>valuation for assets last valued prior to 31/03/2023 </w:t>
      </w:r>
      <w:r>
        <w:rPr>
          <w:color w:val="262626"/>
          <w:w w:val="105"/>
          <w:sz w:val="19"/>
        </w:rPr>
        <w:t>would </w:t>
      </w:r>
      <w:r>
        <w:rPr>
          <w:color w:val="0F0F0F"/>
          <w:w w:val="105"/>
          <w:sz w:val="19"/>
        </w:rPr>
        <w:t>equa</w:t>
      </w:r>
      <w:r>
        <w:rPr>
          <w:color w:val="383838"/>
          <w:w w:val="105"/>
          <w:sz w:val="19"/>
        </w:rPr>
        <w:t>te </w:t>
      </w:r>
      <w:r>
        <w:rPr>
          <w:color w:val="262626"/>
          <w:w w:val="105"/>
          <w:sz w:val="19"/>
        </w:rPr>
        <w:t>to the carrying </w:t>
      </w:r>
      <w:r>
        <w:rPr>
          <w:color w:val="0F0F0F"/>
          <w:w w:val="105"/>
          <w:sz w:val="19"/>
        </w:rPr>
        <w:t>value increas</w:t>
      </w:r>
      <w:r>
        <w:rPr>
          <w:color w:val="383838"/>
          <w:w w:val="105"/>
          <w:sz w:val="19"/>
        </w:rPr>
        <w:t>in</w:t>
      </w:r>
      <w:r>
        <w:rPr>
          <w:color w:val="0F0F0F"/>
          <w:w w:val="105"/>
          <w:sz w:val="19"/>
        </w:rPr>
        <w:t>g by </w:t>
      </w:r>
      <w:r>
        <w:rPr>
          <w:color w:val="262626"/>
          <w:w w:val="105"/>
          <w:sz w:val="19"/>
        </w:rPr>
        <w:t>£0</w:t>
      </w:r>
      <w:r>
        <w:rPr>
          <w:color w:val="8E8E8E"/>
          <w:w w:val="105"/>
          <w:sz w:val="19"/>
        </w:rPr>
        <w:t>..</w:t>
      </w:r>
      <w:r>
        <w:rPr>
          <w:color w:val="0F0F0F"/>
          <w:w w:val="105"/>
          <w:sz w:val="19"/>
        </w:rPr>
        <w:t>399 </w:t>
      </w:r>
      <w:r>
        <w:rPr>
          <w:color w:val="262626"/>
          <w:w w:val="105"/>
          <w:sz w:val="19"/>
        </w:rPr>
        <w:t>million</w:t>
      </w:r>
      <w:r>
        <w:rPr>
          <w:color w:val="676767"/>
          <w:w w:val="105"/>
          <w:sz w:val="19"/>
        </w:rPr>
        <w:t>.</w:t>
      </w:r>
    </w:p>
    <w:p>
      <w:pPr>
        <w:pStyle w:val="BodyText"/>
        <w:spacing w:before="68"/>
        <w:rPr>
          <w:sz w:val="19"/>
        </w:rPr>
      </w:pPr>
    </w:p>
    <w:p>
      <w:pPr>
        <w:spacing w:before="0" w:line="254" w:lineRule="auto"/>
        <w:ind w:left="198" w:right="595" w:hanging="4"/>
        <w:jc w:val="left"/>
        <w:rPr>
          <w:sz w:val="19"/>
        </w:rPr>
      </w:pPr>
      <w:r>
        <w:rPr>
          <w:color w:val="0F0F0F"/>
          <w:w w:val="105"/>
          <w:sz w:val="19"/>
        </w:rPr>
        <w:t>The valuers have reported the 31/03/2023 valuation is</w:t>
      </w:r>
      <w:r>
        <w:rPr>
          <w:color w:val="0F0F0F"/>
          <w:spacing w:val="-11"/>
          <w:w w:val="105"/>
          <w:sz w:val="19"/>
        </w:rPr>
        <w:t> </w:t>
      </w:r>
      <w:r>
        <w:rPr>
          <w:color w:val="0F0F0F"/>
          <w:w w:val="105"/>
          <w:sz w:val="19"/>
        </w:rPr>
        <w:t>not</w:t>
      </w:r>
      <w:r>
        <w:rPr>
          <w:color w:val="0F0F0F"/>
          <w:spacing w:val="-6"/>
          <w:w w:val="105"/>
          <w:sz w:val="19"/>
        </w:rPr>
        <w:t> </w:t>
      </w:r>
      <w:r>
        <w:rPr>
          <w:color w:val="0F0F0F"/>
          <w:w w:val="105"/>
          <w:sz w:val="19"/>
        </w:rPr>
        <w:t>reported as</w:t>
      </w:r>
      <w:r>
        <w:rPr>
          <w:color w:val="0F0F0F"/>
          <w:spacing w:val="-4"/>
          <w:w w:val="105"/>
          <w:sz w:val="19"/>
        </w:rPr>
        <w:t> </w:t>
      </w:r>
      <w:r>
        <w:rPr>
          <w:color w:val="0F0F0F"/>
          <w:w w:val="105"/>
          <w:sz w:val="19"/>
        </w:rPr>
        <w:t>being</w:t>
      </w:r>
      <w:r>
        <w:rPr>
          <w:color w:val="0F0F0F"/>
          <w:spacing w:val="-3"/>
          <w:w w:val="105"/>
          <w:sz w:val="19"/>
        </w:rPr>
        <w:t> </w:t>
      </w:r>
      <w:r>
        <w:rPr>
          <w:color w:val="0F0F0F"/>
          <w:w w:val="105"/>
          <w:sz w:val="19"/>
        </w:rPr>
        <w:t>subject to 'material valuation uncertainty' as defined</w:t>
      </w:r>
      <w:r>
        <w:rPr>
          <w:color w:val="0F0F0F"/>
          <w:spacing w:val="40"/>
          <w:w w:val="105"/>
          <w:sz w:val="19"/>
        </w:rPr>
        <w:t> </w:t>
      </w:r>
      <w:r>
        <w:rPr>
          <w:color w:val="0F0F0F"/>
          <w:w w:val="105"/>
          <w:sz w:val="19"/>
        </w:rPr>
        <w:t>by VPS 3 and VPGA 10 of the RICS Valuation Global Standards.</w:t>
      </w:r>
    </w:p>
    <w:p>
      <w:pPr>
        <w:spacing w:after="0" w:line="254" w:lineRule="auto"/>
        <w:jc w:val="left"/>
        <w:rPr>
          <w:sz w:val="19"/>
        </w:rPr>
        <w:sectPr>
          <w:type w:val="continuous"/>
          <w:pgSz w:w="11910" w:h="16830"/>
          <w:pgMar w:top="1940" w:right="100" w:bottom="280" w:left="20" w:header="726" w:footer="1156"/>
          <w:cols w:equalWidth="0" w:num="3">
            <w:col w:w="3257" w:space="40"/>
            <w:col w:w="3796" w:space="39"/>
            <w:col w:w="4658"/>
          </w:cols>
        </w:sectPr>
      </w:pPr>
    </w:p>
    <w:p>
      <w:pPr>
        <w:pStyle w:val="BodyText"/>
        <w:rPr>
          <w:sz w:val="19"/>
        </w:rPr>
      </w:pPr>
    </w:p>
    <w:p>
      <w:pPr>
        <w:pStyle w:val="BodyText"/>
        <w:spacing w:before="15"/>
        <w:rPr>
          <w:sz w:val="19"/>
        </w:rPr>
      </w:pPr>
    </w:p>
    <w:p>
      <w:pPr>
        <w:spacing w:before="0" w:line="254" w:lineRule="auto"/>
        <w:ind w:left="3503" w:right="4703" w:firstLine="1"/>
        <w:jc w:val="left"/>
        <w:rPr>
          <w:sz w:val="19"/>
        </w:rPr>
      </w:pPr>
      <w:r>
        <w:rPr>
          <w:color w:val="0F0F0F"/>
          <w:w w:val="105"/>
          <w:sz w:val="19"/>
        </w:rPr>
        <w:t>The</w:t>
      </w:r>
      <w:r>
        <w:rPr>
          <w:color w:val="0F0F0F"/>
          <w:spacing w:val="-8"/>
          <w:w w:val="105"/>
          <w:sz w:val="19"/>
        </w:rPr>
        <w:t> </w:t>
      </w:r>
      <w:r>
        <w:rPr>
          <w:color w:val="0F0F0F"/>
          <w:w w:val="105"/>
          <w:sz w:val="19"/>
        </w:rPr>
        <w:t>Council</w:t>
      </w:r>
      <w:r>
        <w:rPr>
          <w:color w:val="0F0F0F"/>
          <w:spacing w:val="-3"/>
          <w:w w:val="105"/>
          <w:sz w:val="19"/>
        </w:rPr>
        <w:t> </w:t>
      </w:r>
      <w:r>
        <w:rPr>
          <w:color w:val="0F0F0F"/>
          <w:w w:val="105"/>
          <w:sz w:val="19"/>
        </w:rPr>
        <w:t>has</w:t>
      </w:r>
      <w:r>
        <w:rPr>
          <w:color w:val="0F0F0F"/>
          <w:spacing w:val="-14"/>
          <w:w w:val="105"/>
          <w:sz w:val="19"/>
        </w:rPr>
        <w:t> </w:t>
      </w:r>
      <w:r>
        <w:rPr>
          <w:color w:val="0F0F0F"/>
          <w:w w:val="105"/>
          <w:sz w:val="19"/>
        </w:rPr>
        <w:t>Property, Plant</w:t>
      </w:r>
      <w:r>
        <w:rPr>
          <w:color w:val="0F0F0F"/>
          <w:spacing w:val="-3"/>
          <w:w w:val="105"/>
          <w:sz w:val="19"/>
        </w:rPr>
        <w:t> </w:t>
      </w:r>
      <w:r>
        <w:rPr>
          <w:color w:val="0F0F0F"/>
          <w:w w:val="105"/>
          <w:sz w:val="19"/>
        </w:rPr>
        <w:t>and Equipment with a carrying value of</w:t>
      </w:r>
    </w:p>
    <w:p>
      <w:pPr>
        <w:spacing w:before="0" w:line="254" w:lineRule="auto"/>
        <w:ind w:left="3505" w:right="4703" w:firstLine="0"/>
        <w:jc w:val="left"/>
        <w:rPr>
          <w:sz w:val="19"/>
        </w:rPr>
      </w:pPr>
      <w:r>
        <w:rPr>
          <w:color w:val="0F0F0F"/>
          <w:w w:val="105"/>
          <w:sz w:val="19"/>
        </w:rPr>
        <w:t>£186.202 million</w:t>
      </w:r>
      <w:r>
        <w:rPr>
          <w:color w:val="0F0F0F"/>
          <w:spacing w:val="-6"/>
          <w:w w:val="105"/>
          <w:sz w:val="19"/>
        </w:rPr>
        <w:t> </w:t>
      </w:r>
      <w:r>
        <w:rPr>
          <w:color w:val="0F0F0F"/>
          <w:w w:val="105"/>
          <w:sz w:val="19"/>
        </w:rPr>
        <w:t>on</w:t>
      </w:r>
      <w:r>
        <w:rPr>
          <w:color w:val="0F0F0F"/>
          <w:spacing w:val="-8"/>
          <w:w w:val="105"/>
          <w:sz w:val="19"/>
        </w:rPr>
        <w:t> </w:t>
      </w:r>
      <w:r>
        <w:rPr>
          <w:color w:val="0F0F0F"/>
          <w:w w:val="105"/>
          <w:sz w:val="19"/>
        </w:rPr>
        <w:t>the</w:t>
      </w:r>
      <w:r>
        <w:rPr>
          <w:color w:val="0F0F0F"/>
          <w:spacing w:val="-6"/>
          <w:w w:val="105"/>
          <w:sz w:val="19"/>
        </w:rPr>
        <w:t> </w:t>
      </w:r>
      <w:r>
        <w:rPr>
          <w:color w:val="0F0F0F"/>
          <w:w w:val="105"/>
          <w:sz w:val="19"/>
        </w:rPr>
        <w:t>Balance</w:t>
      </w:r>
      <w:r>
        <w:rPr>
          <w:color w:val="0F0F0F"/>
          <w:spacing w:val="-5"/>
          <w:w w:val="105"/>
          <w:sz w:val="19"/>
        </w:rPr>
        <w:t> </w:t>
      </w:r>
      <w:r>
        <w:rPr>
          <w:color w:val="0F0F0F"/>
          <w:w w:val="105"/>
          <w:sz w:val="19"/>
        </w:rPr>
        <w:t>Sheet as at 31st March 2023, with £2.236 million charged as depreciation during the year.</w:t>
      </w:r>
    </w:p>
    <w:p>
      <w:pPr>
        <w:spacing w:after="0" w:line="254" w:lineRule="auto"/>
        <w:jc w:val="left"/>
        <w:rPr>
          <w:sz w:val="19"/>
        </w:rPr>
        <w:sectPr>
          <w:type w:val="continuous"/>
          <w:pgSz w:w="11910" w:h="16830"/>
          <w:pgMar w:top="1940" w:right="100" w:bottom="280" w:left="20" w:header="726" w:footer="1156"/>
        </w:sectPr>
      </w:pPr>
    </w:p>
    <w:p>
      <w:pPr>
        <w:pStyle w:val="BodyText"/>
        <w:spacing w:before="10"/>
        <w:rPr>
          <w:sz w:val="13"/>
        </w:rPr>
      </w:pPr>
    </w:p>
    <w:p>
      <w:pPr>
        <w:spacing w:after="0"/>
        <w:rPr>
          <w:sz w:val="13"/>
        </w:rPr>
        <w:sectPr>
          <w:pgSz w:w="11910" w:h="16830"/>
          <w:pgMar w:top="1040" w:right="100" w:bottom="1200" w:left="20" w:header="853" w:footer="1010"/>
        </w:sectPr>
      </w:pPr>
    </w:p>
    <w:p>
      <w:pPr>
        <w:tabs>
          <w:tab w:val="left" w:leader="none" w:pos="4619"/>
        </w:tabs>
        <w:spacing w:before="99"/>
        <w:ind w:left="2072" w:right="0" w:firstLine="0"/>
        <w:jc w:val="left"/>
        <w:rPr>
          <w:b/>
          <w:sz w:val="19"/>
        </w:rPr>
      </w:pPr>
      <w:r>
        <w:rPr>
          <w:b/>
          <w:color w:val="5E5E5E"/>
          <w:spacing w:val="-4"/>
          <w:w w:val="105"/>
          <w:sz w:val="19"/>
        </w:rPr>
        <w:t>Item</w:t>
      </w:r>
      <w:r>
        <w:rPr>
          <w:b/>
          <w:color w:val="5E5E5E"/>
          <w:sz w:val="19"/>
        </w:rPr>
        <w:tab/>
      </w:r>
      <w:r>
        <w:rPr>
          <w:b/>
          <w:color w:val="5E5E5E"/>
          <w:spacing w:val="-2"/>
          <w:w w:val="105"/>
          <w:sz w:val="19"/>
        </w:rPr>
        <w:t>Uncertainty</w:t>
      </w:r>
    </w:p>
    <w:p>
      <w:pPr>
        <w:spacing w:before="94" w:line="254" w:lineRule="auto"/>
        <w:ind w:left="3007" w:right="744" w:hanging="935"/>
        <w:jc w:val="left"/>
        <w:rPr>
          <w:b/>
          <w:sz w:val="19"/>
        </w:rPr>
      </w:pPr>
      <w:r>
        <w:rPr/>
        <w:br w:type="column"/>
      </w:r>
      <w:r>
        <w:rPr>
          <w:b/>
          <w:color w:val="0E0E0E"/>
          <w:w w:val="105"/>
          <w:sz w:val="19"/>
        </w:rPr>
        <w:t>Effect</w:t>
      </w:r>
      <w:r>
        <w:rPr>
          <w:b/>
          <w:color w:val="0E0E0E"/>
          <w:spacing w:val="-11"/>
          <w:w w:val="105"/>
          <w:sz w:val="19"/>
        </w:rPr>
        <w:t> </w:t>
      </w:r>
      <w:r>
        <w:rPr>
          <w:b/>
          <w:color w:val="0E0E0E"/>
          <w:w w:val="105"/>
          <w:sz w:val="19"/>
        </w:rPr>
        <w:t>if</w:t>
      </w:r>
      <w:r>
        <w:rPr>
          <w:b/>
          <w:color w:val="0E0E0E"/>
          <w:spacing w:val="-13"/>
          <w:w w:val="105"/>
          <w:sz w:val="19"/>
        </w:rPr>
        <w:t> </w:t>
      </w:r>
      <w:r>
        <w:rPr>
          <w:b/>
          <w:color w:val="0E0E0E"/>
          <w:w w:val="105"/>
          <w:sz w:val="19"/>
        </w:rPr>
        <w:t>actual</w:t>
      </w:r>
      <w:r>
        <w:rPr>
          <w:b/>
          <w:color w:val="0E0E0E"/>
          <w:spacing w:val="-6"/>
          <w:w w:val="105"/>
          <w:sz w:val="19"/>
        </w:rPr>
        <w:t> </w:t>
      </w:r>
      <w:r>
        <w:rPr>
          <w:b/>
          <w:color w:val="0E0E0E"/>
          <w:w w:val="105"/>
          <w:sz w:val="19"/>
        </w:rPr>
        <w:t>results</w:t>
      </w:r>
      <w:r>
        <w:rPr>
          <w:b/>
          <w:color w:val="0E0E0E"/>
          <w:spacing w:val="-6"/>
          <w:w w:val="105"/>
          <w:sz w:val="19"/>
        </w:rPr>
        <w:t> </w:t>
      </w:r>
      <w:r>
        <w:rPr>
          <w:b/>
          <w:color w:val="0E0E0E"/>
          <w:w w:val="105"/>
          <w:sz w:val="19"/>
        </w:rPr>
        <w:t>differ</w:t>
      </w:r>
      <w:r>
        <w:rPr>
          <w:b/>
          <w:color w:val="0E0E0E"/>
          <w:spacing w:val="-5"/>
          <w:w w:val="105"/>
          <w:sz w:val="19"/>
        </w:rPr>
        <w:t> </w:t>
      </w:r>
      <w:r>
        <w:rPr>
          <w:b/>
          <w:color w:val="0E0E0E"/>
          <w:w w:val="105"/>
          <w:sz w:val="19"/>
        </w:rPr>
        <w:t>from </w:t>
      </w:r>
      <w:r>
        <w:rPr>
          <w:b/>
          <w:color w:val="0E0E0E"/>
          <w:spacing w:val="-2"/>
          <w:w w:val="105"/>
          <w:sz w:val="19"/>
        </w:rPr>
        <w:t>assumptions</w:t>
      </w:r>
    </w:p>
    <w:p>
      <w:pPr>
        <w:spacing w:after="0" w:line="254" w:lineRule="auto"/>
        <w:jc w:val="left"/>
        <w:rPr>
          <w:sz w:val="19"/>
        </w:rPr>
        <w:sectPr>
          <w:type w:val="continuous"/>
          <w:pgSz w:w="11910" w:h="16830"/>
          <w:pgMar w:top="1940" w:right="100" w:bottom="280" w:left="20" w:header="853" w:footer="1010"/>
          <w:cols w:equalWidth="0" w:num="2">
            <w:col w:w="5749" w:space="96"/>
            <w:col w:w="5945"/>
          </w:cols>
        </w:sectPr>
      </w:pPr>
    </w:p>
    <w:p>
      <w:pPr>
        <w:pStyle w:val="BodyText"/>
        <w:spacing w:before="2"/>
        <w:rPr>
          <w:b/>
          <w:sz w:val="12"/>
        </w:rPr>
      </w:pPr>
    </w:p>
    <w:p>
      <w:pPr>
        <w:spacing w:after="0"/>
        <w:rPr>
          <w:sz w:val="12"/>
        </w:rPr>
        <w:sectPr>
          <w:type w:val="continuous"/>
          <w:pgSz w:w="11910" w:h="16830"/>
          <w:pgMar w:top="1940" w:right="100" w:bottom="280" w:left="20" w:header="853" w:footer="1010"/>
        </w:sectPr>
      </w:pPr>
    </w:p>
    <w:p>
      <w:pPr>
        <w:spacing w:before="98" w:line="235" w:lineRule="auto"/>
        <w:ind w:left="1735" w:right="0" w:firstLine="0"/>
        <w:jc w:val="left"/>
        <w:rPr>
          <w:i/>
          <w:sz w:val="20"/>
        </w:rPr>
      </w:pPr>
      <w:r>
        <w:rPr>
          <w:i/>
          <w:color w:val="0E0E0E"/>
          <w:spacing w:val="-2"/>
          <w:sz w:val="20"/>
        </w:rPr>
        <w:t>Pensions</w:t>
      </w:r>
      <w:r>
        <w:rPr>
          <w:i/>
          <w:color w:val="0E0E0E"/>
          <w:spacing w:val="-2"/>
          <w:sz w:val="20"/>
        </w:rPr>
        <w:t> Liability</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57"/>
        <w:rPr>
          <w:i/>
          <w:sz w:val="20"/>
        </w:rPr>
      </w:pPr>
    </w:p>
    <w:p>
      <w:pPr>
        <w:spacing w:before="0" w:line="240" w:lineRule="auto"/>
        <w:ind w:left="1688" w:right="0" w:firstLine="13"/>
        <w:jc w:val="left"/>
        <w:rPr>
          <w:i/>
          <w:sz w:val="20"/>
        </w:rPr>
      </w:pPr>
      <w:r>
        <w:rPr>
          <w:i/>
          <w:color w:val="0E0E0E"/>
          <w:spacing w:val="-4"/>
          <w:sz w:val="20"/>
        </w:rPr>
        <w:t>Non</w:t>
      </w:r>
      <w:r>
        <w:rPr>
          <w:i/>
          <w:color w:val="0E0E0E"/>
          <w:spacing w:val="-4"/>
          <w:sz w:val="20"/>
        </w:rPr>
        <w:t> </w:t>
      </w:r>
      <w:r>
        <w:rPr>
          <w:i/>
          <w:color w:val="0E0E0E"/>
          <w:spacing w:val="-2"/>
          <w:sz w:val="20"/>
        </w:rPr>
        <w:t>Domestic Rates Appeals provision</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51"/>
        <w:rPr>
          <w:i/>
          <w:sz w:val="20"/>
        </w:rPr>
      </w:pPr>
    </w:p>
    <w:p>
      <w:pPr>
        <w:spacing w:before="1"/>
        <w:ind w:left="1661" w:right="0" w:firstLine="1"/>
        <w:jc w:val="left"/>
        <w:rPr>
          <w:i/>
          <w:sz w:val="20"/>
        </w:rPr>
      </w:pPr>
      <w:r>
        <w:rPr>
          <w:i/>
          <w:color w:val="0E0E0E"/>
          <w:sz w:val="20"/>
        </w:rPr>
        <w:t>Fair value</w:t>
      </w:r>
      <w:r>
        <w:rPr>
          <w:i/>
          <w:color w:val="0E0E0E"/>
          <w:sz w:val="20"/>
        </w:rPr>
        <w:t> </w:t>
      </w:r>
      <w:r>
        <w:rPr>
          <w:i/>
          <w:color w:val="0E0E0E"/>
          <w:spacing w:val="-2"/>
          <w:sz w:val="20"/>
        </w:rPr>
        <w:t>estimations</w:t>
      </w:r>
    </w:p>
    <w:p>
      <w:pPr>
        <w:spacing w:before="108" w:line="252" w:lineRule="auto"/>
        <w:ind w:left="283" w:right="0" w:firstLine="19"/>
        <w:jc w:val="left"/>
        <w:rPr>
          <w:sz w:val="19"/>
        </w:rPr>
      </w:pPr>
      <w:r>
        <w:rPr/>
        <w:br w:type="column"/>
      </w:r>
      <w:r>
        <w:rPr>
          <w:color w:val="0E0E0E"/>
          <w:w w:val="105"/>
          <w:sz w:val="19"/>
        </w:rPr>
        <w:t>Estimations of the net liability to pay pensions depends on a number of complex judgements relating </w:t>
      </w:r>
      <w:r>
        <w:rPr>
          <w:color w:val="212121"/>
          <w:w w:val="105"/>
          <w:sz w:val="19"/>
        </w:rPr>
        <w:t>to </w:t>
      </w:r>
      <w:r>
        <w:rPr>
          <w:color w:val="0E0E0E"/>
          <w:w w:val="105"/>
          <w:sz w:val="19"/>
        </w:rPr>
        <w:t>the discount rate used, the rate at which salaries are projected to </w:t>
      </w:r>
      <w:r>
        <w:rPr>
          <w:color w:val="212121"/>
          <w:w w:val="105"/>
          <w:sz w:val="19"/>
        </w:rPr>
        <w:t>increase, </w:t>
      </w:r>
      <w:r>
        <w:rPr>
          <w:color w:val="0E0E0E"/>
          <w:w w:val="105"/>
          <w:sz w:val="19"/>
        </w:rPr>
        <w:t>changes in</w:t>
      </w:r>
      <w:r>
        <w:rPr>
          <w:color w:val="0E0E0E"/>
          <w:spacing w:val="-14"/>
          <w:w w:val="105"/>
          <w:sz w:val="19"/>
        </w:rPr>
        <w:t> </w:t>
      </w:r>
      <w:r>
        <w:rPr>
          <w:color w:val="0E0E0E"/>
          <w:w w:val="105"/>
          <w:sz w:val="19"/>
        </w:rPr>
        <w:t>mortality rates</w:t>
      </w:r>
      <w:r>
        <w:rPr>
          <w:color w:val="0E0E0E"/>
          <w:spacing w:val="-2"/>
          <w:w w:val="105"/>
          <w:sz w:val="19"/>
        </w:rPr>
        <w:t> </w:t>
      </w:r>
      <w:r>
        <w:rPr>
          <w:color w:val="0E0E0E"/>
          <w:w w:val="105"/>
          <w:sz w:val="19"/>
        </w:rPr>
        <w:t>and</w:t>
      </w:r>
      <w:r>
        <w:rPr>
          <w:color w:val="0E0E0E"/>
          <w:spacing w:val="-14"/>
          <w:w w:val="105"/>
          <w:sz w:val="19"/>
        </w:rPr>
        <w:t> </w:t>
      </w:r>
      <w:r>
        <w:rPr>
          <w:color w:val="0E0E0E"/>
          <w:w w:val="105"/>
          <w:sz w:val="19"/>
        </w:rPr>
        <w:t>expected</w:t>
      </w:r>
      <w:r>
        <w:rPr>
          <w:color w:val="0E0E0E"/>
          <w:spacing w:val="-5"/>
          <w:w w:val="105"/>
          <w:sz w:val="19"/>
        </w:rPr>
        <w:t> </w:t>
      </w:r>
      <w:r>
        <w:rPr>
          <w:color w:val="0E0E0E"/>
          <w:w w:val="105"/>
          <w:sz w:val="19"/>
        </w:rPr>
        <w:t>returns on pension fund assets.</w:t>
      </w:r>
      <w:r>
        <w:rPr>
          <w:color w:val="0E0E0E"/>
          <w:spacing w:val="40"/>
          <w:w w:val="105"/>
          <w:sz w:val="19"/>
        </w:rPr>
        <w:t> </w:t>
      </w:r>
      <w:r>
        <w:rPr>
          <w:color w:val="0E0E0E"/>
          <w:w w:val="105"/>
          <w:sz w:val="19"/>
        </w:rPr>
        <w:t>The Council concurs with the assumptions to be applied by the independent actuary to the Hertfordshire Local Government Pension Scheme.</w:t>
      </w:r>
    </w:p>
    <w:p>
      <w:pPr>
        <w:pStyle w:val="BodyText"/>
        <w:rPr>
          <w:sz w:val="19"/>
        </w:rPr>
      </w:pPr>
    </w:p>
    <w:p>
      <w:pPr>
        <w:pStyle w:val="BodyText"/>
        <w:spacing w:before="180"/>
        <w:rPr>
          <w:sz w:val="19"/>
        </w:rPr>
      </w:pPr>
    </w:p>
    <w:p>
      <w:pPr>
        <w:spacing w:before="0" w:line="252" w:lineRule="auto"/>
        <w:ind w:left="247" w:right="40" w:firstLine="32"/>
        <w:jc w:val="left"/>
        <w:rPr>
          <w:sz w:val="19"/>
        </w:rPr>
      </w:pPr>
      <w:r>
        <w:rPr>
          <w:color w:val="212121"/>
          <w:w w:val="105"/>
          <w:sz w:val="19"/>
        </w:rPr>
        <w:t>The provision </w:t>
      </w:r>
      <w:r>
        <w:rPr>
          <w:color w:val="0E0E0E"/>
          <w:w w:val="105"/>
          <w:sz w:val="19"/>
        </w:rPr>
        <w:t>for NOR Appeals includes an </w:t>
      </w:r>
      <w:r>
        <w:rPr>
          <w:color w:val="212121"/>
          <w:w w:val="105"/>
          <w:sz w:val="19"/>
        </w:rPr>
        <w:t>assessment </w:t>
      </w:r>
      <w:r>
        <w:rPr>
          <w:color w:val="0E0E0E"/>
          <w:w w:val="105"/>
          <w:sz w:val="19"/>
        </w:rPr>
        <w:t>of the appeals </w:t>
      </w:r>
      <w:r>
        <w:rPr>
          <w:color w:val="212121"/>
          <w:w w:val="105"/>
          <w:sz w:val="19"/>
        </w:rPr>
        <w:t>lodged </w:t>
      </w:r>
      <w:r>
        <w:rPr>
          <w:color w:val="0E0E0E"/>
          <w:w w:val="105"/>
          <w:sz w:val="19"/>
        </w:rPr>
        <w:t>to 31st March 2023. The carrying amount of the </w:t>
      </w:r>
      <w:r>
        <w:rPr>
          <w:color w:val="212121"/>
          <w:w w:val="105"/>
          <w:sz w:val="19"/>
        </w:rPr>
        <w:t>provision </w:t>
      </w:r>
      <w:r>
        <w:rPr>
          <w:color w:val="343434"/>
          <w:w w:val="105"/>
          <w:sz w:val="19"/>
        </w:rPr>
        <w:t>is </w:t>
      </w:r>
      <w:r>
        <w:rPr>
          <w:color w:val="212121"/>
          <w:w w:val="105"/>
          <w:sz w:val="19"/>
        </w:rPr>
        <w:t>£1.044 </w:t>
      </w:r>
      <w:r>
        <w:rPr>
          <w:color w:val="0E0E0E"/>
          <w:w w:val="105"/>
          <w:sz w:val="19"/>
        </w:rPr>
        <w:t>million, of which the </w:t>
      </w:r>
      <w:r>
        <w:rPr>
          <w:color w:val="212121"/>
          <w:w w:val="105"/>
          <w:sz w:val="19"/>
        </w:rPr>
        <w:t>Council's 40% share </w:t>
      </w:r>
      <w:r>
        <w:rPr>
          <w:color w:val="0E0E0E"/>
          <w:w w:val="105"/>
          <w:sz w:val="19"/>
        </w:rPr>
        <w:t>of £0.418 million is reflected in the accounts. Rateable value list amendments of £2.650 million were charged against the</w:t>
      </w:r>
      <w:r>
        <w:rPr>
          <w:color w:val="0E0E0E"/>
          <w:spacing w:val="-7"/>
          <w:w w:val="105"/>
          <w:sz w:val="19"/>
        </w:rPr>
        <w:t> </w:t>
      </w:r>
      <w:r>
        <w:rPr>
          <w:color w:val="0E0E0E"/>
          <w:w w:val="105"/>
          <w:sz w:val="19"/>
        </w:rPr>
        <w:t>carrying</w:t>
      </w:r>
      <w:r>
        <w:rPr>
          <w:color w:val="0E0E0E"/>
          <w:spacing w:val="-1"/>
          <w:w w:val="105"/>
          <w:sz w:val="19"/>
        </w:rPr>
        <w:t> </w:t>
      </w:r>
      <w:r>
        <w:rPr>
          <w:color w:val="0E0E0E"/>
          <w:w w:val="105"/>
          <w:sz w:val="19"/>
        </w:rPr>
        <w:t>amount of</w:t>
      </w:r>
      <w:r>
        <w:rPr>
          <w:color w:val="0E0E0E"/>
          <w:spacing w:val="-4"/>
          <w:w w:val="105"/>
          <w:sz w:val="19"/>
        </w:rPr>
        <w:t> </w:t>
      </w:r>
      <w:r>
        <w:rPr>
          <w:color w:val="0E0E0E"/>
          <w:w w:val="105"/>
          <w:sz w:val="19"/>
        </w:rPr>
        <w:t>the</w:t>
      </w:r>
      <w:r>
        <w:rPr>
          <w:color w:val="0E0E0E"/>
          <w:spacing w:val="-6"/>
          <w:w w:val="105"/>
          <w:sz w:val="19"/>
        </w:rPr>
        <w:t> </w:t>
      </w:r>
      <w:r>
        <w:rPr>
          <w:color w:val="0E0E0E"/>
          <w:w w:val="105"/>
          <w:sz w:val="19"/>
        </w:rPr>
        <w:t>provision in 2022/23 and</w:t>
      </w:r>
      <w:r>
        <w:rPr>
          <w:color w:val="0E0E0E"/>
          <w:spacing w:val="-1"/>
          <w:w w:val="105"/>
          <w:sz w:val="19"/>
        </w:rPr>
        <w:t> </w:t>
      </w:r>
      <w:r>
        <w:rPr>
          <w:color w:val="212121"/>
          <w:w w:val="105"/>
          <w:sz w:val="19"/>
        </w:rPr>
        <w:t>an additional </w:t>
      </w:r>
      <w:r>
        <w:rPr>
          <w:color w:val="0E0E0E"/>
          <w:w w:val="105"/>
          <w:sz w:val="19"/>
        </w:rPr>
        <w:t>provision </w:t>
      </w:r>
      <w:r>
        <w:rPr>
          <w:color w:val="212121"/>
          <w:w w:val="105"/>
          <w:sz w:val="19"/>
        </w:rPr>
        <w:t>of</w:t>
      </w:r>
      <w:r>
        <w:rPr>
          <w:color w:val="212121"/>
          <w:spacing w:val="-2"/>
          <w:w w:val="105"/>
          <w:sz w:val="19"/>
        </w:rPr>
        <w:t> </w:t>
      </w:r>
      <w:r>
        <w:rPr>
          <w:color w:val="212121"/>
          <w:w w:val="105"/>
          <w:sz w:val="19"/>
        </w:rPr>
        <w:t>£0.289 </w:t>
      </w:r>
      <w:r>
        <w:rPr>
          <w:color w:val="0E0E0E"/>
          <w:w w:val="105"/>
          <w:sz w:val="19"/>
        </w:rPr>
        <w:t>million was made during the year.</w:t>
      </w:r>
    </w:p>
    <w:p>
      <w:pPr>
        <w:pStyle w:val="BodyText"/>
        <w:spacing w:before="169"/>
        <w:rPr>
          <w:sz w:val="19"/>
        </w:rPr>
      </w:pPr>
    </w:p>
    <w:p>
      <w:pPr>
        <w:spacing w:before="0" w:line="254" w:lineRule="auto"/>
        <w:ind w:left="214" w:right="40" w:firstLine="26"/>
        <w:jc w:val="left"/>
        <w:rPr>
          <w:sz w:val="19"/>
        </w:rPr>
      </w:pPr>
      <w:r>
        <w:rPr>
          <w:color w:val="0E0E0E"/>
          <w:w w:val="105"/>
          <w:sz w:val="19"/>
        </w:rPr>
        <w:t>The fair values of </w:t>
      </w:r>
      <w:r>
        <w:rPr>
          <w:color w:val="212121"/>
          <w:w w:val="105"/>
          <w:sz w:val="19"/>
        </w:rPr>
        <w:t>investment </w:t>
      </w:r>
      <w:r>
        <w:rPr>
          <w:color w:val="0E0E0E"/>
          <w:w w:val="105"/>
          <w:sz w:val="19"/>
        </w:rPr>
        <w:t>properties are principally </w:t>
      </w:r>
      <w:r>
        <w:rPr>
          <w:color w:val="212121"/>
          <w:w w:val="105"/>
          <w:sz w:val="19"/>
        </w:rPr>
        <w:t>based </w:t>
      </w:r>
      <w:r>
        <w:rPr>
          <w:color w:val="0E0E0E"/>
          <w:w w:val="105"/>
          <w:sz w:val="19"/>
        </w:rPr>
        <w:t>on the available market evidence </w:t>
      </w:r>
      <w:r>
        <w:rPr>
          <w:color w:val="212121"/>
          <w:w w:val="105"/>
          <w:sz w:val="19"/>
        </w:rPr>
        <w:t>for the </w:t>
      </w:r>
      <w:r>
        <w:rPr>
          <w:color w:val="0E0E0E"/>
          <w:w w:val="105"/>
          <w:sz w:val="19"/>
        </w:rPr>
        <w:t>sale and purchase of similar assets. Under IFRS 13 fair value hierarchy these have been shown as a level 2 input namely using</w:t>
      </w:r>
      <w:r>
        <w:rPr>
          <w:color w:val="0E0E0E"/>
          <w:spacing w:val="-4"/>
          <w:w w:val="105"/>
          <w:sz w:val="19"/>
        </w:rPr>
        <w:t> </w:t>
      </w:r>
      <w:r>
        <w:rPr>
          <w:color w:val="0E0E0E"/>
          <w:w w:val="105"/>
          <w:sz w:val="19"/>
        </w:rPr>
        <w:t>quoted </w:t>
      </w:r>
      <w:r>
        <w:rPr>
          <w:color w:val="212121"/>
          <w:w w:val="105"/>
          <w:sz w:val="19"/>
        </w:rPr>
        <w:t>prices </w:t>
      </w:r>
      <w:r>
        <w:rPr>
          <w:color w:val="0E0E0E"/>
          <w:w w:val="105"/>
          <w:sz w:val="19"/>
        </w:rPr>
        <w:t>for</w:t>
      </w:r>
      <w:r>
        <w:rPr>
          <w:color w:val="0E0E0E"/>
          <w:spacing w:val="-7"/>
          <w:w w:val="105"/>
          <w:sz w:val="19"/>
        </w:rPr>
        <w:t> </w:t>
      </w:r>
      <w:r>
        <w:rPr>
          <w:color w:val="0E0E0E"/>
          <w:w w:val="105"/>
          <w:sz w:val="19"/>
        </w:rPr>
        <w:t>similar</w:t>
      </w:r>
      <w:r>
        <w:rPr>
          <w:color w:val="0E0E0E"/>
          <w:spacing w:val="-2"/>
          <w:w w:val="105"/>
          <w:sz w:val="19"/>
        </w:rPr>
        <w:t> </w:t>
      </w:r>
      <w:r>
        <w:rPr>
          <w:color w:val="0E0E0E"/>
          <w:w w:val="105"/>
          <w:sz w:val="19"/>
        </w:rPr>
        <w:t>assets</w:t>
      </w:r>
      <w:r>
        <w:rPr>
          <w:color w:val="0E0E0E"/>
          <w:spacing w:val="-3"/>
          <w:w w:val="105"/>
          <w:sz w:val="19"/>
        </w:rPr>
        <w:t> </w:t>
      </w:r>
      <w:r>
        <w:rPr>
          <w:color w:val="0E0E0E"/>
          <w:w w:val="105"/>
          <w:sz w:val="19"/>
        </w:rPr>
        <w:t>or </w:t>
      </w:r>
      <w:r>
        <w:rPr>
          <w:color w:val="212121"/>
          <w:w w:val="105"/>
          <w:sz w:val="19"/>
        </w:rPr>
        <w:t>liabilities </w:t>
      </w:r>
      <w:r>
        <w:rPr>
          <w:color w:val="0E0E0E"/>
          <w:w w:val="105"/>
          <w:sz w:val="19"/>
        </w:rPr>
        <w:t>in active markets at the balance sheet date. If this </w:t>
      </w:r>
      <w:r>
        <w:rPr>
          <w:color w:val="212121"/>
          <w:w w:val="105"/>
          <w:sz w:val="19"/>
        </w:rPr>
        <w:t>information is </w:t>
      </w:r>
      <w:r>
        <w:rPr>
          <w:color w:val="0E0E0E"/>
          <w:w w:val="105"/>
          <w:sz w:val="19"/>
        </w:rPr>
        <w:t>not available estimates are undertaken in accordance with RICS professional guidelines.</w:t>
      </w:r>
    </w:p>
    <w:p>
      <w:pPr>
        <w:spacing w:before="103" w:line="254" w:lineRule="auto"/>
        <w:ind w:left="245" w:right="425" w:firstLine="13"/>
        <w:jc w:val="left"/>
        <w:rPr>
          <w:sz w:val="19"/>
        </w:rPr>
      </w:pPr>
      <w:r>
        <w:rPr/>
        <w:br w:type="column"/>
      </w:r>
      <w:r>
        <w:rPr>
          <w:color w:val="0E0E0E"/>
          <w:w w:val="105"/>
          <w:sz w:val="19"/>
        </w:rPr>
        <w:t>The effect on the net pension's liability of </w:t>
      </w:r>
      <w:r>
        <w:rPr>
          <w:color w:val="212121"/>
          <w:w w:val="105"/>
          <w:sz w:val="19"/>
        </w:rPr>
        <w:t>changes </w:t>
      </w:r>
      <w:r>
        <w:rPr>
          <w:color w:val="0E0E0E"/>
          <w:w w:val="105"/>
          <w:sz w:val="19"/>
        </w:rPr>
        <w:t>in </w:t>
      </w:r>
      <w:r>
        <w:rPr>
          <w:color w:val="212121"/>
          <w:w w:val="105"/>
          <w:sz w:val="19"/>
        </w:rPr>
        <w:t>individual </w:t>
      </w:r>
      <w:r>
        <w:rPr>
          <w:color w:val="0E0E0E"/>
          <w:w w:val="105"/>
          <w:sz w:val="19"/>
        </w:rPr>
        <w:t>assumptions can be </w:t>
      </w:r>
      <w:r>
        <w:rPr>
          <w:color w:val="212121"/>
          <w:w w:val="105"/>
          <w:sz w:val="19"/>
        </w:rPr>
        <w:t>measured.</w:t>
      </w:r>
      <w:r>
        <w:rPr>
          <w:color w:val="212121"/>
          <w:spacing w:val="40"/>
          <w:w w:val="105"/>
          <w:sz w:val="19"/>
        </w:rPr>
        <w:t> </w:t>
      </w:r>
      <w:r>
        <w:rPr>
          <w:color w:val="0E0E0E"/>
          <w:w w:val="105"/>
          <w:sz w:val="19"/>
        </w:rPr>
        <w:t>For</w:t>
      </w:r>
      <w:r>
        <w:rPr>
          <w:color w:val="0E0E0E"/>
          <w:spacing w:val="-10"/>
          <w:w w:val="105"/>
          <w:sz w:val="19"/>
        </w:rPr>
        <w:t> </w:t>
      </w:r>
      <w:r>
        <w:rPr>
          <w:color w:val="212121"/>
          <w:w w:val="105"/>
          <w:sz w:val="19"/>
        </w:rPr>
        <w:t>instance, </w:t>
      </w:r>
      <w:r>
        <w:rPr>
          <w:color w:val="0E0E0E"/>
          <w:w w:val="105"/>
          <w:sz w:val="19"/>
        </w:rPr>
        <w:t>a</w:t>
      </w:r>
      <w:r>
        <w:rPr>
          <w:color w:val="0E0E0E"/>
          <w:spacing w:val="-6"/>
          <w:w w:val="105"/>
          <w:sz w:val="19"/>
        </w:rPr>
        <w:t> </w:t>
      </w:r>
      <w:r>
        <w:rPr>
          <w:color w:val="0E0E0E"/>
          <w:w w:val="105"/>
          <w:sz w:val="19"/>
        </w:rPr>
        <w:t>0.1%</w:t>
      </w:r>
      <w:r>
        <w:rPr>
          <w:color w:val="0E0E0E"/>
          <w:spacing w:val="-10"/>
          <w:w w:val="105"/>
          <w:sz w:val="19"/>
        </w:rPr>
        <w:t> </w:t>
      </w:r>
      <w:r>
        <w:rPr>
          <w:color w:val="0E0E0E"/>
          <w:w w:val="105"/>
          <w:sz w:val="19"/>
        </w:rPr>
        <w:t>decrease in</w:t>
      </w:r>
      <w:r>
        <w:rPr>
          <w:color w:val="0E0E0E"/>
          <w:spacing w:val="-7"/>
          <w:w w:val="105"/>
          <w:sz w:val="19"/>
        </w:rPr>
        <w:t> </w:t>
      </w:r>
      <w:r>
        <w:rPr>
          <w:color w:val="0E0E0E"/>
          <w:w w:val="105"/>
          <w:sz w:val="19"/>
        </w:rPr>
        <w:t>the</w:t>
      </w:r>
      <w:r>
        <w:rPr>
          <w:color w:val="0E0E0E"/>
          <w:spacing w:val="-2"/>
          <w:w w:val="105"/>
          <w:sz w:val="19"/>
        </w:rPr>
        <w:t> </w:t>
      </w:r>
      <w:r>
        <w:rPr>
          <w:color w:val="0E0E0E"/>
          <w:w w:val="105"/>
          <w:sz w:val="19"/>
        </w:rPr>
        <w:t>real</w:t>
      </w:r>
      <w:r>
        <w:rPr>
          <w:color w:val="0E0E0E"/>
          <w:spacing w:val="-7"/>
          <w:w w:val="105"/>
          <w:sz w:val="19"/>
        </w:rPr>
        <w:t> </w:t>
      </w:r>
      <w:r>
        <w:rPr>
          <w:color w:val="0E0E0E"/>
          <w:w w:val="105"/>
          <w:sz w:val="19"/>
        </w:rPr>
        <w:t>discount rate</w:t>
      </w:r>
      <w:r>
        <w:rPr>
          <w:color w:val="0E0E0E"/>
          <w:spacing w:val="-1"/>
          <w:w w:val="105"/>
          <w:sz w:val="19"/>
        </w:rPr>
        <w:t> </w:t>
      </w:r>
      <w:r>
        <w:rPr>
          <w:color w:val="0E0E0E"/>
          <w:w w:val="105"/>
          <w:sz w:val="19"/>
        </w:rPr>
        <w:t>assumption</w:t>
      </w:r>
      <w:r>
        <w:rPr>
          <w:color w:val="0E0E0E"/>
          <w:spacing w:val="18"/>
          <w:w w:val="105"/>
          <w:sz w:val="19"/>
        </w:rPr>
        <w:t> </w:t>
      </w:r>
      <w:r>
        <w:rPr>
          <w:color w:val="0E0E0E"/>
          <w:w w:val="105"/>
          <w:sz w:val="19"/>
        </w:rPr>
        <w:t>would result</w:t>
      </w:r>
      <w:r>
        <w:rPr>
          <w:color w:val="0E0E0E"/>
          <w:spacing w:val="-6"/>
          <w:w w:val="105"/>
          <w:sz w:val="19"/>
        </w:rPr>
        <w:t> </w:t>
      </w:r>
      <w:r>
        <w:rPr>
          <w:color w:val="0E0E0E"/>
          <w:w w:val="105"/>
          <w:sz w:val="19"/>
        </w:rPr>
        <w:t>in</w:t>
      </w:r>
      <w:r>
        <w:rPr>
          <w:color w:val="0E0E0E"/>
          <w:spacing w:val="-6"/>
          <w:w w:val="105"/>
          <w:sz w:val="19"/>
        </w:rPr>
        <w:t> </w:t>
      </w:r>
      <w:r>
        <w:rPr>
          <w:color w:val="0E0E0E"/>
          <w:w w:val="105"/>
          <w:sz w:val="19"/>
        </w:rPr>
        <w:t>an</w:t>
      </w:r>
      <w:r>
        <w:rPr>
          <w:color w:val="0E0E0E"/>
          <w:spacing w:val="-7"/>
          <w:w w:val="105"/>
          <w:sz w:val="19"/>
        </w:rPr>
        <w:t> </w:t>
      </w:r>
      <w:r>
        <w:rPr>
          <w:color w:val="0E0E0E"/>
          <w:w w:val="105"/>
          <w:sz w:val="19"/>
        </w:rPr>
        <w:t>increase in the</w:t>
      </w:r>
      <w:r>
        <w:rPr>
          <w:color w:val="0E0E0E"/>
          <w:spacing w:val="-5"/>
          <w:w w:val="105"/>
          <w:sz w:val="19"/>
        </w:rPr>
        <w:t> </w:t>
      </w:r>
      <w:r>
        <w:rPr>
          <w:color w:val="0E0E0E"/>
          <w:w w:val="105"/>
          <w:sz w:val="19"/>
        </w:rPr>
        <w:t>pension liability of</w:t>
      </w:r>
      <w:r>
        <w:rPr>
          <w:color w:val="0E0E0E"/>
          <w:spacing w:val="-8"/>
          <w:w w:val="105"/>
          <w:sz w:val="19"/>
        </w:rPr>
        <w:t> </w:t>
      </w:r>
      <w:r>
        <w:rPr>
          <w:color w:val="0E0E0E"/>
          <w:w w:val="105"/>
          <w:sz w:val="19"/>
        </w:rPr>
        <w:t>£1.7</w:t>
      </w:r>
      <w:r>
        <w:rPr>
          <w:color w:val="0E0E0E"/>
          <w:spacing w:val="-5"/>
          <w:w w:val="105"/>
          <w:sz w:val="19"/>
        </w:rPr>
        <w:t> </w:t>
      </w:r>
      <w:r>
        <w:rPr>
          <w:color w:val="0E0E0E"/>
          <w:w w:val="105"/>
          <w:sz w:val="19"/>
        </w:rPr>
        <w:t>million. Note</w:t>
      </w:r>
      <w:r>
        <w:rPr>
          <w:color w:val="0E0E0E"/>
          <w:spacing w:val="-5"/>
          <w:w w:val="105"/>
          <w:sz w:val="19"/>
        </w:rPr>
        <w:t> </w:t>
      </w:r>
      <w:r>
        <w:rPr>
          <w:color w:val="0E0E0E"/>
          <w:w w:val="105"/>
          <w:sz w:val="19"/>
        </w:rPr>
        <w:t>5.29.5 sets</w:t>
      </w:r>
      <w:r>
        <w:rPr>
          <w:color w:val="0E0E0E"/>
          <w:spacing w:val="-8"/>
          <w:w w:val="105"/>
          <w:sz w:val="19"/>
        </w:rPr>
        <w:t> </w:t>
      </w:r>
      <w:r>
        <w:rPr>
          <w:color w:val="0E0E0E"/>
          <w:w w:val="105"/>
          <w:sz w:val="19"/>
        </w:rPr>
        <w:t>out</w:t>
      </w:r>
      <w:r>
        <w:rPr>
          <w:color w:val="0E0E0E"/>
          <w:spacing w:val="-9"/>
          <w:w w:val="105"/>
          <w:sz w:val="19"/>
        </w:rPr>
        <w:t> </w:t>
      </w:r>
      <w:r>
        <w:rPr>
          <w:color w:val="0E0E0E"/>
          <w:w w:val="105"/>
          <w:sz w:val="19"/>
        </w:rPr>
        <w:t>details of the assumptions</w:t>
      </w:r>
      <w:r>
        <w:rPr>
          <w:color w:val="0E0E0E"/>
          <w:spacing w:val="40"/>
          <w:w w:val="105"/>
          <w:sz w:val="19"/>
        </w:rPr>
        <w:t> </w:t>
      </w:r>
      <w:r>
        <w:rPr>
          <w:color w:val="0E0E0E"/>
          <w:w w:val="105"/>
          <w:sz w:val="19"/>
        </w:rPr>
        <w:t>made by the independent actuary to the Hertfordshire Local Government Pension Scheme together with further examples.</w:t>
      </w:r>
    </w:p>
    <w:p>
      <w:pPr>
        <w:pStyle w:val="BodyText"/>
        <w:spacing w:before="147"/>
        <w:rPr>
          <w:sz w:val="19"/>
        </w:rPr>
      </w:pPr>
    </w:p>
    <w:p>
      <w:pPr>
        <w:spacing w:before="0" w:line="254" w:lineRule="auto"/>
        <w:ind w:left="226" w:right="425" w:firstLine="9"/>
        <w:jc w:val="left"/>
        <w:rPr>
          <w:sz w:val="19"/>
        </w:rPr>
      </w:pPr>
      <w:r>
        <w:rPr>
          <w:color w:val="0E0E0E"/>
          <w:w w:val="105"/>
          <w:sz w:val="19"/>
        </w:rPr>
        <w:t>If </w:t>
      </w:r>
      <w:r>
        <w:rPr>
          <w:color w:val="212121"/>
          <w:w w:val="105"/>
          <w:sz w:val="19"/>
        </w:rPr>
        <w:t>NOR appeals were </w:t>
      </w:r>
      <w:r>
        <w:rPr>
          <w:color w:val="343434"/>
          <w:w w:val="105"/>
          <w:sz w:val="19"/>
        </w:rPr>
        <w:t>to </w:t>
      </w:r>
      <w:r>
        <w:rPr>
          <w:color w:val="212121"/>
          <w:w w:val="105"/>
          <w:sz w:val="19"/>
        </w:rPr>
        <w:t>increase </w:t>
      </w:r>
      <w:r>
        <w:rPr>
          <w:color w:val="0E0E0E"/>
          <w:w w:val="105"/>
          <w:sz w:val="19"/>
        </w:rPr>
        <w:t>significantly </w:t>
      </w:r>
      <w:r>
        <w:rPr>
          <w:color w:val="212121"/>
          <w:w w:val="105"/>
          <w:sz w:val="19"/>
        </w:rPr>
        <w:t>the</w:t>
      </w:r>
      <w:r>
        <w:rPr>
          <w:color w:val="212121"/>
          <w:spacing w:val="-2"/>
          <w:w w:val="105"/>
          <w:sz w:val="19"/>
        </w:rPr>
        <w:t> </w:t>
      </w:r>
      <w:r>
        <w:rPr>
          <w:color w:val="212121"/>
          <w:w w:val="105"/>
          <w:sz w:val="19"/>
        </w:rPr>
        <w:t>provision would</w:t>
      </w:r>
      <w:r>
        <w:rPr>
          <w:color w:val="212121"/>
          <w:spacing w:val="-2"/>
          <w:w w:val="105"/>
          <w:sz w:val="19"/>
        </w:rPr>
        <w:t> </w:t>
      </w:r>
      <w:r>
        <w:rPr>
          <w:color w:val="212121"/>
          <w:w w:val="105"/>
          <w:sz w:val="19"/>
        </w:rPr>
        <w:t>have </w:t>
      </w:r>
      <w:r>
        <w:rPr>
          <w:color w:val="0E0E0E"/>
          <w:w w:val="105"/>
          <w:sz w:val="19"/>
        </w:rPr>
        <w:t>to be </w:t>
      </w:r>
      <w:r>
        <w:rPr>
          <w:color w:val="212121"/>
          <w:w w:val="105"/>
          <w:sz w:val="19"/>
        </w:rPr>
        <w:t>increased</w:t>
      </w:r>
      <w:r>
        <w:rPr>
          <w:color w:val="777777"/>
          <w:w w:val="105"/>
          <w:sz w:val="19"/>
        </w:rPr>
        <w:t>. </w:t>
      </w:r>
      <w:r>
        <w:rPr>
          <w:color w:val="212121"/>
          <w:w w:val="105"/>
          <w:sz w:val="19"/>
        </w:rPr>
        <w:t>The </w:t>
      </w:r>
      <w:r>
        <w:rPr>
          <w:color w:val="343434"/>
          <w:w w:val="105"/>
          <w:sz w:val="19"/>
        </w:rPr>
        <w:t>increased liability </w:t>
      </w:r>
      <w:r>
        <w:rPr>
          <w:color w:val="0E0E0E"/>
          <w:w w:val="105"/>
          <w:sz w:val="19"/>
        </w:rPr>
        <w:t>would be shared between the Council, Hertfordshire </w:t>
      </w:r>
      <w:r>
        <w:rPr>
          <w:color w:val="212121"/>
          <w:w w:val="105"/>
          <w:sz w:val="19"/>
        </w:rPr>
        <w:t>County Council</w:t>
      </w:r>
      <w:r>
        <w:rPr>
          <w:color w:val="212121"/>
          <w:spacing w:val="-6"/>
          <w:w w:val="105"/>
          <w:sz w:val="19"/>
        </w:rPr>
        <w:t> </w:t>
      </w:r>
      <w:r>
        <w:rPr>
          <w:color w:val="212121"/>
          <w:w w:val="105"/>
          <w:sz w:val="19"/>
        </w:rPr>
        <w:t>and</w:t>
      </w:r>
      <w:r>
        <w:rPr>
          <w:color w:val="212121"/>
          <w:spacing w:val="-11"/>
          <w:w w:val="105"/>
          <w:sz w:val="19"/>
        </w:rPr>
        <w:t> </w:t>
      </w:r>
      <w:r>
        <w:rPr>
          <w:color w:val="212121"/>
          <w:w w:val="105"/>
          <w:sz w:val="19"/>
        </w:rPr>
        <w:t>Central</w:t>
      </w:r>
      <w:r>
        <w:rPr>
          <w:color w:val="212121"/>
          <w:spacing w:val="-8"/>
          <w:w w:val="105"/>
          <w:sz w:val="19"/>
        </w:rPr>
        <w:t> </w:t>
      </w:r>
      <w:r>
        <w:rPr>
          <w:color w:val="212121"/>
          <w:w w:val="105"/>
          <w:sz w:val="19"/>
        </w:rPr>
        <w:t>Government.</w:t>
      </w:r>
      <w:r>
        <w:rPr>
          <w:color w:val="212121"/>
          <w:spacing w:val="12"/>
          <w:w w:val="105"/>
          <w:sz w:val="19"/>
        </w:rPr>
        <w:t> </w:t>
      </w:r>
      <w:r>
        <w:rPr>
          <w:color w:val="212121"/>
          <w:w w:val="105"/>
          <w:sz w:val="19"/>
        </w:rPr>
        <w:t>A large proportion of the 2017 list estimated appeals were settled </w:t>
      </w:r>
      <w:r>
        <w:rPr>
          <w:color w:val="343434"/>
          <w:w w:val="105"/>
          <w:sz w:val="19"/>
        </w:rPr>
        <w:t>in </w:t>
      </w:r>
      <w:r>
        <w:rPr>
          <w:color w:val="212121"/>
          <w:w w:val="105"/>
          <w:sz w:val="19"/>
        </w:rPr>
        <w:t>2021/22 and </w:t>
      </w:r>
      <w:r>
        <w:rPr>
          <w:color w:val="343434"/>
          <w:w w:val="105"/>
          <w:sz w:val="19"/>
        </w:rPr>
        <w:t>the long </w:t>
      </w:r>
      <w:r>
        <w:rPr>
          <w:color w:val="212121"/>
          <w:w w:val="105"/>
          <w:sz w:val="19"/>
        </w:rPr>
        <w:t>and short term split has been maintained with </w:t>
      </w:r>
      <w:r>
        <w:rPr>
          <w:color w:val="343434"/>
          <w:w w:val="105"/>
          <w:sz w:val="19"/>
        </w:rPr>
        <w:t>13</w:t>
      </w:r>
      <w:r>
        <w:rPr>
          <w:color w:val="777777"/>
          <w:w w:val="105"/>
          <w:sz w:val="19"/>
        </w:rPr>
        <w:t>.</w:t>
      </w:r>
      <w:r>
        <w:rPr>
          <w:color w:val="212121"/>
          <w:w w:val="105"/>
          <w:sz w:val="19"/>
        </w:rPr>
        <w:t>37% classified as long </w:t>
      </w:r>
      <w:r>
        <w:rPr>
          <w:color w:val="0E0E0E"/>
          <w:spacing w:val="-2"/>
          <w:w w:val="105"/>
          <w:sz w:val="19"/>
        </w:rPr>
        <w:t>term.</w:t>
      </w:r>
    </w:p>
    <w:p>
      <w:pPr>
        <w:pStyle w:val="BodyText"/>
        <w:spacing w:before="152"/>
        <w:rPr>
          <w:sz w:val="19"/>
        </w:rPr>
      </w:pPr>
    </w:p>
    <w:p>
      <w:pPr>
        <w:spacing w:before="0" w:line="254" w:lineRule="auto"/>
        <w:ind w:left="211" w:right="1029" w:firstLine="2"/>
        <w:jc w:val="both"/>
        <w:rPr>
          <w:sz w:val="19"/>
        </w:rPr>
      </w:pPr>
      <w:r>
        <w:rPr>
          <w:color w:val="0E0E0E"/>
          <w:w w:val="105"/>
          <w:sz w:val="19"/>
        </w:rPr>
        <w:t>Most</w:t>
      </w:r>
      <w:r>
        <w:rPr>
          <w:color w:val="0E0E0E"/>
          <w:spacing w:val="-1"/>
          <w:w w:val="105"/>
          <w:sz w:val="19"/>
        </w:rPr>
        <w:t> </w:t>
      </w:r>
      <w:r>
        <w:rPr>
          <w:color w:val="0E0E0E"/>
          <w:w w:val="105"/>
          <w:sz w:val="19"/>
        </w:rPr>
        <w:t>estimates are</w:t>
      </w:r>
      <w:r>
        <w:rPr>
          <w:color w:val="0E0E0E"/>
          <w:spacing w:val="-5"/>
          <w:w w:val="105"/>
          <w:sz w:val="19"/>
        </w:rPr>
        <w:t> </w:t>
      </w:r>
      <w:r>
        <w:rPr>
          <w:color w:val="0E0E0E"/>
          <w:w w:val="105"/>
          <w:sz w:val="19"/>
        </w:rPr>
        <w:t>based on</w:t>
      </w:r>
      <w:r>
        <w:rPr>
          <w:color w:val="0E0E0E"/>
          <w:spacing w:val="-4"/>
          <w:w w:val="105"/>
          <w:sz w:val="19"/>
        </w:rPr>
        <w:t> </w:t>
      </w:r>
      <w:r>
        <w:rPr>
          <w:color w:val="0E0E0E"/>
          <w:w w:val="105"/>
          <w:sz w:val="19"/>
        </w:rPr>
        <w:t>current market</w:t>
      </w:r>
      <w:r>
        <w:rPr>
          <w:color w:val="0E0E0E"/>
          <w:spacing w:val="-14"/>
          <w:w w:val="105"/>
          <w:sz w:val="19"/>
        </w:rPr>
        <w:t> </w:t>
      </w:r>
      <w:r>
        <w:rPr>
          <w:color w:val="212121"/>
          <w:w w:val="105"/>
          <w:sz w:val="19"/>
        </w:rPr>
        <w:t>information</w:t>
      </w:r>
      <w:r>
        <w:rPr>
          <w:color w:val="212121"/>
          <w:spacing w:val="-5"/>
          <w:w w:val="105"/>
          <w:sz w:val="19"/>
        </w:rPr>
        <w:t> </w:t>
      </w:r>
      <w:r>
        <w:rPr>
          <w:color w:val="0E0E0E"/>
          <w:w w:val="105"/>
          <w:sz w:val="19"/>
        </w:rPr>
        <w:t>therefore</w:t>
      </w:r>
      <w:r>
        <w:rPr>
          <w:color w:val="0E0E0E"/>
          <w:spacing w:val="-9"/>
          <w:w w:val="105"/>
          <w:sz w:val="19"/>
        </w:rPr>
        <w:t> </w:t>
      </w:r>
      <w:r>
        <w:rPr>
          <w:color w:val="0E0E0E"/>
          <w:w w:val="105"/>
          <w:sz w:val="19"/>
        </w:rPr>
        <w:t>material changes are not expected.</w:t>
      </w:r>
    </w:p>
    <w:p>
      <w:pPr>
        <w:pStyle w:val="BodyText"/>
        <w:spacing w:before="14"/>
        <w:rPr>
          <w:sz w:val="19"/>
        </w:rPr>
      </w:pPr>
    </w:p>
    <w:p>
      <w:pPr>
        <w:spacing w:before="1" w:line="254" w:lineRule="auto"/>
        <w:ind w:left="202" w:right="258" w:firstLine="13"/>
        <w:jc w:val="left"/>
        <w:rPr>
          <w:sz w:val="19"/>
        </w:rPr>
      </w:pPr>
      <w:r>
        <w:rPr>
          <w:color w:val="212121"/>
          <w:w w:val="105"/>
          <w:sz w:val="19"/>
        </w:rPr>
        <w:t>Significant </w:t>
      </w:r>
      <w:r>
        <w:rPr>
          <w:color w:val="0E0E0E"/>
          <w:w w:val="105"/>
          <w:sz w:val="19"/>
        </w:rPr>
        <w:t>changes </w:t>
      </w:r>
      <w:r>
        <w:rPr>
          <w:color w:val="212121"/>
          <w:w w:val="105"/>
          <w:sz w:val="19"/>
        </w:rPr>
        <w:t>in </w:t>
      </w:r>
      <w:r>
        <w:rPr>
          <w:color w:val="0E0E0E"/>
          <w:w w:val="105"/>
          <w:sz w:val="19"/>
        </w:rPr>
        <w:t>any of the </w:t>
      </w:r>
      <w:r>
        <w:rPr>
          <w:color w:val="212121"/>
          <w:w w:val="105"/>
          <w:sz w:val="19"/>
        </w:rPr>
        <w:t>unobservable </w:t>
      </w:r>
      <w:r>
        <w:rPr>
          <w:color w:val="0E0E0E"/>
          <w:w w:val="105"/>
          <w:sz w:val="19"/>
        </w:rPr>
        <w:t>inputs would</w:t>
      </w:r>
      <w:r>
        <w:rPr>
          <w:color w:val="0E0E0E"/>
          <w:spacing w:val="-6"/>
          <w:w w:val="105"/>
          <w:sz w:val="19"/>
        </w:rPr>
        <w:t> </w:t>
      </w:r>
      <w:r>
        <w:rPr>
          <w:color w:val="0E0E0E"/>
          <w:w w:val="105"/>
          <w:sz w:val="19"/>
        </w:rPr>
        <w:t>result</w:t>
      </w:r>
      <w:r>
        <w:rPr>
          <w:color w:val="0E0E0E"/>
          <w:spacing w:val="-14"/>
          <w:w w:val="105"/>
          <w:sz w:val="19"/>
        </w:rPr>
        <w:t> </w:t>
      </w:r>
      <w:r>
        <w:rPr>
          <w:color w:val="0E0E0E"/>
          <w:w w:val="105"/>
          <w:sz w:val="19"/>
        </w:rPr>
        <w:t>in</w:t>
      </w:r>
      <w:r>
        <w:rPr>
          <w:color w:val="0E0E0E"/>
          <w:spacing w:val="-3"/>
          <w:w w:val="105"/>
          <w:sz w:val="19"/>
        </w:rPr>
        <w:t> </w:t>
      </w:r>
      <w:r>
        <w:rPr>
          <w:color w:val="0E0E0E"/>
          <w:w w:val="105"/>
          <w:sz w:val="19"/>
        </w:rPr>
        <w:t>a significantly lower or</w:t>
      </w:r>
      <w:r>
        <w:rPr>
          <w:color w:val="0E0E0E"/>
          <w:spacing w:val="-6"/>
          <w:w w:val="105"/>
          <w:sz w:val="19"/>
        </w:rPr>
        <w:t> </w:t>
      </w:r>
      <w:r>
        <w:rPr>
          <w:color w:val="0E0E0E"/>
          <w:w w:val="105"/>
          <w:sz w:val="19"/>
        </w:rPr>
        <w:t>higher</w:t>
      </w:r>
      <w:r>
        <w:rPr>
          <w:color w:val="0E0E0E"/>
          <w:spacing w:val="-1"/>
          <w:w w:val="105"/>
          <w:sz w:val="19"/>
        </w:rPr>
        <w:t> </w:t>
      </w:r>
      <w:r>
        <w:rPr>
          <w:color w:val="0E0E0E"/>
          <w:w w:val="105"/>
          <w:sz w:val="19"/>
        </w:rPr>
        <w:t>fair</w:t>
      </w:r>
      <w:r>
        <w:rPr>
          <w:color w:val="0E0E0E"/>
          <w:spacing w:val="-4"/>
          <w:w w:val="105"/>
          <w:sz w:val="19"/>
        </w:rPr>
        <w:t> </w:t>
      </w:r>
      <w:r>
        <w:rPr>
          <w:color w:val="0E0E0E"/>
          <w:w w:val="105"/>
          <w:sz w:val="19"/>
        </w:rPr>
        <w:t>value measurement for these assets.</w:t>
      </w:r>
    </w:p>
    <w:p>
      <w:pPr>
        <w:pStyle w:val="BodyText"/>
        <w:spacing w:before="22"/>
        <w:rPr>
          <w:sz w:val="19"/>
        </w:rPr>
      </w:pPr>
    </w:p>
    <w:p>
      <w:pPr>
        <w:spacing w:before="0" w:line="252" w:lineRule="auto"/>
        <w:ind w:left="184" w:right="425" w:firstLine="16"/>
        <w:jc w:val="left"/>
        <w:rPr>
          <w:sz w:val="19"/>
        </w:rPr>
      </w:pPr>
      <w:r>
        <w:rPr>
          <w:color w:val="0E0E0E"/>
          <w:w w:val="105"/>
          <w:sz w:val="19"/>
        </w:rPr>
        <w:t>The council sought assurance from the valuer of the appropriateness of the valuations in light of the RICS related material uncertainty and</w:t>
      </w:r>
      <w:r>
        <w:rPr>
          <w:color w:val="0E0E0E"/>
          <w:spacing w:val="-1"/>
          <w:w w:val="105"/>
          <w:sz w:val="19"/>
        </w:rPr>
        <w:t> </w:t>
      </w:r>
      <w:r>
        <w:rPr>
          <w:color w:val="0E0E0E"/>
          <w:w w:val="105"/>
          <w:sz w:val="19"/>
        </w:rPr>
        <w:t>the</w:t>
      </w:r>
      <w:r>
        <w:rPr>
          <w:color w:val="0E0E0E"/>
          <w:spacing w:val="-4"/>
          <w:w w:val="105"/>
          <w:sz w:val="19"/>
        </w:rPr>
        <w:t> </w:t>
      </w:r>
      <w:r>
        <w:rPr>
          <w:color w:val="0E0E0E"/>
          <w:w w:val="105"/>
          <w:sz w:val="19"/>
        </w:rPr>
        <w:t>valuer reported the 31/03/2022 valuation </w:t>
      </w:r>
      <w:r>
        <w:rPr>
          <w:color w:val="212121"/>
          <w:w w:val="105"/>
          <w:sz w:val="19"/>
        </w:rPr>
        <w:t>is </w:t>
      </w:r>
      <w:r>
        <w:rPr>
          <w:color w:val="0E0E0E"/>
          <w:w w:val="105"/>
          <w:sz w:val="19"/>
        </w:rPr>
        <w:t>not reported as being </w:t>
      </w:r>
      <w:r>
        <w:rPr>
          <w:color w:val="212121"/>
          <w:w w:val="105"/>
          <w:sz w:val="19"/>
        </w:rPr>
        <w:t>subject to </w:t>
      </w:r>
      <w:r>
        <w:rPr>
          <w:color w:val="5E5E5E"/>
          <w:w w:val="105"/>
          <w:sz w:val="19"/>
        </w:rPr>
        <w:t>'</w:t>
      </w:r>
      <w:r>
        <w:rPr>
          <w:color w:val="212121"/>
          <w:w w:val="105"/>
          <w:sz w:val="19"/>
        </w:rPr>
        <w:t>material valuation </w:t>
      </w:r>
      <w:r>
        <w:rPr>
          <w:color w:val="0E0E0E"/>
          <w:w w:val="105"/>
          <w:sz w:val="19"/>
        </w:rPr>
        <w:t>uncertainty' as</w:t>
      </w:r>
      <w:r>
        <w:rPr>
          <w:color w:val="0E0E0E"/>
          <w:spacing w:val="-11"/>
          <w:w w:val="105"/>
          <w:sz w:val="19"/>
        </w:rPr>
        <w:t> </w:t>
      </w:r>
      <w:r>
        <w:rPr>
          <w:color w:val="212121"/>
          <w:w w:val="105"/>
          <w:sz w:val="19"/>
        </w:rPr>
        <w:t>defined by</w:t>
      </w:r>
      <w:r>
        <w:rPr>
          <w:color w:val="212121"/>
          <w:spacing w:val="-1"/>
          <w:w w:val="105"/>
          <w:sz w:val="19"/>
        </w:rPr>
        <w:t> </w:t>
      </w:r>
      <w:r>
        <w:rPr>
          <w:color w:val="212121"/>
          <w:w w:val="105"/>
          <w:sz w:val="19"/>
        </w:rPr>
        <w:t>VPS</w:t>
      </w:r>
      <w:r>
        <w:rPr>
          <w:color w:val="212121"/>
          <w:spacing w:val="-3"/>
          <w:w w:val="105"/>
          <w:sz w:val="19"/>
        </w:rPr>
        <w:t> </w:t>
      </w:r>
      <w:r>
        <w:rPr>
          <w:color w:val="212121"/>
          <w:w w:val="105"/>
          <w:sz w:val="19"/>
        </w:rPr>
        <w:t>3</w:t>
      </w:r>
      <w:r>
        <w:rPr>
          <w:color w:val="212121"/>
          <w:spacing w:val="-5"/>
          <w:w w:val="105"/>
          <w:sz w:val="19"/>
        </w:rPr>
        <w:t> </w:t>
      </w:r>
      <w:r>
        <w:rPr>
          <w:color w:val="212121"/>
          <w:w w:val="105"/>
          <w:sz w:val="19"/>
        </w:rPr>
        <w:t>and</w:t>
      </w:r>
      <w:r>
        <w:rPr>
          <w:color w:val="212121"/>
          <w:spacing w:val="-5"/>
          <w:w w:val="105"/>
          <w:sz w:val="19"/>
        </w:rPr>
        <w:t> </w:t>
      </w:r>
      <w:r>
        <w:rPr>
          <w:color w:val="0E0E0E"/>
          <w:w w:val="105"/>
          <w:sz w:val="19"/>
        </w:rPr>
        <w:t>VPGA 10 </w:t>
      </w:r>
      <w:r>
        <w:rPr>
          <w:color w:val="212121"/>
          <w:w w:val="105"/>
          <w:sz w:val="19"/>
        </w:rPr>
        <w:t>of</w:t>
      </w:r>
      <w:r>
        <w:rPr>
          <w:color w:val="212121"/>
          <w:spacing w:val="-2"/>
          <w:w w:val="105"/>
          <w:sz w:val="19"/>
        </w:rPr>
        <w:t> </w:t>
      </w:r>
      <w:r>
        <w:rPr>
          <w:color w:val="343434"/>
          <w:w w:val="105"/>
          <w:sz w:val="19"/>
        </w:rPr>
        <w:t>the</w:t>
      </w:r>
      <w:r>
        <w:rPr>
          <w:color w:val="343434"/>
          <w:spacing w:val="-2"/>
          <w:w w:val="105"/>
          <w:sz w:val="19"/>
        </w:rPr>
        <w:t> </w:t>
      </w:r>
      <w:r>
        <w:rPr>
          <w:color w:val="212121"/>
          <w:w w:val="105"/>
          <w:sz w:val="19"/>
        </w:rPr>
        <w:t>RICS Valuation Global Standards.</w:t>
      </w:r>
    </w:p>
    <w:p>
      <w:pPr>
        <w:spacing w:after="0" w:line="252" w:lineRule="auto"/>
        <w:jc w:val="left"/>
        <w:rPr>
          <w:sz w:val="19"/>
        </w:rPr>
        <w:sectPr>
          <w:type w:val="continuous"/>
          <w:pgSz w:w="11910" w:h="16830"/>
          <w:pgMar w:top="1940" w:right="100" w:bottom="280" w:left="20" w:header="853" w:footer="1010"/>
          <w:cols w:equalWidth="0" w:num="3">
            <w:col w:w="2686" w:space="40"/>
            <w:col w:w="4501" w:space="39"/>
            <w:col w:w="4524"/>
          </w:cols>
        </w:sectPr>
      </w:pPr>
    </w:p>
    <w:p>
      <w:pPr>
        <w:pStyle w:val="BodyText"/>
      </w:pPr>
    </w:p>
    <w:p>
      <w:pPr>
        <w:pStyle w:val="BodyText"/>
      </w:pPr>
    </w:p>
    <w:p>
      <w:pPr>
        <w:pStyle w:val="BodyText"/>
        <w:spacing w:before="2"/>
      </w:pPr>
    </w:p>
    <w:p>
      <w:pPr>
        <w:pStyle w:val="Heading3"/>
        <w:numPr>
          <w:ilvl w:val="1"/>
          <w:numId w:val="11"/>
        </w:numPr>
        <w:tabs>
          <w:tab w:val="left" w:leader="none" w:pos="2228"/>
        </w:tabs>
        <w:spacing w:before="0" w:after="0" w:line="240" w:lineRule="auto"/>
        <w:ind w:left="2228" w:right="0" w:hanging="729"/>
        <w:jc w:val="left"/>
        <w:rPr>
          <w:color w:val="0E0E0E"/>
        </w:rPr>
      </w:pPr>
      <w:r>
        <w:rPr>
          <w:color w:val="0E0E0E"/>
        </w:rPr>
        <w:t>Events</w:t>
      </w:r>
      <w:r>
        <w:rPr>
          <w:color w:val="0E0E0E"/>
          <w:spacing w:val="5"/>
        </w:rPr>
        <w:t> </w:t>
      </w:r>
      <w:r>
        <w:rPr>
          <w:color w:val="0E0E0E"/>
        </w:rPr>
        <w:t>after</w:t>
      </w:r>
      <w:r>
        <w:rPr>
          <w:color w:val="0E0E0E"/>
          <w:spacing w:val="-3"/>
        </w:rPr>
        <w:t> </w:t>
      </w:r>
      <w:r>
        <w:rPr>
          <w:color w:val="0E0E0E"/>
        </w:rPr>
        <w:t>the</w:t>
      </w:r>
      <w:r>
        <w:rPr>
          <w:color w:val="0E0E0E"/>
          <w:spacing w:val="-6"/>
        </w:rPr>
        <w:t> </w:t>
      </w:r>
      <w:r>
        <w:rPr>
          <w:color w:val="0E0E0E"/>
        </w:rPr>
        <w:t>Balance</w:t>
      </w:r>
      <w:r>
        <w:rPr>
          <w:color w:val="0E0E0E"/>
          <w:spacing w:val="16"/>
        </w:rPr>
        <w:t> </w:t>
      </w:r>
      <w:r>
        <w:rPr>
          <w:color w:val="0E0E0E"/>
        </w:rPr>
        <w:t>Sheet </w:t>
      </w:r>
      <w:r>
        <w:rPr>
          <w:color w:val="0E0E0E"/>
          <w:spacing w:val="-4"/>
        </w:rPr>
        <w:t>Date</w:t>
      </w:r>
    </w:p>
    <w:p>
      <w:pPr>
        <w:pStyle w:val="BodyText"/>
        <w:spacing w:before="237"/>
        <w:ind w:left="1489" w:right="1196" w:firstLine="7"/>
        <w:jc w:val="both"/>
      </w:pPr>
      <w:r>
        <w:rPr>
          <w:color w:val="0E0E0E"/>
        </w:rPr>
        <w:t>No adjustment to</w:t>
      </w:r>
      <w:r>
        <w:rPr>
          <w:color w:val="0E0E0E"/>
          <w:spacing w:val="-11"/>
        </w:rPr>
        <w:t> </w:t>
      </w:r>
      <w:r>
        <w:rPr>
          <w:color w:val="0E0E0E"/>
        </w:rPr>
        <w:t>the</w:t>
      </w:r>
      <w:r>
        <w:rPr>
          <w:color w:val="0E0E0E"/>
          <w:spacing w:val="-1"/>
        </w:rPr>
        <w:t> </w:t>
      </w:r>
      <w:r>
        <w:rPr>
          <w:color w:val="0E0E0E"/>
        </w:rPr>
        <w:t>Statement of Accounts is</w:t>
      </w:r>
      <w:r>
        <w:rPr>
          <w:color w:val="0E0E0E"/>
          <w:spacing w:val="-7"/>
        </w:rPr>
        <w:t> </w:t>
      </w:r>
      <w:r>
        <w:rPr>
          <w:color w:val="0E0E0E"/>
        </w:rPr>
        <w:t>required in</w:t>
      </w:r>
      <w:r>
        <w:rPr>
          <w:color w:val="0E0E0E"/>
          <w:spacing w:val="-5"/>
        </w:rPr>
        <w:t> </w:t>
      </w:r>
      <w:r>
        <w:rPr>
          <w:color w:val="0E0E0E"/>
        </w:rPr>
        <w:t>respect of</w:t>
      </w:r>
      <w:r>
        <w:rPr>
          <w:color w:val="0E0E0E"/>
          <w:spacing w:val="-9"/>
        </w:rPr>
        <w:t> </w:t>
      </w:r>
      <w:r>
        <w:rPr>
          <w:color w:val="0E0E0E"/>
        </w:rPr>
        <w:t>transactions which</w:t>
      </w:r>
      <w:r>
        <w:rPr>
          <w:color w:val="0E0E0E"/>
          <w:spacing w:val="-1"/>
        </w:rPr>
        <w:t> </w:t>
      </w:r>
      <w:r>
        <w:rPr>
          <w:color w:val="0E0E0E"/>
        </w:rPr>
        <w:t>took place after the balance sheet date.</w:t>
      </w:r>
    </w:p>
    <w:p>
      <w:pPr>
        <w:pStyle w:val="BodyText"/>
        <w:spacing w:before="236"/>
      </w:pPr>
    </w:p>
    <w:p>
      <w:pPr>
        <w:pStyle w:val="Heading3"/>
        <w:numPr>
          <w:ilvl w:val="1"/>
          <w:numId w:val="11"/>
        </w:numPr>
        <w:tabs>
          <w:tab w:val="left" w:leader="none" w:pos="2210"/>
        </w:tabs>
        <w:spacing w:before="0" w:after="0" w:line="240" w:lineRule="auto"/>
        <w:ind w:left="2210" w:right="0" w:hanging="726"/>
        <w:jc w:val="left"/>
        <w:rPr>
          <w:color w:val="0E0E0E"/>
        </w:rPr>
      </w:pPr>
      <w:r>
        <w:rPr>
          <w:color w:val="0E0E0E"/>
        </w:rPr>
        <w:t>Trading</w:t>
      </w:r>
      <w:r>
        <w:rPr>
          <w:color w:val="0E0E0E"/>
          <w:spacing w:val="10"/>
        </w:rPr>
        <w:t> </w:t>
      </w:r>
      <w:r>
        <w:rPr>
          <w:color w:val="0E0E0E"/>
          <w:spacing w:val="-2"/>
        </w:rPr>
        <w:t>Operations</w:t>
      </w:r>
    </w:p>
    <w:p>
      <w:pPr>
        <w:pStyle w:val="BodyText"/>
        <w:spacing w:before="237" w:line="276" w:lineRule="auto"/>
        <w:ind w:left="1465" w:right="1205" w:firstLine="14"/>
        <w:jc w:val="both"/>
      </w:pPr>
      <w:r>
        <w:rPr>
          <w:color w:val="0E0E0E"/>
        </w:rPr>
        <w:t>The Council has established the following two trading units which the service manager is required</w:t>
      </w:r>
      <w:r>
        <w:rPr>
          <w:color w:val="0E0E0E"/>
          <w:spacing w:val="-3"/>
        </w:rPr>
        <w:t> </w:t>
      </w:r>
      <w:r>
        <w:rPr>
          <w:color w:val="0E0E0E"/>
        </w:rPr>
        <w:t>to</w:t>
      </w:r>
      <w:r>
        <w:rPr>
          <w:color w:val="0E0E0E"/>
          <w:spacing w:val="-3"/>
        </w:rPr>
        <w:t> </w:t>
      </w:r>
      <w:r>
        <w:rPr>
          <w:color w:val="0E0E0E"/>
        </w:rPr>
        <w:t>operate in</w:t>
      </w:r>
      <w:r>
        <w:rPr>
          <w:color w:val="0E0E0E"/>
          <w:spacing w:val="-11"/>
        </w:rPr>
        <w:t> </w:t>
      </w:r>
      <w:r>
        <w:rPr>
          <w:color w:val="0E0E0E"/>
        </w:rPr>
        <w:t>a</w:t>
      </w:r>
      <w:r>
        <w:rPr>
          <w:color w:val="0E0E0E"/>
          <w:spacing w:val="-7"/>
        </w:rPr>
        <w:t> </w:t>
      </w:r>
      <w:r>
        <w:rPr>
          <w:color w:val="0E0E0E"/>
        </w:rPr>
        <w:t>commercial environment and</w:t>
      </w:r>
      <w:r>
        <w:rPr>
          <w:color w:val="0E0E0E"/>
          <w:spacing w:val="-6"/>
        </w:rPr>
        <w:t> </w:t>
      </w:r>
      <w:r>
        <w:rPr>
          <w:color w:val="0E0E0E"/>
        </w:rPr>
        <w:t>balance the</w:t>
      </w:r>
      <w:r>
        <w:rPr>
          <w:color w:val="0E0E0E"/>
          <w:spacing w:val="-3"/>
        </w:rPr>
        <w:t> </w:t>
      </w:r>
      <w:r>
        <w:rPr>
          <w:color w:val="0E0E0E"/>
        </w:rPr>
        <w:t>unit's budget by</w:t>
      </w:r>
      <w:r>
        <w:rPr>
          <w:color w:val="0E0E0E"/>
          <w:spacing w:val="-4"/>
        </w:rPr>
        <w:t> </w:t>
      </w:r>
      <w:r>
        <w:rPr>
          <w:color w:val="0E0E0E"/>
        </w:rPr>
        <w:t>generating income from other parts of the Council or other organisations.</w:t>
      </w:r>
      <w:r>
        <w:rPr>
          <w:color w:val="0E0E0E"/>
          <w:spacing w:val="40"/>
        </w:rPr>
        <w:t> </w:t>
      </w:r>
      <w:r>
        <w:rPr>
          <w:color w:val="0E0E0E"/>
        </w:rPr>
        <w:t>The following sums have not been allocated to the relevant services in the Comprehensive Income and Expenditure </w:t>
      </w:r>
      <w:r>
        <w:rPr>
          <w:color w:val="0E0E0E"/>
          <w:spacing w:val="-2"/>
        </w:rPr>
        <w:t>Statement.</w:t>
      </w:r>
    </w:p>
    <w:p>
      <w:pPr>
        <w:spacing w:after="0" w:line="276" w:lineRule="auto"/>
        <w:jc w:val="both"/>
        <w:sectPr>
          <w:type w:val="continuous"/>
          <w:pgSz w:w="11910" w:h="16830"/>
          <w:pgMar w:top="1940" w:right="100" w:bottom="280" w:left="20" w:header="853" w:footer="1010"/>
        </w:sectPr>
      </w:pPr>
    </w:p>
    <w:p>
      <w:pPr>
        <w:pStyle w:val="BodyText"/>
        <w:spacing w:before="28" w:after="1"/>
        <w:rPr>
          <w:sz w:val="20"/>
        </w:rPr>
      </w:pPr>
    </w:p>
    <w:tbl>
      <w:tblPr>
        <w:tblW w:w="0" w:type="auto"/>
        <w:jc w:val="left"/>
        <w:tblInd w:w="16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82"/>
        <w:gridCol w:w="3611"/>
        <w:gridCol w:w="876"/>
        <w:gridCol w:w="1544"/>
        <w:gridCol w:w="1190"/>
        <w:gridCol w:w="1110"/>
      </w:tblGrid>
      <w:tr>
        <w:trPr>
          <w:trHeight w:val="365" w:hRule="atLeast"/>
        </w:trPr>
        <w:tc>
          <w:tcPr>
            <w:tcW w:w="1182" w:type="dxa"/>
          </w:tcPr>
          <w:p>
            <w:pPr>
              <w:pStyle w:val="TableParagraph"/>
              <w:spacing w:line="251" w:lineRule="exact"/>
              <w:ind w:left="50"/>
              <w:rPr>
                <w:b/>
                <w:sz w:val="22"/>
              </w:rPr>
            </w:pPr>
            <w:r>
              <w:rPr>
                <w:b/>
                <w:color w:val="707070"/>
                <w:spacing w:val="-2"/>
                <w:sz w:val="22"/>
              </w:rPr>
              <w:t>2021/22</w:t>
            </w:r>
          </w:p>
        </w:tc>
        <w:tc>
          <w:tcPr>
            <w:tcW w:w="3611" w:type="dxa"/>
          </w:tcPr>
          <w:p>
            <w:pPr>
              <w:pStyle w:val="TableParagraph"/>
              <w:rPr>
                <w:rFonts w:ascii="Times New Roman"/>
                <w:sz w:val="20"/>
              </w:rPr>
            </w:pPr>
          </w:p>
        </w:tc>
        <w:tc>
          <w:tcPr>
            <w:tcW w:w="876" w:type="dxa"/>
          </w:tcPr>
          <w:p>
            <w:pPr>
              <w:pStyle w:val="TableParagraph"/>
              <w:rPr>
                <w:rFonts w:ascii="Times New Roman"/>
                <w:sz w:val="20"/>
              </w:rPr>
            </w:pPr>
          </w:p>
        </w:tc>
        <w:tc>
          <w:tcPr>
            <w:tcW w:w="1544" w:type="dxa"/>
          </w:tcPr>
          <w:p>
            <w:pPr>
              <w:pStyle w:val="TableParagraph"/>
              <w:spacing w:line="246" w:lineRule="exact"/>
              <w:ind w:right="175"/>
              <w:jc w:val="right"/>
              <w:rPr>
                <w:b/>
                <w:sz w:val="22"/>
              </w:rPr>
            </w:pPr>
            <w:r>
              <w:rPr>
                <w:b/>
                <w:color w:val="0A0A0A"/>
                <w:spacing w:val="-2"/>
                <w:sz w:val="22"/>
              </w:rPr>
              <w:t>Expenditure</w:t>
            </w:r>
          </w:p>
        </w:tc>
        <w:tc>
          <w:tcPr>
            <w:tcW w:w="1190" w:type="dxa"/>
          </w:tcPr>
          <w:p>
            <w:pPr>
              <w:pStyle w:val="TableParagraph"/>
              <w:spacing w:line="246" w:lineRule="exact"/>
              <w:ind w:left="154"/>
              <w:rPr>
                <w:b/>
                <w:sz w:val="22"/>
              </w:rPr>
            </w:pPr>
            <w:r>
              <w:rPr>
                <w:b/>
                <w:color w:val="0A0A0A"/>
                <w:spacing w:val="-2"/>
                <w:sz w:val="22"/>
              </w:rPr>
              <w:t>Income</w:t>
            </w:r>
          </w:p>
        </w:tc>
        <w:tc>
          <w:tcPr>
            <w:tcW w:w="1110" w:type="dxa"/>
          </w:tcPr>
          <w:p>
            <w:pPr>
              <w:pStyle w:val="TableParagraph"/>
              <w:spacing w:line="246" w:lineRule="exact"/>
              <w:ind w:left="156"/>
              <w:rPr>
                <w:b/>
                <w:sz w:val="22"/>
              </w:rPr>
            </w:pPr>
            <w:r>
              <w:rPr>
                <w:b/>
                <w:color w:val="0A0A0A"/>
                <w:spacing w:val="-2"/>
                <w:sz w:val="22"/>
              </w:rPr>
              <w:t>2022/23</w:t>
            </w:r>
          </w:p>
        </w:tc>
      </w:tr>
      <w:tr>
        <w:trPr>
          <w:trHeight w:val="629" w:hRule="atLeast"/>
        </w:trPr>
        <w:tc>
          <w:tcPr>
            <w:tcW w:w="1182" w:type="dxa"/>
          </w:tcPr>
          <w:p>
            <w:pPr>
              <w:pStyle w:val="TableParagraph"/>
              <w:spacing w:before="112"/>
              <w:ind w:left="198"/>
              <w:rPr>
                <w:b/>
                <w:sz w:val="22"/>
              </w:rPr>
            </w:pPr>
            <w:r>
              <w:rPr>
                <w:b/>
                <w:color w:val="707070"/>
                <w:spacing w:val="-4"/>
                <w:sz w:val="22"/>
              </w:rPr>
              <w:t>£000</w:t>
            </w:r>
          </w:p>
        </w:tc>
        <w:tc>
          <w:tcPr>
            <w:tcW w:w="3611" w:type="dxa"/>
          </w:tcPr>
          <w:p>
            <w:pPr>
              <w:pStyle w:val="TableParagraph"/>
              <w:spacing w:before="109"/>
              <w:rPr>
                <w:sz w:val="22"/>
              </w:rPr>
            </w:pPr>
          </w:p>
          <w:p>
            <w:pPr>
              <w:pStyle w:val="TableParagraph"/>
              <w:spacing w:line="247" w:lineRule="exact"/>
              <w:ind w:left="247"/>
              <w:rPr>
                <w:b/>
                <w:sz w:val="22"/>
              </w:rPr>
            </w:pPr>
            <w:r>
              <w:rPr>
                <w:b/>
                <w:color w:val="0A0A0A"/>
                <w:sz w:val="22"/>
              </w:rPr>
              <w:t>Cemeteries</w:t>
            </w:r>
            <w:r>
              <w:rPr>
                <w:b/>
                <w:color w:val="0A0A0A"/>
                <w:spacing w:val="-6"/>
                <w:sz w:val="22"/>
              </w:rPr>
              <w:t> </w:t>
            </w:r>
            <w:r>
              <w:rPr>
                <w:b/>
                <w:i/>
                <w:color w:val="0A0A0A"/>
                <w:sz w:val="22"/>
              </w:rPr>
              <w:t>I</w:t>
            </w:r>
            <w:r>
              <w:rPr>
                <w:b/>
                <w:i/>
                <w:color w:val="0A0A0A"/>
                <w:spacing w:val="-6"/>
                <w:sz w:val="22"/>
              </w:rPr>
              <w:t> </w:t>
            </w:r>
            <w:r>
              <w:rPr>
                <w:b/>
                <w:color w:val="0A0A0A"/>
                <w:sz w:val="22"/>
              </w:rPr>
              <w:t>Burial</w:t>
            </w:r>
            <w:r>
              <w:rPr>
                <w:b/>
                <w:color w:val="0A0A0A"/>
                <w:spacing w:val="-12"/>
                <w:sz w:val="22"/>
              </w:rPr>
              <w:t> </w:t>
            </w:r>
            <w:r>
              <w:rPr>
                <w:b/>
                <w:color w:val="0A0A0A"/>
                <w:spacing w:val="-2"/>
                <w:sz w:val="22"/>
              </w:rPr>
              <w:t>Grounds</w:t>
            </w:r>
          </w:p>
        </w:tc>
        <w:tc>
          <w:tcPr>
            <w:tcW w:w="876" w:type="dxa"/>
          </w:tcPr>
          <w:p>
            <w:pPr>
              <w:pStyle w:val="TableParagraph"/>
              <w:rPr>
                <w:rFonts w:ascii="Times New Roman"/>
                <w:sz w:val="20"/>
              </w:rPr>
            </w:pPr>
          </w:p>
        </w:tc>
        <w:tc>
          <w:tcPr>
            <w:tcW w:w="1544" w:type="dxa"/>
          </w:tcPr>
          <w:p>
            <w:pPr>
              <w:pStyle w:val="TableParagraph"/>
              <w:spacing w:before="108"/>
              <w:ind w:left="500"/>
              <w:rPr>
                <w:b/>
                <w:sz w:val="22"/>
              </w:rPr>
            </w:pPr>
            <w:r>
              <w:rPr>
                <w:b/>
                <w:color w:val="0A0A0A"/>
                <w:spacing w:val="-4"/>
                <w:sz w:val="22"/>
              </w:rPr>
              <w:t>£000</w:t>
            </w:r>
          </w:p>
        </w:tc>
        <w:tc>
          <w:tcPr>
            <w:tcW w:w="1190" w:type="dxa"/>
          </w:tcPr>
          <w:p>
            <w:pPr>
              <w:pStyle w:val="TableParagraph"/>
              <w:spacing w:before="108"/>
              <w:ind w:left="297"/>
              <w:rPr>
                <w:b/>
                <w:sz w:val="22"/>
              </w:rPr>
            </w:pPr>
            <w:r>
              <w:rPr>
                <w:b/>
                <w:color w:val="0A0A0A"/>
                <w:spacing w:val="-4"/>
                <w:sz w:val="22"/>
              </w:rPr>
              <w:t>£000</w:t>
            </w:r>
          </w:p>
        </w:tc>
        <w:tc>
          <w:tcPr>
            <w:tcW w:w="1110" w:type="dxa"/>
          </w:tcPr>
          <w:p>
            <w:pPr>
              <w:pStyle w:val="TableParagraph"/>
              <w:spacing w:before="108"/>
              <w:ind w:left="305"/>
              <w:rPr>
                <w:b/>
                <w:sz w:val="22"/>
              </w:rPr>
            </w:pPr>
            <w:r>
              <w:rPr>
                <w:b/>
                <w:color w:val="0A0A0A"/>
                <w:spacing w:val="-4"/>
                <w:sz w:val="22"/>
              </w:rPr>
              <w:t>£000</w:t>
            </w:r>
          </w:p>
        </w:tc>
      </w:tr>
      <w:tr>
        <w:trPr>
          <w:trHeight w:val="264" w:hRule="atLeast"/>
        </w:trPr>
        <w:tc>
          <w:tcPr>
            <w:tcW w:w="1182" w:type="dxa"/>
          </w:tcPr>
          <w:p>
            <w:pPr>
              <w:pStyle w:val="TableParagraph"/>
              <w:spacing w:before="11" w:line="233" w:lineRule="exact"/>
              <w:ind w:right="241"/>
              <w:jc w:val="right"/>
              <w:rPr>
                <w:b/>
                <w:sz w:val="22"/>
              </w:rPr>
            </w:pPr>
            <w:r>
              <w:rPr>
                <w:b/>
                <w:color w:val="0A0A0A"/>
                <w:spacing w:val="-10"/>
                <w:w w:val="105"/>
                <w:sz w:val="22"/>
              </w:rPr>
              <w:t>4</w:t>
            </w:r>
          </w:p>
        </w:tc>
        <w:tc>
          <w:tcPr>
            <w:tcW w:w="3611" w:type="dxa"/>
          </w:tcPr>
          <w:p>
            <w:pPr>
              <w:pStyle w:val="TableParagraph"/>
              <w:tabs>
                <w:tab w:val="left" w:leader="none" w:pos="900"/>
                <w:tab w:val="left" w:leader="none" w:pos="1911"/>
                <w:tab w:val="left" w:leader="none" w:pos="3129"/>
              </w:tabs>
              <w:spacing w:before="11" w:line="233" w:lineRule="exact"/>
              <w:ind w:left="243"/>
              <w:rPr>
                <w:sz w:val="22"/>
              </w:rPr>
            </w:pPr>
            <w:r>
              <w:rPr>
                <w:color w:val="0A0A0A"/>
                <w:spacing w:val="-5"/>
                <w:sz w:val="22"/>
              </w:rPr>
              <w:t>The</w:t>
            </w:r>
            <w:r>
              <w:rPr>
                <w:color w:val="0A0A0A"/>
                <w:sz w:val="22"/>
              </w:rPr>
              <w:tab/>
            </w:r>
            <w:r>
              <w:rPr>
                <w:color w:val="0A0A0A"/>
                <w:spacing w:val="-2"/>
                <w:sz w:val="22"/>
              </w:rPr>
              <w:t>Council</w:t>
            </w:r>
            <w:r>
              <w:rPr>
                <w:color w:val="0A0A0A"/>
                <w:sz w:val="22"/>
              </w:rPr>
              <w:tab/>
            </w:r>
            <w:r>
              <w:rPr>
                <w:color w:val="0A0A0A"/>
                <w:spacing w:val="-2"/>
                <w:sz w:val="22"/>
              </w:rPr>
              <w:t>maintains</w:t>
            </w:r>
            <w:r>
              <w:rPr>
                <w:color w:val="0A0A0A"/>
                <w:sz w:val="22"/>
              </w:rPr>
              <w:tab/>
            </w:r>
            <w:r>
              <w:rPr>
                <w:color w:val="0A0A0A"/>
                <w:spacing w:val="-5"/>
                <w:sz w:val="22"/>
              </w:rPr>
              <w:t>two</w:t>
            </w:r>
          </w:p>
        </w:tc>
        <w:tc>
          <w:tcPr>
            <w:tcW w:w="876" w:type="dxa"/>
          </w:tcPr>
          <w:p>
            <w:pPr>
              <w:pStyle w:val="TableParagraph"/>
              <w:spacing w:before="11" w:line="233" w:lineRule="exact"/>
              <w:ind w:left="138"/>
              <w:rPr>
                <w:sz w:val="22"/>
              </w:rPr>
            </w:pPr>
            <w:r>
              <w:rPr>
                <w:color w:val="0A0A0A"/>
                <w:spacing w:val="-2"/>
                <w:sz w:val="22"/>
              </w:rPr>
              <w:t>closed</w:t>
            </w:r>
          </w:p>
        </w:tc>
        <w:tc>
          <w:tcPr>
            <w:tcW w:w="1544" w:type="dxa"/>
          </w:tcPr>
          <w:p>
            <w:pPr>
              <w:pStyle w:val="TableParagraph"/>
              <w:spacing w:before="11" w:line="233" w:lineRule="exact"/>
              <w:ind w:right="155"/>
              <w:jc w:val="right"/>
              <w:rPr>
                <w:sz w:val="22"/>
              </w:rPr>
            </w:pPr>
            <w:r>
              <w:rPr>
                <w:color w:val="0A0A0A"/>
                <w:spacing w:val="-5"/>
                <w:sz w:val="22"/>
              </w:rPr>
              <w:t>194</w:t>
            </w:r>
          </w:p>
        </w:tc>
        <w:tc>
          <w:tcPr>
            <w:tcW w:w="1190" w:type="dxa"/>
          </w:tcPr>
          <w:p>
            <w:pPr>
              <w:pStyle w:val="TableParagraph"/>
              <w:spacing w:before="11" w:line="233" w:lineRule="exact"/>
              <w:ind w:left="531"/>
              <w:rPr>
                <w:sz w:val="22"/>
              </w:rPr>
            </w:pPr>
            <w:r>
              <w:rPr>
                <w:color w:val="0A0A0A"/>
                <w:spacing w:val="-2"/>
                <w:sz w:val="22"/>
              </w:rPr>
              <w:t>(201)</w:t>
            </w:r>
          </w:p>
        </w:tc>
        <w:tc>
          <w:tcPr>
            <w:tcW w:w="1110" w:type="dxa"/>
          </w:tcPr>
          <w:p>
            <w:pPr>
              <w:pStyle w:val="TableParagraph"/>
              <w:spacing w:before="7" w:line="238" w:lineRule="exact"/>
              <w:ind w:right="49"/>
              <w:jc w:val="right"/>
              <w:rPr>
                <w:b/>
                <w:sz w:val="22"/>
              </w:rPr>
            </w:pPr>
            <w:r>
              <w:rPr>
                <w:b/>
                <w:color w:val="0A0A0A"/>
                <w:spacing w:val="-5"/>
                <w:w w:val="105"/>
                <w:sz w:val="22"/>
              </w:rPr>
              <w:t>(7)</w:t>
            </w:r>
          </w:p>
        </w:tc>
      </w:tr>
    </w:tbl>
    <w:p>
      <w:pPr>
        <w:pStyle w:val="BodyText"/>
        <w:ind w:left="3116" w:right="4223" w:hanging="2"/>
      </w:pPr>
      <w:r>
        <w:rPr>
          <w:color w:val="0A0A0A"/>
        </w:rPr>
        <w:t>cemeteries</w:t>
      </w:r>
      <w:r>
        <w:rPr>
          <w:color w:val="0A0A0A"/>
          <w:spacing w:val="30"/>
        </w:rPr>
        <w:t> </w:t>
      </w:r>
      <w:r>
        <w:rPr>
          <w:color w:val="0A0A0A"/>
        </w:rPr>
        <w:t>(not</w:t>
      </w:r>
      <w:r>
        <w:rPr>
          <w:color w:val="0A0A0A"/>
          <w:spacing w:val="25"/>
        </w:rPr>
        <w:t> </w:t>
      </w:r>
      <w:r>
        <w:rPr>
          <w:color w:val="0A0A0A"/>
        </w:rPr>
        <w:t>available</w:t>
      </w:r>
      <w:r>
        <w:rPr>
          <w:color w:val="0A0A0A"/>
          <w:spacing w:val="28"/>
        </w:rPr>
        <w:t> </w:t>
      </w:r>
      <w:r>
        <w:rPr>
          <w:color w:val="0A0A0A"/>
        </w:rPr>
        <w:t>for</w:t>
      </w:r>
      <w:r>
        <w:rPr>
          <w:color w:val="0A0A0A"/>
          <w:spacing w:val="20"/>
        </w:rPr>
        <w:t> </w:t>
      </w:r>
      <w:r>
        <w:rPr>
          <w:color w:val="0A0A0A"/>
        </w:rPr>
        <w:t>burials)</w:t>
      </w:r>
      <w:r>
        <w:rPr>
          <w:color w:val="0A0A0A"/>
          <w:spacing w:val="28"/>
        </w:rPr>
        <w:t> </w:t>
      </w:r>
      <w:r>
        <w:rPr>
          <w:color w:val="0A0A0A"/>
        </w:rPr>
        <w:t>and one</w:t>
      </w:r>
      <w:r>
        <w:rPr>
          <w:color w:val="0A0A0A"/>
          <w:spacing w:val="-9"/>
        </w:rPr>
        <w:t> </w:t>
      </w:r>
      <w:r>
        <w:rPr>
          <w:color w:val="0A0A0A"/>
        </w:rPr>
        <w:t>lawn</w:t>
      </w:r>
      <w:r>
        <w:rPr>
          <w:color w:val="0A0A0A"/>
          <w:spacing w:val="-4"/>
        </w:rPr>
        <w:t> </w:t>
      </w:r>
      <w:r>
        <w:rPr>
          <w:color w:val="0A0A0A"/>
        </w:rPr>
        <w:t>cemetery</w:t>
      </w:r>
      <w:r>
        <w:rPr>
          <w:color w:val="0A0A0A"/>
          <w:spacing w:val="7"/>
        </w:rPr>
        <w:t> </w:t>
      </w:r>
      <w:r>
        <w:rPr>
          <w:color w:val="0A0A0A"/>
        </w:rPr>
        <w:t>that</w:t>
      </w:r>
      <w:r>
        <w:rPr>
          <w:color w:val="0A0A0A"/>
          <w:spacing w:val="-2"/>
        </w:rPr>
        <w:t> </w:t>
      </w:r>
      <w:r>
        <w:rPr>
          <w:color w:val="0A0A0A"/>
        </w:rPr>
        <w:t>incurs</w:t>
      </w:r>
      <w:r>
        <w:rPr>
          <w:color w:val="0A0A0A"/>
          <w:spacing w:val="-2"/>
        </w:rPr>
        <w:t> expenditure</w:t>
      </w:r>
    </w:p>
    <w:p>
      <w:pPr>
        <w:pStyle w:val="BodyText"/>
        <w:spacing w:before="2"/>
        <w:ind w:left="3117" w:right="4223" w:hanging="10"/>
      </w:pPr>
      <w:r>
        <w:rPr>
          <w:color w:val="0A0A0A"/>
        </w:rPr>
        <w:t>-</w:t>
      </w:r>
      <w:r>
        <w:rPr>
          <w:color w:val="0A0A0A"/>
          <w:spacing w:val="40"/>
        </w:rPr>
        <w:t> </w:t>
      </w:r>
      <w:r>
        <w:rPr>
          <w:color w:val="0A0A0A"/>
        </w:rPr>
        <w:t>the trading</w:t>
      </w:r>
      <w:r>
        <w:rPr>
          <w:color w:val="0A0A0A"/>
          <w:spacing w:val="37"/>
        </w:rPr>
        <w:t> </w:t>
      </w:r>
      <w:r>
        <w:rPr>
          <w:color w:val="0A0A0A"/>
        </w:rPr>
        <w:t>objective</w:t>
      </w:r>
      <w:r>
        <w:rPr>
          <w:color w:val="0A0A0A"/>
          <w:spacing w:val="39"/>
        </w:rPr>
        <w:t> </w:t>
      </w:r>
      <w:r>
        <w:rPr>
          <w:color w:val="0A0A0A"/>
        </w:rPr>
        <w:t>is to minimise</w:t>
      </w:r>
      <w:r>
        <w:rPr>
          <w:color w:val="0A0A0A"/>
          <w:spacing w:val="31"/>
        </w:rPr>
        <w:t> </w:t>
      </w:r>
      <w:r>
        <w:rPr>
          <w:color w:val="0A0A0A"/>
        </w:rPr>
        <w:t>the subsidy funded from council tax.</w:t>
      </w:r>
    </w:p>
    <w:p>
      <w:pPr>
        <w:pStyle w:val="BodyText"/>
        <w:spacing w:before="69"/>
        <w:rPr>
          <w:sz w:val="20"/>
        </w:rPr>
      </w:pPr>
    </w:p>
    <w:p>
      <w:pPr>
        <w:spacing w:after="0"/>
        <w:rPr>
          <w:sz w:val="20"/>
        </w:rPr>
        <w:sectPr>
          <w:pgSz w:w="11910" w:h="16830"/>
          <w:pgMar w:top="900" w:right="100" w:bottom="1340" w:left="20" w:header="726" w:footer="1156"/>
        </w:sectPr>
      </w:pPr>
    </w:p>
    <w:p>
      <w:pPr>
        <w:pStyle w:val="BodyText"/>
        <w:spacing w:before="119"/>
      </w:pPr>
    </w:p>
    <w:p>
      <w:pPr>
        <w:pStyle w:val="Heading3"/>
        <w:jc w:val="right"/>
      </w:pPr>
      <w:r>
        <w:rPr>
          <w:color w:val="0A0A0A"/>
          <w:spacing w:val="-4"/>
        </w:rPr>
        <w:t>(92)</w:t>
      </w:r>
    </w:p>
    <w:p>
      <w:pPr>
        <w:spacing w:before="94"/>
        <w:ind w:left="446" w:right="0" w:firstLine="0"/>
        <w:jc w:val="both"/>
        <w:rPr>
          <w:b/>
          <w:sz w:val="22"/>
        </w:rPr>
      </w:pPr>
      <w:r>
        <w:rPr/>
        <w:br w:type="column"/>
      </w:r>
      <w:r>
        <w:rPr>
          <w:b/>
          <w:color w:val="0A0A0A"/>
          <w:sz w:val="22"/>
        </w:rPr>
        <w:t>Trade</w:t>
      </w:r>
      <w:r>
        <w:rPr>
          <w:b/>
          <w:color w:val="0A0A0A"/>
          <w:spacing w:val="-8"/>
          <w:sz w:val="22"/>
        </w:rPr>
        <w:t> </w:t>
      </w:r>
      <w:r>
        <w:rPr>
          <w:b/>
          <w:color w:val="0A0A0A"/>
          <w:spacing w:val="-2"/>
          <w:sz w:val="22"/>
        </w:rPr>
        <w:t>Refuse</w:t>
      </w:r>
    </w:p>
    <w:p>
      <w:pPr>
        <w:pStyle w:val="BodyText"/>
        <w:spacing w:before="25"/>
        <w:ind w:left="443" w:firstLine="2"/>
        <w:jc w:val="both"/>
      </w:pPr>
      <w:r>
        <w:rPr>
          <w:color w:val="0A0A0A"/>
        </w:rPr>
        <w:t>The Council has a duty under the Environmental Protection Act to provide, where requested, a commercial waste service for which a charge is made.</w:t>
      </w:r>
    </w:p>
    <w:p>
      <w:pPr>
        <w:spacing w:before="119" w:line="240" w:lineRule="auto"/>
        <w:rPr>
          <w:sz w:val="22"/>
        </w:rPr>
      </w:pPr>
      <w:r>
        <w:rPr/>
        <w:br w:type="column"/>
      </w:r>
      <w:r>
        <w:rPr>
          <w:sz w:val="22"/>
        </w:rPr>
      </w:r>
    </w:p>
    <w:p>
      <w:pPr>
        <w:tabs>
          <w:tab w:val="left" w:leader="none" w:pos="2135"/>
          <w:tab w:val="left" w:leader="none" w:pos="3450"/>
        </w:tabs>
        <w:spacing w:before="0"/>
        <w:ind w:left="1077" w:right="0" w:firstLine="0"/>
        <w:jc w:val="left"/>
        <w:rPr>
          <w:b/>
          <w:sz w:val="22"/>
        </w:rPr>
      </w:pPr>
      <w:r>
        <w:rPr>
          <w:color w:val="0A0A0A"/>
          <w:spacing w:val="-5"/>
          <w:sz w:val="22"/>
        </w:rPr>
        <w:t>508</w:t>
      </w:r>
      <w:r>
        <w:rPr>
          <w:color w:val="0A0A0A"/>
          <w:sz w:val="22"/>
        </w:rPr>
        <w:tab/>
      </w:r>
      <w:r>
        <w:rPr>
          <w:color w:val="0A0A0A"/>
          <w:spacing w:val="-2"/>
          <w:sz w:val="22"/>
        </w:rPr>
        <w:t>(594)</w:t>
      </w:r>
      <w:r>
        <w:rPr>
          <w:color w:val="0A0A0A"/>
          <w:sz w:val="22"/>
        </w:rPr>
        <w:tab/>
      </w:r>
      <w:r>
        <w:rPr>
          <w:b/>
          <w:color w:val="0A0A0A"/>
          <w:spacing w:val="-4"/>
          <w:sz w:val="22"/>
        </w:rPr>
        <w:t>(86)</w:t>
      </w:r>
    </w:p>
    <w:p>
      <w:pPr>
        <w:spacing w:after="0"/>
        <w:jc w:val="left"/>
        <w:rPr>
          <w:sz w:val="22"/>
        </w:rPr>
        <w:sectPr>
          <w:type w:val="continuous"/>
          <w:pgSz w:w="11910" w:h="16830"/>
          <w:pgMar w:top="1940" w:right="100" w:bottom="280" w:left="20" w:header="726" w:footer="1156"/>
          <w:cols w:equalWidth="0" w:num="3">
            <w:col w:w="2628" w:space="40"/>
            <w:col w:w="4590" w:space="39"/>
            <w:col w:w="4493"/>
          </w:cols>
        </w:sectPr>
      </w:pPr>
    </w:p>
    <w:p>
      <w:pPr>
        <w:pStyle w:val="BodyText"/>
        <w:rPr>
          <w:b/>
          <w:sz w:val="20"/>
        </w:rPr>
      </w:pPr>
    </w:p>
    <w:p>
      <w:pPr>
        <w:pStyle w:val="BodyText"/>
        <w:spacing w:before="51" w:after="1"/>
        <w:rPr>
          <w:b/>
          <w:sz w:val="20"/>
        </w:rPr>
      </w:pPr>
    </w:p>
    <w:p>
      <w:pPr>
        <w:tabs>
          <w:tab w:val="left" w:leader="none" w:pos="7364"/>
        </w:tabs>
        <w:spacing w:line="20" w:lineRule="exact"/>
        <w:ind w:left="1537" w:right="0" w:firstLine="0"/>
        <w:rPr>
          <w:sz w:val="2"/>
        </w:rPr>
      </w:pPr>
      <w:r>
        <w:rPr>
          <w:sz w:val="2"/>
        </w:rPr>
        <ve:AlternateContent>
          <ve:Choice Requires="wps">
            <w:drawing>
              <wp:inline distT="0" distB="0" distL="0" distR="0">
                <wp:extent cx="769620" cy="9525"/>
                <wp:effectExtent l="9525" t="0" r="1904" b="0"/>
                <wp:docPr id="162" name="Group 162"/>
                <wp:cNvGraphicFramePr>
                  <a:graphicFrameLocks/>
                </wp:cNvGraphicFramePr>
                <a:graphic>
                  <a:graphicData uri="http://schemas.microsoft.com/office/word/2010/wordprocessingGroup">
                    <wpg:wgp>
                      <wpg:cNvPr id="162" name="Group 162"/>
                      <wpg:cNvGrpSpPr/>
                      <wpg:grpSpPr>
                        <a:xfrm>
                          <a:off x="0" y="0"/>
                          <a:ext cx="769620" cy="9525"/>
                          <a:chExt cx="769620" cy="9525"/>
                        </a:xfrm>
                      </wpg:grpSpPr>
                      <wps:wsp>
                        <wps:cNvPr id="163" name="Graphic 163"/>
                        <wps:cNvSpPr/>
                        <wps:spPr>
                          <a:xfrm>
                            <a:off x="0" y="4577"/>
                            <a:ext cx="769620" cy="1270"/>
                          </a:xfrm>
                          <a:custGeom>
                            <a:avLst/>
                            <a:gdLst/>
                            <a:ahLst/>
                            <a:cxnLst/>
                            <a:rect l="l" t="t" r="r" b="b"/>
                            <a:pathLst>
                              <a:path w="769620" h="0">
                                <a:moveTo>
                                  <a:pt x="0" y="0"/>
                                </a:moveTo>
                                <a:lnTo>
                                  <a:pt x="769334"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00" style="width:60.6pt;height:.75pt;mso-position-horizontal-relative:char;mso-position-vertical-relative:line" coordsize="1212,15" coordorigin="0,0">
                <v:line style="position:absolute" stroked="true" strokecolor="#000000" strokeweight=".720821pt" from="0,7" to="1212,7">
                  <v:stroke dashstyle="solid"/>
                </v:line>
              </v:group>
            </w:pict>
          </ve:Fallback>
        </ve:AlternateContent>
      </w:r>
      <w:r>
        <w:rPr>
          <w:sz w:val="2"/>
        </w:rPr>
      </w:r>
      <w:r>
        <w:rPr>
          <w:sz w:val="2"/>
        </w:rPr>
        <w:tab/>
      </w:r>
      <w:r>
        <w:rPr>
          <w:sz w:val="2"/>
        </w:rPr>
        <ve:AlternateContent>
          <ve:Choice Requires="wps">
            <w:drawing>
              <wp:inline distT="0" distB="0" distL="0" distR="0">
                <wp:extent cx="2491740" cy="9525"/>
                <wp:effectExtent l="9525" t="0" r="3810" b="0"/>
                <wp:docPr id="164" name="Group 164"/>
                <wp:cNvGraphicFramePr>
                  <a:graphicFrameLocks/>
                </wp:cNvGraphicFramePr>
                <a:graphic>
                  <a:graphicData uri="http://schemas.microsoft.com/office/word/2010/wordprocessingGroup">
                    <wpg:wgp>
                      <wpg:cNvPr id="164" name="Group 164"/>
                      <wpg:cNvGrpSpPr/>
                      <wpg:grpSpPr>
                        <a:xfrm>
                          <a:off x="0" y="0"/>
                          <a:ext cx="2491740" cy="9525"/>
                          <a:chExt cx="2491740" cy="9525"/>
                        </a:xfrm>
                      </wpg:grpSpPr>
                      <wps:wsp>
                        <wps:cNvPr id="165" name="Graphic 165"/>
                        <wps:cNvSpPr/>
                        <wps:spPr>
                          <a:xfrm>
                            <a:off x="0" y="4577"/>
                            <a:ext cx="2491740" cy="1270"/>
                          </a:xfrm>
                          <a:custGeom>
                            <a:avLst/>
                            <a:gdLst/>
                            <a:ahLst/>
                            <a:cxnLst/>
                            <a:rect l="l" t="t" r="r" b="b"/>
                            <a:pathLst>
                              <a:path w="2491740" h="0">
                                <a:moveTo>
                                  <a:pt x="0" y="0"/>
                                </a:moveTo>
                                <a:lnTo>
                                  <a:pt x="2491179"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01" style="width:196.2pt;height:.75pt;mso-position-horizontal-relative:char;mso-position-vertical-relative:line" coordsize="3924,15" coordorigin="0,0">
                <v:line style="position:absolute" stroked="true" strokecolor="#000000" strokeweight=".720821pt" from="0,7" to="3923,7">
                  <v:stroke dashstyle="solid"/>
                </v:line>
              </v:group>
            </w:pict>
          </ve:Fallback>
        </ve:AlternateContent>
      </w:r>
      <w:r>
        <w:rPr>
          <w:sz w:val="2"/>
        </w:rPr>
      </w:r>
    </w:p>
    <w:p>
      <w:pPr>
        <w:spacing w:after="0" w:line="20" w:lineRule="exact"/>
        <w:rPr>
          <w:sz w:val="2"/>
        </w:rPr>
        <w:sectPr>
          <w:type w:val="continuous"/>
          <w:pgSz w:w="11910" w:h="16830"/>
          <w:pgMar w:top="1940" w:right="100" w:bottom="280" w:left="20" w:header="726" w:footer="1156"/>
        </w:sectPr>
      </w:pPr>
    </w:p>
    <w:p>
      <w:pPr>
        <w:tabs>
          <w:tab w:val="left" w:leader="none" w:pos="3117"/>
        </w:tabs>
        <w:spacing w:before="17" w:line="151" w:lineRule="auto"/>
        <w:ind w:left="2228" w:right="0" w:firstLine="0"/>
        <w:jc w:val="left"/>
        <w:rPr>
          <w:b/>
          <w:sz w:val="22"/>
        </w:rPr>
      </w:pPr>
      <w:r>
        <w:rPr>
          <w:b/>
          <w:color w:val="0A0A0A"/>
          <w:spacing w:val="-4"/>
          <w:position w:val="-12"/>
          <w:sz w:val="22"/>
        </w:rPr>
        <w:t>(88)</w:t>
      </w:r>
      <w:r>
        <w:rPr>
          <w:b/>
          <w:color w:val="0A0A0A"/>
          <w:position w:val="-12"/>
          <w:sz w:val="22"/>
        </w:rPr>
        <w:tab/>
      </w:r>
      <w:r>
        <w:rPr>
          <w:b/>
          <w:color w:val="0A0A0A"/>
          <w:sz w:val="22"/>
        </w:rPr>
        <w:t>Net</w:t>
      </w:r>
      <w:r>
        <w:rPr>
          <w:b/>
          <w:color w:val="0A0A0A"/>
          <w:spacing w:val="-9"/>
          <w:sz w:val="22"/>
        </w:rPr>
        <w:t> </w:t>
      </w:r>
      <w:r>
        <w:rPr>
          <w:b/>
          <w:color w:val="0A0A0A"/>
          <w:sz w:val="22"/>
        </w:rPr>
        <w:t>(surplus)</w:t>
      </w:r>
      <w:r>
        <w:rPr>
          <w:b/>
          <w:color w:val="0A0A0A"/>
          <w:spacing w:val="11"/>
          <w:sz w:val="22"/>
        </w:rPr>
        <w:t> </w:t>
      </w:r>
      <w:r>
        <w:rPr>
          <w:b/>
          <w:color w:val="0A0A0A"/>
          <w:sz w:val="22"/>
        </w:rPr>
        <w:t>/</w:t>
      </w:r>
      <w:r>
        <w:rPr>
          <w:b/>
          <w:color w:val="0A0A0A"/>
          <w:spacing w:val="-9"/>
          <w:sz w:val="22"/>
        </w:rPr>
        <w:t> </w:t>
      </w:r>
      <w:r>
        <w:rPr>
          <w:b/>
          <w:color w:val="0A0A0A"/>
          <w:sz w:val="22"/>
        </w:rPr>
        <w:t>deficit</w:t>
      </w:r>
      <w:r>
        <w:rPr>
          <w:b/>
          <w:color w:val="0A0A0A"/>
          <w:spacing w:val="-1"/>
          <w:sz w:val="22"/>
        </w:rPr>
        <w:t> </w:t>
      </w:r>
      <w:r>
        <w:rPr>
          <w:b/>
          <w:color w:val="0A0A0A"/>
          <w:sz w:val="22"/>
        </w:rPr>
        <w:t>on </w:t>
      </w:r>
      <w:r>
        <w:rPr>
          <w:b/>
          <w:color w:val="0A0A0A"/>
          <w:spacing w:val="-2"/>
          <w:sz w:val="22"/>
        </w:rPr>
        <w:t>trading</w:t>
      </w:r>
    </w:p>
    <w:p>
      <w:pPr>
        <w:tabs>
          <w:tab w:val="left" w:leader="none" w:pos="2804"/>
          <w:tab w:val="left" w:leader="none" w:pos="3121"/>
        </w:tabs>
        <w:spacing w:before="0" w:line="188" w:lineRule="exact"/>
        <w:ind w:left="1518" w:right="0" w:firstLine="0"/>
        <w:jc w:val="left"/>
        <w:rPr>
          <w:b/>
          <w:sz w:val="22"/>
        </w:rPr>
      </w:pPr>
      <w:r>
        <w:rPr>
          <w:b/>
          <w:color w:val="0A0A0A"/>
          <w:sz w:val="22"/>
          <w:u w:val="single" w:color="000000"/>
        </w:rPr>
        <w:tab/>
      </w:r>
      <w:r>
        <w:rPr>
          <w:b/>
          <w:color w:val="0A0A0A"/>
          <w:sz w:val="22"/>
          <w:u w:val="none"/>
        </w:rPr>
        <w:tab/>
      </w:r>
      <w:r>
        <w:rPr>
          <w:b/>
          <w:color w:val="0A0A0A"/>
          <w:spacing w:val="-2"/>
          <w:sz w:val="22"/>
          <w:u w:val="none"/>
        </w:rPr>
        <w:t>accounts</w:t>
      </w:r>
    </w:p>
    <w:p>
      <w:pPr>
        <w:tabs>
          <w:tab w:val="left" w:leader="none" w:pos="2573"/>
          <w:tab w:val="left" w:leader="none" w:pos="3896"/>
        </w:tabs>
        <w:spacing w:before="115"/>
        <w:ind w:left="1518" w:right="0" w:firstLine="0"/>
        <w:jc w:val="left"/>
        <w:rPr>
          <w:b/>
          <w:sz w:val="22"/>
        </w:rPr>
      </w:pPr>
      <w:r>
        <w:rPr/>
        <w:br w:type="column"/>
      </w:r>
      <w:r>
        <w:rPr>
          <w:b/>
          <w:color w:val="0A0A0A"/>
          <w:spacing w:val="-5"/>
          <w:sz w:val="22"/>
        </w:rPr>
        <w:t>702</w:t>
      </w:r>
      <w:r>
        <w:rPr>
          <w:b/>
          <w:color w:val="0A0A0A"/>
          <w:sz w:val="22"/>
        </w:rPr>
        <w:tab/>
      </w:r>
      <w:r>
        <w:rPr>
          <w:b/>
          <w:color w:val="0A0A0A"/>
          <w:spacing w:val="-2"/>
          <w:sz w:val="22"/>
        </w:rPr>
        <w:t>(795)</w:t>
      </w:r>
      <w:r>
        <w:rPr>
          <w:b/>
          <w:color w:val="0A0A0A"/>
          <w:sz w:val="22"/>
        </w:rPr>
        <w:tab/>
      </w:r>
      <w:r>
        <w:rPr>
          <w:b/>
          <w:color w:val="0A0A0A"/>
          <w:spacing w:val="-4"/>
          <w:sz w:val="22"/>
        </w:rPr>
        <w:t>(93)</w:t>
      </w:r>
    </w:p>
    <w:p>
      <w:pPr>
        <w:pStyle w:val="BodyText"/>
        <w:spacing w:before="3"/>
        <w:rPr>
          <w:b/>
          <w:sz w:val="9"/>
        </w:rPr>
      </w:pPr>
      <w:r>
        <w:rPr/>
        <ve:AlternateContent>
          <ve:Choice Requires="wps">
            <w:drawing>
              <wp:anchor distT="0" distB="0" distL="0" distR="0" simplePos="0" relativeHeight="487620608" behindDoc="1" locked="0" layoutInCell="1" allowOverlap="1">
                <wp:simplePos x="0" y="0"/>
                <wp:positionH relativeFrom="page">
                  <wp:posOffset>4689279</wp:posOffset>
                </wp:positionH>
                <wp:positionV relativeFrom="paragraph">
                  <wp:posOffset>82861</wp:posOffset>
                </wp:positionV>
                <wp:extent cx="2491740" cy="1270"/>
                <wp:effectExtent l="0" t="0" r="0" b="0"/>
                <wp:wrapTopAndBottom/>
                <wp:docPr id="166" name="Graphic 166"/>
                <wp:cNvGraphicFramePr>
                  <a:graphicFrameLocks/>
                </wp:cNvGraphicFramePr>
                <a:graphic>
                  <a:graphicData uri="http://schemas.microsoft.com/office/word/2010/wordprocessingShape">
                    <wps:wsp>
                      <wps:cNvPr id="166" name="Graphic 166"/>
                      <wps:cNvSpPr/>
                      <wps:spPr>
                        <a:xfrm>
                          <a:off x="0" y="0"/>
                          <a:ext cx="2491740" cy="1270"/>
                        </a:xfrm>
                        <a:custGeom>
                          <a:avLst/>
                          <a:gdLst/>
                          <a:ahLst/>
                          <a:cxnLst/>
                          <a:rect l="l" t="t" r="r" b="b"/>
                          <a:pathLst>
                            <a:path w="2491740" h="0">
                              <a:moveTo>
                                <a:pt x="0" y="0"/>
                              </a:moveTo>
                              <a:lnTo>
                                <a:pt x="249117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102" style="position:absolute;margin-left:369.234619pt;margin-top:6.52456pt;width:196.2pt;height:.1pt;mso-position-horizontal-relative:page;mso-position-vertical-relative:paragraph;z-index:-15695872;mso-wrap-distance-left:0;mso-wrap-distance-right:0" coordsize="3924,0" coordorigin="7385,130" filled="false" stroked="true" strokecolor="#000000" strokeweight=".720821pt" path="m7385,130l11308,130e">
                <v:path arrowok="t"/>
                <v:stroke dashstyle="solid"/>
                <w10:wrap type="topAndBottom"/>
              </v:shape>
            </w:pict>
          </ve:Fallback>
        </ve:AlternateContent>
      </w:r>
    </w:p>
    <w:p>
      <w:pPr>
        <w:spacing w:after="0"/>
        <w:rPr>
          <w:sz w:val="9"/>
        </w:rPr>
        <w:sectPr>
          <w:type w:val="continuous"/>
          <w:pgSz w:w="11910" w:h="16830"/>
          <w:pgMar w:top="1940" w:right="100" w:bottom="280" w:left="20" w:header="726" w:footer="1156"/>
          <w:cols w:equalWidth="0" w:num="2">
            <w:col w:w="6474" w:space="387"/>
            <w:col w:w="4929"/>
          </w:cols>
        </w:sectPr>
      </w:pPr>
    </w:p>
    <w:p>
      <w:pPr>
        <w:pStyle w:val="BodyText"/>
        <w:spacing w:before="240"/>
        <w:rPr>
          <w:b/>
        </w:rPr>
      </w:pPr>
    </w:p>
    <w:p>
      <w:pPr>
        <w:pStyle w:val="ListParagraph"/>
        <w:numPr>
          <w:ilvl w:val="1"/>
          <w:numId w:val="11"/>
        </w:numPr>
        <w:tabs>
          <w:tab w:val="left" w:leader="none" w:pos="2157"/>
        </w:tabs>
        <w:spacing w:before="0" w:after="0" w:line="240" w:lineRule="auto"/>
        <w:ind w:left="2157" w:right="0" w:hanging="716"/>
        <w:jc w:val="left"/>
        <w:rPr>
          <w:b/>
          <w:color w:val="0A0A0A"/>
          <w:sz w:val="22"/>
        </w:rPr>
      </w:pPr>
      <w:r>
        <w:rPr>
          <w:b/>
          <w:color w:val="0A0A0A"/>
          <w:sz w:val="22"/>
        </w:rPr>
        <w:t>Other</w:t>
      </w:r>
      <w:r>
        <w:rPr>
          <w:b/>
          <w:color w:val="0A0A0A"/>
          <w:spacing w:val="-9"/>
          <w:sz w:val="22"/>
        </w:rPr>
        <w:t> </w:t>
      </w:r>
      <w:r>
        <w:rPr>
          <w:b/>
          <w:color w:val="0A0A0A"/>
          <w:sz w:val="22"/>
        </w:rPr>
        <w:t>Operating</w:t>
      </w:r>
      <w:r>
        <w:rPr>
          <w:b/>
          <w:color w:val="0A0A0A"/>
          <w:spacing w:val="-10"/>
          <w:sz w:val="22"/>
        </w:rPr>
        <w:t> </w:t>
      </w:r>
      <w:r>
        <w:rPr>
          <w:b/>
          <w:color w:val="0A0A0A"/>
          <w:spacing w:val="-2"/>
          <w:sz w:val="22"/>
        </w:rPr>
        <w:t>Expenditure</w:t>
      </w:r>
    </w:p>
    <w:p>
      <w:pPr>
        <w:pStyle w:val="BodyText"/>
        <w:spacing w:before="129" w:after="1"/>
        <w:rPr>
          <w:b/>
          <w:sz w:val="20"/>
        </w:rPr>
      </w:pPr>
    </w:p>
    <w:tbl>
      <w:tblPr>
        <w:tblW w:w="0" w:type="auto"/>
        <w:jc w:val="left"/>
        <w:tblInd w:w="154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08"/>
        <w:gridCol w:w="6923"/>
        <w:gridCol w:w="1327"/>
      </w:tblGrid>
      <w:tr>
        <w:trPr>
          <w:trHeight w:val="312" w:hRule="atLeast"/>
        </w:trPr>
        <w:tc>
          <w:tcPr>
            <w:tcW w:w="1308" w:type="dxa"/>
          </w:tcPr>
          <w:p>
            <w:pPr>
              <w:pStyle w:val="TableParagraph"/>
              <w:spacing w:line="251" w:lineRule="exact"/>
              <w:ind w:left="244"/>
              <w:rPr>
                <w:b/>
                <w:sz w:val="22"/>
              </w:rPr>
            </w:pPr>
            <w:r>
              <w:rPr>
                <w:b/>
                <w:color w:val="0A0A0A"/>
                <w:spacing w:val="-4"/>
                <w:sz w:val="22"/>
              </w:rPr>
              <w:t>2021-</w:t>
            </w:r>
            <w:r>
              <w:rPr>
                <w:b/>
                <w:color w:val="0A0A0A"/>
                <w:spacing w:val="-5"/>
                <w:sz w:val="22"/>
              </w:rPr>
              <w:t>22</w:t>
            </w:r>
          </w:p>
        </w:tc>
        <w:tc>
          <w:tcPr>
            <w:tcW w:w="6923" w:type="dxa"/>
          </w:tcPr>
          <w:p>
            <w:pPr>
              <w:pStyle w:val="TableParagraph"/>
              <w:rPr>
                <w:rFonts w:ascii="Times New Roman"/>
                <w:sz w:val="20"/>
              </w:rPr>
            </w:pPr>
          </w:p>
        </w:tc>
        <w:tc>
          <w:tcPr>
            <w:tcW w:w="1327" w:type="dxa"/>
          </w:tcPr>
          <w:p>
            <w:pPr>
              <w:pStyle w:val="TableParagraph"/>
              <w:spacing w:line="246" w:lineRule="exact"/>
              <w:ind w:left="249"/>
              <w:rPr>
                <w:b/>
                <w:sz w:val="22"/>
              </w:rPr>
            </w:pPr>
            <w:r>
              <w:rPr>
                <w:b/>
                <w:color w:val="0A0A0A"/>
                <w:spacing w:val="-5"/>
                <w:sz w:val="22"/>
              </w:rPr>
              <w:t>2022-23</w:t>
            </w:r>
          </w:p>
        </w:tc>
      </w:tr>
      <w:tr>
        <w:trPr>
          <w:trHeight w:val="345" w:hRule="atLeast"/>
        </w:trPr>
        <w:tc>
          <w:tcPr>
            <w:tcW w:w="1308" w:type="dxa"/>
          </w:tcPr>
          <w:p>
            <w:pPr>
              <w:pStyle w:val="TableParagraph"/>
              <w:spacing w:before="60"/>
              <w:ind w:left="397"/>
              <w:rPr>
                <w:b/>
                <w:sz w:val="22"/>
              </w:rPr>
            </w:pPr>
            <w:r>
              <w:rPr>
                <w:b/>
                <w:color w:val="0A0A0A"/>
                <w:spacing w:val="-4"/>
                <w:sz w:val="22"/>
              </w:rPr>
              <w:t>£000</w:t>
            </w:r>
          </w:p>
        </w:tc>
        <w:tc>
          <w:tcPr>
            <w:tcW w:w="6923" w:type="dxa"/>
          </w:tcPr>
          <w:p>
            <w:pPr>
              <w:pStyle w:val="TableParagraph"/>
              <w:rPr>
                <w:rFonts w:ascii="Times New Roman"/>
                <w:sz w:val="20"/>
              </w:rPr>
            </w:pPr>
          </w:p>
        </w:tc>
        <w:tc>
          <w:tcPr>
            <w:tcW w:w="1327" w:type="dxa"/>
          </w:tcPr>
          <w:p>
            <w:pPr>
              <w:pStyle w:val="TableParagraph"/>
              <w:spacing w:before="55"/>
              <w:ind w:left="407"/>
              <w:rPr>
                <w:b/>
                <w:sz w:val="22"/>
              </w:rPr>
            </w:pPr>
            <w:r>
              <w:rPr>
                <w:b/>
                <w:color w:val="0A0A0A"/>
                <w:spacing w:val="-4"/>
                <w:sz w:val="22"/>
              </w:rPr>
              <w:t>£000</w:t>
            </w:r>
          </w:p>
        </w:tc>
      </w:tr>
      <w:tr>
        <w:trPr>
          <w:trHeight w:val="341" w:hRule="atLeast"/>
        </w:trPr>
        <w:tc>
          <w:tcPr>
            <w:tcW w:w="1308" w:type="dxa"/>
          </w:tcPr>
          <w:p>
            <w:pPr>
              <w:pStyle w:val="TableParagraph"/>
              <w:spacing w:before="26"/>
              <w:ind w:right="123"/>
              <w:jc w:val="right"/>
              <w:rPr>
                <w:sz w:val="22"/>
              </w:rPr>
            </w:pPr>
            <w:r>
              <w:rPr>
                <w:color w:val="0A0A0A"/>
                <w:spacing w:val="-2"/>
                <w:sz w:val="22"/>
              </w:rPr>
              <w:t>1,225</w:t>
            </w:r>
          </w:p>
        </w:tc>
        <w:tc>
          <w:tcPr>
            <w:tcW w:w="6923" w:type="dxa"/>
          </w:tcPr>
          <w:p>
            <w:pPr>
              <w:pStyle w:val="TableParagraph"/>
              <w:spacing w:before="26"/>
              <w:ind w:left="362"/>
              <w:rPr>
                <w:sz w:val="22"/>
              </w:rPr>
            </w:pPr>
            <w:r>
              <w:rPr>
                <w:color w:val="0A0A0A"/>
                <w:sz w:val="22"/>
              </w:rPr>
              <w:t>Parish and</w:t>
            </w:r>
            <w:r>
              <w:rPr>
                <w:color w:val="0A0A0A"/>
                <w:spacing w:val="-12"/>
                <w:sz w:val="22"/>
              </w:rPr>
              <w:t> </w:t>
            </w:r>
            <w:r>
              <w:rPr>
                <w:color w:val="0A0A0A"/>
                <w:sz w:val="22"/>
              </w:rPr>
              <w:t>town</w:t>
            </w:r>
            <w:r>
              <w:rPr>
                <w:color w:val="0A0A0A"/>
                <w:spacing w:val="-5"/>
                <w:sz w:val="22"/>
              </w:rPr>
              <w:t> </w:t>
            </w:r>
            <w:r>
              <w:rPr>
                <w:color w:val="0A0A0A"/>
                <w:sz w:val="22"/>
              </w:rPr>
              <w:t>council</w:t>
            </w:r>
            <w:r>
              <w:rPr>
                <w:color w:val="0A0A0A"/>
                <w:spacing w:val="-2"/>
                <w:sz w:val="22"/>
              </w:rPr>
              <w:t> precepts</w:t>
            </w:r>
          </w:p>
        </w:tc>
        <w:tc>
          <w:tcPr>
            <w:tcW w:w="1327" w:type="dxa"/>
          </w:tcPr>
          <w:p>
            <w:pPr>
              <w:pStyle w:val="TableParagraph"/>
              <w:spacing w:before="26"/>
              <w:ind w:right="201"/>
              <w:jc w:val="right"/>
              <w:rPr>
                <w:sz w:val="22"/>
              </w:rPr>
            </w:pPr>
            <w:r>
              <w:rPr>
                <w:color w:val="0A0A0A"/>
                <w:spacing w:val="-2"/>
                <w:sz w:val="22"/>
              </w:rPr>
              <w:t>1,313</w:t>
            </w:r>
          </w:p>
        </w:tc>
      </w:tr>
      <w:tr>
        <w:trPr>
          <w:trHeight w:val="729" w:hRule="atLeast"/>
        </w:trPr>
        <w:tc>
          <w:tcPr>
            <w:tcW w:w="1308" w:type="dxa"/>
            <w:tcBorders>
              <w:bottom w:val="single" w:color="000000" w:sz="6" w:space="0"/>
            </w:tcBorders>
          </w:tcPr>
          <w:p>
            <w:pPr>
              <w:pStyle w:val="TableParagraph"/>
              <w:spacing w:before="60"/>
              <w:ind w:right="125"/>
              <w:jc w:val="right"/>
              <w:rPr>
                <w:sz w:val="22"/>
              </w:rPr>
            </w:pPr>
            <w:r>
              <w:rPr>
                <w:color w:val="0A0A0A"/>
                <w:spacing w:val="-4"/>
                <w:sz w:val="22"/>
              </w:rPr>
              <w:t>(13)</w:t>
            </w:r>
          </w:p>
        </w:tc>
        <w:tc>
          <w:tcPr>
            <w:tcW w:w="6923" w:type="dxa"/>
          </w:tcPr>
          <w:p>
            <w:pPr>
              <w:pStyle w:val="TableParagraph"/>
              <w:spacing w:before="60"/>
              <w:ind w:left="363"/>
              <w:rPr>
                <w:sz w:val="22"/>
              </w:rPr>
            </w:pPr>
            <w:r>
              <w:rPr>
                <w:color w:val="0A0A0A"/>
                <w:sz w:val="22"/>
              </w:rPr>
              <w:t>Losses/</w:t>
            </w:r>
            <w:r>
              <w:rPr>
                <w:color w:val="0A0A0A"/>
                <w:spacing w:val="6"/>
                <w:sz w:val="22"/>
              </w:rPr>
              <w:t> </w:t>
            </w:r>
            <w:r>
              <w:rPr>
                <w:color w:val="0A0A0A"/>
                <w:sz w:val="22"/>
              </w:rPr>
              <w:t>(gains)</w:t>
            </w:r>
            <w:r>
              <w:rPr>
                <w:color w:val="0A0A0A"/>
                <w:spacing w:val="14"/>
                <w:sz w:val="22"/>
              </w:rPr>
              <w:t> </w:t>
            </w:r>
            <w:r>
              <w:rPr>
                <w:color w:val="0A0A0A"/>
                <w:sz w:val="22"/>
              </w:rPr>
              <w:t>on</w:t>
            </w:r>
            <w:r>
              <w:rPr>
                <w:color w:val="0A0A0A"/>
                <w:spacing w:val="-14"/>
                <w:sz w:val="22"/>
              </w:rPr>
              <w:t> </w:t>
            </w:r>
            <w:r>
              <w:rPr>
                <w:color w:val="0A0A0A"/>
                <w:sz w:val="22"/>
              </w:rPr>
              <w:t>the disposal</w:t>
            </w:r>
            <w:r>
              <w:rPr>
                <w:color w:val="0A0A0A"/>
                <w:spacing w:val="9"/>
                <w:sz w:val="22"/>
              </w:rPr>
              <w:t> </w:t>
            </w:r>
            <w:r>
              <w:rPr>
                <w:color w:val="0A0A0A"/>
                <w:sz w:val="22"/>
              </w:rPr>
              <w:t>of non-current</w:t>
            </w:r>
            <w:r>
              <w:rPr>
                <w:color w:val="0A0A0A"/>
                <w:spacing w:val="25"/>
                <w:sz w:val="22"/>
              </w:rPr>
              <w:t> </w:t>
            </w:r>
            <w:r>
              <w:rPr>
                <w:color w:val="0A0A0A"/>
                <w:spacing w:val="-2"/>
                <w:sz w:val="22"/>
              </w:rPr>
              <w:t>assets</w:t>
            </w:r>
          </w:p>
        </w:tc>
        <w:tc>
          <w:tcPr>
            <w:tcW w:w="1327" w:type="dxa"/>
            <w:tcBorders>
              <w:bottom w:val="single" w:color="000000" w:sz="6" w:space="0"/>
            </w:tcBorders>
          </w:tcPr>
          <w:p>
            <w:pPr>
              <w:pStyle w:val="TableParagraph"/>
              <w:spacing w:before="55"/>
              <w:ind w:right="147"/>
              <w:jc w:val="right"/>
              <w:rPr>
                <w:sz w:val="22"/>
              </w:rPr>
            </w:pPr>
            <w:r>
              <w:rPr>
                <w:color w:val="0A0A0A"/>
                <w:spacing w:val="-2"/>
                <w:sz w:val="22"/>
              </w:rPr>
              <w:t>(158)</w:t>
            </w:r>
          </w:p>
        </w:tc>
      </w:tr>
      <w:tr>
        <w:trPr>
          <w:trHeight w:val="369" w:hRule="atLeast"/>
        </w:trPr>
        <w:tc>
          <w:tcPr>
            <w:tcW w:w="1308" w:type="dxa"/>
            <w:tcBorders>
              <w:top w:val="single" w:color="000000" w:sz="6" w:space="0"/>
            </w:tcBorders>
          </w:tcPr>
          <w:p>
            <w:pPr>
              <w:pStyle w:val="TableParagraph"/>
              <w:spacing w:before="60"/>
              <w:ind w:right="122"/>
              <w:jc w:val="right"/>
              <w:rPr>
                <w:b/>
                <w:sz w:val="22"/>
              </w:rPr>
            </w:pPr>
            <w:r>
              <w:rPr/>
              <ve:AlternateContent>
                <ve:Choice Requires="wps">
                  <w:drawing>
                    <wp:anchor distT="0" distB="0" distL="0" distR="0" simplePos="0" relativeHeight="15761920" behindDoc="0" locked="0" layoutInCell="1" allowOverlap="1">
                      <wp:simplePos x="0" y="0"/>
                      <wp:positionH relativeFrom="column">
                        <wp:posOffset>-12211</wp:posOffset>
                      </wp:positionH>
                      <wp:positionV relativeFrom="paragraph">
                        <wp:posOffset>231692</wp:posOffset>
                      </wp:positionV>
                      <wp:extent cx="842644" cy="9525"/>
                      <wp:effectExtent l="0" t="0" r="0" b="0"/>
                      <wp:wrapNone/>
                      <wp:docPr id="167" name="Group 167"/>
                      <wp:cNvGraphicFramePr>
                        <a:graphicFrameLocks/>
                      </wp:cNvGraphicFramePr>
                      <a:graphic>
                        <a:graphicData uri="http://schemas.microsoft.com/office/word/2010/wordprocessingGroup">
                          <wpg:wgp>
                            <wpg:cNvPr id="167" name="Group 167"/>
                            <wpg:cNvGrpSpPr/>
                            <wpg:grpSpPr>
                              <a:xfrm>
                                <a:off x="0" y="0"/>
                                <a:ext cx="842644" cy="9525"/>
                                <a:chExt cx="842644" cy="9525"/>
                              </a:xfrm>
                            </wpg:grpSpPr>
                            <wps:wsp>
                              <wps:cNvPr id="168" name="Graphic 168"/>
                              <wps:cNvSpPr/>
                              <wps:spPr>
                                <a:xfrm>
                                  <a:off x="0" y="4577"/>
                                  <a:ext cx="842644" cy="1270"/>
                                </a:xfrm>
                                <a:custGeom>
                                  <a:avLst/>
                                  <a:gdLst/>
                                  <a:ahLst/>
                                  <a:cxnLst/>
                                  <a:rect l="l" t="t" r="r" b="b"/>
                                  <a:pathLst>
                                    <a:path w="842644" h="0">
                                      <a:moveTo>
                                        <a:pt x="0" y="0"/>
                                      </a:moveTo>
                                      <a:lnTo>
                                        <a:pt x="842604"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03" style="position:absolute;margin-left:-.961549pt;margin-top:18.243505pt;width:66.350pt;height:.75pt;mso-position-horizontal-relative:column;mso-position-vertical-relative:paragraph;z-index:15761920" coordsize="1327,15" coordorigin="-19,365">
                      <v:line style="position:absolute" stroked="true" strokecolor="#000000" strokeweight=".720821pt" from="-19,372" to="1308,372">
                        <v:stroke dashstyle="solid"/>
                      </v:line>
                      <w10:wrap type="none"/>
                    </v:group>
                  </w:pict>
                </ve:Fallback>
              </ve:AlternateContent>
            </w:r>
            <w:r>
              <w:rPr>
                <w:b/>
                <w:color w:val="0A0A0A"/>
                <w:spacing w:val="-2"/>
                <w:sz w:val="22"/>
              </w:rPr>
              <w:t>1,212</w:t>
            </w:r>
          </w:p>
        </w:tc>
        <w:tc>
          <w:tcPr>
            <w:tcW w:w="6923" w:type="dxa"/>
          </w:tcPr>
          <w:p>
            <w:pPr>
              <w:pStyle w:val="TableParagraph"/>
              <w:spacing w:before="65"/>
              <w:ind w:left="365"/>
              <w:rPr>
                <w:b/>
                <w:sz w:val="22"/>
              </w:rPr>
            </w:pPr>
            <w:r>
              <w:rPr>
                <w:b/>
                <w:color w:val="0A0A0A"/>
                <w:spacing w:val="-2"/>
                <w:sz w:val="22"/>
              </w:rPr>
              <w:t>Total</w:t>
            </w:r>
          </w:p>
        </w:tc>
        <w:tc>
          <w:tcPr>
            <w:tcW w:w="1327" w:type="dxa"/>
            <w:tcBorders>
              <w:top w:val="single" w:color="000000" w:sz="6" w:space="0"/>
              <w:bottom w:val="single" w:color="000000" w:sz="6" w:space="0"/>
            </w:tcBorders>
          </w:tcPr>
          <w:p>
            <w:pPr>
              <w:pStyle w:val="TableParagraph"/>
              <w:spacing w:before="65"/>
              <w:ind w:right="194"/>
              <w:jc w:val="right"/>
              <w:rPr>
                <w:b/>
                <w:sz w:val="22"/>
              </w:rPr>
            </w:pPr>
            <w:r>
              <w:rPr>
                <w:b/>
                <w:color w:val="0A0A0A"/>
                <w:spacing w:val="-2"/>
                <w:sz w:val="22"/>
              </w:rPr>
              <w:t>1,155</w:t>
            </w:r>
          </w:p>
        </w:tc>
      </w:tr>
    </w:tbl>
    <w:p>
      <w:pPr>
        <w:pStyle w:val="BodyText"/>
        <w:spacing w:before="250"/>
        <w:rPr>
          <w:b/>
        </w:rPr>
      </w:pPr>
    </w:p>
    <w:p>
      <w:pPr>
        <w:pStyle w:val="ListParagraph"/>
        <w:numPr>
          <w:ilvl w:val="1"/>
          <w:numId w:val="11"/>
        </w:numPr>
        <w:tabs>
          <w:tab w:val="left" w:leader="none" w:pos="2160"/>
        </w:tabs>
        <w:spacing w:before="0" w:after="0" w:line="240" w:lineRule="auto"/>
        <w:ind w:left="2160" w:right="0" w:hanging="721"/>
        <w:jc w:val="left"/>
        <w:rPr>
          <w:rFonts w:ascii="Courier New"/>
          <w:b/>
          <w:color w:val="0A0A0A"/>
          <w:sz w:val="25"/>
        </w:rPr>
      </w:pPr>
      <w:r>
        <w:rPr>
          <w:b/>
          <w:color w:val="0A0A0A"/>
          <w:sz w:val="22"/>
        </w:rPr>
        <w:t>Financing</w:t>
      </w:r>
      <w:r>
        <w:rPr>
          <w:b/>
          <w:color w:val="0A0A0A"/>
          <w:spacing w:val="-1"/>
          <w:sz w:val="22"/>
        </w:rPr>
        <w:t> </w:t>
      </w:r>
      <w:r>
        <w:rPr>
          <w:b/>
          <w:color w:val="0A0A0A"/>
          <w:sz w:val="22"/>
        </w:rPr>
        <w:t>and</w:t>
      </w:r>
      <w:r>
        <w:rPr>
          <w:b/>
          <w:color w:val="0A0A0A"/>
          <w:spacing w:val="-8"/>
          <w:sz w:val="22"/>
        </w:rPr>
        <w:t> </w:t>
      </w:r>
      <w:r>
        <w:rPr>
          <w:b/>
          <w:color w:val="0A0A0A"/>
          <w:sz w:val="22"/>
        </w:rPr>
        <w:t>Investment</w:t>
      </w:r>
      <w:r>
        <w:rPr>
          <w:b/>
          <w:color w:val="0A0A0A"/>
          <w:spacing w:val="-2"/>
          <w:sz w:val="22"/>
        </w:rPr>
        <w:t> </w:t>
      </w:r>
      <w:r>
        <w:rPr>
          <w:b/>
          <w:color w:val="0A0A0A"/>
          <w:sz w:val="22"/>
        </w:rPr>
        <w:t>Income</w:t>
      </w:r>
      <w:r>
        <w:rPr>
          <w:b/>
          <w:color w:val="0A0A0A"/>
          <w:spacing w:val="-3"/>
          <w:sz w:val="22"/>
        </w:rPr>
        <w:t> </w:t>
      </w:r>
      <w:r>
        <w:rPr>
          <w:b/>
          <w:color w:val="0A0A0A"/>
          <w:sz w:val="22"/>
        </w:rPr>
        <w:t>and</w:t>
      </w:r>
      <w:r>
        <w:rPr>
          <w:b/>
          <w:color w:val="0A0A0A"/>
          <w:spacing w:val="-5"/>
          <w:sz w:val="22"/>
        </w:rPr>
        <w:t> </w:t>
      </w:r>
      <w:r>
        <w:rPr>
          <w:b/>
          <w:color w:val="0A0A0A"/>
          <w:spacing w:val="-2"/>
          <w:sz w:val="22"/>
        </w:rPr>
        <w:t>Expenditure</w:t>
      </w:r>
    </w:p>
    <w:p>
      <w:pPr>
        <w:pStyle w:val="BodyText"/>
        <w:spacing w:before="106"/>
        <w:rPr>
          <w:b/>
          <w:sz w:val="20"/>
        </w:rPr>
      </w:pPr>
    </w:p>
    <w:tbl>
      <w:tblPr>
        <w:tblW w:w="0" w:type="auto"/>
        <w:jc w:val="left"/>
        <w:tblInd w:w="146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596"/>
        <w:gridCol w:w="6548"/>
        <w:gridCol w:w="1320"/>
      </w:tblGrid>
      <w:tr>
        <w:trPr>
          <w:trHeight w:val="320" w:hRule="atLeast"/>
        </w:trPr>
        <w:tc>
          <w:tcPr>
            <w:tcW w:w="1596" w:type="dxa"/>
          </w:tcPr>
          <w:p>
            <w:pPr>
              <w:pStyle w:val="TableParagraph"/>
              <w:spacing w:line="251" w:lineRule="exact"/>
              <w:ind w:left="321"/>
              <w:rPr>
                <w:b/>
                <w:sz w:val="22"/>
              </w:rPr>
            </w:pPr>
            <w:r>
              <w:rPr>
                <w:b/>
                <w:color w:val="0A0A0A"/>
                <w:spacing w:val="-4"/>
                <w:sz w:val="22"/>
              </w:rPr>
              <w:t>2021-</w:t>
            </w:r>
            <w:r>
              <w:rPr>
                <w:b/>
                <w:color w:val="0A0A0A"/>
                <w:spacing w:val="-5"/>
                <w:sz w:val="22"/>
              </w:rPr>
              <w:t>22</w:t>
            </w:r>
          </w:p>
        </w:tc>
        <w:tc>
          <w:tcPr>
            <w:tcW w:w="6548" w:type="dxa"/>
          </w:tcPr>
          <w:p>
            <w:pPr>
              <w:pStyle w:val="TableParagraph"/>
              <w:rPr>
                <w:rFonts w:ascii="Times New Roman"/>
                <w:sz w:val="20"/>
              </w:rPr>
            </w:pPr>
          </w:p>
        </w:tc>
        <w:tc>
          <w:tcPr>
            <w:tcW w:w="1320" w:type="dxa"/>
          </w:tcPr>
          <w:p>
            <w:pPr>
              <w:pStyle w:val="TableParagraph"/>
              <w:spacing w:line="246" w:lineRule="exact"/>
              <w:ind w:left="331"/>
              <w:rPr>
                <w:b/>
                <w:sz w:val="22"/>
              </w:rPr>
            </w:pPr>
            <w:r>
              <w:rPr>
                <w:b/>
                <w:color w:val="0A0A0A"/>
                <w:spacing w:val="-4"/>
                <w:sz w:val="22"/>
              </w:rPr>
              <w:t>2022-</w:t>
            </w:r>
            <w:r>
              <w:rPr>
                <w:b/>
                <w:color w:val="0A0A0A"/>
                <w:spacing w:val="-5"/>
                <w:sz w:val="22"/>
              </w:rPr>
              <w:t>23</w:t>
            </w:r>
          </w:p>
        </w:tc>
      </w:tr>
      <w:tr>
        <w:trPr>
          <w:trHeight w:val="355" w:hRule="atLeast"/>
        </w:trPr>
        <w:tc>
          <w:tcPr>
            <w:tcW w:w="1596" w:type="dxa"/>
          </w:tcPr>
          <w:p>
            <w:pPr>
              <w:pStyle w:val="TableParagraph"/>
              <w:spacing w:before="67"/>
              <w:ind w:left="479"/>
              <w:rPr>
                <w:b/>
                <w:sz w:val="22"/>
              </w:rPr>
            </w:pPr>
            <w:r>
              <w:rPr>
                <w:b/>
                <w:color w:val="0A0A0A"/>
                <w:spacing w:val="-4"/>
                <w:sz w:val="22"/>
              </w:rPr>
              <w:t>£000</w:t>
            </w:r>
          </w:p>
        </w:tc>
        <w:tc>
          <w:tcPr>
            <w:tcW w:w="6548" w:type="dxa"/>
          </w:tcPr>
          <w:p>
            <w:pPr>
              <w:pStyle w:val="TableParagraph"/>
              <w:rPr>
                <w:rFonts w:ascii="Times New Roman"/>
                <w:sz w:val="20"/>
              </w:rPr>
            </w:pPr>
          </w:p>
        </w:tc>
        <w:tc>
          <w:tcPr>
            <w:tcW w:w="1320" w:type="dxa"/>
          </w:tcPr>
          <w:p>
            <w:pPr>
              <w:pStyle w:val="TableParagraph"/>
              <w:spacing w:before="62"/>
              <w:ind w:left="489"/>
              <w:rPr>
                <w:b/>
                <w:sz w:val="22"/>
              </w:rPr>
            </w:pPr>
            <w:r>
              <w:rPr>
                <w:b/>
                <w:color w:val="0A0A0A"/>
                <w:spacing w:val="-4"/>
                <w:sz w:val="22"/>
              </w:rPr>
              <w:t>£000</w:t>
            </w:r>
          </w:p>
        </w:tc>
      </w:tr>
      <w:tr>
        <w:trPr>
          <w:trHeight w:val="353" w:hRule="atLeast"/>
        </w:trPr>
        <w:tc>
          <w:tcPr>
            <w:tcW w:w="1596" w:type="dxa"/>
          </w:tcPr>
          <w:p>
            <w:pPr>
              <w:pStyle w:val="TableParagraph"/>
              <w:spacing w:before="33"/>
              <w:ind w:right="331"/>
              <w:jc w:val="right"/>
              <w:rPr>
                <w:sz w:val="22"/>
              </w:rPr>
            </w:pPr>
            <w:r>
              <w:rPr>
                <w:color w:val="0A0A0A"/>
                <w:spacing w:val="-5"/>
                <w:w w:val="105"/>
                <w:sz w:val="22"/>
              </w:rPr>
              <w:t>50</w:t>
            </w:r>
          </w:p>
        </w:tc>
        <w:tc>
          <w:tcPr>
            <w:tcW w:w="6548" w:type="dxa"/>
          </w:tcPr>
          <w:p>
            <w:pPr>
              <w:pStyle w:val="TableParagraph"/>
              <w:spacing w:before="28"/>
              <w:ind w:left="325"/>
              <w:rPr>
                <w:sz w:val="22"/>
              </w:rPr>
            </w:pPr>
            <w:r>
              <w:rPr>
                <w:color w:val="0A0A0A"/>
                <w:sz w:val="22"/>
              </w:rPr>
              <w:t>Interest</w:t>
            </w:r>
            <w:r>
              <w:rPr>
                <w:color w:val="0A0A0A"/>
                <w:spacing w:val="1"/>
                <w:sz w:val="22"/>
              </w:rPr>
              <w:t> </w:t>
            </w:r>
            <w:r>
              <w:rPr>
                <w:color w:val="0A0A0A"/>
                <w:sz w:val="22"/>
              </w:rPr>
              <w:t>payable</w:t>
            </w:r>
            <w:r>
              <w:rPr>
                <w:color w:val="0A0A0A"/>
                <w:spacing w:val="-3"/>
                <w:sz w:val="22"/>
              </w:rPr>
              <w:t> </w:t>
            </w:r>
            <w:r>
              <w:rPr>
                <w:color w:val="0A0A0A"/>
                <w:sz w:val="22"/>
              </w:rPr>
              <w:t>and</w:t>
            </w:r>
            <w:r>
              <w:rPr>
                <w:color w:val="0A0A0A"/>
                <w:spacing w:val="-10"/>
                <w:sz w:val="22"/>
              </w:rPr>
              <w:t> </w:t>
            </w:r>
            <w:r>
              <w:rPr>
                <w:color w:val="0A0A0A"/>
                <w:sz w:val="22"/>
              </w:rPr>
              <w:t>similar</w:t>
            </w:r>
            <w:r>
              <w:rPr>
                <w:color w:val="0A0A0A"/>
                <w:spacing w:val="1"/>
                <w:sz w:val="22"/>
              </w:rPr>
              <w:t> </w:t>
            </w:r>
            <w:r>
              <w:rPr>
                <w:color w:val="0A0A0A"/>
                <w:spacing w:val="-2"/>
                <w:sz w:val="22"/>
              </w:rPr>
              <w:t>charges</w:t>
            </w:r>
          </w:p>
        </w:tc>
        <w:tc>
          <w:tcPr>
            <w:tcW w:w="1320" w:type="dxa"/>
          </w:tcPr>
          <w:p>
            <w:pPr>
              <w:pStyle w:val="TableParagraph"/>
              <w:spacing w:before="28"/>
              <w:ind w:right="49"/>
              <w:jc w:val="right"/>
              <w:rPr>
                <w:sz w:val="22"/>
              </w:rPr>
            </w:pPr>
            <w:r>
              <w:rPr>
                <w:color w:val="0A0A0A"/>
                <w:spacing w:val="-5"/>
                <w:sz w:val="22"/>
              </w:rPr>
              <w:t>192</w:t>
            </w:r>
          </w:p>
        </w:tc>
      </w:tr>
      <w:tr>
        <w:trPr>
          <w:trHeight w:val="382" w:hRule="atLeast"/>
        </w:trPr>
        <w:tc>
          <w:tcPr>
            <w:tcW w:w="1596" w:type="dxa"/>
          </w:tcPr>
          <w:p>
            <w:pPr>
              <w:pStyle w:val="TableParagraph"/>
              <w:spacing w:before="60"/>
              <w:ind w:right="343"/>
              <w:jc w:val="right"/>
              <w:rPr>
                <w:sz w:val="22"/>
              </w:rPr>
            </w:pPr>
            <w:r>
              <w:rPr>
                <w:color w:val="0A0A0A"/>
                <w:spacing w:val="-2"/>
                <w:sz w:val="22"/>
              </w:rPr>
              <w:t>(345)</w:t>
            </w:r>
          </w:p>
        </w:tc>
        <w:tc>
          <w:tcPr>
            <w:tcW w:w="6548" w:type="dxa"/>
          </w:tcPr>
          <w:p>
            <w:pPr>
              <w:pStyle w:val="TableParagraph"/>
              <w:spacing w:before="60"/>
              <w:ind w:left="330"/>
              <w:rPr>
                <w:sz w:val="22"/>
              </w:rPr>
            </w:pPr>
            <w:r>
              <w:rPr>
                <w:color w:val="0A0A0A"/>
                <w:sz w:val="22"/>
              </w:rPr>
              <w:t>Interest</w:t>
            </w:r>
            <w:r>
              <w:rPr>
                <w:color w:val="0A0A0A"/>
                <w:spacing w:val="-5"/>
                <w:sz w:val="22"/>
              </w:rPr>
              <w:t> </w:t>
            </w:r>
            <w:r>
              <w:rPr>
                <w:color w:val="0A0A0A"/>
                <w:sz w:val="22"/>
              </w:rPr>
              <w:t>receivable</w:t>
            </w:r>
            <w:r>
              <w:rPr>
                <w:color w:val="0A0A0A"/>
                <w:spacing w:val="4"/>
                <w:sz w:val="22"/>
              </w:rPr>
              <w:t> </w:t>
            </w:r>
            <w:r>
              <w:rPr>
                <w:color w:val="0A0A0A"/>
                <w:sz w:val="22"/>
              </w:rPr>
              <w:t>and</w:t>
            </w:r>
            <w:r>
              <w:rPr>
                <w:color w:val="0A0A0A"/>
                <w:spacing w:val="-11"/>
                <w:sz w:val="22"/>
              </w:rPr>
              <w:t> </w:t>
            </w:r>
            <w:r>
              <w:rPr>
                <w:color w:val="0A0A0A"/>
                <w:sz w:val="22"/>
              </w:rPr>
              <w:t>similar</w:t>
            </w:r>
            <w:r>
              <w:rPr>
                <w:color w:val="0A0A0A"/>
                <w:spacing w:val="-8"/>
                <w:sz w:val="22"/>
              </w:rPr>
              <w:t> </w:t>
            </w:r>
            <w:r>
              <w:rPr>
                <w:color w:val="0A0A0A"/>
                <w:spacing w:val="-2"/>
                <w:sz w:val="22"/>
              </w:rPr>
              <w:t>income</w:t>
            </w:r>
          </w:p>
        </w:tc>
        <w:tc>
          <w:tcPr>
            <w:tcW w:w="1320" w:type="dxa"/>
          </w:tcPr>
          <w:p>
            <w:pPr>
              <w:pStyle w:val="TableParagraph"/>
              <w:spacing w:before="60"/>
              <w:ind w:right="55"/>
              <w:jc w:val="right"/>
              <w:rPr>
                <w:sz w:val="22"/>
              </w:rPr>
            </w:pPr>
            <w:r>
              <w:rPr>
                <w:color w:val="0A0A0A"/>
                <w:spacing w:val="-2"/>
                <w:sz w:val="22"/>
              </w:rPr>
              <w:t>{1,345)</w:t>
            </w:r>
          </w:p>
        </w:tc>
      </w:tr>
      <w:tr>
        <w:trPr>
          <w:trHeight w:val="383" w:hRule="atLeast"/>
        </w:trPr>
        <w:tc>
          <w:tcPr>
            <w:tcW w:w="1596" w:type="dxa"/>
          </w:tcPr>
          <w:p>
            <w:pPr>
              <w:pStyle w:val="TableParagraph"/>
              <w:spacing w:before="67"/>
              <w:ind w:right="334"/>
              <w:jc w:val="right"/>
              <w:rPr>
                <w:sz w:val="22"/>
              </w:rPr>
            </w:pPr>
            <w:r>
              <w:rPr>
                <w:color w:val="0A0A0A"/>
                <w:spacing w:val="-5"/>
                <w:sz w:val="22"/>
              </w:rPr>
              <w:t>132</w:t>
            </w:r>
          </w:p>
        </w:tc>
        <w:tc>
          <w:tcPr>
            <w:tcW w:w="6548" w:type="dxa"/>
          </w:tcPr>
          <w:p>
            <w:pPr>
              <w:pStyle w:val="TableParagraph"/>
              <w:spacing w:before="62"/>
              <w:ind w:left="330"/>
              <w:rPr>
                <w:sz w:val="22"/>
              </w:rPr>
            </w:pPr>
            <w:r>
              <w:rPr>
                <w:color w:val="0A0A0A"/>
                <w:sz w:val="22"/>
              </w:rPr>
              <w:t>Impairment</w:t>
            </w:r>
            <w:r>
              <w:rPr>
                <w:color w:val="0A0A0A"/>
                <w:spacing w:val="3"/>
                <w:sz w:val="22"/>
              </w:rPr>
              <w:t> </w:t>
            </w:r>
            <w:r>
              <w:rPr>
                <w:color w:val="0A0A0A"/>
                <w:sz w:val="22"/>
              </w:rPr>
              <w:t>of</w:t>
            </w:r>
            <w:r>
              <w:rPr>
                <w:color w:val="0A0A0A"/>
                <w:spacing w:val="-13"/>
                <w:sz w:val="22"/>
              </w:rPr>
              <w:t> </w:t>
            </w:r>
            <w:r>
              <w:rPr>
                <w:color w:val="0A0A0A"/>
                <w:sz w:val="22"/>
              </w:rPr>
              <w:t>financial </w:t>
            </w:r>
            <w:r>
              <w:rPr>
                <w:color w:val="0A0A0A"/>
                <w:spacing w:val="-2"/>
                <w:sz w:val="22"/>
              </w:rPr>
              <w:t>assets</w:t>
            </w:r>
          </w:p>
        </w:tc>
        <w:tc>
          <w:tcPr>
            <w:tcW w:w="1320" w:type="dxa"/>
          </w:tcPr>
          <w:p>
            <w:pPr>
              <w:pStyle w:val="TableParagraph"/>
              <w:spacing w:before="62"/>
              <w:ind w:right="48"/>
              <w:jc w:val="right"/>
              <w:rPr>
                <w:sz w:val="22"/>
              </w:rPr>
            </w:pPr>
            <w:r>
              <w:rPr>
                <w:color w:val="0A0A0A"/>
                <w:spacing w:val="-4"/>
                <w:sz w:val="22"/>
              </w:rPr>
              <w:t>(93)</w:t>
            </w:r>
          </w:p>
        </w:tc>
      </w:tr>
      <w:tr>
        <w:trPr>
          <w:trHeight w:val="387" w:hRule="atLeast"/>
        </w:trPr>
        <w:tc>
          <w:tcPr>
            <w:tcW w:w="1596" w:type="dxa"/>
          </w:tcPr>
          <w:p>
            <w:pPr>
              <w:pStyle w:val="TableParagraph"/>
              <w:spacing w:before="67"/>
              <w:ind w:right="344"/>
              <w:jc w:val="right"/>
              <w:rPr>
                <w:sz w:val="22"/>
              </w:rPr>
            </w:pPr>
            <w:r>
              <w:rPr>
                <w:color w:val="0A0A0A"/>
                <w:spacing w:val="-2"/>
                <w:sz w:val="22"/>
              </w:rPr>
              <w:t>(1,183)</w:t>
            </w:r>
          </w:p>
        </w:tc>
        <w:tc>
          <w:tcPr>
            <w:tcW w:w="6548" w:type="dxa"/>
          </w:tcPr>
          <w:p>
            <w:pPr>
              <w:pStyle w:val="TableParagraph"/>
              <w:spacing w:before="54"/>
              <w:ind w:left="332"/>
              <w:rPr>
                <w:sz w:val="22"/>
              </w:rPr>
            </w:pPr>
            <w:r>
              <w:rPr>
                <w:color w:val="0A0A0A"/>
                <w:sz w:val="22"/>
              </w:rPr>
              <w:t>(Increase)</w:t>
            </w:r>
            <w:r>
              <w:rPr>
                <w:color w:val="0A0A0A"/>
                <w:spacing w:val="6"/>
                <w:sz w:val="22"/>
              </w:rPr>
              <w:t> </w:t>
            </w:r>
            <w:r>
              <w:rPr>
                <w:rFonts w:ascii="Times New Roman"/>
                <w:i/>
                <w:color w:val="0A0A0A"/>
                <w:sz w:val="23"/>
              </w:rPr>
              <w:t>I</w:t>
            </w:r>
            <w:r>
              <w:rPr>
                <w:rFonts w:ascii="Times New Roman"/>
                <w:i/>
                <w:color w:val="0A0A0A"/>
                <w:spacing w:val="-5"/>
                <w:sz w:val="23"/>
              </w:rPr>
              <w:t> </w:t>
            </w:r>
            <w:r>
              <w:rPr>
                <w:color w:val="0A0A0A"/>
                <w:sz w:val="22"/>
              </w:rPr>
              <w:t>decrease</w:t>
            </w:r>
            <w:r>
              <w:rPr>
                <w:color w:val="0A0A0A"/>
                <w:spacing w:val="4"/>
                <w:sz w:val="22"/>
              </w:rPr>
              <w:t> </w:t>
            </w:r>
            <w:r>
              <w:rPr>
                <w:color w:val="0A0A0A"/>
                <w:sz w:val="22"/>
              </w:rPr>
              <w:t>in</w:t>
            </w:r>
            <w:r>
              <w:rPr>
                <w:color w:val="0A0A0A"/>
                <w:spacing w:val="-18"/>
                <w:sz w:val="22"/>
              </w:rPr>
              <w:t> </w:t>
            </w:r>
            <w:r>
              <w:rPr>
                <w:color w:val="0A0A0A"/>
                <w:sz w:val="22"/>
              </w:rPr>
              <w:t>the</w:t>
            </w:r>
            <w:r>
              <w:rPr>
                <w:color w:val="0A0A0A"/>
                <w:spacing w:val="-10"/>
                <w:sz w:val="22"/>
              </w:rPr>
              <w:t> </w:t>
            </w:r>
            <w:r>
              <w:rPr>
                <w:color w:val="0A0A0A"/>
                <w:sz w:val="22"/>
              </w:rPr>
              <w:t>fair</w:t>
            </w:r>
            <w:r>
              <w:rPr>
                <w:color w:val="0A0A0A"/>
                <w:spacing w:val="-8"/>
                <w:sz w:val="22"/>
              </w:rPr>
              <w:t> </w:t>
            </w:r>
            <w:r>
              <w:rPr>
                <w:color w:val="0A0A0A"/>
                <w:sz w:val="22"/>
              </w:rPr>
              <w:t>value</w:t>
            </w:r>
            <w:r>
              <w:rPr>
                <w:color w:val="0A0A0A"/>
                <w:spacing w:val="-1"/>
                <w:sz w:val="22"/>
              </w:rPr>
              <w:t> </w:t>
            </w:r>
            <w:r>
              <w:rPr>
                <w:color w:val="0A0A0A"/>
                <w:sz w:val="22"/>
              </w:rPr>
              <w:t>of</w:t>
            </w:r>
            <w:r>
              <w:rPr>
                <w:color w:val="0A0A0A"/>
                <w:spacing w:val="-11"/>
                <w:sz w:val="22"/>
              </w:rPr>
              <w:t> </w:t>
            </w:r>
            <w:r>
              <w:rPr>
                <w:color w:val="0A0A0A"/>
                <w:sz w:val="22"/>
              </w:rPr>
              <w:t>investment</w:t>
            </w:r>
            <w:r>
              <w:rPr>
                <w:color w:val="0A0A0A"/>
                <w:spacing w:val="4"/>
                <w:sz w:val="22"/>
              </w:rPr>
              <w:t> </w:t>
            </w:r>
            <w:r>
              <w:rPr>
                <w:color w:val="0A0A0A"/>
                <w:spacing w:val="-2"/>
                <w:sz w:val="22"/>
              </w:rPr>
              <w:t>property</w:t>
            </w:r>
          </w:p>
        </w:tc>
        <w:tc>
          <w:tcPr>
            <w:tcW w:w="1320" w:type="dxa"/>
          </w:tcPr>
          <w:p>
            <w:pPr>
              <w:pStyle w:val="TableParagraph"/>
              <w:spacing w:before="62"/>
              <w:ind w:right="47"/>
              <w:jc w:val="right"/>
              <w:rPr>
                <w:sz w:val="22"/>
              </w:rPr>
            </w:pPr>
            <w:r>
              <w:rPr>
                <w:color w:val="0A0A0A"/>
                <w:spacing w:val="-2"/>
                <w:sz w:val="22"/>
              </w:rPr>
              <w:t>(815)</w:t>
            </w:r>
          </w:p>
        </w:tc>
      </w:tr>
      <w:tr>
        <w:trPr>
          <w:trHeight w:val="312" w:hRule="atLeast"/>
        </w:trPr>
        <w:tc>
          <w:tcPr>
            <w:tcW w:w="1596" w:type="dxa"/>
          </w:tcPr>
          <w:p>
            <w:pPr>
              <w:pStyle w:val="TableParagraph"/>
              <w:spacing w:before="60" w:line="233" w:lineRule="exact"/>
              <w:ind w:right="348"/>
              <w:jc w:val="right"/>
              <w:rPr>
                <w:sz w:val="22"/>
              </w:rPr>
            </w:pPr>
            <w:r>
              <w:rPr>
                <w:color w:val="0A0A0A"/>
                <w:spacing w:val="-2"/>
                <w:sz w:val="22"/>
              </w:rPr>
              <w:t>(701)</w:t>
            </w:r>
          </w:p>
        </w:tc>
        <w:tc>
          <w:tcPr>
            <w:tcW w:w="6548" w:type="dxa"/>
          </w:tcPr>
          <w:p>
            <w:pPr>
              <w:pStyle w:val="TableParagraph"/>
              <w:spacing w:before="60" w:line="233" w:lineRule="exact"/>
              <w:ind w:left="330"/>
              <w:rPr>
                <w:sz w:val="22"/>
              </w:rPr>
            </w:pPr>
            <w:r>
              <w:rPr>
                <w:color w:val="0A0A0A"/>
                <w:sz w:val="22"/>
              </w:rPr>
              <w:t>Income</w:t>
            </w:r>
            <w:r>
              <w:rPr>
                <w:color w:val="0A0A0A"/>
                <w:spacing w:val="-2"/>
                <w:sz w:val="22"/>
              </w:rPr>
              <w:t> </w:t>
            </w:r>
            <w:r>
              <w:rPr>
                <w:color w:val="0A0A0A"/>
                <w:sz w:val="22"/>
              </w:rPr>
              <w:t>in</w:t>
            </w:r>
            <w:r>
              <w:rPr>
                <w:color w:val="0A0A0A"/>
                <w:spacing w:val="-14"/>
                <w:sz w:val="22"/>
              </w:rPr>
              <w:t> </w:t>
            </w:r>
            <w:r>
              <w:rPr>
                <w:color w:val="0A0A0A"/>
                <w:sz w:val="22"/>
              </w:rPr>
              <w:t>relation</w:t>
            </w:r>
            <w:r>
              <w:rPr>
                <w:color w:val="0A0A0A"/>
                <w:spacing w:val="-3"/>
                <w:sz w:val="22"/>
              </w:rPr>
              <w:t> </w:t>
            </w:r>
            <w:r>
              <w:rPr>
                <w:color w:val="0A0A0A"/>
                <w:sz w:val="22"/>
              </w:rPr>
              <w:t>to</w:t>
            </w:r>
            <w:r>
              <w:rPr>
                <w:color w:val="0A0A0A"/>
                <w:spacing w:val="-11"/>
                <w:sz w:val="22"/>
              </w:rPr>
              <w:t> </w:t>
            </w:r>
            <w:r>
              <w:rPr>
                <w:color w:val="0A0A0A"/>
                <w:sz w:val="22"/>
              </w:rPr>
              <w:t>investment</w:t>
            </w:r>
            <w:r>
              <w:rPr>
                <w:color w:val="0A0A0A"/>
                <w:spacing w:val="10"/>
                <w:sz w:val="22"/>
              </w:rPr>
              <w:t> </w:t>
            </w:r>
            <w:r>
              <w:rPr>
                <w:color w:val="0A0A0A"/>
                <w:spacing w:val="-2"/>
                <w:sz w:val="22"/>
              </w:rPr>
              <w:t>properties</w:t>
            </w:r>
          </w:p>
        </w:tc>
        <w:tc>
          <w:tcPr>
            <w:tcW w:w="1320" w:type="dxa"/>
          </w:tcPr>
          <w:p>
            <w:pPr>
              <w:pStyle w:val="TableParagraph"/>
              <w:spacing w:before="60" w:line="233" w:lineRule="exact"/>
              <w:ind w:right="47"/>
              <w:jc w:val="right"/>
              <w:rPr>
                <w:sz w:val="22"/>
              </w:rPr>
            </w:pPr>
            <w:r>
              <w:rPr>
                <w:color w:val="0A0A0A"/>
                <w:spacing w:val="-2"/>
                <w:sz w:val="22"/>
              </w:rPr>
              <w:t>(691)</w:t>
            </w:r>
          </w:p>
        </w:tc>
      </w:tr>
      <w:tr>
        <w:trPr>
          <w:trHeight w:val="765" w:hRule="atLeast"/>
        </w:trPr>
        <w:tc>
          <w:tcPr>
            <w:tcW w:w="1596" w:type="dxa"/>
          </w:tcPr>
          <w:p>
            <w:pPr>
              <w:pStyle w:val="TableParagraph"/>
              <w:spacing w:before="51"/>
              <w:rPr>
                <w:b/>
                <w:sz w:val="22"/>
              </w:rPr>
            </w:pPr>
          </w:p>
          <w:p>
            <w:pPr>
              <w:pStyle w:val="TableParagraph"/>
              <w:ind w:right="339"/>
              <w:jc w:val="right"/>
              <w:rPr>
                <w:sz w:val="22"/>
              </w:rPr>
            </w:pPr>
            <w:r>
              <w:rPr>
                <w:color w:val="0A0A0A"/>
                <w:spacing w:val="-4"/>
                <w:sz w:val="22"/>
              </w:rPr>
              <w:t>(88)</w:t>
            </w:r>
          </w:p>
        </w:tc>
        <w:tc>
          <w:tcPr>
            <w:tcW w:w="6548" w:type="dxa"/>
          </w:tcPr>
          <w:p>
            <w:pPr>
              <w:pStyle w:val="TableParagraph"/>
              <w:spacing w:before="176" w:line="237" w:lineRule="auto"/>
              <w:ind w:left="337" w:right="55" w:hanging="5"/>
              <w:rPr>
                <w:sz w:val="22"/>
              </w:rPr>
            </w:pPr>
            <w:r>
              <w:rPr>
                <w:color w:val="0A0A0A"/>
                <w:sz w:val="22"/>
              </w:rPr>
              <w:t>(Surplus)/ deficit on</w:t>
            </w:r>
            <w:r>
              <w:rPr>
                <w:color w:val="0A0A0A"/>
                <w:spacing w:val="-12"/>
                <w:sz w:val="22"/>
              </w:rPr>
              <w:t> </w:t>
            </w:r>
            <w:r>
              <w:rPr>
                <w:color w:val="0A0A0A"/>
                <w:sz w:val="22"/>
              </w:rPr>
              <w:t>trading undertakings not</w:t>
            </w:r>
            <w:r>
              <w:rPr>
                <w:color w:val="0A0A0A"/>
                <w:spacing w:val="-1"/>
                <w:sz w:val="22"/>
              </w:rPr>
              <w:t> </w:t>
            </w:r>
            <w:r>
              <w:rPr>
                <w:color w:val="0A0A0A"/>
                <w:sz w:val="22"/>
              </w:rPr>
              <w:t>included in</w:t>
            </w:r>
            <w:r>
              <w:rPr>
                <w:color w:val="0A0A0A"/>
                <w:spacing w:val="-7"/>
                <w:sz w:val="22"/>
              </w:rPr>
              <w:t> </w:t>
            </w:r>
            <w:r>
              <w:rPr>
                <w:color w:val="0A0A0A"/>
                <w:sz w:val="22"/>
              </w:rPr>
              <w:t>net cost of services</w:t>
            </w:r>
          </w:p>
        </w:tc>
        <w:tc>
          <w:tcPr>
            <w:tcW w:w="1320" w:type="dxa"/>
          </w:tcPr>
          <w:p>
            <w:pPr>
              <w:pStyle w:val="TableParagraph"/>
              <w:spacing w:before="46"/>
              <w:rPr>
                <w:b/>
                <w:sz w:val="22"/>
              </w:rPr>
            </w:pPr>
          </w:p>
          <w:p>
            <w:pPr>
              <w:pStyle w:val="TableParagraph"/>
              <w:ind w:right="43"/>
              <w:jc w:val="right"/>
              <w:rPr>
                <w:sz w:val="22"/>
              </w:rPr>
            </w:pPr>
            <w:r>
              <w:rPr>
                <w:color w:val="0A0A0A"/>
                <w:spacing w:val="-4"/>
                <w:sz w:val="22"/>
              </w:rPr>
              <w:t>(93)</w:t>
            </w:r>
          </w:p>
        </w:tc>
      </w:tr>
      <w:tr>
        <w:trPr>
          <w:trHeight w:val="388" w:hRule="atLeast"/>
        </w:trPr>
        <w:tc>
          <w:tcPr>
            <w:tcW w:w="1596" w:type="dxa"/>
            <w:tcBorders>
              <w:bottom w:val="single" w:color="000000" w:sz="4" w:space="0"/>
            </w:tcBorders>
          </w:tcPr>
          <w:p>
            <w:pPr>
              <w:pStyle w:val="TableParagraph"/>
              <w:spacing w:before="86"/>
              <w:ind w:right="336"/>
              <w:jc w:val="right"/>
              <w:rPr>
                <w:sz w:val="22"/>
              </w:rPr>
            </w:pPr>
            <w:r>
              <w:rPr>
                <w:color w:val="0A0A0A"/>
                <w:spacing w:val="-5"/>
                <w:sz w:val="22"/>
              </w:rPr>
              <w:t>875</w:t>
            </w:r>
          </w:p>
        </w:tc>
        <w:tc>
          <w:tcPr>
            <w:tcW w:w="6548" w:type="dxa"/>
          </w:tcPr>
          <w:p>
            <w:pPr>
              <w:pStyle w:val="TableParagraph"/>
              <w:spacing w:before="86"/>
              <w:ind w:left="334"/>
              <w:rPr>
                <w:sz w:val="22"/>
              </w:rPr>
            </w:pPr>
            <w:r>
              <w:rPr>
                <w:color w:val="0A0A0A"/>
                <w:sz w:val="22"/>
              </w:rPr>
              <w:t>Net</w:t>
            </w:r>
            <w:r>
              <w:rPr>
                <w:color w:val="0A0A0A"/>
                <w:spacing w:val="-3"/>
                <w:sz w:val="22"/>
              </w:rPr>
              <w:t> </w:t>
            </w:r>
            <w:r>
              <w:rPr>
                <w:color w:val="0A0A0A"/>
                <w:sz w:val="22"/>
              </w:rPr>
              <w:t>interest</w:t>
            </w:r>
            <w:r>
              <w:rPr>
                <w:color w:val="0A0A0A"/>
                <w:spacing w:val="1"/>
                <w:sz w:val="22"/>
              </w:rPr>
              <w:t> </w:t>
            </w:r>
            <w:r>
              <w:rPr>
                <w:color w:val="0A0A0A"/>
                <w:sz w:val="22"/>
              </w:rPr>
              <w:t>cost</w:t>
            </w:r>
            <w:r>
              <w:rPr>
                <w:color w:val="0A0A0A"/>
                <w:spacing w:val="2"/>
                <w:sz w:val="22"/>
              </w:rPr>
              <w:t> </w:t>
            </w:r>
            <w:r>
              <w:rPr>
                <w:color w:val="0A0A0A"/>
                <w:sz w:val="22"/>
              </w:rPr>
              <w:t>on</w:t>
            </w:r>
            <w:r>
              <w:rPr>
                <w:color w:val="0A0A0A"/>
                <w:spacing w:val="-15"/>
                <w:sz w:val="22"/>
              </w:rPr>
              <w:t> </w:t>
            </w:r>
            <w:r>
              <w:rPr>
                <w:color w:val="0A0A0A"/>
                <w:sz w:val="22"/>
              </w:rPr>
              <w:t>the</w:t>
            </w:r>
            <w:r>
              <w:rPr>
                <w:color w:val="0A0A0A"/>
                <w:spacing w:val="-12"/>
                <w:sz w:val="22"/>
              </w:rPr>
              <w:t> </w:t>
            </w:r>
            <w:r>
              <w:rPr>
                <w:color w:val="0A0A0A"/>
                <w:sz w:val="22"/>
              </w:rPr>
              <w:t>defined</w:t>
            </w:r>
            <w:r>
              <w:rPr>
                <w:color w:val="0A0A0A"/>
                <w:spacing w:val="-3"/>
                <w:sz w:val="22"/>
              </w:rPr>
              <w:t> </w:t>
            </w:r>
            <w:r>
              <w:rPr>
                <w:color w:val="0A0A0A"/>
                <w:sz w:val="22"/>
              </w:rPr>
              <w:t>benefit</w:t>
            </w:r>
            <w:r>
              <w:rPr>
                <w:color w:val="0A0A0A"/>
                <w:spacing w:val="2"/>
                <w:sz w:val="22"/>
              </w:rPr>
              <w:t> </w:t>
            </w:r>
            <w:r>
              <w:rPr>
                <w:color w:val="0A0A0A"/>
                <w:sz w:val="22"/>
              </w:rPr>
              <w:t>pension</w:t>
            </w:r>
            <w:r>
              <w:rPr>
                <w:color w:val="0A0A0A"/>
                <w:spacing w:val="2"/>
                <w:sz w:val="22"/>
              </w:rPr>
              <w:t> </w:t>
            </w:r>
            <w:r>
              <w:rPr>
                <w:color w:val="0A0A0A"/>
                <w:spacing w:val="-2"/>
                <w:sz w:val="22"/>
              </w:rPr>
              <w:t>liability</w:t>
            </w:r>
          </w:p>
        </w:tc>
        <w:tc>
          <w:tcPr>
            <w:tcW w:w="1320" w:type="dxa"/>
            <w:tcBorders>
              <w:bottom w:val="single" w:color="000000" w:sz="4" w:space="0"/>
            </w:tcBorders>
          </w:tcPr>
          <w:p>
            <w:pPr>
              <w:pStyle w:val="TableParagraph"/>
              <w:spacing w:before="81"/>
              <w:ind w:right="40"/>
              <w:jc w:val="right"/>
              <w:rPr>
                <w:sz w:val="22"/>
              </w:rPr>
            </w:pPr>
            <w:r>
              <w:rPr>
                <w:color w:val="0A0A0A"/>
                <w:spacing w:val="-2"/>
                <w:sz w:val="22"/>
              </w:rPr>
              <w:t>1,108</w:t>
            </w:r>
          </w:p>
        </w:tc>
      </w:tr>
      <w:tr>
        <w:trPr>
          <w:trHeight w:val="413" w:hRule="atLeast"/>
        </w:trPr>
        <w:tc>
          <w:tcPr>
            <w:tcW w:w="1596" w:type="dxa"/>
            <w:tcBorders>
              <w:top w:val="single" w:color="000000" w:sz="4" w:space="0"/>
            </w:tcBorders>
          </w:tcPr>
          <w:p>
            <w:pPr>
              <w:pStyle w:val="TableParagraph"/>
              <w:spacing w:before="77"/>
              <w:ind w:right="335"/>
              <w:jc w:val="right"/>
              <w:rPr>
                <w:b/>
                <w:sz w:val="22"/>
              </w:rPr>
            </w:pPr>
            <w:r>
              <w:rPr/>
              <ve:AlternateContent>
                <ve:Choice Requires="wps">
                  <w:drawing>
                    <wp:anchor distT="0" distB="0" distL="0" distR="0" simplePos="0" relativeHeight="15762944" behindDoc="0" locked="0" layoutInCell="1" allowOverlap="1">
                      <wp:simplePos x="0" y="0"/>
                      <wp:positionH relativeFrom="column">
                        <wp:posOffset>51899</wp:posOffset>
                      </wp:positionH>
                      <wp:positionV relativeFrom="paragraph">
                        <wp:posOffset>250116</wp:posOffset>
                      </wp:positionV>
                      <wp:extent cx="830580" cy="12700"/>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830580" cy="12700"/>
                                <a:chExt cx="830580" cy="12700"/>
                              </a:xfrm>
                            </wpg:grpSpPr>
                            <wps:wsp>
                              <wps:cNvPr id="170" name="Graphic 170"/>
                              <wps:cNvSpPr/>
                              <wps:spPr>
                                <a:xfrm>
                                  <a:off x="0" y="6102"/>
                                  <a:ext cx="830580" cy="1270"/>
                                </a:xfrm>
                                <a:custGeom>
                                  <a:avLst/>
                                  <a:gdLst/>
                                  <a:ahLst/>
                                  <a:cxnLst/>
                                  <a:rect l="l" t="t" r="r" b="b"/>
                                  <a:pathLst>
                                    <a:path w="830580" h="0">
                                      <a:moveTo>
                                        <a:pt x="0" y="0"/>
                                      </a:moveTo>
                                      <a:lnTo>
                                        <a:pt x="830393"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04" style="position:absolute;margin-left:4.086581pt;margin-top:19.694185pt;width:65.4pt;height:1pt;mso-position-horizontal-relative:column;mso-position-vertical-relative:paragraph;z-index:15762944" coordsize="1308,20" coordorigin="82,394">
                      <v:line style="position:absolute" stroked="true" strokecolor="#000000" strokeweight=".961095pt" from="82,403" to="1389,403">
                        <v:stroke dashstyle="solid"/>
                      </v:line>
                      <w10:wrap type="none"/>
                    </v:group>
                  </w:pict>
                </ve:Fallback>
              </ve:AlternateContent>
            </w:r>
            <w:r>
              <w:rPr>
                <w:b/>
                <w:color w:val="0A0A0A"/>
                <w:spacing w:val="-2"/>
                <w:sz w:val="22"/>
              </w:rPr>
              <w:t>(1,260)</w:t>
            </w:r>
          </w:p>
        </w:tc>
        <w:tc>
          <w:tcPr>
            <w:tcW w:w="6548" w:type="dxa"/>
          </w:tcPr>
          <w:p>
            <w:pPr>
              <w:pStyle w:val="TableParagraph"/>
              <w:spacing w:before="77"/>
              <w:ind w:left="336"/>
              <w:rPr>
                <w:b/>
                <w:sz w:val="22"/>
              </w:rPr>
            </w:pPr>
            <w:r>
              <w:rPr>
                <w:b/>
                <w:color w:val="0A0A0A"/>
                <w:spacing w:val="-2"/>
                <w:sz w:val="22"/>
              </w:rPr>
              <w:t>Total</w:t>
            </w:r>
          </w:p>
        </w:tc>
        <w:tc>
          <w:tcPr>
            <w:tcW w:w="1320" w:type="dxa"/>
            <w:tcBorders>
              <w:top w:val="single" w:color="000000" w:sz="4" w:space="0"/>
            </w:tcBorders>
          </w:tcPr>
          <w:p>
            <w:pPr>
              <w:pStyle w:val="TableParagraph"/>
              <w:spacing w:before="72"/>
              <w:ind w:right="32"/>
              <w:jc w:val="right"/>
              <w:rPr>
                <w:b/>
                <w:sz w:val="22"/>
              </w:rPr>
            </w:pPr>
            <w:r>
              <w:rPr/>
              <ve:AlternateContent>
                <ve:Choice Requires="wps">
                  <w:drawing>
                    <wp:anchor distT="0" distB="0" distL="0" distR="0" simplePos="0" relativeHeight="15762432" behindDoc="0" locked="0" layoutInCell="1" allowOverlap="1">
                      <wp:simplePos x="0" y="0"/>
                      <wp:positionH relativeFrom="column">
                        <wp:posOffset>58005</wp:posOffset>
                      </wp:positionH>
                      <wp:positionV relativeFrom="paragraph">
                        <wp:posOffset>246940</wp:posOffset>
                      </wp:positionV>
                      <wp:extent cx="842644" cy="12700"/>
                      <wp:effectExtent l="0" t="0" r="0" b="0"/>
                      <wp:wrapNone/>
                      <wp:docPr id="171" name="Group 171"/>
                      <wp:cNvGraphicFramePr>
                        <a:graphicFrameLocks/>
                      </wp:cNvGraphicFramePr>
                      <a:graphic>
                        <a:graphicData uri="http://schemas.microsoft.com/office/word/2010/wordprocessingGroup">
                          <wpg:wgp>
                            <wpg:cNvPr id="171" name="Group 171"/>
                            <wpg:cNvGrpSpPr/>
                            <wpg:grpSpPr>
                              <a:xfrm>
                                <a:off x="0" y="0"/>
                                <a:ext cx="842644" cy="12700"/>
                                <a:chExt cx="842644" cy="12700"/>
                              </a:xfrm>
                            </wpg:grpSpPr>
                            <wps:wsp>
                              <wps:cNvPr id="172" name="Graphic 172"/>
                              <wps:cNvSpPr/>
                              <wps:spPr>
                                <a:xfrm>
                                  <a:off x="0" y="6102"/>
                                  <a:ext cx="842644" cy="1270"/>
                                </a:xfrm>
                                <a:custGeom>
                                  <a:avLst/>
                                  <a:gdLst/>
                                  <a:ahLst/>
                                  <a:cxnLst/>
                                  <a:rect l="l" t="t" r="r" b="b"/>
                                  <a:pathLst>
                                    <a:path w="842644" h="0">
                                      <a:moveTo>
                                        <a:pt x="0" y="0"/>
                                      </a:moveTo>
                                      <a:lnTo>
                                        <a:pt x="842604"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05" style="position:absolute;margin-left:4.567355pt;margin-top:19.444115pt;width:66.350pt;height:1pt;mso-position-horizontal-relative:column;mso-position-vertical-relative:paragraph;z-index:15762432" coordsize="1327,20" coordorigin="91,389">
                      <v:line style="position:absolute" stroked="true" strokecolor="#000000" strokeweight=".961095pt" from="91,398" to="1418,398">
                        <v:stroke dashstyle="solid"/>
                      </v:line>
                      <w10:wrap type="none"/>
                    </v:group>
                  </w:pict>
                </ve:Fallback>
              </ve:AlternateContent>
            </w:r>
            <w:r>
              <w:rPr>
                <w:b/>
                <w:color w:val="0A0A0A"/>
                <w:spacing w:val="-2"/>
                <w:sz w:val="22"/>
              </w:rPr>
              <w:t>(1,737)</w:t>
            </w:r>
          </w:p>
        </w:tc>
      </w:tr>
    </w:tbl>
    <w:p>
      <w:pPr>
        <w:spacing w:after="0"/>
        <w:jc w:val="right"/>
        <w:rPr>
          <w:sz w:val="22"/>
        </w:rPr>
        <w:sectPr>
          <w:type w:val="continuous"/>
          <w:pgSz w:w="11910" w:h="16830"/>
          <w:pgMar w:top="1940" w:right="100" w:bottom="280" w:left="20" w:header="726" w:footer="1156"/>
        </w:sectPr>
      </w:pPr>
    </w:p>
    <w:p>
      <w:pPr>
        <w:pStyle w:val="ListParagraph"/>
        <w:numPr>
          <w:ilvl w:val="1"/>
          <w:numId w:val="11"/>
        </w:numPr>
        <w:tabs>
          <w:tab w:val="left" w:leader="none" w:pos="2340"/>
        </w:tabs>
        <w:spacing w:before="239" w:after="0" w:line="240" w:lineRule="auto"/>
        <w:ind w:left="2340" w:right="0" w:hanging="726"/>
        <w:jc w:val="left"/>
        <w:rPr>
          <w:b/>
          <w:color w:val="0A0A0A"/>
          <w:sz w:val="22"/>
        </w:rPr>
      </w:pPr>
      <w:r>
        <w:rPr>
          <w:b/>
          <w:color w:val="0A0A0A"/>
          <w:sz w:val="22"/>
        </w:rPr>
        <w:t>Taxation</w:t>
      </w:r>
      <w:r>
        <w:rPr>
          <w:b/>
          <w:color w:val="0A0A0A"/>
          <w:spacing w:val="-4"/>
          <w:sz w:val="22"/>
        </w:rPr>
        <w:t> </w:t>
      </w:r>
      <w:r>
        <w:rPr>
          <w:b/>
          <w:color w:val="0A0A0A"/>
          <w:sz w:val="22"/>
        </w:rPr>
        <w:t>and</w:t>
      </w:r>
      <w:r>
        <w:rPr>
          <w:b/>
          <w:color w:val="0A0A0A"/>
          <w:spacing w:val="-7"/>
          <w:sz w:val="22"/>
        </w:rPr>
        <w:t> </w:t>
      </w:r>
      <w:r>
        <w:rPr>
          <w:b/>
          <w:color w:val="0A0A0A"/>
          <w:sz w:val="22"/>
        </w:rPr>
        <w:t>non-specific</w:t>
      </w:r>
      <w:r>
        <w:rPr>
          <w:b/>
          <w:color w:val="0A0A0A"/>
          <w:spacing w:val="7"/>
          <w:sz w:val="22"/>
        </w:rPr>
        <w:t> </w:t>
      </w:r>
      <w:r>
        <w:rPr>
          <w:b/>
          <w:color w:val="0A0A0A"/>
          <w:sz w:val="22"/>
        </w:rPr>
        <w:t>grant</w:t>
      </w:r>
      <w:r>
        <w:rPr>
          <w:b/>
          <w:color w:val="0A0A0A"/>
          <w:spacing w:val="-15"/>
          <w:sz w:val="22"/>
        </w:rPr>
        <w:t> </w:t>
      </w:r>
      <w:r>
        <w:rPr>
          <w:b/>
          <w:color w:val="0A0A0A"/>
          <w:spacing w:val="-2"/>
          <w:sz w:val="22"/>
        </w:rPr>
        <w:t>income</w:t>
      </w:r>
    </w:p>
    <w:p>
      <w:pPr>
        <w:spacing w:before="242" w:line="290" w:lineRule="auto"/>
        <w:ind w:left="1601" w:right="1172" w:firstLine="1"/>
        <w:jc w:val="left"/>
        <w:rPr>
          <w:sz w:val="21"/>
        </w:rPr>
      </w:pPr>
      <w:r>
        <w:rPr>
          <w:color w:val="0A0A0A"/>
          <w:w w:val="105"/>
          <w:sz w:val="21"/>
        </w:rPr>
        <w:t>During</w:t>
      </w:r>
      <w:r>
        <w:rPr>
          <w:color w:val="0A0A0A"/>
          <w:spacing w:val="-6"/>
          <w:w w:val="105"/>
          <w:sz w:val="21"/>
        </w:rPr>
        <w:t> </w:t>
      </w:r>
      <w:r>
        <w:rPr>
          <w:color w:val="0A0A0A"/>
          <w:w w:val="105"/>
          <w:sz w:val="21"/>
        </w:rPr>
        <w:t>the</w:t>
      </w:r>
      <w:r>
        <w:rPr>
          <w:color w:val="0A0A0A"/>
          <w:spacing w:val="-5"/>
          <w:w w:val="105"/>
          <w:sz w:val="21"/>
        </w:rPr>
        <w:t> </w:t>
      </w:r>
      <w:r>
        <w:rPr>
          <w:color w:val="0A0A0A"/>
          <w:w w:val="105"/>
          <w:sz w:val="21"/>
        </w:rPr>
        <w:t>year,</w:t>
      </w:r>
      <w:r>
        <w:rPr>
          <w:color w:val="0A0A0A"/>
          <w:spacing w:val="-2"/>
          <w:w w:val="105"/>
          <w:sz w:val="21"/>
        </w:rPr>
        <w:t> </w:t>
      </w:r>
      <w:r>
        <w:rPr>
          <w:color w:val="0A0A0A"/>
          <w:w w:val="105"/>
          <w:sz w:val="21"/>
        </w:rPr>
        <w:t>the</w:t>
      </w:r>
      <w:r>
        <w:rPr>
          <w:color w:val="0A0A0A"/>
          <w:spacing w:val="-10"/>
          <w:w w:val="105"/>
          <w:sz w:val="21"/>
        </w:rPr>
        <w:t> </w:t>
      </w:r>
      <w:r>
        <w:rPr>
          <w:color w:val="0A0A0A"/>
          <w:w w:val="105"/>
          <w:sz w:val="21"/>
        </w:rPr>
        <w:t>Council credited the</w:t>
      </w:r>
      <w:r>
        <w:rPr>
          <w:color w:val="0A0A0A"/>
          <w:spacing w:val="-11"/>
          <w:w w:val="105"/>
          <w:sz w:val="21"/>
        </w:rPr>
        <w:t> </w:t>
      </w:r>
      <w:r>
        <w:rPr>
          <w:color w:val="0A0A0A"/>
          <w:w w:val="105"/>
          <w:sz w:val="21"/>
        </w:rPr>
        <w:t>following</w:t>
      </w:r>
      <w:r>
        <w:rPr>
          <w:color w:val="0A0A0A"/>
          <w:spacing w:val="-8"/>
          <w:w w:val="105"/>
          <w:sz w:val="21"/>
        </w:rPr>
        <w:t> </w:t>
      </w:r>
      <w:r>
        <w:rPr>
          <w:color w:val="0A0A0A"/>
          <w:w w:val="105"/>
          <w:sz w:val="21"/>
        </w:rPr>
        <w:t>items</w:t>
      </w:r>
      <w:r>
        <w:rPr>
          <w:color w:val="0A0A0A"/>
          <w:spacing w:val="-3"/>
          <w:w w:val="105"/>
          <w:sz w:val="21"/>
        </w:rPr>
        <w:t> </w:t>
      </w:r>
      <w:r>
        <w:rPr>
          <w:color w:val="0A0A0A"/>
          <w:w w:val="105"/>
          <w:sz w:val="21"/>
        </w:rPr>
        <w:t>of</w:t>
      </w:r>
      <w:r>
        <w:rPr>
          <w:color w:val="0A0A0A"/>
          <w:spacing w:val="-7"/>
          <w:w w:val="105"/>
          <w:sz w:val="21"/>
        </w:rPr>
        <w:t> </w:t>
      </w:r>
      <w:r>
        <w:rPr>
          <w:color w:val="0A0A0A"/>
          <w:w w:val="105"/>
          <w:sz w:val="21"/>
        </w:rPr>
        <w:t>taxation, grants</w:t>
      </w:r>
      <w:r>
        <w:rPr>
          <w:color w:val="0A0A0A"/>
          <w:spacing w:val="-5"/>
          <w:w w:val="105"/>
          <w:sz w:val="21"/>
        </w:rPr>
        <w:t> </w:t>
      </w:r>
      <w:r>
        <w:rPr>
          <w:color w:val="0A0A0A"/>
          <w:w w:val="105"/>
          <w:sz w:val="21"/>
        </w:rPr>
        <w:t>and</w:t>
      </w:r>
      <w:r>
        <w:rPr>
          <w:color w:val="0A0A0A"/>
          <w:spacing w:val="-11"/>
          <w:w w:val="105"/>
          <w:sz w:val="21"/>
        </w:rPr>
        <w:t> </w:t>
      </w:r>
      <w:r>
        <w:rPr>
          <w:color w:val="0A0A0A"/>
          <w:w w:val="105"/>
          <w:sz w:val="21"/>
        </w:rPr>
        <w:t>contributions to the Comprehensive Income and Expenditure Statement:</w:t>
      </w:r>
    </w:p>
    <w:p>
      <w:pPr>
        <w:pStyle w:val="BodyText"/>
        <w:spacing w:before="8"/>
        <w:rPr>
          <w:sz w:val="16"/>
        </w:rPr>
      </w:pPr>
    </w:p>
    <w:tbl>
      <w:tblPr>
        <w:tblW w:w="0" w:type="auto"/>
        <w:jc w:val="left"/>
        <w:tblInd w:w="158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22"/>
        <w:gridCol w:w="6934"/>
        <w:gridCol w:w="1307"/>
      </w:tblGrid>
      <w:tr>
        <w:trPr>
          <w:trHeight w:val="271" w:hRule="atLeast"/>
        </w:trPr>
        <w:tc>
          <w:tcPr>
            <w:tcW w:w="1322" w:type="dxa"/>
          </w:tcPr>
          <w:p>
            <w:pPr>
              <w:pStyle w:val="TableParagraph"/>
              <w:spacing w:line="251" w:lineRule="exact"/>
              <w:ind w:right="150"/>
              <w:jc w:val="right"/>
              <w:rPr>
                <w:b/>
                <w:sz w:val="22"/>
              </w:rPr>
            </w:pPr>
            <w:r>
              <w:rPr>
                <w:b/>
                <w:color w:val="0A0A0A"/>
                <w:spacing w:val="-2"/>
                <w:sz w:val="22"/>
              </w:rPr>
              <w:t>2021-</w:t>
            </w:r>
            <w:r>
              <w:rPr>
                <w:b/>
                <w:color w:val="0A0A0A"/>
                <w:spacing w:val="-5"/>
                <w:sz w:val="22"/>
              </w:rPr>
              <w:t>22</w:t>
            </w:r>
          </w:p>
        </w:tc>
        <w:tc>
          <w:tcPr>
            <w:tcW w:w="6934" w:type="dxa"/>
          </w:tcPr>
          <w:p>
            <w:pPr>
              <w:pStyle w:val="TableParagraph"/>
              <w:rPr>
                <w:rFonts w:ascii="Times New Roman"/>
                <w:sz w:val="20"/>
              </w:rPr>
            </w:pPr>
          </w:p>
        </w:tc>
        <w:tc>
          <w:tcPr>
            <w:tcW w:w="1307" w:type="dxa"/>
          </w:tcPr>
          <w:p>
            <w:pPr>
              <w:pStyle w:val="TableParagraph"/>
              <w:spacing w:line="246" w:lineRule="exact"/>
              <w:ind w:left="317"/>
              <w:rPr>
                <w:b/>
                <w:sz w:val="22"/>
              </w:rPr>
            </w:pPr>
            <w:r>
              <w:rPr>
                <w:b/>
                <w:color w:val="0A0A0A"/>
                <w:spacing w:val="-4"/>
                <w:sz w:val="22"/>
              </w:rPr>
              <w:t>2022-</w:t>
            </w:r>
            <w:r>
              <w:rPr>
                <w:b/>
                <w:color w:val="0A0A0A"/>
                <w:spacing w:val="-5"/>
                <w:sz w:val="22"/>
              </w:rPr>
              <w:t>23</w:t>
            </w:r>
          </w:p>
        </w:tc>
      </w:tr>
      <w:tr>
        <w:trPr>
          <w:trHeight w:val="273" w:hRule="atLeast"/>
        </w:trPr>
        <w:tc>
          <w:tcPr>
            <w:tcW w:w="1322" w:type="dxa"/>
          </w:tcPr>
          <w:p>
            <w:pPr>
              <w:pStyle w:val="TableParagraph"/>
              <w:spacing w:before="14" w:line="240" w:lineRule="exact"/>
              <w:ind w:left="509"/>
              <w:rPr>
                <w:b/>
                <w:sz w:val="22"/>
              </w:rPr>
            </w:pPr>
            <w:r>
              <w:rPr>
                <w:b/>
                <w:color w:val="0A0A0A"/>
                <w:spacing w:val="-4"/>
                <w:w w:val="105"/>
                <w:sz w:val="22"/>
              </w:rPr>
              <w:t>£000</w:t>
            </w:r>
          </w:p>
        </w:tc>
        <w:tc>
          <w:tcPr>
            <w:tcW w:w="6934" w:type="dxa"/>
          </w:tcPr>
          <w:p>
            <w:pPr>
              <w:pStyle w:val="TableParagraph"/>
              <w:rPr>
                <w:rFonts w:ascii="Times New Roman"/>
                <w:sz w:val="20"/>
              </w:rPr>
            </w:pPr>
          </w:p>
        </w:tc>
        <w:tc>
          <w:tcPr>
            <w:tcW w:w="1307" w:type="dxa"/>
          </w:tcPr>
          <w:p>
            <w:pPr>
              <w:pStyle w:val="TableParagraph"/>
              <w:spacing w:before="14" w:line="240" w:lineRule="exact"/>
              <w:ind w:left="470"/>
              <w:rPr>
                <w:b/>
                <w:sz w:val="22"/>
              </w:rPr>
            </w:pPr>
            <w:r>
              <w:rPr>
                <w:b/>
                <w:color w:val="0A0A0A"/>
                <w:spacing w:val="-4"/>
                <w:sz w:val="22"/>
              </w:rPr>
              <w:t>£000</w:t>
            </w:r>
          </w:p>
        </w:tc>
      </w:tr>
      <w:tr>
        <w:trPr>
          <w:trHeight w:val="278" w:hRule="atLeast"/>
        </w:trPr>
        <w:tc>
          <w:tcPr>
            <w:tcW w:w="1322" w:type="dxa"/>
          </w:tcPr>
          <w:p>
            <w:pPr>
              <w:pStyle w:val="TableParagraph"/>
              <w:rPr>
                <w:rFonts w:ascii="Times New Roman"/>
                <w:sz w:val="20"/>
              </w:rPr>
            </w:pPr>
          </w:p>
        </w:tc>
        <w:tc>
          <w:tcPr>
            <w:tcW w:w="6934" w:type="dxa"/>
          </w:tcPr>
          <w:p>
            <w:pPr>
              <w:pStyle w:val="TableParagraph"/>
              <w:spacing w:line="253" w:lineRule="exact"/>
              <w:ind w:left="649"/>
              <w:rPr>
                <w:b/>
                <w:sz w:val="22"/>
              </w:rPr>
            </w:pPr>
            <w:r>
              <w:rPr>
                <w:b/>
                <w:color w:val="0A0A0A"/>
                <w:sz w:val="22"/>
              </w:rPr>
              <w:t>Council</w:t>
            </w:r>
            <w:r>
              <w:rPr>
                <w:b/>
                <w:color w:val="0A0A0A"/>
                <w:spacing w:val="-1"/>
                <w:sz w:val="22"/>
              </w:rPr>
              <w:t> </w:t>
            </w:r>
            <w:r>
              <w:rPr>
                <w:b/>
                <w:color w:val="0A0A0A"/>
                <w:sz w:val="22"/>
              </w:rPr>
              <w:t>tax</w:t>
            </w:r>
            <w:r>
              <w:rPr>
                <w:b/>
                <w:color w:val="0A0A0A"/>
                <w:spacing w:val="-8"/>
                <w:sz w:val="22"/>
              </w:rPr>
              <w:t> </w:t>
            </w:r>
            <w:r>
              <w:rPr>
                <w:b/>
                <w:color w:val="0A0A0A"/>
                <w:sz w:val="22"/>
              </w:rPr>
              <w:t>income and</w:t>
            </w:r>
            <w:r>
              <w:rPr>
                <w:b/>
                <w:color w:val="0A0A0A"/>
                <w:spacing w:val="-4"/>
                <w:sz w:val="22"/>
              </w:rPr>
              <w:t> </w:t>
            </w:r>
            <w:r>
              <w:rPr>
                <w:b/>
                <w:color w:val="0A0A0A"/>
                <w:spacing w:val="-2"/>
                <w:sz w:val="22"/>
              </w:rPr>
              <w:t>expenditure</w:t>
            </w:r>
          </w:p>
        </w:tc>
        <w:tc>
          <w:tcPr>
            <w:tcW w:w="1307" w:type="dxa"/>
          </w:tcPr>
          <w:p>
            <w:pPr>
              <w:pStyle w:val="TableParagraph"/>
              <w:rPr>
                <w:rFonts w:ascii="Times New Roman"/>
                <w:sz w:val="20"/>
              </w:rPr>
            </w:pPr>
          </w:p>
        </w:tc>
      </w:tr>
      <w:tr>
        <w:trPr>
          <w:trHeight w:val="316" w:hRule="atLeast"/>
        </w:trPr>
        <w:tc>
          <w:tcPr>
            <w:tcW w:w="1322" w:type="dxa"/>
          </w:tcPr>
          <w:p>
            <w:pPr>
              <w:pStyle w:val="TableParagraph"/>
              <w:spacing w:before="24"/>
              <w:ind w:right="37"/>
              <w:jc w:val="right"/>
              <w:rPr>
                <w:sz w:val="21"/>
              </w:rPr>
            </w:pPr>
            <w:r>
              <w:rPr>
                <w:color w:val="0A0A0A"/>
                <w:spacing w:val="-2"/>
                <w:w w:val="105"/>
                <w:sz w:val="21"/>
              </w:rPr>
              <w:t>(7,847)</w:t>
            </w:r>
          </w:p>
        </w:tc>
        <w:tc>
          <w:tcPr>
            <w:tcW w:w="6934" w:type="dxa"/>
          </w:tcPr>
          <w:p>
            <w:pPr>
              <w:pStyle w:val="TableParagraph"/>
              <w:spacing w:before="28"/>
              <w:ind w:left="641"/>
              <w:rPr>
                <w:sz w:val="21"/>
              </w:rPr>
            </w:pPr>
            <w:r>
              <w:rPr>
                <w:color w:val="0A0A0A"/>
                <w:w w:val="105"/>
                <w:sz w:val="21"/>
              </w:rPr>
              <w:t>Amount</w:t>
            </w:r>
            <w:r>
              <w:rPr>
                <w:color w:val="0A0A0A"/>
                <w:spacing w:val="-4"/>
                <w:w w:val="105"/>
                <w:sz w:val="21"/>
              </w:rPr>
              <w:t> </w:t>
            </w:r>
            <w:r>
              <w:rPr>
                <w:color w:val="0A0A0A"/>
                <w:w w:val="105"/>
                <w:sz w:val="21"/>
              </w:rPr>
              <w:t>collectable</w:t>
            </w:r>
            <w:r>
              <w:rPr>
                <w:color w:val="0A0A0A"/>
                <w:spacing w:val="-1"/>
                <w:w w:val="105"/>
                <w:sz w:val="21"/>
              </w:rPr>
              <w:t> </w:t>
            </w:r>
            <w:r>
              <w:rPr>
                <w:color w:val="0A0A0A"/>
                <w:w w:val="105"/>
                <w:sz w:val="21"/>
              </w:rPr>
              <w:t>from</w:t>
            </w:r>
            <w:r>
              <w:rPr>
                <w:color w:val="0A0A0A"/>
                <w:spacing w:val="-10"/>
                <w:w w:val="105"/>
                <w:sz w:val="21"/>
              </w:rPr>
              <w:t> </w:t>
            </w:r>
            <w:r>
              <w:rPr>
                <w:color w:val="0A0A0A"/>
                <w:w w:val="105"/>
                <w:sz w:val="21"/>
              </w:rPr>
              <w:t>council</w:t>
            </w:r>
            <w:r>
              <w:rPr>
                <w:color w:val="0A0A0A"/>
                <w:spacing w:val="-11"/>
                <w:w w:val="105"/>
                <w:sz w:val="21"/>
              </w:rPr>
              <w:t> </w:t>
            </w:r>
            <w:r>
              <w:rPr>
                <w:color w:val="0A0A0A"/>
                <w:spacing w:val="-5"/>
                <w:w w:val="105"/>
                <w:sz w:val="21"/>
              </w:rPr>
              <w:t>tax</w:t>
            </w:r>
          </w:p>
        </w:tc>
        <w:tc>
          <w:tcPr>
            <w:tcW w:w="1307" w:type="dxa"/>
          </w:tcPr>
          <w:p>
            <w:pPr>
              <w:pStyle w:val="TableParagraph"/>
              <w:spacing w:before="19"/>
              <w:ind w:right="75"/>
              <w:jc w:val="right"/>
              <w:rPr>
                <w:sz w:val="21"/>
              </w:rPr>
            </w:pPr>
            <w:r>
              <w:rPr>
                <w:color w:val="0A0A0A"/>
                <w:spacing w:val="-2"/>
                <w:sz w:val="21"/>
              </w:rPr>
              <w:t>(8,232)</w:t>
            </w:r>
          </w:p>
        </w:tc>
      </w:tr>
      <w:tr>
        <w:trPr>
          <w:trHeight w:val="336" w:hRule="atLeast"/>
        </w:trPr>
        <w:tc>
          <w:tcPr>
            <w:tcW w:w="1322" w:type="dxa"/>
          </w:tcPr>
          <w:p>
            <w:pPr>
              <w:pStyle w:val="TableParagraph"/>
              <w:spacing w:before="44"/>
              <w:ind w:right="42"/>
              <w:jc w:val="right"/>
              <w:rPr>
                <w:sz w:val="21"/>
              </w:rPr>
            </w:pPr>
            <w:r>
              <w:rPr>
                <w:color w:val="0A0A0A"/>
                <w:spacing w:val="-2"/>
                <w:w w:val="105"/>
                <w:sz w:val="21"/>
              </w:rPr>
              <w:t>(1,225)</w:t>
            </w:r>
          </w:p>
        </w:tc>
        <w:tc>
          <w:tcPr>
            <w:tcW w:w="6934" w:type="dxa"/>
          </w:tcPr>
          <w:p>
            <w:pPr>
              <w:pStyle w:val="TableParagraph"/>
              <w:spacing w:before="49"/>
              <w:ind w:left="641"/>
              <w:rPr>
                <w:sz w:val="21"/>
              </w:rPr>
            </w:pPr>
            <w:r>
              <w:rPr>
                <w:color w:val="0A0A0A"/>
                <w:w w:val="105"/>
                <w:sz w:val="21"/>
              </w:rPr>
              <w:t>Amount</w:t>
            </w:r>
            <w:r>
              <w:rPr>
                <w:color w:val="0A0A0A"/>
                <w:spacing w:val="-4"/>
                <w:w w:val="105"/>
                <w:sz w:val="21"/>
              </w:rPr>
              <w:t> </w:t>
            </w:r>
            <w:r>
              <w:rPr>
                <w:color w:val="0A0A0A"/>
                <w:w w:val="105"/>
                <w:sz w:val="21"/>
              </w:rPr>
              <w:t>collectable</w:t>
            </w:r>
            <w:r>
              <w:rPr>
                <w:color w:val="0A0A0A"/>
                <w:spacing w:val="-1"/>
                <w:w w:val="105"/>
                <w:sz w:val="21"/>
              </w:rPr>
              <w:t> </w:t>
            </w:r>
            <w:r>
              <w:rPr>
                <w:color w:val="0A0A0A"/>
                <w:w w:val="105"/>
                <w:sz w:val="21"/>
              </w:rPr>
              <w:t>on</w:t>
            </w:r>
            <w:r>
              <w:rPr>
                <w:color w:val="0A0A0A"/>
                <w:spacing w:val="-15"/>
                <w:w w:val="105"/>
                <w:sz w:val="21"/>
              </w:rPr>
              <w:t> </w:t>
            </w:r>
            <w:r>
              <w:rPr>
                <w:color w:val="0A0A0A"/>
                <w:w w:val="105"/>
                <w:sz w:val="21"/>
              </w:rPr>
              <w:t>behalf</w:t>
            </w:r>
            <w:r>
              <w:rPr>
                <w:color w:val="0A0A0A"/>
                <w:spacing w:val="2"/>
                <w:w w:val="105"/>
                <w:sz w:val="21"/>
              </w:rPr>
              <w:t> </w:t>
            </w:r>
            <w:r>
              <w:rPr>
                <w:color w:val="0A0A0A"/>
                <w:w w:val="105"/>
                <w:sz w:val="21"/>
              </w:rPr>
              <w:t>of</w:t>
            </w:r>
            <w:r>
              <w:rPr>
                <w:color w:val="0A0A0A"/>
                <w:spacing w:val="-12"/>
                <w:w w:val="105"/>
                <w:sz w:val="21"/>
              </w:rPr>
              <w:t> </w:t>
            </w:r>
            <w:r>
              <w:rPr>
                <w:color w:val="0A0A0A"/>
                <w:spacing w:val="-2"/>
                <w:w w:val="105"/>
                <w:sz w:val="21"/>
              </w:rPr>
              <w:t>parishes</w:t>
            </w:r>
          </w:p>
        </w:tc>
        <w:tc>
          <w:tcPr>
            <w:tcW w:w="1307" w:type="dxa"/>
          </w:tcPr>
          <w:p>
            <w:pPr>
              <w:pStyle w:val="TableParagraph"/>
              <w:spacing w:before="39"/>
              <w:ind w:right="73"/>
              <w:jc w:val="right"/>
              <w:rPr>
                <w:sz w:val="21"/>
              </w:rPr>
            </w:pPr>
            <w:r>
              <w:rPr>
                <w:color w:val="0A0A0A"/>
                <w:spacing w:val="-2"/>
                <w:w w:val="105"/>
                <w:sz w:val="21"/>
              </w:rPr>
              <w:t>(1,313)</w:t>
            </w:r>
          </w:p>
        </w:tc>
      </w:tr>
      <w:tr>
        <w:trPr>
          <w:trHeight w:val="322" w:hRule="atLeast"/>
        </w:trPr>
        <w:tc>
          <w:tcPr>
            <w:tcW w:w="1322" w:type="dxa"/>
          </w:tcPr>
          <w:p>
            <w:pPr>
              <w:pStyle w:val="TableParagraph"/>
              <w:spacing w:before="44"/>
              <w:ind w:right="41"/>
              <w:jc w:val="right"/>
              <w:rPr>
                <w:sz w:val="21"/>
              </w:rPr>
            </w:pPr>
            <w:r>
              <w:rPr/>
              <ve:AlternateContent>
                <ve:Choice Requires="wps">
                  <w:drawing>
                    <wp:anchor distT="0" distB="0" distL="0" distR="0" simplePos="0" relativeHeight="475875328" behindDoc="1" locked="0" layoutInCell="1" allowOverlap="1">
                      <wp:simplePos x="0" y="0"/>
                      <wp:positionH relativeFrom="column">
                        <wp:posOffset>62012</wp:posOffset>
                      </wp:positionH>
                      <wp:positionV relativeFrom="paragraph">
                        <wp:posOffset>203369</wp:posOffset>
                      </wp:positionV>
                      <wp:extent cx="830580" cy="9525"/>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830580" cy="9525"/>
                                <a:chExt cx="830580" cy="9525"/>
                              </a:xfrm>
                            </wpg:grpSpPr>
                            <wps:wsp>
                              <wps:cNvPr id="180" name="Graphic 180"/>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12" style="position:absolute;margin-left:4.882864pt;margin-top:16.013357pt;width:65.4pt;height:.75pt;mso-position-horizontal-relative:column;mso-position-vertical-relative:paragraph;z-index:-27441152" coordsize="1308,15" coordorigin="98,320">
                      <v:line style="position:absolute" stroked="true" strokecolor="#000000" strokeweight=".720821pt" from="98,327" to="1405,327">
                        <v:stroke dashstyle="solid"/>
                      </v:line>
                      <w10:wrap type="none"/>
                    </v:group>
                  </w:pict>
                </ve:Fallback>
              </ve:AlternateContent>
            </w:r>
            <w:r>
              <w:rPr>
                <w:color w:val="0A0A0A"/>
                <w:spacing w:val="-2"/>
                <w:w w:val="105"/>
                <w:sz w:val="21"/>
              </w:rPr>
              <w:t>(163)</w:t>
            </w:r>
          </w:p>
        </w:tc>
        <w:tc>
          <w:tcPr>
            <w:tcW w:w="6934" w:type="dxa"/>
          </w:tcPr>
          <w:p>
            <w:pPr>
              <w:pStyle w:val="TableParagraph"/>
              <w:spacing w:before="39"/>
              <w:ind w:right="828"/>
              <w:jc w:val="right"/>
              <w:rPr>
                <w:sz w:val="21"/>
              </w:rPr>
            </w:pPr>
            <w:r>
              <w:rPr>
                <w:color w:val="0A0A0A"/>
                <w:w w:val="105"/>
                <w:sz w:val="21"/>
              </w:rPr>
              <w:t>Share</w:t>
            </w:r>
            <w:r>
              <w:rPr>
                <w:color w:val="0A0A0A"/>
                <w:spacing w:val="4"/>
                <w:w w:val="105"/>
                <w:sz w:val="21"/>
              </w:rPr>
              <w:t> </w:t>
            </w:r>
            <w:r>
              <w:rPr>
                <w:color w:val="0A0A0A"/>
                <w:w w:val="105"/>
                <w:sz w:val="21"/>
              </w:rPr>
              <w:t>of</w:t>
            </w:r>
            <w:r>
              <w:rPr>
                <w:color w:val="0A0A0A"/>
                <w:spacing w:val="-2"/>
                <w:w w:val="105"/>
                <w:sz w:val="21"/>
              </w:rPr>
              <w:t> </w:t>
            </w:r>
            <w:r>
              <w:rPr>
                <w:color w:val="0A0A0A"/>
                <w:w w:val="105"/>
                <w:sz w:val="21"/>
              </w:rPr>
              <w:t>(surplus)</w:t>
            </w:r>
            <w:r>
              <w:rPr>
                <w:color w:val="0A0A0A"/>
                <w:spacing w:val="-3"/>
                <w:w w:val="105"/>
                <w:sz w:val="21"/>
              </w:rPr>
              <w:t> </w:t>
            </w:r>
            <w:r>
              <w:rPr>
                <w:i/>
                <w:color w:val="0A0A0A"/>
                <w:w w:val="105"/>
                <w:sz w:val="22"/>
              </w:rPr>
              <w:t>I</w:t>
            </w:r>
            <w:r>
              <w:rPr>
                <w:i/>
                <w:color w:val="0A0A0A"/>
                <w:spacing w:val="1"/>
                <w:w w:val="105"/>
                <w:sz w:val="22"/>
              </w:rPr>
              <w:t> </w:t>
            </w:r>
            <w:r>
              <w:rPr>
                <w:color w:val="0A0A0A"/>
                <w:w w:val="105"/>
                <w:sz w:val="21"/>
              </w:rPr>
              <w:t>deficit</w:t>
            </w:r>
            <w:r>
              <w:rPr>
                <w:color w:val="0A0A0A"/>
                <w:spacing w:val="1"/>
                <w:w w:val="105"/>
                <w:sz w:val="21"/>
              </w:rPr>
              <w:t> </w:t>
            </w:r>
            <w:r>
              <w:rPr>
                <w:color w:val="0A0A0A"/>
                <w:w w:val="105"/>
                <w:sz w:val="21"/>
              </w:rPr>
              <w:t>on</w:t>
            </w:r>
            <w:r>
              <w:rPr>
                <w:color w:val="0A0A0A"/>
                <w:spacing w:val="-15"/>
                <w:w w:val="105"/>
                <w:sz w:val="21"/>
              </w:rPr>
              <w:t> </w:t>
            </w:r>
            <w:r>
              <w:rPr>
                <w:color w:val="0A0A0A"/>
                <w:w w:val="105"/>
                <w:sz w:val="21"/>
              </w:rPr>
              <w:t>collection</w:t>
            </w:r>
            <w:r>
              <w:rPr>
                <w:color w:val="0A0A0A"/>
                <w:spacing w:val="-2"/>
                <w:w w:val="105"/>
                <w:sz w:val="21"/>
              </w:rPr>
              <w:t> </w:t>
            </w:r>
            <w:r>
              <w:rPr>
                <w:color w:val="0A0A0A"/>
                <w:w w:val="105"/>
                <w:sz w:val="21"/>
              </w:rPr>
              <w:t>fund</w:t>
            </w:r>
            <w:r>
              <w:rPr>
                <w:color w:val="0A0A0A"/>
                <w:spacing w:val="-6"/>
                <w:w w:val="105"/>
                <w:sz w:val="21"/>
              </w:rPr>
              <w:t> </w:t>
            </w:r>
            <w:r>
              <w:rPr>
                <w:color w:val="0A0A0A"/>
                <w:w w:val="105"/>
                <w:sz w:val="21"/>
              </w:rPr>
              <w:t>for</w:t>
            </w:r>
            <w:r>
              <w:rPr>
                <w:color w:val="0A0A0A"/>
                <w:spacing w:val="-10"/>
                <w:w w:val="105"/>
                <w:sz w:val="21"/>
              </w:rPr>
              <w:t> </w:t>
            </w:r>
            <w:r>
              <w:rPr>
                <w:color w:val="0A0A0A"/>
                <w:w w:val="105"/>
                <w:sz w:val="21"/>
              </w:rPr>
              <w:t>the</w:t>
            </w:r>
            <w:r>
              <w:rPr>
                <w:color w:val="0A0A0A"/>
                <w:spacing w:val="-3"/>
                <w:w w:val="105"/>
                <w:sz w:val="21"/>
              </w:rPr>
              <w:t> </w:t>
            </w:r>
            <w:r>
              <w:rPr>
                <w:color w:val="0A0A0A"/>
                <w:spacing w:val="-4"/>
                <w:w w:val="105"/>
                <w:sz w:val="21"/>
              </w:rPr>
              <w:t>year</w:t>
            </w:r>
          </w:p>
        </w:tc>
        <w:tc>
          <w:tcPr>
            <w:tcW w:w="1307" w:type="dxa"/>
          </w:tcPr>
          <w:p>
            <w:pPr>
              <w:pStyle w:val="TableParagraph"/>
              <w:spacing w:before="44"/>
              <w:ind w:right="122"/>
              <w:jc w:val="right"/>
              <w:rPr>
                <w:sz w:val="21"/>
              </w:rPr>
            </w:pPr>
            <w:r>
              <w:rPr/>
              <ve:AlternateContent>
                <ve:Choice Requires="wps">
                  <w:drawing>
                    <wp:anchor distT="0" distB="0" distL="0" distR="0" simplePos="0" relativeHeight="475874816" behindDoc="1" locked="0" layoutInCell="1" allowOverlap="1">
                      <wp:simplePos x="0" y="0"/>
                      <wp:positionH relativeFrom="column">
                        <wp:posOffset>33343</wp:posOffset>
                      </wp:positionH>
                      <wp:positionV relativeFrom="paragraph">
                        <wp:posOffset>201843</wp:posOffset>
                      </wp:positionV>
                      <wp:extent cx="830580" cy="6350"/>
                      <wp:effectExtent l="0" t="0" r="0" b="0"/>
                      <wp:wrapNone/>
                      <wp:docPr id="181" name="Group 181"/>
                      <wp:cNvGraphicFramePr>
                        <a:graphicFrameLocks/>
                      </wp:cNvGraphicFramePr>
                      <a:graphic>
                        <a:graphicData uri="http://schemas.microsoft.com/office/word/2010/wordprocessingGroup">
                          <wpg:wgp>
                            <wpg:cNvPr id="181" name="Group 181"/>
                            <wpg:cNvGrpSpPr/>
                            <wpg:grpSpPr>
                              <a:xfrm>
                                <a:off x="0" y="0"/>
                                <a:ext cx="830580" cy="6350"/>
                                <a:chExt cx="830580" cy="6350"/>
                              </a:xfrm>
                            </wpg:grpSpPr>
                            <wps:wsp>
                              <wps:cNvPr id="182" name="Graphic 182"/>
                              <wps:cNvSpPr/>
                              <wps:spPr>
                                <a:xfrm>
                                  <a:off x="0" y="3051"/>
                                  <a:ext cx="830580" cy="1270"/>
                                </a:xfrm>
                                <a:custGeom>
                                  <a:avLst/>
                                  <a:gdLst/>
                                  <a:ahLst/>
                                  <a:cxnLst/>
                                  <a:rect l="l" t="t" r="r" b="b"/>
                                  <a:pathLst>
                                    <a:path w="830580" h="0">
                                      <a:moveTo>
                                        <a:pt x="0" y="0"/>
                                      </a:moveTo>
                                      <a:lnTo>
                                        <a:pt x="830393" y="0"/>
                                      </a:lnTo>
                                    </a:path>
                                  </a:pathLst>
                                </a:custGeom>
                                <a:ln w="6102">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13" style="position:absolute;margin-left:2.625478pt;margin-top:15.89322pt;width:65.4pt;height:.5pt;mso-position-horizontal-relative:column;mso-position-vertical-relative:paragraph;z-index:-27441664" coordsize="1308,10" coordorigin="53,318">
                      <v:line style="position:absolute" stroked="true" strokecolor="#000000" strokeweight=".480548pt" from="53,323" to="1360,323">
                        <v:stroke dashstyle="solid"/>
                      </v:line>
                      <w10:wrap type="none"/>
                    </v:group>
                  </w:pict>
                </ve:Fallback>
              </ve:AlternateContent>
            </w:r>
            <w:r>
              <w:rPr>
                <w:color w:val="0A0A0A"/>
                <w:spacing w:val="-5"/>
                <w:w w:val="105"/>
                <w:sz w:val="21"/>
              </w:rPr>
              <w:t>10</w:t>
            </w:r>
          </w:p>
        </w:tc>
      </w:tr>
      <w:tr>
        <w:trPr>
          <w:trHeight w:val="345" w:hRule="atLeast"/>
        </w:trPr>
        <w:tc>
          <w:tcPr>
            <w:tcW w:w="1322" w:type="dxa"/>
          </w:tcPr>
          <w:p>
            <w:pPr>
              <w:pStyle w:val="TableParagraph"/>
              <w:spacing w:before="53"/>
              <w:ind w:right="38"/>
              <w:jc w:val="right"/>
              <w:rPr>
                <w:b/>
                <w:sz w:val="22"/>
              </w:rPr>
            </w:pPr>
            <w:r>
              <w:rPr/>
              <ve:AlternateContent>
                <ve:Choice Requires="wps">
                  <w:drawing>
                    <wp:anchor distT="0" distB="0" distL="0" distR="0" simplePos="0" relativeHeight="475876352" behindDoc="1" locked="0" layoutInCell="1" allowOverlap="1">
                      <wp:simplePos x="0" y="0"/>
                      <wp:positionH relativeFrom="column">
                        <wp:posOffset>62012</wp:posOffset>
                      </wp:positionH>
                      <wp:positionV relativeFrom="paragraph">
                        <wp:posOffset>215039</wp:posOffset>
                      </wp:positionV>
                      <wp:extent cx="830580" cy="9525"/>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830580" cy="9525"/>
                                <a:chExt cx="830580" cy="9525"/>
                              </a:xfrm>
                            </wpg:grpSpPr>
                            <wps:wsp>
                              <wps:cNvPr id="184" name="Graphic 184"/>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14" style="position:absolute;margin-left:4.882864pt;margin-top:16.932262pt;width:65.4pt;height:.75pt;mso-position-horizontal-relative:column;mso-position-vertical-relative:paragraph;z-index:-27440128" coordsize="1308,15" coordorigin="98,339">
                      <v:line style="position:absolute" stroked="true" strokecolor="#000000" strokeweight=".720821pt" from="98,346" to="1405,346">
                        <v:stroke dashstyle="solid"/>
                      </v:line>
                      <w10:wrap type="none"/>
                    </v:group>
                  </w:pict>
                </ve:Fallback>
              </ve:AlternateContent>
            </w:r>
            <w:r>
              <w:rPr>
                <w:b/>
                <w:color w:val="0A0A0A"/>
                <w:spacing w:val="-2"/>
                <w:sz w:val="22"/>
              </w:rPr>
              <w:t>(9,235)</w:t>
            </w:r>
          </w:p>
        </w:tc>
        <w:tc>
          <w:tcPr>
            <w:tcW w:w="6934" w:type="dxa"/>
          </w:tcPr>
          <w:p>
            <w:pPr>
              <w:pStyle w:val="TableParagraph"/>
              <w:rPr>
                <w:rFonts w:ascii="Times New Roman"/>
                <w:sz w:val="20"/>
              </w:rPr>
            </w:pPr>
          </w:p>
        </w:tc>
        <w:tc>
          <w:tcPr>
            <w:tcW w:w="1307" w:type="dxa"/>
          </w:tcPr>
          <w:p>
            <w:pPr>
              <w:pStyle w:val="TableParagraph"/>
              <w:spacing w:before="53"/>
              <w:ind w:right="69"/>
              <w:jc w:val="right"/>
              <w:rPr>
                <w:b/>
                <w:sz w:val="22"/>
              </w:rPr>
            </w:pPr>
            <w:r>
              <w:rPr/>
              <ve:AlternateContent>
                <ve:Choice Requires="wps">
                  <w:drawing>
                    <wp:anchor distT="0" distB="0" distL="0" distR="0" simplePos="0" relativeHeight="475875840" behindDoc="1" locked="0" layoutInCell="1" allowOverlap="1">
                      <wp:simplePos x="0" y="0"/>
                      <wp:positionH relativeFrom="column">
                        <wp:posOffset>33343</wp:posOffset>
                      </wp:positionH>
                      <wp:positionV relativeFrom="paragraph">
                        <wp:posOffset>215039</wp:posOffset>
                      </wp:positionV>
                      <wp:extent cx="830580" cy="9525"/>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830580" cy="9525"/>
                                <a:chExt cx="830580" cy="9525"/>
                              </a:xfrm>
                            </wpg:grpSpPr>
                            <wps:wsp>
                              <wps:cNvPr id="186" name="Graphic 186"/>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15" style="position:absolute;margin-left:2.625478pt;margin-top:16.932283pt;width:65.4pt;height:.75pt;mso-position-horizontal-relative:column;mso-position-vertical-relative:paragraph;z-index:-27440640" coordsize="1308,15" coordorigin="53,339">
                      <v:line style="position:absolute" stroked="true" strokecolor="#000000" strokeweight=".720821pt" from="53,346" to="1360,346">
                        <v:stroke dashstyle="solid"/>
                      </v:line>
                      <w10:wrap type="none"/>
                    </v:group>
                  </w:pict>
                </ve:Fallback>
              </ve:AlternateContent>
            </w:r>
            <w:r>
              <w:rPr>
                <w:b/>
                <w:color w:val="0A0A0A"/>
                <w:spacing w:val="-2"/>
                <w:sz w:val="22"/>
              </w:rPr>
              <w:t>(9,535)</w:t>
            </w:r>
          </w:p>
        </w:tc>
      </w:tr>
      <w:tr>
        <w:trPr>
          <w:trHeight w:val="550" w:hRule="atLeast"/>
        </w:trPr>
        <w:tc>
          <w:tcPr>
            <w:tcW w:w="1322" w:type="dxa"/>
          </w:tcPr>
          <w:p>
            <w:pPr>
              <w:pStyle w:val="TableParagraph"/>
              <w:rPr>
                <w:rFonts w:ascii="Times New Roman"/>
                <w:sz w:val="20"/>
              </w:rPr>
            </w:pPr>
          </w:p>
        </w:tc>
        <w:tc>
          <w:tcPr>
            <w:tcW w:w="6934" w:type="dxa"/>
          </w:tcPr>
          <w:p>
            <w:pPr>
              <w:pStyle w:val="TableParagraph"/>
              <w:spacing w:before="16" w:line="237" w:lineRule="auto"/>
              <w:ind w:left="626" w:firstLine="3"/>
              <w:rPr>
                <w:b/>
                <w:sz w:val="22"/>
              </w:rPr>
            </w:pPr>
            <w:r>
              <w:rPr>
                <w:b/>
                <w:color w:val="0A0A0A"/>
                <w:sz w:val="22"/>
              </w:rPr>
              <w:t>Non-domestic</w:t>
            </w:r>
            <w:r>
              <w:rPr>
                <w:b/>
                <w:color w:val="0A0A0A"/>
                <w:spacing w:val="18"/>
                <w:sz w:val="22"/>
              </w:rPr>
              <w:t> </w:t>
            </w:r>
            <w:r>
              <w:rPr>
                <w:b/>
                <w:color w:val="0A0A0A"/>
                <w:sz w:val="22"/>
              </w:rPr>
              <w:t>rates</w:t>
            </w:r>
            <w:r>
              <w:rPr>
                <w:b/>
                <w:color w:val="0A0A0A"/>
                <w:spacing w:val="-13"/>
                <w:sz w:val="22"/>
              </w:rPr>
              <w:t> </w:t>
            </w:r>
            <w:r>
              <w:rPr>
                <w:b/>
                <w:color w:val="0A0A0A"/>
                <w:sz w:val="22"/>
              </w:rPr>
              <w:t>income</w:t>
            </w:r>
            <w:r>
              <w:rPr>
                <w:b/>
                <w:color w:val="0A0A0A"/>
                <w:spacing w:val="-6"/>
                <w:sz w:val="22"/>
              </w:rPr>
              <w:t> </w:t>
            </w:r>
            <w:r>
              <w:rPr>
                <w:b/>
                <w:color w:val="0A0A0A"/>
                <w:sz w:val="22"/>
              </w:rPr>
              <w:t>and</w:t>
            </w:r>
            <w:r>
              <w:rPr>
                <w:b/>
                <w:color w:val="0A0A0A"/>
                <w:spacing w:val="-16"/>
                <w:sz w:val="22"/>
              </w:rPr>
              <w:t> </w:t>
            </w:r>
            <w:r>
              <w:rPr>
                <w:b/>
                <w:color w:val="0A0A0A"/>
                <w:sz w:val="22"/>
              </w:rPr>
              <w:t>expenditure (see</w:t>
            </w:r>
            <w:r>
              <w:rPr>
                <w:b/>
                <w:color w:val="0A0A0A"/>
                <w:spacing w:val="-11"/>
                <w:sz w:val="22"/>
              </w:rPr>
              <w:t> </w:t>
            </w:r>
            <w:r>
              <w:rPr>
                <w:b/>
                <w:color w:val="0A0A0A"/>
                <w:sz w:val="22"/>
              </w:rPr>
              <w:t>note </w:t>
            </w:r>
            <w:r>
              <w:rPr>
                <w:b/>
                <w:color w:val="0A0A0A"/>
                <w:spacing w:val="-2"/>
                <w:sz w:val="22"/>
              </w:rPr>
              <w:t>below):</w:t>
            </w:r>
          </w:p>
        </w:tc>
        <w:tc>
          <w:tcPr>
            <w:tcW w:w="1307" w:type="dxa"/>
          </w:tcPr>
          <w:p>
            <w:pPr>
              <w:pStyle w:val="TableParagraph"/>
              <w:rPr>
                <w:rFonts w:ascii="Times New Roman"/>
                <w:sz w:val="20"/>
              </w:rPr>
            </w:pPr>
          </w:p>
        </w:tc>
      </w:tr>
      <w:tr>
        <w:trPr>
          <w:trHeight w:val="320" w:hRule="atLeast"/>
        </w:trPr>
        <w:tc>
          <w:tcPr>
            <w:tcW w:w="1322" w:type="dxa"/>
          </w:tcPr>
          <w:p>
            <w:pPr>
              <w:pStyle w:val="TableParagraph"/>
              <w:spacing w:before="26"/>
              <w:ind w:right="57"/>
              <w:jc w:val="right"/>
              <w:rPr>
                <w:sz w:val="21"/>
              </w:rPr>
            </w:pPr>
            <w:r>
              <w:rPr>
                <w:color w:val="0A0A0A"/>
                <w:spacing w:val="-2"/>
                <w:w w:val="105"/>
                <w:sz w:val="21"/>
              </w:rPr>
              <w:t>(19,407)</w:t>
            </w:r>
          </w:p>
        </w:tc>
        <w:tc>
          <w:tcPr>
            <w:tcW w:w="6934" w:type="dxa"/>
          </w:tcPr>
          <w:p>
            <w:pPr>
              <w:pStyle w:val="TableParagraph"/>
              <w:spacing w:before="31"/>
              <w:ind w:left="622"/>
              <w:rPr>
                <w:sz w:val="21"/>
              </w:rPr>
            </w:pPr>
            <w:r>
              <w:rPr>
                <w:color w:val="0A0A0A"/>
                <w:w w:val="105"/>
                <w:sz w:val="21"/>
              </w:rPr>
              <w:t>Amount</w:t>
            </w:r>
            <w:r>
              <w:rPr>
                <w:color w:val="0A0A0A"/>
                <w:spacing w:val="-1"/>
                <w:w w:val="105"/>
                <w:sz w:val="21"/>
              </w:rPr>
              <w:t> </w:t>
            </w:r>
            <w:r>
              <w:rPr>
                <w:color w:val="0A0A0A"/>
                <w:w w:val="105"/>
                <w:sz w:val="21"/>
              </w:rPr>
              <w:t>collectable</w:t>
            </w:r>
            <w:r>
              <w:rPr>
                <w:color w:val="0A0A0A"/>
                <w:spacing w:val="-2"/>
                <w:w w:val="105"/>
                <w:sz w:val="21"/>
              </w:rPr>
              <w:t> </w:t>
            </w:r>
            <w:r>
              <w:rPr>
                <w:color w:val="0A0A0A"/>
                <w:w w:val="105"/>
                <w:sz w:val="21"/>
              </w:rPr>
              <w:t>from</w:t>
            </w:r>
            <w:r>
              <w:rPr>
                <w:color w:val="0A0A0A"/>
                <w:spacing w:val="-13"/>
                <w:w w:val="105"/>
                <w:sz w:val="21"/>
              </w:rPr>
              <w:t> </w:t>
            </w:r>
            <w:r>
              <w:rPr>
                <w:color w:val="0A0A0A"/>
                <w:w w:val="105"/>
                <w:sz w:val="21"/>
              </w:rPr>
              <w:t>business</w:t>
            </w:r>
            <w:r>
              <w:rPr>
                <w:color w:val="0A0A0A"/>
                <w:spacing w:val="2"/>
                <w:w w:val="105"/>
                <w:sz w:val="21"/>
              </w:rPr>
              <w:t> </w:t>
            </w:r>
            <w:r>
              <w:rPr>
                <w:color w:val="0A0A0A"/>
                <w:spacing w:val="-2"/>
                <w:w w:val="105"/>
                <w:sz w:val="21"/>
              </w:rPr>
              <w:t>rates</w:t>
            </w:r>
          </w:p>
        </w:tc>
        <w:tc>
          <w:tcPr>
            <w:tcW w:w="1307" w:type="dxa"/>
          </w:tcPr>
          <w:p>
            <w:pPr>
              <w:pStyle w:val="TableParagraph"/>
              <w:spacing w:before="21"/>
              <w:ind w:right="82"/>
              <w:jc w:val="right"/>
              <w:rPr>
                <w:sz w:val="21"/>
              </w:rPr>
            </w:pPr>
            <w:r>
              <w:rPr>
                <w:color w:val="0A0A0A"/>
                <w:spacing w:val="-2"/>
                <w:w w:val="105"/>
                <w:sz w:val="21"/>
              </w:rPr>
              <w:t>(15,325)</w:t>
            </w:r>
          </w:p>
        </w:tc>
      </w:tr>
      <w:tr>
        <w:trPr>
          <w:trHeight w:val="331" w:hRule="atLeast"/>
        </w:trPr>
        <w:tc>
          <w:tcPr>
            <w:tcW w:w="1322" w:type="dxa"/>
          </w:tcPr>
          <w:p>
            <w:pPr>
              <w:pStyle w:val="TableParagraph"/>
              <w:spacing w:before="41"/>
              <w:ind w:right="48"/>
              <w:jc w:val="right"/>
              <w:rPr>
                <w:sz w:val="21"/>
              </w:rPr>
            </w:pPr>
            <w:r>
              <w:rPr>
                <w:color w:val="0A0A0A"/>
                <w:spacing w:val="-2"/>
                <w:w w:val="105"/>
                <w:sz w:val="21"/>
              </w:rPr>
              <w:t>15,681</w:t>
            </w:r>
          </w:p>
        </w:tc>
        <w:tc>
          <w:tcPr>
            <w:tcW w:w="6934" w:type="dxa"/>
          </w:tcPr>
          <w:p>
            <w:pPr>
              <w:pStyle w:val="TableParagraph"/>
              <w:spacing w:before="41"/>
              <w:ind w:left="621"/>
              <w:rPr>
                <w:sz w:val="21"/>
              </w:rPr>
            </w:pPr>
            <w:r>
              <w:rPr>
                <w:color w:val="0A0A0A"/>
                <w:w w:val="105"/>
                <w:sz w:val="21"/>
              </w:rPr>
              <w:t>Tariff</w:t>
            </w:r>
            <w:r>
              <w:rPr>
                <w:color w:val="0A0A0A"/>
                <w:spacing w:val="-6"/>
                <w:w w:val="105"/>
                <w:sz w:val="21"/>
              </w:rPr>
              <w:t> </w:t>
            </w:r>
            <w:r>
              <w:rPr>
                <w:color w:val="0A0A0A"/>
                <w:spacing w:val="-2"/>
                <w:w w:val="105"/>
                <w:sz w:val="21"/>
              </w:rPr>
              <w:t>payable</w:t>
            </w:r>
          </w:p>
        </w:tc>
        <w:tc>
          <w:tcPr>
            <w:tcW w:w="1307" w:type="dxa"/>
          </w:tcPr>
          <w:p>
            <w:pPr>
              <w:pStyle w:val="TableParagraph"/>
              <w:spacing w:before="41"/>
              <w:ind w:right="139"/>
              <w:jc w:val="right"/>
              <w:rPr>
                <w:sz w:val="21"/>
              </w:rPr>
            </w:pPr>
            <w:r>
              <w:rPr>
                <w:color w:val="0A0A0A"/>
                <w:spacing w:val="-2"/>
                <w:w w:val="105"/>
                <w:sz w:val="21"/>
              </w:rPr>
              <w:t>15,681</w:t>
            </w:r>
          </w:p>
        </w:tc>
      </w:tr>
      <w:tr>
        <w:trPr>
          <w:trHeight w:val="338" w:hRule="atLeast"/>
        </w:trPr>
        <w:tc>
          <w:tcPr>
            <w:tcW w:w="1322" w:type="dxa"/>
          </w:tcPr>
          <w:p>
            <w:pPr>
              <w:pStyle w:val="TableParagraph"/>
              <w:spacing w:before="46"/>
              <w:ind w:right="51"/>
              <w:jc w:val="right"/>
              <w:rPr>
                <w:sz w:val="21"/>
              </w:rPr>
            </w:pPr>
            <w:r>
              <w:rPr>
                <w:color w:val="0A0A0A"/>
                <w:spacing w:val="-4"/>
                <w:w w:val="105"/>
                <w:sz w:val="21"/>
              </w:rPr>
              <w:t>4,870</w:t>
            </w:r>
          </w:p>
        </w:tc>
        <w:tc>
          <w:tcPr>
            <w:tcW w:w="6934" w:type="dxa"/>
          </w:tcPr>
          <w:p>
            <w:pPr>
              <w:pStyle w:val="TableParagraph"/>
              <w:spacing w:before="46"/>
              <w:ind w:right="843"/>
              <w:jc w:val="right"/>
              <w:rPr>
                <w:sz w:val="21"/>
              </w:rPr>
            </w:pPr>
            <w:r>
              <w:rPr>
                <w:color w:val="0A0A0A"/>
                <w:w w:val="105"/>
                <w:sz w:val="21"/>
              </w:rPr>
              <w:t>Share</w:t>
            </w:r>
            <w:r>
              <w:rPr>
                <w:color w:val="0A0A0A"/>
                <w:spacing w:val="5"/>
                <w:w w:val="105"/>
                <w:sz w:val="21"/>
              </w:rPr>
              <w:t> </w:t>
            </w:r>
            <w:r>
              <w:rPr>
                <w:color w:val="0A0A0A"/>
                <w:w w:val="105"/>
                <w:sz w:val="21"/>
              </w:rPr>
              <w:t>of</w:t>
            </w:r>
            <w:r>
              <w:rPr>
                <w:color w:val="0A0A0A"/>
                <w:spacing w:val="-7"/>
                <w:w w:val="105"/>
                <w:sz w:val="21"/>
              </w:rPr>
              <w:t> </w:t>
            </w:r>
            <w:r>
              <w:rPr>
                <w:color w:val="0A0A0A"/>
                <w:w w:val="105"/>
                <w:sz w:val="21"/>
              </w:rPr>
              <w:t>(surplus)</w:t>
            </w:r>
            <w:r>
              <w:rPr>
                <w:color w:val="0A0A0A"/>
                <w:spacing w:val="3"/>
                <w:w w:val="105"/>
                <w:sz w:val="21"/>
              </w:rPr>
              <w:t> </w:t>
            </w:r>
            <w:r>
              <w:rPr>
                <w:i/>
                <w:color w:val="0A0A0A"/>
                <w:w w:val="105"/>
                <w:sz w:val="21"/>
              </w:rPr>
              <w:t>I</w:t>
            </w:r>
            <w:r>
              <w:rPr>
                <w:i/>
                <w:color w:val="0A0A0A"/>
                <w:spacing w:val="2"/>
                <w:w w:val="105"/>
                <w:sz w:val="21"/>
              </w:rPr>
              <w:t> </w:t>
            </w:r>
            <w:r>
              <w:rPr>
                <w:color w:val="0A0A0A"/>
                <w:w w:val="105"/>
                <w:sz w:val="21"/>
              </w:rPr>
              <w:t>deficit</w:t>
            </w:r>
            <w:r>
              <w:rPr>
                <w:color w:val="0A0A0A"/>
                <w:spacing w:val="1"/>
                <w:w w:val="105"/>
                <w:sz w:val="21"/>
              </w:rPr>
              <w:t> </w:t>
            </w:r>
            <w:r>
              <w:rPr>
                <w:color w:val="0A0A0A"/>
                <w:w w:val="105"/>
                <w:sz w:val="21"/>
              </w:rPr>
              <w:t>on</w:t>
            </w:r>
            <w:r>
              <w:rPr>
                <w:color w:val="0A0A0A"/>
                <w:spacing w:val="-10"/>
                <w:w w:val="105"/>
                <w:sz w:val="21"/>
              </w:rPr>
              <w:t> </w:t>
            </w:r>
            <w:r>
              <w:rPr>
                <w:color w:val="0A0A0A"/>
                <w:w w:val="105"/>
                <w:sz w:val="21"/>
              </w:rPr>
              <w:t>collection</w:t>
            </w:r>
            <w:r>
              <w:rPr>
                <w:color w:val="0A0A0A"/>
                <w:spacing w:val="-2"/>
                <w:w w:val="105"/>
                <w:sz w:val="21"/>
              </w:rPr>
              <w:t> </w:t>
            </w:r>
            <w:r>
              <w:rPr>
                <w:color w:val="0A0A0A"/>
                <w:w w:val="105"/>
                <w:sz w:val="21"/>
              </w:rPr>
              <w:t>fund</w:t>
            </w:r>
            <w:r>
              <w:rPr>
                <w:color w:val="0A0A0A"/>
                <w:spacing w:val="-5"/>
                <w:w w:val="105"/>
                <w:sz w:val="21"/>
              </w:rPr>
              <w:t> </w:t>
            </w:r>
            <w:r>
              <w:rPr>
                <w:color w:val="0A0A0A"/>
                <w:w w:val="105"/>
                <w:sz w:val="21"/>
              </w:rPr>
              <w:t>for</w:t>
            </w:r>
            <w:r>
              <w:rPr>
                <w:color w:val="0A0A0A"/>
                <w:spacing w:val="-9"/>
                <w:w w:val="105"/>
                <w:sz w:val="21"/>
              </w:rPr>
              <w:t> </w:t>
            </w:r>
            <w:r>
              <w:rPr>
                <w:color w:val="0A0A0A"/>
                <w:w w:val="105"/>
                <w:sz w:val="21"/>
              </w:rPr>
              <w:t>the</w:t>
            </w:r>
            <w:r>
              <w:rPr>
                <w:color w:val="0A0A0A"/>
                <w:spacing w:val="-3"/>
                <w:w w:val="105"/>
                <w:sz w:val="21"/>
              </w:rPr>
              <w:t> </w:t>
            </w:r>
            <w:r>
              <w:rPr>
                <w:color w:val="0A0A0A"/>
                <w:spacing w:val="-4"/>
                <w:w w:val="105"/>
                <w:sz w:val="21"/>
              </w:rPr>
              <w:t>year</w:t>
            </w:r>
          </w:p>
        </w:tc>
        <w:tc>
          <w:tcPr>
            <w:tcW w:w="1307" w:type="dxa"/>
          </w:tcPr>
          <w:p>
            <w:pPr>
              <w:pStyle w:val="TableParagraph"/>
              <w:spacing w:before="41"/>
              <w:ind w:right="87"/>
              <w:jc w:val="right"/>
              <w:rPr>
                <w:sz w:val="21"/>
              </w:rPr>
            </w:pPr>
            <w:r>
              <w:rPr>
                <w:color w:val="0A0A0A"/>
                <w:spacing w:val="-2"/>
                <w:w w:val="105"/>
                <w:sz w:val="21"/>
              </w:rPr>
              <w:t>(2,069)</w:t>
            </w:r>
          </w:p>
        </w:tc>
      </w:tr>
      <w:tr>
        <w:trPr>
          <w:trHeight w:val="336" w:hRule="atLeast"/>
        </w:trPr>
        <w:tc>
          <w:tcPr>
            <w:tcW w:w="1322" w:type="dxa"/>
          </w:tcPr>
          <w:p>
            <w:pPr>
              <w:pStyle w:val="TableParagraph"/>
              <w:spacing w:before="44"/>
              <w:ind w:right="56"/>
              <w:jc w:val="right"/>
              <w:rPr>
                <w:sz w:val="21"/>
              </w:rPr>
            </w:pPr>
            <w:r>
              <w:rPr>
                <w:color w:val="0A0A0A"/>
                <w:spacing w:val="-5"/>
                <w:w w:val="105"/>
                <w:sz w:val="21"/>
              </w:rPr>
              <w:t>453</w:t>
            </w:r>
          </w:p>
        </w:tc>
        <w:tc>
          <w:tcPr>
            <w:tcW w:w="6934" w:type="dxa"/>
          </w:tcPr>
          <w:p>
            <w:pPr>
              <w:pStyle w:val="TableParagraph"/>
              <w:spacing w:before="49"/>
              <w:ind w:left="615"/>
              <w:rPr>
                <w:sz w:val="21"/>
              </w:rPr>
            </w:pPr>
            <w:r>
              <w:rPr>
                <w:color w:val="0A0A0A"/>
                <w:w w:val="105"/>
                <w:sz w:val="21"/>
              </w:rPr>
              <w:t>Growth</w:t>
            </w:r>
            <w:r>
              <w:rPr>
                <w:color w:val="0A0A0A"/>
                <w:spacing w:val="-7"/>
                <w:w w:val="105"/>
                <w:sz w:val="21"/>
              </w:rPr>
              <w:t> </w:t>
            </w:r>
            <w:r>
              <w:rPr>
                <w:color w:val="0A0A0A"/>
                <w:spacing w:val="-4"/>
                <w:w w:val="105"/>
                <w:sz w:val="21"/>
              </w:rPr>
              <w:t>levy</w:t>
            </w:r>
          </w:p>
        </w:tc>
        <w:tc>
          <w:tcPr>
            <w:tcW w:w="1307" w:type="dxa"/>
          </w:tcPr>
          <w:p>
            <w:pPr>
              <w:pStyle w:val="TableParagraph"/>
              <w:spacing w:before="44"/>
              <w:ind w:right="140"/>
              <w:jc w:val="right"/>
              <w:rPr>
                <w:sz w:val="21"/>
              </w:rPr>
            </w:pPr>
            <w:r>
              <w:rPr>
                <w:color w:val="0A0A0A"/>
                <w:spacing w:val="-4"/>
                <w:w w:val="105"/>
                <w:sz w:val="21"/>
              </w:rPr>
              <w:t>1,286</w:t>
            </w:r>
          </w:p>
        </w:tc>
      </w:tr>
      <w:tr>
        <w:trPr>
          <w:trHeight w:val="336" w:hRule="atLeast"/>
        </w:trPr>
        <w:tc>
          <w:tcPr>
            <w:tcW w:w="1322" w:type="dxa"/>
          </w:tcPr>
          <w:p>
            <w:pPr>
              <w:pStyle w:val="TableParagraph"/>
              <w:rPr>
                <w:rFonts w:ascii="Times New Roman"/>
                <w:sz w:val="20"/>
              </w:rPr>
            </w:pPr>
          </w:p>
        </w:tc>
        <w:tc>
          <w:tcPr>
            <w:tcW w:w="6934" w:type="dxa"/>
          </w:tcPr>
          <w:p>
            <w:pPr>
              <w:pStyle w:val="TableParagraph"/>
              <w:spacing w:before="49"/>
              <w:ind w:left="611"/>
              <w:rPr>
                <w:sz w:val="21"/>
              </w:rPr>
            </w:pPr>
            <w:r>
              <w:rPr>
                <w:color w:val="0A0A0A"/>
                <w:w w:val="105"/>
                <w:sz w:val="21"/>
              </w:rPr>
              <w:t>Levy</w:t>
            </w:r>
            <w:r>
              <w:rPr>
                <w:color w:val="0A0A0A"/>
                <w:spacing w:val="-4"/>
                <w:w w:val="105"/>
                <w:sz w:val="21"/>
              </w:rPr>
              <w:t> </w:t>
            </w:r>
            <w:r>
              <w:rPr>
                <w:color w:val="0A0A0A"/>
                <w:w w:val="105"/>
                <w:sz w:val="21"/>
              </w:rPr>
              <w:t>Account</w:t>
            </w:r>
            <w:r>
              <w:rPr>
                <w:color w:val="0A0A0A"/>
                <w:spacing w:val="3"/>
                <w:w w:val="105"/>
                <w:sz w:val="21"/>
              </w:rPr>
              <w:t> </w:t>
            </w:r>
            <w:r>
              <w:rPr>
                <w:color w:val="0A0A0A"/>
                <w:w w:val="105"/>
                <w:sz w:val="21"/>
              </w:rPr>
              <w:t>Surplus</w:t>
            </w:r>
            <w:r>
              <w:rPr>
                <w:color w:val="0A0A0A"/>
                <w:spacing w:val="-6"/>
                <w:w w:val="105"/>
                <w:sz w:val="21"/>
              </w:rPr>
              <w:t> </w:t>
            </w:r>
            <w:r>
              <w:rPr>
                <w:color w:val="0A0A0A"/>
                <w:spacing w:val="-2"/>
                <w:w w:val="105"/>
                <w:sz w:val="21"/>
              </w:rPr>
              <w:t>Grant</w:t>
            </w:r>
          </w:p>
        </w:tc>
        <w:tc>
          <w:tcPr>
            <w:tcW w:w="1307" w:type="dxa"/>
          </w:tcPr>
          <w:p>
            <w:pPr>
              <w:pStyle w:val="TableParagraph"/>
              <w:spacing w:before="39"/>
              <w:ind w:right="87"/>
              <w:jc w:val="right"/>
              <w:rPr>
                <w:sz w:val="21"/>
              </w:rPr>
            </w:pPr>
            <w:r>
              <w:rPr>
                <w:color w:val="0A0A0A"/>
                <w:spacing w:val="-4"/>
                <w:w w:val="105"/>
                <w:sz w:val="21"/>
              </w:rPr>
              <w:t>(23)</w:t>
            </w:r>
          </w:p>
        </w:tc>
      </w:tr>
      <w:tr>
        <w:trPr>
          <w:trHeight w:val="333" w:hRule="atLeast"/>
        </w:trPr>
        <w:tc>
          <w:tcPr>
            <w:tcW w:w="1322" w:type="dxa"/>
          </w:tcPr>
          <w:p>
            <w:pPr>
              <w:pStyle w:val="TableParagraph"/>
              <w:spacing w:before="44"/>
              <w:ind w:right="75"/>
              <w:jc w:val="right"/>
              <w:rPr>
                <w:sz w:val="21"/>
              </w:rPr>
            </w:pPr>
            <w:r>
              <w:rPr>
                <w:color w:val="0A0A0A"/>
                <w:spacing w:val="-2"/>
                <w:w w:val="105"/>
                <w:sz w:val="21"/>
              </w:rPr>
              <w:t>(4,974)</w:t>
            </w:r>
          </w:p>
        </w:tc>
        <w:tc>
          <w:tcPr>
            <w:tcW w:w="6934" w:type="dxa"/>
          </w:tcPr>
          <w:p>
            <w:pPr>
              <w:pStyle w:val="TableParagraph"/>
              <w:spacing w:before="44"/>
              <w:ind w:right="803"/>
              <w:jc w:val="right"/>
              <w:rPr>
                <w:sz w:val="21"/>
              </w:rPr>
            </w:pPr>
            <w:r>
              <w:rPr>
                <w:color w:val="0A0A0A"/>
                <w:w w:val="105"/>
                <w:sz w:val="21"/>
              </w:rPr>
              <w:t>Grant in</w:t>
            </w:r>
            <w:r>
              <w:rPr>
                <w:color w:val="0A0A0A"/>
                <w:spacing w:val="-11"/>
                <w:w w:val="105"/>
                <w:sz w:val="21"/>
              </w:rPr>
              <w:t> </w:t>
            </w:r>
            <w:r>
              <w:rPr>
                <w:color w:val="0A0A0A"/>
                <w:w w:val="105"/>
                <w:sz w:val="21"/>
              </w:rPr>
              <w:t>respect</w:t>
            </w:r>
            <w:r>
              <w:rPr>
                <w:color w:val="0A0A0A"/>
                <w:spacing w:val="8"/>
                <w:w w:val="105"/>
                <w:sz w:val="21"/>
              </w:rPr>
              <w:t> </w:t>
            </w:r>
            <w:r>
              <w:rPr>
                <w:color w:val="0A0A0A"/>
                <w:w w:val="105"/>
                <w:sz w:val="21"/>
              </w:rPr>
              <w:t>of</w:t>
            </w:r>
            <w:r>
              <w:rPr>
                <w:color w:val="0A0A0A"/>
                <w:spacing w:val="-8"/>
                <w:w w:val="105"/>
                <w:sz w:val="21"/>
              </w:rPr>
              <w:t> </w:t>
            </w:r>
            <w:r>
              <w:rPr>
                <w:color w:val="0A0A0A"/>
                <w:w w:val="105"/>
                <w:sz w:val="21"/>
              </w:rPr>
              <w:t>small</w:t>
            </w:r>
            <w:r>
              <w:rPr>
                <w:color w:val="0A0A0A"/>
                <w:spacing w:val="-5"/>
                <w:w w:val="105"/>
                <w:sz w:val="21"/>
              </w:rPr>
              <w:t> </w:t>
            </w:r>
            <w:r>
              <w:rPr>
                <w:color w:val="0A0A0A"/>
                <w:w w:val="105"/>
                <w:sz w:val="21"/>
              </w:rPr>
              <w:t>business</w:t>
            </w:r>
            <w:r>
              <w:rPr>
                <w:color w:val="0A0A0A"/>
                <w:spacing w:val="13"/>
                <w:w w:val="105"/>
                <w:sz w:val="21"/>
              </w:rPr>
              <w:t> </w:t>
            </w:r>
            <w:r>
              <w:rPr>
                <w:color w:val="0A0A0A"/>
                <w:w w:val="105"/>
                <w:sz w:val="21"/>
              </w:rPr>
              <w:t>and</w:t>
            </w:r>
            <w:r>
              <w:rPr>
                <w:color w:val="0A0A0A"/>
                <w:spacing w:val="-6"/>
                <w:w w:val="105"/>
                <w:sz w:val="21"/>
              </w:rPr>
              <w:t> </w:t>
            </w:r>
            <w:r>
              <w:rPr>
                <w:color w:val="0A0A0A"/>
                <w:w w:val="105"/>
                <w:sz w:val="21"/>
              </w:rPr>
              <w:t>other</w:t>
            </w:r>
            <w:r>
              <w:rPr>
                <w:color w:val="0A0A0A"/>
                <w:spacing w:val="2"/>
                <w:w w:val="105"/>
                <w:sz w:val="21"/>
              </w:rPr>
              <w:t> </w:t>
            </w:r>
            <w:r>
              <w:rPr>
                <w:color w:val="0A0A0A"/>
                <w:w w:val="105"/>
                <w:sz w:val="21"/>
              </w:rPr>
              <w:t>rates</w:t>
            </w:r>
            <w:r>
              <w:rPr>
                <w:color w:val="0A0A0A"/>
                <w:spacing w:val="-4"/>
                <w:w w:val="105"/>
                <w:sz w:val="21"/>
              </w:rPr>
              <w:t> </w:t>
            </w:r>
            <w:r>
              <w:rPr>
                <w:color w:val="0A0A0A"/>
                <w:spacing w:val="-2"/>
                <w:w w:val="105"/>
                <w:sz w:val="21"/>
              </w:rPr>
              <w:t>reliefs</w:t>
            </w:r>
          </w:p>
        </w:tc>
        <w:tc>
          <w:tcPr>
            <w:tcW w:w="1307" w:type="dxa"/>
          </w:tcPr>
          <w:p>
            <w:pPr>
              <w:pStyle w:val="TableParagraph"/>
              <w:spacing w:before="39"/>
              <w:ind w:right="99"/>
              <w:jc w:val="right"/>
              <w:rPr>
                <w:sz w:val="21"/>
              </w:rPr>
            </w:pPr>
            <w:r>
              <w:rPr>
                <w:color w:val="0A0A0A"/>
                <w:spacing w:val="-2"/>
                <w:sz w:val="21"/>
              </w:rPr>
              <w:t>(4,112)</w:t>
            </w:r>
          </w:p>
        </w:tc>
      </w:tr>
      <w:tr>
        <w:trPr>
          <w:trHeight w:val="343" w:hRule="atLeast"/>
        </w:trPr>
        <w:tc>
          <w:tcPr>
            <w:tcW w:w="1322" w:type="dxa"/>
          </w:tcPr>
          <w:p>
            <w:pPr>
              <w:pStyle w:val="TableParagraph"/>
              <w:rPr>
                <w:rFonts w:ascii="Times New Roman"/>
                <w:sz w:val="20"/>
              </w:rPr>
            </w:pPr>
          </w:p>
        </w:tc>
        <w:tc>
          <w:tcPr>
            <w:tcW w:w="6934" w:type="dxa"/>
          </w:tcPr>
          <w:p>
            <w:pPr>
              <w:pStyle w:val="TableParagraph"/>
              <w:spacing w:before="51"/>
              <w:ind w:left="605"/>
              <w:rPr>
                <w:sz w:val="21"/>
              </w:rPr>
            </w:pPr>
            <w:r>
              <w:rPr>
                <w:color w:val="0A0A0A"/>
                <w:w w:val="105"/>
                <w:sz w:val="21"/>
              </w:rPr>
              <w:t>Pooling</w:t>
            </w:r>
            <w:r>
              <w:rPr>
                <w:color w:val="0A0A0A"/>
                <w:spacing w:val="-6"/>
                <w:w w:val="105"/>
                <w:sz w:val="21"/>
              </w:rPr>
              <w:t> </w:t>
            </w:r>
            <w:r>
              <w:rPr>
                <w:color w:val="0A0A0A"/>
                <w:spacing w:val="-4"/>
                <w:w w:val="105"/>
                <w:sz w:val="21"/>
              </w:rPr>
              <w:t>Gains</w:t>
            </w:r>
          </w:p>
        </w:tc>
        <w:tc>
          <w:tcPr>
            <w:tcW w:w="1307" w:type="dxa"/>
          </w:tcPr>
          <w:p>
            <w:pPr>
              <w:pStyle w:val="TableParagraph"/>
              <w:spacing w:before="41"/>
              <w:ind w:right="97"/>
              <w:jc w:val="right"/>
              <w:rPr>
                <w:sz w:val="21"/>
              </w:rPr>
            </w:pPr>
            <w:r>
              <w:rPr>
                <w:color w:val="0A0A0A"/>
                <w:spacing w:val="-2"/>
                <w:w w:val="105"/>
                <w:sz w:val="21"/>
              </w:rPr>
              <w:t>(1,702)</w:t>
            </w:r>
          </w:p>
        </w:tc>
      </w:tr>
      <w:tr>
        <w:trPr>
          <w:trHeight w:val="310" w:hRule="atLeast"/>
        </w:trPr>
        <w:tc>
          <w:tcPr>
            <w:tcW w:w="1322" w:type="dxa"/>
          </w:tcPr>
          <w:p>
            <w:pPr>
              <w:pStyle w:val="TableParagraph"/>
              <w:rPr>
                <w:rFonts w:ascii="Times New Roman"/>
                <w:sz w:val="20"/>
              </w:rPr>
            </w:pPr>
          </w:p>
        </w:tc>
        <w:tc>
          <w:tcPr>
            <w:tcW w:w="6934" w:type="dxa"/>
          </w:tcPr>
          <w:p>
            <w:pPr>
              <w:pStyle w:val="TableParagraph"/>
              <w:spacing w:before="44"/>
              <w:ind w:left="601"/>
              <w:rPr>
                <w:sz w:val="21"/>
              </w:rPr>
            </w:pPr>
            <w:r>
              <w:rPr>
                <w:color w:val="0A0A0A"/>
                <w:w w:val="105"/>
                <w:sz w:val="21"/>
              </w:rPr>
              <w:t>NNDR</w:t>
            </w:r>
            <w:r>
              <w:rPr>
                <w:color w:val="0A0A0A"/>
                <w:spacing w:val="1"/>
                <w:w w:val="105"/>
                <w:sz w:val="21"/>
              </w:rPr>
              <w:t> </w:t>
            </w:r>
            <w:r>
              <w:rPr>
                <w:color w:val="0A0A0A"/>
                <w:w w:val="105"/>
                <w:sz w:val="21"/>
              </w:rPr>
              <w:t>-</w:t>
            </w:r>
            <w:r>
              <w:rPr>
                <w:color w:val="0A0A0A"/>
                <w:spacing w:val="-5"/>
                <w:w w:val="105"/>
                <w:sz w:val="21"/>
              </w:rPr>
              <w:t> </w:t>
            </w:r>
            <w:r>
              <w:rPr>
                <w:color w:val="0A0A0A"/>
                <w:w w:val="105"/>
                <w:sz w:val="21"/>
              </w:rPr>
              <w:t>Tax</w:t>
            </w:r>
            <w:r>
              <w:rPr>
                <w:color w:val="0A0A0A"/>
                <w:spacing w:val="-8"/>
                <w:w w:val="105"/>
                <w:sz w:val="21"/>
              </w:rPr>
              <w:t> </w:t>
            </w:r>
            <w:r>
              <w:rPr>
                <w:color w:val="0A0A0A"/>
                <w:w w:val="105"/>
                <w:sz w:val="21"/>
              </w:rPr>
              <w:t>Income</w:t>
            </w:r>
            <w:r>
              <w:rPr>
                <w:color w:val="0A0A0A"/>
                <w:spacing w:val="-6"/>
                <w:w w:val="105"/>
                <w:sz w:val="21"/>
              </w:rPr>
              <w:t> </w:t>
            </w:r>
            <w:r>
              <w:rPr>
                <w:color w:val="0A0A0A"/>
                <w:w w:val="105"/>
                <w:sz w:val="21"/>
              </w:rPr>
              <w:t>Guarantee</w:t>
            </w:r>
            <w:r>
              <w:rPr>
                <w:color w:val="0A0A0A"/>
                <w:spacing w:val="-1"/>
                <w:w w:val="105"/>
                <w:sz w:val="21"/>
              </w:rPr>
              <w:t> </w:t>
            </w:r>
            <w:r>
              <w:rPr>
                <w:color w:val="0A0A0A"/>
                <w:spacing w:val="-2"/>
                <w:w w:val="105"/>
                <w:sz w:val="21"/>
              </w:rPr>
              <w:t>Compensation</w:t>
            </w:r>
          </w:p>
        </w:tc>
        <w:tc>
          <w:tcPr>
            <w:tcW w:w="1307" w:type="dxa"/>
            <w:tcBorders>
              <w:bottom w:val="single" w:color="000000" w:sz="6" w:space="0"/>
            </w:tcBorders>
          </w:tcPr>
          <w:p>
            <w:pPr>
              <w:pStyle w:val="TableParagraph"/>
              <w:rPr>
                <w:rFonts w:ascii="Times New Roman"/>
                <w:sz w:val="20"/>
              </w:rPr>
            </w:pPr>
          </w:p>
        </w:tc>
      </w:tr>
      <w:tr>
        <w:trPr>
          <w:trHeight w:val="330" w:hRule="atLeast"/>
        </w:trPr>
        <w:tc>
          <w:tcPr>
            <w:tcW w:w="1322" w:type="dxa"/>
          </w:tcPr>
          <w:p>
            <w:pPr>
              <w:pStyle w:val="TableParagraph"/>
              <w:spacing w:before="41"/>
              <w:ind w:right="81"/>
              <w:jc w:val="right"/>
              <w:rPr>
                <w:b/>
                <w:sz w:val="22"/>
              </w:rPr>
            </w:pPr>
            <w:r>
              <w:rPr/>
              <ve:AlternateContent>
                <ve:Choice Requires="wps">
                  <w:drawing>
                    <wp:anchor distT="0" distB="0" distL="0" distR="0" simplePos="0" relativeHeight="475876864" behindDoc="1" locked="0" layoutInCell="1" allowOverlap="1">
                      <wp:simplePos x="0" y="0"/>
                      <wp:positionH relativeFrom="column">
                        <wp:posOffset>37589</wp:posOffset>
                      </wp:positionH>
                      <wp:positionV relativeFrom="paragraph">
                        <wp:posOffset>-9234</wp:posOffset>
                      </wp:positionV>
                      <wp:extent cx="842644" cy="9525"/>
                      <wp:effectExtent l="0" t="0" r="0" b="0"/>
                      <wp:wrapNone/>
                      <wp:docPr id="187" name="Group 187"/>
                      <wp:cNvGraphicFramePr>
                        <a:graphicFrameLocks/>
                      </wp:cNvGraphicFramePr>
                      <a:graphic>
                        <a:graphicData uri="http://schemas.microsoft.com/office/word/2010/wordprocessingGroup">
                          <wpg:wgp>
                            <wpg:cNvPr id="187" name="Group 187"/>
                            <wpg:cNvGrpSpPr/>
                            <wpg:grpSpPr>
                              <a:xfrm>
                                <a:off x="0" y="0"/>
                                <a:ext cx="842644" cy="9525"/>
                                <a:chExt cx="842644" cy="9525"/>
                              </a:xfrm>
                            </wpg:grpSpPr>
                            <wps:wsp>
                              <wps:cNvPr id="188" name="Graphic 188"/>
                              <wps:cNvSpPr/>
                              <wps:spPr>
                                <a:xfrm>
                                  <a:off x="0" y="4577"/>
                                  <a:ext cx="842644" cy="1270"/>
                                </a:xfrm>
                                <a:custGeom>
                                  <a:avLst/>
                                  <a:gdLst/>
                                  <a:ahLst/>
                                  <a:cxnLst/>
                                  <a:rect l="l" t="t" r="r" b="b"/>
                                  <a:pathLst>
                                    <a:path w="842644" h="0">
                                      <a:moveTo>
                                        <a:pt x="0" y="0"/>
                                      </a:moveTo>
                                      <a:lnTo>
                                        <a:pt x="842604"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16" style="position:absolute;margin-left:2.959766pt;margin-top:-.727107pt;width:66.350pt;height:.75pt;mso-position-horizontal-relative:column;mso-position-vertical-relative:paragraph;z-index:-27439616" coordsize="1327,15" coordorigin="59,-15">
                      <v:line style="position:absolute" stroked="true" strokecolor="#000000" strokeweight=".720821pt" from="59,-7" to="1386,-7">
                        <v:stroke dashstyle="solid"/>
                      </v:line>
                      <w10:wrap type="none"/>
                    </v:group>
                  </w:pict>
                </ve:Fallback>
              </ve:AlternateContent>
            </w:r>
            <w:r>
              <w:rPr/>
              <ve:AlternateContent>
                <ve:Choice Requires="wps">
                  <w:drawing>
                    <wp:anchor distT="0" distB="0" distL="0" distR="0" simplePos="0" relativeHeight="475877376" behindDoc="1" locked="0" layoutInCell="1" allowOverlap="1">
                      <wp:simplePos x="0" y="0"/>
                      <wp:positionH relativeFrom="column">
                        <wp:posOffset>37589</wp:posOffset>
                      </wp:positionH>
                      <wp:positionV relativeFrom="paragraph">
                        <wp:posOffset>210472</wp:posOffset>
                      </wp:positionV>
                      <wp:extent cx="830580" cy="9525"/>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830580" cy="9525"/>
                                <a:chExt cx="830580" cy="9525"/>
                              </a:xfrm>
                            </wpg:grpSpPr>
                            <wps:wsp>
                              <wps:cNvPr id="190" name="Graphic 190"/>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17" style="position:absolute;margin-left:2.959766pt;margin-top:16.572609pt;width:65.4pt;height:.75pt;mso-position-horizontal-relative:column;mso-position-vertical-relative:paragraph;z-index:-27439104" coordsize="1308,15" coordorigin="59,331">
                      <v:line style="position:absolute" stroked="true" strokecolor="#000000" strokeweight=".720821pt" from="59,339" to="1367,339">
                        <v:stroke dashstyle="solid"/>
                      </v:line>
                      <w10:wrap type="none"/>
                    </v:group>
                  </w:pict>
                </ve:Fallback>
              </ve:AlternateContent>
            </w:r>
            <w:r>
              <w:rPr>
                <w:b/>
                <w:color w:val="0A0A0A"/>
                <w:spacing w:val="-2"/>
                <w:sz w:val="22"/>
              </w:rPr>
              <w:t>(3,377)</w:t>
            </w:r>
          </w:p>
        </w:tc>
        <w:tc>
          <w:tcPr>
            <w:tcW w:w="6934" w:type="dxa"/>
          </w:tcPr>
          <w:p>
            <w:pPr>
              <w:pStyle w:val="TableParagraph"/>
              <w:rPr>
                <w:rFonts w:ascii="Times New Roman"/>
                <w:sz w:val="20"/>
              </w:rPr>
            </w:pPr>
          </w:p>
        </w:tc>
        <w:tc>
          <w:tcPr>
            <w:tcW w:w="1307" w:type="dxa"/>
            <w:tcBorders>
              <w:top w:val="single" w:color="000000" w:sz="6" w:space="0"/>
              <w:bottom w:val="single" w:color="000000" w:sz="6" w:space="0"/>
            </w:tcBorders>
          </w:tcPr>
          <w:p>
            <w:pPr>
              <w:pStyle w:val="TableParagraph"/>
              <w:spacing w:before="45"/>
              <w:ind w:right="94"/>
              <w:jc w:val="right"/>
              <w:rPr>
                <w:b/>
                <w:sz w:val="22"/>
              </w:rPr>
            </w:pPr>
            <w:r>
              <w:rPr>
                <w:b/>
                <w:color w:val="0A0A0A"/>
                <w:spacing w:val="-2"/>
                <w:sz w:val="22"/>
              </w:rPr>
              <w:t>(6,264)</w:t>
            </w:r>
          </w:p>
        </w:tc>
      </w:tr>
      <w:tr>
        <w:trPr>
          <w:trHeight w:val="293" w:hRule="atLeast"/>
        </w:trPr>
        <w:tc>
          <w:tcPr>
            <w:tcW w:w="1322" w:type="dxa"/>
          </w:tcPr>
          <w:p>
            <w:pPr>
              <w:pStyle w:val="TableParagraph"/>
              <w:rPr>
                <w:rFonts w:ascii="Times New Roman"/>
                <w:sz w:val="20"/>
              </w:rPr>
            </w:pPr>
          </w:p>
        </w:tc>
        <w:tc>
          <w:tcPr>
            <w:tcW w:w="6934" w:type="dxa"/>
          </w:tcPr>
          <w:p>
            <w:pPr>
              <w:pStyle w:val="TableParagraph"/>
              <w:spacing w:before="7"/>
              <w:ind w:left="592"/>
              <w:rPr>
                <w:b/>
                <w:sz w:val="22"/>
              </w:rPr>
            </w:pPr>
            <w:r>
              <w:rPr>
                <w:b/>
                <w:color w:val="0A0A0A"/>
                <w:sz w:val="22"/>
              </w:rPr>
              <w:t>Covid-19</w:t>
            </w:r>
            <w:r>
              <w:rPr>
                <w:b/>
                <w:color w:val="0A0A0A"/>
                <w:spacing w:val="-6"/>
                <w:sz w:val="22"/>
              </w:rPr>
              <w:t> </w:t>
            </w:r>
            <w:r>
              <w:rPr>
                <w:b/>
                <w:color w:val="0A0A0A"/>
                <w:sz w:val="22"/>
              </w:rPr>
              <w:t>Government Grants</w:t>
            </w:r>
            <w:r>
              <w:rPr>
                <w:b/>
                <w:color w:val="0A0A0A"/>
                <w:spacing w:val="5"/>
                <w:sz w:val="22"/>
              </w:rPr>
              <w:t> </w:t>
            </w:r>
            <w:r>
              <w:rPr>
                <w:b/>
                <w:color w:val="0A0A0A"/>
                <w:sz w:val="22"/>
              </w:rPr>
              <w:t>and</w:t>
            </w:r>
            <w:r>
              <w:rPr>
                <w:b/>
                <w:color w:val="0A0A0A"/>
                <w:spacing w:val="-5"/>
                <w:sz w:val="22"/>
              </w:rPr>
              <w:t> </w:t>
            </w:r>
            <w:r>
              <w:rPr>
                <w:b/>
                <w:color w:val="0A0A0A"/>
                <w:spacing w:val="-2"/>
                <w:sz w:val="22"/>
              </w:rPr>
              <w:t>Contributions</w:t>
            </w:r>
          </w:p>
        </w:tc>
        <w:tc>
          <w:tcPr>
            <w:tcW w:w="1307" w:type="dxa"/>
            <w:tcBorders>
              <w:top w:val="single" w:color="000000" w:sz="6" w:space="0"/>
            </w:tcBorders>
          </w:tcPr>
          <w:p>
            <w:pPr>
              <w:pStyle w:val="TableParagraph"/>
              <w:rPr>
                <w:rFonts w:ascii="Times New Roman"/>
                <w:sz w:val="20"/>
              </w:rPr>
            </w:pPr>
          </w:p>
        </w:tc>
      </w:tr>
      <w:tr>
        <w:trPr>
          <w:trHeight w:val="313" w:hRule="atLeast"/>
        </w:trPr>
        <w:tc>
          <w:tcPr>
            <w:tcW w:w="1322" w:type="dxa"/>
          </w:tcPr>
          <w:p>
            <w:pPr>
              <w:pStyle w:val="TableParagraph"/>
              <w:spacing w:before="21"/>
              <w:ind w:right="89"/>
              <w:jc w:val="right"/>
              <w:rPr>
                <w:sz w:val="21"/>
              </w:rPr>
            </w:pPr>
            <w:r>
              <w:rPr>
                <w:color w:val="0A0A0A"/>
                <w:spacing w:val="-2"/>
                <w:w w:val="105"/>
                <w:sz w:val="21"/>
              </w:rPr>
              <w:t>(503)</w:t>
            </w:r>
          </w:p>
        </w:tc>
        <w:tc>
          <w:tcPr>
            <w:tcW w:w="6934" w:type="dxa"/>
          </w:tcPr>
          <w:p>
            <w:pPr>
              <w:pStyle w:val="TableParagraph"/>
              <w:spacing w:before="21"/>
              <w:ind w:left="587"/>
              <w:rPr>
                <w:sz w:val="21"/>
              </w:rPr>
            </w:pPr>
            <w:r>
              <w:rPr>
                <w:color w:val="0A0A0A"/>
                <w:w w:val="105"/>
                <w:sz w:val="21"/>
              </w:rPr>
              <w:t>Covid-19</w:t>
            </w:r>
            <w:r>
              <w:rPr>
                <w:color w:val="0A0A0A"/>
                <w:spacing w:val="2"/>
                <w:w w:val="105"/>
                <w:sz w:val="21"/>
              </w:rPr>
              <w:t> </w:t>
            </w:r>
            <w:r>
              <w:rPr>
                <w:color w:val="0A0A0A"/>
                <w:w w:val="105"/>
                <w:sz w:val="21"/>
              </w:rPr>
              <w:t>Local</w:t>
            </w:r>
            <w:r>
              <w:rPr>
                <w:color w:val="0A0A0A"/>
                <w:spacing w:val="-13"/>
                <w:w w:val="105"/>
                <w:sz w:val="21"/>
              </w:rPr>
              <w:t> </w:t>
            </w:r>
            <w:r>
              <w:rPr>
                <w:color w:val="0A0A0A"/>
                <w:w w:val="105"/>
                <w:sz w:val="21"/>
              </w:rPr>
              <w:t>Authority</w:t>
            </w:r>
            <w:r>
              <w:rPr>
                <w:color w:val="0A0A0A"/>
                <w:spacing w:val="8"/>
                <w:w w:val="105"/>
                <w:sz w:val="21"/>
              </w:rPr>
              <w:t> </w:t>
            </w:r>
            <w:r>
              <w:rPr>
                <w:color w:val="0A0A0A"/>
                <w:spacing w:val="-2"/>
                <w:w w:val="105"/>
                <w:sz w:val="21"/>
              </w:rPr>
              <w:t>Support</w:t>
            </w:r>
          </w:p>
        </w:tc>
        <w:tc>
          <w:tcPr>
            <w:tcW w:w="1307" w:type="dxa"/>
          </w:tcPr>
          <w:p>
            <w:pPr>
              <w:pStyle w:val="TableParagraph"/>
              <w:rPr>
                <w:rFonts w:ascii="Times New Roman"/>
                <w:sz w:val="20"/>
              </w:rPr>
            </w:pPr>
          </w:p>
        </w:tc>
      </w:tr>
      <w:tr>
        <w:trPr>
          <w:trHeight w:val="336" w:hRule="atLeast"/>
        </w:trPr>
        <w:tc>
          <w:tcPr>
            <w:tcW w:w="1322" w:type="dxa"/>
          </w:tcPr>
          <w:p>
            <w:pPr>
              <w:pStyle w:val="TableParagraph"/>
              <w:spacing w:before="44"/>
              <w:ind w:right="94"/>
              <w:jc w:val="right"/>
              <w:rPr>
                <w:sz w:val="21"/>
              </w:rPr>
            </w:pPr>
            <w:r>
              <w:rPr>
                <w:color w:val="0A0A0A"/>
                <w:spacing w:val="-2"/>
                <w:w w:val="105"/>
                <w:sz w:val="21"/>
              </w:rPr>
              <w:t>(284)</w:t>
            </w:r>
          </w:p>
        </w:tc>
        <w:tc>
          <w:tcPr>
            <w:tcW w:w="6934" w:type="dxa"/>
          </w:tcPr>
          <w:p>
            <w:pPr>
              <w:pStyle w:val="TableParagraph"/>
              <w:spacing w:before="44"/>
              <w:ind w:left="588"/>
              <w:rPr>
                <w:sz w:val="21"/>
              </w:rPr>
            </w:pPr>
            <w:r>
              <w:rPr>
                <w:color w:val="0A0A0A"/>
                <w:w w:val="105"/>
                <w:sz w:val="21"/>
              </w:rPr>
              <w:t>SFC</w:t>
            </w:r>
            <w:r>
              <w:rPr>
                <w:color w:val="0A0A0A"/>
                <w:spacing w:val="-10"/>
                <w:w w:val="105"/>
                <w:sz w:val="21"/>
              </w:rPr>
              <w:t> </w:t>
            </w:r>
            <w:r>
              <w:rPr>
                <w:color w:val="0A0A0A"/>
                <w:w w:val="105"/>
                <w:sz w:val="21"/>
              </w:rPr>
              <w:t>Irrecoverable</w:t>
            </w:r>
            <w:r>
              <w:rPr>
                <w:color w:val="0A0A0A"/>
                <w:spacing w:val="1"/>
                <w:w w:val="105"/>
                <w:sz w:val="21"/>
              </w:rPr>
              <w:t> </w:t>
            </w:r>
            <w:r>
              <w:rPr>
                <w:color w:val="0A0A0A"/>
                <w:w w:val="105"/>
                <w:sz w:val="21"/>
              </w:rPr>
              <w:t>Income</w:t>
            </w:r>
            <w:r>
              <w:rPr>
                <w:color w:val="0A0A0A"/>
                <w:spacing w:val="-11"/>
                <w:w w:val="105"/>
                <w:sz w:val="21"/>
              </w:rPr>
              <w:t> </w:t>
            </w:r>
            <w:r>
              <w:rPr>
                <w:color w:val="0A0A0A"/>
                <w:spacing w:val="-2"/>
                <w:w w:val="105"/>
                <w:sz w:val="21"/>
              </w:rPr>
              <w:t>Compensation</w:t>
            </w:r>
          </w:p>
        </w:tc>
        <w:tc>
          <w:tcPr>
            <w:tcW w:w="1307" w:type="dxa"/>
          </w:tcPr>
          <w:p>
            <w:pPr>
              <w:pStyle w:val="TableParagraph"/>
              <w:rPr>
                <w:rFonts w:ascii="Times New Roman"/>
                <w:sz w:val="20"/>
              </w:rPr>
            </w:pPr>
          </w:p>
        </w:tc>
      </w:tr>
      <w:tr>
        <w:trPr>
          <w:trHeight w:val="315" w:hRule="atLeast"/>
        </w:trPr>
        <w:tc>
          <w:tcPr>
            <w:tcW w:w="1322" w:type="dxa"/>
          </w:tcPr>
          <w:p>
            <w:pPr>
              <w:pStyle w:val="TableParagraph"/>
              <w:spacing w:before="44"/>
              <w:ind w:right="99"/>
              <w:jc w:val="right"/>
              <w:rPr>
                <w:sz w:val="21"/>
              </w:rPr>
            </w:pPr>
            <w:r>
              <w:rPr/>
              <ve:AlternateContent>
                <ve:Choice Requires="wps">
                  <w:drawing>
                    <wp:anchor distT="0" distB="0" distL="0" distR="0" simplePos="0" relativeHeight="475877888" behindDoc="1" locked="0" layoutInCell="1" allowOverlap="1">
                      <wp:simplePos x="0" y="0"/>
                      <wp:positionH relativeFrom="column">
                        <wp:posOffset>25377</wp:posOffset>
                      </wp:positionH>
                      <wp:positionV relativeFrom="paragraph">
                        <wp:posOffset>203369</wp:posOffset>
                      </wp:positionV>
                      <wp:extent cx="830580" cy="9525"/>
                      <wp:effectExtent l="0" t="0" r="0" b="0"/>
                      <wp:wrapNone/>
                      <wp:docPr id="191" name="Group 191"/>
                      <wp:cNvGraphicFramePr>
                        <a:graphicFrameLocks/>
                      </wp:cNvGraphicFramePr>
                      <a:graphic>
                        <a:graphicData uri="http://schemas.microsoft.com/office/word/2010/wordprocessingGroup">
                          <wpg:wgp>
                            <wpg:cNvPr id="191" name="Group 191"/>
                            <wpg:cNvGrpSpPr/>
                            <wpg:grpSpPr>
                              <a:xfrm>
                                <a:off x="0" y="0"/>
                                <a:ext cx="830580" cy="9525"/>
                                <a:chExt cx="830580" cy="9525"/>
                              </a:xfrm>
                            </wpg:grpSpPr>
                            <wps:wsp>
                              <wps:cNvPr id="192" name="Graphic 192"/>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18" style="position:absolute;margin-left:1.998218pt;margin-top:16.013367pt;width:65.4pt;height:.75pt;mso-position-horizontal-relative:column;mso-position-vertical-relative:paragraph;z-index:-27438592" coordsize="1308,15" coordorigin="40,320">
                      <v:line style="position:absolute" stroked="true" strokecolor="#000000" strokeweight=".720821pt" from="40,327" to="1348,327">
                        <v:stroke dashstyle="solid"/>
                      </v:line>
                      <w10:wrap type="none"/>
                    </v:group>
                  </w:pict>
                </ve:Fallback>
              </ve:AlternateContent>
            </w:r>
            <w:r>
              <w:rPr>
                <w:color w:val="0A0A0A"/>
                <w:spacing w:val="-2"/>
                <w:w w:val="105"/>
                <w:sz w:val="21"/>
              </w:rPr>
              <w:t>(329)</w:t>
            </w:r>
          </w:p>
        </w:tc>
        <w:tc>
          <w:tcPr>
            <w:tcW w:w="6934" w:type="dxa"/>
          </w:tcPr>
          <w:p>
            <w:pPr>
              <w:pStyle w:val="TableParagraph"/>
              <w:spacing w:before="49"/>
              <w:ind w:left="581"/>
              <w:rPr>
                <w:sz w:val="21"/>
              </w:rPr>
            </w:pPr>
            <w:r>
              <w:rPr>
                <w:color w:val="0A0A0A"/>
                <w:w w:val="105"/>
                <w:sz w:val="21"/>
              </w:rPr>
              <w:t>New</w:t>
            </w:r>
            <w:r>
              <w:rPr>
                <w:color w:val="0A0A0A"/>
                <w:spacing w:val="-6"/>
                <w:w w:val="105"/>
                <w:sz w:val="21"/>
              </w:rPr>
              <w:t> </w:t>
            </w:r>
            <w:r>
              <w:rPr>
                <w:color w:val="0A0A0A"/>
                <w:spacing w:val="-2"/>
                <w:w w:val="105"/>
                <w:sz w:val="21"/>
              </w:rPr>
              <w:t>Burdens</w:t>
            </w:r>
          </w:p>
        </w:tc>
        <w:tc>
          <w:tcPr>
            <w:tcW w:w="1307" w:type="dxa"/>
            <w:tcBorders>
              <w:bottom w:val="single" w:color="000000" w:sz="6" w:space="0"/>
            </w:tcBorders>
          </w:tcPr>
          <w:p>
            <w:pPr>
              <w:pStyle w:val="TableParagraph"/>
              <w:rPr>
                <w:rFonts w:ascii="Times New Roman"/>
                <w:sz w:val="20"/>
              </w:rPr>
            </w:pPr>
          </w:p>
        </w:tc>
      </w:tr>
      <w:tr>
        <w:trPr>
          <w:trHeight w:val="330" w:hRule="atLeast"/>
        </w:trPr>
        <w:tc>
          <w:tcPr>
            <w:tcW w:w="1322" w:type="dxa"/>
            <w:tcBorders>
              <w:bottom w:val="single" w:color="000000" w:sz="6" w:space="0"/>
            </w:tcBorders>
          </w:tcPr>
          <w:p>
            <w:pPr>
              <w:pStyle w:val="TableParagraph"/>
              <w:spacing w:before="45"/>
              <w:ind w:right="93"/>
              <w:jc w:val="right"/>
              <w:rPr>
                <w:b/>
                <w:sz w:val="22"/>
              </w:rPr>
            </w:pPr>
            <w:r>
              <w:rPr>
                <w:b/>
                <w:color w:val="0A0A0A"/>
                <w:spacing w:val="-2"/>
                <w:sz w:val="22"/>
              </w:rPr>
              <w:t>(1,116)</w:t>
            </w:r>
          </w:p>
        </w:tc>
        <w:tc>
          <w:tcPr>
            <w:tcW w:w="6934" w:type="dxa"/>
          </w:tcPr>
          <w:p>
            <w:pPr>
              <w:pStyle w:val="TableParagraph"/>
              <w:rPr>
                <w:rFonts w:ascii="Times New Roman"/>
                <w:sz w:val="20"/>
              </w:rPr>
            </w:pPr>
          </w:p>
        </w:tc>
        <w:tc>
          <w:tcPr>
            <w:tcW w:w="1307" w:type="dxa"/>
            <w:tcBorders>
              <w:top w:val="single" w:color="000000" w:sz="6" w:space="0"/>
              <w:bottom w:val="single" w:color="000000" w:sz="6" w:space="0"/>
            </w:tcBorders>
          </w:tcPr>
          <w:p>
            <w:pPr>
              <w:pStyle w:val="TableParagraph"/>
              <w:rPr>
                <w:rFonts w:ascii="Times New Roman"/>
                <w:sz w:val="20"/>
              </w:rPr>
            </w:pPr>
          </w:p>
        </w:tc>
      </w:tr>
      <w:tr>
        <w:trPr>
          <w:trHeight w:val="355" w:hRule="atLeast"/>
        </w:trPr>
        <w:tc>
          <w:tcPr>
            <w:tcW w:w="1322" w:type="dxa"/>
            <w:tcBorders>
              <w:top w:val="single" w:color="000000" w:sz="6" w:space="0"/>
            </w:tcBorders>
          </w:tcPr>
          <w:p>
            <w:pPr>
              <w:pStyle w:val="TableParagraph"/>
              <w:rPr>
                <w:rFonts w:ascii="Times New Roman"/>
                <w:sz w:val="20"/>
              </w:rPr>
            </w:pPr>
          </w:p>
        </w:tc>
        <w:tc>
          <w:tcPr>
            <w:tcW w:w="6934" w:type="dxa"/>
          </w:tcPr>
          <w:p>
            <w:pPr>
              <w:pStyle w:val="TableParagraph"/>
              <w:spacing w:before="50"/>
              <w:ind w:left="572"/>
              <w:rPr>
                <w:b/>
                <w:sz w:val="22"/>
              </w:rPr>
            </w:pPr>
            <w:r>
              <w:rPr>
                <w:b/>
                <w:color w:val="0A0A0A"/>
                <w:sz w:val="22"/>
              </w:rPr>
              <w:t>General Government</w:t>
            </w:r>
            <w:r>
              <w:rPr>
                <w:b/>
                <w:color w:val="0A0A0A"/>
                <w:spacing w:val="8"/>
                <w:sz w:val="22"/>
              </w:rPr>
              <w:t> </w:t>
            </w:r>
            <w:r>
              <w:rPr>
                <w:b/>
                <w:color w:val="0A0A0A"/>
                <w:spacing w:val="-2"/>
                <w:sz w:val="22"/>
              </w:rPr>
              <w:t>Grants:</w:t>
            </w:r>
          </w:p>
        </w:tc>
        <w:tc>
          <w:tcPr>
            <w:tcW w:w="1307" w:type="dxa"/>
            <w:tcBorders>
              <w:top w:val="single" w:color="000000" w:sz="6" w:space="0"/>
            </w:tcBorders>
          </w:tcPr>
          <w:p>
            <w:pPr>
              <w:pStyle w:val="TableParagraph"/>
              <w:rPr>
                <w:rFonts w:ascii="Times New Roman"/>
                <w:sz w:val="20"/>
              </w:rPr>
            </w:pPr>
          </w:p>
        </w:tc>
      </w:tr>
      <w:tr>
        <w:trPr>
          <w:trHeight w:val="337" w:hRule="atLeast"/>
        </w:trPr>
        <w:tc>
          <w:tcPr>
            <w:tcW w:w="1322" w:type="dxa"/>
          </w:tcPr>
          <w:p>
            <w:pPr>
              <w:pStyle w:val="TableParagraph"/>
              <w:spacing w:before="45"/>
              <w:ind w:right="112"/>
              <w:jc w:val="right"/>
              <w:rPr>
                <w:sz w:val="21"/>
              </w:rPr>
            </w:pPr>
            <w:r>
              <w:rPr>
                <w:color w:val="0A0A0A"/>
                <w:spacing w:val="-2"/>
                <w:w w:val="105"/>
                <w:sz w:val="21"/>
              </w:rPr>
              <w:t>{1,075)</w:t>
            </w:r>
          </w:p>
        </w:tc>
        <w:tc>
          <w:tcPr>
            <w:tcW w:w="6934" w:type="dxa"/>
          </w:tcPr>
          <w:p>
            <w:pPr>
              <w:pStyle w:val="TableParagraph"/>
              <w:spacing w:before="50"/>
              <w:ind w:left="572"/>
              <w:rPr>
                <w:sz w:val="21"/>
              </w:rPr>
            </w:pPr>
            <w:r>
              <w:rPr>
                <w:color w:val="0A0A0A"/>
                <w:w w:val="105"/>
                <w:sz w:val="21"/>
              </w:rPr>
              <w:t>New</w:t>
            </w:r>
            <w:r>
              <w:rPr>
                <w:color w:val="0A0A0A"/>
                <w:spacing w:val="-6"/>
                <w:w w:val="105"/>
                <w:sz w:val="21"/>
              </w:rPr>
              <w:t> </w:t>
            </w:r>
            <w:r>
              <w:rPr>
                <w:color w:val="0A0A0A"/>
                <w:w w:val="105"/>
                <w:sz w:val="21"/>
              </w:rPr>
              <w:t>Homes</w:t>
            </w:r>
            <w:r>
              <w:rPr>
                <w:color w:val="0A0A0A"/>
                <w:spacing w:val="9"/>
                <w:w w:val="105"/>
                <w:sz w:val="21"/>
              </w:rPr>
              <w:t> </w:t>
            </w:r>
            <w:r>
              <w:rPr>
                <w:color w:val="0A0A0A"/>
                <w:spacing w:val="-2"/>
                <w:w w:val="105"/>
                <w:sz w:val="21"/>
              </w:rPr>
              <w:t>Bonus</w:t>
            </w:r>
          </w:p>
        </w:tc>
        <w:tc>
          <w:tcPr>
            <w:tcW w:w="1307" w:type="dxa"/>
          </w:tcPr>
          <w:p>
            <w:pPr>
              <w:pStyle w:val="TableParagraph"/>
              <w:spacing w:before="40"/>
              <w:ind w:right="114"/>
              <w:jc w:val="right"/>
              <w:rPr>
                <w:sz w:val="21"/>
              </w:rPr>
            </w:pPr>
            <w:r>
              <w:rPr>
                <w:color w:val="0A0A0A"/>
                <w:spacing w:val="-2"/>
                <w:w w:val="105"/>
                <w:sz w:val="21"/>
              </w:rPr>
              <w:t>(876)</w:t>
            </w:r>
          </w:p>
        </w:tc>
      </w:tr>
      <w:tr>
        <w:trPr>
          <w:trHeight w:val="333" w:hRule="atLeast"/>
        </w:trPr>
        <w:tc>
          <w:tcPr>
            <w:tcW w:w="1322" w:type="dxa"/>
          </w:tcPr>
          <w:p>
            <w:pPr>
              <w:pStyle w:val="TableParagraph"/>
              <w:spacing w:before="44"/>
              <w:ind w:right="109"/>
              <w:jc w:val="right"/>
              <w:rPr>
                <w:sz w:val="21"/>
              </w:rPr>
            </w:pPr>
            <w:r>
              <w:rPr>
                <w:color w:val="0A0A0A"/>
                <w:spacing w:val="-2"/>
                <w:w w:val="105"/>
                <w:sz w:val="21"/>
              </w:rPr>
              <w:t>(116)</w:t>
            </w:r>
          </w:p>
        </w:tc>
        <w:tc>
          <w:tcPr>
            <w:tcW w:w="6934" w:type="dxa"/>
          </w:tcPr>
          <w:p>
            <w:pPr>
              <w:pStyle w:val="TableParagraph"/>
              <w:spacing w:before="44"/>
              <w:ind w:left="572"/>
              <w:rPr>
                <w:sz w:val="21"/>
              </w:rPr>
            </w:pPr>
            <w:r>
              <w:rPr>
                <w:color w:val="0A0A0A"/>
                <w:w w:val="105"/>
                <w:sz w:val="21"/>
              </w:rPr>
              <w:t>Lower Tier</w:t>
            </w:r>
            <w:r>
              <w:rPr>
                <w:color w:val="0A0A0A"/>
                <w:spacing w:val="-4"/>
                <w:w w:val="105"/>
                <w:sz w:val="21"/>
              </w:rPr>
              <w:t> </w:t>
            </w:r>
            <w:r>
              <w:rPr>
                <w:color w:val="0A0A0A"/>
                <w:w w:val="105"/>
                <w:sz w:val="21"/>
              </w:rPr>
              <w:t>Services</w:t>
            </w:r>
            <w:r>
              <w:rPr>
                <w:color w:val="0A0A0A"/>
                <w:spacing w:val="4"/>
                <w:w w:val="105"/>
                <w:sz w:val="21"/>
              </w:rPr>
              <w:t> </w:t>
            </w:r>
            <w:r>
              <w:rPr>
                <w:color w:val="0A0A0A"/>
                <w:spacing w:val="-2"/>
                <w:w w:val="105"/>
                <w:sz w:val="21"/>
              </w:rPr>
              <w:t>Grant</w:t>
            </w:r>
          </w:p>
        </w:tc>
        <w:tc>
          <w:tcPr>
            <w:tcW w:w="1307" w:type="dxa"/>
          </w:tcPr>
          <w:p>
            <w:pPr>
              <w:pStyle w:val="TableParagraph"/>
              <w:spacing w:before="39"/>
              <w:ind w:right="114"/>
              <w:jc w:val="right"/>
              <w:rPr>
                <w:sz w:val="21"/>
              </w:rPr>
            </w:pPr>
            <w:r>
              <w:rPr>
                <w:color w:val="0A0A0A"/>
                <w:spacing w:val="-2"/>
                <w:w w:val="105"/>
                <w:sz w:val="21"/>
              </w:rPr>
              <w:t>(124)</w:t>
            </w:r>
          </w:p>
        </w:tc>
      </w:tr>
      <w:tr>
        <w:trPr>
          <w:trHeight w:val="341" w:hRule="atLeast"/>
        </w:trPr>
        <w:tc>
          <w:tcPr>
            <w:tcW w:w="1322" w:type="dxa"/>
          </w:tcPr>
          <w:p>
            <w:pPr>
              <w:pStyle w:val="TableParagraph"/>
              <w:rPr>
                <w:rFonts w:ascii="Times New Roman"/>
                <w:sz w:val="20"/>
              </w:rPr>
            </w:pPr>
          </w:p>
        </w:tc>
        <w:tc>
          <w:tcPr>
            <w:tcW w:w="6934" w:type="dxa"/>
          </w:tcPr>
          <w:p>
            <w:pPr>
              <w:pStyle w:val="TableParagraph"/>
              <w:spacing w:before="51"/>
              <w:ind w:left="564"/>
              <w:rPr>
                <w:sz w:val="21"/>
              </w:rPr>
            </w:pPr>
            <w:r>
              <w:rPr>
                <w:color w:val="0A0A0A"/>
                <w:w w:val="105"/>
                <w:sz w:val="21"/>
              </w:rPr>
              <w:t>Services</w:t>
            </w:r>
            <w:r>
              <w:rPr>
                <w:color w:val="0A0A0A"/>
                <w:spacing w:val="3"/>
                <w:w w:val="105"/>
                <w:sz w:val="21"/>
              </w:rPr>
              <w:t> </w:t>
            </w:r>
            <w:r>
              <w:rPr>
                <w:color w:val="0A0A0A"/>
                <w:spacing w:val="-2"/>
                <w:w w:val="105"/>
                <w:sz w:val="21"/>
              </w:rPr>
              <w:t>Grant</w:t>
            </w:r>
          </w:p>
        </w:tc>
        <w:tc>
          <w:tcPr>
            <w:tcW w:w="1307" w:type="dxa"/>
          </w:tcPr>
          <w:p>
            <w:pPr>
              <w:pStyle w:val="TableParagraph"/>
              <w:spacing w:before="41"/>
              <w:ind w:right="114"/>
              <w:jc w:val="right"/>
              <w:rPr>
                <w:sz w:val="21"/>
              </w:rPr>
            </w:pPr>
            <w:r>
              <w:rPr>
                <w:color w:val="0A0A0A"/>
                <w:spacing w:val="-2"/>
                <w:w w:val="105"/>
                <w:sz w:val="21"/>
              </w:rPr>
              <w:t>(188)</w:t>
            </w:r>
          </w:p>
        </w:tc>
      </w:tr>
      <w:tr>
        <w:trPr>
          <w:trHeight w:val="312" w:hRule="atLeast"/>
        </w:trPr>
        <w:tc>
          <w:tcPr>
            <w:tcW w:w="1322" w:type="dxa"/>
            <w:tcBorders>
              <w:bottom w:val="single" w:color="000000" w:sz="6" w:space="0"/>
            </w:tcBorders>
          </w:tcPr>
          <w:p>
            <w:pPr>
              <w:pStyle w:val="TableParagraph"/>
              <w:spacing w:before="41"/>
              <w:ind w:right="118"/>
              <w:jc w:val="right"/>
              <w:rPr>
                <w:sz w:val="21"/>
              </w:rPr>
            </w:pPr>
            <w:r>
              <w:rPr>
                <w:color w:val="0A0A0A"/>
                <w:spacing w:val="-2"/>
                <w:w w:val="105"/>
                <w:sz w:val="21"/>
              </w:rPr>
              <w:t>(165)</w:t>
            </w:r>
          </w:p>
        </w:tc>
        <w:tc>
          <w:tcPr>
            <w:tcW w:w="6934" w:type="dxa"/>
          </w:tcPr>
          <w:p>
            <w:pPr>
              <w:pStyle w:val="TableParagraph"/>
              <w:spacing w:before="46"/>
              <w:ind w:left="563"/>
              <w:rPr>
                <w:sz w:val="21"/>
              </w:rPr>
            </w:pPr>
            <w:r>
              <w:rPr>
                <w:color w:val="0A0A0A"/>
                <w:w w:val="105"/>
                <w:sz w:val="21"/>
              </w:rPr>
              <w:t>Local</w:t>
            </w:r>
            <w:r>
              <w:rPr>
                <w:color w:val="0A0A0A"/>
                <w:spacing w:val="-9"/>
                <w:w w:val="105"/>
                <w:sz w:val="21"/>
              </w:rPr>
              <w:t> </w:t>
            </w:r>
            <w:r>
              <w:rPr>
                <w:color w:val="0A0A0A"/>
                <w:w w:val="105"/>
                <w:sz w:val="21"/>
              </w:rPr>
              <w:t>Council Tax</w:t>
            </w:r>
            <w:r>
              <w:rPr>
                <w:color w:val="0A0A0A"/>
                <w:spacing w:val="-5"/>
                <w:w w:val="105"/>
                <w:sz w:val="21"/>
              </w:rPr>
              <w:t> </w:t>
            </w:r>
            <w:r>
              <w:rPr>
                <w:color w:val="0A0A0A"/>
                <w:w w:val="105"/>
                <w:sz w:val="21"/>
              </w:rPr>
              <w:t>Support</w:t>
            </w:r>
            <w:r>
              <w:rPr>
                <w:color w:val="0A0A0A"/>
                <w:spacing w:val="7"/>
                <w:w w:val="105"/>
                <w:sz w:val="21"/>
              </w:rPr>
              <w:t> </w:t>
            </w:r>
            <w:r>
              <w:rPr>
                <w:color w:val="0A0A0A"/>
                <w:w w:val="105"/>
                <w:sz w:val="21"/>
              </w:rPr>
              <w:t>Schemes </w:t>
            </w:r>
            <w:r>
              <w:rPr>
                <w:color w:val="0A0A0A"/>
                <w:spacing w:val="-2"/>
                <w:w w:val="105"/>
                <w:sz w:val="21"/>
              </w:rPr>
              <w:t>Grant</w:t>
            </w:r>
          </w:p>
        </w:tc>
        <w:tc>
          <w:tcPr>
            <w:tcW w:w="1307" w:type="dxa"/>
            <w:tcBorders>
              <w:bottom w:val="single" w:color="000000" w:sz="6" w:space="0"/>
            </w:tcBorders>
          </w:tcPr>
          <w:p>
            <w:pPr>
              <w:pStyle w:val="TableParagraph"/>
              <w:rPr>
                <w:rFonts w:ascii="Times New Roman"/>
                <w:sz w:val="20"/>
              </w:rPr>
            </w:pPr>
          </w:p>
        </w:tc>
      </w:tr>
      <w:tr>
        <w:trPr>
          <w:trHeight w:val="330" w:hRule="atLeast"/>
        </w:trPr>
        <w:tc>
          <w:tcPr>
            <w:tcW w:w="1322" w:type="dxa"/>
            <w:tcBorders>
              <w:top w:val="single" w:color="000000" w:sz="6" w:space="0"/>
              <w:bottom w:val="single" w:color="000000" w:sz="6" w:space="0"/>
            </w:tcBorders>
          </w:tcPr>
          <w:p>
            <w:pPr>
              <w:pStyle w:val="TableParagraph"/>
              <w:spacing w:before="45"/>
              <w:ind w:right="112"/>
              <w:jc w:val="right"/>
              <w:rPr>
                <w:b/>
                <w:sz w:val="22"/>
              </w:rPr>
            </w:pPr>
            <w:r>
              <w:rPr>
                <w:b/>
                <w:color w:val="0A0A0A"/>
                <w:spacing w:val="-2"/>
                <w:w w:val="105"/>
                <w:sz w:val="22"/>
              </w:rPr>
              <w:t>(1,356)</w:t>
            </w:r>
          </w:p>
        </w:tc>
        <w:tc>
          <w:tcPr>
            <w:tcW w:w="6934" w:type="dxa"/>
          </w:tcPr>
          <w:p>
            <w:pPr>
              <w:pStyle w:val="TableParagraph"/>
              <w:rPr>
                <w:rFonts w:ascii="Times New Roman"/>
                <w:sz w:val="20"/>
              </w:rPr>
            </w:pPr>
          </w:p>
        </w:tc>
        <w:tc>
          <w:tcPr>
            <w:tcW w:w="1307" w:type="dxa"/>
            <w:tcBorders>
              <w:top w:val="single" w:color="000000" w:sz="6" w:space="0"/>
              <w:bottom w:val="single" w:color="000000" w:sz="6" w:space="0"/>
            </w:tcBorders>
          </w:tcPr>
          <w:p>
            <w:pPr>
              <w:pStyle w:val="TableParagraph"/>
              <w:spacing w:before="45"/>
              <w:ind w:right="113"/>
              <w:jc w:val="right"/>
              <w:rPr>
                <w:b/>
                <w:sz w:val="22"/>
              </w:rPr>
            </w:pPr>
            <w:r>
              <w:rPr>
                <w:b/>
                <w:color w:val="0A0A0A"/>
                <w:spacing w:val="-2"/>
                <w:sz w:val="22"/>
              </w:rPr>
              <w:t>(1,188)</w:t>
            </w:r>
          </w:p>
        </w:tc>
      </w:tr>
      <w:tr>
        <w:trPr>
          <w:trHeight w:val="355" w:hRule="atLeast"/>
        </w:trPr>
        <w:tc>
          <w:tcPr>
            <w:tcW w:w="1322" w:type="dxa"/>
            <w:tcBorders>
              <w:top w:val="single" w:color="000000" w:sz="6" w:space="0"/>
            </w:tcBorders>
          </w:tcPr>
          <w:p>
            <w:pPr>
              <w:pStyle w:val="TableParagraph"/>
              <w:rPr>
                <w:rFonts w:ascii="Times New Roman"/>
                <w:sz w:val="20"/>
              </w:rPr>
            </w:pPr>
          </w:p>
        </w:tc>
        <w:tc>
          <w:tcPr>
            <w:tcW w:w="6934" w:type="dxa"/>
          </w:tcPr>
          <w:p>
            <w:pPr>
              <w:pStyle w:val="TableParagraph"/>
              <w:spacing w:before="45"/>
              <w:ind w:left="553"/>
              <w:rPr>
                <w:b/>
                <w:sz w:val="22"/>
              </w:rPr>
            </w:pPr>
            <w:r>
              <w:rPr>
                <w:b/>
                <w:color w:val="0A0A0A"/>
                <w:sz w:val="22"/>
              </w:rPr>
              <w:t>Capital</w:t>
            </w:r>
            <w:r>
              <w:rPr>
                <w:b/>
                <w:color w:val="0A0A0A"/>
                <w:spacing w:val="4"/>
                <w:sz w:val="22"/>
              </w:rPr>
              <w:t> </w:t>
            </w:r>
            <w:r>
              <w:rPr>
                <w:b/>
                <w:color w:val="0A0A0A"/>
                <w:sz w:val="22"/>
              </w:rPr>
              <w:t>grants</w:t>
            </w:r>
            <w:r>
              <w:rPr>
                <w:b/>
                <w:color w:val="0A0A0A"/>
                <w:spacing w:val="4"/>
                <w:sz w:val="22"/>
              </w:rPr>
              <w:t> </w:t>
            </w:r>
            <w:r>
              <w:rPr>
                <w:b/>
                <w:color w:val="0A0A0A"/>
                <w:sz w:val="22"/>
              </w:rPr>
              <w:t>and</w:t>
            </w:r>
            <w:r>
              <w:rPr>
                <w:b/>
                <w:color w:val="0A0A0A"/>
                <w:spacing w:val="2"/>
                <w:sz w:val="22"/>
              </w:rPr>
              <w:t> </w:t>
            </w:r>
            <w:r>
              <w:rPr>
                <w:b/>
                <w:color w:val="0A0A0A"/>
                <w:spacing w:val="-2"/>
                <w:sz w:val="22"/>
              </w:rPr>
              <w:t>contributions:</w:t>
            </w:r>
          </w:p>
        </w:tc>
        <w:tc>
          <w:tcPr>
            <w:tcW w:w="1307" w:type="dxa"/>
            <w:tcBorders>
              <w:top w:val="single" w:color="000000" w:sz="6" w:space="0"/>
            </w:tcBorders>
          </w:tcPr>
          <w:p>
            <w:pPr>
              <w:pStyle w:val="TableParagraph"/>
              <w:rPr>
                <w:rFonts w:ascii="Times New Roman"/>
                <w:sz w:val="20"/>
              </w:rPr>
            </w:pPr>
          </w:p>
        </w:tc>
      </w:tr>
      <w:tr>
        <w:trPr>
          <w:trHeight w:val="332" w:hRule="atLeast"/>
        </w:trPr>
        <w:tc>
          <w:tcPr>
            <w:tcW w:w="1322" w:type="dxa"/>
          </w:tcPr>
          <w:p>
            <w:pPr>
              <w:pStyle w:val="TableParagraph"/>
              <w:rPr>
                <w:rFonts w:ascii="Times New Roman"/>
                <w:sz w:val="20"/>
              </w:rPr>
            </w:pPr>
          </w:p>
        </w:tc>
        <w:tc>
          <w:tcPr>
            <w:tcW w:w="6934" w:type="dxa"/>
          </w:tcPr>
          <w:p>
            <w:pPr>
              <w:pStyle w:val="TableParagraph"/>
              <w:spacing w:before="45"/>
              <w:ind w:left="554"/>
              <w:rPr>
                <w:i/>
                <w:sz w:val="21"/>
              </w:rPr>
            </w:pPr>
            <w:r>
              <w:rPr>
                <w:i/>
                <w:color w:val="0A0A0A"/>
                <w:w w:val="105"/>
                <w:sz w:val="21"/>
              </w:rPr>
              <w:t>Recognised</w:t>
            </w:r>
            <w:r>
              <w:rPr>
                <w:i/>
                <w:color w:val="0A0A0A"/>
                <w:spacing w:val="6"/>
                <w:w w:val="105"/>
                <w:sz w:val="21"/>
              </w:rPr>
              <w:t> </w:t>
            </w:r>
            <w:r>
              <w:rPr>
                <w:i/>
                <w:color w:val="0A0A0A"/>
                <w:w w:val="105"/>
                <w:sz w:val="21"/>
              </w:rPr>
              <w:t>capital</w:t>
            </w:r>
            <w:r>
              <w:rPr>
                <w:i/>
                <w:color w:val="0A0A0A"/>
                <w:spacing w:val="-6"/>
                <w:w w:val="105"/>
                <w:sz w:val="21"/>
              </w:rPr>
              <w:t> </w:t>
            </w:r>
            <w:r>
              <w:rPr>
                <w:i/>
                <w:color w:val="0A0A0A"/>
                <w:w w:val="105"/>
                <w:sz w:val="21"/>
              </w:rPr>
              <w:t>grants and</w:t>
            </w:r>
            <w:r>
              <w:rPr>
                <w:i/>
                <w:color w:val="0A0A0A"/>
                <w:spacing w:val="-6"/>
                <w:w w:val="105"/>
                <w:sz w:val="21"/>
              </w:rPr>
              <w:t> </w:t>
            </w:r>
            <w:r>
              <w:rPr>
                <w:i/>
                <w:color w:val="0A0A0A"/>
                <w:spacing w:val="-2"/>
                <w:w w:val="105"/>
                <w:sz w:val="21"/>
              </w:rPr>
              <w:t>contributions</w:t>
            </w:r>
            <w:r>
              <w:rPr>
                <w:i/>
                <w:color w:val="494949"/>
                <w:spacing w:val="-2"/>
                <w:w w:val="105"/>
                <w:sz w:val="21"/>
              </w:rPr>
              <w:t>:</w:t>
            </w:r>
          </w:p>
        </w:tc>
        <w:tc>
          <w:tcPr>
            <w:tcW w:w="1307" w:type="dxa"/>
          </w:tcPr>
          <w:p>
            <w:pPr>
              <w:pStyle w:val="TableParagraph"/>
              <w:rPr>
                <w:rFonts w:ascii="Times New Roman"/>
                <w:sz w:val="20"/>
              </w:rPr>
            </w:pPr>
          </w:p>
        </w:tc>
      </w:tr>
      <w:tr>
        <w:trPr>
          <w:trHeight w:val="336" w:hRule="atLeast"/>
        </w:trPr>
        <w:tc>
          <w:tcPr>
            <w:tcW w:w="1322" w:type="dxa"/>
          </w:tcPr>
          <w:p>
            <w:pPr>
              <w:pStyle w:val="TableParagraph"/>
              <w:spacing w:before="49"/>
              <w:ind w:right="128"/>
              <w:jc w:val="right"/>
              <w:rPr>
                <w:sz w:val="21"/>
              </w:rPr>
            </w:pPr>
            <w:r>
              <w:rPr>
                <w:color w:val="0A0A0A"/>
                <w:spacing w:val="-2"/>
                <w:w w:val="105"/>
                <w:sz w:val="21"/>
              </w:rPr>
              <w:t>(951)</w:t>
            </w:r>
          </w:p>
        </w:tc>
        <w:tc>
          <w:tcPr>
            <w:tcW w:w="6934" w:type="dxa"/>
          </w:tcPr>
          <w:p>
            <w:pPr>
              <w:pStyle w:val="TableParagraph"/>
              <w:spacing w:before="49"/>
              <w:ind w:left="547"/>
              <w:rPr>
                <w:sz w:val="21"/>
              </w:rPr>
            </w:pPr>
            <w:r>
              <w:rPr>
                <w:color w:val="0A0A0A"/>
                <w:w w:val="105"/>
                <w:sz w:val="21"/>
              </w:rPr>
              <w:t>Disabled facilities</w:t>
            </w:r>
            <w:r>
              <w:rPr>
                <w:color w:val="0A0A0A"/>
                <w:spacing w:val="3"/>
                <w:w w:val="105"/>
                <w:sz w:val="21"/>
              </w:rPr>
              <w:t> </w:t>
            </w:r>
            <w:r>
              <w:rPr>
                <w:color w:val="0A0A0A"/>
                <w:spacing w:val="-2"/>
                <w:w w:val="105"/>
                <w:sz w:val="21"/>
              </w:rPr>
              <w:t>grant</w:t>
            </w:r>
          </w:p>
        </w:tc>
        <w:tc>
          <w:tcPr>
            <w:tcW w:w="1307" w:type="dxa"/>
          </w:tcPr>
          <w:p>
            <w:pPr>
              <w:pStyle w:val="TableParagraph"/>
              <w:spacing w:before="39"/>
              <w:ind w:right="126"/>
              <w:jc w:val="right"/>
              <w:rPr>
                <w:sz w:val="21"/>
              </w:rPr>
            </w:pPr>
            <w:r>
              <w:rPr>
                <w:color w:val="0A0A0A"/>
                <w:spacing w:val="-2"/>
                <w:w w:val="105"/>
                <w:sz w:val="21"/>
              </w:rPr>
              <w:t>(1,107)</w:t>
            </w:r>
          </w:p>
        </w:tc>
      </w:tr>
      <w:tr>
        <w:trPr>
          <w:trHeight w:val="336" w:hRule="atLeast"/>
        </w:trPr>
        <w:tc>
          <w:tcPr>
            <w:tcW w:w="1322" w:type="dxa"/>
          </w:tcPr>
          <w:p>
            <w:pPr>
              <w:pStyle w:val="TableParagraph"/>
              <w:spacing w:before="44"/>
              <w:ind w:right="134"/>
              <w:jc w:val="right"/>
              <w:rPr>
                <w:sz w:val="21"/>
              </w:rPr>
            </w:pPr>
            <w:r>
              <w:rPr>
                <w:color w:val="0A0A0A"/>
                <w:spacing w:val="-2"/>
                <w:w w:val="105"/>
                <w:sz w:val="21"/>
              </w:rPr>
              <w:t>(3,407)</w:t>
            </w:r>
          </w:p>
        </w:tc>
        <w:tc>
          <w:tcPr>
            <w:tcW w:w="6934" w:type="dxa"/>
          </w:tcPr>
          <w:p>
            <w:pPr>
              <w:pStyle w:val="TableParagraph"/>
              <w:spacing w:before="49"/>
              <w:ind w:left="548"/>
              <w:rPr>
                <w:sz w:val="21"/>
              </w:rPr>
            </w:pPr>
            <w:r>
              <w:rPr>
                <w:color w:val="0A0A0A"/>
                <w:w w:val="105"/>
                <w:sz w:val="21"/>
              </w:rPr>
              <w:t>Community</w:t>
            </w:r>
            <w:r>
              <w:rPr>
                <w:color w:val="0A0A0A"/>
                <w:spacing w:val="13"/>
                <w:w w:val="105"/>
                <w:sz w:val="21"/>
              </w:rPr>
              <w:t> </w:t>
            </w:r>
            <w:r>
              <w:rPr>
                <w:color w:val="0A0A0A"/>
                <w:w w:val="105"/>
                <w:sz w:val="21"/>
              </w:rPr>
              <w:t>Infrastructure</w:t>
            </w:r>
            <w:r>
              <w:rPr>
                <w:color w:val="0A0A0A"/>
                <w:spacing w:val="-15"/>
                <w:w w:val="105"/>
                <w:sz w:val="21"/>
              </w:rPr>
              <w:t> </w:t>
            </w:r>
            <w:r>
              <w:rPr>
                <w:color w:val="0A0A0A"/>
                <w:spacing w:val="-4"/>
                <w:w w:val="105"/>
                <w:sz w:val="21"/>
              </w:rPr>
              <w:t>Levy</w:t>
            </w:r>
          </w:p>
        </w:tc>
        <w:tc>
          <w:tcPr>
            <w:tcW w:w="1307" w:type="dxa"/>
          </w:tcPr>
          <w:p>
            <w:pPr>
              <w:pStyle w:val="TableParagraph"/>
              <w:spacing w:before="39"/>
              <w:ind w:right="133"/>
              <w:jc w:val="right"/>
              <w:rPr>
                <w:sz w:val="21"/>
              </w:rPr>
            </w:pPr>
            <w:r>
              <w:rPr>
                <w:color w:val="0A0A0A"/>
                <w:spacing w:val="-2"/>
                <w:sz w:val="21"/>
              </w:rPr>
              <w:t>(2,779)</w:t>
            </w:r>
          </w:p>
        </w:tc>
      </w:tr>
      <w:tr>
        <w:trPr>
          <w:trHeight w:val="336" w:hRule="atLeast"/>
        </w:trPr>
        <w:tc>
          <w:tcPr>
            <w:tcW w:w="1322" w:type="dxa"/>
          </w:tcPr>
          <w:p>
            <w:pPr>
              <w:pStyle w:val="TableParagraph"/>
              <w:spacing w:before="44"/>
              <w:ind w:right="139"/>
              <w:jc w:val="right"/>
              <w:rPr>
                <w:sz w:val="21"/>
              </w:rPr>
            </w:pPr>
            <w:r>
              <w:rPr>
                <w:color w:val="0A0A0A"/>
                <w:spacing w:val="-2"/>
                <w:w w:val="105"/>
                <w:sz w:val="21"/>
              </w:rPr>
              <w:t>{1,175)</w:t>
            </w:r>
          </w:p>
        </w:tc>
        <w:tc>
          <w:tcPr>
            <w:tcW w:w="6934" w:type="dxa"/>
          </w:tcPr>
          <w:p>
            <w:pPr>
              <w:pStyle w:val="TableParagraph"/>
              <w:spacing w:before="49"/>
              <w:ind w:left="549"/>
              <w:rPr>
                <w:sz w:val="21"/>
              </w:rPr>
            </w:pPr>
            <w:r>
              <w:rPr>
                <w:color w:val="0A0A0A"/>
                <w:w w:val="105"/>
                <w:sz w:val="21"/>
              </w:rPr>
              <w:t>Section</w:t>
            </w:r>
            <w:r>
              <w:rPr>
                <w:color w:val="0A0A0A"/>
                <w:spacing w:val="-2"/>
                <w:w w:val="105"/>
                <w:sz w:val="21"/>
              </w:rPr>
              <w:t> </w:t>
            </w:r>
            <w:r>
              <w:rPr>
                <w:color w:val="0A0A0A"/>
                <w:w w:val="105"/>
                <w:sz w:val="21"/>
              </w:rPr>
              <w:t>106</w:t>
            </w:r>
            <w:r>
              <w:rPr>
                <w:color w:val="0A0A0A"/>
                <w:spacing w:val="-7"/>
                <w:w w:val="105"/>
                <w:sz w:val="21"/>
              </w:rPr>
              <w:t> </w:t>
            </w:r>
            <w:r>
              <w:rPr>
                <w:color w:val="0A0A0A"/>
                <w:w w:val="105"/>
                <w:sz w:val="21"/>
              </w:rPr>
              <w:t>monies</w:t>
            </w:r>
            <w:r>
              <w:rPr>
                <w:color w:val="0A0A0A"/>
                <w:spacing w:val="9"/>
                <w:w w:val="105"/>
                <w:sz w:val="21"/>
              </w:rPr>
              <w:t> </w:t>
            </w:r>
            <w:r>
              <w:rPr>
                <w:color w:val="0A0A0A"/>
                <w:spacing w:val="-2"/>
                <w:w w:val="105"/>
                <w:sz w:val="21"/>
              </w:rPr>
              <w:t>utilised</w:t>
            </w:r>
          </w:p>
        </w:tc>
        <w:tc>
          <w:tcPr>
            <w:tcW w:w="1307" w:type="dxa"/>
          </w:tcPr>
          <w:p>
            <w:pPr>
              <w:pStyle w:val="TableParagraph"/>
              <w:spacing w:before="39"/>
              <w:ind w:right="131"/>
              <w:jc w:val="right"/>
              <w:rPr>
                <w:sz w:val="21"/>
              </w:rPr>
            </w:pPr>
            <w:r>
              <w:rPr>
                <w:color w:val="0A0A0A"/>
                <w:spacing w:val="-2"/>
                <w:w w:val="105"/>
                <w:sz w:val="21"/>
              </w:rPr>
              <w:t>(2,594)</w:t>
            </w:r>
          </w:p>
        </w:tc>
      </w:tr>
      <w:tr>
        <w:trPr>
          <w:trHeight w:val="315" w:hRule="atLeast"/>
        </w:trPr>
        <w:tc>
          <w:tcPr>
            <w:tcW w:w="1322" w:type="dxa"/>
            <w:tcBorders>
              <w:bottom w:val="single" w:color="000000" w:sz="6" w:space="0"/>
            </w:tcBorders>
          </w:tcPr>
          <w:p>
            <w:pPr>
              <w:pStyle w:val="TableParagraph"/>
              <w:spacing w:before="44"/>
              <w:ind w:right="141"/>
              <w:jc w:val="right"/>
              <w:rPr>
                <w:sz w:val="21"/>
              </w:rPr>
            </w:pPr>
            <w:r>
              <w:rPr>
                <w:color w:val="0A0A0A"/>
                <w:spacing w:val="-2"/>
                <w:w w:val="105"/>
                <w:sz w:val="21"/>
              </w:rPr>
              <w:t>(5,445)</w:t>
            </w:r>
          </w:p>
        </w:tc>
        <w:tc>
          <w:tcPr>
            <w:tcW w:w="6934" w:type="dxa"/>
          </w:tcPr>
          <w:p>
            <w:pPr>
              <w:pStyle w:val="TableParagraph"/>
              <w:spacing w:before="44"/>
              <w:ind w:left="544"/>
              <w:rPr>
                <w:sz w:val="21"/>
              </w:rPr>
            </w:pPr>
            <w:r>
              <w:rPr>
                <w:color w:val="0A0A0A"/>
                <w:w w:val="105"/>
                <w:sz w:val="21"/>
              </w:rPr>
              <w:t>Other capital</w:t>
            </w:r>
            <w:r>
              <w:rPr>
                <w:color w:val="0A0A0A"/>
                <w:spacing w:val="4"/>
                <w:w w:val="105"/>
                <w:sz w:val="21"/>
              </w:rPr>
              <w:t> </w:t>
            </w:r>
            <w:r>
              <w:rPr>
                <w:color w:val="0A0A0A"/>
                <w:spacing w:val="-2"/>
                <w:w w:val="105"/>
                <w:sz w:val="21"/>
              </w:rPr>
              <w:t>contributions</w:t>
            </w:r>
          </w:p>
        </w:tc>
        <w:tc>
          <w:tcPr>
            <w:tcW w:w="1307" w:type="dxa"/>
            <w:tcBorders>
              <w:bottom w:val="single" w:color="000000" w:sz="6" w:space="0"/>
            </w:tcBorders>
          </w:tcPr>
          <w:p>
            <w:pPr>
              <w:pStyle w:val="TableParagraph"/>
              <w:spacing w:before="39"/>
              <w:ind w:right="133"/>
              <w:jc w:val="right"/>
              <w:rPr>
                <w:sz w:val="21"/>
              </w:rPr>
            </w:pPr>
            <w:r>
              <w:rPr>
                <w:color w:val="0A0A0A"/>
                <w:spacing w:val="-2"/>
                <w:sz w:val="21"/>
              </w:rPr>
              <w:t>(477)</w:t>
            </w:r>
          </w:p>
        </w:tc>
      </w:tr>
      <w:tr>
        <w:trPr>
          <w:trHeight w:val="330" w:hRule="atLeast"/>
        </w:trPr>
        <w:tc>
          <w:tcPr>
            <w:tcW w:w="1322" w:type="dxa"/>
            <w:tcBorders>
              <w:top w:val="single" w:color="000000" w:sz="6" w:space="0"/>
            </w:tcBorders>
          </w:tcPr>
          <w:p>
            <w:pPr>
              <w:pStyle w:val="TableParagraph"/>
              <w:spacing w:before="41"/>
              <w:ind w:right="137"/>
              <w:jc w:val="right"/>
              <w:rPr>
                <w:b/>
                <w:sz w:val="22"/>
              </w:rPr>
            </w:pPr>
            <w:r>
              <w:rPr>
                <w:b/>
                <w:color w:val="0A0A0A"/>
                <w:spacing w:val="-2"/>
                <w:sz w:val="22"/>
                <w:u w:val="thick" w:color="0A0A0A"/>
              </w:rPr>
              <w:t>(10,978)</w:t>
            </w:r>
          </w:p>
        </w:tc>
        <w:tc>
          <w:tcPr>
            <w:tcW w:w="6934" w:type="dxa"/>
          </w:tcPr>
          <w:p>
            <w:pPr>
              <w:pStyle w:val="TableParagraph"/>
              <w:rPr>
                <w:rFonts w:ascii="Times New Roman"/>
                <w:sz w:val="20"/>
              </w:rPr>
            </w:pPr>
          </w:p>
        </w:tc>
        <w:tc>
          <w:tcPr>
            <w:tcW w:w="1307" w:type="dxa"/>
            <w:tcBorders>
              <w:top w:val="single" w:color="000000" w:sz="6" w:space="0"/>
              <w:bottom w:val="single" w:color="000000" w:sz="6" w:space="0"/>
            </w:tcBorders>
          </w:tcPr>
          <w:p>
            <w:pPr>
              <w:pStyle w:val="TableParagraph"/>
              <w:spacing w:before="41"/>
              <w:ind w:right="127"/>
              <w:jc w:val="right"/>
              <w:rPr>
                <w:b/>
                <w:sz w:val="22"/>
              </w:rPr>
            </w:pPr>
            <w:r>
              <w:rPr>
                <w:b/>
                <w:color w:val="0A0A0A"/>
                <w:spacing w:val="-2"/>
                <w:sz w:val="22"/>
              </w:rPr>
              <w:t>(6,957)</w:t>
            </w:r>
          </w:p>
        </w:tc>
      </w:tr>
      <w:tr>
        <w:trPr>
          <w:trHeight w:val="621" w:hRule="atLeast"/>
        </w:trPr>
        <w:tc>
          <w:tcPr>
            <w:tcW w:w="1322" w:type="dxa"/>
          </w:tcPr>
          <w:p>
            <w:pPr>
              <w:pStyle w:val="TableParagraph"/>
              <w:spacing w:before="116"/>
              <w:rPr>
                <w:sz w:val="21"/>
              </w:rPr>
            </w:pPr>
          </w:p>
          <w:p>
            <w:pPr>
              <w:pStyle w:val="TableParagraph"/>
              <w:ind w:right="147"/>
              <w:jc w:val="right"/>
              <w:rPr>
                <w:sz w:val="21"/>
              </w:rPr>
            </w:pPr>
            <w:r>
              <w:rPr>
                <w:color w:val="2A2A2A"/>
                <w:spacing w:val="-4"/>
                <w:w w:val="105"/>
                <w:sz w:val="21"/>
                <w:u w:val="double" w:color="2A2A2A"/>
              </w:rPr>
              <w:t>(92)</w:t>
            </w:r>
          </w:p>
        </w:tc>
        <w:tc>
          <w:tcPr>
            <w:tcW w:w="6934" w:type="dxa"/>
          </w:tcPr>
          <w:p>
            <w:pPr>
              <w:pStyle w:val="TableParagraph"/>
              <w:spacing w:before="111"/>
              <w:rPr>
                <w:sz w:val="21"/>
              </w:rPr>
            </w:pPr>
          </w:p>
          <w:p>
            <w:pPr>
              <w:pStyle w:val="TableParagraph"/>
              <w:ind w:left="533"/>
              <w:rPr>
                <w:sz w:val="21"/>
              </w:rPr>
            </w:pPr>
            <w:r>
              <w:rPr>
                <w:color w:val="0A0A0A"/>
                <w:w w:val="105"/>
                <w:sz w:val="21"/>
              </w:rPr>
              <w:t>Donated </w:t>
            </w:r>
            <w:r>
              <w:rPr>
                <w:color w:val="0A0A0A"/>
                <w:spacing w:val="-2"/>
                <w:w w:val="105"/>
                <w:sz w:val="21"/>
              </w:rPr>
              <w:t>assets</w:t>
            </w:r>
          </w:p>
        </w:tc>
        <w:tc>
          <w:tcPr>
            <w:tcW w:w="1307" w:type="dxa"/>
            <w:tcBorders>
              <w:top w:val="single" w:color="000000" w:sz="6" w:space="0"/>
            </w:tcBorders>
          </w:tcPr>
          <w:p>
            <w:pPr>
              <w:pStyle w:val="TableParagraph"/>
              <w:spacing w:before="106"/>
              <w:rPr>
                <w:sz w:val="21"/>
              </w:rPr>
            </w:pPr>
          </w:p>
          <w:p>
            <w:pPr>
              <w:pStyle w:val="TableParagraph"/>
              <w:ind w:right="201"/>
              <w:jc w:val="right"/>
              <w:rPr>
                <w:sz w:val="21"/>
              </w:rPr>
            </w:pPr>
            <w:r>
              <w:rPr>
                <w:color w:val="2A2A2A"/>
                <w:spacing w:val="-2"/>
                <w:sz w:val="21"/>
                <w:u w:val="double" w:color="2A2A2A"/>
              </w:rPr>
              <w:t>(159)</w:t>
            </w:r>
          </w:p>
        </w:tc>
      </w:tr>
      <w:tr>
        <w:trPr>
          <w:trHeight w:val="273" w:hRule="atLeast"/>
        </w:trPr>
        <w:tc>
          <w:tcPr>
            <w:tcW w:w="1322" w:type="dxa"/>
          </w:tcPr>
          <w:p>
            <w:pPr>
              <w:pStyle w:val="TableParagraph"/>
              <w:spacing w:before="20" w:line="233" w:lineRule="exact"/>
              <w:ind w:right="146"/>
              <w:jc w:val="right"/>
              <w:rPr>
                <w:b/>
                <w:sz w:val="22"/>
              </w:rPr>
            </w:pPr>
            <w:r>
              <w:rPr>
                <w:b/>
                <w:color w:val="0A0A0A"/>
                <w:spacing w:val="-2"/>
                <w:sz w:val="22"/>
                <w:u w:val="thick" w:color="0A0A0A"/>
              </w:rPr>
              <w:t>(26,154)</w:t>
            </w:r>
          </w:p>
        </w:tc>
        <w:tc>
          <w:tcPr>
            <w:tcW w:w="6934" w:type="dxa"/>
          </w:tcPr>
          <w:p>
            <w:pPr>
              <w:pStyle w:val="TableParagraph"/>
              <w:spacing w:before="20" w:line="233" w:lineRule="exact"/>
              <w:ind w:left="530"/>
              <w:rPr>
                <w:b/>
                <w:sz w:val="22"/>
              </w:rPr>
            </w:pPr>
            <w:r>
              <w:rPr>
                <w:b/>
                <w:color w:val="0A0A0A"/>
                <w:sz w:val="22"/>
              </w:rPr>
              <w:t>Total</w:t>
            </w:r>
            <w:r>
              <w:rPr>
                <w:b/>
                <w:color w:val="0A0A0A"/>
                <w:spacing w:val="-3"/>
                <w:sz w:val="22"/>
              </w:rPr>
              <w:t> </w:t>
            </w:r>
            <w:r>
              <w:rPr>
                <w:b/>
                <w:color w:val="0A0A0A"/>
                <w:sz w:val="22"/>
              </w:rPr>
              <w:t>Taxation</w:t>
            </w:r>
            <w:r>
              <w:rPr>
                <w:b/>
                <w:color w:val="0A0A0A"/>
                <w:spacing w:val="9"/>
                <w:sz w:val="22"/>
              </w:rPr>
              <w:t> </w:t>
            </w:r>
            <w:r>
              <w:rPr>
                <w:b/>
                <w:color w:val="0A0A0A"/>
                <w:sz w:val="22"/>
              </w:rPr>
              <w:t>and</w:t>
            </w:r>
            <w:r>
              <w:rPr>
                <w:b/>
                <w:color w:val="0A0A0A"/>
                <w:spacing w:val="-9"/>
                <w:sz w:val="22"/>
              </w:rPr>
              <w:t> </w:t>
            </w:r>
            <w:r>
              <w:rPr>
                <w:b/>
                <w:color w:val="0A0A0A"/>
                <w:sz w:val="22"/>
              </w:rPr>
              <w:t>Non-Specific</w:t>
            </w:r>
            <w:r>
              <w:rPr>
                <w:b/>
                <w:color w:val="0A0A0A"/>
                <w:spacing w:val="12"/>
                <w:sz w:val="22"/>
              </w:rPr>
              <w:t> </w:t>
            </w:r>
            <w:r>
              <w:rPr>
                <w:b/>
                <w:color w:val="0A0A0A"/>
                <w:sz w:val="22"/>
              </w:rPr>
              <w:t>Grant</w:t>
            </w:r>
            <w:r>
              <w:rPr>
                <w:b/>
                <w:color w:val="0A0A0A"/>
                <w:spacing w:val="-6"/>
                <w:sz w:val="22"/>
              </w:rPr>
              <w:t> </w:t>
            </w:r>
            <w:r>
              <w:rPr>
                <w:b/>
                <w:color w:val="0A0A0A"/>
                <w:spacing w:val="-2"/>
                <w:sz w:val="22"/>
              </w:rPr>
              <w:t>Income</w:t>
            </w:r>
          </w:p>
        </w:tc>
        <w:tc>
          <w:tcPr>
            <w:tcW w:w="1307" w:type="dxa"/>
          </w:tcPr>
          <w:p>
            <w:pPr>
              <w:pStyle w:val="TableParagraph"/>
              <w:spacing w:before="15" w:line="238" w:lineRule="exact"/>
              <w:ind w:right="143"/>
              <w:jc w:val="right"/>
              <w:rPr>
                <w:b/>
                <w:sz w:val="22"/>
              </w:rPr>
            </w:pPr>
            <w:r>
              <w:rPr>
                <w:b/>
                <w:color w:val="0A0A0A"/>
                <w:spacing w:val="-2"/>
                <w:sz w:val="22"/>
                <w:u w:val="thick" w:color="0A0A0A"/>
              </w:rPr>
              <w:t>(24,103)</w:t>
            </w:r>
          </w:p>
        </w:tc>
      </w:tr>
    </w:tbl>
    <w:p>
      <w:pPr>
        <w:spacing w:after="0" w:line="238" w:lineRule="exact"/>
        <w:jc w:val="right"/>
        <w:rPr>
          <w:sz w:val="22"/>
        </w:rPr>
        <w:sectPr>
          <w:headerReference w:type="even" r:id="rId117"/>
          <w:headerReference w:type="default" r:id="rId118"/>
          <w:footerReference w:type="even" r:id="rId119"/>
          <w:footerReference w:type="default" r:id="rId120"/>
          <w:pgSz w:w="11910" w:h="16830"/>
          <w:pgMar w:top="1060" w:right="100" w:bottom="1200" w:left="20" w:header="863" w:footer="1001"/>
          <w:pgNumType w:start="54"/>
        </w:sectPr>
      </w:pPr>
    </w:p>
    <w:p>
      <w:pPr>
        <w:pStyle w:val="BodyText"/>
        <w:spacing w:before="237"/>
        <w:ind w:left="1434" w:right="1318"/>
        <w:jc w:val="both"/>
      </w:pPr>
      <w:r>
        <w:rPr>
          <w:color w:val="0C0C0C"/>
        </w:rPr>
        <w:t>Note:</w:t>
      </w:r>
      <w:r>
        <w:rPr>
          <w:color w:val="0C0C0C"/>
          <w:spacing w:val="-16"/>
        </w:rPr>
        <w:t> </w:t>
      </w:r>
      <w:r>
        <w:rPr>
          <w:color w:val="0C0C0C"/>
        </w:rPr>
        <w:t>The</w:t>
      </w:r>
      <w:r>
        <w:rPr>
          <w:color w:val="0C0C0C"/>
          <w:spacing w:val="-15"/>
        </w:rPr>
        <w:t> </w:t>
      </w:r>
      <w:r>
        <w:rPr>
          <w:color w:val="0C0C0C"/>
        </w:rPr>
        <w:t>total</w:t>
      </w:r>
      <w:r>
        <w:rPr>
          <w:color w:val="0C0C0C"/>
          <w:spacing w:val="-15"/>
        </w:rPr>
        <w:t> </w:t>
      </w:r>
      <w:r>
        <w:rPr>
          <w:color w:val="0C0C0C"/>
        </w:rPr>
        <w:t>amount</w:t>
      </w:r>
      <w:r>
        <w:rPr>
          <w:color w:val="0C0C0C"/>
          <w:spacing w:val="-16"/>
        </w:rPr>
        <w:t> </w:t>
      </w:r>
      <w:r>
        <w:rPr>
          <w:color w:val="0C0C0C"/>
        </w:rPr>
        <w:t>of</w:t>
      </w:r>
      <w:r>
        <w:rPr>
          <w:color w:val="0C0C0C"/>
          <w:spacing w:val="-15"/>
        </w:rPr>
        <w:t> </w:t>
      </w:r>
      <w:r>
        <w:rPr>
          <w:color w:val="0C0C0C"/>
        </w:rPr>
        <w:t>business</w:t>
      </w:r>
      <w:r>
        <w:rPr>
          <w:color w:val="0C0C0C"/>
          <w:spacing w:val="-15"/>
        </w:rPr>
        <w:t> </w:t>
      </w:r>
      <w:r>
        <w:rPr>
          <w:color w:val="0C0C0C"/>
        </w:rPr>
        <w:t>rates</w:t>
      </w:r>
      <w:r>
        <w:rPr>
          <w:color w:val="0C0C0C"/>
          <w:spacing w:val="-15"/>
        </w:rPr>
        <w:t> </w:t>
      </w:r>
      <w:r>
        <w:rPr>
          <w:color w:val="0C0C0C"/>
        </w:rPr>
        <w:t>collected</w:t>
      </w:r>
      <w:r>
        <w:rPr>
          <w:color w:val="0C0C0C"/>
          <w:spacing w:val="-16"/>
        </w:rPr>
        <w:t> </w:t>
      </w:r>
      <w:r>
        <w:rPr>
          <w:color w:val="0C0C0C"/>
        </w:rPr>
        <w:t>by</w:t>
      </w:r>
      <w:r>
        <w:rPr>
          <w:color w:val="0C0C0C"/>
          <w:spacing w:val="-15"/>
        </w:rPr>
        <w:t> </w:t>
      </w:r>
      <w:r>
        <w:rPr>
          <w:color w:val="0C0C0C"/>
        </w:rPr>
        <w:t>the</w:t>
      </w:r>
      <w:r>
        <w:rPr>
          <w:color w:val="0C0C0C"/>
          <w:spacing w:val="-15"/>
        </w:rPr>
        <w:t> </w:t>
      </w:r>
      <w:r>
        <w:rPr>
          <w:color w:val="0C0C0C"/>
        </w:rPr>
        <w:t>Council,</w:t>
      </w:r>
      <w:r>
        <w:rPr>
          <w:color w:val="0C0C0C"/>
          <w:spacing w:val="-16"/>
        </w:rPr>
        <w:t> </w:t>
      </w:r>
      <w:r>
        <w:rPr>
          <w:color w:val="0C0C0C"/>
        </w:rPr>
        <w:t>less</w:t>
      </w:r>
      <w:r>
        <w:rPr>
          <w:color w:val="0C0C0C"/>
          <w:spacing w:val="-15"/>
        </w:rPr>
        <w:t> </w:t>
      </w:r>
      <w:r>
        <w:rPr>
          <w:color w:val="0C0C0C"/>
        </w:rPr>
        <w:t>certain</w:t>
      </w:r>
      <w:r>
        <w:rPr>
          <w:color w:val="0C0C0C"/>
          <w:spacing w:val="-12"/>
        </w:rPr>
        <w:t> </w:t>
      </w:r>
      <w:r>
        <w:rPr>
          <w:color w:val="0C0C0C"/>
        </w:rPr>
        <w:t>reliefs</w:t>
      </w:r>
      <w:r>
        <w:rPr>
          <w:color w:val="0C0C0C"/>
          <w:spacing w:val="-12"/>
        </w:rPr>
        <w:t> </w:t>
      </w:r>
      <w:r>
        <w:rPr>
          <w:color w:val="0C0C0C"/>
        </w:rPr>
        <w:t>and</w:t>
      </w:r>
      <w:r>
        <w:rPr>
          <w:color w:val="0C0C0C"/>
          <w:spacing w:val="-16"/>
        </w:rPr>
        <w:t> </w:t>
      </w:r>
      <w:r>
        <w:rPr>
          <w:color w:val="0C0C0C"/>
        </w:rPr>
        <w:t>other deductions, has been allocated amongst the Council, Hertfordshire County Council as a preceptor and</w:t>
      </w:r>
      <w:r>
        <w:rPr>
          <w:color w:val="0C0C0C"/>
          <w:spacing w:val="-2"/>
        </w:rPr>
        <w:t> </w:t>
      </w:r>
      <w:r>
        <w:rPr>
          <w:color w:val="0C0C0C"/>
        </w:rPr>
        <w:t>DLUHC. The Council's share is</w:t>
      </w:r>
      <w:r>
        <w:rPr>
          <w:color w:val="0C0C0C"/>
          <w:spacing w:val="-2"/>
        </w:rPr>
        <w:t> </w:t>
      </w:r>
      <w:r>
        <w:rPr>
          <w:color w:val="0C0C0C"/>
        </w:rPr>
        <w:t>subject to a tariff, being the amount by which the</w:t>
      </w:r>
      <w:r>
        <w:rPr>
          <w:color w:val="0C0C0C"/>
          <w:spacing w:val="-2"/>
        </w:rPr>
        <w:t> </w:t>
      </w:r>
      <w:r>
        <w:rPr>
          <w:color w:val="0C0C0C"/>
        </w:rPr>
        <w:t>share exceeds the</w:t>
      </w:r>
      <w:r>
        <w:rPr>
          <w:color w:val="0C0C0C"/>
          <w:spacing w:val="-2"/>
        </w:rPr>
        <w:t> </w:t>
      </w:r>
      <w:r>
        <w:rPr>
          <w:color w:val="0C0C0C"/>
        </w:rPr>
        <w:t>funding level determined by central government as</w:t>
      </w:r>
      <w:r>
        <w:rPr>
          <w:color w:val="0C0C0C"/>
          <w:spacing w:val="-3"/>
        </w:rPr>
        <w:t> </w:t>
      </w:r>
      <w:r>
        <w:rPr>
          <w:color w:val="0C0C0C"/>
        </w:rPr>
        <w:t>being appropriate to the borough's needs.</w:t>
      </w:r>
    </w:p>
    <w:p>
      <w:pPr>
        <w:pStyle w:val="BodyText"/>
        <w:spacing w:before="249"/>
        <w:ind w:left="1444" w:right="1172" w:hanging="4"/>
      </w:pPr>
      <w:r>
        <w:rPr>
          <w:color w:val="1D1D1D"/>
        </w:rPr>
        <w:t>The </w:t>
      </w:r>
      <w:r>
        <w:rPr>
          <w:color w:val="0C0C0C"/>
        </w:rPr>
        <w:t>Council's</w:t>
      </w:r>
      <w:r>
        <w:rPr>
          <w:color w:val="0C0C0C"/>
          <w:spacing w:val="29"/>
        </w:rPr>
        <w:t> </w:t>
      </w:r>
      <w:r>
        <w:rPr>
          <w:color w:val="1D1D1D"/>
        </w:rPr>
        <w:t>Comprehensive</w:t>
      </w:r>
      <w:r>
        <w:rPr>
          <w:color w:val="1D1D1D"/>
          <w:spacing w:val="30"/>
        </w:rPr>
        <w:t> </w:t>
      </w:r>
      <w:r>
        <w:rPr>
          <w:color w:val="0C0C0C"/>
        </w:rPr>
        <w:t>Income</w:t>
      </w:r>
      <w:r>
        <w:rPr>
          <w:color w:val="0C0C0C"/>
          <w:spacing w:val="27"/>
        </w:rPr>
        <w:t> </w:t>
      </w:r>
      <w:r>
        <w:rPr>
          <w:color w:val="1D1D1D"/>
        </w:rPr>
        <w:t>and Expenditure</w:t>
      </w:r>
      <w:r>
        <w:rPr>
          <w:color w:val="1D1D1D"/>
          <w:spacing w:val="28"/>
        </w:rPr>
        <w:t> </w:t>
      </w:r>
      <w:r>
        <w:rPr>
          <w:color w:val="0C0C0C"/>
        </w:rPr>
        <w:t>Statement</w:t>
      </w:r>
      <w:r>
        <w:rPr>
          <w:color w:val="0C0C0C"/>
          <w:spacing w:val="30"/>
        </w:rPr>
        <w:t> </w:t>
      </w:r>
      <w:r>
        <w:rPr>
          <w:color w:val="0C0C0C"/>
        </w:rPr>
        <w:t>includes</w:t>
      </w:r>
      <w:r>
        <w:rPr>
          <w:color w:val="0C0C0C"/>
          <w:spacing w:val="23"/>
        </w:rPr>
        <w:t> </w:t>
      </w:r>
      <w:r>
        <w:rPr>
          <w:color w:val="0C0C0C"/>
        </w:rPr>
        <w:t>a share of any </w:t>
      </w:r>
      <w:r>
        <w:rPr>
          <w:color w:val="1D1D1D"/>
        </w:rPr>
        <w:t>surplus</w:t>
      </w:r>
      <w:r>
        <w:rPr>
          <w:color w:val="1D1D1D"/>
          <w:spacing w:val="-15"/>
        </w:rPr>
        <w:t> </w:t>
      </w:r>
      <w:r>
        <w:rPr>
          <w:color w:val="0C0C0C"/>
        </w:rPr>
        <w:t>or</w:t>
      </w:r>
      <w:r>
        <w:rPr>
          <w:color w:val="0C0C0C"/>
          <w:spacing w:val="-6"/>
        </w:rPr>
        <w:t> </w:t>
      </w:r>
      <w:r>
        <w:rPr>
          <w:color w:val="1D1D1D"/>
        </w:rPr>
        <w:t>deficit</w:t>
      </w:r>
      <w:r>
        <w:rPr>
          <w:color w:val="1D1D1D"/>
          <w:spacing w:val="-7"/>
        </w:rPr>
        <w:t> </w:t>
      </w:r>
      <w:r>
        <w:rPr>
          <w:color w:val="1D1D1D"/>
        </w:rPr>
        <w:t>arising</w:t>
      </w:r>
      <w:r>
        <w:rPr>
          <w:color w:val="1D1D1D"/>
          <w:spacing w:val="-6"/>
        </w:rPr>
        <w:t> </w:t>
      </w:r>
      <w:r>
        <w:rPr>
          <w:color w:val="1D1D1D"/>
        </w:rPr>
        <w:t>for</w:t>
      </w:r>
      <w:r>
        <w:rPr>
          <w:color w:val="1D1D1D"/>
          <w:spacing w:val="-15"/>
        </w:rPr>
        <w:t> </w:t>
      </w:r>
      <w:r>
        <w:rPr>
          <w:color w:val="1D1D1D"/>
        </w:rPr>
        <w:t>the</w:t>
      </w:r>
      <w:r>
        <w:rPr>
          <w:color w:val="1D1D1D"/>
          <w:spacing w:val="-13"/>
        </w:rPr>
        <w:t> </w:t>
      </w:r>
      <w:r>
        <w:rPr>
          <w:color w:val="1D1D1D"/>
        </w:rPr>
        <w:t>year</w:t>
      </w:r>
      <w:r>
        <w:rPr>
          <w:color w:val="1D1D1D"/>
          <w:spacing w:val="-11"/>
        </w:rPr>
        <w:t> </w:t>
      </w:r>
      <w:r>
        <w:rPr>
          <w:color w:val="1D1D1D"/>
        </w:rPr>
        <w:t>on</w:t>
      </w:r>
      <w:r>
        <w:rPr>
          <w:color w:val="1D1D1D"/>
          <w:spacing w:val="-19"/>
        </w:rPr>
        <w:t> </w:t>
      </w:r>
      <w:r>
        <w:rPr>
          <w:color w:val="0C0C0C"/>
        </w:rPr>
        <w:t>the</w:t>
      </w:r>
      <w:r>
        <w:rPr>
          <w:color w:val="0C0C0C"/>
          <w:spacing w:val="-13"/>
        </w:rPr>
        <w:t> </w:t>
      </w:r>
      <w:r>
        <w:rPr>
          <w:color w:val="1D1D1D"/>
        </w:rPr>
        <w:t>collection</w:t>
      </w:r>
      <w:r>
        <w:rPr>
          <w:color w:val="1D1D1D"/>
          <w:spacing w:val="-9"/>
        </w:rPr>
        <w:t> </w:t>
      </w:r>
      <w:r>
        <w:rPr>
          <w:color w:val="0C0C0C"/>
        </w:rPr>
        <w:t>of</w:t>
      </w:r>
      <w:r>
        <w:rPr>
          <w:color w:val="0C0C0C"/>
          <w:spacing w:val="-13"/>
        </w:rPr>
        <w:t> </w:t>
      </w:r>
      <w:r>
        <w:rPr>
          <w:color w:val="0C0C0C"/>
        </w:rPr>
        <w:t>business</w:t>
      </w:r>
      <w:r>
        <w:rPr>
          <w:color w:val="0C0C0C"/>
          <w:spacing w:val="-15"/>
        </w:rPr>
        <w:t> </w:t>
      </w:r>
      <w:r>
        <w:rPr>
          <w:color w:val="0C0C0C"/>
        </w:rPr>
        <w:t>rates.</w:t>
      </w:r>
      <w:r>
        <w:rPr>
          <w:color w:val="0C0C0C"/>
          <w:spacing w:val="43"/>
        </w:rPr>
        <w:t> </w:t>
      </w:r>
      <w:r>
        <w:rPr>
          <w:color w:val="1D1D1D"/>
        </w:rPr>
        <w:t>The</w:t>
      </w:r>
      <w:r>
        <w:rPr>
          <w:color w:val="1D1D1D"/>
          <w:spacing w:val="-16"/>
        </w:rPr>
        <w:t> </w:t>
      </w:r>
      <w:r>
        <w:rPr>
          <w:color w:val="0C0C0C"/>
        </w:rPr>
        <w:t>Council</w:t>
      </w:r>
      <w:r>
        <w:rPr>
          <w:color w:val="0C0C0C"/>
          <w:spacing w:val="-7"/>
        </w:rPr>
        <w:t> </w:t>
      </w:r>
      <w:r>
        <w:rPr>
          <w:color w:val="0C0C0C"/>
        </w:rPr>
        <w:t>set</w:t>
      </w:r>
      <w:r>
        <w:rPr>
          <w:color w:val="0C0C0C"/>
          <w:spacing w:val="-9"/>
        </w:rPr>
        <w:t> </w:t>
      </w:r>
      <w:r>
        <w:rPr>
          <w:color w:val="0C0C0C"/>
          <w:spacing w:val="-2"/>
        </w:rPr>
        <w:t>aside</w:t>
      </w:r>
    </w:p>
    <w:p>
      <w:pPr>
        <w:pStyle w:val="BodyText"/>
        <w:spacing w:before="4"/>
        <w:ind w:left="1448"/>
      </w:pPr>
      <w:r>
        <w:rPr>
          <w:color w:val="1D1D1D"/>
        </w:rPr>
        <w:t>£9</w:t>
      </w:r>
      <w:r>
        <w:rPr>
          <w:color w:val="4D4D4D"/>
        </w:rPr>
        <w:t>.</w:t>
      </w:r>
      <w:r>
        <w:rPr>
          <w:color w:val="1D1D1D"/>
        </w:rPr>
        <w:t>685</w:t>
      </w:r>
      <w:r>
        <w:rPr>
          <w:color w:val="1D1D1D"/>
          <w:spacing w:val="9"/>
        </w:rPr>
        <w:t> </w:t>
      </w:r>
      <w:r>
        <w:rPr>
          <w:color w:val="0C0C0C"/>
        </w:rPr>
        <w:t>million</w:t>
      </w:r>
      <w:r>
        <w:rPr>
          <w:color w:val="0C0C0C"/>
          <w:spacing w:val="26"/>
        </w:rPr>
        <w:t> </w:t>
      </w:r>
      <w:r>
        <w:rPr>
          <w:color w:val="1D1D1D"/>
        </w:rPr>
        <w:t>of</w:t>
      </w:r>
      <w:r>
        <w:rPr>
          <w:color w:val="1D1D1D"/>
          <w:spacing w:val="18"/>
        </w:rPr>
        <w:t> </w:t>
      </w:r>
      <w:r>
        <w:rPr>
          <w:color w:val="0C0C0C"/>
        </w:rPr>
        <w:t>Section</w:t>
      </w:r>
      <w:r>
        <w:rPr>
          <w:color w:val="0C0C0C"/>
          <w:spacing w:val="33"/>
        </w:rPr>
        <w:t> </w:t>
      </w:r>
      <w:r>
        <w:rPr>
          <w:color w:val="1D1D1D"/>
        </w:rPr>
        <w:t>31</w:t>
      </w:r>
      <w:r>
        <w:rPr>
          <w:color w:val="1D1D1D"/>
          <w:spacing w:val="18"/>
        </w:rPr>
        <w:t> </w:t>
      </w:r>
      <w:r>
        <w:rPr>
          <w:color w:val="1D1D1D"/>
        </w:rPr>
        <w:t>grants</w:t>
      </w:r>
      <w:r>
        <w:rPr>
          <w:color w:val="1D1D1D"/>
          <w:spacing w:val="24"/>
        </w:rPr>
        <w:t> </w:t>
      </w:r>
      <w:r>
        <w:rPr>
          <w:color w:val="1D1D1D"/>
        </w:rPr>
        <w:t>in</w:t>
      </w:r>
      <w:r>
        <w:rPr>
          <w:color w:val="1D1D1D"/>
          <w:spacing w:val="9"/>
        </w:rPr>
        <w:t> </w:t>
      </w:r>
      <w:r>
        <w:rPr>
          <w:color w:val="1D1D1D"/>
        </w:rPr>
        <w:t>a</w:t>
      </w:r>
      <w:r>
        <w:rPr>
          <w:color w:val="1D1D1D"/>
          <w:spacing w:val="17"/>
        </w:rPr>
        <w:t> </w:t>
      </w:r>
      <w:r>
        <w:rPr>
          <w:color w:val="1D1D1D"/>
        </w:rPr>
        <w:t>collection</w:t>
      </w:r>
      <w:r>
        <w:rPr>
          <w:color w:val="1D1D1D"/>
          <w:spacing w:val="28"/>
        </w:rPr>
        <w:t> </w:t>
      </w:r>
      <w:r>
        <w:rPr>
          <w:color w:val="0C0C0C"/>
        </w:rPr>
        <w:t>fund</w:t>
      </w:r>
      <w:r>
        <w:rPr>
          <w:color w:val="0C0C0C"/>
          <w:spacing w:val="17"/>
        </w:rPr>
        <w:t> </w:t>
      </w:r>
      <w:r>
        <w:rPr>
          <w:color w:val="0C0C0C"/>
        </w:rPr>
        <w:t>deficit</w:t>
      </w:r>
      <w:r>
        <w:rPr>
          <w:color w:val="0C0C0C"/>
          <w:spacing w:val="28"/>
        </w:rPr>
        <w:t> </w:t>
      </w:r>
      <w:r>
        <w:rPr>
          <w:color w:val="0C0C0C"/>
        </w:rPr>
        <w:t>reserve</w:t>
      </w:r>
      <w:r>
        <w:rPr>
          <w:color w:val="0C0C0C"/>
          <w:spacing w:val="27"/>
        </w:rPr>
        <w:t> </w:t>
      </w:r>
      <w:r>
        <w:rPr>
          <w:color w:val="0C0C0C"/>
        </w:rPr>
        <w:t>during</w:t>
      </w:r>
      <w:r>
        <w:rPr>
          <w:color w:val="0C0C0C"/>
          <w:spacing w:val="27"/>
        </w:rPr>
        <w:t> </w:t>
      </w:r>
      <w:r>
        <w:rPr>
          <w:color w:val="0C0C0C"/>
        </w:rPr>
        <w:t>2020/21</w:t>
      </w:r>
      <w:r>
        <w:rPr>
          <w:color w:val="0C0C0C"/>
          <w:spacing w:val="25"/>
        </w:rPr>
        <w:t> </w:t>
      </w:r>
      <w:r>
        <w:rPr>
          <w:color w:val="0C0C0C"/>
          <w:spacing w:val="-5"/>
        </w:rPr>
        <w:t>and</w:t>
      </w:r>
    </w:p>
    <w:p>
      <w:pPr>
        <w:pStyle w:val="BodyText"/>
        <w:spacing w:before="1"/>
        <w:ind w:left="1438"/>
      </w:pPr>
      <w:r>
        <w:rPr>
          <w:color w:val="0C0C0C"/>
        </w:rPr>
        <w:t>£5.079</w:t>
      </w:r>
      <w:r>
        <w:rPr>
          <w:color w:val="0C0C0C"/>
          <w:spacing w:val="-7"/>
        </w:rPr>
        <w:t> </w:t>
      </w:r>
      <w:r>
        <w:rPr>
          <w:color w:val="0C0C0C"/>
        </w:rPr>
        <w:t>million</w:t>
      </w:r>
      <w:r>
        <w:rPr>
          <w:color w:val="0C0C0C"/>
          <w:spacing w:val="-3"/>
        </w:rPr>
        <w:t> </w:t>
      </w:r>
      <w:r>
        <w:rPr>
          <w:color w:val="0C0C0C"/>
        </w:rPr>
        <w:t>was</w:t>
      </w:r>
      <w:r>
        <w:rPr>
          <w:color w:val="0C0C0C"/>
          <w:spacing w:val="-4"/>
        </w:rPr>
        <w:t> </w:t>
      </w:r>
      <w:r>
        <w:rPr>
          <w:color w:val="0C0C0C"/>
        </w:rPr>
        <w:t>drawdown</w:t>
      </w:r>
      <w:r>
        <w:rPr>
          <w:color w:val="0C0C0C"/>
          <w:spacing w:val="4"/>
        </w:rPr>
        <w:t> </w:t>
      </w:r>
      <w:r>
        <w:rPr>
          <w:color w:val="0C0C0C"/>
        </w:rPr>
        <w:t>in</w:t>
      </w:r>
      <w:r>
        <w:rPr>
          <w:color w:val="0C0C0C"/>
          <w:spacing w:val="-8"/>
        </w:rPr>
        <w:t> </w:t>
      </w:r>
      <w:r>
        <w:rPr>
          <w:color w:val="0C0C0C"/>
        </w:rPr>
        <w:t>2022/23</w:t>
      </w:r>
      <w:r>
        <w:rPr>
          <w:color w:val="0C0C0C"/>
          <w:spacing w:val="-1"/>
        </w:rPr>
        <w:t> </w:t>
      </w:r>
      <w:r>
        <w:rPr>
          <w:color w:val="0C0C0C"/>
        </w:rPr>
        <w:t>to</w:t>
      </w:r>
      <w:r>
        <w:rPr>
          <w:color w:val="0C0C0C"/>
          <w:spacing w:val="-14"/>
        </w:rPr>
        <w:t> </w:t>
      </w:r>
      <w:r>
        <w:rPr>
          <w:color w:val="0C0C0C"/>
        </w:rPr>
        <w:t>fund</w:t>
      </w:r>
      <w:r>
        <w:rPr>
          <w:color w:val="0C0C0C"/>
          <w:spacing w:val="-14"/>
        </w:rPr>
        <w:t> </w:t>
      </w:r>
      <w:r>
        <w:rPr>
          <w:color w:val="0C0C0C"/>
        </w:rPr>
        <w:t>the</w:t>
      </w:r>
      <w:r>
        <w:rPr>
          <w:color w:val="0C0C0C"/>
          <w:spacing w:val="-3"/>
        </w:rPr>
        <w:t> </w:t>
      </w:r>
      <w:r>
        <w:rPr>
          <w:color w:val="0C0C0C"/>
        </w:rPr>
        <w:t>2020/21</w:t>
      </w:r>
      <w:r>
        <w:rPr>
          <w:color w:val="0C0C0C"/>
          <w:spacing w:val="1"/>
        </w:rPr>
        <w:t> </w:t>
      </w:r>
      <w:r>
        <w:rPr>
          <w:color w:val="0C0C0C"/>
        </w:rPr>
        <w:t>deficit</w:t>
      </w:r>
      <w:r>
        <w:rPr>
          <w:color w:val="0C0C0C"/>
          <w:spacing w:val="3"/>
        </w:rPr>
        <w:t> </w:t>
      </w:r>
      <w:r>
        <w:rPr>
          <w:color w:val="0C0C0C"/>
        </w:rPr>
        <w:t>released</w:t>
      </w:r>
      <w:r>
        <w:rPr>
          <w:color w:val="0C0C0C"/>
          <w:spacing w:val="-3"/>
        </w:rPr>
        <w:t> </w:t>
      </w:r>
      <w:r>
        <w:rPr>
          <w:color w:val="0C0C0C"/>
        </w:rPr>
        <w:t>in</w:t>
      </w:r>
      <w:r>
        <w:rPr>
          <w:color w:val="0C0C0C"/>
          <w:spacing w:val="-14"/>
        </w:rPr>
        <w:t> </w:t>
      </w:r>
      <w:r>
        <w:rPr>
          <w:color w:val="0C0C0C"/>
          <w:spacing w:val="-2"/>
        </w:rPr>
        <w:t>2022/23.</w:t>
      </w:r>
    </w:p>
    <w:p>
      <w:pPr>
        <w:pStyle w:val="BodyText"/>
      </w:pPr>
    </w:p>
    <w:p>
      <w:pPr>
        <w:pStyle w:val="BodyText"/>
      </w:pPr>
    </w:p>
    <w:p>
      <w:pPr>
        <w:pStyle w:val="Heading3"/>
        <w:numPr>
          <w:ilvl w:val="1"/>
          <w:numId w:val="11"/>
        </w:numPr>
        <w:tabs>
          <w:tab w:val="left" w:leader="none" w:pos="2161"/>
        </w:tabs>
        <w:spacing w:before="1" w:after="0" w:line="240" w:lineRule="auto"/>
        <w:ind w:left="2161" w:right="0" w:hanging="720"/>
        <w:jc w:val="left"/>
        <w:rPr>
          <w:color w:val="0C0C0C"/>
        </w:rPr>
      </w:pPr>
      <w:r>
        <w:rPr>
          <w:color w:val="0C0C0C"/>
        </w:rPr>
        <w:t>Members</w:t>
      </w:r>
      <w:r>
        <w:rPr>
          <w:color w:val="0C0C0C"/>
          <w:spacing w:val="-2"/>
        </w:rPr>
        <w:t> </w:t>
      </w:r>
      <w:r>
        <w:rPr>
          <w:color w:val="0C0C0C"/>
        </w:rPr>
        <w:t>Allowances</w:t>
      </w:r>
      <w:r>
        <w:rPr>
          <w:color w:val="0C0C0C"/>
          <w:spacing w:val="-7"/>
        </w:rPr>
        <w:t> </w:t>
      </w:r>
      <w:r>
        <w:rPr>
          <w:color w:val="0C0C0C"/>
        </w:rPr>
        <w:t>and</w:t>
      </w:r>
      <w:r>
        <w:rPr>
          <w:color w:val="0C0C0C"/>
          <w:spacing w:val="-14"/>
        </w:rPr>
        <w:t> </w:t>
      </w:r>
      <w:r>
        <w:rPr>
          <w:color w:val="0C0C0C"/>
          <w:spacing w:val="-2"/>
        </w:rPr>
        <w:t>Expenses</w:t>
      </w:r>
    </w:p>
    <w:p>
      <w:pPr>
        <w:pStyle w:val="BodyText"/>
        <w:spacing w:before="18" w:after="1"/>
        <w:rPr>
          <w:b/>
          <w:sz w:val="20"/>
        </w:rPr>
      </w:pPr>
    </w:p>
    <w:tbl>
      <w:tblPr>
        <w:tblW w:w="0" w:type="auto"/>
        <w:jc w:val="left"/>
        <w:tblInd w:w="154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88"/>
        <w:gridCol w:w="6384"/>
        <w:gridCol w:w="1307"/>
      </w:tblGrid>
      <w:tr>
        <w:trPr>
          <w:trHeight w:val="411" w:hRule="atLeast"/>
        </w:trPr>
        <w:tc>
          <w:tcPr>
            <w:tcW w:w="1288" w:type="dxa"/>
          </w:tcPr>
          <w:p>
            <w:pPr>
              <w:pStyle w:val="TableParagraph"/>
              <w:spacing w:line="246" w:lineRule="exact"/>
              <w:ind w:left="239"/>
              <w:rPr>
                <w:b/>
                <w:sz w:val="22"/>
              </w:rPr>
            </w:pPr>
            <w:r>
              <w:rPr>
                <w:b/>
                <w:color w:val="0C0C0C"/>
                <w:spacing w:val="-4"/>
                <w:sz w:val="22"/>
              </w:rPr>
              <w:t>2021-</w:t>
            </w:r>
            <w:r>
              <w:rPr>
                <w:b/>
                <w:color w:val="0C0C0C"/>
                <w:spacing w:val="-5"/>
                <w:sz w:val="22"/>
              </w:rPr>
              <w:t>22</w:t>
            </w:r>
          </w:p>
        </w:tc>
        <w:tc>
          <w:tcPr>
            <w:tcW w:w="6384" w:type="dxa"/>
          </w:tcPr>
          <w:p>
            <w:pPr>
              <w:pStyle w:val="TableParagraph"/>
              <w:rPr>
                <w:rFonts w:ascii="Times New Roman"/>
                <w:sz w:val="20"/>
              </w:rPr>
            </w:pPr>
          </w:p>
        </w:tc>
        <w:tc>
          <w:tcPr>
            <w:tcW w:w="1307" w:type="dxa"/>
          </w:tcPr>
          <w:p>
            <w:pPr>
              <w:pStyle w:val="TableParagraph"/>
              <w:spacing w:line="246" w:lineRule="exact"/>
              <w:ind w:left="236"/>
              <w:rPr>
                <w:b/>
                <w:sz w:val="22"/>
              </w:rPr>
            </w:pPr>
            <w:r>
              <w:rPr>
                <w:b/>
                <w:color w:val="0C0C0C"/>
                <w:spacing w:val="-4"/>
                <w:sz w:val="22"/>
              </w:rPr>
              <w:t>2022-</w:t>
            </w:r>
            <w:r>
              <w:rPr>
                <w:b/>
                <w:color w:val="0C0C0C"/>
                <w:spacing w:val="-5"/>
                <w:sz w:val="22"/>
              </w:rPr>
              <w:t>23</w:t>
            </w:r>
          </w:p>
        </w:tc>
      </w:tr>
      <w:tr>
        <w:trPr>
          <w:trHeight w:val="593" w:hRule="atLeast"/>
        </w:trPr>
        <w:tc>
          <w:tcPr>
            <w:tcW w:w="1288" w:type="dxa"/>
          </w:tcPr>
          <w:p>
            <w:pPr>
              <w:pStyle w:val="TableParagraph"/>
              <w:spacing w:before="158"/>
              <w:ind w:left="392"/>
              <w:rPr>
                <w:b/>
                <w:sz w:val="22"/>
              </w:rPr>
            </w:pPr>
            <w:r>
              <w:rPr>
                <w:b/>
                <w:color w:val="0C0C0C"/>
                <w:spacing w:val="-4"/>
                <w:sz w:val="22"/>
              </w:rPr>
              <w:t>£000</w:t>
            </w:r>
          </w:p>
        </w:tc>
        <w:tc>
          <w:tcPr>
            <w:tcW w:w="6384" w:type="dxa"/>
          </w:tcPr>
          <w:p>
            <w:pPr>
              <w:pStyle w:val="TableParagraph"/>
              <w:rPr>
                <w:rFonts w:ascii="Times New Roman"/>
                <w:sz w:val="20"/>
              </w:rPr>
            </w:pPr>
          </w:p>
        </w:tc>
        <w:tc>
          <w:tcPr>
            <w:tcW w:w="1307" w:type="dxa"/>
          </w:tcPr>
          <w:p>
            <w:pPr>
              <w:pStyle w:val="TableParagraph"/>
              <w:spacing w:before="158"/>
              <w:ind w:left="389"/>
              <w:rPr>
                <w:b/>
                <w:sz w:val="22"/>
              </w:rPr>
            </w:pPr>
            <w:r>
              <w:rPr>
                <w:b/>
                <w:color w:val="0C0C0C"/>
                <w:spacing w:val="-4"/>
                <w:sz w:val="22"/>
              </w:rPr>
              <w:t>£000</w:t>
            </w:r>
          </w:p>
        </w:tc>
      </w:tr>
      <w:tr>
        <w:trPr>
          <w:trHeight w:val="451" w:hRule="atLeast"/>
        </w:trPr>
        <w:tc>
          <w:tcPr>
            <w:tcW w:w="1288" w:type="dxa"/>
          </w:tcPr>
          <w:p>
            <w:pPr>
              <w:pStyle w:val="TableParagraph"/>
              <w:rPr>
                <w:rFonts w:ascii="Times New Roman"/>
                <w:sz w:val="20"/>
              </w:rPr>
            </w:pPr>
          </w:p>
        </w:tc>
        <w:tc>
          <w:tcPr>
            <w:tcW w:w="6384" w:type="dxa"/>
          </w:tcPr>
          <w:p>
            <w:pPr>
              <w:pStyle w:val="TableParagraph"/>
              <w:spacing w:before="175"/>
              <w:ind w:left="562"/>
              <w:rPr>
                <w:b/>
                <w:sz w:val="22"/>
              </w:rPr>
            </w:pPr>
            <w:r>
              <w:rPr>
                <w:b/>
                <w:color w:val="0C0C0C"/>
                <w:sz w:val="22"/>
              </w:rPr>
              <w:t>Allowance</w:t>
            </w:r>
            <w:r>
              <w:rPr>
                <w:b/>
                <w:color w:val="0C0C0C"/>
                <w:spacing w:val="-7"/>
                <w:sz w:val="22"/>
              </w:rPr>
              <w:t> </w:t>
            </w:r>
            <w:r>
              <w:rPr>
                <w:b/>
                <w:color w:val="0C0C0C"/>
                <w:sz w:val="22"/>
              </w:rPr>
              <w:t>/</w:t>
            </w:r>
            <w:r>
              <w:rPr>
                <w:b/>
                <w:color w:val="0C0C0C"/>
                <w:spacing w:val="-13"/>
                <w:sz w:val="22"/>
              </w:rPr>
              <w:t> </w:t>
            </w:r>
            <w:r>
              <w:rPr>
                <w:b/>
                <w:color w:val="0C0C0C"/>
                <w:spacing w:val="-2"/>
                <w:sz w:val="22"/>
              </w:rPr>
              <w:t>Expense:</w:t>
            </w:r>
          </w:p>
        </w:tc>
        <w:tc>
          <w:tcPr>
            <w:tcW w:w="1307" w:type="dxa"/>
          </w:tcPr>
          <w:p>
            <w:pPr>
              <w:pStyle w:val="TableParagraph"/>
              <w:rPr>
                <w:rFonts w:ascii="Times New Roman"/>
                <w:sz w:val="20"/>
              </w:rPr>
            </w:pPr>
          </w:p>
        </w:tc>
      </w:tr>
      <w:tr>
        <w:trPr>
          <w:trHeight w:val="324" w:hRule="atLeast"/>
        </w:trPr>
        <w:tc>
          <w:tcPr>
            <w:tcW w:w="1288" w:type="dxa"/>
          </w:tcPr>
          <w:p>
            <w:pPr>
              <w:pStyle w:val="TableParagraph"/>
              <w:spacing w:before="16"/>
              <w:ind w:right="118"/>
              <w:jc w:val="right"/>
              <w:rPr>
                <w:sz w:val="22"/>
              </w:rPr>
            </w:pPr>
            <w:r>
              <w:rPr>
                <w:color w:val="0C0C0C"/>
                <w:spacing w:val="-5"/>
                <w:sz w:val="22"/>
              </w:rPr>
              <w:t>235</w:t>
            </w:r>
          </w:p>
        </w:tc>
        <w:tc>
          <w:tcPr>
            <w:tcW w:w="6384" w:type="dxa"/>
          </w:tcPr>
          <w:p>
            <w:pPr>
              <w:pStyle w:val="TableParagraph"/>
              <w:spacing w:before="50"/>
              <w:ind w:left="556"/>
              <w:rPr>
                <w:sz w:val="22"/>
              </w:rPr>
            </w:pPr>
            <w:r>
              <w:rPr>
                <w:color w:val="0C0C0C"/>
                <w:sz w:val="22"/>
              </w:rPr>
              <w:t>Basic</w:t>
            </w:r>
            <w:r>
              <w:rPr>
                <w:color w:val="0C0C0C"/>
                <w:spacing w:val="-2"/>
                <w:sz w:val="22"/>
              </w:rPr>
              <w:t> allowance</w:t>
            </w:r>
          </w:p>
        </w:tc>
        <w:tc>
          <w:tcPr>
            <w:tcW w:w="1307" w:type="dxa"/>
          </w:tcPr>
          <w:p>
            <w:pPr>
              <w:pStyle w:val="TableParagraph"/>
              <w:spacing w:before="16"/>
              <w:ind w:right="128"/>
              <w:jc w:val="right"/>
              <w:rPr>
                <w:sz w:val="22"/>
              </w:rPr>
            </w:pPr>
            <w:r>
              <w:rPr>
                <w:color w:val="0C0C0C"/>
                <w:spacing w:val="-5"/>
                <w:sz w:val="22"/>
              </w:rPr>
              <w:t>245</w:t>
            </w:r>
          </w:p>
        </w:tc>
      </w:tr>
      <w:tr>
        <w:trPr>
          <w:trHeight w:val="326" w:hRule="atLeast"/>
        </w:trPr>
        <w:tc>
          <w:tcPr>
            <w:tcW w:w="1288" w:type="dxa"/>
          </w:tcPr>
          <w:p>
            <w:pPr>
              <w:pStyle w:val="TableParagraph"/>
              <w:spacing w:before="19"/>
              <w:ind w:right="112"/>
              <w:jc w:val="right"/>
              <w:rPr>
                <w:sz w:val="22"/>
              </w:rPr>
            </w:pPr>
            <w:r>
              <w:rPr>
                <w:color w:val="0C0C0C"/>
                <w:spacing w:val="-5"/>
                <w:sz w:val="22"/>
              </w:rPr>
              <w:t>147</w:t>
            </w:r>
          </w:p>
        </w:tc>
        <w:tc>
          <w:tcPr>
            <w:tcW w:w="6384" w:type="dxa"/>
          </w:tcPr>
          <w:p>
            <w:pPr>
              <w:pStyle w:val="TableParagraph"/>
              <w:spacing w:before="52"/>
              <w:ind w:left="557"/>
              <w:rPr>
                <w:sz w:val="22"/>
              </w:rPr>
            </w:pPr>
            <w:r>
              <w:rPr>
                <w:color w:val="0C0C0C"/>
                <w:sz w:val="22"/>
              </w:rPr>
              <w:t>Special</w:t>
            </w:r>
            <w:r>
              <w:rPr>
                <w:color w:val="0C0C0C"/>
                <w:spacing w:val="-4"/>
                <w:sz w:val="22"/>
              </w:rPr>
              <w:t> </w:t>
            </w:r>
            <w:r>
              <w:rPr>
                <w:color w:val="0C0C0C"/>
                <w:sz w:val="22"/>
              </w:rPr>
              <w:t>responsibility</w:t>
            </w:r>
            <w:r>
              <w:rPr>
                <w:color w:val="0C0C0C"/>
                <w:spacing w:val="-4"/>
                <w:sz w:val="22"/>
              </w:rPr>
              <w:t> </w:t>
            </w:r>
            <w:r>
              <w:rPr>
                <w:color w:val="0C0C0C"/>
                <w:spacing w:val="-2"/>
                <w:sz w:val="22"/>
              </w:rPr>
              <w:t>allowance</w:t>
            </w:r>
          </w:p>
        </w:tc>
        <w:tc>
          <w:tcPr>
            <w:tcW w:w="1307" w:type="dxa"/>
          </w:tcPr>
          <w:p>
            <w:pPr>
              <w:pStyle w:val="TableParagraph"/>
              <w:spacing w:before="14"/>
              <w:ind w:right="128"/>
              <w:jc w:val="right"/>
              <w:rPr>
                <w:sz w:val="22"/>
              </w:rPr>
            </w:pPr>
            <w:r>
              <w:rPr>
                <w:color w:val="0C0C0C"/>
                <w:spacing w:val="-5"/>
                <w:sz w:val="22"/>
              </w:rPr>
              <w:t>158</w:t>
            </w:r>
          </w:p>
        </w:tc>
      </w:tr>
      <w:tr>
        <w:trPr>
          <w:trHeight w:val="328" w:hRule="atLeast"/>
        </w:trPr>
        <w:tc>
          <w:tcPr>
            <w:tcW w:w="1288" w:type="dxa"/>
            <w:tcBorders>
              <w:bottom w:val="single" w:color="000000" w:sz="6" w:space="0"/>
            </w:tcBorders>
          </w:tcPr>
          <w:p>
            <w:pPr>
              <w:pStyle w:val="TableParagraph"/>
              <w:rPr>
                <w:rFonts w:ascii="Times New Roman"/>
                <w:sz w:val="20"/>
              </w:rPr>
            </w:pPr>
          </w:p>
        </w:tc>
        <w:tc>
          <w:tcPr>
            <w:tcW w:w="6384" w:type="dxa"/>
          </w:tcPr>
          <w:p>
            <w:pPr>
              <w:pStyle w:val="TableParagraph"/>
              <w:spacing w:before="48"/>
              <w:ind w:left="557"/>
              <w:rPr>
                <w:sz w:val="22"/>
              </w:rPr>
            </w:pPr>
            <w:r>
              <w:rPr>
                <w:color w:val="0C0C0C"/>
                <w:sz w:val="22"/>
              </w:rPr>
              <w:t>Travel</w:t>
            </w:r>
            <w:r>
              <w:rPr>
                <w:color w:val="0C0C0C"/>
                <w:spacing w:val="-5"/>
                <w:sz w:val="22"/>
              </w:rPr>
              <w:t> </w:t>
            </w:r>
            <w:r>
              <w:rPr>
                <w:color w:val="0C0C0C"/>
                <w:sz w:val="22"/>
              </w:rPr>
              <w:t>and</w:t>
            </w:r>
            <w:r>
              <w:rPr>
                <w:color w:val="0C0C0C"/>
                <w:spacing w:val="-6"/>
                <w:sz w:val="22"/>
              </w:rPr>
              <w:t> </w:t>
            </w:r>
            <w:r>
              <w:rPr>
                <w:color w:val="0C0C0C"/>
                <w:sz w:val="22"/>
              </w:rPr>
              <w:t>other</w:t>
            </w:r>
            <w:r>
              <w:rPr>
                <w:color w:val="0C0C0C"/>
                <w:spacing w:val="1"/>
                <w:sz w:val="22"/>
              </w:rPr>
              <w:t> </w:t>
            </w:r>
            <w:r>
              <w:rPr>
                <w:color w:val="0C0C0C"/>
                <w:spacing w:val="-2"/>
                <w:sz w:val="22"/>
              </w:rPr>
              <w:t>allowance</w:t>
            </w:r>
          </w:p>
        </w:tc>
        <w:tc>
          <w:tcPr>
            <w:tcW w:w="1307" w:type="dxa"/>
            <w:tcBorders>
              <w:bottom w:val="single" w:color="000000" w:sz="6" w:space="0"/>
            </w:tcBorders>
          </w:tcPr>
          <w:p>
            <w:pPr>
              <w:pStyle w:val="TableParagraph"/>
              <w:spacing w:before="14"/>
              <w:ind w:right="117"/>
              <w:jc w:val="right"/>
              <w:rPr>
                <w:sz w:val="22"/>
              </w:rPr>
            </w:pPr>
            <w:r>
              <w:rPr>
                <w:color w:val="0C0C0C"/>
                <w:spacing w:val="-10"/>
                <w:w w:val="105"/>
                <w:sz w:val="22"/>
              </w:rPr>
              <w:t>1</w:t>
            </w:r>
          </w:p>
        </w:tc>
      </w:tr>
      <w:tr>
        <w:trPr>
          <w:trHeight w:val="338" w:hRule="atLeast"/>
        </w:trPr>
        <w:tc>
          <w:tcPr>
            <w:tcW w:w="1288" w:type="dxa"/>
            <w:tcBorders>
              <w:top w:val="single" w:color="000000" w:sz="6" w:space="0"/>
            </w:tcBorders>
          </w:tcPr>
          <w:p>
            <w:pPr>
              <w:pStyle w:val="TableParagraph"/>
              <w:spacing w:before="41"/>
              <w:ind w:right="114"/>
              <w:jc w:val="right"/>
              <w:rPr>
                <w:b/>
                <w:sz w:val="22"/>
              </w:rPr>
            </w:pPr>
            <w:r>
              <w:rPr/>
              <ve:AlternateContent>
                <ve:Choice Requires="wps">
                  <w:drawing>
                    <wp:anchor distT="0" distB="0" distL="0" distR="0" simplePos="0" relativeHeight="15767552" behindDoc="0" locked="0" layoutInCell="1" allowOverlap="1">
                      <wp:simplePos x="0" y="0"/>
                      <wp:positionH relativeFrom="column">
                        <wp:posOffset>-12211</wp:posOffset>
                      </wp:positionH>
                      <wp:positionV relativeFrom="paragraph">
                        <wp:posOffset>202843</wp:posOffset>
                      </wp:positionV>
                      <wp:extent cx="830580" cy="12700"/>
                      <wp:effectExtent l="0" t="0" r="0" b="0"/>
                      <wp:wrapNone/>
                      <wp:docPr id="193" name="Group 193"/>
                      <wp:cNvGraphicFramePr>
                        <a:graphicFrameLocks/>
                      </wp:cNvGraphicFramePr>
                      <a:graphic>
                        <a:graphicData uri="http://schemas.microsoft.com/office/word/2010/wordprocessingGroup">
                          <wpg:wgp>
                            <wpg:cNvPr id="193" name="Group 193"/>
                            <wpg:cNvGrpSpPr/>
                            <wpg:grpSpPr>
                              <a:xfrm>
                                <a:off x="0" y="0"/>
                                <a:ext cx="830580" cy="12700"/>
                                <a:chExt cx="830580" cy="12700"/>
                              </a:xfrm>
                            </wpg:grpSpPr>
                            <wps:wsp>
                              <wps:cNvPr id="194" name="Graphic 194"/>
                              <wps:cNvSpPr/>
                              <wps:spPr>
                                <a:xfrm>
                                  <a:off x="0" y="6102"/>
                                  <a:ext cx="830580" cy="1270"/>
                                </a:xfrm>
                                <a:custGeom>
                                  <a:avLst/>
                                  <a:gdLst/>
                                  <a:ahLst/>
                                  <a:cxnLst/>
                                  <a:rect l="l" t="t" r="r" b="b"/>
                                  <a:pathLst>
                                    <a:path w="830580" h="0">
                                      <a:moveTo>
                                        <a:pt x="0" y="0"/>
                                      </a:moveTo>
                                      <a:lnTo>
                                        <a:pt x="830393"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19" style="position:absolute;margin-left:-.961549pt;margin-top:15.971945pt;width:65.4pt;height:1pt;mso-position-horizontal-relative:column;mso-position-vertical-relative:paragraph;z-index:15767552" coordsize="1308,20" coordorigin="-19,319">
                      <v:line style="position:absolute" stroked="true" strokecolor="#000000" strokeweight=".961095pt" from="-19,329" to="1288,329">
                        <v:stroke dashstyle="solid"/>
                      </v:line>
                      <w10:wrap type="none"/>
                    </v:group>
                  </w:pict>
                </ve:Fallback>
              </ve:AlternateContent>
            </w:r>
            <w:r>
              <w:rPr>
                <w:b/>
                <w:color w:val="0C0C0C"/>
                <w:spacing w:val="-5"/>
                <w:sz w:val="22"/>
              </w:rPr>
              <w:t>382</w:t>
            </w:r>
          </w:p>
        </w:tc>
        <w:tc>
          <w:tcPr>
            <w:tcW w:w="6384" w:type="dxa"/>
          </w:tcPr>
          <w:p>
            <w:pPr>
              <w:pStyle w:val="TableParagraph"/>
              <w:spacing w:before="41"/>
              <w:ind w:left="553"/>
              <w:rPr>
                <w:b/>
                <w:sz w:val="22"/>
              </w:rPr>
            </w:pPr>
            <w:r>
              <w:rPr>
                <w:b/>
                <w:color w:val="0C0C0C"/>
                <w:spacing w:val="-2"/>
                <w:sz w:val="22"/>
              </w:rPr>
              <w:t>Total</w:t>
            </w:r>
          </w:p>
        </w:tc>
        <w:tc>
          <w:tcPr>
            <w:tcW w:w="1307" w:type="dxa"/>
            <w:tcBorders>
              <w:top w:val="single" w:color="000000" w:sz="6" w:space="0"/>
            </w:tcBorders>
          </w:tcPr>
          <w:p>
            <w:pPr>
              <w:pStyle w:val="TableParagraph"/>
              <w:spacing w:before="36"/>
              <w:ind w:right="124"/>
              <w:jc w:val="right"/>
              <w:rPr>
                <w:b/>
                <w:sz w:val="22"/>
              </w:rPr>
            </w:pPr>
            <w:r>
              <w:rPr/>
              <ve:AlternateContent>
                <ve:Choice Requires="wps">
                  <w:drawing>
                    <wp:anchor distT="0" distB="0" distL="0" distR="0" simplePos="0" relativeHeight="15767040" behindDoc="0" locked="0" layoutInCell="1" allowOverlap="1">
                      <wp:simplePos x="0" y="0"/>
                      <wp:positionH relativeFrom="column">
                        <wp:posOffset>-12211</wp:posOffset>
                      </wp:positionH>
                      <wp:positionV relativeFrom="paragraph">
                        <wp:posOffset>202720</wp:posOffset>
                      </wp:positionV>
                      <wp:extent cx="842644" cy="12700"/>
                      <wp:effectExtent l="0" t="0" r="0" b="0"/>
                      <wp:wrapNone/>
                      <wp:docPr id="195" name="Group 195"/>
                      <wp:cNvGraphicFramePr>
                        <a:graphicFrameLocks/>
                      </wp:cNvGraphicFramePr>
                      <a:graphic>
                        <a:graphicData uri="http://schemas.microsoft.com/office/word/2010/wordprocessingGroup">
                          <wpg:wgp>
                            <wpg:cNvPr id="195" name="Group 195"/>
                            <wpg:cNvGrpSpPr/>
                            <wpg:grpSpPr>
                              <a:xfrm>
                                <a:off x="0" y="0"/>
                                <a:ext cx="842644" cy="12700"/>
                                <a:chExt cx="842644" cy="12700"/>
                              </a:xfrm>
                            </wpg:grpSpPr>
                            <wps:wsp>
                              <wps:cNvPr id="196" name="Graphic 196"/>
                              <wps:cNvSpPr/>
                              <wps:spPr>
                                <a:xfrm>
                                  <a:off x="0" y="6102"/>
                                  <a:ext cx="842644" cy="1270"/>
                                </a:xfrm>
                                <a:custGeom>
                                  <a:avLst/>
                                  <a:gdLst/>
                                  <a:ahLst/>
                                  <a:cxnLst/>
                                  <a:rect l="l" t="t" r="r" b="b"/>
                                  <a:pathLst>
                                    <a:path w="842644" h="0">
                                      <a:moveTo>
                                        <a:pt x="0" y="0"/>
                                      </a:moveTo>
                                      <a:lnTo>
                                        <a:pt x="842604"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20" style="position:absolute;margin-left:-.961549pt;margin-top:15.96224pt;width:66.350pt;height:1pt;mso-position-horizontal-relative:column;mso-position-vertical-relative:paragraph;z-index:15767040" coordsize="1327,20" coordorigin="-19,319">
                      <v:line style="position:absolute" stroked="true" strokecolor="#000000" strokeweight=".961095pt" from="-19,329" to="1308,329">
                        <v:stroke dashstyle="solid"/>
                      </v:line>
                      <w10:wrap type="none"/>
                    </v:group>
                  </w:pict>
                </ve:Fallback>
              </ve:AlternateContent>
            </w:r>
            <w:r>
              <w:rPr>
                <w:b/>
                <w:color w:val="0C0C0C"/>
                <w:spacing w:val="-5"/>
                <w:sz w:val="22"/>
              </w:rPr>
              <w:t>404</w:t>
            </w:r>
          </w:p>
        </w:tc>
      </w:tr>
    </w:tbl>
    <w:p>
      <w:pPr>
        <w:spacing w:after="0"/>
        <w:jc w:val="right"/>
        <w:rPr>
          <w:sz w:val="22"/>
        </w:rPr>
        <w:sectPr>
          <w:pgSz w:w="11910" w:h="16830"/>
          <w:pgMar w:top="920" w:right="100" w:bottom="1320" w:left="20" w:header="721" w:footer="1130"/>
        </w:sectPr>
      </w:pPr>
    </w:p>
    <w:p>
      <w:pPr>
        <w:pStyle w:val="ListParagraph"/>
        <w:numPr>
          <w:ilvl w:val="1"/>
          <w:numId w:val="11"/>
        </w:numPr>
        <w:tabs>
          <w:tab w:val="left" w:leader="none" w:pos="2358"/>
        </w:tabs>
        <w:spacing w:before="240" w:after="0" w:line="240" w:lineRule="auto"/>
        <w:ind w:left="2358" w:right="0" w:hanging="715"/>
        <w:jc w:val="left"/>
        <w:rPr>
          <w:b/>
          <w:color w:val="0F0F0F"/>
          <w:sz w:val="21"/>
        </w:rPr>
      </w:pPr>
      <w:r>
        <w:rPr>
          <w:b/>
          <w:color w:val="0F0F0F"/>
          <w:w w:val="105"/>
          <w:sz w:val="21"/>
        </w:rPr>
        <w:t>Employees</w:t>
      </w:r>
      <w:r>
        <w:rPr>
          <w:b/>
          <w:color w:val="0F0F0F"/>
          <w:spacing w:val="-2"/>
          <w:w w:val="105"/>
          <w:sz w:val="21"/>
        </w:rPr>
        <w:t> Remuneration</w:t>
      </w:r>
    </w:p>
    <w:p>
      <w:pPr>
        <w:pStyle w:val="BodyText"/>
        <w:spacing w:before="239" w:line="273" w:lineRule="auto"/>
        <w:ind w:left="2352" w:right="1172" w:hanging="1"/>
      </w:pPr>
      <w:r>
        <w:rPr>
          <w:color w:val="0F0F0F"/>
        </w:rPr>
        <w:t>Under the</w:t>
      </w:r>
      <w:r>
        <w:rPr>
          <w:color w:val="0F0F0F"/>
          <w:spacing w:val="-10"/>
        </w:rPr>
        <w:t> </w:t>
      </w:r>
      <w:r>
        <w:rPr>
          <w:color w:val="0F0F0F"/>
        </w:rPr>
        <w:t>Accounts and</w:t>
      </w:r>
      <w:r>
        <w:rPr>
          <w:color w:val="0F0F0F"/>
          <w:spacing w:val="-14"/>
        </w:rPr>
        <w:t> </w:t>
      </w:r>
      <w:r>
        <w:rPr>
          <w:color w:val="0F0F0F"/>
        </w:rPr>
        <w:t>Audit Regulations 2015,</w:t>
      </w:r>
      <w:r>
        <w:rPr>
          <w:color w:val="0F0F0F"/>
          <w:spacing w:val="-6"/>
        </w:rPr>
        <w:t> </w:t>
      </w:r>
      <w:r>
        <w:rPr>
          <w:color w:val="0F0F0F"/>
        </w:rPr>
        <w:t>Local</w:t>
      </w:r>
      <w:r>
        <w:rPr>
          <w:color w:val="0F0F0F"/>
          <w:spacing w:val="-6"/>
        </w:rPr>
        <w:t> </w:t>
      </w:r>
      <w:r>
        <w:rPr>
          <w:color w:val="0F0F0F"/>
        </w:rPr>
        <w:t>Authorities are</w:t>
      </w:r>
      <w:r>
        <w:rPr>
          <w:color w:val="0F0F0F"/>
          <w:spacing w:val="-8"/>
        </w:rPr>
        <w:t> </w:t>
      </w:r>
      <w:r>
        <w:rPr>
          <w:color w:val="0F0F0F"/>
        </w:rPr>
        <w:t>required to </w:t>
      </w:r>
      <w:r>
        <w:rPr>
          <w:color w:val="0F0F0F"/>
          <w:spacing w:val="-2"/>
        </w:rPr>
        <w:t>disclose:</w:t>
      </w:r>
    </w:p>
    <w:p>
      <w:pPr>
        <w:pStyle w:val="BodyText"/>
        <w:spacing w:before="40"/>
      </w:pPr>
    </w:p>
    <w:p>
      <w:pPr>
        <w:pStyle w:val="ListParagraph"/>
        <w:numPr>
          <w:ilvl w:val="0"/>
          <w:numId w:val="15"/>
        </w:numPr>
        <w:tabs>
          <w:tab w:val="left" w:leader="none" w:pos="2709"/>
          <w:tab w:val="left" w:leader="none" w:pos="2711"/>
        </w:tabs>
        <w:spacing w:before="0" w:after="0" w:line="278" w:lineRule="auto"/>
        <w:ind w:left="2711" w:right="1330" w:hanging="380"/>
        <w:jc w:val="left"/>
        <w:rPr>
          <w:rFonts w:ascii="Times New Roman"/>
          <w:color w:val="0F0F0F"/>
          <w:sz w:val="20"/>
        </w:rPr>
      </w:pPr>
      <w:r>
        <w:rPr>
          <w:color w:val="0F0F0F"/>
          <w:sz w:val="22"/>
        </w:rPr>
        <w:t>the</w:t>
      </w:r>
      <w:r>
        <w:rPr>
          <w:color w:val="0F0F0F"/>
          <w:spacing w:val="-10"/>
          <w:sz w:val="22"/>
        </w:rPr>
        <w:t> </w:t>
      </w:r>
      <w:r>
        <w:rPr>
          <w:color w:val="0F0F0F"/>
          <w:sz w:val="22"/>
        </w:rPr>
        <w:t>remuneration of</w:t>
      </w:r>
      <w:r>
        <w:rPr>
          <w:color w:val="0F0F0F"/>
          <w:spacing w:val="-8"/>
          <w:sz w:val="22"/>
        </w:rPr>
        <w:t> </w:t>
      </w:r>
      <w:r>
        <w:rPr>
          <w:color w:val="0F0F0F"/>
          <w:sz w:val="22"/>
        </w:rPr>
        <w:t>the</w:t>
      </w:r>
      <w:r>
        <w:rPr>
          <w:color w:val="0F0F0F"/>
          <w:spacing w:val="-9"/>
          <w:sz w:val="22"/>
        </w:rPr>
        <w:t> </w:t>
      </w:r>
      <w:r>
        <w:rPr>
          <w:color w:val="0F0F0F"/>
          <w:sz w:val="22"/>
        </w:rPr>
        <w:t>council</w:t>
      </w:r>
      <w:r>
        <w:rPr>
          <w:color w:val="444444"/>
          <w:sz w:val="22"/>
        </w:rPr>
        <w:t>'</w:t>
      </w:r>
      <w:r>
        <w:rPr>
          <w:color w:val="0F0F0F"/>
          <w:sz w:val="22"/>
        </w:rPr>
        <w:t>s</w:t>
      </w:r>
      <w:r>
        <w:rPr>
          <w:color w:val="0F0F0F"/>
          <w:spacing w:val="-11"/>
          <w:sz w:val="22"/>
        </w:rPr>
        <w:t> </w:t>
      </w:r>
      <w:r>
        <w:rPr>
          <w:color w:val="0F0F0F"/>
          <w:sz w:val="22"/>
        </w:rPr>
        <w:t>senior employees, analysed over</w:t>
      </w:r>
      <w:r>
        <w:rPr>
          <w:color w:val="0F0F0F"/>
          <w:spacing w:val="-10"/>
          <w:sz w:val="22"/>
        </w:rPr>
        <w:t> </w:t>
      </w:r>
      <w:r>
        <w:rPr>
          <w:color w:val="0F0F0F"/>
          <w:sz w:val="22"/>
        </w:rPr>
        <w:t>the</w:t>
      </w:r>
      <w:r>
        <w:rPr>
          <w:color w:val="0F0F0F"/>
          <w:spacing w:val="-7"/>
          <w:sz w:val="22"/>
        </w:rPr>
        <w:t> </w:t>
      </w:r>
      <w:r>
        <w:rPr>
          <w:color w:val="0F0F0F"/>
          <w:sz w:val="22"/>
        </w:rPr>
        <w:t>following </w:t>
      </w:r>
      <w:r>
        <w:rPr>
          <w:color w:val="0F0F0F"/>
          <w:spacing w:val="-2"/>
          <w:sz w:val="22"/>
        </w:rPr>
        <w:t>categories:</w:t>
      </w:r>
    </w:p>
    <w:p>
      <w:pPr>
        <w:pStyle w:val="BodyText"/>
        <w:rPr>
          <w:sz w:val="20"/>
        </w:rPr>
      </w:pPr>
    </w:p>
    <w:p>
      <w:pPr>
        <w:pStyle w:val="BodyText"/>
        <w:spacing w:before="122" w:after="1"/>
        <w:rPr>
          <w:sz w:val="20"/>
        </w:rPr>
      </w:pPr>
    </w:p>
    <w:tbl>
      <w:tblPr>
        <w:tblW w:w="0" w:type="auto"/>
        <w:jc w:val="left"/>
        <w:tblInd w:w="162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2651"/>
        <w:gridCol w:w="72"/>
        <w:gridCol w:w="1298"/>
        <w:gridCol w:w="1994"/>
        <w:gridCol w:w="1764"/>
        <w:gridCol w:w="568"/>
        <w:gridCol w:w="828"/>
        <w:gridCol w:w="88"/>
      </w:tblGrid>
      <w:tr>
        <w:trPr>
          <w:trHeight w:val="247" w:hRule="atLeast"/>
        </w:trPr>
        <w:tc>
          <w:tcPr>
            <w:tcW w:w="2723" w:type="dxa"/>
            <w:gridSpan w:val="2"/>
            <w:vMerge w:val="restart"/>
          </w:tcPr>
          <w:p>
            <w:pPr>
              <w:pStyle w:val="TableParagraph"/>
              <w:rPr>
                <w:rFonts w:ascii="Times New Roman"/>
                <w:sz w:val="20"/>
              </w:rPr>
            </w:pPr>
          </w:p>
        </w:tc>
        <w:tc>
          <w:tcPr>
            <w:tcW w:w="1298" w:type="dxa"/>
          </w:tcPr>
          <w:p>
            <w:pPr>
              <w:pStyle w:val="TableParagraph"/>
              <w:rPr>
                <w:rFonts w:ascii="Times New Roman"/>
                <w:sz w:val="18"/>
              </w:rPr>
            </w:pPr>
          </w:p>
        </w:tc>
        <w:tc>
          <w:tcPr>
            <w:tcW w:w="1994" w:type="dxa"/>
          </w:tcPr>
          <w:p>
            <w:pPr>
              <w:pStyle w:val="TableParagraph"/>
              <w:rPr>
                <w:rFonts w:ascii="Times New Roman"/>
                <w:sz w:val="18"/>
              </w:rPr>
            </w:pPr>
          </w:p>
        </w:tc>
        <w:tc>
          <w:tcPr>
            <w:tcW w:w="1764" w:type="dxa"/>
          </w:tcPr>
          <w:p>
            <w:pPr>
              <w:pStyle w:val="TableParagraph"/>
              <w:spacing w:line="227" w:lineRule="exact"/>
              <w:ind w:left="505"/>
              <w:jc w:val="center"/>
              <w:rPr>
                <w:sz w:val="21"/>
              </w:rPr>
            </w:pPr>
            <w:r>
              <w:rPr>
                <w:b/>
                <w:color w:val="0F0F0F"/>
                <w:w w:val="105"/>
                <w:sz w:val="21"/>
              </w:rPr>
              <w:t>Pension</w:t>
            </w:r>
            <w:r>
              <w:rPr>
                <w:b/>
                <w:color w:val="0F0F0F"/>
                <w:spacing w:val="-9"/>
                <w:w w:val="105"/>
                <w:sz w:val="21"/>
              </w:rPr>
              <w:t> </w:t>
            </w:r>
            <w:r>
              <w:rPr>
                <w:color w:val="0F0F0F"/>
                <w:spacing w:val="-10"/>
                <w:w w:val="105"/>
                <w:sz w:val="21"/>
              </w:rPr>
              <w:t>-</w:t>
            </w:r>
          </w:p>
        </w:tc>
        <w:tc>
          <w:tcPr>
            <w:tcW w:w="568" w:type="dxa"/>
          </w:tcPr>
          <w:p>
            <w:pPr>
              <w:pStyle w:val="TableParagraph"/>
              <w:rPr>
                <w:rFonts w:ascii="Times New Roman"/>
                <w:sz w:val="18"/>
              </w:rPr>
            </w:pPr>
          </w:p>
        </w:tc>
        <w:tc>
          <w:tcPr>
            <w:tcW w:w="828" w:type="dxa"/>
          </w:tcPr>
          <w:p>
            <w:pPr>
              <w:pStyle w:val="TableParagraph"/>
              <w:spacing w:line="227" w:lineRule="exact"/>
              <w:ind w:left="168"/>
              <w:rPr>
                <w:b/>
                <w:sz w:val="21"/>
              </w:rPr>
            </w:pPr>
            <w:r>
              <w:rPr>
                <w:b/>
                <w:color w:val="0F0F0F"/>
                <w:spacing w:val="-2"/>
                <w:w w:val="105"/>
                <w:sz w:val="21"/>
              </w:rPr>
              <w:t>2021-</w:t>
            </w:r>
          </w:p>
        </w:tc>
        <w:tc>
          <w:tcPr>
            <w:tcW w:w="88" w:type="dxa"/>
          </w:tcPr>
          <w:p>
            <w:pPr>
              <w:pStyle w:val="TableParagraph"/>
              <w:rPr>
                <w:rFonts w:ascii="Times New Roman"/>
                <w:sz w:val="18"/>
              </w:rPr>
            </w:pPr>
          </w:p>
        </w:tc>
      </w:tr>
      <w:tr>
        <w:trPr>
          <w:trHeight w:val="252" w:hRule="atLeast"/>
        </w:trPr>
        <w:tc>
          <w:tcPr>
            <w:tcW w:w="2723" w:type="dxa"/>
            <w:gridSpan w:val="2"/>
            <w:vMerge/>
            <w:tcBorders>
              <w:top w:val="nil"/>
            </w:tcBorders>
          </w:tcPr>
          <w:p>
            <w:pPr>
              <w:rPr>
                <w:sz w:val="2"/>
                <w:szCs w:val="2"/>
              </w:rPr>
            </w:pPr>
          </w:p>
        </w:tc>
        <w:tc>
          <w:tcPr>
            <w:tcW w:w="1298" w:type="dxa"/>
          </w:tcPr>
          <w:p>
            <w:pPr>
              <w:pStyle w:val="TableParagraph"/>
              <w:rPr>
                <w:rFonts w:ascii="Times New Roman"/>
                <w:sz w:val="18"/>
              </w:rPr>
            </w:pPr>
          </w:p>
        </w:tc>
        <w:tc>
          <w:tcPr>
            <w:tcW w:w="1994" w:type="dxa"/>
          </w:tcPr>
          <w:p>
            <w:pPr>
              <w:pStyle w:val="TableParagraph"/>
              <w:spacing w:before="1" w:line="231" w:lineRule="exact"/>
              <w:ind w:left="1" w:right="206"/>
              <w:jc w:val="center"/>
              <w:rPr>
                <w:b/>
                <w:sz w:val="21"/>
              </w:rPr>
            </w:pPr>
            <w:r>
              <w:rPr>
                <w:b/>
                <w:color w:val="0F0F0F"/>
                <w:spacing w:val="-2"/>
                <w:w w:val="105"/>
                <w:sz w:val="21"/>
              </w:rPr>
              <w:t>Termination</w:t>
            </w:r>
          </w:p>
        </w:tc>
        <w:tc>
          <w:tcPr>
            <w:tcW w:w="1764" w:type="dxa"/>
          </w:tcPr>
          <w:p>
            <w:pPr>
              <w:pStyle w:val="TableParagraph"/>
              <w:spacing w:before="1" w:line="231" w:lineRule="exact"/>
              <w:ind w:left="471"/>
              <w:jc w:val="center"/>
              <w:rPr>
                <w:b/>
                <w:sz w:val="21"/>
              </w:rPr>
            </w:pPr>
            <w:r>
              <w:rPr>
                <w:b/>
                <w:color w:val="0F0F0F"/>
                <w:spacing w:val="-2"/>
                <w:w w:val="105"/>
                <w:sz w:val="21"/>
              </w:rPr>
              <w:t>employers</w:t>
            </w:r>
          </w:p>
        </w:tc>
        <w:tc>
          <w:tcPr>
            <w:tcW w:w="568" w:type="dxa"/>
          </w:tcPr>
          <w:p>
            <w:pPr>
              <w:pStyle w:val="TableParagraph"/>
              <w:rPr>
                <w:rFonts w:ascii="Times New Roman"/>
                <w:sz w:val="18"/>
              </w:rPr>
            </w:pPr>
          </w:p>
        </w:tc>
        <w:tc>
          <w:tcPr>
            <w:tcW w:w="828" w:type="dxa"/>
          </w:tcPr>
          <w:p>
            <w:pPr>
              <w:pStyle w:val="TableParagraph"/>
              <w:spacing w:before="1" w:line="231" w:lineRule="exact"/>
              <w:ind w:left="327"/>
              <w:rPr>
                <w:b/>
                <w:sz w:val="21"/>
              </w:rPr>
            </w:pPr>
            <w:r>
              <w:rPr>
                <w:b/>
                <w:color w:val="0F0F0F"/>
                <w:spacing w:val="-5"/>
                <w:w w:val="105"/>
                <w:sz w:val="21"/>
              </w:rPr>
              <w:t>22</w:t>
            </w:r>
          </w:p>
        </w:tc>
        <w:tc>
          <w:tcPr>
            <w:tcW w:w="88" w:type="dxa"/>
          </w:tcPr>
          <w:p>
            <w:pPr>
              <w:pStyle w:val="TableParagraph"/>
              <w:rPr>
                <w:rFonts w:ascii="Times New Roman"/>
                <w:sz w:val="18"/>
              </w:rPr>
            </w:pPr>
          </w:p>
        </w:tc>
      </w:tr>
      <w:tr>
        <w:trPr>
          <w:trHeight w:val="269" w:hRule="atLeast"/>
        </w:trPr>
        <w:tc>
          <w:tcPr>
            <w:tcW w:w="2723" w:type="dxa"/>
            <w:gridSpan w:val="2"/>
            <w:vMerge/>
            <w:tcBorders>
              <w:top w:val="nil"/>
            </w:tcBorders>
          </w:tcPr>
          <w:p>
            <w:pPr>
              <w:rPr>
                <w:sz w:val="2"/>
                <w:szCs w:val="2"/>
              </w:rPr>
            </w:pPr>
          </w:p>
        </w:tc>
        <w:tc>
          <w:tcPr>
            <w:tcW w:w="1298" w:type="dxa"/>
          </w:tcPr>
          <w:p>
            <w:pPr>
              <w:pStyle w:val="TableParagraph"/>
              <w:spacing w:before="8" w:line="241" w:lineRule="exact"/>
              <w:ind w:left="213"/>
              <w:rPr>
                <w:b/>
                <w:sz w:val="21"/>
              </w:rPr>
            </w:pPr>
            <w:r>
              <w:rPr>
                <w:b/>
                <w:color w:val="0F0F0F"/>
                <w:spacing w:val="-2"/>
                <w:w w:val="105"/>
                <w:sz w:val="21"/>
              </w:rPr>
              <w:t>Salary</w:t>
            </w:r>
          </w:p>
        </w:tc>
        <w:tc>
          <w:tcPr>
            <w:tcW w:w="1994" w:type="dxa"/>
          </w:tcPr>
          <w:p>
            <w:pPr>
              <w:pStyle w:val="TableParagraph"/>
              <w:spacing w:before="8" w:line="241" w:lineRule="exact"/>
              <w:ind w:right="206"/>
              <w:jc w:val="center"/>
              <w:rPr>
                <w:b/>
                <w:sz w:val="21"/>
              </w:rPr>
            </w:pPr>
            <w:r>
              <w:rPr>
                <w:b/>
                <w:color w:val="0F0F0F"/>
                <w:spacing w:val="-2"/>
                <w:w w:val="105"/>
                <w:sz w:val="21"/>
              </w:rPr>
              <w:t>Benefits</w:t>
            </w:r>
          </w:p>
        </w:tc>
        <w:tc>
          <w:tcPr>
            <w:tcW w:w="1764" w:type="dxa"/>
          </w:tcPr>
          <w:p>
            <w:pPr>
              <w:pStyle w:val="TableParagraph"/>
              <w:spacing w:before="3"/>
              <w:ind w:left="475"/>
              <w:jc w:val="center"/>
              <w:rPr>
                <w:b/>
                <w:sz w:val="21"/>
              </w:rPr>
            </w:pPr>
            <w:r>
              <w:rPr>
                <w:b/>
                <w:color w:val="0F0F0F"/>
                <w:spacing w:val="-2"/>
                <w:w w:val="105"/>
                <w:sz w:val="21"/>
              </w:rPr>
              <w:t>contribution</w:t>
            </w:r>
          </w:p>
        </w:tc>
        <w:tc>
          <w:tcPr>
            <w:tcW w:w="568" w:type="dxa"/>
          </w:tcPr>
          <w:p>
            <w:pPr>
              <w:pStyle w:val="TableParagraph"/>
              <w:rPr>
                <w:rFonts w:ascii="Times New Roman"/>
                <w:sz w:val="18"/>
              </w:rPr>
            </w:pPr>
          </w:p>
        </w:tc>
        <w:tc>
          <w:tcPr>
            <w:tcW w:w="828" w:type="dxa"/>
          </w:tcPr>
          <w:p>
            <w:pPr>
              <w:pStyle w:val="TableParagraph"/>
              <w:spacing w:before="3"/>
              <w:ind w:left="179"/>
              <w:rPr>
                <w:b/>
                <w:sz w:val="21"/>
              </w:rPr>
            </w:pPr>
            <w:r>
              <w:rPr>
                <w:b/>
                <w:color w:val="0F0F0F"/>
                <w:spacing w:val="-4"/>
                <w:w w:val="105"/>
                <w:sz w:val="21"/>
              </w:rPr>
              <w:t>Total</w:t>
            </w:r>
          </w:p>
        </w:tc>
        <w:tc>
          <w:tcPr>
            <w:tcW w:w="88" w:type="dxa"/>
          </w:tcPr>
          <w:p>
            <w:pPr>
              <w:pStyle w:val="TableParagraph"/>
              <w:rPr>
                <w:rFonts w:ascii="Times New Roman"/>
                <w:sz w:val="18"/>
              </w:rPr>
            </w:pPr>
          </w:p>
        </w:tc>
      </w:tr>
      <w:tr>
        <w:trPr>
          <w:trHeight w:val="331" w:hRule="atLeast"/>
        </w:trPr>
        <w:tc>
          <w:tcPr>
            <w:tcW w:w="2723" w:type="dxa"/>
            <w:gridSpan w:val="2"/>
            <w:vMerge/>
            <w:tcBorders>
              <w:top w:val="nil"/>
            </w:tcBorders>
          </w:tcPr>
          <w:p>
            <w:pPr>
              <w:rPr>
                <w:sz w:val="2"/>
                <w:szCs w:val="2"/>
              </w:rPr>
            </w:pPr>
          </w:p>
        </w:tc>
        <w:tc>
          <w:tcPr>
            <w:tcW w:w="1298" w:type="dxa"/>
          </w:tcPr>
          <w:p>
            <w:pPr>
              <w:pStyle w:val="TableParagraph"/>
              <w:spacing w:before="17"/>
              <w:ind w:left="301"/>
              <w:rPr>
                <w:b/>
                <w:sz w:val="21"/>
              </w:rPr>
            </w:pPr>
            <w:r>
              <w:rPr>
                <w:b/>
                <w:color w:val="0F0F0F"/>
                <w:spacing w:val="-4"/>
                <w:w w:val="105"/>
                <w:sz w:val="21"/>
              </w:rPr>
              <w:t>£000</w:t>
            </w:r>
          </w:p>
        </w:tc>
        <w:tc>
          <w:tcPr>
            <w:tcW w:w="1994" w:type="dxa"/>
          </w:tcPr>
          <w:p>
            <w:pPr>
              <w:pStyle w:val="TableParagraph"/>
              <w:spacing w:before="17"/>
              <w:ind w:left="6" w:right="206"/>
              <w:jc w:val="center"/>
              <w:rPr>
                <w:b/>
                <w:sz w:val="21"/>
              </w:rPr>
            </w:pPr>
            <w:r>
              <w:rPr>
                <w:b/>
                <w:color w:val="0F0F0F"/>
                <w:spacing w:val="-4"/>
                <w:w w:val="105"/>
                <w:sz w:val="21"/>
              </w:rPr>
              <w:t>£000</w:t>
            </w:r>
          </w:p>
        </w:tc>
        <w:tc>
          <w:tcPr>
            <w:tcW w:w="1764" w:type="dxa"/>
          </w:tcPr>
          <w:p>
            <w:pPr>
              <w:pStyle w:val="TableParagraph"/>
              <w:spacing w:before="13"/>
              <w:ind w:left="482"/>
              <w:jc w:val="center"/>
              <w:rPr>
                <w:b/>
                <w:sz w:val="21"/>
              </w:rPr>
            </w:pPr>
            <w:r>
              <w:rPr>
                <w:b/>
                <w:color w:val="0F0F0F"/>
                <w:spacing w:val="-4"/>
                <w:sz w:val="21"/>
              </w:rPr>
              <w:t>£000</w:t>
            </w:r>
          </w:p>
        </w:tc>
        <w:tc>
          <w:tcPr>
            <w:tcW w:w="568" w:type="dxa"/>
          </w:tcPr>
          <w:p>
            <w:pPr>
              <w:pStyle w:val="TableParagraph"/>
              <w:rPr>
                <w:rFonts w:ascii="Times New Roman"/>
                <w:sz w:val="20"/>
              </w:rPr>
            </w:pPr>
          </w:p>
        </w:tc>
        <w:tc>
          <w:tcPr>
            <w:tcW w:w="828" w:type="dxa"/>
          </w:tcPr>
          <w:p>
            <w:pPr>
              <w:pStyle w:val="TableParagraph"/>
              <w:spacing w:before="13"/>
              <w:ind w:left="196"/>
              <w:rPr>
                <w:b/>
                <w:sz w:val="21"/>
              </w:rPr>
            </w:pPr>
            <w:r>
              <w:rPr>
                <w:b/>
                <w:color w:val="0F0F0F"/>
                <w:spacing w:val="-4"/>
                <w:w w:val="105"/>
                <w:sz w:val="21"/>
              </w:rPr>
              <w:t>£000</w:t>
            </w:r>
          </w:p>
        </w:tc>
        <w:tc>
          <w:tcPr>
            <w:tcW w:w="88" w:type="dxa"/>
          </w:tcPr>
          <w:p>
            <w:pPr>
              <w:pStyle w:val="TableParagraph"/>
              <w:rPr>
                <w:rFonts w:ascii="Times New Roman"/>
                <w:sz w:val="20"/>
              </w:rPr>
            </w:pPr>
          </w:p>
        </w:tc>
      </w:tr>
      <w:tr>
        <w:trPr>
          <w:trHeight w:val="327" w:hRule="atLeast"/>
        </w:trPr>
        <w:tc>
          <w:tcPr>
            <w:tcW w:w="2651" w:type="dxa"/>
          </w:tcPr>
          <w:p>
            <w:pPr>
              <w:pStyle w:val="TableParagraph"/>
              <w:spacing w:line="247" w:lineRule="exact"/>
              <w:ind w:left="81"/>
              <w:rPr>
                <w:sz w:val="22"/>
              </w:rPr>
            </w:pPr>
            <w:r>
              <w:rPr>
                <w:color w:val="0F0F0F"/>
                <w:sz w:val="22"/>
              </w:rPr>
              <w:t>Managing</w:t>
            </w:r>
            <w:r>
              <w:rPr>
                <w:color w:val="0F0F0F"/>
                <w:spacing w:val="7"/>
                <w:sz w:val="22"/>
              </w:rPr>
              <w:t> </w:t>
            </w:r>
            <w:r>
              <w:rPr>
                <w:color w:val="0F0F0F"/>
                <w:spacing w:val="-2"/>
                <w:sz w:val="22"/>
              </w:rPr>
              <w:t>Director</w:t>
            </w:r>
          </w:p>
        </w:tc>
        <w:tc>
          <w:tcPr>
            <w:tcW w:w="72" w:type="dxa"/>
          </w:tcPr>
          <w:p>
            <w:pPr>
              <w:pStyle w:val="TableParagraph"/>
              <w:rPr>
                <w:rFonts w:ascii="Times New Roman"/>
                <w:sz w:val="20"/>
              </w:rPr>
            </w:pPr>
          </w:p>
        </w:tc>
        <w:tc>
          <w:tcPr>
            <w:tcW w:w="1298" w:type="dxa"/>
          </w:tcPr>
          <w:p>
            <w:pPr>
              <w:pStyle w:val="TableParagraph"/>
              <w:spacing w:before="65" w:line="242" w:lineRule="exact"/>
              <w:ind w:right="271"/>
              <w:jc w:val="right"/>
              <w:rPr>
                <w:sz w:val="22"/>
              </w:rPr>
            </w:pPr>
            <w:r>
              <w:rPr>
                <w:color w:val="0F0F0F"/>
                <w:spacing w:val="-5"/>
                <w:sz w:val="22"/>
              </w:rPr>
              <w:t>148</w:t>
            </w:r>
          </w:p>
        </w:tc>
        <w:tc>
          <w:tcPr>
            <w:tcW w:w="1994" w:type="dxa"/>
          </w:tcPr>
          <w:p>
            <w:pPr>
              <w:pStyle w:val="TableParagraph"/>
              <w:rPr>
                <w:rFonts w:ascii="Times New Roman"/>
                <w:sz w:val="20"/>
              </w:rPr>
            </w:pPr>
          </w:p>
        </w:tc>
        <w:tc>
          <w:tcPr>
            <w:tcW w:w="1764" w:type="dxa"/>
          </w:tcPr>
          <w:p>
            <w:pPr>
              <w:pStyle w:val="TableParagraph"/>
              <w:rPr>
                <w:rFonts w:ascii="Times New Roman"/>
                <w:sz w:val="20"/>
              </w:rPr>
            </w:pPr>
          </w:p>
        </w:tc>
        <w:tc>
          <w:tcPr>
            <w:tcW w:w="568" w:type="dxa"/>
          </w:tcPr>
          <w:p>
            <w:pPr>
              <w:pStyle w:val="TableParagraph"/>
              <w:spacing w:before="65" w:line="242" w:lineRule="exact"/>
              <w:ind w:right="164"/>
              <w:jc w:val="right"/>
              <w:rPr>
                <w:sz w:val="22"/>
              </w:rPr>
            </w:pPr>
            <w:r>
              <w:rPr>
                <w:color w:val="0F0F0F"/>
                <w:spacing w:val="-5"/>
                <w:sz w:val="22"/>
              </w:rPr>
              <w:t>27</w:t>
            </w:r>
          </w:p>
        </w:tc>
        <w:tc>
          <w:tcPr>
            <w:tcW w:w="828" w:type="dxa"/>
          </w:tcPr>
          <w:p>
            <w:pPr>
              <w:pStyle w:val="TableParagraph"/>
              <w:spacing w:before="70" w:line="238" w:lineRule="exact"/>
              <w:ind w:right="-15"/>
              <w:jc w:val="right"/>
              <w:rPr>
                <w:b/>
                <w:sz w:val="21"/>
              </w:rPr>
            </w:pPr>
            <w:r>
              <w:rPr>
                <w:b/>
                <w:color w:val="0F0F0F"/>
                <w:spacing w:val="-5"/>
                <w:w w:val="105"/>
                <w:sz w:val="21"/>
              </w:rPr>
              <w:t>175</w:t>
            </w:r>
          </w:p>
        </w:tc>
        <w:tc>
          <w:tcPr>
            <w:tcW w:w="88" w:type="dxa"/>
          </w:tcPr>
          <w:p>
            <w:pPr>
              <w:pStyle w:val="TableParagraph"/>
              <w:rPr>
                <w:rFonts w:ascii="Times New Roman"/>
                <w:sz w:val="20"/>
              </w:rPr>
            </w:pPr>
          </w:p>
        </w:tc>
      </w:tr>
      <w:tr>
        <w:trPr>
          <w:trHeight w:val="273" w:hRule="atLeast"/>
        </w:trPr>
        <w:tc>
          <w:tcPr>
            <w:tcW w:w="2651" w:type="dxa"/>
          </w:tcPr>
          <w:p>
            <w:pPr>
              <w:pStyle w:val="TableParagraph"/>
              <w:spacing w:before="2" w:line="252" w:lineRule="exact"/>
              <w:ind w:left="80"/>
              <w:rPr>
                <w:sz w:val="22"/>
              </w:rPr>
            </w:pPr>
            <w:r>
              <w:rPr>
                <w:color w:val="0F0F0F"/>
                <w:sz w:val="22"/>
              </w:rPr>
              <w:t>Executive</w:t>
            </w:r>
            <w:r>
              <w:rPr>
                <w:color w:val="0F0F0F"/>
                <w:spacing w:val="5"/>
                <w:sz w:val="22"/>
              </w:rPr>
              <w:t> </w:t>
            </w:r>
            <w:r>
              <w:rPr>
                <w:color w:val="0F0F0F"/>
                <w:spacing w:val="-2"/>
                <w:sz w:val="22"/>
              </w:rPr>
              <w:t>Director</w:t>
            </w:r>
          </w:p>
        </w:tc>
        <w:tc>
          <w:tcPr>
            <w:tcW w:w="72" w:type="dxa"/>
          </w:tcPr>
          <w:p>
            <w:pPr>
              <w:pStyle w:val="TableParagraph"/>
              <w:rPr>
                <w:rFonts w:ascii="Times New Roman"/>
                <w:sz w:val="20"/>
              </w:rPr>
            </w:pPr>
          </w:p>
        </w:tc>
        <w:tc>
          <w:tcPr>
            <w:tcW w:w="1298" w:type="dxa"/>
          </w:tcPr>
          <w:p>
            <w:pPr>
              <w:pStyle w:val="TableParagraph"/>
              <w:spacing w:before="16" w:line="237" w:lineRule="exact"/>
              <w:ind w:right="276"/>
              <w:jc w:val="right"/>
              <w:rPr>
                <w:sz w:val="22"/>
              </w:rPr>
            </w:pPr>
            <w:r>
              <w:rPr>
                <w:color w:val="0F0F0F"/>
                <w:spacing w:val="-5"/>
                <w:sz w:val="22"/>
              </w:rPr>
              <w:t>113</w:t>
            </w:r>
          </w:p>
        </w:tc>
        <w:tc>
          <w:tcPr>
            <w:tcW w:w="1994" w:type="dxa"/>
          </w:tcPr>
          <w:p>
            <w:pPr>
              <w:pStyle w:val="TableParagraph"/>
              <w:rPr>
                <w:rFonts w:ascii="Times New Roman"/>
                <w:sz w:val="20"/>
              </w:rPr>
            </w:pPr>
          </w:p>
        </w:tc>
        <w:tc>
          <w:tcPr>
            <w:tcW w:w="1764" w:type="dxa"/>
          </w:tcPr>
          <w:p>
            <w:pPr>
              <w:pStyle w:val="TableParagraph"/>
              <w:rPr>
                <w:rFonts w:ascii="Times New Roman"/>
                <w:sz w:val="20"/>
              </w:rPr>
            </w:pPr>
          </w:p>
        </w:tc>
        <w:tc>
          <w:tcPr>
            <w:tcW w:w="568" w:type="dxa"/>
          </w:tcPr>
          <w:p>
            <w:pPr>
              <w:pStyle w:val="TableParagraph"/>
              <w:spacing w:before="11" w:line="242" w:lineRule="exact"/>
              <w:ind w:right="166"/>
              <w:jc w:val="right"/>
              <w:rPr>
                <w:sz w:val="22"/>
              </w:rPr>
            </w:pPr>
            <w:r>
              <w:rPr>
                <w:color w:val="0F0F0F"/>
                <w:spacing w:val="-5"/>
                <w:sz w:val="22"/>
              </w:rPr>
              <w:t>21</w:t>
            </w:r>
          </w:p>
        </w:tc>
        <w:tc>
          <w:tcPr>
            <w:tcW w:w="828" w:type="dxa"/>
          </w:tcPr>
          <w:p>
            <w:pPr>
              <w:pStyle w:val="TableParagraph"/>
              <w:spacing w:before="21" w:line="233" w:lineRule="exact"/>
              <w:ind w:right="-15"/>
              <w:jc w:val="right"/>
              <w:rPr>
                <w:b/>
                <w:sz w:val="21"/>
              </w:rPr>
            </w:pPr>
            <w:r>
              <w:rPr>
                <w:b/>
                <w:color w:val="0F0F0F"/>
                <w:spacing w:val="-5"/>
                <w:w w:val="105"/>
                <w:sz w:val="21"/>
              </w:rPr>
              <w:t>134</w:t>
            </w:r>
          </w:p>
        </w:tc>
        <w:tc>
          <w:tcPr>
            <w:tcW w:w="88" w:type="dxa"/>
          </w:tcPr>
          <w:p>
            <w:pPr>
              <w:pStyle w:val="TableParagraph"/>
              <w:rPr>
                <w:rFonts w:ascii="Times New Roman"/>
                <w:sz w:val="20"/>
              </w:rPr>
            </w:pPr>
          </w:p>
        </w:tc>
      </w:tr>
      <w:tr>
        <w:trPr>
          <w:trHeight w:val="506" w:hRule="atLeast"/>
        </w:trPr>
        <w:tc>
          <w:tcPr>
            <w:tcW w:w="2651" w:type="dxa"/>
          </w:tcPr>
          <w:p>
            <w:pPr>
              <w:pStyle w:val="TableParagraph"/>
              <w:spacing w:line="250" w:lineRule="exact"/>
              <w:ind w:left="77" w:firstLine="3"/>
              <w:rPr>
                <w:sz w:val="22"/>
              </w:rPr>
            </w:pPr>
            <w:r>
              <w:rPr>
                <w:color w:val="0F0F0F"/>
                <w:sz w:val="22"/>
              </w:rPr>
              <w:t>Head</w:t>
            </w:r>
            <w:r>
              <w:rPr>
                <w:color w:val="0F0F0F"/>
                <w:spacing w:val="-7"/>
                <w:sz w:val="22"/>
              </w:rPr>
              <w:t> </w:t>
            </w:r>
            <w:r>
              <w:rPr>
                <w:color w:val="0F0F0F"/>
                <w:sz w:val="22"/>
              </w:rPr>
              <w:t>of</w:t>
            </w:r>
            <w:r>
              <w:rPr>
                <w:color w:val="0F0F0F"/>
                <w:spacing w:val="-8"/>
                <w:sz w:val="22"/>
              </w:rPr>
              <w:t> </w:t>
            </w:r>
            <w:r>
              <w:rPr>
                <w:color w:val="0F0F0F"/>
                <w:sz w:val="22"/>
              </w:rPr>
              <w:t>Finance</w:t>
            </w:r>
            <w:r>
              <w:rPr>
                <w:color w:val="0F0F0F"/>
                <w:spacing w:val="-3"/>
                <w:sz w:val="22"/>
              </w:rPr>
              <w:t> </w:t>
            </w:r>
            <w:r>
              <w:rPr>
                <w:color w:val="0F0F0F"/>
                <w:sz w:val="22"/>
              </w:rPr>
              <w:t>&amp; Business</w:t>
            </w:r>
            <w:r>
              <w:rPr>
                <w:color w:val="0F0F0F"/>
                <w:spacing w:val="7"/>
                <w:sz w:val="22"/>
              </w:rPr>
              <w:t> </w:t>
            </w:r>
            <w:r>
              <w:rPr>
                <w:color w:val="0F0F0F"/>
                <w:spacing w:val="-2"/>
                <w:sz w:val="22"/>
              </w:rPr>
              <w:t>Services</w:t>
            </w:r>
          </w:p>
        </w:tc>
        <w:tc>
          <w:tcPr>
            <w:tcW w:w="72" w:type="dxa"/>
          </w:tcPr>
          <w:p>
            <w:pPr>
              <w:pStyle w:val="TableParagraph"/>
              <w:rPr>
                <w:rFonts w:ascii="Times New Roman"/>
                <w:sz w:val="20"/>
              </w:rPr>
            </w:pPr>
          </w:p>
        </w:tc>
        <w:tc>
          <w:tcPr>
            <w:tcW w:w="1298" w:type="dxa"/>
          </w:tcPr>
          <w:p>
            <w:pPr>
              <w:pStyle w:val="TableParagraph"/>
              <w:spacing w:before="252" w:line="235" w:lineRule="exact"/>
              <w:ind w:right="281"/>
              <w:jc w:val="right"/>
              <w:rPr>
                <w:sz w:val="22"/>
              </w:rPr>
            </w:pPr>
            <w:r>
              <w:rPr>
                <w:color w:val="0F0F0F"/>
                <w:spacing w:val="-5"/>
                <w:w w:val="105"/>
                <w:sz w:val="22"/>
              </w:rPr>
              <w:t>88</w:t>
            </w:r>
          </w:p>
        </w:tc>
        <w:tc>
          <w:tcPr>
            <w:tcW w:w="1994" w:type="dxa"/>
          </w:tcPr>
          <w:p>
            <w:pPr>
              <w:pStyle w:val="TableParagraph"/>
              <w:rPr>
                <w:rFonts w:ascii="Times New Roman"/>
                <w:sz w:val="20"/>
              </w:rPr>
            </w:pPr>
          </w:p>
        </w:tc>
        <w:tc>
          <w:tcPr>
            <w:tcW w:w="1764" w:type="dxa"/>
          </w:tcPr>
          <w:p>
            <w:pPr>
              <w:pStyle w:val="TableParagraph"/>
              <w:rPr>
                <w:rFonts w:ascii="Times New Roman"/>
                <w:sz w:val="20"/>
              </w:rPr>
            </w:pPr>
          </w:p>
        </w:tc>
        <w:tc>
          <w:tcPr>
            <w:tcW w:w="568" w:type="dxa"/>
          </w:tcPr>
          <w:p>
            <w:pPr>
              <w:pStyle w:val="TableParagraph"/>
              <w:spacing w:before="247" w:line="240" w:lineRule="exact"/>
              <w:ind w:right="170"/>
              <w:jc w:val="right"/>
              <w:rPr>
                <w:sz w:val="22"/>
              </w:rPr>
            </w:pPr>
            <w:r>
              <w:rPr>
                <w:color w:val="0F0F0F"/>
                <w:spacing w:val="-5"/>
                <w:sz w:val="22"/>
              </w:rPr>
              <w:t>16</w:t>
            </w:r>
          </w:p>
        </w:tc>
        <w:tc>
          <w:tcPr>
            <w:tcW w:w="828" w:type="dxa"/>
          </w:tcPr>
          <w:p>
            <w:pPr>
              <w:pStyle w:val="TableParagraph"/>
              <w:spacing w:before="15"/>
              <w:rPr>
                <w:sz w:val="21"/>
              </w:rPr>
            </w:pPr>
          </w:p>
          <w:p>
            <w:pPr>
              <w:pStyle w:val="TableParagraph"/>
              <w:spacing w:line="230" w:lineRule="exact"/>
              <w:ind w:right="4"/>
              <w:jc w:val="right"/>
              <w:rPr>
                <w:b/>
                <w:sz w:val="21"/>
              </w:rPr>
            </w:pPr>
            <w:r>
              <w:rPr>
                <w:b/>
                <w:color w:val="0F0F0F"/>
                <w:spacing w:val="-5"/>
                <w:w w:val="105"/>
                <w:sz w:val="21"/>
              </w:rPr>
              <w:t>104</w:t>
            </w:r>
          </w:p>
        </w:tc>
        <w:tc>
          <w:tcPr>
            <w:tcW w:w="88" w:type="dxa"/>
          </w:tcPr>
          <w:p>
            <w:pPr>
              <w:pStyle w:val="TableParagraph"/>
              <w:rPr>
                <w:rFonts w:ascii="Times New Roman"/>
                <w:sz w:val="20"/>
              </w:rPr>
            </w:pPr>
          </w:p>
        </w:tc>
      </w:tr>
      <w:tr>
        <w:trPr>
          <w:trHeight w:val="252" w:hRule="atLeast"/>
        </w:trPr>
        <w:tc>
          <w:tcPr>
            <w:tcW w:w="2651" w:type="dxa"/>
          </w:tcPr>
          <w:p>
            <w:pPr>
              <w:pStyle w:val="TableParagraph"/>
              <w:spacing w:line="232" w:lineRule="exact"/>
              <w:ind w:left="70"/>
              <w:rPr>
                <w:sz w:val="22"/>
              </w:rPr>
            </w:pPr>
            <w:r>
              <w:rPr>
                <w:color w:val="0F0F0F"/>
                <w:sz w:val="22"/>
              </w:rPr>
              <w:t>Head of</w:t>
            </w:r>
            <w:r>
              <w:rPr>
                <w:color w:val="0F0F0F"/>
                <w:spacing w:val="-4"/>
                <w:sz w:val="22"/>
              </w:rPr>
              <w:t> </w:t>
            </w:r>
            <w:r>
              <w:rPr>
                <w:color w:val="0F0F0F"/>
                <w:sz w:val="22"/>
              </w:rPr>
              <w:t>Partnerships</w:t>
            </w:r>
            <w:r>
              <w:rPr>
                <w:color w:val="0F0F0F"/>
                <w:spacing w:val="15"/>
                <w:sz w:val="22"/>
              </w:rPr>
              <w:t> </w:t>
            </w:r>
            <w:r>
              <w:rPr>
                <w:color w:val="0F0F0F"/>
                <w:spacing w:val="-10"/>
                <w:sz w:val="22"/>
              </w:rPr>
              <w:t>&amp;</w:t>
            </w:r>
          </w:p>
        </w:tc>
        <w:tc>
          <w:tcPr>
            <w:tcW w:w="72" w:type="dxa"/>
          </w:tcPr>
          <w:p>
            <w:pPr>
              <w:pStyle w:val="TableParagraph"/>
              <w:rPr>
                <w:rFonts w:ascii="Times New Roman"/>
                <w:sz w:val="18"/>
              </w:rPr>
            </w:pPr>
          </w:p>
        </w:tc>
        <w:tc>
          <w:tcPr>
            <w:tcW w:w="1298" w:type="dxa"/>
          </w:tcPr>
          <w:p>
            <w:pPr>
              <w:pStyle w:val="TableParagraph"/>
              <w:rPr>
                <w:rFonts w:ascii="Times New Roman"/>
                <w:sz w:val="18"/>
              </w:rPr>
            </w:pPr>
          </w:p>
        </w:tc>
        <w:tc>
          <w:tcPr>
            <w:tcW w:w="1994" w:type="dxa"/>
          </w:tcPr>
          <w:p>
            <w:pPr>
              <w:pStyle w:val="TableParagraph"/>
              <w:rPr>
                <w:rFonts w:ascii="Times New Roman"/>
                <w:sz w:val="18"/>
              </w:rPr>
            </w:pPr>
          </w:p>
        </w:tc>
        <w:tc>
          <w:tcPr>
            <w:tcW w:w="1764" w:type="dxa"/>
          </w:tcPr>
          <w:p>
            <w:pPr>
              <w:pStyle w:val="TableParagraph"/>
              <w:rPr>
                <w:rFonts w:ascii="Times New Roman"/>
                <w:sz w:val="18"/>
              </w:rPr>
            </w:pPr>
          </w:p>
        </w:tc>
        <w:tc>
          <w:tcPr>
            <w:tcW w:w="568" w:type="dxa"/>
          </w:tcPr>
          <w:p>
            <w:pPr>
              <w:pStyle w:val="TableParagraph"/>
              <w:rPr>
                <w:rFonts w:ascii="Times New Roman"/>
                <w:sz w:val="18"/>
              </w:rPr>
            </w:pPr>
          </w:p>
        </w:tc>
        <w:tc>
          <w:tcPr>
            <w:tcW w:w="828" w:type="dxa"/>
          </w:tcPr>
          <w:p>
            <w:pPr>
              <w:pStyle w:val="TableParagraph"/>
              <w:rPr>
                <w:rFonts w:ascii="Times New Roman"/>
                <w:sz w:val="18"/>
              </w:rPr>
            </w:pPr>
          </w:p>
        </w:tc>
        <w:tc>
          <w:tcPr>
            <w:tcW w:w="88" w:type="dxa"/>
          </w:tcPr>
          <w:p>
            <w:pPr>
              <w:pStyle w:val="TableParagraph"/>
              <w:rPr>
                <w:rFonts w:ascii="Times New Roman"/>
                <w:sz w:val="18"/>
              </w:rPr>
            </w:pPr>
          </w:p>
        </w:tc>
      </w:tr>
      <w:tr>
        <w:trPr>
          <w:trHeight w:val="276" w:hRule="atLeast"/>
        </w:trPr>
        <w:tc>
          <w:tcPr>
            <w:tcW w:w="2651" w:type="dxa"/>
          </w:tcPr>
          <w:p>
            <w:pPr>
              <w:pStyle w:val="TableParagraph"/>
              <w:spacing w:line="250" w:lineRule="exact"/>
              <w:ind w:left="67"/>
              <w:rPr>
                <w:sz w:val="22"/>
              </w:rPr>
            </w:pPr>
            <w:r>
              <w:rPr>
                <w:color w:val="0F0F0F"/>
                <w:sz w:val="22"/>
              </w:rPr>
              <w:t>Community</w:t>
            </w:r>
            <w:r>
              <w:rPr>
                <w:color w:val="0F0F0F"/>
                <w:spacing w:val="20"/>
                <w:sz w:val="22"/>
              </w:rPr>
              <w:t> </w:t>
            </w:r>
            <w:r>
              <w:rPr>
                <w:color w:val="0F0F0F"/>
                <w:spacing w:val="-2"/>
                <w:sz w:val="22"/>
              </w:rPr>
              <w:t>Engagement</w:t>
            </w:r>
          </w:p>
        </w:tc>
        <w:tc>
          <w:tcPr>
            <w:tcW w:w="72" w:type="dxa"/>
          </w:tcPr>
          <w:p>
            <w:pPr>
              <w:pStyle w:val="TableParagraph"/>
              <w:rPr>
                <w:rFonts w:ascii="Times New Roman"/>
                <w:sz w:val="20"/>
              </w:rPr>
            </w:pPr>
          </w:p>
        </w:tc>
        <w:tc>
          <w:tcPr>
            <w:tcW w:w="1298" w:type="dxa"/>
          </w:tcPr>
          <w:p>
            <w:pPr>
              <w:pStyle w:val="TableParagraph"/>
              <w:spacing w:before="2"/>
              <w:ind w:right="285"/>
              <w:jc w:val="right"/>
              <w:rPr>
                <w:sz w:val="22"/>
              </w:rPr>
            </w:pPr>
            <w:r>
              <w:rPr>
                <w:color w:val="0F0F0F"/>
                <w:spacing w:val="-5"/>
                <w:sz w:val="22"/>
              </w:rPr>
              <w:t>88</w:t>
            </w:r>
          </w:p>
        </w:tc>
        <w:tc>
          <w:tcPr>
            <w:tcW w:w="1994" w:type="dxa"/>
          </w:tcPr>
          <w:p>
            <w:pPr>
              <w:pStyle w:val="TableParagraph"/>
              <w:rPr>
                <w:rFonts w:ascii="Times New Roman"/>
                <w:sz w:val="20"/>
              </w:rPr>
            </w:pPr>
          </w:p>
        </w:tc>
        <w:tc>
          <w:tcPr>
            <w:tcW w:w="1764" w:type="dxa"/>
          </w:tcPr>
          <w:p>
            <w:pPr>
              <w:pStyle w:val="TableParagraph"/>
              <w:rPr>
                <w:rFonts w:ascii="Times New Roman"/>
                <w:sz w:val="20"/>
              </w:rPr>
            </w:pPr>
          </w:p>
        </w:tc>
        <w:tc>
          <w:tcPr>
            <w:tcW w:w="568" w:type="dxa"/>
          </w:tcPr>
          <w:p>
            <w:pPr>
              <w:pStyle w:val="TableParagraph"/>
              <w:spacing w:line="250" w:lineRule="exact"/>
              <w:ind w:right="174"/>
              <w:jc w:val="right"/>
              <w:rPr>
                <w:sz w:val="22"/>
              </w:rPr>
            </w:pPr>
            <w:r>
              <w:rPr>
                <w:color w:val="0F0F0F"/>
                <w:spacing w:val="-5"/>
                <w:sz w:val="22"/>
              </w:rPr>
              <w:t>16</w:t>
            </w:r>
          </w:p>
        </w:tc>
        <w:tc>
          <w:tcPr>
            <w:tcW w:w="828" w:type="dxa"/>
          </w:tcPr>
          <w:p>
            <w:pPr>
              <w:pStyle w:val="TableParagraph"/>
              <w:spacing w:before="2"/>
              <w:ind w:right="9"/>
              <w:jc w:val="right"/>
              <w:rPr>
                <w:b/>
                <w:sz w:val="21"/>
              </w:rPr>
            </w:pPr>
            <w:r>
              <w:rPr>
                <w:b/>
                <w:color w:val="0F0F0F"/>
                <w:spacing w:val="-5"/>
                <w:w w:val="105"/>
                <w:sz w:val="21"/>
              </w:rPr>
              <w:t>104</w:t>
            </w:r>
          </w:p>
        </w:tc>
        <w:tc>
          <w:tcPr>
            <w:tcW w:w="88" w:type="dxa"/>
          </w:tcPr>
          <w:p>
            <w:pPr>
              <w:pStyle w:val="TableParagraph"/>
              <w:rPr>
                <w:rFonts w:ascii="Times New Roman"/>
                <w:sz w:val="20"/>
              </w:rPr>
            </w:pPr>
          </w:p>
        </w:tc>
      </w:tr>
      <w:tr>
        <w:trPr>
          <w:trHeight w:val="271" w:hRule="atLeast"/>
        </w:trPr>
        <w:tc>
          <w:tcPr>
            <w:tcW w:w="2651" w:type="dxa"/>
          </w:tcPr>
          <w:p>
            <w:pPr>
              <w:pStyle w:val="TableParagraph"/>
              <w:spacing w:before="14" w:line="237" w:lineRule="exact"/>
              <w:ind w:left="65"/>
              <w:rPr>
                <w:sz w:val="22"/>
              </w:rPr>
            </w:pPr>
            <w:r>
              <w:rPr>
                <w:color w:val="0F0F0F"/>
                <w:sz w:val="22"/>
              </w:rPr>
              <w:t>Head</w:t>
            </w:r>
            <w:r>
              <w:rPr>
                <w:color w:val="0F0F0F"/>
                <w:spacing w:val="4"/>
                <w:sz w:val="22"/>
              </w:rPr>
              <w:t> </w:t>
            </w:r>
            <w:r>
              <w:rPr>
                <w:color w:val="0F0F0F"/>
                <w:sz w:val="22"/>
              </w:rPr>
              <w:t>of</w:t>
            </w:r>
            <w:r>
              <w:rPr>
                <w:color w:val="0F0F0F"/>
                <w:spacing w:val="2"/>
                <w:sz w:val="22"/>
              </w:rPr>
              <w:t> </w:t>
            </w:r>
            <w:r>
              <w:rPr>
                <w:color w:val="0F0F0F"/>
                <w:sz w:val="22"/>
              </w:rPr>
              <w:t>Legal</w:t>
            </w:r>
            <w:r>
              <w:rPr>
                <w:color w:val="0F0F0F"/>
                <w:spacing w:val="2"/>
                <w:sz w:val="22"/>
              </w:rPr>
              <w:t> </w:t>
            </w:r>
            <w:r>
              <w:rPr>
                <w:color w:val="0F0F0F"/>
                <w:spacing w:val="-10"/>
                <w:sz w:val="22"/>
              </w:rPr>
              <w:t>&amp;</w:t>
            </w:r>
          </w:p>
        </w:tc>
        <w:tc>
          <w:tcPr>
            <w:tcW w:w="72" w:type="dxa"/>
          </w:tcPr>
          <w:p>
            <w:pPr>
              <w:pStyle w:val="TableParagraph"/>
              <w:rPr>
                <w:rFonts w:ascii="Times New Roman"/>
                <w:sz w:val="20"/>
              </w:rPr>
            </w:pPr>
          </w:p>
        </w:tc>
        <w:tc>
          <w:tcPr>
            <w:tcW w:w="1298" w:type="dxa"/>
          </w:tcPr>
          <w:p>
            <w:pPr>
              <w:pStyle w:val="TableParagraph"/>
              <w:rPr>
                <w:rFonts w:ascii="Times New Roman"/>
                <w:sz w:val="20"/>
              </w:rPr>
            </w:pPr>
          </w:p>
        </w:tc>
        <w:tc>
          <w:tcPr>
            <w:tcW w:w="1994" w:type="dxa"/>
          </w:tcPr>
          <w:p>
            <w:pPr>
              <w:pStyle w:val="TableParagraph"/>
              <w:rPr>
                <w:rFonts w:ascii="Times New Roman"/>
                <w:sz w:val="20"/>
              </w:rPr>
            </w:pPr>
          </w:p>
        </w:tc>
        <w:tc>
          <w:tcPr>
            <w:tcW w:w="1764" w:type="dxa"/>
          </w:tcPr>
          <w:p>
            <w:pPr>
              <w:pStyle w:val="TableParagraph"/>
              <w:rPr>
                <w:rFonts w:ascii="Times New Roman"/>
                <w:sz w:val="20"/>
              </w:rPr>
            </w:pPr>
          </w:p>
        </w:tc>
        <w:tc>
          <w:tcPr>
            <w:tcW w:w="568" w:type="dxa"/>
          </w:tcPr>
          <w:p>
            <w:pPr>
              <w:pStyle w:val="TableParagraph"/>
              <w:rPr>
                <w:rFonts w:ascii="Times New Roman"/>
                <w:sz w:val="20"/>
              </w:rPr>
            </w:pPr>
          </w:p>
        </w:tc>
        <w:tc>
          <w:tcPr>
            <w:tcW w:w="828" w:type="dxa"/>
          </w:tcPr>
          <w:p>
            <w:pPr>
              <w:pStyle w:val="TableParagraph"/>
              <w:rPr>
                <w:rFonts w:ascii="Times New Roman"/>
                <w:sz w:val="20"/>
              </w:rPr>
            </w:pPr>
          </w:p>
        </w:tc>
        <w:tc>
          <w:tcPr>
            <w:tcW w:w="88" w:type="dxa"/>
          </w:tcPr>
          <w:p>
            <w:pPr>
              <w:pStyle w:val="TableParagraph"/>
              <w:rPr>
                <w:rFonts w:ascii="Times New Roman"/>
                <w:sz w:val="20"/>
              </w:rPr>
            </w:pPr>
          </w:p>
        </w:tc>
      </w:tr>
      <w:tr>
        <w:trPr>
          <w:trHeight w:val="795" w:hRule="atLeast"/>
        </w:trPr>
        <w:tc>
          <w:tcPr>
            <w:tcW w:w="2651" w:type="dxa"/>
          </w:tcPr>
          <w:p>
            <w:pPr>
              <w:pStyle w:val="TableParagraph"/>
              <w:spacing w:line="250" w:lineRule="exact"/>
              <w:ind w:left="61"/>
              <w:rPr>
                <w:sz w:val="22"/>
              </w:rPr>
            </w:pPr>
            <w:r>
              <w:rPr>
                <w:color w:val="0F0F0F"/>
                <w:sz w:val="22"/>
              </w:rPr>
              <w:t>Democratic</w:t>
            </w:r>
            <w:r>
              <w:rPr>
                <w:color w:val="0F0F0F"/>
                <w:spacing w:val="12"/>
                <w:sz w:val="22"/>
              </w:rPr>
              <w:t> </w:t>
            </w:r>
            <w:r>
              <w:rPr>
                <w:color w:val="0F0F0F"/>
                <w:spacing w:val="-2"/>
                <w:sz w:val="22"/>
              </w:rPr>
              <w:t>Services</w:t>
            </w:r>
          </w:p>
          <w:p>
            <w:pPr>
              <w:pStyle w:val="TableParagraph"/>
              <w:spacing w:before="25" w:line="250" w:lineRule="exact"/>
              <w:ind w:left="58" w:hanging="3"/>
              <w:rPr>
                <w:sz w:val="22"/>
              </w:rPr>
            </w:pPr>
            <w:r>
              <w:rPr>
                <w:color w:val="0F0F0F"/>
                <w:sz w:val="22"/>
              </w:rPr>
              <w:t>Head</w:t>
            </w:r>
            <w:r>
              <w:rPr>
                <w:color w:val="0F0F0F"/>
                <w:spacing w:val="-4"/>
                <w:sz w:val="22"/>
              </w:rPr>
              <w:t> </w:t>
            </w:r>
            <w:r>
              <w:rPr>
                <w:color w:val="0F0F0F"/>
                <w:sz w:val="22"/>
              </w:rPr>
              <w:t>of</w:t>
            </w:r>
            <w:r>
              <w:rPr>
                <w:color w:val="0F0F0F"/>
                <w:spacing w:val="-9"/>
                <w:sz w:val="22"/>
              </w:rPr>
              <w:t> </w:t>
            </w:r>
            <w:r>
              <w:rPr>
                <w:color w:val="0F0F0F"/>
                <w:sz w:val="22"/>
              </w:rPr>
              <w:t>HR</w:t>
            </w:r>
            <w:r>
              <w:rPr>
                <w:color w:val="0F0F0F"/>
                <w:spacing w:val="-3"/>
                <w:sz w:val="22"/>
              </w:rPr>
              <w:t> </w:t>
            </w:r>
            <w:r>
              <w:rPr>
                <w:color w:val="0F0F0F"/>
                <w:sz w:val="22"/>
              </w:rPr>
              <w:t>&amp;</w:t>
            </w:r>
            <w:r>
              <w:rPr>
                <w:color w:val="0F0F0F"/>
                <w:spacing w:val="-14"/>
                <w:sz w:val="22"/>
              </w:rPr>
              <w:t> </w:t>
            </w:r>
            <w:r>
              <w:rPr>
                <w:color w:val="0F0F0F"/>
                <w:sz w:val="22"/>
              </w:rPr>
              <w:t>Customer </w:t>
            </w:r>
            <w:r>
              <w:rPr>
                <w:color w:val="0F0F0F"/>
                <w:spacing w:val="-2"/>
                <w:sz w:val="22"/>
              </w:rPr>
              <w:t>Services</w:t>
            </w:r>
          </w:p>
        </w:tc>
        <w:tc>
          <w:tcPr>
            <w:tcW w:w="72" w:type="dxa"/>
          </w:tcPr>
          <w:p>
            <w:pPr>
              <w:pStyle w:val="TableParagraph"/>
              <w:rPr>
                <w:rFonts w:ascii="Times New Roman"/>
                <w:sz w:val="20"/>
              </w:rPr>
            </w:pPr>
          </w:p>
        </w:tc>
        <w:tc>
          <w:tcPr>
            <w:tcW w:w="1298" w:type="dxa"/>
            <w:tcBorders>
              <w:bottom w:val="single" w:color="000000" w:sz="6" w:space="0"/>
            </w:tcBorders>
          </w:tcPr>
          <w:p>
            <w:pPr>
              <w:pStyle w:val="TableParagraph"/>
              <w:spacing w:before="40"/>
              <w:ind w:left="750"/>
              <w:rPr>
                <w:sz w:val="22"/>
              </w:rPr>
            </w:pPr>
            <w:r>
              <w:rPr>
                <w:color w:val="0F0F0F"/>
                <w:spacing w:val="-5"/>
                <w:sz w:val="22"/>
              </w:rPr>
              <w:t>88</w:t>
            </w:r>
          </w:p>
          <w:p>
            <w:pPr>
              <w:pStyle w:val="TableParagraph"/>
              <w:spacing w:before="4"/>
              <w:rPr>
                <w:sz w:val="22"/>
              </w:rPr>
            </w:pPr>
          </w:p>
          <w:p>
            <w:pPr>
              <w:pStyle w:val="TableParagraph"/>
              <w:spacing w:line="212" w:lineRule="exact"/>
              <w:ind w:left="746"/>
              <w:rPr>
                <w:sz w:val="22"/>
              </w:rPr>
            </w:pPr>
            <w:r>
              <w:rPr>
                <w:color w:val="0F0F0F"/>
                <w:spacing w:val="-5"/>
                <w:w w:val="105"/>
                <w:sz w:val="22"/>
              </w:rPr>
              <w:t>60</w:t>
            </w:r>
          </w:p>
        </w:tc>
        <w:tc>
          <w:tcPr>
            <w:tcW w:w="1994" w:type="dxa"/>
            <w:tcBorders>
              <w:bottom w:val="single" w:color="000000" w:sz="6" w:space="0"/>
            </w:tcBorders>
          </w:tcPr>
          <w:p>
            <w:pPr>
              <w:pStyle w:val="TableParagraph"/>
              <w:rPr>
                <w:rFonts w:ascii="Times New Roman"/>
                <w:sz w:val="20"/>
              </w:rPr>
            </w:pPr>
          </w:p>
        </w:tc>
        <w:tc>
          <w:tcPr>
            <w:tcW w:w="1764" w:type="dxa"/>
            <w:tcBorders>
              <w:bottom w:val="single" w:color="000000" w:sz="6" w:space="0"/>
            </w:tcBorders>
          </w:tcPr>
          <w:p>
            <w:pPr>
              <w:pStyle w:val="TableParagraph"/>
              <w:rPr>
                <w:rFonts w:ascii="Times New Roman"/>
                <w:sz w:val="20"/>
              </w:rPr>
            </w:pPr>
          </w:p>
        </w:tc>
        <w:tc>
          <w:tcPr>
            <w:tcW w:w="568" w:type="dxa"/>
            <w:tcBorders>
              <w:bottom w:val="single" w:color="000000" w:sz="6" w:space="0"/>
            </w:tcBorders>
          </w:tcPr>
          <w:p>
            <w:pPr>
              <w:pStyle w:val="TableParagraph"/>
              <w:spacing w:before="35"/>
              <w:ind w:left="136"/>
              <w:rPr>
                <w:sz w:val="22"/>
              </w:rPr>
            </w:pPr>
            <w:r>
              <w:rPr>
                <w:color w:val="0F0F0F"/>
                <w:spacing w:val="-5"/>
                <w:w w:val="105"/>
                <w:sz w:val="22"/>
              </w:rPr>
              <w:t>16</w:t>
            </w:r>
          </w:p>
          <w:p>
            <w:pPr>
              <w:pStyle w:val="TableParagraph"/>
              <w:spacing w:before="4"/>
              <w:rPr>
                <w:sz w:val="22"/>
              </w:rPr>
            </w:pPr>
          </w:p>
          <w:p>
            <w:pPr>
              <w:pStyle w:val="TableParagraph"/>
              <w:spacing w:line="217" w:lineRule="exact"/>
              <w:ind w:left="136"/>
              <w:rPr>
                <w:sz w:val="22"/>
              </w:rPr>
            </w:pPr>
            <w:r>
              <w:rPr>
                <w:color w:val="0F0F0F"/>
                <w:spacing w:val="-5"/>
                <w:sz w:val="22"/>
              </w:rPr>
              <w:t>11</w:t>
            </w:r>
          </w:p>
        </w:tc>
        <w:tc>
          <w:tcPr>
            <w:tcW w:w="828" w:type="dxa"/>
            <w:tcBorders>
              <w:bottom w:val="single" w:color="000000" w:sz="6" w:space="0"/>
            </w:tcBorders>
          </w:tcPr>
          <w:p>
            <w:pPr>
              <w:pStyle w:val="TableParagraph"/>
              <w:spacing w:before="40"/>
              <w:ind w:left="445"/>
              <w:rPr>
                <w:b/>
                <w:sz w:val="21"/>
              </w:rPr>
            </w:pPr>
            <w:r>
              <w:rPr>
                <w:b/>
                <w:color w:val="0F0F0F"/>
                <w:spacing w:val="-5"/>
                <w:w w:val="105"/>
                <w:sz w:val="21"/>
              </w:rPr>
              <w:t>104</w:t>
            </w:r>
          </w:p>
          <w:p>
            <w:pPr>
              <w:pStyle w:val="TableParagraph"/>
              <w:spacing w:before="26"/>
              <w:rPr>
                <w:sz w:val="21"/>
              </w:rPr>
            </w:pPr>
          </w:p>
          <w:p>
            <w:pPr>
              <w:pStyle w:val="TableParagraph"/>
              <w:spacing w:line="213" w:lineRule="exact"/>
              <w:ind w:right="13"/>
              <w:jc w:val="right"/>
              <w:rPr>
                <w:b/>
                <w:sz w:val="21"/>
              </w:rPr>
            </w:pPr>
            <w:r>
              <w:rPr>
                <w:b/>
                <w:color w:val="0F0F0F"/>
                <w:spacing w:val="-5"/>
                <w:w w:val="105"/>
                <w:sz w:val="21"/>
              </w:rPr>
              <w:t>71</w:t>
            </w:r>
          </w:p>
        </w:tc>
        <w:tc>
          <w:tcPr>
            <w:tcW w:w="88" w:type="dxa"/>
          </w:tcPr>
          <w:p>
            <w:pPr>
              <w:pStyle w:val="TableParagraph"/>
              <w:rPr>
                <w:rFonts w:ascii="Times New Roman"/>
                <w:sz w:val="20"/>
              </w:rPr>
            </w:pPr>
          </w:p>
        </w:tc>
      </w:tr>
      <w:tr>
        <w:trPr>
          <w:trHeight w:val="265" w:hRule="atLeast"/>
        </w:trPr>
        <w:tc>
          <w:tcPr>
            <w:tcW w:w="2651" w:type="dxa"/>
          </w:tcPr>
          <w:p>
            <w:pPr>
              <w:pStyle w:val="TableParagraph"/>
              <w:spacing w:before="13" w:line="232" w:lineRule="exact"/>
              <w:ind w:left="50"/>
              <w:rPr>
                <w:b/>
                <w:sz w:val="21"/>
              </w:rPr>
            </w:pPr>
            <w:r>
              <w:rPr>
                <w:b/>
                <w:color w:val="0F0F0F"/>
                <w:spacing w:val="-4"/>
                <w:w w:val="105"/>
                <w:sz w:val="21"/>
              </w:rPr>
              <w:t>Total</w:t>
            </w:r>
          </w:p>
        </w:tc>
        <w:tc>
          <w:tcPr>
            <w:tcW w:w="72" w:type="dxa"/>
            <w:tcBorders>
              <w:bottom w:val="single" w:color="000000" w:sz="6" w:space="0"/>
            </w:tcBorders>
          </w:tcPr>
          <w:p>
            <w:pPr>
              <w:pStyle w:val="TableParagraph"/>
              <w:rPr>
                <w:rFonts w:ascii="Times New Roman"/>
                <w:sz w:val="18"/>
              </w:rPr>
            </w:pPr>
          </w:p>
        </w:tc>
        <w:tc>
          <w:tcPr>
            <w:tcW w:w="1298" w:type="dxa"/>
            <w:tcBorders>
              <w:top w:val="single" w:color="000000" w:sz="6" w:space="0"/>
              <w:bottom w:val="single" w:color="000000" w:sz="6" w:space="0"/>
            </w:tcBorders>
          </w:tcPr>
          <w:p>
            <w:pPr>
              <w:pStyle w:val="TableParagraph"/>
              <w:spacing w:before="40" w:line="218" w:lineRule="exact"/>
              <w:ind w:right="303"/>
              <w:jc w:val="right"/>
              <w:rPr>
                <w:b/>
                <w:sz w:val="21"/>
              </w:rPr>
            </w:pPr>
            <w:r>
              <w:rPr>
                <w:b/>
                <w:color w:val="0F0F0F"/>
                <w:spacing w:val="-5"/>
                <w:w w:val="105"/>
                <w:sz w:val="21"/>
              </w:rPr>
              <w:t>585</w:t>
            </w:r>
          </w:p>
        </w:tc>
        <w:tc>
          <w:tcPr>
            <w:tcW w:w="1994" w:type="dxa"/>
            <w:tcBorders>
              <w:top w:val="single" w:color="000000" w:sz="6" w:space="0"/>
              <w:bottom w:val="single" w:color="000000" w:sz="6" w:space="0"/>
            </w:tcBorders>
          </w:tcPr>
          <w:p>
            <w:pPr>
              <w:pStyle w:val="TableParagraph"/>
              <w:rPr>
                <w:rFonts w:ascii="Times New Roman"/>
                <w:sz w:val="20"/>
              </w:rPr>
            </w:pPr>
          </w:p>
        </w:tc>
        <w:tc>
          <w:tcPr>
            <w:tcW w:w="1764" w:type="dxa"/>
            <w:tcBorders>
              <w:top w:val="single" w:color="000000" w:sz="6" w:space="0"/>
              <w:bottom w:val="single" w:color="000000" w:sz="6" w:space="0"/>
            </w:tcBorders>
          </w:tcPr>
          <w:p>
            <w:pPr>
              <w:pStyle w:val="TableParagraph"/>
              <w:rPr>
                <w:rFonts w:ascii="Times New Roman"/>
                <w:sz w:val="20"/>
              </w:rPr>
            </w:pPr>
          </w:p>
        </w:tc>
        <w:tc>
          <w:tcPr>
            <w:tcW w:w="568" w:type="dxa"/>
            <w:tcBorders>
              <w:top w:val="single" w:color="000000" w:sz="6" w:space="0"/>
              <w:bottom w:val="single" w:color="000000" w:sz="6" w:space="0"/>
            </w:tcBorders>
          </w:tcPr>
          <w:p>
            <w:pPr>
              <w:pStyle w:val="TableParagraph"/>
              <w:spacing w:before="26" w:line="232" w:lineRule="exact"/>
              <w:ind w:right="185"/>
              <w:jc w:val="right"/>
              <w:rPr>
                <w:b/>
                <w:sz w:val="21"/>
              </w:rPr>
            </w:pPr>
            <w:r>
              <w:rPr>
                <w:b/>
                <w:color w:val="0F0F0F"/>
                <w:spacing w:val="-5"/>
                <w:w w:val="105"/>
                <w:sz w:val="21"/>
              </w:rPr>
              <w:t>107</w:t>
            </w:r>
          </w:p>
        </w:tc>
        <w:tc>
          <w:tcPr>
            <w:tcW w:w="828" w:type="dxa"/>
            <w:tcBorders>
              <w:top w:val="single" w:color="000000" w:sz="6" w:space="0"/>
              <w:bottom w:val="single" w:color="000000" w:sz="6" w:space="0"/>
            </w:tcBorders>
          </w:tcPr>
          <w:p>
            <w:pPr>
              <w:pStyle w:val="TableParagraph"/>
              <w:spacing w:before="40" w:line="218" w:lineRule="exact"/>
              <w:ind w:right="17"/>
              <w:jc w:val="right"/>
              <w:rPr>
                <w:b/>
                <w:sz w:val="21"/>
              </w:rPr>
            </w:pPr>
            <w:r>
              <w:rPr>
                <w:b/>
                <w:color w:val="0F0F0F"/>
                <w:spacing w:val="-5"/>
                <w:w w:val="105"/>
                <w:sz w:val="21"/>
              </w:rPr>
              <w:t>692</w:t>
            </w:r>
          </w:p>
        </w:tc>
        <w:tc>
          <w:tcPr>
            <w:tcW w:w="88" w:type="dxa"/>
            <w:tcBorders>
              <w:bottom w:val="single" w:color="000000" w:sz="6" w:space="0"/>
            </w:tcBorders>
          </w:tcPr>
          <w:p>
            <w:pPr>
              <w:pStyle w:val="TableParagraph"/>
              <w:rPr>
                <w:rFonts w:ascii="Times New Roman"/>
                <w:sz w:val="18"/>
              </w:rPr>
            </w:pPr>
          </w:p>
        </w:tc>
      </w:tr>
    </w:tbl>
    <w:p>
      <w:pPr>
        <w:pStyle w:val="BodyText"/>
        <w:rPr>
          <w:sz w:val="20"/>
        </w:rPr>
      </w:pPr>
    </w:p>
    <w:p>
      <w:pPr>
        <w:pStyle w:val="BodyText"/>
        <w:spacing w:before="126"/>
        <w:rPr>
          <w:sz w:val="20"/>
        </w:rPr>
      </w:pPr>
    </w:p>
    <w:tbl>
      <w:tblPr>
        <w:tblW w:w="0" w:type="auto"/>
        <w:jc w:val="left"/>
        <w:tblInd w:w="15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2646"/>
        <w:gridCol w:w="82"/>
        <w:gridCol w:w="1301"/>
        <w:gridCol w:w="2005"/>
        <w:gridCol w:w="1763"/>
        <w:gridCol w:w="576"/>
        <w:gridCol w:w="824"/>
        <w:gridCol w:w="104"/>
      </w:tblGrid>
      <w:tr>
        <w:trPr>
          <w:trHeight w:val="247" w:hRule="atLeast"/>
        </w:trPr>
        <w:tc>
          <w:tcPr>
            <w:tcW w:w="2728" w:type="dxa"/>
            <w:gridSpan w:val="2"/>
            <w:vMerge w:val="restart"/>
          </w:tcPr>
          <w:p>
            <w:pPr>
              <w:pStyle w:val="TableParagraph"/>
              <w:rPr>
                <w:rFonts w:ascii="Times New Roman"/>
                <w:sz w:val="20"/>
              </w:rPr>
            </w:pPr>
          </w:p>
        </w:tc>
        <w:tc>
          <w:tcPr>
            <w:tcW w:w="1301" w:type="dxa"/>
          </w:tcPr>
          <w:p>
            <w:pPr>
              <w:pStyle w:val="TableParagraph"/>
              <w:rPr>
                <w:rFonts w:ascii="Times New Roman"/>
                <w:sz w:val="18"/>
              </w:rPr>
            </w:pPr>
          </w:p>
        </w:tc>
        <w:tc>
          <w:tcPr>
            <w:tcW w:w="2005" w:type="dxa"/>
          </w:tcPr>
          <w:p>
            <w:pPr>
              <w:pStyle w:val="TableParagraph"/>
              <w:rPr>
                <w:rFonts w:ascii="Times New Roman"/>
                <w:sz w:val="18"/>
              </w:rPr>
            </w:pPr>
          </w:p>
        </w:tc>
        <w:tc>
          <w:tcPr>
            <w:tcW w:w="1763" w:type="dxa"/>
          </w:tcPr>
          <w:p>
            <w:pPr>
              <w:pStyle w:val="TableParagraph"/>
              <w:spacing w:line="227" w:lineRule="exact"/>
              <w:ind w:right="130"/>
              <w:jc w:val="right"/>
              <w:rPr>
                <w:sz w:val="21"/>
              </w:rPr>
            </w:pPr>
            <w:r>
              <w:rPr>
                <w:b/>
                <w:color w:val="0F0F0F"/>
                <w:w w:val="105"/>
                <w:sz w:val="21"/>
              </w:rPr>
              <w:t>Pension</w:t>
            </w:r>
            <w:r>
              <w:rPr>
                <w:b/>
                <w:color w:val="0F0F0F"/>
                <w:spacing w:val="-4"/>
                <w:w w:val="105"/>
                <w:sz w:val="21"/>
              </w:rPr>
              <w:t> </w:t>
            </w:r>
            <w:r>
              <w:rPr>
                <w:color w:val="0F0F0F"/>
                <w:spacing w:val="-10"/>
                <w:w w:val="105"/>
                <w:sz w:val="21"/>
              </w:rPr>
              <w:t>-</w:t>
            </w:r>
          </w:p>
        </w:tc>
        <w:tc>
          <w:tcPr>
            <w:tcW w:w="576" w:type="dxa"/>
          </w:tcPr>
          <w:p>
            <w:pPr>
              <w:pStyle w:val="TableParagraph"/>
              <w:rPr>
                <w:rFonts w:ascii="Times New Roman"/>
                <w:sz w:val="18"/>
              </w:rPr>
            </w:pPr>
          </w:p>
        </w:tc>
        <w:tc>
          <w:tcPr>
            <w:tcW w:w="824" w:type="dxa"/>
          </w:tcPr>
          <w:p>
            <w:pPr>
              <w:pStyle w:val="TableParagraph"/>
              <w:spacing w:line="227" w:lineRule="exact"/>
              <w:ind w:left="166"/>
              <w:rPr>
                <w:b/>
                <w:sz w:val="21"/>
              </w:rPr>
            </w:pPr>
            <w:r>
              <w:rPr>
                <w:b/>
                <w:color w:val="0F0F0F"/>
                <w:spacing w:val="-2"/>
                <w:sz w:val="21"/>
              </w:rPr>
              <w:t>2022-</w:t>
            </w:r>
          </w:p>
        </w:tc>
        <w:tc>
          <w:tcPr>
            <w:tcW w:w="104" w:type="dxa"/>
          </w:tcPr>
          <w:p>
            <w:pPr>
              <w:pStyle w:val="TableParagraph"/>
              <w:rPr>
                <w:rFonts w:ascii="Times New Roman"/>
                <w:sz w:val="18"/>
              </w:rPr>
            </w:pPr>
          </w:p>
        </w:tc>
      </w:tr>
      <w:tr>
        <w:trPr>
          <w:trHeight w:val="254" w:hRule="atLeast"/>
        </w:trPr>
        <w:tc>
          <w:tcPr>
            <w:tcW w:w="2728" w:type="dxa"/>
            <w:gridSpan w:val="2"/>
            <w:vMerge/>
            <w:tcBorders>
              <w:top w:val="nil"/>
            </w:tcBorders>
          </w:tcPr>
          <w:p>
            <w:pPr>
              <w:rPr>
                <w:sz w:val="2"/>
                <w:szCs w:val="2"/>
              </w:rPr>
            </w:pPr>
          </w:p>
        </w:tc>
        <w:tc>
          <w:tcPr>
            <w:tcW w:w="1301" w:type="dxa"/>
          </w:tcPr>
          <w:p>
            <w:pPr>
              <w:pStyle w:val="TableParagraph"/>
              <w:rPr>
                <w:rFonts w:ascii="Times New Roman"/>
                <w:sz w:val="18"/>
              </w:rPr>
            </w:pPr>
          </w:p>
        </w:tc>
        <w:tc>
          <w:tcPr>
            <w:tcW w:w="2005" w:type="dxa"/>
          </w:tcPr>
          <w:p>
            <w:pPr>
              <w:pStyle w:val="TableParagraph"/>
              <w:spacing w:before="5" w:line="229" w:lineRule="exact"/>
              <w:ind w:left="7" w:right="208"/>
              <w:jc w:val="center"/>
              <w:rPr>
                <w:b/>
                <w:sz w:val="21"/>
              </w:rPr>
            </w:pPr>
            <w:r>
              <w:rPr>
                <w:b/>
                <w:color w:val="0F0F0F"/>
                <w:spacing w:val="-2"/>
                <w:w w:val="105"/>
                <w:sz w:val="21"/>
              </w:rPr>
              <w:t>Termination</w:t>
            </w:r>
          </w:p>
        </w:tc>
        <w:tc>
          <w:tcPr>
            <w:tcW w:w="1763" w:type="dxa"/>
          </w:tcPr>
          <w:p>
            <w:pPr>
              <w:pStyle w:val="TableParagraph"/>
              <w:spacing w:before="1" w:line="234" w:lineRule="exact"/>
              <w:ind w:right="101"/>
              <w:jc w:val="right"/>
              <w:rPr>
                <w:b/>
                <w:sz w:val="21"/>
              </w:rPr>
            </w:pPr>
            <w:r>
              <w:rPr>
                <w:b/>
                <w:color w:val="0F0F0F"/>
                <w:spacing w:val="-2"/>
                <w:w w:val="105"/>
                <w:sz w:val="21"/>
              </w:rPr>
              <w:t>employers</w:t>
            </w:r>
          </w:p>
        </w:tc>
        <w:tc>
          <w:tcPr>
            <w:tcW w:w="576" w:type="dxa"/>
          </w:tcPr>
          <w:p>
            <w:pPr>
              <w:pStyle w:val="TableParagraph"/>
              <w:rPr>
                <w:rFonts w:ascii="Times New Roman"/>
                <w:sz w:val="18"/>
              </w:rPr>
            </w:pPr>
          </w:p>
        </w:tc>
        <w:tc>
          <w:tcPr>
            <w:tcW w:w="824" w:type="dxa"/>
          </w:tcPr>
          <w:p>
            <w:pPr>
              <w:pStyle w:val="TableParagraph"/>
              <w:spacing w:before="5" w:line="229" w:lineRule="exact"/>
              <w:ind w:left="320"/>
              <w:rPr>
                <w:b/>
                <w:sz w:val="21"/>
              </w:rPr>
            </w:pPr>
            <w:r>
              <w:rPr>
                <w:b/>
                <w:color w:val="0F0F0F"/>
                <w:spacing w:val="-5"/>
                <w:w w:val="105"/>
                <w:sz w:val="21"/>
              </w:rPr>
              <w:t>23</w:t>
            </w:r>
          </w:p>
        </w:tc>
        <w:tc>
          <w:tcPr>
            <w:tcW w:w="104" w:type="dxa"/>
          </w:tcPr>
          <w:p>
            <w:pPr>
              <w:pStyle w:val="TableParagraph"/>
              <w:rPr>
                <w:rFonts w:ascii="Times New Roman"/>
                <w:sz w:val="18"/>
              </w:rPr>
            </w:pPr>
          </w:p>
        </w:tc>
      </w:tr>
      <w:tr>
        <w:trPr>
          <w:trHeight w:val="266" w:hRule="atLeast"/>
        </w:trPr>
        <w:tc>
          <w:tcPr>
            <w:tcW w:w="2728" w:type="dxa"/>
            <w:gridSpan w:val="2"/>
            <w:vMerge/>
            <w:tcBorders>
              <w:top w:val="nil"/>
            </w:tcBorders>
          </w:tcPr>
          <w:p>
            <w:pPr>
              <w:rPr>
                <w:sz w:val="2"/>
                <w:szCs w:val="2"/>
              </w:rPr>
            </w:pPr>
          </w:p>
        </w:tc>
        <w:tc>
          <w:tcPr>
            <w:tcW w:w="1301" w:type="dxa"/>
          </w:tcPr>
          <w:p>
            <w:pPr>
              <w:pStyle w:val="TableParagraph"/>
              <w:spacing w:before="5" w:line="241" w:lineRule="exact"/>
              <w:ind w:left="213"/>
              <w:rPr>
                <w:b/>
                <w:sz w:val="21"/>
              </w:rPr>
            </w:pPr>
            <w:r>
              <w:rPr>
                <w:b/>
                <w:color w:val="0F0F0F"/>
                <w:spacing w:val="-2"/>
                <w:w w:val="105"/>
                <w:sz w:val="21"/>
              </w:rPr>
              <w:t>Salary</w:t>
            </w:r>
          </w:p>
        </w:tc>
        <w:tc>
          <w:tcPr>
            <w:tcW w:w="2005" w:type="dxa"/>
          </w:tcPr>
          <w:p>
            <w:pPr>
              <w:pStyle w:val="TableParagraph"/>
              <w:spacing w:before="5" w:line="241" w:lineRule="exact"/>
              <w:ind w:left="2" w:right="208"/>
              <w:jc w:val="center"/>
              <w:rPr>
                <w:b/>
                <w:sz w:val="21"/>
              </w:rPr>
            </w:pPr>
            <w:r>
              <w:rPr>
                <w:b/>
                <w:color w:val="0F0F0F"/>
                <w:spacing w:val="-2"/>
                <w:w w:val="105"/>
                <w:sz w:val="21"/>
              </w:rPr>
              <w:t>Benefits</w:t>
            </w:r>
          </w:p>
        </w:tc>
        <w:tc>
          <w:tcPr>
            <w:tcW w:w="1763" w:type="dxa"/>
          </w:tcPr>
          <w:p>
            <w:pPr>
              <w:pStyle w:val="TableParagraph"/>
              <w:spacing w:before="5" w:line="241" w:lineRule="exact"/>
              <w:ind w:right="9"/>
              <w:jc w:val="right"/>
              <w:rPr>
                <w:b/>
                <w:sz w:val="21"/>
              </w:rPr>
            </w:pPr>
            <w:r>
              <w:rPr>
                <w:b/>
                <w:color w:val="0F0F0F"/>
                <w:spacing w:val="-2"/>
                <w:w w:val="105"/>
                <w:sz w:val="21"/>
              </w:rPr>
              <w:t>contribution</w:t>
            </w:r>
          </w:p>
        </w:tc>
        <w:tc>
          <w:tcPr>
            <w:tcW w:w="576" w:type="dxa"/>
          </w:tcPr>
          <w:p>
            <w:pPr>
              <w:pStyle w:val="TableParagraph"/>
              <w:rPr>
                <w:rFonts w:ascii="Times New Roman"/>
                <w:sz w:val="18"/>
              </w:rPr>
            </w:pPr>
          </w:p>
        </w:tc>
        <w:tc>
          <w:tcPr>
            <w:tcW w:w="824" w:type="dxa"/>
          </w:tcPr>
          <w:p>
            <w:pPr>
              <w:pStyle w:val="TableParagraph"/>
              <w:spacing w:before="1"/>
              <w:ind w:left="172"/>
              <w:rPr>
                <w:b/>
                <w:sz w:val="21"/>
              </w:rPr>
            </w:pPr>
            <w:r>
              <w:rPr>
                <w:b/>
                <w:color w:val="0F0F0F"/>
                <w:spacing w:val="-4"/>
                <w:w w:val="105"/>
                <w:sz w:val="21"/>
              </w:rPr>
              <w:t>Total</w:t>
            </w:r>
          </w:p>
        </w:tc>
        <w:tc>
          <w:tcPr>
            <w:tcW w:w="104" w:type="dxa"/>
          </w:tcPr>
          <w:p>
            <w:pPr>
              <w:pStyle w:val="TableParagraph"/>
              <w:rPr>
                <w:rFonts w:ascii="Times New Roman"/>
                <w:sz w:val="18"/>
              </w:rPr>
            </w:pPr>
          </w:p>
        </w:tc>
      </w:tr>
      <w:tr>
        <w:trPr>
          <w:trHeight w:val="319" w:hRule="atLeast"/>
        </w:trPr>
        <w:tc>
          <w:tcPr>
            <w:tcW w:w="2728" w:type="dxa"/>
            <w:gridSpan w:val="2"/>
            <w:vMerge/>
            <w:tcBorders>
              <w:top w:val="nil"/>
            </w:tcBorders>
          </w:tcPr>
          <w:p>
            <w:pPr>
              <w:rPr>
                <w:sz w:val="2"/>
                <w:szCs w:val="2"/>
              </w:rPr>
            </w:pPr>
          </w:p>
        </w:tc>
        <w:tc>
          <w:tcPr>
            <w:tcW w:w="1301" w:type="dxa"/>
          </w:tcPr>
          <w:p>
            <w:pPr>
              <w:pStyle w:val="TableParagraph"/>
              <w:spacing w:before="17"/>
              <w:ind w:left="296"/>
              <w:rPr>
                <w:b/>
                <w:sz w:val="21"/>
              </w:rPr>
            </w:pPr>
            <w:r>
              <w:rPr>
                <w:b/>
                <w:color w:val="0F0F0F"/>
                <w:spacing w:val="-4"/>
                <w:w w:val="105"/>
                <w:sz w:val="21"/>
              </w:rPr>
              <w:t>£000</w:t>
            </w:r>
          </w:p>
        </w:tc>
        <w:tc>
          <w:tcPr>
            <w:tcW w:w="2005" w:type="dxa"/>
          </w:tcPr>
          <w:p>
            <w:pPr>
              <w:pStyle w:val="TableParagraph"/>
              <w:spacing w:before="17"/>
              <w:ind w:right="208"/>
              <w:jc w:val="center"/>
              <w:rPr>
                <w:b/>
                <w:sz w:val="21"/>
              </w:rPr>
            </w:pPr>
            <w:r>
              <w:rPr>
                <w:b/>
                <w:color w:val="0F0F0F"/>
                <w:spacing w:val="-4"/>
                <w:w w:val="105"/>
                <w:sz w:val="21"/>
              </w:rPr>
              <w:t>£000</w:t>
            </w:r>
          </w:p>
        </w:tc>
        <w:tc>
          <w:tcPr>
            <w:tcW w:w="1763" w:type="dxa"/>
          </w:tcPr>
          <w:p>
            <w:pPr>
              <w:pStyle w:val="TableParagraph"/>
              <w:spacing w:before="13"/>
              <w:ind w:left="875"/>
              <w:rPr>
                <w:b/>
                <w:sz w:val="21"/>
              </w:rPr>
            </w:pPr>
            <w:r>
              <w:rPr>
                <w:b/>
                <w:color w:val="0F0F0F"/>
                <w:spacing w:val="-4"/>
                <w:w w:val="105"/>
                <w:sz w:val="21"/>
              </w:rPr>
              <w:t>£000</w:t>
            </w:r>
          </w:p>
        </w:tc>
        <w:tc>
          <w:tcPr>
            <w:tcW w:w="576" w:type="dxa"/>
          </w:tcPr>
          <w:p>
            <w:pPr>
              <w:pStyle w:val="TableParagraph"/>
              <w:rPr>
                <w:rFonts w:ascii="Times New Roman"/>
                <w:sz w:val="20"/>
              </w:rPr>
            </w:pPr>
          </w:p>
        </w:tc>
        <w:tc>
          <w:tcPr>
            <w:tcW w:w="824" w:type="dxa"/>
          </w:tcPr>
          <w:p>
            <w:pPr>
              <w:pStyle w:val="TableParagraph"/>
              <w:spacing w:before="13"/>
              <w:ind w:left="194"/>
              <w:rPr>
                <w:b/>
                <w:sz w:val="21"/>
              </w:rPr>
            </w:pPr>
            <w:r>
              <w:rPr>
                <w:b/>
                <w:color w:val="0F0F0F"/>
                <w:spacing w:val="-4"/>
                <w:w w:val="105"/>
                <w:sz w:val="21"/>
              </w:rPr>
              <w:t>£000</w:t>
            </w:r>
          </w:p>
        </w:tc>
        <w:tc>
          <w:tcPr>
            <w:tcW w:w="104" w:type="dxa"/>
          </w:tcPr>
          <w:p>
            <w:pPr>
              <w:pStyle w:val="TableParagraph"/>
              <w:rPr>
                <w:rFonts w:ascii="Times New Roman"/>
                <w:sz w:val="20"/>
              </w:rPr>
            </w:pPr>
          </w:p>
        </w:tc>
      </w:tr>
      <w:tr>
        <w:trPr>
          <w:trHeight w:val="325" w:hRule="atLeast"/>
        </w:trPr>
        <w:tc>
          <w:tcPr>
            <w:tcW w:w="2646" w:type="dxa"/>
          </w:tcPr>
          <w:p>
            <w:pPr>
              <w:pStyle w:val="TableParagraph"/>
              <w:spacing w:line="249" w:lineRule="exact"/>
              <w:ind w:left="76"/>
              <w:rPr>
                <w:sz w:val="22"/>
              </w:rPr>
            </w:pPr>
            <w:r>
              <w:rPr>
                <w:color w:val="0F0F0F"/>
                <w:sz w:val="22"/>
              </w:rPr>
              <w:t>Managing</w:t>
            </w:r>
            <w:r>
              <w:rPr>
                <w:color w:val="0F0F0F"/>
                <w:spacing w:val="11"/>
                <w:sz w:val="22"/>
              </w:rPr>
              <w:t> </w:t>
            </w:r>
            <w:r>
              <w:rPr>
                <w:color w:val="0F0F0F"/>
                <w:spacing w:val="-2"/>
                <w:sz w:val="22"/>
              </w:rPr>
              <w:t>Director</w:t>
            </w:r>
          </w:p>
        </w:tc>
        <w:tc>
          <w:tcPr>
            <w:tcW w:w="82" w:type="dxa"/>
          </w:tcPr>
          <w:p>
            <w:pPr>
              <w:pStyle w:val="TableParagraph"/>
              <w:rPr>
                <w:rFonts w:ascii="Times New Roman"/>
                <w:sz w:val="20"/>
              </w:rPr>
            </w:pPr>
          </w:p>
        </w:tc>
        <w:tc>
          <w:tcPr>
            <w:tcW w:w="1301" w:type="dxa"/>
          </w:tcPr>
          <w:p>
            <w:pPr>
              <w:pStyle w:val="TableParagraph"/>
              <w:spacing w:before="58" w:line="247" w:lineRule="exact"/>
              <w:ind w:right="275"/>
              <w:jc w:val="right"/>
              <w:rPr>
                <w:sz w:val="22"/>
              </w:rPr>
            </w:pPr>
            <w:r>
              <w:rPr>
                <w:color w:val="0F0F0F"/>
                <w:spacing w:val="-5"/>
                <w:sz w:val="22"/>
              </w:rPr>
              <w:t>157</w:t>
            </w:r>
          </w:p>
        </w:tc>
        <w:tc>
          <w:tcPr>
            <w:tcW w:w="2005" w:type="dxa"/>
          </w:tcPr>
          <w:p>
            <w:pPr>
              <w:pStyle w:val="TableParagraph"/>
              <w:rPr>
                <w:rFonts w:ascii="Times New Roman"/>
                <w:sz w:val="20"/>
              </w:rPr>
            </w:pPr>
          </w:p>
        </w:tc>
        <w:tc>
          <w:tcPr>
            <w:tcW w:w="1763" w:type="dxa"/>
          </w:tcPr>
          <w:p>
            <w:pPr>
              <w:pStyle w:val="TableParagraph"/>
              <w:rPr>
                <w:rFonts w:ascii="Times New Roman"/>
                <w:sz w:val="20"/>
              </w:rPr>
            </w:pPr>
          </w:p>
        </w:tc>
        <w:tc>
          <w:tcPr>
            <w:tcW w:w="576" w:type="dxa"/>
          </w:tcPr>
          <w:p>
            <w:pPr>
              <w:pStyle w:val="TableParagraph"/>
              <w:spacing w:before="53" w:line="252" w:lineRule="exact"/>
              <w:ind w:right="166"/>
              <w:jc w:val="right"/>
              <w:rPr>
                <w:sz w:val="22"/>
              </w:rPr>
            </w:pPr>
            <w:r>
              <w:rPr>
                <w:color w:val="0F0F0F"/>
                <w:spacing w:val="-5"/>
                <w:w w:val="105"/>
                <w:sz w:val="22"/>
              </w:rPr>
              <w:t>29</w:t>
            </w:r>
          </w:p>
        </w:tc>
        <w:tc>
          <w:tcPr>
            <w:tcW w:w="824" w:type="dxa"/>
          </w:tcPr>
          <w:p>
            <w:pPr>
              <w:pStyle w:val="TableParagraph"/>
              <w:spacing w:before="63"/>
              <w:ind w:right="5"/>
              <w:jc w:val="right"/>
              <w:rPr>
                <w:b/>
                <w:sz w:val="21"/>
              </w:rPr>
            </w:pPr>
            <w:r>
              <w:rPr>
                <w:b/>
                <w:color w:val="0F0F0F"/>
                <w:spacing w:val="-5"/>
                <w:sz w:val="21"/>
              </w:rPr>
              <w:t>186</w:t>
            </w:r>
          </w:p>
        </w:tc>
        <w:tc>
          <w:tcPr>
            <w:tcW w:w="104" w:type="dxa"/>
          </w:tcPr>
          <w:p>
            <w:pPr>
              <w:pStyle w:val="TableParagraph"/>
              <w:rPr>
                <w:rFonts w:ascii="Times New Roman"/>
                <w:sz w:val="20"/>
              </w:rPr>
            </w:pPr>
          </w:p>
        </w:tc>
      </w:tr>
      <w:tr>
        <w:trPr>
          <w:trHeight w:val="533" w:hRule="atLeast"/>
        </w:trPr>
        <w:tc>
          <w:tcPr>
            <w:tcW w:w="2646" w:type="dxa"/>
          </w:tcPr>
          <w:p>
            <w:pPr>
              <w:pStyle w:val="TableParagraph"/>
              <w:spacing w:before="7"/>
              <w:ind w:left="75"/>
              <w:rPr>
                <w:sz w:val="22"/>
              </w:rPr>
            </w:pPr>
            <w:r>
              <w:rPr>
                <w:color w:val="0F0F0F"/>
                <w:sz w:val="22"/>
              </w:rPr>
              <w:t>Executive</w:t>
            </w:r>
            <w:r>
              <w:rPr>
                <w:color w:val="0F0F0F"/>
                <w:spacing w:val="5"/>
                <w:sz w:val="22"/>
              </w:rPr>
              <w:t> </w:t>
            </w:r>
            <w:r>
              <w:rPr>
                <w:color w:val="0F0F0F"/>
                <w:spacing w:val="-2"/>
                <w:sz w:val="22"/>
              </w:rPr>
              <w:t>Director</w:t>
            </w:r>
          </w:p>
          <w:p>
            <w:pPr>
              <w:pStyle w:val="TableParagraph"/>
              <w:spacing w:before="16" w:line="237" w:lineRule="exact"/>
              <w:ind w:left="70"/>
              <w:rPr>
                <w:sz w:val="22"/>
              </w:rPr>
            </w:pPr>
            <w:r>
              <w:rPr>
                <w:color w:val="0F0F0F"/>
                <w:sz w:val="22"/>
              </w:rPr>
              <w:t>Head</w:t>
            </w:r>
            <w:r>
              <w:rPr>
                <w:color w:val="0F0F0F"/>
                <w:spacing w:val="6"/>
                <w:sz w:val="22"/>
              </w:rPr>
              <w:t> </w:t>
            </w:r>
            <w:r>
              <w:rPr>
                <w:color w:val="0F0F0F"/>
                <w:sz w:val="22"/>
              </w:rPr>
              <w:t>of</w:t>
            </w:r>
            <w:r>
              <w:rPr>
                <w:color w:val="0F0F0F"/>
                <w:spacing w:val="1"/>
                <w:sz w:val="22"/>
              </w:rPr>
              <w:t> </w:t>
            </w:r>
            <w:r>
              <w:rPr>
                <w:color w:val="0F0F0F"/>
                <w:sz w:val="22"/>
              </w:rPr>
              <w:t>Finance</w:t>
            </w:r>
            <w:r>
              <w:rPr>
                <w:color w:val="0F0F0F"/>
                <w:spacing w:val="9"/>
                <w:sz w:val="22"/>
              </w:rPr>
              <w:t> </w:t>
            </w:r>
            <w:r>
              <w:rPr>
                <w:color w:val="0F0F0F"/>
                <w:spacing w:val="-10"/>
                <w:sz w:val="22"/>
              </w:rPr>
              <w:t>&amp;</w:t>
            </w:r>
          </w:p>
        </w:tc>
        <w:tc>
          <w:tcPr>
            <w:tcW w:w="82" w:type="dxa"/>
          </w:tcPr>
          <w:p>
            <w:pPr>
              <w:pStyle w:val="TableParagraph"/>
              <w:rPr>
                <w:rFonts w:ascii="Times New Roman"/>
                <w:sz w:val="20"/>
              </w:rPr>
            </w:pPr>
          </w:p>
        </w:tc>
        <w:tc>
          <w:tcPr>
            <w:tcW w:w="1301" w:type="dxa"/>
          </w:tcPr>
          <w:p>
            <w:pPr>
              <w:pStyle w:val="TableParagraph"/>
              <w:spacing w:before="26"/>
              <w:ind w:right="276"/>
              <w:jc w:val="right"/>
              <w:rPr>
                <w:sz w:val="22"/>
              </w:rPr>
            </w:pPr>
            <w:r>
              <w:rPr>
                <w:color w:val="0F0F0F"/>
                <w:spacing w:val="-5"/>
                <w:w w:val="105"/>
                <w:sz w:val="22"/>
              </w:rPr>
              <w:t>119</w:t>
            </w:r>
          </w:p>
        </w:tc>
        <w:tc>
          <w:tcPr>
            <w:tcW w:w="2005" w:type="dxa"/>
          </w:tcPr>
          <w:p>
            <w:pPr>
              <w:pStyle w:val="TableParagraph"/>
              <w:rPr>
                <w:rFonts w:ascii="Times New Roman"/>
                <w:sz w:val="20"/>
              </w:rPr>
            </w:pPr>
          </w:p>
        </w:tc>
        <w:tc>
          <w:tcPr>
            <w:tcW w:w="1763" w:type="dxa"/>
          </w:tcPr>
          <w:p>
            <w:pPr>
              <w:pStyle w:val="TableParagraph"/>
              <w:rPr>
                <w:rFonts w:ascii="Times New Roman"/>
                <w:sz w:val="20"/>
              </w:rPr>
            </w:pPr>
          </w:p>
        </w:tc>
        <w:tc>
          <w:tcPr>
            <w:tcW w:w="576" w:type="dxa"/>
          </w:tcPr>
          <w:p>
            <w:pPr>
              <w:pStyle w:val="TableParagraph"/>
              <w:spacing w:before="26"/>
              <w:ind w:right="173"/>
              <w:jc w:val="right"/>
              <w:rPr>
                <w:sz w:val="22"/>
              </w:rPr>
            </w:pPr>
            <w:r>
              <w:rPr>
                <w:color w:val="0F0F0F"/>
                <w:spacing w:val="-5"/>
                <w:sz w:val="22"/>
              </w:rPr>
              <w:t>22</w:t>
            </w:r>
          </w:p>
        </w:tc>
        <w:tc>
          <w:tcPr>
            <w:tcW w:w="824" w:type="dxa"/>
          </w:tcPr>
          <w:p>
            <w:pPr>
              <w:pStyle w:val="TableParagraph"/>
              <w:spacing w:before="30"/>
              <w:jc w:val="right"/>
              <w:rPr>
                <w:b/>
                <w:sz w:val="21"/>
              </w:rPr>
            </w:pPr>
            <w:r>
              <w:rPr>
                <w:b/>
                <w:color w:val="0F0F0F"/>
                <w:spacing w:val="-5"/>
                <w:w w:val="105"/>
                <w:sz w:val="21"/>
              </w:rPr>
              <w:t>141</w:t>
            </w:r>
          </w:p>
        </w:tc>
        <w:tc>
          <w:tcPr>
            <w:tcW w:w="104" w:type="dxa"/>
          </w:tcPr>
          <w:p>
            <w:pPr>
              <w:pStyle w:val="TableParagraph"/>
              <w:rPr>
                <w:rFonts w:ascii="Times New Roman"/>
                <w:sz w:val="20"/>
              </w:rPr>
            </w:pPr>
          </w:p>
        </w:tc>
      </w:tr>
      <w:tr>
        <w:trPr>
          <w:trHeight w:val="288" w:hRule="atLeast"/>
        </w:trPr>
        <w:tc>
          <w:tcPr>
            <w:tcW w:w="2646" w:type="dxa"/>
          </w:tcPr>
          <w:p>
            <w:pPr>
              <w:pStyle w:val="TableParagraph"/>
              <w:spacing w:line="250" w:lineRule="exact"/>
              <w:ind w:left="72"/>
              <w:rPr>
                <w:sz w:val="22"/>
              </w:rPr>
            </w:pPr>
            <w:r>
              <w:rPr>
                <w:color w:val="0F0F0F"/>
                <w:sz w:val="22"/>
              </w:rPr>
              <w:t>Business</w:t>
            </w:r>
            <w:r>
              <w:rPr>
                <w:color w:val="0F0F0F"/>
                <w:spacing w:val="10"/>
                <w:sz w:val="22"/>
              </w:rPr>
              <w:t> </w:t>
            </w:r>
            <w:r>
              <w:rPr>
                <w:color w:val="0F0F0F"/>
                <w:spacing w:val="-2"/>
                <w:sz w:val="22"/>
              </w:rPr>
              <w:t>Services</w:t>
            </w:r>
          </w:p>
        </w:tc>
        <w:tc>
          <w:tcPr>
            <w:tcW w:w="82" w:type="dxa"/>
          </w:tcPr>
          <w:p>
            <w:pPr>
              <w:pStyle w:val="TableParagraph"/>
              <w:rPr>
                <w:rFonts w:ascii="Times New Roman"/>
                <w:sz w:val="20"/>
              </w:rPr>
            </w:pPr>
          </w:p>
        </w:tc>
        <w:tc>
          <w:tcPr>
            <w:tcW w:w="1301" w:type="dxa"/>
          </w:tcPr>
          <w:p>
            <w:pPr>
              <w:pStyle w:val="TableParagraph"/>
              <w:spacing w:before="2"/>
              <w:ind w:right="282"/>
              <w:jc w:val="right"/>
              <w:rPr>
                <w:sz w:val="22"/>
              </w:rPr>
            </w:pPr>
            <w:r>
              <w:rPr>
                <w:color w:val="0F0F0F"/>
                <w:spacing w:val="-5"/>
                <w:w w:val="105"/>
                <w:sz w:val="22"/>
              </w:rPr>
              <w:t>92</w:t>
            </w:r>
          </w:p>
        </w:tc>
        <w:tc>
          <w:tcPr>
            <w:tcW w:w="2005" w:type="dxa"/>
          </w:tcPr>
          <w:p>
            <w:pPr>
              <w:pStyle w:val="TableParagraph"/>
              <w:rPr>
                <w:rFonts w:ascii="Times New Roman"/>
                <w:sz w:val="20"/>
              </w:rPr>
            </w:pPr>
          </w:p>
        </w:tc>
        <w:tc>
          <w:tcPr>
            <w:tcW w:w="1763" w:type="dxa"/>
          </w:tcPr>
          <w:p>
            <w:pPr>
              <w:pStyle w:val="TableParagraph"/>
              <w:rPr>
                <w:rFonts w:ascii="Times New Roman"/>
                <w:sz w:val="20"/>
              </w:rPr>
            </w:pPr>
          </w:p>
        </w:tc>
        <w:tc>
          <w:tcPr>
            <w:tcW w:w="576" w:type="dxa"/>
          </w:tcPr>
          <w:p>
            <w:pPr>
              <w:pStyle w:val="TableParagraph"/>
              <w:spacing w:line="250" w:lineRule="exact"/>
              <w:ind w:right="181"/>
              <w:jc w:val="right"/>
              <w:rPr>
                <w:sz w:val="22"/>
              </w:rPr>
            </w:pPr>
            <w:r>
              <w:rPr>
                <w:color w:val="0F0F0F"/>
                <w:spacing w:val="-5"/>
                <w:sz w:val="22"/>
              </w:rPr>
              <w:t>17</w:t>
            </w:r>
          </w:p>
        </w:tc>
        <w:tc>
          <w:tcPr>
            <w:tcW w:w="824" w:type="dxa"/>
          </w:tcPr>
          <w:p>
            <w:pPr>
              <w:pStyle w:val="TableParagraph"/>
              <w:spacing w:before="2"/>
              <w:ind w:right="7"/>
              <w:jc w:val="right"/>
              <w:rPr>
                <w:b/>
                <w:sz w:val="21"/>
              </w:rPr>
            </w:pPr>
            <w:r>
              <w:rPr>
                <w:b/>
                <w:color w:val="0F0F0F"/>
                <w:spacing w:val="-5"/>
                <w:w w:val="105"/>
                <w:sz w:val="21"/>
              </w:rPr>
              <w:t>109</w:t>
            </w:r>
          </w:p>
        </w:tc>
        <w:tc>
          <w:tcPr>
            <w:tcW w:w="104" w:type="dxa"/>
          </w:tcPr>
          <w:p>
            <w:pPr>
              <w:pStyle w:val="TableParagraph"/>
              <w:rPr>
                <w:rFonts w:ascii="Times New Roman"/>
                <w:sz w:val="20"/>
              </w:rPr>
            </w:pPr>
          </w:p>
        </w:tc>
      </w:tr>
      <w:tr>
        <w:trPr>
          <w:trHeight w:val="312" w:hRule="atLeast"/>
        </w:trPr>
        <w:tc>
          <w:tcPr>
            <w:tcW w:w="2646" w:type="dxa"/>
          </w:tcPr>
          <w:p>
            <w:pPr>
              <w:pStyle w:val="TableParagraph"/>
              <w:spacing w:before="26"/>
              <w:ind w:left="65"/>
              <w:rPr>
                <w:sz w:val="22"/>
              </w:rPr>
            </w:pPr>
            <w:r>
              <w:rPr>
                <w:color w:val="0F0F0F"/>
                <w:sz w:val="22"/>
              </w:rPr>
              <w:t>Head</w:t>
            </w:r>
            <w:r>
              <w:rPr>
                <w:color w:val="0F0F0F"/>
                <w:spacing w:val="3"/>
                <w:sz w:val="22"/>
              </w:rPr>
              <w:t> </w:t>
            </w:r>
            <w:r>
              <w:rPr>
                <w:color w:val="0F0F0F"/>
                <w:sz w:val="22"/>
              </w:rPr>
              <w:t>of Partnerships</w:t>
            </w:r>
            <w:r>
              <w:rPr>
                <w:color w:val="0F0F0F"/>
                <w:spacing w:val="17"/>
                <w:sz w:val="22"/>
              </w:rPr>
              <w:t> </w:t>
            </w:r>
            <w:r>
              <w:rPr>
                <w:color w:val="0F0F0F"/>
                <w:spacing w:val="-10"/>
                <w:sz w:val="22"/>
              </w:rPr>
              <w:t>&amp;</w:t>
            </w:r>
          </w:p>
        </w:tc>
        <w:tc>
          <w:tcPr>
            <w:tcW w:w="82" w:type="dxa"/>
          </w:tcPr>
          <w:p>
            <w:pPr>
              <w:pStyle w:val="TableParagraph"/>
              <w:rPr>
                <w:rFonts w:ascii="Times New Roman"/>
                <w:sz w:val="20"/>
              </w:rPr>
            </w:pPr>
          </w:p>
        </w:tc>
        <w:tc>
          <w:tcPr>
            <w:tcW w:w="1301" w:type="dxa"/>
          </w:tcPr>
          <w:p>
            <w:pPr>
              <w:pStyle w:val="TableParagraph"/>
              <w:rPr>
                <w:rFonts w:ascii="Times New Roman"/>
                <w:sz w:val="20"/>
              </w:rPr>
            </w:pPr>
          </w:p>
        </w:tc>
        <w:tc>
          <w:tcPr>
            <w:tcW w:w="2005" w:type="dxa"/>
          </w:tcPr>
          <w:p>
            <w:pPr>
              <w:pStyle w:val="TableParagraph"/>
              <w:rPr>
                <w:rFonts w:ascii="Times New Roman"/>
                <w:sz w:val="20"/>
              </w:rPr>
            </w:pPr>
          </w:p>
        </w:tc>
        <w:tc>
          <w:tcPr>
            <w:tcW w:w="1763" w:type="dxa"/>
          </w:tcPr>
          <w:p>
            <w:pPr>
              <w:pStyle w:val="TableParagraph"/>
              <w:rPr>
                <w:rFonts w:ascii="Times New Roman"/>
                <w:sz w:val="20"/>
              </w:rPr>
            </w:pPr>
          </w:p>
        </w:tc>
        <w:tc>
          <w:tcPr>
            <w:tcW w:w="576" w:type="dxa"/>
          </w:tcPr>
          <w:p>
            <w:pPr>
              <w:pStyle w:val="TableParagraph"/>
              <w:rPr>
                <w:rFonts w:ascii="Times New Roman"/>
                <w:sz w:val="20"/>
              </w:rPr>
            </w:pPr>
          </w:p>
        </w:tc>
        <w:tc>
          <w:tcPr>
            <w:tcW w:w="824" w:type="dxa"/>
          </w:tcPr>
          <w:p>
            <w:pPr>
              <w:pStyle w:val="TableParagraph"/>
              <w:rPr>
                <w:rFonts w:ascii="Times New Roman"/>
                <w:sz w:val="20"/>
              </w:rPr>
            </w:pPr>
          </w:p>
        </w:tc>
        <w:tc>
          <w:tcPr>
            <w:tcW w:w="104" w:type="dxa"/>
          </w:tcPr>
          <w:p>
            <w:pPr>
              <w:pStyle w:val="TableParagraph"/>
              <w:rPr>
                <w:rFonts w:ascii="Times New Roman"/>
                <w:sz w:val="20"/>
              </w:rPr>
            </w:pPr>
          </w:p>
        </w:tc>
      </w:tr>
      <w:tr>
        <w:trPr>
          <w:trHeight w:val="302" w:hRule="atLeast"/>
        </w:trPr>
        <w:tc>
          <w:tcPr>
            <w:tcW w:w="2646" w:type="dxa"/>
          </w:tcPr>
          <w:p>
            <w:pPr>
              <w:pStyle w:val="TableParagraph"/>
              <w:spacing w:line="221" w:lineRule="exact"/>
              <w:ind w:left="62"/>
              <w:rPr>
                <w:sz w:val="22"/>
              </w:rPr>
            </w:pPr>
            <w:r>
              <w:rPr>
                <w:color w:val="0F0F0F"/>
                <w:sz w:val="22"/>
              </w:rPr>
              <w:t>Community</w:t>
            </w:r>
            <w:r>
              <w:rPr>
                <w:color w:val="0F0F0F"/>
                <w:spacing w:val="20"/>
                <w:sz w:val="22"/>
              </w:rPr>
              <w:t> </w:t>
            </w:r>
            <w:r>
              <w:rPr>
                <w:color w:val="0F0F0F"/>
                <w:spacing w:val="-2"/>
                <w:sz w:val="22"/>
              </w:rPr>
              <w:t>Engagement</w:t>
            </w:r>
          </w:p>
        </w:tc>
        <w:tc>
          <w:tcPr>
            <w:tcW w:w="82" w:type="dxa"/>
          </w:tcPr>
          <w:p>
            <w:pPr>
              <w:pStyle w:val="TableParagraph"/>
              <w:rPr>
                <w:rFonts w:ascii="Times New Roman"/>
                <w:sz w:val="20"/>
              </w:rPr>
            </w:pPr>
          </w:p>
        </w:tc>
        <w:tc>
          <w:tcPr>
            <w:tcW w:w="1301" w:type="dxa"/>
          </w:tcPr>
          <w:p>
            <w:pPr>
              <w:pStyle w:val="TableParagraph"/>
              <w:spacing w:before="31" w:line="252" w:lineRule="exact"/>
              <w:ind w:right="286"/>
              <w:jc w:val="right"/>
              <w:rPr>
                <w:sz w:val="22"/>
              </w:rPr>
            </w:pPr>
            <w:r>
              <w:rPr>
                <w:color w:val="0F0F0F"/>
                <w:spacing w:val="-5"/>
                <w:w w:val="105"/>
                <w:sz w:val="22"/>
              </w:rPr>
              <w:t>92</w:t>
            </w:r>
          </w:p>
        </w:tc>
        <w:tc>
          <w:tcPr>
            <w:tcW w:w="2005" w:type="dxa"/>
          </w:tcPr>
          <w:p>
            <w:pPr>
              <w:pStyle w:val="TableParagraph"/>
              <w:rPr>
                <w:rFonts w:ascii="Times New Roman"/>
                <w:sz w:val="20"/>
              </w:rPr>
            </w:pPr>
          </w:p>
        </w:tc>
        <w:tc>
          <w:tcPr>
            <w:tcW w:w="1763" w:type="dxa"/>
          </w:tcPr>
          <w:p>
            <w:pPr>
              <w:pStyle w:val="TableParagraph"/>
              <w:rPr>
                <w:rFonts w:ascii="Times New Roman"/>
                <w:sz w:val="20"/>
              </w:rPr>
            </w:pPr>
          </w:p>
        </w:tc>
        <w:tc>
          <w:tcPr>
            <w:tcW w:w="576" w:type="dxa"/>
          </w:tcPr>
          <w:p>
            <w:pPr>
              <w:pStyle w:val="TableParagraph"/>
              <w:spacing w:before="26"/>
              <w:ind w:right="179"/>
              <w:jc w:val="right"/>
              <w:rPr>
                <w:sz w:val="22"/>
              </w:rPr>
            </w:pPr>
            <w:r>
              <w:rPr>
                <w:color w:val="0F0F0F"/>
                <w:spacing w:val="-5"/>
                <w:w w:val="105"/>
                <w:sz w:val="22"/>
              </w:rPr>
              <w:t>17</w:t>
            </w:r>
          </w:p>
        </w:tc>
        <w:tc>
          <w:tcPr>
            <w:tcW w:w="824" w:type="dxa"/>
          </w:tcPr>
          <w:p>
            <w:pPr>
              <w:pStyle w:val="TableParagraph"/>
              <w:spacing w:before="30"/>
              <w:ind w:right="6"/>
              <w:jc w:val="right"/>
              <w:rPr>
                <w:b/>
                <w:sz w:val="21"/>
              </w:rPr>
            </w:pPr>
            <w:r>
              <w:rPr>
                <w:b/>
                <w:color w:val="0F0F0F"/>
                <w:spacing w:val="-5"/>
                <w:w w:val="105"/>
                <w:sz w:val="21"/>
              </w:rPr>
              <w:t>109</w:t>
            </w:r>
          </w:p>
        </w:tc>
        <w:tc>
          <w:tcPr>
            <w:tcW w:w="104" w:type="dxa"/>
          </w:tcPr>
          <w:p>
            <w:pPr>
              <w:pStyle w:val="TableParagraph"/>
              <w:rPr>
                <w:rFonts w:ascii="Times New Roman"/>
                <w:sz w:val="20"/>
              </w:rPr>
            </w:pPr>
          </w:p>
        </w:tc>
      </w:tr>
      <w:tr>
        <w:trPr>
          <w:trHeight w:val="564" w:hRule="atLeast"/>
        </w:trPr>
        <w:tc>
          <w:tcPr>
            <w:tcW w:w="2646" w:type="dxa"/>
          </w:tcPr>
          <w:p>
            <w:pPr>
              <w:pStyle w:val="TableParagraph"/>
              <w:spacing w:before="14" w:line="237" w:lineRule="auto"/>
              <w:ind w:left="56" w:firstLine="3"/>
              <w:rPr>
                <w:sz w:val="22"/>
              </w:rPr>
            </w:pPr>
            <w:r>
              <w:rPr>
                <w:color w:val="0F0F0F"/>
                <w:sz w:val="22"/>
              </w:rPr>
              <w:t>Head of Legal &amp; Democratic</w:t>
            </w:r>
            <w:r>
              <w:rPr>
                <w:color w:val="0F0F0F"/>
                <w:spacing w:val="-10"/>
                <w:sz w:val="22"/>
              </w:rPr>
              <w:t> </w:t>
            </w:r>
            <w:r>
              <w:rPr>
                <w:color w:val="0F0F0F"/>
                <w:sz w:val="22"/>
              </w:rPr>
              <w:t>Services</w:t>
            </w:r>
          </w:p>
        </w:tc>
        <w:tc>
          <w:tcPr>
            <w:tcW w:w="82" w:type="dxa"/>
          </w:tcPr>
          <w:p>
            <w:pPr>
              <w:pStyle w:val="TableParagraph"/>
              <w:rPr>
                <w:rFonts w:ascii="Times New Roman"/>
                <w:sz w:val="20"/>
              </w:rPr>
            </w:pPr>
          </w:p>
        </w:tc>
        <w:tc>
          <w:tcPr>
            <w:tcW w:w="1301" w:type="dxa"/>
          </w:tcPr>
          <w:p>
            <w:pPr>
              <w:pStyle w:val="TableParagraph"/>
              <w:spacing w:before="42"/>
              <w:rPr>
                <w:sz w:val="22"/>
              </w:rPr>
            </w:pPr>
          </w:p>
          <w:p>
            <w:pPr>
              <w:pStyle w:val="TableParagraph"/>
              <w:spacing w:line="249" w:lineRule="exact"/>
              <w:ind w:right="291"/>
              <w:jc w:val="right"/>
              <w:rPr>
                <w:sz w:val="22"/>
              </w:rPr>
            </w:pPr>
            <w:r>
              <w:rPr>
                <w:color w:val="0F0F0F"/>
                <w:spacing w:val="-5"/>
                <w:w w:val="105"/>
                <w:sz w:val="22"/>
              </w:rPr>
              <w:t>92</w:t>
            </w:r>
          </w:p>
        </w:tc>
        <w:tc>
          <w:tcPr>
            <w:tcW w:w="2005" w:type="dxa"/>
          </w:tcPr>
          <w:p>
            <w:pPr>
              <w:pStyle w:val="TableParagraph"/>
              <w:rPr>
                <w:rFonts w:ascii="Times New Roman"/>
                <w:sz w:val="20"/>
              </w:rPr>
            </w:pPr>
          </w:p>
        </w:tc>
        <w:tc>
          <w:tcPr>
            <w:tcW w:w="1763" w:type="dxa"/>
          </w:tcPr>
          <w:p>
            <w:pPr>
              <w:pStyle w:val="TableParagraph"/>
              <w:rPr>
                <w:rFonts w:ascii="Times New Roman"/>
                <w:sz w:val="20"/>
              </w:rPr>
            </w:pPr>
          </w:p>
        </w:tc>
        <w:tc>
          <w:tcPr>
            <w:tcW w:w="576" w:type="dxa"/>
          </w:tcPr>
          <w:p>
            <w:pPr>
              <w:pStyle w:val="TableParagraph"/>
              <w:spacing w:before="37"/>
              <w:rPr>
                <w:sz w:val="22"/>
              </w:rPr>
            </w:pPr>
          </w:p>
          <w:p>
            <w:pPr>
              <w:pStyle w:val="TableParagraph"/>
              <w:ind w:right="186"/>
              <w:jc w:val="right"/>
              <w:rPr>
                <w:sz w:val="22"/>
              </w:rPr>
            </w:pPr>
            <w:r>
              <w:rPr>
                <w:color w:val="0F0F0F"/>
                <w:spacing w:val="-5"/>
                <w:sz w:val="22"/>
              </w:rPr>
              <w:t>17</w:t>
            </w:r>
          </w:p>
        </w:tc>
        <w:tc>
          <w:tcPr>
            <w:tcW w:w="824" w:type="dxa"/>
          </w:tcPr>
          <w:p>
            <w:pPr>
              <w:pStyle w:val="TableParagraph"/>
              <w:spacing w:before="58"/>
              <w:rPr>
                <w:sz w:val="21"/>
              </w:rPr>
            </w:pPr>
          </w:p>
          <w:p>
            <w:pPr>
              <w:pStyle w:val="TableParagraph"/>
              <w:ind w:right="9"/>
              <w:jc w:val="right"/>
              <w:rPr>
                <w:b/>
                <w:sz w:val="21"/>
              </w:rPr>
            </w:pPr>
            <w:r>
              <w:rPr>
                <w:b/>
                <w:color w:val="0F0F0F"/>
                <w:spacing w:val="-5"/>
                <w:w w:val="105"/>
                <w:sz w:val="21"/>
              </w:rPr>
              <w:t>109</w:t>
            </w:r>
          </w:p>
        </w:tc>
        <w:tc>
          <w:tcPr>
            <w:tcW w:w="104" w:type="dxa"/>
          </w:tcPr>
          <w:p>
            <w:pPr>
              <w:pStyle w:val="TableParagraph"/>
              <w:rPr>
                <w:rFonts w:ascii="Times New Roman"/>
                <w:sz w:val="20"/>
              </w:rPr>
            </w:pPr>
          </w:p>
        </w:tc>
      </w:tr>
      <w:tr>
        <w:trPr>
          <w:trHeight w:val="266" w:hRule="atLeast"/>
        </w:trPr>
        <w:tc>
          <w:tcPr>
            <w:tcW w:w="2646" w:type="dxa"/>
          </w:tcPr>
          <w:p>
            <w:pPr>
              <w:pStyle w:val="TableParagraph"/>
              <w:spacing w:before="9" w:line="237" w:lineRule="exact"/>
              <w:ind w:left="51"/>
              <w:rPr>
                <w:sz w:val="22"/>
              </w:rPr>
            </w:pPr>
            <w:r>
              <w:rPr>
                <w:color w:val="0F0F0F"/>
                <w:sz w:val="22"/>
              </w:rPr>
              <w:t>Head</w:t>
            </w:r>
            <w:r>
              <w:rPr>
                <w:color w:val="0F0F0F"/>
                <w:spacing w:val="11"/>
                <w:sz w:val="22"/>
              </w:rPr>
              <w:t> </w:t>
            </w:r>
            <w:r>
              <w:rPr>
                <w:color w:val="0F0F0F"/>
                <w:sz w:val="22"/>
              </w:rPr>
              <w:t>of</w:t>
            </w:r>
            <w:r>
              <w:rPr>
                <w:color w:val="0F0F0F"/>
                <w:spacing w:val="-4"/>
                <w:sz w:val="22"/>
              </w:rPr>
              <w:t> </w:t>
            </w:r>
            <w:r>
              <w:rPr>
                <w:color w:val="0F0F0F"/>
                <w:sz w:val="22"/>
              </w:rPr>
              <w:t>HR</w:t>
            </w:r>
            <w:r>
              <w:rPr>
                <w:color w:val="0F0F0F"/>
                <w:spacing w:val="11"/>
                <w:sz w:val="22"/>
              </w:rPr>
              <w:t> </w:t>
            </w:r>
            <w:r>
              <w:rPr>
                <w:color w:val="0F0F0F"/>
                <w:sz w:val="22"/>
              </w:rPr>
              <w:t>&amp; </w:t>
            </w:r>
            <w:r>
              <w:rPr>
                <w:color w:val="0F0F0F"/>
                <w:spacing w:val="-2"/>
                <w:sz w:val="22"/>
              </w:rPr>
              <w:t>Customer</w:t>
            </w:r>
          </w:p>
        </w:tc>
        <w:tc>
          <w:tcPr>
            <w:tcW w:w="82" w:type="dxa"/>
          </w:tcPr>
          <w:p>
            <w:pPr>
              <w:pStyle w:val="TableParagraph"/>
              <w:rPr>
                <w:rFonts w:ascii="Times New Roman"/>
                <w:sz w:val="18"/>
              </w:rPr>
            </w:pPr>
          </w:p>
        </w:tc>
        <w:tc>
          <w:tcPr>
            <w:tcW w:w="1301" w:type="dxa"/>
          </w:tcPr>
          <w:p>
            <w:pPr>
              <w:pStyle w:val="TableParagraph"/>
              <w:rPr>
                <w:rFonts w:ascii="Times New Roman"/>
                <w:sz w:val="18"/>
              </w:rPr>
            </w:pPr>
          </w:p>
        </w:tc>
        <w:tc>
          <w:tcPr>
            <w:tcW w:w="2005" w:type="dxa"/>
          </w:tcPr>
          <w:p>
            <w:pPr>
              <w:pStyle w:val="TableParagraph"/>
              <w:rPr>
                <w:rFonts w:ascii="Times New Roman"/>
                <w:sz w:val="18"/>
              </w:rPr>
            </w:pPr>
          </w:p>
        </w:tc>
        <w:tc>
          <w:tcPr>
            <w:tcW w:w="1763" w:type="dxa"/>
          </w:tcPr>
          <w:p>
            <w:pPr>
              <w:pStyle w:val="TableParagraph"/>
              <w:rPr>
                <w:rFonts w:ascii="Times New Roman"/>
                <w:sz w:val="18"/>
              </w:rPr>
            </w:pPr>
          </w:p>
        </w:tc>
        <w:tc>
          <w:tcPr>
            <w:tcW w:w="576" w:type="dxa"/>
          </w:tcPr>
          <w:p>
            <w:pPr>
              <w:pStyle w:val="TableParagraph"/>
              <w:rPr>
                <w:rFonts w:ascii="Times New Roman"/>
                <w:sz w:val="18"/>
              </w:rPr>
            </w:pPr>
          </w:p>
        </w:tc>
        <w:tc>
          <w:tcPr>
            <w:tcW w:w="824" w:type="dxa"/>
          </w:tcPr>
          <w:p>
            <w:pPr>
              <w:pStyle w:val="TableParagraph"/>
              <w:rPr>
                <w:rFonts w:ascii="Times New Roman"/>
                <w:sz w:val="18"/>
              </w:rPr>
            </w:pPr>
          </w:p>
        </w:tc>
        <w:tc>
          <w:tcPr>
            <w:tcW w:w="104" w:type="dxa"/>
          </w:tcPr>
          <w:p>
            <w:pPr>
              <w:pStyle w:val="TableParagraph"/>
              <w:rPr>
                <w:rFonts w:ascii="Times New Roman"/>
                <w:sz w:val="18"/>
              </w:rPr>
            </w:pPr>
          </w:p>
        </w:tc>
      </w:tr>
      <w:tr>
        <w:trPr>
          <w:trHeight w:val="271" w:hRule="atLeast"/>
        </w:trPr>
        <w:tc>
          <w:tcPr>
            <w:tcW w:w="2646" w:type="dxa"/>
          </w:tcPr>
          <w:p>
            <w:pPr>
              <w:pStyle w:val="TableParagraph"/>
              <w:spacing w:line="250" w:lineRule="exact"/>
              <w:ind w:left="54"/>
              <w:rPr>
                <w:sz w:val="22"/>
              </w:rPr>
            </w:pPr>
            <w:r>
              <w:rPr>
                <w:color w:val="0F0F0F"/>
                <w:spacing w:val="-2"/>
                <w:sz w:val="22"/>
              </w:rPr>
              <w:t>Services</w:t>
            </w:r>
          </w:p>
        </w:tc>
        <w:tc>
          <w:tcPr>
            <w:tcW w:w="82" w:type="dxa"/>
          </w:tcPr>
          <w:p>
            <w:pPr>
              <w:pStyle w:val="TableParagraph"/>
              <w:rPr>
                <w:rFonts w:ascii="Times New Roman"/>
                <w:sz w:val="20"/>
              </w:rPr>
            </w:pPr>
          </w:p>
        </w:tc>
        <w:tc>
          <w:tcPr>
            <w:tcW w:w="1301" w:type="dxa"/>
            <w:tcBorders>
              <w:bottom w:val="single" w:color="000000" w:sz="6" w:space="0"/>
            </w:tcBorders>
          </w:tcPr>
          <w:p>
            <w:pPr>
              <w:pStyle w:val="TableParagraph"/>
              <w:spacing w:before="26" w:line="212" w:lineRule="exact"/>
              <w:ind w:right="303"/>
              <w:jc w:val="right"/>
              <w:rPr>
                <w:sz w:val="22"/>
              </w:rPr>
            </w:pPr>
            <w:r>
              <w:rPr>
                <w:color w:val="0F0F0F"/>
                <w:spacing w:val="-5"/>
                <w:sz w:val="22"/>
              </w:rPr>
              <w:t>57</w:t>
            </w:r>
          </w:p>
        </w:tc>
        <w:tc>
          <w:tcPr>
            <w:tcW w:w="2005" w:type="dxa"/>
            <w:tcBorders>
              <w:bottom w:val="single" w:color="000000" w:sz="6" w:space="0"/>
            </w:tcBorders>
          </w:tcPr>
          <w:p>
            <w:pPr>
              <w:pStyle w:val="TableParagraph"/>
              <w:rPr>
                <w:rFonts w:ascii="Times New Roman"/>
                <w:sz w:val="18"/>
              </w:rPr>
            </w:pPr>
          </w:p>
        </w:tc>
        <w:tc>
          <w:tcPr>
            <w:tcW w:w="1763" w:type="dxa"/>
            <w:tcBorders>
              <w:bottom w:val="single" w:color="000000" w:sz="6" w:space="0"/>
            </w:tcBorders>
          </w:tcPr>
          <w:p>
            <w:pPr>
              <w:pStyle w:val="TableParagraph"/>
              <w:rPr>
                <w:rFonts w:ascii="Times New Roman"/>
                <w:sz w:val="18"/>
              </w:rPr>
            </w:pPr>
          </w:p>
        </w:tc>
        <w:tc>
          <w:tcPr>
            <w:tcW w:w="576" w:type="dxa"/>
            <w:tcBorders>
              <w:bottom w:val="single" w:color="000000" w:sz="6" w:space="0"/>
            </w:tcBorders>
          </w:tcPr>
          <w:p>
            <w:pPr>
              <w:pStyle w:val="TableParagraph"/>
              <w:spacing w:before="21" w:line="217" w:lineRule="exact"/>
              <w:ind w:right="186"/>
              <w:jc w:val="right"/>
              <w:rPr>
                <w:sz w:val="22"/>
              </w:rPr>
            </w:pPr>
            <w:r>
              <w:rPr>
                <w:color w:val="0F0F0F"/>
                <w:spacing w:val="-5"/>
                <w:sz w:val="22"/>
              </w:rPr>
              <w:t>11</w:t>
            </w:r>
          </w:p>
        </w:tc>
        <w:tc>
          <w:tcPr>
            <w:tcW w:w="824" w:type="dxa"/>
            <w:tcBorders>
              <w:bottom w:val="single" w:color="000000" w:sz="6" w:space="0"/>
            </w:tcBorders>
          </w:tcPr>
          <w:p>
            <w:pPr>
              <w:pStyle w:val="TableParagraph"/>
              <w:spacing w:before="30" w:line="208" w:lineRule="exact"/>
              <w:ind w:right="14"/>
              <w:jc w:val="right"/>
              <w:rPr>
                <w:b/>
                <w:sz w:val="21"/>
              </w:rPr>
            </w:pPr>
            <w:r>
              <w:rPr>
                <w:b/>
                <w:color w:val="0F0F0F"/>
                <w:spacing w:val="-5"/>
                <w:w w:val="105"/>
                <w:sz w:val="21"/>
              </w:rPr>
              <w:t>68</w:t>
            </w:r>
          </w:p>
        </w:tc>
        <w:tc>
          <w:tcPr>
            <w:tcW w:w="104" w:type="dxa"/>
          </w:tcPr>
          <w:p>
            <w:pPr>
              <w:pStyle w:val="TableParagraph"/>
              <w:rPr>
                <w:rFonts w:ascii="Times New Roman"/>
                <w:sz w:val="20"/>
              </w:rPr>
            </w:pPr>
          </w:p>
        </w:tc>
      </w:tr>
      <w:tr>
        <w:trPr>
          <w:trHeight w:val="265" w:hRule="atLeast"/>
        </w:trPr>
        <w:tc>
          <w:tcPr>
            <w:tcW w:w="2646" w:type="dxa"/>
          </w:tcPr>
          <w:p>
            <w:pPr>
              <w:pStyle w:val="TableParagraph"/>
              <w:spacing w:before="18" w:line="227" w:lineRule="exact"/>
              <w:ind w:left="50"/>
              <w:rPr>
                <w:b/>
                <w:sz w:val="21"/>
              </w:rPr>
            </w:pPr>
            <w:r>
              <w:rPr>
                <w:b/>
                <w:color w:val="0F0F0F"/>
                <w:spacing w:val="-4"/>
                <w:w w:val="105"/>
                <w:sz w:val="21"/>
              </w:rPr>
              <w:t>Total</w:t>
            </w:r>
          </w:p>
        </w:tc>
        <w:tc>
          <w:tcPr>
            <w:tcW w:w="82" w:type="dxa"/>
            <w:tcBorders>
              <w:bottom w:val="single" w:color="000000" w:sz="6" w:space="0"/>
            </w:tcBorders>
          </w:tcPr>
          <w:p>
            <w:pPr>
              <w:pStyle w:val="TableParagraph"/>
              <w:rPr>
                <w:rFonts w:ascii="Times New Roman"/>
                <w:sz w:val="18"/>
              </w:rPr>
            </w:pPr>
          </w:p>
        </w:tc>
        <w:tc>
          <w:tcPr>
            <w:tcW w:w="1301" w:type="dxa"/>
            <w:tcBorders>
              <w:top w:val="single" w:color="000000" w:sz="6" w:space="0"/>
              <w:bottom w:val="single" w:color="000000" w:sz="6" w:space="0"/>
            </w:tcBorders>
          </w:tcPr>
          <w:p>
            <w:pPr>
              <w:pStyle w:val="TableParagraph"/>
              <w:spacing w:before="50" w:line="208" w:lineRule="exact"/>
              <w:ind w:right="305"/>
              <w:jc w:val="right"/>
              <w:rPr>
                <w:b/>
                <w:sz w:val="21"/>
              </w:rPr>
            </w:pPr>
            <w:r>
              <w:rPr>
                <w:b/>
                <w:color w:val="0F0F0F"/>
                <w:spacing w:val="-5"/>
                <w:w w:val="105"/>
                <w:sz w:val="21"/>
              </w:rPr>
              <w:t>609</w:t>
            </w:r>
          </w:p>
        </w:tc>
        <w:tc>
          <w:tcPr>
            <w:tcW w:w="2005" w:type="dxa"/>
            <w:tcBorders>
              <w:top w:val="single" w:color="000000" w:sz="6" w:space="0"/>
              <w:bottom w:val="single" w:color="000000" w:sz="6" w:space="0"/>
            </w:tcBorders>
          </w:tcPr>
          <w:p>
            <w:pPr>
              <w:pStyle w:val="TableParagraph"/>
              <w:rPr>
                <w:rFonts w:ascii="Times New Roman"/>
                <w:sz w:val="20"/>
              </w:rPr>
            </w:pPr>
          </w:p>
        </w:tc>
        <w:tc>
          <w:tcPr>
            <w:tcW w:w="1763" w:type="dxa"/>
            <w:tcBorders>
              <w:top w:val="single" w:color="000000" w:sz="6" w:space="0"/>
              <w:bottom w:val="single" w:color="000000" w:sz="6" w:space="0"/>
            </w:tcBorders>
          </w:tcPr>
          <w:p>
            <w:pPr>
              <w:pStyle w:val="TableParagraph"/>
              <w:rPr>
                <w:rFonts w:ascii="Times New Roman"/>
                <w:sz w:val="20"/>
              </w:rPr>
            </w:pPr>
          </w:p>
        </w:tc>
        <w:tc>
          <w:tcPr>
            <w:tcW w:w="576" w:type="dxa"/>
            <w:tcBorders>
              <w:top w:val="single" w:color="000000" w:sz="6" w:space="0"/>
              <w:bottom w:val="single" w:color="000000" w:sz="6" w:space="0"/>
            </w:tcBorders>
          </w:tcPr>
          <w:p>
            <w:pPr>
              <w:pStyle w:val="TableParagraph"/>
              <w:spacing w:before="31" w:line="227" w:lineRule="exact"/>
              <w:ind w:right="191"/>
              <w:jc w:val="right"/>
              <w:rPr>
                <w:b/>
                <w:sz w:val="21"/>
              </w:rPr>
            </w:pPr>
            <w:r>
              <w:rPr>
                <w:b/>
                <w:color w:val="0F0F0F"/>
                <w:spacing w:val="-5"/>
                <w:w w:val="105"/>
                <w:sz w:val="21"/>
              </w:rPr>
              <w:t>113</w:t>
            </w:r>
          </w:p>
        </w:tc>
        <w:tc>
          <w:tcPr>
            <w:tcW w:w="824" w:type="dxa"/>
            <w:tcBorders>
              <w:top w:val="single" w:color="000000" w:sz="6" w:space="0"/>
              <w:bottom w:val="single" w:color="000000" w:sz="6" w:space="0"/>
            </w:tcBorders>
          </w:tcPr>
          <w:p>
            <w:pPr>
              <w:pStyle w:val="TableParagraph"/>
              <w:spacing w:before="45" w:line="213" w:lineRule="exact"/>
              <w:ind w:right="16"/>
              <w:jc w:val="right"/>
              <w:rPr>
                <w:b/>
                <w:sz w:val="21"/>
              </w:rPr>
            </w:pPr>
            <w:r>
              <w:rPr>
                <w:b/>
                <w:color w:val="0F0F0F"/>
                <w:spacing w:val="-5"/>
                <w:w w:val="105"/>
                <w:sz w:val="21"/>
              </w:rPr>
              <w:t>722</w:t>
            </w:r>
          </w:p>
        </w:tc>
        <w:tc>
          <w:tcPr>
            <w:tcW w:w="104" w:type="dxa"/>
            <w:tcBorders>
              <w:bottom w:val="single" w:color="000000" w:sz="6" w:space="0"/>
            </w:tcBorders>
          </w:tcPr>
          <w:p>
            <w:pPr>
              <w:pStyle w:val="TableParagraph"/>
              <w:rPr>
                <w:rFonts w:ascii="Times New Roman"/>
                <w:sz w:val="18"/>
              </w:rPr>
            </w:pPr>
          </w:p>
        </w:tc>
      </w:tr>
    </w:tbl>
    <w:p>
      <w:pPr>
        <w:pStyle w:val="BodyText"/>
        <w:spacing w:before="49"/>
      </w:pPr>
    </w:p>
    <w:p>
      <w:pPr>
        <w:pStyle w:val="BodyText"/>
        <w:spacing w:line="278" w:lineRule="auto"/>
        <w:ind w:left="1496" w:right="1172"/>
      </w:pPr>
      <w:r>
        <w:rPr>
          <w:color w:val="0F0F0F"/>
        </w:rPr>
        <w:t>Employers' contributions to</w:t>
      </w:r>
      <w:r>
        <w:rPr>
          <w:color w:val="0F0F0F"/>
          <w:spacing w:val="-4"/>
        </w:rPr>
        <w:t> </w:t>
      </w:r>
      <w:r>
        <w:rPr>
          <w:color w:val="0F0F0F"/>
        </w:rPr>
        <w:t>the</w:t>
      </w:r>
      <w:r>
        <w:rPr>
          <w:color w:val="0F0F0F"/>
          <w:spacing w:val="-9"/>
        </w:rPr>
        <w:t> </w:t>
      </w:r>
      <w:r>
        <w:rPr>
          <w:color w:val="0F0F0F"/>
        </w:rPr>
        <w:t>pension scheme represent the</w:t>
      </w:r>
      <w:r>
        <w:rPr>
          <w:color w:val="0F0F0F"/>
          <w:spacing w:val="-4"/>
        </w:rPr>
        <w:t> </w:t>
      </w:r>
      <w:r>
        <w:rPr>
          <w:color w:val="0F0F0F"/>
        </w:rPr>
        <w:t>amount determined at</w:t>
      </w:r>
      <w:r>
        <w:rPr>
          <w:color w:val="0F0F0F"/>
          <w:spacing w:val="-7"/>
        </w:rPr>
        <w:t> </w:t>
      </w:r>
      <w:r>
        <w:rPr>
          <w:color w:val="0F0F0F"/>
        </w:rPr>
        <w:t>the</w:t>
      </w:r>
      <w:r>
        <w:rPr>
          <w:color w:val="0F0F0F"/>
          <w:spacing w:val="-4"/>
        </w:rPr>
        <w:t> </w:t>
      </w:r>
      <w:r>
        <w:rPr>
          <w:color w:val="0F0F0F"/>
        </w:rPr>
        <w:t>last actuarial valuation as being required to</w:t>
      </w:r>
      <w:r>
        <w:rPr>
          <w:color w:val="0F0F0F"/>
          <w:spacing w:val="-2"/>
        </w:rPr>
        <w:t> </w:t>
      </w:r>
      <w:r>
        <w:rPr>
          <w:color w:val="0F0F0F"/>
        </w:rPr>
        <w:t>meet the cost of future pension accrual.</w:t>
      </w:r>
    </w:p>
    <w:p>
      <w:pPr>
        <w:pStyle w:val="BodyText"/>
        <w:spacing w:before="35"/>
      </w:pPr>
    </w:p>
    <w:p>
      <w:pPr>
        <w:pStyle w:val="ListParagraph"/>
        <w:numPr>
          <w:ilvl w:val="0"/>
          <w:numId w:val="15"/>
        </w:numPr>
        <w:tabs>
          <w:tab w:val="left" w:leader="none" w:pos="2572"/>
          <w:tab w:val="left" w:leader="none" w:pos="2578"/>
        </w:tabs>
        <w:spacing w:before="0" w:after="0" w:line="276" w:lineRule="auto"/>
        <w:ind w:left="2572" w:right="1189" w:hanging="380"/>
        <w:jc w:val="both"/>
        <w:rPr>
          <w:color w:val="0F0F0F"/>
          <w:sz w:val="21"/>
        </w:rPr>
      </w:pPr>
      <w:r>
        <w:rPr>
          <w:color w:val="0F0F0F"/>
          <w:sz w:val="22"/>
        </w:rPr>
        <w:tab/>
        <w:t>the</w:t>
      </w:r>
      <w:r>
        <w:rPr>
          <w:color w:val="0F0F0F"/>
          <w:spacing w:val="-13"/>
          <w:sz w:val="22"/>
        </w:rPr>
        <w:t> </w:t>
      </w:r>
      <w:r>
        <w:rPr>
          <w:color w:val="0F0F0F"/>
          <w:sz w:val="22"/>
        </w:rPr>
        <w:t>number</w:t>
      </w:r>
      <w:r>
        <w:rPr>
          <w:color w:val="0F0F0F"/>
          <w:spacing w:val="-1"/>
          <w:sz w:val="22"/>
        </w:rPr>
        <w:t> </w:t>
      </w:r>
      <w:r>
        <w:rPr>
          <w:color w:val="0F0F0F"/>
          <w:sz w:val="22"/>
        </w:rPr>
        <w:t>of</w:t>
      </w:r>
      <w:r>
        <w:rPr>
          <w:color w:val="0F0F0F"/>
          <w:spacing w:val="-12"/>
          <w:sz w:val="22"/>
        </w:rPr>
        <w:t> </w:t>
      </w:r>
      <w:r>
        <w:rPr>
          <w:color w:val="0F0F0F"/>
          <w:sz w:val="22"/>
        </w:rPr>
        <w:t>employees in</w:t>
      </w:r>
      <w:r>
        <w:rPr>
          <w:color w:val="0F0F0F"/>
          <w:spacing w:val="-16"/>
          <w:sz w:val="22"/>
        </w:rPr>
        <w:t> </w:t>
      </w:r>
      <w:r>
        <w:rPr>
          <w:color w:val="0F0F0F"/>
          <w:sz w:val="22"/>
        </w:rPr>
        <w:t>the</w:t>
      </w:r>
      <w:r>
        <w:rPr>
          <w:color w:val="0F0F0F"/>
          <w:spacing w:val="-1"/>
          <w:sz w:val="22"/>
        </w:rPr>
        <w:t> </w:t>
      </w:r>
      <w:r>
        <w:rPr>
          <w:color w:val="0F0F0F"/>
          <w:sz w:val="22"/>
        </w:rPr>
        <w:t>accounting period, in</w:t>
      </w:r>
      <w:r>
        <w:rPr>
          <w:color w:val="0F0F0F"/>
          <w:spacing w:val="-12"/>
          <w:sz w:val="22"/>
        </w:rPr>
        <w:t> </w:t>
      </w:r>
      <w:r>
        <w:rPr>
          <w:color w:val="0F0F0F"/>
          <w:sz w:val="22"/>
        </w:rPr>
        <w:t>addition</w:t>
      </w:r>
      <w:r>
        <w:rPr>
          <w:color w:val="0F0F0F"/>
          <w:spacing w:val="-9"/>
          <w:sz w:val="22"/>
        </w:rPr>
        <w:t> </w:t>
      </w:r>
      <w:r>
        <w:rPr>
          <w:color w:val="0F0F0F"/>
          <w:sz w:val="22"/>
        </w:rPr>
        <w:t>to</w:t>
      </w:r>
      <w:r>
        <w:rPr>
          <w:color w:val="0F0F0F"/>
          <w:spacing w:val="-7"/>
          <w:sz w:val="22"/>
        </w:rPr>
        <w:t> </w:t>
      </w:r>
      <w:r>
        <w:rPr>
          <w:color w:val="0F0F0F"/>
          <w:sz w:val="22"/>
        </w:rPr>
        <w:t>senior</w:t>
      </w:r>
      <w:r>
        <w:rPr>
          <w:color w:val="0F0F0F"/>
          <w:spacing w:val="-5"/>
          <w:sz w:val="22"/>
        </w:rPr>
        <w:t> </w:t>
      </w:r>
      <w:r>
        <w:rPr>
          <w:color w:val="0F0F0F"/>
          <w:sz w:val="22"/>
        </w:rPr>
        <w:t>employees included at (i) above, whose remuneration was £50k or</w:t>
      </w:r>
      <w:r>
        <w:rPr>
          <w:color w:val="0F0F0F"/>
          <w:spacing w:val="-3"/>
          <w:sz w:val="22"/>
        </w:rPr>
        <w:t> </w:t>
      </w:r>
      <w:r>
        <w:rPr>
          <w:color w:val="0F0F0F"/>
          <w:sz w:val="22"/>
        </w:rPr>
        <w:t>more</w:t>
      </w:r>
      <w:r>
        <w:rPr>
          <w:color w:val="0F0F0F"/>
          <w:spacing w:val="-2"/>
          <w:sz w:val="22"/>
        </w:rPr>
        <w:t> </w:t>
      </w:r>
      <w:r>
        <w:rPr>
          <w:color w:val="0F0F0F"/>
          <w:sz w:val="22"/>
        </w:rPr>
        <w:t>in</w:t>
      </w:r>
      <w:r>
        <w:rPr>
          <w:color w:val="0F0F0F"/>
          <w:spacing w:val="-10"/>
          <w:sz w:val="22"/>
        </w:rPr>
        <w:t> </w:t>
      </w:r>
      <w:r>
        <w:rPr>
          <w:color w:val="0F0F0F"/>
          <w:sz w:val="22"/>
        </w:rPr>
        <w:t>bands of</w:t>
      </w:r>
      <w:r>
        <w:rPr>
          <w:color w:val="0F0F0F"/>
          <w:spacing w:val="-7"/>
          <w:sz w:val="22"/>
        </w:rPr>
        <w:t> </w:t>
      </w:r>
      <w:r>
        <w:rPr>
          <w:color w:val="0F0F0F"/>
          <w:sz w:val="22"/>
        </w:rPr>
        <w:t>£5k. For this purpose, remuneration means all amounts paid to or receivable by an employee</w:t>
      </w:r>
      <w:r>
        <w:rPr>
          <w:color w:val="0F0F0F"/>
          <w:spacing w:val="22"/>
          <w:sz w:val="22"/>
        </w:rPr>
        <w:t> </w:t>
      </w:r>
      <w:r>
        <w:rPr>
          <w:color w:val="0F0F0F"/>
          <w:sz w:val="22"/>
        </w:rPr>
        <w:t>and</w:t>
      </w:r>
      <w:r>
        <w:rPr>
          <w:color w:val="0F0F0F"/>
          <w:spacing w:val="-1"/>
          <w:sz w:val="22"/>
        </w:rPr>
        <w:t> </w:t>
      </w:r>
      <w:r>
        <w:rPr>
          <w:color w:val="0F0F0F"/>
          <w:sz w:val="22"/>
        </w:rPr>
        <w:t>includes sums due by way of taxable expenses</w:t>
      </w:r>
      <w:r>
        <w:rPr>
          <w:color w:val="0F0F0F"/>
          <w:spacing w:val="24"/>
          <w:sz w:val="22"/>
        </w:rPr>
        <w:t> </w:t>
      </w:r>
      <w:r>
        <w:rPr>
          <w:color w:val="0F0F0F"/>
          <w:sz w:val="22"/>
        </w:rPr>
        <w:t>and the estimated</w:t>
      </w:r>
    </w:p>
    <w:p>
      <w:pPr>
        <w:spacing w:after="0" w:line="276" w:lineRule="auto"/>
        <w:jc w:val="both"/>
        <w:rPr>
          <w:sz w:val="21"/>
        </w:rPr>
        <w:sectPr>
          <w:headerReference w:type="even" r:id="rId121"/>
          <w:headerReference w:type="default" r:id="rId122"/>
          <w:footerReference w:type="even" r:id="rId123"/>
          <w:footerReference w:type="default" r:id="rId124"/>
          <w:pgSz w:w="11910" w:h="16830"/>
          <w:pgMar w:top="1060" w:right="100" w:bottom="1200" w:left="20" w:header="862" w:footer="1010"/>
          <w:pgNumType w:start="56"/>
        </w:sectPr>
      </w:pPr>
    </w:p>
    <w:p>
      <w:pPr>
        <w:pStyle w:val="BodyText"/>
        <w:spacing w:before="5"/>
        <w:rPr>
          <w:sz w:val="21"/>
        </w:rPr>
      </w:pPr>
    </w:p>
    <w:p>
      <w:pPr>
        <w:spacing w:before="0" w:line="285" w:lineRule="auto"/>
        <w:ind w:left="2496" w:right="1172" w:hanging="7"/>
        <w:jc w:val="left"/>
        <w:rPr>
          <w:sz w:val="21"/>
        </w:rPr>
      </w:pPr>
      <w:r>
        <w:rPr>
          <w:color w:val="0A0A0A"/>
          <w:w w:val="105"/>
          <w:sz w:val="21"/>
        </w:rPr>
        <w:t>money value of</w:t>
      </w:r>
      <w:r>
        <w:rPr>
          <w:color w:val="0A0A0A"/>
          <w:spacing w:val="-3"/>
          <w:w w:val="105"/>
          <w:sz w:val="21"/>
        </w:rPr>
        <w:t> </w:t>
      </w:r>
      <w:r>
        <w:rPr>
          <w:color w:val="0A0A0A"/>
          <w:w w:val="105"/>
          <w:sz w:val="21"/>
        </w:rPr>
        <w:t>any other benefits.</w:t>
      </w:r>
      <w:r>
        <w:rPr>
          <w:color w:val="0A0A0A"/>
          <w:w w:val="105"/>
          <w:sz w:val="21"/>
        </w:rPr>
        <w:t> Pension contributions</w:t>
      </w:r>
      <w:r>
        <w:rPr>
          <w:color w:val="0A0A0A"/>
          <w:w w:val="105"/>
          <w:sz w:val="21"/>
        </w:rPr>
        <w:t> payable by the Council are excluded</w:t>
      </w:r>
      <w:r>
        <w:rPr>
          <w:color w:val="4D4D4D"/>
          <w:w w:val="105"/>
          <w:sz w:val="21"/>
        </w:rPr>
        <w:t>.</w:t>
      </w:r>
    </w:p>
    <w:p>
      <w:pPr>
        <w:pStyle w:val="BodyText"/>
        <w:spacing w:before="8"/>
        <w:rPr>
          <w:sz w:val="16"/>
        </w:rPr>
      </w:pPr>
    </w:p>
    <w:tbl>
      <w:tblPr>
        <w:tblW w:w="0" w:type="auto"/>
        <w:jc w:val="left"/>
        <w:tblInd w:w="15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084"/>
        <w:gridCol w:w="263"/>
        <w:gridCol w:w="5569"/>
        <w:gridCol w:w="1972"/>
        <w:gridCol w:w="320"/>
      </w:tblGrid>
      <w:tr>
        <w:trPr>
          <w:trHeight w:val="531" w:hRule="atLeast"/>
        </w:trPr>
        <w:tc>
          <w:tcPr>
            <w:tcW w:w="1084" w:type="dxa"/>
          </w:tcPr>
          <w:p>
            <w:pPr>
              <w:pStyle w:val="TableParagraph"/>
              <w:spacing w:line="246" w:lineRule="exact"/>
              <w:ind w:left="268"/>
              <w:rPr>
                <w:b/>
                <w:sz w:val="22"/>
              </w:rPr>
            </w:pPr>
            <w:r>
              <w:rPr>
                <w:b/>
                <w:color w:val="0A0A0A"/>
                <w:spacing w:val="-4"/>
                <w:sz w:val="22"/>
              </w:rPr>
              <w:t>2021-</w:t>
            </w:r>
            <w:r>
              <w:rPr>
                <w:b/>
                <w:color w:val="0A0A0A"/>
                <w:spacing w:val="-5"/>
                <w:sz w:val="22"/>
              </w:rPr>
              <w:t>22</w:t>
            </w:r>
          </w:p>
        </w:tc>
        <w:tc>
          <w:tcPr>
            <w:tcW w:w="263" w:type="dxa"/>
          </w:tcPr>
          <w:p>
            <w:pPr>
              <w:pStyle w:val="TableParagraph"/>
              <w:rPr>
                <w:rFonts w:ascii="Times New Roman"/>
                <w:sz w:val="20"/>
              </w:rPr>
            </w:pPr>
          </w:p>
        </w:tc>
        <w:tc>
          <w:tcPr>
            <w:tcW w:w="5569" w:type="dxa"/>
          </w:tcPr>
          <w:p>
            <w:pPr>
              <w:pStyle w:val="TableParagraph"/>
              <w:spacing w:before="4"/>
              <w:rPr>
                <w:sz w:val="22"/>
              </w:rPr>
            </w:pPr>
          </w:p>
          <w:p>
            <w:pPr>
              <w:pStyle w:val="TableParagraph"/>
              <w:ind w:left="1192" w:right="18"/>
              <w:jc w:val="center"/>
              <w:rPr>
                <w:b/>
                <w:sz w:val="22"/>
              </w:rPr>
            </w:pPr>
            <w:r>
              <w:rPr>
                <w:b/>
                <w:color w:val="0A0A0A"/>
                <w:spacing w:val="-2"/>
                <w:sz w:val="22"/>
              </w:rPr>
              <w:t>REMUNERATION</w:t>
            </w:r>
            <w:r>
              <w:rPr>
                <w:b/>
                <w:color w:val="0A0A0A"/>
                <w:spacing w:val="8"/>
                <w:sz w:val="22"/>
              </w:rPr>
              <w:t> </w:t>
            </w:r>
            <w:r>
              <w:rPr>
                <w:b/>
                <w:color w:val="0A0A0A"/>
                <w:spacing w:val="-2"/>
                <w:sz w:val="22"/>
              </w:rPr>
              <w:t>BAND:</w:t>
            </w:r>
          </w:p>
        </w:tc>
        <w:tc>
          <w:tcPr>
            <w:tcW w:w="1972" w:type="dxa"/>
          </w:tcPr>
          <w:p>
            <w:pPr>
              <w:pStyle w:val="TableParagraph"/>
              <w:spacing w:line="246" w:lineRule="exact"/>
              <w:ind w:left="1165"/>
              <w:rPr>
                <w:b/>
                <w:sz w:val="22"/>
              </w:rPr>
            </w:pPr>
            <w:r>
              <w:rPr>
                <w:b/>
                <w:color w:val="0A0A0A"/>
                <w:spacing w:val="-6"/>
                <w:sz w:val="22"/>
              </w:rPr>
              <w:t>2022-</w:t>
            </w:r>
            <w:r>
              <w:rPr>
                <w:b/>
                <w:color w:val="0A0A0A"/>
                <w:spacing w:val="-5"/>
                <w:sz w:val="22"/>
              </w:rPr>
              <w:t>23</w:t>
            </w:r>
          </w:p>
        </w:tc>
        <w:tc>
          <w:tcPr>
            <w:tcW w:w="320" w:type="dxa"/>
          </w:tcPr>
          <w:p>
            <w:pPr>
              <w:pStyle w:val="TableParagraph"/>
              <w:rPr>
                <w:rFonts w:ascii="Times New Roman"/>
                <w:sz w:val="20"/>
              </w:rPr>
            </w:pPr>
          </w:p>
        </w:tc>
      </w:tr>
      <w:tr>
        <w:trPr>
          <w:trHeight w:val="275" w:hRule="atLeast"/>
        </w:trPr>
        <w:tc>
          <w:tcPr>
            <w:tcW w:w="1084" w:type="dxa"/>
          </w:tcPr>
          <w:p>
            <w:pPr>
              <w:pStyle w:val="TableParagraph"/>
              <w:rPr>
                <w:rFonts w:ascii="Times New Roman"/>
                <w:sz w:val="20"/>
              </w:rPr>
            </w:pPr>
          </w:p>
        </w:tc>
        <w:tc>
          <w:tcPr>
            <w:tcW w:w="263" w:type="dxa"/>
          </w:tcPr>
          <w:p>
            <w:pPr>
              <w:pStyle w:val="TableParagraph"/>
              <w:spacing w:before="14" w:line="241" w:lineRule="exact"/>
              <w:ind w:left="17"/>
              <w:rPr>
                <w:sz w:val="21"/>
              </w:rPr>
            </w:pPr>
            <w:r>
              <w:rPr>
                <w:color w:val="0A0A0A"/>
                <w:spacing w:val="-10"/>
                <w:w w:val="110"/>
                <w:sz w:val="21"/>
              </w:rPr>
              <w:t>5</w:t>
            </w:r>
          </w:p>
        </w:tc>
        <w:tc>
          <w:tcPr>
            <w:tcW w:w="5569" w:type="dxa"/>
          </w:tcPr>
          <w:p>
            <w:pPr>
              <w:pStyle w:val="TableParagraph"/>
              <w:spacing w:before="14" w:line="241" w:lineRule="exact"/>
              <w:ind w:left="1192" w:right="14"/>
              <w:jc w:val="center"/>
              <w:rPr>
                <w:sz w:val="21"/>
              </w:rPr>
            </w:pPr>
            <w:r>
              <w:rPr>
                <w:color w:val="0A0A0A"/>
                <w:w w:val="105"/>
                <w:sz w:val="21"/>
              </w:rPr>
              <w:t>£50,000</w:t>
            </w:r>
            <w:r>
              <w:rPr>
                <w:color w:val="0A0A0A"/>
                <w:spacing w:val="-8"/>
                <w:w w:val="105"/>
                <w:sz w:val="21"/>
              </w:rPr>
              <w:t> </w:t>
            </w:r>
            <w:r>
              <w:rPr>
                <w:color w:val="0A0A0A"/>
                <w:w w:val="105"/>
                <w:sz w:val="21"/>
              </w:rPr>
              <w:t>-</w:t>
            </w:r>
            <w:r>
              <w:rPr>
                <w:color w:val="0A0A0A"/>
                <w:spacing w:val="-4"/>
                <w:w w:val="105"/>
                <w:sz w:val="21"/>
              </w:rPr>
              <w:t> </w:t>
            </w:r>
            <w:r>
              <w:rPr>
                <w:color w:val="0A0A0A"/>
                <w:spacing w:val="-2"/>
                <w:w w:val="105"/>
                <w:sz w:val="21"/>
              </w:rPr>
              <w:t>£54,999</w:t>
            </w:r>
          </w:p>
        </w:tc>
        <w:tc>
          <w:tcPr>
            <w:tcW w:w="1972" w:type="dxa"/>
          </w:tcPr>
          <w:p>
            <w:pPr>
              <w:pStyle w:val="TableParagraph"/>
              <w:rPr>
                <w:rFonts w:ascii="Times New Roman"/>
                <w:sz w:val="20"/>
              </w:rPr>
            </w:pPr>
          </w:p>
        </w:tc>
        <w:tc>
          <w:tcPr>
            <w:tcW w:w="320" w:type="dxa"/>
          </w:tcPr>
          <w:p>
            <w:pPr>
              <w:pStyle w:val="TableParagraph"/>
              <w:spacing w:before="14" w:line="241" w:lineRule="exact"/>
              <w:ind w:left="16"/>
              <w:rPr>
                <w:sz w:val="21"/>
              </w:rPr>
            </w:pPr>
            <w:r>
              <w:rPr>
                <w:color w:val="0A0A0A"/>
                <w:spacing w:val="-10"/>
                <w:w w:val="110"/>
                <w:sz w:val="21"/>
              </w:rPr>
              <w:t>8</w:t>
            </w:r>
          </w:p>
        </w:tc>
      </w:tr>
      <w:tr>
        <w:trPr>
          <w:trHeight w:val="278" w:hRule="atLeast"/>
        </w:trPr>
        <w:tc>
          <w:tcPr>
            <w:tcW w:w="1084" w:type="dxa"/>
          </w:tcPr>
          <w:p>
            <w:pPr>
              <w:pStyle w:val="TableParagraph"/>
              <w:rPr>
                <w:rFonts w:ascii="Times New Roman"/>
                <w:sz w:val="20"/>
              </w:rPr>
            </w:pPr>
          </w:p>
        </w:tc>
        <w:tc>
          <w:tcPr>
            <w:tcW w:w="263" w:type="dxa"/>
          </w:tcPr>
          <w:p>
            <w:pPr>
              <w:pStyle w:val="TableParagraph"/>
              <w:spacing w:before="17" w:line="241" w:lineRule="exact"/>
              <w:ind w:left="18"/>
              <w:rPr>
                <w:sz w:val="21"/>
              </w:rPr>
            </w:pPr>
            <w:r>
              <w:rPr>
                <w:color w:val="0A0A0A"/>
                <w:spacing w:val="-10"/>
                <w:w w:val="110"/>
                <w:sz w:val="21"/>
              </w:rPr>
              <w:t>6</w:t>
            </w:r>
          </w:p>
        </w:tc>
        <w:tc>
          <w:tcPr>
            <w:tcW w:w="5569" w:type="dxa"/>
          </w:tcPr>
          <w:p>
            <w:pPr>
              <w:pStyle w:val="TableParagraph"/>
              <w:spacing w:before="17" w:line="241" w:lineRule="exact"/>
              <w:ind w:left="1192" w:right="9"/>
              <w:jc w:val="center"/>
              <w:rPr>
                <w:sz w:val="21"/>
              </w:rPr>
            </w:pPr>
            <w:r>
              <w:rPr>
                <w:color w:val="0A0A0A"/>
                <w:w w:val="105"/>
                <w:sz w:val="21"/>
              </w:rPr>
              <w:t>£55,000</w:t>
            </w:r>
            <w:r>
              <w:rPr>
                <w:color w:val="0A0A0A"/>
                <w:spacing w:val="-4"/>
                <w:w w:val="105"/>
                <w:sz w:val="21"/>
              </w:rPr>
              <w:t> </w:t>
            </w:r>
            <w:r>
              <w:rPr>
                <w:color w:val="0A0A0A"/>
                <w:w w:val="105"/>
                <w:sz w:val="21"/>
              </w:rPr>
              <w:t>-</w:t>
            </w:r>
            <w:r>
              <w:rPr>
                <w:color w:val="0A0A0A"/>
                <w:spacing w:val="-3"/>
                <w:w w:val="105"/>
                <w:sz w:val="21"/>
              </w:rPr>
              <w:t> </w:t>
            </w:r>
            <w:r>
              <w:rPr>
                <w:color w:val="0A0A0A"/>
                <w:spacing w:val="-2"/>
                <w:w w:val="105"/>
                <w:sz w:val="21"/>
              </w:rPr>
              <w:t>£59,999</w:t>
            </w:r>
          </w:p>
        </w:tc>
        <w:tc>
          <w:tcPr>
            <w:tcW w:w="1972" w:type="dxa"/>
          </w:tcPr>
          <w:p>
            <w:pPr>
              <w:pStyle w:val="TableParagraph"/>
              <w:rPr>
                <w:rFonts w:ascii="Times New Roman"/>
                <w:sz w:val="20"/>
              </w:rPr>
            </w:pPr>
          </w:p>
        </w:tc>
        <w:tc>
          <w:tcPr>
            <w:tcW w:w="320" w:type="dxa"/>
          </w:tcPr>
          <w:p>
            <w:pPr>
              <w:pStyle w:val="TableParagraph"/>
              <w:spacing w:before="13"/>
              <w:ind w:left="21"/>
              <w:rPr>
                <w:sz w:val="21"/>
              </w:rPr>
            </w:pPr>
            <w:r>
              <w:rPr>
                <w:color w:val="0A0A0A"/>
                <w:spacing w:val="-10"/>
                <w:w w:val="110"/>
                <w:sz w:val="21"/>
              </w:rPr>
              <w:t>5</w:t>
            </w:r>
          </w:p>
        </w:tc>
      </w:tr>
      <w:tr>
        <w:trPr>
          <w:trHeight w:val="278" w:hRule="atLeast"/>
        </w:trPr>
        <w:tc>
          <w:tcPr>
            <w:tcW w:w="1084" w:type="dxa"/>
          </w:tcPr>
          <w:p>
            <w:pPr>
              <w:pStyle w:val="TableParagraph"/>
              <w:rPr>
                <w:rFonts w:ascii="Times New Roman"/>
                <w:sz w:val="20"/>
              </w:rPr>
            </w:pPr>
          </w:p>
        </w:tc>
        <w:tc>
          <w:tcPr>
            <w:tcW w:w="263" w:type="dxa"/>
          </w:tcPr>
          <w:p>
            <w:pPr>
              <w:pStyle w:val="TableParagraph"/>
              <w:spacing w:before="17" w:line="241" w:lineRule="exact"/>
              <w:ind w:left="22"/>
              <w:rPr>
                <w:sz w:val="21"/>
              </w:rPr>
            </w:pPr>
            <w:r>
              <w:rPr>
                <w:color w:val="0A0A0A"/>
                <w:spacing w:val="-10"/>
                <w:w w:val="110"/>
                <w:sz w:val="21"/>
              </w:rPr>
              <w:t>3</w:t>
            </w:r>
          </w:p>
        </w:tc>
        <w:tc>
          <w:tcPr>
            <w:tcW w:w="5569" w:type="dxa"/>
          </w:tcPr>
          <w:p>
            <w:pPr>
              <w:pStyle w:val="TableParagraph"/>
              <w:spacing w:before="13"/>
              <w:ind w:left="1192" w:right="4"/>
              <w:jc w:val="center"/>
              <w:rPr>
                <w:sz w:val="21"/>
              </w:rPr>
            </w:pPr>
            <w:r>
              <w:rPr>
                <w:color w:val="0A0A0A"/>
                <w:w w:val="105"/>
                <w:sz w:val="21"/>
              </w:rPr>
              <w:t>£60,000</w:t>
            </w:r>
            <w:r>
              <w:rPr>
                <w:color w:val="0A0A0A"/>
                <w:spacing w:val="-8"/>
                <w:w w:val="105"/>
                <w:sz w:val="21"/>
              </w:rPr>
              <w:t> </w:t>
            </w:r>
            <w:r>
              <w:rPr>
                <w:color w:val="0A0A0A"/>
                <w:w w:val="105"/>
                <w:sz w:val="21"/>
              </w:rPr>
              <w:t>-</w:t>
            </w:r>
            <w:r>
              <w:rPr>
                <w:color w:val="0A0A0A"/>
                <w:spacing w:val="-4"/>
                <w:w w:val="105"/>
                <w:sz w:val="21"/>
              </w:rPr>
              <w:t> </w:t>
            </w:r>
            <w:r>
              <w:rPr>
                <w:color w:val="0A0A0A"/>
                <w:spacing w:val="-2"/>
                <w:w w:val="105"/>
                <w:sz w:val="21"/>
              </w:rPr>
              <w:t>£64,999</w:t>
            </w:r>
          </w:p>
        </w:tc>
        <w:tc>
          <w:tcPr>
            <w:tcW w:w="1972" w:type="dxa"/>
          </w:tcPr>
          <w:p>
            <w:pPr>
              <w:pStyle w:val="TableParagraph"/>
              <w:rPr>
                <w:rFonts w:ascii="Times New Roman"/>
                <w:sz w:val="20"/>
              </w:rPr>
            </w:pPr>
          </w:p>
        </w:tc>
        <w:tc>
          <w:tcPr>
            <w:tcW w:w="320" w:type="dxa"/>
          </w:tcPr>
          <w:p>
            <w:pPr>
              <w:pStyle w:val="TableParagraph"/>
              <w:spacing w:before="13"/>
              <w:ind w:left="21"/>
              <w:rPr>
                <w:sz w:val="21"/>
              </w:rPr>
            </w:pPr>
            <w:r>
              <w:rPr>
                <w:color w:val="0A0A0A"/>
                <w:spacing w:val="-10"/>
                <w:w w:val="110"/>
                <w:sz w:val="21"/>
              </w:rPr>
              <w:t>8</w:t>
            </w:r>
          </w:p>
        </w:tc>
      </w:tr>
      <w:tr>
        <w:trPr>
          <w:trHeight w:val="276" w:hRule="atLeast"/>
        </w:trPr>
        <w:tc>
          <w:tcPr>
            <w:tcW w:w="1084" w:type="dxa"/>
          </w:tcPr>
          <w:p>
            <w:pPr>
              <w:pStyle w:val="TableParagraph"/>
              <w:rPr>
                <w:rFonts w:ascii="Times New Roman"/>
                <w:sz w:val="20"/>
              </w:rPr>
            </w:pPr>
          </w:p>
        </w:tc>
        <w:tc>
          <w:tcPr>
            <w:tcW w:w="263" w:type="dxa"/>
          </w:tcPr>
          <w:p>
            <w:pPr>
              <w:pStyle w:val="TableParagraph"/>
              <w:rPr>
                <w:rFonts w:ascii="Times New Roman"/>
                <w:sz w:val="20"/>
              </w:rPr>
            </w:pPr>
          </w:p>
        </w:tc>
        <w:tc>
          <w:tcPr>
            <w:tcW w:w="5569" w:type="dxa"/>
          </w:tcPr>
          <w:p>
            <w:pPr>
              <w:pStyle w:val="TableParagraph"/>
              <w:spacing w:before="13"/>
              <w:ind w:left="1192" w:right="3"/>
              <w:jc w:val="center"/>
              <w:rPr>
                <w:sz w:val="21"/>
              </w:rPr>
            </w:pPr>
            <w:r>
              <w:rPr>
                <w:color w:val="0A0A0A"/>
                <w:w w:val="105"/>
                <w:sz w:val="21"/>
              </w:rPr>
              <w:t>£65,000</w:t>
            </w:r>
            <w:r>
              <w:rPr>
                <w:color w:val="0A0A0A"/>
                <w:spacing w:val="-4"/>
                <w:w w:val="105"/>
                <w:sz w:val="21"/>
              </w:rPr>
              <w:t> </w:t>
            </w:r>
            <w:r>
              <w:rPr>
                <w:color w:val="0A0A0A"/>
                <w:w w:val="105"/>
                <w:sz w:val="21"/>
              </w:rPr>
              <w:t>-</w:t>
            </w:r>
            <w:r>
              <w:rPr>
                <w:color w:val="0A0A0A"/>
                <w:spacing w:val="-3"/>
                <w:w w:val="105"/>
                <w:sz w:val="21"/>
              </w:rPr>
              <w:t> </w:t>
            </w:r>
            <w:r>
              <w:rPr>
                <w:color w:val="0A0A0A"/>
                <w:spacing w:val="-2"/>
                <w:w w:val="105"/>
                <w:sz w:val="21"/>
              </w:rPr>
              <w:t>£69</w:t>
            </w:r>
            <w:r>
              <w:rPr>
                <w:color w:val="3A3A3A"/>
                <w:spacing w:val="-2"/>
                <w:w w:val="105"/>
                <w:sz w:val="21"/>
              </w:rPr>
              <w:t>,</w:t>
            </w:r>
            <w:r>
              <w:rPr>
                <w:color w:val="0A0A0A"/>
                <w:spacing w:val="-2"/>
                <w:w w:val="105"/>
                <w:sz w:val="21"/>
              </w:rPr>
              <w:t>999</w:t>
            </w:r>
          </w:p>
        </w:tc>
        <w:tc>
          <w:tcPr>
            <w:tcW w:w="1972" w:type="dxa"/>
          </w:tcPr>
          <w:p>
            <w:pPr>
              <w:pStyle w:val="TableParagraph"/>
              <w:rPr>
                <w:rFonts w:ascii="Times New Roman"/>
                <w:sz w:val="20"/>
              </w:rPr>
            </w:pPr>
          </w:p>
        </w:tc>
        <w:tc>
          <w:tcPr>
            <w:tcW w:w="320" w:type="dxa"/>
          </w:tcPr>
          <w:p>
            <w:pPr>
              <w:pStyle w:val="TableParagraph"/>
              <w:rPr>
                <w:rFonts w:ascii="Times New Roman"/>
                <w:sz w:val="20"/>
              </w:rPr>
            </w:pPr>
          </w:p>
        </w:tc>
      </w:tr>
      <w:tr>
        <w:trPr>
          <w:trHeight w:val="278" w:hRule="atLeast"/>
        </w:trPr>
        <w:tc>
          <w:tcPr>
            <w:tcW w:w="1084" w:type="dxa"/>
          </w:tcPr>
          <w:p>
            <w:pPr>
              <w:pStyle w:val="TableParagraph"/>
              <w:rPr>
                <w:rFonts w:ascii="Times New Roman"/>
                <w:sz w:val="20"/>
              </w:rPr>
            </w:pPr>
          </w:p>
        </w:tc>
        <w:tc>
          <w:tcPr>
            <w:tcW w:w="263" w:type="dxa"/>
          </w:tcPr>
          <w:p>
            <w:pPr>
              <w:pStyle w:val="TableParagraph"/>
              <w:spacing w:before="25" w:line="234" w:lineRule="exact"/>
              <w:ind w:left="22"/>
              <w:rPr>
                <w:sz w:val="21"/>
              </w:rPr>
            </w:pPr>
            <w:r>
              <w:rPr>
                <w:color w:val="0A0A0A"/>
                <w:spacing w:val="-10"/>
                <w:w w:val="105"/>
                <w:sz w:val="21"/>
              </w:rPr>
              <w:t>3</w:t>
            </w:r>
          </w:p>
        </w:tc>
        <w:tc>
          <w:tcPr>
            <w:tcW w:w="5569" w:type="dxa"/>
          </w:tcPr>
          <w:p>
            <w:pPr>
              <w:pStyle w:val="TableParagraph"/>
              <w:spacing w:before="15"/>
              <w:ind w:left="1192" w:right="9"/>
              <w:jc w:val="center"/>
              <w:rPr>
                <w:sz w:val="21"/>
              </w:rPr>
            </w:pPr>
            <w:r>
              <w:rPr>
                <w:color w:val="0A0A0A"/>
                <w:w w:val="105"/>
                <w:sz w:val="21"/>
              </w:rPr>
              <w:t>£70,000</w:t>
            </w:r>
            <w:r>
              <w:rPr>
                <w:color w:val="0A0A0A"/>
                <w:spacing w:val="-4"/>
                <w:w w:val="105"/>
                <w:sz w:val="21"/>
              </w:rPr>
              <w:t> </w:t>
            </w:r>
            <w:r>
              <w:rPr>
                <w:color w:val="0A0A0A"/>
                <w:w w:val="105"/>
                <w:sz w:val="21"/>
              </w:rPr>
              <w:t>-</w:t>
            </w:r>
            <w:r>
              <w:rPr>
                <w:color w:val="0A0A0A"/>
                <w:spacing w:val="-3"/>
                <w:w w:val="105"/>
                <w:sz w:val="21"/>
              </w:rPr>
              <w:t> </w:t>
            </w:r>
            <w:r>
              <w:rPr>
                <w:color w:val="0A0A0A"/>
                <w:spacing w:val="-2"/>
                <w:w w:val="105"/>
                <w:sz w:val="21"/>
              </w:rPr>
              <w:t>£74,999</w:t>
            </w:r>
          </w:p>
        </w:tc>
        <w:tc>
          <w:tcPr>
            <w:tcW w:w="1972" w:type="dxa"/>
          </w:tcPr>
          <w:p>
            <w:pPr>
              <w:pStyle w:val="TableParagraph"/>
              <w:rPr>
                <w:rFonts w:ascii="Times New Roman"/>
                <w:sz w:val="20"/>
              </w:rPr>
            </w:pPr>
          </w:p>
        </w:tc>
        <w:tc>
          <w:tcPr>
            <w:tcW w:w="320" w:type="dxa"/>
          </w:tcPr>
          <w:p>
            <w:pPr>
              <w:pStyle w:val="TableParagraph"/>
              <w:rPr>
                <w:rFonts w:ascii="Times New Roman"/>
                <w:sz w:val="20"/>
              </w:rPr>
            </w:pPr>
          </w:p>
        </w:tc>
      </w:tr>
      <w:tr>
        <w:trPr>
          <w:trHeight w:val="267" w:hRule="atLeast"/>
        </w:trPr>
        <w:tc>
          <w:tcPr>
            <w:tcW w:w="1084" w:type="dxa"/>
          </w:tcPr>
          <w:p>
            <w:pPr>
              <w:pStyle w:val="TableParagraph"/>
              <w:rPr>
                <w:rFonts w:ascii="Times New Roman"/>
                <w:sz w:val="18"/>
              </w:rPr>
            </w:pPr>
          </w:p>
        </w:tc>
        <w:tc>
          <w:tcPr>
            <w:tcW w:w="263" w:type="dxa"/>
          </w:tcPr>
          <w:p>
            <w:pPr>
              <w:pStyle w:val="TableParagraph"/>
              <w:spacing w:before="2" w:line="245" w:lineRule="exact"/>
              <w:ind w:left="14"/>
              <w:rPr>
                <w:rFonts w:ascii="Times New Roman"/>
                <w:sz w:val="23"/>
              </w:rPr>
            </w:pPr>
            <w:r>
              <w:rPr>
                <w:rFonts w:ascii="Times New Roman"/>
                <w:color w:val="0A0A0A"/>
                <w:spacing w:val="-10"/>
                <w:w w:val="105"/>
                <w:sz w:val="23"/>
              </w:rPr>
              <w:t>1</w:t>
            </w:r>
          </w:p>
        </w:tc>
        <w:tc>
          <w:tcPr>
            <w:tcW w:w="5569" w:type="dxa"/>
          </w:tcPr>
          <w:p>
            <w:pPr>
              <w:pStyle w:val="TableParagraph"/>
              <w:spacing w:before="10" w:line="236" w:lineRule="exact"/>
              <w:ind w:left="1192"/>
              <w:jc w:val="center"/>
              <w:rPr>
                <w:sz w:val="21"/>
              </w:rPr>
            </w:pPr>
            <w:r>
              <w:rPr>
                <w:color w:val="0A0A0A"/>
                <w:w w:val="105"/>
                <w:sz w:val="21"/>
              </w:rPr>
              <w:t>£75,000</w:t>
            </w:r>
            <w:r>
              <w:rPr>
                <w:color w:val="0A0A0A"/>
                <w:spacing w:val="-4"/>
                <w:w w:val="105"/>
                <w:sz w:val="21"/>
              </w:rPr>
              <w:t> </w:t>
            </w:r>
            <w:r>
              <w:rPr>
                <w:color w:val="0A0A0A"/>
                <w:w w:val="105"/>
                <w:sz w:val="21"/>
              </w:rPr>
              <w:t>-</w:t>
            </w:r>
            <w:r>
              <w:rPr>
                <w:color w:val="0A0A0A"/>
                <w:spacing w:val="-3"/>
                <w:w w:val="105"/>
                <w:sz w:val="21"/>
              </w:rPr>
              <w:t> </w:t>
            </w:r>
            <w:r>
              <w:rPr>
                <w:color w:val="0A0A0A"/>
                <w:spacing w:val="-2"/>
                <w:w w:val="105"/>
                <w:sz w:val="21"/>
              </w:rPr>
              <w:t>£79,999</w:t>
            </w:r>
          </w:p>
        </w:tc>
        <w:tc>
          <w:tcPr>
            <w:tcW w:w="1972" w:type="dxa"/>
          </w:tcPr>
          <w:p>
            <w:pPr>
              <w:pStyle w:val="TableParagraph"/>
              <w:rPr>
                <w:rFonts w:ascii="Times New Roman"/>
                <w:sz w:val="18"/>
              </w:rPr>
            </w:pPr>
          </w:p>
        </w:tc>
        <w:tc>
          <w:tcPr>
            <w:tcW w:w="320" w:type="dxa"/>
          </w:tcPr>
          <w:p>
            <w:pPr>
              <w:pStyle w:val="TableParagraph"/>
              <w:spacing w:before="25" w:line="222" w:lineRule="exact"/>
              <w:ind w:left="24"/>
              <w:rPr>
                <w:sz w:val="21"/>
              </w:rPr>
            </w:pPr>
            <w:r>
              <w:rPr>
                <w:color w:val="0A0A0A"/>
                <w:spacing w:val="-10"/>
                <w:w w:val="110"/>
                <w:sz w:val="21"/>
              </w:rPr>
              <w:t>2</w:t>
            </w:r>
          </w:p>
        </w:tc>
      </w:tr>
      <w:tr>
        <w:trPr>
          <w:trHeight w:val="270" w:hRule="atLeast"/>
        </w:trPr>
        <w:tc>
          <w:tcPr>
            <w:tcW w:w="1347" w:type="dxa"/>
            <w:gridSpan w:val="2"/>
            <w:tcBorders>
              <w:bottom w:val="single" w:color="000000" w:sz="6" w:space="0"/>
            </w:tcBorders>
          </w:tcPr>
          <w:p>
            <w:pPr>
              <w:pStyle w:val="TableParagraph"/>
              <w:rPr>
                <w:rFonts w:ascii="Times New Roman"/>
                <w:sz w:val="18"/>
              </w:rPr>
            </w:pPr>
          </w:p>
        </w:tc>
        <w:tc>
          <w:tcPr>
            <w:tcW w:w="5569" w:type="dxa"/>
          </w:tcPr>
          <w:p>
            <w:pPr>
              <w:pStyle w:val="TableParagraph"/>
              <w:spacing w:before="22" w:line="228" w:lineRule="exact"/>
              <w:ind w:left="1192" w:right="9"/>
              <w:jc w:val="center"/>
              <w:rPr>
                <w:sz w:val="21"/>
              </w:rPr>
            </w:pPr>
            <w:r>
              <w:rPr>
                <w:color w:val="0A0A0A"/>
                <w:w w:val="105"/>
                <w:sz w:val="21"/>
              </w:rPr>
              <w:t>£80,000</w:t>
            </w:r>
            <w:r>
              <w:rPr>
                <w:color w:val="0A0A0A"/>
                <w:spacing w:val="-4"/>
                <w:w w:val="105"/>
                <w:sz w:val="21"/>
              </w:rPr>
              <w:t> </w:t>
            </w:r>
            <w:r>
              <w:rPr>
                <w:color w:val="0A0A0A"/>
                <w:w w:val="105"/>
                <w:sz w:val="21"/>
              </w:rPr>
              <w:t>-</w:t>
            </w:r>
            <w:r>
              <w:rPr>
                <w:color w:val="0A0A0A"/>
                <w:spacing w:val="-3"/>
                <w:w w:val="105"/>
                <w:sz w:val="21"/>
              </w:rPr>
              <w:t> </w:t>
            </w:r>
            <w:r>
              <w:rPr>
                <w:color w:val="0A0A0A"/>
                <w:spacing w:val="-2"/>
                <w:w w:val="105"/>
                <w:sz w:val="21"/>
              </w:rPr>
              <w:t>£84,999</w:t>
            </w:r>
          </w:p>
        </w:tc>
        <w:tc>
          <w:tcPr>
            <w:tcW w:w="2292" w:type="dxa"/>
            <w:gridSpan w:val="2"/>
          </w:tcPr>
          <w:p>
            <w:pPr>
              <w:pStyle w:val="TableParagraph"/>
              <w:tabs>
                <w:tab w:val="left" w:leader="none" w:pos="2001"/>
              </w:tabs>
              <w:spacing w:before="36" w:line="214" w:lineRule="exact"/>
              <w:ind w:left="911"/>
              <w:rPr>
                <w:sz w:val="21"/>
              </w:rPr>
            </w:pPr>
            <w:r>
              <w:rPr>
                <w:color w:val="0A0A0A"/>
                <w:sz w:val="21"/>
                <w:u w:val="single" w:color="000000"/>
              </w:rPr>
              <w:tab/>
            </w:r>
            <w:r>
              <w:rPr>
                <w:color w:val="0A0A0A"/>
                <w:spacing w:val="-10"/>
                <w:w w:val="110"/>
                <w:sz w:val="21"/>
                <w:u w:val="single" w:color="000000"/>
              </w:rPr>
              <w:t>2</w:t>
            </w:r>
            <w:r>
              <w:rPr>
                <w:color w:val="0A0A0A"/>
                <w:spacing w:val="80"/>
                <w:w w:val="110"/>
                <w:sz w:val="21"/>
                <w:u w:val="single" w:color="000000"/>
              </w:rPr>
              <w:t> </w:t>
            </w:r>
          </w:p>
        </w:tc>
      </w:tr>
      <w:tr>
        <w:trPr>
          <w:trHeight w:val="278" w:hRule="atLeast"/>
        </w:trPr>
        <w:tc>
          <w:tcPr>
            <w:tcW w:w="1347" w:type="dxa"/>
            <w:gridSpan w:val="2"/>
            <w:tcBorders>
              <w:top w:val="single" w:color="000000" w:sz="6" w:space="0"/>
            </w:tcBorders>
          </w:tcPr>
          <w:p>
            <w:pPr>
              <w:pStyle w:val="TableParagraph"/>
              <w:spacing w:before="31" w:line="233" w:lineRule="exact"/>
              <w:ind w:right="112"/>
              <w:jc w:val="right"/>
              <w:rPr>
                <w:b/>
                <w:sz w:val="22"/>
              </w:rPr>
            </w:pPr>
            <w:r>
              <w:rPr>
                <w:b/>
                <w:color w:val="0A0A0A"/>
                <w:spacing w:val="-5"/>
                <w:sz w:val="22"/>
              </w:rPr>
              <w:t>18</w:t>
            </w:r>
          </w:p>
        </w:tc>
        <w:tc>
          <w:tcPr>
            <w:tcW w:w="5569" w:type="dxa"/>
          </w:tcPr>
          <w:p>
            <w:pPr>
              <w:pStyle w:val="TableParagraph"/>
              <w:rPr>
                <w:rFonts w:ascii="Times New Roman"/>
                <w:sz w:val="20"/>
              </w:rPr>
            </w:pPr>
          </w:p>
        </w:tc>
        <w:tc>
          <w:tcPr>
            <w:tcW w:w="2292" w:type="dxa"/>
            <w:gridSpan w:val="2"/>
          </w:tcPr>
          <w:p>
            <w:pPr>
              <w:pStyle w:val="TableParagraph"/>
              <w:spacing w:before="20" w:line="238" w:lineRule="exact"/>
              <w:ind w:right="165"/>
              <w:jc w:val="right"/>
              <w:rPr>
                <w:b/>
                <w:sz w:val="22"/>
              </w:rPr>
            </w:pPr>
            <w:r>
              <w:rPr>
                <w:b/>
                <w:color w:val="0A0A0A"/>
                <w:spacing w:val="-5"/>
                <w:sz w:val="22"/>
              </w:rPr>
              <w:t>25</w:t>
            </w:r>
          </w:p>
        </w:tc>
      </w:tr>
    </w:tbl>
    <w:p>
      <w:pPr>
        <w:pStyle w:val="BodyText"/>
        <w:spacing w:before="186"/>
        <w:rPr>
          <w:sz w:val="21"/>
        </w:rPr>
      </w:pPr>
    </w:p>
    <w:p>
      <w:pPr>
        <w:spacing w:before="0" w:line="285" w:lineRule="auto"/>
        <w:ind w:left="1418" w:right="1172" w:hanging="2"/>
        <w:jc w:val="left"/>
        <w:rPr>
          <w:sz w:val="21"/>
        </w:rPr>
      </w:pPr>
      <w:r>
        <w:rPr>
          <w:color w:val="0A0A0A"/>
          <w:w w:val="105"/>
          <w:sz w:val="21"/>
        </w:rPr>
        <w:t>The</w:t>
      </w:r>
      <w:r>
        <w:rPr>
          <w:color w:val="0A0A0A"/>
          <w:spacing w:val="-4"/>
          <w:w w:val="105"/>
          <w:sz w:val="21"/>
        </w:rPr>
        <w:t> </w:t>
      </w:r>
      <w:r>
        <w:rPr>
          <w:color w:val="0A0A0A"/>
          <w:w w:val="105"/>
          <w:sz w:val="21"/>
        </w:rPr>
        <w:t>presentation of employees' remuneration has been changed in</w:t>
      </w:r>
      <w:r>
        <w:rPr>
          <w:color w:val="0A0A0A"/>
          <w:spacing w:val="-4"/>
          <w:w w:val="105"/>
          <w:sz w:val="21"/>
        </w:rPr>
        <w:t> </w:t>
      </w:r>
      <w:r>
        <w:rPr>
          <w:color w:val="0A0A0A"/>
          <w:w w:val="105"/>
          <w:sz w:val="21"/>
        </w:rPr>
        <w:t>line with regulations; certain</w:t>
      </w:r>
      <w:r>
        <w:rPr>
          <w:color w:val="0A0A0A"/>
          <w:spacing w:val="-5"/>
          <w:w w:val="105"/>
          <w:sz w:val="21"/>
        </w:rPr>
        <w:t> </w:t>
      </w:r>
      <w:r>
        <w:rPr>
          <w:color w:val="0A0A0A"/>
          <w:w w:val="105"/>
          <w:sz w:val="21"/>
        </w:rPr>
        <w:t>non-statutory chief officers are</w:t>
      </w:r>
      <w:r>
        <w:rPr>
          <w:color w:val="0A0A0A"/>
          <w:spacing w:val="-3"/>
          <w:w w:val="105"/>
          <w:sz w:val="21"/>
        </w:rPr>
        <w:t> </w:t>
      </w:r>
      <w:r>
        <w:rPr>
          <w:color w:val="0A0A0A"/>
          <w:w w:val="105"/>
          <w:sz w:val="21"/>
        </w:rPr>
        <w:t>now shown</w:t>
      </w:r>
      <w:r>
        <w:rPr>
          <w:color w:val="0A0A0A"/>
          <w:spacing w:val="-9"/>
          <w:w w:val="105"/>
          <w:sz w:val="21"/>
        </w:rPr>
        <w:t> </w:t>
      </w:r>
      <w:r>
        <w:rPr>
          <w:color w:val="0A0A0A"/>
          <w:w w:val="105"/>
          <w:sz w:val="21"/>
        </w:rPr>
        <w:t>as</w:t>
      </w:r>
      <w:r>
        <w:rPr>
          <w:color w:val="0A0A0A"/>
          <w:spacing w:val="-5"/>
          <w:w w:val="105"/>
          <w:sz w:val="21"/>
        </w:rPr>
        <w:t> </w:t>
      </w:r>
      <w:r>
        <w:rPr>
          <w:color w:val="0A0A0A"/>
          <w:w w:val="105"/>
          <w:sz w:val="21"/>
        </w:rPr>
        <w:t>part</w:t>
      </w:r>
      <w:r>
        <w:rPr>
          <w:color w:val="0A0A0A"/>
          <w:spacing w:val="-3"/>
          <w:w w:val="105"/>
          <w:sz w:val="21"/>
        </w:rPr>
        <w:t> </w:t>
      </w:r>
      <w:r>
        <w:rPr>
          <w:color w:val="0A0A0A"/>
          <w:w w:val="105"/>
          <w:sz w:val="21"/>
        </w:rPr>
        <w:t>of</w:t>
      </w:r>
      <w:r>
        <w:rPr>
          <w:color w:val="0A0A0A"/>
          <w:spacing w:val="-7"/>
          <w:w w:val="105"/>
          <w:sz w:val="21"/>
        </w:rPr>
        <w:t> </w:t>
      </w:r>
      <w:r>
        <w:rPr>
          <w:color w:val="0A0A0A"/>
          <w:w w:val="105"/>
          <w:sz w:val="21"/>
        </w:rPr>
        <w:t>the</w:t>
      </w:r>
      <w:r>
        <w:rPr>
          <w:color w:val="0A0A0A"/>
          <w:spacing w:val="-12"/>
          <w:w w:val="105"/>
          <w:sz w:val="21"/>
        </w:rPr>
        <w:t> </w:t>
      </w:r>
      <w:r>
        <w:rPr>
          <w:color w:val="0A0A0A"/>
          <w:w w:val="105"/>
          <w:sz w:val="21"/>
        </w:rPr>
        <w:t>council's senior</w:t>
      </w:r>
      <w:r>
        <w:rPr>
          <w:color w:val="0A0A0A"/>
          <w:spacing w:val="-6"/>
          <w:w w:val="105"/>
          <w:sz w:val="21"/>
        </w:rPr>
        <w:t> </w:t>
      </w:r>
      <w:r>
        <w:rPr>
          <w:color w:val="0A0A0A"/>
          <w:w w:val="105"/>
          <w:sz w:val="21"/>
        </w:rPr>
        <w:t>employees</w:t>
      </w:r>
      <w:r>
        <w:rPr>
          <w:color w:val="5E5E5E"/>
          <w:w w:val="105"/>
          <w:sz w:val="21"/>
        </w:rPr>
        <w:t>.</w:t>
      </w:r>
    </w:p>
    <w:p>
      <w:pPr>
        <w:pStyle w:val="BodyText"/>
        <w:rPr>
          <w:sz w:val="21"/>
        </w:rPr>
      </w:pPr>
    </w:p>
    <w:p>
      <w:pPr>
        <w:pStyle w:val="BodyText"/>
        <w:spacing w:before="5"/>
        <w:rPr>
          <w:sz w:val="21"/>
        </w:rPr>
      </w:pPr>
    </w:p>
    <w:p>
      <w:pPr>
        <w:pStyle w:val="Heading3"/>
        <w:numPr>
          <w:ilvl w:val="1"/>
          <w:numId w:val="11"/>
        </w:numPr>
        <w:tabs>
          <w:tab w:val="left" w:leader="none" w:pos="2138"/>
        </w:tabs>
        <w:spacing w:before="0" w:after="0" w:line="240" w:lineRule="auto"/>
        <w:ind w:left="2138" w:right="0" w:hanging="716"/>
        <w:jc w:val="left"/>
        <w:rPr>
          <w:color w:val="0A0A0A"/>
        </w:rPr>
      </w:pPr>
      <w:r>
        <w:rPr>
          <w:color w:val="0A0A0A"/>
        </w:rPr>
        <w:t>Termination</w:t>
      </w:r>
      <w:r>
        <w:rPr>
          <w:color w:val="0A0A0A"/>
          <w:spacing w:val="-11"/>
        </w:rPr>
        <w:t> </w:t>
      </w:r>
      <w:r>
        <w:rPr>
          <w:color w:val="0A0A0A"/>
          <w:spacing w:val="-2"/>
        </w:rPr>
        <w:t>Benefits</w:t>
      </w:r>
    </w:p>
    <w:p>
      <w:pPr>
        <w:spacing w:before="246" w:line="290" w:lineRule="auto"/>
        <w:ind w:left="1424" w:right="1211" w:hanging="3"/>
        <w:jc w:val="left"/>
        <w:rPr>
          <w:sz w:val="21"/>
        </w:rPr>
      </w:pPr>
      <w:r>
        <w:rPr>
          <w:color w:val="0A0A0A"/>
          <w:w w:val="105"/>
          <w:sz w:val="21"/>
        </w:rPr>
        <w:t>The</w:t>
      </w:r>
      <w:r>
        <w:rPr>
          <w:color w:val="0A0A0A"/>
          <w:spacing w:val="-10"/>
          <w:w w:val="105"/>
          <w:sz w:val="21"/>
        </w:rPr>
        <w:t> </w:t>
      </w:r>
      <w:r>
        <w:rPr>
          <w:color w:val="0A0A0A"/>
          <w:w w:val="105"/>
          <w:sz w:val="21"/>
        </w:rPr>
        <w:t>Council</w:t>
      </w:r>
      <w:r>
        <w:rPr>
          <w:color w:val="0A0A0A"/>
          <w:spacing w:val="-13"/>
          <w:w w:val="105"/>
          <w:sz w:val="21"/>
        </w:rPr>
        <w:t> </w:t>
      </w:r>
      <w:r>
        <w:rPr>
          <w:color w:val="0A0A0A"/>
          <w:w w:val="105"/>
          <w:sz w:val="21"/>
        </w:rPr>
        <w:t>terminated</w:t>
      </w:r>
      <w:r>
        <w:rPr>
          <w:color w:val="0A0A0A"/>
          <w:spacing w:val="-10"/>
          <w:w w:val="105"/>
          <w:sz w:val="21"/>
        </w:rPr>
        <w:t> </w:t>
      </w:r>
      <w:r>
        <w:rPr>
          <w:color w:val="0A0A0A"/>
          <w:w w:val="105"/>
          <w:sz w:val="21"/>
        </w:rPr>
        <w:t>the</w:t>
      </w:r>
      <w:r>
        <w:rPr>
          <w:color w:val="0A0A0A"/>
          <w:spacing w:val="-12"/>
          <w:w w:val="105"/>
          <w:sz w:val="21"/>
        </w:rPr>
        <w:t> </w:t>
      </w:r>
      <w:r>
        <w:rPr>
          <w:color w:val="0A0A0A"/>
          <w:w w:val="105"/>
          <w:sz w:val="21"/>
        </w:rPr>
        <w:t>contracts</w:t>
      </w:r>
      <w:r>
        <w:rPr>
          <w:color w:val="0A0A0A"/>
          <w:spacing w:val="-3"/>
          <w:w w:val="105"/>
          <w:sz w:val="21"/>
        </w:rPr>
        <w:t> </w:t>
      </w:r>
      <w:r>
        <w:rPr>
          <w:color w:val="0A0A0A"/>
          <w:w w:val="105"/>
          <w:sz w:val="21"/>
        </w:rPr>
        <w:t>of</w:t>
      </w:r>
      <w:r>
        <w:rPr>
          <w:color w:val="0A0A0A"/>
          <w:spacing w:val="-8"/>
          <w:w w:val="105"/>
          <w:sz w:val="21"/>
        </w:rPr>
        <w:t> </w:t>
      </w:r>
      <w:r>
        <w:rPr>
          <w:color w:val="0A0A0A"/>
          <w:w w:val="105"/>
          <w:sz w:val="21"/>
        </w:rPr>
        <w:t>a</w:t>
      </w:r>
      <w:r>
        <w:rPr>
          <w:color w:val="0A0A0A"/>
          <w:spacing w:val="-16"/>
          <w:w w:val="105"/>
          <w:sz w:val="21"/>
        </w:rPr>
        <w:t> </w:t>
      </w:r>
      <w:r>
        <w:rPr>
          <w:color w:val="0A0A0A"/>
          <w:w w:val="105"/>
          <w:sz w:val="21"/>
        </w:rPr>
        <w:t>number of</w:t>
      </w:r>
      <w:r>
        <w:rPr>
          <w:color w:val="0A0A0A"/>
          <w:spacing w:val="-12"/>
          <w:w w:val="105"/>
          <w:sz w:val="21"/>
        </w:rPr>
        <w:t> </w:t>
      </w:r>
      <w:r>
        <w:rPr>
          <w:color w:val="0A0A0A"/>
          <w:w w:val="105"/>
          <w:sz w:val="21"/>
        </w:rPr>
        <w:t>employees</w:t>
      </w:r>
      <w:r>
        <w:rPr>
          <w:color w:val="0A0A0A"/>
          <w:spacing w:val="-8"/>
          <w:w w:val="105"/>
          <w:sz w:val="21"/>
        </w:rPr>
        <w:t> </w:t>
      </w:r>
      <w:r>
        <w:rPr>
          <w:color w:val="0A0A0A"/>
          <w:w w:val="105"/>
          <w:sz w:val="21"/>
        </w:rPr>
        <w:t>in</w:t>
      </w:r>
      <w:r>
        <w:rPr>
          <w:color w:val="0A0A0A"/>
          <w:spacing w:val="-5"/>
          <w:w w:val="105"/>
          <w:sz w:val="21"/>
        </w:rPr>
        <w:t> </w:t>
      </w:r>
      <w:r>
        <w:rPr>
          <w:color w:val="0A0A0A"/>
          <w:w w:val="105"/>
          <w:sz w:val="21"/>
        </w:rPr>
        <w:t>2022/23</w:t>
      </w:r>
      <w:r>
        <w:rPr>
          <w:color w:val="0A0A0A"/>
          <w:spacing w:val="-13"/>
          <w:w w:val="105"/>
          <w:sz w:val="21"/>
        </w:rPr>
        <w:t> </w:t>
      </w:r>
      <w:r>
        <w:rPr>
          <w:color w:val="0A0A0A"/>
          <w:w w:val="105"/>
          <w:sz w:val="21"/>
        </w:rPr>
        <w:t>incurring</w:t>
      </w:r>
      <w:r>
        <w:rPr>
          <w:color w:val="0A0A0A"/>
          <w:spacing w:val="-3"/>
          <w:w w:val="105"/>
          <w:sz w:val="21"/>
        </w:rPr>
        <w:t> </w:t>
      </w:r>
      <w:r>
        <w:rPr>
          <w:color w:val="0A0A0A"/>
          <w:w w:val="105"/>
          <w:sz w:val="21"/>
        </w:rPr>
        <w:t>liabilities of £105k (2021/22: £45k).</w:t>
      </w:r>
    </w:p>
    <w:p>
      <w:pPr>
        <w:spacing w:before="199" w:line="290" w:lineRule="auto"/>
        <w:ind w:left="1423" w:right="1172" w:hanging="2"/>
        <w:jc w:val="left"/>
        <w:rPr>
          <w:sz w:val="21"/>
        </w:rPr>
      </w:pPr>
      <w:r>
        <w:rPr>
          <w:color w:val="0A0A0A"/>
          <w:w w:val="105"/>
          <w:sz w:val="21"/>
        </w:rPr>
        <w:t>The</w:t>
      </w:r>
      <w:r>
        <w:rPr>
          <w:color w:val="0A0A0A"/>
          <w:spacing w:val="-11"/>
          <w:w w:val="105"/>
          <w:sz w:val="21"/>
        </w:rPr>
        <w:t> </w:t>
      </w:r>
      <w:r>
        <w:rPr>
          <w:color w:val="0A0A0A"/>
          <w:w w:val="105"/>
          <w:sz w:val="21"/>
        </w:rPr>
        <w:t>number of</w:t>
      </w:r>
      <w:r>
        <w:rPr>
          <w:color w:val="0A0A0A"/>
          <w:spacing w:val="-10"/>
          <w:w w:val="105"/>
          <w:sz w:val="21"/>
        </w:rPr>
        <w:t> </w:t>
      </w:r>
      <w:r>
        <w:rPr>
          <w:color w:val="0A0A0A"/>
          <w:w w:val="105"/>
          <w:sz w:val="21"/>
        </w:rPr>
        <w:t>contracts</w:t>
      </w:r>
      <w:r>
        <w:rPr>
          <w:color w:val="0A0A0A"/>
          <w:spacing w:val="-2"/>
          <w:w w:val="105"/>
          <w:sz w:val="21"/>
        </w:rPr>
        <w:t> </w:t>
      </w:r>
      <w:r>
        <w:rPr>
          <w:color w:val="0A0A0A"/>
          <w:w w:val="105"/>
          <w:sz w:val="21"/>
        </w:rPr>
        <w:t>terminated ('exit</w:t>
      </w:r>
      <w:r>
        <w:rPr>
          <w:color w:val="0A0A0A"/>
          <w:spacing w:val="-5"/>
          <w:w w:val="105"/>
          <w:sz w:val="21"/>
        </w:rPr>
        <w:t> </w:t>
      </w:r>
      <w:r>
        <w:rPr>
          <w:color w:val="0A0A0A"/>
          <w:w w:val="105"/>
          <w:sz w:val="21"/>
        </w:rPr>
        <w:t>packages') with</w:t>
      </w:r>
      <w:r>
        <w:rPr>
          <w:color w:val="0A0A0A"/>
          <w:spacing w:val="-8"/>
          <w:w w:val="105"/>
          <w:sz w:val="21"/>
        </w:rPr>
        <w:t> </w:t>
      </w:r>
      <w:r>
        <w:rPr>
          <w:color w:val="0A0A0A"/>
          <w:w w:val="105"/>
          <w:sz w:val="21"/>
        </w:rPr>
        <w:t>total</w:t>
      </w:r>
      <w:r>
        <w:rPr>
          <w:color w:val="0A0A0A"/>
          <w:spacing w:val="-10"/>
          <w:w w:val="105"/>
          <w:sz w:val="21"/>
        </w:rPr>
        <w:t> </w:t>
      </w:r>
      <w:r>
        <w:rPr>
          <w:color w:val="0A0A0A"/>
          <w:w w:val="105"/>
          <w:sz w:val="21"/>
        </w:rPr>
        <w:t>cost</w:t>
      </w:r>
      <w:r>
        <w:rPr>
          <w:color w:val="0A0A0A"/>
          <w:spacing w:val="-5"/>
          <w:w w:val="105"/>
          <w:sz w:val="21"/>
        </w:rPr>
        <w:t> </w:t>
      </w:r>
      <w:r>
        <w:rPr>
          <w:color w:val="0A0A0A"/>
          <w:w w:val="105"/>
          <w:sz w:val="21"/>
        </w:rPr>
        <w:t>per</w:t>
      </w:r>
      <w:r>
        <w:rPr>
          <w:color w:val="0A0A0A"/>
          <w:spacing w:val="-7"/>
          <w:w w:val="105"/>
          <w:sz w:val="21"/>
        </w:rPr>
        <w:t> </w:t>
      </w:r>
      <w:r>
        <w:rPr>
          <w:color w:val="0A0A0A"/>
          <w:w w:val="105"/>
          <w:sz w:val="21"/>
        </w:rPr>
        <w:t>band</w:t>
      </w:r>
      <w:r>
        <w:rPr>
          <w:color w:val="0A0A0A"/>
          <w:spacing w:val="-7"/>
          <w:w w:val="105"/>
          <w:sz w:val="21"/>
        </w:rPr>
        <w:t> </w:t>
      </w:r>
      <w:r>
        <w:rPr>
          <w:color w:val="0A0A0A"/>
          <w:w w:val="105"/>
          <w:sz w:val="21"/>
        </w:rPr>
        <w:t>and</w:t>
      </w:r>
      <w:r>
        <w:rPr>
          <w:color w:val="0A0A0A"/>
          <w:spacing w:val="-14"/>
          <w:w w:val="105"/>
          <w:sz w:val="21"/>
        </w:rPr>
        <w:t> </w:t>
      </w:r>
      <w:r>
        <w:rPr>
          <w:color w:val="0A0A0A"/>
          <w:w w:val="105"/>
          <w:sz w:val="21"/>
        </w:rPr>
        <w:t>total</w:t>
      </w:r>
      <w:r>
        <w:rPr>
          <w:color w:val="0A0A0A"/>
          <w:spacing w:val="-6"/>
          <w:w w:val="105"/>
          <w:sz w:val="21"/>
        </w:rPr>
        <w:t> </w:t>
      </w:r>
      <w:r>
        <w:rPr>
          <w:color w:val="0A0A0A"/>
          <w:w w:val="105"/>
          <w:sz w:val="21"/>
        </w:rPr>
        <w:t>cost</w:t>
      </w:r>
      <w:r>
        <w:rPr>
          <w:color w:val="0A0A0A"/>
          <w:spacing w:val="-7"/>
          <w:w w:val="105"/>
          <w:sz w:val="21"/>
        </w:rPr>
        <w:t> </w:t>
      </w:r>
      <w:r>
        <w:rPr>
          <w:color w:val="0A0A0A"/>
          <w:w w:val="105"/>
          <w:sz w:val="21"/>
        </w:rPr>
        <w:t>of compulsory</w:t>
      </w:r>
      <w:r>
        <w:rPr>
          <w:color w:val="0A0A0A"/>
          <w:spacing w:val="32"/>
          <w:w w:val="105"/>
          <w:sz w:val="21"/>
        </w:rPr>
        <w:t> </w:t>
      </w:r>
      <w:r>
        <w:rPr>
          <w:color w:val="0A0A0A"/>
          <w:w w:val="105"/>
          <w:sz w:val="21"/>
        </w:rPr>
        <w:t>and other redundancies are set out in</w:t>
      </w:r>
      <w:r>
        <w:rPr>
          <w:color w:val="0A0A0A"/>
          <w:spacing w:val="-2"/>
          <w:w w:val="105"/>
          <w:sz w:val="21"/>
        </w:rPr>
        <w:t> </w:t>
      </w:r>
      <w:r>
        <w:rPr>
          <w:color w:val="0A0A0A"/>
          <w:w w:val="105"/>
          <w:sz w:val="21"/>
        </w:rPr>
        <w:t>the table below:</w:t>
      </w:r>
    </w:p>
    <w:p>
      <w:pPr>
        <w:pStyle w:val="BodyText"/>
        <w:spacing w:before="1"/>
        <w:rPr>
          <w:sz w:val="16"/>
        </w:rPr>
      </w:pPr>
    </w:p>
    <w:tbl>
      <w:tblPr>
        <w:tblW w:w="0" w:type="auto"/>
        <w:jc w:val="left"/>
        <w:tblInd w:w="152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735"/>
        <w:gridCol w:w="990"/>
        <w:gridCol w:w="1053"/>
        <w:gridCol w:w="1093"/>
        <w:gridCol w:w="1009"/>
        <w:gridCol w:w="859"/>
        <w:gridCol w:w="285"/>
        <w:gridCol w:w="981"/>
        <w:gridCol w:w="992"/>
        <w:gridCol w:w="1157"/>
      </w:tblGrid>
      <w:tr>
        <w:trPr>
          <w:trHeight w:val="746" w:hRule="atLeast"/>
        </w:trPr>
        <w:tc>
          <w:tcPr>
            <w:tcW w:w="1735" w:type="dxa"/>
            <w:tcBorders>
              <w:top w:val="single" w:color="000000" w:sz="6" w:space="0"/>
            </w:tcBorders>
          </w:tcPr>
          <w:p>
            <w:pPr>
              <w:pStyle w:val="TableParagraph"/>
              <w:spacing w:before="107"/>
              <w:rPr>
                <w:sz w:val="18"/>
              </w:rPr>
            </w:pPr>
          </w:p>
          <w:p>
            <w:pPr>
              <w:pStyle w:val="TableParagraph"/>
              <w:spacing w:line="206" w:lineRule="exact"/>
              <w:ind w:left="12" w:firstLine="3"/>
              <w:rPr>
                <w:b/>
                <w:sz w:val="18"/>
              </w:rPr>
            </w:pPr>
            <w:r>
              <w:rPr>
                <w:b/>
                <w:color w:val="0A0A0A"/>
                <w:sz w:val="18"/>
              </w:rPr>
              <w:t>Exit</w:t>
            </w:r>
            <w:r>
              <w:rPr>
                <w:b/>
                <w:color w:val="0A0A0A"/>
                <w:spacing w:val="-15"/>
                <w:sz w:val="18"/>
              </w:rPr>
              <w:t> </w:t>
            </w:r>
            <w:r>
              <w:rPr>
                <w:b/>
                <w:color w:val="0A0A0A"/>
                <w:sz w:val="18"/>
              </w:rPr>
              <w:t>Package</w:t>
            </w:r>
            <w:r>
              <w:rPr>
                <w:b/>
                <w:color w:val="0A0A0A"/>
                <w:spacing w:val="-12"/>
                <w:sz w:val="18"/>
              </w:rPr>
              <w:t> </w:t>
            </w:r>
            <w:r>
              <w:rPr>
                <w:b/>
                <w:color w:val="0A0A0A"/>
                <w:sz w:val="18"/>
              </w:rPr>
              <w:t>cost </w:t>
            </w:r>
            <w:r>
              <w:rPr>
                <w:b/>
                <w:color w:val="0A0A0A"/>
                <w:spacing w:val="-2"/>
                <w:sz w:val="18"/>
              </w:rPr>
              <w:t>band:</w:t>
            </w:r>
          </w:p>
        </w:tc>
        <w:tc>
          <w:tcPr>
            <w:tcW w:w="2043" w:type="dxa"/>
            <w:gridSpan w:val="2"/>
            <w:tcBorders>
              <w:top w:val="single" w:color="000000" w:sz="6" w:space="0"/>
            </w:tcBorders>
          </w:tcPr>
          <w:p>
            <w:pPr>
              <w:pStyle w:val="TableParagraph"/>
              <w:spacing w:before="129" w:line="235" w:lineRule="auto"/>
              <w:ind w:left="497" w:right="543" w:firstLine="56"/>
              <w:jc w:val="right"/>
              <w:rPr>
                <w:b/>
                <w:sz w:val="18"/>
              </w:rPr>
            </w:pPr>
            <w:r>
              <w:rPr>
                <w:b/>
                <w:color w:val="0A0A0A"/>
                <w:sz w:val="18"/>
              </w:rPr>
              <w:t>Number of </w:t>
            </w:r>
            <w:r>
              <w:rPr>
                <w:b/>
                <w:color w:val="0A0A0A"/>
                <w:spacing w:val="-4"/>
                <w:sz w:val="18"/>
              </w:rPr>
              <w:t>compulsory</w:t>
            </w:r>
          </w:p>
          <w:p>
            <w:pPr>
              <w:pStyle w:val="TableParagraph"/>
              <w:spacing w:line="191" w:lineRule="exact"/>
              <w:ind w:right="459"/>
              <w:jc w:val="right"/>
              <w:rPr>
                <w:b/>
                <w:sz w:val="18"/>
              </w:rPr>
            </w:pPr>
            <w:r>
              <w:rPr>
                <w:b/>
                <w:color w:val="0A0A0A"/>
                <w:spacing w:val="-2"/>
                <w:sz w:val="18"/>
              </w:rPr>
              <w:t>redundancies</w:t>
            </w:r>
          </w:p>
        </w:tc>
        <w:tc>
          <w:tcPr>
            <w:tcW w:w="4227" w:type="dxa"/>
            <w:gridSpan w:val="5"/>
            <w:tcBorders>
              <w:top w:val="single" w:color="000000" w:sz="6" w:space="0"/>
            </w:tcBorders>
          </w:tcPr>
          <w:p>
            <w:pPr>
              <w:pStyle w:val="TableParagraph"/>
              <w:spacing w:before="108" w:line="206" w:lineRule="exact"/>
              <w:ind w:left="2251" w:right="231"/>
              <w:jc w:val="center"/>
              <w:rPr>
                <w:b/>
                <w:sz w:val="18"/>
              </w:rPr>
            </w:pPr>
            <w:r>
              <w:rPr>
                <w:b/>
                <w:color w:val="0A0A0A"/>
                <w:sz w:val="18"/>
              </w:rPr>
              <w:t>Total</w:t>
            </w:r>
            <w:r>
              <w:rPr>
                <w:b/>
                <w:color w:val="0A0A0A"/>
                <w:spacing w:val="-6"/>
                <w:sz w:val="18"/>
              </w:rPr>
              <w:t> </w:t>
            </w:r>
            <w:r>
              <w:rPr>
                <w:b/>
                <w:color w:val="0A0A0A"/>
                <w:sz w:val="18"/>
              </w:rPr>
              <w:t>number of</w:t>
            </w:r>
            <w:r>
              <w:rPr>
                <w:b/>
                <w:color w:val="0A0A0A"/>
                <w:spacing w:val="-12"/>
                <w:sz w:val="18"/>
              </w:rPr>
              <w:t> </w:t>
            </w:r>
            <w:r>
              <w:rPr>
                <w:b/>
                <w:color w:val="0A0A0A"/>
                <w:sz w:val="18"/>
              </w:rPr>
              <w:t>exit packages by cost </w:t>
            </w:r>
            <w:r>
              <w:rPr>
                <w:b/>
                <w:color w:val="0A0A0A"/>
                <w:spacing w:val="-4"/>
                <w:sz w:val="18"/>
              </w:rPr>
              <w:t>band</w:t>
            </w:r>
          </w:p>
        </w:tc>
        <w:tc>
          <w:tcPr>
            <w:tcW w:w="2149" w:type="dxa"/>
            <w:gridSpan w:val="2"/>
            <w:tcBorders>
              <w:top w:val="single" w:color="000000" w:sz="6" w:space="0"/>
            </w:tcBorders>
          </w:tcPr>
          <w:p>
            <w:pPr>
              <w:pStyle w:val="TableParagraph"/>
              <w:spacing w:before="108" w:line="206" w:lineRule="exact"/>
              <w:ind w:left="271" w:right="368" w:firstLine="6"/>
              <w:jc w:val="center"/>
              <w:rPr>
                <w:b/>
                <w:sz w:val="18"/>
              </w:rPr>
            </w:pPr>
            <w:r>
              <w:rPr>
                <w:b/>
                <w:color w:val="0A0A0A"/>
                <w:w w:val="105"/>
                <w:sz w:val="18"/>
              </w:rPr>
              <w:t>Total</w:t>
            </w:r>
            <w:r>
              <w:rPr>
                <w:b/>
                <w:color w:val="0A0A0A"/>
                <w:spacing w:val="-14"/>
                <w:w w:val="105"/>
                <w:sz w:val="18"/>
              </w:rPr>
              <w:t> </w:t>
            </w:r>
            <w:r>
              <w:rPr>
                <w:b/>
                <w:color w:val="0A0A0A"/>
                <w:w w:val="105"/>
                <w:sz w:val="18"/>
              </w:rPr>
              <w:t>cost</w:t>
            </w:r>
            <w:r>
              <w:rPr>
                <w:b/>
                <w:color w:val="0A0A0A"/>
                <w:spacing w:val="-11"/>
                <w:w w:val="105"/>
                <w:sz w:val="18"/>
              </w:rPr>
              <w:t> </w:t>
            </w:r>
            <w:r>
              <w:rPr>
                <w:b/>
                <w:color w:val="0A0A0A"/>
                <w:w w:val="105"/>
                <w:sz w:val="18"/>
              </w:rPr>
              <w:t>of</w:t>
            </w:r>
            <w:r>
              <w:rPr>
                <w:b/>
                <w:color w:val="0A0A0A"/>
                <w:spacing w:val="-13"/>
                <w:w w:val="105"/>
                <w:sz w:val="18"/>
              </w:rPr>
              <w:t> </w:t>
            </w:r>
            <w:r>
              <w:rPr>
                <w:b/>
                <w:color w:val="0A0A0A"/>
                <w:w w:val="105"/>
                <w:sz w:val="18"/>
              </w:rPr>
              <w:t>exit </w:t>
            </w:r>
            <w:r>
              <w:rPr>
                <w:b/>
                <w:color w:val="0A0A0A"/>
                <w:sz w:val="18"/>
              </w:rPr>
              <w:t>packages</w:t>
            </w:r>
            <w:r>
              <w:rPr>
                <w:b/>
                <w:color w:val="0A0A0A"/>
                <w:spacing w:val="-11"/>
                <w:sz w:val="18"/>
              </w:rPr>
              <w:t> </w:t>
            </w:r>
            <w:r>
              <w:rPr>
                <w:b/>
                <w:color w:val="0A0A0A"/>
                <w:sz w:val="18"/>
              </w:rPr>
              <w:t>in</w:t>
            </w:r>
            <w:r>
              <w:rPr>
                <w:b/>
                <w:color w:val="0A0A0A"/>
                <w:spacing w:val="-12"/>
                <w:sz w:val="18"/>
              </w:rPr>
              <w:t> </w:t>
            </w:r>
            <w:r>
              <w:rPr>
                <w:b/>
                <w:color w:val="0A0A0A"/>
                <w:sz w:val="18"/>
              </w:rPr>
              <w:t>each </w:t>
            </w:r>
            <w:r>
              <w:rPr>
                <w:b/>
                <w:color w:val="0A0A0A"/>
                <w:spacing w:val="-4"/>
                <w:w w:val="105"/>
                <w:sz w:val="18"/>
              </w:rPr>
              <w:t>band</w:t>
            </w:r>
          </w:p>
        </w:tc>
      </w:tr>
      <w:tr>
        <w:trPr>
          <w:trHeight w:val="519" w:hRule="atLeast"/>
        </w:trPr>
        <w:tc>
          <w:tcPr>
            <w:tcW w:w="1735" w:type="dxa"/>
          </w:tcPr>
          <w:p>
            <w:pPr>
              <w:pStyle w:val="TableParagraph"/>
              <w:rPr>
                <w:rFonts w:ascii="Times New Roman"/>
                <w:sz w:val="20"/>
              </w:rPr>
            </w:pPr>
          </w:p>
        </w:tc>
        <w:tc>
          <w:tcPr>
            <w:tcW w:w="990" w:type="dxa"/>
          </w:tcPr>
          <w:p>
            <w:pPr>
              <w:pStyle w:val="TableParagraph"/>
              <w:spacing w:before="22"/>
              <w:rPr>
                <w:sz w:val="19"/>
              </w:rPr>
            </w:pPr>
          </w:p>
          <w:p>
            <w:pPr>
              <w:pStyle w:val="TableParagraph"/>
              <w:ind w:left="149"/>
              <w:rPr>
                <w:rFonts w:ascii="Times New Roman"/>
                <w:b/>
                <w:sz w:val="19"/>
              </w:rPr>
            </w:pPr>
            <w:r>
              <w:rPr>
                <w:rFonts w:ascii="Times New Roman"/>
                <w:b/>
                <w:color w:val="0A0A0A"/>
                <w:spacing w:val="-2"/>
                <w:w w:val="105"/>
                <w:sz w:val="19"/>
              </w:rPr>
              <w:t>2021/22</w:t>
            </w:r>
          </w:p>
        </w:tc>
        <w:tc>
          <w:tcPr>
            <w:tcW w:w="1053" w:type="dxa"/>
          </w:tcPr>
          <w:p>
            <w:pPr>
              <w:pStyle w:val="TableParagraph"/>
              <w:spacing w:before="22"/>
              <w:rPr>
                <w:sz w:val="19"/>
              </w:rPr>
            </w:pPr>
          </w:p>
          <w:p>
            <w:pPr>
              <w:pStyle w:val="TableParagraph"/>
              <w:ind w:left="198"/>
              <w:rPr>
                <w:rFonts w:ascii="Times New Roman"/>
                <w:b/>
                <w:sz w:val="19"/>
              </w:rPr>
            </w:pPr>
            <w:r>
              <w:rPr>
                <w:rFonts w:ascii="Times New Roman"/>
                <w:b/>
                <w:color w:val="0A0A0A"/>
                <w:spacing w:val="-2"/>
                <w:w w:val="105"/>
                <w:sz w:val="19"/>
              </w:rPr>
              <w:t>2022/23</w:t>
            </w:r>
          </w:p>
        </w:tc>
        <w:tc>
          <w:tcPr>
            <w:tcW w:w="1093" w:type="dxa"/>
          </w:tcPr>
          <w:p>
            <w:pPr>
              <w:pStyle w:val="TableParagraph"/>
              <w:spacing w:before="17"/>
              <w:rPr>
                <w:sz w:val="19"/>
              </w:rPr>
            </w:pPr>
          </w:p>
          <w:p>
            <w:pPr>
              <w:pStyle w:val="TableParagraph"/>
              <w:ind w:left="207"/>
              <w:rPr>
                <w:rFonts w:ascii="Times New Roman"/>
                <w:b/>
                <w:sz w:val="19"/>
              </w:rPr>
            </w:pPr>
            <w:r>
              <w:rPr>
                <w:rFonts w:ascii="Times New Roman"/>
                <w:b/>
                <w:color w:val="0A0A0A"/>
                <w:spacing w:val="-2"/>
                <w:w w:val="105"/>
                <w:sz w:val="19"/>
              </w:rPr>
              <w:t>2021/22</w:t>
            </w:r>
          </w:p>
        </w:tc>
        <w:tc>
          <w:tcPr>
            <w:tcW w:w="1009" w:type="dxa"/>
          </w:tcPr>
          <w:p>
            <w:pPr>
              <w:pStyle w:val="TableParagraph"/>
              <w:spacing w:before="22"/>
              <w:rPr>
                <w:sz w:val="19"/>
              </w:rPr>
            </w:pPr>
          </w:p>
          <w:p>
            <w:pPr>
              <w:pStyle w:val="TableParagraph"/>
              <w:ind w:left="134"/>
              <w:rPr>
                <w:rFonts w:ascii="Times New Roman"/>
                <w:b/>
                <w:sz w:val="19"/>
              </w:rPr>
            </w:pPr>
            <w:r>
              <w:rPr>
                <w:rFonts w:ascii="Times New Roman"/>
                <w:b/>
                <w:color w:val="0A0A0A"/>
                <w:spacing w:val="-2"/>
                <w:w w:val="105"/>
                <w:sz w:val="19"/>
              </w:rPr>
              <w:t>2022/23</w:t>
            </w:r>
          </w:p>
        </w:tc>
        <w:tc>
          <w:tcPr>
            <w:tcW w:w="859" w:type="dxa"/>
          </w:tcPr>
          <w:p>
            <w:pPr>
              <w:pStyle w:val="TableParagraph"/>
              <w:spacing w:before="22"/>
              <w:rPr>
                <w:sz w:val="19"/>
              </w:rPr>
            </w:pPr>
          </w:p>
          <w:p>
            <w:pPr>
              <w:pStyle w:val="TableParagraph"/>
              <w:ind w:left="192"/>
              <w:rPr>
                <w:rFonts w:ascii="Times New Roman"/>
                <w:b/>
                <w:sz w:val="19"/>
              </w:rPr>
            </w:pPr>
            <w:r>
              <w:rPr>
                <w:rFonts w:ascii="Times New Roman"/>
                <w:b/>
                <w:color w:val="0A0A0A"/>
                <w:spacing w:val="-2"/>
                <w:w w:val="105"/>
                <w:sz w:val="19"/>
              </w:rPr>
              <w:t>2021/22</w:t>
            </w:r>
          </w:p>
        </w:tc>
        <w:tc>
          <w:tcPr>
            <w:tcW w:w="285" w:type="dxa"/>
          </w:tcPr>
          <w:p>
            <w:pPr>
              <w:pStyle w:val="TableParagraph"/>
              <w:rPr>
                <w:rFonts w:ascii="Times New Roman"/>
                <w:sz w:val="20"/>
              </w:rPr>
            </w:pPr>
          </w:p>
        </w:tc>
        <w:tc>
          <w:tcPr>
            <w:tcW w:w="981" w:type="dxa"/>
          </w:tcPr>
          <w:p>
            <w:pPr>
              <w:pStyle w:val="TableParagraph"/>
              <w:spacing w:before="22"/>
              <w:rPr>
                <w:sz w:val="19"/>
              </w:rPr>
            </w:pPr>
          </w:p>
          <w:p>
            <w:pPr>
              <w:pStyle w:val="TableParagraph"/>
              <w:ind w:left="120"/>
              <w:rPr>
                <w:rFonts w:ascii="Times New Roman"/>
                <w:b/>
                <w:sz w:val="19"/>
              </w:rPr>
            </w:pPr>
            <w:r>
              <w:rPr>
                <w:rFonts w:ascii="Times New Roman"/>
                <w:b/>
                <w:color w:val="0A0A0A"/>
                <w:spacing w:val="-2"/>
                <w:w w:val="105"/>
                <w:sz w:val="19"/>
              </w:rPr>
              <w:t>2022/23</w:t>
            </w:r>
          </w:p>
        </w:tc>
        <w:tc>
          <w:tcPr>
            <w:tcW w:w="992" w:type="dxa"/>
          </w:tcPr>
          <w:p>
            <w:pPr>
              <w:pStyle w:val="TableParagraph"/>
              <w:spacing w:before="17"/>
              <w:rPr>
                <w:sz w:val="19"/>
              </w:rPr>
            </w:pPr>
          </w:p>
          <w:p>
            <w:pPr>
              <w:pStyle w:val="TableParagraph"/>
              <w:ind w:left="3" w:right="74"/>
              <w:jc w:val="center"/>
              <w:rPr>
                <w:rFonts w:ascii="Times New Roman"/>
                <w:b/>
                <w:sz w:val="19"/>
              </w:rPr>
            </w:pPr>
            <w:r>
              <w:rPr>
                <w:rFonts w:ascii="Times New Roman"/>
                <w:b/>
                <w:color w:val="0A0A0A"/>
                <w:spacing w:val="-2"/>
                <w:w w:val="105"/>
                <w:sz w:val="19"/>
              </w:rPr>
              <w:t>2021/22</w:t>
            </w:r>
          </w:p>
        </w:tc>
        <w:tc>
          <w:tcPr>
            <w:tcW w:w="1157" w:type="dxa"/>
          </w:tcPr>
          <w:p>
            <w:pPr>
              <w:pStyle w:val="TableParagraph"/>
              <w:spacing w:before="22"/>
              <w:rPr>
                <w:sz w:val="19"/>
              </w:rPr>
            </w:pPr>
          </w:p>
          <w:p>
            <w:pPr>
              <w:pStyle w:val="TableParagraph"/>
              <w:ind w:left="1" w:right="74"/>
              <w:jc w:val="center"/>
              <w:rPr>
                <w:rFonts w:ascii="Times New Roman"/>
                <w:b/>
                <w:sz w:val="19"/>
              </w:rPr>
            </w:pPr>
            <w:r>
              <w:rPr>
                <w:rFonts w:ascii="Times New Roman"/>
                <w:b/>
                <w:color w:val="0A0A0A"/>
                <w:spacing w:val="-2"/>
                <w:w w:val="105"/>
                <w:sz w:val="19"/>
              </w:rPr>
              <w:t>2022/23</w:t>
            </w:r>
          </w:p>
        </w:tc>
      </w:tr>
      <w:tr>
        <w:trPr>
          <w:trHeight w:val="394" w:hRule="atLeast"/>
        </w:trPr>
        <w:tc>
          <w:tcPr>
            <w:tcW w:w="1735" w:type="dxa"/>
          </w:tcPr>
          <w:p>
            <w:pPr>
              <w:pStyle w:val="TableParagraph"/>
              <w:rPr>
                <w:rFonts w:ascii="Times New Roman"/>
                <w:sz w:val="20"/>
              </w:rPr>
            </w:pPr>
          </w:p>
        </w:tc>
        <w:tc>
          <w:tcPr>
            <w:tcW w:w="990" w:type="dxa"/>
          </w:tcPr>
          <w:p>
            <w:pPr>
              <w:pStyle w:val="TableParagraph"/>
              <w:rPr>
                <w:rFonts w:ascii="Times New Roman"/>
                <w:sz w:val="20"/>
              </w:rPr>
            </w:pPr>
          </w:p>
        </w:tc>
        <w:tc>
          <w:tcPr>
            <w:tcW w:w="1053" w:type="dxa"/>
          </w:tcPr>
          <w:p>
            <w:pPr>
              <w:pStyle w:val="TableParagraph"/>
              <w:rPr>
                <w:rFonts w:ascii="Times New Roman"/>
                <w:sz w:val="20"/>
              </w:rPr>
            </w:pPr>
          </w:p>
        </w:tc>
        <w:tc>
          <w:tcPr>
            <w:tcW w:w="1093" w:type="dxa"/>
          </w:tcPr>
          <w:p>
            <w:pPr>
              <w:pStyle w:val="TableParagraph"/>
              <w:rPr>
                <w:rFonts w:ascii="Times New Roman"/>
                <w:sz w:val="20"/>
              </w:rPr>
            </w:pPr>
          </w:p>
        </w:tc>
        <w:tc>
          <w:tcPr>
            <w:tcW w:w="1009" w:type="dxa"/>
          </w:tcPr>
          <w:p>
            <w:pPr>
              <w:pStyle w:val="TableParagraph"/>
              <w:rPr>
                <w:rFonts w:ascii="Times New Roman"/>
                <w:sz w:val="20"/>
              </w:rPr>
            </w:pPr>
          </w:p>
        </w:tc>
        <w:tc>
          <w:tcPr>
            <w:tcW w:w="859" w:type="dxa"/>
          </w:tcPr>
          <w:p>
            <w:pPr>
              <w:pStyle w:val="TableParagraph"/>
              <w:rPr>
                <w:rFonts w:ascii="Times New Roman"/>
                <w:sz w:val="20"/>
              </w:rPr>
            </w:pPr>
          </w:p>
        </w:tc>
        <w:tc>
          <w:tcPr>
            <w:tcW w:w="285" w:type="dxa"/>
          </w:tcPr>
          <w:p>
            <w:pPr>
              <w:pStyle w:val="TableParagraph"/>
              <w:rPr>
                <w:rFonts w:ascii="Times New Roman"/>
                <w:sz w:val="20"/>
              </w:rPr>
            </w:pPr>
          </w:p>
        </w:tc>
        <w:tc>
          <w:tcPr>
            <w:tcW w:w="981" w:type="dxa"/>
          </w:tcPr>
          <w:p>
            <w:pPr>
              <w:pStyle w:val="TableParagraph"/>
              <w:rPr>
                <w:rFonts w:ascii="Times New Roman"/>
                <w:sz w:val="20"/>
              </w:rPr>
            </w:pPr>
          </w:p>
        </w:tc>
        <w:tc>
          <w:tcPr>
            <w:tcW w:w="992" w:type="dxa"/>
          </w:tcPr>
          <w:p>
            <w:pPr>
              <w:pStyle w:val="TableParagraph"/>
              <w:spacing w:before="52"/>
              <w:ind w:right="74"/>
              <w:jc w:val="center"/>
              <w:rPr>
                <w:rFonts w:ascii="Times New Roman" w:hAnsi="Times New Roman"/>
                <w:b/>
                <w:sz w:val="19"/>
              </w:rPr>
            </w:pPr>
            <w:r>
              <w:rPr>
                <w:rFonts w:ascii="Times New Roman" w:hAnsi="Times New Roman"/>
                <w:b/>
                <w:color w:val="0A0A0A"/>
                <w:spacing w:val="-4"/>
                <w:w w:val="105"/>
                <w:sz w:val="19"/>
              </w:rPr>
              <w:t>£000</w:t>
            </w:r>
          </w:p>
        </w:tc>
        <w:tc>
          <w:tcPr>
            <w:tcW w:w="1157" w:type="dxa"/>
          </w:tcPr>
          <w:p>
            <w:pPr>
              <w:pStyle w:val="TableParagraph"/>
              <w:spacing w:before="52"/>
              <w:ind w:right="74"/>
              <w:jc w:val="center"/>
              <w:rPr>
                <w:rFonts w:ascii="Times New Roman" w:hAnsi="Times New Roman"/>
                <w:b/>
                <w:sz w:val="19"/>
              </w:rPr>
            </w:pPr>
            <w:r>
              <w:rPr>
                <w:rFonts w:ascii="Times New Roman" w:hAnsi="Times New Roman"/>
                <w:b/>
                <w:color w:val="0A0A0A"/>
                <w:spacing w:val="-4"/>
                <w:w w:val="105"/>
                <w:sz w:val="19"/>
              </w:rPr>
              <w:t>£000</w:t>
            </w:r>
          </w:p>
        </w:tc>
      </w:tr>
      <w:tr>
        <w:trPr>
          <w:trHeight w:val="440" w:hRule="atLeast"/>
        </w:trPr>
        <w:tc>
          <w:tcPr>
            <w:tcW w:w="1735" w:type="dxa"/>
          </w:tcPr>
          <w:p>
            <w:pPr>
              <w:pStyle w:val="TableParagraph"/>
              <w:spacing w:before="118"/>
              <w:ind w:left="127"/>
              <w:rPr>
                <w:sz w:val="18"/>
              </w:rPr>
            </w:pPr>
            <w:r>
              <w:rPr>
                <w:color w:val="0A0A0A"/>
                <w:spacing w:val="-2"/>
                <w:w w:val="110"/>
                <w:sz w:val="18"/>
              </w:rPr>
              <w:t>£0-£20,000</w:t>
            </w:r>
          </w:p>
        </w:tc>
        <w:tc>
          <w:tcPr>
            <w:tcW w:w="990" w:type="dxa"/>
          </w:tcPr>
          <w:p>
            <w:pPr>
              <w:pStyle w:val="TableParagraph"/>
              <w:rPr>
                <w:rFonts w:ascii="Times New Roman"/>
                <w:sz w:val="20"/>
              </w:rPr>
            </w:pPr>
          </w:p>
        </w:tc>
        <w:tc>
          <w:tcPr>
            <w:tcW w:w="1053" w:type="dxa"/>
          </w:tcPr>
          <w:p>
            <w:pPr>
              <w:pStyle w:val="TableParagraph"/>
              <w:rPr>
                <w:rFonts w:ascii="Times New Roman"/>
                <w:sz w:val="20"/>
              </w:rPr>
            </w:pPr>
          </w:p>
        </w:tc>
        <w:tc>
          <w:tcPr>
            <w:tcW w:w="1093" w:type="dxa"/>
          </w:tcPr>
          <w:p>
            <w:pPr>
              <w:pStyle w:val="TableParagraph"/>
              <w:spacing w:before="118"/>
              <w:ind w:right="129"/>
              <w:jc w:val="right"/>
              <w:rPr>
                <w:sz w:val="18"/>
              </w:rPr>
            </w:pPr>
            <w:r>
              <w:rPr>
                <w:color w:val="0A0A0A"/>
                <w:spacing w:val="-10"/>
                <w:w w:val="110"/>
                <w:sz w:val="18"/>
              </w:rPr>
              <w:t>2</w:t>
            </w:r>
          </w:p>
        </w:tc>
        <w:tc>
          <w:tcPr>
            <w:tcW w:w="1009" w:type="dxa"/>
          </w:tcPr>
          <w:p>
            <w:pPr>
              <w:pStyle w:val="TableParagraph"/>
              <w:spacing w:before="118"/>
              <w:ind w:right="144"/>
              <w:jc w:val="right"/>
              <w:rPr>
                <w:sz w:val="18"/>
              </w:rPr>
            </w:pPr>
            <w:r>
              <w:rPr>
                <w:color w:val="0A0A0A"/>
                <w:spacing w:val="-10"/>
                <w:w w:val="110"/>
                <w:sz w:val="18"/>
              </w:rPr>
              <w:t>4</w:t>
            </w:r>
          </w:p>
        </w:tc>
        <w:tc>
          <w:tcPr>
            <w:tcW w:w="859" w:type="dxa"/>
          </w:tcPr>
          <w:p>
            <w:pPr>
              <w:pStyle w:val="TableParagraph"/>
              <w:rPr>
                <w:rFonts w:ascii="Times New Roman"/>
                <w:sz w:val="20"/>
              </w:rPr>
            </w:pPr>
          </w:p>
        </w:tc>
        <w:tc>
          <w:tcPr>
            <w:tcW w:w="285" w:type="dxa"/>
          </w:tcPr>
          <w:p>
            <w:pPr>
              <w:pStyle w:val="TableParagraph"/>
              <w:spacing w:before="118"/>
              <w:ind w:left="6" w:right="133"/>
              <w:jc w:val="center"/>
              <w:rPr>
                <w:sz w:val="18"/>
              </w:rPr>
            </w:pPr>
            <w:r>
              <w:rPr>
                <w:color w:val="0A0A0A"/>
                <w:spacing w:val="-10"/>
                <w:w w:val="105"/>
                <w:sz w:val="18"/>
              </w:rPr>
              <w:t>2</w:t>
            </w:r>
          </w:p>
        </w:tc>
        <w:tc>
          <w:tcPr>
            <w:tcW w:w="981" w:type="dxa"/>
          </w:tcPr>
          <w:p>
            <w:pPr>
              <w:pStyle w:val="TableParagraph"/>
              <w:spacing w:before="118"/>
              <w:ind w:right="134"/>
              <w:jc w:val="right"/>
              <w:rPr>
                <w:sz w:val="18"/>
              </w:rPr>
            </w:pPr>
            <w:r>
              <w:rPr>
                <w:color w:val="0A0A0A"/>
                <w:spacing w:val="-10"/>
                <w:w w:val="105"/>
                <w:sz w:val="18"/>
              </w:rPr>
              <w:t>4</w:t>
            </w:r>
          </w:p>
        </w:tc>
        <w:tc>
          <w:tcPr>
            <w:tcW w:w="992" w:type="dxa"/>
          </w:tcPr>
          <w:p>
            <w:pPr>
              <w:pStyle w:val="TableParagraph"/>
              <w:spacing w:before="118"/>
              <w:ind w:left="15" w:right="74"/>
              <w:jc w:val="center"/>
              <w:rPr>
                <w:sz w:val="18"/>
              </w:rPr>
            </w:pPr>
            <w:r>
              <w:rPr>
                <w:color w:val="0A0A0A"/>
                <w:spacing w:val="-5"/>
                <w:w w:val="105"/>
                <w:sz w:val="18"/>
              </w:rPr>
              <w:t>21</w:t>
            </w:r>
          </w:p>
        </w:tc>
        <w:tc>
          <w:tcPr>
            <w:tcW w:w="1157" w:type="dxa"/>
          </w:tcPr>
          <w:p>
            <w:pPr>
              <w:pStyle w:val="TableParagraph"/>
              <w:spacing w:before="118"/>
              <w:ind w:left="13" w:right="74"/>
              <w:jc w:val="center"/>
              <w:rPr>
                <w:sz w:val="18"/>
              </w:rPr>
            </w:pPr>
            <w:r>
              <w:rPr>
                <w:color w:val="0A0A0A"/>
                <w:spacing w:val="-5"/>
                <w:w w:val="105"/>
                <w:sz w:val="18"/>
              </w:rPr>
              <w:t>20</w:t>
            </w:r>
          </w:p>
        </w:tc>
      </w:tr>
      <w:tr>
        <w:trPr>
          <w:trHeight w:val="454" w:hRule="atLeast"/>
        </w:trPr>
        <w:tc>
          <w:tcPr>
            <w:tcW w:w="1735" w:type="dxa"/>
          </w:tcPr>
          <w:p>
            <w:pPr>
              <w:pStyle w:val="TableParagraph"/>
              <w:spacing w:before="124"/>
              <w:ind w:left="127"/>
              <w:rPr>
                <w:sz w:val="18"/>
              </w:rPr>
            </w:pPr>
            <w:r>
              <w:rPr>
                <w:color w:val="0A0A0A"/>
                <w:sz w:val="18"/>
              </w:rPr>
              <w:t>£20,001</w:t>
            </w:r>
            <w:r>
              <w:rPr>
                <w:color w:val="0A0A0A"/>
                <w:spacing w:val="2"/>
                <w:sz w:val="18"/>
              </w:rPr>
              <w:t> </w:t>
            </w:r>
            <w:r>
              <w:rPr>
                <w:color w:val="0A0A0A"/>
                <w:sz w:val="18"/>
              </w:rPr>
              <w:t>-</w:t>
            </w:r>
            <w:r>
              <w:rPr>
                <w:color w:val="0A0A0A"/>
                <w:spacing w:val="-8"/>
                <w:sz w:val="18"/>
              </w:rPr>
              <w:t> </w:t>
            </w:r>
            <w:r>
              <w:rPr>
                <w:color w:val="0A0A0A"/>
                <w:spacing w:val="-2"/>
                <w:sz w:val="18"/>
              </w:rPr>
              <w:t>£40,000</w:t>
            </w:r>
          </w:p>
        </w:tc>
        <w:tc>
          <w:tcPr>
            <w:tcW w:w="990" w:type="dxa"/>
          </w:tcPr>
          <w:p>
            <w:pPr>
              <w:pStyle w:val="TableParagraph"/>
              <w:rPr>
                <w:rFonts w:ascii="Times New Roman"/>
                <w:sz w:val="20"/>
              </w:rPr>
            </w:pPr>
          </w:p>
        </w:tc>
        <w:tc>
          <w:tcPr>
            <w:tcW w:w="1053" w:type="dxa"/>
          </w:tcPr>
          <w:p>
            <w:pPr>
              <w:pStyle w:val="TableParagraph"/>
              <w:rPr>
                <w:rFonts w:ascii="Times New Roman"/>
                <w:sz w:val="20"/>
              </w:rPr>
            </w:pPr>
          </w:p>
        </w:tc>
        <w:tc>
          <w:tcPr>
            <w:tcW w:w="1093" w:type="dxa"/>
          </w:tcPr>
          <w:p>
            <w:pPr>
              <w:pStyle w:val="TableParagraph"/>
              <w:spacing w:before="116"/>
              <w:ind w:right="146"/>
              <w:jc w:val="right"/>
              <w:rPr>
                <w:rFonts w:ascii="Times New Roman"/>
                <w:sz w:val="18"/>
              </w:rPr>
            </w:pPr>
            <w:r>
              <w:rPr>
                <w:rFonts w:ascii="Times New Roman"/>
                <w:color w:val="262626"/>
                <w:spacing w:val="-10"/>
                <w:sz w:val="18"/>
              </w:rPr>
              <w:t>1</w:t>
            </w:r>
          </w:p>
        </w:tc>
        <w:tc>
          <w:tcPr>
            <w:tcW w:w="1009" w:type="dxa"/>
          </w:tcPr>
          <w:p>
            <w:pPr>
              <w:pStyle w:val="TableParagraph"/>
              <w:spacing w:before="120"/>
              <w:ind w:right="149"/>
              <w:jc w:val="right"/>
              <w:rPr>
                <w:sz w:val="18"/>
              </w:rPr>
            </w:pPr>
            <w:r>
              <w:rPr>
                <w:color w:val="0A0A0A"/>
                <w:spacing w:val="-10"/>
                <w:w w:val="105"/>
                <w:sz w:val="18"/>
              </w:rPr>
              <w:t>3</w:t>
            </w:r>
          </w:p>
        </w:tc>
        <w:tc>
          <w:tcPr>
            <w:tcW w:w="859" w:type="dxa"/>
          </w:tcPr>
          <w:p>
            <w:pPr>
              <w:pStyle w:val="TableParagraph"/>
              <w:rPr>
                <w:rFonts w:ascii="Times New Roman"/>
                <w:sz w:val="20"/>
              </w:rPr>
            </w:pPr>
          </w:p>
        </w:tc>
        <w:tc>
          <w:tcPr>
            <w:tcW w:w="285" w:type="dxa"/>
          </w:tcPr>
          <w:p>
            <w:pPr>
              <w:pStyle w:val="TableParagraph"/>
              <w:spacing w:before="107"/>
              <w:ind w:right="133"/>
              <w:jc w:val="center"/>
              <w:rPr>
                <w:rFonts w:ascii="Times New Roman"/>
                <w:sz w:val="20"/>
              </w:rPr>
            </w:pPr>
            <w:r>
              <w:rPr>
                <w:rFonts w:ascii="Times New Roman"/>
                <w:color w:val="3A3A3A"/>
                <w:spacing w:val="-10"/>
                <w:w w:val="105"/>
                <w:sz w:val="20"/>
              </w:rPr>
              <w:t>1</w:t>
            </w:r>
          </w:p>
        </w:tc>
        <w:tc>
          <w:tcPr>
            <w:tcW w:w="981" w:type="dxa"/>
          </w:tcPr>
          <w:p>
            <w:pPr>
              <w:pStyle w:val="TableParagraph"/>
              <w:spacing w:before="124"/>
              <w:ind w:right="134"/>
              <w:jc w:val="right"/>
              <w:rPr>
                <w:sz w:val="18"/>
              </w:rPr>
            </w:pPr>
            <w:r>
              <w:rPr>
                <w:color w:val="0A0A0A"/>
                <w:spacing w:val="-10"/>
                <w:w w:val="105"/>
                <w:sz w:val="18"/>
              </w:rPr>
              <w:t>3</w:t>
            </w:r>
          </w:p>
        </w:tc>
        <w:tc>
          <w:tcPr>
            <w:tcW w:w="992" w:type="dxa"/>
          </w:tcPr>
          <w:p>
            <w:pPr>
              <w:pStyle w:val="TableParagraph"/>
              <w:spacing w:before="111"/>
              <w:ind w:left="23" w:right="74"/>
              <w:jc w:val="center"/>
              <w:rPr>
                <w:rFonts w:ascii="Times New Roman"/>
                <w:b/>
                <w:sz w:val="19"/>
              </w:rPr>
            </w:pPr>
            <w:r>
              <w:rPr>
                <w:rFonts w:ascii="Times New Roman"/>
                <w:b/>
                <w:color w:val="0A0A0A"/>
                <w:spacing w:val="-5"/>
                <w:w w:val="110"/>
                <w:sz w:val="19"/>
              </w:rPr>
              <w:t>24</w:t>
            </w:r>
          </w:p>
        </w:tc>
        <w:tc>
          <w:tcPr>
            <w:tcW w:w="1157" w:type="dxa"/>
          </w:tcPr>
          <w:p>
            <w:pPr>
              <w:pStyle w:val="TableParagraph"/>
              <w:spacing w:before="124"/>
              <w:ind w:left="14" w:right="74"/>
              <w:jc w:val="center"/>
              <w:rPr>
                <w:sz w:val="18"/>
              </w:rPr>
            </w:pPr>
            <w:r>
              <w:rPr>
                <w:color w:val="0A0A0A"/>
                <w:spacing w:val="-5"/>
                <w:w w:val="105"/>
                <w:sz w:val="18"/>
              </w:rPr>
              <w:t>85</w:t>
            </w:r>
          </w:p>
        </w:tc>
      </w:tr>
      <w:tr>
        <w:trPr>
          <w:trHeight w:val="441" w:hRule="atLeast"/>
        </w:trPr>
        <w:tc>
          <w:tcPr>
            <w:tcW w:w="1735" w:type="dxa"/>
          </w:tcPr>
          <w:p>
            <w:pPr>
              <w:pStyle w:val="TableParagraph"/>
              <w:spacing w:before="112"/>
              <w:ind w:left="132"/>
              <w:rPr>
                <w:sz w:val="18"/>
              </w:rPr>
            </w:pPr>
            <w:r>
              <w:rPr>
                <w:color w:val="0A0A0A"/>
                <w:sz w:val="18"/>
              </w:rPr>
              <w:t>£40,001</w:t>
            </w:r>
            <w:r>
              <w:rPr>
                <w:color w:val="0A0A0A"/>
                <w:spacing w:val="-4"/>
                <w:sz w:val="18"/>
              </w:rPr>
              <w:t> </w:t>
            </w:r>
            <w:r>
              <w:rPr>
                <w:color w:val="0A0A0A"/>
                <w:sz w:val="18"/>
              </w:rPr>
              <w:t>-</w:t>
            </w:r>
            <w:r>
              <w:rPr>
                <w:color w:val="0A0A0A"/>
                <w:spacing w:val="-8"/>
                <w:sz w:val="18"/>
              </w:rPr>
              <w:t> </w:t>
            </w:r>
            <w:r>
              <w:rPr>
                <w:color w:val="0A0A0A"/>
                <w:spacing w:val="-2"/>
                <w:sz w:val="18"/>
              </w:rPr>
              <w:t>£60,000</w:t>
            </w:r>
          </w:p>
        </w:tc>
        <w:tc>
          <w:tcPr>
            <w:tcW w:w="990" w:type="dxa"/>
          </w:tcPr>
          <w:p>
            <w:pPr>
              <w:pStyle w:val="TableParagraph"/>
              <w:rPr>
                <w:rFonts w:ascii="Times New Roman"/>
                <w:sz w:val="20"/>
              </w:rPr>
            </w:pPr>
          </w:p>
        </w:tc>
        <w:tc>
          <w:tcPr>
            <w:tcW w:w="1053" w:type="dxa"/>
          </w:tcPr>
          <w:p>
            <w:pPr>
              <w:pStyle w:val="TableParagraph"/>
              <w:rPr>
                <w:rFonts w:ascii="Times New Roman"/>
                <w:sz w:val="20"/>
              </w:rPr>
            </w:pPr>
          </w:p>
        </w:tc>
        <w:tc>
          <w:tcPr>
            <w:tcW w:w="1093" w:type="dxa"/>
          </w:tcPr>
          <w:p>
            <w:pPr>
              <w:pStyle w:val="TableParagraph"/>
              <w:rPr>
                <w:rFonts w:ascii="Times New Roman"/>
                <w:sz w:val="20"/>
              </w:rPr>
            </w:pPr>
          </w:p>
        </w:tc>
        <w:tc>
          <w:tcPr>
            <w:tcW w:w="1009" w:type="dxa"/>
          </w:tcPr>
          <w:p>
            <w:pPr>
              <w:pStyle w:val="TableParagraph"/>
              <w:rPr>
                <w:rFonts w:ascii="Times New Roman"/>
                <w:sz w:val="20"/>
              </w:rPr>
            </w:pPr>
          </w:p>
        </w:tc>
        <w:tc>
          <w:tcPr>
            <w:tcW w:w="859" w:type="dxa"/>
          </w:tcPr>
          <w:p>
            <w:pPr>
              <w:pStyle w:val="TableParagraph"/>
              <w:rPr>
                <w:rFonts w:ascii="Times New Roman"/>
                <w:sz w:val="20"/>
              </w:rPr>
            </w:pPr>
          </w:p>
        </w:tc>
        <w:tc>
          <w:tcPr>
            <w:tcW w:w="285" w:type="dxa"/>
          </w:tcPr>
          <w:p>
            <w:pPr>
              <w:pStyle w:val="TableParagraph"/>
              <w:rPr>
                <w:rFonts w:ascii="Times New Roman"/>
                <w:sz w:val="20"/>
              </w:rPr>
            </w:pPr>
          </w:p>
        </w:tc>
        <w:tc>
          <w:tcPr>
            <w:tcW w:w="981" w:type="dxa"/>
          </w:tcPr>
          <w:p>
            <w:pPr>
              <w:pStyle w:val="TableParagraph"/>
              <w:rPr>
                <w:rFonts w:ascii="Times New Roman"/>
                <w:sz w:val="20"/>
              </w:rPr>
            </w:pPr>
          </w:p>
        </w:tc>
        <w:tc>
          <w:tcPr>
            <w:tcW w:w="992" w:type="dxa"/>
          </w:tcPr>
          <w:p>
            <w:pPr>
              <w:pStyle w:val="TableParagraph"/>
              <w:rPr>
                <w:rFonts w:ascii="Times New Roman"/>
                <w:sz w:val="20"/>
              </w:rPr>
            </w:pPr>
          </w:p>
        </w:tc>
        <w:tc>
          <w:tcPr>
            <w:tcW w:w="1157" w:type="dxa"/>
          </w:tcPr>
          <w:p>
            <w:pPr>
              <w:pStyle w:val="TableParagraph"/>
              <w:rPr>
                <w:rFonts w:ascii="Times New Roman"/>
                <w:sz w:val="20"/>
              </w:rPr>
            </w:pPr>
          </w:p>
        </w:tc>
      </w:tr>
      <w:tr>
        <w:trPr>
          <w:trHeight w:val="437" w:hRule="atLeast"/>
        </w:trPr>
        <w:tc>
          <w:tcPr>
            <w:tcW w:w="1735" w:type="dxa"/>
            <w:tcBorders>
              <w:bottom w:val="single" w:color="000000" w:sz="6" w:space="0"/>
            </w:tcBorders>
          </w:tcPr>
          <w:p>
            <w:pPr>
              <w:pStyle w:val="TableParagraph"/>
              <w:spacing w:before="127"/>
              <w:ind w:left="130"/>
              <w:rPr>
                <w:b/>
                <w:sz w:val="18"/>
              </w:rPr>
            </w:pPr>
            <w:r>
              <w:rPr>
                <w:b/>
                <w:color w:val="0A0A0A"/>
                <w:spacing w:val="-2"/>
                <w:sz w:val="18"/>
              </w:rPr>
              <w:t>Total</w:t>
            </w:r>
          </w:p>
        </w:tc>
        <w:tc>
          <w:tcPr>
            <w:tcW w:w="990" w:type="dxa"/>
            <w:tcBorders>
              <w:bottom w:val="single" w:color="000000" w:sz="6" w:space="0"/>
            </w:tcBorders>
          </w:tcPr>
          <w:p>
            <w:pPr>
              <w:pStyle w:val="TableParagraph"/>
              <w:rPr>
                <w:rFonts w:ascii="Times New Roman"/>
                <w:sz w:val="20"/>
              </w:rPr>
            </w:pPr>
          </w:p>
        </w:tc>
        <w:tc>
          <w:tcPr>
            <w:tcW w:w="1053" w:type="dxa"/>
            <w:tcBorders>
              <w:bottom w:val="single" w:color="000000" w:sz="6" w:space="0"/>
            </w:tcBorders>
          </w:tcPr>
          <w:p>
            <w:pPr>
              <w:pStyle w:val="TableParagraph"/>
              <w:rPr>
                <w:rFonts w:ascii="Times New Roman"/>
                <w:sz w:val="20"/>
              </w:rPr>
            </w:pPr>
          </w:p>
        </w:tc>
        <w:tc>
          <w:tcPr>
            <w:tcW w:w="1093" w:type="dxa"/>
            <w:tcBorders>
              <w:bottom w:val="single" w:color="000000" w:sz="6" w:space="0"/>
            </w:tcBorders>
          </w:tcPr>
          <w:p>
            <w:pPr>
              <w:pStyle w:val="TableParagraph"/>
              <w:spacing w:before="114"/>
              <w:ind w:right="137"/>
              <w:jc w:val="right"/>
              <w:rPr>
                <w:rFonts w:ascii="Times New Roman"/>
                <w:b/>
                <w:sz w:val="19"/>
              </w:rPr>
            </w:pPr>
            <w:r>
              <w:rPr>
                <w:rFonts w:ascii="Times New Roman"/>
                <w:b/>
                <w:color w:val="0A0A0A"/>
                <w:spacing w:val="-10"/>
                <w:w w:val="105"/>
                <w:sz w:val="19"/>
              </w:rPr>
              <w:t>3</w:t>
            </w:r>
          </w:p>
        </w:tc>
        <w:tc>
          <w:tcPr>
            <w:tcW w:w="1009" w:type="dxa"/>
            <w:tcBorders>
              <w:bottom w:val="single" w:color="000000" w:sz="6" w:space="0"/>
            </w:tcBorders>
          </w:tcPr>
          <w:p>
            <w:pPr>
              <w:pStyle w:val="TableParagraph"/>
              <w:spacing w:before="122"/>
              <w:ind w:right="144"/>
              <w:jc w:val="right"/>
              <w:rPr>
                <w:sz w:val="18"/>
              </w:rPr>
            </w:pPr>
            <w:r>
              <w:rPr>
                <w:color w:val="0A0A0A"/>
                <w:spacing w:val="-10"/>
                <w:w w:val="105"/>
                <w:sz w:val="18"/>
              </w:rPr>
              <w:t>7</w:t>
            </w:r>
          </w:p>
        </w:tc>
        <w:tc>
          <w:tcPr>
            <w:tcW w:w="859" w:type="dxa"/>
            <w:tcBorders>
              <w:bottom w:val="single" w:color="000000" w:sz="6" w:space="0"/>
            </w:tcBorders>
          </w:tcPr>
          <w:p>
            <w:pPr>
              <w:pStyle w:val="TableParagraph"/>
              <w:rPr>
                <w:rFonts w:ascii="Times New Roman"/>
                <w:sz w:val="20"/>
              </w:rPr>
            </w:pPr>
          </w:p>
        </w:tc>
        <w:tc>
          <w:tcPr>
            <w:tcW w:w="285" w:type="dxa"/>
            <w:tcBorders>
              <w:bottom w:val="single" w:color="000000" w:sz="6" w:space="0"/>
            </w:tcBorders>
          </w:tcPr>
          <w:p>
            <w:pPr>
              <w:pStyle w:val="TableParagraph"/>
              <w:spacing w:before="119"/>
              <w:ind w:right="49"/>
              <w:jc w:val="center"/>
              <w:rPr>
                <w:rFonts w:ascii="Times New Roman"/>
                <w:b/>
                <w:sz w:val="19"/>
              </w:rPr>
            </w:pPr>
            <w:r>
              <w:rPr>
                <w:rFonts w:ascii="Times New Roman"/>
                <w:b/>
                <w:color w:val="0A0A0A"/>
                <w:spacing w:val="-10"/>
                <w:w w:val="105"/>
                <w:sz w:val="19"/>
              </w:rPr>
              <w:t>3</w:t>
            </w:r>
          </w:p>
        </w:tc>
        <w:tc>
          <w:tcPr>
            <w:tcW w:w="981" w:type="dxa"/>
            <w:tcBorders>
              <w:bottom w:val="single" w:color="000000" w:sz="6" w:space="0"/>
            </w:tcBorders>
          </w:tcPr>
          <w:p>
            <w:pPr>
              <w:pStyle w:val="TableParagraph"/>
              <w:spacing w:before="122"/>
              <w:ind w:right="130"/>
              <w:jc w:val="right"/>
              <w:rPr>
                <w:sz w:val="18"/>
              </w:rPr>
            </w:pPr>
            <w:r>
              <w:rPr>
                <w:color w:val="0A0A0A"/>
                <w:spacing w:val="-10"/>
                <w:w w:val="105"/>
                <w:sz w:val="18"/>
              </w:rPr>
              <w:t>7</w:t>
            </w:r>
          </w:p>
        </w:tc>
        <w:tc>
          <w:tcPr>
            <w:tcW w:w="992" w:type="dxa"/>
            <w:tcBorders>
              <w:bottom w:val="single" w:color="000000" w:sz="6" w:space="0"/>
            </w:tcBorders>
          </w:tcPr>
          <w:p>
            <w:pPr>
              <w:pStyle w:val="TableParagraph"/>
              <w:spacing w:before="114"/>
              <w:ind w:left="23" w:right="74"/>
              <w:jc w:val="center"/>
              <w:rPr>
                <w:rFonts w:ascii="Times New Roman"/>
                <w:b/>
                <w:sz w:val="19"/>
              </w:rPr>
            </w:pPr>
            <w:r>
              <w:rPr>
                <w:rFonts w:ascii="Times New Roman"/>
                <w:b/>
                <w:color w:val="0A0A0A"/>
                <w:spacing w:val="-5"/>
                <w:w w:val="110"/>
                <w:sz w:val="19"/>
              </w:rPr>
              <w:t>45</w:t>
            </w:r>
          </w:p>
        </w:tc>
        <w:tc>
          <w:tcPr>
            <w:tcW w:w="1157" w:type="dxa"/>
            <w:tcBorders>
              <w:bottom w:val="single" w:color="000000" w:sz="6" w:space="0"/>
            </w:tcBorders>
          </w:tcPr>
          <w:p>
            <w:pPr>
              <w:pStyle w:val="TableParagraph"/>
              <w:spacing w:before="114"/>
              <w:ind w:left="26" w:right="74"/>
              <w:jc w:val="center"/>
              <w:rPr>
                <w:rFonts w:ascii="Times New Roman"/>
                <w:b/>
                <w:sz w:val="19"/>
              </w:rPr>
            </w:pPr>
            <w:r>
              <w:rPr>
                <w:rFonts w:ascii="Times New Roman"/>
                <w:b/>
                <w:color w:val="0A0A0A"/>
                <w:spacing w:val="-5"/>
                <w:w w:val="110"/>
                <w:sz w:val="19"/>
              </w:rPr>
              <w:t>105</w:t>
            </w:r>
          </w:p>
        </w:tc>
      </w:tr>
    </w:tbl>
    <w:p>
      <w:pPr>
        <w:pStyle w:val="BodyText"/>
        <w:rPr>
          <w:sz w:val="21"/>
        </w:rPr>
      </w:pPr>
    </w:p>
    <w:p>
      <w:pPr>
        <w:pStyle w:val="BodyText"/>
        <w:spacing w:before="16"/>
        <w:rPr>
          <w:sz w:val="21"/>
        </w:rPr>
      </w:pPr>
    </w:p>
    <w:p>
      <w:pPr>
        <w:pStyle w:val="ListParagraph"/>
        <w:numPr>
          <w:ilvl w:val="1"/>
          <w:numId w:val="11"/>
        </w:numPr>
        <w:tabs>
          <w:tab w:val="left" w:leader="none" w:pos="2153"/>
        </w:tabs>
        <w:spacing w:before="0" w:after="0" w:line="240" w:lineRule="auto"/>
        <w:ind w:left="2153" w:right="0" w:hanging="717"/>
        <w:jc w:val="left"/>
        <w:rPr>
          <w:b/>
          <w:color w:val="0A0A0A"/>
          <w:sz w:val="22"/>
        </w:rPr>
      </w:pPr>
      <w:r>
        <w:rPr>
          <w:b/>
          <w:color w:val="0A0A0A"/>
          <w:sz w:val="22"/>
        </w:rPr>
        <w:t>Audit</w:t>
      </w:r>
      <w:r>
        <w:rPr>
          <w:b/>
          <w:color w:val="0A0A0A"/>
          <w:spacing w:val="-2"/>
          <w:sz w:val="22"/>
        </w:rPr>
        <w:t> </w:t>
      </w:r>
      <w:r>
        <w:rPr>
          <w:b/>
          <w:color w:val="0A0A0A"/>
          <w:spacing w:val="-4"/>
          <w:sz w:val="22"/>
        </w:rPr>
        <w:t>Fees</w:t>
      </w:r>
    </w:p>
    <w:p>
      <w:pPr>
        <w:pStyle w:val="BodyText"/>
        <w:spacing w:before="29"/>
        <w:rPr>
          <w:b/>
          <w:sz w:val="20"/>
        </w:rPr>
      </w:pPr>
    </w:p>
    <w:p>
      <w:pPr>
        <w:spacing w:after="0"/>
        <w:rPr>
          <w:sz w:val="20"/>
        </w:rPr>
        <w:sectPr>
          <w:pgSz w:w="11910" w:h="16830"/>
          <w:pgMar w:top="920" w:right="100" w:bottom="1340" w:left="20" w:header="721" w:footer="1145"/>
        </w:sectPr>
      </w:pPr>
    </w:p>
    <w:p>
      <w:pPr>
        <w:spacing w:before="93"/>
        <w:ind w:left="1628" w:right="0" w:firstLine="0"/>
        <w:jc w:val="center"/>
        <w:rPr>
          <w:b/>
          <w:sz w:val="22"/>
        </w:rPr>
      </w:pPr>
      <w:r>
        <w:rPr>
          <w:b/>
          <w:color w:val="0A0A0A"/>
          <w:spacing w:val="-4"/>
          <w:sz w:val="22"/>
        </w:rPr>
        <w:t>2021-</w:t>
      </w:r>
      <w:r>
        <w:rPr>
          <w:b/>
          <w:color w:val="0A0A0A"/>
          <w:spacing w:val="-5"/>
          <w:sz w:val="22"/>
        </w:rPr>
        <w:t>22</w:t>
      </w:r>
    </w:p>
    <w:p>
      <w:pPr>
        <w:spacing w:before="122"/>
        <w:ind w:left="1628" w:right="4" w:firstLine="0"/>
        <w:jc w:val="center"/>
        <w:rPr>
          <w:b/>
          <w:sz w:val="22"/>
        </w:rPr>
      </w:pPr>
      <w:r>
        <w:rPr>
          <w:b/>
          <w:color w:val="0A0A0A"/>
          <w:spacing w:val="-4"/>
          <w:sz w:val="22"/>
        </w:rPr>
        <w:t>£000</w:t>
      </w:r>
    </w:p>
    <w:p>
      <w:pPr>
        <w:pStyle w:val="BodyText"/>
        <w:rPr>
          <w:b/>
        </w:rPr>
      </w:pPr>
    </w:p>
    <w:p>
      <w:pPr>
        <w:pStyle w:val="BodyText"/>
        <w:rPr>
          <w:b/>
        </w:rPr>
      </w:pPr>
    </w:p>
    <w:p>
      <w:pPr>
        <w:spacing w:before="0"/>
        <w:ind w:left="0" w:right="1" w:firstLine="0"/>
        <w:jc w:val="right"/>
        <w:rPr>
          <w:sz w:val="21"/>
        </w:rPr>
      </w:pPr>
      <w:r>
        <w:rPr>
          <w:color w:val="0A0A0A"/>
          <w:spacing w:val="-5"/>
          <w:w w:val="105"/>
          <w:sz w:val="21"/>
        </w:rPr>
        <w:t>108</w:t>
      </w:r>
    </w:p>
    <w:p>
      <w:pPr>
        <w:pStyle w:val="BodyText"/>
        <w:spacing w:before="26"/>
        <w:rPr>
          <w:sz w:val="21"/>
        </w:rPr>
      </w:pPr>
    </w:p>
    <w:p>
      <w:pPr>
        <w:spacing w:before="1" w:line="132" w:lineRule="exact"/>
        <w:ind w:left="0" w:right="0" w:firstLine="0"/>
        <w:jc w:val="right"/>
        <w:rPr>
          <w:sz w:val="21"/>
        </w:rPr>
      </w:pPr>
      <w:r>
        <w:rPr>
          <w:color w:val="0A0A0A"/>
          <w:spacing w:val="-5"/>
          <w:w w:val="105"/>
          <w:sz w:val="21"/>
        </w:rPr>
        <w:t>86</w:t>
      </w:r>
    </w:p>
    <w:p>
      <w:pPr>
        <w:spacing w:before="0" w:line="240" w:lineRule="auto"/>
        <w:rPr>
          <w:sz w:val="22"/>
        </w:rPr>
      </w:pPr>
      <w:r>
        <w:rPr/>
        <w:br w:type="column"/>
      </w:r>
      <w:r>
        <w:rPr>
          <w:sz w:val="22"/>
        </w:rPr>
      </w:r>
    </w:p>
    <w:p>
      <w:pPr>
        <w:pStyle w:val="BodyText"/>
      </w:pPr>
    </w:p>
    <w:p>
      <w:pPr>
        <w:pStyle w:val="BodyText"/>
        <w:spacing w:before="17"/>
      </w:pPr>
    </w:p>
    <w:p>
      <w:pPr>
        <w:pStyle w:val="Heading3"/>
        <w:ind w:left="453"/>
      </w:pPr>
      <w:r>
        <w:rPr>
          <w:color w:val="0A0A0A"/>
        </w:rPr>
        <w:t>Audit</w:t>
      </w:r>
      <w:r>
        <w:rPr>
          <w:color w:val="0A0A0A"/>
          <w:spacing w:val="-6"/>
        </w:rPr>
        <w:t> </w:t>
      </w:r>
      <w:r>
        <w:rPr>
          <w:color w:val="0A0A0A"/>
          <w:spacing w:val="-2"/>
        </w:rPr>
        <w:t>Fees:</w:t>
      </w:r>
    </w:p>
    <w:p>
      <w:pPr>
        <w:spacing w:before="73" w:line="249" w:lineRule="auto"/>
        <w:ind w:left="451" w:right="0" w:hanging="5"/>
        <w:jc w:val="left"/>
        <w:rPr>
          <w:sz w:val="21"/>
        </w:rPr>
      </w:pPr>
      <w:r>
        <w:rPr>
          <w:color w:val="0A0A0A"/>
          <w:w w:val="105"/>
          <w:sz w:val="21"/>
        </w:rPr>
        <w:t>Fees payable with regard to external audit services</w:t>
      </w:r>
      <w:r>
        <w:rPr>
          <w:color w:val="0A0A0A"/>
          <w:spacing w:val="-1"/>
          <w:w w:val="105"/>
          <w:sz w:val="21"/>
        </w:rPr>
        <w:t> </w:t>
      </w:r>
      <w:r>
        <w:rPr>
          <w:color w:val="0A0A0A"/>
          <w:w w:val="105"/>
          <w:sz w:val="21"/>
        </w:rPr>
        <w:t>carried</w:t>
      </w:r>
      <w:r>
        <w:rPr>
          <w:color w:val="0A0A0A"/>
          <w:spacing w:val="-7"/>
          <w:w w:val="105"/>
          <w:sz w:val="21"/>
        </w:rPr>
        <w:t> </w:t>
      </w:r>
      <w:r>
        <w:rPr>
          <w:color w:val="0A0A0A"/>
          <w:w w:val="105"/>
          <w:sz w:val="21"/>
        </w:rPr>
        <w:t>out</w:t>
      </w:r>
      <w:r>
        <w:rPr>
          <w:color w:val="0A0A0A"/>
          <w:spacing w:val="-16"/>
          <w:w w:val="105"/>
          <w:sz w:val="21"/>
        </w:rPr>
        <w:t> </w:t>
      </w:r>
      <w:r>
        <w:rPr>
          <w:color w:val="0A0A0A"/>
          <w:w w:val="105"/>
          <w:sz w:val="21"/>
        </w:rPr>
        <w:t>by</w:t>
      </w:r>
      <w:r>
        <w:rPr>
          <w:color w:val="0A0A0A"/>
          <w:spacing w:val="-12"/>
          <w:w w:val="105"/>
          <w:sz w:val="21"/>
        </w:rPr>
        <w:t> </w:t>
      </w:r>
      <w:r>
        <w:rPr>
          <w:color w:val="0A0A0A"/>
          <w:w w:val="105"/>
          <w:sz w:val="21"/>
        </w:rPr>
        <w:t>the</w:t>
      </w:r>
      <w:r>
        <w:rPr>
          <w:color w:val="0A0A0A"/>
          <w:spacing w:val="-9"/>
          <w:w w:val="105"/>
          <w:sz w:val="21"/>
        </w:rPr>
        <w:t> </w:t>
      </w:r>
      <w:r>
        <w:rPr>
          <w:color w:val="0A0A0A"/>
          <w:w w:val="105"/>
          <w:sz w:val="21"/>
        </w:rPr>
        <w:t>appointed</w:t>
      </w:r>
      <w:r>
        <w:rPr>
          <w:color w:val="0A0A0A"/>
          <w:spacing w:val="-4"/>
          <w:w w:val="105"/>
          <w:sz w:val="21"/>
        </w:rPr>
        <w:t> </w:t>
      </w:r>
      <w:r>
        <w:rPr>
          <w:color w:val="0A0A0A"/>
          <w:w w:val="105"/>
          <w:sz w:val="21"/>
        </w:rPr>
        <w:t>auditor Fees payable for the certification of grant</w:t>
      </w:r>
    </w:p>
    <w:p>
      <w:pPr>
        <w:pStyle w:val="Heading3"/>
        <w:spacing w:before="93"/>
        <w:ind w:left="552" w:right="5"/>
        <w:jc w:val="center"/>
      </w:pPr>
      <w:r>
        <w:rPr>
          <w:b w:val="0"/>
        </w:rPr>
        <w:br w:type="column"/>
      </w:r>
      <w:r>
        <w:rPr>
          <w:color w:val="0A0A0A"/>
          <w:spacing w:val="-4"/>
        </w:rPr>
        <w:t>2022-</w:t>
      </w:r>
      <w:r>
        <w:rPr>
          <w:color w:val="0A0A0A"/>
          <w:spacing w:val="-5"/>
        </w:rPr>
        <w:t>23</w:t>
      </w:r>
    </w:p>
    <w:p>
      <w:pPr>
        <w:spacing w:before="117"/>
        <w:ind w:left="552" w:right="0" w:firstLine="0"/>
        <w:jc w:val="center"/>
        <w:rPr>
          <w:b/>
          <w:sz w:val="22"/>
        </w:rPr>
      </w:pPr>
      <w:r>
        <w:rPr>
          <w:b/>
          <w:color w:val="0A0A0A"/>
          <w:spacing w:val="-4"/>
          <w:sz w:val="22"/>
        </w:rPr>
        <w:t>£000</w:t>
      </w:r>
    </w:p>
    <w:p>
      <w:pPr>
        <w:pStyle w:val="BodyText"/>
        <w:rPr>
          <w:b/>
        </w:rPr>
      </w:pPr>
    </w:p>
    <w:p>
      <w:pPr>
        <w:pStyle w:val="BodyText"/>
        <w:spacing w:before="5"/>
        <w:rPr>
          <w:b/>
        </w:rPr>
      </w:pPr>
    </w:p>
    <w:p>
      <w:pPr>
        <w:spacing w:before="0"/>
        <w:ind w:left="2216" w:right="0" w:firstLine="0"/>
        <w:jc w:val="left"/>
        <w:rPr>
          <w:sz w:val="21"/>
        </w:rPr>
      </w:pPr>
      <w:r>
        <w:rPr>
          <w:color w:val="0A0A0A"/>
          <w:spacing w:val="-5"/>
          <w:w w:val="105"/>
          <w:sz w:val="21"/>
        </w:rPr>
        <w:t>139</w:t>
      </w:r>
    </w:p>
    <w:p>
      <w:pPr>
        <w:pStyle w:val="BodyText"/>
        <w:spacing w:before="22"/>
        <w:rPr>
          <w:sz w:val="21"/>
        </w:rPr>
      </w:pPr>
    </w:p>
    <w:p>
      <w:pPr>
        <w:spacing w:before="0" w:line="136" w:lineRule="exact"/>
        <w:ind w:left="2342" w:right="0" w:firstLine="0"/>
        <w:jc w:val="left"/>
        <w:rPr>
          <w:sz w:val="21"/>
        </w:rPr>
      </w:pPr>
      <w:r>
        <w:rPr>
          <w:color w:val="0A0A0A"/>
          <w:spacing w:val="-5"/>
          <w:w w:val="110"/>
          <w:sz w:val="21"/>
        </w:rPr>
        <w:t>44</w:t>
      </w:r>
    </w:p>
    <w:p>
      <w:pPr>
        <w:spacing w:after="0" w:line="136" w:lineRule="exact"/>
        <w:jc w:val="left"/>
        <w:rPr>
          <w:sz w:val="21"/>
        </w:rPr>
        <w:sectPr>
          <w:type w:val="continuous"/>
          <w:pgSz w:w="11910" w:h="16830"/>
          <w:pgMar w:top="1940" w:right="100" w:bottom="280" w:left="20" w:header="721" w:footer="1145"/>
          <w:cols w:equalWidth="0" w:num="3">
            <w:col w:w="2583" w:space="40"/>
            <w:col w:w="4822" w:space="675"/>
            <w:col w:w="3670"/>
          </w:cols>
        </w:sectPr>
      </w:pPr>
    </w:p>
    <w:p>
      <w:pPr>
        <w:tabs>
          <w:tab w:val="left" w:leader="none" w:pos="2763"/>
          <w:tab w:val="left" w:leader="none" w:pos="3077"/>
        </w:tabs>
        <w:spacing w:before="0" w:line="235" w:lineRule="exact"/>
        <w:ind w:left="1518" w:right="0" w:firstLine="0"/>
        <w:jc w:val="left"/>
        <w:rPr>
          <w:sz w:val="21"/>
        </w:rPr>
      </w:pPr>
      <w:r>
        <w:rPr>
          <w:color w:val="0A0A0A"/>
          <w:sz w:val="21"/>
          <w:u w:val="single" w:color="000000"/>
        </w:rPr>
        <w:tab/>
      </w:r>
      <w:r>
        <w:rPr>
          <w:color w:val="0A0A0A"/>
          <w:sz w:val="21"/>
          <w:u w:val="none"/>
        </w:rPr>
        <w:tab/>
      </w:r>
      <w:r>
        <w:rPr>
          <w:color w:val="0A0A0A"/>
          <w:w w:val="105"/>
          <w:sz w:val="21"/>
          <w:u w:val="none"/>
        </w:rPr>
        <w:t>claims and</w:t>
      </w:r>
      <w:r>
        <w:rPr>
          <w:color w:val="0A0A0A"/>
          <w:spacing w:val="-10"/>
          <w:w w:val="105"/>
          <w:sz w:val="21"/>
          <w:u w:val="none"/>
        </w:rPr>
        <w:t> </w:t>
      </w:r>
      <w:r>
        <w:rPr>
          <w:color w:val="0A0A0A"/>
          <w:spacing w:val="-2"/>
          <w:w w:val="105"/>
          <w:sz w:val="21"/>
          <w:u w:val="none"/>
        </w:rPr>
        <w:t>returns</w:t>
      </w:r>
    </w:p>
    <w:p>
      <w:pPr>
        <w:spacing w:after="0" w:line="235" w:lineRule="exact"/>
        <w:jc w:val="left"/>
        <w:rPr>
          <w:sz w:val="21"/>
        </w:rPr>
        <w:sectPr>
          <w:type w:val="continuous"/>
          <w:pgSz w:w="11910" w:h="16830"/>
          <w:pgMar w:top="1940" w:right="100" w:bottom="280" w:left="20" w:header="721" w:footer="1145"/>
        </w:sectPr>
      </w:pPr>
    </w:p>
    <w:p>
      <w:pPr>
        <w:pStyle w:val="Heading3"/>
        <w:spacing w:before="66"/>
        <w:jc w:val="right"/>
      </w:pPr>
      <w:r>
        <w:rPr>
          <w:color w:val="0A0A0A"/>
          <w:spacing w:val="-5"/>
        </w:rPr>
        <w:t>194</w:t>
      </w:r>
    </w:p>
    <w:p>
      <w:pPr>
        <w:spacing w:before="124"/>
        <w:ind w:left="452" w:right="0" w:firstLine="0"/>
        <w:jc w:val="left"/>
        <w:rPr>
          <w:b/>
          <w:sz w:val="22"/>
        </w:rPr>
      </w:pPr>
      <w:r>
        <w:rPr/>
        <w:br w:type="column"/>
      </w:r>
      <w:r>
        <w:rPr>
          <w:b/>
          <w:color w:val="0A0A0A"/>
          <w:spacing w:val="-2"/>
          <w:sz w:val="22"/>
        </w:rPr>
        <w:t>Total</w:t>
      </w:r>
    </w:p>
    <w:p>
      <w:pPr>
        <w:spacing w:line="20" w:lineRule="exact"/>
        <w:ind w:left="1523" w:right="0" w:firstLine="0"/>
        <w:rPr>
          <w:sz w:val="2"/>
        </w:rPr>
      </w:pPr>
      <w:r>
        <w:rPr/>
        <w:br w:type="column"/>
      </w:r>
      <w:r>
        <w:rPr>
          <w:sz w:val="2"/>
        </w:rPr>
        <ve:AlternateContent>
          <ve:Choice Requires="wps">
            <w:drawing>
              <wp:inline distT="0" distB="0" distL="0" distR="0">
                <wp:extent cx="757555" cy="9525"/>
                <wp:effectExtent l="9525" t="0" r="0" b="0"/>
                <wp:docPr id="203" name="Group 203"/>
                <wp:cNvGraphicFramePr>
                  <a:graphicFrameLocks/>
                </wp:cNvGraphicFramePr>
                <a:graphic>
                  <a:graphicData uri="http://schemas.microsoft.com/office/word/2010/wordprocessingGroup">
                    <wpg:wgp>
                      <wpg:cNvPr id="203" name="Group 203"/>
                      <wpg:cNvGrpSpPr/>
                      <wpg:grpSpPr>
                        <a:xfrm>
                          <a:off x="0" y="0"/>
                          <a:ext cx="757555" cy="9525"/>
                          <a:chExt cx="757555" cy="9525"/>
                        </a:xfrm>
                      </wpg:grpSpPr>
                      <wps:wsp>
                        <wps:cNvPr id="204" name="Graphic 204"/>
                        <wps:cNvSpPr/>
                        <wps:spPr>
                          <a:xfrm>
                            <a:off x="0" y="4577"/>
                            <a:ext cx="757555" cy="1270"/>
                          </a:xfrm>
                          <a:custGeom>
                            <a:avLst/>
                            <a:gdLst/>
                            <a:ahLst/>
                            <a:cxnLst/>
                            <a:rect l="l" t="t" r="r" b="b"/>
                            <a:pathLst>
                              <a:path w="757555" h="0">
                                <a:moveTo>
                                  <a:pt x="0" y="0"/>
                                </a:moveTo>
                                <a:lnTo>
                                  <a:pt x="75712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27" style="width:59.65pt;height:.75pt;mso-position-horizontal-relative:char;mso-position-vertical-relative:line" coordsize="1193,15" coordorigin="0,0">
                <v:line style="position:absolute" stroked="true" strokecolor="#000000" strokeweight=".720821pt" from="0,7" to="1192,7">
                  <v:stroke dashstyle="solid"/>
                </v:line>
              </v:group>
            </w:pict>
          </ve:Fallback>
        </ve:AlternateContent>
      </w:r>
      <w:r>
        <w:rPr>
          <w:sz w:val="2"/>
        </w:rPr>
      </w:r>
    </w:p>
    <w:p>
      <w:pPr>
        <w:pStyle w:val="Heading3"/>
        <w:spacing w:before="46"/>
        <w:ind w:left="2207"/>
      </w:pPr>
      <w:r>
        <w:rPr>
          <w:color w:val="0A0A0A"/>
          <w:spacing w:val="-5"/>
        </w:rPr>
        <w:t>183</w:t>
      </w:r>
    </w:p>
    <w:p>
      <w:pPr>
        <w:pStyle w:val="BodyText"/>
        <w:spacing w:before="5"/>
        <w:rPr>
          <w:b/>
          <w:sz w:val="3"/>
        </w:rPr>
      </w:pPr>
      <w:r>
        <w:rPr/>
        <ve:AlternateContent>
          <ve:Choice Requires="wps">
            <w:drawing>
              <wp:anchor distT="0" distB="0" distL="0" distR="0" simplePos="0" relativeHeight="487627776" behindDoc="1" locked="0" layoutInCell="1" allowOverlap="1">
                <wp:simplePos x="0" y="0"/>
                <wp:positionH relativeFrom="page">
                  <wp:posOffset>6130256</wp:posOffset>
                </wp:positionH>
                <wp:positionV relativeFrom="paragraph">
                  <wp:posOffset>40320</wp:posOffset>
                </wp:positionV>
                <wp:extent cx="769620" cy="1270"/>
                <wp:effectExtent l="0" t="0" r="0" b="0"/>
                <wp:wrapTopAndBottom/>
                <wp:docPr id="205" name="Graphic 205"/>
                <wp:cNvGraphicFramePr>
                  <a:graphicFrameLocks/>
                </wp:cNvGraphicFramePr>
                <a:graphic>
                  <a:graphicData uri="http://schemas.microsoft.com/office/word/2010/wordprocessingShape">
                    <wps:wsp>
                      <wps:cNvPr id="205" name="Graphic 205"/>
                      <wps:cNvSpPr/>
                      <wps:spPr>
                        <a:xfrm>
                          <a:off x="0" y="0"/>
                          <a:ext cx="769620" cy="1270"/>
                        </a:xfrm>
                        <a:custGeom>
                          <a:avLst/>
                          <a:gdLst/>
                          <a:ahLst/>
                          <a:cxnLst/>
                          <a:rect l="l" t="t" r="r" b="b"/>
                          <a:pathLst>
                            <a:path w="769620" h="0">
                              <a:moveTo>
                                <a:pt x="0" y="0"/>
                              </a:moveTo>
                              <a:lnTo>
                                <a:pt x="769334" y="0"/>
                              </a:lnTo>
                            </a:path>
                          </a:pathLst>
                        </a:custGeom>
                        <a:ln w="12205">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128" style="position:absolute;margin-left:482.697357pt;margin-top:3.174854pt;width:60.6pt;height:.1pt;mso-position-horizontal-relative:page;mso-position-vertical-relative:paragraph;z-index:-15688704;mso-wrap-distance-left:0;mso-wrap-distance-right:0" coordsize="1212,0" coordorigin="9654,63" filled="false" stroked="true" strokecolor="#000000" strokeweight=".961095pt" path="m9654,63l10865,63e">
                <v:path arrowok="t"/>
                <v:stroke dashstyle="solid"/>
                <w10:wrap type="topAndBottom"/>
              </v:shape>
            </w:pict>
          </ve:Fallback>
        </ve:AlternateContent>
      </w:r>
    </w:p>
    <w:p>
      <w:pPr>
        <w:spacing w:after="0"/>
        <w:rPr>
          <w:sz w:val="3"/>
        </w:rPr>
        <w:sectPr>
          <w:type w:val="continuous"/>
          <w:pgSz w:w="11910" w:h="16830"/>
          <w:pgMar w:top="1940" w:right="100" w:bottom="280" w:left="20" w:header="721" w:footer="1145"/>
          <w:cols w:equalWidth="0" w:num="3">
            <w:col w:w="2580" w:space="40"/>
            <w:col w:w="1018" w:space="4492"/>
            <w:col w:w="3660"/>
          </w:cols>
        </w:sectPr>
      </w:pPr>
    </w:p>
    <w:p>
      <w:pPr>
        <w:pStyle w:val="BodyText"/>
        <w:spacing w:line="20" w:lineRule="exact"/>
        <w:ind w:left="1518"/>
        <w:rPr>
          <w:sz w:val="2"/>
        </w:rPr>
      </w:pPr>
      <w:r>
        <w:rPr>
          <w:sz w:val="2"/>
        </w:rPr>
        <ve:AlternateContent>
          <ve:Choice Requires="wps">
            <w:drawing>
              <wp:inline distT="0" distB="0" distL="0" distR="0">
                <wp:extent cx="757555" cy="12700"/>
                <wp:effectExtent l="9525" t="0" r="4445" b="6350"/>
                <wp:docPr id="206" name="Group 206"/>
                <wp:cNvGraphicFramePr>
                  <a:graphicFrameLocks/>
                </wp:cNvGraphicFramePr>
                <a:graphic>
                  <a:graphicData uri="http://schemas.microsoft.com/office/word/2010/wordprocessingGroup">
                    <wpg:wgp>
                      <wpg:cNvPr id="206" name="Group 206"/>
                      <wpg:cNvGrpSpPr/>
                      <wpg:grpSpPr>
                        <a:xfrm>
                          <a:off x="0" y="0"/>
                          <a:ext cx="757555" cy="12700"/>
                          <a:chExt cx="757555" cy="12700"/>
                        </a:xfrm>
                      </wpg:grpSpPr>
                      <wps:wsp>
                        <wps:cNvPr id="207" name="Graphic 207"/>
                        <wps:cNvSpPr/>
                        <wps:spPr>
                          <a:xfrm>
                            <a:off x="0" y="6102"/>
                            <a:ext cx="757555" cy="1270"/>
                          </a:xfrm>
                          <a:custGeom>
                            <a:avLst/>
                            <a:gdLst/>
                            <a:ahLst/>
                            <a:cxnLst/>
                            <a:rect l="l" t="t" r="r" b="b"/>
                            <a:pathLst>
                              <a:path w="757555" h="0">
                                <a:moveTo>
                                  <a:pt x="0" y="0"/>
                                </a:moveTo>
                                <a:lnTo>
                                  <a:pt x="757123" y="0"/>
                                </a:lnTo>
                              </a:path>
                            </a:pathLst>
                          </a:custGeom>
                          <a:ln w="1220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29" style="width:59.65pt;height:1pt;mso-position-horizontal-relative:char;mso-position-vertical-relative:line" coordsize="1193,20" coordorigin="0,0">
                <v:line style="position:absolute" stroked="true" strokecolor="#000000" strokeweight=".961095pt" from="0,10" to="1192,10">
                  <v:stroke dashstyle="solid"/>
                </v:line>
              </v:group>
            </w:pict>
          </ve:Fallback>
        </ve:AlternateContent>
      </w:r>
      <w:r>
        <w:rPr>
          <w:sz w:val="2"/>
        </w:rPr>
      </w:r>
    </w:p>
    <w:p>
      <w:pPr>
        <w:spacing w:after="0" w:line="20" w:lineRule="exact"/>
        <w:rPr>
          <w:sz w:val="2"/>
        </w:rPr>
        <w:sectPr>
          <w:type w:val="continuous"/>
          <w:pgSz w:w="11910" w:h="16830"/>
          <w:pgMar w:top="1940" w:right="100" w:bottom="280" w:left="20" w:header="721" w:footer="1145"/>
        </w:sectPr>
      </w:pPr>
    </w:p>
    <w:p>
      <w:pPr>
        <w:pStyle w:val="BodyText"/>
        <w:rPr>
          <w:b/>
          <w:sz w:val="15"/>
        </w:rPr>
      </w:pPr>
    </w:p>
    <w:p>
      <w:pPr>
        <w:pStyle w:val="BodyText"/>
        <w:rPr>
          <w:b/>
          <w:sz w:val="15"/>
        </w:rPr>
      </w:pPr>
    </w:p>
    <w:p>
      <w:pPr>
        <w:pStyle w:val="BodyText"/>
        <w:rPr>
          <w:b/>
          <w:sz w:val="15"/>
        </w:rPr>
      </w:pPr>
    </w:p>
    <w:p>
      <w:pPr>
        <w:pStyle w:val="BodyText"/>
        <w:rPr>
          <w:b/>
          <w:sz w:val="15"/>
        </w:rPr>
      </w:pPr>
    </w:p>
    <w:p>
      <w:pPr>
        <w:pStyle w:val="BodyText"/>
        <w:spacing w:before="35"/>
        <w:rPr>
          <w:b/>
          <w:sz w:val="15"/>
        </w:rPr>
      </w:pPr>
    </w:p>
    <w:p>
      <w:pPr>
        <w:tabs>
          <w:tab w:val="left" w:leader="none" w:pos="2406"/>
        </w:tabs>
        <w:spacing w:before="0"/>
        <w:ind w:left="1668" w:right="0" w:firstLine="0"/>
        <w:jc w:val="both"/>
        <w:rPr>
          <w:sz w:val="15"/>
        </w:rPr>
      </w:pPr>
      <w:r>
        <w:rPr/>
        <ve:AlternateContent>
          <ve:Choice Requires="wps">
            <w:drawing>
              <wp:anchor distT="0" distB="0" distL="0" distR="0" simplePos="0" relativeHeight="15770624" behindDoc="0" locked="0" layoutInCell="1" allowOverlap="1">
                <wp:simplePos x="0" y="0"/>
                <wp:positionH relativeFrom="page">
                  <wp:posOffset>167910</wp:posOffset>
                </wp:positionH>
                <wp:positionV relativeFrom="paragraph">
                  <wp:posOffset>-575760</wp:posOffset>
                </wp:positionV>
                <wp:extent cx="1270" cy="537210"/>
                <wp:effectExtent l="0" t="0" r="0" b="0"/>
                <wp:wrapNone/>
                <wp:docPr id="210" name="Graphic 210"/>
                <wp:cNvGraphicFramePr>
                  <a:graphicFrameLocks/>
                </wp:cNvGraphicFramePr>
                <a:graphic>
                  <a:graphicData uri="http://schemas.microsoft.com/office/word/2010/wordprocessingShape">
                    <wps:wsp>
                      <wps:cNvPr id="210" name="Graphic 210"/>
                      <wps:cNvSpPr/>
                      <wps:spPr>
                        <a:xfrm>
                          <a:off x="0" y="0"/>
                          <a:ext cx="1270" cy="537210"/>
                        </a:xfrm>
                        <a:custGeom>
                          <a:avLst/>
                          <a:gdLst/>
                          <a:ahLst/>
                          <a:cxnLst/>
                          <a:rect l="l" t="t" r="r" b="b"/>
                          <a:pathLst>
                            <a:path w="0" h="537210">
                              <a:moveTo>
                                <a:pt x="0" y="537060"/>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70624" stroked="true" strokecolor="#000000" strokeweight=".961549pt" from="13.221292pt,-3.047313pt" to="13.221292pt,-45.335506pt">
                <v:stroke dashstyle="solid"/>
                <w10:wrap type="none"/>
              </v:line>
            </w:pict>
          </ve:Fallback>
        </ve:AlternateContent>
      </w:r>
      <w:r>
        <w:rPr>
          <w:color w:val="1D1D1D"/>
          <w:spacing w:val="-5"/>
          <w:sz w:val="15"/>
        </w:rPr>
        <w:t>.5</w:t>
      </w:r>
      <w:r>
        <w:rPr>
          <w:color w:val="1D1D1D"/>
          <w:sz w:val="15"/>
        </w:rPr>
        <w:tab/>
      </w:r>
      <w:r>
        <w:rPr>
          <w:color w:val="A3A3A3"/>
          <w:sz w:val="15"/>
        </w:rPr>
        <w:t>NOTES</w:t>
      </w:r>
      <w:r>
        <w:rPr>
          <w:color w:val="A3A3A3"/>
          <w:spacing w:val="29"/>
          <w:sz w:val="15"/>
        </w:rPr>
        <w:t> </w:t>
      </w:r>
      <w:r>
        <w:rPr>
          <w:color w:val="A3A3A3"/>
          <w:sz w:val="15"/>
        </w:rPr>
        <w:t>TO</w:t>
      </w:r>
      <w:r>
        <w:rPr>
          <w:color w:val="A3A3A3"/>
          <w:spacing w:val="20"/>
          <w:sz w:val="15"/>
        </w:rPr>
        <w:t> </w:t>
      </w:r>
      <w:r>
        <w:rPr>
          <w:color w:val="A3A3A3"/>
          <w:sz w:val="15"/>
        </w:rPr>
        <w:t>THE</w:t>
      </w:r>
      <w:r>
        <w:rPr>
          <w:color w:val="A3A3A3"/>
          <w:spacing w:val="18"/>
          <w:sz w:val="15"/>
        </w:rPr>
        <w:t> </w:t>
      </w:r>
      <w:r>
        <w:rPr>
          <w:color w:val="A3A3A3"/>
          <w:spacing w:val="-2"/>
          <w:sz w:val="15"/>
        </w:rPr>
        <w:t>ACCOUNTS</w:t>
      </w:r>
    </w:p>
    <w:p>
      <w:pPr>
        <w:pStyle w:val="BodyText"/>
        <w:spacing w:before="60"/>
        <w:rPr>
          <w:sz w:val="15"/>
        </w:rPr>
      </w:pPr>
    </w:p>
    <w:p>
      <w:pPr>
        <w:pStyle w:val="Heading3"/>
        <w:numPr>
          <w:ilvl w:val="1"/>
          <w:numId w:val="11"/>
        </w:numPr>
        <w:tabs>
          <w:tab w:val="left" w:leader="none" w:pos="2398"/>
        </w:tabs>
        <w:spacing w:before="0" w:after="0" w:line="240" w:lineRule="auto"/>
        <w:ind w:left="2398" w:right="0" w:hanging="741"/>
        <w:jc w:val="left"/>
        <w:rPr>
          <w:color w:val="1D1D1D"/>
        </w:rPr>
      </w:pPr>
      <w:r>
        <w:rPr>
          <w:color w:val="0C0C0C"/>
        </w:rPr>
        <w:t>Adjustment between</w:t>
      </w:r>
      <w:r>
        <w:rPr>
          <w:color w:val="0C0C0C"/>
          <w:spacing w:val="-2"/>
        </w:rPr>
        <w:t> </w:t>
      </w:r>
      <w:r>
        <w:rPr>
          <w:color w:val="0C0C0C"/>
        </w:rPr>
        <w:t>accounting</w:t>
      </w:r>
      <w:r>
        <w:rPr>
          <w:color w:val="0C0C0C"/>
          <w:spacing w:val="-7"/>
        </w:rPr>
        <w:t> </w:t>
      </w:r>
      <w:r>
        <w:rPr>
          <w:color w:val="0C0C0C"/>
        </w:rPr>
        <w:t>basis</w:t>
      </w:r>
      <w:r>
        <w:rPr>
          <w:color w:val="0C0C0C"/>
          <w:spacing w:val="-13"/>
        </w:rPr>
        <w:t> </w:t>
      </w:r>
      <w:r>
        <w:rPr>
          <w:color w:val="0C0C0C"/>
        </w:rPr>
        <w:t>and</w:t>
      </w:r>
      <w:r>
        <w:rPr>
          <w:color w:val="0C0C0C"/>
          <w:spacing w:val="-15"/>
        </w:rPr>
        <w:t> </w:t>
      </w:r>
      <w:r>
        <w:rPr>
          <w:color w:val="0C0C0C"/>
        </w:rPr>
        <w:t>funding</w:t>
      </w:r>
      <w:r>
        <w:rPr>
          <w:color w:val="0C0C0C"/>
          <w:spacing w:val="-2"/>
        </w:rPr>
        <w:t> </w:t>
      </w:r>
      <w:r>
        <w:rPr>
          <w:color w:val="0C0C0C"/>
        </w:rPr>
        <w:t>basis</w:t>
      </w:r>
      <w:r>
        <w:rPr>
          <w:color w:val="0C0C0C"/>
          <w:spacing w:val="-8"/>
        </w:rPr>
        <w:t> </w:t>
      </w:r>
      <w:r>
        <w:rPr>
          <w:color w:val="0C0C0C"/>
        </w:rPr>
        <w:t>under</w:t>
      </w:r>
      <w:r>
        <w:rPr>
          <w:color w:val="0C0C0C"/>
          <w:spacing w:val="-5"/>
        </w:rPr>
        <w:t> </w:t>
      </w:r>
      <w:r>
        <w:rPr>
          <w:color w:val="0C0C0C"/>
          <w:spacing w:val="-2"/>
        </w:rPr>
        <w:t>regulations</w:t>
      </w:r>
    </w:p>
    <w:p>
      <w:pPr>
        <w:pStyle w:val="BodyText"/>
        <w:spacing w:before="233" w:line="276" w:lineRule="auto"/>
        <w:ind w:left="1644" w:right="1090" w:firstLine="17"/>
        <w:jc w:val="both"/>
      </w:pPr>
      <w:r>
        <w:rPr/>
        <ve:AlternateContent>
          <ve:Choice Requires="wps">
            <w:drawing>
              <wp:anchor distT="0" distB="0" distL="0" distR="0" simplePos="0" relativeHeight="15770112" behindDoc="0" locked="0" layoutInCell="1" allowOverlap="1">
                <wp:simplePos x="0" y="0"/>
                <wp:positionH relativeFrom="page">
                  <wp:posOffset>146539</wp:posOffset>
                </wp:positionH>
                <wp:positionV relativeFrom="paragraph">
                  <wp:posOffset>556591</wp:posOffset>
                </wp:positionV>
                <wp:extent cx="1270" cy="464184"/>
                <wp:effectExtent l="0" t="0" r="0" b="0"/>
                <wp:wrapNone/>
                <wp:docPr id="211" name="Graphic 211"/>
                <wp:cNvGraphicFramePr>
                  <a:graphicFrameLocks/>
                </wp:cNvGraphicFramePr>
                <a:graphic>
                  <a:graphicData uri="http://schemas.microsoft.com/office/word/2010/wordprocessingShape">
                    <wps:wsp>
                      <wps:cNvPr id="211" name="Graphic 211"/>
                      <wps:cNvSpPr/>
                      <wps:spPr>
                        <a:xfrm>
                          <a:off x="0" y="0"/>
                          <a:ext cx="1270" cy="464184"/>
                        </a:xfrm>
                        <a:custGeom>
                          <a:avLst/>
                          <a:gdLst/>
                          <a:ahLst/>
                          <a:cxnLst/>
                          <a:rect l="l" t="t" r="r" b="b"/>
                          <a:pathLst>
                            <a:path w="0" h="464184">
                              <a:moveTo>
                                <a:pt x="0" y="463824"/>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70112" stroked="true" strokecolor="#000000" strokeweight=".721161pt" from="11.538582pt,80.347759pt" to="11.538582pt,43.826138pt">
                <v:stroke dashstyle="solid"/>
                <w10:wrap type="none"/>
              </v:line>
            </w:pict>
          </ve:Fallback>
        </ve:AlternateContent>
      </w:r>
      <w:r>
        <w:rPr>
          <w:color w:val="1D1D1D"/>
        </w:rPr>
        <w:t>The</w:t>
      </w:r>
      <w:r>
        <w:rPr>
          <w:color w:val="1D1D1D"/>
          <w:spacing w:val="-13"/>
        </w:rPr>
        <w:t> </w:t>
      </w:r>
      <w:r>
        <w:rPr>
          <w:color w:val="1D1D1D"/>
        </w:rPr>
        <w:t>Comprehensive</w:t>
      </w:r>
      <w:r>
        <w:rPr>
          <w:color w:val="1D1D1D"/>
          <w:spacing w:val="21"/>
        </w:rPr>
        <w:t> </w:t>
      </w:r>
      <w:r>
        <w:rPr>
          <w:color w:val="1D1D1D"/>
        </w:rPr>
        <w:t>Income </w:t>
      </w:r>
      <w:r>
        <w:rPr>
          <w:color w:val="0C0C0C"/>
        </w:rPr>
        <w:t>and</w:t>
      </w:r>
      <w:r>
        <w:rPr>
          <w:color w:val="0C0C0C"/>
          <w:spacing w:val="-15"/>
        </w:rPr>
        <w:t> </w:t>
      </w:r>
      <w:r>
        <w:rPr>
          <w:color w:val="0C0C0C"/>
        </w:rPr>
        <w:t>Expenditure </w:t>
      </w:r>
      <w:r>
        <w:rPr>
          <w:color w:val="1D1D1D"/>
        </w:rPr>
        <w:t>Statement shows</w:t>
      </w:r>
      <w:r>
        <w:rPr>
          <w:color w:val="1D1D1D"/>
          <w:spacing w:val="-5"/>
        </w:rPr>
        <w:t> </w:t>
      </w:r>
      <w:r>
        <w:rPr>
          <w:color w:val="0C0C0C"/>
        </w:rPr>
        <w:t>the</w:t>
      </w:r>
      <w:r>
        <w:rPr>
          <w:color w:val="0C0C0C"/>
          <w:spacing w:val="-7"/>
        </w:rPr>
        <w:t> </w:t>
      </w:r>
      <w:r>
        <w:rPr>
          <w:color w:val="0C0C0C"/>
        </w:rPr>
        <w:t>Council</w:t>
      </w:r>
      <w:r>
        <w:rPr>
          <w:color w:val="3D3D3D"/>
        </w:rPr>
        <w:t>'</w:t>
      </w:r>
      <w:r>
        <w:rPr>
          <w:color w:val="1D1D1D"/>
        </w:rPr>
        <w:t>s</w:t>
      </w:r>
      <w:r>
        <w:rPr>
          <w:color w:val="1D1D1D"/>
          <w:spacing w:val="-7"/>
        </w:rPr>
        <w:t> </w:t>
      </w:r>
      <w:r>
        <w:rPr>
          <w:color w:val="1D1D1D"/>
        </w:rPr>
        <w:t>actual</w:t>
      </w:r>
      <w:r>
        <w:rPr>
          <w:color w:val="1D1D1D"/>
          <w:spacing w:val="-16"/>
        </w:rPr>
        <w:t> </w:t>
      </w:r>
      <w:r>
        <w:rPr>
          <w:color w:val="0C0C0C"/>
        </w:rPr>
        <w:t>financ</w:t>
      </w:r>
      <w:r>
        <w:rPr>
          <w:color w:val="3D3D3D"/>
        </w:rPr>
        <w:t>i</w:t>
      </w:r>
      <w:r>
        <w:rPr>
          <w:color w:val="1D1D1D"/>
        </w:rPr>
        <w:t>al performance </w:t>
      </w:r>
      <w:r>
        <w:rPr>
          <w:color w:val="0C0C0C"/>
        </w:rPr>
        <w:t>for the </w:t>
      </w:r>
      <w:r>
        <w:rPr>
          <w:color w:val="1D1D1D"/>
        </w:rPr>
        <w:t>year </w:t>
      </w:r>
      <w:r>
        <w:rPr>
          <w:color w:val="0C0C0C"/>
        </w:rPr>
        <w:t>and is measured in </w:t>
      </w:r>
      <w:r>
        <w:rPr>
          <w:color w:val="1D1D1D"/>
        </w:rPr>
        <w:t>terms of resources </w:t>
      </w:r>
      <w:r>
        <w:rPr>
          <w:color w:val="0C0C0C"/>
        </w:rPr>
        <w:t>consumed </w:t>
      </w:r>
      <w:r>
        <w:rPr>
          <w:color w:val="1D1D1D"/>
        </w:rPr>
        <w:t>and generated. </w:t>
      </w:r>
      <w:r>
        <w:rPr>
          <w:color w:val="0C0C0C"/>
        </w:rPr>
        <w:t>However, the</w:t>
      </w:r>
      <w:r>
        <w:rPr>
          <w:color w:val="0C0C0C"/>
          <w:spacing w:val="-2"/>
        </w:rPr>
        <w:t> </w:t>
      </w:r>
      <w:r>
        <w:rPr>
          <w:color w:val="0C0C0C"/>
        </w:rPr>
        <w:t>Council is</w:t>
      </w:r>
      <w:r>
        <w:rPr>
          <w:color w:val="0C0C0C"/>
          <w:spacing w:val="-3"/>
        </w:rPr>
        <w:t> </w:t>
      </w:r>
      <w:r>
        <w:rPr>
          <w:color w:val="0C0C0C"/>
        </w:rPr>
        <w:t>required to</w:t>
      </w:r>
      <w:r>
        <w:rPr>
          <w:color w:val="0C0C0C"/>
          <w:spacing w:val="-1"/>
        </w:rPr>
        <w:t> </w:t>
      </w:r>
      <w:r>
        <w:rPr>
          <w:color w:val="1D1D1D"/>
        </w:rPr>
        <w:t>raise </w:t>
      </w:r>
      <w:r>
        <w:rPr>
          <w:color w:val="0C0C0C"/>
        </w:rPr>
        <w:t>council tax on a different accounting basis with the two main differences being as follows:</w:t>
      </w:r>
    </w:p>
    <w:p>
      <w:pPr>
        <w:pStyle w:val="BodyText"/>
      </w:pPr>
    </w:p>
    <w:p>
      <w:pPr>
        <w:pStyle w:val="BodyText"/>
        <w:spacing w:before="2"/>
      </w:pPr>
    </w:p>
    <w:p>
      <w:pPr>
        <w:pStyle w:val="ListParagraph"/>
        <w:numPr>
          <w:ilvl w:val="2"/>
          <w:numId w:val="11"/>
        </w:numPr>
        <w:tabs>
          <w:tab w:val="left" w:leader="none" w:pos="2360"/>
          <w:tab w:val="left" w:leader="none" w:pos="2367"/>
        </w:tabs>
        <w:spacing w:before="0" w:after="0" w:line="273" w:lineRule="auto"/>
        <w:ind w:left="2360" w:right="1102" w:hanging="364"/>
        <w:jc w:val="left"/>
        <w:rPr>
          <w:color w:val="0C0C0C"/>
          <w:sz w:val="22"/>
        </w:rPr>
      </w:pPr>
      <w:r>
        <w:rPr/>
        <ve:AlternateContent>
          <ve:Choice Requires="wps">
            <w:drawing>
              <wp:anchor distT="0" distB="0" distL="0" distR="0" simplePos="0" relativeHeight="15769600" behindDoc="0" locked="0" layoutInCell="1" allowOverlap="1">
                <wp:simplePos x="0" y="0"/>
                <wp:positionH relativeFrom="page">
                  <wp:posOffset>131275</wp:posOffset>
                </wp:positionH>
                <wp:positionV relativeFrom="paragraph">
                  <wp:posOffset>-18158</wp:posOffset>
                </wp:positionV>
                <wp:extent cx="1270" cy="744855"/>
                <wp:effectExtent l="0" t="0" r="0" b="0"/>
                <wp:wrapNone/>
                <wp:docPr id="212" name="Graphic 212"/>
                <wp:cNvGraphicFramePr>
                  <a:graphicFrameLocks/>
                </wp:cNvGraphicFramePr>
                <a:graphic>
                  <a:graphicData uri="http://schemas.microsoft.com/office/word/2010/wordprocessingShape">
                    <wps:wsp>
                      <wps:cNvPr id="212" name="Graphic 212"/>
                      <wps:cNvSpPr/>
                      <wps:spPr>
                        <a:xfrm>
                          <a:off x="0" y="0"/>
                          <a:ext cx="1270" cy="744855"/>
                        </a:xfrm>
                        <a:custGeom>
                          <a:avLst/>
                          <a:gdLst/>
                          <a:ahLst/>
                          <a:cxnLst/>
                          <a:rect l="l" t="t" r="r" b="b"/>
                          <a:pathLst>
                            <a:path w="0" h="744855">
                              <a:moveTo>
                                <a:pt x="0" y="744560"/>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69600" stroked="true" strokecolor="#000000" strokeweight="1.201936pt" from="10.336646pt,57.196996pt" to="10.336646pt,-1.429818pt">
                <v:stroke dashstyle="solid"/>
                <w10:wrap type="none"/>
              </v:line>
            </w:pict>
          </ve:Fallback>
        </ve:AlternateContent>
      </w:r>
      <w:r>
        <w:rPr>
          <w:color w:val="0C0C0C"/>
          <w:sz w:val="22"/>
        </w:rPr>
        <w:tab/>
        <w:t>Capital</w:t>
      </w:r>
      <w:r>
        <w:rPr>
          <w:color w:val="0C0C0C"/>
          <w:spacing w:val="26"/>
          <w:sz w:val="22"/>
        </w:rPr>
        <w:t> </w:t>
      </w:r>
      <w:r>
        <w:rPr>
          <w:color w:val="0C0C0C"/>
          <w:sz w:val="22"/>
        </w:rPr>
        <w:t>investment</w:t>
      </w:r>
      <w:r>
        <w:rPr>
          <w:color w:val="0C0C0C"/>
          <w:spacing w:val="40"/>
          <w:sz w:val="22"/>
        </w:rPr>
        <w:t> </w:t>
      </w:r>
      <w:r>
        <w:rPr>
          <w:color w:val="0C0C0C"/>
          <w:sz w:val="22"/>
        </w:rPr>
        <w:t>is</w:t>
      </w:r>
      <w:r>
        <w:rPr>
          <w:color w:val="0C0C0C"/>
          <w:spacing w:val="28"/>
          <w:sz w:val="22"/>
        </w:rPr>
        <w:t> </w:t>
      </w:r>
      <w:r>
        <w:rPr>
          <w:color w:val="0C0C0C"/>
          <w:sz w:val="22"/>
        </w:rPr>
        <w:t>accounted</w:t>
      </w:r>
      <w:r>
        <w:rPr>
          <w:color w:val="0C0C0C"/>
          <w:spacing w:val="37"/>
          <w:sz w:val="22"/>
        </w:rPr>
        <w:t> </w:t>
      </w:r>
      <w:r>
        <w:rPr>
          <w:color w:val="0C0C0C"/>
          <w:sz w:val="22"/>
        </w:rPr>
        <w:t>for</w:t>
      </w:r>
      <w:r>
        <w:rPr>
          <w:color w:val="0C0C0C"/>
          <w:spacing w:val="24"/>
          <w:sz w:val="22"/>
        </w:rPr>
        <w:t> </w:t>
      </w:r>
      <w:r>
        <w:rPr>
          <w:color w:val="0C0C0C"/>
          <w:sz w:val="22"/>
        </w:rPr>
        <w:t>as</w:t>
      </w:r>
      <w:r>
        <w:rPr>
          <w:color w:val="0C0C0C"/>
          <w:spacing w:val="24"/>
          <w:sz w:val="22"/>
        </w:rPr>
        <w:t> </w:t>
      </w:r>
      <w:r>
        <w:rPr>
          <w:color w:val="0C0C0C"/>
          <w:sz w:val="22"/>
        </w:rPr>
        <w:t>it</w:t>
      </w:r>
      <w:r>
        <w:rPr>
          <w:color w:val="0C0C0C"/>
          <w:spacing w:val="22"/>
          <w:sz w:val="22"/>
        </w:rPr>
        <w:t> </w:t>
      </w:r>
      <w:r>
        <w:rPr>
          <w:color w:val="0C0C0C"/>
          <w:sz w:val="22"/>
        </w:rPr>
        <w:t>is financed</w:t>
      </w:r>
      <w:r>
        <w:rPr>
          <w:color w:val="0C0C0C"/>
          <w:spacing w:val="24"/>
          <w:sz w:val="22"/>
        </w:rPr>
        <w:t> </w:t>
      </w:r>
      <w:r>
        <w:rPr>
          <w:color w:val="0C0C0C"/>
          <w:sz w:val="22"/>
        </w:rPr>
        <w:t>rather</w:t>
      </w:r>
      <w:r>
        <w:rPr>
          <w:color w:val="0C0C0C"/>
          <w:spacing w:val="30"/>
          <w:sz w:val="22"/>
        </w:rPr>
        <w:t> </w:t>
      </w:r>
      <w:r>
        <w:rPr>
          <w:color w:val="0C0C0C"/>
          <w:sz w:val="22"/>
        </w:rPr>
        <w:t>than</w:t>
      </w:r>
      <w:r>
        <w:rPr>
          <w:color w:val="0C0C0C"/>
          <w:spacing w:val="21"/>
          <w:sz w:val="22"/>
        </w:rPr>
        <w:t> </w:t>
      </w:r>
      <w:r>
        <w:rPr>
          <w:color w:val="0C0C0C"/>
          <w:sz w:val="22"/>
        </w:rPr>
        <w:t>when</w:t>
      </w:r>
      <w:r>
        <w:rPr>
          <w:color w:val="0C0C0C"/>
          <w:spacing w:val="22"/>
          <w:sz w:val="22"/>
        </w:rPr>
        <w:t> </w:t>
      </w:r>
      <w:r>
        <w:rPr>
          <w:color w:val="0C0C0C"/>
          <w:sz w:val="22"/>
        </w:rPr>
        <w:t>the</w:t>
      </w:r>
      <w:r>
        <w:rPr>
          <w:color w:val="0C0C0C"/>
          <w:spacing w:val="27"/>
          <w:sz w:val="22"/>
        </w:rPr>
        <w:t> </w:t>
      </w:r>
      <w:r>
        <w:rPr>
          <w:color w:val="0C0C0C"/>
          <w:sz w:val="22"/>
        </w:rPr>
        <w:t>asset</w:t>
      </w:r>
      <w:r>
        <w:rPr>
          <w:color w:val="0C0C0C"/>
          <w:spacing w:val="34"/>
          <w:sz w:val="22"/>
        </w:rPr>
        <w:t> </w:t>
      </w:r>
      <w:r>
        <w:rPr>
          <w:color w:val="1D1D1D"/>
          <w:sz w:val="22"/>
        </w:rPr>
        <w:t>is </w:t>
      </w:r>
      <w:r>
        <w:rPr>
          <w:color w:val="0C0C0C"/>
          <w:sz w:val="22"/>
        </w:rPr>
        <w:t>consumed; and</w:t>
      </w:r>
    </w:p>
    <w:p>
      <w:pPr>
        <w:pStyle w:val="BodyText"/>
        <w:spacing w:before="59"/>
      </w:pPr>
    </w:p>
    <w:p>
      <w:pPr>
        <w:pStyle w:val="ListParagraph"/>
        <w:numPr>
          <w:ilvl w:val="2"/>
          <w:numId w:val="11"/>
        </w:numPr>
        <w:tabs>
          <w:tab w:val="left" w:leader="none" w:pos="2345"/>
          <w:tab w:val="left" w:leader="none" w:pos="2351"/>
        </w:tabs>
        <w:spacing w:before="0" w:after="0" w:line="278" w:lineRule="auto"/>
        <w:ind w:left="2345" w:right="1115" w:hanging="358"/>
        <w:jc w:val="left"/>
        <w:rPr>
          <w:color w:val="1D1D1D"/>
          <w:sz w:val="22"/>
        </w:rPr>
      </w:pPr>
      <w:r>
        <w:rPr>
          <w:color w:val="1D1D1D"/>
          <w:sz w:val="22"/>
        </w:rPr>
        <w:tab/>
      </w:r>
      <w:r>
        <w:rPr>
          <w:color w:val="0C0C0C"/>
          <w:sz w:val="22"/>
        </w:rPr>
        <w:t>Retirement benefits are charged as amounts become payable to pension funds and pensioners rather than as future benefits are earned</w:t>
      </w:r>
      <w:r>
        <w:rPr>
          <w:color w:val="595959"/>
          <w:sz w:val="22"/>
        </w:rPr>
        <w:t>.</w:t>
      </w:r>
    </w:p>
    <w:p>
      <w:pPr>
        <w:pStyle w:val="BodyText"/>
        <w:spacing w:before="237"/>
      </w:pPr>
    </w:p>
    <w:p>
      <w:pPr>
        <w:pStyle w:val="BodyText"/>
        <w:spacing w:line="276" w:lineRule="auto"/>
        <w:ind w:left="1592" w:right="1124" w:firstLine="12"/>
        <w:jc w:val="both"/>
      </w:pPr>
      <w:r>
        <w:rPr>
          <w:color w:val="0C0C0C"/>
        </w:rPr>
        <w:t>The General Fund contains the excess to date of income over expenditure in the Comprehensive Income and Expenditure Statement. It also takes into account the use of reserves built up in the past and contributions to reserves earmarked for future specific </w:t>
      </w:r>
      <w:r>
        <w:rPr>
          <w:color w:val="0C0C0C"/>
          <w:spacing w:val="-2"/>
        </w:rPr>
        <w:t>expenditure.</w:t>
      </w:r>
    </w:p>
    <w:p>
      <w:pPr>
        <w:pStyle w:val="BodyText"/>
        <w:spacing w:before="39"/>
      </w:pPr>
    </w:p>
    <w:p>
      <w:pPr>
        <w:pStyle w:val="BodyText"/>
        <w:spacing w:line="273" w:lineRule="auto"/>
        <w:ind w:left="1573" w:right="1135" w:firstLine="12"/>
        <w:jc w:val="both"/>
      </w:pPr>
      <w:r>
        <w:rPr>
          <w:color w:val="0C0C0C"/>
        </w:rPr>
        <w:t>The</w:t>
      </w:r>
      <w:r>
        <w:rPr>
          <w:color w:val="0C0C0C"/>
          <w:spacing w:val="-1"/>
        </w:rPr>
        <w:t> </w:t>
      </w:r>
      <w:r>
        <w:rPr>
          <w:color w:val="0C0C0C"/>
        </w:rPr>
        <w:t>following note details the adjustments that are made to the total comprehensive income </w:t>
      </w:r>
      <w:r>
        <w:rPr>
          <w:color w:val="1D1D1D"/>
        </w:rPr>
        <w:t>and</w:t>
      </w:r>
      <w:r>
        <w:rPr>
          <w:color w:val="1D1D1D"/>
          <w:spacing w:val="-3"/>
        </w:rPr>
        <w:t> </w:t>
      </w:r>
      <w:r>
        <w:rPr>
          <w:color w:val="1D1D1D"/>
        </w:rPr>
        <w:t>expenditure recognised by the Council in</w:t>
      </w:r>
      <w:r>
        <w:rPr>
          <w:color w:val="1D1D1D"/>
          <w:spacing w:val="-4"/>
        </w:rPr>
        <w:t> </w:t>
      </w:r>
      <w:r>
        <w:rPr>
          <w:color w:val="1D1D1D"/>
        </w:rPr>
        <w:t>the year in</w:t>
      </w:r>
      <w:r>
        <w:rPr>
          <w:color w:val="1D1D1D"/>
          <w:spacing w:val="-2"/>
        </w:rPr>
        <w:t> </w:t>
      </w:r>
      <w:r>
        <w:rPr>
          <w:color w:val="0C0C0C"/>
        </w:rPr>
        <w:t>accordance </w:t>
      </w:r>
      <w:r>
        <w:rPr>
          <w:color w:val="1D1D1D"/>
        </w:rPr>
        <w:t>with</w:t>
      </w:r>
      <w:r>
        <w:rPr>
          <w:color w:val="1D1D1D"/>
          <w:spacing w:val="-3"/>
        </w:rPr>
        <w:t> </w:t>
      </w:r>
      <w:r>
        <w:rPr>
          <w:color w:val="0C0C0C"/>
        </w:rPr>
        <w:t>proper accounting </w:t>
      </w:r>
      <w:r>
        <w:rPr>
          <w:color w:val="1D1D1D"/>
        </w:rPr>
        <w:t>practice to the </w:t>
      </w:r>
      <w:r>
        <w:rPr>
          <w:color w:val="0C0C0C"/>
        </w:rPr>
        <w:t>resources </w:t>
      </w:r>
      <w:r>
        <w:rPr>
          <w:color w:val="1D1D1D"/>
        </w:rPr>
        <w:t>that are specified by statutory </w:t>
      </w:r>
      <w:r>
        <w:rPr>
          <w:color w:val="0C0C0C"/>
        </w:rPr>
        <w:t>provisions </w:t>
      </w:r>
      <w:r>
        <w:rPr>
          <w:color w:val="1D1D1D"/>
        </w:rPr>
        <w:t>as being available </w:t>
      </w:r>
      <w:r>
        <w:rPr>
          <w:color w:val="0C0C0C"/>
        </w:rPr>
        <w:t>to the </w:t>
      </w:r>
      <w:r>
        <w:rPr>
          <w:color w:val="1D1D1D"/>
        </w:rPr>
        <w:t>Council to meet future capital and revenue expenditure.</w:t>
      </w:r>
      <w:r>
        <w:rPr>
          <w:color w:val="1D1D1D"/>
          <w:spacing w:val="40"/>
        </w:rPr>
        <w:t> </w:t>
      </w:r>
      <w:r>
        <w:rPr>
          <w:color w:val="0C0C0C"/>
        </w:rPr>
        <w:t>Movements in</w:t>
      </w:r>
      <w:r>
        <w:rPr>
          <w:color w:val="0C0C0C"/>
          <w:spacing w:val="-5"/>
        </w:rPr>
        <w:t> </w:t>
      </w:r>
      <w:r>
        <w:rPr>
          <w:color w:val="0C0C0C"/>
        </w:rPr>
        <w:t>earmarked reserves </w:t>
      </w:r>
      <w:r>
        <w:rPr>
          <w:color w:val="1D1D1D"/>
        </w:rPr>
        <w:t>are set out in note 5.30.2.</w:t>
      </w:r>
    </w:p>
    <w:p>
      <w:pPr>
        <w:spacing w:after="0" w:line="273" w:lineRule="auto"/>
        <w:jc w:val="both"/>
        <w:sectPr>
          <w:headerReference w:type="even" r:id="rId125"/>
          <w:footerReference w:type="even" r:id="rId126"/>
          <w:footerReference w:type="default" r:id="rId127"/>
          <w:pgSz w:w="11910" w:h="16830"/>
          <w:pgMar w:top="260" w:right="100" w:bottom="920" w:left="20" w:header="0" w:footer="731"/>
        </w:sectPr>
      </w:pPr>
    </w:p>
    <w:p>
      <w:pPr>
        <w:pStyle w:val="BodyText"/>
        <w:spacing w:before="23"/>
        <w:rPr>
          <w:sz w:val="20"/>
        </w:rPr>
      </w:pPr>
    </w:p>
    <w:p>
      <w:pPr>
        <w:spacing w:after="0"/>
        <w:rPr>
          <w:sz w:val="20"/>
        </w:rPr>
        <w:sectPr>
          <w:headerReference w:type="default" r:id="rId128"/>
          <w:pgSz w:w="11910" w:h="16830"/>
          <w:pgMar w:top="1220" w:right="100" w:bottom="1020" w:left="20" w:header="1028" w:footer="0"/>
        </w:sectPr>
      </w:pPr>
    </w:p>
    <w:p>
      <w:pPr>
        <w:pStyle w:val="BodyText"/>
        <w:spacing w:before="104"/>
        <w:rPr>
          <w:sz w:val="20"/>
        </w:rPr>
      </w:pPr>
    </w:p>
    <w:p>
      <w:pPr>
        <w:spacing w:before="1"/>
        <w:ind w:left="1138" w:right="0" w:firstLine="0"/>
        <w:jc w:val="left"/>
        <w:rPr>
          <w:b/>
          <w:sz w:val="20"/>
        </w:rPr>
      </w:pPr>
      <w:r>
        <w:rPr>
          <w:b/>
          <w:color w:val="0F0F0F"/>
          <w:spacing w:val="-5"/>
          <w:sz w:val="20"/>
        </w:rPr>
        <w:t>2021-22</w:t>
      </w:r>
    </w:p>
    <w:p>
      <w:pPr>
        <w:spacing w:before="0" w:line="240" w:lineRule="auto"/>
        <w:rPr>
          <w:b/>
          <w:sz w:val="20"/>
        </w:rPr>
      </w:pPr>
      <w:r>
        <w:rPr/>
        <w:br w:type="column"/>
      </w:r>
      <w:r>
        <w:rPr>
          <w:b/>
          <w:sz w:val="20"/>
        </w:rPr>
      </w:r>
    </w:p>
    <w:p>
      <w:pPr>
        <w:pStyle w:val="BodyText"/>
        <w:spacing w:before="100"/>
        <w:rPr>
          <w:b/>
          <w:sz w:val="20"/>
        </w:rPr>
      </w:pPr>
    </w:p>
    <w:p>
      <w:pPr>
        <w:spacing w:before="1"/>
        <w:ind w:left="1138" w:right="0" w:firstLine="0"/>
        <w:jc w:val="left"/>
        <w:rPr>
          <w:b/>
          <w:sz w:val="20"/>
        </w:rPr>
      </w:pPr>
      <w:r>
        <w:rPr>
          <w:b/>
          <w:color w:val="0F0F0F"/>
          <w:spacing w:val="-4"/>
          <w:sz w:val="20"/>
        </w:rPr>
        <w:t>General</w:t>
      </w:r>
    </w:p>
    <w:p>
      <w:pPr>
        <w:spacing w:before="94"/>
        <w:ind w:left="174" w:right="0" w:firstLine="0"/>
        <w:jc w:val="left"/>
        <w:rPr>
          <w:b/>
          <w:sz w:val="20"/>
        </w:rPr>
      </w:pPr>
      <w:r>
        <w:rPr/>
        <w:br w:type="column"/>
      </w:r>
      <w:r>
        <w:rPr>
          <w:b/>
          <w:color w:val="0F0F0F"/>
          <w:sz w:val="20"/>
        </w:rPr>
        <w:t>Usable</w:t>
      </w:r>
      <w:r>
        <w:rPr>
          <w:b/>
          <w:color w:val="0F0F0F"/>
          <w:spacing w:val="-8"/>
          <w:sz w:val="20"/>
        </w:rPr>
        <w:t> </w:t>
      </w:r>
      <w:r>
        <w:rPr>
          <w:b/>
          <w:color w:val="0F0F0F"/>
          <w:spacing w:val="-2"/>
          <w:sz w:val="20"/>
        </w:rPr>
        <w:t>Reserves</w:t>
      </w:r>
    </w:p>
    <w:p>
      <w:pPr>
        <w:pStyle w:val="BodyText"/>
        <w:spacing w:before="6"/>
        <w:rPr>
          <w:b/>
          <w:sz w:val="20"/>
        </w:rPr>
      </w:pPr>
    </w:p>
    <w:p>
      <w:pPr>
        <w:spacing w:before="1"/>
        <w:ind w:left="511" w:right="0" w:firstLine="0"/>
        <w:jc w:val="left"/>
        <w:rPr>
          <w:b/>
          <w:sz w:val="20"/>
        </w:rPr>
      </w:pPr>
      <w:r>
        <w:rPr>
          <w:b/>
          <w:color w:val="0F0F0F"/>
          <w:spacing w:val="-2"/>
          <w:sz w:val="20"/>
        </w:rPr>
        <w:t>Capital</w:t>
      </w:r>
    </w:p>
    <w:p>
      <w:pPr>
        <w:spacing w:before="108" w:line="240" w:lineRule="auto"/>
        <w:rPr>
          <w:b/>
          <w:sz w:val="20"/>
        </w:rPr>
      </w:pPr>
      <w:r>
        <w:rPr/>
        <w:br w:type="column"/>
      </w:r>
      <w:r>
        <w:rPr>
          <w:b/>
          <w:sz w:val="20"/>
        </w:rPr>
      </w:r>
    </w:p>
    <w:p>
      <w:pPr>
        <w:spacing w:before="0" w:line="235" w:lineRule="auto"/>
        <w:ind w:left="1546" w:right="0" w:hanging="409"/>
        <w:jc w:val="left"/>
        <w:rPr>
          <w:b/>
          <w:sz w:val="20"/>
        </w:rPr>
      </w:pPr>
      <w:r>
        <w:rPr>
          <w:b/>
          <w:color w:val="0F0F0F"/>
          <w:spacing w:val="-4"/>
          <w:sz w:val="20"/>
        </w:rPr>
        <w:t>Movement </w:t>
      </w:r>
      <w:r>
        <w:rPr>
          <w:b/>
          <w:color w:val="0F0F0F"/>
          <w:spacing w:val="-6"/>
          <w:sz w:val="20"/>
        </w:rPr>
        <w:t>in</w:t>
      </w:r>
    </w:p>
    <w:p>
      <w:pPr>
        <w:spacing w:before="0" w:line="240" w:lineRule="auto"/>
        <w:rPr>
          <w:b/>
          <w:sz w:val="20"/>
        </w:rPr>
      </w:pPr>
      <w:r>
        <w:rPr/>
        <w:br w:type="column"/>
      </w:r>
      <w:r>
        <w:rPr>
          <w:b/>
          <w:sz w:val="20"/>
        </w:rPr>
      </w:r>
    </w:p>
    <w:p>
      <w:pPr>
        <w:pStyle w:val="BodyText"/>
        <w:spacing w:before="105"/>
        <w:rPr>
          <w:b/>
          <w:sz w:val="20"/>
        </w:rPr>
      </w:pPr>
    </w:p>
    <w:p>
      <w:pPr>
        <w:spacing w:before="0"/>
        <w:ind w:left="450" w:right="0" w:firstLine="0"/>
        <w:jc w:val="left"/>
        <w:rPr>
          <w:b/>
          <w:sz w:val="20"/>
        </w:rPr>
      </w:pPr>
      <w:r>
        <w:rPr>
          <w:b/>
          <w:color w:val="0F0F0F"/>
          <w:spacing w:val="-2"/>
          <w:sz w:val="20"/>
        </w:rPr>
        <w:t>Relevant</w:t>
      </w:r>
    </w:p>
    <w:p>
      <w:pPr>
        <w:spacing w:after="0"/>
        <w:jc w:val="left"/>
        <w:rPr>
          <w:sz w:val="20"/>
        </w:rPr>
        <w:sectPr>
          <w:type w:val="continuous"/>
          <w:pgSz w:w="11910" w:h="16830"/>
          <w:pgMar w:top="1940" w:right="100" w:bottom="280" w:left="20" w:header="1028" w:footer="0"/>
          <w:cols w:equalWidth="0" w:num="5">
            <w:col w:w="1899" w:space="1582"/>
            <w:col w:w="1876" w:space="40"/>
            <w:col w:w="1799" w:space="218"/>
            <w:col w:w="2120" w:space="39"/>
            <w:col w:w="2217"/>
          </w:cols>
        </w:sectPr>
      </w:pPr>
    </w:p>
    <w:p>
      <w:pPr>
        <w:spacing w:before="0" w:line="240" w:lineRule="auto"/>
        <w:ind w:left="4609" w:right="387" w:firstLine="139"/>
        <w:jc w:val="left"/>
        <w:rPr>
          <w:b/>
          <w:sz w:val="20"/>
        </w:rPr>
      </w:pPr>
      <w:r>
        <w:rPr>
          <w:b/>
          <w:color w:val="0F0F0F"/>
          <w:spacing w:val="-4"/>
          <w:sz w:val="20"/>
        </w:rPr>
        <w:t>Fund </w:t>
      </w:r>
      <w:r>
        <w:rPr>
          <w:b/>
          <w:color w:val="0F0F0F"/>
          <w:spacing w:val="-2"/>
          <w:sz w:val="20"/>
        </w:rPr>
        <w:t>Balance</w:t>
      </w:r>
    </w:p>
    <w:p>
      <w:pPr>
        <w:spacing w:before="7"/>
        <w:ind w:left="4772" w:right="0" w:firstLine="0"/>
        <w:jc w:val="left"/>
        <w:rPr>
          <w:b/>
          <w:sz w:val="20"/>
        </w:rPr>
      </w:pPr>
      <w:r>
        <w:rPr>
          <w:b/>
          <w:color w:val="0F0F0F"/>
          <w:spacing w:val="-4"/>
          <w:sz w:val="20"/>
        </w:rPr>
        <w:t>£000</w:t>
      </w:r>
    </w:p>
    <w:p>
      <w:pPr>
        <w:spacing w:before="68"/>
        <w:ind w:left="1133" w:right="0" w:firstLine="0"/>
        <w:jc w:val="left"/>
        <w:rPr>
          <w:b/>
          <w:sz w:val="20"/>
        </w:rPr>
      </w:pPr>
      <w:r>
        <w:rPr>
          <w:b/>
          <w:color w:val="0F0F0F"/>
          <w:sz w:val="20"/>
        </w:rPr>
        <w:t>Reversal of</w:t>
      </w:r>
      <w:r>
        <w:rPr>
          <w:b/>
          <w:color w:val="0F0F0F"/>
          <w:spacing w:val="-10"/>
          <w:sz w:val="20"/>
        </w:rPr>
        <w:t> </w:t>
      </w:r>
      <w:r>
        <w:rPr>
          <w:b/>
          <w:color w:val="0F0F0F"/>
          <w:sz w:val="20"/>
        </w:rPr>
        <w:t>items</w:t>
      </w:r>
      <w:r>
        <w:rPr>
          <w:b/>
          <w:color w:val="0F0F0F"/>
          <w:spacing w:val="-1"/>
          <w:sz w:val="20"/>
        </w:rPr>
        <w:t> </w:t>
      </w:r>
      <w:r>
        <w:rPr>
          <w:b/>
          <w:color w:val="0F0F0F"/>
          <w:sz w:val="20"/>
        </w:rPr>
        <w:t>debited</w:t>
      </w:r>
      <w:r>
        <w:rPr>
          <w:b/>
          <w:color w:val="0F0F0F"/>
          <w:spacing w:val="3"/>
          <w:sz w:val="20"/>
        </w:rPr>
        <w:t> </w:t>
      </w:r>
      <w:r>
        <w:rPr>
          <w:b/>
          <w:color w:val="0F0F0F"/>
          <w:sz w:val="20"/>
        </w:rPr>
        <w:t>or</w:t>
      </w:r>
      <w:r>
        <w:rPr>
          <w:b/>
          <w:color w:val="0F0F0F"/>
          <w:spacing w:val="-14"/>
          <w:sz w:val="20"/>
        </w:rPr>
        <w:t> </w:t>
      </w:r>
      <w:r>
        <w:rPr>
          <w:b/>
          <w:color w:val="0F0F0F"/>
          <w:sz w:val="20"/>
        </w:rPr>
        <w:t>credited</w:t>
      </w:r>
      <w:r>
        <w:rPr>
          <w:b/>
          <w:color w:val="0F0F0F"/>
          <w:spacing w:val="2"/>
          <w:sz w:val="20"/>
        </w:rPr>
        <w:t> </w:t>
      </w:r>
      <w:r>
        <w:rPr>
          <w:b/>
          <w:color w:val="0F0F0F"/>
          <w:sz w:val="20"/>
        </w:rPr>
        <w:t>to</w:t>
      </w:r>
      <w:r>
        <w:rPr>
          <w:b/>
          <w:color w:val="0F0F0F"/>
          <w:spacing w:val="-9"/>
          <w:sz w:val="20"/>
        </w:rPr>
        <w:t> </w:t>
      </w:r>
      <w:r>
        <w:rPr>
          <w:b/>
          <w:color w:val="0F0F0F"/>
          <w:sz w:val="20"/>
        </w:rPr>
        <w:t>the</w:t>
      </w:r>
      <w:r>
        <w:rPr>
          <w:b/>
          <w:color w:val="0F0F0F"/>
          <w:spacing w:val="-5"/>
          <w:sz w:val="20"/>
        </w:rPr>
        <w:t> </w:t>
      </w:r>
      <w:r>
        <w:rPr>
          <w:b/>
          <w:color w:val="0F0F0F"/>
          <w:spacing w:val="-4"/>
          <w:sz w:val="20"/>
        </w:rPr>
        <w:t>CIES</w:t>
      </w:r>
    </w:p>
    <w:p>
      <w:pPr>
        <w:spacing w:before="0" w:line="240" w:lineRule="auto"/>
        <w:ind w:left="16" w:right="0" w:firstLine="0"/>
        <w:jc w:val="center"/>
        <w:rPr>
          <w:b/>
          <w:sz w:val="20"/>
        </w:rPr>
      </w:pPr>
      <w:r>
        <w:rPr/>
        <w:br w:type="column"/>
      </w:r>
      <w:r>
        <w:rPr>
          <w:b/>
          <w:color w:val="0F0F0F"/>
          <w:spacing w:val="-2"/>
          <w:sz w:val="20"/>
        </w:rPr>
        <w:t>Receipts Reserve</w:t>
      </w:r>
    </w:p>
    <w:p>
      <w:pPr>
        <w:spacing w:before="7"/>
        <w:ind w:left="79" w:right="51" w:firstLine="0"/>
        <w:jc w:val="center"/>
        <w:rPr>
          <w:b/>
          <w:sz w:val="20"/>
        </w:rPr>
      </w:pPr>
      <w:r>
        <w:rPr>
          <w:b/>
          <w:color w:val="0F0F0F"/>
          <w:spacing w:val="-4"/>
          <w:sz w:val="20"/>
        </w:rPr>
        <w:t>£000</w:t>
      </w:r>
    </w:p>
    <w:p>
      <w:pPr>
        <w:spacing w:before="0" w:line="244" w:lineRule="auto"/>
        <w:ind w:left="249" w:right="0" w:firstLine="0"/>
        <w:jc w:val="center"/>
        <w:rPr>
          <w:b/>
          <w:sz w:val="20"/>
        </w:rPr>
      </w:pPr>
      <w:r>
        <w:rPr/>
        <w:br w:type="column"/>
      </w:r>
      <w:r>
        <w:rPr>
          <w:b/>
          <w:color w:val="0F0F0F"/>
          <w:spacing w:val="-2"/>
          <w:sz w:val="20"/>
        </w:rPr>
        <w:t>Capital</w:t>
      </w:r>
      <w:r>
        <w:rPr>
          <w:b/>
          <w:color w:val="0F0F0F"/>
          <w:spacing w:val="-12"/>
          <w:sz w:val="20"/>
        </w:rPr>
        <w:t> </w:t>
      </w:r>
      <w:r>
        <w:rPr>
          <w:b/>
          <w:color w:val="0F0F0F"/>
          <w:spacing w:val="-2"/>
          <w:sz w:val="20"/>
        </w:rPr>
        <w:t>Grants UnappUed</w:t>
      </w:r>
    </w:p>
    <w:p>
      <w:pPr>
        <w:spacing w:before="0"/>
        <w:ind w:left="260" w:right="0" w:firstLine="0"/>
        <w:jc w:val="center"/>
        <w:rPr>
          <w:b/>
          <w:sz w:val="20"/>
        </w:rPr>
      </w:pPr>
      <w:r>
        <w:rPr>
          <w:b/>
          <w:color w:val="0F0F0F"/>
          <w:spacing w:val="-4"/>
          <w:sz w:val="20"/>
        </w:rPr>
        <w:t>£000</w:t>
      </w:r>
    </w:p>
    <w:p>
      <w:pPr>
        <w:spacing w:before="0" w:line="240" w:lineRule="auto"/>
        <w:ind w:left="258" w:right="0" w:firstLine="0"/>
        <w:jc w:val="center"/>
        <w:rPr>
          <w:b/>
          <w:sz w:val="20"/>
        </w:rPr>
      </w:pPr>
      <w:r>
        <w:rPr/>
        <w:br w:type="column"/>
      </w:r>
      <w:r>
        <w:rPr>
          <w:b/>
          <w:color w:val="0F0F0F"/>
          <w:spacing w:val="-4"/>
          <w:sz w:val="20"/>
        </w:rPr>
        <w:t>Unusable </w:t>
      </w:r>
      <w:r>
        <w:rPr>
          <w:b/>
          <w:color w:val="0F0F0F"/>
          <w:spacing w:val="-2"/>
          <w:sz w:val="20"/>
        </w:rPr>
        <w:t>Reserves</w:t>
      </w:r>
    </w:p>
    <w:p>
      <w:pPr>
        <w:spacing w:before="7"/>
        <w:ind w:left="276" w:right="0" w:firstLine="0"/>
        <w:jc w:val="center"/>
        <w:rPr>
          <w:b/>
          <w:sz w:val="20"/>
        </w:rPr>
      </w:pPr>
      <w:r>
        <w:rPr>
          <w:b/>
          <w:color w:val="0F0F0F"/>
          <w:spacing w:val="-4"/>
          <w:sz w:val="20"/>
        </w:rPr>
        <w:t>£000</w:t>
      </w:r>
    </w:p>
    <w:p>
      <w:pPr>
        <w:spacing w:before="0" w:line="240" w:lineRule="auto"/>
        <w:ind w:left="524" w:right="895" w:hanging="63"/>
        <w:jc w:val="left"/>
        <w:rPr>
          <w:b/>
          <w:sz w:val="20"/>
        </w:rPr>
      </w:pPr>
      <w:r>
        <w:rPr/>
        <w:br w:type="column"/>
      </w:r>
      <w:r>
        <w:rPr>
          <w:b/>
          <w:color w:val="0F0F0F"/>
          <w:spacing w:val="-2"/>
          <w:sz w:val="20"/>
        </w:rPr>
        <w:t>Unusable Reserve</w:t>
      </w:r>
    </w:p>
    <w:p>
      <w:pPr>
        <w:spacing w:after="0" w:line="240" w:lineRule="auto"/>
        <w:jc w:val="left"/>
        <w:rPr>
          <w:sz w:val="20"/>
        </w:rPr>
        <w:sectPr>
          <w:type w:val="continuous"/>
          <w:pgSz w:w="11910" w:h="16830"/>
          <w:pgMar w:top="1940" w:right="100" w:bottom="280" w:left="20" w:header="1028" w:footer="0"/>
          <w:cols w:equalWidth="0" w:num="5">
            <w:col w:w="5770" w:space="40"/>
            <w:col w:w="844" w:space="39"/>
            <w:col w:w="1610" w:space="39"/>
            <w:col w:w="1151" w:space="39"/>
            <w:col w:w="2258"/>
          </w:cols>
        </w:sectPr>
      </w:pPr>
    </w:p>
    <w:p>
      <w:pPr>
        <w:pStyle w:val="BodyText"/>
        <w:rPr>
          <w:b/>
          <w:sz w:val="14"/>
        </w:rPr>
      </w:pPr>
    </w:p>
    <w:tbl>
      <w:tblPr>
        <w:tblW w:w="0" w:type="auto"/>
        <w:jc w:val="left"/>
        <w:tblInd w:w="109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378"/>
        <w:gridCol w:w="2848"/>
        <w:gridCol w:w="2315"/>
      </w:tblGrid>
      <w:tr>
        <w:trPr>
          <w:trHeight w:val="311" w:hRule="atLeast"/>
        </w:trPr>
        <w:tc>
          <w:tcPr>
            <w:tcW w:w="3378" w:type="dxa"/>
          </w:tcPr>
          <w:p>
            <w:pPr>
              <w:pStyle w:val="TableParagraph"/>
              <w:spacing w:before="3"/>
              <w:ind w:left="50"/>
              <w:rPr>
                <w:sz w:val="19"/>
              </w:rPr>
            </w:pPr>
            <w:r>
              <w:rPr>
                <w:color w:val="0F0F0F"/>
                <w:w w:val="105"/>
                <w:sz w:val="19"/>
              </w:rPr>
              <w:t>Amortisation</w:t>
            </w:r>
            <w:r>
              <w:rPr>
                <w:color w:val="0F0F0F"/>
                <w:spacing w:val="-4"/>
                <w:w w:val="105"/>
                <w:sz w:val="19"/>
              </w:rPr>
              <w:t> </w:t>
            </w:r>
            <w:r>
              <w:rPr>
                <w:color w:val="0F0F0F"/>
                <w:w w:val="105"/>
                <w:sz w:val="19"/>
              </w:rPr>
              <w:t>of</w:t>
            </w:r>
            <w:r>
              <w:rPr>
                <w:color w:val="0F0F0F"/>
                <w:spacing w:val="-14"/>
                <w:w w:val="105"/>
                <w:sz w:val="19"/>
              </w:rPr>
              <w:t> </w:t>
            </w:r>
            <w:r>
              <w:rPr>
                <w:color w:val="0F0F0F"/>
                <w:w w:val="105"/>
                <w:sz w:val="19"/>
              </w:rPr>
              <w:t>intangible</w:t>
            </w:r>
            <w:r>
              <w:rPr>
                <w:color w:val="0F0F0F"/>
                <w:spacing w:val="-4"/>
                <w:w w:val="105"/>
                <w:sz w:val="19"/>
              </w:rPr>
              <w:t> </w:t>
            </w:r>
            <w:r>
              <w:rPr>
                <w:color w:val="0F0F0F"/>
                <w:spacing w:val="-2"/>
                <w:w w:val="105"/>
                <w:sz w:val="19"/>
              </w:rPr>
              <w:t>assets</w:t>
            </w:r>
          </w:p>
        </w:tc>
        <w:tc>
          <w:tcPr>
            <w:tcW w:w="2848" w:type="dxa"/>
          </w:tcPr>
          <w:p>
            <w:pPr>
              <w:pStyle w:val="TableParagraph"/>
              <w:spacing w:before="3"/>
              <w:ind w:right="1762"/>
              <w:jc w:val="right"/>
              <w:rPr>
                <w:sz w:val="19"/>
              </w:rPr>
            </w:pPr>
            <w:r>
              <w:rPr>
                <w:color w:val="0F0F0F"/>
                <w:spacing w:val="-4"/>
                <w:w w:val="105"/>
                <w:sz w:val="19"/>
              </w:rPr>
              <w:t>(118)</w:t>
            </w:r>
          </w:p>
        </w:tc>
        <w:tc>
          <w:tcPr>
            <w:tcW w:w="2315" w:type="dxa"/>
          </w:tcPr>
          <w:p>
            <w:pPr>
              <w:pStyle w:val="TableParagraph"/>
              <w:spacing w:line="224" w:lineRule="exact"/>
              <w:ind w:right="51"/>
              <w:jc w:val="right"/>
              <w:rPr>
                <w:b/>
                <w:sz w:val="20"/>
              </w:rPr>
            </w:pPr>
            <w:r>
              <w:rPr>
                <w:b/>
                <w:color w:val="0F0F0F"/>
                <w:spacing w:val="-5"/>
                <w:sz w:val="20"/>
              </w:rPr>
              <w:t>118</w:t>
            </w:r>
          </w:p>
        </w:tc>
      </w:tr>
      <w:tr>
        <w:trPr>
          <w:trHeight w:val="313" w:hRule="atLeast"/>
        </w:trPr>
        <w:tc>
          <w:tcPr>
            <w:tcW w:w="3378" w:type="dxa"/>
          </w:tcPr>
          <w:p>
            <w:pPr>
              <w:pStyle w:val="TableParagraph"/>
              <w:spacing w:before="95" w:line="199" w:lineRule="exact"/>
              <w:ind w:left="50"/>
              <w:rPr>
                <w:sz w:val="19"/>
              </w:rPr>
            </w:pPr>
            <w:r>
              <w:rPr>
                <w:color w:val="0F0F0F"/>
                <w:spacing w:val="-2"/>
                <w:w w:val="105"/>
                <w:sz w:val="19"/>
              </w:rPr>
              <w:t>Depreciation</w:t>
            </w:r>
          </w:p>
        </w:tc>
        <w:tc>
          <w:tcPr>
            <w:tcW w:w="2848" w:type="dxa"/>
          </w:tcPr>
          <w:p>
            <w:pPr>
              <w:pStyle w:val="TableParagraph"/>
              <w:spacing w:before="95" w:line="199" w:lineRule="exact"/>
              <w:ind w:right="1771"/>
              <w:jc w:val="right"/>
              <w:rPr>
                <w:sz w:val="19"/>
              </w:rPr>
            </w:pPr>
            <w:r>
              <w:rPr>
                <w:color w:val="0F0F0F"/>
                <w:spacing w:val="-2"/>
                <w:w w:val="105"/>
                <w:sz w:val="19"/>
              </w:rPr>
              <w:t>(2,304)</w:t>
            </w:r>
          </w:p>
        </w:tc>
        <w:tc>
          <w:tcPr>
            <w:tcW w:w="2315" w:type="dxa"/>
          </w:tcPr>
          <w:p>
            <w:pPr>
              <w:pStyle w:val="TableParagraph"/>
              <w:spacing w:before="81" w:line="213" w:lineRule="exact"/>
              <w:ind w:right="50"/>
              <w:jc w:val="right"/>
              <w:rPr>
                <w:b/>
                <w:sz w:val="20"/>
              </w:rPr>
            </w:pPr>
            <w:r>
              <w:rPr>
                <w:b/>
                <w:color w:val="0F0F0F"/>
                <w:spacing w:val="-2"/>
                <w:sz w:val="20"/>
              </w:rPr>
              <w:t>2,304</w:t>
            </w:r>
          </w:p>
        </w:tc>
      </w:tr>
    </w:tbl>
    <w:p>
      <w:pPr>
        <w:pStyle w:val="BodyText"/>
        <w:spacing w:before="1"/>
        <w:rPr>
          <w:b/>
          <w:sz w:val="6"/>
        </w:rPr>
      </w:pPr>
    </w:p>
    <w:p>
      <w:pPr>
        <w:spacing w:after="0"/>
        <w:rPr>
          <w:sz w:val="6"/>
        </w:rPr>
        <w:sectPr>
          <w:type w:val="continuous"/>
          <w:pgSz w:w="11910" w:h="16830"/>
          <w:pgMar w:top="1940" w:right="100" w:bottom="280" w:left="20" w:header="1028" w:footer="0"/>
        </w:sectPr>
      </w:pPr>
    </w:p>
    <w:p>
      <w:pPr>
        <w:spacing w:before="63" w:line="259" w:lineRule="auto"/>
        <w:ind w:left="1135" w:right="38" w:hanging="1"/>
        <w:jc w:val="left"/>
        <w:rPr>
          <w:sz w:val="19"/>
        </w:rPr>
      </w:pPr>
      <w:r>
        <w:rPr>
          <w:color w:val="0F0F0F"/>
          <w:w w:val="105"/>
          <w:sz w:val="19"/>
        </w:rPr>
        <w:t>Impairment/ Revaluation charged to the CIES</w:t>
      </w:r>
    </w:p>
    <w:p>
      <w:pPr>
        <w:spacing w:before="57" w:line="254" w:lineRule="auto"/>
        <w:ind w:left="1135" w:right="0" w:hanging="2"/>
        <w:jc w:val="left"/>
        <w:rPr>
          <w:sz w:val="19"/>
        </w:rPr>
      </w:pPr>
      <w:r>
        <w:rPr>
          <w:color w:val="0F0F0F"/>
          <w:w w:val="105"/>
          <w:sz w:val="19"/>
        </w:rPr>
        <w:t>Movements in</w:t>
      </w:r>
      <w:r>
        <w:rPr>
          <w:color w:val="0F0F0F"/>
          <w:spacing w:val="-6"/>
          <w:w w:val="105"/>
          <w:sz w:val="19"/>
        </w:rPr>
        <w:t> </w:t>
      </w:r>
      <w:r>
        <w:rPr>
          <w:color w:val="0F0F0F"/>
          <w:w w:val="105"/>
          <w:sz w:val="19"/>
        </w:rPr>
        <w:t>the</w:t>
      </w:r>
      <w:r>
        <w:rPr>
          <w:color w:val="0F0F0F"/>
          <w:spacing w:val="-11"/>
          <w:w w:val="105"/>
          <w:sz w:val="19"/>
        </w:rPr>
        <w:t> </w:t>
      </w:r>
      <w:r>
        <w:rPr>
          <w:color w:val="0F0F0F"/>
          <w:w w:val="105"/>
          <w:sz w:val="19"/>
        </w:rPr>
        <w:t>market</w:t>
      </w:r>
      <w:r>
        <w:rPr>
          <w:color w:val="0F0F0F"/>
          <w:spacing w:val="-5"/>
          <w:w w:val="105"/>
          <w:sz w:val="19"/>
        </w:rPr>
        <w:t> </w:t>
      </w:r>
      <w:r>
        <w:rPr>
          <w:color w:val="0F0F0F"/>
          <w:w w:val="105"/>
          <w:sz w:val="19"/>
        </w:rPr>
        <w:t>value</w:t>
      </w:r>
      <w:r>
        <w:rPr>
          <w:color w:val="0F0F0F"/>
          <w:spacing w:val="-7"/>
          <w:w w:val="105"/>
          <w:sz w:val="19"/>
        </w:rPr>
        <w:t> </w:t>
      </w:r>
      <w:r>
        <w:rPr>
          <w:color w:val="0F0F0F"/>
          <w:w w:val="105"/>
          <w:sz w:val="19"/>
        </w:rPr>
        <w:t>of Investment Properties</w:t>
      </w:r>
    </w:p>
    <w:p>
      <w:pPr>
        <w:spacing w:before="65" w:line="254" w:lineRule="auto"/>
        <w:ind w:left="1135" w:right="0" w:firstLine="2"/>
        <w:jc w:val="left"/>
        <w:rPr>
          <w:sz w:val="19"/>
        </w:rPr>
      </w:pPr>
      <w:r>
        <w:rPr>
          <w:color w:val="0F0F0F"/>
          <w:w w:val="105"/>
          <w:sz w:val="19"/>
        </w:rPr>
        <w:t>Revenue</w:t>
      </w:r>
      <w:r>
        <w:rPr>
          <w:color w:val="0F0F0F"/>
          <w:spacing w:val="-9"/>
          <w:w w:val="105"/>
          <w:sz w:val="19"/>
        </w:rPr>
        <w:t> </w:t>
      </w:r>
      <w:r>
        <w:rPr>
          <w:color w:val="0F0F0F"/>
          <w:w w:val="105"/>
          <w:sz w:val="19"/>
        </w:rPr>
        <w:t>expenditure</w:t>
      </w:r>
      <w:r>
        <w:rPr>
          <w:color w:val="0F0F0F"/>
          <w:spacing w:val="-5"/>
          <w:w w:val="105"/>
          <w:sz w:val="19"/>
        </w:rPr>
        <w:t> </w:t>
      </w:r>
      <w:r>
        <w:rPr>
          <w:color w:val="0F0F0F"/>
          <w:w w:val="105"/>
          <w:sz w:val="19"/>
        </w:rPr>
        <w:t>funded</w:t>
      </w:r>
      <w:r>
        <w:rPr>
          <w:color w:val="0F0F0F"/>
          <w:spacing w:val="-13"/>
          <w:w w:val="105"/>
          <w:sz w:val="19"/>
        </w:rPr>
        <w:t> </w:t>
      </w:r>
      <w:r>
        <w:rPr>
          <w:color w:val="0F0F0F"/>
          <w:w w:val="105"/>
          <w:sz w:val="19"/>
        </w:rPr>
        <w:t>from capital under statute</w:t>
      </w:r>
    </w:p>
    <w:p>
      <w:pPr>
        <w:spacing w:before="37" w:line="247" w:lineRule="auto"/>
        <w:ind w:left="1142" w:right="0" w:hanging="4"/>
        <w:jc w:val="left"/>
        <w:rPr>
          <w:sz w:val="19"/>
        </w:rPr>
      </w:pPr>
      <w:r>
        <w:rPr>
          <w:color w:val="0F0F0F"/>
          <w:w w:val="105"/>
          <w:sz w:val="19"/>
        </w:rPr>
        <w:t>Non-current assets</w:t>
      </w:r>
      <w:r>
        <w:rPr>
          <w:color w:val="0F0F0F"/>
          <w:spacing w:val="-12"/>
          <w:w w:val="105"/>
          <w:sz w:val="19"/>
        </w:rPr>
        <w:t> </w:t>
      </w:r>
      <w:r>
        <w:rPr>
          <w:color w:val="0F0F0F"/>
          <w:w w:val="105"/>
          <w:sz w:val="19"/>
        </w:rPr>
        <w:t>written</w:t>
      </w:r>
      <w:r>
        <w:rPr>
          <w:color w:val="0F0F0F"/>
          <w:spacing w:val="-3"/>
          <w:w w:val="105"/>
          <w:sz w:val="19"/>
        </w:rPr>
        <w:t> </w:t>
      </w:r>
      <w:r>
        <w:rPr>
          <w:color w:val="0F0F0F"/>
          <w:w w:val="105"/>
          <w:sz w:val="19"/>
        </w:rPr>
        <w:t>out</w:t>
      </w:r>
      <w:r>
        <w:rPr>
          <w:color w:val="0F0F0F"/>
          <w:spacing w:val="-14"/>
          <w:w w:val="105"/>
          <w:sz w:val="19"/>
        </w:rPr>
        <w:t> </w:t>
      </w:r>
      <w:r>
        <w:rPr>
          <w:color w:val="0F0F0F"/>
          <w:w w:val="105"/>
          <w:sz w:val="19"/>
        </w:rPr>
        <w:t>on </w:t>
      </w:r>
      <w:r>
        <w:rPr>
          <w:color w:val="282828"/>
          <w:spacing w:val="-2"/>
          <w:w w:val="105"/>
          <w:sz w:val="19"/>
        </w:rPr>
        <w:t>disposal</w:t>
      </w:r>
    </w:p>
    <w:p>
      <w:pPr>
        <w:spacing w:before="35" w:line="259" w:lineRule="auto"/>
        <w:ind w:left="1136" w:right="0" w:firstLine="7"/>
        <w:jc w:val="left"/>
        <w:rPr>
          <w:sz w:val="19"/>
        </w:rPr>
      </w:pPr>
      <w:r>
        <w:rPr>
          <w:color w:val="282828"/>
          <w:w w:val="105"/>
          <w:sz w:val="19"/>
        </w:rPr>
        <w:t>Accumulated</w:t>
      </w:r>
      <w:r>
        <w:rPr>
          <w:color w:val="282828"/>
          <w:spacing w:val="-13"/>
          <w:w w:val="105"/>
          <w:sz w:val="19"/>
        </w:rPr>
        <w:t> </w:t>
      </w:r>
      <w:r>
        <w:rPr>
          <w:color w:val="0F0F0F"/>
          <w:w w:val="105"/>
          <w:sz w:val="19"/>
        </w:rPr>
        <w:t>gains</w:t>
      </w:r>
      <w:r>
        <w:rPr>
          <w:color w:val="0F0F0F"/>
          <w:spacing w:val="-13"/>
          <w:w w:val="105"/>
          <w:sz w:val="19"/>
        </w:rPr>
        <w:t> </w:t>
      </w:r>
      <w:r>
        <w:rPr>
          <w:color w:val="0F0F0F"/>
          <w:w w:val="105"/>
          <w:sz w:val="19"/>
        </w:rPr>
        <w:t>on</w:t>
      </w:r>
      <w:r>
        <w:rPr>
          <w:color w:val="0F0F0F"/>
          <w:spacing w:val="-14"/>
          <w:w w:val="105"/>
          <w:sz w:val="19"/>
        </w:rPr>
        <w:t> </w:t>
      </w:r>
      <w:r>
        <w:rPr>
          <w:color w:val="0F0F0F"/>
          <w:w w:val="105"/>
          <w:sz w:val="19"/>
        </w:rPr>
        <w:t>non-current assets disposed</w:t>
      </w:r>
    </w:p>
    <w:p>
      <w:pPr>
        <w:pStyle w:val="BodyText"/>
        <w:spacing w:before="26"/>
        <w:rPr>
          <w:sz w:val="19"/>
        </w:rPr>
      </w:pPr>
    </w:p>
    <w:p>
      <w:pPr>
        <w:spacing w:before="0"/>
        <w:ind w:left="1138" w:right="0" w:firstLine="0"/>
        <w:jc w:val="left"/>
        <w:rPr>
          <w:sz w:val="19"/>
        </w:rPr>
      </w:pPr>
      <w:r>
        <w:rPr>
          <w:color w:val="0F0F0F"/>
          <w:w w:val="105"/>
          <w:sz w:val="19"/>
        </w:rPr>
        <w:t>Donated</w:t>
      </w:r>
      <w:r>
        <w:rPr>
          <w:color w:val="0F0F0F"/>
          <w:spacing w:val="-4"/>
          <w:w w:val="105"/>
          <w:sz w:val="19"/>
        </w:rPr>
        <w:t> </w:t>
      </w:r>
      <w:r>
        <w:rPr>
          <w:color w:val="0F0F0F"/>
          <w:spacing w:val="-2"/>
          <w:w w:val="105"/>
          <w:sz w:val="19"/>
        </w:rPr>
        <w:t>Assets</w:t>
      </w:r>
    </w:p>
    <w:p>
      <w:pPr>
        <w:pStyle w:val="BodyText"/>
        <w:spacing w:before="53"/>
        <w:rPr>
          <w:sz w:val="19"/>
        </w:rPr>
      </w:pPr>
    </w:p>
    <w:p>
      <w:pPr>
        <w:spacing w:before="0" w:line="254" w:lineRule="auto"/>
        <w:ind w:left="1138" w:right="22" w:hanging="1"/>
        <w:jc w:val="left"/>
        <w:rPr>
          <w:sz w:val="19"/>
        </w:rPr>
      </w:pPr>
      <w:r>
        <w:rPr>
          <w:color w:val="0F0F0F"/>
          <w:w w:val="105"/>
          <w:sz w:val="19"/>
        </w:rPr>
        <w:t>Grant</w:t>
      </w:r>
      <w:r>
        <w:rPr>
          <w:color w:val="0F0F0F"/>
          <w:spacing w:val="-12"/>
          <w:w w:val="105"/>
          <w:sz w:val="19"/>
        </w:rPr>
        <w:t> </w:t>
      </w:r>
      <w:r>
        <w:rPr>
          <w:color w:val="0F0F0F"/>
          <w:w w:val="105"/>
          <w:sz w:val="19"/>
        </w:rPr>
        <w:t>income</w:t>
      </w:r>
      <w:r>
        <w:rPr>
          <w:color w:val="0F0F0F"/>
          <w:spacing w:val="-10"/>
          <w:w w:val="105"/>
          <w:sz w:val="19"/>
        </w:rPr>
        <w:t> </w:t>
      </w:r>
      <w:r>
        <w:rPr>
          <w:color w:val="0F0F0F"/>
          <w:w w:val="105"/>
          <w:sz w:val="19"/>
        </w:rPr>
        <w:t>transferred</w:t>
      </w:r>
      <w:r>
        <w:rPr>
          <w:color w:val="0F0F0F"/>
          <w:spacing w:val="-7"/>
          <w:w w:val="105"/>
          <w:sz w:val="19"/>
        </w:rPr>
        <w:t> </w:t>
      </w:r>
      <w:r>
        <w:rPr>
          <w:color w:val="0F0F0F"/>
          <w:w w:val="105"/>
          <w:sz w:val="19"/>
        </w:rPr>
        <w:t>to Capital Grants Unapplied</w:t>
      </w:r>
    </w:p>
    <w:p>
      <w:pPr>
        <w:spacing w:before="179"/>
        <w:ind w:left="0" w:right="52" w:firstLine="0"/>
        <w:jc w:val="right"/>
        <w:rPr>
          <w:sz w:val="19"/>
        </w:rPr>
      </w:pPr>
      <w:r>
        <w:rPr/>
        <w:br w:type="column"/>
      </w:r>
      <w:r>
        <w:rPr>
          <w:color w:val="0F0F0F"/>
          <w:spacing w:val="-2"/>
          <w:w w:val="105"/>
          <w:sz w:val="19"/>
        </w:rPr>
        <w:t>2,838</w:t>
      </w:r>
    </w:p>
    <w:p>
      <w:pPr>
        <w:pStyle w:val="BodyText"/>
        <w:spacing w:before="91"/>
        <w:rPr>
          <w:sz w:val="19"/>
        </w:rPr>
      </w:pPr>
    </w:p>
    <w:p>
      <w:pPr>
        <w:spacing w:before="0"/>
        <w:ind w:left="0" w:right="43" w:firstLine="0"/>
        <w:jc w:val="right"/>
        <w:rPr>
          <w:sz w:val="19"/>
        </w:rPr>
      </w:pPr>
      <w:r>
        <w:rPr>
          <w:color w:val="0F0F0F"/>
          <w:spacing w:val="-2"/>
          <w:w w:val="105"/>
          <w:sz w:val="19"/>
        </w:rPr>
        <w:t>1,183</w:t>
      </w:r>
    </w:p>
    <w:p>
      <w:pPr>
        <w:pStyle w:val="BodyText"/>
        <w:spacing w:before="92"/>
        <w:rPr>
          <w:sz w:val="19"/>
        </w:rPr>
      </w:pPr>
    </w:p>
    <w:p>
      <w:pPr>
        <w:spacing w:before="0"/>
        <w:ind w:left="0" w:right="51" w:firstLine="0"/>
        <w:jc w:val="right"/>
        <w:rPr>
          <w:sz w:val="19"/>
        </w:rPr>
      </w:pPr>
      <w:r>
        <w:rPr>
          <w:color w:val="0F0F0F"/>
          <w:spacing w:val="-2"/>
          <w:w w:val="105"/>
          <w:sz w:val="19"/>
        </w:rPr>
        <w:t>(1,232)</w:t>
      </w:r>
    </w:p>
    <w:p>
      <w:pPr>
        <w:pStyle w:val="BodyText"/>
        <w:spacing w:before="62"/>
        <w:rPr>
          <w:sz w:val="19"/>
        </w:rPr>
      </w:pPr>
    </w:p>
    <w:p>
      <w:pPr>
        <w:spacing w:before="1"/>
        <w:ind w:left="0" w:right="38" w:firstLine="0"/>
        <w:jc w:val="right"/>
        <w:rPr>
          <w:sz w:val="19"/>
        </w:rPr>
      </w:pPr>
      <w:r>
        <w:rPr>
          <w:color w:val="0F0F0F"/>
          <w:spacing w:val="-5"/>
          <w:w w:val="110"/>
          <w:sz w:val="19"/>
        </w:rPr>
        <w:t>(9)</w:t>
      </w:r>
    </w:p>
    <w:p>
      <w:pPr>
        <w:pStyle w:val="BodyText"/>
        <w:rPr>
          <w:sz w:val="19"/>
        </w:rPr>
      </w:pPr>
    </w:p>
    <w:p>
      <w:pPr>
        <w:pStyle w:val="BodyText"/>
        <w:rPr>
          <w:sz w:val="19"/>
        </w:rPr>
      </w:pPr>
    </w:p>
    <w:p>
      <w:pPr>
        <w:pStyle w:val="BodyText"/>
        <w:spacing w:before="216"/>
        <w:rPr>
          <w:sz w:val="19"/>
        </w:rPr>
      </w:pPr>
    </w:p>
    <w:p>
      <w:pPr>
        <w:spacing w:before="1"/>
        <w:ind w:left="0" w:right="39" w:firstLine="0"/>
        <w:jc w:val="right"/>
        <w:rPr>
          <w:sz w:val="19"/>
        </w:rPr>
      </w:pPr>
      <w:r>
        <w:rPr>
          <w:color w:val="0F0F0F"/>
          <w:spacing w:val="-5"/>
          <w:w w:val="105"/>
          <w:sz w:val="19"/>
        </w:rPr>
        <w:t>92</w:t>
      </w:r>
    </w:p>
    <w:p>
      <w:pPr>
        <w:pStyle w:val="BodyText"/>
        <w:spacing w:before="163"/>
        <w:rPr>
          <w:sz w:val="19"/>
        </w:rPr>
      </w:pPr>
    </w:p>
    <w:p>
      <w:pPr>
        <w:spacing w:before="0"/>
        <w:ind w:left="0" w:right="44" w:firstLine="0"/>
        <w:jc w:val="right"/>
        <w:rPr>
          <w:sz w:val="19"/>
        </w:rPr>
      </w:pPr>
      <w:r>
        <w:rPr>
          <w:color w:val="0F0F0F"/>
          <w:spacing w:val="-2"/>
          <w:w w:val="105"/>
          <w:sz w:val="19"/>
        </w:rPr>
        <w:t>4,298</w:t>
      </w:r>
    </w:p>
    <w:p>
      <w:pPr>
        <w:spacing w:before="0" w:line="240" w:lineRule="auto"/>
        <w:rPr>
          <w:sz w:val="19"/>
        </w:rPr>
      </w:pPr>
      <w:r>
        <w:rPr/>
        <w:br w:type="column"/>
      </w:r>
      <w:r>
        <w:rPr>
          <w:sz w:val="19"/>
        </w:rPr>
      </w: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154"/>
        <w:rPr>
          <w:sz w:val="19"/>
        </w:rPr>
      </w:pPr>
    </w:p>
    <w:p>
      <w:pPr>
        <w:spacing w:before="1"/>
        <w:ind w:left="1134" w:right="0" w:firstLine="0"/>
        <w:jc w:val="left"/>
        <w:rPr>
          <w:sz w:val="19"/>
        </w:rPr>
      </w:pPr>
      <w:r>
        <w:rPr>
          <w:color w:val="0F0F0F"/>
          <w:spacing w:val="-2"/>
          <w:sz w:val="19"/>
        </w:rPr>
        <w:t>(4,298)</w:t>
      </w:r>
    </w:p>
    <w:p>
      <w:pPr>
        <w:spacing w:before="169"/>
        <w:ind w:left="0" w:right="24" w:firstLine="0"/>
        <w:jc w:val="right"/>
        <w:rPr>
          <w:b/>
          <w:sz w:val="20"/>
        </w:rPr>
      </w:pPr>
      <w:r>
        <w:rPr/>
        <w:br w:type="column"/>
      </w:r>
      <w:r>
        <w:rPr>
          <w:b/>
          <w:color w:val="0F0F0F"/>
          <w:spacing w:val="-2"/>
          <w:sz w:val="20"/>
        </w:rPr>
        <w:t>(2,838)</w:t>
      </w:r>
    </w:p>
    <w:p>
      <w:pPr>
        <w:pStyle w:val="BodyText"/>
        <w:spacing w:before="69"/>
        <w:rPr>
          <w:b/>
          <w:sz w:val="20"/>
        </w:rPr>
      </w:pPr>
    </w:p>
    <w:p>
      <w:pPr>
        <w:spacing w:before="0"/>
        <w:ind w:left="0" w:right="18" w:firstLine="0"/>
        <w:jc w:val="right"/>
        <w:rPr>
          <w:b/>
          <w:sz w:val="20"/>
        </w:rPr>
      </w:pPr>
      <w:r>
        <w:rPr>
          <w:b/>
          <w:color w:val="0F0F0F"/>
          <w:spacing w:val="-2"/>
          <w:sz w:val="20"/>
        </w:rPr>
        <w:t>(1,183)</w:t>
      </w:r>
    </w:p>
    <w:p>
      <w:pPr>
        <w:pStyle w:val="BodyText"/>
        <w:spacing w:before="68"/>
        <w:rPr>
          <w:b/>
          <w:sz w:val="20"/>
        </w:rPr>
      </w:pPr>
    </w:p>
    <w:p>
      <w:pPr>
        <w:spacing w:before="0"/>
        <w:ind w:left="0" w:right="11" w:firstLine="0"/>
        <w:jc w:val="right"/>
        <w:rPr>
          <w:b/>
          <w:sz w:val="20"/>
        </w:rPr>
      </w:pPr>
      <w:r>
        <w:rPr>
          <w:b/>
          <w:color w:val="0F0F0F"/>
          <w:spacing w:val="-2"/>
          <w:sz w:val="20"/>
        </w:rPr>
        <w:t>1,232</w:t>
      </w:r>
    </w:p>
    <w:p>
      <w:pPr>
        <w:pStyle w:val="BodyText"/>
        <w:spacing w:before="40"/>
        <w:rPr>
          <w:b/>
          <w:sz w:val="20"/>
        </w:rPr>
      </w:pPr>
    </w:p>
    <w:p>
      <w:pPr>
        <w:spacing w:before="0"/>
        <w:ind w:left="0" w:right="0" w:firstLine="0"/>
        <w:jc w:val="right"/>
        <w:rPr>
          <w:b/>
          <w:sz w:val="20"/>
        </w:rPr>
      </w:pPr>
      <w:r>
        <w:rPr>
          <w:b/>
          <w:color w:val="0F0F0F"/>
          <w:spacing w:val="-10"/>
          <w:w w:val="110"/>
          <w:sz w:val="20"/>
        </w:rPr>
        <w:t>9</w:t>
      </w:r>
    </w:p>
    <w:p>
      <w:pPr>
        <w:pStyle w:val="BodyText"/>
        <w:rPr>
          <w:b/>
          <w:sz w:val="20"/>
        </w:rPr>
      </w:pPr>
    </w:p>
    <w:p>
      <w:pPr>
        <w:pStyle w:val="BodyText"/>
        <w:rPr>
          <w:b/>
          <w:sz w:val="20"/>
        </w:rPr>
      </w:pPr>
    </w:p>
    <w:p>
      <w:pPr>
        <w:pStyle w:val="BodyText"/>
        <w:spacing w:before="166"/>
        <w:rPr>
          <w:b/>
          <w:sz w:val="20"/>
        </w:rPr>
      </w:pPr>
    </w:p>
    <w:p>
      <w:pPr>
        <w:spacing w:before="0"/>
        <w:ind w:left="0" w:right="2" w:firstLine="0"/>
        <w:jc w:val="right"/>
        <w:rPr>
          <w:b/>
          <w:sz w:val="20"/>
        </w:rPr>
      </w:pPr>
      <w:r>
        <w:rPr>
          <w:b/>
          <w:color w:val="0F0F0F"/>
          <w:spacing w:val="-4"/>
          <w:sz w:val="20"/>
        </w:rPr>
        <w:t>(92)</w:t>
      </w:r>
    </w:p>
    <w:p>
      <w:pPr>
        <w:spacing w:before="64" w:line="240" w:lineRule="auto"/>
        <w:rPr>
          <w:b/>
          <w:sz w:val="20"/>
        </w:rPr>
      </w:pPr>
      <w:r>
        <w:rPr/>
        <w:br w:type="column"/>
      </w:r>
      <w:r>
        <w:rPr>
          <w:b/>
          <w:sz w:val="20"/>
        </w:rPr>
      </w:r>
    </w:p>
    <w:p>
      <w:pPr>
        <w:spacing w:before="0" w:line="240" w:lineRule="auto"/>
        <w:ind w:left="273" w:right="783" w:firstLine="2"/>
        <w:jc w:val="center"/>
        <w:rPr>
          <w:b/>
          <w:sz w:val="20"/>
        </w:rPr>
      </w:pPr>
      <w:r>
        <w:rPr>
          <w:b/>
          <w:color w:val="0F0F0F"/>
          <w:spacing w:val="-2"/>
          <w:sz w:val="20"/>
        </w:rPr>
        <w:t>Capital Adjustment Account</w:t>
      </w:r>
    </w:p>
    <w:p>
      <w:pPr>
        <w:pStyle w:val="BodyText"/>
        <w:rPr>
          <w:b/>
          <w:sz w:val="20"/>
        </w:rPr>
      </w:pPr>
    </w:p>
    <w:p>
      <w:pPr>
        <w:pStyle w:val="BodyText"/>
        <w:rPr>
          <w:b/>
          <w:sz w:val="20"/>
        </w:rPr>
      </w:pPr>
    </w:p>
    <w:p>
      <w:pPr>
        <w:pStyle w:val="BodyText"/>
        <w:rPr>
          <w:b/>
          <w:sz w:val="20"/>
        </w:rPr>
      </w:pPr>
    </w:p>
    <w:p>
      <w:pPr>
        <w:pStyle w:val="BodyText"/>
        <w:spacing w:before="192"/>
        <w:rPr>
          <w:b/>
          <w:sz w:val="20"/>
        </w:rPr>
      </w:pPr>
    </w:p>
    <w:p>
      <w:pPr>
        <w:spacing w:before="0" w:line="247" w:lineRule="auto"/>
        <w:ind w:left="254" w:right="759" w:firstLine="0"/>
        <w:jc w:val="center"/>
        <w:rPr>
          <w:b/>
          <w:sz w:val="20"/>
        </w:rPr>
      </w:pPr>
      <w:r>
        <w:rPr>
          <w:b/>
          <w:color w:val="0F0F0F"/>
          <w:spacing w:val="-2"/>
          <w:sz w:val="20"/>
        </w:rPr>
        <w:t>Revaluation Reserve Deferred Capital Receipts</w:t>
      </w:r>
    </w:p>
    <w:p>
      <w:pPr>
        <w:spacing w:after="0" w:line="247" w:lineRule="auto"/>
        <w:jc w:val="center"/>
        <w:rPr>
          <w:sz w:val="20"/>
        </w:rPr>
        <w:sectPr>
          <w:type w:val="continuous"/>
          <w:pgSz w:w="11910" w:h="16830"/>
          <w:pgMar w:top="1940" w:right="100" w:bottom="280" w:left="20" w:header="1028" w:footer="0"/>
          <w:cols w:equalWidth="0" w:num="5">
            <w:col w:w="4171" w:space="40"/>
            <w:col w:w="1391" w:space="958"/>
            <w:col w:w="1761" w:space="40"/>
            <w:col w:w="1233" w:space="40"/>
            <w:col w:w="2156"/>
          </w:cols>
        </w:sectPr>
      </w:pPr>
    </w:p>
    <w:p>
      <w:pPr>
        <w:spacing w:before="94"/>
        <w:ind w:left="1139" w:right="0" w:firstLine="0"/>
        <w:jc w:val="left"/>
        <w:rPr>
          <w:b/>
          <w:sz w:val="20"/>
        </w:rPr>
      </w:pPr>
      <w:r>
        <w:rPr>
          <w:b/>
          <w:color w:val="0F0F0F"/>
          <w:sz w:val="20"/>
        </w:rPr>
        <w:t>Transfers</w:t>
      </w:r>
      <w:r>
        <w:rPr>
          <w:b/>
          <w:color w:val="0F0F0F"/>
          <w:spacing w:val="-10"/>
          <w:sz w:val="20"/>
        </w:rPr>
        <w:t> </w:t>
      </w:r>
      <w:r>
        <w:rPr>
          <w:b/>
          <w:color w:val="0F0F0F"/>
          <w:sz w:val="20"/>
        </w:rPr>
        <w:t>between</w:t>
      </w:r>
      <w:r>
        <w:rPr>
          <w:b/>
          <w:color w:val="0F0F0F"/>
          <w:spacing w:val="-3"/>
          <w:sz w:val="20"/>
        </w:rPr>
        <w:t> </w:t>
      </w:r>
      <w:r>
        <w:rPr>
          <w:b/>
          <w:color w:val="0F0F0F"/>
          <w:sz w:val="20"/>
        </w:rPr>
        <w:t>revenue</w:t>
      </w:r>
      <w:r>
        <w:rPr>
          <w:b/>
          <w:color w:val="0F0F0F"/>
          <w:spacing w:val="-2"/>
          <w:sz w:val="20"/>
        </w:rPr>
        <w:t> </w:t>
      </w:r>
      <w:r>
        <w:rPr>
          <w:b/>
          <w:color w:val="0F0F0F"/>
          <w:sz w:val="20"/>
        </w:rPr>
        <w:t>and</w:t>
      </w:r>
      <w:r>
        <w:rPr>
          <w:b/>
          <w:color w:val="0F0F0F"/>
          <w:spacing w:val="-14"/>
          <w:sz w:val="20"/>
        </w:rPr>
        <w:t> </w:t>
      </w:r>
      <w:r>
        <w:rPr>
          <w:b/>
          <w:color w:val="0F0F0F"/>
          <w:sz w:val="20"/>
        </w:rPr>
        <w:t>capital</w:t>
      </w:r>
      <w:r>
        <w:rPr>
          <w:b/>
          <w:color w:val="0F0F0F"/>
          <w:spacing w:val="-14"/>
          <w:sz w:val="20"/>
        </w:rPr>
        <w:t> </w:t>
      </w:r>
      <w:r>
        <w:rPr>
          <w:b/>
          <w:color w:val="0F0F0F"/>
          <w:spacing w:val="-2"/>
          <w:sz w:val="20"/>
        </w:rPr>
        <w:t>resources</w:t>
      </w:r>
    </w:p>
    <w:p>
      <w:pPr>
        <w:pStyle w:val="BodyText"/>
        <w:spacing w:before="3"/>
        <w:rPr>
          <w:b/>
          <w:sz w:val="10"/>
        </w:rPr>
      </w:pPr>
    </w:p>
    <w:p>
      <w:pPr>
        <w:spacing w:after="0"/>
        <w:rPr>
          <w:sz w:val="10"/>
        </w:rPr>
        <w:sectPr>
          <w:type w:val="continuous"/>
          <w:pgSz w:w="11910" w:h="16830"/>
          <w:pgMar w:top="1940" w:right="100" w:bottom="280" w:left="20" w:header="1028" w:footer="0"/>
        </w:sectPr>
      </w:pPr>
    </w:p>
    <w:p>
      <w:pPr>
        <w:spacing w:before="94" w:line="254" w:lineRule="auto"/>
        <w:ind w:left="1138" w:right="355" w:firstLine="1"/>
        <w:jc w:val="both"/>
        <w:rPr>
          <w:sz w:val="19"/>
        </w:rPr>
      </w:pPr>
      <w:r>
        <w:rPr>
          <w:color w:val="0F0F0F"/>
          <w:w w:val="105"/>
          <w:sz w:val="19"/>
        </w:rPr>
        <w:t>Transfer of sale</w:t>
      </w:r>
      <w:r>
        <w:rPr>
          <w:color w:val="0F0F0F"/>
          <w:spacing w:val="-1"/>
          <w:w w:val="105"/>
          <w:sz w:val="19"/>
        </w:rPr>
        <w:t> </w:t>
      </w:r>
      <w:r>
        <w:rPr>
          <w:color w:val="0F0F0F"/>
          <w:w w:val="105"/>
          <w:sz w:val="19"/>
        </w:rPr>
        <w:t>proceeds from revenue</w:t>
      </w:r>
      <w:r>
        <w:rPr>
          <w:color w:val="0F0F0F"/>
          <w:spacing w:val="-5"/>
          <w:w w:val="105"/>
          <w:sz w:val="19"/>
        </w:rPr>
        <w:t> </w:t>
      </w:r>
      <w:r>
        <w:rPr>
          <w:color w:val="0F0F0F"/>
          <w:w w:val="105"/>
          <w:sz w:val="19"/>
        </w:rPr>
        <w:t>to</w:t>
      </w:r>
      <w:r>
        <w:rPr>
          <w:color w:val="0F0F0F"/>
          <w:spacing w:val="-13"/>
          <w:w w:val="105"/>
          <w:sz w:val="19"/>
        </w:rPr>
        <w:t> </w:t>
      </w:r>
      <w:r>
        <w:rPr>
          <w:color w:val="0F0F0F"/>
          <w:w w:val="105"/>
          <w:sz w:val="19"/>
        </w:rPr>
        <w:t>the</w:t>
      </w:r>
      <w:r>
        <w:rPr>
          <w:color w:val="0F0F0F"/>
          <w:spacing w:val="-14"/>
          <w:w w:val="105"/>
          <w:sz w:val="19"/>
        </w:rPr>
        <w:t> </w:t>
      </w:r>
      <w:r>
        <w:rPr>
          <w:color w:val="0F0F0F"/>
          <w:w w:val="105"/>
          <w:sz w:val="19"/>
        </w:rPr>
        <w:t>Capital</w:t>
      </w:r>
      <w:r>
        <w:rPr>
          <w:color w:val="0F0F0F"/>
          <w:spacing w:val="-10"/>
          <w:w w:val="105"/>
          <w:sz w:val="19"/>
        </w:rPr>
        <w:t> </w:t>
      </w:r>
      <w:r>
        <w:rPr>
          <w:color w:val="0F0F0F"/>
          <w:w w:val="105"/>
          <w:sz w:val="19"/>
        </w:rPr>
        <w:t>Receipts </w:t>
      </w:r>
      <w:r>
        <w:rPr>
          <w:color w:val="0F0F0F"/>
          <w:spacing w:val="-2"/>
          <w:w w:val="105"/>
          <w:sz w:val="19"/>
        </w:rPr>
        <w:t>Reserve</w:t>
      </w:r>
    </w:p>
    <w:p>
      <w:pPr>
        <w:spacing w:before="199"/>
        <w:ind w:left="1143" w:right="0" w:hanging="10"/>
        <w:jc w:val="left"/>
        <w:rPr>
          <w:sz w:val="19"/>
        </w:rPr>
      </w:pPr>
      <w:r>
        <w:rPr>
          <w:color w:val="0F0F0F"/>
          <w:w w:val="105"/>
          <w:sz w:val="19"/>
        </w:rPr>
        <w:t>Minimum</w:t>
      </w:r>
      <w:r>
        <w:rPr>
          <w:color w:val="0F0F0F"/>
          <w:spacing w:val="2"/>
          <w:w w:val="105"/>
          <w:sz w:val="19"/>
        </w:rPr>
        <w:t> </w:t>
      </w:r>
      <w:r>
        <w:rPr>
          <w:color w:val="0F0F0F"/>
          <w:w w:val="105"/>
          <w:sz w:val="19"/>
        </w:rPr>
        <w:t>Revenue</w:t>
      </w:r>
      <w:r>
        <w:rPr>
          <w:color w:val="0F0F0F"/>
          <w:spacing w:val="-5"/>
          <w:w w:val="105"/>
          <w:sz w:val="19"/>
        </w:rPr>
        <w:t> </w:t>
      </w:r>
      <w:r>
        <w:rPr>
          <w:color w:val="0F0F0F"/>
          <w:spacing w:val="-2"/>
          <w:w w:val="105"/>
          <w:sz w:val="19"/>
        </w:rPr>
        <w:t>Provision</w:t>
      </w:r>
    </w:p>
    <w:p>
      <w:pPr>
        <w:spacing w:before="138" w:line="254" w:lineRule="auto"/>
        <w:ind w:left="1141" w:right="38" w:firstLine="2"/>
        <w:jc w:val="left"/>
        <w:rPr>
          <w:sz w:val="19"/>
        </w:rPr>
      </w:pPr>
      <w:r>
        <w:rPr>
          <w:color w:val="282828"/>
          <w:w w:val="105"/>
          <w:sz w:val="19"/>
        </w:rPr>
        <w:t>Capital</w:t>
      </w:r>
      <w:r>
        <w:rPr>
          <w:color w:val="282828"/>
          <w:spacing w:val="-14"/>
          <w:w w:val="105"/>
          <w:sz w:val="19"/>
        </w:rPr>
        <w:t> </w:t>
      </w:r>
      <w:r>
        <w:rPr>
          <w:color w:val="0F0F0F"/>
          <w:w w:val="105"/>
          <w:sz w:val="19"/>
        </w:rPr>
        <w:t>expenditure</w:t>
      </w:r>
      <w:r>
        <w:rPr>
          <w:color w:val="0F0F0F"/>
          <w:spacing w:val="-10"/>
          <w:w w:val="105"/>
          <w:sz w:val="19"/>
        </w:rPr>
        <w:t> </w:t>
      </w:r>
      <w:r>
        <w:rPr>
          <w:color w:val="282828"/>
          <w:w w:val="105"/>
          <w:sz w:val="19"/>
        </w:rPr>
        <w:t>charged against </w:t>
      </w:r>
      <w:r>
        <w:rPr>
          <w:color w:val="0F0F0F"/>
          <w:w w:val="105"/>
          <w:sz w:val="19"/>
        </w:rPr>
        <w:t>the </w:t>
      </w:r>
      <w:r>
        <w:rPr>
          <w:color w:val="282828"/>
          <w:w w:val="105"/>
          <w:sz w:val="19"/>
        </w:rPr>
        <w:t>General Fund</w:t>
      </w:r>
    </w:p>
    <w:p>
      <w:pPr>
        <w:spacing w:before="75"/>
        <w:ind w:left="1143" w:right="0" w:firstLine="0"/>
        <w:jc w:val="left"/>
        <w:rPr>
          <w:b/>
          <w:sz w:val="20"/>
        </w:rPr>
      </w:pPr>
      <w:r>
        <w:rPr>
          <w:b/>
          <w:color w:val="0F0F0F"/>
          <w:sz w:val="20"/>
        </w:rPr>
        <w:t>Adjustments</w:t>
      </w:r>
      <w:r>
        <w:rPr>
          <w:b/>
          <w:color w:val="0F0F0F"/>
          <w:spacing w:val="-3"/>
          <w:sz w:val="20"/>
        </w:rPr>
        <w:t> </w:t>
      </w:r>
      <w:r>
        <w:rPr>
          <w:b/>
          <w:color w:val="0F0F0F"/>
          <w:sz w:val="20"/>
        </w:rPr>
        <w:t>to</w:t>
      </w:r>
      <w:r>
        <w:rPr>
          <w:b/>
          <w:color w:val="0F0F0F"/>
          <w:spacing w:val="-14"/>
          <w:sz w:val="20"/>
        </w:rPr>
        <w:t> </w:t>
      </w:r>
      <w:r>
        <w:rPr>
          <w:b/>
          <w:color w:val="0F0F0F"/>
          <w:sz w:val="20"/>
        </w:rPr>
        <w:t>capital</w:t>
      </w:r>
      <w:r>
        <w:rPr>
          <w:b/>
          <w:color w:val="0F0F0F"/>
          <w:spacing w:val="-11"/>
          <w:sz w:val="20"/>
        </w:rPr>
        <w:t> </w:t>
      </w:r>
      <w:r>
        <w:rPr>
          <w:b/>
          <w:color w:val="0F0F0F"/>
          <w:spacing w:val="-2"/>
          <w:sz w:val="20"/>
        </w:rPr>
        <w:t>resources</w:t>
      </w:r>
    </w:p>
    <w:p>
      <w:pPr>
        <w:spacing w:before="101" w:line="254" w:lineRule="auto"/>
        <w:ind w:left="1140" w:right="0" w:hanging="3"/>
        <w:jc w:val="left"/>
        <w:rPr>
          <w:sz w:val="19"/>
        </w:rPr>
      </w:pPr>
      <w:r>
        <w:rPr>
          <w:color w:val="0F0F0F"/>
          <w:w w:val="105"/>
          <w:sz w:val="19"/>
        </w:rPr>
        <w:t>Use</w:t>
      </w:r>
      <w:r>
        <w:rPr>
          <w:color w:val="0F0F0F"/>
          <w:spacing w:val="-13"/>
          <w:w w:val="105"/>
          <w:sz w:val="19"/>
        </w:rPr>
        <w:t> </w:t>
      </w:r>
      <w:r>
        <w:rPr>
          <w:color w:val="0F0F0F"/>
          <w:w w:val="105"/>
          <w:sz w:val="19"/>
        </w:rPr>
        <w:t>of</w:t>
      </w:r>
      <w:r>
        <w:rPr>
          <w:color w:val="0F0F0F"/>
          <w:spacing w:val="-14"/>
          <w:w w:val="105"/>
          <w:sz w:val="19"/>
        </w:rPr>
        <w:t> </w:t>
      </w:r>
      <w:r>
        <w:rPr>
          <w:color w:val="0F0F0F"/>
          <w:w w:val="105"/>
          <w:sz w:val="19"/>
        </w:rPr>
        <w:t>Capital</w:t>
      </w:r>
      <w:r>
        <w:rPr>
          <w:color w:val="0F0F0F"/>
          <w:spacing w:val="-8"/>
          <w:w w:val="105"/>
          <w:sz w:val="19"/>
        </w:rPr>
        <w:t> </w:t>
      </w:r>
      <w:r>
        <w:rPr>
          <w:color w:val="0F0F0F"/>
          <w:w w:val="105"/>
          <w:sz w:val="19"/>
        </w:rPr>
        <w:t>Receipts to</w:t>
      </w:r>
      <w:r>
        <w:rPr>
          <w:color w:val="0F0F0F"/>
          <w:spacing w:val="-7"/>
          <w:w w:val="105"/>
          <w:sz w:val="19"/>
        </w:rPr>
        <w:t> </w:t>
      </w:r>
      <w:r>
        <w:rPr>
          <w:color w:val="0F0F0F"/>
          <w:w w:val="105"/>
          <w:sz w:val="19"/>
        </w:rPr>
        <w:t>finance capital expenditure</w:t>
      </w:r>
    </w:p>
    <w:p>
      <w:pPr>
        <w:spacing w:before="32" w:line="199" w:lineRule="exact"/>
        <w:ind w:left="1148" w:right="0" w:firstLine="0"/>
        <w:jc w:val="left"/>
        <w:rPr>
          <w:sz w:val="19"/>
        </w:rPr>
      </w:pPr>
      <w:r>
        <w:rPr>
          <w:color w:val="0F0F0F"/>
          <w:w w:val="105"/>
          <w:sz w:val="19"/>
        </w:rPr>
        <w:t>Application</w:t>
      </w:r>
      <w:r>
        <w:rPr>
          <w:color w:val="0F0F0F"/>
          <w:spacing w:val="-6"/>
          <w:w w:val="105"/>
          <w:sz w:val="19"/>
        </w:rPr>
        <w:t> </w:t>
      </w:r>
      <w:r>
        <w:rPr>
          <w:color w:val="0F0F0F"/>
          <w:w w:val="105"/>
          <w:sz w:val="19"/>
        </w:rPr>
        <w:t>of</w:t>
      </w:r>
      <w:r>
        <w:rPr>
          <w:color w:val="0F0F0F"/>
          <w:spacing w:val="-8"/>
          <w:w w:val="105"/>
          <w:sz w:val="19"/>
        </w:rPr>
        <w:t> </w:t>
      </w:r>
      <w:r>
        <w:rPr>
          <w:color w:val="282828"/>
          <w:w w:val="105"/>
          <w:sz w:val="19"/>
        </w:rPr>
        <w:t>capital</w:t>
      </w:r>
      <w:r>
        <w:rPr>
          <w:color w:val="282828"/>
          <w:spacing w:val="-6"/>
          <w:w w:val="105"/>
          <w:sz w:val="19"/>
        </w:rPr>
        <w:t> </w:t>
      </w:r>
      <w:r>
        <w:rPr>
          <w:color w:val="0F0F0F"/>
          <w:w w:val="105"/>
          <w:sz w:val="19"/>
        </w:rPr>
        <w:t>grants</w:t>
      </w:r>
      <w:r>
        <w:rPr>
          <w:color w:val="0F0F0F"/>
          <w:spacing w:val="-5"/>
          <w:w w:val="105"/>
          <w:sz w:val="19"/>
        </w:rPr>
        <w:t> and</w:t>
      </w:r>
    </w:p>
    <w:p>
      <w:pPr>
        <w:spacing w:before="106" w:line="240" w:lineRule="auto"/>
        <w:rPr>
          <w:sz w:val="19"/>
        </w:rPr>
      </w:pPr>
      <w:r>
        <w:rPr/>
        <w:br w:type="column"/>
      </w:r>
      <w:r>
        <w:rPr>
          <w:sz w:val="19"/>
        </w:rPr>
      </w:r>
    </w:p>
    <w:p>
      <w:pPr>
        <w:spacing w:before="1"/>
        <w:ind w:left="0" w:right="1" w:firstLine="0"/>
        <w:jc w:val="right"/>
        <w:rPr>
          <w:sz w:val="19"/>
        </w:rPr>
      </w:pPr>
      <w:r>
        <w:rPr>
          <w:color w:val="0F0F0F"/>
          <w:spacing w:val="-5"/>
          <w:w w:val="105"/>
          <w:sz w:val="19"/>
        </w:rPr>
        <w:t>22</w:t>
      </w:r>
    </w:p>
    <w:p>
      <w:pPr>
        <w:pStyle w:val="BodyText"/>
        <w:rPr>
          <w:sz w:val="19"/>
        </w:rPr>
      </w:pPr>
    </w:p>
    <w:p>
      <w:pPr>
        <w:pStyle w:val="BodyText"/>
        <w:spacing w:before="12"/>
        <w:rPr>
          <w:sz w:val="19"/>
        </w:rPr>
      </w:pPr>
    </w:p>
    <w:p>
      <w:pPr>
        <w:spacing w:before="0"/>
        <w:ind w:left="0" w:right="0" w:firstLine="0"/>
        <w:jc w:val="right"/>
        <w:rPr>
          <w:sz w:val="19"/>
        </w:rPr>
      </w:pPr>
      <w:r>
        <w:rPr>
          <w:color w:val="0F0F0F"/>
          <w:spacing w:val="-5"/>
          <w:w w:val="105"/>
          <w:sz w:val="19"/>
        </w:rPr>
        <w:t>242</w:t>
      </w:r>
    </w:p>
    <w:p>
      <w:pPr>
        <w:pStyle w:val="BodyText"/>
        <w:spacing w:before="34"/>
        <w:rPr>
          <w:sz w:val="19"/>
        </w:rPr>
      </w:pPr>
    </w:p>
    <w:p>
      <w:pPr>
        <w:spacing w:before="0"/>
        <w:ind w:left="0" w:right="0" w:firstLine="0"/>
        <w:jc w:val="right"/>
        <w:rPr>
          <w:sz w:val="19"/>
        </w:rPr>
      </w:pPr>
      <w:r>
        <w:rPr>
          <w:color w:val="0F0F0F"/>
          <w:spacing w:val="-5"/>
          <w:w w:val="105"/>
          <w:sz w:val="19"/>
        </w:rPr>
        <w:t>946</w:t>
      </w:r>
    </w:p>
    <w:p>
      <w:pPr>
        <w:spacing w:before="106" w:line="240" w:lineRule="auto"/>
        <w:rPr>
          <w:sz w:val="19"/>
        </w:rPr>
      </w:pPr>
      <w:r>
        <w:rPr/>
        <w:br w:type="column"/>
      </w:r>
      <w:r>
        <w:rPr>
          <w:sz w:val="19"/>
        </w:rPr>
      </w:r>
    </w:p>
    <w:p>
      <w:pPr>
        <w:spacing w:before="1"/>
        <w:ind w:left="0" w:right="45" w:firstLine="0"/>
        <w:jc w:val="right"/>
        <w:rPr>
          <w:sz w:val="19"/>
        </w:rPr>
      </w:pPr>
      <w:r>
        <w:rPr>
          <w:color w:val="0F0F0F"/>
          <w:spacing w:val="-4"/>
          <w:sz w:val="19"/>
        </w:rPr>
        <w:t>(22)</w:t>
      </w: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37"/>
        <w:rPr>
          <w:sz w:val="19"/>
        </w:rPr>
      </w:pPr>
    </w:p>
    <w:p>
      <w:pPr>
        <w:spacing w:before="0"/>
        <w:ind w:left="0" w:right="38" w:firstLine="0"/>
        <w:jc w:val="right"/>
        <w:rPr>
          <w:sz w:val="19"/>
        </w:rPr>
      </w:pPr>
      <w:r>
        <w:rPr>
          <w:color w:val="0F0F0F"/>
          <w:spacing w:val="-5"/>
          <w:w w:val="105"/>
          <w:sz w:val="19"/>
        </w:rPr>
        <w:t>592</w:t>
      </w:r>
    </w:p>
    <w:p>
      <w:pPr>
        <w:spacing w:before="0" w:line="240" w:lineRule="auto"/>
        <w:rPr>
          <w:sz w:val="20"/>
        </w:rPr>
      </w:pPr>
      <w:r>
        <w:rPr/>
        <w:br w:type="column"/>
      </w:r>
      <w:r>
        <w:rPr>
          <w:sz w:val="20"/>
        </w:rPr>
      </w:r>
    </w:p>
    <w:p>
      <w:pPr>
        <w:pStyle w:val="BodyText"/>
        <w:rPr>
          <w:sz w:val="20"/>
        </w:rPr>
      </w:pPr>
    </w:p>
    <w:p>
      <w:pPr>
        <w:pStyle w:val="BodyText"/>
        <w:rPr>
          <w:sz w:val="20"/>
        </w:rPr>
      </w:pPr>
    </w:p>
    <w:p>
      <w:pPr>
        <w:pStyle w:val="BodyText"/>
        <w:spacing w:before="78"/>
        <w:rPr>
          <w:sz w:val="20"/>
        </w:rPr>
      </w:pPr>
    </w:p>
    <w:p>
      <w:pPr>
        <w:tabs>
          <w:tab w:val="left" w:leader="none" w:pos="2149"/>
        </w:tabs>
        <w:spacing w:before="0" w:line="256" w:lineRule="auto"/>
        <w:ind w:left="1937" w:right="764" w:hanging="804"/>
        <w:jc w:val="left"/>
        <w:rPr>
          <w:b/>
          <w:sz w:val="20"/>
        </w:rPr>
      </w:pPr>
      <w:r>
        <w:rPr>
          <w:b/>
          <w:color w:val="0F0F0F"/>
          <w:spacing w:val="-2"/>
          <w:sz w:val="20"/>
        </w:rPr>
        <w:t>(242)</w:t>
      </w:r>
      <w:r>
        <w:rPr>
          <w:b/>
          <w:color w:val="0F0F0F"/>
          <w:sz w:val="20"/>
        </w:rPr>
        <w:tab/>
        <w:tab/>
      </w:r>
      <w:r>
        <w:rPr>
          <w:b/>
          <w:color w:val="0F0F0F"/>
          <w:spacing w:val="-2"/>
          <w:sz w:val="20"/>
        </w:rPr>
        <w:t>Capital Adjustment</w:t>
      </w:r>
    </w:p>
    <w:p>
      <w:pPr>
        <w:tabs>
          <w:tab w:val="left" w:leader="none" w:pos="2091"/>
        </w:tabs>
        <w:spacing w:before="0" w:line="204" w:lineRule="exact"/>
        <w:ind w:left="1138" w:right="0" w:firstLine="0"/>
        <w:jc w:val="left"/>
        <w:rPr>
          <w:b/>
          <w:sz w:val="20"/>
        </w:rPr>
      </w:pPr>
      <w:r>
        <w:rPr>
          <w:b/>
          <w:color w:val="0F0F0F"/>
          <w:spacing w:val="-2"/>
          <w:sz w:val="20"/>
        </w:rPr>
        <w:t>(946)</w:t>
      </w:r>
      <w:r>
        <w:rPr>
          <w:b/>
          <w:color w:val="0F0F0F"/>
          <w:sz w:val="20"/>
        </w:rPr>
        <w:tab/>
      </w:r>
      <w:r>
        <w:rPr>
          <w:b/>
          <w:color w:val="0F0F0F"/>
          <w:spacing w:val="-2"/>
          <w:sz w:val="20"/>
        </w:rPr>
        <w:t>Account</w:t>
      </w:r>
    </w:p>
    <w:p>
      <w:pPr>
        <w:pStyle w:val="BodyText"/>
        <w:rPr>
          <w:b/>
          <w:sz w:val="20"/>
        </w:rPr>
      </w:pPr>
    </w:p>
    <w:p>
      <w:pPr>
        <w:pStyle w:val="BodyText"/>
        <w:spacing w:before="169"/>
        <w:rPr>
          <w:b/>
          <w:sz w:val="20"/>
        </w:rPr>
      </w:pPr>
    </w:p>
    <w:p>
      <w:pPr>
        <w:tabs>
          <w:tab w:val="left" w:leader="none" w:pos="2154"/>
        </w:tabs>
        <w:spacing w:before="0" w:line="235" w:lineRule="auto"/>
        <w:ind w:left="1942" w:right="759" w:hanging="804"/>
        <w:jc w:val="left"/>
        <w:rPr>
          <w:b/>
          <w:sz w:val="20"/>
        </w:rPr>
      </w:pPr>
      <w:r>
        <w:rPr>
          <w:b/>
          <w:color w:val="0F0F0F"/>
          <w:spacing w:val="-2"/>
          <w:position w:val="12"/>
          <w:sz w:val="20"/>
        </w:rPr>
        <w:t>(592)</w:t>
      </w:r>
      <w:r>
        <w:rPr>
          <w:b/>
          <w:color w:val="0F0F0F"/>
          <w:position w:val="12"/>
          <w:sz w:val="20"/>
        </w:rPr>
        <w:tab/>
        <w:tab/>
      </w:r>
      <w:r>
        <w:rPr>
          <w:b/>
          <w:color w:val="0F0F0F"/>
          <w:spacing w:val="-2"/>
          <w:sz w:val="20"/>
        </w:rPr>
        <w:t>Capital Adjustment</w:t>
      </w:r>
    </w:p>
    <w:p>
      <w:pPr>
        <w:spacing w:after="0" w:line="235" w:lineRule="auto"/>
        <w:jc w:val="left"/>
        <w:rPr>
          <w:sz w:val="20"/>
        </w:rPr>
        <w:sectPr>
          <w:type w:val="continuous"/>
          <w:pgSz w:w="11910" w:h="16830"/>
          <w:pgMar w:top="1940" w:right="100" w:bottom="280" w:left="20" w:header="1028" w:footer="0"/>
          <w:cols w:equalWidth="0" w:num="4">
            <w:col w:w="4276" w:space="40"/>
            <w:col w:w="1248" w:space="39"/>
            <w:col w:w="1173" w:space="1214"/>
            <w:col w:w="3800"/>
          </w:cols>
        </w:sectPr>
      </w:pPr>
    </w:p>
    <w:p>
      <w:pPr>
        <w:spacing w:before="32" w:line="259" w:lineRule="auto"/>
        <w:ind w:left="1140" w:right="0" w:firstLine="6"/>
        <w:jc w:val="left"/>
        <w:rPr>
          <w:sz w:val="19"/>
        </w:rPr>
      </w:pPr>
      <w:r>
        <w:rPr>
          <w:color w:val="282828"/>
          <w:w w:val="105"/>
          <w:sz w:val="19"/>
        </w:rPr>
        <w:t>other</w:t>
      </w:r>
      <w:r>
        <w:rPr>
          <w:color w:val="282828"/>
          <w:spacing w:val="-14"/>
          <w:w w:val="105"/>
          <w:sz w:val="19"/>
        </w:rPr>
        <w:t> </w:t>
      </w:r>
      <w:r>
        <w:rPr>
          <w:color w:val="282828"/>
          <w:w w:val="105"/>
          <w:sz w:val="19"/>
        </w:rPr>
        <w:t>contributions</w:t>
      </w:r>
      <w:r>
        <w:rPr>
          <w:color w:val="282828"/>
          <w:spacing w:val="-9"/>
          <w:w w:val="105"/>
          <w:sz w:val="19"/>
        </w:rPr>
        <w:t> </w:t>
      </w:r>
      <w:r>
        <w:rPr>
          <w:color w:val="0F0F0F"/>
          <w:w w:val="105"/>
          <w:sz w:val="19"/>
        </w:rPr>
        <w:t>to</w:t>
      </w:r>
      <w:r>
        <w:rPr>
          <w:color w:val="0F0F0F"/>
          <w:spacing w:val="-14"/>
          <w:w w:val="105"/>
          <w:sz w:val="19"/>
        </w:rPr>
        <w:t> </w:t>
      </w:r>
      <w:r>
        <w:rPr>
          <w:color w:val="0F0F0F"/>
          <w:w w:val="105"/>
          <w:sz w:val="19"/>
        </w:rPr>
        <w:t>finance capital expenditure</w:t>
      </w:r>
    </w:p>
    <w:p>
      <w:pPr>
        <w:spacing w:before="37"/>
        <w:ind w:left="0" w:right="38" w:firstLine="0"/>
        <w:jc w:val="right"/>
        <w:rPr>
          <w:sz w:val="19"/>
        </w:rPr>
      </w:pPr>
      <w:r>
        <w:rPr/>
        <w:br w:type="column"/>
      </w:r>
      <w:r>
        <w:rPr>
          <w:color w:val="0F0F0F"/>
          <w:spacing w:val="-4"/>
          <w:w w:val="110"/>
          <w:sz w:val="19"/>
        </w:rPr>
        <w:t>6</w:t>
      </w:r>
      <w:r>
        <w:rPr>
          <w:color w:val="464646"/>
          <w:spacing w:val="-4"/>
          <w:w w:val="110"/>
          <w:sz w:val="19"/>
        </w:rPr>
        <w:t>,</w:t>
      </w:r>
      <w:r>
        <w:rPr>
          <w:color w:val="0F0F0F"/>
          <w:spacing w:val="-4"/>
          <w:w w:val="110"/>
          <w:sz w:val="19"/>
        </w:rPr>
        <w:t>681</w:t>
      </w:r>
    </w:p>
    <w:p>
      <w:pPr>
        <w:spacing w:before="41"/>
        <w:ind w:left="0" w:right="0" w:firstLine="0"/>
        <w:jc w:val="right"/>
        <w:rPr>
          <w:sz w:val="19"/>
        </w:rPr>
      </w:pPr>
      <w:r>
        <w:rPr/>
        <w:br w:type="column"/>
      </w:r>
      <w:r>
        <w:rPr>
          <w:color w:val="0F0F0F"/>
          <w:spacing w:val="-5"/>
          <w:w w:val="105"/>
          <w:sz w:val="19"/>
        </w:rPr>
        <w:t>530</w:t>
      </w:r>
    </w:p>
    <w:p>
      <w:pPr>
        <w:spacing w:before="32"/>
        <w:ind w:left="578" w:right="0" w:firstLine="0"/>
        <w:jc w:val="left"/>
        <w:rPr>
          <w:sz w:val="19"/>
        </w:rPr>
      </w:pPr>
      <w:r>
        <w:rPr/>
        <w:br w:type="column"/>
      </w:r>
      <w:r>
        <w:rPr>
          <w:color w:val="0F0F0F"/>
          <w:spacing w:val="-2"/>
          <w:w w:val="105"/>
          <w:sz w:val="19"/>
        </w:rPr>
        <w:t>(7,211)</w:t>
      </w:r>
    </w:p>
    <w:p>
      <w:pPr>
        <w:spacing w:before="0" w:line="224" w:lineRule="exact"/>
        <w:ind w:left="449" w:right="0" w:firstLine="0"/>
        <w:jc w:val="left"/>
        <w:rPr>
          <w:b/>
          <w:sz w:val="20"/>
        </w:rPr>
      </w:pPr>
      <w:r>
        <w:rPr/>
        <w:br w:type="column"/>
      </w:r>
      <w:r>
        <w:rPr>
          <w:b/>
          <w:color w:val="0F0F0F"/>
          <w:spacing w:val="-2"/>
          <w:sz w:val="20"/>
        </w:rPr>
        <w:t>Account</w:t>
      </w:r>
    </w:p>
    <w:p>
      <w:pPr>
        <w:spacing w:after="0" w:line="224" w:lineRule="exact"/>
        <w:jc w:val="left"/>
        <w:rPr>
          <w:sz w:val="20"/>
        </w:rPr>
        <w:sectPr>
          <w:type w:val="continuous"/>
          <w:pgSz w:w="11910" w:h="16830"/>
          <w:pgMar w:top="1940" w:right="100" w:bottom="280" w:left="20" w:header="1028" w:footer="0"/>
          <w:cols w:equalWidth="0" w:num="5">
            <w:col w:w="3750" w:space="164"/>
            <w:col w:w="1701" w:space="1255"/>
            <w:col w:w="1471" w:space="39"/>
            <w:col w:w="1212" w:space="40"/>
            <w:col w:w="2158"/>
          </w:cols>
        </w:sectPr>
      </w:pPr>
    </w:p>
    <w:p>
      <w:pPr>
        <w:spacing w:before="71"/>
        <w:ind w:left="1143" w:right="0" w:firstLine="0"/>
        <w:jc w:val="left"/>
        <w:rPr>
          <w:b/>
          <w:sz w:val="20"/>
        </w:rPr>
      </w:pPr>
      <w:r>
        <w:rPr>
          <w:b/>
          <w:color w:val="0F0F0F"/>
          <w:sz w:val="20"/>
        </w:rPr>
        <w:t>Adjustments</w:t>
      </w:r>
      <w:r>
        <w:rPr>
          <w:b/>
          <w:color w:val="0F0F0F"/>
          <w:spacing w:val="-2"/>
          <w:sz w:val="20"/>
        </w:rPr>
        <w:t> </w:t>
      </w:r>
      <w:r>
        <w:rPr>
          <w:b/>
          <w:color w:val="0F0F0F"/>
          <w:sz w:val="20"/>
        </w:rPr>
        <w:t>between</w:t>
      </w:r>
      <w:r>
        <w:rPr>
          <w:b/>
          <w:color w:val="0F0F0F"/>
          <w:spacing w:val="-7"/>
          <w:sz w:val="20"/>
        </w:rPr>
        <w:t> </w:t>
      </w:r>
      <w:r>
        <w:rPr>
          <w:b/>
          <w:color w:val="0F0F0F"/>
          <w:sz w:val="20"/>
        </w:rPr>
        <w:t>accounting</w:t>
      </w:r>
      <w:r>
        <w:rPr>
          <w:b/>
          <w:color w:val="0F0F0F"/>
          <w:spacing w:val="-4"/>
          <w:sz w:val="20"/>
        </w:rPr>
        <w:t> </w:t>
      </w:r>
      <w:r>
        <w:rPr>
          <w:b/>
          <w:color w:val="0F0F0F"/>
          <w:sz w:val="20"/>
        </w:rPr>
        <w:t>and</w:t>
      </w:r>
      <w:r>
        <w:rPr>
          <w:b/>
          <w:color w:val="0F0F0F"/>
          <w:spacing w:val="-10"/>
          <w:sz w:val="20"/>
        </w:rPr>
        <w:t> </w:t>
      </w:r>
      <w:r>
        <w:rPr>
          <w:b/>
          <w:color w:val="0F0F0F"/>
          <w:sz w:val="20"/>
        </w:rPr>
        <w:t>funding</w:t>
      </w:r>
      <w:r>
        <w:rPr>
          <w:b/>
          <w:color w:val="0F0F0F"/>
          <w:spacing w:val="-8"/>
          <w:sz w:val="20"/>
        </w:rPr>
        <w:t> </w:t>
      </w:r>
      <w:r>
        <w:rPr>
          <w:b/>
          <w:color w:val="0F0F0F"/>
          <w:sz w:val="20"/>
        </w:rPr>
        <w:t>basis</w:t>
      </w:r>
      <w:r>
        <w:rPr>
          <w:b/>
          <w:color w:val="0F0F0F"/>
          <w:spacing w:val="-12"/>
          <w:sz w:val="20"/>
        </w:rPr>
        <w:t> </w:t>
      </w:r>
      <w:r>
        <w:rPr>
          <w:b/>
          <w:color w:val="0F0F0F"/>
          <w:sz w:val="20"/>
        </w:rPr>
        <w:t>under</w:t>
      </w:r>
      <w:r>
        <w:rPr>
          <w:b/>
          <w:color w:val="0F0F0F"/>
          <w:spacing w:val="-7"/>
          <w:sz w:val="20"/>
        </w:rPr>
        <w:t> </w:t>
      </w:r>
      <w:r>
        <w:rPr>
          <w:b/>
          <w:color w:val="0F0F0F"/>
          <w:spacing w:val="-2"/>
          <w:sz w:val="20"/>
        </w:rPr>
        <w:t>regulations</w:t>
      </w:r>
    </w:p>
    <w:p>
      <w:pPr>
        <w:tabs>
          <w:tab w:val="left" w:leader="none" w:pos="4929"/>
        </w:tabs>
        <w:spacing w:before="154"/>
        <w:ind w:left="1138" w:right="0" w:firstLine="0"/>
        <w:jc w:val="left"/>
        <w:rPr>
          <w:sz w:val="19"/>
        </w:rPr>
      </w:pPr>
      <w:r>
        <w:rPr>
          <w:color w:val="0F0F0F"/>
          <w:w w:val="105"/>
          <w:sz w:val="19"/>
        </w:rPr>
        <w:t>Pension</w:t>
      </w:r>
      <w:r>
        <w:rPr>
          <w:color w:val="0F0F0F"/>
          <w:spacing w:val="-8"/>
          <w:w w:val="105"/>
          <w:sz w:val="19"/>
        </w:rPr>
        <w:t> </w:t>
      </w:r>
      <w:r>
        <w:rPr>
          <w:color w:val="0F0F0F"/>
          <w:spacing w:val="-2"/>
          <w:w w:val="105"/>
          <w:sz w:val="19"/>
        </w:rPr>
        <w:t>costs</w:t>
      </w:r>
      <w:r>
        <w:rPr>
          <w:color w:val="0F0F0F"/>
          <w:sz w:val="19"/>
        </w:rPr>
        <w:tab/>
      </w:r>
      <w:r>
        <w:rPr>
          <w:color w:val="0F0F0F"/>
          <w:spacing w:val="-2"/>
          <w:w w:val="105"/>
          <w:position w:val="-11"/>
          <w:sz w:val="19"/>
        </w:rPr>
        <w:t>(2,519)</w:t>
      </w:r>
    </w:p>
    <w:p>
      <w:pPr>
        <w:pStyle w:val="BodyText"/>
        <w:rPr>
          <w:sz w:val="19"/>
        </w:rPr>
      </w:pPr>
    </w:p>
    <w:p>
      <w:pPr>
        <w:pStyle w:val="BodyText"/>
        <w:spacing w:before="109"/>
        <w:rPr>
          <w:sz w:val="19"/>
        </w:rPr>
      </w:pPr>
    </w:p>
    <w:p>
      <w:pPr>
        <w:tabs>
          <w:tab w:val="left" w:leader="none" w:pos="5058"/>
        </w:tabs>
        <w:spacing w:before="0"/>
        <w:ind w:left="1143" w:right="0" w:firstLine="0"/>
        <w:jc w:val="left"/>
        <w:rPr>
          <w:sz w:val="19"/>
        </w:rPr>
      </w:pPr>
      <w:r>
        <w:rPr>
          <w:color w:val="0F0F0F"/>
          <w:w w:val="105"/>
          <w:sz w:val="19"/>
        </w:rPr>
        <w:t>Council</w:t>
      </w:r>
      <w:r>
        <w:rPr>
          <w:color w:val="0F0F0F"/>
          <w:spacing w:val="-4"/>
          <w:w w:val="105"/>
          <w:sz w:val="19"/>
        </w:rPr>
        <w:t> </w:t>
      </w:r>
      <w:r>
        <w:rPr>
          <w:color w:val="0F0F0F"/>
          <w:w w:val="105"/>
          <w:sz w:val="19"/>
        </w:rPr>
        <w:t>Tax</w:t>
      </w:r>
      <w:r>
        <w:rPr>
          <w:color w:val="0F0F0F"/>
          <w:spacing w:val="-2"/>
          <w:w w:val="105"/>
          <w:sz w:val="19"/>
        </w:rPr>
        <w:t> </w:t>
      </w:r>
      <w:r>
        <w:rPr>
          <w:color w:val="0F0F0F"/>
          <w:w w:val="105"/>
          <w:sz w:val="19"/>
        </w:rPr>
        <w:t>and</w:t>
      </w:r>
      <w:r>
        <w:rPr>
          <w:color w:val="0F0F0F"/>
          <w:spacing w:val="-8"/>
          <w:w w:val="105"/>
          <w:sz w:val="19"/>
        </w:rPr>
        <w:t> </w:t>
      </w:r>
      <w:r>
        <w:rPr>
          <w:color w:val="0F0F0F"/>
          <w:spacing w:val="-4"/>
          <w:w w:val="105"/>
          <w:sz w:val="19"/>
        </w:rPr>
        <w:t>NNDR</w:t>
      </w:r>
      <w:r>
        <w:rPr>
          <w:color w:val="0F0F0F"/>
          <w:sz w:val="19"/>
        </w:rPr>
        <w:tab/>
      </w:r>
      <w:r>
        <w:rPr>
          <w:color w:val="0F0F0F"/>
          <w:spacing w:val="-2"/>
          <w:w w:val="105"/>
          <w:sz w:val="19"/>
        </w:rPr>
        <w:t>3,581</w:t>
      </w:r>
    </w:p>
    <w:p>
      <w:pPr>
        <w:pStyle w:val="BodyText"/>
        <w:rPr>
          <w:sz w:val="19"/>
        </w:rPr>
      </w:pPr>
    </w:p>
    <w:p>
      <w:pPr>
        <w:pStyle w:val="BodyText"/>
        <w:spacing w:before="210"/>
        <w:rPr>
          <w:sz w:val="19"/>
        </w:rPr>
      </w:pPr>
    </w:p>
    <w:p>
      <w:pPr>
        <w:spacing w:before="0"/>
        <w:ind w:left="1142" w:right="0" w:firstLine="0"/>
        <w:jc w:val="left"/>
        <w:rPr>
          <w:sz w:val="19"/>
        </w:rPr>
      </w:pPr>
      <w:r>
        <w:rPr>
          <w:color w:val="0F0F0F"/>
          <w:spacing w:val="-2"/>
          <w:w w:val="105"/>
          <w:sz w:val="19"/>
        </w:rPr>
        <w:t>Financial</w:t>
      </w:r>
      <w:r>
        <w:rPr>
          <w:color w:val="0F0F0F"/>
          <w:spacing w:val="3"/>
          <w:w w:val="105"/>
          <w:sz w:val="19"/>
        </w:rPr>
        <w:t> </w:t>
      </w:r>
      <w:r>
        <w:rPr>
          <w:color w:val="0F0F0F"/>
          <w:spacing w:val="-2"/>
          <w:w w:val="105"/>
          <w:sz w:val="19"/>
        </w:rPr>
        <w:t>Instruments</w:t>
      </w:r>
    </w:p>
    <w:p>
      <w:pPr>
        <w:spacing w:before="0" w:line="240" w:lineRule="auto"/>
        <w:rPr>
          <w:sz w:val="20"/>
        </w:rPr>
      </w:pPr>
      <w:r>
        <w:rPr/>
        <w:br w:type="column"/>
      </w:r>
      <w:r>
        <w:rPr>
          <w:sz w:val="20"/>
        </w:rPr>
      </w:r>
    </w:p>
    <w:p>
      <w:pPr>
        <w:pStyle w:val="BodyText"/>
        <w:spacing w:before="101"/>
        <w:rPr>
          <w:sz w:val="20"/>
        </w:rPr>
      </w:pPr>
    </w:p>
    <w:p>
      <w:pPr>
        <w:spacing w:before="0"/>
        <w:ind w:left="0" w:right="0" w:firstLine="0"/>
        <w:jc w:val="right"/>
        <w:rPr>
          <w:b/>
          <w:sz w:val="20"/>
        </w:rPr>
      </w:pPr>
      <w:r>
        <w:rPr>
          <w:b/>
          <w:color w:val="0F0F0F"/>
          <w:spacing w:val="-2"/>
          <w:sz w:val="20"/>
        </w:rPr>
        <w:t>2,519</w:t>
      </w:r>
    </w:p>
    <w:p>
      <w:pPr>
        <w:pStyle w:val="BodyText"/>
        <w:rPr>
          <w:b/>
          <w:sz w:val="20"/>
        </w:rPr>
      </w:pPr>
    </w:p>
    <w:p>
      <w:pPr>
        <w:pStyle w:val="BodyText"/>
        <w:spacing w:before="74"/>
        <w:rPr>
          <w:b/>
          <w:sz w:val="20"/>
        </w:rPr>
      </w:pPr>
    </w:p>
    <w:p>
      <w:pPr>
        <w:spacing w:before="0"/>
        <w:ind w:left="0" w:right="1" w:firstLine="0"/>
        <w:jc w:val="right"/>
        <w:rPr>
          <w:b/>
          <w:sz w:val="20"/>
        </w:rPr>
      </w:pPr>
      <w:r>
        <w:rPr>
          <w:b/>
          <w:color w:val="0F0F0F"/>
          <w:spacing w:val="-2"/>
          <w:sz w:val="20"/>
        </w:rPr>
        <w:t>(3,581)</w:t>
      </w:r>
    </w:p>
    <w:p>
      <w:pPr>
        <w:spacing w:before="216" w:line="240" w:lineRule="auto"/>
        <w:rPr>
          <w:b/>
          <w:sz w:val="20"/>
        </w:rPr>
      </w:pPr>
      <w:r>
        <w:rPr/>
        <w:br w:type="column"/>
      </w:r>
      <w:r>
        <w:rPr>
          <w:b/>
          <w:sz w:val="20"/>
        </w:rPr>
      </w:r>
    </w:p>
    <w:p>
      <w:pPr>
        <w:spacing w:before="0"/>
        <w:ind w:left="46" w:right="504" w:firstLine="0"/>
        <w:jc w:val="center"/>
        <w:rPr>
          <w:b/>
          <w:sz w:val="20"/>
        </w:rPr>
      </w:pPr>
      <w:r>
        <w:rPr>
          <w:b/>
          <w:color w:val="0F0F0F"/>
          <w:spacing w:val="-2"/>
          <w:sz w:val="20"/>
        </w:rPr>
        <w:t>Pensions Reserve</w:t>
      </w:r>
    </w:p>
    <w:p>
      <w:pPr>
        <w:spacing w:before="73"/>
        <w:ind w:left="300" w:right="749" w:hanging="9"/>
        <w:jc w:val="center"/>
        <w:rPr>
          <w:b/>
          <w:sz w:val="20"/>
        </w:rPr>
      </w:pPr>
      <w:r>
        <w:rPr>
          <w:b/>
          <w:color w:val="0F0F0F"/>
          <w:spacing w:val="-2"/>
          <w:sz w:val="20"/>
        </w:rPr>
        <w:t>Collection </w:t>
      </w:r>
      <w:r>
        <w:rPr>
          <w:b/>
          <w:color w:val="0F0F0F"/>
          <w:spacing w:val="-4"/>
          <w:sz w:val="20"/>
        </w:rPr>
        <w:t>Fund </w:t>
      </w:r>
      <w:r>
        <w:rPr>
          <w:b/>
          <w:color w:val="0F0F0F"/>
          <w:spacing w:val="-2"/>
          <w:sz w:val="20"/>
        </w:rPr>
        <w:t>Adjustment Account</w:t>
      </w:r>
    </w:p>
    <w:p>
      <w:pPr>
        <w:spacing w:before="61"/>
        <w:ind w:left="300" w:right="738" w:hanging="2"/>
        <w:jc w:val="center"/>
        <w:rPr>
          <w:b/>
          <w:sz w:val="20"/>
        </w:rPr>
      </w:pPr>
      <w:r>
        <w:rPr>
          <w:b/>
          <w:color w:val="0F0F0F"/>
          <w:spacing w:val="-2"/>
          <w:sz w:val="20"/>
        </w:rPr>
        <w:t>Capital Adjustment Account</w:t>
      </w:r>
    </w:p>
    <w:p>
      <w:pPr>
        <w:spacing w:before="79"/>
        <w:ind w:left="0" w:right="440" w:firstLine="0"/>
        <w:jc w:val="center"/>
        <w:rPr>
          <w:b/>
          <w:sz w:val="20"/>
        </w:rPr>
      </w:pPr>
      <w:r>
        <w:rPr>
          <w:b/>
          <w:color w:val="0F0F0F"/>
          <w:spacing w:val="-2"/>
          <w:sz w:val="20"/>
        </w:rPr>
        <w:t>Accumulated</w:t>
      </w:r>
    </w:p>
    <w:p>
      <w:pPr>
        <w:spacing w:after="0"/>
        <w:jc w:val="center"/>
        <w:rPr>
          <w:sz w:val="20"/>
        </w:rPr>
        <w:sectPr>
          <w:type w:val="continuous"/>
          <w:pgSz w:w="11910" w:h="16830"/>
          <w:pgMar w:top="1940" w:right="100" w:bottom="280" w:left="20" w:header="1028" w:footer="0"/>
          <w:cols w:equalWidth="0" w:num="3">
            <w:col w:w="7834" w:space="40"/>
            <w:col w:w="1728" w:space="39"/>
            <w:col w:w="2149"/>
          </w:cols>
        </w:sectPr>
      </w:pPr>
    </w:p>
    <w:p>
      <w:pPr>
        <w:tabs>
          <w:tab w:val="left" w:leader="none" w:pos="5208"/>
          <w:tab w:val="right" w:leader="none" w:pos="9616"/>
        </w:tabs>
        <w:spacing w:before="0"/>
        <w:ind w:left="1137" w:right="0" w:firstLine="0"/>
        <w:jc w:val="left"/>
        <w:rPr>
          <w:b/>
          <w:sz w:val="20"/>
        </w:rPr>
      </w:pPr>
      <w:r>
        <w:rPr>
          <w:color w:val="0F0F0F"/>
          <w:sz w:val="19"/>
        </w:rPr>
        <w:t>Holiday</w:t>
      </w:r>
      <w:r>
        <w:rPr>
          <w:color w:val="0F0F0F"/>
          <w:spacing w:val="34"/>
          <w:sz w:val="19"/>
        </w:rPr>
        <w:t> </w:t>
      </w:r>
      <w:r>
        <w:rPr>
          <w:color w:val="0F0F0F"/>
          <w:spacing w:val="-5"/>
          <w:sz w:val="19"/>
        </w:rPr>
        <w:t>Pay</w:t>
      </w:r>
      <w:r>
        <w:rPr>
          <w:color w:val="0F0F0F"/>
          <w:sz w:val="19"/>
        </w:rPr>
        <w:tab/>
      </w:r>
      <w:r>
        <w:rPr>
          <w:color w:val="0F0F0F"/>
          <w:spacing w:val="-4"/>
          <w:sz w:val="19"/>
        </w:rPr>
        <w:t>(22)</w:t>
      </w:r>
      <w:r>
        <w:rPr>
          <w:color w:val="0F0F0F"/>
          <w:sz w:val="19"/>
        </w:rPr>
        <w:tab/>
      </w:r>
      <w:r>
        <w:rPr>
          <w:b/>
          <w:color w:val="0F0F0F"/>
          <w:spacing w:val="-5"/>
          <w:sz w:val="20"/>
        </w:rPr>
        <w:t>22</w:t>
      </w:r>
    </w:p>
    <w:p>
      <w:pPr>
        <w:tabs>
          <w:tab w:val="left" w:leader="none" w:pos="4949"/>
          <w:tab w:val="left" w:leader="none" w:pos="6408"/>
          <w:tab w:val="left" w:leader="none" w:pos="7709"/>
          <w:tab w:val="left" w:leader="none" w:pos="8863"/>
        </w:tabs>
        <w:spacing w:before="357"/>
        <w:ind w:left="1143" w:right="0" w:firstLine="0"/>
        <w:jc w:val="left"/>
        <w:rPr>
          <w:b/>
          <w:sz w:val="20"/>
        </w:rPr>
      </w:pPr>
      <w:r>
        <w:rPr/>
        <ve:AlternateContent>
          <ve:Choice Requires="wps">
            <w:drawing>
              <wp:anchor distT="0" distB="0" distL="0" distR="0" simplePos="0" relativeHeight="15771648" behindDoc="0" locked="0" layoutInCell="1" allowOverlap="1">
                <wp:simplePos x="0" y="0"/>
                <wp:positionH relativeFrom="page">
                  <wp:posOffset>2759836</wp:posOffset>
                </wp:positionH>
                <wp:positionV relativeFrom="paragraph">
                  <wp:posOffset>162772</wp:posOffset>
                </wp:positionV>
                <wp:extent cx="3431540" cy="1270"/>
                <wp:effectExtent l="0" t="0" r="0" b="0"/>
                <wp:wrapNone/>
                <wp:docPr id="215" name="Graphic 215"/>
                <wp:cNvGraphicFramePr>
                  <a:graphicFrameLocks/>
                </wp:cNvGraphicFramePr>
                <a:graphic>
                  <a:graphicData uri="http://schemas.microsoft.com/office/word/2010/wordprocessingShape">
                    <wps:wsp>
                      <wps:cNvPr id="215" name="Graphic 215"/>
                      <wps:cNvSpPr/>
                      <wps:spPr>
                        <a:xfrm>
                          <a:off x="0" y="0"/>
                          <a:ext cx="3431540" cy="1270"/>
                        </a:xfrm>
                        <a:custGeom>
                          <a:avLst/>
                          <a:gdLst/>
                          <a:ahLst/>
                          <a:cxnLst/>
                          <a:rect l="l" t="t" r="r" b="b"/>
                          <a:pathLst>
                            <a:path w="3431540" h="0">
                              <a:moveTo>
                                <a:pt x="0" y="0"/>
                              </a:moveTo>
                              <a:lnTo>
                                <a:pt x="3431478"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71648" stroked="true" strokecolor="#000000" strokeweight=".720821pt" from="217.309967pt,12.816765pt" to="487.505096pt,12.816765pt">
                <v:stroke dashstyle="solid"/>
                <w10:wrap type="none"/>
              </v:line>
            </w:pict>
          </ve:Fallback>
        </ve:AlternateContent>
      </w:r>
      <w:r>
        <w:rPr>
          <w:b/>
          <w:color w:val="0F0F0F"/>
          <w:sz w:val="20"/>
        </w:rPr>
        <w:t>Total </w:t>
      </w:r>
      <w:r>
        <w:rPr>
          <w:b/>
          <w:color w:val="0F0F0F"/>
          <w:spacing w:val="-2"/>
          <w:sz w:val="20"/>
        </w:rPr>
        <w:t>Adjustments</w:t>
      </w:r>
      <w:r>
        <w:rPr>
          <w:b/>
          <w:color w:val="0F0F0F"/>
          <w:sz w:val="20"/>
        </w:rPr>
        <w:tab/>
      </w:r>
      <w:r>
        <w:rPr>
          <w:b/>
          <w:color w:val="0F0F0F"/>
          <w:spacing w:val="-2"/>
          <w:sz w:val="20"/>
        </w:rPr>
        <w:t>13,679</w:t>
      </w:r>
      <w:r>
        <w:rPr>
          <w:b/>
          <w:color w:val="0F0F0F"/>
          <w:sz w:val="20"/>
        </w:rPr>
        <w:tab/>
      </w:r>
      <w:r>
        <w:rPr>
          <w:b/>
          <w:color w:val="0F0F0F"/>
          <w:spacing w:val="-5"/>
          <w:sz w:val="20"/>
        </w:rPr>
        <w:t>570</w:t>
      </w:r>
      <w:r>
        <w:rPr>
          <w:b/>
          <w:color w:val="0F0F0F"/>
          <w:sz w:val="20"/>
        </w:rPr>
        <w:tab/>
      </w:r>
      <w:r>
        <w:rPr>
          <w:b/>
          <w:color w:val="0F0F0F"/>
          <w:spacing w:val="-2"/>
          <w:sz w:val="20"/>
        </w:rPr>
        <w:t>(3,768)</w:t>
      </w:r>
      <w:r>
        <w:rPr>
          <w:b/>
          <w:color w:val="0F0F0F"/>
          <w:sz w:val="20"/>
        </w:rPr>
        <w:tab/>
      </w:r>
      <w:r>
        <w:rPr>
          <w:b/>
          <w:color w:val="0F0F0F"/>
          <w:spacing w:val="-2"/>
          <w:sz w:val="20"/>
        </w:rPr>
        <w:t>(10,481)</w:t>
      </w:r>
    </w:p>
    <w:p>
      <w:pPr>
        <w:spacing w:before="0" w:line="240" w:lineRule="auto"/>
        <w:ind w:left="439" w:right="821" w:hanging="73"/>
        <w:jc w:val="left"/>
        <w:rPr>
          <w:b/>
          <w:sz w:val="20"/>
        </w:rPr>
      </w:pPr>
      <w:r>
        <w:rPr/>
        <w:br w:type="column"/>
      </w:r>
      <w:r>
        <w:rPr>
          <w:b/>
          <w:color w:val="0F0F0F"/>
          <w:spacing w:val="-2"/>
          <w:sz w:val="20"/>
        </w:rPr>
        <w:t>Absences Account</w:t>
      </w:r>
    </w:p>
    <w:p>
      <w:pPr>
        <w:spacing w:after="0" w:line="240" w:lineRule="auto"/>
        <w:jc w:val="left"/>
        <w:rPr>
          <w:sz w:val="20"/>
        </w:rPr>
        <w:sectPr>
          <w:type w:val="continuous"/>
          <w:pgSz w:w="11910" w:h="16830"/>
          <w:pgMar w:top="1940" w:right="100" w:bottom="280" w:left="20" w:header="1028" w:footer="0"/>
          <w:cols w:equalWidth="0" w:num="2">
            <w:col w:w="9617" w:space="40"/>
            <w:col w:w="2133"/>
          </w:cols>
        </w:sectPr>
      </w:pPr>
    </w:p>
    <w:p>
      <w:pPr>
        <w:pStyle w:val="BodyText"/>
        <w:spacing w:before="4"/>
        <w:rPr>
          <w:b/>
          <w:sz w:val="6"/>
        </w:rPr>
      </w:pPr>
    </w:p>
    <w:p>
      <w:pPr>
        <w:pStyle w:val="BodyText"/>
        <w:spacing w:line="20" w:lineRule="exact"/>
        <w:ind w:left="4326"/>
        <w:rPr>
          <w:sz w:val="2"/>
        </w:rPr>
      </w:pPr>
      <w:r>
        <w:rPr>
          <w:sz w:val="2"/>
        </w:rPr>
        <ve:AlternateContent>
          <ve:Choice Requires="wps">
            <w:drawing>
              <wp:inline distT="0" distB="0" distL="0" distR="0">
                <wp:extent cx="3444240" cy="9525"/>
                <wp:effectExtent l="9525" t="0" r="3810" b="0"/>
                <wp:docPr id="216" name="Group 216"/>
                <wp:cNvGraphicFramePr>
                  <a:graphicFrameLocks/>
                </wp:cNvGraphicFramePr>
                <a:graphic>
                  <a:graphicData uri="http://schemas.microsoft.com/office/word/2010/wordprocessingGroup">
                    <wpg:wgp>
                      <wpg:cNvPr id="216" name="Group 216"/>
                      <wpg:cNvGrpSpPr/>
                      <wpg:grpSpPr>
                        <a:xfrm>
                          <a:off x="0" y="0"/>
                          <a:ext cx="3444240" cy="9525"/>
                          <a:chExt cx="3444240" cy="9525"/>
                        </a:xfrm>
                      </wpg:grpSpPr>
                      <wps:wsp>
                        <wps:cNvPr id="217" name="Graphic 217"/>
                        <wps:cNvSpPr/>
                        <wps:spPr>
                          <a:xfrm>
                            <a:off x="0" y="4577"/>
                            <a:ext cx="3444240" cy="1270"/>
                          </a:xfrm>
                          <a:custGeom>
                            <a:avLst/>
                            <a:gdLst/>
                            <a:ahLst/>
                            <a:cxnLst/>
                            <a:rect l="l" t="t" r="r" b="b"/>
                            <a:pathLst>
                              <a:path w="3444240" h="0">
                                <a:moveTo>
                                  <a:pt x="0" y="0"/>
                                </a:moveTo>
                                <a:lnTo>
                                  <a:pt x="3443689"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34" style="width:271.2pt;height:.75pt;mso-position-horizontal-relative:char;mso-position-vertical-relative:line" coordsize="5424,15" coordorigin="0,0">
                <v:line style="position:absolute" stroked="true" strokecolor="#000000" strokeweight=".720821pt" from="0,7" to="5423,7">
                  <v:stroke dashstyle="solid"/>
                </v:line>
              </v:group>
            </w:pict>
          </ve:Fallback>
        </ve:AlternateContent>
      </w:r>
      <w:r>
        <w:rPr>
          <w:sz w:val="2"/>
        </w:rPr>
      </w:r>
    </w:p>
    <w:p>
      <w:pPr>
        <w:spacing w:after="0" w:line="20" w:lineRule="exact"/>
        <w:rPr>
          <w:sz w:val="2"/>
        </w:rPr>
        <w:sectPr>
          <w:type w:val="continuous"/>
          <w:pgSz w:w="11910" w:h="16830"/>
          <w:pgMar w:top="1940" w:right="100" w:bottom="280" w:left="20" w:header="1028" w:footer="0"/>
        </w:sectPr>
      </w:pPr>
    </w:p>
    <w:p>
      <w:pPr>
        <w:tabs>
          <w:tab w:val="left" w:leader="none" w:pos="2377"/>
        </w:tabs>
        <w:spacing w:before="74"/>
        <w:ind w:left="1653" w:right="0" w:firstLine="0"/>
        <w:jc w:val="left"/>
        <w:rPr>
          <w:sz w:val="15"/>
        </w:rPr>
      </w:pPr>
      <w:r>
        <w:rPr>
          <w:color w:val="ACACAC"/>
          <w:spacing w:val="-5"/>
          <w:sz w:val="15"/>
        </w:rPr>
        <w:t>:3</w:t>
      </w:r>
      <w:r>
        <w:rPr>
          <w:color w:val="ACACAC"/>
          <w:sz w:val="15"/>
        </w:rPr>
        <w:tab/>
        <w:t>N0-::.3</w:t>
      </w:r>
      <w:r>
        <w:rPr>
          <w:color w:val="ACACAC"/>
          <w:spacing w:val="1"/>
          <w:sz w:val="15"/>
        </w:rPr>
        <w:t> </w:t>
      </w:r>
      <w:r>
        <w:rPr>
          <w:i/>
          <w:color w:val="ACACAC"/>
          <w:sz w:val="15"/>
        </w:rPr>
        <w:t>TO</w:t>
      </w:r>
      <w:r>
        <w:rPr>
          <w:i/>
          <w:color w:val="ACACAC"/>
          <w:spacing w:val="17"/>
          <w:sz w:val="15"/>
        </w:rPr>
        <w:t> </w:t>
      </w:r>
      <w:r>
        <w:rPr>
          <w:color w:val="ACACAC"/>
          <w:sz w:val="15"/>
        </w:rPr>
        <w:t>-:-:-JE</w:t>
      </w:r>
      <w:r>
        <w:rPr>
          <w:color w:val="ACACAC"/>
          <w:spacing w:val="16"/>
          <w:sz w:val="15"/>
        </w:rPr>
        <w:t> </w:t>
      </w:r>
      <w:r>
        <w:rPr>
          <w:color w:val="ACACAC"/>
          <w:spacing w:val="-2"/>
          <w:sz w:val="15"/>
        </w:rPr>
        <w:t>ACCOU?HS</w:t>
      </w:r>
    </w:p>
    <w:p>
      <w:pPr>
        <w:pStyle w:val="BodyText"/>
        <w:spacing w:before="133"/>
        <w:rPr>
          <w:sz w:val="19"/>
        </w:rPr>
      </w:pPr>
    </w:p>
    <w:p>
      <w:pPr>
        <w:spacing w:before="1"/>
        <w:ind w:left="5951" w:right="0" w:firstLine="0"/>
        <w:jc w:val="left"/>
        <w:rPr>
          <w:b/>
          <w:sz w:val="19"/>
        </w:rPr>
      </w:pPr>
      <w:r>
        <w:rPr>
          <w:b/>
          <w:color w:val="070707"/>
          <w:w w:val="105"/>
          <w:sz w:val="19"/>
        </w:rPr>
        <w:t>Usable</w:t>
      </w:r>
      <w:r>
        <w:rPr>
          <w:b/>
          <w:color w:val="070707"/>
          <w:spacing w:val="-10"/>
          <w:w w:val="105"/>
          <w:sz w:val="19"/>
        </w:rPr>
        <w:t> </w:t>
      </w:r>
      <w:r>
        <w:rPr>
          <w:b/>
          <w:color w:val="070707"/>
          <w:spacing w:val="-2"/>
          <w:w w:val="105"/>
          <w:sz w:val="19"/>
        </w:rPr>
        <w:t>Reserves</w:t>
      </w:r>
    </w:p>
    <w:p>
      <w:pPr>
        <w:spacing w:before="17"/>
        <w:ind w:left="1157" w:right="0" w:firstLine="0"/>
        <w:jc w:val="left"/>
        <w:rPr>
          <w:b/>
          <w:sz w:val="19"/>
        </w:rPr>
      </w:pPr>
      <w:r>
        <w:rPr/>
        <ve:AlternateContent>
          <ve:Choice Requires="wps">
            <w:drawing>
              <wp:anchor distT="0" distB="0" distL="0" distR="0" simplePos="0" relativeHeight="15774208" behindDoc="0" locked="0" layoutInCell="1" allowOverlap="1">
                <wp:simplePos x="0" y="0"/>
                <wp:positionH relativeFrom="page">
                  <wp:posOffset>3215425</wp:posOffset>
                </wp:positionH>
                <wp:positionV relativeFrom="paragraph">
                  <wp:posOffset>14510</wp:posOffset>
                </wp:positionV>
                <wp:extent cx="3796029" cy="725805"/>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3796029" cy="72580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967"/>
                              <w:gridCol w:w="1124"/>
                              <w:gridCol w:w="1255"/>
                              <w:gridCol w:w="1351"/>
                              <w:gridCol w:w="1161"/>
                            </w:tblGrid>
                            <w:tr>
                              <w:trPr>
                                <w:trHeight w:val="452" w:hRule="atLeast"/>
                              </w:trPr>
                              <w:tc>
                                <w:tcPr>
                                  <w:tcW w:w="967" w:type="dxa"/>
                                </w:tcPr>
                                <w:p>
                                  <w:pPr>
                                    <w:pStyle w:val="TableParagraph"/>
                                    <w:spacing w:before="10"/>
                                    <w:rPr>
                                      <w:b/>
                                      <w:sz w:val="19"/>
                                    </w:rPr>
                                  </w:pPr>
                                </w:p>
                                <w:p>
                                  <w:pPr>
                                    <w:pStyle w:val="TableParagraph"/>
                                    <w:spacing w:before="1" w:line="203" w:lineRule="exact"/>
                                    <w:ind w:left="9" w:right="102"/>
                                    <w:jc w:val="center"/>
                                    <w:rPr>
                                      <w:b/>
                                      <w:sz w:val="19"/>
                                    </w:rPr>
                                  </w:pPr>
                                  <w:r>
                                    <w:rPr>
                                      <w:b/>
                                      <w:color w:val="070707"/>
                                      <w:spacing w:val="-2"/>
                                      <w:w w:val="105"/>
                                      <w:sz w:val="19"/>
                                    </w:rPr>
                                    <w:t>General</w:t>
                                  </w:r>
                                </w:p>
                              </w:tc>
                              <w:tc>
                                <w:tcPr>
                                  <w:tcW w:w="1124" w:type="dxa"/>
                                </w:tcPr>
                                <w:p>
                                  <w:pPr>
                                    <w:pStyle w:val="TableParagraph"/>
                                    <w:spacing w:before="6"/>
                                    <w:rPr>
                                      <w:b/>
                                      <w:sz w:val="19"/>
                                    </w:rPr>
                                  </w:pPr>
                                </w:p>
                                <w:p>
                                  <w:pPr>
                                    <w:pStyle w:val="TableParagraph"/>
                                    <w:spacing w:line="208" w:lineRule="exact"/>
                                    <w:ind w:left="9" w:right="4"/>
                                    <w:jc w:val="center"/>
                                    <w:rPr>
                                      <w:b/>
                                      <w:sz w:val="19"/>
                                    </w:rPr>
                                  </w:pPr>
                                  <w:r>
                                    <w:rPr>
                                      <w:b/>
                                      <w:color w:val="070707"/>
                                      <w:spacing w:val="-2"/>
                                      <w:w w:val="105"/>
                                      <w:sz w:val="19"/>
                                    </w:rPr>
                                    <w:t>Capital</w:t>
                                  </w:r>
                                </w:p>
                              </w:tc>
                              <w:tc>
                                <w:tcPr>
                                  <w:tcW w:w="1255" w:type="dxa"/>
                                </w:tcPr>
                                <w:p>
                                  <w:pPr>
                                    <w:pStyle w:val="TableParagraph"/>
                                    <w:spacing w:before="6"/>
                                    <w:rPr>
                                      <w:b/>
                                      <w:sz w:val="19"/>
                                    </w:rPr>
                                  </w:pPr>
                                </w:p>
                                <w:p>
                                  <w:pPr>
                                    <w:pStyle w:val="TableParagraph"/>
                                    <w:spacing w:line="208" w:lineRule="exact"/>
                                    <w:ind w:left="33"/>
                                    <w:jc w:val="center"/>
                                    <w:rPr>
                                      <w:b/>
                                      <w:sz w:val="19"/>
                                    </w:rPr>
                                  </w:pPr>
                                  <w:r>
                                    <w:rPr>
                                      <w:b/>
                                      <w:color w:val="070707"/>
                                      <w:spacing w:val="-2"/>
                                      <w:w w:val="105"/>
                                      <w:sz w:val="19"/>
                                    </w:rPr>
                                    <w:t>Capital</w:t>
                                  </w:r>
                                </w:p>
                              </w:tc>
                              <w:tc>
                                <w:tcPr>
                                  <w:tcW w:w="1351" w:type="dxa"/>
                                </w:tcPr>
                                <w:p>
                                  <w:pPr>
                                    <w:pStyle w:val="TableParagraph"/>
                                    <w:spacing w:line="212" w:lineRule="exact"/>
                                    <w:ind w:left="13" w:right="99"/>
                                    <w:jc w:val="center"/>
                                    <w:rPr>
                                      <w:b/>
                                      <w:sz w:val="19"/>
                                    </w:rPr>
                                  </w:pPr>
                                  <w:r>
                                    <w:rPr>
                                      <w:b/>
                                      <w:color w:val="070707"/>
                                      <w:spacing w:val="-2"/>
                                      <w:w w:val="105"/>
                                      <w:sz w:val="19"/>
                                    </w:rPr>
                                    <w:t>Movement</w:t>
                                  </w:r>
                                </w:p>
                                <w:p>
                                  <w:pPr>
                                    <w:pStyle w:val="TableParagraph"/>
                                    <w:spacing w:before="12" w:line="208" w:lineRule="exact"/>
                                    <w:ind w:left="16" w:right="99"/>
                                    <w:jc w:val="center"/>
                                    <w:rPr>
                                      <w:b/>
                                      <w:sz w:val="19"/>
                                    </w:rPr>
                                  </w:pPr>
                                  <w:r>
                                    <w:rPr>
                                      <w:b/>
                                      <w:color w:val="070707"/>
                                      <w:spacing w:val="-5"/>
                                      <w:w w:val="110"/>
                                      <w:sz w:val="19"/>
                                    </w:rPr>
                                    <w:t>in</w:t>
                                  </w:r>
                                </w:p>
                              </w:tc>
                              <w:tc>
                                <w:tcPr>
                                  <w:tcW w:w="1161" w:type="dxa"/>
                                </w:tcPr>
                                <w:p>
                                  <w:pPr>
                                    <w:pStyle w:val="TableParagraph"/>
                                    <w:spacing w:before="1"/>
                                    <w:rPr>
                                      <w:b/>
                                      <w:sz w:val="19"/>
                                    </w:rPr>
                                  </w:pPr>
                                </w:p>
                                <w:p>
                                  <w:pPr>
                                    <w:pStyle w:val="TableParagraph"/>
                                    <w:spacing w:line="212" w:lineRule="exact"/>
                                    <w:ind w:right="69"/>
                                    <w:jc w:val="right"/>
                                    <w:rPr>
                                      <w:b/>
                                      <w:sz w:val="19"/>
                                    </w:rPr>
                                  </w:pPr>
                                  <w:r>
                                    <w:rPr>
                                      <w:b/>
                                      <w:color w:val="070707"/>
                                      <w:spacing w:val="-2"/>
                                      <w:w w:val="105"/>
                                      <w:sz w:val="19"/>
                                    </w:rPr>
                                    <w:t>Relevant</w:t>
                                  </w:r>
                                </w:p>
                              </w:tc>
                            </w:tr>
                            <w:tr>
                              <w:trPr>
                                <w:trHeight w:val="228" w:hRule="atLeast"/>
                              </w:trPr>
                              <w:tc>
                                <w:tcPr>
                                  <w:tcW w:w="967" w:type="dxa"/>
                                </w:tcPr>
                                <w:p>
                                  <w:pPr>
                                    <w:pStyle w:val="TableParagraph"/>
                                    <w:spacing w:before="3" w:line="205" w:lineRule="exact"/>
                                    <w:ind w:left="14" w:right="102"/>
                                    <w:jc w:val="center"/>
                                    <w:rPr>
                                      <w:b/>
                                      <w:sz w:val="19"/>
                                    </w:rPr>
                                  </w:pPr>
                                  <w:r>
                                    <w:rPr>
                                      <w:b/>
                                      <w:color w:val="070707"/>
                                      <w:spacing w:val="-4"/>
                                      <w:w w:val="105"/>
                                      <w:sz w:val="19"/>
                                    </w:rPr>
                                    <w:t>Fund</w:t>
                                  </w:r>
                                </w:p>
                              </w:tc>
                              <w:tc>
                                <w:tcPr>
                                  <w:tcW w:w="1124" w:type="dxa"/>
                                </w:tcPr>
                                <w:p>
                                  <w:pPr>
                                    <w:pStyle w:val="TableParagraph"/>
                                    <w:spacing w:line="208" w:lineRule="exact"/>
                                    <w:ind w:left="5" w:right="9"/>
                                    <w:jc w:val="center"/>
                                    <w:rPr>
                                      <w:b/>
                                      <w:sz w:val="19"/>
                                    </w:rPr>
                                  </w:pPr>
                                  <w:r>
                                    <w:rPr>
                                      <w:b/>
                                      <w:color w:val="070707"/>
                                      <w:spacing w:val="-2"/>
                                      <w:w w:val="105"/>
                                      <w:sz w:val="19"/>
                                    </w:rPr>
                                    <w:t>Receipts</w:t>
                                  </w:r>
                                </w:p>
                              </w:tc>
                              <w:tc>
                                <w:tcPr>
                                  <w:tcW w:w="1255" w:type="dxa"/>
                                </w:tcPr>
                                <w:p>
                                  <w:pPr>
                                    <w:pStyle w:val="TableParagraph"/>
                                    <w:spacing w:line="208" w:lineRule="exact"/>
                                    <w:ind w:left="33" w:right="6"/>
                                    <w:jc w:val="center"/>
                                    <w:rPr>
                                      <w:b/>
                                      <w:sz w:val="19"/>
                                    </w:rPr>
                                  </w:pPr>
                                  <w:r>
                                    <w:rPr>
                                      <w:b/>
                                      <w:color w:val="070707"/>
                                      <w:spacing w:val="-2"/>
                                      <w:w w:val="105"/>
                                      <w:sz w:val="19"/>
                                    </w:rPr>
                                    <w:t>Grants</w:t>
                                  </w:r>
                                </w:p>
                              </w:tc>
                              <w:tc>
                                <w:tcPr>
                                  <w:tcW w:w="1351" w:type="dxa"/>
                                </w:tcPr>
                                <w:p>
                                  <w:pPr>
                                    <w:pStyle w:val="TableParagraph"/>
                                    <w:spacing w:line="208" w:lineRule="exact"/>
                                    <w:ind w:left="2" w:right="99"/>
                                    <w:jc w:val="center"/>
                                    <w:rPr>
                                      <w:b/>
                                      <w:sz w:val="19"/>
                                    </w:rPr>
                                  </w:pPr>
                                  <w:r>
                                    <w:rPr>
                                      <w:b/>
                                      <w:color w:val="070707"/>
                                      <w:spacing w:val="-2"/>
                                      <w:w w:val="105"/>
                                      <w:sz w:val="19"/>
                                    </w:rPr>
                                    <w:t>Unusable</w:t>
                                  </w:r>
                                </w:p>
                              </w:tc>
                              <w:tc>
                                <w:tcPr>
                                  <w:tcW w:w="1161" w:type="dxa"/>
                                </w:tcPr>
                                <w:p>
                                  <w:pPr>
                                    <w:pStyle w:val="TableParagraph"/>
                                    <w:spacing w:line="208" w:lineRule="exact"/>
                                    <w:ind w:right="48"/>
                                    <w:jc w:val="right"/>
                                    <w:rPr>
                                      <w:b/>
                                      <w:sz w:val="19"/>
                                    </w:rPr>
                                  </w:pPr>
                                  <w:r>
                                    <w:rPr>
                                      <w:b/>
                                      <w:color w:val="070707"/>
                                      <w:spacing w:val="-2"/>
                                      <w:w w:val="105"/>
                                      <w:sz w:val="19"/>
                                    </w:rPr>
                                    <w:t>Unusable</w:t>
                                  </w:r>
                                </w:p>
                              </w:tc>
                            </w:tr>
                            <w:tr>
                              <w:trPr>
                                <w:trHeight w:val="235" w:hRule="atLeast"/>
                              </w:trPr>
                              <w:tc>
                                <w:tcPr>
                                  <w:tcW w:w="967" w:type="dxa"/>
                                </w:tcPr>
                                <w:p>
                                  <w:pPr>
                                    <w:pStyle w:val="TableParagraph"/>
                                    <w:spacing w:before="5" w:line="210" w:lineRule="exact"/>
                                    <w:ind w:left="4" w:right="102"/>
                                    <w:jc w:val="center"/>
                                    <w:rPr>
                                      <w:b/>
                                      <w:sz w:val="19"/>
                                    </w:rPr>
                                  </w:pPr>
                                  <w:r>
                                    <w:rPr>
                                      <w:b/>
                                      <w:color w:val="070707"/>
                                      <w:spacing w:val="-2"/>
                                      <w:w w:val="105"/>
                                      <w:sz w:val="19"/>
                                    </w:rPr>
                                    <w:t>Balance</w:t>
                                  </w:r>
                                </w:p>
                              </w:tc>
                              <w:tc>
                                <w:tcPr>
                                  <w:tcW w:w="1124" w:type="dxa"/>
                                </w:tcPr>
                                <w:p>
                                  <w:pPr>
                                    <w:pStyle w:val="TableParagraph"/>
                                    <w:spacing w:before="5" w:line="210" w:lineRule="exact"/>
                                    <w:ind w:left="5" w:right="5"/>
                                    <w:jc w:val="center"/>
                                    <w:rPr>
                                      <w:b/>
                                      <w:sz w:val="19"/>
                                    </w:rPr>
                                  </w:pPr>
                                  <w:r>
                                    <w:rPr>
                                      <w:b/>
                                      <w:color w:val="070707"/>
                                      <w:spacing w:val="-2"/>
                                      <w:w w:val="105"/>
                                      <w:sz w:val="19"/>
                                    </w:rPr>
                                    <w:t>Reserve</w:t>
                                  </w:r>
                                </w:p>
                              </w:tc>
                              <w:tc>
                                <w:tcPr>
                                  <w:tcW w:w="1255" w:type="dxa"/>
                                </w:tcPr>
                                <w:p>
                                  <w:pPr>
                                    <w:pStyle w:val="TableParagraph"/>
                                    <w:spacing w:line="215" w:lineRule="exact"/>
                                    <w:ind w:left="33" w:right="21"/>
                                    <w:jc w:val="center"/>
                                    <w:rPr>
                                      <w:b/>
                                      <w:sz w:val="19"/>
                                    </w:rPr>
                                  </w:pPr>
                                  <w:r>
                                    <w:rPr>
                                      <w:b/>
                                      <w:color w:val="070707"/>
                                      <w:spacing w:val="-2"/>
                                      <w:w w:val="105"/>
                                      <w:sz w:val="19"/>
                                    </w:rPr>
                                    <w:t>Unapplied</w:t>
                                  </w:r>
                                </w:p>
                              </w:tc>
                              <w:tc>
                                <w:tcPr>
                                  <w:tcW w:w="1351" w:type="dxa"/>
                                </w:tcPr>
                                <w:p>
                                  <w:pPr>
                                    <w:pStyle w:val="TableParagraph"/>
                                    <w:spacing w:line="215" w:lineRule="exact"/>
                                    <w:ind w:right="99"/>
                                    <w:jc w:val="center"/>
                                    <w:rPr>
                                      <w:b/>
                                      <w:sz w:val="19"/>
                                    </w:rPr>
                                  </w:pPr>
                                  <w:r>
                                    <w:rPr>
                                      <w:b/>
                                      <w:color w:val="070707"/>
                                      <w:spacing w:val="-2"/>
                                      <w:w w:val="105"/>
                                      <w:sz w:val="19"/>
                                    </w:rPr>
                                    <w:t>Reserves</w:t>
                                  </w:r>
                                </w:p>
                              </w:tc>
                              <w:tc>
                                <w:tcPr>
                                  <w:tcW w:w="1161" w:type="dxa"/>
                                </w:tcPr>
                                <w:p>
                                  <w:pPr>
                                    <w:pStyle w:val="TableParagraph"/>
                                    <w:spacing w:line="215" w:lineRule="exact"/>
                                    <w:ind w:right="103"/>
                                    <w:jc w:val="right"/>
                                    <w:rPr>
                                      <w:b/>
                                      <w:sz w:val="19"/>
                                    </w:rPr>
                                  </w:pPr>
                                  <w:r>
                                    <w:rPr>
                                      <w:b/>
                                      <w:color w:val="070707"/>
                                      <w:spacing w:val="-2"/>
                                      <w:w w:val="105"/>
                                      <w:sz w:val="19"/>
                                    </w:rPr>
                                    <w:t>Reserve</w:t>
                                  </w:r>
                                </w:p>
                              </w:tc>
                            </w:tr>
                            <w:tr>
                              <w:trPr>
                                <w:trHeight w:val="228" w:hRule="atLeast"/>
                              </w:trPr>
                              <w:tc>
                                <w:tcPr>
                                  <w:tcW w:w="967" w:type="dxa"/>
                                </w:tcPr>
                                <w:p>
                                  <w:pPr>
                                    <w:pStyle w:val="TableParagraph"/>
                                    <w:spacing w:before="10" w:line="199" w:lineRule="exact"/>
                                    <w:ind w:right="102"/>
                                    <w:jc w:val="center"/>
                                    <w:rPr>
                                      <w:b/>
                                      <w:sz w:val="19"/>
                                    </w:rPr>
                                  </w:pPr>
                                  <w:r>
                                    <w:rPr>
                                      <w:b/>
                                      <w:color w:val="070707"/>
                                      <w:spacing w:val="-4"/>
                                      <w:w w:val="105"/>
                                      <w:sz w:val="19"/>
                                    </w:rPr>
                                    <w:t>£000</w:t>
                                  </w:r>
                                </w:p>
                              </w:tc>
                              <w:tc>
                                <w:tcPr>
                                  <w:tcW w:w="1124" w:type="dxa"/>
                                </w:tcPr>
                                <w:p>
                                  <w:pPr>
                                    <w:pStyle w:val="TableParagraph"/>
                                    <w:spacing w:before="10" w:line="199" w:lineRule="exact"/>
                                    <w:ind w:left="5" w:right="6"/>
                                    <w:jc w:val="center"/>
                                    <w:rPr>
                                      <w:b/>
                                      <w:sz w:val="19"/>
                                    </w:rPr>
                                  </w:pPr>
                                  <w:r>
                                    <w:rPr>
                                      <w:b/>
                                      <w:color w:val="070707"/>
                                      <w:spacing w:val="-4"/>
                                      <w:w w:val="105"/>
                                      <w:sz w:val="19"/>
                                    </w:rPr>
                                    <w:t>£000</w:t>
                                  </w:r>
                                </w:p>
                              </w:tc>
                              <w:tc>
                                <w:tcPr>
                                  <w:tcW w:w="1255" w:type="dxa"/>
                                </w:tcPr>
                                <w:p>
                                  <w:pPr>
                                    <w:pStyle w:val="TableParagraph"/>
                                    <w:spacing w:before="5" w:line="203" w:lineRule="exact"/>
                                    <w:ind w:left="33" w:right="11"/>
                                    <w:jc w:val="center"/>
                                    <w:rPr>
                                      <w:b/>
                                      <w:sz w:val="19"/>
                                    </w:rPr>
                                  </w:pPr>
                                  <w:r>
                                    <w:rPr>
                                      <w:b/>
                                      <w:color w:val="070707"/>
                                      <w:spacing w:val="-4"/>
                                      <w:w w:val="105"/>
                                      <w:sz w:val="19"/>
                                    </w:rPr>
                                    <w:t>£000</w:t>
                                  </w:r>
                                </w:p>
                              </w:tc>
                              <w:tc>
                                <w:tcPr>
                                  <w:tcW w:w="1351" w:type="dxa"/>
                                </w:tcPr>
                                <w:p>
                                  <w:pPr>
                                    <w:pStyle w:val="TableParagraph"/>
                                    <w:spacing w:before="5" w:line="203" w:lineRule="exact"/>
                                    <w:ind w:left="9" w:right="99"/>
                                    <w:jc w:val="center"/>
                                    <w:rPr>
                                      <w:b/>
                                      <w:sz w:val="19"/>
                                    </w:rPr>
                                  </w:pPr>
                                  <w:r>
                                    <w:rPr>
                                      <w:b/>
                                      <w:color w:val="070707"/>
                                      <w:spacing w:val="-4"/>
                                      <w:w w:val="105"/>
                                      <w:sz w:val="19"/>
                                    </w:rPr>
                                    <w:t>£000</w:t>
                                  </w:r>
                                </w:p>
                              </w:tc>
                              <w:tc>
                                <w:tcPr>
                                  <w:tcW w:w="1161" w:type="dxa"/>
                                </w:tcPr>
                                <w:p>
                                  <w:pPr>
                                    <w:pStyle w:val="TableParagraph"/>
                                    <w:rPr>
                                      <w:rFonts w:ascii="Times New Roman"/>
                                      <w:sz w:val="16"/>
                                    </w:rPr>
                                  </w:pPr>
                                </w:p>
                              </w:tc>
                            </w:tr>
                          </w:tbl>
                          <w:p>
                            <w:pPr>
                              <w:pStyle w:val="BodyText"/>
                            </w:pPr>
                          </w:p>
                        </w:txbxContent>
                      </wps:txbx>
                      <wps:bodyPr wrap="square" lIns="0" tIns="0" rIns="0" bIns="0" rtlCol="0">
                        <a:noAutofit/>
                      </wps:bodyPr>
                    </wps:wsp>
                  </a:graphicData>
                </a:graphic>
              </wp:anchor>
            </w:drawing>
          </ve:Choice>
          <ve:Fallback>
            <w:pict>
              <v:shape id="docshape137" style="position:absolute;margin-left:253.183105pt;margin-top:1.142578pt;width:298.9pt;height:57.15pt;mso-position-horizontal-relative:page;mso-position-vertical-relative:paragraph;z-index:15774208"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967"/>
                        <w:gridCol w:w="1124"/>
                        <w:gridCol w:w="1255"/>
                        <w:gridCol w:w="1351"/>
                        <w:gridCol w:w="1161"/>
                      </w:tblGrid>
                      <w:tr>
                        <w:trPr>
                          <w:trHeight w:val="452" w:hRule="atLeast"/>
                        </w:trPr>
                        <w:tc>
                          <w:tcPr>
                            <w:tcW w:w="967" w:type="dxa"/>
                          </w:tcPr>
                          <w:p>
                            <w:pPr>
                              <w:pStyle w:val="TableParagraph"/>
                              <w:spacing w:before="10"/>
                              <w:rPr>
                                <w:b/>
                                <w:sz w:val="19"/>
                              </w:rPr>
                            </w:pPr>
                          </w:p>
                          <w:p>
                            <w:pPr>
                              <w:pStyle w:val="TableParagraph"/>
                              <w:spacing w:before="1" w:line="203" w:lineRule="exact"/>
                              <w:ind w:left="9" w:right="102"/>
                              <w:jc w:val="center"/>
                              <w:rPr>
                                <w:b/>
                                <w:sz w:val="19"/>
                              </w:rPr>
                            </w:pPr>
                            <w:r>
                              <w:rPr>
                                <w:b/>
                                <w:color w:val="070707"/>
                                <w:spacing w:val="-2"/>
                                <w:w w:val="105"/>
                                <w:sz w:val="19"/>
                              </w:rPr>
                              <w:t>General</w:t>
                            </w:r>
                          </w:p>
                        </w:tc>
                        <w:tc>
                          <w:tcPr>
                            <w:tcW w:w="1124" w:type="dxa"/>
                          </w:tcPr>
                          <w:p>
                            <w:pPr>
                              <w:pStyle w:val="TableParagraph"/>
                              <w:spacing w:before="6"/>
                              <w:rPr>
                                <w:b/>
                                <w:sz w:val="19"/>
                              </w:rPr>
                            </w:pPr>
                          </w:p>
                          <w:p>
                            <w:pPr>
                              <w:pStyle w:val="TableParagraph"/>
                              <w:spacing w:line="208" w:lineRule="exact"/>
                              <w:ind w:left="9" w:right="4"/>
                              <w:jc w:val="center"/>
                              <w:rPr>
                                <w:b/>
                                <w:sz w:val="19"/>
                              </w:rPr>
                            </w:pPr>
                            <w:r>
                              <w:rPr>
                                <w:b/>
                                <w:color w:val="070707"/>
                                <w:spacing w:val="-2"/>
                                <w:w w:val="105"/>
                                <w:sz w:val="19"/>
                              </w:rPr>
                              <w:t>Capital</w:t>
                            </w:r>
                          </w:p>
                        </w:tc>
                        <w:tc>
                          <w:tcPr>
                            <w:tcW w:w="1255" w:type="dxa"/>
                          </w:tcPr>
                          <w:p>
                            <w:pPr>
                              <w:pStyle w:val="TableParagraph"/>
                              <w:spacing w:before="6"/>
                              <w:rPr>
                                <w:b/>
                                <w:sz w:val="19"/>
                              </w:rPr>
                            </w:pPr>
                          </w:p>
                          <w:p>
                            <w:pPr>
                              <w:pStyle w:val="TableParagraph"/>
                              <w:spacing w:line="208" w:lineRule="exact"/>
                              <w:ind w:left="33"/>
                              <w:jc w:val="center"/>
                              <w:rPr>
                                <w:b/>
                                <w:sz w:val="19"/>
                              </w:rPr>
                            </w:pPr>
                            <w:r>
                              <w:rPr>
                                <w:b/>
                                <w:color w:val="070707"/>
                                <w:spacing w:val="-2"/>
                                <w:w w:val="105"/>
                                <w:sz w:val="19"/>
                              </w:rPr>
                              <w:t>Capital</w:t>
                            </w:r>
                          </w:p>
                        </w:tc>
                        <w:tc>
                          <w:tcPr>
                            <w:tcW w:w="1351" w:type="dxa"/>
                          </w:tcPr>
                          <w:p>
                            <w:pPr>
                              <w:pStyle w:val="TableParagraph"/>
                              <w:spacing w:line="212" w:lineRule="exact"/>
                              <w:ind w:left="13" w:right="99"/>
                              <w:jc w:val="center"/>
                              <w:rPr>
                                <w:b/>
                                <w:sz w:val="19"/>
                              </w:rPr>
                            </w:pPr>
                            <w:r>
                              <w:rPr>
                                <w:b/>
                                <w:color w:val="070707"/>
                                <w:spacing w:val="-2"/>
                                <w:w w:val="105"/>
                                <w:sz w:val="19"/>
                              </w:rPr>
                              <w:t>Movement</w:t>
                            </w:r>
                          </w:p>
                          <w:p>
                            <w:pPr>
                              <w:pStyle w:val="TableParagraph"/>
                              <w:spacing w:before="12" w:line="208" w:lineRule="exact"/>
                              <w:ind w:left="16" w:right="99"/>
                              <w:jc w:val="center"/>
                              <w:rPr>
                                <w:b/>
                                <w:sz w:val="19"/>
                              </w:rPr>
                            </w:pPr>
                            <w:r>
                              <w:rPr>
                                <w:b/>
                                <w:color w:val="070707"/>
                                <w:spacing w:val="-5"/>
                                <w:w w:val="110"/>
                                <w:sz w:val="19"/>
                              </w:rPr>
                              <w:t>in</w:t>
                            </w:r>
                          </w:p>
                        </w:tc>
                        <w:tc>
                          <w:tcPr>
                            <w:tcW w:w="1161" w:type="dxa"/>
                          </w:tcPr>
                          <w:p>
                            <w:pPr>
                              <w:pStyle w:val="TableParagraph"/>
                              <w:spacing w:before="1"/>
                              <w:rPr>
                                <w:b/>
                                <w:sz w:val="19"/>
                              </w:rPr>
                            </w:pPr>
                          </w:p>
                          <w:p>
                            <w:pPr>
                              <w:pStyle w:val="TableParagraph"/>
                              <w:spacing w:line="212" w:lineRule="exact"/>
                              <w:ind w:right="69"/>
                              <w:jc w:val="right"/>
                              <w:rPr>
                                <w:b/>
                                <w:sz w:val="19"/>
                              </w:rPr>
                            </w:pPr>
                            <w:r>
                              <w:rPr>
                                <w:b/>
                                <w:color w:val="070707"/>
                                <w:spacing w:val="-2"/>
                                <w:w w:val="105"/>
                                <w:sz w:val="19"/>
                              </w:rPr>
                              <w:t>Relevant</w:t>
                            </w:r>
                          </w:p>
                        </w:tc>
                      </w:tr>
                      <w:tr>
                        <w:trPr>
                          <w:trHeight w:val="228" w:hRule="atLeast"/>
                        </w:trPr>
                        <w:tc>
                          <w:tcPr>
                            <w:tcW w:w="967" w:type="dxa"/>
                          </w:tcPr>
                          <w:p>
                            <w:pPr>
                              <w:pStyle w:val="TableParagraph"/>
                              <w:spacing w:before="3" w:line="205" w:lineRule="exact"/>
                              <w:ind w:left="14" w:right="102"/>
                              <w:jc w:val="center"/>
                              <w:rPr>
                                <w:b/>
                                <w:sz w:val="19"/>
                              </w:rPr>
                            </w:pPr>
                            <w:r>
                              <w:rPr>
                                <w:b/>
                                <w:color w:val="070707"/>
                                <w:spacing w:val="-4"/>
                                <w:w w:val="105"/>
                                <w:sz w:val="19"/>
                              </w:rPr>
                              <w:t>Fund</w:t>
                            </w:r>
                          </w:p>
                        </w:tc>
                        <w:tc>
                          <w:tcPr>
                            <w:tcW w:w="1124" w:type="dxa"/>
                          </w:tcPr>
                          <w:p>
                            <w:pPr>
                              <w:pStyle w:val="TableParagraph"/>
                              <w:spacing w:line="208" w:lineRule="exact"/>
                              <w:ind w:left="5" w:right="9"/>
                              <w:jc w:val="center"/>
                              <w:rPr>
                                <w:b/>
                                <w:sz w:val="19"/>
                              </w:rPr>
                            </w:pPr>
                            <w:r>
                              <w:rPr>
                                <w:b/>
                                <w:color w:val="070707"/>
                                <w:spacing w:val="-2"/>
                                <w:w w:val="105"/>
                                <w:sz w:val="19"/>
                              </w:rPr>
                              <w:t>Receipts</w:t>
                            </w:r>
                          </w:p>
                        </w:tc>
                        <w:tc>
                          <w:tcPr>
                            <w:tcW w:w="1255" w:type="dxa"/>
                          </w:tcPr>
                          <w:p>
                            <w:pPr>
                              <w:pStyle w:val="TableParagraph"/>
                              <w:spacing w:line="208" w:lineRule="exact"/>
                              <w:ind w:left="33" w:right="6"/>
                              <w:jc w:val="center"/>
                              <w:rPr>
                                <w:b/>
                                <w:sz w:val="19"/>
                              </w:rPr>
                            </w:pPr>
                            <w:r>
                              <w:rPr>
                                <w:b/>
                                <w:color w:val="070707"/>
                                <w:spacing w:val="-2"/>
                                <w:w w:val="105"/>
                                <w:sz w:val="19"/>
                              </w:rPr>
                              <w:t>Grants</w:t>
                            </w:r>
                          </w:p>
                        </w:tc>
                        <w:tc>
                          <w:tcPr>
                            <w:tcW w:w="1351" w:type="dxa"/>
                          </w:tcPr>
                          <w:p>
                            <w:pPr>
                              <w:pStyle w:val="TableParagraph"/>
                              <w:spacing w:line="208" w:lineRule="exact"/>
                              <w:ind w:left="2" w:right="99"/>
                              <w:jc w:val="center"/>
                              <w:rPr>
                                <w:b/>
                                <w:sz w:val="19"/>
                              </w:rPr>
                            </w:pPr>
                            <w:r>
                              <w:rPr>
                                <w:b/>
                                <w:color w:val="070707"/>
                                <w:spacing w:val="-2"/>
                                <w:w w:val="105"/>
                                <w:sz w:val="19"/>
                              </w:rPr>
                              <w:t>Unusable</w:t>
                            </w:r>
                          </w:p>
                        </w:tc>
                        <w:tc>
                          <w:tcPr>
                            <w:tcW w:w="1161" w:type="dxa"/>
                          </w:tcPr>
                          <w:p>
                            <w:pPr>
                              <w:pStyle w:val="TableParagraph"/>
                              <w:spacing w:line="208" w:lineRule="exact"/>
                              <w:ind w:right="48"/>
                              <w:jc w:val="right"/>
                              <w:rPr>
                                <w:b/>
                                <w:sz w:val="19"/>
                              </w:rPr>
                            </w:pPr>
                            <w:r>
                              <w:rPr>
                                <w:b/>
                                <w:color w:val="070707"/>
                                <w:spacing w:val="-2"/>
                                <w:w w:val="105"/>
                                <w:sz w:val="19"/>
                              </w:rPr>
                              <w:t>Unusable</w:t>
                            </w:r>
                          </w:p>
                        </w:tc>
                      </w:tr>
                      <w:tr>
                        <w:trPr>
                          <w:trHeight w:val="235" w:hRule="atLeast"/>
                        </w:trPr>
                        <w:tc>
                          <w:tcPr>
                            <w:tcW w:w="967" w:type="dxa"/>
                          </w:tcPr>
                          <w:p>
                            <w:pPr>
                              <w:pStyle w:val="TableParagraph"/>
                              <w:spacing w:before="5" w:line="210" w:lineRule="exact"/>
                              <w:ind w:left="4" w:right="102"/>
                              <w:jc w:val="center"/>
                              <w:rPr>
                                <w:b/>
                                <w:sz w:val="19"/>
                              </w:rPr>
                            </w:pPr>
                            <w:r>
                              <w:rPr>
                                <w:b/>
                                <w:color w:val="070707"/>
                                <w:spacing w:val="-2"/>
                                <w:w w:val="105"/>
                                <w:sz w:val="19"/>
                              </w:rPr>
                              <w:t>Balance</w:t>
                            </w:r>
                          </w:p>
                        </w:tc>
                        <w:tc>
                          <w:tcPr>
                            <w:tcW w:w="1124" w:type="dxa"/>
                          </w:tcPr>
                          <w:p>
                            <w:pPr>
                              <w:pStyle w:val="TableParagraph"/>
                              <w:spacing w:before="5" w:line="210" w:lineRule="exact"/>
                              <w:ind w:left="5" w:right="5"/>
                              <w:jc w:val="center"/>
                              <w:rPr>
                                <w:b/>
                                <w:sz w:val="19"/>
                              </w:rPr>
                            </w:pPr>
                            <w:r>
                              <w:rPr>
                                <w:b/>
                                <w:color w:val="070707"/>
                                <w:spacing w:val="-2"/>
                                <w:w w:val="105"/>
                                <w:sz w:val="19"/>
                              </w:rPr>
                              <w:t>Reserve</w:t>
                            </w:r>
                          </w:p>
                        </w:tc>
                        <w:tc>
                          <w:tcPr>
                            <w:tcW w:w="1255" w:type="dxa"/>
                          </w:tcPr>
                          <w:p>
                            <w:pPr>
                              <w:pStyle w:val="TableParagraph"/>
                              <w:spacing w:line="215" w:lineRule="exact"/>
                              <w:ind w:left="33" w:right="21"/>
                              <w:jc w:val="center"/>
                              <w:rPr>
                                <w:b/>
                                <w:sz w:val="19"/>
                              </w:rPr>
                            </w:pPr>
                            <w:r>
                              <w:rPr>
                                <w:b/>
                                <w:color w:val="070707"/>
                                <w:spacing w:val="-2"/>
                                <w:w w:val="105"/>
                                <w:sz w:val="19"/>
                              </w:rPr>
                              <w:t>Unapplied</w:t>
                            </w:r>
                          </w:p>
                        </w:tc>
                        <w:tc>
                          <w:tcPr>
                            <w:tcW w:w="1351" w:type="dxa"/>
                          </w:tcPr>
                          <w:p>
                            <w:pPr>
                              <w:pStyle w:val="TableParagraph"/>
                              <w:spacing w:line="215" w:lineRule="exact"/>
                              <w:ind w:right="99"/>
                              <w:jc w:val="center"/>
                              <w:rPr>
                                <w:b/>
                                <w:sz w:val="19"/>
                              </w:rPr>
                            </w:pPr>
                            <w:r>
                              <w:rPr>
                                <w:b/>
                                <w:color w:val="070707"/>
                                <w:spacing w:val="-2"/>
                                <w:w w:val="105"/>
                                <w:sz w:val="19"/>
                              </w:rPr>
                              <w:t>Reserves</w:t>
                            </w:r>
                          </w:p>
                        </w:tc>
                        <w:tc>
                          <w:tcPr>
                            <w:tcW w:w="1161" w:type="dxa"/>
                          </w:tcPr>
                          <w:p>
                            <w:pPr>
                              <w:pStyle w:val="TableParagraph"/>
                              <w:spacing w:line="215" w:lineRule="exact"/>
                              <w:ind w:right="103"/>
                              <w:jc w:val="right"/>
                              <w:rPr>
                                <w:b/>
                                <w:sz w:val="19"/>
                              </w:rPr>
                            </w:pPr>
                            <w:r>
                              <w:rPr>
                                <w:b/>
                                <w:color w:val="070707"/>
                                <w:spacing w:val="-2"/>
                                <w:w w:val="105"/>
                                <w:sz w:val="19"/>
                              </w:rPr>
                              <w:t>Reserve</w:t>
                            </w:r>
                          </w:p>
                        </w:tc>
                      </w:tr>
                      <w:tr>
                        <w:trPr>
                          <w:trHeight w:val="228" w:hRule="atLeast"/>
                        </w:trPr>
                        <w:tc>
                          <w:tcPr>
                            <w:tcW w:w="967" w:type="dxa"/>
                          </w:tcPr>
                          <w:p>
                            <w:pPr>
                              <w:pStyle w:val="TableParagraph"/>
                              <w:spacing w:before="10" w:line="199" w:lineRule="exact"/>
                              <w:ind w:right="102"/>
                              <w:jc w:val="center"/>
                              <w:rPr>
                                <w:b/>
                                <w:sz w:val="19"/>
                              </w:rPr>
                            </w:pPr>
                            <w:r>
                              <w:rPr>
                                <w:b/>
                                <w:color w:val="070707"/>
                                <w:spacing w:val="-4"/>
                                <w:w w:val="105"/>
                                <w:sz w:val="19"/>
                              </w:rPr>
                              <w:t>£000</w:t>
                            </w:r>
                          </w:p>
                        </w:tc>
                        <w:tc>
                          <w:tcPr>
                            <w:tcW w:w="1124" w:type="dxa"/>
                          </w:tcPr>
                          <w:p>
                            <w:pPr>
                              <w:pStyle w:val="TableParagraph"/>
                              <w:spacing w:before="10" w:line="199" w:lineRule="exact"/>
                              <w:ind w:left="5" w:right="6"/>
                              <w:jc w:val="center"/>
                              <w:rPr>
                                <w:b/>
                                <w:sz w:val="19"/>
                              </w:rPr>
                            </w:pPr>
                            <w:r>
                              <w:rPr>
                                <w:b/>
                                <w:color w:val="070707"/>
                                <w:spacing w:val="-4"/>
                                <w:w w:val="105"/>
                                <w:sz w:val="19"/>
                              </w:rPr>
                              <w:t>£000</w:t>
                            </w:r>
                          </w:p>
                        </w:tc>
                        <w:tc>
                          <w:tcPr>
                            <w:tcW w:w="1255" w:type="dxa"/>
                          </w:tcPr>
                          <w:p>
                            <w:pPr>
                              <w:pStyle w:val="TableParagraph"/>
                              <w:spacing w:before="5" w:line="203" w:lineRule="exact"/>
                              <w:ind w:left="33" w:right="11"/>
                              <w:jc w:val="center"/>
                              <w:rPr>
                                <w:b/>
                                <w:sz w:val="19"/>
                              </w:rPr>
                            </w:pPr>
                            <w:r>
                              <w:rPr>
                                <w:b/>
                                <w:color w:val="070707"/>
                                <w:spacing w:val="-4"/>
                                <w:w w:val="105"/>
                                <w:sz w:val="19"/>
                              </w:rPr>
                              <w:t>£000</w:t>
                            </w:r>
                          </w:p>
                        </w:tc>
                        <w:tc>
                          <w:tcPr>
                            <w:tcW w:w="1351" w:type="dxa"/>
                          </w:tcPr>
                          <w:p>
                            <w:pPr>
                              <w:pStyle w:val="TableParagraph"/>
                              <w:spacing w:before="5" w:line="203" w:lineRule="exact"/>
                              <w:ind w:left="9" w:right="99"/>
                              <w:jc w:val="center"/>
                              <w:rPr>
                                <w:b/>
                                <w:sz w:val="19"/>
                              </w:rPr>
                            </w:pPr>
                            <w:r>
                              <w:rPr>
                                <w:b/>
                                <w:color w:val="070707"/>
                                <w:spacing w:val="-4"/>
                                <w:w w:val="105"/>
                                <w:sz w:val="19"/>
                              </w:rPr>
                              <w:t>£000</w:t>
                            </w:r>
                          </w:p>
                        </w:tc>
                        <w:tc>
                          <w:tcPr>
                            <w:tcW w:w="1161" w:type="dxa"/>
                          </w:tcPr>
                          <w:p>
                            <w:pPr>
                              <w:pStyle w:val="TableParagraph"/>
                              <w:rPr>
                                <w:rFonts w:ascii="Times New Roman"/>
                                <w:sz w:val="16"/>
                              </w:rPr>
                            </w:pPr>
                          </w:p>
                        </w:tc>
                      </w:tr>
                    </w:tbl>
                    <w:p>
                      <w:pPr>
                        <w:pStyle w:val="BodyText"/>
                      </w:pPr>
                    </w:p>
                  </w:txbxContent>
                </v:textbox>
                <w10:wrap type="none"/>
              </v:shape>
            </w:pict>
          </ve:Fallback>
        </ve:AlternateContent>
      </w:r>
      <w:r>
        <w:rPr>
          <w:b/>
          <w:color w:val="070707"/>
          <w:sz w:val="19"/>
        </w:rPr>
        <w:t>2022-</w:t>
      </w:r>
      <w:r>
        <w:rPr>
          <w:b/>
          <w:color w:val="070707"/>
          <w:spacing w:val="-5"/>
          <w:sz w:val="19"/>
        </w:rPr>
        <w:t>23</w:t>
      </w:r>
    </w:p>
    <w:p>
      <w:pPr>
        <w:pStyle w:val="BodyText"/>
        <w:rPr>
          <w:b/>
          <w:sz w:val="20"/>
        </w:rPr>
      </w:pPr>
    </w:p>
    <w:p>
      <w:pPr>
        <w:pStyle w:val="BodyText"/>
        <w:rPr>
          <w:b/>
          <w:sz w:val="20"/>
        </w:rPr>
      </w:pPr>
    </w:p>
    <w:p>
      <w:pPr>
        <w:pStyle w:val="BodyText"/>
        <w:rPr>
          <w:b/>
          <w:sz w:val="20"/>
        </w:rPr>
      </w:pPr>
    </w:p>
    <w:p>
      <w:pPr>
        <w:pStyle w:val="BodyText"/>
        <w:spacing w:before="29"/>
        <w:rPr>
          <w:b/>
          <w:sz w:val="20"/>
        </w:rPr>
      </w:pPr>
    </w:p>
    <w:tbl>
      <w:tblPr>
        <w:tblW w:w="0" w:type="auto"/>
        <w:jc w:val="left"/>
        <w:tblInd w:w="108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204"/>
        <w:gridCol w:w="889"/>
        <w:gridCol w:w="1062"/>
        <w:gridCol w:w="1224"/>
        <w:gridCol w:w="1378"/>
        <w:gridCol w:w="1012"/>
      </w:tblGrid>
      <w:tr>
        <w:trPr>
          <w:trHeight w:val="264" w:hRule="atLeast"/>
        </w:trPr>
        <w:tc>
          <w:tcPr>
            <w:tcW w:w="4204" w:type="dxa"/>
          </w:tcPr>
          <w:p>
            <w:pPr>
              <w:pStyle w:val="TableParagraph"/>
              <w:ind w:left="60"/>
              <w:rPr>
                <w:b/>
                <w:sz w:val="19"/>
              </w:rPr>
            </w:pPr>
            <w:r>
              <w:rPr>
                <w:b/>
                <w:color w:val="070707"/>
                <w:w w:val="105"/>
                <w:sz w:val="19"/>
              </w:rPr>
              <w:t>Reversal</w:t>
            </w:r>
            <w:r>
              <w:rPr>
                <w:b/>
                <w:color w:val="070707"/>
                <w:spacing w:val="6"/>
                <w:w w:val="105"/>
                <w:sz w:val="19"/>
              </w:rPr>
              <w:t> </w:t>
            </w:r>
            <w:r>
              <w:rPr>
                <w:b/>
                <w:color w:val="070707"/>
                <w:w w:val="105"/>
                <w:sz w:val="19"/>
              </w:rPr>
              <w:t>of</w:t>
            </w:r>
            <w:r>
              <w:rPr>
                <w:b/>
                <w:color w:val="070707"/>
                <w:spacing w:val="-9"/>
                <w:w w:val="105"/>
                <w:sz w:val="19"/>
              </w:rPr>
              <w:t> </w:t>
            </w:r>
            <w:r>
              <w:rPr>
                <w:b/>
                <w:color w:val="070707"/>
                <w:w w:val="105"/>
                <w:sz w:val="19"/>
              </w:rPr>
              <w:t>items</w:t>
            </w:r>
            <w:r>
              <w:rPr>
                <w:b/>
                <w:color w:val="070707"/>
                <w:spacing w:val="-5"/>
                <w:w w:val="105"/>
                <w:sz w:val="19"/>
              </w:rPr>
              <w:t> </w:t>
            </w:r>
            <w:r>
              <w:rPr>
                <w:b/>
                <w:color w:val="070707"/>
                <w:w w:val="105"/>
                <w:sz w:val="19"/>
              </w:rPr>
              <w:t>debited</w:t>
            </w:r>
            <w:r>
              <w:rPr>
                <w:b/>
                <w:color w:val="070707"/>
                <w:spacing w:val="3"/>
                <w:w w:val="105"/>
                <w:sz w:val="19"/>
              </w:rPr>
              <w:t> </w:t>
            </w:r>
            <w:r>
              <w:rPr>
                <w:b/>
                <w:color w:val="070707"/>
                <w:w w:val="105"/>
                <w:sz w:val="19"/>
              </w:rPr>
              <w:t>or</w:t>
            </w:r>
            <w:r>
              <w:rPr>
                <w:b/>
                <w:color w:val="070707"/>
                <w:spacing w:val="-6"/>
                <w:w w:val="105"/>
                <w:sz w:val="19"/>
              </w:rPr>
              <w:t> </w:t>
            </w:r>
            <w:r>
              <w:rPr>
                <w:b/>
                <w:color w:val="070707"/>
                <w:w w:val="105"/>
                <w:sz w:val="19"/>
              </w:rPr>
              <w:t>credited</w:t>
            </w:r>
            <w:r>
              <w:rPr>
                <w:b/>
                <w:color w:val="070707"/>
                <w:spacing w:val="6"/>
                <w:w w:val="105"/>
                <w:sz w:val="19"/>
              </w:rPr>
              <w:t> </w:t>
            </w:r>
            <w:r>
              <w:rPr>
                <w:b/>
                <w:color w:val="070707"/>
                <w:w w:val="105"/>
                <w:sz w:val="19"/>
              </w:rPr>
              <w:t>to</w:t>
            </w:r>
            <w:r>
              <w:rPr>
                <w:b/>
                <w:color w:val="070707"/>
                <w:spacing w:val="-5"/>
                <w:w w:val="105"/>
                <w:sz w:val="19"/>
              </w:rPr>
              <w:t> the</w:t>
            </w:r>
          </w:p>
        </w:tc>
        <w:tc>
          <w:tcPr>
            <w:tcW w:w="889" w:type="dxa"/>
          </w:tcPr>
          <w:p>
            <w:pPr>
              <w:pStyle w:val="TableParagraph"/>
              <w:ind w:left="34"/>
              <w:rPr>
                <w:b/>
                <w:sz w:val="19"/>
              </w:rPr>
            </w:pPr>
            <w:r>
              <w:rPr>
                <w:b/>
                <w:color w:val="070707"/>
                <w:spacing w:val="-4"/>
                <w:w w:val="105"/>
                <w:sz w:val="19"/>
              </w:rPr>
              <w:t>CIES</w:t>
            </w:r>
          </w:p>
        </w:tc>
        <w:tc>
          <w:tcPr>
            <w:tcW w:w="4676" w:type="dxa"/>
            <w:gridSpan w:val="4"/>
          </w:tcPr>
          <w:p>
            <w:pPr>
              <w:pStyle w:val="TableParagraph"/>
              <w:rPr>
                <w:rFonts w:ascii="Times New Roman"/>
                <w:sz w:val="18"/>
              </w:rPr>
            </w:pPr>
          </w:p>
        </w:tc>
      </w:tr>
      <w:tr>
        <w:trPr>
          <w:trHeight w:val="370" w:hRule="atLeast"/>
        </w:trPr>
        <w:tc>
          <w:tcPr>
            <w:tcW w:w="4204" w:type="dxa"/>
          </w:tcPr>
          <w:p>
            <w:pPr>
              <w:pStyle w:val="TableParagraph"/>
              <w:spacing w:before="61"/>
              <w:ind w:left="64"/>
              <w:rPr>
                <w:sz w:val="19"/>
              </w:rPr>
            </w:pPr>
            <w:r>
              <w:rPr>
                <w:color w:val="070707"/>
                <w:w w:val="105"/>
                <w:sz w:val="19"/>
              </w:rPr>
              <w:t>Amortisation</w:t>
            </w:r>
            <w:r>
              <w:rPr>
                <w:color w:val="070707"/>
                <w:spacing w:val="4"/>
                <w:w w:val="105"/>
                <w:sz w:val="19"/>
              </w:rPr>
              <w:t> </w:t>
            </w:r>
            <w:r>
              <w:rPr>
                <w:color w:val="070707"/>
                <w:w w:val="105"/>
                <w:sz w:val="19"/>
              </w:rPr>
              <w:t>of</w:t>
            </w:r>
            <w:r>
              <w:rPr>
                <w:color w:val="070707"/>
                <w:spacing w:val="-14"/>
                <w:w w:val="105"/>
                <w:sz w:val="19"/>
              </w:rPr>
              <w:t> </w:t>
            </w:r>
            <w:r>
              <w:rPr>
                <w:color w:val="070707"/>
                <w:w w:val="105"/>
                <w:sz w:val="19"/>
              </w:rPr>
              <w:t>intangible</w:t>
            </w:r>
            <w:r>
              <w:rPr>
                <w:color w:val="070707"/>
                <w:spacing w:val="-8"/>
                <w:w w:val="105"/>
                <w:sz w:val="19"/>
              </w:rPr>
              <w:t> </w:t>
            </w:r>
            <w:r>
              <w:rPr>
                <w:color w:val="070707"/>
                <w:spacing w:val="-2"/>
                <w:w w:val="105"/>
                <w:sz w:val="19"/>
              </w:rPr>
              <w:t>assets</w:t>
            </w:r>
          </w:p>
        </w:tc>
        <w:tc>
          <w:tcPr>
            <w:tcW w:w="889" w:type="dxa"/>
          </w:tcPr>
          <w:p>
            <w:pPr>
              <w:pStyle w:val="TableParagraph"/>
              <w:spacing w:before="66"/>
              <w:ind w:left="185"/>
              <w:rPr>
                <w:sz w:val="19"/>
              </w:rPr>
            </w:pPr>
            <w:r>
              <w:rPr>
                <w:color w:val="070707"/>
                <w:spacing w:val="-4"/>
                <w:w w:val="105"/>
                <w:sz w:val="19"/>
              </w:rPr>
              <w:t>(110)</w:t>
            </w:r>
          </w:p>
        </w:tc>
        <w:tc>
          <w:tcPr>
            <w:tcW w:w="1062" w:type="dxa"/>
          </w:tcPr>
          <w:p>
            <w:pPr>
              <w:pStyle w:val="TableParagraph"/>
              <w:rPr>
                <w:rFonts w:ascii="Times New Roman"/>
                <w:sz w:val="18"/>
              </w:rPr>
            </w:pPr>
          </w:p>
        </w:tc>
        <w:tc>
          <w:tcPr>
            <w:tcW w:w="1224" w:type="dxa"/>
          </w:tcPr>
          <w:p>
            <w:pPr>
              <w:pStyle w:val="TableParagraph"/>
              <w:rPr>
                <w:rFonts w:ascii="Times New Roman"/>
                <w:sz w:val="18"/>
              </w:rPr>
            </w:pPr>
          </w:p>
        </w:tc>
        <w:tc>
          <w:tcPr>
            <w:tcW w:w="1378" w:type="dxa"/>
          </w:tcPr>
          <w:p>
            <w:pPr>
              <w:pStyle w:val="TableParagraph"/>
              <w:spacing w:before="52"/>
              <w:ind w:right="297"/>
              <w:jc w:val="right"/>
              <w:rPr>
                <w:b/>
                <w:sz w:val="19"/>
              </w:rPr>
            </w:pPr>
            <w:r>
              <w:rPr>
                <w:b/>
                <w:color w:val="070707"/>
                <w:spacing w:val="-5"/>
                <w:w w:val="105"/>
                <w:sz w:val="19"/>
              </w:rPr>
              <w:t>110</w:t>
            </w:r>
          </w:p>
        </w:tc>
        <w:tc>
          <w:tcPr>
            <w:tcW w:w="1012" w:type="dxa"/>
          </w:tcPr>
          <w:p>
            <w:pPr>
              <w:pStyle w:val="TableParagraph"/>
              <w:rPr>
                <w:rFonts w:ascii="Times New Roman"/>
                <w:sz w:val="18"/>
              </w:rPr>
            </w:pPr>
          </w:p>
        </w:tc>
      </w:tr>
      <w:tr>
        <w:trPr>
          <w:trHeight w:val="482" w:hRule="atLeast"/>
        </w:trPr>
        <w:tc>
          <w:tcPr>
            <w:tcW w:w="4204" w:type="dxa"/>
          </w:tcPr>
          <w:p>
            <w:pPr>
              <w:pStyle w:val="TableParagraph"/>
              <w:spacing w:before="95"/>
              <w:ind w:left="54"/>
              <w:rPr>
                <w:sz w:val="19"/>
              </w:rPr>
            </w:pPr>
            <w:r>
              <w:rPr>
                <w:color w:val="070707"/>
                <w:spacing w:val="-2"/>
                <w:w w:val="105"/>
                <w:sz w:val="19"/>
              </w:rPr>
              <w:t>Depreciation</w:t>
            </w:r>
          </w:p>
        </w:tc>
        <w:tc>
          <w:tcPr>
            <w:tcW w:w="889" w:type="dxa"/>
          </w:tcPr>
          <w:p>
            <w:pPr>
              <w:pStyle w:val="TableParagraph"/>
              <w:spacing w:before="100"/>
              <w:ind w:left="17"/>
              <w:rPr>
                <w:sz w:val="19"/>
              </w:rPr>
            </w:pPr>
            <w:r>
              <w:rPr>
                <w:color w:val="070707"/>
                <w:spacing w:val="-2"/>
                <w:w w:val="105"/>
                <w:sz w:val="19"/>
              </w:rPr>
              <w:t>(2,236)</w:t>
            </w:r>
          </w:p>
        </w:tc>
        <w:tc>
          <w:tcPr>
            <w:tcW w:w="1062" w:type="dxa"/>
          </w:tcPr>
          <w:p>
            <w:pPr>
              <w:pStyle w:val="TableParagraph"/>
              <w:rPr>
                <w:rFonts w:ascii="Times New Roman"/>
                <w:sz w:val="18"/>
              </w:rPr>
            </w:pPr>
          </w:p>
        </w:tc>
        <w:tc>
          <w:tcPr>
            <w:tcW w:w="1224" w:type="dxa"/>
          </w:tcPr>
          <w:p>
            <w:pPr>
              <w:pStyle w:val="TableParagraph"/>
              <w:rPr>
                <w:rFonts w:ascii="Times New Roman"/>
                <w:sz w:val="18"/>
              </w:rPr>
            </w:pPr>
          </w:p>
        </w:tc>
        <w:tc>
          <w:tcPr>
            <w:tcW w:w="1378" w:type="dxa"/>
          </w:tcPr>
          <w:p>
            <w:pPr>
              <w:pStyle w:val="TableParagraph"/>
              <w:spacing w:before="90"/>
              <w:ind w:right="301"/>
              <w:jc w:val="right"/>
              <w:rPr>
                <w:b/>
                <w:sz w:val="19"/>
              </w:rPr>
            </w:pPr>
            <w:r>
              <w:rPr>
                <w:b/>
                <w:color w:val="070707"/>
                <w:spacing w:val="-2"/>
                <w:w w:val="105"/>
                <w:sz w:val="19"/>
              </w:rPr>
              <w:t>2,236</w:t>
            </w:r>
          </w:p>
        </w:tc>
        <w:tc>
          <w:tcPr>
            <w:tcW w:w="1012" w:type="dxa"/>
          </w:tcPr>
          <w:p>
            <w:pPr>
              <w:pStyle w:val="TableParagraph"/>
              <w:rPr>
                <w:rFonts w:ascii="Times New Roman"/>
                <w:sz w:val="18"/>
              </w:rPr>
            </w:pPr>
          </w:p>
        </w:tc>
      </w:tr>
      <w:tr>
        <w:trPr>
          <w:trHeight w:val="406" w:hRule="atLeast"/>
        </w:trPr>
        <w:tc>
          <w:tcPr>
            <w:tcW w:w="4204" w:type="dxa"/>
          </w:tcPr>
          <w:p>
            <w:pPr>
              <w:pStyle w:val="TableParagraph"/>
              <w:spacing w:line="182" w:lineRule="exact"/>
              <w:ind w:left="46"/>
              <w:rPr>
                <w:sz w:val="19"/>
              </w:rPr>
            </w:pPr>
            <w:r>
              <w:rPr>
                <w:color w:val="070707"/>
                <w:w w:val="105"/>
                <w:sz w:val="19"/>
              </w:rPr>
              <w:t>Impairment/</w:t>
            </w:r>
            <w:r>
              <w:rPr>
                <w:color w:val="070707"/>
                <w:spacing w:val="10"/>
                <w:w w:val="105"/>
                <w:sz w:val="19"/>
              </w:rPr>
              <w:t> </w:t>
            </w:r>
            <w:r>
              <w:rPr>
                <w:color w:val="070707"/>
                <w:w w:val="105"/>
                <w:sz w:val="19"/>
              </w:rPr>
              <w:t>Revaluation</w:t>
            </w:r>
            <w:r>
              <w:rPr>
                <w:color w:val="070707"/>
                <w:spacing w:val="22"/>
                <w:w w:val="105"/>
                <w:sz w:val="19"/>
              </w:rPr>
              <w:t> </w:t>
            </w:r>
            <w:r>
              <w:rPr>
                <w:color w:val="070707"/>
                <w:w w:val="105"/>
                <w:sz w:val="19"/>
              </w:rPr>
              <w:t>charged</w:t>
            </w:r>
            <w:r>
              <w:rPr>
                <w:color w:val="070707"/>
                <w:spacing w:val="12"/>
                <w:w w:val="105"/>
                <w:sz w:val="19"/>
              </w:rPr>
              <w:t> </w:t>
            </w:r>
            <w:r>
              <w:rPr>
                <w:color w:val="070707"/>
                <w:w w:val="105"/>
                <w:sz w:val="19"/>
              </w:rPr>
              <w:t>to</w:t>
            </w:r>
            <w:r>
              <w:rPr>
                <w:color w:val="070707"/>
                <w:spacing w:val="-4"/>
                <w:w w:val="105"/>
                <w:sz w:val="19"/>
              </w:rPr>
              <w:t> </w:t>
            </w:r>
            <w:r>
              <w:rPr>
                <w:color w:val="070707"/>
                <w:spacing w:val="-5"/>
                <w:w w:val="105"/>
                <w:sz w:val="19"/>
              </w:rPr>
              <w:t>the</w:t>
            </w:r>
          </w:p>
          <w:p>
            <w:pPr>
              <w:pStyle w:val="TableParagraph"/>
              <w:spacing w:before="12" w:line="193" w:lineRule="exact"/>
              <w:ind w:left="50"/>
              <w:rPr>
                <w:sz w:val="19"/>
              </w:rPr>
            </w:pPr>
            <w:r>
              <w:rPr>
                <w:color w:val="070707"/>
                <w:spacing w:val="-4"/>
                <w:w w:val="105"/>
                <w:sz w:val="19"/>
              </w:rPr>
              <w:t>CIES</w:t>
            </w:r>
          </w:p>
        </w:tc>
        <w:tc>
          <w:tcPr>
            <w:tcW w:w="889" w:type="dxa"/>
          </w:tcPr>
          <w:p>
            <w:pPr>
              <w:pStyle w:val="TableParagraph"/>
              <w:spacing w:before="83"/>
              <w:ind w:left="7"/>
              <w:rPr>
                <w:sz w:val="19"/>
              </w:rPr>
            </w:pPr>
            <w:r>
              <w:rPr>
                <w:color w:val="070707"/>
                <w:spacing w:val="-2"/>
                <w:w w:val="105"/>
                <w:sz w:val="19"/>
              </w:rPr>
              <w:t>(3,465)</w:t>
            </w:r>
          </w:p>
        </w:tc>
        <w:tc>
          <w:tcPr>
            <w:tcW w:w="1062" w:type="dxa"/>
          </w:tcPr>
          <w:p>
            <w:pPr>
              <w:pStyle w:val="TableParagraph"/>
              <w:rPr>
                <w:rFonts w:ascii="Times New Roman"/>
                <w:sz w:val="18"/>
              </w:rPr>
            </w:pPr>
          </w:p>
        </w:tc>
        <w:tc>
          <w:tcPr>
            <w:tcW w:w="1224" w:type="dxa"/>
          </w:tcPr>
          <w:p>
            <w:pPr>
              <w:pStyle w:val="TableParagraph"/>
              <w:rPr>
                <w:rFonts w:ascii="Times New Roman"/>
                <w:sz w:val="18"/>
              </w:rPr>
            </w:pPr>
          </w:p>
        </w:tc>
        <w:tc>
          <w:tcPr>
            <w:tcW w:w="1378" w:type="dxa"/>
          </w:tcPr>
          <w:p>
            <w:pPr>
              <w:pStyle w:val="TableParagraph"/>
              <w:spacing w:before="74"/>
              <w:ind w:right="303"/>
              <w:jc w:val="right"/>
              <w:rPr>
                <w:b/>
                <w:sz w:val="19"/>
              </w:rPr>
            </w:pPr>
            <w:r>
              <w:rPr>
                <w:b/>
                <w:color w:val="070707"/>
                <w:spacing w:val="-2"/>
                <w:w w:val="105"/>
                <w:sz w:val="19"/>
              </w:rPr>
              <w:t>3,465</w:t>
            </w:r>
          </w:p>
        </w:tc>
        <w:tc>
          <w:tcPr>
            <w:tcW w:w="1012" w:type="dxa"/>
          </w:tcPr>
          <w:p>
            <w:pPr>
              <w:pStyle w:val="TableParagraph"/>
              <w:spacing w:before="170" w:line="217" w:lineRule="exact"/>
              <w:ind w:left="293"/>
              <w:rPr>
                <w:b/>
                <w:sz w:val="19"/>
              </w:rPr>
            </w:pPr>
            <w:r>
              <w:rPr>
                <w:b/>
                <w:color w:val="070707"/>
                <w:spacing w:val="-2"/>
                <w:w w:val="105"/>
                <w:sz w:val="19"/>
              </w:rPr>
              <w:t>Capital</w:t>
            </w:r>
          </w:p>
        </w:tc>
      </w:tr>
    </w:tbl>
    <w:p>
      <w:pPr>
        <w:spacing w:after="0" w:line="217" w:lineRule="exact"/>
        <w:rPr>
          <w:sz w:val="19"/>
        </w:rPr>
        <w:sectPr>
          <w:headerReference w:type="even" r:id="rId129"/>
          <w:footerReference w:type="even" r:id="rId130"/>
          <w:footerReference w:type="default" r:id="rId131"/>
          <w:pgSz w:w="11910" w:h="16830"/>
          <w:pgMar w:top="800" w:right="100" w:bottom="1200" w:left="20" w:header="0" w:footer="1010"/>
          <w:pgNumType w:start="60"/>
        </w:sectPr>
      </w:pPr>
    </w:p>
    <w:p>
      <w:pPr>
        <w:spacing w:before="87" w:line="254" w:lineRule="auto"/>
        <w:ind w:left="1116" w:right="38" w:firstLine="8"/>
        <w:jc w:val="left"/>
        <w:rPr>
          <w:sz w:val="19"/>
        </w:rPr>
      </w:pPr>
      <w:r>
        <w:rPr>
          <w:color w:val="070707"/>
          <w:w w:val="105"/>
          <w:sz w:val="19"/>
        </w:rPr>
        <w:t>Movements </w:t>
      </w:r>
      <w:r>
        <w:rPr>
          <w:color w:val="1F1F1F"/>
          <w:w w:val="105"/>
          <w:sz w:val="19"/>
        </w:rPr>
        <w:t>in</w:t>
      </w:r>
      <w:r>
        <w:rPr>
          <w:color w:val="1F1F1F"/>
          <w:spacing w:val="-8"/>
          <w:w w:val="105"/>
          <w:sz w:val="19"/>
        </w:rPr>
        <w:t> </w:t>
      </w:r>
      <w:r>
        <w:rPr>
          <w:color w:val="070707"/>
          <w:w w:val="105"/>
          <w:sz w:val="19"/>
        </w:rPr>
        <w:t>the</w:t>
      </w:r>
      <w:r>
        <w:rPr>
          <w:color w:val="070707"/>
          <w:spacing w:val="-8"/>
          <w:w w:val="105"/>
          <w:sz w:val="19"/>
        </w:rPr>
        <w:t> </w:t>
      </w:r>
      <w:r>
        <w:rPr>
          <w:color w:val="070707"/>
          <w:w w:val="105"/>
          <w:sz w:val="19"/>
        </w:rPr>
        <w:t>market</w:t>
      </w:r>
      <w:r>
        <w:rPr>
          <w:color w:val="070707"/>
          <w:spacing w:val="-2"/>
          <w:w w:val="105"/>
          <w:sz w:val="19"/>
        </w:rPr>
        <w:t> </w:t>
      </w:r>
      <w:r>
        <w:rPr>
          <w:color w:val="070707"/>
          <w:w w:val="105"/>
          <w:sz w:val="19"/>
        </w:rPr>
        <w:t>value</w:t>
      </w:r>
      <w:r>
        <w:rPr>
          <w:color w:val="070707"/>
          <w:spacing w:val="-7"/>
          <w:w w:val="105"/>
          <w:sz w:val="19"/>
        </w:rPr>
        <w:t> </w:t>
      </w:r>
      <w:r>
        <w:rPr>
          <w:color w:val="070707"/>
          <w:w w:val="105"/>
          <w:sz w:val="19"/>
        </w:rPr>
        <w:t>of Investment Properties</w:t>
      </w:r>
    </w:p>
    <w:p>
      <w:pPr>
        <w:tabs>
          <w:tab w:val="left" w:leader="none" w:pos="4638"/>
        </w:tabs>
        <w:spacing w:before="198"/>
        <w:ind w:left="1116" w:right="0" w:firstLine="0"/>
        <w:jc w:val="left"/>
        <w:rPr>
          <w:b/>
          <w:sz w:val="19"/>
        </w:rPr>
      </w:pPr>
      <w:r>
        <w:rPr/>
        <w:br w:type="column"/>
      </w:r>
      <w:r>
        <w:rPr>
          <w:color w:val="070707"/>
          <w:spacing w:val="-5"/>
          <w:w w:val="105"/>
          <w:sz w:val="19"/>
        </w:rPr>
        <w:t>815</w:t>
      </w:r>
      <w:r>
        <w:rPr>
          <w:color w:val="070707"/>
          <w:sz w:val="19"/>
        </w:rPr>
        <w:tab/>
      </w:r>
      <w:r>
        <w:rPr>
          <w:b/>
          <w:color w:val="070707"/>
          <w:spacing w:val="-4"/>
          <w:w w:val="105"/>
          <w:position w:val="1"/>
          <w:sz w:val="19"/>
        </w:rPr>
        <w:t>(815)</w:t>
      </w:r>
    </w:p>
    <w:p>
      <w:pPr>
        <w:spacing w:before="0" w:line="254" w:lineRule="auto"/>
        <w:ind w:left="436" w:right="780" w:hanging="150"/>
        <w:jc w:val="left"/>
        <w:rPr>
          <w:b/>
          <w:sz w:val="19"/>
        </w:rPr>
      </w:pPr>
      <w:r>
        <w:rPr/>
        <w:br w:type="column"/>
      </w:r>
      <w:r>
        <w:rPr>
          <w:b/>
          <w:color w:val="070707"/>
          <w:spacing w:val="-2"/>
          <w:w w:val="105"/>
          <w:sz w:val="19"/>
        </w:rPr>
        <w:t>Adjustment Account</w:t>
      </w:r>
    </w:p>
    <w:p>
      <w:pPr>
        <w:spacing w:after="0" w:line="254" w:lineRule="auto"/>
        <w:jc w:val="left"/>
        <w:rPr>
          <w:sz w:val="19"/>
        </w:rPr>
        <w:sectPr>
          <w:type w:val="continuous"/>
          <w:pgSz w:w="11910" w:h="16830"/>
          <w:pgMar w:top="1940" w:right="100" w:bottom="280" w:left="20" w:header="0" w:footer="1010"/>
          <w:cols w:equalWidth="0" w:num="3">
            <w:col w:w="4174" w:space="302"/>
            <w:col w:w="5109" w:space="40"/>
            <w:col w:w="2165"/>
          </w:cols>
        </w:sectPr>
      </w:pPr>
    </w:p>
    <w:p>
      <w:pPr>
        <w:tabs>
          <w:tab w:val="left" w:leader="none" w:pos="5280"/>
          <w:tab w:val="left" w:leader="none" w:pos="9023"/>
        </w:tabs>
        <w:spacing w:before="86" w:line="158" w:lineRule="auto"/>
        <w:ind w:left="1118" w:right="0" w:firstLine="0"/>
        <w:jc w:val="left"/>
        <w:rPr>
          <w:b/>
          <w:sz w:val="19"/>
        </w:rPr>
      </w:pPr>
      <w:r>
        <w:rPr/>
        <ve:AlternateContent>
          <ve:Choice Requires="wps">
            <w:drawing>
              <wp:anchor distT="0" distB="0" distL="0" distR="0" simplePos="0" relativeHeight="15773184" behindDoc="0" locked="0" layoutInCell="1" allowOverlap="1">
                <wp:simplePos x="0" y="0"/>
                <wp:positionH relativeFrom="page">
                  <wp:posOffset>15264</wp:posOffset>
                </wp:positionH>
                <wp:positionV relativeFrom="page">
                  <wp:posOffset>9783050</wp:posOffset>
                </wp:positionV>
                <wp:extent cx="1270" cy="805815"/>
                <wp:effectExtent l="0" t="0" r="0" b="0"/>
                <wp:wrapNone/>
                <wp:docPr id="221" name="Graphic 221"/>
                <wp:cNvGraphicFramePr>
                  <a:graphicFrameLocks/>
                </wp:cNvGraphicFramePr>
                <a:graphic>
                  <a:graphicData uri="http://schemas.microsoft.com/office/word/2010/wordprocessingShape">
                    <wps:wsp>
                      <wps:cNvPr id="221" name="Graphic 221"/>
                      <wps:cNvSpPr/>
                      <wps:spPr>
                        <a:xfrm>
                          <a:off x="0" y="0"/>
                          <a:ext cx="1270" cy="805815"/>
                        </a:xfrm>
                        <a:custGeom>
                          <a:avLst/>
                          <a:gdLst/>
                          <a:ahLst/>
                          <a:cxnLst/>
                          <a:rect l="l" t="t" r="r" b="b"/>
                          <a:pathLst>
                            <a:path w="0" h="805815">
                              <a:moveTo>
                                <a:pt x="0" y="805590"/>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73184" stroked="true" strokecolor="#000000" strokeweight=".961549pt" from="1.201936pt,833.75126pt" to="1.201936pt,770.31897pt">
                <v:stroke dashstyle="solid"/>
                <w10:wrap type="none"/>
              </v:line>
            </w:pict>
          </ve:Fallback>
        </ve:AlternateContent>
      </w:r>
      <w:r>
        <w:rPr>
          <w:color w:val="1F1F1F"/>
          <w:w w:val="105"/>
          <w:sz w:val="19"/>
        </w:rPr>
        <w:t>Revenue</w:t>
      </w:r>
      <w:r>
        <w:rPr>
          <w:color w:val="1F1F1F"/>
          <w:spacing w:val="-4"/>
          <w:w w:val="105"/>
          <w:sz w:val="19"/>
        </w:rPr>
        <w:t> </w:t>
      </w:r>
      <w:r>
        <w:rPr>
          <w:color w:val="070707"/>
          <w:w w:val="105"/>
          <w:sz w:val="19"/>
        </w:rPr>
        <w:t>expenditure</w:t>
      </w:r>
      <w:r>
        <w:rPr>
          <w:color w:val="070707"/>
          <w:spacing w:val="3"/>
          <w:w w:val="105"/>
          <w:sz w:val="19"/>
        </w:rPr>
        <w:t> </w:t>
      </w:r>
      <w:r>
        <w:rPr>
          <w:color w:val="070707"/>
          <w:w w:val="105"/>
          <w:sz w:val="19"/>
        </w:rPr>
        <w:t>funded</w:t>
      </w:r>
      <w:r>
        <w:rPr>
          <w:color w:val="070707"/>
          <w:spacing w:val="-1"/>
          <w:w w:val="105"/>
          <w:sz w:val="19"/>
        </w:rPr>
        <w:t> </w:t>
      </w:r>
      <w:r>
        <w:rPr>
          <w:color w:val="070707"/>
          <w:w w:val="105"/>
          <w:sz w:val="19"/>
        </w:rPr>
        <w:t>from</w:t>
      </w:r>
      <w:r>
        <w:rPr>
          <w:color w:val="070707"/>
          <w:spacing w:val="-3"/>
          <w:w w:val="105"/>
          <w:sz w:val="19"/>
        </w:rPr>
        <w:t> </w:t>
      </w:r>
      <w:r>
        <w:rPr>
          <w:color w:val="070707"/>
          <w:spacing w:val="-2"/>
          <w:w w:val="105"/>
          <w:sz w:val="19"/>
        </w:rPr>
        <w:t>capital</w:t>
      </w:r>
      <w:r>
        <w:rPr>
          <w:color w:val="070707"/>
          <w:sz w:val="19"/>
        </w:rPr>
        <w:tab/>
      </w:r>
      <w:r>
        <w:rPr>
          <w:color w:val="070707"/>
          <w:spacing w:val="-2"/>
          <w:w w:val="105"/>
          <w:position w:val="-11"/>
          <w:sz w:val="19"/>
        </w:rPr>
        <w:t>(2,072)</w:t>
      </w:r>
      <w:r>
        <w:rPr>
          <w:color w:val="070707"/>
          <w:position w:val="-11"/>
          <w:sz w:val="19"/>
        </w:rPr>
        <w:tab/>
      </w:r>
      <w:r>
        <w:rPr>
          <w:b/>
          <w:color w:val="070707"/>
          <w:spacing w:val="-2"/>
          <w:w w:val="105"/>
          <w:position w:val="-10"/>
          <w:sz w:val="19"/>
        </w:rPr>
        <w:t>2,072</w:t>
      </w:r>
    </w:p>
    <w:p>
      <w:pPr>
        <w:spacing w:before="0" w:line="165" w:lineRule="exact"/>
        <w:ind w:left="1121" w:right="0" w:firstLine="0"/>
        <w:jc w:val="left"/>
        <w:rPr>
          <w:sz w:val="19"/>
        </w:rPr>
      </w:pPr>
      <w:r>
        <w:rPr>
          <w:color w:val="1F1F1F"/>
          <w:w w:val="105"/>
          <w:sz w:val="19"/>
        </w:rPr>
        <w:t>under</w:t>
      </w:r>
      <w:r>
        <w:rPr>
          <w:color w:val="1F1F1F"/>
          <w:spacing w:val="-3"/>
          <w:w w:val="105"/>
          <w:sz w:val="19"/>
        </w:rPr>
        <w:t> </w:t>
      </w:r>
      <w:r>
        <w:rPr>
          <w:color w:val="070707"/>
          <w:spacing w:val="-2"/>
          <w:w w:val="105"/>
          <w:sz w:val="19"/>
        </w:rPr>
        <w:t>statute</w:t>
      </w:r>
    </w:p>
    <w:p>
      <w:pPr>
        <w:tabs>
          <w:tab w:val="left" w:leader="none" w:pos="5444"/>
          <w:tab w:val="left" w:leader="none" w:pos="9241"/>
        </w:tabs>
        <w:spacing w:before="127"/>
        <w:ind w:left="1114" w:right="0" w:firstLine="0"/>
        <w:jc w:val="left"/>
        <w:rPr>
          <w:b/>
          <w:sz w:val="19"/>
        </w:rPr>
      </w:pPr>
      <w:r>
        <w:rPr>
          <w:color w:val="070707"/>
          <w:w w:val="105"/>
          <w:sz w:val="19"/>
        </w:rPr>
        <w:t>Non-current</w:t>
      </w:r>
      <w:r>
        <w:rPr>
          <w:color w:val="070707"/>
          <w:spacing w:val="9"/>
          <w:w w:val="105"/>
          <w:sz w:val="19"/>
        </w:rPr>
        <w:t> </w:t>
      </w:r>
      <w:r>
        <w:rPr>
          <w:color w:val="070707"/>
          <w:w w:val="105"/>
          <w:sz w:val="19"/>
        </w:rPr>
        <w:t>assets</w:t>
      </w:r>
      <w:r>
        <w:rPr>
          <w:color w:val="070707"/>
          <w:spacing w:val="-2"/>
          <w:w w:val="105"/>
          <w:sz w:val="19"/>
        </w:rPr>
        <w:t> </w:t>
      </w:r>
      <w:r>
        <w:rPr>
          <w:color w:val="070707"/>
          <w:w w:val="105"/>
          <w:sz w:val="19"/>
        </w:rPr>
        <w:t>written out</w:t>
      </w:r>
      <w:r>
        <w:rPr>
          <w:color w:val="070707"/>
          <w:spacing w:val="-11"/>
          <w:w w:val="105"/>
          <w:sz w:val="19"/>
        </w:rPr>
        <w:t> </w:t>
      </w:r>
      <w:r>
        <w:rPr>
          <w:color w:val="070707"/>
          <w:w w:val="105"/>
          <w:sz w:val="19"/>
        </w:rPr>
        <w:t>on</w:t>
      </w:r>
      <w:r>
        <w:rPr>
          <w:color w:val="070707"/>
          <w:spacing w:val="-5"/>
          <w:w w:val="105"/>
          <w:sz w:val="19"/>
        </w:rPr>
        <w:t> </w:t>
      </w:r>
      <w:r>
        <w:rPr>
          <w:color w:val="070707"/>
          <w:spacing w:val="-2"/>
          <w:w w:val="105"/>
          <w:sz w:val="19"/>
        </w:rPr>
        <w:t>disposal</w:t>
      </w:r>
      <w:r>
        <w:rPr>
          <w:color w:val="070707"/>
          <w:sz w:val="19"/>
        </w:rPr>
        <w:tab/>
      </w:r>
      <w:r>
        <w:rPr>
          <w:color w:val="070707"/>
          <w:spacing w:val="-2"/>
          <w:w w:val="105"/>
          <w:sz w:val="19"/>
        </w:rPr>
        <w:t>(601)</w:t>
      </w:r>
      <w:r>
        <w:rPr>
          <w:color w:val="070707"/>
          <w:sz w:val="19"/>
        </w:rPr>
        <w:tab/>
      </w:r>
      <w:r>
        <w:rPr>
          <w:b/>
          <w:color w:val="070707"/>
          <w:spacing w:val="-5"/>
          <w:w w:val="105"/>
          <w:position w:val="1"/>
          <w:sz w:val="19"/>
        </w:rPr>
        <w:t>601</w:t>
      </w:r>
    </w:p>
    <w:p>
      <w:pPr>
        <w:tabs>
          <w:tab w:val="left" w:leader="none" w:pos="9884"/>
        </w:tabs>
        <w:spacing w:before="108"/>
        <w:ind w:left="1110" w:right="0" w:firstLine="0"/>
        <w:jc w:val="left"/>
        <w:rPr>
          <w:b/>
          <w:sz w:val="19"/>
        </w:rPr>
      </w:pPr>
      <w:r>
        <w:rPr>
          <w:color w:val="070707"/>
          <w:w w:val="105"/>
          <w:sz w:val="19"/>
        </w:rPr>
        <w:t>Accumulated</w:t>
      </w:r>
      <w:r>
        <w:rPr>
          <w:color w:val="070707"/>
          <w:spacing w:val="-1"/>
          <w:w w:val="105"/>
          <w:sz w:val="19"/>
        </w:rPr>
        <w:t> </w:t>
      </w:r>
      <w:r>
        <w:rPr>
          <w:color w:val="070707"/>
          <w:w w:val="105"/>
          <w:sz w:val="19"/>
        </w:rPr>
        <w:t>gains</w:t>
      </w:r>
      <w:r>
        <w:rPr>
          <w:color w:val="070707"/>
          <w:spacing w:val="-8"/>
          <w:w w:val="105"/>
          <w:sz w:val="19"/>
        </w:rPr>
        <w:t> </w:t>
      </w:r>
      <w:r>
        <w:rPr>
          <w:color w:val="070707"/>
          <w:w w:val="105"/>
          <w:sz w:val="19"/>
        </w:rPr>
        <w:t>on</w:t>
      </w:r>
      <w:r>
        <w:rPr>
          <w:color w:val="070707"/>
          <w:spacing w:val="-7"/>
          <w:w w:val="105"/>
          <w:sz w:val="19"/>
        </w:rPr>
        <w:t> </w:t>
      </w:r>
      <w:r>
        <w:rPr>
          <w:color w:val="070707"/>
          <w:w w:val="105"/>
          <w:sz w:val="19"/>
        </w:rPr>
        <w:t>non-current</w:t>
      </w:r>
      <w:r>
        <w:rPr>
          <w:color w:val="070707"/>
          <w:spacing w:val="5"/>
          <w:w w:val="105"/>
          <w:sz w:val="19"/>
        </w:rPr>
        <w:t> </w:t>
      </w:r>
      <w:r>
        <w:rPr>
          <w:color w:val="070707"/>
          <w:spacing w:val="-2"/>
          <w:w w:val="105"/>
          <w:sz w:val="19"/>
        </w:rPr>
        <w:t>assets</w:t>
      </w:r>
      <w:r>
        <w:rPr>
          <w:color w:val="070707"/>
          <w:sz w:val="19"/>
        </w:rPr>
        <w:tab/>
      </w:r>
      <w:r>
        <w:rPr>
          <w:b/>
          <w:color w:val="070707"/>
          <w:spacing w:val="-2"/>
          <w:w w:val="105"/>
          <w:position w:val="1"/>
          <w:sz w:val="19"/>
        </w:rPr>
        <w:t>Revaluation</w:t>
      </w:r>
    </w:p>
    <w:p>
      <w:pPr>
        <w:tabs>
          <w:tab w:val="left" w:leader="none" w:pos="10062"/>
        </w:tabs>
        <w:spacing w:before="2"/>
        <w:ind w:left="1103" w:right="0" w:firstLine="0"/>
        <w:jc w:val="left"/>
        <w:rPr>
          <w:b/>
          <w:sz w:val="19"/>
        </w:rPr>
      </w:pPr>
      <w:r>
        <w:rPr>
          <w:color w:val="070707"/>
          <w:spacing w:val="-2"/>
          <w:w w:val="105"/>
          <w:sz w:val="19"/>
        </w:rPr>
        <w:t>disposed</w:t>
      </w:r>
      <w:r>
        <w:rPr>
          <w:color w:val="070707"/>
          <w:sz w:val="19"/>
        </w:rPr>
        <w:tab/>
      </w:r>
      <w:r>
        <w:rPr>
          <w:b/>
          <w:color w:val="070707"/>
          <w:spacing w:val="-2"/>
          <w:w w:val="105"/>
          <w:position w:val="1"/>
          <w:sz w:val="19"/>
        </w:rPr>
        <w:t>Reserve</w:t>
      </w:r>
    </w:p>
    <w:p>
      <w:pPr>
        <w:spacing w:before="31"/>
        <w:ind w:left="10038" w:right="0" w:firstLine="0"/>
        <w:jc w:val="left"/>
        <w:rPr>
          <w:b/>
          <w:sz w:val="19"/>
        </w:rPr>
      </w:pPr>
      <w:r>
        <w:rPr>
          <w:b/>
          <w:color w:val="070707"/>
          <w:spacing w:val="-2"/>
          <w:w w:val="105"/>
          <w:sz w:val="19"/>
        </w:rPr>
        <w:t>Deferred</w:t>
      </w:r>
    </w:p>
    <w:p>
      <w:pPr>
        <w:tabs>
          <w:tab w:val="left" w:leader="none" w:pos="5569"/>
          <w:tab w:val="left" w:leader="none" w:pos="9042"/>
          <w:tab w:val="left" w:leader="none" w:pos="10110"/>
        </w:tabs>
        <w:spacing w:before="7" w:line="242" w:lineRule="auto"/>
        <w:ind w:left="10028" w:right="928" w:hanging="8929"/>
        <w:jc w:val="left"/>
        <w:rPr>
          <w:b/>
          <w:sz w:val="19"/>
        </w:rPr>
      </w:pPr>
      <w:r>
        <w:rPr>
          <w:color w:val="070707"/>
          <w:w w:val="105"/>
          <w:sz w:val="19"/>
        </w:rPr>
        <w:t>Donated Assets</w:t>
      </w:r>
      <w:r>
        <w:rPr>
          <w:color w:val="070707"/>
          <w:sz w:val="19"/>
        </w:rPr>
        <w:tab/>
      </w:r>
      <w:r>
        <w:rPr>
          <w:color w:val="070707"/>
          <w:spacing w:val="-4"/>
          <w:w w:val="105"/>
          <w:sz w:val="19"/>
        </w:rPr>
        <w:t>159</w:t>
      </w:r>
      <w:r>
        <w:rPr>
          <w:color w:val="070707"/>
          <w:sz w:val="19"/>
        </w:rPr>
        <w:tab/>
      </w:r>
      <w:r>
        <w:rPr>
          <w:b/>
          <w:color w:val="070707"/>
          <w:spacing w:val="-4"/>
          <w:w w:val="105"/>
          <w:position w:val="1"/>
          <w:sz w:val="19"/>
        </w:rPr>
        <w:t>(159)</w:t>
      </w:r>
      <w:r>
        <w:rPr>
          <w:b/>
          <w:color w:val="070707"/>
          <w:position w:val="1"/>
          <w:sz w:val="19"/>
        </w:rPr>
        <w:tab/>
        <w:tab/>
      </w:r>
      <w:r>
        <w:rPr>
          <w:b/>
          <w:color w:val="070707"/>
          <w:spacing w:val="-2"/>
          <w:w w:val="105"/>
          <w:position w:val="1"/>
          <w:sz w:val="19"/>
        </w:rPr>
        <w:t>Capital </w:t>
      </w:r>
      <w:r>
        <w:rPr>
          <w:b/>
          <w:color w:val="070707"/>
          <w:spacing w:val="-2"/>
          <w:w w:val="105"/>
          <w:sz w:val="19"/>
        </w:rPr>
        <w:t>Receipts</w:t>
      </w:r>
    </w:p>
    <w:p>
      <w:pPr>
        <w:tabs>
          <w:tab w:val="left" w:leader="none" w:pos="5337"/>
          <w:tab w:val="left" w:leader="none" w:pos="7670"/>
        </w:tabs>
        <w:spacing w:before="63" w:line="163" w:lineRule="auto"/>
        <w:ind w:left="1090" w:right="3470" w:firstLine="0"/>
        <w:jc w:val="left"/>
        <w:rPr>
          <w:sz w:val="19"/>
        </w:rPr>
      </w:pPr>
      <w:r>
        <w:rPr>
          <w:color w:val="070707"/>
          <w:w w:val="105"/>
          <w:sz w:val="19"/>
        </w:rPr>
        <w:t>Grant income </w:t>
      </w:r>
      <w:r>
        <w:rPr>
          <w:color w:val="333333"/>
          <w:w w:val="105"/>
          <w:sz w:val="19"/>
        </w:rPr>
        <w:t>tran</w:t>
      </w:r>
      <w:r>
        <w:rPr>
          <w:color w:val="070707"/>
          <w:w w:val="105"/>
          <w:sz w:val="19"/>
        </w:rPr>
        <w:t>sferred to Capital</w:t>
      </w:r>
      <w:r>
        <w:rPr>
          <w:color w:val="070707"/>
          <w:sz w:val="19"/>
        </w:rPr>
        <w:tab/>
      </w:r>
      <w:r>
        <w:rPr>
          <w:color w:val="070707"/>
          <w:spacing w:val="-2"/>
          <w:w w:val="105"/>
          <w:position w:val="-11"/>
          <w:sz w:val="19"/>
        </w:rPr>
        <w:t>3,112</w:t>
      </w:r>
      <w:r>
        <w:rPr>
          <w:color w:val="070707"/>
          <w:position w:val="-11"/>
          <w:sz w:val="19"/>
        </w:rPr>
        <w:tab/>
      </w:r>
      <w:r>
        <w:rPr>
          <w:color w:val="070707"/>
          <w:spacing w:val="-2"/>
          <w:w w:val="105"/>
          <w:position w:val="-11"/>
          <w:sz w:val="19"/>
        </w:rPr>
        <w:t>(3</w:t>
      </w:r>
      <w:r>
        <w:rPr>
          <w:color w:val="333333"/>
          <w:spacing w:val="-2"/>
          <w:w w:val="105"/>
          <w:position w:val="-11"/>
          <w:sz w:val="19"/>
        </w:rPr>
        <w:t>,</w:t>
      </w:r>
      <w:r>
        <w:rPr>
          <w:color w:val="070707"/>
          <w:spacing w:val="-2"/>
          <w:w w:val="105"/>
          <w:position w:val="-11"/>
          <w:sz w:val="19"/>
        </w:rPr>
        <w:t>112) </w:t>
      </w:r>
      <w:r>
        <w:rPr>
          <w:color w:val="070707"/>
          <w:w w:val="105"/>
          <w:sz w:val="19"/>
        </w:rPr>
        <w:t>Grants Unapplied</w:t>
      </w:r>
    </w:p>
    <w:p>
      <w:pPr>
        <w:spacing w:before="69"/>
        <w:ind w:left="1086" w:right="0" w:firstLine="0"/>
        <w:jc w:val="left"/>
        <w:rPr>
          <w:b/>
          <w:sz w:val="19"/>
        </w:rPr>
      </w:pPr>
      <w:r>
        <w:rPr>
          <w:b/>
          <w:color w:val="070707"/>
          <w:w w:val="105"/>
          <w:sz w:val="19"/>
        </w:rPr>
        <w:t>Transfers</w:t>
      </w:r>
      <w:r>
        <w:rPr>
          <w:b/>
          <w:color w:val="070707"/>
          <w:spacing w:val="1"/>
          <w:w w:val="105"/>
          <w:sz w:val="19"/>
        </w:rPr>
        <w:t> </w:t>
      </w:r>
      <w:r>
        <w:rPr>
          <w:b/>
          <w:color w:val="070707"/>
          <w:w w:val="105"/>
          <w:sz w:val="19"/>
        </w:rPr>
        <w:t>between</w:t>
      </w:r>
      <w:r>
        <w:rPr>
          <w:b/>
          <w:color w:val="070707"/>
          <w:spacing w:val="1"/>
          <w:w w:val="105"/>
          <w:sz w:val="19"/>
        </w:rPr>
        <w:t> </w:t>
      </w:r>
      <w:r>
        <w:rPr>
          <w:b/>
          <w:color w:val="070707"/>
          <w:w w:val="105"/>
          <w:sz w:val="19"/>
        </w:rPr>
        <w:t>revenue</w:t>
      </w:r>
      <w:r>
        <w:rPr>
          <w:b/>
          <w:color w:val="070707"/>
          <w:spacing w:val="4"/>
          <w:w w:val="105"/>
          <w:sz w:val="19"/>
        </w:rPr>
        <w:t> </w:t>
      </w:r>
      <w:r>
        <w:rPr>
          <w:b/>
          <w:color w:val="070707"/>
          <w:w w:val="105"/>
          <w:sz w:val="19"/>
        </w:rPr>
        <w:t>and</w:t>
      </w:r>
      <w:r>
        <w:rPr>
          <w:b/>
          <w:color w:val="070707"/>
          <w:spacing w:val="-9"/>
          <w:w w:val="105"/>
          <w:sz w:val="19"/>
        </w:rPr>
        <w:t> </w:t>
      </w:r>
      <w:r>
        <w:rPr>
          <w:b/>
          <w:color w:val="070707"/>
          <w:w w:val="105"/>
          <w:sz w:val="19"/>
        </w:rPr>
        <w:t>capital</w:t>
      </w:r>
      <w:r>
        <w:rPr>
          <w:b/>
          <w:color w:val="070707"/>
          <w:spacing w:val="-5"/>
          <w:w w:val="105"/>
          <w:sz w:val="19"/>
        </w:rPr>
        <w:t> </w:t>
      </w:r>
      <w:r>
        <w:rPr>
          <w:b/>
          <w:color w:val="070707"/>
          <w:spacing w:val="-2"/>
          <w:w w:val="105"/>
          <w:sz w:val="19"/>
        </w:rPr>
        <w:t>resources</w:t>
      </w:r>
    </w:p>
    <w:p>
      <w:pPr>
        <w:spacing w:before="31"/>
        <w:ind w:left="10023" w:right="0" w:firstLine="0"/>
        <w:jc w:val="left"/>
        <w:rPr>
          <w:b/>
          <w:sz w:val="19"/>
        </w:rPr>
      </w:pPr>
      <w:r>
        <w:rPr>
          <w:b/>
          <w:color w:val="070707"/>
          <w:spacing w:val="-2"/>
          <w:w w:val="105"/>
          <w:sz w:val="19"/>
        </w:rPr>
        <w:t>Deferred</w:t>
      </w:r>
    </w:p>
    <w:p>
      <w:pPr>
        <w:tabs>
          <w:tab w:val="left" w:leader="none" w:pos="5493"/>
          <w:tab w:val="left" w:leader="none" w:pos="6588"/>
          <w:tab w:val="left" w:leader="none" w:pos="9279"/>
          <w:tab w:val="left" w:leader="none" w:pos="10105"/>
        </w:tabs>
        <w:spacing w:before="37" w:line="158" w:lineRule="auto"/>
        <w:ind w:left="1081" w:right="0" w:firstLine="0"/>
        <w:jc w:val="left"/>
        <w:rPr>
          <w:b/>
          <w:sz w:val="19"/>
        </w:rPr>
      </w:pPr>
      <w:r>
        <w:rPr>
          <w:color w:val="070707"/>
          <w:w w:val="105"/>
          <w:sz w:val="19"/>
        </w:rPr>
        <w:t>Transfer</w:t>
      </w:r>
      <w:r>
        <w:rPr>
          <w:color w:val="070707"/>
          <w:spacing w:val="1"/>
          <w:w w:val="105"/>
          <w:sz w:val="19"/>
        </w:rPr>
        <w:t> </w:t>
      </w:r>
      <w:r>
        <w:rPr>
          <w:color w:val="070707"/>
          <w:w w:val="105"/>
          <w:sz w:val="19"/>
        </w:rPr>
        <w:t>of sale </w:t>
      </w:r>
      <w:r>
        <w:rPr>
          <w:color w:val="1F1F1F"/>
          <w:w w:val="105"/>
          <w:sz w:val="19"/>
        </w:rPr>
        <w:t>proceeds</w:t>
      </w:r>
      <w:r>
        <w:rPr>
          <w:color w:val="1F1F1F"/>
          <w:spacing w:val="3"/>
          <w:w w:val="105"/>
          <w:sz w:val="19"/>
        </w:rPr>
        <w:t> </w:t>
      </w:r>
      <w:r>
        <w:rPr>
          <w:color w:val="070707"/>
          <w:w w:val="105"/>
          <w:sz w:val="19"/>
        </w:rPr>
        <w:t>from</w:t>
      </w:r>
      <w:r>
        <w:rPr>
          <w:color w:val="070707"/>
          <w:spacing w:val="-4"/>
          <w:w w:val="105"/>
          <w:sz w:val="19"/>
        </w:rPr>
        <w:t> </w:t>
      </w:r>
      <w:r>
        <w:rPr>
          <w:color w:val="070707"/>
          <w:w w:val="105"/>
          <w:sz w:val="19"/>
        </w:rPr>
        <w:t>revenue</w:t>
      </w:r>
      <w:r>
        <w:rPr>
          <w:color w:val="070707"/>
          <w:spacing w:val="2"/>
          <w:w w:val="105"/>
          <w:sz w:val="19"/>
        </w:rPr>
        <w:t> </w:t>
      </w:r>
      <w:r>
        <w:rPr>
          <w:color w:val="070707"/>
          <w:spacing w:val="-5"/>
          <w:w w:val="105"/>
          <w:sz w:val="19"/>
        </w:rPr>
        <w:t>to</w:t>
      </w:r>
      <w:r>
        <w:rPr>
          <w:color w:val="070707"/>
          <w:sz w:val="19"/>
        </w:rPr>
        <w:tab/>
      </w:r>
      <w:r>
        <w:rPr>
          <w:color w:val="070707"/>
          <w:spacing w:val="-5"/>
          <w:w w:val="105"/>
          <w:position w:val="-11"/>
          <w:sz w:val="19"/>
        </w:rPr>
        <w:t>269</w:t>
      </w:r>
      <w:r>
        <w:rPr>
          <w:color w:val="070707"/>
          <w:position w:val="-11"/>
          <w:sz w:val="19"/>
        </w:rPr>
        <w:tab/>
      </w:r>
      <w:r>
        <w:rPr>
          <w:color w:val="070707"/>
          <w:spacing w:val="-4"/>
          <w:w w:val="105"/>
          <w:position w:val="-11"/>
          <w:sz w:val="19"/>
        </w:rPr>
        <w:t>(319)</w:t>
      </w:r>
      <w:r>
        <w:rPr>
          <w:color w:val="070707"/>
          <w:position w:val="-11"/>
          <w:sz w:val="19"/>
        </w:rPr>
        <w:tab/>
      </w:r>
      <w:r>
        <w:rPr>
          <w:b/>
          <w:color w:val="070707"/>
          <w:spacing w:val="-5"/>
          <w:w w:val="105"/>
          <w:position w:val="-11"/>
          <w:sz w:val="19"/>
        </w:rPr>
        <w:t>50</w:t>
      </w:r>
      <w:r>
        <w:rPr>
          <w:b/>
          <w:color w:val="070707"/>
          <w:position w:val="-11"/>
          <w:sz w:val="19"/>
        </w:rPr>
        <w:tab/>
      </w:r>
      <w:r>
        <w:rPr>
          <w:b/>
          <w:color w:val="070707"/>
          <w:spacing w:val="-2"/>
          <w:w w:val="105"/>
          <w:sz w:val="19"/>
        </w:rPr>
        <w:t>Capital</w:t>
      </w:r>
    </w:p>
    <w:p>
      <w:pPr>
        <w:tabs>
          <w:tab w:val="left" w:leader="none" w:pos="8941"/>
        </w:tabs>
        <w:spacing w:before="0" w:line="165" w:lineRule="exact"/>
        <w:ind w:left="0" w:right="938" w:firstLine="0"/>
        <w:jc w:val="right"/>
        <w:rPr>
          <w:b/>
          <w:sz w:val="19"/>
        </w:rPr>
      </w:pPr>
      <w:r>
        <w:rPr>
          <w:color w:val="070707"/>
          <w:w w:val="105"/>
          <w:sz w:val="19"/>
        </w:rPr>
        <w:t>the</w:t>
      </w:r>
      <w:r>
        <w:rPr>
          <w:color w:val="070707"/>
          <w:spacing w:val="-5"/>
          <w:w w:val="105"/>
          <w:sz w:val="19"/>
        </w:rPr>
        <w:t> </w:t>
      </w:r>
      <w:r>
        <w:rPr>
          <w:color w:val="1F1F1F"/>
          <w:w w:val="105"/>
          <w:sz w:val="19"/>
        </w:rPr>
        <w:t>Capital</w:t>
      </w:r>
      <w:r>
        <w:rPr>
          <w:color w:val="1F1F1F"/>
          <w:spacing w:val="6"/>
          <w:w w:val="105"/>
          <w:sz w:val="19"/>
        </w:rPr>
        <w:t> </w:t>
      </w:r>
      <w:r>
        <w:rPr>
          <w:color w:val="070707"/>
          <w:w w:val="105"/>
          <w:sz w:val="19"/>
        </w:rPr>
        <w:t>Receipts</w:t>
      </w:r>
      <w:r>
        <w:rPr>
          <w:color w:val="070707"/>
          <w:spacing w:val="8"/>
          <w:w w:val="105"/>
          <w:sz w:val="19"/>
        </w:rPr>
        <w:t> </w:t>
      </w:r>
      <w:r>
        <w:rPr>
          <w:color w:val="1F1F1F"/>
          <w:spacing w:val="-2"/>
          <w:w w:val="105"/>
          <w:sz w:val="19"/>
        </w:rPr>
        <w:t>Reserve</w:t>
      </w:r>
      <w:r>
        <w:rPr>
          <w:color w:val="1F1F1F"/>
          <w:sz w:val="19"/>
        </w:rPr>
        <w:tab/>
      </w:r>
      <w:r>
        <w:rPr>
          <w:b/>
          <w:color w:val="070707"/>
          <w:spacing w:val="-2"/>
          <w:w w:val="105"/>
          <w:sz w:val="19"/>
        </w:rPr>
        <w:t>Receipts</w:t>
      </w:r>
    </w:p>
    <w:p>
      <w:pPr>
        <w:spacing w:before="7"/>
        <w:ind w:left="0" w:right="961" w:firstLine="0"/>
        <w:jc w:val="right"/>
        <w:rPr>
          <w:b/>
          <w:sz w:val="19"/>
        </w:rPr>
      </w:pPr>
      <w:r>
        <w:rPr>
          <w:b/>
          <w:color w:val="070707"/>
          <w:spacing w:val="-2"/>
          <w:w w:val="105"/>
          <w:sz w:val="19"/>
        </w:rPr>
        <w:t>Reserve</w:t>
      </w:r>
    </w:p>
    <w:p>
      <w:pPr>
        <w:tabs>
          <w:tab w:val="left" w:leader="none" w:pos="5544"/>
          <w:tab w:val="left" w:leader="none" w:pos="9085"/>
        </w:tabs>
        <w:spacing w:before="47" w:line="158" w:lineRule="auto"/>
        <w:ind w:left="1071" w:right="0" w:firstLine="0"/>
        <w:jc w:val="left"/>
        <w:rPr>
          <w:b/>
          <w:sz w:val="19"/>
        </w:rPr>
      </w:pPr>
      <w:r>
        <w:rPr>
          <w:color w:val="070707"/>
          <w:w w:val="105"/>
          <w:sz w:val="19"/>
        </w:rPr>
        <w:t>Transfer</w:t>
      </w:r>
      <w:r>
        <w:rPr>
          <w:color w:val="070707"/>
          <w:spacing w:val="5"/>
          <w:w w:val="105"/>
          <w:sz w:val="19"/>
        </w:rPr>
        <w:t> </w:t>
      </w:r>
      <w:r>
        <w:rPr>
          <w:color w:val="070707"/>
          <w:w w:val="105"/>
          <w:sz w:val="19"/>
        </w:rPr>
        <w:t>of</w:t>
      </w:r>
      <w:r>
        <w:rPr>
          <w:color w:val="070707"/>
          <w:spacing w:val="4"/>
          <w:w w:val="105"/>
          <w:sz w:val="19"/>
        </w:rPr>
        <w:t> </w:t>
      </w:r>
      <w:r>
        <w:rPr>
          <w:color w:val="1F1F1F"/>
          <w:w w:val="105"/>
          <w:sz w:val="19"/>
        </w:rPr>
        <w:t>sale</w:t>
      </w:r>
      <w:r>
        <w:rPr>
          <w:color w:val="1F1F1F"/>
          <w:spacing w:val="-11"/>
          <w:w w:val="105"/>
          <w:sz w:val="19"/>
        </w:rPr>
        <w:t> </w:t>
      </w:r>
      <w:r>
        <w:rPr>
          <w:color w:val="070707"/>
          <w:w w:val="105"/>
          <w:sz w:val="19"/>
        </w:rPr>
        <w:t>proceeds</w:t>
      </w:r>
      <w:r>
        <w:rPr>
          <w:color w:val="070707"/>
          <w:spacing w:val="8"/>
          <w:w w:val="105"/>
          <w:sz w:val="19"/>
        </w:rPr>
        <w:t> </w:t>
      </w:r>
      <w:r>
        <w:rPr>
          <w:color w:val="070707"/>
          <w:w w:val="105"/>
          <w:sz w:val="19"/>
        </w:rPr>
        <w:t>from revenue</w:t>
      </w:r>
      <w:r>
        <w:rPr>
          <w:color w:val="070707"/>
          <w:spacing w:val="1"/>
          <w:w w:val="105"/>
          <w:sz w:val="19"/>
        </w:rPr>
        <w:t> </w:t>
      </w:r>
      <w:r>
        <w:rPr>
          <w:color w:val="070707"/>
          <w:spacing w:val="-5"/>
          <w:w w:val="105"/>
          <w:sz w:val="19"/>
        </w:rPr>
        <w:t>to</w:t>
      </w:r>
      <w:r>
        <w:rPr>
          <w:color w:val="070707"/>
          <w:sz w:val="19"/>
        </w:rPr>
        <w:tab/>
      </w:r>
      <w:r>
        <w:rPr>
          <w:color w:val="070707"/>
          <w:spacing w:val="-5"/>
          <w:w w:val="105"/>
          <w:position w:val="-11"/>
          <w:sz w:val="19"/>
        </w:rPr>
        <w:t>491</w:t>
      </w:r>
      <w:r>
        <w:rPr>
          <w:color w:val="070707"/>
          <w:position w:val="-11"/>
          <w:sz w:val="19"/>
        </w:rPr>
        <w:tab/>
      </w:r>
      <w:r>
        <w:rPr>
          <w:b/>
          <w:color w:val="070707"/>
          <w:spacing w:val="-4"/>
          <w:w w:val="105"/>
          <w:position w:val="-10"/>
          <w:sz w:val="19"/>
        </w:rPr>
        <w:t>(491)</w:t>
      </w:r>
    </w:p>
    <w:p>
      <w:pPr>
        <w:tabs>
          <w:tab w:val="left" w:leader="none" w:pos="10096"/>
        </w:tabs>
        <w:spacing w:before="0" w:line="168" w:lineRule="auto"/>
        <w:ind w:left="1068" w:right="0" w:firstLine="0"/>
        <w:jc w:val="left"/>
        <w:rPr>
          <w:b/>
          <w:sz w:val="19"/>
        </w:rPr>
      </w:pPr>
      <w:r>
        <w:rPr>
          <w:color w:val="070707"/>
          <w:w w:val="105"/>
          <w:sz w:val="19"/>
        </w:rPr>
        <w:t>the</w:t>
      </w:r>
      <w:r>
        <w:rPr>
          <w:color w:val="070707"/>
          <w:spacing w:val="-3"/>
          <w:w w:val="105"/>
          <w:sz w:val="19"/>
        </w:rPr>
        <w:t> </w:t>
      </w:r>
      <w:r>
        <w:rPr>
          <w:color w:val="1F1F1F"/>
          <w:w w:val="105"/>
          <w:sz w:val="19"/>
        </w:rPr>
        <w:t>Capital</w:t>
      </w:r>
      <w:r>
        <w:rPr>
          <w:color w:val="1F1F1F"/>
          <w:spacing w:val="4"/>
          <w:w w:val="105"/>
          <w:sz w:val="19"/>
        </w:rPr>
        <w:t> </w:t>
      </w:r>
      <w:r>
        <w:rPr>
          <w:color w:val="1F1F1F"/>
          <w:w w:val="105"/>
          <w:sz w:val="19"/>
        </w:rPr>
        <w:t>Adjustment</w:t>
      </w:r>
      <w:r>
        <w:rPr>
          <w:color w:val="1F1F1F"/>
          <w:spacing w:val="6"/>
          <w:w w:val="105"/>
          <w:sz w:val="19"/>
        </w:rPr>
        <w:t> </w:t>
      </w:r>
      <w:r>
        <w:rPr>
          <w:color w:val="070707"/>
          <w:spacing w:val="-2"/>
          <w:w w:val="105"/>
          <w:sz w:val="19"/>
        </w:rPr>
        <w:t>Account</w:t>
      </w:r>
      <w:r>
        <w:rPr>
          <w:color w:val="070707"/>
          <w:sz w:val="19"/>
        </w:rPr>
        <w:tab/>
      </w:r>
      <w:r>
        <w:rPr>
          <w:b/>
          <w:color w:val="070707"/>
          <w:spacing w:val="-2"/>
          <w:w w:val="105"/>
          <w:position w:val="-11"/>
          <w:sz w:val="19"/>
        </w:rPr>
        <w:t>Capital</w:t>
      </w:r>
    </w:p>
    <w:p>
      <w:pPr>
        <w:tabs>
          <w:tab w:val="left" w:leader="none" w:pos="5487"/>
          <w:tab w:val="left" w:leader="none" w:pos="9080"/>
          <w:tab w:val="left" w:leader="none" w:pos="9879"/>
        </w:tabs>
        <w:spacing w:before="4"/>
        <w:ind w:left="1061" w:right="0" w:firstLine="0"/>
        <w:jc w:val="left"/>
        <w:rPr>
          <w:b/>
          <w:sz w:val="19"/>
        </w:rPr>
      </w:pPr>
      <w:r>
        <w:rPr>
          <w:color w:val="070707"/>
          <w:w w:val="105"/>
          <w:position w:val="2"/>
          <w:sz w:val="19"/>
        </w:rPr>
        <w:t>Minimum</w:t>
      </w:r>
      <w:r>
        <w:rPr>
          <w:color w:val="070707"/>
          <w:spacing w:val="5"/>
          <w:w w:val="105"/>
          <w:position w:val="2"/>
          <w:sz w:val="19"/>
        </w:rPr>
        <w:t> </w:t>
      </w:r>
      <w:r>
        <w:rPr>
          <w:color w:val="070707"/>
          <w:w w:val="105"/>
          <w:position w:val="2"/>
          <w:sz w:val="19"/>
        </w:rPr>
        <w:t>Revenue</w:t>
      </w:r>
      <w:r>
        <w:rPr>
          <w:color w:val="070707"/>
          <w:spacing w:val="7"/>
          <w:w w:val="105"/>
          <w:position w:val="2"/>
          <w:sz w:val="19"/>
        </w:rPr>
        <w:t> </w:t>
      </w:r>
      <w:r>
        <w:rPr>
          <w:color w:val="070707"/>
          <w:spacing w:val="-2"/>
          <w:w w:val="105"/>
          <w:position w:val="2"/>
          <w:sz w:val="19"/>
        </w:rPr>
        <w:t>Provision</w:t>
      </w:r>
      <w:r>
        <w:rPr>
          <w:color w:val="070707"/>
          <w:position w:val="2"/>
          <w:sz w:val="19"/>
        </w:rPr>
        <w:tab/>
      </w:r>
      <w:r>
        <w:rPr>
          <w:color w:val="070707"/>
          <w:spacing w:val="-5"/>
          <w:w w:val="105"/>
          <w:position w:val="1"/>
          <w:sz w:val="19"/>
        </w:rPr>
        <w:t>482</w:t>
      </w:r>
      <w:r>
        <w:rPr>
          <w:color w:val="070707"/>
          <w:position w:val="1"/>
          <w:sz w:val="19"/>
        </w:rPr>
        <w:tab/>
      </w:r>
      <w:r>
        <w:rPr>
          <w:b/>
          <w:color w:val="070707"/>
          <w:spacing w:val="-4"/>
          <w:w w:val="105"/>
          <w:position w:val="2"/>
          <w:sz w:val="19"/>
        </w:rPr>
        <w:t>(482)</w:t>
      </w:r>
      <w:r>
        <w:rPr>
          <w:b/>
          <w:color w:val="070707"/>
          <w:position w:val="2"/>
          <w:sz w:val="19"/>
        </w:rPr>
        <w:tab/>
      </w:r>
      <w:r>
        <w:rPr>
          <w:b/>
          <w:color w:val="070707"/>
          <w:spacing w:val="-2"/>
          <w:w w:val="105"/>
          <w:sz w:val="19"/>
        </w:rPr>
        <w:t>Adjustment</w:t>
      </w:r>
    </w:p>
    <w:p>
      <w:pPr>
        <w:tabs>
          <w:tab w:val="left" w:leader="none" w:pos="10032"/>
        </w:tabs>
        <w:spacing w:before="8" w:line="277" w:lineRule="exact"/>
        <w:ind w:left="1061" w:right="0" w:firstLine="0"/>
        <w:jc w:val="left"/>
        <w:rPr>
          <w:b/>
          <w:sz w:val="19"/>
        </w:rPr>
      </w:pPr>
      <w:r>
        <w:rPr>
          <w:color w:val="070707"/>
          <w:w w:val="105"/>
          <w:sz w:val="19"/>
        </w:rPr>
        <w:t>Cap</w:t>
      </w:r>
      <w:r>
        <w:rPr>
          <w:color w:val="333333"/>
          <w:w w:val="105"/>
          <w:sz w:val="19"/>
        </w:rPr>
        <w:t>ital</w:t>
      </w:r>
      <w:r>
        <w:rPr>
          <w:color w:val="333333"/>
          <w:spacing w:val="-14"/>
          <w:w w:val="105"/>
          <w:sz w:val="19"/>
        </w:rPr>
        <w:t> </w:t>
      </w:r>
      <w:r>
        <w:rPr>
          <w:color w:val="070707"/>
          <w:w w:val="105"/>
          <w:sz w:val="19"/>
        </w:rPr>
        <w:t>expenditure</w:t>
      </w:r>
      <w:r>
        <w:rPr>
          <w:color w:val="070707"/>
          <w:spacing w:val="1"/>
          <w:w w:val="105"/>
          <w:sz w:val="19"/>
        </w:rPr>
        <w:t> </w:t>
      </w:r>
      <w:r>
        <w:rPr>
          <w:color w:val="070707"/>
          <w:w w:val="105"/>
          <w:sz w:val="19"/>
        </w:rPr>
        <w:t>charged</w:t>
      </w:r>
      <w:r>
        <w:rPr>
          <w:color w:val="070707"/>
          <w:spacing w:val="3"/>
          <w:w w:val="105"/>
          <w:sz w:val="19"/>
        </w:rPr>
        <w:t> </w:t>
      </w:r>
      <w:r>
        <w:rPr>
          <w:color w:val="070707"/>
          <w:w w:val="105"/>
          <w:sz w:val="19"/>
        </w:rPr>
        <w:t>against</w:t>
      </w:r>
      <w:r>
        <w:rPr>
          <w:color w:val="070707"/>
          <w:spacing w:val="5"/>
          <w:w w:val="105"/>
          <w:sz w:val="19"/>
        </w:rPr>
        <w:t> </w:t>
      </w:r>
      <w:r>
        <w:rPr>
          <w:color w:val="070707"/>
          <w:spacing w:val="-5"/>
          <w:w w:val="105"/>
          <w:sz w:val="19"/>
        </w:rPr>
        <w:t>the</w:t>
      </w:r>
      <w:r>
        <w:rPr>
          <w:color w:val="070707"/>
          <w:sz w:val="19"/>
        </w:rPr>
        <w:tab/>
      </w:r>
      <w:r>
        <w:rPr>
          <w:b/>
          <w:color w:val="070707"/>
          <w:spacing w:val="-2"/>
          <w:w w:val="105"/>
          <w:position w:val="11"/>
          <w:sz w:val="19"/>
        </w:rPr>
        <w:t>Account</w:t>
      </w:r>
    </w:p>
    <w:p>
      <w:pPr>
        <w:tabs>
          <w:tab w:val="left" w:leader="none" w:pos="5315"/>
          <w:tab w:val="left" w:leader="none" w:pos="8912"/>
        </w:tabs>
        <w:spacing w:before="0" w:line="170" w:lineRule="auto"/>
        <w:ind w:left="1056" w:right="0" w:firstLine="0"/>
        <w:jc w:val="left"/>
        <w:rPr>
          <w:b/>
          <w:sz w:val="19"/>
        </w:rPr>
      </w:pPr>
      <w:r>
        <w:rPr>
          <w:color w:val="070707"/>
          <w:w w:val="105"/>
          <w:position w:val="-11"/>
          <w:sz w:val="19"/>
        </w:rPr>
        <w:t>General</w:t>
      </w:r>
      <w:r>
        <w:rPr>
          <w:color w:val="070707"/>
          <w:spacing w:val="-4"/>
          <w:w w:val="105"/>
          <w:position w:val="-11"/>
          <w:sz w:val="19"/>
        </w:rPr>
        <w:t> Fund</w:t>
      </w:r>
      <w:r>
        <w:rPr>
          <w:color w:val="070707"/>
          <w:position w:val="-11"/>
          <w:sz w:val="19"/>
        </w:rPr>
        <w:tab/>
      </w:r>
      <w:r>
        <w:rPr>
          <w:color w:val="070707"/>
          <w:spacing w:val="-2"/>
          <w:w w:val="105"/>
          <w:sz w:val="19"/>
        </w:rPr>
        <w:t>1,977</w:t>
      </w:r>
      <w:r>
        <w:rPr>
          <w:color w:val="070707"/>
          <w:sz w:val="19"/>
        </w:rPr>
        <w:tab/>
      </w:r>
      <w:r>
        <w:rPr>
          <w:b/>
          <w:color w:val="070707"/>
          <w:spacing w:val="-2"/>
          <w:w w:val="105"/>
          <w:sz w:val="19"/>
        </w:rPr>
        <w:t>(1,977)</w:t>
      </w:r>
    </w:p>
    <w:p>
      <w:pPr>
        <w:spacing w:before="106"/>
        <w:ind w:left="1052" w:right="0" w:firstLine="0"/>
        <w:jc w:val="left"/>
        <w:rPr>
          <w:b/>
          <w:sz w:val="19"/>
        </w:rPr>
      </w:pPr>
      <w:r>
        <w:rPr>
          <w:b/>
          <w:color w:val="070707"/>
          <w:w w:val="105"/>
          <w:sz w:val="19"/>
        </w:rPr>
        <w:t>Adjustments</w:t>
      </w:r>
      <w:r>
        <w:rPr>
          <w:b/>
          <w:color w:val="070707"/>
          <w:spacing w:val="8"/>
          <w:w w:val="105"/>
          <w:sz w:val="19"/>
        </w:rPr>
        <w:t> </w:t>
      </w:r>
      <w:r>
        <w:rPr>
          <w:b/>
          <w:color w:val="070707"/>
          <w:w w:val="105"/>
          <w:sz w:val="19"/>
        </w:rPr>
        <w:t>to</w:t>
      </w:r>
      <w:r>
        <w:rPr>
          <w:b/>
          <w:color w:val="070707"/>
          <w:spacing w:val="4"/>
          <w:w w:val="105"/>
          <w:sz w:val="19"/>
        </w:rPr>
        <w:t> </w:t>
      </w:r>
      <w:r>
        <w:rPr>
          <w:b/>
          <w:color w:val="070707"/>
          <w:w w:val="105"/>
          <w:sz w:val="19"/>
        </w:rPr>
        <w:t>capital</w:t>
      </w:r>
      <w:r>
        <w:rPr>
          <w:b/>
          <w:color w:val="070707"/>
          <w:spacing w:val="-9"/>
          <w:w w:val="105"/>
          <w:sz w:val="19"/>
        </w:rPr>
        <w:t> </w:t>
      </w:r>
      <w:r>
        <w:rPr>
          <w:b/>
          <w:color w:val="070707"/>
          <w:spacing w:val="-2"/>
          <w:w w:val="105"/>
          <w:sz w:val="19"/>
        </w:rPr>
        <w:t>resources</w:t>
      </w:r>
    </w:p>
    <w:p>
      <w:pPr>
        <w:pStyle w:val="BodyText"/>
        <w:spacing w:before="6"/>
        <w:rPr>
          <w:b/>
          <w:sz w:val="9"/>
        </w:rPr>
      </w:pPr>
    </w:p>
    <w:tbl>
      <w:tblPr>
        <w:tblW w:w="0" w:type="auto"/>
        <w:jc w:val="left"/>
        <w:tblInd w:w="99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050"/>
        <w:gridCol w:w="2314"/>
        <w:gridCol w:w="1208"/>
        <w:gridCol w:w="1139"/>
        <w:gridCol w:w="1309"/>
      </w:tblGrid>
      <w:tr>
        <w:trPr>
          <w:trHeight w:val="449" w:hRule="atLeast"/>
        </w:trPr>
        <w:tc>
          <w:tcPr>
            <w:tcW w:w="4050" w:type="dxa"/>
          </w:tcPr>
          <w:p>
            <w:pPr>
              <w:pStyle w:val="TableParagraph"/>
              <w:spacing w:line="212" w:lineRule="exact"/>
              <w:ind w:left="56"/>
              <w:rPr>
                <w:sz w:val="19"/>
              </w:rPr>
            </w:pPr>
            <w:r>
              <w:rPr>
                <w:color w:val="070707"/>
                <w:w w:val="105"/>
                <w:sz w:val="19"/>
              </w:rPr>
              <w:t>Use</w:t>
            </w:r>
            <w:r>
              <w:rPr>
                <w:color w:val="070707"/>
                <w:spacing w:val="-3"/>
                <w:w w:val="105"/>
                <w:sz w:val="19"/>
              </w:rPr>
              <w:t> </w:t>
            </w:r>
            <w:r>
              <w:rPr>
                <w:color w:val="070707"/>
                <w:w w:val="105"/>
                <w:sz w:val="19"/>
              </w:rPr>
              <w:t>of</w:t>
            </w:r>
            <w:r>
              <w:rPr>
                <w:color w:val="070707"/>
                <w:spacing w:val="-2"/>
                <w:w w:val="105"/>
                <w:sz w:val="19"/>
              </w:rPr>
              <w:t> </w:t>
            </w:r>
            <w:r>
              <w:rPr>
                <w:color w:val="070707"/>
                <w:w w:val="105"/>
                <w:sz w:val="19"/>
              </w:rPr>
              <w:t>Capital Receipts</w:t>
            </w:r>
            <w:r>
              <w:rPr>
                <w:color w:val="070707"/>
                <w:spacing w:val="7"/>
                <w:w w:val="105"/>
                <w:sz w:val="19"/>
              </w:rPr>
              <w:t> </w:t>
            </w:r>
            <w:r>
              <w:rPr>
                <w:color w:val="070707"/>
                <w:w w:val="105"/>
                <w:sz w:val="19"/>
              </w:rPr>
              <w:t>to</w:t>
            </w:r>
            <w:r>
              <w:rPr>
                <w:color w:val="070707"/>
                <w:spacing w:val="1"/>
                <w:w w:val="105"/>
                <w:sz w:val="19"/>
              </w:rPr>
              <w:t> </w:t>
            </w:r>
            <w:r>
              <w:rPr>
                <w:color w:val="070707"/>
                <w:w w:val="105"/>
                <w:sz w:val="19"/>
              </w:rPr>
              <w:t>finance</w:t>
            </w:r>
            <w:r>
              <w:rPr>
                <w:color w:val="070707"/>
                <w:spacing w:val="9"/>
                <w:w w:val="105"/>
                <w:sz w:val="19"/>
              </w:rPr>
              <w:t> </w:t>
            </w:r>
            <w:r>
              <w:rPr>
                <w:color w:val="070707"/>
                <w:spacing w:val="-2"/>
                <w:w w:val="105"/>
                <w:sz w:val="19"/>
              </w:rPr>
              <w:t>capital</w:t>
            </w:r>
          </w:p>
          <w:p>
            <w:pPr>
              <w:pStyle w:val="TableParagraph"/>
              <w:spacing w:before="12" w:line="205" w:lineRule="exact"/>
              <w:ind w:left="59"/>
              <w:rPr>
                <w:sz w:val="19"/>
              </w:rPr>
            </w:pPr>
            <w:r>
              <w:rPr>
                <w:color w:val="070707"/>
                <w:spacing w:val="-2"/>
                <w:w w:val="105"/>
                <w:sz w:val="19"/>
              </w:rPr>
              <w:t>expenditure</w:t>
            </w:r>
          </w:p>
        </w:tc>
        <w:tc>
          <w:tcPr>
            <w:tcW w:w="2314" w:type="dxa"/>
          </w:tcPr>
          <w:p>
            <w:pPr>
              <w:pStyle w:val="TableParagraph"/>
              <w:spacing w:before="109"/>
              <w:ind w:right="364"/>
              <w:jc w:val="right"/>
              <w:rPr>
                <w:sz w:val="19"/>
              </w:rPr>
            </w:pPr>
            <w:r>
              <w:rPr>
                <w:color w:val="070707"/>
                <w:spacing w:val="-5"/>
                <w:w w:val="105"/>
                <w:sz w:val="19"/>
              </w:rPr>
              <w:t>267</w:t>
            </w:r>
          </w:p>
        </w:tc>
        <w:tc>
          <w:tcPr>
            <w:tcW w:w="1208" w:type="dxa"/>
          </w:tcPr>
          <w:p>
            <w:pPr>
              <w:pStyle w:val="TableParagraph"/>
              <w:rPr>
                <w:rFonts w:ascii="Times New Roman"/>
                <w:sz w:val="18"/>
              </w:rPr>
            </w:pPr>
          </w:p>
        </w:tc>
        <w:tc>
          <w:tcPr>
            <w:tcW w:w="1139" w:type="dxa"/>
          </w:tcPr>
          <w:p>
            <w:pPr>
              <w:pStyle w:val="TableParagraph"/>
              <w:spacing w:before="104"/>
              <w:ind w:left="-20" w:right="157"/>
              <w:jc w:val="right"/>
              <w:rPr>
                <w:b/>
                <w:sz w:val="19"/>
              </w:rPr>
            </w:pPr>
            <w:r>
              <w:rPr>
                <w:b/>
                <w:color w:val="070707"/>
                <w:spacing w:val="-4"/>
                <w:w w:val="105"/>
                <w:sz w:val="19"/>
              </w:rPr>
              <w:t>(267)</w:t>
            </w:r>
          </w:p>
        </w:tc>
        <w:tc>
          <w:tcPr>
            <w:tcW w:w="1309" w:type="dxa"/>
          </w:tcPr>
          <w:p>
            <w:pPr>
              <w:pStyle w:val="TableParagraph"/>
              <w:spacing w:before="6"/>
              <w:rPr>
                <w:b/>
                <w:sz w:val="19"/>
              </w:rPr>
            </w:pPr>
          </w:p>
          <w:p>
            <w:pPr>
              <w:pStyle w:val="TableParagraph"/>
              <w:spacing w:line="205" w:lineRule="exact"/>
              <w:ind w:left="385"/>
              <w:rPr>
                <w:b/>
                <w:sz w:val="19"/>
              </w:rPr>
            </w:pPr>
            <w:r>
              <w:rPr>
                <w:b/>
                <w:color w:val="070707"/>
                <w:spacing w:val="-2"/>
                <w:w w:val="105"/>
                <w:sz w:val="19"/>
              </w:rPr>
              <w:t>Capital</w:t>
            </w:r>
          </w:p>
        </w:tc>
      </w:tr>
      <w:tr>
        <w:trPr>
          <w:trHeight w:val="502" w:hRule="atLeast"/>
        </w:trPr>
        <w:tc>
          <w:tcPr>
            <w:tcW w:w="4050" w:type="dxa"/>
          </w:tcPr>
          <w:p>
            <w:pPr>
              <w:pStyle w:val="TableParagraph"/>
              <w:spacing w:before="22" w:line="230" w:lineRule="atLeast"/>
              <w:ind w:left="54" w:firstLine="7"/>
              <w:rPr>
                <w:sz w:val="19"/>
              </w:rPr>
            </w:pPr>
            <w:r>
              <w:rPr>
                <w:color w:val="1F1F1F"/>
                <w:w w:val="105"/>
                <w:sz w:val="19"/>
              </w:rPr>
              <w:t>Application </w:t>
            </w:r>
            <w:r>
              <w:rPr>
                <w:color w:val="070707"/>
                <w:w w:val="105"/>
                <w:sz w:val="19"/>
              </w:rPr>
              <w:t>of</w:t>
            </w:r>
            <w:r>
              <w:rPr>
                <w:color w:val="070707"/>
                <w:spacing w:val="-10"/>
                <w:w w:val="105"/>
                <w:sz w:val="19"/>
              </w:rPr>
              <w:t> </w:t>
            </w:r>
            <w:r>
              <w:rPr>
                <w:color w:val="070707"/>
                <w:w w:val="105"/>
                <w:sz w:val="19"/>
              </w:rPr>
              <w:t>capital</w:t>
            </w:r>
            <w:r>
              <w:rPr>
                <w:color w:val="070707"/>
                <w:spacing w:val="-4"/>
                <w:w w:val="105"/>
                <w:sz w:val="19"/>
              </w:rPr>
              <w:t> </w:t>
            </w:r>
            <w:r>
              <w:rPr>
                <w:color w:val="070707"/>
                <w:w w:val="105"/>
                <w:sz w:val="19"/>
              </w:rPr>
              <w:t>grants</w:t>
            </w:r>
            <w:r>
              <w:rPr>
                <w:color w:val="070707"/>
                <w:spacing w:val="-2"/>
                <w:w w:val="105"/>
                <w:sz w:val="19"/>
              </w:rPr>
              <w:t> </w:t>
            </w:r>
            <w:r>
              <w:rPr>
                <w:color w:val="070707"/>
                <w:w w:val="105"/>
                <w:sz w:val="19"/>
              </w:rPr>
              <w:t>and</w:t>
            </w:r>
            <w:r>
              <w:rPr>
                <w:color w:val="070707"/>
                <w:spacing w:val="-10"/>
                <w:w w:val="105"/>
                <w:sz w:val="19"/>
              </w:rPr>
              <w:t> </w:t>
            </w:r>
            <w:r>
              <w:rPr>
                <w:color w:val="070707"/>
                <w:w w:val="105"/>
                <w:sz w:val="19"/>
              </w:rPr>
              <w:t>other </w:t>
            </w:r>
            <w:r>
              <w:rPr>
                <w:color w:val="1F1F1F"/>
                <w:w w:val="105"/>
                <w:sz w:val="19"/>
              </w:rPr>
              <w:t>contributions </w:t>
            </w:r>
            <w:r>
              <w:rPr>
                <w:color w:val="070707"/>
                <w:w w:val="105"/>
                <w:sz w:val="19"/>
              </w:rPr>
              <w:t>to finance capital</w:t>
            </w:r>
          </w:p>
        </w:tc>
        <w:tc>
          <w:tcPr>
            <w:tcW w:w="2314" w:type="dxa"/>
          </w:tcPr>
          <w:p>
            <w:pPr>
              <w:pStyle w:val="TableParagraph"/>
              <w:spacing w:before="56"/>
              <w:rPr>
                <w:b/>
                <w:sz w:val="19"/>
              </w:rPr>
            </w:pPr>
          </w:p>
          <w:p>
            <w:pPr>
              <w:pStyle w:val="TableParagraph"/>
              <w:spacing w:line="208" w:lineRule="exact"/>
              <w:ind w:left="321"/>
              <w:rPr>
                <w:sz w:val="19"/>
              </w:rPr>
            </w:pPr>
            <w:r>
              <w:rPr>
                <w:color w:val="070707"/>
                <w:spacing w:val="-2"/>
                <w:w w:val="105"/>
                <w:sz w:val="19"/>
              </w:rPr>
              <w:t>3,845</w:t>
            </w:r>
          </w:p>
        </w:tc>
        <w:tc>
          <w:tcPr>
            <w:tcW w:w="1208" w:type="dxa"/>
          </w:tcPr>
          <w:p>
            <w:pPr>
              <w:pStyle w:val="TableParagraph"/>
              <w:spacing w:before="51"/>
              <w:rPr>
                <w:b/>
                <w:sz w:val="19"/>
              </w:rPr>
            </w:pPr>
          </w:p>
          <w:p>
            <w:pPr>
              <w:pStyle w:val="TableParagraph"/>
              <w:spacing w:line="212" w:lineRule="exact"/>
              <w:ind w:left="364"/>
              <w:rPr>
                <w:sz w:val="19"/>
              </w:rPr>
            </w:pPr>
            <w:r>
              <w:rPr>
                <w:color w:val="070707"/>
                <w:spacing w:val="-2"/>
                <w:w w:val="105"/>
                <w:sz w:val="19"/>
              </w:rPr>
              <w:t>1,483</w:t>
            </w:r>
          </w:p>
        </w:tc>
        <w:tc>
          <w:tcPr>
            <w:tcW w:w="1139" w:type="dxa"/>
          </w:tcPr>
          <w:p>
            <w:pPr>
              <w:pStyle w:val="TableParagraph"/>
              <w:spacing w:before="51"/>
              <w:rPr>
                <w:b/>
                <w:sz w:val="19"/>
              </w:rPr>
            </w:pPr>
          </w:p>
          <w:p>
            <w:pPr>
              <w:pStyle w:val="TableParagraph"/>
              <w:spacing w:line="212" w:lineRule="exact"/>
              <w:ind w:left="-20" w:right="169"/>
              <w:jc w:val="right"/>
              <w:rPr>
                <w:b/>
                <w:sz w:val="19"/>
              </w:rPr>
            </w:pPr>
            <w:r>
              <w:rPr>
                <w:b/>
                <w:color w:val="070707"/>
                <w:spacing w:val="-2"/>
                <w:w w:val="105"/>
                <w:sz w:val="19"/>
              </w:rPr>
              <w:t>(5,328)</w:t>
            </w:r>
          </w:p>
        </w:tc>
        <w:tc>
          <w:tcPr>
            <w:tcW w:w="1309" w:type="dxa"/>
          </w:tcPr>
          <w:p>
            <w:pPr>
              <w:pStyle w:val="TableParagraph"/>
              <w:spacing w:line="254" w:lineRule="auto"/>
              <w:ind w:left="322" w:hanging="154"/>
              <w:rPr>
                <w:b/>
                <w:sz w:val="19"/>
              </w:rPr>
            </w:pPr>
            <w:r>
              <w:rPr>
                <w:b/>
                <w:color w:val="070707"/>
                <w:spacing w:val="-2"/>
                <w:sz w:val="19"/>
              </w:rPr>
              <w:t>Adjustment </w:t>
            </w:r>
            <w:r>
              <w:rPr>
                <w:b/>
                <w:color w:val="070707"/>
                <w:spacing w:val="-2"/>
                <w:w w:val="105"/>
                <w:sz w:val="19"/>
              </w:rPr>
              <w:t>Account</w:t>
            </w:r>
          </w:p>
        </w:tc>
      </w:tr>
      <w:tr>
        <w:trPr>
          <w:trHeight w:val="221" w:hRule="atLeast"/>
        </w:trPr>
        <w:tc>
          <w:tcPr>
            <w:tcW w:w="4050" w:type="dxa"/>
          </w:tcPr>
          <w:p>
            <w:pPr>
              <w:pStyle w:val="TableParagraph"/>
              <w:spacing w:before="3" w:line="199" w:lineRule="exact"/>
              <w:ind w:left="50"/>
              <w:rPr>
                <w:sz w:val="19"/>
              </w:rPr>
            </w:pPr>
            <w:r>
              <w:rPr>
                <w:color w:val="070707"/>
                <w:spacing w:val="-2"/>
                <w:w w:val="105"/>
                <w:sz w:val="19"/>
              </w:rPr>
              <w:t>expenditure</w:t>
            </w:r>
          </w:p>
        </w:tc>
        <w:tc>
          <w:tcPr>
            <w:tcW w:w="2314" w:type="dxa"/>
          </w:tcPr>
          <w:p>
            <w:pPr>
              <w:pStyle w:val="TableParagraph"/>
              <w:rPr>
                <w:rFonts w:ascii="Times New Roman"/>
                <w:sz w:val="14"/>
              </w:rPr>
            </w:pPr>
          </w:p>
        </w:tc>
        <w:tc>
          <w:tcPr>
            <w:tcW w:w="1208" w:type="dxa"/>
          </w:tcPr>
          <w:p>
            <w:pPr>
              <w:pStyle w:val="TableParagraph"/>
              <w:rPr>
                <w:rFonts w:ascii="Times New Roman"/>
                <w:sz w:val="14"/>
              </w:rPr>
            </w:pPr>
          </w:p>
        </w:tc>
        <w:tc>
          <w:tcPr>
            <w:tcW w:w="1139" w:type="dxa"/>
          </w:tcPr>
          <w:p>
            <w:pPr>
              <w:pStyle w:val="TableParagraph"/>
              <w:rPr>
                <w:rFonts w:ascii="Times New Roman"/>
                <w:sz w:val="14"/>
              </w:rPr>
            </w:pPr>
          </w:p>
        </w:tc>
        <w:tc>
          <w:tcPr>
            <w:tcW w:w="1309" w:type="dxa"/>
          </w:tcPr>
          <w:p>
            <w:pPr>
              <w:pStyle w:val="TableParagraph"/>
              <w:rPr>
                <w:rFonts w:ascii="Times New Roman"/>
                <w:sz w:val="14"/>
              </w:rPr>
            </w:pPr>
          </w:p>
        </w:tc>
      </w:tr>
      <w:tr>
        <w:trPr>
          <w:trHeight w:val="283" w:hRule="atLeast"/>
        </w:trPr>
        <w:tc>
          <w:tcPr>
            <w:tcW w:w="10020" w:type="dxa"/>
            <w:gridSpan w:val="5"/>
          </w:tcPr>
          <w:p>
            <w:pPr>
              <w:pStyle w:val="TableParagraph"/>
              <w:spacing w:before="65" w:line="199" w:lineRule="exact"/>
              <w:ind w:left="47"/>
              <w:rPr>
                <w:b/>
                <w:sz w:val="19"/>
              </w:rPr>
            </w:pPr>
            <w:r>
              <w:rPr>
                <w:b/>
                <w:color w:val="070707"/>
                <w:w w:val="105"/>
                <w:sz w:val="19"/>
              </w:rPr>
              <w:t>Adjustments</w:t>
            </w:r>
            <w:r>
              <w:rPr>
                <w:b/>
                <w:color w:val="070707"/>
                <w:spacing w:val="8"/>
                <w:w w:val="105"/>
                <w:sz w:val="19"/>
              </w:rPr>
              <w:t> </w:t>
            </w:r>
            <w:r>
              <w:rPr>
                <w:b/>
                <w:color w:val="070707"/>
                <w:w w:val="105"/>
                <w:sz w:val="19"/>
              </w:rPr>
              <w:t>between</w:t>
            </w:r>
            <w:r>
              <w:rPr>
                <w:b/>
                <w:color w:val="070707"/>
                <w:spacing w:val="2"/>
                <w:w w:val="105"/>
                <w:sz w:val="19"/>
              </w:rPr>
              <w:t> </w:t>
            </w:r>
            <w:r>
              <w:rPr>
                <w:b/>
                <w:color w:val="070707"/>
                <w:w w:val="105"/>
                <w:sz w:val="19"/>
              </w:rPr>
              <w:t>accounting</w:t>
            </w:r>
            <w:r>
              <w:rPr>
                <w:b/>
                <w:color w:val="070707"/>
                <w:spacing w:val="7"/>
                <w:w w:val="105"/>
                <w:sz w:val="19"/>
              </w:rPr>
              <w:t> </w:t>
            </w:r>
            <w:r>
              <w:rPr>
                <w:b/>
                <w:color w:val="070707"/>
                <w:w w:val="105"/>
                <w:sz w:val="19"/>
              </w:rPr>
              <w:t>and</w:t>
            </w:r>
            <w:r>
              <w:rPr>
                <w:b/>
                <w:color w:val="070707"/>
                <w:spacing w:val="-7"/>
                <w:w w:val="105"/>
                <w:sz w:val="19"/>
              </w:rPr>
              <w:t> </w:t>
            </w:r>
            <w:r>
              <w:rPr>
                <w:b/>
                <w:color w:val="070707"/>
                <w:w w:val="105"/>
                <w:sz w:val="19"/>
              </w:rPr>
              <w:t>funding</w:t>
            </w:r>
            <w:r>
              <w:rPr>
                <w:b/>
                <w:color w:val="070707"/>
                <w:spacing w:val="3"/>
                <w:w w:val="105"/>
                <w:sz w:val="19"/>
              </w:rPr>
              <w:t> </w:t>
            </w:r>
            <w:r>
              <w:rPr>
                <w:b/>
                <w:color w:val="070707"/>
                <w:w w:val="105"/>
                <w:sz w:val="19"/>
              </w:rPr>
              <w:t>basis</w:t>
            </w:r>
            <w:r>
              <w:rPr>
                <w:b/>
                <w:color w:val="070707"/>
                <w:spacing w:val="-7"/>
                <w:w w:val="105"/>
                <w:sz w:val="19"/>
              </w:rPr>
              <w:t> </w:t>
            </w:r>
            <w:r>
              <w:rPr>
                <w:b/>
                <w:color w:val="070707"/>
                <w:w w:val="105"/>
                <w:sz w:val="19"/>
              </w:rPr>
              <w:t>under</w:t>
            </w:r>
            <w:r>
              <w:rPr>
                <w:b/>
                <w:color w:val="070707"/>
                <w:spacing w:val="-2"/>
                <w:w w:val="105"/>
                <w:sz w:val="19"/>
              </w:rPr>
              <w:t> regulations</w:t>
            </w:r>
          </w:p>
        </w:tc>
      </w:tr>
    </w:tbl>
    <w:p>
      <w:pPr>
        <w:spacing w:before="115"/>
        <w:ind w:left="9721" w:right="695" w:firstLine="0"/>
        <w:jc w:val="center"/>
        <w:rPr>
          <w:b/>
          <w:sz w:val="19"/>
        </w:rPr>
      </w:pPr>
      <w:r>
        <w:rPr/>
        <ve:AlternateContent>
          <ve:Choice Requires="wps">
            <w:drawing>
              <wp:anchor distT="0" distB="0" distL="0" distR="0" simplePos="0" relativeHeight="487631360" behindDoc="1" locked="0" layoutInCell="1" allowOverlap="1">
                <wp:simplePos x="0" y="0"/>
                <wp:positionH relativeFrom="page">
                  <wp:posOffset>6377878</wp:posOffset>
                </wp:positionH>
                <wp:positionV relativeFrom="paragraph">
                  <wp:posOffset>220379</wp:posOffset>
                </wp:positionV>
                <wp:extent cx="489584" cy="135255"/>
                <wp:effectExtent l="0" t="0" r="0" b="0"/>
                <wp:wrapTopAndBottom/>
                <wp:docPr id="222" name="Textbox 222"/>
                <wp:cNvGraphicFramePr>
                  <a:graphicFrameLocks/>
                </wp:cNvGraphicFramePr>
                <a:graphic>
                  <a:graphicData uri="http://schemas.microsoft.com/office/word/2010/wordprocessingShape">
                    <wps:wsp>
                      <wps:cNvPr id="222" name="Textbox 222"/>
                      <wps:cNvSpPr txBox="1"/>
                      <wps:spPr>
                        <a:xfrm>
                          <a:off x="0" y="0"/>
                          <a:ext cx="489584" cy="135255"/>
                        </a:xfrm>
                        <a:prstGeom prst="rect">
                          <a:avLst/>
                        </a:prstGeom>
                      </wps:spPr>
                      <wps:txbx>
                        <w:txbxContent>
                          <w:p>
                            <w:pPr>
                              <w:spacing w:before="0" w:line="212" w:lineRule="exact"/>
                              <w:ind w:left="0" w:right="0" w:firstLine="0"/>
                              <w:jc w:val="left"/>
                              <w:rPr>
                                <w:b/>
                                <w:sz w:val="19"/>
                              </w:rPr>
                            </w:pPr>
                            <w:r>
                              <w:rPr>
                                <w:b/>
                                <w:color w:val="070707"/>
                                <w:spacing w:val="-4"/>
                                <w:w w:val="105"/>
                                <w:sz w:val="19"/>
                              </w:rPr>
                              <w:t>Reserve</w:t>
                            </w:r>
                          </w:p>
                        </w:txbxContent>
                      </wps:txbx>
                      <wps:bodyPr wrap="square" lIns="0" tIns="0" rIns="0" bIns="0" rtlCol="0">
                        <a:noAutofit/>
                      </wps:bodyPr>
                    </wps:wsp>
                  </a:graphicData>
                </a:graphic>
              </wp:anchor>
            </w:drawing>
          </ve:Choice>
          <ve:Fallback>
            <w:pict>
              <v:shape id="docshape138" style="position:absolute;margin-left:502.19519pt;margin-top:17.352699pt;width:38.550pt;height:10.65pt;mso-position-horizontal-relative:page;mso-position-vertical-relative:paragraph;z-index:-15685120;mso-wrap-distance-left:0;mso-wrap-distance-right:0" filled="false" stroked="false" type="#_x0000_t202">
                <v:textbox inset="0,0,0,0">
                  <w:txbxContent>
                    <w:p>
                      <w:pPr>
                        <w:spacing w:before="0" w:line="212" w:lineRule="exact"/>
                        <w:ind w:left="0" w:right="0" w:firstLine="0"/>
                        <w:jc w:val="left"/>
                        <w:rPr>
                          <w:b/>
                          <w:sz w:val="19"/>
                        </w:rPr>
                      </w:pPr>
                      <w:r>
                        <w:rPr>
                          <w:b/>
                          <w:color w:val="070707"/>
                          <w:spacing w:val="-4"/>
                          <w:w w:val="105"/>
                          <w:sz w:val="19"/>
                        </w:rPr>
                        <w:t>Reserve</w:t>
                      </w:r>
                    </w:p>
                  </w:txbxContent>
                </v:textbox>
                <w10:wrap type="topAndBottom"/>
              </v:shape>
            </w:pict>
          </ve:Fallback>
        </ve:AlternateContent>
      </w:r>
      <w:r>
        <w:rPr/>
        <ve:AlternateContent>
          <ve:Choice Requires="wps">
            <w:drawing>
              <wp:anchor distT="0" distB="0" distL="0" distR="0" simplePos="0" relativeHeight="15773696" behindDoc="0" locked="0" layoutInCell="1" allowOverlap="1">
                <wp:simplePos x="0" y="0"/>
                <wp:positionH relativeFrom="page">
                  <wp:posOffset>574709</wp:posOffset>
                </wp:positionH>
                <wp:positionV relativeFrom="paragraph">
                  <wp:posOffset>76959</wp:posOffset>
                </wp:positionV>
                <wp:extent cx="5618480" cy="2148205"/>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5618480" cy="214820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064"/>
                              <w:gridCol w:w="1239"/>
                              <w:gridCol w:w="1064"/>
                              <w:gridCol w:w="1249"/>
                              <w:gridCol w:w="1112"/>
                            </w:tblGrid>
                            <w:tr>
                              <w:trPr>
                                <w:trHeight w:val="606" w:hRule="atLeast"/>
                              </w:trPr>
                              <w:tc>
                                <w:tcPr>
                                  <w:tcW w:w="4064" w:type="dxa"/>
                                </w:tcPr>
                                <w:p>
                                  <w:pPr>
                                    <w:pStyle w:val="TableParagraph"/>
                                    <w:spacing w:line="217" w:lineRule="exact"/>
                                    <w:ind w:left="87"/>
                                    <w:rPr>
                                      <w:sz w:val="19"/>
                                    </w:rPr>
                                  </w:pPr>
                                  <w:r>
                                    <w:rPr>
                                      <w:color w:val="070707"/>
                                      <w:w w:val="105"/>
                                      <w:sz w:val="19"/>
                                    </w:rPr>
                                    <w:t>Pension</w:t>
                                  </w:r>
                                  <w:r>
                                    <w:rPr>
                                      <w:color w:val="070707"/>
                                      <w:spacing w:val="-8"/>
                                      <w:w w:val="105"/>
                                      <w:sz w:val="19"/>
                                    </w:rPr>
                                    <w:t> </w:t>
                                  </w:r>
                                  <w:r>
                                    <w:rPr>
                                      <w:color w:val="070707"/>
                                      <w:spacing w:val="-2"/>
                                      <w:w w:val="105"/>
                                      <w:sz w:val="19"/>
                                    </w:rPr>
                                    <w:t>costs</w:t>
                                  </w:r>
                                </w:p>
                              </w:tc>
                              <w:tc>
                                <w:tcPr>
                                  <w:tcW w:w="1239" w:type="dxa"/>
                                </w:tcPr>
                                <w:p>
                                  <w:pPr>
                                    <w:pStyle w:val="TableParagraph"/>
                                    <w:spacing w:before="114"/>
                                    <w:ind w:right="400"/>
                                    <w:jc w:val="right"/>
                                    <w:rPr>
                                      <w:sz w:val="19"/>
                                    </w:rPr>
                                  </w:pPr>
                                  <w:r>
                                    <w:rPr>
                                      <w:color w:val="070707"/>
                                      <w:spacing w:val="-2"/>
                                      <w:w w:val="105"/>
                                      <w:sz w:val="19"/>
                                    </w:rPr>
                                    <w:t>(2,608)</w:t>
                                  </w:r>
                                </w:p>
                              </w:tc>
                              <w:tc>
                                <w:tcPr>
                                  <w:tcW w:w="1064" w:type="dxa"/>
                                </w:tcPr>
                                <w:p>
                                  <w:pPr>
                                    <w:pStyle w:val="TableParagraph"/>
                                    <w:rPr>
                                      <w:rFonts w:ascii="Times New Roman"/>
                                      <w:sz w:val="18"/>
                                    </w:rPr>
                                  </w:pPr>
                                </w:p>
                              </w:tc>
                              <w:tc>
                                <w:tcPr>
                                  <w:tcW w:w="1249" w:type="dxa"/>
                                </w:tcPr>
                                <w:p>
                                  <w:pPr>
                                    <w:pStyle w:val="TableParagraph"/>
                                    <w:rPr>
                                      <w:rFonts w:ascii="Times New Roman"/>
                                      <w:sz w:val="18"/>
                                    </w:rPr>
                                  </w:pPr>
                                </w:p>
                              </w:tc>
                              <w:tc>
                                <w:tcPr>
                                  <w:tcW w:w="1112" w:type="dxa"/>
                                </w:tcPr>
                                <w:p>
                                  <w:pPr>
                                    <w:pStyle w:val="TableParagraph"/>
                                    <w:spacing w:before="109"/>
                                    <w:ind w:right="142"/>
                                    <w:jc w:val="right"/>
                                    <w:rPr>
                                      <w:b/>
                                      <w:sz w:val="19"/>
                                    </w:rPr>
                                  </w:pPr>
                                  <w:r>
                                    <w:rPr>
                                      <w:b/>
                                      <w:color w:val="070707"/>
                                      <w:spacing w:val="-2"/>
                                      <w:w w:val="105"/>
                                      <w:sz w:val="19"/>
                                    </w:rPr>
                                    <w:t>2,608</w:t>
                                  </w:r>
                                </w:p>
                              </w:tc>
                            </w:tr>
                            <w:tr>
                              <w:trPr>
                                <w:trHeight w:val="819" w:hRule="atLeast"/>
                              </w:trPr>
                              <w:tc>
                                <w:tcPr>
                                  <w:tcW w:w="4064" w:type="dxa"/>
                                </w:tcPr>
                                <w:p>
                                  <w:pPr>
                                    <w:pStyle w:val="TableParagraph"/>
                                    <w:spacing w:before="53"/>
                                    <w:rPr>
                                      <w:b/>
                                      <w:sz w:val="19"/>
                                    </w:rPr>
                                  </w:pPr>
                                </w:p>
                                <w:p>
                                  <w:pPr>
                                    <w:pStyle w:val="TableParagraph"/>
                                    <w:ind w:left="78"/>
                                    <w:rPr>
                                      <w:sz w:val="19"/>
                                    </w:rPr>
                                  </w:pPr>
                                  <w:r>
                                    <w:rPr>
                                      <w:color w:val="070707"/>
                                      <w:w w:val="105"/>
                                      <w:sz w:val="19"/>
                                    </w:rPr>
                                    <w:t>Council</w:t>
                                  </w:r>
                                  <w:r>
                                    <w:rPr>
                                      <w:color w:val="070707"/>
                                      <w:spacing w:val="2"/>
                                      <w:w w:val="105"/>
                                      <w:sz w:val="19"/>
                                    </w:rPr>
                                    <w:t> </w:t>
                                  </w:r>
                                  <w:r>
                                    <w:rPr>
                                      <w:color w:val="070707"/>
                                      <w:w w:val="105"/>
                                      <w:sz w:val="19"/>
                                    </w:rPr>
                                    <w:t>Tax</w:t>
                                  </w:r>
                                  <w:r>
                                    <w:rPr>
                                      <w:color w:val="070707"/>
                                      <w:spacing w:val="-5"/>
                                      <w:w w:val="105"/>
                                      <w:sz w:val="19"/>
                                    </w:rPr>
                                    <w:t> </w:t>
                                  </w:r>
                                  <w:r>
                                    <w:rPr>
                                      <w:color w:val="070707"/>
                                      <w:w w:val="105"/>
                                      <w:sz w:val="19"/>
                                    </w:rPr>
                                    <w:t>and</w:t>
                                  </w:r>
                                  <w:r>
                                    <w:rPr>
                                      <w:color w:val="070707"/>
                                      <w:spacing w:val="3"/>
                                      <w:w w:val="105"/>
                                      <w:sz w:val="19"/>
                                    </w:rPr>
                                    <w:t> </w:t>
                                  </w:r>
                                  <w:r>
                                    <w:rPr>
                                      <w:color w:val="070707"/>
                                      <w:spacing w:val="-4"/>
                                      <w:w w:val="105"/>
                                      <w:sz w:val="19"/>
                                    </w:rPr>
                                    <w:t>NNDR</w:t>
                                  </w:r>
                                </w:p>
                              </w:tc>
                              <w:tc>
                                <w:tcPr>
                                  <w:tcW w:w="1239" w:type="dxa"/>
                                </w:tcPr>
                                <w:p>
                                  <w:pPr>
                                    <w:pStyle w:val="TableParagraph"/>
                                    <w:spacing w:before="58"/>
                                    <w:rPr>
                                      <w:b/>
                                      <w:sz w:val="19"/>
                                    </w:rPr>
                                  </w:pPr>
                                </w:p>
                                <w:p>
                                  <w:pPr>
                                    <w:pStyle w:val="TableParagraph"/>
                                    <w:ind w:right="398"/>
                                    <w:jc w:val="right"/>
                                    <w:rPr>
                                      <w:sz w:val="19"/>
                                    </w:rPr>
                                  </w:pPr>
                                  <w:r>
                                    <w:rPr>
                                      <w:color w:val="070707"/>
                                      <w:spacing w:val="-2"/>
                                      <w:w w:val="105"/>
                                      <w:sz w:val="19"/>
                                    </w:rPr>
                                    <w:t>6,969</w:t>
                                  </w:r>
                                </w:p>
                              </w:tc>
                              <w:tc>
                                <w:tcPr>
                                  <w:tcW w:w="1064" w:type="dxa"/>
                                </w:tcPr>
                                <w:p>
                                  <w:pPr>
                                    <w:pStyle w:val="TableParagraph"/>
                                    <w:rPr>
                                      <w:rFonts w:ascii="Times New Roman"/>
                                      <w:sz w:val="18"/>
                                    </w:rPr>
                                  </w:pPr>
                                </w:p>
                              </w:tc>
                              <w:tc>
                                <w:tcPr>
                                  <w:tcW w:w="1249" w:type="dxa"/>
                                </w:tcPr>
                                <w:p>
                                  <w:pPr>
                                    <w:pStyle w:val="TableParagraph"/>
                                    <w:rPr>
                                      <w:rFonts w:ascii="Times New Roman"/>
                                      <w:sz w:val="18"/>
                                    </w:rPr>
                                  </w:pPr>
                                </w:p>
                              </w:tc>
                              <w:tc>
                                <w:tcPr>
                                  <w:tcW w:w="1112" w:type="dxa"/>
                                </w:tcPr>
                                <w:p>
                                  <w:pPr>
                                    <w:pStyle w:val="TableParagraph"/>
                                    <w:spacing w:before="48"/>
                                    <w:rPr>
                                      <w:b/>
                                      <w:sz w:val="19"/>
                                    </w:rPr>
                                  </w:pPr>
                                </w:p>
                                <w:p>
                                  <w:pPr>
                                    <w:pStyle w:val="TableParagraph"/>
                                    <w:spacing w:before="1"/>
                                    <w:ind w:right="150"/>
                                    <w:jc w:val="right"/>
                                    <w:rPr>
                                      <w:b/>
                                      <w:sz w:val="19"/>
                                    </w:rPr>
                                  </w:pPr>
                                  <w:r>
                                    <w:rPr>
                                      <w:b/>
                                      <w:color w:val="070707"/>
                                      <w:spacing w:val="-2"/>
                                      <w:w w:val="105"/>
                                      <w:sz w:val="19"/>
                                    </w:rPr>
                                    <w:t>(6,969)</w:t>
                                  </w:r>
                                </w:p>
                              </w:tc>
                            </w:tr>
                            <w:tr>
                              <w:trPr>
                                <w:trHeight w:val="812" w:hRule="atLeast"/>
                              </w:trPr>
                              <w:tc>
                                <w:tcPr>
                                  <w:tcW w:w="4064" w:type="dxa"/>
                                </w:tcPr>
                                <w:p>
                                  <w:pPr>
                                    <w:pStyle w:val="TableParagraph"/>
                                    <w:spacing w:before="99"/>
                                    <w:rPr>
                                      <w:b/>
                                      <w:sz w:val="19"/>
                                    </w:rPr>
                                  </w:pPr>
                                </w:p>
                                <w:p>
                                  <w:pPr>
                                    <w:pStyle w:val="TableParagraph"/>
                                    <w:ind w:left="67"/>
                                    <w:rPr>
                                      <w:sz w:val="19"/>
                                    </w:rPr>
                                  </w:pPr>
                                  <w:r>
                                    <w:rPr>
                                      <w:color w:val="070707"/>
                                      <w:w w:val="105"/>
                                      <w:sz w:val="19"/>
                                    </w:rPr>
                                    <w:t>Financial</w:t>
                                  </w:r>
                                  <w:r>
                                    <w:rPr>
                                      <w:color w:val="070707"/>
                                      <w:spacing w:val="-10"/>
                                      <w:w w:val="105"/>
                                      <w:sz w:val="19"/>
                                    </w:rPr>
                                    <w:t> </w:t>
                                  </w:r>
                                  <w:r>
                                    <w:rPr>
                                      <w:color w:val="1F1F1F"/>
                                      <w:spacing w:val="-2"/>
                                      <w:w w:val="105"/>
                                      <w:sz w:val="19"/>
                                    </w:rPr>
                                    <w:t>Instruments</w:t>
                                  </w:r>
                                </w:p>
                              </w:tc>
                              <w:tc>
                                <w:tcPr>
                                  <w:tcW w:w="1239" w:type="dxa"/>
                                </w:tcPr>
                                <w:p>
                                  <w:pPr>
                                    <w:pStyle w:val="TableParagraph"/>
                                    <w:spacing w:before="104"/>
                                    <w:rPr>
                                      <w:b/>
                                      <w:sz w:val="19"/>
                                    </w:rPr>
                                  </w:pPr>
                                </w:p>
                                <w:p>
                                  <w:pPr>
                                    <w:pStyle w:val="TableParagraph"/>
                                    <w:ind w:right="463"/>
                                    <w:jc w:val="right"/>
                                    <w:rPr>
                                      <w:sz w:val="19"/>
                                    </w:rPr>
                                  </w:pPr>
                                  <w:r>
                                    <w:rPr>
                                      <w:color w:val="070707"/>
                                      <w:spacing w:val="-5"/>
                                      <w:w w:val="105"/>
                                      <w:sz w:val="19"/>
                                    </w:rPr>
                                    <w:t>28</w:t>
                                  </w:r>
                                </w:p>
                              </w:tc>
                              <w:tc>
                                <w:tcPr>
                                  <w:tcW w:w="1064" w:type="dxa"/>
                                </w:tcPr>
                                <w:p>
                                  <w:pPr>
                                    <w:pStyle w:val="TableParagraph"/>
                                    <w:rPr>
                                      <w:rFonts w:ascii="Times New Roman"/>
                                      <w:sz w:val="18"/>
                                    </w:rPr>
                                  </w:pPr>
                                </w:p>
                              </w:tc>
                              <w:tc>
                                <w:tcPr>
                                  <w:tcW w:w="1249" w:type="dxa"/>
                                </w:tcPr>
                                <w:p>
                                  <w:pPr>
                                    <w:pStyle w:val="TableParagraph"/>
                                    <w:rPr>
                                      <w:rFonts w:ascii="Times New Roman"/>
                                      <w:sz w:val="18"/>
                                    </w:rPr>
                                  </w:pPr>
                                </w:p>
                              </w:tc>
                              <w:tc>
                                <w:tcPr>
                                  <w:tcW w:w="1112" w:type="dxa"/>
                                </w:tcPr>
                                <w:p>
                                  <w:pPr>
                                    <w:pStyle w:val="TableParagraph"/>
                                    <w:spacing w:before="99"/>
                                    <w:rPr>
                                      <w:b/>
                                      <w:sz w:val="19"/>
                                    </w:rPr>
                                  </w:pPr>
                                </w:p>
                                <w:p>
                                  <w:pPr>
                                    <w:pStyle w:val="TableParagraph"/>
                                    <w:ind w:right="143"/>
                                    <w:jc w:val="right"/>
                                    <w:rPr>
                                      <w:b/>
                                      <w:sz w:val="19"/>
                                    </w:rPr>
                                  </w:pPr>
                                  <w:r>
                                    <w:rPr>
                                      <w:b/>
                                      <w:color w:val="070707"/>
                                      <w:spacing w:val="-4"/>
                                      <w:w w:val="110"/>
                                      <w:sz w:val="19"/>
                                    </w:rPr>
                                    <w:t>(28)</w:t>
                                  </w:r>
                                </w:p>
                              </w:tc>
                            </w:tr>
                            <w:tr>
                              <w:trPr>
                                <w:trHeight w:val="728" w:hRule="atLeast"/>
                              </w:trPr>
                              <w:tc>
                                <w:tcPr>
                                  <w:tcW w:w="4064" w:type="dxa"/>
                                </w:tcPr>
                                <w:p>
                                  <w:pPr>
                                    <w:pStyle w:val="TableParagraph"/>
                                    <w:spacing w:before="51"/>
                                    <w:rPr>
                                      <w:b/>
                                      <w:sz w:val="19"/>
                                    </w:rPr>
                                  </w:pPr>
                                </w:p>
                                <w:p>
                                  <w:pPr>
                                    <w:pStyle w:val="TableParagraph"/>
                                    <w:ind w:left="58"/>
                                    <w:rPr>
                                      <w:sz w:val="19"/>
                                    </w:rPr>
                                  </w:pPr>
                                  <w:r>
                                    <w:rPr>
                                      <w:color w:val="070707"/>
                                      <w:w w:val="105"/>
                                      <w:sz w:val="19"/>
                                    </w:rPr>
                                    <w:t>Holiday</w:t>
                                  </w:r>
                                  <w:r>
                                    <w:rPr>
                                      <w:color w:val="070707"/>
                                      <w:spacing w:val="4"/>
                                      <w:w w:val="105"/>
                                      <w:sz w:val="19"/>
                                    </w:rPr>
                                    <w:t> </w:t>
                                  </w:r>
                                  <w:r>
                                    <w:rPr>
                                      <w:color w:val="070707"/>
                                      <w:spacing w:val="-5"/>
                                      <w:w w:val="105"/>
                                      <w:sz w:val="19"/>
                                    </w:rPr>
                                    <w:t>Pay</w:t>
                                  </w:r>
                                </w:p>
                              </w:tc>
                              <w:tc>
                                <w:tcPr>
                                  <w:tcW w:w="1239" w:type="dxa"/>
                                  <w:tcBorders>
                                    <w:bottom w:val="single" w:color="000000" w:sz="6" w:space="0"/>
                                  </w:tcBorders>
                                </w:tcPr>
                                <w:p>
                                  <w:pPr>
                                    <w:pStyle w:val="TableParagraph"/>
                                    <w:spacing w:before="56"/>
                                    <w:rPr>
                                      <w:b/>
                                      <w:sz w:val="19"/>
                                    </w:rPr>
                                  </w:pPr>
                                </w:p>
                                <w:p>
                                  <w:pPr>
                                    <w:pStyle w:val="TableParagraph"/>
                                    <w:ind w:right="410"/>
                                    <w:jc w:val="right"/>
                                    <w:rPr>
                                      <w:sz w:val="19"/>
                                    </w:rPr>
                                  </w:pPr>
                                  <w:r>
                                    <w:rPr>
                                      <w:color w:val="070707"/>
                                      <w:spacing w:val="-5"/>
                                      <w:w w:val="105"/>
                                      <w:sz w:val="19"/>
                                    </w:rPr>
                                    <w:t>(5)</w:t>
                                  </w:r>
                                </w:p>
                              </w:tc>
                              <w:tc>
                                <w:tcPr>
                                  <w:tcW w:w="1064" w:type="dxa"/>
                                  <w:tcBorders>
                                    <w:bottom w:val="single" w:color="000000" w:sz="6" w:space="0"/>
                                  </w:tcBorders>
                                </w:tcPr>
                                <w:p>
                                  <w:pPr>
                                    <w:pStyle w:val="TableParagraph"/>
                                    <w:rPr>
                                      <w:rFonts w:ascii="Times New Roman"/>
                                      <w:sz w:val="18"/>
                                    </w:rPr>
                                  </w:pPr>
                                </w:p>
                              </w:tc>
                              <w:tc>
                                <w:tcPr>
                                  <w:tcW w:w="1249" w:type="dxa"/>
                                  <w:tcBorders>
                                    <w:bottom w:val="single" w:color="000000" w:sz="6" w:space="0"/>
                                  </w:tcBorders>
                                </w:tcPr>
                                <w:p>
                                  <w:pPr>
                                    <w:pStyle w:val="TableParagraph"/>
                                    <w:rPr>
                                      <w:rFonts w:ascii="Times New Roman"/>
                                      <w:sz w:val="18"/>
                                    </w:rPr>
                                  </w:pPr>
                                </w:p>
                              </w:tc>
                              <w:tc>
                                <w:tcPr>
                                  <w:tcW w:w="1112" w:type="dxa"/>
                                  <w:tcBorders>
                                    <w:bottom w:val="single" w:color="000000" w:sz="6" w:space="0"/>
                                  </w:tcBorders>
                                </w:tcPr>
                                <w:p>
                                  <w:pPr>
                                    <w:pStyle w:val="TableParagraph"/>
                                    <w:spacing w:before="46"/>
                                    <w:rPr>
                                      <w:b/>
                                      <w:sz w:val="19"/>
                                    </w:rPr>
                                  </w:pPr>
                                </w:p>
                                <w:p>
                                  <w:pPr>
                                    <w:pStyle w:val="TableParagraph"/>
                                    <w:ind w:right="154"/>
                                    <w:jc w:val="right"/>
                                    <w:rPr>
                                      <w:b/>
                                      <w:sz w:val="19"/>
                                    </w:rPr>
                                  </w:pPr>
                                  <w:r>
                                    <w:rPr>
                                      <w:b/>
                                      <w:color w:val="070707"/>
                                      <w:spacing w:val="-10"/>
                                      <w:w w:val="105"/>
                                      <w:sz w:val="19"/>
                                    </w:rPr>
                                    <w:t>5</w:t>
                                  </w:r>
                                </w:p>
                              </w:tc>
                            </w:tr>
                            <w:tr>
                              <w:trPr>
                                <w:trHeight w:val="388" w:hRule="atLeast"/>
                              </w:trPr>
                              <w:tc>
                                <w:tcPr>
                                  <w:tcW w:w="4064" w:type="dxa"/>
                                </w:tcPr>
                                <w:p>
                                  <w:pPr>
                                    <w:pStyle w:val="TableParagraph"/>
                                    <w:spacing w:before="107"/>
                                    <w:ind w:left="50"/>
                                    <w:rPr>
                                      <w:b/>
                                      <w:sz w:val="19"/>
                                    </w:rPr>
                                  </w:pPr>
                                  <w:r>
                                    <w:rPr>
                                      <w:b/>
                                      <w:color w:val="070707"/>
                                      <w:w w:val="105"/>
                                      <w:sz w:val="19"/>
                                    </w:rPr>
                                    <w:t>Total</w:t>
                                  </w:r>
                                  <w:r>
                                    <w:rPr>
                                      <w:b/>
                                      <w:color w:val="070707"/>
                                      <w:spacing w:val="6"/>
                                      <w:w w:val="105"/>
                                      <w:sz w:val="19"/>
                                    </w:rPr>
                                    <w:t> </w:t>
                                  </w:r>
                                  <w:r>
                                    <w:rPr>
                                      <w:b/>
                                      <w:color w:val="070707"/>
                                      <w:spacing w:val="-2"/>
                                      <w:w w:val="105"/>
                                      <w:sz w:val="19"/>
                                    </w:rPr>
                                    <w:t>Adjustments</w:t>
                                  </w:r>
                                </w:p>
                              </w:tc>
                              <w:tc>
                                <w:tcPr>
                                  <w:tcW w:w="1239" w:type="dxa"/>
                                  <w:tcBorders>
                                    <w:top w:val="single" w:color="000000" w:sz="6" w:space="0"/>
                                    <w:bottom w:val="single" w:color="000000" w:sz="6" w:space="0"/>
                                  </w:tcBorders>
                                </w:tcPr>
                                <w:p>
                                  <w:pPr>
                                    <w:pStyle w:val="TableParagraph"/>
                                    <w:spacing w:before="107"/>
                                    <w:ind w:right="418"/>
                                    <w:jc w:val="right"/>
                                    <w:rPr>
                                      <w:b/>
                                      <w:sz w:val="19"/>
                                    </w:rPr>
                                  </w:pPr>
                                  <w:r>
                                    <w:rPr>
                                      <w:b/>
                                      <w:color w:val="070707"/>
                                      <w:spacing w:val="-2"/>
                                      <w:w w:val="105"/>
                                      <w:sz w:val="19"/>
                                    </w:rPr>
                                    <w:t>7,050</w:t>
                                  </w:r>
                                </w:p>
                              </w:tc>
                              <w:tc>
                                <w:tcPr>
                                  <w:tcW w:w="1064" w:type="dxa"/>
                                  <w:tcBorders>
                                    <w:top w:val="single" w:color="000000" w:sz="6" w:space="0"/>
                                    <w:bottom w:val="single" w:color="000000" w:sz="6" w:space="0"/>
                                  </w:tcBorders>
                                </w:tcPr>
                                <w:p>
                                  <w:pPr>
                                    <w:pStyle w:val="TableParagraph"/>
                                    <w:spacing w:before="112"/>
                                    <w:ind w:left="400"/>
                                    <w:rPr>
                                      <w:b/>
                                      <w:sz w:val="19"/>
                                    </w:rPr>
                                  </w:pPr>
                                  <w:r>
                                    <w:rPr>
                                      <w:b/>
                                      <w:color w:val="070707"/>
                                      <w:spacing w:val="-4"/>
                                      <w:w w:val="110"/>
                                      <w:sz w:val="19"/>
                                    </w:rPr>
                                    <w:t>(52)</w:t>
                                  </w:r>
                                </w:p>
                              </w:tc>
                              <w:tc>
                                <w:tcPr>
                                  <w:tcW w:w="1249" w:type="dxa"/>
                                  <w:tcBorders>
                                    <w:top w:val="single" w:color="000000" w:sz="6" w:space="0"/>
                                    <w:bottom w:val="single" w:color="000000" w:sz="6" w:space="0"/>
                                  </w:tcBorders>
                                </w:tcPr>
                                <w:p>
                                  <w:pPr>
                                    <w:pStyle w:val="TableParagraph"/>
                                    <w:spacing w:before="107"/>
                                    <w:ind w:left="297"/>
                                    <w:rPr>
                                      <w:b/>
                                      <w:sz w:val="19"/>
                                    </w:rPr>
                                  </w:pPr>
                                  <w:r>
                                    <w:rPr>
                                      <w:b/>
                                      <w:color w:val="070707"/>
                                      <w:spacing w:val="-2"/>
                                      <w:w w:val="105"/>
                                      <w:sz w:val="19"/>
                                    </w:rPr>
                                    <w:t>(1,629)</w:t>
                                  </w:r>
                                </w:p>
                              </w:tc>
                              <w:tc>
                                <w:tcPr>
                                  <w:tcW w:w="1112" w:type="dxa"/>
                                  <w:tcBorders>
                                    <w:top w:val="single" w:color="000000" w:sz="6" w:space="0"/>
                                    <w:bottom w:val="single" w:color="000000" w:sz="6" w:space="0"/>
                                  </w:tcBorders>
                                </w:tcPr>
                                <w:p>
                                  <w:pPr>
                                    <w:pStyle w:val="TableParagraph"/>
                                    <w:spacing w:before="107"/>
                                    <w:ind w:right="159"/>
                                    <w:jc w:val="right"/>
                                    <w:rPr>
                                      <w:b/>
                                      <w:sz w:val="19"/>
                                    </w:rPr>
                                  </w:pPr>
                                  <w:r>
                                    <w:rPr>
                                      <w:b/>
                                      <w:color w:val="070707"/>
                                      <w:spacing w:val="-2"/>
                                      <w:w w:val="105"/>
                                      <w:sz w:val="19"/>
                                    </w:rPr>
                                    <w:t>(5,369)</w:t>
                                  </w:r>
                                </w:p>
                              </w:tc>
                            </w:tr>
                          </w:tbl>
                          <w:p>
                            <w:pPr>
                              <w:pStyle w:val="BodyText"/>
                            </w:pPr>
                          </w:p>
                        </w:txbxContent>
                      </wps:txbx>
                      <wps:bodyPr wrap="square" lIns="0" tIns="0" rIns="0" bIns="0" rtlCol="0">
                        <a:noAutofit/>
                      </wps:bodyPr>
                    </wps:wsp>
                  </a:graphicData>
                </a:graphic>
              </wp:anchor>
            </w:drawing>
          </ve:Choice>
          <ve:Fallback>
            <w:pict>
              <v:shape id="docshape139" style="position:absolute;margin-left:45.252731pt;margin-top:6.0598pt;width:442.4pt;height:169.15pt;mso-position-horizontal-relative:page;mso-position-vertical-relative:paragraph;z-index:15773696"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064"/>
                        <w:gridCol w:w="1239"/>
                        <w:gridCol w:w="1064"/>
                        <w:gridCol w:w="1249"/>
                        <w:gridCol w:w="1112"/>
                      </w:tblGrid>
                      <w:tr>
                        <w:trPr>
                          <w:trHeight w:val="606" w:hRule="atLeast"/>
                        </w:trPr>
                        <w:tc>
                          <w:tcPr>
                            <w:tcW w:w="4064" w:type="dxa"/>
                          </w:tcPr>
                          <w:p>
                            <w:pPr>
                              <w:pStyle w:val="TableParagraph"/>
                              <w:spacing w:line="217" w:lineRule="exact"/>
                              <w:ind w:left="87"/>
                              <w:rPr>
                                <w:sz w:val="19"/>
                              </w:rPr>
                            </w:pPr>
                            <w:r>
                              <w:rPr>
                                <w:color w:val="070707"/>
                                <w:w w:val="105"/>
                                <w:sz w:val="19"/>
                              </w:rPr>
                              <w:t>Pension</w:t>
                            </w:r>
                            <w:r>
                              <w:rPr>
                                <w:color w:val="070707"/>
                                <w:spacing w:val="-8"/>
                                <w:w w:val="105"/>
                                <w:sz w:val="19"/>
                              </w:rPr>
                              <w:t> </w:t>
                            </w:r>
                            <w:r>
                              <w:rPr>
                                <w:color w:val="070707"/>
                                <w:spacing w:val="-2"/>
                                <w:w w:val="105"/>
                                <w:sz w:val="19"/>
                              </w:rPr>
                              <w:t>costs</w:t>
                            </w:r>
                          </w:p>
                        </w:tc>
                        <w:tc>
                          <w:tcPr>
                            <w:tcW w:w="1239" w:type="dxa"/>
                          </w:tcPr>
                          <w:p>
                            <w:pPr>
                              <w:pStyle w:val="TableParagraph"/>
                              <w:spacing w:before="114"/>
                              <w:ind w:right="400"/>
                              <w:jc w:val="right"/>
                              <w:rPr>
                                <w:sz w:val="19"/>
                              </w:rPr>
                            </w:pPr>
                            <w:r>
                              <w:rPr>
                                <w:color w:val="070707"/>
                                <w:spacing w:val="-2"/>
                                <w:w w:val="105"/>
                                <w:sz w:val="19"/>
                              </w:rPr>
                              <w:t>(2,608)</w:t>
                            </w:r>
                          </w:p>
                        </w:tc>
                        <w:tc>
                          <w:tcPr>
                            <w:tcW w:w="1064" w:type="dxa"/>
                          </w:tcPr>
                          <w:p>
                            <w:pPr>
                              <w:pStyle w:val="TableParagraph"/>
                              <w:rPr>
                                <w:rFonts w:ascii="Times New Roman"/>
                                <w:sz w:val="18"/>
                              </w:rPr>
                            </w:pPr>
                          </w:p>
                        </w:tc>
                        <w:tc>
                          <w:tcPr>
                            <w:tcW w:w="1249" w:type="dxa"/>
                          </w:tcPr>
                          <w:p>
                            <w:pPr>
                              <w:pStyle w:val="TableParagraph"/>
                              <w:rPr>
                                <w:rFonts w:ascii="Times New Roman"/>
                                <w:sz w:val="18"/>
                              </w:rPr>
                            </w:pPr>
                          </w:p>
                        </w:tc>
                        <w:tc>
                          <w:tcPr>
                            <w:tcW w:w="1112" w:type="dxa"/>
                          </w:tcPr>
                          <w:p>
                            <w:pPr>
                              <w:pStyle w:val="TableParagraph"/>
                              <w:spacing w:before="109"/>
                              <w:ind w:right="142"/>
                              <w:jc w:val="right"/>
                              <w:rPr>
                                <w:b/>
                                <w:sz w:val="19"/>
                              </w:rPr>
                            </w:pPr>
                            <w:r>
                              <w:rPr>
                                <w:b/>
                                <w:color w:val="070707"/>
                                <w:spacing w:val="-2"/>
                                <w:w w:val="105"/>
                                <w:sz w:val="19"/>
                              </w:rPr>
                              <w:t>2,608</w:t>
                            </w:r>
                          </w:p>
                        </w:tc>
                      </w:tr>
                      <w:tr>
                        <w:trPr>
                          <w:trHeight w:val="819" w:hRule="atLeast"/>
                        </w:trPr>
                        <w:tc>
                          <w:tcPr>
                            <w:tcW w:w="4064" w:type="dxa"/>
                          </w:tcPr>
                          <w:p>
                            <w:pPr>
                              <w:pStyle w:val="TableParagraph"/>
                              <w:spacing w:before="53"/>
                              <w:rPr>
                                <w:b/>
                                <w:sz w:val="19"/>
                              </w:rPr>
                            </w:pPr>
                          </w:p>
                          <w:p>
                            <w:pPr>
                              <w:pStyle w:val="TableParagraph"/>
                              <w:ind w:left="78"/>
                              <w:rPr>
                                <w:sz w:val="19"/>
                              </w:rPr>
                            </w:pPr>
                            <w:r>
                              <w:rPr>
                                <w:color w:val="070707"/>
                                <w:w w:val="105"/>
                                <w:sz w:val="19"/>
                              </w:rPr>
                              <w:t>Council</w:t>
                            </w:r>
                            <w:r>
                              <w:rPr>
                                <w:color w:val="070707"/>
                                <w:spacing w:val="2"/>
                                <w:w w:val="105"/>
                                <w:sz w:val="19"/>
                              </w:rPr>
                              <w:t> </w:t>
                            </w:r>
                            <w:r>
                              <w:rPr>
                                <w:color w:val="070707"/>
                                <w:w w:val="105"/>
                                <w:sz w:val="19"/>
                              </w:rPr>
                              <w:t>Tax</w:t>
                            </w:r>
                            <w:r>
                              <w:rPr>
                                <w:color w:val="070707"/>
                                <w:spacing w:val="-5"/>
                                <w:w w:val="105"/>
                                <w:sz w:val="19"/>
                              </w:rPr>
                              <w:t> </w:t>
                            </w:r>
                            <w:r>
                              <w:rPr>
                                <w:color w:val="070707"/>
                                <w:w w:val="105"/>
                                <w:sz w:val="19"/>
                              </w:rPr>
                              <w:t>and</w:t>
                            </w:r>
                            <w:r>
                              <w:rPr>
                                <w:color w:val="070707"/>
                                <w:spacing w:val="3"/>
                                <w:w w:val="105"/>
                                <w:sz w:val="19"/>
                              </w:rPr>
                              <w:t> </w:t>
                            </w:r>
                            <w:r>
                              <w:rPr>
                                <w:color w:val="070707"/>
                                <w:spacing w:val="-4"/>
                                <w:w w:val="105"/>
                                <w:sz w:val="19"/>
                              </w:rPr>
                              <w:t>NNDR</w:t>
                            </w:r>
                          </w:p>
                        </w:tc>
                        <w:tc>
                          <w:tcPr>
                            <w:tcW w:w="1239" w:type="dxa"/>
                          </w:tcPr>
                          <w:p>
                            <w:pPr>
                              <w:pStyle w:val="TableParagraph"/>
                              <w:spacing w:before="58"/>
                              <w:rPr>
                                <w:b/>
                                <w:sz w:val="19"/>
                              </w:rPr>
                            </w:pPr>
                          </w:p>
                          <w:p>
                            <w:pPr>
                              <w:pStyle w:val="TableParagraph"/>
                              <w:ind w:right="398"/>
                              <w:jc w:val="right"/>
                              <w:rPr>
                                <w:sz w:val="19"/>
                              </w:rPr>
                            </w:pPr>
                            <w:r>
                              <w:rPr>
                                <w:color w:val="070707"/>
                                <w:spacing w:val="-2"/>
                                <w:w w:val="105"/>
                                <w:sz w:val="19"/>
                              </w:rPr>
                              <w:t>6,969</w:t>
                            </w:r>
                          </w:p>
                        </w:tc>
                        <w:tc>
                          <w:tcPr>
                            <w:tcW w:w="1064" w:type="dxa"/>
                          </w:tcPr>
                          <w:p>
                            <w:pPr>
                              <w:pStyle w:val="TableParagraph"/>
                              <w:rPr>
                                <w:rFonts w:ascii="Times New Roman"/>
                                <w:sz w:val="18"/>
                              </w:rPr>
                            </w:pPr>
                          </w:p>
                        </w:tc>
                        <w:tc>
                          <w:tcPr>
                            <w:tcW w:w="1249" w:type="dxa"/>
                          </w:tcPr>
                          <w:p>
                            <w:pPr>
                              <w:pStyle w:val="TableParagraph"/>
                              <w:rPr>
                                <w:rFonts w:ascii="Times New Roman"/>
                                <w:sz w:val="18"/>
                              </w:rPr>
                            </w:pPr>
                          </w:p>
                        </w:tc>
                        <w:tc>
                          <w:tcPr>
                            <w:tcW w:w="1112" w:type="dxa"/>
                          </w:tcPr>
                          <w:p>
                            <w:pPr>
                              <w:pStyle w:val="TableParagraph"/>
                              <w:spacing w:before="48"/>
                              <w:rPr>
                                <w:b/>
                                <w:sz w:val="19"/>
                              </w:rPr>
                            </w:pPr>
                          </w:p>
                          <w:p>
                            <w:pPr>
                              <w:pStyle w:val="TableParagraph"/>
                              <w:spacing w:before="1"/>
                              <w:ind w:right="150"/>
                              <w:jc w:val="right"/>
                              <w:rPr>
                                <w:b/>
                                <w:sz w:val="19"/>
                              </w:rPr>
                            </w:pPr>
                            <w:r>
                              <w:rPr>
                                <w:b/>
                                <w:color w:val="070707"/>
                                <w:spacing w:val="-2"/>
                                <w:w w:val="105"/>
                                <w:sz w:val="19"/>
                              </w:rPr>
                              <w:t>(6,969)</w:t>
                            </w:r>
                          </w:p>
                        </w:tc>
                      </w:tr>
                      <w:tr>
                        <w:trPr>
                          <w:trHeight w:val="812" w:hRule="atLeast"/>
                        </w:trPr>
                        <w:tc>
                          <w:tcPr>
                            <w:tcW w:w="4064" w:type="dxa"/>
                          </w:tcPr>
                          <w:p>
                            <w:pPr>
                              <w:pStyle w:val="TableParagraph"/>
                              <w:spacing w:before="99"/>
                              <w:rPr>
                                <w:b/>
                                <w:sz w:val="19"/>
                              </w:rPr>
                            </w:pPr>
                          </w:p>
                          <w:p>
                            <w:pPr>
                              <w:pStyle w:val="TableParagraph"/>
                              <w:ind w:left="67"/>
                              <w:rPr>
                                <w:sz w:val="19"/>
                              </w:rPr>
                            </w:pPr>
                            <w:r>
                              <w:rPr>
                                <w:color w:val="070707"/>
                                <w:w w:val="105"/>
                                <w:sz w:val="19"/>
                              </w:rPr>
                              <w:t>Financial</w:t>
                            </w:r>
                            <w:r>
                              <w:rPr>
                                <w:color w:val="070707"/>
                                <w:spacing w:val="-10"/>
                                <w:w w:val="105"/>
                                <w:sz w:val="19"/>
                              </w:rPr>
                              <w:t> </w:t>
                            </w:r>
                            <w:r>
                              <w:rPr>
                                <w:color w:val="1F1F1F"/>
                                <w:spacing w:val="-2"/>
                                <w:w w:val="105"/>
                                <w:sz w:val="19"/>
                              </w:rPr>
                              <w:t>Instruments</w:t>
                            </w:r>
                          </w:p>
                        </w:tc>
                        <w:tc>
                          <w:tcPr>
                            <w:tcW w:w="1239" w:type="dxa"/>
                          </w:tcPr>
                          <w:p>
                            <w:pPr>
                              <w:pStyle w:val="TableParagraph"/>
                              <w:spacing w:before="104"/>
                              <w:rPr>
                                <w:b/>
                                <w:sz w:val="19"/>
                              </w:rPr>
                            </w:pPr>
                          </w:p>
                          <w:p>
                            <w:pPr>
                              <w:pStyle w:val="TableParagraph"/>
                              <w:ind w:right="463"/>
                              <w:jc w:val="right"/>
                              <w:rPr>
                                <w:sz w:val="19"/>
                              </w:rPr>
                            </w:pPr>
                            <w:r>
                              <w:rPr>
                                <w:color w:val="070707"/>
                                <w:spacing w:val="-5"/>
                                <w:w w:val="105"/>
                                <w:sz w:val="19"/>
                              </w:rPr>
                              <w:t>28</w:t>
                            </w:r>
                          </w:p>
                        </w:tc>
                        <w:tc>
                          <w:tcPr>
                            <w:tcW w:w="1064" w:type="dxa"/>
                          </w:tcPr>
                          <w:p>
                            <w:pPr>
                              <w:pStyle w:val="TableParagraph"/>
                              <w:rPr>
                                <w:rFonts w:ascii="Times New Roman"/>
                                <w:sz w:val="18"/>
                              </w:rPr>
                            </w:pPr>
                          </w:p>
                        </w:tc>
                        <w:tc>
                          <w:tcPr>
                            <w:tcW w:w="1249" w:type="dxa"/>
                          </w:tcPr>
                          <w:p>
                            <w:pPr>
                              <w:pStyle w:val="TableParagraph"/>
                              <w:rPr>
                                <w:rFonts w:ascii="Times New Roman"/>
                                <w:sz w:val="18"/>
                              </w:rPr>
                            </w:pPr>
                          </w:p>
                        </w:tc>
                        <w:tc>
                          <w:tcPr>
                            <w:tcW w:w="1112" w:type="dxa"/>
                          </w:tcPr>
                          <w:p>
                            <w:pPr>
                              <w:pStyle w:val="TableParagraph"/>
                              <w:spacing w:before="99"/>
                              <w:rPr>
                                <w:b/>
                                <w:sz w:val="19"/>
                              </w:rPr>
                            </w:pPr>
                          </w:p>
                          <w:p>
                            <w:pPr>
                              <w:pStyle w:val="TableParagraph"/>
                              <w:ind w:right="143"/>
                              <w:jc w:val="right"/>
                              <w:rPr>
                                <w:b/>
                                <w:sz w:val="19"/>
                              </w:rPr>
                            </w:pPr>
                            <w:r>
                              <w:rPr>
                                <w:b/>
                                <w:color w:val="070707"/>
                                <w:spacing w:val="-4"/>
                                <w:w w:val="110"/>
                                <w:sz w:val="19"/>
                              </w:rPr>
                              <w:t>(28)</w:t>
                            </w:r>
                          </w:p>
                        </w:tc>
                      </w:tr>
                      <w:tr>
                        <w:trPr>
                          <w:trHeight w:val="728" w:hRule="atLeast"/>
                        </w:trPr>
                        <w:tc>
                          <w:tcPr>
                            <w:tcW w:w="4064" w:type="dxa"/>
                          </w:tcPr>
                          <w:p>
                            <w:pPr>
                              <w:pStyle w:val="TableParagraph"/>
                              <w:spacing w:before="51"/>
                              <w:rPr>
                                <w:b/>
                                <w:sz w:val="19"/>
                              </w:rPr>
                            </w:pPr>
                          </w:p>
                          <w:p>
                            <w:pPr>
                              <w:pStyle w:val="TableParagraph"/>
                              <w:ind w:left="58"/>
                              <w:rPr>
                                <w:sz w:val="19"/>
                              </w:rPr>
                            </w:pPr>
                            <w:r>
                              <w:rPr>
                                <w:color w:val="070707"/>
                                <w:w w:val="105"/>
                                <w:sz w:val="19"/>
                              </w:rPr>
                              <w:t>Holiday</w:t>
                            </w:r>
                            <w:r>
                              <w:rPr>
                                <w:color w:val="070707"/>
                                <w:spacing w:val="4"/>
                                <w:w w:val="105"/>
                                <w:sz w:val="19"/>
                              </w:rPr>
                              <w:t> </w:t>
                            </w:r>
                            <w:r>
                              <w:rPr>
                                <w:color w:val="070707"/>
                                <w:spacing w:val="-5"/>
                                <w:w w:val="105"/>
                                <w:sz w:val="19"/>
                              </w:rPr>
                              <w:t>Pay</w:t>
                            </w:r>
                          </w:p>
                        </w:tc>
                        <w:tc>
                          <w:tcPr>
                            <w:tcW w:w="1239" w:type="dxa"/>
                            <w:tcBorders>
                              <w:bottom w:val="single" w:color="000000" w:sz="6" w:space="0"/>
                            </w:tcBorders>
                          </w:tcPr>
                          <w:p>
                            <w:pPr>
                              <w:pStyle w:val="TableParagraph"/>
                              <w:spacing w:before="56"/>
                              <w:rPr>
                                <w:b/>
                                <w:sz w:val="19"/>
                              </w:rPr>
                            </w:pPr>
                          </w:p>
                          <w:p>
                            <w:pPr>
                              <w:pStyle w:val="TableParagraph"/>
                              <w:ind w:right="410"/>
                              <w:jc w:val="right"/>
                              <w:rPr>
                                <w:sz w:val="19"/>
                              </w:rPr>
                            </w:pPr>
                            <w:r>
                              <w:rPr>
                                <w:color w:val="070707"/>
                                <w:spacing w:val="-5"/>
                                <w:w w:val="105"/>
                                <w:sz w:val="19"/>
                              </w:rPr>
                              <w:t>(5)</w:t>
                            </w:r>
                          </w:p>
                        </w:tc>
                        <w:tc>
                          <w:tcPr>
                            <w:tcW w:w="1064" w:type="dxa"/>
                            <w:tcBorders>
                              <w:bottom w:val="single" w:color="000000" w:sz="6" w:space="0"/>
                            </w:tcBorders>
                          </w:tcPr>
                          <w:p>
                            <w:pPr>
                              <w:pStyle w:val="TableParagraph"/>
                              <w:rPr>
                                <w:rFonts w:ascii="Times New Roman"/>
                                <w:sz w:val="18"/>
                              </w:rPr>
                            </w:pPr>
                          </w:p>
                        </w:tc>
                        <w:tc>
                          <w:tcPr>
                            <w:tcW w:w="1249" w:type="dxa"/>
                            <w:tcBorders>
                              <w:bottom w:val="single" w:color="000000" w:sz="6" w:space="0"/>
                            </w:tcBorders>
                          </w:tcPr>
                          <w:p>
                            <w:pPr>
                              <w:pStyle w:val="TableParagraph"/>
                              <w:rPr>
                                <w:rFonts w:ascii="Times New Roman"/>
                                <w:sz w:val="18"/>
                              </w:rPr>
                            </w:pPr>
                          </w:p>
                        </w:tc>
                        <w:tc>
                          <w:tcPr>
                            <w:tcW w:w="1112" w:type="dxa"/>
                            <w:tcBorders>
                              <w:bottom w:val="single" w:color="000000" w:sz="6" w:space="0"/>
                            </w:tcBorders>
                          </w:tcPr>
                          <w:p>
                            <w:pPr>
                              <w:pStyle w:val="TableParagraph"/>
                              <w:spacing w:before="46"/>
                              <w:rPr>
                                <w:b/>
                                <w:sz w:val="19"/>
                              </w:rPr>
                            </w:pPr>
                          </w:p>
                          <w:p>
                            <w:pPr>
                              <w:pStyle w:val="TableParagraph"/>
                              <w:ind w:right="154"/>
                              <w:jc w:val="right"/>
                              <w:rPr>
                                <w:b/>
                                <w:sz w:val="19"/>
                              </w:rPr>
                            </w:pPr>
                            <w:r>
                              <w:rPr>
                                <w:b/>
                                <w:color w:val="070707"/>
                                <w:spacing w:val="-10"/>
                                <w:w w:val="105"/>
                                <w:sz w:val="19"/>
                              </w:rPr>
                              <w:t>5</w:t>
                            </w:r>
                          </w:p>
                        </w:tc>
                      </w:tr>
                      <w:tr>
                        <w:trPr>
                          <w:trHeight w:val="388" w:hRule="atLeast"/>
                        </w:trPr>
                        <w:tc>
                          <w:tcPr>
                            <w:tcW w:w="4064" w:type="dxa"/>
                          </w:tcPr>
                          <w:p>
                            <w:pPr>
                              <w:pStyle w:val="TableParagraph"/>
                              <w:spacing w:before="107"/>
                              <w:ind w:left="50"/>
                              <w:rPr>
                                <w:b/>
                                <w:sz w:val="19"/>
                              </w:rPr>
                            </w:pPr>
                            <w:r>
                              <w:rPr>
                                <w:b/>
                                <w:color w:val="070707"/>
                                <w:w w:val="105"/>
                                <w:sz w:val="19"/>
                              </w:rPr>
                              <w:t>Total</w:t>
                            </w:r>
                            <w:r>
                              <w:rPr>
                                <w:b/>
                                <w:color w:val="070707"/>
                                <w:spacing w:val="6"/>
                                <w:w w:val="105"/>
                                <w:sz w:val="19"/>
                              </w:rPr>
                              <w:t> </w:t>
                            </w:r>
                            <w:r>
                              <w:rPr>
                                <w:b/>
                                <w:color w:val="070707"/>
                                <w:spacing w:val="-2"/>
                                <w:w w:val="105"/>
                                <w:sz w:val="19"/>
                              </w:rPr>
                              <w:t>Adjustments</w:t>
                            </w:r>
                          </w:p>
                        </w:tc>
                        <w:tc>
                          <w:tcPr>
                            <w:tcW w:w="1239" w:type="dxa"/>
                            <w:tcBorders>
                              <w:top w:val="single" w:color="000000" w:sz="6" w:space="0"/>
                              <w:bottom w:val="single" w:color="000000" w:sz="6" w:space="0"/>
                            </w:tcBorders>
                          </w:tcPr>
                          <w:p>
                            <w:pPr>
                              <w:pStyle w:val="TableParagraph"/>
                              <w:spacing w:before="107"/>
                              <w:ind w:right="418"/>
                              <w:jc w:val="right"/>
                              <w:rPr>
                                <w:b/>
                                <w:sz w:val="19"/>
                              </w:rPr>
                            </w:pPr>
                            <w:r>
                              <w:rPr>
                                <w:b/>
                                <w:color w:val="070707"/>
                                <w:spacing w:val="-2"/>
                                <w:w w:val="105"/>
                                <w:sz w:val="19"/>
                              </w:rPr>
                              <w:t>7,050</w:t>
                            </w:r>
                          </w:p>
                        </w:tc>
                        <w:tc>
                          <w:tcPr>
                            <w:tcW w:w="1064" w:type="dxa"/>
                            <w:tcBorders>
                              <w:top w:val="single" w:color="000000" w:sz="6" w:space="0"/>
                              <w:bottom w:val="single" w:color="000000" w:sz="6" w:space="0"/>
                            </w:tcBorders>
                          </w:tcPr>
                          <w:p>
                            <w:pPr>
                              <w:pStyle w:val="TableParagraph"/>
                              <w:spacing w:before="112"/>
                              <w:ind w:left="400"/>
                              <w:rPr>
                                <w:b/>
                                <w:sz w:val="19"/>
                              </w:rPr>
                            </w:pPr>
                            <w:r>
                              <w:rPr>
                                <w:b/>
                                <w:color w:val="070707"/>
                                <w:spacing w:val="-4"/>
                                <w:w w:val="110"/>
                                <w:sz w:val="19"/>
                              </w:rPr>
                              <w:t>(52)</w:t>
                            </w:r>
                          </w:p>
                        </w:tc>
                        <w:tc>
                          <w:tcPr>
                            <w:tcW w:w="1249" w:type="dxa"/>
                            <w:tcBorders>
                              <w:top w:val="single" w:color="000000" w:sz="6" w:space="0"/>
                              <w:bottom w:val="single" w:color="000000" w:sz="6" w:space="0"/>
                            </w:tcBorders>
                          </w:tcPr>
                          <w:p>
                            <w:pPr>
                              <w:pStyle w:val="TableParagraph"/>
                              <w:spacing w:before="107"/>
                              <w:ind w:left="297"/>
                              <w:rPr>
                                <w:b/>
                                <w:sz w:val="19"/>
                              </w:rPr>
                            </w:pPr>
                            <w:r>
                              <w:rPr>
                                <w:b/>
                                <w:color w:val="070707"/>
                                <w:spacing w:val="-2"/>
                                <w:w w:val="105"/>
                                <w:sz w:val="19"/>
                              </w:rPr>
                              <w:t>(1,629)</w:t>
                            </w:r>
                          </w:p>
                        </w:tc>
                        <w:tc>
                          <w:tcPr>
                            <w:tcW w:w="1112" w:type="dxa"/>
                            <w:tcBorders>
                              <w:top w:val="single" w:color="000000" w:sz="6" w:space="0"/>
                              <w:bottom w:val="single" w:color="000000" w:sz="6" w:space="0"/>
                            </w:tcBorders>
                          </w:tcPr>
                          <w:p>
                            <w:pPr>
                              <w:pStyle w:val="TableParagraph"/>
                              <w:spacing w:before="107"/>
                              <w:ind w:right="159"/>
                              <w:jc w:val="right"/>
                              <w:rPr>
                                <w:b/>
                                <w:sz w:val="19"/>
                              </w:rPr>
                            </w:pPr>
                            <w:r>
                              <w:rPr>
                                <w:b/>
                                <w:color w:val="070707"/>
                                <w:spacing w:val="-2"/>
                                <w:w w:val="105"/>
                                <w:sz w:val="19"/>
                              </w:rPr>
                              <w:t>(5,369)</w:t>
                            </w:r>
                          </w:p>
                        </w:tc>
                      </w:tr>
                    </w:tbl>
                    <w:p>
                      <w:pPr>
                        <w:pStyle w:val="BodyText"/>
                      </w:pPr>
                    </w:p>
                  </w:txbxContent>
                </v:textbox>
                <w10:wrap type="none"/>
              </v:shape>
            </w:pict>
          </ve:Fallback>
        </ve:AlternateContent>
      </w:r>
      <w:r>
        <w:rPr>
          <w:b/>
          <w:color w:val="070707"/>
          <w:spacing w:val="-2"/>
          <w:w w:val="105"/>
          <w:sz w:val="19"/>
        </w:rPr>
        <w:t>Pensions</w:t>
      </w:r>
    </w:p>
    <w:p>
      <w:pPr>
        <w:spacing w:before="89" w:after="4" w:line="254" w:lineRule="auto"/>
        <w:ind w:left="9721" w:right="693" w:firstLine="0"/>
        <w:jc w:val="center"/>
        <w:rPr>
          <w:b/>
          <w:sz w:val="19"/>
        </w:rPr>
      </w:pPr>
      <w:r>
        <w:rPr>
          <w:b/>
          <w:color w:val="070707"/>
          <w:spacing w:val="-2"/>
          <w:w w:val="105"/>
          <w:sz w:val="19"/>
        </w:rPr>
        <w:t>Collection </w:t>
      </w:r>
      <w:r>
        <w:rPr>
          <w:b/>
          <w:color w:val="070707"/>
          <w:spacing w:val="-4"/>
          <w:w w:val="105"/>
          <w:sz w:val="19"/>
        </w:rPr>
        <w:t>Fund</w:t>
      </w:r>
    </w:p>
    <w:p>
      <w:pPr>
        <w:pStyle w:val="BodyText"/>
        <w:spacing w:line="212" w:lineRule="exact"/>
        <w:ind w:left="9859"/>
        <w:rPr>
          <w:sz w:val="20"/>
        </w:rPr>
      </w:pPr>
      <w:r>
        <w:rPr>
          <w:position w:val="-3"/>
          <w:sz w:val="20"/>
        </w:rPr>
        <ve:AlternateContent>
          <ve:Choice Requires="wps">
            <w:drawing>
              <wp:inline distT="0" distB="0" distL="0" distR="0">
                <wp:extent cx="691515" cy="135255"/>
                <wp:effectExtent l="0" t="0" r="0" b="0"/>
                <wp:docPr id="224" name="Textbox 224"/>
                <wp:cNvGraphicFramePr>
                  <a:graphicFrameLocks/>
                </wp:cNvGraphicFramePr>
                <a:graphic>
                  <a:graphicData uri="http://schemas.microsoft.com/office/word/2010/wordprocessingShape">
                    <wps:wsp>
                      <wps:cNvPr id="224" name="Textbox 224"/>
                      <wps:cNvSpPr txBox="1"/>
                      <wps:spPr>
                        <a:xfrm>
                          <a:off x="0" y="0"/>
                          <a:ext cx="691515" cy="135255"/>
                        </a:xfrm>
                        <a:prstGeom prst="rect">
                          <a:avLst/>
                        </a:prstGeom>
                      </wps:spPr>
                      <wps:txbx>
                        <w:txbxContent>
                          <w:p>
                            <w:pPr>
                              <w:spacing w:before="0" w:line="212" w:lineRule="exact"/>
                              <w:ind w:left="0" w:right="0" w:firstLine="0"/>
                              <w:jc w:val="left"/>
                              <w:rPr>
                                <w:b/>
                                <w:sz w:val="19"/>
                              </w:rPr>
                            </w:pPr>
                            <w:r>
                              <w:rPr>
                                <w:b/>
                                <w:color w:val="070707"/>
                                <w:spacing w:val="-2"/>
                                <w:sz w:val="19"/>
                              </w:rPr>
                              <w:t>Adjustment</w:t>
                            </w:r>
                          </w:p>
                        </w:txbxContent>
                      </wps:txbx>
                      <wps:bodyPr wrap="square" lIns="0" tIns="0" rIns="0" bIns="0" rtlCol="0">
                        <a:noAutofit/>
                      </wps:bodyPr>
                    </wps:wsp>
                  </a:graphicData>
                </a:graphic>
              </wp:inline>
            </w:drawing>
          </ve:Choice>
          <ve:Fallback>
            <w:pict>
              <v:shape id="docshape140" style="width:54.45pt;height:10.65pt;mso-position-horizontal-relative:char;mso-position-vertical-relative:line" filled="false" stroked="false" type="#_x0000_t202">
                <w10:anchorlock/>
                <v:textbox inset="0,0,0,0">
                  <w:txbxContent>
                    <w:p>
                      <w:pPr>
                        <w:spacing w:before="0" w:line="212" w:lineRule="exact"/>
                        <w:ind w:left="0" w:right="0" w:firstLine="0"/>
                        <w:jc w:val="left"/>
                        <w:rPr>
                          <w:b/>
                          <w:sz w:val="19"/>
                        </w:rPr>
                      </w:pPr>
                      <w:r>
                        <w:rPr>
                          <w:b/>
                          <w:color w:val="070707"/>
                          <w:spacing w:val="-2"/>
                          <w:sz w:val="19"/>
                        </w:rPr>
                        <w:t>Adjustment</w:t>
                      </w:r>
                    </w:p>
                  </w:txbxContent>
                </v:textbox>
              </v:shape>
            </w:pict>
          </ve:Fallback>
        </ve:AlternateContent>
      </w:r>
      <w:r>
        <w:rPr>
          <w:position w:val="-3"/>
          <w:sz w:val="20"/>
        </w:rPr>
      </w:r>
    </w:p>
    <w:p>
      <w:pPr>
        <w:spacing w:before="12"/>
        <w:ind w:left="9721" w:right="696" w:firstLine="0"/>
        <w:jc w:val="center"/>
        <w:rPr>
          <w:b/>
          <w:sz w:val="19"/>
        </w:rPr>
      </w:pPr>
      <w:r>
        <w:rPr>
          <w:b/>
          <w:color w:val="070707"/>
          <w:spacing w:val="-2"/>
          <w:w w:val="105"/>
          <w:sz w:val="19"/>
        </w:rPr>
        <w:t>Account</w:t>
      </w:r>
    </w:p>
    <w:p>
      <w:pPr>
        <w:spacing w:before="70" w:line="254" w:lineRule="auto"/>
        <w:ind w:left="9850" w:right="843" w:firstLine="20"/>
        <w:jc w:val="center"/>
        <w:rPr>
          <w:b/>
          <w:sz w:val="19"/>
        </w:rPr>
      </w:pPr>
      <w:r>
        <w:rPr>
          <w:b/>
          <w:color w:val="070707"/>
          <w:spacing w:val="-2"/>
          <w:w w:val="105"/>
          <w:sz w:val="19"/>
        </w:rPr>
        <w:t>Capital </w:t>
      </w:r>
      <w:r>
        <w:rPr>
          <w:b/>
          <w:color w:val="070707"/>
          <w:spacing w:val="-2"/>
          <w:sz w:val="19"/>
        </w:rPr>
        <w:t>Adjustment </w:t>
      </w:r>
      <w:r>
        <w:rPr>
          <w:b/>
          <w:color w:val="070707"/>
          <w:spacing w:val="-2"/>
          <w:w w:val="105"/>
          <w:sz w:val="19"/>
        </w:rPr>
        <w:t>Account</w:t>
      </w:r>
    </w:p>
    <w:p>
      <w:pPr>
        <w:spacing w:before="69" w:line="249" w:lineRule="auto"/>
        <w:ind w:left="9721" w:right="727" w:firstLine="0"/>
        <w:jc w:val="center"/>
        <w:rPr>
          <w:b/>
          <w:sz w:val="19"/>
        </w:rPr>
      </w:pPr>
      <w:r>
        <w:rPr>
          <w:b/>
          <w:color w:val="070707"/>
          <w:spacing w:val="-2"/>
          <w:sz w:val="19"/>
        </w:rPr>
        <w:t>Accumulated </w:t>
      </w:r>
      <w:r>
        <w:rPr>
          <w:b/>
          <w:color w:val="070707"/>
          <w:spacing w:val="-2"/>
          <w:w w:val="105"/>
          <w:sz w:val="19"/>
        </w:rPr>
        <w:t>Absences Account</w:t>
      </w:r>
    </w:p>
    <w:p>
      <w:pPr>
        <w:spacing w:after="0" w:line="249" w:lineRule="auto"/>
        <w:jc w:val="center"/>
        <w:rPr>
          <w:sz w:val="19"/>
        </w:rPr>
        <w:sectPr>
          <w:type w:val="continuous"/>
          <w:pgSz w:w="11910" w:h="16830"/>
          <w:pgMar w:top="1940" w:right="100" w:bottom="280" w:left="20" w:header="0" w:footer="1010"/>
        </w:sectPr>
      </w:pPr>
    </w:p>
    <w:p>
      <w:pPr>
        <w:pStyle w:val="Heading3"/>
        <w:numPr>
          <w:ilvl w:val="1"/>
          <w:numId w:val="11"/>
        </w:numPr>
        <w:tabs>
          <w:tab w:val="left" w:leader="none" w:pos="2132"/>
        </w:tabs>
        <w:spacing w:before="247" w:after="0" w:line="240" w:lineRule="auto"/>
        <w:ind w:left="2132" w:right="0" w:hanging="715"/>
        <w:jc w:val="left"/>
        <w:rPr>
          <w:color w:val="0E0E0E"/>
        </w:rPr>
      </w:pPr>
      <w:r>
        <w:rPr>
          <w:color w:val="0E0E0E"/>
        </w:rPr>
        <w:t>Expenditure</w:t>
      </w:r>
      <w:r>
        <w:rPr>
          <w:color w:val="0E0E0E"/>
          <w:spacing w:val="-3"/>
        </w:rPr>
        <w:t> </w:t>
      </w:r>
      <w:r>
        <w:rPr>
          <w:color w:val="0E0E0E"/>
        </w:rPr>
        <w:t>and</w:t>
      </w:r>
      <w:r>
        <w:rPr>
          <w:color w:val="0E0E0E"/>
          <w:spacing w:val="-14"/>
        </w:rPr>
        <w:t> </w:t>
      </w:r>
      <w:r>
        <w:rPr>
          <w:color w:val="0E0E0E"/>
        </w:rPr>
        <w:t>Funding</w:t>
      </w:r>
      <w:r>
        <w:rPr>
          <w:color w:val="0E0E0E"/>
          <w:spacing w:val="-6"/>
        </w:rPr>
        <w:t> </w:t>
      </w:r>
      <w:r>
        <w:rPr>
          <w:color w:val="0E0E0E"/>
          <w:spacing w:val="-2"/>
        </w:rPr>
        <w:t>Analysis</w:t>
      </w:r>
    </w:p>
    <w:p>
      <w:pPr>
        <w:pStyle w:val="BodyText"/>
        <w:spacing w:before="232"/>
        <w:ind w:left="1417"/>
        <w:jc w:val="both"/>
      </w:pPr>
      <w:r>
        <w:rPr>
          <w:color w:val="0E0E0E"/>
        </w:rPr>
        <w:t>The</w:t>
      </w:r>
      <w:r>
        <w:rPr>
          <w:color w:val="0E0E0E"/>
          <w:spacing w:val="-10"/>
        </w:rPr>
        <w:t> </w:t>
      </w:r>
      <w:r>
        <w:rPr>
          <w:color w:val="0E0E0E"/>
        </w:rPr>
        <w:t>Expenditure</w:t>
      </w:r>
      <w:r>
        <w:rPr>
          <w:color w:val="0E0E0E"/>
          <w:spacing w:val="6"/>
        </w:rPr>
        <w:t> </w:t>
      </w:r>
      <w:r>
        <w:rPr>
          <w:color w:val="0E0E0E"/>
        </w:rPr>
        <w:t>and</w:t>
      </w:r>
      <w:r>
        <w:rPr>
          <w:color w:val="0E0E0E"/>
          <w:spacing w:val="-9"/>
        </w:rPr>
        <w:t> </w:t>
      </w:r>
      <w:r>
        <w:rPr>
          <w:color w:val="0E0E0E"/>
        </w:rPr>
        <w:t>Funding</w:t>
      </w:r>
      <w:r>
        <w:rPr>
          <w:color w:val="0E0E0E"/>
          <w:spacing w:val="5"/>
        </w:rPr>
        <w:t> </w:t>
      </w:r>
      <w:r>
        <w:rPr>
          <w:color w:val="0E0E0E"/>
        </w:rPr>
        <w:t>Analysis</w:t>
      </w:r>
      <w:r>
        <w:rPr>
          <w:color w:val="0E0E0E"/>
          <w:spacing w:val="3"/>
        </w:rPr>
        <w:t> </w:t>
      </w:r>
      <w:r>
        <w:rPr>
          <w:color w:val="0E0E0E"/>
        </w:rPr>
        <w:t>shows</w:t>
      </w:r>
      <w:r>
        <w:rPr>
          <w:color w:val="0E0E0E"/>
          <w:spacing w:val="1"/>
        </w:rPr>
        <w:t> </w:t>
      </w:r>
      <w:r>
        <w:rPr>
          <w:color w:val="0E0E0E"/>
        </w:rPr>
        <w:t>for</w:t>
      </w:r>
      <w:r>
        <w:rPr>
          <w:color w:val="0E0E0E"/>
          <w:spacing w:val="-9"/>
        </w:rPr>
        <w:t> </w:t>
      </w:r>
      <w:r>
        <w:rPr>
          <w:color w:val="0E0E0E"/>
        </w:rPr>
        <w:t>each</w:t>
      </w:r>
      <w:r>
        <w:rPr>
          <w:color w:val="0E0E0E"/>
          <w:spacing w:val="-12"/>
        </w:rPr>
        <w:t> </w:t>
      </w:r>
      <w:r>
        <w:rPr>
          <w:color w:val="0E0E0E"/>
        </w:rPr>
        <w:t>of</w:t>
      </w:r>
      <w:r>
        <w:rPr>
          <w:color w:val="0E0E0E"/>
          <w:spacing w:val="-12"/>
        </w:rPr>
        <w:t> </w:t>
      </w:r>
      <w:r>
        <w:rPr>
          <w:color w:val="0E0E0E"/>
        </w:rPr>
        <w:t>the</w:t>
      </w:r>
      <w:r>
        <w:rPr>
          <w:color w:val="0E0E0E"/>
          <w:spacing w:val="-10"/>
        </w:rPr>
        <w:t> </w:t>
      </w:r>
      <w:r>
        <w:rPr>
          <w:color w:val="0E0E0E"/>
        </w:rPr>
        <w:t>Council's</w:t>
      </w:r>
      <w:r>
        <w:rPr>
          <w:color w:val="0E0E0E"/>
          <w:spacing w:val="7"/>
        </w:rPr>
        <w:t> </w:t>
      </w:r>
      <w:r>
        <w:rPr>
          <w:color w:val="0E0E0E"/>
          <w:spacing w:val="-2"/>
        </w:rPr>
        <w:t>services</w:t>
      </w:r>
      <w:r>
        <w:rPr>
          <w:color w:val="3B3B3B"/>
          <w:spacing w:val="-2"/>
        </w:rPr>
        <w:t>;</w:t>
      </w:r>
    </w:p>
    <w:p>
      <w:pPr>
        <w:pStyle w:val="BodyText"/>
      </w:pPr>
    </w:p>
    <w:p>
      <w:pPr>
        <w:pStyle w:val="BodyText"/>
        <w:spacing w:before="24"/>
      </w:pPr>
    </w:p>
    <w:p>
      <w:pPr>
        <w:pStyle w:val="ListParagraph"/>
        <w:numPr>
          <w:ilvl w:val="2"/>
          <w:numId w:val="11"/>
        </w:numPr>
        <w:tabs>
          <w:tab w:val="left" w:leader="none" w:pos="2409"/>
        </w:tabs>
        <w:spacing w:before="1" w:after="0" w:line="240" w:lineRule="auto"/>
        <w:ind w:left="2409" w:right="1336" w:hanging="985"/>
        <w:jc w:val="both"/>
        <w:rPr>
          <w:color w:val="0E0E0E"/>
          <w:sz w:val="22"/>
        </w:rPr>
      </w:pPr>
      <w:r>
        <w:rPr>
          <w:color w:val="0E0E0E"/>
          <w:sz w:val="22"/>
        </w:rPr>
        <w:t>the amount spent under the Council's rules for</w:t>
      </w:r>
      <w:r>
        <w:rPr>
          <w:color w:val="0E0E0E"/>
          <w:spacing w:val="-1"/>
          <w:sz w:val="22"/>
        </w:rPr>
        <w:t> </w:t>
      </w:r>
      <w:r>
        <w:rPr>
          <w:color w:val="0E0E0E"/>
          <w:sz w:val="22"/>
        </w:rPr>
        <w:t>monitoring expenditure against the funding in the annual budget for the General Fund shown as Net General Fund Expenditure in</w:t>
      </w:r>
      <w:r>
        <w:rPr>
          <w:color w:val="0E0E0E"/>
          <w:spacing w:val="-4"/>
          <w:sz w:val="22"/>
        </w:rPr>
        <w:t> </w:t>
      </w:r>
      <w:r>
        <w:rPr>
          <w:color w:val="0E0E0E"/>
          <w:sz w:val="22"/>
        </w:rPr>
        <w:t>the Expenditure</w:t>
      </w:r>
      <w:r>
        <w:rPr>
          <w:color w:val="0E0E0E"/>
          <w:spacing w:val="38"/>
          <w:sz w:val="22"/>
        </w:rPr>
        <w:t> </w:t>
      </w:r>
      <w:r>
        <w:rPr>
          <w:color w:val="0E0E0E"/>
          <w:sz w:val="22"/>
        </w:rPr>
        <w:t>and Funding Analysis</w:t>
      </w:r>
    </w:p>
    <w:p>
      <w:pPr>
        <w:pStyle w:val="BodyText"/>
        <w:spacing w:before="6"/>
      </w:pPr>
    </w:p>
    <w:p>
      <w:pPr>
        <w:pStyle w:val="ListParagraph"/>
        <w:numPr>
          <w:ilvl w:val="2"/>
          <w:numId w:val="11"/>
        </w:numPr>
        <w:tabs>
          <w:tab w:val="left" w:leader="none" w:pos="2409"/>
        </w:tabs>
        <w:spacing w:before="0" w:after="0" w:line="240" w:lineRule="auto"/>
        <w:ind w:left="2409" w:right="1331" w:hanging="995"/>
        <w:jc w:val="both"/>
        <w:rPr>
          <w:color w:val="0E0E0E"/>
          <w:sz w:val="22"/>
        </w:rPr>
      </w:pPr>
      <w:r>
        <w:rPr>
          <w:color w:val="0E0E0E"/>
          <w:sz w:val="22"/>
        </w:rPr>
        <w:t>the resources actually consumed in the year as measured by proper accounting practices in the Comprehensive Income and Expenditure Statement shown as Amounts</w:t>
      </w:r>
      <w:r>
        <w:rPr>
          <w:color w:val="0E0E0E"/>
          <w:spacing w:val="-12"/>
          <w:sz w:val="22"/>
        </w:rPr>
        <w:t> </w:t>
      </w:r>
      <w:r>
        <w:rPr>
          <w:color w:val="0E0E0E"/>
          <w:sz w:val="22"/>
        </w:rPr>
        <w:t>included</w:t>
      </w:r>
      <w:r>
        <w:rPr>
          <w:color w:val="0E0E0E"/>
          <w:spacing w:val="-7"/>
          <w:sz w:val="22"/>
        </w:rPr>
        <w:t> </w:t>
      </w:r>
      <w:r>
        <w:rPr>
          <w:color w:val="0E0E0E"/>
          <w:sz w:val="22"/>
        </w:rPr>
        <w:t>in</w:t>
      </w:r>
      <w:r>
        <w:rPr>
          <w:color w:val="0E0E0E"/>
          <w:spacing w:val="-16"/>
          <w:sz w:val="22"/>
        </w:rPr>
        <w:t> </w:t>
      </w:r>
      <w:r>
        <w:rPr>
          <w:color w:val="0E0E0E"/>
          <w:sz w:val="22"/>
        </w:rPr>
        <w:t>the</w:t>
      </w:r>
      <w:r>
        <w:rPr>
          <w:color w:val="0E0E0E"/>
          <w:spacing w:val="-10"/>
          <w:sz w:val="22"/>
        </w:rPr>
        <w:t> </w:t>
      </w:r>
      <w:r>
        <w:rPr>
          <w:color w:val="0E0E0E"/>
          <w:sz w:val="22"/>
        </w:rPr>
        <w:t>Comprehensive</w:t>
      </w:r>
      <w:r>
        <w:rPr>
          <w:color w:val="0E0E0E"/>
          <w:spacing w:val="17"/>
          <w:sz w:val="22"/>
        </w:rPr>
        <w:t> </w:t>
      </w:r>
      <w:r>
        <w:rPr>
          <w:color w:val="0E0E0E"/>
          <w:sz w:val="22"/>
        </w:rPr>
        <w:t>Income</w:t>
      </w:r>
      <w:r>
        <w:rPr>
          <w:color w:val="0E0E0E"/>
          <w:spacing w:val="-8"/>
          <w:sz w:val="22"/>
        </w:rPr>
        <w:t> </w:t>
      </w:r>
      <w:r>
        <w:rPr>
          <w:color w:val="0E0E0E"/>
          <w:sz w:val="22"/>
        </w:rPr>
        <w:t>and</w:t>
      </w:r>
      <w:r>
        <w:rPr>
          <w:color w:val="0E0E0E"/>
          <w:spacing w:val="-13"/>
          <w:sz w:val="22"/>
        </w:rPr>
        <w:t> </w:t>
      </w:r>
      <w:r>
        <w:rPr>
          <w:color w:val="0E0E0E"/>
          <w:sz w:val="22"/>
        </w:rPr>
        <w:t>Expenditure Statement in</w:t>
      </w:r>
      <w:r>
        <w:rPr>
          <w:color w:val="0E0E0E"/>
          <w:spacing w:val="-16"/>
          <w:sz w:val="22"/>
        </w:rPr>
        <w:t> </w:t>
      </w:r>
      <w:r>
        <w:rPr>
          <w:color w:val="0E0E0E"/>
          <w:sz w:val="22"/>
        </w:rPr>
        <w:t>the Expenditure and Funding Analysis</w:t>
      </w:r>
    </w:p>
    <w:p>
      <w:pPr>
        <w:pStyle w:val="BodyText"/>
      </w:pPr>
    </w:p>
    <w:p>
      <w:pPr>
        <w:pStyle w:val="BodyText"/>
        <w:spacing w:before="39"/>
      </w:pPr>
    </w:p>
    <w:p>
      <w:pPr>
        <w:spacing w:before="1" w:line="276" w:lineRule="auto"/>
        <w:ind w:left="1418" w:right="1326" w:firstLine="3"/>
        <w:jc w:val="both"/>
        <w:rPr>
          <w:b/>
          <w:sz w:val="22"/>
        </w:rPr>
      </w:pPr>
      <w:r>
        <w:rPr>
          <w:color w:val="0E0E0E"/>
          <w:sz w:val="22"/>
        </w:rPr>
        <w:t>The reasons for differences between the two amounts for each service are explained in</w:t>
      </w:r>
      <w:r>
        <w:rPr>
          <w:color w:val="0E0E0E"/>
          <w:spacing w:val="-1"/>
          <w:sz w:val="22"/>
        </w:rPr>
        <w:t> </w:t>
      </w:r>
      <w:r>
        <w:rPr>
          <w:color w:val="0E0E0E"/>
          <w:sz w:val="22"/>
        </w:rPr>
        <w:t>the tables following the</w:t>
      </w:r>
      <w:r>
        <w:rPr>
          <w:color w:val="0E0E0E"/>
          <w:spacing w:val="-9"/>
          <w:sz w:val="22"/>
        </w:rPr>
        <w:t> </w:t>
      </w:r>
      <w:r>
        <w:rPr>
          <w:color w:val="0E0E0E"/>
          <w:sz w:val="22"/>
        </w:rPr>
        <w:t>Expenditure and</w:t>
      </w:r>
      <w:r>
        <w:rPr>
          <w:color w:val="0E0E0E"/>
          <w:spacing w:val="-13"/>
          <w:sz w:val="22"/>
        </w:rPr>
        <w:t> </w:t>
      </w:r>
      <w:r>
        <w:rPr>
          <w:color w:val="0E0E0E"/>
          <w:sz w:val="22"/>
        </w:rPr>
        <w:t>Funding Analysis </w:t>
      </w:r>
      <w:r>
        <w:rPr>
          <w:b/>
          <w:color w:val="0E0E0E"/>
          <w:sz w:val="22"/>
        </w:rPr>
        <w:t>(5.15.1</w:t>
      </w:r>
      <w:r>
        <w:rPr>
          <w:b/>
          <w:color w:val="0E0E0E"/>
          <w:spacing w:val="-2"/>
          <w:sz w:val="22"/>
        </w:rPr>
        <w:t> </w:t>
      </w:r>
      <w:r>
        <w:rPr>
          <w:b/>
          <w:color w:val="0E0E0E"/>
          <w:sz w:val="22"/>
        </w:rPr>
        <w:t>Note to</w:t>
      </w:r>
      <w:r>
        <w:rPr>
          <w:b/>
          <w:color w:val="0E0E0E"/>
          <w:spacing w:val="-10"/>
          <w:sz w:val="22"/>
        </w:rPr>
        <w:t> </w:t>
      </w:r>
      <w:r>
        <w:rPr>
          <w:b/>
          <w:color w:val="0E0E0E"/>
          <w:sz w:val="22"/>
        </w:rPr>
        <w:t>the</w:t>
      </w:r>
      <w:r>
        <w:rPr>
          <w:b/>
          <w:color w:val="0E0E0E"/>
          <w:spacing w:val="-8"/>
          <w:sz w:val="22"/>
        </w:rPr>
        <w:t> </w:t>
      </w:r>
      <w:r>
        <w:rPr>
          <w:b/>
          <w:color w:val="0E0E0E"/>
          <w:sz w:val="22"/>
        </w:rPr>
        <w:t>Expenditure and Funding Analysis).</w:t>
      </w:r>
    </w:p>
    <w:p>
      <w:pPr>
        <w:spacing w:after="0" w:line="276" w:lineRule="auto"/>
        <w:jc w:val="both"/>
        <w:rPr>
          <w:sz w:val="22"/>
        </w:rPr>
        <w:sectPr>
          <w:headerReference w:type="default" r:id="rId132"/>
          <w:pgSz w:w="11910" w:h="16830"/>
          <w:pgMar w:top="900" w:right="100" w:bottom="1340" w:left="20" w:header="711" w:footer="0"/>
        </w:sectPr>
      </w:pPr>
    </w:p>
    <w:p>
      <w:pPr>
        <w:pStyle w:val="ListParagraph"/>
        <w:numPr>
          <w:ilvl w:val="0"/>
          <w:numId w:val="16"/>
        </w:numPr>
        <w:tabs>
          <w:tab w:val="left" w:leader="none" w:pos="2367"/>
        </w:tabs>
        <w:spacing w:before="80" w:after="0" w:line="240" w:lineRule="auto"/>
        <w:ind w:left="2367" w:right="0" w:hanging="721"/>
        <w:jc w:val="left"/>
        <w:rPr>
          <w:sz w:val="15"/>
        </w:rPr>
      </w:pPr>
      <w:r>
        <w:rPr>
          <w:color w:val="A8A8A8"/>
          <w:w w:val="105"/>
          <w:sz w:val="15"/>
        </w:rPr>
        <w:t>NOH:.3</w:t>
      </w:r>
      <w:r>
        <w:rPr>
          <w:color w:val="A8A8A8"/>
          <w:spacing w:val="19"/>
          <w:w w:val="105"/>
          <w:sz w:val="15"/>
        </w:rPr>
        <w:t> </w:t>
      </w:r>
      <w:r>
        <w:rPr>
          <w:color w:val="A8A8A8"/>
          <w:w w:val="105"/>
          <w:sz w:val="15"/>
        </w:rPr>
        <w:t>TO</w:t>
      </w:r>
      <w:r>
        <w:rPr>
          <w:color w:val="A8A8A8"/>
          <w:spacing w:val="18"/>
          <w:w w:val="105"/>
          <w:sz w:val="15"/>
        </w:rPr>
        <w:t> </w:t>
      </w:r>
      <w:r>
        <w:rPr>
          <w:color w:val="A8A8A8"/>
          <w:w w:val="105"/>
          <w:sz w:val="15"/>
        </w:rPr>
        <w:t>THE</w:t>
      </w:r>
      <w:r>
        <w:rPr>
          <w:color w:val="A8A8A8"/>
          <w:spacing w:val="16"/>
          <w:w w:val="105"/>
          <w:sz w:val="15"/>
        </w:rPr>
        <w:t> </w:t>
      </w:r>
      <w:r>
        <w:rPr>
          <w:color w:val="A8A8A8"/>
          <w:w w:val="105"/>
          <w:sz w:val="15"/>
        </w:rPr>
        <w:t>ACCOU</w:t>
      </w:r>
      <w:r>
        <w:rPr>
          <w:color w:val="A8A8A8"/>
          <w:spacing w:val="2"/>
          <w:w w:val="105"/>
          <w:sz w:val="15"/>
        </w:rPr>
        <w:t> </w:t>
      </w:r>
      <w:r>
        <w:rPr>
          <w:color w:val="A8A8A8"/>
          <w:w w:val="105"/>
          <w:sz w:val="15"/>
        </w:rPr>
        <w:t>J</w:t>
      </w:r>
      <w:r>
        <w:rPr>
          <w:color w:val="A8A8A8"/>
          <w:spacing w:val="1"/>
          <w:w w:val="105"/>
          <w:sz w:val="15"/>
        </w:rPr>
        <w:t> </w:t>
      </w:r>
      <w:r>
        <w:rPr>
          <w:color w:val="A8A8A8"/>
          <w:spacing w:val="-10"/>
          <w:w w:val="105"/>
          <w:sz w:val="15"/>
        </w:rPr>
        <w:t>S</w:t>
      </w:r>
    </w:p>
    <w:p>
      <w:pPr>
        <w:pStyle w:val="BodyText"/>
        <w:spacing w:before="74"/>
        <w:rPr>
          <w:sz w:val="15"/>
        </w:rPr>
      </w:pPr>
    </w:p>
    <w:p>
      <w:pPr>
        <w:pStyle w:val="ListParagraph"/>
        <w:numPr>
          <w:ilvl w:val="1"/>
          <w:numId w:val="16"/>
        </w:numPr>
        <w:tabs>
          <w:tab w:val="left" w:leader="none" w:pos="2363"/>
        </w:tabs>
        <w:spacing w:before="1" w:after="0" w:line="240" w:lineRule="auto"/>
        <w:ind w:left="2363" w:right="0" w:hanging="734"/>
        <w:jc w:val="left"/>
        <w:rPr>
          <w:b/>
          <w:color w:val="070707"/>
          <w:sz w:val="21"/>
        </w:rPr>
      </w:pPr>
      <w:r>
        <w:rPr>
          <w:b/>
          <w:color w:val="070707"/>
          <w:w w:val="105"/>
          <w:sz w:val="21"/>
        </w:rPr>
        <w:t>Expenditure</w:t>
      </w:r>
      <w:r>
        <w:rPr>
          <w:b/>
          <w:color w:val="070707"/>
          <w:spacing w:val="-8"/>
          <w:w w:val="105"/>
          <w:sz w:val="21"/>
        </w:rPr>
        <w:t> </w:t>
      </w:r>
      <w:r>
        <w:rPr>
          <w:b/>
          <w:color w:val="070707"/>
          <w:w w:val="105"/>
          <w:sz w:val="21"/>
        </w:rPr>
        <w:t>and</w:t>
      </w:r>
      <w:r>
        <w:rPr>
          <w:b/>
          <w:color w:val="070707"/>
          <w:spacing w:val="-12"/>
          <w:w w:val="105"/>
          <w:sz w:val="21"/>
        </w:rPr>
        <w:t> </w:t>
      </w:r>
      <w:r>
        <w:rPr>
          <w:b/>
          <w:color w:val="070707"/>
          <w:w w:val="105"/>
          <w:sz w:val="21"/>
        </w:rPr>
        <w:t>Funding </w:t>
      </w:r>
      <w:r>
        <w:rPr>
          <w:b/>
          <w:color w:val="070707"/>
          <w:spacing w:val="-2"/>
          <w:w w:val="105"/>
          <w:sz w:val="21"/>
        </w:rPr>
        <w:t>Analysis</w:t>
      </w:r>
    </w:p>
    <w:p>
      <w:pPr>
        <w:pStyle w:val="BodyText"/>
        <w:rPr>
          <w:b/>
          <w:sz w:val="20"/>
        </w:rPr>
      </w:pPr>
    </w:p>
    <w:p>
      <w:pPr>
        <w:pStyle w:val="BodyText"/>
        <w:spacing w:before="126" w:after="1"/>
        <w:rPr>
          <w:b/>
          <w:sz w:val="20"/>
        </w:rPr>
      </w:pPr>
    </w:p>
    <w:tbl>
      <w:tblPr>
        <w:tblW w:w="0" w:type="auto"/>
        <w:jc w:val="left"/>
        <w:tblInd w:w="17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358"/>
        <w:gridCol w:w="1945"/>
        <w:gridCol w:w="1884"/>
        <w:gridCol w:w="1678"/>
      </w:tblGrid>
      <w:tr>
        <w:trPr>
          <w:trHeight w:val="468" w:hRule="atLeast"/>
        </w:trPr>
        <w:tc>
          <w:tcPr>
            <w:tcW w:w="6303" w:type="dxa"/>
            <w:gridSpan w:val="2"/>
            <w:vMerge w:val="restart"/>
          </w:tcPr>
          <w:p>
            <w:pPr>
              <w:pStyle w:val="TableParagraph"/>
              <w:rPr>
                <w:rFonts w:ascii="Times New Roman"/>
                <w:sz w:val="20"/>
              </w:rPr>
            </w:pPr>
          </w:p>
        </w:tc>
        <w:tc>
          <w:tcPr>
            <w:tcW w:w="1884" w:type="dxa"/>
          </w:tcPr>
          <w:p>
            <w:pPr>
              <w:pStyle w:val="TableParagraph"/>
              <w:spacing w:line="235" w:lineRule="exact"/>
              <w:ind w:left="465"/>
              <w:rPr>
                <w:b/>
                <w:sz w:val="21"/>
              </w:rPr>
            </w:pPr>
            <w:r>
              <w:rPr>
                <w:b/>
                <w:color w:val="070707"/>
                <w:sz w:val="21"/>
              </w:rPr>
              <w:t>2021-</w:t>
            </w:r>
            <w:r>
              <w:rPr>
                <w:b/>
                <w:color w:val="070707"/>
                <w:spacing w:val="-5"/>
                <w:sz w:val="21"/>
              </w:rPr>
              <w:t>22</w:t>
            </w:r>
          </w:p>
        </w:tc>
        <w:tc>
          <w:tcPr>
            <w:tcW w:w="1678" w:type="dxa"/>
          </w:tcPr>
          <w:p>
            <w:pPr>
              <w:pStyle w:val="TableParagraph"/>
              <w:rPr>
                <w:rFonts w:ascii="Times New Roman"/>
                <w:sz w:val="20"/>
              </w:rPr>
            </w:pPr>
          </w:p>
        </w:tc>
      </w:tr>
      <w:tr>
        <w:trPr>
          <w:trHeight w:val="478" w:hRule="atLeast"/>
        </w:trPr>
        <w:tc>
          <w:tcPr>
            <w:tcW w:w="6303" w:type="dxa"/>
            <w:gridSpan w:val="2"/>
            <w:vMerge/>
            <w:tcBorders>
              <w:top w:val="nil"/>
            </w:tcBorders>
          </w:tcPr>
          <w:p>
            <w:pPr>
              <w:rPr>
                <w:sz w:val="2"/>
                <w:szCs w:val="2"/>
              </w:rPr>
            </w:pPr>
          </w:p>
        </w:tc>
        <w:tc>
          <w:tcPr>
            <w:tcW w:w="1884" w:type="dxa"/>
          </w:tcPr>
          <w:p>
            <w:pPr>
              <w:pStyle w:val="TableParagraph"/>
              <w:rPr>
                <w:rFonts w:ascii="Times New Roman"/>
                <w:sz w:val="20"/>
              </w:rPr>
            </w:pPr>
          </w:p>
        </w:tc>
        <w:tc>
          <w:tcPr>
            <w:tcW w:w="1678" w:type="dxa"/>
          </w:tcPr>
          <w:p>
            <w:pPr>
              <w:pStyle w:val="TableParagraph"/>
              <w:spacing w:before="226" w:line="231" w:lineRule="exact"/>
              <w:ind w:left="341"/>
              <w:rPr>
                <w:b/>
                <w:sz w:val="21"/>
              </w:rPr>
            </w:pPr>
            <w:r>
              <w:rPr>
                <w:b/>
                <w:color w:val="070707"/>
                <w:spacing w:val="-2"/>
                <w:w w:val="105"/>
                <w:sz w:val="21"/>
              </w:rPr>
              <w:t>Amounts</w:t>
            </w:r>
          </w:p>
        </w:tc>
      </w:tr>
      <w:tr>
        <w:trPr>
          <w:trHeight w:val="506" w:hRule="atLeast"/>
        </w:trPr>
        <w:tc>
          <w:tcPr>
            <w:tcW w:w="6303" w:type="dxa"/>
            <w:gridSpan w:val="2"/>
            <w:vMerge/>
            <w:tcBorders>
              <w:top w:val="nil"/>
            </w:tcBorders>
          </w:tcPr>
          <w:p>
            <w:pPr>
              <w:rPr>
                <w:sz w:val="2"/>
                <w:szCs w:val="2"/>
              </w:rPr>
            </w:pPr>
          </w:p>
        </w:tc>
        <w:tc>
          <w:tcPr>
            <w:tcW w:w="1884" w:type="dxa"/>
          </w:tcPr>
          <w:p>
            <w:pPr>
              <w:pStyle w:val="TableParagraph"/>
              <w:spacing w:line="250" w:lineRule="exact"/>
              <w:ind w:left="413" w:hanging="222"/>
              <w:rPr>
                <w:b/>
                <w:sz w:val="21"/>
              </w:rPr>
            </w:pPr>
            <w:r>
              <w:rPr>
                <w:b/>
                <w:color w:val="070707"/>
                <w:spacing w:val="-2"/>
                <w:sz w:val="21"/>
              </w:rPr>
              <w:t>Adjustments </w:t>
            </w:r>
            <w:r>
              <w:rPr>
                <w:b/>
                <w:color w:val="070707"/>
                <w:spacing w:val="-2"/>
                <w:w w:val="105"/>
                <w:sz w:val="21"/>
              </w:rPr>
              <w:t>between</w:t>
            </w:r>
          </w:p>
        </w:tc>
        <w:tc>
          <w:tcPr>
            <w:tcW w:w="1678" w:type="dxa"/>
          </w:tcPr>
          <w:p>
            <w:pPr>
              <w:pStyle w:val="TableParagraph"/>
              <w:spacing w:line="250" w:lineRule="exact"/>
              <w:ind w:left="-5" w:firstLine="47"/>
              <w:rPr>
                <w:b/>
                <w:sz w:val="21"/>
              </w:rPr>
            </w:pPr>
            <w:r>
              <w:rPr>
                <w:b/>
                <w:color w:val="070707"/>
                <w:w w:val="105"/>
                <w:sz w:val="21"/>
              </w:rPr>
              <w:t>included</w:t>
            </w:r>
            <w:r>
              <w:rPr>
                <w:b/>
                <w:color w:val="070707"/>
                <w:spacing w:val="-4"/>
                <w:w w:val="105"/>
                <w:sz w:val="21"/>
              </w:rPr>
              <w:t> </w:t>
            </w:r>
            <w:r>
              <w:rPr>
                <w:b/>
                <w:color w:val="070707"/>
                <w:w w:val="105"/>
                <w:sz w:val="21"/>
              </w:rPr>
              <w:t>in</w:t>
            </w:r>
            <w:r>
              <w:rPr>
                <w:b/>
                <w:color w:val="070707"/>
                <w:spacing w:val="-12"/>
                <w:w w:val="105"/>
                <w:sz w:val="21"/>
              </w:rPr>
              <w:t> </w:t>
            </w:r>
            <w:r>
              <w:rPr>
                <w:b/>
                <w:color w:val="070707"/>
                <w:w w:val="105"/>
                <w:sz w:val="21"/>
              </w:rPr>
              <w:t>the </w:t>
            </w:r>
            <w:r>
              <w:rPr>
                <w:b/>
                <w:color w:val="070707"/>
                <w:spacing w:val="-2"/>
                <w:sz w:val="21"/>
              </w:rPr>
              <w:t>Comprehensive</w:t>
            </w:r>
          </w:p>
        </w:tc>
      </w:tr>
      <w:tr>
        <w:trPr>
          <w:trHeight w:val="254" w:hRule="atLeast"/>
        </w:trPr>
        <w:tc>
          <w:tcPr>
            <w:tcW w:w="6303" w:type="dxa"/>
            <w:gridSpan w:val="2"/>
          </w:tcPr>
          <w:p>
            <w:pPr>
              <w:pStyle w:val="TableParagraph"/>
              <w:spacing w:before="5" w:line="229" w:lineRule="exact"/>
              <w:ind w:right="345"/>
              <w:jc w:val="right"/>
              <w:rPr>
                <w:b/>
                <w:sz w:val="21"/>
              </w:rPr>
            </w:pPr>
            <w:r>
              <w:rPr>
                <w:b/>
                <w:color w:val="070707"/>
                <w:w w:val="105"/>
                <w:sz w:val="21"/>
              </w:rPr>
              <w:t>Net </w:t>
            </w:r>
            <w:r>
              <w:rPr>
                <w:b/>
                <w:color w:val="070707"/>
                <w:spacing w:val="-2"/>
                <w:w w:val="105"/>
                <w:sz w:val="21"/>
              </w:rPr>
              <w:t>General</w:t>
            </w:r>
          </w:p>
        </w:tc>
        <w:tc>
          <w:tcPr>
            <w:tcW w:w="1884" w:type="dxa"/>
          </w:tcPr>
          <w:p>
            <w:pPr>
              <w:pStyle w:val="TableParagraph"/>
              <w:spacing w:before="1" w:line="234" w:lineRule="exact"/>
              <w:ind w:left="223"/>
              <w:rPr>
                <w:b/>
                <w:sz w:val="21"/>
              </w:rPr>
            </w:pPr>
            <w:r>
              <w:rPr>
                <w:b/>
                <w:color w:val="070707"/>
                <w:w w:val="105"/>
                <w:sz w:val="21"/>
              </w:rPr>
              <w:t>funding</w:t>
            </w:r>
            <w:r>
              <w:rPr>
                <w:b/>
                <w:color w:val="070707"/>
                <w:spacing w:val="-2"/>
                <w:w w:val="105"/>
                <w:sz w:val="21"/>
              </w:rPr>
              <w:t> </w:t>
            </w:r>
            <w:r>
              <w:rPr>
                <w:b/>
                <w:color w:val="070707"/>
                <w:spacing w:val="-5"/>
                <w:w w:val="105"/>
                <w:sz w:val="21"/>
              </w:rPr>
              <w:t>and</w:t>
            </w:r>
          </w:p>
        </w:tc>
        <w:tc>
          <w:tcPr>
            <w:tcW w:w="1678" w:type="dxa"/>
          </w:tcPr>
          <w:p>
            <w:pPr>
              <w:pStyle w:val="TableParagraph"/>
              <w:spacing w:before="1" w:line="234" w:lineRule="exact"/>
              <w:ind w:left="202"/>
              <w:rPr>
                <w:b/>
                <w:sz w:val="21"/>
              </w:rPr>
            </w:pPr>
            <w:r>
              <w:rPr>
                <w:b/>
                <w:color w:val="070707"/>
                <w:w w:val="105"/>
                <w:sz w:val="21"/>
              </w:rPr>
              <w:t>Income</w:t>
            </w:r>
            <w:r>
              <w:rPr>
                <w:b/>
                <w:color w:val="070707"/>
                <w:spacing w:val="-7"/>
                <w:w w:val="105"/>
                <w:sz w:val="21"/>
              </w:rPr>
              <w:t> </w:t>
            </w:r>
            <w:r>
              <w:rPr>
                <w:b/>
                <w:color w:val="070707"/>
                <w:spacing w:val="-5"/>
                <w:w w:val="105"/>
                <w:sz w:val="21"/>
              </w:rPr>
              <w:t>and</w:t>
            </w:r>
          </w:p>
        </w:tc>
      </w:tr>
      <w:tr>
        <w:trPr>
          <w:trHeight w:val="254" w:hRule="atLeast"/>
        </w:trPr>
        <w:tc>
          <w:tcPr>
            <w:tcW w:w="6303" w:type="dxa"/>
            <w:gridSpan w:val="2"/>
          </w:tcPr>
          <w:p>
            <w:pPr>
              <w:pStyle w:val="TableParagraph"/>
              <w:spacing w:before="5" w:line="229" w:lineRule="exact"/>
              <w:ind w:right="696"/>
              <w:jc w:val="right"/>
              <w:rPr>
                <w:b/>
                <w:sz w:val="21"/>
              </w:rPr>
            </w:pPr>
            <w:r>
              <w:rPr>
                <w:b/>
                <w:color w:val="070707"/>
                <w:spacing w:val="-4"/>
                <w:w w:val="105"/>
                <w:sz w:val="21"/>
              </w:rPr>
              <w:t>Fund</w:t>
            </w:r>
          </w:p>
        </w:tc>
        <w:tc>
          <w:tcPr>
            <w:tcW w:w="1884" w:type="dxa"/>
          </w:tcPr>
          <w:p>
            <w:pPr>
              <w:pStyle w:val="TableParagraph"/>
              <w:spacing w:before="1" w:line="234" w:lineRule="exact"/>
              <w:ind w:left="261"/>
              <w:rPr>
                <w:b/>
                <w:sz w:val="21"/>
              </w:rPr>
            </w:pPr>
            <w:r>
              <w:rPr>
                <w:b/>
                <w:color w:val="070707"/>
                <w:spacing w:val="-2"/>
                <w:w w:val="105"/>
                <w:sz w:val="21"/>
              </w:rPr>
              <w:t>accounting</w:t>
            </w:r>
          </w:p>
        </w:tc>
        <w:tc>
          <w:tcPr>
            <w:tcW w:w="1678" w:type="dxa"/>
          </w:tcPr>
          <w:p>
            <w:pPr>
              <w:pStyle w:val="TableParagraph"/>
              <w:spacing w:before="1" w:line="234" w:lineRule="exact"/>
              <w:ind w:left="177"/>
              <w:rPr>
                <w:b/>
                <w:sz w:val="21"/>
              </w:rPr>
            </w:pPr>
            <w:r>
              <w:rPr>
                <w:b/>
                <w:color w:val="070707"/>
                <w:spacing w:val="-2"/>
                <w:w w:val="105"/>
                <w:sz w:val="21"/>
              </w:rPr>
              <w:t>Expenditure</w:t>
            </w:r>
          </w:p>
        </w:tc>
      </w:tr>
      <w:tr>
        <w:trPr>
          <w:trHeight w:val="458" w:hRule="atLeast"/>
        </w:trPr>
        <w:tc>
          <w:tcPr>
            <w:tcW w:w="6303" w:type="dxa"/>
            <w:gridSpan w:val="2"/>
          </w:tcPr>
          <w:p>
            <w:pPr>
              <w:pStyle w:val="TableParagraph"/>
              <w:spacing w:before="1"/>
              <w:ind w:right="346"/>
              <w:jc w:val="right"/>
              <w:rPr>
                <w:b/>
                <w:sz w:val="21"/>
              </w:rPr>
            </w:pPr>
            <w:r>
              <w:rPr>
                <w:b/>
                <w:color w:val="070707"/>
                <w:spacing w:val="-2"/>
                <w:w w:val="105"/>
                <w:sz w:val="21"/>
              </w:rPr>
              <w:t>Expenditure</w:t>
            </w:r>
          </w:p>
        </w:tc>
        <w:tc>
          <w:tcPr>
            <w:tcW w:w="1884" w:type="dxa"/>
          </w:tcPr>
          <w:p>
            <w:pPr>
              <w:pStyle w:val="TableParagraph"/>
              <w:spacing w:before="1"/>
              <w:ind w:left="567"/>
              <w:rPr>
                <w:b/>
                <w:sz w:val="21"/>
              </w:rPr>
            </w:pPr>
            <w:r>
              <w:rPr>
                <w:b/>
                <w:color w:val="070707"/>
                <w:spacing w:val="-4"/>
                <w:w w:val="105"/>
                <w:sz w:val="21"/>
              </w:rPr>
              <w:t>basis</w:t>
            </w:r>
          </w:p>
        </w:tc>
        <w:tc>
          <w:tcPr>
            <w:tcW w:w="1678" w:type="dxa"/>
          </w:tcPr>
          <w:p>
            <w:pPr>
              <w:pStyle w:val="TableParagraph"/>
              <w:spacing w:before="1"/>
              <w:ind w:left="276"/>
              <w:rPr>
                <w:b/>
                <w:sz w:val="21"/>
              </w:rPr>
            </w:pPr>
            <w:r>
              <w:rPr>
                <w:b/>
                <w:color w:val="070707"/>
                <w:spacing w:val="-2"/>
                <w:w w:val="105"/>
                <w:sz w:val="21"/>
              </w:rPr>
              <w:t>Statement</w:t>
            </w:r>
          </w:p>
        </w:tc>
      </w:tr>
      <w:tr>
        <w:trPr>
          <w:trHeight w:val="456" w:hRule="atLeast"/>
        </w:trPr>
        <w:tc>
          <w:tcPr>
            <w:tcW w:w="6303" w:type="dxa"/>
            <w:gridSpan w:val="2"/>
          </w:tcPr>
          <w:p>
            <w:pPr>
              <w:pStyle w:val="TableParagraph"/>
              <w:tabs>
                <w:tab w:val="left" w:leader="none" w:pos="5080"/>
              </w:tabs>
              <w:spacing w:before="176" w:line="260" w:lineRule="exact"/>
              <w:ind w:left="102"/>
              <w:rPr>
                <w:b/>
                <w:sz w:val="21"/>
              </w:rPr>
            </w:pPr>
            <w:r>
              <w:rPr>
                <w:b/>
                <w:color w:val="070707"/>
                <w:spacing w:val="-2"/>
                <w:w w:val="105"/>
                <w:sz w:val="21"/>
              </w:rPr>
              <w:t>SERVICE</w:t>
            </w:r>
            <w:r>
              <w:rPr>
                <w:b/>
                <w:color w:val="070707"/>
                <w:sz w:val="21"/>
              </w:rPr>
              <w:tab/>
            </w:r>
            <w:r>
              <w:rPr>
                <w:b/>
                <w:color w:val="070707"/>
                <w:spacing w:val="-4"/>
                <w:w w:val="105"/>
                <w:position w:val="-3"/>
                <w:sz w:val="21"/>
              </w:rPr>
              <w:t>£000</w:t>
            </w:r>
          </w:p>
        </w:tc>
        <w:tc>
          <w:tcPr>
            <w:tcW w:w="1884" w:type="dxa"/>
          </w:tcPr>
          <w:p>
            <w:pPr>
              <w:pStyle w:val="TableParagraph"/>
              <w:spacing w:before="214" w:line="222" w:lineRule="exact"/>
              <w:ind w:left="599"/>
              <w:rPr>
                <w:b/>
                <w:sz w:val="21"/>
              </w:rPr>
            </w:pPr>
            <w:r>
              <w:rPr>
                <w:b/>
                <w:color w:val="070707"/>
                <w:spacing w:val="-4"/>
                <w:w w:val="105"/>
                <w:sz w:val="21"/>
              </w:rPr>
              <w:t>£000</w:t>
            </w:r>
          </w:p>
        </w:tc>
        <w:tc>
          <w:tcPr>
            <w:tcW w:w="1678" w:type="dxa"/>
          </w:tcPr>
          <w:p>
            <w:pPr>
              <w:pStyle w:val="TableParagraph"/>
              <w:spacing w:before="210" w:line="226" w:lineRule="exact"/>
              <w:ind w:right="66"/>
              <w:jc w:val="center"/>
              <w:rPr>
                <w:b/>
                <w:sz w:val="21"/>
              </w:rPr>
            </w:pPr>
            <w:r>
              <w:rPr>
                <w:b/>
                <w:color w:val="070707"/>
                <w:spacing w:val="-4"/>
                <w:w w:val="105"/>
                <w:sz w:val="21"/>
              </w:rPr>
              <w:t>£000</w:t>
            </w:r>
          </w:p>
        </w:tc>
      </w:tr>
      <w:tr>
        <w:trPr>
          <w:trHeight w:val="724" w:hRule="atLeast"/>
        </w:trPr>
        <w:tc>
          <w:tcPr>
            <w:tcW w:w="4358" w:type="dxa"/>
          </w:tcPr>
          <w:p>
            <w:pPr>
              <w:pStyle w:val="TableParagraph"/>
              <w:spacing w:before="130"/>
              <w:rPr>
                <w:b/>
                <w:sz w:val="22"/>
              </w:rPr>
            </w:pPr>
          </w:p>
          <w:p>
            <w:pPr>
              <w:pStyle w:val="TableParagraph"/>
              <w:ind w:left="91"/>
              <w:rPr>
                <w:sz w:val="22"/>
              </w:rPr>
            </w:pPr>
            <w:r>
              <w:rPr>
                <w:color w:val="070707"/>
                <w:sz w:val="22"/>
              </w:rPr>
              <w:t>Asset</w:t>
            </w:r>
            <w:r>
              <w:rPr>
                <w:color w:val="070707"/>
                <w:spacing w:val="6"/>
                <w:sz w:val="22"/>
              </w:rPr>
              <w:t> </w:t>
            </w:r>
            <w:r>
              <w:rPr>
                <w:color w:val="070707"/>
                <w:spacing w:val="-2"/>
                <w:sz w:val="22"/>
              </w:rPr>
              <w:t>Management</w:t>
            </w:r>
          </w:p>
        </w:tc>
        <w:tc>
          <w:tcPr>
            <w:tcW w:w="1945" w:type="dxa"/>
          </w:tcPr>
          <w:p>
            <w:pPr>
              <w:pStyle w:val="TableParagraph"/>
              <w:spacing w:before="168"/>
              <w:rPr>
                <w:b/>
                <w:sz w:val="22"/>
              </w:rPr>
            </w:pPr>
          </w:p>
          <w:p>
            <w:pPr>
              <w:pStyle w:val="TableParagraph"/>
              <w:spacing w:before="1"/>
              <w:ind w:right="188"/>
              <w:jc w:val="right"/>
              <w:rPr>
                <w:sz w:val="22"/>
              </w:rPr>
            </w:pPr>
            <w:r>
              <w:rPr>
                <w:color w:val="070707"/>
                <w:spacing w:val="-2"/>
                <w:sz w:val="22"/>
              </w:rPr>
              <w:t>(2,468)</w:t>
            </w:r>
          </w:p>
        </w:tc>
        <w:tc>
          <w:tcPr>
            <w:tcW w:w="1884" w:type="dxa"/>
          </w:tcPr>
          <w:p>
            <w:pPr>
              <w:pStyle w:val="TableParagraph"/>
              <w:rPr>
                <w:b/>
                <w:sz w:val="20"/>
              </w:rPr>
            </w:pPr>
          </w:p>
          <w:p>
            <w:pPr>
              <w:pStyle w:val="TableParagraph"/>
              <w:rPr>
                <w:b/>
                <w:sz w:val="20"/>
              </w:rPr>
            </w:pPr>
          </w:p>
          <w:p>
            <w:pPr>
              <w:pStyle w:val="TableParagraph"/>
              <w:spacing w:before="34"/>
              <w:rPr>
                <w:b/>
                <w:sz w:val="20"/>
              </w:rPr>
            </w:pPr>
          </w:p>
          <w:p>
            <w:pPr>
              <w:pStyle w:val="TableParagraph"/>
              <w:spacing w:line="20" w:lineRule="exact"/>
              <w:ind w:left="-1"/>
              <w:rPr>
                <w:sz w:val="2"/>
              </w:rPr>
            </w:pPr>
            <w:r>
              <w:rPr>
                <w:sz w:val="2"/>
              </w:rPr>
              <ve:AlternateContent>
                <ve:Choice Requires="wps">
                  <w:drawing>
                    <wp:inline distT="0" distB="0" distL="0" distR="0">
                      <wp:extent cx="723900" cy="3175"/>
                      <wp:effectExtent l="9525" t="0" r="0" b="6350"/>
                      <wp:docPr id="227" name="Group 227"/>
                      <wp:cNvGraphicFramePr>
                        <a:graphicFrameLocks/>
                      </wp:cNvGraphicFramePr>
                      <a:graphic>
                        <a:graphicData uri="http://schemas.microsoft.com/office/word/2010/wordprocessingGroup">
                          <wpg:wgp>
                            <wpg:cNvPr id="227" name="Group 227"/>
                            <wpg:cNvGrpSpPr/>
                            <wpg:grpSpPr>
                              <a:xfrm>
                                <a:off x="0" y="0"/>
                                <a:ext cx="723900" cy="3175"/>
                                <a:chExt cx="723900" cy="3175"/>
                              </a:xfrm>
                            </wpg:grpSpPr>
                            <wps:wsp>
                              <wps:cNvPr id="228" name="Graphic 228"/>
                              <wps:cNvSpPr/>
                              <wps:spPr>
                                <a:xfrm>
                                  <a:off x="0" y="1525"/>
                                  <a:ext cx="723900" cy="1270"/>
                                </a:xfrm>
                                <a:custGeom>
                                  <a:avLst/>
                                  <a:gdLst/>
                                  <a:ahLst/>
                                  <a:cxnLst/>
                                  <a:rect l="l" t="t" r="r" b="b"/>
                                  <a:pathLst>
                                    <a:path w="723900" h="0">
                                      <a:moveTo>
                                        <a:pt x="0" y="0"/>
                                      </a:moveTo>
                                      <a:lnTo>
                                        <a:pt x="723541"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43" style="width:57pt;height:.25pt;mso-position-horizontal-relative:char;mso-position-vertical-relative:line" coordsize="1140,5" coordorigin="0,0">
                      <v:line style="position:absolute" stroked="true" strokecolor="#000000" strokeweight=".240274pt" from="0,2" to="1139,2">
                        <v:stroke dashstyle="solid"/>
                      </v:line>
                    </v:group>
                  </w:pict>
                </ve:Fallback>
              </ve:AlternateContent>
            </w:r>
            <w:r>
              <w:rPr>
                <w:sz w:val="2"/>
              </w:rPr>
            </w:r>
          </w:p>
        </w:tc>
        <w:tc>
          <w:tcPr>
            <w:tcW w:w="1678" w:type="dxa"/>
          </w:tcPr>
          <w:p>
            <w:pPr>
              <w:pStyle w:val="TableParagraph"/>
              <w:spacing w:before="180"/>
              <w:rPr>
                <w:b/>
                <w:sz w:val="21"/>
              </w:rPr>
            </w:pPr>
          </w:p>
          <w:p>
            <w:pPr>
              <w:pStyle w:val="TableParagraph"/>
              <w:ind w:right="49"/>
              <w:jc w:val="right"/>
              <w:rPr>
                <w:b/>
                <w:sz w:val="21"/>
              </w:rPr>
            </w:pPr>
            <w:r>
              <w:rPr>
                <w:b/>
                <w:color w:val="070707"/>
                <w:spacing w:val="-2"/>
                <w:w w:val="105"/>
                <w:sz w:val="21"/>
              </w:rPr>
              <w:t>(3,252)</w:t>
            </w:r>
          </w:p>
        </w:tc>
      </w:tr>
      <w:tr>
        <w:trPr>
          <w:trHeight w:val="276" w:hRule="atLeast"/>
        </w:trPr>
        <w:tc>
          <w:tcPr>
            <w:tcW w:w="4358" w:type="dxa"/>
          </w:tcPr>
          <w:p>
            <w:pPr>
              <w:pStyle w:val="TableParagraph"/>
              <w:spacing w:line="238" w:lineRule="exact"/>
              <w:ind w:left="86"/>
              <w:rPr>
                <w:sz w:val="22"/>
              </w:rPr>
            </w:pPr>
            <w:r>
              <w:rPr>
                <w:color w:val="070707"/>
                <w:sz w:val="22"/>
              </w:rPr>
              <w:t>Audit</w:t>
            </w:r>
            <w:r>
              <w:rPr>
                <w:color w:val="070707"/>
                <w:spacing w:val="11"/>
                <w:sz w:val="22"/>
              </w:rPr>
              <w:t> </w:t>
            </w:r>
            <w:r>
              <w:rPr>
                <w:color w:val="070707"/>
                <w:sz w:val="22"/>
              </w:rPr>
              <w:t>&amp;</w:t>
            </w:r>
            <w:r>
              <w:rPr>
                <w:color w:val="070707"/>
                <w:spacing w:val="2"/>
                <w:sz w:val="22"/>
              </w:rPr>
              <w:t> </w:t>
            </w:r>
            <w:r>
              <w:rPr>
                <w:color w:val="070707"/>
                <w:spacing w:val="-2"/>
                <w:sz w:val="22"/>
              </w:rPr>
              <w:t>Assurance</w:t>
            </w:r>
          </w:p>
        </w:tc>
        <w:tc>
          <w:tcPr>
            <w:tcW w:w="1945" w:type="dxa"/>
          </w:tcPr>
          <w:p>
            <w:pPr>
              <w:pStyle w:val="TableParagraph"/>
              <w:spacing w:before="23" w:line="233" w:lineRule="exact"/>
              <w:ind w:right="177"/>
              <w:jc w:val="right"/>
              <w:rPr>
                <w:sz w:val="22"/>
              </w:rPr>
            </w:pPr>
            <w:r>
              <w:rPr>
                <w:color w:val="070707"/>
                <w:spacing w:val="-5"/>
                <w:sz w:val="22"/>
              </w:rPr>
              <w:t>189</w:t>
            </w:r>
          </w:p>
        </w:tc>
        <w:tc>
          <w:tcPr>
            <w:tcW w:w="1884" w:type="dxa"/>
          </w:tcPr>
          <w:p>
            <w:pPr>
              <w:pStyle w:val="TableParagraph"/>
              <w:spacing w:line="241" w:lineRule="exact"/>
              <w:ind w:left="1135"/>
              <w:rPr>
                <w:rFonts w:ascii="Times New Roman"/>
                <w:sz w:val="23"/>
              </w:rPr>
            </w:pPr>
            <w:r>
              <w:rPr>
                <w:color w:val="262626"/>
                <w:spacing w:val="1"/>
                <w:w w:val="144"/>
                <w:sz w:val="22"/>
              </w:rPr>
              <w:t>(</w:t>
            </w:r>
            <w:r>
              <w:rPr>
                <w:color w:val="262626"/>
                <w:w w:val="144"/>
                <w:sz w:val="22"/>
              </w:rPr>
              <w:t>78</w:t>
            </w:r>
            <w:r>
              <w:rPr>
                <w:color w:val="262626"/>
                <w:spacing w:val="-13"/>
                <w:w w:val="144"/>
                <w:sz w:val="22"/>
              </w:rPr>
              <w:t>:</w:t>
            </w:r>
            <w:r>
              <w:rPr>
                <w:rFonts w:ascii="Times New Roman"/>
                <w:color w:val="B6B6B6"/>
                <w:spacing w:val="1"/>
                <w:w w:val="23"/>
                <w:sz w:val="23"/>
              </w:rPr>
              <w:t>i</w:t>
            </w:r>
          </w:p>
        </w:tc>
        <w:tc>
          <w:tcPr>
            <w:tcW w:w="1678" w:type="dxa"/>
          </w:tcPr>
          <w:p>
            <w:pPr>
              <w:pStyle w:val="TableParagraph"/>
              <w:spacing w:before="23" w:line="233" w:lineRule="exact"/>
              <w:ind w:right="49"/>
              <w:jc w:val="right"/>
              <w:rPr>
                <w:b/>
                <w:sz w:val="21"/>
              </w:rPr>
            </w:pPr>
            <w:r>
              <w:rPr>
                <w:b/>
                <w:color w:val="070707"/>
                <w:spacing w:val="-5"/>
                <w:w w:val="105"/>
                <w:sz w:val="21"/>
              </w:rPr>
              <w:t>189</w:t>
            </w:r>
          </w:p>
        </w:tc>
      </w:tr>
      <w:tr>
        <w:trPr>
          <w:trHeight w:val="374" w:hRule="atLeast"/>
        </w:trPr>
        <w:tc>
          <w:tcPr>
            <w:tcW w:w="4358" w:type="dxa"/>
          </w:tcPr>
          <w:p>
            <w:pPr>
              <w:pStyle w:val="TableParagraph"/>
              <w:spacing w:before="49"/>
              <w:ind w:left="83"/>
              <w:rPr>
                <w:sz w:val="22"/>
              </w:rPr>
            </w:pPr>
            <w:r>
              <w:rPr>
                <w:color w:val="070707"/>
                <w:sz w:val="22"/>
              </w:rPr>
              <w:t>Executive</w:t>
            </w:r>
            <w:r>
              <w:rPr>
                <w:color w:val="070707"/>
                <w:spacing w:val="5"/>
                <w:sz w:val="22"/>
              </w:rPr>
              <w:t> </w:t>
            </w:r>
            <w:r>
              <w:rPr>
                <w:color w:val="070707"/>
                <w:spacing w:val="-2"/>
                <w:sz w:val="22"/>
              </w:rPr>
              <w:t>Directors</w:t>
            </w:r>
          </w:p>
        </w:tc>
        <w:tc>
          <w:tcPr>
            <w:tcW w:w="1945" w:type="dxa"/>
          </w:tcPr>
          <w:p>
            <w:pPr>
              <w:pStyle w:val="TableParagraph"/>
              <w:spacing w:before="93"/>
              <w:ind w:right="185"/>
              <w:jc w:val="right"/>
              <w:rPr>
                <w:sz w:val="22"/>
              </w:rPr>
            </w:pPr>
            <w:r>
              <w:rPr>
                <w:color w:val="070707"/>
                <w:spacing w:val="-5"/>
                <w:sz w:val="22"/>
              </w:rPr>
              <w:t>465</w:t>
            </w:r>
          </w:p>
        </w:tc>
        <w:tc>
          <w:tcPr>
            <w:tcW w:w="1884" w:type="dxa"/>
          </w:tcPr>
          <w:p>
            <w:pPr>
              <w:pStyle w:val="TableParagraph"/>
              <w:spacing w:line="20" w:lineRule="exact"/>
              <w:ind w:left="-1"/>
              <w:rPr>
                <w:sz w:val="2"/>
              </w:rPr>
            </w:pPr>
            <w:r>
              <w:rPr>
                <w:sz w:val="2"/>
              </w:rPr>
              <ve:AlternateContent>
                <ve:Choice Requires="wps">
                  <w:drawing>
                    <wp:inline distT="0" distB="0" distL="0" distR="0">
                      <wp:extent cx="723900" cy="9525"/>
                      <wp:effectExtent l="9525" t="0" r="0" b="0"/>
                      <wp:docPr id="229" name="Group 229"/>
                      <wp:cNvGraphicFramePr>
                        <a:graphicFrameLocks/>
                      </wp:cNvGraphicFramePr>
                      <a:graphic>
                        <a:graphicData uri="http://schemas.microsoft.com/office/word/2010/wordprocessingGroup">
                          <wpg:wgp>
                            <wpg:cNvPr id="229" name="Group 229"/>
                            <wpg:cNvGrpSpPr/>
                            <wpg:grpSpPr>
                              <a:xfrm>
                                <a:off x="0" y="0"/>
                                <a:ext cx="723900" cy="9525"/>
                                <a:chExt cx="723900" cy="9525"/>
                              </a:xfrm>
                            </wpg:grpSpPr>
                            <wps:wsp>
                              <wps:cNvPr id="230" name="Graphic 230"/>
                              <wps:cNvSpPr/>
                              <wps:spPr>
                                <a:xfrm>
                                  <a:off x="0" y="4577"/>
                                  <a:ext cx="723900" cy="1270"/>
                                </a:xfrm>
                                <a:custGeom>
                                  <a:avLst/>
                                  <a:gdLst/>
                                  <a:ahLst/>
                                  <a:cxnLst/>
                                  <a:rect l="l" t="t" r="r" b="b"/>
                                  <a:pathLst>
                                    <a:path w="723900" h="0">
                                      <a:moveTo>
                                        <a:pt x="0" y="0"/>
                                      </a:moveTo>
                                      <a:lnTo>
                                        <a:pt x="723541"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44" style="width:57pt;height:.75pt;mso-position-horizontal-relative:char;mso-position-vertical-relative:line" coordsize="1140,15" coordorigin="0,0">
                      <v:line style="position:absolute" stroked="true" strokecolor="#000000" strokeweight=".720821pt" from="0,7" to="1139,7">
                        <v:stroke dashstyle="solid"/>
                      </v:line>
                    </v:group>
                  </w:pict>
                </ve:Fallback>
              </ve:AlternateContent>
            </w:r>
            <w:r>
              <w:rPr>
                <w:sz w:val="2"/>
              </w:rPr>
            </w:r>
          </w:p>
          <w:p>
            <w:pPr>
              <w:pStyle w:val="TableParagraph"/>
              <w:tabs>
                <w:tab w:val="left" w:leader="none" w:pos="1194"/>
              </w:tabs>
              <w:spacing w:before="81"/>
              <w:ind w:left="-1"/>
              <w:rPr>
                <w:sz w:val="22"/>
              </w:rPr>
            </w:pPr>
            <w:r>
              <w:rPr>
                <w:color w:val="070707"/>
                <w:w w:val="100"/>
                <w:sz w:val="22"/>
                <w:u w:val="single" w:color="000000"/>
              </w:rPr>
              <w:t> </w:t>
            </w:r>
            <w:r>
              <w:rPr>
                <w:color w:val="070707"/>
                <w:sz w:val="22"/>
                <w:u w:val="single" w:color="000000"/>
              </w:rPr>
              <w:tab/>
            </w:r>
          </w:p>
        </w:tc>
        <w:tc>
          <w:tcPr>
            <w:tcW w:w="1678" w:type="dxa"/>
          </w:tcPr>
          <w:p>
            <w:pPr>
              <w:pStyle w:val="TableParagraph"/>
              <w:spacing w:before="92"/>
              <w:ind w:right="50"/>
              <w:jc w:val="right"/>
              <w:rPr>
                <w:b/>
                <w:sz w:val="21"/>
              </w:rPr>
            </w:pPr>
            <w:r>
              <w:rPr>
                <w:b/>
                <w:color w:val="070707"/>
                <w:spacing w:val="-5"/>
                <w:w w:val="105"/>
                <w:sz w:val="21"/>
              </w:rPr>
              <w:t>519</w:t>
            </w:r>
          </w:p>
        </w:tc>
      </w:tr>
      <w:tr>
        <w:trPr>
          <w:trHeight w:val="374" w:hRule="atLeast"/>
        </w:trPr>
        <w:tc>
          <w:tcPr>
            <w:tcW w:w="4358" w:type="dxa"/>
          </w:tcPr>
          <w:p>
            <w:pPr>
              <w:pStyle w:val="TableParagraph"/>
              <w:spacing w:before="21"/>
              <w:ind w:left="78"/>
              <w:rPr>
                <w:sz w:val="22"/>
              </w:rPr>
            </w:pPr>
            <w:r>
              <w:rPr>
                <w:color w:val="070707"/>
                <w:sz w:val="22"/>
              </w:rPr>
              <w:t>Engineering</w:t>
            </w:r>
            <w:r>
              <w:rPr>
                <w:color w:val="070707"/>
                <w:spacing w:val="9"/>
                <w:sz w:val="22"/>
              </w:rPr>
              <w:t> </w:t>
            </w:r>
            <w:r>
              <w:rPr>
                <w:color w:val="070707"/>
                <w:spacing w:val="-2"/>
                <w:sz w:val="22"/>
              </w:rPr>
              <w:t>Services</w:t>
            </w:r>
          </w:p>
        </w:tc>
        <w:tc>
          <w:tcPr>
            <w:tcW w:w="1945" w:type="dxa"/>
          </w:tcPr>
          <w:p>
            <w:pPr>
              <w:pStyle w:val="TableParagraph"/>
              <w:spacing w:before="60"/>
              <w:ind w:right="183"/>
              <w:jc w:val="right"/>
              <w:rPr>
                <w:sz w:val="22"/>
              </w:rPr>
            </w:pPr>
            <w:r>
              <w:rPr>
                <w:color w:val="070707"/>
                <w:spacing w:val="-5"/>
                <w:sz w:val="22"/>
              </w:rPr>
              <w:t>373</w:t>
            </w:r>
          </w:p>
        </w:tc>
        <w:tc>
          <w:tcPr>
            <w:tcW w:w="1884" w:type="dxa"/>
          </w:tcPr>
          <w:p>
            <w:pPr>
              <w:pStyle w:val="TableParagraph"/>
              <w:spacing w:before="60"/>
              <w:ind w:right="93"/>
              <w:jc w:val="right"/>
              <w:rPr>
                <w:sz w:val="25"/>
              </w:rPr>
            </w:pPr>
            <w:r>
              <w:rPr>
                <w:color w:val="070707"/>
                <w:w w:val="105"/>
                <w:sz w:val="22"/>
              </w:rPr>
              <w:t>54</w:t>
            </w:r>
            <w:r>
              <w:rPr>
                <w:color w:val="070707"/>
                <w:spacing w:val="-1"/>
                <w:w w:val="105"/>
                <w:sz w:val="22"/>
              </w:rPr>
              <w:t> </w:t>
            </w:r>
            <w:r>
              <w:rPr>
                <w:color w:val="C8C8C8"/>
                <w:spacing w:val="-10"/>
                <w:w w:val="105"/>
                <w:sz w:val="25"/>
              </w:rPr>
              <w:t>I</w:t>
            </w:r>
          </w:p>
        </w:tc>
        <w:tc>
          <w:tcPr>
            <w:tcW w:w="1678" w:type="dxa"/>
          </w:tcPr>
          <w:p>
            <w:pPr>
              <w:pStyle w:val="TableParagraph"/>
              <w:spacing w:before="59"/>
              <w:ind w:right="58"/>
              <w:jc w:val="right"/>
              <w:rPr>
                <w:b/>
                <w:sz w:val="21"/>
              </w:rPr>
            </w:pPr>
            <w:r>
              <w:rPr>
                <w:b/>
                <w:color w:val="070707"/>
                <w:spacing w:val="-5"/>
                <w:w w:val="105"/>
                <w:sz w:val="21"/>
              </w:rPr>
              <w:t>427</w:t>
            </w:r>
          </w:p>
        </w:tc>
      </w:tr>
      <w:tr>
        <w:trPr>
          <w:trHeight w:val="312" w:hRule="atLeast"/>
        </w:trPr>
        <w:tc>
          <w:tcPr>
            <w:tcW w:w="4358" w:type="dxa"/>
          </w:tcPr>
          <w:p>
            <w:pPr>
              <w:pStyle w:val="TableParagraph"/>
              <w:spacing w:line="234" w:lineRule="exact"/>
              <w:ind w:left="73"/>
              <w:rPr>
                <w:sz w:val="22"/>
              </w:rPr>
            </w:pPr>
            <w:r>
              <w:rPr>
                <w:color w:val="070707"/>
                <w:sz w:val="22"/>
              </w:rPr>
              <w:t>Environmental</w:t>
            </w:r>
            <w:r>
              <w:rPr>
                <w:color w:val="070707"/>
                <w:spacing w:val="8"/>
                <w:sz w:val="22"/>
              </w:rPr>
              <w:t> </w:t>
            </w:r>
            <w:r>
              <w:rPr>
                <w:color w:val="070707"/>
                <w:spacing w:val="-2"/>
                <w:sz w:val="22"/>
              </w:rPr>
              <w:t>Health</w:t>
            </w:r>
          </w:p>
        </w:tc>
        <w:tc>
          <w:tcPr>
            <w:tcW w:w="1945" w:type="dxa"/>
          </w:tcPr>
          <w:p>
            <w:pPr>
              <w:pStyle w:val="TableParagraph"/>
              <w:spacing w:before="14"/>
              <w:ind w:right="192"/>
              <w:jc w:val="right"/>
              <w:rPr>
                <w:sz w:val="22"/>
              </w:rPr>
            </w:pPr>
            <w:r>
              <w:rPr>
                <w:color w:val="070707"/>
                <w:spacing w:val="-2"/>
                <w:sz w:val="22"/>
              </w:rPr>
              <w:t>1,182</w:t>
            </w:r>
          </w:p>
        </w:tc>
        <w:tc>
          <w:tcPr>
            <w:tcW w:w="1884" w:type="dxa"/>
          </w:tcPr>
          <w:p>
            <w:pPr>
              <w:pStyle w:val="TableParagraph"/>
              <w:spacing w:line="20" w:lineRule="exact"/>
              <w:ind w:left="-1" w:right="-29"/>
              <w:rPr>
                <w:sz w:val="2"/>
              </w:rPr>
            </w:pPr>
            <w:r>
              <w:rPr>
                <w:sz w:val="2"/>
              </w:rPr>
              <ve:AlternateContent>
                <ve:Choice Requires="wps">
                  <w:drawing>
                    <wp:inline distT="0" distB="0" distL="0" distR="0">
                      <wp:extent cx="1163320" cy="3175"/>
                      <wp:effectExtent l="9525" t="0" r="0" b="6350"/>
                      <wp:docPr id="231" name="Group 231"/>
                      <wp:cNvGraphicFramePr>
                        <a:graphicFrameLocks/>
                      </wp:cNvGraphicFramePr>
                      <a:graphic>
                        <a:graphicData uri="http://schemas.microsoft.com/office/word/2010/wordprocessingGroup">
                          <wpg:wgp>
                            <wpg:cNvPr id="231" name="Group 231"/>
                            <wpg:cNvGrpSpPr/>
                            <wpg:grpSpPr>
                              <a:xfrm>
                                <a:off x="0" y="0"/>
                                <a:ext cx="1163320" cy="3175"/>
                                <a:chExt cx="1163320" cy="3175"/>
                              </a:xfrm>
                            </wpg:grpSpPr>
                            <wps:wsp>
                              <wps:cNvPr id="232" name="Graphic 232"/>
                              <wps:cNvSpPr/>
                              <wps:spPr>
                                <a:xfrm>
                                  <a:off x="0" y="1525"/>
                                  <a:ext cx="1163320" cy="1270"/>
                                </a:xfrm>
                                <a:custGeom>
                                  <a:avLst/>
                                  <a:gdLst/>
                                  <a:ahLst/>
                                  <a:cxnLst/>
                                  <a:rect l="l" t="t" r="r" b="b"/>
                                  <a:pathLst>
                                    <a:path w="1163320" h="0">
                                      <a:moveTo>
                                        <a:pt x="0" y="0"/>
                                      </a:moveTo>
                                      <a:lnTo>
                                        <a:pt x="1163161"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45" style="width:91.6pt;height:.25pt;mso-position-horizontal-relative:char;mso-position-vertical-relative:line" coordsize="1832,5" coordorigin="0,0">
                      <v:line style="position:absolute" stroked="true" strokecolor="#000000" strokeweight=".240274pt" from="0,2" to="1832,2">
                        <v:stroke dashstyle="solid"/>
                      </v:line>
                    </v:group>
                  </w:pict>
                </ve:Fallback>
              </ve:AlternateContent>
            </w:r>
            <w:r>
              <w:rPr>
                <w:sz w:val="2"/>
              </w:rPr>
            </w:r>
          </w:p>
          <w:p>
            <w:pPr>
              <w:pStyle w:val="TableParagraph"/>
              <w:tabs>
                <w:tab w:val="left" w:leader="none" w:pos="1276"/>
              </w:tabs>
              <w:ind w:left="-1"/>
              <w:rPr>
                <w:sz w:val="13"/>
              </w:rPr>
            </w:pPr>
            <w:r>
              <w:rPr>
                <w:b/>
                <w:color w:val="070707"/>
                <w:sz w:val="21"/>
                <w:u w:val="single" w:color="000000"/>
              </w:rPr>
              <w:tab/>
            </w:r>
            <w:r>
              <w:rPr>
                <w:b/>
                <w:color w:val="070707"/>
                <w:w w:val="105"/>
                <w:sz w:val="21"/>
                <w:u w:val="single" w:color="000000"/>
              </w:rPr>
              <w:t>140</w:t>
            </w:r>
            <w:r>
              <w:rPr>
                <w:b/>
                <w:color w:val="070707"/>
                <w:spacing w:val="24"/>
                <w:w w:val="105"/>
                <w:sz w:val="21"/>
                <w:u w:val="single" w:color="000000"/>
              </w:rPr>
              <w:t> </w:t>
            </w:r>
            <w:r>
              <w:rPr>
                <w:color w:val="A8A8A8"/>
                <w:spacing w:val="-10"/>
                <w:w w:val="105"/>
                <w:sz w:val="13"/>
                <w:u w:val="single" w:color="000000"/>
              </w:rPr>
              <w:t>I</w:t>
            </w:r>
            <w:r>
              <w:rPr>
                <w:color w:val="A8A8A8"/>
                <w:spacing w:val="80"/>
                <w:w w:val="105"/>
                <w:sz w:val="13"/>
                <w:u w:val="single" w:color="000000"/>
              </w:rPr>
              <w:t> </w:t>
            </w:r>
          </w:p>
        </w:tc>
        <w:tc>
          <w:tcPr>
            <w:tcW w:w="1678" w:type="dxa"/>
          </w:tcPr>
          <w:p>
            <w:pPr>
              <w:pStyle w:val="TableParagraph"/>
              <w:spacing w:before="14"/>
              <w:ind w:right="58"/>
              <w:jc w:val="right"/>
              <w:rPr>
                <w:b/>
                <w:sz w:val="21"/>
              </w:rPr>
            </w:pPr>
            <w:r>
              <w:rPr>
                <w:b/>
                <w:color w:val="070707"/>
                <w:spacing w:val="-4"/>
                <w:w w:val="105"/>
                <w:sz w:val="21"/>
              </w:rPr>
              <w:t>1,322</w:t>
            </w:r>
          </w:p>
        </w:tc>
      </w:tr>
      <w:tr>
        <w:trPr>
          <w:trHeight w:val="345" w:hRule="atLeast"/>
        </w:trPr>
        <w:tc>
          <w:tcPr>
            <w:tcW w:w="4358" w:type="dxa"/>
          </w:tcPr>
          <w:p>
            <w:pPr>
              <w:pStyle w:val="TableParagraph"/>
              <w:spacing w:before="26"/>
              <w:ind w:left="68"/>
              <w:rPr>
                <w:sz w:val="22"/>
              </w:rPr>
            </w:pPr>
            <w:r>
              <w:rPr>
                <w:color w:val="070707"/>
                <w:sz w:val="22"/>
              </w:rPr>
              <w:t>Finance</w:t>
            </w:r>
            <w:r>
              <w:rPr>
                <w:color w:val="070707"/>
                <w:spacing w:val="5"/>
                <w:sz w:val="22"/>
              </w:rPr>
              <w:t> </w:t>
            </w:r>
            <w:r>
              <w:rPr>
                <w:color w:val="070707"/>
                <w:sz w:val="22"/>
              </w:rPr>
              <w:t>&amp;</w:t>
            </w:r>
            <w:r>
              <w:rPr>
                <w:color w:val="070707"/>
                <w:spacing w:val="-4"/>
                <w:sz w:val="22"/>
              </w:rPr>
              <w:t> </w:t>
            </w:r>
            <w:r>
              <w:rPr>
                <w:color w:val="070707"/>
                <w:sz w:val="22"/>
              </w:rPr>
              <w:t>Business</w:t>
            </w:r>
            <w:r>
              <w:rPr>
                <w:color w:val="070707"/>
                <w:spacing w:val="9"/>
                <w:sz w:val="22"/>
              </w:rPr>
              <w:t> </w:t>
            </w:r>
            <w:r>
              <w:rPr>
                <w:color w:val="070707"/>
                <w:spacing w:val="-2"/>
                <w:sz w:val="22"/>
              </w:rPr>
              <w:t>Services</w:t>
            </w:r>
          </w:p>
        </w:tc>
        <w:tc>
          <w:tcPr>
            <w:tcW w:w="1945" w:type="dxa"/>
          </w:tcPr>
          <w:p>
            <w:pPr>
              <w:pStyle w:val="TableParagraph"/>
              <w:spacing w:before="64"/>
              <w:ind w:right="188"/>
              <w:jc w:val="right"/>
              <w:rPr>
                <w:sz w:val="22"/>
              </w:rPr>
            </w:pPr>
            <w:r>
              <w:rPr>
                <w:color w:val="070707"/>
                <w:spacing w:val="-2"/>
                <w:sz w:val="22"/>
              </w:rPr>
              <w:t>2,426</w:t>
            </w:r>
          </w:p>
        </w:tc>
        <w:tc>
          <w:tcPr>
            <w:tcW w:w="1884" w:type="dxa"/>
          </w:tcPr>
          <w:p>
            <w:pPr>
              <w:pStyle w:val="TableParagraph"/>
              <w:tabs>
                <w:tab w:val="left" w:leader="none" w:pos="1266"/>
                <w:tab w:val="left" w:leader="none" w:pos="1831"/>
              </w:tabs>
              <w:spacing w:before="55"/>
              <w:ind w:left="-1"/>
              <w:rPr>
                <w:sz w:val="22"/>
              </w:rPr>
            </w:pPr>
            <w:r>
              <w:rPr>
                <w:color w:val="070707"/>
                <w:sz w:val="22"/>
                <w:u w:val="single" w:color="000000"/>
              </w:rPr>
              <w:tab/>
            </w:r>
            <w:r>
              <w:rPr>
                <w:color w:val="070707"/>
                <w:spacing w:val="-5"/>
                <w:sz w:val="22"/>
                <w:u w:val="single" w:color="000000"/>
              </w:rPr>
              <w:t>432</w:t>
            </w:r>
            <w:r>
              <w:rPr>
                <w:color w:val="070707"/>
                <w:sz w:val="22"/>
                <w:u w:val="single" w:color="000000"/>
              </w:rPr>
              <w:tab/>
            </w:r>
          </w:p>
        </w:tc>
        <w:tc>
          <w:tcPr>
            <w:tcW w:w="1678" w:type="dxa"/>
          </w:tcPr>
          <w:p>
            <w:pPr>
              <w:pStyle w:val="TableParagraph"/>
              <w:spacing w:before="64"/>
              <w:ind w:right="67"/>
              <w:jc w:val="right"/>
              <w:rPr>
                <w:b/>
                <w:sz w:val="21"/>
              </w:rPr>
            </w:pPr>
            <w:r>
              <w:rPr>
                <w:b/>
                <w:color w:val="070707"/>
                <w:spacing w:val="-2"/>
                <w:sz w:val="21"/>
              </w:rPr>
              <w:t>2,858</w:t>
            </w:r>
          </w:p>
        </w:tc>
      </w:tr>
      <w:tr>
        <w:trPr>
          <w:trHeight w:val="341" w:hRule="atLeast"/>
        </w:trPr>
        <w:tc>
          <w:tcPr>
            <w:tcW w:w="4358" w:type="dxa"/>
          </w:tcPr>
          <w:p>
            <w:pPr>
              <w:pStyle w:val="TableParagraph"/>
              <w:spacing w:before="21"/>
              <w:ind w:left="64"/>
              <w:rPr>
                <w:sz w:val="22"/>
              </w:rPr>
            </w:pPr>
            <w:r>
              <w:rPr>
                <w:color w:val="070707"/>
                <w:sz w:val="22"/>
              </w:rPr>
              <w:t>General</w:t>
            </w:r>
            <w:r>
              <w:rPr>
                <w:color w:val="070707"/>
                <w:spacing w:val="12"/>
                <w:sz w:val="22"/>
              </w:rPr>
              <w:t> </w:t>
            </w:r>
            <w:r>
              <w:rPr>
                <w:color w:val="070707"/>
                <w:spacing w:val="-2"/>
                <w:sz w:val="22"/>
              </w:rPr>
              <w:t>Expenses</w:t>
            </w:r>
          </w:p>
        </w:tc>
        <w:tc>
          <w:tcPr>
            <w:tcW w:w="1945" w:type="dxa"/>
          </w:tcPr>
          <w:p>
            <w:pPr>
              <w:pStyle w:val="TableParagraph"/>
              <w:spacing w:before="55"/>
              <w:ind w:right="191"/>
              <w:jc w:val="right"/>
              <w:rPr>
                <w:sz w:val="22"/>
              </w:rPr>
            </w:pPr>
            <w:r>
              <w:rPr>
                <w:color w:val="070707"/>
                <w:spacing w:val="-5"/>
                <w:sz w:val="22"/>
              </w:rPr>
              <w:t>424</w:t>
            </w:r>
          </w:p>
        </w:tc>
        <w:tc>
          <w:tcPr>
            <w:tcW w:w="1884" w:type="dxa"/>
          </w:tcPr>
          <w:p>
            <w:pPr>
              <w:pStyle w:val="TableParagraph"/>
              <w:tabs>
                <w:tab w:val="left" w:leader="none" w:pos="1886"/>
              </w:tabs>
              <w:spacing w:before="55"/>
              <w:ind w:left="-1" w:right="-15"/>
              <w:rPr>
                <w:sz w:val="22"/>
              </w:rPr>
            </w:pPr>
            <w:r>
              <w:rPr>
                <w:color w:val="070707"/>
                <w:w w:val="100"/>
                <w:sz w:val="22"/>
                <w:u w:val="single" w:color="000000"/>
              </w:rPr>
              <w:t> </w:t>
            </w:r>
            <w:r>
              <w:rPr>
                <w:color w:val="070707"/>
                <w:sz w:val="22"/>
                <w:u w:val="single" w:color="000000"/>
              </w:rPr>
              <w:tab/>
            </w:r>
          </w:p>
        </w:tc>
        <w:tc>
          <w:tcPr>
            <w:tcW w:w="1678" w:type="dxa"/>
          </w:tcPr>
          <w:p>
            <w:pPr>
              <w:pStyle w:val="TableParagraph"/>
              <w:spacing w:before="59"/>
              <w:ind w:right="61"/>
              <w:jc w:val="right"/>
              <w:rPr>
                <w:b/>
                <w:sz w:val="21"/>
              </w:rPr>
            </w:pPr>
            <w:r>
              <w:rPr>
                <w:b/>
                <w:color w:val="070707"/>
                <w:spacing w:val="-5"/>
                <w:w w:val="105"/>
                <w:sz w:val="21"/>
              </w:rPr>
              <w:t>424</w:t>
            </w:r>
          </w:p>
        </w:tc>
      </w:tr>
      <w:tr>
        <w:trPr>
          <w:trHeight w:val="345" w:hRule="atLeast"/>
        </w:trPr>
        <w:tc>
          <w:tcPr>
            <w:tcW w:w="4358" w:type="dxa"/>
          </w:tcPr>
          <w:p>
            <w:pPr>
              <w:pStyle w:val="TableParagraph"/>
              <w:spacing w:before="26"/>
              <w:ind w:left="63"/>
              <w:rPr>
                <w:sz w:val="22"/>
              </w:rPr>
            </w:pPr>
            <w:r>
              <w:rPr>
                <w:color w:val="070707"/>
                <w:sz w:val="22"/>
              </w:rPr>
              <w:t>Housing</w:t>
            </w:r>
            <w:r>
              <w:rPr>
                <w:color w:val="070707"/>
                <w:spacing w:val="12"/>
                <w:sz w:val="22"/>
              </w:rPr>
              <w:t> </w:t>
            </w:r>
            <w:r>
              <w:rPr>
                <w:color w:val="070707"/>
                <w:spacing w:val="-2"/>
                <w:sz w:val="22"/>
              </w:rPr>
              <w:t>Services</w:t>
            </w:r>
          </w:p>
        </w:tc>
        <w:tc>
          <w:tcPr>
            <w:tcW w:w="1945" w:type="dxa"/>
          </w:tcPr>
          <w:p>
            <w:pPr>
              <w:pStyle w:val="TableParagraph"/>
              <w:spacing w:before="60"/>
              <w:ind w:right="197"/>
              <w:jc w:val="right"/>
              <w:rPr>
                <w:sz w:val="22"/>
              </w:rPr>
            </w:pPr>
            <w:r>
              <w:rPr>
                <w:color w:val="070707"/>
                <w:spacing w:val="-5"/>
                <w:sz w:val="22"/>
              </w:rPr>
              <w:t>838</w:t>
            </w:r>
          </w:p>
        </w:tc>
        <w:tc>
          <w:tcPr>
            <w:tcW w:w="1884" w:type="dxa"/>
          </w:tcPr>
          <w:p>
            <w:pPr>
              <w:pStyle w:val="TableParagraph"/>
              <w:tabs>
                <w:tab w:val="left" w:leader="none" w:pos="1259"/>
              </w:tabs>
              <w:spacing w:before="45"/>
              <w:ind w:left="-1"/>
              <w:rPr>
                <w:sz w:val="22"/>
              </w:rPr>
            </w:pPr>
            <w:r>
              <w:rPr>
                <w:color w:val="070707"/>
                <w:sz w:val="22"/>
                <w:u w:val="single" w:color="000000"/>
              </w:rPr>
              <w:tab/>
              <w:t>925</w:t>
            </w:r>
            <w:r>
              <w:rPr>
                <w:color w:val="070707"/>
                <w:spacing w:val="24"/>
                <w:sz w:val="22"/>
                <w:u w:val="single" w:color="000000"/>
              </w:rPr>
              <w:t> </w:t>
            </w:r>
            <w:r>
              <w:rPr>
                <w:color w:val="C8C8C8"/>
                <w:spacing w:val="-10"/>
                <w:sz w:val="22"/>
                <w:u w:val="single" w:color="000000"/>
              </w:rPr>
              <w:t>I</w:t>
            </w:r>
          </w:p>
        </w:tc>
        <w:tc>
          <w:tcPr>
            <w:tcW w:w="1678" w:type="dxa"/>
          </w:tcPr>
          <w:p>
            <w:pPr>
              <w:pStyle w:val="TableParagraph"/>
              <w:spacing w:before="64"/>
              <w:ind w:right="68"/>
              <w:jc w:val="right"/>
              <w:rPr>
                <w:b/>
                <w:sz w:val="21"/>
              </w:rPr>
            </w:pPr>
            <w:r>
              <w:rPr>
                <w:b/>
                <w:color w:val="070707"/>
                <w:spacing w:val="-4"/>
                <w:w w:val="105"/>
                <w:sz w:val="21"/>
              </w:rPr>
              <w:t>1,763</w:t>
            </w:r>
          </w:p>
        </w:tc>
      </w:tr>
      <w:tr>
        <w:trPr>
          <w:trHeight w:val="343" w:hRule="atLeast"/>
        </w:trPr>
        <w:tc>
          <w:tcPr>
            <w:tcW w:w="4358" w:type="dxa"/>
          </w:tcPr>
          <w:p>
            <w:pPr>
              <w:pStyle w:val="TableParagraph"/>
              <w:spacing w:before="26"/>
              <w:ind w:left="58"/>
              <w:rPr>
                <w:sz w:val="22"/>
              </w:rPr>
            </w:pPr>
            <w:r>
              <w:rPr>
                <w:color w:val="070707"/>
                <w:sz w:val="22"/>
              </w:rPr>
              <w:t>Human</w:t>
            </w:r>
            <w:r>
              <w:rPr>
                <w:color w:val="070707"/>
                <w:spacing w:val="-3"/>
                <w:sz w:val="22"/>
              </w:rPr>
              <w:t> </w:t>
            </w:r>
            <w:r>
              <w:rPr>
                <w:color w:val="070707"/>
                <w:sz w:val="22"/>
              </w:rPr>
              <w:t>Resources</w:t>
            </w:r>
            <w:r>
              <w:rPr>
                <w:color w:val="070707"/>
                <w:spacing w:val="19"/>
                <w:sz w:val="22"/>
              </w:rPr>
              <w:t> </w:t>
            </w:r>
            <w:r>
              <w:rPr>
                <w:color w:val="070707"/>
                <w:sz w:val="22"/>
              </w:rPr>
              <w:t>&amp;</w:t>
            </w:r>
            <w:r>
              <w:rPr>
                <w:color w:val="070707"/>
                <w:spacing w:val="-3"/>
                <w:sz w:val="22"/>
              </w:rPr>
              <w:t> </w:t>
            </w:r>
            <w:r>
              <w:rPr>
                <w:color w:val="070707"/>
                <w:sz w:val="22"/>
              </w:rPr>
              <w:t>Customer</w:t>
            </w:r>
            <w:r>
              <w:rPr>
                <w:color w:val="070707"/>
                <w:spacing w:val="8"/>
                <w:sz w:val="22"/>
              </w:rPr>
              <w:t> </w:t>
            </w:r>
            <w:r>
              <w:rPr>
                <w:color w:val="070707"/>
                <w:spacing w:val="-2"/>
                <w:sz w:val="22"/>
              </w:rPr>
              <w:t>Services</w:t>
            </w:r>
          </w:p>
        </w:tc>
        <w:tc>
          <w:tcPr>
            <w:tcW w:w="1945" w:type="dxa"/>
          </w:tcPr>
          <w:p>
            <w:pPr>
              <w:pStyle w:val="TableParagraph"/>
              <w:spacing w:before="60"/>
              <w:ind w:right="201"/>
              <w:jc w:val="right"/>
              <w:rPr>
                <w:sz w:val="22"/>
              </w:rPr>
            </w:pPr>
            <w:r>
              <w:rPr>
                <w:color w:val="070707"/>
                <w:spacing w:val="-2"/>
                <w:sz w:val="22"/>
              </w:rPr>
              <w:t>1,312</w:t>
            </w:r>
          </w:p>
        </w:tc>
        <w:tc>
          <w:tcPr>
            <w:tcW w:w="1884" w:type="dxa"/>
          </w:tcPr>
          <w:p>
            <w:pPr>
              <w:pStyle w:val="TableParagraph"/>
              <w:tabs>
                <w:tab w:val="left" w:leader="none" w:pos="1259"/>
                <w:tab w:val="left" w:leader="none" w:pos="1831"/>
              </w:tabs>
              <w:spacing w:before="55"/>
              <w:ind w:left="-1"/>
              <w:rPr>
                <w:sz w:val="22"/>
              </w:rPr>
            </w:pPr>
            <w:r>
              <w:rPr>
                <w:color w:val="070707"/>
                <w:sz w:val="22"/>
                <w:u w:val="single" w:color="000000"/>
              </w:rPr>
              <w:tab/>
            </w:r>
            <w:r>
              <w:rPr>
                <w:color w:val="070707"/>
                <w:spacing w:val="-5"/>
                <w:sz w:val="22"/>
                <w:u w:val="single" w:color="000000"/>
              </w:rPr>
              <w:t>174</w:t>
            </w:r>
            <w:r>
              <w:rPr>
                <w:color w:val="070707"/>
                <w:sz w:val="22"/>
                <w:u w:val="single" w:color="000000"/>
              </w:rPr>
              <w:tab/>
            </w:r>
          </w:p>
        </w:tc>
        <w:tc>
          <w:tcPr>
            <w:tcW w:w="1678" w:type="dxa"/>
          </w:tcPr>
          <w:p>
            <w:pPr>
              <w:pStyle w:val="TableParagraph"/>
              <w:spacing w:before="64"/>
              <w:ind w:right="74"/>
              <w:jc w:val="right"/>
              <w:rPr>
                <w:b/>
                <w:sz w:val="21"/>
              </w:rPr>
            </w:pPr>
            <w:r>
              <w:rPr>
                <w:b/>
                <w:color w:val="070707"/>
                <w:spacing w:val="-4"/>
                <w:w w:val="105"/>
                <w:sz w:val="21"/>
              </w:rPr>
              <w:t>1,486</w:t>
            </w:r>
          </w:p>
        </w:tc>
      </w:tr>
      <w:tr>
        <w:trPr>
          <w:trHeight w:val="334" w:hRule="atLeast"/>
        </w:trPr>
        <w:tc>
          <w:tcPr>
            <w:tcW w:w="4358" w:type="dxa"/>
          </w:tcPr>
          <w:p>
            <w:pPr>
              <w:pStyle w:val="TableParagraph"/>
              <w:spacing w:before="23"/>
              <w:ind w:left="55"/>
              <w:rPr>
                <w:sz w:val="22"/>
              </w:rPr>
            </w:pPr>
            <w:r>
              <w:rPr>
                <w:color w:val="070707"/>
                <w:sz w:val="22"/>
              </w:rPr>
              <w:t>Legal</w:t>
            </w:r>
            <w:r>
              <w:rPr>
                <w:color w:val="070707"/>
                <w:spacing w:val="1"/>
                <w:sz w:val="22"/>
              </w:rPr>
              <w:t> </w:t>
            </w:r>
            <w:r>
              <w:rPr>
                <w:color w:val="070707"/>
                <w:sz w:val="22"/>
              </w:rPr>
              <w:t>&amp;</w:t>
            </w:r>
            <w:r>
              <w:rPr>
                <w:color w:val="070707"/>
                <w:spacing w:val="-4"/>
                <w:sz w:val="22"/>
              </w:rPr>
              <w:t> </w:t>
            </w:r>
            <w:r>
              <w:rPr>
                <w:color w:val="070707"/>
                <w:sz w:val="22"/>
              </w:rPr>
              <w:t>Democratic</w:t>
            </w:r>
            <w:r>
              <w:rPr>
                <w:color w:val="070707"/>
                <w:spacing w:val="15"/>
                <w:sz w:val="22"/>
              </w:rPr>
              <w:t> </w:t>
            </w:r>
            <w:r>
              <w:rPr>
                <w:color w:val="070707"/>
                <w:spacing w:val="-2"/>
                <w:sz w:val="22"/>
              </w:rPr>
              <w:t>Services</w:t>
            </w:r>
          </w:p>
        </w:tc>
        <w:tc>
          <w:tcPr>
            <w:tcW w:w="1945" w:type="dxa"/>
          </w:tcPr>
          <w:p>
            <w:pPr>
              <w:pStyle w:val="TableParagraph"/>
              <w:spacing w:before="62" w:line="253" w:lineRule="exact"/>
              <w:ind w:right="207"/>
              <w:jc w:val="right"/>
              <w:rPr>
                <w:sz w:val="22"/>
              </w:rPr>
            </w:pPr>
            <w:r>
              <w:rPr>
                <w:color w:val="070707"/>
                <w:spacing w:val="-2"/>
                <w:sz w:val="22"/>
              </w:rPr>
              <w:t>1,385</w:t>
            </w:r>
          </w:p>
        </w:tc>
        <w:tc>
          <w:tcPr>
            <w:tcW w:w="1884" w:type="dxa"/>
          </w:tcPr>
          <w:p>
            <w:pPr>
              <w:pStyle w:val="TableParagraph"/>
              <w:tabs>
                <w:tab w:val="left" w:leader="none" w:pos="1254"/>
                <w:tab w:val="left" w:leader="none" w:pos="1831"/>
              </w:tabs>
              <w:spacing w:before="57"/>
              <w:ind w:left="-1"/>
              <w:rPr>
                <w:sz w:val="22"/>
              </w:rPr>
            </w:pPr>
            <w:r>
              <w:rPr>
                <w:color w:val="070707"/>
                <w:sz w:val="22"/>
                <w:u w:val="single" w:color="000000"/>
              </w:rPr>
              <w:tab/>
            </w:r>
            <w:r>
              <w:rPr>
                <w:color w:val="070707"/>
                <w:spacing w:val="-5"/>
                <w:sz w:val="22"/>
                <w:u w:val="single" w:color="000000"/>
              </w:rPr>
              <w:t>109</w:t>
            </w:r>
            <w:r>
              <w:rPr>
                <w:color w:val="070707"/>
                <w:sz w:val="22"/>
                <w:u w:val="single" w:color="000000"/>
              </w:rPr>
              <w:tab/>
            </w:r>
          </w:p>
        </w:tc>
        <w:tc>
          <w:tcPr>
            <w:tcW w:w="1678" w:type="dxa"/>
          </w:tcPr>
          <w:p>
            <w:pPr>
              <w:pStyle w:val="TableParagraph"/>
              <w:spacing w:before="62"/>
              <w:ind w:right="67"/>
              <w:jc w:val="right"/>
              <w:rPr>
                <w:b/>
                <w:sz w:val="21"/>
              </w:rPr>
            </w:pPr>
            <w:r>
              <w:rPr>
                <w:b/>
                <w:color w:val="070707"/>
                <w:spacing w:val="-4"/>
                <w:w w:val="105"/>
                <w:sz w:val="21"/>
              </w:rPr>
              <w:t>1,494</w:t>
            </w:r>
          </w:p>
        </w:tc>
      </w:tr>
      <w:tr>
        <w:trPr>
          <w:trHeight w:val="326" w:hRule="atLeast"/>
        </w:trPr>
        <w:tc>
          <w:tcPr>
            <w:tcW w:w="4358" w:type="dxa"/>
          </w:tcPr>
          <w:p>
            <w:pPr>
              <w:pStyle w:val="TableParagraph"/>
              <w:spacing w:before="35"/>
              <w:ind w:left="50"/>
              <w:rPr>
                <w:sz w:val="22"/>
              </w:rPr>
            </w:pPr>
            <w:r>
              <w:rPr>
                <w:color w:val="070707"/>
                <w:sz w:val="22"/>
              </w:rPr>
              <w:t>Partnership</w:t>
            </w:r>
            <w:r>
              <w:rPr>
                <w:color w:val="070707"/>
                <w:spacing w:val="1"/>
                <w:sz w:val="22"/>
              </w:rPr>
              <w:t> </w:t>
            </w:r>
            <w:r>
              <w:rPr>
                <w:color w:val="070707"/>
                <w:sz w:val="22"/>
              </w:rPr>
              <w:t>&amp;</w:t>
            </w:r>
            <w:r>
              <w:rPr>
                <w:color w:val="070707"/>
                <w:spacing w:val="-7"/>
                <w:sz w:val="22"/>
              </w:rPr>
              <w:t> </w:t>
            </w:r>
            <w:r>
              <w:rPr>
                <w:color w:val="070707"/>
                <w:sz w:val="22"/>
              </w:rPr>
              <w:t>Community</w:t>
            </w:r>
            <w:r>
              <w:rPr>
                <w:color w:val="070707"/>
                <w:spacing w:val="14"/>
                <w:sz w:val="22"/>
              </w:rPr>
              <w:t> </w:t>
            </w:r>
            <w:r>
              <w:rPr>
                <w:color w:val="070707"/>
                <w:spacing w:val="-2"/>
                <w:sz w:val="22"/>
              </w:rPr>
              <w:t>Engagement</w:t>
            </w:r>
          </w:p>
        </w:tc>
        <w:tc>
          <w:tcPr>
            <w:tcW w:w="1945" w:type="dxa"/>
          </w:tcPr>
          <w:p>
            <w:pPr>
              <w:pStyle w:val="TableParagraph"/>
              <w:spacing w:before="73" w:line="233" w:lineRule="exact"/>
              <w:ind w:right="206"/>
              <w:jc w:val="right"/>
              <w:rPr>
                <w:sz w:val="22"/>
              </w:rPr>
            </w:pPr>
            <w:r>
              <w:rPr>
                <w:color w:val="070707"/>
                <w:spacing w:val="-2"/>
                <w:sz w:val="22"/>
              </w:rPr>
              <w:t>1,452</w:t>
            </w:r>
          </w:p>
        </w:tc>
        <w:tc>
          <w:tcPr>
            <w:tcW w:w="1884" w:type="dxa"/>
          </w:tcPr>
          <w:p>
            <w:pPr>
              <w:pStyle w:val="TableParagraph"/>
              <w:tabs>
                <w:tab w:val="left" w:leader="none" w:pos="1379"/>
              </w:tabs>
              <w:spacing w:before="11"/>
              <w:ind w:left="-1"/>
              <w:rPr>
                <w:sz w:val="25"/>
              </w:rPr>
            </w:pPr>
            <w:r>
              <w:rPr>
                <w:color w:val="070707"/>
                <w:sz w:val="22"/>
                <w:u w:val="single" w:color="000000"/>
              </w:rPr>
              <w:tab/>
              <w:t>88</w:t>
            </w:r>
            <w:r>
              <w:rPr>
                <w:color w:val="070707"/>
                <w:spacing w:val="15"/>
                <w:sz w:val="22"/>
                <w:u w:val="single" w:color="000000"/>
              </w:rPr>
              <w:t> </w:t>
            </w:r>
            <w:r>
              <w:rPr>
                <w:color w:val="B6B6B6"/>
                <w:spacing w:val="-10"/>
                <w:sz w:val="25"/>
                <w:u w:val="single" w:color="000000"/>
              </w:rPr>
              <w:t>I</w:t>
            </w:r>
          </w:p>
        </w:tc>
        <w:tc>
          <w:tcPr>
            <w:tcW w:w="1678" w:type="dxa"/>
          </w:tcPr>
          <w:p>
            <w:pPr>
              <w:pStyle w:val="TableParagraph"/>
              <w:spacing w:before="73" w:line="233" w:lineRule="exact"/>
              <w:ind w:right="72"/>
              <w:jc w:val="right"/>
              <w:rPr>
                <w:b/>
                <w:sz w:val="21"/>
              </w:rPr>
            </w:pPr>
            <w:r>
              <w:rPr>
                <w:b/>
                <w:color w:val="070707"/>
                <w:spacing w:val="-4"/>
                <w:w w:val="105"/>
                <w:sz w:val="21"/>
              </w:rPr>
              <w:t>1,540</w:t>
            </w:r>
          </w:p>
        </w:tc>
      </w:tr>
    </w:tbl>
    <w:p>
      <w:pPr>
        <w:pStyle w:val="BodyText"/>
        <w:tabs>
          <w:tab w:val="left" w:leader="none" w:pos="7239"/>
          <w:tab w:val="left" w:leader="none" w:pos="7999"/>
          <w:tab w:val="left" w:leader="none" w:pos="9188"/>
          <w:tab w:val="left" w:leader="none" w:pos="10941"/>
        </w:tabs>
        <w:spacing w:before="65"/>
        <w:ind w:left="1741"/>
        <w:rPr>
          <w:b/>
          <w:sz w:val="21"/>
        </w:rPr>
      </w:pPr>
      <w:r>
        <w:rPr>
          <w:color w:val="070707"/>
        </w:rPr>
        <w:t>Planning</w:t>
      </w:r>
      <w:r>
        <w:rPr>
          <w:color w:val="070707"/>
          <w:spacing w:val="6"/>
        </w:rPr>
        <w:t> </w:t>
      </w:r>
      <w:r>
        <w:rPr>
          <w:color w:val="070707"/>
        </w:rPr>
        <w:t>&amp;</w:t>
      </w:r>
      <w:r>
        <w:rPr>
          <w:color w:val="070707"/>
          <w:spacing w:val="-6"/>
        </w:rPr>
        <w:t> </w:t>
      </w:r>
      <w:r>
        <w:rPr>
          <w:color w:val="070707"/>
        </w:rPr>
        <w:t>Economic</w:t>
      </w:r>
      <w:r>
        <w:rPr>
          <w:color w:val="070707"/>
          <w:spacing w:val="9"/>
        </w:rPr>
        <w:t> </w:t>
      </w:r>
      <w:r>
        <w:rPr>
          <w:color w:val="070707"/>
          <w:spacing w:val="-2"/>
        </w:rPr>
        <w:t>Development</w:t>
      </w:r>
      <w:r>
        <w:rPr>
          <w:color w:val="070707"/>
        </w:rPr>
        <w:tab/>
      </w:r>
      <w:r>
        <w:rPr>
          <w:color w:val="070707"/>
          <w:spacing w:val="-2"/>
          <w:w w:val="110"/>
          <w:position w:val="-3"/>
        </w:rPr>
        <w:t>1,601</w:t>
      </w:r>
      <w:r>
        <w:rPr>
          <w:color w:val="070707"/>
          <w:position w:val="-3"/>
        </w:rPr>
        <w:tab/>
      </w:r>
      <w:r>
        <w:rPr>
          <w:color w:val="070707"/>
          <w:position w:val="-3"/>
          <w:u w:val="single" w:color="000000"/>
        </w:rPr>
        <w:tab/>
      </w:r>
      <w:r>
        <w:rPr>
          <w:color w:val="070707"/>
          <w:spacing w:val="-4"/>
          <w:w w:val="110"/>
          <w:position w:val="-9"/>
          <w:u w:val="thick" w:color="C8C8C8"/>
        </w:rPr>
        <w:t>632</w:t>
      </w:r>
      <w:r>
        <w:rPr>
          <w:color w:val="C8C8C8"/>
          <w:spacing w:val="-4"/>
          <w:w w:val="110"/>
          <w:position w:val="-9"/>
          <w:u w:val="none"/>
        </w:rPr>
        <w:t>1</w:t>
      </w:r>
      <w:r>
        <w:rPr>
          <w:color w:val="C8C8C8"/>
          <w:position w:val="-9"/>
          <w:u w:val="none"/>
        </w:rPr>
        <w:tab/>
      </w:r>
      <w:r>
        <w:rPr>
          <w:b/>
          <w:color w:val="070707"/>
          <w:spacing w:val="-2"/>
          <w:w w:val="110"/>
          <w:position w:val="-2"/>
          <w:sz w:val="21"/>
          <w:u w:val="none"/>
        </w:rPr>
        <w:t>2,233</w:t>
      </w:r>
    </w:p>
    <w:tbl>
      <w:tblPr>
        <w:tblW w:w="0" w:type="auto"/>
        <w:jc w:val="left"/>
        <w:tblInd w:w="163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387"/>
        <w:gridCol w:w="149"/>
        <w:gridCol w:w="1764"/>
        <w:gridCol w:w="2334"/>
        <w:gridCol w:w="1251"/>
        <w:gridCol w:w="76"/>
      </w:tblGrid>
      <w:tr>
        <w:trPr>
          <w:trHeight w:val="305" w:hRule="atLeast"/>
        </w:trPr>
        <w:tc>
          <w:tcPr>
            <w:tcW w:w="4387" w:type="dxa"/>
          </w:tcPr>
          <w:p>
            <w:pPr>
              <w:pStyle w:val="TableParagraph"/>
              <w:spacing w:line="246" w:lineRule="exact"/>
              <w:ind w:left="107"/>
              <w:rPr>
                <w:sz w:val="22"/>
              </w:rPr>
            </w:pPr>
            <w:r>
              <w:rPr>
                <w:color w:val="070707"/>
                <w:sz w:val="22"/>
              </w:rPr>
              <w:t>Street</w:t>
            </w:r>
            <w:r>
              <w:rPr>
                <w:color w:val="070707"/>
                <w:spacing w:val="9"/>
                <w:sz w:val="22"/>
              </w:rPr>
              <w:t> </w:t>
            </w:r>
            <w:r>
              <w:rPr>
                <w:color w:val="070707"/>
                <w:sz w:val="22"/>
              </w:rPr>
              <w:t>Scene</w:t>
            </w:r>
            <w:r>
              <w:rPr>
                <w:color w:val="070707"/>
                <w:spacing w:val="7"/>
                <w:sz w:val="22"/>
              </w:rPr>
              <w:t> </w:t>
            </w:r>
            <w:r>
              <w:rPr>
                <w:color w:val="070707"/>
                <w:spacing w:val="-2"/>
                <w:sz w:val="22"/>
              </w:rPr>
              <w:t>Services</w:t>
            </w:r>
          </w:p>
        </w:tc>
        <w:tc>
          <w:tcPr>
            <w:tcW w:w="149" w:type="dxa"/>
          </w:tcPr>
          <w:p>
            <w:pPr>
              <w:pStyle w:val="TableParagraph"/>
              <w:rPr>
                <w:rFonts w:ascii="Times New Roman"/>
                <w:sz w:val="20"/>
              </w:rPr>
            </w:pPr>
          </w:p>
        </w:tc>
        <w:tc>
          <w:tcPr>
            <w:tcW w:w="1764" w:type="dxa"/>
          </w:tcPr>
          <w:p>
            <w:pPr>
              <w:pStyle w:val="TableParagraph"/>
              <w:spacing w:before="26"/>
              <w:ind w:right="141"/>
              <w:jc w:val="right"/>
              <w:rPr>
                <w:sz w:val="22"/>
              </w:rPr>
            </w:pPr>
            <w:r>
              <w:rPr>
                <w:color w:val="070707"/>
                <w:spacing w:val="-2"/>
                <w:sz w:val="22"/>
              </w:rPr>
              <w:t>4,435</w:t>
            </w:r>
          </w:p>
        </w:tc>
        <w:tc>
          <w:tcPr>
            <w:tcW w:w="2334" w:type="dxa"/>
          </w:tcPr>
          <w:p>
            <w:pPr>
              <w:pStyle w:val="TableParagraph"/>
              <w:tabs>
                <w:tab w:val="left" w:leader="none" w:pos="1314"/>
                <w:tab w:val="left" w:leader="none" w:pos="1899"/>
              </w:tabs>
              <w:spacing w:before="26"/>
              <w:ind w:left="67"/>
              <w:rPr>
                <w:sz w:val="22"/>
              </w:rPr>
            </w:pPr>
            <w:r>
              <w:rPr>
                <w:color w:val="070707"/>
                <w:sz w:val="22"/>
                <w:u w:val="single" w:color="000000"/>
              </w:rPr>
              <w:tab/>
            </w:r>
            <w:r>
              <w:rPr>
                <w:color w:val="070707"/>
                <w:spacing w:val="-5"/>
                <w:sz w:val="22"/>
                <w:u w:val="single" w:color="000000"/>
              </w:rPr>
              <w:t>658</w:t>
            </w:r>
            <w:r>
              <w:rPr>
                <w:color w:val="070707"/>
                <w:sz w:val="22"/>
                <w:u w:val="single" w:color="000000"/>
              </w:rPr>
              <w:tab/>
            </w:r>
          </w:p>
        </w:tc>
        <w:tc>
          <w:tcPr>
            <w:tcW w:w="1251" w:type="dxa"/>
          </w:tcPr>
          <w:p>
            <w:pPr>
              <w:pStyle w:val="TableParagraph"/>
              <w:spacing w:before="31"/>
              <w:ind w:right="35"/>
              <w:jc w:val="right"/>
              <w:rPr>
                <w:b/>
                <w:sz w:val="21"/>
              </w:rPr>
            </w:pPr>
            <w:r>
              <w:rPr>
                <w:b/>
                <w:color w:val="070707"/>
                <w:spacing w:val="-4"/>
                <w:w w:val="105"/>
                <w:sz w:val="21"/>
              </w:rPr>
              <w:t>5,093</w:t>
            </w:r>
          </w:p>
        </w:tc>
        <w:tc>
          <w:tcPr>
            <w:tcW w:w="76" w:type="dxa"/>
            <w:vMerge w:val="restart"/>
            <w:tcBorders>
              <w:bottom w:val="single" w:color="000000" w:sz="6" w:space="0"/>
            </w:tcBorders>
          </w:tcPr>
          <w:p>
            <w:pPr>
              <w:pStyle w:val="TableParagraph"/>
              <w:rPr>
                <w:rFonts w:ascii="Times New Roman"/>
                <w:sz w:val="20"/>
              </w:rPr>
            </w:pPr>
          </w:p>
        </w:tc>
      </w:tr>
      <w:tr>
        <w:trPr>
          <w:trHeight w:val="322" w:hRule="atLeast"/>
        </w:trPr>
        <w:tc>
          <w:tcPr>
            <w:tcW w:w="4387" w:type="dxa"/>
          </w:tcPr>
          <w:p>
            <w:pPr>
              <w:pStyle w:val="TableParagraph"/>
              <w:spacing w:before="18"/>
              <w:ind w:left="100"/>
              <w:rPr>
                <w:sz w:val="22"/>
              </w:rPr>
            </w:pPr>
            <w:r>
              <w:rPr>
                <w:color w:val="070707"/>
                <w:sz w:val="22"/>
              </w:rPr>
              <w:t>Exceptional</w:t>
            </w:r>
            <w:r>
              <w:rPr>
                <w:color w:val="070707"/>
                <w:spacing w:val="8"/>
                <w:sz w:val="22"/>
              </w:rPr>
              <w:t> </w:t>
            </w:r>
            <w:r>
              <w:rPr>
                <w:color w:val="070707"/>
                <w:sz w:val="22"/>
              </w:rPr>
              <w:t>Items</w:t>
            </w:r>
            <w:r>
              <w:rPr>
                <w:color w:val="070707"/>
                <w:spacing w:val="-4"/>
                <w:sz w:val="22"/>
              </w:rPr>
              <w:t> </w:t>
            </w:r>
            <w:r>
              <w:rPr>
                <w:color w:val="070707"/>
                <w:sz w:val="22"/>
              </w:rPr>
              <w:t>-</w:t>
            </w:r>
            <w:r>
              <w:rPr>
                <w:color w:val="070707"/>
                <w:spacing w:val="50"/>
                <w:sz w:val="22"/>
              </w:rPr>
              <w:t> </w:t>
            </w:r>
            <w:r>
              <w:rPr>
                <w:color w:val="070707"/>
                <w:sz w:val="22"/>
              </w:rPr>
              <w:t>Covid-</w:t>
            </w:r>
            <w:r>
              <w:rPr>
                <w:color w:val="070707"/>
                <w:spacing w:val="-7"/>
                <w:sz w:val="22"/>
              </w:rPr>
              <w:t>19</w:t>
            </w:r>
          </w:p>
        </w:tc>
        <w:tc>
          <w:tcPr>
            <w:tcW w:w="149" w:type="dxa"/>
          </w:tcPr>
          <w:p>
            <w:pPr>
              <w:pStyle w:val="TableParagraph"/>
              <w:rPr>
                <w:rFonts w:ascii="Times New Roman"/>
                <w:sz w:val="20"/>
              </w:rPr>
            </w:pPr>
          </w:p>
        </w:tc>
        <w:tc>
          <w:tcPr>
            <w:tcW w:w="1764" w:type="dxa"/>
          </w:tcPr>
          <w:p>
            <w:pPr>
              <w:pStyle w:val="TableParagraph"/>
              <w:spacing w:before="52" w:line="250" w:lineRule="exact"/>
              <w:ind w:right="144"/>
              <w:jc w:val="right"/>
              <w:rPr>
                <w:sz w:val="22"/>
              </w:rPr>
            </w:pPr>
            <w:r>
              <w:rPr>
                <w:color w:val="070707"/>
                <w:spacing w:val="-5"/>
                <w:sz w:val="22"/>
              </w:rPr>
              <w:t>165</w:t>
            </w:r>
          </w:p>
        </w:tc>
        <w:tc>
          <w:tcPr>
            <w:tcW w:w="2334" w:type="dxa"/>
          </w:tcPr>
          <w:p>
            <w:pPr>
              <w:pStyle w:val="TableParagraph"/>
              <w:tabs>
                <w:tab w:val="left" w:leader="none" w:pos="1954"/>
              </w:tabs>
              <w:spacing w:before="52" w:line="250" w:lineRule="exact"/>
              <w:ind w:left="67"/>
              <w:rPr>
                <w:sz w:val="22"/>
              </w:rPr>
            </w:pPr>
            <w:r>
              <w:rPr>
                <w:color w:val="070707"/>
                <w:w w:val="100"/>
                <w:sz w:val="22"/>
                <w:u w:val="single" w:color="000000"/>
              </w:rPr>
              <w:t> </w:t>
            </w:r>
            <w:r>
              <w:rPr>
                <w:color w:val="070707"/>
                <w:sz w:val="22"/>
                <w:u w:val="single" w:color="000000"/>
              </w:rPr>
              <w:tab/>
            </w:r>
          </w:p>
        </w:tc>
        <w:tc>
          <w:tcPr>
            <w:tcW w:w="1251" w:type="dxa"/>
          </w:tcPr>
          <w:p>
            <w:pPr>
              <w:pStyle w:val="TableParagraph"/>
              <w:spacing w:before="52"/>
              <w:ind w:right="32"/>
              <w:jc w:val="right"/>
              <w:rPr>
                <w:b/>
                <w:sz w:val="21"/>
              </w:rPr>
            </w:pPr>
            <w:r>
              <w:rPr>
                <w:b/>
                <w:color w:val="070707"/>
                <w:spacing w:val="-5"/>
                <w:w w:val="105"/>
                <w:sz w:val="21"/>
              </w:rPr>
              <w:t>165</w:t>
            </w:r>
          </w:p>
        </w:tc>
        <w:tc>
          <w:tcPr>
            <w:tcW w:w="76" w:type="dxa"/>
            <w:vMerge/>
            <w:tcBorders>
              <w:top w:val="nil"/>
              <w:bottom w:val="single" w:color="000000" w:sz="6" w:space="0"/>
            </w:tcBorders>
          </w:tcPr>
          <w:p>
            <w:pPr>
              <w:rPr>
                <w:sz w:val="2"/>
                <w:szCs w:val="2"/>
              </w:rPr>
            </w:pPr>
          </w:p>
        </w:tc>
      </w:tr>
      <w:tr>
        <w:trPr>
          <w:trHeight w:val="1153" w:hRule="atLeast"/>
        </w:trPr>
        <w:tc>
          <w:tcPr>
            <w:tcW w:w="4387" w:type="dxa"/>
          </w:tcPr>
          <w:p>
            <w:pPr>
              <w:pStyle w:val="TableParagraph"/>
              <w:spacing w:line="242" w:lineRule="exact"/>
              <w:ind w:left="100"/>
              <w:rPr>
                <w:sz w:val="22"/>
              </w:rPr>
            </w:pPr>
            <w:r>
              <w:rPr>
                <w:color w:val="070707"/>
                <w:sz w:val="22"/>
              </w:rPr>
              <w:t>Exceptional</w:t>
            </w:r>
            <w:r>
              <w:rPr>
                <w:color w:val="070707"/>
                <w:spacing w:val="11"/>
                <w:sz w:val="22"/>
              </w:rPr>
              <w:t> </w:t>
            </w:r>
            <w:r>
              <w:rPr>
                <w:color w:val="070707"/>
                <w:sz w:val="22"/>
              </w:rPr>
              <w:t>Items</w:t>
            </w:r>
            <w:r>
              <w:rPr>
                <w:color w:val="070707"/>
                <w:spacing w:val="-6"/>
                <w:sz w:val="22"/>
              </w:rPr>
              <w:t> </w:t>
            </w:r>
            <w:r>
              <w:rPr>
                <w:color w:val="070707"/>
                <w:sz w:val="22"/>
              </w:rPr>
              <w:t>-</w:t>
            </w:r>
            <w:r>
              <w:rPr>
                <w:color w:val="070707"/>
                <w:spacing w:val="50"/>
                <w:sz w:val="22"/>
              </w:rPr>
              <w:t> </w:t>
            </w:r>
            <w:r>
              <w:rPr>
                <w:color w:val="070707"/>
                <w:sz w:val="22"/>
              </w:rPr>
              <w:t>Covid-19</w:t>
            </w:r>
            <w:r>
              <w:rPr>
                <w:color w:val="070707"/>
                <w:spacing w:val="7"/>
                <w:sz w:val="22"/>
              </w:rPr>
              <w:t> </w:t>
            </w:r>
            <w:r>
              <w:rPr>
                <w:color w:val="070707"/>
                <w:spacing w:val="-2"/>
                <w:sz w:val="22"/>
              </w:rPr>
              <w:t>Business</w:t>
            </w:r>
          </w:p>
          <w:p>
            <w:pPr>
              <w:pStyle w:val="TableParagraph"/>
              <w:spacing w:before="1"/>
              <w:ind w:left="99"/>
              <w:rPr>
                <w:sz w:val="22"/>
              </w:rPr>
            </w:pPr>
            <w:r>
              <w:rPr>
                <w:color w:val="070707"/>
                <w:w w:val="105"/>
                <w:sz w:val="22"/>
              </w:rPr>
              <w:t>§upport</w:t>
            </w:r>
            <w:r>
              <w:rPr>
                <w:color w:val="070707"/>
                <w:spacing w:val="-7"/>
                <w:w w:val="105"/>
                <w:sz w:val="22"/>
              </w:rPr>
              <w:t> </w:t>
            </w:r>
            <w:r>
              <w:rPr>
                <w:color w:val="070707"/>
                <w:spacing w:val="-2"/>
                <w:w w:val="105"/>
                <w:sz w:val="22"/>
              </w:rPr>
              <w:t>Grants</w:t>
            </w:r>
          </w:p>
          <w:p>
            <w:pPr>
              <w:pStyle w:val="TableParagraph"/>
              <w:spacing w:before="55"/>
              <w:ind w:left="90"/>
              <w:rPr>
                <w:sz w:val="22"/>
              </w:rPr>
            </w:pPr>
            <w:r>
              <w:rPr>
                <w:color w:val="070707"/>
                <w:sz w:val="22"/>
              </w:rPr>
              <w:t>Exceptional</w:t>
            </w:r>
            <w:r>
              <w:rPr>
                <w:color w:val="070707"/>
                <w:spacing w:val="6"/>
                <w:sz w:val="22"/>
              </w:rPr>
              <w:t> </w:t>
            </w:r>
            <w:r>
              <w:rPr>
                <w:color w:val="070707"/>
                <w:sz w:val="22"/>
              </w:rPr>
              <w:t>Items</w:t>
            </w:r>
            <w:r>
              <w:rPr>
                <w:color w:val="070707"/>
                <w:spacing w:val="-5"/>
                <w:sz w:val="22"/>
              </w:rPr>
              <w:t> </w:t>
            </w:r>
            <w:r>
              <w:rPr>
                <w:color w:val="070707"/>
                <w:sz w:val="22"/>
              </w:rPr>
              <w:t>-</w:t>
            </w:r>
            <w:r>
              <w:rPr>
                <w:color w:val="070707"/>
                <w:spacing w:val="48"/>
                <w:sz w:val="22"/>
              </w:rPr>
              <w:t> </w:t>
            </w:r>
            <w:r>
              <w:rPr>
                <w:color w:val="070707"/>
                <w:sz w:val="22"/>
              </w:rPr>
              <w:t>Covid-19</w:t>
            </w:r>
            <w:r>
              <w:rPr>
                <w:color w:val="070707"/>
                <w:spacing w:val="15"/>
                <w:sz w:val="22"/>
              </w:rPr>
              <w:t> </w:t>
            </w:r>
            <w:r>
              <w:rPr>
                <w:color w:val="070707"/>
                <w:sz w:val="22"/>
              </w:rPr>
              <w:t>Self</w:t>
            </w:r>
            <w:r>
              <w:rPr>
                <w:color w:val="070707"/>
                <w:spacing w:val="-4"/>
                <w:sz w:val="22"/>
              </w:rPr>
              <w:t> </w:t>
            </w:r>
            <w:r>
              <w:rPr>
                <w:color w:val="070707"/>
                <w:spacing w:val="-2"/>
                <w:sz w:val="22"/>
              </w:rPr>
              <w:t>Isolation</w:t>
            </w:r>
          </w:p>
        </w:tc>
        <w:tc>
          <w:tcPr>
            <w:tcW w:w="149" w:type="dxa"/>
          </w:tcPr>
          <w:p>
            <w:pPr>
              <w:pStyle w:val="TableParagraph"/>
              <w:rPr>
                <w:rFonts w:ascii="Times New Roman"/>
                <w:sz w:val="20"/>
              </w:rPr>
            </w:pPr>
          </w:p>
        </w:tc>
        <w:tc>
          <w:tcPr>
            <w:tcW w:w="1764" w:type="dxa"/>
            <w:tcBorders>
              <w:bottom w:val="single" w:color="000000" w:sz="6" w:space="0"/>
            </w:tcBorders>
          </w:tcPr>
          <w:p>
            <w:pPr>
              <w:pStyle w:val="TableParagraph"/>
              <w:rPr>
                <w:rFonts w:ascii="Times New Roman"/>
                <w:sz w:val="20"/>
              </w:rPr>
            </w:pPr>
          </w:p>
        </w:tc>
        <w:tc>
          <w:tcPr>
            <w:tcW w:w="2334" w:type="dxa"/>
            <w:tcBorders>
              <w:bottom w:val="single" w:color="000000" w:sz="6" w:space="0"/>
            </w:tcBorders>
          </w:tcPr>
          <w:p>
            <w:pPr>
              <w:pStyle w:val="TableParagraph"/>
              <w:tabs>
                <w:tab w:val="left" w:leader="none" w:pos="1595"/>
              </w:tabs>
              <w:ind w:left="67"/>
              <w:rPr>
                <w:sz w:val="51"/>
              </w:rPr>
            </w:pPr>
            <w:r>
              <w:rPr>
                <w:color w:val="383838"/>
                <w:sz w:val="51"/>
                <w:u w:val="single" w:color="000000"/>
              </w:rPr>
              <w:tab/>
            </w:r>
            <w:r>
              <w:rPr>
                <w:color w:val="383838"/>
                <w:spacing w:val="66"/>
                <w:w w:val="50"/>
                <w:sz w:val="51"/>
                <w:u w:val="single" w:color="000000"/>
              </w:rPr>
              <w:t>-</w:t>
            </w:r>
            <w:r>
              <w:rPr>
                <w:color w:val="C8C8C8"/>
                <w:spacing w:val="-10"/>
                <w:w w:val="75"/>
                <w:sz w:val="51"/>
                <w:u w:val="single" w:color="000000"/>
              </w:rPr>
              <w:t>l</w:t>
            </w:r>
          </w:p>
        </w:tc>
        <w:tc>
          <w:tcPr>
            <w:tcW w:w="1251" w:type="dxa"/>
            <w:tcBorders>
              <w:bottom w:val="single" w:color="000000" w:sz="6" w:space="0"/>
            </w:tcBorders>
          </w:tcPr>
          <w:p>
            <w:pPr>
              <w:pStyle w:val="TableParagraph"/>
              <w:rPr>
                <w:rFonts w:ascii="Times New Roman"/>
                <w:sz w:val="20"/>
              </w:rPr>
            </w:pPr>
          </w:p>
        </w:tc>
        <w:tc>
          <w:tcPr>
            <w:tcW w:w="76" w:type="dxa"/>
            <w:vMerge/>
            <w:tcBorders>
              <w:top w:val="nil"/>
              <w:bottom w:val="single" w:color="000000" w:sz="6" w:space="0"/>
            </w:tcBorders>
          </w:tcPr>
          <w:p>
            <w:pPr>
              <w:rPr>
                <w:sz w:val="2"/>
                <w:szCs w:val="2"/>
              </w:rPr>
            </w:pPr>
          </w:p>
        </w:tc>
      </w:tr>
      <w:tr>
        <w:trPr>
          <w:trHeight w:val="609" w:hRule="atLeast"/>
        </w:trPr>
        <w:tc>
          <w:tcPr>
            <w:tcW w:w="4387" w:type="dxa"/>
          </w:tcPr>
          <w:p>
            <w:pPr>
              <w:pStyle w:val="TableParagraph"/>
              <w:spacing w:before="60"/>
              <w:ind w:left="84"/>
              <w:rPr>
                <w:b/>
                <w:sz w:val="21"/>
              </w:rPr>
            </w:pPr>
            <w:r>
              <w:rPr>
                <w:b/>
                <w:color w:val="070707"/>
                <w:spacing w:val="-2"/>
                <w:w w:val="110"/>
                <w:sz w:val="21"/>
              </w:rPr>
              <w:t>Total</w:t>
            </w:r>
          </w:p>
        </w:tc>
        <w:tc>
          <w:tcPr>
            <w:tcW w:w="149" w:type="dxa"/>
          </w:tcPr>
          <w:p>
            <w:pPr>
              <w:pStyle w:val="TableParagraph"/>
              <w:rPr>
                <w:rFonts w:ascii="Times New Roman"/>
                <w:sz w:val="20"/>
              </w:rPr>
            </w:pPr>
          </w:p>
        </w:tc>
        <w:tc>
          <w:tcPr>
            <w:tcW w:w="1764" w:type="dxa"/>
            <w:tcBorders>
              <w:top w:val="single" w:color="000000" w:sz="6" w:space="0"/>
            </w:tcBorders>
          </w:tcPr>
          <w:p>
            <w:pPr>
              <w:pStyle w:val="TableParagraph"/>
              <w:spacing w:before="93"/>
              <w:ind w:right="162"/>
              <w:jc w:val="right"/>
              <w:rPr>
                <w:b/>
                <w:sz w:val="21"/>
              </w:rPr>
            </w:pPr>
            <w:r>
              <w:rPr>
                <w:b/>
                <w:color w:val="070707"/>
                <w:spacing w:val="-2"/>
                <w:w w:val="105"/>
                <w:sz w:val="21"/>
              </w:rPr>
              <w:t>13,779</w:t>
            </w:r>
          </w:p>
        </w:tc>
        <w:tc>
          <w:tcPr>
            <w:tcW w:w="2334" w:type="dxa"/>
            <w:tcBorders>
              <w:top w:val="single" w:color="000000" w:sz="6" w:space="0"/>
            </w:tcBorders>
          </w:tcPr>
          <w:p>
            <w:pPr>
              <w:pStyle w:val="TableParagraph"/>
              <w:spacing w:before="93"/>
              <w:ind w:left="1124"/>
              <w:rPr>
                <w:b/>
                <w:sz w:val="21"/>
              </w:rPr>
            </w:pPr>
            <w:r>
              <w:rPr>
                <w:b/>
                <w:color w:val="070707"/>
                <w:spacing w:val="-4"/>
                <w:w w:val="105"/>
                <w:sz w:val="21"/>
              </w:rPr>
              <w:t>2,482</w:t>
            </w:r>
          </w:p>
        </w:tc>
        <w:tc>
          <w:tcPr>
            <w:tcW w:w="1251" w:type="dxa"/>
            <w:tcBorders>
              <w:top w:val="single" w:color="000000" w:sz="6" w:space="0"/>
            </w:tcBorders>
          </w:tcPr>
          <w:p>
            <w:pPr>
              <w:pStyle w:val="TableParagraph"/>
              <w:spacing w:before="88"/>
              <w:ind w:right="39"/>
              <w:jc w:val="right"/>
              <w:rPr>
                <w:b/>
                <w:sz w:val="21"/>
              </w:rPr>
            </w:pPr>
            <w:r>
              <w:rPr>
                <w:b/>
                <w:color w:val="070707"/>
                <w:spacing w:val="-2"/>
                <w:w w:val="105"/>
                <w:sz w:val="21"/>
              </w:rPr>
              <w:t>16,261</w:t>
            </w:r>
          </w:p>
        </w:tc>
        <w:tc>
          <w:tcPr>
            <w:tcW w:w="76" w:type="dxa"/>
            <w:vMerge/>
            <w:tcBorders>
              <w:top w:val="nil"/>
              <w:bottom w:val="single" w:color="000000" w:sz="6" w:space="0"/>
            </w:tcBorders>
          </w:tcPr>
          <w:p>
            <w:pPr>
              <w:rPr>
                <w:sz w:val="2"/>
                <w:szCs w:val="2"/>
              </w:rPr>
            </w:pPr>
          </w:p>
        </w:tc>
      </w:tr>
      <w:tr>
        <w:trPr>
          <w:trHeight w:val="874" w:hRule="atLeast"/>
        </w:trPr>
        <w:tc>
          <w:tcPr>
            <w:tcW w:w="4387" w:type="dxa"/>
          </w:tcPr>
          <w:p>
            <w:pPr>
              <w:pStyle w:val="TableParagraph"/>
              <w:spacing w:before="14"/>
              <w:rPr>
                <w:b/>
                <w:sz w:val="22"/>
              </w:rPr>
            </w:pPr>
          </w:p>
          <w:p>
            <w:pPr>
              <w:pStyle w:val="TableParagraph"/>
              <w:ind w:left="78"/>
              <w:rPr>
                <w:sz w:val="22"/>
              </w:rPr>
            </w:pPr>
            <w:r>
              <w:rPr>
                <w:color w:val="070707"/>
                <w:sz w:val="22"/>
              </w:rPr>
              <w:t>Other</w:t>
            </w:r>
            <w:r>
              <w:rPr>
                <w:color w:val="070707"/>
                <w:spacing w:val="4"/>
                <w:sz w:val="22"/>
              </w:rPr>
              <w:t> </w:t>
            </w:r>
            <w:r>
              <w:rPr>
                <w:color w:val="070707"/>
                <w:sz w:val="22"/>
              </w:rPr>
              <w:t>Income</w:t>
            </w:r>
            <w:r>
              <w:rPr>
                <w:color w:val="070707"/>
                <w:spacing w:val="14"/>
                <w:sz w:val="22"/>
              </w:rPr>
              <w:t> </w:t>
            </w:r>
            <w:r>
              <w:rPr>
                <w:color w:val="070707"/>
                <w:sz w:val="22"/>
              </w:rPr>
              <w:t>and</w:t>
            </w:r>
            <w:r>
              <w:rPr>
                <w:color w:val="070707"/>
                <w:spacing w:val="-2"/>
                <w:sz w:val="22"/>
              </w:rPr>
              <w:t> Expenditure</w:t>
            </w:r>
          </w:p>
        </w:tc>
        <w:tc>
          <w:tcPr>
            <w:tcW w:w="149" w:type="dxa"/>
            <w:tcBorders>
              <w:bottom w:val="single" w:color="000000" w:sz="6" w:space="0"/>
            </w:tcBorders>
          </w:tcPr>
          <w:p>
            <w:pPr>
              <w:pStyle w:val="TableParagraph"/>
              <w:rPr>
                <w:rFonts w:ascii="Times New Roman"/>
                <w:sz w:val="20"/>
              </w:rPr>
            </w:pPr>
          </w:p>
        </w:tc>
        <w:tc>
          <w:tcPr>
            <w:tcW w:w="1764" w:type="dxa"/>
            <w:tcBorders>
              <w:bottom w:val="single" w:color="000000" w:sz="6" w:space="0"/>
            </w:tcBorders>
          </w:tcPr>
          <w:p>
            <w:pPr>
              <w:pStyle w:val="TableParagraph"/>
              <w:spacing w:before="47"/>
              <w:rPr>
                <w:b/>
                <w:sz w:val="22"/>
              </w:rPr>
            </w:pPr>
          </w:p>
          <w:p>
            <w:pPr>
              <w:pStyle w:val="TableParagraph"/>
              <w:spacing w:before="1"/>
              <w:ind w:right="178"/>
              <w:jc w:val="right"/>
              <w:rPr>
                <w:sz w:val="22"/>
              </w:rPr>
            </w:pPr>
            <w:r>
              <w:rPr>
                <w:color w:val="070707"/>
                <w:spacing w:val="-2"/>
                <w:sz w:val="22"/>
              </w:rPr>
              <w:t>(10,041)</w:t>
            </w:r>
          </w:p>
        </w:tc>
        <w:tc>
          <w:tcPr>
            <w:tcW w:w="2334" w:type="dxa"/>
            <w:tcBorders>
              <w:bottom w:val="single" w:color="000000" w:sz="6" w:space="0"/>
            </w:tcBorders>
          </w:tcPr>
          <w:p>
            <w:pPr>
              <w:pStyle w:val="TableParagraph"/>
              <w:spacing w:before="43"/>
              <w:rPr>
                <w:b/>
                <w:sz w:val="22"/>
              </w:rPr>
            </w:pPr>
          </w:p>
          <w:p>
            <w:pPr>
              <w:pStyle w:val="TableParagraph"/>
              <w:ind w:left="842"/>
              <w:rPr>
                <w:sz w:val="22"/>
              </w:rPr>
            </w:pPr>
            <w:r>
              <w:rPr>
                <w:color w:val="070707"/>
                <w:spacing w:val="-2"/>
                <w:sz w:val="22"/>
              </w:rPr>
              <w:t>(16,161)</w:t>
            </w:r>
          </w:p>
        </w:tc>
        <w:tc>
          <w:tcPr>
            <w:tcW w:w="1251" w:type="dxa"/>
            <w:tcBorders>
              <w:bottom w:val="single" w:color="000000" w:sz="6" w:space="0"/>
            </w:tcBorders>
          </w:tcPr>
          <w:p>
            <w:pPr>
              <w:pStyle w:val="TableParagraph"/>
              <w:spacing w:before="59"/>
              <w:rPr>
                <w:b/>
                <w:sz w:val="21"/>
              </w:rPr>
            </w:pPr>
          </w:p>
          <w:p>
            <w:pPr>
              <w:pStyle w:val="TableParagraph"/>
              <w:ind w:right="45"/>
              <w:jc w:val="right"/>
              <w:rPr>
                <w:b/>
                <w:sz w:val="21"/>
              </w:rPr>
            </w:pPr>
            <w:r>
              <w:rPr>
                <w:b/>
                <w:color w:val="070707"/>
                <w:spacing w:val="-2"/>
                <w:w w:val="105"/>
                <w:sz w:val="21"/>
              </w:rPr>
              <w:t>(26,202)</w:t>
            </w:r>
          </w:p>
        </w:tc>
        <w:tc>
          <w:tcPr>
            <w:tcW w:w="76" w:type="dxa"/>
            <w:vMerge/>
            <w:tcBorders>
              <w:top w:val="nil"/>
              <w:bottom w:val="single" w:color="000000" w:sz="6" w:space="0"/>
            </w:tcBorders>
          </w:tcPr>
          <w:p>
            <w:pPr>
              <w:rPr>
                <w:sz w:val="2"/>
                <w:szCs w:val="2"/>
              </w:rPr>
            </w:pPr>
          </w:p>
        </w:tc>
      </w:tr>
      <w:tr>
        <w:trPr>
          <w:trHeight w:val="258" w:hRule="atLeast"/>
        </w:trPr>
        <w:tc>
          <w:tcPr>
            <w:tcW w:w="4387" w:type="dxa"/>
          </w:tcPr>
          <w:p>
            <w:pPr>
              <w:pStyle w:val="TableParagraph"/>
              <w:spacing w:before="16" w:line="222" w:lineRule="exact"/>
              <w:ind w:left="72"/>
              <w:rPr>
                <w:b/>
                <w:sz w:val="21"/>
              </w:rPr>
            </w:pPr>
            <w:r>
              <w:rPr>
                <w:b/>
                <w:color w:val="070707"/>
                <w:w w:val="105"/>
                <w:sz w:val="21"/>
              </w:rPr>
              <w:t>(Surplus)/</w:t>
            </w:r>
            <w:r>
              <w:rPr>
                <w:b/>
                <w:color w:val="070707"/>
                <w:spacing w:val="27"/>
                <w:w w:val="105"/>
                <w:sz w:val="21"/>
              </w:rPr>
              <w:t> </w:t>
            </w:r>
            <w:r>
              <w:rPr>
                <w:b/>
                <w:color w:val="070707"/>
                <w:w w:val="105"/>
                <w:sz w:val="21"/>
              </w:rPr>
              <w:t>Deficit</w:t>
            </w:r>
            <w:r>
              <w:rPr>
                <w:b/>
                <w:color w:val="070707"/>
                <w:spacing w:val="14"/>
                <w:w w:val="105"/>
                <w:sz w:val="21"/>
              </w:rPr>
              <w:t> </w:t>
            </w:r>
            <w:r>
              <w:rPr>
                <w:b/>
                <w:color w:val="070707"/>
                <w:w w:val="105"/>
                <w:sz w:val="21"/>
              </w:rPr>
              <w:t>on</w:t>
            </w:r>
            <w:r>
              <w:rPr>
                <w:b/>
                <w:color w:val="070707"/>
                <w:spacing w:val="10"/>
                <w:w w:val="105"/>
                <w:sz w:val="21"/>
              </w:rPr>
              <w:t> </w:t>
            </w:r>
            <w:r>
              <w:rPr>
                <w:b/>
                <w:color w:val="070707"/>
                <w:w w:val="105"/>
                <w:sz w:val="21"/>
              </w:rPr>
              <w:t>Provision</w:t>
            </w:r>
            <w:r>
              <w:rPr>
                <w:b/>
                <w:color w:val="070707"/>
                <w:spacing w:val="21"/>
                <w:w w:val="105"/>
                <w:sz w:val="21"/>
              </w:rPr>
              <w:t> </w:t>
            </w:r>
            <w:r>
              <w:rPr>
                <w:b/>
                <w:color w:val="070707"/>
                <w:spacing w:val="-5"/>
                <w:w w:val="105"/>
                <w:sz w:val="21"/>
              </w:rPr>
              <w:t>of</w:t>
            </w:r>
          </w:p>
        </w:tc>
        <w:tc>
          <w:tcPr>
            <w:tcW w:w="149" w:type="dxa"/>
            <w:tcBorders>
              <w:top w:val="single" w:color="000000" w:sz="6" w:space="0"/>
            </w:tcBorders>
          </w:tcPr>
          <w:p>
            <w:pPr>
              <w:pStyle w:val="TableParagraph"/>
              <w:rPr>
                <w:rFonts w:ascii="Times New Roman"/>
                <w:sz w:val="18"/>
              </w:rPr>
            </w:pPr>
          </w:p>
        </w:tc>
        <w:tc>
          <w:tcPr>
            <w:tcW w:w="1764" w:type="dxa"/>
            <w:tcBorders>
              <w:top w:val="single" w:color="000000" w:sz="6" w:space="0"/>
            </w:tcBorders>
          </w:tcPr>
          <w:p>
            <w:pPr>
              <w:pStyle w:val="TableParagraph"/>
              <w:rPr>
                <w:rFonts w:ascii="Times New Roman"/>
                <w:sz w:val="18"/>
              </w:rPr>
            </w:pPr>
          </w:p>
        </w:tc>
        <w:tc>
          <w:tcPr>
            <w:tcW w:w="2334" w:type="dxa"/>
            <w:tcBorders>
              <w:top w:val="single" w:color="000000" w:sz="6" w:space="0"/>
            </w:tcBorders>
          </w:tcPr>
          <w:p>
            <w:pPr>
              <w:pStyle w:val="TableParagraph"/>
              <w:rPr>
                <w:rFonts w:ascii="Times New Roman"/>
                <w:sz w:val="18"/>
              </w:rPr>
            </w:pPr>
          </w:p>
        </w:tc>
        <w:tc>
          <w:tcPr>
            <w:tcW w:w="1251" w:type="dxa"/>
            <w:tcBorders>
              <w:top w:val="single" w:color="000000" w:sz="6" w:space="0"/>
            </w:tcBorders>
          </w:tcPr>
          <w:p>
            <w:pPr>
              <w:pStyle w:val="TableParagraph"/>
              <w:rPr>
                <w:rFonts w:ascii="Times New Roman"/>
                <w:sz w:val="18"/>
              </w:rPr>
            </w:pPr>
          </w:p>
        </w:tc>
        <w:tc>
          <w:tcPr>
            <w:tcW w:w="76" w:type="dxa"/>
            <w:tcBorders>
              <w:top w:val="single" w:color="000000" w:sz="6" w:space="0"/>
            </w:tcBorders>
          </w:tcPr>
          <w:p>
            <w:pPr>
              <w:pStyle w:val="TableParagraph"/>
              <w:rPr>
                <w:rFonts w:ascii="Times New Roman"/>
                <w:sz w:val="18"/>
              </w:rPr>
            </w:pPr>
          </w:p>
        </w:tc>
      </w:tr>
      <w:tr>
        <w:trPr>
          <w:trHeight w:val="249" w:hRule="atLeast"/>
        </w:trPr>
        <w:tc>
          <w:tcPr>
            <w:tcW w:w="4387" w:type="dxa"/>
          </w:tcPr>
          <w:p>
            <w:pPr>
              <w:pStyle w:val="TableParagraph"/>
              <w:spacing w:line="215" w:lineRule="exact"/>
              <w:ind w:left="66"/>
              <w:rPr>
                <w:b/>
                <w:sz w:val="21"/>
              </w:rPr>
            </w:pPr>
            <w:r>
              <w:rPr>
                <w:b/>
                <w:color w:val="070707"/>
                <w:spacing w:val="-2"/>
                <w:w w:val="105"/>
                <w:sz w:val="21"/>
              </w:rPr>
              <w:t>Services</w:t>
            </w:r>
          </w:p>
        </w:tc>
        <w:tc>
          <w:tcPr>
            <w:tcW w:w="4247" w:type="dxa"/>
            <w:gridSpan w:val="3"/>
          </w:tcPr>
          <w:p>
            <w:pPr>
              <w:pStyle w:val="TableParagraph"/>
              <w:tabs>
                <w:tab w:val="left" w:leader="none" w:pos="1193"/>
                <w:tab w:val="left" w:leader="none" w:pos="2748"/>
              </w:tabs>
              <w:spacing w:line="215" w:lineRule="exact"/>
              <w:ind w:left="-1"/>
              <w:rPr>
                <w:b/>
                <w:sz w:val="21"/>
              </w:rPr>
            </w:pPr>
            <w:r>
              <w:rPr>
                <w:b/>
                <w:color w:val="070707"/>
                <w:sz w:val="21"/>
                <w:u w:val="single" w:color="000000"/>
              </w:rPr>
              <w:tab/>
            </w:r>
            <w:r>
              <w:rPr>
                <w:b/>
                <w:color w:val="070707"/>
                <w:spacing w:val="-2"/>
                <w:w w:val="105"/>
                <w:sz w:val="21"/>
                <w:u w:val="single" w:color="000000"/>
              </w:rPr>
              <w:t>3,738</w:t>
            </w:r>
            <w:r>
              <w:rPr>
                <w:b/>
                <w:color w:val="070707"/>
                <w:sz w:val="21"/>
                <w:u w:val="single" w:color="000000"/>
              </w:rPr>
              <w:tab/>
            </w:r>
            <w:r>
              <w:rPr>
                <w:b/>
                <w:color w:val="161616"/>
                <w:spacing w:val="-2"/>
                <w:w w:val="105"/>
                <w:sz w:val="21"/>
                <w:u w:val="double" w:color="161616"/>
              </w:rPr>
              <w:t>(13,679)</w:t>
            </w:r>
          </w:p>
        </w:tc>
        <w:tc>
          <w:tcPr>
            <w:tcW w:w="1327" w:type="dxa"/>
            <w:gridSpan w:val="2"/>
          </w:tcPr>
          <w:p>
            <w:pPr>
              <w:pStyle w:val="TableParagraph"/>
              <w:spacing w:line="215" w:lineRule="exact"/>
              <w:ind w:left="501"/>
              <w:rPr>
                <w:b/>
                <w:sz w:val="21"/>
              </w:rPr>
            </w:pPr>
            <w:r>
              <w:rPr>
                <w:b/>
                <w:color w:val="070707"/>
                <w:spacing w:val="-2"/>
                <w:w w:val="105"/>
                <w:sz w:val="21"/>
                <w:u w:val="double" w:color="070707"/>
              </w:rPr>
              <w:t>(9,941)</w:t>
            </w:r>
          </w:p>
        </w:tc>
      </w:tr>
      <w:tr>
        <w:trPr>
          <w:trHeight w:val="717" w:hRule="atLeast"/>
        </w:trPr>
        <w:tc>
          <w:tcPr>
            <w:tcW w:w="4387" w:type="dxa"/>
          </w:tcPr>
          <w:p>
            <w:pPr>
              <w:pStyle w:val="TableParagraph"/>
              <w:spacing w:before="184"/>
              <w:rPr>
                <w:b/>
                <w:sz w:val="21"/>
              </w:rPr>
            </w:pPr>
          </w:p>
          <w:p>
            <w:pPr>
              <w:pStyle w:val="TableParagraph"/>
              <w:spacing w:before="1"/>
              <w:ind w:left="60"/>
              <w:rPr>
                <w:b/>
                <w:sz w:val="21"/>
              </w:rPr>
            </w:pPr>
            <w:r>
              <w:rPr>
                <w:b/>
                <w:color w:val="070707"/>
                <w:w w:val="105"/>
                <w:sz w:val="21"/>
              </w:rPr>
              <w:t>Opening</w:t>
            </w:r>
            <w:r>
              <w:rPr>
                <w:b/>
                <w:color w:val="070707"/>
                <w:spacing w:val="3"/>
                <w:w w:val="105"/>
                <w:sz w:val="21"/>
              </w:rPr>
              <w:t> </w:t>
            </w:r>
            <w:r>
              <w:rPr>
                <w:b/>
                <w:color w:val="070707"/>
                <w:w w:val="105"/>
                <w:sz w:val="21"/>
              </w:rPr>
              <w:t>Balance</w:t>
            </w:r>
            <w:r>
              <w:rPr>
                <w:b/>
                <w:color w:val="070707"/>
                <w:spacing w:val="5"/>
                <w:w w:val="105"/>
                <w:sz w:val="21"/>
              </w:rPr>
              <w:t> </w:t>
            </w:r>
            <w:r>
              <w:rPr>
                <w:b/>
                <w:color w:val="070707"/>
                <w:w w:val="105"/>
                <w:sz w:val="21"/>
              </w:rPr>
              <w:t>on</w:t>
            </w:r>
            <w:r>
              <w:rPr>
                <w:b/>
                <w:color w:val="070707"/>
                <w:spacing w:val="-3"/>
                <w:w w:val="105"/>
                <w:sz w:val="21"/>
              </w:rPr>
              <w:t> </w:t>
            </w:r>
            <w:r>
              <w:rPr>
                <w:b/>
                <w:color w:val="070707"/>
                <w:w w:val="105"/>
                <w:sz w:val="21"/>
              </w:rPr>
              <w:t>the</w:t>
            </w:r>
            <w:r>
              <w:rPr>
                <w:b/>
                <w:color w:val="070707"/>
                <w:spacing w:val="-4"/>
                <w:w w:val="105"/>
                <w:sz w:val="21"/>
              </w:rPr>
              <w:t> </w:t>
            </w:r>
            <w:r>
              <w:rPr>
                <w:b/>
                <w:color w:val="070707"/>
                <w:w w:val="105"/>
                <w:sz w:val="21"/>
              </w:rPr>
              <w:t>General</w:t>
            </w:r>
            <w:r>
              <w:rPr>
                <w:b/>
                <w:color w:val="070707"/>
                <w:spacing w:val="9"/>
                <w:w w:val="105"/>
                <w:sz w:val="21"/>
              </w:rPr>
              <w:t> </w:t>
            </w:r>
            <w:r>
              <w:rPr>
                <w:b/>
                <w:color w:val="070707"/>
                <w:spacing w:val="-4"/>
                <w:w w:val="105"/>
                <w:sz w:val="21"/>
              </w:rPr>
              <w:t>Fund</w:t>
            </w:r>
          </w:p>
        </w:tc>
        <w:tc>
          <w:tcPr>
            <w:tcW w:w="5574" w:type="dxa"/>
            <w:gridSpan w:val="5"/>
          </w:tcPr>
          <w:p>
            <w:pPr>
              <w:pStyle w:val="TableParagraph"/>
              <w:spacing w:before="168"/>
              <w:rPr>
                <w:b/>
                <w:sz w:val="22"/>
              </w:rPr>
            </w:pPr>
          </w:p>
          <w:p>
            <w:pPr>
              <w:pStyle w:val="TableParagraph"/>
              <w:spacing w:before="1"/>
              <w:ind w:left="909"/>
              <w:rPr>
                <w:sz w:val="22"/>
              </w:rPr>
            </w:pPr>
            <w:r>
              <w:rPr>
                <w:color w:val="070707"/>
                <w:spacing w:val="-2"/>
                <w:sz w:val="22"/>
              </w:rPr>
              <w:t>(44,015)</w:t>
            </w:r>
          </w:p>
        </w:tc>
      </w:tr>
      <w:tr>
        <w:trPr>
          <w:trHeight w:val="336" w:hRule="atLeast"/>
        </w:trPr>
        <w:tc>
          <w:tcPr>
            <w:tcW w:w="4387" w:type="dxa"/>
          </w:tcPr>
          <w:p>
            <w:pPr>
              <w:pStyle w:val="TableParagraph"/>
              <w:spacing w:before="35"/>
              <w:ind w:left="56"/>
              <w:rPr>
                <w:sz w:val="22"/>
              </w:rPr>
            </w:pPr>
            <w:r>
              <w:rPr>
                <w:color w:val="070707"/>
                <w:sz w:val="22"/>
              </w:rPr>
              <w:t>(Surplus)/</w:t>
            </w:r>
            <w:r>
              <w:rPr>
                <w:color w:val="070707"/>
                <w:spacing w:val="25"/>
                <w:sz w:val="22"/>
              </w:rPr>
              <w:t> </w:t>
            </w:r>
            <w:r>
              <w:rPr>
                <w:color w:val="070707"/>
                <w:sz w:val="22"/>
              </w:rPr>
              <w:t>Deficit</w:t>
            </w:r>
            <w:r>
              <w:rPr>
                <w:color w:val="070707"/>
                <w:spacing w:val="26"/>
                <w:sz w:val="22"/>
              </w:rPr>
              <w:t> </w:t>
            </w:r>
            <w:r>
              <w:rPr>
                <w:color w:val="070707"/>
                <w:sz w:val="22"/>
              </w:rPr>
              <w:t>for</w:t>
            </w:r>
            <w:r>
              <w:rPr>
                <w:color w:val="070707"/>
                <w:spacing w:val="16"/>
                <w:sz w:val="22"/>
              </w:rPr>
              <w:t> </w:t>
            </w:r>
            <w:r>
              <w:rPr>
                <w:color w:val="070707"/>
                <w:sz w:val="22"/>
              </w:rPr>
              <w:t>the</w:t>
            </w:r>
            <w:r>
              <w:rPr>
                <w:color w:val="070707"/>
                <w:spacing w:val="24"/>
                <w:sz w:val="22"/>
              </w:rPr>
              <w:t> </w:t>
            </w:r>
            <w:r>
              <w:rPr>
                <w:color w:val="070707"/>
                <w:spacing w:val="-4"/>
                <w:sz w:val="22"/>
              </w:rPr>
              <w:t>year</w:t>
            </w:r>
          </w:p>
        </w:tc>
        <w:tc>
          <w:tcPr>
            <w:tcW w:w="5574" w:type="dxa"/>
            <w:gridSpan w:val="5"/>
          </w:tcPr>
          <w:p>
            <w:pPr>
              <w:pStyle w:val="TableParagraph"/>
              <w:tabs>
                <w:tab w:val="left" w:leader="none" w:pos="1187"/>
              </w:tabs>
              <w:spacing w:before="35"/>
              <w:ind w:left="-1"/>
              <w:rPr>
                <w:sz w:val="22"/>
              </w:rPr>
            </w:pPr>
            <w:r>
              <w:rPr>
                <w:color w:val="070707"/>
                <w:sz w:val="22"/>
                <w:u w:val="single" w:color="000000"/>
              </w:rPr>
              <w:tab/>
            </w:r>
            <w:r>
              <w:rPr>
                <w:color w:val="070707"/>
                <w:spacing w:val="-2"/>
                <w:sz w:val="22"/>
                <w:u w:val="single" w:color="000000"/>
              </w:rPr>
              <w:t>3</w:t>
            </w:r>
            <w:r>
              <w:rPr>
                <w:color w:val="5E5E5E"/>
                <w:spacing w:val="-2"/>
                <w:sz w:val="22"/>
                <w:u w:val="single" w:color="000000"/>
              </w:rPr>
              <w:t>,</w:t>
            </w:r>
            <w:r>
              <w:rPr>
                <w:color w:val="070707"/>
                <w:spacing w:val="-2"/>
                <w:sz w:val="22"/>
                <w:u w:val="single" w:color="000000"/>
              </w:rPr>
              <w:t>738</w:t>
            </w:r>
            <w:r>
              <w:rPr>
                <w:color w:val="070707"/>
                <w:spacing w:val="80"/>
                <w:sz w:val="22"/>
                <w:u w:val="single" w:color="000000"/>
              </w:rPr>
              <w:t> </w:t>
            </w:r>
          </w:p>
        </w:tc>
      </w:tr>
      <w:tr>
        <w:trPr>
          <w:trHeight w:val="282" w:hRule="atLeast"/>
        </w:trPr>
        <w:tc>
          <w:tcPr>
            <w:tcW w:w="4387" w:type="dxa"/>
          </w:tcPr>
          <w:p>
            <w:pPr>
              <w:pStyle w:val="TableParagraph"/>
              <w:spacing w:before="40" w:line="222" w:lineRule="exact"/>
              <w:ind w:left="50"/>
              <w:rPr>
                <w:b/>
                <w:sz w:val="21"/>
              </w:rPr>
            </w:pPr>
            <w:r>
              <w:rPr>
                <w:b/>
                <w:color w:val="070707"/>
                <w:w w:val="105"/>
                <w:sz w:val="21"/>
              </w:rPr>
              <w:t>Closing</w:t>
            </w:r>
            <w:r>
              <w:rPr>
                <w:b/>
                <w:color w:val="070707"/>
                <w:spacing w:val="9"/>
                <w:w w:val="105"/>
                <w:sz w:val="21"/>
              </w:rPr>
              <w:t> </w:t>
            </w:r>
            <w:r>
              <w:rPr>
                <w:b/>
                <w:color w:val="070707"/>
                <w:w w:val="105"/>
                <w:sz w:val="21"/>
              </w:rPr>
              <w:t>Balance</w:t>
            </w:r>
            <w:r>
              <w:rPr>
                <w:b/>
                <w:color w:val="070707"/>
                <w:spacing w:val="8"/>
                <w:w w:val="105"/>
                <w:sz w:val="21"/>
              </w:rPr>
              <w:t> </w:t>
            </w:r>
            <w:r>
              <w:rPr>
                <w:b/>
                <w:color w:val="070707"/>
                <w:w w:val="105"/>
                <w:sz w:val="21"/>
              </w:rPr>
              <w:t>on</w:t>
            </w:r>
            <w:r>
              <w:rPr>
                <w:b/>
                <w:color w:val="070707"/>
                <w:spacing w:val="-3"/>
                <w:w w:val="105"/>
                <w:sz w:val="21"/>
              </w:rPr>
              <w:t> </w:t>
            </w:r>
            <w:r>
              <w:rPr>
                <w:b/>
                <w:color w:val="070707"/>
                <w:w w:val="105"/>
                <w:sz w:val="21"/>
              </w:rPr>
              <w:t>the General</w:t>
            </w:r>
            <w:r>
              <w:rPr>
                <w:b/>
                <w:color w:val="070707"/>
                <w:spacing w:val="2"/>
                <w:w w:val="105"/>
                <w:sz w:val="21"/>
              </w:rPr>
              <w:t> </w:t>
            </w:r>
            <w:r>
              <w:rPr>
                <w:b/>
                <w:color w:val="070707"/>
                <w:spacing w:val="-4"/>
                <w:w w:val="105"/>
                <w:sz w:val="21"/>
              </w:rPr>
              <w:t>Fund</w:t>
            </w:r>
          </w:p>
        </w:tc>
        <w:tc>
          <w:tcPr>
            <w:tcW w:w="5574" w:type="dxa"/>
            <w:gridSpan w:val="5"/>
          </w:tcPr>
          <w:p>
            <w:pPr>
              <w:pStyle w:val="TableParagraph"/>
              <w:spacing w:before="40" w:line="222" w:lineRule="exact"/>
              <w:ind w:left="907"/>
              <w:rPr>
                <w:b/>
                <w:sz w:val="21"/>
              </w:rPr>
            </w:pPr>
            <w:r>
              <w:rPr>
                <w:b/>
                <w:color w:val="161616"/>
                <w:spacing w:val="-2"/>
                <w:w w:val="105"/>
                <w:sz w:val="21"/>
                <w:u w:val="double" w:color="161616"/>
              </w:rPr>
              <w:t>(40,277)</w:t>
            </w:r>
          </w:p>
        </w:tc>
      </w:tr>
    </w:tbl>
    <w:p>
      <w:pPr>
        <w:spacing w:after="0" w:line="222" w:lineRule="exact"/>
        <w:rPr>
          <w:sz w:val="21"/>
        </w:rPr>
        <w:sectPr>
          <w:headerReference w:type="even" r:id="rId133"/>
          <w:pgSz w:w="11910" w:h="16830"/>
          <w:pgMar w:top="760" w:right="100" w:bottom="1240" w:left="20" w:header="0" w:footer="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1" w:after="1"/>
        <w:rPr>
          <w:b/>
          <w:sz w:val="20"/>
        </w:rPr>
      </w:pPr>
    </w:p>
    <w:tbl>
      <w:tblPr>
        <w:tblW w:w="0" w:type="auto"/>
        <w:jc w:val="left"/>
        <w:tblInd w:w="158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404"/>
        <w:gridCol w:w="1831"/>
        <w:gridCol w:w="1757"/>
        <w:gridCol w:w="1795"/>
      </w:tblGrid>
      <w:tr>
        <w:trPr>
          <w:trHeight w:val="470" w:hRule="atLeast"/>
        </w:trPr>
        <w:tc>
          <w:tcPr>
            <w:tcW w:w="6235" w:type="dxa"/>
            <w:gridSpan w:val="2"/>
            <w:vMerge w:val="restart"/>
          </w:tcPr>
          <w:p>
            <w:pPr>
              <w:pStyle w:val="TableParagraph"/>
              <w:rPr>
                <w:rFonts w:ascii="Times New Roman"/>
                <w:sz w:val="20"/>
              </w:rPr>
            </w:pPr>
          </w:p>
        </w:tc>
        <w:tc>
          <w:tcPr>
            <w:tcW w:w="1757" w:type="dxa"/>
          </w:tcPr>
          <w:p>
            <w:pPr>
              <w:pStyle w:val="TableParagraph"/>
              <w:spacing w:line="235" w:lineRule="exact"/>
              <w:ind w:left="428"/>
              <w:rPr>
                <w:b/>
                <w:sz w:val="21"/>
              </w:rPr>
            </w:pPr>
            <w:r>
              <w:rPr>
                <w:b/>
                <w:color w:val="070707"/>
                <w:sz w:val="21"/>
              </w:rPr>
              <w:t>2022-</w:t>
            </w:r>
            <w:r>
              <w:rPr>
                <w:b/>
                <w:color w:val="070707"/>
                <w:spacing w:val="-5"/>
                <w:sz w:val="21"/>
              </w:rPr>
              <w:t>23</w:t>
            </w:r>
          </w:p>
        </w:tc>
        <w:tc>
          <w:tcPr>
            <w:tcW w:w="1795" w:type="dxa"/>
          </w:tcPr>
          <w:p>
            <w:pPr>
              <w:pStyle w:val="TableParagraph"/>
              <w:rPr>
                <w:rFonts w:ascii="Times New Roman"/>
                <w:sz w:val="20"/>
              </w:rPr>
            </w:pPr>
          </w:p>
        </w:tc>
      </w:tr>
      <w:tr>
        <w:trPr>
          <w:trHeight w:val="478" w:hRule="atLeast"/>
        </w:trPr>
        <w:tc>
          <w:tcPr>
            <w:tcW w:w="6235" w:type="dxa"/>
            <w:gridSpan w:val="2"/>
            <w:vMerge/>
            <w:tcBorders>
              <w:top w:val="nil"/>
            </w:tcBorders>
          </w:tcPr>
          <w:p>
            <w:pPr>
              <w:rPr>
                <w:sz w:val="2"/>
                <w:szCs w:val="2"/>
              </w:rPr>
            </w:pPr>
          </w:p>
        </w:tc>
        <w:tc>
          <w:tcPr>
            <w:tcW w:w="1757" w:type="dxa"/>
          </w:tcPr>
          <w:p>
            <w:pPr>
              <w:pStyle w:val="TableParagraph"/>
              <w:rPr>
                <w:rFonts w:ascii="Times New Roman"/>
                <w:sz w:val="20"/>
              </w:rPr>
            </w:pPr>
          </w:p>
        </w:tc>
        <w:tc>
          <w:tcPr>
            <w:tcW w:w="1795" w:type="dxa"/>
          </w:tcPr>
          <w:p>
            <w:pPr>
              <w:pStyle w:val="TableParagraph"/>
              <w:spacing w:before="229" w:line="229" w:lineRule="exact"/>
              <w:ind w:left="446"/>
              <w:rPr>
                <w:b/>
                <w:sz w:val="21"/>
              </w:rPr>
            </w:pPr>
            <w:r>
              <w:rPr>
                <w:b/>
                <w:color w:val="070707"/>
                <w:spacing w:val="-2"/>
                <w:w w:val="105"/>
                <w:sz w:val="21"/>
              </w:rPr>
              <w:t>Amounts</w:t>
            </w:r>
          </w:p>
        </w:tc>
      </w:tr>
      <w:tr>
        <w:trPr>
          <w:trHeight w:val="254" w:hRule="atLeast"/>
        </w:trPr>
        <w:tc>
          <w:tcPr>
            <w:tcW w:w="6235" w:type="dxa"/>
            <w:gridSpan w:val="2"/>
            <w:vMerge/>
            <w:tcBorders>
              <w:top w:val="nil"/>
            </w:tcBorders>
          </w:tcPr>
          <w:p>
            <w:pPr>
              <w:rPr>
                <w:sz w:val="2"/>
                <w:szCs w:val="2"/>
              </w:rPr>
            </w:pPr>
          </w:p>
        </w:tc>
        <w:tc>
          <w:tcPr>
            <w:tcW w:w="1757" w:type="dxa"/>
          </w:tcPr>
          <w:p>
            <w:pPr>
              <w:pStyle w:val="TableParagraph"/>
              <w:spacing w:before="5" w:line="229" w:lineRule="exact"/>
              <w:ind w:left="164"/>
              <w:rPr>
                <w:b/>
                <w:sz w:val="21"/>
              </w:rPr>
            </w:pPr>
            <w:r>
              <w:rPr>
                <w:b/>
                <w:color w:val="070707"/>
                <w:spacing w:val="-2"/>
                <w:w w:val="105"/>
                <w:sz w:val="21"/>
              </w:rPr>
              <w:t>Adjustments</w:t>
            </w:r>
          </w:p>
        </w:tc>
        <w:tc>
          <w:tcPr>
            <w:tcW w:w="1795" w:type="dxa"/>
          </w:tcPr>
          <w:p>
            <w:pPr>
              <w:pStyle w:val="TableParagraph"/>
              <w:spacing w:before="1" w:line="234" w:lineRule="exact"/>
              <w:ind w:left="142"/>
              <w:rPr>
                <w:b/>
                <w:sz w:val="21"/>
              </w:rPr>
            </w:pPr>
            <w:r>
              <w:rPr>
                <w:b/>
                <w:color w:val="070707"/>
                <w:w w:val="105"/>
                <w:sz w:val="21"/>
              </w:rPr>
              <w:t>included</w:t>
            </w:r>
            <w:r>
              <w:rPr>
                <w:b/>
                <w:color w:val="070707"/>
                <w:spacing w:val="-4"/>
                <w:w w:val="105"/>
                <w:sz w:val="21"/>
              </w:rPr>
              <w:t> </w:t>
            </w:r>
            <w:r>
              <w:rPr>
                <w:b/>
                <w:color w:val="070707"/>
                <w:w w:val="105"/>
                <w:sz w:val="21"/>
              </w:rPr>
              <w:t>in</w:t>
            </w:r>
            <w:r>
              <w:rPr>
                <w:b/>
                <w:color w:val="070707"/>
                <w:spacing w:val="-3"/>
                <w:w w:val="105"/>
                <w:sz w:val="21"/>
              </w:rPr>
              <w:t> </w:t>
            </w:r>
            <w:r>
              <w:rPr>
                <w:b/>
                <w:color w:val="070707"/>
                <w:spacing w:val="-5"/>
                <w:w w:val="105"/>
                <w:sz w:val="21"/>
              </w:rPr>
              <w:t>the</w:t>
            </w:r>
          </w:p>
        </w:tc>
      </w:tr>
      <w:tr>
        <w:trPr>
          <w:trHeight w:val="252" w:hRule="atLeast"/>
        </w:trPr>
        <w:tc>
          <w:tcPr>
            <w:tcW w:w="6235" w:type="dxa"/>
            <w:gridSpan w:val="2"/>
            <w:vMerge/>
            <w:tcBorders>
              <w:top w:val="nil"/>
            </w:tcBorders>
          </w:tcPr>
          <w:p>
            <w:pPr>
              <w:rPr>
                <w:sz w:val="2"/>
                <w:szCs w:val="2"/>
              </w:rPr>
            </w:pPr>
          </w:p>
        </w:tc>
        <w:tc>
          <w:tcPr>
            <w:tcW w:w="1757" w:type="dxa"/>
          </w:tcPr>
          <w:p>
            <w:pPr>
              <w:pStyle w:val="TableParagraph"/>
              <w:spacing w:before="1" w:line="231" w:lineRule="exact"/>
              <w:ind w:left="391"/>
              <w:rPr>
                <w:b/>
                <w:sz w:val="21"/>
              </w:rPr>
            </w:pPr>
            <w:r>
              <w:rPr>
                <w:b/>
                <w:color w:val="070707"/>
                <w:spacing w:val="-2"/>
                <w:w w:val="105"/>
                <w:sz w:val="21"/>
              </w:rPr>
              <w:t>between</w:t>
            </w:r>
          </w:p>
        </w:tc>
        <w:tc>
          <w:tcPr>
            <w:tcW w:w="1795" w:type="dxa"/>
          </w:tcPr>
          <w:p>
            <w:pPr>
              <w:pStyle w:val="TableParagraph"/>
              <w:spacing w:before="1" w:line="231" w:lineRule="exact"/>
              <w:ind w:left="94"/>
              <w:rPr>
                <w:b/>
                <w:sz w:val="21"/>
              </w:rPr>
            </w:pPr>
            <w:r>
              <w:rPr>
                <w:b/>
                <w:color w:val="070707"/>
                <w:spacing w:val="-2"/>
                <w:w w:val="105"/>
                <w:sz w:val="21"/>
              </w:rPr>
              <w:t>Comprehensive</w:t>
            </w:r>
          </w:p>
        </w:tc>
      </w:tr>
      <w:tr>
        <w:trPr>
          <w:trHeight w:val="254" w:hRule="atLeast"/>
        </w:trPr>
        <w:tc>
          <w:tcPr>
            <w:tcW w:w="6235" w:type="dxa"/>
            <w:gridSpan w:val="2"/>
          </w:tcPr>
          <w:p>
            <w:pPr>
              <w:pStyle w:val="TableParagraph"/>
              <w:spacing w:before="3" w:line="231" w:lineRule="exact"/>
              <w:ind w:right="373"/>
              <w:jc w:val="right"/>
              <w:rPr>
                <w:b/>
                <w:sz w:val="21"/>
              </w:rPr>
            </w:pPr>
            <w:r>
              <w:rPr>
                <w:b/>
                <w:color w:val="070707"/>
                <w:w w:val="105"/>
                <w:sz w:val="21"/>
              </w:rPr>
              <w:t>Net</w:t>
            </w:r>
            <w:r>
              <w:rPr>
                <w:b/>
                <w:color w:val="070707"/>
                <w:spacing w:val="-5"/>
                <w:w w:val="105"/>
                <w:sz w:val="21"/>
              </w:rPr>
              <w:t> </w:t>
            </w:r>
            <w:r>
              <w:rPr>
                <w:b/>
                <w:color w:val="070707"/>
                <w:spacing w:val="-2"/>
                <w:w w:val="105"/>
                <w:sz w:val="21"/>
              </w:rPr>
              <w:t>General</w:t>
            </w:r>
          </w:p>
        </w:tc>
        <w:tc>
          <w:tcPr>
            <w:tcW w:w="1757" w:type="dxa"/>
          </w:tcPr>
          <w:p>
            <w:pPr>
              <w:pStyle w:val="TableParagraph"/>
              <w:spacing w:before="3" w:line="231" w:lineRule="exact"/>
              <w:ind w:left="200"/>
              <w:rPr>
                <w:b/>
                <w:sz w:val="21"/>
              </w:rPr>
            </w:pPr>
            <w:r>
              <w:rPr>
                <w:b/>
                <w:color w:val="070707"/>
                <w:w w:val="105"/>
                <w:sz w:val="21"/>
              </w:rPr>
              <w:t>funding</w:t>
            </w:r>
            <w:r>
              <w:rPr>
                <w:b/>
                <w:color w:val="070707"/>
                <w:spacing w:val="-7"/>
                <w:w w:val="105"/>
                <w:sz w:val="21"/>
              </w:rPr>
              <w:t> </w:t>
            </w:r>
            <w:r>
              <w:rPr>
                <w:b/>
                <w:color w:val="070707"/>
                <w:spacing w:val="-5"/>
                <w:w w:val="105"/>
                <w:sz w:val="21"/>
              </w:rPr>
              <w:t>and</w:t>
            </w:r>
          </w:p>
        </w:tc>
        <w:tc>
          <w:tcPr>
            <w:tcW w:w="1795" w:type="dxa"/>
          </w:tcPr>
          <w:p>
            <w:pPr>
              <w:pStyle w:val="TableParagraph"/>
              <w:spacing w:before="3" w:line="231" w:lineRule="exact"/>
              <w:ind w:left="306"/>
              <w:rPr>
                <w:b/>
                <w:sz w:val="21"/>
              </w:rPr>
            </w:pPr>
            <w:r>
              <w:rPr>
                <w:b/>
                <w:color w:val="070707"/>
                <w:w w:val="105"/>
                <w:sz w:val="21"/>
              </w:rPr>
              <w:t>Income</w:t>
            </w:r>
            <w:r>
              <w:rPr>
                <w:b/>
                <w:color w:val="070707"/>
                <w:spacing w:val="-1"/>
                <w:w w:val="105"/>
                <w:sz w:val="21"/>
              </w:rPr>
              <w:t> </w:t>
            </w:r>
            <w:r>
              <w:rPr>
                <w:b/>
                <w:color w:val="070707"/>
                <w:spacing w:val="-5"/>
                <w:w w:val="105"/>
                <w:sz w:val="21"/>
              </w:rPr>
              <w:t>and</w:t>
            </w:r>
          </w:p>
        </w:tc>
      </w:tr>
      <w:tr>
        <w:trPr>
          <w:trHeight w:val="254" w:hRule="atLeast"/>
        </w:trPr>
        <w:tc>
          <w:tcPr>
            <w:tcW w:w="6235" w:type="dxa"/>
            <w:gridSpan w:val="2"/>
          </w:tcPr>
          <w:p>
            <w:pPr>
              <w:pStyle w:val="TableParagraph"/>
              <w:spacing w:before="3" w:line="231" w:lineRule="exact"/>
              <w:ind w:right="718"/>
              <w:jc w:val="right"/>
              <w:rPr>
                <w:b/>
                <w:sz w:val="21"/>
              </w:rPr>
            </w:pPr>
            <w:r>
              <w:rPr>
                <w:b/>
                <w:color w:val="070707"/>
                <w:spacing w:val="-4"/>
                <w:w w:val="105"/>
                <w:sz w:val="21"/>
              </w:rPr>
              <w:t>Fund</w:t>
            </w:r>
          </w:p>
        </w:tc>
        <w:tc>
          <w:tcPr>
            <w:tcW w:w="1757" w:type="dxa"/>
          </w:tcPr>
          <w:p>
            <w:pPr>
              <w:pStyle w:val="TableParagraph"/>
              <w:spacing w:before="3" w:line="231" w:lineRule="exact"/>
              <w:ind w:left="243"/>
              <w:rPr>
                <w:b/>
                <w:sz w:val="21"/>
              </w:rPr>
            </w:pPr>
            <w:r>
              <w:rPr>
                <w:b/>
                <w:color w:val="070707"/>
                <w:spacing w:val="-2"/>
                <w:w w:val="105"/>
                <w:sz w:val="21"/>
              </w:rPr>
              <w:t>accounting</w:t>
            </w:r>
          </w:p>
        </w:tc>
        <w:tc>
          <w:tcPr>
            <w:tcW w:w="1795" w:type="dxa"/>
          </w:tcPr>
          <w:p>
            <w:pPr>
              <w:pStyle w:val="TableParagraph"/>
              <w:spacing w:before="3" w:line="231" w:lineRule="exact"/>
              <w:ind w:left="286"/>
              <w:rPr>
                <w:b/>
                <w:sz w:val="21"/>
              </w:rPr>
            </w:pPr>
            <w:r>
              <w:rPr>
                <w:b/>
                <w:color w:val="070707"/>
                <w:spacing w:val="-2"/>
                <w:w w:val="105"/>
                <w:sz w:val="21"/>
              </w:rPr>
              <w:t>Expenditure</w:t>
            </w:r>
          </w:p>
        </w:tc>
      </w:tr>
      <w:tr>
        <w:trPr>
          <w:trHeight w:val="461" w:hRule="atLeast"/>
        </w:trPr>
        <w:tc>
          <w:tcPr>
            <w:tcW w:w="6235" w:type="dxa"/>
            <w:gridSpan w:val="2"/>
          </w:tcPr>
          <w:p>
            <w:pPr>
              <w:pStyle w:val="TableParagraph"/>
              <w:spacing w:before="3"/>
              <w:ind w:right="359"/>
              <w:jc w:val="right"/>
              <w:rPr>
                <w:b/>
                <w:sz w:val="21"/>
              </w:rPr>
            </w:pPr>
            <w:r>
              <w:rPr>
                <w:b/>
                <w:color w:val="070707"/>
                <w:spacing w:val="-2"/>
                <w:w w:val="105"/>
                <w:sz w:val="21"/>
              </w:rPr>
              <w:t>Expenditure</w:t>
            </w:r>
          </w:p>
        </w:tc>
        <w:tc>
          <w:tcPr>
            <w:tcW w:w="1757" w:type="dxa"/>
          </w:tcPr>
          <w:p>
            <w:pPr>
              <w:pStyle w:val="TableParagraph"/>
              <w:spacing w:before="3"/>
              <w:ind w:left="554"/>
              <w:rPr>
                <w:b/>
                <w:sz w:val="21"/>
              </w:rPr>
            </w:pPr>
            <w:r>
              <w:rPr>
                <w:b/>
                <w:color w:val="070707"/>
                <w:spacing w:val="-4"/>
                <w:w w:val="105"/>
                <w:sz w:val="21"/>
              </w:rPr>
              <w:t>basis</w:t>
            </w:r>
          </w:p>
        </w:tc>
        <w:tc>
          <w:tcPr>
            <w:tcW w:w="1795" w:type="dxa"/>
          </w:tcPr>
          <w:p>
            <w:pPr>
              <w:pStyle w:val="TableParagraph"/>
              <w:spacing w:before="3"/>
              <w:ind w:left="395"/>
              <w:rPr>
                <w:b/>
                <w:sz w:val="21"/>
              </w:rPr>
            </w:pPr>
            <w:r>
              <w:rPr>
                <w:b/>
                <w:color w:val="070707"/>
                <w:spacing w:val="-2"/>
                <w:w w:val="105"/>
                <w:sz w:val="21"/>
              </w:rPr>
              <w:t>Statement</w:t>
            </w:r>
          </w:p>
        </w:tc>
      </w:tr>
      <w:tr>
        <w:trPr>
          <w:trHeight w:val="456" w:hRule="atLeast"/>
        </w:trPr>
        <w:tc>
          <w:tcPr>
            <w:tcW w:w="6235" w:type="dxa"/>
            <w:gridSpan w:val="2"/>
          </w:tcPr>
          <w:p>
            <w:pPr>
              <w:pStyle w:val="TableParagraph"/>
              <w:tabs>
                <w:tab w:val="left" w:leader="none" w:pos="5004"/>
              </w:tabs>
              <w:spacing w:before="176" w:line="260" w:lineRule="exact"/>
              <w:ind w:left="55"/>
              <w:rPr>
                <w:b/>
                <w:sz w:val="21"/>
              </w:rPr>
            </w:pPr>
            <w:r>
              <w:rPr>
                <w:b/>
                <w:color w:val="070707"/>
                <w:spacing w:val="-2"/>
                <w:w w:val="105"/>
                <w:sz w:val="21"/>
              </w:rPr>
              <w:t>SERVICE</w:t>
            </w:r>
            <w:r>
              <w:rPr>
                <w:b/>
                <w:color w:val="070707"/>
                <w:sz w:val="21"/>
              </w:rPr>
              <w:tab/>
            </w:r>
            <w:r>
              <w:rPr>
                <w:b/>
                <w:color w:val="070707"/>
                <w:spacing w:val="-4"/>
                <w:w w:val="105"/>
                <w:position w:val="-3"/>
                <w:sz w:val="21"/>
              </w:rPr>
              <w:t>£000</w:t>
            </w:r>
          </w:p>
        </w:tc>
        <w:tc>
          <w:tcPr>
            <w:tcW w:w="1757" w:type="dxa"/>
          </w:tcPr>
          <w:p>
            <w:pPr>
              <w:pStyle w:val="TableParagraph"/>
              <w:spacing w:before="210" w:line="226" w:lineRule="exact"/>
              <w:ind w:right="85"/>
              <w:jc w:val="center"/>
              <w:rPr>
                <w:b/>
                <w:sz w:val="21"/>
              </w:rPr>
            </w:pPr>
            <w:r>
              <w:rPr>
                <w:b/>
                <w:color w:val="070707"/>
                <w:spacing w:val="-4"/>
                <w:w w:val="105"/>
                <w:sz w:val="21"/>
              </w:rPr>
              <w:t>£000</w:t>
            </w:r>
          </w:p>
        </w:tc>
        <w:tc>
          <w:tcPr>
            <w:tcW w:w="1795" w:type="dxa"/>
          </w:tcPr>
          <w:p>
            <w:pPr>
              <w:pStyle w:val="TableParagraph"/>
              <w:spacing w:before="210" w:line="226" w:lineRule="exact"/>
              <w:ind w:left="57"/>
              <w:jc w:val="center"/>
              <w:rPr>
                <w:b/>
                <w:sz w:val="21"/>
              </w:rPr>
            </w:pPr>
            <w:r>
              <w:rPr>
                <w:b/>
                <w:color w:val="070707"/>
                <w:spacing w:val="-4"/>
                <w:w w:val="105"/>
                <w:sz w:val="21"/>
              </w:rPr>
              <w:t>£000</w:t>
            </w:r>
          </w:p>
        </w:tc>
      </w:tr>
      <w:tr>
        <w:trPr>
          <w:trHeight w:val="698" w:hRule="atLeast"/>
        </w:trPr>
        <w:tc>
          <w:tcPr>
            <w:tcW w:w="4404" w:type="dxa"/>
          </w:tcPr>
          <w:p>
            <w:pPr>
              <w:pStyle w:val="TableParagraph"/>
              <w:spacing w:before="130"/>
              <w:rPr>
                <w:b/>
                <w:sz w:val="22"/>
              </w:rPr>
            </w:pPr>
          </w:p>
          <w:p>
            <w:pPr>
              <w:pStyle w:val="TableParagraph"/>
              <w:ind w:left="53"/>
              <w:rPr>
                <w:sz w:val="22"/>
              </w:rPr>
            </w:pPr>
            <w:r>
              <w:rPr>
                <w:color w:val="070707"/>
                <w:sz w:val="22"/>
              </w:rPr>
              <w:t>Asset</w:t>
            </w:r>
            <w:r>
              <w:rPr>
                <w:color w:val="070707"/>
                <w:spacing w:val="-8"/>
                <w:sz w:val="22"/>
              </w:rPr>
              <w:t> </w:t>
            </w:r>
            <w:r>
              <w:rPr>
                <w:color w:val="070707"/>
                <w:spacing w:val="-2"/>
                <w:sz w:val="22"/>
              </w:rPr>
              <w:t>Management</w:t>
            </w:r>
          </w:p>
        </w:tc>
        <w:tc>
          <w:tcPr>
            <w:tcW w:w="1831" w:type="dxa"/>
          </w:tcPr>
          <w:p>
            <w:pPr>
              <w:pStyle w:val="TableParagraph"/>
              <w:spacing w:before="164"/>
              <w:rPr>
                <w:b/>
                <w:sz w:val="22"/>
              </w:rPr>
            </w:pPr>
          </w:p>
          <w:p>
            <w:pPr>
              <w:pStyle w:val="TableParagraph"/>
              <w:ind w:left="828"/>
              <w:rPr>
                <w:sz w:val="22"/>
              </w:rPr>
            </w:pPr>
            <w:r>
              <w:rPr>
                <w:color w:val="070707"/>
                <w:spacing w:val="-2"/>
                <w:sz w:val="22"/>
              </w:rPr>
              <w:t>(10,397)</w:t>
            </w:r>
          </w:p>
        </w:tc>
        <w:tc>
          <w:tcPr>
            <w:tcW w:w="1757" w:type="dxa"/>
          </w:tcPr>
          <w:p>
            <w:pPr>
              <w:pStyle w:val="TableParagraph"/>
              <w:spacing w:before="164"/>
              <w:rPr>
                <w:b/>
                <w:sz w:val="22"/>
              </w:rPr>
            </w:pPr>
          </w:p>
          <w:p>
            <w:pPr>
              <w:pStyle w:val="TableParagraph"/>
              <w:ind w:right="173"/>
              <w:jc w:val="right"/>
              <w:rPr>
                <w:sz w:val="22"/>
              </w:rPr>
            </w:pPr>
            <w:r>
              <w:rPr>
                <w:color w:val="070707"/>
                <w:spacing w:val="-2"/>
                <w:sz w:val="22"/>
              </w:rPr>
              <w:t>5,053</w:t>
            </w:r>
          </w:p>
        </w:tc>
        <w:tc>
          <w:tcPr>
            <w:tcW w:w="1795" w:type="dxa"/>
          </w:tcPr>
          <w:p>
            <w:pPr>
              <w:pStyle w:val="TableParagraph"/>
              <w:spacing w:before="180"/>
              <w:rPr>
                <w:b/>
                <w:sz w:val="21"/>
              </w:rPr>
            </w:pPr>
          </w:p>
          <w:p>
            <w:pPr>
              <w:pStyle w:val="TableParagraph"/>
              <w:ind w:right="33"/>
              <w:jc w:val="right"/>
              <w:rPr>
                <w:b/>
                <w:sz w:val="21"/>
              </w:rPr>
            </w:pPr>
            <w:r>
              <w:rPr>
                <w:b/>
                <w:color w:val="070707"/>
                <w:spacing w:val="-2"/>
                <w:w w:val="105"/>
                <w:sz w:val="21"/>
              </w:rPr>
              <w:t>(5,344)</w:t>
            </w:r>
          </w:p>
        </w:tc>
      </w:tr>
      <w:tr>
        <w:trPr>
          <w:trHeight w:val="333" w:hRule="atLeast"/>
        </w:trPr>
        <w:tc>
          <w:tcPr>
            <w:tcW w:w="4404" w:type="dxa"/>
          </w:tcPr>
          <w:p>
            <w:pPr>
              <w:pStyle w:val="TableParagraph"/>
              <w:spacing w:before="21"/>
              <w:ind w:left="53"/>
              <w:rPr>
                <w:sz w:val="22"/>
              </w:rPr>
            </w:pPr>
            <w:r>
              <w:rPr>
                <w:color w:val="070707"/>
                <w:sz w:val="22"/>
              </w:rPr>
              <w:t>Audit</w:t>
            </w:r>
            <w:r>
              <w:rPr>
                <w:color w:val="070707"/>
                <w:spacing w:val="3"/>
                <w:sz w:val="22"/>
              </w:rPr>
              <w:t> </w:t>
            </w:r>
            <w:r>
              <w:rPr>
                <w:color w:val="070707"/>
                <w:sz w:val="22"/>
              </w:rPr>
              <w:t>&amp;</w:t>
            </w:r>
            <w:r>
              <w:rPr>
                <w:color w:val="070707"/>
                <w:spacing w:val="-10"/>
                <w:sz w:val="22"/>
              </w:rPr>
              <w:t> </w:t>
            </w:r>
            <w:r>
              <w:rPr>
                <w:color w:val="070707"/>
                <w:spacing w:val="-2"/>
                <w:sz w:val="22"/>
              </w:rPr>
              <w:t>Assurance</w:t>
            </w:r>
          </w:p>
        </w:tc>
        <w:tc>
          <w:tcPr>
            <w:tcW w:w="1831" w:type="dxa"/>
          </w:tcPr>
          <w:p>
            <w:pPr>
              <w:pStyle w:val="TableParagraph"/>
              <w:spacing w:before="55"/>
              <w:ind w:right="178"/>
              <w:jc w:val="right"/>
              <w:rPr>
                <w:sz w:val="22"/>
              </w:rPr>
            </w:pPr>
            <w:r>
              <w:rPr>
                <w:color w:val="070707"/>
                <w:spacing w:val="-5"/>
                <w:sz w:val="22"/>
              </w:rPr>
              <w:t>195</w:t>
            </w:r>
          </w:p>
        </w:tc>
        <w:tc>
          <w:tcPr>
            <w:tcW w:w="1757" w:type="dxa"/>
          </w:tcPr>
          <w:p>
            <w:pPr>
              <w:pStyle w:val="TableParagraph"/>
              <w:rPr>
                <w:rFonts w:ascii="Times New Roman"/>
                <w:sz w:val="20"/>
              </w:rPr>
            </w:pPr>
          </w:p>
        </w:tc>
        <w:tc>
          <w:tcPr>
            <w:tcW w:w="1795" w:type="dxa"/>
          </w:tcPr>
          <w:p>
            <w:pPr>
              <w:pStyle w:val="TableParagraph"/>
              <w:spacing w:before="59"/>
              <w:ind w:right="28"/>
              <w:jc w:val="right"/>
              <w:rPr>
                <w:b/>
                <w:sz w:val="21"/>
              </w:rPr>
            </w:pPr>
            <w:r>
              <w:rPr>
                <w:b/>
                <w:color w:val="070707"/>
                <w:spacing w:val="-5"/>
                <w:w w:val="105"/>
                <w:sz w:val="21"/>
              </w:rPr>
              <w:t>195</w:t>
            </w:r>
          </w:p>
        </w:tc>
      </w:tr>
      <w:tr>
        <w:trPr>
          <w:trHeight w:val="336" w:hRule="atLeast"/>
        </w:trPr>
        <w:tc>
          <w:tcPr>
            <w:tcW w:w="4404" w:type="dxa"/>
          </w:tcPr>
          <w:p>
            <w:pPr>
              <w:pStyle w:val="TableParagraph"/>
              <w:spacing w:before="19"/>
              <w:ind w:left="50"/>
              <w:rPr>
                <w:sz w:val="22"/>
              </w:rPr>
            </w:pPr>
            <w:r>
              <w:rPr>
                <w:color w:val="070707"/>
                <w:sz w:val="22"/>
              </w:rPr>
              <w:t>Executive</w:t>
            </w:r>
            <w:r>
              <w:rPr>
                <w:color w:val="070707"/>
                <w:spacing w:val="-11"/>
                <w:sz w:val="22"/>
              </w:rPr>
              <w:t> </w:t>
            </w:r>
            <w:r>
              <w:rPr>
                <w:color w:val="070707"/>
                <w:spacing w:val="-2"/>
                <w:sz w:val="22"/>
              </w:rPr>
              <w:t>Directors</w:t>
            </w:r>
          </w:p>
        </w:tc>
        <w:tc>
          <w:tcPr>
            <w:tcW w:w="1831" w:type="dxa"/>
          </w:tcPr>
          <w:p>
            <w:pPr>
              <w:pStyle w:val="TableParagraph"/>
              <w:spacing w:before="57"/>
              <w:ind w:right="176"/>
              <w:jc w:val="right"/>
              <w:rPr>
                <w:sz w:val="22"/>
              </w:rPr>
            </w:pPr>
            <w:r>
              <w:rPr>
                <w:color w:val="070707"/>
                <w:spacing w:val="-5"/>
                <w:sz w:val="22"/>
              </w:rPr>
              <w:t>506</w:t>
            </w:r>
          </w:p>
        </w:tc>
        <w:tc>
          <w:tcPr>
            <w:tcW w:w="1757" w:type="dxa"/>
          </w:tcPr>
          <w:p>
            <w:pPr>
              <w:pStyle w:val="TableParagraph"/>
              <w:spacing w:before="57"/>
              <w:ind w:right="164"/>
              <w:jc w:val="right"/>
              <w:rPr>
                <w:sz w:val="22"/>
              </w:rPr>
            </w:pPr>
            <w:r>
              <w:rPr>
                <w:color w:val="070707"/>
                <w:spacing w:val="-5"/>
                <w:sz w:val="22"/>
              </w:rPr>
              <w:t>52</w:t>
            </w:r>
          </w:p>
        </w:tc>
        <w:tc>
          <w:tcPr>
            <w:tcW w:w="1795" w:type="dxa"/>
          </w:tcPr>
          <w:p>
            <w:pPr>
              <w:pStyle w:val="TableParagraph"/>
              <w:spacing w:before="62"/>
              <w:ind w:right="26"/>
              <w:jc w:val="right"/>
              <w:rPr>
                <w:b/>
                <w:sz w:val="21"/>
              </w:rPr>
            </w:pPr>
            <w:r>
              <w:rPr>
                <w:b/>
                <w:color w:val="070707"/>
                <w:spacing w:val="-5"/>
                <w:w w:val="105"/>
                <w:sz w:val="21"/>
              </w:rPr>
              <w:t>558</w:t>
            </w:r>
          </w:p>
        </w:tc>
      </w:tr>
      <w:tr>
        <w:trPr>
          <w:trHeight w:val="333" w:hRule="atLeast"/>
        </w:trPr>
        <w:tc>
          <w:tcPr>
            <w:tcW w:w="4404" w:type="dxa"/>
          </w:tcPr>
          <w:p>
            <w:pPr>
              <w:pStyle w:val="TableParagraph"/>
              <w:spacing w:before="19"/>
              <w:ind w:left="50"/>
              <w:rPr>
                <w:sz w:val="22"/>
              </w:rPr>
            </w:pPr>
            <w:r>
              <w:rPr>
                <w:color w:val="070707"/>
                <w:sz w:val="22"/>
              </w:rPr>
              <w:t>Engineering</w:t>
            </w:r>
            <w:r>
              <w:rPr>
                <w:color w:val="070707"/>
                <w:spacing w:val="-10"/>
                <w:sz w:val="22"/>
              </w:rPr>
              <w:t> </w:t>
            </w:r>
            <w:r>
              <w:rPr>
                <w:color w:val="070707"/>
                <w:spacing w:val="-2"/>
                <w:sz w:val="22"/>
              </w:rPr>
              <w:t>Services</w:t>
            </w:r>
          </w:p>
        </w:tc>
        <w:tc>
          <w:tcPr>
            <w:tcW w:w="1831" w:type="dxa"/>
          </w:tcPr>
          <w:p>
            <w:pPr>
              <w:pStyle w:val="TableParagraph"/>
              <w:spacing w:before="57"/>
              <w:ind w:right="174"/>
              <w:jc w:val="right"/>
              <w:rPr>
                <w:sz w:val="22"/>
              </w:rPr>
            </w:pPr>
            <w:r>
              <w:rPr>
                <w:color w:val="070707"/>
                <w:spacing w:val="-5"/>
                <w:sz w:val="22"/>
              </w:rPr>
              <w:t>592</w:t>
            </w:r>
          </w:p>
        </w:tc>
        <w:tc>
          <w:tcPr>
            <w:tcW w:w="1757" w:type="dxa"/>
          </w:tcPr>
          <w:p>
            <w:pPr>
              <w:pStyle w:val="TableParagraph"/>
              <w:spacing w:before="52"/>
              <w:ind w:right="162"/>
              <w:jc w:val="right"/>
              <w:rPr>
                <w:sz w:val="22"/>
              </w:rPr>
            </w:pPr>
            <w:r>
              <w:rPr>
                <w:color w:val="070707"/>
                <w:spacing w:val="-5"/>
                <w:sz w:val="22"/>
              </w:rPr>
              <w:t>53</w:t>
            </w:r>
          </w:p>
        </w:tc>
        <w:tc>
          <w:tcPr>
            <w:tcW w:w="1795" w:type="dxa"/>
          </w:tcPr>
          <w:p>
            <w:pPr>
              <w:pStyle w:val="TableParagraph"/>
              <w:spacing w:before="57"/>
              <w:ind w:right="23"/>
              <w:jc w:val="right"/>
              <w:rPr>
                <w:b/>
                <w:sz w:val="21"/>
              </w:rPr>
            </w:pPr>
            <w:r>
              <w:rPr>
                <w:b/>
                <w:color w:val="070707"/>
                <w:spacing w:val="-5"/>
                <w:w w:val="105"/>
                <w:sz w:val="21"/>
              </w:rPr>
              <w:t>645</w:t>
            </w:r>
          </w:p>
        </w:tc>
      </w:tr>
      <w:tr>
        <w:trPr>
          <w:trHeight w:val="331" w:hRule="atLeast"/>
        </w:trPr>
        <w:tc>
          <w:tcPr>
            <w:tcW w:w="4404" w:type="dxa"/>
          </w:tcPr>
          <w:p>
            <w:pPr>
              <w:pStyle w:val="TableParagraph"/>
              <w:spacing w:before="16"/>
              <w:ind w:left="55"/>
              <w:rPr>
                <w:sz w:val="22"/>
              </w:rPr>
            </w:pPr>
            <w:r>
              <w:rPr>
                <w:color w:val="070707"/>
                <w:spacing w:val="-2"/>
                <w:sz w:val="22"/>
              </w:rPr>
              <w:t>Environmental</w:t>
            </w:r>
            <w:r>
              <w:rPr>
                <w:color w:val="070707"/>
                <w:spacing w:val="9"/>
                <w:sz w:val="22"/>
              </w:rPr>
              <w:t> </w:t>
            </w:r>
            <w:r>
              <w:rPr>
                <w:color w:val="070707"/>
                <w:spacing w:val="-2"/>
                <w:sz w:val="22"/>
              </w:rPr>
              <w:t>Health</w:t>
            </w:r>
          </w:p>
        </w:tc>
        <w:tc>
          <w:tcPr>
            <w:tcW w:w="1831" w:type="dxa"/>
          </w:tcPr>
          <w:p>
            <w:pPr>
              <w:pStyle w:val="TableParagraph"/>
              <w:spacing w:before="55"/>
              <w:ind w:left="1101"/>
              <w:rPr>
                <w:sz w:val="22"/>
              </w:rPr>
            </w:pPr>
            <w:r>
              <w:rPr>
                <w:color w:val="070707"/>
                <w:spacing w:val="-2"/>
                <w:sz w:val="22"/>
              </w:rPr>
              <w:t>1,118</w:t>
            </w:r>
          </w:p>
        </w:tc>
        <w:tc>
          <w:tcPr>
            <w:tcW w:w="1757" w:type="dxa"/>
          </w:tcPr>
          <w:p>
            <w:pPr>
              <w:pStyle w:val="TableParagraph"/>
              <w:spacing w:before="55"/>
              <w:ind w:right="169"/>
              <w:jc w:val="right"/>
              <w:rPr>
                <w:sz w:val="22"/>
              </w:rPr>
            </w:pPr>
            <w:r>
              <w:rPr>
                <w:color w:val="070707"/>
                <w:spacing w:val="-5"/>
                <w:sz w:val="22"/>
              </w:rPr>
              <w:t>125</w:t>
            </w:r>
          </w:p>
        </w:tc>
        <w:tc>
          <w:tcPr>
            <w:tcW w:w="1795" w:type="dxa"/>
          </w:tcPr>
          <w:p>
            <w:pPr>
              <w:pStyle w:val="TableParagraph"/>
              <w:spacing w:before="54"/>
              <w:ind w:right="27"/>
              <w:jc w:val="right"/>
              <w:rPr>
                <w:b/>
                <w:sz w:val="21"/>
              </w:rPr>
            </w:pPr>
            <w:r>
              <w:rPr>
                <w:b/>
                <w:color w:val="070707"/>
                <w:spacing w:val="-4"/>
                <w:w w:val="105"/>
                <w:sz w:val="21"/>
              </w:rPr>
              <w:t>1,243</w:t>
            </w:r>
          </w:p>
        </w:tc>
      </w:tr>
      <w:tr>
        <w:trPr>
          <w:trHeight w:val="333" w:hRule="atLeast"/>
        </w:trPr>
        <w:tc>
          <w:tcPr>
            <w:tcW w:w="4404" w:type="dxa"/>
          </w:tcPr>
          <w:p>
            <w:pPr>
              <w:pStyle w:val="TableParagraph"/>
              <w:spacing w:before="16"/>
              <w:ind w:left="54"/>
              <w:rPr>
                <w:sz w:val="22"/>
              </w:rPr>
            </w:pPr>
            <w:r>
              <w:rPr>
                <w:color w:val="070707"/>
                <w:sz w:val="22"/>
              </w:rPr>
              <w:t>Finance &amp;</w:t>
            </w:r>
            <w:r>
              <w:rPr>
                <w:color w:val="070707"/>
                <w:spacing w:val="-10"/>
                <w:sz w:val="22"/>
              </w:rPr>
              <w:t> </w:t>
            </w:r>
            <w:r>
              <w:rPr>
                <w:color w:val="070707"/>
                <w:sz w:val="22"/>
              </w:rPr>
              <w:t>Business</w:t>
            </w:r>
            <w:r>
              <w:rPr>
                <w:color w:val="070707"/>
                <w:spacing w:val="1"/>
                <w:sz w:val="22"/>
              </w:rPr>
              <w:t> </w:t>
            </w:r>
            <w:r>
              <w:rPr>
                <w:color w:val="070707"/>
                <w:spacing w:val="-2"/>
                <w:sz w:val="22"/>
              </w:rPr>
              <w:t>Services</w:t>
            </w:r>
          </w:p>
        </w:tc>
        <w:tc>
          <w:tcPr>
            <w:tcW w:w="1831" w:type="dxa"/>
          </w:tcPr>
          <w:p>
            <w:pPr>
              <w:pStyle w:val="TableParagraph"/>
              <w:spacing w:before="55"/>
              <w:ind w:left="1099"/>
              <w:rPr>
                <w:sz w:val="22"/>
              </w:rPr>
            </w:pPr>
            <w:r>
              <w:rPr>
                <w:color w:val="070707"/>
                <w:spacing w:val="-2"/>
                <w:sz w:val="22"/>
              </w:rPr>
              <w:t>2,722</w:t>
            </w:r>
          </w:p>
        </w:tc>
        <w:tc>
          <w:tcPr>
            <w:tcW w:w="1757" w:type="dxa"/>
          </w:tcPr>
          <w:p>
            <w:pPr>
              <w:pStyle w:val="TableParagraph"/>
              <w:spacing w:before="55"/>
              <w:ind w:right="165"/>
              <w:jc w:val="right"/>
              <w:rPr>
                <w:sz w:val="22"/>
              </w:rPr>
            </w:pPr>
            <w:r>
              <w:rPr>
                <w:color w:val="070707"/>
                <w:spacing w:val="-5"/>
                <w:sz w:val="22"/>
              </w:rPr>
              <w:t>395</w:t>
            </w:r>
          </w:p>
        </w:tc>
        <w:tc>
          <w:tcPr>
            <w:tcW w:w="1795" w:type="dxa"/>
          </w:tcPr>
          <w:p>
            <w:pPr>
              <w:pStyle w:val="TableParagraph"/>
              <w:spacing w:before="59"/>
              <w:ind w:right="28"/>
              <w:jc w:val="right"/>
              <w:rPr>
                <w:b/>
                <w:sz w:val="21"/>
              </w:rPr>
            </w:pPr>
            <w:r>
              <w:rPr>
                <w:b/>
                <w:color w:val="070707"/>
                <w:spacing w:val="-4"/>
                <w:w w:val="105"/>
                <w:sz w:val="21"/>
              </w:rPr>
              <w:t>3,117</w:t>
            </w:r>
          </w:p>
        </w:tc>
      </w:tr>
      <w:tr>
        <w:trPr>
          <w:trHeight w:val="336" w:hRule="atLeast"/>
        </w:trPr>
        <w:tc>
          <w:tcPr>
            <w:tcW w:w="4404" w:type="dxa"/>
          </w:tcPr>
          <w:p>
            <w:pPr>
              <w:pStyle w:val="TableParagraph"/>
              <w:spacing w:before="19"/>
              <w:ind w:left="51"/>
              <w:rPr>
                <w:sz w:val="22"/>
              </w:rPr>
            </w:pPr>
            <w:r>
              <w:rPr>
                <w:color w:val="070707"/>
                <w:sz w:val="22"/>
              </w:rPr>
              <w:t>General</w:t>
            </w:r>
            <w:r>
              <w:rPr>
                <w:color w:val="070707"/>
                <w:spacing w:val="-8"/>
                <w:sz w:val="22"/>
              </w:rPr>
              <w:t> </w:t>
            </w:r>
            <w:r>
              <w:rPr>
                <w:color w:val="070707"/>
                <w:spacing w:val="-2"/>
                <w:sz w:val="22"/>
              </w:rPr>
              <w:t>Expenses</w:t>
            </w:r>
          </w:p>
        </w:tc>
        <w:tc>
          <w:tcPr>
            <w:tcW w:w="1831" w:type="dxa"/>
          </w:tcPr>
          <w:p>
            <w:pPr>
              <w:pStyle w:val="TableParagraph"/>
              <w:spacing w:before="57"/>
              <w:ind w:right="177"/>
              <w:jc w:val="right"/>
              <w:rPr>
                <w:sz w:val="22"/>
              </w:rPr>
            </w:pPr>
            <w:r>
              <w:rPr>
                <w:color w:val="070707"/>
                <w:spacing w:val="-5"/>
                <w:sz w:val="22"/>
              </w:rPr>
              <w:t>267</w:t>
            </w:r>
          </w:p>
        </w:tc>
        <w:tc>
          <w:tcPr>
            <w:tcW w:w="1757" w:type="dxa"/>
          </w:tcPr>
          <w:p>
            <w:pPr>
              <w:pStyle w:val="TableParagraph"/>
              <w:rPr>
                <w:rFonts w:ascii="Times New Roman"/>
                <w:sz w:val="20"/>
              </w:rPr>
            </w:pPr>
          </w:p>
        </w:tc>
        <w:tc>
          <w:tcPr>
            <w:tcW w:w="1795" w:type="dxa"/>
          </w:tcPr>
          <w:p>
            <w:pPr>
              <w:pStyle w:val="TableParagraph"/>
              <w:spacing w:before="62"/>
              <w:ind w:right="20"/>
              <w:jc w:val="right"/>
              <w:rPr>
                <w:b/>
                <w:sz w:val="21"/>
              </w:rPr>
            </w:pPr>
            <w:r>
              <w:rPr>
                <w:b/>
                <w:color w:val="070707"/>
                <w:spacing w:val="-5"/>
                <w:w w:val="105"/>
                <w:sz w:val="21"/>
              </w:rPr>
              <w:t>267</w:t>
            </w:r>
          </w:p>
        </w:tc>
      </w:tr>
      <w:tr>
        <w:trPr>
          <w:trHeight w:val="331" w:hRule="atLeast"/>
        </w:trPr>
        <w:tc>
          <w:tcPr>
            <w:tcW w:w="4404" w:type="dxa"/>
          </w:tcPr>
          <w:p>
            <w:pPr>
              <w:pStyle w:val="TableParagraph"/>
              <w:spacing w:before="19"/>
              <w:ind w:left="50"/>
              <w:rPr>
                <w:sz w:val="22"/>
              </w:rPr>
            </w:pPr>
            <w:r>
              <w:rPr>
                <w:color w:val="070707"/>
                <w:sz w:val="22"/>
              </w:rPr>
              <w:t>Housing</w:t>
            </w:r>
            <w:r>
              <w:rPr>
                <w:color w:val="070707"/>
                <w:spacing w:val="-5"/>
                <w:sz w:val="22"/>
              </w:rPr>
              <w:t> </w:t>
            </w:r>
            <w:r>
              <w:rPr>
                <w:color w:val="070707"/>
                <w:spacing w:val="-2"/>
                <w:sz w:val="22"/>
              </w:rPr>
              <w:t>Services</w:t>
            </w:r>
          </w:p>
        </w:tc>
        <w:tc>
          <w:tcPr>
            <w:tcW w:w="1831" w:type="dxa"/>
          </w:tcPr>
          <w:p>
            <w:pPr>
              <w:pStyle w:val="TableParagraph"/>
              <w:spacing w:before="52"/>
              <w:ind w:right="169"/>
              <w:jc w:val="right"/>
              <w:rPr>
                <w:sz w:val="22"/>
              </w:rPr>
            </w:pPr>
            <w:r>
              <w:rPr>
                <w:color w:val="070707"/>
                <w:spacing w:val="-5"/>
                <w:sz w:val="22"/>
              </w:rPr>
              <w:t>851</w:t>
            </w:r>
          </w:p>
        </w:tc>
        <w:tc>
          <w:tcPr>
            <w:tcW w:w="1757" w:type="dxa"/>
          </w:tcPr>
          <w:p>
            <w:pPr>
              <w:pStyle w:val="TableParagraph"/>
              <w:spacing w:before="52"/>
              <w:ind w:right="168"/>
              <w:jc w:val="right"/>
              <w:rPr>
                <w:sz w:val="22"/>
              </w:rPr>
            </w:pPr>
            <w:r>
              <w:rPr>
                <w:color w:val="070707"/>
                <w:spacing w:val="-2"/>
                <w:sz w:val="22"/>
              </w:rPr>
              <w:t>1,556</w:t>
            </w:r>
          </w:p>
        </w:tc>
        <w:tc>
          <w:tcPr>
            <w:tcW w:w="1795" w:type="dxa"/>
          </w:tcPr>
          <w:p>
            <w:pPr>
              <w:pStyle w:val="TableParagraph"/>
              <w:spacing w:before="57"/>
              <w:ind w:right="26"/>
              <w:jc w:val="right"/>
              <w:rPr>
                <w:b/>
                <w:sz w:val="21"/>
              </w:rPr>
            </w:pPr>
            <w:r>
              <w:rPr>
                <w:b/>
                <w:color w:val="070707"/>
                <w:spacing w:val="-4"/>
                <w:w w:val="105"/>
                <w:sz w:val="21"/>
              </w:rPr>
              <w:t>2,407</w:t>
            </w:r>
          </w:p>
        </w:tc>
      </w:tr>
      <w:tr>
        <w:trPr>
          <w:trHeight w:val="336" w:hRule="atLeast"/>
        </w:trPr>
        <w:tc>
          <w:tcPr>
            <w:tcW w:w="4404" w:type="dxa"/>
          </w:tcPr>
          <w:p>
            <w:pPr>
              <w:pStyle w:val="TableParagraph"/>
              <w:spacing w:before="19"/>
              <w:ind w:left="54"/>
              <w:rPr>
                <w:sz w:val="22"/>
              </w:rPr>
            </w:pPr>
            <w:r>
              <w:rPr>
                <w:color w:val="070707"/>
                <w:sz w:val="22"/>
              </w:rPr>
              <w:t>Human</w:t>
            </w:r>
            <w:r>
              <w:rPr>
                <w:color w:val="070707"/>
                <w:spacing w:val="-8"/>
                <w:sz w:val="22"/>
              </w:rPr>
              <w:t> </w:t>
            </w:r>
            <w:r>
              <w:rPr>
                <w:color w:val="070707"/>
                <w:sz w:val="22"/>
              </w:rPr>
              <w:t>Resources</w:t>
            </w:r>
            <w:r>
              <w:rPr>
                <w:color w:val="070707"/>
                <w:spacing w:val="7"/>
                <w:sz w:val="22"/>
              </w:rPr>
              <w:t> </w:t>
            </w:r>
            <w:r>
              <w:rPr>
                <w:color w:val="070707"/>
                <w:sz w:val="22"/>
              </w:rPr>
              <w:t>&amp;</w:t>
            </w:r>
            <w:r>
              <w:rPr>
                <w:color w:val="070707"/>
                <w:spacing w:val="-13"/>
                <w:sz w:val="22"/>
              </w:rPr>
              <w:t> </w:t>
            </w:r>
            <w:r>
              <w:rPr>
                <w:color w:val="070707"/>
                <w:sz w:val="22"/>
              </w:rPr>
              <w:t>Customer</w:t>
            </w:r>
            <w:r>
              <w:rPr>
                <w:color w:val="070707"/>
                <w:spacing w:val="1"/>
                <w:sz w:val="22"/>
              </w:rPr>
              <w:t> </w:t>
            </w:r>
            <w:r>
              <w:rPr>
                <w:color w:val="070707"/>
                <w:spacing w:val="-2"/>
                <w:sz w:val="22"/>
              </w:rPr>
              <w:t>Services</w:t>
            </w:r>
          </w:p>
        </w:tc>
        <w:tc>
          <w:tcPr>
            <w:tcW w:w="1831" w:type="dxa"/>
          </w:tcPr>
          <w:p>
            <w:pPr>
              <w:pStyle w:val="TableParagraph"/>
              <w:spacing w:before="57"/>
              <w:ind w:left="1101"/>
              <w:rPr>
                <w:sz w:val="22"/>
              </w:rPr>
            </w:pPr>
            <w:r>
              <w:rPr>
                <w:color w:val="070707"/>
                <w:spacing w:val="-2"/>
                <w:sz w:val="22"/>
              </w:rPr>
              <w:t>1,461</w:t>
            </w:r>
          </w:p>
        </w:tc>
        <w:tc>
          <w:tcPr>
            <w:tcW w:w="1757" w:type="dxa"/>
          </w:tcPr>
          <w:p>
            <w:pPr>
              <w:pStyle w:val="TableParagraph"/>
              <w:spacing w:before="57"/>
              <w:ind w:right="162"/>
              <w:jc w:val="right"/>
              <w:rPr>
                <w:sz w:val="22"/>
              </w:rPr>
            </w:pPr>
            <w:r>
              <w:rPr>
                <w:color w:val="070707"/>
                <w:spacing w:val="-5"/>
                <w:sz w:val="22"/>
              </w:rPr>
              <w:t>167</w:t>
            </w:r>
          </w:p>
        </w:tc>
        <w:tc>
          <w:tcPr>
            <w:tcW w:w="1795" w:type="dxa"/>
          </w:tcPr>
          <w:p>
            <w:pPr>
              <w:pStyle w:val="TableParagraph"/>
              <w:spacing w:before="62"/>
              <w:ind w:right="17"/>
              <w:jc w:val="right"/>
              <w:rPr>
                <w:b/>
                <w:sz w:val="21"/>
              </w:rPr>
            </w:pPr>
            <w:r>
              <w:rPr>
                <w:b/>
                <w:color w:val="070707"/>
                <w:spacing w:val="-4"/>
                <w:w w:val="105"/>
                <w:sz w:val="21"/>
              </w:rPr>
              <w:t>1,628</w:t>
            </w:r>
          </w:p>
        </w:tc>
      </w:tr>
      <w:tr>
        <w:trPr>
          <w:trHeight w:val="333" w:hRule="atLeast"/>
        </w:trPr>
        <w:tc>
          <w:tcPr>
            <w:tcW w:w="4404" w:type="dxa"/>
          </w:tcPr>
          <w:p>
            <w:pPr>
              <w:pStyle w:val="TableParagraph"/>
              <w:spacing w:before="19"/>
              <w:ind w:left="56"/>
              <w:rPr>
                <w:sz w:val="22"/>
              </w:rPr>
            </w:pPr>
            <w:r>
              <w:rPr>
                <w:color w:val="070707"/>
                <w:sz w:val="22"/>
              </w:rPr>
              <w:t>Legal &amp;</w:t>
            </w:r>
            <w:r>
              <w:rPr>
                <w:color w:val="070707"/>
                <w:spacing w:val="-11"/>
                <w:sz w:val="22"/>
              </w:rPr>
              <w:t> </w:t>
            </w:r>
            <w:r>
              <w:rPr>
                <w:color w:val="070707"/>
                <w:sz w:val="22"/>
              </w:rPr>
              <w:t>Democratic</w:t>
            </w:r>
            <w:r>
              <w:rPr>
                <w:color w:val="070707"/>
                <w:spacing w:val="3"/>
                <w:sz w:val="22"/>
              </w:rPr>
              <w:t> </w:t>
            </w:r>
            <w:r>
              <w:rPr>
                <w:color w:val="070707"/>
                <w:spacing w:val="-2"/>
                <w:sz w:val="22"/>
              </w:rPr>
              <w:t>Services</w:t>
            </w:r>
          </w:p>
        </w:tc>
        <w:tc>
          <w:tcPr>
            <w:tcW w:w="1831" w:type="dxa"/>
          </w:tcPr>
          <w:p>
            <w:pPr>
              <w:pStyle w:val="TableParagraph"/>
              <w:spacing w:before="57"/>
              <w:ind w:left="1106"/>
              <w:rPr>
                <w:sz w:val="22"/>
              </w:rPr>
            </w:pPr>
            <w:r>
              <w:rPr>
                <w:color w:val="070707"/>
                <w:spacing w:val="-2"/>
                <w:sz w:val="22"/>
              </w:rPr>
              <w:t>1,615</w:t>
            </w:r>
          </w:p>
        </w:tc>
        <w:tc>
          <w:tcPr>
            <w:tcW w:w="1757" w:type="dxa"/>
          </w:tcPr>
          <w:p>
            <w:pPr>
              <w:pStyle w:val="TableParagraph"/>
              <w:spacing w:before="52"/>
              <w:ind w:right="154"/>
              <w:jc w:val="right"/>
              <w:rPr>
                <w:sz w:val="22"/>
              </w:rPr>
            </w:pPr>
            <w:r>
              <w:rPr>
                <w:color w:val="070707"/>
                <w:spacing w:val="-5"/>
                <w:w w:val="105"/>
                <w:sz w:val="22"/>
              </w:rPr>
              <w:t>92</w:t>
            </w:r>
          </w:p>
        </w:tc>
        <w:tc>
          <w:tcPr>
            <w:tcW w:w="1795" w:type="dxa"/>
          </w:tcPr>
          <w:p>
            <w:pPr>
              <w:pStyle w:val="TableParagraph"/>
              <w:spacing w:before="57"/>
              <w:ind w:right="17"/>
              <w:jc w:val="right"/>
              <w:rPr>
                <w:b/>
                <w:sz w:val="21"/>
              </w:rPr>
            </w:pPr>
            <w:r>
              <w:rPr>
                <w:b/>
                <w:color w:val="070707"/>
                <w:spacing w:val="-4"/>
                <w:w w:val="105"/>
                <w:sz w:val="21"/>
              </w:rPr>
              <w:t>1,707</w:t>
            </w:r>
          </w:p>
        </w:tc>
      </w:tr>
      <w:tr>
        <w:trPr>
          <w:trHeight w:val="333" w:hRule="atLeast"/>
        </w:trPr>
        <w:tc>
          <w:tcPr>
            <w:tcW w:w="4404" w:type="dxa"/>
          </w:tcPr>
          <w:p>
            <w:pPr>
              <w:pStyle w:val="TableParagraph"/>
              <w:spacing w:before="16"/>
              <w:ind w:left="55"/>
              <w:rPr>
                <w:sz w:val="22"/>
              </w:rPr>
            </w:pPr>
            <w:r>
              <w:rPr>
                <w:color w:val="070707"/>
                <w:sz w:val="22"/>
              </w:rPr>
              <w:t>Partnership</w:t>
            </w:r>
            <w:r>
              <w:rPr>
                <w:color w:val="070707"/>
                <w:spacing w:val="-3"/>
                <w:sz w:val="22"/>
              </w:rPr>
              <w:t> </w:t>
            </w:r>
            <w:r>
              <w:rPr>
                <w:color w:val="070707"/>
                <w:sz w:val="22"/>
              </w:rPr>
              <w:t>&amp;</w:t>
            </w:r>
            <w:r>
              <w:rPr>
                <w:color w:val="070707"/>
                <w:spacing w:val="-15"/>
                <w:sz w:val="22"/>
              </w:rPr>
              <w:t> </w:t>
            </w:r>
            <w:r>
              <w:rPr>
                <w:color w:val="070707"/>
                <w:sz w:val="22"/>
              </w:rPr>
              <w:t>Community</w:t>
            </w:r>
            <w:r>
              <w:rPr>
                <w:color w:val="070707"/>
                <w:spacing w:val="2"/>
                <w:sz w:val="22"/>
              </w:rPr>
              <w:t> </w:t>
            </w:r>
            <w:r>
              <w:rPr>
                <w:color w:val="070707"/>
                <w:spacing w:val="-2"/>
                <w:sz w:val="22"/>
              </w:rPr>
              <w:t>Engagement</w:t>
            </w:r>
          </w:p>
        </w:tc>
        <w:tc>
          <w:tcPr>
            <w:tcW w:w="1831" w:type="dxa"/>
          </w:tcPr>
          <w:p>
            <w:pPr>
              <w:pStyle w:val="TableParagraph"/>
              <w:spacing w:before="55"/>
              <w:ind w:left="1106"/>
              <w:rPr>
                <w:sz w:val="22"/>
              </w:rPr>
            </w:pPr>
            <w:r>
              <w:rPr>
                <w:color w:val="070707"/>
                <w:spacing w:val="-2"/>
                <w:sz w:val="22"/>
              </w:rPr>
              <w:t>1,097</w:t>
            </w:r>
          </w:p>
        </w:tc>
        <w:tc>
          <w:tcPr>
            <w:tcW w:w="1757" w:type="dxa"/>
          </w:tcPr>
          <w:p>
            <w:pPr>
              <w:pStyle w:val="TableParagraph"/>
              <w:rPr>
                <w:rFonts w:ascii="Times New Roman"/>
                <w:sz w:val="20"/>
              </w:rPr>
            </w:pPr>
          </w:p>
        </w:tc>
        <w:tc>
          <w:tcPr>
            <w:tcW w:w="1795" w:type="dxa"/>
          </w:tcPr>
          <w:p>
            <w:pPr>
              <w:pStyle w:val="TableParagraph"/>
              <w:spacing w:before="59"/>
              <w:ind w:right="17"/>
              <w:jc w:val="right"/>
              <w:rPr>
                <w:b/>
                <w:sz w:val="21"/>
              </w:rPr>
            </w:pPr>
            <w:r>
              <w:rPr>
                <w:b/>
                <w:color w:val="070707"/>
                <w:spacing w:val="-4"/>
                <w:w w:val="105"/>
                <w:sz w:val="21"/>
              </w:rPr>
              <w:t>1,097</w:t>
            </w:r>
          </w:p>
        </w:tc>
      </w:tr>
      <w:tr>
        <w:trPr>
          <w:trHeight w:val="333" w:hRule="atLeast"/>
        </w:trPr>
        <w:tc>
          <w:tcPr>
            <w:tcW w:w="4404" w:type="dxa"/>
          </w:tcPr>
          <w:p>
            <w:pPr>
              <w:pStyle w:val="TableParagraph"/>
              <w:spacing w:before="19"/>
              <w:ind w:left="55"/>
              <w:rPr>
                <w:sz w:val="22"/>
              </w:rPr>
            </w:pPr>
            <w:r>
              <w:rPr>
                <w:color w:val="070707"/>
                <w:sz w:val="22"/>
              </w:rPr>
              <w:t>Planning</w:t>
            </w:r>
            <w:r>
              <w:rPr>
                <w:color w:val="070707"/>
                <w:spacing w:val="1"/>
                <w:sz w:val="22"/>
              </w:rPr>
              <w:t> </w:t>
            </w:r>
            <w:r>
              <w:rPr>
                <w:color w:val="070707"/>
                <w:sz w:val="22"/>
              </w:rPr>
              <w:t>&amp;</w:t>
            </w:r>
            <w:r>
              <w:rPr>
                <w:color w:val="070707"/>
                <w:spacing w:val="-12"/>
                <w:sz w:val="22"/>
              </w:rPr>
              <w:t> </w:t>
            </w:r>
            <w:r>
              <w:rPr>
                <w:color w:val="070707"/>
                <w:sz w:val="22"/>
              </w:rPr>
              <w:t>Economic</w:t>
            </w:r>
            <w:r>
              <w:rPr>
                <w:color w:val="070707"/>
                <w:spacing w:val="1"/>
                <w:sz w:val="22"/>
              </w:rPr>
              <w:t> </w:t>
            </w:r>
            <w:r>
              <w:rPr>
                <w:color w:val="070707"/>
                <w:spacing w:val="-2"/>
                <w:sz w:val="22"/>
              </w:rPr>
              <w:t>Development</w:t>
            </w:r>
          </w:p>
        </w:tc>
        <w:tc>
          <w:tcPr>
            <w:tcW w:w="1831" w:type="dxa"/>
          </w:tcPr>
          <w:p>
            <w:pPr>
              <w:pStyle w:val="TableParagraph"/>
              <w:spacing w:before="57"/>
              <w:ind w:left="1106"/>
              <w:rPr>
                <w:sz w:val="22"/>
              </w:rPr>
            </w:pPr>
            <w:r>
              <w:rPr>
                <w:color w:val="070707"/>
                <w:spacing w:val="-2"/>
                <w:sz w:val="22"/>
              </w:rPr>
              <w:t>1,295</w:t>
            </w:r>
          </w:p>
        </w:tc>
        <w:tc>
          <w:tcPr>
            <w:tcW w:w="1757" w:type="dxa"/>
          </w:tcPr>
          <w:p>
            <w:pPr>
              <w:pStyle w:val="TableParagraph"/>
              <w:spacing w:before="57"/>
              <w:ind w:right="159"/>
              <w:jc w:val="right"/>
              <w:rPr>
                <w:sz w:val="22"/>
              </w:rPr>
            </w:pPr>
            <w:r>
              <w:rPr>
                <w:color w:val="070707"/>
                <w:spacing w:val="-5"/>
                <w:sz w:val="22"/>
              </w:rPr>
              <w:t>806</w:t>
            </w:r>
          </w:p>
        </w:tc>
        <w:tc>
          <w:tcPr>
            <w:tcW w:w="1795" w:type="dxa"/>
          </w:tcPr>
          <w:p>
            <w:pPr>
              <w:pStyle w:val="TableParagraph"/>
              <w:spacing w:before="57"/>
              <w:ind w:right="16"/>
              <w:jc w:val="right"/>
              <w:rPr>
                <w:b/>
                <w:sz w:val="21"/>
              </w:rPr>
            </w:pPr>
            <w:r>
              <w:rPr>
                <w:b/>
                <w:color w:val="070707"/>
                <w:spacing w:val="-4"/>
                <w:w w:val="105"/>
                <w:sz w:val="21"/>
              </w:rPr>
              <w:t>2,101</w:t>
            </w:r>
          </w:p>
        </w:tc>
      </w:tr>
      <w:tr>
        <w:trPr>
          <w:trHeight w:val="336" w:hRule="atLeast"/>
        </w:trPr>
        <w:tc>
          <w:tcPr>
            <w:tcW w:w="4404" w:type="dxa"/>
          </w:tcPr>
          <w:p>
            <w:pPr>
              <w:pStyle w:val="TableParagraph"/>
              <w:spacing w:before="16"/>
              <w:ind w:left="62"/>
              <w:rPr>
                <w:sz w:val="22"/>
              </w:rPr>
            </w:pPr>
            <w:r>
              <w:rPr>
                <w:color w:val="070707"/>
                <w:sz w:val="22"/>
              </w:rPr>
              <w:t>Street</w:t>
            </w:r>
            <w:r>
              <w:rPr>
                <w:color w:val="070707"/>
                <w:spacing w:val="-3"/>
                <w:sz w:val="22"/>
              </w:rPr>
              <w:t> </w:t>
            </w:r>
            <w:r>
              <w:rPr>
                <w:color w:val="070707"/>
                <w:sz w:val="22"/>
              </w:rPr>
              <w:t>Scene</w:t>
            </w:r>
            <w:r>
              <w:rPr>
                <w:color w:val="070707"/>
                <w:spacing w:val="-9"/>
                <w:sz w:val="22"/>
              </w:rPr>
              <w:t> </w:t>
            </w:r>
            <w:r>
              <w:rPr>
                <w:color w:val="070707"/>
                <w:spacing w:val="-2"/>
                <w:sz w:val="22"/>
              </w:rPr>
              <w:t>Services</w:t>
            </w:r>
          </w:p>
        </w:tc>
        <w:tc>
          <w:tcPr>
            <w:tcW w:w="1831" w:type="dxa"/>
          </w:tcPr>
          <w:p>
            <w:pPr>
              <w:pStyle w:val="TableParagraph"/>
              <w:spacing w:before="55"/>
              <w:ind w:left="1108"/>
              <w:rPr>
                <w:sz w:val="22"/>
              </w:rPr>
            </w:pPr>
            <w:r>
              <w:rPr>
                <w:color w:val="070707"/>
                <w:spacing w:val="-2"/>
                <w:sz w:val="22"/>
              </w:rPr>
              <w:t>4,467</w:t>
            </w:r>
          </w:p>
        </w:tc>
        <w:tc>
          <w:tcPr>
            <w:tcW w:w="1757" w:type="dxa"/>
          </w:tcPr>
          <w:p>
            <w:pPr>
              <w:pStyle w:val="TableParagraph"/>
              <w:spacing w:before="55"/>
              <w:ind w:right="158"/>
              <w:jc w:val="right"/>
              <w:rPr>
                <w:sz w:val="22"/>
              </w:rPr>
            </w:pPr>
            <w:r>
              <w:rPr>
                <w:color w:val="070707"/>
                <w:spacing w:val="-2"/>
                <w:sz w:val="22"/>
              </w:rPr>
              <w:t>1,089</w:t>
            </w:r>
          </w:p>
        </w:tc>
        <w:tc>
          <w:tcPr>
            <w:tcW w:w="1795" w:type="dxa"/>
          </w:tcPr>
          <w:p>
            <w:pPr>
              <w:pStyle w:val="TableParagraph"/>
              <w:spacing w:before="59"/>
              <w:ind w:right="15"/>
              <w:jc w:val="right"/>
              <w:rPr>
                <w:b/>
                <w:sz w:val="21"/>
              </w:rPr>
            </w:pPr>
            <w:r>
              <w:rPr>
                <w:b/>
                <w:color w:val="070707"/>
                <w:spacing w:val="-4"/>
                <w:w w:val="105"/>
                <w:sz w:val="21"/>
              </w:rPr>
              <w:t>5,556</w:t>
            </w:r>
          </w:p>
        </w:tc>
      </w:tr>
      <w:tr>
        <w:trPr>
          <w:trHeight w:val="297" w:hRule="atLeast"/>
        </w:trPr>
        <w:tc>
          <w:tcPr>
            <w:tcW w:w="4404" w:type="dxa"/>
          </w:tcPr>
          <w:p>
            <w:pPr>
              <w:pStyle w:val="TableParagraph"/>
              <w:spacing w:before="21"/>
              <w:ind w:left="55"/>
              <w:rPr>
                <w:sz w:val="22"/>
              </w:rPr>
            </w:pPr>
            <w:r>
              <w:rPr>
                <w:color w:val="070707"/>
                <w:sz w:val="22"/>
              </w:rPr>
              <w:t>Exceptional</w:t>
            </w:r>
            <w:r>
              <w:rPr>
                <w:color w:val="070707"/>
                <w:spacing w:val="-7"/>
                <w:sz w:val="22"/>
              </w:rPr>
              <w:t> </w:t>
            </w:r>
            <w:r>
              <w:rPr>
                <w:color w:val="070707"/>
                <w:sz w:val="22"/>
              </w:rPr>
              <w:t>Items</w:t>
            </w:r>
            <w:r>
              <w:rPr>
                <w:color w:val="070707"/>
                <w:spacing w:val="-12"/>
                <w:sz w:val="22"/>
              </w:rPr>
              <w:t> </w:t>
            </w:r>
            <w:r>
              <w:rPr>
                <w:color w:val="070707"/>
                <w:sz w:val="22"/>
              </w:rPr>
              <w:t>-</w:t>
            </w:r>
            <w:r>
              <w:rPr>
                <w:color w:val="070707"/>
                <w:spacing w:val="-11"/>
                <w:sz w:val="22"/>
              </w:rPr>
              <w:t> </w:t>
            </w:r>
            <w:r>
              <w:rPr>
                <w:color w:val="070707"/>
                <w:sz w:val="22"/>
              </w:rPr>
              <w:t>Covid-</w:t>
            </w:r>
            <w:r>
              <w:rPr>
                <w:color w:val="070707"/>
                <w:spacing w:val="-5"/>
                <w:sz w:val="22"/>
              </w:rPr>
              <w:t>19</w:t>
            </w:r>
          </w:p>
        </w:tc>
        <w:tc>
          <w:tcPr>
            <w:tcW w:w="1831" w:type="dxa"/>
          </w:tcPr>
          <w:p>
            <w:pPr>
              <w:pStyle w:val="TableParagraph"/>
              <w:rPr>
                <w:rFonts w:ascii="Times New Roman"/>
                <w:sz w:val="20"/>
              </w:rPr>
            </w:pPr>
          </w:p>
        </w:tc>
        <w:tc>
          <w:tcPr>
            <w:tcW w:w="1757" w:type="dxa"/>
          </w:tcPr>
          <w:p>
            <w:pPr>
              <w:pStyle w:val="TableParagraph"/>
              <w:rPr>
                <w:rFonts w:ascii="Times New Roman"/>
                <w:sz w:val="20"/>
              </w:rPr>
            </w:pPr>
          </w:p>
        </w:tc>
        <w:tc>
          <w:tcPr>
            <w:tcW w:w="1795" w:type="dxa"/>
          </w:tcPr>
          <w:p>
            <w:pPr>
              <w:pStyle w:val="TableParagraph"/>
              <w:rPr>
                <w:rFonts w:ascii="Times New Roman"/>
                <w:sz w:val="20"/>
              </w:rPr>
            </w:pPr>
          </w:p>
        </w:tc>
      </w:tr>
      <w:tr>
        <w:trPr>
          <w:trHeight w:val="550" w:hRule="atLeast"/>
        </w:trPr>
        <w:tc>
          <w:tcPr>
            <w:tcW w:w="4404" w:type="dxa"/>
          </w:tcPr>
          <w:p>
            <w:pPr>
              <w:pStyle w:val="TableParagraph"/>
              <w:spacing w:before="16"/>
              <w:ind w:left="62" w:hanging="3"/>
              <w:rPr>
                <w:sz w:val="22"/>
              </w:rPr>
            </w:pPr>
            <w:r>
              <w:rPr>
                <w:color w:val="070707"/>
                <w:sz w:val="22"/>
              </w:rPr>
              <w:t>Exceptional</w:t>
            </w:r>
            <w:r>
              <w:rPr>
                <w:color w:val="070707"/>
                <w:spacing w:val="-11"/>
                <w:sz w:val="22"/>
              </w:rPr>
              <w:t> </w:t>
            </w:r>
            <w:r>
              <w:rPr>
                <w:color w:val="070707"/>
                <w:sz w:val="22"/>
              </w:rPr>
              <w:t>Items</w:t>
            </w:r>
            <w:r>
              <w:rPr>
                <w:color w:val="070707"/>
                <w:spacing w:val="-12"/>
                <w:sz w:val="22"/>
              </w:rPr>
              <w:t> </w:t>
            </w:r>
            <w:r>
              <w:rPr>
                <w:color w:val="070707"/>
                <w:sz w:val="22"/>
              </w:rPr>
              <w:t>-</w:t>
            </w:r>
            <w:r>
              <w:rPr>
                <w:color w:val="070707"/>
                <w:spacing w:val="-16"/>
                <w:sz w:val="22"/>
              </w:rPr>
              <w:t> </w:t>
            </w:r>
            <w:r>
              <w:rPr>
                <w:color w:val="070707"/>
                <w:sz w:val="22"/>
              </w:rPr>
              <w:t>Covid-19</w:t>
            </w:r>
            <w:r>
              <w:rPr>
                <w:color w:val="070707"/>
                <w:spacing w:val="-9"/>
                <w:sz w:val="22"/>
              </w:rPr>
              <w:t> </w:t>
            </w:r>
            <w:r>
              <w:rPr>
                <w:color w:val="070707"/>
                <w:sz w:val="22"/>
              </w:rPr>
              <w:t>Business Support Grants</w:t>
            </w:r>
          </w:p>
        </w:tc>
        <w:tc>
          <w:tcPr>
            <w:tcW w:w="1831" w:type="dxa"/>
          </w:tcPr>
          <w:p>
            <w:pPr>
              <w:pStyle w:val="TableParagraph"/>
              <w:rPr>
                <w:rFonts w:ascii="Times New Roman"/>
                <w:sz w:val="20"/>
              </w:rPr>
            </w:pPr>
          </w:p>
        </w:tc>
        <w:tc>
          <w:tcPr>
            <w:tcW w:w="1757" w:type="dxa"/>
          </w:tcPr>
          <w:p>
            <w:pPr>
              <w:pStyle w:val="TableParagraph"/>
              <w:rPr>
                <w:rFonts w:ascii="Times New Roman"/>
                <w:sz w:val="20"/>
              </w:rPr>
            </w:pPr>
          </w:p>
        </w:tc>
        <w:tc>
          <w:tcPr>
            <w:tcW w:w="1795" w:type="dxa"/>
          </w:tcPr>
          <w:p>
            <w:pPr>
              <w:pStyle w:val="TableParagraph"/>
              <w:rPr>
                <w:rFonts w:ascii="Times New Roman"/>
                <w:sz w:val="20"/>
              </w:rPr>
            </w:pPr>
          </w:p>
        </w:tc>
      </w:tr>
      <w:tr>
        <w:trPr>
          <w:trHeight w:val="626" w:hRule="atLeast"/>
        </w:trPr>
        <w:tc>
          <w:tcPr>
            <w:tcW w:w="4404" w:type="dxa"/>
          </w:tcPr>
          <w:p>
            <w:pPr>
              <w:pStyle w:val="TableParagraph"/>
              <w:spacing w:before="19"/>
              <w:ind w:left="60"/>
              <w:rPr>
                <w:sz w:val="22"/>
              </w:rPr>
            </w:pPr>
            <w:r>
              <w:rPr>
                <w:color w:val="070707"/>
                <w:sz w:val="22"/>
              </w:rPr>
              <w:t>Exceptional</w:t>
            </w:r>
            <w:r>
              <w:rPr>
                <w:color w:val="070707"/>
                <w:spacing w:val="-3"/>
                <w:sz w:val="22"/>
              </w:rPr>
              <w:t> </w:t>
            </w:r>
            <w:r>
              <w:rPr>
                <w:color w:val="070707"/>
                <w:sz w:val="22"/>
              </w:rPr>
              <w:t>Items</w:t>
            </w:r>
            <w:r>
              <w:rPr>
                <w:color w:val="070707"/>
                <w:spacing w:val="-7"/>
                <w:sz w:val="22"/>
              </w:rPr>
              <w:t> </w:t>
            </w:r>
            <w:r>
              <w:rPr>
                <w:color w:val="070707"/>
                <w:sz w:val="22"/>
              </w:rPr>
              <w:t>-</w:t>
            </w:r>
            <w:r>
              <w:rPr>
                <w:color w:val="070707"/>
                <w:spacing w:val="-12"/>
                <w:sz w:val="22"/>
              </w:rPr>
              <w:t> </w:t>
            </w:r>
            <w:r>
              <w:rPr>
                <w:color w:val="070707"/>
                <w:sz w:val="22"/>
              </w:rPr>
              <w:t>Covid-19</w:t>
            </w:r>
            <w:r>
              <w:rPr>
                <w:color w:val="070707"/>
                <w:spacing w:val="-3"/>
                <w:sz w:val="22"/>
              </w:rPr>
              <w:t> </w:t>
            </w:r>
            <w:r>
              <w:rPr>
                <w:color w:val="070707"/>
                <w:sz w:val="22"/>
              </w:rPr>
              <w:t>Self</w:t>
            </w:r>
            <w:r>
              <w:rPr>
                <w:color w:val="070707"/>
                <w:spacing w:val="-6"/>
                <w:sz w:val="22"/>
              </w:rPr>
              <w:t> </w:t>
            </w:r>
            <w:r>
              <w:rPr>
                <w:color w:val="070707"/>
                <w:spacing w:val="-2"/>
                <w:sz w:val="22"/>
              </w:rPr>
              <w:t>Isolation</w:t>
            </w:r>
          </w:p>
        </w:tc>
        <w:tc>
          <w:tcPr>
            <w:tcW w:w="1831" w:type="dxa"/>
            <w:tcBorders>
              <w:bottom w:val="single" w:color="000000" w:sz="6" w:space="0"/>
            </w:tcBorders>
          </w:tcPr>
          <w:p>
            <w:pPr>
              <w:pStyle w:val="TableParagraph"/>
              <w:rPr>
                <w:rFonts w:ascii="Times New Roman"/>
                <w:sz w:val="20"/>
              </w:rPr>
            </w:pPr>
          </w:p>
        </w:tc>
        <w:tc>
          <w:tcPr>
            <w:tcW w:w="1757" w:type="dxa"/>
            <w:tcBorders>
              <w:bottom w:val="single" w:color="000000" w:sz="6" w:space="0"/>
            </w:tcBorders>
          </w:tcPr>
          <w:p>
            <w:pPr>
              <w:pStyle w:val="TableParagraph"/>
              <w:rPr>
                <w:rFonts w:ascii="Times New Roman"/>
                <w:sz w:val="20"/>
              </w:rPr>
            </w:pPr>
          </w:p>
        </w:tc>
        <w:tc>
          <w:tcPr>
            <w:tcW w:w="1795" w:type="dxa"/>
            <w:tcBorders>
              <w:bottom w:val="single" w:color="000000" w:sz="6" w:space="0"/>
            </w:tcBorders>
          </w:tcPr>
          <w:p>
            <w:pPr>
              <w:pStyle w:val="TableParagraph"/>
              <w:rPr>
                <w:rFonts w:ascii="Times New Roman"/>
                <w:sz w:val="20"/>
              </w:rPr>
            </w:pPr>
          </w:p>
        </w:tc>
      </w:tr>
      <w:tr>
        <w:trPr>
          <w:trHeight w:val="614" w:hRule="atLeast"/>
        </w:trPr>
        <w:tc>
          <w:tcPr>
            <w:tcW w:w="4404" w:type="dxa"/>
          </w:tcPr>
          <w:p>
            <w:pPr>
              <w:pStyle w:val="TableParagraph"/>
              <w:spacing w:before="60"/>
              <w:ind w:left="63"/>
              <w:rPr>
                <w:b/>
                <w:sz w:val="21"/>
              </w:rPr>
            </w:pPr>
            <w:r>
              <w:rPr>
                <w:b/>
                <w:color w:val="070707"/>
                <w:spacing w:val="-4"/>
                <w:w w:val="105"/>
                <w:sz w:val="21"/>
              </w:rPr>
              <w:t>Total</w:t>
            </w:r>
          </w:p>
        </w:tc>
        <w:tc>
          <w:tcPr>
            <w:tcW w:w="1831" w:type="dxa"/>
            <w:tcBorders>
              <w:top w:val="single" w:color="000000" w:sz="6" w:space="0"/>
            </w:tcBorders>
          </w:tcPr>
          <w:p>
            <w:pPr>
              <w:pStyle w:val="TableParagraph"/>
              <w:spacing w:before="93"/>
              <w:ind w:left="1111"/>
              <w:rPr>
                <w:b/>
                <w:sz w:val="21"/>
              </w:rPr>
            </w:pPr>
            <w:r>
              <w:rPr>
                <w:b/>
                <w:color w:val="070707"/>
                <w:spacing w:val="-4"/>
                <w:w w:val="105"/>
                <w:sz w:val="21"/>
              </w:rPr>
              <w:t>5,789</w:t>
            </w:r>
          </w:p>
        </w:tc>
        <w:tc>
          <w:tcPr>
            <w:tcW w:w="1757" w:type="dxa"/>
            <w:tcBorders>
              <w:top w:val="single" w:color="000000" w:sz="6" w:space="0"/>
            </w:tcBorders>
          </w:tcPr>
          <w:p>
            <w:pPr>
              <w:pStyle w:val="TableParagraph"/>
              <w:spacing w:before="93"/>
              <w:ind w:right="155"/>
              <w:jc w:val="right"/>
              <w:rPr>
                <w:b/>
                <w:sz w:val="21"/>
              </w:rPr>
            </w:pPr>
            <w:r>
              <w:rPr>
                <w:b/>
                <w:color w:val="070707"/>
                <w:spacing w:val="-4"/>
                <w:w w:val="105"/>
                <w:sz w:val="21"/>
              </w:rPr>
              <w:t>9,388</w:t>
            </w:r>
          </w:p>
        </w:tc>
        <w:tc>
          <w:tcPr>
            <w:tcW w:w="1795" w:type="dxa"/>
            <w:tcBorders>
              <w:top w:val="single" w:color="000000" w:sz="6" w:space="0"/>
            </w:tcBorders>
          </w:tcPr>
          <w:p>
            <w:pPr>
              <w:pStyle w:val="TableParagraph"/>
              <w:spacing w:before="88"/>
              <w:ind w:right="67"/>
              <w:jc w:val="right"/>
              <w:rPr>
                <w:b/>
                <w:sz w:val="21"/>
              </w:rPr>
            </w:pPr>
            <w:r>
              <w:rPr>
                <w:b/>
                <w:color w:val="070707"/>
                <w:spacing w:val="-2"/>
                <w:w w:val="105"/>
                <w:sz w:val="21"/>
              </w:rPr>
              <w:t>15,177</w:t>
            </w:r>
          </w:p>
        </w:tc>
      </w:tr>
      <w:tr>
        <w:trPr>
          <w:trHeight w:val="874" w:hRule="atLeast"/>
        </w:trPr>
        <w:tc>
          <w:tcPr>
            <w:tcW w:w="4404" w:type="dxa"/>
          </w:tcPr>
          <w:p>
            <w:pPr>
              <w:pStyle w:val="TableParagraph"/>
              <w:spacing w:before="19"/>
              <w:rPr>
                <w:b/>
                <w:sz w:val="22"/>
              </w:rPr>
            </w:pPr>
          </w:p>
          <w:p>
            <w:pPr>
              <w:pStyle w:val="TableParagraph"/>
              <w:ind w:left="62"/>
              <w:rPr>
                <w:sz w:val="22"/>
              </w:rPr>
            </w:pPr>
            <w:r>
              <w:rPr>
                <w:color w:val="070707"/>
                <w:sz w:val="22"/>
              </w:rPr>
              <w:t>Other</w:t>
            </w:r>
            <w:r>
              <w:rPr>
                <w:color w:val="070707"/>
                <w:spacing w:val="-4"/>
                <w:sz w:val="22"/>
              </w:rPr>
              <w:t> </w:t>
            </w:r>
            <w:r>
              <w:rPr>
                <w:color w:val="070707"/>
                <w:sz w:val="22"/>
              </w:rPr>
              <w:t>Income</w:t>
            </w:r>
            <w:r>
              <w:rPr>
                <w:color w:val="070707"/>
                <w:spacing w:val="3"/>
                <w:sz w:val="22"/>
              </w:rPr>
              <w:t> </w:t>
            </w:r>
            <w:r>
              <w:rPr>
                <w:color w:val="070707"/>
                <w:sz w:val="22"/>
              </w:rPr>
              <w:t>and</w:t>
            </w:r>
            <w:r>
              <w:rPr>
                <w:color w:val="070707"/>
                <w:spacing w:val="-12"/>
                <w:sz w:val="22"/>
              </w:rPr>
              <w:t> </w:t>
            </w:r>
            <w:r>
              <w:rPr>
                <w:color w:val="070707"/>
                <w:spacing w:val="-2"/>
                <w:sz w:val="22"/>
              </w:rPr>
              <w:t>Expenditure</w:t>
            </w:r>
          </w:p>
        </w:tc>
        <w:tc>
          <w:tcPr>
            <w:tcW w:w="1831" w:type="dxa"/>
            <w:tcBorders>
              <w:bottom w:val="single" w:color="000000" w:sz="6" w:space="0"/>
            </w:tcBorders>
          </w:tcPr>
          <w:p>
            <w:pPr>
              <w:pStyle w:val="TableParagraph"/>
              <w:spacing w:before="52"/>
              <w:rPr>
                <w:b/>
                <w:sz w:val="22"/>
              </w:rPr>
            </w:pPr>
          </w:p>
          <w:p>
            <w:pPr>
              <w:pStyle w:val="TableParagraph"/>
              <w:spacing w:before="1"/>
              <w:ind w:left="967"/>
              <w:rPr>
                <w:sz w:val="22"/>
              </w:rPr>
            </w:pPr>
            <w:r>
              <w:rPr>
                <w:color w:val="070707"/>
                <w:spacing w:val="-2"/>
                <w:sz w:val="22"/>
              </w:rPr>
              <w:t>(8,247)</w:t>
            </w:r>
          </w:p>
        </w:tc>
        <w:tc>
          <w:tcPr>
            <w:tcW w:w="1757" w:type="dxa"/>
            <w:tcBorders>
              <w:bottom w:val="single" w:color="000000" w:sz="6" w:space="0"/>
            </w:tcBorders>
          </w:tcPr>
          <w:p>
            <w:pPr>
              <w:pStyle w:val="TableParagraph"/>
              <w:spacing w:before="52"/>
              <w:rPr>
                <w:b/>
                <w:sz w:val="22"/>
              </w:rPr>
            </w:pPr>
          </w:p>
          <w:p>
            <w:pPr>
              <w:pStyle w:val="TableParagraph"/>
              <w:spacing w:before="1"/>
              <w:ind w:right="103"/>
              <w:jc w:val="right"/>
              <w:rPr>
                <w:sz w:val="22"/>
              </w:rPr>
            </w:pPr>
            <w:r>
              <w:rPr>
                <w:color w:val="070707"/>
                <w:spacing w:val="-2"/>
                <w:sz w:val="22"/>
              </w:rPr>
              <w:t>(16,438)</w:t>
            </w:r>
          </w:p>
        </w:tc>
        <w:tc>
          <w:tcPr>
            <w:tcW w:w="1795" w:type="dxa"/>
            <w:tcBorders>
              <w:bottom w:val="single" w:color="000000" w:sz="6" w:space="0"/>
            </w:tcBorders>
          </w:tcPr>
          <w:p>
            <w:pPr>
              <w:pStyle w:val="TableParagraph"/>
              <w:spacing w:before="69"/>
              <w:rPr>
                <w:b/>
                <w:sz w:val="21"/>
              </w:rPr>
            </w:pPr>
          </w:p>
          <w:p>
            <w:pPr>
              <w:pStyle w:val="TableParagraph"/>
              <w:ind w:right="1"/>
              <w:jc w:val="right"/>
              <w:rPr>
                <w:b/>
                <w:sz w:val="21"/>
              </w:rPr>
            </w:pPr>
            <w:r>
              <w:rPr>
                <w:b/>
                <w:color w:val="070707"/>
                <w:spacing w:val="-2"/>
                <w:w w:val="105"/>
                <w:sz w:val="21"/>
              </w:rPr>
              <w:t>(24,685)</w:t>
            </w:r>
          </w:p>
        </w:tc>
      </w:tr>
      <w:tr>
        <w:trPr>
          <w:trHeight w:val="270" w:hRule="atLeast"/>
        </w:trPr>
        <w:tc>
          <w:tcPr>
            <w:tcW w:w="4404" w:type="dxa"/>
          </w:tcPr>
          <w:p>
            <w:pPr>
              <w:pStyle w:val="TableParagraph"/>
              <w:spacing w:before="21" w:line="229" w:lineRule="exact"/>
              <w:ind w:left="66"/>
              <w:rPr>
                <w:b/>
                <w:sz w:val="21"/>
              </w:rPr>
            </w:pPr>
            <w:r>
              <w:rPr>
                <w:b/>
                <w:color w:val="070707"/>
                <w:w w:val="105"/>
                <w:sz w:val="21"/>
              </w:rPr>
              <w:t>(Surplus)</w:t>
            </w:r>
            <w:r>
              <w:rPr>
                <w:b/>
                <w:color w:val="070707"/>
                <w:spacing w:val="-4"/>
                <w:w w:val="105"/>
                <w:sz w:val="21"/>
              </w:rPr>
              <w:t> </w:t>
            </w:r>
            <w:r>
              <w:rPr>
                <w:color w:val="070707"/>
                <w:w w:val="105"/>
                <w:sz w:val="21"/>
              </w:rPr>
              <w:t>/</w:t>
            </w:r>
            <w:r>
              <w:rPr>
                <w:color w:val="070707"/>
                <w:spacing w:val="-9"/>
                <w:w w:val="105"/>
                <w:sz w:val="21"/>
              </w:rPr>
              <w:t> </w:t>
            </w:r>
            <w:r>
              <w:rPr>
                <w:b/>
                <w:color w:val="070707"/>
                <w:w w:val="105"/>
                <w:sz w:val="21"/>
              </w:rPr>
              <w:t>Deficit</w:t>
            </w:r>
            <w:r>
              <w:rPr>
                <w:b/>
                <w:color w:val="070707"/>
                <w:spacing w:val="-6"/>
                <w:w w:val="105"/>
                <w:sz w:val="21"/>
              </w:rPr>
              <w:t> </w:t>
            </w:r>
            <w:r>
              <w:rPr>
                <w:b/>
                <w:color w:val="070707"/>
                <w:w w:val="105"/>
                <w:sz w:val="21"/>
              </w:rPr>
              <w:t>on</w:t>
            </w:r>
            <w:r>
              <w:rPr>
                <w:b/>
                <w:color w:val="070707"/>
                <w:spacing w:val="-9"/>
                <w:w w:val="105"/>
                <w:sz w:val="21"/>
              </w:rPr>
              <w:t> </w:t>
            </w:r>
            <w:r>
              <w:rPr>
                <w:b/>
                <w:color w:val="070707"/>
                <w:w w:val="105"/>
                <w:sz w:val="21"/>
              </w:rPr>
              <w:t>Provision</w:t>
            </w:r>
            <w:r>
              <w:rPr>
                <w:b/>
                <w:color w:val="070707"/>
                <w:spacing w:val="1"/>
                <w:w w:val="105"/>
                <w:sz w:val="21"/>
              </w:rPr>
              <w:t> </w:t>
            </w:r>
            <w:r>
              <w:rPr>
                <w:b/>
                <w:color w:val="070707"/>
                <w:spacing w:val="-5"/>
                <w:w w:val="105"/>
                <w:sz w:val="21"/>
              </w:rPr>
              <w:t>of</w:t>
            </w:r>
          </w:p>
        </w:tc>
        <w:tc>
          <w:tcPr>
            <w:tcW w:w="1831" w:type="dxa"/>
            <w:tcBorders>
              <w:top w:val="single" w:color="000000" w:sz="6" w:space="0"/>
            </w:tcBorders>
          </w:tcPr>
          <w:p>
            <w:pPr>
              <w:pStyle w:val="TableParagraph"/>
              <w:rPr>
                <w:rFonts w:ascii="Times New Roman"/>
                <w:sz w:val="20"/>
              </w:rPr>
            </w:pPr>
          </w:p>
        </w:tc>
        <w:tc>
          <w:tcPr>
            <w:tcW w:w="1757" w:type="dxa"/>
            <w:tcBorders>
              <w:top w:val="single" w:color="000000" w:sz="6" w:space="0"/>
            </w:tcBorders>
          </w:tcPr>
          <w:p>
            <w:pPr>
              <w:pStyle w:val="TableParagraph"/>
              <w:rPr>
                <w:rFonts w:ascii="Times New Roman"/>
                <w:sz w:val="20"/>
              </w:rPr>
            </w:pPr>
          </w:p>
        </w:tc>
        <w:tc>
          <w:tcPr>
            <w:tcW w:w="1795" w:type="dxa"/>
            <w:tcBorders>
              <w:top w:val="single" w:color="000000" w:sz="6" w:space="0"/>
            </w:tcBorders>
          </w:tcPr>
          <w:p>
            <w:pPr>
              <w:pStyle w:val="TableParagraph"/>
              <w:rPr>
                <w:rFonts w:ascii="Times New Roman"/>
                <w:sz w:val="20"/>
              </w:rPr>
            </w:pPr>
          </w:p>
        </w:tc>
      </w:tr>
      <w:tr>
        <w:trPr>
          <w:trHeight w:val="459" w:hRule="atLeast"/>
        </w:trPr>
        <w:tc>
          <w:tcPr>
            <w:tcW w:w="4404" w:type="dxa"/>
          </w:tcPr>
          <w:p>
            <w:pPr>
              <w:pStyle w:val="TableParagraph"/>
              <w:spacing w:before="5"/>
              <w:ind w:left="65"/>
              <w:rPr>
                <w:b/>
                <w:sz w:val="21"/>
              </w:rPr>
            </w:pPr>
            <w:r>
              <w:rPr>
                <w:b/>
                <w:color w:val="070707"/>
                <w:spacing w:val="-2"/>
                <w:w w:val="105"/>
                <w:sz w:val="21"/>
              </w:rPr>
              <w:t>Services</w:t>
            </w:r>
          </w:p>
        </w:tc>
        <w:tc>
          <w:tcPr>
            <w:tcW w:w="1831" w:type="dxa"/>
          </w:tcPr>
          <w:p>
            <w:pPr>
              <w:pStyle w:val="TableParagraph"/>
              <w:spacing w:before="1"/>
              <w:ind w:left="902"/>
              <w:rPr>
                <w:b/>
                <w:sz w:val="21"/>
              </w:rPr>
            </w:pPr>
            <w:r>
              <w:rPr>
                <w:b/>
                <w:color w:val="070707"/>
                <w:spacing w:val="-2"/>
                <w:w w:val="105"/>
                <w:sz w:val="21"/>
                <w:u w:val="thick" w:color="070707"/>
              </w:rPr>
              <w:t>(2,458)</w:t>
            </w:r>
          </w:p>
        </w:tc>
        <w:tc>
          <w:tcPr>
            <w:tcW w:w="1757" w:type="dxa"/>
          </w:tcPr>
          <w:p>
            <w:pPr>
              <w:pStyle w:val="TableParagraph"/>
              <w:spacing w:before="5"/>
              <w:ind w:right="89"/>
              <w:jc w:val="right"/>
              <w:rPr>
                <w:b/>
                <w:sz w:val="21"/>
              </w:rPr>
            </w:pPr>
            <w:r>
              <w:rPr>
                <w:b/>
                <w:color w:val="070707"/>
                <w:spacing w:val="-2"/>
                <w:w w:val="105"/>
                <w:sz w:val="21"/>
                <w:u w:val="thick" w:color="070707"/>
              </w:rPr>
              <w:t>(7,050)</w:t>
            </w:r>
          </w:p>
        </w:tc>
        <w:tc>
          <w:tcPr>
            <w:tcW w:w="1795" w:type="dxa"/>
          </w:tcPr>
          <w:p>
            <w:pPr>
              <w:pStyle w:val="TableParagraph"/>
              <w:spacing w:before="1"/>
              <w:ind w:right="-15"/>
              <w:jc w:val="right"/>
              <w:rPr>
                <w:b/>
                <w:sz w:val="21"/>
              </w:rPr>
            </w:pPr>
            <w:r>
              <w:rPr>
                <w:b/>
                <w:color w:val="070707"/>
                <w:spacing w:val="-2"/>
                <w:w w:val="105"/>
                <w:sz w:val="21"/>
                <w:u w:val="thick" w:color="070707"/>
              </w:rPr>
              <w:t>(9,508)</w:t>
            </w:r>
          </w:p>
        </w:tc>
      </w:tr>
      <w:tr>
        <w:trPr>
          <w:trHeight w:val="500" w:hRule="atLeast"/>
        </w:trPr>
        <w:tc>
          <w:tcPr>
            <w:tcW w:w="4404" w:type="dxa"/>
          </w:tcPr>
          <w:p>
            <w:pPr>
              <w:pStyle w:val="TableParagraph"/>
              <w:spacing w:before="209"/>
              <w:ind w:left="68"/>
              <w:rPr>
                <w:b/>
                <w:sz w:val="21"/>
              </w:rPr>
            </w:pPr>
            <w:r>
              <w:rPr>
                <w:b/>
                <w:color w:val="070707"/>
                <w:w w:val="105"/>
                <w:sz w:val="21"/>
              </w:rPr>
              <w:t>Opening</w:t>
            </w:r>
            <w:r>
              <w:rPr>
                <w:b/>
                <w:color w:val="070707"/>
                <w:spacing w:val="-1"/>
                <w:w w:val="105"/>
                <w:sz w:val="21"/>
              </w:rPr>
              <w:t> </w:t>
            </w:r>
            <w:r>
              <w:rPr>
                <w:b/>
                <w:color w:val="070707"/>
                <w:w w:val="105"/>
                <w:sz w:val="21"/>
              </w:rPr>
              <w:t>Balance</w:t>
            </w:r>
            <w:r>
              <w:rPr>
                <w:b/>
                <w:color w:val="070707"/>
                <w:spacing w:val="-5"/>
                <w:w w:val="105"/>
                <w:sz w:val="21"/>
              </w:rPr>
              <w:t> </w:t>
            </w:r>
            <w:r>
              <w:rPr>
                <w:b/>
                <w:color w:val="070707"/>
                <w:w w:val="105"/>
                <w:sz w:val="21"/>
              </w:rPr>
              <w:t>on</w:t>
            </w:r>
            <w:r>
              <w:rPr>
                <w:b/>
                <w:color w:val="070707"/>
                <w:spacing w:val="-13"/>
                <w:w w:val="105"/>
                <w:sz w:val="21"/>
              </w:rPr>
              <w:t> </w:t>
            </w:r>
            <w:r>
              <w:rPr>
                <w:b/>
                <w:color w:val="070707"/>
                <w:w w:val="105"/>
                <w:sz w:val="21"/>
              </w:rPr>
              <w:t>the</w:t>
            </w:r>
            <w:r>
              <w:rPr>
                <w:b/>
                <w:color w:val="070707"/>
                <w:spacing w:val="-12"/>
                <w:w w:val="105"/>
                <w:sz w:val="21"/>
              </w:rPr>
              <w:t> </w:t>
            </w:r>
            <w:r>
              <w:rPr>
                <w:b/>
                <w:color w:val="070707"/>
                <w:w w:val="105"/>
                <w:sz w:val="21"/>
              </w:rPr>
              <w:t>General</w:t>
            </w:r>
            <w:r>
              <w:rPr>
                <w:b/>
                <w:color w:val="070707"/>
                <w:spacing w:val="-8"/>
                <w:w w:val="105"/>
                <w:sz w:val="21"/>
              </w:rPr>
              <w:t> </w:t>
            </w:r>
            <w:r>
              <w:rPr>
                <w:b/>
                <w:color w:val="070707"/>
                <w:spacing w:val="-4"/>
                <w:w w:val="105"/>
                <w:sz w:val="21"/>
              </w:rPr>
              <w:t>Fund</w:t>
            </w:r>
          </w:p>
        </w:tc>
        <w:tc>
          <w:tcPr>
            <w:tcW w:w="1831" w:type="dxa"/>
          </w:tcPr>
          <w:p>
            <w:pPr>
              <w:pStyle w:val="TableParagraph"/>
              <w:spacing w:before="205"/>
              <w:ind w:left="847"/>
              <w:rPr>
                <w:sz w:val="22"/>
              </w:rPr>
            </w:pPr>
            <w:r>
              <w:rPr>
                <w:color w:val="070707"/>
                <w:spacing w:val="-2"/>
                <w:sz w:val="22"/>
              </w:rPr>
              <w:t>(40,277)</w:t>
            </w:r>
          </w:p>
        </w:tc>
        <w:tc>
          <w:tcPr>
            <w:tcW w:w="1757" w:type="dxa"/>
          </w:tcPr>
          <w:p>
            <w:pPr>
              <w:pStyle w:val="TableParagraph"/>
              <w:rPr>
                <w:rFonts w:ascii="Times New Roman"/>
                <w:sz w:val="20"/>
              </w:rPr>
            </w:pPr>
          </w:p>
        </w:tc>
        <w:tc>
          <w:tcPr>
            <w:tcW w:w="1795" w:type="dxa"/>
          </w:tcPr>
          <w:p>
            <w:pPr>
              <w:pStyle w:val="TableParagraph"/>
              <w:rPr>
                <w:rFonts w:ascii="Times New Roman"/>
                <w:sz w:val="20"/>
              </w:rPr>
            </w:pPr>
          </w:p>
        </w:tc>
      </w:tr>
      <w:tr>
        <w:trPr>
          <w:trHeight w:val="354" w:hRule="atLeast"/>
        </w:trPr>
        <w:tc>
          <w:tcPr>
            <w:tcW w:w="4404" w:type="dxa"/>
          </w:tcPr>
          <w:p>
            <w:pPr>
              <w:pStyle w:val="TableParagraph"/>
              <w:spacing w:before="35"/>
              <w:ind w:left="68"/>
              <w:rPr>
                <w:sz w:val="22"/>
              </w:rPr>
            </w:pPr>
            <w:r>
              <w:rPr>
                <w:color w:val="070707"/>
                <w:sz w:val="22"/>
              </w:rPr>
              <w:t>(Surplus)/</w:t>
            </w:r>
            <w:r>
              <w:rPr>
                <w:color w:val="070707"/>
                <w:spacing w:val="12"/>
                <w:sz w:val="22"/>
              </w:rPr>
              <w:t> </w:t>
            </w:r>
            <w:r>
              <w:rPr>
                <w:color w:val="070707"/>
                <w:sz w:val="22"/>
              </w:rPr>
              <w:t>Deficit</w:t>
            </w:r>
            <w:r>
              <w:rPr>
                <w:color w:val="070707"/>
                <w:spacing w:val="16"/>
                <w:sz w:val="22"/>
              </w:rPr>
              <w:t> </w:t>
            </w:r>
            <w:r>
              <w:rPr>
                <w:color w:val="070707"/>
                <w:sz w:val="22"/>
              </w:rPr>
              <w:t>for</w:t>
            </w:r>
            <w:r>
              <w:rPr>
                <w:color w:val="070707"/>
                <w:spacing w:val="10"/>
                <w:sz w:val="22"/>
              </w:rPr>
              <w:t> </w:t>
            </w:r>
            <w:r>
              <w:rPr>
                <w:color w:val="070707"/>
                <w:sz w:val="22"/>
              </w:rPr>
              <w:t>the</w:t>
            </w:r>
            <w:r>
              <w:rPr>
                <w:color w:val="070707"/>
                <w:spacing w:val="10"/>
                <w:sz w:val="22"/>
              </w:rPr>
              <w:t> </w:t>
            </w:r>
            <w:r>
              <w:rPr>
                <w:color w:val="070707"/>
                <w:spacing w:val="-4"/>
                <w:sz w:val="22"/>
              </w:rPr>
              <w:t>year</w:t>
            </w:r>
          </w:p>
        </w:tc>
        <w:tc>
          <w:tcPr>
            <w:tcW w:w="1831" w:type="dxa"/>
            <w:tcBorders>
              <w:bottom w:val="single" w:color="000000" w:sz="2" w:space="0"/>
            </w:tcBorders>
          </w:tcPr>
          <w:p>
            <w:pPr>
              <w:pStyle w:val="TableParagraph"/>
              <w:spacing w:before="40"/>
              <w:ind w:left="917"/>
              <w:rPr>
                <w:sz w:val="22"/>
              </w:rPr>
            </w:pPr>
            <w:r>
              <w:rPr>
                <w:color w:val="070707"/>
                <w:spacing w:val="-2"/>
                <w:sz w:val="22"/>
              </w:rPr>
              <w:t>{2,458}</w:t>
            </w:r>
          </w:p>
        </w:tc>
        <w:tc>
          <w:tcPr>
            <w:tcW w:w="1757" w:type="dxa"/>
          </w:tcPr>
          <w:p>
            <w:pPr>
              <w:pStyle w:val="TableParagraph"/>
              <w:rPr>
                <w:rFonts w:ascii="Times New Roman"/>
                <w:sz w:val="20"/>
              </w:rPr>
            </w:pPr>
          </w:p>
        </w:tc>
        <w:tc>
          <w:tcPr>
            <w:tcW w:w="1795" w:type="dxa"/>
          </w:tcPr>
          <w:p>
            <w:pPr>
              <w:pStyle w:val="TableParagraph"/>
              <w:rPr>
                <w:rFonts w:ascii="Times New Roman"/>
                <w:sz w:val="20"/>
              </w:rPr>
            </w:pPr>
          </w:p>
        </w:tc>
      </w:tr>
      <w:tr>
        <w:trPr>
          <w:trHeight w:val="263" w:hRule="atLeast"/>
        </w:trPr>
        <w:tc>
          <w:tcPr>
            <w:tcW w:w="4404" w:type="dxa"/>
          </w:tcPr>
          <w:p>
            <w:pPr>
              <w:pStyle w:val="TableParagraph"/>
              <w:spacing w:before="16" w:line="226" w:lineRule="exact"/>
              <w:ind w:left="62"/>
              <w:rPr>
                <w:b/>
                <w:sz w:val="21"/>
              </w:rPr>
            </w:pPr>
            <w:r>
              <w:rPr>
                <w:b/>
                <w:color w:val="070707"/>
                <w:w w:val="105"/>
                <w:sz w:val="21"/>
              </w:rPr>
              <w:t>Closing</w:t>
            </w:r>
            <w:r>
              <w:rPr>
                <w:b/>
                <w:color w:val="070707"/>
                <w:spacing w:val="-2"/>
                <w:w w:val="105"/>
                <w:sz w:val="21"/>
              </w:rPr>
              <w:t> </w:t>
            </w:r>
            <w:r>
              <w:rPr>
                <w:b/>
                <w:color w:val="070707"/>
                <w:w w:val="105"/>
                <w:sz w:val="21"/>
              </w:rPr>
              <w:t>Balance on</w:t>
            </w:r>
            <w:r>
              <w:rPr>
                <w:b/>
                <w:color w:val="070707"/>
                <w:spacing w:val="-13"/>
                <w:w w:val="105"/>
                <w:sz w:val="21"/>
              </w:rPr>
              <w:t> </w:t>
            </w:r>
            <w:r>
              <w:rPr>
                <w:b/>
                <w:color w:val="070707"/>
                <w:w w:val="105"/>
                <w:sz w:val="21"/>
              </w:rPr>
              <w:t>the</w:t>
            </w:r>
            <w:r>
              <w:rPr>
                <w:b/>
                <w:color w:val="070707"/>
                <w:spacing w:val="-15"/>
                <w:w w:val="105"/>
                <w:sz w:val="21"/>
              </w:rPr>
              <w:t> </w:t>
            </w:r>
            <w:r>
              <w:rPr>
                <w:b/>
                <w:color w:val="070707"/>
                <w:w w:val="105"/>
                <w:sz w:val="21"/>
              </w:rPr>
              <w:t>General</w:t>
            </w:r>
            <w:r>
              <w:rPr>
                <w:b/>
                <w:color w:val="070707"/>
                <w:spacing w:val="-4"/>
                <w:w w:val="105"/>
                <w:sz w:val="21"/>
              </w:rPr>
              <w:t> Fund</w:t>
            </w:r>
          </w:p>
        </w:tc>
        <w:tc>
          <w:tcPr>
            <w:tcW w:w="1831" w:type="dxa"/>
            <w:tcBorders>
              <w:top w:val="single" w:color="000000" w:sz="2" w:space="0"/>
            </w:tcBorders>
          </w:tcPr>
          <w:p>
            <w:pPr>
              <w:pStyle w:val="TableParagraph"/>
              <w:tabs>
                <w:tab w:val="left" w:leader="none" w:pos="849"/>
              </w:tabs>
              <w:spacing w:before="21" w:line="222" w:lineRule="exact"/>
              <w:ind w:right="-15"/>
              <w:rPr>
                <w:b/>
                <w:sz w:val="21"/>
              </w:rPr>
            </w:pPr>
            <w:r>
              <w:rPr>
                <w:b/>
                <w:color w:val="070707"/>
                <w:sz w:val="21"/>
                <w:u w:val="single" w:color="000000"/>
              </w:rPr>
              <w:tab/>
            </w:r>
            <w:r>
              <w:rPr>
                <w:b/>
                <w:color w:val="070707"/>
                <w:spacing w:val="-2"/>
                <w:w w:val="105"/>
                <w:sz w:val="21"/>
                <w:u w:val="single" w:color="000000"/>
              </w:rPr>
              <w:t>(42,735)</w:t>
            </w:r>
            <w:r>
              <w:rPr>
                <w:b/>
                <w:color w:val="070707"/>
                <w:spacing w:val="40"/>
                <w:w w:val="105"/>
                <w:sz w:val="21"/>
                <w:u w:val="single" w:color="000000"/>
              </w:rPr>
              <w:t> </w:t>
            </w:r>
          </w:p>
        </w:tc>
        <w:tc>
          <w:tcPr>
            <w:tcW w:w="1757" w:type="dxa"/>
          </w:tcPr>
          <w:p>
            <w:pPr>
              <w:pStyle w:val="TableParagraph"/>
              <w:rPr>
                <w:rFonts w:ascii="Times New Roman"/>
                <w:sz w:val="18"/>
              </w:rPr>
            </w:pPr>
          </w:p>
        </w:tc>
        <w:tc>
          <w:tcPr>
            <w:tcW w:w="1795" w:type="dxa"/>
          </w:tcPr>
          <w:p>
            <w:pPr>
              <w:pStyle w:val="TableParagraph"/>
              <w:rPr>
                <w:rFonts w:ascii="Times New Roman"/>
                <w:sz w:val="18"/>
              </w:rPr>
            </w:pPr>
          </w:p>
        </w:tc>
      </w:tr>
    </w:tbl>
    <w:p>
      <w:pPr>
        <w:spacing w:after="0"/>
        <w:rPr>
          <w:rFonts w:ascii="Times New Roman"/>
          <w:sz w:val="18"/>
        </w:rPr>
        <w:sectPr>
          <w:headerReference w:type="default" r:id="rId134"/>
          <w:footerReference w:type="default" r:id="rId135"/>
          <w:footerReference w:type="even" r:id="rId136"/>
          <w:pgSz w:w="11910" w:h="16830"/>
          <w:pgMar w:top="900" w:right="100" w:bottom="1340" w:left="20" w:header="702" w:footer="1150"/>
          <w:pgNumType w:start="63"/>
        </w:sectPr>
      </w:pPr>
    </w:p>
    <w:p>
      <w:pPr>
        <w:tabs>
          <w:tab w:val="left" w:leader="none" w:pos="2386"/>
        </w:tabs>
        <w:spacing w:before="82"/>
        <w:ind w:left="1656" w:right="0" w:firstLine="0"/>
        <w:jc w:val="left"/>
        <w:rPr>
          <w:sz w:val="15"/>
        </w:rPr>
      </w:pPr>
      <w:r>
        <w:rPr>
          <w:i/>
          <w:color w:val="A1A1A1"/>
          <w:spacing w:val="-10"/>
          <w:sz w:val="16"/>
        </w:rPr>
        <w:t>5</w:t>
      </w:r>
      <w:r>
        <w:rPr>
          <w:i/>
          <w:color w:val="A1A1A1"/>
          <w:sz w:val="16"/>
        </w:rPr>
        <w:tab/>
      </w:r>
      <w:r>
        <w:rPr>
          <w:color w:val="A1A1A1"/>
          <w:sz w:val="15"/>
        </w:rPr>
        <w:t>NOTES</w:t>
      </w:r>
      <w:r>
        <w:rPr>
          <w:color w:val="A1A1A1"/>
          <w:spacing w:val="36"/>
          <w:sz w:val="15"/>
        </w:rPr>
        <w:t> </w:t>
      </w:r>
      <w:r>
        <w:rPr>
          <w:color w:val="A1A1A1"/>
          <w:sz w:val="15"/>
        </w:rPr>
        <w:t>TO</w:t>
      </w:r>
      <w:r>
        <w:rPr>
          <w:color w:val="A1A1A1"/>
          <w:spacing w:val="16"/>
          <w:sz w:val="15"/>
        </w:rPr>
        <w:t> </w:t>
      </w:r>
      <w:r>
        <w:rPr>
          <w:color w:val="A1A1A1"/>
          <w:sz w:val="15"/>
        </w:rPr>
        <w:t>THE</w:t>
      </w:r>
      <w:r>
        <w:rPr>
          <w:color w:val="A1A1A1"/>
          <w:spacing w:val="25"/>
          <w:sz w:val="15"/>
        </w:rPr>
        <w:t> </w:t>
      </w:r>
      <w:r>
        <w:rPr>
          <w:color w:val="A1A1A1"/>
          <w:spacing w:val="-2"/>
          <w:sz w:val="15"/>
        </w:rPr>
        <w:t>ACCOUNTS</w:t>
      </w:r>
    </w:p>
    <w:p>
      <w:pPr>
        <w:pStyle w:val="BodyText"/>
        <w:spacing w:before="67"/>
        <w:rPr>
          <w:sz w:val="15"/>
        </w:rPr>
      </w:pPr>
    </w:p>
    <w:p>
      <w:pPr>
        <w:pStyle w:val="ListParagraph"/>
        <w:numPr>
          <w:ilvl w:val="2"/>
          <w:numId w:val="16"/>
        </w:numPr>
        <w:tabs>
          <w:tab w:val="left" w:leader="none" w:pos="2324"/>
        </w:tabs>
        <w:spacing w:before="0" w:after="0" w:line="240" w:lineRule="auto"/>
        <w:ind w:left="2324" w:right="0" w:hanging="671"/>
        <w:jc w:val="left"/>
        <w:rPr>
          <w:b/>
          <w:color w:val="050505"/>
          <w:sz w:val="21"/>
        </w:rPr>
      </w:pPr>
      <w:r>
        <w:rPr>
          <w:b/>
          <w:color w:val="050505"/>
          <w:w w:val="105"/>
          <w:sz w:val="21"/>
        </w:rPr>
        <w:t>Note</w:t>
      </w:r>
      <w:r>
        <w:rPr>
          <w:b/>
          <w:color w:val="050505"/>
          <w:spacing w:val="-6"/>
          <w:w w:val="105"/>
          <w:sz w:val="21"/>
        </w:rPr>
        <w:t> </w:t>
      </w:r>
      <w:r>
        <w:rPr>
          <w:b/>
          <w:color w:val="050505"/>
          <w:w w:val="105"/>
          <w:sz w:val="21"/>
        </w:rPr>
        <w:t>to</w:t>
      </w:r>
      <w:r>
        <w:rPr>
          <w:b/>
          <w:color w:val="050505"/>
          <w:spacing w:val="-11"/>
          <w:w w:val="105"/>
          <w:sz w:val="21"/>
        </w:rPr>
        <w:t> </w:t>
      </w:r>
      <w:r>
        <w:rPr>
          <w:b/>
          <w:color w:val="050505"/>
          <w:w w:val="105"/>
          <w:sz w:val="21"/>
        </w:rPr>
        <w:t>the</w:t>
      </w:r>
      <w:r>
        <w:rPr>
          <w:b/>
          <w:color w:val="050505"/>
          <w:spacing w:val="-12"/>
          <w:w w:val="105"/>
          <w:sz w:val="21"/>
        </w:rPr>
        <w:t> </w:t>
      </w:r>
      <w:r>
        <w:rPr>
          <w:b/>
          <w:color w:val="050505"/>
          <w:w w:val="105"/>
          <w:sz w:val="21"/>
        </w:rPr>
        <w:t>Expenditure</w:t>
      </w:r>
      <w:r>
        <w:rPr>
          <w:b/>
          <w:color w:val="050505"/>
          <w:spacing w:val="5"/>
          <w:w w:val="105"/>
          <w:sz w:val="21"/>
        </w:rPr>
        <w:t> </w:t>
      </w:r>
      <w:r>
        <w:rPr>
          <w:b/>
          <w:color w:val="050505"/>
          <w:w w:val="105"/>
          <w:sz w:val="21"/>
        </w:rPr>
        <w:t>and</w:t>
      </w:r>
      <w:r>
        <w:rPr>
          <w:b/>
          <w:color w:val="050505"/>
          <w:spacing w:val="-8"/>
          <w:w w:val="105"/>
          <w:sz w:val="21"/>
        </w:rPr>
        <w:t> </w:t>
      </w:r>
      <w:r>
        <w:rPr>
          <w:b/>
          <w:color w:val="050505"/>
          <w:w w:val="105"/>
          <w:sz w:val="21"/>
        </w:rPr>
        <w:t>Funding</w:t>
      </w:r>
      <w:r>
        <w:rPr>
          <w:b/>
          <w:color w:val="050505"/>
          <w:spacing w:val="2"/>
          <w:w w:val="105"/>
          <w:sz w:val="21"/>
        </w:rPr>
        <w:t> </w:t>
      </w:r>
      <w:r>
        <w:rPr>
          <w:b/>
          <w:color w:val="050505"/>
          <w:spacing w:val="-2"/>
          <w:w w:val="105"/>
          <w:sz w:val="21"/>
        </w:rPr>
        <w:t>Analysis</w:t>
      </w: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rPr>
          <w:b/>
          <w:sz w:val="11"/>
        </w:rPr>
      </w:pPr>
    </w:p>
    <w:p>
      <w:pPr>
        <w:pStyle w:val="BodyText"/>
        <w:spacing w:before="13"/>
        <w:rPr>
          <w:b/>
          <w:sz w:val="11"/>
        </w:rPr>
      </w:pPr>
    </w:p>
    <w:p>
      <w:pPr>
        <w:spacing w:before="0"/>
        <w:ind w:left="2525" w:right="693" w:firstLine="0"/>
        <w:jc w:val="center"/>
        <w:rPr>
          <w:sz w:val="11"/>
        </w:rPr>
      </w:pPr>
      <w:r>
        <w:rPr/>
        <ve:AlternateContent>
          <ve:Choice Requires="wps">
            <w:drawing>
              <wp:anchor distT="0" distB="0" distL="0" distR="0" simplePos="0" relativeHeight="15777280" behindDoc="0" locked="0" layoutInCell="1" allowOverlap="1">
                <wp:simplePos x="0" y="0"/>
                <wp:positionH relativeFrom="page">
                  <wp:posOffset>119063</wp:posOffset>
                </wp:positionH>
                <wp:positionV relativeFrom="paragraph">
                  <wp:posOffset>-1578922</wp:posOffset>
                </wp:positionV>
                <wp:extent cx="1270" cy="708025"/>
                <wp:effectExtent l="0" t="0" r="0" b="0"/>
                <wp:wrapNone/>
                <wp:docPr id="237" name="Graphic 237"/>
                <wp:cNvGraphicFramePr>
                  <a:graphicFrameLocks/>
                </wp:cNvGraphicFramePr>
                <a:graphic>
                  <a:graphicData uri="http://schemas.microsoft.com/office/word/2010/wordprocessingShape">
                    <wps:wsp>
                      <wps:cNvPr id="237" name="Graphic 237"/>
                      <wps:cNvSpPr/>
                      <wps:spPr>
                        <a:xfrm>
                          <a:off x="0" y="0"/>
                          <a:ext cx="1270" cy="708025"/>
                        </a:xfrm>
                        <a:custGeom>
                          <a:avLst/>
                          <a:gdLst/>
                          <a:ahLst/>
                          <a:cxnLst/>
                          <a:rect l="l" t="t" r="r" b="b"/>
                          <a:pathLst>
                            <a:path w="0" h="708025">
                              <a:moveTo>
                                <a:pt x="0" y="707942"/>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77280" stroked="true" strokecolor="#000000" strokeweight=".961549pt" from="9.375098pt,-68.581041pt" to="9.375098pt,-124.32457pt">
                <v:stroke dashstyle="solid"/>
                <w10:wrap type="none"/>
              </v:line>
            </w:pict>
          </ve:Fallback>
        </ve:AlternateContent>
      </w:r>
      <w:r>
        <w:rPr/>
        <ve:AlternateContent>
          <ve:Choice Requires="wps">
            <w:drawing>
              <wp:anchor distT="0" distB="0" distL="0" distR="0" simplePos="0" relativeHeight="15778816" behindDoc="0" locked="0" layoutInCell="1" allowOverlap="1">
                <wp:simplePos x="0" y="0"/>
                <wp:positionH relativeFrom="page">
                  <wp:posOffset>1043853</wp:posOffset>
                </wp:positionH>
                <wp:positionV relativeFrom="paragraph">
                  <wp:posOffset>-2636581</wp:posOffset>
                </wp:positionV>
                <wp:extent cx="6275705" cy="5869305"/>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6275705" cy="586930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705"/>
                              <w:gridCol w:w="1596"/>
                              <w:gridCol w:w="1580"/>
                              <w:gridCol w:w="1477"/>
                              <w:gridCol w:w="1405"/>
                            </w:tblGrid>
                            <w:tr>
                              <w:trPr>
                                <w:trHeight w:val="405" w:hRule="atLeast"/>
                              </w:trPr>
                              <w:tc>
                                <w:tcPr>
                                  <w:tcW w:w="5301" w:type="dxa"/>
                                  <w:gridSpan w:val="2"/>
                                </w:tcPr>
                                <w:p>
                                  <w:pPr>
                                    <w:pStyle w:val="TableParagraph"/>
                                    <w:rPr>
                                      <w:rFonts w:ascii="Times New Roman"/>
                                      <w:sz w:val="20"/>
                                    </w:rPr>
                                  </w:pPr>
                                </w:p>
                              </w:tc>
                              <w:tc>
                                <w:tcPr>
                                  <w:tcW w:w="1580" w:type="dxa"/>
                                </w:tcPr>
                                <w:p>
                                  <w:pPr>
                                    <w:pStyle w:val="TableParagraph"/>
                                    <w:spacing w:line="235" w:lineRule="exact"/>
                                    <w:ind w:left="379"/>
                                    <w:rPr>
                                      <w:b/>
                                      <w:sz w:val="21"/>
                                    </w:rPr>
                                  </w:pPr>
                                  <w:r>
                                    <w:rPr>
                                      <w:b/>
                                      <w:color w:val="050505"/>
                                      <w:sz w:val="21"/>
                                    </w:rPr>
                                    <w:t>2021-</w:t>
                                  </w:r>
                                  <w:r>
                                    <w:rPr>
                                      <w:b/>
                                      <w:color w:val="050505"/>
                                      <w:spacing w:val="-5"/>
                                      <w:sz w:val="21"/>
                                    </w:rPr>
                                    <w:t>22</w:t>
                                  </w:r>
                                </w:p>
                              </w:tc>
                              <w:tc>
                                <w:tcPr>
                                  <w:tcW w:w="1477" w:type="dxa"/>
                                </w:tcPr>
                                <w:p>
                                  <w:pPr>
                                    <w:pStyle w:val="TableParagraph"/>
                                    <w:rPr>
                                      <w:rFonts w:ascii="Times New Roman"/>
                                      <w:sz w:val="20"/>
                                    </w:rPr>
                                  </w:pPr>
                                </w:p>
                              </w:tc>
                              <w:tc>
                                <w:tcPr>
                                  <w:tcW w:w="1405" w:type="dxa"/>
                                  <w:vMerge w:val="restart"/>
                                </w:tcPr>
                                <w:p>
                                  <w:pPr>
                                    <w:pStyle w:val="TableParagraph"/>
                                    <w:rPr>
                                      <w:rFonts w:ascii="Times New Roman"/>
                                      <w:sz w:val="20"/>
                                    </w:rPr>
                                  </w:pPr>
                                </w:p>
                              </w:tc>
                            </w:tr>
                            <w:tr>
                              <w:trPr>
                                <w:trHeight w:val="415" w:hRule="atLeast"/>
                              </w:trPr>
                              <w:tc>
                                <w:tcPr>
                                  <w:tcW w:w="3705" w:type="dxa"/>
                                </w:tcPr>
                                <w:p>
                                  <w:pPr>
                                    <w:pStyle w:val="TableParagraph"/>
                                    <w:spacing w:before="164" w:line="231" w:lineRule="exact"/>
                                    <w:ind w:left="156"/>
                                    <w:rPr>
                                      <w:b/>
                                      <w:sz w:val="21"/>
                                    </w:rPr>
                                  </w:pPr>
                                  <w:r>
                                    <w:rPr>
                                      <w:b/>
                                      <w:color w:val="050505"/>
                                      <w:w w:val="105"/>
                                      <w:sz w:val="21"/>
                                    </w:rPr>
                                    <w:t>Adjustments</w:t>
                                  </w:r>
                                  <w:r>
                                    <w:rPr>
                                      <w:b/>
                                      <w:color w:val="050505"/>
                                      <w:spacing w:val="-1"/>
                                      <w:w w:val="105"/>
                                      <w:sz w:val="21"/>
                                    </w:rPr>
                                    <w:t> </w:t>
                                  </w:r>
                                  <w:r>
                                    <w:rPr>
                                      <w:b/>
                                      <w:color w:val="050505"/>
                                      <w:w w:val="105"/>
                                      <w:sz w:val="21"/>
                                    </w:rPr>
                                    <w:t>to</w:t>
                                  </w:r>
                                  <w:r>
                                    <w:rPr>
                                      <w:b/>
                                      <w:color w:val="050505"/>
                                      <w:spacing w:val="-15"/>
                                      <w:w w:val="105"/>
                                      <w:sz w:val="21"/>
                                    </w:rPr>
                                    <w:t> </w:t>
                                  </w:r>
                                  <w:r>
                                    <w:rPr>
                                      <w:b/>
                                      <w:color w:val="050505"/>
                                      <w:w w:val="105"/>
                                      <w:sz w:val="21"/>
                                    </w:rPr>
                                    <w:t>General</w:t>
                                  </w:r>
                                  <w:r>
                                    <w:rPr>
                                      <w:b/>
                                      <w:color w:val="050505"/>
                                      <w:spacing w:val="-3"/>
                                      <w:w w:val="105"/>
                                      <w:sz w:val="21"/>
                                    </w:rPr>
                                    <w:t> </w:t>
                                  </w:r>
                                  <w:r>
                                    <w:rPr>
                                      <w:b/>
                                      <w:color w:val="050505"/>
                                      <w:w w:val="105"/>
                                      <w:sz w:val="21"/>
                                    </w:rPr>
                                    <w:t>Fund</w:t>
                                  </w:r>
                                  <w:r>
                                    <w:rPr>
                                      <w:b/>
                                      <w:color w:val="050505"/>
                                      <w:spacing w:val="-9"/>
                                      <w:w w:val="105"/>
                                      <w:sz w:val="21"/>
                                    </w:rPr>
                                    <w:t> </w:t>
                                  </w:r>
                                  <w:r>
                                    <w:rPr>
                                      <w:b/>
                                      <w:color w:val="050505"/>
                                      <w:spacing w:val="-5"/>
                                      <w:w w:val="105"/>
                                      <w:sz w:val="21"/>
                                    </w:rPr>
                                    <w:t>to</w:t>
                                  </w:r>
                                </w:p>
                              </w:tc>
                              <w:tc>
                                <w:tcPr>
                                  <w:tcW w:w="1596" w:type="dxa"/>
                                </w:tcPr>
                                <w:p>
                                  <w:pPr>
                                    <w:pStyle w:val="TableParagraph"/>
                                    <w:rPr>
                                      <w:rFonts w:ascii="Times New Roman"/>
                                      <w:sz w:val="20"/>
                                    </w:rPr>
                                  </w:pPr>
                                </w:p>
                              </w:tc>
                              <w:tc>
                                <w:tcPr>
                                  <w:tcW w:w="1580" w:type="dxa"/>
                                </w:tcPr>
                                <w:p>
                                  <w:pPr>
                                    <w:pStyle w:val="TableParagraph"/>
                                    <w:rPr>
                                      <w:rFonts w:ascii="Times New Roman"/>
                                      <w:sz w:val="20"/>
                                    </w:rPr>
                                  </w:pPr>
                                </w:p>
                              </w:tc>
                              <w:tc>
                                <w:tcPr>
                                  <w:tcW w:w="1477" w:type="dxa"/>
                                </w:tcPr>
                                <w:p>
                                  <w:pPr>
                                    <w:pStyle w:val="TableParagraph"/>
                                    <w:rPr>
                                      <w:rFonts w:ascii="Times New Roman"/>
                                      <w:sz w:val="20"/>
                                    </w:rPr>
                                  </w:pPr>
                                </w:p>
                              </w:tc>
                              <w:tc>
                                <w:tcPr>
                                  <w:tcW w:w="1405" w:type="dxa"/>
                                  <w:vMerge/>
                                  <w:tcBorders>
                                    <w:top w:val="nil"/>
                                  </w:tcBorders>
                                </w:tcPr>
                                <w:p>
                                  <w:pPr>
                                    <w:rPr>
                                      <w:sz w:val="2"/>
                                      <w:szCs w:val="2"/>
                                    </w:rPr>
                                  </w:pPr>
                                </w:p>
                              </w:tc>
                            </w:tr>
                            <w:tr>
                              <w:trPr>
                                <w:trHeight w:val="257" w:hRule="atLeast"/>
                              </w:trPr>
                              <w:tc>
                                <w:tcPr>
                                  <w:tcW w:w="3705" w:type="dxa"/>
                                </w:tcPr>
                                <w:p>
                                  <w:pPr>
                                    <w:pStyle w:val="TableParagraph"/>
                                    <w:spacing w:before="3" w:line="234" w:lineRule="exact"/>
                                    <w:ind w:left="153"/>
                                    <w:rPr>
                                      <w:b/>
                                      <w:sz w:val="21"/>
                                    </w:rPr>
                                  </w:pPr>
                                  <w:r>
                                    <w:rPr>
                                      <w:b/>
                                      <w:color w:val="050505"/>
                                      <w:w w:val="105"/>
                                      <w:sz w:val="21"/>
                                    </w:rPr>
                                    <w:t>add</w:t>
                                  </w:r>
                                  <w:r>
                                    <w:rPr>
                                      <w:b/>
                                      <w:color w:val="050505"/>
                                      <w:spacing w:val="-12"/>
                                      <w:w w:val="105"/>
                                      <w:sz w:val="21"/>
                                    </w:rPr>
                                    <w:t> </w:t>
                                  </w:r>
                                  <w:r>
                                    <w:rPr>
                                      <w:b/>
                                      <w:color w:val="050505"/>
                                      <w:w w:val="105"/>
                                      <w:sz w:val="21"/>
                                    </w:rPr>
                                    <w:t>expenditure</w:t>
                                  </w:r>
                                  <w:r>
                                    <w:rPr>
                                      <w:b/>
                                      <w:color w:val="050505"/>
                                      <w:spacing w:val="9"/>
                                      <w:w w:val="105"/>
                                      <w:sz w:val="21"/>
                                    </w:rPr>
                                    <w:t> </w:t>
                                  </w:r>
                                  <w:r>
                                    <w:rPr>
                                      <w:b/>
                                      <w:color w:val="050505"/>
                                      <w:w w:val="105"/>
                                      <w:sz w:val="21"/>
                                    </w:rPr>
                                    <w:t>or</w:t>
                                  </w:r>
                                  <w:r>
                                    <w:rPr>
                                      <w:b/>
                                      <w:color w:val="050505"/>
                                      <w:spacing w:val="-12"/>
                                      <w:w w:val="105"/>
                                      <w:sz w:val="21"/>
                                    </w:rPr>
                                    <w:t> </w:t>
                                  </w:r>
                                  <w:r>
                                    <w:rPr>
                                      <w:b/>
                                      <w:color w:val="050505"/>
                                      <w:w w:val="105"/>
                                      <w:sz w:val="21"/>
                                    </w:rPr>
                                    <w:t>income</w:t>
                                  </w:r>
                                  <w:r>
                                    <w:rPr>
                                      <w:b/>
                                      <w:color w:val="050505"/>
                                      <w:spacing w:val="-7"/>
                                      <w:w w:val="105"/>
                                      <w:sz w:val="21"/>
                                    </w:rPr>
                                    <w:t> </w:t>
                                  </w:r>
                                  <w:r>
                                    <w:rPr>
                                      <w:b/>
                                      <w:color w:val="050505"/>
                                      <w:spacing w:val="-5"/>
                                      <w:w w:val="105"/>
                                      <w:sz w:val="21"/>
                                    </w:rPr>
                                    <w:t>not</w:t>
                                  </w:r>
                                </w:p>
                              </w:tc>
                              <w:tc>
                                <w:tcPr>
                                  <w:tcW w:w="1596" w:type="dxa"/>
                                </w:tcPr>
                                <w:p>
                                  <w:pPr>
                                    <w:pStyle w:val="TableParagraph"/>
                                    <w:spacing w:before="8" w:line="229" w:lineRule="exact"/>
                                    <w:ind w:right="115"/>
                                    <w:jc w:val="right"/>
                                    <w:rPr>
                                      <w:b/>
                                      <w:sz w:val="21"/>
                                    </w:rPr>
                                  </w:pPr>
                                  <w:r>
                                    <w:rPr>
                                      <w:b/>
                                      <w:color w:val="050505"/>
                                      <w:spacing w:val="-2"/>
                                      <w:w w:val="105"/>
                                      <w:sz w:val="21"/>
                                    </w:rPr>
                                    <w:t>Adjustments</w:t>
                                  </w:r>
                                </w:p>
                              </w:tc>
                              <w:tc>
                                <w:tcPr>
                                  <w:tcW w:w="1580" w:type="dxa"/>
                                </w:tcPr>
                                <w:p>
                                  <w:pPr>
                                    <w:pStyle w:val="TableParagraph"/>
                                    <w:spacing w:before="3" w:line="234" w:lineRule="exact"/>
                                    <w:ind w:right="215"/>
                                    <w:jc w:val="right"/>
                                    <w:rPr>
                                      <w:b/>
                                      <w:sz w:val="21"/>
                                    </w:rPr>
                                  </w:pPr>
                                  <w:r>
                                    <w:rPr>
                                      <w:b/>
                                      <w:color w:val="050505"/>
                                      <w:w w:val="105"/>
                                      <w:sz w:val="21"/>
                                    </w:rPr>
                                    <w:t>Net</w:t>
                                  </w:r>
                                  <w:r>
                                    <w:rPr>
                                      <w:b/>
                                      <w:color w:val="050505"/>
                                      <w:spacing w:val="-3"/>
                                      <w:w w:val="105"/>
                                      <w:sz w:val="21"/>
                                    </w:rPr>
                                    <w:t> </w:t>
                                  </w:r>
                                  <w:r>
                                    <w:rPr>
                                      <w:b/>
                                      <w:color w:val="050505"/>
                                      <w:spacing w:val="-2"/>
                                      <w:w w:val="105"/>
                                      <w:sz w:val="21"/>
                                    </w:rPr>
                                    <w:t>change</w:t>
                                  </w:r>
                                </w:p>
                              </w:tc>
                              <w:tc>
                                <w:tcPr>
                                  <w:tcW w:w="1477" w:type="dxa"/>
                                </w:tcPr>
                                <w:p>
                                  <w:pPr>
                                    <w:pStyle w:val="TableParagraph"/>
                                    <w:rPr>
                                      <w:rFonts w:ascii="Times New Roman"/>
                                      <w:sz w:val="18"/>
                                    </w:rPr>
                                  </w:pPr>
                                </w:p>
                              </w:tc>
                              <w:tc>
                                <w:tcPr>
                                  <w:tcW w:w="1405" w:type="dxa"/>
                                  <w:vMerge/>
                                  <w:tcBorders>
                                    <w:top w:val="nil"/>
                                  </w:tcBorders>
                                </w:tcPr>
                                <w:p>
                                  <w:pPr>
                                    <w:rPr>
                                      <w:sz w:val="2"/>
                                      <w:szCs w:val="2"/>
                                    </w:rPr>
                                  </w:pPr>
                                </w:p>
                              </w:tc>
                            </w:tr>
                            <w:tr>
                              <w:trPr>
                                <w:trHeight w:val="249" w:hRule="atLeast"/>
                              </w:trPr>
                              <w:tc>
                                <w:tcPr>
                                  <w:tcW w:w="3705" w:type="dxa"/>
                                </w:tcPr>
                                <w:p>
                                  <w:pPr>
                                    <w:pStyle w:val="TableParagraph"/>
                                    <w:spacing w:before="1" w:line="229" w:lineRule="exact"/>
                                    <w:ind w:left="147"/>
                                    <w:rPr>
                                      <w:b/>
                                      <w:sz w:val="21"/>
                                    </w:rPr>
                                  </w:pPr>
                                  <w:r>
                                    <w:rPr>
                                      <w:b/>
                                      <w:color w:val="050505"/>
                                      <w:w w:val="105"/>
                                      <w:sz w:val="21"/>
                                    </w:rPr>
                                    <w:t>chargeable</w:t>
                                  </w:r>
                                  <w:r>
                                    <w:rPr>
                                      <w:b/>
                                      <w:color w:val="050505"/>
                                      <w:spacing w:val="3"/>
                                      <w:w w:val="105"/>
                                      <w:sz w:val="21"/>
                                    </w:rPr>
                                    <w:t> </w:t>
                                  </w:r>
                                  <w:r>
                                    <w:rPr>
                                      <w:b/>
                                      <w:color w:val="050505"/>
                                      <w:w w:val="105"/>
                                      <w:sz w:val="21"/>
                                    </w:rPr>
                                    <w:t>to</w:t>
                                  </w:r>
                                  <w:r>
                                    <w:rPr>
                                      <w:b/>
                                      <w:color w:val="050505"/>
                                      <w:spacing w:val="-15"/>
                                      <w:w w:val="105"/>
                                      <w:sz w:val="21"/>
                                    </w:rPr>
                                    <w:t> </w:t>
                                  </w:r>
                                  <w:r>
                                    <w:rPr>
                                      <w:b/>
                                      <w:color w:val="050505"/>
                                      <w:w w:val="105"/>
                                      <w:sz w:val="21"/>
                                    </w:rPr>
                                    <w:t>taxation</w:t>
                                  </w:r>
                                  <w:r>
                                    <w:rPr>
                                      <w:b/>
                                      <w:color w:val="050505"/>
                                      <w:spacing w:val="-5"/>
                                      <w:w w:val="105"/>
                                      <w:sz w:val="21"/>
                                    </w:rPr>
                                    <w:t> and</w:t>
                                  </w:r>
                                </w:p>
                              </w:tc>
                              <w:tc>
                                <w:tcPr>
                                  <w:tcW w:w="1596" w:type="dxa"/>
                                </w:tcPr>
                                <w:p>
                                  <w:pPr>
                                    <w:pStyle w:val="TableParagraph"/>
                                    <w:spacing w:before="1" w:line="229" w:lineRule="exact"/>
                                    <w:ind w:left="295"/>
                                    <w:rPr>
                                      <w:b/>
                                      <w:sz w:val="21"/>
                                    </w:rPr>
                                  </w:pPr>
                                  <w:r>
                                    <w:rPr>
                                      <w:b/>
                                      <w:color w:val="050505"/>
                                      <w:w w:val="105"/>
                                      <w:sz w:val="21"/>
                                    </w:rPr>
                                    <w:t>for</w:t>
                                  </w:r>
                                  <w:r>
                                    <w:rPr>
                                      <w:b/>
                                      <w:color w:val="050505"/>
                                      <w:spacing w:val="1"/>
                                      <w:w w:val="105"/>
                                      <w:sz w:val="21"/>
                                    </w:rPr>
                                    <w:t> </w:t>
                                  </w:r>
                                  <w:r>
                                    <w:rPr>
                                      <w:b/>
                                      <w:color w:val="050505"/>
                                      <w:spacing w:val="-2"/>
                                      <w:w w:val="105"/>
                                      <w:sz w:val="21"/>
                                    </w:rPr>
                                    <w:t>capital</w:t>
                                  </w:r>
                                </w:p>
                              </w:tc>
                              <w:tc>
                                <w:tcPr>
                                  <w:tcW w:w="1580" w:type="dxa"/>
                                </w:tcPr>
                                <w:p>
                                  <w:pPr>
                                    <w:pStyle w:val="TableParagraph"/>
                                    <w:spacing w:before="1" w:line="229" w:lineRule="exact"/>
                                    <w:ind w:right="146"/>
                                    <w:jc w:val="right"/>
                                    <w:rPr>
                                      <w:b/>
                                      <w:sz w:val="21"/>
                                    </w:rPr>
                                  </w:pPr>
                                  <w:r>
                                    <w:rPr>
                                      <w:b/>
                                      <w:color w:val="050505"/>
                                      <w:w w:val="105"/>
                                      <w:sz w:val="21"/>
                                    </w:rPr>
                                    <w:t>for</w:t>
                                  </w:r>
                                  <w:r>
                                    <w:rPr>
                                      <w:b/>
                                      <w:color w:val="050505"/>
                                      <w:spacing w:val="-5"/>
                                      <w:w w:val="105"/>
                                      <w:sz w:val="21"/>
                                    </w:rPr>
                                    <w:t> </w:t>
                                  </w:r>
                                  <w:r>
                                    <w:rPr>
                                      <w:b/>
                                      <w:color w:val="050505"/>
                                      <w:spacing w:val="-2"/>
                                      <w:w w:val="105"/>
                                      <w:sz w:val="21"/>
                                    </w:rPr>
                                    <w:t>pensions</w:t>
                                  </w:r>
                                </w:p>
                              </w:tc>
                              <w:tc>
                                <w:tcPr>
                                  <w:tcW w:w="1477" w:type="dxa"/>
                                </w:tcPr>
                                <w:p>
                                  <w:pPr>
                                    <w:pStyle w:val="TableParagraph"/>
                                    <w:spacing w:before="1" w:line="229" w:lineRule="exact"/>
                                    <w:ind w:left="435"/>
                                    <w:rPr>
                                      <w:b/>
                                      <w:sz w:val="21"/>
                                    </w:rPr>
                                  </w:pPr>
                                  <w:r>
                                    <w:rPr>
                                      <w:b/>
                                      <w:color w:val="050505"/>
                                      <w:spacing w:val="-2"/>
                                      <w:w w:val="105"/>
                                      <w:sz w:val="21"/>
                                    </w:rPr>
                                    <w:t>Other</w:t>
                                  </w:r>
                                </w:p>
                              </w:tc>
                              <w:tc>
                                <w:tcPr>
                                  <w:tcW w:w="1405" w:type="dxa"/>
                                  <w:vMerge/>
                                  <w:tcBorders>
                                    <w:top w:val="nil"/>
                                  </w:tcBorders>
                                </w:tcPr>
                                <w:p>
                                  <w:pPr>
                                    <w:rPr>
                                      <w:sz w:val="2"/>
                                      <w:szCs w:val="2"/>
                                    </w:rPr>
                                  </w:pPr>
                                </w:p>
                              </w:tc>
                            </w:tr>
                            <w:tr>
                              <w:trPr>
                                <w:trHeight w:val="252" w:hRule="atLeast"/>
                              </w:trPr>
                              <w:tc>
                                <w:tcPr>
                                  <w:tcW w:w="3705" w:type="dxa"/>
                                </w:tcPr>
                                <w:p>
                                  <w:pPr>
                                    <w:pStyle w:val="TableParagraph"/>
                                    <w:spacing w:before="1" w:line="231" w:lineRule="exact"/>
                                    <w:ind w:left="147"/>
                                    <w:rPr>
                                      <w:b/>
                                      <w:sz w:val="21"/>
                                    </w:rPr>
                                  </w:pPr>
                                  <w:r>
                                    <w:rPr>
                                      <w:b/>
                                      <w:color w:val="1D1D1D"/>
                                      <w:w w:val="105"/>
                                      <w:sz w:val="21"/>
                                    </w:rPr>
                                    <w:t>remove</w:t>
                                  </w:r>
                                  <w:r>
                                    <w:rPr>
                                      <w:b/>
                                      <w:color w:val="1D1D1D"/>
                                      <w:spacing w:val="-5"/>
                                      <w:w w:val="105"/>
                                      <w:sz w:val="21"/>
                                    </w:rPr>
                                    <w:t> </w:t>
                                  </w:r>
                                  <w:r>
                                    <w:rPr>
                                      <w:b/>
                                      <w:color w:val="1D1D1D"/>
                                      <w:w w:val="105"/>
                                      <w:sz w:val="21"/>
                                    </w:rPr>
                                    <w:t>items</w:t>
                                  </w:r>
                                  <w:r>
                                    <w:rPr>
                                      <w:b/>
                                      <w:color w:val="1D1D1D"/>
                                      <w:spacing w:val="-1"/>
                                      <w:w w:val="105"/>
                                      <w:sz w:val="21"/>
                                    </w:rPr>
                                    <w:t> </w:t>
                                  </w:r>
                                  <w:r>
                                    <w:rPr>
                                      <w:b/>
                                      <w:color w:val="050505"/>
                                      <w:w w:val="105"/>
                                      <w:sz w:val="21"/>
                                    </w:rPr>
                                    <w:t>which</w:t>
                                  </w:r>
                                  <w:r>
                                    <w:rPr>
                                      <w:b/>
                                      <w:color w:val="050505"/>
                                      <w:spacing w:val="-6"/>
                                      <w:w w:val="105"/>
                                      <w:sz w:val="21"/>
                                    </w:rPr>
                                    <w:t> </w:t>
                                  </w:r>
                                  <w:r>
                                    <w:rPr>
                                      <w:b/>
                                      <w:color w:val="050505"/>
                                      <w:w w:val="105"/>
                                      <w:sz w:val="21"/>
                                    </w:rPr>
                                    <w:t>are</w:t>
                                  </w:r>
                                  <w:r>
                                    <w:rPr>
                                      <w:b/>
                                      <w:color w:val="050505"/>
                                      <w:spacing w:val="-7"/>
                                      <w:w w:val="105"/>
                                      <w:sz w:val="21"/>
                                    </w:rPr>
                                    <w:t> </w:t>
                                  </w:r>
                                  <w:r>
                                    <w:rPr>
                                      <w:b/>
                                      <w:color w:val="050505"/>
                                      <w:spacing w:val="-4"/>
                                      <w:w w:val="105"/>
                                      <w:sz w:val="21"/>
                                    </w:rPr>
                                    <w:t>only</w:t>
                                  </w:r>
                                </w:p>
                              </w:tc>
                              <w:tc>
                                <w:tcPr>
                                  <w:tcW w:w="1596" w:type="dxa"/>
                                </w:tcPr>
                                <w:p>
                                  <w:pPr>
                                    <w:pStyle w:val="TableParagraph"/>
                                    <w:spacing w:before="5" w:line="227" w:lineRule="exact"/>
                                    <w:ind w:left="322"/>
                                    <w:rPr>
                                      <w:b/>
                                      <w:sz w:val="21"/>
                                    </w:rPr>
                                  </w:pPr>
                                  <w:r>
                                    <w:rPr>
                                      <w:b/>
                                      <w:color w:val="050505"/>
                                      <w:spacing w:val="-2"/>
                                      <w:w w:val="105"/>
                                      <w:sz w:val="21"/>
                                    </w:rPr>
                                    <w:t>purposes</w:t>
                                  </w:r>
                                </w:p>
                              </w:tc>
                              <w:tc>
                                <w:tcPr>
                                  <w:tcW w:w="1580" w:type="dxa"/>
                                </w:tcPr>
                                <w:p>
                                  <w:pPr>
                                    <w:pStyle w:val="TableParagraph"/>
                                    <w:spacing w:before="5" w:line="227" w:lineRule="exact"/>
                                    <w:ind w:right="162"/>
                                    <w:jc w:val="right"/>
                                    <w:rPr>
                                      <w:b/>
                                      <w:sz w:val="21"/>
                                    </w:rPr>
                                  </w:pPr>
                                  <w:r>
                                    <w:rPr>
                                      <w:b/>
                                      <w:color w:val="050505"/>
                                      <w:spacing w:val="-2"/>
                                      <w:w w:val="105"/>
                                      <w:sz w:val="21"/>
                                    </w:rPr>
                                    <w:t>adjustments</w:t>
                                  </w:r>
                                </w:p>
                              </w:tc>
                              <w:tc>
                                <w:tcPr>
                                  <w:tcW w:w="1477" w:type="dxa"/>
                                </w:tcPr>
                                <w:p>
                                  <w:pPr>
                                    <w:pStyle w:val="TableParagraph"/>
                                    <w:spacing w:before="1" w:line="231" w:lineRule="exact"/>
                                    <w:ind w:right="172"/>
                                    <w:jc w:val="right"/>
                                    <w:rPr>
                                      <w:b/>
                                      <w:sz w:val="21"/>
                                    </w:rPr>
                                  </w:pPr>
                                  <w:r>
                                    <w:rPr>
                                      <w:b/>
                                      <w:color w:val="050505"/>
                                      <w:spacing w:val="-2"/>
                                      <w:w w:val="105"/>
                                      <w:sz w:val="21"/>
                                    </w:rPr>
                                    <w:t>differences</w:t>
                                  </w:r>
                                </w:p>
                              </w:tc>
                              <w:tc>
                                <w:tcPr>
                                  <w:tcW w:w="1405" w:type="dxa"/>
                                </w:tcPr>
                                <w:p>
                                  <w:pPr>
                                    <w:pStyle w:val="TableParagraph"/>
                                    <w:spacing w:before="1" w:line="231" w:lineRule="exact"/>
                                    <w:ind w:left="491"/>
                                    <w:rPr>
                                      <w:b/>
                                      <w:sz w:val="21"/>
                                    </w:rPr>
                                  </w:pPr>
                                  <w:r>
                                    <w:rPr>
                                      <w:b/>
                                      <w:color w:val="050505"/>
                                      <w:spacing w:val="-4"/>
                                      <w:w w:val="105"/>
                                      <w:sz w:val="21"/>
                                    </w:rPr>
                                    <w:t>Total</w:t>
                                  </w:r>
                                </w:p>
                              </w:tc>
                            </w:tr>
                            <w:tr>
                              <w:trPr>
                                <w:trHeight w:val="415" w:hRule="atLeast"/>
                              </w:trPr>
                              <w:tc>
                                <w:tcPr>
                                  <w:tcW w:w="3705" w:type="dxa"/>
                                </w:tcPr>
                                <w:p>
                                  <w:pPr>
                                    <w:pStyle w:val="TableParagraph"/>
                                    <w:spacing w:line="240" w:lineRule="exact"/>
                                    <w:ind w:left="147"/>
                                    <w:rPr>
                                      <w:b/>
                                      <w:sz w:val="21"/>
                                    </w:rPr>
                                  </w:pPr>
                                  <w:r>
                                    <w:rPr>
                                      <w:b/>
                                      <w:color w:val="050505"/>
                                      <w:w w:val="105"/>
                                      <w:sz w:val="21"/>
                                    </w:rPr>
                                    <w:t>chargeable</w:t>
                                  </w:r>
                                  <w:r>
                                    <w:rPr>
                                      <w:b/>
                                      <w:color w:val="050505"/>
                                      <w:spacing w:val="-4"/>
                                      <w:w w:val="105"/>
                                      <w:sz w:val="21"/>
                                    </w:rPr>
                                    <w:t> </w:t>
                                  </w:r>
                                  <w:r>
                                    <w:rPr>
                                      <w:b/>
                                      <w:color w:val="050505"/>
                                      <w:w w:val="105"/>
                                      <w:sz w:val="21"/>
                                    </w:rPr>
                                    <w:t>under</w:t>
                                  </w:r>
                                  <w:r>
                                    <w:rPr>
                                      <w:b/>
                                      <w:color w:val="050505"/>
                                      <w:spacing w:val="-9"/>
                                      <w:w w:val="105"/>
                                      <w:sz w:val="21"/>
                                    </w:rPr>
                                    <w:t> </w:t>
                                  </w:r>
                                  <w:r>
                                    <w:rPr>
                                      <w:b/>
                                      <w:color w:val="050505"/>
                                      <w:spacing w:val="-2"/>
                                      <w:w w:val="105"/>
                                      <w:sz w:val="21"/>
                                    </w:rPr>
                                    <w:t>statute</w:t>
                                  </w:r>
                                </w:p>
                              </w:tc>
                              <w:tc>
                                <w:tcPr>
                                  <w:tcW w:w="1596" w:type="dxa"/>
                                </w:tcPr>
                                <w:p>
                                  <w:pPr>
                                    <w:pStyle w:val="TableParagraph"/>
                                    <w:spacing w:before="3"/>
                                    <w:ind w:left="407"/>
                                    <w:rPr>
                                      <w:b/>
                                      <w:sz w:val="21"/>
                                    </w:rPr>
                                  </w:pPr>
                                  <w:r>
                                    <w:rPr>
                                      <w:b/>
                                      <w:color w:val="050505"/>
                                      <w:w w:val="105"/>
                                      <w:sz w:val="21"/>
                                    </w:rPr>
                                    <w:t>(Note</w:t>
                                  </w:r>
                                  <w:r>
                                    <w:rPr>
                                      <w:b/>
                                      <w:color w:val="050505"/>
                                      <w:spacing w:val="4"/>
                                      <w:w w:val="105"/>
                                      <w:sz w:val="21"/>
                                    </w:rPr>
                                    <w:t> </w:t>
                                  </w:r>
                                  <w:r>
                                    <w:rPr>
                                      <w:b/>
                                      <w:color w:val="050505"/>
                                      <w:spacing w:val="-5"/>
                                      <w:w w:val="105"/>
                                      <w:sz w:val="21"/>
                                    </w:rPr>
                                    <w:t>1)</w:t>
                                  </w:r>
                                </w:p>
                              </w:tc>
                              <w:tc>
                                <w:tcPr>
                                  <w:tcW w:w="1580" w:type="dxa"/>
                                </w:tcPr>
                                <w:p>
                                  <w:pPr>
                                    <w:pStyle w:val="TableParagraph"/>
                                    <w:spacing w:before="3"/>
                                    <w:ind w:left="359"/>
                                    <w:rPr>
                                      <w:b/>
                                      <w:sz w:val="21"/>
                                    </w:rPr>
                                  </w:pPr>
                                  <w:r>
                                    <w:rPr>
                                      <w:b/>
                                      <w:color w:val="050505"/>
                                      <w:w w:val="105"/>
                                      <w:sz w:val="21"/>
                                    </w:rPr>
                                    <w:t>(Note</w:t>
                                  </w:r>
                                  <w:r>
                                    <w:rPr>
                                      <w:b/>
                                      <w:color w:val="050505"/>
                                      <w:spacing w:val="6"/>
                                      <w:w w:val="105"/>
                                      <w:sz w:val="21"/>
                                    </w:rPr>
                                    <w:t> </w:t>
                                  </w:r>
                                  <w:r>
                                    <w:rPr>
                                      <w:b/>
                                      <w:color w:val="050505"/>
                                      <w:spacing w:val="-5"/>
                                      <w:w w:val="105"/>
                                      <w:sz w:val="21"/>
                                    </w:rPr>
                                    <w:t>2)</w:t>
                                  </w:r>
                                </w:p>
                              </w:tc>
                              <w:tc>
                                <w:tcPr>
                                  <w:tcW w:w="1477" w:type="dxa"/>
                                </w:tcPr>
                                <w:p>
                                  <w:pPr>
                                    <w:pStyle w:val="TableParagraph"/>
                                    <w:spacing w:before="3"/>
                                    <w:ind w:left="317"/>
                                    <w:rPr>
                                      <w:b/>
                                      <w:sz w:val="21"/>
                                    </w:rPr>
                                  </w:pPr>
                                  <w:r>
                                    <w:rPr>
                                      <w:b/>
                                      <w:color w:val="050505"/>
                                      <w:w w:val="105"/>
                                      <w:sz w:val="21"/>
                                    </w:rPr>
                                    <w:t>(Note</w:t>
                                  </w:r>
                                  <w:r>
                                    <w:rPr>
                                      <w:b/>
                                      <w:color w:val="050505"/>
                                      <w:spacing w:val="-1"/>
                                      <w:w w:val="105"/>
                                      <w:sz w:val="21"/>
                                    </w:rPr>
                                    <w:t> </w:t>
                                  </w:r>
                                  <w:r>
                                    <w:rPr>
                                      <w:b/>
                                      <w:color w:val="050505"/>
                                      <w:spacing w:val="-5"/>
                                      <w:w w:val="105"/>
                                      <w:sz w:val="21"/>
                                    </w:rPr>
                                    <w:t>3)</w:t>
                                  </w:r>
                                </w:p>
                              </w:tc>
                              <w:tc>
                                <w:tcPr>
                                  <w:tcW w:w="1405" w:type="dxa"/>
                                </w:tcPr>
                                <w:p>
                                  <w:pPr>
                                    <w:pStyle w:val="TableParagraph"/>
                                    <w:spacing w:before="3"/>
                                    <w:ind w:right="6"/>
                                    <w:jc w:val="right"/>
                                    <w:rPr>
                                      <w:b/>
                                      <w:sz w:val="21"/>
                                    </w:rPr>
                                  </w:pPr>
                                  <w:r>
                                    <w:rPr>
                                      <w:b/>
                                      <w:color w:val="050505"/>
                                      <w:spacing w:val="-2"/>
                                      <w:w w:val="105"/>
                                      <w:sz w:val="21"/>
                                    </w:rPr>
                                    <w:t>adjustments</w:t>
                                  </w:r>
                                </w:p>
                              </w:tc>
                            </w:tr>
                            <w:tr>
                              <w:trPr>
                                <w:trHeight w:val="598" w:hRule="atLeast"/>
                              </w:trPr>
                              <w:tc>
                                <w:tcPr>
                                  <w:tcW w:w="3705" w:type="dxa"/>
                                </w:tcPr>
                                <w:p>
                                  <w:pPr>
                                    <w:pStyle w:val="TableParagraph"/>
                                    <w:spacing w:before="164"/>
                                    <w:ind w:left="134"/>
                                    <w:rPr>
                                      <w:b/>
                                      <w:sz w:val="21"/>
                                    </w:rPr>
                                  </w:pPr>
                                  <w:r>
                                    <w:rPr>
                                      <w:b/>
                                      <w:color w:val="050505"/>
                                      <w:spacing w:val="-2"/>
                                      <w:w w:val="105"/>
                                      <w:sz w:val="21"/>
                                    </w:rPr>
                                    <w:t>SERVICE</w:t>
                                  </w:r>
                                </w:p>
                              </w:tc>
                              <w:tc>
                                <w:tcPr>
                                  <w:tcW w:w="1596" w:type="dxa"/>
                                </w:tcPr>
                                <w:p>
                                  <w:pPr>
                                    <w:pStyle w:val="TableParagraph"/>
                                    <w:spacing w:before="188"/>
                                    <w:ind w:left="565"/>
                                    <w:rPr>
                                      <w:b/>
                                      <w:sz w:val="21"/>
                                    </w:rPr>
                                  </w:pPr>
                                  <w:r>
                                    <w:rPr>
                                      <w:b/>
                                      <w:color w:val="050505"/>
                                      <w:spacing w:val="-4"/>
                                      <w:w w:val="105"/>
                                      <w:sz w:val="21"/>
                                    </w:rPr>
                                    <w:t>£000</w:t>
                                  </w:r>
                                </w:p>
                              </w:tc>
                              <w:tc>
                                <w:tcPr>
                                  <w:tcW w:w="1580" w:type="dxa"/>
                                </w:tcPr>
                                <w:p>
                                  <w:pPr>
                                    <w:pStyle w:val="TableParagraph"/>
                                    <w:spacing w:before="188"/>
                                    <w:ind w:left="517"/>
                                    <w:rPr>
                                      <w:b/>
                                      <w:sz w:val="21"/>
                                    </w:rPr>
                                  </w:pPr>
                                  <w:r>
                                    <w:rPr>
                                      <w:b/>
                                      <w:color w:val="050505"/>
                                      <w:spacing w:val="-4"/>
                                      <w:w w:val="105"/>
                                      <w:sz w:val="21"/>
                                    </w:rPr>
                                    <w:t>£000</w:t>
                                  </w:r>
                                </w:p>
                              </w:tc>
                              <w:tc>
                                <w:tcPr>
                                  <w:tcW w:w="1477" w:type="dxa"/>
                                </w:tcPr>
                                <w:p>
                                  <w:pPr>
                                    <w:pStyle w:val="TableParagraph"/>
                                    <w:spacing w:before="188"/>
                                    <w:ind w:left="481"/>
                                    <w:rPr>
                                      <w:b/>
                                      <w:sz w:val="21"/>
                                    </w:rPr>
                                  </w:pPr>
                                  <w:r>
                                    <w:rPr>
                                      <w:b/>
                                      <w:color w:val="050505"/>
                                      <w:spacing w:val="-4"/>
                                      <w:w w:val="105"/>
                                      <w:sz w:val="21"/>
                                    </w:rPr>
                                    <w:t>£000</w:t>
                                  </w:r>
                                </w:p>
                              </w:tc>
                              <w:tc>
                                <w:tcPr>
                                  <w:tcW w:w="1405" w:type="dxa"/>
                                </w:tcPr>
                                <w:p>
                                  <w:pPr>
                                    <w:pStyle w:val="TableParagraph"/>
                                    <w:spacing w:before="183"/>
                                    <w:ind w:left="509"/>
                                    <w:rPr>
                                      <w:b/>
                                      <w:sz w:val="21"/>
                                    </w:rPr>
                                  </w:pPr>
                                  <w:r>
                                    <w:rPr>
                                      <w:b/>
                                      <w:color w:val="050505"/>
                                      <w:spacing w:val="-4"/>
                                      <w:w w:val="105"/>
                                      <w:sz w:val="21"/>
                                    </w:rPr>
                                    <w:t>£000</w:t>
                                  </w:r>
                                </w:p>
                              </w:tc>
                            </w:tr>
                            <w:tr>
                              <w:trPr>
                                <w:trHeight w:val="450" w:hRule="atLeast"/>
                              </w:trPr>
                              <w:tc>
                                <w:tcPr>
                                  <w:tcW w:w="3705" w:type="dxa"/>
                                </w:tcPr>
                                <w:p>
                                  <w:pPr>
                                    <w:pStyle w:val="TableParagraph"/>
                                    <w:spacing w:before="161"/>
                                    <w:ind w:left="123"/>
                                    <w:rPr>
                                      <w:sz w:val="22"/>
                                    </w:rPr>
                                  </w:pPr>
                                  <w:r>
                                    <w:rPr>
                                      <w:color w:val="1D1D1D"/>
                                      <w:sz w:val="22"/>
                                    </w:rPr>
                                    <w:t>Asset</w:t>
                                  </w:r>
                                  <w:r>
                                    <w:rPr>
                                      <w:color w:val="1D1D1D"/>
                                      <w:spacing w:val="6"/>
                                      <w:sz w:val="22"/>
                                    </w:rPr>
                                    <w:t> </w:t>
                                  </w:r>
                                  <w:r>
                                    <w:rPr>
                                      <w:color w:val="1D1D1D"/>
                                      <w:spacing w:val="-2"/>
                                      <w:sz w:val="22"/>
                                    </w:rPr>
                                    <w:t>Management</w:t>
                                  </w:r>
                                </w:p>
                              </w:tc>
                              <w:tc>
                                <w:tcPr>
                                  <w:tcW w:w="1596" w:type="dxa"/>
                                </w:tcPr>
                                <w:p>
                                  <w:pPr>
                                    <w:pStyle w:val="TableParagraph"/>
                                    <w:spacing w:before="181" w:line="249" w:lineRule="exact"/>
                                    <w:ind w:right="122"/>
                                    <w:jc w:val="right"/>
                                    <w:rPr>
                                      <w:sz w:val="22"/>
                                    </w:rPr>
                                  </w:pPr>
                                  <w:r>
                                    <w:rPr>
                                      <w:color w:val="050505"/>
                                      <w:spacing w:val="-2"/>
                                      <w:sz w:val="22"/>
                                    </w:rPr>
                                    <w:t>(845)</w:t>
                                  </w:r>
                                </w:p>
                              </w:tc>
                              <w:tc>
                                <w:tcPr>
                                  <w:tcW w:w="1580" w:type="dxa"/>
                                </w:tcPr>
                                <w:p>
                                  <w:pPr>
                                    <w:pStyle w:val="TableParagraph"/>
                                    <w:spacing w:before="181" w:line="249" w:lineRule="exact"/>
                                    <w:ind w:right="145"/>
                                    <w:jc w:val="right"/>
                                    <w:rPr>
                                      <w:sz w:val="22"/>
                                    </w:rPr>
                                  </w:pPr>
                                  <w:r>
                                    <w:rPr>
                                      <w:color w:val="050505"/>
                                      <w:spacing w:val="-5"/>
                                      <w:sz w:val="22"/>
                                    </w:rPr>
                                    <w:t>59</w:t>
                                  </w:r>
                                </w:p>
                              </w:tc>
                              <w:tc>
                                <w:tcPr>
                                  <w:tcW w:w="1477" w:type="dxa"/>
                                </w:tcPr>
                                <w:p>
                                  <w:pPr>
                                    <w:pStyle w:val="TableParagraph"/>
                                    <w:spacing w:before="176"/>
                                    <w:ind w:right="106"/>
                                    <w:jc w:val="right"/>
                                    <w:rPr>
                                      <w:sz w:val="22"/>
                                    </w:rPr>
                                  </w:pPr>
                                  <w:r>
                                    <w:rPr>
                                      <w:color w:val="050505"/>
                                      <w:spacing w:val="-10"/>
                                      <w:w w:val="105"/>
                                      <w:sz w:val="22"/>
                                    </w:rPr>
                                    <w:t>2</w:t>
                                  </w:r>
                                </w:p>
                              </w:tc>
                              <w:tc>
                                <w:tcPr>
                                  <w:tcW w:w="1405" w:type="dxa"/>
                                </w:tcPr>
                                <w:p>
                                  <w:pPr>
                                    <w:pStyle w:val="TableParagraph"/>
                                    <w:spacing w:before="180"/>
                                    <w:jc w:val="right"/>
                                    <w:rPr>
                                      <w:b/>
                                      <w:sz w:val="21"/>
                                    </w:rPr>
                                  </w:pPr>
                                  <w:r>
                                    <w:rPr>
                                      <w:b/>
                                      <w:color w:val="050505"/>
                                      <w:spacing w:val="-2"/>
                                      <w:w w:val="105"/>
                                      <w:sz w:val="21"/>
                                    </w:rPr>
                                    <w:t>(784)</w:t>
                                  </w:r>
                                </w:p>
                              </w:tc>
                            </w:tr>
                            <w:tr>
                              <w:trPr>
                                <w:trHeight w:val="288" w:hRule="atLeast"/>
                              </w:trPr>
                              <w:tc>
                                <w:tcPr>
                                  <w:tcW w:w="3705" w:type="dxa"/>
                                </w:tcPr>
                                <w:p>
                                  <w:pPr>
                                    <w:pStyle w:val="TableParagraph"/>
                                    <w:spacing w:before="9"/>
                                    <w:ind w:left="123"/>
                                    <w:rPr>
                                      <w:sz w:val="22"/>
                                    </w:rPr>
                                  </w:pPr>
                                  <w:r>
                                    <w:rPr>
                                      <w:color w:val="1D1D1D"/>
                                      <w:sz w:val="22"/>
                                    </w:rPr>
                                    <w:t>Audit</w:t>
                                  </w:r>
                                  <w:r>
                                    <w:rPr>
                                      <w:color w:val="1D1D1D"/>
                                      <w:spacing w:val="9"/>
                                      <w:sz w:val="22"/>
                                    </w:rPr>
                                    <w:t> </w:t>
                                  </w:r>
                                  <w:r>
                                    <w:rPr>
                                      <w:color w:val="1D1D1D"/>
                                      <w:sz w:val="22"/>
                                    </w:rPr>
                                    <w:t>&amp;</w:t>
                                  </w:r>
                                  <w:r>
                                    <w:rPr>
                                      <w:color w:val="1D1D1D"/>
                                      <w:spacing w:val="-1"/>
                                      <w:sz w:val="22"/>
                                    </w:rPr>
                                    <w:t> </w:t>
                                  </w:r>
                                  <w:r>
                                    <w:rPr>
                                      <w:color w:val="1D1D1D"/>
                                      <w:spacing w:val="-2"/>
                                      <w:sz w:val="22"/>
                                    </w:rPr>
                                    <w:t>Assurance</w:t>
                                  </w:r>
                                </w:p>
                              </w:tc>
                              <w:tc>
                                <w:tcPr>
                                  <w:tcW w:w="1596" w:type="dxa"/>
                                </w:tcPr>
                                <w:p>
                                  <w:pPr>
                                    <w:pStyle w:val="TableParagraph"/>
                                    <w:rPr>
                                      <w:rFonts w:ascii="Times New Roman"/>
                                      <w:sz w:val="20"/>
                                    </w:rPr>
                                  </w:pPr>
                                </w:p>
                              </w:tc>
                              <w:tc>
                                <w:tcPr>
                                  <w:tcW w:w="1580" w:type="dxa"/>
                                </w:tcPr>
                                <w:p>
                                  <w:pPr>
                                    <w:pStyle w:val="TableParagraph"/>
                                    <w:rPr>
                                      <w:rFonts w:ascii="Times New Roman"/>
                                      <w:sz w:val="20"/>
                                    </w:rPr>
                                  </w:pPr>
                                </w:p>
                              </w:tc>
                              <w:tc>
                                <w:tcPr>
                                  <w:tcW w:w="1477" w:type="dxa"/>
                                </w:tcPr>
                                <w:p>
                                  <w:pPr>
                                    <w:pStyle w:val="TableParagraph"/>
                                    <w:rPr>
                                      <w:rFonts w:ascii="Times New Roman"/>
                                      <w:sz w:val="20"/>
                                    </w:rPr>
                                  </w:pPr>
                                </w:p>
                              </w:tc>
                              <w:tc>
                                <w:tcPr>
                                  <w:tcW w:w="1405" w:type="dxa"/>
                                </w:tcPr>
                                <w:p>
                                  <w:pPr>
                                    <w:pStyle w:val="TableParagraph"/>
                                    <w:rPr>
                                      <w:rFonts w:ascii="Times New Roman"/>
                                      <w:sz w:val="20"/>
                                    </w:rPr>
                                  </w:pPr>
                                </w:p>
                              </w:tc>
                            </w:tr>
                            <w:tr>
                              <w:trPr>
                                <w:trHeight w:val="305" w:hRule="atLeast"/>
                              </w:trPr>
                              <w:tc>
                                <w:tcPr>
                                  <w:tcW w:w="3705" w:type="dxa"/>
                                </w:tcPr>
                                <w:p>
                                  <w:pPr>
                                    <w:pStyle w:val="TableParagraph"/>
                                    <w:spacing w:before="19"/>
                                    <w:ind w:left="115"/>
                                    <w:rPr>
                                      <w:sz w:val="22"/>
                                    </w:rPr>
                                  </w:pPr>
                                  <w:r>
                                    <w:rPr>
                                      <w:color w:val="1D1D1D"/>
                                      <w:sz w:val="22"/>
                                    </w:rPr>
                                    <w:t>Executive</w:t>
                                  </w:r>
                                  <w:r>
                                    <w:rPr>
                                      <w:color w:val="1D1D1D"/>
                                      <w:spacing w:val="-5"/>
                                      <w:sz w:val="22"/>
                                    </w:rPr>
                                    <w:t> </w:t>
                                  </w:r>
                                  <w:r>
                                    <w:rPr>
                                      <w:color w:val="1D1D1D"/>
                                      <w:spacing w:val="-2"/>
                                      <w:sz w:val="22"/>
                                    </w:rPr>
                                    <w:t>Directors</w:t>
                                  </w:r>
                                </w:p>
                              </w:tc>
                              <w:tc>
                                <w:tcPr>
                                  <w:tcW w:w="1596" w:type="dxa"/>
                                </w:tcPr>
                                <w:p>
                                  <w:pPr>
                                    <w:pStyle w:val="TableParagraph"/>
                                    <w:rPr>
                                      <w:rFonts w:ascii="Times New Roman"/>
                                      <w:sz w:val="20"/>
                                    </w:rPr>
                                  </w:pPr>
                                </w:p>
                              </w:tc>
                              <w:tc>
                                <w:tcPr>
                                  <w:tcW w:w="1580" w:type="dxa"/>
                                </w:tcPr>
                                <w:p>
                                  <w:pPr>
                                    <w:pStyle w:val="TableParagraph"/>
                                    <w:spacing w:before="33" w:line="252" w:lineRule="exact"/>
                                    <w:ind w:right="149"/>
                                    <w:jc w:val="right"/>
                                    <w:rPr>
                                      <w:sz w:val="22"/>
                                    </w:rPr>
                                  </w:pPr>
                                  <w:r>
                                    <w:rPr>
                                      <w:color w:val="050505"/>
                                      <w:spacing w:val="-5"/>
                                      <w:sz w:val="22"/>
                                    </w:rPr>
                                    <w:t>54</w:t>
                                  </w:r>
                                </w:p>
                              </w:tc>
                              <w:tc>
                                <w:tcPr>
                                  <w:tcW w:w="1477" w:type="dxa"/>
                                </w:tcPr>
                                <w:p>
                                  <w:pPr>
                                    <w:pStyle w:val="TableParagraph"/>
                                    <w:rPr>
                                      <w:rFonts w:ascii="Times New Roman"/>
                                      <w:sz w:val="20"/>
                                    </w:rPr>
                                  </w:pPr>
                                </w:p>
                              </w:tc>
                              <w:tc>
                                <w:tcPr>
                                  <w:tcW w:w="1405" w:type="dxa"/>
                                </w:tcPr>
                                <w:p>
                                  <w:pPr>
                                    <w:pStyle w:val="TableParagraph"/>
                                    <w:spacing w:before="38"/>
                                    <w:ind w:right="2"/>
                                    <w:jc w:val="right"/>
                                    <w:rPr>
                                      <w:b/>
                                      <w:sz w:val="21"/>
                                    </w:rPr>
                                  </w:pPr>
                                  <w:r>
                                    <w:rPr>
                                      <w:b/>
                                      <w:color w:val="050505"/>
                                      <w:spacing w:val="-5"/>
                                      <w:w w:val="105"/>
                                      <w:sz w:val="21"/>
                                    </w:rPr>
                                    <w:t>54</w:t>
                                  </w:r>
                                </w:p>
                              </w:tc>
                            </w:tr>
                            <w:tr>
                              <w:trPr>
                                <w:trHeight w:val="302" w:hRule="atLeast"/>
                              </w:trPr>
                              <w:tc>
                                <w:tcPr>
                                  <w:tcW w:w="3705" w:type="dxa"/>
                                </w:tcPr>
                                <w:p>
                                  <w:pPr>
                                    <w:pStyle w:val="TableParagraph"/>
                                    <w:spacing w:before="11"/>
                                    <w:ind w:left="110"/>
                                    <w:rPr>
                                      <w:sz w:val="22"/>
                                    </w:rPr>
                                  </w:pPr>
                                  <w:r>
                                    <w:rPr>
                                      <w:color w:val="1D1D1D"/>
                                      <w:sz w:val="22"/>
                                    </w:rPr>
                                    <w:t>Engineering</w:t>
                                  </w:r>
                                  <w:r>
                                    <w:rPr>
                                      <w:color w:val="1D1D1D"/>
                                      <w:spacing w:val="5"/>
                                      <w:sz w:val="22"/>
                                    </w:rPr>
                                    <w:t> </w:t>
                                  </w:r>
                                  <w:r>
                                    <w:rPr>
                                      <w:color w:val="1D1D1D"/>
                                      <w:spacing w:val="-2"/>
                                      <w:sz w:val="22"/>
                                    </w:rPr>
                                    <w:t>Services</w:t>
                                  </w:r>
                                </w:p>
                              </w:tc>
                              <w:tc>
                                <w:tcPr>
                                  <w:tcW w:w="1596" w:type="dxa"/>
                                </w:tcPr>
                                <w:p>
                                  <w:pPr>
                                    <w:pStyle w:val="TableParagraph"/>
                                    <w:spacing w:before="35" w:line="247" w:lineRule="exact"/>
                                    <w:ind w:right="117"/>
                                    <w:jc w:val="right"/>
                                    <w:rPr>
                                      <w:sz w:val="22"/>
                                    </w:rPr>
                                  </w:pPr>
                                  <w:r>
                                    <w:rPr>
                                      <w:color w:val="1D1D1D"/>
                                      <w:spacing w:val="-10"/>
                                      <w:w w:val="110"/>
                                      <w:sz w:val="22"/>
                                    </w:rPr>
                                    <w:t>2</w:t>
                                  </w:r>
                                </w:p>
                              </w:tc>
                              <w:tc>
                                <w:tcPr>
                                  <w:tcW w:w="1580" w:type="dxa"/>
                                </w:tcPr>
                                <w:p>
                                  <w:pPr>
                                    <w:pStyle w:val="TableParagraph"/>
                                    <w:spacing w:before="31" w:line="252" w:lineRule="exact"/>
                                    <w:ind w:right="152"/>
                                    <w:jc w:val="right"/>
                                    <w:rPr>
                                      <w:sz w:val="22"/>
                                    </w:rPr>
                                  </w:pPr>
                                  <w:r>
                                    <w:rPr>
                                      <w:color w:val="050505"/>
                                      <w:spacing w:val="-5"/>
                                      <w:sz w:val="22"/>
                                    </w:rPr>
                                    <w:t>51</w:t>
                                  </w:r>
                                </w:p>
                              </w:tc>
                              <w:tc>
                                <w:tcPr>
                                  <w:tcW w:w="1477" w:type="dxa"/>
                                </w:tcPr>
                                <w:p>
                                  <w:pPr>
                                    <w:pStyle w:val="TableParagraph"/>
                                    <w:spacing w:before="31" w:line="252" w:lineRule="exact"/>
                                    <w:ind w:right="118"/>
                                    <w:jc w:val="right"/>
                                    <w:rPr>
                                      <w:sz w:val="22"/>
                                    </w:rPr>
                                  </w:pPr>
                                  <w:r>
                                    <w:rPr>
                                      <w:color w:val="050505"/>
                                      <w:spacing w:val="-10"/>
                                      <w:sz w:val="22"/>
                                    </w:rPr>
                                    <w:t>1</w:t>
                                  </w:r>
                                </w:p>
                              </w:tc>
                              <w:tc>
                                <w:tcPr>
                                  <w:tcW w:w="1405" w:type="dxa"/>
                                </w:tcPr>
                                <w:p>
                                  <w:pPr>
                                    <w:pStyle w:val="TableParagraph"/>
                                    <w:spacing w:before="35"/>
                                    <w:ind w:right="2"/>
                                    <w:jc w:val="right"/>
                                    <w:rPr>
                                      <w:b/>
                                      <w:sz w:val="21"/>
                                    </w:rPr>
                                  </w:pPr>
                                  <w:r>
                                    <w:rPr>
                                      <w:b/>
                                      <w:color w:val="050505"/>
                                      <w:spacing w:val="-5"/>
                                      <w:w w:val="105"/>
                                      <w:sz w:val="21"/>
                                    </w:rPr>
                                    <w:t>54</w:t>
                                  </w:r>
                                </w:p>
                              </w:tc>
                            </w:tr>
                            <w:tr>
                              <w:trPr>
                                <w:trHeight w:val="297" w:hRule="atLeast"/>
                              </w:trPr>
                              <w:tc>
                                <w:tcPr>
                                  <w:tcW w:w="3705" w:type="dxa"/>
                                </w:tcPr>
                                <w:p>
                                  <w:pPr>
                                    <w:pStyle w:val="TableParagraph"/>
                                    <w:spacing w:before="7"/>
                                    <w:ind w:left="110"/>
                                    <w:rPr>
                                      <w:sz w:val="22"/>
                                    </w:rPr>
                                  </w:pPr>
                                  <w:r>
                                    <w:rPr>
                                      <w:color w:val="1D1D1D"/>
                                      <w:sz w:val="22"/>
                                    </w:rPr>
                                    <w:t>Environmental</w:t>
                                  </w:r>
                                  <w:r>
                                    <w:rPr>
                                      <w:color w:val="1D1D1D"/>
                                      <w:spacing w:val="-2"/>
                                      <w:sz w:val="22"/>
                                    </w:rPr>
                                    <w:t> Health</w:t>
                                  </w:r>
                                </w:p>
                              </w:tc>
                              <w:tc>
                                <w:tcPr>
                                  <w:tcW w:w="1596" w:type="dxa"/>
                                </w:tcPr>
                                <w:p>
                                  <w:pPr>
                                    <w:pStyle w:val="TableParagraph"/>
                                    <w:spacing w:before="31" w:line="247" w:lineRule="exact"/>
                                    <w:ind w:right="118"/>
                                    <w:jc w:val="right"/>
                                    <w:rPr>
                                      <w:sz w:val="22"/>
                                    </w:rPr>
                                  </w:pPr>
                                  <w:r>
                                    <w:rPr>
                                      <w:color w:val="1D1D1D"/>
                                      <w:spacing w:val="-10"/>
                                      <w:w w:val="105"/>
                                      <w:sz w:val="22"/>
                                    </w:rPr>
                                    <w:t>3</w:t>
                                  </w:r>
                                </w:p>
                              </w:tc>
                              <w:tc>
                                <w:tcPr>
                                  <w:tcW w:w="1580" w:type="dxa"/>
                                </w:tcPr>
                                <w:p>
                                  <w:pPr>
                                    <w:pStyle w:val="TableParagraph"/>
                                    <w:spacing w:before="26" w:line="252" w:lineRule="exact"/>
                                    <w:ind w:right="154"/>
                                    <w:jc w:val="right"/>
                                    <w:rPr>
                                      <w:sz w:val="22"/>
                                    </w:rPr>
                                  </w:pPr>
                                  <w:r>
                                    <w:rPr>
                                      <w:color w:val="050505"/>
                                      <w:spacing w:val="-5"/>
                                      <w:sz w:val="22"/>
                                    </w:rPr>
                                    <w:t>138</w:t>
                                  </w:r>
                                </w:p>
                              </w:tc>
                              <w:tc>
                                <w:tcPr>
                                  <w:tcW w:w="1477" w:type="dxa"/>
                                </w:tcPr>
                                <w:p>
                                  <w:pPr>
                                    <w:pStyle w:val="TableParagraph"/>
                                    <w:spacing w:before="26" w:line="252" w:lineRule="exact"/>
                                    <w:ind w:right="119"/>
                                    <w:jc w:val="right"/>
                                    <w:rPr>
                                      <w:sz w:val="22"/>
                                    </w:rPr>
                                  </w:pPr>
                                  <w:r>
                                    <w:rPr>
                                      <w:color w:val="050505"/>
                                      <w:spacing w:val="-5"/>
                                      <w:sz w:val="22"/>
                                    </w:rPr>
                                    <w:t>(1)</w:t>
                                  </w:r>
                                </w:p>
                              </w:tc>
                              <w:tc>
                                <w:tcPr>
                                  <w:tcW w:w="1405" w:type="dxa"/>
                                </w:tcPr>
                                <w:p>
                                  <w:pPr>
                                    <w:pStyle w:val="TableParagraph"/>
                                    <w:spacing w:before="30"/>
                                    <w:ind w:right="7"/>
                                    <w:jc w:val="right"/>
                                    <w:rPr>
                                      <w:b/>
                                      <w:sz w:val="21"/>
                                    </w:rPr>
                                  </w:pPr>
                                  <w:r>
                                    <w:rPr>
                                      <w:b/>
                                      <w:color w:val="050505"/>
                                      <w:spacing w:val="-5"/>
                                      <w:w w:val="105"/>
                                      <w:sz w:val="21"/>
                                    </w:rPr>
                                    <w:t>140</w:t>
                                  </w:r>
                                </w:p>
                              </w:tc>
                            </w:tr>
                            <w:tr>
                              <w:trPr>
                                <w:trHeight w:val="297" w:hRule="atLeast"/>
                              </w:trPr>
                              <w:tc>
                                <w:tcPr>
                                  <w:tcW w:w="3705" w:type="dxa"/>
                                </w:tcPr>
                                <w:p>
                                  <w:pPr>
                                    <w:pStyle w:val="TableParagraph"/>
                                    <w:spacing w:before="7"/>
                                    <w:ind w:left="105"/>
                                    <w:rPr>
                                      <w:sz w:val="22"/>
                                    </w:rPr>
                                  </w:pPr>
                                  <w:r>
                                    <w:rPr>
                                      <w:color w:val="050505"/>
                                      <w:sz w:val="22"/>
                                    </w:rPr>
                                    <w:t>Finance</w:t>
                                  </w:r>
                                  <w:r>
                                    <w:rPr>
                                      <w:color w:val="050505"/>
                                      <w:spacing w:val="6"/>
                                      <w:sz w:val="22"/>
                                    </w:rPr>
                                    <w:t> </w:t>
                                  </w:r>
                                  <w:r>
                                    <w:rPr>
                                      <w:color w:val="050505"/>
                                      <w:sz w:val="22"/>
                                    </w:rPr>
                                    <w:t>&amp;</w:t>
                                  </w:r>
                                  <w:r>
                                    <w:rPr>
                                      <w:color w:val="050505"/>
                                      <w:spacing w:val="-5"/>
                                      <w:sz w:val="22"/>
                                    </w:rPr>
                                    <w:t> </w:t>
                                  </w:r>
                                  <w:r>
                                    <w:rPr>
                                      <w:color w:val="050505"/>
                                      <w:sz w:val="22"/>
                                    </w:rPr>
                                    <w:t>Business</w:t>
                                  </w:r>
                                  <w:r>
                                    <w:rPr>
                                      <w:color w:val="050505"/>
                                      <w:spacing w:val="10"/>
                                      <w:sz w:val="22"/>
                                    </w:rPr>
                                    <w:t> </w:t>
                                  </w:r>
                                  <w:r>
                                    <w:rPr>
                                      <w:color w:val="050505"/>
                                      <w:spacing w:val="-2"/>
                                      <w:sz w:val="22"/>
                                    </w:rPr>
                                    <w:t>Services</w:t>
                                  </w:r>
                                </w:p>
                              </w:tc>
                              <w:tc>
                                <w:tcPr>
                                  <w:tcW w:w="1596" w:type="dxa"/>
                                </w:tcPr>
                                <w:p>
                                  <w:pPr>
                                    <w:pStyle w:val="TableParagraph"/>
                                    <w:spacing w:before="26" w:line="252" w:lineRule="exact"/>
                                    <w:ind w:right="129"/>
                                    <w:jc w:val="right"/>
                                    <w:rPr>
                                      <w:sz w:val="22"/>
                                    </w:rPr>
                                  </w:pPr>
                                  <w:r>
                                    <w:rPr>
                                      <w:color w:val="050505"/>
                                      <w:spacing w:val="-5"/>
                                      <w:sz w:val="22"/>
                                    </w:rPr>
                                    <w:t>141</w:t>
                                  </w:r>
                                </w:p>
                              </w:tc>
                              <w:tc>
                                <w:tcPr>
                                  <w:tcW w:w="1580" w:type="dxa"/>
                                </w:tcPr>
                                <w:p>
                                  <w:pPr>
                                    <w:pStyle w:val="TableParagraph"/>
                                    <w:spacing w:before="26" w:line="252" w:lineRule="exact"/>
                                    <w:ind w:right="163"/>
                                    <w:jc w:val="right"/>
                                    <w:rPr>
                                      <w:sz w:val="22"/>
                                    </w:rPr>
                                  </w:pPr>
                                  <w:r>
                                    <w:rPr>
                                      <w:color w:val="050505"/>
                                      <w:spacing w:val="-5"/>
                                      <w:sz w:val="22"/>
                                    </w:rPr>
                                    <w:t>295</w:t>
                                  </w:r>
                                </w:p>
                              </w:tc>
                              <w:tc>
                                <w:tcPr>
                                  <w:tcW w:w="1477" w:type="dxa"/>
                                </w:tcPr>
                                <w:p>
                                  <w:pPr>
                                    <w:pStyle w:val="TableParagraph"/>
                                    <w:spacing w:before="26" w:line="252" w:lineRule="exact"/>
                                    <w:ind w:right="129"/>
                                    <w:jc w:val="right"/>
                                    <w:rPr>
                                      <w:sz w:val="22"/>
                                    </w:rPr>
                                  </w:pPr>
                                  <w:r>
                                    <w:rPr>
                                      <w:color w:val="050505"/>
                                      <w:spacing w:val="-5"/>
                                      <w:sz w:val="22"/>
                                    </w:rPr>
                                    <w:t>(4)</w:t>
                                  </w:r>
                                </w:p>
                              </w:tc>
                              <w:tc>
                                <w:tcPr>
                                  <w:tcW w:w="1405" w:type="dxa"/>
                                </w:tcPr>
                                <w:p>
                                  <w:pPr>
                                    <w:pStyle w:val="TableParagraph"/>
                                    <w:spacing w:before="30"/>
                                    <w:ind w:right="6"/>
                                    <w:jc w:val="right"/>
                                    <w:rPr>
                                      <w:b/>
                                      <w:sz w:val="21"/>
                                    </w:rPr>
                                  </w:pPr>
                                  <w:r>
                                    <w:rPr>
                                      <w:b/>
                                      <w:color w:val="050505"/>
                                      <w:spacing w:val="-5"/>
                                      <w:w w:val="105"/>
                                      <w:sz w:val="21"/>
                                    </w:rPr>
                                    <w:t>432</w:t>
                                  </w:r>
                                </w:p>
                              </w:tc>
                            </w:tr>
                            <w:tr>
                              <w:trPr>
                                <w:trHeight w:val="290" w:hRule="atLeast"/>
                              </w:trPr>
                              <w:tc>
                                <w:tcPr>
                                  <w:tcW w:w="3705" w:type="dxa"/>
                                </w:tcPr>
                                <w:p>
                                  <w:pPr>
                                    <w:pStyle w:val="TableParagraph"/>
                                    <w:spacing w:before="11"/>
                                    <w:ind w:left="106"/>
                                    <w:rPr>
                                      <w:sz w:val="22"/>
                                    </w:rPr>
                                  </w:pPr>
                                  <w:r>
                                    <w:rPr>
                                      <w:color w:val="050505"/>
                                      <w:sz w:val="22"/>
                                    </w:rPr>
                                    <w:t>General</w:t>
                                  </w:r>
                                  <w:r>
                                    <w:rPr>
                                      <w:color w:val="050505"/>
                                      <w:spacing w:val="-3"/>
                                      <w:sz w:val="22"/>
                                    </w:rPr>
                                    <w:t> </w:t>
                                  </w:r>
                                  <w:r>
                                    <w:rPr>
                                      <w:color w:val="050505"/>
                                      <w:spacing w:val="-2"/>
                                      <w:sz w:val="22"/>
                                    </w:rPr>
                                    <w:t>Expenses</w:t>
                                  </w:r>
                                </w:p>
                              </w:tc>
                              <w:tc>
                                <w:tcPr>
                                  <w:tcW w:w="1596" w:type="dxa"/>
                                </w:tcPr>
                                <w:p>
                                  <w:pPr>
                                    <w:pStyle w:val="TableParagraph"/>
                                    <w:rPr>
                                      <w:rFonts w:ascii="Times New Roman"/>
                                      <w:sz w:val="20"/>
                                    </w:rPr>
                                  </w:pPr>
                                </w:p>
                              </w:tc>
                              <w:tc>
                                <w:tcPr>
                                  <w:tcW w:w="1580" w:type="dxa"/>
                                </w:tcPr>
                                <w:p>
                                  <w:pPr>
                                    <w:pStyle w:val="TableParagraph"/>
                                    <w:rPr>
                                      <w:rFonts w:ascii="Times New Roman"/>
                                      <w:sz w:val="20"/>
                                    </w:rPr>
                                  </w:pPr>
                                </w:p>
                              </w:tc>
                              <w:tc>
                                <w:tcPr>
                                  <w:tcW w:w="1477" w:type="dxa"/>
                                </w:tcPr>
                                <w:p>
                                  <w:pPr>
                                    <w:pStyle w:val="TableParagraph"/>
                                    <w:rPr>
                                      <w:rFonts w:ascii="Times New Roman"/>
                                      <w:sz w:val="20"/>
                                    </w:rPr>
                                  </w:pPr>
                                </w:p>
                              </w:tc>
                              <w:tc>
                                <w:tcPr>
                                  <w:tcW w:w="1405" w:type="dxa"/>
                                </w:tcPr>
                                <w:p>
                                  <w:pPr>
                                    <w:pStyle w:val="TableParagraph"/>
                                    <w:rPr>
                                      <w:rFonts w:ascii="Times New Roman"/>
                                      <w:sz w:val="20"/>
                                    </w:rPr>
                                  </w:pPr>
                                </w:p>
                              </w:tc>
                            </w:tr>
                            <w:tr>
                              <w:trPr>
                                <w:trHeight w:val="295" w:hRule="atLeast"/>
                              </w:trPr>
                              <w:tc>
                                <w:tcPr>
                                  <w:tcW w:w="3705" w:type="dxa"/>
                                </w:tcPr>
                                <w:p>
                                  <w:pPr>
                                    <w:pStyle w:val="TableParagraph"/>
                                    <w:spacing w:before="19"/>
                                    <w:ind w:left="95"/>
                                    <w:rPr>
                                      <w:sz w:val="22"/>
                                    </w:rPr>
                                  </w:pPr>
                                  <w:r>
                                    <w:rPr>
                                      <w:color w:val="050505"/>
                                      <w:sz w:val="22"/>
                                    </w:rPr>
                                    <w:t>Housing</w:t>
                                  </w:r>
                                  <w:r>
                                    <w:rPr>
                                      <w:color w:val="050505"/>
                                      <w:spacing w:val="7"/>
                                      <w:sz w:val="22"/>
                                    </w:rPr>
                                    <w:t> </w:t>
                                  </w:r>
                                  <w:r>
                                    <w:rPr>
                                      <w:color w:val="050505"/>
                                      <w:spacing w:val="-2"/>
                                      <w:sz w:val="22"/>
                                    </w:rPr>
                                    <w:t>Services</w:t>
                                  </w:r>
                                </w:p>
                              </w:tc>
                              <w:tc>
                                <w:tcPr>
                                  <w:tcW w:w="1596" w:type="dxa"/>
                                </w:tcPr>
                                <w:p>
                                  <w:pPr>
                                    <w:pStyle w:val="TableParagraph"/>
                                    <w:rPr>
                                      <w:rFonts w:ascii="Times New Roman"/>
                                      <w:sz w:val="20"/>
                                    </w:rPr>
                                  </w:pPr>
                                </w:p>
                              </w:tc>
                              <w:tc>
                                <w:tcPr>
                                  <w:tcW w:w="1580" w:type="dxa"/>
                                </w:tcPr>
                                <w:p>
                                  <w:pPr>
                                    <w:pStyle w:val="TableParagraph"/>
                                    <w:spacing w:before="33" w:line="242" w:lineRule="exact"/>
                                    <w:ind w:right="164"/>
                                    <w:jc w:val="right"/>
                                    <w:rPr>
                                      <w:sz w:val="22"/>
                                    </w:rPr>
                                  </w:pPr>
                                  <w:r>
                                    <w:rPr>
                                      <w:color w:val="050505"/>
                                      <w:spacing w:val="-5"/>
                                      <w:sz w:val="22"/>
                                    </w:rPr>
                                    <w:t>98</w:t>
                                  </w:r>
                                </w:p>
                              </w:tc>
                              <w:tc>
                                <w:tcPr>
                                  <w:tcW w:w="1477" w:type="dxa"/>
                                </w:tcPr>
                                <w:p>
                                  <w:pPr>
                                    <w:pStyle w:val="TableParagraph"/>
                                    <w:spacing w:before="33" w:line="242" w:lineRule="exact"/>
                                    <w:ind w:right="129"/>
                                    <w:jc w:val="right"/>
                                    <w:rPr>
                                      <w:sz w:val="22"/>
                                    </w:rPr>
                                  </w:pPr>
                                  <w:r>
                                    <w:rPr>
                                      <w:color w:val="050505"/>
                                      <w:spacing w:val="-5"/>
                                      <w:sz w:val="22"/>
                                    </w:rPr>
                                    <w:t>827</w:t>
                                  </w:r>
                                </w:p>
                              </w:tc>
                              <w:tc>
                                <w:tcPr>
                                  <w:tcW w:w="1405" w:type="dxa"/>
                                </w:tcPr>
                                <w:p>
                                  <w:pPr>
                                    <w:pStyle w:val="TableParagraph"/>
                                    <w:spacing w:before="38" w:line="238" w:lineRule="exact"/>
                                    <w:ind w:right="23"/>
                                    <w:jc w:val="right"/>
                                    <w:rPr>
                                      <w:b/>
                                      <w:sz w:val="21"/>
                                    </w:rPr>
                                  </w:pPr>
                                  <w:r>
                                    <w:rPr>
                                      <w:b/>
                                      <w:color w:val="050505"/>
                                      <w:spacing w:val="-5"/>
                                      <w:w w:val="105"/>
                                      <w:sz w:val="21"/>
                                    </w:rPr>
                                    <w:t>925</w:t>
                                  </w:r>
                                </w:p>
                              </w:tc>
                            </w:tr>
                            <w:tr>
                              <w:trPr>
                                <w:trHeight w:val="528" w:hRule="atLeast"/>
                              </w:trPr>
                              <w:tc>
                                <w:tcPr>
                                  <w:tcW w:w="3705" w:type="dxa"/>
                                </w:tcPr>
                                <w:p>
                                  <w:pPr>
                                    <w:pStyle w:val="TableParagraph"/>
                                    <w:spacing w:before="2" w:line="250" w:lineRule="atLeast"/>
                                    <w:ind w:left="93" w:firstLine="1"/>
                                    <w:rPr>
                                      <w:sz w:val="22"/>
                                    </w:rPr>
                                  </w:pPr>
                                  <w:r>
                                    <w:rPr>
                                      <w:color w:val="050505"/>
                                      <w:sz w:val="22"/>
                                    </w:rPr>
                                    <w:t>Human</w:t>
                                  </w:r>
                                  <w:r>
                                    <w:rPr>
                                      <w:color w:val="050505"/>
                                      <w:spacing w:val="-14"/>
                                      <w:sz w:val="22"/>
                                    </w:rPr>
                                    <w:t> </w:t>
                                  </w:r>
                                  <w:r>
                                    <w:rPr>
                                      <w:color w:val="050505"/>
                                      <w:sz w:val="22"/>
                                    </w:rPr>
                                    <w:t>Resources &amp;</w:t>
                                  </w:r>
                                  <w:r>
                                    <w:rPr>
                                      <w:color w:val="050505"/>
                                      <w:spacing w:val="-16"/>
                                      <w:sz w:val="22"/>
                                    </w:rPr>
                                    <w:t> </w:t>
                                  </w:r>
                                  <w:r>
                                    <w:rPr>
                                      <w:color w:val="050505"/>
                                      <w:sz w:val="22"/>
                                    </w:rPr>
                                    <w:t>Customer </w:t>
                                  </w:r>
                                  <w:r>
                                    <w:rPr>
                                      <w:color w:val="050505"/>
                                      <w:spacing w:val="-2"/>
                                      <w:sz w:val="22"/>
                                    </w:rPr>
                                    <w:t>Services</w:t>
                                  </w:r>
                                </w:p>
                              </w:tc>
                              <w:tc>
                                <w:tcPr>
                                  <w:tcW w:w="1596" w:type="dxa"/>
                                </w:tcPr>
                                <w:p>
                                  <w:pPr>
                                    <w:pStyle w:val="TableParagraph"/>
                                    <w:spacing w:before="3"/>
                                    <w:rPr>
                                      <w:b/>
                                      <w:sz w:val="22"/>
                                    </w:rPr>
                                  </w:pPr>
                                </w:p>
                                <w:p>
                                  <w:pPr>
                                    <w:pStyle w:val="TableParagraph"/>
                                    <w:spacing w:before="1" w:line="252" w:lineRule="exact"/>
                                    <w:ind w:right="142"/>
                                    <w:jc w:val="right"/>
                                    <w:rPr>
                                      <w:sz w:val="22"/>
                                    </w:rPr>
                                  </w:pPr>
                                  <w:r>
                                    <w:rPr>
                                      <w:color w:val="050505"/>
                                      <w:spacing w:val="-5"/>
                                      <w:sz w:val="22"/>
                                    </w:rPr>
                                    <w:t>33</w:t>
                                  </w:r>
                                </w:p>
                              </w:tc>
                              <w:tc>
                                <w:tcPr>
                                  <w:tcW w:w="1580" w:type="dxa"/>
                                </w:tcPr>
                                <w:p>
                                  <w:pPr>
                                    <w:pStyle w:val="TableParagraph"/>
                                    <w:spacing w:before="252"/>
                                    <w:ind w:right="168"/>
                                    <w:jc w:val="right"/>
                                    <w:rPr>
                                      <w:sz w:val="22"/>
                                    </w:rPr>
                                  </w:pPr>
                                  <w:r>
                                    <w:rPr>
                                      <w:color w:val="050505"/>
                                      <w:spacing w:val="-5"/>
                                      <w:sz w:val="22"/>
                                    </w:rPr>
                                    <w:t>141</w:t>
                                  </w:r>
                                </w:p>
                              </w:tc>
                              <w:tc>
                                <w:tcPr>
                                  <w:tcW w:w="1477" w:type="dxa"/>
                                </w:tcPr>
                                <w:p>
                                  <w:pPr>
                                    <w:pStyle w:val="TableParagraph"/>
                                    <w:rPr>
                                      <w:rFonts w:ascii="Times New Roman"/>
                                      <w:sz w:val="20"/>
                                    </w:rPr>
                                  </w:pPr>
                                </w:p>
                              </w:tc>
                              <w:tc>
                                <w:tcPr>
                                  <w:tcW w:w="1405" w:type="dxa"/>
                                </w:tcPr>
                                <w:p>
                                  <w:pPr>
                                    <w:pStyle w:val="TableParagraph"/>
                                    <w:spacing w:before="15"/>
                                    <w:rPr>
                                      <w:b/>
                                      <w:sz w:val="21"/>
                                    </w:rPr>
                                  </w:pPr>
                                </w:p>
                                <w:p>
                                  <w:pPr>
                                    <w:pStyle w:val="TableParagraph"/>
                                    <w:ind w:right="16"/>
                                    <w:jc w:val="right"/>
                                    <w:rPr>
                                      <w:b/>
                                      <w:sz w:val="21"/>
                                    </w:rPr>
                                  </w:pPr>
                                  <w:r>
                                    <w:rPr>
                                      <w:b/>
                                      <w:color w:val="050505"/>
                                      <w:spacing w:val="-5"/>
                                      <w:w w:val="105"/>
                                      <w:sz w:val="21"/>
                                    </w:rPr>
                                    <w:t>174</w:t>
                                  </w:r>
                                </w:p>
                              </w:tc>
                            </w:tr>
                            <w:tr>
                              <w:trPr>
                                <w:trHeight w:val="285" w:hRule="atLeast"/>
                              </w:trPr>
                              <w:tc>
                                <w:tcPr>
                                  <w:tcW w:w="3705" w:type="dxa"/>
                                </w:tcPr>
                                <w:p>
                                  <w:pPr>
                                    <w:pStyle w:val="TableParagraph"/>
                                    <w:spacing w:before="11"/>
                                    <w:ind w:left="87"/>
                                    <w:rPr>
                                      <w:sz w:val="22"/>
                                    </w:rPr>
                                  </w:pPr>
                                  <w:r>
                                    <w:rPr>
                                      <w:color w:val="050505"/>
                                      <w:spacing w:val="-2"/>
                                      <w:sz w:val="22"/>
                                    </w:rPr>
                                    <w:t>Legal</w:t>
                                  </w:r>
                                  <w:r>
                                    <w:rPr>
                                      <w:color w:val="878787"/>
                                      <w:spacing w:val="-2"/>
                                      <w:sz w:val="22"/>
                                    </w:rPr>
                                    <w:t>_</w:t>
                                  </w:r>
                                  <w:r>
                                    <w:rPr>
                                      <w:color w:val="050505"/>
                                      <w:spacing w:val="-2"/>
                                      <w:sz w:val="22"/>
                                    </w:rPr>
                                    <w:t>&amp;</w:t>
                                  </w:r>
                                  <w:r>
                                    <w:rPr>
                                      <w:color w:val="050505"/>
                                      <w:spacing w:val="-10"/>
                                      <w:sz w:val="22"/>
                                    </w:rPr>
                                    <w:t> </w:t>
                                  </w:r>
                                  <w:r>
                                    <w:rPr>
                                      <w:color w:val="050505"/>
                                      <w:spacing w:val="-2"/>
                                      <w:sz w:val="22"/>
                                    </w:rPr>
                                    <w:t>Deniocratic</w:t>
                                  </w:r>
                                  <w:r>
                                    <w:rPr>
                                      <w:color w:val="050505"/>
                                      <w:spacing w:val="5"/>
                                      <w:sz w:val="22"/>
                                    </w:rPr>
                                    <w:t> </w:t>
                                  </w:r>
                                  <w:r>
                                    <w:rPr>
                                      <w:color w:val="050505"/>
                                      <w:spacing w:val="-2"/>
                                      <w:sz w:val="22"/>
                                    </w:rPr>
                                    <w:t>Services</w:t>
                                  </w:r>
                                </w:p>
                              </w:tc>
                              <w:tc>
                                <w:tcPr>
                                  <w:tcW w:w="1596" w:type="dxa"/>
                                </w:tcPr>
                                <w:p>
                                  <w:pPr>
                                    <w:pStyle w:val="TableParagraph"/>
                                    <w:rPr>
                                      <w:rFonts w:ascii="Times New Roman"/>
                                      <w:sz w:val="20"/>
                                    </w:rPr>
                                  </w:pPr>
                                </w:p>
                              </w:tc>
                              <w:tc>
                                <w:tcPr>
                                  <w:tcW w:w="1580" w:type="dxa"/>
                                </w:tcPr>
                                <w:p>
                                  <w:pPr>
                                    <w:pStyle w:val="TableParagraph"/>
                                    <w:spacing w:before="26" w:line="240" w:lineRule="exact"/>
                                    <w:ind w:right="175"/>
                                    <w:jc w:val="right"/>
                                    <w:rPr>
                                      <w:sz w:val="22"/>
                                    </w:rPr>
                                  </w:pPr>
                                  <w:r>
                                    <w:rPr>
                                      <w:color w:val="050505"/>
                                      <w:spacing w:val="-5"/>
                                      <w:sz w:val="22"/>
                                    </w:rPr>
                                    <w:t>108</w:t>
                                  </w:r>
                                </w:p>
                              </w:tc>
                              <w:tc>
                                <w:tcPr>
                                  <w:tcW w:w="1477" w:type="dxa"/>
                                </w:tcPr>
                                <w:p>
                                  <w:pPr>
                                    <w:pStyle w:val="TableParagraph"/>
                                    <w:spacing w:before="16" w:line="249" w:lineRule="exact"/>
                                    <w:ind w:right="130"/>
                                    <w:jc w:val="right"/>
                                    <w:rPr>
                                      <w:sz w:val="22"/>
                                    </w:rPr>
                                  </w:pPr>
                                  <w:r>
                                    <w:rPr>
                                      <w:color w:val="1D1D1D"/>
                                      <w:spacing w:val="-10"/>
                                      <w:sz w:val="22"/>
                                    </w:rPr>
                                    <w:t>1</w:t>
                                  </w:r>
                                </w:p>
                              </w:tc>
                              <w:tc>
                                <w:tcPr>
                                  <w:tcW w:w="1405" w:type="dxa"/>
                                </w:tcPr>
                                <w:p>
                                  <w:pPr>
                                    <w:pStyle w:val="TableParagraph"/>
                                    <w:spacing w:before="30" w:line="235" w:lineRule="exact"/>
                                    <w:ind w:right="21"/>
                                    <w:jc w:val="right"/>
                                    <w:rPr>
                                      <w:b/>
                                      <w:sz w:val="21"/>
                                    </w:rPr>
                                  </w:pPr>
                                  <w:r>
                                    <w:rPr>
                                      <w:b/>
                                      <w:color w:val="050505"/>
                                      <w:spacing w:val="-5"/>
                                      <w:w w:val="105"/>
                                      <w:sz w:val="21"/>
                                    </w:rPr>
                                    <w:t>109</w:t>
                                  </w:r>
                                </w:p>
                              </w:tc>
                            </w:tr>
                            <w:tr>
                              <w:trPr>
                                <w:trHeight w:val="257" w:hRule="atLeast"/>
                              </w:trPr>
                              <w:tc>
                                <w:tcPr>
                                  <w:tcW w:w="3705" w:type="dxa"/>
                                </w:tcPr>
                                <w:p>
                                  <w:pPr>
                                    <w:pStyle w:val="TableParagraph"/>
                                    <w:spacing w:line="237" w:lineRule="exact"/>
                                    <w:ind w:left="86"/>
                                    <w:rPr>
                                      <w:sz w:val="22"/>
                                    </w:rPr>
                                  </w:pPr>
                                  <w:r>
                                    <w:rPr>
                                      <w:color w:val="050505"/>
                                      <w:sz w:val="22"/>
                                    </w:rPr>
                                    <w:t>Partnership</w:t>
                                  </w:r>
                                  <w:r>
                                    <w:rPr>
                                      <w:color w:val="050505"/>
                                      <w:spacing w:val="6"/>
                                      <w:sz w:val="22"/>
                                    </w:rPr>
                                    <w:t> </w:t>
                                  </w:r>
                                  <w:r>
                                    <w:rPr>
                                      <w:color w:val="050505"/>
                                      <w:sz w:val="22"/>
                                    </w:rPr>
                                    <w:t>&amp;</w:t>
                                  </w:r>
                                  <w:r>
                                    <w:rPr>
                                      <w:color w:val="050505"/>
                                      <w:spacing w:val="-7"/>
                                      <w:sz w:val="22"/>
                                    </w:rPr>
                                    <w:t> </w:t>
                                  </w:r>
                                  <w:r>
                                    <w:rPr>
                                      <w:color w:val="050505"/>
                                      <w:spacing w:val="-2"/>
                                      <w:sz w:val="22"/>
                                    </w:rPr>
                                    <w:t>Community</w:t>
                                  </w:r>
                                </w:p>
                              </w:tc>
                              <w:tc>
                                <w:tcPr>
                                  <w:tcW w:w="1596" w:type="dxa"/>
                                </w:tcPr>
                                <w:p>
                                  <w:pPr>
                                    <w:pStyle w:val="TableParagraph"/>
                                    <w:rPr>
                                      <w:rFonts w:ascii="Times New Roman"/>
                                      <w:sz w:val="18"/>
                                    </w:rPr>
                                  </w:pPr>
                                </w:p>
                              </w:tc>
                              <w:tc>
                                <w:tcPr>
                                  <w:tcW w:w="1580" w:type="dxa"/>
                                </w:tcPr>
                                <w:p>
                                  <w:pPr>
                                    <w:pStyle w:val="TableParagraph"/>
                                    <w:rPr>
                                      <w:rFonts w:ascii="Times New Roman"/>
                                      <w:sz w:val="18"/>
                                    </w:rPr>
                                  </w:pPr>
                                </w:p>
                              </w:tc>
                              <w:tc>
                                <w:tcPr>
                                  <w:tcW w:w="1477" w:type="dxa"/>
                                </w:tcPr>
                                <w:p>
                                  <w:pPr>
                                    <w:pStyle w:val="TableParagraph"/>
                                    <w:rPr>
                                      <w:rFonts w:ascii="Times New Roman"/>
                                      <w:sz w:val="18"/>
                                    </w:rPr>
                                  </w:pPr>
                                </w:p>
                              </w:tc>
                              <w:tc>
                                <w:tcPr>
                                  <w:tcW w:w="1405" w:type="dxa"/>
                                </w:tcPr>
                                <w:p>
                                  <w:pPr>
                                    <w:pStyle w:val="TableParagraph"/>
                                    <w:rPr>
                                      <w:rFonts w:ascii="Times New Roman"/>
                                      <w:sz w:val="18"/>
                                    </w:rPr>
                                  </w:pPr>
                                </w:p>
                              </w:tc>
                            </w:tr>
                            <w:tr>
                              <w:trPr>
                                <w:trHeight w:val="271" w:hRule="atLeast"/>
                              </w:trPr>
                              <w:tc>
                                <w:tcPr>
                                  <w:tcW w:w="3705" w:type="dxa"/>
                                </w:tcPr>
                                <w:p>
                                  <w:pPr>
                                    <w:pStyle w:val="TableParagraph"/>
                                    <w:spacing w:line="250" w:lineRule="exact"/>
                                    <w:ind w:left="81"/>
                                    <w:rPr>
                                      <w:sz w:val="22"/>
                                    </w:rPr>
                                  </w:pPr>
                                  <w:r>
                                    <w:rPr>
                                      <w:color w:val="050505"/>
                                      <w:spacing w:val="-2"/>
                                      <w:sz w:val="22"/>
                                    </w:rPr>
                                    <w:t>Engagement</w:t>
                                  </w:r>
                                </w:p>
                              </w:tc>
                              <w:tc>
                                <w:tcPr>
                                  <w:tcW w:w="1596" w:type="dxa"/>
                                </w:tcPr>
                                <w:p>
                                  <w:pPr>
                                    <w:pStyle w:val="TableParagraph"/>
                                    <w:rPr>
                                      <w:rFonts w:ascii="Times New Roman"/>
                                      <w:sz w:val="20"/>
                                    </w:rPr>
                                  </w:pPr>
                                </w:p>
                              </w:tc>
                              <w:tc>
                                <w:tcPr>
                                  <w:tcW w:w="1580" w:type="dxa"/>
                                </w:tcPr>
                                <w:p>
                                  <w:pPr>
                                    <w:pStyle w:val="TableParagraph"/>
                                    <w:spacing w:before="2" w:line="249" w:lineRule="exact"/>
                                    <w:ind w:right="171"/>
                                    <w:jc w:val="right"/>
                                    <w:rPr>
                                      <w:sz w:val="22"/>
                                    </w:rPr>
                                  </w:pPr>
                                  <w:r>
                                    <w:rPr>
                                      <w:color w:val="050505"/>
                                      <w:spacing w:val="-5"/>
                                      <w:w w:val="105"/>
                                      <w:sz w:val="22"/>
                                    </w:rPr>
                                    <w:t>82</w:t>
                                  </w:r>
                                </w:p>
                              </w:tc>
                              <w:tc>
                                <w:tcPr>
                                  <w:tcW w:w="1477" w:type="dxa"/>
                                </w:tcPr>
                                <w:p>
                                  <w:pPr>
                                    <w:pStyle w:val="TableParagraph"/>
                                    <w:spacing w:before="6"/>
                                    <w:ind w:right="139"/>
                                    <w:jc w:val="right"/>
                                    <w:rPr>
                                      <w:sz w:val="21"/>
                                    </w:rPr>
                                  </w:pPr>
                                  <w:r>
                                    <w:rPr>
                                      <w:color w:val="050505"/>
                                      <w:spacing w:val="-10"/>
                                      <w:w w:val="105"/>
                                      <w:sz w:val="21"/>
                                    </w:rPr>
                                    <w:t>6</w:t>
                                  </w:r>
                                </w:p>
                              </w:tc>
                              <w:tc>
                                <w:tcPr>
                                  <w:tcW w:w="1405" w:type="dxa"/>
                                </w:tcPr>
                                <w:p>
                                  <w:pPr>
                                    <w:pStyle w:val="TableParagraph"/>
                                    <w:spacing w:before="2"/>
                                    <w:ind w:right="21"/>
                                    <w:jc w:val="right"/>
                                    <w:rPr>
                                      <w:b/>
                                      <w:sz w:val="21"/>
                                    </w:rPr>
                                  </w:pPr>
                                  <w:r>
                                    <w:rPr>
                                      <w:b/>
                                      <w:color w:val="050505"/>
                                      <w:spacing w:val="-5"/>
                                      <w:w w:val="105"/>
                                      <w:sz w:val="21"/>
                                    </w:rPr>
                                    <w:t>88</w:t>
                                  </w:r>
                                </w:p>
                              </w:tc>
                            </w:tr>
                            <w:tr>
                              <w:trPr>
                                <w:trHeight w:val="297" w:hRule="atLeast"/>
                              </w:trPr>
                              <w:tc>
                                <w:tcPr>
                                  <w:tcW w:w="3705" w:type="dxa"/>
                                </w:tcPr>
                                <w:p>
                                  <w:pPr>
                                    <w:pStyle w:val="TableParagraph"/>
                                    <w:spacing w:before="9"/>
                                    <w:ind w:left="77"/>
                                    <w:rPr>
                                      <w:sz w:val="22"/>
                                    </w:rPr>
                                  </w:pPr>
                                  <w:r>
                                    <w:rPr>
                                      <w:color w:val="050505"/>
                                      <w:sz w:val="22"/>
                                    </w:rPr>
                                    <w:t>Planning &amp;</w:t>
                                  </w:r>
                                  <w:r>
                                    <w:rPr>
                                      <w:color w:val="050505"/>
                                      <w:spacing w:val="-7"/>
                                      <w:sz w:val="22"/>
                                    </w:rPr>
                                    <w:t> </w:t>
                                  </w:r>
                                  <w:r>
                                    <w:rPr>
                                      <w:color w:val="050505"/>
                                      <w:sz w:val="22"/>
                                    </w:rPr>
                                    <w:t>Economic</w:t>
                                  </w:r>
                                  <w:r>
                                    <w:rPr>
                                      <w:color w:val="050505"/>
                                      <w:spacing w:val="15"/>
                                      <w:sz w:val="22"/>
                                    </w:rPr>
                                    <w:t> </w:t>
                                  </w:r>
                                  <w:r>
                                    <w:rPr>
                                      <w:color w:val="050505"/>
                                      <w:spacing w:val="-2"/>
                                      <w:sz w:val="22"/>
                                    </w:rPr>
                                    <w:t>Development</w:t>
                                  </w:r>
                                </w:p>
                              </w:tc>
                              <w:tc>
                                <w:tcPr>
                                  <w:tcW w:w="1596" w:type="dxa"/>
                                </w:tcPr>
                                <w:p>
                                  <w:pPr>
                                    <w:pStyle w:val="TableParagraph"/>
                                    <w:spacing w:before="28" w:line="249" w:lineRule="exact"/>
                                    <w:ind w:right="142"/>
                                    <w:jc w:val="right"/>
                                    <w:rPr>
                                      <w:sz w:val="22"/>
                                    </w:rPr>
                                  </w:pPr>
                                  <w:r>
                                    <w:rPr>
                                      <w:color w:val="050505"/>
                                      <w:spacing w:val="-10"/>
                                      <w:w w:val="110"/>
                                      <w:sz w:val="22"/>
                                    </w:rPr>
                                    <w:t>4</w:t>
                                  </w:r>
                                </w:p>
                              </w:tc>
                              <w:tc>
                                <w:tcPr>
                                  <w:tcW w:w="1580" w:type="dxa"/>
                                </w:tcPr>
                                <w:p>
                                  <w:pPr>
                                    <w:pStyle w:val="TableParagraph"/>
                                    <w:spacing w:before="28" w:line="249" w:lineRule="exact"/>
                                    <w:ind w:right="179"/>
                                    <w:jc w:val="right"/>
                                    <w:rPr>
                                      <w:sz w:val="22"/>
                                    </w:rPr>
                                  </w:pPr>
                                  <w:r>
                                    <w:rPr>
                                      <w:color w:val="050505"/>
                                      <w:spacing w:val="-5"/>
                                      <w:sz w:val="22"/>
                                    </w:rPr>
                                    <w:t>212</w:t>
                                  </w:r>
                                </w:p>
                              </w:tc>
                              <w:tc>
                                <w:tcPr>
                                  <w:tcW w:w="1477" w:type="dxa"/>
                                </w:tcPr>
                                <w:p>
                                  <w:pPr>
                                    <w:pStyle w:val="TableParagraph"/>
                                    <w:spacing w:before="28" w:line="249" w:lineRule="exact"/>
                                    <w:ind w:right="137"/>
                                    <w:jc w:val="right"/>
                                    <w:rPr>
                                      <w:sz w:val="22"/>
                                    </w:rPr>
                                  </w:pPr>
                                  <w:r>
                                    <w:rPr>
                                      <w:color w:val="050505"/>
                                      <w:spacing w:val="-5"/>
                                      <w:sz w:val="22"/>
                                    </w:rPr>
                                    <w:t>416</w:t>
                                  </w:r>
                                </w:p>
                              </w:tc>
                              <w:tc>
                                <w:tcPr>
                                  <w:tcW w:w="1405" w:type="dxa"/>
                                </w:tcPr>
                                <w:p>
                                  <w:pPr>
                                    <w:pStyle w:val="TableParagraph"/>
                                    <w:spacing w:before="33"/>
                                    <w:ind w:right="21"/>
                                    <w:jc w:val="right"/>
                                    <w:rPr>
                                      <w:b/>
                                      <w:sz w:val="21"/>
                                    </w:rPr>
                                  </w:pPr>
                                  <w:r>
                                    <w:rPr>
                                      <w:b/>
                                      <w:color w:val="050505"/>
                                      <w:spacing w:val="-5"/>
                                      <w:w w:val="105"/>
                                      <w:sz w:val="21"/>
                                    </w:rPr>
                                    <w:t>632</w:t>
                                  </w:r>
                                </w:p>
                              </w:tc>
                            </w:tr>
                            <w:tr>
                              <w:trPr>
                                <w:trHeight w:val="1894" w:hRule="atLeast"/>
                              </w:trPr>
                              <w:tc>
                                <w:tcPr>
                                  <w:tcW w:w="3705" w:type="dxa"/>
                                </w:tcPr>
                                <w:p>
                                  <w:pPr>
                                    <w:pStyle w:val="TableParagraph"/>
                                    <w:spacing w:before="9" w:line="264" w:lineRule="auto"/>
                                    <w:ind w:left="63" w:right="333" w:firstLine="15"/>
                                    <w:rPr>
                                      <w:sz w:val="22"/>
                                    </w:rPr>
                                  </w:pPr>
                                  <w:r>
                                    <w:rPr>
                                      <w:color w:val="050505"/>
                                      <w:sz w:val="22"/>
                                    </w:rPr>
                                    <w:t>Street Scene Services Exceptional Items</w:t>
                                  </w:r>
                                  <w:r>
                                    <w:rPr>
                                      <w:color w:val="050505"/>
                                      <w:spacing w:val="-11"/>
                                      <w:sz w:val="22"/>
                                    </w:rPr>
                                    <w:t> </w:t>
                                  </w:r>
                                  <w:r>
                                    <w:rPr>
                                      <w:color w:val="050505"/>
                                      <w:sz w:val="22"/>
                                    </w:rPr>
                                    <w:t>-</w:t>
                                  </w:r>
                                  <w:r>
                                    <w:rPr>
                                      <w:color w:val="050505"/>
                                      <w:spacing w:val="40"/>
                                      <w:sz w:val="22"/>
                                    </w:rPr>
                                    <w:t> </w:t>
                                  </w:r>
                                  <w:r>
                                    <w:rPr>
                                      <w:color w:val="050505"/>
                                      <w:sz w:val="22"/>
                                    </w:rPr>
                                    <w:t>Covid-19 Exceptional Items</w:t>
                                  </w:r>
                                  <w:r>
                                    <w:rPr>
                                      <w:color w:val="050505"/>
                                      <w:spacing w:val="-8"/>
                                      <w:sz w:val="22"/>
                                    </w:rPr>
                                    <w:t> </w:t>
                                  </w:r>
                                  <w:r>
                                    <w:rPr>
                                      <w:color w:val="050505"/>
                                      <w:sz w:val="22"/>
                                    </w:rPr>
                                    <w:t>-</w:t>
                                  </w:r>
                                  <w:r>
                                    <w:rPr>
                                      <w:color w:val="050505"/>
                                      <w:spacing w:val="40"/>
                                      <w:sz w:val="22"/>
                                    </w:rPr>
                                    <w:t> </w:t>
                                  </w:r>
                                  <w:r>
                                    <w:rPr>
                                      <w:color w:val="050505"/>
                                      <w:sz w:val="22"/>
                                    </w:rPr>
                                    <w:t>Covid-19 Business Support Grants</w:t>
                                  </w:r>
                                </w:p>
                                <w:p>
                                  <w:pPr>
                                    <w:pStyle w:val="TableParagraph"/>
                                    <w:spacing w:line="236" w:lineRule="exact"/>
                                    <w:ind w:left="62"/>
                                    <w:rPr>
                                      <w:sz w:val="22"/>
                                    </w:rPr>
                                  </w:pPr>
                                  <w:r>
                                    <w:rPr>
                                      <w:color w:val="050505"/>
                                      <w:sz w:val="22"/>
                                    </w:rPr>
                                    <w:t>Exceptional</w:t>
                                  </w:r>
                                  <w:r>
                                    <w:rPr>
                                      <w:color w:val="050505"/>
                                      <w:spacing w:val="6"/>
                                      <w:sz w:val="22"/>
                                    </w:rPr>
                                    <w:t> </w:t>
                                  </w:r>
                                  <w:r>
                                    <w:rPr>
                                      <w:color w:val="050505"/>
                                      <w:sz w:val="22"/>
                                    </w:rPr>
                                    <w:t>Items</w:t>
                                  </w:r>
                                  <w:r>
                                    <w:rPr>
                                      <w:color w:val="050505"/>
                                      <w:spacing w:val="-6"/>
                                      <w:sz w:val="22"/>
                                    </w:rPr>
                                    <w:t> </w:t>
                                  </w:r>
                                  <w:r>
                                    <w:rPr>
                                      <w:color w:val="050505"/>
                                      <w:sz w:val="22"/>
                                    </w:rPr>
                                    <w:t>-</w:t>
                                  </w:r>
                                  <w:r>
                                    <w:rPr>
                                      <w:color w:val="050505"/>
                                      <w:spacing w:val="50"/>
                                      <w:sz w:val="22"/>
                                    </w:rPr>
                                    <w:t> </w:t>
                                  </w:r>
                                  <w:r>
                                    <w:rPr>
                                      <w:color w:val="050505"/>
                                      <w:sz w:val="22"/>
                                    </w:rPr>
                                    <w:t>Covid-19</w:t>
                                  </w:r>
                                  <w:r>
                                    <w:rPr>
                                      <w:color w:val="050505"/>
                                      <w:spacing w:val="4"/>
                                      <w:sz w:val="22"/>
                                    </w:rPr>
                                    <w:t> </w:t>
                                  </w:r>
                                  <w:r>
                                    <w:rPr>
                                      <w:color w:val="050505"/>
                                      <w:spacing w:val="-4"/>
                                      <w:sz w:val="22"/>
                                    </w:rPr>
                                    <w:t>Self</w:t>
                                  </w:r>
                                </w:p>
                                <w:p>
                                  <w:pPr>
                                    <w:pStyle w:val="TableParagraph"/>
                                    <w:spacing w:before="2"/>
                                    <w:ind w:left="59"/>
                                    <w:rPr>
                                      <w:sz w:val="22"/>
                                    </w:rPr>
                                  </w:pPr>
                                  <w:r>
                                    <w:rPr>
                                      <w:color w:val="050505"/>
                                      <w:spacing w:val="-2"/>
                                      <w:sz w:val="22"/>
                                    </w:rPr>
                                    <w:t>Isolation</w:t>
                                  </w:r>
                                </w:p>
                              </w:tc>
                              <w:tc>
                                <w:tcPr>
                                  <w:tcW w:w="1596" w:type="dxa"/>
                                  <w:tcBorders>
                                    <w:bottom w:val="single" w:color="000000" w:sz="6" w:space="0"/>
                                  </w:tcBorders>
                                </w:tcPr>
                                <w:p>
                                  <w:pPr>
                                    <w:pStyle w:val="TableParagraph"/>
                                    <w:spacing w:before="28"/>
                                    <w:ind w:right="155"/>
                                    <w:jc w:val="right"/>
                                    <w:rPr>
                                      <w:sz w:val="22"/>
                                    </w:rPr>
                                  </w:pPr>
                                  <w:r>
                                    <w:rPr>
                                      <w:color w:val="050505"/>
                                      <w:spacing w:val="-5"/>
                                      <w:sz w:val="22"/>
                                    </w:rPr>
                                    <w:t>245</w:t>
                                  </w:r>
                                </w:p>
                              </w:tc>
                              <w:tc>
                                <w:tcPr>
                                  <w:tcW w:w="1580" w:type="dxa"/>
                                  <w:tcBorders>
                                    <w:bottom w:val="single" w:color="000000" w:sz="6" w:space="0"/>
                                  </w:tcBorders>
                                </w:tcPr>
                                <w:p>
                                  <w:pPr>
                                    <w:pStyle w:val="TableParagraph"/>
                                    <w:spacing w:before="28"/>
                                    <w:ind w:right="180"/>
                                    <w:jc w:val="right"/>
                                    <w:rPr>
                                      <w:sz w:val="22"/>
                                    </w:rPr>
                                  </w:pPr>
                                  <w:r>
                                    <w:rPr>
                                      <w:color w:val="050505"/>
                                      <w:spacing w:val="-5"/>
                                      <w:sz w:val="22"/>
                                    </w:rPr>
                                    <w:t>406</w:t>
                                  </w:r>
                                </w:p>
                              </w:tc>
                              <w:tc>
                                <w:tcPr>
                                  <w:tcW w:w="1477" w:type="dxa"/>
                                  <w:tcBorders>
                                    <w:bottom w:val="single" w:color="000000" w:sz="6" w:space="0"/>
                                  </w:tcBorders>
                                </w:tcPr>
                                <w:p>
                                  <w:pPr>
                                    <w:pStyle w:val="TableParagraph"/>
                                    <w:spacing w:before="28"/>
                                    <w:ind w:right="137"/>
                                    <w:jc w:val="right"/>
                                    <w:rPr>
                                      <w:sz w:val="22"/>
                                    </w:rPr>
                                  </w:pPr>
                                  <w:r>
                                    <w:rPr>
                                      <w:color w:val="050505"/>
                                      <w:spacing w:val="-10"/>
                                      <w:sz w:val="22"/>
                                    </w:rPr>
                                    <w:t>7</w:t>
                                  </w:r>
                                </w:p>
                              </w:tc>
                              <w:tc>
                                <w:tcPr>
                                  <w:tcW w:w="1405" w:type="dxa"/>
                                  <w:tcBorders>
                                    <w:bottom w:val="single" w:color="000000" w:sz="6" w:space="0"/>
                                  </w:tcBorders>
                                </w:tcPr>
                                <w:p>
                                  <w:pPr>
                                    <w:pStyle w:val="TableParagraph"/>
                                    <w:spacing w:before="33"/>
                                    <w:ind w:right="28"/>
                                    <w:jc w:val="right"/>
                                    <w:rPr>
                                      <w:b/>
                                      <w:sz w:val="21"/>
                                    </w:rPr>
                                  </w:pPr>
                                  <w:r>
                                    <w:rPr>
                                      <w:b/>
                                      <w:color w:val="050505"/>
                                      <w:spacing w:val="-5"/>
                                      <w:w w:val="105"/>
                                      <w:sz w:val="21"/>
                                    </w:rPr>
                                    <w:t>658</w:t>
                                  </w:r>
                                </w:p>
                              </w:tc>
                            </w:tr>
                            <w:tr>
                              <w:trPr>
                                <w:trHeight w:val="282" w:hRule="atLeast"/>
                              </w:trPr>
                              <w:tc>
                                <w:tcPr>
                                  <w:tcW w:w="3705" w:type="dxa"/>
                                </w:tcPr>
                                <w:p>
                                  <w:pPr>
                                    <w:pStyle w:val="TableParagraph"/>
                                    <w:spacing w:before="40" w:line="222" w:lineRule="exact"/>
                                    <w:ind w:left="54"/>
                                    <w:rPr>
                                      <w:b/>
                                      <w:sz w:val="21"/>
                                    </w:rPr>
                                  </w:pPr>
                                  <w:r>
                                    <w:rPr>
                                      <w:b/>
                                      <w:color w:val="050505"/>
                                      <w:w w:val="105"/>
                                      <w:sz w:val="21"/>
                                    </w:rPr>
                                    <w:t>Net</w:t>
                                  </w:r>
                                  <w:r>
                                    <w:rPr>
                                      <w:b/>
                                      <w:color w:val="050505"/>
                                      <w:spacing w:val="5"/>
                                      <w:w w:val="105"/>
                                      <w:sz w:val="21"/>
                                    </w:rPr>
                                    <w:t> </w:t>
                                  </w:r>
                                  <w:r>
                                    <w:rPr>
                                      <w:b/>
                                      <w:color w:val="050505"/>
                                      <w:w w:val="105"/>
                                      <w:sz w:val="21"/>
                                    </w:rPr>
                                    <w:t>Cost</w:t>
                                  </w:r>
                                  <w:r>
                                    <w:rPr>
                                      <w:b/>
                                      <w:color w:val="050505"/>
                                      <w:spacing w:val="3"/>
                                      <w:w w:val="105"/>
                                      <w:sz w:val="21"/>
                                    </w:rPr>
                                    <w:t> </w:t>
                                  </w:r>
                                  <w:r>
                                    <w:rPr>
                                      <w:b/>
                                      <w:color w:val="050505"/>
                                      <w:w w:val="105"/>
                                      <w:sz w:val="21"/>
                                    </w:rPr>
                                    <w:t>of</w:t>
                                  </w:r>
                                  <w:r>
                                    <w:rPr>
                                      <w:b/>
                                      <w:color w:val="050505"/>
                                      <w:spacing w:val="-1"/>
                                      <w:w w:val="105"/>
                                      <w:sz w:val="21"/>
                                    </w:rPr>
                                    <w:t> </w:t>
                                  </w:r>
                                  <w:r>
                                    <w:rPr>
                                      <w:b/>
                                      <w:color w:val="050505"/>
                                      <w:spacing w:val="-2"/>
                                      <w:w w:val="105"/>
                                      <w:sz w:val="21"/>
                                    </w:rPr>
                                    <w:t>Services</w:t>
                                  </w:r>
                                </w:p>
                              </w:tc>
                              <w:tc>
                                <w:tcPr>
                                  <w:tcW w:w="1596" w:type="dxa"/>
                                  <w:tcBorders>
                                    <w:top w:val="single" w:color="000000" w:sz="6" w:space="0"/>
                                    <w:bottom w:val="single" w:color="000000" w:sz="6" w:space="0"/>
                                  </w:tcBorders>
                                </w:tcPr>
                                <w:p>
                                  <w:pPr>
                                    <w:pStyle w:val="TableParagraph"/>
                                    <w:spacing w:before="35" w:line="227" w:lineRule="exact"/>
                                    <w:ind w:right="161"/>
                                    <w:jc w:val="right"/>
                                    <w:rPr>
                                      <w:b/>
                                      <w:sz w:val="21"/>
                                    </w:rPr>
                                  </w:pPr>
                                  <w:r>
                                    <w:rPr>
                                      <w:b/>
                                      <w:color w:val="050505"/>
                                      <w:spacing w:val="-2"/>
                                      <w:w w:val="105"/>
                                      <w:sz w:val="21"/>
                                    </w:rPr>
                                    <w:t>(417)</w:t>
                                  </w:r>
                                </w:p>
                              </w:tc>
                              <w:tc>
                                <w:tcPr>
                                  <w:tcW w:w="1580" w:type="dxa"/>
                                  <w:tcBorders>
                                    <w:top w:val="single" w:color="000000" w:sz="6" w:space="0"/>
                                    <w:bottom w:val="single" w:color="000000" w:sz="6" w:space="0"/>
                                  </w:tcBorders>
                                </w:tcPr>
                                <w:p>
                                  <w:pPr>
                                    <w:pStyle w:val="TableParagraph"/>
                                    <w:spacing w:before="40" w:line="222" w:lineRule="exact"/>
                                    <w:ind w:right="190"/>
                                    <w:jc w:val="right"/>
                                    <w:rPr>
                                      <w:b/>
                                      <w:sz w:val="21"/>
                                    </w:rPr>
                                  </w:pPr>
                                  <w:r>
                                    <w:rPr>
                                      <w:b/>
                                      <w:color w:val="050505"/>
                                      <w:spacing w:val="-4"/>
                                      <w:w w:val="105"/>
                                      <w:sz w:val="21"/>
                                    </w:rPr>
                                    <w:t>1,644</w:t>
                                  </w:r>
                                </w:p>
                              </w:tc>
                              <w:tc>
                                <w:tcPr>
                                  <w:tcW w:w="1477" w:type="dxa"/>
                                  <w:tcBorders>
                                    <w:top w:val="single" w:color="000000" w:sz="6" w:space="0"/>
                                    <w:bottom w:val="single" w:color="000000" w:sz="6" w:space="0"/>
                                  </w:tcBorders>
                                </w:tcPr>
                                <w:p>
                                  <w:pPr>
                                    <w:pStyle w:val="TableParagraph"/>
                                    <w:spacing w:before="35" w:line="227" w:lineRule="exact"/>
                                    <w:ind w:right="154"/>
                                    <w:jc w:val="right"/>
                                    <w:rPr>
                                      <w:b/>
                                      <w:sz w:val="21"/>
                                    </w:rPr>
                                  </w:pPr>
                                  <w:r>
                                    <w:rPr>
                                      <w:b/>
                                      <w:color w:val="050505"/>
                                      <w:spacing w:val="-4"/>
                                      <w:w w:val="105"/>
                                      <w:sz w:val="21"/>
                                    </w:rPr>
                                    <w:t>1,255</w:t>
                                  </w:r>
                                </w:p>
                              </w:tc>
                              <w:tc>
                                <w:tcPr>
                                  <w:tcW w:w="1405" w:type="dxa"/>
                                  <w:tcBorders>
                                    <w:top w:val="single" w:color="000000" w:sz="6" w:space="0"/>
                                    <w:bottom w:val="single" w:color="000000" w:sz="6" w:space="0"/>
                                  </w:tcBorders>
                                </w:tcPr>
                                <w:p>
                                  <w:pPr>
                                    <w:pStyle w:val="TableParagraph"/>
                                    <w:spacing w:before="35" w:line="227" w:lineRule="exact"/>
                                    <w:ind w:right="42"/>
                                    <w:jc w:val="right"/>
                                    <w:rPr>
                                      <w:b/>
                                      <w:sz w:val="21"/>
                                    </w:rPr>
                                  </w:pPr>
                                  <w:r>
                                    <w:rPr>
                                      <w:b/>
                                      <w:color w:val="050505"/>
                                      <w:spacing w:val="-4"/>
                                      <w:w w:val="105"/>
                                      <w:sz w:val="21"/>
                                    </w:rPr>
                                    <w:t>2,482</w:t>
                                  </w:r>
                                </w:p>
                              </w:tc>
                            </w:tr>
                            <w:tr>
                              <w:trPr>
                                <w:trHeight w:val="284" w:hRule="atLeast"/>
                              </w:trPr>
                              <w:tc>
                                <w:tcPr>
                                  <w:tcW w:w="3705" w:type="dxa"/>
                                </w:tcPr>
                                <w:p>
                                  <w:pPr>
                                    <w:pStyle w:val="TableParagraph"/>
                                    <w:spacing w:before="17" w:line="247" w:lineRule="exact"/>
                                    <w:ind w:left="50"/>
                                    <w:rPr>
                                      <w:sz w:val="22"/>
                                    </w:rPr>
                                  </w:pPr>
                                  <w:r>
                                    <w:rPr>
                                      <w:color w:val="050505"/>
                                      <w:sz w:val="22"/>
                                    </w:rPr>
                                    <w:t>Other Operating</w:t>
                                  </w:r>
                                  <w:r>
                                    <w:rPr>
                                      <w:color w:val="050505"/>
                                      <w:spacing w:val="11"/>
                                      <w:sz w:val="22"/>
                                    </w:rPr>
                                    <w:t> </w:t>
                                  </w:r>
                                  <w:r>
                                    <w:rPr>
                                      <w:color w:val="050505"/>
                                      <w:spacing w:val="-2"/>
                                      <w:sz w:val="22"/>
                                    </w:rPr>
                                    <w:t>Expenditure</w:t>
                                  </w:r>
                                </w:p>
                              </w:tc>
                              <w:tc>
                                <w:tcPr>
                                  <w:tcW w:w="1596" w:type="dxa"/>
                                  <w:tcBorders>
                                    <w:top w:val="single" w:color="000000" w:sz="6" w:space="0"/>
                                  </w:tcBorders>
                                </w:tcPr>
                                <w:p>
                                  <w:pPr>
                                    <w:pStyle w:val="TableParagraph"/>
                                    <w:spacing w:before="31" w:line="233" w:lineRule="exact"/>
                                    <w:ind w:right="175"/>
                                    <w:jc w:val="right"/>
                                    <w:rPr>
                                      <w:sz w:val="22"/>
                                    </w:rPr>
                                  </w:pPr>
                                  <w:r>
                                    <w:rPr>
                                      <w:color w:val="050505"/>
                                      <w:spacing w:val="-4"/>
                                      <w:sz w:val="22"/>
                                    </w:rPr>
                                    <w:t>(13)</w:t>
                                  </w:r>
                                </w:p>
                              </w:tc>
                              <w:tc>
                                <w:tcPr>
                                  <w:tcW w:w="1580" w:type="dxa"/>
                                  <w:tcBorders>
                                    <w:top w:val="single" w:color="000000" w:sz="6" w:space="0"/>
                                  </w:tcBorders>
                                </w:tcPr>
                                <w:p>
                                  <w:pPr>
                                    <w:pStyle w:val="TableParagraph"/>
                                    <w:rPr>
                                      <w:rFonts w:ascii="Times New Roman"/>
                                      <w:sz w:val="20"/>
                                    </w:rPr>
                                  </w:pPr>
                                </w:p>
                              </w:tc>
                              <w:tc>
                                <w:tcPr>
                                  <w:tcW w:w="1477" w:type="dxa"/>
                                  <w:tcBorders>
                                    <w:top w:val="single" w:color="000000" w:sz="6" w:space="0"/>
                                  </w:tcBorders>
                                </w:tcPr>
                                <w:p>
                                  <w:pPr>
                                    <w:pStyle w:val="TableParagraph"/>
                                    <w:rPr>
                                      <w:rFonts w:ascii="Times New Roman"/>
                                      <w:sz w:val="20"/>
                                    </w:rPr>
                                  </w:pPr>
                                </w:p>
                              </w:tc>
                              <w:tc>
                                <w:tcPr>
                                  <w:tcW w:w="1405" w:type="dxa"/>
                                  <w:tcBorders>
                                    <w:top w:val="single" w:color="000000" w:sz="6" w:space="0"/>
                                  </w:tcBorders>
                                </w:tcPr>
                                <w:p>
                                  <w:pPr>
                                    <w:pStyle w:val="TableParagraph"/>
                                    <w:spacing w:before="35" w:line="228" w:lineRule="exact"/>
                                    <w:ind w:right="37"/>
                                    <w:jc w:val="right"/>
                                    <w:rPr>
                                      <w:b/>
                                      <w:sz w:val="21"/>
                                    </w:rPr>
                                  </w:pPr>
                                  <w:r>
                                    <w:rPr>
                                      <w:b/>
                                      <w:color w:val="050505"/>
                                      <w:spacing w:val="-4"/>
                                      <w:w w:val="105"/>
                                      <w:sz w:val="21"/>
                                    </w:rPr>
                                    <w:t>(13)</w:t>
                                  </w:r>
                                </w:p>
                              </w:tc>
                            </w:tr>
                          </w:tbl>
                          <w:p>
                            <w:pPr>
                              <w:pStyle w:val="BodyText"/>
                            </w:pPr>
                          </w:p>
                        </w:txbxContent>
                      </wps:txbx>
                      <wps:bodyPr wrap="square" lIns="0" tIns="0" rIns="0" bIns="0" rtlCol="0">
                        <a:noAutofit/>
                      </wps:bodyPr>
                    </wps:wsp>
                  </a:graphicData>
                </a:graphic>
              </wp:anchor>
            </w:drawing>
          </ve:Choice>
          <ve:Fallback>
            <w:pict>
              <v:shape id="docshape150" style="position:absolute;margin-left:82.193207pt;margin-top:-207.604828pt;width:494.15pt;height:462.15pt;mso-position-horizontal-relative:page;mso-position-vertical-relative:paragraph;z-index:15778816"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705"/>
                        <w:gridCol w:w="1596"/>
                        <w:gridCol w:w="1580"/>
                        <w:gridCol w:w="1477"/>
                        <w:gridCol w:w="1405"/>
                      </w:tblGrid>
                      <w:tr>
                        <w:trPr>
                          <w:trHeight w:val="405" w:hRule="atLeast"/>
                        </w:trPr>
                        <w:tc>
                          <w:tcPr>
                            <w:tcW w:w="5301" w:type="dxa"/>
                            <w:gridSpan w:val="2"/>
                          </w:tcPr>
                          <w:p>
                            <w:pPr>
                              <w:pStyle w:val="TableParagraph"/>
                              <w:rPr>
                                <w:rFonts w:ascii="Times New Roman"/>
                                <w:sz w:val="20"/>
                              </w:rPr>
                            </w:pPr>
                          </w:p>
                        </w:tc>
                        <w:tc>
                          <w:tcPr>
                            <w:tcW w:w="1580" w:type="dxa"/>
                          </w:tcPr>
                          <w:p>
                            <w:pPr>
                              <w:pStyle w:val="TableParagraph"/>
                              <w:spacing w:line="235" w:lineRule="exact"/>
                              <w:ind w:left="379"/>
                              <w:rPr>
                                <w:b/>
                                <w:sz w:val="21"/>
                              </w:rPr>
                            </w:pPr>
                            <w:r>
                              <w:rPr>
                                <w:b/>
                                <w:color w:val="050505"/>
                                <w:sz w:val="21"/>
                              </w:rPr>
                              <w:t>2021-</w:t>
                            </w:r>
                            <w:r>
                              <w:rPr>
                                <w:b/>
                                <w:color w:val="050505"/>
                                <w:spacing w:val="-5"/>
                                <w:sz w:val="21"/>
                              </w:rPr>
                              <w:t>22</w:t>
                            </w:r>
                          </w:p>
                        </w:tc>
                        <w:tc>
                          <w:tcPr>
                            <w:tcW w:w="1477" w:type="dxa"/>
                          </w:tcPr>
                          <w:p>
                            <w:pPr>
                              <w:pStyle w:val="TableParagraph"/>
                              <w:rPr>
                                <w:rFonts w:ascii="Times New Roman"/>
                                <w:sz w:val="20"/>
                              </w:rPr>
                            </w:pPr>
                          </w:p>
                        </w:tc>
                        <w:tc>
                          <w:tcPr>
                            <w:tcW w:w="1405" w:type="dxa"/>
                            <w:vMerge w:val="restart"/>
                          </w:tcPr>
                          <w:p>
                            <w:pPr>
                              <w:pStyle w:val="TableParagraph"/>
                              <w:rPr>
                                <w:rFonts w:ascii="Times New Roman"/>
                                <w:sz w:val="20"/>
                              </w:rPr>
                            </w:pPr>
                          </w:p>
                        </w:tc>
                      </w:tr>
                      <w:tr>
                        <w:trPr>
                          <w:trHeight w:val="415" w:hRule="atLeast"/>
                        </w:trPr>
                        <w:tc>
                          <w:tcPr>
                            <w:tcW w:w="3705" w:type="dxa"/>
                          </w:tcPr>
                          <w:p>
                            <w:pPr>
                              <w:pStyle w:val="TableParagraph"/>
                              <w:spacing w:before="164" w:line="231" w:lineRule="exact"/>
                              <w:ind w:left="156"/>
                              <w:rPr>
                                <w:b/>
                                <w:sz w:val="21"/>
                              </w:rPr>
                            </w:pPr>
                            <w:r>
                              <w:rPr>
                                <w:b/>
                                <w:color w:val="050505"/>
                                <w:w w:val="105"/>
                                <w:sz w:val="21"/>
                              </w:rPr>
                              <w:t>Adjustments</w:t>
                            </w:r>
                            <w:r>
                              <w:rPr>
                                <w:b/>
                                <w:color w:val="050505"/>
                                <w:spacing w:val="-1"/>
                                <w:w w:val="105"/>
                                <w:sz w:val="21"/>
                              </w:rPr>
                              <w:t> </w:t>
                            </w:r>
                            <w:r>
                              <w:rPr>
                                <w:b/>
                                <w:color w:val="050505"/>
                                <w:w w:val="105"/>
                                <w:sz w:val="21"/>
                              </w:rPr>
                              <w:t>to</w:t>
                            </w:r>
                            <w:r>
                              <w:rPr>
                                <w:b/>
                                <w:color w:val="050505"/>
                                <w:spacing w:val="-15"/>
                                <w:w w:val="105"/>
                                <w:sz w:val="21"/>
                              </w:rPr>
                              <w:t> </w:t>
                            </w:r>
                            <w:r>
                              <w:rPr>
                                <w:b/>
                                <w:color w:val="050505"/>
                                <w:w w:val="105"/>
                                <w:sz w:val="21"/>
                              </w:rPr>
                              <w:t>General</w:t>
                            </w:r>
                            <w:r>
                              <w:rPr>
                                <w:b/>
                                <w:color w:val="050505"/>
                                <w:spacing w:val="-3"/>
                                <w:w w:val="105"/>
                                <w:sz w:val="21"/>
                              </w:rPr>
                              <w:t> </w:t>
                            </w:r>
                            <w:r>
                              <w:rPr>
                                <w:b/>
                                <w:color w:val="050505"/>
                                <w:w w:val="105"/>
                                <w:sz w:val="21"/>
                              </w:rPr>
                              <w:t>Fund</w:t>
                            </w:r>
                            <w:r>
                              <w:rPr>
                                <w:b/>
                                <w:color w:val="050505"/>
                                <w:spacing w:val="-9"/>
                                <w:w w:val="105"/>
                                <w:sz w:val="21"/>
                              </w:rPr>
                              <w:t> </w:t>
                            </w:r>
                            <w:r>
                              <w:rPr>
                                <w:b/>
                                <w:color w:val="050505"/>
                                <w:spacing w:val="-5"/>
                                <w:w w:val="105"/>
                                <w:sz w:val="21"/>
                              </w:rPr>
                              <w:t>to</w:t>
                            </w:r>
                          </w:p>
                        </w:tc>
                        <w:tc>
                          <w:tcPr>
                            <w:tcW w:w="1596" w:type="dxa"/>
                          </w:tcPr>
                          <w:p>
                            <w:pPr>
                              <w:pStyle w:val="TableParagraph"/>
                              <w:rPr>
                                <w:rFonts w:ascii="Times New Roman"/>
                                <w:sz w:val="20"/>
                              </w:rPr>
                            </w:pPr>
                          </w:p>
                        </w:tc>
                        <w:tc>
                          <w:tcPr>
                            <w:tcW w:w="1580" w:type="dxa"/>
                          </w:tcPr>
                          <w:p>
                            <w:pPr>
                              <w:pStyle w:val="TableParagraph"/>
                              <w:rPr>
                                <w:rFonts w:ascii="Times New Roman"/>
                                <w:sz w:val="20"/>
                              </w:rPr>
                            </w:pPr>
                          </w:p>
                        </w:tc>
                        <w:tc>
                          <w:tcPr>
                            <w:tcW w:w="1477" w:type="dxa"/>
                          </w:tcPr>
                          <w:p>
                            <w:pPr>
                              <w:pStyle w:val="TableParagraph"/>
                              <w:rPr>
                                <w:rFonts w:ascii="Times New Roman"/>
                                <w:sz w:val="20"/>
                              </w:rPr>
                            </w:pPr>
                          </w:p>
                        </w:tc>
                        <w:tc>
                          <w:tcPr>
                            <w:tcW w:w="1405" w:type="dxa"/>
                            <w:vMerge/>
                            <w:tcBorders>
                              <w:top w:val="nil"/>
                            </w:tcBorders>
                          </w:tcPr>
                          <w:p>
                            <w:pPr>
                              <w:rPr>
                                <w:sz w:val="2"/>
                                <w:szCs w:val="2"/>
                              </w:rPr>
                            </w:pPr>
                          </w:p>
                        </w:tc>
                      </w:tr>
                      <w:tr>
                        <w:trPr>
                          <w:trHeight w:val="257" w:hRule="atLeast"/>
                        </w:trPr>
                        <w:tc>
                          <w:tcPr>
                            <w:tcW w:w="3705" w:type="dxa"/>
                          </w:tcPr>
                          <w:p>
                            <w:pPr>
                              <w:pStyle w:val="TableParagraph"/>
                              <w:spacing w:before="3" w:line="234" w:lineRule="exact"/>
                              <w:ind w:left="153"/>
                              <w:rPr>
                                <w:b/>
                                <w:sz w:val="21"/>
                              </w:rPr>
                            </w:pPr>
                            <w:r>
                              <w:rPr>
                                <w:b/>
                                <w:color w:val="050505"/>
                                <w:w w:val="105"/>
                                <w:sz w:val="21"/>
                              </w:rPr>
                              <w:t>add</w:t>
                            </w:r>
                            <w:r>
                              <w:rPr>
                                <w:b/>
                                <w:color w:val="050505"/>
                                <w:spacing w:val="-12"/>
                                <w:w w:val="105"/>
                                <w:sz w:val="21"/>
                              </w:rPr>
                              <w:t> </w:t>
                            </w:r>
                            <w:r>
                              <w:rPr>
                                <w:b/>
                                <w:color w:val="050505"/>
                                <w:w w:val="105"/>
                                <w:sz w:val="21"/>
                              </w:rPr>
                              <w:t>expenditure</w:t>
                            </w:r>
                            <w:r>
                              <w:rPr>
                                <w:b/>
                                <w:color w:val="050505"/>
                                <w:spacing w:val="9"/>
                                <w:w w:val="105"/>
                                <w:sz w:val="21"/>
                              </w:rPr>
                              <w:t> </w:t>
                            </w:r>
                            <w:r>
                              <w:rPr>
                                <w:b/>
                                <w:color w:val="050505"/>
                                <w:w w:val="105"/>
                                <w:sz w:val="21"/>
                              </w:rPr>
                              <w:t>or</w:t>
                            </w:r>
                            <w:r>
                              <w:rPr>
                                <w:b/>
                                <w:color w:val="050505"/>
                                <w:spacing w:val="-12"/>
                                <w:w w:val="105"/>
                                <w:sz w:val="21"/>
                              </w:rPr>
                              <w:t> </w:t>
                            </w:r>
                            <w:r>
                              <w:rPr>
                                <w:b/>
                                <w:color w:val="050505"/>
                                <w:w w:val="105"/>
                                <w:sz w:val="21"/>
                              </w:rPr>
                              <w:t>income</w:t>
                            </w:r>
                            <w:r>
                              <w:rPr>
                                <w:b/>
                                <w:color w:val="050505"/>
                                <w:spacing w:val="-7"/>
                                <w:w w:val="105"/>
                                <w:sz w:val="21"/>
                              </w:rPr>
                              <w:t> </w:t>
                            </w:r>
                            <w:r>
                              <w:rPr>
                                <w:b/>
                                <w:color w:val="050505"/>
                                <w:spacing w:val="-5"/>
                                <w:w w:val="105"/>
                                <w:sz w:val="21"/>
                              </w:rPr>
                              <w:t>not</w:t>
                            </w:r>
                          </w:p>
                        </w:tc>
                        <w:tc>
                          <w:tcPr>
                            <w:tcW w:w="1596" w:type="dxa"/>
                          </w:tcPr>
                          <w:p>
                            <w:pPr>
                              <w:pStyle w:val="TableParagraph"/>
                              <w:spacing w:before="8" w:line="229" w:lineRule="exact"/>
                              <w:ind w:right="115"/>
                              <w:jc w:val="right"/>
                              <w:rPr>
                                <w:b/>
                                <w:sz w:val="21"/>
                              </w:rPr>
                            </w:pPr>
                            <w:r>
                              <w:rPr>
                                <w:b/>
                                <w:color w:val="050505"/>
                                <w:spacing w:val="-2"/>
                                <w:w w:val="105"/>
                                <w:sz w:val="21"/>
                              </w:rPr>
                              <w:t>Adjustments</w:t>
                            </w:r>
                          </w:p>
                        </w:tc>
                        <w:tc>
                          <w:tcPr>
                            <w:tcW w:w="1580" w:type="dxa"/>
                          </w:tcPr>
                          <w:p>
                            <w:pPr>
                              <w:pStyle w:val="TableParagraph"/>
                              <w:spacing w:before="3" w:line="234" w:lineRule="exact"/>
                              <w:ind w:right="215"/>
                              <w:jc w:val="right"/>
                              <w:rPr>
                                <w:b/>
                                <w:sz w:val="21"/>
                              </w:rPr>
                            </w:pPr>
                            <w:r>
                              <w:rPr>
                                <w:b/>
                                <w:color w:val="050505"/>
                                <w:w w:val="105"/>
                                <w:sz w:val="21"/>
                              </w:rPr>
                              <w:t>Net</w:t>
                            </w:r>
                            <w:r>
                              <w:rPr>
                                <w:b/>
                                <w:color w:val="050505"/>
                                <w:spacing w:val="-3"/>
                                <w:w w:val="105"/>
                                <w:sz w:val="21"/>
                              </w:rPr>
                              <w:t> </w:t>
                            </w:r>
                            <w:r>
                              <w:rPr>
                                <w:b/>
                                <w:color w:val="050505"/>
                                <w:spacing w:val="-2"/>
                                <w:w w:val="105"/>
                                <w:sz w:val="21"/>
                              </w:rPr>
                              <w:t>change</w:t>
                            </w:r>
                          </w:p>
                        </w:tc>
                        <w:tc>
                          <w:tcPr>
                            <w:tcW w:w="1477" w:type="dxa"/>
                          </w:tcPr>
                          <w:p>
                            <w:pPr>
                              <w:pStyle w:val="TableParagraph"/>
                              <w:rPr>
                                <w:rFonts w:ascii="Times New Roman"/>
                                <w:sz w:val="18"/>
                              </w:rPr>
                            </w:pPr>
                          </w:p>
                        </w:tc>
                        <w:tc>
                          <w:tcPr>
                            <w:tcW w:w="1405" w:type="dxa"/>
                            <w:vMerge/>
                            <w:tcBorders>
                              <w:top w:val="nil"/>
                            </w:tcBorders>
                          </w:tcPr>
                          <w:p>
                            <w:pPr>
                              <w:rPr>
                                <w:sz w:val="2"/>
                                <w:szCs w:val="2"/>
                              </w:rPr>
                            </w:pPr>
                          </w:p>
                        </w:tc>
                      </w:tr>
                      <w:tr>
                        <w:trPr>
                          <w:trHeight w:val="249" w:hRule="atLeast"/>
                        </w:trPr>
                        <w:tc>
                          <w:tcPr>
                            <w:tcW w:w="3705" w:type="dxa"/>
                          </w:tcPr>
                          <w:p>
                            <w:pPr>
                              <w:pStyle w:val="TableParagraph"/>
                              <w:spacing w:before="1" w:line="229" w:lineRule="exact"/>
                              <w:ind w:left="147"/>
                              <w:rPr>
                                <w:b/>
                                <w:sz w:val="21"/>
                              </w:rPr>
                            </w:pPr>
                            <w:r>
                              <w:rPr>
                                <w:b/>
                                <w:color w:val="050505"/>
                                <w:w w:val="105"/>
                                <w:sz w:val="21"/>
                              </w:rPr>
                              <w:t>chargeable</w:t>
                            </w:r>
                            <w:r>
                              <w:rPr>
                                <w:b/>
                                <w:color w:val="050505"/>
                                <w:spacing w:val="3"/>
                                <w:w w:val="105"/>
                                <w:sz w:val="21"/>
                              </w:rPr>
                              <w:t> </w:t>
                            </w:r>
                            <w:r>
                              <w:rPr>
                                <w:b/>
                                <w:color w:val="050505"/>
                                <w:w w:val="105"/>
                                <w:sz w:val="21"/>
                              </w:rPr>
                              <w:t>to</w:t>
                            </w:r>
                            <w:r>
                              <w:rPr>
                                <w:b/>
                                <w:color w:val="050505"/>
                                <w:spacing w:val="-15"/>
                                <w:w w:val="105"/>
                                <w:sz w:val="21"/>
                              </w:rPr>
                              <w:t> </w:t>
                            </w:r>
                            <w:r>
                              <w:rPr>
                                <w:b/>
                                <w:color w:val="050505"/>
                                <w:w w:val="105"/>
                                <w:sz w:val="21"/>
                              </w:rPr>
                              <w:t>taxation</w:t>
                            </w:r>
                            <w:r>
                              <w:rPr>
                                <w:b/>
                                <w:color w:val="050505"/>
                                <w:spacing w:val="-5"/>
                                <w:w w:val="105"/>
                                <w:sz w:val="21"/>
                              </w:rPr>
                              <w:t> and</w:t>
                            </w:r>
                          </w:p>
                        </w:tc>
                        <w:tc>
                          <w:tcPr>
                            <w:tcW w:w="1596" w:type="dxa"/>
                          </w:tcPr>
                          <w:p>
                            <w:pPr>
                              <w:pStyle w:val="TableParagraph"/>
                              <w:spacing w:before="1" w:line="229" w:lineRule="exact"/>
                              <w:ind w:left="295"/>
                              <w:rPr>
                                <w:b/>
                                <w:sz w:val="21"/>
                              </w:rPr>
                            </w:pPr>
                            <w:r>
                              <w:rPr>
                                <w:b/>
                                <w:color w:val="050505"/>
                                <w:w w:val="105"/>
                                <w:sz w:val="21"/>
                              </w:rPr>
                              <w:t>for</w:t>
                            </w:r>
                            <w:r>
                              <w:rPr>
                                <w:b/>
                                <w:color w:val="050505"/>
                                <w:spacing w:val="1"/>
                                <w:w w:val="105"/>
                                <w:sz w:val="21"/>
                              </w:rPr>
                              <w:t> </w:t>
                            </w:r>
                            <w:r>
                              <w:rPr>
                                <w:b/>
                                <w:color w:val="050505"/>
                                <w:spacing w:val="-2"/>
                                <w:w w:val="105"/>
                                <w:sz w:val="21"/>
                              </w:rPr>
                              <w:t>capital</w:t>
                            </w:r>
                          </w:p>
                        </w:tc>
                        <w:tc>
                          <w:tcPr>
                            <w:tcW w:w="1580" w:type="dxa"/>
                          </w:tcPr>
                          <w:p>
                            <w:pPr>
                              <w:pStyle w:val="TableParagraph"/>
                              <w:spacing w:before="1" w:line="229" w:lineRule="exact"/>
                              <w:ind w:right="146"/>
                              <w:jc w:val="right"/>
                              <w:rPr>
                                <w:b/>
                                <w:sz w:val="21"/>
                              </w:rPr>
                            </w:pPr>
                            <w:r>
                              <w:rPr>
                                <w:b/>
                                <w:color w:val="050505"/>
                                <w:w w:val="105"/>
                                <w:sz w:val="21"/>
                              </w:rPr>
                              <w:t>for</w:t>
                            </w:r>
                            <w:r>
                              <w:rPr>
                                <w:b/>
                                <w:color w:val="050505"/>
                                <w:spacing w:val="-5"/>
                                <w:w w:val="105"/>
                                <w:sz w:val="21"/>
                              </w:rPr>
                              <w:t> </w:t>
                            </w:r>
                            <w:r>
                              <w:rPr>
                                <w:b/>
                                <w:color w:val="050505"/>
                                <w:spacing w:val="-2"/>
                                <w:w w:val="105"/>
                                <w:sz w:val="21"/>
                              </w:rPr>
                              <w:t>pensions</w:t>
                            </w:r>
                          </w:p>
                        </w:tc>
                        <w:tc>
                          <w:tcPr>
                            <w:tcW w:w="1477" w:type="dxa"/>
                          </w:tcPr>
                          <w:p>
                            <w:pPr>
                              <w:pStyle w:val="TableParagraph"/>
                              <w:spacing w:before="1" w:line="229" w:lineRule="exact"/>
                              <w:ind w:left="435"/>
                              <w:rPr>
                                <w:b/>
                                <w:sz w:val="21"/>
                              </w:rPr>
                            </w:pPr>
                            <w:r>
                              <w:rPr>
                                <w:b/>
                                <w:color w:val="050505"/>
                                <w:spacing w:val="-2"/>
                                <w:w w:val="105"/>
                                <w:sz w:val="21"/>
                              </w:rPr>
                              <w:t>Other</w:t>
                            </w:r>
                          </w:p>
                        </w:tc>
                        <w:tc>
                          <w:tcPr>
                            <w:tcW w:w="1405" w:type="dxa"/>
                            <w:vMerge/>
                            <w:tcBorders>
                              <w:top w:val="nil"/>
                            </w:tcBorders>
                          </w:tcPr>
                          <w:p>
                            <w:pPr>
                              <w:rPr>
                                <w:sz w:val="2"/>
                                <w:szCs w:val="2"/>
                              </w:rPr>
                            </w:pPr>
                          </w:p>
                        </w:tc>
                      </w:tr>
                      <w:tr>
                        <w:trPr>
                          <w:trHeight w:val="252" w:hRule="atLeast"/>
                        </w:trPr>
                        <w:tc>
                          <w:tcPr>
                            <w:tcW w:w="3705" w:type="dxa"/>
                          </w:tcPr>
                          <w:p>
                            <w:pPr>
                              <w:pStyle w:val="TableParagraph"/>
                              <w:spacing w:before="1" w:line="231" w:lineRule="exact"/>
                              <w:ind w:left="147"/>
                              <w:rPr>
                                <w:b/>
                                <w:sz w:val="21"/>
                              </w:rPr>
                            </w:pPr>
                            <w:r>
                              <w:rPr>
                                <w:b/>
                                <w:color w:val="1D1D1D"/>
                                <w:w w:val="105"/>
                                <w:sz w:val="21"/>
                              </w:rPr>
                              <w:t>remove</w:t>
                            </w:r>
                            <w:r>
                              <w:rPr>
                                <w:b/>
                                <w:color w:val="1D1D1D"/>
                                <w:spacing w:val="-5"/>
                                <w:w w:val="105"/>
                                <w:sz w:val="21"/>
                              </w:rPr>
                              <w:t> </w:t>
                            </w:r>
                            <w:r>
                              <w:rPr>
                                <w:b/>
                                <w:color w:val="1D1D1D"/>
                                <w:w w:val="105"/>
                                <w:sz w:val="21"/>
                              </w:rPr>
                              <w:t>items</w:t>
                            </w:r>
                            <w:r>
                              <w:rPr>
                                <w:b/>
                                <w:color w:val="1D1D1D"/>
                                <w:spacing w:val="-1"/>
                                <w:w w:val="105"/>
                                <w:sz w:val="21"/>
                              </w:rPr>
                              <w:t> </w:t>
                            </w:r>
                            <w:r>
                              <w:rPr>
                                <w:b/>
                                <w:color w:val="050505"/>
                                <w:w w:val="105"/>
                                <w:sz w:val="21"/>
                              </w:rPr>
                              <w:t>which</w:t>
                            </w:r>
                            <w:r>
                              <w:rPr>
                                <w:b/>
                                <w:color w:val="050505"/>
                                <w:spacing w:val="-6"/>
                                <w:w w:val="105"/>
                                <w:sz w:val="21"/>
                              </w:rPr>
                              <w:t> </w:t>
                            </w:r>
                            <w:r>
                              <w:rPr>
                                <w:b/>
                                <w:color w:val="050505"/>
                                <w:w w:val="105"/>
                                <w:sz w:val="21"/>
                              </w:rPr>
                              <w:t>are</w:t>
                            </w:r>
                            <w:r>
                              <w:rPr>
                                <w:b/>
                                <w:color w:val="050505"/>
                                <w:spacing w:val="-7"/>
                                <w:w w:val="105"/>
                                <w:sz w:val="21"/>
                              </w:rPr>
                              <w:t> </w:t>
                            </w:r>
                            <w:r>
                              <w:rPr>
                                <w:b/>
                                <w:color w:val="050505"/>
                                <w:spacing w:val="-4"/>
                                <w:w w:val="105"/>
                                <w:sz w:val="21"/>
                              </w:rPr>
                              <w:t>only</w:t>
                            </w:r>
                          </w:p>
                        </w:tc>
                        <w:tc>
                          <w:tcPr>
                            <w:tcW w:w="1596" w:type="dxa"/>
                          </w:tcPr>
                          <w:p>
                            <w:pPr>
                              <w:pStyle w:val="TableParagraph"/>
                              <w:spacing w:before="5" w:line="227" w:lineRule="exact"/>
                              <w:ind w:left="322"/>
                              <w:rPr>
                                <w:b/>
                                <w:sz w:val="21"/>
                              </w:rPr>
                            </w:pPr>
                            <w:r>
                              <w:rPr>
                                <w:b/>
                                <w:color w:val="050505"/>
                                <w:spacing w:val="-2"/>
                                <w:w w:val="105"/>
                                <w:sz w:val="21"/>
                              </w:rPr>
                              <w:t>purposes</w:t>
                            </w:r>
                          </w:p>
                        </w:tc>
                        <w:tc>
                          <w:tcPr>
                            <w:tcW w:w="1580" w:type="dxa"/>
                          </w:tcPr>
                          <w:p>
                            <w:pPr>
                              <w:pStyle w:val="TableParagraph"/>
                              <w:spacing w:before="5" w:line="227" w:lineRule="exact"/>
                              <w:ind w:right="162"/>
                              <w:jc w:val="right"/>
                              <w:rPr>
                                <w:b/>
                                <w:sz w:val="21"/>
                              </w:rPr>
                            </w:pPr>
                            <w:r>
                              <w:rPr>
                                <w:b/>
                                <w:color w:val="050505"/>
                                <w:spacing w:val="-2"/>
                                <w:w w:val="105"/>
                                <w:sz w:val="21"/>
                              </w:rPr>
                              <w:t>adjustments</w:t>
                            </w:r>
                          </w:p>
                        </w:tc>
                        <w:tc>
                          <w:tcPr>
                            <w:tcW w:w="1477" w:type="dxa"/>
                          </w:tcPr>
                          <w:p>
                            <w:pPr>
                              <w:pStyle w:val="TableParagraph"/>
                              <w:spacing w:before="1" w:line="231" w:lineRule="exact"/>
                              <w:ind w:right="172"/>
                              <w:jc w:val="right"/>
                              <w:rPr>
                                <w:b/>
                                <w:sz w:val="21"/>
                              </w:rPr>
                            </w:pPr>
                            <w:r>
                              <w:rPr>
                                <w:b/>
                                <w:color w:val="050505"/>
                                <w:spacing w:val="-2"/>
                                <w:w w:val="105"/>
                                <w:sz w:val="21"/>
                              </w:rPr>
                              <w:t>differences</w:t>
                            </w:r>
                          </w:p>
                        </w:tc>
                        <w:tc>
                          <w:tcPr>
                            <w:tcW w:w="1405" w:type="dxa"/>
                          </w:tcPr>
                          <w:p>
                            <w:pPr>
                              <w:pStyle w:val="TableParagraph"/>
                              <w:spacing w:before="1" w:line="231" w:lineRule="exact"/>
                              <w:ind w:left="491"/>
                              <w:rPr>
                                <w:b/>
                                <w:sz w:val="21"/>
                              </w:rPr>
                            </w:pPr>
                            <w:r>
                              <w:rPr>
                                <w:b/>
                                <w:color w:val="050505"/>
                                <w:spacing w:val="-4"/>
                                <w:w w:val="105"/>
                                <w:sz w:val="21"/>
                              </w:rPr>
                              <w:t>Total</w:t>
                            </w:r>
                          </w:p>
                        </w:tc>
                      </w:tr>
                      <w:tr>
                        <w:trPr>
                          <w:trHeight w:val="415" w:hRule="atLeast"/>
                        </w:trPr>
                        <w:tc>
                          <w:tcPr>
                            <w:tcW w:w="3705" w:type="dxa"/>
                          </w:tcPr>
                          <w:p>
                            <w:pPr>
                              <w:pStyle w:val="TableParagraph"/>
                              <w:spacing w:line="240" w:lineRule="exact"/>
                              <w:ind w:left="147"/>
                              <w:rPr>
                                <w:b/>
                                <w:sz w:val="21"/>
                              </w:rPr>
                            </w:pPr>
                            <w:r>
                              <w:rPr>
                                <w:b/>
                                <w:color w:val="050505"/>
                                <w:w w:val="105"/>
                                <w:sz w:val="21"/>
                              </w:rPr>
                              <w:t>chargeable</w:t>
                            </w:r>
                            <w:r>
                              <w:rPr>
                                <w:b/>
                                <w:color w:val="050505"/>
                                <w:spacing w:val="-4"/>
                                <w:w w:val="105"/>
                                <w:sz w:val="21"/>
                              </w:rPr>
                              <w:t> </w:t>
                            </w:r>
                            <w:r>
                              <w:rPr>
                                <w:b/>
                                <w:color w:val="050505"/>
                                <w:w w:val="105"/>
                                <w:sz w:val="21"/>
                              </w:rPr>
                              <w:t>under</w:t>
                            </w:r>
                            <w:r>
                              <w:rPr>
                                <w:b/>
                                <w:color w:val="050505"/>
                                <w:spacing w:val="-9"/>
                                <w:w w:val="105"/>
                                <w:sz w:val="21"/>
                              </w:rPr>
                              <w:t> </w:t>
                            </w:r>
                            <w:r>
                              <w:rPr>
                                <w:b/>
                                <w:color w:val="050505"/>
                                <w:spacing w:val="-2"/>
                                <w:w w:val="105"/>
                                <w:sz w:val="21"/>
                              </w:rPr>
                              <w:t>statute</w:t>
                            </w:r>
                          </w:p>
                        </w:tc>
                        <w:tc>
                          <w:tcPr>
                            <w:tcW w:w="1596" w:type="dxa"/>
                          </w:tcPr>
                          <w:p>
                            <w:pPr>
                              <w:pStyle w:val="TableParagraph"/>
                              <w:spacing w:before="3"/>
                              <w:ind w:left="407"/>
                              <w:rPr>
                                <w:b/>
                                <w:sz w:val="21"/>
                              </w:rPr>
                            </w:pPr>
                            <w:r>
                              <w:rPr>
                                <w:b/>
                                <w:color w:val="050505"/>
                                <w:w w:val="105"/>
                                <w:sz w:val="21"/>
                              </w:rPr>
                              <w:t>(Note</w:t>
                            </w:r>
                            <w:r>
                              <w:rPr>
                                <w:b/>
                                <w:color w:val="050505"/>
                                <w:spacing w:val="4"/>
                                <w:w w:val="105"/>
                                <w:sz w:val="21"/>
                              </w:rPr>
                              <w:t> </w:t>
                            </w:r>
                            <w:r>
                              <w:rPr>
                                <w:b/>
                                <w:color w:val="050505"/>
                                <w:spacing w:val="-5"/>
                                <w:w w:val="105"/>
                                <w:sz w:val="21"/>
                              </w:rPr>
                              <w:t>1)</w:t>
                            </w:r>
                          </w:p>
                        </w:tc>
                        <w:tc>
                          <w:tcPr>
                            <w:tcW w:w="1580" w:type="dxa"/>
                          </w:tcPr>
                          <w:p>
                            <w:pPr>
                              <w:pStyle w:val="TableParagraph"/>
                              <w:spacing w:before="3"/>
                              <w:ind w:left="359"/>
                              <w:rPr>
                                <w:b/>
                                <w:sz w:val="21"/>
                              </w:rPr>
                            </w:pPr>
                            <w:r>
                              <w:rPr>
                                <w:b/>
                                <w:color w:val="050505"/>
                                <w:w w:val="105"/>
                                <w:sz w:val="21"/>
                              </w:rPr>
                              <w:t>(Note</w:t>
                            </w:r>
                            <w:r>
                              <w:rPr>
                                <w:b/>
                                <w:color w:val="050505"/>
                                <w:spacing w:val="6"/>
                                <w:w w:val="105"/>
                                <w:sz w:val="21"/>
                              </w:rPr>
                              <w:t> </w:t>
                            </w:r>
                            <w:r>
                              <w:rPr>
                                <w:b/>
                                <w:color w:val="050505"/>
                                <w:spacing w:val="-5"/>
                                <w:w w:val="105"/>
                                <w:sz w:val="21"/>
                              </w:rPr>
                              <w:t>2)</w:t>
                            </w:r>
                          </w:p>
                        </w:tc>
                        <w:tc>
                          <w:tcPr>
                            <w:tcW w:w="1477" w:type="dxa"/>
                          </w:tcPr>
                          <w:p>
                            <w:pPr>
                              <w:pStyle w:val="TableParagraph"/>
                              <w:spacing w:before="3"/>
                              <w:ind w:left="317"/>
                              <w:rPr>
                                <w:b/>
                                <w:sz w:val="21"/>
                              </w:rPr>
                            </w:pPr>
                            <w:r>
                              <w:rPr>
                                <w:b/>
                                <w:color w:val="050505"/>
                                <w:w w:val="105"/>
                                <w:sz w:val="21"/>
                              </w:rPr>
                              <w:t>(Note</w:t>
                            </w:r>
                            <w:r>
                              <w:rPr>
                                <w:b/>
                                <w:color w:val="050505"/>
                                <w:spacing w:val="-1"/>
                                <w:w w:val="105"/>
                                <w:sz w:val="21"/>
                              </w:rPr>
                              <w:t> </w:t>
                            </w:r>
                            <w:r>
                              <w:rPr>
                                <w:b/>
                                <w:color w:val="050505"/>
                                <w:spacing w:val="-5"/>
                                <w:w w:val="105"/>
                                <w:sz w:val="21"/>
                              </w:rPr>
                              <w:t>3)</w:t>
                            </w:r>
                          </w:p>
                        </w:tc>
                        <w:tc>
                          <w:tcPr>
                            <w:tcW w:w="1405" w:type="dxa"/>
                          </w:tcPr>
                          <w:p>
                            <w:pPr>
                              <w:pStyle w:val="TableParagraph"/>
                              <w:spacing w:before="3"/>
                              <w:ind w:right="6"/>
                              <w:jc w:val="right"/>
                              <w:rPr>
                                <w:b/>
                                <w:sz w:val="21"/>
                              </w:rPr>
                            </w:pPr>
                            <w:r>
                              <w:rPr>
                                <w:b/>
                                <w:color w:val="050505"/>
                                <w:spacing w:val="-2"/>
                                <w:w w:val="105"/>
                                <w:sz w:val="21"/>
                              </w:rPr>
                              <w:t>adjustments</w:t>
                            </w:r>
                          </w:p>
                        </w:tc>
                      </w:tr>
                      <w:tr>
                        <w:trPr>
                          <w:trHeight w:val="598" w:hRule="atLeast"/>
                        </w:trPr>
                        <w:tc>
                          <w:tcPr>
                            <w:tcW w:w="3705" w:type="dxa"/>
                          </w:tcPr>
                          <w:p>
                            <w:pPr>
                              <w:pStyle w:val="TableParagraph"/>
                              <w:spacing w:before="164"/>
                              <w:ind w:left="134"/>
                              <w:rPr>
                                <w:b/>
                                <w:sz w:val="21"/>
                              </w:rPr>
                            </w:pPr>
                            <w:r>
                              <w:rPr>
                                <w:b/>
                                <w:color w:val="050505"/>
                                <w:spacing w:val="-2"/>
                                <w:w w:val="105"/>
                                <w:sz w:val="21"/>
                              </w:rPr>
                              <w:t>SERVICE</w:t>
                            </w:r>
                          </w:p>
                        </w:tc>
                        <w:tc>
                          <w:tcPr>
                            <w:tcW w:w="1596" w:type="dxa"/>
                          </w:tcPr>
                          <w:p>
                            <w:pPr>
                              <w:pStyle w:val="TableParagraph"/>
                              <w:spacing w:before="188"/>
                              <w:ind w:left="565"/>
                              <w:rPr>
                                <w:b/>
                                <w:sz w:val="21"/>
                              </w:rPr>
                            </w:pPr>
                            <w:r>
                              <w:rPr>
                                <w:b/>
                                <w:color w:val="050505"/>
                                <w:spacing w:val="-4"/>
                                <w:w w:val="105"/>
                                <w:sz w:val="21"/>
                              </w:rPr>
                              <w:t>£000</w:t>
                            </w:r>
                          </w:p>
                        </w:tc>
                        <w:tc>
                          <w:tcPr>
                            <w:tcW w:w="1580" w:type="dxa"/>
                          </w:tcPr>
                          <w:p>
                            <w:pPr>
                              <w:pStyle w:val="TableParagraph"/>
                              <w:spacing w:before="188"/>
                              <w:ind w:left="517"/>
                              <w:rPr>
                                <w:b/>
                                <w:sz w:val="21"/>
                              </w:rPr>
                            </w:pPr>
                            <w:r>
                              <w:rPr>
                                <w:b/>
                                <w:color w:val="050505"/>
                                <w:spacing w:val="-4"/>
                                <w:w w:val="105"/>
                                <w:sz w:val="21"/>
                              </w:rPr>
                              <w:t>£000</w:t>
                            </w:r>
                          </w:p>
                        </w:tc>
                        <w:tc>
                          <w:tcPr>
                            <w:tcW w:w="1477" w:type="dxa"/>
                          </w:tcPr>
                          <w:p>
                            <w:pPr>
                              <w:pStyle w:val="TableParagraph"/>
                              <w:spacing w:before="188"/>
                              <w:ind w:left="481"/>
                              <w:rPr>
                                <w:b/>
                                <w:sz w:val="21"/>
                              </w:rPr>
                            </w:pPr>
                            <w:r>
                              <w:rPr>
                                <w:b/>
                                <w:color w:val="050505"/>
                                <w:spacing w:val="-4"/>
                                <w:w w:val="105"/>
                                <w:sz w:val="21"/>
                              </w:rPr>
                              <w:t>£000</w:t>
                            </w:r>
                          </w:p>
                        </w:tc>
                        <w:tc>
                          <w:tcPr>
                            <w:tcW w:w="1405" w:type="dxa"/>
                          </w:tcPr>
                          <w:p>
                            <w:pPr>
                              <w:pStyle w:val="TableParagraph"/>
                              <w:spacing w:before="183"/>
                              <w:ind w:left="509"/>
                              <w:rPr>
                                <w:b/>
                                <w:sz w:val="21"/>
                              </w:rPr>
                            </w:pPr>
                            <w:r>
                              <w:rPr>
                                <w:b/>
                                <w:color w:val="050505"/>
                                <w:spacing w:val="-4"/>
                                <w:w w:val="105"/>
                                <w:sz w:val="21"/>
                              </w:rPr>
                              <w:t>£000</w:t>
                            </w:r>
                          </w:p>
                        </w:tc>
                      </w:tr>
                      <w:tr>
                        <w:trPr>
                          <w:trHeight w:val="450" w:hRule="atLeast"/>
                        </w:trPr>
                        <w:tc>
                          <w:tcPr>
                            <w:tcW w:w="3705" w:type="dxa"/>
                          </w:tcPr>
                          <w:p>
                            <w:pPr>
                              <w:pStyle w:val="TableParagraph"/>
                              <w:spacing w:before="161"/>
                              <w:ind w:left="123"/>
                              <w:rPr>
                                <w:sz w:val="22"/>
                              </w:rPr>
                            </w:pPr>
                            <w:r>
                              <w:rPr>
                                <w:color w:val="1D1D1D"/>
                                <w:sz w:val="22"/>
                              </w:rPr>
                              <w:t>Asset</w:t>
                            </w:r>
                            <w:r>
                              <w:rPr>
                                <w:color w:val="1D1D1D"/>
                                <w:spacing w:val="6"/>
                                <w:sz w:val="22"/>
                              </w:rPr>
                              <w:t> </w:t>
                            </w:r>
                            <w:r>
                              <w:rPr>
                                <w:color w:val="1D1D1D"/>
                                <w:spacing w:val="-2"/>
                                <w:sz w:val="22"/>
                              </w:rPr>
                              <w:t>Management</w:t>
                            </w:r>
                          </w:p>
                        </w:tc>
                        <w:tc>
                          <w:tcPr>
                            <w:tcW w:w="1596" w:type="dxa"/>
                          </w:tcPr>
                          <w:p>
                            <w:pPr>
                              <w:pStyle w:val="TableParagraph"/>
                              <w:spacing w:before="181" w:line="249" w:lineRule="exact"/>
                              <w:ind w:right="122"/>
                              <w:jc w:val="right"/>
                              <w:rPr>
                                <w:sz w:val="22"/>
                              </w:rPr>
                            </w:pPr>
                            <w:r>
                              <w:rPr>
                                <w:color w:val="050505"/>
                                <w:spacing w:val="-2"/>
                                <w:sz w:val="22"/>
                              </w:rPr>
                              <w:t>(845)</w:t>
                            </w:r>
                          </w:p>
                        </w:tc>
                        <w:tc>
                          <w:tcPr>
                            <w:tcW w:w="1580" w:type="dxa"/>
                          </w:tcPr>
                          <w:p>
                            <w:pPr>
                              <w:pStyle w:val="TableParagraph"/>
                              <w:spacing w:before="181" w:line="249" w:lineRule="exact"/>
                              <w:ind w:right="145"/>
                              <w:jc w:val="right"/>
                              <w:rPr>
                                <w:sz w:val="22"/>
                              </w:rPr>
                            </w:pPr>
                            <w:r>
                              <w:rPr>
                                <w:color w:val="050505"/>
                                <w:spacing w:val="-5"/>
                                <w:sz w:val="22"/>
                              </w:rPr>
                              <w:t>59</w:t>
                            </w:r>
                          </w:p>
                        </w:tc>
                        <w:tc>
                          <w:tcPr>
                            <w:tcW w:w="1477" w:type="dxa"/>
                          </w:tcPr>
                          <w:p>
                            <w:pPr>
                              <w:pStyle w:val="TableParagraph"/>
                              <w:spacing w:before="176"/>
                              <w:ind w:right="106"/>
                              <w:jc w:val="right"/>
                              <w:rPr>
                                <w:sz w:val="22"/>
                              </w:rPr>
                            </w:pPr>
                            <w:r>
                              <w:rPr>
                                <w:color w:val="050505"/>
                                <w:spacing w:val="-10"/>
                                <w:w w:val="105"/>
                                <w:sz w:val="22"/>
                              </w:rPr>
                              <w:t>2</w:t>
                            </w:r>
                          </w:p>
                        </w:tc>
                        <w:tc>
                          <w:tcPr>
                            <w:tcW w:w="1405" w:type="dxa"/>
                          </w:tcPr>
                          <w:p>
                            <w:pPr>
                              <w:pStyle w:val="TableParagraph"/>
                              <w:spacing w:before="180"/>
                              <w:jc w:val="right"/>
                              <w:rPr>
                                <w:b/>
                                <w:sz w:val="21"/>
                              </w:rPr>
                            </w:pPr>
                            <w:r>
                              <w:rPr>
                                <w:b/>
                                <w:color w:val="050505"/>
                                <w:spacing w:val="-2"/>
                                <w:w w:val="105"/>
                                <w:sz w:val="21"/>
                              </w:rPr>
                              <w:t>(784)</w:t>
                            </w:r>
                          </w:p>
                        </w:tc>
                      </w:tr>
                      <w:tr>
                        <w:trPr>
                          <w:trHeight w:val="288" w:hRule="atLeast"/>
                        </w:trPr>
                        <w:tc>
                          <w:tcPr>
                            <w:tcW w:w="3705" w:type="dxa"/>
                          </w:tcPr>
                          <w:p>
                            <w:pPr>
                              <w:pStyle w:val="TableParagraph"/>
                              <w:spacing w:before="9"/>
                              <w:ind w:left="123"/>
                              <w:rPr>
                                <w:sz w:val="22"/>
                              </w:rPr>
                            </w:pPr>
                            <w:r>
                              <w:rPr>
                                <w:color w:val="1D1D1D"/>
                                <w:sz w:val="22"/>
                              </w:rPr>
                              <w:t>Audit</w:t>
                            </w:r>
                            <w:r>
                              <w:rPr>
                                <w:color w:val="1D1D1D"/>
                                <w:spacing w:val="9"/>
                                <w:sz w:val="22"/>
                              </w:rPr>
                              <w:t> </w:t>
                            </w:r>
                            <w:r>
                              <w:rPr>
                                <w:color w:val="1D1D1D"/>
                                <w:sz w:val="22"/>
                              </w:rPr>
                              <w:t>&amp;</w:t>
                            </w:r>
                            <w:r>
                              <w:rPr>
                                <w:color w:val="1D1D1D"/>
                                <w:spacing w:val="-1"/>
                                <w:sz w:val="22"/>
                              </w:rPr>
                              <w:t> </w:t>
                            </w:r>
                            <w:r>
                              <w:rPr>
                                <w:color w:val="1D1D1D"/>
                                <w:spacing w:val="-2"/>
                                <w:sz w:val="22"/>
                              </w:rPr>
                              <w:t>Assurance</w:t>
                            </w:r>
                          </w:p>
                        </w:tc>
                        <w:tc>
                          <w:tcPr>
                            <w:tcW w:w="1596" w:type="dxa"/>
                          </w:tcPr>
                          <w:p>
                            <w:pPr>
                              <w:pStyle w:val="TableParagraph"/>
                              <w:rPr>
                                <w:rFonts w:ascii="Times New Roman"/>
                                <w:sz w:val="20"/>
                              </w:rPr>
                            </w:pPr>
                          </w:p>
                        </w:tc>
                        <w:tc>
                          <w:tcPr>
                            <w:tcW w:w="1580" w:type="dxa"/>
                          </w:tcPr>
                          <w:p>
                            <w:pPr>
                              <w:pStyle w:val="TableParagraph"/>
                              <w:rPr>
                                <w:rFonts w:ascii="Times New Roman"/>
                                <w:sz w:val="20"/>
                              </w:rPr>
                            </w:pPr>
                          </w:p>
                        </w:tc>
                        <w:tc>
                          <w:tcPr>
                            <w:tcW w:w="1477" w:type="dxa"/>
                          </w:tcPr>
                          <w:p>
                            <w:pPr>
                              <w:pStyle w:val="TableParagraph"/>
                              <w:rPr>
                                <w:rFonts w:ascii="Times New Roman"/>
                                <w:sz w:val="20"/>
                              </w:rPr>
                            </w:pPr>
                          </w:p>
                        </w:tc>
                        <w:tc>
                          <w:tcPr>
                            <w:tcW w:w="1405" w:type="dxa"/>
                          </w:tcPr>
                          <w:p>
                            <w:pPr>
                              <w:pStyle w:val="TableParagraph"/>
                              <w:rPr>
                                <w:rFonts w:ascii="Times New Roman"/>
                                <w:sz w:val="20"/>
                              </w:rPr>
                            </w:pPr>
                          </w:p>
                        </w:tc>
                      </w:tr>
                      <w:tr>
                        <w:trPr>
                          <w:trHeight w:val="305" w:hRule="atLeast"/>
                        </w:trPr>
                        <w:tc>
                          <w:tcPr>
                            <w:tcW w:w="3705" w:type="dxa"/>
                          </w:tcPr>
                          <w:p>
                            <w:pPr>
                              <w:pStyle w:val="TableParagraph"/>
                              <w:spacing w:before="19"/>
                              <w:ind w:left="115"/>
                              <w:rPr>
                                <w:sz w:val="22"/>
                              </w:rPr>
                            </w:pPr>
                            <w:r>
                              <w:rPr>
                                <w:color w:val="1D1D1D"/>
                                <w:sz w:val="22"/>
                              </w:rPr>
                              <w:t>Executive</w:t>
                            </w:r>
                            <w:r>
                              <w:rPr>
                                <w:color w:val="1D1D1D"/>
                                <w:spacing w:val="-5"/>
                                <w:sz w:val="22"/>
                              </w:rPr>
                              <w:t> </w:t>
                            </w:r>
                            <w:r>
                              <w:rPr>
                                <w:color w:val="1D1D1D"/>
                                <w:spacing w:val="-2"/>
                                <w:sz w:val="22"/>
                              </w:rPr>
                              <w:t>Directors</w:t>
                            </w:r>
                          </w:p>
                        </w:tc>
                        <w:tc>
                          <w:tcPr>
                            <w:tcW w:w="1596" w:type="dxa"/>
                          </w:tcPr>
                          <w:p>
                            <w:pPr>
                              <w:pStyle w:val="TableParagraph"/>
                              <w:rPr>
                                <w:rFonts w:ascii="Times New Roman"/>
                                <w:sz w:val="20"/>
                              </w:rPr>
                            </w:pPr>
                          </w:p>
                        </w:tc>
                        <w:tc>
                          <w:tcPr>
                            <w:tcW w:w="1580" w:type="dxa"/>
                          </w:tcPr>
                          <w:p>
                            <w:pPr>
                              <w:pStyle w:val="TableParagraph"/>
                              <w:spacing w:before="33" w:line="252" w:lineRule="exact"/>
                              <w:ind w:right="149"/>
                              <w:jc w:val="right"/>
                              <w:rPr>
                                <w:sz w:val="22"/>
                              </w:rPr>
                            </w:pPr>
                            <w:r>
                              <w:rPr>
                                <w:color w:val="050505"/>
                                <w:spacing w:val="-5"/>
                                <w:sz w:val="22"/>
                              </w:rPr>
                              <w:t>54</w:t>
                            </w:r>
                          </w:p>
                        </w:tc>
                        <w:tc>
                          <w:tcPr>
                            <w:tcW w:w="1477" w:type="dxa"/>
                          </w:tcPr>
                          <w:p>
                            <w:pPr>
                              <w:pStyle w:val="TableParagraph"/>
                              <w:rPr>
                                <w:rFonts w:ascii="Times New Roman"/>
                                <w:sz w:val="20"/>
                              </w:rPr>
                            </w:pPr>
                          </w:p>
                        </w:tc>
                        <w:tc>
                          <w:tcPr>
                            <w:tcW w:w="1405" w:type="dxa"/>
                          </w:tcPr>
                          <w:p>
                            <w:pPr>
                              <w:pStyle w:val="TableParagraph"/>
                              <w:spacing w:before="38"/>
                              <w:ind w:right="2"/>
                              <w:jc w:val="right"/>
                              <w:rPr>
                                <w:b/>
                                <w:sz w:val="21"/>
                              </w:rPr>
                            </w:pPr>
                            <w:r>
                              <w:rPr>
                                <w:b/>
                                <w:color w:val="050505"/>
                                <w:spacing w:val="-5"/>
                                <w:w w:val="105"/>
                                <w:sz w:val="21"/>
                              </w:rPr>
                              <w:t>54</w:t>
                            </w:r>
                          </w:p>
                        </w:tc>
                      </w:tr>
                      <w:tr>
                        <w:trPr>
                          <w:trHeight w:val="302" w:hRule="atLeast"/>
                        </w:trPr>
                        <w:tc>
                          <w:tcPr>
                            <w:tcW w:w="3705" w:type="dxa"/>
                          </w:tcPr>
                          <w:p>
                            <w:pPr>
                              <w:pStyle w:val="TableParagraph"/>
                              <w:spacing w:before="11"/>
                              <w:ind w:left="110"/>
                              <w:rPr>
                                <w:sz w:val="22"/>
                              </w:rPr>
                            </w:pPr>
                            <w:r>
                              <w:rPr>
                                <w:color w:val="1D1D1D"/>
                                <w:sz w:val="22"/>
                              </w:rPr>
                              <w:t>Engineering</w:t>
                            </w:r>
                            <w:r>
                              <w:rPr>
                                <w:color w:val="1D1D1D"/>
                                <w:spacing w:val="5"/>
                                <w:sz w:val="22"/>
                              </w:rPr>
                              <w:t> </w:t>
                            </w:r>
                            <w:r>
                              <w:rPr>
                                <w:color w:val="1D1D1D"/>
                                <w:spacing w:val="-2"/>
                                <w:sz w:val="22"/>
                              </w:rPr>
                              <w:t>Services</w:t>
                            </w:r>
                          </w:p>
                        </w:tc>
                        <w:tc>
                          <w:tcPr>
                            <w:tcW w:w="1596" w:type="dxa"/>
                          </w:tcPr>
                          <w:p>
                            <w:pPr>
                              <w:pStyle w:val="TableParagraph"/>
                              <w:spacing w:before="35" w:line="247" w:lineRule="exact"/>
                              <w:ind w:right="117"/>
                              <w:jc w:val="right"/>
                              <w:rPr>
                                <w:sz w:val="22"/>
                              </w:rPr>
                            </w:pPr>
                            <w:r>
                              <w:rPr>
                                <w:color w:val="1D1D1D"/>
                                <w:spacing w:val="-10"/>
                                <w:w w:val="110"/>
                                <w:sz w:val="22"/>
                              </w:rPr>
                              <w:t>2</w:t>
                            </w:r>
                          </w:p>
                        </w:tc>
                        <w:tc>
                          <w:tcPr>
                            <w:tcW w:w="1580" w:type="dxa"/>
                          </w:tcPr>
                          <w:p>
                            <w:pPr>
                              <w:pStyle w:val="TableParagraph"/>
                              <w:spacing w:before="31" w:line="252" w:lineRule="exact"/>
                              <w:ind w:right="152"/>
                              <w:jc w:val="right"/>
                              <w:rPr>
                                <w:sz w:val="22"/>
                              </w:rPr>
                            </w:pPr>
                            <w:r>
                              <w:rPr>
                                <w:color w:val="050505"/>
                                <w:spacing w:val="-5"/>
                                <w:sz w:val="22"/>
                              </w:rPr>
                              <w:t>51</w:t>
                            </w:r>
                          </w:p>
                        </w:tc>
                        <w:tc>
                          <w:tcPr>
                            <w:tcW w:w="1477" w:type="dxa"/>
                          </w:tcPr>
                          <w:p>
                            <w:pPr>
                              <w:pStyle w:val="TableParagraph"/>
                              <w:spacing w:before="31" w:line="252" w:lineRule="exact"/>
                              <w:ind w:right="118"/>
                              <w:jc w:val="right"/>
                              <w:rPr>
                                <w:sz w:val="22"/>
                              </w:rPr>
                            </w:pPr>
                            <w:r>
                              <w:rPr>
                                <w:color w:val="050505"/>
                                <w:spacing w:val="-10"/>
                                <w:sz w:val="22"/>
                              </w:rPr>
                              <w:t>1</w:t>
                            </w:r>
                          </w:p>
                        </w:tc>
                        <w:tc>
                          <w:tcPr>
                            <w:tcW w:w="1405" w:type="dxa"/>
                          </w:tcPr>
                          <w:p>
                            <w:pPr>
                              <w:pStyle w:val="TableParagraph"/>
                              <w:spacing w:before="35"/>
                              <w:ind w:right="2"/>
                              <w:jc w:val="right"/>
                              <w:rPr>
                                <w:b/>
                                <w:sz w:val="21"/>
                              </w:rPr>
                            </w:pPr>
                            <w:r>
                              <w:rPr>
                                <w:b/>
                                <w:color w:val="050505"/>
                                <w:spacing w:val="-5"/>
                                <w:w w:val="105"/>
                                <w:sz w:val="21"/>
                              </w:rPr>
                              <w:t>54</w:t>
                            </w:r>
                          </w:p>
                        </w:tc>
                      </w:tr>
                      <w:tr>
                        <w:trPr>
                          <w:trHeight w:val="297" w:hRule="atLeast"/>
                        </w:trPr>
                        <w:tc>
                          <w:tcPr>
                            <w:tcW w:w="3705" w:type="dxa"/>
                          </w:tcPr>
                          <w:p>
                            <w:pPr>
                              <w:pStyle w:val="TableParagraph"/>
                              <w:spacing w:before="7"/>
                              <w:ind w:left="110"/>
                              <w:rPr>
                                <w:sz w:val="22"/>
                              </w:rPr>
                            </w:pPr>
                            <w:r>
                              <w:rPr>
                                <w:color w:val="1D1D1D"/>
                                <w:sz w:val="22"/>
                              </w:rPr>
                              <w:t>Environmental</w:t>
                            </w:r>
                            <w:r>
                              <w:rPr>
                                <w:color w:val="1D1D1D"/>
                                <w:spacing w:val="-2"/>
                                <w:sz w:val="22"/>
                              </w:rPr>
                              <w:t> Health</w:t>
                            </w:r>
                          </w:p>
                        </w:tc>
                        <w:tc>
                          <w:tcPr>
                            <w:tcW w:w="1596" w:type="dxa"/>
                          </w:tcPr>
                          <w:p>
                            <w:pPr>
                              <w:pStyle w:val="TableParagraph"/>
                              <w:spacing w:before="31" w:line="247" w:lineRule="exact"/>
                              <w:ind w:right="118"/>
                              <w:jc w:val="right"/>
                              <w:rPr>
                                <w:sz w:val="22"/>
                              </w:rPr>
                            </w:pPr>
                            <w:r>
                              <w:rPr>
                                <w:color w:val="1D1D1D"/>
                                <w:spacing w:val="-10"/>
                                <w:w w:val="105"/>
                                <w:sz w:val="22"/>
                              </w:rPr>
                              <w:t>3</w:t>
                            </w:r>
                          </w:p>
                        </w:tc>
                        <w:tc>
                          <w:tcPr>
                            <w:tcW w:w="1580" w:type="dxa"/>
                          </w:tcPr>
                          <w:p>
                            <w:pPr>
                              <w:pStyle w:val="TableParagraph"/>
                              <w:spacing w:before="26" w:line="252" w:lineRule="exact"/>
                              <w:ind w:right="154"/>
                              <w:jc w:val="right"/>
                              <w:rPr>
                                <w:sz w:val="22"/>
                              </w:rPr>
                            </w:pPr>
                            <w:r>
                              <w:rPr>
                                <w:color w:val="050505"/>
                                <w:spacing w:val="-5"/>
                                <w:sz w:val="22"/>
                              </w:rPr>
                              <w:t>138</w:t>
                            </w:r>
                          </w:p>
                        </w:tc>
                        <w:tc>
                          <w:tcPr>
                            <w:tcW w:w="1477" w:type="dxa"/>
                          </w:tcPr>
                          <w:p>
                            <w:pPr>
                              <w:pStyle w:val="TableParagraph"/>
                              <w:spacing w:before="26" w:line="252" w:lineRule="exact"/>
                              <w:ind w:right="119"/>
                              <w:jc w:val="right"/>
                              <w:rPr>
                                <w:sz w:val="22"/>
                              </w:rPr>
                            </w:pPr>
                            <w:r>
                              <w:rPr>
                                <w:color w:val="050505"/>
                                <w:spacing w:val="-5"/>
                                <w:sz w:val="22"/>
                              </w:rPr>
                              <w:t>(1)</w:t>
                            </w:r>
                          </w:p>
                        </w:tc>
                        <w:tc>
                          <w:tcPr>
                            <w:tcW w:w="1405" w:type="dxa"/>
                          </w:tcPr>
                          <w:p>
                            <w:pPr>
                              <w:pStyle w:val="TableParagraph"/>
                              <w:spacing w:before="30"/>
                              <w:ind w:right="7"/>
                              <w:jc w:val="right"/>
                              <w:rPr>
                                <w:b/>
                                <w:sz w:val="21"/>
                              </w:rPr>
                            </w:pPr>
                            <w:r>
                              <w:rPr>
                                <w:b/>
                                <w:color w:val="050505"/>
                                <w:spacing w:val="-5"/>
                                <w:w w:val="105"/>
                                <w:sz w:val="21"/>
                              </w:rPr>
                              <w:t>140</w:t>
                            </w:r>
                          </w:p>
                        </w:tc>
                      </w:tr>
                      <w:tr>
                        <w:trPr>
                          <w:trHeight w:val="297" w:hRule="atLeast"/>
                        </w:trPr>
                        <w:tc>
                          <w:tcPr>
                            <w:tcW w:w="3705" w:type="dxa"/>
                          </w:tcPr>
                          <w:p>
                            <w:pPr>
                              <w:pStyle w:val="TableParagraph"/>
                              <w:spacing w:before="7"/>
                              <w:ind w:left="105"/>
                              <w:rPr>
                                <w:sz w:val="22"/>
                              </w:rPr>
                            </w:pPr>
                            <w:r>
                              <w:rPr>
                                <w:color w:val="050505"/>
                                <w:sz w:val="22"/>
                              </w:rPr>
                              <w:t>Finance</w:t>
                            </w:r>
                            <w:r>
                              <w:rPr>
                                <w:color w:val="050505"/>
                                <w:spacing w:val="6"/>
                                <w:sz w:val="22"/>
                              </w:rPr>
                              <w:t> </w:t>
                            </w:r>
                            <w:r>
                              <w:rPr>
                                <w:color w:val="050505"/>
                                <w:sz w:val="22"/>
                              </w:rPr>
                              <w:t>&amp;</w:t>
                            </w:r>
                            <w:r>
                              <w:rPr>
                                <w:color w:val="050505"/>
                                <w:spacing w:val="-5"/>
                                <w:sz w:val="22"/>
                              </w:rPr>
                              <w:t> </w:t>
                            </w:r>
                            <w:r>
                              <w:rPr>
                                <w:color w:val="050505"/>
                                <w:sz w:val="22"/>
                              </w:rPr>
                              <w:t>Business</w:t>
                            </w:r>
                            <w:r>
                              <w:rPr>
                                <w:color w:val="050505"/>
                                <w:spacing w:val="10"/>
                                <w:sz w:val="22"/>
                              </w:rPr>
                              <w:t> </w:t>
                            </w:r>
                            <w:r>
                              <w:rPr>
                                <w:color w:val="050505"/>
                                <w:spacing w:val="-2"/>
                                <w:sz w:val="22"/>
                              </w:rPr>
                              <w:t>Services</w:t>
                            </w:r>
                          </w:p>
                        </w:tc>
                        <w:tc>
                          <w:tcPr>
                            <w:tcW w:w="1596" w:type="dxa"/>
                          </w:tcPr>
                          <w:p>
                            <w:pPr>
                              <w:pStyle w:val="TableParagraph"/>
                              <w:spacing w:before="26" w:line="252" w:lineRule="exact"/>
                              <w:ind w:right="129"/>
                              <w:jc w:val="right"/>
                              <w:rPr>
                                <w:sz w:val="22"/>
                              </w:rPr>
                            </w:pPr>
                            <w:r>
                              <w:rPr>
                                <w:color w:val="050505"/>
                                <w:spacing w:val="-5"/>
                                <w:sz w:val="22"/>
                              </w:rPr>
                              <w:t>141</w:t>
                            </w:r>
                          </w:p>
                        </w:tc>
                        <w:tc>
                          <w:tcPr>
                            <w:tcW w:w="1580" w:type="dxa"/>
                          </w:tcPr>
                          <w:p>
                            <w:pPr>
                              <w:pStyle w:val="TableParagraph"/>
                              <w:spacing w:before="26" w:line="252" w:lineRule="exact"/>
                              <w:ind w:right="163"/>
                              <w:jc w:val="right"/>
                              <w:rPr>
                                <w:sz w:val="22"/>
                              </w:rPr>
                            </w:pPr>
                            <w:r>
                              <w:rPr>
                                <w:color w:val="050505"/>
                                <w:spacing w:val="-5"/>
                                <w:sz w:val="22"/>
                              </w:rPr>
                              <w:t>295</w:t>
                            </w:r>
                          </w:p>
                        </w:tc>
                        <w:tc>
                          <w:tcPr>
                            <w:tcW w:w="1477" w:type="dxa"/>
                          </w:tcPr>
                          <w:p>
                            <w:pPr>
                              <w:pStyle w:val="TableParagraph"/>
                              <w:spacing w:before="26" w:line="252" w:lineRule="exact"/>
                              <w:ind w:right="129"/>
                              <w:jc w:val="right"/>
                              <w:rPr>
                                <w:sz w:val="22"/>
                              </w:rPr>
                            </w:pPr>
                            <w:r>
                              <w:rPr>
                                <w:color w:val="050505"/>
                                <w:spacing w:val="-5"/>
                                <w:sz w:val="22"/>
                              </w:rPr>
                              <w:t>(4)</w:t>
                            </w:r>
                          </w:p>
                        </w:tc>
                        <w:tc>
                          <w:tcPr>
                            <w:tcW w:w="1405" w:type="dxa"/>
                          </w:tcPr>
                          <w:p>
                            <w:pPr>
                              <w:pStyle w:val="TableParagraph"/>
                              <w:spacing w:before="30"/>
                              <w:ind w:right="6"/>
                              <w:jc w:val="right"/>
                              <w:rPr>
                                <w:b/>
                                <w:sz w:val="21"/>
                              </w:rPr>
                            </w:pPr>
                            <w:r>
                              <w:rPr>
                                <w:b/>
                                <w:color w:val="050505"/>
                                <w:spacing w:val="-5"/>
                                <w:w w:val="105"/>
                                <w:sz w:val="21"/>
                              </w:rPr>
                              <w:t>432</w:t>
                            </w:r>
                          </w:p>
                        </w:tc>
                      </w:tr>
                      <w:tr>
                        <w:trPr>
                          <w:trHeight w:val="290" w:hRule="atLeast"/>
                        </w:trPr>
                        <w:tc>
                          <w:tcPr>
                            <w:tcW w:w="3705" w:type="dxa"/>
                          </w:tcPr>
                          <w:p>
                            <w:pPr>
                              <w:pStyle w:val="TableParagraph"/>
                              <w:spacing w:before="11"/>
                              <w:ind w:left="106"/>
                              <w:rPr>
                                <w:sz w:val="22"/>
                              </w:rPr>
                            </w:pPr>
                            <w:r>
                              <w:rPr>
                                <w:color w:val="050505"/>
                                <w:sz w:val="22"/>
                              </w:rPr>
                              <w:t>General</w:t>
                            </w:r>
                            <w:r>
                              <w:rPr>
                                <w:color w:val="050505"/>
                                <w:spacing w:val="-3"/>
                                <w:sz w:val="22"/>
                              </w:rPr>
                              <w:t> </w:t>
                            </w:r>
                            <w:r>
                              <w:rPr>
                                <w:color w:val="050505"/>
                                <w:spacing w:val="-2"/>
                                <w:sz w:val="22"/>
                              </w:rPr>
                              <w:t>Expenses</w:t>
                            </w:r>
                          </w:p>
                        </w:tc>
                        <w:tc>
                          <w:tcPr>
                            <w:tcW w:w="1596" w:type="dxa"/>
                          </w:tcPr>
                          <w:p>
                            <w:pPr>
                              <w:pStyle w:val="TableParagraph"/>
                              <w:rPr>
                                <w:rFonts w:ascii="Times New Roman"/>
                                <w:sz w:val="20"/>
                              </w:rPr>
                            </w:pPr>
                          </w:p>
                        </w:tc>
                        <w:tc>
                          <w:tcPr>
                            <w:tcW w:w="1580" w:type="dxa"/>
                          </w:tcPr>
                          <w:p>
                            <w:pPr>
                              <w:pStyle w:val="TableParagraph"/>
                              <w:rPr>
                                <w:rFonts w:ascii="Times New Roman"/>
                                <w:sz w:val="20"/>
                              </w:rPr>
                            </w:pPr>
                          </w:p>
                        </w:tc>
                        <w:tc>
                          <w:tcPr>
                            <w:tcW w:w="1477" w:type="dxa"/>
                          </w:tcPr>
                          <w:p>
                            <w:pPr>
                              <w:pStyle w:val="TableParagraph"/>
                              <w:rPr>
                                <w:rFonts w:ascii="Times New Roman"/>
                                <w:sz w:val="20"/>
                              </w:rPr>
                            </w:pPr>
                          </w:p>
                        </w:tc>
                        <w:tc>
                          <w:tcPr>
                            <w:tcW w:w="1405" w:type="dxa"/>
                          </w:tcPr>
                          <w:p>
                            <w:pPr>
                              <w:pStyle w:val="TableParagraph"/>
                              <w:rPr>
                                <w:rFonts w:ascii="Times New Roman"/>
                                <w:sz w:val="20"/>
                              </w:rPr>
                            </w:pPr>
                          </w:p>
                        </w:tc>
                      </w:tr>
                      <w:tr>
                        <w:trPr>
                          <w:trHeight w:val="295" w:hRule="atLeast"/>
                        </w:trPr>
                        <w:tc>
                          <w:tcPr>
                            <w:tcW w:w="3705" w:type="dxa"/>
                          </w:tcPr>
                          <w:p>
                            <w:pPr>
                              <w:pStyle w:val="TableParagraph"/>
                              <w:spacing w:before="19"/>
                              <w:ind w:left="95"/>
                              <w:rPr>
                                <w:sz w:val="22"/>
                              </w:rPr>
                            </w:pPr>
                            <w:r>
                              <w:rPr>
                                <w:color w:val="050505"/>
                                <w:sz w:val="22"/>
                              </w:rPr>
                              <w:t>Housing</w:t>
                            </w:r>
                            <w:r>
                              <w:rPr>
                                <w:color w:val="050505"/>
                                <w:spacing w:val="7"/>
                                <w:sz w:val="22"/>
                              </w:rPr>
                              <w:t> </w:t>
                            </w:r>
                            <w:r>
                              <w:rPr>
                                <w:color w:val="050505"/>
                                <w:spacing w:val="-2"/>
                                <w:sz w:val="22"/>
                              </w:rPr>
                              <w:t>Services</w:t>
                            </w:r>
                          </w:p>
                        </w:tc>
                        <w:tc>
                          <w:tcPr>
                            <w:tcW w:w="1596" w:type="dxa"/>
                          </w:tcPr>
                          <w:p>
                            <w:pPr>
                              <w:pStyle w:val="TableParagraph"/>
                              <w:rPr>
                                <w:rFonts w:ascii="Times New Roman"/>
                                <w:sz w:val="20"/>
                              </w:rPr>
                            </w:pPr>
                          </w:p>
                        </w:tc>
                        <w:tc>
                          <w:tcPr>
                            <w:tcW w:w="1580" w:type="dxa"/>
                          </w:tcPr>
                          <w:p>
                            <w:pPr>
                              <w:pStyle w:val="TableParagraph"/>
                              <w:spacing w:before="33" w:line="242" w:lineRule="exact"/>
                              <w:ind w:right="164"/>
                              <w:jc w:val="right"/>
                              <w:rPr>
                                <w:sz w:val="22"/>
                              </w:rPr>
                            </w:pPr>
                            <w:r>
                              <w:rPr>
                                <w:color w:val="050505"/>
                                <w:spacing w:val="-5"/>
                                <w:sz w:val="22"/>
                              </w:rPr>
                              <w:t>98</w:t>
                            </w:r>
                          </w:p>
                        </w:tc>
                        <w:tc>
                          <w:tcPr>
                            <w:tcW w:w="1477" w:type="dxa"/>
                          </w:tcPr>
                          <w:p>
                            <w:pPr>
                              <w:pStyle w:val="TableParagraph"/>
                              <w:spacing w:before="33" w:line="242" w:lineRule="exact"/>
                              <w:ind w:right="129"/>
                              <w:jc w:val="right"/>
                              <w:rPr>
                                <w:sz w:val="22"/>
                              </w:rPr>
                            </w:pPr>
                            <w:r>
                              <w:rPr>
                                <w:color w:val="050505"/>
                                <w:spacing w:val="-5"/>
                                <w:sz w:val="22"/>
                              </w:rPr>
                              <w:t>827</w:t>
                            </w:r>
                          </w:p>
                        </w:tc>
                        <w:tc>
                          <w:tcPr>
                            <w:tcW w:w="1405" w:type="dxa"/>
                          </w:tcPr>
                          <w:p>
                            <w:pPr>
                              <w:pStyle w:val="TableParagraph"/>
                              <w:spacing w:before="38" w:line="238" w:lineRule="exact"/>
                              <w:ind w:right="23"/>
                              <w:jc w:val="right"/>
                              <w:rPr>
                                <w:b/>
                                <w:sz w:val="21"/>
                              </w:rPr>
                            </w:pPr>
                            <w:r>
                              <w:rPr>
                                <w:b/>
                                <w:color w:val="050505"/>
                                <w:spacing w:val="-5"/>
                                <w:w w:val="105"/>
                                <w:sz w:val="21"/>
                              </w:rPr>
                              <w:t>925</w:t>
                            </w:r>
                          </w:p>
                        </w:tc>
                      </w:tr>
                      <w:tr>
                        <w:trPr>
                          <w:trHeight w:val="528" w:hRule="atLeast"/>
                        </w:trPr>
                        <w:tc>
                          <w:tcPr>
                            <w:tcW w:w="3705" w:type="dxa"/>
                          </w:tcPr>
                          <w:p>
                            <w:pPr>
                              <w:pStyle w:val="TableParagraph"/>
                              <w:spacing w:before="2" w:line="250" w:lineRule="atLeast"/>
                              <w:ind w:left="93" w:firstLine="1"/>
                              <w:rPr>
                                <w:sz w:val="22"/>
                              </w:rPr>
                            </w:pPr>
                            <w:r>
                              <w:rPr>
                                <w:color w:val="050505"/>
                                <w:sz w:val="22"/>
                              </w:rPr>
                              <w:t>Human</w:t>
                            </w:r>
                            <w:r>
                              <w:rPr>
                                <w:color w:val="050505"/>
                                <w:spacing w:val="-14"/>
                                <w:sz w:val="22"/>
                              </w:rPr>
                              <w:t> </w:t>
                            </w:r>
                            <w:r>
                              <w:rPr>
                                <w:color w:val="050505"/>
                                <w:sz w:val="22"/>
                              </w:rPr>
                              <w:t>Resources &amp;</w:t>
                            </w:r>
                            <w:r>
                              <w:rPr>
                                <w:color w:val="050505"/>
                                <w:spacing w:val="-16"/>
                                <w:sz w:val="22"/>
                              </w:rPr>
                              <w:t> </w:t>
                            </w:r>
                            <w:r>
                              <w:rPr>
                                <w:color w:val="050505"/>
                                <w:sz w:val="22"/>
                              </w:rPr>
                              <w:t>Customer </w:t>
                            </w:r>
                            <w:r>
                              <w:rPr>
                                <w:color w:val="050505"/>
                                <w:spacing w:val="-2"/>
                                <w:sz w:val="22"/>
                              </w:rPr>
                              <w:t>Services</w:t>
                            </w:r>
                          </w:p>
                        </w:tc>
                        <w:tc>
                          <w:tcPr>
                            <w:tcW w:w="1596" w:type="dxa"/>
                          </w:tcPr>
                          <w:p>
                            <w:pPr>
                              <w:pStyle w:val="TableParagraph"/>
                              <w:spacing w:before="3"/>
                              <w:rPr>
                                <w:b/>
                                <w:sz w:val="22"/>
                              </w:rPr>
                            </w:pPr>
                          </w:p>
                          <w:p>
                            <w:pPr>
                              <w:pStyle w:val="TableParagraph"/>
                              <w:spacing w:before="1" w:line="252" w:lineRule="exact"/>
                              <w:ind w:right="142"/>
                              <w:jc w:val="right"/>
                              <w:rPr>
                                <w:sz w:val="22"/>
                              </w:rPr>
                            </w:pPr>
                            <w:r>
                              <w:rPr>
                                <w:color w:val="050505"/>
                                <w:spacing w:val="-5"/>
                                <w:sz w:val="22"/>
                              </w:rPr>
                              <w:t>33</w:t>
                            </w:r>
                          </w:p>
                        </w:tc>
                        <w:tc>
                          <w:tcPr>
                            <w:tcW w:w="1580" w:type="dxa"/>
                          </w:tcPr>
                          <w:p>
                            <w:pPr>
                              <w:pStyle w:val="TableParagraph"/>
                              <w:spacing w:before="252"/>
                              <w:ind w:right="168"/>
                              <w:jc w:val="right"/>
                              <w:rPr>
                                <w:sz w:val="22"/>
                              </w:rPr>
                            </w:pPr>
                            <w:r>
                              <w:rPr>
                                <w:color w:val="050505"/>
                                <w:spacing w:val="-5"/>
                                <w:sz w:val="22"/>
                              </w:rPr>
                              <w:t>141</w:t>
                            </w:r>
                          </w:p>
                        </w:tc>
                        <w:tc>
                          <w:tcPr>
                            <w:tcW w:w="1477" w:type="dxa"/>
                          </w:tcPr>
                          <w:p>
                            <w:pPr>
                              <w:pStyle w:val="TableParagraph"/>
                              <w:rPr>
                                <w:rFonts w:ascii="Times New Roman"/>
                                <w:sz w:val="20"/>
                              </w:rPr>
                            </w:pPr>
                          </w:p>
                        </w:tc>
                        <w:tc>
                          <w:tcPr>
                            <w:tcW w:w="1405" w:type="dxa"/>
                          </w:tcPr>
                          <w:p>
                            <w:pPr>
                              <w:pStyle w:val="TableParagraph"/>
                              <w:spacing w:before="15"/>
                              <w:rPr>
                                <w:b/>
                                <w:sz w:val="21"/>
                              </w:rPr>
                            </w:pPr>
                          </w:p>
                          <w:p>
                            <w:pPr>
                              <w:pStyle w:val="TableParagraph"/>
                              <w:ind w:right="16"/>
                              <w:jc w:val="right"/>
                              <w:rPr>
                                <w:b/>
                                <w:sz w:val="21"/>
                              </w:rPr>
                            </w:pPr>
                            <w:r>
                              <w:rPr>
                                <w:b/>
                                <w:color w:val="050505"/>
                                <w:spacing w:val="-5"/>
                                <w:w w:val="105"/>
                                <w:sz w:val="21"/>
                              </w:rPr>
                              <w:t>174</w:t>
                            </w:r>
                          </w:p>
                        </w:tc>
                      </w:tr>
                      <w:tr>
                        <w:trPr>
                          <w:trHeight w:val="285" w:hRule="atLeast"/>
                        </w:trPr>
                        <w:tc>
                          <w:tcPr>
                            <w:tcW w:w="3705" w:type="dxa"/>
                          </w:tcPr>
                          <w:p>
                            <w:pPr>
                              <w:pStyle w:val="TableParagraph"/>
                              <w:spacing w:before="11"/>
                              <w:ind w:left="87"/>
                              <w:rPr>
                                <w:sz w:val="22"/>
                              </w:rPr>
                            </w:pPr>
                            <w:r>
                              <w:rPr>
                                <w:color w:val="050505"/>
                                <w:spacing w:val="-2"/>
                                <w:sz w:val="22"/>
                              </w:rPr>
                              <w:t>Legal</w:t>
                            </w:r>
                            <w:r>
                              <w:rPr>
                                <w:color w:val="878787"/>
                                <w:spacing w:val="-2"/>
                                <w:sz w:val="22"/>
                              </w:rPr>
                              <w:t>_</w:t>
                            </w:r>
                            <w:r>
                              <w:rPr>
                                <w:color w:val="050505"/>
                                <w:spacing w:val="-2"/>
                                <w:sz w:val="22"/>
                              </w:rPr>
                              <w:t>&amp;</w:t>
                            </w:r>
                            <w:r>
                              <w:rPr>
                                <w:color w:val="050505"/>
                                <w:spacing w:val="-10"/>
                                <w:sz w:val="22"/>
                              </w:rPr>
                              <w:t> </w:t>
                            </w:r>
                            <w:r>
                              <w:rPr>
                                <w:color w:val="050505"/>
                                <w:spacing w:val="-2"/>
                                <w:sz w:val="22"/>
                              </w:rPr>
                              <w:t>Deniocratic</w:t>
                            </w:r>
                            <w:r>
                              <w:rPr>
                                <w:color w:val="050505"/>
                                <w:spacing w:val="5"/>
                                <w:sz w:val="22"/>
                              </w:rPr>
                              <w:t> </w:t>
                            </w:r>
                            <w:r>
                              <w:rPr>
                                <w:color w:val="050505"/>
                                <w:spacing w:val="-2"/>
                                <w:sz w:val="22"/>
                              </w:rPr>
                              <w:t>Services</w:t>
                            </w:r>
                          </w:p>
                        </w:tc>
                        <w:tc>
                          <w:tcPr>
                            <w:tcW w:w="1596" w:type="dxa"/>
                          </w:tcPr>
                          <w:p>
                            <w:pPr>
                              <w:pStyle w:val="TableParagraph"/>
                              <w:rPr>
                                <w:rFonts w:ascii="Times New Roman"/>
                                <w:sz w:val="20"/>
                              </w:rPr>
                            </w:pPr>
                          </w:p>
                        </w:tc>
                        <w:tc>
                          <w:tcPr>
                            <w:tcW w:w="1580" w:type="dxa"/>
                          </w:tcPr>
                          <w:p>
                            <w:pPr>
                              <w:pStyle w:val="TableParagraph"/>
                              <w:spacing w:before="26" w:line="240" w:lineRule="exact"/>
                              <w:ind w:right="175"/>
                              <w:jc w:val="right"/>
                              <w:rPr>
                                <w:sz w:val="22"/>
                              </w:rPr>
                            </w:pPr>
                            <w:r>
                              <w:rPr>
                                <w:color w:val="050505"/>
                                <w:spacing w:val="-5"/>
                                <w:sz w:val="22"/>
                              </w:rPr>
                              <w:t>108</w:t>
                            </w:r>
                          </w:p>
                        </w:tc>
                        <w:tc>
                          <w:tcPr>
                            <w:tcW w:w="1477" w:type="dxa"/>
                          </w:tcPr>
                          <w:p>
                            <w:pPr>
                              <w:pStyle w:val="TableParagraph"/>
                              <w:spacing w:before="16" w:line="249" w:lineRule="exact"/>
                              <w:ind w:right="130"/>
                              <w:jc w:val="right"/>
                              <w:rPr>
                                <w:sz w:val="22"/>
                              </w:rPr>
                            </w:pPr>
                            <w:r>
                              <w:rPr>
                                <w:color w:val="1D1D1D"/>
                                <w:spacing w:val="-10"/>
                                <w:sz w:val="22"/>
                              </w:rPr>
                              <w:t>1</w:t>
                            </w:r>
                          </w:p>
                        </w:tc>
                        <w:tc>
                          <w:tcPr>
                            <w:tcW w:w="1405" w:type="dxa"/>
                          </w:tcPr>
                          <w:p>
                            <w:pPr>
                              <w:pStyle w:val="TableParagraph"/>
                              <w:spacing w:before="30" w:line="235" w:lineRule="exact"/>
                              <w:ind w:right="21"/>
                              <w:jc w:val="right"/>
                              <w:rPr>
                                <w:b/>
                                <w:sz w:val="21"/>
                              </w:rPr>
                            </w:pPr>
                            <w:r>
                              <w:rPr>
                                <w:b/>
                                <w:color w:val="050505"/>
                                <w:spacing w:val="-5"/>
                                <w:w w:val="105"/>
                                <w:sz w:val="21"/>
                              </w:rPr>
                              <w:t>109</w:t>
                            </w:r>
                          </w:p>
                        </w:tc>
                      </w:tr>
                      <w:tr>
                        <w:trPr>
                          <w:trHeight w:val="257" w:hRule="atLeast"/>
                        </w:trPr>
                        <w:tc>
                          <w:tcPr>
                            <w:tcW w:w="3705" w:type="dxa"/>
                          </w:tcPr>
                          <w:p>
                            <w:pPr>
                              <w:pStyle w:val="TableParagraph"/>
                              <w:spacing w:line="237" w:lineRule="exact"/>
                              <w:ind w:left="86"/>
                              <w:rPr>
                                <w:sz w:val="22"/>
                              </w:rPr>
                            </w:pPr>
                            <w:r>
                              <w:rPr>
                                <w:color w:val="050505"/>
                                <w:sz w:val="22"/>
                              </w:rPr>
                              <w:t>Partnership</w:t>
                            </w:r>
                            <w:r>
                              <w:rPr>
                                <w:color w:val="050505"/>
                                <w:spacing w:val="6"/>
                                <w:sz w:val="22"/>
                              </w:rPr>
                              <w:t> </w:t>
                            </w:r>
                            <w:r>
                              <w:rPr>
                                <w:color w:val="050505"/>
                                <w:sz w:val="22"/>
                              </w:rPr>
                              <w:t>&amp;</w:t>
                            </w:r>
                            <w:r>
                              <w:rPr>
                                <w:color w:val="050505"/>
                                <w:spacing w:val="-7"/>
                                <w:sz w:val="22"/>
                              </w:rPr>
                              <w:t> </w:t>
                            </w:r>
                            <w:r>
                              <w:rPr>
                                <w:color w:val="050505"/>
                                <w:spacing w:val="-2"/>
                                <w:sz w:val="22"/>
                              </w:rPr>
                              <w:t>Community</w:t>
                            </w:r>
                          </w:p>
                        </w:tc>
                        <w:tc>
                          <w:tcPr>
                            <w:tcW w:w="1596" w:type="dxa"/>
                          </w:tcPr>
                          <w:p>
                            <w:pPr>
                              <w:pStyle w:val="TableParagraph"/>
                              <w:rPr>
                                <w:rFonts w:ascii="Times New Roman"/>
                                <w:sz w:val="18"/>
                              </w:rPr>
                            </w:pPr>
                          </w:p>
                        </w:tc>
                        <w:tc>
                          <w:tcPr>
                            <w:tcW w:w="1580" w:type="dxa"/>
                          </w:tcPr>
                          <w:p>
                            <w:pPr>
                              <w:pStyle w:val="TableParagraph"/>
                              <w:rPr>
                                <w:rFonts w:ascii="Times New Roman"/>
                                <w:sz w:val="18"/>
                              </w:rPr>
                            </w:pPr>
                          </w:p>
                        </w:tc>
                        <w:tc>
                          <w:tcPr>
                            <w:tcW w:w="1477" w:type="dxa"/>
                          </w:tcPr>
                          <w:p>
                            <w:pPr>
                              <w:pStyle w:val="TableParagraph"/>
                              <w:rPr>
                                <w:rFonts w:ascii="Times New Roman"/>
                                <w:sz w:val="18"/>
                              </w:rPr>
                            </w:pPr>
                          </w:p>
                        </w:tc>
                        <w:tc>
                          <w:tcPr>
                            <w:tcW w:w="1405" w:type="dxa"/>
                          </w:tcPr>
                          <w:p>
                            <w:pPr>
                              <w:pStyle w:val="TableParagraph"/>
                              <w:rPr>
                                <w:rFonts w:ascii="Times New Roman"/>
                                <w:sz w:val="18"/>
                              </w:rPr>
                            </w:pPr>
                          </w:p>
                        </w:tc>
                      </w:tr>
                      <w:tr>
                        <w:trPr>
                          <w:trHeight w:val="271" w:hRule="atLeast"/>
                        </w:trPr>
                        <w:tc>
                          <w:tcPr>
                            <w:tcW w:w="3705" w:type="dxa"/>
                          </w:tcPr>
                          <w:p>
                            <w:pPr>
                              <w:pStyle w:val="TableParagraph"/>
                              <w:spacing w:line="250" w:lineRule="exact"/>
                              <w:ind w:left="81"/>
                              <w:rPr>
                                <w:sz w:val="22"/>
                              </w:rPr>
                            </w:pPr>
                            <w:r>
                              <w:rPr>
                                <w:color w:val="050505"/>
                                <w:spacing w:val="-2"/>
                                <w:sz w:val="22"/>
                              </w:rPr>
                              <w:t>Engagement</w:t>
                            </w:r>
                          </w:p>
                        </w:tc>
                        <w:tc>
                          <w:tcPr>
                            <w:tcW w:w="1596" w:type="dxa"/>
                          </w:tcPr>
                          <w:p>
                            <w:pPr>
                              <w:pStyle w:val="TableParagraph"/>
                              <w:rPr>
                                <w:rFonts w:ascii="Times New Roman"/>
                                <w:sz w:val="20"/>
                              </w:rPr>
                            </w:pPr>
                          </w:p>
                        </w:tc>
                        <w:tc>
                          <w:tcPr>
                            <w:tcW w:w="1580" w:type="dxa"/>
                          </w:tcPr>
                          <w:p>
                            <w:pPr>
                              <w:pStyle w:val="TableParagraph"/>
                              <w:spacing w:before="2" w:line="249" w:lineRule="exact"/>
                              <w:ind w:right="171"/>
                              <w:jc w:val="right"/>
                              <w:rPr>
                                <w:sz w:val="22"/>
                              </w:rPr>
                            </w:pPr>
                            <w:r>
                              <w:rPr>
                                <w:color w:val="050505"/>
                                <w:spacing w:val="-5"/>
                                <w:w w:val="105"/>
                                <w:sz w:val="22"/>
                              </w:rPr>
                              <w:t>82</w:t>
                            </w:r>
                          </w:p>
                        </w:tc>
                        <w:tc>
                          <w:tcPr>
                            <w:tcW w:w="1477" w:type="dxa"/>
                          </w:tcPr>
                          <w:p>
                            <w:pPr>
                              <w:pStyle w:val="TableParagraph"/>
                              <w:spacing w:before="6"/>
                              <w:ind w:right="139"/>
                              <w:jc w:val="right"/>
                              <w:rPr>
                                <w:sz w:val="21"/>
                              </w:rPr>
                            </w:pPr>
                            <w:r>
                              <w:rPr>
                                <w:color w:val="050505"/>
                                <w:spacing w:val="-10"/>
                                <w:w w:val="105"/>
                                <w:sz w:val="21"/>
                              </w:rPr>
                              <w:t>6</w:t>
                            </w:r>
                          </w:p>
                        </w:tc>
                        <w:tc>
                          <w:tcPr>
                            <w:tcW w:w="1405" w:type="dxa"/>
                          </w:tcPr>
                          <w:p>
                            <w:pPr>
                              <w:pStyle w:val="TableParagraph"/>
                              <w:spacing w:before="2"/>
                              <w:ind w:right="21"/>
                              <w:jc w:val="right"/>
                              <w:rPr>
                                <w:b/>
                                <w:sz w:val="21"/>
                              </w:rPr>
                            </w:pPr>
                            <w:r>
                              <w:rPr>
                                <w:b/>
                                <w:color w:val="050505"/>
                                <w:spacing w:val="-5"/>
                                <w:w w:val="105"/>
                                <w:sz w:val="21"/>
                              </w:rPr>
                              <w:t>88</w:t>
                            </w:r>
                          </w:p>
                        </w:tc>
                      </w:tr>
                      <w:tr>
                        <w:trPr>
                          <w:trHeight w:val="297" w:hRule="atLeast"/>
                        </w:trPr>
                        <w:tc>
                          <w:tcPr>
                            <w:tcW w:w="3705" w:type="dxa"/>
                          </w:tcPr>
                          <w:p>
                            <w:pPr>
                              <w:pStyle w:val="TableParagraph"/>
                              <w:spacing w:before="9"/>
                              <w:ind w:left="77"/>
                              <w:rPr>
                                <w:sz w:val="22"/>
                              </w:rPr>
                            </w:pPr>
                            <w:r>
                              <w:rPr>
                                <w:color w:val="050505"/>
                                <w:sz w:val="22"/>
                              </w:rPr>
                              <w:t>Planning &amp;</w:t>
                            </w:r>
                            <w:r>
                              <w:rPr>
                                <w:color w:val="050505"/>
                                <w:spacing w:val="-7"/>
                                <w:sz w:val="22"/>
                              </w:rPr>
                              <w:t> </w:t>
                            </w:r>
                            <w:r>
                              <w:rPr>
                                <w:color w:val="050505"/>
                                <w:sz w:val="22"/>
                              </w:rPr>
                              <w:t>Economic</w:t>
                            </w:r>
                            <w:r>
                              <w:rPr>
                                <w:color w:val="050505"/>
                                <w:spacing w:val="15"/>
                                <w:sz w:val="22"/>
                              </w:rPr>
                              <w:t> </w:t>
                            </w:r>
                            <w:r>
                              <w:rPr>
                                <w:color w:val="050505"/>
                                <w:spacing w:val="-2"/>
                                <w:sz w:val="22"/>
                              </w:rPr>
                              <w:t>Development</w:t>
                            </w:r>
                          </w:p>
                        </w:tc>
                        <w:tc>
                          <w:tcPr>
                            <w:tcW w:w="1596" w:type="dxa"/>
                          </w:tcPr>
                          <w:p>
                            <w:pPr>
                              <w:pStyle w:val="TableParagraph"/>
                              <w:spacing w:before="28" w:line="249" w:lineRule="exact"/>
                              <w:ind w:right="142"/>
                              <w:jc w:val="right"/>
                              <w:rPr>
                                <w:sz w:val="22"/>
                              </w:rPr>
                            </w:pPr>
                            <w:r>
                              <w:rPr>
                                <w:color w:val="050505"/>
                                <w:spacing w:val="-10"/>
                                <w:w w:val="110"/>
                                <w:sz w:val="22"/>
                              </w:rPr>
                              <w:t>4</w:t>
                            </w:r>
                          </w:p>
                        </w:tc>
                        <w:tc>
                          <w:tcPr>
                            <w:tcW w:w="1580" w:type="dxa"/>
                          </w:tcPr>
                          <w:p>
                            <w:pPr>
                              <w:pStyle w:val="TableParagraph"/>
                              <w:spacing w:before="28" w:line="249" w:lineRule="exact"/>
                              <w:ind w:right="179"/>
                              <w:jc w:val="right"/>
                              <w:rPr>
                                <w:sz w:val="22"/>
                              </w:rPr>
                            </w:pPr>
                            <w:r>
                              <w:rPr>
                                <w:color w:val="050505"/>
                                <w:spacing w:val="-5"/>
                                <w:sz w:val="22"/>
                              </w:rPr>
                              <w:t>212</w:t>
                            </w:r>
                          </w:p>
                        </w:tc>
                        <w:tc>
                          <w:tcPr>
                            <w:tcW w:w="1477" w:type="dxa"/>
                          </w:tcPr>
                          <w:p>
                            <w:pPr>
                              <w:pStyle w:val="TableParagraph"/>
                              <w:spacing w:before="28" w:line="249" w:lineRule="exact"/>
                              <w:ind w:right="137"/>
                              <w:jc w:val="right"/>
                              <w:rPr>
                                <w:sz w:val="22"/>
                              </w:rPr>
                            </w:pPr>
                            <w:r>
                              <w:rPr>
                                <w:color w:val="050505"/>
                                <w:spacing w:val="-5"/>
                                <w:sz w:val="22"/>
                              </w:rPr>
                              <w:t>416</w:t>
                            </w:r>
                          </w:p>
                        </w:tc>
                        <w:tc>
                          <w:tcPr>
                            <w:tcW w:w="1405" w:type="dxa"/>
                          </w:tcPr>
                          <w:p>
                            <w:pPr>
                              <w:pStyle w:val="TableParagraph"/>
                              <w:spacing w:before="33"/>
                              <w:ind w:right="21"/>
                              <w:jc w:val="right"/>
                              <w:rPr>
                                <w:b/>
                                <w:sz w:val="21"/>
                              </w:rPr>
                            </w:pPr>
                            <w:r>
                              <w:rPr>
                                <w:b/>
                                <w:color w:val="050505"/>
                                <w:spacing w:val="-5"/>
                                <w:w w:val="105"/>
                                <w:sz w:val="21"/>
                              </w:rPr>
                              <w:t>632</w:t>
                            </w:r>
                          </w:p>
                        </w:tc>
                      </w:tr>
                      <w:tr>
                        <w:trPr>
                          <w:trHeight w:val="1894" w:hRule="atLeast"/>
                        </w:trPr>
                        <w:tc>
                          <w:tcPr>
                            <w:tcW w:w="3705" w:type="dxa"/>
                          </w:tcPr>
                          <w:p>
                            <w:pPr>
                              <w:pStyle w:val="TableParagraph"/>
                              <w:spacing w:before="9" w:line="264" w:lineRule="auto"/>
                              <w:ind w:left="63" w:right="333" w:firstLine="15"/>
                              <w:rPr>
                                <w:sz w:val="22"/>
                              </w:rPr>
                            </w:pPr>
                            <w:r>
                              <w:rPr>
                                <w:color w:val="050505"/>
                                <w:sz w:val="22"/>
                              </w:rPr>
                              <w:t>Street Scene Services Exceptional Items</w:t>
                            </w:r>
                            <w:r>
                              <w:rPr>
                                <w:color w:val="050505"/>
                                <w:spacing w:val="-11"/>
                                <w:sz w:val="22"/>
                              </w:rPr>
                              <w:t> </w:t>
                            </w:r>
                            <w:r>
                              <w:rPr>
                                <w:color w:val="050505"/>
                                <w:sz w:val="22"/>
                              </w:rPr>
                              <w:t>-</w:t>
                            </w:r>
                            <w:r>
                              <w:rPr>
                                <w:color w:val="050505"/>
                                <w:spacing w:val="40"/>
                                <w:sz w:val="22"/>
                              </w:rPr>
                              <w:t> </w:t>
                            </w:r>
                            <w:r>
                              <w:rPr>
                                <w:color w:val="050505"/>
                                <w:sz w:val="22"/>
                              </w:rPr>
                              <w:t>Covid-19 Exceptional Items</w:t>
                            </w:r>
                            <w:r>
                              <w:rPr>
                                <w:color w:val="050505"/>
                                <w:spacing w:val="-8"/>
                                <w:sz w:val="22"/>
                              </w:rPr>
                              <w:t> </w:t>
                            </w:r>
                            <w:r>
                              <w:rPr>
                                <w:color w:val="050505"/>
                                <w:sz w:val="22"/>
                              </w:rPr>
                              <w:t>-</w:t>
                            </w:r>
                            <w:r>
                              <w:rPr>
                                <w:color w:val="050505"/>
                                <w:spacing w:val="40"/>
                                <w:sz w:val="22"/>
                              </w:rPr>
                              <w:t> </w:t>
                            </w:r>
                            <w:r>
                              <w:rPr>
                                <w:color w:val="050505"/>
                                <w:sz w:val="22"/>
                              </w:rPr>
                              <w:t>Covid-19 Business Support Grants</w:t>
                            </w:r>
                          </w:p>
                          <w:p>
                            <w:pPr>
                              <w:pStyle w:val="TableParagraph"/>
                              <w:spacing w:line="236" w:lineRule="exact"/>
                              <w:ind w:left="62"/>
                              <w:rPr>
                                <w:sz w:val="22"/>
                              </w:rPr>
                            </w:pPr>
                            <w:r>
                              <w:rPr>
                                <w:color w:val="050505"/>
                                <w:sz w:val="22"/>
                              </w:rPr>
                              <w:t>Exceptional</w:t>
                            </w:r>
                            <w:r>
                              <w:rPr>
                                <w:color w:val="050505"/>
                                <w:spacing w:val="6"/>
                                <w:sz w:val="22"/>
                              </w:rPr>
                              <w:t> </w:t>
                            </w:r>
                            <w:r>
                              <w:rPr>
                                <w:color w:val="050505"/>
                                <w:sz w:val="22"/>
                              </w:rPr>
                              <w:t>Items</w:t>
                            </w:r>
                            <w:r>
                              <w:rPr>
                                <w:color w:val="050505"/>
                                <w:spacing w:val="-6"/>
                                <w:sz w:val="22"/>
                              </w:rPr>
                              <w:t> </w:t>
                            </w:r>
                            <w:r>
                              <w:rPr>
                                <w:color w:val="050505"/>
                                <w:sz w:val="22"/>
                              </w:rPr>
                              <w:t>-</w:t>
                            </w:r>
                            <w:r>
                              <w:rPr>
                                <w:color w:val="050505"/>
                                <w:spacing w:val="50"/>
                                <w:sz w:val="22"/>
                              </w:rPr>
                              <w:t> </w:t>
                            </w:r>
                            <w:r>
                              <w:rPr>
                                <w:color w:val="050505"/>
                                <w:sz w:val="22"/>
                              </w:rPr>
                              <w:t>Covid-19</w:t>
                            </w:r>
                            <w:r>
                              <w:rPr>
                                <w:color w:val="050505"/>
                                <w:spacing w:val="4"/>
                                <w:sz w:val="22"/>
                              </w:rPr>
                              <w:t> </w:t>
                            </w:r>
                            <w:r>
                              <w:rPr>
                                <w:color w:val="050505"/>
                                <w:spacing w:val="-4"/>
                                <w:sz w:val="22"/>
                              </w:rPr>
                              <w:t>Self</w:t>
                            </w:r>
                          </w:p>
                          <w:p>
                            <w:pPr>
                              <w:pStyle w:val="TableParagraph"/>
                              <w:spacing w:before="2"/>
                              <w:ind w:left="59"/>
                              <w:rPr>
                                <w:sz w:val="22"/>
                              </w:rPr>
                            </w:pPr>
                            <w:r>
                              <w:rPr>
                                <w:color w:val="050505"/>
                                <w:spacing w:val="-2"/>
                                <w:sz w:val="22"/>
                              </w:rPr>
                              <w:t>Isolation</w:t>
                            </w:r>
                          </w:p>
                        </w:tc>
                        <w:tc>
                          <w:tcPr>
                            <w:tcW w:w="1596" w:type="dxa"/>
                            <w:tcBorders>
                              <w:bottom w:val="single" w:color="000000" w:sz="6" w:space="0"/>
                            </w:tcBorders>
                          </w:tcPr>
                          <w:p>
                            <w:pPr>
                              <w:pStyle w:val="TableParagraph"/>
                              <w:spacing w:before="28"/>
                              <w:ind w:right="155"/>
                              <w:jc w:val="right"/>
                              <w:rPr>
                                <w:sz w:val="22"/>
                              </w:rPr>
                            </w:pPr>
                            <w:r>
                              <w:rPr>
                                <w:color w:val="050505"/>
                                <w:spacing w:val="-5"/>
                                <w:sz w:val="22"/>
                              </w:rPr>
                              <w:t>245</w:t>
                            </w:r>
                          </w:p>
                        </w:tc>
                        <w:tc>
                          <w:tcPr>
                            <w:tcW w:w="1580" w:type="dxa"/>
                            <w:tcBorders>
                              <w:bottom w:val="single" w:color="000000" w:sz="6" w:space="0"/>
                            </w:tcBorders>
                          </w:tcPr>
                          <w:p>
                            <w:pPr>
                              <w:pStyle w:val="TableParagraph"/>
                              <w:spacing w:before="28"/>
                              <w:ind w:right="180"/>
                              <w:jc w:val="right"/>
                              <w:rPr>
                                <w:sz w:val="22"/>
                              </w:rPr>
                            </w:pPr>
                            <w:r>
                              <w:rPr>
                                <w:color w:val="050505"/>
                                <w:spacing w:val="-5"/>
                                <w:sz w:val="22"/>
                              </w:rPr>
                              <w:t>406</w:t>
                            </w:r>
                          </w:p>
                        </w:tc>
                        <w:tc>
                          <w:tcPr>
                            <w:tcW w:w="1477" w:type="dxa"/>
                            <w:tcBorders>
                              <w:bottom w:val="single" w:color="000000" w:sz="6" w:space="0"/>
                            </w:tcBorders>
                          </w:tcPr>
                          <w:p>
                            <w:pPr>
                              <w:pStyle w:val="TableParagraph"/>
                              <w:spacing w:before="28"/>
                              <w:ind w:right="137"/>
                              <w:jc w:val="right"/>
                              <w:rPr>
                                <w:sz w:val="22"/>
                              </w:rPr>
                            </w:pPr>
                            <w:r>
                              <w:rPr>
                                <w:color w:val="050505"/>
                                <w:spacing w:val="-10"/>
                                <w:sz w:val="22"/>
                              </w:rPr>
                              <w:t>7</w:t>
                            </w:r>
                          </w:p>
                        </w:tc>
                        <w:tc>
                          <w:tcPr>
                            <w:tcW w:w="1405" w:type="dxa"/>
                            <w:tcBorders>
                              <w:bottom w:val="single" w:color="000000" w:sz="6" w:space="0"/>
                            </w:tcBorders>
                          </w:tcPr>
                          <w:p>
                            <w:pPr>
                              <w:pStyle w:val="TableParagraph"/>
                              <w:spacing w:before="33"/>
                              <w:ind w:right="28"/>
                              <w:jc w:val="right"/>
                              <w:rPr>
                                <w:b/>
                                <w:sz w:val="21"/>
                              </w:rPr>
                            </w:pPr>
                            <w:r>
                              <w:rPr>
                                <w:b/>
                                <w:color w:val="050505"/>
                                <w:spacing w:val="-5"/>
                                <w:w w:val="105"/>
                                <w:sz w:val="21"/>
                              </w:rPr>
                              <w:t>658</w:t>
                            </w:r>
                          </w:p>
                        </w:tc>
                      </w:tr>
                      <w:tr>
                        <w:trPr>
                          <w:trHeight w:val="282" w:hRule="atLeast"/>
                        </w:trPr>
                        <w:tc>
                          <w:tcPr>
                            <w:tcW w:w="3705" w:type="dxa"/>
                          </w:tcPr>
                          <w:p>
                            <w:pPr>
                              <w:pStyle w:val="TableParagraph"/>
                              <w:spacing w:before="40" w:line="222" w:lineRule="exact"/>
                              <w:ind w:left="54"/>
                              <w:rPr>
                                <w:b/>
                                <w:sz w:val="21"/>
                              </w:rPr>
                            </w:pPr>
                            <w:r>
                              <w:rPr>
                                <w:b/>
                                <w:color w:val="050505"/>
                                <w:w w:val="105"/>
                                <w:sz w:val="21"/>
                              </w:rPr>
                              <w:t>Net</w:t>
                            </w:r>
                            <w:r>
                              <w:rPr>
                                <w:b/>
                                <w:color w:val="050505"/>
                                <w:spacing w:val="5"/>
                                <w:w w:val="105"/>
                                <w:sz w:val="21"/>
                              </w:rPr>
                              <w:t> </w:t>
                            </w:r>
                            <w:r>
                              <w:rPr>
                                <w:b/>
                                <w:color w:val="050505"/>
                                <w:w w:val="105"/>
                                <w:sz w:val="21"/>
                              </w:rPr>
                              <w:t>Cost</w:t>
                            </w:r>
                            <w:r>
                              <w:rPr>
                                <w:b/>
                                <w:color w:val="050505"/>
                                <w:spacing w:val="3"/>
                                <w:w w:val="105"/>
                                <w:sz w:val="21"/>
                              </w:rPr>
                              <w:t> </w:t>
                            </w:r>
                            <w:r>
                              <w:rPr>
                                <w:b/>
                                <w:color w:val="050505"/>
                                <w:w w:val="105"/>
                                <w:sz w:val="21"/>
                              </w:rPr>
                              <w:t>of</w:t>
                            </w:r>
                            <w:r>
                              <w:rPr>
                                <w:b/>
                                <w:color w:val="050505"/>
                                <w:spacing w:val="-1"/>
                                <w:w w:val="105"/>
                                <w:sz w:val="21"/>
                              </w:rPr>
                              <w:t> </w:t>
                            </w:r>
                            <w:r>
                              <w:rPr>
                                <w:b/>
                                <w:color w:val="050505"/>
                                <w:spacing w:val="-2"/>
                                <w:w w:val="105"/>
                                <w:sz w:val="21"/>
                              </w:rPr>
                              <w:t>Services</w:t>
                            </w:r>
                          </w:p>
                        </w:tc>
                        <w:tc>
                          <w:tcPr>
                            <w:tcW w:w="1596" w:type="dxa"/>
                            <w:tcBorders>
                              <w:top w:val="single" w:color="000000" w:sz="6" w:space="0"/>
                              <w:bottom w:val="single" w:color="000000" w:sz="6" w:space="0"/>
                            </w:tcBorders>
                          </w:tcPr>
                          <w:p>
                            <w:pPr>
                              <w:pStyle w:val="TableParagraph"/>
                              <w:spacing w:before="35" w:line="227" w:lineRule="exact"/>
                              <w:ind w:right="161"/>
                              <w:jc w:val="right"/>
                              <w:rPr>
                                <w:b/>
                                <w:sz w:val="21"/>
                              </w:rPr>
                            </w:pPr>
                            <w:r>
                              <w:rPr>
                                <w:b/>
                                <w:color w:val="050505"/>
                                <w:spacing w:val="-2"/>
                                <w:w w:val="105"/>
                                <w:sz w:val="21"/>
                              </w:rPr>
                              <w:t>(417)</w:t>
                            </w:r>
                          </w:p>
                        </w:tc>
                        <w:tc>
                          <w:tcPr>
                            <w:tcW w:w="1580" w:type="dxa"/>
                            <w:tcBorders>
                              <w:top w:val="single" w:color="000000" w:sz="6" w:space="0"/>
                              <w:bottom w:val="single" w:color="000000" w:sz="6" w:space="0"/>
                            </w:tcBorders>
                          </w:tcPr>
                          <w:p>
                            <w:pPr>
                              <w:pStyle w:val="TableParagraph"/>
                              <w:spacing w:before="40" w:line="222" w:lineRule="exact"/>
                              <w:ind w:right="190"/>
                              <w:jc w:val="right"/>
                              <w:rPr>
                                <w:b/>
                                <w:sz w:val="21"/>
                              </w:rPr>
                            </w:pPr>
                            <w:r>
                              <w:rPr>
                                <w:b/>
                                <w:color w:val="050505"/>
                                <w:spacing w:val="-4"/>
                                <w:w w:val="105"/>
                                <w:sz w:val="21"/>
                              </w:rPr>
                              <w:t>1,644</w:t>
                            </w:r>
                          </w:p>
                        </w:tc>
                        <w:tc>
                          <w:tcPr>
                            <w:tcW w:w="1477" w:type="dxa"/>
                            <w:tcBorders>
                              <w:top w:val="single" w:color="000000" w:sz="6" w:space="0"/>
                              <w:bottom w:val="single" w:color="000000" w:sz="6" w:space="0"/>
                            </w:tcBorders>
                          </w:tcPr>
                          <w:p>
                            <w:pPr>
                              <w:pStyle w:val="TableParagraph"/>
                              <w:spacing w:before="35" w:line="227" w:lineRule="exact"/>
                              <w:ind w:right="154"/>
                              <w:jc w:val="right"/>
                              <w:rPr>
                                <w:b/>
                                <w:sz w:val="21"/>
                              </w:rPr>
                            </w:pPr>
                            <w:r>
                              <w:rPr>
                                <w:b/>
                                <w:color w:val="050505"/>
                                <w:spacing w:val="-4"/>
                                <w:w w:val="105"/>
                                <w:sz w:val="21"/>
                              </w:rPr>
                              <w:t>1,255</w:t>
                            </w:r>
                          </w:p>
                        </w:tc>
                        <w:tc>
                          <w:tcPr>
                            <w:tcW w:w="1405" w:type="dxa"/>
                            <w:tcBorders>
                              <w:top w:val="single" w:color="000000" w:sz="6" w:space="0"/>
                              <w:bottom w:val="single" w:color="000000" w:sz="6" w:space="0"/>
                            </w:tcBorders>
                          </w:tcPr>
                          <w:p>
                            <w:pPr>
                              <w:pStyle w:val="TableParagraph"/>
                              <w:spacing w:before="35" w:line="227" w:lineRule="exact"/>
                              <w:ind w:right="42"/>
                              <w:jc w:val="right"/>
                              <w:rPr>
                                <w:b/>
                                <w:sz w:val="21"/>
                              </w:rPr>
                            </w:pPr>
                            <w:r>
                              <w:rPr>
                                <w:b/>
                                <w:color w:val="050505"/>
                                <w:spacing w:val="-4"/>
                                <w:w w:val="105"/>
                                <w:sz w:val="21"/>
                              </w:rPr>
                              <w:t>2,482</w:t>
                            </w:r>
                          </w:p>
                        </w:tc>
                      </w:tr>
                      <w:tr>
                        <w:trPr>
                          <w:trHeight w:val="284" w:hRule="atLeast"/>
                        </w:trPr>
                        <w:tc>
                          <w:tcPr>
                            <w:tcW w:w="3705" w:type="dxa"/>
                          </w:tcPr>
                          <w:p>
                            <w:pPr>
                              <w:pStyle w:val="TableParagraph"/>
                              <w:spacing w:before="17" w:line="247" w:lineRule="exact"/>
                              <w:ind w:left="50"/>
                              <w:rPr>
                                <w:sz w:val="22"/>
                              </w:rPr>
                            </w:pPr>
                            <w:r>
                              <w:rPr>
                                <w:color w:val="050505"/>
                                <w:sz w:val="22"/>
                              </w:rPr>
                              <w:t>Other Operating</w:t>
                            </w:r>
                            <w:r>
                              <w:rPr>
                                <w:color w:val="050505"/>
                                <w:spacing w:val="11"/>
                                <w:sz w:val="22"/>
                              </w:rPr>
                              <w:t> </w:t>
                            </w:r>
                            <w:r>
                              <w:rPr>
                                <w:color w:val="050505"/>
                                <w:spacing w:val="-2"/>
                                <w:sz w:val="22"/>
                              </w:rPr>
                              <w:t>Expenditure</w:t>
                            </w:r>
                          </w:p>
                        </w:tc>
                        <w:tc>
                          <w:tcPr>
                            <w:tcW w:w="1596" w:type="dxa"/>
                            <w:tcBorders>
                              <w:top w:val="single" w:color="000000" w:sz="6" w:space="0"/>
                            </w:tcBorders>
                          </w:tcPr>
                          <w:p>
                            <w:pPr>
                              <w:pStyle w:val="TableParagraph"/>
                              <w:spacing w:before="31" w:line="233" w:lineRule="exact"/>
                              <w:ind w:right="175"/>
                              <w:jc w:val="right"/>
                              <w:rPr>
                                <w:sz w:val="22"/>
                              </w:rPr>
                            </w:pPr>
                            <w:r>
                              <w:rPr>
                                <w:color w:val="050505"/>
                                <w:spacing w:val="-4"/>
                                <w:sz w:val="22"/>
                              </w:rPr>
                              <w:t>(13)</w:t>
                            </w:r>
                          </w:p>
                        </w:tc>
                        <w:tc>
                          <w:tcPr>
                            <w:tcW w:w="1580" w:type="dxa"/>
                            <w:tcBorders>
                              <w:top w:val="single" w:color="000000" w:sz="6" w:space="0"/>
                            </w:tcBorders>
                          </w:tcPr>
                          <w:p>
                            <w:pPr>
                              <w:pStyle w:val="TableParagraph"/>
                              <w:rPr>
                                <w:rFonts w:ascii="Times New Roman"/>
                                <w:sz w:val="20"/>
                              </w:rPr>
                            </w:pPr>
                          </w:p>
                        </w:tc>
                        <w:tc>
                          <w:tcPr>
                            <w:tcW w:w="1477" w:type="dxa"/>
                            <w:tcBorders>
                              <w:top w:val="single" w:color="000000" w:sz="6" w:space="0"/>
                            </w:tcBorders>
                          </w:tcPr>
                          <w:p>
                            <w:pPr>
                              <w:pStyle w:val="TableParagraph"/>
                              <w:rPr>
                                <w:rFonts w:ascii="Times New Roman"/>
                                <w:sz w:val="20"/>
                              </w:rPr>
                            </w:pPr>
                          </w:p>
                        </w:tc>
                        <w:tc>
                          <w:tcPr>
                            <w:tcW w:w="1405" w:type="dxa"/>
                            <w:tcBorders>
                              <w:top w:val="single" w:color="000000" w:sz="6" w:space="0"/>
                            </w:tcBorders>
                          </w:tcPr>
                          <w:p>
                            <w:pPr>
                              <w:pStyle w:val="TableParagraph"/>
                              <w:spacing w:before="35" w:line="228" w:lineRule="exact"/>
                              <w:ind w:right="37"/>
                              <w:jc w:val="right"/>
                              <w:rPr>
                                <w:b/>
                                <w:sz w:val="21"/>
                              </w:rPr>
                            </w:pPr>
                            <w:r>
                              <w:rPr>
                                <w:b/>
                                <w:color w:val="050505"/>
                                <w:spacing w:val="-4"/>
                                <w:w w:val="105"/>
                                <w:sz w:val="21"/>
                              </w:rPr>
                              <w:t>(13)</w:t>
                            </w:r>
                          </w:p>
                        </w:tc>
                      </w:tr>
                    </w:tbl>
                    <w:p>
                      <w:pPr>
                        <w:pStyle w:val="BodyText"/>
                      </w:pPr>
                    </w:p>
                  </w:txbxContent>
                </v:textbox>
                <w10:wrap type="none"/>
              </v:shape>
            </w:pict>
          </ve:Fallback>
        </ve:AlternateContent>
      </w:r>
      <w:r>
        <w:rPr>
          <w:color w:val="878787"/>
          <w:spacing w:val="-10"/>
          <w:w w:val="105"/>
          <w:sz w:val="11"/>
        </w:rPr>
        <w:t>-</w:t>
      </w: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40"/>
        <w:rPr>
          <w:sz w:val="10"/>
        </w:rPr>
      </w:pPr>
    </w:p>
    <w:p>
      <w:pPr>
        <w:spacing w:before="0"/>
        <w:ind w:left="3149" w:right="0" w:firstLine="0"/>
        <w:jc w:val="left"/>
        <w:rPr>
          <w:sz w:val="10"/>
        </w:rPr>
      </w:pPr>
      <w:r>
        <w:rPr>
          <w:color w:val="A1A1A1"/>
          <w:w w:val="105"/>
          <w:sz w:val="11"/>
        </w:rPr>
        <w:t>-</w:t>
      </w:r>
      <w:r>
        <w:rPr>
          <w:color w:val="A1A1A1"/>
          <w:spacing w:val="67"/>
          <w:w w:val="150"/>
          <w:sz w:val="11"/>
        </w:rPr>
        <w:t> </w:t>
      </w:r>
      <w:r>
        <w:rPr>
          <w:color w:val="878787"/>
          <w:spacing w:val="-10"/>
          <w:w w:val="105"/>
          <w:sz w:val="10"/>
        </w:rPr>
        <w:t>.</w:t>
      </w: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44"/>
        <w:rPr>
          <w:sz w:val="10"/>
        </w:rPr>
      </w:pPr>
    </w:p>
    <w:p>
      <w:pPr>
        <w:pStyle w:val="BodyText"/>
        <w:tabs>
          <w:tab w:val="left" w:leader="none" w:pos="6105"/>
          <w:tab w:val="left" w:leader="none" w:pos="10695"/>
        </w:tabs>
        <w:spacing w:line="151" w:lineRule="auto"/>
        <w:ind w:left="1731"/>
        <w:rPr>
          <w:b/>
          <w:sz w:val="21"/>
        </w:rPr>
      </w:pPr>
      <w:r>
        <w:rPr/>
        <ve:AlternateContent>
          <ve:Choice Requires="wps">
            <w:drawing>
              <wp:anchor distT="0" distB="0" distL="0" distR="0" simplePos="0" relativeHeight="475889152" behindDoc="1" locked="0" layoutInCell="1" allowOverlap="1">
                <wp:simplePos x="0" y="0"/>
                <wp:positionH relativeFrom="page">
                  <wp:posOffset>5086526</wp:posOffset>
                </wp:positionH>
                <wp:positionV relativeFrom="paragraph">
                  <wp:posOffset>66942</wp:posOffset>
                </wp:positionV>
                <wp:extent cx="236220" cy="156845"/>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236220" cy="156845"/>
                        </a:xfrm>
                        <a:prstGeom prst="rect">
                          <a:avLst/>
                        </a:prstGeom>
                      </wps:spPr>
                      <wps:txbx>
                        <w:txbxContent>
                          <w:p>
                            <w:pPr>
                              <w:pStyle w:val="BodyText"/>
                              <w:spacing w:line="246" w:lineRule="exact"/>
                            </w:pPr>
                            <w:r>
                              <w:rPr>
                                <w:color w:val="050505"/>
                                <w:spacing w:val="-5"/>
                              </w:rPr>
                              <w:t>875</w:t>
                            </w:r>
                          </w:p>
                        </w:txbxContent>
                      </wps:txbx>
                      <wps:bodyPr wrap="square" lIns="0" tIns="0" rIns="0" bIns="0" rtlCol="0">
                        <a:noAutofit/>
                      </wps:bodyPr>
                    </wps:wsp>
                  </a:graphicData>
                </a:graphic>
              </wp:anchor>
            </w:drawing>
          </ve:Choice>
          <ve:Fallback>
            <w:pict>
              <v:shape id="docshape151" style="position:absolute;margin-left:400.513885pt;margin-top:5.271099pt;width:18.6pt;height:12.35pt;mso-position-horizontal-relative:page;mso-position-vertical-relative:paragraph;z-index:-27427328" filled="false" stroked="false" type="#_x0000_t202">
                <v:textbox inset="0,0,0,0">
                  <w:txbxContent>
                    <w:p>
                      <w:pPr>
                        <w:pStyle w:val="BodyText"/>
                        <w:spacing w:line="246" w:lineRule="exact"/>
                      </w:pPr>
                      <w:r>
                        <w:rPr>
                          <w:color w:val="050505"/>
                          <w:spacing w:val="-5"/>
                        </w:rPr>
                        <w:t>875</w:t>
                      </w:r>
                    </w:p>
                  </w:txbxContent>
                </v:textbox>
                <w10:wrap type="none"/>
              </v:shape>
            </w:pict>
          </ve:Fallback>
        </ve:AlternateContent>
      </w:r>
      <w:r>
        <w:rPr>
          <w:color w:val="050505"/>
        </w:rPr>
        <w:t>Financing</w:t>
      </w:r>
      <w:r>
        <w:rPr>
          <w:color w:val="050505"/>
          <w:spacing w:val="4"/>
        </w:rPr>
        <w:t> </w:t>
      </w:r>
      <w:r>
        <w:rPr>
          <w:color w:val="050505"/>
        </w:rPr>
        <w:t>and</w:t>
      </w:r>
      <w:r>
        <w:rPr>
          <w:color w:val="050505"/>
          <w:spacing w:val="-12"/>
        </w:rPr>
        <w:t> </w:t>
      </w:r>
      <w:r>
        <w:rPr>
          <w:color w:val="050505"/>
        </w:rPr>
        <w:t>Investment</w:t>
      </w:r>
      <w:r>
        <w:rPr>
          <w:color w:val="050505"/>
          <w:spacing w:val="8"/>
        </w:rPr>
        <w:t> </w:t>
      </w:r>
      <w:r>
        <w:rPr>
          <w:color w:val="050505"/>
          <w:spacing w:val="-2"/>
        </w:rPr>
        <w:t>Income</w:t>
      </w:r>
      <w:r>
        <w:rPr>
          <w:color w:val="050505"/>
        </w:rPr>
        <w:tab/>
      </w:r>
      <w:r>
        <w:rPr>
          <w:color w:val="050505"/>
          <w:spacing w:val="-2"/>
          <w:position w:val="-11"/>
        </w:rPr>
        <w:t>(2,370)</w:t>
      </w:r>
      <w:r>
        <w:rPr>
          <w:color w:val="050505"/>
          <w:position w:val="-11"/>
        </w:rPr>
        <w:tab/>
      </w:r>
      <w:r>
        <w:rPr>
          <w:b/>
          <w:color w:val="050505"/>
          <w:spacing w:val="-2"/>
          <w:position w:val="-11"/>
          <w:sz w:val="21"/>
        </w:rPr>
        <w:t>(1,495)</w:t>
      </w:r>
    </w:p>
    <w:p>
      <w:pPr>
        <w:pStyle w:val="BodyText"/>
        <w:spacing w:line="192" w:lineRule="exact"/>
        <w:ind w:left="1731"/>
      </w:pPr>
      <w:r>
        <w:rPr>
          <w:color w:val="050505"/>
        </w:rPr>
        <w:t>and</w:t>
      </w:r>
      <w:r>
        <w:rPr>
          <w:color w:val="050505"/>
          <w:spacing w:val="-4"/>
        </w:rPr>
        <w:t> </w:t>
      </w:r>
      <w:r>
        <w:rPr>
          <w:color w:val="050505"/>
          <w:spacing w:val="-2"/>
        </w:rPr>
        <w:t>Expenditure</w:t>
      </w:r>
    </w:p>
    <w:p>
      <w:pPr>
        <w:pStyle w:val="BodyText"/>
        <w:tabs>
          <w:tab w:val="left" w:leader="none" w:pos="5976"/>
          <w:tab w:val="left" w:leader="none" w:pos="9187"/>
          <w:tab w:val="left" w:leader="none" w:pos="10574"/>
        </w:tabs>
        <w:spacing w:before="12"/>
        <w:ind w:left="1729"/>
        <w:rPr>
          <w:b/>
          <w:sz w:val="21"/>
        </w:rPr>
      </w:pPr>
      <w:r>
        <w:rPr/>
        <ve:AlternateContent>
          <ve:Choice Requires="wps">
            <w:drawing>
              <wp:anchor distT="0" distB="0" distL="0" distR="0" simplePos="0" relativeHeight="475889664" behindDoc="1" locked="0" layoutInCell="1" allowOverlap="1">
                <wp:simplePos x="0" y="0"/>
                <wp:positionH relativeFrom="page">
                  <wp:posOffset>1107407</wp:posOffset>
                </wp:positionH>
                <wp:positionV relativeFrom="paragraph">
                  <wp:posOffset>170709</wp:posOffset>
                </wp:positionV>
                <wp:extent cx="463550" cy="156845"/>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463550" cy="156845"/>
                        </a:xfrm>
                        <a:prstGeom prst="rect">
                          <a:avLst/>
                        </a:prstGeom>
                      </wps:spPr>
                      <wps:txbx>
                        <w:txbxContent>
                          <w:p>
                            <w:pPr>
                              <w:pStyle w:val="BodyText"/>
                              <w:spacing w:line="246" w:lineRule="exact"/>
                            </w:pPr>
                            <w:r>
                              <w:rPr>
                                <w:color w:val="050505"/>
                                <w:spacing w:val="-2"/>
                              </w:rPr>
                              <w:t>Income</w:t>
                            </w:r>
                          </w:p>
                        </w:txbxContent>
                      </wps:txbx>
                      <wps:bodyPr wrap="square" lIns="0" tIns="0" rIns="0" bIns="0" rtlCol="0">
                        <a:noAutofit/>
                      </wps:bodyPr>
                    </wps:wsp>
                  </a:graphicData>
                </a:graphic>
              </wp:anchor>
            </w:drawing>
          </ve:Choice>
          <ve:Fallback>
            <w:pict>
              <v:shape id="docshape152" style="position:absolute;margin-left:87.197418pt;margin-top:13.441692pt;width:36.5pt;height:12.35pt;mso-position-horizontal-relative:page;mso-position-vertical-relative:paragraph;z-index:-27426816" filled="false" stroked="false" type="#_x0000_t202">
                <v:textbox inset="0,0,0,0">
                  <w:txbxContent>
                    <w:p>
                      <w:pPr>
                        <w:pStyle w:val="BodyText"/>
                        <w:spacing w:line="246" w:lineRule="exact"/>
                      </w:pPr>
                      <w:r>
                        <w:rPr>
                          <w:color w:val="050505"/>
                          <w:spacing w:val="-2"/>
                        </w:rPr>
                        <w:t>Income</w:t>
                      </w:r>
                    </w:p>
                  </w:txbxContent>
                </v:textbox>
                <w10:wrap type="none"/>
              </v:shape>
            </w:pict>
          </ve:Fallback>
        </ve:AlternateContent>
      </w:r>
      <w:r>
        <w:rPr>
          <w:color w:val="1D1D1D"/>
        </w:rPr>
        <w:t>Taxation</w:t>
      </w:r>
      <w:r>
        <w:rPr>
          <w:color w:val="1D1D1D"/>
          <w:spacing w:val="10"/>
        </w:rPr>
        <w:t> </w:t>
      </w:r>
      <w:r>
        <w:rPr>
          <w:color w:val="050505"/>
        </w:rPr>
        <w:t>and</w:t>
      </w:r>
      <w:r>
        <w:rPr>
          <w:color w:val="050505"/>
          <w:spacing w:val="-7"/>
        </w:rPr>
        <w:t> </w:t>
      </w:r>
      <w:r>
        <w:rPr>
          <w:color w:val="050505"/>
        </w:rPr>
        <w:t>Non-Specific</w:t>
      </w:r>
      <w:r>
        <w:rPr>
          <w:color w:val="050505"/>
          <w:spacing w:val="9"/>
        </w:rPr>
        <w:t> </w:t>
      </w:r>
      <w:r>
        <w:rPr>
          <w:color w:val="050505"/>
          <w:spacing w:val="-2"/>
        </w:rPr>
        <w:t>Grant</w:t>
      </w:r>
      <w:r>
        <w:rPr>
          <w:color w:val="050505"/>
        </w:rPr>
        <w:tab/>
      </w:r>
      <w:r>
        <w:rPr>
          <w:color w:val="050505"/>
          <w:spacing w:val="-2"/>
          <w:position w:val="-12"/>
        </w:rPr>
        <w:t>(11,072)</w:t>
      </w:r>
      <w:r>
        <w:rPr>
          <w:color w:val="050505"/>
          <w:position w:val="-12"/>
        </w:rPr>
        <w:tab/>
      </w:r>
      <w:r>
        <w:rPr>
          <w:color w:val="050505"/>
          <w:spacing w:val="-2"/>
          <w:position w:val="-12"/>
        </w:rPr>
        <w:t>(3,581)</w:t>
      </w:r>
      <w:r>
        <w:rPr>
          <w:color w:val="050505"/>
          <w:position w:val="-12"/>
        </w:rPr>
        <w:tab/>
      </w:r>
      <w:r>
        <w:rPr>
          <w:b/>
          <w:color w:val="050505"/>
          <w:spacing w:val="-2"/>
          <w:position w:val="-11"/>
          <w:sz w:val="21"/>
        </w:rPr>
        <w:t>(14,653)</w:t>
      </w:r>
    </w:p>
    <w:p>
      <w:pPr>
        <w:spacing w:before="140"/>
        <w:ind w:left="1725" w:right="0" w:firstLine="0"/>
        <w:jc w:val="left"/>
        <w:rPr>
          <w:b/>
          <w:sz w:val="21"/>
        </w:rPr>
      </w:pPr>
      <w:r>
        <w:rPr>
          <w:b/>
          <w:color w:val="1D1D1D"/>
          <w:w w:val="105"/>
          <w:sz w:val="21"/>
        </w:rPr>
        <w:t>Other</w:t>
      </w:r>
      <w:r>
        <w:rPr>
          <w:b/>
          <w:color w:val="1D1D1D"/>
          <w:spacing w:val="4"/>
          <w:w w:val="105"/>
          <w:sz w:val="21"/>
        </w:rPr>
        <w:t> </w:t>
      </w:r>
      <w:r>
        <w:rPr>
          <w:b/>
          <w:color w:val="1D1D1D"/>
          <w:w w:val="105"/>
          <w:sz w:val="21"/>
        </w:rPr>
        <w:t>Income</w:t>
      </w:r>
      <w:r>
        <w:rPr>
          <w:b/>
          <w:color w:val="1D1D1D"/>
          <w:spacing w:val="1"/>
          <w:w w:val="105"/>
          <w:sz w:val="21"/>
        </w:rPr>
        <w:t> </w:t>
      </w:r>
      <w:r>
        <w:rPr>
          <w:b/>
          <w:color w:val="050505"/>
          <w:w w:val="105"/>
          <w:sz w:val="21"/>
        </w:rPr>
        <w:t>and</w:t>
      </w:r>
      <w:r>
        <w:rPr>
          <w:b/>
          <w:color w:val="050505"/>
          <w:spacing w:val="-5"/>
          <w:w w:val="105"/>
          <w:sz w:val="21"/>
        </w:rPr>
        <w:t> </w:t>
      </w:r>
      <w:r>
        <w:rPr>
          <w:b/>
          <w:color w:val="050505"/>
          <w:spacing w:val="-2"/>
          <w:w w:val="105"/>
          <w:sz w:val="21"/>
        </w:rPr>
        <w:t>Expenditure</w:t>
      </w:r>
    </w:p>
    <w:p>
      <w:pPr>
        <w:tabs>
          <w:tab w:val="left" w:leader="none" w:pos="5969"/>
          <w:tab w:val="left" w:leader="none" w:pos="7985"/>
          <w:tab w:val="left" w:leader="none" w:pos="9180"/>
          <w:tab w:val="left" w:leader="none" w:pos="10570"/>
        </w:tabs>
        <w:spacing w:before="13" w:line="252" w:lineRule="auto"/>
        <w:ind w:left="1714" w:right="397" w:firstLine="8"/>
        <w:jc w:val="left"/>
        <w:rPr>
          <w:b/>
          <w:sz w:val="21"/>
        </w:rPr>
      </w:pPr>
      <w:r>
        <w:rPr>
          <w:b/>
          <w:color w:val="1D1D1D"/>
          <w:w w:val="105"/>
          <w:sz w:val="21"/>
        </w:rPr>
        <w:t>from </w:t>
      </w:r>
      <w:r>
        <w:rPr>
          <w:b/>
          <w:color w:val="050505"/>
          <w:w w:val="105"/>
          <w:sz w:val="21"/>
        </w:rPr>
        <w:t>the Expenditure </w:t>
      </w:r>
      <w:r>
        <w:rPr>
          <w:b/>
          <w:color w:val="1D1D1D"/>
          <w:w w:val="105"/>
          <w:sz w:val="21"/>
        </w:rPr>
        <w:t>and</w:t>
      </w:r>
      <w:r>
        <w:rPr>
          <w:b/>
          <w:color w:val="1D1D1D"/>
          <w:sz w:val="21"/>
        </w:rPr>
        <w:tab/>
      </w:r>
      <w:r>
        <w:rPr>
          <w:b/>
          <w:color w:val="050505"/>
          <w:spacing w:val="-2"/>
          <w:w w:val="105"/>
          <w:sz w:val="21"/>
        </w:rPr>
        <w:t>(13,455)</w:t>
      </w:r>
      <w:r>
        <w:rPr>
          <w:b/>
          <w:color w:val="050505"/>
          <w:sz w:val="21"/>
        </w:rPr>
        <w:tab/>
      </w:r>
      <w:r>
        <w:rPr>
          <w:b/>
          <w:color w:val="050505"/>
          <w:spacing w:val="-4"/>
          <w:w w:val="105"/>
          <w:sz w:val="21"/>
        </w:rPr>
        <w:t>875</w:t>
      </w:r>
      <w:r>
        <w:rPr>
          <w:b/>
          <w:color w:val="050505"/>
          <w:sz w:val="21"/>
        </w:rPr>
        <w:tab/>
      </w:r>
      <w:r>
        <w:rPr>
          <w:b/>
          <w:color w:val="050505"/>
          <w:spacing w:val="-2"/>
          <w:w w:val="105"/>
          <w:sz w:val="21"/>
        </w:rPr>
        <w:t>(3,581)</w:t>
      </w:r>
      <w:r>
        <w:rPr>
          <w:b/>
          <w:color w:val="050505"/>
          <w:sz w:val="21"/>
        </w:rPr>
        <w:tab/>
      </w:r>
      <w:r>
        <w:rPr>
          <w:b/>
          <w:color w:val="050505"/>
          <w:spacing w:val="-2"/>
          <w:w w:val="105"/>
          <w:sz w:val="21"/>
        </w:rPr>
        <w:t>(16,161) </w:t>
      </w:r>
      <w:r>
        <w:rPr>
          <w:b/>
          <w:color w:val="050505"/>
          <w:w w:val="105"/>
          <w:sz w:val="21"/>
        </w:rPr>
        <w:t>Funding Analysis</w:t>
      </w:r>
    </w:p>
    <w:p>
      <w:pPr>
        <w:pStyle w:val="BodyText"/>
        <w:spacing w:before="22"/>
        <w:rPr>
          <w:b/>
          <w:sz w:val="20"/>
        </w:rPr>
      </w:pPr>
      <w:r>
        <w:rPr/>
        <ve:AlternateContent>
          <ve:Choice Requires="wps">
            <w:drawing>
              <wp:anchor distT="0" distB="0" distL="0" distR="0" simplePos="0" relativeHeight="487635456" behindDoc="1" locked="0" layoutInCell="1" allowOverlap="1">
                <wp:simplePos x="0" y="0"/>
                <wp:positionH relativeFrom="page">
                  <wp:posOffset>3434531</wp:posOffset>
                </wp:positionH>
                <wp:positionV relativeFrom="paragraph">
                  <wp:posOffset>175840</wp:posOffset>
                </wp:positionV>
                <wp:extent cx="3843654" cy="1270"/>
                <wp:effectExtent l="0" t="0" r="0" b="0"/>
                <wp:wrapTopAndBottom/>
                <wp:docPr id="241" name="Graphic 241"/>
                <wp:cNvGraphicFramePr>
                  <a:graphicFrameLocks/>
                </wp:cNvGraphicFramePr>
                <a:graphic>
                  <a:graphicData uri="http://schemas.microsoft.com/office/word/2010/wordprocessingShape">
                    <wps:wsp>
                      <wps:cNvPr id="241" name="Graphic 241"/>
                      <wps:cNvSpPr/>
                      <wps:spPr>
                        <a:xfrm>
                          <a:off x="0" y="0"/>
                          <a:ext cx="3843654" cy="1270"/>
                        </a:xfrm>
                        <a:custGeom>
                          <a:avLst/>
                          <a:gdLst/>
                          <a:ahLst/>
                          <a:cxnLst/>
                          <a:rect l="l" t="t" r="r" b="b"/>
                          <a:pathLst>
                            <a:path w="3843654" h="0">
                              <a:moveTo>
                                <a:pt x="0" y="0"/>
                              </a:moveTo>
                              <a:lnTo>
                                <a:pt x="3843621"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153" style="position:absolute;margin-left:270.435516pt;margin-top:13.845741pt;width:302.650pt;height:.1pt;mso-position-horizontal-relative:page;mso-position-vertical-relative:paragraph;z-index:-15681024;mso-wrap-distance-left:0;mso-wrap-distance-right:0" coordsize="6053,0" coordorigin="5409,277" filled="false" stroked="true" strokecolor="#000000" strokeweight=".720821pt" path="m5409,277l11462,277e">
                <v:path arrowok="t"/>
                <v:stroke dashstyle="solid"/>
                <w10:wrap type="topAndBottom"/>
              </v:shape>
            </w:pict>
          </ve:Fallback>
        </ve:AlternateContent>
      </w:r>
    </w:p>
    <w:p>
      <w:pPr>
        <w:tabs>
          <w:tab w:val="left" w:leader="none" w:pos="5959"/>
          <w:tab w:val="left" w:leader="none" w:pos="7796"/>
          <w:tab w:val="left" w:leader="none" w:pos="9175"/>
          <w:tab w:val="left" w:leader="none" w:pos="10565"/>
        </w:tabs>
        <w:spacing w:before="177" w:line="120" w:lineRule="auto"/>
        <w:ind w:left="1708" w:right="402" w:firstLine="7"/>
        <w:jc w:val="left"/>
        <w:rPr>
          <w:b/>
          <w:sz w:val="21"/>
        </w:rPr>
      </w:pPr>
      <w:r>
        <w:rPr>
          <w:b/>
          <w:color w:val="050505"/>
          <w:w w:val="105"/>
          <w:position w:val="13"/>
          <w:sz w:val="21"/>
        </w:rPr>
        <w:t>Adjustments between funding</w:t>
      </w:r>
      <w:r>
        <w:rPr>
          <w:b/>
          <w:color w:val="050505"/>
          <w:position w:val="13"/>
          <w:sz w:val="21"/>
        </w:rPr>
        <w:tab/>
      </w:r>
      <w:r>
        <w:rPr>
          <w:b/>
          <w:color w:val="050505"/>
          <w:spacing w:val="-2"/>
          <w:w w:val="105"/>
          <w:sz w:val="21"/>
        </w:rPr>
        <w:t>(13,872)</w:t>
      </w:r>
      <w:r>
        <w:rPr>
          <w:b/>
          <w:color w:val="050505"/>
          <w:sz w:val="21"/>
        </w:rPr>
        <w:tab/>
      </w:r>
      <w:r>
        <w:rPr>
          <w:b/>
          <w:color w:val="050505"/>
          <w:spacing w:val="-2"/>
          <w:w w:val="105"/>
          <w:sz w:val="21"/>
        </w:rPr>
        <w:t>2,519</w:t>
      </w:r>
      <w:r>
        <w:rPr>
          <w:b/>
          <w:color w:val="050505"/>
          <w:sz w:val="21"/>
        </w:rPr>
        <w:tab/>
      </w:r>
      <w:r>
        <w:rPr>
          <w:b/>
          <w:color w:val="050505"/>
          <w:spacing w:val="-2"/>
          <w:w w:val="105"/>
          <w:sz w:val="21"/>
        </w:rPr>
        <w:t>(2,326)</w:t>
      </w:r>
      <w:r>
        <w:rPr>
          <w:b/>
          <w:color w:val="050505"/>
          <w:sz w:val="21"/>
        </w:rPr>
        <w:tab/>
      </w:r>
      <w:r>
        <w:rPr>
          <w:b/>
          <w:color w:val="050505"/>
          <w:spacing w:val="-2"/>
          <w:w w:val="105"/>
          <w:sz w:val="21"/>
        </w:rPr>
        <w:t>(13,679) </w:t>
      </w:r>
      <w:r>
        <w:rPr>
          <w:b/>
          <w:color w:val="050505"/>
          <w:w w:val="105"/>
          <w:sz w:val="21"/>
        </w:rPr>
        <w:t>and accounting</w:t>
      </w:r>
      <w:r>
        <w:rPr>
          <w:b/>
          <w:color w:val="050505"/>
          <w:w w:val="105"/>
          <w:sz w:val="21"/>
        </w:rPr>
        <w:t> </w:t>
      </w:r>
      <w:r>
        <w:rPr>
          <w:b/>
          <w:color w:val="1D1D1D"/>
          <w:w w:val="105"/>
          <w:sz w:val="21"/>
        </w:rPr>
        <w:t>basis</w:t>
      </w:r>
    </w:p>
    <w:p>
      <w:pPr>
        <w:pStyle w:val="BodyText"/>
        <w:spacing w:before="6"/>
        <w:rPr>
          <w:b/>
          <w:sz w:val="5"/>
        </w:rPr>
      </w:pPr>
      <w:r>
        <w:rPr/>
        <ve:AlternateContent>
          <ve:Choice Requires="wps">
            <w:drawing>
              <wp:anchor distT="0" distB="0" distL="0" distR="0" simplePos="0" relativeHeight="487635968" behindDoc="1" locked="0" layoutInCell="1" allowOverlap="1">
                <wp:simplePos x="0" y="0"/>
                <wp:positionH relativeFrom="page">
                  <wp:posOffset>3394843</wp:posOffset>
                </wp:positionH>
                <wp:positionV relativeFrom="paragraph">
                  <wp:posOffset>55559</wp:posOffset>
                </wp:positionV>
                <wp:extent cx="3932554" cy="1270"/>
                <wp:effectExtent l="0" t="0" r="0" b="0"/>
                <wp:wrapTopAndBottom/>
                <wp:docPr id="242" name="Graphic 242"/>
                <wp:cNvGraphicFramePr>
                  <a:graphicFrameLocks/>
                </wp:cNvGraphicFramePr>
                <a:graphic>
                  <a:graphicData uri="http://schemas.microsoft.com/office/word/2010/wordprocessingShape">
                    <wps:wsp>
                      <wps:cNvPr id="242" name="Graphic 242"/>
                      <wps:cNvSpPr/>
                      <wps:spPr>
                        <a:xfrm>
                          <a:off x="0" y="0"/>
                          <a:ext cx="3932554" cy="1270"/>
                        </a:xfrm>
                        <a:custGeom>
                          <a:avLst/>
                          <a:gdLst/>
                          <a:ahLst/>
                          <a:cxnLst/>
                          <a:rect l="l" t="t" r="r" b="b"/>
                          <a:pathLst>
                            <a:path w="3932554" h="0">
                              <a:moveTo>
                                <a:pt x="0" y="0"/>
                              </a:moveTo>
                              <a:lnTo>
                                <a:pt x="3932156"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154" style="position:absolute;margin-left:267.310486pt;margin-top:4.374756pt;width:309.650pt;height:.1pt;mso-position-horizontal-relative:page;mso-position-vertical-relative:paragraph;z-index:-15680512;mso-wrap-distance-left:0;mso-wrap-distance-right:0" coordsize="6193,0" coordorigin="5346,87" filled="false" stroked="true" strokecolor="#000000" strokeweight=".720821pt" path="m5346,87l11539,87e">
                <v:path arrowok="t"/>
                <v:stroke dashstyle="solid"/>
                <w10:wrap type="topAndBottom"/>
              </v:shape>
            </w:pict>
          </ve:Fallback>
        </ve:AlternateContent>
      </w:r>
    </w:p>
    <w:p>
      <w:pPr>
        <w:spacing w:after="0"/>
        <w:rPr>
          <w:sz w:val="5"/>
        </w:rPr>
        <w:sectPr>
          <w:headerReference w:type="even" r:id="rId137"/>
          <w:pgSz w:w="11910" w:h="16830"/>
          <w:pgMar w:top="1100" w:right="100" w:bottom="880" w:left="20" w:header="0" w:footer="0"/>
        </w:sectPr>
      </w:pPr>
    </w:p>
    <w:p>
      <w:pPr>
        <w:pStyle w:val="BodyText"/>
        <w:rPr>
          <w:b/>
          <w:sz w:val="25"/>
        </w:rPr>
      </w:pPr>
    </w:p>
    <w:p>
      <w:pPr>
        <w:pStyle w:val="BodyText"/>
        <w:rPr>
          <w:b/>
          <w:sz w:val="25"/>
        </w:rPr>
      </w:pPr>
    </w:p>
    <w:p>
      <w:pPr>
        <w:pStyle w:val="BodyText"/>
        <w:rPr>
          <w:b/>
          <w:sz w:val="25"/>
        </w:rPr>
      </w:pPr>
    </w:p>
    <w:p>
      <w:pPr>
        <w:pStyle w:val="BodyText"/>
        <w:rPr>
          <w:b/>
          <w:sz w:val="25"/>
        </w:rPr>
      </w:pPr>
    </w:p>
    <w:p>
      <w:pPr>
        <w:pStyle w:val="BodyText"/>
        <w:rPr>
          <w:b/>
          <w:sz w:val="25"/>
        </w:rPr>
      </w:pPr>
    </w:p>
    <w:p>
      <w:pPr>
        <w:pStyle w:val="BodyText"/>
        <w:rPr>
          <w:b/>
          <w:sz w:val="25"/>
        </w:rPr>
      </w:pPr>
    </w:p>
    <w:p>
      <w:pPr>
        <w:pStyle w:val="BodyText"/>
        <w:rPr>
          <w:b/>
          <w:sz w:val="25"/>
        </w:rPr>
      </w:pPr>
    </w:p>
    <w:p>
      <w:pPr>
        <w:pStyle w:val="BodyText"/>
        <w:rPr>
          <w:b/>
          <w:sz w:val="25"/>
        </w:rPr>
      </w:pPr>
    </w:p>
    <w:p>
      <w:pPr>
        <w:pStyle w:val="BodyText"/>
        <w:rPr>
          <w:b/>
          <w:sz w:val="25"/>
        </w:rPr>
      </w:pPr>
    </w:p>
    <w:p>
      <w:pPr>
        <w:pStyle w:val="BodyText"/>
        <w:rPr>
          <w:b/>
          <w:sz w:val="25"/>
        </w:rPr>
      </w:pPr>
    </w:p>
    <w:p>
      <w:pPr>
        <w:pStyle w:val="BodyText"/>
        <w:rPr>
          <w:b/>
          <w:sz w:val="25"/>
        </w:rPr>
      </w:pPr>
    </w:p>
    <w:p>
      <w:pPr>
        <w:pStyle w:val="BodyText"/>
        <w:rPr>
          <w:b/>
          <w:sz w:val="25"/>
        </w:rPr>
      </w:pPr>
    </w:p>
    <w:p>
      <w:pPr>
        <w:pStyle w:val="BodyText"/>
        <w:spacing w:before="119"/>
        <w:rPr>
          <w:b/>
          <w:sz w:val="25"/>
        </w:rPr>
      </w:pPr>
    </w:p>
    <w:p>
      <w:pPr>
        <w:spacing w:before="0" w:after="7"/>
        <w:ind w:left="2865" w:right="693" w:firstLine="0"/>
        <w:jc w:val="center"/>
        <w:rPr>
          <w:sz w:val="25"/>
        </w:rPr>
      </w:pPr>
      <w:r>
        <w:rPr/>
        <ve:AlternateContent>
          <ve:Choice Requires="wps">
            <w:drawing>
              <wp:anchor distT="0" distB="0" distL="0" distR="0" simplePos="0" relativeHeight="15781376" behindDoc="0" locked="0" layoutInCell="1" allowOverlap="1">
                <wp:simplePos x="0" y="0"/>
                <wp:positionH relativeFrom="page">
                  <wp:posOffset>1108789</wp:posOffset>
                </wp:positionH>
                <wp:positionV relativeFrom="paragraph">
                  <wp:posOffset>-2119811</wp:posOffset>
                </wp:positionV>
                <wp:extent cx="6228080" cy="309372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6228080" cy="3093720"/>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622"/>
                              <w:gridCol w:w="1539"/>
                              <w:gridCol w:w="62"/>
                              <w:gridCol w:w="1624"/>
                              <w:gridCol w:w="1399"/>
                              <w:gridCol w:w="1440"/>
                            </w:tblGrid>
                            <w:tr>
                              <w:trPr>
                                <w:trHeight w:val="401" w:hRule="atLeast"/>
                              </w:trPr>
                              <w:tc>
                                <w:tcPr>
                                  <w:tcW w:w="5223" w:type="dxa"/>
                                  <w:gridSpan w:val="3"/>
                                </w:tcPr>
                                <w:p>
                                  <w:pPr>
                                    <w:pStyle w:val="TableParagraph"/>
                                    <w:rPr>
                                      <w:rFonts w:ascii="Times New Roman"/>
                                      <w:sz w:val="20"/>
                                    </w:rPr>
                                  </w:pPr>
                                </w:p>
                              </w:tc>
                              <w:tc>
                                <w:tcPr>
                                  <w:tcW w:w="1624" w:type="dxa"/>
                                </w:tcPr>
                                <w:p>
                                  <w:pPr>
                                    <w:pStyle w:val="TableParagraph"/>
                                    <w:spacing w:line="235" w:lineRule="exact"/>
                                    <w:ind w:left="331"/>
                                    <w:rPr>
                                      <w:b/>
                                      <w:sz w:val="21"/>
                                    </w:rPr>
                                  </w:pPr>
                                  <w:r>
                                    <w:rPr>
                                      <w:b/>
                                      <w:color w:val="050505"/>
                                      <w:sz w:val="21"/>
                                    </w:rPr>
                                    <w:t>2022-</w:t>
                                  </w:r>
                                  <w:r>
                                    <w:rPr>
                                      <w:b/>
                                      <w:color w:val="050505"/>
                                      <w:spacing w:val="-5"/>
                                      <w:sz w:val="21"/>
                                    </w:rPr>
                                    <w:t>23</w:t>
                                  </w:r>
                                </w:p>
                              </w:tc>
                              <w:tc>
                                <w:tcPr>
                                  <w:tcW w:w="1399" w:type="dxa"/>
                                </w:tcPr>
                                <w:p>
                                  <w:pPr>
                                    <w:pStyle w:val="TableParagraph"/>
                                    <w:rPr>
                                      <w:rFonts w:ascii="Times New Roman"/>
                                      <w:sz w:val="20"/>
                                    </w:rPr>
                                  </w:pPr>
                                </w:p>
                              </w:tc>
                              <w:tc>
                                <w:tcPr>
                                  <w:tcW w:w="1440" w:type="dxa"/>
                                  <w:vMerge w:val="restart"/>
                                </w:tcPr>
                                <w:p>
                                  <w:pPr>
                                    <w:pStyle w:val="TableParagraph"/>
                                    <w:rPr>
                                      <w:rFonts w:ascii="Times New Roman"/>
                                      <w:sz w:val="20"/>
                                    </w:rPr>
                                  </w:pPr>
                                </w:p>
                              </w:tc>
                            </w:tr>
                            <w:tr>
                              <w:trPr>
                                <w:trHeight w:val="421" w:hRule="atLeast"/>
                              </w:trPr>
                              <w:tc>
                                <w:tcPr>
                                  <w:tcW w:w="3622" w:type="dxa"/>
                                </w:tcPr>
                                <w:p>
                                  <w:pPr>
                                    <w:pStyle w:val="TableParagraph"/>
                                    <w:spacing w:before="159" w:line="242" w:lineRule="exact"/>
                                    <w:ind w:left="59"/>
                                    <w:rPr>
                                      <w:sz w:val="22"/>
                                    </w:rPr>
                                  </w:pPr>
                                  <w:r>
                                    <w:rPr>
                                      <w:b/>
                                      <w:color w:val="050505"/>
                                      <w:w w:val="105"/>
                                      <w:sz w:val="21"/>
                                    </w:rPr>
                                    <w:t>Adjustments</w:t>
                                  </w:r>
                                  <w:r>
                                    <w:rPr>
                                      <w:b/>
                                      <w:color w:val="050505"/>
                                      <w:spacing w:val="6"/>
                                      <w:w w:val="105"/>
                                      <w:sz w:val="21"/>
                                    </w:rPr>
                                    <w:t> </w:t>
                                  </w:r>
                                  <w:r>
                                    <w:rPr>
                                      <w:b/>
                                      <w:color w:val="050505"/>
                                      <w:w w:val="105"/>
                                      <w:sz w:val="21"/>
                                    </w:rPr>
                                    <w:t>to</w:t>
                                  </w:r>
                                  <w:r>
                                    <w:rPr>
                                      <w:b/>
                                      <w:color w:val="050505"/>
                                      <w:spacing w:val="-14"/>
                                      <w:w w:val="105"/>
                                      <w:sz w:val="21"/>
                                    </w:rPr>
                                    <w:t> </w:t>
                                  </w:r>
                                  <w:r>
                                    <w:rPr>
                                      <w:b/>
                                      <w:color w:val="050505"/>
                                      <w:w w:val="105"/>
                                      <w:sz w:val="21"/>
                                    </w:rPr>
                                    <w:t>General</w:t>
                                  </w:r>
                                  <w:r>
                                    <w:rPr>
                                      <w:b/>
                                      <w:color w:val="050505"/>
                                      <w:spacing w:val="-6"/>
                                      <w:w w:val="105"/>
                                      <w:sz w:val="21"/>
                                    </w:rPr>
                                    <w:t> </w:t>
                                  </w:r>
                                  <w:r>
                                    <w:rPr>
                                      <w:color w:val="050505"/>
                                      <w:w w:val="105"/>
                                      <w:sz w:val="22"/>
                                    </w:rPr>
                                    <w:t>Fund</w:t>
                                  </w:r>
                                  <w:r>
                                    <w:rPr>
                                      <w:color w:val="050505"/>
                                      <w:spacing w:val="-14"/>
                                      <w:w w:val="105"/>
                                      <w:sz w:val="22"/>
                                    </w:rPr>
                                    <w:t> </w:t>
                                  </w:r>
                                  <w:r>
                                    <w:rPr>
                                      <w:color w:val="050505"/>
                                      <w:spacing w:val="-5"/>
                                      <w:w w:val="105"/>
                                      <w:sz w:val="22"/>
                                    </w:rPr>
                                    <w:t>to</w:t>
                                  </w:r>
                                </w:p>
                              </w:tc>
                              <w:tc>
                                <w:tcPr>
                                  <w:tcW w:w="1539" w:type="dxa"/>
                                </w:tcPr>
                                <w:p>
                                  <w:pPr>
                                    <w:pStyle w:val="TableParagraph"/>
                                    <w:rPr>
                                      <w:rFonts w:ascii="Times New Roman"/>
                                      <w:sz w:val="20"/>
                                    </w:rPr>
                                  </w:pPr>
                                </w:p>
                              </w:tc>
                              <w:tc>
                                <w:tcPr>
                                  <w:tcW w:w="62" w:type="dxa"/>
                                </w:tcPr>
                                <w:p>
                                  <w:pPr>
                                    <w:pStyle w:val="TableParagraph"/>
                                    <w:rPr>
                                      <w:rFonts w:ascii="Times New Roman"/>
                                      <w:sz w:val="20"/>
                                    </w:rPr>
                                  </w:pPr>
                                </w:p>
                              </w:tc>
                              <w:tc>
                                <w:tcPr>
                                  <w:tcW w:w="1624" w:type="dxa"/>
                                </w:tcPr>
                                <w:p>
                                  <w:pPr>
                                    <w:pStyle w:val="TableParagraph"/>
                                    <w:rPr>
                                      <w:rFonts w:ascii="Times New Roman"/>
                                      <w:sz w:val="20"/>
                                    </w:rPr>
                                  </w:pPr>
                                </w:p>
                              </w:tc>
                              <w:tc>
                                <w:tcPr>
                                  <w:tcW w:w="1399" w:type="dxa"/>
                                </w:tcPr>
                                <w:p>
                                  <w:pPr>
                                    <w:pStyle w:val="TableParagraph"/>
                                    <w:rPr>
                                      <w:rFonts w:ascii="Times New Roman"/>
                                      <w:sz w:val="20"/>
                                    </w:rPr>
                                  </w:pPr>
                                </w:p>
                              </w:tc>
                              <w:tc>
                                <w:tcPr>
                                  <w:tcW w:w="1440" w:type="dxa"/>
                                  <w:vMerge/>
                                  <w:tcBorders>
                                    <w:top w:val="nil"/>
                                  </w:tcBorders>
                                </w:tcPr>
                                <w:p>
                                  <w:pPr>
                                    <w:rPr>
                                      <w:sz w:val="2"/>
                                      <w:szCs w:val="2"/>
                                    </w:rPr>
                                  </w:pPr>
                                </w:p>
                              </w:tc>
                            </w:tr>
                            <w:tr>
                              <w:trPr>
                                <w:trHeight w:val="253" w:hRule="atLeast"/>
                              </w:trPr>
                              <w:tc>
                                <w:tcPr>
                                  <w:tcW w:w="3622" w:type="dxa"/>
                                </w:tcPr>
                                <w:p>
                                  <w:pPr>
                                    <w:pStyle w:val="TableParagraph"/>
                                    <w:spacing w:before="2" w:line="231" w:lineRule="exact"/>
                                    <w:ind w:left="56"/>
                                    <w:rPr>
                                      <w:b/>
                                      <w:sz w:val="21"/>
                                    </w:rPr>
                                  </w:pPr>
                                  <w:r>
                                    <w:rPr>
                                      <w:b/>
                                      <w:color w:val="050505"/>
                                      <w:w w:val="105"/>
                                      <w:sz w:val="21"/>
                                    </w:rPr>
                                    <w:t>add</w:t>
                                  </w:r>
                                  <w:r>
                                    <w:rPr>
                                      <w:b/>
                                      <w:color w:val="050505"/>
                                      <w:spacing w:val="-11"/>
                                      <w:w w:val="105"/>
                                      <w:sz w:val="21"/>
                                    </w:rPr>
                                    <w:t> </w:t>
                                  </w:r>
                                  <w:r>
                                    <w:rPr>
                                      <w:b/>
                                      <w:color w:val="050505"/>
                                      <w:w w:val="105"/>
                                      <w:sz w:val="21"/>
                                    </w:rPr>
                                    <w:t>expenditure</w:t>
                                  </w:r>
                                  <w:r>
                                    <w:rPr>
                                      <w:b/>
                                      <w:color w:val="050505"/>
                                      <w:spacing w:val="1"/>
                                      <w:w w:val="105"/>
                                      <w:sz w:val="21"/>
                                    </w:rPr>
                                    <w:t> </w:t>
                                  </w:r>
                                  <w:r>
                                    <w:rPr>
                                      <w:b/>
                                      <w:color w:val="050505"/>
                                      <w:w w:val="105"/>
                                      <w:sz w:val="21"/>
                                    </w:rPr>
                                    <w:t>or</w:t>
                                  </w:r>
                                  <w:r>
                                    <w:rPr>
                                      <w:b/>
                                      <w:color w:val="050505"/>
                                      <w:spacing w:val="-15"/>
                                      <w:w w:val="105"/>
                                      <w:sz w:val="21"/>
                                    </w:rPr>
                                    <w:t> </w:t>
                                  </w:r>
                                  <w:r>
                                    <w:rPr>
                                      <w:b/>
                                      <w:color w:val="262626"/>
                                      <w:w w:val="105"/>
                                      <w:sz w:val="21"/>
                                    </w:rPr>
                                    <w:t>income</w:t>
                                  </w:r>
                                  <w:r>
                                    <w:rPr>
                                      <w:b/>
                                      <w:color w:val="262626"/>
                                      <w:spacing w:val="-5"/>
                                      <w:w w:val="105"/>
                                      <w:sz w:val="21"/>
                                    </w:rPr>
                                    <w:t> </w:t>
                                  </w:r>
                                  <w:r>
                                    <w:rPr>
                                      <w:b/>
                                      <w:color w:val="050505"/>
                                      <w:spacing w:val="-5"/>
                                      <w:w w:val="105"/>
                                      <w:sz w:val="21"/>
                                    </w:rPr>
                                    <w:t>not</w:t>
                                  </w:r>
                                </w:p>
                              </w:tc>
                              <w:tc>
                                <w:tcPr>
                                  <w:tcW w:w="1539" w:type="dxa"/>
                                </w:tcPr>
                                <w:p>
                                  <w:pPr>
                                    <w:pStyle w:val="TableParagraph"/>
                                    <w:spacing w:before="7" w:line="227" w:lineRule="exact"/>
                                    <w:ind w:right="95"/>
                                    <w:jc w:val="right"/>
                                    <w:rPr>
                                      <w:b/>
                                      <w:sz w:val="21"/>
                                    </w:rPr>
                                  </w:pPr>
                                  <w:r>
                                    <w:rPr>
                                      <w:b/>
                                      <w:color w:val="050505"/>
                                      <w:spacing w:val="-2"/>
                                      <w:w w:val="105"/>
                                      <w:sz w:val="21"/>
                                    </w:rPr>
                                    <w:t>Adjustments</w:t>
                                  </w:r>
                                </w:p>
                              </w:tc>
                              <w:tc>
                                <w:tcPr>
                                  <w:tcW w:w="62" w:type="dxa"/>
                                </w:tcPr>
                                <w:p>
                                  <w:pPr>
                                    <w:pStyle w:val="TableParagraph"/>
                                    <w:rPr>
                                      <w:rFonts w:ascii="Times New Roman"/>
                                      <w:sz w:val="18"/>
                                    </w:rPr>
                                  </w:pPr>
                                </w:p>
                              </w:tc>
                              <w:tc>
                                <w:tcPr>
                                  <w:tcW w:w="1624" w:type="dxa"/>
                                </w:tcPr>
                                <w:p>
                                  <w:pPr>
                                    <w:pStyle w:val="TableParagraph"/>
                                    <w:spacing w:before="7" w:line="227" w:lineRule="exact"/>
                                    <w:ind w:left="138"/>
                                    <w:rPr>
                                      <w:b/>
                                      <w:sz w:val="21"/>
                                    </w:rPr>
                                  </w:pPr>
                                  <w:r>
                                    <w:rPr>
                                      <w:b/>
                                      <w:color w:val="050505"/>
                                      <w:w w:val="105"/>
                                      <w:sz w:val="21"/>
                                    </w:rPr>
                                    <w:t>Net</w:t>
                                  </w:r>
                                  <w:r>
                                    <w:rPr>
                                      <w:b/>
                                      <w:color w:val="050505"/>
                                      <w:spacing w:val="-3"/>
                                      <w:w w:val="105"/>
                                      <w:sz w:val="21"/>
                                    </w:rPr>
                                    <w:t> </w:t>
                                  </w:r>
                                  <w:r>
                                    <w:rPr>
                                      <w:b/>
                                      <w:color w:val="050505"/>
                                      <w:spacing w:val="-2"/>
                                      <w:w w:val="105"/>
                                      <w:sz w:val="21"/>
                                    </w:rPr>
                                    <w:t>change</w:t>
                                  </w:r>
                                </w:p>
                              </w:tc>
                              <w:tc>
                                <w:tcPr>
                                  <w:tcW w:w="1399" w:type="dxa"/>
                                </w:tcPr>
                                <w:p>
                                  <w:pPr>
                                    <w:pStyle w:val="TableParagraph"/>
                                    <w:rPr>
                                      <w:rFonts w:ascii="Times New Roman"/>
                                      <w:sz w:val="18"/>
                                    </w:rPr>
                                  </w:pPr>
                                </w:p>
                              </w:tc>
                              <w:tc>
                                <w:tcPr>
                                  <w:tcW w:w="1440" w:type="dxa"/>
                                  <w:vMerge/>
                                  <w:tcBorders>
                                    <w:top w:val="nil"/>
                                  </w:tcBorders>
                                </w:tcPr>
                                <w:p>
                                  <w:pPr>
                                    <w:rPr>
                                      <w:sz w:val="2"/>
                                      <w:szCs w:val="2"/>
                                    </w:rPr>
                                  </w:pPr>
                                </w:p>
                              </w:tc>
                            </w:tr>
                            <w:tr>
                              <w:trPr>
                                <w:trHeight w:val="252" w:hRule="atLeast"/>
                              </w:trPr>
                              <w:tc>
                                <w:tcPr>
                                  <w:tcW w:w="3622" w:type="dxa"/>
                                </w:tcPr>
                                <w:p>
                                  <w:pPr>
                                    <w:pStyle w:val="TableParagraph"/>
                                    <w:spacing w:line="232" w:lineRule="exact"/>
                                    <w:ind w:left="60"/>
                                    <w:rPr>
                                      <w:b/>
                                      <w:sz w:val="21"/>
                                    </w:rPr>
                                  </w:pPr>
                                  <w:r>
                                    <w:rPr>
                                      <w:b/>
                                      <w:color w:val="050505"/>
                                      <w:w w:val="105"/>
                                      <w:sz w:val="21"/>
                                    </w:rPr>
                                    <w:t>chargeable</w:t>
                                  </w:r>
                                  <w:r>
                                    <w:rPr>
                                      <w:b/>
                                      <w:color w:val="050505"/>
                                      <w:spacing w:val="-15"/>
                                      <w:w w:val="105"/>
                                      <w:sz w:val="21"/>
                                    </w:rPr>
                                    <w:t> </w:t>
                                  </w:r>
                                  <w:r>
                                    <w:rPr>
                                      <w:b/>
                                      <w:color w:val="050505"/>
                                      <w:w w:val="105"/>
                                      <w:sz w:val="21"/>
                                    </w:rPr>
                                    <w:t>to</w:t>
                                  </w:r>
                                  <w:r>
                                    <w:rPr>
                                      <w:b/>
                                      <w:color w:val="050505"/>
                                      <w:spacing w:val="-15"/>
                                      <w:w w:val="105"/>
                                      <w:sz w:val="21"/>
                                    </w:rPr>
                                    <w:t> </w:t>
                                  </w:r>
                                  <w:r>
                                    <w:rPr>
                                      <w:b/>
                                      <w:color w:val="050505"/>
                                      <w:w w:val="105"/>
                                      <w:sz w:val="21"/>
                                    </w:rPr>
                                    <w:t>taxation</w:t>
                                  </w:r>
                                  <w:r>
                                    <w:rPr>
                                      <w:b/>
                                      <w:color w:val="050505"/>
                                      <w:spacing w:val="-7"/>
                                      <w:w w:val="105"/>
                                      <w:sz w:val="21"/>
                                    </w:rPr>
                                    <w:t> </w:t>
                                  </w:r>
                                  <w:r>
                                    <w:rPr>
                                      <w:b/>
                                      <w:color w:val="050505"/>
                                      <w:spacing w:val="-5"/>
                                      <w:w w:val="105"/>
                                      <w:sz w:val="21"/>
                                    </w:rPr>
                                    <w:t>and</w:t>
                                  </w:r>
                                </w:p>
                              </w:tc>
                              <w:tc>
                                <w:tcPr>
                                  <w:tcW w:w="1539" w:type="dxa"/>
                                </w:tcPr>
                                <w:p>
                                  <w:pPr>
                                    <w:pStyle w:val="TableParagraph"/>
                                    <w:spacing w:before="3" w:line="229" w:lineRule="exact"/>
                                    <w:ind w:left="266"/>
                                    <w:rPr>
                                      <w:b/>
                                      <w:sz w:val="21"/>
                                    </w:rPr>
                                  </w:pPr>
                                  <w:r>
                                    <w:rPr>
                                      <w:b/>
                                      <w:color w:val="050505"/>
                                      <w:w w:val="105"/>
                                      <w:sz w:val="21"/>
                                    </w:rPr>
                                    <w:t>for</w:t>
                                  </w:r>
                                  <w:r>
                                    <w:rPr>
                                      <w:b/>
                                      <w:color w:val="050505"/>
                                      <w:spacing w:val="1"/>
                                      <w:w w:val="105"/>
                                      <w:sz w:val="21"/>
                                    </w:rPr>
                                    <w:t> </w:t>
                                  </w:r>
                                  <w:r>
                                    <w:rPr>
                                      <w:b/>
                                      <w:color w:val="050505"/>
                                      <w:spacing w:val="-2"/>
                                      <w:w w:val="105"/>
                                      <w:sz w:val="21"/>
                                    </w:rPr>
                                    <w:t>capital</w:t>
                                  </w:r>
                                </w:p>
                              </w:tc>
                              <w:tc>
                                <w:tcPr>
                                  <w:tcW w:w="62" w:type="dxa"/>
                                </w:tcPr>
                                <w:p>
                                  <w:pPr>
                                    <w:pStyle w:val="TableParagraph"/>
                                    <w:rPr>
                                      <w:rFonts w:ascii="Times New Roman"/>
                                      <w:sz w:val="18"/>
                                    </w:rPr>
                                  </w:pPr>
                                </w:p>
                              </w:tc>
                              <w:tc>
                                <w:tcPr>
                                  <w:tcW w:w="1624" w:type="dxa"/>
                                </w:tcPr>
                                <w:p>
                                  <w:pPr>
                                    <w:pStyle w:val="TableParagraph"/>
                                    <w:spacing w:before="3" w:line="229" w:lineRule="exact"/>
                                    <w:ind w:left="74"/>
                                    <w:rPr>
                                      <w:b/>
                                      <w:sz w:val="21"/>
                                    </w:rPr>
                                  </w:pPr>
                                  <w:r>
                                    <w:rPr>
                                      <w:b/>
                                      <w:color w:val="050505"/>
                                      <w:w w:val="105"/>
                                      <w:sz w:val="21"/>
                                    </w:rPr>
                                    <w:t>for</w:t>
                                  </w:r>
                                  <w:r>
                                    <w:rPr>
                                      <w:b/>
                                      <w:color w:val="050505"/>
                                      <w:spacing w:val="-5"/>
                                      <w:w w:val="105"/>
                                      <w:sz w:val="21"/>
                                    </w:rPr>
                                    <w:t> </w:t>
                                  </w:r>
                                  <w:r>
                                    <w:rPr>
                                      <w:b/>
                                      <w:color w:val="050505"/>
                                      <w:spacing w:val="-2"/>
                                      <w:w w:val="105"/>
                                      <w:sz w:val="21"/>
                                    </w:rPr>
                                    <w:t>pensions</w:t>
                                  </w:r>
                                </w:p>
                              </w:tc>
                              <w:tc>
                                <w:tcPr>
                                  <w:tcW w:w="1399" w:type="dxa"/>
                                </w:tcPr>
                                <w:p>
                                  <w:pPr>
                                    <w:pStyle w:val="TableParagraph"/>
                                    <w:spacing w:before="3" w:line="229" w:lineRule="exact"/>
                                    <w:ind w:left="342"/>
                                    <w:rPr>
                                      <w:b/>
                                      <w:sz w:val="21"/>
                                    </w:rPr>
                                  </w:pPr>
                                  <w:r>
                                    <w:rPr>
                                      <w:b/>
                                      <w:color w:val="050505"/>
                                      <w:spacing w:val="-2"/>
                                      <w:w w:val="105"/>
                                      <w:sz w:val="21"/>
                                    </w:rPr>
                                    <w:t>Other</w:t>
                                  </w:r>
                                </w:p>
                              </w:tc>
                              <w:tc>
                                <w:tcPr>
                                  <w:tcW w:w="1440" w:type="dxa"/>
                                  <w:vMerge/>
                                  <w:tcBorders>
                                    <w:top w:val="nil"/>
                                  </w:tcBorders>
                                </w:tcPr>
                                <w:p>
                                  <w:pPr>
                                    <w:rPr>
                                      <w:sz w:val="2"/>
                                      <w:szCs w:val="2"/>
                                    </w:rPr>
                                  </w:pPr>
                                </w:p>
                              </w:tc>
                            </w:tr>
                            <w:tr>
                              <w:trPr>
                                <w:trHeight w:val="254" w:hRule="atLeast"/>
                              </w:trPr>
                              <w:tc>
                                <w:tcPr>
                                  <w:tcW w:w="3622" w:type="dxa"/>
                                </w:tcPr>
                                <w:p>
                                  <w:pPr>
                                    <w:pStyle w:val="TableParagraph"/>
                                    <w:spacing w:before="1" w:line="234" w:lineRule="exact"/>
                                    <w:ind w:left="59"/>
                                    <w:rPr>
                                      <w:b/>
                                      <w:sz w:val="21"/>
                                    </w:rPr>
                                  </w:pPr>
                                  <w:r>
                                    <w:rPr>
                                      <w:b/>
                                      <w:color w:val="050505"/>
                                      <w:w w:val="105"/>
                                      <w:sz w:val="21"/>
                                    </w:rPr>
                                    <w:t>remove</w:t>
                                  </w:r>
                                  <w:r>
                                    <w:rPr>
                                      <w:b/>
                                      <w:color w:val="050505"/>
                                      <w:spacing w:val="-3"/>
                                      <w:w w:val="105"/>
                                      <w:sz w:val="21"/>
                                    </w:rPr>
                                    <w:t> </w:t>
                                  </w:r>
                                  <w:r>
                                    <w:rPr>
                                      <w:b/>
                                      <w:color w:val="050505"/>
                                      <w:w w:val="105"/>
                                      <w:sz w:val="21"/>
                                    </w:rPr>
                                    <w:t>items</w:t>
                                  </w:r>
                                  <w:r>
                                    <w:rPr>
                                      <w:b/>
                                      <w:color w:val="050505"/>
                                      <w:spacing w:val="-14"/>
                                      <w:w w:val="105"/>
                                      <w:sz w:val="21"/>
                                    </w:rPr>
                                    <w:t> </w:t>
                                  </w:r>
                                  <w:r>
                                    <w:rPr>
                                      <w:b/>
                                      <w:color w:val="050505"/>
                                      <w:w w:val="105"/>
                                      <w:sz w:val="21"/>
                                    </w:rPr>
                                    <w:t>which</w:t>
                                  </w:r>
                                  <w:r>
                                    <w:rPr>
                                      <w:b/>
                                      <w:color w:val="050505"/>
                                      <w:spacing w:val="-7"/>
                                      <w:w w:val="105"/>
                                      <w:sz w:val="21"/>
                                    </w:rPr>
                                    <w:t> </w:t>
                                  </w:r>
                                  <w:r>
                                    <w:rPr>
                                      <w:b/>
                                      <w:color w:val="050505"/>
                                      <w:w w:val="105"/>
                                      <w:sz w:val="21"/>
                                    </w:rPr>
                                    <w:t>are</w:t>
                                  </w:r>
                                  <w:r>
                                    <w:rPr>
                                      <w:b/>
                                      <w:color w:val="050505"/>
                                      <w:spacing w:val="-8"/>
                                      <w:w w:val="105"/>
                                      <w:sz w:val="21"/>
                                    </w:rPr>
                                    <w:t> </w:t>
                                  </w:r>
                                  <w:r>
                                    <w:rPr>
                                      <w:b/>
                                      <w:color w:val="050505"/>
                                      <w:spacing w:val="-4"/>
                                      <w:w w:val="105"/>
                                      <w:sz w:val="21"/>
                                    </w:rPr>
                                    <w:t>only</w:t>
                                  </w:r>
                                </w:p>
                              </w:tc>
                              <w:tc>
                                <w:tcPr>
                                  <w:tcW w:w="1539" w:type="dxa"/>
                                </w:tcPr>
                                <w:p>
                                  <w:pPr>
                                    <w:pStyle w:val="TableParagraph"/>
                                    <w:spacing w:before="5" w:line="229" w:lineRule="exact"/>
                                    <w:ind w:left="298"/>
                                    <w:rPr>
                                      <w:b/>
                                      <w:sz w:val="21"/>
                                    </w:rPr>
                                  </w:pPr>
                                  <w:r>
                                    <w:rPr>
                                      <w:b/>
                                      <w:color w:val="050505"/>
                                      <w:spacing w:val="-2"/>
                                      <w:w w:val="105"/>
                                      <w:sz w:val="21"/>
                                    </w:rPr>
                                    <w:t>purposes</w:t>
                                  </w:r>
                                </w:p>
                              </w:tc>
                              <w:tc>
                                <w:tcPr>
                                  <w:tcW w:w="62" w:type="dxa"/>
                                </w:tcPr>
                                <w:p>
                                  <w:pPr>
                                    <w:pStyle w:val="TableParagraph"/>
                                    <w:rPr>
                                      <w:rFonts w:ascii="Times New Roman"/>
                                      <w:sz w:val="18"/>
                                    </w:rPr>
                                  </w:pPr>
                                </w:p>
                              </w:tc>
                              <w:tc>
                                <w:tcPr>
                                  <w:tcW w:w="1624" w:type="dxa"/>
                                </w:tcPr>
                                <w:p>
                                  <w:pPr>
                                    <w:pStyle w:val="TableParagraph"/>
                                    <w:spacing w:before="5" w:line="229" w:lineRule="exact"/>
                                    <w:ind w:left="83"/>
                                    <w:rPr>
                                      <w:b/>
                                      <w:sz w:val="21"/>
                                    </w:rPr>
                                  </w:pPr>
                                  <w:r>
                                    <w:rPr>
                                      <w:b/>
                                      <w:color w:val="050505"/>
                                      <w:spacing w:val="-2"/>
                                      <w:w w:val="105"/>
                                      <w:sz w:val="21"/>
                                    </w:rPr>
                                    <w:t>adjustments</w:t>
                                  </w:r>
                                </w:p>
                              </w:tc>
                              <w:tc>
                                <w:tcPr>
                                  <w:tcW w:w="1399" w:type="dxa"/>
                                </w:tcPr>
                                <w:p>
                                  <w:pPr>
                                    <w:pStyle w:val="TableParagraph"/>
                                    <w:spacing w:before="5" w:line="229" w:lineRule="exact"/>
                                    <w:ind w:left="59"/>
                                    <w:rPr>
                                      <w:b/>
                                      <w:sz w:val="21"/>
                                    </w:rPr>
                                  </w:pPr>
                                  <w:r>
                                    <w:rPr>
                                      <w:b/>
                                      <w:color w:val="050505"/>
                                      <w:spacing w:val="-2"/>
                                      <w:w w:val="105"/>
                                      <w:sz w:val="21"/>
                                    </w:rPr>
                                    <w:t>differences</w:t>
                                  </w:r>
                                </w:p>
                              </w:tc>
                              <w:tc>
                                <w:tcPr>
                                  <w:tcW w:w="1440" w:type="dxa"/>
                                </w:tcPr>
                                <w:p>
                                  <w:pPr>
                                    <w:pStyle w:val="TableParagraph"/>
                                    <w:spacing w:before="5" w:line="229" w:lineRule="exact"/>
                                    <w:ind w:left="491"/>
                                    <w:rPr>
                                      <w:b/>
                                      <w:sz w:val="21"/>
                                    </w:rPr>
                                  </w:pPr>
                                  <w:r>
                                    <w:rPr>
                                      <w:b/>
                                      <w:color w:val="050505"/>
                                      <w:spacing w:val="-4"/>
                                      <w:w w:val="105"/>
                                      <w:sz w:val="21"/>
                                    </w:rPr>
                                    <w:t>Total</w:t>
                                  </w:r>
                                </w:p>
                              </w:tc>
                            </w:tr>
                            <w:tr>
                              <w:trPr>
                                <w:trHeight w:val="418" w:hRule="atLeast"/>
                              </w:trPr>
                              <w:tc>
                                <w:tcPr>
                                  <w:tcW w:w="3622" w:type="dxa"/>
                                </w:tcPr>
                                <w:p>
                                  <w:pPr>
                                    <w:pStyle w:val="TableParagraph"/>
                                    <w:spacing w:before="5"/>
                                    <w:ind w:left="50"/>
                                    <w:rPr>
                                      <w:b/>
                                      <w:sz w:val="21"/>
                                    </w:rPr>
                                  </w:pPr>
                                  <w:r>
                                    <w:rPr>
                                      <w:b/>
                                      <w:color w:val="050505"/>
                                      <w:w w:val="105"/>
                                      <w:sz w:val="21"/>
                                    </w:rPr>
                                    <w:t>chargeable</w:t>
                                  </w:r>
                                  <w:r>
                                    <w:rPr>
                                      <w:b/>
                                      <w:color w:val="050505"/>
                                      <w:spacing w:val="-10"/>
                                      <w:w w:val="105"/>
                                      <w:sz w:val="21"/>
                                    </w:rPr>
                                    <w:t> </w:t>
                                  </w:r>
                                  <w:r>
                                    <w:rPr>
                                      <w:b/>
                                      <w:color w:val="050505"/>
                                      <w:w w:val="105"/>
                                      <w:sz w:val="21"/>
                                    </w:rPr>
                                    <w:t>under</w:t>
                                  </w:r>
                                  <w:r>
                                    <w:rPr>
                                      <w:b/>
                                      <w:color w:val="050505"/>
                                      <w:spacing w:val="-8"/>
                                      <w:w w:val="105"/>
                                      <w:sz w:val="21"/>
                                    </w:rPr>
                                    <w:t> </w:t>
                                  </w:r>
                                  <w:r>
                                    <w:rPr>
                                      <w:b/>
                                      <w:color w:val="050505"/>
                                      <w:spacing w:val="-2"/>
                                      <w:w w:val="105"/>
                                      <w:sz w:val="21"/>
                                    </w:rPr>
                                    <w:t>statute</w:t>
                                  </w:r>
                                </w:p>
                              </w:tc>
                              <w:tc>
                                <w:tcPr>
                                  <w:tcW w:w="1539" w:type="dxa"/>
                                </w:tcPr>
                                <w:p>
                                  <w:pPr>
                                    <w:pStyle w:val="TableParagraph"/>
                                    <w:spacing w:before="1"/>
                                    <w:ind w:left="383"/>
                                    <w:rPr>
                                      <w:b/>
                                      <w:sz w:val="21"/>
                                    </w:rPr>
                                  </w:pPr>
                                  <w:r>
                                    <w:rPr>
                                      <w:b/>
                                      <w:color w:val="050505"/>
                                      <w:w w:val="105"/>
                                      <w:sz w:val="21"/>
                                    </w:rPr>
                                    <w:t>(Note</w:t>
                                  </w:r>
                                  <w:r>
                                    <w:rPr>
                                      <w:b/>
                                      <w:color w:val="050505"/>
                                      <w:spacing w:val="-5"/>
                                      <w:w w:val="105"/>
                                      <w:sz w:val="21"/>
                                    </w:rPr>
                                    <w:t> </w:t>
                                  </w:r>
                                  <w:r>
                                    <w:rPr>
                                      <w:b/>
                                      <w:color w:val="050505"/>
                                      <w:spacing w:val="-5"/>
                                      <w:w w:val="110"/>
                                      <w:sz w:val="21"/>
                                    </w:rPr>
                                    <w:t>1)</w:t>
                                  </w:r>
                                </w:p>
                              </w:tc>
                              <w:tc>
                                <w:tcPr>
                                  <w:tcW w:w="62" w:type="dxa"/>
                                </w:tcPr>
                                <w:p>
                                  <w:pPr>
                                    <w:pStyle w:val="TableParagraph"/>
                                    <w:rPr>
                                      <w:rFonts w:ascii="Times New Roman"/>
                                      <w:sz w:val="20"/>
                                    </w:rPr>
                                  </w:pPr>
                                </w:p>
                              </w:tc>
                              <w:tc>
                                <w:tcPr>
                                  <w:tcW w:w="1624" w:type="dxa"/>
                                </w:tcPr>
                                <w:p>
                                  <w:pPr>
                                    <w:pStyle w:val="TableParagraph"/>
                                    <w:spacing w:before="5"/>
                                    <w:ind w:left="325"/>
                                    <w:rPr>
                                      <w:b/>
                                      <w:sz w:val="21"/>
                                    </w:rPr>
                                  </w:pPr>
                                  <w:r>
                                    <w:rPr>
                                      <w:b/>
                                      <w:color w:val="050505"/>
                                      <w:w w:val="105"/>
                                      <w:sz w:val="21"/>
                                    </w:rPr>
                                    <w:t>(Note</w:t>
                                  </w:r>
                                  <w:r>
                                    <w:rPr>
                                      <w:b/>
                                      <w:color w:val="050505"/>
                                      <w:spacing w:val="6"/>
                                      <w:w w:val="105"/>
                                      <w:sz w:val="21"/>
                                    </w:rPr>
                                    <w:t> </w:t>
                                  </w:r>
                                  <w:r>
                                    <w:rPr>
                                      <w:b/>
                                      <w:color w:val="050505"/>
                                      <w:spacing w:val="-5"/>
                                      <w:w w:val="105"/>
                                      <w:sz w:val="21"/>
                                    </w:rPr>
                                    <w:t>2)</w:t>
                                  </w:r>
                                </w:p>
                              </w:tc>
                              <w:tc>
                                <w:tcPr>
                                  <w:tcW w:w="1399" w:type="dxa"/>
                                </w:tcPr>
                                <w:p>
                                  <w:pPr>
                                    <w:pStyle w:val="TableParagraph"/>
                                    <w:spacing w:before="1"/>
                                    <w:ind w:left="230"/>
                                    <w:rPr>
                                      <w:b/>
                                      <w:sz w:val="21"/>
                                    </w:rPr>
                                  </w:pPr>
                                  <w:r>
                                    <w:rPr>
                                      <w:b/>
                                      <w:color w:val="050505"/>
                                      <w:w w:val="105"/>
                                      <w:sz w:val="21"/>
                                    </w:rPr>
                                    <w:t>(Note</w:t>
                                  </w:r>
                                  <w:r>
                                    <w:rPr>
                                      <w:b/>
                                      <w:color w:val="050505"/>
                                      <w:spacing w:val="-1"/>
                                      <w:w w:val="105"/>
                                      <w:sz w:val="21"/>
                                    </w:rPr>
                                    <w:t> </w:t>
                                  </w:r>
                                  <w:r>
                                    <w:rPr>
                                      <w:b/>
                                      <w:color w:val="050505"/>
                                      <w:spacing w:val="-5"/>
                                      <w:w w:val="105"/>
                                      <w:sz w:val="21"/>
                                    </w:rPr>
                                    <w:t>3)</w:t>
                                  </w:r>
                                </w:p>
                              </w:tc>
                              <w:tc>
                                <w:tcPr>
                                  <w:tcW w:w="1440" w:type="dxa"/>
                                </w:tcPr>
                                <w:p>
                                  <w:pPr>
                                    <w:pStyle w:val="TableParagraph"/>
                                    <w:spacing w:before="1"/>
                                    <w:ind w:right="46"/>
                                    <w:jc w:val="right"/>
                                    <w:rPr>
                                      <w:b/>
                                      <w:sz w:val="21"/>
                                    </w:rPr>
                                  </w:pPr>
                                  <w:r>
                                    <w:rPr>
                                      <w:b/>
                                      <w:color w:val="050505"/>
                                      <w:spacing w:val="-2"/>
                                      <w:w w:val="105"/>
                                      <w:sz w:val="21"/>
                                    </w:rPr>
                                    <w:t>adjustments</w:t>
                                  </w:r>
                                </w:p>
                              </w:tc>
                            </w:tr>
                            <w:tr>
                              <w:trPr>
                                <w:trHeight w:val="586" w:hRule="atLeast"/>
                              </w:trPr>
                              <w:tc>
                                <w:tcPr>
                                  <w:tcW w:w="3622" w:type="dxa"/>
                                </w:tcPr>
                                <w:p>
                                  <w:pPr>
                                    <w:pStyle w:val="TableParagraph"/>
                                    <w:spacing w:before="164"/>
                                    <w:ind w:left="51"/>
                                    <w:rPr>
                                      <w:b/>
                                      <w:sz w:val="21"/>
                                    </w:rPr>
                                  </w:pPr>
                                  <w:r>
                                    <w:rPr>
                                      <w:b/>
                                      <w:color w:val="050505"/>
                                      <w:spacing w:val="-2"/>
                                      <w:w w:val="105"/>
                                      <w:sz w:val="21"/>
                                    </w:rPr>
                                    <w:t>SERVICE</w:t>
                                  </w:r>
                                </w:p>
                              </w:tc>
                              <w:tc>
                                <w:tcPr>
                                  <w:tcW w:w="1539" w:type="dxa"/>
                                </w:tcPr>
                                <w:p>
                                  <w:pPr>
                                    <w:pStyle w:val="TableParagraph"/>
                                    <w:rPr>
                                      <w:rFonts w:ascii="Times New Roman"/>
                                      <w:sz w:val="20"/>
                                    </w:rPr>
                                  </w:pPr>
                                </w:p>
                              </w:tc>
                              <w:tc>
                                <w:tcPr>
                                  <w:tcW w:w="62" w:type="dxa"/>
                                </w:tcPr>
                                <w:p>
                                  <w:pPr>
                                    <w:pStyle w:val="TableParagraph"/>
                                    <w:rPr>
                                      <w:rFonts w:ascii="Times New Roman"/>
                                      <w:sz w:val="20"/>
                                    </w:rPr>
                                  </w:pPr>
                                </w:p>
                              </w:tc>
                              <w:tc>
                                <w:tcPr>
                                  <w:tcW w:w="1624" w:type="dxa"/>
                                </w:tcPr>
                                <w:p>
                                  <w:pPr>
                                    <w:pStyle w:val="TableParagraph"/>
                                    <w:rPr>
                                      <w:rFonts w:ascii="Times New Roman"/>
                                      <w:sz w:val="20"/>
                                    </w:rPr>
                                  </w:pPr>
                                </w:p>
                              </w:tc>
                              <w:tc>
                                <w:tcPr>
                                  <w:tcW w:w="1399" w:type="dxa"/>
                                </w:tcPr>
                                <w:p>
                                  <w:pPr>
                                    <w:pStyle w:val="TableParagraph"/>
                                    <w:rPr>
                                      <w:rFonts w:ascii="Times New Roman"/>
                                      <w:sz w:val="20"/>
                                    </w:rPr>
                                  </w:pPr>
                                </w:p>
                              </w:tc>
                              <w:tc>
                                <w:tcPr>
                                  <w:tcW w:w="1440" w:type="dxa"/>
                                </w:tcPr>
                                <w:p>
                                  <w:pPr>
                                    <w:pStyle w:val="TableParagraph"/>
                                    <w:rPr>
                                      <w:rFonts w:ascii="Times New Roman"/>
                                      <w:sz w:val="20"/>
                                    </w:rPr>
                                  </w:pPr>
                                </w:p>
                              </w:tc>
                            </w:tr>
                            <w:tr>
                              <w:trPr>
                                <w:trHeight w:val="430" w:hRule="atLeast"/>
                              </w:trPr>
                              <w:tc>
                                <w:tcPr>
                                  <w:tcW w:w="3622" w:type="dxa"/>
                                </w:tcPr>
                                <w:p>
                                  <w:pPr>
                                    <w:pStyle w:val="TableParagraph"/>
                                    <w:spacing w:before="174" w:line="237" w:lineRule="exact"/>
                                    <w:ind w:left="50"/>
                                    <w:rPr>
                                      <w:sz w:val="22"/>
                                    </w:rPr>
                                  </w:pPr>
                                  <w:r>
                                    <w:rPr>
                                      <w:color w:val="050505"/>
                                      <w:sz w:val="22"/>
                                    </w:rPr>
                                    <w:t>Asset</w:t>
                                  </w:r>
                                  <w:r>
                                    <w:rPr>
                                      <w:color w:val="050505"/>
                                      <w:spacing w:val="-3"/>
                                      <w:sz w:val="22"/>
                                    </w:rPr>
                                    <w:t> </w:t>
                                  </w:r>
                                  <w:r>
                                    <w:rPr>
                                      <w:color w:val="050505"/>
                                      <w:spacing w:val="-2"/>
                                      <w:sz w:val="22"/>
                                    </w:rPr>
                                    <w:t>Management</w:t>
                                  </w:r>
                                </w:p>
                              </w:tc>
                              <w:tc>
                                <w:tcPr>
                                  <w:tcW w:w="1539" w:type="dxa"/>
                                  <w:tcBorders>
                                    <w:bottom w:val="single" w:color="000000" w:sz="6" w:space="0"/>
                                  </w:tcBorders>
                                </w:tcPr>
                                <w:p>
                                  <w:pPr>
                                    <w:pStyle w:val="TableParagraph"/>
                                    <w:spacing w:before="174" w:line="237" w:lineRule="exact"/>
                                    <w:ind w:right="145"/>
                                    <w:jc w:val="right"/>
                                    <w:rPr>
                                      <w:sz w:val="22"/>
                                    </w:rPr>
                                  </w:pPr>
                                  <w:r>
                                    <w:rPr>
                                      <w:color w:val="050505"/>
                                      <w:spacing w:val="-2"/>
                                      <w:sz w:val="22"/>
                                    </w:rPr>
                                    <w:t>5,003</w:t>
                                  </w:r>
                                </w:p>
                              </w:tc>
                              <w:tc>
                                <w:tcPr>
                                  <w:tcW w:w="62" w:type="dxa"/>
                                  <w:tcBorders>
                                    <w:bottom w:val="single" w:color="000000" w:sz="6" w:space="0"/>
                                  </w:tcBorders>
                                </w:tcPr>
                                <w:p>
                                  <w:pPr>
                                    <w:pStyle w:val="TableParagraph"/>
                                    <w:rPr>
                                      <w:rFonts w:ascii="Times New Roman"/>
                                      <w:sz w:val="20"/>
                                    </w:rPr>
                                  </w:pPr>
                                </w:p>
                              </w:tc>
                              <w:tc>
                                <w:tcPr>
                                  <w:tcW w:w="1624" w:type="dxa"/>
                                  <w:tcBorders>
                                    <w:bottom w:val="single" w:color="000000" w:sz="6" w:space="0"/>
                                  </w:tcBorders>
                                </w:tcPr>
                                <w:p>
                                  <w:pPr>
                                    <w:pStyle w:val="TableParagraph"/>
                                    <w:spacing w:before="178" w:line="232" w:lineRule="exact"/>
                                    <w:ind w:right="213"/>
                                    <w:jc w:val="right"/>
                                    <w:rPr>
                                      <w:sz w:val="22"/>
                                    </w:rPr>
                                  </w:pPr>
                                  <w:r>
                                    <w:rPr>
                                      <w:color w:val="050505"/>
                                      <w:spacing w:val="-5"/>
                                      <w:sz w:val="22"/>
                                    </w:rPr>
                                    <w:t>50</w:t>
                                  </w:r>
                                </w:p>
                              </w:tc>
                              <w:tc>
                                <w:tcPr>
                                  <w:tcW w:w="1399" w:type="dxa"/>
                                </w:tcPr>
                                <w:p>
                                  <w:pPr>
                                    <w:pStyle w:val="TableParagraph"/>
                                    <w:rPr>
                                      <w:rFonts w:ascii="Times New Roman"/>
                                      <w:sz w:val="20"/>
                                    </w:rPr>
                                  </w:pPr>
                                </w:p>
                              </w:tc>
                              <w:tc>
                                <w:tcPr>
                                  <w:tcW w:w="1440" w:type="dxa"/>
                                </w:tcPr>
                                <w:p>
                                  <w:pPr>
                                    <w:pStyle w:val="TableParagraph"/>
                                    <w:spacing w:before="192" w:line="218" w:lineRule="exact"/>
                                    <w:ind w:right="86"/>
                                    <w:jc w:val="right"/>
                                    <w:rPr>
                                      <w:b/>
                                      <w:sz w:val="21"/>
                                    </w:rPr>
                                  </w:pPr>
                                  <w:r>
                                    <w:rPr>
                                      <w:b/>
                                      <w:color w:val="050505"/>
                                      <w:spacing w:val="-4"/>
                                      <w:w w:val="105"/>
                                      <w:sz w:val="21"/>
                                    </w:rPr>
                                    <w:t>5,053</w:t>
                                  </w:r>
                                </w:p>
                              </w:tc>
                            </w:tr>
                            <w:tr>
                              <w:trPr>
                                <w:trHeight w:val="281" w:hRule="atLeast"/>
                              </w:trPr>
                              <w:tc>
                                <w:tcPr>
                                  <w:tcW w:w="3622" w:type="dxa"/>
                                </w:tcPr>
                                <w:p>
                                  <w:pPr>
                                    <w:pStyle w:val="TableParagraph"/>
                                    <w:spacing w:before="36" w:line="226" w:lineRule="exact"/>
                                    <w:ind w:left="54"/>
                                    <w:rPr>
                                      <w:sz w:val="22"/>
                                    </w:rPr>
                                  </w:pPr>
                                  <w:r>
                                    <w:rPr>
                                      <w:color w:val="050505"/>
                                      <w:sz w:val="22"/>
                                    </w:rPr>
                                    <w:t>Audit</w:t>
                                  </w:r>
                                  <w:r>
                                    <w:rPr>
                                      <w:color w:val="050505"/>
                                      <w:spacing w:val="1"/>
                                      <w:sz w:val="22"/>
                                    </w:rPr>
                                    <w:t> </w:t>
                                  </w:r>
                                  <w:r>
                                    <w:rPr>
                                      <w:color w:val="050505"/>
                                      <w:sz w:val="22"/>
                                    </w:rPr>
                                    <w:t>&amp;</w:t>
                                  </w:r>
                                  <w:r>
                                    <w:rPr>
                                      <w:color w:val="050505"/>
                                      <w:spacing w:val="-8"/>
                                      <w:sz w:val="22"/>
                                    </w:rPr>
                                    <w:t> </w:t>
                                  </w:r>
                                  <w:r>
                                    <w:rPr>
                                      <w:color w:val="050505"/>
                                      <w:spacing w:val="-2"/>
                                      <w:sz w:val="22"/>
                                    </w:rPr>
                                    <w:t>Assurance</w:t>
                                  </w:r>
                                </w:p>
                              </w:tc>
                              <w:tc>
                                <w:tcPr>
                                  <w:tcW w:w="1539" w:type="dxa"/>
                                  <w:tcBorders>
                                    <w:top w:val="single" w:color="000000" w:sz="6" w:space="0"/>
                                    <w:bottom w:val="single" w:color="000000" w:sz="6" w:space="0"/>
                                    <w:right w:val="single" w:color="000000" w:sz="6" w:space="0"/>
                                  </w:tcBorders>
                                </w:tcPr>
                                <w:p>
                                  <w:pPr>
                                    <w:pStyle w:val="TableParagraph"/>
                                    <w:rPr>
                                      <w:rFonts w:ascii="Times New Roman"/>
                                      <w:sz w:val="20"/>
                                    </w:rPr>
                                  </w:pPr>
                                </w:p>
                              </w:tc>
                              <w:tc>
                                <w:tcPr>
                                  <w:tcW w:w="62" w:type="dxa"/>
                                  <w:tcBorders>
                                    <w:top w:val="single" w:color="000000" w:sz="6" w:space="0"/>
                                    <w:left w:val="single" w:color="000000" w:sz="6" w:space="0"/>
                                    <w:bottom w:val="single" w:color="000000" w:sz="6" w:space="0"/>
                                    <w:right w:val="single" w:color="000000" w:sz="6" w:space="0"/>
                                  </w:tcBorders>
                                </w:tcPr>
                                <w:p>
                                  <w:pPr>
                                    <w:pStyle w:val="TableParagraph"/>
                                    <w:rPr>
                                      <w:rFonts w:ascii="Times New Roman"/>
                                      <w:sz w:val="20"/>
                                    </w:rPr>
                                  </w:pPr>
                                </w:p>
                              </w:tc>
                              <w:tc>
                                <w:tcPr>
                                  <w:tcW w:w="1624" w:type="dxa"/>
                                  <w:tcBorders>
                                    <w:top w:val="single" w:color="000000" w:sz="6" w:space="0"/>
                                    <w:left w:val="single" w:color="000000" w:sz="6" w:space="0"/>
                                    <w:bottom w:val="single" w:color="000000" w:sz="6" w:space="0"/>
                                  </w:tcBorders>
                                </w:tcPr>
                                <w:p>
                                  <w:pPr>
                                    <w:pStyle w:val="TableParagraph"/>
                                    <w:spacing w:before="77"/>
                                    <w:rPr>
                                      <w:b/>
                                      <w:sz w:val="10"/>
                                    </w:rPr>
                                  </w:pPr>
                                </w:p>
                                <w:p>
                                  <w:pPr>
                                    <w:pStyle w:val="TableParagraph"/>
                                    <w:spacing w:line="80" w:lineRule="exact"/>
                                    <w:ind w:right="82"/>
                                    <w:jc w:val="right"/>
                                    <w:rPr>
                                      <w:rFonts w:ascii="Times New Roman"/>
                                      <w:sz w:val="10"/>
                                    </w:rPr>
                                  </w:pPr>
                                  <w:r>
                                    <w:rPr>
                                      <w:rFonts w:ascii="Times New Roman"/>
                                      <w:color w:val="C3C3C3"/>
                                      <w:spacing w:val="-10"/>
                                      <w:w w:val="95"/>
                                      <w:sz w:val="10"/>
                                    </w:rPr>
                                    <w:t>I</w:t>
                                  </w:r>
                                </w:p>
                              </w:tc>
                              <w:tc>
                                <w:tcPr>
                                  <w:tcW w:w="1399" w:type="dxa"/>
                                </w:tcPr>
                                <w:p>
                                  <w:pPr>
                                    <w:pStyle w:val="TableParagraph"/>
                                    <w:rPr>
                                      <w:rFonts w:ascii="Times New Roman"/>
                                      <w:sz w:val="20"/>
                                    </w:rPr>
                                  </w:pPr>
                                </w:p>
                              </w:tc>
                              <w:tc>
                                <w:tcPr>
                                  <w:tcW w:w="1440" w:type="dxa"/>
                                </w:tcPr>
                                <w:p>
                                  <w:pPr>
                                    <w:pStyle w:val="TableParagraph"/>
                                    <w:rPr>
                                      <w:rFonts w:ascii="Times New Roman"/>
                                      <w:sz w:val="20"/>
                                    </w:rPr>
                                  </w:pPr>
                                </w:p>
                              </w:tc>
                            </w:tr>
                            <w:tr>
                              <w:trPr>
                                <w:trHeight w:val="350" w:hRule="atLeast"/>
                              </w:trPr>
                              <w:tc>
                                <w:tcPr>
                                  <w:tcW w:w="3622" w:type="dxa"/>
                                </w:tcPr>
                                <w:p>
                                  <w:pPr>
                                    <w:pStyle w:val="TableParagraph"/>
                                    <w:spacing w:before="47"/>
                                    <w:ind w:left="51"/>
                                    <w:rPr>
                                      <w:sz w:val="22"/>
                                    </w:rPr>
                                  </w:pPr>
                                  <w:r>
                                    <w:rPr>
                                      <w:color w:val="050505"/>
                                      <w:spacing w:val="-2"/>
                                      <w:sz w:val="22"/>
                                    </w:rPr>
                                    <w:t>Executive</w:t>
                                  </w:r>
                                  <w:r>
                                    <w:rPr>
                                      <w:color w:val="050505"/>
                                      <w:spacing w:val="2"/>
                                      <w:sz w:val="22"/>
                                    </w:rPr>
                                    <w:t> </w:t>
                                  </w:r>
                                  <w:r>
                                    <w:rPr>
                                      <w:color w:val="050505"/>
                                      <w:spacing w:val="-2"/>
                                      <w:sz w:val="22"/>
                                    </w:rPr>
                                    <w:t>Directors</w:t>
                                  </w:r>
                                </w:p>
                              </w:tc>
                              <w:tc>
                                <w:tcPr>
                                  <w:tcW w:w="1539" w:type="dxa"/>
                                  <w:tcBorders>
                                    <w:top w:val="single" w:color="000000" w:sz="6" w:space="0"/>
                                  </w:tcBorders>
                                </w:tcPr>
                                <w:p>
                                  <w:pPr>
                                    <w:pStyle w:val="TableParagraph"/>
                                    <w:spacing w:line="286" w:lineRule="exact"/>
                                    <w:ind w:right="128"/>
                                    <w:jc w:val="right"/>
                                    <w:rPr>
                                      <w:sz w:val="25"/>
                                    </w:rPr>
                                  </w:pPr>
                                  <w:r>
                                    <w:rPr>
                                      <w:color w:val="050505"/>
                                      <w:spacing w:val="-10"/>
                                      <w:sz w:val="25"/>
                                    </w:rPr>
                                    <w:t>-</w:t>
                                  </w:r>
                                </w:p>
                              </w:tc>
                              <w:tc>
                                <w:tcPr>
                                  <w:tcW w:w="62" w:type="dxa"/>
                                  <w:tcBorders>
                                    <w:top w:val="single" w:color="000000" w:sz="6" w:space="0"/>
                                  </w:tcBorders>
                                </w:tcPr>
                                <w:p>
                                  <w:pPr>
                                    <w:pStyle w:val="TableParagraph"/>
                                    <w:rPr>
                                      <w:rFonts w:ascii="Times New Roman"/>
                                      <w:sz w:val="20"/>
                                    </w:rPr>
                                  </w:pPr>
                                </w:p>
                              </w:tc>
                              <w:tc>
                                <w:tcPr>
                                  <w:tcW w:w="1624" w:type="dxa"/>
                                  <w:tcBorders>
                                    <w:top w:val="single" w:color="000000" w:sz="6" w:space="0"/>
                                  </w:tcBorders>
                                </w:tcPr>
                                <w:p>
                                  <w:pPr>
                                    <w:pStyle w:val="TableParagraph"/>
                                    <w:spacing w:line="320" w:lineRule="exact"/>
                                    <w:ind w:right="71"/>
                                    <w:jc w:val="right"/>
                                    <w:rPr>
                                      <w:sz w:val="34"/>
                                    </w:rPr>
                                  </w:pPr>
                                  <w:r>
                                    <w:rPr>
                                      <w:color w:val="050505"/>
                                      <w:sz w:val="22"/>
                                    </w:rPr>
                                    <w:t>52</w:t>
                                  </w:r>
                                  <w:r>
                                    <w:rPr>
                                      <w:color w:val="050505"/>
                                      <w:spacing w:val="11"/>
                                      <w:sz w:val="22"/>
                                    </w:rPr>
                                    <w:t> </w:t>
                                  </w:r>
                                  <w:r>
                                    <w:rPr>
                                      <w:color w:val="C3C3C3"/>
                                      <w:spacing w:val="-10"/>
                                      <w:sz w:val="34"/>
                                    </w:rPr>
                                    <w:t>I</w:t>
                                  </w:r>
                                </w:p>
                              </w:tc>
                              <w:tc>
                                <w:tcPr>
                                  <w:tcW w:w="1399" w:type="dxa"/>
                                </w:tcPr>
                                <w:p>
                                  <w:pPr>
                                    <w:pStyle w:val="TableParagraph"/>
                                    <w:rPr>
                                      <w:rFonts w:ascii="Times New Roman"/>
                                      <w:sz w:val="20"/>
                                    </w:rPr>
                                  </w:pPr>
                                </w:p>
                              </w:tc>
                              <w:tc>
                                <w:tcPr>
                                  <w:tcW w:w="1440" w:type="dxa"/>
                                </w:tcPr>
                                <w:p>
                                  <w:pPr>
                                    <w:pStyle w:val="TableParagraph"/>
                                    <w:spacing w:before="71"/>
                                    <w:ind w:right="78"/>
                                    <w:jc w:val="right"/>
                                    <w:rPr>
                                      <w:b/>
                                      <w:sz w:val="21"/>
                                    </w:rPr>
                                  </w:pPr>
                                  <w:r>
                                    <w:rPr>
                                      <w:b/>
                                      <w:color w:val="050505"/>
                                      <w:spacing w:val="-5"/>
                                      <w:w w:val="105"/>
                                      <w:sz w:val="21"/>
                                    </w:rPr>
                                    <w:t>52</w:t>
                                  </w:r>
                                </w:p>
                              </w:tc>
                            </w:tr>
                            <w:tr>
                              <w:trPr>
                                <w:trHeight w:val="224" w:hRule="atLeast"/>
                              </w:trPr>
                              <w:tc>
                                <w:tcPr>
                                  <w:tcW w:w="3622" w:type="dxa"/>
                                </w:tcPr>
                                <w:p>
                                  <w:pPr>
                                    <w:pStyle w:val="TableParagraph"/>
                                    <w:spacing w:before="4" w:line="200" w:lineRule="exact"/>
                                    <w:ind w:left="51"/>
                                    <w:rPr>
                                      <w:sz w:val="22"/>
                                    </w:rPr>
                                  </w:pPr>
                                  <w:r>
                                    <w:rPr>
                                      <w:color w:val="050505"/>
                                      <w:sz w:val="22"/>
                                    </w:rPr>
                                    <w:t>Engineering</w:t>
                                  </w:r>
                                  <w:r>
                                    <w:rPr>
                                      <w:color w:val="050505"/>
                                      <w:spacing w:val="-10"/>
                                      <w:sz w:val="22"/>
                                    </w:rPr>
                                    <w:t> </w:t>
                                  </w:r>
                                  <w:r>
                                    <w:rPr>
                                      <w:color w:val="050505"/>
                                      <w:spacing w:val="-2"/>
                                      <w:sz w:val="22"/>
                                    </w:rPr>
                                    <w:t>Services</w:t>
                                  </w:r>
                                </w:p>
                              </w:tc>
                              <w:tc>
                                <w:tcPr>
                                  <w:tcW w:w="1539" w:type="dxa"/>
                                </w:tcPr>
                                <w:p>
                                  <w:pPr>
                                    <w:pStyle w:val="TableParagraph"/>
                                    <w:spacing w:before="4" w:line="200" w:lineRule="exact"/>
                                    <w:ind w:right="133"/>
                                    <w:jc w:val="right"/>
                                    <w:rPr>
                                      <w:sz w:val="22"/>
                                    </w:rPr>
                                  </w:pPr>
                                  <w:r>
                                    <w:rPr>
                                      <w:color w:val="050505"/>
                                      <w:spacing w:val="-10"/>
                                      <w:w w:val="105"/>
                                      <w:sz w:val="22"/>
                                    </w:rPr>
                                    <w:t>7</w:t>
                                  </w:r>
                                </w:p>
                              </w:tc>
                              <w:tc>
                                <w:tcPr>
                                  <w:tcW w:w="62" w:type="dxa"/>
                                </w:tcPr>
                                <w:p>
                                  <w:pPr>
                                    <w:pStyle w:val="TableParagraph"/>
                                    <w:rPr>
                                      <w:rFonts w:ascii="Times New Roman"/>
                                      <w:sz w:val="16"/>
                                    </w:rPr>
                                  </w:pPr>
                                </w:p>
                              </w:tc>
                              <w:tc>
                                <w:tcPr>
                                  <w:tcW w:w="1624" w:type="dxa"/>
                                </w:tcPr>
                                <w:p>
                                  <w:pPr>
                                    <w:pStyle w:val="TableParagraph"/>
                                    <w:spacing w:before="23" w:line="181" w:lineRule="exact"/>
                                    <w:ind w:right="68"/>
                                    <w:jc w:val="right"/>
                                    <w:rPr>
                                      <w:sz w:val="18"/>
                                    </w:rPr>
                                  </w:pPr>
                                  <w:r>
                                    <w:rPr>
                                      <w:color w:val="050505"/>
                                      <w:w w:val="90"/>
                                      <w:sz w:val="22"/>
                                    </w:rPr>
                                    <w:t>46</w:t>
                                  </w:r>
                                  <w:r>
                                    <w:rPr>
                                      <w:color w:val="050505"/>
                                      <w:spacing w:val="46"/>
                                      <w:sz w:val="22"/>
                                    </w:rPr>
                                    <w:t> </w:t>
                                  </w:r>
                                  <w:r>
                                    <w:rPr>
                                      <w:color w:val="C3C3C3"/>
                                      <w:spacing w:val="-10"/>
                                      <w:w w:val="90"/>
                                      <w:sz w:val="18"/>
                                    </w:rPr>
                                    <w:t>1</w:t>
                                  </w:r>
                                </w:p>
                              </w:tc>
                              <w:tc>
                                <w:tcPr>
                                  <w:tcW w:w="1399" w:type="dxa"/>
                                </w:tcPr>
                                <w:p>
                                  <w:pPr>
                                    <w:pStyle w:val="TableParagraph"/>
                                    <w:rPr>
                                      <w:rFonts w:ascii="Times New Roman"/>
                                      <w:sz w:val="16"/>
                                    </w:rPr>
                                  </w:pPr>
                                </w:p>
                              </w:tc>
                              <w:tc>
                                <w:tcPr>
                                  <w:tcW w:w="1440" w:type="dxa"/>
                                </w:tcPr>
                                <w:p>
                                  <w:pPr>
                                    <w:pStyle w:val="TableParagraph"/>
                                    <w:spacing w:before="32" w:line="172" w:lineRule="exact"/>
                                    <w:ind w:right="75"/>
                                    <w:jc w:val="right"/>
                                    <w:rPr>
                                      <w:b/>
                                      <w:sz w:val="21"/>
                                    </w:rPr>
                                  </w:pPr>
                                  <w:r>
                                    <w:rPr>
                                      <w:b/>
                                      <w:color w:val="050505"/>
                                      <w:spacing w:val="-5"/>
                                      <w:w w:val="105"/>
                                      <w:sz w:val="21"/>
                                    </w:rPr>
                                    <w:t>53</w:t>
                                  </w:r>
                                </w:p>
                              </w:tc>
                            </w:tr>
                            <w:tr>
                              <w:trPr>
                                <w:trHeight w:val="372" w:hRule="atLeast"/>
                              </w:trPr>
                              <w:tc>
                                <w:tcPr>
                                  <w:tcW w:w="3622" w:type="dxa"/>
                                </w:tcPr>
                                <w:p>
                                  <w:pPr>
                                    <w:pStyle w:val="TableParagraph"/>
                                    <w:spacing w:before="87"/>
                                    <w:ind w:left="51"/>
                                    <w:rPr>
                                      <w:sz w:val="22"/>
                                    </w:rPr>
                                  </w:pPr>
                                  <w:r>
                                    <w:rPr>
                                      <w:color w:val="050505"/>
                                      <w:spacing w:val="-2"/>
                                      <w:sz w:val="22"/>
                                    </w:rPr>
                                    <w:t>Environmental</w:t>
                                  </w:r>
                                  <w:r>
                                    <w:rPr>
                                      <w:color w:val="050505"/>
                                      <w:spacing w:val="9"/>
                                      <w:sz w:val="22"/>
                                    </w:rPr>
                                    <w:t> </w:t>
                                  </w:r>
                                  <w:r>
                                    <w:rPr>
                                      <w:color w:val="050505"/>
                                      <w:spacing w:val="-2"/>
                                      <w:sz w:val="22"/>
                                    </w:rPr>
                                    <w:t>Health</w:t>
                                  </w:r>
                                </w:p>
                              </w:tc>
                              <w:tc>
                                <w:tcPr>
                                  <w:tcW w:w="1539" w:type="dxa"/>
                                  <w:tcBorders>
                                    <w:bottom w:val="single" w:color="000000" w:sz="6" w:space="0"/>
                                  </w:tcBorders>
                                </w:tcPr>
                                <w:p>
                                  <w:pPr>
                                    <w:pStyle w:val="TableParagraph"/>
                                    <w:spacing w:before="92" w:line="237" w:lineRule="exact"/>
                                    <w:ind w:right="125"/>
                                    <w:jc w:val="right"/>
                                    <w:rPr>
                                      <w:sz w:val="22"/>
                                    </w:rPr>
                                  </w:pPr>
                                  <w:r>
                                    <w:rPr>
                                      <w:color w:val="050505"/>
                                      <w:spacing w:val="-10"/>
                                      <w:sz w:val="22"/>
                                    </w:rPr>
                                    <w:t>3</w:t>
                                  </w:r>
                                </w:p>
                              </w:tc>
                              <w:tc>
                                <w:tcPr>
                                  <w:tcW w:w="1686" w:type="dxa"/>
                                  <w:gridSpan w:val="2"/>
                                  <w:tcBorders>
                                    <w:bottom w:val="single" w:color="000000" w:sz="6" w:space="0"/>
                                  </w:tcBorders>
                                </w:tcPr>
                                <w:p>
                                  <w:pPr>
                                    <w:pStyle w:val="TableParagraph"/>
                                    <w:spacing w:line="329" w:lineRule="exact"/>
                                    <w:ind w:left="1105"/>
                                    <w:rPr>
                                      <w:sz w:val="34"/>
                                    </w:rPr>
                                  </w:pPr>
                                  <w:r>
                                    <w:rPr>
                                      <w:color w:val="050505"/>
                                      <w:sz w:val="22"/>
                                    </w:rPr>
                                    <w:t>121</w:t>
                                  </w:r>
                                  <w:r>
                                    <w:rPr>
                                      <w:color w:val="050505"/>
                                      <w:spacing w:val="7"/>
                                      <w:sz w:val="22"/>
                                    </w:rPr>
                                    <w:t> </w:t>
                                  </w:r>
                                  <w:r>
                                    <w:rPr>
                                      <w:color w:val="C3C3C3"/>
                                      <w:spacing w:val="-10"/>
                                      <w:sz w:val="34"/>
                                    </w:rPr>
                                    <w:t>I</w:t>
                                  </w:r>
                                </w:p>
                              </w:tc>
                              <w:tc>
                                <w:tcPr>
                                  <w:tcW w:w="1399" w:type="dxa"/>
                                </w:tcPr>
                                <w:p>
                                  <w:pPr>
                                    <w:pStyle w:val="TableParagraph"/>
                                    <w:spacing w:before="68"/>
                                    <w:ind w:right="116"/>
                                    <w:jc w:val="right"/>
                                    <w:rPr>
                                      <w:sz w:val="22"/>
                                    </w:rPr>
                                  </w:pPr>
                                  <w:r>
                                    <w:rPr>
                                      <w:color w:val="050505"/>
                                      <w:spacing w:val="-10"/>
                                      <w:w w:val="95"/>
                                      <w:sz w:val="22"/>
                                    </w:rPr>
                                    <w:t>1</w:t>
                                  </w:r>
                                </w:p>
                              </w:tc>
                              <w:tc>
                                <w:tcPr>
                                  <w:tcW w:w="1440" w:type="dxa"/>
                                </w:tcPr>
                                <w:p>
                                  <w:pPr>
                                    <w:pStyle w:val="TableParagraph"/>
                                    <w:spacing w:before="111"/>
                                    <w:ind w:right="77"/>
                                    <w:jc w:val="right"/>
                                    <w:rPr>
                                      <w:b/>
                                      <w:sz w:val="21"/>
                                    </w:rPr>
                                  </w:pPr>
                                  <w:r>
                                    <w:rPr>
                                      <w:b/>
                                      <w:color w:val="050505"/>
                                      <w:spacing w:val="-5"/>
                                      <w:w w:val="105"/>
                                      <w:sz w:val="21"/>
                                    </w:rPr>
                                    <w:t>125</w:t>
                                  </w:r>
                                </w:p>
                              </w:tc>
                            </w:tr>
                            <w:tr>
                              <w:trPr>
                                <w:trHeight w:val="268" w:hRule="atLeast"/>
                              </w:trPr>
                              <w:tc>
                                <w:tcPr>
                                  <w:tcW w:w="3622" w:type="dxa"/>
                                </w:tcPr>
                                <w:p>
                                  <w:pPr>
                                    <w:pStyle w:val="TableParagraph"/>
                                    <w:spacing w:before="12" w:line="237" w:lineRule="exact"/>
                                    <w:ind w:left="50"/>
                                    <w:rPr>
                                      <w:sz w:val="22"/>
                                    </w:rPr>
                                  </w:pPr>
                                  <w:r>
                                    <w:rPr>
                                      <w:color w:val="050505"/>
                                      <w:sz w:val="22"/>
                                    </w:rPr>
                                    <w:t>Finance</w:t>
                                  </w:r>
                                  <w:r>
                                    <w:rPr>
                                      <w:color w:val="050505"/>
                                      <w:spacing w:val="-2"/>
                                      <w:sz w:val="22"/>
                                    </w:rPr>
                                    <w:t> </w:t>
                                  </w:r>
                                  <w:r>
                                    <w:rPr>
                                      <w:color w:val="050505"/>
                                      <w:sz w:val="22"/>
                                    </w:rPr>
                                    <w:t>&amp;</w:t>
                                  </w:r>
                                  <w:r>
                                    <w:rPr>
                                      <w:color w:val="050505"/>
                                      <w:spacing w:val="-11"/>
                                      <w:sz w:val="22"/>
                                    </w:rPr>
                                    <w:t> </w:t>
                                  </w:r>
                                  <w:r>
                                    <w:rPr>
                                      <w:color w:val="050505"/>
                                      <w:sz w:val="22"/>
                                    </w:rPr>
                                    <w:t>Business</w:t>
                                  </w:r>
                                  <w:r>
                                    <w:rPr>
                                      <w:color w:val="050505"/>
                                      <w:spacing w:val="5"/>
                                      <w:sz w:val="22"/>
                                    </w:rPr>
                                    <w:t> </w:t>
                                  </w:r>
                                  <w:r>
                                    <w:rPr>
                                      <w:color w:val="050505"/>
                                      <w:spacing w:val="-2"/>
                                      <w:sz w:val="22"/>
                                    </w:rPr>
                                    <w:t>Services</w:t>
                                  </w:r>
                                </w:p>
                              </w:tc>
                              <w:tc>
                                <w:tcPr>
                                  <w:tcW w:w="1539" w:type="dxa"/>
                                  <w:tcBorders>
                                    <w:top w:val="single" w:color="000000" w:sz="6" w:space="0"/>
                                    <w:bottom w:val="single" w:color="000000" w:sz="6" w:space="0"/>
                                  </w:tcBorders>
                                </w:tcPr>
                                <w:p>
                                  <w:pPr>
                                    <w:pStyle w:val="TableParagraph"/>
                                    <w:spacing w:before="31" w:line="241" w:lineRule="exact"/>
                                    <w:ind w:right="124"/>
                                    <w:jc w:val="right"/>
                                    <w:rPr>
                                      <w:sz w:val="22"/>
                                    </w:rPr>
                                  </w:pPr>
                                  <w:r>
                                    <w:rPr>
                                      <w:color w:val="050505"/>
                                      <w:spacing w:val="-5"/>
                                      <w:sz w:val="22"/>
                                    </w:rPr>
                                    <w:t>131</w:t>
                                  </w:r>
                                </w:p>
                              </w:tc>
                              <w:tc>
                                <w:tcPr>
                                  <w:tcW w:w="1686" w:type="dxa"/>
                                  <w:gridSpan w:val="2"/>
                                  <w:tcBorders>
                                    <w:top w:val="single" w:color="000000" w:sz="6" w:space="0"/>
                                    <w:bottom w:val="single" w:color="000000" w:sz="6" w:space="0"/>
                                  </w:tcBorders>
                                </w:tcPr>
                                <w:p>
                                  <w:pPr>
                                    <w:pStyle w:val="TableParagraph"/>
                                    <w:spacing w:before="36" w:line="237" w:lineRule="exact"/>
                                    <w:ind w:left="1103"/>
                                    <w:rPr>
                                      <w:sz w:val="22"/>
                                    </w:rPr>
                                  </w:pPr>
                                  <w:r>
                                    <w:rPr>
                                      <w:color w:val="050505"/>
                                      <w:spacing w:val="-5"/>
                                      <w:sz w:val="22"/>
                                    </w:rPr>
                                    <w:t>263</w:t>
                                  </w:r>
                                </w:p>
                              </w:tc>
                              <w:tc>
                                <w:tcPr>
                                  <w:tcW w:w="1399" w:type="dxa"/>
                                </w:tcPr>
                                <w:p>
                                  <w:pPr>
                                    <w:pStyle w:val="TableParagraph"/>
                                    <w:spacing w:line="241" w:lineRule="exact"/>
                                    <w:ind w:right="99"/>
                                    <w:jc w:val="right"/>
                                    <w:rPr>
                                      <w:sz w:val="22"/>
                                    </w:rPr>
                                  </w:pPr>
                                  <w:r>
                                    <w:rPr>
                                      <w:color w:val="050505"/>
                                      <w:spacing w:val="-10"/>
                                      <w:sz w:val="22"/>
                                    </w:rPr>
                                    <w:t>1</w:t>
                                  </w:r>
                                </w:p>
                              </w:tc>
                              <w:tc>
                                <w:tcPr>
                                  <w:tcW w:w="1440" w:type="dxa"/>
                                </w:tcPr>
                                <w:p>
                                  <w:pPr>
                                    <w:pStyle w:val="TableParagraph"/>
                                    <w:spacing w:before="35" w:line="213" w:lineRule="exact"/>
                                    <w:ind w:right="75"/>
                                    <w:jc w:val="right"/>
                                    <w:rPr>
                                      <w:b/>
                                      <w:sz w:val="21"/>
                                    </w:rPr>
                                  </w:pPr>
                                  <w:r>
                                    <w:rPr>
                                      <w:b/>
                                      <w:color w:val="050505"/>
                                      <w:spacing w:val="-5"/>
                                      <w:w w:val="105"/>
                                      <w:sz w:val="21"/>
                                    </w:rPr>
                                    <w:t>395</w:t>
                                  </w:r>
                                </w:p>
                              </w:tc>
                            </w:tr>
                            <w:tr>
                              <w:trPr>
                                <w:trHeight w:val="287" w:hRule="atLeast"/>
                              </w:trPr>
                              <w:tc>
                                <w:tcPr>
                                  <w:tcW w:w="3622" w:type="dxa"/>
                                </w:tcPr>
                                <w:p>
                                  <w:pPr>
                                    <w:pStyle w:val="TableParagraph"/>
                                    <w:spacing w:before="36" w:line="232" w:lineRule="exact"/>
                                    <w:ind w:left="52"/>
                                    <w:rPr>
                                      <w:sz w:val="22"/>
                                    </w:rPr>
                                  </w:pPr>
                                  <w:r>
                                    <w:rPr>
                                      <w:color w:val="050505"/>
                                      <w:sz w:val="22"/>
                                    </w:rPr>
                                    <w:t>General</w:t>
                                  </w:r>
                                  <w:r>
                                    <w:rPr>
                                      <w:color w:val="050505"/>
                                      <w:spacing w:val="-8"/>
                                      <w:sz w:val="22"/>
                                    </w:rPr>
                                    <w:t> </w:t>
                                  </w:r>
                                  <w:r>
                                    <w:rPr>
                                      <w:color w:val="050505"/>
                                      <w:spacing w:val="-2"/>
                                      <w:sz w:val="22"/>
                                    </w:rPr>
                                    <w:t>Expenses</w:t>
                                  </w:r>
                                </w:p>
                              </w:tc>
                              <w:tc>
                                <w:tcPr>
                                  <w:tcW w:w="1539" w:type="dxa"/>
                                  <w:tcBorders>
                                    <w:top w:val="single" w:color="000000" w:sz="6" w:space="0"/>
                                    <w:bottom w:val="single" w:color="000000" w:sz="6" w:space="0"/>
                                  </w:tcBorders>
                                </w:tcPr>
                                <w:p>
                                  <w:pPr>
                                    <w:pStyle w:val="TableParagraph"/>
                                    <w:rPr>
                                      <w:rFonts w:ascii="Times New Roman"/>
                                      <w:sz w:val="20"/>
                                    </w:rPr>
                                  </w:pPr>
                                </w:p>
                              </w:tc>
                              <w:tc>
                                <w:tcPr>
                                  <w:tcW w:w="1686" w:type="dxa"/>
                                  <w:gridSpan w:val="2"/>
                                  <w:tcBorders>
                                    <w:top w:val="single" w:color="000000" w:sz="6" w:space="0"/>
                                    <w:bottom w:val="single" w:color="000000" w:sz="6" w:space="0"/>
                                  </w:tcBorders>
                                </w:tcPr>
                                <w:p>
                                  <w:pPr>
                                    <w:pStyle w:val="TableParagraph"/>
                                    <w:spacing w:line="268" w:lineRule="exact"/>
                                    <w:ind w:right="52"/>
                                    <w:jc w:val="right"/>
                                    <w:rPr>
                                      <w:sz w:val="34"/>
                                    </w:rPr>
                                  </w:pPr>
                                  <w:r>
                                    <w:rPr>
                                      <w:color w:val="050505"/>
                                      <w:w w:val="75"/>
                                      <w:sz w:val="34"/>
                                    </w:rPr>
                                    <w:t>-</w:t>
                                  </w:r>
                                  <w:r>
                                    <w:rPr>
                                      <w:color w:val="050505"/>
                                      <w:spacing w:val="-14"/>
                                      <w:w w:val="90"/>
                                      <w:sz w:val="34"/>
                                    </w:rPr>
                                    <w:t> </w:t>
                                  </w:r>
                                  <w:r>
                                    <w:rPr>
                                      <w:color w:val="C3C3C3"/>
                                      <w:spacing w:val="-10"/>
                                      <w:w w:val="90"/>
                                      <w:sz w:val="34"/>
                                    </w:rPr>
                                    <w:t>I</w:t>
                                  </w:r>
                                </w:p>
                              </w:tc>
                              <w:tc>
                                <w:tcPr>
                                  <w:tcW w:w="1399" w:type="dxa"/>
                                </w:tcPr>
                                <w:p>
                                  <w:pPr>
                                    <w:pStyle w:val="TableParagraph"/>
                                    <w:rPr>
                                      <w:rFonts w:ascii="Times New Roman"/>
                                      <w:sz w:val="20"/>
                                    </w:rPr>
                                  </w:pPr>
                                </w:p>
                              </w:tc>
                              <w:tc>
                                <w:tcPr>
                                  <w:tcW w:w="1440" w:type="dxa"/>
                                </w:tcPr>
                                <w:p>
                                  <w:pPr>
                                    <w:pStyle w:val="TableParagraph"/>
                                    <w:rPr>
                                      <w:rFonts w:ascii="Times New Roman"/>
                                      <w:sz w:val="20"/>
                                    </w:rPr>
                                  </w:pPr>
                                </w:p>
                              </w:tc>
                            </w:tr>
                          </w:tbl>
                          <w:p>
                            <w:pPr>
                              <w:pStyle w:val="BodyText"/>
                            </w:pPr>
                          </w:p>
                        </w:txbxContent>
                      </wps:txbx>
                      <wps:bodyPr wrap="square" lIns="0" tIns="0" rIns="0" bIns="0" rtlCol="0">
                        <a:noAutofit/>
                      </wps:bodyPr>
                    </wps:wsp>
                  </a:graphicData>
                </a:graphic>
              </wp:anchor>
            </w:drawing>
          </ve:Choice>
          <ve:Fallback>
            <w:pict>
              <v:shape id="docshape158" style="position:absolute;margin-left:87.30629pt;margin-top:-166.914322pt;width:490.4pt;height:243.6pt;mso-position-horizontal-relative:page;mso-position-vertical-relative:paragraph;z-index:15781376"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622"/>
                        <w:gridCol w:w="1539"/>
                        <w:gridCol w:w="62"/>
                        <w:gridCol w:w="1624"/>
                        <w:gridCol w:w="1399"/>
                        <w:gridCol w:w="1440"/>
                      </w:tblGrid>
                      <w:tr>
                        <w:trPr>
                          <w:trHeight w:val="401" w:hRule="atLeast"/>
                        </w:trPr>
                        <w:tc>
                          <w:tcPr>
                            <w:tcW w:w="5223" w:type="dxa"/>
                            <w:gridSpan w:val="3"/>
                          </w:tcPr>
                          <w:p>
                            <w:pPr>
                              <w:pStyle w:val="TableParagraph"/>
                              <w:rPr>
                                <w:rFonts w:ascii="Times New Roman"/>
                                <w:sz w:val="20"/>
                              </w:rPr>
                            </w:pPr>
                          </w:p>
                        </w:tc>
                        <w:tc>
                          <w:tcPr>
                            <w:tcW w:w="1624" w:type="dxa"/>
                          </w:tcPr>
                          <w:p>
                            <w:pPr>
                              <w:pStyle w:val="TableParagraph"/>
                              <w:spacing w:line="235" w:lineRule="exact"/>
                              <w:ind w:left="331"/>
                              <w:rPr>
                                <w:b/>
                                <w:sz w:val="21"/>
                              </w:rPr>
                            </w:pPr>
                            <w:r>
                              <w:rPr>
                                <w:b/>
                                <w:color w:val="050505"/>
                                <w:sz w:val="21"/>
                              </w:rPr>
                              <w:t>2022-</w:t>
                            </w:r>
                            <w:r>
                              <w:rPr>
                                <w:b/>
                                <w:color w:val="050505"/>
                                <w:spacing w:val="-5"/>
                                <w:sz w:val="21"/>
                              </w:rPr>
                              <w:t>23</w:t>
                            </w:r>
                          </w:p>
                        </w:tc>
                        <w:tc>
                          <w:tcPr>
                            <w:tcW w:w="1399" w:type="dxa"/>
                          </w:tcPr>
                          <w:p>
                            <w:pPr>
                              <w:pStyle w:val="TableParagraph"/>
                              <w:rPr>
                                <w:rFonts w:ascii="Times New Roman"/>
                                <w:sz w:val="20"/>
                              </w:rPr>
                            </w:pPr>
                          </w:p>
                        </w:tc>
                        <w:tc>
                          <w:tcPr>
                            <w:tcW w:w="1440" w:type="dxa"/>
                            <w:vMerge w:val="restart"/>
                          </w:tcPr>
                          <w:p>
                            <w:pPr>
                              <w:pStyle w:val="TableParagraph"/>
                              <w:rPr>
                                <w:rFonts w:ascii="Times New Roman"/>
                                <w:sz w:val="20"/>
                              </w:rPr>
                            </w:pPr>
                          </w:p>
                        </w:tc>
                      </w:tr>
                      <w:tr>
                        <w:trPr>
                          <w:trHeight w:val="421" w:hRule="atLeast"/>
                        </w:trPr>
                        <w:tc>
                          <w:tcPr>
                            <w:tcW w:w="3622" w:type="dxa"/>
                          </w:tcPr>
                          <w:p>
                            <w:pPr>
                              <w:pStyle w:val="TableParagraph"/>
                              <w:spacing w:before="159" w:line="242" w:lineRule="exact"/>
                              <w:ind w:left="59"/>
                              <w:rPr>
                                <w:sz w:val="22"/>
                              </w:rPr>
                            </w:pPr>
                            <w:r>
                              <w:rPr>
                                <w:b/>
                                <w:color w:val="050505"/>
                                <w:w w:val="105"/>
                                <w:sz w:val="21"/>
                              </w:rPr>
                              <w:t>Adjustments</w:t>
                            </w:r>
                            <w:r>
                              <w:rPr>
                                <w:b/>
                                <w:color w:val="050505"/>
                                <w:spacing w:val="6"/>
                                <w:w w:val="105"/>
                                <w:sz w:val="21"/>
                              </w:rPr>
                              <w:t> </w:t>
                            </w:r>
                            <w:r>
                              <w:rPr>
                                <w:b/>
                                <w:color w:val="050505"/>
                                <w:w w:val="105"/>
                                <w:sz w:val="21"/>
                              </w:rPr>
                              <w:t>to</w:t>
                            </w:r>
                            <w:r>
                              <w:rPr>
                                <w:b/>
                                <w:color w:val="050505"/>
                                <w:spacing w:val="-14"/>
                                <w:w w:val="105"/>
                                <w:sz w:val="21"/>
                              </w:rPr>
                              <w:t> </w:t>
                            </w:r>
                            <w:r>
                              <w:rPr>
                                <w:b/>
                                <w:color w:val="050505"/>
                                <w:w w:val="105"/>
                                <w:sz w:val="21"/>
                              </w:rPr>
                              <w:t>General</w:t>
                            </w:r>
                            <w:r>
                              <w:rPr>
                                <w:b/>
                                <w:color w:val="050505"/>
                                <w:spacing w:val="-6"/>
                                <w:w w:val="105"/>
                                <w:sz w:val="21"/>
                              </w:rPr>
                              <w:t> </w:t>
                            </w:r>
                            <w:r>
                              <w:rPr>
                                <w:color w:val="050505"/>
                                <w:w w:val="105"/>
                                <w:sz w:val="22"/>
                              </w:rPr>
                              <w:t>Fund</w:t>
                            </w:r>
                            <w:r>
                              <w:rPr>
                                <w:color w:val="050505"/>
                                <w:spacing w:val="-14"/>
                                <w:w w:val="105"/>
                                <w:sz w:val="22"/>
                              </w:rPr>
                              <w:t> </w:t>
                            </w:r>
                            <w:r>
                              <w:rPr>
                                <w:color w:val="050505"/>
                                <w:spacing w:val="-5"/>
                                <w:w w:val="105"/>
                                <w:sz w:val="22"/>
                              </w:rPr>
                              <w:t>to</w:t>
                            </w:r>
                          </w:p>
                        </w:tc>
                        <w:tc>
                          <w:tcPr>
                            <w:tcW w:w="1539" w:type="dxa"/>
                          </w:tcPr>
                          <w:p>
                            <w:pPr>
                              <w:pStyle w:val="TableParagraph"/>
                              <w:rPr>
                                <w:rFonts w:ascii="Times New Roman"/>
                                <w:sz w:val="20"/>
                              </w:rPr>
                            </w:pPr>
                          </w:p>
                        </w:tc>
                        <w:tc>
                          <w:tcPr>
                            <w:tcW w:w="62" w:type="dxa"/>
                          </w:tcPr>
                          <w:p>
                            <w:pPr>
                              <w:pStyle w:val="TableParagraph"/>
                              <w:rPr>
                                <w:rFonts w:ascii="Times New Roman"/>
                                <w:sz w:val="20"/>
                              </w:rPr>
                            </w:pPr>
                          </w:p>
                        </w:tc>
                        <w:tc>
                          <w:tcPr>
                            <w:tcW w:w="1624" w:type="dxa"/>
                          </w:tcPr>
                          <w:p>
                            <w:pPr>
                              <w:pStyle w:val="TableParagraph"/>
                              <w:rPr>
                                <w:rFonts w:ascii="Times New Roman"/>
                                <w:sz w:val="20"/>
                              </w:rPr>
                            </w:pPr>
                          </w:p>
                        </w:tc>
                        <w:tc>
                          <w:tcPr>
                            <w:tcW w:w="1399" w:type="dxa"/>
                          </w:tcPr>
                          <w:p>
                            <w:pPr>
                              <w:pStyle w:val="TableParagraph"/>
                              <w:rPr>
                                <w:rFonts w:ascii="Times New Roman"/>
                                <w:sz w:val="20"/>
                              </w:rPr>
                            </w:pPr>
                          </w:p>
                        </w:tc>
                        <w:tc>
                          <w:tcPr>
                            <w:tcW w:w="1440" w:type="dxa"/>
                            <w:vMerge/>
                            <w:tcBorders>
                              <w:top w:val="nil"/>
                            </w:tcBorders>
                          </w:tcPr>
                          <w:p>
                            <w:pPr>
                              <w:rPr>
                                <w:sz w:val="2"/>
                                <w:szCs w:val="2"/>
                              </w:rPr>
                            </w:pPr>
                          </w:p>
                        </w:tc>
                      </w:tr>
                      <w:tr>
                        <w:trPr>
                          <w:trHeight w:val="253" w:hRule="atLeast"/>
                        </w:trPr>
                        <w:tc>
                          <w:tcPr>
                            <w:tcW w:w="3622" w:type="dxa"/>
                          </w:tcPr>
                          <w:p>
                            <w:pPr>
                              <w:pStyle w:val="TableParagraph"/>
                              <w:spacing w:before="2" w:line="231" w:lineRule="exact"/>
                              <w:ind w:left="56"/>
                              <w:rPr>
                                <w:b/>
                                <w:sz w:val="21"/>
                              </w:rPr>
                            </w:pPr>
                            <w:r>
                              <w:rPr>
                                <w:b/>
                                <w:color w:val="050505"/>
                                <w:w w:val="105"/>
                                <w:sz w:val="21"/>
                              </w:rPr>
                              <w:t>add</w:t>
                            </w:r>
                            <w:r>
                              <w:rPr>
                                <w:b/>
                                <w:color w:val="050505"/>
                                <w:spacing w:val="-11"/>
                                <w:w w:val="105"/>
                                <w:sz w:val="21"/>
                              </w:rPr>
                              <w:t> </w:t>
                            </w:r>
                            <w:r>
                              <w:rPr>
                                <w:b/>
                                <w:color w:val="050505"/>
                                <w:w w:val="105"/>
                                <w:sz w:val="21"/>
                              </w:rPr>
                              <w:t>expenditure</w:t>
                            </w:r>
                            <w:r>
                              <w:rPr>
                                <w:b/>
                                <w:color w:val="050505"/>
                                <w:spacing w:val="1"/>
                                <w:w w:val="105"/>
                                <w:sz w:val="21"/>
                              </w:rPr>
                              <w:t> </w:t>
                            </w:r>
                            <w:r>
                              <w:rPr>
                                <w:b/>
                                <w:color w:val="050505"/>
                                <w:w w:val="105"/>
                                <w:sz w:val="21"/>
                              </w:rPr>
                              <w:t>or</w:t>
                            </w:r>
                            <w:r>
                              <w:rPr>
                                <w:b/>
                                <w:color w:val="050505"/>
                                <w:spacing w:val="-15"/>
                                <w:w w:val="105"/>
                                <w:sz w:val="21"/>
                              </w:rPr>
                              <w:t> </w:t>
                            </w:r>
                            <w:r>
                              <w:rPr>
                                <w:b/>
                                <w:color w:val="262626"/>
                                <w:w w:val="105"/>
                                <w:sz w:val="21"/>
                              </w:rPr>
                              <w:t>income</w:t>
                            </w:r>
                            <w:r>
                              <w:rPr>
                                <w:b/>
                                <w:color w:val="262626"/>
                                <w:spacing w:val="-5"/>
                                <w:w w:val="105"/>
                                <w:sz w:val="21"/>
                              </w:rPr>
                              <w:t> </w:t>
                            </w:r>
                            <w:r>
                              <w:rPr>
                                <w:b/>
                                <w:color w:val="050505"/>
                                <w:spacing w:val="-5"/>
                                <w:w w:val="105"/>
                                <w:sz w:val="21"/>
                              </w:rPr>
                              <w:t>not</w:t>
                            </w:r>
                          </w:p>
                        </w:tc>
                        <w:tc>
                          <w:tcPr>
                            <w:tcW w:w="1539" w:type="dxa"/>
                          </w:tcPr>
                          <w:p>
                            <w:pPr>
                              <w:pStyle w:val="TableParagraph"/>
                              <w:spacing w:before="7" w:line="227" w:lineRule="exact"/>
                              <w:ind w:right="95"/>
                              <w:jc w:val="right"/>
                              <w:rPr>
                                <w:b/>
                                <w:sz w:val="21"/>
                              </w:rPr>
                            </w:pPr>
                            <w:r>
                              <w:rPr>
                                <w:b/>
                                <w:color w:val="050505"/>
                                <w:spacing w:val="-2"/>
                                <w:w w:val="105"/>
                                <w:sz w:val="21"/>
                              </w:rPr>
                              <w:t>Adjustments</w:t>
                            </w:r>
                          </w:p>
                        </w:tc>
                        <w:tc>
                          <w:tcPr>
                            <w:tcW w:w="62" w:type="dxa"/>
                          </w:tcPr>
                          <w:p>
                            <w:pPr>
                              <w:pStyle w:val="TableParagraph"/>
                              <w:rPr>
                                <w:rFonts w:ascii="Times New Roman"/>
                                <w:sz w:val="18"/>
                              </w:rPr>
                            </w:pPr>
                          </w:p>
                        </w:tc>
                        <w:tc>
                          <w:tcPr>
                            <w:tcW w:w="1624" w:type="dxa"/>
                          </w:tcPr>
                          <w:p>
                            <w:pPr>
                              <w:pStyle w:val="TableParagraph"/>
                              <w:spacing w:before="7" w:line="227" w:lineRule="exact"/>
                              <w:ind w:left="138"/>
                              <w:rPr>
                                <w:b/>
                                <w:sz w:val="21"/>
                              </w:rPr>
                            </w:pPr>
                            <w:r>
                              <w:rPr>
                                <w:b/>
                                <w:color w:val="050505"/>
                                <w:w w:val="105"/>
                                <w:sz w:val="21"/>
                              </w:rPr>
                              <w:t>Net</w:t>
                            </w:r>
                            <w:r>
                              <w:rPr>
                                <w:b/>
                                <w:color w:val="050505"/>
                                <w:spacing w:val="-3"/>
                                <w:w w:val="105"/>
                                <w:sz w:val="21"/>
                              </w:rPr>
                              <w:t> </w:t>
                            </w:r>
                            <w:r>
                              <w:rPr>
                                <w:b/>
                                <w:color w:val="050505"/>
                                <w:spacing w:val="-2"/>
                                <w:w w:val="105"/>
                                <w:sz w:val="21"/>
                              </w:rPr>
                              <w:t>change</w:t>
                            </w:r>
                          </w:p>
                        </w:tc>
                        <w:tc>
                          <w:tcPr>
                            <w:tcW w:w="1399" w:type="dxa"/>
                          </w:tcPr>
                          <w:p>
                            <w:pPr>
                              <w:pStyle w:val="TableParagraph"/>
                              <w:rPr>
                                <w:rFonts w:ascii="Times New Roman"/>
                                <w:sz w:val="18"/>
                              </w:rPr>
                            </w:pPr>
                          </w:p>
                        </w:tc>
                        <w:tc>
                          <w:tcPr>
                            <w:tcW w:w="1440" w:type="dxa"/>
                            <w:vMerge/>
                            <w:tcBorders>
                              <w:top w:val="nil"/>
                            </w:tcBorders>
                          </w:tcPr>
                          <w:p>
                            <w:pPr>
                              <w:rPr>
                                <w:sz w:val="2"/>
                                <w:szCs w:val="2"/>
                              </w:rPr>
                            </w:pPr>
                          </w:p>
                        </w:tc>
                      </w:tr>
                      <w:tr>
                        <w:trPr>
                          <w:trHeight w:val="252" w:hRule="atLeast"/>
                        </w:trPr>
                        <w:tc>
                          <w:tcPr>
                            <w:tcW w:w="3622" w:type="dxa"/>
                          </w:tcPr>
                          <w:p>
                            <w:pPr>
                              <w:pStyle w:val="TableParagraph"/>
                              <w:spacing w:line="232" w:lineRule="exact"/>
                              <w:ind w:left="60"/>
                              <w:rPr>
                                <w:b/>
                                <w:sz w:val="21"/>
                              </w:rPr>
                            </w:pPr>
                            <w:r>
                              <w:rPr>
                                <w:b/>
                                <w:color w:val="050505"/>
                                <w:w w:val="105"/>
                                <w:sz w:val="21"/>
                              </w:rPr>
                              <w:t>chargeable</w:t>
                            </w:r>
                            <w:r>
                              <w:rPr>
                                <w:b/>
                                <w:color w:val="050505"/>
                                <w:spacing w:val="-15"/>
                                <w:w w:val="105"/>
                                <w:sz w:val="21"/>
                              </w:rPr>
                              <w:t> </w:t>
                            </w:r>
                            <w:r>
                              <w:rPr>
                                <w:b/>
                                <w:color w:val="050505"/>
                                <w:w w:val="105"/>
                                <w:sz w:val="21"/>
                              </w:rPr>
                              <w:t>to</w:t>
                            </w:r>
                            <w:r>
                              <w:rPr>
                                <w:b/>
                                <w:color w:val="050505"/>
                                <w:spacing w:val="-15"/>
                                <w:w w:val="105"/>
                                <w:sz w:val="21"/>
                              </w:rPr>
                              <w:t> </w:t>
                            </w:r>
                            <w:r>
                              <w:rPr>
                                <w:b/>
                                <w:color w:val="050505"/>
                                <w:w w:val="105"/>
                                <w:sz w:val="21"/>
                              </w:rPr>
                              <w:t>taxation</w:t>
                            </w:r>
                            <w:r>
                              <w:rPr>
                                <w:b/>
                                <w:color w:val="050505"/>
                                <w:spacing w:val="-7"/>
                                <w:w w:val="105"/>
                                <w:sz w:val="21"/>
                              </w:rPr>
                              <w:t> </w:t>
                            </w:r>
                            <w:r>
                              <w:rPr>
                                <w:b/>
                                <w:color w:val="050505"/>
                                <w:spacing w:val="-5"/>
                                <w:w w:val="105"/>
                                <w:sz w:val="21"/>
                              </w:rPr>
                              <w:t>and</w:t>
                            </w:r>
                          </w:p>
                        </w:tc>
                        <w:tc>
                          <w:tcPr>
                            <w:tcW w:w="1539" w:type="dxa"/>
                          </w:tcPr>
                          <w:p>
                            <w:pPr>
                              <w:pStyle w:val="TableParagraph"/>
                              <w:spacing w:before="3" w:line="229" w:lineRule="exact"/>
                              <w:ind w:left="266"/>
                              <w:rPr>
                                <w:b/>
                                <w:sz w:val="21"/>
                              </w:rPr>
                            </w:pPr>
                            <w:r>
                              <w:rPr>
                                <w:b/>
                                <w:color w:val="050505"/>
                                <w:w w:val="105"/>
                                <w:sz w:val="21"/>
                              </w:rPr>
                              <w:t>for</w:t>
                            </w:r>
                            <w:r>
                              <w:rPr>
                                <w:b/>
                                <w:color w:val="050505"/>
                                <w:spacing w:val="1"/>
                                <w:w w:val="105"/>
                                <w:sz w:val="21"/>
                              </w:rPr>
                              <w:t> </w:t>
                            </w:r>
                            <w:r>
                              <w:rPr>
                                <w:b/>
                                <w:color w:val="050505"/>
                                <w:spacing w:val="-2"/>
                                <w:w w:val="105"/>
                                <w:sz w:val="21"/>
                              </w:rPr>
                              <w:t>capital</w:t>
                            </w:r>
                          </w:p>
                        </w:tc>
                        <w:tc>
                          <w:tcPr>
                            <w:tcW w:w="62" w:type="dxa"/>
                          </w:tcPr>
                          <w:p>
                            <w:pPr>
                              <w:pStyle w:val="TableParagraph"/>
                              <w:rPr>
                                <w:rFonts w:ascii="Times New Roman"/>
                                <w:sz w:val="18"/>
                              </w:rPr>
                            </w:pPr>
                          </w:p>
                        </w:tc>
                        <w:tc>
                          <w:tcPr>
                            <w:tcW w:w="1624" w:type="dxa"/>
                          </w:tcPr>
                          <w:p>
                            <w:pPr>
                              <w:pStyle w:val="TableParagraph"/>
                              <w:spacing w:before="3" w:line="229" w:lineRule="exact"/>
                              <w:ind w:left="74"/>
                              <w:rPr>
                                <w:b/>
                                <w:sz w:val="21"/>
                              </w:rPr>
                            </w:pPr>
                            <w:r>
                              <w:rPr>
                                <w:b/>
                                <w:color w:val="050505"/>
                                <w:w w:val="105"/>
                                <w:sz w:val="21"/>
                              </w:rPr>
                              <w:t>for</w:t>
                            </w:r>
                            <w:r>
                              <w:rPr>
                                <w:b/>
                                <w:color w:val="050505"/>
                                <w:spacing w:val="-5"/>
                                <w:w w:val="105"/>
                                <w:sz w:val="21"/>
                              </w:rPr>
                              <w:t> </w:t>
                            </w:r>
                            <w:r>
                              <w:rPr>
                                <w:b/>
                                <w:color w:val="050505"/>
                                <w:spacing w:val="-2"/>
                                <w:w w:val="105"/>
                                <w:sz w:val="21"/>
                              </w:rPr>
                              <w:t>pensions</w:t>
                            </w:r>
                          </w:p>
                        </w:tc>
                        <w:tc>
                          <w:tcPr>
                            <w:tcW w:w="1399" w:type="dxa"/>
                          </w:tcPr>
                          <w:p>
                            <w:pPr>
                              <w:pStyle w:val="TableParagraph"/>
                              <w:spacing w:before="3" w:line="229" w:lineRule="exact"/>
                              <w:ind w:left="342"/>
                              <w:rPr>
                                <w:b/>
                                <w:sz w:val="21"/>
                              </w:rPr>
                            </w:pPr>
                            <w:r>
                              <w:rPr>
                                <w:b/>
                                <w:color w:val="050505"/>
                                <w:spacing w:val="-2"/>
                                <w:w w:val="105"/>
                                <w:sz w:val="21"/>
                              </w:rPr>
                              <w:t>Other</w:t>
                            </w:r>
                          </w:p>
                        </w:tc>
                        <w:tc>
                          <w:tcPr>
                            <w:tcW w:w="1440" w:type="dxa"/>
                            <w:vMerge/>
                            <w:tcBorders>
                              <w:top w:val="nil"/>
                            </w:tcBorders>
                          </w:tcPr>
                          <w:p>
                            <w:pPr>
                              <w:rPr>
                                <w:sz w:val="2"/>
                                <w:szCs w:val="2"/>
                              </w:rPr>
                            </w:pPr>
                          </w:p>
                        </w:tc>
                      </w:tr>
                      <w:tr>
                        <w:trPr>
                          <w:trHeight w:val="254" w:hRule="atLeast"/>
                        </w:trPr>
                        <w:tc>
                          <w:tcPr>
                            <w:tcW w:w="3622" w:type="dxa"/>
                          </w:tcPr>
                          <w:p>
                            <w:pPr>
                              <w:pStyle w:val="TableParagraph"/>
                              <w:spacing w:before="1" w:line="234" w:lineRule="exact"/>
                              <w:ind w:left="59"/>
                              <w:rPr>
                                <w:b/>
                                <w:sz w:val="21"/>
                              </w:rPr>
                            </w:pPr>
                            <w:r>
                              <w:rPr>
                                <w:b/>
                                <w:color w:val="050505"/>
                                <w:w w:val="105"/>
                                <w:sz w:val="21"/>
                              </w:rPr>
                              <w:t>remove</w:t>
                            </w:r>
                            <w:r>
                              <w:rPr>
                                <w:b/>
                                <w:color w:val="050505"/>
                                <w:spacing w:val="-3"/>
                                <w:w w:val="105"/>
                                <w:sz w:val="21"/>
                              </w:rPr>
                              <w:t> </w:t>
                            </w:r>
                            <w:r>
                              <w:rPr>
                                <w:b/>
                                <w:color w:val="050505"/>
                                <w:w w:val="105"/>
                                <w:sz w:val="21"/>
                              </w:rPr>
                              <w:t>items</w:t>
                            </w:r>
                            <w:r>
                              <w:rPr>
                                <w:b/>
                                <w:color w:val="050505"/>
                                <w:spacing w:val="-14"/>
                                <w:w w:val="105"/>
                                <w:sz w:val="21"/>
                              </w:rPr>
                              <w:t> </w:t>
                            </w:r>
                            <w:r>
                              <w:rPr>
                                <w:b/>
                                <w:color w:val="050505"/>
                                <w:w w:val="105"/>
                                <w:sz w:val="21"/>
                              </w:rPr>
                              <w:t>which</w:t>
                            </w:r>
                            <w:r>
                              <w:rPr>
                                <w:b/>
                                <w:color w:val="050505"/>
                                <w:spacing w:val="-7"/>
                                <w:w w:val="105"/>
                                <w:sz w:val="21"/>
                              </w:rPr>
                              <w:t> </w:t>
                            </w:r>
                            <w:r>
                              <w:rPr>
                                <w:b/>
                                <w:color w:val="050505"/>
                                <w:w w:val="105"/>
                                <w:sz w:val="21"/>
                              </w:rPr>
                              <w:t>are</w:t>
                            </w:r>
                            <w:r>
                              <w:rPr>
                                <w:b/>
                                <w:color w:val="050505"/>
                                <w:spacing w:val="-8"/>
                                <w:w w:val="105"/>
                                <w:sz w:val="21"/>
                              </w:rPr>
                              <w:t> </w:t>
                            </w:r>
                            <w:r>
                              <w:rPr>
                                <w:b/>
                                <w:color w:val="050505"/>
                                <w:spacing w:val="-4"/>
                                <w:w w:val="105"/>
                                <w:sz w:val="21"/>
                              </w:rPr>
                              <w:t>only</w:t>
                            </w:r>
                          </w:p>
                        </w:tc>
                        <w:tc>
                          <w:tcPr>
                            <w:tcW w:w="1539" w:type="dxa"/>
                          </w:tcPr>
                          <w:p>
                            <w:pPr>
                              <w:pStyle w:val="TableParagraph"/>
                              <w:spacing w:before="5" w:line="229" w:lineRule="exact"/>
                              <w:ind w:left="298"/>
                              <w:rPr>
                                <w:b/>
                                <w:sz w:val="21"/>
                              </w:rPr>
                            </w:pPr>
                            <w:r>
                              <w:rPr>
                                <w:b/>
                                <w:color w:val="050505"/>
                                <w:spacing w:val="-2"/>
                                <w:w w:val="105"/>
                                <w:sz w:val="21"/>
                              </w:rPr>
                              <w:t>purposes</w:t>
                            </w:r>
                          </w:p>
                        </w:tc>
                        <w:tc>
                          <w:tcPr>
                            <w:tcW w:w="62" w:type="dxa"/>
                          </w:tcPr>
                          <w:p>
                            <w:pPr>
                              <w:pStyle w:val="TableParagraph"/>
                              <w:rPr>
                                <w:rFonts w:ascii="Times New Roman"/>
                                <w:sz w:val="18"/>
                              </w:rPr>
                            </w:pPr>
                          </w:p>
                        </w:tc>
                        <w:tc>
                          <w:tcPr>
                            <w:tcW w:w="1624" w:type="dxa"/>
                          </w:tcPr>
                          <w:p>
                            <w:pPr>
                              <w:pStyle w:val="TableParagraph"/>
                              <w:spacing w:before="5" w:line="229" w:lineRule="exact"/>
                              <w:ind w:left="83"/>
                              <w:rPr>
                                <w:b/>
                                <w:sz w:val="21"/>
                              </w:rPr>
                            </w:pPr>
                            <w:r>
                              <w:rPr>
                                <w:b/>
                                <w:color w:val="050505"/>
                                <w:spacing w:val="-2"/>
                                <w:w w:val="105"/>
                                <w:sz w:val="21"/>
                              </w:rPr>
                              <w:t>adjustments</w:t>
                            </w:r>
                          </w:p>
                        </w:tc>
                        <w:tc>
                          <w:tcPr>
                            <w:tcW w:w="1399" w:type="dxa"/>
                          </w:tcPr>
                          <w:p>
                            <w:pPr>
                              <w:pStyle w:val="TableParagraph"/>
                              <w:spacing w:before="5" w:line="229" w:lineRule="exact"/>
                              <w:ind w:left="59"/>
                              <w:rPr>
                                <w:b/>
                                <w:sz w:val="21"/>
                              </w:rPr>
                            </w:pPr>
                            <w:r>
                              <w:rPr>
                                <w:b/>
                                <w:color w:val="050505"/>
                                <w:spacing w:val="-2"/>
                                <w:w w:val="105"/>
                                <w:sz w:val="21"/>
                              </w:rPr>
                              <w:t>differences</w:t>
                            </w:r>
                          </w:p>
                        </w:tc>
                        <w:tc>
                          <w:tcPr>
                            <w:tcW w:w="1440" w:type="dxa"/>
                          </w:tcPr>
                          <w:p>
                            <w:pPr>
                              <w:pStyle w:val="TableParagraph"/>
                              <w:spacing w:before="5" w:line="229" w:lineRule="exact"/>
                              <w:ind w:left="491"/>
                              <w:rPr>
                                <w:b/>
                                <w:sz w:val="21"/>
                              </w:rPr>
                            </w:pPr>
                            <w:r>
                              <w:rPr>
                                <w:b/>
                                <w:color w:val="050505"/>
                                <w:spacing w:val="-4"/>
                                <w:w w:val="105"/>
                                <w:sz w:val="21"/>
                              </w:rPr>
                              <w:t>Total</w:t>
                            </w:r>
                          </w:p>
                        </w:tc>
                      </w:tr>
                      <w:tr>
                        <w:trPr>
                          <w:trHeight w:val="418" w:hRule="atLeast"/>
                        </w:trPr>
                        <w:tc>
                          <w:tcPr>
                            <w:tcW w:w="3622" w:type="dxa"/>
                          </w:tcPr>
                          <w:p>
                            <w:pPr>
                              <w:pStyle w:val="TableParagraph"/>
                              <w:spacing w:before="5"/>
                              <w:ind w:left="50"/>
                              <w:rPr>
                                <w:b/>
                                <w:sz w:val="21"/>
                              </w:rPr>
                            </w:pPr>
                            <w:r>
                              <w:rPr>
                                <w:b/>
                                <w:color w:val="050505"/>
                                <w:w w:val="105"/>
                                <w:sz w:val="21"/>
                              </w:rPr>
                              <w:t>chargeable</w:t>
                            </w:r>
                            <w:r>
                              <w:rPr>
                                <w:b/>
                                <w:color w:val="050505"/>
                                <w:spacing w:val="-10"/>
                                <w:w w:val="105"/>
                                <w:sz w:val="21"/>
                              </w:rPr>
                              <w:t> </w:t>
                            </w:r>
                            <w:r>
                              <w:rPr>
                                <w:b/>
                                <w:color w:val="050505"/>
                                <w:w w:val="105"/>
                                <w:sz w:val="21"/>
                              </w:rPr>
                              <w:t>under</w:t>
                            </w:r>
                            <w:r>
                              <w:rPr>
                                <w:b/>
                                <w:color w:val="050505"/>
                                <w:spacing w:val="-8"/>
                                <w:w w:val="105"/>
                                <w:sz w:val="21"/>
                              </w:rPr>
                              <w:t> </w:t>
                            </w:r>
                            <w:r>
                              <w:rPr>
                                <w:b/>
                                <w:color w:val="050505"/>
                                <w:spacing w:val="-2"/>
                                <w:w w:val="105"/>
                                <w:sz w:val="21"/>
                              </w:rPr>
                              <w:t>statute</w:t>
                            </w:r>
                          </w:p>
                        </w:tc>
                        <w:tc>
                          <w:tcPr>
                            <w:tcW w:w="1539" w:type="dxa"/>
                          </w:tcPr>
                          <w:p>
                            <w:pPr>
                              <w:pStyle w:val="TableParagraph"/>
                              <w:spacing w:before="1"/>
                              <w:ind w:left="383"/>
                              <w:rPr>
                                <w:b/>
                                <w:sz w:val="21"/>
                              </w:rPr>
                            </w:pPr>
                            <w:r>
                              <w:rPr>
                                <w:b/>
                                <w:color w:val="050505"/>
                                <w:w w:val="105"/>
                                <w:sz w:val="21"/>
                              </w:rPr>
                              <w:t>(Note</w:t>
                            </w:r>
                            <w:r>
                              <w:rPr>
                                <w:b/>
                                <w:color w:val="050505"/>
                                <w:spacing w:val="-5"/>
                                <w:w w:val="105"/>
                                <w:sz w:val="21"/>
                              </w:rPr>
                              <w:t> </w:t>
                            </w:r>
                            <w:r>
                              <w:rPr>
                                <w:b/>
                                <w:color w:val="050505"/>
                                <w:spacing w:val="-5"/>
                                <w:w w:val="110"/>
                                <w:sz w:val="21"/>
                              </w:rPr>
                              <w:t>1)</w:t>
                            </w:r>
                          </w:p>
                        </w:tc>
                        <w:tc>
                          <w:tcPr>
                            <w:tcW w:w="62" w:type="dxa"/>
                          </w:tcPr>
                          <w:p>
                            <w:pPr>
                              <w:pStyle w:val="TableParagraph"/>
                              <w:rPr>
                                <w:rFonts w:ascii="Times New Roman"/>
                                <w:sz w:val="20"/>
                              </w:rPr>
                            </w:pPr>
                          </w:p>
                        </w:tc>
                        <w:tc>
                          <w:tcPr>
                            <w:tcW w:w="1624" w:type="dxa"/>
                          </w:tcPr>
                          <w:p>
                            <w:pPr>
                              <w:pStyle w:val="TableParagraph"/>
                              <w:spacing w:before="5"/>
                              <w:ind w:left="325"/>
                              <w:rPr>
                                <w:b/>
                                <w:sz w:val="21"/>
                              </w:rPr>
                            </w:pPr>
                            <w:r>
                              <w:rPr>
                                <w:b/>
                                <w:color w:val="050505"/>
                                <w:w w:val="105"/>
                                <w:sz w:val="21"/>
                              </w:rPr>
                              <w:t>(Note</w:t>
                            </w:r>
                            <w:r>
                              <w:rPr>
                                <w:b/>
                                <w:color w:val="050505"/>
                                <w:spacing w:val="6"/>
                                <w:w w:val="105"/>
                                <w:sz w:val="21"/>
                              </w:rPr>
                              <w:t> </w:t>
                            </w:r>
                            <w:r>
                              <w:rPr>
                                <w:b/>
                                <w:color w:val="050505"/>
                                <w:spacing w:val="-5"/>
                                <w:w w:val="105"/>
                                <w:sz w:val="21"/>
                              </w:rPr>
                              <w:t>2)</w:t>
                            </w:r>
                          </w:p>
                        </w:tc>
                        <w:tc>
                          <w:tcPr>
                            <w:tcW w:w="1399" w:type="dxa"/>
                          </w:tcPr>
                          <w:p>
                            <w:pPr>
                              <w:pStyle w:val="TableParagraph"/>
                              <w:spacing w:before="1"/>
                              <w:ind w:left="230"/>
                              <w:rPr>
                                <w:b/>
                                <w:sz w:val="21"/>
                              </w:rPr>
                            </w:pPr>
                            <w:r>
                              <w:rPr>
                                <w:b/>
                                <w:color w:val="050505"/>
                                <w:w w:val="105"/>
                                <w:sz w:val="21"/>
                              </w:rPr>
                              <w:t>(Note</w:t>
                            </w:r>
                            <w:r>
                              <w:rPr>
                                <w:b/>
                                <w:color w:val="050505"/>
                                <w:spacing w:val="-1"/>
                                <w:w w:val="105"/>
                                <w:sz w:val="21"/>
                              </w:rPr>
                              <w:t> </w:t>
                            </w:r>
                            <w:r>
                              <w:rPr>
                                <w:b/>
                                <w:color w:val="050505"/>
                                <w:spacing w:val="-5"/>
                                <w:w w:val="105"/>
                                <w:sz w:val="21"/>
                              </w:rPr>
                              <w:t>3)</w:t>
                            </w:r>
                          </w:p>
                        </w:tc>
                        <w:tc>
                          <w:tcPr>
                            <w:tcW w:w="1440" w:type="dxa"/>
                          </w:tcPr>
                          <w:p>
                            <w:pPr>
                              <w:pStyle w:val="TableParagraph"/>
                              <w:spacing w:before="1"/>
                              <w:ind w:right="46"/>
                              <w:jc w:val="right"/>
                              <w:rPr>
                                <w:b/>
                                <w:sz w:val="21"/>
                              </w:rPr>
                            </w:pPr>
                            <w:r>
                              <w:rPr>
                                <w:b/>
                                <w:color w:val="050505"/>
                                <w:spacing w:val="-2"/>
                                <w:w w:val="105"/>
                                <w:sz w:val="21"/>
                              </w:rPr>
                              <w:t>adjustments</w:t>
                            </w:r>
                          </w:p>
                        </w:tc>
                      </w:tr>
                      <w:tr>
                        <w:trPr>
                          <w:trHeight w:val="586" w:hRule="atLeast"/>
                        </w:trPr>
                        <w:tc>
                          <w:tcPr>
                            <w:tcW w:w="3622" w:type="dxa"/>
                          </w:tcPr>
                          <w:p>
                            <w:pPr>
                              <w:pStyle w:val="TableParagraph"/>
                              <w:spacing w:before="164"/>
                              <w:ind w:left="51"/>
                              <w:rPr>
                                <w:b/>
                                <w:sz w:val="21"/>
                              </w:rPr>
                            </w:pPr>
                            <w:r>
                              <w:rPr>
                                <w:b/>
                                <w:color w:val="050505"/>
                                <w:spacing w:val="-2"/>
                                <w:w w:val="105"/>
                                <w:sz w:val="21"/>
                              </w:rPr>
                              <w:t>SERVICE</w:t>
                            </w:r>
                          </w:p>
                        </w:tc>
                        <w:tc>
                          <w:tcPr>
                            <w:tcW w:w="1539" w:type="dxa"/>
                          </w:tcPr>
                          <w:p>
                            <w:pPr>
                              <w:pStyle w:val="TableParagraph"/>
                              <w:rPr>
                                <w:rFonts w:ascii="Times New Roman"/>
                                <w:sz w:val="20"/>
                              </w:rPr>
                            </w:pPr>
                          </w:p>
                        </w:tc>
                        <w:tc>
                          <w:tcPr>
                            <w:tcW w:w="62" w:type="dxa"/>
                          </w:tcPr>
                          <w:p>
                            <w:pPr>
                              <w:pStyle w:val="TableParagraph"/>
                              <w:rPr>
                                <w:rFonts w:ascii="Times New Roman"/>
                                <w:sz w:val="20"/>
                              </w:rPr>
                            </w:pPr>
                          </w:p>
                        </w:tc>
                        <w:tc>
                          <w:tcPr>
                            <w:tcW w:w="1624" w:type="dxa"/>
                          </w:tcPr>
                          <w:p>
                            <w:pPr>
                              <w:pStyle w:val="TableParagraph"/>
                              <w:rPr>
                                <w:rFonts w:ascii="Times New Roman"/>
                                <w:sz w:val="20"/>
                              </w:rPr>
                            </w:pPr>
                          </w:p>
                        </w:tc>
                        <w:tc>
                          <w:tcPr>
                            <w:tcW w:w="1399" w:type="dxa"/>
                          </w:tcPr>
                          <w:p>
                            <w:pPr>
                              <w:pStyle w:val="TableParagraph"/>
                              <w:rPr>
                                <w:rFonts w:ascii="Times New Roman"/>
                                <w:sz w:val="20"/>
                              </w:rPr>
                            </w:pPr>
                          </w:p>
                        </w:tc>
                        <w:tc>
                          <w:tcPr>
                            <w:tcW w:w="1440" w:type="dxa"/>
                          </w:tcPr>
                          <w:p>
                            <w:pPr>
                              <w:pStyle w:val="TableParagraph"/>
                              <w:rPr>
                                <w:rFonts w:ascii="Times New Roman"/>
                                <w:sz w:val="20"/>
                              </w:rPr>
                            </w:pPr>
                          </w:p>
                        </w:tc>
                      </w:tr>
                      <w:tr>
                        <w:trPr>
                          <w:trHeight w:val="430" w:hRule="atLeast"/>
                        </w:trPr>
                        <w:tc>
                          <w:tcPr>
                            <w:tcW w:w="3622" w:type="dxa"/>
                          </w:tcPr>
                          <w:p>
                            <w:pPr>
                              <w:pStyle w:val="TableParagraph"/>
                              <w:spacing w:before="174" w:line="237" w:lineRule="exact"/>
                              <w:ind w:left="50"/>
                              <w:rPr>
                                <w:sz w:val="22"/>
                              </w:rPr>
                            </w:pPr>
                            <w:r>
                              <w:rPr>
                                <w:color w:val="050505"/>
                                <w:sz w:val="22"/>
                              </w:rPr>
                              <w:t>Asset</w:t>
                            </w:r>
                            <w:r>
                              <w:rPr>
                                <w:color w:val="050505"/>
                                <w:spacing w:val="-3"/>
                                <w:sz w:val="22"/>
                              </w:rPr>
                              <w:t> </w:t>
                            </w:r>
                            <w:r>
                              <w:rPr>
                                <w:color w:val="050505"/>
                                <w:spacing w:val="-2"/>
                                <w:sz w:val="22"/>
                              </w:rPr>
                              <w:t>Management</w:t>
                            </w:r>
                          </w:p>
                        </w:tc>
                        <w:tc>
                          <w:tcPr>
                            <w:tcW w:w="1539" w:type="dxa"/>
                            <w:tcBorders>
                              <w:bottom w:val="single" w:color="000000" w:sz="6" w:space="0"/>
                            </w:tcBorders>
                          </w:tcPr>
                          <w:p>
                            <w:pPr>
                              <w:pStyle w:val="TableParagraph"/>
                              <w:spacing w:before="174" w:line="237" w:lineRule="exact"/>
                              <w:ind w:right="145"/>
                              <w:jc w:val="right"/>
                              <w:rPr>
                                <w:sz w:val="22"/>
                              </w:rPr>
                            </w:pPr>
                            <w:r>
                              <w:rPr>
                                <w:color w:val="050505"/>
                                <w:spacing w:val="-2"/>
                                <w:sz w:val="22"/>
                              </w:rPr>
                              <w:t>5,003</w:t>
                            </w:r>
                          </w:p>
                        </w:tc>
                        <w:tc>
                          <w:tcPr>
                            <w:tcW w:w="62" w:type="dxa"/>
                            <w:tcBorders>
                              <w:bottom w:val="single" w:color="000000" w:sz="6" w:space="0"/>
                            </w:tcBorders>
                          </w:tcPr>
                          <w:p>
                            <w:pPr>
                              <w:pStyle w:val="TableParagraph"/>
                              <w:rPr>
                                <w:rFonts w:ascii="Times New Roman"/>
                                <w:sz w:val="20"/>
                              </w:rPr>
                            </w:pPr>
                          </w:p>
                        </w:tc>
                        <w:tc>
                          <w:tcPr>
                            <w:tcW w:w="1624" w:type="dxa"/>
                            <w:tcBorders>
                              <w:bottom w:val="single" w:color="000000" w:sz="6" w:space="0"/>
                            </w:tcBorders>
                          </w:tcPr>
                          <w:p>
                            <w:pPr>
                              <w:pStyle w:val="TableParagraph"/>
                              <w:spacing w:before="178" w:line="232" w:lineRule="exact"/>
                              <w:ind w:right="213"/>
                              <w:jc w:val="right"/>
                              <w:rPr>
                                <w:sz w:val="22"/>
                              </w:rPr>
                            </w:pPr>
                            <w:r>
                              <w:rPr>
                                <w:color w:val="050505"/>
                                <w:spacing w:val="-5"/>
                                <w:sz w:val="22"/>
                              </w:rPr>
                              <w:t>50</w:t>
                            </w:r>
                          </w:p>
                        </w:tc>
                        <w:tc>
                          <w:tcPr>
                            <w:tcW w:w="1399" w:type="dxa"/>
                          </w:tcPr>
                          <w:p>
                            <w:pPr>
                              <w:pStyle w:val="TableParagraph"/>
                              <w:rPr>
                                <w:rFonts w:ascii="Times New Roman"/>
                                <w:sz w:val="20"/>
                              </w:rPr>
                            </w:pPr>
                          </w:p>
                        </w:tc>
                        <w:tc>
                          <w:tcPr>
                            <w:tcW w:w="1440" w:type="dxa"/>
                          </w:tcPr>
                          <w:p>
                            <w:pPr>
                              <w:pStyle w:val="TableParagraph"/>
                              <w:spacing w:before="192" w:line="218" w:lineRule="exact"/>
                              <w:ind w:right="86"/>
                              <w:jc w:val="right"/>
                              <w:rPr>
                                <w:b/>
                                <w:sz w:val="21"/>
                              </w:rPr>
                            </w:pPr>
                            <w:r>
                              <w:rPr>
                                <w:b/>
                                <w:color w:val="050505"/>
                                <w:spacing w:val="-4"/>
                                <w:w w:val="105"/>
                                <w:sz w:val="21"/>
                              </w:rPr>
                              <w:t>5,053</w:t>
                            </w:r>
                          </w:p>
                        </w:tc>
                      </w:tr>
                      <w:tr>
                        <w:trPr>
                          <w:trHeight w:val="281" w:hRule="atLeast"/>
                        </w:trPr>
                        <w:tc>
                          <w:tcPr>
                            <w:tcW w:w="3622" w:type="dxa"/>
                          </w:tcPr>
                          <w:p>
                            <w:pPr>
                              <w:pStyle w:val="TableParagraph"/>
                              <w:spacing w:before="36" w:line="226" w:lineRule="exact"/>
                              <w:ind w:left="54"/>
                              <w:rPr>
                                <w:sz w:val="22"/>
                              </w:rPr>
                            </w:pPr>
                            <w:r>
                              <w:rPr>
                                <w:color w:val="050505"/>
                                <w:sz w:val="22"/>
                              </w:rPr>
                              <w:t>Audit</w:t>
                            </w:r>
                            <w:r>
                              <w:rPr>
                                <w:color w:val="050505"/>
                                <w:spacing w:val="1"/>
                                <w:sz w:val="22"/>
                              </w:rPr>
                              <w:t> </w:t>
                            </w:r>
                            <w:r>
                              <w:rPr>
                                <w:color w:val="050505"/>
                                <w:sz w:val="22"/>
                              </w:rPr>
                              <w:t>&amp;</w:t>
                            </w:r>
                            <w:r>
                              <w:rPr>
                                <w:color w:val="050505"/>
                                <w:spacing w:val="-8"/>
                                <w:sz w:val="22"/>
                              </w:rPr>
                              <w:t> </w:t>
                            </w:r>
                            <w:r>
                              <w:rPr>
                                <w:color w:val="050505"/>
                                <w:spacing w:val="-2"/>
                                <w:sz w:val="22"/>
                              </w:rPr>
                              <w:t>Assurance</w:t>
                            </w:r>
                          </w:p>
                        </w:tc>
                        <w:tc>
                          <w:tcPr>
                            <w:tcW w:w="1539" w:type="dxa"/>
                            <w:tcBorders>
                              <w:top w:val="single" w:color="000000" w:sz="6" w:space="0"/>
                              <w:bottom w:val="single" w:color="000000" w:sz="6" w:space="0"/>
                              <w:right w:val="single" w:color="000000" w:sz="6" w:space="0"/>
                            </w:tcBorders>
                          </w:tcPr>
                          <w:p>
                            <w:pPr>
                              <w:pStyle w:val="TableParagraph"/>
                              <w:rPr>
                                <w:rFonts w:ascii="Times New Roman"/>
                                <w:sz w:val="20"/>
                              </w:rPr>
                            </w:pPr>
                          </w:p>
                        </w:tc>
                        <w:tc>
                          <w:tcPr>
                            <w:tcW w:w="62" w:type="dxa"/>
                            <w:tcBorders>
                              <w:top w:val="single" w:color="000000" w:sz="6" w:space="0"/>
                              <w:left w:val="single" w:color="000000" w:sz="6" w:space="0"/>
                              <w:bottom w:val="single" w:color="000000" w:sz="6" w:space="0"/>
                              <w:right w:val="single" w:color="000000" w:sz="6" w:space="0"/>
                            </w:tcBorders>
                          </w:tcPr>
                          <w:p>
                            <w:pPr>
                              <w:pStyle w:val="TableParagraph"/>
                              <w:rPr>
                                <w:rFonts w:ascii="Times New Roman"/>
                                <w:sz w:val="20"/>
                              </w:rPr>
                            </w:pPr>
                          </w:p>
                        </w:tc>
                        <w:tc>
                          <w:tcPr>
                            <w:tcW w:w="1624" w:type="dxa"/>
                            <w:tcBorders>
                              <w:top w:val="single" w:color="000000" w:sz="6" w:space="0"/>
                              <w:left w:val="single" w:color="000000" w:sz="6" w:space="0"/>
                              <w:bottom w:val="single" w:color="000000" w:sz="6" w:space="0"/>
                            </w:tcBorders>
                          </w:tcPr>
                          <w:p>
                            <w:pPr>
                              <w:pStyle w:val="TableParagraph"/>
                              <w:spacing w:before="77"/>
                              <w:rPr>
                                <w:b/>
                                <w:sz w:val="10"/>
                              </w:rPr>
                            </w:pPr>
                          </w:p>
                          <w:p>
                            <w:pPr>
                              <w:pStyle w:val="TableParagraph"/>
                              <w:spacing w:line="80" w:lineRule="exact"/>
                              <w:ind w:right="82"/>
                              <w:jc w:val="right"/>
                              <w:rPr>
                                <w:rFonts w:ascii="Times New Roman"/>
                                <w:sz w:val="10"/>
                              </w:rPr>
                            </w:pPr>
                            <w:r>
                              <w:rPr>
                                <w:rFonts w:ascii="Times New Roman"/>
                                <w:color w:val="C3C3C3"/>
                                <w:spacing w:val="-10"/>
                                <w:w w:val="95"/>
                                <w:sz w:val="10"/>
                              </w:rPr>
                              <w:t>I</w:t>
                            </w:r>
                          </w:p>
                        </w:tc>
                        <w:tc>
                          <w:tcPr>
                            <w:tcW w:w="1399" w:type="dxa"/>
                          </w:tcPr>
                          <w:p>
                            <w:pPr>
                              <w:pStyle w:val="TableParagraph"/>
                              <w:rPr>
                                <w:rFonts w:ascii="Times New Roman"/>
                                <w:sz w:val="20"/>
                              </w:rPr>
                            </w:pPr>
                          </w:p>
                        </w:tc>
                        <w:tc>
                          <w:tcPr>
                            <w:tcW w:w="1440" w:type="dxa"/>
                          </w:tcPr>
                          <w:p>
                            <w:pPr>
                              <w:pStyle w:val="TableParagraph"/>
                              <w:rPr>
                                <w:rFonts w:ascii="Times New Roman"/>
                                <w:sz w:val="20"/>
                              </w:rPr>
                            </w:pPr>
                          </w:p>
                        </w:tc>
                      </w:tr>
                      <w:tr>
                        <w:trPr>
                          <w:trHeight w:val="350" w:hRule="atLeast"/>
                        </w:trPr>
                        <w:tc>
                          <w:tcPr>
                            <w:tcW w:w="3622" w:type="dxa"/>
                          </w:tcPr>
                          <w:p>
                            <w:pPr>
                              <w:pStyle w:val="TableParagraph"/>
                              <w:spacing w:before="47"/>
                              <w:ind w:left="51"/>
                              <w:rPr>
                                <w:sz w:val="22"/>
                              </w:rPr>
                            </w:pPr>
                            <w:r>
                              <w:rPr>
                                <w:color w:val="050505"/>
                                <w:spacing w:val="-2"/>
                                <w:sz w:val="22"/>
                              </w:rPr>
                              <w:t>Executive</w:t>
                            </w:r>
                            <w:r>
                              <w:rPr>
                                <w:color w:val="050505"/>
                                <w:spacing w:val="2"/>
                                <w:sz w:val="22"/>
                              </w:rPr>
                              <w:t> </w:t>
                            </w:r>
                            <w:r>
                              <w:rPr>
                                <w:color w:val="050505"/>
                                <w:spacing w:val="-2"/>
                                <w:sz w:val="22"/>
                              </w:rPr>
                              <w:t>Directors</w:t>
                            </w:r>
                          </w:p>
                        </w:tc>
                        <w:tc>
                          <w:tcPr>
                            <w:tcW w:w="1539" w:type="dxa"/>
                            <w:tcBorders>
                              <w:top w:val="single" w:color="000000" w:sz="6" w:space="0"/>
                            </w:tcBorders>
                          </w:tcPr>
                          <w:p>
                            <w:pPr>
                              <w:pStyle w:val="TableParagraph"/>
                              <w:spacing w:line="286" w:lineRule="exact"/>
                              <w:ind w:right="128"/>
                              <w:jc w:val="right"/>
                              <w:rPr>
                                <w:sz w:val="25"/>
                              </w:rPr>
                            </w:pPr>
                            <w:r>
                              <w:rPr>
                                <w:color w:val="050505"/>
                                <w:spacing w:val="-10"/>
                                <w:sz w:val="25"/>
                              </w:rPr>
                              <w:t>-</w:t>
                            </w:r>
                          </w:p>
                        </w:tc>
                        <w:tc>
                          <w:tcPr>
                            <w:tcW w:w="62" w:type="dxa"/>
                            <w:tcBorders>
                              <w:top w:val="single" w:color="000000" w:sz="6" w:space="0"/>
                            </w:tcBorders>
                          </w:tcPr>
                          <w:p>
                            <w:pPr>
                              <w:pStyle w:val="TableParagraph"/>
                              <w:rPr>
                                <w:rFonts w:ascii="Times New Roman"/>
                                <w:sz w:val="20"/>
                              </w:rPr>
                            </w:pPr>
                          </w:p>
                        </w:tc>
                        <w:tc>
                          <w:tcPr>
                            <w:tcW w:w="1624" w:type="dxa"/>
                            <w:tcBorders>
                              <w:top w:val="single" w:color="000000" w:sz="6" w:space="0"/>
                            </w:tcBorders>
                          </w:tcPr>
                          <w:p>
                            <w:pPr>
                              <w:pStyle w:val="TableParagraph"/>
                              <w:spacing w:line="320" w:lineRule="exact"/>
                              <w:ind w:right="71"/>
                              <w:jc w:val="right"/>
                              <w:rPr>
                                <w:sz w:val="34"/>
                              </w:rPr>
                            </w:pPr>
                            <w:r>
                              <w:rPr>
                                <w:color w:val="050505"/>
                                <w:sz w:val="22"/>
                              </w:rPr>
                              <w:t>52</w:t>
                            </w:r>
                            <w:r>
                              <w:rPr>
                                <w:color w:val="050505"/>
                                <w:spacing w:val="11"/>
                                <w:sz w:val="22"/>
                              </w:rPr>
                              <w:t> </w:t>
                            </w:r>
                            <w:r>
                              <w:rPr>
                                <w:color w:val="C3C3C3"/>
                                <w:spacing w:val="-10"/>
                                <w:sz w:val="34"/>
                              </w:rPr>
                              <w:t>I</w:t>
                            </w:r>
                          </w:p>
                        </w:tc>
                        <w:tc>
                          <w:tcPr>
                            <w:tcW w:w="1399" w:type="dxa"/>
                          </w:tcPr>
                          <w:p>
                            <w:pPr>
                              <w:pStyle w:val="TableParagraph"/>
                              <w:rPr>
                                <w:rFonts w:ascii="Times New Roman"/>
                                <w:sz w:val="20"/>
                              </w:rPr>
                            </w:pPr>
                          </w:p>
                        </w:tc>
                        <w:tc>
                          <w:tcPr>
                            <w:tcW w:w="1440" w:type="dxa"/>
                          </w:tcPr>
                          <w:p>
                            <w:pPr>
                              <w:pStyle w:val="TableParagraph"/>
                              <w:spacing w:before="71"/>
                              <w:ind w:right="78"/>
                              <w:jc w:val="right"/>
                              <w:rPr>
                                <w:b/>
                                <w:sz w:val="21"/>
                              </w:rPr>
                            </w:pPr>
                            <w:r>
                              <w:rPr>
                                <w:b/>
                                <w:color w:val="050505"/>
                                <w:spacing w:val="-5"/>
                                <w:w w:val="105"/>
                                <w:sz w:val="21"/>
                              </w:rPr>
                              <w:t>52</w:t>
                            </w:r>
                          </w:p>
                        </w:tc>
                      </w:tr>
                      <w:tr>
                        <w:trPr>
                          <w:trHeight w:val="224" w:hRule="atLeast"/>
                        </w:trPr>
                        <w:tc>
                          <w:tcPr>
                            <w:tcW w:w="3622" w:type="dxa"/>
                          </w:tcPr>
                          <w:p>
                            <w:pPr>
                              <w:pStyle w:val="TableParagraph"/>
                              <w:spacing w:before="4" w:line="200" w:lineRule="exact"/>
                              <w:ind w:left="51"/>
                              <w:rPr>
                                <w:sz w:val="22"/>
                              </w:rPr>
                            </w:pPr>
                            <w:r>
                              <w:rPr>
                                <w:color w:val="050505"/>
                                <w:sz w:val="22"/>
                              </w:rPr>
                              <w:t>Engineering</w:t>
                            </w:r>
                            <w:r>
                              <w:rPr>
                                <w:color w:val="050505"/>
                                <w:spacing w:val="-10"/>
                                <w:sz w:val="22"/>
                              </w:rPr>
                              <w:t> </w:t>
                            </w:r>
                            <w:r>
                              <w:rPr>
                                <w:color w:val="050505"/>
                                <w:spacing w:val="-2"/>
                                <w:sz w:val="22"/>
                              </w:rPr>
                              <w:t>Services</w:t>
                            </w:r>
                          </w:p>
                        </w:tc>
                        <w:tc>
                          <w:tcPr>
                            <w:tcW w:w="1539" w:type="dxa"/>
                          </w:tcPr>
                          <w:p>
                            <w:pPr>
                              <w:pStyle w:val="TableParagraph"/>
                              <w:spacing w:before="4" w:line="200" w:lineRule="exact"/>
                              <w:ind w:right="133"/>
                              <w:jc w:val="right"/>
                              <w:rPr>
                                <w:sz w:val="22"/>
                              </w:rPr>
                            </w:pPr>
                            <w:r>
                              <w:rPr>
                                <w:color w:val="050505"/>
                                <w:spacing w:val="-10"/>
                                <w:w w:val="105"/>
                                <w:sz w:val="22"/>
                              </w:rPr>
                              <w:t>7</w:t>
                            </w:r>
                          </w:p>
                        </w:tc>
                        <w:tc>
                          <w:tcPr>
                            <w:tcW w:w="62" w:type="dxa"/>
                          </w:tcPr>
                          <w:p>
                            <w:pPr>
                              <w:pStyle w:val="TableParagraph"/>
                              <w:rPr>
                                <w:rFonts w:ascii="Times New Roman"/>
                                <w:sz w:val="16"/>
                              </w:rPr>
                            </w:pPr>
                          </w:p>
                        </w:tc>
                        <w:tc>
                          <w:tcPr>
                            <w:tcW w:w="1624" w:type="dxa"/>
                          </w:tcPr>
                          <w:p>
                            <w:pPr>
                              <w:pStyle w:val="TableParagraph"/>
                              <w:spacing w:before="23" w:line="181" w:lineRule="exact"/>
                              <w:ind w:right="68"/>
                              <w:jc w:val="right"/>
                              <w:rPr>
                                <w:sz w:val="18"/>
                              </w:rPr>
                            </w:pPr>
                            <w:r>
                              <w:rPr>
                                <w:color w:val="050505"/>
                                <w:w w:val="90"/>
                                <w:sz w:val="22"/>
                              </w:rPr>
                              <w:t>46</w:t>
                            </w:r>
                            <w:r>
                              <w:rPr>
                                <w:color w:val="050505"/>
                                <w:spacing w:val="46"/>
                                <w:sz w:val="22"/>
                              </w:rPr>
                              <w:t> </w:t>
                            </w:r>
                            <w:r>
                              <w:rPr>
                                <w:color w:val="C3C3C3"/>
                                <w:spacing w:val="-10"/>
                                <w:w w:val="90"/>
                                <w:sz w:val="18"/>
                              </w:rPr>
                              <w:t>1</w:t>
                            </w:r>
                          </w:p>
                        </w:tc>
                        <w:tc>
                          <w:tcPr>
                            <w:tcW w:w="1399" w:type="dxa"/>
                          </w:tcPr>
                          <w:p>
                            <w:pPr>
                              <w:pStyle w:val="TableParagraph"/>
                              <w:rPr>
                                <w:rFonts w:ascii="Times New Roman"/>
                                <w:sz w:val="16"/>
                              </w:rPr>
                            </w:pPr>
                          </w:p>
                        </w:tc>
                        <w:tc>
                          <w:tcPr>
                            <w:tcW w:w="1440" w:type="dxa"/>
                          </w:tcPr>
                          <w:p>
                            <w:pPr>
                              <w:pStyle w:val="TableParagraph"/>
                              <w:spacing w:before="32" w:line="172" w:lineRule="exact"/>
                              <w:ind w:right="75"/>
                              <w:jc w:val="right"/>
                              <w:rPr>
                                <w:b/>
                                <w:sz w:val="21"/>
                              </w:rPr>
                            </w:pPr>
                            <w:r>
                              <w:rPr>
                                <w:b/>
                                <w:color w:val="050505"/>
                                <w:spacing w:val="-5"/>
                                <w:w w:val="105"/>
                                <w:sz w:val="21"/>
                              </w:rPr>
                              <w:t>53</w:t>
                            </w:r>
                          </w:p>
                        </w:tc>
                      </w:tr>
                      <w:tr>
                        <w:trPr>
                          <w:trHeight w:val="372" w:hRule="atLeast"/>
                        </w:trPr>
                        <w:tc>
                          <w:tcPr>
                            <w:tcW w:w="3622" w:type="dxa"/>
                          </w:tcPr>
                          <w:p>
                            <w:pPr>
                              <w:pStyle w:val="TableParagraph"/>
                              <w:spacing w:before="87"/>
                              <w:ind w:left="51"/>
                              <w:rPr>
                                <w:sz w:val="22"/>
                              </w:rPr>
                            </w:pPr>
                            <w:r>
                              <w:rPr>
                                <w:color w:val="050505"/>
                                <w:spacing w:val="-2"/>
                                <w:sz w:val="22"/>
                              </w:rPr>
                              <w:t>Environmental</w:t>
                            </w:r>
                            <w:r>
                              <w:rPr>
                                <w:color w:val="050505"/>
                                <w:spacing w:val="9"/>
                                <w:sz w:val="22"/>
                              </w:rPr>
                              <w:t> </w:t>
                            </w:r>
                            <w:r>
                              <w:rPr>
                                <w:color w:val="050505"/>
                                <w:spacing w:val="-2"/>
                                <w:sz w:val="22"/>
                              </w:rPr>
                              <w:t>Health</w:t>
                            </w:r>
                          </w:p>
                        </w:tc>
                        <w:tc>
                          <w:tcPr>
                            <w:tcW w:w="1539" w:type="dxa"/>
                            <w:tcBorders>
                              <w:bottom w:val="single" w:color="000000" w:sz="6" w:space="0"/>
                            </w:tcBorders>
                          </w:tcPr>
                          <w:p>
                            <w:pPr>
                              <w:pStyle w:val="TableParagraph"/>
                              <w:spacing w:before="92" w:line="237" w:lineRule="exact"/>
                              <w:ind w:right="125"/>
                              <w:jc w:val="right"/>
                              <w:rPr>
                                <w:sz w:val="22"/>
                              </w:rPr>
                            </w:pPr>
                            <w:r>
                              <w:rPr>
                                <w:color w:val="050505"/>
                                <w:spacing w:val="-10"/>
                                <w:sz w:val="22"/>
                              </w:rPr>
                              <w:t>3</w:t>
                            </w:r>
                          </w:p>
                        </w:tc>
                        <w:tc>
                          <w:tcPr>
                            <w:tcW w:w="1686" w:type="dxa"/>
                            <w:gridSpan w:val="2"/>
                            <w:tcBorders>
                              <w:bottom w:val="single" w:color="000000" w:sz="6" w:space="0"/>
                            </w:tcBorders>
                          </w:tcPr>
                          <w:p>
                            <w:pPr>
                              <w:pStyle w:val="TableParagraph"/>
                              <w:spacing w:line="329" w:lineRule="exact"/>
                              <w:ind w:left="1105"/>
                              <w:rPr>
                                <w:sz w:val="34"/>
                              </w:rPr>
                            </w:pPr>
                            <w:r>
                              <w:rPr>
                                <w:color w:val="050505"/>
                                <w:sz w:val="22"/>
                              </w:rPr>
                              <w:t>121</w:t>
                            </w:r>
                            <w:r>
                              <w:rPr>
                                <w:color w:val="050505"/>
                                <w:spacing w:val="7"/>
                                <w:sz w:val="22"/>
                              </w:rPr>
                              <w:t> </w:t>
                            </w:r>
                            <w:r>
                              <w:rPr>
                                <w:color w:val="C3C3C3"/>
                                <w:spacing w:val="-10"/>
                                <w:sz w:val="34"/>
                              </w:rPr>
                              <w:t>I</w:t>
                            </w:r>
                          </w:p>
                        </w:tc>
                        <w:tc>
                          <w:tcPr>
                            <w:tcW w:w="1399" w:type="dxa"/>
                          </w:tcPr>
                          <w:p>
                            <w:pPr>
                              <w:pStyle w:val="TableParagraph"/>
                              <w:spacing w:before="68"/>
                              <w:ind w:right="116"/>
                              <w:jc w:val="right"/>
                              <w:rPr>
                                <w:sz w:val="22"/>
                              </w:rPr>
                            </w:pPr>
                            <w:r>
                              <w:rPr>
                                <w:color w:val="050505"/>
                                <w:spacing w:val="-10"/>
                                <w:w w:val="95"/>
                                <w:sz w:val="22"/>
                              </w:rPr>
                              <w:t>1</w:t>
                            </w:r>
                          </w:p>
                        </w:tc>
                        <w:tc>
                          <w:tcPr>
                            <w:tcW w:w="1440" w:type="dxa"/>
                          </w:tcPr>
                          <w:p>
                            <w:pPr>
                              <w:pStyle w:val="TableParagraph"/>
                              <w:spacing w:before="111"/>
                              <w:ind w:right="77"/>
                              <w:jc w:val="right"/>
                              <w:rPr>
                                <w:b/>
                                <w:sz w:val="21"/>
                              </w:rPr>
                            </w:pPr>
                            <w:r>
                              <w:rPr>
                                <w:b/>
                                <w:color w:val="050505"/>
                                <w:spacing w:val="-5"/>
                                <w:w w:val="105"/>
                                <w:sz w:val="21"/>
                              </w:rPr>
                              <w:t>125</w:t>
                            </w:r>
                          </w:p>
                        </w:tc>
                      </w:tr>
                      <w:tr>
                        <w:trPr>
                          <w:trHeight w:val="268" w:hRule="atLeast"/>
                        </w:trPr>
                        <w:tc>
                          <w:tcPr>
                            <w:tcW w:w="3622" w:type="dxa"/>
                          </w:tcPr>
                          <w:p>
                            <w:pPr>
                              <w:pStyle w:val="TableParagraph"/>
                              <w:spacing w:before="12" w:line="237" w:lineRule="exact"/>
                              <w:ind w:left="50"/>
                              <w:rPr>
                                <w:sz w:val="22"/>
                              </w:rPr>
                            </w:pPr>
                            <w:r>
                              <w:rPr>
                                <w:color w:val="050505"/>
                                <w:sz w:val="22"/>
                              </w:rPr>
                              <w:t>Finance</w:t>
                            </w:r>
                            <w:r>
                              <w:rPr>
                                <w:color w:val="050505"/>
                                <w:spacing w:val="-2"/>
                                <w:sz w:val="22"/>
                              </w:rPr>
                              <w:t> </w:t>
                            </w:r>
                            <w:r>
                              <w:rPr>
                                <w:color w:val="050505"/>
                                <w:sz w:val="22"/>
                              </w:rPr>
                              <w:t>&amp;</w:t>
                            </w:r>
                            <w:r>
                              <w:rPr>
                                <w:color w:val="050505"/>
                                <w:spacing w:val="-11"/>
                                <w:sz w:val="22"/>
                              </w:rPr>
                              <w:t> </w:t>
                            </w:r>
                            <w:r>
                              <w:rPr>
                                <w:color w:val="050505"/>
                                <w:sz w:val="22"/>
                              </w:rPr>
                              <w:t>Business</w:t>
                            </w:r>
                            <w:r>
                              <w:rPr>
                                <w:color w:val="050505"/>
                                <w:spacing w:val="5"/>
                                <w:sz w:val="22"/>
                              </w:rPr>
                              <w:t> </w:t>
                            </w:r>
                            <w:r>
                              <w:rPr>
                                <w:color w:val="050505"/>
                                <w:spacing w:val="-2"/>
                                <w:sz w:val="22"/>
                              </w:rPr>
                              <w:t>Services</w:t>
                            </w:r>
                          </w:p>
                        </w:tc>
                        <w:tc>
                          <w:tcPr>
                            <w:tcW w:w="1539" w:type="dxa"/>
                            <w:tcBorders>
                              <w:top w:val="single" w:color="000000" w:sz="6" w:space="0"/>
                              <w:bottom w:val="single" w:color="000000" w:sz="6" w:space="0"/>
                            </w:tcBorders>
                          </w:tcPr>
                          <w:p>
                            <w:pPr>
                              <w:pStyle w:val="TableParagraph"/>
                              <w:spacing w:before="31" w:line="241" w:lineRule="exact"/>
                              <w:ind w:right="124"/>
                              <w:jc w:val="right"/>
                              <w:rPr>
                                <w:sz w:val="22"/>
                              </w:rPr>
                            </w:pPr>
                            <w:r>
                              <w:rPr>
                                <w:color w:val="050505"/>
                                <w:spacing w:val="-5"/>
                                <w:sz w:val="22"/>
                              </w:rPr>
                              <w:t>131</w:t>
                            </w:r>
                          </w:p>
                        </w:tc>
                        <w:tc>
                          <w:tcPr>
                            <w:tcW w:w="1686" w:type="dxa"/>
                            <w:gridSpan w:val="2"/>
                            <w:tcBorders>
                              <w:top w:val="single" w:color="000000" w:sz="6" w:space="0"/>
                              <w:bottom w:val="single" w:color="000000" w:sz="6" w:space="0"/>
                            </w:tcBorders>
                          </w:tcPr>
                          <w:p>
                            <w:pPr>
                              <w:pStyle w:val="TableParagraph"/>
                              <w:spacing w:before="36" w:line="237" w:lineRule="exact"/>
                              <w:ind w:left="1103"/>
                              <w:rPr>
                                <w:sz w:val="22"/>
                              </w:rPr>
                            </w:pPr>
                            <w:r>
                              <w:rPr>
                                <w:color w:val="050505"/>
                                <w:spacing w:val="-5"/>
                                <w:sz w:val="22"/>
                              </w:rPr>
                              <w:t>263</w:t>
                            </w:r>
                          </w:p>
                        </w:tc>
                        <w:tc>
                          <w:tcPr>
                            <w:tcW w:w="1399" w:type="dxa"/>
                          </w:tcPr>
                          <w:p>
                            <w:pPr>
                              <w:pStyle w:val="TableParagraph"/>
                              <w:spacing w:line="241" w:lineRule="exact"/>
                              <w:ind w:right="99"/>
                              <w:jc w:val="right"/>
                              <w:rPr>
                                <w:sz w:val="22"/>
                              </w:rPr>
                            </w:pPr>
                            <w:r>
                              <w:rPr>
                                <w:color w:val="050505"/>
                                <w:spacing w:val="-10"/>
                                <w:sz w:val="22"/>
                              </w:rPr>
                              <w:t>1</w:t>
                            </w:r>
                          </w:p>
                        </w:tc>
                        <w:tc>
                          <w:tcPr>
                            <w:tcW w:w="1440" w:type="dxa"/>
                          </w:tcPr>
                          <w:p>
                            <w:pPr>
                              <w:pStyle w:val="TableParagraph"/>
                              <w:spacing w:before="35" w:line="213" w:lineRule="exact"/>
                              <w:ind w:right="75"/>
                              <w:jc w:val="right"/>
                              <w:rPr>
                                <w:b/>
                                <w:sz w:val="21"/>
                              </w:rPr>
                            </w:pPr>
                            <w:r>
                              <w:rPr>
                                <w:b/>
                                <w:color w:val="050505"/>
                                <w:spacing w:val="-5"/>
                                <w:w w:val="105"/>
                                <w:sz w:val="21"/>
                              </w:rPr>
                              <w:t>395</w:t>
                            </w:r>
                          </w:p>
                        </w:tc>
                      </w:tr>
                      <w:tr>
                        <w:trPr>
                          <w:trHeight w:val="287" w:hRule="atLeast"/>
                        </w:trPr>
                        <w:tc>
                          <w:tcPr>
                            <w:tcW w:w="3622" w:type="dxa"/>
                          </w:tcPr>
                          <w:p>
                            <w:pPr>
                              <w:pStyle w:val="TableParagraph"/>
                              <w:spacing w:before="36" w:line="232" w:lineRule="exact"/>
                              <w:ind w:left="52"/>
                              <w:rPr>
                                <w:sz w:val="22"/>
                              </w:rPr>
                            </w:pPr>
                            <w:r>
                              <w:rPr>
                                <w:color w:val="050505"/>
                                <w:sz w:val="22"/>
                              </w:rPr>
                              <w:t>General</w:t>
                            </w:r>
                            <w:r>
                              <w:rPr>
                                <w:color w:val="050505"/>
                                <w:spacing w:val="-8"/>
                                <w:sz w:val="22"/>
                              </w:rPr>
                              <w:t> </w:t>
                            </w:r>
                            <w:r>
                              <w:rPr>
                                <w:color w:val="050505"/>
                                <w:spacing w:val="-2"/>
                                <w:sz w:val="22"/>
                              </w:rPr>
                              <w:t>Expenses</w:t>
                            </w:r>
                          </w:p>
                        </w:tc>
                        <w:tc>
                          <w:tcPr>
                            <w:tcW w:w="1539" w:type="dxa"/>
                            <w:tcBorders>
                              <w:top w:val="single" w:color="000000" w:sz="6" w:space="0"/>
                              <w:bottom w:val="single" w:color="000000" w:sz="6" w:space="0"/>
                            </w:tcBorders>
                          </w:tcPr>
                          <w:p>
                            <w:pPr>
                              <w:pStyle w:val="TableParagraph"/>
                              <w:rPr>
                                <w:rFonts w:ascii="Times New Roman"/>
                                <w:sz w:val="20"/>
                              </w:rPr>
                            </w:pPr>
                          </w:p>
                        </w:tc>
                        <w:tc>
                          <w:tcPr>
                            <w:tcW w:w="1686" w:type="dxa"/>
                            <w:gridSpan w:val="2"/>
                            <w:tcBorders>
                              <w:top w:val="single" w:color="000000" w:sz="6" w:space="0"/>
                              <w:bottom w:val="single" w:color="000000" w:sz="6" w:space="0"/>
                            </w:tcBorders>
                          </w:tcPr>
                          <w:p>
                            <w:pPr>
                              <w:pStyle w:val="TableParagraph"/>
                              <w:spacing w:line="268" w:lineRule="exact"/>
                              <w:ind w:right="52"/>
                              <w:jc w:val="right"/>
                              <w:rPr>
                                <w:sz w:val="34"/>
                              </w:rPr>
                            </w:pPr>
                            <w:r>
                              <w:rPr>
                                <w:color w:val="050505"/>
                                <w:w w:val="75"/>
                                <w:sz w:val="34"/>
                              </w:rPr>
                              <w:t>-</w:t>
                            </w:r>
                            <w:r>
                              <w:rPr>
                                <w:color w:val="050505"/>
                                <w:spacing w:val="-14"/>
                                <w:w w:val="90"/>
                                <w:sz w:val="34"/>
                              </w:rPr>
                              <w:t> </w:t>
                            </w:r>
                            <w:r>
                              <w:rPr>
                                <w:color w:val="C3C3C3"/>
                                <w:spacing w:val="-10"/>
                                <w:w w:val="90"/>
                                <w:sz w:val="34"/>
                              </w:rPr>
                              <w:t>I</w:t>
                            </w:r>
                          </w:p>
                        </w:tc>
                        <w:tc>
                          <w:tcPr>
                            <w:tcW w:w="1399" w:type="dxa"/>
                          </w:tcPr>
                          <w:p>
                            <w:pPr>
                              <w:pStyle w:val="TableParagraph"/>
                              <w:rPr>
                                <w:rFonts w:ascii="Times New Roman"/>
                                <w:sz w:val="20"/>
                              </w:rPr>
                            </w:pPr>
                          </w:p>
                        </w:tc>
                        <w:tc>
                          <w:tcPr>
                            <w:tcW w:w="1440" w:type="dxa"/>
                          </w:tcPr>
                          <w:p>
                            <w:pPr>
                              <w:pStyle w:val="TableParagraph"/>
                              <w:rPr>
                                <w:rFonts w:ascii="Times New Roman"/>
                                <w:sz w:val="20"/>
                              </w:rPr>
                            </w:pPr>
                          </w:p>
                        </w:tc>
                      </w:tr>
                    </w:tbl>
                    <w:p>
                      <w:pPr>
                        <w:pStyle w:val="BodyText"/>
                      </w:pPr>
                    </w:p>
                  </w:txbxContent>
                </v:textbox>
                <w10:wrap type="none"/>
              </v:shape>
            </w:pict>
          </ve:Fallback>
        </ve:AlternateContent>
      </w:r>
      <w:r>
        <w:rPr>
          <w:color w:val="C3C3C3"/>
          <w:spacing w:val="-10"/>
          <w:sz w:val="25"/>
        </w:rPr>
        <w:t>I</w:t>
      </w:r>
    </w:p>
    <w:p>
      <w:pPr>
        <w:pStyle w:val="BodyText"/>
        <w:ind w:left="5399"/>
        <w:rPr>
          <w:sz w:val="20"/>
        </w:rPr>
      </w:pPr>
      <w:r>
        <w:rPr>
          <w:sz w:val="20"/>
        </w:rPr>
        <ve:AlternateContent>
          <ve:Choice Requires="wps">
            <w:drawing>
              <wp:inline distT="0" distB="0" distL="0" distR="0">
                <wp:extent cx="2048510" cy="789305"/>
                <wp:effectExtent l="9525" t="0" r="0" b="10795"/>
                <wp:docPr id="247" name="Group 247"/>
                <wp:cNvGraphicFramePr>
                  <a:graphicFrameLocks/>
                </wp:cNvGraphicFramePr>
                <a:graphic>
                  <a:graphicData uri="http://schemas.microsoft.com/office/word/2010/wordprocessingGroup">
                    <wpg:wgp>
                      <wpg:cNvPr id="247" name="Group 247"/>
                      <wpg:cNvGrpSpPr/>
                      <wpg:grpSpPr>
                        <a:xfrm>
                          <a:off x="0" y="0"/>
                          <a:ext cx="2048510" cy="789305"/>
                          <a:chExt cx="2048510" cy="789305"/>
                        </a:xfrm>
                      </wpg:grpSpPr>
                      <wps:wsp>
                        <wps:cNvPr id="248" name="Graphic 248"/>
                        <wps:cNvSpPr/>
                        <wps:spPr>
                          <a:xfrm>
                            <a:off x="0" y="1525"/>
                            <a:ext cx="2048510" cy="787400"/>
                          </a:xfrm>
                          <a:custGeom>
                            <a:avLst/>
                            <a:gdLst/>
                            <a:ahLst/>
                            <a:cxnLst/>
                            <a:rect l="l" t="t" r="r" b="b"/>
                            <a:pathLst>
                              <a:path w="2048510" h="787400">
                                <a:moveTo>
                                  <a:pt x="0" y="3051"/>
                                </a:moveTo>
                                <a:lnTo>
                                  <a:pt x="2048506" y="3051"/>
                                </a:lnTo>
                              </a:path>
                              <a:path w="2048510" h="787400">
                                <a:moveTo>
                                  <a:pt x="0" y="198346"/>
                                </a:moveTo>
                                <a:lnTo>
                                  <a:pt x="2048506" y="198346"/>
                                </a:lnTo>
                              </a:path>
                              <a:path w="2048510" h="787400">
                                <a:moveTo>
                                  <a:pt x="992197" y="787281"/>
                                </a:moveTo>
                                <a:lnTo>
                                  <a:pt x="992197" y="0"/>
                                </a:lnTo>
                              </a:path>
                            </a:pathLst>
                          </a:custGeom>
                          <a:ln w="9156">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59" style="width:161.3pt;height:62.15pt;mso-position-horizontal-relative:char;mso-position-vertical-relative:line" coordsize="3226,1243" coordorigin="0,0">
                <v:shape id="docshape160" style="position:absolute;left:0;top:2;width:3226;height:1240" coordsize="3226,1240" coordorigin="0,2" filled="false" stroked="true" strokecolor="#000000" strokeweight=".720991pt" path="m0,7l3226,7m0,315l3226,315m1563,1242l1563,2e">
                  <v:path arrowok="t"/>
                  <v:stroke dashstyle="solid"/>
                </v:shape>
              </v:group>
            </w:pict>
          </ve:Fallback>
        </ve:AlternateContent>
      </w:r>
      <w:r>
        <w:rPr>
          <w:sz w:val="20"/>
        </w:rPr>
      </w:r>
    </w:p>
    <w:p>
      <w:pPr>
        <w:tabs>
          <w:tab w:val="left" w:leader="none" w:pos="5407"/>
          <w:tab w:val="left" w:leader="none" w:pos="6735"/>
          <w:tab w:val="left" w:leader="none" w:pos="8111"/>
          <w:tab w:val="left" w:leader="none" w:pos="9384"/>
          <w:tab w:val="left" w:leader="none" w:pos="10843"/>
        </w:tabs>
        <w:spacing w:before="0" w:line="338" w:lineRule="exact"/>
        <w:ind w:left="1837" w:right="0" w:firstLine="0"/>
        <w:jc w:val="left"/>
        <w:rPr>
          <w:b/>
          <w:sz w:val="21"/>
        </w:rPr>
      </w:pPr>
      <w:r>
        <w:rPr>
          <w:color w:val="050505"/>
          <w:position w:val="1"/>
          <w:sz w:val="22"/>
        </w:rPr>
        <w:t>Housing</w:t>
      </w:r>
      <w:r>
        <w:rPr>
          <w:color w:val="050505"/>
          <w:spacing w:val="-9"/>
          <w:position w:val="1"/>
          <w:sz w:val="22"/>
        </w:rPr>
        <w:t> </w:t>
      </w:r>
      <w:r>
        <w:rPr>
          <w:color w:val="050505"/>
          <w:spacing w:val="-2"/>
          <w:position w:val="1"/>
          <w:sz w:val="22"/>
        </w:rPr>
        <w:t>Services</w:t>
      </w:r>
      <w:r>
        <w:rPr>
          <w:color w:val="050505"/>
          <w:position w:val="1"/>
          <w:sz w:val="22"/>
        </w:rPr>
        <w:tab/>
      </w:r>
      <w:r>
        <w:rPr>
          <w:color w:val="050505"/>
          <w:position w:val="1"/>
          <w:sz w:val="22"/>
          <w:u w:val="single" w:color="000000"/>
        </w:rPr>
        <w:tab/>
      </w:r>
      <w:r>
        <w:rPr>
          <w:color w:val="4D4D4D"/>
          <w:w w:val="70"/>
          <w:position w:val="-6"/>
          <w:sz w:val="43"/>
          <w:u w:val="none"/>
        </w:rPr>
        <w:t>-</w:t>
      </w:r>
      <w:r>
        <w:rPr>
          <w:color w:val="4D4D4D"/>
          <w:spacing w:val="9"/>
          <w:w w:val="70"/>
          <w:position w:val="-6"/>
          <w:sz w:val="43"/>
          <w:u w:val="none"/>
        </w:rPr>
        <w:t> </w:t>
      </w:r>
      <w:r>
        <w:rPr>
          <w:color w:val="C3C3C3"/>
          <w:spacing w:val="19"/>
          <w:position w:val="-6"/>
          <w:sz w:val="43"/>
          <w:u w:val="none"/>
        </w:rPr>
        <w:t>I</w:t>
      </w:r>
      <w:r>
        <w:rPr>
          <w:color w:val="050505"/>
          <w:position w:val="-7"/>
          <w:sz w:val="22"/>
          <w:u w:val="single" w:color="000000"/>
        </w:rPr>
        <w:tab/>
      </w:r>
      <w:r>
        <w:rPr>
          <w:color w:val="050505"/>
          <w:spacing w:val="-5"/>
          <w:w w:val="125"/>
          <w:position w:val="-7"/>
          <w:sz w:val="22"/>
          <w:u w:val="single" w:color="000000"/>
        </w:rPr>
        <w:t>9</w:t>
      </w:r>
      <w:r>
        <w:rPr>
          <w:color w:val="050505"/>
          <w:spacing w:val="-5"/>
          <w:w w:val="125"/>
          <w:position w:val="-7"/>
          <w:sz w:val="22"/>
          <w:u w:val="thick" w:color="C3C3C3"/>
        </w:rPr>
        <w:t>4</w:t>
      </w:r>
      <w:r>
        <w:rPr>
          <w:color w:val="C3C3C3"/>
          <w:spacing w:val="-5"/>
          <w:w w:val="125"/>
          <w:position w:val="-7"/>
          <w:sz w:val="22"/>
          <w:u w:val="none"/>
        </w:rPr>
        <w:t>1</w:t>
      </w:r>
      <w:r>
        <w:rPr>
          <w:color w:val="C3C3C3"/>
          <w:position w:val="-7"/>
          <w:sz w:val="22"/>
          <w:u w:val="none"/>
        </w:rPr>
        <w:tab/>
      </w:r>
      <w:r>
        <w:rPr>
          <w:color w:val="050505"/>
          <w:spacing w:val="-2"/>
          <w:position w:val="3"/>
          <w:sz w:val="22"/>
          <w:u w:val="none"/>
        </w:rPr>
        <w:t>1,462</w:t>
      </w:r>
      <w:r>
        <w:rPr>
          <w:color w:val="050505"/>
          <w:position w:val="3"/>
          <w:sz w:val="22"/>
          <w:u w:val="none"/>
        </w:rPr>
        <w:tab/>
      </w:r>
      <w:r>
        <w:rPr>
          <w:b/>
          <w:color w:val="050505"/>
          <w:spacing w:val="-2"/>
          <w:sz w:val="21"/>
          <w:u w:val="none"/>
        </w:rPr>
        <w:t>1,556</w:t>
      </w:r>
    </w:p>
    <w:p>
      <w:pPr>
        <w:pStyle w:val="BodyText"/>
        <w:tabs>
          <w:tab w:val="left" w:leader="none" w:pos="6566"/>
          <w:tab w:val="right" w:leader="none" w:pos="8427"/>
        </w:tabs>
        <w:spacing w:line="170" w:lineRule="auto"/>
        <w:ind w:left="1837"/>
      </w:pPr>
      <w:r>
        <w:rPr/>
        <ve:AlternateContent>
          <ve:Choice Requires="wps">
            <w:drawing>
              <wp:anchor distT="0" distB="0" distL="0" distR="0" simplePos="0" relativeHeight="475892224" behindDoc="1" locked="0" layoutInCell="1" allowOverlap="1">
                <wp:simplePos x="0" y="0"/>
                <wp:positionH relativeFrom="page">
                  <wp:posOffset>1178094</wp:posOffset>
                </wp:positionH>
                <wp:positionV relativeFrom="paragraph">
                  <wp:posOffset>137972</wp:posOffset>
                </wp:positionV>
                <wp:extent cx="6073140" cy="156845"/>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6073140" cy="156845"/>
                        </a:xfrm>
                        <a:prstGeom prst="rect">
                          <a:avLst/>
                        </a:prstGeom>
                      </wps:spPr>
                      <wps:txbx>
                        <w:txbxContent>
                          <w:p>
                            <w:pPr>
                              <w:tabs>
                                <w:tab w:val="right" w:leader="underscore" w:pos="9563"/>
                              </w:tabs>
                              <w:spacing w:before="0" w:line="246" w:lineRule="exact"/>
                              <w:ind w:left="0" w:right="0" w:firstLine="0"/>
                              <w:jc w:val="left"/>
                              <w:rPr>
                                <w:b/>
                                <w:sz w:val="21"/>
                              </w:rPr>
                            </w:pPr>
                            <w:r>
                              <w:rPr>
                                <w:color w:val="050505"/>
                                <w:spacing w:val="-2"/>
                                <w:sz w:val="22"/>
                              </w:rPr>
                              <w:t>Services</w:t>
                            </w:r>
                            <w:r>
                              <w:rPr>
                                <w:color w:val="050505"/>
                                <w:sz w:val="22"/>
                              </w:rPr>
                              <w:tab/>
                            </w:r>
                            <w:r>
                              <w:rPr>
                                <w:b/>
                                <w:color w:val="050505"/>
                                <w:spacing w:val="-5"/>
                                <w:sz w:val="21"/>
                              </w:rPr>
                              <w:t>167</w:t>
                            </w:r>
                          </w:p>
                        </w:txbxContent>
                      </wps:txbx>
                      <wps:bodyPr wrap="square" lIns="0" tIns="0" rIns="0" bIns="0" rtlCol="0">
                        <a:noAutofit/>
                      </wps:bodyPr>
                    </wps:wsp>
                  </a:graphicData>
                </a:graphic>
              </wp:anchor>
            </w:drawing>
          </ve:Choice>
          <ve:Fallback>
            <w:pict>
              <v:shape id="docshape161" style="position:absolute;margin-left:92.763382pt;margin-top:10.86394pt;width:478.2pt;height:12.35pt;mso-position-horizontal-relative:page;mso-position-vertical-relative:paragraph;z-index:-27424256" filled="false" stroked="false" type="#_x0000_t202">
                <v:textbox inset="0,0,0,0">
                  <w:txbxContent>
                    <w:p>
                      <w:pPr>
                        <w:tabs>
                          <w:tab w:val="right" w:leader="underscore" w:pos="9563"/>
                        </w:tabs>
                        <w:spacing w:before="0" w:line="246" w:lineRule="exact"/>
                        <w:ind w:left="0" w:right="0" w:firstLine="0"/>
                        <w:jc w:val="left"/>
                        <w:rPr>
                          <w:b/>
                          <w:sz w:val="21"/>
                        </w:rPr>
                      </w:pPr>
                      <w:r>
                        <w:rPr>
                          <w:color w:val="050505"/>
                          <w:spacing w:val="-2"/>
                          <w:sz w:val="22"/>
                        </w:rPr>
                        <w:t>Services</w:t>
                      </w:r>
                      <w:r>
                        <w:rPr>
                          <w:color w:val="050505"/>
                          <w:sz w:val="22"/>
                        </w:rPr>
                        <w:tab/>
                      </w:r>
                      <w:r>
                        <w:rPr>
                          <w:b/>
                          <w:color w:val="050505"/>
                          <w:spacing w:val="-5"/>
                          <w:sz w:val="21"/>
                        </w:rPr>
                        <w:t>167</w:t>
                      </w:r>
                    </w:p>
                  </w:txbxContent>
                </v:textbox>
                <w10:wrap type="none"/>
              </v:shape>
            </w:pict>
          </ve:Fallback>
        </ve:AlternateContent>
      </w:r>
      <w:r>
        <w:rPr>
          <w:color w:val="050505"/>
        </w:rPr>
        <w:t>Human</w:t>
      </w:r>
      <w:r>
        <w:rPr>
          <w:color w:val="050505"/>
          <w:spacing w:val="-7"/>
        </w:rPr>
        <w:t> </w:t>
      </w:r>
      <w:r>
        <w:rPr>
          <w:color w:val="050505"/>
        </w:rPr>
        <w:t>Resources</w:t>
      </w:r>
      <w:r>
        <w:rPr>
          <w:color w:val="050505"/>
          <w:spacing w:val="8"/>
        </w:rPr>
        <w:t> </w:t>
      </w:r>
      <w:r>
        <w:rPr>
          <w:color w:val="050505"/>
        </w:rPr>
        <w:t>&amp;</w:t>
      </w:r>
      <w:r>
        <w:rPr>
          <w:color w:val="050505"/>
          <w:spacing w:val="-12"/>
        </w:rPr>
        <w:t> </w:t>
      </w:r>
      <w:r>
        <w:rPr>
          <w:color w:val="050505"/>
          <w:spacing w:val="-2"/>
        </w:rPr>
        <w:t>Customer</w:t>
      </w:r>
      <w:r>
        <w:rPr>
          <w:color w:val="050505"/>
        </w:rPr>
        <w:tab/>
      </w:r>
      <w:r>
        <w:rPr>
          <w:color w:val="050505"/>
          <w:position w:val="-12"/>
        </w:rPr>
        <w:t>33</w:t>
      </w:r>
      <w:r>
        <w:rPr>
          <w:color w:val="050505"/>
          <w:spacing w:val="78"/>
          <w:position w:val="-12"/>
        </w:rPr>
        <w:t> </w:t>
      </w:r>
      <w:r>
        <w:rPr>
          <w:color w:val="C3C3C3"/>
          <w:spacing w:val="-10"/>
          <w:position w:val="-6"/>
          <w:sz w:val="24"/>
        </w:rPr>
        <w:t>I</w:t>
      </w:r>
      <w:r>
        <w:rPr>
          <w:color w:val="C3C3C3"/>
          <w:position w:val="-6"/>
          <w:sz w:val="24"/>
        </w:rPr>
        <w:tab/>
      </w:r>
      <w:r>
        <w:rPr>
          <w:color w:val="050505"/>
          <w:spacing w:val="-5"/>
          <w:position w:val="-12"/>
        </w:rPr>
        <w:t>134</w:t>
      </w:r>
    </w:p>
    <w:p>
      <w:pPr>
        <w:pStyle w:val="BodyText"/>
        <w:tabs>
          <w:tab w:val="left" w:leader="none" w:pos="5407"/>
          <w:tab w:val="left" w:leader="none" w:pos="8177"/>
          <w:tab w:val="right" w:leader="none" w:pos="11406"/>
        </w:tabs>
        <w:spacing w:before="5" w:line="493" w:lineRule="exact"/>
        <w:ind w:left="1834"/>
        <w:rPr>
          <w:b/>
          <w:sz w:val="21"/>
        </w:rPr>
      </w:pPr>
      <w:r>
        <w:rPr>
          <w:color w:val="050505"/>
          <w:position w:val="2"/>
        </w:rPr>
        <w:t>Legal</w:t>
      </w:r>
      <w:r>
        <w:rPr>
          <w:color w:val="050505"/>
          <w:spacing w:val="-2"/>
          <w:position w:val="2"/>
        </w:rPr>
        <w:t> </w:t>
      </w:r>
      <w:r>
        <w:rPr>
          <w:color w:val="050505"/>
          <w:position w:val="2"/>
        </w:rPr>
        <w:t>&amp;</w:t>
      </w:r>
      <w:r>
        <w:rPr>
          <w:color w:val="050505"/>
          <w:spacing w:val="-11"/>
          <w:position w:val="2"/>
        </w:rPr>
        <w:t> </w:t>
      </w:r>
      <w:r>
        <w:rPr>
          <w:color w:val="050505"/>
          <w:position w:val="2"/>
        </w:rPr>
        <w:t>Democratic</w:t>
      </w:r>
      <w:r>
        <w:rPr>
          <w:color w:val="050505"/>
          <w:spacing w:val="11"/>
          <w:position w:val="2"/>
        </w:rPr>
        <w:t> </w:t>
      </w:r>
      <w:r>
        <w:rPr>
          <w:color w:val="050505"/>
          <w:spacing w:val="-2"/>
          <w:position w:val="2"/>
        </w:rPr>
        <w:t>Services</w:t>
      </w:r>
      <w:r>
        <w:rPr>
          <w:color w:val="050505"/>
          <w:position w:val="2"/>
        </w:rPr>
        <w:tab/>
      </w:r>
      <w:r>
        <w:rPr>
          <w:color w:val="050505"/>
          <w:u w:val="single" w:color="000000"/>
        </w:rPr>
        <w:tab/>
        <w:t>92</w:t>
      </w:r>
      <w:r>
        <w:rPr>
          <w:color w:val="050505"/>
          <w:spacing w:val="1"/>
          <w:u w:val="single" w:color="000000"/>
        </w:rPr>
        <w:t> </w:t>
      </w:r>
      <w:r>
        <w:rPr>
          <w:color w:val="C3C3C3"/>
          <w:spacing w:val="-10"/>
          <w:sz w:val="44"/>
          <w:u w:val="single" w:color="000000"/>
        </w:rPr>
        <w:t>I</w:t>
      </w:r>
      <w:r>
        <w:rPr>
          <w:color w:val="C3C3C3"/>
          <w:sz w:val="44"/>
          <w:u w:val="none"/>
        </w:rPr>
        <w:tab/>
      </w:r>
      <w:r>
        <w:rPr>
          <w:b/>
          <w:color w:val="050505"/>
          <w:spacing w:val="-5"/>
          <w:sz w:val="21"/>
          <w:u w:val="none"/>
        </w:rPr>
        <w:t>92</w:t>
      </w:r>
    </w:p>
    <w:p>
      <w:pPr>
        <w:pStyle w:val="BodyText"/>
        <w:spacing w:line="238" w:lineRule="exact"/>
        <w:ind w:left="1833"/>
      </w:pPr>
      <w:r>
        <w:rPr>
          <w:color w:val="050505"/>
        </w:rPr>
        <w:t>Partnership</w:t>
      </w:r>
      <w:r>
        <w:rPr>
          <w:color w:val="050505"/>
          <w:spacing w:val="5"/>
        </w:rPr>
        <w:t> </w:t>
      </w:r>
      <w:r>
        <w:rPr>
          <w:color w:val="050505"/>
        </w:rPr>
        <w:t>&amp;</w:t>
      </w:r>
      <w:r>
        <w:rPr>
          <w:color w:val="050505"/>
          <w:spacing w:val="-12"/>
        </w:rPr>
        <w:t> </w:t>
      </w:r>
      <w:r>
        <w:rPr>
          <w:color w:val="050505"/>
          <w:spacing w:val="-2"/>
        </w:rPr>
        <w:t>Community</w:t>
      </w:r>
    </w:p>
    <w:p>
      <w:pPr>
        <w:pStyle w:val="BodyText"/>
        <w:tabs>
          <w:tab w:val="left" w:leader="none" w:pos="6485"/>
          <w:tab w:val="left" w:leader="none" w:pos="8177"/>
          <w:tab w:val="right" w:leader="none" w:pos="9940"/>
        </w:tabs>
        <w:spacing w:line="261" w:lineRule="exact"/>
        <w:ind w:left="1832"/>
      </w:pPr>
      <w:r>
        <w:rPr>
          <w:color w:val="050505"/>
          <w:spacing w:val="-2"/>
        </w:rPr>
        <w:t>Engagement</w:t>
      </w:r>
      <w:r>
        <w:rPr>
          <w:color w:val="050505"/>
        </w:rPr>
        <w:tab/>
      </w:r>
      <w:r>
        <w:rPr>
          <w:color w:val="262626"/>
          <w:spacing w:val="-5"/>
          <w:position w:val="1"/>
        </w:rPr>
        <w:t>(83</w:t>
      </w:r>
      <w:r>
        <w:rPr>
          <w:color w:val="262626"/>
          <w:position w:val="1"/>
        </w:rPr>
        <w:tab/>
      </w:r>
      <w:r>
        <w:rPr>
          <w:color w:val="050505"/>
          <w:spacing w:val="-5"/>
        </w:rPr>
        <w:t>82</w:t>
      </w:r>
      <w:r>
        <w:rPr>
          <w:color w:val="050505"/>
        </w:rPr>
        <w:tab/>
      </w:r>
      <w:r>
        <w:rPr>
          <w:color w:val="050505"/>
          <w:spacing w:val="-10"/>
          <w:position w:val="1"/>
        </w:rPr>
        <w:t>1</w:t>
      </w:r>
    </w:p>
    <w:p>
      <w:pPr>
        <w:pStyle w:val="BodyText"/>
        <w:tabs>
          <w:tab w:val="left" w:leader="none" w:pos="8057"/>
          <w:tab w:val="left" w:leader="none" w:pos="8633"/>
          <w:tab w:val="left" w:leader="none" w:pos="9567"/>
          <w:tab w:val="right" w:leader="none" w:pos="11400"/>
        </w:tabs>
        <w:spacing w:before="15"/>
        <w:ind w:left="1833"/>
        <w:rPr>
          <w:b/>
          <w:sz w:val="21"/>
        </w:rPr>
      </w:pPr>
      <w:r>
        <w:rPr/>
        <ve:AlternateContent>
          <ve:Choice Requires="wps">
            <w:drawing>
              <wp:anchor distT="0" distB="0" distL="0" distR="0" simplePos="0" relativeHeight="15780352" behindDoc="0" locked="0" layoutInCell="1" allowOverlap="1">
                <wp:simplePos x="0" y="0"/>
                <wp:positionH relativeFrom="page">
                  <wp:posOffset>3446742</wp:posOffset>
                </wp:positionH>
                <wp:positionV relativeFrom="paragraph">
                  <wp:posOffset>16674</wp:posOffset>
                </wp:positionV>
                <wp:extent cx="2048510" cy="1270"/>
                <wp:effectExtent l="0" t="0" r="0" b="0"/>
                <wp:wrapNone/>
                <wp:docPr id="250" name="Graphic 250"/>
                <wp:cNvGraphicFramePr>
                  <a:graphicFrameLocks/>
                </wp:cNvGraphicFramePr>
                <a:graphic>
                  <a:graphicData uri="http://schemas.microsoft.com/office/word/2010/wordprocessingShape">
                    <wps:wsp>
                      <wps:cNvPr id="250" name="Graphic 250"/>
                      <wps:cNvSpPr/>
                      <wps:spPr>
                        <a:xfrm>
                          <a:off x="0" y="0"/>
                          <a:ext cx="2048510" cy="1270"/>
                        </a:xfrm>
                        <a:custGeom>
                          <a:avLst/>
                          <a:gdLst/>
                          <a:ahLst/>
                          <a:cxnLst/>
                          <a:rect l="l" t="t" r="r" b="b"/>
                          <a:pathLst>
                            <a:path w="2048510" h="0">
                              <a:moveTo>
                                <a:pt x="0" y="0"/>
                              </a:moveTo>
                              <a:lnTo>
                                <a:pt x="2048506"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80352" stroked="true" strokecolor="#000000" strokeweight=".720821pt" from="271.397064pt,1.312915pt" to="432.696825pt,1.312915pt">
                <v:stroke dashstyle="solid"/>
                <w10:wrap type="none"/>
              </v:line>
            </w:pict>
          </ve:Fallback>
        </ve:AlternateContent>
      </w:r>
      <w:r>
        <w:rPr>
          <w:color w:val="050505"/>
          <w:position w:val="1"/>
        </w:rPr>
        <w:t>Planning &amp; Economic Development</w:t>
      </w:r>
      <w:r>
        <w:rPr>
          <w:color w:val="050505"/>
          <w:spacing w:val="89"/>
          <w:position w:val="1"/>
        </w:rPr>
        <w:t> </w:t>
      </w:r>
      <w:r>
        <w:rPr>
          <w:color w:val="050505"/>
          <w:position w:val="1"/>
          <w:u w:val="single" w:color="000000"/>
        </w:rPr>
        <w:tab/>
      </w:r>
      <w:r>
        <w:rPr>
          <w:color w:val="050505"/>
          <w:spacing w:val="-5"/>
          <w:position w:val="1"/>
          <w:u w:val="single" w:color="000000"/>
        </w:rPr>
        <w:t>195</w:t>
      </w:r>
      <w:r>
        <w:rPr>
          <w:color w:val="050505"/>
          <w:position w:val="1"/>
          <w:u w:val="single" w:color="000000"/>
        </w:rPr>
        <w:tab/>
      </w:r>
      <w:r>
        <w:rPr>
          <w:color w:val="050505"/>
          <w:position w:val="1"/>
          <w:u w:val="none"/>
        </w:rPr>
        <w:tab/>
      </w:r>
      <w:r>
        <w:rPr>
          <w:color w:val="050505"/>
          <w:spacing w:val="-5"/>
          <w:position w:val="3"/>
          <w:u w:val="none"/>
        </w:rPr>
        <w:t>611</w:t>
      </w:r>
      <w:r>
        <w:rPr>
          <w:color w:val="050505"/>
          <w:position w:val="3"/>
          <w:u w:val="none"/>
        </w:rPr>
        <w:tab/>
      </w:r>
      <w:r>
        <w:rPr>
          <w:b/>
          <w:color w:val="050505"/>
          <w:spacing w:val="-5"/>
          <w:sz w:val="21"/>
          <w:u w:val="none"/>
        </w:rPr>
        <w:t>806</w:t>
      </w:r>
    </w:p>
    <w:p>
      <w:pPr>
        <w:pStyle w:val="BodyText"/>
        <w:spacing w:before="43" w:line="278" w:lineRule="auto"/>
        <w:ind w:left="1832" w:right="6662" w:firstLine="2"/>
      </w:pPr>
      <w:r>
        <w:rPr/>
        <ve:AlternateContent>
          <ve:Choice Requires="wps">
            <w:drawing>
              <wp:anchor distT="0" distB="0" distL="0" distR="0" simplePos="0" relativeHeight="15781888" behindDoc="0" locked="0" layoutInCell="1" allowOverlap="1">
                <wp:simplePos x="0" y="0"/>
                <wp:positionH relativeFrom="page">
                  <wp:posOffset>3408642</wp:posOffset>
                </wp:positionH>
                <wp:positionV relativeFrom="paragraph">
                  <wp:posOffset>19547</wp:posOffset>
                </wp:positionV>
                <wp:extent cx="4017645" cy="3345180"/>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4017645" cy="3345180"/>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972"/>
                              <w:gridCol w:w="1254"/>
                              <w:gridCol w:w="1671"/>
                              <w:gridCol w:w="1181"/>
                              <w:gridCol w:w="130"/>
                            </w:tblGrid>
                            <w:tr>
                              <w:trPr>
                                <w:trHeight w:val="273" w:hRule="atLeast"/>
                              </w:trPr>
                              <w:tc>
                                <w:tcPr>
                                  <w:tcW w:w="1972" w:type="dxa"/>
                                  <w:tcBorders>
                                    <w:bottom w:val="single" w:color="000000" w:sz="6" w:space="0"/>
                                  </w:tcBorders>
                                </w:tcPr>
                                <w:p>
                                  <w:pPr>
                                    <w:pStyle w:val="TableParagraph"/>
                                    <w:spacing w:before="12" w:line="241" w:lineRule="exact"/>
                                    <w:ind w:right="573"/>
                                    <w:jc w:val="right"/>
                                    <w:rPr>
                                      <w:sz w:val="22"/>
                                    </w:rPr>
                                  </w:pPr>
                                  <w:r>
                                    <w:rPr>
                                      <w:color w:val="050505"/>
                                      <w:spacing w:val="-5"/>
                                      <w:sz w:val="22"/>
                                    </w:rPr>
                                    <w:t>717</w:t>
                                  </w:r>
                                </w:p>
                              </w:tc>
                              <w:tc>
                                <w:tcPr>
                                  <w:tcW w:w="1254" w:type="dxa"/>
                                  <w:tcBorders>
                                    <w:bottom w:val="single" w:color="000000" w:sz="6" w:space="0"/>
                                  </w:tcBorders>
                                </w:tcPr>
                                <w:p>
                                  <w:pPr>
                                    <w:pStyle w:val="TableParagraph"/>
                                    <w:spacing w:before="17" w:line="237" w:lineRule="exact"/>
                                    <w:ind w:right="203"/>
                                    <w:jc w:val="right"/>
                                    <w:rPr>
                                      <w:sz w:val="22"/>
                                    </w:rPr>
                                  </w:pPr>
                                  <w:r>
                                    <w:rPr>
                                      <w:color w:val="050505"/>
                                      <w:spacing w:val="-5"/>
                                      <w:sz w:val="22"/>
                                    </w:rPr>
                                    <w:t>371</w:t>
                                  </w:r>
                                </w:p>
                              </w:tc>
                              <w:tc>
                                <w:tcPr>
                                  <w:tcW w:w="1671" w:type="dxa"/>
                                </w:tcPr>
                                <w:p>
                                  <w:pPr>
                                    <w:pStyle w:val="TableParagraph"/>
                                    <w:spacing w:line="246" w:lineRule="exact"/>
                                    <w:ind w:right="352"/>
                                    <w:jc w:val="right"/>
                                    <w:rPr>
                                      <w:sz w:val="22"/>
                                    </w:rPr>
                                  </w:pPr>
                                  <w:r>
                                    <w:rPr>
                                      <w:color w:val="050505"/>
                                      <w:spacing w:val="-10"/>
                                      <w:w w:val="105"/>
                                      <w:sz w:val="22"/>
                                    </w:rPr>
                                    <w:t>1</w:t>
                                  </w:r>
                                </w:p>
                              </w:tc>
                              <w:tc>
                                <w:tcPr>
                                  <w:tcW w:w="1181" w:type="dxa"/>
                                </w:tcPr>
                                <w:p>
                                  <w:pPr>
                                    <w:pStyle w:val="TableParagraph"/>
                                    <w:spacing w:before="36" w:line="218" w:lineRule="exact"/>
                                    <w:ind w:right="78"/>
                                    <w:jc w:val="right"/>
                                    <w:rPr>
                                      <w:b/>
                                      <w:sz w:val="21"/>
                                    </w:rPr>
                                  </w:pPr>
                                  <w:r>
                                    <w:rPr>
                                      <w:b/>
                                      <w:color w:val="050505"/>
                                      <w:spacing w:val="-4"/>
                                      <w:w w:val="105"/>
                                      <w:sz w:val="21"/>
                                    </w:rPr>
                                    <w:t>1,089</w:t>
                                  </w:r>
                                </w:p>
                              </w:tc>
                              <w:tc>
                                <w:tcPr>
                                  <w:tcW w:w="130" w:type="dxa"/>
                                </w:tcPr>
                                <w:p>
                                  <w:pPr>
                                    <w:pStyle w:val="TableParagraph"/>
                                    <w:rPr>
                                      <w:rFonts w:ascii="Times New Roman"/>
                                      <w:sz w:val="20"/>
                                    </w:rPr>
                                  </w:pPr>
                                </w:p>
                              </w:tc>
                            </w:tr>
                            <w:tr>
                              <w:trPr>
                                <w:trHeight w:val="1614" w:hRule="atLeast"/>
                              </w:trPr>
                              <w:tc>
                                <w:tcPr>
                                  <w:tcW w:w="1972" w:type="dxa"/>
                                  <w:tcBorders>
                                    <w:top w:val="single" w:color="000000" w:sz="6" w:space="0"/>
                                    <w:bottom w:val="single" w:color="000000" w:sz="6" w:space="0"/>
                                  </w:tcBorders>
                                </w:tcPr>
                                <w:p>
                                  <w:pPr>
                                    <w:pStyle w:val="TableParagraph"/>
                                    <w:rPr>
                                      <w:rFonts w:ascii="Times New Roman"/>
                                      <w:sz w:val="20"/>
                                    </w:rPr>
                                  </w:pPr>
                                </w:p>
                              </w:tc>
                              <w:tc>
                                <w:tcPr>
                                  <w:tcW w:w="1254" w:type="dxa"/>
                                  <w:tcBorders>
                                    <w:top w:val="single" w:color="000000" w:sz="6" w:space="0"/>
                                    <w:bottom w:val="single" w:color="000000" w:sz="6" w:space="0"/>
                                  </w:tcBorders>
                                </w:tcPr>
                                <w:p>
                                  <w:pPr>
                                    <w:pStyle w:val="TableParagraph"/>
                                    <w:rPr>
                                      <w:rFonts w:ascii="Times New Roman"/>
                                      <w:sz w:val="20"/>
                                    </w:rPr>
                                  </w:pPr>
                                </w:p>
                              </w:tc>
                              <w:tc>
                                <w:tcPr>
                                  <w:tcW w:w="1671" w:type="dxa"/>
                                  <w:tcBorders>
                                    <w:bottom w:val="single" w:color="000000" w:sz="6" w:space="0"/>
                                  </w:tcBorders>
                                </w:tcPr>
                                <w:p>
                                  <w:pPr>
                                    <w:pStyle w:val="TableParagraph"/>
                                    <w:rPr>
                                      <w:rFonts w:ascii="Times New Roman"/>
                                      <w:sz w:val="20"/>
                                    </w:rPr>
                                  </w:pPr>
                                </w:p>
                              </w:tc>
                              <w:tc>
                                <w:tcPr>
                                  <w:tcW w:w="1181" w:type="dxa"/>
                                  <w:tcBorders>
                                    <w:bottom w:val="single" w:color="000000" w:sz="6" w:space="0"/>
                                  </w:tcBorders>
                                </w:tcPr>
                                <w:p>
                                  <w:pPr>
                                    <w:pStyle w:val="TableParagraph"/>
                                    <w:rPr>
                                      <w:rFonts w:ascii="Times New Roman"/>
                                      <w:sz w:val="20"/>
                                    </w:rPr>
                                  </w:pPr>
                                </w:p>
                              </w:tc>
                              <w:tc>
                                <w:tcPr>
                                  <w:tcW w:w="130" w:type="dxa"/>
                                </w:tcPr>
                                <w:p>
                                  <w:pPr>
                                    <w:pStyle w:val="TableParagraph"/>
                                    <w:rPr>
                                      <w:rFonts w:ascii="Times New Roman"/>
                                      <w:sz w:val="20"/>
                                    </w:rPr>
                                  </w:pPr>
                                </w:p>
                              </w:tc>
                            </w:tr>
                            <w:tr>
                              <w:trPr>
                                <w:trHeight w:val="311" w:hRule="atLeast"/>
                              </w:trPr>
                              <w:tc>
                                <w:tcPr>
                                  <w:tcW w:w="1972" w:type="dxa"/>
                                  <w:tcBorders>
                                    <w:top w:val="single" w:color="000000" w:sz="6" w:space="0"/>
                                  </w:tcBorders>
                                </w:tcPr>
                                <w:p>
                                  <w:pPr>
                                    <w:pStyle w:val="TableParagraph"/>
                                    <w:spacing w:before="40"/>
                                    <w:ind w:left="860"/>
                                    <w:rPr>
                                      <w:b/>
                                      <w:sz w:val="21"/>
                                    </w:rPr>
                                  </w:pPr>
                                  <w:r>
                                    <w:rPr>
                                      <w:b/>
                                      <w:color w:val="050505"/>
                                      <w:spacing w:val="-4"/>
                                      <w:w w:val="105"/>
                                      <w:sz w:val="21"/>
                                    </w:rPr>
                                    <w:t>5,811</w:t>
                                  </w:r>
                                </w:p>
                              </w:tc>
                              <w:tc>
                                <w:tcPr>
                                  <w:tcW w:w="1254" w:type="dxa"/>
                                  <w:tcBorders>
                                    <w:top w:val="single" w:color="000000" w:sz="6" w:space="0"/>
                                  </w:tcBorders>
                                </w:tcPr>
                                <w:p>
                                  <w:pPr>
                                    <w:pStyle w:val="TableParagraph"/>
                                    <w:spacing w:before="40"/>
                                    <w:ind w:right="197"/>
                                    <w:jc w:val="right"/>
                                    <w:rPr>
                                      <w:b/>
                                      <w:sz w:val="21"/>
                                    </w:rPr>
                                  </w:pPr>
                                  <w:r>
                                    <w:rPr>
                                      <w:b/>
                                      <w:color w:val="050505"/>
                                      <w:spacing w:val="-4"/>
                                      <w:w w:val="105"/>
                                      <w:sz w:val="21"/>
                                    </w:rPr>
                                    <w:t>1,500</w:t>
                                  </w:r>
                                </w:p>
                              </w:tc>
                              <w:tc>
                                <w:tcPr>
                                  <w:tcW w:w="1671" w:type="dxa"/>
                                  <w:tcBorders>
                                    <w:top w:val="single" w:color="000000" w:sz="6" w:space="0"/>
                                  </w:tcBorders>
                                </w:tcPr>
                                <w:p>
                                  <w:pPr>
                                    <w:pStyle w:val="TableParagraph"/>
                                    <w:spacing w:before="35"/>
                                    <w:ind w:right="352"/>
                                    <w:jc w:val="right"/>
                                    <w:rPr>
                                      <w:b/>
                                      <w:sz w:val="21"/>
                                    </w:rPr>
                                  </w:pPr>
                                  <w:r>
                                    <w:rPr>
                                      <w:b/>
                                      <w:color w:val="050505"/>
                                      <w:spacing w:val="-4"/>
                                      <w:w w:val="105"/>
                                      <w:sz w:val="21"/>
                                    </w:rPr>
                                    <w:t>2,077</w:t>
                                  </w:r>
                                </w:p>
                              </w:tc>
                              <w:tc>
                                <w:tcPr>
                                  <w:tcW w:w="1181" w:type="dxa"/>
                                  <w:tcBorders>
                                    <w:top w:val="single" w:color="000000" w:sz="6" w:space="0"/>
                                  </w:tcBorders>
                                </w:tcPr>
                                <w:p>
                                  <w:pPr>
                                    <w:pStyle w:val="TableParagraph"/>
                                    <w:spacing w:before="40"/>
                                    <w:ind w:right="68"/>
                                    <w:jc w:val="right"/>
                                    <w:rPr>
                                      <w:b/>
                                      <w:sz w:val="21"/>
                                    </w:rPr>
                                  </w:pPr>
                                  <w:r>
                                    <w:rPr>
                                      <w:b/>
                                      <w:color w:val="050505"/>
                                      <w:spacing w:val="-4"/>
                                      <w:w w:val="105"/>
                                      <w:sz w:val="21"/>
                                    </w:rPr>
                                    <w:t>9,388</w:t>
                                  </w:r>
                                </w:p>
                              </w:tc>
                              <w:tc>
                                <w:tcPr>
                                  <w:tcW w:w="130" w:type="dxa"/>
                                </w:tcPr>
                                <w:p>
                                  <w:pPr>
                                    <w:pStyle w:val="TableParagraph"/>
                                    <w:rPr>
                                      <w:rFonts w:ascii="Times New Roman"/>
                                      <w:sz w:val="20"/>
                                    </w:rPr>
                                  </w:pPr>
                                </w:p>
                              </w:tc>
                            </w:tr>
                            <w:tr>
                              <w:trPr>
                                <w:trHeight w:val="356" w:hRule="atLeast"/>
                              </w:trPr>
                              <w:tc>
                                <w:tcPr>
                                  <w:tcW w:w="1972" w:type="dxa"/>
                                </w:tcPr>
                                <w:p>
                                  <w:pPr>
                                    <w:pStyle w:val="TableParagraph"/>
                                    <w:spacing w:before="22"/>
                                    <w:ind w:right="513"/>
                                    <w:jc w:val="right"/>
                                    <w:rPr>
                                      <w:sz w:val="22"/>
                                    </w:rPr>
                                  </w:pPr>
                                  <w:r>
                                    <w:rPr>
                                      <w:color w:val="050505"/>
                                      <w:spacing w:val="-2"/>
                                      <w:sz w:val="22"/>
                                    </w:rPr>
                                    <w:t>(159)</w:t>
                                  </w:r>
                                </w:p>
                              </w:tc>
                              <w:tc>
                                <w:tcPr>
                                  <w:tcW w:w="1254" w:type="dxa"/>
                                </w:tcPr>
                                <w:p>
                                  <w:pPr>
                                    <w:pStyle w:val="TableParagraph"/>
                                    <w:rPr>
                                      <w:rFonts w:ascii="Times New Roman"/>
                                      <w:sz w:val="20"/>
                                    </w:rPr>
                                  </w:pPr>
                                </w:p>
                              </w:tc>
                              <w:tc>
                                <w:tcPr>
                                  <w:tcW w:w="1671" w:type="dxa"/>
                                </w:tcPr>
                                <w:p>
                                  <w:pPr>
                                    <w:pStyle w:val="TableParagraph"/>
                                    <w:rPr>
                                      <w:rFonts w:ascii="Times New Roman"/>
                                      <w:sz w:val="20"/>
                                    </w:rPr>
                                  </w:pPr>
                                </w:p>
                              </w:tc>
                              <w:tc>
                                <w:tcPr>
                                  <w:tcW w:w="1181" w:type="dxa"/>
                                </w:tcPr>
                                <w:p>
                                  <w:pPr>
                                    <w:pStyle w:val="TableParagraph"/>
                                    <w:spacing w:before="22"/>
                                    <w:ind w:right="5"/>
                                    <w:jc w:val="right"/>
                                    <w:rPr>
                                      <w:b/>
                                      <w:sz w:val="21"/>
                                    </w:rPr>
                                  </w:pPr>
                                  <w:r>
                                    <w:rPr>
                                      <w:b/>
                                      <w:color w:val="050505"/>
                                      <w:spacing w:val="-2"/>
                                      <w:w w:val="105"/>
                                      <w:sz w:val="21"/>
                                    </w:rPr>
                                    <w:t>(159)</w:t>
                                  </w:r>
                                </w:p>
                              </w:tc>
                              <w:tc>
                                <w:tcPr>
                                  <w:tcW w:w="130" w:type="dxa"/>
                                </w:tcPr>
                                <w:p>
                                  <w:pPr>
                                    <w:pStyle w:val="TableParagraph"/>
                                    <w:rPr>
                                      <w:rFonts w:ascii="Times New Roman"/>
                                      <w:sz w:val="20"/>
                                    </w:rPr>
                                  </w:pPr>
                                </w:p>
                              </w:tc>
                            </w:tr>
                            <w:tr>
                              <w:trPr>
                                <w:trHeight w:val="461" w:hRule="atLeast"/>
                              </w:trPr>
                              <w:tc>
                                <w:tcPr>
                                  <w:tcW w:w="1972" w:type="dxa"/>
                                </w:tcPr>
                                <w:p>
                                  <w:pPr>
                                    <w:pStyle w:val="TableParagraph"/>
                                    <w:spacing w:before="74"/>
                                    <w:ind w:right="510"/>
                                    <w:jc w:val="right"/>
                                    <w:rPr>
                                      <w:sz w:val="22"/>
                                    </w:rPr>
                                  </w:pPr>
                                  <w:r>
                                    <w:rPr>
                                      <w:color w:val="050505"/>
                                      <w:spacing w:val="-2"/>
                                      <w:sz w:val="22"/>
                                    </w:rPr>
                                    <w:t>(3,302)</w:t>
                                  </w:r>
                                </w:p>
                              </w:tc>
                              <w:tc>
                                <w:tcPr>
                                  <w:tcW w:w="1254" w:type="dxa"/>
                                </w:tcPr>
                                <w:p>
                                  <w:pPr>
                                    <w:pStyle w:val="TableParagraph"/>
                                    <w:spacing w:before="74"/>
                                    <w:ind w:right="201"/>
                                    <w:jc w:val="right"/>
                                    <w:rPr>
                                      <w:sz w:val="22"/>
                                    </w:rPr>
                                  </w:pPr>
                                  <w:r>
                                    <w:rPr>
                                      <w:color w:val="050505"/>
                                      <w:spacing w:val="-2"/>
                                      <w:sz w:val="22"/>
                                    </w:rPr>
                                    <w:t>1,108</w:t>
                                  </w:r>
                                </w:p>
                              </w:tc>
                              <w:tc>
                                <w:tcPr>
                                  <w:tcW w:w="1671" w:type="dxa"/>
                                </w:tcPr>
                                <w:p>
                                  <w:pPr>
                                    <w:pStyle w:val="TableParagraph"/>
                                    <w:rPr>
                                      <w:rFonts w:ascii="Times New Roman"/>
                                      <w:sz w:val="20"/>
                                    </w:rPr>
                                  </w:pPr>
                                </w:p>
                              </w:tc>
                              <w:tc>
                                <w:tcPr>
                                  <w:tcW w:w="1181" w:type="dxa"/>
                                </w:tcPr>
                                <w:p>
                                  <w:pPr>
                                    <w:pStyle w:val="TableParagraph"/>
                                    <w:spacing w:before="74"/>
                                    <w:ind w:right="7"/>
                                    <w:jc w:val="right"/>
                                    <w:rPr>
                                      <w:b/>
                                      <w:sz w:val="21"/>
                                    </w:rPr>
                                  </w:pPr>
                                  <w:r>
                                    <w:rPr>
                                      <w:b/>
                                      <w:color w:val="050505"/>
                                      <w:spacing w:val="-2"/>
                                      <w:w w:val="105"/>
                                      <w:sz w:val="21"/>
                                    </w:rPr>
                                    <w:t>(2,194)</w:t>
                                  </w:r>
                                </w:p>
                              </w:tc>
                              <w:tc>
                                <w:tcPr>
                                  <w:tcW w:w="130" w:type="dxa"/>
                                </w:tcPr>
                                <w:p>
                                  <w:pPr>
                                    <w:pStyle w:val="TableParagraph"/>
                                    <w:rPr>
                                      <w:rFonts w:ascii="Times New Roman"/>
                                      <w:sz w:val="20"/>
                                    </w:rPr>
                                  </w:pPr>
                                </w:p>
                              </w:tc>
                            </w:tr>
                            <w:tr>
                              <w:trPr>
                                <w:trHeight w:val="456" w:hRule="atLeast"/>
                              </w:trPr>
                              <w:tc>
                                <w:tcPr>
                                  <w:tcW w:w="1972" w:type="dxa"/>
                                </w:tcPr>
                                <w:p>
                                  <w:pPr>
                                    <w:pStyle w:val="TableParagraph"/>
                                    <w:spacing w:before="127"/>
                                    <w:ind w:right="494"/>
                                    <w:jc w:val="right"/>
                                    <w:rPr>
                                      <w:sz w:val="22"/>
                                    </w:rPr>
                                  </w:pPr>
                                  <w:r>
                                    <w:rPr>
                                      <w:color w:val="050505"/>
                                      <w:spacing w:val="-2"/>
                                      <w:sz w:val="22"/>
                                    </w:rPr>
                                    <w:t>(7</w:t>
                                  </w:r>
                                  <w:r>
                                    <w:rPr>
                                      <w:color w:val="4D4D4D"/>
                                      <w:spacing w:val="-2"/>
                                      <w:sz w:val="22"/>
                                    </w:rPr>
                                    <w:t>,</w:t>
                                  </w:r>
                                  <w:r>
                                    <w:rPr>
                                      <w:color w:val="050505"/>
                                      <w:spacing w:val="-2"/>
                                      <w:sz w:val="22"/>
                                    </w:rPr>
                                    <w:t>116)</w:t>
                                  </w:r>
                                </w:p>
                              </w:tc>
                              <w:tc>
                                <w:tcPr>
                                  <w:tcW w:w="1254" w:type="dxa"/>
                                </w:tcPr>
                                <w:p>
                                  <w:pPr>
                                    <w:pStyle w:val="TableParagraph"/>
                                    <w:rPr>
                                      <w:rFonts w:ascii="Times New Roman"/>
                                      <w:sz w:val="20"/>
                                    </w:rPr>
                                  </w:pPr>
                                </w:p>
                              </w:tc>
                              <w:tc>
                                <w:tcPr>
                                  <w:tcW w:w="1671" w:type="dxa"/>
                                </w:tcPr>
                                <w:p>
                                  <w:pPr>
                                    <w:pStyle w:val="TableParagraph"/>
                                    <w:spacing w:before="127"/>
                                    <w:ind w:right="363"/>
                                    <w:jc w:val="right"/>
                                    <w:rPr>
                                      <w:sz w:val="22"/>
                                    </w:rPr>
                                  </w:pPr>
                                  <w:r>
                                    <w:rPr>
                                      <w:color w:val="050505"/>
                                      <w:spacing w:val="-2"/>
                                      <w:sz w:val="22"/>
                                    </w:rPr>
                                    <w:t>(6,969)</w:t>
                                  </w:r>
                                </w:p>
                              </w:tc>
                              <w:tc>
                                <w:tcPr>
                                  <w:tcW w:w="1181" w:type="dxa"/>
                                </w:tcPr>
                                <w:p>
                                  <w:pPr>
                                    <w:pStyle w:val="TableParagraph"/>
                                    <w:spacing w:before="131"/>
                                    <w:ind w:right="1"/>
                                    <w:jc w:val="right"/>
                                    <w:rPr>
                                      <w:b/>
                                      <w:sz w:val="21"/>
                                    </w:rPr>
                                  </w:pPr>
                                  <w:r>
                                    <w:rPr>
                                      <w:b/>
                                      <w:color w:val="050505"/>
                                      <w:spacing w:val="-2"/>
                                      <w:w w:val="105"/>
                                      <w:sz w:val="21"/>
                                    </w:rPr>
                                    <w:t>(14,085)</w:t>
                                  </w:r>
                                </w:p>
                              </w:tc>
                              <w:tc>
                                <w:tcPr>
                                  <w:tcW w:w="130" w:type="dxa"/>
                                </w:tcPr>
                                <w:p>
                                  <w:pPr>
                                    <w:pStyle w:val="TableParagraph"/>
                                    <w:rPr>
                                      <w:rFonts w:ascii="Times New Roman"/>
                                      <w:sz w:val="20"/>
                                    </w:rPr>
                                  </w:pPr>
                                </w:p>
                              </w:tc>
                            </w:tr>
                            <w:tr>
                              <w:trPr>
                                <w:trHeight w:val="318" w:hRule="atLeast"/>
                              </w:trPr>
                              <w:tc>
                                <w:tcPr>
                                  <w:tcW w:w="1972" w:type="dxa"/>
                                </w:tcPr>
                                <w:p>
                                  <w:pPr>
                                    <w:pStyle w:val="TableParagraph"/>
                                    <w:rPr>
                                      <w:rFonts w:ascii="Times New Roman"/>
                                      <w:sz w:val="20"/>
                                    </w:rPr>
                                  </w:pPr>
                                </w:p>
                              </w:tc>
                              <w:tc>
                                <w:tcPr>
                                  <w:tcW w:w="1254" w:type="dxa"/>
                                </w:tcPr>
                                <w:p>
                                  <w:pPr>
                                    <w:pStyle w:val="TableParagraph"/>
                                    <w:rPr>
                                      <w:rFonts w:ascii="Times New Roman"/>
                                      <w:sz w:val="20"/>
                                    </w:rPr>
                                  </w:pPr>
                                </w:p>
                              </w:tc>
                              <w:tc>
                                <w:tcPr>
                                  <w:tcW w:w="1671" w:type="dxa"/>
                                </w:tcPr>
                                <w:p>
                                  <w:pPr>
                                    <w:pStyle w:val="TableParagraph"/>
                                    <w:rPr>
                                      <w:rFonts w:ascii="Times New Roman"/>
                                      <w:sz w:val="20"/>
                                    </w:rPr>
                                  </w:pPr>
                                </w:p>
                              </w:tc>
                              <w:tc>
                                <w:tcPr>
                                  <w:tcW w:w="1181" w:type="dxa"/>
                                </w:tcPr>
                                <w:p>
                                  <w:pPr>
                                    <w:pStyle w:val="TableParagraph"/>
                                    <w:rPr>
                                      <w:rFonts w:ascii="Times New Roman"/>
                                      <w:sz w:val="20"/>
                                    </w:rPr>
                                  </w:pPr>
                                </w:p>
                              </w:tc>
                              <w:tc>
                                <w:tcPr>
                                  <w:tcW w:w="130" w:type="dxa"/>
                                </w:tcPr>
                                <w:p>
                                  <w:pPr>
                                    <w:pStyle w:val="TableParagraph"/>
                                    <w:rPr>
                                      <w:rFonts w:ascii="Times New Roman"/>
                                      <w:sz w:val="20"/>
                                    </w:rPr>
                                  </w:pPr>
                                </w:p>
                              </w:tc>
                            </w:tr>
                            <w:tr>
                              <w:trPr>
                                <w:trHeight w:val="242" w:hRule="atLeast"/>
                              </w:trPr>
                              <w:tc>
                                <w:tcPr>
                                  <w:tcW w:w="1972" w:type="dxa"/>
                                </w:tcPr>
                                <w:p>
                                  <w:pPr>
                                    <w:pStyle w:val="TableParagraph"/>
                                    <w:spacing w:before="1" w:line="222" w:lineRule="exact"/>
                                    <w:ind w:right="499"/>
                                    <w:jc w:val="right"/>
                                    <w:rPr>
                                      <w:b/>
                                      <w:sz w:val="21"/>
                                    </w:rPr>
                                  </w:pPr>
                                  <w:r>
                                    <w:rPr>
                                      <w:b/>
                                      <w:color w:val="050505"/>
                                      <w:spacing w:val="-2"/>
                                      <w:w w:val="105"/>
                                      <w:sz w:val="21"/>
                                    </w:rPr>
                                    <w:t>(10,577)</w:t>
                                  </w:r>
                                </w:p>
                              </w:tc>
                              <w:tc>
                                <w:tcPr>
                                  <w:tcW w:w="1254" w:type="dxa"/>
                                </w:tcPr>
                                <w:p>
                                  <w:pPr>
                                    <w:pStyle w:val="TableParagraph"/>
                                    <w:spacing w:before="1" w:line="222" w:lineRule="exact"/>
                                    <w:ind w:right="198"/>
                                    <w:jc w:val="right"/>
                                    <w:rPr>
                                      <w:b/>
                                      <w:sz w:val="21"/>
                                    </w:rPr>
                                  </w:pPr>
                                  <w:r>
                                    <w:rPr>
                                      <w:b/>
                                      <w:color w:val="050505"/>
                                      <w:spacing w:val="-4"/>
                                      <w:w w:val="105"/>
                                      <w:sz w:val="21"/>
                                    </w:rPr>
                                    <w:t>1,108</w:t>
                                  </w:r>
                                </w:p>
                              </w:tc>
                              <w:tc>
                                <w:tcPr>
                                  <w:tcW w:w="1671" w:type="dxa"/>
                                </w:tcPr>
                                <w:p>
                                  <w:pPr>
                                    <w:pStyle w:val="TableParagraph"/>
                                    <w:spacing w:before="1" w:line="222" w:lineRule="exact"/>
                                    <w:ind w:right="350"/>
                                    <w:jc w:val="right"/>
                                    <w:rPr>
                                      <w:b/>
                                      <w:sz w:val="21"/>
                                    </w:rPr>
                                  </w:pPr>
                                  <w:r>
                                    <w:rPr>
                                      <w:b/>
                                      <w:color w:val="050505"/>
                                      <w:spacing w:val="-2"/>
                                      <w:w w:val="105"/>
                                      <w:sz w:val="21"/>
                                    </w:rPr>
                                    <w:t>(6,969)</w:t>
                                  </w:r>
                                </w:p>
                              </w:tc>
                              <w:tc>
                                <w:tcPr>
                                  <w:tcW w:w="1181" w:type="dxa"/>
                                </w:tcPr>
                                <w:p>
                                  <w:pPr>
                                    <w:pStyle w:val="TableParagraph"/>
                                    <w:spacing w:before="1" w:line="222" w:lineRule="exact"/>
                                    <w:ind w:right="4"/>
                                    <w:jc w:val="right"/>
                                    <w:rPr>
                                      <w:b/>
                                      <w:sz w:val="21"/>
                                    </w:rPr>
                                  </w:pPr>
                                  <w:r>
                                    <w:rPr>
                                      <w:b/>
                                      <w:color w:val="050505"/>
                                      <w:spacing w:val="-2"/>
                                      <w:w w:val="105"/>
                                      <w:sz w:val="21"/>
                                    </w:rPr>
                                    <w:t>(16,438)</w:t>
                                  </w:r>
                                </w:p>
                              </w:tc>
                              <w:tc>
                                <w:tcPr>
                                  <w:tcW w:w="130" w:type="dxa"/>
                                </w:tcPr>
                                <w:p>
                                  <w:pPr>
                                    <w:pStyle w:val="TableParagraph"/>
                                    <w:rPr>
                                      <w:rFonts w:ascii="Times New Roman"/>
                                      <w:sz w:val="16"/>
                                    </w:rPr>
                                  </w:pPr>
                                </w:p>
                              </w:tc>
                            </w:tr>
                            <w:tr>
                              <w:trPr>
                                <w:trHeight w:val="316" w:hRule="atLeast"/>
                              </w:trPr>
                              <w:tc>
                                <w:tcPr>
                                  <w:tcW w:w="6078" w:type="dxa"/>
                                  <w:gridSpan w:val="4"/>
                                </w:tcPr>
                                <w:p>
                                  <w:pPr>
                                    <w:pStyle w:val="TableParagraph"/>
                                    <w:tabs>
                                      <w:tab w:val="left" w:leader="none" w:pos="3104"/>
                                      <w:tab w:val="left" w:leader="none" w:pos="6076"/>
                                    </w:tabs>
                                    <w:spacing w:line="296" w:lineRule="exact"/>
                                    <w:rPr>
                                      <w:sz w:val="32"/>
                                    </w:rPr>
                                  </w:pPr>
                                  <w:r>
                                    <w:rPr>
                                      <w:color w:val="C3C3C3"/>
                                      <w:sz w:val="32"/>
                                      <w:u w:val="single" w:color="000000"/>
                                    </w:rPr>
                                    <w:tab/>
                                  </w:r>
                                  <w:r>
                                    <w:rPr>
                                      <w:color w:val="C3C3C3"/>
                                      <w:spacing w:val="-10"/>
                                      <w:sz w:val="32"/>
                                      <w:u w:val="single" w:color="000000"/>
                                    </w:rPr>
                                    <w:t>I</w:t>
                                  </w:r>
                                  <w:r>
                                    <w:rPr>
                                      <w:color w:val="C3C3C3"/>
                                      <w:sz w:val="32"/>
                                      <w:u w:val="single" w:color="000000"/>
                                    </w:rPr>
                                    <w:tab/>
                                  </w:r>
                                </w:p>
                              </w:tc>
                              <w:tc>
                                <w:tcPr>
                                  <w:tcW w:w="130" w:type="dxa"/>
                                </w:tcPr>
                                <w:p>
                                  <w:pPr>
                                    <w:pStyle w:val="TableParagraph"/>
                                    <w:rPr>
                                      <w:rFonts w:ascii="Times New Roman"/>
                                      <w:sz w:val="20"/>
                                    </w:rPr>
                                  </w:pPr>
                                </w:p>
                              </w:tc>
                            </w:tr>
                            <w:tr>
                              <w:trPr>
                                <w:trHeight w:val="876" w:hRule="atLeast"/>
                              </w:trPr>
                              <w:tc>
                                <w:tcPr>
                                  <w:tcW w:w="1972" w:type="dxa"/>
                                  <w:tcBorders>
                                    <w:bottom w:val="single" w:color="000000" w:sz="6" w:space="0"/>
                                  </w:tcBorders>
                                </w:tcPr>
                                <w:p>
                                  <w:pPr>
                                    <w:pStyle w:val="TableParagraph"/>
                                    <w:spacing w:before="214"/>
                                    <w:rPr>
                                      <w:b/>
                                      <w:sz w:val="21"/>
                                    </w:rPr>
                                  </w:pPr>
                                </w:p>
                                <w:p>
                                  <w:pPr>
                                    <w:pStyle w:val="TableParagraph"/>
                                    <w:ind w:right="497"/>
                                    <w:jc w:val="right"/>
                                    <w:rPr>
                                      <w:b/>
                                      <w:sz w:val="21"/>
                                    </w:rPr>
                                  </w:pPr>
                                  <w:r>
                                    <w:rPr>
                                      <w:b/>
                                      <w:color w:val="050505"/>
                                      <w:spacing w:val="-2"/>
                                      <w:w w:val="105"/>
                                      <w:sz w:val="21"/>
                                    </w:rPr>
                                    <w:t>(4,766)</w:t>
                                  </w:r>
                                </w:p>
                              </w:tc>
                              <w:tc>
                                <w:tcPr>
                                  <w:tcW w:w="1254" w:type="dxa"/>
                                  <w:tcBorders>
                                    <w:bottom w:val="single" w:color="000000" w:sz="6" w:space="0"/>
                                  </w:tcBorders>
                                </w:tcPr>
                                <w:p>
                                  <w:pPr>
                                    <w:pStyle w:val="TableParagraph"/>
                                    <w:spacing w:before="214"/>
                                    <w:rPr>
                                      <w:b/>
                                      <w:sz w:val="21"/>
                                    </w:rPr>
                                  </w:pPr>
                                </w:p>
                                <w:p>
                                  <w:pPr>
                                    <w:pStyle w:val="TableParagraph"/>
                                    <w:ind w:right="191"/>
                                    <w:jc w:val="right"/>
                                    <w:rPr>
                                      <w:b/>
                                      <w:sz w:val="21"/>
                                    </w:rPr>
                                  </w:pPr>
                                  <w:r>
                                    <w:rPr>
                                      <w:b/>
                                      <w:color w:val="050505"/>
                                      <w:spacing w:val="-4"/>
                                      <w:w w:val="105"/>
                                      <w:sz w:val="21"/>
                                    </w:rPr>
                                    <w:t>2,608</w:t>
                                  </w:r>
                                </w:p>
                              </w:tc>
                              <w:tc>
                                <w:tcPr>
                                  <w:tcW w:w="1671" w:type="dxa"/>
                                  <w:tcBorders>
                                    <w:bottom w:val="single" w:color="000000" w:sz="6" w:space="0"/>
                                  </w:tcBorders>
                                </w:tcPr>
                                <w:p>
                                  <w:pPr>
                                    <w:pStyle w:val="TableParagraph"/>
                                    <w:spacing w:before="209"/>
                                    <w:rPr>
                                      <w:b/>
                                      <w:sz w:val="21"/>
                                    </w:rPr>
                                  </w:pPr>
                                </w:p>
                                <w:p>
                                  <w:pPr>
                                    <w:pStyle w:val="TableParagraph"/>
                                    <w:ind w:right="345"/>
                                    <w:jc w:val="right"/>
                                    <w:rPr>
                                      <w:b/>
                                      <w:sz w:val="21"/>
                                    </w:rPr>
                                  </w:pPr>
                                  <w:r>
                                    <w:rPr>
                                      <w:b/>
                                      <w:color w:val="050505"/>
                                      <w:spacing w:val="-2"/>
                                      <w:w w:val="105"/>
                                      <w:sz w:val="21"/>
                                    </w:rPr>
                                    <w:t>(4,892)</w:t>
                                  </w:r>
                                </w:p>
                              </w:tc>
                              <w:tc>
                                <w:tcPr>
                                  <w:tcW w:w="1311" w:type="dxa"/>
                                  <w:gridSpan w:val="2"/>
                                  <w:tcBorders>
                                    <w:bottom w:val="single" w:color="000000" w:sz="6" w:space="0"/>
                                  </w:tcBorders>
                                </w:tcPr>
                                <w:p>
                                  <w:pPr>
                                    <w:pStyle w:val="TableParagraph"/>
                                    <w:spacing w:before="209"/>
                                    <w:rPr>
                                      <w:b/>
                                      <w:sz w:val="21"/>
                                    </w:rPr>
                                  </w:pPr>
                                </w:p>
                                <w:p>
                                  <w:pPr>
                                    <w:pStyle w:val="TableParagraph"/>
                                    <w:ind w:left="486"/>
                                    <w:rPr>
                                      <w:b/>
                                      <w:sz w:val="21"/>
                                    </w:rPr>
                                  </w:pPr>
                                  <w:r>
                                    <w:rPr>
                                      <w:b/>
                                      <w:color w:val="050505"/>
                                      <w:spacing w:val="-2"/>
                                      <w:w w:val="105"/>
                                      <w:sz w:val="21"/>
                                    </w:rPr>
                                    <w:t>{7,050)</w:t>
                                  </w:r>
                                </w:p>
                              </w:tc>
                            </w:tr>
                          </w:tbl>
                          <w:p>
                            <w:pPr>
                              <w:pStyle w:val="BodyText"/>
                            </w:pPr>
                          </w:p>
                        </w:txbxContent>
                      </wps:txbx>
                      <wps:bodyPr wrap="square" lIns="0" tIns="0" rIns="0" bIns="0" rtlCol="0">
                        <a:noAutofit/>
                      </wps:bodyPr>
                    </wps:wsp>
                  </a:graphicData>
                </a:graphic>
              </wp:anchor>
            </w:drawing>
          </ve:Choice>
          <ve:Fallback>
            <w:pict>
              <v:shape id="docshape162" style="position:absolute;margin-left:268.397064pt;margin-top:1.539141pt;width:316.350pt;height:263.4pt;mso-position-horizontal-relative:page;mso-position-vertical-relative:paragraph;z-index:15781888"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972"/>
                        <w:gridCol w:w="1254"/>
                        <w:gridCol w:w="1671"/>
                        <w:gridCol w:w="1181"/>
                        <w:gridCol w:w="130"/>
                      </w:tblGrid>
                      <w:tr>
                        <w:trPr>
                          <w:trHeight w:val="273" w:hRule="atLeast"/>
                        </w:trPr>
                        <w:tc>
                          <w:tcPr>
                            <w:tcW w:w="1972" w:type="dxa"/>
                            <w:tcBorders>
                              <w:bottom w:val="single" w:color="000000" w:sz="6" w:space="0"/>
                            </w:tcBorders>
                          </w:tcPr>
                          <w:p>
                            <w:pPr>
                              <w:pStyle w:val="TableParagraph"/>
                              <w:spacing w:before="12" w:line="241" w:lineRule="exact"/>
                              <w:ind w:right="573"/>
                              <w:jc w:val="right"/>
                              <w:rPr>
                                <w:sz w:val="22"/>
                              </w:rPr>
                            </w:pPr>
                            <w:r>
                              <w:rPr>
                                <w:color w:val="050505"/>
                                <w:spacing w:val="-5"/>
                                <w:sz w:val="22"/>
                              </w:rPr>
                              <w:t>717</w:t>
                            </w:r>
                          </w:p>
                        </w:tc>
                        <w:tc>
                          <w:tcPr>
                            <w:tcW w:w="1254" w:type="dxa"/>
                            <w:tcBorders>
                              <w:bottom w:val="single" w:color="000000" w:sz="6" w:space="0"/>
                            </w:tcBorders>
                          </w:tcPr>
                          <w:p>
                            <w:pPr>
                              <w:pStyle w:val="TableParagraph"/>
                              <w:spacing w:before="17" w:line="237" w:lineRule="exact"/>
                              <w:ind w:right="203"/>
                              <w:jc w:val="right"/>
                              <w:rPr>
                                <w:sz w:val="22"/>
                              </w:rPr>
                            </w:pPr>
                            <w:r>
                              <w:rPr>
                                <w:color w:val="050505"/>
                                <w:spacing w:val="-5"/>
                                <w:sz w:val="22"/>
                              </w:rPr>
                              <w:t>371</w:t>
                            </w:r>
                          </w:p>
                        </w:tc>
                        <w:tc>
                          <w:tcPr>
                            <w:tcW w:w="1671" w:type="dxa"/>
                          </w:tcPr>
                          <w:p>
                            <w:pPr>
                              <w:pStyle w:val="TableParagraph"/>
                              <w:spacing w:line="246" w:lineRule="exact"/>
                              <w:ind w:right="352"/>
                              <w:jc w:val="right"/>
                              <w:rPr>
                                <w:sz w:val="22"/>
                              </w:rPr>
                            </w:pPr>
                            <w:r>
                              <w:rPr>
                                <w:color w:val="050505"/>
                                <w:spacing w:val="-10"/>
                                <w:w w:val="105"/>
                                <w:sz w:val="22"/>
                              </w:rPr>
                              <w:t>1</w:t>
                            </w:r>
                          </w:p>
                        </w:tc>
                        <w:tc>
                          <w:tcPr>
                            <w:tcW w:w="1181" w:type="dxa"/>
                          </w:tcPr>
                          <w:p>
                            <w:pPr>
                              <w:pStyle w:val="TableParagraph"/>
                              <w:spacing w:before="36" w:line="218" w:lineRule="exact"/>
                              <w:ind w:right="78"/>
                              <w:jc w:val="right"/>
                              <w:rPr>
                                <w:b/>
                                <w:sz w:val="21"/>
                              </w:rPr>
                            </w:pPr>
                            <w:r>
                              <w:rPr>
                                <w:b/>
                                <w:color w:val="050505"/>
                                <w:spacing w:val="-4"/>
                                <w:w w:val="105"/>
                                <w:sz w:val="21"/>
                              </w:rPr>
                              <w:t>1,089</w:t>
                            </w:r>
                          </w:p>
                        </w:tc>
                        <w:tc>
                          <w:tcPr>
                            <w:tcW w:w="130" w:type="dxa"/>
                          </w:tcPr>
                          <w:p>
                            <w:pPr>
                              <w:pStyle w:val="TableParagraph"/>
                              <w:rPr>
                                <w:rFonts w:ascii="Times New Roman"/>
                                <w:sz w:val="20"/>
                              </w:rPr>
                            </w:pPr>
                          </w:p>
                        </w:tc>
                      </w:tr>
                      <w:tr>
                        <w:trPr>
                          <w:trHeight w:val="1614" w:hRule="atLeast"/>
                        </w:trPr>
                        <w:tc>
                          <w:tcPr>
                            <w:tcW w:w="1972" w:type="dxa"/>
                            <w:tcBorders>
                              <w:top w:val="single" w:color="000000" w:sz="6" w:space="0"/>
                              <w:bottom w:val="single" w:color="000000" w:sz="6" w:space="0"/>
                            </w:tcBorders>
                          </w:tcPr>
                          <w:p>
                            <w:pPr>
                              <w:pStyle w:val="TableParagraph"/>
                              <w:rPr>
                                <w:rFonts w:ascii="Times New Roman"/>
                                <w:sz w:val="20"/>
                              </w:rPr>
                            </w:pPr>
                          </w:p>
                        </w:tc>
                        <w:tc>
                          <w:tcPr>
                            <w:tcW w:w="1254" w:type="dxa"/>
                            <w:tcBorders>
                              <w:top w:val="single" w:color="000000" w:sz="6" w:space="0"/>
                              <w:bottom w:val="single" w:color="000000" w:sz="6" w:space="0"/>
                            </w:tcBorders>
                          </w:tcPr>
                          <w:p>
                            <w:pPr>
                              <w:pStyle w:val="TableParagraph"/>
                              <w:rPr>
                                <w:rFonts w:ascii="Times New Roman"/>
                                <w:sz w:val="20"/>
                              </w:rPr>
                            </w:pPr>
                          </w:p>
                        </w:tc>
                        <w:tc>
                          <w:tcPr>
                            <w:tcW w:w="1671" w:type="dxa"/>
                            <w:tcBorders>
                              <w:bottom w:val="single" w:color="000000" w:sz="6" w:space="0"/>
                            </w:tcBorders>
                          </w:tcPr>
                          <w:p>
                            <w:pPr>
                              <w:pStyle w:val="TableParagraph"/>
                              <w:rPr>
                                <w:rFonts w:ascii="Times New Roman"/>
                                <w:sz w:val="20"/>
                              </w:rPr>
                            </w:pPr>
                          </w:p>
                        </w:tc>
                        <w:tc>
                          <w:tcPr>
                            <w:tcW w:w="1181" w:type="dxa"/>
                            <w:tcBorders>
                              <w:bottom w:val="single" w:color="000000" w:sz="6" w:space="0"/>
                            </w:tcBorders>
                          </w:tcPr>
                          <w:p>
                            <w:pPr>
                              <w:pStyle w:val="TableParagraph"/>
                              <w:rPr>
                                <w:rFonts w:ascii="Times New Roman"/>
                                <w:sz w:val="20"/>
                              </w:rPr>
                            </w:pPr>
                          </w:p>
                        </w:tc>
                        <w:tc>
                          <w:tcPr>
                            <w:tcW w:w="130" w:type="dxa"/>
                          </w:tcPr>
                          <w:p>
                            <w:pPr>
                              <w:pStyle w:val="TableParagraph"/>
                              <w:rPr>
                                <w:rFonts w:ascii="Times New Roman"/>
                                <w:sz w:val="20"/>
                              </w:rPr>
                            </w:pPr>
                          </w:p>
                        </w:tc>
                      </w:tr>
                      <w:tr>
                        <w:trPr>
                          <w:trHeight w:val="311" w:hRule="atLeast"/>
                        </w:trPr>
                        <w:tc>
                          <w:tcPr>
                            <w:tcW w:w="1972" w:type="dxa"/>
                            <w:tcBorders>
                              <w:top w:val="single" w:color="000000" w:sz="6" w:space="0"/>
                            </w:tcBorders>
                          </w:tcPr>
                          <w:p>
                            <w:pPr>
                              <w:pStyle w:val="TableParagraph"/>
                              <w:spacing w:before="40"/>
                              <w:ind w:left="860"/>
                              <w:rPr>
                                <w:b/>
                                <w:sz w:val="21"/>
                              </w:rPr>
                            </w:pPr>
                            <w:r>
                              <w:rPr>
                                <w:b/>
                                <w:color w:val="050505"/>
                                <w:spacing w:val="-4"/>
                                <w:w w:val="105"/>
                                <w:sz w:val="21"/>
                              </w:rPr>
                              <w:t>5,811</w:t>
                            </w:r>
                          </w:p>
                        </w:tc>
                        <w:tc>
                          <w:tcPr>
                            <w:tcW w:w="1254" w:type="dxa"/>
                            <w:tcBorders>
                              <w:top w:val="single" w:color="000000" w:sz="6" w:space="0"/>
                            </w:tcBorders>
                          </w:tcPr>
                          <w:p>
                            <w:pPr>
                              <w:pStyle w:val="TableParagraph"/>
                              <w:spacing w:before="40"/>
                              <w:ind w:right="197"/>
                              <w:jc w:val="right"/>
                              <w:rPr>
                                <w:b/>
                                <w:sz w:val="21"/>
                              </w:rPr>
                            </w:pPr>
                            <w:r>
                              <w:rPr>
                                <w:b/>
                                <w:color w:val="050505"/>
                                <w:spacing w:val="-4"/>
                                <w:w w:val="105"/>
                                <w:sz w:val="21"/>
                              </w:rPr>
                              <w:t>1,500</w:t>
                            </w:r>
                          </w:p>
                        </w:tc>
                        <w:tc>
                          <w:tcPr>
                            <w:tcW w:w="1671" w:type="dxa"/>
                            <w:tcBorders>
                              <w:top w:val="single" w:color="000000" w:sz="6" w:space="0"/>
                            </w:tcBorders>
                          </w:tcPr>
                          <w:p>
                            <w:pPr>
                              <w:pStyle w:val="TableParagraph"/>
                              <w:spacing w:before="35"/>
                              <w:ind w:right="352"/>
                              <w:jc w:val="right"/>
                              <w:rPr>
                                <w:b/>
                                <w:sz w:val="21"/>
                              </w:rPr>
                            </w:pPr>
                            <w:r>
                              <w:rPr>
                                <w:b/>
                                <w:color w:val="050505"/>
                                <w:spacing w:val="-4"/>
                                <w:w w:val="105"/>
                                <w:sz w:val="21"/>
                              </w:rPr>
                              <w:t>2,077</w:t>
                            </w:r>
                          </w:p>
                        </w:tc>
                        <w:tc>
                          <w:tcPr>
                            <w:tcW w:w="1181" w:type="dxa"/>
                            <w:tcBorders>
                              <w:top w:val="single" w:color="000000" w:sz="6" w:space="0"/>
                            </w:tcBorders>
                          </w:tcPr>
                          <w:p>
                            <w:pPr>
                              <w:pStyle w:val="TableParagraph"/>
                              <w:spacing w:before="40"/>
                              <w:ind w:right="68"/>
                              <w:jc w:val="right"/>
                              <w:rPr>
                                <w:b/>
                                <w:sz w:val="21"/>
                              </w:rPr>
                            </w:pPr>
                            <w:r>
                              <w:rPr>
                                <w:b/>
                                <w:color w:val="050505"/>
                                <w:spacing w:val="-4"/>
                                <w:w w:val="105"/>
                                <w:sz w:val="21"/>
                              </w:rPr>
                              <w:t>9,388</w:t>
                            </w:r>
                          </w:p>
                        </w:tc>
                        <w:tc>
                          <w:tcPr>
                            <w:tcW w:w="130" w:type="dxa"/>
                          </w:tcPr>
                          <w:p>
                            <w:pPr>
                              <w:pStyle w:val="TableParagraph"/>
                              <w:rPr>
                                <w:rFonts w:ascii="Times New Roman"/>
                                <w:sz w:val="20"/>
                              </w:rPr>
                            </w:pPr>
                          </w:p>
                        </w:tc>
                      </w:tr>
                      <w:tr>
                        <w:trPr>
                          <w:trHeight w:val="356" w:hRule="atLeast"/>
                        </w:trPr>
                        <w:tc>
                          <w:tcPr>
                            <w:tcW w:w="1972" w:type="dxa"/>
                          </w:tcPr>
                          <w:p>
                            <w:pPr>
                              <w:pStyle w:val="TableParagraph"/>
                              <w:spacing w:before="22"/>
                              <w:ind w:right="513"/>
                              <w:jc w:val="right"/>
                              <w:rPr>
                                <w:sz w:val="22"/>
                              </w:rPr>
                            </w:pPr>
                            <w:r>
                              <w:rPr>
                                <w:color w:val="050505"/>
                                <w:spacing w:val="-2"/>
                                <w:sz w:val="22"/>
                              </w:rPr>
                              <w:t>(159)</w:t>
                            </w:r>
                          </w:p>
                        </w:tc>
                        <w:tc>
                          <w:tcPr>
                            <w:tcW w:w="1254" w:type="dxa"/>
                          </w:tcPr>
                          <w:p>
                            <w:pPr>
                              <w:pStyle w:val="TableParagraph"/>
                              <w:rPr>
                                <w:rFonts w:ascii="Times New Roman"/>
                                <w:sz w:val="20"/>
                              </w:rPr>
                            </w:pPr>
                          </w:p>
                        </w:tc>
                        <w:tc>
                          <w:tcPr>
                            <w:tcW w:w="1671" w:type="dxa"/>
                          </w:tcPr>
                          <w:p>
                            <w:pPr>
                              <w:pStyle w:val="TableParagraph"/>
                              <w:rPr>
                                <w:rFonts w:ascii="Times New Roman"/>
                                <w:sz w:val="20"/>
                              </w:rPr>
                            </w:pPr>
                          </w:p>
                        </w:tc>
                        <w:tc>
                          <w:tcPr>
                            <w:tcW w:w="1181" w:type="dxa"/>
                          </w:tcPr>
                          <w:p>
                            <w:pPr>
                              <w:pStyle w:val="TableParagraph"/>
                              <w:spacing w:before="22"/>
                              <w:ind w:right="5"/>
                              <w:jc w:val="right"/>
                              <w:rPr>
                                <w:b/>
                                <w:sz w:val="21"/>
                              </w:rPr>
                            </w:pPr>
                            <w:r>
                              <w:rPr>
                                <w:b/>
                                <w:color w:val="050505"/>
                                <w:spacing w:val="-2"/>
                                <w:w w:val="105"/>
                                <w:sz w:val="21"/>
                              </w:rPr>
                              <w:t>(159)</w:t>
                            </w:r>
                          </w:p>
                        </w:tc>
                        <w:tc>
                          <w:tcPr>
                            <w:tcW w:w="130" w:type="dxa"/>
                          </w:tcPr>
                          <w:p>
                            <w:pPr>
                              <w:pStyle w:val="TableParagraph"/>
                              <w:rPr>
                                <w:rFonts w:ascii="Times New Roman"/>
                                <w:sz w:val="20"/>
                              </w:rPr>
                            </w:pPr>
                          </w:p>
                        </w:tc>
                      </w:tr>
                      <w:tr>
                        <w:trPr>
                          <w:trHeight w:val="461" w:hRule="atLeast"/>
                        </w:trPr>
                        <w:tc>
                          <w:tcPr>
                            <w:tcW w:w="1972" w:type="dxa"/>
                          </w:tcPr>
                          <w:p>
                            <w:pPr>
                              <w:pStyle w:val="TableParagraph"/>
                              <w:spacing w:before="74"/>
                              <w:ind w:right="510"/>
                              <w:jc w:val="right"/>
                              <w:rPr>
                                <w:sz w:val="22"/>
                              </w:rPr>
                            </w:pPr>
                            <w:r>
                              <w:rPr>
                                <w:color w:val="050505"/>
                                <w:spacing w:val="-2"/>
                                <w:sz w:val="22"/>
                              </w:rPr>
                              <w:t>(3,302)</w:t>
                            </w:r>
                          </w:p>
                        </w:tc>
                        <w:tc>
                          <w:tcPr>
                            <w:tcW w:w="1254" w:type="dxa"/>
                          </w:tcPr>
                          <w:p>
                            <w:pPr>
                              <w:pStyle w:val="TableParagraph"/>
                              <w:spacing w:before="74"/>
                              <w:ind w:right="201"/>
                              <w:jc w:val="right"/>
                              <w:rPr>
                                <w:sz w:val="22"/>
                              </w:rPr>
                            </w:pPr>
                            <w:r>
                              <w:rPr>
                                <w:color w:val="050505"/>
                                <w:spacing w:val="-2"/>
                                <w:sz w:val="22"/>
                              </w:rPr>
                              <w:t>1,108</w:t>
                            </w:r>
                          </w:p>
                        </w:tc>
                        <w:tc>
                          <w:tcPr>
                            <w:tcW w:w="1671" w:type="dxa"/>
                          </w:tcPr>
                          <w:p>
                            <w:pPr>
                              <w:pStyle w:val="TableParagraph"/>
                              <w:rPr>
                                <w:rFonts w:ascii="Times New Roman"/>
                                <w:sz w:val="20"/>
                              </w:rPr>
                            </w:pPr>
                          </w:p>
                        </w:tc>
                        <w:tc>
                          <w:tcPr>
                            <w:tcW w:w="1181" w:type="dxa"/>
                          </w:tcPr>
                          <w:p>
                            <w:pPr>
                              <w:pStyle w:val="TableParagraph"/>
                              <w:spacing w:before="74"/>
                              <w:ind w:right="7"/>
                              <w:jc w:val="right"/>
                              <w:rPr>
                                <w:b/>
                                <w:sz w:val="21"/>
                              </w:rPr>
                            </w:pPr>
                            <w:r>
                              <w:rPr>
                                <w:b/>
                                <w:color w:val="050505"/>
                                <w:spacing w:val="-2"/>
                                <w:w w:val="105"/>
                                <w:sz w:val="21"/>
                              </w:rPr>
                              <w:t>(2,194)</w:t>
                            </w:r>
                          </w:p>
                        </w:tc>
                        <w:tc>
                          <w:tcPr>
                            <w:tcW w:w="130" w:type="dxa"/>
                          </w:tcPr>
                          <w:p>
                            <w:pPr>
                              <w:pStyle w:val="TableParagraph"/>
                              <w:rPr>
                                <w:rFonts w:ascii="Times New Roman"/>
                                <w:sz w:val="20"/>
                              </w:rPr>
                            </w:pPr>
                          </w:p>
                        </w:tc>
                      </w:tr>
                      <w:tr>
                        <w:trPr>
                          <w:trHeight w:val="456" w:hRule="atLeast"/>
                        </w:trPr>
                        <w:tc>
                          <w:tcPr>
                            <w:tcW w:w="1972" w:type="dxa"/>
                          </w:tcPr>
                          <w:p>
                            <w:pPr>
                              <w:pStyle w:val="TableParagraph"/>
                              <w:spacing w:before="127"/>
                              <w:ind w:right="494"/>
                              <w:jc w:val="right"/>
                              <w:rPr>
                                <w:sz w:val="22"/>
                              </w:rPr>
                            </w:pPr>
                            <w:r>
                              <w:rPr>
                                <w:color w:val="050505"/>
                                <w:spacing w:val="-2"/>
                                <w:sz w:val="22"/>
                              </w:rPr>
                              <w:t>(7</w:t>
                            </w:r>
                            <w:r>
                              <w:rPr>
                                <w:color w:val="4D4D4D"/>
                                <w:spacing w:val="-2"/>
                                <w:sz w:val="22"/>
                              </w:rPr>
                              <w:t>,</w:t>
                            </w:r>
                            <w:r>
                              <w:rPr>
                                <w:color w:val="050505"/>
                                <w:spacing w:val="-2"/>
                                <w:sz w:val="22"/>
                              </w:rPr>
                              <w:t>116)</w:t>
                            </w:r>
                          </w:p>
                        </w:tc>
                        <w:tc>
                          <w:tcPr>
                            <w:tcW w:w="1254" w:type="dxa"/>
                          </w:tcPr>
                          <w:p>
                            <w:pPr>
                              <w:pStyle w:val="TableParagraph"/>
                              <w:rPr>
                                <w:rFonts w:ascii="Times New Roman"/>
                                <w:sz w:val="20"/>
                              </w:rPr>
                            </w:pPr>
                          </w:p>
                        </w:tc>
                        <w:tc>
                          <w:tcPr>
                            <w:tcW w:w="1671" w:type="dxa"/>
                          </w:tcPr>
                          <w:p>
                            <w:pPr>
                              <w:pStyle w:val="TableParagraph"/>
                              <w:spacing w:before="127"/>
                              <w:ind w:right="363"/>
                              <w:jc w:val="right"/>
                              <w:rPr>
                                <w:sz w:val="22"/>
                              </w:rPr>
                            </w:pPr>
                            <w:r>
                              <w:rPr>
                                <w:color w:val="050505"/>
                                <w:spacing w:val="-2"/>
                                <w:sz w:val="22"/>
                              </w:rPr>
                              <w:t>(6,969)</w:t>
                            </w:r>
                          </w:p>
                        </w:tc>
                        <w:tc>
                          <w:tcPr>
                            <w:tcW w:w="1181" w:type="dxa"/>
                          </w:tcPr>
                          <w:p>
                            <w:pPr>
                              <w:pStyle w:val="TableParagraph"/>
                              <w:spacing w:before="131"/>
                              <w:ind w:right="1"/>
                              <w:jc w:val="right"/>
                              <w:rPr>
                                <w:b/>
                                <w:sz w:val="21"/>
                              </w:rPr>
                            </w:pPr>
                            <w:r>
                              <w:rPr>
                                <w:b/>
                                <w:color w:val="050505"/>
                                <w:spacing w:val="-2"/>
                                <w:w w:val="105"/>
                                <w:sz w:val="21"/>
                              </w:rPr>
                              <w:t>(14,085)</w:t>
                            </w:r>
                          </w:p>
                        </w:tc>
                        <w:tc>
                          <w:tcPr>
                            <w:tcW w:w="130" w:type="dxa"/>
                          </w:tcPr>
                          <w:p>
                            <w:pPr>
                              <w:pStyle w:val="TableParagraph"/>
                              <w:rPr>
                                <w:rFonts w:ascii="Times New Roman"/>
                                <w:sz w:val="20"/>
                              </w:rPr>
                            </w:pPr>
                          </w:p>
                        </w:tc>
                      </w:tr>
                      <w:tr>
                        <w:trPr>
                          <w:trHeight w:val="318" w:hRule="atLeast"/>
                        </w:trPr>
                        <w:tc>
                          <w:tcPr>
                            <w:tcW w:w="1972" w:type="dxa"/>
                          </w:tcPr>
                          <w:p>
                            <w:pPr>
                              <w:pStyle w:val="TableParagraph"/>
                              <w:rPr>
                                <w:rFonts w:ascii="Times New Roman"/>
                                <w:sz w:val="20"/>
                              </w:rPr>
                            </w:pPr>
                          </w:p>
                        </w:tc>
                        <w:tc>
                          <w:tcPr>
                            <w:tcW w:w="1254" w:type="dxa"/>
                          </w:tcPr>
                          <w:p>
                            <w:pPr>
                              <w:pStyle w:val="TableParagraph"/>
                              <w:rPr>
                                <w:rFonts w:ascii="Times New Roman"/>
                                <w:sz w:val="20"/>
                              </w:rPr>
                            </w:pPr>
                          </w:p>
                        </w:tc>
                        <w:tc>
                          <w:tcPr>
                            <w:tcW w:w="1671" w:type="dxa"/>
                          </w:tcPr>
                          <w:p>
                            <w:pPr>
                              <w:pStyle w:val="TableParagraph"/>
                              <w:rPr>
                                <w:rFonts w:ascii="Times New Roman"/>
                                <w:sz w:val="20"/>
                              </w:rPr>
                            </w:pPr>
                          </w:p>
                        </w:tc>
                        <w:tc>
                          <w:tcPr>
                            <w:tcW w:w="1181" w:type="dxa"/>
                          </w:tcPr>
                          <w:p>
                            <w:pPr>
                              <w:pStyle w:val="TableParagraph"/>
                              <w:rPr>
                                <w:rFonts w:ascii="Times New Roman"/>
                                <w:sz w:val="20"/>
                              </w:rPr>
                            </w:pPr>
                          </w:p>
                        </w:tc>
                        <w:tc>
                          <w:tcPr>
                            <w:tcW w:w="130" w:type="dxa"/>
                          </w:tcPr>
                          <w:p>
                            <w:pPr>
                              <w:pStyle w:val="TableParagraph"/>
                              <w:rPr>
                                <w:rFonts w:ascii="Times New Roman"/>
                                <w:sz w:val="20"/>
                              </w:rPr>
                            </w:pPr>
                          </w:p>
                        </w:tc>
                      </w:tr>
                      <w:tr>
                        <w:trPr>
                          <w:trHeight w:val="242" w:hRule="atLeast"/>
                        </w:trPr>
                        <w:tc>
                          <w:tcPr>
                            <w:tcW w:w="1972" w:type="dxa"/>
                          </w:tcPr>
                          <w:p>
                            <w:pPr>
                              <w:pStyle w:val="TableParagraph"/>
                              <w:spacing w:before="1" w:line="222" w:lineRule="exact"/>
                              <w:ind w:right="499"/>
                              <w:jc w:val="right"/>
                              <w:rPr>
                                <w:b/>
                                <w:sz w:val="21"/>
                              </w:rPr>
                            </w:pPr>
                            <w:r>
                              <w:rPr>
                                <w:b/>
                                <w:color w:val="050505"/>
                                <w:spacing w:val="-2"/>
                                <w:w w:val="105"/>
                                <w:sz w:val="21"/>
                              </w:rPr>
                              <w:t>(10,577)</w:t>
                            </w:r>
                          </w:p>
                        </w:tc>
                        <w:tc>
                          <w:tcPr>
                            <w:tcW w:w="1254" w:type="dxa"/>
                          </w:tcPr>
                          <w:p>
                            <w:pPr>
                              <w:pStyle w:val="TableParagraph"/>
                              <w:spacing w:before="1" w:line="222" w:lineRule="exact"/>
                              <w:ind w:right="198"/>
                              <w:jc w:val="right"/>
                              <w:rPr>
                                <w:b/>
                                <w:sz w:val="21"/>
                              </w:rPr>
                            </w:pPr>
                            <w:r>
                              <w:rPr>
                                <w:b/>
                                <w:color w:val="050505"/>
                                <w:spacing w:val="-4"/>
                                <w:w w:val="105"/>
                                <w:sz w:val="21"/>
                              </w:rPr>
                              <w:t>1,108</w:t>
                            </w:r>
                          </w:p>
                        </w:tc>
                        <w:tc>
                          <w:tcPr>
                            <w:tcW w:w="1671" w:type="dxa"/>
                          </w:tcPr>
                          <w:p>
                            <w:pPr>
                              <w:pStyle w:val="TableParagraph"/>
                              <w:spacing w:before="1" w:line="222" w:lineRule="exact"/>
                              <w:ind w:right="350"/>
                              <w:jc w:val="right"/>
                              <w:rPr>
                                <w:b/>
                                <w:sz w:val="21"/>
                              </w:rPr>
                            </w:pPr>
                            <w:r>
                              <w:rPr>
                                <w:b/>
                                <w:color w:val="050505"/>
                                <w:spacing w:val="-2"/>
                                <w:w w:val="105"/>
                                <w:sz w:val="21"/>
                              </w:rPr>
                              <w:t>(6,969)</w:t>
                            </w:r>
                          </w:p>
                        </w:tc>
                        <w:tc>
                          <w:tcPr>
                            <w:tcW w:w="1181" w:type="dxa"/>
                          </w:tcPr>
                          <w:p>
                            <w:pPr>
                              <w:pStyle w:val="TableParagraph"/>
                              <w:spacing w:before="1" w:line="222" w:lineRule="exact"/>
                              <w:ind w:right="4"/>
                              <w:jc w:val="right"/>
                              <w:rPr>
                                <w:b/>
                                <w:sz w:val="21"/>
                              </w:rPr>
                            </w:pPr>
                            <w:r>
                              <w:rPr>
                                <w:b/>
                                <w:color w:val="050505"/>
                                <w:spacing w:val="-2"/>
                                <w:w w:val="105"/>
                                <w:sz w:val="21"/>
                              </w:rPr>
                              <w:t>(16,438)</w:t>
                            </w:r>
                          </w:p>
                        </w:tc>
                        <w:tc>
                          <w:tcPr>
                            <w:tcW w:w="130" w:type="dxa"/>
                          </w:tcPr>
                          <w:p>
                            <w:pPr>
                              <w:pStyle w:val="TableParagraph"/>
                              <w:rPr>
                                <w:rFonts w:ascii="Times New Roman"/>
                                <w:sz w:val="16"/>
                              </w:rPr>
                            </w:pPr>
                          </w:p>
                        </w:tc>
                      </w:tr>
                      <w:tr>
                        <w:trPr>
                          <w:trHeight w:val="316" w:hRule="atLeast"/>
                        </w:trPr>
                        <w:tc>
                          <w:tcPr>
                            <w:tcW w:w="6078" w:type="dxa"/>
                            <w:gridSpan w:val="4"/>
                          </w:tcPr>
                          <w:p>
                            <w:pPr>
                              <w:pStyle w:val="TableParagraph"/>
                              <w:tabs>
                                <w:tab w:val="left" w:leader="none" w:pos="3104"/>
                                <w:tab w:val="left" w:leader="none" w:pos="6076"/>
                              </w:tabs>
                              <w:spacing w:line="296" w:lineRule="exact"/>
                              <w:rPr>
                                <w:sz w:val="32"/>
                              </w:rPr>
                            </w:pPr>
                            <w:r>
                              <w:rPr>
                                <w:color w:val="C3C3C3"/>
                                <w:sz w:val="32"/>
                                <w:u w:val="single" w:color="000000"/>
                              </w:rPr>
                              <w:tab/>
                            </w:r>
                            <w:r>
                              <w:rPr>
                                <w:color w:val="C3C3C3"/>
                                <w:spacing w:val="-10"/>
                                <w:sz w:val="32"/>
                                <w:u w:val="single" w:color="000000"/>
                              </w:rPr>
                              <w:t>I</w:t>
                            </w:r>
                            <w:r>
                              <w:rPr>
                                <w:color w:val="C3C3C3"/>
                                <w:sz w:val="32"/>
                                <w:u w:val="single" w:color="000000"/>
                              </w:rPr>
                              <w:tab/>
                            </w:r>
                          </w:p>
                        </w:tc>
                        <w:tc>
                          <w:tcPr>
                            <w:tcW w:w="130" w:type="dxa"/>
                          </w:tcPr>
                          <w:p>
                            <w:pPr>
                              <w:pStyle w:val="TableParagraph"/>
                              <w:rPr>
                                <w:rFonts w:ascii="Times New Roman"/>
                                <w:sz w:val="20"/>
                              </w:rPr>
                            </w:pPr>
                          </w:p>
                        </w:tc>
                      </w:tr>
                      <w:tr>
                        <w:trPr>
                          <w:trHeight w:val="876" w:hRule="atLeast"/>
                        </w:trPr>
                        <w:tc>
                          <w:tcPr>
                            <w:tcW w:w="1972" w:type="dxa"/>
                            <w:tcBorders>
                              <w:bottom w:val="single" w:color="000000" w:sz="6" w:space="0"/>
                            </w:tcBorders>
                          </w:tcPr>
                          <w:p>
                            <w:pPr>
                              <w:pStyle w:val="TableParagraph"/>
                              <w:spacing w:before="214"/>
                              <w:rPr>
                                <w:b/>
                                <w:sz w:val="21"/>
                              </w:rPr>
                            </w:pPr>
                          </w:p>
                          <w:p>
                            <w:pPr>
                              <w:pStyle w:val="TableParagraph"/>
                              <w:ind w:right="497"/>
                              <w:jc w:val="right"/>
                              <w:rPr>
                                <w:b/>
                                <w:sz w:val="21"/>
                              </w:rPr>
                            </w:pPr>
                            <w:r>
                              <w:rPr>
                                <w:b/>
                                <w:color w:val="050505"/>
                                <w:spacing w:val="-2"/>
                                <w:w w:val="105"/>
                                <w:sz w:val="21"/>
                              </w:rPr>
                              <w:t>(4,766)</w:t>
                            </w:r>
                          </w:p>
                        </w:tc>
                        <w:tc>
                          <w:tcPr>
                            <w:tcW w:w="1254" w:type="dxa"/>
                            <w:tcBorders>
                              <w:bottom w:val="single" w:color="000000" w:sz="6" w:space="0"/>
                            </w:tcBorders>
                          </w:tcPr>
                          <w:p>
                            <w:pPr>
                              <w:pStyle w:val="TableParagraph"/>
                              <w:spacing w:before="214"/>
                              <w:rPr>
                                <w:b/>
                                <w:sz w:val="21"/>
                              </w:rPr>
                            </w:pPr>
                          </w:p>
                          <w:p>
                            <w:pPr>
                              <w:pStyle w:val="TableParagraph"/>
                              <w:ind w:right="191"/>
                              <w:jc w:val="right"/>
                              <w:rPr>
                                <w:b/>
                                <w:sz w:val="21"/>
                              </w:rPr>
                            </w:pPr>
                            <w:r>
                              <w:rPr>
                                <w:b/>
                                <w:color w:val="050505"/>
                                <w:spacing w:val="-4"/>
                                <w:w w:val="105"/>
                                <w:sz w:val="21"/>
                              </w:rPr>
                              <w:t>2,608</w:t>
                            </w:r>
                          </w:p>
                        </w:tc>
                        <w:tc>
                          <w:tcPr>
                            <w:tcW w:w="1671" w:type="dxa"/>
                            <w:tcBorders>
                              <w:bottom w:val="single" w:color="000000" w:sz="6" w:space="0"/>
                            </w:tcBorders>
                          </w:tcPr>
                          <w:p>
                            <w:pPr>
                              <w:pStyle w:val="TableParagraph"/>
                              <w:spacing w:before="209"/>
                              <w:rPr>
                                <w:b/>
                                <w:sz w:val="21"/>
                              </w:rPr>
                            </w:pPr>
                          </w:p>
                          <w:p>
                            <w:pPr>
                              <w:pStyle w:val="TableParagraph"/>
                              <w:ind w:right="345"/>
                              <w:jc w:val="right"/>
                              <w:rPr>
                                <w:b/>
                                <w:sz w:val="21"/>
                              </w:rPr>
                            </w:pPr>
                            <w:r>
                              <w:rPr>
                                <w:b/>
                                <w:color w:val="050505"/>
                                <w:spacing w:val="-2"/>
                                <w:w w:val="105"/>
                                <w:sz w:val="21"/>
                              </w:rPr>
                              <w:t>(4,892)</w:t>
                            </w:r>
                          </w:p>
                        </w:tc>
                        <w:tc>
                          <w:tcPr>
                            <w:tcW w:w="1311" w:type="dxa"/>
                            <w:gridSpan w:val="2"/>
                            <w:tcBorders>
                              <w:bottom w:val="single" w:color="000000" w:sz="6" w:space="0"/>
                            </w:tcBorders>
                          </w:tcPr>
                          <w:p>
                            <w:pPr>
                              <w:pStyle w:val="TableParagraph"/>
                              <w:spacing w:before="209"/>
                              <w:rPr>
                                <w:b/>
                                <w:sz w:val="21"/>
                              </w:rPr>
                            </w:pPr>
                          </w:p>
                          <w:p>
                            <w:pPr>
                              <w:pStyle w:val="TableParagraph"/>
                              <w:ind w:left="486"/>
                              <w:rPr>
                                <w:b/>
                                <w:sz w:val="21"/>
                              </w:rPr>
                            </w:pPr>
                            <w:r>
                              <w:rPr>
                                <w:b/>
                                <w:color w:val="050505"/>
                                <w:spacing w:val="-2"/>
                                <w:w w:val="105"/>
                                <w:sz w:val="21"/>
                              </w:rPr>
                              <w:t>{7,050)</w:t>
                            </w:r>
                          </w:p>
                        </w:tc>
                      </w:tr>
                    </w:tbl>
                    <w:p>
                      <w:pPr>
                        <w:pStyle w:val="BodyText"/>
                      </w:pPr>
                    </w:p>
                  </w:txbxContent>
                </v:textbox>
                <w10:wrap type="none"/>
              </v:shape>
            </w:pict>
          </ve:Fallback>
        </ve:AlternateContent>
      </w:r>
      <w:r>
        <w:rPr>
          <w:color w:val="050505"/>
        </w:rPr>
        <w:t>Street Scene Services Exceptional</w:t>
      </w:r>
      <w:r>
        <w:rPr>
          <w:color w:val="050505"/>
          <w:spacing w:val="-8"/>
        </w:rPr>
        <w:t> </w:t>
      </w:r>
      <w:r>
        <w:rPr>
          <w:color w:val="050505"/>
        </w:rPr>
        <w:t>Items</w:t>
      </w:r>
      <w:r>
        <w:rPr>
          <w:color w:val="050505"/>
          <w:spacing w:val="-9"/>
        </w:rPr>
        <w:t> </w:t>
      </w:r>
      <w:r>
        <w:rPr>
          <w:color w:val="050505"/>
        </w:rPr>
        <w:t>-</w:t>
      </w:r>
      <w:r>
        <w:rPr>
          <w:color w:val="050505"/>
          <w:spacing w:val="-16"/>
        </w:rPr>
        <w:t> </w:t>
      </w:r>
      <w:r>
        <w:rPr>
          <w:color w:val="050505"/>
        </w:rPr>
        <w:t>Covid-19 Exceptional</w:t>
      </w:r>
      <w:r>
        <w:rPr>
          <w:color w:val="050505"/>
          <w:spacing w:val="-1"/>
        </w:rPr>
        <w:t> </w:t>
      </w:r>
      <w:r>
        <w:rPr>
          <w:color w:val="050505"/>
        </w:rPr>
        <w:t>Items</w:t>
      </w:r>
      <w:r>
        <w:rPr>
          <w:color w:val="050505"/>
          <w:spacing w:val="-8"/>
        </w:rPr>
        <w:t> </w:t>
      </w:r>
      <w:r>
        <w:rPr>
          <w:color w:val="050505"/>
        </w:rPr>
        <w:t>-</w:t>
      </w:r>
      <w:r>
        <w:rPr>
          <w:color w:val="050505"/>
          <w:spacing w:val="-16"/>
        </w:rPr>
        <w:t> </w:t>
      </w:r>
      <w:r>
        <w:rPr>
          <w:color w:val="050505"/>
        </w:rPr>
        <w:t>Covid-</w:t>
      </w:r>
      <w:r>
        <w:rPr>
          <w:color w:val="050505"/>
          <w:spacing w:val="-5"/>
        </w:rPr>
        <w:t>19</w:t>
      </w:r>
    </w:p>
    <w:p>
      <w:pPr>
        <w:pStyle w:val="BodyText"/>
        <w:spacing w:line="214" w:lineRule="exact"/>
        <w:ind w:left="1834"/>
      </w:pPr>
      <w:r>
        <w:rPr>
          <w:color w:val="050505"/>
        </w:rPr>
        <w:t>Business</w:t>
      </w:r>
      <w:r>
        <w:rPr>
          <w:color w:val="050505"/>
          <w:spacing w:val="-1"/>
        </w:rPr>
        <w:t> </w:t>
      </w:r>
      <w:r>
        <w:rPr>
          <w:color w:val="050505"/>
        </w:rPr>
        <w:t>Support</w:t>
      </w:r>
      <w:r>
        <w:rPr>
          <w:color w:val="050505"/>
          <w:spacing w:val="-1"/>
        </w:rPr>
        <w:t> </w:t>
      </w:r>
      <w:r>
        <w:rPr>
          <w:color w:val="050505"/>
          <w:spacing w:val="-2"/>
        </w:rPr>
        <w:t>Grants</w:t>
      </w:r>
    </w:p>
    <w:p>
      <w:pPr>
        <w:pStyle w:val="BodyText"/>
        <w:spacing w:before="11"/>
        <w:ind w:left="1834" w:right="6692" w:hanging="2"/>
      </w:pPr>
      <w:r>
        <w:rPr>
          <w:color w:val="050505"/>
        </w:rPr>
        <w:t>Exceptional</w:t>
      </w:r>
      <w:r>
        <w:rPr>
          <w:color w:val="050505"/>
          <w:spacing w:val="-3"/>
        </w:rPr>
        <w:t> </w:t>
      </w:r>
      <w:r>
        <w:rPr>
          <w:color w:val="050505"/>
        </w:rPr>
        <w:t>Items</w:t>
      </w:r>
      <w:r>
        <w:rPr>
          <w:color w:val="050505"/>
          <w:spacing w:val="-8"/>
        </w:rPr>
        <w:t> </w:t>
      </w:r>
      <w:r>
        <w:rPr>
          <w:color w:val="050505"/>
        </w:rPr>
        <w:t>-</w:t>
      </w:r>
      <w:r>
        <w:rPr>
          <w:color w:val="050505"/>
          <w:spacing w:val="-16"/>
        </w:rPr>
        <w:t> </w:t>
      </w:r>
      <w:r>
        <w:rPr>
          <w:color w:val="050505"/>
        </w:rPr>
        <w:t>Covid-19 Self </w:t>
      </w:r>
      <w:r>
        <w:rPr>
          <w:color w:val="050505"/>
          <w:spacing w:val="-2"/>
        </w:rPr>
        <w:t>Isolation</w:t>
      </w:r>
    </w:p>
    <w:p>
      <w:pPr>
        <w:pStyle w:val="BodyText"/>
        <w:spacing w:before="82"/>
      </w:pPr>
    </w:p>
    <w:p>
      <w:pPr>
        <w:spacing w:before="0"/>
        <w:ind w:left="1834" w:right="0" w:firstLine="0"/>
        <w:jc w:val="left"/>
        <w:rPr>
          <w:b/>
          <w:sz w:val="21"/>
        </w:rPr>
      </w:pPr>
      <w:r>
        <w:rPr>
          <w:b/>
          <w:color w:val="050505"/>
          <w:w w:val="105"/>
          <w:sz w:val="21"/>
        </w:rPr>
        <w:t>Net</w:t>
      </w:r>
      <w:r>
        <w:rPr>
          <w:b/>
          <w:color w:val="050505"/>
          <w:spacing w:val="-6"/>
          <w:w w:val="105"/>
          <w:sz w:val="21"/>
        </w:rPr>
        <w:t> </w:t>
      </w:r>
      <w:r>
        <w:rPr>
          <w:b/>
          <w:color w:val="050505"/>
          <w:w w:val="105"/>
          <w:sz w:val="21"/>
        </w:rPr>
        <w:t>Cost</w:t>
      </w:r>
      <w:r>
        <w:rPr>
          <w:b/>
          <w:color w:val="050505"/>
          <w:spacing w:val="4"/>
          <w:w w:val="105"/>
          <w:sz w:val="21"/>
        </w:rPr>
        <w:t> </w:t>
      </w:r>
      <w:r>
        <w:rPr>
          <w:b/>
          <w:color w:val="050505"/>
          <w:w w:val="105"/>
          <w:sz w:val="21"/>
        </w:rPr>
        <w:t>of </w:t>
      </w:r>
      <w:r>
        <w:rPr>
          <w:b/>
          <w:color w:val="050505"/>
          <w:spacing w:val="-2"/>
          <w:w w:val="105"/>
          <w:sz w:val="21"/>
        </w:rPr>
        <w:t>Services</w:t>
      </w:r>
    </w:p>
    <w:p>
      <w:pPr>
        <w:pStyle w:val="BodyText"/>
        <w:spacing w:before="33" w:line="261" w:lineRule="auto"/>
        <w:ind w:left="1832" w:right="6342" w:firstLine="2"/>
      </w:pPr>
      <w:r>
        <w:rPr>
          <w:color w:val="050505"/>
        </w:rPr>
        <w:t>Other Operating Expenditure Financing</w:t>
      </w:r>
      <w:r>
        <w:rPr>
          <w:color w:val="050505"/>
          <w:spacing w:val="-11"/>
        </w:rPr>
        <w:t> </w:t>
      </w:r>
      <w:r>
        <w:rPr>
          <w:color w:val="050505"/>
        </w:rPr>
        <w:t>and</w:t>
      </w:r>
      <w:r>
        <w:rPr>
          <w:color w:val="050505"/>
          <w:spacing w:val="-16"/>
        </w:rPr>
        <w:t> </w:t>
      </w:r>
      <w:r>
        <w:rPr>
          <w:color w:val="050505"/>
        </w:rPr>
        <w:t>Investment</w:t>
      </w:r>
      <w:r>
        <w:rPr>
          <w:color w:val="050505"/>
          <w:spacing w:val="-6"/>
        </w:rPr>
        <w:t> </w:t>
      </w:r>
      <w:r>
        <w:rPr>
          <w:color w:val="050505"/>
        </w:rPr>
        <w:t>Income and Expenditure</w:t>
      </w:r>
    </w:p>
    <w:p>
      <w:pPr>
        <w:pStyle w:val="BodyText"/>
        <w:spacing w:line="242" w:lineRule="auto"/>
        <w:ind w:left="1834" w:right="6662" w:firstLine="1"/>
      </w:pPr>
      <w:r>
        <w:rPr>
          <w:color w:val="050505"/>
        </w:rPr>
        <w:t>Taxation</w:t>
      </w:r>
      <w:r>
        <w:rPr>
          <w:color w:val="050505"/>
          <w:spacing w:val="-13"/>
        </w:rPr>
        <w:t> </w:t>
      </w:r>
      <w:r>
        <w:rPr>
          <w:color w:val="050505"/>
        </w:rPr>
        <w:t>and</w:t>
      </w:r>
      <w:r>
        <w:rPr>
          <w:color w:val="050505"/>
          <w:spacing w:val="-15"/>
        </w:rPr>
        <w:t> </w:t>
      </w:r>
      <w:r>
        <w:rPr>
          <w:color w:val="050505"/>
        </w:rPr>
        <w:t>Non-Specific</w:t>
      </w:r>
      <w:r>
        <w:rPr>
          <w:color w:val="050505"/>
          <w:spacing w:val="-2"/>
        </w:rPr>
        <w:t> </w:t>
      </w:r>
      <w:r>
        <w:rPr>
          <w:color w:val="050505"/>
        </w:rPr>
        <w:t>Grant </w:t>
      </w:r>
      <w:r>
        <w:rPr>
          <w:color w:val="050505"/>
          <w:spacing w:val="-2"/>
        </w:rPr>
        <w:t>Income</w:t>
      </w:r>
    </w:p>
    <w:p>
      <w:pPr>
        <w:spacing w:before="2" w:line="249" w:lineRule="auto"/>
        <w:ind w:left="1839" w:right="6662" w:firstLine="1"/>
        <w:jc w:val="left"/>
        <w:rPr>
          <w:b/>
          <w:sz w:val="21"/>
        </w:rPr>
      </w:pPr>
      <w:r>
        <w:rPr>
          <w:b/>
          <w:color w:val="050505"/>
          <w:w w:val="105"/>
          <w:sz w:val="21"/>
        </w:rPr>
        <w:t>Other</w:t>
      </w:r>
      <w:r>
        <w:rPr>
          <w:b/>
          <w:color w:val="050505"/>
          <w:spacing w:val="-16"/>
          <w:w w:val="105"/>
          <w:sz w:val="21"/>
        </w:rPr>
        <w:t> </w:t>
      </w:r>
      <w:r>
        <w:rPr>
          <w:b/>
          <w:color w:val="050505"/>
          <w:w w:val="105"/>
          <w:sz w:val="21"/>
        </w:rPr>
        <w:t>Income</w:t>
      </w:r>
      <w:r>
        <w:rPr>
          <w:b/>
          <w:color w:val="050505"/>
          <w:spacing w:val="-14"/>
          <w:w w:val="105"/>
          <w:sz w:val="21"/>
        </w:rPr>
        <w:t> </w:t>
      </w:r>
      <w:r>
        <w:rPr>
          <w:b/>
          <w:color w:val="050505"/>
          <w:w w:val="105"/>
          <w:sz w:val="21"/>
        </w:rPr>
        <w:t>and</w:t>
      </w:r>
      <w:r>
        <w:rPr>
          <w:b/>
          <w:color w:val="050505"/>
          <w:spacing w:val="-16"/>
          <w:w w:val="105"/>
          <w:sz w:val="21"/>
        </w:rPr>
        <w:t> </w:t>
      </w:r>
      <w:r>
        <w:rPr>
          <w:b/>
          <w:color w:val="050505"/>
          <w:w w:val="105"/>
          <w:sz w:val="21"/>
        </w:rPr>
        <w:t>Expenditure from the Expenditure and Funding Analysis</w:t>
      </w:r>
    </w:p>
    <w:p>
      <w:pPr>
        <w:pStyle w:val="BodyText"/>
        <w:spacing w:before="40"/>
        <w:rPr>
          <w:b/>
          <w:sz w:val="20"/>
        </w:rPr>
      </w:pPr>
      <w:r>
        <w:rPr/>
        <ve:AlternateContent>
          <ve:Choice Requires="wps">
            <w:drawing>
              <wp:anchor distT="0" distB="0" distL="0" distR="0" simplePos="0" relativeHeight="487639040" behindDoc="1" locked="0" layoutInCell="1" allowOverlap="1">
                <wp:simplePos x="0" y="0"/>
                <wp:positionH relativeFrom="page">
                  <wp:posOffset>3446742</wp:posOffset>
                </wp:positionH>
                <wp:positionV relativeFrom="paragraph">
                  <wp:posOffset>186805</wp:posOffset>
                </wp:positionV>
                <wp:extent cx="3858895" cy="1270"/>
                <wp:effectExtent l="0" t="0" r="0" b="0"/>
                <wp:wrapTopAndBottom/>
                <wp:docPr id="252" name="Graphic 252"/>
                <wp:cNvGraphicFramePr>
                  <a:graphicFrameLocks/>
                </wp:cNvGraphicFramePr>
                <a:graphic>
                  <a:graphicData uri="http://schemas.microsoft.com/office/word/2010/wordprocessingShape">
                    <wps:wsp>
                      <wps:cNvPr id="252" name="Graphic 252"/>
                      <wps:cNvSpPr/>
                      <wps:spPr>
                        <a:xfrm>
                          <a:off x="0" y="0"/>
                          <a:ext cx="3858895" cy="1270"/>
                        </a:xfrm>
                        <a:custGeom>
                          <a:avLst/>
                          <a:gdLst/>
                          <a:ahLst/>
                          <a:cxnLst/>
                          <a:rect l="l" t="t" r="r" b="b"/>
                          <a:pathLst>
                            <a:path w="3858895" h="0">
                              <a:moveTo>
                                <a:pt x="0" y="0"/>
                              </a:moveTo>
                              <a:lnTo>
                                <a:pt x="3858886"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163" style="position:absolute;margin-left:271.397064pt;margin-top:14.709077pt;width:303.850pt;height:.1pt;mso-position-horizontal-relative:page;mso-position-vertical-relative:paragraph;z-index:-15677440;mso-wrap-distance-left:0;mso-wrap-distance-right:0" coordsize="6077,0" coordorigin="5428,294" filled="false" stroked="true" strokecolor="#000000" strokeweight=".720821pt" path="m5428,294l11505,294e">
                <v:path arrowok="t"/>
                <v:stroke dashstyle="solid"/>
                <w10:wrap type="topAndBottom"/>
              </v:shape>
            </w:pict>
          </ve:Fallback>
        </ve:AlternateContent>
      </w:r>
    </w:p>
    <w:p>
      <w:pPr>
        <w:spacing w:before="79" w:line="247" w:lineRule="auto"/>
        <w:ind w:left="1842" w:right="6804" w:firstLine="2"/>
        <w:jc w:val="left"/>
        <w:rPr>
          <w:b/>
          <w:sz w:val="21"/>
        </w:rPr>
      </w:pPr>
      <w:r>
        <w:rPr>
          <w:b/>
          <w:color w:val="050505"/>
          <w:w w:val="105"/>
          <w:sz w:val="21"/>
        </w:rPr>
        <w:t>Adjustments</w:t>
      </w:r>
      <w:r>
        <w:rPr>
          <w:b/>
          <w:color w:val="050505"/>
          <w:spacing w:val="-11"/>
          <w:w w:val="105"/>
          <w:sz w:val="21"/>
        </w:rPr>
        <w:t> </w:t>
      </w:r>
      <w:r>
        <w:rPr>
          <w:b/>
          <w:color w:val="050505"/>
          <w:w w:val="105"/>
          <w:sz w:val="21"/>
        </w:rPr>
        <w:t>between</w:t>
      </w:r>
      <w:r>
        <w:rPr>
          <w:b/>
          <w:color w:val="050505"/>
          <w:spacing w:val="-16"/>
          <w:w w:val="105"/>
          <w:sz w:val="21"/>
        </w:rPr>
        <w:t> </w:t>
      </w:r>
      <w:r>
        <w:rPr>
          <w:b/>
          <w:color w:val="050505"/>
          <w:w w:val="105"/>
          <w:sz w:val="21"/>
        </w:rPr>
        <w:t>funding and accounting basis</w:t>
      </w:r>
    </w:p>
    <w:p>
      <w:pPr>
        <w:spacing w:after="0" w:line="247" w:lineRule="auto"/>
        <w:jc w:val="left"/>
        <w:rPr>
          <w:sz w:val="21"/>
        </w:rPr>
        <w:sectPr>
          <w:headerReference w:type="default" r:id="rId138"/>
          <w:footerReference w:type="default" r:id="rId139"/>
          <w:footerReference w:type="even" r:id="rId140"/>
          <w:pgSz w:w="11910" w:h="16830"/>
          <w:pgMar w:top="1220" w:right="100" w:bottom="1020" w:left="20" w:header="1038" w:footer="832"/>
        </w:sectPr>
      </w:pPr>
    </w:p>
    <w:p>
      <w:pPr>
        <w:pStyle w:val="BodyText"/>
        <w:spacing w:line="120" w:lineRule="exact"/>
        <w:ind w:left="2143"/>
        <w:rPr>
          <w:sz w:val="12"/>
        </w:rPr>
      </w:pPr>
      <w:r>
        <w:rPr>
          <w:position w:val="-1"/>
          <w:sz w:val="12"/>
        </w:rPr>
        <w:drawing>
          <wp:inline distT="0" distB="0" distL="0" distR="0">
            <wp:extent cx="1366147" cy="76200"/>
            <wp:effectExtent l="0" t="0" r="0" b="0"/>
            <wp:docPr id="253" name="Image 253"/>
            <wp:cNvGraphicFramePr>
              <a:graphicFrameLocks/>
            </wp:cNvGraphicFramePr>
            <a:graphic>
              <a:graphicData uri="http://schemas.openxmlformats.org/drawingml/2006/picture">
                <pic:pic>
                  <pic:nvPicPr>
                    <pic:cNvPr id="253" name="Image 253"/>
                    <pic:cNvPicPr/>
                  </pic:nvPicPr>
                  <pic:blipFill>
                    <a:blip r:embed="rId142" cstate="print"/>
                    <a:stretch>
                      <a:fillRect/>
                    </a:stretch>
                  </pic:blipFill>
                  <pic:spPr>
                    <a:xfrm>
                      <a:off x="0" y="0"/>
                      <a:ext cx="1366147" cy="76200"/>
                    </a:xfrm>
                    <a:prstGeom prst="rect">
                      <a:avLst/>
                    </a:prstGeom>
                  </pic:spPr>
                </pic:pic>
              </a:graphicData>
            </a:graphic>
          </wp:inline>
        </w:drawing>
      </w:r>
      <w:r>
        <w:rPr>
          <w:position w:val="-1"/>
          <w:sz w:val="12"/>
        </w:rPr>
      </w:r>
    </w:p>
    <w:p>
      <w:pPr>
        <w:pStyle w:val="BodyText"/>
        <w:spacing w:before="45"/>
        <w:rPr>
          <w:b/>
          <w:sz w:val="21"/>
        </w:rPr>
      </w:pPr>
    </w:p>
    <w:p>
      <w:pPr>
        <w:pStyle w:val="ListParagraph"/>
        <w:numPr>
          <w:ilvl w:val="0"/>
          <w:numId w:val="17"/>
        </w:numPr>
        <w:tabs>
          <w:tab w:val="left" w:leader="none" w:pos="1906"/>
        </w:tabs>
        <w:spacing w:before="0" w:after="0" w:line="240" w:lineRule="auto"/>
        <w:ind w:left="1906" w:right="0" w:hanging="260"/>
        <w:jc w:val="left"/>
        <w:rPr>
          <w:b/>
          <w:color w:val="484848"/>
          <w:sz w:val="21"/>
        </w:rPr>
      </w:pPr>
      <w:r>
        <w:rPr>
          <w:b/>
          <w:color w:val="484848"/>
          <w:w w:val="105"/>
          <w:sz w:val="21"/>
        </w:rPr>
        <w:t>Adjustments</w:t>
      </w:r>
      <w:r>
        <w:rPr>
          <w:b/>
          <w:color w:val="484848"/>
          <w:spacing w:val="-1"/>
          <w:w w:val="105"/>
          <w:sz w:val="21"/>
        </w:rPr>
        <w:t> </w:t>
      </w:r>
      <w:r>
        <w:rPr>
          <w:b/>
          <w:color w:val="484848"/>
          <w:w w:val="105"/>
          <w:sz w:val="21"/>
        </w:rPr>
        <w:t>for</w:t>
      </w:r>
      <w:r>
        <w:rPr>
          <w:b/>
          <w:color w:val="484848"/>
          <w:spacing w:val="-14"/>
          <w:w w:val="105"/>
          <w:sz w:val="21"/>
        </w:rPr>
        <w:t> </w:t>
      </w:r>
      <w:r>
        <w:rPr>
          <w:b/>
          <w:color w:val="484848"/>
          <w:w w:val="105"/>
          <w:sz w:val="21"/>
        </w:rPr>
        <w:t>Capital</w:t>
      </w:r>
      <w:r>
        <w:rPr>
          <w:b/>
          <w:color w:val="484848"/>
          <w:spacing w:val="-8"/>
          <w:w w:val="105"/>
          <w:sz w:val="21"/>
        </w:rPr>
        <w:t> </w:t>
      </w:r>
      <w:r>
        <w:rPr>
          <w:b/>
          <w:color w:val="484848"/>
          <w:spacing w:val="-2"/>
          <w:w w:val="105"/>
          <w:sz w:val="21"/>
        </w:rPr>
        <w:t>Purposes</w:t>
      </w:r>
    </w:p>
    <w:p>
      <w:pPr>
        <w:pStyle w:val="BodyText"/>
        <w:spacing w:before="240" w:line="273" w:lineRule="auto"/>
        <w:ind w:left="1642" w:right="1104"/>
        <w:jc w:val="both"/>
      </w:pPr>
      <w:r>
        <w:rPr>
          <w:color w:val="0E0E0E"/>
        </w:rPr>
        <w:t>This column adds in depreciation and impairment and revaluation gains and losses in the Services lines, and</w:t>
      </w:r>
      <w:r>
        <w:rPr>
          <w:color w:val="0E0E0E"/>
          <w:spacing w:val="-1"/>
        </w:rPr>
        <w:t> </w:t>
      </w:r>
      <w:r>
        <w:rPr>
          <w:color w:val="0E0E0E"/>
        </w:rPr>
        <w:t>for the following items in</w:t>
      </w:r>
      <w:r>
        <w:rPr>
          <w:color w:val="0E0E0E"/>
          <w:spacing w:val="-4"/>
        </w:rPr>
        <w:t> </w:t>
      </w:r>
      <w:r>
        <w:rPr>
          <w:color w:val="0E0E0E"/>
        </w:rPr>
        <w:t>Other Income and Expenditure:</w:t>
      </w:r>
    </w:p>
    <w:p>
      <w:pPr>
        <w:pStyle w:val="ListParagraph"/>
        <w:numPr>
          <w:ilvl w:val="1"/>
          <w:numId w:val="17"/>
        </w:numPr>
        <w:tabs>
          <w:tab w:val="left" w:leader="none" w:pos="2353"/>
          <w:tab w:val="left" w:leader="none" w:pos="2357"/>
        </w:tabs>
        <w:spacing w:before="216" w:after="0" w:line="278" w:lineRule="auto"/>
        <w:ind w:left="2357" w:right="1118" w:hanging="365"/>
        <w:jc w:val="both"/>
        <w:rPr>
          <w:sz w:val="22"/>
        </w:rPr>
      </w:pPr>
      <w:r>
        <w:rPr>
          <w:color w:val="0E0E0E"/>
          <w:sz w:val="22"/>
        </w:rPr>
        <w:t>Other operating expenditure -</w:t>
      </w:r>
      <w:r>
        <w:rPr>
          <w:color w:val="0E0E0E"/>
          <w:spacing w:val="40"/>
          <w:sz w:val="22"/>
        </w:rPr>
        <w:t> </w:t>
      </w:r>
      <w:r>
        <w:rPr>
          <w:color w:val="0E0E0E"/>
          <w:sz w:val="22"/>
        </w:rPr>
        <w:t>adjusts for capital disposals with a transfer of income on disposal of assets and</w:t>
      </w:r>
      <w:r>
        <w:rPr>
          <w:color w:val="0E0E0E"/>
          <w:spacing w:val="-3"/>
          <w:sz w:val="22"/>
        </w:rPr>
        <w:t> </w:t>
      </w:r>
      <w:r>
        <w:rPr>
          <w:color w:val="0E0E0E"/>
          <w:sz w:val="22"/>
        </w:rPr>
        <w:t>the amounts written off</w:t>
      </w:r>
      <w:r>
        <w:rPr>
          <w:color w:val="0E0E0E"/>
          <w:spacing w:val="-2"/>
          <w:sz w:val="22"/>
        </w:rPr>
        <w:t> </w:t>
      </w:r>
      <w:r>
        <w:rPr>
          <w:color w:val="0E0E0E"/>
          <w:sz w:val="22"/>
        </w:rPr>
        <w:t>for those assets.</w:t>
      </w:r>
    </w:p>
    <w:p>
      <w:pPr>
        <w:pStyle w:val="ListParagraph"/>
        <w:numPr>
          <w:ilvl w:val="1"/>
          <w:numId w:val="17"/>
        </w:numPr>
        <w:tabs>
          <w:tab w:val="left" w:leader="none" w:pos="2335"/>
          <w:tab w:val="left" w:leader="none" w:pos="2344"/>
        </w:tabs>
        <w:spacing w:before="14" w:after="0" w:line="273" w:lineRule="auto"/>
        <w:ind w:left="2335" w:right="1120" w:hanging="349"/>
        <w:jc w:val="both"/>
        <w:rPr>
          <w:sz w:val="22"/>
        </w:rPr>
      </w:pPr>
      <w:r>
        <w:rPr>
          <w:color w:val="0E0E0E"/>
          <w:sz w:val="22"/>
        </w:rPr>
        <w:tab/>
        <w:t>Financing and</w:t>
      </w:r>
      <w:r>
        <w:rPr>
          <w:color w:val="0E0E0E"/>
          <w:spacing w:val="-9"/>
          <w:sz w:val="22"/>
        </w:rPr>
        <w:t> </w:t>
      </w:r>
      <w:r>
        <w:rPr>
          <w:color w:val="0E0E0E"/>
          <w:sz w:val="22"/>
        </w:rPr>
        <w:t>investment income and</w:t>
      </w:r>
      <w:r>
        <w:rPr>
          <w:color w:val="0E0E0E"/>
          <w:spacing w:val="-10"/>
          <w:sz w:val="22"/>
        </w:rPr>
        <w:t> </w:t>
      </w:r>
      <w:r>
        <w:rPr>
          <w:color w:val="0E0E0E"/>
          <w:sz w:val="22"/>
        </w:rPr>
        <w:t>expenditure -</w:t>
      </w:r>
      <w:r>
        <w:rPr>
          <w:color w:val="0E0E0E"/>
          <w:spacing w:val="40"/>
          <w:sz w:val="22"/>
        </w:rPr>
        <w:t> </w:t>
      </w:r>
      <w:r>
        <w:rPr>
          <w:color w:val="0E0E0E"/>
          <w:sz w:val="22"/>
        </w:rPr>
        <w:t>the</w:t>
      </w:r>
      <w:r>
        <w:rPr>
          <w:color w:val="0E0E0E"/>
          <w:spacing w:val="-1"/>
          <w:sz w:val="22"/>
        </w:rPr>
        <w:t> </w:t>
      </w:r>
      <w:r>
        <w:rPr>
          <w:color w:val="0E0E0E"/>
          <w:sz w:val="22"/>
        </w:rPr>
        <w:t>statutory charges for</w:t>
      </w:r>
      <w:r>
        <w:rPr>
          <w:color w:val="0E0E0E"/>
          <w:spacing w:val="-1"/>
          <w:sz w:val="22"/>
        </w:rPr>
        <w:t> </w:t>
      </w:r>
      <w:r>
        <w:rPr>
          <w:color w:val="0E0E0E"/>
          <w:sz w:val="22"/>
        </w:rPr>
        <w:t>capital financing and other revenue contributions are deducted from other income and expenditure as these are not chargeable under generally accepted accounting </w:t>
      </w:r>
      <w:r>
        <w:rPr>
          <w:color w:val="0E0E0E"/>
          <w:spacing w:val="-2"/>
          <w:sz w:val="22"/>
        </w:rPr>
        <w:t>practices.</w:t>
      </w:r>
    </w:p>
    <w:p>
      <w:pPr>
        <w:pStyle w:val="ListParagraph"/>
        <w:numPr>
          <w:ilvl w:val="1"/>
          <w:numId w:val="17"/>
        </w:numPr>
        <w:tabs>
          <w:tab w:val="left" w:leader="none" w:pos="2307"/>
          <w:tab w:val="left" w:leader="none" w:pos="2333"/>
        </w:tabs>
        <w:spacing w:before="23" w:after="0" w:line="276" w:lineRule="auto"/>
        <w:ind w:left="2307" w:right="1133" w:hanging="335"/>
        <w:jc w:val="both"/>
        <w:rPr>
          <w:sz w:val="22"/>
        </w:rPr>
      </w:pPr>
      <w:r>
        <w:rPr>
          <w:color w:val="0E0E0E"/>
          <w:sz w:val="22"/>
        </w:rPr>
        <w:tab/>
        <w:t>Taxation and</w:t>
      </w:r>
      <w:r>
        <w:rPr>
          <w:color w:val="0E0E0E"/>
          <w:spacing w:val="-14"/>
          <w:sz w:val="22"/>
        </w:rPr>
        <w:t> </w:t>
      </w:r>
      <w:r>
        <w:rPr>
          <w:color w:val="0E0E0E"/>
          <w:sz w:val="22"/>
        </w:rPr>
        <w:t>non-specific grant</w:t>
      </w:r>
      <w:r>
        <w:rPr>
          <w:color w:val="0E0E0E"/>
          <w:spacing w:val="-1"/>
          <w:sz w:val="22"/>
        </w:rPr>
        <w:t> </w:t>
      </w:r>
      <w:r>
        <w:rPr>
          <w:color w:val="0E0E0E"/>
          <w:sz w:val="22"/>
        </w:rPr>
        <w:t>income</w:t>
      </w:r>
      <w:r>
        <w:rPr>
          <w:color w:val="0E0E0E"/>
          <w:spacing w:val="-1"/>
          <w:sz w:val="22"/>
        </w:rPr>
        <w:t> </w:t>
      </w:r>
      <w:r>
        <w:rPr>
          <w:color w:val="0E0E0E"/>
          <w:sz w:val="22"/>
        </w:rPr>
        <w:t>and</w:t>
      </w:r>
      <w:r>
        <w:rPr>
          <w:color w:val="0E0E0E"/>
          <w:spacing w:val="-14"/>
          <w:sz w:val="22"/>
        </w:rPr>
        <w:t> </w:t>
      </w:r>
      <w:r>
        <w:rPr>
          <w:color w:val="0E0E0E"/>
          <w:sz w:val="22"/>
        </w:rPr>
        <w:t>expenditure</w:t>
      </w:r>
      <w:r>
        <w:rPr>
          <w:color w:val="0E0E0E"/>
          <w:spacing w:val="-4"/>
          <w:sz w:val="22"/>
        </w:rPr>
        <w:t> </w:t>
      </w:r>
      <w:r>
        <w:rPr>
          <w:color w:val="0E0E0E"/>
          <w:sz w:val="22"/>
        </w:rPr>
        <w:t>-</w:t>
      </w:r>
      <w:r>
        <w:rPr>
          <w:color w:val="0E0E0E"/>
          <w:spacing w:val="40"/>
          <w:sz w:val="22"/>
        </w:rPr>
        <w:t> </w:t>
      </w:r>
      <w:r>
        <w:rPr>
          <w:color w:val="0E0E0E"/>
          <w:sz w:val="22"/>
        </w:rPr>
        <w:t>capital</w:t>
      </w:r>
      <w:r>
        <w:rPr>
          <w:color w:val="0E0E0E"/>
          <w:spacing w:val="-4"/>
          <w:sz w:val="22"/>
        </w:rPr>
        <w:t> </w:t>
      </w:r>
      <w:r>
        <w:rPr>
          <w:color w:val="0E0E0E"/>
          <w:sz w:val="22"/>
        </w:rPr>
        <w:t>grants are</w:t>
      </w:r>
      <w:r>
        <w:rPr>
          <w:color w:val="0E0E0E"/>
          <w:spacing w:val="-4"/>
          <w:sz w:val="22"/>
        </w:rPr>
        <w:t> </w:t>
      </w:r>
      <w:r>
        <w:rPr>
          <w:color w:val="0E0E0E"/>
          <w:sz w:val="22"/>
        </w:rPr>
        <w:t>adjusted for income not chargeable under generally accepted accounting practices. Revenue grants are adjusted from those receivable in the year to those receivable without conditions</w:t>
      </w:r>
      <w:r>
        <w:rPr>
          <w:color w:val="0E0E0E"/>
          <w:spacing w:val="-15"/>
          <w:sz w:val="22"/>
        </w:rPr>
        <w:t> </w:t>
      </w:r>
      <w:r>
        <w:rPr>
          <w:color w:val="0E0E0E"/>
          <w:sz w:val="22"/>
        </w:rPr>
        <w:t>or</w:t>
      </w:r>
      <w:r>
        <w:rPr>
          <w:color w:val="0E0E0E"/>
          <w:spacing w:val="-15"/>
          <w:sz w:val="22"/>
        </w:rPr>
        <w:t> </w:t>
      </w:r>
      <w:r>
        <w:rPr>
          <w:color w:val="0E0E0E"/>
          <w:sz w:val="22"/>
        </w:rPr>
        <w:t>for</w:t>
      </w:r>
      <w:r>
        <w:rPr>
          <w:color w:val="0E0E0E"/>
          <w:spacing w:val="-15"/>
          <w:sz w:val="22"/>
        </w:rPr>
        <w:t> </w:t>
      </w:r>
      <w:r>
        <w:rPr>
          <w:color w:val="0E0E0E"/>
          <w:sz w:val="22"/>
        </w:rPr>
        <w:t>which</w:t>
      </w:r>
      <w:r>
        <w:rPr>
          <w:color w:val="0E0E0E"/>
          <w:spacing w:val="-15"/>
          <w:sz w:val="22"/>
        </w:rPr>
        <w:t> </w:t>
      </w:r>
      <w:r>
        <w:rPr>
          <w:color w:val="0E0E0E"/>
          <w:sz w:val="22"/>
        </w:rPr>
        <w:t>conditions</w:t>
      </w:r>
      <w:r>
        <w:rPr>
          <w:color w:val="0E0E0E"/>
          <w:spacing w:val="-4"/>
          <w:sz w:val="22"/>
        </w:rPr>
        <w:t> </w:t>
      </w:r>
      <w:r>
        <w:rPr>
          <w:color w:val="0E0E0E"/>
          <w:sz w:val="22"/>
        </w:rPr>
        <w:t>were</w:t>
      </w:r>
      <w:r>
        <w:rPr>
          <w:color w:val="0E0E0E"/>
          <w:spacing w:val="-13"/>
          <w:sz w:val="22"/>
        </w:rPr>
        <w:t> </w:t>
      </w:r>
      <w:r>
        <w:rPr>
          <w:color w:val="0E0E0E"/>
          <w:sz w:val="22"/>
        </w:rPr>
        <w:t>satisfied</w:t>
      </w:r>
      <w:r>
        <w:rPr>
          <w:color w:val="0E0E0E"/>
          <w:spacing w:val="-13"/>
          <w:sz w:val="22"/>
        </w:rPr>
        <w:t> </w:t>
      </w:r>
      <w:r>
        <w:rPr>
          <w:color w:val="0E0E0E"/>
          <w:sz w:val="22"/>
        </w:rPr>
        <w:t>throughout the</w:t>
      </w:r>
      <w:r>
        <w:rPr>
          <w:color w:val="0E0E0E"/>
          <w:spacing w:val="-12"/>
          <w:sz w:val="22"/>
        </w:rPr>
        <w:t> </w:t>
      </w:r>
      <w:r>
        <w:rPr>
          <w:color w:val="0E0E0E"/>
          <w:sz w:val="22"/>
        </w:rPr>
        <w:t>year.</w:t>
      </w:r>
      <w:r>
        <w:rPr>
          <w:color w:val="0E0E0E"/>
          <w:spacing w:val="-15"/>
          <w:sz w:val="22"/>
        </w:rPr>
        <w:t> </w:t>
      </w:r>
      <w:r>
        <w:rPr>
          <w:color w:val="0E0E0E"/>
          <w:sz w:val="22"/>
        </w:rPr>
        <w:t>The</w:t>
      </w:r>
      <w:r>
        <w:rPr>
          <w:color w:val="0E0E0E"/>
          <w:spacing w:val="-16"/>
          <w:sz w:val="22"/>
        </w:rPr>
        <w:t> </w:t>
      </w:r>
      <w:r>
        <w:rPr>
          <w:color w:val="0E0E0E"/>
          <w:sz w:val="22"/>
        </w:rPr>
        <w:t>Taxation</w:t>
      </w:r>
      <w:r>
        <w:rPr>
          <w:color w:val="0E0E0E"/>
          <w:spacing w:val="-9"/>
          <w:sz w:val="22"/>
        </w:rPr>
        <w:t> </w:t>
      </w:r>
      <w:r>
        <w:rPr>
          <w:color w:val="0E0E0E"/>
          <w:sz w:val="22"/>
        </w:rPr>
        <w:t>and Non Specific Grant Income and Expenditure line is credited with capital grants receivable in the year without conditions or for which conditions were satisfied in the year. The</w:t>
      </w:r>
      <w:r>
        <w:rPr>
          <w:color w:val="0E0E0E"/>
          <w:spacing w:val="-8"/>
          <w:sz w:val="22"/>
        </w:rPr>
        <w:t> </w:t>
      </w:r>
      <w:r>
        <w:rPr>
          <w:color w:val="0E0E0E"/>
          <w:sz w:val="22"/>
        </w:rPr>
        <w:t>gain</w:t>
      </w:r>
      <w:r>
        <w:rPr>
          <w:color w:val="0E0E0E"/>
          <w:spacing w:val="-15"/>
          <w:sz w:val="22"/>
        </w:rPr>
        <w:t> </w:t>
      </w:r>
      <w:r>
        <w:rPr>
          <w:color w:val="0E0E0E"/>
          <w:sz w:val="22"/>
        </w:rPr>
        <w:t>to</w:t>
      </w:r>
      <w:r>
        <w:rPr>
          <w:color w:val="0E0E0E"/>
          <w:spacing w:val="-10"/>
          <w:sz w:val="22"/>
        </w:rPr>
        <w:t> </w:t>
      </w:r>
      <w:r>
        <w:rPr>
          <w:color w:val="0E0E0E"/>
          <w:sz w:val="22"/>
        </w:rPr>
        <w:t>the</w:t>
      </w:r>
      <w:r>
        <w:rPr>
          <w:color w:val="0E0E0E"/>
          <w:spacing w:val="-3"/>
          <w:sz w:val="22"/>
        </w:rPr>
        <w:t> </w:t>
      </w:r>
      <w:r>
        <w:rPr>
          <w:color w:val="0E0E0E"/>
          <w:sz w:val="22"/>
        </w:rPr>
        <w:t>authority on</w:t>
      </w:r>
      <w:r>
        <w:rPr>
          <w:color w:val="0E0E0E"/>
          <w:spacing w:val="-14"/>
          <w:sz w:val="22"/>
        </w:rPr>
        <w:t> </w:t>
      </w:r>
      <w:r>
        <w:rPr>
          <w:color w:val="0E0E0E"/>
          <w:sz w:val="22"/>
        </w:rPr>
        <w:t>revaluation of</w:t>
      </w:r>
      <w:r>
        <w:rPr>
          <w:color w:val="0E0E0E"/>
          <w:spacing w:val="-2"/>
          <w:sz w:val="22"/>
        </w:rPr>
        <w:t> </w:t>
      </w:r>
      <w:r>
        <w:rPr>
          <w:color w:val="0E0E0E"/>
          <w:sz w:val="22"/>
        </w:rPr>
        <w:t>donated assets</w:t>
      </w:r>
      <w:r>
        <w:rPr>
          <w:color w:val="0E0E0E"/>
          <w:spacing w:val="-3"/>
          <w:sz w:val="22"/>
        </w:rPr>
        <w:t> </w:t>
      </w:r>
      <w:r>
        <w:rPr>
          <w:color w:val="0E0E0E"/>
          <w:sz w:val="22"/>
        </w:rPr>
        <w:t>is</w:t>
      </w:r>
      <w:r>
        <w:rPr>
          <w:color w:val="0E0E0E"/>
          <w:spacing w:val="-7"/>
          <w:sz w:val="22"/>
        </w:rPr>
        <w:t> </w:t>
      </w:r>
      <w:r>
        <w:rPr>
          <w:color w:val="0E0E0E"/>
          <w:sz w:val="22"/>
        </w:rPr>
        <w:t>also</w:t>
      </w:r>
      <w:r>
        <w:rPr>
          <w:color w:val="0E0E0E"/>
          <w:spacing w:val="-3"/>
          <w:sz w:val="22"/>
        </w:rPr>
        <w:t> </w:t>
      </w:r>
      <w:r>
        <w:rPr>
          <w:color w:val="0E0E0E"/>
          <w:sz w:val="22"/>
        </w:rPr>
        <w:t>credited to</w:t>
      </w:r>
      <w:r>
        <w:rPr>
          <w:color w:val="0E0E0E"/>
          <w:spacing w:val="-10"/>
          <w:sz w:val="22"/>
        </w:rPr>
        <w:t> </w:t>
      </w:r>
      <w:r>
        <w:rPr>
          <w:color w:val="0E0E0E"/>
          <w:sz w:val="22"/>
        </w:rPr>
        <w:t>this </w:t>
      </w:r>
      <w:r>
        <w:rPr>
          <w:color w:val="0E0E0E"/>
          <w:spacing w:val="-2"/>
          <w:sz w:val="22"/>
        </w:rPr>
        <w:t>line</w:t>
      </w:r>
      <w:r>
        <w:rPr>
          <w:color w:val="484848"/>
          <w:spacing w:val="-2"/>
          <w:sz w:val="22"/>
        </w:rPr>
        <w:t>.</w:t>
      </w:r>
    </w:p>
    <w:p>
      <w:pPr>
        <w:pStyle w:val="ListParagraph"/>
        <w:numPr>
          <w:ilvl w:val="0"/>
          <w:numId w:val="17"/>
        </w:numPr>
        <w:tabs>
          <w:tab w:val="left" w:leader="none" w:pos="1832"/>
        </w:tabs>
        <w:spacing w:before="215" w:after="0" w:line="240" w:lineRule="auto"/>
        <w:ind w:left="1832" w:right="0" w:hanging="252"/>
        <w:jc w:val="left"/>
        <w:rPr>
          <w:b/>
          <w:color w:val="0E0E0E"/>
          <w:sz w:val="21"/>
        </w:rPr>
      </w:pPr>
      <w:r>
        <w:rPr>
          <w:b/>
          <w:color w:val="0E0E0E"/>
          <w:w w:val="105"/>
          <w:sz w:val="21"/>
        </w:rPr>
        <w:t>Net</w:t>
      </w:r>
      <w:r>
        <w:rPr>
          <w:b/>
          <w:color w:val="0E0E0E"/>
          <w:spacing w:val="-5"/>
          <w:w w:val="105"/>
          <w:sz w:val="21"/>
        </w:rPr>
        <w:t> </w:t>
      </w:r>
      <w:r>
        <w:rPr>
          <w:b/>
          <w:color w:val="0E0E0E"/>
          <w:w w:val="105"/>
          <w:sz w:val="21"/>
        </w:rPr>
        <w:t>Change</w:t>
      </w:r>
      <w:r>
        <w:rPr>
          <w:b/>
          <w:color w:val="0E0E0E"/>
          <w:spacing w:val="1"/>
          <w:w w:val="105"/>
          <w:sz w:val="21"/>
        </w:rPr>
        <w:t> </w:t>
      </w:r>
      <w:r>
        <w:rPr>
          <w:b/>
          <w:color w:val="0E0E0E"/>
          <w:w w:val="105"/>
          <w:sz w:val="21"/>
        </w:rPr>
        <w:t>for</w:t>
      </w:r>
      <w:r>
        <w:rPr>
          <w:b/>
          <w:color w:val="0E0E0E"/>
          <w:spacing w:val="-2"/>
          <w:w w:val="105"/>
          <w:sz w:val="21"/>
        </w:rPr>
        <w:t> </w:t>
      </w:r>
      <w:r>
        <w:rPr>
          <w:b/>
          <w:color w:val="0E0E0E"/>
          <w:w w:val="105"/>
          <w:sz w:val="21"/>
        </w:rPr>
        <w:t>the</w:t>
      </w:r>
      <w:r>
        <w:rPr>
          <w:b/>
          <w:color w:val="0E0E0E"/>
          <w:spacing w:val="-9"/>
          <w:w w:val="105"/>
          <w:sz w:val="21"/>
        </w:rPr>
        <w:t> </w:t>
      </w:r>
      <w:r>
        <w:rPr>
          <w:b/>
          <w:color w:val="0E0E0E"/>
          <w:w w:val="105"/>
          <w:sz w:val="21"/>
        </w:rPr>
        <w:t>Pensions</w:t>
      </w:r>
      <w:r>
        <w:rPr>
          <w:b/>
          <w:color w:val="0E0E0E"/>
          <w:spacing w:val="10"/>
          <w:w w:val="105"/>
          <w:sz w:val="21"/>
        </w:rPr>
        <w:t> </w:t>
      </w:r>
      <w:r>
        <w:rPr>
          <w:b/>
          <w:color w:val="0E0E0E"/>
          <w:spacing w:val="-2"/>
          <w:w w:val="105"/>
          <w:sz w:val="21"/>
        </w:rPr>
        <w:t>Adjustments</w:t>
      </w:r>
    </w:p>
    <w:p>
      <w:pPr>
        <w:pStyle w:val="BodyText"/>
        <w:spacing w:before="239" w:line="278" w:lineRule="auto"/>
        <w:ind w:left="1564" w:right="1162" w:firstLine="6"/>
        <w:jc w:val="both"/>
      </w:pPr>
      <w:r>
        <w:rPr>
          <w:color w:val="0E0E0E"/>
        </w:rPr>
        <w:t>This</w:t>
      </w:r>
      <w:r>
        <w:rPr>
          <w:color w:val="0E0E0E"/>
          <w:spacing w:val="-16"/>
        </w:rPr>
        <w:t> </w:t>
      </w:r>
      <w:r>
        <w:rPr>
          <w:color w:val="0E0E0E"/>
        </w:rPr>
        <w:t>column</w:t>
      </w:r>
      <w:r>
        <w:rPr>
          <w:color w:val="0E0E0E"/>
          <w:spacing w:val="-15"/>
        </w:rPr>
        <w:t> </w:t>
      </w:r>
      <w:r>
        <w:rPr>
          <w:color w:val="0E0E0E"/>
        </w:rPr>
        <w:t>reflects</w:t>
      </w:r>
      <w:r>
        <w:rPr>
          <w:color w:val="0E0E0E"/>
          <w:spacing w:val="-15"/>
        </w:rPr>
        <w:t> </w:t>
      </w:r>
      <w:r>
        <w:rPr>
          <w:color w:val="0E0E0E"/>
        </w:rPr>
        <w:t>the</w:t>
      </w:r>
      <w:r>
        <w:rPr>
          <w:color w:val="0E0E0E"/>
          <w:spacing w:val="-16"/>
        </w:rPr>
        <w:t> </w:t>
      </w:r>
      <w:r>
        <w:rPr>
          <w:color w:val="0E0E0E"/>
        </w:rPr>
        <w:t>removal</w:t>
      </w:r>
      <w:r>
        <w:rPr>
          <w:color w:val="0E0E0E"/>
          <w:spacing w:val="-5"/>
        </w:rPr>
        <w:t> </w:t>
      </w:r>
      <w:r>
        <w:rPr>
          <w:color w:val="0E0E0E"/>
        </w:rPr>
        <w:t>of</w:t>
      </w:r>
      <w:r>
        <w:rPr>
          <w:color w:val="0E0E0E"/>
          <w:spacing w:val="-16"/>
        </w:rPr>
        <w:t> </w:t>
      </w:r>
      <w:r>
        <w:rPr>
          <w:color w:val="0E0E0E"/>
        </w:rPr>
        <w:t>pension</w:t>
      </w:r>
      <w:r>
        <w:rPr>
          <w:color w:val="0E0E0E"/>
          <w:spacing w:val="-8"/>
        </w:rPr>
        <w:t> </w:t>
      </w:r>
      <w:r>
        <w:rPr>
          <w:color w:val="0E0E0E"/>
        </w:rPr>
        <w:t>contributions and</w:t>
      </w:r>
      <w:r>
        <w:rPr>
          <w:color w:val="0E0E0E"/>
          <w:spacing w:val="-16"/>
        </w:rPr>
        <w:t> </w:t>
      </w:r>
      <w:r>
        <w:rPr>
          <w:color w:val="0E0E0E"/>
        </w:rPr>
        <w:t>the</w:t>
      </w:r>
      <w:r>
        <w:rPr>
          <w:color w:val="0E0E0E"/>
          <w:spacing w:val="-13"/>
        </w:rPr>
        <w:t> </w:t>
      </w:r>
      <w:r>
        <w:rPr>
          <w:color w:val="0E0E0E"/>
        </w:rPr>
        <w:t>addition</w:t>
      </w:r>
      <w:r>
        <w:rPr>
          <w:color w:val="0E0E0E"/>
          <w:spacing w:val="-4"/>
        </w:rPr>
        <w:t> </w:t>
      </w:r>
      <w:r>
        <w:rPr>
          <w:color w:val="0E0E0E"/>
        </w:rPr>
        <w:t>of</w:t>
      </w:r>
      <w:r>
        <w:rPr>
          <w:color w:val="0E0E0E"/>
          <w:spacing w:val="-16"/>
        </w:rPr>
        <w:t> </w:t>
      </w:r>
      <w:r>
        <w:rPr>
          <w:color w:val="0E0E0E"/>
        </w:rPr>
        <w:t>IAS</w:t>
      </w:r>
      <w:r>
        <w:rPr>
          <w:color w:val="0E0E0E"/>
          <w:spacing w:val="-15"/>
        </w:rPr>
        <w:t> </w:t>
      </w:r>
      <w:r>
        <w:rPr>
          <w:color w:val="0E0E0E"/>
        </w:rPr>
        <w:t>19</w:t>
      </w:r>
      <w:r>
        <w:rPr>
          <w:color w:val="0E0E0E"/>
          <w:spacing w:val="-15"/>
        </w:rPr>
        <w:t> </w:t>
      </w:r>
      <w:r>
        <w:rPr>
          <w:color w:val="0E0E0E"/>
        </w:rPr>
        <w:t>Employee Benefits pension related expenditure and income:</w:t>
      </w:r>
    </w:p>
    <w:p>
      <w:pPr>
        <w:pStyle w:val="ListParagraph"/>
        <w:numPr>
          <w:ilvl w:val="1"/>
          <w:numId w:val="17"/>
        </w:numPr>
        <w:tabs>
          <w:tab w:val="left" w:leader="none" w:pos="2279"/>
          <w:tab w:val="left" w:leader="none" w:pos="2282"/>
        </w:tabs>
        <w:spacing w:before="211" w:after="0" w:line="276" w:lineRule="auto"/>
        <w:ind w:left="2279" w:right="1162" w:hanging="355"/>
        <w:jc w:val="both"/>
        <w:rPr>
          <w:sz w:val="22"/>
        </w:rPr>
      </w:pPr>
      <w:r>
        <w:rPr>
          <w:color w:val="0E0E0E"/>
          <w:sz w:val="22"/>
        </w:rPr>
        <w:tab/>
        <w:t>For services this represents the</w:t>
      </w:r>
      <w:r>
        <w:rPr>
          <w:color w:val="0E0E0E"/>
          <w:spacing w:val="-3"/>
          <w:sz w:val="22"/>
        </w:rPr>
        <w:t> </w:t>
      </w:r>
      <w:r>
        <w:rPr>
          <w:color w:val="0E0E0E"/>
          <w:sz w:val="22"/>
        </w:rPr>
        <w:t>removal of</w:t>
      </w:r>
      <w:r>
        <w:rPr>
          <w:color w:val="0E0E0E"/>
          <w:spacing w:val="-2"/>
          <w:sz w:val="22"/>
        </w:rPr>
        <w:t> </w:t>
      </w:r>
      <w:r>
        <w:rPr>
          <w:color w:val="0E0E0E"/>
          <w:sz w:val="22"/>
        </w:rPr>
        <w:t>the</w:t>
      </w:r>
      <w:r>
        <w:rPr>
          <w:color w:val="0E0E0E"/>
          <w:spacing w:val="-2"/>
          <w:sz w:val="22"/>
        </w:rPr>
        <w:t> </w:t>
      </w:r>
      <w:r>
        <w:rPr>
          <w:color w:val="0E0E0E"/>
          <w:sz w:val="22"/>
        </w:rPr>
        <w:t>employer pension contributions made by the authority as</w:t>
      </w:r>
      <w:r>
        <w:rPr>
          <w:color w:val="0E0E0E"/>
          <w:spacing w:val="-3"/>
          <w:sz w:val="22"/>
        </w:rPr>
        <w:t> </w:t>
      </w:r>
      <w:r>
        <w:rPr>
          <w:color w:val="0E0E0E"/>
          <w:sz w:val="22"/>
        </w:rPr>
        <w:t>allowed by statute and</w:t>
      </w:r>
      <w:r>
        <w:rPr>
          <w:color w:val="0E0E0E"/>
          <w:spacing w:val="-4"/>
          <w:sz w:val="22"/>
        </w:rPr>
        <w:t> </w:t>
      </w:r>
      <w:r>
        <w:rPr>
          <w:color w:val="0E0E0E"/>
          <w:sz w:val="22"/>
        </w:rPr>
        <w:t>the</w:t>
      </w:r>
      <w:r>
        <w:rPr>
          <w:color w:val="0E0E0E"/>
          <w:spacing w:val="-4"/>
          <w:sz w:val="22"/>
        </w:rPr>
        <w:t> </w:t>
      </w:r>
      <w:r>
        <w:rPr>
          <w:color w:val="0E0E0E"/>
          <w:sz w:val="22"/>
        </w:rPr>
        <w:t>replacement</w:t>
      </w:r>
      <w:r>
        <w:rPr>
          <w:color w:val="0E0E0E"/>
          <w:spacing w:val="29"/>
          <w:sz w:val="22"/>
        </w:rPr>
        <w:t> </w:t>
      </w:r>
      <w:r>
        <w:rPr>
          <w:color w:val="0E0E0E"/>
          <w:sz w:val="22"/>
        </w:rPr>
        <w:t>with current service costs and past service costs.</w:t>
      </w:r>
    </w:p>
    <w:p>
      <w:pPr>
        <w:pStyle w:val="ListParagraph"/>
        <w:numPr>
          <w:ilvl w:val="1"/>
          <w:numId w:val="17"/>
        </w:numPr>
        <w:tabs>
          <w:tab w:val="left" w:leader="none" w:pos="2267"/>
          <w:tab w:val="left" w:leader="none" w:pos="2272"/>
        </w:tabs>
        <w:spacing w:before="21" w:after="0" w:line="276" w:lineRule="auto"/>
        <w:ind w:left="2267" w:right="1162" w:hanging="363"/>
        <w:jc w:val="both"/>
        <w:rPr>
          <w:sz w:val="22"/>
        </w:rPr>
      </w:pPr>
      <w:r>
        <w:rPr>
          <w:color w:val="0E0E0E"/>
          <w:sz w:val="22"/>
        </w:rPr>
        <w:tab/>
        <w:t>For Financing and investment income and expenditure -</w:t>
      </w:r>
      <w:r>
        <w:rPr>
          <w:color w:val="0E0E0E"/>
          <w:spacing w:val="40"/>
          <w:sz w:val="22"/>
        </w:rPr>
        <w:t> </w:t>
      </w:r>
      <w:r>
        <w:rPr>
          <w:color w:val="0E0E0E"/>
          <w:sz w:val="22"/>
        </w:rPr>
        <w:t>the net interest on the defined benefit liability is charged to the Comprehensive Income and Expenditure </w:t>
      </w:r>
      <w:r>
        <w:rPr>
          <w:color w:val="0E0E0E"/>
          <w:spacing w:val="-2"/>
          <w:sz w:val="22"/>
        </w:rPr>
        <w:t>Statement.</w:t>
      </w:r>
    </w:p>
    <w:p>
      <w:pPr>
        <w:pStyle w:val="ListParagraph"/>
        <w:numPr>
          <w:ilvl w:val="0"/>
          <w:numId w:val="17"/>
        </w:numPr>
        <w:tabs>
          <w:tab w:val="left" w:leader="none" w:pos="1791"/>
        </w:tabs>
        <w:spacing w:before="208" w:after="0" w:line="240" w:lineRule="auto"/>
        <w:ind w:left="1791" w:right="0" w:hanging="257"/>
        <w:jc w:val="left"/>
        <w:rPr>
          <w:b/>
          <w:color w:val="0E0E0E"/>
          <w:sz w:val="21"/>
        </w:rPr>
      </w:pPr>
      <w:r>
        <w:rPr>
          <w:b/>
          <w:color w:val="0E0E0E"/>
          <w:w w:val="105"/>
          <w:sz w:val="21"/>
        </w:rPr>
        <w:t>Other</w:t>
      </w:r>
      <w:r>
        <w:rPr>
          <w:b/>
          <w:color w:val="0E0E0E"/>
          <w:spacing w:val="2"/>
          <w:w w:val="105"/>
          <w:sz w:val="21"/>
        </w:rPr>
        <w:t> </w:t>
      </w:r>
      <w:r>
        <w:rPr>
          <w:b/>
          <w:color w:val="0E0E0E"/>
          <w:spacing w:val="-2"/>
          <w:w w:val="105"/>
          <w:sz w:val="21"/>
        </w:rPr>
        <w:t>Differences</w:t>
      </w:r>
    </w:p>
    <w:p>
      <w:pPr>
        <w:pStyle w:val="BodyText"/>
        <w:spacing w:before="3"/>
        <w:rPr>
          <w:b/>
          <w:sz w:val="21"/>
        </w:rPr>
      </w:pPr>
    </w:p>
    <w:p>
      <w:pPr>
        <w:pStyle w:val="BodyText"/>
        <w:spacing w:line="276" w:lineRule="auto"/>
        <w:ind w:left="1523" w:right="1169" w:firstLine="9"/>
        <w:jc w:val="both"/>
      </w:pPr>
      <w:r>
        <w:rPr>
          <w:color w:val="0E0E0E"/>
        </w:rPr>
        <w:t>This includes those other differences between amounts debited/credited to the Comprehensive Income and Expenditure Statement and amounts payable/receivable to be recognised under statute:</w:t>
      </w:r>
    </w:p>
    <w:p>
      <w:pPr>
        <w:pStyle w:val="ListParagraph"/>
        <w:numPr>
          <w:ilvl w:val="1"/>
          <w:numId w:val="17"/>
        </w:numPr>
        <w:tabs>
          <w:tab w:val="left" w:leader="none" w:pos="2226"/>
          <w:tab w:val="left" w:leader="none" w:pos="2247"/>
        </w:tabs>
        <w:spacing w:before="218" w:after="0" w:line="276" w:lineRule="auto"/>
        <w:ind w:left="2226" w:right="1179" w:hanging="345"/>
        <w:jc w:val="both"/>
        <w:rPr>
          <w:sz w:val="22"/>
        </w:rPr>
      </w:pPr>
      <w:r>
        <w:rPr>
          <w:color w:val="0E0E0E"/>
          <w:sz w:val="22"/>
        </w:rPr>
        <w:tab/>
        <w:t>The</w:t>
      </w:r>
      <w:r>
        <w:rPr>
          <w:color w:val="0E0E0E"/>
          <w:spacing w:val="-10"/>
          <w:sz w:val="22"/>
        </w:rPr>
        <w:t> </w:t>
      </w:r>
      <w:r>
        <w:rPr>
          <w:color w:val="0E0E0E"/>
          <w:sz w:val="22"/>
        </w:rPr>
        <w:t>charge</w:t>
      </w:r>
      <w:r>
        <w:rPr>
          <w:color w:val="0E0E0E"/>
          <w:spacing w:val="-4"/>
          <w:sz w:val="22"/>
        </w:rPr>
        <w:t> </w:t>
      </w:r>
      <w:r>
        <w:rPr>
          <w:color w:val="0E0E0E"/>
          <w:sz w:val="22"/>
        </w:rPr>
        <w:t>under</w:t>
      </w:r>
      <w:r>
        <w:rPr>
          <w:color w:val="0E0E0E"/>
          <w:spacing w:val="-9"/>
          <w:sz w:val="22"/>
        </w:rPr>
        <w:t> </w:t>
      </w:r>
      <w:r>
        <w:rPr>
          <w:color w:val="0E0E0E"/>
          <w:sz w:val="22"/>
        </w:rPr>
        <w:t>Taxation</w:t>
      </w:r>
      <w:r>
        <w:rPr>
          <w:color w:val="0E0E0E"/>
          <w:spacing w:val="-5"/>
          <w:sz w:val="22"/>
        </w:rPr>
        <w:t> </w:t>
      </w:r>
      <w:r>
        <w:rPr>
          <w:color w:val="0E0E0E"/>
          <w:sz w:val="22"/>
        </w:rPr>
        <w:t>and</w:t>
      </w:r>
      <w:r>
        <w:rPr>
          <w:color w:val="0E0E0E"/>
          <w:spacing w:val="-14"/>
          <w:sz w:val="22"/>
        </w:rPr>
        <w:t> </w:t>
      </w:r>
      <w:r>
        <w:rPr>
          <w:color w:val="0E0E0E"/>
          <w:sz w:val="22"/>
        </w:rPr>
        <w:t>non-specific grant</w:t>
      </w:r>
      <w:r>
        <w:rPr>
          <w:color w:val="0E0E0E"/>
          <w:spacing w:val="-7"/>
          <w:sz w:val="22"/>
        </w:rPr>
        <w:t> </w:t>
      </w:r>
      <w:r>
        <w:rPr>
          <w:color w:val="0E0E0E"/>
          <w:sz w:val="22"/>
        </w:rPr>
        <w:t>income</w:t>
      </w:r>
      <w:r>
        <w:rPr>
          <w:color w:val="0E0E0E"/>
          <w:spacing w:val="-5"/>
          <w:sz w:val="22"/>
        </w:rPr>
        <w:t> </w:t>
      </w:r>
      <w:r>
        <w:rPr>
          <w:color w:val="0E0E0E"/>
          <w:sz w:val="22"/>
        </w:rPr>
        <w:t>and</w:t>
      </w:r>
      <w:r>
        <w:rPr>
          <w:color w:val="0E0E0E"/>
          <w:spacing w:val="-10"/>
          <w:sz w:val="22"/>
        </w:rPr>
        <w:t> </w:t>
      </w:r>
      <w:r>
        <w:rPr>
          <w:color w:val="0E0E0E"/>
          <w:sz w:val="22"/>
        </w:rPr>
        <w:t>expenditure represents the</w:t>
      </w:r>
      <w:r>
        <w:rPr>
          <w:color w:val="0E0E0E"/>
          <w:spacing w:val="-3"/>
          <w:sz w:val="22"/>
        </w:rPr>
        <w:t> </w:t>
      </w:r>
      <w:r>
        <w:rPr>
          <w:color w:val="0E0E0E"/>
          <w:sz w:val="22"/>
        </w:rPr>
        <w:t>difference between what is</w:t>
      </w:r>
      <w:r>
        <w:rPr>
          <w:color w:val="0E0E0E"/>
          <w:spacing w:val="-1"/>
          <w:sz w:val="22"/>
        </w:rPr>
        <w:t> </w:t>
      </w:r>
      <w:r>
        <w:rPr>
          <w:color w:val="0E0E0E"/>
          <w:sz w:val="22"/>
        </w:rPr>
        <w:t>chargeable under</w:t>
      </w:r>
      <w:r>
        <w:rPr>
          <w:color w:val="0E0E0E"/>
          <w:spacing w:val="-5"/>
          <w:sz w:val="22"/>
        </w:rPr>
        <w:t> </w:t>
      </w:r>
      <w:r>
        <w:rPr>
          <w:color w:val="0E0E0E"/>
          <w:sz w:val="22"/>
        </w:rPr>
        <w:t>statutory regulations for</w:t>
      </w:r>
      <w:r>
        <w:rPr>
          <w:color w:val="0E0E0E"/>
          <w:spacing w:val="-3"/>
          <w:sz w:val="22"/>
        </w:rPr>
        <w:t> </w:t>
      </w:r>
      <w:r>
        <w:rPr>
          <w:color w:val="0E0E0E"/>
          <w:sz w:val="22"/>
        </w:rPr>
        <w:t>Council Tax and NNDR that was projected to be received at the start of the year and the income recognised</w:t>
      </w:r>
      <w:r>
        <w:rPr>
          <w:color w:val="0E0E0E"/>
          <w:spacing w:val="-16"/>
          <w:sz w:val="22"/>
        </w:rPr>
        <w:t> </w:t>
      </w:r>
      <w:r>
        <w:rPr>
          <w:color w:val="0E0E0E"/>
          <w:sz w:val="22"/>
        </w:rPr>
        <w:t>under</w:t>
      </w:r>
      <w:r>
        <w:rPr>
          <w:color w:val="0E0E0E"/>
          <w:spacing w:val="-15"/>
          <w:sz w:val="22"/>
        </w:rPr>
        <w:t> </w:t>
      </w:r>
      <w:r>
        <w:rPr>
          <w:color w:val="0E0E0E"/>
          <w:sz w:val="22"/>
        </w:rPr>
        <w:t>generally accepted</w:t>
      </w:r>
      <w:r>
        <w:rPr>
          <w:color w:val="0E0E0E"/>
          <w:spacing w:val="-4"/>
          <w:sz w:val="22"/>
        </w:rPr>
        <w:t> </w:t>
      </w:r>
      <w:r>
        <w:rPr>
          <w:color w:val="0E0E0E"/>
          <w:sz w:val="22"/>
        </w:rPr>
        <w:t>accounting practices</w:t>
      </w:r>
      <w:r>
        <w:rPr>
          <w:color w:val="0E0E0E"/>
          <w:spacing w:val="-2"/>
          <w:sz w:val="22"/>
        </w:rPr>
        <w:t> </w:t>
      </w:r>
      <w:r>
        <w:rPr>
          <w:color w:val="0E0E0E"/>
          <w:sz w:val="22"/>
        </w:rPr>
        <w:t>in</w:t>
      </w:r>
      <w:r>
        <w:rPr>
          <w:color w:val="0E0E0E"/>
          <w:spacing w:val="-16"/>
          <w:sz w:val="22"/>
        </w:rPr>
        <w:t> </w:t>
      </w:r>
      <w:r>
        <w:rPr>
          <w:color w:val="0E0E0E"/>
          <w:sz w:val="22"/>
        </w:rPr>
        <w:t>the</w:t>
      </w:r>
      <w:r>
        <w:rPr>
          <w:color w:val="0E0E0E"/>
          <w:spacing w:val="-13"/>
          <w:sz w:val="22"/>
        </w:rPr>
        <w:t> </w:t>
      </w:r>
      <w:r>
        <w:rPr>
          <w:color w:val="0E0E0E"/>
          <w:sz w:val="22"/>
        </w:rPr>
        <w:t>Code.</w:t>
      </w:r>
      <w:r>
        <w:rPr>
          <w:color w:val="0E0E0E"/>
          <w:spacing w:val="-9"/>
          <w:sz w:val="22"/>
        </w:rPr>
        <w:t> </w:t>
      </w:r>
      <w:r>
        <w:rPr>
          <w:color w:val="0E0E0E"/>
          <w:sz w:val="22"/>
        </w:rPr>
        <w:t>This</w:t>
      </w:r>
      <w:r>
        <w:rPr>
          <w:color w:val="0E0E0E"/>
          <w:spacing w:val="-11"/>
          <w:sz w:val="22"/>
        </w:rPr>
        <w:t> </w:t>
      </w:r>
      <w:r>
        <w:rPr>
          <w:color w:val="0E0E0E"/>
          <w:sz w:val="22"/>
        </w:rPr>
        <w:t>is</w:t>
      </w:r>
      <w:r>
        <w:rPr>
          <w:color w:val="0E0E0E"/>
          <w:spacing w:val="-12"/>
          <w:sz w:val="22"/>
        </w:rPr>
        <w:t> </w:t>
      </w:r>
      <w:r>
        <w:rPr>
          <w:color w:val="0E0E0E"/>
          <w:sz w:val="22"/>
        </w:rPr>
        <w:t>a</w:t>
      </w:r>
      <w:r>
        <w:rPr>
          <w:color w:val="0E0E0E"/>
          <w:spacing w:val="-16"/>
          <w:sz w:val="22"/>
        </w:rPr>
        <w:t> </w:t>
      </w:r>
      <w:r>
        <w:rPr>
          <w:color w:val="0E0E0E"/>
          <w:sz w:val="22"/>
        </w:rPr>
        <w:t>timing difference as any difference will</w:t>
      </w:r>
      <w:r>
        <w:rPr>
          <w:color w:val="0E0E0E"/>
          <w:spacing w:val="-2"/>
          <w:sz w:val="22"/>
        </w:rPr>
        <w:t> </w:t>
      </w:r>
      <w:r>
        <w:rPr>
          <w:color w:val="0E0E0E"/>
          <w:sz w:val="22"/>
        </w:rPr>
        <w:t>be brought forward in</w:t>
      </w:r>
      <w:r>
        <w:rPr>
          <w:color w:val="0E0E0E"/>
          <w:spacing w:val="-8"/>
          <w:sz w:val="22"/>
        </w:rPr>
        <w:t> </w:t>
      </w:r>
      <w:r>
        <w:rPr>
          <w:color w:val="0E0E0E"/>
          <w:sz w:val="22"/>
        </w:rPr>
        <w:t>future Surpluses or Deficits on the Collection Fund</w:t>
      </w:r>
    </w:p>
    <w:p>
      <w:pPr>
        <w:spacing w:after="0" w:line="276" w:lineRule="auto"/>
        <w:jc w:val="both"/>
        <w:rPr>
          <w:sz w:val="22"/>
        </w:rPr>
        <w:sectPr>
          <w:headerReference w:type="even" r:id="rId141"/>
          <w:pgSz w:w="11910" w:h="16830"/>
          <w:pgMar w:top="920" w:right="100" w:bottom="1160" w:left="20" w:header="0" w:footer="0"/>
        </w:sectPr>
      </w:pPr>
    </w:p>
    <w:p>
      <w:pPr>
        <w:spacing w:before="68"/>
        <w:ind w:left="1082" w:right="0" w:firstLine="0"/>
        <w:jc w:val="left"/>
        <w:rPr>
          <w:sz w:val="13"/>
        </w:rPr>
      </w:pPr>
      <w:r>
        <w:rPr>
          <w:color w:val="A1A1A1"/>
          <w:w w:val="160"/>
          <w:sz w:val="13"/>
        </w:rPr>
        <w:t>N(Jlt:</w:t>
      </w:r>
      <w:r>
        <w:rPr>
          <w:color w:val="A1A1A1"/>
          <w:spacing w:val="-15"/>
          <w:w w:val="160"/>
          <w:sz w:val="13"/>
        </w:rPr>
        <w:t> </w:t>
      </w:r>
      <w:r>
        <w:rPr>
          <w:color w:val="A1A1A1"/>
          <w:w w:val="160"/>
          <w:sz w:val="13"/>
        </w:rPr>
        <w:t>;</w:t>
      </w:r>
      <w:r>
        <w:rPr>
          <w:color w:val="A1A1A1"/>
          <w:spacing w:val="10"/>
          <w:w w:val="160"/>
          <w:sz w:val="13"/>
        </w:rPr>
        <w:t> </w:t>
      </w:r>
      <w:r>
        <w:rPr>
          <w:rFonts w:ascii="Times New Roman"/>
          <w:color w:val="A1A1A1"/>
          <w:w w:val="160"/>
          <w:sz w:val="12"/>
        </w:rPr>
        <w:t>i\</w:t>
      </w:r>
      <w:r>
        <w:rPr>
          <w:color w:val="A1A1A1"/>
          <w:w w:val="160"/>
          <w:position w:val="2"/>
          <w:sz w:val="8"/>
        </w:rPr>
        <w:t>1</w:t>
      </w:r>
      <w:r>
        <w:rPr>
          <w:color w:val="A1A1A1"/>
          <w:spacing w:val="10"/>
          <w:w w:val="200"/>
          <w:position w:val="2"/>
          <w:sz w:val="8"/>
        </w:rPr>
        <w:t> </w:t>
      </w:r>
      <w:r>
        <w:rPr>
          <w:color w:val="A1A1A1"/>
          <w:w w:val="200"/>
          <w:sz w:val="13"/>
        </w:rPr>
        <w:t>lilt</w:t>
      </w:r>
      <w:r>
        <w:rPr>
          <w:color w:val="A1A1A1"/>
          <w:spacing w:val="-4"/>
          <w:w w:val="200"/>
          <w:sz w:val="13"/>
        </w:rPr>
        <w:t> </w:t>
      </w:r>
      <w:r>
        <w:rPr>
          <w:color w:val="A1A1A1"/>
          <w:w w:val="200"/>
          <w:sz w:val="13"/>
        </w:rPr>
        <w:t>\!</w:t>
      </w:r>
      <w:r>
        <w:rPr>
          <w:color w:val="A1A1A1"/>
          <w:spacing w:val="-20"/>
          <w:w w:val="200"/>
          <w:sz w:val="13"/>
        </w:rPr>
        <w:t> </w:t>
      </w:r>
      <w:r>
        <w:rPr>
          <w:color w:val="A1A1A1"/>
          <w:w w:val="160"/>
          <w:sz w:val="13"/>
        </w:rPr>
        <w:t>,;l)LJf</w:t>
      </w:r>
      <w:r>
        <w:rPr>
          <w:color w:val="A1A1A1"/>
          <w:spacing w:val="-12"/>
          <w:w w:val="160"/>
          <w:sz w:val="13"/>
        </w:rPr>
        <w:t> </w:t>
      </w:r>
      <w:r>
        <w:rPr>
          <w:color w:val="A1A1A1"/>
          <w:spacing w:val="-5"/>
          <w:w w:val="160"/>
          <w:sz w:val="13"/>
        </w:rPr>
        <w:t>l"i</w:t>
      </w:r>
    </w:p>
    <w:p>
      <w:pPr>
        <w:pStyle w:val="BodyText"/>
        <w:spacing w:before="116"/>
        <w:rPr>
          <w:sz w:val="13"/>
        </w:rPr>
      </w:pPr>
    </w:p>
    <w:p>
      <w:pPr>
        <w:pStyle w:val="ListParagraph"/>
        <w:numPr>
          <w:ilvl w:val="2"/>
          <w:numId w:val="16"/>
        </w:numPr>
        <w:tabs>
          <w:tab w:val="left" w:leader="none" w:pos="1075"/>
        </w:tabs>
        <w:spacing w:before="0" w:after="0" w:line="240" w:lineRule="auto"/>
        <w:ind w:left="1075" w:right="0" w:hanging="713"/>
        <w:jc w:val="left"/>
        <w:rPr>
          <w:b/>
          <w:color w:val="030303"/>
          <w:sz w:val="20"/>
        </w:rPr>
      </w:pPr>
      <w:r>
        <w:rPr>
          <w:b/>
          <w:color w:val="030303"/>
          <w:spacing w:val="-2"/>
          <w:w w:val="110"/>
          <w:sz w:val="20"/>
        </w:rPr>
        <w:t>Subjective</w:t>
      </w:r>
      <w:r>
        <w:rPr>
          <w:b/>
          <w:color w:val="030303"/>
          <w:spacing w:val="8"/>
          <w:w w:val="110"/>
          <w:sz w:val="20"/>
        </w:rPr>
        <w:t> </w:t>
      </w:r>
      <w:r>
        <w:rPr>
          <w:b/>
          <w:color w:val="030303"/>
          <w:spacing w:val="-2"/>
          <w:w w:val="110"/>
          <w:sz w:val="20"/>
        </w:rPr>
        <w:t>Analysis</w:t>
      </w:r>
    </w:p>
    <w:p>
      <w:pPr>
        <w:pStyle w:val="BodyText"/>
        <w:spacing w:before="26"/>
        <w:rPr>
          <w:b/>
          <w:sz w:val="20"/>
        </w:rPr>
      </w:pPr>
    </w:p>
    <w:p>
      <w:pPr>
        <w:spacing w:before="0" w:line="280" w:lineRule="auto"/>
        <w:ind w:left="358" w:right="0" w:hanging="2"/>
        <w:jc w:val="left"/>
        <w:rPr>
          <w:sz w:val="21"/>
        </w:rPr>
      </w:pPr>
      <w:r>
        <w:rPr>
          <w:color w:val="030303"/>
          <w:w w:val="105"/>
          <w:sz w:val="21"/>
        </w:rPr>
        <w:t>A</w:t>
      </w:r>
      <w:r>
        <w:rPr>
          <w:color w:val="030303"/>
          <w:spacing w:val="-6"/>
          <w:w w:val="105"/>
          <w:sz w:val="21"/>
        </w:rPr>
        <w:t> </w:t>
      </w:r>
      <w:r>
        <w:rPr>
          <w:color w:val="030303"/>
          <w:w w:val="105"/>
          <w:sz w:val="21"/>
        </w:rPr>
        <w:t>subjective analysis of</w:t>
      </w:r>
      <w:r>
        <w:rPr>
          <w:color w:val="030303"/>
          <w:spacing w:val="-13"/>
          <w:w w:val="105"/>
          <w:sz w:val="21"/>
        </w:rPr>
        <w:t> </w:t>
      </w:r>
      <w:r>
        <w:rPr>
          <w:color w:val="030303"/>
          <w:w w:val="105"/>
          <w:sz w:val="21"/>
        </w:rPr>
        <w:t>the</w:t>
      </w:r>
      <w:r>
        <w:rPr>
          <w:color w:val="030303"/>
          <w:spacing w:val="-10"/>
          <w:w w:val="105"/>
          <w:sz w:val="21"/>
        </w:rPr>
        <w:t> </w:t>
      </w:r>
      <w:r>
        <w:rPr>
          <w:color w:val="030303"/>
          <w:w w:val="105"/>
          <w:sz w:val="21"/>
        </w:rPr>
        <w:t>Council's net</w:t>
      </w:r>
      <w:r>
        <w:rPr>
          <w:color w:val="030303"/>
          <w:spacing w:val="-2"/>
          <w:w w:val="105"/>
          <w:sz w:val="21"/>
        </w:rPr>
        <w:t> </w:t>
      </w:r>
      <w:r>
        <w:rPr>
          <w:color w:val="030303"/>
          <w:w w:val="105"/>
          <w:sz w:val="21"/>
        </w:rPr>
        <w:t>cost of</w:t>
      </w:r>
      <w:r>
        <w:rPr>
          <w:color w:val="030303"/>
          <w:spacing w:val="-6"/>
          <w:w w:val="105"/>
          <w:sz w:val="21"/>
        </w:rPr>
        <w:t> </w:t>
      </w:r>
      <w:r>
        <w:rPr>
          <w:color w:val="030303"/>
          <w:w w:val="105"/>
          <w:sz w:val="21"/>
        </w:rPr>
        <w:t>services as</w:t>
      </w:r>
      <w:r>
        <w:rPr>
          <w:color w:val="030303"/>
          <w:spacing w:val="-7"/>
          <w:w w:val="105"/>
          <w:sz w:val="21"/>
        </w:rPr>
        <w:t> </w:t>
      </w:r>
      <w:r>
        <w:rPr>
          <w:color w:val="030303"/>
          <w:w w:val="105"/>
          <w:sz w:val="21"/>
        </w:rPr>
        <w:t>disclosed in</w:t>
      </w:r>
      <w:r>
        <w:rPr>
          <w:color w:val="030303"/>
          <w:spacing w:val="-16"/>
          <w:w w:val="105"/>
          <w:sz w:val="21"/>
        </w:rPr>
        <w:t> </w:t>
      </w:r>
      <w:r>
        <w:rPr>
          <w:color w:val="030303"/>
          <w:w w:val="105"/>
          <w:sz w:val="21"/>
        </w:rPr>
        <w:t>the</w:t>
      </w:r>
      <w:r>
        <w:rPr>
          <w:color w:val="030303"/>
          <w:spacing w:val="-9"/>
          <w:w w:val="105"/>
          <w:sz w:val="21"/>
        </w:rPr>
        <w:t> </w:t>
      </w:r>
      <w:r>
        <w:rPr>
          <w:color w:val="030303"/>
          <w:w w:val="105"/>
          <w:sz w:val="21"/>
        </w:rPr>
        <w:t>Comprehensive</w:t>
      </w:r>
      <w:r>
        <w:rPr>
          <w:color w:val="030303"/>
          <w:spacing w:val="18"/>
          <w:w w:val="105"/>
          <w:sz w:val="21"/>
        </w:rPr>
        <w:t> </w:t>
      </w:r>
      <w:r>
        <w:rPr>
          <w:color w:val="030303"/>
          <w:w w:val="105"/>
          <w:sz w:val="21"/>
        </w:rPr>
        <w:t>Income and</w:t>
      </w:r>
      <w:r>
        <w:rPr>
          <w:color w:val="030303"/>
          <w:spacing w:val="-8"/>
          <w:w w:val="105"/>
          <w:sz w:val="21"/>
        </w:rPr>
        <w:t> </w:t>
      </w:r>
      <w:r>
        <w:rPr>
          <w:color w:val="030303"/>
          <w:w w:val="105"/>
          <w:sz w:val="21"/>
        </w:rPr>
        <w:t>Expenditure Statement is</w:t>
      </w:r>
      <w:r>
        <w:rPr>
          <w:color w:val="030303"/>
          <w:spacing w:val="-8"/>
          <w:w w:val="105"/>
          <w:sz w:val="21"/>
        </w:rPr>
        <w:t> </w:t>
      </w:r>
      <w:r>
        <w:rPr>
          <w:color w:val="030303"/>
          <w:w w:val="105"/>
          <w:sz w:val="21"/>
        </w:rPr>
        <w:t>shown</w:t>
      </w:r>
      <w:r>
        <w:rPr>
          <w:color w:val="030303"/>
          <w:spacing w:val="-2"/>
          <w:w w:val="105"/>
          <w:sz w:val="21"/>
        </w:rPr>
        <w:t> </w:t>
      </w:r>
      <w:r>
        <w:rPr>
          <w:color w:val="030303"/>
          <w:w w:val="105"/>
          <w:sz w:val="21"/>
        </w:rPr>
        <w:t>in</w:t>
      </w:r>
      <w:r>
        <w:rPr>
          <w:color w:val="030303"/>
          <w:spacing w:val="-13"/>
          <w:w w:val="105"/>
          <w:sz w:val="21"/>
        </w:rPr>
        <w:t> </w:t>
      </w:r>
      <w:r>
        <w:rPr>
          <w:color w:val="030303"/>
          <w:w w:val="105"/>
          <w:sz w:val="21"/>
        </w:rPr>
        <w:t>the</w:t>
      </w:r>
      <w:r>
        <w:rPr>
          <w:color w:val="030303"/>
          <w:spacing w:val="-11"/>
          <w:w w:val="105"/>
          <w:sz w:val="21"/>
        </w:rPr>
        <w:t> </w:t>
      </w:r>
      <w:r>
        <w:rPr>
          <w:color w:val="030303"/>
          <w:w w:val="105"/>
          <w:sz w:val="21"/>
        </w:rPr>
        <w:t>following </w:t>
      </w:r>
      <w:r>
        <w:rPr>
          <w:color w:val="030303"/>
          <w:spacing w:val="-2"/>
          <w:w w:val="105"/>
          <w:sz w:val="21"/>
        </w:rPr>
        <w:t>tables.</w:t>
      </w:r>
    </w:p>
    <w:p>
      <w:pPr>
        <w:spacing w:after="0" w:line="280" w:lineRule="auto"/>
        <w:jc w:val="left"/>
        <w:rPr>
          <w:sz w:val="21"/>
        </w:rPr>
        <w:sectPr>
          <w:headerReference w:type="default" r:id="rId143"/>
          <w:footerReference w:type="default" r:id="rId144"/>
          <w:pgSz w:w="16830" w:h="11910" w:orient="landscape"/>
          <w:pgMar w:top="800" w:right="480" w:bottom="280" w:left="740" w:header="0" w:footer="0"/>
        </w:sectPr>
      </w:pPr>
    </w:p>
    <w:p>
      <w:pPr>
        <w:spacing w:before="218" w:line="114" w:lineRule="exact"/>
        <w:ind w:left="563" w:right="0" w:firstLine="0"/>
        <w:jc w:val="left"/>
        <w:rPr>
          <w:b/>
          <w:sz w:val="20"/>
        </w:rPr>
      </w:pPr>
      <w:r>
        <w:rPr>
          <w:b/>
          <w:color w:val="030303"/>
          <w:w w:val="105"/>
          <w:sz w:val="20"/>
        </w:rPr>
        <w:t>YEAR</w:t>
      </w:r>
      <w:r>
        <w:rPr>
          <w:b/>
          <w:color w:val="030303"/>
          <w:spacing w:val="-3"/>
          <w:w w:val="105"/>
          <w:sz w:val="20"/>
        </w:rPr>
        <w:t> </w:t>
      </w:r>
      <w:r>
        <w:rPr>
          <w:b/>
          <w:color w:val="030303"/>
          <w:w w:val="105"/>
          <w:sz w:val="20"/>
        </w:rPr>
        <w:t>ENDED</w:t>
      </w:r>
      <w:r>
        <w:rPr>
          <w:b/>
          <w:color w:val="030303"/>
          <w:spacing w:val="1"/>
          <w:w w:val="105"/>
          <w:sz w:val="20"/>
        </w:rPr>
        <w:t> </w:t>
      </w:r>
      <w:r>
        <w:rPr>
          <w:b/>
          <w:color w:val="030303"/>
          <w:w w:val="105"/>
          <w:sz w:val="20"/>
        </w:rPr>
        <w:t>31</w:t>
      </w:r>
      <w:r>
        <w:rPr>
          <w:b/>
          <w:color w:val="030303"/>
          <w:spacing w:val="-15"/>
          <w:w w:val="105"/>
          <w:sz w:val="20"/>
        </w:rPr>
        <w:t> </w:t>
      </w:r>
      <w:r>
        <w:rPr>
          <w:b/>
          <w:color w:val="030303"/>
          <w:w w:val="105"/>
          <w:sz w:val="20"/>
        </w:rPr>
        <w:t>March</w:t>
      </w:r>
      <w:r>
        <w:rPr>
          <w:b/>
          <w:color w:val="030303"/>
          <w:spacing w:val="-1"/>
          <w:w w:val="105"/>
          <w:sz w:val="20"/>
        </w:rPr>
        <w:t> </w:t>
      </w:r>
      <w:r>
        <w:rPr>
          <w:b/>
          <w:color w:val="030303"/>
          <w:spacing w:val="-4"/>
          <w:w w:val="105"/>
          <w:sz w:val="20"/>
        </w:rPr>
        <w:t>2022</w:t>
      </w:r>
    </w:p>
    <w:p>
      <w:pPr>
        <w:spacing w:before="63" w:line="269" w:lineRule="exact"/>
        <w:ind w:left="0" w:right="38" w:firstLine="0"/>
        <w:jc w:val="right"/>
        <w:rPr>
          <w:b/>
          <w:sz w:val="10"/>
        </w:rPr>
      </w:pPr>
      <w:r>
        <w:rPr/>
        <w:br w:type="column"/>
      </w:r>
      <w:r>
        <w:rPr>
          <w:color w:val="030303"/>
          <w:spacing w:val="14"/>
          <w:w w:val="64"/>
          <w:position w:val="-7"/>
          <w:sz w:val="40"/>
        </w:rPr>
        <w:t>.</w:t>
      </w:r>
      <w:r>
        <w:rPr>
          <w:color w:val="030303"/>
          <w:spacing w:val="-38"/>
          <w:w w:val="64"/>
          <w:position w:val="-7"/>
          <w:sz w:val="40"/>
        </w:rPr>
        <w:t>.</w:t>
      </w:r>
      <w:r>
        <w:rPr>
          <w:b/>
          <w:color w:val="030303"/>
          <w:spacing w:val="8"/>
          <w:w w:val="106"/>
          <w:sz w:val="10"/>
        </w:rPr>
        <w:t>C</w:t>
      </w:r>
      <w:r>
        <w:rPr>
          <w:color w:val="030303"/>
          <w:spacing w:val="-35"/>
          <w:w w:val="64"/>
          <w:position w:val="-7"/>
          <w:sz w:val="40"/>
        </w:rPr>
        <w:t>.</w:t>
      </w:r>
      <w:r>
        <w:rPr>
          <w:b/>
          <w:color w:val="030303"/>
          <w:spacing w:val="17"/>
          <w:w w:val="106"/>
          <w:sz w:val="10"/>
        </w:rPr>
        <w:t>l</w:t>
      </w:r>
      <w:r>
        <w:rPr>
          <w:b/>
          <w:color w:val="030303"/>
          <w:spacing w:val="18"/>
          <w:w w:val="106"/>
          <w:sz w:val="10"/>
        </w:rPr>
        <w:t>)</w:t>
      </w:r>
    </w:p>
    <w:p>
      <w:pPr>
        <w:tabs>
          <w:tab w:val="left" w:leader="none" w:pos="1185"/>
        </w:tabs>
        <w:spacing w:before="68" w:line="265" w:lineRule="exact"/>
        <w:ind w:left="563" w:right="0" w:firstLine="0"/>
        <w:jc w:val="left"/>
        <w:rPr>
          <w:b/>
          <w:sz w:val="13"/>
        </w:rPr>
      </w:pPr>
      <w:r>
        <w:rPr/>
        <w:br w:type="column"/>
      </w:r>
      <w:r>
        <w:rPr>
          <w:color w:val="030303"/>
          <w:spacing w:val="18"/>
          <w:w w:val="60"/>
          <w:position w:val="-7"/>
          <w:sz w:val="40"/>
        </w:rPr>
        <w:t>.</w:t>
      </w:r>
      <w:r>
        <w:rPr>
          <w:color w:val="030303"/>
          <w:spacing w:val="-42"/>
          <w:w w:val="60"/>
          <w:position w:val="-7"/>
          <w:sz w:val="40"/>
        </w:rPr>
        <w:t>.</w:t>
      </w:r>
      <w:r>
        <w:rPr>
          <w:b/>
          <w:color w:val="030303"/>
          <w:spacing w:val="11"/>
          <w:sz w:val="10"/>
        </w:rPr>
        <w:t>C</w:t>
      </w:r>
      <w:r>
        <w:rPr>
          <w:color w:val="030303"/>
          <w:spacing w:val="-36"/>
          <w:w w:val="60"/>
          <w:position w:val="-7"/>
          <w:sz w:val="40"/>
        </w:rPr>
        <w:t>.</w:t>
      </w:r>
      <w:r>
        <w:rPr>
          <w:b/>
          <w:color w:val="030303"/>
          <w:spacing w:val="18"/>
          <w:sz w:val="10"/>
        </w:rPr>
        <w:t>l</w:t>
      </w:r>
      <w:r>
        <w:rPr>
          <w:b/>
          <w:color w:val="030303"/>
          <w:spacing w:val="19"/>
          <w:sz w:val="10"/>
        </w:rPr>
        <w:t>)</w:t>
      </w:r>
      <w:r>
        <w:rPr>
          <w:b/>
          <w:color w:val="030303"/>
          <w:sz w:val="10"/>
        </w:rPr>
        <w:tab/>
      </w:r>
      <w:r>
        <w:rPr>
          <w:b/>
          <w:color w:val="030303"/>
          <w:spacing w:val="-5"/>
          <w:w w:val="80"/>
          <w:position w:val="-11"/>
          <w:sz w:val="13"/>
        </w:rPr>
        <w:t>'C</w:t>
      </w:r>
    </w:p>
    <w:p>
      <w:pPr>
        <w:spacing w:before="107" w:line="240" w:lineRule="auto"/>
        <w:rPr>
          <w:b/>
          <w:sz w:val="12"/>
        </w:rPr>
      </w:pPr>
      <w:r>
        <w:rPr/>
        <w:br w:type="column"/>
      </w:r>
      <w:r>
        <w:rPr>
          <w:b/>
          <w:sz w:val="12"/>
        </w:rPr>
      </w:r>
    </w:p>
    <w:p>
      <w:pPr>
        <w:spacing w:before="0" w:line="87" w:lineRule="exact"/>
        <w:ind w:left="563" w:right="0" w:firstLine="0"/>
        <w:jc w:val="left"/>
        <w:rPr>
          <w:sz w:val="12"/>
        </w:rPr>
      </w:pPr>
      <w:r>
        <w:rPr>
          <w:color w:val="030303"/>
          <w:spacing w:val="-5"/>
          <w:sz w:val="12"/>
        </w:rPr>
        <w:t>(/)</w:t>
      </w:r>
    </w:p>
    <w:p>
      <w:pPr>
        <w:spacing w:after="0" w:line="87" w:lineRule="exact"/>
        <w:jc w:val="left"/>
        <w:rPr>
          <w:sz w:val="12"/>
        </w:rPr>
        <w:sectPr>
          <w:type w:val="continuous"/>
          <w:pgSz w:w="16830" w:h="11910" w:orient="landscape"/>
          <w:pgMar w:top="1940" w:right="480" w:bottom="280" w:left="740" w:header="0" w:footer="0"/>
          <w:cols w:equalWidth="0" w:num="4">
            <w:col w:w="3472" w:space="2580"/>
            <w:col w:w="787" w:space="1200"/>
            <w:col w:w="1295" w:space="2394"/>
            <w:col w:w="3882"/>
          </w:cols>
        </w:sectPr>
      </w:pPr>
    </w:p>
    <w:p>
      <w:pPr>
        <w:spacing w:before="109" w:line="9" w:lineRule="exact"/>
        <w:ind w:left="0" w:right="0" w:firstLine="0"/>
        <w:jc w:val="right"/>
        <w:rPr>
          <w:b/>
          <w:sz w:val="10"/>
        </w:rPr>
      </w:pPr>
      <w:r>
        <w:rPr>
          <w:b/>
          <w:color w:val="030303"/>
          <w:spacing w:val="-5"/>
          <w:sz w:val="10"/>
        </w:rPr>
        <w:t>Cl)</w:t>
      </w:r>
    </w:p>
    <w:p>
      <w:pPr>
        <w:tabs>
          <w:tab w:val="left" w:leader="none" w:pos="1824"/>
          <w:tab w:val="left" w:leader="none" w:pos="2419"/>
          <w:tab w:val="left" w:leader="none" w:pos="3197"/>
        </w:tabs>
        <w:spacing w:before="0" w:line="119" w:lineRule="exact"/>
        <w:ind w:left="997" w:right="0" w:firstLine="0"/>
        <w:jc w:val="left"/>
        <w:rPr>
          <w:sz w:val="13"/>
        </w:rPr>
      </w:pPr>
      <w:r>
        <w:rPr/>
        <w:br w:type="column"/>
      </w:r>
      <w:r>
        <w:rPr>
          <w:color w:val="030303"/>
          <w:spacing w:val="-2"/>
          <w:w w:val="90"/>
          <w:position w:val="-8"/>
          <w:sz w:val="32"/>
        </w:rPr>
        <w:t>.</w:t>
      </w:r>
      <w:r>
        <w:rPr>
          <w:b/>
          <w:color w:val="030303"/>
          <w:spacing w:val="-2"/>
          <w:w w:val="90"/>
          <w:sz w:val="10"/>
        </w:rPr>
        <w:t>Q</w:t>
      </w:r>
      <w:r>
        <w:rPr>
          <w:color w:val="030303"/>
          <w:spacing w:val="-2"/>
          <w:w w:val="90"/>
          <w:position w:val="-8"/>
          <w:sz w:val="32"/>
        </w:rPr>
        <w:t>..</w:t>
      </w:r>
      <w:r>
        <w:rPr>
          <w:b/>
          <w:color w:val="030303"/>
          <w:spacing w:val="-2"/>
          <w:w w:val="90"/>
          <w:sz w:val="10"/>
        </w:rPr>
        <w:t>)</w:t>
      </w:r>
      <w:r>
        <w:rPr>
          <w:b/>
          <w:color w:val="030303"/>
          <w:sz w:val="10"/>
        </w:rPr>
        <w:tab/>
      </w:r>
      <w:r>
        <w:rPr>
          <w:b/>
          <w:color w:val="030303"/>
          <w:spacing w:val="-5"/>
          <w:w w:val="90"/>
          <w:sz w:val="10"/>
        </w:rPr>
        <w:t>Cl)</w:t>
      </w:r>
      <w:r>
        <w:rPr>
          <w:b/>
          <w:color w:val="030303"/>
          <w:sz w:val="10"/>
        </w:rPr>
        <w:tab/>
      </w:r>
      <w:r>
        <w:rPr>
          <w:b/>
          <w:color w:val="030303"/>
          <w:spacing w:val="-10"/>
          <w:w w:val="90"/>
          <w:position w:val="-5"/>
          <w:sz w:val="13"/>
        </w:rPr>
        <w:t>C</w:t>
      </w:r>
      <w:r>
        <w:rPr>
          <w:b/>
          <w:color w:val="030303"/>
          <w:position w:val="-5"/>
          <w:sz w:val="13"/>
        </w:rPr>
        <w:tab/>
      </w:r>
      <w:r>
        <w:rPr>
          <w:color w:val="030303"/>
          <w:spacing w:val="-16"/>
          <w:w w:val="85"/>
          <w:position w:val="-10"/>
          <w:sz w:val="13"/>
        </w:rPr>
        <w:t>&gt;,</w:t>
      </w:r>
    </w:p>
    <w:p>
      <w:pPr>
        <w:tabs>
          <w:tab w:val="left" w:leader="none" w:pos="2136"/>
        </w:tabs>
        <w:spacing w:before="0" w:line="118" w:lineRule="exact"/>
        <w:ind w:left="1708" w:right="0" w:firstLine="0"/>
        <w:jc w:val="left"/>
        <w:rPr>
          <w:sz w:val="18"/>
        </w:rPr>
      </w:pPr>
      <w:r>
        <w:rPr/>
        <w:br w:type="column"/>
      </w:r>
      <w:r>
        <w:rPr>
          <w:b/>
          <w:color w:val="030303"/>
          <w:spacing w:val="-10"/>
          <w:w w:val="85"/>
          <w:sz w:val="13"/>
        </w:rPr>
        <w:t>C</w:t>
      </w:r>
      <w:r>
        <w:rPr>
          <w:b/>
          <w:color w:val="030303"/>
          <w:sz w:val="13"/>
        </w:rPr>
        <w:tab/>
      </w:r>
      <w:r>
        <w:rPr>
          <w:color w:val="030303"/>
          <w:spacing w:val="-4"/>
          <w:w w:val="85"/>
          <w:position w:val="1"/>
          <w:sz w:val="18"/>
        </w:rPr>
        <w:t>:::,</w:t>
      </w:r>
    </w:p>
    <w:p>
      <w:pPr>
        <w:spacing w:after="0" w:line="118" w:lineRule="exact"/>
        <w:jc w:val="left"/>
        <w:rPr>
          <w:sz w:val="18"/>
        </w:rPr>
        <w:sectPr>
          <w:type w:val="continuous"/>
          <w:pgSz w:w="16830" w:h="11910" w:orient="landscape"/>
          <w:pgMar w:top="1940" w:right="480" w:bottom="280" w:left="740" w:header="0" w:footer="0"/>
          <w:cols w:equalWidth="0" w:num="3">
            <w:col w:w="6799" w:space="40"/>
            <w:col w:w="3274" w:space="39"/>
            <w:col w:w="5458"/>
          </w:cols>
        </w:sectPr>
      </w:pPr>
    </w:p>
    <w:p>
      <w:pPr>
        <w:spacing w:before="0" w:line="54" w:lineRule="exact"/>
        <w:ind w:left="0" w:right="0" w:firstLine="0"/>
        <w:jc w:val="right"/>
        <w:rPr>
          <w:b/>
          <w:sz w:val="15"/>
        </w:rPr>
      </w:pPr>
      <w:r>
        <w:rPr/>
        <ve:AlternateContent>
          <ve:Choice Requires="wps">
            <w:drawing>
              <wp:anchor distT="0" distB="0" distL="0" distR="0" simplePos="0" relativeHeight="475894272" behindDoc="1" locked="0" layoutInCell="1" allowOverlap="1">
                <wp:simplePos x="0" y="0"/>
                <wp:positionH relativeFrom="page">
                  <wp:posOffset>6991001</wp:posOffset>
                </wp:positionH>
                <wp:positionV relativeFrom="paragraph">
                  <wp:posOffset>145625</wp:posOffset>
                </wp:positionV>
                <wp:extent cx="80645" cy="71120"/>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80645" cy="71120"/>
                        </a:xfrm>
                        <a:prstGeom prst="rect">
                          <a:avLst/>
                        </a:prstGeom>
                      </wps:spPr>
                      <wps:txbx>
                        <w:txbxContent>
                          <w:p>
                            <w:pPr>
                              <w:spacing w:before="0" w:line="112" w:lineRule="exact"/>
                              <w:ind w:left="0" w:right="0" w:firstLine="0"/>
                              <w:jc w:val="left"/>
                              <w:rPr>
                                <w:b/>
                                <w:sz w:val="10"/>
                              </w:rPr>
                            </w:pPr>
                            <w:r>
                              <w:rPr>
                                <w:b/>
                                <w:color w:val="030303"/>
                                <w:spacing w:val="-7"/>
                                <w:sz w:val="10"/>
                              </w:rPr>
                              <w:t>Cl)</w:t>
                            </w:r>
                          </w:p>
                        </w:txbxContent>
                      </wps:txbx>
                      <wps:bodyPr wrap="square" lIns="0" tIns="0" rIns="0" bIns="0" rtlCol="0">
                        <a:noAutofit/>
                      </wps:bodyPr>
                    </wps:wsp>
                  </a:graphicData>
                </a:graphic>
              </wp:anchor>
            </w:drawing>
          </ve:Choice>
          <ve:Fallback>
            <w:pict>
              <v:shape id="docshape164" style="position:absolute;margin-left:550.472595pt;margin-top:11.466544pt;width:6.35pt;height:5.6pt;mso-position-horizontal-relative:page;mso-position-vertical-relative:paragraph;z-index:-27422208" filled="false" stroked="false" type="#_x0000_t202">
                <v:textbox inset="0,0,0,0">
                  <w:txbxContent>
                    <w:p>
                      <w:pPr>
                        <w:spacing w:before="0" w:line="112" w:lineRule="exact"/>
                        <w:ind w:left="0" w:right="0" w:firstLine="0"/>
                        <w:jc w:val="left"/>
                        <w:rPr>
                          <w:b/>
                          <w:sz w:val="10"/>
                        </w:rPr>
                      </w:pPr>
                      <w:r>
                        <w:rPr>
                          <w:b/>
                          <w:color w:val="030303"/>
                          <w:spacing w:val="-7"/>
                          <w:sz w:val="10"/>
                        </w:rPr>
                        <w:t>Cl)</w:t>
                      </w:r>
                    </w:p>
                  </w:txbxContent>
                </v:textbox>
                <w10:wrap type="none"/>
              </v:shape>
            </w:pict>
          </ve:Fallback>
        </ve:AlternateContent>
      </w:r>
      <w:r>
        <w:rPr>
          <w:b/>
          <w:color w:val="030303"/>
          <w:sz w:val="10"/>
        </w:rPr>
        <w:t>Cl)</w:t>
      </w:r>
      <w:r>
        <w:rPr>
          <w:b/>
          <w:color w:val="030303"/>
          <w:spacing w:val="25"/>
          <w:sz w:val="10"/>
        </w:rPr>
        <w:t> </w:t>
      </w:r>
      <w:r>
        <w:rPr>
          <w:b/>
          <w:color w:val="030303"/>
          <w:spacing w:val="-12"/>
          <w:sz w:val="15"/>
        </w:rPr>
        <w:t>0</w:t>
      </w:r>
    </w:p>
    <w:p>
      <w:pPr>
        <w:spacing w:before="0" w:line="173" w:lineRule="exact"/>
        <w:ind w:left="0" w:right="0" w:firstLine="0"/>
        <w:jc w:val="right"/>
        <w:rPr>
          <w:b/>
          <w:sz w:val="12"/>
        </w:rPr>
      </w:pPr>
      <w:r>
        <w:rPr/>
        <w:br w:type="column"/>
      </w:r>
      <w:r>
        <w:rPr>
          <w:b/>
          <w:color w:val="030303"/>
          <w:spacing w:val="-5"/>
          <w:sz w:val="12"/>
        </w:rPr>
        <w:t>::I</w:t>
      </w:r>
    </w:p>
    <w:p>
      <w:pPr>
        <w:tabs>
          <w:tab w:val="left" w:leader="none" w:pos="2011"/>
        </w:tabs>
        <w:spacing w:before="0" w:line="72" w:lineRule="exact"/>
        <w:ind w:left="1261" w:right="0" w:firstLine="0"/>
        <w:jc w:val="left"/>
        <w:rPr>
          <w:b/>
          <w:sz w:val="18"/>
        </w:rPr>
      </w:pPr>
      <w:r>
        <w:rPr/>
        <w:br w:type="column"/>
      </w:r>
      <w:r>
        <w:rPr>
          <w:rFonts w:ascii="Times New Roman"/>
          <w:b/>
          <w:color w:val="030303"/>
          <w:spacing w:val="-5"/>
          <w:w w:val="90"/>
          <w:position w:val="6"/>
          <w:sz w:val="19"/>
        </w:rPr>
        <w:t>ns</w:t>
      </w:r>
      <w:r>
        <w:rPr>
          <w:rFonts w:ascii="Times New Roman"/>
          <w:b/>
          <w:color w:val="030303"/>
          <w:position w:val="6"/>
          <w:sz w:val="19"/>
        </w:rPr>
        <w:tab/>
      </w:r>
      <w:r>
        <w:rPr>
          <w:b/>
          <w:color w:val="030303"/>
          <w:spacing w:val="-6"/>
          <w:w w:val="90"/>
          <w:sz w:val="18"/>
        </w:rPr>
        <w:t>t::</w:t>
      </w:r>
    </w:p>
    <w:p>
      <w:pPr>
        <w:spacing w:before="0" w:line="197" w:lineRule="exact"/>
        <w:ind w:left="0" w:right="0" w:firstLine="0"/>
        <w:jc w:val="right"/>
        <w:rPr>
          <w:b/>
          <w:sz w:val="10"/>
        </w:rPr>
      </w:pPr>
      <w:r>
        <w:rPr/>
        <w:br w:type="column"/>
      </w:r>
      <w:r>
        <w:rPr>
          <w:b/>
          <w:color w:val="030303"/>
          <w:spacing w:val="-5"/>
          <w:sz w:val="10"/>
        </w:rPr>
        <w:t>Cl)</w:t>
      </w:r>
    </w:p>
    <w:p>
      <w:pPr>
        <w:spacing w:before="0" w:line="10" w:lineRule="exact"/>
        <w:ind w:left="591" w:right="0" w:firstLine="0"/>
        <w:jc w:val="left"/>
        <w:rPr>
          <w:rFonts w:ascii="Times New Roman"/>
          <w:sz w:val="24"/>
        </w:rPr>
      </w:pPr>
      <w:r>
        <w:rPr/>
        <w:br w:type="column"/>
      </w:r>
      <w:r>
        <w:rPr>
          <w:color w:val="030303"/>
          <w:w w:val="70"/>
          <w:sz w:val="22"/>
        </w:rPr>
        <w:t>_g</w:t>
      </w:r>
      <w:r>
        <w:rPr>
          <w:color w:val="030303"/>
          <w:spacing w:val="-7"/>
          <w:sz w:val="22"/>
        </w:rPr>
        <w:t> </w:t>
      </w:r>
      <w:r>
        <w:rPr>
          <w:rFonts w:ascii="Times New Roman"/>
          <w:color w:val="030303"/>
          <w:spacing w:val="-5"/>
          <w:w w:val="70"/>
          <w:sz w:val="24"/>
        </w:rPr>
        <w:t>'Eu</w:t>
      </w:r>
    </w:p>
    <w:p>
      <w:pPr>
        <w:spacing w:after="0" w:line="10" w:lineRule="exact"/>
        <w:jc w:val="left"/>
        <w:rPr>
          <w:rFonts w:ascii="Times New Roman"/>
          <w:sz w:val="24"/>
        </w:rPr>
        <w:sectPr>
          <w:type w:val="continuous"/>
          <w:pgSz w:w="16830" w:h="11910" w:orient="landscape"/>
          <w:pgMar w:top="1940" w:right="480" w:bottom="280" w:left="740" w:header="0" w:footer="0"/>
          <w:cols w:equalWidth="0" w:num="5">
            <w:col w:w="6716" w:space="40"/>
            <w:col w:w="1201" w:space="39"/>
            <w:col w:w="2170" w:space="39"/>
            <w:col w:w="994" w:space="40"/>
            <w:col w:w="4371"/>
          </w:cols>
        </w:sectPr>
      </w:pPr>
    </w:p>
    <w:p>
      <w:pPr>
        <w:tabs>
          <w:tab w:val="left" w:leader="none" w:pos="962"/>
        </w:tabs>
        <w:spacing w:before="28" w:line="77" w:lineRule="exact"/>
        <w:ind w:left="0" w:right="0" w:firstLine="0"/>
        <w:jc w:val="right"/>
        <w:rPr>
          <w:b/>
          <w:sz w:val="10"/>
        </w:rPr>
      </w:pPr>
      <w:r>
        <w:rPr>
          <w:color w:val="030303"/>
          <w:spacing w:val="-5"/>
          <w:w w:val="90"/>
          <w:position w:val="-3"/>
          <w:sz w:val="18"/>
        </w:rPr>
        <w:t>10</w:t>
      </w:r>
      <w:r>
        <w:rPr>
          <w:color w:val="030303"/>
          <w:position w:val="-3"/>
          <w:sz w:val="18"/>
        </w:rPr>
        <w:tab/>
      </w:r>
      <w:r>
        <w:rPr>
          <w:b/>
          <w:color w:val="030303"/>
          <w:spacing w:val="-5"/>
          <w:w w:val="90"/>
          <w:sz w:val="10"/>
        </w:rPr>
        <w:t>Cl)</w:t>
      </w:r>
    </w:p>
    <w:p>
      <w:pPr>
        <w:spacing w:before="0" w:line="105" w:lineRule="exact"/>
        <w:ind w:left="249" w:right="0" w:firstLine="0"/>
        <w:jc w:val="left"/>
        <w:rPr>
          <w:sz w:val="40"/>
        </w:rPr>
      </w:pPr>
      <w:r>
        <w:rPr/>
        <w:br w:type="column"/>
      </w:r>
      <w:r>
        <w:rPr>
          <w:color w:val="030303"/>
          <w:spacing w:val="-5"/>
          <w:w w:val="55"/>
          <w:sz w:val="40"/>
        </w:rPr>
        <w:t>...</w:t>
      </w:r>
    </w:p>
    <w:p>
      <w:pPr>
        <w:spacing w:before="0" w:line="105" w:lineRule="exact"/>
        <w:ind w:left="382" w:right="0" w:firstLine="0"/>
        <w:jc w:val="left"/>
        <w:rPr>
          <w:rFonts w:ascii="Times New Roman"/>
          <w:i/>
          <w:sz w:val="35"/>
        </w:rPr>
      </w:pPr>
      <w:r>
        <w:rPr/>
        <w:br w:type="column"/>
      </w:r>
      <w:r>
        <w:rPr>
          <w:color w:val="030303"/>
          <w:w w:val="105"/>
          <w:sz w:val="18"/>
        </w:rPr>
        <w:t>t::</w:t>
      </w:r>
      <w:r>
        <w:rPr>
          <w:color w:val="030303"/>
          <w:spacing w:val="3"/>
          <w:w w:val="105"/>
          <w:sz w:val="18"/>
        </w:rPr>
        <w:t> </w:t>
      </w:r>
      <w:r>
        <w:rPr>
          <w:rFonts w:ascii="Times New Roman"/>
          <w:i/>
          <w:color w:val="030303"/>
          <w:spacing w:val="-25"/>
          <w:w w:val="105"/>
          <w:sz w:val="35"/>
        </w:rPr>
        <w:t>8</w:t>
      </w:r>
    </w:p>
    <w:p>
      <w:pPr>
        <w:tabs>
          <w:tab w:val="left" w:leader="none" w:pos="1214"/>
        </w:tabs>
        <w:spacing w:before="46" w:line="59" w:lineRule="exact"/>
        <w:ind w:left="432" w:right="0" w:firstLine="0"/>
        <w:jc w:val="left"/>
        <w:rPr>
          <w:rFonts w:ascii="Times New Roman"/>
          <w:b/>
          <w:sz w:val="19"/>
        </w:rPr>
      </w:pPr>
      <w:r>
        <w:rPr/>
        <w:br w:type="column"/>
      </w:r>
      <w:r>
        <w:rPr>
          <w:b/>
          <w:color w:val="030303"/>
          <w:w w:val="95"/>
          <w:sz w:val="10"/>
        </w:rPr>
        <w:t>Cl)</w:t>
      </w:r>
      <w:r>
        <w:rPr>
          <w:b/>
          <w:color w:val="030303"/>
          <w:spacing w:val="69"/>
          <w:w w:val="150"/>
          <w:sz w:val="10"/>
        </w:rPr>
        <w:t> </w:t>
      </w:r>
      <w:r>
        <w:rPr>
          <w:b/>
          <w:color w:val="030303"/>
          <w:spacing w:val="-5"/>
          <w:w w:val="90"/>
          <w:sz w:val="10"/>
        </w:rPr>
        <w:t>Cl)</w:t>
      </w:r>
      <w:r>
        <w:rPr>
          <w:b/>
          <w:color w:val="030303"/>
          <w:sz w:val="10"/>
        </w:rPr>
        <w:tab/>
      </w:r>
      <w:r>
        <w:rPr>
          <w:rFonts w:ascii="Times New Roman"/>
          <w:b/>
          <w:color w:val="030303"/>
          <w:w w:val="80"/>
          <w:sz w:val="19"/>
        </w:rPr>
        <w:t>ns</w:t>
      </w:r>
      <w:r>
        <w:rPr>
          <w:rFonts w:ascii="Times New Roman"/>
          <w:b/>
          <w:color w:val="030303"/>
          <w:spacing w:val="6"/>
          <w:sz w:val="19"/>
        </w:rPr>
        <w:t> </w:t>
      </w:r>
      <w:r>
        <w:rPr>
          <w:rFonts w:ascii="Times New Roman"/>
          <w:b/>
          <w:color w:val="030303"/>
          <w:spacing w:val="-10"/>
          <w:w w:val="80"/>
          <w:sz w:val="19"/>
        </w:rPr>
        <w:t>...</w:t>
      </w:r>
    </w:p>
    <w:p>
      <w:pPr>
        <w:spacing w:before="0" w:line="105" w:lineRule="exact"/>
        <w:ind w:left="439" w:right="0" w:firstLine="0"/>
        <w:jc w:val="left"/>
        <w:rPr>
          <w:sz w:val="40"/>
        </w:rPr>
      </w:pPr>
      <w:r>
        <w:rPr/>
        <w:br w:type="column"/>
      </w:r>
      <w:r>
        <w:rPr>
          <w:color w:val="030303"/>
          <w:w w:val="50"/>
          <w:sz w:val="32"/>
        </w:rPr>
        <w:t>...</w:t>
      </w:r>
      <w:r>
        <w:rPr>
          <w:color w:val="030303"/>
          <w:spacing w:val="-25"/>
          <w:sz w:val="32"/>
        </w:rPr>
        <w:t> </w:t>
      </w:r>
      <w:r>
        <w:rPr>
          <w:color w:val="030303"/>
          <w:spacing w:val="-6"/>
          <w:w w:val="55"/>
          <w:sz w:val="40"/>
        </w:rPr>
        <w:t>...</w:t>
      </w:r>
    </w:p>
    <w:p>
      <w:pPr>
        <w:spacing w:before="11" w:line="94" w:lineRule="exact"/>
        <w:ind w:left="592" w:right="0" w:firstLine="0"/>
        <w:jc w:val="left"/>
        <w:rPr>
          <w:b/>
          <w:sz w:val="13"/>
        </w:rPr>
      </w:pPr>
      <w:r>
        <w:rPr/>
        <w:br w:type="column"/>
      </w:r>
      <w:r>
        <w:rPr>
          <w:color w:val="030303"/>
          <w:sz w:val="13"/>
        </w:rPr>
        <w:t>.,.</w:t>
      </w:r>
      <w:r>
        <w:rPr>
          <w:color w:val="030303"/>
          <w:spacing w:val="70"/>
          <w:w w:val="150"/>
          <w:sz w:val="13"/>
        </w:rPr>
        <w:t> </w:t>
      </w:r>
      <w:r>
        <w:rPr>
          <w:b/>
          <w:color w:val="030303"/>
          <w:sz w:val="13"/>
        </w:rPr>
        <w:t>G&gt;</w:t>
      </w:r>
      <w:r>
        <w:rPr>
          <w:b/>
          <w:color w:val="030303"/>
          <w:spacing w:val="18"/>
          <w:sz w:val="13"/>
        </w:rPr>
        <w:t> </w:t>
      </w:r>
      <w:r>
        <w:rPr>
          <w:b/>
          <w:color w:val="030303"/>
          <w:spacing w:val="-5"/>
          <w:sz w:val="13"/>
        </w:rPr>
        <w:t>LL</w:t>
      </w:r>
    </w:p>
    <w:p>
      <w:pPr>
        <w:spacing w:after="0" w:line="94" w:lineRule="exact"/>
        <w:jc w:val="left"/>
        <w:rPr>
          <w:sz w:val="13"/>
        </w:rPr>
        <w:sectPr>
          <w:type w:val="continuous"/>
          <w:pgSz w:w="16830" w:h="11910" w:orient="landscape"/>
          <w:pgMar w:top="1940" w:right="480" w:bottom="280" w:left="740" w:header="0" w:footer="0"/>
          <w:cols w:equalWidth="0" w:num="6">
            <w:col w:w="7506" w:space="40"/>
            <w:col w:w="433" w:space="39"/>
            <w:col w:w="765" w:space="39"/>
            <w:col w:w="1511" w:space="40"/>
            <w:col w:w="816" w:space="39"/>
            <w:col w:w="4382"/>
          </w:cols>
        </w:sectPr>
      </w:pPr>
    </w:p>
    <w:p>
      <w:pPr>
        <w:spacing w:before="54" w:line="39" w:lineRule="exact"/>
        <w:ind w:left="0" w:right="0" w:firstLine="0"/>
        <w:jc w:val="right"/>
        <w:rPr>
          <w:b/>
          <w:sz w:val="13"/>
        </w:rPr>
      </w:pPr>
      <w:r>
        <w:rPr/>
        <ve:AlternateContent>
          <ve:Choice Requires="wps">
            <w:drawing>
              <wp:anchor distT="0" distB="0" distL="0" distR="0" simplePos="0" relativeHeight="15783936" behindDoc="0" locked="0" layoutInCell="1" allowOverlap="1">
                <wp:simplePos x="0" y="0"/>
                <wp:positionH relativeFrom="page">
                  <wp:posOffset>8918422</wp:posOffset>
                </wp:positionH>
                <wp:positionV relativeFrom="paragraph">
                  <wp:posOffset>97202</wp:posOffset>
                </wp:positionV>
                <wp:extent cx="70485" cy="71120"/>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70485" cy="71120"/>
                        </a:xfrm>
                        <a:prstGeom prst="rect">
                          <a:avLst/>
                        </a:prstGeom>
                      </wps:spPr>
                      <wps:txbx>
                        <w:txbxContent>
                          <w:p>
                            <w:pPr>
                              <w:spacing w:before="0" w:line="112" w:lineRule="exact"/>
                              <w:ind w:left="0" w:right="0" w:firstLine="0"/>
                              <w:jc w:val="left"/>
                              <w:rPr>
                                <w:b/>
                                <w:sz w:val="10"/>
                              </w:rPr>
                            </w:pPr>
                            <w:r>
                              <w:rPr>
                                <w:b/>
                                <w:color w:val="030303"/>
                                <w:spacing w:val="-7"/>
                                <w:sz w:val="10"/>
                              </w:rPr>
                              <w:t>Q)</w:t>
                            </w:r>
                          </w:p>
                        </w:txbxContent>
                      </wps:txbx>
                      <wps:bodyPr wrap="square" lIns="0" tIns="0" rIns="0" bIns="0" rtlCol="0">
                        <a:noAutofit/>
                      </wps:bodyPr>
                    </wps:wsp>
                  </a:graphicData>
                </a:graphic>
              </wp:anchor>
            </w:drawing>
          </ve:Choice>
          <ve:Fallback>
            <w:pict>
              <v:shape id="docshape165" style="position:absolute;margin-left:702.237976pt;margin-top:7.653743pt;width:5.55pt;height:5.6pt;mso-position-horizontal-relative:page;mso-position-vertical-relative:paragraph;z-index:15783936" filled="false" stroked="false" type="#_x0000_t202">
                <v:textbox inset="0,0,0,0">
                  <w:txbxContent>
                    <w:p>
                      <w:pPr>
                        <w:spacing w:before="0" w:line="112" w:lineRule="exact"/>
                        <w:ind w:left="0" w:right="0" w:firstLine="0"/>
                        <w:jc w:val="left"/>
                        <w:rPr>
                          <w:b/>
                          <w:sz w:val="10"/>
                        </w:rPr>
                      </w:pPr>
                      <w:r>
                        <w:rPr>
                          <w:b/>
                          <w:color w:val="030303"/>
                          <w:spacing w:val="-7"/>
                          <w:sz w:val="10"/>
                        </w:rPr>
                        <w:t>Q)</w:t>
                      </w:r>
                    </w:p>
                  </w:txbxContent>
                </v:textbox>
                <w10:wrap type="none"/>
              </v:shape>
            </w:pict>
          </ve:Fallback>
        </ve:AlternateContent>
      </w:r>
      <w:r>
        <w:rPr>
          <w:b/>
          <w:color w:val="030303"/>
          <w:spacing w:val="-2"/>
          <w:w w:val="150"/>
          <w:sz w:val="13"/>
        </w:rPr>
        <w:t>&gt;-</w:t>
      </w:r>
      <w:r>
        <w:rPr>
          <w:b/>
          <w:color w:val="030303"/>
          <w:spacing w:val="-5"/>
          <w:w w:val="150"/>
          <w:sz w:val="13"/>
        </w:rPr>
        <w:t>'C</w:t>
      </w:r>
    </w:p>
    <w:p>
      <w:pPr>
        <w:tabs>
          <w:tab w:val="left" w:leader="none" w:pos="972"/>
          <w:tab w:val="left" w:leader="none" w:pos="1535"/>
        </w:tabs>
        <w:spacing w:before="70" w:line="12" w:lineRule="exact"/>
        <w:ind w:left="542" w:right="0" w:firstLine="0"/>
        <w:jc w:val="left"/>
        <w:rPr>
          <w:b/>
          <w:sz w:val="13"/>
        </w:rPr>
      </w:pPr>
      <w:r>
        <w:rPr/>
        <w:br w:type="column"/>
      </w:r>
      <w:r>
        <w:rPr>
          <w:b/>
          <w:color w:val="030303"/>
          <w:spacing w:val="-5"/>
          <w:w w:val="105"/>
          <w:sz w:val="10"/>
        </w:rPr>
        <w:t>Q)</w:t>
      </w:r>
      <w:r>
        <w:rPr>
          <w:b/>
          <w:color w:val="030303"/>
          <w:sz w:val="10"/>
        </w:rPr>
        <w:tab/>
      </w:r>
      <w:r>
        <w:rPr>
          <w:color w:val="030303"/>
          <w:spacing w:val="-5"/>
          <w:w w:val="105"/>
          <w:sz w:val="10"/>
        </w:rPr>
        <w:t>·-</w:t>
      </w:r>
      <w:r>
        <w:rPr>
          <w:color w:val="030303"/>
          <w:sz w:val="10"/>
        </w:rPr>
        <w:tab/>
      </w:r>
      <w:r>
        <w:rPr>
          <w:b/>
          <w:color w:val="030303"/>
          <w:w w:val="105"/>
          <w:position w:val="-2"/>
          <w:sz w:val="15"/>
        </w:rPr>
        <w:t>0</w:t>
      </w:r>
      <w:r>
        <w:rPr>
          <w:b/>
          <w:color w:val="030303"/>
          <w:spacing w:val="114"/>
          <w:w w:val="105"/>
          <w:position w:val="-2"/>
          <w:sz w:val="15"/>
        </w:rPr>
        <w:t> </w:t>
      </w:r>
      <w:r>
        <w:rPr>
          <w:b/>
          <w:color w:val="030303"/>
          <w:spacing w:val="-5"/>
          <w:w w:val="105"/>
          <w:position w:val="-2"/>
          <w:sz w:val="13"/>
        </w:rPr>
        <w:t>'</w:t>
      </w:r>
      <w:r>
        <w:rPr>
          <w:b/>
          <w:color w:val="030303"/>
          <w:spacing w:val="-5"/>
          <w:w w:val="105"/>
          <w:position w:val="-2"/>
          <w:sz w:val="13"/>
        </w:rPr>
        <w:t>C</w:t>
      </w:r>
    </w:p>
    <w:p>
      <w:pPr>
        <w:spacing w:before="60" w:line="43" w:lineRule="exact"/>
        <w:ind w:left="457" w:right="0" w:firstLine="0"/>
        <w:jc w:val="left"/>
        <w:rPr>
          <w:b/>
          <w:sz w:val="10"/>
        </w:rPr>
      </w:pPr>
      <w:r>
        <w:rPr/>
        <w:br w:type="column"/>
      </w:r>
      <w:r>
        <w:rPr>
          <w:b/>
          <w:color w:val="030303"/>
          <w:sz w:val="10"/>
        </w:rPr>
        <w:t>Q)</w:t>
      </w:r>
      <w:r>
        <w:rPr>
          <w:b/>
          <w:color w:val="030303"/>
          <w:spacing w:val="95"/>
          <w:sz w:val="10"/>
        </w:rPr>
        <w:t> </w:t>
      </w:r>
      <w:r>
        <w:rPr>
          <w:b/>
          <w:color w:val="030303"/>
          <w:spacing w:val="-10"/>
          <w:sz w:val="10"/>
        </w:rPr>
        <w:t>Q)</w:t>
      </w:r>
    </w:p>
    <w:p>
      <w:pPr>
        <w:spacing w:before="54"/>
        <w:ind w:left="0" w:right="0" w:firstLine="0"/>
        <w:jc w:val="right"/>
        <w:rPr>
          <w:b/>
          <w:sz w:val="13"/>
        </w:rPr>
      </w:pPr>
      <w:r>
        <w:rPr/>
        <w:br w:type="column"/>
      </w:r>
      <w:r>
        <w:rPr>
          <w:b/>
          <w:color w:val="030303"/>
          <w:sz w:val="10"/>
        </w:rPr>
        <w:t>Q)</w:t>
      </w:r>
      <w:r>
        <w:rPr>
          <w:b/>
          <w:color w:val="030303"/>
          <w:spacing w:val="35"/>
          <w:sz w:val="10"/>
        </w:rPr>
        <w:t>  </w:t>
      </w:r>
      <w:r>
        <w:rPr>
          <w:b/>
          <w:color w:val="030303"/>
          <w:spacing w:val="-10"/>
          <w:sz w:val="13"/>
        </w:rPr>
        <w:t>C</w:t>
      </w:r>
    </w:p>
    <w:p>
      <w:pPr>
        <w:spacing w:before="0" w:line="83" w:lineRule="exact"/>
        <w:ind w:left="600" w:right="0" w:firstLine="0"/>
        <w:jc w:val="left"/>
        <w:rPr>
          <w:sz w:val="14"/>
        </w:rPr>
      </w:pPr>
      <w:r>
        <w:rPr/>
        <w:br w:type="column"/>
      </w:r>
      <w:r>
        <w:rPr>
          <w:color w:val="030303"/>
          <w:w w:val="85"/>
          <w:sz w:val="20"/>
        </w:rPr>
        <w:t>.!!</w:t>
      </w:r>
      <w:r>
        <w:rPr>
          <w:color w:val="030303"/>
          <w:spacing w:val="41"/>
          <w:sz w:val="20"/>
        </w:rPr>
        <w:t> </w:t>
      </w:r>
      <w:r>
        <w:rPr>
          <w:color w:val="030303"/>
          <w:sz w:val="20"/>
        </w:rPr>
        <w:t>E</w:t>
      </w:r>
      <w:r>
        <w:rPr>
          <w:color w:val="030303"/>
          <w:spacing w:val="48"/>
          <w:sz w:val="20"/>
        </w:rPr>
        <w:t> </w:t>
      </w:r>
      <w:r>
        <w:rPr>
          <w:color w:val="030303"/>
          <w:spacing w:val="-5"/>
          <w:sz w:val="14"/>
        </w:rPr>
        <w:t>LL</w:t>
      </w:r>
    </w:p>
    <w:p>
      <w:pPr>
        <w:spacing w:after="0" w:line="83" w:lineRule="exact"/>
        <w:jc w:val="left"/>
        <w:rPr>
          <w:sz w:val="14"/>
        </w:rPr>
        <w:sectPr>
          <w:type w:val="continuous"/>
          <w:pgSz w:w="16830" w:h="11910" w:orient="landscape"/>
          <w:pgMar w:top="1940" w:right="480" w:bottom="280" w:left="740" w:header="0" w:footer="0"/>
          <w:cols w:equalWidth="0" w:num="5">
            <w:col w:w="6807" w:space="40"/>
            <w:col w:w="1916" w:space="39"/>
            <w:col w:w="795" w:space="39"/>
            <w:col w:w="1533" w:space="40"/>
            <w:col w:w="4401"/>
          </w:cols>
        </w:sectPr>
      </w:pPr>
    </w:p>
    <w:p>
      <w:pPr>
        <w:spacing w:before="0" w:line="92" w:lineRule="exact"/>
        <w:ind w:left="0" w:right="1" w:firstLine="0"/>
        <w:jc w:val="right"/>
        <w:rPr>
          <w:b/>
          <w:sz w:val="10"/>
        </w:rPr>
      </w:pPr>
      <w:r>
        <w:rPr>
          <w:rFonts w:ascii="Times New Roman"/>
          <w:color w:val="030303"/>
          <w:spacing w:val="-86"/>
          <w:w w:val="95"/>
          <w:sz w:val="39"/>
        </w:rPr>
        <w:t>-</w:t>
      </w:r>
      <w:r>
        <w:rPr>
          <w:b/>
          <w:color w:val="030303"/>
          <w:w w:val="95"/>
          <w:position w:val="10"/>
          <w:sz w:val="15"/>
        </w:rPr>
        <w:t>0</w:t>
      </w:r>
      <w:r>
        <w:rPr>
          <w:b/>
          <w:color w:val="030303"/>
          <w:spacing w:val="60"/>
          <w:position w:val="10"/>
          <w:sz w:val="15"/>
        </w:rPr>
        <w:t> </w:t>
      </w:r>
      <w:r>
        <w:rPr>
          <w:color w:val="030303"/>
          <w:spacing w:val="19"/>
          <w:w w:val="74"/>
          <w:sz w:val="40"/>
        </w:rPr>
        <w:t>.</w:t>
      </w:r>
      <w:r>
        <w:rPr>
          <w:color w:val="030303"/>
          <w:spacing w:val="-42"/>
          <w:w w:val="74"/>
          <w:sz w:val="40"/>
        </w:rPr>
        <w:t>.</w:t>
      </w:r>
      <w:r>
        <w:rPr>
          <w:b/>
          <w:color w:val="030303"/>
          <w:spacing w:val="-3"/>
          <w:w w:val="126"/>
          <w:position w:val="10"/>
          <w:sz w:val="10"/>
        </w:rPr>
        <w:t>Q</w:t>
      </w:r>
      <w:r>
        <w:rPr>
          <w:color w:val="030303"/>
          <w:spacing w:val="-20"/>
          <w:w w:val="74"/>
          <w:sz w:val="40"/>
        </w:rPr>
        <w:t>.</w:t>
      </w:r>
      <w:r>
        <w:rPr>
          <w:b/>
          <w:color w:val="030303"/>
          <w:spacing w:val="20"/>
          <w:w w:val="126"/>
          <w:position w:val="10"/>
          <w:sz w:val="10"/>
        </w:rPr>
        <w:t>)</w:t>
      </w:r>
    </w:p>
    <w:p>
      <w:pPr>
        <w:spacing w:before="0" w:line="56" w:lineRule="exact"/>
        <w:ind w:left="554" w:right="0" w:firstLine="0"/>
        <w:jc w:val="left"/>
        <w:rPr>
          <w:b/>
          <w:sz w:val="13"/>
        </w:rPr>
      </w:pPr>
      <w:r>
        <w:rPr/>
        <w:br w:type="column"/>
      </w:r>
      <w:r>
        <w:rPr>
          <w:b/>
          <w:color w:val="030303"/>
          <w:sz w:val="10"/>
        </w:rPr>
        <w:t>Cl)</w:t>
      </w:r>
      <w:r>
        <w:rPr>
          <w:b/>
          <w:color w:val="030303"/>
          <w:spacing w:val="36"/>
          <w:sz w:val="10"/>
        </w:rPr>
        <w:t> </w:t>
      </w:r>
      <w:r>
        <w:rPr>
          <w:b/>
          <w:color w:val="030303"/>
          <w:sz w:val="13"/>
        </w:rPr>
        <w:t>'C</w:t>
      </w:r>
      <w:r>
        <w:rPr>
          <w:b/>
          <w:color w:val="030303"/>
          <w:spacing w:val="73"/>
          <w:sz w:val="13"/>
        </w:rPr>
        <w:t> </w:t>
      </w:r>
      <w:r>
        <w:rPr>
          <w:b/>
          <w:color w:val="030303"/>
          <w:spacing w:val="-5"/>
          <w:sz w:val="13"/>
        </w:rPr>
        <w:t>'C</w:t>
      </w:r>
    </w:p>
    <w:p>
      <w:pPr>
        <w:tabs>
          <w:tab w:val="left" w:leader="none" w:pos="790"/>
        </w:tabs>
        <w:spacing w:before="0" w:line="36" w:lineRule="exact"/>
        <w:ind w:left="514" w:right="0" w:firstLine="0"/>
        <w:jc w:val="left"/>
        <w:rPr>
          <w:b/>
          <w:sz w:val="13"/>
        </w:rPr>
      </w:pPr>
      <w:r>
        <w:rPr>
          <w:color w:val="030303"/>
          <w:spacing w:val="-5"/>
          <w:w w:val="105"/>
          <w:sz w:val="10"/>
        </w:rPr>
        <w:t>•-</w:t>
      </w:r>
      <w:r>
        <w:rPr>
          <w:color w:val="030303"/>
          <w:sz w:val="10"/>
        </w:rPr>
        <w:tab/>
      </w:r>
      <w:r>
        <w:rPr>
          <w:b/>
          <w:color w:val="030303"/>
          <w:w w:val="105"/>
          <w:sz w:val="10"/>
        </w:rPr>
        <w:t>Q)</w:t>
      </w:r>
      <w:r>
        <w:rPr>
          <w:b/>
          <w:color w:val="030303"/>
          <w:spacing w:val="72"/>
          <w:w w:val="150"/>
          <w:sz w:val="10"/>
        </w:rPr>
        <w:t> </w:t>
      </w:r>
      <w:r>
        <w:rPr>
          <w:b/>
          <w:color w:val="030303"/>
          <w:spacing w:val="-12"/>
          <w:w w:val="105"/>
          <w:sz w:val="13"/>
        </w:rPr>
        <w:t>C</w:t>
      </w:r>
    </w:p>
    <w:p>
      <w:pPr>
        <w:spacing w:before="0" w:line="125" w:lineRule="exact"/>
        <w:ind w:left="429" w:right="0" w:firstLine="0"/>
        <w:jc w:val="left"/>
        <w:rPr>
          <w:b/>
          <w:sz w:val="10"/>
        </w:rPr>
      </w:pPr>
      <w:r>
        <w:rPr/>
        <w:br w:type="column"/>
      </w:r>
      <w:r>
        <w:rPr>
          <w:b/>
          <w:color w:val="030303"/>
          <w:w w:val="105"/>
          <w:sz w:val="13"/>
        </w:rPr>
        <w:t>C.</w:t>
      </w:r>
      <w:r>
        <w:rPr>
          <w:b/>
          <w:color w:val="030303"/>
          <w:spacing w:val="60"/>
          <w:w w:val="105"/>
          <w:sz w:val="13"/>
        </w:rPr>
        <w:t> </w:t>
      </w:r>
      <w:r>
        <w:rPr>
          <w:b/>
          <w:color w:val="030303"/>
          <w:spacing w:val="-5"/>
          <w:w w:val="105"/>
          <w:sz w:val="10"/>
        </w:rPr>
        <w:t>Q)</w:t>
      </w:r>
    </w:p>
    <w:p>
      <w:pPr>
        <w:spacing w:before="0" w:line="33" w:lineRule="exact"/>
        <w:ind w:left="431" w:right="0" w:firstLine="0"/>
        <w:jc w:val="left"/>
        <w:rPr>
          <w:b/>
          <w:sz w:val="10"/>
        </w:rPr>
      </w:pPr>
      <w:r>
        <w:rPr>
          <w:b/>
          <w:color w:val="030303"/>
          <w:w w:val="110"/>
          <w:sz w:val="10"/>
        </w:rPr>
        <w:t>Cl)</w:t>
      </w:r>
      <w:r>
        <w:rPr>
          <w:b/>
          <w:color w:val="030303"/>
          <w:spacing w:val="18"/>
          <w:w w:val="130"/>
          <w:sz w:val="10"/>
        </w:rPr>
        <w:t> </w:t>
      </w:r>
      <w:r>
        <w:rPr>
          <w:b/>
          <w:color w:val="030303"/>
          <w:spacing w:val="-4"/>
          <w:w w:val="130"/>
          <w:sz w:val="10"/>
        </w:rPr>
        <w:t>....</w:t>
      </w:r>
    </w:p>
    <w:p>
      <w:pPr>
        <w:tabs>
          <w:tab w:val="left" w:leader="none" w:pos="1163"/>
          <w:tab w:val="left" w:leader="none" w:pos="1894"/>
        </w:tabs>
        <w:spacing w:before="0" w:line="92" w:lineRule="exact"/>
        <w:ind w:left="378" w:right="0" w:firstLine="0"/>
        <w:jc w:val="left"/>
        <w:rPr>
          <w:b/>
          <w:sz w:val="10"/>
        </w:rPr>
      </w:pPr>
      <w:r>
        <w:rPr/>
        <w:br w:type="column"/>
      </w:r>
      <w:r>
        <w:rPr>
          <w:color w:val="030303"/>
          <w:spacing w:val="-28"/>
          <w:position w:val="9"/>
          <w:sz w:val="21"/>
        </w:rPr>
        <w:t>=</w:t>
      </w:r>
      <w:r>
        <w:rPr>
          <w:rFonts w:ascii="Times New Roman" w:hAnsi="Times New Roman"/>
          <w:b/>
          <w:color w:val="030303"/>
          <w:spacing w:val="-28"/>
          <w:sz w:val="21"/>
        </w:rPr>
        <w:t>c.·</w:t>
      </w:r>
      <w:r>
        <w:rPr>
          <w:color w:val="030303"/>
          <w:spacing w:val="-28"/>
          <w:position w:val="9"/>
          <w:sz w:val="21"/>
        </w:rPr>
        <w:t>(,</w:t>
      </w:r>
      <w:r>
        <w:rPr>
          <w:rFonts w:ascii="Times New Roman" w:hAnsi="Times New Roman"/>
          <w:b/>
          <w:color w:val="030303"/>
          <w:spacing w:val="-28"/>
          <w:sz w:val="21"/>
        </w:rPr>
        <w:t>-</w:t>
      </w:r>
      <w:r>
        <w:rPr>
          <w:color w:val="030303"/>
          <w:spacing w:val="-10"/>
          <w:w w:val="95"/>
          <w:position w:val="9"/>
          <w:sz w:val="21"/>
        </w:rPr>
        <w:t>)</w:t>
      </w:r>
      <w:r>
        <w:rPr>
          <w:color w:val="030303"/>
          <w:position w:val="9"/>
          <w:sz w:val="21"/>
        </w:rPr>
        <w:tab/>
      </w:r>
      <w:r>
        <w:rPr>
          <w:color w:val="030303"/>
          <w:position w:val="18"/>
          <w:sz w:val="15"/>
        </w:rPr>
        <w:t>0..</w:t>
      </w:r>
      <w:r>
        <w:rPr>
          <w:color w:val="030303"/>
          <w:spacing w:val="51"/>
          <w:position w:val="18"/>
          <w:sz w:val="15"/>
        </w:rPr>
        <w:t> </w:t>
      </w:r>
      <w:r>
        <w:rPr>
          <w:color w:val="030303"/>
          <w:spacing w:val="-10"/>
          <w:position w:val="18"/>
          <w:sz w:val="15"/>
        </w:rPr>
        <w:t>;</w:t>
      </w:r>
      <w:r>
        <w:rPr>
          <w:color w:val="030303"/>
          <w:position w:val="18"/>
          <w:sz w:val="15"/>
        </w:rPr>
        <w:tab/>
      </w:r>
      <w:r>
        <w:rPr>
          <w:color w:val="030303"/>
          <w:w w:val="85"/>
          <w:position w:val="7"/>
          <w:sz w:val="10"/>
        </w:rPr>
        <w:t>-</w:t>
      </w:r>
      <w:r>
        <w:rPr>
          <w:color w:val="030303"/>
          <w:spacing w:val="27"/>
          <w:position w:val="7"/>
          <w:sz w:val="10"/>
        </w:rPr>
        <w:t> </w:t>
      </w:r>
      <w:r>
        <w:rPr>
          <w:b/>
          <w:color w:val="030303"/>
          <w:w w:val="85"/>
          <w:sz w:val="18"/>
        </w:rPr>
        <w:t>en</w:t>
      </w:r>
      <w:r>
        <w:rPr>
          <w:b/>
          <w:color w:val="030303"/>
          <w:spacing w:val="18"/>
          <w:sz w:val="18"/>
        </w:rPr>
        <w:t> </w:t>
      </w:r>
      <w:r>
        <w:rPr>
          <w:b/>
          <w:color w:val="030303"/>
          <w:spacing w:val="-134"/>
          <w:w w:val="112"/>
          <w:sz w:val="20"/>
        </w:rPr>
        <w:t>E</w:t>
      </w:r>
      <w:r>
        <w:rPr>
          <w:b/>
          <w:color w:val="030303"/>
          <w:spacing w:val="-11"/>
          <w:w w:val="71"/>
          <w:position w:val="7"/>
          <w:sz w:val="10"/>
        </w:rPr>
        <w:t>Q</w:t>
      </w:r>
      <w:r>
        <w:rPr>
          <w:b/>
          <w:color w:val="030303"/>
          <w:spacing w:val="-10"/>
          <w:w w:val="71"/>
          <w:position w:val="7"/>
          <w:sz w:val="10"/>
        </w:rPr>
        <w:t>)</w:t>
      </w:r>
    </w:p>
    <w:p>
      <w:pPr>
        <w:spacing w:before="58" w:line="7" w:lineRule="auto"/>
        <w:ind w:left="662" w:right="0" w:firstLine="0"/>
        <w:jc w:val="left"/>
        <w:rPr>
          <w:sz w:val="15"/>
        </w:rPr>
      </w:pPr>
      <w:r>
        <w:rPr/>
        <w:br w:type="column"/>
      </w:r>
      <w:r>
        <w:rPr>
          <w:color w:val="030303"/>
          <w:spacing w:val="-126"/>
          <w:w w:val="81"/>
          <w:position w:val="-15"/>
          <w:sz w:val="30"/>
        </w:rPr>
        <w:t>e</w:t>
      </w:r>
      <w:r>
        <w:rPr>
          <w:color w:val="030303"/>
          <w:spacing w:val="10"/>
          <w:w w:val="92"/>
          <w:sz w:val="15"/>
        </w:rPr>
        <w:t>(</w:t>
      </w:r>
      <w:r>
        <w:rPr>
          <w:color w:val="030303"/>
          <w:spacing w:val="9"/>
          <w:w w:val="92"/>
          <w:sz w:val="15"/>
        </w:rPr>
        <w:t>,</w:t>
      </w:r>
      <w:r>
        <w:rPr>
          <w:color w:val="030303"/>
          <w:spacing w:val="10"/>
          <w:w w:val="92"/>
          <w:sz w:val="15"/>
        </w:rPr>
        <w:t>)</w:t>
      </w:r>
      <w:r>
        <w:rPr>
          <w:color w:val="030303"/>
          <w:spacing w:val="2"/>
          <w:sz w:val="15"/>
        </w:rPr>
        <w:t> </w:t>
      </w:r>
      <w:r>
        <w:rPr>
          <w:color w:val="030303"/>
          <w:spacing w:val="-24"/>
          <w:w w:val="90"/>
          <w:position w:val="-15"/>
          <w:sz w:val="30"/>
        </w:rPr>
        <w:t>·</w:t>
      </w:r>
      <w:r>
        <w:rPr>
          <w:color w:val="030303"/>
          <w:spacing w:val="-24"/>
          <w:w w:val="90"/>
          <w:sz w:val="15"/>
        </w:rPr>
        <w:t>.</w:t>
      </w:r>
      <w:r>
        <w:rPr>
          <w:color w:val="030303"/>
          <w:spacing w:val="-24"/>
          <w:w w:val="90"/>
          <w:position w:val="-15"/>
          <w:sz w:val="30"/>
        </w:rPr>
        <w:t>;</w:t>
      </w:r>
      <w:r>
        <w:rPr>
          <w:color w:val="030303"/>
          <w:spacing w:val="-24"/>
          <w:w w:val="90"/>
          <w:sz w:val="15"/>
        </w:rPr>
        <w:t>..</w:t>
      </w:r>
      <w:r>
        <w:rPr>
          <w:color w:val="030303"/>
          <w:spacing w:val="26"/>
          <w:sz w:val="15"/>
        </w:rPr>
        <w:t> </w:t>
      </w:r>
      <w:r>
        <w:rPr>
          <w:color w:val="030303"/>
          <w:spacing w:val="-24"/>
          <w:w w:val="90"/>
          <w:sz w:val="15"/>
        </w:rPr>
        <w:t>llJ</w:t>
      </w:r>
    </w:p>
    <w:p>
      <w:pPr>
        <w:spacing w:before="0" w:line="84" w:lineRule="exact"/>
        <w:ind w:left="539" w:right="0" w:firstLine="0"/>
        <w:jc w:val="center"/>
        <w:rPr>
          <w:b/>
          <w:sz w:val="14"/>
        </w:rPr>
      </w:pPr>
      <w:r>
        <w:rPr/>
        <w:br w:type="column"/>
      </w:r>
      <w:r>
        <w:rPr>
          <w:b/>
          <w:color w:val="030303"/>
          <w:spacing w:val="-4"/>
          <w:w w:val="95"/>
          <w:sz w:val="14"/>
        </w:rPr>
        <w:t>...J</w:t>
      </w:r>
    </w:p>
    <w:p>
      <w:pPr>
        <w:tabs>
          <w:tab w:val="left" w:leader="none" w:pos="1757"/>
        </w:tabs>
        <w:spacing w:before="0" w:line="8" w:lineRule="exact"/>
        <w:ind w:left="828" w:right="0" w:firstLine="0"/>
        <w:jc w:val="left"/>
        <w:rPr>
          <w:b/>
          <w:sz w:val="18"/>
        </w:rPr>
      </w:pPr>
      <w:r>
        <w:rPr>
          <w:b/>
          <w:color w:val="030303"/>
          <w:spacing w:val="-10"/>
          <w:w w:val="95"/>
          <w:position w:val="2"/>
          <w:sz w:val="20"/>
        </w:rPr>
        <w:t>E</w:t>
      </w:r>
      <w:r>
        <w:rPr>
          <w:b/>
          <w:color w:val="030303"/>
          <w:position w:val="2"/>
          <w:sz w:val="20"/>
        </w:rPr>
        <w:tab/>
      </w:r>
      <w:r>
        <w:rPr>
          <w:b/>
          <w:color w:val="030303"/>
          <w:spacing w:val="-5"/>
          <w:w w:val="95"/>
          <w:sz w:val="18"/>
        </w:rPr>
        <w:t>&lt;C</w:t>
      </w:r>
    </w:p>
    <w:p>
      <w:pPr>
        <w:spacing w:after="0" w:line="8" w:lineRule="exact"/>
        <w:jc w:val="left"/>
        <w:rPr>
          <w:sz w:val="18"/>
        </w:rPr>
        <w:sectPr>
          <w:type w:val="continuous"/>
          <w:pgSz w:w="16830" w:h="11910" w:orient="landscape"/>
          <w:pgMar w:top="1940" w:right="480" w:bottom="280" w:left="740" w:header="0" w:footer="0"/>
          <w:cols w:equalWidth="0" w:num="6">
            <w:col w:w="6795" w:space="40"/>
            <w:col w:w="1122" w:space="39"/>
            <w:col w:w="799" w:space="40"/>
            <w:col w:w="2313" w:space="39"/>
            <w:col w:w="1239" w:space="40"/>
            <w:col w:w="3144"/>
          </w:cols>
        </w:sectPr>
      </w:pPr>
    </w:p>
    <w:p>
      <w:pPr>
        <w:spacing w:before="0" w:line="117" w:lineRule="exact"/>
        <w:ind w:left="0" w:right="0" w:firstLine="0"/>
        <w:jc w:val="right"/>
        <w:rPr>
          <w:rFonts w:ascii="Times New Roman"/>
          <w:b/>
          <w:sz w:val="19"/>
        </w:rPr>
      </w:pPr>
      <w:r>
        <w:rPr>
          <w:rFonts w:ascii="Times New Roman"/>
          <w:b/>
          <w:color w:val="030303"/>
          <w:w w:val="95"/>
          <w:sz w:val="21"/>
        </w:rPr>
        <w:t>c.</w:t>
      </w:r>
      <w:r>
        <w:rPr>
          <w:rFonts w:ascii="Times New Roman"/>
          <w:b/>
          <w:color w:val="030303"/>
          <w:spacing w:val="44"/>
          <w:sz w:val="21"/>
        </w:rPr>
        <w:t> </w:t>
      </w:r>
      <w:r>
        <w:rPr>
          <w:rFonts w:ascii="Times New Roman"/>
          <w:b/>
          <w:color w:val="030303"/>
          <w:spacing w:val="-5"/>
          <w:w w:val="95"/>
          <w:sz w:val="19"/>
        </w:rPr>
        <w:t>ns</w:t>
      </w:r>
    </w:p>
    <w:p>
      <w:pPr>
        <w:spacing w:before="0" w:line="117" w:lineRule="exact"/>
        <w:ind w:left="543" w:right="0" w:firstLine="0"/>
        <w:jc w:val="left"/>
        <w:rPr>
          <w:b/>
          <w:sz w:val="15"/>
        </w:rPr>
      </w:pPr>
      <w:r>
        <w:rPr/>
        <w:br w:type="column"/>
      </w:r>
      <w:r>
        <w:rPr>
          <w:b/>
          <w:color w:val="030303"/>
          <w:w w:val="95"/>
          <w:sz w:val="20"/>
        </w:rPr>
        <w:t>E</w:t>
      </w:r>
      <w:r>
        <w:rPr>
          <w:b/>
          <w:color w:val="030303"/>
          <w:spacing w:val="5"/>
          <w:sz w:val="20"/>
        </w:rPr>
        <w:t> </w:t>
      </w:r>
      <w:r>
        <w:rPr>
          <w:b/>
          <w:color w:val="030303"/>
          <w:w w:val="95"/>
          <w:sz w:val="23"/>
        </w:rPr>
        <w:t>ni</w:t>
      </w:r>
      <w:r>
        <w:rPr>
          <w:b/>
          <w:color w:val="030303"/>
          <w:spacing w:val="36"/>
          <w:sz w:val="23"/>
        </w:rPr>
        <w:t> </w:t>
      </w:r>
      <w:r>
        <w:rPr>
          <w:b/>
          <w:color w:val="030303"/>
          <w:spacing w:val="-12"/>
          <w:w w:val="80"/>
          <w:sz w:val="15"/>
        </w:rPr>
        <w:t>a&gt;</w:t>
      </w:r>
    </w:p>
    <w:p>
      <w:pPr>
        <w:tabs>
          <w:tab w:val="left" w:leader="none" w:pos="1231"/>
        </w:tabs>
        <w:spacing w:before="0" w:line="117" w:lineRule="exact"/>
        <w:ind w:left="405" w:right="0" w:firstLine="0"/>
        <w:jc w:val="left"/>
        <w:rPr>
          <w:b/>
          <w:sz w:val="17"/>
        </w:rPr>
      </w:pPr>
      <w:r>
        <w:rPr/>
        <w:br w:type="column"/>
      </w:r>
      <w:r>
        <w:rPr>
          <w:b/>
          <w:color w:val="030303"/>
          <w:w w:val="95"/>
          <w:sz w:val="13"/>
        </w:rPr>
        <w:t>C</w:t>
      </w:r>
      <w:r>
        <w:rPr>
          <w:b/>
          <w:color w:val="030303"/>
          <w:spacing w:val="36"/>
          <w:sz w:val="13"/>
        </w:rPr>
        <w:t>  </w:t>
      </w:r>
      <w:r>
        <w:rPr>
          <w:rFonts w:ascii="Times New Roman"/>
          <w:b/>
          <w:color w:val="030303"/>
          <w:spacing w:val="-7"/>
          <w:w w:val="95"/>
          <w:sz w:val="19"/>
        </w:rPr>
        <w:t>ns</w:t>
      </w:r>
      <w:r>
        <w:rPr>
          <w:rFonts w:ascii="Times New Roman"/>
          <w:b/>
          <w:color w:val="030303"/>
          <w:sz w:val="19"/>
        </w:rPr>
        <w:tab/>
      </w:r>
      <w:r>
        <w:rPr>
          <w:b/>
          <w:color w:val="030303"/>
          <w:spacing w:val="-5"/>
          <w:w w:val="175"/>
          <w:position w:val="-5"/>
          <w:sz w:val="17"/>
        </w:rPr>
        <w:t>c..</w:t>
      </w:r>
    </w:p>
    <w:p>
      <w:pPr>
        <w:spacing w:before="0" w:line="117" w:lineRule="exact"/>
        <w:ind w:left="335" w:right="0" w:firstLine="0"/>
        <w:jc w:val="left"/>
        <w:rPr>
          <w:b/>
          <w:sz w:val="20"/>
        </w:rPr>
      </w:pPr>
      <w:r>
        <w:rPr/>
        <w:br w:type="column"/>
      </w:r>
      <w:r>
        <w:rPr>
          <w:b/>
          <w:color w:val="030303"/>
          <w:w w:val="90"/>
          <w:sz w:val="24"/>
        </w:rPr>
        <w:t>'E</w:t>
      </w:r>
      <w:r>
        <w:rPr>
          <w:b/>
          <w:color w:val="030303"/>
          <w:spacing w:val="1"/>
          <w:sz w:val="24"/>
        </w:rPr>
        <w:t> </w:t>
      </w:r>
      <w:r>
        <w:rPr>
          <w:b/>
          <w:color w:val="030303"/>
          <w:spacing w:val="-10"/>
          <w:sz w:val="20"/>
        </w:rPr>
        <w:t>E</w:t>
      </w:r>
    </w:p>
    <w:p>
      <w:pPr>
        <w:tabs>
          <w:tab w:val="left" w:leader="none" w:pos="1416"/>
          <w:tab w:val="left" w:leader="none" w:pos="2819"/>
          <w:tab w:val="left" w:leader="none" w:pos="3775"/>
        </w:tabs>
        <w:spacing w:before="57" w:line="59" w:lineRule="exact"/>
        <w:ind w:left="397" w:right="0" w:firstLine="0"/>
        <w:jc w:val="left"/>
        <w:rPr>
          <w:sz w:val="15"/>
        </w:rPr>
      </w:pPr>
      <w:r>
        <w:rPr/>
        <w:br w:type="column"/>
      </w:r>
      <w:r>
        <w:rPr>
          <w:b/>
          <w:color w:val="030303"/>
          <w:w w:val="180"/>
          <w:position w:val="4"/>
          <w:sz w:val="13"/>
        </w:rPr>
        <w:t>C</w:t>
      </w:r>
      <w:r>
        <w:rPr>
          <w:b/>
          <w:color w:val="030303"/>
          <w:spacing w:val="-1"/>
          <w:w w:val="180"/>
          <w:position w:val="4"/>
          <w:sz w:val="13"/>
        </w:rPr>
        <w:t> </w:t>
      </w:r>
      <w:r>
        <w:rPr>
          <w:color w:val="030303"/>
          <w:spacing w:val="-5"/>
          <w:w w:val="180"/>
          <w:position w:val="4"/>
          <w:sz w:val="13"/>
        </w:rPr>
        <w:t>&gt;,</w:t>
      </w:r>
      <w:r>
        <w:rPr>
          <w:color w:val="030303"/>
          <w:position w:val="4"/>
          <w:sz w:val="13"/>
        </w:rPr>
        <w:tab/>
      </w:r>
      <w:r>
        <w:rPr>
          <w:b/>
          <w:color w:val="030303"/>
          <w:spacing w:val="-2"/>
          <w:w w:val="180"/>
          <w:sz w:val="13"/>
        </w:rPr>
        <w:t>C.C.'C</w:t>
      </w:r>
      <w:r>
        <w:rPr>
          <w:b/>
          <w:color w:val="030303"/>
          <w:sz w:val="13"/>
        </w:rPr>
        <w:tab/>
      </w:r>
      <w:r>
        <w:rPr>
          <w:b/>
          <w:color w:val="030303"/>
          <w:spacing w:val="-10"/>
          <w:w w:val="130"/>
          <w:position w:val="4"/>
          <w:sz w:val="15"/>
        </w:rPr>
        <w:t>0</w:t>
      </w:r>
      <w:r>
        <w:rPr>
          <w:b/>
          <w:color w:val="030303"/>
          <w:position w:val="4"/>
          <w:sz w:val="15"/>
        </w:rPr>
        <w:tab/>
      </w:r>
      <w:r>
        <w:rPr>
          <w:color w:val="030303"/>
          <w:spacing w:val="-5"/>
          <w:w w:val="130"/>
          <w:position w:val="3"/>
          <w:sz w:val="15"/>
        </w:rPr>
        <w:t>I-</w:t>
      </w:r>
    </w:p>
    <w:p>
      <w:pPr>
        <w:spacing w:after="0" w:line="59" w:lineRule="exact"/>
        <w:jc w:val="left"/>
        <w:rPr>
          <w:sz w:val="15"/>
        </w:rPr>
        <w:sectPr>
          <w:type w:val="continuous"/>
          <w:pgSz w:w="16830" w:h="11910" w:orient="landscape"/>
          <w:pgMar w:top="1940" w:right="480" w:bottom="280" w:left="740" w:header="0" w:footer="0"/>
          <w:cols w:equalWidth="0" w:num="5">
            <w:col w:w="6791" w:space="40"/>
            <w:col w:w="1151" w:space="39"/>
            <w:col w:w="1599" w:space="39"/>
            <w:col w:w="740" w:space="39"/>
            <w:col w:w="5172"/>
          </w:cols>
        </w:sectPr>
      </w:pPr>
    </w:p>
    <w:p>
      <w:pPr>
        <w:tabs>
          <w:tab w:val="left" w:leader="none" w:pos="957"/>
          <w:tab w:val="left" w:leader="none" w:pos="1427"/>
        </w:tabs>
        <w:spacing w:before="19" w:line="157" w:lineRule="exact"/>
        <w:ind w:left="0" w:right="0" w:firstLine="0"/>
        <w:jc w:val="right"/>
        <w:rPr>
          <w:b/>
          <w:sz w:val="13"/>
        </w:rPr>
      </w:pPr>
      <w:r>
        <w:rPr/>
        <ve:AlternateContent>
          <ve:Choice Requires="wps">
            <w:drawing>
              <wp:anchor distT="0" distB="0" distL="0" distR="0" simplePos="0" relativeHeight="475894784" behindDoc="1" locked="0" layoutInCell="1" allowOverlap="1">
                <wp:simplePos x="0" y="0"/>
                <wp:positionH relativeFrom="page">
                  <wp:posOffset>5158769</wp:posOffset>
                </wp:positionH>
                <wp:positionV relativeFrom="paragraph">
                  <wp:posOffset>31873</wp:posOffset>
                </wp:positionV>
                <wp:extent cx="363220" cy="135255"/>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363220" cy="135255"/>
                        </a:xfrm>
                        <a:prstGeom prst="rect">
                          <a:avLst/>
                        </a:prstGeom>
                      </wps:spPr>
                      <wps:txbx>
                        <w:txbxContent>
                          <w:p>
                            <w:pPr>
                              <w:spacing w:before="0" w:line="213" w:lineRule="exact"/>
                              <w:ind w:left="0" w:right="0" w:firstLine="0"/>
                              <w:jc w:val="left"/>
                              <w:rPr>
                                <w:sz w:val="19"/>
                              </w:rPr>
                            </w:pPr>
                            <w:r>
                              <w:rPr>
                                <w:color w:val="030303"/>
                                <w:sz w:val="10"/>
                              </w:rPr>
                              <w:t>...</w:t>
                            </w:r>
                            <w:r>
                              <w:rPr>
                                <w:color w:val="030303"/>
                                <w:spacing w:val="50"/>
                                <w:sz w:val="10"/>
                              </w:rPr>
                              <w:t>  </w:t>
                            </w:r>
                            <w:r>
                              <w:rPr>
                                <w:b/>
                                <w:color w:val="030303"/>
                                <w:sz w:val="10"/>
                              </w:rPr>
                              <w:t>Q)</w:t>
                            </w:r>
                            <w:r>
                              <w:rPr>
                                <w:b/>
                                <w:color w:val="030303"/>
                                <w:spacing w:val="77"/>
                                <w:w w:val="150"/>
                                <w:sz w:val="10"/>
                              </w:rPr>
                              <w:t> </w:t>
                            </w:r>
                            <w:r>
                              <w:rPr>
                                <w:color w:val="030303"/>
                                <w:spacing w:val="-22"/>
                                <w:w w:val="60"/>
                                <w:sz w:val="19"/>
                              </w:rPr>
                              <w:t>&gt;&lt;</w:t>
                            </w:r>
                          </w:p>
                        </w:txbxContent>
                      </wps:txbx>
                      <wps:bodyPr wrap="square" lIns="0" tIns="0" rIns="0" bIns="0" rtlCol="0">
                        <a:noAutofit/>
                      </wps:bodyPr>
                    </wps:wsp>
                  </a:graphicData>
                </a:graphic>
              </wp:anchor>
            </w:drawing>
          </ve:Choice>
          <ve:Fallback>
            <w:pict>
              <v:shape id="docshape166" style="position:absolute;margin-left:406.202301pt;margin-top:2.509748pt;width:28.6pt;height:10.65pt;mso-position-horizontal-relative:page;mso-position-vertical-relative:paragraph;z-index:-27421696" filled="false" stroked="false" type="#_x0000_t202">
                <v:textbox inset="0,0,0,0">
                  <w:txbxContent>
                    <w:p>
                      <w:pPr>
                        <w:spacing w:before="0" w:line="213" w:lineRule="exact"/>
                        <w:ind w:left="0" w:right="0" w:firstLine="0"/>
                        <w:jc w:val="left"/>
                        <w:rPr>
                          <w:sz w:val="19"/>
                        </w:rPr>
                      </w:pPr>
                      <w:r>
                        <w:rPr>
                          <w:color w:val="030303"/>
                          <w:sz w:val="10"/>
                        </w:rPr>
                        <w:t>...</w:t>
                      </w:r>
                      <w:r>
                        <w:rPr>
                          <w:color w:val="030303"/>
                          <w:spacing w:val="50"/>
                          <w:sz w:val="10"/>
                        </w:rPr>
                        <w:t>  </w:t>
                      </w:r>
                      <w:r>
                        <w:rPr>
                          <w:b/>
                          <w:color w:val="030303"/>
                          <w:sz w:val="10"/>
                        </w:rPr>
                        <w:t>Q)</w:t>
                      </w:r>
                      <w:r>
                        <w:rPr>
                          <w:b/>
                          <w:color w:val="030303"/>
                          <w:spacing w:val="77"/>
                          <w:w w:val="150"/>
                          <w:sz w:val="10"/>
                        </w:rPr>
                        <w:t> </w:t>
                      </w:r>
                      <w:r>
                        <w:rPr>
                          <w:color w:val="030303"/>
                          <w:spacing w:val="-22"/>
                          <w:w w:val="60"/>
                          <w:sz w:val="19"/>
                        </w:rPr>
                        <w:t>&gt;&lt;</w:t>
                      </w:r>
                    </w:p>
                  </w:txbxContent>
                </v:textbox>
                <w10:wrap type="none"/>
              </v:shape>
            </w:pict>
          </ve:Fallback>
        </ve:AlternateContent>
      </w:r>
      <w:r>
        <w:rPr>
          <w:b/>
          <w:color w:val="030303"/>
          <w:spacing w:val="-5"/>
          <w:w w:val="105"/>
          <w:position w:val="-6"/>
          <w:sz w:val="20"/>
        </w:rPr>
        <w:t>Ea;</w:t>
      </w:r>
      <w:r>
        <w:rPr>
          <w:b/>
          <w:color w:val="030303"/>
          <w:position w:val="-6"/>
          <w:sz w:val="20"/>
        </w:rPr>
        <w:tab/>
      </w:r>
      <w:r>
        <w:rPr>
          <w:b/>
          <w:color w:val="030303"/>
          <w:w w:val="105"/>
          <w:sz w:val="10"/>
        </w:rPr>
        <w:t>Q)</w:t>
      </w:r>
      <w:r>
        <w:rPr>
          <w:b/>
          <w:color w:val="030303"/>
          <w:spacing w:val="45"/>
          <w:w w:val="105"/>
          <w:sz w:val="10"/>
        </w:rPr>
        <w:t> </w:t>
      </w:r>
      <w:r>
        <w:rPr>
          <w:color w:val="030303"/>
          <w:spacing w:val="-10"/>
          <w:w w:val="105"/>
          <w:sz w:val="10"/>
        </w:rPr>
        <w:t>-</w:t>
      </w:r>
      <w:r>
        <w:rPr>
          <w:color w:val="030303"/>
          <w:sz w:val="10"/>
        </w:rPr>
        <w:tab/>
      </w:r>
      <w:r>
        <w:rPr>
          <w:b/>
          <w:color w:val="030303"/>
          <w:spacing w:val="-7"/>
          <w:w w:val="105"/>
          <w:sz w:val="13"/>
        </w:rPr>
        <w:t>C.</w:t>
      </w:r>
    </w:p>
    <w:p>
      <w:pPr>
        <w:tabs>
          <w:tab w:val="left" w:leader="none" w:pos="1219"/>
        </w:tabs>
        <w:spacing w:before="0" w:line="176" w:lineRule="exact"/>
        <w:ind w:left="390" w:right="0" w:firstLine="0"/>
        <w:jc w:val="left"/>
        <w:rPr>
          <w:b/>
          <w:sz w:val="10"/>
        </w:rPr>
      </w:pPr>
      <w:r>
        <w:rPr/>
        <w:br w:type="column"/>
      </w:r>
      <w:r>
        <w:rPr>
          <w:color w:val="030303"/>
          <w:spacing w:val="-12"/>
          <w:w w:val="70"/>
          <w:sz w:val="10"/>
        </w:rPr>
        <w:t>.</w:t>
      </w:r>
      <w:r>
        <w:rPr>
          <w:rFonts w:ascii="Times New Roman"/>
          <w:b/>
          <w:color w:val="030303"/>
          <w:spacing w:val="-12"/>
          <w:w w:val="70"/>
          <w:position w:val="5"/>
          <w:sz w:val="19"/>
        </w:rPr>
        <w:t>n</w:t>
      </w:r>
      <w:r>
        <w:rPr>
          <w:color w:val="030303"/>
          <w:spacing w:val="-12"/>
          <w:w w:val="70"/>
          <w:sz w:val="10"/>
        </w:rPr>
        <w:t>..</w:t>
      </w:r>
      <w:r>
        <w:rPr>
          <w:color w:val="030303"/>
          <w:spacing w:val="1"/>
          <w:sz w:val="10"/>
        </w:rPr>
        <w:t> </w:t>
      </w:r>
      <w:r>
        <w:rPr>
          <w:rFonts w:ascii="Times New Roman"/>
          <w:b/>
          <w:color w:val="030303"/>
          <w:spacing w:val="-12"/>
          <w:w w:val="70"/>
          <w:position w:val="5"/>
          <w:sz w:val="19"/>
        </w:rPr>
        <w:t>s</w:t>
      </w:r>
      <w:r>
        <w:rPr>
          <w:rFonts w:ascii="Times New Roman"/>
          <w:b/>
          <w:color w:val="030303"/>
          <w:spacing w:val="4"/>
          <w:position w:val="5"/>
          <w:sz w:val="19"/>
        </w:rPr>
        <w:t> </w:t>
      </w:r>
      <w:r>
        <w:rPr>
          <w:rFonts w:ascii="Times New Roman"/>
          <w:color w:val="030303"/>
          <w:spacing w:val="-12"/>
          <w:w w:val="70"/>
          <w:position w:val="5"/>
          <w:sz w:val="19"/>
        </w:rPr>
        <w:t>-</w:t>
      </w:r>
      <w:r>
        <w:rPr>
          <w:b/>
          <w:color w:val="030303"/>
          <w:spacing w:val="-12"/>
          <w:w w:val="70"/>
          <w:sz w:val="10"/>
        </w:rPr>
        <w:t>Cl)</w:t>
      </w:r>
      <w:r>
        <w:rPr>
          <w:b/>
          <w:color w:val="030303"/>
          <w:sz w:val="10"/>
        </w:rPr>
        <w:tab/>
      </w:r>
      <w:r>
        <w:rPr>
          <w:b/>
          <w:color w:val="030303"/>
          <w:w w:val="85"/>
          <w:sz w:val="12"/>
        </w:rPr>
        <w:t>::I</w:t>
      </w:r>
      <w:r>
        <w:rPr>
          <w:b/>
          <w:color w:val="030303"/>
          <w:spacing w:val="38"/>
          <w:sz w:val="12"/>
        </w:rPr>
        <w:t>  </w:t>
      </w:r>
      <w:r>
        <w:rPr>
          <w:b/>
          <w:color w:val="030303"/>
          <w:spacing w:val="-5"/>
          <w:w w:val="85"/>
          <w:sz w:val="10"/>
        </w:rPr>
        <w:t>Cl)</w:t>
      </w:r>
    </w:p>
    <w:p>
      <w:pPr>
        <w:spacing w:before="58" w:line="117" w:lineRule="exact"/>
        <w:ind w:left="333" w:right="0" w:firstLine="0"/>
        <w:jc w:val="left"/>
        <w:rPr>
          <w:rFonts w:ascii="Times New Roman" w:hAnsi="Times New Roman"/>
          <w:b/>
          <w:i/>
          <w:sz w:val="19"/>
        </w:rPr>
      </w:pPr>
      <w:r>
        <w:rPr/>
        <w:br w:type="column"/>
      </w:r>
      <w:r>
        <w:rPr>
          <w:color w:val="282828"/>
          <w:spacing w:val="-14"/>
          <w:w w:val="60"/>
          <w:sz w:val="19"/>
          <w:vertAlign w:val="superscript"/>
        </w:rPr>
        <w:t>·</w:t>
      </w:r>
      <w:r>
        <w:rPr>
          <w:rFonts w:ascii="Times New Roman" w:hAnsi="Times New Roman"/>
          <w:b/>
          <w:i/>
          <w:color w:val="030303"/>
          <w:spacing w:val="-14"/>
          <w:w w:val="60"/>
          <w:sz w:val="19"/>
          <w:vertAlign w:val="baseline"/>
        </w:rPr>
        <w:t>.</w:t>
      </w:r>
      <w:r>
        <w:rPr>
          <w:color w:val="282828"/>
          <w:spacing w:val="-14"/>
          <w:w w:val="60"/>
          <w:sz w:val="19"/>
          <w:vertAlign w:val="superscript"/>
        </w:rPr>
        <w:t>-</w:t>
      </w:r>
      <w:r>
        <w:rPr>
          <w:rFonts w:ascii="Times New Roman" w:hAnsi="Times New Roman"/>
          <w:b/>
          <w:i/>
          <w:color w:val="030303"/>
          <w:spacing w:val="-4"/>
          <w:w w:val="50"/>
          <w:sz w:val="19"/>
          <w:vertAlign w:val="baseline"/>
        </w:rPr>
        <w:t>s::.</w:t>
      </w:r>
    </w:p>
    <w:p>
      <w:pPr>
        <w:spacing w:before="43" w:line="133" w:lineRule="exact"/>
        <w:ind w:left="68" w:right="0" w:firstLine="0"/>
        <w:jc w:val="left"/>
        <w:rPr>
          <w:rFonts w:ascii="Times New Roman"/>
          <w:b/>
          <w:sz w:val="19"/>
        </w:rPr>
      </w:pPr>
      <w:r>
        <w:rPr/>
        <w:br w:type="column"/>
      </w:r>
      <w:r>
        <w:rPr>
          <w:color w:val="030303"/>
          <w:spacing w:val="-23"/>
          <w:w w:val="70"/>
          <w:sz w:val="13"/>
        </w:rPr>
        <w:t>&gt;</w:t>
      </w:r>
      <w:r>
        <w:rPr>
          <w:rFonts w:ascii="Times New Roman"/>
          <w:b/>
          <w:color w:val="030303"/>
          <w:spacing w:val="-23"/>
          <w:w w:val="70"/>
          <w:position w:val="-6"/>
          <w:sz w:val="19"/>
        </w:rPr>
        <w:t>n</w:t>
      </w:r>
      <w:r>
        <w:rPr>
          <w:color w:val="030303"/>
          <w:spacing w:val="-23"/>
          <w:w w:val="70"/>
          <w:sz w:val="13"/>
        </w:rPr>
        <w:t>,</w:t>
      </w:r>
      <w:r>
        <w:rPr>
          <w:rFonts w:ascii="Times New Roman"/>
          <w:b/>
          <w:color w:val="030303"/>
          <w:spacing w:val="-23"/>
          <w:w w:val="70"/>
          <w:position w:val="-6"/>
          <w:sz w:val="19"/>
        </w:rPr>
        <w:t>s</w:t>
      </w:r>
    </w:p>
    <w:p>
      <w:pPr>
        <w:spacing w:before="21" w:line="155" w:lineRule="exact"/>
        <w:ind w:left="386" w:right="0" w:firstLine="0"/>
        <w:jc w:val="left"/>
        <w:rPr>
          <w:rFonts w:ascii="Times New Roman"/>
          <w:b/>
          <w:sz w:val="19"/>
        </w:rPr>
      </w:pPr>
      <w:r>
        <w:rPr/>
        <w:br w:type="column"/>
      </w:r>
      <w:r>
        <w:rPr>
          <w:color w:val="030303"/>
          <w:w w:val="75"/>
          <w:sz w:val="23"/>
        </w:rPr>
        <w:t>I!</w:t>
      </w:r>
      <w:r>
        <w:rPr>
          <w:color w:val="030303"/>
          <w:spacing w:val="60"/>
          <w:w w:val="150"/>
          <w:sz w:val="23"/>
        </w:rPr>
        <w:t> </w:t>
      </w:r>
      <w:r>
        <w:rPr>
          <w:rFonts w:ascii="Times New Roman"/>
          <w:b/>
          <w:color w:val="030303"/>
          <w:spacing w:val="-12"/>
          <w:w w:val="75"/>
          <w:sz w:val="19"/>
        </w:rPr>
        <w:t>ns</w:t>
      </w:r>
    </w:p>
    <w:p>
      <w:pPr>
        <w:spacing w:before="68" w:line="107" w:lineRule="exact"/>
        <w:ind w:left="624" w:right="0" w:firstLine="0"/>
        <w:jc w:val="left"/>
        <w:rPr>
          <w:b/>
          <w:sz w:val="13"/>
        </w:rPr>
      </w:pPr>
      <w:r>
        <w:rPr/>
        <w:br w:type="column"/>
      </w:r>
      <w:r>
        <w:rPr>
          <w:b/>
          <w:color w:val="030303"/>
          <w:sz w:val="11"/>
        </w:rPr>
        <w:t>Cl)</w:t>
      </w:r>
      <w:r>
        <w:rPr>
          <w:b/>
          <w:color w:val="030303"/>
          <w:spacing w:val="62"/>
          <w:sz w:val="11"/>
        </w:rPr>
        <w:t> </w:t>
      </w:r>
      <w:r>
        <w:rPr>
          <w:b/>
          <w:color w:val="030303"/>
          <w:sz w:val="20"/>
        </w:rPr>
        <w:t>E</w:t>
      </w:r>
      <w:r>
        <w:rPr>
          <w:b/>
          <w:color w:val="030303"/>
          <w:spacing w:val="38"/>
          <w:sz w:val="20"/>
        </w:rPr>
        <w:t> </w:t>
      </w:r>
      <w:r>
        <w:rPr>
          <w:b/>
          <w:color w:val="030303"/>
          <w:spacing w:val="-10"/>
          <w:sz w:val="13"/>
        </w:rPr>
        <w:t>C</w:t>
      </w:r>
    </w:p>
    <w:p>
      <w:pPr>
        <w:tabs>
          <w:tab w:val="left" w:leader="none" w:pos="1699"/>
        </w:tabs>
        <w:spacing w:before="66" w:line="110" w:lineRule="exact"/>
        <w:ind w:left="833" w:right="0" w:firstLine="0"/>
        <w:jc w:val="left"/>
        <w:rPr>
          <w:b/>
          <w:sz w:val="19"/>
        </w:rPr>
      </w:pPr>
      <w:r>
        <w:rPr/>
        <w:br w:type="column"/>
      </w:r>
      <w:r>
        <w:rPr>
          <w:color w:val="030303"/>
          <w:spacing w:val="-5"/>
          <w:w w:val="95"/>
          <w:sz w:val="10"/>
        </w:rPr>
        <w:t>(,)</w:t>
      </w:r>
      <w:r>
        <w:rPr>
          <w:color w:val="030303"/>
          <w:sz w:val="10"/>
        </w:rPr>
        <w:tab/>
      </w:r>
      <w:r>
        <w:rPr>
          <w:b/>
          <w:color w:val="030303"/>
          <w:spacing w:val="-12"/>
          <w:w w:val="95"/>
          <w:position w:val="-6"/>
          <w:sz w:val="19"/>
        </w:rPr>
        <w:t>0</w:t>
      </w:r>
    </w:p>
    <w:p>
      <w:pPr>
        <w:spacing w:after="0" w:line="110" w:lineRule="exact"/>
        <w:jc w:val="left"/>
        <w:rPr>
          <w:sz w:val="19"/>
        </w:rPr>
        <w:sectPr>
          <w:type w:val="continuous"/>
          <w:pgSz w:w="16830" w:h="11910" w:orient="landscape"/>
          <w:pgMar w:top="1940" w:right="480" w:bottom="280" w:left="740" w:header="0" w:footer="0"/>
          <w:cols w:equalWidth="0" w:num="7">
            <w:col w:w="7993" w:space="40"/>
            <w:col w:w="1585" w:space="39"/>
            <w:col w:w="502" w:space="39"/>
            <w:col w:w="196" w:space="40"/>
            <w:col w:w="763" w:space="39"/>
            <w:col w:w="1194" w:space="40"/>
            <w:col w:w="3140"/>
          </w:cols>
        </w:sectPr>
      </w:pPr>
    </w:p>
    <w:p>
      <w:pPr>
        <w:tabs>
          <w:tab w:val="left" w:leader="none" w:pos="7347"/>
          <w:tab w:val="left" w:leader="none" w:pos="8379"/>
          <w:tab w:val="left" w:leader="none" w:pos="9218"/>
          <w:tab w:val="left" w:leader="none" w:pos="9990"/>
          <w:tab w:val="left" w:leader="none" w:pos="10789"/>
          <w:tab w:val="left" w:leader="none" w:pos="11820"/>
          <w:tab w:val="left" w:leader="none" w:pos="12330"/>
          <w:tab w:val="left" w:leader="none" w:pos="13254"/>
          <w:tab w:val="left" w:leader="none" w:pos="14218"/>
        </w:tabs>
        <w:spacing w:before="0" w:line="247" w:lineRule="exact"/>
        <w:ind w:left="6397" w:right="0" w:firstLine="0"/>
        <w:jc w:val="left"/>
        <w:rPr>
          <w:sz w:val="15"/>
        </w:rPr>
      </w:pPr>
      <w:r>
        <w:rPr>
          <w:color w:val="030303"/>
          <w:spacing w:val="-5"/>
          <w:sz w:val="15"/>
        </w:rPr>
        <w:t>llJ</w:t>
      </w:r>
      <w:r>
        <w:rPr>
          <w:color w:val="030303"/>
          <w:sz w:val="15"/>
        </w:rPr>
        <w:tab/>
      </w:r>
      <w:r>
        <w:rPr>
          <w:color w:val="030303"/>
          <w:w w:val="90"/>
          <w:sz w:val="20"/>
        </w:rPr>
        <w:t>o..</w:t>
      </w:r>
      <w:r>
        <w:rPr>
          <w:color w:val="030303"/>
          <w:spacing w:val="24"/>
          <w:sz w:val="20"/>
        </w:rPr>
        <w:t> </w:t>
      </w:r>
      <w:r>
        <w:rPr>
          <w:color w:val="030303"/>
          <w:spacing w:val="-10"/>
          <w:sz w:val="20"/>
        </w:rPr>
        <w:t>w</w:t>
      </w:r>
      <w:r>
        <w:rPr>
          <w:color w:val="030303"/>
          <w:sz w:val="20"/>
        </w:rPr>
        <w:tab/>
      </w:r>
      <w:r>
        <w:rPr>
          <w:color w:val="030303"/>
          <w:spacing w:val="-5"/>
          <w:sz w:val="15"/>
        </w:rPr>
        <w:t>I-</w:t>
      </w:r>
      <w:r>
        <w:rPr>
          <w:color w:val="030303"/>
          <w:sz w:val="15"/>
        </w:rPr>
        <w:tab/>
      </w:r>
      <w:r>
        <w:rPr>
          <w:color w:val="030303"/>
          <w:position w:val="2"/>
          <w:sz w:val="12"/>
        </w:rPr>
        <w:t>(/)</w:t>
      </w:r>
      <w:r>
        <w:rPr>
          <w:color w:val="030303"/>
          <w:spacing w:val="70"/>
          <w:w w:val="150"/>
          <w:position w:val="2"/>
          <w:sz w:val="12"/>
        </w:rPr>
        <w:t> </w:t>
      </w:r>
      <w:r>
        <w:rPr>
          <w:color w:val="030303"/>
          <w:spacing w:val="-5"/>
          <w:position w:val="2"/>
          <w:sz w:val="12"/>
        </w:rPr>
        <w:t>(/)</w:t>
      </w:r>
      <w:r>
        <w:rPr>
          <w:color w:val="030303"/>
          <w:position w:val="2"/>
          <w:sz w:val="12"/>
        </w:rPr>
        <w:tab/>
      </w:r>
      <w:r>
        <w:rPr>
          <w:color w:val="030303"/>
          <w:sz w:val="15"/>
        </w:rPr>
        <w:t>I-</w:t>
      </w:r>
      <w:r>
        <w:rPr>
          <w:color w:val="030303"/>
          <w:spacing w:val="31"/>
          <w:sz w:val="15"/>
        </w:rPr>
        <w:t>  </w:t>
      </w:r>
      <w:r>
        <w:rPr>
          <w:b/>
          <w:color w:val="030303"/>
          <w:spacing w:val="-5"/>
          <w:sz w:val="14"/>
        </w:rPr>
        <w:t>0..</w:t>
      </w:r>
      <w:r>
        <w:rPr>
          <w:b/>
          <w:color w:val="030303"/>
          <w:sz w:val="14"/>
        </w:rPr>
        <w:tab/>
      </w:r>
      <w:r>
        <w:rPr>
          <w:color w:val="030303"/>
          <w:sz w:val="15"/>
        </w:rPr>
        <w:t>I-</w:t>
      </w:r>
      <w:r>
        <w:rPr>
          <w:color w:val="030303"/>
          <w:spacing w:val="36"/>
          <w:sz w:val="15"/>
        </w:rPr>
        <w:t>  </w:t>
      </w:r>
      <w:r>
        <w:rPr>
          <w:b/>
          <w:color w:val="030303"/>
          <w:spacing w:val="-5"/>
          <w:sz w:val="14"/>
        </w:rPr>
        <w:t>0..</w:t>
      </w:r>
      <w:r>
        <w:rPr>
          <w:b/>
          <w:color w:val="030303"/>
          <w:sz w:val="14"/>
        </w:rPr>
        <w:tab/>
      </w:r>
      <w:r>
        <w:rPr>
          <w:b/>
          <w:color w:val="030303"/>
          <w:position w:val="-1"/>
          <w:sz w:val="16"/>
        </w:rPr>
        <w:t>C</w:t>
      </w:r>
      <w:r>
        <w:rPr>
          <w:b/>
          <w:color w:val="030303"/>
          <w:spacing w:val="76"/>
          <w:position w:val="-1"/>
          <w:sz w:val="16"/>
        </w:rPr>
        <w:t> </w:t>
      </w:r>
      <w:r>
        <w:rPr>
          <w:color w:val="030303"/>
          <w:spacing w:val="-10"/>
          <w:position w:val="-1"/>
          <w:sz w:val="16"/>
        </w:rPr>
        <w:t>-</w:t>
      </w:r>
      <w:r>
        <w:rPr>
          <w:color w:val="030303"/>
          <w:position w:val="-1"/>
          <w:sz w:val="16"/>
        </w:rPr>
        <w:tab/>
      </w:r>
      <w:r>
        <w:rPr>
          <w:rFonts w:ascii="Times New Roman"/>
          <w:b/>
          <w:color w:val="030303"/>
          <w:spacing w:val="-5"/>
          <w:position w:val="-1"/>
          <w:sz w:val="19"/>
        </w:rPr>
        <w:t>ns</w:t>
      </w:r>
      <w:r>
        <w:rPr>
          <w:rFonts w:ascii="Times New Roman"/>
          <w:b/>
          <w:color w:val="030303"/>
          <w:position w:val="-1"/>
          <w:sz w:val="19"/>
        </w:rPr>
        <w:tab/>
      </w:r>
      <w:r>
        <w:rPr>
          <w:color w:val="030303"/>
          <w:spacing w:val="-5"/>
          <w:sz w:val="20"/>
        </w:rPr>
        <w:t>E:</w:t>
      </w:r>
      <w:r>
        <w:rPr>
          <w:color w:val="030303"/>
          <w:sz w:val="20"/>
        </w:rPr>
        <w:tab/>
      </w:r>
      <w:r>
        <w:rPr>
          <w:color w:val="030303"/>
          <w:spacing w:val="-5"/>
          <w:position w:val="0"/>
          <w:sz w:val="15"/>
        </w:rPr>
        <w:t>I-</w:t>
      </w:r>
    </w:p>
    <w:p>
      <w:pPr>
        <w:pStyle w:val="BodyText"/>
        <w:spacing w:before="25"/>
        <w:rPr>
          <w:sz w:val="15"/>
        </w:rPr>
      </w:pPr>
    </w:p>
    <w:p>
      <w:pPr>
        <w:tabs>
          <w:tab w:val="left" w:leader="none" w:pos="6362"/>
          <w:tab w:val="left" w:leader="none" w:pos="7430"/>
          <w:tab w:val="left" w:leader="none" w:pos="8348"/>
          <w:tab w:val="left" w:leader="none" w:pos="9185"/>
          <w:tab w:val="left" w:leader="none" w:pos="9960"/>
          <w:tab w:val="left" w:leader="none" w:pos="10763"/>
          <w:tab w:val="left" w:leader="none" w:pos="11903"/>
          <w:tab w:val="left" w:leader="none" w:pos="13110"/>
          <w:tab w:val="left" w:leader="none" w:pos="14067"/>
        </w:tabs>
        <w:spacing w:before="0"/>
        <w:ind w:left="561" w:right="0" w:firstLine="0"/>
        <w:jc w:val="left"/>
        <w:rPr>
          <w:b/>
          <w:sz w:val="20"/>
        </w:rPr>
      </w:pPr>
      <w:r>
        <w:rPr>
          <w:b/>
          <w:color w:val="030303"/>
          <w:spacing w:val="-2"/>
          <w:w w:val="105"/>
          <w:position w:val="1"/>
          <w:sz w:val="20"/>
        </w:rPr>
        <w:t>SERVICE</w:t>
      </w:r>
      <w:r>
        <w:rPr>
          <w:b/>
          <w:color w:val="030303"/>
          <w:position w:val="1"/>
          <w:sz w:val="20"/>
        </w:rPr>
        <w:tab/>
      </w:r>
      <w:r>
        <w:rPr>
          <w:b/>
          <w:color w:val="030303"/>
          <w:spacing w:val="-4"/>
          <w:w w:val="105"/>
          <w:sz w:val="20"/>
        </w:rPr>
        <w:t>£000</w:t>
      </w:r>
      <w:r>
        <w:rPr>
          <w:b/>
          <w:color w:val="030303"/>
          <w:sz w:val="20"/>
        </w:rPr>
        <w:tab/>
      </w:r>
      <w:r>
        <w:rPr>
          <w:b/>
          <w:color w:val="030303"/>
          <w:spacing w:val="-4"/>
          <w:w w:val="105"/>
          <w:sz w:val="20"/>
        </w:rPr>
        <w:t>£000</w:t>
      </w:r>
      <w:r>
        <w:rPr>
          <w:b/>
          <w:color w:val="030303"/>
          <w:sz w:val="20"/>
        </w:rPr>
        <w:tab/>
      </w:r>
      <w:r>
        <w:rPr>
          <w:b/>
          <w:color w:val="030303"/>
          <w:spacing w:val="-4"/>
          <w:w w:val="105"/>
          <w:sz w:val="20"/>
        </w:rPr>
        <w:t>£000</w:t>
      </w:r>
      <w:r>
        <w:rPr>
          <w:b/>
          <w:color w:val="030303"/>
          <w:sz w:val="20"/>
        </w:rPr>
        <w:tab/>
      </w:r>
      <w:r>
        <w:rPr>
          <w:b/>
          <w:color w:val="030303"/>
          <w:spacing w:val="-4"/>
          <w:w w:val="105"/>
          <w:sz w:val="20"/>
        </w:rPr>
        <w:t>£000</w:t>
      </w:r>
      <w:r>
        <w:rPr>
          <w:b/>
          <w:color w:val="030303"/>
          <w:sz w:val="20"/>
        </w:rPr>
        <w:tab/>
      </w:r>
      <w:r>
        <w:rPr>
          <w:b/>
          <w:color w:val="030303"/>
          <w:spacing w:val="-4"/>
          <w:w w:val="105"/>
          <w:sz w:val="20"/>
        </w:rPr>
        <w:t>£000</w:t>
      </w:r>
      <w:r>
        <w:rPr>
          <w:b/>
          <w:color w:val="030303"/>
          <w:sz w:val="20"/>
        </w:rPr>
        <w:tab/>
      </w:r>
      <w:r>
        <w:rPr>
          <w:b/>
          <w:color w:val="030303"/>
          <w:spacing w:val="-4"/>
          <w:w w:val="105"/>
          <w:sz w:val="20"/>
        </w:rPr>
        <w:t>£000</w:t>
      </w:r>
      <w:r>
        <w:rPr>
          <w:b/>
          <w:color w:val="030303"/>
          <w:sz w:val="20"/>
        </w:rPr>
        <w:tab/>
      </w:r>
      <w:r>
        <w:rPr>
          <w:b/>
          <w:color w:val="030303"/>
          <w:spacing w:val="-4"/>
          <w:w w:val="105"/>
          <w:sz w:val="20"/>
        </w:rPr>
        <w:t>£000</w:t>
      </w:r>
      <w:r>
        <w:rPr>
          <w:b/>
          <w:color w:val="030303"/>
          <w:sz w:val="20"/>
        </w:rPr>
        <w:tab/>
      </w:r>
      <w:r>
        <w:rPr>
          <w:b/>
          <w:color w:val="030303"/>
          <w:spacing w:val="-4"/>
          <w:w w:val="105"/>
          <w:sz w:val="20"/>
        </w:rPr>
        <w:t>£000</w:t>
      </w:r>
      <w:r>
        <w:rPr>
          <w:b/>
          <w:color w:val="030303"/>
          <w:sz w:val="20"/>
        </w:rPr>
        <w:tab/>
      </w:r>
      <w:r>
        <w:rPr>
          <w:b/>
          <w:color w:val="030303"/>
          <w:spacing w:val="-4"/>
          <w:w w:val="105"/>
          <w:sz w:val="20"/>
        </w:rPr>
        <w:t>£000</w:t>
      </w:r>
    </w:p>
    <w:p>
      <w:pPr>
        <w:pStyle w:val="BodyText"/>
        <w:spacing w:before="69"/>
        <w:rPr>
          <w:b/>
          <w:sz w:val="20"/>
        </w:rPr>
      </w:pPr>
    </w:p>
    <w:p>
      <w:pPr>
        <w:spacing w:before="0" w:line="331" w:lineRule="auto"/>
        <w:ind w:left="551" w:right="13001" w:firstLine="7"/>
        <w:jc w:val="left"/>
        <w:rPr>
          <w:sz w:val="21"/>
        </w:rPr>
      </w:pPr>
      <w:r>
        <w:rPr/>
        <ve:AlternateContent>
          <ve:Choice Requires="wps">
            <w:drawing>
              <wp:anchor distT="0" distB="0" distL="0" distR="0" simplePos="0" relativeHeight="15784448" behindDoc="0" locked="0" layoutInCell="1" allowOverlap="1">
                <wp:simplePos x="0" y="0"/>
                <wp:positionH relativeFrom="page">
                  <wp:posOffset>4539350</wp:posOffset>
                </wp:positionH>
                <wp:positionV relativeFrom="paragraph">
                  <wp:posOffset>32128</wp:posOffset>
                </wp:positionV>
                <wp:extent cx="5307330" cy="3352165"/>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5307330" cy="335216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20"/>
                              <w:gridCol w:w="1012"/>
                              <w:gridCol w:w="829"/>
                              <w:gridCol w:w="775"/>
                              <w:gridCol w:w="662"/>
                              <w:gridCol w:w="1215"/>
                              <w:gridCol w:w="1059"/>
                              <w:gridCol w:w="1017"/>
                              <w:gridCol w:w="840"/>
                            </w:tblGrid>
                            <w:tr>
                              <w:trPr>
                                <w:trHeight w:val="273" w:hRule="atLeast"/>
                              </w:trPr>
                              <w:tc>
                                <w:tcPr>
                                  <w:tcW w:w="820" w:type="dxa"/>
                                </w:tcPr>
                                <w:p>
                                  <w:pPr>
                                    <w:pStyle w:val="TableParagraph"/>
                                    <w:spacing w:line="235" w:lineRule="exact"/>
                                    <w:ind w:right="230"/>
                                    <w:jc w:val="right"/>
                                    <w:rPr>
                                      <w:sz w:val="21"/>
                                    </w:rPr>
                                  </w:pPr>
                                  <w:r>
                                    <w:rPr>
                                      <w:color w:val="030303"/>
                                      <w:spacing w:val="-5"/>
                                      <w:sz w:val="21"/>
                                    </w:rPr>
                                    <w:t>762</w:t>
                                  </w:r>
                                </w:p>
                              </w:tc>
                              <w:tc>
                                <w:tcPr>
                                  <w:tcW w:w="1012" w:type="dxa"/>
                                </w:tcPr>
                                <w:p>
                                  <w:pPr>
                                    <w:pStyle w:val="TableParagraph"/>
                                    <w:spacing w:line="235" w:lineRule="exact"/>
                                    <w:ind w:right="248"/>
                                    <w:jc w:val="right"/>
                                    <w:rPr>
                                      <w:sz w:val="21"/>
                                    </w:rPr>
                                  </w:pPr>
                                  <w:r>
                                    <w:rPr>
                                      <w:color w:val="030303"/>
                                      <w:spacing w:val="-2"/>
                                      <w:sz w:val="21"/>
                                    </w:rPr>
                                    <w:t>1,488</w:t>
                                  </w:r>
                                </w:p>
                              </w:tc>
                              <w:tc>
                                <w:tcPr>
                                  <w:tcW w:w="829" w:type="dxa"/>
                                </w:tcPr>
                                <w:p>
                                  <w:pPr>
                                    <w:pStyle w:val="TableParagraph"/>
                                    <w:spacing w:line="240" w:lineRule="exact"/>
                                    <w:ind w:right="227"/>
                                    <w:jc w:val="right"/>
                                    <w:rPr>
                                      <w:sz w:val="21"/>
                                    </w:rPr>
                                  </w:pPr>
                                  <w:r>
                                    <w:rPr>
                                      <w:color w:val="030303"/>
                                      <w:spacing w:val="-10"/>
                                      <w:sz w:val="21"/>
                                    </w:rPr>
                                    <w:t>1</w:t>
                                  </w:r>
                                </w:p>
                              </w:tc>
                              <w:tc>
                                <w:tcPr>
                                  <w:tcW w:w="775" w:type="dxa"/>
                                </w:tcPr>
                                <w:p>
                                  <w:pPr>
                                    <w:pStyle w:val="TableParagraph"/>
                                    <w:spacing w:line="240" w:lineRule="exact"/>
                                    <w:ind w:right="184"/>
                                    <w:jc w:val="right"/>
                                    <w:rPr>
                                      <w:sz w:val="21"/>
                                    </w:rPr>
                                  </w:pPr>
                                  <w:r>
                                    <w:rPr>
                                      <w:color w:val="030303"/>
                                      <w:spacing w:val="-5"/>
                                      <w:sz w:val="21"/>
                                    </w:rPr>
                                    <w:t>94</w:t>
                                  </w:r>
                                </w:p>
                              </w:tc>
                              <w:tc>
                                <w:tcPr>
                                  <w:tcW w:w="662" w:type="dxa"/>
                                </w:tcPr>
                                <w:p>
                                  <w:pPr>
                                    <w:pStyle w:val="TableParagraph"/>
                                    <w:spacing w:line="240" w:lineRule="exact"/>
                                    <w:ind w:right="105"/>
                                    <w:jc w:val="right"/>
                                    <w:rPr>
                                      <w:sz w:val="21"/>
                                    </w:rPr>
                                  </w:pPr>
                                  <w:r>
                                    <w:rPr>
                                      <w:color w:val="030303"/>
                                      <w:spacing w:val="-5"/>
                                      <w:sz w:val="21"/>
                                    </w:rPr>
                                    <w:t>206</w:t>
                                  </w:r>
                                </w:p>
                              </w:tc>
                              <w:tc>
                                <w:tcPr>
                                  <w:tcW w:w="1215" w:type="dxa"/>
                                </w:tcPr>
                                <w:p>
                                  <w:pPr>
                                    <w:pStyle w:val="TableParagraph"/>
                                    <w:spacing w:before="3"/>
                                    <w:ind w:right="450"/>
                                    <w:jc w:val="right"/>
                                    <w:rPr>
                                      <w:sz w:val="21"/>
                                    </w:rPr>
                                  </w:pPr>
                                  <w:r>
                                    <w:rPr>
                                      <w:color w:val="282828"/>
                                      <w:spacing w:val="-10"/>
                                      <w:w w:val="105"/>
                                      <w:sz w:val="21"/>
                                    </w:rPr>
                                    <w:t>-</w:t>
                                  </w:r>
                                </w:p>
                              </w:tc>
                              <w:tc>
                                <w:tcPr>
                                  <w:tcW w:w="1059" w:type="dxa"/>
                                </w:tcPr>
                                <w:p>
                                  <w:pPr>
                                    <w:pStyle w:val="TableParagraph"/>
                                    <w:spacing w:line="240" w:lineRule="exact"/>
                                    <w:ind w:right="109"/>
                                    <w:jc w:val="right"/>
                                    <w:rPr>
                                      <w:sz w:val="21"/>
                                    </w:rPr>
                                  </w:pPr>
                                  <w:r>
                                    <w:rPr>
                                      <w:color w:val="030303"/>
                                      <w:spacing w:val="-2"/>
                                      <w:sz w:val="21"/>
                                    </w:rPr>
                                    <w:t>(845)</w:t>
                                  </w:r>
                                </w:p>
                              </w:tc>
                              <w:tc>
                                <w:tcPr>
                                  <w:tcW w:w="1017" w:type="dxa"/>
                                </w:tcPr>
                                <w:p>
                                  <w:pPr>
                                    <w:pStyle w:val="TableParagraph"/>
                                    <w:spacing w:line="240" w:lineRule="exact"/>
                                    <w:ind w:right="125"/>
                                    <w:jc w:val="right"/>
                                    <w:rPr>
                                      <w:sz w:val="21"/>
                                    </w:rPr>
                                  </w:pPr>
                                  <w:r>
                                    <w:rPr>
                                      <w:color w:val="030303"/>
                                      <w:spacing w:val="-2"/>
                                      <w:sz w:val="21"/>
                                    </w:rPr>
                                    <w:t>(4,958)</w:t>
                                  </w:r>
                                </w:p>
                              </w:tc>
                              <w:tc>
                                <w:tcPr>
                                  <w:tcW w:w="840" w:type="dxa"/>
                                </w:tcPr>
                                <w:p>
                                  <w:pPr>
                                    <w:pStyle w:val="TableParagraph"/>
                                    <w:spacing w:before="7"/>
                                    <w:ind w:right="47"/>
                                    <w:jc w:val="right"/>
                                    <w:rPr>
                                      <w:b/>
                                      <w:sz w:val="20"/>
                                    </w:rPr>
                                  </w:pPr>
                                  <w:r>
                                    <w:rPr>
                                      <w:b/>
                                      <w:color w:val="030303"/>
                                      <w:spacing w:val="-2"/>
                                      <w:w w:val="105"/>
                                      <w:sz w:val="20"/>
                                    </w:rPr>
                                    <w:t>(3,252)</w:t>
                                  </w:r>
                                </w:p>
                              </w:tc>
                            </w:tr>
                            <w:tr>
                              <w:trPr>
                                <w:trHeight w:val="350" w:hRule="atLeast"/>
                              </w:trPr>
                              <w:tc>
                                <w:tcPr>
                                  <w:tcW w:w="820" w:type="dxa"/>
                                </w:tcPr>
                                <w:p>
                                  <w:pPr>
                                    <w:pStyle w:val="TableParagraph"/>
                                    <w:spacing w:before="62"/>
                                    <w:ind w:right="224"/>
                                    <w:jc w:val="right"/>
                                    <w:rPr>
                                      <w:sz w:val="21"/>
                                    </w:rPr>
                                  </w:pPr>
                                  <w:r>
                                    <w:rPr>
                                      <w:color w:val="030303"/>
                                      <w:spacing w:val="-10"/>
                                      <w:w w:val="105"/>
                                      <w:sz w:val="21"/>
                                    </w:rPr>
                                    <w:t>-</w:t>
                                  </w:r>
                                </w:p>
                              </w:tc>
                              <w:tc>
                                <w:tcPr>
                                  <w:tcW w:w="1012" w:type="dxa"/>
                                </w:tcPr>
                                <w:p>
                                  <w:pPr>
                                    <w:pStyle w:val="TableParagraph"/>
                                    <w:spacing w:before="20" w:line="310" w:lineRule="exact"/>
                                    <w:ind w:right="236"/>
                                    <w:jc w:val="right"/>
                                    <w:rPr>
                                      <w:sz w:val="27"/>
                                    </w:rPr>
                                  </w:pPr>
                                  <w:r>
                                    <w:rPr>
                                      <w:color w:val="282828"/>
                                      <w:spacing w:val="-10"/>
                                      <w:sz w:val="27"/>
                                    </w:rPr>
                                    <w:t>-</w:t>
                                  </w:r>
                                </w:p>
                              </w:tc>
                              <w:tc>
                                <w:tcPr>
                                  <w:tcW w:w="829" w:type="dxa"/>
                                </w:tcPr>
                                <w:p>
                                  <w:pPr>
                                    <w:pStyle w:val="TableParagraph"/>
                                    <w:spacing w:before="62"/>
                                    <w:ind w:right="218"/>
                                    <w:jc w:val="right"/>
                                    <w:rPr>
                                      <w:sz w:val="21"/>
                                    </w:rPr>
                                  </w:pPr>
                                  <w:r>
                                    <w:rPr>
                                      <w:color w:val="282828"/>
                                      <w:spacing w:val="-10"/>
                                      <w:w w:val="105"/>
                                      <w:sz w:val="21"/>
                                    </w:rPr>
                                    <w:t>-</w:t>
                                  </w:r>
                                </w:p>
                              </w:tc>
                              <w:tc>
                                <w:tcPr>
                                  <w:tcW w:w="775" w:type="dxa"/>
                                </w:tcPr>
                                <w:p>
                                  <w:pPr>
                                    <w:pStyle w:val="TableParagraph"/>
                                    <w:spacing w:before="57"/>
                                    <w:ind w:right="182"/>
                                    <w:jc w:val="right"/>
                                    <w:rPr>
                                      <w:sz w:val="21"/>
                                    </w:rPr>
                                  </w:pPr>
                                  <w:r>
                                    <w:rPr>
                                      <w:color w:val="030303"/>
                                      <w:spacing w:val="-10"/>
                                      <w:w w:val="105"/>
                                      <w:sz w:val="21"/>
                                    </w:rPr>
                                    <w:t>4</w:t>
                                  </w:r>
                                </w:p>
                              </w:tc>
                              <w:tc>
                                <w:tcPr>
                                  <w:tcW w:w="662" w:type="dxa"/>
                                </w:tcPr>
                                <w:p>
                                  <w:pPr>
                                    <w:pStyle w:val="TableParagraph"/>
                                    <w:spacing w:before="57"/>
                                    <w:ind w:right="106"/>
                                    <w:jc w:val="right"/>
                                    <w:rPr>
                                      <w:sz w:val="21"/>
                                    </w:rPr>
                                  </w:pPr>
                                  <w:r>
                                    <w:rPr>
                                      <w:color w:val="030303"/>
                                      <w:spacing w:val="-5"/>
                                      <w:sz w:val="21"/>
                                    </w:rPr>
                                    <w:t>185</w:t>
                                  </w:r>
                                </w:p>
                              </w:tc>
                              <w:tc>
                                <w:tcPr>
                                  <w:tcW w:w="1215" w:type="dxa"/>
                                </w:tcPr>
                                <w:p>
                                  <w:pPr>
                                    <w:pStyle w:val="TableParagraph"/>
                                    <w:spacing w:before="62"/>
                                    <w:ind w:right="450"/>
                                    <w:jc w:val="right"/>
                                    <w:rPr>
                                      <w:sz w:val="22"/>
                                    </w:rPr>
                                  </w:pPr>
                                  <w:r>
                                    <w:rPr>
                                      <w:color w:val="3B3B3B"/>
                                      <w:spacing w:val="-10"/>
                                      <w:w w:val="110"/>
                                      <w:sz w:val="22"/>
                                    </w:rPr>
                                    <w:t>-</w:t>
                                  </w:r>
                                </w:p>
                              </w:tc>
                              <w:tc>
                                <w:tcPr>
                                  <w:tcW w:w="1059" w:type="dxa"/>
                                </w:tcPr>
                                <w:p>
                                  <w:pPr>
                                    <w:pStyle w:val="TableParagraph"/>
                                    <w:spacing w:before="24" w:line="305" w:lineRule="exact"/>
                                    <w:ind w:right="91"/>
                                    <w:jc w:val="right"/>
                                    <w:rPr>
                                      <w:sz w:val="27"/>
                                    </w:rPr>
                                  </w:pPr>
                                  <w:r>
                                    <w:rPr>
                                      <w:color w:val="3B3B3B"/>
                                      <w:spacing w:val="-10"/>
                                      <w:sz w:val="27"/>
                                    </w:rPr>
                                    <w:t>-</w:t>
                                  </w:r>
                                </w:p>
                              </w:tc>
                              <w:tc>
                                <w:tcPr>
                                  <w:tcW w:w="1017" w:type="dxa"/>
                                </w:tcPr>
                                <w:p>
                                  <w:pPr>
                                    <w:pStyle w:val="TableParagraph"/>
                                    <w:spacing w:before="57"/>
                                    <w:ind w:right="107"/>
                                    <w:jc w:val="right"/>
                                    <w:rPr>
                                      <w:sz w:val="22"/>
                                    </w:rPr>
                                  </w:pPr>
                                  <w:r>
                                    <w:rPr>
                                      <w:color w:val="3B3B3B"/>
                                      <w:spacing w:val="-10"/>
                                      <w:w w:val="110"/>
                                      <w:sz w:val="22"/>
                                    </w:rPr>
                                    <w:t>-</w:t>
                                  </w:r>
                                </w:p>
                              </w:tc>
                              <w:tc>
                                <w:tcPr>
                                  <w:tcW w:w="840" w:type="dxa"/>
                                </w:tcPr>
                                <w:p>
                                  <w:pPr>
                                    <w:pStyle w:val="TableParagraph"/>
                                    <w:spacing w:before="71"/>
                                    <w:ind w:right="39"/>
                                    <w:jc w:val="right"/>
                                    <w:rPr>
                                      <w:b/>
                                      <w:sz w:val="20"/>
                                    </w:rPr>
                                  </w:pPr>
                                  <w:r>
                                    <w:rPr>
                                      <w:b/>
                                      <w:color w:val="030303"/>
                                      <w:spacing w:val="-5"/>
                                      <w:w w:val="105"/>
                                      <w:sz w:val="20"/>
                                    </w:rPr>
                                    <w:t>189</w:t>
                                  </w:r>
                                </w:p>
                              </w:tc>
                            </w:tr>
                            <w:tr>
                              <w:trPr>
                                <w:trHeight w:val="349" w:hRule="atLeast"/>
                              </w:trPr>
                              <w:tc>
                                <w:tcPr>
                                  <w:tcW w:w="820" w:type="dxa"/>
                                </w:tcPr>
                                <w:p>
                                  <w:pPr>
                                    <w:pStyle w:val="TableParagraph"/>
                                    <w:spacing w:before="43"/>
                                    <w:ind w:right="230"/>
                                    <w:jc w:val="right"/>
                                    <w:rPr>
                                      <w:sz w:val="21"/>
                                    </w:rPr>
                                  </w:pPr>
                                  <w:r>
                                    <w:rPr>
                                      <w:color w:val="030303"/>
                                      <w:spacing w:val="-5"/>
                                      <w:sz w:val="21"/>
                                    </w:rPr>
                                    <w:t>506</w:t>
                                  </w:r>
                                </w:p>
                              </w:tc>
                              <w:tc>
                                <w:tcPr>
                                  <w:tcW w:w="1012" w:type="dxa"/>
                                </w:tcPr>
                                <w:p>
                                  <w:pPr>
                                    <w:pStyle w:val="TableParagraph"/>
                                    <w:spacing w:before="6"/>
                                    <w:ind w:right="241"/>
                                    <w:jc w:val="right"/>
                                    <w:rPr>
                                      <w:sz w:val="27"/>
                                    </w:rPr>
                                  </w:pPr>
                                  <w:r>
                                    <w:rPr>
                                      <w:color w:val="3B3B3B"/>
                                      <w:spacing w:val="-10"/>
                                      <w:sz w:val="27"/>
                                    </w:rPr>
                                    <w:t>-</w:t>
                                  </w:r>
                                </w:p>
                              </w:tc>
                              <w:tc>
                                <w:tcPr>
                                  <w:tcW w:w="829" w:type="dxa"/>
                                </w:tcPr>
                                <w:p>
                                  <w:pPr>
                                    <w:pStyle w:val="TableParagraph"/>
                                    <w:spacing w:before="43"/>
                                    <w:ind w:right="218"/>
                                    <w:jc w:val="right"/>
                                    <w:rPr>
                                      <w:sz w:val="21"/>
                                    </w:rPr>
                                  </w:pPr>
                                  <w:r>
                                    <w:rPr>
                                      <w:color w:val="282828"/>
                                      <w:spacing w:val="-10"/>
                                      <w:w w:val="105"/>
                                      <w:sz w:val="21"/>
                                    </w:rPr>
                                    <w:t>-</w:t>
                                  </w:r>
                                </w:p>
                              </w:tc>
                              <w:tc>
                                <w:tcPr>
                                  <w:tcW w:w="775" w:type="dxa"/>
                                </w:tcPr>
                                <w:p>
                                  <w:pPr>
                                    <w:pStyle w:val="TableParagraph"/>
                                    <w:spacing w:before="43"/>
                                    <w:ind w:right="191"/>
                                    <w:jc w:val="right"/>
                                    <w:rPr>
                                      <w:sz w:val="21"/>
                                    </w:rPr>
                                  </w:pPr>
                                  <w:r>
                                    <w:rPr>
                                      <w:color w:val="030303"/>
                                      <w:spacing w:val="-5"/>
                                      <w:sz w:val="21"/>
                                    </w:rPr>
                                    <w:t>15</w:t>
                                  </w:r>
                                </w:p>
                              </w:tc>
                              <w:tc>
                                <w:tcPr>
                                  <w:tcW w:w="662" w:type="dxa"/>
                                </w:tcPr>
                                <w:p>
                                  <w:pPr>
                                    <w:pStyle w:val="TableParagraph"/>
                                    <w:spacing w:before="6"/>
                                    <w:ind w:right="96"/>
                                    <w:jc w:val="right"/>
                                    <w:rPr>
                                      <w:sz w:val="27"/>
                                    </w:rPr>
                                  </w:pPr>
                                  <w:r>
                                    <w:rPr>
                                      <w:color w:val="4D4D4D"/>
                                      <w:spacing w:val="-10"/>
                                      <w:sz w:val="27"/>
                                    </w:rPr>
                                    <w:t>-</w:t>
                                  </w:r>
                                </w:p>
                              </w:tc>
                              <w:tc>
                                <w:tcPr>
                                  <w:tcW w:w="1215" w:type="dxa"/>
                                </w:tcPr>
                                <w:p>
                                  <w:pPr>
                                    <w:pStyle w:val="TableParagraph"/>
                                    <w:spacing w:before="39"/>
                                    <w:ind w:right="450"/>
                                    <w:jc w:val="right"/>
                                    <w:rPr>
                                      <w:sz w:val="22"/>
                                    </w:rPr>
                                  </w:pPr>
                                  <w:r>
                                    <w:rPr>
                                      <w:color w:val="3B3B3B"/>
                                      <w:spacing w:val="-10"/>
                                      <w:w w:val="110"/>
                                      <w:sz w:val="22"/>
                                    </w:rPr>
                                    <w:t>-</w:t>
                                  </w:r>
                                </w:p>
                              </w:tc>
                              <w:tc>
                                <w:tcPr>
                                  <w:tcW w:w="1059" w:type="dxa"/>
                                </w:tcPr>
                                <w:p>
                                  <w:pPr>
                                    <w:pStyle w:val="TableParagraph"/>
                                    <w:spacing w:before="43"/>
                                    <w:ind w:right="90"/>
                                    <w:jc w:val="right"/>
                                    <w:rPr>
                                      <w:sz w:val="22"/>
                                    </w:rPr>
                                  </w:pPr>
                                  <w:r>
                                    <w:rPr>
                                      <w:color w:val="3B3B3B"/>
                                      <w:spacing w:val="-10"/>
                                      <w:w w:val="110"/>
                                      <w:sz w:val="22"/>
                                    </w:rPr>
                                    <w:t>-</w:t>
                                  </w:r>
                                </w:p>
                              </w:tc>
                              <w:tc>
                                <w:tcPr>
                                  <w:tcW w:w="1017" w:type="dxa"/>
                                </w:tcPr>
                                <w:p>
                                  <w:pPr>
                                    <w:pStyle w:val="TableParagraph"/>
                                    <w:spacing w:before="38"/>
                                    <w:ind w:right="124"/>
                                    <w:jc w:val="right"/>
                                    <w:rPr>
                                      <w:sz w:val="21"/>
                                    </w:rPr>
                                  </w:pPr>
                                  <w:r>
                                    <w:rPr>
                                      <w:color w:val="030303"/>
                                      <w:spacing w:val="-5"/>
                                      <w:sz w:val="21"/>
                                    </w:rPr>
                                    <w:t>(2)</w:t>
                                  </w:r>
                                </w:p>
                              </w:tc>
                              <w:tc>
                                <w:tcPr>
                                  <w:tcW w:w="840" w:type="dxa"/>
                                </w:tcPr>
                                <w:p>
                                  <w:pPr>
                                    <w:pStyle w:val="TableParagraph"/>
                                    <w:spacing w:before="53"/>
                                    <w:ind w:right="45"/>
                                    <w:jc w:val="right"/>
                                    <w:rPr>
                                      <w:b/>
                                      <w:sz w:val="20"/>
                                    </w:rPr>
                                  </w:pPr>
                                  <w:r>
                                    <w:rPr>
                                      <w:b/>
                                      <w:color w:val="030303"/>
                                      <w:spacing w:val="-5"/>
                                      <w:w w:val="105"/>
                                      <w:sz w:val="20"/>
                                    </w:rPr>
                                    <w:t>519</w:t>
                                  </w:r>
                                </w:p>
                              </w:tc>
                            </w:tr>
                            <w:tr>
                              <w:trPr>
                                <w:trHeight w:val="327" w:hRule="atLeast"/>
                              </w:trPr>
                              <w:tc>
                                <w:tcPr>
                                  <w:tcW w:w="820" w:type="dxa"/>
                                </w:tcPr>
                                <w:p>
                                  <w:pPr>
                                    <w:pStyle w:val="TableParagraph"/>
                                    <w:spacing w:before="26"/>
                                    <w:ind w:right="232"/>
                                    <w:jc w:val="right"/>
                                    <w:rPr>
                                      <w:sz w:val="21"/>
                                    </w:rPr>
                                  </w:pPr>
                                  <w:r>
                                    <w:rPr>
                                      <w:color w:val="030303"/>
                                      <w:spacing w:val="-5"/>
                                      <w:sz w:val="21"/>
                                    </w:rPr>
                                    <w:t>420</w:t>
                                  </w:r>
                                </w:p>
                              </w:tc>
                              <w:tc>
                                <w:tcPr>
                                  <w:tcW w:w="1012" w:type="dxa"/>
                                </w:tcPr>
                                <w:p>
                                  <w:pPr>
                                    <w:pStyle w:val="TableParagraph"/>
                                    <w:spacing w:before="26"/>
                                    <w:ind w:right="245"/>
                                    <w:jc w:val="right"/>
                                    <w:rPr>
                                      <w:sz w:val="21"/>
                                    </w:rPr>
                                  </w:pPr>
                                  <w:r>
                                    <w:rPr>
                                      <w:color w:val="030303"/>
                                      <w:spacing w:val="-5"/>
                                      <w:sz w:val="21"/>
                                    </w:rPr>
                                    <w:t>30</w:t>
                                  </w:r>
                                </w:p>
                              </w:tc>
                              <w:tc>
                                <w:tcPr>
                                  <w:tcW w:w="829" w:type="dxa"/>
                                </w:tcPr>
                                <w:p>
                                  <w:pPr>
                                    <w:pStyle w:val="TableParagraph"/>
                                    <w:spacing w:before="26"/>
                                    <w:ind w:right="222"/>
                                    <w:jc w:val="right"/>
                                    <w:rPr>
                                      <w:sz w:val="21"/>
                                    </w:rPr>
                                  </w:pPr>
                                  <w:r>
                                    <w:rPr>
                                      <w:color w:val="030303"/>
                                      <w:spacing w:val="-5"/>
                                      <w:sz w:val="21"/>
                                    </w:rPr>
                                    <w:t>36</w:t>
                                  </w:r>
                                </w:p>
                              </w:tc>
                              <w:tc>
                                <w:tcPr>
                                  <w:tcW w:w="775" w:type="dxa"/>
                                </w:tcPr>
                                <w:p>
                                  <w:pPr>
                                    <w:pStyle w:val="TableParagraph"/>
                                    <w:spacing w:before="26"/>
                                    <w:ind w:right="184"/>
                                    <w:jc w:val="right"/>
                                    <w:rPr>
                                      <w:sz w:val="21"/>
                                    </w:rPr>
                                  </w:pPr>
                                  <w:r>
                                    <w:rPr>
                                      <w:color w:val="030303"/>
                                      <w:spacing w:val="-5"/>
                                      <w:sz w:val="21"/>
                                    </w:rPr>
                                    <w:t>24</w:t>
                                  </w:r>
                                </w:p>
                              </w:tc>
                              <w:tc>
                                <w:tcPr>
                                  <w:tcW w:w="662" w:type="dxa"/>
                                </w:tcPr>
                                <w:p>
                                  <w:pPr>
                                    <w:pStyle w:val="TableParagraph"/>
                                    <w:spacing w:before="26"/>
                                    <w:ind w:right="108"/>
                                    <w:jc w:val="right"/>
                                    <w:rPr>
                                      <w:sz w:val="21"/>
                                    </w:rPr>
                                  </w:pPr>
                                  <w:r>
                                    <w:rPr>
                                      <w:color w:val="030303"/>
                                      <w:spacing w:val="-5"/>
                                      <w:sz w:val="21"/>
                                    </w:rPr>
                                    <w:t>95</w:t>
                                  </w:r>
                                </w:p>
                              </w:tc>
                              <w:tc>
                                <w:tcPr>
                                  <w:tcW w:w="1215" w:type="dxa"/>
                                </w:tcPr>
                                <w:p>
                                  <w:pPr>
                                    <w:pStyle w:val="TableParagraph"/>
                                    <w:spacing w:before="45"/>
                                    <w:ind w:right="450"/>
                                    <w:jc w:val="right"/>
                                    <w:rPr>
                                      <w:sz w:val="21"/>
                                    </w:rPr>
                                  </w:pPr>
                                  <w:r>
                                    <w:rPr>
                                      <w:color w:val="3B3B3B"/>
                                      <w:spacing w:val="-10"/>
                                      <w:w w:val="105"/>
                                      <w:sz w:val="21"/>
                                    </w:rPr>
                                    <w:t>-</w:t>
                                  </w:r>
                                </w:p>
                              </w:tc>
                              <w:tc>
                                <w:tcPr>
                                  <w:tcW w:w="1059" w:type="dxa"/>
                                </w:tcPr>
                                <w:p>
                                  <w:pPr>
                                    <w:pStyle w:val="TableParagraph"/>
                                    <w:spacing w:before="26"/>
                                    <w:ind w:right="101"/>
                                    <w:jc w:val="right"/>
                                    <w:rPr>
                                      <w:sz w:val="21"/>
                                    </w:rPr>
                                  </w:pPr>
                                  <w:r>
                                    <w:rPr>
                                      <w:color w:val="030303"/>
                                      <w:spacing w:val="-10"/>
                                      <w:w w:val="105"/>
                                      <w:sz w:val="21"/>
                                    </w:rPr>
                                    <w:t>2</w:t>
                                  </w:r>
                                </w:p>
                              </w:tc>
                              <w:tc>
                                <w:tcPr>
                                  <w:tcW w:w="1017" w:type="dxa"/>
                                </w:tcPr>
                                <w:p>
                                  <w:pPr>
                                    <w:pStyle w:val="TableParagraph"/>
                                    <w:spacing w:before="26"/>
                                    <w:ind w:right="126"/>
                                    <w:jc w:val="right"/>
                                    <w:rPr>
                                      <w:sz w:val="21"/>
                                    </w:rPr>
                                  </w:pPr>
                                  <w:r>
                                    <w:rPr>
                                      <w:color w:val="030303"/>
                                      <w:spacing w:val="-2"/>
                                      <w:sz w:val="21"/>
                                    </w:rPr>
                                    <w:t>(180)</w:t>
                                  </w:r>
                                </w:p>
                              </w:tc>
                              <w:tc>
                                <w:tcPr>
                                  <w:tcW w:w="840" w:type="dxa"/>
                                </w:tcPr>
                                <w:p>
                                  <w:pPr>
                                    <w:pStyle w:val="TableParagraph"/>
                                    <w:spacing w:before="30"/>
                                    <w:ind w:right="45"/>
                                    <w:jc w:val="right"/>
                                    <w:rPr>
                                      <w:b/>
                                      <w:sz w:val="20"/>
                                    </w:rPr>
                                  </w:pPr>
                                  <w:r>
                                    <w:rPr>
                                      <w:b/>
                                      <w:color w:val="030303"/>
                                      <w:spacing w:val="-5"/>
                                      <w:w w:val="105"/>
                                      <w:sz w:val="20"/>
                                    </w:rPr>
                                    <w:t>427</w:t>
                                  </w:r>
                                </w:p>
                              </w:tc>
                            </w:tr>
                            <w:tr>
                              <w:trPr>
                                <w:trHeight w:val="326" w:hRule="atLeast"/>
                              </w:trPr>
                              <w:tc>
                                <w:tcPr>
                                  <w:tcW w:w="820" w:type="dxa"/>
                                </w:tcPr>
                                <w:p>
                                  <w:pPr>
                                    <w:pStyle w:val="TableParagraph"/>
                                    <w:spacing w:before="34"/>
                                    <w:ind w:right="236"/>
                                    <w:jc w:val="right"/>
                                    <w:rPr>
                                      <w:sz w:val="21"/>
                                    </w:rPr>
                                  </w:pPr>
                                  <w:r>
                                    <w:rPr>
                                      <w:color w:val="030303"/>
                                      <w:spacing w:val="-2"/>
                                      <w:sz w:val="21"/>
                                    </w:rPr>
                                    <w:t>1,386</w:t>
                                  </w:r>
                                </w:p>
                              </w:tc>
                              <w:tc>
                                <w:tcPr>
                                  <w:tcW w:w="1012" w:type="dxa"/>
                                </w:tcPr>
                                <w:p>
                                  <w:pPr>
                                    <w:pStyle w:val="TableParagraph"/>
                                    <w:spacing w:before="34"/>
                                    <w:ind w:right="241"/>
                                    <w:jc w:val="right"/>
                                    <w:rPr>
                                      <w:sz w:val="21"/>
                                    </w:rPr>
                                  </w:pPr>
                                  <w:r>
                                    <w:rPr>
                                      <w:color w:val="030303"/>
                                      <w:spacing w:val="-10"/>
                                      <w:w w:val="105"/>
                                      <w:sz w:val="21"/>
                                    </w:rPr>
                                    <w:t>2</w:t>
                                  </w:r>
                                </w:p>
                              </w:tc>
                              <w:tc>
                                <w:tcPr>
                                  <w:tcW w:w="829" w:type="dxa"/>
                                </w:tcPr>
                                <w:p>
                                  <w:pPr>
                                    <w:pStyle w:val="TableParagraph"/>
                                    <w:spacing w:before="34"/>
                                    <w:ind w:right="219"/>
                                    <w:jc w:val="right"/>
                                    <w:rPr>
                                      <w:sz w:val="21"/>
                                    </w:rPr>
                                  </w:pPr>
                                  <w:r>
                                    <w:rPr>
                                      <w:color w:val="030303"/>
                                      <w:spacing w:val="-10"/>
                                      <w:w w:val="105"/>
                                      <w:sz w:val="21"/>
                                    </w:rPr>
                                    <w:t>7</w:t>
                                  </w:r>
                                </w:p>
                              </w:tc>
                              <w:tc>
                                <w:tcPr>
                                  <w:tcW w:w="775" w:type="dxa"/>
                                </w:tcPr>
                                <w:p>
                                  <w:pPr>
                                    <w:pStyle w:val="TableParagraph"/>
                                    <w:spacing w:before="34"/>
                                    <w:ind w:right="188"/>
                                    <w:jc w:val="right"/>
                                    <w:rPr>
                                      <w:sz w:val="21"/>
                                    </w:rPr>
                                  </w:pPr>
                                  <w:r>
                                    <w:rPr>
                                      <w:color w:val="030303"/>
                                      <w:spacing w:val="-5"/>
                                      <w:sz w:val="21"/>
                                    </w:rPr>
                                    <w:t>218</w:t>
                                  </w:r>
                                </w:p>
                              </w:tc>
                              <w:tc>
                                <w:tcPr>
                                  <w:tcW w:w="662" w:type="dxa"/>
                                </w:tcPr>
                                <w:p>
                                  <w:pPr>
                                    <w:pStyle w:val="TableParagraph"/>
                                    <w:spacing w:before="34"/>
                                    <w:ind w:right="108"/>
                                    <w:jc w:val="right"/>
                                    <w:rPr>
                                      <w:sz w:val="21"/>
                                    </w:rPr>
                                  </w:pPr>
                                  <w:r>
                                    <w:rPr>
                                      <w:color w:val="030303"/>
                                      <w:spacing w:val="-5"/>
                                      <w:sz w:val="21"/>
                                    </w:rPr>
                                    <w:t>29</w:t>
                                  </w:r>
                                </w:p>
                              </w:tc>
                              <w:tc>
                                <w:tcPr>
                                  <w:tcW w:w="1215" w:type="dxa"/>
                                </w:tcPr>
                                <w:p>
                                  <w:pPr>
                                    <w:pStyle w:val="TableParagraph"/>
                                    <w:spacing w:before="39"/>
                                    <w:ind w:right="455"/>
                                    <w:jc w:val="right"/>
                                    <w:rPr>
                                      <w:sz w:val="21"/>
                                    </w:rPr>
                                  </w:pPr>
                                  <w:r>
                                    <w:rPr>
                                      <w:color w:val="282828"/>
                                      <w:spacing w:val="-10"/>
                                      <w:w w:val="105"/>
                                      <w:sz w:val="21"/>
                                    </w:rPr>
                                    <w:t>-</w:t>
                                  </w:r>
                                </w:p>
                              </w:tc>
                              <w:tc>
                                <w:tcPr>
                                  <w:tcW w:w="1059" w:type="dxa"/>
                                </w:tcPr>
                                <w:p>
                                  <w:pPr>
                                    <w:pStyle w:val="TableParagraph"/>
                                    <w:spacing w:before="39"/>
                                    <w:ind w:right="98"/>
                                    <w:jc w:val="right"/>
                                    <w:rPr>
                                      <w:sz w:val="21"/>
                                    </w:rPr>
                                  </w:pPr>
                                  <w:r>
                                    <w:rPr>
                                      <w:color w:val="030303"/>
                                      <w:spacing w:val="-10"/>
                                      <w:w w:val="105"/>
                                      <w:sz w:val="21"/>
                                    </w:rPr>
                                    <w:t>3</w:t>
                                  </w:r>
                                </w:p>
                              </w:tc>
                              <w:tc>
                                <w:tcPr>
                                  <w:tcW w:w="1017" w:type="dxa"/>
                                </w:tcPr>
                                <w:p>
                                  <w:pPr>
                                    <w:pStyle w:val="TableParagraph"/>
                                    <w:spacing w:before="34"/>
                                    <w:ind w:right="126"/>
                                    <w:jc w:val="right"/>
                                    <w:rPr>
                                      <w:sz w:val="21"/>
                                    </w:rPr>
                                  </w:pPr>
                                  <w:r>
                                    <w:rPr>
                                      <w:color w:val="030303"/>
                                      <w:spacing w:val="-2"/>
                                      <w:sz w:val="21"/>
                                    </w:rPr>
                                    <w:t>(323)</w:t>
                                  </w:r>
                                </w:p>
                              </w:tc>
                              <w:tc>
                                <w:tcPr>
                                  <w:tcW w:w="840" w:type="dxa"/>
                                </w:tcPr>
                                <w:p>
                                  <w:pPr>
                                    <w:pStyle w:val="TableParagraph"/>
                                    <w:spacing w:before="44"/>
                                    <w:ind w:right="48"/>
                                    <w:jc w:val="right"/>
                                    <w:rPr>
                                      <w:b/>
                                      <w:sz w:val="20"/>
                                    </w:rPr>
                                  </w:pPr>
                                  <w:r>
                                    <w:rPr>
                                      <w:b/>
                                      <w:color w:val="030303"/>
                                      <w:spacing w:val="-2"/>
                                      <w:w w:val="105"/>
                                      <w:sz w:val="20"/>
                                    </w:rPr>
                                    <w:t>1,322</w:t>
                                  </w:r>
                                </w:p>
                              </w:tc>
                            </w:tr>
                            <w:tr>
                              <w:trPr>
                                <w:trHeight w:val="318" w:hRule="atLeast"/>
                              </w:trPr>
                              <w:tc>
                                <w:tcPr>
                                  <w:tcW w:w="820" w:type="dxa"/>
                                </w:tcPr>
                                <w:p>
                                  <w:pPr>
                                    <w:pStyle w:val="TableParagraph"/>
                                    <w:spacing w:before="39"/>
                                    <w:ind w:right="239"/>
                                    <w:jc w:val="right"/>
                                    <w:rPr>
                                      <w:sz w:val="21"/>
                                    </w:rPr>
                                  </w:pPr>
                                  <w:r>
                                    <w:rPr>
                                      <w:color w:val="030303"/>
                                      <w:spacing w:val="-2"/>
                                      <w:sz w:val="21"/>
                                    </w:rPr>
                                    <w:t>2,983</w:t>
                                  </w:r>
                                </w:p>
                              </w:tc>
                              <w:tc>
                                <w:tcPr>
                                  <w:tcW w:w="1012" w:type="dxa"/>
                                </w:tcPr>
                                <w:p>
                                  <w:pPr>
                                    <w:pStyle w:val="TableParagraph"/>
                                    <w:spacing w:before="54"/>
                                    <w:ind w:right="250"/>
                                    <w:jc w:val="right"/>
                                    <w:rPr>
                                      <w:sz w:val="21"/>
                                    </w:rPr>
                                  </w:pPr>
                                  <w:r>
                                    <w:rPr>
                                      <w:color w:val="030303"/>
                                      <w:spacing w:val="-10"/>
                                      <w:w w:val="105"/>
                                      <w:sz w:val="21"/>
                                    </w:rPr>
                                    <w:t>-</w:t>
                                  </w:r>
                                </w:p>
                              </w:tc>
                              <w:tc>
                                <w:tcPr>
                                  <w:tcW w:w="829" w:type="dxa"/>
                                </w:tcPr>
                                <w:p>
                                  <w:pPr>
                                    <w:pStyle w:val="TableParagraph"/>
                                    <w:spacing w:before="39"/>
                                    <w:ind w:right="223"/>
                                    <w:jc w:val="right"/>
                                    <w:rPr>
                                      <w:sz w:val="21"/>
                                    </w:rPr>
                                  </w:pPr>
                                  <w:r>
                                    <w:rPr>
                                      <w:color w:val="030303"/>
                                      <w:spacing w:val="-10"/>
                                      <w:w w:val="105"/>
                                      <w:sz w:val="21"/>
                                    </w:rPr>
                                    <w:t>2</w:t>
                                  </w:r>
                                </w:p>
                              </w:tc>
                              <w:tc>
                                <w:tcPr>
                                  <w:tcW w:w="775" w:type="dxa"/>
                                </w:tcPr>
                                <w:p>
                                  <w:pPr>
                                    <w:pStyle w:val="TableParagraph"/>
                                    <w:spacing w:before="39"/>
                                    <w:ind w:right="192"/>
                                    <w:jc w:val="right"/>
                                    <w:rPr>
                                      <w:sz w:val="21"/>
                                    </w:rPr>
                                  </w:pPr>
                                  <w:r>
                                    <w:rPr>
                                      <w:color w:val="030303"/>
                                      <w:spacing w:val="-5"/>
                                      <w:sz w:val="21"/>
                                    </w:rPr>
                                    <w:t>704</w:t>
                                  </w:r>
                                </w:p>
                              </w:tc>
                              <w:tc>
                                <w:tcPr>
                                  <w:tcW w:w="662" w:type="dxa"/>
                                </w:tcPr>
                                <w:p>
                                  <w:pPr>
                                    <w:pStyle w:val="TableParagraph"/>
                                    <w:spacing w:before="39"/>
                                    <w:ind w:right="114"/>
                                    <w:jc w:val="right"/>
                                    <w:rPr>
                                      <w:sz w:val="21"/>
                                    </w:rPr>
                                  </w:pPr>
                                  <w:r>
                                    <w:rPr>
                                      <w:color w:val="030303"/>
                                      <w:spacing w:val="-5"/>
                                      <w:sz w:val="21"/>
                                    </w:rPr>
                                    <w:t>129</w:t>
                                  </w:r>
                                </w:p>
                              </w:tc>
                              <w:tc>
                                <w:tcPr>
                                  <w:tcW w:w="1215" w:type="dxa"/>
                                </w:tcPr>
                                <w:p>
                                  <w:pPr>
                                    <w:pStyle w:val="TableParagraph"/>
                                    <w:spacing w:before="39"/>
                                    <w:ind w:right="470"/>
                                    <w:jc w:val="right"/>
                                    <w:rPr>
                                      <w:sz w:val="21"/>
                                    </w:rPr>
                                  </w:pPr>
                                  <w:r>
                                    <w:rPr>
                                      <w:color w:val="030303"/>
                                      <w:spacing w:val="-2"/>
                                      <w:sz w:val="21"/>
                                    </w:rPr>
                                    <w:t>26,779</w:t>
                                  </w:r>
                                </w:p>
                              </w:tc>
                              <w:tc>
                                <w:tcPr>
                                  <w:tcW w:w="1059" w:type="dxa"/>
                                </w:tcPr>
                                <w:p>
                                  <w:pPr>
                                    <w:pStyle w:val="TableParagraph"/>
                                    <w:spacing w:before="39"/>
                                    <w:ind w:right="99"/>
                                    <w:jc w:val="right"/>
                                    <w:rPr>
                                      <w:sz w:val="21"/>
                                    </w:rPr>
                                  </w:pPr>
                                  <w:r>
                                    <w:rPr>
                                      <w:color w:val="030303"/>
                                      <w:spacing w:val="-5"/>
                                      <w:w w:val="105"/>
                                      <w:sz w:val="21"/>
                                    </w:rPr>
                                    <w:t>141</w:t>
                                  </w:r>
                                </w:p>
                              </w:tc>
                              <w:tc>
                                <w:tcPr>
                                  <w:tcW w:w="1017" w:type="dxa"/>
                                </w:tcPr>
                                <w:p>
                                  <w:pPr>
                                    <w:pStyle w:val="TableParagraph"/>
                                    <w:spacing w:before="39"/>
                                    <w:ind w:right="134"/>
                                    <w:jc w:val="right"/>
                                    <w:rPr>
                                      <w:sz w:val="21"/>
                                    </w:rPr>
                                  </w:pPr>
                                  <w:r>
                                    <w:rPr>
                                      <w:color w:val="030303"/>
                                      <w:spacing w:val="-2"/>
                                      <w:sz w:val="21"/>
                                    </w:rPr>
                                    <w:t>(27,880)</w:t>
                                  </w:r>
                                </w:p>
                              </w:tc>
                              <w:tc>
                                <w:tcPr>
                                  <w:tcW w:w="840" w:type="dxa"/>
                                </w:tcPr>
                                <w:p>
                                  <w:pPr>
                                    <w:pStyle w:val="TableParagraph"/>
                                    <w:spacing w:before="49"/>
                                    <w:ind w:right="47"/>
                                    <w:jc w:val="right"/>
                                    <w:rPr>
                                      <w:b/>
                                      <w:sz w:val="20"/>
                                    </w:rPr>
                                  </w:pPr>
                                  <w:r>
                                    <w:rPr>
                                      <w:b/>
                                      <w:color w:val="030303"/>
                                      <w:spacing w:val="-2"/>
                                      <w:w w:val="105"/>
                                      <w:sz w:val="20"/>
                                    </w:rPr>
                                    <w:t>2,858</w:t>
                                  </w:r>
                                </w:p>
                              </w:tc>
                            </w:tr>
                            <w:tr>
                              <w:trPr>
                                <w:trHeight w:val="358" w:hRule="atLeast"/>
                              </w:trPr>
                              <w:tc>
                                <w:tcPr>
                                  <w:tcW w:w="820" w:type="dxa"/>
                                </w:tcPr>
                                <w:p>
                                  <w:pPr>
                                    <w:pStyle w:val="TableParagraph"/>
                                    <w:spacing w:before="57"/>
                                    <w:ind w:right="234"/>
                                    <w:jc w:val="right"/>
                                    <w:rPr>
                                      <w:sz w:val="21"/>
                                    </w:rPr>
                                  </w:pPr>
                                  <w:r>
                                    <w:rPr>
                                      <w:color w:val="030303"/>
                                      <w:spacing w:val="-5"/>
                                      <w:sz w:val="21"/>
                                    </w:rPr>
                                    <w:t>76</w:t>
                                  </w:r>
                                </w:p>
                              </w:tc>
                              <w:tc>
                                <w:tcPr>
                                  <w:tcW w:w="1012" w:type="dxa"/>
                                </w:tcPr>
                                <w:p>
                                  <w:pPr>
                                    <w:pStyle w:val="TableParagraph"/>
                                    <w:spacing w:before="15"/>
                                    <w:ind w:right="245"/>
                                    <w:jc w:val="right"/>
                                    <w:rPr>
                                      <w:sz w:val="27"/>
                                    </w:rPr>
                                  </w:pPr>
                                  <w:r>
                                    <w:rPr>
                                      <w:color w:val="030303"/>
                                      <w:spacing w:val="-10"/>
                                      <w:sz w:val="27"/>
                                    </w:rPr>
                                    <w:t>-</w:t>
                                  </w:r>
                                </w:p>
                              </w:tc>
                              <w:tc>
                                <w:tcPr>
                                  <w:tcW w:w="829" w:type="dxa"/>
                                </w:tcPr>
                                <w:p>
                                  <w:pPr>
                                    <w:pStyle w:val="TableParagraph"/>
                                    <w:spacing w:before="47"/>
                                    <w:ind w:right="227"/>
                                    <w:jc w:val="right"/>
                                    <w:rPr>
                                      <w:sz w:val="22"/>
                                    </w:rPr>
                                  </w:pPr>
                                  <w:r>
                                    <w:rPr>
                                      <w:color w:val="030303"/>
                                      <w:spacing w:val="-10"/>
                                      <w:w w:val="110"/>
                                      <w:sz w:val="22"/>
                                    </w:rPr>
                                    <w:t>-</w:t>
                                  </w:r>
                                </w:p>
                              </w:tc>
                              <w:tc>
                                <w:tcPr>
                                  <w:tcW w:w="775" w:type="dxa"/>
                                </w:tcPr>
                                <w:p>
                                  <w:pPr>
                                    <w:pStyle w:val="TableParagraph"/>
                                    <w:spacing w:before="52"/>
                                    <w:ind w:right="191"/>
                                    <w:jc w:val="right"/>
                                    <w:rPr>
                                      <w:sz w:val="21"/>
                                    </w:rPr>
                                  </w:pPr>
                                  <w:r>
                                    <w:rPr>
                                      <w:color w:val="030303"/>
                                      <w:spacing w:val="-5"/>
                                      <w:sz w:val="21"/>
                                    </w:rPr>
                                    <w:t>421</w:t>
                                  </w:r>
                                </w:p>
                              </w:tc>
                              <w:tc>
                                <w:tcPr>
                                  <w:tcW w:w="662" w:type="dxa"/>
                                </w:tcPr>
                                <w:p>
                                  <w:pPr>
                                    <w:pStyle w:val="TableParagraph"/>
                                    <w:spacing w:before="57"/>
                                    <w:ind w:right="108"/>
                                    <w:jc w:val="right"/>
                                    <w:rPr>
                                      <w:sz w:val="21"/>
                                    </w:rPr>
                                  </w:pPr>
                                  <w:r>
                                    <w:rPr>
                                      <w:color w:val="030303"/>
                                      <w:spacing w:val="-10"/>
                                      <w:w w:val="105"/>
                                      <w:sz w:val="21"/>
                                    </w:rPr>
                                    <w:t>8</w:t>
                                  </w:r>
                                </w:p>
                              </w:tc>
                              <w:tc>
                                <w:tcPr>
                                  <w:tcW w:w="1215" w:type="dxa"/>
                                </w:tcPr>
                                <w:p>
                                  <w:pPr>
                                    <w:pStyle w:val="TableParagraph"/>
                                    <w:spacing w:before="52"/>
                                    <w:ind w:right="455"/>
                                    <w:jc w:val="right"/>
                                    <w:rPr>
                                      <w:sz w:val="22"/>
                                    </w:rPr>
                                  </w:pPr>
                                  <w:r>
                                    <w:rPr>
                                      <w:color w:val="282828"/>
                                      <w:spacing w:val="-10"/>
                                      <w:w w:val="110"/>
                                      <w:sz w:val="22"/>
                                    </w:rPr>
                                    <w:t>-</w:t>
                                  </w:r>
                                </w:p>
                              </w:tc>
                              <w:tc>
                                <w:tcPr>
                                  <w:tcW w:w="1059" w:type="dxa"/>
                                </w:tcPr>
                                <w:p>
                                  <w:pPr>
                                    <w:pStyle w:val="TableParagraph"/>
                                    <w:spacing w:before="52"/>
                                    <w:ind w:right="100"/>
                                    <w:jc w:val="right"/>
                                    <w:rPr>
                                      <w:sz w:val="22"/>
                                    </w:rPr>
                                  </w:pPr>
                                  <w:r>
                                    <w:rPr>
                                      <w:color w:val="282828"/>
                                      <w:spacing w:val="-10"/>
                                      <w:w w:val="110"/>
                                      <w:sz w:val="22"/>
                                    </w:rPr>
                                    <w:t>-</w:t>
                                  </w:r>
                                </w:p>
                              </w:tc>
                              <w:tc>
                                <w:tcPr>
                                  <w:tcW w:w="1017" w:type="dxa"/>
                                </w:tcPr>
                                <w:p>
                                  <w:pPr>
                                    <w:pStyle w:val="TableParagraph"/>
                                    <w:spacing w:before="52"/>
                                    <w:ind w:right="127"/>
                                    <w:jc w:val="right"/>
                                    <w:rPr>
                                      <w:sz w:val="21"/>
                                    </w:rPr>
                                  </w:pPr>
                                  <w:r>
                                    <w:rPr>
                                      <w:color w:val="030303"/>
                                      <w:spacing w:val="-4"/>
                                      <w:sz w:val="21"/>
                                    </w:rPr>
                                    <w:t>(81)</w:t>
                                  </w:r>
                                </w:p>
                              </w:tc>
                              <w:tc>
                                <w:tcPr>
                                  <w:tcW w:w="840" w:type="dxa"/>
                                </w:tcPr>
                                <w:p>
                                  <w:pPr>
                                    <w:pStyle w:val="TableParagraph"/>
                                    <w:spacing w:before="61"/>
                                    <w:ind w:right="51"/>
                                    <w:jc w:val="right"/>
                                    <w:rPr>
                                      <w:b/>
                                      <w:sz w:val="20"/>
                                    </w:rPr>
                                  </w:pPr>
                                  <w:r>
                                    <w:rPr>
                                      <w:b/>
                                      <w:color w:val="030303"/>
                                      <w:spacing w:val="-5"/>
                                      <w:w w:val="105"/>
                                      <w:sz w:val="20"/>
                                    </w:rPr>
                                    <w:t>424</w:t>
                                  </w:r>
                                </w:p>
                              </w:tc>
                            </w:tr>
                            <w:tr>
                              <w:trPr>
                                <w:trHeight w:val="305" w:hRule="atLeast"/>
                              </w:trPr>
                              <w:tc>
                                <w:tcPr>
                                  <w:tcW w:w="820" w:type="dxa"/>
                                </w:tcPr>
                                <w:p>
                                  <w:pPr>
                                    <w:pStyle w:val="TableParagraph"/>
                                    <w:spacing w:before="30"/>
                                    <w:ind w:right="241"/>
                                    <w:jc w:val="right"/>
                                    <w:rPr>
                                      <w:sz w:val="21"/>
                                    </w:rPr>
                                  </w:pPr>
                                  <w:r>
                                    <w:rPr>
                                      <w:color w:val="030303"/>
                                      <w:spacing w:val="-2"/>
                                      <w:sz w:val="21"/>
                                    </w:rPr>
                                    <w:t>1,189</w:t>
                                  </w:r>
                                </w:p>
                              </w:tc>
                              <w:tc>
                                <w:tcPr>
                                  <w:tcW w:w="1012" w:type="dxa"/>
                                </w:tcPr>
                                <w:p>
                                  <w:pPr>
                                    <w:pStyle w:val="TableParagraph"/>
                                    <w:spacing w:before="35"/>
                                    <w:ind w:right="254"/>
                                    <w:jc w:val="right"/>
                                    <w:rPr>
                                      <w:sz w:val="21"/>
                                    </w:rPr>
                                  </w:pPr>
                                  <w:r>
                                    <w:rPr>
                                      <w:color w:val="030303"/>
                                      <w:spacing w:val="-10"/>
                                      <w:sz w:val="21"/>
                                    </w:rPr>
                                    <w:t>1</w:t>
                                  </w:r>
                                </w:p>
                              </w:tc>
                              <w:tc>
                                <w:tcPr>
                                  <w:tcW w:w="829" w:type="dxa"/>
                                </w:tcPr>
                                <w:p>
                                  <w:pPr>
                                    <w:pStyle w:val="TableParagraph"/>
                                    <w:spacing w:before="30"/>
                                    <w:ind w:right="228"/>
                                    <w:jc w:val="right"/>
                                    <w:rPr>
                                      <w:sz w:val="21"/>
                                    </w:rPr>
                                  </w:pPr>
                                  <w:r>
                                    <w:rPr>
                                      <w:color w:val="030303"/>
                                      <w:spacing w:val="-10"/>
                                      <w:w w:val="105"/>
                                      <w:sz w:val="21"/>
                                    </w:rPr>
                                    <w:t>2</w:t>
                                  </w:r>
                                </w:p>
                              </w:tc>
                              <w:tc>
                                <w:tcPr>
                                  <w:tcW w:w="775" w:type="dxa"/>
                                </w:tcPr>
                                <w:p>
                                  <w:pPr>
                                    <w:pStyle w:val="TableParagraph"/>
                                    <w:spacing w:before="35"/>
                                    <w:ind w:right="191"/>
                                    <w:jc w:val="right"/>
                                    <w:rPr>
                                      <w:sz w:val="21"/>
                                    </w:rPr>
                                  </w:pPr>
                                  <w:r>
                                    <w:rPr>
                                      <w:color w:val="030303"/>
                                      <w:spacing w:val="-5"/>
                                      <w:sz w:val="21"/>
                                    </w:rPr>
                                    <w:t>977</w:t>
                                  </w:r>
                                </w:p>
                              </w:tc>
                              <w:tc>
                                <w:tcPr>
                                  <w:tcW w:w="662" w:type="dxa"/>
                                </w:tcPr>
                                <w:p>
                                  <w:pPr>
                                    <w:pStyle w:val="TableParagraph"/>
                                    <w:spacing w:before="30"/>
                                    <w:ind w:right="107"/>
                                    <w:jc w:val="right"/>
                                    <w:rPr>
                                      <w:sz w:val="21"/>
                                    </w:rPr>
                                  </w:pPr>
                                  <w:r>
                                    <w:rPr>
                                      <w:color w:val="030303"/>
                                      <w:spacing w:val="-5"/>
                                      <w:sz w:val="21"/>
                                    </w:rPr>
                                    <w:t>106</w:t>
                                  </w:r>
                                </w:p>
                              </w:tc>
                              <w:tc>
                                <w:tcPr>
                                  <w:tcW w:w="1215" w:type="dxa"/>
                                </w:tcPr>
                                <w:p>
                                  <w:pPr>
                                    <w:pStyle w:val="TableParagraph"/>
                                    <w:spacing w:before="30"/>
                                    <w:ind w:right="461"/>
                                    <w:jc w:val="right"/>
                                    <w:rPr>
                                      <w:sz w:val="21"/>
                                    </w:rPr>
                                  </w:pPr>
                                  <w:r>
                                    <w:rPr>
                                      <w:color w:val="030303"/>
                                      <w:spacing w:val="-5"/>
                                      <w:sz w:val="21"/>
                                    </w:rPr>
                                    <w:t>77</w:t>
                                  </w:r>
                                </w:p>
                              </w:tc>
                              <w:tc>
                                <w:tcPr>
                                  <w:tcW w:w="1059" w:type="dxa"/>
                                </w:tcPr>
                                <w:p>
                                  <w:pPr>
                                    <w:pStyle w:val="TableParagraph"/>
                                    <w:spacing w:before="30"/>
                                    <w:ind w:right="103"/>
                                    <w:jc w:val="right"/>
                                    <w:rPr>
                                      <w:sz w:val="21"/>
                                    </w:rPr>
                                  </w:pPr>
                                  <w:r>
                                    <w:rPr>
                                      <w:color w:val="030303"/>
                                      <w:spacing w:val="-5"/>
                                      <w:sz w:val="21"/>
                                    </w:rPr>
                                    <w:t>826</w:t>
                                  </w:r>
                                </w:p>
                              </w:tc>
                              <w:tc>
                                <w:tcPr>
                                  <w:tcW w:w="1017" w:type="dxa"/>
                                </w:tcPr>
                                <w:p>
                                  <w:pPr>
                                    <w:pStyle w:val="TableParagraph"/>
                                    <w:spacing w:before="26"/>
                                    <w:ind w:right="130"/>
                                    <w:jc w:val="right"/>
                                    <w:rPr>
                                      <w:sz w:val="21"/>
                                    </w:rPr>
                                  </w:pPr>
                                  <w:r>
                                    <w:rPr>
                                      <w:color w:val="030303"/>
                                      <w:spacing w:val="-2"/>
                                      <w:sz w:val="21"/>
                                    </w:rPr>
                                    <w:t>(1,415)</w:t>
                                  </w:r>
                                </w:p>
                              </w:tc>
                              <w:tc>
                                <w:tcPr>
                                  <w:tcW w:w="840" w:type="dxa"/>
                                </w:tcPr>
                                <w:p>
                                  <w:pPr>
                                    <w:pStyle w:val="TableParagraph"/>
                                    <w:spacing w:before="35"/>
                                    <w:ind w:right="53"/>
                                    <w:jc w:val="right"/>
                                    <w:rPr>
                                      <w:b/>
                                      <w:sz w:val="20"/>
                                    </w:rPr>
                                  </w:pPr>
                                  <w:r>
                                    <w:rPr>
                                      <w:b/>
                                      <w:color w:val="030303"/>
                                      <w:spacing w:val="-2"/>
                                      <w:w w:val="105"/>
                                      <w:sz w:val="20"/>
                                    </w:rPr>
                                    <w:t>1,763</w:t>
                                  </w:r>
                                </w:p>
                              </w:tc>
                            </w:tr>
                            <w:tr>
                              <w:trPr>
                                <w:trHeight w:val="362" w:hRule="atLeast"/>
                              </w:trPr>
                              <w:tc>
                                <w:tcPr>
                                  <w:tcW w:w="820" w:type="dxa"/>
                                </w:tcPr>
                                <w:p>
                                  <w:pPr>
                                    <w:pStyle w:val="TableParagraph"/>
                                    <w:spacing w:before="62"/>
                                    <w:ind w:right="235"/>
                                    <w:jc w:val="right"/>
                                    <w:rPr>
                                      <w:sz w:val="21"/>
                                    </w:rPr>
                                  </w:pPr>
                                  <w:r>
                                    <w:rPr>
                                      <w:color w:val="030303"/>
                                      <w:spacing w:val="-2"/>
                                      <w:sz w:val="21"/>
                                    </w:rPr>
                                    <w:t>1,270</w:t>
                                  </w:r>
                                </w:p>
                              </w:tc>
                              <w:tc>
                                <w:tcPr>
                                  <w:tcW w:w="1012" w:type="dxa"/>
                                </w:tcPr>
                                <w:p>
                                  <w:pPr>
                                    <w:pStyle w:val="TableParagraph"/>
                                    <w:spacing w:before="57"/>
                                    <w:ind w:right="256"/>
                                    <w:jc w:val="right"/>
                                    <w:rPr>
                                      <w:sz w:val="22"/>
                                    </w:rPr>
                                  </w:pPr>
                                  <w:r>
                                    <w:rPr>
                                      <w:color w:val="282828"/>
                                      <w:spacing w:val="-10"/>
                                      <w:sz w:val="22"/>
                                    </w:rPr>
                                    <w:t>-</w:t>
                                  </w:r>
                                </w:p>
                              </w:tc>
                              <w:tc>
                                <w:tcPr>
                                  <w:tcW w:w="829" w:type="dxa"/>
                                </w:tcPr>
                                <w:p>
                                  <w:pPr>
                                    <w:pStyle w:val="TableParagraph"/>
                                    <w:spacing w:before="57"/>
                                    <w:ind w:right="233"/>
                                    <w:jc w:val="right"/>
                                    <w:rPr>
                                      <w:sz w:val="22"/>
                                    </w:rPr>
                                  </w:pPr>
                                  <w:r>
                                    <w:rPr>
                                      <w:color w:val="3B3B3B"/>
                                      <w:spacing w:val="-10"/>
                                      <w:sz w:val="22"/>
                                    </w:rPr>
                                    <w:t>-</w:t>
                                  </w:r>
                                </w:p>
                              </w:tc>
                              <w:tc>
                                <w:tcPr>
                                  <w:tcW w:w="775" w:type="dxa"/>
                                </w:tcPr>
                                <w:p>
                                  <w:pPr>
                                    <w:pStyle w:val="TableParagraph"/>
                                    <w:spacing w:before="62"/>
                                    <w:ind w:right="192"/>
                                    <w:jc w:val="right"/>
                                    <w:rPr>
                                      <w:sz w:val="21"/>
                                    </w:rPr>
                                  </w:pPr>
                                  <w:r>
                                    <w:rPr>
                                      <w:color w:val="030303"/>
                                      <w:spacing w:val="-5"/>
                                      <w:sz w:val="21"/>
                                    </w:rPr>
                                    <w:t>133</w:t>
                                  </w:r>
                                </w:p>
                              </w:tc>
                              <w:tc>
                                <w:tcPr>
                                  <w:tcW w:w="662" w:type="dxa"/>
                                </w:tcPr>
                                <w:p>
                                  <w:pPr>
                                    <w:pStyle w:val="TableParagraph"/>
                                    <w:spacing w:before="62"/>
                                    <w:ind w:right="112"/>
                                    <w:jc w:val="right"/>
                                    <w:rPr>
                                      <w:sz w:val="21"/>
                                    </w:rPr>
                                  </w:pPr>
                                  <w:r>
                                    <w:rPr>
                                      <w:color w:val="030303"/>
                                      <w:spacing w:val="-5"/>
                                      <w:sz w:val="21"/>
                                    </w:rPr>
                                    <w:t>120</w:t>
                                  </w:r>
                                </w:p>
                              </w:tc>
                              <w:tc>
                                <w:tcPr>
                                  <w:tcW w:w="1215" w:type="dxa"/>
                                </w:tcPr>
                                <w:p>
                                  <w:pPr>
                                    <w:pStyle w:val="TableParagraph"/>
                                    <w:spacing w:before="20"/>
                                    <w:ind w:right="455"/>
                                    <w:jc w:val="right"/>
                                    <w:rPr>
                                      <w:sz w:val="27"/>
                                    </w:rPr>
                                  </w:pPr>
                                  <w:r>
                                    <w:rPr>
                                      <w:color w:val="282828"/>
                                      <w:spacing w:val="-10"/>
                                      <w:sz w:val="27"/>
                                    </w:rPr>
                                    <w:t>-</w:t>
                                  </w:r>
                                </w:p>
                              </w:tc>
                              <w:tc>
                                <w:tcPr>
                                  <w:tcW w:w="1059" w:type="dxa"/>
                                </w:tcPr>
                                <w:p>
                                  <w:pPr>
                                    <w:pStyle w:val="TableParagraph"/>
                                    <w:spacing w:before="62"/>
                                    <w:ind w:right="100"/>
                                    <w:jc w:val="right"/>
                                    <w:rPr>
                                      <w:sz w:val="21"/>
                                    </w:rPr>
                                  </w:pPr>
                                  <w:r>
                                    <w:rPr>
                                      <w:color w:val="030303"/>
                                      <w:spacing w:val="-5"/>
                                      <w:w w:val="105"/>
                                      <w:sz w:val="21"/>
                                    </w:rPr>
                                    <w:t>33</w:t>
                                  </w:r>
                                </w:p>
                              </w:tc>
                              <w:tc>
                                <w:tcPr>
                                  <w:tcW w:w="1017" w:type="dxa"/>
                                </w:tcPr>
                                <w:p>
                                  <w:pPr>
                                    <w:pStyle w:val="TableParagraph"/>
                                    <w:spacing w:before="57"/>
                                    <w:ind w:right="127"/>
                                    <w:jc w:val="right"/>
                                    <w:rPr>
                                      <w:sz w:val="21"/>
                                    </w:rPr>
                                  </w:pPr>
                                  <w:r>
                                    <w:rPr>
                                      <w:color w:val="030303"/>
                                      <w:spacing w:val="-4"/>
                                      <w:sz w:val="21"/>
                                    </w:rPr>
                                    <w:t>(70)</w:t>
                                  </w:r>
                                </w:p>
                              </w:tc>
                              <w:tc>
                                <w:tcPr>
                                  <w:tcW w:w="840" w:type="dxa"/>
                                </w:tcPr>
                                <w:p>
                                  <w:pPr>
                                    <w:pStyle w:val="TableParagraph"/>
                                    <w:spacing w:before="66"/>
                                    <w:ind w:right="48"/>
                                    <w:jc w:val="right"/>
                                    <w:rPr>
                                      <w:b/>
                                      <w:sz w:val="20"/>
                                    </w:rPr>
                                  </w:pPr>
                                  <w:r>
                                    <w:rPr>
                                      <w:b/>
                                      <w:color w:val="030303"/>
                                      <w:spacing w:val="-2"/>
                                      <w:w w:val="105"/>
                                      <w:sz w:val="20"/>
                                    </w:rPr>
                                    <w:t>1,486</w:t>
                                  </w:r>
                                </w:p>
                              </w:tc>
                            </w:tr>
                            <w:tr>
                              <w:trPr>
                                <w:trHeight w:val="312" w:hRule="atLeast"/>
                              </w:trPr>
                              <w:tc>
                                <w:tcPr>
                                  <w:tcW w:w="820" w:type="dxa"/>
                                </w:tcPr>
                                <w:p>
                                  <w:pPr>
                                    <w:pStyle w:val="TableParagraph"/>
                                    <w:spacing w:before="30"/>
                                    <w:ind w:right="241"/>
                                    <w:jc w:val="right"/>
                                    <w:rPr>
                                      <w:sz w:val="21"/>
                                    </w:rPr>
                                  </w:pPr>
                                  <w:r>
                                    <w:rPr>
                                      <w:color w:val="030303"/>
                                      <w:spacing w:val="-2"/>
                                      <w:sz w:val="21"/>
                                    </w:rPr>
                                    <w:t>1,272</w:t>
                                  </w:r>
                                </w:p>
                              </w:tc>
                              <w:tc>
                                <w:tcPr>
                                  <w:tcW w:w="1012" w:type="dxa"/>
                                </w:tcPr>
                                <w:p>
                                  <w:pPr>
                                    <w:pStyle w:val="TableParagraph"/>
                                    <w:spacing w:before="30"/>
                                    <w:ind w:right="248"/>
                                    <w:jc w:val="right"/>
                                    <w:rPr>
                                      <w:sz w:val="21"/>
                                    </w:rPr>
                                  </w:pPr>
                                  <w:r>
                                    <w:rPr>
                                      <w:color w:val="030303"/>
                                      <w:spacing w:val="-5"/>
                                      <w:w w:val="105"/>
                                      <w:sz w:val="21"/>
                                    </w:rPr>
                                    <w:t>41</w:t>
                                  </w:r>
                                </w:p>
                              </w:tc>
                              <w:tc>
                                <w:tcPr>
                                  <w:tcW w:w="829" w:type="dxa"/>
                                </w:tcPr>
                                <w:p>
                                  <w:pPr>
                                    <w:pStyle w:val="TableParagraph"/>
                                    <w:spacing w:before="30"/>
                                    <w:ind w:right="229"/>
                                    <w:jc w:val="right"/>
                                    <w:rPr>
                                      <w:sz w:val="21"/>
                                    </w:rPr>
                                  </w:pPr>
                                  <w:r>
                                    <w:rPr>
                                      <w:color w:val="030303"/>
                                      <w:spacing w:val="-10"/>
                                      <w:w w:val="110"/>
                                      <w:sz w:val="21"/>
                                    </w:rPr>
                                    <w:t>4</w:t>
                                  </w:r>
                                </w:p>
                              </w:tc>
                              <w:tc>
                                <w:tcPr>
                                  <w:tcW w:w="775" w:type="dxa"/>
                                </w:tcPr>
                                <w:p>
                                  <w:pPr>
                                    <w:pStyle w:val="TableParagraph"/>
                                    <w:spacing w:before="30"/>
                                    <w:ind w:right="196"/>
                                    <w:jc w:val="right"/>
                                    <w:rPr>
                                      <w:sz w:val="21"/>
                                    </w:rPr>
                                  </w:pPr>
                                  <w:r>
                                    <w:rPr>
                                      <w:color w:val="030303"/>
                                      <w:spacing w:val="-5"/>
                                      <w:sz w:val="21"/>
                                    </w:rPr>
                                    <w:t>717</w:t>
                                  </w:r>
                                </w:p>
                              </w:tc>
                              <w:tc>
                                <w:tcPr>
                                  <w:tcW w:w="662" w:type="dxa"/>
                                </w:tcPr>
                                <w:p>
                                  <w:pPr>
                                    <w:pStyle w:val="TableParagraph"/>
                                    <w:spacing w:before="30"/>
                                    <w:ind w:right="112"/>
                                    <w:jc w:val="right"/>
                                    <w:rPr>
                                      <w:sz w:val="21"/>
                                    </w:rPr>
                                  </w:pPr>
                                  <w:r>
                                    <w:rPr>
                                      <w:color w:val="030303"/>
                                      <w:spacing w:val="-10"/>
                                      <w:w w:val="105"/>
                                      <w:sz w:val="21"/>
                                    </w:rPr>
                                    <w:t>2</w:t>
                                  </w:r>
                                </w:p>
                              </w:tc>
                              <w:tc>
                                <w:tcPr>
                                  <w:tcW w:w="1215" w:type="dxa"/>
                                </w:tcPr>
                                <w:p>
                                  <w:pPr>
                                    <w:pStyle w:val="TableParagraph"/>
                                    <w:spacing w:before="45"/>
                                    <w:ind w:right="465"/>
                                    <w:jc w:val="right"/>
                                    <w:rPr>
                                      <w:sz w:val="21"/>
                                    </w:rPr>
                                  </w:pPr>
                                  <w:r>
                                    <w:rPr>
                                      <w:color w:val="030303"/>
                                      <w:spacing w:val="-10"/>
                                      <w:w w:val="105"/>
                                      <w:sz w:val="21"/>
                                    </w:rPr>
                                    <w:t>-</w:t>
                                  </w:r>
                                </w:p>
                              </w:tc>
                              <w:tc>
                                <w:tcPr>
                                  <w:tcW w:w="1059" w:type="dxa"/>
                                </w:tcPr>
                                <w:p>
                                  <w:pPr>
                                    <w:pStyle w:val="TableParagraph"/>
                                    <w:spacing w:before="26"/>
                                    <w:ind w:right="102"/>
                                    <w:jc w:val="right"/>
                                    <w:rPr>
                                      <w:sz w:val="22"/>
                                    </w:rPr>
                                  </w:pPr>
                                  <w:r>
                                    <w:rPr>
                                      <w:color w:val="030303"/>
                                      <w:spacing w:val="-10"/>
                                      <w:w w:val="105"/>
                                      <w:sz w:val="22"/>
                                    </w:rPr>
                                    <w:t>-</w:t>
                                  </w:r>
                                </w:p>
                              </w:tc>
                              <w:tc>
                                <w:tcPr>
                                  <w:tcW w:w="1017" w:type="dxa"/>
                                </w:tcPr>
                                <w:p>
                                  <w:pPr>
                                    <w:pStyle w:val="TableParagraph"/>
                                    <w:spacing w:before="26"/>
                                    <w:ind w:right="130"/>
                                    <w:jc w:val="right"/>
                                    <w:rPr>
                                      <w:sz w:val="21"/>
                                    </w:rPr>
                                  </w:pPr>
                                  <w:r>
                                    <w:rPr>
                                      <w:color w:val="030303"/>
                                      <w:spacing w:val="-2"/>
                                      <w:sz w:val="21"/>
                                    </w:rPr>
                                    <w:t>(542)</w:t>
                                  </w:r>
                                </w:p>
                              </w:tc>
                              <w:tc>
                                <w:tcPr>
                                  <w:tcW w:w="840" w:type="dxa"/>
                                </w:tcPr>
                                <w:p>
                                  <w:pPr>
                                    <w:pStyle w:val="TableParagraph"/>
                                    <w:spacing w:before="35"/>
                                    <w:ind w:right="53"/>
                                    <w:jc w:val="right"/>
                                    <w:rPr>
                                      <w:b/>
                                      <w:sz w:val="20"/>
                                    </w:rPr>
                                  </w:pPr>
                                  <w:r>
                                    <w:rPr>
                                      <w:b/>
                                      <w:color w:val="030303"/>
                                      <w:spacing w:val="-2"/>
                                      <w:w w:val="105"/>
                                      <w:sz w:val="20"/>
                                    </w:rPr>
                                    <w:t>1,494</w:t>
                                  </w:r>
                                </w:p>
                              </w:tc>
                            </w:tr>
                            <w:tr>
                              <w:trPr>
                                <w:trHeight w:val="358" w:hRule="atLeast"/>
                              </w:trPr>
                              <w:tc>
                                <w:tcPr>
                                  <w:tcW w:w="820" w:type="dxa"/>
                                </w:tcPr>
                                <w:p>
                                  <w:pPr>
                                    <w:pStyle w:val="TableParagraph"/>
                                    <w:spacing w:before="59"/>
                                    <w:ind w:right="236"/>
                                    <w:jc w:val="right"/>
                                    <w:rPr>
                                      <w:sz w:val="21"/>
                                    </w:rPr>
                                  </w:pPr>
                                  <w:r>
                                    <w:rPr>
                                      <w:color w:val="030303"/>
                                      <w:spacing w:val="-5"/>
                                      <w:sz w:val="21"/>
                                    </w:rPr>
                                    <w:t>788</w:t>
                                  </w:r>
                                </w:p>
                              </w:tc>
                              <w:tc>
                                <w:tcPr>
                                  <w:tcW w:w="1012" w:type="dxa"/>
                                </w:tcPr>
                                <w:p>
                                  <w:pPr>
                                    <w:pStyle w:val="TableParagraph"/>
                                    <w:spacing w:before="59"/>
                                    <w:ind w:right="251"/>
                                    <w:jc w:val="right"/>
                                    <w:rPr>
                                      <w:sz w:val="21"/>
                                    </w:rPr>
                                  </w:pPr>
                                  <w:r>
                                    <w:rPr>
                                      <w:color w:val="030303"/>
                                      <w:spacing w:val="-5"/>
                                      <w:sz w:val="21"/>
                                    </w:rPr>
                                    <w:t>15</w:t>
                                  </w:r>
                                </w:p>
                              </w:tc>
                              <w:tc>
                                <w:tcPr>
                                  <w:tcW w:w="829" w:type="dxa"/>
                                </w:tcPr>
                                <w:p>
                                  <w:pPr>
                                    <w:pStyle w:val="TableParagraph"/>
                                    <w:spacing w:before="59"/>
                                    <w:ind w:right="227"/>
                                    <w:jc w:val="right"/>
                                    <w:rPr>
                                      <w:sz w:val="21"/>
                                    </w:rPr>
                                  </w:pPr>
                                  <w:r>
                                    <w:rPr>
                                      <w:color w:val="282828"/>
                                      <w:spacing w:val="-10"/>
                                      <w:w w:val="105"/>
                                      <w:sz w:val="21"/>
                                    </w:rPr>
                                    <w:t>-</w:t>
                                  </w:r>
                                </w:p>
                              </w:tc>
                              <w:tc>
                                <w:tcPr>
                                  <w:tcW w:w="775" w:type="dxa"/>
                                </w:tcPr>
                                <w:p>
                                  <w:pPr>
                                    <w:pStyle w:val="TableParagraph"/>
                                    <w:spacing w:before="54"/>
                                    <w:ind w:right="192"/>
                                    <w:jc w:val="right"/>
                                    <w:rPr>
                                      <w:sz w:val="21"/>
                                    </w:rPr>
                                  </w:pPr>
                                  <w:r>
                                    <w:rPr>
                                      <w:color w:val="030303"/>
                                      <w:spacing w:val="-5"/>
                                      <w:sz w:val="21"/>
                                    </w:rPr>
                                    <w:t>695</w:t>
                                  </w:r>
                                </w:p>
                              </w:tc>
                              <w:tc>
                                <w:tcPr>
                                  <w:tcW w:w="662" w:type="dxa"/>
                                </w:tcPr>
                                <w:p>
                                  <w:pPr>
                                    <w:pStyle w:val="TableParagraph"/>
                                    <w:spacing w:before="54"/>
                                    <w:ind w:right="112"/>
                                    <w:jc w:val="right"/>
                                    <w:rPr>
                                      <w:sz w:val="21"/>
                                    </w:rPr>
                                  </w:pPr>
                                  <w:r>
                                    <w:rPr>
                                      <w:color w:val="030303"/>
                                      <w:spacing w:val="-5"/>
                                      <w:sz w:val="21"/>
                                    </w:rPr>
                                    <w:t>670</w:t>
                                  </w:r>
                                </w:p>
                              </w:tc>
                              <w:tc>
                                <w:tcPr>
                                  <w:tcW w:w="1215" w:type="dxa"/>
                                </w:tcPr>
                                <w:p>
                                  <w:pPr>
                                    <w:pStyle w:val="TableParagraph"/>
                                    <w:spacing w:before="17"/>
                                    <w:ind w:right="456"/>
                                    <w:jc w:val="right"/>
                                    <w:rPr>
                                      <w:sz w:val="27"/>
                                    </w:rPr>
                                  </w:pPr>
                                  <w:r>
                                    <w:rPr>
                                      <w:color w:val="282828"/>
                                      <w:spacing w:val="-10"/>
                                      <w:sz w:val="27"/>
                                    </w:rPr>
                                    <w:t>-</w:t>
                                  </w:r>
                                </w:p>
                              </w:tc>
                              <w:tc>
                                <w:tcPr>
                                  <w:tcW w:w="1059" w:type="dxa"/>
                                </w:tcPr>
                                <w:p>
                                  <w:pPr>
                                    <w:pStyle w:val="TableParagraph"/>
                                    <w:spacing w:before="17"/>
                                    <w:ind w:right="96"/>
                                    <w:jc w:val="right"/>
                                    <w:rPr>
                                      <w:sz w:val="27"/>
                                    </w:rPr>
                                  </w:pPr>
                                  <w:r>
                                    <w:rPr>
                                      <w:color w:val="3B3B3B"/>
                                      <w:spacing w:val="-10"/>
                                      <w:sz w:val="27"/>
                                    </w:rPr>
                                    <w:t>-</w:t>
                                  </w:r>
                                </w:p>
                              </w:tc>
                              <w:tc>
                                <w:tcPr>
                                  <w:tcW w:w="1017" w:type="dxa"/>
                                </w:tcPr>
                                <w:p>
                                  <w:pPr>
                                    <w:pStyle w:val="TableParagraph"/>
                                    <w:spacing w:before="50"/>
                                    <w:ind w:right="130"/>
                                    <w:jc w:val="right"/>
                                    <w:rPr>
                                      <w:sz w:val="21"/>
                                    </w:rPr>
                                  </w:pPr>
                                  <w:r>
                                    <w:rPr>
                                      <w:color w:val="030303"/>
                                      <w:spacing w:val="-2"/>
                                      <w:sz w:val="21"/>
                                    </w:rPr>
                                    <w:t>(628)</w:t>
                                  </w:r>
                                </w:p>
                              </w:tc>
                              <w:tc>
                                <w:tcPr>
                                  <w:tcW w:w="840" w:type="dxa"/>
                                </w:tcPr>
                                <w:p>
                                  <w:pPr>
                                    <w:pStyle w:val="TableParagraph"/>
                                    <w:spacing w:before="59"/>
                                    <w:ind w:right="53"/>
                                    <w:jc w:val="right"/>
                                    <w:rPr>
                                      <w:b/>
                                      <w:sz w:val="20"/>
                                    </w:rPr>
                                  </w:pPr>
                                  <w:r>
                                    <w:rPr>
                                      <w:b/>
                                      <w:color w:val="030303"/>
                                      <w:spacing w:val="-2"/>
                                      <w:w w:val="105"/>
                                      <w:sz w:val="20"/>
                                    </w:rPr>
                                    <w:t>1,540</w:t>
                                  </w:r>
                                </w:p>
                              </w:tc>
                            </w:tr>
                            <w:tr>
                              <w:trPr>
                                <w:trHeight w:val="326" w:hRule="atLeast"/>
                              </w:trPr>
                              <w:tc>
                                <w:tcPr>
                                  <w:tcW w:w="820" w:type="dxa"/>
                                </w:tcPr>
                                <w:p>
                                  <w:pPr>
                                    <w:pStyle w:val="TableParagraph"/>
                                    <w:spacing w:before="33"/>
                                    <w:ind w:right="243"/>
                                    <w:jc w:val="right"/>
                                    <w:rPr>
                                      <w:sz w:val="21"/>
                                    </w:rPr>
                                  </w:pPr>
                                  <w:r>
                                    <w:rPr>
                                      <w:color w:val="030303"/>
                                      <w:spacing w:val="-2"/>
                                      <w:sz w:val="21"/>
                                    </w:rPr>
                                    <w:t>2,385</w:t>
                                  </w:r>
                                </w:p>
                              </w:tc>
                              <w:tc>
                                <w:tcPr>
                                  <w:tcW w:w="1012" w:type="dxa"/>
                                </w:tcPr>
                                <w:p>
                                  <w:pPr>
                                    <w:pStyle w:val="TableParagraph"/>
                                    <w:spacing w:before="33"/>
                                    <w:ind w:right="252"/>
                                    <w:jc w:val="right"/>
                                    <w:rPr>
                                      <w:sz w:val="22"/>
                                    </w:rPr>
                                  </w:pPr>
                                  <w:r>
                                    <w:rPr>
                                      <w:color w:val="282828"/>
                                      <w:spacing w:val="-10"/>
                                      <w:sz w:val="22"/>
                                    </w:rPr>
                                    <w:t>-</w:t>
                                  </w:r>
                                </w:p>
                              </w:tc>
                              <w:tc>
                                <w:tcPr>
                                  <w:tcW w:w="829" w:type="dxa"/>
                                </w:tcPr>
                                <w:p>
                                  <w:pPr>
                                    <w:pStyle w:val="TableParagraph"/>
                                    <w:spacing w:before="33"/>
                                    <w:ind w:right="228"/>
                                    <w:jc w:val="right"/>
                                    <w:rPr>
                                      <w:sz w:val="21"/>
                                    </w:rPr>
                                  </w:pPr>
                                  <w:r>
                                    <w:rPr>
                                      <w:color w:val="030303"/>
                                      <w:spacing w:val="-10"/>
                                      <w:w w:val="105"/>
                                      <w:sz w:val="21"/>
                                    </w:rPr>
                                    <w:t>2</w:t>
                                  </w:r>
                                </w:p>
                              </w:tc>
                              <w:tc>
                                <w:tcPr>
                                  <w:tcW w:w="775" w:type="dxa"/>
                                </w:tcPr>
                                <w:p>
                                  <w:pPr>
                                    <w:pStyle w:val="TableParagraph"/>
                                    <w:spacing w:before="33"/>
                                    <w:ind w:right="191"/>
                                    <w:jc w:val="right"/>
                                    <w:rPr>
                                      <w:sz w:val="21"/>
                                    </w:rPr>
                                  </w:pPr>
                                  <w:r>
                                    <w:rPr>
                                      <w:color w:val="030303"/>
                                      <w:spacing w:val="-5"/>
                                      <w:sz w:val="21"/>
                                    </w:rPr>
                                    <w:t>350</w:t>
                                  </w:r>
                                </w:p>
                              </w:tc>
                              <w:tc>
                                <w:tcPr>
                                  <w:tcW w:w="662" w:type="dxa"/>
                                </w:tcPr>
                                <w:p>
                                  <w:pPr>
                                    <w:pStyle w:val="TableParagraph"/>
                                    <w:spacing w:before="28"/>
                                    <w:ind w:right="111"/>
                                    <w:jc w:val="right"/>
                                    <w:rPr>
                                      <w:sz w:val="21"/>
                                    </w:rPr>
                                  </w:pPr>
                                  <w:r>
                                    <w:rPr>
                                      <w:color w:val="030303"/>
                                      <w:spacing w:val="-5"/>
                                      <w:sz w:val="21"/>
                                    </w:rPr>
                                    <w:t>402</w:t>
                                  </w:r>
                                </w:p>
                              </w:tc>
                              <w:tc>
                                <w:tcPr>
                                  <w:tcW w:w="1215" w:type="dxa"/>
                                </w:tcPr>
                                <w:p>
                                  <w:pPr>
                                    <w:pStyle w:val="TableParagraph"/>
                                    <w:spacing w:before="28"/>
                                    <w:ind w:right="459"/>
                                    <w:jc w:val="right"/>
                                    <w:rPr>
                                      <w:sz w:val="22"/>
                                    </w:rPr>
                                  </w:pPr>
                                  <w:r>
                                    <w:rPr>
                                      <w:color w:val="282828"/>
                                      <w:spacing w:val="-10"/>
                                      <w:w w:val="110"/>
                                      <w:sz w:val="22"/>
                                    </w:rPr>
                                    <w:t>-</w:t>
                                  </w:r>
                                </w:p>
                              </w:tc>
                              <w:tc>
                                <w:tcPr>
                                  <w:tcW w:w="1059" w:type="dxa"/>
                                </w:tcPr>
                                <w:p>
                                  <w:pPr>
                                    <w:pStyle w:val="TableParagraph"/>
                                    <w:spacing w:before="28"/>
                                    <w:ind w:right="109"/>
                                    <w:jc w:val="right"/>
                                    <w:rPr>
                                      <w:sz w:val="21"/>
                                    </w:rPr>
                                  </w:pPr>
                                  <w:r>
                                    <w:rPr>
                                      <w:color w:val="030303"/>
                                      <w:spacing w:val="-5"/>
                                      <w:sz w:val="21"/>
                                    </w:rPr>
                                    <w:t>410</w:t>
                                  </w:r>
                                </w:p>
                              </w:tc>
                              <w:tc>
                                <w:tcPr>
                                  <w:tcW w:w="1017" w:type="dxa"/>
                                </w:tcPr>
                                <w:p>
                                  <w:pPr>
                                    <w:pStyle w:val="TableParagraph"/>
                                    <w:spacing w:before="23"/>
                                    <w:ind w:right="135"/>
                                    <w:jc w:val="right"/>
                                    <w:rPr>
                                      <w:sz w:val="21"/>
                                    </w:rPr>
                                  </w:pPr>
                                  <w:r>
                                    <w:rPr>
                                      <w:color w:val="030303"/>
                                      <w:spacing w:val="-2"/>
                                      <w:sz w:val="21"/>
                                    </w:rPr>
                                    <w:t>(1,316)</w:t>
                                  </w:r>
                                </w:p>
                              </w:tc>
                              <w:tc>
                                <w:tcPr>
                                  <w:tcW w:w="840" w:type="dxa"/>
                                </w:tcPr>
                                <w:p>
                                  <w:pPr>
                                    <w:pStyle w:val="TableParagraph"/>
                                    <w:spacing w:before="33"/>
                                    <w:ind w:right="52"/>
                                    <w:jc w:val="right"/>
                                    <w:rPr>
                                      <w:b/>
                                      <w:sz w:val="20"/>
                                    </w:rPr>
                                  </w:pPr>
                                  <w:r>
                                    <w:rPr>
                                      <w:b/>
                                      <w:color w:val="030303"/>
                                      <w:spacing w:val="-2"/>
                                      <w:w w:val="105"/>
                                      <w:sz w:val="20"/>
                                    </w:rPr>
                                    <w:t>2,233</w:t>
                                  </w:r>
                                </w:p>
                              </w:tc>
                            </w:tr>
                            <w:tr>
                              <w:trPr>
                                <w:trHeight w:val="304" w:hRule="atLeast"/>
                              </w:trPr>
                              <w:tc>
                                <w:tcPr>
                                  <w:tcW w:w="820" w:type="dxa"/>
                                </w:tcPr>
                                <w:p>
                                  <w:pPr>
                                    <w:pStyle w:val="TableParagraph"/>
                                    <w:spacing w:before="43"/>
                                    <w:ind w:right="246"/>
                                    <w:jc w:val="right"/>
                                    <w:rPr>
                                      <w:sz w:val="21"/>
                                    </w:rPr>
                                  </w:pPr>
                                  <w:r>
                                    <w:rPr>
                                      <w:color w:val="030303"/>
                                      <w:spacing w:val="-2"/>
                                      <w:sz w:val="21"/>
                                    </w:rPr>
                                    <w:t>5,030</w:t>
                                  </w:r>
                                </w:p>
                              </w:tc>
                              <w:tc>
                                <w:tcPr>
                                  <w:tcW w:w="1012" w:type="dxa"/>
                                </w:tcPr>
                                <w:p>
                                  <w:pPr>
                                    <w:pStyle w:val="TableParagraph"/>
                                    <w:spacing w:before="43"/>
                                    <w:ind w:right="257"/>
                                    <w:jc w:val="right"/>
                                    <w:rPr>
                                      <w:sz w:val="21"/>
                                    </w:rPr>
                                  </w:pPr>
                                  <w:r>
                                    <w:rPr>
                                      <w:color w:val="030303"/>
                                      <w:spacing w:val="-2"/>
                                      <w:sz w:val="21"/>
                                    </w:rPr>
                                    <w:t>1,086</w:t>
                                  </w:r>
                                </w:p>
                              </w:tc>
                              <w:tc>
                                <w:tcPr>
                                  <w:tcW w:w="829" w:type="dxa"/>
                                </w:tcPr>
                                <w:p>
                                  <w:pPr>
                                    <w:pStyle w:val="TableParagraph"/>
                                    <w:spacing w:before="38"/>
                                    <w:ind w:right="237"/>
                                    <w:jc w:val="right"/>
                                    <w:rPr>
                                      <w:sz w:val="21"/>
                                    </w:rPr>
                                  </w:pPr>
                                  <w:r>
                                    <w:rPr>
                                      <w:color w:val="030303"/>
                                      <w:spacing w:val="-5"/>
                                      <w:sz w:val="21"/>
                                    </w:rPr>
                                    <w:t>658</w:t>
                                  </w:r>
                                </w:p>
                              </w:tc>
                              <w:tc>
                                <w:tcPr>
                                  <w:tcW w:w="775" w:type="dxa"/>
                                </w:tcPr>
                                <w:p>
                                  <w:pPr>
                                    <w:pStyle w:val="TableParagraph"/>
                                    <w:spacing w:before="38"/>
                                    <w:ind w:right="198"/>
                                    <w:jc w:val="right"/>
                                    <w:rPr>
                                      <w:sz w:val="21"/>
                                    </w:rPr>
                                  </w:pPr>
                                  <w:r>
                                    <w:rPr>
                                      <w:color w:val="030303"/>
                                      <w:spacing w:val="-5"/>
                                      <w:sz w:val="21"/>
                                    </w:rPr>
                                    <w:t>476</w:t>
                                  </w:r>
                                </w:p>
                              </w:tc>
                              <w:tc>
                                <w:tcPr>
                                  <w:tcW w:w="662" w:type="dxa"/>
                                </w:tcPr>
                                <w:p>
                                  <w:pPr>
                                    <w:pStyle w:val="TableParagraph"/>
                                    <w:spacing w:before="38"/>
                                    <w:ind w:right="119"/>
                                    <w:jc w:val="right"/>
                                    <w:rPr>
                                      <w:sz w:val="21"/>
                                    </w:rPr>
                                  </w:pPr>
                                  <w:r>
                                    <w:rPr>
                                      <w:color w:val="030303"/>
                                      <w:spacing w:val="-5"/>
                                      <w:sz w:val="21"/>
                                    </w:rPr>
                                    <w:t>475</w:t>
                                  </w:r>
                                </w:p>
                              </w:tc>
                              <w:tc>
                                <w:tcPr>
                                  <w:tcW w:w="1215" w:type="dxa"/>
                                </w:tcPr>
                                <w:p>
                                  <w:pPr>
                                    <w:pStyle w:val="TableParagraph"/>
                                    <w:spacing w:before="57" w:line="227" w:lineRule="exact"/>
                                    <w:ind w:right="460"/>
                                    <w:jc w:val="right"/>
                                    <w:rPr>
                                      <w:sz w:val="21"/>
                                    </w:rPr>
                                  </w:pPr>
                                  <w:r>
                                    <w:rPr>
                                      <w:color w:val="282828"/>
                                      <w:spacing w:val="-10"/>
                                      <w:w w:val="105"/>
                                      <w:sz w:val="21"/>
                                    </w:rPr>
                                    <w:t>-</w:t>
                                  </w:r>
                                </w:p>
                              </w:tc>
                              <w:tc>
                                <w:tcPr>
                                  <w:tcW w:w="1059" w:type="dxa"/>
                                </w:tcPr>
                                <w:p>
                                  <w:pPr>
                                    <w:pStyle w:val="TableParagraph"/>
                                    <w:spacing w:before="33"/>
                                    <w:ind w:right="112"/>
                                    <w:jc w:val="right"/>
                                    <w:rPr>
                                      <w:sz w:val="21"/>
                                    </w:rPr>
                                  </w:pPr>
                                  <w:r>
                                    <w:rPr>
                                      <w:color w:val="030303"/>
                                      <w:spacing w:val="-5"/>
                                      <w:sz w:val="21"/>
                                    </w:rPr>
                                    <w:t>236</w:t>
                                  </w:r>
                                </w:p>
                              </w:tc>
                              <w:tc>
                                <w:tcPr>
                                  <w:tcW w:w="1017" w:type="dxa"/>
                                </w:tcPr>
                                <w:p>
                                  <w:pPr>
                                    <w:pStyle w:val="TableParagraph"/>
                                    <w:spacing w:before="33"/>
                                    <w:ind w:right="135"/>
                                    <w:jc w:val="right"/>
                                    <w:rPr>
                                      <w:sz w:val="21"/>
                                    </w:rPr>
                                  </w:pPr>
                                  <w:r>
                                    <w:rPr>
                                      <w:color w:val="030303"/>
                                      <w:spacing w:val="-2"/>
                                      <w:sz w:val="21"/>
                                    </w:rPr>
                                    <w:t>(2,868)</w:t>
                                  </w:r>
                                </w:p>
                              </w:tc>
                              <w:tc>
                                <w:tcPr>
                                  <w:tcW w:w="840" w:type="dxa"/>
                                </w:tcPr>
                                <w:p>
                                  <w:pPr>
                                    <w:pStyle w:val="TableParagraph"/>
                                    <w:spacing w:before="38"/>
                                    <w:ind w:right="61"/>
                                    <w:jc w:val="right"/>
                                    <w:rPr>
                                      <w:b/>
                                      <w:sz w:val="20"/>
                                    </w:rPr>
                                  </w:pPr>
                                  <w:r>
                                    <w:rPr>
                                      <w:b/>
                                      <w:color w:val="030303"/>
                                      <w:spacing w:val="-2"/>
                                      <w:w w:val="105"/>
                                      <w:sz w:val="20"/>
                                    </w:rPr>
                                    <w:t>5,093</w:t>
                                  </w:r>
                                </w:p>
                              </w:tc>
                            </w:tr>
                            <w:tr>
                              <w:trPr>
                                <w:trHeight w:val="350" w:hRule="atLeast"/>
                              </w:trPr>
                              <w:tc>
                                <w:tcPr>
                                  <w:tcW w:w="820" w:type="dxa"/>
                                </w:tcPr>
                                <w:p>
                                  <w:pPr>
                                    <w:pStyle w:val="TableParagraph"/>
                                    <w:spacing w:before="75"/>
                                    <w:ind w:right="231"/>
                                    <w:jc w:val="right"/>
                                    <w:rPr>
                                      <w:sz w:val="21"/>
                                    </w:rPr>
                                  </w:pPr>
                                  <w:r>
                                    <w:rPr>
                                      <w:color w:val="030303"/>
                                      <w:spacing w:val="-5"/>
                                      <w:w w:val="105"/>
                                      <w:sz w:val="21"/>
                                    </w:rPr>
                                    <w:t>81</w:t>
                                  </w:r>
                                </w:p>
                              </w:tc>
                              <w:tc>
                                <w:tcPr>
                                  <w:tcW w:w="1012" w:type="dxa"/>
                                </w:tcPr>
                                <w:p>
                                  <w:pPr>
                                    <w:pStyle w:val="TableParagraph"/>
                                    <w:spacing w:before="75"/>
                                    <w:ind w:right="254"/>
                                    <w:jc w:val="right"/>
                                    <w:rPr>
                                      <w:sz w:val="21"/>
                                    </w:rPr>
                                  </w:pPr>
                                  <w:r>
                                    <w:rPr>
                                      <w:color w:val="030303"/>
                                      <w:spacing w:val="-5"/>
                                      <w:sz w:val="21"/>
                                    </w:rPr>
                                    <w:t>132</w:t>
                                  </w:r>
                                </w:p>
                              </w:tc>
                              <w:tc>
                                <w:tcPr>
                                  <w:tcW w:w="829" w:type="dxa"/>
                                </w:tcPr>
                                <w:p>
                                  <w:pPr>
                                    <w:pStyle w:val="TableParagraph"/>
                                    <w:spacing w:before="75"/>
                                    <w:ind w:right="232"/>
                                    <w:jc w:val="right"/>
                                    <w:rPr>
                                      <w:sz w:val="21"/>
                                    </w:rPr>
                                  </w:pPr>
                                  <w:r>
                                    <w:rPr>
                                      <w:color w:val="030303"/>
                                      <w:spacing w:val="-5"/>
                                      <w:sz w:val="21"/>
                                    </w:rPr>
                                    <w:t>30</w:t>
                                  </w:r>
                                </w:p>
                              </w:tc>
                              <w:tc>
                                <w:tcPr>
                                  <w:tcW w:w="775" w:type="dxa"/>
                                </w:tcPr>
                                <w:p>
                                  <w:pPr>
                                    <w:pStyle w:val="TableParagraph"/>
                                    <w:spacing w:before="79"/>
                                    <w:ind w:right="199"/>
                                    <w:jc w:val="right"/>
                                    <w:rPr>
                                      <w:b/>
                                      <w:sz w:val="20"/>
                                    </w:rPr>
                                  </w:pPr>
                                  <w:r>
                                    <w:rPr>
                                      <w:b/>
                                      <w:color w:val="030303"/>
                                      <w:spacing w:val="-5"/>
                                      <w:w w:val="105"/>
                                      <w:sz w:val="20"/>
                                    </w:rPr>
                                    <w:t>44</w:t>
                                  </w:r>
                                </w:p>
                              </w:tc>
                              <w:tc>
                                <w:tcPr>
                                  <w:tcW w:w="662" w:type="dxa"/>
                                </w:tcPr>
                                <w:p>
                                  <w:pPr>
                                    <w:pStyle w:val="TableParagraph"/>
                                    <w:spacing w:before="70"/>
                                    <w:ind w:right="110"/>
                                    <w:jc w:val="right"/>
                                    <w:rPr>
                                      <w:sz w:val="21"/>
                                    </w:rPr>
                                  </w:pPr>
                                  <w:r>
                                    <w:rPr>
                                      <w:color w:val="030303"/>
                                      <w:spacing w:val="-5"/>
                                      <w:w w:val="105"/>
                                      <w:sz w:val="21"/>
                                    </w:rPr>
                                    <w:t>17</w:t>
                                  </w:r>
                                </w:p>
                              </w:tc>
                              <w:tc>
                                <w:tcPr>
                                  <w:tcW w:w="1215" w:type="dxa"/>
                                </w:tcPr>
                                <w:p>
                                  <w:pPr>
                                    <w:pStyle w:val="TableParagraph"/>
                                    <w:spacing w:line="331" w:lineRule="exact"/>
                                    <w:ind w:right="463"/>
                                    <w:jc w:val="right"/>
                                    <w:rPr>
                                      <w:sz w:val="32"/>
                                    </w:rPr>
                                  </w:pPr>
                                  <w:r>
                                    <w:rPr>
                                      <w:color w:val="282828"/>
                                      <w:spacing w:val="-10"/>
                                      <w:w w:val="85"/>
                                      <w:sz w:val="32"/>
                                    </w:rPr>
                                    <w:t>-</w:t>
                                  </w:r>
                                </w:p>
                              </w:tc>
                              <w:tc>
                                <w:tcPr>
                                  <w:tcW w:w="1059" w:type="dxa"/>
                                </w:tcPr>
                                <w:p>
                                  <w:pPr>
                                    <w:pStyle w:val="TableParagraph"/>
                                    <w:spacing w:before="28" w:line="302" w:lineRule="exact"/>
                                    <w:ind w:right="101"/>
                                    <w:jc w:val="right"/>
                                    <w:rPr>
                                      <w:sz w:val="27"/>
                                    </w:rPr>
                                  </w:pPr>
                                  <w:r>
                                    <w:rPr>
                                      <w:color w:val="3B3B3B"/>
                                      <w:spacing w:val="-10"/>
                                      <w:sz w:val="27"/>
                                    </w:rPr>
                                    <w:t>-</w:t>
                                  </w:r>
                                </w:p>
                              </w:tc>
                              <w:tc>
                                <w:tcPr>
                                  <w:tcW w:w="1017" w:type="dxa"/>
                                </w:tcPr>
                                <w:p>
                                  <w:pPr>
                                    <w:pStyle w:val="TableParagraph"/>
                                    <w:spacing w:before="60"/>
                                    <w:ind w:right="135"/>
                                    <w:jc w:val="right"/>
                                    <w:rPr>
                                      <w:sz w:val="21"/>
                                    </w:rPr>
                                  </w:pPr>
                                  <w:r>
                                    <w:rPr>
                                      <w:color w:val="030303"/>
                                      <w:spacing w:val="-2"/>
                                      <w:sz w:val="21"/>
                                    </w:rPr>
                                    <w:t>(139)</w:t>
                                  </w:r>
                                </w:p>
                              </w:tc>
                              <w:tc>
                                <w:tcPr>
                                  <w:tcW w:w="840" w:type="dxa"/>
                                </w:tcPr>
                                <w:p>
                                  <w:pPr>
                                    <w:pStyle w:val="TableParagraph"/>
                                    <w:spacing w:before="70"/>
                                    <w:ind w:right="52"/>
                                    <w:jc w:val="right"/>
                                    <w:rPr>
                                      <w:b/>
                                      <w:sz w:val="20"/>
                                    </w:rPr>
                                  </w:pPr>
                                  <w:r>
                                    <w:rPr>
                                      <w:b/>
                                      <w:color w:val="030303"/>
                                      <w:spacing w:val="-5"/>
                                      <w:w w:val="105"/>
                                      <w:sz w:val="20"/>
                                    </w:rPr>
                                    <w:t>165</w:t>
                                  </w:r>
                                </w:p>
                              </w:tc>
                            </w:tr>
                            <w:tr>
                              <w:trPr>
                                <w:trHeight w:val="352" w:hRule="atLeast"/>
                              </w:trPr>
                              <w:tc>
                                <w:tcPr>
                                  <w:tcW w:w="820" w:type="dxa"/>
                                </w:tcPr>
                                <w:p>
                                  <w:pPr>
                                    <w:pStyle w:val="TableParagraph"/>
                                    <w:spacing w:before="61"/>
                                    <w:ind w:right="233"/>
                                    <w:jc w:val="right"/>
                                    <w:rPr>
                                      <w:sz w:val="21"/>
                                    </w:rPr>
                                  </w:pPr>
                                  <w:r>
                                    <w:rPr>
                                      <w:color w:val="282828"/>
                                      <w:spacing w:val="-10"/>
                                      <w:w w:val="105"/>
                                      <w:sz w:val="21"/>
                                    </w:rPr>
                                    <w:t>-</w:t>
                                  </w:r>
                                </w:p>
                              </w:tc>
                              <w:tc>
                                <w:tcPr>
                                  <w:tcW w:w="1012" w:type="dxa"/>
                                </w:tcPr>
                                <w:p>
                                  <w:pPr>
                                    <w:pStyle w:val="TableParagraph"/>
                                    <w:rPr>
                                      <w:rFonts w:ascii="Times New Roman"/>
                                      <w:sz w:val="18"/>
                                    </w:rPr>
                                  </w:pPr>
                                </w:p>
                              </w:tc>
                              <w:tc>
                                <w:tcPr>
                                  <w:tcW w:w="829" w:type="dxa"/>
                                </w:tcPr>
                                <w:p>
                                  <w:pPr>
                                    <w:pStyle w:val="TableParagraph"/>
                                    <w:spacing w:before="19"/>
                                    <w:ind w:right="223"/>
                                    <w:jc w:val="right"/>
                                    <w:rPr>
                                      <w:sz w:val="27"/>
                                    </w:rPr>
                                  </w:pPr>
                                  <w:r>
                                    <w:rPr>
                                      <w:color w:val="4D4D4D"/>
                                      <w:spacing w:val="-10"/>
                                      <w:sz w:val="27"/>
                                    </w:rPr>
                                    <w:t>-</w:t>
                                  </w:r>
                                </w:p>
                              </w:tc>
                              <w:tc>
                                <w:tcPr>
                                  <w:tcW w:w="775" w:type="dxa"/>
                                </w:tcPr>
                                <w:p>
                                  <w:pPr>
                                    <w:pStyle w:val="TableParagraph"/>
                                    <w:spacing w:before="51"/>
                                    <w:ind w:right="189"/>
                                    <w:jc w:val="right"/>
                                    <w:rPr>
                                      <w:sz w:val="22"/>
                                    </w:rPr>
                                  </w:pPr>
                                  <w:r>
                                    <w:rPr>
                                      <w:color w:val="282828"/>
                                      <w:spacing w:val="-10"/>
                                      <w:w w:val="110"/>
                                      <w:sz w:val="22"/>
                                    </w:rPr>
                                    <w:t>-</w:t>
                                  </w:r>
                                </w:p>
                              </w:tc>
                              <w:tc>
                                <w:tcPr>
                                  <w:tcW w:w="662" w:type="dxa"/>
                                </w:tcPr>
                                <w:p>
                                  <w:pPr>
                                    <w:pStyle w:val="TableParagraph"/>
                                    <w:spacing w:before="19"/>
                                    <w:ind w:right="107"/>
                                    <w:jc w:val="right"/>
                                    <w:rPr>
                                      <w:sz w:val="27"/>
                                    </w:rPr>
                                  </w:pPr>
                                  <w:r>
                                    <w:rPr>
                                      <w:color w:val="3B3B3B"/>
                                      <w:spacing w:val="-10"/>
                                      <w:sz w:val="27"/>
                                    </w:rPr>
                                    <w:t>-</w:t>
                                  </w:r>
                                </w:p>
                              </w:tc>
                              <w:tc>
                                <w:tcPr>
                                  <w:tcW w:w="1215" w:type="dxa"/>
                                </w:tcPr>
                                <w:p>
                                  <w:pPr>
                                    <w:pStyle w:val="TableParagraph"/>
                                    <w:spacing w:before="51"/>
                                    <w:ind w:right="467"/>
                                    <w:jc w:val="right"/>
                                    <w:rPr>
                                      <w:sz w:val="21"/>
                                    </w:rPr>
                                  </w:pPr>
                                  <w:r>
                                    <w:rPr>
                                      <w:color w:val="030303"/>
                                      <w:spacing w:val="-2"/>
                                      <w:sz w:val="21"/>
                                    </w:rPr>
                                    <w:t>1,642</w:t>
                                  </w:r>
                                </w:p>
                              </w:tc>
                              <w:tc>
                                <w:tcPr>
                                  <w:tcW w:w="1059" w:type="dxa"/>
                                </w:tcPr>
                                <w:p>
                                  <w:pPr>
                                    <w:pStyle w:val="TableParagraph"/>
                                    <w:spacing w:line="332" w:lineRule="exact"/>
                                    <w:ind w:right="109"/>
                                    <w:jc w:val="right"/>
                                    <w:rPr>
                                      <w:sz w:val="32"/>
                                    </w:rPr>
                                  </w:pPr>
                                  <w:r>
                                    <w:rPr>
                                      <w:color w:val="3B3B3B"/>
                                      <w:spacing w:val="-10"/>
                                      <w:w w:val="80"/>
                                      <w:sz w:val="32"/>
                                    </w:rPr>
                                    <w:t>-</w:t>
                                  </w:r>
                                </w:p>
                              </w:tc>
                              <w:tc>
                                <w:tcPr>
                                  <w:tcW w:w="1017" w:type="dxa"/>
                                </w:tcPr>
                                <w:p>
                                  <w:pPr>
                                    <w:pStyle w:val="TableParagraph"/>
                                    <w:spacing w:before="46"/>
                                    <w:ind w:right="135"/>
                                    <w:jc w:val="right"/>
                                    <w:rPr>
                                      <w:sz w:val="21"/>
                                    </w:rPr>
                                  </w:pPr>
                                  <w:r>
                                    <w:rPr>
                                      <w:color w:val="030303"/>
                                      <w:spacing w:val="-2"/>
                                      <w:sz w:val="21"/>
                                    </w:rPr>
                                    <w:t>(1,642)</w:t>
                                  </w:r>
                                </w:p>
                              </w:tc>
                              <w:tc>
                                <w:tcPr>
                                  <w:tcW w:w="840" w:type="dxa"/>
                                </w:tcPr>
                                <w:p>
                                  <w:pPr>
                                    <w:pStyle w:val="TableParagraph"/>
                                    <w:rPr>
                                      <w:rFonts w:ascii="Times New Roman"/>
                                      <w:sz w:val="18"/>
                                    </w:rPr>
                                  </w:pPr>
                                </w:p>
                              </w:tc>
                            </w:tr>
                            <w:tr>
                              <w:trPr>
                                <w:trHeight w:val="309" w:hRule="atLeast"/>
                              </w:trPr>
                              <w:tc>
                                <w:tcPr>
                                  <w:tcW w:w="820" w:type="dxa"/>
                                </w:tcPr>
                                <w:p>
                                  <w:pPr>
                                    <w:pStyle w:val="TableParagraph"/>
                                    <w:rPr>
                                      <w:rFonts w:ascii="Times New Roman"/>
                                      <w:sz w:val="18"/>
                                    </w:rPr>
                                  </w:pPr>
                                </w:p>
                              </w:tc>
                              <w:tc>
                                <w:tcPr>
                                  <w:tcW w:w="1012" w:type="dxa"/>
                                </w:tcPr>
                                <w:p>
                                  <w:pPr>
                                    <w:pStyle w:val="TableParagraph"/>
                                    <w:spacing w:before="36"/>
                                    <w:ind w:right="244"/>
                                    <w:jc w:val="right"/>
                                    <w:rPr>
                                      <w:sz w:val="22"/>
                                    </w:rPr>
                                  </w:pPr>
                                  <w:r>
                                    <w:rPr>
                                      <w:color w:val="282828"/>
                                      <w:spacing w:val="-10"/>
                                      <w:w w:val="110"/>
                                      <w:sz w:val="22"/>
                                    </w:rPr>
                                    <w:t>-</w:t>
                                  </w:r>
                                </w:p>
                              </w:tc>
                              <w:tc>
                                <w:tcPr>
                                  <w:tcW w:w="829" w:type="dxa"/>
                                </w:tcPr>
                                <w:p>
                                  <w:pPr>
                                    <w:pStyle w:val="TableParagraph"/>
                                    <w:spacing w:before="40"/>
                                    <w:ind w:right="227"/>
                                    <w:jc w:val="right"/>
                                    <w:rPr>
                                      <w:sz w:val="21"/>
                                    </w:rPr>
                                  </w:pPr>
                                  <w:r>
                                    <w:rPr>
                                      <w:color w:val="3B3B3B"/>
                                      <w:spacing w:val="-10"/>
                                      <w:w w:val="105"/>
                                      <w:sz w:val="21"/>
                                    </w:rPr>
                                    <w:t>-</w:t>
                                  </w:r>
                                </w:p>
                              </w:tc>
                              <w:tc>
                                <w:tcPr>
                                  <w:tcW w:w="775" w:type="dxa"/>
                                </w:tcPr>
                                <w:p>
                                  <w:pPr>
                                    <w:pStyle w:val="TableParagraph"/>
                                    <w:spacing w:line="289" w:lineRule="exact"/>
                                    <w:ind w:right="190"/>
                                    <w:jc w:val="right"/>
                                    <w:rPr>
                                      <w:sz w:val="27"/>
                                    </w:rPr>
                                  </w:pPr>
                                  <w:r>
                                    <w:rPr>
                                      <w:color w:val="3B3B3B"/>
                                      <w:spacing w:val="-10"/>
                                      <w:sz w:val="27"/>
                                    </w:rPr>
                                    <w:t>-</w:t>
                                  </w:r>
                                </w:p>
                              </w:tc>
                              <w:tc>
                                <w:tcPr>
                                  <w:tcW w:w="662" w:type="dxa"/>
                                </w:tcPr>
                                <w:p>
                                  <w:pPr>
                                    <w:pStyle w:val="TableParagraph"/>
                                    <w:spacing w:before="35"/>
                                    <w:ind w:right="111"/>
                                    <w:jc w:val="right"/>
                                    <w:rPr>
                                      <w:sz w:val="21"/>
                                    </w:rPr>
                                  </w:pPr>
                                  <w:r>
                                    <w:rPr>
                                      <w:color w:val="282828"/>
                                      <w:spacing w:val="-10"/>
                                      <w:w w:val="105"/>
                                      <w:sz w:val="21"/>
                                    </w:rPr>
                                    <w:t>-</w:t>
                                  </w:r>
                                </w:p>
                              </w:tc>
                              <w:tc>
                                <w:tcPr>
                                  <w:tcW w:w="1215" w:type="dxa"/>
                                </w:tcPr>
                                <w:p>
                                  <w:pPr>
                                    <w:pStyle w:val="TableParagraph"/>
                                    <w:spacing w:before="31"/>
                                    <w:ind w:right="464"/>
                                    <w:jc w:val="right"/>
                                    <w:rPr>
                                      <w:sz w:val="21"/>
                                    </w:rPr>
                                  </w:pPr>
                                  <w:r>
                                    <w:rPr>
                                      <w:color w:val="030303"/>
                                      <w:spacing w:val="-5"/>
                                      <w:w w:val="105"/>
                                      <w:sz w:val="21"/>
                                    </w:rPr>
                                    <w:t>67</w:t>
                                  </w:r>
                                </w:p>
                              </w:tc>
                              <w:tc>
                                <w:tcPr>
                                  <w:tcW w:w="1059" w:type="dxa"/>
                                </w:tcPr>
                                <w:p>
                                  <w:pPr>
                                    <w:pStyle w:val="TableParagraph"/>
                                    <w:spacing w:before="50" w:line="239" w:lineRule="exact"/>
                                    <w:ind w:right="105"/>
                                    <w:jc w:val="right"/>
                                    <w:rPr>
                                      <w:sz w:val="21"/>
                                    </w:rPr>
                                  </w:pPr>
                                  <w:r>
                                    <w:rPr>
                                      <w:color w:val="4D4D4D"/>
                                      <w:spacing w:val="-10"/>
                                      <w:w w:val="105"/>
                                      <w:sz w:val="21"/>
                                    </w:rPr>
                                    <w:t>-</w:t>
                                  </w:r>
                                </w:p>
                              </w:tc>
                              <w:tc>
                                <w:tcPr>
                                  <w:tcW w:w="1017" w:type="dxa"/>
                                </w:tcPr>
                                <w:p>
                                  <w:pPr>
                                    <w:pStyle w:val="TableParagraph"/>
                                    <w:spacing w:before="26"/>
                                    <w:ind w:right="136"/>
                                    <w:jc w:val="right"/>
                                    <w:rPr>
                                      <w:sz w:val="21"/>
                                    </w:rPr>
                                  </w:pPr>
                                  <w:r>
                                    <w:rPr>
                                      <w:color w:val="030303"/>
                                      <w:spacing w:val="-4"/>
                                      <w:sz w:val="21"/>
                                    </w:rPr>
                                    <w:t>(67)</w:t>
                                  </w:r>
                                </w:p>
                              </w:tc>
                              <w:tc>
                                <w:tcPr>
                                  <w:tcW w:w="840" w:type="dxa"/>
                                </w:tcPr>
                                <w:p>
                                  <w:pPr>
                                    <w:pStyle w:val="TableParagraph"/>
                                    <w:rPr>
                                      <w:rFonts w:ascii="Times New Roman"/>
                                      <w:sz w:val="18"/>
                                    </w:rPr>
                                  </w:pPr>
                                </w:p>
                              </w:tc>
                            </w:tr>
                          </w:tbl>
                          <w:p>
                            <w:pPr>
                              <w:pStyle w:val="BodyText"/>
                            </w:pPr>
                          </w:p>
                        </w:txbxContent>
                      </wps:txbx>
                      <wps:bodyPr wrap="square" lIns="0" tIns="0" rIns="0" bIns="0" rtlCol="0">
                        <a:noAutofit/>
                      </wps:bodyPr>
                    </wps:wsp>
                  </a:graphicData>
                </a:graphic>
              </wp:anchor>
            </w:drawing>
          </ve:Choice>
          <ve:Fallback>
            <w:pict>
              <v:shape id="docshape167" style="position:absolute;margin-left:357.429199pt;margin-top:2.52982pt;width:417.9pt;height:263.95pt;mso-position-horizontal-relative:page;mso-position-vertical-relative:paragraph;z-index:15784448"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20"/>
                        <w:gridCol w:w="1012"/>
                        <w:gridCol w:w="829"/>
                        <w:gridCol w:w="775"/>
                        <w:gridCol w:w="662"/>
                        <w:gridCol w:w="1215"/>
                        <w:gridCol w:w="1059"/>
                        <w:gridCol w:w="1017"/>
                        <w:gridCol w:w="840"/>
                      </w:tblGrid>
                      <w:tr>
                        <w:trPr>
                          <w:trHeight w:val="273" w:hRule="atLeast"/>
                        </w:trPr>
                        <w:tc>
                          <w:tcPr>
                            <w:tcW w:w="820" w:type="dxa"/>
                          </w:tcPr>
                          <w:p>
                            <w:pPr>
                              <w:pStyle w:val="TableParagraph"/>
                              <w:spacing w:line="235" w:lineRule="exact"/>
                              <w:ind w:right="230"/>
                              <w:jc w:val="right"/>
                              <w:rPr>
                                <w:sz w:val="21"/>
                              </w:rPr>
                            </w:pPr>
                            <w:r>
                              <w:rPr>
                                <w:color w:val="030303"/>
                                <w:spacing w:val="-5"/>
                                <w:sz w:val="21"/>
                              </w:rPr>
                              <w:t>762</w:t>
                            </w:r>
                          </w:p>
                        </w:tc>
                        <w:tc>
                          <w:tcPr>
                            <w:tcW w:w="1012" w:type="dxa"/>
                          </w:tcPr>
                          <w:p>
                            <w:pPr>
                              <w:pStyle w:val="TableParagraph"/>
                              <w:spacing w:line="235" w:lineRule="exact"/>
                              <w:ind w:right="248"/>
                              <w:jc w:val="right"/>
                              <w:rPr>
                                <w:sz w:val="21"/>
                              </w:rPr>
                            </w:pPr>
                            <w:r>
                              <w:rPr>
                                <w:color w:val="030303"/>
                                <w:spacing w:val="-2"/>
                                <w:sz w:val="21"/>
                              </w:rPr>
                              <w:t>1,488</w:t>
                            </w:r>
                          </w:p>
                        </w:tc>
                        <w:tc>
                          <w:tcPr>
                            <w:tcW w:w="829" w:type="dxa"/>
                          </w:tcPr>
                          <w:p>
                            <w:pPr>
                              <w:pStyle w:val="TableParagraph"/>
                              <w:spacing w:line="240" w:lineRule="exact"/>
                              <w:ind w:right="227"/>
                              <w:jc w:val="right"/>
                              <w:rPr>
                                <w:sz w:val="21"/>
                              </w:rPr>
                            </w:pPr>
                            <w:r>
                              <w:rPr>
                                <w:color w:val="030303"/>
                                <w:spacing w:val="-10"/>
                                <w:sz w:val="21"/>
                              </w:rPr>
                              <w:t>1</w:t>
                            </w:r>
                          </w:p>
                        </w:tc>
                        <w:tc>
                          <w:tcPr>
                            <w:tcW w:w="775" w:type="dxa"/>
                          </w:tcPr>
                          <w:p>
                            <w:pPr>
                              <w:pStyle w:val="TableParagraph"/>
                              <w:spacing w:line="240" w:lineRule="exact"/>
                              <w:ind w:right="184"/>
                              <w:jc w:val="right"/>
                              <w:rPr>
                                <w:sz w:val="21"/>
                              </w:rPr>
                            </w:pPr>
                            <w:r>
                              <w:rPr>
                                <w:color w:val="030303"/>
                                <w:spacing w:val="-5"/>
                                <w:sz w:val="21"/>
                              </w:rPr>
                              <w:t>94</w:t>
                            </w:r>
                          </w:p>
                        </w:tc>
                        <w:tc>
                          <w:tcPr>
                            <w:tcW w:w="662" w:type="dxa"/>
                          </w:tcPr>
                          <w:p>
                            <w:pPr>
                              <w:pStyle w:val="TableParagraph"/>
                              <w:spacing w:line="240" w:lineRule="exact"/>
                              <w:ind w:right="105"/>
                              <w:jc w:val="right"/>
                              <w:rPr>
                                <w:sz w:val="21"/>
                              </w:rPr>
                            </w:pPr>
                            <w:r>
                              <w:rPr>
                                <w:color w:val="030303"/>
                                <w:spacing w:val="-5"/>
                                <w:sz w:val="21"/>
                              </w:rPr>
                              <w:t>206</w:t>
                            </w:r>
                          </w:p>
                        </w:tc>
                        <w:tc>
                          <w:tcPr>
                            <w:tcW w:w="1215" w:type="dxa"/>
                          </w:tcPr>
                          <w:p>
                            <w:pPr>
                              <w:pStyle w:val="TableParagraph"/>
                              <w:spacing w:before="3"/>
                              <w:ind w:right="450"/>
                              <w:jc w:val="right"/>
                              <w:rPr>
                                <w:sz w:val="21"/>
                              </w:rPr>
                            </w:pPr>
                            <w:r>
                              <w:rPr>
                                <w:color w:val="282828"/>
                                <w:spacing w:val="-10"/>
                                <w:w w:val="105"/>
                                <w:sz w:val="21"/>
                              </w:rPr>
                              <w:t>-</w:t>
                            </w:r>
                          </w:p>
                        </w:tc>
                        <w:tc>
                          <w:tcPr>
                            <w:tcW w:w="1059" w:type="dxa"/>
                          </w:tcPr>
                          <w:p>
                            <w:pPr>
                              <w:pStyle w:val="TableParagraph"/>
                              <w:spacing w:line="240" w:lineRule="exact"/>
                              <w:ind w:right="109"/>
                              <w:jc w:val="right"/>
                              <w:rPr>
                                <w:sz w:val="21"/>
                              </w:rPr>
                            </w:pPr>
                            <w:r>
                              <w:rPr>
                                <w:color w:val="030303"/>
                                <w:spacing w:val="-2"/>
                                <w:sz w:val="21"/>
                              </w:rPr>
                              <w:t>(845)</w:t>
                            </w:r>
                          </w:p>
                        </w:tc>
                        <w:tc>
                          <w:tcPr>
                            <w:tcW w:w="1017" w:type="dxa"/>
                          </w:tcPr>
                          <w:p>
                            <w:pPr>
                              <w:pStyle w:val="TableParagraph"/>
                              <w:spacing w:line="240" w:lineRule="exact"/>
                              <w:ind w:right="125"/>
                              <w:jc w:val="right"/>
                              <w:rPr>
                                <w:sz w:val="21"/>
                              </w:rPr>
                            </w:pPr>
                            <w:r>
                              <w:rPr>
                                <w:color w:val="030303"/>
                                <w:spacing w:val="-2"/>
                                <w:sz w:val="21"/>
                              </w:rPr>
                              <w:t>(4,958)</w:t>
                            </w:r>
                          </w:p>
                        </w:tc>
                        <w:tc>
                          <w:tcPr>
                            <w:tcW w:w="840" w:type="dxa"/>
                          </w:tcPr>
                          <w:p>
                            <w:pPr>
                              <w:pStyle w:val="TableParagraph"/>
                              <w:spacing w:before="7"/>
                              <w:ind w:right="47"/>
                              <w:jc w:val="right"/>
                              <w:rPr>
                                <w:b/>
                                <w:sz w:val="20"/>
                              </w:rPr>
                            </w:pPr>
                            <w:r>
                              <w:rPr>
                                <w:b/>
                                <w:color w:val="030303"/>
                                <w:spacing w:val="-2"/>
                                <w:w w:val="105"/>
                                <w:sz w:val="20"/>
                              </w:rPr>
                              <w:t>(3,252)</w:t>
                            </w:r>
                          </w:p>
                        </w:tc>
                      </w:tr>
                      <w:tr>
                        <w:trPr>
                          <w:trHeight w:val="350" w:hRule="atLeast"/>
                        </w:trPr>
                        <w:tc>
                          <w:tcPr>
                            <w:tcW w:w="820" w:type="dxa"/>
                          </w:tcPr>
                          <w:p>
                            <w:pPr>
                              <w:pStyle w:val="TableParagraph"/>
                              <w:spacing w:before="62"/>
                              <w:ind w:right="224"/>
                              <w:jc w:val="right"/>
                              <w:rPr>
                                <w:sz w:val="21"/>
                              </w:rPr>
                            </w:pPr>
                            <w:r>
                              <w:rPr>
                                <w:color w:val="030303"/>
                                <w:spacing w:val="-10"/>
                                <w:w w:val="105"/>
                                <w:sz w:val="21"/>
                              </w:rPr>
                              <w:t>-</w:t>
                            </w:r>
                          </w:p>
                        </w:tc>
                        <w:tc>
                          <w:tcPr>
                            <w:tcW w:w="1012" w:type="dxa"/>
                          </w:tcPr>
                          <w:p>
                            <w:pPr>
                              <w:pStyle w:val="TableParagraph"/>
                              <w:spacing w:before="20" w:line="310" w:lineRule="exact"/>
                              <w:ind w:right="236"/>
                              <w:jc w:val="right"/>
                              <w:rPr>
                                <w:sz w:val="27"/>
                              </w:rPr>
                            </w:pPr>
                            <w:r>
                              <w:rPr>
                                <w:color w:val="282828"/>
                                <w:spacing w:val="-10"/>
                                <w:sz w:val="27"/>
                              </w:rPr>
                              <w:t>-</w:t>
                            </w:r>
                          </w:p>
                        </w:tc>
                        <w:tc>
                          <w:tcPr>
                            <w:tcW w:w="829" w:type="dxa"/>
                          </w:tcPr>
                          <w:p>
                            <w:pPr>
                              <w:pStyle w:val="TableParagraph"/>
                              <w:spacing w:before="62"/>
                              <w:ind w:right="218"/>
                              <w:jc w:val="right"/>
                              <w:rPr>
                                <w:sz w:val="21"/>
                              </w:rPr>
                            </w:pPr>
                            <w:r>
                              <w:rPr>
                                <w:color w:val="282828"/>
                                <w:spacing w:val="-10"/>
                                <w:w w:val="105"/>
                                <w:sz w:val="21"/>
                              </w:rPr>
                              <w:t>-</w:t>
                            </w:r>
                          </w:p>
                        </w:tc>
                        <w:tc>
                          <w:tcPr>
                            <w:tcW w:w="775" w:type="dxa"/>
                          </w:tcPr>
                          <w:p>
                            <w:pPr>
                              <w:pStyle w:val="TableParagraph"/>
                              <w:spacing w:before="57"/>
                              <w:ind w:right="182"/>
                              <w:jc w:val="right"/>
                              <w:rPr>
                                <w:sz w:val="21"/>
                              </w:rPr>
                            </w:pPr>
                            <w:r>
                              <w:rPr>
                                <w:color w:val="030303"/>
                                <w:spacing w:val="-10"/>
                                <w:w w:val="105"/>
                                <w:sz w:val="21"/>
                              </w:rPr>
                              <w:t>4</w:t>
                            </w:r>
                          </w:p>
                        </w:tc>
                        <w:tc>
                          <w:tcPr>
                            <w:tcW w:w="662" w:type="dxa"/>
                          </w:tcPr>
                          <w:p>
                            <w:pPr>
                              <w:pStyle w:val="TableParagraph"/>
                              <w:spacing w:before="57"/>
                              <w:ind w:right="106"/>
                              <w:jc w:val="right"/>
                              <w:rPr>
                                <w:sz w:val="21"/>
                              </w:rPr>
                            </w:pPr>
                            <w:r>
                              <w:rPr>
                                <w:color w:val="030303"/>
                                <w:spacing w:val="-5"/>
                                <w:sz w:val="21"/>
                              </w:rPr>
                              <w:t>185</w:t>
                            </w:r>
                          </w:p>
                        </w:tc>
                        <w:tc>
                          <w:tcPr>
                            <w:tcW w:w="1215" w:type="dxa"/>
                          </w:tcPr>
                          <w:p>
                            <w:pPr>
                              <w:pStyle w:val="TableParagraph"/>
                              <w:spacing w:before="62"/>
                              <w:ind w:right="450"/>
                              <w:jc w:val="right"/>
                              <w:rPr>
                                <w:sz w:val="22"/>
                              </w:rPr>
                            </w:pPr>
                            <w:r>
                              <w:rPr>
                                <w:color w:val="3B3B3B"/>
                                <w:spacing w:val="-10"/>
                                <w:w w:val="110"/>
                                <w:sz w:val="22"/>
                              </w:rPr>
                              <w:t>-</w:t>
                            </w:r>
                          </w:p>
                        </w:tc>
                        <w:tc>
                          <w:tcPr>
                            <w:tcW w:w="1059" w:type="dxa"/>
                          </w:tcPr>
                          <w:p>
                            <w:pPr>
                              <w:pStyle w:val="TableParagraph"/>
                              <w:spacing w:before="24" w:line="305" w:lineRule="exact"/>
                              <w:ind w:right="91"/>
                              <w:jc w:val="right"/>
                              <w:rPr>
                                <w:sz w:val="27"/>
                              </w:rPr>
                            </w:pPr>
                            <w:r>
                              <w:rPr>
                                <w:color w:val="3B3B3B"/>
                                <w:spacing w:val="-10"/>
                                <w:sz w:val="27"/>
                              </w:rPr>
                              <w:t>-</w:t>
                            </w:r>
                          </w:p>
                        </w:tc>
                        <w:tc>
                          <w:tcPr>
                            <w:tcW w:w="1017" w:type="dxa"/>
                          </w:tcPr>
                          <w:p>
                            <w:pPr>
                              <w:pStyle w:val="TableParagraph"/>
                              <w:spacing w:before="57"/>
                              <w:ind w:right="107"/>
                              <w:jc w:val="right"/>
                              <w:rPr>
                                <w:sz w:val="22"/>
                              </w:rPr>
                            </w:pPr>
                            <w:r>
                              <w:rPr>
                                <w:color w:val="3B3B3B"/>
                                <w:spacing w:val="-10"/>
                                <w:w w:val="110"/>
                                <w:sz w:val="22"/>
                              </w:rPr>
                              <w:t>-</w:t>
                            </w:r>
                          </w:p>
                        </w:tc>
                        <w:tc>
                          <w:tcPr>
                            <w:tcW w:w="840" w:type="dxa"/>
                          </w:tcPr>
                          <w:p>
                            <w:pPr>
                              <w:pStyle w:val="TableParagraph"/>
                              <w:spacing w:before="71"/>
                              <w:ind w:right="39"/>
                              <w:jc w:val="right"/>
                              <w:rPr>
                                <w:b/>
                                <w:sz w:val="20"/>
                              </w:rPr>
                            </w:pPr>
                            <w:r>
                              <w:rPr>
                                <w:b/>
                                <w:color w:val="030303"/>
                                <w:spacing w:val="-5"/>
                                <w:w w:val="105"/>
                                <w:sz w:val="20"/>
                              </w:rPr>
                              <w:t>189</w:t>
                            </w:r>
                          </w:p>
                        </w:tc>
                      </w:tr>
                      <w:tr>
                        <w:trPr>
                          <w:trHeight w:val="349" w:hRule="atLeast"/>
                        </w:trPr>
                        <w:tc>
                          <w:tcPr>
                            <w:tcW w:w="820" w:type="dxa"/>
                          </w:tcPr>
                          <w:p>
                            <w:pPr>
                              <w:pStyle w:val="TableParagraph"/>
                              <w:spacing w:before="43"/>
                              <w:ind w:right="230"/>
                              <w:jc w:val="right"/>
                              <w:rPr>
                                <w:sz w:val="21"/>
                              </w:rPr>
                            </w:pPr>
                            <w:r>
                              <w:rPr>
                                <w:color w:val="030303"/>
                                <w:spacing w:val="-5"/>
                                <w:sz w:val="21"/>
                              </w:rPr>
                              <w:t>506</w:t>
                            </w:r>
                          </w:p>
                        </w:tc>
                        <w:tc>
                          <w:tcPr>
                            <w:tcW w:w="1012" w:type="dxa"/>
                          </w:tcPr>
                          <w:p>
                            <w:pPr>
                              <w:pStyle w:val="TableParagraph"/>
                              <w:spacing w:before="6"/>
                              <w:ind w:right="241"/>
                              <w:jc w:val="right"/>
                              <w:rPr>
                                <w:sz w:val="27"/>
                              </w:rPr>
                            </w:pPr>
                            <w:r>
                              <w:rPr>
                                <w:color w:val="3B3B3B"/>
                                <w:spacing w:val="-10"/>
                                <w:sz w:val="27"/>
                              </w:rPr>
                              <w:t>-</w:t>
                            </w:r>
                          </w:p>
                        </w:tc>
                        <w:tc>
                          <w:tcPr>
                            <w:tcW w:w="829" w:type="dxa"/>
                          </w:tcPr>
                          <w:p>
                            <w:pPr>
                              <w:pStyle w:val="TableParagraph"/>
                              <w:spacing w:before="43"/>
                              <w:ind w:right="218"/>
                              <w:jc w:val="right"/>
                              <w:rPr>
                                <w:sz w:val="21"/>
                              </w:rPr>
                            </w:pPr>
                            <w:r>
                              <w:rPr>
                                <w:color w:val="282828"/>
                                <w:spacing w:val="-10"/>
                                <w:w w:val="105"/>
                                <w:sz w:val="21"/>
                              </w:rPr>
                              <w:t>-</w:t>
                            </w:r>
                          </w:p>
                        </w:tc>
                        <w:tc>
                          <w:tcPr>
                            <w:tcW w:w="775" w:type="dxa"/>
                          </w:tcPr>
                          <w:p>
                            <w:pPr>
                              <w:pStyle w:val="TableParagraph"/>
                              <w:spacing w:before="43"/>
                              <w:ind w:right="191"/>
                              <w:jc w:val="right"/>
                              <w:rPr>
                                <w:sz w:val="21"/>
                              </w:rPr>
                            </w:pPr>
                            <w:r>
                              <w:rPr>
                                <w:color w:val="030303"/>
                                <w:spacing w:val="-5"/>
                                <w:sz w:val="21"/>
                              </w:rPr>
                              <w:t>15</w:t>
                            </w:r>
                          </w:p>
                        </w:tc>
                        <w:tc>
                          <w:tcPr>
                            <w:tcW w:w="662" w:type="dxa"/>
                          </w:tcPr>
                          <w:p>
                            <w:pPr>
                              <w:pStyle w:val="TableParagraph"/>
                              <w:spacing w:before="6"/>
                              <w:ind w:right="96"/>
                              <w:jc w:val="right"/>
                              <w:rPr>
                                <w:sz w:val="27"/>
                              </w:rPr>
                            </w:pPr>
                            <w:r>
                              <w:rPr>
                                <w:color w:val="4D4D4D"/>
                                <w:spacing w:val="-10"/>
                                <w:sz w:val="27"/>
                              </w:rPr>
                              <w:t>-</w:t>
                            </w:r>
                          </w:p>
                        </w:tc>
                        <w:tc>
                          <w:tcPr>
                            <w:tcW w:w="1215" w:type="dxa"/>
                          </w:tcPr>
                          <w:p>
                            <w:pPr>
                              <w:pStyle w:val="TableParagraph"/>
                              <w:spacing w:before="39"/>
                              <w:ind w:right="450"/>
                              <w:jc w:val="right"/>
                              <w:rPr>
                                <w:sz w:val="22"/>
                              </w:rPr>
                            </w:pPr>
                            <w:r>
                              <w:rPr>
                                <w:color w:val="3B3B3B"/>
                                <w:spacing w:val="-10"/>
                                <w:w w:val="110"/>
                                <w:sz w:val="22"/>
                              </w:rPr>
                              <w:t>-</w:t>
                            </w:r>
                          </w:p>
                        </w:tc>
                        <w:tc>
                          <w:tcPr>
                            <w:tcW w:w="1059" w:type="dxa"/>
                          </w:tcPr>
                          <w:p>
                            <w:pPr>
                              <w:pStyle w:val="TableParagraph"/>
                              <w:spacing w:before="43"/>
                              <w:ind w:right="90"/>
                              <w:jc w:val="right"/>
                              <w:rPr>
                                <w:sz w:val="22"/>
                              </w:rPr>
                            </w:pPr>
                            <w:r>
                              <w:rPr>
                                <w:color w:val="3B3B3B"/>
                                <w:spacing w:val="-10"/>
                                <w:w w:val="110"/>
                                <w:sz w:val="22"/>
                              </w:rPr>
                              <w:t>-</w:t>
                            </w:r>
                          </w:p>
                        </w:tc>
                        <w:tc>
                          <w:tcPr>
                            <w:tcW w:w="1017" w:type="dxa"/>
                          </w:tcPr>
                          <w:p>
                            <w:pPr>
                              <w:pStyle w:val="TableParagraph"/>
                              <w:spacing w:before="38"/>
                              <w:ind w:right="124"/>
                              <w:jc w:val="right"/>
                              <w:rPr>
                                <w:sz w:val="21"/>
                              </w:rPr>
                            </w:pPr>
                            <w:r>
                              <w:rPr>
                                <w:color w:val="030303"/>
                                <w:spacing w:val="-5"/>
                                <w:sz w:val="21"/>
                              </w:rPr>
                              <w:t>(2)</w:t>
                            </w:r>
                          </w:p>
                        </w:tc>
                        <w:tc>
                          <w:tcPr>
                            <w:tcW w:w="840" w:type="dxa"/>
                          </w:tcPr>
                          <w:p>
                            <w:pPr>
                              <w:pStyle w:val="TableParagraph"/>
                              <w:spacing w:before="53"/>
                              <w:ind w:right="45"/>
                              <w:jc w:val="right"/>
                              <w:rPr>
                                <w:b/>
                                <w:sz w:val="20"/>
                              </w:rPr>
                            </w:pPr>
                            <w:r>
                              <w:rPr>
                                <w:b/>
                                <w:color w:val="030303"/>
                                <w:spacing w:val="-5"/>
                                <w:w w:val="105"/>
                                <w:sz w:val="20"/>
                              </w:rPr>
                              <w:t>519</w:t>
                            </w:r>
                          </w:p>
                        </w:tc>
                      </w:tr>
                      <w:tr>
                        <w:trPr>
                          <w:trHeight w:val="327" w:hRule="atLeast"/>
                        </w:trPr>
                        <w:tc>
                          <w:tcPr>
                            <w:tcW w:w="820" w:type="dxa"/>
                          </w:tcPr>
                          <w:p>
                            <w:pPr>
                              <w:pStyle w:val="TableParagraph"/>
                              <w:spacing w:before="26"/>
                              <w:ind w:right="232"/>
                              <w:jc w:val="right"/>
                              <w:rPr>
                                <w:sz w:val="21"/>
                              </w:rPr>
                            </w:pPr>
                            <w:r>
                              <w:rPr>
                                <w:color w:val="030303"/>
                                <w:spacing w:val="-5"/>
                                <w:sz w:val="21"/>
                              </w:rPr>
                              <w:t>420</w:t>
                            </w:r>
                          </w:p>
                        </w:tc>
                        <w:tc>
                          <w:tcPr>
                            <w:tcW w:w="1012" w:type="dxa"/>
                          </w:tcPr>
                          <w:p>
                            <w:pPr>
                              <w:pStyle w:val="TableParagraph"/>
                              <w:spacing w:before="26"/>
                              <w:ind w:right="245"/>
                              <w:jc w:val="right"/>
                              <w:rPr>
                                <w:sz w:val="21"/>
                              </w:rPr>
                            </w:pPr>
                            <w:r>
                              <w:rPr>
                                <w:color w:val="030303"/>
                                <w:spacing w:val="-5"/>
                                <w:sz w:val="21"/>
                              </w:rPr>
                              <w:t>30</w:t>
                            </w:r>
                          </w:p>
                        </w:tc>
                        <w:tc>
                          <w:tcPr>
                            <w:tcW w:w="829" w:type="dxa"/>
                          </w:tcPr>
                          <w:p>
                            <w:pPr>
                              <w:pStyle w:val="TableParagraph"/>
                              <w:spacing w:before="26"/>
                              <w:ind w:right="222"/>
                              <w:jc w:val="right"/>
                              <w:rPr>
                                <w:sz w:val="21"/>
                              </w:rPr>
                            </w:pPr>
                            <w:r>
                              <w:rPr>
                                <w:color w:val="030303"/>
                                <w:spacing w:val="-5"/>
                                <w:sz w:val="21"/>
                              </w:rPr>
                              <w:t>36</w:t>
                            </w:r>
                          </w:p>
                        </w:tc>
                        <w:tc>
                          <w:tcPr>
                            <w:tcW w:w="775" w:type="dxa"/>
                          </w:tcPr>
                          <w:p>
                            <w:pPr>
                              <w:pStyle w:val="TableParagraph"/>
                              <w:spacing w:before="26"/>
                              <w:ind w:right="184"/>
                              <w:jc w:val="right"/>
                              <w:rPr>
                                <w:sz w:val="21"/>
                              </w:rPr>
                            </w:pPr>
                            <w:r>
                              <w:rPr>
                                <w:color w:val="030303"/>
                                <w:spacing w:val="-5"/>
                                <w:sz w:val="21"/>
                              </w:rPr>
                              <w:t>24</w:t>
                            </w:r>
                          </w:p>
                        </w:tc>
                        <w:tc>
                          <w:tcPr>
                            <w:tcW w:w="662" w:type="dxa"/>
                          </w:tcPr>
                          <w:p>
                            <w:pPr>
                              <w:pStyle w:val="TableParagraph"/>
                              <w:spacing w:before="26"/>
                              <w:ind w:right="108"/>
                              <w:jc w:val="right"/>
                              <w:rPr>
                                <w:sz w:val="21"/>
                              </w:rPr>
                            </w:pPr>
                            <w:r>
                              <w:rPr>
                                <w:color w:val="030303"/>
                                <w:spacing w:val="-5"/>
                                <w:sz w:val="21"/>
                              </w:rPr>
                              <w:t>95</w:t>
                            </w:r>
                          </w:p>
                        </w:tc>
                        <w:tc>
                          <w:tcPr>
                            <w:tcW w:w="1215" w:type="dxa"/>
                          </w:tcPr>
                          <w:p>
                            <w:pPr>
                              <w:pStyle w:val="TableParagraph"/>
                              <w:spacing w:before="45"/>
                              <w:ind w:right="450"/>
                              <w:jc w:val="right"/>
                              <w:rPr>
                                <w:sz w:val="21"/>
                              </w:rPr>
                            </w:pPr>
                            <w:r>
                              <w:rPr>
                                <w:color w:val="3B3B3B"/>
                                <w:spacing w:val="-10"/>
                                <w:w w:val="105"/>
                                <w:sz w:val="21"/>
                              </w:rPr>
                              <w:t>-</w:t>
                            </w:r>
                          </w:p>
                        </w:tc>
                        <w:tc>
                          <w:tcPr>
                            <w:tcW w:w="1059" w:type="dxa"/>
                          </w:tcPr>
                          <w:p>
                            <w:pPr>
                              <w:pStyle w:val="TableParagraph"/>
                              <w:spacing w:before="26"/>
                              <w:ind w:right="101"/>
                              <w:jc w:val="right"/>
                              <w:rPr>
                                <w:sz w:val="21"/>
                              </w:rPr>
                            </w:pPr>
                            <w:r>
                              <w:rPr>
                                <w:color w:val="030303"/>
                                <w:spacing w:val="-10"/>
                                <w:w w:val="105"/>
                                <w:sz w:val="21"/>
                              </w:rPr>
                              <w:t>2</w:t>
                            </w:r>
                          </w:p>
                        </w:tc>
                        <w:tc>
                          <w:tcPr>
                            <w:tcW w:w="1017" w:type="dxa"/>
                          </w:tcPr>
                          <w:p>
                            <w:pPr>
                              <w:pStyle w:val="TableParagraph"/>
                              <w:spacing w:before="26"/>
                              <w:ind w:right="126"/>
                              <w:jc w:val="right"/>
                              <w:rPr>
                                <w:sz w:val="21"/>
                              </w:rPr>
                            </w:pPr>
                            <w:r>
                              <w:rPr>
                                <w:color w:val="030303"/>
                                <w:spacing w:val="-2"/>
                                <w:sz w:val="21"/>
                              </w:rPr>
                              <w:t>(180)</w:t>
                            </w:r>
                          </w:p>
                        </w:tc>
                        <w:tc>
                          <w:tcPr>
                            <w:tcW w:w="840" w:type="dxa"/>
                          </w:tcPr>
                          <w:p>
                            <w:pPr>
                              <w:pStyle w:val="TableParagraph"/>
                              <w:spacing w:before="30"/>
                              <w:ind w:right="45"/>
                              <w:jc w:val="right"/>
                              <w:rPr>
                                <w:b/>
                                <w:sz w:val="20"/>
                              </w:rPr>
                            </w:pPr>
                            <w:r>
                              <w:rPr>
                                <w:b/>
                                <w:color w:val="030303"/>
                                <w:spacing w:val="-5"/>
                                <w:w w:val="105"/>
                                <w:sz w:val="20"/>
                              </w:rPr>
                              <w:t>427</w:t>
                            </w:r>
                          </w:p>
                        </w:tc>
                      </w:tr>
                      <w:tr>
                        <w:trPr>
                          <w:trHeight w:val="326" w:hRule="atLeast"/>
                        </w:trPr>
                        <w:tc>
                          <w:tcPr>
                            <w:tcW w:w="820" w:type="dxa"/>
                          </w:tcPr>
                          <w:p>
                            <w:pPr>
                              <w:pStyle w:val="TableParagraph"/>
                              <w:spacing w:before="34"/>
                              <w:ind w:right="236"/>
                              <w:jc w:val="right"/>
                              <w:rPr>
                                <w:sz w:val="21"/>
                              </w:rPr>
                            </w:pPr>
                            <w:r>
                              <w:rPr>
                                <w:color w:val="030303"/>
                                <w:spacing w:val="-2"/>
                                <w:sz w:val="21"/>
                              </w:rPr>
                              <w:t>1,386</w:t>
                            </w:r>
                          </w:p>
                        </w:tc>
                        <w:tc>
                          <w:tcPr>
                            <w:tcW w:w="1012" w:type="dxa"/>
                          </w:tcPr>
                          <w:p>
                            <w:pPr>
                              <w:pStyle w:val="TableParagraph"/>
                              <w:spacing w:before="34"/>
                              <w:ind w:right="241"/>
                              <w:jc w:val="right"/>
                              <w:rPr>
                                <w:sz w:val="21"/>
                              </w:rPr>
                            </w:pPr>
                            <w:r>
                              <w:rPr>
                                <w:color w:val="030303"/>
                                <w:spacing w:val="-10"/>
                                <w:w w:val="105"/>
                                <w:sz w:val="21"/>
                              </w:rPr>
                              <w:t>2</w:t>
                            </w:r>
                          </w:p>
                        </w:tc>
                        <w:tc>
                          <w:tcPr>
                            <w:tcW w:w="829" w:type="dxa"/>
                          </w:tcPr>
                          <w:p>
                            <w:pPr>
                              <w:pStyle w:val="TableParagraph"/>
                              <w:spacing w:before="34"/>
                              <w:ind w:right="219"/>
                              <w:jc w:val="right"/>
                              <w:rPr>
                                <w:sz w:val="21"/>
                              </w:rPr>
                            </w:pPr>
                            <w:r>
                              <w:rPr>
                                <w:color w:val="030303"/>
                                <w:spacing w:val="-10"/>
                                <w:w w:val="105"/>
                                <w:sz w:val="21"/>
                              </w:rPr>
                              <w:t>7</w:t>
                            </w:r>
                          </w:p>
                        </w:tc>
                        <w:tc>
                          <w:tcPr>
                            <w:tcW w:w="775" w:type="dxa"/>
                          </w:tcPr>
                          <w:p>
                            <w:pPr>
                              <w:pStyle w:val="TableParagraph"/>
                              <w:spacing w:before="34"/>
                              <w:ind w:right="188"/>
                              <w:jc w:val="right"/>
                              <w:rPr>
                                <w:sz w:val="21"/>
                              </w:rPr>
                            </w:pPr>
                            <w:r>
                              <w:rPr>
                                <w:color w:val="030303"/>
                                <w:spacing w:val="-5"/>
                                <w:sz w:val="21"/>
                              </w:rPr>
                              <w:t>218</w:t>
                            </w:r>
                          </w:p>
                        </w:tc>
                        <w:tc>
                          <w:tcPr>
                            <w:tcW w:w="662" w:type="dxa"/>
                          </w:tcPr>
                          <w:p>
                            <w:pPr>
                              <w:pStyle w:val="TableParagraph"/>
                              <w:spacing w:before="34"/>
                              <w:ind w:right="108"/>
                              <w:jc w:val="right"/>
                              <w:rPr>
                                <w:sz w:val="21"/>
                              </w:rPr>
                            </w:pPr>
                            <w:r>
                              <w:rPr>
                                <w:color w:val="030303"/>
                                <w:spacing w:val="-5"/>
                                <w:sz w:val="21"/>
                              </w:rPr>
                              <w:t>29</w:t>
                            </w:r>
                          </w:p>
                        </w:tc>
                        <w:tc>
                          <w:tcPr>
                            <w:tcW w:w="1215" w:type="dxa"/>
                          </w:tcPr>
                          <w:p>
                            <w:pPr>
                              <w:pStyle w:val="TableParagraph"/>
                              <w:spacing w:before="39"/>
                              <w:ind w:right="455"/>
                              <w:jc w:val="right"/>
                              <w:rPr>
                                <w:sz w:val="21"/>
                              </w:rPr>
                            </w:pPr>
                            <w:r>
                              <w:rPr>
                                <w:color w:val="282828"/>
                                <w:spacing w:val="-10"/>
                                <w:w w:val="105"/>
                                <w:sz w:val="21"/>
                              </w:rPr>
                              <w:t>-</w:t>
                            </w:r>
                          </w:p>
                        </w:tc>
                        <w:tc>
                          <w:tcPr>
                            <w:tcW w:w="1059" w:type="dxa"/>
                          </w:tcPr>
                          <w:p>
                            <w:pPr>
                              <w:pStyle w:val="TableParagraph"/>
                              <w:spacing w:before="39"/>
                              <w:ind w:right="98"/>
                              <w:jc w:val="right"/>
                              <w:rPr>
                                <w:sz w:val="21"/>
                              </w:rPr>
                            </w:pPr>
                            <w:r>
                              <w:rPr>
                                <w:color w:val="030303"/>
                                <w:spacing w:val="-10"/>
                                <w:w w:val="105"/>
                                <w:sz w:val="21"/>
                              </w:rPr>
                              <w:t>3</w:t>
                            </w:r>
                          </w:p>
                        </w:tc>
                        <w:tc>
                          <w:tcPr>
                            <w:tcW w:w="1017" w:type="dxa"/>
                          </w:tcPr>
                          <w:p>
                            <w:pPr>
                              <w:pStyle w:val="TableParagraph"/>
                              <w:spacing w:before="34"/>
                              <w:ind w:right="126"/>
                              <w:jc w:val="right"/>
                              <w:rPr>
                                <w:sz w:val="21"/>
                              </w:rPr>
                            </w:pPr>
                            <w:r>
                              <w:rPr>
                                <w:color w:val="030303"/>
                                <w:spacing w:val="-2"/>
                                <w:sz w:val="21"/>
                              </w:rPr>
                              <w:t>(323)</w:t>
                            </w:r>
                          </w:p>
                        </w:tc>
                        <w:tc>
                          <w:tcPr>
                            <w:tcW w:w="840" w:type="dxa"/>
                          </w:tcPr>
                          <w:p>
                            <w:pPr>
                              <w:pStyle w:val="TableParagraph"/>
                              <w:spacing w:before="44"/>
                              <w:ind w:right="48"/>
                              <w:jc w:val="right"/>
                              <w:rPr>
                                <w:b/>
                                <w:sz w:val="20"/>
                              </w:rPr>
                            </w:pPr>
                            <w:r>
                              <w:rPr>
                                <w:b/>
                                <w:color w:val="030303"/>
                                <w:spacing w:val="-2"/>
                                <w:w w:val="105"/>
                                <w:sz w:val="20"/>
                              </w:rPr>
                              <w:t>1,322</w:t>
                            </w:r>
                          </w:p>
                        </w:tc>
                      </w:tr>
                      <w:tr>
                        <w:trPr>
                          <w:trHeight w:val="318" w:hRule="atLeast"/>
                        </w:trPr>
                        <w:tc>
                          <w:tcPr>
                            <w:tcW w:w="820" w:type="dxa"/>
                          </w:tcPr>
                          <w:p>
                            <w:pPr>
                              <w:pStyle w:val="TableParagraph"/>
                              <w:spacing w:before="39"/>
                              <w:ind w:right="239"/>
                              <w:jc w:val="right"/>
                              <w:rPr>
                                <w:sz w:val="21"/>
                              </w:rPr>
                            </w:pPr>
                            <w:r>
                              <w:rPr>
                                <w:color w:val="030303"/>
                                <w:spacing w:val="-2"/>
                                <w:sz w:val="21"/>
                              </w:rPr>
                              <w:t>2,983</w:t>
                            </w:r>
                          </w:p>
                        </w:tc>
                        <w:tc>
                          <w:tcPr>
                            <w:tcW w:w="1012" w:type="dxa"/>
                          </w:tcPr>
                          <w:p>
                            <w:pPr>
                              <w:pStyle w:val="TableParagraph"/>
                              <w:spacing w:before="54"/>
                              <w:ind w:right="250"/>
                              <w:jc w:val="right"/>
                              <w:rPr>
                                <w:sz w:val="21"/>
                              </w:rPr>
                            </w:pPr>
                            <w:r>
                              <w:rPr>
                                <w:color w:val="030303"/>
                                <w:spacing w:val="-10"/>
                                <w:w w:val="105"/>
                                <w:sz w:val="21"/>
                              </w:rPr>
                              <w:t>-</w:t>
                            </w:r>
                          </w:p>
                        </w:tc>
                        <w:tc>
                          <w:tcPr>
                            <w:tcW w:w="829" w:type="dxa"/>
                          </w:tcPr>
                          <w:p>
                            <w:pPr>
                              <w:pStyle w:val="TableParagraph"/>
                              <w:spacing w:before="39"/>
                              <w:ind w:right="223"/>
                              <w:jc w:val="right"/>
                              <w:rPr>
                                <w:sz w:val="21"/>
                              </w:rPr>
                            </w:pPr>
                            <w:r>
                              <w:rPr>
                                <w:color w:val="030303"/>
                                <w:spacing w:val="-10"/>
                                <w:w w:val="105"/>
                                <w:sz w:val="21"/>
                              </w:rPr>
                              <w:t>2</w:t>
                            </w:r>
                          </w:p>
                        </w:tc>
                        <w:tc>
                          <w:tcPr>
                            <w:tcW w:w="775" w:type="dxa"/>
                          </w:tcPr>
                          <w:p>
                            <w:pPr>
                              <w:pStyle w:val="TableParagraph"/>
                              <w:spacing w:before="39"/>
                              <w:ind w:right="192"/>
                              <w:jc w:val="right"/>
                              <w:rPr>
                                <w:sz w:val="21"/>
                              </w:rPr>
                            </w:pPr>
                            <w:r>
                              <w:rPr>
                                <w:color w:val="030303"/>
                                <w:spacing w:val="-5"/>
                                <w:sz w:val="21"/>
                              </w:rPr>
                              <w:t>704</w:t>
                            </w:r>
                          </w:p>
                        </w:tc>
                        <w:tc>
                          <w:tcPr>
                            <w:tcW w:w="662" w:type="dxa"/>
                          </w:tcPr>
                          <w:p>
                            <w:pPr>
                              <w:pStyle w:val="TableParagraph"/>
                              <w:spacing w:before="39"/>
                              <w:ind w:right="114"/>
                              <w:jc w:val="right"/>
                              <w:rPr>
                                <w:sz w:val="21"/>
                              </w:rPr>
                            </w:pPr>
                            <w:r>
                              <w:rPr>
                                <w:color w:val="030303"/>
                                <w:spacing w:val="-5"/>
                                <w:sz w:val="21"/>
                              </w:rPr>
                              <w:t>129</w:t>
                            </w:r>
                          </w:p>
                        </w:tc>
                        <w:tc>
                          <w:tcPr>
                            <w:tcW w:w="1215" w:type="dxa"/>
                          </w:tcPr>
                          <w:p>
                            <w:pPr>
                              <w:pStyle w:val="TableParagraph"/>
                              <w:spacing w:before="39"/>
                              <w:ind w:right="470"/>
                              <w:jc w:val="right"/>
                              <w:rPr>
                                <w:sz w:val="21"/>
                              </w:rPr>
                            </w:pPr>
                            <w:r>
                              <w:rPr>
                                <w:color w:val="030303"/>
                                <w:spacing w:val="-2"/>
                                <w:sz w:val="21"/>
                              </w:rPr>
                              <w:t>26,779</w:t>
                            </w:r>
                          </w:p>
                        </w:tc>
                        <w:tc>
                          <w:tcPr>
                            <w:tcW w:w="1059" w:type="dxa"/>
                          </w:tcPr>
                          <w:p>
                            <w:pPr>
                              <w:pStyle w:val="TableParagraph"/>
                              <w:spacing w:before="39"/>
                              <w:ind w:right="99"/>
                              <w:jc w:val="right"/>
                              <w:rPr>
                                <w:sz w:val="21"/>
                              </w:rPr>
                            </w:pPr>
                            <w:r>
                              <w:rPr>
                                <w:color w:val="030303"/>
                                <w:spacing w:val="-5"/>
                                <w:w w:val="105"/>
                                <w:sz w:val="21"/>
                              </w:rPr>
                              <w:t>141</w:t>
                            </w:r>
                          </w:p>
                        </w:tc>
                        <w:tc>
                          <w:tcPr>
                            <w:tcW w:w="1017" w:type="dxa"/>
                          </w:tcPr>
                          <w:p>
                            <w:pPr>
                              <w:pStyle w:val="TableParagraph"/>
                              <w:spacing w:before="39"/>
                              <w:ind w:right="134"/>
                              <w:jc w:val="right"/>
                              <w:rPr>
                                <w:sz w:val="21"/>
                              </w:rPr>
                            </w:pPr>
                            <w:r>
                              <w:rPr>
                                <w:color w:val="030303"/>
                                <w:spacing w:val="-2"/>
                                <w:sz w:val="21"/>
                              </w:rPr>
                              <w:t>(27,880)</w:t>
                            </w:r>
                          </w:p>
                        </w:tc>
                        <w:tc>
                          <w:tcPr>
                            <w:tcW w:w="840" w:type="dxa"/>
                          </w:tcPr>
                          <w:p>
                            <w:pPr>
                              <w:pStyle w:val="TableParagraph"/>
                              <w:spacing w:before="49"/>
                              <w:ind w:right="47"/>
                              <w:jc w:val="right"/>
                              <w:rPr>
                                <w:b/>
                                <w:sz w:val="20"/>
                              </w:rPr>
                            </w:pPr>
                            <w:r>
                              <w:rPr>
                                <w:b/>
                                <w:color w:val="030303"/>
                                <w:spacing w:val="-2"/>
                                <w:w w:val="105"/>
                                <w:sz w:val="20"/>
                              </w:rPr>
                              <w:t>2,858</w:t>
                            </w:r>
                          </w:p>
                        </w:tc>
                      </w:tr>
                      <w:tr>
                        <w:trPr>
                          <w:trHeight w:val="358" w:hRule="atLeast"/>
                        </w:trPr>
                        <w:tc>
                          <w:tcPr>
                            <w:tcW w:w="820" w:type="dxa"/>
                          </w:tcPr>
                          <w:p>
                            <w:pPr>
                              <w:pStyle w:val="TableParagraph"/>
                              <w:spacing w:before="57"/>
                              <w:ind w:right="234"/>
                              <w:jc w:val="right"/>
                              <w:rPr>
                                <w:sz w:val="21"/>
                              </w:rPr>
                            </w:pPr>
                            <w:r>
                              <w:rPr>
                                <w:color w:val="030303"/>
                                <w:spacing w:val="-5"/>
                                <w:sz w:val="21"/>
                              </w:rPr>
                              <w:t>76</w:t>
                            </w:r>
                          </w:p>
                        </w:tc>
                        <w:tc>
                          <w:tcPr>
                            <w:tcW w:w="1012" w:type="dxa"/>
                          </w:tcPr>
                          <w:p>
                            <w:pPr>
                              <w:pStyle w:val="TableParagraph"/>
                              <w:spacing w:before="15"/>
                              <w:ind w:right="245"/>
                              <w:jc w:val="right"/>
                              <w:rPr>
                                <w:sz w:val="27"/>
                              </w:rPr>
                            </w:pPr>
                            <w:r>
                              <w:rPr>
                                <w:color w:val="030303"/>
                                <w:spacing w:val="-10"/>
                                <w:sz w:val="27"/>
                              </w:rPr>
                              <w:t>-</w:t>
                            </w:r>
                          </w:p>
                        </w:tc>
                        <w:tc>
                          <w:tcPr>
                            <w:tcW w:w="829" w:type="dxa"/>
                          </w:tcPr>
                          <w:p>
                            <w:pPr>
                              <w:pStyle w:val="TableParagraph"/>
                              <w:spacing w:before="47"/>
                              <w:ind w:right="227"/>
                              <w:jc w:val="right"/>
                              <w:rPr>
                                <w:sz w:val="22"/>
                              </w:rPr>
                            </w:pPr>
                            <w:r>
                              <w:rPr>
                                <w:color w:val="030303"/>
                                <w:spacing w:val="-10"/>
                                <w:w w:val="110"/>
                                <w:sz w:val="22"/>
                              </w:rPr>
                              <w:t>-</w:t>
                            </w:r>
                          </w:p>
                        </w:tc>
                        <w:tc>
                          <w:tcPr>
                            <w:tcW w:w="775" w:type="dxa"/>
                          </w:tcPr>
                          <w:p>
                            <w:pPr>
                              <w:pStyle w:val="TableParagraph"/>
                              <w:spacing w:before="52"/>
                              <w:ind w:right="191"/>
                              <w:jc w:val="right"/>
                              <w:rPr>
                                <w:sz w:val="21"/>
                              </w:rPr>
                            </w:pPr>
                            <w:r>
                              <w:rPr>
                                <w:color w:val="030303"/>
                                <w:spacing w:val="-5"/>
                                <w:sz w:val="21"/>
                              </w:rPr>
                              <w:t>421</w:t>
                            </w:r>
                          </w:p>
                        </w:tc>
                        <w:tc>
                          <w:tcPr>
                            <w:tcW w:w="662" w:type="dxa"/>
                          </w:tcPr>
                          <w:p>
                            <w:pPr>
                              <w:pStyle w:val="TableParagraph"/>
                              <w:spacing w:before="57"/>
                              <w:ind w:right="108"/>
                              <w:jc w:val="right"/>
                              <w:rPr>
                                <w:sz w:val="21"/>
                              </w:rPr>
                            </w:pPr>
                            <w:r>
                              <w:rPr>
                                <w:color w:val="030303"/>
                                <w:spacing w:val="-10"/>
                                <w:w w:val="105"/>
                                <w:sz w:val="21"/>
                              </w:rPr>
                              <w:t>8</w:t>
                            </w:r>
                          </w:p>
                        </w:tc>
                        <w:tc>
                          <w:tcPr>
                            <w:tcW w:w="1215" w:type="dxa"/>
                          </w:tcPr>
                          <w:p>
                            <w:pPr>
                              <w:pStyle w:val="TableParagraph"/>
                              <w:spacing w:before="52"/>
                              <w:ind w:right="455"/>
                              <w:jc w:val="right"/>
                              <w:rPr>
                                <w:sz w:val="22"/>
                              </w:rPr>
                            </w:pPr>
                            <w:r>
                              <w:rPr>
                                <w:color w:val="282828"/>
                                <w:spacing w:val="-10"/>
                                <w:w w:val="110"/>
                                <w:sz w:val="22"/>
                              </w:rPr>
                              <w:t>-</w:t>
                            </w:r>
                          </w:p>
                        </w:tc>
                        <w:tc>
                          <w:tcPr>
                            <w:tcW w:w="1059" w:type="dxa"/>
                          </w:tcPr>
                          <w:p>
                            <w:pPr>
                              <w:pStyle w:val="TableParagraph"/>
                              <w:spacing w:before="52"/>
                              <w:ind w:right="100"/>
                              <w:jc w:val="right"/>
                              <w:rPr>
                                <w:sz w:val="22"/>
                              </w:rPr>
                            </w:pPr>
                            <w:r>
                              <w:rPr>
                                <w:color w:val="282828"/>
                                <w:spacing w:val="-10"/>
                                <w:w w:val="110"/>
                                <w:sz w:val="22"/>
                              </w:rPr>
                              <w:t>-</w:t>
                            </w:r>
                          </w:p>
                        </w:tc>
                        <w:tc>
                          <w:tcPr>
                            <w:tcW w:w="1017" w:type="dxa"/>
                          </w:tcPr>
                          <w:p>
                            <w:pPr>
                              <w:pStyle w:val="TableParagraph"/>
                              <w:spacing w:before="52"/>
                              <w:ind w:right="127"/>
                              <w:jc w:val="right"/>
                              <w:rPr>
                                <w:sz w:val="21"/>
                              </w:rPr>
                            </w:pPr>
                            <w:r>
                              <w:rPr>
                                <w:color w:val="030303"/>
                                <w:spacing w:val="-4"/>
                                <w:sz w:val="21"/>
                              </w:rPr>
                              <w:t>(81)</w:t>
                            </w:r>
                          </w:p>
                        </w:tc>
                        <w:tc>
                          <w:tcPr>
                            <w:tcW w:w="840" w:type="dxa"/>
                          </w:tcPr>
                          <w:p>
                            <w:pPr>
                              <w:pStyle w:val="TableParagraph"/>
                              <w:spacing w:before="61"/>
                              <w:ind w:right="51"/>
                              <w:jc w:val="right"/>
                              <w:rPr>
                                <w:b/>
                                <w:sz w:val="20"/>
                              </w:rPr>
                            </w:pPr>
                            <w:r>
                              <w:rPr>
                                <w:b/>
                                <w:color w:val="030303"/>
                                <w:spacing w:val="-5"/>
                                <w:w w:val="105"/>
                                <w:sz w:val="20"/>
                              </w:rPr>
                              <w:t>424</w:t>
                            </w:r>
                          </w:p>
                        </w:tc>
                      </w:tr>
                      <w:tr>
                        <w:trPr>
                          <w:trHeight w:val="305" w:hRule="atLeast"/>
                        </w:trPr>
                        <w:tc>
                          <w:tcPr>
                            <w:tcW w:w="820" w:type="dxa"/>
                          </w:tcPr>
                          <w:p>
                            <w:pPr>
                              <w:pStyle w:val="TableParagraph"/>
                              <w:spacing w:before="30"/>
                              <w:ind w:right="241"/>
                              <w:jc w:val="right"/>
                              <w:rPr>
                                <w:sz w:val="21"/>
                              </w:rPr>
                            </w:pPr>
                            <w:r>
                              <w:rPr>
                                <w:color w:val="030303"/>
                                <w:spacing w:val="-2"/>
                                <w:sz w:val="21"/>
                              </w:rPr>
                              <w:t>1,189</w:t>
                            </w:r>
                          </w:p>
                        </w:tc>
                        <w:tc>
                          <w:tcPr>
                            <w:tcW w:w="1012" w:type="dxa"/>
                          </w:tcPr>
                          <w:p>
                            <w:pPr>
                              <w:pStyle w:val="TableParagraph"/>
                              <w:spacing w:before="35"/>
                              <w:ind w:right="254"/>
                              <w:jc w:val="right"/>
                              <w:rPr>
                                <w:sz w:val="21"/>
                              </w:rPr>
                            </w:pPr>
                            <w:r>
                              <w:rPr>
                                <w:color w:val="030303"/>
                                <w:spacing w:val="-10"/>
                                <w:sz w:val="21"/>
                              </w:rPr>
                              <w:t>1</w:t>
                            </w:r>
                          </w:p>
                        </w:tc>
                        <w:tc>
                          <w:tcPr>
                            <w:tcW w:w="829" w:type="dxa"/>
                          </w:tcPr>
                          <w:p>
                            <w:pPr>
                              <w:pStyle w:val="TableParagraph"/>
                              <w:spacing w:before="30"/>
                              <w:ind w:right="228"/>
                              <w:jc w:val="right"/>
                              <w:rPr>
                                <w:sz w:val="21"/>
                              </w:rPr>
                            </w:pPr>
                            <w:r>
                              <w:rPr>
                                <w:color w:val="030303"/>
                                <w:spacing w:val="-10"/>
                                <w:w w:val="105"/>
                                <w:sz w:val="21"/>
                              </w:rPr>
                              <w:t>2</w:t>
                            </w:r>
                          </w:p>
                        </w:tc>
                        <w:tc>
                          <w:tcPr>
                            <w:tcW w:w="775" w:type="dxa"/>
                          </w:tcPr>
                          <w:p>
                            <w:pPr>
                              <w:pStyle w:val="TableParagraph"/>
                              <w:spacing w:before="35"/>
                              <w:ind w:right="191"/>
                              <w:jc w:val="right"/>
                              <w:rPr>
                                <w:sz w:val="21"/>
                              </w:rPr>
                            </w:pPr>
                            <w:r>
                              <w:rPr>
                                <w:color w:val="030303"/>
                                <w:spacing w:val="-5"/>
                                <w:sz w:val="21"/>
                              </w:rPr>
                              <w:t>977</w:t>
                            </w:r>
                          </w:p>
                        </w:tc>
                        <w:tc>
                          <w:tcPr>
                            <w:tcW w:w="662" w:type="dxa"/>
                          </w:tcPr>
                          <w:p>
                            <w:pPr>
                              <w:pStyle w:val="TableParagraph"/>
                              <w:spacing w:before="30"/>
                              <w:ind w:right="107"/>
                              <w:jc w:val="right"/>
                              <w:rPr>
                                <w:sz w:val="21"/>
                              </w:rPr>
                            </w:pPr>
                            <w:r>
                              <w:rPr>
                                <w:color w:val="030303"/>
                                <w:spacing w:val="-5"/>
                                <w:sz w:val="21"/>
                              </w:rPr>
                              <w:t>106</w:t>
                            </w:r>
                          </w:p>
                        </w:tc>
                        <w:tc>
                          <w:tcPr>
                            <w:tcW w:w="1215" w:type="dxa"/>
                          </w:tcPr>
                          <w:p>
                            <w:pPr>
                              <w:pStyle w:val="TableParagraph"/>
                              <w:spacing w:before="30"/>
                              <w:ind w:right="461"/>
                              <w:jc w:val="right"/>
                              <w:rPr>
                                <w:sz w:val="21"/>
                              </w:rPr>
                            </w:pPr>
                            <w:r>
                              <w:rPr>
                                <w:color w:val="030303"/>
                                <w:spacing w:val="-5"/>
                                <w:sz w:val="21"/>
                              </w:rPr>
                              <w:t>77</w:t>
                            </w:r>
                          </w:p>
                        </w:tc>
                        <w:tc>
                          <w:tcPr>
                            <w:tcW w:w="1059" w:type="dxa"/>
                          </w:tcPr>
                          <w:p>
                            <w:pPr>
                              <w:pStyle w:val="TableParagraph"/>
                              <w:spacing w:before="30"/>
                              <w:ind w:right="103"/>
                              <w:jc w:val="right"/>
                              <w:rPr>
                                <w:sz w:val="21"/>
                              </w:rPr>
                            </w:pPr>
                            <w:r>
                              <w:rPr>
                                <w:color w:val="030303"/>
                                <w:spacing w:val="-5"/>
                                <w:sz w:val="21"/>
                              </w:rPr>
                              <w:t>826</w:t>
                            </w:r>
                          </w:p>
                        </w:tc>
                        <w:tc>
                          <w:tcPr>
                            <w:tcW w:w="1017" w:type="dxa"/>
                          </w:tcPr>
                          <w:p>
                            <w:pPr>
                              <w:pStyle w:val="TableParagraph"/>
                              <w:spacing w:before="26"/>
                              <w:ind w:right="130"/>
                              <w:jc w:val="right"/>
                              <w:rPr>
                                <w:sz w:val="21"/>
                              </w:rPr>
                            </w:pPr>
                            <w:r>
                              <w:rPr>
                                <w:color w:val="030303"/>
                                <w:spacing w:val="-2"/>
                                <w:sz w:val="21"/>
                              </w:rPr>
                              <w:t>(1,415)</w:t>
                            </w:r>
                          </w:p>
                        </w:tc>
                        <w:tc>
                          <w:tcPr>
                            <w:tcW w:w="840" w:type="dxa"/>
                          </w:tcPr>
                          <w:p>
                            <w:pPr>
                              <w:pStyle w:val="TableParagraph"/>
                              <w:spacing w:before="35"/>
                              <w:ind w:right="53"/>
                              <w:jc w:val="right"/>
                              <w:rPr>
                                <w:b/>
                                <w:sz w:val="20"/>
                              </w:rPr>
                            </w:pPr>
                            <w:r>
                              <w:rPr>
                                <w:b/>
                                <w:color w:val="030303"/>
                                <w:spacing w:val="-2"/>
                                <w:w w:val="105"/>
                                <w:sz w:val="20"/>
                              </w:rPr>
                              <w:t>1,763</w:t>
                            </w:r>
                          </w:p>
                        </w:tc>
                      </w:tr>
                      <w:tr>
                        <w:trPr>
                          <w:trHeight w:val="362" w:hRule="atLeast"/>
                        </w:trPr>
                        <w:tc>
                          <w:tcPr>
                            <w:tcW w:w="820" w:type="dxa"/>
                          </w:tcPr>
                          <w:p>
                            <w:pPr>
                              <w:pStyle w:val="TableParagraph"/>
                              <w:spacing w:before="62"/>
                              <w:ind w:right="235"/>
                              <w:jc w:val="right"/>
                              <w:rPr>
                                <w:sz w:val="21"/>
                              </w:rPr>
                            </w:pPr>
                            <w:r>
                              <w:rPr>
                                <w:color w:val="030303"/>
                                <w:spacing w:val="-2"/>
                                <w:sz w:val="21"/>
                              </w:rPr>
                              <w:t>1,270</w:t>
                            </w:r>
                          </w:p>
                        </w:tc>
                        <w:tc>
                          <w:tcPr>
                            <w:tcW w:w="1012" w:type="dxa"/>
                          </w:tcPr>
                          <w:p>
                            <w:pPr>
                              <w:pStyle w:val="TableParagraph"/>
                              <w:spacing w:before="57"/>
                              <w:ind w:right="256"/>
                              <w:jc w:val="right"/>
                              <w:rPr>
                                <w:sz w:val="22"/>
                              </w:rPr>
                            </w:pPr>
                            <w:r>
                              <w:rPr>
                                <w:color w:val="282828"/>
                                <w:spacing w:val="-10"/>
                                <w:sz w:val="22"/>
                              </w:rPr>
                              <w:t>-</w:t>
                            </w:r>
                          </w:p>
                        </w:tc>
                        <w:tc>
                          <w:tcPr>
                            <w:tcW w:w="829" w:type="dxa"/>
                          </w:tcPr>
                          <w:p>
                            <w:pPr>
                              <w:pStyle w:val="TableParagraph"/>
                              <w:spacing w:before="57"/>
                              <w:ind w:right="233"/>
                              <w:jc w:val="right"/>
                              <w:rPr>
                                <w:sz w:val="22"/>
                              </w:rPr>
                            </w:pPr>
                            <w:r>
                              <w:rPr>
                                <w:color w:val="3B3B3B"/>
                                <w:spacing w:val="-10"/>
                                <w:sz w:val="22"/>
                              </w:rPr>
                              <w:t>-</w:t>
                            </w:r>
                          </w:p>
                        </w:tc>
                        <w:tc>
                          <w:tcPr>
                            <w:tcW w:w="775" w:type="dxa"/>
                          </w:tcPr>
                          <w:p>
                            <w:pPr>
                              <w:pStyle w:val="TableParagraph"/>
                              <w:spacing w:before="62"/>
                              <w:ind w:right="192"/>
                              <w:jc w:val="right"/>
                              <w:rPr>
                                <w:sz w:val="21"/>
                              </w:rPr>
                            </w:pPr>
                            <w:r>
                              <w:rPr>
                                <w:color w:val="030303"/>
                                <w:spacing w:val="-5"/>
                                <w:sz w:val="21"/>
                              </w:rPr>
                              <w:t>133</w:t>
                            </w:r>
                          </w:p>
                        </w:tc>
                        <w:tc>
                          <w:tcPr>
                            <w:tcW w:w="662" w:type="dxa"/>
                          </w:tcPr>
                          <w:p>
                            <w:pPr>
                              <w:pStyle w:val="TableParagraph"/>
                              <w:spacing w:before="62"/>
                              <w:ind w:right="112"/>
                              <w:jc w:val="right"/>
                              <w:rPr>
                                <w:sz w:val="21"/>
                              </w:rPr>
                            </w:pPr>
                            <w:r>
                              <w:rPr>
                                <w:color w:val="030303"/>
                                <w:spacing w:val="-5"/>
                                <w:sz w:val="21"/>
                              </w:rPr>
                              <w:t>120</w:t>
                            </w:r>
                          </w:p>
                        </w:tc>
                        <w:tc>
                          <w:tcPr>
                            <w:tcW w:w="1215" w:type="dxa"/>
                          </w:tcPr>
                          <w:p>
                            <w:pPr>
                              <w:pStyle w:val="TableParagraph"/>
                              <w:spacing w:before="20"/>
                              <w:ind w:right="455"/>
                              <w:jc w:val="right"/>
                              <w:rPr>
                                <w:sz w:val="27"/>
                              </w:rPr>
                            </w:pPr>
                            <w:r>
                              <w:rPr>
                                <w:color w:val="282828"/>
                                <w:spacing w:val="-10"/>
                                <w:sz w:val="27"/>
                              </w:rPr>
                              <w:t>-</w:t>
                            </w:r>
                          </w:p>
                        </w:tc>
                        <w:tc>
                          <w:tcPr>
                            <w:tcW w:w="1059" w:type="dxa"/>
                          </w:tcPr>
                          <w:p>
                            <w:pPr>
                              <w:pStyle w:val="TableParagraph"/>
                              <w:spacing w:before="62"/>
                              <w:ind w:right="100"/>
                              <w:jc w:val="right"/>
                              <w:rPr>
                                <w:sz w:val="21"/>
                              </w:rPr>
                            </w:pPr>
                            <w:r>
                              <w:rPr>
                                <w:color w:val="030303"/>
                                <w:spacing w:val="-5"/>
                                <w:w w:val="105"/>
                                <w:sz w:val="21"/>
                              </w:rPr>
                              <w:t>33</w:t>
                            </w:r>
                          </w:p>
                        </w:tc>
                        <w:tc>
                          <w:tcPr>
                            <w:tcW w:w="1017" w:type="dxa"/>
                          </w:tcPr>
                          <w:p>
                            <w:pPr>
                              <w:pStyle w:val="TableParagraph"/>
                              <w:spacing w:before="57"/>
                              <w:ind w:right="127"/>
                              <w:jc w:val="right"/>
                              <w:rPr>
                                <w:sz w:val="21"/>
                              </w:rPr>
                            </w:pPr>
                            <w:r>
                              <w:rPr>
                                <w:color w:val="030303"/>
                                <w:spacing w:val="-4"/>
                                <w:sz w:val="21"/>
                              </w:rPr>
                              <w:t>(70)</w:t>
                            </w:r>
                          </w:p>
                        </w:tc>
                        <w:tc>
                          <w:tcPr>
                            <w:tcW w:w="840" w:type="dxa"/>
                          </w:tcPr>
                          <w:p>
                            <w:pPr>
                              <w:pStyle w:val="TableParagraph"/>
                              <w:spacing w:before="66"/>
                              <w:ind w:right="48"/>
                              <w:jc w:val="right"/>
                              <w:rPr>
                                <w:b/>
                                <w:sz w:val="20"/>
                              </w:rPr>
                            </w:pPr>
                            <w:r>
                              <w:rPr>
                                <w:b/>
                                <w:color w:val="030303"/>
                                <w:spacing w:val="-2"/>
                                <w:w w:val="105"/>
                                <w:sz w:val="20"/>
                              </w:rPr>
                              <w:t>1,486</w:t>
                            </w:r>
                          </w:p>
                        </w:tc>
                      </w:tr>
                      <w:tr>
                        <w:trPr>
                          <w:trHeight w:val="312" w:hRule="atLeast"/>
                        </w:trPr>
                        <w:tc>
                          <w:tcPr>
                            <w:tcW w:w="820" w:type="dxa"/>
                          </w:tcPr>
                          <w:p>
                            <w:pPr>
                              <w:pStyle w:val="TableParagraph"/>
                              <w:spacing w:before="30"/>
                              <w:ind w:right="241"/>
                              <w:jc w:val="right"/>
                              <w:rPr>
                                <w:sz w:val="21"/>
                              </w:rPr>
                            </w:pPr>
                            <w:r>
                              <w:rPr>
                                <w:color w:val="030303"/>
                                <w:spacing w:val="-2"/>
                                <w:sz w:val="21"/>
                              </w:rPr>
                              <w:t>1,272</w:t>
                            </w:r>
                          </w:p>
                        </w:tc>
                        <w:tc>
                          <w:tcPr>
                            <w:tcW w:w="1012" w:type="dxa"/>
                          </w:tcPr>
                          <w:p>
                            <w:pPr>
                              <w:pStyle w:val="TableParagraph"/>
                              <w:spacing w:before="30"/>
                              <w:ind w:right="248"/>
                              <w:jc w:val="right"/>
                              <w:rPr>
                                <w:sz w:val="21"/>
                              </w:rPr>
                            </w:pPr>
                            <w:r>
                              <w:rPr>
                                <w:color w:val="030303"/>
                                <w:spacing w:val="-5"/>
                                <w:w w:val="105"/>
                                <w:sz w:val="21"/>
                              </w:rPr>
                              <w:t>41</w:t>
                            </w:r>
                          </w:p>
                        </w:tc>
                        <w:tc>
                          <w:tcPr>
                            <w:tcW w:w="829" w:type="dxa"/>
                          </w:tcPr>
                          <w:p>
                            <w:pPr>
                              <w:pStyle w:val="TableParagraph"/>
                              <w:spacing w:before="30"/>
                              <w:ind w:right="229"/>
                              <w:jc w:val="right"/>
                              <w:rPr>
                                <w:sz w:val="21"/>
                              </w:rPr>
                            </w:pPr>
                            <w:r>
                              <w:rPr>
                                <w:color w:val="030303"/>
                                <w:spacing w:val="-10"/>
                                <w:w w:val="110"/>
                                <w:sz w:val="21"/>
                              </w:rPr>
                              <w:t>4</w:t>
                            </w:r>
                          </w:p>
                        </w:tc>
                        <w:tc>
                          <w:tcPr>
                            <w:tcW w:w="775" w:type="dxa"/>
                          </w:tcPr>
                          <w:p>
                            <w:pPr>
                              <w:pStyle w:val="TableParagraph"/>
                              <w:spacing w:before="30"/>
                              <w:ind w:right="196"/>
                              <w:jc w:val="right"/>
                              <w:rPr>
                                <w:sz w:val="21"/>
                              </w:rPr>
                            </w:pPr>
                            <w:r>
                              <w:rPr>
                                <w:color w:val="030303"/>
                                <w:spacing w:val="-5"/>
                                <w:sz w:val="21"/>
                              </w:rPr>
                              <w:t>717</w:t>
                            </w:r>
                          </w:p>
                        </w:tc>
                        <w:tc>
                          <w:tcPr>
                            <w:tcW w:w="662" w:type="dxa"/>
                          </w:tcPr>
                          <w:p>
                            <w:pPr>
                              <w:pStyle w:val="TableParagraph"/>
                              <w:spacing w:before="30"/>
                              <w:ind w:right="112"/>
                              <w:jc w:val="right"/>
                              <w:rPr>
                                <w:sz w:val="21"/>
                              </w:rPr>
                            </w:pPr>
                            <w:r>
                              <w:rPr>
                                <w:color w:val="030303"/>
                                <w:spacing w:val="-10"/>
                                <w:w w:val="105"/>
                                <w:sz w:val="21"/>
                              </w:rPr>
                              <w:t>2</w:t>
                            </w:r>
                          </w:p>
                        </w:tc>
                        <w:tc>
                          <w:tcPr>
                            <w:tcW w:w="1215" w:type="dxa"/>
                          </w:tcPr>
                          <w:p>
                            <w:pPr>
                              <w:pStyle w:val="TableParagraph"/>
                              <w:spacing w:before="45"/>
                              <w:ind w:right="465"/>
                              <w:jc w:val="right"/>
                              <w:rPr>
                                <w:sz w:val="21"/>
                              </w:rPr>
                            </w:pPr>
                            <w:r>
                              <w:rPr>
                                <w:color w:val="030303"/>
                                <w:spacing w:val="-10"/>
                                <w:w w:val="105"/>
                                <w:sz w:val="21"/>
                              </w:rPr>
                              <w:t>-</w:t>
                            </w:r>
                          </w:p>
                        </w:tc>
                        <w:tc>
                          <w:tcPr>
                            <w:tcW w:w="1059" w:type="dxa"/>
                          </w:tcPr>
                          <w:p>
                            <w:pPr>
                              <w:pStyle w:val="TableParagraph"/>
                              <w:spacing w:before="26"/>
                              <w:ind w:right="102"/>
                              <w:jc w:val="right"/>
                              <w:rPr>
                                <w:sz w:val="22"/>
                              </w:rPr>
                            </w:pPr>
                            <w:r>
                              <w:rPr>
                                <w:color w:val="030303"/>
                                <w:spacing w:val="-10"/>
                                <w:w w:val="105"/>
                                <w:sz w:val="22"/>
                              </w:rPr>
                              <w:t>-</w:t>
                            </w:r>
                          </w:p>
                        </w:tc>
                        <w:tc>
                          <w:tcPr>
                            <w:tcW w:w="1017" w:type="dxa"/>
                          </w:tcPr>
                          <w:p>
                            <w:pPr>
                              <w:pStyle w:val="TableParagraph"/>
                              <w:spacing w:before="26"/>
                              <w:ind w:right="130"/>
                              <w:jc w:val="right"/>
                              <w:rPr>
                                <w:sz w:val="21"/>
                              </w:rPr>
                            </w:pPr>
                            <w:r>
                              <w:rPr>
                                <w:color w:val="030303"/>
                                <w:spacing w:val="-2"/>
                                <w:sz w:val="21"/>
                              </w:rPr>
                              <w:t>(542)</w:t>
                            </w:r>
                          </w:p>
                        </w:tc>
                        <w:tc>
                          <w:tcPr>
                            <w:tcW w:w="840" w:type="dxa"/>
                          </w:tcPr>
                          <w:p>
                            <w:pPr>
                              <w:pStyle w:val="TableParagraph"/>
                              <w:spacing w:before="35"/>
                              <w:ind w:right="53"/>
                              <w:jc w:val="right"/>
                              <w:rPr>
                                <w:b/>
                                <w:sz w:val="20"/>
                              </w:rPr>
                            </w:pPr>
                            <w:r>
                              <w:rPr>
                                <w:b/>
                                <w:color w:val="030303"/>
                                <w:spacing w:val="-2"/>
                                <w:w w:val="105"/>
                                <w:sz w:val="20"/>
                              </w:rPr>
                              <w:t>1,494</w:t>
                            </w:r>
                          </w:p>
                        </w:tc>
                      </w:tr>
                      <w:tr>
                        <w:trPr>
                          <w:trHeight w:val="358" w:hRule="atLeast"/>
                        </w:trPr>
                        <w:tc>
                          <w:tcPr>
                            <w:tcW w:w="820" w:type="dxa"/>
                          </w:tcPr>
                          <w:p>
                            <w:pPr>
                              <w:pStyle w:val="TableParagraph"/>
                              <w:spacing w:before="59"/>
                              <w:ind w:right="236"/>
                              <w:jc w:val="right"/>
                              <w:rPr>
                                <w:sz w:val="21"/>
                              </w:rPr>
                            </w:pPr>
                            <w:r>
                              <w:rPr>
                                <w:color w:val="030303"/>
                                <w:spacing w:val="-5"/>
                                <w:sz w:val="21"/>
                              </w:rPr>
                              <w:t>788</w:t>
                            </w:r>
                          </w:p>
                        </w:tc>
                        <w:tc>
                          <w:tcPr>
                            <w:tcW w:w="1012" w:type="dxa"/>
                          </w:tcPr>
                          <w:p>
                            <w:pPr>
                              <w:pStyle w:val="TableParagraph"/>
                              <w:spacing w:before="59"/>
                              <w:ind w:right="251"/>
                              <w:jc w:val="right"/>
                              <w:rPr>
                                <w:sz w:val="21"/>
                              </w:rPr>
                            </w:pPr>
                            <w:r>
                              <w:rPr>
                                <w:color w:val="030303"/>
                                <w:spacing w:val="-5"/>
                                <w:sz w:val="21"/>
                              </w:rPr>
                              <w:t>15</w:t>
                            </w:r>
                          </w:p>
                        </w:tc>
                        <w:tc>
                          <w:tcPr>
                            <w:tcW w:w="829" w:type="dxa"/>
                          </w:tcPr>
                          <w:p>
                            <w:pPr>
                              <w:pStyle w:val="TableParagraph"/>
                              <w:spacing w:before="59"/>
                              <w:ind w:right="227"/>
                              <w:jc w:val="right"/>
                              <w:rPr>
                                <w:sz w:val="21"/>
                              </w:rPr>
                            </w:pPr>
                            <w:r>
                              <w:rPr>
                                <w:color w:val="282828"/>
                                <w:spacing w:val="-10"/>
                                <w:w w:val="105"/>
                                <w:sz w:val="21"/>
                              </w:rPr>
                              <w:t>-</w:t>
                            </w:r>
                          </w:p>
                        </w:tc>
                        <w:tc>
                          <w:tcPr>
                            <w:tcW w:w="775" w:type="dxa"/>
                          </w:tcPr>
                          <w:p>
                            <w:pPr>
                              <w:pStyle w:val="TableParagraph"/>
                              <w:spacing w:before="54"/>
                              <w:ind w:right="192"/>
                              <w:jc w:val="right"/>
                              <w:rPr>
                                <w:sz w:val="21"/>
                              </w:rPr>
                            </w:pPr>
                            <w:r>
                              <w:rPr>
                                <w:color w:val="030303"/>
                                <w:spacing w:val="-5"/>
                                <w:sz w:val="21"/>
                              </w:rPr>
                              <w:t>695</w:t>
                            </w:r>
                          </w:p>
                        </w:tc>
                        <w:tc>
                          <w:tcPr>
                            <w:tcW w:w="662" w:type="dxa"/>
                          </w:tcPr>
                          <w:p>
                            <w:pPr>
                              <w:pStyle w:val="TableParagraph"/>
                              <w:spacing w:before="54"/>
                              <w:ind w:right="112"/>
                              <w:jc w:val="right"/>
                              <w:rPr>
                                <w:sz w:val="21"/>
                              </w:rPr>
                            </w:pPr>
                            <w:r>
                              <w:rPr>
                                <w:color w:val="030303"/>
                                <w:spacing w:val="-5"/>
                                <w:sz w:val="21"/>
                              </w:rPr>
                              <w:t>670</w:t>
                            </w:r>
                          </w:p>
                        </w:tc>
                        <w:tc>
                          <w:tcPr>
                            <w:tcW w:w="1215" w:type="dxa"/>
                          </w:tcPr>
                          <w:p>
                            <w:pPr>
                              <w:pStyle w:val="TableParagraph"/>
                              <w:spacing w:before="17"/>
                              <w:ind w:right="456"/>
                              <w:jc w:val="right"/>
                              <w:rPr>
                                <w:sz w:val="27"/>
                              </w:rPr>
                            </w:pPr>
                            <w:r>
                              <w:rPr>
                                <w:color w:val="282828"/>
                                <w:spacing w:val="-10"/>
                                <w:sz w:val="27"/>
                              </w:rPr>
                              <w:t>-</w:t>
                            </w:r>
                          </w:p>
                        </w:tc>
                        <w:tc>
                          <w:tcPr>
                            <w:tcW w:w="1059" w:type="dxa"/>
                          </w:tcPr>
                          <w:p>
                            <w:pPr>
                              <w:pStyle w:val="TableParagraph"/>
                              <w:spacing w:before="17"/>
                              <w:ind w:right="96"/>
                              <w:jc w:val="right"/>
                              <w:rPr>
                                <w:sz w:val="27"/>
                              </w:rPr>
                            </w:pPr>
                            <w:r>
                              <w:rPr>
                                <w:color w:val="3B3B3B"/>
                                <w:spacing w:val="-10"/>
                                <w:sz w:val="27"/>
                              </w:rPr>
                              <w:t>-</w:t>
                            </w:r>
                          </w:p>
                        </w:tc>
                        <w:tc>
                          <w:tcPr>
                            <w:tcW w:w="1017" w:type="dxa"/>
                          </w:tcPr>
                          <w:p>
                            <w:pPr>
                              <w:pStyle w:val="TableParagraph"/>
                              <w:spacing w:before="50"/>
                              <w:ind w:right="130"/>
                              <w:jc w:val="right"/>
                              <w:rPr>
                                <w:sz w:val="21"/>
                              </w:rPr>
                            </w:pPr>
                            <w:r>
                              <w:rPr>
                                <w:color w:val="030303"/>
                                <w:spacing w:val="-2"/>
                                <w:sz w:val="21"/>
                              </w:rPr>
                              <w:t>(628)</w:t>
                            </w:r>
                          </w:p>
                        </w:tc>
                        <w:tc>
                          <w:tcPr>
                            <w:tcW w:w="840" w:type="dxa"/>
                          </w:tcPr>
                          <w:p>
                            <w:pPr>
                              <w:pStyle w:val="TableParagraph"/>
                              <w:spacing w:before="59"/>
                              <w:ind w:right="53"/>
                              <w:jc w:val="right"/>
                              <w:rPr>
                                <w:b/>
                                <w:sz w:val="20"/>
                              </w:rPr>
                            </w:pPr>
                            <w:r>
                              <w:rPr>
                                <w:b/>
                                <w:color w:val="030303"/>
                                <w:spacing w:val="-2"/>
                                <w:w w:val="105"/>
                                <w:sz w:val="20"/>
                              </w:rPr>
                              <w:t>1,540</w:t>
                            </w:r>
                          </w:p>
                        </w:tc>
                      </w:tr>
                      <w:tr>
                        <w:trPr>
                          <w:trHeight w:val="326" w:hRule="atLeast"/>
                        </w:trPr>
                        <w:tc>
                          <w:tcPr>
                            <w:tcW w:w="820" w:type="dxa"/>
                          </w:tcPr>
                          <w:p>
                            <w:pPr>
                              <w:pStyle w:val="TableParagraph"/>
                              <w:spacing w:before="33"/>
                              <w:ind w:right="243"/>
                              <w:jc w:val="right"/>
                              <w:rPr>
                                <w:sz w:val="21"/>
                              </w:rPr>
                            </w:pPr>
                            <w:r>
                              <w:rPr>
                                <w:color w:val="030303"/>
                                <w:spacing w:val="-2"/>
                                <w:sz w:val="21"/>
                              </w:rPr>
                              <w:t>2,385</w:t>
                            </w:r>
                          </w:p>
                        </w:tc>
                        <w:tc>
                          <w:tcPr>
                            <w:tcW w:w="1012" w:type="dxa"/>
                          </w:tcPr>
                          <w:p>
                            <w:pPr>
                              <w:pStyle w:val="TableParagraph"/>
                              <w:spacing w:before="33"/>
                              <w:ind w:right="252"/>
                              <w:jc w:val="right"/>
                              <w:rPr>
                                <w:sz w:val="22"/>
                              </w:rPr>
                            </w:pPr>
                            <w:r>
                              <w:rPr>
                                <w:color w:val="282828"/>
                                <w:spacing w:val="-10"/>
                                <w:sz w:val="22"/>
                              </w:rPr>
                              <w:t>-</w:t>
                            </w:r>
                          </w:p>
                        </w:tc>
                        <w:tc>
                          <w:tcPr>
                            <w:tcW w:w="829" w:type="dxa"/>
                          </w:tcPr>
                          <w:p>
                            <w:pPr>
                              <w:pStyle w:val="TableParagraph"/>
                              <w:spacing w:before="33"/>
                              <w:ind w:right="228"/>
                              <w:jc w:val="right"/>
                              <w:rPr>
                                <w:sz w:val="21"/>
                              </w:rPr>
                            </w:pPr>
                            <w:r>
                              <w:rPr>
                                <w:color w:val="030303"/>
                                <w:spacing w:val="-10"/>
                                <w:w w:val="105"/>
                                <w:sz w:val="21"/>
                              </w:rPr>
                              <w:t>2</w:t>
                            </w:r>
                          </w:p>
                        </w:tc>
                        <w:tc>
                          <w:tcPr>
                            <w:tcW w:w="775" w:type="dxa"/>
                          </w:tcPr>
                          <w:p>
                            <w:pPr>
                              <w:pStyle w:val="TableParagraph"/>
                              <w:spacing w:before="33"/>
                              <w:ind w:right="191"/>
                              <w:jc w:val="right"/>
                              <w:rPr>
                                <w:sz w:val="21"/>
                              </w:rPr>
                            </w:pPr>
                            <w:r>
                              <w:rPr>
                                <w:color w:val="030303"/>
                                <w:spacing w:val="-5"/>
                                <w:sz w:val="21"/>
                              </w:rPr>
                              <w:t>350</w:t>
                            </w:r>
                          </w:p>
                        </w:tc>
                        <w:tc>
                          <w:tcPr>
                            <w:tcW w:w="662" w:type="dxa"/>
                          </w:tcPr>
                          <w:p>
                            <w:pPr>
                              <w:pStyle w:val="TableParagraph"/>
                              <w:spacing w:before="28"/>
                              <w:ind w:right="111"/>
                              <w:jc w:val="right"/>
                              <w:rPr>
                                <w:sz w:val="21"/>
                              </w:rPr>
                            </w:pPr>
                            <w:r>
                              <w:rPr>
                                <w:color w:val="030303"/>
                                <w:spacing w:val="-5"/>
                                <w:sz w:val="21"/>
                              </w:rPr>
                              <w:t>402</w:t>
                            </w:r>
                          </w:p>
                        </w:tc>
                        <w:tc>
                          <w:tcPr>
                            <w:tcW w:w="1215" w:type="dxa"/>
                          </w:tcPr>
                          <w:p>
                            <w:pPr>
                              <w:pStyle w:val="TableParagraph"/>
                              <w:spacing w:before="28"/>
                              <w:ind w:right="459"/>
                              <w:jc w:val="right"/>
                              <w:rPr>
                                <w:sz w:val="22"/>
                              </w:rPr>
                            </w:pPr>
                            <w:r>
                              <w:rPr>
                                <w:color w:val="282828"/>
                                <w:spacing w:val="-10"/>
                                <w:w w:val="110"/>
                                <w:sz w:val="22"/>
                              </w:rPr>
                              <w:t>-</w:t>
                            </w:r>
                          </w:p>
                        </w:tc>
                        <w:tc>
                          <w:tcPr>
                            <w:tcW w:w="1059" w:type="dxa"/>
                          </w:tcPr>
                          <w:p>
                            <w:pPr>
                              <w:pStyle w:val="TableParagraph"/>
                              <w:spacing w:before="28"/>
                              <w:ind w:right="109"/>
                              <w:jc w:val="right"/>
                              <w:rPr>
                                <w:sz w:val="21"/>
                              </w:rPr>
                            </w:pPr>
                            <w:r>
                              <w:rPr>
                                <w:color w:val="030303"/>
                                <w:spacing w:val="-5"/>
                                <w:sz w:val="21"/>
                              </w:rPr>
                              <w:t>410</w:t>
                            </w:r>
                          </w:p>
                        </w:tc>
                        <w:tc>
                          <w:tcPr>
                            <w:tcW w:w="1017" w:type="dxa"/>
                          </w:tcPr>
                          <w:p>
                            <w:pPr>
                              <w:pStyle w:val="TableParagraph"/>
                              <w:spacing w:before="23"/>
                              <w:ind w:right="135"/>
                              <w:jc w:val="right"/>
                              <w:rPr>
                                <w:sz w:val="21"/>
                              </w:rPr>
                            </w:pPr>
                            <w:r>
                              <w:rPr>
                                <w:color w:val="030303"/>
                                <w:spacing w:val="-2"/>
                                <w:sz w:val="21"/>
                              </w:rPr>
                              <w:t>(1,316)</w:t>
                            </w:r>
                          </w:p>
                        </w:tc>
                        <w:tc>
                          <w:tcPr>
                            <w:tcW w:w="840" w:type="dxa"/>
                          </w:tcPr>
                          <w:p>
                            <w:pPr>
                              <w:pStyle w:val="TableParagraph"/>
                              <w:spacing w:before="33"/>
                              <w:ind w:right="52"/>
                              <w:jc w:val="right"/>
                              <w:rPr>
                                <w:b/>
                                <w:sz w:val="20"/>
                              </w:rPr>
                            </w:pPr>
                            <w:r>
                              <w:rPr>
                                <w:b/>
                                <w:color w:val="030303"/>
                                <w:spacing w:val="-2"/>
                                <w:w w:val="105"/>
                                <w:sz w:val="20"/>
                              </w:rPr>
                              <w:t>2,233</w:t>
                            </w:r>
                          </w:p>
                        </w:tc>
                      </w:tr>
                      <w:tr>
                        <w:trPr>
                          <w:trHeight w:val="304" w:hRule="atLeast"/>
                        </w:trPr>
                        <w:tc>
                          <w:tcPr>
                            <w:tcW w:w="820" w:type="dxa"/>
                          </w:tcPr>
                          <w:p>
                            <w:pPr>
                              <w:pStyle w:val="TableParagraph"/>
                              <w:spacing w:before="43"/>
                              <w:ind w:right="246"/>
                              <w:jc w:val="right"/>
                              <w:rPr>
                                <w:sz w:val="21"/>
                              </w:rPr>
                            </w:pPr>
                            <w:r>
                              <w:rPr>
                                <w:color w:val="030303"/>
                                <w:spacing w:val="-2"/>
                                <w:sz w:val="21"/>
                              </w:rPr>
                              <w:t>5,030</w:t>
                            </w:r>
                          </w:p>
                        </w:tc>
                        <w:tc>
                          <w:tcPr>
                            <w:tcW w:w="1012" w:type="dxa"/>
                          </w:tcPr>
                          <w:p>
                            <w:pPr>
                              <w:pStyle w:val="TableParagraph"/>
                              <w:spacing w:before="43"/>
                              <w:ind w:right="257"/>
                              <w:jc w:val="right"/>
                              <w:rPr>
                                <w:sz w:val="21"/>
                              </w:rPr>
                            </w:pPr>
                            <w:r>
                              <w:rPr>
                                <w:color w:val="030303"/>
                                <w:spacing w:val="-2"/>
                                <w:sz w:val="21"/>
                              </w:rPr>
                              <w:t>1,086</w:t>
                            </w:r>
                          </w:p>
                        </w:tc>
                        <w:tc>
                          <w:tcPr>
                            <w:tcW w:w="829" w:type="dxa"/>
                          </w:tcPr>
                          <w:p>
                            <w:pPr>
                              <w:pStyle w:val="TableParagraph"/>
                              <w:spacing w:before="38"/>
                              <w:ind w:right="237"/>
                              <w:jc w:val="right"/>
                              <w:rPr>
                                <w:sz w:val="21"/>
                              </w:rPr>
                            </w:pPr>
                            <w:r>
                              <w:rPr>
                                <w:color w:val="030303"/>
                                <w:spacing w:val="-5"/>
                                <w:sz w:val="21"/>
                              </w:rPr>
                              <w:t>658</w:t>
                            </w:r>
                          </w:p>
                        </w:tc>
                        <w:tc>
                          <w:tcPr>
                            <w:tcW w:w="775" w:type="dxa"/>
                          </w:tcPr>
                          <w:p>
                            <w:pPr>
                              <w:pStyle w:val="TableParagraph"/>
                              <w:spacing w:before="38"/>
                              <w:ind w:right="198"/>
                              <w:jc w:val="right"/>
                              <w:rPr>
                                <w:sz w:val="21"/>
                              </w:rPr>
                            </w:pPr>
                            <w:r>
                              <w:rPr>
                                <w:color w:val="030303"/>
                                <w:spacing w:val="-5"/>
                                <w:sz w:val="21"/>
                              </w:rPr>
                              <w:t>476</w:t>
                            </w:r>
                          </w:p>
                        </w:tc>
                        <w:tc>
                          <w:tcPr>
                            <w:tcW w:w="662" w:type="dxa"/>
                          </w:tcPr>
                          <w:p>
                            <w:pPr>
                              <w:pStyle w:val="TableParagraph"/>
                              <w:spacing w:before="38"/>
                              <w:ind w:right="119"/>
                              <w:jc w:val="right"/>
                              <w:rPr>
                                <w:sz w:val="21"/>
                              </w:rPr>
                            </w:pPr>
                            <w:r>
                              <w:rPr>
                                <w:color w:val="030303"/>
                                <w:spacing w:val="-5"/>
                                <w:sz w:val="21"/>
                              </w:rPr>
                              <w:t>475</w:t>
                            </w:r>
                          </w:p>
                        </w:tc>
                        <w:tc>
                          <w:tcPr>
                            <w:tcW w:w="1215" w:type="dxa"/>
                          </w:tcPr>
                          <w:p>
                            <w:pPr>
                              <w:pStyle w:val="TableParagraph"/>
                              <w:spacing w:before="57" w:line="227" w:lineRule="exact"/>
                              <w:ind w:right="460"/>
                              <w:jc w:val="right"/>
                              <w:rPr>
                                <w:sz w:val="21"/>
                              </w:rPr>
                            </w:pPr>
                            <w:r>
                              <w:rPr>
                                <w:color w:val="282828"/>
                                <w:spacing w:val="-10"/>
                                <w:w w:val="105"/>
                                <w:sz w:val="21"/>
                              </w:rPr>
                              <w:t>-</w:t>
                            </w:r>
                          </w:p>
                        </w:tc>
                        <w:tc>
                          <w:tcPr>
                            <w:tcW w:w="1059" w:type="dxa"/>
                          </w:tcPr>
                          <w:p>
                            <w:pPr>
                              <w:pStyle w:val="TableParagraph"/>
                              <w:spacing w:before="33"/>
                              <w:ind w:right="112"/>
                              <w:jc w:val="right"/>
                              <w:rPr>
                                <w:sz w:val="21"/>
                              </w:rPr>
                            </w:pPr>
                            <w:r>
                              <w:rPr>
                                <w:color w:val="030303"/>
                                <w:spacing w:val="-5"/>
                                <w:sz w:val="21"/>
                              </w:rPr>
                              <w:t>236</w:t>
                            </w:r>
                          </w:p>
                        </w:tc>
                        <w:tc>
                          <w:tcPr>
                            <w:tcW w:w="1017" w:type="dxa"/>
                          </w:tcPr>
                          <w:p>
                            <w:pPr>
                              <w:pStyle w:val="TableParagraph"/>
                              <w:spacing w:before="33"/>
                              <w:ind w:right="135"/>
                              <w:jc w:val="right"/>
                              <w:rPr>
                                <w:sz w:val="21"/>
                              </w:rPr>
                            </w:pPr>
                            <w:r>
                              <w:rPr>
                                <w:color w:val="030303"/>
                                <w:spacing w:val="-2"/>
                                <w:sz w:val="21"/>
                              </w:rPr>
                              <w:t>(2,868)</w:t>
                            </w:r>
                          </w:p>
                        </w:tc>
                        <w:tc>
                          <w:tcPr>
                            <w:tcW w:w="840" w:type="dxa"/>
                          </w:tcPr>
                          <w:p>
                            <w:pPr>
                              <w:pStyle w:val="TableParagraph"/>
                              <w:spacing w:before="38"/>
                              <w:ind w:right="61"/>
                              <w:jc w:val="right"/>
                              <w:rPr>
                                <w:b/>
                                <w:sz w:val="20"/>
                              </w:rPr>
                            </w:pPr>
                            <w:r>
                              <w:rPr>
                                <w:b/>
                                <w:color w:val="030303"/>
                                <w:spacing w:val="-2"/>
                                <w:w w:val="105"/>
                                <w:sz w:val="20"/>
                              </w:rPr>
                              <w:t>5,093</w:t>
                            </w:r>
                          </w:p>
                        </w:tc>
                      </w:tr>
                      <w:tr>
                        <w:trPr>
                          <w:trHeight w:val="350" w:hRule="atLeast"/>
                        </w:trPr>
                        <w:tc>
                          <w:tcPr>
                            <w:tcW w:w="820" w:type="dxa"/>
                          </w:tcPr>
                          <w:p>
                            <w:pPr>
                              <w:pStyle w:val="TableParagraph"/>
                              <w:spacing w:before="75"/>
                              <w:ind w:right="231"/>
                              <w:jc w:val="right"/>
                              <w:rPr>
                                <w:sz w:val="21"/>
                              </w:rPr>
                            </w:pPr>
                            <w:r>
                              <w:rPr>
                                <w:color w:val="030303"/>
                                <w:spacing w:val="-5"/>
                                <w:w w:val="105"/>
                                <w:sz w:val="21"/>
                              </w:rPr>
                              <w:t>81</w:t>
                            </w:r>
                          </w:p>
                        </w:tc>
                        <w:tc>
                          <w:tcPr>
                            <w:tcW w:w="1012" w:type="dxa"/>
                          </w:tcPr>
                          <w:p>
                            <w:pPr>
                              <w:pStyle w:val="TableParagraph"/>
                              <w:spacing w:before="75"/>
                              <w:ind w:right="254"/>
                              <w:jc w:val="right"/>
                              <w:rPr>
                                <w:sz w:val="21"/>
                              </w:rPr>
                            </w:pPr>
                            <w:r>
                              <w:rPr>
                                <w:color w:val="030303"/>
                                <w:spacing w:val="-5"/>
                                <w:sz w:val="21"/>
                              </w:rPr>
                              <w:t>132</w:t>
                            </w:r>
                          </w:p>
                        </w:tc>
                        <w:tc>
                          <w:tcPr>
                            <w:tcW w:w="829" w:type="dxa"/>
                          </w:tcPr>
                          <w:p>
                            <w:pPr>
                              <w:pStyle w:val="TableParagraph"/>
                              <w:spacing w:before="75"/>
                              <w:ind w:right="232"/>
                              <w:jc w:val="right"/>
                              <w:rPr>
                                <w:sz w:val="21"/>
                              </w:rPr>
                            </w:pPr>
                            <w:r>
                              <w:rPr>
                                <w:color w:val="030303"/>
                                <w:spacing w:val="-5"/>
                                <w:sz w:val="21"/>
                              </w:rPr>
                              <w:t>30</w:t>
                            </w:r>
                          </w:p>
                        </w:tc>
                        <w:tc>
                          <w:tcPr>
                            <w:tcW w:w="775" w:type="dxa"/>
                          </w:tcPr>
                          <w:p>
                            <w:pPr>
                              <w:pStyle w:val="TableParagraph"/>
                              <w:spacing w:before="79"/>
                              <w:ind w:right="199"/>
                              <w:jc w:val="right"/>
                              <w:rPr>
                                <w:b/>
                                <w:sz w:val="20"/>
                              </w:rPr>
                            </w:pPr>
                            <w:r>
                              <w:rPr>
                                <w:b/>
                                <w:color w:val="030303"/>
                                <w:spacing w:val="-5"/>
                                <w:w w:val="105"/>
                                <w:sz w:val="20"/>
                              </w:rPr>
                              <w:t>44</w:t>
                            </w:r>
                          </w:p>
                        </w:tc>
                        <w:tc>
                          <w:tcPr>
                            <w:tcW w:w="662" w:type="dxa"/>
                          </w:tcPr>
                          <w:p>
                            <w:pPr>
                              <w:pStyle w:val="TableParagraph"/>
                              <w:spacing w:before="70"/>
                              <w:ind w:right="110"/>
                              <w:jc w:val="right"/>
                              <w:rPr>
                                <w:sz w:val="21"/>
                              </w:rPr>
                            </w:pPr>
                            <w:r>
                              <w:rPr>
                                <w:color w:val="030303"/>
                                <w:spacing w:val="-5"/>
                                <w:w w:val="105"/>
                                <w:sz w:val="21"/>
                              </w:rPr>
                              <w:t>17</w:t>
                            </w:r>
                          </w:p>
                        </w:tc>
                        <w:tc>
                          <w:tcPr>
                            <w:tcW w:w="1215" w:type="dxa"/>
                          </w:tcPr>
                          <w:p>
                            <w:pPr>
                              <w:pStyle w:val="TableParagraph"/>
                              <w:spacing w:line="331" w:lineRule="exact"/>
                              <w:ind w:right="463"/>
                              <w:jc w:val="right"/>
                              <w:rPr>
                                <w:sz w:val="32"/>
                              </w:rPr>
                            </w:pPr>
                            <w:r>
                              <w:rPr>
                                <w:color w:val="282828"/>
                                <w:spacing w:val="-10"/>
                                <w:w w:val="85"/>
                                <w:sz w:val="32"/>
                              </w:rPr>
                              <w:t>-</w:t>
                            </w:r>
                          </w:p>
                        </w:tc>
                        <w:tc>
                          <w:tcPr>
                            <w:tcW w:w="1059" w:type="dxa"/>
                          </w:tcPr>
                          <w:p>
                            <w:pPr>
                              <w:pStyle w:val="TableParagraph"/>
                              <w:spacing w:before="28" w:line="302" w:lineRule="exact"/>
                              <w:ind w:right="101"/>
                              <w:jc w:val="right"/>
                              <w:rPr>
                                <w:sz w:val="27"/>
                              </w:rPr>
                            </w:pPr>
                            <w:r>
                              <w:rPr>
                                <w:color w:val="3B3B3B"/>
                                <w:spacing w:val="-10"/>
                                <w:sz w:val="27"/>
                              </w:rPr>
                              <w:t>-</w:t>
                            </w:r>
                          </w:p>
                        </w:tc>
                        <w:tc>
                          <w:tcPr>
                            <w:tcW w:w="1017" w:type="dxa"/>
                          </w:tcPr>
                          <w:p>
                            <w:pPr>
                              <w:pStyle w:val="TableParagraph"/>
                              <w:spacing w:before="60"/>
                              <w:ind w:right="135"/>
                              <w:jc w:val="right"/>
                              <w:rPr>
                                <w:sz w:val="21"/>
                              </w:rPr>
                            </w:pPr>
                            <w:r>
                              <w:rPr>
                                <w:color w:val="030303"/>
                                <w:spacing w:val="-2"/>
                                <w:sz w:val="21"/>
                              </w:rPr>
                              <w:t>(139)</w:t>
                            </w:r>
                          </w:p>
                        </w:tc>
                        <w:tc>
                          <w:tcPr>
                            <w:tcW w:w="840" w:type="dxa"/>
                          </w:tcPr>
                          <w:p>
                            <w:pPr>
                              <w:pStyle w:val="TableParagraph"/>
                              <w:spacing w:before="70"/>
                              <w:ind w:right="52"/>
                              <w:jc w:val="right"/>
                              <w:rPr>
                                <w:b/>
                                <w:sz w:val="20"/>
                              </w:rPr>
                            </w:pPr>
                            <w:r>
                              <w:rPr>
                                <w:b/>
                                <w:color w:val="030303"/>
                                <w:spacing w:val="-5"/>
                                <w:w w:val="105"/>
                                <w:sz w:val="20"/>
                              </w:rPr>
                              <w:t>165</w:t>
                            </w:r>
                          </w:p>
                        </w:tc>
                      </w:tr>
                      <w:tr>
                        <w:trPr>
                          <w:trHeight w:val="352" w:hRule="atLeast"/>
                        </w:trPr>
                        <w:tc>
                          <w:tcPr>
                            <w:tcW w:w="820" w:type="dxa"/>
                          </w:tcPr>
                          <w:p>
                            <w:pPr>
                              <w:pStyle w:val="TableParagraph"/>
                              <w:spacing w:before="61"/>
                              <w:ind w:right="233"/>
                              <w:jc w:val="right"/>
                              <w:rPr>
                                <w:sz w:val="21"/>
                              </w:rPr>
                            </w:pPr>
                            <w:r>
                              <w:rPr>
                                <w:color w:val="282828"/>
                                <w:spacing w:val="-10"/>
                                <w:w w:val="105"/>
                                <w:sz w:val="21"/>
                              </w:rPr>
                              <w:t>-</w:t>
                            </w:r>
                          </w:p>
                        </w:tc>
                        <w:tc>
                          <w:tcPr>
                            <w:tcW w:w="1012" w:type="dxa"/>
                          </w:tcPr>
                          <w:p>
                            <w:pPr>
                              <w:pStyle w:val="TableParagraph"/>
                              <w:rPr>
                                <w:rFonts w:ascii="Times New Roman"/>
                                <w:sz w:val="18"/>
                              </w:rPr>
                            </w:pPr>
                          </w:p>
                        </w:tc>
                        <w:tc>
                          <w:tcPr>
                            <w:tcW w:w="829" w:type="dxa"/>
                          </w:tcPr>
                          <w:p>
                            <w:pPr>
                              <w:pStyle w:val="TableParagraph"/>
                              <w:spacing w:before="19"/>
                              <w:ind w:right="223"/>
                              <w:jc w:val="right"/>
                              <w:rPr>
                                <w:sz w:val="27"/>
                              </w:rPr>
                            </w:pPr>
                            <w:r>
                              <w:rPr>
                                <w:color w:val="4D4D4D"/>
                                <w:spacing w:val="-10"/>
                                <w:sz w:val="27"/>
                              </w:rPr>
                              <w:t>-</w:t>
                            </w:r>
                          </w:p>
                        </w:tc>
                        <w:tc>
                          <w:tcPr>
                            <w:tcW w:w="775" w:type="dxa"/>
                          </w:tcPr>
                          <w:p>
                            <w:pPr>
                              <w:pStyle w:val="TableParagraph"/>
                              <w:spacing w:before="51"/>
                              <w:ind w:right="189"/>
                              <w:jc w:val="right"/>
                              <w:rPr>
                                <w:sz w:val="22"/>
                              </w:rPr>
                            </w:pPr>
                            <w:r>
                              <w:rPr>
                                <w:color w:val="282828"/>
                                <w:spacing w:val="-10"/>
                                <w:w w:val="110"/>
                                <w:sz w:val="22"/>
                              </w:rPr>
                              <w:t>-</w:t>
                            </w:r>
                          </w:p>
                        </w:tc>
                        <w:tc>
                          <w:tcPr>
                            <w:tcW w:w="662" w:type="dxa"/>
                          </w:tcPr>
                          <w:p>
                            <w:pPr>
                              <w:pStyle w:val="TableParagraph"/>
                              <w:spacing w:before="19"/>
                              <w:ind w:right="107"/>
                              <w:jc w:val="right"/>
                              <w:rPr>
                                <w:sz w:val="27"/>
                              </w:rPr>
                            </w:pPr>
                            <w:r>
                              <w:rPr>
                                <w:color w:val="3B3B3B"/>
                                <w:spacing w:val="-10"/>
                                <w:sz w:val="27"/>
                              </w:rPr>
                              <w:t>-</w:t>
                            </w:r>
                          </w:p>
                        </w:tc>
                        <w:tc>
                          <w:tcPr>
                            <w:tcW w:w="1215" w:type="dxa"/>
                          </w:tcPr>
                          <w:p>
                            <w:pPr>
                              <w:pStyle w:val="TableParagraph"/>
                              <w:spacing w:before="51"/>
                              <w:ind w:right="467"/>
                              <w:jc w:val="right"/>
                              <w:rPr>
                                <w:sz w:val="21"/>
                              </w:rPr>
                            </w:pPr>
                            <w:r>
                              <w:rPr>
                                <w:color w:val="030303"/>
                                <w:spacing w:val="-2"/>
                                <w:sz w:val="21"/>
                              </w:rPr>
                              <w:t>1,642</w:t>
                            </w:r>
                          </w:p>
                        </w:tc>
                        <w:tc>
                          <w:tcPr>
                            <w:tcW w:w="1059" w:type="dxa"/>
                          </w:tcPr>
                          <w:p>
                            <w:pPr>
                              <w:pStyle w:val="TableParagraph"/>
                              <w:spacing w:line="332" w:lineRule="exact"/>
                              <w:ind w:right="109"/>
                              <w:jc w:val="right"/>
                              <w:rPr>
                                <w:sz w:val="32"/>
                              </w:rPr>
                            </w:pPr>
                            <w:r>
                              <w:rPr>
                                <w:color w:val="3B3B3B"/>
                                <w:spacing w:val="-10"/>
                                <w:w w:val="80"/>
                                <w:sz w:val="32"/>
                              </w:rPr>
                              <w:t>-</w:t>
                            </w:r>
                          </w:p>
                        </w:tc>
                        <w:tc>
                          <w:tcPr>
                            <w:tcW w:w="1017" w:type="dxa"/>
                          </w:tcPr>
                          <w:p>
                            <w:pPr>
                              <w:pStyle w:val="TableParagraph"/>
                              <w:spacing w:before="46"/>
                              <w:ind w:right="135"/>
                              <w:jc w:val="right"/>
                              <w:rPr>
                                <w:sz w:val="21"/>
                              </w:rPr>
                            </w:pPr>
                            <w:r>
                              <w:rPr>
                                <w:color w:val="030303"/>
                                <w:spacing w:val="-2"/>
                                <w:sz w:val="21"/>
                              </w:rPr>
                              <w:t>(1,642)</w:t>
                            </w:r>
                          </w:p>
                        </w:tc>
                        <w:tc>
                          <w:tcPr>
                            <w:tcW w:w="840" w:type="dxa"/>
                          </w:tcPr>
                          <w:p>
                            <w:pPr>
                              <w:pStyle w:val="TableParagraph"/>
                              <w:rPr>
                                <w:rFonts w:ascii="Times New Roman"/>
                                <w:sz w:val="18"/>
                              </w:rPr>
                            </w:pPr>
                          </w:p>
                        </w:tc>
                      </w:tr>
                      <w:tr>
                        <w:trPr>
                          <w:trHeight w:val="309" w:hRule="atLeast"/>
                        </w:trPr>
                        <w:tc>
                          <w:tcPr>
                            <w:tcW w:w="820" w:type="dxa"/>
                          </w:tcPr>
                          <w:p>
                            <w:pPr>
                              <w:pStyle w:val="TableParagraph"/>
                              <w:rPr>
                                <w:rFonts w:ascii="Times New Roman"/>
                                <w:sz w:val="18"/>
                              </w:rPr>
                            </w:pPr>
                          </w:p>
                        </w:tc>
                        <w:tc>
                          <w:tcPr>
                            <w:tcW w:w="1012" w:type="dxa"/>
                          </w:tcPr>
                          <w:p>
                            <w:pPr>
                              <w:pStyle w:val="TableParagraph"/>
                              <w:spacing w:before="36"/>
                              <w:ind w:right="244"/>
                              <w:jc w:val="right"/>
                              <w:rPr>
                                <w:sz w:val="22"/>
                              </w:rPr>
                            </w:pPr>
                            <w:r>
                              <w:rPr>
                                <w:color w:val="282828"/>
                                <w:spacing w:val="-10"/>
                                <w:w w:val="110"/>
                                <w:sz w:val="22"/>
                              </w:rPr>
                              <w:t>-</w:t>
                            </w:r>
                          </w:p>
                        </w:tc>
                        <w:tc>
                          <w:tcPr>
                            <w:tcW w:w="829" w:type="dxa"/>
                          </w:tcPr>
                          <w:p>
                            <w:pPr>
                              <w:pStyle w:val="TableParagraph"/>
                              <w:spacing w:before="40"/>
                              <w:ind w:right="227"/>
                              <w:jc w:val="right"/>
                              <w:rPr>
                                <w:sz w:val="21"/>
                              </w:rPr>
                            </w:pPr>
                            <w:r>
                              <w:rPr>
                                <w:color w:val="3B3B3B"/>
                                <w:spacing w:val="-10"/>
                                <w:w w:val="105"/>
                                <w:sz w:val="21"/>
                              </w:rPr>
                              <w:t>-</w:t>
                            </w:r>
                          </w:p>
                        </w:tc>
                        <w:tc>
                          <w:tcPr>
                            <w:tcW w:w="775" w:type="dxa"/>
                          </w:tcPr>
                          <w:p>
                            <w:pPr>
                              <w:pStyle w:val="TableParagraph"/>
                              <w:spacing w:line="289" w:lineRule="exact"/>
                              <w:ind w:right="190"/>
                              <w:jc w:val="right"/>
                              <w:rPr>
                                <w:sz w:val="27"/>
                              </w:rPr>
                            </w:pPr>
                            <w:r>
                              <w:rPr>
                                <w:color w:val="3B3B3B"/>
                                <w:spacing w:val="-10"/>
                                <w:sz w:val="27"/>
                              </w:rPr>
                              <w:t>-</w:t>
                            </w:r>
                          </w:p>
                        </w:tc>
                        <w:tc>
                          <w:tcPr>
                            <w:tcW w:w="662" w:type="dxa"/>
                          </w:tcPr>
                          <w:p>
                            <w:pPr>
                              <w:pStyle w:val="TableParagraph"/>
                              <w:spacing w:before="35"/>
                              <w:ind w:right="111"/>
                              <w:jc w:val="right"/>
                              <w:rPr>
                                <w:sz w:val="21"/>
                              </w:rPr>
                            </w:pPr>
                            <w:r>
                              <w:rPr>
                                <w:color w:val="282828"/>
                                <w:spacing w:val="-10"/>
                                <w:w w:val="105"/>
                                <w:sz w:val="21"/>
                              </w:rPr>
                              <w:t>-</w:t>
                            </w:r>
                          </w:p>
                        </w:tc>
                        <w:tc>
                          <w:tcPr>
                            <w:tcW w:w="1215" w:type="dxa"/>
                          </w:tcPr>
                          <w:p>
                            <w:pPr>
                              <w:pStyle w:val="TableParagraph"/>
                              <w:spacing w:before="31"/>
                              <w:ind w:right="464"/>
                              <w:jc w:val="right"/>
                              <w:rPr>
                                <w:sz w:val="21"/>
                              </w:rPr>
                            </w:pPr>
                            <w:r>
                              <w:rPr>
                                <w:color w:val="030303"/>
                                <w:spacing w:val="-5"/>
                                <w:w w:val="105"/>
                                <w:sz w:val="21"/>
                              </w:rPr>
                              <w:t>67</w:t>
                            </w:r>
                          </w:p>
                        </w:tc>
                        <w:tc>
                          <w:tcPr>
                            <w:tcW w:w="1059" w:type="dxa"/>
                          </w:tcPr>
                          <w:p>
                            <w:pPr>
                              <w:pStyle w:val="TableParagraph"/>
                              <w:spacing w:before="50" w:line="239" w:lineRule="exact"/>
                              <w:ind w:right="105"/>
                              <w:jc w:val="right"/>
                              <w:rPr>
                                <w:sz w:val="21"/>
                              </w:rPr>
                            </w:pPr>
                            <w:r>
                              <w:rPr>
                                <w:color w:val="4D4D4D"/>
                                <w:spacing w:val="-10"/>
                                <w:w w:val="105"/>
                                <w:sz w:val="21"/>
                              </w:rPr>
                              <w:t>-</w:t>
                            </w:r>
                          </w:p>
                        </w:tc>
                        <w:tc>
                          <w:tcPr>
                            <w:tcW w:w="1017" w:type="dxa"/>
                          </w:tcPr>
                          <w:p>
                            <w:pPr>
                              <w:pStyle w:val="TableParagraph"/>
                              <w:spacing w:before="26"/>
                              <w:ind w:right="136"/>
                              <w:jc w:val="right"/>
                              <w:rPr>
                                <w:sz w:val="21"/>
                              </w:rPr>
                            </w:pPr>
                            <w:r>
                              <w:rPr>
                                <w:color w:val="030303"/>
                                <w:spacing w:val="-4"/>
                                <w:sz w:val="21"/>
                              </w:rPr>
                              <w:t>(67)</w:t>
                            </w:r>
                          </w:p>
                        </w:tc>
                        <w:tc>
                          <w:tcPr>
                            <w:tcW w:w="840" w:type="dxa"/>
                          </w:tcPr>
                          <w:p>
                            <w:pPr>
                              <w:pStyle w:val="TableParagraph"/>
                              <w:rPr>
                                <w:rFonts w:ascii="Times New Roman"/>
                                <w:sz w:val="18"/>
                              </w:rPr>
                            </w:pPr>
                          </w:p>
                        </w:tc>
                      </w:tr>
                    </w:tbl>
                    <w:p>
                      <w:pPr>
                        <w:pStyle w:val="BodyText"/>
                      </w:pPr>
                    </w:p>
                  </w:txbxContent>
                </v:textbox>
                <w10:wrap type="none"/>
              </v:shape>
            </w:pict>
          </ve:Fallback>
        </ve:AlternateContent>
      </w:r>
      <w:r>
        <w:rPr>
          <w:color w:val="030303"/>
          <w:sz w:val="21"/>
        </w:rPr>
        <w:t>Asset Management Audit &amp; Assurance Executive Directors Engineering</w:t>
      </w:r>
      <w:r>
        <w:rPr>
          <w:color w:val="030303"/>
          <w:spacing w:val="-7"/>
          <w:sz w:val="21"/>
        </w:rPr>
        <w:t> </w:t>
      </w:r>
      <w:r>
        <w:rPr>
          <w:color w:val="030303"/>
          <w:sz w:val="21"/>
        </w:rPr>
        <w:t>Services </w:t>
      </w:r>
      <w:r>
        <w:rPr>
          <w:color w:val="030303"/>
          <w:spacing w:val="-2"/>
          <w:sz w:val="21"/>
        </w:rPr>
        <w:t>Environmental</w:t>
      </w:r>
      <w:r>
        <w:rPr>
          <w:color w:val="030303"/>
          <w:spacing w:val="9"/>
          <w:sz w:val="21"/>
        </w:rPr>
        <w:t> </w:t>
      </w:r>
      <w:r>
        <w:rPr>
          <w:color w:val="030303"/>
          <w:spacing w:val="-2"/>
          <w:sz w:val="21"/>
        </w:rPr>
        <w:t>Health</w:t>
      </w:r>
    </w:p>
    <w:p>
      <w:pPr>
        <w:spacing w:before="8" w:line="333" w:lineRule="auto"/>
        <w:ind w:left="552" w:right="11856" w:hanging="2"/>
        <w:jc w:val="left"/>
        <w:rPr>
          <w:sz w:val="21"/>
        </w:rPr>
      </w:pPr>
      <w:r>
        <w:rPr>
          <w:color w:val="030303"/>
          <w:sz w:val="21"/>
        </w:rPr>
        <w:t>Finance</w:t>
      </w:r>
      <w:r>
        <w:rPr>
          <w:color w:val="030303"/>
          <w:spacing w:val="-15"/>
          <w:sz w:val="21"/>
        </w:rPr>
        <w:t> </w:t>
      </w:r>
      <w:r>
        <w:rPr>
          <w:color w:val="030303"/>
          <w:sz w:val="21"/>
        </w:rPr>
        <w:t>&amp;</w:t>
      </w:r>
      <w:r>
        <w:rPr>
          <w:color w:val="030303"/>
          <w:spacing w:val="-15"/>
          <w:sz w:val="21"/>
        </w:rPr>
        <w:t> </w:t>
      </w:r>
      <w:r>
        <w:rPr>
          <w:color w:val="030303"/>
          <w:sz w:val="21"/>
        </w:rPr>
        <w:t>Business</w:t>
      </w:r>
      <w:r>
        <w:rPr>
          <w:color w:val="030303"/>
          <w:spacing w:val="-14"/>
          <w:sz w:val="21"/>
        </w:rPr>
        <w:t> </w:t>
      </w:r>
      <w:r>
        <w:rPr>
          <w:color w:val="030303"/>
          <w:sz w:val="21"/>
        </w:rPr>
        <w:t>Services General Expenses</w:t>
      </w:r>
    </w:p>
    <w:p>
      <w:pPr>
        <w:spacing w:before="1"/>
        <w:ind w:left="551" w:right="0" w:firstLine="0"/>
        <w:jc w:val="left"/>
        <w:rPr>
          <w:sz w:val="21"/>
        </w:rPr>
      </w:pPr>
      <w:r>
        <w:rPr>
          <w:color w:val="030303"/>
          <w:sz w:val="21"/>
        </w:rPr>
        <w:t>Housing</w:t>
      </w:r>
      <w:r>
        <w:rPr>
          <w:color w:val="030303"/>
          <w:spacing w:val="-7"/>
          <w:sz w:val="21"/>
        </w:rPr>
        <w:t> </w:t>
      </w:r>
      <w:r>
        <w:rPr>
          <w:color w:val="030303"/>
          <w:spacing w:val="-2"/>
          <w:sz w:val="21"/>
        </w:rPr>
        <w:t>Services</w:t>
      </w:r>
    </w:p>
    <w:p>
      <w:pPr>
        <w:spacing w:before="95" w:line="333" w:lineRule="auto"/>
        <w:ind w:left="547" w:right="11289" w:hanging="1"/>
        <w:jc w:val="left"/>
        <w:rPr>
          <w:sz w:val="21"/>
        </w:rPr>
      </w:pPr>
      <w:r>
        <w:rPr>
          <w:color w:val="030303"/>
          <w:sz w:val="21"/>
        </w:rPr>
        <w:t>Human</w:t>
      </w:r>
      <w:r>
        <w:rPr>
          <w:color w:val="030303"/>
          <w:spacing w:val="-12"/>
          <w:sz w:val="21"/>
        </w:rPr>
        <w:t> </w:t>
      </w:r>
      <w:r>
        <w:rPr>
          <w:color w:val="030303"/>
          <w:sz w:val="21"/>
        </w:rPr>
        <w:t>Resources</w:t>
      </w:r>
      <w:r>
        <w:rPr>
          <w:color w:val="030303"/>
          <w:spacing w:val="-6"/>
          <w:sz w:val="21"/>
        </w:rPr>
        <w:t> </w:t>
      </w:r>
      <w:r>
        <w:rPr>
          <w:color w:val="030303"/>
          <w:sz w:val="21"/>
        </w:rPr>
        <w:t>&amp;</w:t>
      </w:r>
      <w:r>
        <w:rPr>
          <w:color w:val="030303"/>
          <w:spacing w:val="-15"/>
          <w:sz w:val="21"/>
        </w:rPr>
        <w:t> </w:t>
      </w:r>
      <w:r>
        <w:rPr>
          <w:color w:val="030303"/>
          <w:sz w:val="21"/>
        </w:rPr>
        <w:t>Customer</w:t>
      </w:r>
      <w:r>
        <w:rPr>
          <w:color w:val="030303"/>
          <w:spacing w:val="-2"/>
          <w:sz w:val="21"/>
        </w:rPr>
        <w:t> </w:t>
      </w:r>
      <w:r>
        <w:rPr>
          <w:color w:val="030303"/>
          <w:sz w:val="21"/>
        </w:rPr>
        <w:t>Services Legal &amp; Democratic Services Partnership &amp; Community Engagement Planning &amp; Economic Development Street Scene Services</w:t>
      </w:r>
    </w:p>
    <w:p>
      <w:pPr>
        <w:spacing w:before="5"/>
        <w:ind w:left="546" w:right="0" w:firstLine="0"/>
        <w:jc w:val="left"/>
        <w:rPr>
          <w:sz w:val="21"/>
        </w:rPr>
      </w:pPr>
      <w:r>
        <w:rPr>
          <w:color w:val="030303"/>
          <w:sz w:val="21"/>
        </w:rPr>
        <w:t>Exceptional</w:t>
      </w:r>
      <w:r>
        <w:rPr>
          <w:color w:val="030303"/>
          <w:spacing w:val="-6"/>
          <w:sz w:val="21"/>
        </w:rPr>
        <w:t> </w:t>
      </w:r>
      <w:r>
        <w:rPr>
          <w:color w:val="030303"/>
          <w:sz w:val="21"/>
        </w:rPr>
        <w:t>Items</w:t>
      </w:r>
      <w:r>
        <w:rPr>
          <w:color w:val="030303"/>
          <w:spacing w:val="-12"/>
          <w:sz w:val="21"/>
        </w:rPr>
        <w:t> </w:t>
      </w:r>
      <w:r>
        <w:rPr>
          <w:color w:val="030303"/>
          <w:sz w:val="21"/>
        </w:rPr>
        <w:t>-</w:t>
      </w:r>
      <w:r>
        <w:rPr>
          <w:color w:val="030303"/>
          <w:spacing w:val="-9"/>
          <w:sz w:val="21"/>
        </w:rPr>
        <w:t> </w:t>
      </w:r>
      <w:r>
        <w:rPr>
          <w:color w:val="030303"/>
          <w:sz w:val="21"/>
        </w:rPr>
        <w:t>Covid-</w:t>
      </w:r>
      <w:r>
        <w:rPr>
          <w:color w:val="030303"/>
          <w:spacing w:val="-5"/>
          <w:sz w:val="21"/>
        </w:rPr>
        <w:t>19</w:t>
      </w:r>
    </w:p>
    <w:p>
      <w:pPr>
        <w:spacing w:before="90" w:line="328" w:lineRule="auto"/>
        <w:ind w:left="546" w:right="9131" w:firstLine="0"/>
        <w:jc w:val="left"/>
        <w:rPr>
          <w:sz w:val="21"/>
        </w:rPr>
      </w:pPr>
      <w:r>
        <w:rPr>
          <w:color w:val="030303"/>
          <w:sz w:val="21"/>
        </w:rPr>
        <w:t>Exceptional</w:t>
      </w:r>
      <w:r>
        <w:rPr>
          <w:color w:val="030303"/>
          <w:spacing w:val="-7"/>
          <w:sz w:val="21"/>
        </w:rPr>
        <w:t> </w:t>
      </w:r>
      <w:r>
        <w:rPr>
          <w:color w:val="030303"/>
          <w:sz w:val="21"/>
        </w:rPr>
        <w:t>Items</w:t>
      </w:r>
      <w:r>
        <w:rPr>
          <w:color w:val="030303"/>
          <w:spacing w:val="-10"/>
          <w:sz w:val="21"/>
        </w:rPr>
        <w:t> </w:t>
      </w:r>
      <w:r>
        <w:rPr>
          <w:color w:val="282828"/>
          <w:sz w:val="21"/>
        </w:rPr>
        <w:t>-</w:t>
      </w:r>
      <w:r>
        <w:rPr>
          <w:color w:val="282828"/>
          <w:spacing w:val="-11"/>
          <w:sz w:val="21"/>
        </w:rPr>
        <w:t> </w:t>
      </w:r>
      <w:r>
        <w:rPr>
          <w:color w:val="030303"/>
          <w:sz w:val="21"/>
        </w:rPr>
        <w:t>Covid-19</w:t>
      </w:r>
      <w:r>
        <w:rPr>
          <w:color w:val="030303"/>
          <w:spacing w:val="-2"/>
          <w:sz w:val="21"/>
        </w:rPr>
        <w:t> </w:t>
      </w:r>
      <w:r>
        <w:rPr>
          <w:color w:val="030303"/>
          <w:sz w:val="21"/>
        </w:rPr>
        <w:t>Business</w:t>
      </w:r>
      <w:r>
        <w:rPr>
          <w:color w:val="030303"/>
          <w:spacing w:val="-6"/>
          <w:sz w:val="21"/>
        </w:rPr>
        <w:t> </w:t>
      </w:r>
      <w:r>
        <w:rPr>
          <w:color w:val="030303"/>
          <w:sz w:val="21"/>
        </w:rPr>
        <w:t>Support</w:t>
      </w:r>
      <w:r>
        <w:rPr>
          <w:color w:val="030303"/>
          <w:spacing w:val="-3"/>
          <w:sz w:val="21"/>
        </w:rPr>
        <w:t> </w:t>
      </w:r>
      <w:r>
        <w:rPr>
          <w:color w:val="030303"/>
          <w:sz w:val="21"/>
        </w:rPr>
        <w:t>Grants Exceptional Items - Covid-19 Self Isolation</w:t>
      </w:r>
    </w:p>
    <w:p>
      <w:pPr>
        <w:pStyle w:val="BodyText"/>
        <w:spacing w:before="1"/>
        <w:rPr>
          <w:sz w:val="14"/>
        </w:rPr>
      </w:pPr>
      <w:r>
        <w:rPr/>
        <ve:AlternateContent>
          <ve:Choice Requires="wps">
            <w:drawing>
              <wp:anchor distT="0" distB="0" distL="0" distR="0" simplePos="0" relativeHeight="487641600" behindDoc="1" locked="0" layoutInCell="1" allowOverlap="1">
                <wp:simplePos x="0" y="0"/>
                <wp:positionH relativeFrom="page">
                  <wp:posOffset>4275802</wp:posOffset>
                </wp:positionH>
                <wp:positionV relativeFrom="paragraph">
                  <wp:posOffset>119046</wp:posOffset>
                </wp:positionV>
                <wp:extent cx="4996815" cy="9525"/>
                <wp:effectExtent l="0" t="0" r="0" b="0"/>
                <wp:wrapTopAndBottom/>
                <wp:docPr id="258" name="Group 258"/>
                <wp:cNvGraphicFramePr>
                  <a:graphicFrameLocks/>
                </wp:cNvGraphicFramePr>
                <a:graphic>
                  <a:graphicData uri="http://schemas.microsoft.com/office/word/2010/wordprocessingGroup">
                    <wpg:wgp>
                      <wpg:cNvPr id="258" name="Group 258"/>
                      <wpg:cNvGrpSpPr/>
                      <wpg:grpSpPr>
                        <a:xfrm>
                          <a:off x="0" y="0"/>
                          <a:ext cx="4996815" cy="9525"/>
                          <a:chExt cx="4996815" cy="9525"/>
                        </a:xfrm>
                      </wpg:grpSpPr>
                      <wps:wsp>
                        <wps:cNvPr id="259" name="Graphic 259"/>
                        <wps:cNvSpPr/>
                        <wps:spPr>
                          <a:xfrm>
                            <a:off x="0" y="4579"/>
                            <a:ext cx="1398905" cy="1270"/>
                          </a:xfrm>
                          <a:custGeom>
                            <a:avLst/>
                            <a:gdLst/>
                            <a:ahLst/>
                            <a:cxnLst/>
                            <a:rect l="l" t="t" r="r" b="b"/>
                            <a:pathLst>
                              <a:path w="1398905" h="0">
                                <a:moveTo>
                                  <a:pt x="0" y="0"/>
                                </a:moveTo>
                                <a:lnTo>
                                  <a:pt x="1398798" y="0"/>
                                </a:lnTo>
                              </a:path>
                            </a:pathLst>
                          </a:custGeom>
                          <a:ln w="3053">
                            <a:solidFill>
                              <a:srgbClr val="000000"/>
                            </a:solidFill>
                            <a:prstDash val="solid"/>
                          </a:ln>
                        </wps:spPr>
                        <wps:bodyPr wrap="square" lIns="0" tIns="0" rIns="0" bIns="0" rtlCol="0">
                          <a:prstTxWarp prst="textNoShape">
                            <a:avLst/>
                          </a:prstTxWarp>
                          <a:noAutofit/>
                        </wps:bodyPr>
                      </wps:wsp>
                      <wps:wsp>
                        <wps:cNvPr id="260" name="Graphic 260"/>
                        <wps:cNvSpPr/>
                        <wps:spPr>
                          <a:xfrm>
                            <a:off x="1398798" y="4579"/>
                            <a:ext cx="369570" cy="1270"/>
                          </a:xfrm>
                          <a:custGeom>
                            <a:avLst/>
                            <a:gdLst/>
                            <a:ahLst/>
                            <a:cxnLst/>
                            <a:rect l="l" t="t" r="r" b="b"/>
                            <a:pathLst>
                              <a:path w="369570" h="0">
                                <a:moveTo>
                                  <a:pt x="0" y="0"/>
                                </a:moveTo>
                                <a:lnTo>
                                  <a:pt x="369551" y="0"/>
                                </a:lnTo>
                              </a:path>
                            </a:pathLst>
                          </a:custGeom>
                          <a:ln w="9159">
                            <a:solidFill>
                              <a:srgbClr val="000000"/>
                            </a:solidFill>
                            <a:prstDash val="solid"/>
                          </a:ln>
                        </wps:spPr>
                        <wps:bodyPr wrap="square" lIns="0" tIns="0" rIns="0" bIns="0" rtlCol="0">
                          <a:prstTxWarp prst="textNoShape">
                            <a:avLst/>
                          </a:prstTxWarp>
                          <a:noAutofit/>
                        </wps:bodyPr>
                      </wps:wsp>
                      <wps:wsp>
                        <wps:cNvPr id="261" name="Graphic 261"/>
                        <wps:cNvSpPr/>
                        <wps:spPr>
                          <a:xfrm>
                            <a:off x="1768349" y="4579"/>
                            <a:ext cx="375920" cy="1270"/>
                          </a:xfrm>
                          <a:custGeom>
                            <a:avLst/>
                            <a:gdLst/>
                            <a:ahLst/>
                            <a:cxnLst/>
                            <a:rect l="l" t="t" r="r" b="b"/>
                            <a:pathLst>
                              <a:path w="375920" h="0">
                                <a:moveTo>
                                  <a:pt x="0" y="0"/>
                                </a:moveTo>
                                <a:lnTo>
                                  <a:pt x="375659" y="0"/>
                                </a:lnTo>
                              </a:path>
                            </a:pathLst>
                          </a:custGeom>
                          <a:ln w="3053">
                            <a:solidFill>
                              <a:srgbClr val="000000"/>
                            </a:solidFill>
                            <a:prstDash val="solid"/>
                          </a:ln>
                        </wps:spPr>
                        <wps:bodyPr wrap="square" lIns="0" tIns="0" rIns="0" bIns="0" rtlCol="0">
                          <a:prstTxWarp prst="textNoShape">
                            <a:avLst/>
                          </a:prstTxWarp>
                          <a:noAutofit/>
                        </wps:bodyPr>
                      </wps:wsp>
                      <wps:wsp>
                        <wps:cNvPr id="262" name="Graphic 262"/>
                        <wps:cNvSpPr/>
                        <wps:spPr>
                          <a:xfrm>
                            <a:off x="2144009" y="4579"/>
                            <a:ext cx="287655" cy="1270"/>
                          </a:xfrm>
                          <a:custGeom>
                            <a:avLst/>
                            <a:gdLst/>
                            <a:ahLst/>
                            <a:cxnLst/>
                            <a:rect l="l" t="t" r="r" b="b"/>
                            <a:pathLst>
                              <a:path w="287655" h="0">
                                <a:moveTo>
                                  <a:pt x="0" y="0"/>
                                </a:moveTo>
                                <a:lnTo>
                                  <a:pt x="287089" y="0"/>
                                </a:lnTo>
                              </a:path>
                            </a:pathLst>
                          </a:custGeom>
                          <a:ln w="9159">
                            <a:solidFill>
                              <a:srgbClr val="000000"/>
                            </a:solidFill>
                            <a:prstDash val="solid"/>
                          </a:ln>
                        </wps:spPr>
                        <wps:bodyPr wrap="square" lIns="0" tIns="0" rIns="0" bIns="0" rtlCol="0">
                          <a:prstTxWarp prst="textNoShape">
                            <a:avLst/>
                          </a:prstTxWarp>
                          <a:noAutofit/>
                        </wps:bodyPr>
                      </wps:wsp>
                      <wps:wsp>
                        <wps:cNvPr id="263" name="Graphic 263"/>
                        <wps:cNvSpPr/>
                        <wps:spPr>
                          <a:xfrm>
                            <a:off x="2431099" y="4579"/>
                            <a:ext cx="473709" cy="1270"/>
                          </a:xfrm>
                          <a:custGeom>
                            <a:avLst/>
                            <a:gdLst/>
                            <a:ahLst/>
                            <a:cxnLst/>
                            <a:rect l="l" t="t" r="r" b="b"/>
                            <a:pathLst>
                              <a:path w="473709" h="0">
                                <a:moveTo>
                                  <a:pt x="0" y="0"/>
                                </a:moveTo>
                                <a:lnTo>
                                  <a:pt x="473392" y="0"/>
                                </a:lnTo>
                              </a:path>
                            </a:pathLst>
                          </a:custGeom>
                          <a:ln w="3053">
                            <a:solidFill>
                              <a:srgbClr val="000000"/>
                            </a:solidFill>
                            <a:prstDash val="solid"/>
                          </a:ln>
                        </wps:spPr>
                        <wps:bodyPr wrap="square" lIns="0" tIns="0" rIns="0" bIns="0" rtlCol="0">
                          <a:prstTxWarp prst="textNoShape">
                            <a:avLst/>
                          </a:prstTxWarp>
                          <a:noAutofit/>
                        </wps:bodyPr>
                      </wps:wsp>
                      <wps:wsp>
                        <wps:cNvPr id="264" name="Graphic 264"/>
                        <wps:cNvSpPr/>
                        <wps:spPr>
                          <a:xfrm>
                            <a:off x="2904491" y="4579"/>
                            <a:ext cx="1212850" cy="1270"/>
                          </a:xfrm>
                          <a:custGeom>
                            <a:avLst/>
                            <a:gdLst/>
                            <a:ahLst/>
                            <a:cxnLst/>
                            <a:rect l="l" t="t" r="r" b="b"/>
                            <a:pathLst>
                              <a:path w="1212850" h="0">
                                <a:moveTo>
                                  <a:pt x="0" y="0"/>
                                </a:moveTo>
                                <a:lnTo>
                                  <a:pt x="1212495" y="0"/>
                                </a:lnTo>
                              </a:path>
                            </a:pathLst>
                          </a:custGeom>
                          <a:ln w="9159">
                            <a:solidFill>
                              <a:srgbClr val="000000"/>
                            </a:solidFill>
                            <a:prstDash val="solid"/>
                          </a:ln>
                        </wps:spPr>
                        <wps:bodyPr wrap="square" lIns="0" tIns="0" rIns="0" bIns="0" rtlCol="0">
                          <a:prstTxWarp prst="textNoShape">
                            <a:avLst/>
                          </a:prstTxWarp>
                          <a:noAutofit/>
                        </wps:bodyPr>
                      </wps:wsp>
                      <wps:wsp>
                        <wps:cNvPr id="265" name="Graphic 265"/>
                        <wps:cNvSpPr/>
                        <wps:spPr>
                          <a:xfrm>
                            <a:off x="4116987" y="4579"/>
                            <a:ext cx="235585" cy="1270"/>
                          </a:xfrm>
                          <a:custGeom>
                            <a:avLst/>
                            <a:gdLst/>
                            <a:ahLst/>
                            <a:cxnLst/>
                            <a:rect l="l" t="t" r="r" b="b"/>
                            <a:pathLst>
                              <a:path w="235585" h="0">
                                <a:moveTo>
                                  <a:pt x="0" y="0"/>
                                </a:moveTo>
                                <a:lnTo>
                                  <a:pt x="235169" y="0"/>
                                </a:lnTo>
                              </a:path>
                            </a:pathLst>
                          </a:custGeom>
                          <a:ln w="3053">
                            <a:solidFill>
                              <a:srgbClr val="000000"/>
                            </a:solidFill>
                            <a:prstDash val="solid"/>
                          </a:ln>
                        </wps:spPr>
                        <wps:bodyPr wrap="square" lIns="0" tIns="0" rIns="0" bIns="0" rtlCol="0">
                          <a:prstTxWarp prst="textNoShape">
                            <a:avLst/>
                          </a:prstTxWarp>
                          <a:noAutofit/>
                        </wps:bodyPr>
                      </wps:wsp>
                      <wps:wsp>
                        <wps:cNvPr id="266" name="Graphic 266"/>
                        <wps:cNvSpPr/>
                        <wps:spPr>
                          <a:xfrm>
                            <a:off x="4352156" y="4579"/>
                            <a:ext cx="644525" cy="1270"/>
                          </a:xfrm>
                          <a:custGeom>
                            <a:avLst/>
                            <a:gdLst/>
                            <a:ahLst/>
                            <a:cxnLst/>
                            <a:rect l="l" t="t" r="r" b="b"/>
                            <a:pathLst>
                              <a:path w="644525" h="0">
                                <a:moveTo>
                                  <a:pt x="0" y="0"/>
                                </a:moveTo>
                                <a:lnTo>
                                  <a:pt x="644424" y="0"/>
                                </a:lnTo>
                              </a:path>
                            </a:pathLst>
                          </a:custGeom>
                          <a:ln w="9159">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68" style="position:absolute;margin-left:336.677368pt;margin-top:9.373712pt;width:393.45pt;height:.75pt;mso-position-horizontal-relative:page;mso-position-vertical-relative:paragraph;z-index:-15674880;mso-wrap-distance-left:0;mso-wrap-distance-right:0" coordsize="7869,15" coordorigin="6734,187">
                <v:line style="position:absolute" stroked="true" strokecolor="#000000" strokeweight=".240411pt" from="6734,195" to="8936,195">
                  <v:stroke dashstyle="solid"/>
                </v:line>
                <v:line style="position:absolute" stroked="true" strokecolor="#000000" strokeweight=".721232pt" from="8936,195" to="9518,195">
                  <v:stroke dashstyle="solid"/>
                </v:line>
                <v:line style="position:absolute" stroked="true" strokecolor="#000000" strokeweight=".240411pt" from="9518,195" to="10110,195">
                  <v:stroke dashstyle="solid"/>
                </v:line>
                <v:line style="position:absolute" stroked="true" strokecolor="#000000" strokeweight=".721232pt" from="10110,195" to="10562,195">
                  <v:stroke dashstyle="solid"/>
                </v:line>
                <v:line style="position:absolute" stroked="true" strokecolor="#000000" strokeweight=".240411pt" from="10562,195" to="11308,195">
                  <v:stroke dashstyle="solid"/>
                </v:line>
                <v:line style="position:absolute" stroked="true" strokecolor="#000000" strokeweight=".721232pt" from="11308,195" to="13217,195">
                  <v:stroke dashstyle="solid"/>
                </v:line>
                <v:line style="position:absolute" stroked="true" strokecolor="#000000" strokeweight=".240411pt" from="13217,195" to="13587,195">
                  <v:stroke dashstyle="solid"/>
                </v:line>
                <v:line style="position:absolute" stroked="true" strokecolor="#000000" strokeweight=".721232pt" from="13587,195" to="14602,195">
                  <v:stroke dashstyle="solid"/>
                </v:line>
                <w10:wrap type="topAndBottom"/>
              </v:group>
            </w:pict>
          </ve:Fallback>
        </ve:AlternateContent>
      </w:r>
    </w:p>
    <w:p>
      <w:pPr>
        <w:tabs>
          <w:tab w:val="left" w:leader="none" w:pos="6396"/>
          <w:tab w:val="left" w:leader="none" w:pos="7517"/>
          <w:tab w:val="left" w:leader="none" w:pos="8534"/>
          <w:tab w:val="left" w:leader="none" w:pos="9173"/>
          <w:tab w:val="left" w:leader="none" w:pos="9917"/>
          <w:tab w:val="left" w:leader="none" w:pos="10663"/>
          <w:tab w:val="left" w:leader="none" w:pos="12367"/>
          <w:tab w:val="left" w:leader="none" w:pos="12942"/>
          <w:tab w:val="left" w:leader="none" w:pos="13990"/>
          <w:tab w:val="left" w:leader="none" w:pos="14973"/>
        </w:tabs>
        <w:spacing w:before="73"/>
        <w:ind w:left="544" w:right="0" w:firstLine="0"/>
        <w:jc w:val="left"/>
        <w:rPr>
          <w:b/>
          <w:sz w:val="20"/>
        </w:rPr>
      </w:pPr>
      <w:r>
        <w:rPr>
          <w:b/>
          <w:color w:val="030303"/>
          <w:spacing w:val="-2"/>
          <w:w w:val="105"/>
          <w:position w:val="3"/>
          <w:sz w:val="20"/>
        </w:rPr>
        <w:t>Total</w:t>
      </w:r>
      <w:r>
        <w:rPr>
          <w:b/>
          <w:color w:val="030303"/>
          <w:position w:val="3"/>
          <w:sz w:val="20"/>
        </w:rPr>
        <w:tab/>
      </w:r>
      <w:r>
        <w:rPr>
          <w:b/>
          <w:color w:val="030303"/>
          <w:w w:val="105"/>
          <w:sz w:val="20"/>
        </w:rPr>
        <w:t>18,148</w:t>
      </w:r>
      <w:r>
        <w:rPr>
          <w:b/>
          <w:color w:val="030303"/>
          <w:spacing w:val="80"/>
          <w:w w:val="105"/>
          <w:sz w:val="20"/>
        </w:rPr>
        <w:t> </w:t>
      </w:r>
      <w:r>
        <w:rPr>
          <w:b/>
          <w:color w:val="030303"/>
          <w:sz w:val="20"/>
          <w:u w:val="single" w:color="000000"/>
        </w:rPr>
        <w:tab/>
      </w:r>
      <w:r>
        <w:rPr>
          <w:b/>
          <w:color w:val="030303"/>
          <w:spacing w:val="-2"/>
          <w:w w:val="105"/>
          <w:sz w:val="20"/>
          <w:u w:val="single" w:color="000000"/>
        </w:rPr>
        <w:t>2,795</w:t>
      </w:r>
      <w:r>
        <w:rPr>
          <w:b/>
          <w:color w:val="030303"/>
          <w:sz w:val="20"/>
          <w:u w:val="single" w:color="000000"/>
        </w:rPr>
        <w:tab/>
      </w:r>
      <w:r>
        <w:rPr>
          <w:b/>
          <w:color w:val="030303"/>
          <w:spacing w:val="-5"/>
          <w:w w:val="105"/>
          <w:sz w:val="20"/>
          <w:u w:val="single" w:color="000000"/>
        </w:rPr>
        <w:t>742</w:t>
      </w:r>
      <w:r>
        <w:rPr>
          <w:b/>
          <w:color w:val="030303"/>
          <w:sz w:val="20"/>
          <w:u w:val="single" w:color="000000"/>
        </w:rPr>
        <w:tab/>
      </w:r>
      <w:r>
        <w:rPr>
          <w:b/>
          <w:color w:val="030303"/>
          <w:spacing w:val="-2"/>
          <w:w w:val="105"/>
          <w:sz w:val="20"/>
          <w:u w:val="single" w:color="000000"/>
        </w:rPr>
        <w:t>4,872</w:t>
      </w:r>
      <w:r>
        <w:rPr>
          <w:b/>
          <w:color w:val="030303"/>
          <w:sz w:val="20"/>
          <w:u w:val="single" w:color="000000"/>
        </w:rPr>
        <w:tab/>
      </w:r>
      <w:r>
        <w:rPr>
          <w:b/>
          <w:color w:val="030303"/>
          <w:spacing w:val="-2"/>
          <w:w w:val="105"/>
          <w:sz w:val="20"/>
          <w:u w:val="single" w:color="000000"/>
        </w:rPr>
        <w:t>2,444</w:t>
      </w:r>
      <w:r>
        <w:rPr>
          <w:b/>
          <w:color w:val="030303"/>
          <w:sz w:val="20"/>
          <w:u w:val="single" w:color="000000"/>
        </w:rPr>
        <w:tab/>
      </w:r>
      <w:r>
        <w:rPr>
          <w:b/>
          <w:color w:val="030303"/>
          <w:spacing w:val="-2"/>
          <w:w w:val="105"/>
          <w:position w:val="1"/>
          <w:sz w:val="20"/>
          <w:u w:val="single" w:color="000000"/>
        </w:rPr>
        <w:t>28,565</w:t>
      </w:r>
      <w:r>
        <w:rPr>
          <w:b/>
          <w:color w:val="030303"/>
          <w:position w:val="1"/>
          <w:sz w:val="20"/>
          <w:u w:val="single" w:color="000000"/>
        </w:rPr>
        <w:tab/>
      </w:r>
      <w:r>
        <w:rPr>
          <w:b/>
          <w:color w:val="030303"/>
          <w:spacing w:val="-5"/>
          <w:w w:val="105"/>
          <w:position w:val="1"/>
          <w:sz w:val="20"/>
          <w:u w:val="single" w:color="000000"/>
        </w:rPr>
        <w:t>806</w:t>
      </w:r>
      <w:r>
        <w:rPr>
          <w:b/>
          <w:color w:val="030303"/>
          <w:position w:val="1"/>
          <w:sz w:val="20"/>
          <w:u w:val="single" w:color="000000"/>
        </w:rPr>
        <w:tab/>
      </w:r>
      <w:r>
        <w:rPr>
          <w:b/>
          <w:color w:val="030303"/>
          <w:spacing w:val="-2"/>
          <w:w w:val="105"/>
          <w:position w:val="1"/>
          <w:sz w:val="20"/>
          <w:u w:val="single" w:color="000000"/>
        </w:rPr>
        <w:t>{42,111)</w:t>
      </w:r>
      <w:r>
        <w:rPr>
          <w:b/>
          <w:color w:val="030303"/>
          <w:position w:val="1"/>
          <w:sz w:val="20"/>
          <w:u w:val="single" w:color="000000"/>
        </w:rPr>
        <w:tab/>
      </w:r>
      <w:r>
        <w:rPr>
          <w:b/>
          <w:color w:val="030303"/>
          <w:spacing w:val="-2"/>
          <w:w w:val="105"/>
          <w:position w:val="1"/>
          <w:sz w:val="20"/>
          <w:u w:val="single" w:color="000000"/>
        </w:rPr>
        <w:t>16,261</w:t>
      </w:r>
      <w:r>
        <w:rPr>
          <w:b/>
          <w:color w:val="030303"/>
          <w:position w:val="1"/>
          <w:sz w:val="20"/>
          <w:u w:val="single" w:color="000000"/>
        </w:rPr>
        <w:tab/>
      </w:r>
    </w:p>
    <w:p>
      <w:pPr>
        <w:spacing w:before="21"/>
        <w:ind w:left="0" w:right="102" w:firstLine="0"/>
        <w:jc w:val="right"/>
        <w:rPr>
          <w:rFonts w:ascii="Times New Roman"/>
          <w:sz w:val="21"/>
        </w:rPr>
      </w:pPr>
      <w:r>
        <w:rPr>
          <w:rFonts w:ascii="Times New Roman"/>
          <w:color w:val="030303"/>
          <w:spacing w:val="-5"/>
          <w:w w:val="105"/>
          <w:sz w:val="21"/>
        </w:rPr>
        <w:t>67</w:t>
      </w:r>
    </w:p>
    <w:p>
      <w:pPr>
        <w:spacing w:after="0"/>
        <w:jc w:val="right"/>
        <w:rPr>
          <w:rFonts w:ascii="Times New Roman"/>
          <w:sz w:val="21"/>
        </w:rPr>
        <w:sectPr>
          <w:type w:val="continuous"/>
          <w:pgSz w:w="16830" w:h="11910" w:orient="landscape"/>
          <w:pgMar w:top="1940" w:right="480" w:bottom="280" w:left="740" w:header="0" w:footer="0"/>
        </w:sectPr>
      </w:pPr>
    </w:p>
    <w:p>
      <w:pPr>
        <w:pStyle w:val="BodyText"/>
        <w:spacing w:line="20" w:lineRule="exact"/>
        <w:ind w:left="11726"/>
        <w:rPr>
          <w:rFonts w:ascii="Times New Roman"/>
          <w:sz w:val="2"/>
        </w:rPr>
      </w:pPr>
      <w:r>
        <w:rPr>
          <w:rFonts w:ascii="Times New Roman"/>
          <w:sz w:val="2"/>
        </w:rPr>
        <ve:AlternateContent>
          <ve:Choice Requires="wps">
            <w:drawing>
              <wp:inline distT="0" distB="0" distL="0" distR="0">
                <wp:extent cx="1038860" cy="6350"/>
                <wp:effectExtent l="9525" t="0" r="0" b="3175"/>
                <wp:docPr id="269" name="Group 269"/>
                <wp:cNvGraphicFramePr>
                  <a:graphicFrameLocks/>
                </wp:cNvGraphicFramePr>
                <a:graphic>
                  <a:graphicData uri="http://schemas.microsoft.com/office/word/2010/wordprocessingGroup">
                    <wpg:wgp>
                      <wpg:cNvPr id="269" name="Group 269"/>
                      <wpg:cNvGrpSpPr/>
                      <wpg:grpSpPr>
                        <a:xfrm>
                          <a:off x="0" y="0"/>
                          <a:ext cx="1038860" cy="6350"/>
                          <a:chExt cx="1038860" cy="6350"/>
                        </a:xfrm>
                      </wpg:grpSpPr>
                      <wps:wsp>
                        <wps:cNvPr id="270" name="Graphic 270"/>
                        <wps:cNvSpPr/>
                        <wps:spPr>
                          <a:xfrm>
                            <a:off x="0" y="3053"/>
                            <a:ext cx="1038860" cy="1270"/>
                          </a:xfrm>
                          <a:custGeom>
                            <a:avLst/>
                            <a:gdLst/>
                            <a:ahLst/>
                            <a:cxnLst/>
                            <a:rect l="l" t="t" r="r" b="b"/>
                            <a:pathLst>
                              <a:path w="1038860" h="0">
                                <a:moveTo>
                                  <a:pt x="0" y="0"/>
                                </a:moveTo>
                                <a:lnTo>
                                  <a:pt x="1038409" y="0"/>
                                </a:lnTo>
                              </a:path>
                            </a:pathLst>
                          </a:custGeom>
                          <a:ln w="6106">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71" style="width:81.8pt;height:.5pt;mso-position-horizontal-relative:char;mso-position-vertical-relative:line" coordsize="1636,10" coordorigin="0,0">
                <v:line style="position:absolute" stroked="true" strokecolor="#000000" strokeweight=".480821pt" from="0,5" to="1635,5">
                  <v:stroke dashstyle="solid"/>
                </v:line>
              </v:group>
            </w:pict>
          </ve:Fallback>
        </ve:AlternateContent>
      </w:r>
      <w:r>
        <w:rPr>
          <w:rFonts w:ascii="Times New Roman"/>
          <w:sz w:val="2"/>
        </w:rPr>
      </w:r>
    </w:p>
    <w:p>
      <w:pPr>
        <w:pStyle w:val="BodyText"/>
        <w:rPr>
          <w:rFonts w:ascii="Times New Roman"/>
          <w:sz w:val="20"/>
        </w:rPr>
      </w:pPr>
    </w:p>
    <w:p>
      <w:pPr>
        <w:pStyle w:val="BodyText"/>
        <w:rPr>
          <w:rFonts w:ascii="Times New Roman"/>
          <w:sz w:val="20"/>
        </w:rPr>
      </w:pPr>
    </w:p>
    <w:p>
      <w:pPr>
        <w:pStyle w:val="BodyText"/>
        <w:spacing w:before="9"/>
        <w:rPr>
          <w:rFonts w:ascii="Times New Roman"/>
          <w:sz w:val="20"/>
        </w:rPr>
      </w:pPr>
    </w:p>
    <w:p>
      <w:pPr>
        <w:spacing w:after="0"/>
        <w:rPr>
          <w:rFonts w:ascii="Times New Roman"/>
          <w:sz w:val="20"/>
        </w:rPr>
        <w:sectPr>
          <w:headerReference w:type="even" r:id="rId145"/>
          <w:footerReference w:type="even" r:id="rId146"/>
          <w:footerReference w:type="default" r:id="rId147"/>
          <w:pgSz w:w="16830" w:h="11910" w:orient="landscape"/>
          <w:pgMar w:top="200" w:right="480" w:bottom="980" w:left="740" w:header="0" w:footer="789"/>
        </w:sectPr>
      </w:pPr>
    </w:p>
    <w:p>
      <w:pPr>
        <w:spacing w:before="94"/>
        <w:ind w:left="114" w:right="0" w:firstLine="0"/>
        <w:jc w:val="left"/>
        <w:rPr>
          <w:sz w:val="18"/>
        </w:rPr>
      </w:pPr>
      <w:r>
        <w:rPr>
          <w:color w:val="BCBCBC"/>
          <w:spacing w:val="-20"/>
          <w:sz w:val="18"/>
        </w:rPr>
        <w:t>.</w:t>
      </w:r>
      <w:r>
        <w:rPr>
          <w:rFonts w:ascii="Times New Roman"/>
          <w:color w:val="BCBCBC"/>
          <w:spacing w:val="-20"/>
          <w:position w:val="4"/>
          <w:sz w:val="8"/>
        </w:rPr>
        <w:t>C</w:t>
      </w:r>
      <w:r>
        <w:rPr>
          <w:color w:val="BCBCBC"/>
          <w:spacing w:val="-20"/>
          <w:sz w:val="18"/>
        </w:rPr>
        <w:t>,.</w:t>
      </w:r>
    </w:p>
    <w:p>
      <w:pPr>
        <w:spacing w:before="123"/>
        <w:ind w:left="539" w:right="0" w:firstLine="0"/>
        <w:jc w:val="left"/>
        <w:rPr>
          <w:sz w:val="14"/>
        </w:rPr>
      </w:pPr>
      <w:r>
        <w:rPr/>
        <w:br w:type="column"/>
      </w:r>
      <w:r>
        <w:rPr>
          <w:color w:val="808080"/>
          <w:w w:val="120"/>
          <w:sz w:val="14"/>
        </w:rPr>
        <w:t>NO</w:t>
      </w:r>
      <w:r>
        <w:rPr>
          <w:color w:val="808080"/>
          <w:spacing w:val="-17"/>
          <w:w w:val="120"/>
          <w:sz w:val="14"/>
        </w:rPr>
        <w:t> </w:t>
      </w:r>
      <w:r>
        <w:rPr>
          <w:color w:val="696969"/>
          <w:w w:val="130"/>
          <w:sz w:val="14"/>
        </w:rPr>
        <w:t>I</w:t>
      </w:r>
      <w:r>
        <w:rPr>
          <w:color w:val="696969"/>
          <w:spacing w:val="-20"/>
          <w:w w:val="130"/>
          <w:sz w:val="14"/>
        </w:rPr>
        <w:t> </w:t>
      </w:r>
      <w:r>
        <w:rPr>
          <w:color w:val="696969"/>
          <w:w w:val="120"/>
          <w:sz w:val="14"/>
        </w:rPr>
        <w:t>ES</w:t>
      </w:r>
      <w:r>
        <w:rPr>
          <w:color w:val="696969"/>
          <w:spacing w:val="-3"/>
          <w:w w:val="120"/>
          <w:sz w:val="14"/>
        </w:rPr>
        <w:t> </w:t>
      </w:r>
      <w:r>
        <w:rPr>
          <w:rFonts w:ascii="Times New Roman" w:hAnsi="Times New Roman"/>
          <w:color w:val="808080"/>
          <w:w w:val="130"/>
          <w:sz w:val="16"/>
        </w:rPr>
        <w:t>!</w:t>
      </w:r>
      <w:r>
        <w:rPr>
          <w:rFonts w:ascii="Times New Roman" w:hAnsi="Times New Roman"/>
          <w:color w:val="808080"/>
          <w:spacing w:val="-32"/>
          <w:w w:val="130"/>
          <w:sz w:val="16"/>
        </w:rPr>
        <w:t> </w:t>
      </w:r>
      <w:r>
        <w:rPr>
          <w:color w:val="808080"/>
          <w:w w:val="120"/>
          <w:sz w:val="14"/>
        </w:rPr>
        <w:t>U</w:t>
      </w:r>
      <w:r>
        <w:rPr>
          <w:color w:val="808080"/>
          <w:spacing w:val="4"/>
          <w:w w:val="130"/>
          <w:sz w:val="14"/>
        </w:rPr>
        <w:t> </w:t>
      </w:r>
      <w:r>
        <w:rPr>
          <w:color w:val="808080"/>
          <w:w w:val="130"/>
          <w:sz w:val="14"/>
        </w:rPr>
        <w:t>I</w:t>
      </w:r>
      <w:r>
        <w:rPr>
          <w:color w:val="808080"/>
          <w:spacing w:val="-18"/>
          <w:w w:val="130"/>
          <w:sz w:val="14"/>
        </w:rPr>
        <w:t> </w:t>
      </w:r>
      <w:r>
        <w:rPr>
          <w:color w:val="808080"/>
          <w:w w:val="120"/>
          <w:sz w:val="14"/>
        </w:rPr>
        <w:t>l·IE</w:t>
      </w:r>
      <w:r>
        <w:rPr>
          <w:color w:val="808080"/>
          <w:spacing w:val="5"/>
          <w:w w:val="130"/>
          <w:sz w:val="14"/>
        </w:rPr>
        <w:t> </w:t>
      </w:r>
      <w:r>
        <w:rPr>
          <w:color w:val="808080"/>
          <w:w w:val="130"/>
          <w:sz w:val="13"/>
        </w:rPr>
        <w:t>/.\lXUliN</w:t>
      </w:r>
      <w:r>
        <w:rPr>
          <w:color w:val="808080"/>
          <w:spacing w:val="-18"/>
          <w:w w:val="130"/>
          <w:sz w:val="13"/>
        </w:rPr>
        <w:t> </w:t>
      </w:r>
      <w:r>
        <w:rPr>
          <w:color w:val="808080"/>
          <w:spacing w:val="-10"/>
          <w:w w:val="130"/>
          <w:sz w:val="14"/>
        </w:rPr>
        <w:t>f</w:t>
      </w:r>
    </w:p>
    <w:p>
      <w:pPr>
        <w:tabs>
          <w:tab w:val="left" w:leader="none" w:pos="6885"/>
          <w:tab w:val="left" w:leader="none" w:pos="7842"/>
          <w:tab w:val="left" w:leader="none" w:pos="10384"/>
        </w:tabs>
        <w:spacing w:before="47" w:line="431" w:lineRule="exact"/>
        <w:ind w:left="25" w:right="0" w:firstLine="0"/>
        <w:jc w:val="left"/>
        <w:rPr>
          <w:sz w:val="22"/>
        </w:rPr>
      </w:pPr>
      <w:r>
        <w:rPr>
          <w:color w:val="696969"/>
          <w:sz w:val="21"/>
        </w:rPr>
        <w:t>YEAR</w:t>
      </w:r>
      <w:r>
        <w:rPr>
          <w:color w:val="696969"/>
          <w:spacing w:val="13"/>
          <w:sz w:val="21"/>
        </w:rPr>
        <w:t> </w:t>
      </w:r>
      <w:r>
        <w:rPr>
          <w:color w:val="696969"/>
          <w:sz w:val="21"/>
        </w:rPr>
        <w:t>ENDED</w:t>
      </w:r>
      <w:r>
        <w:rPr>
          <w:color w:val="696969"/>
          <w:spacing w:val="9"/>
          <w:sz w:val="21"/>
        </w:rPr>
        <w:t> </w:t>
      </w:r>
      <w:r>
        <w:rPr>
          <w:color w:val="696969"/>
          <w:sz w:val="21"/>
        </w:rPr>
        <w:t>31</w:t>
      </w:r>
      <w:r>
        <w:rPr>
          <w:color w:val="696969"/>
          <w:spacing w:val="-14"/>
          <w:sz w:val="21"/>
        </w:rPr>
        <w:t> </w:t>
      </w:r>
      <w:r>
        <w:rPr>
          <w:color w:val="696969"/>
          <w:sz w:val="21"/>
        </w:rPr>
        <w:t>March</w:t>
      </w:r>
      <w:r>
        <w:rPr>
          <w:color w:val="696969"/>
          <w:spacing w:val="15"/>
          <w:sz w:val="21"/>
        </w:rPr>
        <w:t> </w:t>
      </w:r>
      <w:r>
        <w:rPr>
          <w:color w:val="696969"/>
          <w:spacing w:val="-4"/>
          <w:sz w:val="21"/>
        </w:rPr>
        <w:t>2023</w:t>
      </w:r>
      <w:r>
        <w:rPr>
          <w:color w:val="696969"/>
          <w:sz w:val="21"/>
        </w:rPr>
        <w:tab/>
      </w:r>
      <w:r>
        <w:rPr>
          <w:color w:val="030303"/>
          <w:spacing w:val="-5"/>
          <w:position w:val="-4"/>
          <w:sz w:val="45"/>
        </w:rPr>
        <w:t>,,</w:t>
      </w:r>
      <w:r>
        <w:rPr>
          <w:color w:val="030303"/>
          <w:position w:val="-4"/>
          <w:sz w:val="45"/>
        </w:rPr>
        <w:tab/>
      </w:r>
      <w:r>
        <w:rPr>
          <w:color w:val="030303"/>
          <w:spacing w:val="-5"/>
          <w:position w:val="-5"/>
          <w:sz w:val="13"/>
        </w:rPr>
        <w:t>i:,</w:t>
      </w:r>
      <w:r>
        <w:rPr>
          <w:color w:val="030303"/>
          <w:position w:val="-5"/>
          <w:sz w:val="13"/>
        </w:rPr>
        <w:tab/>
      </w:r>
      <w:r>
        <w:rPr>
          <w:color w:val="030303"/>
          <w:spacing w:val="-5"/>
          <w:w w:val="85"/>
          <w:position w:val="-4"/>
          <w:sz w:val="22"/>
        </w:rPr>
        <w:t>J!3</w:t>
      </w:r>
    </w:p>
    <w:p>
      <w:pPr>
        <w:tabs>
          <w:tab w:val="left" w:leader="none" w:pos="10418"/>
        </w:tabs>
        <w:spacing w:before="0" w:line="27" w:lineRule="exact"/>
        <w:ind w:left="7848" w:right="0" w:firstLine="0"/>
        <w:jc w:val="left"/>
        <w:rPr>
          <w:sz w:val="13"/>
        </w:rPr>
      </w:pPr>
      <w:r>
        <w:rPr/>
        <ve:AlternateContent>
          <ve:Choice Requires="wps">
            <w:drawing>
              <wp:anchor distT="0" distB="0" distL="0" distR="0" simplePos="0" relativeHeight="15785984" behindDoc="0" locked="0" layoutInCell="1" allowOverlap="1">
                <wp:simplePos x="0" y="0"/>
                <wp:positionH relativeFrom="page">
                  <wp:posOffset>6148661</wp:posOffset>
                </wp:positionH>
                <wp:positionV relativeFrom="paragraph">
                  <wp:posOffset>41820</wp:posOffset>
                </wp:positionV>
                <wp:extent cx="147955" cy="320040"/>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147955" cy="320040"/>
                        </a:xfrm>
                        <a:prstGeom prst="rect">
                          <a:avLst/>
                        </a:prstGeom>
                      </wps:spPr>
                      <wps:txbx>
                        <w:txbxContent>
                          <w:p>
                            <w:pPr>
                              <w:spacing w:before="0" w:line="503" w:lineRule="exact"/>
                              <w:ind w:left="0" w:right="0" w:firstLine="0"/>
                              <w:jc w:val="left"/>
                              <w:rPr>
                                <w:sz w:val="45"/>
                              </w:rPr>
                            </w:pPr>
                            <w:r>
                              <w:rPr>
                                <w:color w:val="030303"/>
                                <w:spacing w:val="-5"/>
                                <w:w w:val="90"/>
                                <w:sz w:val="45"/>
                              </w:rPr>
                              <w:t>,,</w:t>
                            </w:r>
                          </w:p>
                        </w:txbxContent>
                      </wps:txbx>
                      <wps:bodyPr wrap="square" lIns="0" tIns="0" rIns="0" bIns="0" rtlCol="0">
                        <a:noAutofit/>
                      </wps:bodyPr>
                    </wps:wsp>
                  </a:graphicData>
                </a:graphic>
              </wp:anchor>
            </w:drawing>
          </ve:Choice>
          <ve:Fallback>
            <w:pict>
              <v:shape id="docshape172" style="position:absolute;margin-left:484.146606pt;margin-top:3.292943pt;width:11.65pt;height:25.2pt;mso-position-horizontal-relative:page;mso-position-vertical-relative:paragraph;z-index:15785984" filled="false" stroked="false" type="#_x0000_t202">
                <v:textbox inset="0,0,0,0">
                  <w:txbxContent>
                    <w:p>
                      <w:pPr>
                        <w:spacing w:before="0" w:line="503" w:lineRule="exact"/>
                        <w:ind w:left="0" w:right="0" w:firstLine="0"/>
                        <w:jc w:val="left"/>
                        <w:rPr>
                          <w:sz w:val="45"/>
                        </w:rPr>
                      </w:pPr>
                      <w:r>
                        <w:rPr>
                          <w:color w:val="030303"/>
                          <w:spacing w:val="-5"/>
                          <w:w w:val="90"/>
                          <w:sz w:val="45"/>
                        </w:rPr>
                        <w:t>,,</w:t>
                      </w:r>
                    </w:p>
                  </w:txbxContent>
                </v:textbox>
                <w10:wrap type="none"/>
              </v:shape>
            </w:pict>
          </ve:Fallback>
        </ve:AlternateContent>
      </w:r>
      <w:r>
        <w:rPr>
          <w:i/>
          <w:color w:val="030303"/>
          <w:spacing w:val="-10"/>
          <w:w w:val="105"/>
          <w:position w:val="-8"/>
          <w:sz w:val="31"/>
        </w:rPr>
        <w:t>s</w:t>
      </w:r>
      <w:r>
        <w:rPr>
          <w:i/>
          <w:color w:val="030303"/>
          <w:position w:val="-8"/>
          <w:sz w:val="31"/>
        </w:rPr>
        <w:tab/>
      </w:r>
      <w:r>
        <w:rPr>
          <w:color w:val="030303"/>
          <w:spacing w:val="-5"/>
          <w:w w:val="105"/>
          <w:sz w:val="13"/>
        </w:rPr>
        <w:t>C:</w:t>
      </w:r>
    </w:p>
    <w:p>
      <w:pPr>
        <w:spacing w:after="0" w:line="27" w:lineRule="exact"/>
        <w:jc w:val="left"/>
        <w:rPr>
          <w:sz w:val="13"/>
        </w:rPr>
        <w:sectPr>
          <w:type w:val="continuous"/>
          <w:pgSz w:w="16830" w:h="11910" w:orient="landscape"/>
          <w:pgMar w:top="1940" w:right="480" w:bottom="280" w:left="740" w:header="0" w:footer="789"/>
          <w:cols w:equalWidth="0" w:num="2">
            <w:col w:w="253" w:space="40"/>
            <w:col w:w="15317"/>
          </w:cols>
        </w:sectPr>
      </w:pPr>
    </w:p>
    <w:p>
      <w:pPr>
        <w:pStyle w:val="BodyText"/>
        <w:spacing w:before="224" w:line="233" w:lineRule="exact"/>
        <w:ind w:left="6401"/>
      </w:pPr>
      <w:r>
        <w:rPr>
          <w:color w:val="030303"/>
          <w:spacing w:val="-5"/>
          <w:w w:val="55"/>
        </w:rPr>
        <w:t>J!3</w:t>
      </w:r>
    </w:p>
    <w:p>
      <w:pPr>
        <w:spacing w:before="0" w:line="67" w:lineRule="exact"/>
        <w:ind w:left="6436" w:right="0" w:firstLine="0"/>
        <w:jc w:val="left"/>
        <w:rPr>
          <w:sz w:val="10"/>
        </w:rPr>
      </w:pPr>
      <w:r>
        <w:rPr>
          <w:color w:val="030303"/>
          <w:spacing w:val="-5"/>
          <w:w w:val="80"/>
          <w:sz w:val="10"/>
        </w:rPr>
        <w:t>II)</w:t>
      </w:r>
    </w:p>
    <w:p>
      <w:pPr>
        <w:spacing w:before="0" w:line="320" w:lineRule="exact"/>
        <w:ind w:left="614" w:right="0" w:firstLine="0"/>
        <w:jc w:val="left"/>
        <w:rPr>
          <w:i/>
          <w:sz w:val="31"/>
        </w:rPr>
      </w:pPr>
      <w:r>
        <w:rPr/>
        <w:br w:type="column"/>
      </w:r>
      <w:r>
        <w:rPr>
          <w:i/>
          <w:color w:val="030303"/>
          <w:spacing w:val="-10"/>
          <w:w w:val="105"/>
          <w:sz w:val="31"/>
        </w:rPr>
        <w:t>s</w:t>
      </w:r>
    </w:p>
    <w:p>
      <w:pPr>
        <w:spacing w:before="101" w:line="9" w:lineRule="exact"/>
        <w:ind w:left="656" w:right="0" w:firstLine="0"/>
        <w:jc w:val="left"/>
        <w:rPr>
          <w:rFonts w:ascii="Times New Roman"/>
          <w:sz w:val="11"/>
        </w:rPr>
      </w:pPr>
      <w:r>
        <w:rPr>
          <w:rFonts w:ascii="Times New Roman"/>
          <w:color w:val="030303"/>
          <w:w w:val="105"/>
          <w:sz w:val="11"/>
        </w:rPr>
        <w:t>Q)</w:t>
      </w:r>
      <w:r>
        <w:rPr>
          <w:rFonts w:ascii="Times New Roman"/>
          <w:color w:val="030303"/>
          <w:spacing w:val="97"/>
          <w:w w:val="105"/>
          <w:sz w:val="11"/>
        </w:rPr>
        <w:t> </w:t>
      </w:r>
      <w:r>
        <w:rPr>
          <w:rFonts w:ascii="Times New Roman"/>
          <w:color w:val="030303"/>
          <w:spacing w:val="-5"/>
          <w:w w:val="105"/>
          <w:sz w:val="11"/>
        </w:rPr>
        <w:t>Q</w:t>
      </w:r>
      <w:r>
        <w:rPr>
          <w:rFonts w:ascii="Times New Roman"/>
          <w:color w:val="030303"/>
          <w:spacing w:val="-5"/>
          <w:w w:val="105"/>
          <w:sz w:val="11"/>
        </w:rPr>
        <w:t>)</w:t>
      </w:r>
    </w:p>
    <w:p>
      <w:pPr>
        <w:spacing w:before="5" w:line="240" w:lineRule="auto"/>
        <w:rPr>
          <w:rFonts w:ascii="Times New Roman"/>
          <w:sz w:val="14"/>
        </w:rPr>
      </w:pPr>
      <w:r>
        <w:rPr/>
        <w:br w:type="column"/>
      </w:r>
      <w:r>
        <w:rPr>
          <w:rFonts w:ascii="Times New Roman"/>
          <w:sz w:val="14"/>
        </w:rPr>
      </w:r>
    </w:p>
    <w:p>
      <w:pPr>
        <w:spacing w:before="0" w:line="149" w:lineRule="exact"/>
        <w:ind w:left="499" w:right="0" w:firstLine="0"/>
        <w:jc w:val="left"/>
        <w:rPr>
          <w:b/>
          <w:sz w:val="14"/>
        </w:rPr>
      </w:pPr>
      <w:r>
        <w:rPr>
          <w:b/>
          <w:color w:val="030303"/>
          <w:spacing w:val="-5"/>
          <w:w w:val="75"/>
          <w:sz w:val="14"/>
        </w:rPr>
        <w:t>c,s</w:t>
      </w:r>
    </w:p>
    <w:p>
      <w:pPr>
        <w:spacing w:before="0" w:line="116" w:lineRule="exact"/>
        <w:ind w:left="462" w:right="0" w:firstLine="0"/>
        <w:jc w:val="left"/>
        <w:rPr>
          <w:sz w:val="21"/>
        </w:rPr>
      </w:pPr>
      <w:r>
        <w:rPr>
          <w:color w:val="030303"/>
          <w:spacing w:val="-6"/>
          <w:w w:val="110"/>
          <w:sz w:val="21"/>
        </w:rPr>
        <w:t>"ii</w:t>
      </w:r>
    </w:p>
    <w:p>
      <w:pPr>
        <w:tabs>
          <w:tab w:val="left" w:leader="none" w:pos="3454"/>
        </w:tabs>
        <w:spacing w:before="106" w:line="145" w:lineRule="exact"/>
        <w:ind w:left="2357" w:right="0" w:firstLine="0"/>
        <w:jc w:val="left"/>
        <w:rPr>
          <w:sz w:val="13"/>
        </w:rPr>
      </w:pPr>
      <w:r>
        <w:rPr/>
        <w:br w:type="column"/>
      </w:r>
      <w:r>
        <w:rPr>
          <w:rFonts w:ascii="Times New Roman"/>
          <w:color w:val="030303"/>
          <w:spacing w:val="-5"/>
          <w:w w:val="110"/>
          <w:position w:val="4"/>
          <w:sz w:val="11"/>
        </w:rPr>
        <w:t>Q)</w:t>
      </w:r>
      <w:r>
        <w:rPr>
          <w:rFonts w:ascii="Times New Roman"/>
          <w:color w:val="030303"/>
          <w:position w:val="4"/>
          <w:sz w:val="11"/>
        </w:rPr>
        <w:tab/>
      </w:r>
      <w:r>
        <w:rPr>
          <w:color w:val="030303"/>
          <w:spacing w:val="-5"/>
          <w:w w:val="110"/>
          <w:sz w:val="13"/>
        </w:rPr>
        <w:t>i:,</w:t>
      </w:r>
    </w:p>
    <w:p>
      <w:pPr>
        <w:tabs>
          <w:tab w:val="left" w:leader="none" w:pos="3494"/>
        </w:tabs>
        <w:spacing w:before="0" w:line="160" w:lineRule="exact"/>
        <w:ind w:left="2339" w:right="0" w:firstLine="0"/>
        <w:jc w:val="left"/>
        <w:rPr>
          <w:sz w:val="13"/>
        </w:rPr>
      </w:pPr>
      <w:r>
        <w:rPr>
          <w:color w:val="030303"/>
          <w:spacing w:val="-10"/>
          <w:w w:val="105"/>
          <w:sz w:val="21"/>
        </w:rPr>
        <w:t>E</w:t>
      </w:r>
      <w:r>
        <w:rPr>
          <w:color w:val="030303"/>
          <w:sz w:val="21"/>
        </w:rPr>
        <w:tab/>
      </w:r>
      <w:r>
        <w:rPr>
          <w:color w:val="030303"/>
          <w:spacing w:val="-5"/>
          <w:w w:val="105"/>
          <w:position w:val="1"/>
          <w:sz w:val="13"/>
        </w:rPr>
        <w:t>C:</w:t>
      </w:r>
    </w:p>
    <w:p>
      <w:pPr>
        <w:tabs>
          <w:tab w:val="left" w:leader="none" w:pos="3249"/>
        </w:tabs>
        <w:spacing w:before="0" w:line="20" w:lineRule="exact"/>
        <w:ind w:left="2353" w:right="0" w:firstLine="0"/>
        <w:jc w:val="left"/>
        <w:rPr>
          <w:sz w:val="19"/>
        </w:rPr>
      </w:pPr>
      <w:r>
        <w:rPr>
          <w:color w:val="030303"/>
          <w:spacing w:val="-5"/>
          <w:position w:val="1"/>
          <w:sz w:val="14"/>
        </w:rPr>
        <w:t>&gt;,</w:t>
      </w:r>
      <w:r>
        <w:rPr>
          <w:color w:val="030303"/>
          <w:position w:val="1"/>
          <w:sz w:val="14"/>
        </w:rPr>
        <w:tab/>
      </w:r>
      <w:r>
        <w:rPr>
          <w:color w:val="030303"/>
          <w:sz w:val="13"/>
        </w:rPr>
        <w:t>C:</w:t>
      </w:r>
      <w:r>
        <w:rPr>
          <w:color w:val="030303"/>
          <w:spacing w:val="71"/>
          <w:sz w:val="13"/>
        </w:rPr>
        <w:t> </w:t>
      </w:r>
      <w:r>
        <w:rPr>
          <w:color w:val="030303"/>
          <w:spacing w:val="-5"/>
          <w:sz w:val="19"/>
        </w:rPr>
        <w:t>cu</w:t>
      </w:r>
    </w:p>
    <w:p>
      <w:pPr>
        <w:spacing w:after="0" w:line="20" w:lineRule="exact"/>
        <w:jc w:val="left"/>
        <w:rPr>
          <w:sz w:val="19"/>
        </w:rPr>
        <w:sectPr>
          <w:type w:val="continuous"/>
          <w:pgSz w:w="16830" w:h="11910" w:orient="landscape"/>
          <w:pgMar w:top="1940" w:right="480" w:bottom="280" w:left="740" w:header="0" w:footer="789"/>
          <w:cols w:equalWidth="0" w:num="4">
            <w:col w:w="6563" w:space="40"/>
            <w:col w:w="1034" w:space="39"/>
            <w:col w:w="644" w:space="40"/>
            <w:col w:w="7250"/>
          </w:cols>
        </w:sectPr>
      </w:pPr>
    </w:p>
    <w:p>
      <w:pPr>
        <w:spacing w:before="27" w:line="10" w:lineRule="exact"/>
        <w:ind w:left="0" w:right="0" w:firstLine="0"/>
        <w:jc w:val="right"/>
        <w:rPr>
          <w:sz w:val="15"/>
        </w:rPr>
      </w:pPr>
      <w:r>
        <w:rPr>
          <w:color w:val="030303"/>
          <w:w w:val="110"/>
          <w:sz w:val="10"/>
        </w:rPr>
        <w:t>II)</w:t>
      </w:r>
      <w:r>
        <w:rPr>
          <w:color w:val="030303"/>
          <w:spacing w:val="75"/>
          <w:w w:val="110"/>
          <w:sz w:val="10"/>
        </w:rPr>
        <w:t> </w:t>
      </w:r>
      <w:r>
        <w:rPr>
          <w:color w:val="030303"/>
          <w:spacing w:val="-10"/>
          <w:w w:val="110"/>
          <w:sz w:val="15"/>
        </w:rPr>
        <w:t>0</w:t>
      </w:r>
    </w:p>
    <w:p>
      <w:pPr>
        <w:tabs>
          <w:tab w:val="left" w:leader="none" w:pos="1611"/>
          <w:tab w:val="left" w:leader="none" w:pos="2484"/>
          <w:tab w:val="left" w:leader="none" w:pos="4186"/>
          <w:tab w:val="left" w:leader="none" w:pos="5040"/>
        </w:tabs>
        <w:spacing w:before="0" w:line="37" w:lineRule="exact"/>
        <w:ind w:left="689" w:right="0" w:firstLine="0"/>
        <w:jc w:val="left"/>
        <w:rPr>
          <w:sz w:val="15"/>
        </w:rPr>
      </w:pPr>
      <w:r>
        <w:rPr/>
        <w:br w:type="column"/>
      </w:r>
      <w:r>
        <w:rPr>
          <w:b/>
          <w:color w:val="030303"/>
          <w:w w:val="70"/>
          <w:sz w:val="18"/>
        </w:rPr>
        <w:t>0:::</w:t>
      </w:r>
      <w:r>
        <w:rPr>
          <w:b/>
          <w:color w:val="030303"/>
          <w:spacing w:val="28"/>
          <w:sz w:val="18"/>
        </w:rPr>
        <w:t> </w:t>
      </w:r>
      <w:r>
        <w:rPr>
          <w:color w:val="030303"/>
          <w:spacing w:val="-5"/>
          <w:w w:val="95"/>
          <w:sz w:val="18"/>
        </w:rPr>
        <w:t>...</w:t>
      </w:r>
      <w:r>
        <w:rPr>
          <w:color w:val="030303"/>
          <w:sz w:val="18"/>
        </w:rPr>
        <w:tab/>
      </w:r>
      <w:r>
        <w:rPr>
          <w:color w:val="030303"/>
          <w:spacing w:val="-5"/>
          <w:position w:val="3"/>
          <w:sz w:val="24"/>
        </w:rPr>
        <w:t>a:</w:t>
      </w:r>
      <w:r>
        <w:rPr>
          <w:color w:val="030303"/>
          <w:position w:val="3"/>
          <w:sz w:val="24"/>
        </w:rPr>
        <w:tab/>
      </w:r>
      <w:r>
        <w:rPr>
          <w:color w:val="030303"/>
          <w:spacing w:val="-5"/>
          <w:position w:val="4"/>
          <w:sz w:val="13"/>
        </w:rPr>
        <w:t>C:</w:t>
      </w:r>
      <w:r>
        <w:rPr>
          <w:color w:val="030303"/>
          <w:position w:val="4"/>
          <w:sz w:val="13"/>
        </w:rPr>
        <w:tab/>
      </w:r>
      <w:r>
        <w:rPr>
          <w:b/>
          <w:color w:val="030303"/>
          <w:spacing w:val="-5"/>
          <w:w w:val="90"/>
          <w:position w:val="1"/>
          <w:sz w:val="18"/>
        </w:rPr>
        <w:t>cu</w:t>
      </w:r>
      <w:r>
        <w:rPr>
          <w:b/>
          <w:color w:val="030303"/>
          <w:position w:val="1"/>
          <w:sz w:val="18"/>
        </w:rPr>
        <w:tab/>
      </w:r>
      <w:r>
        <w:rPr>
          <w:color w:val="030303"/>
          <w:w w:val="90"/>
          <w:position w:val="1"/>
          <w:sz w:val="15"/>
        </w:rPr>
        <w:t>0</w:t>
      </w:r>
      <w:r>
        <w:rPr>
          <w:color w:val="030303"/>
          <w:spacing w:val="43"/>
          <w:position w:val="1"/>
          <w:sz w:val="15"/>
        </w:rPr>
        <w:t>  </w:t>
      </w:r>
      <w:r>
        <w:rPr>
          <w:color w:val="030303"/>
          <w:spacing w:val="-4"/>
          <w:position w:val="1"/>
          <w:sz w:val="15"/>
        </w:rPr>
        <w:t>....</w:t>
      </w:r>
    </w:p>
    <w:p>
      <w:pPr>
        <w:spacing w:after="0" w:line="37" w:lineRule="exact"/>
        <w:jc w:val="left"/>
        <w:rPr>
          <w:sz w:val="15"/>
        </w:rPr>
        <w:sectPr>
          <w:type w:val="continuous"/>
          <w:pgSz w:w="16830" w:h="11910" w:orient="landscape"/>
          <w:pgMar w:top="1940" w:right="480" w:bottom="280" w:left="740" w:header="0" w:footer="789"/>
          <w:cols w:equalWidth="0" w:num="2">
            <w:col w:w="6488" w:space="40"/>
            <w:col w:w="9082"/>
          </w:cols>
        </w:sectPr>
      </w:pPr>
    </w:p>
    <w:p>
      <w:pPr>
        <w:tabs>
          <w:tab w:val="left" w:leader="none" w:pos="1065"/>
        </w:tabs>
        <w:spacing w:before="0" w:line="67" w:lineRule="exact"/>
        <w:ind w:left="0" w:right="0" w:firstLine="0"/>
        <w:jc w:val="right"/>
        <w:rPr>
          <w:i/>
          <w:sz w:val="34"/>
        </w:rPr>
      </w:pPr>
      <w:r>
        <w:rPr>
          <w:rFonts w:ascii="Times New Roman"/>
          <w:color w:val="030303"/>
          <w:spacing w:val="-5"/>
          <w:w w:val="75"/>
          <w:position w:val="-2"/>
          <w:sz w:val="28"/>
        </w:rPr>
        <w:t>to</w:t>
      </w:r>
      <w:r>
        <w:rPr>
          <w:rFonts w:ascii="Times New Roman"/>
          <w:color w:val="030303"/>
          <w:position w:val="-2"/>
          <w:sz w:val="28"/>
        </w:rPr>
        <w:tab/>
      </w:r>
      <w:r>
        <w:rPr>
          <w:color w:val="030303"/>
          <w:w w:val="75"/>
          <w:sz w:val="10"/>
        </w:rPr>
        <w:t>II)</w:t>
      </w:r>
      <w:r>
        <w:rPr>
          <w:color w:val="030303"/>
          <w:spacing w:val="38"/>
          <w:sz w:val="10"/>
        </w:rPr>
        <w:t>  </w:t>
      </w:r>
      <w:r>
        <w:rPr>
          <w:i/>
          <w:color w:val="030303"/>
          <w:spacing w:val="-5"/>
          <w:w w:val="75"/>
          <w:sz w:val="34"/>
        </w:rPr>
        <w:t>.a</w:t>
      </w:r>
    </w:p>
    <w:p>
      <w:pPr>
        <w:tabs>
          <w:tab w:val="left" w:leader="none" w:pos="2179"/>
          <w:tab w:val="left" w:leader="none" w:pos="3003"/>
          <w:tab w:val="left" w:leader="none" w:pos="3875"/>
        </w:tabs>
        <w:spacing w:before="39" w:line="28" w:lineRule="exact"/>
        <w:ind w:left="1339" w:right="0" w:firstLine="0"/>
        <w:jc w:val="left"/>
        <w:rPr>
          <w:i/>
          <w:sz w:val="23"/>
        </w:rPr>
      </w:pPr>
      <w:r>
        <w:rPr/>
        <w:br w:type="column"/>
      </w:r>
      <w:r>
        <w:rPr>
          <w:b/>
          <w:color w:val="030303"/>
          <w:spacing w:val="-5"/>
          <w:w w:val="95"/>
          <w:position w:val="8"/>
          <w:sz w:val="14"/>
        </w:rPr>
        <w:t>c,s</w:t>
      </w:r>
      <w:r>
        <w:rPr>
          <w:b/>
          <w:color w:val="030303"/>
          <w:position w:val="8"/>
          <w:sz w:val="14"/>
        </w:rPr>
        <w:tab/>
      </w:r>
      <w:r>
        <w:rPr>
          <w:color w:val="030303"/>
          <w:spacing w:val="-5"/>
          <w:w w:val="125"/>
          <w:position w:val="-5"/>
          <w:sz w:val="23"/>
        </w:rPr>
        <w:t>J!!</w:t>
      </w:r>
      <w:r>
        <w:rPr>
          <w:color w:val="030303"/>
          <w:position w:val="-5"/>
          <w:sz w:val="23"/>
        </w:rPr>
        <w:tab/>
      </w:r>
      <w:r>
        <w:rPr>
          <w:rFonts w:ascii="Times New Roman" w:hAnsi="Times New Roman"/>
          <w:color w:val="030303"/>
          <w:spacing w:val="-5"/>
          <w:w w:val="125"/>
          <w:position w:val="1"/>
          <w:sz w:val="17"/>
        </w:rPr>
        <w:t>0..</w:t>
      </w:r>
      <w:r>
        <w:rPr>
          <w:rFonts w:ascii="Times New Roman" w:hAnsi="Times New Roman"/>
          <w:color w:val="030303"/>
          <w:position w:val="1"/>
          <w:sz w:val="17"/>
        </w:rPr>
        <w:tab/>
      </w:r>
      <w:r>
        <w:rPr>
          <w:color w:val="030303"/>
          <w:spacing w:val="-24"/>
          <w:w w:val="125"/>
          <w:sz w:val="21"/>
        </w:rPr>
        <w:t>·</w:t>
      </w:r>
      <w:r>
        <w:rPr>
          <w:rFonts w:ascii="Times New Roman" w:hAnsi="Times New Roman"/>
          <w:color w:val="030303"/>
          <w:spacing w:val="-24"/>
          <w:w w:val="125"/>
          <w:position w:val="-2"/>
          <w:sz w:val="11"/>
        </w:rPr>
        <w:t>..</w:t>
      </w:r>
      <w:r>
        <w:rPr>
          <w:color w:val="030303"/>
          <w:spacing w:val="-24"/>
          <w:w w:val="125"/>
          <w:sz w:val="21"/>
        </w:rPr>
        <w:t>-</w:t>
      </w:r>
      <w:r>
        <w:rPr>
          <w:rFonts w:ascii="Times New Roman" w:hAnsi="Times New Roman"/>
          <w:color w:val="030303"/>
          <w:spacing w:val="-24"/>
          <w:w w:val="145"/>
          <w:position w:val="-2"/>
          <w:sz w:val="11"/>
        </w:rPr>
        <w:t>..</w:t>
      </w:r>
      <w:r>
        <w:rPr>
          <w:rFonts w:ascii="Times New Roman" w:hAnsi="Times New Roman"/>
          <w:color w:val="030303"/>
          <w:spacing w:val="26"/>
          <w:w w:val="145"/>
          <w:position w:val="-2"/>
          <w:sz w:val="11"/>
        </w:rPr>
        <w:t> </w:t>
      </w:r>
      <w:r>
        <w:rPr>
          <w:color w:val="030303"/>
          <w:spacing w:val="-24"/>
          <w:w w:val="110"/>
          <w:sz w:val="21"/>
        </w:rPr>
        <w:t>c</w:t>
      </w:r>
      <w:r>
        <w:rPr>
          <w:rFonts w:ascii="Times New Roman" w:hAnsi="Times New Roman"/>
          <w:color w:val="030303"/>
          <w:spacing w:val="-24"/>
          <w:w w:val="110"/>
          <w:position w:val="-2"/>
          <w:sz w:val="11"/>
        </w:rPr>
        <w:t>Q</w:t>
      </w:r>
      <w:r>
        <w:rPr>
          <w:color w:val="030303"/>
          <w:spacing w:val="-24"/>
          <w:w w:val="110"/>
          <w:sz w:val="21"/>
        </w:rPr>
        <w:t>:</w:t>
      </w:r>
      <w:r>
        <w:rPr>
          <w:rFonts w:ascii="Times New Roman" w:hAnsi="Times New Roman"/>
          <w:color w:val="030303"/>
          <w:spacing w:val="-24"/>
          <w:w w:val="110"/>
          <w:position w:val="-2"/>
          <w:sz w:val="11"/>
        </w:rPr>
        <w:t>)</w:t>
      </w:r>
      <w:r>
        <w:rPr>
          <w:rFonts w:ascii="Times New Roman" w:hAnsi="Times New Roman"/>
          <w:color w:val="030303"/>
          <w:spacing w:val="20"/>
          <w:w w:val="110"/>
          <w:position w:val="-2"/>
          <w:sz w:val="11"/>
        </w:rPr>
        <w:t> </w:t>
      </w:r>
      <w:r>
        <w:rPr>
          <w:i/>
          <w:color w:val="030303"/>
          <w:spacing w:val="-24"/>
          <w:w w:val="95"/>
          <w:sz w:val="23"/>
        </w:rPr>
        <w:t>en</w:t>
      </w:r>
    </w:p>
    <w:p>
      <w:pPr>
        <w:spacing w:after="0" w:line="28" w:lineRule="exact"/>
        <w:jc w:val="left"/>
        <w:rPr>
          <w:sz w:val="23"/>
        </w:rPr>
        <w:sectPr>
          <w:type w:val="continuous"/>
          <w:pgSz w:w="16830" w:h="11910" w:orient="landscape"/>
          <w:pgMar w:top="1940" w:right="480" w:bottom="280" w:left="740" w:header="0" w:footer="789"/>
          <w:cols w:equalWidth="0" w:num="2">
            <w:col w:w="7634" w:space="40"/>
            <w:col w:w="7936"/>
          </w:cols>
        </w:sectPr>
      </w:pPr>
    </w:p>
    <w:p>
      <w:pPr>
        <w:tabs>
          <w:tab w:val="left" w:leader="none" w:pos="8143"/>
          <w:tab w:val="left" w:leader="none" w:pos="9009"/>
          <w:tab w:val="left" w:leader="none" w:pos="9791"/>
          <w:tab w:val="left" w:leader="none" w:pos="10695"/>
          <w:tab w:val="left" w:leader="none" w:pos="11558"/>
        </w:tabs>
        <w:spacing w:before="0" w:line="353" w:lineRule="exact"/>
        <w:ind w:left="7264" w:right="0" w:firstLine="0"/>
        <w:jc w:val="left"/>
        <w:rPr>
          <w:sz w:val="21"/>
        </w:rPr>
      </w:pPr>
      <w:r>
        <w:rPr/>
        <ve:AlternateContent>
          <ve:Choice Requires="wps">
            <w:drawing>
              <wp:anchor distT="0" distB="0" distL="0" distR="0" simplePos="0" relativeHeight="475897856" behindDoc="1" locked="0" layoutInCell="1" allowOverlap="1">
                <wp:simplePos x="0" y="0"/>
                <wp:positionH relativeFrom="page">
                  <wp:posOffset>4402142</wp:posOffset>
                </wp:positionH>
                <wp:positionV relativeFrom="paragraph">
                  <wp:posOffset>165307</wp:posOffset>
                </wp:positionV>
                <wp:extent cx="4434205" cy="197485"/>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4434205" cy="197485"/>
                        </a:xfrm>
                        <a:prstGeom prst="rect">
                          <a:avLst/>
                        </a:prstGeom>
                      </wps:spPr>
                      <wps:txbx>
                        <w:txbxContent>
                          <w:p>
                            <w:pPr>
                              <w:tabs>
                                <w:tab w:val="left" w:leader="none" w:pos="1061"/>
                                <w:tab w:val="left" w:leader="none" w:pos="2827"/>
                                <w:tab w:val="left" w:leader="none" w:pos="5870"/>
                                <w:tab w:val="left" w:leader="none" w:pos="6872"/>
                              </w:tabs>
                              <w:spacing w:before="0" w:line="310" w:lineRule="exact"/>
                              <w:ind w:left="0" w:right="0" w:firstLine="0"/>
                              <w:jc w:val="left"/>
                              <w:rPr>
                                <w:rFonts w:ascii="Times New Roman"/>
                                <w:sz w:val="11"/>
                              </w:rPr>
                            </w:pPr>
                            <w:r>
                              <w:rPr>
                                <w:color w:val="030303"/>
                                <w:spacing w:val="-4"/>
                                <w:w w:val="190"/>
                                <w:sz w:val="14"/>
                              </w:rPr>
                              <w:t>&gt;,,,</w:t>
                            </w:r>
                            <w:r>
                              <w:rPr>
                                <w:color w:val="030303"/>
                                <w:sz w:val="14"/>
                              </w:rPr>
                              <w:tab/>
                            </w:r>
                            <w:r>
                              <w:rPr>
                                <w:color w:val="030303"/>
                                <w:w w:val="190"/>
                                <w:position w:val="0"/>
                                <w:sz w:val="10"/>
                              </w:rPr>
                              <w:t>II)</w:t>
                            </w:r>
                            <w:r>
                              <w:rPr>
                                <w:color w:val="030303"/>
                                <w:spacing w:val="-12"/>
                                <w:w w:val="190"/>
                                <w:position w:val="0"/>
                                <w:sz w:val="10"/>
                              </w:rPr>
                              <w:t> </w:t>
                            </w:r>
                            <w:r>
                              <w:rPr>
                                <w:color w:val="030303"/>
                                <w:spacing w:val="-5"/>
                                <w:w w:val="190"/>
                                <w:position w:val="0"/>
                                <w:sz w:val="10"/>
                              </w:rPr>
                              <w:t>,,</w:t>
                            </w:r>
                            <w:r>
                              <w:rPr>
                                <w:color w:val="030303"/>
                                <w:position w:val="0"/>
                                <w:sz w:val="10"/>
                              </w:rPr>
                              <w:tab/>
                            </w:r>
                            <w:r>
                              <w:rPr>
                                <w:rFonts w:ascii="Times New Roman"/>
                                <w:color w:val="030303"/>
                                <w:w w:val="115"/>
                                <w:sz w:val="11"/>
                              </w:rPr>
                              <w:t>Q)</w:t>
                            </w:r>
                            <w:r>
                              <w:rPr>
                                <w:rFonts w:ascii="Times New Roman"/>
                                <w:color w:val="030303"/>
                                <w:spacing w:val="77"/>
                                <w:w w:val="115"/>
                                <w:sz w:val="11"/>
                              </w:rPr>
                              <w:t> </w:t>
                            </w:r>
                            <w:r>
                              <w:rPr>
                                <w:rFonts w:ascii="Times New Roman"/>
                                <w:color w:val="030303"/>
                                <w:spacing w:val="-5"/>
                                <w:w w:val="115"/>
                                <w:sz w:val="11"/>
                              </w:rPr>
                              <w:t>Q)</w:t>
                            </w:r>
                            <w:r>
                              <w:rPr>
                                <w:rFonts w:ascii="Times New Roman"/>
                                <w:color w:val="030303"/>
                                <w:sz w:val="11"/>
                              </w:rPr>
                              <w:tab/>
                            </w:r>
                            <w:r>
                              <w:rPr>
                                <w:rFonts w:ascii="Times New Roman"/>
                                <w:color w:val="030303"/>
                                <w:spacing w:val="-10"/>
                                <w:w w:val="115"/>
                                <w:position w:val="-9"/>
                                <w:sz w:val="28"/>
                              </w:rPr>
                              <w:t>o</w:t>
                            </w:r>
                            <w:r>
                              <w:rPr>
                                <w:rFonts w:ascii="Times New Roman"/>
                                <w:color w:val="030303"/>
                                <w:position w:val="-9"/>
                                <w:sz w:val="28"/>
                              </w:rPr>
                              <w:tab/>
                            </w:r>
                            <w:r>
                              <w:rPr>
                                <w:rFonts w:ascii="Times New Roman"/>
                                <w:color w:val="030303"/>
                                <w:spacing w:val="-15"/>
                                <w:w w:val="110"/>
                                <w:position w:val="-2"/>
                                <w:sz w:val="11"/>
                              </w:rPr>
                              <w:t>Q)</w:t>
                            </w:r>
                          </w:p>
                        </w:txbxContent>
                      </wps:txbx>
                      <wps:bodyPr wrap="square" lIns="0" tIns="0" rIns="0" bIns="0" rtlCol="0">
                        <a:noAutofit/>
                      </wps:bodyPr>
                    </wps:wsp>
                  </a:graphicData>
                </a:graphic>
              </wp:anchor>
            </w:drawing>
          </ve:Choice>
          <ve:Fallback>
            <w:pict>
              <v:shape id="docshape173" style="position:absolute;margin-left:346.625397pt;margin-top:13.016349pt;width:349.15pt;height:15.55pt;mso-position-horizontal-relative:page;mso-position-vertical-relative:paragraph;z-index:-27418624" filled="false" stroked="false" type="#_x0000_t202">
                <v:textbox inset="0,0,0,0">
                  <w:txbxContent>
                    <w:p>
                      <w:pPr>
                        <w:tabs>
                          <w:tab w:val="left" w:leader="none" w:pos="1061"/>
                          <w:tab w:val="left" w:leader="none" w:pos="2827"/>
                          <w:tab w:val="left" w:leader="none" w:pos="5870"/>
                          <w:tab w:val="left" w:leader="none" w:pos="6872"/>
                        </w:tabs>
                        <w:spacing w:before="0" w:line="310" w:lineRule="exact"/>
                        <w:ind w:left="0" w:right="0" w:firstLine="0"/>
                        <w:jc w:val="left"/>
                        <w:rPr>
                          <w:rFonts w:ascii="Times New Roman"/>
                          <w:sz w:val="11"/>
                        </w:rPr>
                      </w:pPr>
                      <w:r>
                        <w:rPr>
                          <w:color w:val="030303"/>
                          <w:spacing w:val="-4"/>
                          <w:w w:val="190"/>
                          <w:sz w:val="14"/>
                        </w:rPr>
                        <w:t>&gt;,,,</w:t>
                      </w:r>
                      <w:r>
                        <w:rPr>
                          <w:color w:val="030303"/>
                          <w:sz w:val="14"/>
                        </w:rPr>
                        <w:tab/>
                      </w:r>
                      <w:r>
                        <w:rPr>
                          <w:color w:val="030303"/>
                          <w:w w:val="190"/>
                          <w:position w:val="0"/>
                          <w:sz w:val="10"/>
                        </w:rPr>
                        <w:t>II)</w:t>
                      </w:r>
                      <w:r>
                        <w:rPr>
                          <w:color w:val="030303"/>
                          <w:spacing w:val="-12"/>
                          <w:w w:val="190"/>
                          <w:position w:val="0"/>
                          <w:sz w:val="10"/>
                        </w:rPr>
                        <w:t> </w:t>
                      </w:r>
                      <w:r>
                        <w:rPr>
                          <w:color w:val="030303"/>
                          <w:spacing w:val="-5"/>
                          <w:w w:val="190"/>
                          <w:position w:val="0"/>
                          <w:sz w:val="10"/>
                        </w:rPr>
                        <w:t>,,</w:t>
                      </w:r>
                      <w:r>
                        <w:rPr>
                          <w:color w:val="030303"/>
                          <w:position w:val="0"/>
                          <w:sz w:val="10"/>
                        </w:rPr>
                        <w:tab/>
                      </w:r>
                      <w:r>
                        <w:rPr>
                          <w:rFonts w:ascii="Times New Roman"/>
                          <w:color w:val="030303"/>
                          <w:w w:val="115"/>
                          <w:sz w:val="11"/>
                        </w:rPr>
                        <w:t>Q)</w:t>
                      </w:r>
                      <w:r>
                        <w:rPr>
                          <w:rFonts w:ascii="Times New Roman"/>
                          <w:color w:val="030303"/>
                          <w:spacing w:val="77"/>
                          <w:w w:val="115"/>
                          <w:sz w:val="11"/>
                        </w:rPr>
                        <w:t> </w:t>
                      </w:r>
                      <w:r>
                        <w:rPr>
                          <w:rFonts w:ascii="Times New Roman"/>
                          <w:color w:val="030303"/>
                          <w:spacing w:val="-5"/>
                          <w:w w:val="115"/>
                          <w:sz w:val="11"/>
                        </w:rPr>
                        <w:t>Q)</w:t>
                      </w:r>
                      <w:r>
                        <w:rPr>
                          <w:rFonts w:ascii="Times New Roman"/>
                          <w:color w:val="030303"/>
                          <w:sz w:val="11"/>
                        </w:rPr>
                        <w:tab/>
                      </w:r>
                      <w:r>
                        <w:rPr>
                          <w:rFonts w:ascii="Times New Roman"/>
                          <w:color w:val="030303"/>
                          <w:spacing w:val="-10"/>
                          <w:w w:val="115"/>
                          <w:position w:val="-9"/>
                          <w:sz w:val="28"/>
                        </w:rPr>
                        <w:t>o</w:t>
                      </w:r>
                      <w:r>
                        <w:rPr>
                          <w:rFonts w:ascii="Times New Roman"/>
                          <w:color w:val="030303"/>
                          <w:position w:val="-9"/>
                          <w:sz w:val="28"/>
                        </w:rPr>
                        <w:tab/>
                      </w:r>
                      <w:r>
                        <w:rPr>
                          <w:rFonts w:ascii="Times New Roman"/>
                          <w:color w:val="030303"/>
                          <w:spacing w:val="-15"/>
                          <w:w w:val="110"/>
                          <w:position w:val="-2"/>
                          <w:sz w:val="11"/>
                        </w:rPr>
                        <w:t>Q)</w:t>
                      </w:r>
                    </w:p>
                  </w:txbxContent>
                </v:textbox>
                <w10:wrap type="none"/>
              </v:shape>
            </w:pict>
          </ve:Fallback>
        </ve:AlternateContent>
      </w:r>
      <w:r>
        <w:rPr>
          <w:rFonts w:ascii="Times New Roman" w:hAnsi="Times New Roman"/>
          <w:color w:val="030303"/>
          <w:position w:val="1"/>
          <w:sz w:val="11"/>
        </w:rPr>
        <w:t>Q)</w:t>
      </w:r>
      <w:r>
        <w:rPr>
          <w:rFonts w:ascii="Times New Roman" w:hAnsi="Times New Roman"/>
          <w:color w:val="030303"/>
          <w:spacing w:val="52"/>
          <w:position w:val="1"/>
          <w:sz w:val="11"/>
        </w:rPr>
        <w:t> </w:t>
      </w:r>
      <w:r>
        <w:rPr>
          <w:rFonts w:ascii="Times New Roman" w:hAnsi="Times New Roman"/>
          <w:color w:val="030303"/>
          <w:spacing w:val="-5"/>
          <w:position w:val="1"/>
          <w:sz w:val="11"/>
        </w:rPr>
        <w:t>·-</w:t>
      </w:r>
      <w:r>
        <w:rPr>
          <w:rFonts w:ascii="Times New Roman" w:hAnsi="Times New Roman"/>
          <w:color w:val="030303"/>
          <w:position w:val="1"/>
          <w:sz w:val="11"/>
        </w:rPr>
        <w:tab/>
      </w:r>
      <w:r>
        <w:rPr>
          <w:color w:val="030303"/>
          <w:spacing w:val="-10"/>
          <w:sz w:val="15"/>
        </w:rPr>
        <w:t>0</w:t>
      </w:r>
      <w:r>
        <w:rPr>
          <w:color w:val="030303"/>
          <w:sz w:val="15"/>
        </w:rPr>
        <w:tab/>
      </w:r>
      <w:r>
        <w:rPr>
          <w:color w:val="030303"/>
          <w:sz w:val="15"/>
          <w:vertAlign w:val="superscript"/>
        </w:rPr>
        <w:t>II</w:t>
      </w:r>
      <w:r>
        <w:rPr>
          <w:color w:val="030303"/>
          <w:sz w:val="15"/>
          <w:vertAlign w:val="superscript"/>
        </w:rPr>
        <w:t>)</w:t>
      </w:r>
      <w:r>
        <w:rPr>
          <w:color w:val="030303"/>
          <w:spacing w:val="37"/>
          <w:sz w:val="15"/>
          <w:vertAlign w:val="baseline"/>
        </w:rPr>
        <w:t>  </w:t>
      </w:r>
      <w:r>
        <w:rPr>
          <w:color w:val="030303"/>
          <w:spacing w:val="-5"/>
          <w:sz w:val="15"/>
          <w:vertAlign w:val="superscript"/>
        </w:rPr>
        <w:t>II</w:t>
      </w:r>
      <w:r>
        <w:rPr>
          <w:color w:val="030303"/>
          <w:spacing w:val="-5"/>
          <w:sz w:val="15"/>
          <w:vertAlign w:val="superscript"/>
        </w:rPr>
        <w:t>)</w:t>
      </w:r>
      <w:r>
        <w:rPr>
          <w:color w:val="030303"/>
          <w:sz w:val="15"/>
          <w:vertAlign w:val="baseline"/>
        </w:rPr>
        <w:tab/>
      </w:r>
      <w:r>
        <w:rPr>
          <w:color w:val="030303"/>
          <w:w w:val="85"/>
          <w:position w:val="2"/>
          <w:sz w:val="15"/>
          <w:vertAlign w:val="baseline"/>
        </w:rPr>
        <w:t>c,s</w:t>
      </w:r>
      <w:r>
        <w:rPr>
          <w:color w:val="030303"/>
          <w:spacing w:val="43"/>
          <w:position w:val="2"/>
          <w:sz w:val="15"/>
          <w:vertAlign w:val="baseline"/>
        </w:rPr>
        <w:t> </w:t>
      </w:r>
      <w:r>
        <w:rPr>
          <w:color w:val="030303"/>
          <w:spacing w:val="-5"/>
          <w:position w:val="2"/>
          <w:sz w:val="13"/>
          <w:vertAlign w:val="baseline"/>
        </w:rPr>
        <w:t>C:</w:t>
      </w:r>
      <w:r>
        <w:rPr>
          <w:color w:val="030303"/>
          <w:position w:val="2"/>
          <w:sz w:val="13"/>
          <w:vertAlign w:val="baseline"/>
        </w:rPr>
        <w:tab/>
      </w:r>
      <w:r>
        <w:rPr>
          <w:color w:val="030303"/>
          <w:spacing w:val="-5"/>
          <w:w w:val="80"/>
          <w:position w:val="7"/>
          <w:sz w:val="34"/>
          <w:vertAlign w:val="baseline"/>
        </w:rPr>
        <w:t>...</w:t>
      </w:r>
      <w:r>
        <w:rPr>
          <w:color w:val="030303"/>
          <w:position w:val="7"/>
          <w:sz w:val="34"/>
          <w:vertAlign w:val="baseline"/>
        </w:rPr>
        <w:tab/>
      </w:r>
      <w:r>
        <w:rPr>
          <w:color w:val="030303"/>
          <w:w w:val="80"/>
          <w:sz w:val="21"/>
          <w:vertAlign w:val="baseline"/>
        </w:rPr>
        <w:t>.!:!!</w:t>
      </w:r>
      <w:r>
        <w:rPr>
          <w:color w:val="030303"/>
          <w:spacing w:val="-3"/>
          <w:w w:val="80"/>
          <w:sz w:val="21"/>
          <w:vertAlign w:val="baseline"/>
        </w:rPr>
        <w:t> </w:t>
      </w:r>
      <w:r>
        <w:rPr>
          <w:color w:val="030303"/>
          <w:w w:val="80"/>
          <w:sz w:val="21"/>
          <w:vertAlign w:val="baseline"/>
        </w:rPr>
        <w:t>E</w:t>
      </w:r>
      <w:r>
        <w:rPr>
          <w:color w:val="030303"/>
          <w:spacing w:val="42"/>
          <w:sz w:val="21"/>
          <w:vertAlign w:val="baseline"/>
        </w:rPr>
        <w:t> </w:t>
      </w:r>
      <w:r>
        <w:rPr>
          <w:color w:val="030303"/>
          <w:spacing w:val="-4"/>
          <w:w w:val="80"/>
          <w:sz w:val="21"/>
          <w:vertAlign w:val="baseline"/>
        </w:rPr>
        <w:t>:::,</w:t>
      </w:r>
    </w:p>
    <w:p>
      <w:pPr>
        <w:tabs>
          <w:tab w:val="left" w:leader="none" w:pos="9753"/>
          <w:tab w:val="left" w:leader="none" w:pos="10680"/>
          <w:tab w:val="left" w:leader="none" w:pos="11604"/>
          <w:tab w:val="left" w:leader="dot" w:pos="14052"/>
        </w:tabs>
        <w:spacing w:before="0" w:line="47" w:lineRule="exact"/>
        <w:ind w:left="8185" w:right="0" w:firstLine="0"/>
        <w:jc w:val="left"/>
        <w:rPr>
          <w:sz w:val="15"/>
        </w:rPr>
      </w:pPr>
      <w:r>
        <w:rPr>
          <w:rFonts w:ascii="Times New Roman"/>
          <w:color w:val="030303"/>
          <w:spacing w:val="-5"/>
          <w:w w:val="185"/>
          <w:position w:val="2"/>
          <w:sz w:val="16"/>
        </w:rPr>
        <w:t>0.</w:t>
      </w:r>
      <w:r>
        <w:rPr>
          <w:rFonts w:ascii="Times New Roman"/>
          <w:color w:val="030303"/>
          <w:position w:val="2"/>
          <w:sz w:val="16"/>
        </w:rPr>
        <w:tab/>
      </w:r>
      <w:r>
        <w:rPr>
          <w:rFonts w:ascii="Times New Roman"/>
          <w:color w:val="030303"/>
          <w:w w:val="105"/>
          <w:position w:val="2"/>
          <w:sz w:val="17"/>
        </w:rPr>
        <w:t>0..</w:t>
      </w:r>
      <w:r>
        <w:rPr>
          <w:rFonts w:ascii="Times New Roman"/>
          <w:color w:val="030303"/>
          <w:spacing w:val="66"/>
          <w:w w:val="105"/>
          <w:position w:val="2"/>
          <w:sz w:val="17"/>
        </w:rPr>
        <w:t> </w:t>
      </w:r>
      <w:r>
        <w:rPr>
          <w:rFonts w:ascii="Times New Roman"/>
          <w:color w:val="030303"/>
          <w:spacing w:val="-5"/>
          <w:w w:val="105"/>
          <w:position w:val="2"/>
          <w:sz w:val="11"/>
        </w:rPr>
        <w:t>Q)</w:t>
      </w:r>
      <w:r>
        <w:rPr>
          <w:rFonts w:ascii="Times New Roman"/>
          <w:color w:val="030303"/>
          <w:position w:val="2"/>
          <w:sz w:val="11"/>
        </w:rPr>
        <w:tab/>
      </w:r>
      <w:r>
        <w:rPr>
          <w:color w:val="030303"/>
          <w:spacing w:val="-5"/>
          <w:w w:val="85"/>
          <w:sz w:val="24"/>
        </w:rPr>
        <w:t>4!!</w:t>
      </w:r>
      <w:r>
        <w:rPr>
          <w:color w:val="030303"/>
          <w:sz w:val="24"/>
        </w:rPr>
        <w:tab/>
      </w:r>
      <w:r>
        <w:rPr>
          <w:i/>
          <w:color w:val="030303"/>
          <w:spacing w:val="-10"/>
          <w:w w:val="85"/>
          <w:sz w:val="19"/>
        </w:rPr>
        <w:t>u</w:t>
      </w:r>
      <w:r>
        <w:rPr>
          <w:i/>
          <w:color w:val="030303"/>
          <w:sz w:val="19"/>
        </w:rPr>
        <w:tab/>
      </w:r>
      <w:r>
        <w:rPr>
          <w:color w:val="030303"/>
          <w:spacing w:val="-10"/>
          <w:w w:val="105"/>
          <w:sz w:val="15"/>
        </w:rPr>
        <w:t>J</w:t>
      </w:r>
    </w:p>
    <w:p>
      <w:pPr>
        <w:spacing w:after="0" w:line="47" w:lineRule="exact"/>
        <w:jc w:val="left"/>
        <w:rPr>
          <w:sz w:val="15"/>
        </w:rPr>
        <w:sectPr>
          <w:type w:val="continuous"/>
          <w:pgSz w:w="16830" w:h="11910" w:orient="landscape"/>
          <w:pgMar w:top="1940" w:right="480" w:bottom="280" w:left="740" w:header="0" w:footer="789"/>
        </w:sectPr>
      </w:pPr>
    </w:p>
    <w:p>
      <w:pPr>
        <w:tabs>
          <w:tab w:val="left" w:leader="none" w:pos="7214"/>
          <w:tab w:val="left" w:leader="none" w:pos="7511"/>
          <w:tab w:val="left" w:leader="none" w:pos="8968"/>
        </w:tabs>
        <w:spacing w:before="0" w:line="36" w:lineRule="exact"/>
        <w:ind w:left="6152" w:right="0" w:firstLine="0"/>
        <w:jc w:val="left"/>
        <w:rPr>
          <w:i/>
          <w:sz w:val="19"/>
        </w:rPr>
      </w:pPr>
      <w:r>
        <w:rPr>
          <w:color w:val="030303"/>
          <w:spacing w:val="-2"/>
          <w:w w:val="110"/>
          <w:position w:val="5"/>
          <w:sz w:val="15"/>
        </w:rPr>
        <w:t>0</w:t>
      </w:r>
      <w:r>
        <w:rPr>
          <w:color w:val="030303"/>
          <w:spacing w:val="-2"/>
          <w:w w:val="110"/>
          <w:position w:val="3"/>
          <w:sz w:val="21"/>
        </w:rPr>
        <w:t>_...</w:t>
      </w:r>
      <w:r>
        <w:rPr>
          <w:rFonts w:ascii="Times New Roman" w:hAnsi="Times New Roman"/>
          <w:color w:val="030303"/>
          <w:spacing w:val="-2"/>
          <w:w w:val="110"/>
          <w:position w:val="5"/>
          <w:sz w:val="11"/>
        </w:rPr>
        <w:t>Q</w:t>
      </w:r>
      <w:r>
        <w:rPr>
          <w:color w:val="030303"/>
          <w:spacing w:val="-2"/>
          <w:w w:val="110"/>
          <w:position w:val="3"/>
          <w:sz w:val="21"/>
        </w:rPr>
        <w:t>,</w:t>
      </w:r>
      <w:r>
        <w:rPr>
          <w:rFonts w:ascii="Times New Roman" w:hAnsi="Times New Roman"/>
          <w:color w:val="030303"/>
          <w:spacing w:val="-2"/>
          <w:w w:val="110"/>
          <w:position w:val="5"/>
          <w:sz w:val="11"/>
        </w:rPr>
        <w:t>)</w:t>
      </w:r>
      <w:r>
        <w:rPr>
          <w:rFonts w:ascii="Times New Roman" w:hAnsi="Times New Roman"/>
          <w:color w:val="030303"/>
          <w:position w:val="5"/>
          <w:sz w:val="11"/>
        </w:rPr>
        <w:tab/>
      </w:r>
      <w:r>
        <w:rPr>
          <w:color w:val="030303"/>
          <w:spacing w:val="-5"/>
          <w:w w:val="110"/>
          <w:sz w:val="13"/>
        </w:rPr>
        <w:t>·-</w:t>
      </w:r>
      <w:r>
        <w:rPr>
          <w:color w:val="030303"/>
          <w:sz w:val="13"/>
        </w:rPr>
        <w:tab/>
      </w:r>
      <w:r>
        <w:rPr>
          <w:color w:val="030303"/>
          <w:spacing w:val="-5"/>
          <w:w w:val="110"/>
          <w:sz w:val="13"/>
        </w:rPr>
        <w:t>C:</w:t>
      </w:r>
      <w:r>
        <w:rPr>
          <w:color w:val="030303"/>
          <w:sz w:val="13"/>
        </w:rPr>
        <w:tab/>
      </w:r>
      <w:r>
        <w:rPr>
          <w:color w:val="030303"/>
          <w:w w:val="110"/>
          <w:position w:val="1"/>
          <w:sz w:val="30"/>
        </w:rPr>
        <w:t>=</w:t>
      </w:r>
      <w:r>
        <w:rPr>
          <w:color w:val="030303"/>
          <w:spacing w:val="8"/>
          <w:w w:val="110"/>
          <w:position w:val="1"/>
          <w:sz w:val="30"/>
        </w:rPr>
        <w:t> </w:t>
      </w:r>
      <w:r>
        <w:rPr>
          <w:i/>
          <w:color w:val="030303"/>
          <w:spacing w:val="-10"/>
          <w:w w:val="110"/>
          <w:position w:val="1"/>
          <w:sz w:val="19"/>
        </w:rPr>
        <w:t>u</w:t>
      </w:r>
    </w:p>
    <w:p>
      <w:pPr>
        <w:spacing w:before="13" w:line="72" w:lineRule="exact"/>
        <w:ind w:left="1298" w:right="0" w:firstLine="0"/>
        <w:jc w:val="left"/>
        <w:rPr>
          <w:sz w:val="10"/>
        </w:rPr>
      </w:pPr>
      <w:r>
        <w:rPr/>
        <w:br w:type="column"/>
      </w:r>
      <w:r>
        <w:rPr>
          <w:color w:val="030303"/>
          <w:spacing w:val="-5"/>
          <w:w w:val="110"/>
          <w:sz w:val="10"/>
        </w:rPr>
        <w:t>II)</w:t>
      </w:r>
    </w:p>
    <w:p>
      <w:pPr>
        <w:spacing w:after="0" w:line="72" w:lineRule="exact"/>
        <w:jc w:val="left"/>
        <w:rPr>
          <w:sz w:val="10"/>
        </w:rPr>
        <w:sectPr>
          <w:type w:val="continuous"/>
          <w:pgSz w:w="16830" w:h="11910" w:orient="landscape"/>
          <w:pgMar w:top="1940" w:right="480" w:bottom="280" w:left="740" w:header="0" w:footer="789"/>
          <w:cols w:equalWidth="0" w:num="2">
            <w:col w:w="9379" w:space="40"/>
            <w:col w:w="6191"/>
          </w:cols>
        </w:sectPr>
      </w:pPr>
    </w:p>
    <w:p>
      <w:pPr>
        <w:spacing w:before="0" w:line="67" w:lineRule="exact"/>
        <w:ind w:left="0" w:right="0" w:firstLine="0"/>
        <w:jc w:val="right"/>
        <w:rPr>
          <w:sz w:val="15"/>
        </w:rPr>
      </w:pPr>
      <w:r>
        <w:rPr>
          <w:rFonts w:ascii="Times New Roman"/>
          <w:color w:val="030303"/>
          <w:sz w:val="16"/>
        </w:rPr>
        <w:t>0.</w:t>
      </w:r>
      <w:r>
        <w:rPr>
          <w:rFonts w:ascii="Times New Roman"/>
          <w:color w:val="030303"/>
          <w:spacing w:val="68"/>
          <w:w w:val="150"/>
          <w:sz w:val="16"/>
        </w:rPr>
        <w:t> </w:t>
      </w:r>
      <w:r>
        <w:rPr>
          <w:color w:val="030303"/>
          <w:spacing w:val="-5"/>
          <w:w w:val="95"/>
          <w:sz w:val="15"/>
        </w:rPr>
        <w:t>c,s</w:t>
      </w:r>
    </w:p>
    <w:p>
      <w:pPr>
        <w:spacing w:before="6" w:line="15" w:lineRule="exact"/>
        <w:ind w:left="642" w:right="0" w:firstLine="0"/>
        <w:jc w:val="left"/>
        <w:rPr>
          <w:sz w:val="16"/>
        </w:rPr>
      </w:pPr>
      <w:r>
        <w:rPr/>
        <w:br w:type="column"/>
      </w:r>
      <w:r>
        <w:rPr>
          <w:color w:val="030303"/>
          <w:w w:val="105"/>
          <w:sz w:val="21"/>
        </w:rPr>
        <w:t>E</w:t>
      </w:r>
      <w:r>
        <w:rPr>
          <w:color w:val="030303"/>
          <w:spacing w:val="51"/>
          <w:w w:val="105"/>
          <w:sz w:val="21"/>
        </w:rPr>
        <w:t> </w:t>
      </w:r>
      <w:r>
        <w:rPr>
          <w:color w:val="030303"/>
          <w:spacing w:val="-5"/>
          <w:w w:val="105"/>
          <w:sz w:val="16"/>
        </w:rPr>
        <w:t>a</w:t>
      </w:r>
      <w:r>
        <w:rPr>
          <w:color w:val="030303"/>
          <w:spacing w:val="-5"/>
          <w:w w:val="105"/>
          <w:sz w:val="16"/>
        </w:rPr>
        <w:t>,</w:t>
      </w:r>
    </w:p>
    <w:p>
      <w:pPr>
        <w:spacing w:before="0" w:line="21" w:lineRule="exact"/>
        <w:ind w:left="491" w:right="0" w:firstLine="0"/>
        <w:jc w:val="left"/>
        <w:rPr>
          <w:sz w:val="22"/>
        </w:rPr>
      </w:pPr>
      <w:r>
        <w:rPr/>
        <w:br w:type="column"/>
      </w:r>
      <w:r>
        <w:rPr>
          <w:color w:val="030303"/>
          <w:w w:val="95"/>
          <w:sz w:val="10"/>
        </w:rPr>
        <w:t>II)</w:t>
      </w:r>
      <w:r>
        <w:rPr>
          <w:color w:val="030303"/>
          <w:spacing w:val="89"/>
          <w:w w:val="150"/>
          <w:sz w:val="10"/>
        </w:rPr>
        <w:t> </w:t>
      </w:r>
      <w:r>
        <w:rPr>
          <w:color w:val="030303"/>
          <w:spacing w:val="-11"/>
          <w:w w:val="60"/>
          <w:sz w:val="22"/>
        </w:rPr>
        <w:t>J!</w:t>
      </w:r>
      <w:r>
        <w:rPr>
          <w:color w:val="030303"/>
          <w:spacing w:val="-11"/>
          <w:w w:val="60"/>
          <w:sz w:val="22"/>
        </w:rPr>
        <w:t>3</w:t>
      </w:r>
    </w:p>
    <w:p>
      <w:pPr>
        <w:spacing w:before="0" w:line="21" w:lineRule="exact"/>
        <w:ind w:left="418" w:right="0" w:firstLine="0"/>
        <w:jc w:val="left"/>
        <w:rPr>
          <w:sz w:val="21"/>
        </w:rPr>
      </w:pPr>
      <w:r>
        <w:rPr/>
        <w:br w:type="column"/>
      </w:r>
      <w:r>
        <w:rPr>
          <w:color w:val="030303"/>
          <w:spacing w:val="-4"/>
          <w:w w:val="115"/>
          <w:sz w:val="21"/>
        </w:rPr>
        <w:t>o.·-</w:t>
      </w:r>
    </w:p>
    <w:p>
      <w:pPr>
        <w:spacing w:before="0" w:line="172" w:lineRule="exact"/>
        <w:ind w:left="309" w:right="0" w:firstLine="0"/>
        <w:jc w:val="left"/>
        <w:rPr>
          <w:sz w:val="21"/>
        </w:rPr>
      </w:pPr>
      <w:r>
        <w:rPr/>
        <w:br w:type="column"/>
      </w:r>
      <w:r>
        <w:rPr>
          <w:color w:val="030303"/>
          <w:w w:val="110"/>
          <w:sz w:val="21"/>
        </w:rPr>
        <w:t>,,</w:t>
      </w:r>
      <w:r>
        <w:rPr>
          <w:color w:val="030303"/>
          <w:spacing w:val="70"/>
          <w:w w:val="150"/>
          <w:sz w:val="21"/>
        </w:rPr>
        <w:t> </w:t>
      </w:r>
      <w:r>
        <w:rPr>
          <w:color w:val="030303"/>
          <w:spacing w:val="-10"/>
          <w:w w:val="110"/>
          <w:sz w:val="21"/>
        </w:rPr>
        <w:t>E</w:t>
      </w:r>
    </w:p>
    <w:p>
      <w:pPr>
        <w:spacing w:before="0" w:line="151" w:lineRule="exact"/>
        <w:ind w:left="0" w:right="0" w:firstLine="0"/>
        <w:jc w:val="right"/>
        <w:rPr>
          <w:sz w:val="13"/>
        </w:rPr>
      </w:pPr>
      <w:r>
        <w:rPr>
          <w:color w:val="030303"/>
          <w:spacing w:val="-5"/>
          <w:w w:val="105"/>
          <w:sz w:val="13"/>
        </w:rPr>
        <w:t>C:</w:t>
      </w:r>
    </w:p>
    <w:p>
      <w:pPr>
        <w:tabs>
          <w:tab w:val="left" w:leader="none" w:pos="2160"/>
          <w:tab w:val="left" w:leader="none" w:pos="3082"/>
        </w:tabs>
        <w:spacing w:before="0" w:line="21" w:lineRule="exact"/>
        <w:ind w:left="715" w:right="0" w:firstLine="0"/>
        <w:jc w:val="left"/>
        <w:rPr>
          <w:sz w:val="14"/>
        </w:rPr>
      </w:pPr>
      <w:r>
        <w:rPr/>
        <w:br w:type="column"/>
      </w:r>
      <w:r>
        <w:rPr>
          <w:rFonts w:ascii="Times New Roman" w:hAnsi="Times New Roman"/>
          <w:color w:val="030303"/>
          <w:w w:val="105"/>
          <w:position w:val="1"/>
          <w:sz w:val="11"/>
        </w:rPr>
        <w:t>Q)</w:t>
      </w:r>
      <w:r>
        <w:rPr>
          <w:rFonts w:ascii="Times New Roman" w:hAnsi="Times New Roman"/>
          <w:color w:val="030303"/>
          <w:spacing w:val="48"/>
          <w:w w:val="105"/>
          <w:position w:val="1"/>
          <w:sz w:val="11"/>
        </w:rPr>
        <w:t> </w:t>
      </w:r>
      <w:r>
        <w:rPr>
          <w:rFonts w:ascii="Times New Roman" w:hAnsi="Times New Roman"/>
          <w:color w:val="030303"/>
          <w:w w:val="105"/>
          <w:position w:val="1"/>
          <w:sz w:val="11"/>
        </w:rPr>
        <w:t>·-</w:t>
      </w:r>
      <w:r>
        <w:rPr>
          <w:rFonts w:ascii="Times New Roman" w:hAnsi="Times New Roman"/>
          <w:color w:val="030303"/>
          <w:spacing w:val="56"/>
          <w:w w:val="105"/>
          <w:position w:val="1"/>
          <w:sz w:val="11"/>
        </w:rPr>
        <w:t>  </w:t>
      </w:r>
      <w:r>
        <w:rPr>
          <w:color w:val="030303"/>
          <w:spacing w:val="-7"/>
          <w:w w:val="105"/>
          <w:position w:val="1"/>
          <w:sz w:val="14"/>
        </w:rPr>
        <w:t>LL</w:t>
      </w:r>
      <w:r>
        <w:rPr>
          <w:color w:val="030303"/>
          <w:position w:val="1"/>
          <w:sz w:val="14"/>
        </w:rPr>
        <w:tab/>
      </w:r>
      <w:r>
        <w:rPr>
          <w:color w:val="030303"/>
          <w:spacing w:val="-10"/>
          <w:w w:val="105"/>
          <w:sz w:val="21"/>
        </w:rPr>
        <w:t>E</w:t>
      </w:r>
      <w:r>
        <w:rPr>
          <w:color w:val="030303"/>
          <w:sz w:val="21"/>
        </w:rPr>
        <w:tab/>
      </w:r>
      <w:r>
        <w:rPr>
          <w:color w:val="030303"/>
          <w:spacing w:val="-5"/>
          <w:w w:val="105"/>
          <w:sz w:val="14"/>
        </w:rPr>
        <w:t>&lt;(</w:t>
      </w:r>
    </w:p>
    <w:p>
      <w:pPr>
        <w:spacing w:after="0" w:line="21" w:lineRule="exact"/>
        <w:jc w:val="left"/>
        <w:rPr>
          <w:sz w:val="14"/>
        </w:rPr>
        <w:sectPr>
          <w:type w:val="continuous"/>
          <w:pgSz w:w="16830" w:h="11910" w:orient="landscape"/>
          <w:pgMar w:top="1940" w:right="480" w:bottom="280" w:left="740" w:header="0" w:footer="789"/>
          <w:cols w:equalWidth="0" w:num="6">
            <w:col w:w="6570" w:space="40"/>
            <w:col w:w="1042" w:space="39"/>
            <w:col w:w="867" w:space="40"/>
            <w:col w:w="795" w:space="39"/>
            <w:col w:w="1425" w:space="40"/>
            <w:col w:w="4713"/>
          </w:cols>
        </w:sectPr>
      </w:pPr>
    </w:p>
    <w:p>
      <w:pPr>
        <w:tabs>
          <w:tab w:val="left" w:leader="none" w:pos="920"/>
          <w:tab w:val="left" w:leader="none" w:pos="1753"/>
          <w:tab w:val="left" w:leader="none" w:pos="2484"/>
        </w:tabs>
        <w:spacing w:before="0" w:line="219" w:lineRule="exact"/>
        <w:ind w:left="0" w:right="0" w:firstLine="0"/>
        <w:jc w:val="right"/>
        <w:rPr>
          <w:sz w:val="14"/>
        </w:rPr>
      </w:pPr>
      <w:r>
        <w:rPr>
          <w:rFonts w:ascii="Times New Roman"/>
          <w:color w:val="030303"/>
          <w:w w:val="95"/>
          <w:sz w:val="11"/>
        </w:rPr>
        <w:t>Q)</w:t>
      </w:r>
      <w:r>
        <w:rPr>
          <w:rFonts w:ascii="Times New Roman"/>
          <w:color w:val="030303"/>
          <w:spacing w:val="37"/>
          <w:sz w:val="11"/>
        </w:rPr>
        <w:t>  </w:t>
      </w:r>
      <w:r>
        <w:rPr>
          <w:rFonts w:ascii="Times New Roman"/>
          <w:color w:val="030303"/>
          <w:spacing w:val="-5"/>
          <w:w w:val="95"/>
          <w:sz w:val="16"/>
        </w:rPr>
        <w:t>0.</w:t>
      </w:r>
      <w:r>
        <w:rPr>
          <w:rFonts w:ascii="Times New Roman"/>
          <w:color w:val="030303"/>
          <w:sz w:val="16"/>
        </w:rPr>
        <w:tab/>
      </w:r>
      <w:r>
        <w:rPr>
          <w:color w:val="030303"/>
          <w:w w:val="95"/>
          <w:position w:val="6"/>
          <w:sz w:val="13"/>
        </w:rPr>
        <w:t>C:</w:t>
      </w:r>
      <w:r>
        <w:rPr>
          <w:color w:val="030303"/>
          <w:spacing w:val="62"/>
          <w:w w:val="150"/>
          <w:position w:val="6"/>
          <w:sz w:val="13"/>
        </w:rPr>
        <w:t> </w:t>
      </w:r>
      <w:r>
        <w:rPr>
          <w:color w:val="030303"/>
          <w:spacing w:val="-5"/>
          <w:w w:val="95"/>
          <w:position w:val="6"/>
          <w:sz w:val="10"/>
        </w:rPr>
        <w:t>II)</w:t>
      </w:r>
      <w:r>
        <w:rPr>
          <w:color w:val="030303"/>
          <w:position w:val="6"/>
          <w:sz w:val="10"/>
        </w:rPr>
        <w:tab/>
      </w:r>
      <w:r>
        <w:rPr>
          <w:rFonts w:ascii="Times New Roman"/>
          <w:color w:val="030303"/>
          <w:spacing w:val="-5"/>
          <w:w w:val="95"/>
          <w:position w:val="1"/>
          <w:sz w:val="16"/>
        </w:rPr>
        <w:t>0.</w:t>
      </w:r>
      <w:r>
        <w:rPr>
          <w:rFonts w:ascii="Times New Roman"/>
          <w:color w:val="030303"/>
          <w:position w:val="1"/>
          <w:sz w:val="16"/>
        </w:rPr>
        <w:tab/>
      </w:r>
      <w:r>
        <w:rPr>
          <w:color w:val="030303"/>
          <w:w w:val="90"/>
          <w:sz w:val="17"/>
        </w:rPr>
        <w:t>.!:::</w:t>
      </w:r>
      <w:r>
        <w:rPr>
          <w:color w:val="030303"/>
          <w:spacing w:val="26"/>
          <w:sz w:val="17"/>
        </w:rPr>
        <w:t> </w:t>
      </w:r>
      <w:r>
        <w:rPr>
          <w:color w:val="030303"/>
          <w:spacing w:val="-5"/>
          <w:w w:val="95"/>
          <w:sz w:val="14"/>
        </w:rPr>
        <w:t>&gt;,</w:t>
      </w:r>
    </w:p>
    <w:p>
      <w:pPr>
        <w:spacing w:before="0" w:line="219" w:lineRule="exact"/>
        <w:ind w:left="0" w:right="0" w:firstLine="0"/>
        <w:jc w:val="right"/>
        <w:rPr>
          <w:b/>
          <w:sz w:val="14"/>
        </w:rPr>
      </w:pPr>
      <w:r>
        <w:rPr/>
        <w:br w:type="column"/>
      </w:r>
      <w:r>
        <w:rPr>
          <w:b/>
          <w:color w:val="030303"/>
          <w:spacing w:val="-5"/>
          <w:w w:val="75"/>
          <w:sz w:val="14"/>
        </w:rPr>
        <w:t>c,s</w:t>
      </w:r>
    </w:p>
    <w:p>
      <w:pPr>
        <w:tabs>
          <w:tab w:val="left" w:leader="none" w:pos="2134"/>
          <w:tab w:val="left" w:leader="none" w:pos="3093"/>
        </w:tabs>
        <w:spacing w:before="0" w:line="219" w:lineRule="exact"/>
        <w:ind w:left="713" w:right="0" w:firstLine="0"/>
        <w:jc w:val="left"/>
        <w:rPr>
          <w:sz w:val="17"/>
        </w:rPr>
      </w:pPr>
      <w:r>
        <w:rPr/>
        <w:br w:type="column"/>
      </w:r>
      <w:r>
        <w:rPr>
          <w:color w:val="030303"/>
          <w:w w:val="80"/>
          <w:sz w:val="27"/>
        </w:rPr>
        <w:t>0.</w:t>
      </w:r>
      <w:r>
        <w:rPr>
          <w:color w:val="030303"/>
          <w:spacing w:val="-3"/>
          <w:w w:val="80"/>
          <w:sz w:val="27"/>
        </w:rPr>
        <w:t> </w:t>
      </w:r>
      <w:r>
        <w:rPr>
          <w:color w:val="030303"/>
          <w:w w:val="80"/>
          <w:sz w:val="15"/>
        </w:rPr>
        <w:t>c,s</w:t>
      </w:r>
      <w:r>
        <w:rPr>
          <w:color w:val="030303"/>
          <w:spacing w:val="23"/>
          <w:sz w:val="15"/>
        </w:rPr>
        <w:t> </w:t>
      </w:r>
      <w:r>
        <w:rPr>
          <w:color w:val="030303"/>
          <w:spacing w:val="-7"/>
          <w:w w:val="80"/>
          <w:sz w:val="14"/>
        </w:rPr>
        <w:t>LL</w:t>
      </w:r>
      <w:r>
        <w:rPr>
          <w:color w:val="030303"/>
          <w:sz w:val="14"/>
        </w:rPr>
        <w:tab/>
      </w:r>
      <w:r>
        <w:rPr>
          <w:color w:val="030303"/>
          <w:spacing w:val="-10"/>
          <w:w w:val="95"/>
          <w:position w:val="-1"/>
          <w:sz w:val="15"/>
        </w:rPr>
        <w:t>0</w:t>
      </w:r>
      <w:r>
        <w:rPr>
          <w:color w:val="030303"/>
          <w:position w:val="-1"/>
          <w:sz w:val="15"/>
        </w:rPr>
        <w:tab/>
      </w:r>
      <w:r>
        <w:rPr>
          <w:color w:val="030303"/>
          <w:spacing w:val="-5"/>
          <w:w w:val="95"/>
          <w:position w:val="-3"/>
          <w:sz w:val="17"/>
        </w:rPr>
        <w:t>t-</w:t>
      </w:r>
    </w:p>
    <w:p>
      <w:pPr>
        <w:spacing w:after="0" w:line="219" w:lineRule="exact"/>
        <w:jc w:val="left"/>
        <w:rPr>
          <w:sz w:val="17"/>
        </w:rPr>
        <w:sectPr>
          <w:type w:val="continuous"/>
          <w:pgSz w:w="16830" w:h="11910" w:orient="landscape"/>
          <w:pgMar w:top="1940" w:right="480" w:bottom="280" w:left="740" w:header="0" w:footer="789"/>
          <w:cols w:equalWidth="0" w:num="3">
            <w:col w:w="10131" w:space="40"/>
            <w:col w:w="681" w:space="39"/>
            <w:col w:w="4719"/>
          </w:cols>
        </w:sectPr>
      </w:pPr>
    </w:p>
    <w:p>
      <w:pPr>
        <w:spacing w:before="0" w:line="180" w:lineRule="exact"/>
        <w:ind w:left="0" w:right="0" w:firstLine="0"/>
        <w:jc w:val="right"/>
        <w:rPr>
          <w:sz w:val="21"/>
        </w:rPr>
      </w:pPr>
      <w:r>
        <w:rPr>
          <w:color w:val="030303"/>
          <w:w w:val="110"/>
          <w:sz w:val="21"/>
        </w:rPr>
        <w:t>E</w:t>
      </w:r>
      <w:r>
        <w:rPr>
          <w:color w:val="030303"/>
          <w:spacing w:val="-1"/>
          <w:w w:val="110"/>
          <w:sz w:val="21"/>
        </w:rPr>
        <w:t> </w:t>
      </w:r>
      <w:r>
        <w:rPr>
          <w:color w:val="030303"/>
          <w:spacing w:val="-5"/>
          <w:w w:val="110"/>
          <w:sz w:val="21"/>
        </w:rPr>
        <w:t>"ii</w:t>
      </w:r>
    </w:p>
    <w:p>
      <w:pPr>
        <w:spacing w:before="0" w:line="180" w:lineRule="exact"/>
        <w:ind w:left="625" w:right="0" w:firstLine="0"/>
        <w:jc w:val="left"/>
        <w:rPr>
          <w:sz w:val="21"/>
        </w:rPr>
      </w:pPr>
      <w:r>
        <w:rPr/>
        <w:br w:type="column"/>
      </w:r>
      <w:r>
        <w:rPr>
          <w:color w:val="030303"/>
          <w:w w:val="80"/>
          <w:sz w:val="21"/>
        </w:rPr>
        <w:t>...</w:t>
      </w:r>
      <w:r>
        <w:rPr>
          <w:color w:val="030303"/>
          <w:spacing w:val="56"/>
          <w:sz w:val="21"/>
        </w:rPr>
        <w:t> </w:t>
      </w:r>
      <w:r>
        <w:rPr>
          <w:color w:val="030303"/>
          <w:spacing w:val="-15"/>
          <w:w w:val="60"/>
          <w:sz w:val="21"/>
        </w:rPr>
        <w:t>&gt;&lt;</w:t>
      </w:r>
    </w:p>
    <w:p>
      <w:pPr>
        <w:tabs>
          <w:tab w:val="left" w:leader="none" w:pos="1340"/>
          <w:tab w:val="left" w:leader="none" w:pos="2076"/>
          <w:tab w:val="left" w:leader="none" w:pos="3020"/>
        </w:tabs>
        <w:spacing w:before="0" w:line="62" w:lineRule="auto"/>
        <w:ind w:left="503" w:right="0" w:firstLine="0"/>
        <w:jc w:val="left"/>
        <w:rPr>
          <w:sz w:val="35"/>
        </w:rPr>
      </w:pPr>
      <w:r>
        <w:rPr/>
        <w:br w:type="column"/>
      </w:r>
      <w:r>
        <w:rPr>
          <w:rFonts w:ascii="Times New Roman"/>
          <w:color w:val="030303"/>
          <w:w w:val="95"/>
          <w:position w:val="2"/>
          <w:sz w:val="37"/>
        </w:rPr>
        <w:t>e</w:t>
      </w:r>
      <w:r>
        <w:rPr>
          <w:rFonts w:ascii="Times New Roman"/>
          <w:color w:val="030303"/>
          <w:spacing w:val="7"/>
          <w:position w:val="2"/>
          <w:sz w:val="37"/>
        </w:rPr>
        <w:t> </w:t>
      </w:r>
      <w:r>
        <w:rPr>
          <w:color w:val="030303"/>
          <w:spacing w:val="-10"/>
          <w:w w:val="95"/>
          <w:position w:val="2"/>
          <w:sz w:val="21"/>
        </w:rPr>
        <w:t>o</w:t>
      </w:r>
      <w:r>
        <w:rPr>
          <w:color w:val="030303"/>
          <w:position w:val="2"/>
          <w:sz w:val="21"/>
        </w:rPr>
        <w:tab/>
      </w:r>
      <w:r>
        <w:rPr>
          <w:color w:val="030303"/>
          <w:w w:val="110"/>
          <w:position w:val="3"/>
          <w:sz w:val="10"/>
        </w:rPr>
        <w:t>:::,</w:t>
      </w:r>
      <w:r>
        <w:rPr>
          <w:color w:val="030303"/>
          <w:spacing w:val="33"/>
          <w:w w:val="110"/>
          <w:position w:val="3"/>
          <w:sz w:val="10"/>
        </w:rPr>
        <w:t>  </w:t>
      </w:r>
      <w:r>
        <w:rPr>
          <w:b/>
          <w:color w:val="030303"/>
          <w:spacing w:val="-7"/>
          <w:w w:val="110"/>
          <w:position w:val="3"/>
          <w:sz w:val="10"/>
        </w:rPr>
        <w:t>Q)</w:t>
      </w:r>
      <w:r>
        <w:rPr>
          <w:b/>
          <w:color w:val="030303"/>
          <w:position w:val="3"/>
          <w:sz w:val="10"/>
        </w:rPr>
        <w:tab/>
      </w:r>
      <w:r>
        <w:rPr>
          <w:rFonts w:ascii="Times New Roman"/>
          <w:b/>
          <w:color w:val="030303"/>
          <w:w w:val="110"/>
          <w:position w:val="1"/>
          <w:sz w:val="21"/>
        </w:rPr>
        <w:t>.c</w:t>
      </w:r>
      <w:r>
        <w:rPr>
          <w:rFonts w:ascii="Times New Roman"/>
          <w:b/>
          <w:color w:val="030303"/>
          <w:spacing w:val="71"/>
          <w:w w:val="110"/>
          <w:position w:val="1"/>
          <w:sz w:val="21"/>
        </w:rPr>
        <w:t> </w:t>
      </w:r>
      <w:r>
        <w:rPr>
          <w:b/>
          <w:color w:val="030303"/>
          <w:spacing w:val="-5"/>
          <w:w w:val="95"/>
          <w:position w:val="1"/>
          <w:sz w:val="14"/>
        </w:rPr>
        <w:t>c,s</w:t>
      </w:r>
      <w:r>
        <w:rPr>
          <w:b/>
          <w:color w:val="030303"/>
          <w:position w:val="1"/>
          <w:sz w:val="14"/>
        </w:rPr>
        <w:tab/>
      </w:r>
      <w:r>
        <w:rPr>
          <w:color w:val="030303"/>
          <w:spacing w:val="-12"/>
          <w:w w:val="60"/>
          <w:sz w:val="35"/>
        </w:rPr>
        <w:t>...</w:t>
      </w:r>
    </w:p>
    <w:p>
      <w:pPr>
        <w:tabs>
          <w:tab w:val="left" w:leader="none" w:pos="2174"/>
          <w:tab w:val="left" w:leader="none" w:pos="3034"/>
        </w:tabs>
        <w:spacing w:before="0" w:line="57" w:lineRule="auto"/>
        <w:ind w:left="721" w:right="0" w:firstLine="0"/>
        <w:jc w:val="left"/>
        <w:rPr>
          <w:b/>
          <w:sz w:val="19"/>
        </w:rPr>
      </w:pPr>
      <w:r>
        <w:rPr/>
        <w:br w:type="column"/>
      </w:r>
      <w:r>
        <w:rPr>
          <w:color w:val="030303"/>
          <w:w w:val="110"/>
          <w:position w:val="1"/>
          <w:sz w:val="16"/>
        </w:rPr>
        <w:t>a,</w:t>
      </w:r>
      <w:r>
        <w:rPr>
          <w:color w:val="030303"/>
          <w:spacing w:val="50"/>
          <w:w w:val="110"/>
          <w:position w:val="1"/>
          <w:sz w:val="16"/>
        </w:rPr>
        <w:t> </w:t>
      </w:r>
      <w:r>
        <w:rPr>
          <w:color w:val="030303"/>
          <w:spacing w:val="-5"/>
          <w:w w:val="110"/>
          <w:position w:val="1"/>
          <w:sz w:val="21"/>
        </w:rPr>
        <w:t>o.w</w:t>
      </w:r>
      <w:r>
        <w:rPr>
          <w:color w:val="030303"/>
          <w:position w:val="1"/>
          <w:sz w:val="21"/>
        </w:rPr>
        <w:tab/>
      </w:r>
      <w:r>
        <w:rPr>
          <w:rFonts w:ascii="Times New Roman"/>
          <w:b/>
          <w:i/>
          <w:color w:val="030303"/>
          <w:spacing w:val="-10"/>
          <w:w w:val="110"/>
          <w:sz w:val="21"/>
        </w:rPr>
        <w:t>u</w:t>
      </w:r>
      <w:r>
        <w:rPr>
          <w:rFonts w:ascii="Times New Roman"/>
          <w:b/>
          <w:i/>
          <w:color w:val="030303"/>
          <w:sz w:val="21"/>
        </w:rPr>
        <w:tab/>
      </w:r>
      <w:r>
        <w:rPr>
          <w:b/>
          <w:color w:val="030303"/>
          <w:spacing w:val="-10"/>
          <w:w w:val="110"/>
          <w:position w:val="-5"/>
          <w:sz w:val="19"/>
        </w:rPr>
        <w:t>0</w:t>
      </w:r>
    </w:p>
    <w:p>
      <w:pPr>
        <w:spacing w:after="0" w:line="57" w:lineRule="auto"/>
        <w:jc w:val="left"/>
        <w:rPr>
          <w:sz w:val="19"/>
        </w:rPr>
        <w:sectPr>
          <w:type w:val="continuous"/>
          <w:pgSz w:w="16830" w:h="11910" w:orient="landscape"/>
          <w:pgMar w:top="1940" w:right="480" w:bottom="280" w:left="740" w:header="0" w:footer="789"/>
          <w:cols w:equalWidth="0" w:num="4">
            <w:col w:w="6584" w:space="40"/>
            <w:col w:w="1011" w:space="39"/>
            <w:col w:w="3175" w:space="40"/>
            <w:col w:w="4721"/>
          </w:cols>
        </w:sectPr>
      </w:pPr>
    </w:p>
    <w:p>
      <w:pPr>
        <w:tabs>
          <w:tab w:val="left" w:leader="none" w:pos="7222"/>
          <w:tab w:val="left" w:leader="none" w:pos="8150"/>
          <w:tab w:val="left" w:leader="none" w:pos="8972"/>
          <w:tab w:val="left" w:leader="none" w:pos="9761"/>
          <w:tab w:val="left" w:leader="none" w:pos="10685"/>
          <w:tab w:val="left" w:leader="none" w:pos="11575"/>
          <w:tab w:val="left" w:leader="none" w:pos="13071"/>
          <w:tab w:val="left" w:leader="none" w:pos="13989"/>
        </w:tabs>
        <w:spacing w:before="0" w:line="65" w:lineRule="exact"/>
        <w:ind w:left="6161" w:right="0" w:firstLine="0"/>
        <w:jc w:val="left"/>
        <w:rPr>
          <w:b/>
          <w:sz w:val="16"/>
        </w:rPr>
      </w:pPr>
      <w:r>
        <w:rPr/>
        <ve:AlternateContent>
          <ve:Choice Requires="wps">
            <w:drawing>
              <wp:anchor distT="0" distB="0" distL="0" distR="0" simplePos="0" relativeHeight="15785472" behindDoc="0" locked="0" layoutInCell="1" allowOverlap="1">
                <wp:simplePos x="0" y="0"/>
                <wp:positionH relativeFrom="page">
                  <wp:posOffset>9663313</wp:posOffset>
                </wp:positionH>
                <wp:positionV relativeFrom="page">
                  <wp:posOffset>148884</wp:posOffset>
                </wp:positionV>
                <wp:extent cx="1022985" cy="6350"/>
                <wp:effectExtent l="0" t="0" r="0" b="0"/>
                <wp:wrapNone/>
                <wp:docPr id="273" name="Graphic 273"/>
                <wp:cNvGraphicFramePr>
                  <a:graphicFrameLocks/>
                </wp:cNvGraphicFramePr>
                <a:graphic>
                  <a:graphicData uri="http://schemas.microsoft.com/office/word/2010/wordprocessingShape">
                    <wps:wsp>
                      <wps:cNvPr id="273" name="Graphic 273"/>
                      <wps:cNvSpPr/>
                      <wps:spPr>
                        <a:xfrm>
                          <a:off x="0" y="0"/>
                          <a:ext cx="1022985" cy="6350"/>
                        </a:xfrm>
                        <a:custGeom>
                          <a:avLst/>
                          <a:gdLst/>
                          <a:ahLst/>
                          <a:cxnLst/>
                          <a:rect l="l" t="t" r="r" b="b"/>
                          <a:pathLst>
                            <a:path w="1022985" h="6350">
                              <a:moveTo>
                                <a:pt x="1022974" y="6106"/>
                              </a:moveTo>
                              <a:lnTo>
                                <a:pt x="0" y="6106"/>
                              </a:lnTo>
                              <a:lnTo>
                                <a:pt x="0" y="0"/>
                              </a:lnTo>
                              <a:lnTo>
                                <a:pt x="1022974" y="0"/>
                              </a:lnTo>
                              <a:lnTo>
                                <a:pt x="1022974" y="6106"/>
                              </a:lnTo>
                              <a:close/>
                            </a:path>
                          </a:pathLst>
                        </a:custGeom>
                        <a:solidFill>
                          <a:srgbClr val="000000"/>
                        </a:solidFill>
                      </wps:spPr>
                      <wps:bodyPr wrap="square" lIns="0" tIns="0" rIns="0" bIns="0" rtlCol="0">
                        <a:prstTxWarp prst="textNoShape">
                          <a:avLst/>
                        </a:prstTxWarp>
                        <a:noAutofit/>
                      </wps:bodyPr>
                    </wps:wsp>
                  </a:graphicData>
                </a:graphic>
              </wp:anchor>
            </w:drawing>
          </ve:Choice>
          <ve:Fallback>
            <w:pict>
              <v:rect id="docshape174" style="position:absolute;margin-left:760.890808pt;margin-top:11.723163pt;width:80.549172pt;height:.480821pt;mso-position-horizontal-relative:page;mso-position-vertical-relative:page;z-index:15785472" filled="true" fillcolor="#000000" stroked="false">
                <v:fill type="solid"/>
                <w10:wrap type="none"/>
              </v:rect>
            </w:pict>
          </ve:Fallback>
        </ve:AlternateContent>
      </w:r>
      <w:r>
        <w:rPr>
          <w:b/>
          <w:color w:val="030303"/>
          <w:spacing w:val="-4"/>
          <w:w w:val="90"/>
          <w:sz w:val="18"/>
        </w:rPr>
        <w:t>WO:::</w:t>
      </w:r>
      <w:r>
        <w:rPr>
          <w:b/>
          <w:color w:val="030303"/>
          <w:sz w:val="18"/>
        </w:rPr>
        <w:tab/>
      </w:r>
      <w:r>
        <w:rPr>
          <w:b/>
          <w:color w:val="030303"/>
          <w:w w:val="90"/>
          <w:sz w:val="16"/>
        </w:rPr>
        <w:t>0.</w:t>
      </w:r>
      <w:r>
        <w:rPr>
          <w:b/>
          <w:color w:val="030303"/>
          <w:spacing w:val="62"/>
          <w:w w:val="150"/>
          <w:sz w:val="16"/>
        </w:rPr>
        <w:t> </w:t>
      </w:r>
      <w:r>
        <w:rPr>
          <w:rFonts w:ascii="Courier New" w:hAnsi="Courier New"/>
          <w:b/>
          <w:color w:val="030303"/>
          <w:spacing w:val="-10"/>
          <w:w w:val="90"/>
          <w:sz w:val="26"/>
        </w:rPr>
        <w:t>w</w:t>
      </w:r>
      <w:r>
        <w:rPr>
          <w:rFonts w:ascii="Courier New" w:hAnsi="Courier New"/>
          <w:b/>
          <w:color w:val="030303"/>
          <w:sz w:val="26"/>
        </w:rPr>
        <w:tab/>
      </w:r>
      <w:r>
        <w:rPr>
          <w:b/>
          <w:color w:val="030303"/>
          <w:w w:val="90"/>
          <w:position w:val="1"/>
          <w:sz w:val="16"/>
        </w:rPr>
        <w:t>t-</w:t>
      </w:r>
      <w:r>
        <w:rPr>
          <w:b/>
          <w:color w:val="030303"/>
          <w:spacing w:val="73"/>
          <w:w w:val="150"/>
          <w:position w:val="1"/>
          <w:sz w:val="16"/>
        </w:rPr>
        <w:t> </w:t>
      </w:r>
      <w:r>
        <w:rPr>
          <w:color w:val="030303"/>
          <w:spacing w:val="-5"/>
          <w:w w:val="90"/>
          <w:position w:val="1"/>
          <w:sz w:val="16"/>
        </w:rPr>
        <w:t>(.)</w:t>
      </w:r>
      <w:r>
        <w:rPr>
          <w:color w:val="030303"/>
          <w:position w:val="1"/>
          <w:sz w:val="16"/>
        </w:rPr>
        <w:tab/>
      </w:r>
      <w:r>
        <w:rPr>
          <w:b/>
          <w:i/>
          <w:color w:val="030303"/>
          <w:w w:val="75"/>
          <w:sz w:val="22"/>
        </w:rPr>
        <w:t>en</w:t>
      </w:r>
      <w:r>
        <w:rPr>
          <w:b/>
          <w:i/>
          <w:color w:val="030303"/>
          <w:spacing w:val="-4"/>
          <w:w w:val="90"/>
          <w:sz w:val="22"/>
        </w:rPr>
        <w:t> </w:t>
      </w:r>
      <w:r>
        <w:rPr>
          <w:b/>
          <w:i/>
          <w:color w:val="030303"/>
          <w:spacing w:val="-5"/>
          <w:w w:val="90"/>
          <w:sz w:val="22"/>
        </w:rPr>
        <w:t>en</w:t>
      </w:r>
      <w:r>
        <w:rPr>
          <w:b/>
          <w:i/>
          <w:color w:val="030303"/>
          <w:sz w:val="22"/>
        </w:rPr>
        <w:tab/>
      </w:r>
      <w:r>
        <w:rPr>
          <w:b/>
          <w:color w:val="030303"/>
          <w:w w:val="90"/>
          <w:position w:val="0"/>
          <w:sz w:val="16"/>
        </w:rPr>
        <w:t>t-</w:t>
      </w:r>
      <w:r>
        <w:rPr>
          <w:b/>
          <w:color w:val="030303"/>
          <w:spacing w:val="77"/>
          <w:w w:val="150"/>
          <w:position w:val="0"/>
          <w:sz w:val="16"/>
        </w:rPr>
        <w:t> </w:t>
      </w:r>
      <w:r>
        <w:rPr>
          <w:b/>
          <w:color w:val="030303"/>
          <w:spacing w:val="-5"/>
          <w:w w:val="90"/>
          <w:position w:val="0"/>
          <w:sz w:val="16"/>
        </w:rPr>
        <w:t>0.</w:t>
      </w:r>
      <w:r>
        <w:rPr>
          <w:b/>
          <w:color w:val="030303"/>
          <w:position w:val="0"/>
          <w:sz w:val="16"/>
        </w:rPr>
        <w:tab/>
      </w:r>
      <w:r>
        <w:rPr>
          <w:b/>
          <w:color w:val="030303"/>
          <w:spacing w:val="-5"/>
          <w:w w:val="90"/>
          <w:position w:val="-1"/>
          <w:sz w:val="16"/>
        </w:rPr>
        <w:t>t-</w:t>
      </w:r>
      <w:r>
        <w:rPr>
          <w:b/>
          <w:color w:val="030303"/>
          <w:position w:val="-1"/>
          <w:sz w:val="16"/>
        </w:rPr>
        <w:tab/>
      </w:r>
      <w:r>
        <w:rPr>
          <w:rFonts w:ascii="Times New Roman" w:hAnsi="Times New Roman"/>
          <w:b/>
          <w:color w:val="030303"/>
          <w:w w:val="85"/>
          <w:sz w:val="18"/>
        </w:rPr>
        <w:t>C</w:t>
      </w:r>
      <w:r>
        <w:rPr>
          <w:rFonts w:ascii="Times New Roman" w:hAnsi="Times New Roman"/>
          <w:b/>
          <w:color w:val="030303"/>
          <w:spacing w:val="75"/>
          <w:sz w:val="18"/>
        </w:rPr>
        <w:t> </w:t>
      </w:r>
      <w:r>
        <w:rPr>
          <w:color w:val="030303"/>
          <w:w w:val="85"/>
          <w:sz w:val="22"/>
        </w:rPr>
        <w:t>_§</w:t>
      </w:r>
      <w:r>
        <w:rPr>
          <w:color w:val="030303"/>
          <w:spacing w:val="-8"/>
          <w:sz w:val="22"/>
        </w:rPr>
        <w:t> </w:t>
      </w:r>
      <w:r>
        <w:rPr>
          <w:b/>
          <w:color w:val="030303"/>
          <w:spacing w:val="-4"/>
          <w:w w:val="85"/>
          <w:sz w:val="18"/>
        </w:rPr>
        <w:t>0:::</w:t>
      </w:r>
      <w:r>
        <w:rPr>
          <w:b/>
          <w:color w:val="030303"/>
          <w:sz w:val="18"/>
        </w:rPr>
        <w:tab/>
      </w:r>
      <w:r>
        <w:rPr>
          <w:b/>
          <w:color w:val="030303"/>
          <w:spacing w:val="-5"/>
          <w:w w:val="90"/>
          <w:position w:val="4"/>
          <w:sz w:val="14"/>
        </w:rPr>
        <w:t>C:</w:t>
      </w:r>
      <w:r>
        <w:rPr>
          <w:b/>
          <w:color w:val="030303"/>
          <w:position w:val="4"/>
          <w:sz w:val="14"/>
        </w:rPr>
        <w:tab/>
      </w:r>
      <w:r>
        <w:rPr>
          <w:b/>
          <w:color w:val="030303"/>
          <w:spacing w:val="-5"/>
          <w:w w:val="90"/>
          <w:position w:val="-1"/>
          <w:sz w:val="16"/>
        </w:rPr>
        <w:t>t-</w:t>
      </w:r>
    </w:p>
    <w:p>
      <w:pPr>
        <w:pStyle w:val="BodyText"/>
        <w:spacing w:before="11"/>
        <w:rPr>
          <w:b/>
          <w:sz w:val="16"/>
        </w:rPr>
      </w:pPr>
    </w:p>
    <w:p>
      <w:pPr>
        <w:tabs>
          <w:tab w:val="left" w:leader="none" w:pos="6136"/>
          <w:tab w:val="left" w:leader="none" w:pos="7204"/>
          <w:tab w:val="left" w:leader="none" w:pos="8127"/>
          <w:tab w:val="left" w:leader="none" w:pos="9738"/>
          <w:tab w:val="left" w:leader="none" w:pos="10537"/>
          <w:tab w:val="left" w:leader="none" w:pos="11677"/>
          <w:tab w:val="left" w:leader="none" w:pos="12884"/>
          <w:tab w:val="left" w:leader="none" w:pos="13841"/>
        </w:tabs>
        <w:spacing w:before="0"/>
        <w:ind w:left="335" w:right="0" w:firstLine="0"/>
        <w:jc w:val="left"/>
        <w:rPr>
          <w:b/>
          <w:sz w:val="20"/>
        </w:rPr>
      </w:pPr>
      <w:r>
        <w:rPr>
          <w:b/>
          <w:color w:val="030303"/>
          <w:spacing w:val="-2"/>
          <w:w w:val="115"/>
          <w:position w:val="2"/>
          <w:sz w:val="20"/>
        </w:rPr>
        <w:t>SERVICE</w:t>
      </w:r>
      <w:r>
        <w:rPr>
          <w:b/>
          <w:color w:val="030303"/>
          <w:position w:val="2"/>
          <w:sz w:val="20"/>
        </w:rPr>
        <w:tab/>
      </w:r>
      <w:r>
        <w:rPr>
          <w:b/>
          <w:color w:val="242424"/>
          <w:spacing w:val="-4"/>
          <w:w w:val="115"/>
          <w:position w:val="1"/>
          <w:sz w:val="20"/>
        </w:rPr>
        <w:t>£000</w:t>
      </w:r>
      <w:r>
        <w:rPr>
          <w:b/>
          <w:color w:val="242424"/>
          <w:position w:val="1"/>
          <w:sz w:val="20"/>
        </w:rPr>
        <w:tab/>
      </w:r>
      <w:r>
        <w:rPr>
          <w:b/>
          <w:color w:val="242424"/>
          <w:spacing w:val="-4"/>
          <w:w w:val="115"/>
          <w:position w:val="1"/>
          <w:sz w:val="20"/>
        </w:rPr>
        <w:t>£000</w:t>
      </w:r>
      <w:r>
        <w:rPr>
          <w:b/>
          <w:color w:val="242424"/>
          <w:position w:val="1"/>
          <w:sz w:val="20"/>
        </w:rPr>
        <w:tab/>
      </w:r>
      <w:r>
        <w:rPr>
          <w:b/>
          <w:color w:val="242424"/>
          <w:w w:val="115"/>
          <w:position w:val="1"/>
          <w:sz w:val="20"/>
        </w:rPr>
        <w:t>£000</w:t>
      </w:r>
      <w:r>
        <w:rPr>
          <w:b/>
          <w:color w:val="242424"/>
          <w:spacing w:val="66"/>
          <w:w w:val="115"/>
          <w:position w:val="1"/>
          <w:sz w:val="20"/>
        </w:rPr>
        <w:t> </w:t>
      </w:r>
      <w:r>
        <w:rPr>
          <w:b/>
          <w:color w:val="808080"/>
          <w:spacing w:val="-2"/>
          <w:w w:val="115"/>
          <w:position w:val="1"/>
          <w:sz w:val="20"/>
        </w:rPr>
        <w:t>'</w:t>
      </w:r>
      <w:r>
        <w:rPr>
          <w:b/>
          <w:color w:val="030303"/>
          <w:spacing w:val="-2"/>
          <w:w w:val="115"/>
          <w:position w:val="1"/>
          <w:sz w:val="20"/>
        </w:rPr>
        <w:t>£000</w:t>
      </w:r>
      <w:r>
        <w:rPr>
          <w:b/>
          <w:color w:val="030303"/>
          <w:position w:val="1"/>
          <w:sz w:val="20"/>
        </w:rPr>
        <w:tab/>
      </w:r>
      <w:r>
        <w:rPr>
          <w:b/>
          <w:color w:val="030303"/>
          <w:spacing w:val="-4"/>
          <w:w w:val="115"/>
          <w:position w:val="1"/>
          <w:sz w:val="20"/>
        </w:rPr>
        <w:t>£000</w:t>
      </w:r>
      <w:r>
        <w:rPr>
          <w:b/>
          <w:color w:val="030303"/>
          <w:position w:val="1"/>
          <w:sz w:val="20"/>
        </w:rPr>
        <w:tab/>
      </w:r>
      <w:r>
        <w:rPr>
          <w:b/>
          <w:color w:val="030303"/>
          <w:spacing w:val="-4"/>
          <w:w w:val="115"/>
          <w:sz w:val="20"/>
        </w:rPr>
        <w:t>£000</w:t>
      </w:r>
      <w:r>
        <w:rPr>
          <w:b/>
          <w:color w:val="030303"/>
          <w:sz w:val="20"/>
        </w:rPr>
        <w:tab/>
      </w:r>
      <w:r>
        <w:rPr>
          <w:b/>
          <w:color w:val="030303"/>
          <w:spacing w:val="-4"/>
          <w:w w:val="115"/>
          <w:sz w:val="20"/>
        </w:rPr>
        <w:t>£000</w:t>
      </w:r>
      <w:r>
        <w:rPr>
          <w:b/>
          <w:color w:val="030303"/>
          <w:sz w:val="20"/>
        </w:rPr>
        <w:tab/>
      </w:r>
      <w:r>
        <w:rPr>
          <w:b/>
          <w:color w:val="030303"/>
          <w:spacing w:val="-4"/>
          <w:w w:val="115"/>
          <w:sz w:val="20"/>
        </w:rPr>
        <w:t>£000</w:t>
      </w:r>
      <w:r>
        <w:rPr>
          <w:b/>
          <w:color w:val="030303"/>
          <w:sz w:val="20"/>
        </w:rPr>
        <w:tab/>
      </w:r>
      <w:r>
        <w:rPr>
          <w:b/>
          <w:color w:val="030303"/>
          <w:spacing w:val="-4"/>
          <w:w w:val="115"/>
          <w:sz w:val="20"/>
        </w:rPr>
        <w:t>£000</w:t>
      </w:r>
    </w:p>
    <w:p>
      <w:pPr>
        <w:pStyle w:val="BodyText"/>
        <w:spacing w:before="179"/>
        <w:rPr>
          <w:b/>
          <w:sz w:val="20"/>
        </w:rPr>
      </w:pPr>
    </w:p>
    <w:p>
      <w:pPr>
        <w:spacing w:before="1" w:line="333" w:lineRule="auto"/>
        <w:ind w:left="344" w:right="13001" w:hanging="3"/>
        <w:jc w:val="left"/>
        <w:rPr>
          <w:sz w:val="21"/>
        </w:rPr>
      </w:pPr>
      <w:r>
        <w:rPr/>
        <ve:AlternateContent>
          <ve:Choice Requires="wps">
            <w:drawing>
              <wp:anchor distT="0" distB="0" distL="0" distR="0" simplePos="0" relativeHeight="15787008" behindDoc="0" locked="0" layoutInCell="1" allowOverlap="1">
                <wp:simplePos x="0" y="0"/>
                <wp:positionH relativeFrom="page">
                  <wp:posOffset>4411421</wp:posOffset>
                </wp:positionH>
                <wp:positionV relativeFrom="paragraph">
                  <wp:posOffset>35256</wp:posOffset>
                </wp:positionV>
                <wp:extent cx="5311140" cy="2720340"/>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5311140" cy="2720340"/>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18"/>
                              <w:gridCol w:w="1036"/>
                              <w:gridCol w:w="731"/>
                              <w:gridCol w:w="855"/>
                              <w:gridCol w:w="664"/>
                              <w:gridCol w:w="1196"/>
                              <w:gridCol w:w="1073"/>
                              <w:gridCol w:w="1013"/>
                              <w:gridCol w:w="853"/>
                            </w:tblGrid>
                            <w:tr>
                              <w:trPr>
                                <w:trHeight w:val="280" w:hRule="atLeast"/>
                              </w:trPr>
                              <w:tc>
                                <w:tcPr>
                                  <w:tcW w:w="818" w:type="dxa"/>
                                </w:tcPr>
                                <w:p>
                                  <w:pPr>
                                    <w:pStyle w:val="TableParagraph"/>
                                    <w:spacing w:line="235" w:lineRule="exact"/>
                                    <w:ind w:right="241"/>
                                    <w:jc w:val="right"/>
                                    <w:rPr>
                                      <w:sz w:val="21"/>
                                    </w:rPr>
                                  </w:pPr>
                                  <w:r>
                                    <w:rPr>
                                      <w:color w:val="030303"/>
                                      <w:spacing w:val="-5"/>
                                      <w:w w:val="105"/>
                                      <w:sz w:val="21"/>
                                    </w:rPr>
                                    <w:t>941</w:t>
                                  </w:r>
                                </w:p>
                              </w:tc>
                              <w:tc>
                                <w:tcPr>
                                  <w:tcW w:w="1036" w:type="dxa"/>
                                </w:tcPr>
                                <w:p>
                                  <w:pPr>
                                    <w:pStyle w:val="TableParagraph"/>
                                    <w:spacing w:line="235" w:lineRule="exact"/>
                                    <w:ind w:right="287"/>
                                    <w:jc w:val="right"/>
                                    <w:rPr>
                                      <w:sz w:val="21"/>
                                    </w:rPr>
                                  </w:pPr>
                                  <w:r>
                                    <w:rPr>
                                      <w:color w:val="030303"/>
                                      <w:spacing w:val="-2"/>
                                      <w:sz w:val="21"/>
                                    </w:rPr>
                                    <w:t>2,202</w:t>
                                  </w:r>
                                </w:p>
                              </w:tc>
                              <w:tc>
                                <w:tcPr>
                                  <w:tcW w:w="731" w:type="dxa"/>
                                </w:tcPr>
                                <w:p>
                                  <w:pPr>
                                    <w:pStyle w:val="TableParagraph"/>
                                    <w:spacing w:line="240" w:lineRule="exact"/>
                                    <w:ind w:right="163"/>
                                    <w:jc w:val="right"/>
                                    <w:rPr>
                                      <w:sz w:val="21"/>
                                    </w:rPr>
                                  </w:pPr>
                                  <w:r>
                                    <w:rPr>
                                      <w:color w:val="030303"/>
                                      <w:spacing w:val="-10"/>
                                      <w:sz w:val="21"/>
                                    </w:rPr>
                                    <w:t>2</w:t>
                                  </w:r>
                                </w:p>
                              </w:tc>
                              <w:tc>
                                <w:tcPr>
                                  <w:tcW w:w="855" w:type="dxa"/>
                                </w:tcPr>
                                <w:p>
                                  <w:pPr>
                                    <w:pStyle w:val="TableParagraph"/>
                                    <w:spacing w:line="240" w:lineRule="exact"/>
                                    <w:ind w:right="206"/>
                                    <w:jc w:val="right"/>
                                    <w:rPr>
                                      <w:sz w:val="21"/>
                                    </w:rPr>
                                  </w:pPr>
                                  <w:r>
                                    <w:rPr>
                                      <w:color w:val="030303"/>
                                      <w:spacing w:val="-5"/>
                                      <w:sz w:val="21"/>
                                    </w:rPr>
                                    <w:t>282</w:t>
                                  </w:r>
                                </w:p>
                              </w:tc>
                              <w:tc>
                                <w:tcPr>
                                  <w:tcW w:w="664" w:type="dxa"/>
                                </w:tcPr>
                                <w:p>
                                  <w:pPr>
                                    <w:pStyle w:val="TableParagraph"/>
                                    <w:spacing w:line="240" w:lineRule="exact"/>
                                    <w:ind w:right="123"/>
                                    <w:jc w:val="right"/>
                                    <w:rPr>
                                      <w:sz w:val="21"/>
                                    </w:rPr>
                                  </w:pPr>
                                  <w:r>
                                    <w:rPr>
                                      <w:color w:val="030303"/>
                                      <w:spacing w:val="-5"/>
                                      <w:sz w:val="21"/>
                                    </w:rPr>
                                    <w:t>49</w:t>
                                  </w:r>
                                </w:p>
                              </w:tc>
                              <w:tc>
                                <w:tcPr>
                                  <w:tcW w:w="1196" w:type="dxa"/>
                                </w:tcPr>
                                <w:p>
                                  <w:pPr>
                                    <w:pStyle w:val="TableParagraph"/>
                                    <w:spacing w:before="22" w:line="238" w:lineRule="exact"/>
                                    <w:ind w:right="452"/>
                                    <w:jc w:val="right"/>
                                    <w:rPr>
                                      <w:sz w:val="21"/>
                                    </w:rPr>
                                  </w:pPr>
                                  <w:r>
                                    <w:rPr>
                                      <w:color w:val="242424"/>
                                      <w:spacing w:val="-10"/>
                                      <w:w w:val="105"/>
                                      <w:sz w:val="21"/>
                                    </w:rPr>
                                    <w:t>-</w:t>
                                  </w:r>
                                </w:p>
                              </w:tc>
                              <w:tc>
                                <w:tcPr>
                                  <w:tcW w:w="1073" w:type="dxa"/>
                                </w:tcPr>
                                <w:p>
                                  <w:pPr>
                                    <w:pStyle w:val="TableParagraph"/>
                                    <w:spacing w:before="3"/>
                                    <w:ind w:right="124"/>
                                    <w:jc w:val="right"/>
                                    <w:rPr>
                                      <w:sz w:val="21"/>
                                    </w:rPr>
                                  </w:pPr>
                                  <w:r>
                                    <w:rPr>
                                      <w:color w:val="030303"/>
                                      <w:spacing w:val="-2"/>
                                      <w:sz w:val="21"/>
                                    </w:rPr>
                                    <w:t>5,003</w:t>
                                  </w:r>
                                </w:p>
                              </w:tc>
                              <w:tc>
                                <w:tcPr>
                                  <w:tcW w:w="1013" w:type="dxa"/>
                                </w:tcPr>
                                <w:p>
                                  <w:pPr>
                                    <w:pStyle w:val="TableParagraph"/>
                                    <w:spacing w:before="3"/>
                                    <w:ind w:right="141"/>
                                    <w:jc w:val="right"/>
                                    <w:rPr>
                                      <w:sz w:val="21"/>
                                    </w:rPr>
                                  </w:pPr>
                                  <w:r>
                                    <w:rPr>
                                      <w:color w:val="030303"/>
                                      <w:spacing w:val="-2"/>
                                      <w:sz w:val="21"/>
                                    </w:rPr>
                                    <w:t>(13,823)</w:t>
                                  </w:r>
                                </w:p>
                              </w:tc>
                              <w:tc>
                                <w:tcPr>
                                  <w:tcW w:w="853" w:type="dxa"/>
                                </w:tcPr>
                                <w:p>
                                  <w:pPr>
                                    <w:pStyle w:val="TableParagraph"/>
                                    <w:spacing w:before="12"/>
                                    <w:ind w:right="72"/>
                                    <w:jc w:val="right"/>
                                    <w:rPr>
                                      <w:b/>
                                      <w:sz w:val="20"/>
                                    </w:rPr>
                                  </w:pPr>
                                  <w:r>
                                    <w:rPr>
                                      <w:b/>
                                      <w:color w:val="030303"/>
                                      <w:spacing w:val="-2"/>
                                      <w:w w:val="105"/>
                                      <w:sz w:val="20"/>
                                    </w:rPr>
                                    <w:t>(5,344)</w:t>
                                  </w:r>
                                </w:p>
                              </w:tc>
                            </w:tr>
                            <w:tr>
                              <w:trPr>
                                <w:trHeight w:val="322" w:hRule="atLeast"/>
                              </w:trPr>
                              <w:tc>
                                <w:tcPr>
                                  <w:tcW w:w="818" w:type="dxa"/>
                                </w:tcPr>
                                <w:p>
                                  <w:pPr>
                                    <w:pStyle w:val="TableParagraph"/>
                                    <w:spacing w:before="12" w:line="290" w:lineRule="exact"/>
                                    <w:ind w:right="232"/>
                                    <w:jc w:val="right"/>
                                    <w:rPr>
                                      <w:sz w:val="27"/>
                                    </w:rPr>
                                  </w:pPr>
                                  <w:r>
                                    <w:rPr>
                                      <w:color w:val="343434"/>
                                      <w:spacing w:val="-10"/>
                                      <w:sz w:val="27"/>
                                    </w:rPr>
                                    <w:t>-</w:t>
                                  </w:r>
                                </w:p>
                              </w:tc>
                              <w:tc>
                                <w:tcPr>
                                  <w:tcW w:w="1036" w:type="dxa"/>
                                </w:tcPr>
                                <w:p>
                                  <w:pPr>
                                    <w:pStyle w:val="TableParagraph"/>
                                    <w:spacing w:before="45"/>
                                    <w:ind w:right="272"/>
                                    <w:jc w:val="right"/>
                                    <w:rPr>
                                      <w:sz w:val="22"/>
                                    </w:rPr>
                                  </w:pPr>
                                  <w:r>
                                    <w:rPr>
                                      <w:color w:val="343434"/>
                                      <w:spacing w:val="-10"/>
                                      <w:w w:val="110"/>
                                      <w:sz w:val="22"/>
                                    </w:rPr>
                                    <w:t>-</w:t>
                                  </w:r>
                                </w:p>
                              </w:tc>
                              <w:tc>
                                <w:tcPr>
                                  <w:tcW w:w="731" w:type="dxa"/>
                                </w:tcPr>
                                <w:p>
                                  <w:pPr>
                                    <w:pStyle w:val="TableParagraph"/>
                                    <w:spacing w:before="8" w:line="295" w:lineRule="exact"/>
                                    <w:ind w:right="157"/>
                                    <w:jc w:val="right"/>
                                    <w:rPr>
                                      <w:sz w:val="27"/>
                                    </w:rPr>
                                  </w:pPr>
                                  <w:r>
                                    <w:rPr>
                                      <w:color w:val="030303"/>
                                      <w:spacing w:val="-10"/>
                                      <w:sz w:val="27"/>
                                    </w:rPr>
                                    <w:t>-</w:t>
                                  </w:r>
                                </w:p>
                              </w:tc>
                              <w:tc>
                                <w:tcPr>
                                  <w:tcW w:w="855" w:type="dxa"/>
                                </w:tcPr>
                                <w:p>
                                  <w:pPr>
                                    <w:pStyle w:val="TableParagraph"/>
                                    <w:spacing w:before="54"/>
                                    <w:ind w:right="200"/>
                                    <w:jc w:val="right"/>
                                    <w:rPr>
                                      <w:sz w:val="21"/>
                                    </w:rPr>
                                  </w:pPr>
                                  <w:r>
                                    <w:rPr>
                                      <w:color w:val="030303"/>
                                      <w:spacing w:val="-10"/>
                                      <w:w w:val="105"/>
                                      <w:sz w:val="21"/>
                                    </w:rPr>
                                    <w:t>7</w:t>
                                  </w:r>
                                </w:p>
                              </w:tc>
                              <w:tc>
                                <w:tcPr>
                                  <w:tcW w:w="664" w:type="dxa"/>
                                </w:tcPr>
                                <w:p>
                                  <w:pPr>
                                    <w:pStyle w:val="TableParagraph"/>
                                    <w:spacing w:before="50"/>
                                    <w:ind w:right="125"/>
                                    <w:jc w:val="right"/>
                                    <w:rPr>
                                      <w:sz w:val="21"/>
                                    </w:rPr>
                                  </w:pPr>
                                  <w:r>
                                    <w:rPr>
                                      <w:color w:val="030303"/>
                                      <w:spacing w:val="-5"/>
                                      <w:sz w:val="21"/>
                                    </w:rPr>
                                    <w:t>188</w:t>
                                  </w:r>
                                </w:p>
                              </w:tc>
                              <w:tc>
                                <w:tcPr>
                                  <w:tcW w:w="1196" w:type="dxa"/>
                                </w:tcPr>
                                <w:p>
                                  <w:pPr>
                                    <w:pStyle w:val="TableParagraph"/>
                                    <w:spacing w:before="54"/>
                                    <w:ind w:right="452"/>
                                    <w:jc w:val="right"/>
                                    <w:rPr>
                                      <w:sz w:val="21"/>
                                    </w:rPr>
                                  </w:pPr>
                                  <w:r>
                                    <w:rPr>
                                      <w:color w:val="343434"/>
                                      <w:spacing w:val="-10"/>
                                      <w:w w:val="105"/>
                                      <w:sz w:val="21"/>
                                    </w:rPr>
                                    <w:t>-</w:t>
                                  </w:r>
                                </w:p>
                              </w:tc>
                              <w:tc>
                                <w:tcPr>
                                  <w:tcW w:w="1073" w:type="dxa"/>
                                </w:tcPr>
                                <w:p>
                                  <w:pPr>
                                    <w:pStyle w:val="TableParagraph"/>
                                    <w:spacing w:before="12" w:line="290" w:lineRule="exact"/>
                                    <w:ind w:right="112"/>
                                    <w:jc w:val="right"/>
                                    <w:rPr>
                                      <w:sz w:val="27"/>
                                    </w:rPr>
                                  </w:pPr>
                                  <w:r>
                                    <w:rPr>
                                      <w:color w:val="030303"/>
                                      <w:spacing w:val="-10"/>
                                      <w:sz w:val="27"/>
                                    </w:rPr>
                                    <w:t>-</w:t>
                                  </w:r>
                                </w:p>
                              </w:tc>
                              <w:tc>
                                <w:tcPr>
                                  <w:tcW w:w="1013" w:type="dxa"/>
                                </w:tcPr>
                                <w:p>
                                  <w:pPr>
                                    <w:pStyle w:val="TableParagraph"/>
                                    <w:spacing w:before="74" w:line="229" w:lineRule="exact"/>
                                    <w:ind w:right="124"/>
                                    <w:jc w:val="right"/>
                                    <w:rPr>
                                      <w:sz w:val="21"/>
                                    </w:rPr>
                                  </w:pPr>
                                  <w:r>
                                    <w:rPr>
                                      <w:color w:val="343434"/>
                                      <w:spacing w:val="-10"/>
                                      <w:w w:val="105"/>
                                      <w:sz w:val="21"/>
                                    </w:rPr>
                                    <w:t>-</w:t>
                                  </w:r>
                                </w:p>
                              </w:tc>
                              <w:tc>
                                <w:tcPr>
                                  <w:tcW w:w="853" w:type="dxa"/>
                                </w:tcPr>
                                <w:p>
                                  <w:pPr>
                                    <w:pStyle w:val="TableParagraph"/>
                                    <w:spacing w:before="69"/>
                                    <w:ind w:right="79"/>
                                    <w:jc w:val="right"/>
                                    <w:rPr>
                                      <w:b/>
                                      <w:sz w:val="20"/>
                                    </w:rPr>
                                  </w:pPr>
                                  <w:r>
                                    <w:rPr>
                                      <w:b/>
                                      <w:color w:val="030303"/>
                                      <w:spacing w:val="-5"/>
                                      <w:w w:val="105"/>
                                      <w:sz w:val="20"/>
                                    </w:rPr>
                                    <w:t>195</w:t>
                                  </w:r>
                                </w:p>
                              </w:tc>
                            </w:tr>
                            <w:tr>
                              <w:trPr>
                                <w:trHeight w:val="364" w:hRule="atLeast"/>
                              </w:trPr>
                              <w:tc>
                                <w:tcPr>
                                  <w:tcW w:w="818" w:type="dxa"/>
                                </w:tcPr>
                                <w:p>
                                  <w:pPr>
                                    <w:pStyle w:val="TableParagraph"/>
                                    <w:spacing w:before="54"/>
                                    <w:ind w:right="245"/>
                                    <w:jc w:val="right"/>
                                    <w:rPr>
                                      <w:sz w:val="21"/>
                                    </w:rPr>
                                  </w:pPr>
                                  <w:r>
                                    <w:rPr>
                                      <w:color w:val="030303"/>
                                      <w:spacing w:val="-5"/>
                                      <w:sz w:val="21"/>
                                    </w:rPr>
                                    <w:t>547</w:t>
                                  </w:r>
                                </w:p>
                              </w:tc>
                              <w:tc>
                                <w:tcPr>
                                  <w:tcW w:w="1036" w:type="dxa"/>
                                </w:tcPr>
                                <w:p>
                                  <w:pPr>
                                    <w:pStyle w:val="TableParagraph"/>
                                    <w:rPr>
                                      <w:rFonts w:ascii="Times New Roman"/>
                                      <w:sz w:val="18"/>
                                    </w:rPr>
                                  </w:pPr>
                                </w:p>
                              </w:tc>
                              <w:tc>
                                <w:tcPr>
                                  <w:tcW w:w="731" w:type="dxa"/>
                                </w:tcPr>
                                <w:p>
                                  <w:pPr>
                                    <w:pStyle w:val="TableParagraph"/>
                                    <w:spacing w:before="59"/>
                                    <w:ind w:right="161"/>
                                    <w:jc w:val="right"/>
                                    <w:rPr>
                                      <w:sz w:val="21"/>
                                    </w:rPr>
                                  </w:pPr>
                                  <w:r>
                                    <w:rPr>
                                      <w:color w:val="030303"/>
                                      <w:spacing w:val="-10"/>
                                      <w:sz w:val="21"/>
                                    </w:rPr>
                                    <w:t>1</w:t>
                                  </w:r>
                                </w:p>
                              </w:tc>
                              <w:tc>
                                <w:tcPr>
                                  <w:tcW w:w="855" w:type="dxa"/>
                                </w:tcPr>
                                <w:p>
                                  <w:pPr>
                                    <w:pStyle w:val="TableParagraph"/>
                                    <w:spacing w:before="59"/>
                                    <w:ind w:right="198"/>
                                    <w:jc w:val="right"/>
                                    <w:rPr>
                                      <w:sz w:val="21"/>
                                    </w:rPr>
                                  </w:pPr>
                                  <w:r>
                                    <w:rPr>
                                      <w:color w:val="030303"/>
                                      <w:spacing w:val="-5"/>
                                      <w:w w:val="105"/>
                                      <w:sz w:val="21"/>
                                    </w:rPr>
                                    <w:t>10</w:t>
                                  </w:r>
                                </w:p>
                              </w:tc>
                              <w:tc>
                                <w:tcPr>
                                  <w:tcW w:w="664" w:type="dxa"/>
                                </w:tcPr>
                                <w:p>
                                  <w:pPr>
                                    <w:pStyle w:val="TableParagraph"/>
                                    <w:spacing w:before="63"/>
                                    <w:ind w:right="113"/>
                                    <w:jc w:val="right"/>
                                    <w:rPr>
                                      <w:sz w:val="21"/>
                                    </w:rPr>
                                  </w:pPr>
                                  <w:r>
                                    <w:rPr>
                                      <w:color w:val="343434"/>
                                      <w:spacing w:val="-10"/>
                                      <w:w w:val="105"/>
                                      <w:sz w:val="21"/>
                                    </w:rPr>
                                    <w:t>-</w:t>
                                  </w:r>
                                </w:p>
                              </w:tc>
                              <w:tc>
                                <w:tcPr>
                                  <w:tcW w:w="1196" w:type="dxa"/>
                                </w:tcPr>
                                <w:p>
                                  <w:pPr>
                                    <w:pStyle w:val="TableParagraph"/>
                                    <w:spacing w:line="345" w:lineRule="exact"/>
                                    <w:ind w:right="456"/>
                                    <w:jc w:val="right"/>
                                    <w:rPr>
                                      <w:sz w:val="32"/>
                                    </w:rPr>
                                  </w:pPr>
                                  <w:r>
                                    <w:rPr>
                                      <w:color w:val="343434"/>
                                      <w:spacing w:val="-10"/>
                                      <w:w w:val="80"/>
                                      <w:sz w:val="32"/>
                                    </w:rPr>
                                    <w:t>-</w:t>
                                  </w:r>
                                </w:p>
                              </w:tc>
                              <w:tc>
                                <w:tcPr>
                                  <w:tcW w:w="1073" w:type="dxa"/>
                                </w:tcPr>
                                <w:p>
                                  <w:pPr>
                                    <w:pStyle w:val="TableParagraph"/>
                                    <w:spacing w:before="78"/>
                                    <w:ind w:right="111"/>
                                    <w:jc w:val="right"/>
                                    <w:rPr>
                                      <w:sz w:val="21"/>
                                    </w:rPr>
                                  </w:pPr>
                                  <w:r>
                                    <w:rPr>
                                      <w:color w:val="030303"/>
                                      <w:spacing w:val="-10"/>
                                      <w:w w:val="105"/>
                                      <w:sz w:val="21"/>
                                    </w:rPr>
                                    <w:t>-</w:t>
                                  </w:r>
                                </w:p>
                              </w:tc>
                              <w:tc>
                                <w:tcPr>
                                  <w:tcW w:w="1013" w:type="dxa"/>
                                </w:tcPr>
                                <w:p>
                                  <w:pPr>
                                    <w:pStyle w:val="TableParagraph"/>
                                    <w:spacing w:before="64"/>
                                    <w:ind w:right="121"/>
                                    <w:jc w:val="right"/>
                                    <w:rPr>
                                      <w:sz w:val="22"/>
                                    </w:rPr>
                                  </w:pPr>
                                  <w:r>
                                    <w:rPr>
                                      <w:color w:val="343434"/>
                                      <w:spacing w:val="-10"/>
                                      <w:w w:val="105"/>
                                      <w:sz w:val="22"/>
                                    </w:rPr>
                                    <w:t>-</w:t>
                                  </w:r>
                                </w:p>
                              </w:tc>
                              <w:tc>
                                <w:tcPr>
                                  <w:tcW w:w="853" w:type="dxa"/>
                                </w:tcPr>
                                <w:p>
                                  <w:pPr>
                                    <w:pStyle w:val="TableParagraph"/>
                                    <w:spacing w:before="78"/>
                                    <w:ind w:right="77"/>
                                    <w:jc w:val="right"/>
                                    <w:rPr>
                                      <w:b/>
                                      <w:sz w:val="20"/>
                                    </w:rPr>
                                  </w:pPr>
                                  <w:r>
                                    <w:rPr>
                                      <w:b/>
                                      <w:color w:val="030303"/>
                                      <w:spacing w:val="-5"/>
                                      <w:w w:val="105"/>
                                      <w:sz w:val="20"/>
                                    </w:rPr>
                                    <w:t>558</w:t>
                                  </w:r>
                                </w:p>
                              </w:tc>
                            </w:tr>
                            <w:tr>
                              <w:trPr>
                                <w:trHeight w:val="326" w:hRule="atLeast"/>
                              </w:trPr>
                              <w:tc>
                                <w:tcPr>
                                  <w:tcW w:w="818" w:type="dxa"/>
                                </w:tcPr>
                                <w:p>
                                  <w:pPr>
                                    <w:pStyle w:val="TableParagraph"/>
                                    <w:spacing w:before="26"/>
                                    <w:ind w:right="238"/>
                                    <w:jc w:val="right"/>
                                    <w:rPr>
                                      <w:sz w:val="21"/>
                                    </w:rPr>
                                  </w:pPr>
                                  <w:r>
                                    <w:rPr>
                                      <w:color w:val="030303"/>
                                      <w:spacing w:val="-5"/>
                                      <w:sz w:val="21"/>
                                    </w:rPr>
                                    <w:t>443</w:t>
                                  </w:r>
                                </w:p>
                              </w:tc>
                              <w:tc>
                                <w:tcPr>
                                  <w:tcW w:w="1036" w:type="dxa"/>
                                </w:tcPr>
                                <w:p>
                                  <w:pPr>
                                    <w:pStyle w:val="TableParagraph"/>
                                    <w:spacing w:before="31"/>
                                    <w:ind w:right="278"/>
                                    <w:jc w:val="right"/>
                                    <w:rPr>
                                      <w:sz w:val="21"/>
                                    </w:rPr>
                                  </w:pPr>
                                  <w:r>
                                    <w:rPr>
                                      <w:color w:val="030303"/>
                                      <w:spacing w:val="-5"/>
                                      <w:sz w:val="21"/>
                                    </w:rPr>
                                    <w:t>43</w:t>
                                  </w:r>
                                </w:p>
                              </w:tc>
                              <w:tc>
                                <w:tcPr>
                                  <w:tcW w:w="731" w:type="dxa"/>
                                </w:tcPr>
                                <w:p>
                                  <w:pPr>
                                    <w:pStyle w:val="TableParagraph"/>
                                    <w:spacing w:before="31"/>
                                    <w:ind w:right="159"/>
                                    <w:jc w:val="right"/>
                                    <w:rPr>
                                      <w:sz w:val="21"/>
                                    </w:rPr>
                                  </w:pPr>
                                  <w:r>
                                    <w:rPr>
                                      <w:color w:val="030303"/>
                                      <w:spacing w:val="-5"/>
                                      <w:sz w:val="21"/>
                                    </w:rPr>
                                    <w:t>39</w:t>
                                  </w:r>
                                </w:p>
                              </w:tc>
                              <w:tc>
                                <w:tcPr>
                                  <w:tcW w:w="855" w:type="dxa"/>
                                </w:tcPr>
                                <w:p>
                                  <w:pPr>
                                    <w:pStyle w:val="TableParagraph"/>
                                    <w:spacing w:before="31"/>
                                    <w:ind w:right="198"/>
                                    <w:jc w:val="right"/>
                                    <w:rPr>
                                      <w:sz w:val="21"/>
                                    </w:rPr>
                                  </w:pPr>
                                  <w:r>
                                    <w:rPr>
                                      <w:color w:val="030303"/>
                                      <w:spacing w:val="-5"/>
                                      <w:sz w:val="21"/>
                                    </w:rPr>
                                    <w:t>21</w:t>
                                  </w:r>
                                </w:p>
                              </w:tc>
                              <w:tc>
                                <w:tcPr>
                                  <w:tcW w:w="664" w:type="dxa"/>
                                </w:tcPr>
                                <w:p>
                                  <w:pPr>
                                    <w:pStyle w:val="TableParagraph"/>
                                    <w:spacing w:before="31"/>
                                    <w:ind w:right="119"/>
                                    <w:jc w:val="right"/>
                                    <w:rPr>
                                      <w:sz w:val="21"/>
                                    </w:rPr>
                                  </w:pPr>
                                  <w:r>
                                    <w:rPr>
                                      <w:color w:val="030303"/>
                                      <w:spacing w:val="-5"/>
                                      <w:sz w:val="21"/>
                                    </w:rPr>
                                    <w:t>116</w:t>
                                  </w:r>
                                </w:p>
                              </w:tc>
                              <w:tc>
                                <w:tcPr>
                                  <w:tcW w:w="1196" w:type="dxa"/>
                                </w:tcPr>
                                <w:p>
                                  <w:pPr>
                                    <w:pStyle w:val="TableParagraph"/>
                                    <w:spacing w:line="306" w:lineRule="exact"/>
                                    <w:ind w:right="448"/>
                                    <w:jc w:val="right"/>
                                    <w:rPr>
                                      <w:sz w:val="27"/>
                                    </w:rPr>
                                  </w:pPr>
                                  <w:r>
                                    <w:rPr>
                                      <w:color w:val="242424"/>
                                      <w:spacing w:val="-10"/>
                                      <w:sz w:val="27"/>
                                    </w:rPr>
                                    <w:t>-</w:t>
                                  </w:r>
                                </w:p>
                              </w:tc>
                              <w:tc>
                                <w:tcPr>
                                  <w:tcW w:w="1073" w:type="dxa"/>
                                </w:tcPr>
                                <w:p>
                                  <w:pPr>
                                    <w:pStyle w:val="TableParagraph"/>
                                    <w:spacing w:before="35"/>
                                    <w:ind w:right="108"/>
                                    <w:jc w:val="right"/>
                                    <w:rPr>
                                      <w:sz w:val="21"/>
                                    </w:rPr>
                                  </w:pPr>
                                  <w:r>
                                    <w:rPr>
                                      <w:color w:val="030303"/>
                                      <w:spacing w:val="-10"/>
                                      <w:w w:val="105"/>
                                      <w:sz w:val="21"/>
                                    </w:rPr>
                                    <w:t>7</w:t>
                                  </w:r>
                                </w:p>
                              </w:tc>
                              <w:tc>
                                <w:tcPr>
                                  <w:tcW w:w="1013" w:type="dxa"/>
                                </w:tcPr>
                                <w:p>
                                  <w:pPr>
                                    <w:pStyle w:val="TableParagraph"/>
                                    <w:spacing w:before="31"/>
                                    <w:ind w:right="133"/>
                                    <w:jc w:val="right"/>
                                    <w:rPr>
                                      <w:sz w:val="21"/>
                                    </w:rPr>
                                  </w:pPr>
                                  <w:r>
                                    <w:rPr>
                                      <w:color w:val="030303"/>
                                      <w:spacing w:val="-4"/>
                                      <w:sz w:val="21"/>
                                    </w:rPr>
                                    <w:t>(24)</w:t>
                                  </w:r>
                                </w:p>
                              </w:tc>
                              <w:tc>
                                <w:tcPr>
                                  <w:tcW w:w="853" w:type="dxa"/>
                                </w:tcPr>
                                <w:p>
                                  <w:pPr>
                                    <w:pStyle w:val="TableParagraph"/>
                                    <w:spacing w:before="45"/>
                                    <w:ind w:right="73"/>
                                    <w:jc w:val="right"/>
                                    <w:rPr>
                                      <w:b/>
                                      <w:sz w:val="20"/>
                                    </w:rPr>
                                  </w:pPr>
                                  <w:r>
                                    <w:rPr>
                                      <w:b/>
                                      <w:color w:val="030303"/>
                                      <w:spacing w:val="-5"/>
                                      <w:w w:val="105"/>
                                      <w:sz w:val="20"/>
                                    </w:rPr>
                                    <w:t>645</w:t>
                                  </w:r>
                                </w:p>
                              </w:tc>
                            </w:tr>
                            <w:tr>
                              <w:trPr>
                                <w:trHeight w:val="331" w:hRule="atLeast"/>
                              </w:trPr>
                              <w:tc>
                                <w:tcPr>
                                  <w:tcW w:w="818" w:type="dxa"/>
                                </w:tcPr>
                                <w:p>
                                  <w:pPr>
                                    <w:pStyle w:val="TableParagraph"/>
                                    <w:spacing w:before="41"/>
                                    <w:ind w:right="239"/>
                                    <w:jc w:val="right"/>
                                    <w:rPr>
                                      <w:sz w:val="21"/>
                                    </w:rPr>
                                  </w:pPr>
                                  <w:r>
                                    <w:rPr>
                                      <w:color w:val="030303"/>
                                      <w:spacing w:val="-2"/>
                                      <w:sz w:val="21"/>
                                    </w:rPr>
                                    <w:t>1,511</w:t>
                                  </w:r>
                                </w:p>
                              </w:tc>
                              <w:tc>
                                <w:tcPr>
                                  <w:tcW w:w="1036" w:type="dxa"/>
                                </w:tcPr>
                                <w:p>
                                  <w:pPr>
                                    <w:pStyle w:val="TableParagraph"/>
                                    <w:spacing w:before="41"/>
                                    <w:ind w:right="270"/>
                                    <w:jc w:val="right"/>
                                    <w:rPr>
                                      <w:sz w:val="21"/>
                                    </w:rPr>
                                  </w:pPr>
                                  <w:r>
                                    <w:rPr>
                                      <w:color w:val="030303"/>
                                      <w:spacing w:val="-10"/>
                                      <w:w w:val="105"/>
                                      <w:sz w:val="21"/>
                                    </w:rPr>
                                    <w:t>3</w:t>
                                  </w:r>
                                </w:p>
                              </w:tc>
                              <w:tc>
                                <w:tcPr>
                                  <w:tcW w:w="731" w:type="dxa"/>
                                </w:tcPr>
                                <w:p>
                                  <w:pPr>
                                    <w:pStyle w:val="TableParagraph"/>
                                    <w:spacing w:before="41"/>
                                    <w:ind w:right="154"/>
                                    <w:jc w:val="right"/>
                                    <w:rPr>
                                      <w:sz w:val="21"/>
                                    </w:rPr>
                                  </w:pPr>
                                  <w:r>
                                    <w:rPr>
                                      <w:color w:val="030303"/>
                                      <w:spacing w:val="-10"/>
                                      <w:w w:val="105"/>
                                      <w:sz w:val="21"/>
                                    </w:rPr>
                                    <w:t>8</w:t>
                                  </w:r>
                                </w:p>
                              </w:tc>
                              <w:tc>
                                <w:tcPr>
                                  <w:tcW w:w="855" w:type="dxa"/>
                                </w:tcPr>
                                <w:p>
                                  <w:pPr>
                                    <w:pStyle w:val="TableParagraph"/>
                                    <w:spacing w:before="41"/>
                                    <w:ind w:right="202"/>
                                    <w:jc w:val="right"/>
                                    <w:rPr>
                                      <w:sz w:val="21"/>
                                    </w:rPr>
                                  </w:pPr>
                                  <w:r>
                                    <w:rPr>
                                      <w:color w:val="030303"/>
                                      <w:spacing w:val="-5"/>
                                      <w:sz w:val="21"/>
                                    </w:rPr>
                                    <w:t>158</w:t>
                                  </w:r>
                                </w:p>
                              </w:tc>
                              <w:tc>
                                <w:tcPr>
                                  <w:tcW w:w="664" w:type="dxa"/>
                                </w:tcPr>
                                <w:p>
                                  <w:pPr>
                                    <w:pStyle w:val="TableParagraph"/>
                                    <w:spacing w:before="46"/>
                                    <w:ind w:right="119"/>
                                    <w:jc w:val="right"/>
                                    <w:rPr>
                                      <w:sz w:val="21"/>
                                    </w:rPr>
                                  </w:pPr>
                                  <w:r>
                                    <w:rPr>
                                      <w:color w:val="030303"/>
                                      <w:spacing w:val="-5"/>
                                      <w:sz w:val="21"/>
                                    </w:rPr>
                                    <w:t>15</w:t>
                                  </w:r>
                                </w:p>
                              </w:tc>
                              <w:tc>
                                <w:tcPr>
                                  <w:tcW w:w="1196" w:type="dxa"/>
                                </w:tcPr>
                                <w:p>
                                  <w:pPr>
                                    <w:pStyle w:val="TableParagraph"/>
                                    <w:spacing w:before="8" w:line="303" w:lineRule="exact"/>
                                    <w:ind w:right="443"/>
                                    <w:jc w:val="right"/>
                                    <w:rPr>
                                      <w:sz w:val="27"/>
                                    </w:rPr>
                                  </w:pPr>
                                  <w:r>
                                    <w:rPr>
                                      <w:color w:val="343434"/>
                                      <w:spacing w:val="-10"/>
                                      <w:sz w:val="27"/>
                                    </w:rPr>
                                    <w:t>-</w:t>
                                  </w:r>
                                </w:p>
                              </w:tc>
                              <w:tc>
                                <w:tcPr>
                                  <w:tcW w:w="1073" w:type="dxa"/>
                                </w:tcPr>
                                <w:p>
                                  <w:pPr>
                                    <w:pStyle w:val="TableParagraph"/>
                                    <w:spacing w:before="50"/>
                                    <w:ind w:right="104"/>
                                    <w:jc w:val="right"/>
                                    <w:rPr>
                                      <w:sz w:val="21"/>
                                    </w:rPr>
                                  </w:pPr>
                                  <w:r>
                                    <w:rPr>
                                      <w:color w:val="030303"/>
                                      <w:spacing w:val="-10"/>
                                      <w:w w:val="105"/>
                                      <w:sz w:val="21"/>
                                    </w:rPr>
                                    <w:t>3</w:t>
                                  </w:r>
                                </w:p>
                              </w:tc>
                              <w:tc>
                                <w:tcPr>
                                  <w:tcW w:w="1013" w:type="dxa"/>
                                </w:tcPr>
                                <w:p>
                                  <w:pPr>
                                    <w:pStyle w:val="TableParagraph"/>
                                    <w:spacing w:before="46"/>
                                    <w:ind w:right="133"/>
                                    <w:jc w:val="right"/>
                                    <w:rPr>
                                      <w:sz w:val="21"/>
                                    </w:rPr>
                                  </w:pPr>
                                  <w:r>
                                    <w:rPr>
                                      <w:color w:val="030303"/>
                                      <w:spacing w:val="-2"/>
                                      <w:sz w:val="21"/>
                                    </w:rPr>
                                    <w:t>(455)</w:t>
                                  </w:r>
                                </w:p>
                              </w:tc>
                              <w:tc>
                                <w:tcPr>
                                  <w:tcW w:w="853" w:type="dxa"/>
                                </w:tcPr>
                                <w:p>
                                  <w:pPr>
                                    <w:pStyle w:val="TableParagraph"/>
                                    <w:spacing w:before="55"/>
                                    <w:ind w:right="73"/>
                                    <w:jc w:val="right"/>
                                    <w:rPr>
                                      <w:b/>
                                      <w:sz w:val="20"/>
                                    </w:rPr>
                                  </w:pPr>
                                  <w:r>
                                    <w:rPr>
                                      <w:b/>
                                      <w:color w:val="030303"/>
                                      <w:spacing w:val="-2"/>
                                      <w:w w:val="105"/>
                                      <w:sz w:val="20"/>
                                    </w:rPr>
                                    <w:t>1,243</w:t>
                                  </w:r>
                                </w:p>
                              </w:tc>
                            </w:tr>
                            <w:tr>
                              <w:trPr>
                                <w:trHeight w:val="334" w:hRule="atLeast"/>
                              </w:trPr>
                              <w:tc>
                                <w:tcPr>
                                  <w:tcW w:w="818" w:type="dxa"/>
                                </w:tcPr>
                                <w:p>
                                  <w:pPr>
                                    <w:pStyle w:val="TableParagraph"/>
                                    <w:spacing w:before="46"/>
                                    <w:ind w:right="240"/>
                                    <w:jc w:val="right"/>
                                    <w:rPr>
                                      <w:sz w:val="21"/>
                                    </w:rPr>
                                  </w:pPr>
                                  <w:r>
                                    <w:rPr>
                                      <w:color w:val="030303"/>
                                      <w:spacing w:val="-2"/>
                                      <w:sz w:val="21"/>
                                    </w:rPr>
                                    <w:t>3,324</w:t>
                                  </w:r>
                                </w:p>
                              </w:tc>
                              <w:tc>
                                <w:tcPr>
                                  <w:tcW w:w="1036" w:type="dxa"/>
                                </w:tcPr>
                                <w:p>
                                  <w:pPr>
                                    <w:pStyle w:val="TableParagraph"/>
                                    <w:spacing w:before="4" w:line="310" w:lineRule="exact"/>
                                    <w:ind w:right="263"/>
                                    <w:jc w:val="right"/>
                                    <w:rPr>
                                      <w:sz w:val="27"/>
                                    </w:rPr>
                                  </w:pPr>
                                  <w:r>
                                    <w:rPr>
                                      <w:color w:val="242424"/>
                                      <w:spacing w:val="-10"/>
                                      <w:sz w:val="27"/>
                                    </w:rPr>
                                    <w:t>-</w:t>
                                  </w:r>
                                </w:p>
                              </w:tc>
                              <w:tc>
                                <w:tcPr>
                                  <w:tcW w:w="731" w:type="dxa"/>
                                </w:tcPr>
                                <w:p>
                                  <w:pPr>
                                    <w:pStyle w:val="TableParagraph"/>
                                    <w:spacing w:before="50"/>
                                    <w:ind w:right="143"/>
                                    <w:jc w:val="right"/>
                                    <w:rPr>
                                      <w:sz w:val="21"/>
                                    </w:rPr>
                                  </w:pPr>
                                  <w:r>
                                    <w:rPr>
                                      <w:color w:val="030303"/>
                                      <w:spacing w:val="-10"/>
                                      <w:w w:val="110"/>
                                      <w:sz w:val="21"/>
                                    </w:rPr>
                                    <w:t>4</w:t>
                                  </w:r>
                                </w:p>
                              </w:tc>
                              <w:tc>
                                <w:tcPr>
                                  <w:tcW w:w="855" w:type="dxa"/>
                                </w:tcPr>
                                <w:p>
                                  <w:pPr>
                                    <w:pStyle w:val="TableParagraph"/>
                                    <w:spacing w:before="50"/>
                                    <w:ind w:right="197"/>
                                    <w:jc w:val="right"/>
                                    <w:rPr>
                                      <w:sz w:val="21"/>
                                    </w:rPr>
                                  </w:pPr>
                                  <w:r>
                                    <w:rPr>
                                      <w:color w:val="030303"/>
                                      <w:spacing w:val="-2"/>
                                      <w:sz w:val="21"/>
                                    </w:rPr>
                                    <w:t>1,225</w:t>
                                  </w:r>
                                </w:p>
                              </w:tc>
                              <w:tc>
                                <w:tcPr>
                                  <w:tcW w:w="664" w:type="dxa"/>
                                </w:tcPr>
                                <w:p>
                                  <w:pPr>
                                    <w:pStyle w:val="TableParagraph"/>
                                    <w:spacing w:before="50"/>
                                    <w:ind w:right="114"/>
                                    <w:jc w:val="right"/>
                                    <w:rPr>
                                      <w:sz w:val="21"/>
                                    </w:rPr>
                                  </w:pPr>
                                  <w:r>
                                    <w:rPr>
                                      <w:color w:val="030303"/>
                                      <w:spacing w:val="-5"/>
                                      <w:sz w:val="21"/>
                                    </w:rPr>
                                    <w:t>127</w:t>
                                  </w:r>
                                </w:p>
                              </w:tc>
                              <w:tc>
                                <w:tcPr>
                                  <w:tcW w:w="1196" w:type="dxa"/>
                                </w:tcPr>
                                <w:p>
                                  <w:pPr>
                                    <w:pStyle w:val="TableParagraph"/>
                                    <w:spacing w:before="50"/>
                                    <w:ind w:right="451"/>
                                    <w:jc w:val="right"/>
                                    <w:rPr>
                                      <w:sz w:val="21"/>
                                    </w:rPr>
                                  </w:pPr>
                                  <w:r>
                                    <w:rPr>
                                      <w:color w:val="030303"/>
                                      <w:spacing w:val="-2"/>
                                      <w:sz w:val="21"/>
                                    </w:rPr>
                                    <w:t>25,119</w:t>
                                  </w:r>
                                </w:p>
                              </w:tc>
                              <w:tc>
                                <w:tcPr>
                                  <w:tcW w:w="1073" w:type="dxa"/>
                                </w:tcPr>
                                <w:p>
                                  <w:pPr>
                                    <w:pStyle w:val="TableParagraph"/>
                                    <w:spacing w:before="55"/>
                                    <w:ind w:right="101"/>
                                    <w:jc w:val="right"/>
                                    <w:rPr>
                                      <w:sz w:val="21"/>
                                    </w:rPr>
                                  </w:pPr>
                                  <w:r>
                                    <w:rPr>
                                      <w:color w:val="030303"/>
                                      <w:spacing w:val="-5"/>
                                      <w:w w:val="105"/>
                                      <w:sz w:val="21"/>
                                    </w:rPr>
                                    <w:t>131</w:t>
                                  </w:r>
                                </w:p>
                              </w:tc>
                              <w:tc>
                                <w:tcPr>
                                  <w:tcW w:w="1013" w:type="dxa"/>
                                </w:tcPr>
                                <w:p>
                                  <w:pPr>
                                    <w:pStyle w:val="TableParagraph"/>
                                    <w:spacing w:before="55"/>
                                    <w:ind w:right="132"/>
                                    <w:jc w:val="right"/>
                                    <w:rPr>
                                      <w:sz w:val="21"/>
                                    </w:rPr>
                                  </w:pPr>
                                  <w:r>
                                    <w:rPr>
                                      <w:color w:val="030303"/>
                                      <w:spacing w:val="-2"/>
                                      <w:sz w:val="21"/>
                                    </w:rPr>
                                    <w:t>(26,813)</w:t>
                                  </w:r>
                                </w:p>
                              </w:tc>
                              <w:tc>
                                <w:tcPr>
                                  <w:tcW w:w="853" w:type="dxa"/>
                                </w:tcPr>
                                <w:p>
                                  <w:pPr>
                                    <w:pStyle w:val="TableParagraph"/>
                                    <w:spacing w:before="65"/>
                                    <w:ind w:right="70"/>
                                    <w:jc w:val="right"/>
                                    <w:rPr>
                                      <w:b/>
                                      <w:sz w:val="20"/>
                                    </w:rPr>
                                  </w:pPr>
                                  <w:r>
                                    <w:rPr>
                                      <w:b/>
                                      <w:color w:val="030303"/>
                                      <w:spacing w:val="-2"/>
                                      <w:w w:val="105"/>
                                      <w:sz w:val="20"/>
                                    </w:rPr>
                                    <w:t>3,117</w:t>
                                  </w:r>
                                </w:p>
                              </w:tc>
                            </w:tr>
                            <w:tr>
                              <w:trPr>
                                <w:trHeight w:val="336" w:hRule="atLeast"/>
                              </w:trPr>
                              <w:tc>
                                <w:tcPr>
                                  <w:tcW w:w="818" w:type="dxa"/>
                                </w:tcPr>
                                <w:p>
                                  <w:pPr>
                                    <w:pStyle w:val="TableParagraph"/>
                                    <w:spacing w:before="48"/>
                                    <w:ind w:right="232"/>
                                    <w:jc w:val="right"/>
                                    <w:rPr>
                                      <w:sz w:val="21"/>
                                    </w:rPr>
                                  </w:pPr>
                                  <w:r>
                                    <w:rPr>
                                      <w:color w:val="030303"/>
                                      <w:spacing w:val="-5"/>
                                      <w:sz w:val="21"/>
                                    </w:rPr>
                                    <w:t>97</w:t>
                                  </w:r>
                                </w:p>
                              </w:tc>
                              <w:tc>
                                <w:tcPr>
                                  <w:tcW w:w="1036" w:type="dxa"/>
                                </w:tcPr>
                                <w:p>
                                  <w:pPr>
                                    <w:pStyle w:val="TableParagraph"/>
                                    <w:spacing w:before="67"/>
                                    <w:ind w:right="263"/>
                                    <w:jc w:val="right"/>
                                    <w:rPr>
                                      <w:sz w:val="21"/>
                                    </w:rPr>
                                  </w:pPr>
                                  <w:r>
                                    <w:rPr>
                                      <w:color w:val="242424"/>
                                      <w:spacing w:val="-10"/>
                                      <w:w w:val="105"/>
                                      <w:sz w:val="21"/>
                                    </w:rPr>
                                    <w:t>-</w:t>
                                  </w:r>
                                </w:p>
                              </w:tc>
                              <w:tc>
                                <w:tcPr>
                                  <w:tcW w:w="731" w:type="dxa"/>
                                </w:tcPr>
                                <w:p>
                                  <w:pPr>
                                    <w:pStyle w:val="TableParagraph"/>
                                    <w:spacing w:before="43"/>
                                    <w:ind w:right="142"/>
                                    <w:jc w:val="right"/>
                                    <w:rPr>
                                      <w:sz w:val="22"/>
                                    </w:rPr>
                                  </w:pPr>
                                  <w:r>
                                    <w:rPr>
                                      <w:color w:val="030303"/>
                                      <w:spacing w:val="-10"/>
                                      <w:w w:val="110"/>
                                      <w:sz w:val="22"/>
                                    </w:rPr>
                                    <w:t>-</w:t>
                                  </w:r>
                                </w:p>
                              </w:tc>
                              <w:tc>
                                <w:tcPr>
                                  <w:tcW w:w="855" w:type="dxa"/>
                                </w:tcPr>
                                <w:p>
                                  <w:pPr>
                                    <w:pStyle w:val="TableParagraph"/>
                                    <w:spacing w:before="53"/>
                                    <w:ind w:right="190"/>
                                    <w:jc w:val="right"/>
                                    <w:rPr>
                                      <w:sz w:val="21"/>
                                    </w:rPr>
                                  </w:pPr>
                                  <w:r>
                                    <w:rPr>
                                      <w:color w:val="030303"/>
                                      <w:spacing w:val="-5"/>
                                      <w:sz w:val="21"/>
                                    </w:rPr>
                                    <w:t>170</w:t>
                                  </w:r>
                                </w:p>
                              </w:tc>
                              <w:tc>
                                <w:tcPr>
                                  <w:tcW w:w="664" w:type="dxa"/>
                                </w:tcPr>
                                <w:p>
                                  <w:pPr>
                                    <w:pStyle w:val="TableParagraph"/>
                                    <w:spacing w:before="58"/>
                                    <w:ind w:right="108"/>
                                    <w:jc w:val="right"/>
                                    <w:rPr>
                                      <w:sz w:val="21"/>
                                    </w:rPr>
                                  </w:pPr>
                                  <w:r>
                                    <w:rPr>
                                      <w:color w:val="030303"/>
                                      <w:spacing w:val="-5"/>
                                      <w:w w:val="105"/>
                                      <w:sz w:val="21"/>
                                    </w:rPr>
                                    <w:t>99</w:t>
                                  </w:r>
                                </w:p>
                              </w:tc>
                              <w:tc>
                                <w:tcPr>
                                  <w:tcW w:w="1196" w:type="dxa"/>
                                </w:tcPr>
                                <w:p>
                                  <w:pPr>
                                    <w:pStyle w:val="TableParagraph"/>
                                    <w:spacing w:before="11" w:line="305" w:lineRule="exact"/>
                                    <w:ind w:right="439"/>
                                    <w:jc w:val="right"/>
                                    <w:rPr>
                                      <w:sz w:val="27"/>
                                    </w:rPr>
                                  </w:pPr>
                                  <w:r>
                                    <w:rPr>
                                      <w:color w:val="030303"/>
                                      <w:spacing w:val="-10"/>
                                      <w:sz w:val="27"/>
                                    </w:rPr>
                                    <w:t>-</w:t>
                                  </w:r>
                                </w:p>
                              </w:tc>
                              <w:tc>
                                <w:tcPr>
                                  <w:tcW w:w="1073" w:type="dxa"/>
                                </w:tcPr>
                                <w:p>
                                  <w:pPr>
                                    <w:pStyle w:val="TableParagraph"/>
                                    <w:spacing w:before="58"/>
                                    <w:ind w:right="97"/>
                                    <w:jc w:val="right"/>
                                    <w:rPr>
                                      <w:sz w:val="21"/>
                                    </w:rPr>
                                  </w:pPr>
                                  <w:r>
                                    <w:rPr>
                                      <w:color w:val="343434"/>
                                      <w:spacing w:val="-10"/>
                                      <w:w w:val="105"/>
                                      <w:sz w:val="21"/>
                                    </w:rPr>
                                    <w:t>-</w:t>
                                  </w:r>
                                </w:p>
                              </w:tc>
                              <w:tc>
                                <w:tcPr>
                                  <w:tcW w:w="1013" w:type="dxa"/>
                                </w:tcPr>
                                <w:p>
                                  <w:pPr>
                                    <w:pStyle w:val="TableParagraph"/>
                                    <w:spacing w:before="53"/>
                                    <w:ind w:right="120"/>
                                    <w:jc w:val="right"/>
                                    <w:rPr>
                                      <w:sz w:val="21"/>
                                    </w:rPr>
                                  </w:pPr>
                                  <w:r>
                                    <w:rPr>
                                      <w:color w:val="030303"/>
                                      <w:spacing w:val="-4"/>
                                      <w:sz w:val="21"/>
                                    </w:rPr>
                                    <w:t>(99)</w:t>
                                  </w:r>
                                </w:p>
                              </w:tc>
                              <w:tc>
                                <w:tcPr>
                                  <w:tcW w:w="853" w:type="dxa"/>
                                </w:tcPr>
                                <w:p>
                                  <w:pPr>
                                    <w:pStyle w:val="TableParagraph"/>
                                    <w:spacing w:before="67"/>
                                    <w:ind w:right="62"/>
                                    <w:jc w:val="right"/>
                                    <w:rPr>
                                      <w:b/>
                                      <w:sz w:val="20"/>
                                    </w:rPr>
                                  </w:pPr>
                                  <w:r>
                                    <w:rPr>
                                      <w:b/>
                                      <w:color w:val="030303"/>
                                      <w:spacing w:val="-5"/>
                                      <w:w w:val="105"/>
                                      <w:sz w:val="20"/>
                                    </w:rPr>
                                    <w:t>267</w:t>
                                  </w:r>
                                </w:p>
                              </w:tc>
                            </w:tr>
                            <w:tr>
                              <w:trPr>
                                <w:trHeight w:val="349" w:hRule="atLeast"/>
                              </w:trPr>
                              <w:tc>
                                <w:tcPr>
                                  <w:tcW w:w="818" w:type="dxa"/>
                                </w:tcPr>
                                <w:p>
                                  <w:pPr>
                                    <w:pStyle w:val="TableParagraph"/>
                                    <w:spacing w:before="48"/>
                                    <w:ind w:right="235"/>
                                    <w:jc w:val="right"/>
                                    <w:rPr>
                                      <w:sz w:val="21"/>
                                    </w:rPr>
                                  </w:pPr>
                                  <w:r>
                                    <w:rPr>
                                      <w:color w:val="030303"/>
                                      <w:spacing w:val="-2"/>
                                      <w:sz w:val="21"/>
                                    </w:rPr>
                                    <w:t>1,203</w:t>
                                  </w:r>
                                </w:p>
                              </w:tc>
                              <w:tc>
                                <w:tcPr>
                                  <w:tcW w:w="1036" w:type="dxa"/>
                                </w:tcPr>
                                <w:p>
                                  <w:pPr>
                                    <w:pStyle w:val="TableParagraph"/>
                                    <w:spacing w:before="6"/>
                                    <w:ind w:right="258"/>
                                    <w:jc w:val="right"/>
                                    <w:rPr>
                                      <w:sz w:val="27"/>
                                    </w:rPr>
                                  </w:pPr>
                                  <w:r>
                                    <w:rPr>
                                      <w:color w:val="030303"/>
                                      <w:spacing w:val="-10"/>
                                      <w:sz w:val="27"/>
                                    </w:rPr>
                                    <w:t>-</w:t>
                                  </w:r>
                                </w:p>
                              </w:tc>
                              <w:tc>
                                <w:tcPr>
                                  <w:tcW w:w="731" w:type="dxa"/>
                                </w:tcPr>
                                <w:p>
                                  <w:pPr>
                                    <w:pStyle w:val="TableParagraph"/>
                                    <w:spacing w:before="48"/>
                                    <w:ind w:right="141"/>
                                    <w:jc w:val="right"/>
                                    <w:rPr>
                                      <w:sz w:val="21"/>
                                    </w:rPr>
                                  </w:pPr>
                                  <w:r>
                                    <w:rPr>
                                      <w:color w:val="030303"/>
                                      <w:spacing w:val="-10"/>
                                      <w:w w:val="105"/>
                                      <w:sz w:val="21"/>
                                    </w:rPr>
                                    <w:t>5</w:t>
                                  </w:r>
                                </w:p>
                              </w:tc>
                              <w:tc>
                                <w:tcPr>
                                  <w:tcW w:w="855" w:type="dxa"/>
                                </w:tcPr>
                                <w:p>
                                  <w:pPr>
                                    <w:pStyle w:val="TableParagraph"/>
                                    <w:spacing w:before="48"/>
                                    <w:ind w:right="186"/>
                                    <w:jc w:val="right"/>
                                    <w:rPr>
                                      <w:sz w:val="21"/>
                                    </w:rPr>
                                  </w:pPr>
                                  <w:r>
                                    <w:rPr>
                                      <w:color w:val="030303"/>
                                      <w:spacing w:val="-5"/>
                                      <w:sz w:val="21"/>
                                    </w:rPr>
                                    <w:t>920</w:t>
                                  </w:r>
                                </w:p>
                              </w:tc>
                              <w:tc>
                                <w:tcPr>
                                  <w:tcW w:w="664" w:type="dxa"/>
                                </w:tcPr>
                                <w:p>
                                  <w:pPr>
                                    <w:pStyle w:val="TableParagraph"/>
                                    <w:spacing w:before="53"/>
                                    <w:ind w:right="112"/>
                                    <w:jc w:val="right"/>
                                    <w:rPr>
                                      <w:sz w:val="21"/>
                                    </w:rPr>
                                  </w:pPr>
                                  <w:r>
                                    <w:rPr>
                                      <w:color w:val="030303"/>
                                      <w:spacing w:val="-5"/>
                                      <w:sz w:val="21"/>
                                    </w:rPr>
                                    <w:t>52</w:t>
                                  </w:r>
                                </w:p>
                              </w:tc>
                              <w:tc>
                                <w:tcPr>
                                  <w:tcW w:w="1196" w:type="dxa"/>
                                </w:tcPr>
                                <w:p>
                                  <w:pPr>
                                    <w:pStyle w:val="TableParagraph"/>
                                    <w:spacing w:before="53"/>
                                    <w:ind w:right="443"/>
                                    <w:jc w:val="right"/>
                                    <w:rPr>
                                      <w:sz w:val="21"/>
                                    </w:rPr>
                                  </w:pPr>
                                  <w:r>
                                    <w:rPr>
                                      <w:color w:val="030303"/>
                                      <w:spacing w:val="-5"/>
                                      <w:sz w:val="21"/>
                                    </w:rPr>
                                    <w:t>50</w:t>
                                  </w:r>
                                </w:p>
                              </w:tc>
                              <w:tc>
                                <w:tcPr>
                                  <w:tcW w:w="1073" w:type="dxa"/>
                                </w:tcPr>
                                <w:p>
                                  <w:pPr>
                                    <w:pStyle w:val="TableParagraph"/>
                                    <w:spacing w:before="53"/>
                                    <w:ind w:right="104"/>
                                    <w:jc w:val="right"/>
                                    <w:rPr>
                                      <w:sz w:val="21"/>
                                    </w:rPr>
                                  </w:pPr>
                                  <w:r>
                                    <w:rPr>
                                      <w:color w:val="030303"/>
                                      <w:spacing w:val="-2"/>
                                      <w:sz w:val="21"/>
                                    </w:rPr>
                                    <w:t>1,462</w:t>
                                  </w:r>
                                </w:p>
                              </w:tc>
                              <w:tc>
                                <w:tcPr>
                                  <w:tcW w:w="1013" w:type="dxa"/>
                                </w:tcPr>
                                <w:p>
                                  <w:pPr>
                                    <w:pStyle w:val="TableParagraph"/>
                                    <w:spacing w:before="53"/>
                                    <w:ind w:right="123"/>
                                    <w:jc w:val="right"/>
                                    <w:rPr>
                                      <w:sz w:val="21"/>
                                    </w:rPr>
                                  </w:pPr>
                                  <w:r>
                                    <w:rPr>
                                      <w:color w:val="030303"/>
                                      <w:spacing w:val="-2"/>
                                      <w:sz w:val="21"/>
                                    </w:rPr>
                                    <w:t>(1,285)</w:t>
                                  </w:r>
                                </w:p>
                              </w:tc>
                              <w:tc>
                                <w:tcPr>
                                  <w:tcW w:w="853" w:type="dxa"/>
                                </w:tcPr>
                                <w:p>
                                  <w:pPr>
                                    <w:pStyle w:val="TableParagraph"/>
                                    <w:spacing w:before="62"/>
                                    <w:ind w:right="63"/>
                                    <w:jc w:val="right"/>
                                    <w:rPr>
                                      <w:b/>
                                      <w:sz w:val="20"/>
                                    </w:rPr>
                                  </w:pPr>
                                  <w:r>
                                    <w:rPr>
                                      <w:b/>
                                      <w:color w:val="030303"/>
                                      <w:spacing w:val="-2"/>
                                      <w:w w:val="105"/>
                                      <w:sz w:val="20"/>
                                    </w:rPr>
                                    <w:t>2,407</w:t>
                                  </w:r>
                                </w:p>
                              </w:tc>
                            </w:tr>
                            <w:tr>
                              <w:trPr>
                                <w:trHeight w:val="309" w:hRule="atLeast"/>
                              </w:trPr>
                              <w:tc>
                                <w:tcPr>
                                  <w:tcW w:w="818" w:type="dxa"/>
                                </w:tcPr>
                                <w:p>
                                  <w:pPr>
                                    <w:pStyle w:val="TableParagraph"/>
                                    <w:spacing w:before="30"/>
                                    <w:ind w:right="229"/>
                                    <w:jc w:val="right"/>
                                    <w:rPr>
                                      <w:sz w:val="21"/>
                                    </w:rPr>
                                  </w:pPr>
                                  <w:r>
                                    <w:rPr>
                                      <w:color w:val="030303"/>
                                      <w:spacing w:val="-2"/>
                                      <w:sz w:val="21"/>
                                    </w:rPr>
                                    <w:t>1,437</w:t>
                                  </w:r>
                                </w:p>
                              </w:tc>
                              <w:tc>
                                <w:tcPr>
                                  <w:tcW w:w="1036" w:type="dxa"/>
                                </w:tcPr>
                                <w:p>
                                  <w:pPr>
                                    <w:pStyle w:val="TableParagraph"/>
                                    <w:spacing w:before="49" w:line="240" w:lineRule="exact"/>
                                    <w:ind w:right="258"/>
                                    <w:jc w:val="right"/>
                                    <w:rPr>
                                      <w:sz w:val="21"/>
                                    </w:rPr>
                                  </w:pPr>
                                  <w:r>
                                    <w:rPr>
                                      <w:color w:val="030303"/>
                                      <w:spacing w:val="-10"/>
                                      <w:w w:val="105"/>
                                      <w:sz w:val="21"/>
                                    </w:rPr>
                                    <w:t>-</w:t>
                                  </w:r>
                                </w:p>
                              </w:tc>
                              <w:tc>
                                <w:tcPr>
                                  <w:tcW w:w="731" w:type="dxa"/>
                                </w:tcPr>
                                <w:p>
                                  <w:pPr>
                                    <w:pStyle w:val="TableParagraph"/>
                                    <w:spacing w:before="26"/>
                                    <w:ind w:right="137"/>
                                    <w:jc w:val="right"/>
                                    <w:rPr>
                                      <w:sz w:val="22"/>
                                    </w:rPr>
                                  </w:pPr>
                                  <w:r>
                                    <w:rPr>
                                      <w:color w:val="030303"/>
                                      <w:spacing w:val="-10"/>
                                      <w:w w:val="110"/>
                                      <w:sz w:val="22"/>
                                    </w:rPr>
                                    <w:t>-</w:t>
                                  </w:r>
                                </w:p>
                              </w:tc>
                              <w:tc>
                                <w:tcPr>
                                  <w:tcW w:w="855" w:type="dxa"/>
                                </w:tcPr>
                                <w:p>
                                  <w:pPr>
                                    <w:pStyle w:val="TableParagraph"/>
                                    <w:spacing w:before="30"/>
                                    <w:ind w:right="186"/>
                                    <w:jc w:val="right"/>
                                    <w:rPr>
                                      <w:sz w:val="21"/>
                                    </w:rPr>
                                  </w:pPr>
                                  <w:r>
                                    <w:rPr>
                                      <w:color w:val="030303"/>
                                      <w:spacing w:val="-5"/>
                                      <w:sz w:val="21"/>
                                    </w:rPr>
                                    <w:t>128</w:t>
                                  </w:r>
                                </w:p>
                              </w:tc>
                              <w:tc>
                                <w:tcPr>
                                  <w:tcW w:w="664" w:type="dxa"/>
                                </w:tcPr>
                                <w:p>
                                  <w:pPr>
                                    <w:pStyle w:val="TableParagraph"/>
                                    <w:spacing w:before="30"/>
                                    <w:ind w:right="104"/>
                                    <w:jc w:val="right"/>
                                    <w:rPr>
                                      <w:sz w:val="21"/>
                                    </w:rPr>
                                  </w:pPr>
                                  <w:r>
                                    <w:rPr>
                                      <w:color w:val="030303"/>
                                      <w:spacing w:val="-5"/>
                                      <w:sz w:val="21"/>
                                    </w:rPr>
                                    <w:t>126</w:t>
                                  </w:r>
                                </w:p>
                              </w:tc>
                              <w:tc>
                                <w:tcPr>
                                  <w:tcW w:w="1196" w:type="dxa"/>
                                </w:tcPr>
                                <w:p>
                                  <w:pPr>
                                    <w:pStyle w:val="TableParagraph"/>
                                    <w:spacing w:before="30"/>
                                    <w:ind w:right="439"/>
                                    <w:jc w:val="right"/>
                                    <w:rPr>
                                      <w:sz w:val="22"/>
                                    </w:rPr>
                                  </w:pPr>
                                  <w:r>
                                    <w:rPr>
                                      <w:color w:val="343434"/>
                                      <w:spacing w:val="-10"/>
                                      <w:sz w:val="22"/>
                                    </w:rPr>
                                    <w:t>-</w:t>
                                  </w:r>
                                </w:p>
                              </w:tc>
                              <w:tc>
                                <w:tcPr>
                                  <w:tcW w:w="1073" w:type="dxa"/>
                                </w:tcPr>
                                <w:p>
                                  <w:pPr>
                                    <w:pStyle w:val="TableParagraph"/>
                                    <w:spacing w:before="35"/>
                                    <w:ind w:right="97"/>
                                    <w:jc w:val="right"/>
                                    <w:rPr>
                                      <w:sz w:val="21"/>
                                    </w:rPr>
                                  </w:pPr>
                                  <w:r>
                                    <w:rPr>
                                      <w:color w:val="030303"/>
                                      <w:spacing w:val="-5"/>
                                      <w:sz w:val="21"/>
                                    </w:rPr>
                                    <w:t>33</w:t>
                                  </w:r>
                                </w:p>
                              </w:tc>
                              <w:tc>
                                <w:tcPr>
                                  <w:tcW w:w="1013" w:type="dxa"/>
                                </w:tcPr>
                                <w:p>
                                  <w:pPr>
                                    <w:pStyle w:val="TableParagraph"/>
                                    <w:spacing w:before="30"/>
                                    <w:ind w:right="119"/>
                                    <w:jc w:val="right"/>
                                    <w:rPr>
                                      <w:sz w:val="21"/>
                                    </w:rPr>
                                  </w:pPr>
                                  <w:r>
                                    <w:rPr>
                                      <w:color w:val="030303"/>
                                      <w:spacing w:val="-4"/>
                                      <w:sz w:val="21"/>
                                    </w:rPr>
                                    <w:t>(96)</w:t>
                                  </w:r>
                                </w:p>
                              </w:tc>
                              <w:tc>
                                <w:tcPr>
                                  <w:tcW w:w="853" w:type="dxa"/>
                                </w:tcPr>
                                <w:p>
                                  <w:pPr>
                                    <w:pStyle w:val="TableParagraph"/>
                                    <w:spacing w:before="39"/>
                                    <w:ind w:right="59"/>
                                    <w:jc w:val="right"/>
                                    <w:rPr>
                                      <w:b/>
                                      <w:sz w:val="20"/>
                                    </w:rPr>
                                  </w:pPr>
                                  <w:r>
                                    <w:rPr>
                                      <w:b/>
                                      <w:color w:val="030303"/>
                                      <w:spacing w:val="-2"/>
                                      <w:w w:val="105"/>
                                      <w:sz w:val="20"/>
                                    </w:rPr>
                                    <w:t>1,628</w:t>
                                  </w:r>
                                </w:p>
                              </w:tc>
                            </w:tr>
                            <w:tr>
                              <w:trPr>
                                <w:trHeight w:val="342" w:hRule="atLeast"/>
                              </w:trPr>
                              <w:tc>
                                <w:tcPr>
                                  <w:tcW w:w="818" w:type="dxa"/>
                                </w:tcPr>
                                <w:p>
                                  <w:pPr>
                                    <w:pStyle w:val="TableParagraph"/>
                                    <w:spacing w:before="52"/>
                                    <w:ind w:right="230"/>
                                    <w:jc w:val="right"/>
                                    <w:rPr>
                                      <w:sz w:val="21"/>
                                    </w:rPr>
                                  </w:pPr>
                                  <w:r>
                                    <w:rPr>
                                      <w:color w:val="030303"/>
                                      <w:spacing w:val="-2"/>
                                      <w:sz w:val="21"/>
                                    </w:rPr>
                                    <w:t>1,230</w:t>
                                  </w:r>
                                </w:p>
                              </w:tc>
                              <w:tc>
                                <w:tcPr>
                                  <w:tcW w:w="1036" w:type="dxa"/>
                                </w:tcPr>
                                <w:p>
                                  <w:pPr>
                                    <w:pStyle w:val="TableParagraph"/>
                                    <w:spacing w:before="10"/>
                                    <w:ind w:right="254"/>
                                    <w:jc w:val="right"/>
                                    <w:rPr>
                                      <w:sz w:val="27"/>
                                    </w:rPr>
                                  </w:pPr>
                                  <w:r>
                                    <w:rPr>
                                      <w:color w:val="030303"/>
                                      <w:spacing w:val="-10"/>
                                      <w:sz w:val="27"/>
                                    </w:rPr>
                                    <w:t>-</w:t>
                                  </w:r>
                                </w:p>
                              </w:tc>
                              <w:tc>
                                <w:tcPr>
                                  <w:tcW w:w="731" w:type="dxa"/>
                                </w:tcPr>
                                <w:p>
                                  <w:pPr>
                                    <w:pStyle w:val="TableParagraph"/>
                                    <w:spacing w:before="52"/>
                                    <w:ind w:right="134"/>
                                    <w:jc w:val="right"/>
                                    <w:rPr>
                                      <w:sz w:val="21"/>
                                    </w:rPr>
                                  </w:pPr>
                                  <w:r>
                                    <w:rPr>
                                      <w:color w:val="030303"/>
                                      <w:spacing w:val="-10"/>
                                      <w:w w:val="110"/>
                                      <w:sz w:val="21"/>
                                    </w:rPr>
                                    <w:t>4</w:t>
                                  </w:r>
                                </w:p>
                              </w:tc>
                              <w:tc>
                                <w:tcPr>
                                  <w:tcW w:w="855" w:type="dxa"/>
                                </w:tcPr>
                                <w:p>
                                  <w:pPr>
                                    <w:pStyle w:val="TableParagraph"/>
                                    <w:spacing w:before="52"/>
                                    <w:ind w:right="175"/>
                                    <w:jc w:val="right"/>
                                    <w:rPr>
                                      <w:sz w:val="21"/>
                                    </w:rPr>
                                  </w:pPr>
                                  <w:r>
                                    <w:rPr>
                                      <w:color w:val="030303"/>
                                      <w:spacing w:val="-5"/>
                                      <w:w w:val="105"/>
                                      <w:sz w:val="21"/>
                                    </w:rPr>
                                    <w:t>651</w:t>
                                  </w:r>
                                </w:p>
                              </w:tc>
                              <w:tc>
                                <w:tcPr>
                                  <w:tcW w:w="664" w:type="dxa"/>
                                </w:tcPr>
                                <w:p>
                                  <w:pPr>
                                    <w:pStyle w:val="TableParagraph"/>
                                    <w:spacing w:before="15" w:line="308" w:lineRule="exact"/>
                                    <w:ind w:right="94"/>
                                    <w:jc w:val="right"/>
                                    <w:rPr>
                                      <w:sz w:val="27"/>
                                    </w:rPr>
                                  </w:pPr>
                                  <w:r>
                                    <w:rPr>
                                      <w:color w:val="343434"/>
                                      <w:spacing w:val="-10"/>
                                      <w:sz w:val="27"/>
                                    </w:rPr>
                                    <w:t>-</w:t>
                                  </w:r>
                                </w:p>
                              </w:tc>
                              <w:tc>
                                <w:tcPr>
                                  <w:tcW w:w="1196" w:type="dxa"/>
                                </w:tcPr>
                                <w:p>
                                  <w:pPr>
                                    <w:pStyle w:val="TableParagraph"/>
                                    <w:spacing w:before="71"/>
                                    <w:ind w:right="428"/>
                                    <w:jc w:val="right"/>
                                    <w:rPr>
                                      <w:sz w:val="21"/>
                                    </w:rPr>
                                  </w:pPr>
                                  <w:r>
                                    <w:rPr>
                                      <w:color w:val="343434"/>
                                      <w:spacing w:val="-10"/>
                                      <w:w w:val="105"/>
                                      <w:sz w:val="21"/>
                                    </w:rPr>
                                    <w:t>-</w:t>
                                  </w:r>
                                </w:p>
                              </w:tc>
                              <w:tc>
                                <w:tcPr>
                                  <w:tcW w:w="1073" w:type="dxa"/>
                                </w:tcPr>
                                <w:p>
                                  <w:pPr>
                                    <w:pStyle w:val="TableParagraph"/>
                                    <w:spacing w:before="57"/>
                                    <w:ind w:right="87"/>
                                    <w:jc w:val="right"/>
                                    <w:rPr>
                                      <w:sz w:val="21"/>
                                    </w:rPr>
                                  </w:pPr>
                                  <w:r>
                                    <w:rPr>
                                      <w:color w:val="242424"/>
                                      <w:spacing w:val="-10"/>
                                      <w:w w:val="105"/>
                                      <w:sz w:val="21"/>
                                    </w:rPr>
                                    <w:t>-</w:t>
                                  </w:r>
                                </w:p>
                              </w:tc>
                              <w:tc>
                                <w:tcPr>
                                  <w:tcW w:w="1013" w:type="dxa"/>
                                </w:tcPr>
                                <w:p>
                                  <w:pPr>
                                    <w:pStyle w:val="TableParagraph"/>
                                    <w:spacing w:before="52"/>
                                    <w:ind w:right="113"/>
                                    <w:jc w:val="right"/>
                                    <w:rPr>
                                      <w:sz w:val="21"/>
                                    </w:rPr>
                                  </w:pPr>
                                  <w:r>
                                    <w:rPr>
                                      <w:color w:val="030303"/>
                                      <w:spacing w:val="-2"/>
                                      <w:sz w:val="21"/>
                                    </w:rPr>
                                    <w:t>(178)</w:t>
                                  </w:r>
                                </w:p>
                              </w:tc>
                              <w:tc>
                                <w:tcPr>
                                  <w:tcW w:w="853" w:type="dxa"/>
                                </w:tcPr>
                                <w:p>
                                  <w:pPr>
                                    <w:pStyle w:val="TableParagraph"/>
                                    <w:spacing w:before="61"/>
                                    <w:ind w:right="54"/>
                                    <w:jc w:val="right"/>
                                    <w:rPr>
                                      <w:b/>
                                      <w:sz w:val="20"/>
                                    </w:rPr>
                                  </w:pPr>
                                  <w:r>
                                    <w:rPr>
                                      <w:b/>
                                      <w:color w:val="030303"/>
                                      <w:spacing w:val="-2"/>
                                      <w:w w:val="105"/>
                                      <w:sz w:val="20"/>
                                    </w:rPr>
                                    <w:t>1,707</w:t>
                                  </w:r>
                                </w:p>
                              </w:tc>
                            </w:tr>
                            <w:tr>
                              <w:trPr>
                                <w:trHeight w:val="321" w:hRule="atLeast"/>
                              </w:trPr>
                              <w:tc>
                                <w:tcPr>
                                  <w:tcW w:w="818" w:type="dxa"/>
                                </w:tcPr>
                                <w:p>
                                  <w:pPr>
                                    <w:pStyle w:val="TableParagraph"/>
                                    <w:spacing w:before="50"/>
                                    <w:ind w:right="219"/>
                                    <w:jc w:val="right"/>
                                    <w:rPr>
                                      <w:sz w:val="21"/>
                                    </w:rPr>
                                  </w:pPr>
                                  <w:r>
                                    <w:rPr>
                                      <w:color w:val="030303"/>
                                      <w:spacing w:val="-5"/>
                                      <w:sz w:val="21"/>
                                    </w:rPr>
                                    <w:t>987</w:t>
                                  </w:r>
                                </w:p>
                              </w:tc>
                              <w:tc>
                                <w:tcPr>
                                  <w:tcW w:w="1036" w:type="dxa"/>
                                </w:tcPr>
                                <w:p>
                                  <w:pPr>
                                    <w:pStyle w:val="TableParagraph"/>
                                    <w:spacing w:before="50"/>
                                    <w:ind w:right="252"/>
                                    <w:jc w:val="right"/>
                                    <w:rPr>
                                      <w:sz w:val="21"/>
                                    </w:rPr>
                                  </w:pPr>
                                  <w:r>
                                    <w:rPr>
                                      <w:color w:val="030303"/>
                                      <w:spacing w:val="-5"/>
                                      <w:sz w:val="21"/>
                                    </w:rPr>
                                    <w:t>22</w:t>
                                  </w:r>
                                </w:p>
                              </w:tc>
                              <w:tc>
                                <w:tcPr>
                                  <w:tcW w:w="731" w:type="dxa"/>
                                </w:tcPr>
                                <w:p>
                                  <w:pPr>
                                    <w:pStyle w:val="TableParagraph"/>
                                    <w:spacing w:before="46"/>
                                    <w:ind w:right="138"/>
                                    <w:jc w:val="right"/>
                                    <w:rPr>
                                      <w:sz w:val="21"/>
                                    </w:rPr>
                                  </w:pPr>
                                  <w:r>
                                    <w:rPr>
                                      <w:color w:val="030303"/>
                                      <w:spacing w:val="-10"/>
                                      <w:sz w:val="21"/>
                                    </w:rPr>
                                    <w:t>1</w:t>
                                  </w:r>
                                </w:p>
                              </w:tc>
                              <w:tc>
                                <w:tcPr>
                                  <w:tcW w:w="855" w:type="dxa"/>
                                </w:tcPr>
                                <w:p>
                                  <w:pPr>
                                    <w:pStyle w:val="TableParagraph"/>
                                    <w:spacing w:before="46"/>
                                    <w:ind w:right="181"/>
                                    <w:jc w:val="right"/>
                                    <w:rPr>
                                      <w:sz w:val="21"/>
                                    </w:rPr>
                                  </w:pPr>
                                  <w:r>
                                    <w:rPr>
                                      <w:color w:val="030303"/>
                                      <w:spacing w:val="-5"/>
                                      <w:sz w:val="21"/>
                                    </w:rPr>
                                    <w:t>419</w:t>
                                  </w:r>
                                </w:p>
                              </w:tc>
                              <w:tc>
                                <w:tcPr>
                                  <w:tcW w:w="664" w:type="dxa"/>
                                </w:tcPr>
                                <w:p>
                                  <w:pPr>
                                    <w:pStyle w:val="TableParagraph"/>
                                    <w:spacing w:before="50"/>
                                    <w:ind w:right="100"/>
                                    <w:jc w:val="right"/>
                                    <w:rPr>
                                      <w:sz w:val="21"/>
                                    </w:rPr>
                                  </w:pPr>
                                  <w:r>
                                    <w:rPr>
                                      <w:color w:val="030303"/>
                                      <w:spacing w:val="-5"/>
                                      <w:sz w:val="21"/>
                                    </w:rPr>
                                    <w:t>675</w:t>
                                  </w:r>
                                </w:p>
                              </w:tc>
                              <w:tc>
                                <w:tcPr>
                                  <w:tcW w:w="1196" w:type="dxa"/>
                                </w:tcPr>
                                <w:p>
                                  <w:pPr>
                                    <w:pStyle w:val="TableParagraph"/>
                                    <w:spacing w:before="8" w:line="292" w:lineRule="exact"/>
                                    <w:ind w:right="424"/>
                                    <w:jc w:val="right"/>
                                    <w:rPr>
                                      <w:sz w:val="27"/>
                                    </w:rPr>
                                  </w:pPr>
                                  <w:r>
                                    <w:rPr>
                                      <w:color w:val="343434"/>
                                      <w:spacing w:val="-10"/>
                                      <w:sz w:val="27"/>
                                    </w:rPr>
                                    <w:t>-</w:t>
                                  </w:r>
                                </w:p>
                              </w:tc>
                              <w:tc>
                                <w:tcPr>
                                  <w:tcW w:w="1073" w:type="dxa"/>
                                </w:tcPr>
                                <w:p>
                                  <w:pPr>
                                    <w:pStyle w:val="TableParagraph"/>
                                    <w:spacing w:before="46"/>
                                    <w:ind w:right="98"/>
                                    <w:jc w:val="right"/>
                                    <w:rPr>
                                      <w:sz w:val="21"/>
                                    </w:rPr>
                                  </w:pPr>
                                  <w:r>
                                    <w:rPr>
                                      <w:color w:val="030303"/>
                                      <w:spacing w:val="-4"/>
                                      <w:sz w:val="21"/>
                                    </w:rPr>
                                    <w:t>(84)</w:t>
                                  </w:r>
                                </w:p>
                              </w:tc>
                              <w:tc>
                                <w:tcPr>
                                  <w:tcW w:w="1013" w:type="dxa"/>
                                </w:tcPr>
                                <w:p>
                                  <w:pPr>
                                    <w:pStyle w:val="TableParagraph"/>
                                    <w:spacing w:before="46"/>
                                    <w:ind w:right="113"/>
                                    <w:jc w:val="right"/>
                                    <w:rPr>
                                      <w:sz w:val="21"/>
                                    </w:rPr>
                                  </w:pPr>
                                  <w:r>
                                    <w:rPr>
                                      <w:color w:val="030303"/>
                                      <w:spacing w:val="-2"/>
                                      <w:sz w:val="21"/>
                                    </w:rPr>
                                    <w:t>(923)</w:t>
                                  </w:r>
                                </w:p>
                              </w:tc>
                              <w:tc>
                                <w:tcPr>
                                  <w:tcW w:w="853" w:type="dxa"/>
                                </w:tcPr>
                                <w:p>
                                  <w:pPr>
                                    <w:pStyle w:val="TableParagraph"/>
                                    <w:spacing w:before="55"/>
                                    <w:ind w:right="54"/>
                                    <w:jc w:val="right"/>
                                    <w:rPr>
                                      <w:b/>
                                      <w:sz w:val="20"/>
                                    </w:rPr>
                                  </w:pPr>
                                  <w:r>
                                    <w:rPr>
                                      <w:b/>
                                      <w:color w:val="030303"/>
                                      <w:spacing w:val="-2"/>
                                      <w:w w:val="105"/>
                                      <w:sz w:val="20"/>
                                    </w:rPr>
                                    <w:t>1,097</w:t>
                                  </w:r>
                                </w:p>
                              </w:tc>
                            </w:tr>
                            <w:tr>
                              <w:trPr>
                                <w:trHeight w:val="364" w:hRule="atLeast"/>
                              </w:trPr>
                              <w:tc>
                                <w:tcPr>
                                  <w:tcW w:w="818" w:type="dxa"/>
                                </w:tcPr>
                                <w:p>
                                  <w:pPr>
                                    <w:pStyle w:val="TableParagraph"/>
                                    <w:spacing w:before="66"/>
                                    <w:ind w:right="218"/>
                                    <w:jc w:val="right"/>
                                    <w:rPr>
                                      <w:sz w:val="21"/>
                                    </w:rPr>
                                  </w:pPr>
                                  <w:r>
                                    <w:rPr>
                                      <w:color w:val="030303"/>
                                      <w:spacing w:val="-2"/>
                                      <w:sz w:val="21"/>
                                    </w:rPr>
                                    <w:t>2,584</w:t>
                                  </w:r>
                                </w:p>
                              </w:tc>
                              <w:tc>
                                <w:tcPr>
                                  <w:tcW w:w="1036" w:type="dxa"/>
                                </w:tcPr>
                                <w:p>
                                  <w:pPr>
                                    <w:pStyle w:val="TableParagraph"/>
                                    <w:spacing w:line="345" w:lineRule="exact"/>
                                    <w:ind w:right="242"/>
                                    <w:jc w:val="right"/>
                                    <w:rPr>
                                      <w:sz w:val="32"/>
                                    </w:rPr>
                                  </w:pPr>
                                  <w:r>
                                    <w:rPr>
                                      <w:color w:val="343434"/>
                                      <w:spacing w:val="-10"/>
                                      <w:w w:val="85"/>
                                      <w:sz w:val="32"/>
                                    </w:rPr>
                                    <w:t>-</w:t>
                                  </w:r>
                                </w:p>
                              </w:tc>
                              <w:tc>
                                <w:tcPr>
                                  <w:tcW w:w="731" w:type="dxa"/>
                                </w:tcPr>
                                <w:p>
                                  <w:pPr>
                                    <w:pStyle w:val="TableParagraph"/>
                                    <w:spacing w:before="66"/>
                                    <w:ind w:right="126"/>
                                    <w:jc w:val="right"/>
                                    <w:rPr>
                                      <w:sz w:val="21"/>
                                    </w:rPr>
                                  </w:pPr>
                                  <w:r>
                                    <w:rPr>
                                      <w:color w:val="030303"/>
                                      <w:spacing w:val="-10"/>
                                      <w:w w:val="105"/>
                                      <w:sz w:val="21"/>
                                    </w:rPr>
                                    <w:t>3</w:t>
                                  </w:r>
                                </w:p>
                              </w:tc>
                              <w:tc>
                                <w:tcPr>
                                  <w:tcW w:w="855" w:type="dxa"/>
                                </w:tcPr>
                                <w:p>
                                  <w:pPr>
                                    <w:pStyle w:val="TableParagraph"/>
                                    <w:spacing w:before="61"/>
                                    <w:ind w:right="179"/>
                                    <w:jc w:val="right"/>
                                    <w:rPr>
                                      <w:sz w:val="21"/>
                                    </w:rPr>
                                  </w:pPr>
                                  <w:r>
                                    <w:rPr>
                                      <w:color w:val="030303"/>
                                      <w:spacing w:val="-5"/>
                                      <w:sz w:val="21"/>
                                    </w:rPr>
                                    <w:t>387</w:t>
                                  </w:r>
                                </w:p>
                              </w:tc>
                              <w:tc>
                                <w:tcPr>
                                  <w:tcW w:w="664" w:type="dxa"/>
                                </w:tcPr>
                                <w:p>
                                  <w:pPr>
                                    <w:pStyle w:val="TableParagraph"/>
                                    <w:spacing w:before="66"/>
                                    <w:ind w:right="96"/>
                                    <w:jc w:val="right"/>
                                    <w:rPr>
                                      <w:sz w:val="21"/>
                                    </w:rPr>
                                  </w:pPr>
                                  <w:r>
                                    <w:rPr>
                                      <w:color w:val="030303"/>
                                      <w:spacing w:val="-5"/>
                                      <w:sz w:val="21"/>
                                    </w:rPr>
                                    <w:t>220</w:t>
                                  </w:r>
                                </w:p>
                              </w:tc>
                              <w:tc>
                                <w:tcPr>
                                  <w:tcW w:w="1196" w:type="dxa"/>
                                </w:tcPr>
                                <w:p>
                                  <w:pPr>
                                    <w:pStyle w:val="TableParagraph"/>
                                    <w:spacing w:before="80"/>
                                    <w:ind w:right="419"/>
                                    <w:jc w:val="right"/>
                                    <w:rPr>
                                      <w:sz w:val="21"/>
                                    </w:rPr>
                                  </w:pPr>
                                  <w:r>
                                    <w:rPr>
                                      <w:color w:val="343434"/>
                                      <w:spacing w:val="-10"/>
                                      <w:w w:val="105"/>
                                      <w:sz w:val="21"/>
                                    </w:rPr>
                                    <w:t>-</w:t>
                                  </w:r>
                                </w:p>
                              </w:tc>
                              <w:tc>
                                <w:tcPr>
                                  <w:tcW w:w="1073" w:type="dxa"/>
                                </w:tcPr>
                                <w:p>
                                  <w:pPr>
                                    <w:pStyle w:val="TableParagraph"/>
                                    <w:spacing w:before="61"/>
                                    <w:ind w:right="86"/>
                                    <w:jc w:val="right"/>
                                    <w:rPr>
                                      <w:sz w:val="21"/>
                                    </w:rPr>
                                  </w:pPr>
                                  <w:r>
                                    <w:rPr>
                                      <w:color w:val="030303"/>
                                      <w:spacing w:val="-5"/>
                                      <w:w w:val="105"/>
                                      <w:sz w:val="21"/>
                                    </w:rPr>
                                    <w:t>610</w:t>
                                  </w:r>
                                </w:p>
                              </w:tc>
                              <w:tc>
                                <w:tcPr>
                                  <w:tcW w:w="1013" w:type="dxa"/>
                                </w:tcPr>
                                <w:p>
                                  <w:pPr>
                                    <w:pStyle w:val="TableParagraph"/>
                                    <w:spacing w:before="61"/>
                                    <w:ind w:right="106"/>
                                    <w:jc w:val="right"/>
                                    <w:rPr>
                                      <w:sz w:val="21"/>
                                    </w:rPr>
                                  </w:pPr>
                                  <w:r>
                                    <w:rPr>
                                      <w:color w:val="030303"/>
                                      <w:spacing w:val="-2"/>
                                      <w:sz w:val="21"/>
                                    </w:rPr>
                                    <w:t>(1,703)</w:t>
                                  </w:r>
                                </w:p>
                              </w:tc>
                              <w:tc>
                                <w:tcPr>
                                  <w:tcW w:w="853" w:type="dxa"/>
                                </w:tcPr>
                                <w:p>
                                  <w:pPr>
                                    <w:pStyle w:val="TableParagraph"/>
                                    <w:spacing w:before="70"/>
                                    <w:ind w:right="43"/>
                                    <w:jc w:val="right"/>
                                    <w:rPr>
                                      <w:b/>
                                      <w:sz w:val="20"/>
                                    </w:rPr>
                                  </w:pPr>
                                  <w:r>
                                    <w:rPr>
                                      <w:b/>
                                      <w:color w:val="030303"/>
                                      <w:spacing w:val="-2"/>
                                      <w:w w:val="105"/>
                                      <w:sz w:val="20"/>
                                    </w:rPr>
                                    <w:t>2,101</w:t>
                                  </w:r>
                                </w:p>
                              </w:tc>
                            </w:tr>
                            <w:tr>
                              <w:trPr>
                                <w:trHeight w:val="306" w:hRule="atLeast"/>
                              </w:trPr>
                              <w:tc>
                                <w:tcPr>
                                  <w:tcW w:w="818" w:type="dxa"/>
                                </w:tcPr>
                                <w:p>
                                  <w:pPr>
                                    <w:pStyle w:val="TableParagraph"/>
                                    <w:spacing w:before="42"/>
                                    <w:ind w:right="221"/>
                                    <w:jc w:val="right"/>
                                    <w:rPr>
                                      <w:b/>
                                      <w:sz w:val="20"/>
                                    </w:rPr>
                                  </w:pPr>
                                  <w:r>
                                    <w:rPr>
                                      <w:b/>
                                      <w:color w:val="030303"/>
                                      <w:spacing w:val="-2"/>
                                      <w:w w:val="105"/>
                                      <w:sz w:val="20"/>
                                    </w:rPr>
                                    <w:t>5,344</w:t>
                                  </w:r>
                                </w:p>
                              </w:tc>
                              <w:tc>
                                <w:tcPr>
                                  <w:tcW w:w="1036" w:type="dxa"/>
                                </w:tcPr>
                                <w:p>
                                  <w:pPr>
                                    <w:pStyle w:val="TableParagraph"/>
                                    <w:spacing w:before="33"/>
                                    <w:ind w:right="255"/>
                                    <w:jc w:val="right"/>
                                    <w:rPr>
                                      <w:sz w:val="21"/>
                                    </w:rPr>
                                  </w:pPr>
                                  <w:r>
                                    <w:rPr>
                                      <w:color w:val="030303"/>
                                      <w:spacing w:val="-2"/>
                                      <w:sz w:val="21"/>
                                    </w:rPr>
                                    <w:t>1,217</w:t>
                                  </w:r>
                                </w:p>
                              </w:tc>
                              <w:tc>
                                <w:tcPr>
                                  <w:tcW w:w="731" w:type="dxa"/>
                                </w:tcPr>
                                <w:p>
                                  <w:pPr>
                                    <w:pStyle w:val="TableParagraph"/>
                                    <w:spacing w:before="33"/>
                                    <w:ind w:right="129"/>
                                    <w:jc w:val="right"/>
                                    <w:rPr>
                                      <w:sz w:val="21"/>
                                    </w:rPr>
                                  </w:pPr>
                                  <w:r>
                                    <w:rPr>
                                      <w:color w:val="030303"/>
                                      <w:spacing w:val="-5"/>
                                      <w:sz w:val="21"/>
                                    </w:rPr>
                                    <w:t>881</w:t>
                                  </w:r>
                                </w:p>
                              </w:tc>
                              <w:tc>
                                <w:tcPr>
                                  <w:tcW w:w="855" w:type="dxa"/>
                                </w:tcPr>
                                <w:p>
                                  <w:pPr>
                                    <w:pStyle w:val="TableParagraph"/>
                                    <w:spacing w:before="33"/>
                                    <w:ind w:right="174"/>
                                    <w:jc w:val="right"/>
                                    <w:rPr>
                                      <w:sz w:val="21"/>
                                    </w:rPr>
                                  </w:pPr>
                                  <w:r>
                                    <w:rPr>
                                      <w:color w:val="030303"/>
                                      <w:spacing w:val="-5"/>
                                      <w:sz w:val="21"/>
                                    </w:rPr>
                                    <w:t>485</w:t>
                                  </w:r>
                                </w:p>
                              </w:tc>
                              <w:tc>
                                <w:tcPr>
                                  <w:tcW w:w="664" w:type="dxa"/>
                                </w:tcPr>
                                <w:p>
                                  <w:pPr>
                                    <w:pStyle w:val="TableParagraph"/>
                                    <w:spacing w:before="42"/>
                                    <w:ind w:right="95"/>
                                    <w:jc w:val="right"/>
                                    <w:rPr>
                                      <w:b/>
                                      <w:sz w:val="20"/>
                                    </w:rPr>
                                  </w:pPr>
                                  <w:r>
                                    <w:rPr>
                                      <w:b/>
                                      <w:color w:val="030303"/>
                                      <w:spacing w:val="-5"/>
                                      <w:w w:val="105"/>
                                      <w:sz w:val="20"/>
                                    </w:rPr>
                                    <w:t>432</w:t>
                                  </w:r>
                                </w:p>
                              </w:tc>
                              <w:tc>
                                <w:tcPr>
                                  <w:tcW w:w="1196" w:type="dxa"/>
                                </w:tcPr>
                                <w:p>
                                  <w:pPr>
                                    <w:pStyle w:val="TableParagraph"/>
                                    <w:spacing w:line="287" w:lineRule="exact"/>
                                    <w:ind w:right="419"/>
                                    <w:jc w:val="right"/>
                                    <w:rPr>
                                      <w:sz w:val="27"/>
                                    </w:rPr>
                                  </w:pPr>
                                  <w:r>
                                    <w:rPr>
                                      <w:color w:val="242424"/>
                                      <w:spacing w:val="-10"/>
                                      <w:sz w:val="27"/>
                                    </w:rPr>
                                    <w:t>-</w:t>
                                  </w:r>
                                </w:p>
                              </w:tc>
                              <w:tc>
                                <w:tcPr>
                                  <w:tcW w:w="1073" w:type="dxa"/>
                                </w:tcPr>
                                <w:p>
                                  <w:pPr>
                                    <w:pStyle w:val="TableParagraph"/>
                                    <w:spacing w:before="33"/>
                                    <w:ind w:right="87"/>
                                    <w:jc w:val="right"/>
                                    <w:rPr>
                                      <w:sz w:val="21"/>
                                    </w:rPr>
                                  </w:pPr>
                                  <w:r>
                                    <w:rPr>
                                      <w:color w:val="030303"/>
                                      <w:spacing w:val="-5"/>
                                      <w:sz w:val="21"/>
                                    </w:rPr>
                                    <w:t>708</w:t>
                                  </w:r>
                                </w:p>
                              </w:tc>
                              <w:tc>
                                <w:tcPr>
                                  <w:tcW w:w="1013" w:type="dxa"/>
                                </w:tcPr>
                                <w:p>
                                  <w:pPr>
                                    <w:pStyle w:val="TableParagraph"/>
                                    <w:spacing w:before="33"/>
                                    <w:ind w:right="103"/>
                                    <w:jc w:val="right"/>
                                    <w:rPr>
                                      <w:sz w:val="21"/>
                                    </w:rPr>
                                  </w:pPr>
                                  <w:r>
                                    <w:rPr>
                                      <w:color w:val="030303"/>
                                      <w:spacing w:val="-2"/>
                                      <w:sz w:val="21"/>
                                    </w:rPr>
                                    <w:t>(3,511)</w:t>
                                  </w:r>
                                </w:p>
                              </w:tc>
                              <w:tc>
                                <w:tcPr>
                                  <w:tcW w:w="853" w:type="dxa"/>
                                </w:tcPr>
                                <w:p>
                                  <w:pPr>
                                    <w:pStyle w:val="TableParagraph"/>
                                    <w:spacing w:before="42"/>
                                    <w:ind w:right="47"/>
                                    <w:jc w:val="right"/>
                                    <w:rPr>
                                      <w:b/>
                                      <w:sz w:val="20"/>
                                    </w:rPr>
                                  </w:pPr>
                                  <w:r>
                                    <w:rPr>
                                      <w:b/>
                                      <w:color w:val="030303"/>
                                      <w:spacing w:val="-2"/>
                                      <w:w w:val="105"/>
                                      <w:sz w:val="20"/>
                                    </w:rPr>
                                    <w:t>5,556</w:t>
                                  </w:r>
                                </w:p>
                              </w:tc>
                            </w:tr>
                          </w:tbl>
                          <w:p>
                            <w:pPr>
                              <w:pStyle w:val="BodyText"/>
                            </w:pPr>
                          </w:p>
                        </w:txbxContent>
                      </wps:txbx>
                      <wps:bodyPr wrap="square" lIns="0" tIns="0" rIns="0" bIns="0" rtlCol="0">
                        <a:noAutofit/>
                      </wps:bodyPr>
                    </wps:wsp>
                  </a:graphicData>
                </a:graphic>
              </wp:anchor>
            </w:drawing>
          </ve:Choice>
          <ve:Fallback>
            <w:pict>
              <v:shape id="docshape175" style="position:absolute;margin-left:347.355988pt;margin-top:2.776114pt;width:418.2pt;height:214.2pt;mso-position-horizontal-relative:page;mso-position-vertical-relative:paragraph;z-index:15787008"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18"/>
                        <w:gridCol w:w="1036"/>
                        <w:gridCol w:w="731"/>
                        <w:gridCol w:w="855"/>
                        <w:gridCol w:w="664"/>
                        <w:gridCol w:w="1196"/>
                        <w:gridCol w:w="1073"/>
                        <w:gridCol w:w="1013"/>
                        <w:gridCol w:w="853"/>
                      </w:tblGrid>
                      <w:tr>
                        <w:trPr>
                          <w:trHeight w:val="280" w:hRule="atLeast"/>
                        </w:trPr>
                        <w:tc>
                          <w:tcPr>
                            <w:tcW w:w="818" w:type="dxa"/>
                          </w:tcPr>
                          <w:p>
                            <w:pPr>
                              <w:pStyle w:val="TableParagraph"/>
                              <w:spacing w:line="235" w:lineRule="exact"/>
                              <w:ind w:right="241"/>
                              <w:jc w:val="right"/>
                              <w:rPr>
                                <w:sz w:val="21"/>
                              </w:rPr>
                            </w:pPr>
                            <w:r>
                              <w:rPr>
                                <w:color w:val="030303"/>
                                <w:spacing w:val="-5"/>
                                <w:w w:val="105"/>
                                <w:sz w:val="21"/>
                              </w:rPr>
                              <w:t>941</w:t>
                            </w:r>
                          </w:p>
                        </w:tc>
                        <w:tc>
                          <w:tcPr>
                            <w:tcW w:w="1036" w:type="dxa"/>
                          </w:tcPr>
                          <w:p>
                            <w:pPr>
                              <w:pStyle w:val="TableParagraph"/>
                              <w:spacing w:line="235" w:lineRule="exact"/>
                              <w:ind w:right="287"/>
                              <w:jc w:val="right"/>
                              <w:rPr>
                                <w:sz w:val="21"/>
                              </w:rPr>
                            </w:pPr>
                            <w:r>
                              <w:rPr>
                                <w:color w:val="030303"/>
                                <w:spacing w:val="-2"/>
                                <w:sz w:val="21"/>
                              </w:rPr>
                              <w:t>2,202</w:t>
                            </w:r>
                          </w:p>
                        </w:tc>
                        <w:tc>
                          <w:tcPr>
                            <w:tcW w:w="731" w:type="dxa"/>
                          </w:tcPr>
                          <w:p>
                            <w:pPr>
                              <w:pStyle w:val="TableParagraph"/>
                              <w:spacing w:line="240" w:lineRule="exact"/>
                              <w:ind w:right="163"/>
                              <w:jc w:val="right"/>
                              <w:rPr>
                                <w:sz w:val="21"/>
                              </w:rPr>
                            </w:pPr>
                            <w:r>
                              <w:rPr>
                                <w:color w:val="030303"/>
                                <w:spacing w:val="-10"/>
                                <w:sz w:val="21"/>
                              </w:rPr>
                              <w:t>2</w:t>
                            </w:r>
                          </w:p>
                        </w:tc>
                        <w:tc>
                          <w:tcPr>
                            <w:tcW w:w="855" w:type="dxa"/>
                          </w:tcPr>
                          <w:p>
                            <w:pPr>
                              <w:pStyle w:val="TableParagraph"/>
                              <w:spacing w:line="240" w:lineRule="exact"/>
                              <w:ind w:right="206"/>
                              <w:jc w:val="right"/>
                              <w:rPr>
                                <w:sz w:val="21"/>
                              </w:rPr>
                            </w:pPr>
                            <w:r>
                              <w:rPr>
                                <w:color w:val="030303"/>
                                <w:spacing w:val="-5"/>
                                <w:sz w:val="21"/>
                              </w:rPr>
                              <w:t>282</w:t>
                            </w:r>
                          </w:p>
                        </w:tc>
                        <w:tc>
                          <w:tcPr>
                            <w:tcW w:w="664" w:type="dxa"/>
                          </w:tcPr>
                          <w:p>
                            <w:pPr>
                              <w:pStyle w:val="TableParagraph"/>
                              <w:spacing w:line="240" w:lineRule="exact"/>
                              <w:ind w:right="123"/>
                              <w:jc w:val="right"/>
                              <w:rPr>
                                <w:sz w:val="21"/>
                              </w:rPr>
                            </w:pPr>
                            <w:r>
                              <w:rPr>
                                <w:color w:val="030303"/>
                                <w:spacing w:val="-5"/>
                                <w:sz w:val="21"/>
                              </w:rPr>
                              <w:t>49</w:t>
                            </w:r>
                          </w:p>
                        </w:tc>
                        <w:tc>
                          <w:tcPr>
                            <w:tcW w:w="1196" w:type="dxa"/>
                          </w:tcPr>
                          <w:p>
                            <w:pPr>
                              <w:pStyle w:val="TableParagraph"/>
                              <w:spacing w:before="22" w:line="238" w:lineRule="exact"/>
                              <w:ind w:right="452"/>
                              <w:jc w:val="right"/>
                              <w:rPr>
                                <w:sz w:val="21"/>
                              </w:rPr>
                            </w:pPr>
                            <w:r>
                              <w:rPr>
                                <w:color w:val="242424"/>
                                <w:spacing w:val="-10"/>
                                <w:w w:val="105"/>
                                <w:sz w:val="21"/>
                              </w:rPr>
                              <w:t>-</w:t>
                            </w:r>
                          </w:p>
                        </w:tc>
                        <w:tc>
                          <w:tcPr>
                            <w:tcW w:w="1073" w:type="dxa"/>
                          </w:tcPr>
                          <w:p>
                            <w:pPr>
                              <w:pStyle w:val="TableParagraph"/>
                              <w:spacing w:before="3"/>
                              <w:ind w:right="124"/>
                              <w:jc w:val="right"/>
                              <w:rPr>
                                <w:sz w:val="21"/>
                              </w:rPr>
                            </w:pPr>
                            <w:r>
                              <w:rPr>
                                <w:color w:val="030303"/>
                                <w:spacing w:val="-2"/>
                                <w:sz w:val="21"/>
                              </w:rPr>
                              <w:t>5,003</w:t>
                            </w:r>
                          </w:p>
                        </w:tc>
                        <w:tc>
                          <w:tcPr>
                            <w:tcW w:w="1013" w:type="dxa"/>
                          </w:tcPr>
                          <w:p>
                            <w:pPr>
                              <w:pStyle w:val="TableParagraph"/>
                              <w:spacing w:before="3"/>
                              <w:ind w:right="141"/>
                              <w:jc w:val="right"/>
                              <w:rPr>
                                <w:sz w:val="21"/>
                              </w:rPr>
                            </w:pPr>
                            <w:r>
                              <w:rPr>
                                <w:color w:val="030303"/>
                                <w:spacing w:val="-2"/>
                                <w:sz w:val="21"/>
                              </w:rPr>
                              <w:t>(13,823)</w:t>
                            </w:r>
                          </w:p>
                        </w:tc>
                        <w:tc>
                          <w:tcPr>
                            <w:tcW w:w="853" w:type="dxa"/>
                          </w:tcPr>
                          <w:p>
                            <w:pPr>
                              <w:pStyle w:val="TableParagraph"/>
                              <w:spacing w:before="12"/>
                              <w:ind w:right="72"/>
                              <w:jc w:val="right"/>
                              <w:rPr>
                                <w:b/>
                                <w:sz w:val="20"/>
                              </w:rPr>
                            </w:pPr>
                            <w:r>
                              <w:rPr>
                                <w:b/>
                                <w:color w:val="030303"/>
                                <w:spacing w:val="-2"/>
                                <w:w w:val="105"/>
                                <w:sz w:val="20"/>
                              </w:rPr>
                              <w:t>(5,344)</w:t>
                            </w:r>
                          </w:p>
                        </w:tc>
                      </w:tr>
                      <w:tr>
                        <w:trPr>
                          <w:trHeight w:val="322" w:hRule="atLeast"/>
                        </w:trPr>
                        <w:tc>
                          <w:tcPr>
                            <w:tcW w:w="818" w:type="dxa"/>
                          </w:tcPr>
                          <w:p>
                            <w:pPr>
                              <w:pStyle w:val="TableParagraph"/>
                              <w:spacing w:before="12" w:line="290" w:lineRule="exact"/>
                              <w:ind w:right="232"/>
                              <w:jc w:val="right"/>
                              <w:rPr>
                                <w:sz w:val="27"/>
                              </w:rPr>
                            </w:pPr>
                            <w:r>
                              <w:rPr>
                                <w:color w:val="343434"/>
                                <w:spacing w:val="-10"/>
                                <w:sz w:val="27"/>
                              </w:rPr>
                              <w:t>-</w:t>
                            </w:r>
                          </w:p>
                        </w:tc>
                        <w:tc>
                          <w:tcPr>
                            <w:tcW w:w="1036" w:type="dxa"/>
                          </w:tcPr>
                          <w:p>
                            <w:pPr>
                              <w:pStyle w:val="TableParagraph"/>
                              <w:spacing w:before="45"/>
                              <w:ind w:right="272"/>
                              <w:jc w:val="right"/>
                              <w:rPr>
                                <w:sz w:val="22"/>
                              </w:rPr>
                            </w:pPr>
                            <w:r>
                              <w:rPr>
                                <w:color w:val="343434"/>
                                <w:spacing w:val="-10"/>
                                <w:w w:val="110"/>
                                <w:sz w:val="22"/>
                              </w:rPr>
                              <w:t>-</w:t>
                            </w:r>
                          </w:p>
                        </w:tc>
                        <w:tc>
                          <w:tcPr>
                            <w:tcW w:w="731" w:type="dxa"/>
                          </w:tcPr>
                          <w:p>
                            <w:pPr>
                              <w:pStyle w:val="TableParagraph"/>
                              <w:spacing w:before="8" w:line="295" w:lineRule="exact"/>
                              <w:ind w:right="157"/>
                              <w:jc w:val="right"/>
                              <w:rPr>
                                <w:sz w:val="27"/>
                              </w:rPr>
                            </w:pPr>
                            <w:r>
                              <w:rPr>
                                <w:color w:val="030303"/>
                                <w:spacing w:val="-10"/>
                                <w:sz w:val="27"/>
                              </w:rPr>
                              <w:t>-</w:t>
                            </w:r>
                          </w:p>
                        </w:tc>
                        <w:tc>
                          <w:tcPr>
                            <w:tcW w:w="855" w:type="dxa"/>
                          </w:tcPr>
                          <w:p>
                            <w:pPr>
                              <w:pStyle w:val="TableParagraph"/>
                              <w:spacing w:before="54"/>
                              <w:ind w:right="200"/>
                              <w:jc w:val="right"/>
                              <w:rPr>
                                <w:sz w:val="21"/>
                              </w:rPr>
                            </w:pPr>
                            <w:r>
                              <w:rPr>
                                <w:color w:val="030303"/>
                                <w:spacing w:val="-10"/>
                                <w:w w:val="105"/>
                                <w:sz w:val="21"/>
                              </w:rPr>
                              <w:t>7</w:t>
                            </w:r>
                          </w:p>
                        </w:tc>
                        <w:tc>
                          <w:tcPr>
                            <w:tcW w:w="664" w:type="dxa"/>
                          </w:tcPr>
                          <w:p>
                            <w:pPr>
                              <w:pStyle w:val="TableParagraph"/>
                              <w:spacing w:before="50"/>
                              <w:ind w:right="125"/>
                              <w:jc w:val="right"/>
                              <w:rPr>
                                <w:sz w:val="21"/>
                              </w:rPr>
                            </w:pPr>
                            <w:r>
                              <w:rPr>
                                <w:color w:val="030303"/>
                                <w:spacing w:val="-5"/>
                                <w:sz w:val="21"/>
                              </w:rPr>
                              <w:t>188</w:t>
                            </w:r>
                          </w:p>
                        </w:tc>
                        <w:tc>
                          <w:tcPr>
                            <w:tcW w:w="1196" w:type="dxa"/>
                          </w:tcPr>
                          <w:p>
                            <w:pPr>
                              <w:pStyle w:val="TableParagraph"/>
                              <w:spacing w:before="54"/>
                              <w:ind w:right="452"/>
                              <w:jc w:val="right"/>
                              <w:rPr>
                                <w:sz w:val="21"/>
                              </w:rPr>
                            </w:pPr>
                            <w:r>
                              <w:rPr>
                                <w:color w:val="343434"/>
                                <w:spacing w:val="-10"/>
                                <w:w w:val="105"/>
                                <w:sz w:val="21"/>
                              </w:rPr>
                              <w:t>-</w:t>
                            </w:r>
                          </w:p>
                        </w:tc>
                        <w:tc>
                          <w:tcPr>
                            <w:tcW w:w="1073" w:type="dxa"/>
                          </w:tcPr>
                          <w:p>
                            <w:pPr>
                              <w:pStyle w:val="TableParagraph"/>
                              <w:spacing w:before="12" w:line="290" w:lineRule="exact"/>
                              <w:ind w:right="112"/>
                              <w:jc w:val="right"/>
                              <w:rPr>
                                <w:sz w:val="27"/>
                              </w:rPr>
                            </w:pPr>
                            <w:r>
                              <w:rPr>
                                <w:color w:val="030303"/>
                                <w:spacing w:val="-10"/>
                                <w:sz w:val="27"/>
                              </w:rPr>
                              <w:t>-</w:t>
                            </w:r>
                          </w:p>
                        </w:tc>
                        <w:tc>
                          <w:tcPr>
                            <w:tcW w:w="1013" w:type="dxa"/>
                          </w:tcPr>
                          <w:p>
                            <w:pPr>
                              <w:pStyle w:val="TableParagraph"/>
                              <w:spacing w:before="74" w:line="229" w:lineRule="exact"/>
                              <w:ind w:right="124"/>
                              <w:jc w:val="right"/>
                              <w:rPr>
                                <w:sz w:val="21"/>
                              </w:rPr>
                            </w:pPr>
                            <w:r>
                              <w:rPr>
                                <w:color w:val="343434"/>
                                <w:spacing w:val="-10"/>
                                <w:w w:val="105"/>
                                <w:sz w:val="21"/>
                              </w:rPr>
                              <w:t>-</w:t>
                            </w:r>
                          </w:p>
                        </w:tc>
                        <w:tc>
                          <w:tcPr>
                            <w:tcW w:w="853" w:type="dxa"/>
                          </w:tcPr>
                          <w:p>
                            <w:pPr>
                              <w:pStyle w:val="TableParagraph"/>
                              <w:spacing w:before="69"/>
                              <w:ind w:right="79"/>
                              <w:jc w:val="right"/>
                              <w:rPr>
                                <w:b/>
                                <w:sz w:val="20"/>
                              </w:rPr>
                            </w:pPr>
                            <w:r>
                              <w:rPr>
                                <w:b/>
                                <w:color w:val="030303"/>
                                <w:spacing w:val="-5"/>
                                <w:w w:val="105"/>
                                <w:sz w:val="20"/>
                              </w:rPr>
                              <w:t>195</w:t>
                            </w:r>
                          </w:p>
                        </w:tc>
                      </w:tr>
                      <w:tr>
                        <w:trPr>
                          <w:trHeight w:val="364" w:hRule="atLeast"/>
                        </w:trPr>
                        <w:tc>
                          <w:tcPr>
                            <w:tcW w:w="818" w:type="dxa"/>
                          </w:tcPr>
                          <w:p>
                            <w:pPr>
                              <w:pStyle w:val="TableParagraph"/>
                              <w:spacing w:before="54"/>
                              <w:ind w:right="245"/>
                              <w:jc w:val="right"/>
                              <w:rPr>
                                <w:sz w:val="21"/>
                              </w:rPr>
                            </w:pPr>
                            <w:r>
                              <w:rPr>
                                <w:color w:val="030303"/>
                                <w:spacing w:val="-5"/>
                                <w:sz w:val="21"/>
                              </w:rPr>
                              <w:t>547</w:t>
                            </w:r>
                          </w:p>
                        </w:tc>
                        <w:tc>
                          <w:tcPr>
                            <w:tcW w:w="1036" w:type="dxa"/>
                          </w:tcPr>
                          <w:p>
                            <w:pPr>
                              <w:pStyle w:val="TableParagraph"/>
                              <w:rPr>
                                <w:rFonts w:ascii="Times New Roman"/>
                                <w:sz w:val="18"/>
                              </w:rPr>
                            </w:pPr>
                          </w:p>
                        </w:tc>
                        <w:tc>
                          <w:tcPr>
                            <w:tcW w:w="731" w:type="dxa"/>
                          </w:tcPr>
                          <w:p>
                            <w:pPr>
                              <w:pStyle w:val="TableParagraph"/>
                              <w:spacing w:before="59"/>
                              <w:ind w:right="161"/>
                              <w:jc w:val="right"/>
                              <w:rPr>
                                <w:sz w:val="21"/>
                              </w:rPr>
                            </w:pPr>
                            <w:r>
                              <w:rPr>
                                <w:color w:val="030303"/>
                                <w:spacing w:val="-10"/>
                                <w:sz w:val="21"/>
                              </w:rPr>
                              <w:t>1</w:t>
                            </w:r>
                          </w:p>
                        </w:tc>
                        <w:tc>
                          <w:tcPr>
                            <w:tcW w:w="855" w:type="dxa"/>
                          </w:tcPr>
                          <w:p>
                            <w:pPr>
                              <w:pStyle w:val="TableParagraph"/>
                              <w:spacing w:before="59"/>
                              <w:ind w:right="198"/>
                              <w:jc w:val="right"/>
                              <w:rPr>
                                <w:sz w:val="21"/>
                              </w:rPr>
                            </w:pPr>
                            <w:r>
                              <w:rPr>
                                <w:color w:val="030303"/>
                                <w:spacing w:val="-5"/>
                                <w:w w:val="105"/>
                                <w:sz w:val="21"/>
                              </w:rPr>
                              <w:t>10</w:t>
                            </w:r>
                          </w:p>
                        </w:tc>
                        <w:tc>
                          <w:tcPr>
                            <w:tcW w:w="664" w:type="dxa"/>
                          </w:tcPr>
                          <w:p>
                            <w:pPr>
                              <w:pStyle w:val="TableParagraph"/>
                              <w:spacing w:before="63"/>
                              <w:ind w:right="113"/>
                              <w:jc w:val="right"/>
                              <w:rPr>
                                <w:sz w:val="21"/>
                              </w:rPr>
                            </w:pPr>
                            <w:r>
                              <w:rPr>
                                <w:color w:val="343434"/>
                                <w:spacing w:val="-10"/>
                                <w:w w:val="105"/>
                                <w:sz w:val="21"/>
                              </w:rPr>
                              <w:t>-</w:t>
                            </w:r>
                          </w:p>
                        </w:tc>
                        <w:tc>
                          <w:tcPr>
                            <w:tcW w:w="1196" w:type="dxa"/>
                          </w:tcPr>
                          <w:p>
                            <w:pPr>
                              <w:pStyle w:val="TableParagraph"/>
                              <w:spacing w:line="345" w:lineRule="exact"/>
                              <w:ind w:right="456"/>
                              <w:jc w:val="right"/>
                              <w:rPr>
                                <w:sz w:val="32"/>
                              </w:rPr>
                            </w:pPr>
                            <w:r>
                              <w:rPr>
                                <w:color w:val="343434"/>
                                <w:spacing w:val="-10"/>
                                <w:w w:val="80"/>
                                <w:sz w:val="32"/>
                              </w:rPr>
                              <w:t>-</w:t>
                            </w:r>
                          </w:p>
                        </w:tc>
                        <w:tc>
                          <w:tcPr>
                            <w:tcW w:w="1073" w:type="dxa"/>
                          </w:tcPr>
                          <w:p>
                            <w:pPr>
                              <w:pStyle w:val="TableParagraph"/>
                              <w:spacing w:before="78"/>
                              <w:ind w:right="111"/>
                              <w:jc w:val="right"/>
                              <w:rPr>
                                <w:sz w:val="21"/>
                              </w:rPr>
                            </w:pPr>
                            <w:r>
                              <w:rPr>
                                <w:color w:val="030303"/>
                                <w:spacing w:val="-10"/>
                                <w:w w:val="105"/>
                                <w:sz w:val="21"/>
                              </w:rPr>
                              <w:t>-</w:t>
                            </w:r>
                          </w:p>
                        </w:tc>
                        <w:tc>
                          <w:tcPr>
                            <w:tcW w:w="1013" w:type="dxa"/>
                          </w:tcPr>
                          <w:p>
                            <w:pPr>
                              <w:pStyle w:val="TableParagraph"/>
                              <w:spacing w:before="64"/>
                              <w:ind w:right="121"/>
                              <w:jc w:val="right"/>
                              <w:rPr>
                                <w:sz w:val="22"/>
                              </w:rPr>
                            </w:pPr>
                            <w:r>
                              <w:rPr>
                                <w:color w:val="343434"/>
                                <w:spacing w:val="-10"/>
                                <w:w w:val="105"/>
                                <w:sz w:val="22"/>
                              </w:rPr>
                              <w:t>-</w:t>
                            </w:r>
                          </w:p>
                        </w:tc>
                        <w:tc>
                          <w:tcPr>
                            <w:tcW w:w="853" w:type="dxa"/>
                          </w:tcPr>
                          <w:p>
                            <w:pPr>
                              <w:pStyle w:val="TableParagraph"/>
                              <w:spacing w:before="78"/>
                              <w:ind w:right="77"/>
                              <w:jc w:val="right"/>
                              <w:rPr>
                                <w:b/>
                                <w:sz w:val="20"/>
                              </w:rPr>
                            </w:pPr>
                            <w:r>
                              <w:rPr>
                                <w:b/>
                                <w:color w:val="030303"/>
                                <w:spacing w:val="-5"/>
                                <w:w w:val="105"/>
                                <w:sz w:val="20"/>
                              </w:rPr>
                              <w:t>558</w:t>
                            </w:r>
                          </w:p>
                        </w:tc>
                      </w:tr>
                      <w:tr>
                        <w:trPr>
                          <w:trHeight w:val="326" w:hRule="atLeast"/>
                        </w:trPr>
                        <w:tc>
                          <w:tcPr>
                            <w:tcW w:w="818" w:type="dxa"/>
                          </w:tcPr>
                          <w:p>
                            <w:pPr>
                              <w:pStyle w:val="TableParagraph"/>
                              <w:spacing w:before="26"/>
                              <w:ind w:right="238"/>
                              <w:jc w:val="right"/>
                              <w:rPr>
                                <w:sz w:val="21"/>
                              </w:rPr>
                            </w:pPr>
                            <w:r>
                              <w:rPr>
                                <w:color w:val="030303"/>
                                <w:spacing w:val="-5"/>
                                <w:sz w:val="21"/>
                              </w:rPr>
                              <w:t>443</w:t>
                            </w:r>
                          </w:p>
                        </w:tc>
                        <w:tc>
                          <w:tcPr>
                            <w:tcW w:w="1036" w:type="dxa"/>
                          </w:tcPr>
                          <w:p>
                            <w:pPr>
                              <w:pStyle w:val="TableParagraph"/>
                              <w:spacing w:before="31"/>
                              <w:ind w:right="278"/>
                              <w:jc w:val="right"/>
                              <w:rPr>
                                <w:sz w:val="21"/>
                              </w:rPr>
                            </w:pPr>
                            <w:r>
                              <w:rPr>
                                <w:color w:val="030303"/>
                                <w:spacing w:val="-5"/>
                                <w:sz w:val="21"/>
                              </w:rPr>
                              <w:t>43</w:t>
                            </w:r>
                          </w:p>
                        </w:tc>
                        <w:tc>
                          <w:tcPr>
                            <w:tcW w:w="731" w:type="dxa"/>
                          </w:tcPr>
                          <w:p>
                            <w:pPr>
                              <w:pStyle w:val="TableParagraph"/>
                              <w:spacing w:before="31"/>
                              <w:ind w:right="159"/>
                              <w:jc w:val="right"/>
                              <w:rPr>
                                <w:sz w:val="21"/>
                              </w:rPr>
                            </w:pPr>
                            <w:r>
                              <w:rPr>
                                <w:color w:val="030303"/>
                                <w:spacing w:val="-5"/>
                                <w:sz w:val="21"/>
                              </w:rPr>
                              <w:t>39</w:t>
                            </w:r>
                          </w:p>
                        </w:tc>
                        <w:tc>
                          <w:tcPr>
                            <w:tcW w:w="855" w:type="dxa"/>
                          </w:tcPr>
                          <w:p>
                            <w:pPr>
                              <w:pStyle w:val="TableParagraph"/>
                              <w:spacing w:before="31"/>
                              <w:ind w:right="198"/>
                              <w:jc w:val="right"/>
                              <w:rPr>
                                <w:sz w:val="21"/>
                              </w:rPr>
                            </w:pPr>
                            <w:r>
                              <w:rPr>
                                <w:color w:val="030303"/>
                                <w:spacing w:val="-5"/>
                                <w:sz w:val="21"/>
                              </w:rPr>
                              <w:t>21</w:t>
                            </w:r>
                          </w:p>
                        </w:tc>
                        <w:tc>
                          <w:tcPr>
                            <w:tcW w:w="664" w:type="dxa"/>
                          </w:tcPr>
                          <w:p>
                            <w:pPr>
                              <w:pStyle w:val="TableParagraph"/>
                              <w:spacing w:before="31"/>
                              <w:ind w:right="119"/>
                              <w:jc w:val="right"/>
                              <w:rPr>
                                <w:sz w:val="21"/>
                              </w:rPr>
                            </w:pPr>
                            <w:r>
                              <w:rPr>
                                <w:color w:val="030303"/>
                                <w:spacing w:val="-5"/>
                                <w:sz w:val="21"/>
                              </w:rPr>
                              <w:t>116</w:t>
                            </w:r>
                          </w:p>
                        </w:tc>
                        <w:tc>
                          <w:tcPr>
                            <w:tcW w:w="1196" w:type="dxa"/>
                          </w:tcPr>
                          <w:p>
                            <w:pPr>
                              <w:pStyle w:val="TableParagraph"/>
                              <w:spacing w:line="306" w:lineRule="exact"/>
                              <w:ind w:right="448"/>
                              <w:jc w:val="right"/>
                              <w:rPr>
                                <w:sz w:val="27"/>
                              </w:rPr>
                            </w:pPr>
                            <w:r>
                              <w:rPr>
                                <w:color w:val="242424"/>
                                <w:spacing w:val="-10"/>
                                <w:sz w:val="27"/>
                              </w:rPr>
                              <w:t>-</w:t>
                            </w:r>
                          </w:p>
                        </w:tc>
                        <w:tc>
                          <w:tcPr>
                            <w:tcW w:w="1073" w:type="dxa"/>
                          </w:tcPr>
                          <w:p>
                            <w:pPr>
                              <w:pStyle w:val="TableParagraph"/>
                              <w:spacing w:before="35"/>
                              <w:ind w:right="108"/>
                              <w:jc w:val="right"/>
                              <w:rPr>
                                <w:sz w:val="21"/>
                              </w:rPr>
                            </w:pPr>
                            <w:r>
                              <w:rPr>
                                <w:color w:val="030303"/>
                                <w:spacing w:val="-10"/>
                                <w:w w:val="105"/>
                                <w:sz w:val="21"/>
                              </w:rPr>
                              <w:t>7</w:t>
                            </w:r>
                          </w:p>
                        </w:tc>
                        <w:tc>
                          <w:tcPr>
                            <w:tcW w:w="1013" w:type="dxa"/>
                          </w:tcPr>
                          <w:p>
                            <w:pPr>
                              <w:pStyle w:val="TableParagraph"/>
                              <w:spacing w:before="31"/>
                              <w:ind w:right="133"/>
                              <w:jc w:val="right"/>
                              <w:rPr>
                                <w:sz w:val="21"/>
                              </w:rPr>
                            </w:pPr>
                            <w:r>
                              <w:rPr>
                                <w:color w:val="030303"/>
                                <w:spacing w:val="-4"/>
                                <w:sz w:val="21"/>
                              </w:rPr>
                              <w:t>(24)</w:t>
                            </w:r>
                          </w:p>
                        </w:tc>
                        <w:tc>
                          <w:tcPr>
                            <w:tcW w:w="853" w:type="dxa"/>
                          </w:tcPr>
                          <w:p>
                            <w:pPr>
                              <w:pStyle w:val="TableParagraph"/>
                              <w:spacing w:before="45"/>
                              <w:ind w:right="73"/>
                              <w:jc w:val="right"/>
                              <w:rPr>
                                <w:b/>
                                <w:sz w:val="20"/>
                              </w:rPr>
                            </w:pPr>
                            <w:r>
                              <w:rPr>
                                <w:b/>
                                <w:color w:val="030303"/>
                                <w:spacing w:val="-5"/>
                                <w:w w:val="105"/>
                                <w:sz w:val="20"/>
                              </w:rPr>
                              <w:t>645</w:t>
                            </w:r>
                          </w:p>
                        </w:tc>
                      </w:tr>
                      <w:tr>
                        <w:trPr>
                          <w:trHeight w:val="331" w:hRule="atLeast"/>
                        </w:trPr>
                        <w:tc>
                          <w:tcPr>
                            <w:tcW w:w="818" w:type="dxa"/>
                          </w:tcPr>
                          <w:p>
                            <w:pPr>
                              <w:pStyle w:val="TableParagraph"/>
                              <w:spacing w:before="41"/>
                              <w:ind w:right="239"/>
                              <w:jc w:val="right"/>
                              <w:rPr>
                                <w:sz w:val="21"/>
                              </w:rPr>
                            </w:pPr>
                            <w:r>
                              <w:rPr>
                                <w:color w:val="030303"/>
                                <w:spacing w:val="-2"/>
                                <w:sz w:val="21"/>
                              </w:rPr>
                              <w:t>1,511</w:t>
                            </w:r>
                          </w:p>
                        </w:tc>
                        <w:tc>
                          <w:tcPr>
                            <w:tcW w:w="1036" w:type="dxa"/>
                          </w:tcPr>
                          <w:p>
                            <w:pPr>
                              <w:pStyle w:val="TableParagraph"/>
                              <w:spacing w:before="41"/>
                              <w:ind w:right="270"/>
                              <w:jc w:val="right"/>
                              <w:rPr>
                                <w:sz w:val="21"/>
                              </w:rPr>
                            </w:pPr>
                            <w:r>
                              <w:rPr>
                                <w:color w:val="030303"/>
                                <w:spacing w:val="-10"/>
                                <w:w w:val="105"/>
                                <w:sz w:val="21"/>
                              </w:rPr>
                              <w:t>3</w:t>
                            </w:r>
                          </w:p>
                        </w:tc>
                        <w:tc>
                          <w:tcPr>
                            <w:tcW w:w="731" w:type="dxa"/>
                          </w:tcPr>
                          <w:p>
                            <w:pPr>
                              <w:pStyle w:val="TableParagraph"/>
                              <w:spacing w:before="41"/>
                              <w:ind w:right="154"/>
                              <w:jc w:val="right"/>
                              <w:rPr>
                                <w:sz w:val="21"/>
                              </w:rPr>
                            </w:pPr>
                            <w:r>
                              <w:rPr>
                                <w:color w:val="030303"/>
                                <w:spacing w:val="-10"/>
                                <w:w w:val="105"/>
                                <w:sz w:val="21"/>
                              </w:rPr>
                              <w:t>8</w:t>
                            </w:r>
                          </w:p>
                        </w:tc>
                        <w:tc>
                          <w:tcPr>
                            <w:tcW w:w="855" w:type="dxa"/>
                          </w:tcPr>
                          <w:p>
                            <w:pPr>
                              <w:pStyle w:val="TableParagraph"/>
                              <w:spacing w:before="41"/>
                              <w:ind w:right="202"/>
                              <w:jc w:val="right"/>
                              <w:rPr>
                                <w:sz w:val="21"/>
                              </w:rPr>
                            </w:pPr>
                            <w:r>
                              <w:rPr>
                                <w:color w:val="030303"/>
                                <w:spacing w:val="-5"/>
                                <w:sz w:val="21"/>
                              </w:rPr>
                              <w:t>158</w:t>
                            </w:r>
                          </w:p>
                        </w:tc>
                        <w:tc>
                          <w:tcPr>
                            <w:tcW w:w="664" w:type="dxa"/>
                          </w:tcPr>
                          <w:p>
                            <w:pPr>
                              <w:pStyle w:val="TableParagraph"/>
                              <w:spacing w:before="46"/>
                              <w:ind w:right="119"/>
                              <w:jc w:val="right"/>
                              <w:rPr>
                                <w:sz w:val="21"/>
                              </w:rPr>
                            </w:pPr>
                            <w:r>
                              <w:rPr>
                                <w:color w:val="030303"/>
                                <w:spacing w:val="-5"/>
                                <w:sz w:val="21"/>
                              </w:rPr>
                              <w:t>15</w:t>
                            </w:r>
                          </w:p>
                        </w:tc>
                        <w:tc>
                          <w:tcPr>
                            <w:tcW w:w="1196" w:type="dxa"/>
                          </w:tcPr>
                          <w:p>
                            <w:pPr>
                              <w:pStyle w:val="TableParagraph"/>
                              <w:spacing w:before="8" w:line="303" w:lineRule="exact"/>
                              <w:ind w:right="443"/>
                              <w:jc w:val="right"/>
                              <w:rPr>
                                <w:sz w:val="27"/>
                              </w:rPr>
                            </w:pPr>
                            <w:r>
                              <w:rPr>
                                <w:color w:val="343434"/>
                                <w:spacing w:val="-10"/>
                                <w:sz w:val="27"/>
                              </w:rPr>
                              <w:t>-</w:t>
                            </w:r>
                          </w:p>
                        </w:tc>
                        <w:tc>
                          <w:tcPr>
                            <w:tcW w:w="1073" w:type="dxa"/>
                          </w:tcPr>
                          <w:p>
                            <w:pPr>
                              <w:pStyle w:val="TableParagraph"/>
                              <w:spacing w:before="50"/>
                              <w:ind w:right="104"/>
                              <w:jc w:val="right"/>
                              <w:rPr>
                                <w:sz w:val="21"/>
                              </w:rPr>
                            </w:pPr>
                            <w:r>
                              <w:rPr>
                                <w:color w:val="030303"/>
                                <w:spacing w:val="-10"/>
                                <w:w w:val="105"/>
                                <w:sz w:val="21"/>
                              </w:rPr>
                              <w:t>3</w:t>
                            </w:r>
                          </w:p>
                        </w:tc>
                        <w:tc>
                          <w:tcPr>
                            <w:tcW w:w="1013" w:type="dxa"/>
                          </w:tcPr>
                          <w:p>
                            <w:pPr>
                              <w:pStyle w:val="TableParagraph"/>
                              <w:spacing w:before="46"/>
                              <w:ind w:right="133"/>
                              <w:jc w:val="right"/>
                              <w:rPr>
                                <w:sz w:val="21"/>
                              </w:rPr>
                            </w:pPr>
                            <w:r>
                              <w:rPr>
                                <w:color w:val="030303"/>
                                <w:spacing w:val="-2"/>
                                <w:sz w:val="21"/>
                              </w:rPr>
                              <w:t>(455)</w:t>
                            </w:r>
                          </w:p>
                        </w:tc>
                        <w:tc>
                          <w:tcPr>
                            <w:tcW w:w="853" w:type="dxa"/>
                          </w:tcPr>
                          <w:p>
                            <w:pPr>
                              <w:pStyle w:val="TableParagraph"/>
                              <w:spacing w:before="55"/>
                              <w:ind w:right="73"/>
                              <w:jc w:val="right"/>
                              <w:rPr>
                                <w:b/>
                                <w:sz w:val="20"/>
                              </w:rPr>
                            </w:pPr>
                            <w:r>
                              <w:rPr>
                                <w:b/>
                                <w:color w:val="030303"/>
                                <w:spacing w:val="-2"/>
                                <w:w w:val="105"/>
                                <w:sz w:val="20"/>
                              </w:rPr>
                              <w:t>1,243</w:t>
                            </w:r>
                          </w:p>
                        </w:tc>
                      </w:tr>
                      <w:tr>
                        <w:trPr>
                          <w:trHeight w:val="334" w:hRule="atLeast"/>
                        </w:trPr>
                        <w:tc>
                          <w:tcPr>
                            <w:tcW w:w="818" w:type="dxa"/>
                          </w:tcPr>
                          <w:p>
                            <w:pPr>
                              <w:pStyle w:val="TableParagraph"/>
                              <w:spacing w:before="46"/>
                              <w:ind w:right="240"/>
                              <w:jc w:val="right"/>
                              <w:rPr>
                                <w:sz w:val="21"/>
                              </w:rPr>
                            </w:pPr>
                            <w:r>
                              <w:rPr>
                                <w:color w:val="030303"/>
                                <w:spacing w:val="-2"/>
                                <w:sz w:val="21"/>
                              </w:rPr>
                              <w:t>3,324</w:t>
                            </w:r>
                          </w:p>
                        </w:tc>
                        <w:tc>
                          <w:tcPr>
                            <w:tcW w:w="1036" w:type="dxa"/>
                          </w:tcPr>
                          <w:p>
                            <w:pPr>
                              <w:pStyle w:val="TableParagraph"/>
                              <w:spacing w:before="4" w:line="310" w:lineRule="exact"/>
                              <w:ind w:right="263"/>
                              <w:jc w:val="right"/>
                              <w:rPr>
                                <w:sz w:val="27"/>
                              </w:rPr>
                            </w:pPr>
                            <w:r>
                              <w:rPr>
                                <w:color w:val="242424"/>
                                <w:spacing w:val="-10"/>
                                <w:sz w:val="27"/>
                              </w:rPr>
                              <w:t>-</w:t>
                            </w:r>
                          </w:p>
                        </w:tc>
                        <w:tc>
                          <w:tcPr>
                            <w:tcW w:w="731" w:type="dxa"/>
                          </w:tcPr>
                          <w:p>
                            <w:pPr>
                              <w:pStyle w:val="TableParagraph"/>
                              <w:spacing w:before="50"/>
                              <w:ind w:right="143"/>
                              <w:jc w:val="right"/>
                              <w:rPr>
                                <w:sz w:val="21"/>
                              </w:rPr>
                            </w:pPr>
                            <w:r>
                              <w:rPr>
                                <w:color w:val="030303"/>
                                <w:spacing w:val="-10"/>
                                <w:w w:val="110"/>
                                <w:sz w:val="21"/>
                              </w:rPr>
                              <w:t>4</w:t>
                            </w:r>
                          </w:p>
                        </w:tc>
                        <w:tc>
                          <w:tcPr>
                            <w:tcW w:w="855" w:type="dxa"/>
                          </w:tcPr>
                          <w:p>
                            <w:pPr>
                              <w:pStyle w:val="TableParagraph"/>
                              <w:spacing w:before="50"/>
                              <w:ind w:right="197"/>
                              <w:jc w:val="right"/>
                              <w:rPr>
                                <w:sz w:val="21"/>
                              </w:rPr>
                            </w:pPr>
                            <w:r>
                              <w:rPr>
                                <w:color w:val="030303"/>
                                <w:spacing w:val="-2"/>
                                <w:sz w:val="21"/>
                              </w:rPr>
                              <w:t>1,225</w:t>
                            </w:r>
                          </w:p>
                        </w:tc>
                        <w:tc>
                          <w:tcPr>
                            <w:tcW w:w="664" w:type="dxa"/>
                          </w:tcPr>
                          <w:p>
                            <w:pPr>
                              <w:pStyle w:val="TableParagraph"/>
                              <w:spacing w:before="50"/>
                              <w:ind w:right="114"/>
                              <w:jc w:val="right"/>
                              <w:rPr>
                                <w:sz w:val="21"/>
                              </w:rPr>
                            </w:pPr>
                            <w:r>
                              <w:rPr>
                                <w:color w:val="030303"/>
                                <w:spacing w:val="-5"/>
                                <w:sz w:val="21"/>
                              </w:rPr>
                              <w:t>127</w:t>
                            </w:r>
                          </w:p>
                        </w:tc>
                        <w:tc>
                          <w:tcPr>
                            <w:tcW w:w="1196" w:type="dxa"/>
                          </w:tcPr>
                          <w:p>
                            <w:pPr>
                              <w:pStyle w:val="TableParagraph"/>
                              <w:spacing w:before="50"/>
                              <w:ind w:right="451"/>
                              <w:jc w:val="right"/>
                              <w:rPr>
                                <w:sz w:val="21"/>
                              </w:rPr>
                            </w:pPr>
                            <w:r>
                              <w:rPr>
                                <w:color w:val="030303"/>
                                <w:spacing w:val="-2"/>
                                <w:sz w:val="21"/>
                              </w:rPr>
                              <w:t>25,119</w:t>
                            </w:r>
                          </w:p>
                        </w:tc>
                        <w:tc>
                          <w:tcPr>
                            <w:tcW w:w="1073" w:type="dxa"/>
                          </w:tcPr>
                          <w:p>
                            <w:pPr>
                              <w:pStyle w:val="TableParagraph"/>
                              <w:spacing w:before="55"/>
                              <w:ind w:right="101"/>
                              <w:jc w:val="right"/>
                              <w:rPr>
                                <w:sz w:val="21"/>
                              </w:rPr>
                            </w:pPr>
                            <w:r>
                              <w:rPr>
                                <w:color w:val="030303"/>
                                <w:spacing w:val="-5"/>
                                <w:w w:val="105"/>
                                <w:sz w:val="21"/>
                              </w:rPr>
                              <w:t>131</w:t>
                            </w:r>
                          </w:p>
                        </w:tc>
                        <w:tc>
                          <w:tcPr>
                            <w:tcW w:w="1013" w:type="dxa"/>
                          </w:tcPr>
                          <w:p>
                            <w:pPr>
                              <w:pStyle w:val="TableParagraph"/>
                              <w:spacing w:before="55"/>
                              <w:ind w:right="132"/>
                              <w:jc w:val="right"/>
                              <w:rPr>
                                <w:sz w:val="21"/>
                              </w:rPr>
                            </w:pPr>
                            <w:r>
                              <w:rPr>
                                <w:color w:val="030303"/>
                                <w:spacing w:val="-2"/>
                                <w:sz w:val="21"/>
                              </w:rPr>
                              <w:t>(26,813)</w:t>
                            </w:r>
                          </w:p>
                        </w:tc>
                        <w:tc>
                          <w:tcPr>
                            <w:tcW w:w="853" w:type="dxa"/>
                          </w:tcPr>
                          <w:p>
                            <w:pPr>
                              <w:pStyle w:val="TableParagraph"/>
                              <w:spacing w:before="65"/>
                              <w:ind w:right="70"/>
                              <w:jc w:val="right"/>
                              <w:rPr>
                                <w:b/>
                                <w:sz w:val="20"/>
                              </w:rPr>
                            </w:pPr>
                            <w:r>
                              <w:rPr>
                                <w:b/>
                                <w:color w:val="030303"/>
                                <w:spacing w:val="-2"/>
                                <w:w w:val="105"/>
                                <w:sz w:val="20"/>
                              </w:rPr>
                              <w:t>3,117</w:t>
                            </w:r>
                          </w:p>
                        </w:tc>
                      </w:tr>
                      <w:tr>
                        <w:trPr>
                          <w:trHeight w:val="336" w:hRule="atLeast"/>
                        </w:trPr>
                        <w:tc>
                          <w:tcPr>
                            <w:tcW w:w="818" w:type="dxa"/>
                          </w:tcPr>
                          <w:p>
                            <w:pPr>
                              <w:pStyle w:val="TableParagraph"/>
                              <w:spacing w:before="48"/>
                              <w:ind w:right="232"/>
                              <w:jc w:val="right"/>
                              <w:rPr>
                                <w:sz w:val="21"/>
                              </w:rPr>
                            </w:pPr>
                            <w:r>
                              <w:rPr>
                                <w:color w:val="030303"/>
                                <w:spacing w:val="-5"/>
                                <w:sz w:val="21"/>
                              </w:rPr>
                              <w:t>97</w:t>
                            </w:r>
                          </w:p>
                        </w:tc>
                        <w:tc>
                          <w:tcPr>
                            <w:tcW w:w="1036" w:type="dxa"/>
                          </w:tcPr>
                          <w:p>
                            <w:pPr>
                              <w:pStyle w:val="TableParagraph"/>
                              <w:spacing w:before="67"/>
                              <w:ind w:right="263"/>
                              <w:jc w:val="right"/>
                              <w:rPr>
                                <w:sz w:val="21"/>
                              </w:rPr>
                            </w:pPr>
                            <w:r>
                              <w:rPr>
                                <w:color w:val="242424"/>
                                <w:spacing w:val="-10"/>
                                <w:w w:val="105"/>
                                <w:sz w:val="21"/>
                              </w:rPr>
                              <w:t>-</w:t>
                            </w:r>
                          </w:p>
                        </w:tc>
                        <w:tc>
                          <w:tcPr>
                            <w:tcW w:w="731" w:type="dxa"/>
                          </w:tcPr>
                          <w:p>
                            <w:pPr>
                              <w:pStyle w:val="TableParagraph"/>
                              <w:spacing w:before="43"/>
                              <w:ind w:right="142"/>
                              <w:jc w:val="right"/>
                              <w:rPr>
                                <w:sz w:val="22"/>
                              </w:rPr>
                            </w:pPr>
                            <w:r>
                              <w:rPr>
                                <w:color w:val="030303"/>
                                <w:spacing w:val="-10"/>
                                <w:w w:val="110"/>
                                <w:sz w:val="22"/>
                              </w:rPr>
                              <w:t>-</w:t>
                            </w:r>
                          </w:p>
                        </w:tc>
                        <w:tc>
                          <w:tcPr>
                            <w:tcW w:w="855" w:type="dxa"/>
                          </w:tcPr>
                          <w:p>
                            <w:pPr>
                              <w:pStyle w:val="TableParagraph"/>
                              <w:spacing w:before="53"/>
                              <w:ind w:right="190"/>
                              <w:jc w:val="right"/>
                              <w:rPr>
                                <w:sz w:val="21"/>
                              </w:rPr>
                            </w:pPr>
                            <w:r>
                              <w:rPr>
                                <w:color w:val="030303"/>
                                <w:spacing w:val="-5"/>
                                <w:sz w:val="21"/>
                              </w:rPr>
                              <w:t>170</w:t>
                            </w:r>
                          </w:p>
                        </w:tc>
                        <w:tc>
                          <w:tcPr>
                            <w:tcW w:w="664" w:type="dxa"/>
                          </w:tcPr>
                          <w:p>
                            <w:pPr>
                              <w:pStyle w:val="TableParagraph"/>
                              <w:spacing w:before="58"/>
                              <w:ind w:right="108"/>
                              <w:jc w:val="right"/>
                              <w:rPr>
                                <w:sz w:val="21"/>
                              </w:rPr>
                            </w:pPr>
                            <w:r>
                              <w:rPr>
                                <w:color w:val="030303"/>
                                <w:spacing w:val="-5"/>
                                <w:w w:val="105"/>
                                <w:sz w:val="21"/>
                              </w:rPr>
                              <w:t>99</w:t>
                            </w:r>
                          </w:p>
                        </w:tc>
                        <w:tc>
                          <w:tcPr>
                            <w:tcW w:w="1196" w:type="dxa"/>
                          </w:tcPr>
                          <w:p>
                            <w:pPr>
                              <w:pStyle w:val="TableParagraph"/>
                              <w:spacing w:before="11" w:line="305" w:lineRule="exact"/>
                              <w:ind w:right="439"/>
                              <w:jc w:val="right"/>
                              <w:rPr>
                                <w:sz w:val="27"/>
                              </w:rPr>
                            </w:pPr>
                            <w:r>
                              <w:rPr>
                                <w:color w:val="030303"/>
                                <w:spacing w:val="-10"/>
                                <w:sz w:val="27"/>
                              </w:rPr>
                              <w:t>-</w:t>
                            </w:r>
                          </w:p>
                        </w:tc>
                        <w:tc>
                          <w:tcPr>
                            <w:tcW w:w="1073" w:type="dxa"/>
                          </w:tcPr>
                          <w:p>
                            <w:pPr>
                              <w:pStyle w:val="TableParagraph"/>
                              <w:spacing w:before="58"/>
                              <w:ind w:right="97"/>
                              <w:jc w:val="right"/>
                              <w:rPr>
                                <w:sz w:val="21"/>
                              </w:rPr>
                            </w:pPr>
                            <w:r>
                              <w:rPr>
                                <w:color w:val="343434"/>
                                <w:spacing w:val="-10"/>
                                <w:w w:val="105"/>
                                <w:sz w:val="21"/>
                              </w:rPr>
                              <w:t>-</w:t>
                            </w:r>
                          </w:p>
                        </w:tc>
                        <w:tc>
                          <w:tcPr>
                            <w:tcW w:w="1013" w:type="dxa"/>
                          </w:tcPr>
                          <w:p>
                            <w:pPr>
                              <w:pStyle w:val="TableParagraph"/>
                              <w:spacing w:before="53"/>
                              <w:ind w:right="120"/>
                              <w:jc w:val="right"/>
                              <w:rPr>
                                <w:sz w:val="21"/>
                              </w:rPr>
                            </w:pPr>
                            <w:r>
                              <w:rPr>
                                <w:color w:val="030303"/>
                                <w:spacing w:val="-4"/>
                                <w:sz w:val="21"/>
                              </w:rPr>
                              <w:t>(99)</w:t>
                            </w:r>
                          </w:p>
                        </w:tc>
                        <w:tc>
                          <w:tcPr>
                            <w:tcW w:w="853" w:type="dxa"/>
                          </w:tcPr>
                          <w:p>
                            <w:pPr>
                              <w:pStyle w:val="TableParagraph"/>
                              <w:spacing w:before="67"/>
                              <w:ind w:right="62"/>
                              <w:jc w:val="right"/>
                              <w:rPr>
                                <w:b/>
                                <w:sz w:val="20"/>
                              </w:rPr>
                            </w:pPr>
                            <w:r>
                              <w:rPr>
                                <w:b/>
                                <w:color w:val="030303"/>
                                <w:spacing w:val="-5"/>
                                <w:w w:val="105"/>
                                <w:sz w:val="20"/>
                              </w:rPr>
                              <w:t>267</w:t>
                            </w:r>
                          </w:p>
                        </w:tc>
                      </w:tr>
                      <w:tr>
                        <w:trPr>
                          <w:trHeight w:val="349" w:hRule="atLeast"/>
                        </w:trPr>
                        <w:tc>
                          <w:tcPr>
                            <w:tcW w:w="818" w:type="dxa"/>
                          </w:tcPr>
                          <w:p>
                            <w:pPr>
                              <w:pStyle w:val="TableParagraph"/>
                              <w:spacing w:before="48"/>
                              <w:ind w:right="235"/>
                              <w:jc w:val="right"/>
                              <w:rPr>
                                <w:sz w:val="21"/>
                              </w:rPr>
                            </w:pPr>
                            <w:r>
                              <w:rPr>
                                <w:color w:val="030303"/>
                                <w:spacing w:val="-2"/>
                                <w:sz w:val="21"/>
                              </w:rPr>
                              <w:t>1,203</w:t>
                            </w:r>
                          </w:p>
                        </w:tc>
                        <w:tc>
                          <w:tcPr>
                            <w:tcW w:w="1036" w:type="dxa"/>
                          </w:tcPr>
                          <w:p>
                            <w:pPr>
                              <w:pStyle w:val="TableParagraph"/>
                              <w:spacing w:before="6"/>
                              <w:ind w:right="258"/>
                              <w:jc w:val="right"/>
                              <w:rPr>
                                <w:sz w:val="27"/>
                              </w:rPr>
                            </w:pPr>
                            <w:r>
                              <w:rPr>
                                <w:color w:val="030303"/>
                                <w:spacing w:val="-10"/>
                                <w:sz w:val="27"/>
                              </w:rPr>
                              <w:t>-</w:t>
                            </w:r>
                          </w:p>
                        </w:tc>
                        <w:tc>
                          <w:tcPr>
                            <w:tcW w:w="731" w:type="dxa"/>
                          </w:tcPr>
                          <w:p>
                            <w:pPr>
                              <w:pStyle w:val="TableParagraph"/>
                              <w:spacing w:before="48"/>
                              <w:ind w:right="141"/>
                              <w:jc w:val="right"/>
                              <w:rPr>
                                <w:sz w:val="21"/>
                              </w:rPr>
                            </w:pPr>
                            <w:r>
                              <w:rPr>
                                <w:color w:val="030303"/>
                                <w:spacing w:val="-10"/>
                                <w:w w:val="105"/>
                                <w:sz w:val="21"/>
                              </w:rPr>
                              <w:t>5</w:t>
                            </w:r>
                          </w:p>
                        </w:tc>
                        <w:tc>
                          <w:tcPr>
                            <w:tcW w:w="855" w:type="dxa"/>
                          </w:tcPr>
                          <w:p>
                            <w:pPr>
                              <w:pStyle w:val="TableParagraph"/>
                              <w:spacing w:before="48"/>
                              <w:ind w:right="186"/>
                              <w:jc w:val="right"/>
                              <w:rPr>
                                <w:sz w:val="21"/>
                              </w:rPr>
                            </w:pPr>
                            <w:r>
                              <w:rPr>
                                <w:color w:val="030303"/>
                                <w:spacing w:val="-5"/>
                                <w:sz w:val="21"/>
                              </w:rPr>
                              <w:t>920</w:t>
                            </w:r>
                          </w:p>
                        </w:tc>
                        <w:tc>
                          <w:tcPr>
                            <w:tcW w:w="664" w:type="dxa"/>
                          </w:tcPr>
                          <w:p>
                            <w:pPr>
                              <w:pStyle w:val="TableParagraph"/>
                              <w:spacing w:before="53"/>
                              <w:ind w:right="112"/>
                              <w:jc w:val="right"/>
                              <w:rPr>
                                <w:sz w:val="21"/>
                              </w:rPr>
                            </w:pPr>
                            <w:r>
                              <w:rPr>
                                <w:color w:val="030303"/>
                                <w:spacing w:val="-5"/>
                                <w:sz w:val="21"/>
                              </w:rPr>
                              <w:t>52</w:t>
                            </w:r>
                          </w:p>
                        </w:tc>
                        <w:tc>
                          <w:tcPr>
                            <w:tcW w:w="1196" w:type="dxa"/>
                          </w:tcPr>
                          <w:p>
                            <w:pPr>
                              <w:pStyle w:val="TableParagraph"/>
                              <w:spacing w:before="53"/>
                              <w:ind w:right="443"/>
                              <w:jc w:val="right"/>
                              <w:rPr>
                                <w:sz w:val="21"/>
                              </w:rPr>
                            </w:pPr>
                            <w:r>
                              <w:rPr>
                                <w:color w:val="030303"/>
                                <w:spacing w:val="-5"/>
                                <w:sz w:val="21"/>
                              </w:rPr>
                              <w:t>50</w:t>
                            </w:r>
                          </w:p>
                        </w:tc>
                        <w:tc>
                          <w:tcPr>
                            <w:tcW w:w="1073" w:type="dxa"/>
                          </w:tcPr>
                          <w:p>
                            <w:pPr>
                              <w:pStyle w:val="TableParagraph"/>
                              <w:spacing w:before="53"/>
                              <w:ind w:right="104"/>
                              <w:jc w:val="right"/>
                              <w:rPr>
                                <w:sz w:val="21"/>
                              </w:rPr>
                            </w:pPr>
                            <w:r>
                              <w:rPr>
                                <w:color w:val="030303"/>
                                <w:spacing w:val="-2"/>
                                <w:sz w:val="21"/>
                              </w:rPr>
                              <w:t>1,462</w:t>
                            </w:r>
                          </w:p>
                        </w:tc>
                        <w:tc>
                          <w:tcPr>
                            <w:tcW w:w="1013" w:type="dxa"/>
                          </w:tcPr>
                          <w:p>
                            <w:pPr>
                              <w:pStyle w:val="TableParagraph"/>
                              <w:spacing w:before="53"/>
                              <w:ind w:right="123"/>
                              <w:jc w:val="right"/>
                              <w:rPr>
                                <w:sz w:val="21"/>
                              </w:rPr>
                            </w:pPr>
                            <w:r>
                              <w:rPr>
                                <w:color w:val="030303"/>
                                <w:spacing w:val="-2"/>
                                <w:sz w:val="21"/>
                              </w:rPr>
                              <w:t>(1,285)</w:t>
                            </w:r>
                          </w:p>
                        </w:tc>
                        <w:tc>
                          <w:tcPr>
                            <w:tcW w:w="853" w:type="dxa"/>
                          </w:tcPr>
                          <w:p>
                            <w:pPr>
                              <w:pStyle w:val="TableParagraph"/>
                              <w:spacing w:before="62"/>
                              <w:ind w:right="63"/>
                              <w:jc w:val="right"/>
                              <w:rPr>
                                <w:b/>
                                <w:sz w:val="20"/>
                              </w:rPr>
                            </w:pPr>
                            <w:r>
                              <w:rPr>
                                <w:b/>
                                <w:color w:val="030303"/>
                                <w:spacing w:val="-2"/>
                                <w:w w:val="105"/>
                                <w:sz w:val="20"/>
                              </w:rPr>
                              <w:t>2,407</w:t>
                            </w:r>
                          </w:p>
                        </w:tc>
                      </w:tr>
                      <w:tr>
                        <w:trPr>
                          <w:trHeight w:val="309" w:hRule="atLeast"/>
                        </w:trPr>
                        <w:tc>
                          <w:tcPr>
                            <w:tcW w:w="818" w:type="dxa"/>
                          </w:tcPr>
                          <w:p>
                            <w:pPr>
                              <w:pStyle w:val="TableParagraph"/>
                              <w:spacing w:before="30"/>
                              <w:ind w:right="229"/>
                              <w:jc w:val="right"/>
                              <w:rPr>
                                <w:sz w:val="21"/>
                              </w:rPr>
                            </w:pPr>
                            <w:r>
                              <w:rPr>
                                <w:color w:val="030303"/>
                                <w:spacing w:val="-2"/>
                                <w:sz w:val="21"/>
                              </w:rPr>
                              <w:t>1,437</w:t>
                            </w:r>
                          </w:p>
                        </w:tc>
                        <w:tc>
                          <w:tcPr>
                            <w:tcW w:w="1036" w:type="dxa"/>
                          </w:tcPr>
                          <w:p>
                            <w:pPr>
                              <w:pStyle w:val="TableParagraph"/>
                              <w:spacing w:before="49" w:line="240" w:lineRule="exact"/>
                              <w:ind w:right="258"/>
                              <w:jc w:val="right"/>
                              <w:rPr>
                                <w:sz w:val="21"/>
                              </w:rPr>
                            </w:pPr>
                            <w:r>
                              <w:rPr>
                                <w:color w:val="030303"/>
                                <w:spacing w:val="-10"/>
                                <w:w w:val="105"/>
                                <w:sz w:val="21"/>
                              </w:rPr>
                              <w:t>-</w:t>
                            </w:r>
                          </w:p>
                        </w:tc>
                        <w:tc>
                          <w:tcPr>
                            <w:tcW w:w="731" w:type="dxa"/>
                          </w:tcPr>
                          <w:p>
                            <w:pPr>
                              <w:pStyle w:val="TableParagraph"/>
                              <w:spacing w:before="26"/>
                              <w:ind w:right="137"/>
                              <w:jc w:val="right"/>
                              <w:rPr>
                                <w:sz w:val="22"/>
                              </w:rPr>
                            </w:pPr>
                            <w:r>
                              <w:rPr>
                                <w:color w:val="030303"/>
                                <w:spacing w:val="-10"/>
                                <w:w w:val="110"/>
                                <w:sz w:val="22"/>
                              </w:rPr>
                              <w:t>-</w:t>
                            </w:r>
                          </w:p>
                        </w:tc>
                        <w:tc>
                          <w:tcPr>
                            <w:tcW w:w="855" w:type="dxa"/>
                          </w:tcPr>
                          <w:p>
                            <w:pPr>
                              <w:pStyle w:val="TableParagraph"/>
                              <w:spacing w:before="30"/>
                              <w:ind w:right="186"/>
                              <w:jc w:val="right"/>
                              <w:rPr>
                                <w:sz w:val="21"/>
                              </w:rPr>
                            </w:pPr>
                            <w:r>
                              <w:rPr>
                                <w:color w:val="030303"/>
                                <w:spacing w:val="-5"/>
                                <w:sz w:val="21"/>
                              </w:rPr>
                              <w:t>128</w:t>
                            </w:r>
                          </w:p>
                        </w:tc>
                        <w:tc>
                          <w:tcPr>
                            <w:tcW w:w="664" w:type="dxa"/>
                          </w:tcPr>
                          <w:p>
                            <w:pPr>
                              <w:pStyle w:val="TableParagraph"/>
                              <w:spacing w:before="30"/>
                              <w:ind w:right="104"/>
                              <w:jc w:val="right"/>
                              <w:rPr>
                                <w:sz w:val="21"/>
                              </w:rPr>
                            </w:pPr>
                            <w:r>
                              <w:rPr>
                                <w:color w:val="030303"/>
                                <w:spacing w:val="-5"/>
                                <w:sz w:val="21"/>
                              </w:rPr>
                              <w:t>126</w:t>
                            </w:r>
                          </w:p>
                        </w:tc>
                        <w:tc>
                          <w:tcPr>
                            <w:tcW w:w="1196" w:type="dxa"/>
                          </w:tcPr>
                          <w:p>
                            <w:pPr>
                              <w:pStyle w:val="TableParagraph"/>
                              <w:spacing w:before="30"/>
                              <w:ind w:right="439"/>
                              <w:jc w:val="right"/>
                              <w:rPr>
                                <w:sz w:val="22"/>
                              </w:rPr>
                            </w:pPr>
                            <w:r>
                              <w:rPr>
                                <w:color w:val="343434"/>
                                <w:spacing w:val="-10"/>
                                <w:sz w:val="22"/>
                              </w:rPr>
                              <w:t>-</w:t>
                            </w:r>
                          </w:p>
                        </w:tc>
                        <w:tc>
                          <w:tcPr>
                            <w:tcW w:w="1073" w:type="dxa"/>
                          </w:tcPr>
                          <w:p>
                            <w:pPr>
                              <w:pStyle w:val="TableParagraph"/>
                              <w:spacing w:before="35"/>
                              <w:ind w:right="97"/>
                              <w:jc w:val="right"/>
                              <w:rPr>
                                <w:sz w:val="21"/>
                              </w:rPr>
                            </w:pPr>
                            <w:r>
                              <w:rPr>
                                <w:color w:val="030303"/>
                                <w:spacing w:val="-5"/>
                                <w:sz w:val="21"/>
                              </w:rPr>
                              <w:t>33</w:t>
                            </w:r>
                          </w:p>
                        </w:tc>
                        <w:tc>
                          <w:tcPr>
                            <w:tcW w:w="1013" w:type="dxa"/>
                          </w:tcPr>
                          <w:p>
                            <w:pPr>
                              <w:pStyle w:val="TableParagraph"/>
                              <w:spacing w:before="30"/>
                              <w:ind w:right="119"/>
                              <w:jc w:val="right"/>
                              <w:rPr>
                                <w:sz w:val="21"/>
                              </w:rPr>
                            </w:pPr>
                            <w:r>
                              <w:rPr>
                                <w:color w:val="030303"/>
                                <w:spacing w:val="-4"/>
                                <w:sz w:val="21"/>
                              </w:rPr>
                              <w:t>(96)</w:t>
                            </w:r>
                          </w:p>
                        </w:tc>
                        <w:tc>
                          <w:tcPr>
                            <w:tcW w:w="853" w:type="dxa"/>
                          </w:tcPr>
                          <w:p>
                            <w:pPr>
                              <w:pStyle w:val="TableParagraph"/>
                              <w:spacing w:before="39"/>
                              <w:ind w:right="59"/>
                              <w:jc w:val="right"/>
                              <w:rPr>
                                <w:b/>
                                <w:sz w:val="20"/>
                              </w:rPr>
                            </w:pPr>
                            <w:r>
                              <w:rPr>
                                <w:b/>
                                <w:color w:val="030303"/>
                                <w:spacing w:val="-2"/>
                                <w:w w:val="105"/>
                                <w:sz w:val="20"/>
                              </w:rPr>
                              <w:t>1,628</w:t>
                            </w:r>
                          </w:p>
                        </w:tc>
                      </w:tr>
                      <w:tr>
                        <w:trPr>
                          <w:trHeight w:val="342" w:hRule="atLeast"/>
                        </w:trPr>
                        <w:tc>
                          <w:tcPr>
                            <w:tcW w:w="818" w:type="dxa"/>
                          </w:tcPr>
                          <w:p>
                            <w:pPr>
                              <w:pStyle w:val="TableParagraph"/>
                              <w:spacing w:before="52"/>
                              <w:ind w:right="230"/>
                              <w:jc w:val="right"/>
                              <w:rPr>
                                <w:sz w:val="21"/>
                              </w:rPr>
                            </w:pPr>
                            <w:r>
                              <w:rPr>
                                <w:color w:val="030303"/>
                                <w:spacing w:val="-2"/>
                                <w:sz w:val="21"/>
                              </w:rPr>
                              <w:t>1,230</w:t>
                            </w:r>
                          </w:p>
                        </w:tc>
                        <w:tc>
                          <w:tcPr>
                            <w:tcW w:w="1036" w:type="dxa"/>
                          </w:tcPr>
                          <w:p>
                            <w:pPr>
                              <w:pStyle w:val="TableParagraph"/>
                              <w:spacing w:before="10"/>
                              <w:ind w:right="254"/>
                              <w:jc w:val="right"/>
                              <w:rPr>
                                <w:sz w:val="27"/>
                              </w:rPr>
                            </w:pPr>
                            <w:r>
                              <w:rPr>
                                <w:color w:val="030303"/>
                                <w:spacing w:val="-10"/>
                                <w:sz w:val="27"/>
                              </w:rPr>
                              <w:t>-</w:t>
                            </w:r>
                          </w:p>
                        </w:tc>
                        <w:tc>
                          <w:tcPr>
                            <w:tcW w:w="731" w:type="dxa"/>
                          </w:tcPr>
                          <w:p>
                            <w:pPr>
                              <w:pStyle w:val="TableParagraph"/>
                              <w:spacing w:before="52"/>
                              <w:ind w:right="134"/>
                              <w:jc w:val="right"/>
                              <w:rPr>
                                <w:sz w:val="21"/>
                              </w:rPr>
                            </w:pPr>
                            <w:r>
                              <w:rPr>
                                <w:color w:val="030303"/>
                                <w:spacing w:val="-10"/>
                                <w:w w:val="110"/>
                                <w:sz w:val="21"/>
                              </w:rPr>
                              <w:t>4</w:t>
                            </w:r>
                          </w:p>
                        </w:tc>
                        <w:tc>
                          <w:tcPr>
                            <w:tcW w:w="855" w:type="dxa"/>
                          </w:tcPr>
                          <w:p>
                            <w:pPr>
                              <w:pStyle w:val="TableParagraph"/>
                              <w:spacing w:before="52"/>
                              <w:ind w:right="175"/>
                              <w:jc w:val="right"/>
                              <w:rPr>
                                <w:sz w:val="21"/>
                              </w:rPr>
                            </w:pPr>
                            <w:r>
                              <w:rPr>
                                <w:color w:val="030303"/>
                                <w:spacing w:val="-5"/>
                                <w:w w:val="105"/>
                                <w:sz w:val="21"/>
                              </w:rPr>
                              <w:t>651</w:t>
                            </w:r>
                          </w:p>
                        </w:tc>
                        <w:tc>
                          <w:tcPr>
                            <w:tcW w:w="664" w:type="dxa"/>
                          </w:tcPr>
                          <w:p>
                            <w:pPr>
                              <w:pStyle w:val="TableParagraph"/>
                              <w:spacing w:before="15" w:line="308" w:lineRule="exact"/>
                              <w:ind w:right="94"/>
                              <w:jc w:val="right"/>
                              <w:rPr>
                                <w:sz w:val="27"/>
                              </w:rPr>
                            </w:pPr>
                            <w:r>
                              <w:rPr>
                                <w:color w:val="343434"/>
                                <w:spacing w:val="-10"/>
                                <w:sz w:val="27"/>
                              </w:rPr>
                              <w:t>-</w:t>
                            </w:r>
                          </w:p>
                        </w:tc>
                        <w:tc>
                          <w:tcPr>
                            <w:tcW w:w="1196" w:type="dxa"/>
                          </w:tcPr>
                          <w:p>
                            <w:pPr>
                              <w:pStyle w:val="TableParagraph"/>
                              <w:spacing w:before="71"/>
                              <w:ind w:right="428"/>
                              <w:jc w:val="right"/>
                              <w:rPr>
                                <w:sz w:val="21"/>
                              </w:rPr>
                            </w:pPr>
                            <w:r>
                              <w:rPr>
                                <w:color w:val="343434"/>
                                <w:spacing w:val="-10"/>
                                <w:w w:val="105"/>
                                <w:sz w:val="21"/>
                              </w:rPr>
                              <w:t>-</w:t>
                            </w:r>
                          </w:p>
                        </w:tc>
                        <w:tc>
                          <w:tcPr>
                            <w:tcW w:w="1073" w:type="dxa"/>
                          </w:tcPr>
                          <w:p>
                            <w:pPr>
                              <w:pStyle w:val="TableParagraph"/>
                              <w:spacing w:before="57"/>
                              <w:ind w:right="87"/>
                              <w:jc w:val="right"/>
                              <w:rPr>
                                <w:sz w:val="21"/>
                              </w:rPr>
                            </w:pPr>
                            <w:r>
                              <w:rPr>
                                <w:color w:val="242424"/>
                                <w:spacing w:val="-10"/>
                                <w:w w:val="105"/>
                                <w:sz w:val="21"/>
                              </w:rPr>
                              <w:t>-</w:t>
                            </w:r>
                          </w:p>
                        </w:tc>
                        <w:tc>
                          <w:tcPr>
                            <w:tcW w:w="1013" w:type="dxa"/>
                          </w:tcPr>
                          <w:p>
                            <w:pPr>
                              <w:pStyle w:val="TableParagraph"/>
                              <w:spacing w:before="52"/>
                              <w:ind w:right="113"/>
                              <w:jc w:val="right"/>
                              <w:rPr>
                                <w:sz w:val="21"/>
                              </w:rPr>
                            </w:pPr>
                            <w:r>
                              <w:rPr>
                                <w:color w:val="030303"/>
                                <w:spacing w:val="-2"/>
                                <w:sz w:val="21"/>
                              </w:rPr>
                              <w:t>(178)</w:t>
                            </w:r>
                          </w:p>
                        </w:tc>
                        <w:tc>
                          <w:tcPr>
                            <w:tcW w:w="853" w:type="dxa"/>
                          </w:tcPr>
                          <w:p>
                            <w:pPr>
                              <w:pStyle w:val="TableParagraph"/>
                              <w:spacing w:before="61"/>
                              <w:ind w:right="54"/>
                              <w:jc w:val="right"/>
                              <w:rPr>
                                <w:b/>
                                <w:sz w:val="20"/>
                              </w:rPr>
                            </w:pPr>
                            <w:r>
                              <w:rPr>
                                <w:b/>
                                <w:color w:val="030303"/>
                                <w:spacing w:val="-2"/>
                                <w:w w:val="105"/>
                                <w:sz w:val="20"/>
                              </w:rPr>
                              <w:t>1,707</w:t>
                            </w:r>
                          </w:p>
                        </w:tc>
                      </w:tr>
                      <w:tr>
                        <w:trPr>
                          <w:trHeight w:val="321" w:hRule="atLeast"/>
                        </w:trPr>
                        <w:tc>
                          <w:tcPr>
                            <w:tcW w:w="818" w:type="dxa"/>
                          </w:tcPr>
                          <w:p>
                            <w:pPr>
                              <w:pStyle w:val="TableParagraph"/>
                              <w:spacing w:before="50"/>
                              <w:ind w:right="219"/>
                              <w:jc w:val="right"/>
                              <w:rPr>
                                <w:sz w:val="21"/>
                              </w:rPr>
                            </w:pPr>
                            <w:r>
                              <w:rPr>
                                <w:color w:val="030303"/>
                                <w:spacing w:val="-5"/>
                                <w:sz w:val="21"/>
                              </w:rPr>
                              <w:t>987</w:t>
                            </w:r>
                          </w:p>
                        </w:tc>
                        <w:tc>
                          <w:tcPr>
                            <w:tcW w:w="1036" w:type="dxa"/>
                          </w:tcPr>
                          <w:p>
                            <w:pPr>
                              <w:pStyle w:val="TableParagraph"/>
                              <w:spacing w:before="50"/>
                              <w:ind w:right="252"/>
                              <w:jc w:val="right"/>
                              <w:rPr>
                                <w:sz w:val="21"/>
                              </w:rPr>
                            </w:pPr>
                            <w:r>
                              <w:rPr>
                                <w:color w:val="030303"/>
                                <w:spacing w:val="-5"/>
                                <w:sz w:val="21"/>
                              </w:rPr>
                              <w:t>22</w:t>
                            </w:r>
                          </w:p>
                        </w:tc>
                        <w:tc>
                          <w:tcPr>
                            <w:tcW w:w="731" w:type="dxa"/>
                          </w:tcPr>
                          <w:p>
                            <w:pPr>
                              <w:pStyle w:val="TableParagraph"/>
                              <w:spacing w:before="46"/>
                              <w:ind w:right="138"/>
                              <w:jc w:val="right"/>
                              <w:rPr>
                                <w:sz w:val="21"/>
                              </w:rPr>
                            </w:pPr>
                            <w:r>
                              <w:rPr>
                                <w:color w:val="030303"/>
                                <w:spacing w:val="-10"/>
                                <w:sz w:val="21"/>
                              </w:rPr>
                              <w:t>1</w:t>
                            </w:r>
                          </w:p>
                        </w:tc>
                        <w:tc>
                          <w:tcPr>
                            <w:tcW w:w="855" w:type="dxa"/>
                          </w:tcPr>
                          <w:p>
                            <w:pPr>
                              <w:pStyle w:val="TableParagraph"/>
                              <w:spacing w:before="46"/>
                              <w:ind w:right="181"/>
                              <w:jc w:val="right"/>
                              <w:rPr>
                                <w:sz w:val="21"/>
                              </w:rPr>
                            </w:pPr>
                            <w:r>
                              <w:rPr>
                                <w:color w:val="030303"/>
                                <w:spacing w:val="-5"/>
                                <w:sz w:val="21"/>
                              </w:rPr>
                              <w:t>419</w:t>
                            </w:r>
                          </w:p>
                        </w:tc>
                        <w:tc>
                          <w:tcPr>
                            <w:tcW w:w="664" w:type="dxa"/>
                          </w:tcPr>
                          <w:p>
                            <w:pPr>
                              <w:pStyle w:val="TableParagraph"/>
                              <w:spacing w:before="50"/>
                              <w:ind w:right="100"/>
                              <w:jc w:val="right"/>
                              <w:rPr>
                                <w:sz w:val="21"/>
                              </w:rPr>
                            </w:pPr>
                            <w:r>
                              <w:rPr>
                                <w:color w:val="030303"/>
                                <w:spacing w:val="-5"/>
                                <w:sz w:val="21"/>
                              </w:rPr>
                              <w:t>675</w:t>
                            </w:r>
                          </w:p>
                        </w:tc>
                        <w:tc>
                          <w:tcPr>
                            <w:tcW w:w="1196" w:type="dxa"/>
                          </w:tcPr>
                          <w:p>
                            <w:pPr>
                              <w:pStyle w:val="TableParagraph"/>
                              <w:spacing w:before="8" w:line="292" w:lineRule="exact"/>
                              <w:ind w:right="424"/>
                              <w:jc w:val="right"/>
                              <w:rPr>
                                <w:sz w:val="27"/>
                              </w:rPr>
                            </w:pPr>
                            <w:r>
                              <w:rPr>
                                <w:color w:val="343434"/>
                                <w:spacing w:val="-10"/>
                                <w:sz w:val="27"/>
                              </w:rPr>
                              <w:t>-</w:t>
                            </w:r>
                          </w:p>
                        </w:tc>
                        <w:tc>
                          <w:tcPr>
                            <w:tcW w:w="1073" w:type="dxa"/>
                          </w:tcPr>
                          <w:p>
                            <w:pPr>
                              <w:pStyle w:val="TableParagraph"/>
                              <w:spacing w:before="46"/>
                              <w:ind w:right="98"/>
                              <w:jc w:val="right"/>
                              <w:rPr>
                                <w:sz w:val="21"/>
                              </w:rPr>
                            </w:pPr>
                            <w:r>
                              <w:rPr>
                                <w:color w:val="030303"/>
                                <w:spacing w:val="-4"/>
                                <w:sz w:val="21"/>
                              </w:rPr>
                              <w:t>(84)</w:t>
                            </w:r>
                          </w:p>
                        </w:tc>
                        <w:tc>
                          <w:tcPr>
                            <w:tcW w:w="1013" w:type="dxa"/>
                          </w:tcPr>
                          <w:p>
                            <w:pPr>
                              <w:pStyle w:val="TableParagraph"/>
                              <w:spacing w:before="46"/>
                              <w:ind w:right="113"/>
                              <w:jc w:val="right"/>
                              <w:rPr>
                                <w:sz w:val="21"/>
                              </w:rPr>
                            </w:pPr>
                            <w:r>
                              <w:rPr>
                                <w:color w:val="030303"/>
                                <w:spacing w:val="-2"/>
                                <w:sz w:val="21"/>
                              </w:rPr>
                              <w:t>(923)</w:t>
                            </w:r>
                          </w:p>
                        </w:tc>
                        <w:tc>
                          <w:tcPr>
                            <w:tcW w:w="853" w:type="dxa"/>
                          </w:tcPr>
                          <w:p>
                            <w:pPr>
                              <w:pStyle w:val="TableParagraph"/>
                              <w:spacing w:before="55"/>
                              <w:ind w:right="54"/>
                              <w:jc w:val="right"/>
                              <w:rPr>
                                <w:b/>
                                <w:sz w:val="20"/>
                              </w:rPr>
                            </w:pPr>
                            <w:r>
                              <w:rPr>
                                <w:b/>
                                <w:color w:val="030303"/>
                                <w:spacing w:val="-2"/>
                                <w:w w:val="105"/>
                                <w:sz w:val="20"/>
                              </w:rPr>
                              <w:t>1,097</w:t>
                            </w:r>
                          </w:p>
                        </w:tc>
                      </w:tr>
                      <w:tr>
                        <w:trPr>
                          <w:trHeight w:val="364" w:hRule="atLeast"/>
                        </w:trPr>
                        <w:tc>
                          <w:tcPr>
                            <w:tcW w:w="818" w:type="dxa"/>
                          </w:tcPr>
                          <w:p>
                            <w:pPr>
                              <w:pStyle w:val="TableParagraph"/>
                              <w:spacing w:before="66"/>
                              <w:ind w:right="218"/>
                              <w:jc w:val="right"/>
                              <w:rPr>
                                <w:sz w:val="21"/>
                              </w:rPr>
                            </w:pPr>
                            <w:r>
                              <w:rPr>
                                <w:color w:val="030303"/>
                                <w:spacing w:val="-2"/>
                                <w:sz w:val="21"/>
                              </w:rPr>
                              <w:t>2,584</w:t>
                            </w:r>
                          </w:p>
                        </w:tc>
                        <w:tc>
                          <w:tcPr>
                            <w:tcW w:w="1036" w:type="dxa"/>
                          </w:tcPr>
                          <w:p>
                            <w:pPr>
                              <w:pStyle w:val="TableParagraph"/>
                              <w:spacing w:line="345" w:lineRule="exact"/>
                              <w:ind w:right="242"/>
                              <w:jc w:val="right"/>
                              <w:rPr>
                                <w:sz w:val="32"/>
                              </w:rPr>
                            </w:pPr>
                            <w:r>
                              <w:rPr>
                                <w:color w:val="343434"/>
                                <w:spacing w:val="-10"/>
                                <w:w w:val="85"/>
                                <w:sz w:val="32"/>
                              </w:rPr>
                              <w:t>-</w:t>
                            </w:r>
                          </w:p>
                        </w:tc>
                        <w:tc>
                          <w:tcPr>
                            <w:tcW w:w="731" w:type="dxa"/>
                          </w:tcPr>
                          <w:p>
                            <w:pPr>
                              <w:pStyle w:val="TableParagraph"/>
                              <w:spacing w:before="66"/>
                              <w:ind w:right="126"/>
                              <w:jc w:val="right"/>
                              <w:rPr>
                                <w:sz w:val="21"/>
                              </w:rPr>
                            </w:pPr>
                            <w:r>
                              <w:rPr>
                                <w:color w:val="030303"/>
                                <w:spacing w:val="-10"/>
                                <w:w w:val="105"/>
                                <w:sz w:val="21"/>
                              </w:rPr>
                              <w:t>3</w:t>
                            </w:r>
                          </w:p>
                        </w:tc>
                        <w:tc>
                          <w:tcPr>
                            <w:tcW w:w="855" w:type="dxa"/>
                          </w:tcPr>
                          <w:p>
                            <w:pPr>
                              <w:pStyle w:val="TableParagraph"/>
                              <w:spacing w:before="61"/>
                              <w:ind w:right="179"/>
                              <w:jc w:val="right"/>
                              <w:rPr>
                                <w:sz w:val="21"/>
                              </w:rPr>
                            </w:pPr>
                            <w:r>
                              <w:rPr>
                                <w:color w:val="030303"/>
                                <w:spacing w:val="-5"/>
                                <w:sz w:val="21"/>
                              </w:rPr>
                              <w:t>387</w:t>
                            </w:r>
                          </w:p>
                        </w:tc>
                        <w:tc>
                          <w:tcPr>
                            <w:tcW w:w="664" w:type="dxa"/>
                          </w:tcPr>
                          <w:p>
                            <w:pPr>
                              <w:pStyle w:val="TableParagraph"/>
                              <w:spacing w:before="66"/>
                              <w:ind w:right="96"/>
                              <w:jc w:val="right"/>
                              <w:rPr>
                                <w:sz w:val="21"/>
                              </w:rPr>
                            </w:pPr>
                            <w:r>
                              <w:rPr>
                                <w:color w:val="030303"/>
                                <w:spacing w:val="-5"/>
                                <w:sz w:val="21"/>
                              </w:rPr>
                              <w:t>220</w:t>
                            </w:r>
                          </w:p>
                        </w:tc>
                        <w:tc>
                          <w:tcPr>
                            <w:tcW w:w="1196" w:type="dxa"/>
                          </w:tcPr>
                          <w:p>
                            <w:pPr>
                              <w:pStyle w:val="TableParagraph"/>
                              <w:spacing w:before="80"/>
                              <w:ind w:right="419"/>
                              <w:jc w:val="right"/>
                              <w:rPr>
                                <w:sz w:val="21"/>
                              </w:rPr>
                            </w:pPr>
                            <w:r>
                              <w:rPr>
                                <w:color w:val="343434"/>
                                <w:spacing w:val="-10"/>
                                <w:w w:val="105"/>
                                <w:sz w:val="21"/>
                              </w:rPr>
                              <w:t>-</w:t>
                            </w:r>
                          </w:p>
                        </w:tc>
                        <w:tc>
                          <w:tcPr>
                            <w:tcW w:w="1073" w:type="dxa"/>
                          </w:tcPr>
                          <w:p>
                            <w:pPr>
                              <w:pStyle w:val="TableParagraph"/>
                              <w:spacing w:before="61"/>
                              <w:ind w:right="86"/>
                              <w:jc w:val="right"/>
                              <w:rPr>
                                <w:sz w:val="21"/>
                              </w:rPr>
                            </w:pPr>
                            <w:r>
                              <w:rPr>
                                <w:color w:val="030303"/>
                                <w:spacing w:val="-5"/>
                                <w:w w:val="105"/>
                                <w:sz w:val="21"/>
                              </w:rPr>
                              <w:t>610</w:t>
                            </w:r>
                          </w:p>
                        </w:tc>
                        <w:tc>
                          <w:tcPr>
                            <w:tcW w:w="1013" w:type="dxa"/>
                          </w:tcPr>
                          <w:p>
                            <w:pPr>
                              <w:pStyle w:val="TableParagraph"/>
                              <w:spacing w:before="61"/>
                              <w:ind w:right="106"/>
                              <w:jc w:val="right"/>
                              <w:rPr>
                                <w:sz w:val="21"/>
                              </w:rPr>
                            </w:pPr>
                            <w:r>
                              <w:rPr>
                                <w:color w:val="030303"/>
                                <w:spacing w:val="-2"/>
                                <w:sz w:val="21"/>
                              </w:rPr>
                              <w:t>(1,703)</w:t>
                            </w:r>
                          </w:p>
                        </w:tc>
                        <w:tc>
                          <w:tcPr>
                            <w:tcW w:w="853" w:type="dxa"/>
                          </w:tcPr>
                          <w:p>
                            <w:pPr>
                              <w:pStyle w:val="TableParagraph"/>
                              <w:spacing w:before="70"/>
                              <w:ind w:right="43"/>
                              <w:jc w:val="right"/>
                              <w:rPr>
                                <w:b/>
                                <w:sz w:val="20"/>
                              </w:rPr>
                            </w:pPr>
                            <w:r>
                              <w:rPr>
                                <w:b/>
                                <w:color w:val="030303"/>
                                <w:spacing w:val="-2"/>
                                <w:w w:val="105"/>
                                <w:sz w:val="20"/>
                              </w:rPr>
                              <w:t>2,101</w:t>
                            </w:r>
                          </w:p>
                        </w:tc>
                      </w:tr>
                      <w:tr>
                        <w:trPr>
                          <w:trHeight w:val="306" w:hRule="atLeast"/>
                        </w:trPr>
                        <w:tc>
                          <w:tcPr>
                            <w:tcW w:w="818" w:type="dxa"/>
                          </w:tcPr>
                          <w:p>
                            <w:pPr>
                              <w:pStyle w:val="TableParagraph"/>
                              <w:spacing w:before="42"/>
                              <w:ind w:right="221"/>
                              <w:jc w:val="right"/>
                              <w:rPr>
                                <w:b/>
                                <w:sz w:val="20"/>
                              </w:rPr>
                            </w:pPr>
                            <w:r>
                              <w:rPr>
                                <w:b/>
                                <w:color w:val="030303"/>
                                <w:spacing w:val="-2"/>
                                <w:w w:val="105"/>
                                <w:sz w:val="20"/>
                              </w:rPr>
                              <w:t>5,344</w:t>
                            </w:r>
                          </w:p>
                        </w:tc>
                        <w:tc>
                          <w:tcPr>
                            <w:tcW w:w="1036" w:type="dxa"/>
                          </w:tcPr>
                          <w:p>
                            <w:pPr>
                              <w:pStyle w:val="TableParagraph"/>
                              <w:spacing w:before="33"/>
                              <w:ind w:right="255"/>
                              <w:jc w:val="right"/>
                              <w:rPr>
                                <w:sz w:val="21"/>
                              </w:rPr>
                            </w:pPr>
                            <w:r>
                              <w:rPr>
                                <w:color w:val="030303"/>
                                <w:spacing w:val="-2"/>
                                <w:sz w:val="21"/>
                              </w:rPr>
                              <w:t>1,217</w:t>
                            </w:r>
                          </w:p>
                        </w:tc>
                        <w:tc>
                          <w:tcPr>
                            <w:tcW w:w="731" w:type="dxa"/>
                          </w:tcPr>
                          <w:p>
                            <w:pPr>
                              <w:pStyle w:val="TableParagraph"/>
                              <w:spacing w:before="33"/>
                              <w:ind w:right="129"/>
                              <w:jc w:val="right"/>
                              <w:rPr>
                                <w:sz w:val="21"/>
                              </w:rPr>
                            </w:pPr>
                            <w:r>
                              <w:rPr>
                                <w:color w:val="030303"/>
                                <w:spacing w:val="-5"/>
                                <w:sz w:val="21"/>
                              </w:rPr>
                              <w:t>881</w:t>
                            </w:r>
                          </w:p>
                        </w:tc>
                        <w:tc>
                          <w:tcPr>
                            <w:tcW w:w="855" w:type="dxa"/>
                          </w:tcPr>
                          <w:p>
                            <w:pPr>
                              <w:pStyle w:val="TableParagraph"/>
                              <w:spacing w:before="33"/>
                              <w:ind w:right="174"/>
                              <w:jc w:val="right"/>
                              <w:rPr>
                                <w:sz w:val="21"/>
                              </w:rPr>
                            </w:pPr>
                            <w:r>
                              <w:rPr>
                                <w:color w:val="030303"/>
                                <w:spacing w:val="-5"/>
                                <w:sz w:val="21"/>
                              </w:rPr>
                              <w:t>485</w:t>
                            </w:r>
                          </w:p>
                        </w:tc>
                        <w:tc>
                          <w:tcPr>
                            <w:tcW w:w="664" w:type="dxa"/>
                          </w:tcPr>
                          <w:p>
                            <w:pPr>
                              <w:pStyle w:val="TableParagraph"/>
                              <w:spacing w:before="42"/>
                              <w:ind w:right="95"/>
                              <w:jc w:val="right"/>
                              <w:rPr>
                                <w:b/>
                                <w:sz w:val="20"/>
                              </w:rPr>
                            </w:pPr>
                            <w:r>
                              <w:rPr>
                                <w:b/>
                                <w:color w:val="030303"/>
                                <w:spacing w:val="-5"/>
                                <w:w w:val="105"/>
                                <w:sz w:val="20"/>
                              </w:rPr>
                              <w:t>432</w:t>
                            </w:r>
                          </w:p>
                        </w:tc>
                        <w:tc>
                          <w:tcPr>
                            <w:tcW w:w="1196" w:type="dxa"/>
                          </w:tcPr>
                          <w:p>
                            <w:pPr>
                              <w:pStyle w:val="TableParagraph"/>
                              <w:spacing w:line="287" w:lineRule="exact"/>
                              <w:ind w:right="419"/>
                              <w:jc w:val="right"/>
                              <w:rPr>
                                <w:sz w:val="27"/>
                              </w:rPr>
                            </w:pPr>
                            <w:r>
                              <w:rPr>
                                <w:color w:val="242424"/>
                                <w:spacing w:val="-10"/>
                                <w:sz w:val="27"/>
                              </w:rPr>
                              <w:t>-</w:t>
                            </w:r>
                          </w:p>
                        </w:tc>
                        <w:tc>
                          <w:tcPr>
                            <w:tcW w:w="1073" w:type="dxa"/>
                          </w:tcPr>
                          <w:p>
                            <w:pPr>
                              <w:pStyle w:val="TableParagraph"/>
                              <w:spacing w:before="33"/>
                              <w:ind w:right="87"/>
                              <w:jc w:val="right"/>
                              <w:rPr>
                                <w:sz w:val="21"/>
                              </w:rPr>
                            </w:pPr>
                            <w:r>
                              <w:rPr>
                                <w:color w:val="030303"/>
                                <w:spacing w:val="-5"/>
                                <w:sz w:val="21"/>
                              </w:rPr>
                              <w:t>708</w:t>
                            </w:r>
                          </w:p>
                        </w:tc>
                        <w:tc>
                          <w:tcPr>
                            <w:tcW w:w="1013" w:type="dxa"/>
                          </w:tcPr>
                          <w:p>
                            <w:pPr>
                              <w:pStyle w:val="TableParagraph"/>
                              <w:spacing w:before="33"/>
                              <w:ind w:right="103"/>
                              <w:jc w:val="right"/>
                              <w:rPr>
                                <w:sz w:val="21"/>
                              </w:rPr>
                            </w:pPr>
                            <w:r>
                              <w:rPr>
                                <w:color w:val="030303"/>
                                <w:spacing w:val="-2"/>
                                <w:sz w:val="21"/>
                              </w:rPr>
                              <w:t>(3,511)</w:t>
                            </w:r>
                          </w:p>
                        </w:tc>
                        <w:tc>
                          <w:tcPr>
                            <w:tcW w:w="853" w:type="dxa"/>
                          </w:tcPr>
                          <w:p>
                            <w:pPr>
                              <w:pStyle w:val="TableParagraph"/>
                              <w:spacing w:before="42"/>
                              <w:ind w:right="47"/>
                              <w:jc w:val="right"/>
                              <w:rPr>
                                <w:b/>
                                <w:sz w:val="20"/>
                              </w:rPr>
                            </w:pPr>
                            <w:r>
                              <w:rPr>
                                <w:b/>
                                <w:color w:val="030303"/>
                                <w:spacing w:val="-2"/>
                                <w:w w:val="105"/>
                                <w:sz w:val="20"/>
                              </w:rPr>
                              <w:t>5,556</w:t>
                            </w:r>
                          </w:p>
                        </w:tc>
                      </w:tr>
                    </w:tbl>
                    <w:p>
                      <w:pPr>
                        <w:pStyle w:val="BodyText"/>
                      </w:pPr>
                    </w:p>
                  </w:txbxContent>
                </v:textbox>
                <w10:wrap type="none"/>
              </v:shape>
            </w:pict>
          </ve:Fallback>
        </ve:AlternateContent>
      </w:r>
      <w:r>
        <w:rPr>
          <w:color w:val="030303"/>
          <w:sz w:val="21"/>
        </w:rPr>
        <w:t>Asset Management Audit &amp; Assurance Executive Directors Engineering</w:t>
      </w:r>
      <w:r>
        <w:rPr>
          <w:color w:val="030303"/>
          <w:spacing w:val="-7"/>
          <w:sz w:val="21"/>
        </w:rPr>
        <w:t> </w:t>
      </w:r>
      <w:r>
        <w:rPr>
          <w:color w:val="030303"/>
          <w:sz w:val="21"/>
        </w:rPr>
        <w:t>Services </w:t>
      </w:r>
      <w:r>
        <w:rPr>
          <w:color w:val="030303"/>
          <w:spacing w:val="-2"/>
          <w:sz w:val="21"/>
        </w:rPr>
        <w:t>Environmental</w:t>
      </w:r>
      <w:r>
        <w:rPr>
          <w:color w:val="030303"/>
          <w:spacing w:val="9"/>
          <w:sz w:val="21"/>
        </w:rPr>
        <w:t> </w:t>
      </w:r>
      <w:r>
        <w:rPr>
          <w:color w:val="030303"/>
          <w:spacing w:val="-2"/>
          <w:sz w:val="21"/>
        </w:rPr>
        <w:t>Health</w:t>
      </w:r>
    </w:p>
    <w:p>
      <w:pPr>
        <w:spacing w:before="4" w:line="338" w:lineRule="auto"/>
        <w:ind w:left="355" w:right="11856" w:hanging="7"/>
        <w:jc w:val="left"/>
        <w:rPr>
          <w:sz w:val="21"/>
        </w:rPr>
      </w:pPr>
      <w:r>
        <w:rPr>
          <w:color w:val="030303"/>
          <w:sz w:val="21"/>
        </w:rPr>
        <w:t>Finance</w:t>
      </w:r>
      <w:r>
        <w:rPr>
          <w:color w:val="030303"/>
          <w:spacing w:val="-15"/>
          <w:sz w:val="21"/>
        </w:rPr>
        <w:t> </w:t>
      </w:r>
      <w:r>
        <w:rPr>
          <w:color w:val="030303"/>
          <w:sz w:val="21"/>
        </w:rPr>
        <w:t>&amp;</w:t>
      </w:r>
      <w:r>
        <w:rPr>
          <w:color w:val="030303"/>
          <w:spacing w:val="-15"/>
          <w:sz w:val="21"/>
        </w:rPr>
        <w:t> </w:t>
      </w:r>
      <w:r>
        <w:rPr>
          <w:color w:val="030303"/>
          <w:sz w:val="21"/>
        </w:rPr>
        <w:t>Business</w:t>
      </w:r>
      <w:r>
        <w:rPr>
          <w:color w:val="030303"/>
          <w:spacing w:val="-11"/>
          <w:sz w:val="21"/>
        </w:rPr>
        <w:t> </w:t>
      </w:r>
      <w:r>
        <w:rPr>
          <w:color w:val="030303"/>
          <w:sz w:val="21"/>
        </w:rPr>
        <w:t>Services General Expenses</w:t>
      </w:r>
    </w:p>
    <w:p>
      <w:pPr>
        <w:spacing w:before="0" w:line="234" w:lineRule="exact"/>
        <w:ind w:left="358" w:right="0" w:firstLine="0"/>
        <w:jc w:val="left"/>
        <w:rPr>
          <w:sz w:val="21"/>
        </w:rPr>
      </w:pPr>
      <w:r>
        <w:rPr>
          <w:color w:val="030303"/>
          <w:sz w:val="21"/>
        </w:rPr>
        <w:t>Housing</w:t>
      </w:r>
      <w:r>
        <w:rPr>
          <w:color w:val="030303"/>
          <w:spacing w:val="-7"/>
          <w:sz w:val="21"/>
        </w:rPr>
        <w:t> </w:t>
      </w:r>
      <w:r>
        <w:rPr>
          <w:color w:val="030303"/>
          <w:spacing w:val="-2"/>
          <w:sz w:val="21"/>
        </w:rPr>
        <w:t>Services</w:t>
      </w:r>
    </w:p>
    <w:p>
      <w:pPr>
        <w:spacing w:before="95" w:line="333" w:lineRule="auto"/>
        <w:ind w:left="364" w:right="11483" w:hanging="6"/>
        <w:jc w:val="left"/>
        <w:rPr>
          <w:sz w:val="21"/>
        </w:rPr>
      </w:pPr>
      <w:r>
        <w:rPr>
          <w:color w:val="030303"/>
          <w:sz w:val="21"/>
        </w:rPr>
        <w:t>Human</w:t>
      </w:r>
      <w:r>
        <w:rPr>
          <w:color w:val="030303"/>
          <w:spacing w:val="-15"/>
          <w:sz w:val="21"/>
        </w:rPr>
        <w:t> </w:t>
      </w:r>
      <w:r>
        <w:rPr>
          <w:color w:val="030303"/>
          <w:sz w:val="21"/>
        </w:rPr>
        <w:t>Resources</w:t>
      </w:r>
      <w:r>
        <w:rPr>
          <w:color w:val="030303"/>
          <w:spacing w:val="-9"/>
          <w:sz w:val="21"/>
        </w:rPr>
        <w:t> </w:t>
      </w:r>
      <w:r>
        <w:rPr>
          <w:color w:val="030303"/>
          <w:sz w:val="21"/>
        </w:rPr>
        <w:t>&amp;</w:t>
      </w:r>
      <w:r>
        <w:rPr>
          <w:color w:val="030303"/>
          <w:spacing w:val="-13"/>
          <w:sz w:val="21"/>
        </w:rPr>
        <w:t> </w:t>
      </w:r>
      <w:r>
        <w:rPr>
          <w:color w:val="030303"/>
          <w:sz w:val="21"/>
        </w:rPr>
        <w:t>Customer</w:t>
      </w:r>
      <w:r>
        <w:rPr>
          <w:color w:val="030303"/>
          <w:spacing w:val="-6"/>
          <w:sz w:val="21"/>
        </w:rPr>
        <w:t> </w:t>
      </w:r>
      <w:r>
        <w:rPr>
          <w:color w:val="030303"/>
          <w:sz w:val="21"/>
        </w:rPr>
        <w:t>Services Legal &amp; Democratic Services Partnership &amp; Community Engagement Planning &amp; Economic Development Street Scene Services</w:t>
      </w:r>
    </w:p>
    <w:p>
      <w:pPr>
        <w:spacing w:before="5"/>
        <w:ind w:left="373" w:right="0" w:firstLine="0"/>
        <w:jc w:val="left"/>
        <w:rPr>
          <w:sz w:val="21"/>
        </w:rPr>
      </w:pPr>
      <w:r>
        <w:rPr>
          <w:color w:val="030303"/>
          <w:sz w:val="21"/>
        </w:rPr>
        <w:t>Exceptional</w:t>
      </w:r>
      <w:r>
        <w:rPr>
          <w:color w:val="030303"/>
          <w:spacing w:val="-7"/>
          <w:sz w:val="21"/>
        </w:rPr>
        <w:t> </w:t>
      </w:r>
      <w:r>
        <w:rPr>
          <w:color w:val="030303"/>
          <w:sz w:val="21"/>
        </w:rPr>
        <w:t>Items</w:t>
      </w:r>
      <w:r>
        <w:rPr>
          <w:color w:val="030303"/>
          <w:spacing w:val="-12"/>
          <w:sz w:val="21"/>
        </w:rPr>
        <w:t> </w:t>
      </w:r>
      <w:r>
        <w:rPr>
          <w:color w:val="030303"/>
          <w:sz w:val="21"/>
        </w:rPr>
        <w:t>-</w:t>
      </w:r>
      <w:r>
        <w:rPr>
          <w:color w:val="030303"/>
          <w:spacing w:val="-13"/>
          <w:sz w:val="21"/>
        </w:rPr>
        <w:t> </w:t>
      </w:r>
      <w:r>
        <w:rPr>
          <w:color w:val="030303"/>
          <w:sz w:val="21"/>
        </w:rPr>
        <w:t>Covid-</w:t>
      </w:r>
      <w:r>
        <w:rPr>
          <w:color w:val="030303"/>
          <w:spacing w:val="-5"/>
          <w:sz w:val="21"/>
        </w:rPr>
        <w:t>19</w:t>
      </w:r>
    </w:p>
    <w:p>
      <w:pPr>
        <w:spacing w:before="100" w:line="328" w:lineRule="auto"/>
        <w:ind w:left="383" w:right="9131" w:firstLine="0"/>
        <w:jc w:val="left"/>
        <w:rPr>
          <w:sz w:val="21"/>
        </w:rPr>
      </w:pPr>
      <w:r>
        <w:rPr>
          <w:color w:val="030303"/>
          <w:sz w:val="21"/>
        </w:rPr>
        <w:t>Exceptional</w:t>
      </w:r>
      <w:r>
        <w:rPr>
          <w:color w:val="030303"/>
          <w:spacing w:val="-3"/>
          <w:sz w:val="21"/>
        </w:rPr>
        <w:t> </w:t>
      </w:r>
      <w:r>
        <w:rPr>
          <w:color w:val="030303"/>
          <w:sz w:val="21"/>
        </w:rPr>
        <w:t>Items</w:t>
      </w:r>
      <w:r>
        <w:rPr>
          <w:color w:val="030303"/>
          <w:spacing w:val="-14"/>
          <w:sz w:val="21"/>
        </w:rPr>
        <w:t> </w:t>
      </w:r>
      <w:r>
        <w:rPr>
          <w:color w:val="030303"/>
          <w:sz w:val="21"/>
        </w:rPr>
        <w:t>-</w:t>
      </w:r>
      <w:r>
        <w:rPr>
          <w:color w:val="030303"/>
          <w:spacing w:val="-11"/>
          <w:sz w:val="21"/>
        </w:rPr>
        <w:t> </w:t>
      </w:r>
      <w:r>
        <w:rPr>
          <w:color w:val="030303"/>
          <w:sz w:val="21"/>
        </w:rPr>
        <w:t>Covid-19</w:t>
      </w:r>
      <w:r>
        <w:rPr>
          <w:color w:val="030303"/>
          <w:spacing w:val="-11"/>
          <w:sz w:val="21"/>
        </w:rPr>
        <w:t> </w:t>
      </w:r>
      <w:r>
        <w:rPr>
          <w:color w:val="030303"/>
          <w:sz w:val="21"/>
        </w:rPr>
        <w:t>Business</w:t>
      </w:r>
      <w:r>
        <w:rPr>
          <w:color w:val="030303"/>
          <w:spacing w:val="-4"/>
          <w:sz w:val="21"/>
        </w:rPr>
        <w:t> </w:t>
      </w:r>
      <w:r>
        <w:rPr>
          <w:color w:val="030303"/>
          <w:sz w:val="21"/>
        </w:rPr>
        <w:t>Support</w:t>
      </w:r>
      <w:r>
        <w:rPr>
          <w:color w:val="030303"/>
          <w:spacing w:val="-4"/>
          <w:sz w:val="21"/>
        </w:rPr>
        <w:t> </w:t>
      </w:r>
      <w:r>
        <w:rPr>
          <w:color w:val="030303"/>
          <w:sz w:val="21"/>
        </w:rPr>
        <w:t>Grants Exceptional Items - Covid-19 Self Isolation</w:t>
      </w:r>
    </w:p>
    <w:p>
      <w:pPr>
        <w:pStyle w:val="BodyText"/>
        <w:spacing w:before="110"/>
        <w:rPr>
          <w:sz w:val="21"/>
        </w:rPr>
      </w:pPr>
    </w:p>
    <w:p>
      <w:pPr>
        <w:tabs>
          <w:tab w:val="left" w:leader="none" w:pos="6237"/>
          <w:tab w:val="left" w:leader="none" w:pos="7361"/>
          <w:tab w:val="left" w:leader="none" w:pos="8382"/>
          <w:tab w:val="left" w:leader="none" w:pos="9773"/>
          <w:tab w:val="left" w:leader="none" w:pos="12035"/>
          <w:tab w:val="left" w:leader="none" w:pos="14809"/>
        </w:tabs>
        <w:spacing w:before="0"/>
        <w:ind w:left="395" w:right="0" w:firstLine="0"/>
        <w:jc w:val="left"/>
        <w:rPr>
          <w:b/>
          <w:sz w:val="20"/>
        </w:rPr>
      </w:pPr>
      <w:r>
        <w:rPr>
          <w:b/>
          <w:color w:val="030303"/>
          <w:spacing w:val="-2"/>
          <w:w w:val="105"/>
          <w:position w:val="3"/>
          <w:sz w:val="20"/>
        </w:rPr>
        <w:t>Total</w:t>
      </w:r>
      <w:r>
        <w:rPr>
          <w:b/>
          <w:color w:val="030303"/>
          <w:position w:val="3"/>
          <w:sz w:val="20"/>
        </w:rPr>
        <w:tab/>
      </w:r>
      <w:r>
        <w:rPr>
          <w:b/>
          <w:color w:val="030303"/>
          <w:w w:val="105"/>
          <w:sz w:val="20"/>
        </w:rPr>
        <w:t>19</w:t>
      </w:r>
      <w:r>
        <w:rPr>
          <w:b/>
          <w:color w:val="343434"/>
          <w:w w:val="105"/>
          <w:sz w:val="20"/>
        </w:rPr>
        <w:t>,</w:t>
      </w:r>
      <w:r>
        <w:rPr>
          <w:b/>
          <w:color w:val="030303"/>
          <w:w w:val="105"/>
          <w:sz w:val="20"/>
        </w:rPr>
        <w:t>648</w:t>
      </w:r>
      <w:r>
        <w:rPr>
          <w:b/>
          <w:color w:val="030303"/>
          <w:spacing w:val="100"/>
          <w:w w:val="105"/>
          <w:sz w:val="20"/>
        </w:rPr>
        <w:t> </w:t>
      </w:r>
      <w:r>
        <w:rPr>
          <w:b/>
          <w:color w:val="030303"/>
          <w:sz w:val="20"/>
          <w:u w:val="single" w:color="000000"/>
        </w:rPr>
        <w:tab/>
      </w:r>
      <w:r>
        <w:rPr>
          <w:b/>
          <w:color w:val="030303"/>
          <w:w w:val="105"/>
          <w:sz w:val="20"/>
          <w:u w:val="none"/>
        </w:rPr>
        <w:t>3</w:t>
      </w:r>
      <w:r>
        <w:rPr>
          <w:b/>
          <w:color w:val="343434"/>
          <w:w w:val="105"/>
          <w:sz w:val="20"/>
          <w:u w:val="none"/>
        </w:rPr>
        <w:t>,</w:t>
      </w:r>
      <w:r>
        <w:rPr>
          <w:b/>
          <w:color w:val="030303"/>
          <w:w w:val="105"/>
          <w:sz w:val="20"/>
          <w:u w:val="none"/>
        </w:rPr>
        <w:t>487</w:t>
      </w:r>
      <w:r>
        <w:rPr>
          <w:b/>
          <w:color w:val="030303"/>
          <w:spacing w:val="56"/>
          <w:w w:val="105"/>
          <w:sz w:val="20"/>
          <w:u w:val="none"/>
        </w:rPr>
        <w:t> </w:t>
      </w:r>
      <w:r>
        <w:rPr>
          <w:b/>
          <w:color w:val="030303"/>
          <w:position w:val="1"/>
          <w:sz w:val="20"/>
          <w:u w:val="single" w:color="000000"/>
        </w:rPr>
        <w:tab/>
      </w:r>
      <w:r>
        <w:rPr>
          <w:b/>
          <w:color w:val="030303"/>
          <w:w w:val="105"/>
          <w:position w:val="1"/>
          <w:sz w:val="20"/>
          <w:u w:val="single" w:color="000000"/>
        </w:rPr>
        <w:t>948</w:t>
      </w:r>
      <w:r>
        <w:rPr>
          <w:b/>
          <w:color w:val="030303"/>
          <w:spacing w:val="57"/>
          <w:w w:val="105"/>
          <w:position w:val="1"/>
          <w:sz w:val="20"/>
          <w:u w:val="single" w:color="000000"/>
        </w:rPr>
        <w:t> </w:t>
      </w:r>
      <w:r>
        <w:rPr>
          <w:b/>
          <w:color w:val="030303"/>
          <w:spacing w:val="28"/>
          <w:w w:val="105"/>
          <w:position w:val="1"/>
          <w:sz w:val="20"/>
          <w:u w:val="none"/>
        </w:rPr>
        <w:t>  </w:t>
      </w:r>
      <w:r>
        <w:rPr>
          <w:b/>
          <w:color w:val="030303"/>
          <w:spacing w:val="-2"/>
          <w:w w:val="105"/>
          <w:sz w:val="20"/>
          <w:u w:val="none"/>
        </w:rPr>
        <w:t>4</w:t>
      </w:r>
      <w:r>
        <w:rPr>
          <w:b/>
          <w:color w:val="343434"/>
          <w:spacing w:val="-2"/>
          <w:w w:val="105"/>
          <w:sz w:val="20"/>
          <w:u w:val="none"/>
        </w:rPr>
        <w:t>,</w:t>
      </w:r>
      <w:r>
        <w:rPr>
          <w:b/>
          <w:color w:val="030303"/>
          <w:spacing w:val="-2"/>
          <w:w w:val="105"/>
          <w:sz w:val="20"/>
          <w:u w:val="none"/>
        </w:rPr>
        <w:t>863</w:t>
      </w:r>
      <w:r>
        <w:rPr>
          <w:b/>
          <w:color w:val="030303"/>
          <w:sz w:val="20"/>
          <w:u w:val="none"/>
        </w:rPr>
        <w:tab/>
      </w:r>
      <w:r>
        <w:rPr>
          <w:b/>
          <w:color w:val="030303"/>
          <w:w w:val="105"/>
          <w:position w:val="1"/>
          <w:sz w:val="20"/>
          <w:u w:val="none"/>
        </w:rPr>
        <w:t>2,099</w:t>
      </w:r>
      <w:r>
        <w:rPr>
          <w:b/>
          <w:color w:val="030303"/>
          <w:spacing w:val="26"/>
          <w:w w:val="105"/>
          <w:position w:val="1"/>
          <w:sz w:val="20"/>
          <w:u w:val="none"/>
        </w:rPr>
        <w:t> </w:t>
      </w:r>
      <w:r>
        <w:rPr>
          <w:b/>
          <w:color w:val="030303"/>
          <w:spacing w:val="70"/>
          <w:w w:val="105"/>
          <w:position w:val="1"/>
          <w:sz w:val="20"/>
          <w:u w:val="single" w:color="000000"/>
        </w:rPr>
        <w:t> </w:t>
      </w:r>
      <w:r>
        <w:rPr>
          <w:b/>
          <w:color w:val="030303"/>
          <w:spacing w:val="-2"/>
          <w:w w:val="105"/>
          <w:position w:val="1"/>
          <w:sz w:val="20"/>
          <w:u w:val="single" w:color="000000"/>
        </w:rPr>
        <w:t>25</w:t>
      </w:r>
      <w:r>
        <w:rPr>
          <w:b/>
          <w:color w:val="343434"/>
          <w:spacing w:val="-2"/>
          <w:w w:val="105"/>
          <w:position w:val="1"/>
          <w:sz w:val="20"/>
          <w:u w:val="single" w:color="000000"/>
        </w:rPr>
        <w:t>,</w:t>
      </w:r>
      <w:r>
        <w:rPr>
          <w:b/>
          <w:color w:val="030303"/>
          <w:spacing w:val="-2"/>
          <w:w w:val="105"/>
          <w:position w:val="1"/>
          <w:sz w:val="20"/>
          <w:u w:val="single" w:color="000000"/>
        </w:rPr>
        <w:t>169</w:t>
      </w:r>
      <w:r>
        <w:rPr>
          <w:b/>
          <w:color w:val="030303"/>
          <w:position w:val="1"/>
          <w:sz w:val="20"/>
          <w:u w:val="single" w:color="000000"/>
        </w:rPr>
        <w:tab/>
      </w:r>
      <w:r>
        <w:rPr>
          <w:b/>
          <w:color w:val="030303"/>
          <w:w w:val="105"/>
          <w:sz w:val="20"/>
          <w:u w:val="single" w:color="000000"/>
        </w:rPr>
        <w:t>7,873</w:t>
      </w:r>
      <w:r>
        <w:rPr>
          <w:b/>
          <w:color w:val="030303"/>
          <w:spacing w:val="27"/>
          <w:w w:val="105"/>
          <w:sz w:val="20"/>
          <w:u w:val="single" w:color="000000"/>
        </w:rPr>
        <w:t> </w:t>
      </w:r>
      <w:r>
        <w:rPr>
          <w:b/>
          <w:color w:val="030303"/>
          <w:spacing w:val="73"/>
          <w:w w:val="105"/>
          <w:sz w:val="20"/>
          <w:u w:val="none"/>
        </w:rPr>
        <w:t> </w:t>
      </w:r>
      <w:r>
        <w:rPr>
          <w:b/>
          <w:color w:val="242424"/>
          <w:w w:val="105"/>
          <w:sz w:val="20"/>
          <w:u w:val="thick" w:color="242424"/>
        </w:rPr>
        <w:t>(48,910)</w:t>
      </w:r>
      <w:r>
        <w:rPr>
          <w:b/>
          <w:color w:val="242424"/>
          <w:spacing w:val="42"/>
          <w:w w:val="105"/>
          <w:sz w:val="20"/>
          <w:u w:val="none"/>
        </w:rPr>
        <w:t> </w:t>
      </w:r>
      <w:r>
        <w:rPr>
          <w:b/>
          <w:color w:val="030303"/>
          <w:spacing w:val="70"/>
          <w:w w:val="150"/>
          <w:position w:val="1"/>
          <w:sz w:val="20"/>
          <w:u w:val="single" w:color="000000"/>
        </w:rPr>
        <w:t> </w:t>
      </w:r>
      <w:r>
        <w:rPr>
          <w:b/>
          <w:color w:val="030303"/>
          <w:spacing w:val="-2"/>
          <w:w w:val="105"/>
          <w:position w:val="1"/>
          <w:sz w:val="20"/>
          <w:u w:val="single" w:color="000000"/>
        </w:rPr>
        <w:t>15,177</w:t>
      </w:r>
      <w:r>
        <w:rPr>
          <w:b/>
          <w:color w:val="030303"/>
          <w:position w:val="1"/>
          <w:sz w:val="20"/>
          <w:u w:val="single" w:color="000000"/>
        </w:rPr>
        <w:tab/>
      </w:r>
    </w:p>
    <w:p>
      <w:pPr>
        <w:spacing w:after="0"/>
        <w:jc w:val="left"/>
        <w:rPr>
          <w:sz w:val="20"/>
        </w:rPr>
        <w:sectPr>
          <w:type w:val="continuous"/>
          <w:pgSz w:w="16830" w:h="11910" w:orient="landscape"/>
          <w:pgMar w:top="1940" w:right="480" w:bottom="280" w:left="740" w:header="0" w:footer="789"/>
        </w:sectPr>
      </w:pPr>
    </w:p>
    <w:p>
      <w:pPr>
        <w:spacing w:before="85"/>
        <w:ind w:left="995" w:right="0" w:firstLine="0"/>
        <w:jc w:val="left"/>
        <w:rPr>
          <w:sz w:val="14"/>
        </w:rPr>
      </w:pPr>
      <w:r>
        <w:rPr>
          <w:color w:val="B3B3B3"/>
          <w:w w:val="115"/>
          <w:sz w:val="14"/>
        </w:rPr>
        <w:t>NCHES</w:t>
      </w:r>
      <w:r>
        <w:rPr>
          <w:color w:val="B3B3B3"/>
          <w:spacing w:val="1"/>
          <w:w w:val="115"/>
          <w:sz w:val="14"/>
        </w:rPr>
        <w:t> </w:t>
      </w:r>
      <w:r>
        <w:rPr>
          <w:color w:val="B3B3B3"/>
          <w:w w:val="115"/>
          <w:sz w:val="14"/>
        </w:rPr>
        <w:t>10</w:t>
      </w:r>
      <w:r>
        <w:rPr>
          <w:color w:val="B3B3B3"/>
          <w:spacing w:val="50"/>
          <w:w w:val="115"/>
          <w:sz w:val="14"/>
        </w:rPr>
        <w:t> </w:t>
      </w:r>
      <w:r>
        <w:rPr>
          <w:color w:val="B3B3B3"/>
          <w:w w:val="115"/>
          <w:sz w:val="14"/>
        </w:rPr>
        <w:t>IHE</w:t>
      </w:r>
      <w:r>
        <w:rPr>
          <w:color w:val="B3B3B3"/>
          <w:spacing w:val="30"/>
          <w:w w:val="115"/>
          <w:sz w:val="14"/>
        </w:rPr>
        <w:t> </w:t>
      </w:r>
      <w:r>
        <w:rPr>
          <w:color w:val="B3B3B3"/>
          <w:spacing w:val="-2"/>
          <w:w w:val="115"/>
          <w:sz w:val="14"/>
        </w:rPr>
        <w:t>ACCulJNfS</w:t>
      </w:r>
    </w:p>
    <w:p>
      <w:pPr>
        <w:pStyle w:val="BodyText"/>
        <w:spacing w:before="93"/>
        <w:rPr>
          <w:sz w:val="14"/>
        </w:rPr>
      </w:pPr>
    </w:p>
    <w:p>
      <w:pPr>
        <w:pStyle w:val="ListParagraph"/>
        <w:numPr>
          <w:ilvl w:val="1"/>
          <w:numId w:val="16"/>
        </w:numPr>
        <w:tabs>
          <w:tab w:val="left" w:leader="none" w:pos="991"/>
        </w:tabs>
        <w:spacing w:before="0" w:after="0" w:line="240" w:lineRule="auto"/>
        <w:ind w:left="991" w:right="0" w:hanging="716"/>
        <w:jc w:val="left"/>
        <w:rPr>
          <w:b/>
          <w:color w:val="030303"/>
          <w:sz w:val="20"/>
        </w:rPr>
      </w:pPr>
      <w:r>
        <w:rPr>
          <w:b/>
          <w:color w:val="030303"/>
          <w:w w:val="110"/>
          <w:sz w:val="20"/>
        </w:rPr>
        <w:t>Property,</w:t>
      </w:r>
      <w:r>
        <w:rPr>
          <w:b/>
          <w:color w:val="030303"/>
          <w:spacing w:val="1"/>
          <w:w w:val="110"/>
          <w:sz w:val="20"/>
        </w:rPr>
        <w:t> </w:t>
      </w:r>
      <w:r>
        <w:rPr>
          <w:b/>
          <w:color w:val="030303"/>
          <w:w w:val="110"/>
          <w:sz w:val="20"/>
        </w:rPr>
        <w:t>Plant</w:t>
      </w:r>
      <w:r>
        <w:rPr>
          <w:b/>
          <w:color w:val="030303"/>
          <w:spacing w:val="-7"/>
          <w:w w:val="110"/>
          <w:sz w:val="20"/>
        </w:rPr>
        <w:t> </w:t>
      </w:r>
      <w:r>
        <w:rPr>
          <w:color w:val="030303"/>
          <w:w w:val="110"/>
          <w:sz w:val="21"/>
        </w:rPr>
        <w:t>&amp;</w:t>
      </w:r>
      <w:r>
        <w:rPr>
          <w:color w:val="030303"/>
          <w:spacing w:val="-3"/>
          <w:w w:val="110"/>
          <w:sz w:val="21"/>
        </w:rPr>
        <w:t> </w:t>
      </w:r>
      <w:r>
        <w:rPr>
          <w:b/>
          <w:color w:val="030303"/>
          <w:spacing w:val="-2"/>
          <w:w w:val="110"/>
          <w:sz w:val="20"/>
        </w:rPr>
        <w:t>Equipment</w:t>
      </w:r>
    </w:p>
    <w:p>
      <w:pPr>
        <w:pStyle w:val="BodyText"/>
        <w:spacing w:before="138"/>
        <w:rPr>
          <w:b/>
          <w:sz w:val="20"/>
        </w:rPr>
      </w:pPr>
    </w:p>
    <w:p>
      <w:pPr>
        <w:tabs>
          <w:tab w:val="left" w:leader="none" w:pos="12851"/>
        </w:tabs>
        <w:spacing w:before="0"/>
        <w:ind w:left="0" w:right="1285" w:firstLine="0"/>
        <w:jc w:val="center"/>
        <w:rPr>
          <w:b/>
          <w:sz w:val="20"/>
        </w:rPr>
      </w:pPr>
      <w:r>
        <w:rPr>
          <w:b/>
          <w:color w:val="030303"/>
          <w:position w:val="1"/>
          <w:sz w:val="20"/>
        </w:rPr>
        <w:t>2021-</w:t>
      </w:r>
      <w:r>
        <w:rPr>
          <w:b/>
          <w:color w:val="030303"/>
          <w:spacing w:val="-5"/>
          <w:position w:val="1"/>
          <w:sz w:val="20"/>
        </w:rPr>
        <w:t>22</w:t>
      </w:r>
      <w:r>
        <w:rPr>
          <w:b/>
          <w:color w:val="030303"/>
          <w:position w:val="1"/>
          <w:sz w:val="20"/>
        </w:rPr>
        <w:tab/>
      </w:r>
      <w:r>
        <w:rPr>
          <w:b/>
          <w:color w:val="030303"/>
          <w:spacing w:val="-2"/>
          <w:sz w:val="20"/>
        </w:rPr>
        <w:t>Total</w:t>
      </w:r>
    </w:p>
    <w:p>
      <w:pPr>
        <w:tabs>
          <w:tab w:val="left" w:leader="none" w:pos="6033"/>
          <w:tab w:val="left" w:leader="none" w:pos="6104"/>
          <w:tab w:val="left" w:leader="none" w:pos="7231"/>
          <w:tab w:val="left" w:leader="none" w:pos="7691"/>
          <w:tab w:val="left" w:leader="none" w:pos="8812"/>
          <w:tab w:val="left" w:leader="none" w:pos="9172"/>
          <w:tab w:val="left" w:leader="none" w:pos="10312"/>
          <w:tab w:val="left" w:leader="none" w:pos="10515"/>
          <w:tab w:val="left" w:leader="none" w:pos="11811"/>
          <w:tab w:val="left" w:leader="none" w:pos="11986"/>
          <w:tab w:val="left" w:leader="none" w:pos="12982"/>
          <w:tab w:val="left" w:leader="none" w:pos="13039"/>
        </w:tabs>
        <w:spacing w:before="1" w:line="242" w:lineRule="auto"/>
        <w:ind w:left="4858" w:right="1490" w:firstLine="98"/>
        <w:jc w:val="center"/>
        <w:rPr>
          <w:b/>
          <w:sz w:val="20"/>
        </w:rPr>
      </w:pPr>
      <w:r>
        <w:rPr>
          <w:b/>
          <w:color w:val="030303"/>
          <w:spacing w:val="-2"/>
          <w:w w:val="105"/>
          <w:position w:val="1"/>
          <w:sz w:val="20"/>
        </w:rPr>
        <w:t>Other</w:t>
      </w:r>
      <w:r>
        <w:rPr>
          <w:b/>
          <w:color w:val="030303"/>
          <w:position w:val="1"/>
          <w:sz w:val="20"/>
        </w:rPr>
        <w:tab/>
      </w:r>
      <w:r>
        <w:rPr>
          <w:b/>
          <w:color w:val="030303"/>
          <w:spacing w:val="-2"/>
          <w:w w:val="105"/>
          <w:position w:val="1"/>
          <w:sz w:val="20"/>
        </w:rPr>
        <w:t>Vehicles,</w:t>
      </w:r>
      <w:r>
        <w:rPr>
          <w:b/>
          <w:color w:val="030303"/>
          <w:position w:val="1"/>
          <w:sz w:val="20"/>
        </w:rPr>
        <w:tab/>
        <w:tab/>
        <w:tab/>
        <w:tab/>
        <w:tab/>
        <w:tab/>
      </w:r>
      <w:r>
        <w:rPr>
          <w:b/>
          <w:color w:val="030303"/>
          <w:spacing w:val="-2"/>
          <w:w w:val="105"/>
          <w:sz w:val="20"/>
        </w:rPr>
        <w:t>Assets</w:t>
      </w:r>
      <w:r>
        <w:rPr>
          <w:b/>
          <w:color w:val="030303"/>
          <w:sz w:val="20"/>
        </w:rPr>
        <w:tab/>
        <w:tab/>
        <w:tab/>
        <w:tab/>
      </w:r>
      <w:r>
        <w:rPr>
          <w:b/>
          <w:color w:val="030303"/>
          <w:spacing w:val="-56"/>
          <w:sz w:val="20"/>
        </w:rPr>
        <w:t> </w:t>
      </w:r>
      <w:r>
        <w:rPr>
          <w:b/>
          <w:color w:val="030303"/>
          <w:spacing w:val="-2"/>
          <w:w w:val="105"/>
          <w:sz w:val="20"/>
        </w:rPr>
        <w:t>Property Land&amp;</w:t>
      </w:r>
      <w:r>
        <w:rPr>
          <w:b/>
          <w:color w:val="030303"/>
          <w:sz w:val="20"/>
        </w:rPr>
        <w:tab/>
        <w:tab/>
      </w:r>
      <w:r>
        <w:rPr>
          <w:b/>
          <w:color w:val="030303"/>
          <w:w w:val="105"/>
          <w:sz w:val="20"/>
        </w:rPr>
        <w:t>Plant </w:t>
      </w:r>
      <w:r>
        <w:rPr>
          <w:color w:val="030303"/>
          <w:w w:val="105"/>
          <w:sz w:val="21"/>
        </w:rPr>
        <w:t>&amp;</w:t>
      </w:r>
      <w:r>
        <w:rPr>
          <w:color w:val="030303"/>
          <w:sz w:val="21"/>
        </w:rPr>
        <w:tab/>
      </w:r>
      <w:r>
        <w:rPr>
          <w:b/>
          <w:color w:val="030303"/>
          <w:spacing w:val="-2"/>
          <w:w w:val="105"/>
          <w:sz w:val="20"/>
        </w:rPr>
        <w:t>Infrastructure</w:t>
      </w:r>
      <w:r>
        <w:rPr>
          <w:b/>
          <w:color w:val="030303"/>
          <w:sz w:val="20"/>
        </w:rPr>
        <w:tab/>
      </w:r>
      <w:r>
        <w:rPr>
          <w:b/>
          <w:color w:val="030303"/>
          <w:spacing w:val="-2"/>
          <w:w w:val="105"/>
          <w:sz w:val="20"/>
        </w:rPr>
        <w:t>Community</w:t>
      </w:r>
      <w:r>
        <w:rPr>
          <w:b/>
          <w:color w:val="030303"/>
          <w:sz w:val="20"/>
        </w:rPr>
        <w:tab/>
        <w:tab/>
      </w:r>
      <w:r>
        <w:rPr>
          <w:b/>
          <w:color w:val="030303"/>
          <w:spacing w:val="-37"/>
          <w:sz w:val="20"/>
        </w:rPr>
        <w:t> </w:t>
      </w:r>
      <w:r>
        <w:rPr>
          <w:b/>
          <w:color w:val="030303"/>
          <w:w w:val="105"/>
          <w:sz w:val="20"/>
        </w:rPr>
        <w:t>Under</w:t>
      </w:r>
      <w:r>
        <w:rPr>
          <w:b/>
          <w:color w:val="030303"/>
          <w:sz w:val="20"/>
        </w:rPr>
        <w:tab/>
      </w:r>
      <w:r>
        <w:rPr>
          <w:b/>
          <w:color w:val="030303"/>
          <w:spacing w:val="-2"/>
          <w:w w:val="105"/>
          <w:sz w:val="20"/>
        </w:rPr>
        <w:t>Surplus</w:t>
      </w:r>
      <w:r>
        <w:rPr>
          <w:b/>
          <w:color w:val="030303"/>
          <w:sz w:val="20"/>
        </w:rPr>
        <w:tab/>
      </w:r>
      <w:r>
        <w:rPr>
          <w:b/>
          <w:color w:val="030303"/>
          <w:w w:val="105"/>
          <w:sz w:val="20"/>
        </w:rPr>
        <w:t>Plant and </w:t>
      </w:r>
      <w:r>
        <w:rPr>
          <w:b/>
          <w:color w:val="030303"/>
          <w:spacing w:val="-2"/>
          <w:w w:val="105"/>
          <w:position w:val="1"/>
          <w:sz w:val="20"/>
        </w:rPr>
        <w:t>Buildings</w:t>
      </w:r>
      <w:r>
        <w:rPr>
          <w:b/>
          <w:color w:val="030303"/>
          <w:position w:val="1"/>
          <w:sz w:val="20"/>
        </w:rPr>
        <w:tab/>
      </w:r>
      <w:r>
        <w:rPr>
          <w:b/>
          <w:color w:val="030303"/>
          <w:spacing w:val="-43"/>
          <w:position w:val="1"/>
          <w:sz w:val="20"/>
        </w:rPr>
        <w:t> </w:t>
      </w:r>
      <w:r>
        <w:rPr>
          <w:b/>
          <w:color w:val="030303"/>
          <w:w w:val="105"/>
          <w:sz w:val="20"/>
        </w:rPr>
        <w:t>Equipment</w:t>
      </w:r>
      <w:r>
        <w:rPr>
          <w:b/>
          <w:color w:val="030303"/>
          <w:sz w:val="20"/>
        </w:rPr>
        <w:tab/>
        <w:tab/>
      </w:r>
      <w:r>
        <w:rPr>
          <w:b/>
          <w:color w:val="030303"/>
          <w:spacing w:val="-2"/>
          <w:w w:val="105"/>
          <w:position w:val="1"/>
          <w:sz w:val="20"/>
        </w:rPr>
        <w:t>Assets</w:t>
      </w:r>
      <w:r>
        <w:rPr>
          <w:b/>
          <w:color w:val="030303"/>
          <w:position w:val="1"/>
          <w:sz w:val="20"/>
        </w:rPr>
        <w:tab/>
        <w:tab/>
      </w:r>
      <w:r>
        <w:rPr>
          <w:b/>
          <w:color w:val="030303"/>
          <w:spacing w:val="-2"/>
          <w:w w:val="105"/>
          <w:sz w:val="20"/>
        </w:rPr>
        <w:t>Assets</w:t>
      </w:r>
      <w:r>
        <w:rPr>
          <w:b/>
          <w:color w:val="030303"/>
          <w:sz w:val="20"/>
        </w:rPr>
        <w:tab/>
      </w:r>
      <w:r>
        <w:rPr>
          <w:b/>
          <w:color w:val="030303"/>
          <w:spacing w:val="-2"/>
          <w:w w:val="105"/>
          <w:sz w:val="20"/>
        </w:rPr>
        <w:t>Construction</w:t>
      </w:r>
      <w:r>
        <w:rPr>
          <w:b/>
          <w:color w:val="030303"/>
          <w:sz w:val="20"/>
        </w:rPr>
        <w:tab/>
        <w:tab/>
      </w:r>
      <w:r>
        <w:rPr>
          <w:b/>
          <w:color w:val="030303"/>
          <w:spacing w:val="-2"/>
          <w:w w:val="105"/>
          <w:sz w:val="20"/>
        </w:rPr>
        <w:t>Assets</w:t>
      </w:r>
      <w:r>
        <w:rPr>
          <w:b/>
          <w:color w:val="030303"/>
          <w:sz w:val="20"/>
        </w:rPr>
        <w:tab/>
        <w:tab/>
      </w:r>
      <w:r>
        <w:rPr>
          <w:b/>
          <w:color w:val="030303"/>
          <w:spacing w:val="-2"/>
          <w:w w:val="105"/>
          <w:sz w:val="20"/>
        </w:rPr>
        <w:t>Equipment</w:t>
      </w:r>
    </w:p>
    <w:p>
      <w:pPr>
        <w:tabs>
          <w:tab w:val="left" w:leader="none" w:pos="4567"/>
          <w:tab w:val="left" w:leader="none" w:pos="6015"/>
          <w:tab w:val="left" w:leader="none" w:pos="7492"/>
          <w:tab w:val="left" w:leader="none" w:pos="8944"/>
          <w:tab w:val="left" w:leader="none" w:pos="10305"/>
          <w:tab w:val="left" w:leader="none" w:pos="11556"/>
        </w:tabs>
        <w:spacing w:before="21"/>
        <w:ind w:left="3317" w:right="0" w:firstLine="0"/>
        <w:jc w:val="center"/>
        <w:rPr>
          <w:b/>
          <w:sz w:val="20"/>
        </w:rPr>
      </w:pPr>
      <w:r>
        <w:rPr>
          <w:b/>
          <w:color w:val="030303"/>
          <w:spacing w:val="-4"/>
          <w:w w:val="105"/>
          <w:position w:val="1"/>
          <w:sz w:val="20"/>
        </w:rPr>
        <w:t>£000</w:t>
      </w:r>
      <w:r>
        <w:rPr>
          <w:b/>
          <w:color w:val="030303"/>
          <w:position w:val="1"/>
          <w:sz w:val="20"/>
        </w:rPr>
        <w:tab/>
      </w:r>
      <w:r>
        <w:rPr>
          <w:b/>
          <w:color w:val="030303"/>
          <w:spacing w:val="-4"/>
          <w:w w:val="105"/>
          <w:position w:val="1"/>
          <w:sz w:val="20"/>
        </w:rPr>
        <w:t>£000</w:t>
      </w:r>
      <w:r>
        <w:rPr>
          <w:b/>
          <w:color w:val="030303"/>
          <w:position w:val="1"/>
          <w:sz w:val="20"/>
        </w:rPr>
        <w:tab/>
      </w:r>
      <w:r>
        <w:rPr>
          <w:b/>
          <w:color w:val="030303"/>
          <w:spacing w:val="-4"/>
          <w:w w:val="105"/>
          <w:sz w:val="20"/>
        </w:rPr>
        <w:t>£000</w:t>
      </w:r>
      <w:r>
        <w:rPr>
          <w:b/>
          <w:color w:val="030303"/>
          <w:sz w:val="20"/>
        </w:rPr>
        <w:tab/>
      </w:r>
      <w:r>
        <w:rPr>
          <w:b/>
          <w:color w:val="030303"/>
          <w:spacing w:val="-4"/>
          <w:w w:val="105"/>
          <w:sz w:val="20"/>
        </w:rPr>
        <w:t>£000</w:t>
      </w:r>
      <w:r>
        <w:rPr>
          <w:b/>
          <w:color w:val="030303"/>
          <w:sz w:val="20"/>
        </w:rPr>
        <w:tab/>
      </w:r>
      <w:r>
        <w:rPr>
          <w:b/>
          <w:color w:val="030303"/>
          <w:spacing w:val="-4"/>
          <w:w w:val="105"/>
          <w:sz w:val="20"/>
        </w:rPr>
        <w:t>£000</w:t>
      </w:r>
      <w:r>
        <w:rPr>
          <w:b/>
          <w:color w:val="030303"/>
          <w:sz w:val="20"/>
        </w:rPr>
        <w:tab/>
      </w:r>
      <w:r>
        <w:rPr>
          <w:b/>
          <w:color w:val="030303"/>
          <w:spacing w:val="-4"/>
          <w:w w:val="105"/>
          <w:sz w:val="20"/>
        </w:rPr>
        <w:t>£000</w:t>
      </w:r>
      <w:r>
        <w:rPr>
          <w:b/>
          <w:color w:val="030303"/>
          <w:sz w:val="20"/>
        </w:rPr>
        <w:tab/>
      </w:r>
      <w:r>
        <w:rPr>
          <w:b/>
          <w:color w:val="030303"/>
          <w:spacing w:val="-4"/>
          <w:w w:val="105"/>
          <w:sz w:val="20"/>
        </w:rPr>
        <w:t>£000</w:t>
      </w:r>
    </w:p>
    <w:p>
      <w:pPr>
        <w:spacing w:before="1" w:line="193" w:lineRule="exact"/>
        <w:ind w:left="472" w:right="0" w:firstLine="0"/>
        <w:jc w:val="left"/>
        <w:rPr>
          <w:b/>
          <w:sz w:val="20"/>
        </w:rPr>
      </w:pPr>
      <w:r>
        <w:rPr>
          <w:b/>
          <w:color w:val="030303"/>
          <w:w w:val="105"/>
          <w:sz w:val="20"/>
        </w:rPr>
        <w:t>Cost</w:t>
      </w:r>
      <w:r>
        <w:rPr>
          <w:b/>
          <w:color w:val="030303"/>
          <w:spacing w:val="-3"/>
          <w:w w:val="105"/>
          <w:sz w:val="20"/>
        </w:rPr>
        <w:t> </w:t>
      </w:r>
      <w:r>
        <w:rPr>
          <w:b/>
          <w:color w:val="030303"/>
          <w:w w:val="105"/>
          <w:sz w:val="20"/>
        </w:rPr>
        <w:t>or</w:t>
      </w:r>
      <w:r>
        <w:rPr>
          <w:b/>
          <w:color w:val="030303"/>
          <w:spacing w:val="-1"/>
          <w:w w:val="105"/>
          <w:sz w:val="20"/>
        </w:rPr>
        <w:t> </w:t>
      </w:r>
      <w:r>
        <w:rPr>
          <w:b/>
          <w:color w:val="030303"/>
          <w:spacing w:val="-2"/>
          <w:w w:val="105"/>
          <w:sz w:val="20"/>
        </w:rPr>
        <w:t>Valuation</w:t>
      </w:r>
    </w:p>
    <w:p>
      <w:pPr>
        <w:tabs>
          <w:tab w:val="left" w:leader="none" w:pos="5073"/>
          <w:tab w:val="left" w:leader="none" w:pos="6610"/>
          <w:tab w:val="left" w:leader="none" w:pos="8375"/>
          <w:tab w:val="left" w:leader="none" w:pos="9571"/>
          <w:tab w:val="left" w:leader="none" w:pos="11101"/>
          <w:tab w:val="left" w:leader="none" w:pos="12758"/>
          <w:tab w:val="left" w:leader="none" w:pos="13365"/>
        </w:tabs>
        <w:spacing w:before="0" w:line="348" w:lineRule="exact"/>
        <w:ind w:left="472" w:right="0" w:firstLine="0"/>
        <w:jc w:val="left"/>
        <w:rPr>
          <w:b/>
          <w:sz w:val="20"/>
        </w:rPr>
      </w:pPr>
      <w:r>
        <w:rPr>
          <w:b/>
          <w:color w:val="030303"/>
          <w:position w:val="1"/>
          <w:sz w:val="20"/>
        </w:rPr>
        <w:t>At 1</w:t>
      </w:r>
      <w:r>
        <w:rPr>
          <w:b/>
          <w:color w:val="030303"/>
          <w:spacing w:val="21"/>
          <w:position w:val="1"/>
          <w:sz w:val="20"/>
        </w:rPr>
        <w:t> </w:t>
      </w:r>
      <w:r>
        <w:rPr>
          <w:b/>
          <w:color w:val="030303"/>
          <w:position w:val="1"/>
          <w:sz w:val="20"/>
        </w:rPr>
        <w:t>April</w:t>
      </w:r>
      <w:r>
        <w:rPr>
          <w:b/>
          <w:color w:val="030303"/>
          <w:spacing w:val="19"/>
          <w:position w:val="1"/>
          <w:sz w:val="20"/>
        </w:rPr>
        <w:t> </w:t>
      </w:r>
      <w:r>
        <w:rPr>
          <w:b/>
          <w:color w:val="030303"/>
          <w:spacing w:val="-4"/>
          <w:position w:val="1"/>
          <w:sz w:val="20"/>
        </w:rPr>
        <w:t>2021</w:t>
      </w:r>
      <w:r>
        <w:rPr>
          <w:b/>
          <w:color w:val="030303"/>
          <w:position w:val="1"/>
          <w:sz w:val="20"/>
        </w:rPr>
        <w:tab/>
      </w:r>
      <w:r>
        <w:rPr>
          <w:b/>
          <w:color w:val="030303"/>
          <w:spacing w:val="-2"/>
          <w:position w:val="1"/>
          <w:sz w:val="20"/>
        </w:rPr>
        <w:t>132,566</w:t>
      </w:r>
      <w:r>
        <w:rPr>
          <w:b/>
          <w:color w:val="030303"/>
          <w:position w:val="1"/>
          <w:sz w:val="20"/>
        </w:rPr>
        <w:tab/>
      </w:r>
      <w:r>
        <w:rPr>
          <w:b/>
          <w:color w:val="030303"/>
          <w:spacing w:val="-2"/>
          <w:position w:val="1"/>
          <w:sz w:val="20"/>
        </w:rPr>
        <w:t>6,165</w:t>
      </w:r>
      <w:r>
        <w:rPr>
          <w:b/>
          <w:color w:val="030303"/>
          <w:position w:val="1"/>
          <w:sz w:val="20"/>
        </w:rPr>
        <w:tab/>
      </w:r>
      <w:r>
        <w:rPr>
          <w:b/>
          <w:color w:val="030303"/>
          <w:spacing w:val="-5"/>
          <w:sz w:val="20"/>
        </w:rPr>
        <w:t>524</w:t>
      </w:r>
      <w:r>
        <w:rPr>
          <w:b/>
          <w:color w:val="030303"/>
          <w:sz w:val="20"/>
        </w:rPr>
        <w:tab/>
      </w:r>
      <w:r>
        <w:rPr>
          <w:b/>
          <w:color w:val="030303"/>
          <w:spacing w:val="-2"/>
          <w:sz w:val="20"/>
        </w:rPr>
        <w:t>2,251</w:t>
      </w:r>
      <w:r>
        <w:rPr>
          <w:b/>
          <w:color w:val="030303"/>
          <w:sz w:val="20"/>
        </w:rPr>
        <w:tab/>
      </w:r>
      <w:r>
        <w:rPr>
          <w:b/>
          <w:color w:val="030303"/>
          <w:spacing w:val="-2"/>
          <w:sz w:val="20"/>
        </w:rPr>
        <w:t>2,855</w:t>
      </w:r>
      <w:r>
        <w:rPr>
          <w:b/>
          <w:color w:val="030303"/>
          <w:sz w:val="20"/>
        </w:rPr>
        <w:tab/>
      </w:r>
      <w:r>
        <w:rPr>
          <w:color w:val="232323"/>
          <w:spacing w:val="-10"/>
          <w:w w:val="95"/>
          <w:position w:val="-4"/>
          <w:sz w:val="38"/>
        </w:rPr>
        <w:t>-</w:t>
      </w:r>
      <w:r>
        <w:rPr>
          <w:color w:val="232323"/>
          <w:position w:val="-4"/>
          <w:sz w:val="38"/>
        </w:rPr>
        <w:tab/>
      </w:r>
      <w:r>
        <w:rPr>
          <w:b/>
          <w:color w:val="030303"/>
          <w:spacing w:val="-2"/>
          <w:sz w:val="20"/>
        </w:rPr>
        <w:t>144,361</w:t>
      </w:r>
    </w:p>
    <w:p>
      <w:pPr>
        <w:tabs>
          <w:tab w:val="left" w:leader="none" w:pos="5482"/>
          <w:tab w:val="left" w:leader="none" w:pos="6788"/>
          <w:tab w:val="left" w:leader="none" w:pos="8651"/>
          <w:tab w:val="left" w:leader="none" w:pos="10020"/>
          <w:tab w:val="left" w:leader="none" w:pos="10983"/>
          <w:tab w:val="left" w:leader="none" w:pos="12752"/>
          <w:tab w:val="left" w:leader="none" w:pos="13485"/>
        </w:tabs>
        <w:spacing w:before="0" w:line="258" w:lineRule="exact"/>
        <w:ind w:left="472" w:right="0" w:firstLine="0"/>
        <w:jc w:val="left"/>
        <w:rPr>
          <w:b/>
          <w:sz w:val="20"/>
        </w:rPr>
      </w:pPr>
      <w:r>
        <w:rPr>
          <w:color w:val="030303"/>
          <w:spacing w:val="-2"/>
          <w:w w:val="105"/>
          <w:position w:val="1"/>
          <w:sz w:val="20"/>
        </w:rPr>
        <w:t>Additions</w:t>
      </w:r>
      <w:r>
        <w:rPr>
          <w:color w:val="030303"/>
          <w:position w:val="1"/>
          <w:sz w:val="20"/>
        </w:rPr>
        <w:tab/>
      </w:r>
      <w:r>
        <w:rPr>
          <w:color w:val="030303"/>
          <w:spacing w:val="-5"/>
          <w:w w:val="105"/>
          <w:sz w:val="20"/>
        </w:rPr>
        <w:t>288</w:t>
      </w:r>
      <w:r>
        <w:rPr>
          <w:color w:val="030303"/>
          <w:sz w:val="20"/>
        </w:rPr>
        <w:tab/>
      </w:r>
      <w:r>
        <w:rPr>
          <w:color w:val="030303"/>
          <w:spacing w:val="-5"/>
          <w:w w:val="105"/>
          <w:sz w:val="20"/>
        </w:rPr>
        <w:t>956</w:t>
      </w:r>
      <w:r>
        <w:rPr>
          <w:color w:val="030303"/>
          <w:sz w:val="20"/>
        </w:rPr>
        <w:tab/>
      </w:r>
      <w:r>
        <w:rPr>
          <w:color w:val="232323"/>
          <w:spacing w:val="-10"/>
          <w:w w:val="105"/>
          <w:position w:val="0"/>
          <w:sz w:val="22"/>
        </w:rPr>
        <w:t>-</w:t>
      </w:r>
      <w:r>
        <w:rPr>
          <w:color w:val="232323"/>
          <w:position w:val="0"/>
          <w:sz w:val="22"/>
        </w:rPr>
        <w:tab/>
      </w:r>
      <w:r>
        <w:rPr>
          <w:color w:val="3D3D3D"/>
          <w:spacing w:val="-10"/>
          <w:w w:val="105"/>
          <w:position w:val="-1"/>
          <w:sz w:val="26"/>
        </w:rPr>
        <w:t>-</w:t>
      </w:r>
      <w:r>
        <w:rPr>
          <w:color w:val="3D3D3D"/>
          <w:position w:val="-1"/>
          <w:sz w:val="26"/>
        </w:rPr>
        <w:tab/>
      </w:r>
      <w:r>
        <w:rPr>
          <w:color w:val="030303"/>
          <w:spacing w:val="-2"/>
          <w:w w:val="105"/>
          <w:sz w:val="20"/>
        </w:rPr>
        <w:t>13,487</w:t>
      </w:r>
      <w:r>
        <w:rPr>
          <w:color w:val="030303"/>
          <w:sz w:val="20"/>
        </w:rPr>
        <w:tab/>
      </w:r>
      <w:r>
        <w:rPr>
          <w:color w:val="3D3D3D"/>
          <w:spacing w:val="-10"/>
          <w:w w:val="105"/>
          <w:position w:val="-1"/>
          <w:sz w:val="27"/>
        </w:rPr>
        <w:t>-</w:t>
      </w:r>
      <w:r>
        <w:rPr>
          <w:color w:val="3D3D3D"/>
          <w:position w:val="-1"/>
          <w:sz w:val="27"/>
        </w:rPr>
        <w:tab/>
      </w:r>
      <w:r>
        <w:rPr>
          <w:b/>
          <w:color w:val="030303"/>
          <w:spacing w:val="-2"/>
          <w:w w:val="105"/>
          <w:sz w:val="20"/>
        </w:rPr>
        <w:t>14,731</w:t>
      </w:r>
    </w:p>
    <w:p>
      <w:pPr>
        <w:tabs>
          <w:tab w:val="left" w:leader="none" w:pos="5305"/>
          <w:tab w:val="left" w:leader="none" w:pos="7074"/>
          <w:tab w:val="left" w:leader="none" w:pos="8648"/>
          <w:tab w:val="left" w:leader="none" w:pos="10027"/>
          <w:tab w:val="left" w:leader="none" w:pos="11556"/>
          <w:tab w:val="left" w:leader="none" w:pos="13598"/>
        </w:tabs>
        <w:spacing w:before="149" w:line="335" w:lineRule="exact"/>
        <w:ind w:left="465" w:right="0" w:firstLine="0"/>
        <w:jc w:val="left"/>
        <w:rPr>
          <w:b/>
          <w:sz w:val="20"/>
        </w:rPr>
      </w:pPr>
      <w:r>
        <w:rPr>
          <w:color w:val="030303"/>
          <w:sz w:val="20"/>
        </w:rPr>
        <w:t>Revaluation</w:t>
      </w:r>
      <w:r>
        <w:rPr>
          <w:color w:val="030303"/>
          <w:spacing w:val="34"/>
          <w:sz w:val="20"/>
        </w:rPr>
        <w:t> </w:t>
      </w:r>
      <w:r>
        <w:rPr>
          <w:color w:val="232323"/>
          <w:sz w:val="20"/>
        </w:rPr>
        <w:t>increases</w:t>
      </w:r>
      <w:r>
        <w:rPr>
          <w:color w:val="232323"/>
          <w:spacing w:val="21"/>
          <w:sz w:val="20"/>
        </w:rPr>
        <w:t> </w:t>
      </w:r>
      <w:r>
        <w:rPr>
          <w:i/>
          <w:color w:val="030303"/>
          <w:sz w:val="21"/>
        </w:rPr>
        <w:t>I</w:t>
      </w:r>
      <w:r>
        <w:rPr>
          <w:i/>
          <w:color w:val="030303"/>
          <w:spacing w:val="28"/>
          <w:sz w:val="21"/>
        </w:rPr>
        <w:t> </w:t>
      </w:r>
      <w:r>
        <w:rPr>
          <w:color w:val="030303"/>
          <w:spacing w:val="-2"/>
          <w:sz w:val="20"/>
        </w:rPr>
        <w:t>(decreases)</w:t>
      </w:r>
      <w:r>
        <w:rPr>
          <w:color w:val="030303"/>
          <w:sz w:val="20"/>
        </w:rPr>
        <w:tab/>
      </w:r>
      <w:r>
        <w:rPr>
          <w:color w:val="030303"/>
          <w:spacing w:val="-2"/>
          <w:position w:val="-1"/>
          <w:sz w:val="20"/>
        </w:rPr>
        <w:t>7,451</w:t>
      </w:r>
      <w:r>
        <w:rPr>
          <w:color w:val="030303"/>
          <w:position w:val="-1"/>
          <w:sz w:val="20"/>
        </w:rPr>
        <w:tab/>
      </w:r>
      <w:r>
        <w:rPr>
          <w:color w:val="3D3D3D"/>
          <w:spacing w:val="-10"/>
          <w:position w:val="-3"/>
          <w:sz w:val="20"/>
        </w:rPr>
        <w:t>-</w:t>
      </w:r>
      <w:r>
        <w:rPr>
          <w:color w:val="3D3D3D"/>
          <w:position w:val="-3"/>
          <w:sz w:val="20"/>
        </w:rPr>
        <w:tab/>
      </w:r>
      <w:r>
        <w:rPr>
          <w:color w:val="3D3D3D"/>
          <w:spacing w:val="-10"/>
          <w:position w:val="-5"/>
          <w:sz w:val="32"/>
        </w:rPr>
        <w:t>-</w:t>
      </w:r>
      <w:r>
        <w:rPr>
          <w:color w:val="3D3D3D"/>
          <w:position w:val="-5"/>
          <w:sz w:val="32"/>
        </w:rPr>
        <w:tab/>
      </w:r>
      <w:r>
        <w:rPr>
          <w:color w:val="232323"/>
          <w:spacing w:val="-10"/>
          <w:position w:val="-2"/>
          <w:sz w:val="20"/>
        </w:rPr>
        <w:t>-</w:t>
      </w:r>
      <w:r>
        <w:rPr>
          <w:color w:val="232323"/>
          <w:position w:val="-2"/>
          <w:sz w:val="20"/>
        </w:rPr>
        <w:tab/>
      </w:r>
      <w:r>
        <w:rPr>
          <w:color w:val="232323"/>
          <w:spacing w:val="-10"/>
          <w:position w:val="-3"/>
          <w:sz w:val="22"/>
        </w:rPr>
        <w:t>-</w:t>
      </w:r>
      <w:r>
        <w:rPr>
          <w:color w:val="232323"/>
          <w:position w:val="-3"/>
          <w:sz w:val="22"/>
        </w:rPr>
        <w:tab/>
      </w:r>
      <w:r>
        <w:rPr>
          <w:b/>
          <w:color w:val="030303"/>
          <w:spacing w:val="-2"/>
          <w:position w:val="-2"/>
          <w:sz w:val="20"/>
        </w:rPr>
        <w:t>7,451</w:t>
      </w:r>
    </w:p>
    <w:p>
      <w:pPr>
        <w:spacing w:before="0" w:line="197" w:lineRule="exact"/>
        <w:ind w:left="473" w:right="0" w:firstLine="0"/>
        <w:jc w:val="left"/>
        <w:rPr>
          <w:sz w:val="20"/>
        </w:rPr>
      </w:pPr>
      <w:r>
        <w:rPr/>
        <ve:AlternateContent>
          <ve:Choice Requires="wps">
            <w:drawing>
              <wp:anchor distT="0" distB="0" distL="0" distR="0" simplePos="0" relativeHeight="15788544" behindDoc="0" locked="0" layoutInCell="1" allowOverlap="1">
                <wp:simplePos x="0" y="0"/>
                <wp:positionH relativeFrom="page">
                  <wp:posOffset>4957659</wp:posOffset>
                </wp:positionH>
                <wp:positionV relativeFrom="paragraph">
                  <wp:posOffset>202716</wp:posOffset>
                </wp:positionV>
                <wp:extent cx="1918335" cy="192405"/>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1918335" cy="192405"/>
                        </a:xfrm>
                        <a:prstGeom prst="rect">
                          <a:avLst/>
                        </a:prstGeom>
                      </wps:spPr>
                      <wps:txbx>
                        <w:txbxContent>
                          <w:p>
                            <w:pPr>
                              <w:tabs>
                                <w:tab w:val="left" w:leader="none" w:pos="1589"/>
                                <w:tab w:val="left" w:leader="none" w:pos="2954"/>
                              </w:tabs>
                              <w:spacing w:before="0" w:line="302" w:lineRule="exact"/>
                              <w:ind w:left="0" w:right="0" w:firstLine="0"/>
                              <w:jc w:val="left"/>
                              <w:rPr>
                                <w:sz w:val="22"/>
                              </w:rPr>
                            </w:pPr>
                            <w:r>
                              <w:rPr>
                                <w:color w:val="3D3D3D"/>
                                <w:spacing w:val="-10"/>
                                <w:sz w:val="27"/>
                              </w:rPr>
                              <w:t>-</w:t>
                            </w:r>
                            <w:r>
                              <w:rPr>
                                <w:color w:val="3D3D3D"/>
                                <w:sz w:val="27"/>
                              </w:rPr>
                              <w:tab/>
                            </w:r>
                            <w:r>
                              <w:rPr>
                                <w:color w:val="232323"/>
                                <w:spacing w:val="-10"/>
                                <w:sz w:val="20"/>
                              </w:rPr>
                              <w:t>-</w:t>
                            </w:r>
                            <w:r>
                              <w:rPr>
                                <w:color w:val="232323"/>
                                <w:sz w:val="20"/>
                              </w:rPr>
                              <w:tab/>
                            </w:r>
                            <w:r>
                              <w:rPr>
                                <w:color w:val="232323"/>
                                <w:spacing w:val="-18"/>
                                <w:position w:val="1"/>
                                <w:sz w:val="22"/>
                              </w:rPr>
                              <w:t>-</w:t>
                            </w:r>
                          </w:p>
                        </w:txbxContent>
                      </wps:txbx>
                      <wps:bodyPr wrap="square" lIns="0" tIns="0" rIns="0" bIns="0" rtlCol="0">
                        <a:noAutofit/>
                      </wps:bodyPr>
                    </wps:wsp>
                  </a:graphicData>
                </a:graphic>
              </wp:anchor>
            </w:drawing>
          </ve:Choice>
          <ve:Fallback>
            <w:pict>
              <v:shape id="docshape176" style="position:absolute;margin-left:390.366913pt;margin-top:15.961896pt;width:151.050pt;height:15.15pt;mso-position-horizontal-relative:page;mso-position-vertical-relative:paragraph;z-index:15788544" filled="false" stroked="false" type="#_x0000_t202">
                <v:textbox inset="0,0,0,0">
                  <w:txbxContent>
                    <w:p>
                      <w:pPr>
                        <w:tabs>
                          <w:tab w:val="left" w:leader="none" w:pos="1589"/>
                          <w:tab w:val="left" w:leader="none" w:pos="2954"/>
                        </w:tabs>
                        <w:spacing w:before="0" w:line="302" w:lineRule="exact"/>
                        <w:ind w:left="0" w:right="0" w:firstLine="0"/>
                        <w:jc w:val="left"/>
                        <w:rPr>
                          <w:sz w:val="22"/>
                        </w:rPr>
                      </w:pPr>
                      <w:r>
                        <w:rPr>
                          <w:color w:val="3D3D3D"/>
                          <w:spacing w:val="-10"/>
                          <w:sz w:val="27"/>
                        </w:rPr>
                        <w:t>-</w:t>
                      </w:r>
                      <w:r>
                        <w:rPr>
                          <w:color w:val="3D3D3D"/>
                          <w:sz w:val="27"/>
                        </w:rPr>
                        <w:tab/>
                      </w:r>
                      <w:r>
                        <w:rPr>
                          <w:color w:val="232323"/>
                          <w:spacing w:val="-10"/>
                          <w:sz w:val="20"/>
                        </w:rPr>
                        <w:t>-</w:t>
                      </w:r>
                      <w:r>
                        <w:rPr>
                          <w:color w:val="232323"/>
                          <w:sz w:val="20"/>
                        </w:rPr>
                        <w:tab/>
                      </w:r>
                      <w:r>
                        <w:rPr>
                          <w:color w:val="232323"/>
                          <w:spacing w:val="-18"/>
                          <w:position w:val="1"/>
                          <w:sz w:val="22"/>
                        </w:rPr>
                        <w:t>-</w:t>
                      </w:r>
                    </w:p>
                  </w:txbxContent>
                </v:textbox>
                <w10:wrap type="none"/>
              </v:shape>
            </w:pict>
          </ve:Fallback>
        </ve:AlternateContent>
      </w:r>
      <w:r>
        <w:rPr>
          <w:color w:val="232323"/>
          <w:w w:val="105"/>
          <w:sz w:val="20"/>
        </w:rPr>
        <w:t>recognised</w:t>
      </w:r>
      <w:r>
        <w:rPr>
          <w:color w:val="232323"/>
          <w:spacing w:val="-4"/>
          <w:w w:val="105"/>
          <w:sz w:val="20"/>
        </w:rPr>
        <w:t> </w:t>
      </w:r>
      <w:r>
        <w:rPr>
          <w:color w:val="232323"/>
          <w:w w:val="105"/>
          <w:sz w:val="20"/>
        </w:rPr>
        <w:t>in</w:t>
      </w:r>
      <w:r>
        <w:rPr>
          <w:color w:val="232323"/>
          <w:spacing w:val="-12"/>
          <w:w w:val="105"/>
          <w:sz w:val="20"/>
        </w:rPr>
        <w:t> </w:t>
      </w:r>
      <w:r>
        <w:rPr>
          <w:color w:val="232323"/>
          <w:w w:val="105"/>
          <w:sz w:val="20"/>
        </w:rPr>
        <w:t>the</w:t>
      </w:r>
      <w:r>
        <w:rPr>
          <w:color w:val="232323"/>
          <w:spacing w:val="-15"/>
          <w:w w:val="105"/>
          <w:sz w:val="20"/>
        </w:rPr>
        <w:t> </w:t>
      </w:r>
      <w:r>
        <w:rPr>
          <w:color w:val="232323"/>
          <w:w w:val="105"/>
          <w:sz w:val="20"/>
        </w:rPr>
        <w:t>Revaluation</w:t>
      </w:r>
      <w:r>
        <w:rPr>
          <w:color w:val="232323"/>
          <w:spacing w:val="2"/>
          <w:w w:val="105"/>
          <w:sz w:val="20"/>
        </w:rPr>
        <w:t> </w:t>
      </w:r>
      <w:r>
        <w:rPr>
          <w:color w:val="232323"/>
          <w:spacing w:val="-2"/>
          <w:w w:val="105"/>
          <w:sz w:val="20"/>
        </w:rPr>
        <w:t>Reserve</w:t>
      </w:r>
    </w:p>
    <w:p>
      <w:pPr>
        <w:spacing w:after="0" w:line="197" w:lineRule="exact"/>
        <w:jc w:val="left"/>
        <w:rPr>
          <w:sz w:val="20"/>
        </w:rPr>
        <w:sectPr>
          <w:headerReference w:type="default" r:id="rId148"/>
          <w:pgSz w:w="16830" w:h="11910" w:orient="landscape"/>
          <w:pgMar w:top="1000" w:right="480" w:bottom="1000" w:left="740" w:header="0" w:footer="0"/>
        </w:sectPr>
      </w:pPr>
    </w:p>
    <w:p>
      <w:pPr>
        <w:tabs>
          <w:tab w:val="left" w:leader="none" w:pos="5304"/>
        </w:tabs>
        <w:spacing w:before="56" w:line="165" w:lineRule="auto"/>
        <w:ind w:left="468" w:right="38" w:firstLine="2"/>
        <w:jc w:val="left"/>
        <w:rPr>
          <w:sz w:val="20"/>
        </w:rPr>
      </w:pPr>
      <w:r>
        <w:rPr>
          <w:color w:val="232323"/>
          <w:w w:val="105"/>
          <w:sz w:val="20"/>
        </w:rPr>
        <w:t>Revaluation increases/ (decreases)</w:t>
      </w:r>
      <w:r>
        <w:rPr>
          <w:color w:val="232323"/>
          <w:sz w:val="20"/>
        </w:rPr>
        <w:tab/>
      </w:r>
      <w:r>
        <w:rPr>
          <w:color w:val="030303"/>
          <w:spacing w:val="-2"/>
          <w:w w:val="105"/>
          <w:position w:val="-11"/>
          <w:sz w:val="20"/>
        </w:rPr>
        <w:t>2,838 </w:t>
      </w:r>
      <w:r>
        <w:rPr>
          <w:color w:val="232323"/>
          <w:w w:val="105"/>
          <w:sz w:val="20"/>
        </w:rPr>
        <w:t>recognised in </w:t>
      </w:r>
      <w:r>
        <w:rPr>
          <w:color w:val="3D3D3D"/>
          <w:w w:val="105"/>
          <w:sz w:val="20"/>
        </w:rPr>
        <w:t>the </w:t>
      </w:r>
      <w:r>
        <w:rPr>
          <w:color w:val="232323"/>
          <w:w w:val="105"/>
          <w:sz w:val="20"/>
        </w:rPr>
        <w:t>Surplus / Deficit on </w:t>
      </w:r>
      <w:r>
        <w:rPr>
          <w:color w:val="030303"/>
          <w:w w:val="105"/>
          <w:sz w:val="20"/>
        </w:rPr>
        <w:t>the</w:t>
      </w:r>
    </w:p>
    <w:p>
      <w:pPr>
        <w:spacing w:before="17" w:line="181" w:lineRule="exact"/>
        <w:ind w:left="466" w:right="0" w:firstLine="0"/>
        <w:jc w:val="left"/>
        <w:rPr>
          <w:sz w:val="20"/>
        </w:rPr>
      </w:pPr>
      <w:r>
        <w:rPr>
          <w:color w:val="030303"/>
          <w:w w:val="105"/>
          <w:sz w:val="20"/>
        </w:rPr>
        <w:t>Provision</w:t>
      </w:r>
      <w:r>
        <w:rPr>
          <w:color w:val="030303"/>
          <w:spacing w:val="-5"/>
          <w:w w:val="105"/>
          <w:sz w:val="20"/>
        </w:rPr>
        <w:t> </w:t>
      </w:r>
      <w:r>
        <w:rPr>
          <w:color w:val="030303"/>
          <w:w w:val="105"/>
          <w:sz w:val="20"/>
        </w:rPr>
        <w:t>of</w:t>
      </w:r>
      <w:r>
        <w:rPr>
          <w:color w:val="030303"/>
          <w:spacing w:val="-12"/>
          <w:w w:val="105"/>
          <w:sz w:val="20"/>
        </w:rPr>
        <w:t> </w:t>
      </w:r>
      <w:r>
        <w:rPr>
          <w:color w:val="030303"/>
          <w:spacing w:val="-2"/>
          <w:w w:val="105"/>
          <w:sz w:val="20"/>
        </w:rPr>
        <w:t>Services</w:t>
      </w:r>
    </w:p>
    <w:p>
      <w:pPr>
        <w:tabs>
          <w:tab w:val="left" w:leader="none" w:pos="1662"/>
          <w:tab w:val="left" w:leader="none" w:pos="2512"/>
        </w:tabs>
        <w:spacing w:before="118"/>
        <w:ind w:left="466" w:right="0" w:firstLine="0"/>
        <w:jc w:val="left"/>
        <w:rPr>
          <w:b/>
          <w:sz w:val="20"/>
        </w:rPr>
      </w:pPr>
      <w:r>
        <w:rPr/>
        <w:br w:type="column"/>
      </w:r>
      <w:r>
        <w:rPr>
          <w:color w:val="3D3D3D"/>
          <w:spacing w:val="-10"/>
          <w:w w:val="105"/>
          <w:position w:val="1"/>
          <w:sz w:val="22"/>
        </w:rPr>
        <w:t>-</w:t>
      </w:r>
      <w:r>
        <w:rPr>
          <w:color w:val="3D3D3D"/>
          <w:position w:val="1"/>
          <w:sz w:val="22"/>
        </w:rPr>
        <w:tab/>
      </w:r>
      <w:r>
        <w:rPr>
          <w:color w:val="3D3D3D"/>
          <w:spacing w:val="-10"/>
          <w:w w:val="105"/>
          <w:sz w:val="27"/>
        </w:rPr>
        <w:t>-</w:t>
      </w:r>
      <w:r>
        <w:rPr>
          <w:color w:val="3D3D3D"/>
          <w:sz w:val="27"/>
        </w:rPr>
        <w:tab/>
      </w:r>
      <w:r>
        <w:rPr>
          <w:b/>
          <w:color w:val="030303"/>
          <w:spacing w:val="-2"/>
          <w:w w:val="105"/>
          <w:position w:val="2"/>
          <w:sz w:val="20"/>
        </w:rPr>
        <w:t>2,838</w:t>
      </w:r>
    </w:p>
    <w:p>
      <w:pPr>
        <w:spacing w:after="0"/>
        <w:jc w:val="left"/>
        <w:rPr>
          <w:sz w:val="20"/>
        </w:rPr>
        <w:sectPr>
          <w:type w:val="continuous"/>
          <w:pgSz w:w="16830" w:h="11910" w:orient="landscape"/>
          <w:pgMar w:top="1940" w:right="480" w:bottom="280" w:left="740" w:header="0" w:footer="0"/>
          <w:cols w:equalWidth="0" w:num="2">
            <w:col w:w="5877" w:space="5213"/>
            <w:col w:w="4520"/>
          </w:cols>
        </w:sectPr>
      </w:pPr>
    </w:p>
    <w:p>
      <w:pPr>
        <w:tabs>
          <w:tab w:val="left" w:leader="none" w:pos="6644"/>
          <w:tab w:val="left" w:leader="none" w:pos="8643"/>
          <w:tab w:val="left" w:leader="none" w:pos="10018"/>
          <w:tab w:val="left" w:leader="none" w:pos="11363"/>
          <w:tab w:val="left" w:leader="none" w:pos="12754"/>
          <w:tab w:val="left" w:leader="none" w:pos="13630"/>
        </w:tabs>
        <w:spacing w:before="0" w:line="355" w:lineRule="exact"/>
        <w:ind w:left="466" w:right="0" w:firstLine="0"/>
        <w:jc w:val="left"/>
        <w:rPr>
          <w:b/>
          <w:sz w:val="20"/>
        </w:rPr>
      </w:pPr>
      <w:r>
        <w:rPr>
          <w:color w:val="030303"/>
          <w:spacing w:val="-2"/>
          <w:sz w:val="20"/>
        </w:rPr>
        <w:t>Disposals</w:t>
      </w:r>
      <w:r>
        <w:rPr>
          <w:color w:val="030303"/>
          <w:sz w:val="20"/>
        </w:rPr>
        <w:tab/>
      </w:r>
      <w:r>
        <w:rPr>
          <w:color w:val="030303"/>
          <w:spacing w:val="-2"/>
          <w:sz w:val="20"/>
        </w:rPr>
        <w:t>(415)</w:t>
      </w:r>
      <w:r>
        <w:rPr>
          <w:color w:val="030303"/>
          <w:sz w:val="20"/>
        </w:rPr>
        <w:tab/>
      </w:r>
      <w:r>
        <w:rPr>
          <w:color w:val="505050"/>
          <w:spacing w:val="-10"/>
          <w:position w:val="-2"/>
          <w:sz w:val="32"/>
        </w:rPr>
        <w:t>-</w:t>
      </w:r>
      <w:r>
        <w:rPr>
          <w:color w:val="505050"/>
          <w:position w:val="-2"/>
          <w:sz w:val="32"/>
        </w:rPr>
        <w:tab/>
      </w:r>
      <w:r>
        <w:rPr>
          <w:color w:val="232323"/>
          <w:spacing w:val="-10"/>
          <w:position w:val="-2"/>
          <w:sz w:val="32"/>
        </w:rPr>
        <w:t>-</w:t>
      </w:r>
      <w:r>
        <w:rPr>
          <w:color w:val="232323"/>
          <w:position w:val="-2"/>
          <w:sz w:val="32"/>
        </w:rPr>
        <w:tab/>
      </w:r>
      <w:r>
        <w:rPr>
          <w:color w:val="030303"/>
          <w:spacing w:val="-5"/>
          <w:sz w:val="20"/>
        </w:rPr>
        <w:t>(8)</w:t>
      </w:r>
      <w:r>
        <w:rPr>
          <w:color w:val="030303"/>
          <w:sz w:val="20"/>
        </w:rPr>
        <w:tab/>
      </w:r>
      <w:r>
        <w:rPr>
          <w:color w:val="232323"/>
          <w:spacing w:val="-10"/>
          <w:position w:val="-1"/>
          <w:sz w:val="20"/>
        </w:rPr>
        <w:t>-</w:t>
      </w:r>
      <w:r>
        <w:rPr>
          <w:color w:val="232323"/>
          <w:position w:val="-1"/>
          <w:sz w:val="20"/>
        </w:rPr>
        <w:tab/>
      </w:r>
      <w:r>
        <w:rPr>
          <w:b/>
          <w:color w:val="030303"/>
          <w:spacing w:val="-2"/>
          <w:sz w:val="20"/>
        </w:rPr>
        <w:t>(423)</w:t>
      </w:r>
    </w:p>
    <w:p>
      <w:pPr>
        <w:spacing w:before="195" w:line="290" w:lineRule="auto"/>
        <w:ind w:left="461" w:right="11204" w:firstLine="6"/>
        <w:jc w:val="left"/>
        <w:rPr>
          <w:sz w:val="20"/>
        </w:rPr>
      </w:pPr>
      <w:r>
        <w:rPr>
          <w:color w:val="030303"/>
          <w:w w:val="105"/>
          <w:sz w:val="20"/>
        </w:rPr>
        <w:t>Assets reclassified (to)/</w:t>
      </w:r>
      <w:r>
        <w:rPr>
          <w:color w:val="030303"/>
          <w:spacing w:val="-5"/>
          <w:w w:val="105"/>
          <w:sz w:val="20"/>
        </w:rPr>
        <w:t> </w:t>
      </w:r>
      <w:r>
        <w:rPr>
          <w:color w:val="030303"/>
          <w:w w:val="105"/>
          <w:sz w:val="20"/>
        </w:rPr>
        <w:t>from Investment </w:t>
      </w:r>
      <w:r>
        <w:rPr>
          <w:color w:val="030303"/>
          <w:spacing w:val="-2"/>
          <w:w w:val="105"/>
          <w:sz w:val="20"/>
        </w:rPr>
        <w:t>Property</w:t>
      </w:r>
    </w:p>
    <w:p>
      <w:pPr>
        <w:tabs>
          <w:tab w:val="left" w:leader="none" w:pos="5303"/>
          <w:tab w:val="left" w:leader="none" w:pos="7059"/>
          <w:tab w:val="left" w:leader="none" w:pos="8646"/>
          <w:tab w:val="left" w:leader="none" w:pos="10017"/>
          <w:tab w:val="left" w:leader="none" w:pos="10949"/>
        </w:tabs>
        <w:spacing w:before="189"/>
        <w:ind w:left="462" w:right="0" w:firstLine="0"/>
        <w:jc w:val="left"/>
        <w:rPr>
          <w:sz w:val="20"/>
        </w:rPr>
      </w:pPr>
      <w:r>
        <w:rPr>
          <w:color w:val="030303"/>
          <w:w w:val="105"/>
          <w:position w:val="1"/>
          <w:sz w:val="20"/>
        </w:rPr>
        <w:t>Other</w:t>
      </w:r>
      <w:r>
        <w:rPr>
          <w:color w:val="030303"/>
          <w:spacing w:val="-7"/>
          <w:w w:val="105"/>
          <w:position w:val="1"/>
          <w:sz w:val="20"/>
        </w:rPr>
        <w:t> </w:t>
      </w:r>
      <w:r>
        <w:rPr>
          <w:color w:val="030303"/>
          <w:spacing w:val="-2"/>
          <w:w w:val="105"/>
          <w:position w:val="1"/>
          <w:sz w:val="20"/>
        </w:rPr>
        <w:t>movements</w:t>
      </w:r>
      <w:r>
        <w:rPr>
          <w:color w:val="030303"/>
          <w:position w:val="1"/>
          <w:sz w:val="20"/>
        </w:rPr>
        <w:tab/>
      </w:r>
      <w:r>
        <w:rPr>
          <w:color w:val="030303"/>
          <w:spacing w:val="-2"/>
          <w:w w:val="105"/>
          <w:position w:val="1"/>
          <w:sz w:val="20"/>
        </w:rPr>
        <w:t>1,099</w:t>
      </w:r>
      <w:r>
        <w:rPr>
          <w:color w:val="030303"/>
          <w:position w:val="1"/>
          <w:sz w:val="20"/>
        </w:rPr>
        <w:tab/>
      </w:r>
      <w:r>
        <w:rPr>
          <w:color w:val="3D3D3D"/>
          <w:spacing w:val="-10"/>
          <w:w w:val="105"/>
          <w:sz w:val="22"/>
        </w:rPr>
        <w:t>-</w:t>
      </w:r>
      <w:r>
        <w:rPr>
          <w:color w:val="3D3D3D"/>
          <w:sz w:val="22"/>
        </w:rPr>
        <w:tab/>
      </w:r>
      <w:r>
        <w:rPr>
          <w:color w:val="232323"/>
          <w:spacing w:val="-10"/>
          <w:w w:val="105"/>
          <w:sz w:val="22"/>
        </w:rPr>
        <w:t>-</w:t>
      </w:r>
      <w:r>
        <w:rPr>
          <w:color w:val="232323"/>
          <w:sz w:val="22"/>
        </w:rPr>
        <w:tab/>
      </w:r>
      <w:r>
        <w:rPr>
          <w:color w:val="3D3D3D"/>
          <w:spacing w:val="-10"/>
          <w:w w:val="105"/>
          <w:sz w:val="22"/>
        </w:rPr>
        <w:t>-</w:t>
      </w:r>
      <w:r>
        <w:rPr>
          <w:color w:val="3D3D3D"/>
          <w:sz w:val="22"/>
        </w:rPr>
        <w:tab/>
      </w:r>
      <w:r>
        <w:rPr>
          <w:color w:val="030303"/>
          <w:spacing w:val="-2"/>
          <w:w w:val="105"/>
          <w:position w:val="1"/>
          <w:sz w:val="20"/>
        </w:rPr>
        <w:t>(1,099)</w:t>
      </w:r>
    </w:p>
    <w:p>
      <w:pPr>
        <w:pStyle w:val="BodyText"/>
        <w:spacing w:before="5"/>
        <w:rPr>
          <w:sz w:val="12"/>
        </w:rPr>
      </w:pPr>
    </w:p>
    <w:p>
      <w:pPr>
        <w:spacing w:after="0"/>
        <w:rPr>
          <w:sz w:val="12"/>
        </w:rPr>
        <w:sectPr>
          <w:type w:val="continuous"/>
          <w:pgSz w:w="16830" w:h="11910" w:orient="landscape"/>
          <w:pgMar w:top="1940" w:right="480" w:bottom="280" w:left="740" w:header="0" w:footer="0"/>
        </w:sectPr>
      </w:pPr>
    </w:p>
    <w:p>
      <w:pPr>
        <w:tabs>
          <w:tab w:val="left" w:leader="none" w:pos="5158"/>
        </w:tabs>
        <w:spacing w:before="106" w:line="180" w:lineRule="auto"/>
        <w:ind w:left="461" w:right="38" w:firstLine="0"/>
        <w:jc w:val="left"/>
        <w:rPr>
          <w:sz w:val="20"/>
        </w:rPr>
      </w:pPr>
      <w:r>
        <w:rPr>
          <w:color w:val="030303"/>
          <w:w w:val="105"/>
          <w:sz w:val="20"/>
        </w:rPr>
        <w:t>Accumulated depreciation and impairment</w:t>
      </w:r>
      <w:r>
        <w:rPr>
          <w:color w:val="030303"/>
          <w:sz w:val="20"/>
        </w:rPr>
        <w:tab/>
      </w:r>
      <w:r>
        <w:rPr>
          <w:color w:val="030303"/>
          <w:spacing w:val="-2"/>
          <w:w w:val="105"/>
          <w:position w:val="-13"/>
          <w:sz w:val="20"/>
        </w:rPr>
        <w:t>(1,519) </w:t>
      </w:r>
      <w:r>
        <w:rPr>
          <w:color w:val="030303"/>
          <w:w w:val="105"/>
          <w:sz w:val="20"/>
        </w:rPr>
        <w:t>written to Cost or Valuation</w:t>
      </w:r>
    </w:p>
    <w:p>
      <w:pPr>
        <w:tabs>
          <w:tab w:val="left" w:leader="none" w:pos="2049"/>
          <w:tab w:val="left" w:leader="none" w:pos="4952"/>
          <w:tab w:val="left" w:leader="none" w:pos="6145"/>
        </w:tabs>
        <w:spacing w:before="187"/>
        <w:ind w:left="461" w:right="0" w:firstLine="0"/>
        <w:jc w:val="left"/>
        <w:rPr>
          <w:sz w:val="27"/>
        </w:rPr>
      </w:pPr>
      <w:r>
        <w:rPr/>
        <w:br w:type="column"/>
      </w:r>
      <w:r>
        <w:rPr>
          <w:color w:val="3D3D3D"/>
          <w:spacing w:val="-10"/>
          <w:position w:val="1"/>
          <w:sz w:val="22"/>
        </w:rPr>
        <w:t>-</w:t>
      </w:r>
      <w:r>
        <w:rPr>
          <w:color w:val="3D3D3D"/>
          <w:position w:val="1"/>
          <w:sz w:val="22"/>
        </w:rPr>
        <w:tab/>
      </w:r>
      <w:r>
        <w:rPr>
          <w:color w:val="3D3D3D"/>
          <w:spacing w:val="-10"/>
          <w:position w:val="1"/>
          <w:sz w:val="22"/>
        </w:rPr>
        <w:t>-</w:t>
      </w:r>
      <w:r>
        <w:rPr>
          <w:color w:val="3D3D3D"/>
          <w:position w:val="1"/>
          <w:sz w:val="22"/>
        </w:rPr>
        <w:tab/>
      </w:r>
      <w:r>
        <w:rPr>
          <w:color w:val="3D3D3D"/>
          <w:spacing w:val="-10"/>
          <w:sz w:val="27"/>
        </w:rPr>
        <w:t>-</w:t>
      </w:r>
      <w:r>
        <w:rPr>
          <w:color w:val="3D3D3D"/>
          <w:sz w:val="27"/>
        </w:rPr>
        <w:tab/>
      </w:r>
      <w:r>
        <w:rPr>
          <w:color w:val="3D3D3D"/>
          <w:spacing w:val="-10"/>
          <w:sz w:val="27"/>
        </w:rPr>
        <w:t>-</w:t>
      </w:r>
    </w:p>
    <w:p>
      <w:pPr>
        <w:spacing w:before="229"/>
        <w:ind w:left="461" w:right="0" w:firstLine="0"/>
        <w:jc w:val="left"/>
        <w:rPr>
          <w:b/>
          <w:sz w:val="20"/>
        </w:rPr>
      </w:pPr>
      <w:r>
        <w:rPr/>
        <w:br w:type="column"/>
      </w:r>
      <w:r>
        <w:rPr>
          <w:b/>
          <w:color w:val="030303"/>
          <w:spacing w:val="-2"/>
          <w:w w:val="105"/>
          <w:sz w:val="20"/>
        </w:rPr>
        <w:t>(1,519)</w:t>
      </w:r>
    </w:p>
    <w:p>
      <w:pPr>
        <w:spacing w:after="0"/>
        <w:jc w:val="left"/>
        <w:rPr>
          <w:sz w:val="20"/>
        </w:rPr>
        <w:sectPr>
          <w:type w:val="continuous"/>
          <w:pgSz w:w="16830" w:h="11910" w:orient="landscape"/>
          <w:pgMar w:top="1940" w:right="480" w:bottom="280" w:left="740" w:header="0" w:footer="0"/>
          <w:cols w:equalWidth="0" w:num="3">
            <w:col w:w="5860" w:space="738"/>
            <w:col w:w="6267" w:space="126"/>
            <w:col w:w="2619"/>
          </w:cols>
        </w:sectPr>
      </w:pPr>
    </w:p>
    <w:p>
      <w:pPr>
        <w:tabs>
          <w:tab w:val="left" w:leader="none" w:pos="5063"/>
          <w:tab w:val="left" w:leader="none" w:pos="6600"/>
          <w:tab w:val="left" w:leader="none" w:pos="8365"/>
          <w:tab w:val="left" w:leader="none" w:pos="9562"/>
          <w:tab w:val="left" w:leader="none" w:pos="10970"/>
          <w:tab w:val="left" w:leader="none" w:pos="12744"/>
          <w:tab w:val="left" w:leader="none" w:pos="13355"/>
        </w:tabs>
        <w:spacing w:before="144"/>
        <w:ind w:left="462" w:right="0" w:firstLine="0"/>
        <w:jc w:val="left"/>
        <w:rPr>
          <w:b/>
          <w:sz w:val="20"/>
        </w:rPr>
      </w:pPr>
      <w:r>
        <w:rPr/>
        <ve:AlternateContent>
          <ve:Choice Requires="wps">
            <w:drawing>
              <wp:anchor distT="0" distB="0" distL="0" distR="0" simplePos="0" relativeHeight="475899392" behindDoc="1" locked="0" layoutInCell="1" allowOverlap="1">
                <wp:simplePos x="0" y="0"/>
                <wp:positionH relativeFrom="page">
                  <wp:posOffset>3408425</wp:posOffset>
                </wp:positionH>
                <wp:positionV relativeFrom="paragraph">
                  <wp:posOffset>161155</wp:posOffset>
                </wp:positionV>
                <wp:extent cx="6038215" cy="1270"/>
                <wp:effectExtent l="0" t="0" r="0" b="0"/>
                <wp:wrapNone/>
                <wp:docPr id="276" name="Graphic 276"/>
                <wp:cNvGraphicFramePr>
                  <a:graphicFrameLocks/>
                </wp:cNvGraphicFramePr>
                <a:graphic>
                  <a:graphicData uri="http://schemas.microsoft.com/office/word/2010/wordprocessingShape">
                    <wps:wsp>
                      <wps:cNvPr id="276" name="Graphic 276"/>
                      <wps:cNvSpPr/>
                      <wps:spPr>
                        <a:xfrm>
                          <a:off x="0" y="0"/>
                          <a:ext cx="6038215" cy="1270"/>
                        </a:xfrm>
                        <a:custGeom>
                          <a:avLst/>
                          <a:gdLst/>
                          <a:ahLst/>
                          <a:cxnLst/>
                          <a:rect l="l" t="t" r="r" b="b"/>
                          <a:pathLst>
                            <a:path w="6038215" h="0">
                              <a:moveTo>
                                <a:pt x="0" y="0"/>
                              </a:moveTo>
                              <a:lnTo>
                                <a:pt x="6038043"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27417088" stroked="true" strokecolor="#000000" strokeweight=".721232pt" from="268.379944pt,12.689436pt" to="743.816471pt,12.689436pt">
                <v:stroke dashstyle="solid"/>
                <w10:wrap type="none"/>
              </v:line>
            </w:pict>
          </ve:Fallback>
        </ve:AlternateContent>
      </w:r>
      <w:r>
        <w:rPr>
          <w:b/>
          <w:color w:val="030303"/>
          <w:sz w:val="20"/>
        </w:rPr>
        <w:t>At</w:t>
      </w:r>
      <w:r>
        <w:rPr>
          <w:b/>
          <w:color w:val="030303"/>
          <w:spacing w:val="14"/>
          <w:sz w:val="20"/>
        </w:rPr>
        <w:t> </w:t>
      </w:r>
      <w:r>
        <w:rPr>
          <w:b/>
          <w:color w:val="030303"/>
          <w:sz w:val="20"/>
        </w:rPr>
        <w:t>31</w:t>
      </w:r>
      <w:r>
        <w:rPr>
          <w:b/>
          <w:color w:val="030303"/>
          <w:spacing w:val="8"/>
          <w:sz w:val="20"/>
        </w:rPr>
        <w:t> </w:t>
      </w:r>
      <w:r>
        <w:rPr>
          <w:b/>
          <w:color w:val="030303"/>
          <w:sz w:val="20"/>
        </w:rPr>
        <w:t>March</w:t>
      </w:r>
      <w:r>
        <w:rPr>
          <w:b/>
          <w:color w:val="030303"/>
          <w:spacing w:val="30"/>
          <w:sz w:val="20"/>
        </w:rPr>
        <w:t> </w:t>
      </w:r>
      <w:r>
        <w:rPr>
          <w:b/>
          <w:color w:val="030303"/>
          <w:spacing w:val="-4"/>
          <w:sz w:val="20"/>
        </w:rPr>
        <w:t>2022</w:t>
      </w:r>
      <w:r>
        <w:rPr>
          <w:b/>
          <w:color w:val="030303"/>
          <w:sz w:val="20"/>
        </w:rPr>
        <w:tab/>
      </w:r>
      <w:r>
        <w:rPr>
          <w:b/>
          <w:color w:val="030303"/>
          <w:spacing w:val="-2"/>
          <w:sz w:val="20"/>
        </w:rPr>
        <w:t>142,723</w:t>
      </w:r>
      <w:r>
        <w:rPr>
          <w:b/>
          <w:color w:val="030303"/>
          <w:sz w:val="20"/>
        </w:rPr>
        <w:tab/>
      </w:r>
      <w:r>
        <w:rPr>
          <w:b/>
          <w:color w:val="030303"/>
          <w:spacing w:val="-2"/>
          <w:sz w:val="20"/>
        </w:rPr>
        <w:t>6,706</w:t>
      </w:r>
      <w:r>
        <w:rPr>
          <w:b/>
          <w:color w:val="030303"/>
          <w:sz w:val="20"/>
        </w:rPr>
        <w:tab/>
      </w:r>
      <w:r>
        <w:rPr>
          <w:b/>
          <w:color w:val="030303"/>
          <w:spacing w:val="-5"/>
          <w:sz w:val="20"/>
        </w:rPr>
        <w:t>524</w:t>
      </w:r>
      <w:r>
        <w:rPr>
          <w:b/>
          <w:color w:val="030303"/>
          <w:sz w:val="20"/>
        </w:rPr>
        <w:tab/>
      </w:r>
      <w:r>
        <w:rPr>
          <w:b/>
          <w:color w:val="030303"/>
          <w:spacing w:val="-2"/>
          <w:sz w:val="20"/>
        </w:rPr>
        <w:t>2,251</w:t>
      </w:r>
      <w:r>
        <w:rPr>
          <w:b/>
          <w:color w:val="030303"/>
          <w:sz w:val="20"/>
        </w:rPr>
        <w:tab/>
      </w:r>
      <w:r>
        <w:rPr>
          <w:b/>
          <w:color w:val="030303"/>
          <w:spacing w:val="-2"/>
          <w:sz w:val="20"/>
        </w:rPr>
        <w:t>15,235</w:t>
      </w:r>
      <w:r>
        <w:rPr>
          <w:b/>
          <w:color w:val="030303"/>
          <w:sz w:val="20"/>
        </w:rPr>
        <w:tab/>
      </w:r>
      <w:r>
        <w:rPr>
          <w:color w:val="232323"/>
          <w:spacing w:val="-10"/>
          <w:position w:val="-3"/>
          <w:sz w:val="38"/>
        </w:rPr>
        <w:t>-</w:t>
      </w:r>
      <w:r>
        <w:rPr>
          <w:color w:val="232323"/>
          <w:position w:val="-3"/>
          <w:sz w:val="38"/>
        </w:rPr>
        <w:tab/>
      </w:r>
      <w:r>
        <w:rPr>
          <w:b/>
          <w:color w:val="030303"/>
          <w:spacing w:val="-2"/>
          <w:sz w:val="20"/>
        </w:rPr>
        <w:t>167,439</w:t>
      </w:r>
    </w:p>
    <w:p>
      <w:pPr>
        <w:pStyle w:val="BodyText"/>
        <w:spacing w:before="1"/>
        <w:rPr>
          <w:b/>
          <w:sz w:val="12"/>
        </w:rPr>
      </w:pPr>
      <w:r>
        <w:rPr/>
        <ve:AlternateContent>
          <ve:Choice Requires="wps">
            <w:drawing>
              <wp:anchor distT="0" distB="0" distL="0" distR="0" simplePos="0" relativeHeight="487646720" behindDoc="1" locked="0" layoutInCell="1" allowOverlap="1">
                <wp:simplePos x="0" y="0"/>
                <wp:positionH relativeFrom="page">
                  <wp:posOffset>3457291</wp:posOffset>
                </wp:positionH>
                <wp:positionV relativeFrom="paragraph">
                  <wp:posOffset>103497</wp:posOffset>
                </wp:positionV>
                <wp:extent cx="6059805" cy="1270"/>
                <wp:effectExtent l="0" t="0" r="0" b="0"/>
                <wp:wrapTopAndBottom/>
                <wp:docPr id="277" name="Graphic 277"/>
                <wp:cNvGraphicFramePr>
                  <a:graphicFrameLocks/>
                </wp:cNvGraphicFramePr>
                <a:graphic>
                  <a:graphicData uri="http://schemas.microsoft.com/office/word/2010/wordprocessingShape">
                    <wps:wsp>
                      <wps:cNvPr id="277" name="Graphic 277"/>
                      <wps:cNvSpPr/>
                      <wps:spPr>
                        <a:xfrm>
                          <a:off x="0" y="0"/>
                          <a:ext cx="6059805" cy="1270"/>
                        </a:xfrm>
                        <a:custGeom>
                          <a:avLst/>
                          <a:gdLst/>
                          <a:ahLst/>
                          <a:cxnLst/>
                          <a:rect l="l" t="t" r="r" b="b"/>
                          <a:pathLst>
                            <a:path w="6059805" h="0">
                              <a:moveTo>
                                <a:pt x="0" y="0"/>
                              </a:moveTo>
                              <a:lnTo>
                                <a:pt x="6059422"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177" style="position:absolute;margin-left:272.227692pt;margin-top:8.149414pt;width:477.15pt;height:.1pt;mso-position-horizontal-relative:page;mso-position-vertical-relative:paragraph;z-index:-15669760;mso-wrap-distance-left:0;mso-wrap-distance-right:0" coordsize="9543,0" coordorigin="5445,163" filled="false" stroked="true" strokecolor="#000000" strokeweight=".721232pt" path="m5445,163l14987,163e">
                <v:path arrowok="t"/>
                <v:stroke dashstyle="solid"/>
                <w10:wrap type="topAndBottom"/>
              </v:shape>
            </w:pict>
          </ve:Fallback>
        </ve:AlternateContent>
      </w:r>
    </w:p>
    <w:p>
      <w:pPr>
        <w:spacing w:after="0"/>
        <w:rPr>
          <w:sz w:val="12"/>
        </w:rPr>
        <w:sectPr>
          <w:type w:val="continuous"/>
          <w:pgSz w:w="16830" w:h="11910" w:orient="landscape"/>
          <w:pgMar w:top="1940" w:right="480" w:bottom="280" w:left="740" w:header="0" w:footer="0"/>
        </w:sectPr>
      </w:pPr>
    </w:p>
    <w:p>
      <w:pPr>
        <w:tabs>
          <w:tab w:val="left" w:leader="none" w:pos="6069"/>
          <w:tab w:val="left" w:leader="none" w:pos="10562"/>
          <w:tab w:val="left" w:leader="none" w:pos="13081"/>
        </w:tabs>
        <w:spacing w:before="0" w:line="270" w:lineRule="exact"/>
        <w:ind w:left="4992" w:right="0" w:firstLine="0"/>
        <w:jc w:val="left"/>
        <w:rPr>
          <w:sz w:val="21"/>
        </w:rPr>
      </w:pPr>
      <w:r>
        <w:rPr>
          <w:color w:val="030303"/>
          <w:spacing w:val="-2"/>
          <w:w w:val="105"/>
          <w:sz w:val="21"/>
        </w:rPr>
        <w:t>Other</w:t>
      </w:r>
      <w:r>
        <w:rPr>
          <w:color w:val="030303"/>
          <w:sz w:val="21"/>
        </w:rPr>
        <w:tab/>
      </w:r>
      <w:r>
        <w:rPr>
          <w:color w:val="030303"/>
          <w:spacing w:val="-2"/>
          <w:w w:val="105"/>
          <w:sz w:val="21"/>
        </w:rPr>
        <w:t>Vehicles,</w:t>
      </w:r>
      <w:r>
        <w:rPr>
          <w:color w:val="030303"/>
          <w:sz w:val="21"/>
        </w:rPr>
        <w:tab/>
      </w:r>
      <w:r>
        <w:rPr>
          <w:b/>
          <w:color w:val="030303"/>
          <w:spacing w:val="-2"/>
          <w:w w:val="105"/>
          <w:position w:val="-1"/>
          <w:sz w:val="20"/>
        </w:rPr>
        <w:t>Assets</w:t>
      </w:r>
      <w:r>
        <w:rPr>
          <w:b/>
          <w:color w:val="030303"/>
          <w:position w:val="-1"/>
          <w:sz w:val="20"/>
        </w:rPr>
        <w:tab/>
      </w:r>
      <w:r>
        <w:rPr>
          <w:color w:val="030303"/>
          <w:spacing w:val="-2"/>
          <w:w w:val="105"/>
          <w:position w:val="-2"/>
          <w:sz w:val="21"/>
        </w:rPr>
        <w:t>Property</w:t>
      </w:r>
    </w:p>
    <w:tbl>
      <w:tblPr>
        <w:tblW w:w="0" w:type="auto"/>
        <w:jc w:val="left"/>
        <w:tblInd w:w="3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558"/>
        <w:gridCol w:w="1961"/>
        <w:gridCol w:w="1301"/>
        <w:gridCol w:w="1595"/>
        <w:gridCol w:w="1371"/>
        <w:gridCol w:w="1584"/>
        <w:gridCol w:w="1146"/>
        <w:gridCol w:w="1245"/>
      </w:tblGrid>
      <w:tr>
        <w:trPr>
          <w:trHeight w:val="510" w:hRule="atLeast"/>
        </w:trPr>
        <w:tc>
          <w:tcPr>
            <w:tcW w:w="3558" w:type="dxa"/>
          </w:tcPr>
          <w:p>
            <w:pPr>
              <w:pStyle w:val="TableParagraph"/>
              <w:rPr>
                <w:rFonts w:ascii="Times New Roman"/>
                <w:sz w:val="20"/>
              </w:rPr>
            </w:pPr>
          </w:p>
        </w:tc>
        <w:tc>
          <w:tcPr>
            <w:tcW w:w="1961" w:type="dxa"/>
          </w:tcPr>
          <w:p>
            <w:pPr>
              <w:pStyle w:val="TableParagraph"/>
              <w:spacing w:line="205" w:lineRule="exact"/>
              <w:ind w:left="761"/>
              <w:jc w:val="center"/>
              <w:rPr>
                <w:sz w:val="21"/>
              </w:rPr>
            </w:pPr>
            <w:r>
              <w:rPr>
                <w:color w:val="030303"/>
                <w:w w:val="105"/>
                <w:sz w:val="21"/>
              </w:rPr>
              <w:t>Land</w:t>
            </w:r>
            <w:r>
              <w:rPr>
                <w:color w:val="030303"/>
                <w:spacing w:val="4"/>
                <w:w w:val="110"/>
                <w:sz w:val="21"/>
              </w:rPr>
              <w:t> </w:t>
            </w:r>
            <w:r>
              <w:rPr>
                <w:color w:val="030303"/>
                <w:spacing w:val="-10"/>
                <w:w w:val="110"/>
                <w:sz w:val="21"/>
              </w:rPr>
              <w:t>&amp;</w:t>
            </w:r>
          </w:p>
          <w:p>
            <w:pPr>
              <w:pStyle w:val="TableParagraph"/>
              <w:spacing w:line="241" w:lineRule="exact"/>
              <w:ind w:left="761" w:right="11"/>
              <w:jc w:val="center"/>
              <w:rPr>
                <w:sz w:val="21"/>
              </w:rPr>
            </w:pPr>
            <w:r>
              <w:rPr>
                <w:color w:val="030303"/>
                <w:spacing w:val="-2"/>
                <w:w w:val="110"/>
                <w:sz w:val="21"/>
              </w:rPr>
              <w:t>Buildings</w:t>
            </w:r>
          </w:p>
        </w:tc>
        <w:tc>
          <w:tcPr>
            <w:tcW w:w="1301" w:type="dxa"/>
          </w:tcPr>
          <w:p>
            <w:pPr>
              <w:pStyle w:val="TableParagraph"/>
              <w:spacing w:line="210" w:lineRule="exact"/>
              <w:ind w:left="8" w:right="7"/>
              <w:jc w:val="center"/>
              <w:rPr>
                <w:sz w:val="21"/>
              </w:rPr>
            </w:pPr>
            <w:r>
              <w:rPr>
                <w:color w:val="030303"/>
                <w:spacing w:val="-2"/>
                <w:w w:val="120"/>
                <w:sz w:val="21"/>
              </w:rPr>
              <w:t>Plant&amp;</w:t>
            </w:r>
          </w:p>
          <w:p>
            <w:pPr>
              <w:pStyle w:val="TableParagraph"/>
              <w:spacing w:line="241" w:lineRule="exact"/>
              <w:ind w:left="1" w:right="8"/>
              <w:jc w:val="center"/>
              <w:rPr>
                <w:sz w:val="21"/>
              </w:rPr>
            </w:pPr>
            <w:r>
              <w:rPr>
                <w:color w:val="030303"/>
                <w:spacing w:val="-2"/>
                <w:w w:val="110"/>
                <w:sz w:val="21"/>
              </w:rPr>
              <w:t>Equipment</w:t>
            </w:r>
          </w:p>
        </w:tc>
        <w:tc>
          <w:tcPr>
            <w:tcW w:w="1595" w:type="dxa"/>
          </w:tcPr>
          <w:p>
            <w:pPr>
              <w:pStyle w:val="TableParagraph"/>
              <w:spacing w:line="215" w:lineRule="exact"/>
              <w:ind w:left="6" w:right="7"/>
              <w:jc w:val="center"/>
              <w:rPr>
                <w:sz w:val="21"/>
              </w:rPr>
            </w:pPr>
            <w:r>
              <w:rPr>
                <w:color w:val="030303"/>
                <w:spacing w:val="-2"/>
                <w:w w:val="110"/>
                <w:sz w:val="21"/>
              </w:rPr>
              <w:t>Infrastructure</w:t>
            </w:r>
          </w:p>
          <w:p>
            <w:pPr>
              <w:pStyle w:val="TableParagraph"/>
              <w:spacing w:before="8"/>
              <w:ind w:left="4" w:right="11"/>
              <w:jc w:val="center"/>
              <w:rPr>
                <w:b/>
                <w:sz w:val="20"/>
              </w:rPr>
            </w:pPr>
            <w:r>
              <w:rPr>
                <w:b/>
                <w:color w:val="030303"/>
                <w:spacing w:val="-2"/>
                <w:w w:val="105"/>
                <w:sz w:val="20"/>
              </w:rPr>
              <w:t>Assets</w:t>
            </w:r>
          </w:p>
        </w:tc>
        <w:tc>
          <w:tcPr>
            <w:tcW w:w="1371" w:type="dxa"/>
          </w:tcPr>
          <w:p>
            <w:pPr>
              <w:pStyle w:val="TableParagraph"/>
              <w:spacing w:line="220" w:lineRule="exact"/>
              <w:ind w:left="36" w:right="58"/>
              <w:jc w:val="center"/>
              <w:rPr>
                <w:sz w:val="21"/>
              </w:rPr>
            </w:pPr>
            <w:r>
              <w:rPr>
                <w:color w:val="030303"/>
                <w:spacing w:val="-2"/>
                <w:w w:val="105"/>
                <w:sz w:val="21"/>
              </w:rPr>
              <w:t>Community</w:t>
            </w:r>
          </w:p>
          <w:p>
            <w:pPr>
              <w:pStyle w:val="TableParagraph"/>
              <w:spacing w:before="13"/>
              <w:ind w:left="47" w:right="58"/>
              <w:jc w:val="center"/>
              <w:rPr>
                <w:b/>
                <w:sz w:val="20"/>
              </w:rPr>
            </w:pPr>
            <w:r>
              <w:rPr>
                <w:b/>
                <w:color w:val="030303"/>
                <w:spacing w:val="-2"/>
                <w:w w:val="105"/>
                <w:sz w:val="20"/>
              </w:rPr>
              <w:t>Assets</w:t>
            </w:r>
          </w:p>
        </w:tc>
        <w:tc>
          <w:tcPr>
            <w:tcW w:w="1584" w:type="dxa"/>
          </w:tcPr>
          <w:p>
            <w:pPr>
              <w:pStyle w:val="TableParagraph"/>
              <w:ind w:left="103" w:firstLine="349"/>
              <w:rPr>
                <w:sz w:val="21"/>
              </w:rPr>
            </w:pPr>
            <w:r>
              <w:rPr>
                <w:color w:val="030303"/>
                <w:spacing w:val="-2"/>
                <w:w w:val="110"/>
                <w:sz w:val="21"/>
              </w:rPr>
              <w:t>Under Construction</w:t>
            </w:r>
          </w:p>
        </w:tc>
        <w:tc>
          <w:tcPr>
            <w:tcW w:w="1146" w:type="dxa"/>
          </w:tcPr>
          <w:p>
            <w:pPr>
              <w:pStyle w:val="TableParagraph"/>
              <w:spacing w:line="234" w:lineRule="exact"/>
              <w:ind w:left="146"/>
              <w:rPr>
                <w:sz w:val="21"/>
              </w:rPr>
            </w:pPr>
            <w:r>
              <w:rPr>
                <w:color w:val="030303"/>
                <w:spacing w:val="-2"/>
                <w:w w:val="110"/>
                <w:sz w:val="21"/>
              </w:rPr>
              <w:t>Surplus</w:t>
            </w:r>
          </w:p>
          <w:p>
            <w:pPr>
              <w:pStyle w:val="TableParagraph"/>
              <w:spacing w:before="8"/>
              <w:ind w:left="199"/>
              <w:rPr>
                <w:b/>
                <w:sz w:val="20"/>
              </w:rPr>
            </w:pPr>
            <w:r>
              <w:rPr>
                <w:b/>
                <w:color w:val="030303"/>
                <w:spacing w:val="-2"/>
                <w:w w:val="105"/>
                <w:sz w:val="20"/>
              </w:rPr>
              <w:t>Assets</w:t>
            </w:r>
          </w:p>
        </w:tc>
        <w:tc>
          <w:tcPr>
            <w:tcW w:w="1245" w:type="dxa"/>
          </w:tcPr>
          <w:p>
            <w:pPr>
              <w:pStyle w:val="TableParagraph"/>
              <w:spacing w:line="239" w:lineRule="exact"/>
              <w:ind w:left="167"/>
              <w:rPr>
                <w:sz w:val="21"/>
              </w:rPr>
            </w:pPr>
            <w:r>
              <w:rPr>
                <w:color w:val="030303"/>
                <w:w w:val="105"/>
                <w:sz w:val="21"/>
              </w:rPr>
              <w:t>Plant</w:t>
            </w:r>
            <w:r>
              <w:rPr>
                <w:color w:val="030303"/>
                <w:spacing w:val="4"/>
                <w:w w:val="110"/>
                <w:sz w:val="21"/>
              </w:rPr>
              <w:t> </w:t>
            </w:r>
            <w:r>
              <w:rPr>
                <w:color w:val="030303"/>
                <w:spacing w:val="-5"/>
                <w:w w:val="110"/>
                <w:sz w:val="21"/>
              </w:rPr>
              <w:t>and</w:t>
            </w:r>
          </w:p>
          <w:p>
            <w:pPr>
              <w:pStyle w:val="TableParagraph"/>
              <w:spacing w:before="8"/>
              <w:ind w:left="101"/>
              <w:rPr>
                <w:b/>
                <w:sz w:val="20"/>
              </w:rPr>
            </w:pPr>
            <w:r>
              <w:rPr>
                <w:b/>
                <w:color w:val="030303"/>
                <w:spacing w:val="-2"/>
                <w:w w:val="105"/>
                <w:sz w:val="20"/>
              </w:rPr>
              <w:t>Equipment</w:t>
            </w:r>
          </w:p>
        </w:tc>
      </w:tr>
      <w:tr>
        <w:trPr>
          <w:trHeight w:val="444" w:hRule="atLeast"/>
        </w:trPr>
        <w:tc>
          <w:tcPr>
            <w:tcW w:w="3558" w:type="dxa"/>
          </w:tcPr>
          <w:p>
            <w:pPr>
              <w:pStyle w:val="TableParagraph"/>
              <w:spacing w:before="203" w:line="212" w:lineRule="exact"/>
              <w:ind w:left="50"/>
              <w:rPr>
                <w:b/>
                <w:sz w:val="20"/>
              </w:rPr>
            </w:pPr>
            <w:r>
              <w:rPr>
                <w:b/>
                <w:color w:val="030303"/>
                <w:spacing w:val="-2"/>
                <w:w w:val="105"/>
                <w:sz w:val="20"/>
              </w:rPr>
              <w:t>Accumulated</w:t>
            </w:r>
            <w:r>
              <w:rPr>
                <w:b/>
                <w:color w:val="030303"/>
                <w:spacing w:val="4"/>
                <w:w w:val="105"/>
                <w:sz w:val="20"/>
              </w:rPr>
              <w:t> </w:t>
            </w:r>
            <w:r>
              <w:rPr>
                <w:b/>
                <w:color w:val="030303"/>
                <w:spacing w:val="-2"/>
                <w:w w:val="105"/>
                <w:sz w:val="20"/>
              </w:rPr>
              <w:t>Depreciation</w:t>
            </w:r>
          </w:p>
        </w:tc>
        <w:tc>
          <w:tcPr>
            <w:tcW w:w="1961" w:type="dxa"/>
          </w:tcPr>
          <w:p>
            <w:pPr>
              <w:pStyle w:val="TableParagraph"/>
              <w:spacing w:line="198" w:lineRule="exact"/>
              <w:ind w:left="1127"/>
              <w:rPr>
                <w:b/>
                <w:sz w:val="20"/>
              </w:rPr>
            </w:pPr>
            <w:r>
              <w:rPr>
                <w:b/>
                <w:color w:val="030303"/>
                <w:spacing w:val="-4"/>
                <w:w w:val="105"/>
                <w:sz w:val="20"/>
              </w:rPr>
              <w:t>£000</w:t>
            </w:r>
          </w:p>
        </w:tc>
        <w:tc>
          <w:tcPr>
            <w:tcW w:w="1301" w:type="dxa"/>
          </w:tcPr>
          <w:p>
            <w:pPr>
              <w:pStyle w:val="TableParagraph"/>
              <w:spacing w:line="203" w:lineRule="exact"/>
              <w:ind w:left="421"/>
              <w:rPr>
                <w:b/>
                <w:sz w:val="20"/>
              </w:rPr>
            </w:pPr>
            <w:r>
              <w:rPr>
                <w:b/>
                <w:color w:val="030303"/>
                <w:spacing w:val="-4"/>
                <w:w w:val="105"/>
                <w:sz w:val="20"/>
              </w:rPr>
              <w:t>£000</w:t>
            </w:r>
          </w:p>
        </w:tc>
        <w:tc>
          <w:tcPr>
            <w:tcW w:w="1595" w:type="dxa"/>
          </w:tcPr>
          <w:p>
            <w:pPr>
              <w:pStyle w:val="TableParagraph"/>
              <w:spacing w:line="212" w:lineRule="exact"/>
              <w:ind w:left="11" w:right="7"/>
              <w:jc w:val="center"/>
              <w:rPr>
                <w:b/>
                <w:sz w:val="20"/>
              </w:rPr>
            </w:pPr>
            <w:r>
              <w:rPr>
                <w:b/>
                <w:color w:val="030303"/>
                <w:spacing w:val="-4"/>
                <w:w w:val="105"/>
                <w:sz w:val="20"/>
              </w:rPr>
              <w:t>£000</w:t>
            </w:r>
          </w:p>
        </w:tc>
        <w:tc>
          <w:tcPr>
            <w:tcW w:w="1371" w:type="dxa"/>
          </w:tcPr>
          <w:p>
            <w:pPr>
              <w:pStyle w:val="TableParagraph"/>
              <w:spacing w:line="217" w:lineRule="exact"/>
              <w:ind w:left="449"/>
              <w:rPr>
                <w:b/>
                <w:sz w:val="20"/>
              </w:rPr>
            </w:pPr>
            <w:r>
              <w:rPr>
                <w:b/>
                <w:color w:val="030303"/>
                <w:spacing w:val="-4"/>
                <w:w w:val="105"/>
                <w:sz w:val="20"/>
              </w:rPr>
              <w:t>£000</w:t>
            </w:r>
          </w:p>
        </w:tc>
        <w:tc>
          <w:tcPr>
            <w:tcW w:w="1584" w:type="dxa"/>
          </w:tcPr>
          <w:p>
            <w:pPr>
              <w:pStyle w:val="TableParagraph"/>
              <w:spacing w:line="227" w:lineRule="exact"/>
              <w:ind w:right="51"/>
              <w:jc w:val="center"/>
              <w:rPr>
                <w:b/>
                <w:sz w:val="20"/>
              </w:rPr>
            </w:pPr>
            <w:r>
              <w:rPr>
                <w:b/>
                <w:color w:val="030303"/>
                <w:spacing w:val="-4"/>
                <w:w w:val="105"/>
                <w:sz w:val="20"/>
              </w:rPr>
              <w:t>£000</w:t>
            </w:r>
          </w:p>
        </w:tc>
        <w:tc>
          <w:tcPr>
            <w:tcW w:w="1146" w:type="dxa"/>
          </w:tcPr>
          <w:p>
            <w:pPr>
              <w:pStyle w:val="TableParagraph"/>
              <w:spacing w:before="1"/>
              <w:ind w:left="308"/>
              <w:rPr>
                <w:b/>
                <w:sz w:val="20"/>
              </w:rPr>
            </w:pPr>
            <w:r>
              <w:rPr>
                <w:b/>
                <w:color w:val="030303"/>
                <w:spacing w:val="-4"/>
                <w:w w:val="105"/>
                <w:sz w:val="20"/>
              </w:rPr>
              <w:t>£000</w:t>
            </w:r>
          </w:p>
        </w:tc>
        <w:tc>
          <w:tcPr>
            <w:tcW w:w="1245" w:type="dxa"/>
          </w:tcPr>
          <w:p>
            <w:pPr>
              <w:pStyle w:val="TableParagraph"/>
              <w:spacing w:before="6"/>
              <w:ind w:left="413"/>
              <w:rPr>
                <w:b/>
                <w:sz w:val="20"/>
              </w:rPr>
            </w:pPr>
            <w:r>
              <w:rPr>
                <w:b/>
                <w:color w:val="030303"/>
                <w:spacing w:val="-4"/>
                <w:w w:val="105"/>
                <w:sz w:val="20"/>
              </w:rPr>
              <w:t>£000</w:t>
            </w:r>
          </w:p>
        </w:tc>
      </w:tr>
      <w:tr>
        <w:trPr>
          <w:trHeight w:val="616" w:hRule="atLeast"/>
        </w:trPr>
        <w:tc>
          <w:tcPr>
            <w:tcW w:w="3558" w:type="dxa"/>
          </w:tcPr>
          <w:p>
            <w:pPr>
              <w:pStyle w:val="TableParagraph"/>
              <w:spacing w:before="23"/>
              <w:ind w:left="54"/>
              <w:rPr>
                <w:b/>
                <w:sz w:val="20"/>
              </w:rPr>
            </w:pPr>
            <w:r>
              <w:rPr>
                <w:b/>
                <w:color w:val="030303"/>
                <w:w w:val="105"/>
                <w:sz w:val="20"/>
              </w:rPr>
              <w:t>At</w:t>
            </w:r>
            <w:r>
              <w:rPr>
                <w:b/>
                <w:color w:val="030303"/>
                <w:spacing w:val="-11"/>
                <w:w w:val="105"/>
                <w:sz w:val="20"/>
              </w:rPr>
              <w:t> </w:t>
            </w:r>
            <w:r>
              <w:rPr>
                <w:b/>
                <w:color w:val="030303"/>
                <w:w w:val="105"/>
                <w:sz w:val="20"/>
              </w:rPr>
              <w:t>1</w:t>
            </w:r>
            <w:r>
              <w:rPr>
                <w:b/>
                <w:color w:val="030303"/>
                <w:spacing w:val="-2"/>
                <w:w w:val="105"/>
                <w:sz w:val="20"/>
              </w:rPr>
              <w:t> </w:t>
            </w:r>
            <w:r>
              <w:rPr>
                <w:b/>
                <w:color w:val="030303"/>
                <w:w w:val="105"/>
                <w:sz w:val="20"/>
              </w:rPr>
              <w:t>April </w:t>
            </w:r>
            <w:r>
              <w:rPr>
                <w:b/>
                <w:color w:val="030303"/>
                <w:spacing w:val="-4"/>
                <w:w w:val="105"/>
                <w:sz w:val="20"/>
              </w:rPr>
              <w:t>2021</w:t>
            </w:r>
          </w:p>
          <w:p>
            <w:pPr>
              <w:pStyle w:val="TableParagraph"/>
              <w:spacing w:before="39"/>
              <w:ind w:left="53"/>
              <w:rPr>
                <w:sz w:val="20"/>
              </w:rPr>
            </w:pPr>
            <w:r>
              <w:rPr>
                <w:color w:val="030303"/>
                <w:spacing w:val="-2"/>
                <w:w w:val="105"/>
                <w:sz w:val="20"/>
              </w:rPr>
              <w:t>Depreciation</w:t>
            </w:r>
          </w:p>
        </w:tc>
        <w:tc>
          <w:tcPr>
            <w:tcW w:w="1961" w:type="dxa"/>
          </w:tcPr>
          <w:p>
            <w:pPr>
              <w:pStyle w:val="TableParagraph"/>
              <w:spacing w:before="37"/>
              <w:ind w:right="99"/>
              <w:jc w:val="right"/>
              <w:rPr>
                <w:b/>
                <w:sz w:val="20"/>
              </w:rPr>
            </w:pPr>
            <w:r>
              <w:rPr>
                <w:b/>
                <w:color w:val="030303"/>
                <w:spacing w:val="-2"/>
                <w:w w:val="105"/>
                <w:sz w:val="20"/>
              </w:rPr>
              <w:t>(370)</w:t>
            </w:r>
          </w:p>
          <w:p>
            <w:pPr>
              <w:pStyle w:val="TableParagraph"/>
              <w:spacing w:before="39"/>
              <w:ind w:right="105"/>
              <w:jc w:val="right"/>
              <w:rPr>
                <w:sz w:val="20"/>
              </w:rPr>
            </w:pPr>
            <w:r>
              <w:rPr>
                <w:color w:val="030303"/>
                <w:spacing w:val="-2"/>
                <w:w w:val="105"/>
                <w:sz w:val="20"/>
              </w:rPr>
              <w:t>(1,888)</w:t>
            </w:r>
          </w:p>
        </w:tc>
        <w:tc>
          <w:tcPr>
            <w:tcW w:w="1301" w:type="dxa"/>
          </w:tcPr>
          <w:p>
            <w:pPr>
              <w:pStyle w:val="TableParagraph"/>
              <w:spacing w:before="37"/>
              <w:ind w:right="99"/>
              <w:jc w:val="right"/>
              <w:rPr>
                <w:b/>
                <w:sz w:val="20"/>
              </w:rPr>
            </w:pPr>
            <w:r>
              <w:rPr>
                <w:b/>
                <w:color w:val="030303"/>
                <w:spacing w:val="-2"/>
                <w:w w:val="105"/>
                <w:sz w:val="20"/>
              </w:rPr>
              <w:t>(4,019)</w:t>
            </w:r>
          </w:p>
          <w:p>
            <w:pPr>
              <w:pStyle w:val="TableParagraph"/>
              <w:spacing w:before="44"/>
              <w:ind w:right="98"/>
              <w:jc w:val="right"/>
              <w:rPr>
                <w:sz w:val="20"/>
              </w:rPr>
            </w:pPr>
            <w:r>
              <w:rPr>
                <w:color w:val="030303"/>
                <w:spacing w:val="-2"/>
                <w:w w:val="105"/>
                <w:sz w:val="20"/>
              </w:rPr>
              <w:t>(345)</w:t>
            </w:r>
          </w:p>
        </w:tc>
        <w:tc>
          <w:tcPr>
            <w:tcW w:w="1595" w:type="dxa"/>
          </w:tcPr>
          <w:p>
            <w:pPr>
              <w:pStyle w:val="TableParagraph"/>
              <w:spacing w:before="47"/>
              <w:ind w:right="100"/>
              <w:jc w:val="right"/>
              <w:rPr>
                <w:b/>
                <w:sz w:val="20"/>
              </w:rPr>
            </w:pPr>
            <w:r>
              <w:rPr>
                <w:b/>
                <w:color w:val="030303"/>
                <w:spacing w:val="-2"/>
                <w:w w:val="105"/>
                <w:sz w:val="20"/>
              </w:rPr>
              <w:t>(184)</w:t>
            </w:r>
          </w:p>
          <w:p>
            <w:pPr>
              <w:pStyle w:val="TableParagraph"/>
              <w:spacing w:before="39"/>
              <w:ind w:right="105"/>
              <w:jc w:val="right"/>
              <w:rPr>
                <w:sz w:val="20"/>
              </w:rPr>
            </w:pPr>
            <w:r>
              <w:rPr>
                <w:color w:val="030303"/>
                <w:spacing w:val="-5"/>
                <w:w w:val="105"/>
                <w:sz w:val="20"/>
              </w:rPr>
              <w:t>(3)</w:t>
            </w:r>
          </w:p>
        </w:tc>
        <w:tc>
          <w:tcPr>
            <w:tcW w:w="1371" w:type="dxa"/>
          </w:tcPr>
          <w:p>
            <w:pPr>
              <w:pStyle w:val="TableParagraph"/>
              <w:spacing w:before="52"/>
              <w:ind w:right="100"/>
              <w:jc w:val="right"/>
              <w:rPr>
                <w:b/>
                <w:sz w:val="20"/>
              </w:rPr>
            </w:pPr>
            <w:r>
              <w:rPr>
                <w:b/>
                <w:color w:val="030303"/>
                <w:spacing w:val="-2"/>
                <w:w w:val="105"/>
                <w:sz w:val="20"/>
              </w:rPr>
              <w:t>(337)</w:t>
            </w:r>
          </w:p>
          <w:p>
            <w:pPr>
              <w:pStyle w:val="TableParagraph"/>
              <w:spacing w:before="39"/>
              <w:ind w:right="103"/>
              <w:jc w:val="right"/>
              <w:rPr>
                <w:sz w:val="20"/>
              </w:rPr>
            </w:pPr>
            <w:r>
              <w:rPr>
                <w:color w:val="1A1A1A"/>
                <w:spacing w:val="-4"/>
                <w:w w:val="105"/>
                <w:sz w:val="20"/>
              </w:rPr>
              <w:t>(46)</w:t>
            </w:r>
          </w:p>
        </w:tc>
        <w:tc>
          <w:tcPr>
            <w:tcW w:w="1584" w:type="dxa"/>
          </w:tcPr>
          <w:p>
            <w:pPr>
              <w:pStyle w:val="TableParagraph"/>
              <w:spacing w:line="336" w:lineRule="exact"/>
              <w:ind w:left="1364"/>
              <w:rPr>
                <w:sz w:val="32"/>
              </w:rPr>
            </w:pPr>
            <w:r>
              <w:rPr>
                <w:color w:val="1A1A1A"/>
                <w:spacing w:val="-10"/>
                <w:w w:val="80"/>
                <w:sz w:val="32"/>
              </w:rPr>
              <w:t>-</w:t>
            </w:r>
          </w:p>
          <w:p>
            <w:pPr>
              <w:pStyle w:val="TableParagraph"/>
              <w:spacing w:line="232" w:lineRule="exact"/>
              <w:ind w:left="1358"/>
              <w:rPr>
                <w:sz w:val="21"/>
              </w:rPr>
            </w:pPr>
            <w:r>
              <w:rPr>
                <w:color w:val="4D4D4D"/>
                <w:spacing w:val="-10"/>
                <w:w w:val="105"/>
                <w:sz w:val="21"/>
              </w:rPr>
              <w:t>-</w:t>
            </w:r>
          </w:p>
        </w:tc>
        <w:tc>
          <w:tcPr>
            <w:tcW w:w="1146" w:type="dxa"/>
          </w:tcPr>
          <w:p>
            <w:pPr>
              <w:pStyle w:val="TableParagraph"/>
              <w:spacing w:line="362" w:lineRule="exact"/>
              <w:ind w:left="971"/>
              <w:rPr>
                <w:sz w:val="38"/>
              </w:rPr>
            </w:pPr>
            <w:r>
              <w:rPr>
                <w:color w:val="1A1A1A"/>
                <w:spacing w:val="-10"/>
                <w:w w:val="70"/>
                <w:sz w:val="38"/>
              </w:rPr>
              <w:t>-</w:t>
            </w:r>
          </w:p>
          <w:p>
            <w:pPr>
              <w:pStyle w:val="TableParagraph"/>
              <w:spacing w:line="225" w:lineRule="exact"/>
              <w:ind w:left="971"/>
              <w:rPr>
                <w:sz w:val="21"/>
              </w:rPr>
            </w:pPr>
            <w:r>
              <w:rPr>
                <w:color w:val="2F2F2F"/>
                <w:spacing w:val="-10"/>
                <w:w w:val="105"/>
                <w:sz w:val="21"/>
              </w:rPr>
              <w:t>-</w:t>
            </w:r>
          </w:p>
        </w:tc>
        <w:tc>
          <w:tcPr>
            <w:tcW w:w="1245" w:type="dxa"/>
          </w:tcPr>
          <w:p>
            <w:pPr>
              <w:pStyle w:val="TableParagraph"/>
              <w:spacing w:before="66"/>
              <w:ind w:left="528"/>
              <w:rPr>
                <w:b/>
                <w:sz w:val="20"/>
              </w:rPr>
            </w:pPr>
            <w:r>
              <w:rPr>
                <w:b/>
                <w:color w:val="030303"/>
                <w:spacing w:val="-2"/>
                <w:w w:val="105"/>
                <w:sz w:val="20"/>
              </w:rPr>
              <w:t>(4,910)</w:t>
            </w:r>
          </w:p>
          <w:p>
            <w:pPr>
              <w:pStyle w:val="TableParagraph"/>
              <w:spacing w:before="39"/>
              <w:ind w:left="528"/>
              <w:rPr>
                <w:b/>
                <w:sz w:val="20"/>
              </w:rPr>
            </w:pPr>
            <w:r>
              <w:rPr>
                <w:b/>
                <w:color w:val="030303"/>
                <w:spacing w:val="-2"/>
                <w:w w:val="105"/>
                <w:sz w:val="20"/>
              </w:rPr>
              <w:t>(2,282)</w:t>
            </w:r>
          </w:p>
        </w:tc>
      </w:tr>
    </w:tbl>
    <w:p>
      <w:pPr>
        <w:spacing w:before="168" w:line="252" w:lineRule="auto"/>
        <w:ind w:left="420" w:right="11204" w:hanging="1"/>
        <w:jc w:val="left"/>
        <w:rPr>
          <w:sz w:val="20"/>
        </w:rPr>
      </w:pPr>
      <w:r>
        <w:rPr>
          <w:color w:val="030303"/>
          <w:w w:val="105"/>
          <w:sz w:val="20"/>
        </w:rPr>
        <w:t>Impairment</w:t>
      </w:r>
      <w:r>
        <w:rPr>
          <w:color w:val="030303"/>
          <w:spacing w:val="-10"/>
          <w:w w:val="105"/>
          <w:sz w:val="20"/>
        </w:rPr>
        <w:t> </w:t>
      </w:r>
      <w:r>
        <w:rPr>
          <w:color w:val="030303"/>
          <w:w w:val="105"/>
          <w:sz w:val="20"/>
        </w:rPr>
        <w:t>Losses/(Reversals)</w:t>
      </w:r>
      <w:r>
        <w:rPr>
          <w:color w:val="030303"/>
          <w:spacing w:val="-15"/>
          <w:w w:val="105"/>
          <w:sz w:val="20"/>
        </w:rPr>
        <w:t> </w:t>
      </w:r>
      <w:r>
        <w:rPr>
          <w:color w:val="030303"/>
          <w:w w:val="105"/>
          <w:sz w:val="20"/>
        </w:rPr>
        <w:t>recognised in the Revaluation Reserve</w:t>
      </w:r>
    </w:p>
    <w:p>
      <w:pPr>
        <w:spacing w:before="0" w:line="252" w:lineRule="auto"/>
        <w:ind w:left="424" w:right="11204" w:hanging="5"/>
        <w:jc w:val="left"/>
        <w:rPr>
          <w:sz w:val="20"/>
        </w:rPr>
      </w:pPr>
      <w:r>
        <w:rPr>
          <w:color w:val="030303"/>
          <w:w w:val="105"/>
          <w:sz w:val="20"/>
        </w:rPr>
        <w:t>Impairment</w:t>
      </w:r>
      <w:r>
        <w:rPr>
          <w:color w:val="030303"/>
          <w:spacing w:val="-10"/>
          <w:w w:val="105"/>
          <w:sz w:val="20"/>
        </w:rPr>
        <w:t> </w:t>
      </w:r>
      <w:r>
        <w:rPr>
          <w:color w:val="030303"/>
          <w:w w:val="105"/>
          <w:sz w:val="20"/>
        </w:rPr>
        <w:t>Losses/(Reversals)</w:t>
      </w:r>
      <w:r>
        <w:rPr>
          <w:color w:val="030303"/>
          <w:spacing w:val="-15"/>
          <w:w w:val="105"/>
          <w:sz w:val="20"/>
        </w:rPr>
        <w:t> </w:t>
      </w:r>
      <w:r>
        <w:rPr>
          <w:color w:val="030303"/>
          <w:w w:val="105"/>
          <w:sz w:val="20"/>
        </w:rPr>
        <w:t>recognised </w:t>
      </w:r>
      <w:r>
        <w:rPr>
          <w:color w:val="1A1A1A"/>
          <w:w w:val="105"/>
          <w:sz w:val="20"/>
        </w:rPr>
        <w:t>in </w:t>
      </w:r>
      <w:r>
        <w:rPr>
          <w:color w:val="030303"/>
          <w:w w:val="105"/>
          <w:sz w:val="20"/>
        </w:rPr>
        <w:t>the Surplus/Deficit on the Provision of </w:t>
      </w:r>
      <w:r>
        <w:rPr>
          <w:color w:val="030303"/>
          <w:spacing w:val="-2"/>
          <w:w w:val="105"/>
          <w:sz w:val="20"/>
        </w:rPr>
        <w:t>Services</w:t>
      </w:r>
    </w:p>
    <w:p>
      <w:pPr>
        <w:tabs>
          <w:tab w:val="left" w:leader="none" w:pos="5722"/>
          <w:tab w:val="left" w:leader="none" w:pos="6741"/>
          <w:tab w:val="left" w:leader="none" w:pos="8611"/>
          <w:tab w:val="left" w:leader="none" w:pos="9988"/>
          <w:tab w:val="left" w:leader="none" w:pos="11513"/>
          <w:tab w:val="left" w:leader="none" w:pos="12710"/>
          <w:tab w:val="right" w:leader="none" w:pos="14084"/>
        </w:tabs>
        <w:spacing w:before="0" w:line="276" w:lineRule="exact"/>
        <w:ind w:left="427" w:right="0" w:firstLine="0"/>
        <w:jc w:val="left"/>
        <w:rPr>
          <w:b/>
          <w:sz w:val="20"/>
        </w:rPr>
      </w:pPr>
      <w:r>
        <w:rPr>
          <w:color w:val="030303"/>
          <w:spacing w:val="-2"/>
          <w:position w:val="1"/>
          <w:sz w:val="20"/>
        </w:rPr>
        <w:t>Disposals</w:t>
      </w:r>
      <w:r>
        <w:rPr>
          <w:color w:val="030303"/>
          <w:position w:val="1"/>
          <w:sz w:val="20"/>
        </w:rPr>
        <w:tab/>
      </w:r>
      <w:r>
        <w:rPr>
          <w:color w:val="2F2F2F"/>
          <w:spacing w:val="-10"/>
          <w:position w:val="-1"/>
          <w:sz w:val="21"/>
        </w:rPr>
        <w:t>-</w:t>
      </w:r>
      <w:r>
        <w:rPr>
          <w:color w:val="2F2F2F"/>
          <w:position w:val="-1"/>
          <w:sz w:val="21"/>
        </w:rPr>
        <w:tab/>
      </w:r>
      <w:r>
        <w:rPr>
          <w:color w:val="030303"/>
          <w:spacing w:val="-5"/>
          <w:sz w:val="20"/>
        </w:rPr>
        <w:t>415</w:t>
      </w:r>
      <w:r>
        <w:rPr>
          <w:color w:val="030303"/>
          <w:sz w:val="20"/>
        </w:rPr>
        <w:tab/>
      </w:r>
      <w:r>
        <w:rPr>
          <w:color w:val="4D4D4D"/>
          <w:spacing w:val="-10"/>
          <w:position w:val="-1"/>
          <w:sz w:val="27"/>
        </w:rPr>
        <w:t>-</w:t>
      </w:r>
      <w:r>
        <w:rPr>
          <w:color w:val="4D4D4D"/>
          <w:position w:val="-1"/>
          <w:sz w:val="27"/>
        </w:rPr>
        <w:tab/>
      </w:r>
      <w:r>
        <w:rPr>
          <w:color w:val="1A1A1A"/>
          <w:spacing w:val="-10"/>
          <w:position w:val="0"/>
          <w:sz w:val="20"/>
        </w:rPr>
        <w:t>-</w:t>
      </w:r>
      <w:r>
        <w:rPr>
          <w:color w:val="1A1A1A"/>
          <w:position w:val="0"/>
          <w:sz w:val="20"/>
        </w:rPr>
        <w:tab/>
      </w:r>
      <w:r>
        <w:rPr>
          <w:color w:val="2F2F2F"/>
          <w:spacing w:val="-10"/>
          <w:position w:val="-1"/>
          <w:sz w:val="21"/>
        </w:rPr>
        <w:t>-</w:t>
      </w:r>
      <w:r>
        <w:rPr>
          <w:color w:val="2F2F2F"/>
          <w:position w:val="-1"/>
          <w:sz w:val="21"/>
        </w:rPr>
        <w:tab/>
      </w:r>
      <w:r>
        <w:rPr>
          <w:color w:val="2F2F2F"/>
          <w:spacing w:val="-10"/>
          <w:position w:val="-1"/>
          <w:sz w:val="21"/>
        </w:rPr>
        <w:t>-</w:t>
      </w:r>
      <w:r>
        <w:rPr>
          <w:color w:val="2F2F2F"/>
          <w:position w:val="-1"/>
          <w:sz w:val="21"/>
        </w:rPr>
        <w:tab/>
      </w:r>
      <w:r>
        <w:rPr>
          <w:b/>
          <w:color w:val="030303"/>
          <w:spacing w:val="-5"/>
          <w:position w:val="-1"/>
          <w:sz w:val="20"/>
        </w:rPr>
        <w:t>415</w:t>
      </w:r>
    </w:p>
    <w:p>
      <w:pPr>
        <w:spacing w:before="204" w:line="295" w:lineRule="auto"/>
        <w:ind w:left="432" w:right="11204" w:hanging="4"/>
        <w:jc w:val="left"/>
        <w:rPr>
          <w:sz w:val="20"/>
        </w:rPr>
      </w:pPr>
      <w:r>
        <w:rPr>
          <w:color w:val="030303"/>
          <w:w w:val="105"/>
          <w:sz w:val="20"/>
        </w:rPr>
        <w:t>Assets</w:t>
      </w:r>
      <w:r>
        <w:rPr>
          <w:color w:val="030303"/>
          <w:spacing w:val="-10"/>
          <w:w w:val="105"/>
          <w:sz w:val="20"/>
        </w:rPr>
        <w:t> </w:t>
      </w:r>
      <w:r>
        <w:rPr>
          <w:color w:val="030303"/>
          <w:w w:val="105"/>
          <w:sz w:val="20"/>
        </w:rPr>
        <w:t>reclassified</w:t>
      </w:r>
      <w:r>
        <w:rPr>
          <w:color w:val="030303"/>
          <w:spacing w:val="-5"/>
          <w:w w:val="105"/>
          <w:sz w:val="20"/>
        </w:rPr>
        <w:t> </w:t>
      </w:r>
      <w:r>
        <w:rPr>
          <w:color w:val="030303"/>
          <w:w w:val="105"/>
          <w:sz w:val="20"/>
        </w:rPr>
        <w:t>to/</w:t>
      </w:r>
      <w:r>
        <w:rPr>
          <w:color w:val="030303"/>
          <w:spacing w:val="32"/>
          <w:w w:val="105"/>
          <w:sz w:val="20"/>
        </w:rPr>
        <w:t> </w:t>
      </w:r>
      <w:r>
        <w:rPr>
          <w:color w:val="030303"/>
          <w:w w:val="105"/>
          <w:sz w:val="20"/>
        </w:rPr>
        <w:t>(from)</w:t>
      </w:r>
      <w:r>
        <w:rPr>
          <w:color w:val="030303"/>
          <w:spacing w:val="-14"/>
          <w:w w:val="105"/>
          <w:sz w:val="20"/>
        </w:rPr>
        <w:t> </w:t>
      </w:r>
      <w:r>
        <w:rPr>
          <w:color w:val="030303"/>
          <w:w w:val="105"/>
          <w:sz w:val="20"/>
        </w:rPr>
        <w:t>Investment </w:t>
      </w:r>
      <w:r>
        <w:rPr>
          <w:color w:val="030303"/>
          <w:spacing w:val="-2"/>
          <w:w w:val="105"/>
          <w:sz w:val="20"/>
        </w:rPr>
        <w:t>Property</w:t>
      </w:r>
    </w:p>
    <w:p>
      <w:pPr>
        <w:spacing w:after="0" w:line="295" w:lineRule="auto"/>
        <w:jc w:val="left"/>
        <w:rPr>
          <w:sz w:val="20"/>
        </w:rPr>
        <w:sectPr>
          <w:headerReference w:type="even" r:id="rId149"/>
          <w:footerReference w:type="even" r:id="rId150"/>
          <w:footerReference w:type="default" r:id="rId151"/>
          <w:pgSz w:w="16830" w:h="11910" w:orient="landscape"/>
          <w:pgMar w:top="1600" w:right="480" w:bottom="2500" w:left="740" w:header="930" w:footer="2300"/>
          <w:pgNumType w:start="70"/>
        </w:sectPr>
      </w:pPr>
    </w:p>
    <w:p>
      <w:pPr>
        <w:spacing w:before="199"/>
        <w:ind w:left="438" w:right="0" w:firstLine="0"/>
        <w:jc w:val="left"/>
        <w:rPr>
          <w:sz w:val="20"/>
        </w:rPr>
      </w:pPr>
      <w:r>
        <w:rPr>
          <w:color w:val="030303"/>
          <w:w w:val="105"/>
          <w:sz w:val="20"/>
        </w:rPr>
        <w:t>Other</w:t>
      </w:r>
      <w:r>
        <w:rPr>
          <w:color w:val="030303"/>
          <w:spacing w:val="-7"/>
          <w:w w:val="105"/>
          <w:sz w:val="20"/>
        </w:rPr>
        <w:t> </w:t>
      </w:r>
      <w:r>
        <w:rPr>
          <w:color w:val="030303"/>
          <w:spacing w:val="-2"/>
          <w:w w:val="105"/>
          <w:sz w:val="20"/>
        </w:rPr>
        <w:t>movements</w:t>
      </w:r>
    </w:p>
    <w:p>
      <w:pPr>
        <w:tabs>
          <w:tab w:val="left" w:leader="none" w:pos="5274"/>
        </w:tabs>
        <w:spacing w:before="267" w:line="180" w:lineRule="auto"/>
        <w:ind w:left="442" w:right="38" w:hanging="4"/>
        <w:jc w:val="left"/>
        <w:rPr>
          <w:sz w:val="20"/>
        </w:rPr>
      </w:pPr>
      <w:r>
        <w:rPr>
          <w:color w:val="030303"/>
          <w:w w:val="105"/>
          <w:sz w:val="20"/>
        </w:rPr>
        <w:t>Accumulated depreciation and impairment</w:t>
      </w:r>
      <w:r>
        <w:rPr>
          <w:color w:val="030303"/>
          <w:sz w:val="20"/>
        </w:rPr>
        <w:tab/>
      </w:r>
      <w:r>
        <w:rPr>
          <w:color w:val="030303"/>
          <w:spacing w:val="-2"/>
          <w:w w:val="105"/>
          <w:position w:val="-13"/>
          <w:sz w:val="20"/>
        </w:rPr>
        <w:t>1,519 </w:t>
      </w:r>
      <w:r>
        <w:rPr>
          <w:color w:val="030303"/>
          <w:w w:val="105"/>
          <w:sz w:val="20"/>
        </w:rPr>
        <w:t>written to Cost or Valuation</w:t>
      </w:r>
    </w:p>
    <w:p>
      <w:pPr>
        <w:tabs>
          <w:tab w:val="left" w:leader="none" w:pos="2025"/>
          <w:tab w:val="left" w:leader="none" w:pos="3403"/>
          <w:tab w:val="left" w:leader="none" w:pos="4927"/>
          <w:tab w:val="left" w:leader="none" w:pos="6123"/>
        </w:tabs>
        <w:spacing w:before="782"/>
        <w:ind w:left="438" w:right="0" w:firstLine="0"/>
        <w:jc w:val="left"/>
        <w:rPr>
          <w:sz w:val="27"/>
        </w:rPr>
      </w:pPr>
      <w:r>
        <w:rPr/>
        <w:br w:type="column"/>
      </w:r>
      <w:r>
        <w:rPr>
          <w:color w:val="2F2F2F"/>
          <w:spacing w:val="-10"/>
          <w:w w:val="95"/>
          <w:position w:val="1"/>
          <w:sz w:val="27"/>
        </w:rPr>
        <w:t>-</w:t>
      </w:r>
      <w:r>
        <w:rPr>
          <w:color w:val="2F2F2F"/>
          <w:position w:val="1"/>
          <w:sz w:val="27"/>
        </w:rPr>
        <w:tab/>
      </w:r>
      <w:r>
        <w:rPr>
          <w:color w:val="2F2F2F"/>
          <w:spacing w:val="-10"/>
          <w:w w:val="95"/>
          <w:sz w:val="27"/>
        </w:rPr>
        <w:t>-</w:t>
      </w:r>
      <w:r>
        <w:rPr>
          <w:color w:val="2F2F2F"/>
          <w:sz w:val="27"/>
        </w:rPr>
        <w:tab/>
      </w:r>
      <w:r>
        <w:rPr>
          <w:color w:val="2F2F2F"/>
          <w:spacing w:val="-10"/>
          <w:w w:val="95"/>
          <w:position w:val="2"/>
          <w:sz w:val="20"/>
        </w:rPr>
        <w:t>-</w:t>
      </w:r>
      <w:r>
        <w:rPr>
          <w:color w:val="2F2F2F"/>
          <w:position w:val="2"/>
          <w:sz w:val="20"/>
        </w:rPr>
        <w:tab/>
      </w:r>
      <w:r>
        <w:rPr>
          <w:color w:val="2F2F2F"/>
          <w:spacing w:val="-10"/>
          <w:w w:val="95"/>
          <w:sz w:val="21"/>
        </w:rPr>
        <w:t>-</w:t>
      </w:r>
      <w:r>
        <w:rPr>
          <w:color w:val="2F2F2F"/>
          <w:sz w:val="21"/>
        </w:rPr>
        <w:tab/>
      </w:r>
      <w:r>
        <w:rPr>
          <w:color w:val="2F2F2F"/>
          <w:spacing w:val="-10"/>
          <w:w w:val="95"/>
          <w:sz w:val="27"/>
        </w:rPr>
        <w:t>-</w:t>
      </w:r>
    </w:p>
    <w:p>
      <w:pPr>
        <w:spacing w:before="838"/>
        <w:ind w:left="438" w:right="0" w:firstLine="0"/>
        <w:jc w:val="left"/>
        <w:rPr>
          <w:b/>
          <w:sz w:val="20"/>
        </w:rPr>
      </w:pPr>
      <w:r>
        <w:rPr/>
        <w:br w:type="column"/>
      </w:r>
      <w:r>
        <w:rPr>
          <w:b/>
          <w:color w:val="030303"/>
          <w:spacing w:val="-2"/>
          <w:w w:val="105"/>
          <w:sz w:val="20"/>
        </w:rPr>
        <w:t>1,519</w:t>
      </w:r>
    </w:p>
    <w:p>
      <w:pPr>
        <w:spacing w:after="0"/>
        <w:jc w:val="left"/>
        <w:rPr>
          <w:sz w:val="20"/>
        </w:rPr>
        <w:sectPr>
          <w:type w:val="continuous"/>
          <w:pgSz w:w="16830" w:h="11910" w:orient="landscape"/>
          <w:pgMar w:top="1940" w:right="480" w:bottom="280" w:left="740" w:header="930" w:footer="2300"/>
          <w:cols w:equalWidth="0" w:num="3">
            <w:col w:w="5841" w:space="759"/>
            <w:col w:w="6239" w:space="290"/>
            <w:col w:w="2481"/>
          </w:cols>
        </w:sectPr>
      </w:pPr>
    </w:p>
    <w:p>
      <w:pPr>
        <w:pStyle w:val="BodyText"/>
        <w:spacing w:before="28"/>
        <w:rPr>
          <w:b/>
          <w:sz w:val="20"/>
        </w:rPr>
      </w:pPr>
      <w:r>
        <w:rPr/>
        <ve:AlternateContent>
          <ve:Choice Requires="wps">
            <w:drawing>
              <wp:anchor distT="0" distB="0" distL="0" distR="0" simplePos="0" relativeHeight="15790592" behindDoc="0" locked="0" layoutInCell="1" allowOverlap="1">
                <wp:simplePos x="0" y="0"/>
                <wp:positionH relativeFrom="page">
                  <wp:posOffset>452013</wp:posOffset>
                </wp:positionH>
                <wp:positionV relativeFrom="page">
                  <wp:posOffset>2329</wp:posOffset>
                </wp:positionV>
                <wp:extent cx="892175" cy="1270"/>
                <wp:effectExtent l="0" t="0" r="0" b="0"/>
                <wp:wrapNone/>
                <wp:docPr id="284" name="Graphic 284"/>
                <wp:cNvGraphicFramePr>
                  <a:graphicFrameLocks/>
                </wp:cNvGraphicFramePr>
                <a:graphic>
                  <a:graphicData uri="http://schemas.microsoft.com/office/word/2010/wordprocessingShape">
                    <wps:wsp>
                      <wps:cNvPr id="284" name="Graphic 284"/>
                      <wps:cNvSpPr/>
                      <wps:spPr>
                        <a:xfrm>
                          <a:off x="0" y="0"/>
                          <a:ext cx="892175" cy="1270"/>
                        </a:xfrm>
                        <a:custGeom>
                          <a:avLst/>
                          <a:gdLst/>
                          <a:ahLst/>
                          <a:cxnLst/>
                          <a:rect l="l" t="t" r="r" b="b"/>
                          <a:pathLst>
                            <a:path w="892175" h="0">
                              <a:moveTo>
                                <a:pt x="0" y="0"/>
                              </a:moveTo>
                              <a:lnTo>
                                <a:pt x="891810" y="0"/>
                              </a:lnTo>
                            </a:path>
                          </a:pathLst>
                        </a:custGeom>
                        <a:ln w="3053">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90592" stroked="true" strokecolor="#000000" strokeweight=".240411pt" from="35.591606pt,.183456pt" to="105.812884pt,.183456pt">
                <v:stroke dashstyle="solid"/>
                <w10:wrap type="none"/>
              </v:line>
            </w:pict>
          </ve:Fallback>
        </ve:AlternateContent>
      </w:r>
    </w:p>
    <w:p>
      <w:pPr>
        <w:pStyle w:val="BodyText"/>
        <w:spacing w:line="20" w:lineRule="exact"/>
        <w:ind w:left="4593"/>
        <w:rPr>
          <w:sz w:val="2"/>
        </w:rPr>
      </w:pPr>
      <w:r>
        <w:rPr>
          <w:sz w:val="2"/>
        </w:rPr>
        <ve:AlternateContent>
          <ve:Choice Requires="wps">
            <w:drawing>
              <wp:inline distT="0" distB="0" distL="0" distR="0">
                <wp:extent cx="831215" cy="9525"/>
                <wp:effectExtent l="9525" t="0" r="0" b="0"/>
                <wp:docPr id="285" name="Group 285"/>
                <wp:cNvGraphicFramePr>
                  <a:graphicFrameLocks/>
                </wp:cNvGraphicFramePr>
                <a:graphic>
                  <a:graphicData uri="http://schemas.microsoft.com/office/word/2010/wordprocessingGroup">
                    <wpg:wgp>
                      <wpg:cNvPr id="285" name="Group 285"/>
                      <wpg:cNvGrpSpPr/>
                      <wpg:grpSpPr>
                        <a:xfrm>
                          <a:off x="0" y="0"/>
                          <a:ext cx="831215" cy="9525"/>
                          <a:chExt cx="831215" cy="9525"/>
                        </a:xfrm>
                      </wpg:grpSpPr>
                      <wps:wsp>
                        <wps:cNvPr id="286" name="Graphic 286"/>
                        <wps:cNvSpPr/>
                        <wps:spPr>
                          <a:xfrm>
                            <a:off x="0" y="4579"/>
                            <a:ext cx="831215" cy="1270"/>
                          </a:xfrm>
                          <a:custGeom>
                            <a:avLst/>
                            <a:gdLst/>
                            <a:ahLst/>
                            <a:cxnLst/>
                            <a:rect l="l" t="t" r="r" b="b"/>
                            <a:pathLst>
                              <a:path w="831215" h="0">
                                <a:moveTo>
                                  <a:pt x="0" y="0"/>
                                </a:moveTo>
                                <a:lnTo>
                                  <a:pt x="830727" y="0"/>
                                </a:lnTo>
                              </a:path>
                            </a:pathLst>
                          </a:custGeom>
                          <a:ln w="9159">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83" style="width:65.45pt;height:.75pt;mso-position-horizontal-relative:char;mso-position-vertical-relative:line" coordsize="1309,15" coordorigin="0,0">
                <v:line style="position:absolute" stroked="true" strokecolor="#000000" strokeweight=".721232pt" from="0,7" to="1308,7">
                  <v:stroke dashstyle="solid"/>
                </v:line>
              </v:group>
            </w:pict>
          </ve:Fallback>
        </ve:AlternateContent>
      </w:r>
      <w:r>
        <w:rPr>
          <w:sz w:val="2"/>
        </w:rPr>
      </w:r>
    </w:p>
    <w:p>
      <w:pPr>
        <w:tabs>
          <w:tab w:val="left" w:leader="none" w:pos="5314"/>
          <w:tab w:val="left" w:leader="none" w:pos="6444"/>
          <w:tab w:val="left" w:leader="none" w:pos="8205"/>
          <w:tab w:val="left" w:leader="none" w:pos="9580"/>
          <w:tab w:val="left" w:leader="none" w:pos="11533"/>
          <w:tab w:val="left" w:leader="none" w:pos="12736"/>
          <w:tab w:val="left" w:leader="none" w:pos="13433"/>
        </w:tabs>
        <w:spacing w:before="0"/>
        <w:ind w:left="447" w:right="0" w:firstLine="0"/>
        <w:jc w:val="left"/>
        <w:rPr>
          <w:b/>
          <w:sz w:val="20"/>
        </w:rPr>
      </w:pPr>
      <w:r>
        <w:rPr>
          <w:b/>
          <w:color w:val="030303"/>
          <w:position w:val="1"/>
          <w:sz w:val="20"/>
        </w:rPr>
        <w:t>At</w:t>
      </w:r>
      <w:r>
        <w:rPr>
          <w:b/>
          <w:color w:val="030303"/>
          <w:spacing w:val="15"/>
          <w:position w:val="1"/>
          <w:sz w:val="20"/>
        </w:rPr>
        <w:t> </w:t>
      </w:r>
      <w:r>
        <w:rPr>
          <w:b/>
          <w:color w:val="030303"/>
          <w:position w:val="1"/>
          <w:sz w:val="20"/>
        </w:rPr>
        <w:t>31</w:t>
      </w:r>
      <w:r>
        <w:rPr>
          <w:b/>
          <w:color w:val="030303"/>
          <w:spacing w:val="7"/>
          <w:position w:val="1"/>
          <w:sz w:val="20"/>
        </w:rPr>
        <w:t> </w:t>
      </w:r>
      <w:r>
        <w:rPr>
          <w:b/>
          <w:color w:val="030303"/>
          <w:position w:val="1"/>
          <w:sz w:val="20"/>
        </w:rPr>
        <w:t>March</w:t>
      </w:r>
      <w:r>
        <w:rPr>
          <w:b/>
          <w:color w:val="030303"/>
          <w:spacing w:val="25"/>
          <w:position w:val="1"/>
          <w:sz w:val="20"/>
        </w:rPr>
        <w:t> </w:t>
      </w:r>
      <w:r>
        <w:rPr>
          <w:b/>
          <w:color w:val="030303"/>
          <w:spacing w:val="-4"/>
          <w:position w:val="1"/>
          <w:sz w:val="20"/>
        </w:rPr>
        <w:t>2022</w:t>
      </w:r>
      <w:r>
        <w:rPr>
          <w:b/>
          <w:color w:val="030303"/>
          <w:position w:val="1"/>
          <w:sz w:val="20"/>
        </w:rPr>
        <w:tab/>
      </w:r>
      <w:r>
        <w:rPr>
          <w:b/>
          <w:color w:val="030303"/>
          <w:spacing w:val="-2"/>
          <w:position w:val="1"/>
          <w:sz w:val="20"/>
        </w:rPr>
        <w:t>(739)</w:t>
      </w:r>
      <w:r>
        <w:rPr>
          <w:b/>
          <w:color w:val="030303"/>
          <w:position w:val="1"/>
          <w:sz w:val="20"/>
        </w:rPr>
        <w:tab/>
      </w:r>
      <w:r>
        <w:rPr>
          <w:b/>
          <w:color w:val="030303"/>
          <w:spacing w:val="-2"/>
          <w:sz w:val="20"/>
        </w:rPr>
        <w:t>(3,949)</w:t>
      </w:r>
      <w:r>
        <w:rPr>
          <w:b/>
          <w:color w:val="030303"/>
          <w:sz w:val="20"/>
        </w:rPr>
        <w:tab/>
      </w:r>
      <w:r>
        <w:rPr>
          <w:b/>
          <w:color w:val="030303"/>
          <w:spacing w:val="-2"/>
          <w:sz w:val="20"/>
        </w:rPr>
        <w:t>(187)</w:t>
      </w:r>
      <w:r>
        <w:rPr>
          <w:b/>
          <w:color w:val="030303"/>
          <w:sz w:val="20"/>
        </w:rPr>
        <w:tab/>
      </w:r>
      <w:r>
        <w:rPr>
          <w:b/>
          <w:color w:val="030303"/>
          <w:spacing w:val="-2"/>
          <w:sz w:val="20"/>
        </w:rPr>
        <w:t>(383)</w:t>
      </w:r>
      <w:r>
        <w:rPr>
          <w:b/>
          <w:color w:val="030303"/>
          <w:sz w:val="20"/>
        </w:rPr>
        <w:tab/>
      </w:r>
      <w:r>
        <w:rPr>
          <w:color w:val="2F2F2F"/>
          <w:spacing w:val="-10"/>
          <w:position w:val="-2"/>
          <w:sz w:val="32"/>
        </w:rPr>
        <w:t>-</w:t>
      </w:r>
      <w:r>
        <w:rPr>
          <w:color w:val="2F2F2F"/>
          <w:position w:val="-2"/>
          <w:sz w:val="32"/>
        </w:rPr>
        <w:tab/>
      </w:r>
      <w:r>
        <w:rPr>
          <w:color w:val="1A1A1A"/>
          <w:spacing w:val="-10"/>
          <w:position w:val="-2"/>
          <w:sz w:val="32"/>
        </w:rPr>
        <w:t>-</w:t>
      </w:r>
      <w:r>
        <w:rPr>
          <w:color w:val="1A1A1A"/>
          <w:position w:val="-2"/>
          <w:sz w:val="32"/>
        </w:rPr>
        <w:tab/>
      </w:r>
      <w:r>
        <w:rPr>
          <w:b/>
          <w:color w:val="030303"/>
          <w:spacing w:val="-2"/>
          <w:sz w:val="20"/>
        </w:rPr>
        <w:t>(5,258)</w:t>
      </w:r>
    </w:p>
    <w:p>
      <w:pPr>
        <w:pStyle w:val="BodyText"/>
        <w:spacing w:before="4"/>
        <w:rPr>
          <w:b/>
          <w:sz w:val="6"/>
        </w:rPr>
      </w:pPr>
      <w:r>
        <w:rPr/>
        <ve:AlternateContent>
          <ve:Choice Requires="wps">
            <w:drawing>
              <wp:anchor distT="0" distB="0" distL="0" distR="0" simplePos="0" relativeHeight="487648768" behindDoc="1" locked="0" layoutInCell="1" allowOverlap="1">
                <wp:simplePos x="0" y="0"/>
                <wp:positionH relativeFrom="page">
                  <wp:posOffset>3387046</wp:posOffset>
                </wp:positionH>
                <wp:positionV relativeFrom="paragraph">
                  <wp:posOffset>62014</wp:posOffset>
                </wp:positionV>
                <wp:extent cx="6035040" cy="1270"/>
                <wp:effectExtent l="0" t="0" r="0" b="0"/>
                <wp:wrapTopAndBottom/>
                <wp:docPr id="287" name="Graphic 287"/>
                <wp:cNvGraphicFramePr>
                  <a:graphicFrameLocks/>
                </wp:cNvGraphicFramePr>
                <a:graphic>
                  <a:graphicData uri="http://schemas.microsoft.com/office/word/2010/wordprocessingShape">
                    <wps:wsp>
                      <wps:cNvPr id="287" name="Graphic 287"/>
                      <wps:cNvSpPr/>
                      <wps:spPr>
                        <a:xfrm>
                          <a:off x="0" y="0"/>
                          <a:ext cx="6035040" cy="1270"/>
                        </a:xfrm>
                        <a:custGeom>
                          <a:avLst/>
                          <a:gdLst/>
                          <a:ahLst/>
                          <a:cxnLst/>
                          <a:rect l="l" t="t" r="r" b="b"/>
                          <a:pathLst>
                            <a:path w="6035040" h="0">
                              <a:moveTo>
                                <a:pt x="0" y="0"/>
                              </a:moveTo>
                              <a:lnTo>
                                <a:pt x="6034989"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184" style="position:absolute;margin-left:266.696564pt;margin-top:4.883038pt;width:475.2pt;height:.1pt;mso-position-horizontal-relative:page;mso-position-vertical-relative:paragraph;z-index:-15667712;mso-wrap-distance-left:0;mso-wrap-distance-right:0" coordsize="9504,0" coordorigin="5334,98" filled="false" stroked="true" strokecolor="#000000" strokeweight=".721232pt" path="m5334,98l14838,98e">
                <v:path arrowok="t"/>
                <v:stroke dashstyle="solid"/>
                <w10:wrap type="topAndBottom"/>
              </v:shape>
            </w:pict>
          </ve:Fallback>
        </ve:AlternateContent>
      </w:r>
    </w:p>
    <w:p>
      <w:pPr>
        <w:pStyle w:val="BodyText"/>
        <w:spacing w:before="46"/>
        <w:rPr>
          <w:b/>
          <w:sz w:val="20"/>
        </w:rPr>
      </w:pPr>
    </w:p>
    <w:p>
      <w:pPr>
        <w:spacing w:before="0" w:line="197" w:lineRule="exact"/>
        <w:ind w:left="452" w:right="0" w:firstLine="0"/>
        <w:jc w:val="left"/>
        <w:rPr>
          <w:b/>
          <w:sz w:val="20"/>
        </w:rPr>
      </w:pPr>
      <w:r>
        <w:rPr>
          <w:b/>
          <w:color w:val="030303"/>
          <w:w w:val="105"/>
          <w:sz w:val="20"/>
        </w:rPr>
        <w:t>Net</w:t>
      </w:r>
      <w:r>
        <w:rPr>
          <w:b/>
          <w:color w:val="030303"/>
          <w:spacing w:val="-13"/>
          <w:w w:val="105"/>
          <w:sz w:val="20"/>
        </w:rPr>
        <w:t> </w:t>
      </w:r>
      <w:r>
        <w:rPr>
          <w:b/>
          <w:color w:val="030303"/>
          <w:w w:val="105"/>
          <w:sz w:val="20"/>
        </w:rPr>
        <w:t>Book</w:t>
      </w:r>
      <w:r>
        <w:rPr>
          <w:b/>
          <w:color w:val="030303"/>
          <w:spacing w:val="3"/>
          <w:w w:val="105"/>
          <w:sz w:val="20"/>
        </w:rPr>
        <w:t> </w:t>
      </w:r>
      <w:r>
        <w:rPr>
          <w:b/>
          <w:color w:val="030303"/>
          <w:spacing w:val="-2"/>
          <w:w w:val="105"/>
          <w:sz w:val="20"/>
        </w:rPr>
        <w:t>Value</w:t>
      </w:r>
    </w:p>
    <w:p>
      <w:pPr>
        <w:tabs>
          <w:tab w:val="left" w:leader="none" w:pos="5006"/>
          <w:tab w:val="left" w:leader="none" w:pos="6599"/>
          <w:tab w:val="left" w:leader="none" w:pos="8357"/>
          <w:tab w:val="left" w:leader="none" w:pos="9551"/>
          <w:tab w:val="left" w:leader="none" w:pos="11086"/>
          <w:tab w:val="left" w:leader="none" w:pos="12744"/>
          <w:tab w:val="left" w:leader="none" w:pos="13312"/>
        </w:tabs>
        <w:spacing w:before="0" w:line="404" w:lineRule="exact"/>
        <w:ind w:left="457" w:right="0" w:firstLine="0"/>
        <w:jc w:val="left"/>
        <w:rPr>
          <w:b/>
          <w:sz w:val="20"/>
        </w:rPr>
      </w:pPr>
      <w:r>
        <w:rPr/>
        <ve:AlternateContent>
          <ve:Choice Requires="wps">
            <w:drawing>
              <wp:anchor distT="0" distB="0" distL="0" distR="0" simplePos="0" relativeHeight="475902464" behindDoc="1" locked="0" layoutInCell="1" allowOverlap="1">
                <wp:simplePos x="0" y="0"/>
                <wp:positionH relativeFrom="page">
                  <wp:posOffset>3387046</wp:posOffset>
                </wp:positionH>
                <wp:positionV relativeFrom="paragraph">
                  <wp:posOffset>207755</wp:posOffset>
                </wp:positionV>
                <wp:extent cx="6035040" cy="1270"/>
                <wp:effectExtent l="0" t="0" r="0" b="0"/>
                <wp:wrapNone/>
                <wp:docPr id="288" name="Graphic 288"/>
                <wp:cNvGraphicFramePr>
                  <a:graphicFrameLocks/>
                </wp:cNvGraphicFramePr>
                <a:graphic>
                  <a:graphicData uri="http://schemas.microsoft.com/office/word/2010/wordprocessingShape">
                    <wps:wsp>
                      <wps:cNvPr id="288" name="Graphic 288"/>
                      <wps:cNvSpPr/>
                      <wps:spPr>
                        <a:xfrm>
                          <a:off x="0" y="0"/>
                          <a:ext cx="6035040" cy="1270"/>
                        </a:xfrm>
                        <a:custGeom>
                          <a:avLst/>
                          <a:gdLst/>
                          <a:ahLst/>
                          <a:cxnLst/>
                          <a:rect l="l" t="t" r="r" b="b"/>
                          <a:pathLst>
                            <a:path w="6035040" h="0">
                              <a:moveTo>
                                <a:pt x="0" y="0"/>
                              </a:moveTo>
                              <a:lnTo>
                                <a:pt x="6034989" y="0"/>
                              </a:lnTo>
                            </a:path>
                          </a:pathLst>
                        </a:custGeom>
                        <a:ln w="15266">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27414016" stroked="true" strokecolor="#000000" strokeweight="1.202053pt" from="266.696564pt,16.35869pt" to="741.892607pt,16.35869pt">
                <v:stroke dashstyle="solid"/>
                <w10:wrap type="none"/>
              </v:line>
            </w:pict>
          </ve:Fallback>
        </ve:AlternateContent>
      </w:r>
      <w:r>
        <w:rPr>
          <w:b/>
          <w:color w:val="030303"/>
          <w:sz w:val="20"/>
        </w:rPr>
        <w:t>As</w:t>
      </w:r>
      <w:r>
        <w:rPr>
          <w:b/>
          <w:color w:val="030303"/>
          <w:spacing w:val="18"/>
          <w:sz w:val="20"/>
        </w:rPr>
        <w:t> </w:t>
      </w:r>
      <w:r>
        <w:rPr>
          <w:b/>
          <w:color w:val="030303"/>
          <w:sz w:val="20"/>
        </w:rPr>
        <w:t>at</w:t>
      </w:r>
      <w:r>
        <w:rPr>
          <w:b/>
          <w:color w:val="030303"/>
          <w:spacing w:val="11"/>
          <w:sz w:val="20"/>
        </w:rPr>
        <w:t> </w:t>
      </w:r>
      <w:r>
        <w:rPr>
          <w:b/>
          <w:color w:val="030303"/>
          <w:sz w:val="20"/>
        </w:rPr>
        <w:t>31</w:t>
      </w:r>
      <w:r>
        <w:rPr>
          <w:b/>
          <w:color w:val="030303"/>
          <w:spacing w:val="5"/>
          <w:sz w:val="20"/>
        </w:rPr>
        <w:t> </w:t>
      </w:r>
      <w:r>
        <w:rPr>
          <w:b/>
          <w:color w:val="030303"/>
          <w:sz w:val="20"/>
        </w:rPr>
        <w:t>March</w:t>
      </w:r>
      <w:r>
        <w:rPr>
          <w:b/>
          <w:color w:val="030303"/>
          <w:spacing w:val="21"/>
          <w:sz w:val="20"/>
        </w:rPr>
        <w:t> </w:t>
      </w:r>
      <w:r>
        <w:rPr>
          <w:b/>
          <w:color w:val="030303"/>
          <w:spacing w:val="-4"/>
          <w:sz w:val="20"/>
        </w:rPr>
        <w:t>2021</w:t>
      </w:r>
      <w:r>
        <w:rPr>
          <w:b/>
          <w:color w:val="030303"/>
          <w:sz w:val="20"/>
        </w:rPr>
        <w:tab/>
      </w:r>
      <w:r>
        <w:rPr>
          <w:b/>
          <w:color w:val="030303"/>
          <w:spacing w:val="-2"/>
          <w:sz w:val="20"/>
        </w:rPr>
        <w:t>132,196</w:t>
      </w:r>
      <w:r>
        <w:rPr>
          <w:b/>
          <w:color w:val="030303"/>
          <w:sz w:val="20"/>
        </w:rPr>
        <w:tab/>
      </w:r>
      <w:r>
        <w:rPr>
          <w:b/>
          <w:color w:val="030303"/>
          <w:spacing w:val="-2"/>
          <w:sz w:val="20"/>
        </w:rPr>
        <w:t>2,146</w:t>
      </w:r>
      <w:r>
        <w:rPr>
          <w:b/>
          <w:color w:val="030303"/>
          <w:sz w:val="20"/>
        </w:rPr>
        <w:tab/>
      </w:r>
      <w:r>
        <w:rPr>
          <w:b/>
          <w:color w:val="030303"/>
          <w:spacing w:val="-5"/>
          <w:sz w:val="20"/>
        </w:rPr>
        <w:t>340</w:t>
      </w:r>
      <w:r>
        <w:rPr>
          <w:b/>
          <w:color w:val="030303"/>
          <w:sz w:val="20"/>
        </w:rPr>
        <w:tab/>
      </w:r>
      <w:r>
        <w:rPr>
          <w:b/>
          <w:color w:val="030303"/>
          <w:spacing w:val="-2"/>
          <w:sz w:val="20"/>
        </w:rPr>
        <w:t>1,914</w:t>
      </w:r>
      <w:r>
        <w:rPr>
          <w:b/>
          <w:color w:val="030303"/>
          <w:sz w:val="20"/>
        </w:rPr>
        <w:tab/>
      </w:r>
      <w:r>
        <w:rPr>
          <w:b/>
          <w:color w:val="030303"/>
          <w:spacing w:val="-2"/>
          <w:sz w:val="20"/>
        </w:rPr>
        <w:t>2,855</w:t>
      </w:r>
      <w:r>
        <w:rPr>
          <w:b/>
          <w:color w:val="030303"/>
          <w:sz w:val="20"/>
        </w:rPr>
        <w:tab/>
      </w:r>
      <w:r>
        <w:rPr>
          <w:color w:val="1A1A1A"/>
          <w:spacing w:val="-10"/>
          <w:w w:val="95"/>
          <w:position w:val="-4"/>
          <w:sz w:val="38"/>
        </w:rPr>
        <w:t>-</w:t>
      </w:r>
      <w:r>
        <w:rPr>
          <w:color w:val="1A1A1A"/>
          <w:position w:val="-4"/>
          <w:sz w:val="38"/>
        </w:rPr>
        <w:tab/>
      </w:r>
      <w:r>
        <w:rPr>
          <w:b/>
          <w:color w:val="030303"/>
          <w:spacing w:val="-2"/>
          <w:sz w:val="20"/>
        </w:rPr>
        <w:t>139,451</w:t>
      </w:r>
    </w:p>
    <w:p>
      <w:pPr>
        <w:pStyle w:val="BodyText"/>
        <w:spacing w:before="1"/>
        <w:rPr>
          <w:b/>
          <w:sz w:val="17"/>
        </w:rPr>
      </w:pPr>
      <w:r>
        <w:rPr/>
        <ve:AlternateContent>
          <ve:Choice Requires="wps">
            <w:drawing>
              <wp:anchor distT="0" distB="0" distL="0" distR="0" simplePos="0" relativeHeight="487649280" behindDoc="1" locked="0" layoutInCell="1" allowOverlap="1">
                <wp:simplePos x="0" y="0"/>
                <wp:positionH relativeFrom="page">
                  <wp:posOffset>3387046</wp:posOffset>
                </wp:positionH>
                <wp:positionV relativeFrom="paragraph">
                  <wp:posOffset>140006</wp:posOffset>
                </wp:positionV>
                <wp:extent cx="6035040" cy="1270"/>
                <wp:effectExtent l="0" t="0" r="0" b="0"/>
                <wp:wrapTopAndBottom/>
                <wp:docPr id="289" name="Graphic 289"/>
                <wp:cNvGraphicFramePr>
                  <a:graphicFrameLocks/>
                </wp:cNvGraphicFramePr>
                <a:graphic>
                  <a:graphicData uri="http://schemas.microsoft.com/office/word/2010/wordprocessingShape">
                    <wps:wsp>
                      <wps:cNvPr id="289" name="Graphic 289"/>
                      <wps:cNvSpPr/>
                      <wps:spPr>
                        <a:xfrm>
                          <a:off x="0" y="0"/>
                          <a:ext cx="6035040" cy="1270"/>
                        </a:xfrm>
                        <a:custGeom>
                          <a:avLst/>
                          <a:gdLst/>
                          <a:ahLst/>
                          <a:cxnLst/>
                          <a:rect l="l" t="t" r="r" b="b"/>
                          <a:pathLst>
                            <a:path w="6035040" h="0">
                              <a:moveTo>
                                <a:pt x="0" y="0"/>
                              </a:moveTo>
                              <a:lnTo>
                                <a:pt x="6034989"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185" style="position:absolute;margin-left:266.696564pt;margin-top:11.02417pt;width:475.2pt;height:.1pt;mso-position-horizontal-relative:page;mso-position-vertical-relative:paragraph;z-index:-15667200;mso-wrap-distance-left:0;mso-wrap-distance-right:0" coordsize="9504,0" coordorigin="5334,220" filled="false" stroked="true" strokecolor="#000000" strokeweight=".721232pt" path="m5334,220l14838,220e">
                <v:path arrowok="t"/>
                <v:stroke dashstyle="solid"/>
                <w10:wrap type="topAndBottom"/>
              </v:shape>
            </w:pict>
          </ve:Fallback>
        </ve:AlternateContent>
      </w:r>
    </w:p>
    <w:p>
      <w:pPr>
        <w:tabs>
          <w:tab w:val="left" w:leader="none" w:pos="5054"/>
          <w:tab w:val="left" w:leader="none" w:pos="6604"/>
          <w:tab w:val="left" w:leader="none" w:pos="8361"/>
          <w:tab w:val="left" w:leader="none" w:pos="9556"/>
          <w:tab w:val="left" w:leader="none" w:pos="10970"/>
          <w:tab w:val="left" w:leader="none" w:pos="12748"/>
          <w:tab w:val="left" w:leader="none" w:pos="13350"/>
        </w:tabs>
        <w:spacing w:before="0"/>
        <w:ind w:left="462" w:right="0" w:firstLine="0"/>
        <w:jc w:val="left"/>
        <w:rPr>
          <w:b/>
          <w:sz w:val="20"/>
        </w:rPr>
      </w:pPr>
      <w:r>
        <w:rPr>
          <w:b/>
          <w:color w:val="030303"/>
          <w:sz w:val="20"/>
        </w:rPr>
        <w:t>As</w:t>
      </w:r>
      <w:r>
        <w:rPr>
          <w:b/>
          <w:color w:val="030303"/>
          <w:spacing w:val="17"/>
          <w:sz w:val="20"/>
        </w:rPr>
        <w:t> </w:t>
      </w:r>
      <w:r>
        <w:rPr>
          <w:b/>
          <w:color w:val="030303"/>
          <w:sz w:val="20"/>
        </w:rPr>
        <w:t>at</w:t>
      </w:r>
      <w:r>
        <w:rPr>
          <w:b/>
          <w:color w:val="030303"/>
          <w:spacing w:val="12"/>
          <w:sz w:val="20"/>
        </w:rPr>
        <w:t> </w:t>
      </w:r>
      <w:r>
        <w:rPr>
          <w:b/>
          <w:color w:val="030303"/>
          <w:sz w:val="20"/>
        </w:rPr>
        <w:t>31</w:t>
      </w:r>
      <w:r>
        <w:rPr>
          <w:b/>
          <w:color w:val="030303"/>
          <w:spacing w:val="2"/>
          <w:sz w:val="20"/>
        </w:rPr>
        <w:t> </w:t>
      </w:r>
      <w:r>
        <w:rPr>
          <w:b/>
          <w:color w:val="030303"/>
          <w:sz w:val="20"/>
        </w:rPr>
        <w:t>March</w:t>
      </w:r>
      <w:r>
        <w:rPr>
          <w:b/>
          <w:color w:val="030303"/>
          <w:spacing w:val="25"/>
          <w:sz w:val="20"/>
        </w:rPr>
        <w:t> </w:t>
      </w:r>
      <w:r>
        <w:rPr>
          <w:b/>
          <w:color w:val="030303"/>
          <w:spacing w:val="-4"/>
          <w:sz w:val="20"/>
        </w:rPr>
        <w:t>2022</w:t>
      </w:r>
      <w:r>
        <w:rPr>
          <w:b/>
          <w:color w:val="030303"/>
          <w:sz w:val="20"/>
        </w:rPr>
        <w:tab/>
      </w:r>
      <w:r>
        <w:rPr>
          <w:b/>
          <w:color w:val="030303"/>
          <w:spacing w:val="-2"/>
          <w:sz w:val="20"/>
        </w:rPr>
        <w:t>141,984</w:t>
      </w:r>
      <w:r>
        <w:rPr>
          <w:b/>
          <w:color w:val="030303"/>
          <w:sz w:val="20"/>
        </w:rPr>
        <w:tab/>
      </w:r>
      <w:r>
        <w:rPr>
          <w:b/>
          <w:color w:val="030303"/>
          <w:spacing w:val="-2"/>
          <w:sz w:val="20"/>
        </w:rPr>
        <w:t>2,757</w:t>
      </w:r>
      <w:r>
        <w:rPr>
          <w:b/>
          <w:color w:val="030303"/>
          <w:sz w:val="20"/>
        </w:rPr>
        <w:tab/>
      </w:r>
      <w:r>
        <w:rPr>
          <w:b/>
          <w:color w:val="030303"/>
          <w:spacing w:val="-5"/>
          <w:sz w:val="20"/>
        </w:rPr>
        <w:t>337</w:t>
      </w:r>
      <w:r>
        <w:rPr>
          <w:b/>
          <w:color w:val="030303"/>
          <w:sz w:val="20"/>
        </w:rPr>
        <w:tab/>
      </w:r>
      <w:r>
        <w:rPr>
          <w:b/>
          <w:color w:val="030303"/>
          <w:spacing w:val="-2"/>
          <w:sz w:val="20"/>
        </w:rPr>
        <w:t>1,868</w:t>
      </w:r>
      <w:r>
        <w:rPr>
          <w:b/>
          <w:color w:val="030303"/>
          <w:sz w:val="20"/>
        </w:rPr>
        <w:tab/>
      </w:r>
      <w:r>
        <w:rPr>
          <w:b/>
          <w:color w:val="030303"/>
          <w:spacing w:val="-2"/>
          <w:sz w:val="20"/>
        </w:rPr>
        <w:t>15,235</w:t>
      </w:r>
      <w:r>
        <w:rPr>
          <w:b/>
          <w:color w:val="030303"/>
          <w:sz w:val="20"/>
        </w:rPr>
        <w:tab/>
      </w:r>
      <w:r>
        <w:rPr>
          <w:color w:val="2F2F2F"/>
          <w:spacing w:val="-10"/>
          <w:w w:val="95"/>
          <w:position w:val="-4"/>
          <w:sz w:val="38"/>
        </w:rPr>
        <w:t>-</w:t>
      </w:r>
      <w:r>
        <w:rPr>
          <w:color w:val="2F2F2F"/>
          <w:position w:val="-4"/>
          <w:sz w:val="38"/>
        </w:rPr>
        <w:tab/>
      </w:r>
      <w:r>
        <w:rPr>
          <w:b/>
          <w:color w:val="030303"/>
          <w:spacing w:val="-2"/>
          <w:sz w:val="20"/>
        </w:rPr>
        <w:t>162,181</w:t>
      </w:r>
    </w:p>
    <w:p>
      <w:pPr>
        <w:spacing w:after="0"/>
        <w:jc w:val="left"/>
        <w:rPr>
          <w:sz w:val="20"/>
        </w:rPr>
        <w:sectPr>
          <w:type w:val="continuous"/>
          <w:pgSz w:w="16830" w:h="11910" w:orient="landscape"/>
          <w:pgMar w:top="1940" w:right="480" w:bottom="280" w:left="740" w:header="930" w:footer="2300"/>
        </w:sectPr>
      </w:pPr>
    </w:p>
    <w:tbl>
      <w:tblPr>
        <w:tblW w:w="0" w:type="auto"/>
        <w:jc w:val="left"/>
        <w:tblInd w:w="35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299"/>
        <w:gridCol w:w="2403"/>
        <w:gridCol w:w="1310"/>
        <w:gridCol w:w="1592"/>
        <w:gridCol w:w="1358"/>
        <w:gridCol w:w="1579"/>
        <w:gridCol w:w="1100"/>
        <w:gridCol w:w="1295"/>
      </w:tblGrid>
      <w:tr>
        <w:trPr>
          <w:trHeight w:val="833" w:hRule="atLeast"/>
        </w:trPr>
        <w:tc>
          <w:tcPr>
            <w:tcW w:w="3299" w:type="dxa"/>
          </w:tcPr>
          <w:p>
            <w:pPr>
              <w:pStyle w:val="TableParagraph"/>
              <w:tabs>
                <w:tab w:val="left" w:leader="none" w:pos="766"/>
              </w:tabs>
              <w:spacing w:line="229" w:lineRule="exact"/>
              <w:ind w:left="50"/>
              <w:rPr>
                <w:sz w:val="14"/>
              </w:rPr>
            </w:pPr>
            <w:r>
              <w:rPr>
                <w:color w:val="AFAFAF"/>
                <w:spacing w:val="-10"/>
                <w:w w:val="105"/>
                <w:sz w:val="14"/>
              </w:rPr>
              <w:t>5</w:t>
            </w:r>
            <w:r>
              <w:rPr>
                <w:color w:val="AFAFAF"/>
                <w:sz w:val="14"/>
              </w:rPr>
              <w:tab/>
            </w:r>
            <w:r>
              <w:rPr>
                <w:color w:val="AFAFAF"/>
                <w:w w:val="105"/>
                <w:sz w:val="14"/>
              </w:rPr>
              <w:t>NO</w:t>
            </w:r>
            <w:r>
              <w:rPr>
                <w:color w:val="AFAFAF"/>
                <w:spacing w:val="-9"/>
                <w:w w:val="105"/>
                <w:sz w:val="14"/>
              </w:rPr>
              <w:t> </w:t>
            </w:r>
            <w:r>
              <w:rPr>
                <w:color w:val="AFAFAF"/>
                <w:w w:val="105"/>
                <w:sz w:val="14"/>
              </w:rPr>
              <w:t>fES</w:t>
            </w:r>
            <w:r>
              <w:rPr>
                <w:color w:val="AFAFAF"/>
                <w:spacing w:val="61"/>
                <w:w w:val="105"/>
                <w:sz w:val="14"/>
              </w:rPr>
              <w:t> </w:t>
            </w:r>
            <w:r>
              <w:rPr>
                <w:color w:val="AFAFAF"/>
                <w:w w:val="105"/>
                <w:sz w:val="20"/>
              </w:rPr>
              <w:t>ru</w:t>
            </w:r>
            <w:r>
              <w:rPr>
                <w:color w:val="AFAFAF"/>
                <w:spacing w:val="9"/>
                <w:w w:val="105"/>
                <w:sz w:val="20"/>
              </w:rPr>
              <w:t> </w:t>
            </w:r>
            <w:r>
              <w:rPr>
                <w:color w:val="AFAFAF"/>
                <w:w w:val="105"/>
                <w:sz w:val="14"/>
              </w:rPr>
              <w:t>IHE</w:t>
            </w:r>
            <w:r>
              <w:rPr>
                <w:color w:val="AFAFAF"/>
                <w:spacing w:val="49"/>
                <w:w w:val="105"/>
                <w:sz w:val="14"/>
              </w:rPr>
              <w:t> </w:t>
            </w:r>
            <w:r>
              <w:rPr>
                <w:color w:val="AFAFAF"/>
                <w:w w:val="105"/>
                <w:sz w:val="14"/>
              </w:rPr>
              <w:t>AC1_l)LJN</w:t>
            </w:r>
            <w:r>
              <w:rPr>
                <w:color w:val="AFAFAF"/>
                <w:spacing w:val="-7"/>
                <w:w w:val="105"/>
                <w:sz w:val="14"/>
              </w:rPr>
              <w:t> </w:t>
            </w:r>
            <w:r>
              <w:rPr>
                <w:color w:val="AFAFAF"/>
                <w:w w:val="105"/>
                <w:sz w:val="14"/>
              </w:rPr>
              <w:t>l</w:t>
            </w:r>
            <w:r>
              <w:rPr>
                <w:color w:val="AFAFAF"/>
                <w:spacing w:val="6"/>
                <w:w w:val="105"/>
                <w:sz w:val="14"/>
              </w:rPr>
              <w:t> </w:t>
            </w:r>
            <w:r>
              <w:rPr>
                <w:color w:val="AFAFAF"/>
                <w:spacing w:val="-5"/>
                <w:w w:val="105"/>
                <w:sz w:val="14"/>
              </w:rPr>
              <w:t>'.I</w:t>
            </w:r>
          </w:p>
          <w:p>
            <w:pPr>
              <w:pStyle w:val="TableParagraph"/>
              <w:rPr>
                <w:b/>
                <w:sz w:val="14"/>
              </w:rPr>
            </w:pPr>
          </w:p>
          <w:p>
            <w:pPr>
              <w:pStyle w:val="TableParagraph"/>
              <w:spacing w:before="29"/>
              <w:rPr>
                <w:b/>
                <w:sz w:val="14"/>
              </w:rPr>
            </w:pPr>
          </w:p>
          <w:p>
            <w:pPr>
              <w:pStyle w:val="TableParagraph"/>
              <w:spacing w:before="1"/>
              <w:ind w:left="248"/>
              <w:rPr>
                <w:b/>
                <w:sz w:val="20"/>
              </w:rPr>
            </w:pPr>
            <w:r>
              <w:rPr>
                <w:b/>
                <w:color w:val="050505"/>
                <w:sz w:val="20"/>
              </w:rPr>
              <w:t>2022-</w:t>
            </w:r>
            <w:r>
              <w:rPr>
                <w:b/>
                <w:color w:val="050505"/>
                <w:spacing w:val="-5"/>
                <w:sz w:val="20"/>
              </w:rPr>
              <w:t>23</w:t>
            </w:r>
          </w:p>
        </w:tc>
        <w:tc>
          <w:tcPr>
            <w:tcW w:w="2403" w:type="dxa"/>
          </w:tcPr>
          <w:p>
            <w:pPr>
              <w:pStyle w:val="TableParagraph"/>
              <w:rPr>
                <w:rFonts w:ascii="Times New Roman"/>
                <w:sz w:val="18"/>
              </w:rPr>
            </w:pPr>
          </w:p>
        </w:tc>
        <w:tc>
          <w:tcPr>
            <w:tcW w:w="1310" w:type="dxa"/>
          </w:tcPr>
          <w:p>
            <w:pPr>
              <w:pStyle w:val="TableParagraph"/>
              <w:rPr>
                <w:rFonts w:ascii="Times New Roman"/>
                <w:sz w:val="18"/>
              </w:rPr>
            </w:pPr>
          </w:p>
        </w:tc>
        <w:tc>
          <w:tcPr>
            <w:tcW w:w="1592" w:type="dxa"/>
          </w:tcPr>
          <w:p>
            <w:pPr>
              <w:pStyle w:val="TableParagraph"/>
              <w:rPr>
                <w:rFonts w:ascii="Times New Roman"/>
                <w:sz w:val="18"/>
              </w:rPr>
            </w:pPr>
          </w:p>
        </w:tc>
        <w:tc>
          <w:tcPr>
            <w:tcW w:w="1358" w:type="dxa"/>
          </w:tcPr>
          <w:p>
            <w:pPr>
              <w:pStyle w:val="TableParagraph"/>
              <w:rPr>
                <w:rFonts w:ascii="Times New Roman"/>
                <w:sz w:val="18"/>
              </w:rPr>
            </w:pPr>
          </w:p>
        </w:tc>
        <w:tc>
          <w:tcPr>
            <w:tcW w:w="1579" w:type="dxa"/>
          </w:tcPr>
          <w:p>
            <w:pPr>
              <w:pStyle w:val="TableParagraph"/>
              <w:rPr>
                <w:rFonts w:ascii="Times New Roman"/>
                <w:sz w:val="18"/>
              </w:rPr>
            </w:pPr>
          </w:p>
        </w:tc>
        <w:tc>
          <w:tcPr>
            <w:tcW w:w="1100" w:type="dxa"/>
          </w:tcPr>
          <w:p>
            <w:pPr>
              <w:pStyle w:val="TableParagraph"/>
              <w:rPr>
                <w:rFonts w:ascii="Times New Roman"/>
                <w:sz w:val="18"/>
              </w:rPr>
            </w:pPr>
          </w:p>
        </w:tc>
        <w:tc>
          <w:tcPr>
            <w:tcW w:w="1295" w:type="dxa"/>
          </w:tcPr>
          <w:p>
            <w:pPr>
              <w:pStyle w:val="TableParagraph"/>
              <w:rPr>
                <w:b/>
                <w:sz w:val="20"/>
              </w:rPr>
            </w:pPr>
          </w:p>
          <w:p>
            <w:pPr>
              <w:pStyle w:val="TableParagraph"/>
              <w:spacing w:before="139"/>
              <w:rPr>
                <w:b/>
                <w:sz w:val="20"/>
              </w:rPr>
            </w:pPr>
          </w:p>
          <w:p>
            <w:pPr>
              <w:pStyle w:val="TableParagraph"/>
              <w:spacing w:line="214" w:lineRule="exact"/>
              <w:ind w:left="139"/>
              <w:jc w:val="center"/>
              <w:rPr>
                <w:b/>
                <w:sz w:val="20"/>
              </w:rPr>
            </w:pPr>
            <w:r>
              <w:rPr>
                <w:b/>
                <w:color w:val="050505"/>
                <w:spacing w:val="-2"/>
                <w:w w:val="105"/>
                <w:sz w:val="20"/>
              </w:rPr>
              <w:t>Total</w:t>
            </w:r>
          </w:p>
        </w:tc>
      </w:tr>
      <w:tr>
        <w:trPr>
          <w:trHeight w:val="480" w:hRule="atLeast"/>
        </w:trPr>
        <w:tc>
          <w:tcPr>
            <w:tcW w:w="3299" w:type="dxa"/>
          </w:tcPr>
          <w:p>
            <w:pPr>
              <w:pStyle w:val="TableParagraph"/>
              <w:rPr>
                <w:rFonts w:ascii="Times New Roman"/>
                <w:sz w:val="18"/>
              </w:rPr>
            </w:pPr>
          </w:p>
        </w:tc>
        <w:tc>
          <w:tcPr>
            <w:tcW w:w="2403" w:type="dxa"/>
          </w:tcPr>
          <w:p>
            <w:pPr>
              <w:pStyle w:val="TableParagraph"/>
              <w:spacing w:line="225" w:lineRule="exact"/>
              <w:ind w:left="1533"/>
              <w:rPr>
                <w:b/>
                <w:sz w:val="20"/>
              </w:rPr>
            </w:pPr>
            <w:r>
              <w:rPr>
                <w:b/>
                <w:color w:val="050505"/>
                <w:spacing w:val="-2"/>
                <w:w w:val="105"/>
                <w:sz w:val="20"/>
              </w:rPr>
              <w:t>Other</w:t>
            </w:r>
          </w:p>
          <w:p>
            <w:pPr>
              <w:pStyle w:val="TableParagraph"/>
              <w:spacing w:line="235" w:lineRule="exact"/>
              <w:ind w:left="1450"/>
              <w:rPr>
                <w:sz w:val="21"/>
              </w:rPr>
            </w:pPr>
            <w:r>
              <w:rPr>
                <w:color w:val="050505"/>
                <w:w w:val="110"/>
                <w:sz w:val="21"/>
              </w:rPr>
              <w:t>Land</w:t>
            </w:r>
            <w:r>
              <w:rPr>
                <w:color w:val="050505"/>
                <w:spacing w:val="-14"/>
                <w:w w:val="110"/>
                <w:sz w:val="21"/>
              </w:rPr>
              <w:t> </w:t>
            </w:r>
            <w:r>
              <w:rPr>
                <w:color w:val="050505"/>
                <w:spacing w:val="-10"/>
                <w:w w:val="110"/>
                <w:sz w:val="21"/>
              </w:rPr>
              <w:t>&amp;</w:t>
            </w:r>
          </w:p>
        </w:tc>
        <w:tc>
          <w:tcPr>
            <w:tcW w:w="1310" w:type="dxa"/>
          </w:tcPr>
          <w:p>
            <w:pPr>
              <w:pStyle w:val="TableParagraph"/>
              <w:spacing w:line="227" w:lineRule="exact"/>
              <w:ind w:left="207"/>
              <w:rPr>
                <w:b/>
                <w:sz w:val="20"/>
              </w:rPr>
            </w:pPr>
            <w:r>
              <w:rPr>
                <w:b/>
                <w:color w:val="050505"/>
                <w:spacing w:val="-2"/>
                <w:w w:val="105"/>
                <w:sz w:val="20"/>
              </w:rPr>
              <w:t>Vehicles,</w:t>
            </w:r>
          </w:p>
          <w:p>
            <w:pPr>
              <w:pStyle w:val="TableParagraph"/>
              <w:spacing w:before="1" w:line="233" w:lineRule="exact"/>
              <w:ind w:left="298"/>
              <w:rPr>
                <w:sz w:val="21"/>
              </w:rPr>
            </w:pPr>
            <w:r>
              <w:rPr>
                <w:b/>
                <w:color w:val="050505"/>
                <w:w w:val="105"/>
                <w:sz w:val="20"/>
              </w:rPr>
              <w:t>Plant </w:t>
            </w:r>
            <w:r>
              <w:rPr>
                <w:color w:val="050505"/>
                <w:spacing w:val="-10"/>
                <w:w w:val="105"/>
                <w:sz w:val="21"/>
              </w:rPr>
              <w:t>&amp;</w:t>
            </w:r>
          </w:p>
        </w:tc>
        <w:tc>
          <w:tcPr>
            <w:tcW w:w="1592" w:type="dxa"/>
          </w:tcPr>
          <w:p>
            <w:pPr>
              <w:pStyle w:val="TableParagraph"/>
              <w:spacing w:before="7"/>
              <w:rPr>
                <w:b/>
                <w:sz w:val="20"/>
              </w:rPr>
            </w:pPr>
          </w:p>
          <w:p>
            <w:pPr>
              <w:pStyle w:val="TableParagraph"/>
              <w:spacing w:line="223" w:lineRule="exact"/>
              <w:ind w:left="9" w:right="1"/>
              <w:jc w:val="center"/>
              <w:rPr>
                <w:b/>
                <w:sz w:val="20"/>
              </w:rPr>
            </w:pPr>
            <w:r>
              <w:rPr>
                <w:b/>
                <w:color w:val="050505"/>
                <w:spacing w:val="-2"/>
                <w:w w:val="105"/>
                <w:sz w:val="20"/>
              </w:rPr>
              <w:t>Infrastructure</w:t>
            </w:r>
          </w:p>
        </w:tc>
        <w:tc>
          <w:tcPr>
            <w:tcW w:w="1358" w:type="dxa"/>
          </w:tcPr>
          <w:p>
            <w:pPr>
              <w:pStyle w:val="TableParagraph"/>
              <w:spacing w:before="12"/>
              <w:rPr>
                <w:b/>
                <w:sz w:val="20"/>
              </w:rPr>
            </w:pPr>
          </w:p>
          <w:p>
            <w:pPr>
              <w:pStyle w:val="TableParagraph"/>
              <w:spacing w:line="218" w:lineRule="exact"/>
              <w:ind w:left="9" w:right="20"/>
              <w:jc w:val="center"/>
              <w:rPr>
                <w:b/>
                <w:sz w:val="20"/>
              </w:rPr>
            </w:pPr>
            <w:r>
              <w:rPr>
                <w:b/>
                <w:color w:val="050505"/>
                <w:spacing w:val="-2"/>
                <w:w w:val="105"/>
                <w:sz w:val="20"/>
              </w:rPr>
              <w:t>Community</w:t>
            </w:r>
          </w:p>
        </w:tc>
        <w:tc>
          <w:tcPr>
            <w:tcW w:w="1579" w:type="dxa"/>
          </w:tcPr>
          <w:p>
            <w:pPr>
              <w:pStyle w:val="TableParagraph"/>
              <w:spacing w:line="240" w:lineRule="exact"/>
              <w:ind w:left="468" w:hanging="34"/>
              <w:rPr>
                <w:b/>
                <w:sz w:val="20"/>
              </w:rPr>
            </w:pPr>
            <w:r>
              <w:rPr>
                <w:b/>
                <w:color w:val="050505"/>
                <w:spacing w:val="-2"/>
                <w:sz w:val="20"/>
              </w:rPr>
              <w:t>Assets </w:t>
            </w:r>
            <w:r>
              <w:rPr>
                <w:b/>
                <w:color w:val="050505"/>
                <w:spacing w:val="-2"/>
                <w:w w:val="105"/>
                <w:sz w:val="20"/>
              </w:rPr>
              <w:t>Under</w:t>
            </w:r>
          </w:p>
        </w:tc>
        <w:tc>
          <w:tcPr>
            <w:tcW w:w="1100" w:type="dxa"/>
          </w:tcPr>
          <w:p>
            <w:pPr>
              <w:pStyle w:val="TableParagraph"/>
              <w:spacing w:before="17"/>
              <w:rPr>
                <w:b/>
                <w:sz w:val="20"/>
              </w:rPr>
            </w:pPr>
          </w:p>
          <w:p>
            <w:pPr>
              <w:pStyle w:val="TableParagraph"/>
              <w:spacing w:line="214" w:lineRule="exact"/>
              <w:ind w:left="20" w:right="12"/>
              <w:jc w:val="center"/>
              <w:rPr>
                <w:b/>
                <w:sz w:val="20"/>
              </w:rPr>
            </w:pPr>
            <w:r>
              <w:rPr>
                <w:b/>
                <w:color w:val="050505"/>
                <w:spacing w:val="-2"/>
                <w:w w:val="105"/>
                <w:sz w:val="20"/>
              </w:rPr>
              <w:t>Surplus</w:t>
            </w:r>
          </w:p>
        </w:tc>
        <w:tc>
          <w:tcPr>
            <w:tcW w:w="1295" w:type="dxa"/>
          </w:tcPr>
          <w:p>
            <w:pPr>
              <w:pStyle w:val="TableParagraph"/>
              <w:spacing w:line="240" w:lineRule="exact"/>
              <w:ind w:left="232" w:firstLine="48"/>
              <w:rPr>
                <w:b/>
                <w:sz w:val="20"/>
              </w:rPr>
            </w:pPr>
            <w:r>
              <w:rPr>
                <w:b/>
                <w:color w:val="050505"/>
                <w:spacing w:val="-2"/>
                <w:w w:val="105"/>
                <w:sz w:val="20"/>
              </w:rPr>
              <w:t>Property </w:t>
            </w:r>
            <w:r>
              <w:rPr>
                <w:b/>
                <w:color w:val="050505"/>
                <w:w w:val="105"/>
                <w:sz w:val="20"/>
              </w:rPr>
              <w:t>Plant</w:t>
            </w:r>
            <w:r>
              <w:rPr>
                <w:b/>
                <w:color w:val="050505"/>
                <w:spacing w:val="2"/>
                <w:w w:val="105"/>
                <w:sz w:val="20"/>
              </w:rPr>
              <w:t> </w:t>
            </w:r>
            <w:r>
              <w:rPr>
                <w:b/>
                <w:color w:val="050505"/>
                <w:spacing w:val="-5"/>
                <w:w w:val="105"/>
                <w:sz w:val="20"/>
              </w:rPr>
              <w:t>and</w:t>
            </w:r>
          </w:p>
        </w:tc>
      </w:tr>
      <w:tr>
        <w:trPr>
          <w:trHeight w:val="253" w:hRule="atLeast"/>
        </w:trPr>
        <w:tc>
          <w:tcPr>
            <w:tcW w:w="3299" w:type="dxa"/>
          </w:tcPr>
          <w:p>
            <w:pPr>
              <w:pStyle w:val="TableParagraph"/>
              <w:rPr>
                <w:rFonts w:ascii="Times New Roman"/>
                <w:sz w:val="18"/>
              </w:rPr>
            </w:pPr>
          </w:p>
        </w:tc>
        <w:tc>
          <w:tcPr>
            <w:tcW w:w="2403" w:type="dxa"/>
          </w:tcPr>
          <w:p>
            <w:pPr>
              <w:pStyle w:val="TableParagraph"/>
              <w:spacing w:line="227" w:lineRule="exact"/>
              <w:ind w:left="1224" w:right="8"/>
              <w:jc w:val="center"/>
              <w:rPr>
                <w:b/>
                <w:sz w:val="20"/>
              </w:rPr>
            </w:pPr>
            <w:r>
              <w:rPr>
                <w:b/>
                <w:color w:val="050505"/>
                <w:spacing w:val="-2"/>
                <w:w w:val="105"/>
                <w:sz w:val="20"/>
              </w:rPr>
              <w:t>Buildings</w:t>
            </w:r>
          </w:p>
        </w:tc>
        <w:tc>
          <w:tcPr>
            <w:tcW w:w="1310" w:type="dxa"/>
          </w:tcPr>
          <w:p>
            <w:pPr>
              <w:pStyle w:val="TableParagraph"/>
              <w:spacing w:line="227" w:lineRule="exact"/>
              <w:ind w:left="12" w:right="4"/>
              <w:jc w:val="center"/>
              <w:rPr>
                <w:b/>
                <w:sz w:val="20"/>
              </w:rPr>
            </w:pPr>
            <w:r>
              <w:rPr>
                <w:b/>
                <w:color w:val="050505"/>
                <w:spacing w:val="-2"/>
                <w:w w:val="105"/>
                <w:sz w:val="20"/>
              </w:rPr>
              <w:t>Equipment</w:t>
            </w:r>
          </w:p>
        </w:tc>
        <w:tc>
          <w:tcPr>
            <w:tcW w:w="1592" w:type="dxa"/>
          </w:tcPr>
          <w:p>
            <w:pPr>
              <w:pStyle w:val="TableParagraph"/>
              <w:spacing w:line="227" w:lineRule="exact"/>
              <w:ind w:left="8" w:right="9"/>
              <w:jc w:val="center"/>
              <w:rPr>
                <w:b/>
                <w:sz w:val="20"/>
              </w:rPr>
            </w:pPr>
            <w:r>
              <w:rPr>
                <w:b/>
                <w:color w:val="050505"/>
                <w:spacing w:val="-2"/>
                <w:w w:val="105"/>
                <w:sz w:val="20"/>
              </w:rPr>
              <w:t>Assets</w:t>
            </w:r>
          </w:p>
        </w:tc>
        <w:tc>
          <w:tcPr>
            <w:tcW w:w="1358" w:type="dxa"/>
          </w:tcPr>
          <w:p>
            <w:pPr>
              <w:pStyle w:val="TableParagraph"/>
              <w:spacing w:before="2"/>
              <w:ind w:left="11" w:right="11"/>
              <w:jc w:val="center"/>
              <w:rPr>
                <w:b/>
                <w:sz w:val="20"/>
              </w:rPr>
            </w:pPr>
            <w:r>
              <w:rPr>
                <w:b/>
                <w:color w:val="050505"/>
                <w:spacing w:val="-2"/>
                <w:w w:val="105"/>
                <w:sz w:val="20"/>
              </w:rPr>
              <w:t>Assets</w:t>
            </w:r>
          </w:p>
        </w:tc>
        <w:tc>
          <w:tcPr>
            <w:tcW w:w="1579" w:type="dxa"/>
          </w:tcPr>
          <w:p>
            <w:pPr>
              <w:pStyle w:val="TableParagraph"/>
              <w:spacing w:before="2"/>
              <w:ind w:right="37"/>
              <w:jc w:val="center"/>
              <w:rPr>
                <w:b/>
                <w:sz w:val="20"/>
              </w:rPr>
            </w:pPr>
            <w:r>
              <w:rPr>
                <w:b/>
                <w:color w:val="050505"/>
                <w:spacing w:val="-2"/>
                <w:w w:val="105"/>
                <w:sz w:val="20"/>
              </w:rPr>
              <w:t>Construction</w:t>
            </w:r>
          </w:p>
        </w:tc>
        <w:tc>
          <w:tcPr>
            <w:tcW w:w="1100" w:type="dxa"/>
          </w:tcPr>
          <w:p>
            <w:pPr>
              <w:pStyle w:val="TableParagraph"/>
              <w:spacing w:before="7" w:line="227" w:lineRule="exact"/>
              <w:ind w:left="20" w:right="3"/>
              <w:jc w:val="center"/>
              <w:rPr>
                <w:b/>
                <w:sz w:val="20"/>
              </w:rPr>
            </w:pPr>
            <w:r>
              <w:rPr>
                <w:b/>
                <w:color w:val="050505"/>
                <w:spacing w:val="-2"/>
                <w:w w:val="105"/>
                <w:sz w:val="20"/>
              </w:rPr>
              <w:t>Assets</w:t>
            </w:r>
          </w:p>
        </w:tc>
        <w:tc>
          <w:tcPr>
            <w:tcW w:w="1295" w:type="dxa"/>
          </w:tcPr>
          <w:p>
            <w:pPr>
              <w:pStyle w:val="TableParagraph"/>
              <w:spacing w:line="233" w:lineRule="exact"/>
              <w:ind w:left="139" w:right="23"/>
              <w:jc w:val="center"/>
              <w:rPr>
                <w:sz w:val="21"/>
              </w:rPr>
            </w:pPr>
            <w:r>
              <w:rPr>
                <w:color w:val="050505"/>
                <w:spacing w:val="-2"/>
                <w:w w:val="110"/>
                <w:sz w:val="21"/>
              </w:rPr>
              <w:t>Equipment</w:t>
            </w:r>
          </w:p>
        </w:tc>
      </w:tr>
      <w:tr>
        <w:trPr>
          <w:trHeight w:val="473" w:hRule="atLeast"/>
        </w:trPr>
        <w:tc>
          <w:tcPr>
            <w:tcW w:w="3299" w:type="dxa"/>
          </w:tcPr>
          <w:p>
            <w:pPr>
              <w:pStyle w:val="TableParagraph"/>
              <w:spacing w:before="13"/>
              <w:rPr>
                <w:b/>
                <w:sz w:val="20"/>
              </w:rPr>
            </w:pPr>
          </w:p>
          <w:p>
            <w:pPr>
              <w:pStyle w:val="TableParagraph"/>
              <w:spacing w:before="1" w:line="210" w:lineRule="exact"/>
              <w:ind w:left="238"/>
              <w:rPr>
                <w:b/>
                <w:sz w:val="20"/>
              </w:rPr>
            </w:pPr>
            <w:r>
              <w:rPr>
                <w:b/>
                <w:color w:val="050505"/>
                <w:w w:val="105"/>
                <w:sz w:val="20"/>
              </w:rPr>
              <w:t>Cost</w:t>
            </w:r>
            <w:r>
              <w:rPr>
                <w:b/>
                <w:color w:val="050505"/>
                <w:spacing w:val="-2"/>
                <w:w w:val="105"/>
                <w:sz w:val="20"/>
              </w:rPr>
              <w:t> </w:t>
            </w:r>
            <w:r>
              <w:rPr>
                <w:b/>
                <w:color w:val="050505"/>
                <w:w w:val="105"/>
                <w:sz w:val="20"/>
              </w:rPr>
              <w:t>or</w:t>
            </w:r>
            <w:r>
              <w:rPr>
                <w:b/>
                <w:color w:val="050505"/>
                <w:spacing w:val="-2"/>
                <w:w w:val="105"/>
                <w:sz w:val="20"/>
              </w:rPr>
              <w:t> Valuation</w:t>
            </w:r>
          </w:p>
        </w:tc>
        <w:tc>
          <w:tcPr>
            <w:tcW w:w="2403" w:type="dxa"/>
          </w:tcPr>
          <w:p>
            <w:pPr>
              <w:pStyle w:val="TableParagraph"/>
              <w:spacing w:before="8"/>
              <w:ind w:left="1224"/>
              <w:jc w:val="center"/>
              <w:rPr>
                <w:b/>
                <w:sz w:val="20"/>
              </w:rPr>
            </w:pPr>
            <w:r>
              <w:rPr>
                <w:b/>
                <w:color w:val="050505"/>
                <w:spacing w:val="-4"/>
                <w:w w:val="105"/>
                <w:sz w:val="20"/>
              </w:rPr>
              <w:t>£000</w:t>
            </w:r>
          </w:p>
        </w:tc>
        <w:tc>
          <w:tcPr>
            <w:tcW w:w="1310" w:type="dxa"/>
          </w:tcPr>
          <w:p>
            <w:pPr>
              <w:pStyle w:val="TableParagraph"/>
              <w:spacing w:before="8"/>
              <w:ind w:left="12"/>
              <w:jc w:val="center"/>
              <w:rPr>
                <w:b/>
                <w:sz w:val="20"/>
              </w:rPr>
            </w:pPr>
            <w:r>
              <w:rPr>
                <w:b/>
                <w:color w:val="050505"/>
                <w:spacing w:val="-4"/>
                <w:w w:val="105"/>
                <w:sz w:val="20"/>
              </w:rPr>
              <w:t>£000</w:t>
            </w:r>
          </w:p>
        </w:tc>
        <w:tc>
          <w:tcPr>
            <w:tcW w:w="1592" w:type="dxa"/>
          </w:tcPr>
          <w:p>
            <w:pPr>
              <w:pStyle w:val="TableParagraph"/>
              <w:spacing w:before="13"/>
              <w:ind w:left="8" w:right="9"/>
              <w:jc w:val="center"/>
              <w:rPr>
                <w:b/>
                <w:sz w:val="20"/>
              </w:rPr>
            </w:pPr>
            <w:r>
              <w:rPr>
                <w:b/>
                <w:color w:val="050505"/>
                <w:spacing w:val="-4"/>
                <w:w w:val="105"/>
                <w:sz w:val="20"/>
              </w:rPr>
              <w:t>£000</w:t>
            </w:r>
          </w:p>
        </w:tc>
        <w:tc>
          <w:tcPr>
            <w:tcW w:w="1358" w:type="dxa"/>
          </w:tcPr>
          <w:p>
            <w:pPr>
              <w:pStyle w:val="TableParagraph"/>
              <w:spacing w:before="13"/>
              <w:ind w:left="20" w:right="11"/>
              <w:jc w:val="center"/>
              <w:rPr>
                <w:b/>
                <w:sz w:val="20"/>
              </w:rPr>
            </w:pPr>
            <w:r>
              <w:rPr>
                <w:b/>
                <w:color w:val="050505"/>
                <w:spacing w:val="-4"/>
                <w:w w:val="105"/>
                <w:sz w:val="20"/>
              </w:rPr>
              <w:t>£000</w:t>
            </w:r>
          </w:p>
        </w:tc>
        <w:tc>
          <w:tcPr>
            <w:tcW w:w="1579" w:type="dxa"/>
          </w:tcPr>
          <w:p>
            <w:pPr>
              <w:pStyle w:val="TableParagraph"/>
              <w:spacing w:before="18"/>
              <w:ind w:left="17" w:right="37"/>
              <w:jc w:val="center"/>
              <w:rPr>
                <w:b/>
                <w:sz w:val="20"/>
              </w:rPr>
            </w:pPr>
            <w:r>
              <w:rPr>
                <w:b/>
                <w:color w:val="050505"/>
                <w:spacing w:val="-4"/>
                <w:w w:val="105"/>
                <w:sz w:val="20"/>
              </w:rPr>
              <w:t>£000</w:t>
            </w:r>
          </w:p>
        </w:tc>
        <w:tc>
          <w:tcPr>
            <w:tcW w:w="1100" w:type="dxa"/>
          </w:tcPr>
          <w:p>
            <w:pPr>
              <w:pStyle w:val="TableParagraph"/>
              <w:spacing w:before="18"/>
              <w:ind w:left="20"/>
              <w:jc w:val="center"/>
              <w:rPr>
                <w:b/>
                <w:sz w:val="20"/>
              </w:rPr>
            </w:pPr>
            <w:r>
              <w:rPr>
                <w:b/>
                <w:color w:val="050505"/>
                <w:spacing w:val="-4"/>
                <w:w w:val="105"/>
                <w:sz w:val="20"/>
              </w:rPr>
              <w:t>£000</w:t>
            </w:r>
          </w:p>
        </w:tc>
        <w:tc>
          <w:tcPr>
            <w:tcW w:w="1295" w:type="dxa"/>
          </w:tcPr>
          <w:p>
            <w:pPr>
              <w:pStyle w:val="TableParagraph"/>
              <w:spacing w:before="18"/>
              <w:ind w:left="139" w:right="13"/>
              <w:jc w:val="center"/>
              <w:rPr>
                <w:b/>
                <w:sz w:val="20"/>
              </w:rPr>
            </w:pPr>
            <w:r>
              <w:rPr>
                <w:b/>
                <w:color w:val="050505"/>
                <w:spacing w:val="-4"/>
                <w:w w:val="105"/>
                <w:sz w:val="20"/>
              </w:rPr>
              <w:t>£000</w:t>
            </w:r>
          </w:p>
        </w:tc>
      </w:tr>
    </w:tbl>
    <w:p>
      <w:pPr>
        <w:spacing w:before="50"/>
        <w:ind w:left="587" w:right="0" w:firstLine="0"/>
        <w:jc w:val="left"/>
        <w:rPr>
          <w:b/>
          <w:sz w:val="20"/>
        </w:rPr>
      </w:pPr>
      <w:r>
        <w:rPr/>
        <ve:AlternateContent>
          <ve:Choice Requires="wps">
            <w:drawing>
              <wp:anchor distT="0" distB="0" distL="0" distR="0" simplePos="0" relativeHeight="15792128" behindDoc="0" locked="0" layoutInCell="1" allowOverlap="1">
                <wp:simplePos x="0" y="0"/>
                <wp:positionH relativeFrom="page">
                  <wp:posOffset>3695020</wp:posOffset>
                </wp:positionH>
                <wp:positionV relativeFrom="paragraph">
                  <wp:posOffset>-2651</wp:posOffset>
                </wp:positionV>
                <wp:extent cx="5891530" cy="1475739"/>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5891530" cy="1475739"/>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04"/>
                              <w:gridCol w:w="1537"/>
                              <w:gridCol w:w="1387"/>
                              <w:gridCol w:w="1387"/>
                              <w:gridCol w:w="1654"/>
                              <w:gridCol w:w="910"/>
                              <w:gridCol w:w="1076"/>
                            </w:tblGrid>
                            <w:tr>
                              <w:trPr>
                                <w:trHeight w:val="344" w:hRule="atLeast"/>
                              </w:trPr>
                              <w:tc>
                                <w:tcPr>
                                  <w:tcW w:w="1204" w:type="dxa"/>
                                </w:tcPr>
                                <w:p>
                                  <w:pPr>
                                    <w:pStyle w:val="TableParagraph"/>
                                    <w:spacing w:before="59"/>
                                    <w:ind w:right="391"/>
                                    <w:jc w:val="right"/>
                                    <w:rPr>
                                      <w:b/>
                                      <w:sz w:val="20"/>
                                    </w:rPr>
                                  </w:pPr>
                                  <w:r>
                                    <w:rPr>
                                      <w:b/>
                                      <w:color w:val="050505"/>
                                      <w:spacing w:val="-2"/>
                                      <w:w w:val="105"/>
                                      <w:sz w:val="20"/>
                                    </w:rPr>
                                    <w:t>142,723</w:t>
                                  </w:r>
                                </w:p>
                              </w:tc>
                              <w:tc>
                                <w:tcPr>
                                  <w:tcW w:w="1537" w:type="dxa"/>
                                </w:tcPr>
                                <w:p>
                                  <w:pPr>
                                    <w:pStyle w:val="TableParagraph"/>
                                    <w:spacing w:before="59"/>
                                    <w:ind w:right="625"/>
                                    <w:jc w:val="right"/>
                                    <w:rPr>
                                      <w:b/>
                                      <w:sz w:val="20"/>
                                    </w:rPr>
                                  </w:pPr>
                                  <w:r>
                                    <w:rPr>
                                      <w:b/>
                                      <w:color w:val="050505"/>
                                      <w:spacing w:val="-2"/>
                                      <w:w w:val="105"/>
                                      <w:sz w:val="20"/>
                                    </w:rPr>
                                    <w:t>6,706</w:t>
                                  </w:r>
                                </w:p>
                              </w:tc>
                              <w:tc>
                                <w:tcPr>
                                  <w:tcW w:w="1387" w:type="dxa"/>
                                </w:tcPr>
                                <w:p>
                                  <w:pPr>
                                    <w:pStyle w:val="TableParagraph"/>
                                    <w:spacing w:before="64"/>
                                    <w:ind w:right="420"/>
                                    <w:jc w:val="right"/>
                                    <w:rPr>
                                      <w:b/>
                                      <w:sz w:val="20"/>
                                    </w:rPr>
                                  </w:pPr>
                                  <w:r>
                                    <w:rPr>
                                      <w:b/>
                                      <w:color w:val="050505"/>
                                      <w:spacing w:val="-5"/>
                                      <w:w w:val="105"/>
                                      <w:sz w:val="20"/>
                                    </w:rPr>
                                    <w:t>524</w:t>
                                  </w:r>
                                </w:p>
                              </w:tc>
                              <w:tc>
                                <w:tcPr>
                                  <w:tcW w:w="1387" w:type="dxa"/>
                                </w:tcPr>
                                <w:p>
                                  <w:pPr>
                                    <w:pStyle w:val="TableParagraph"/>
                                    <w:spacing w:before="64"/>
                                    <w:ind w:right="438"/>
                                    <w:jc w:val="right"/>
                                    <w:rPr>
                                      <w:b/>
                                      <w:sz w:val="20"/>
                                    </w:rPr>
                                  </w:pPr>
                                  <w:r>
                                    <w:rPr>
                                      <w:b/>
                                      <w:color w:val="050505"/>
                                      <w:spacing w:val="-2"/>
                                      <w:w w:val="105"/>
                                      <w:sz w:val="20"/>
                                    </w:rPr>
                                    <w:t>2,251</w:t>
                                  </w:r>
                                </w:p>
                              </w:tc>
                              <w:tc>
                                <w:tcPr>
                                  <w:tcW w:w="1654" w:type="dxa"/>
                                </w:tcPr>
                                <w:p>
                                  <w:pPr>
                                    <w:pStyle w:val="TableParagraph"/>
                                    <w:spacing w:before="69"/>
                                    <w:ind w:right="567"/>
                                    <w:jc w:val="right"/>
                                    <w:rPr>
                                      <w:b/>
                                      <w:sz w:val="20"/>
                                    </w:rPr>
                                  </w:pPr>
                                  <w:r>
                                    <w:rPr>
                                      <w:b/>
                                      <w:color w:val="050505"/>
                                      <w:spacing w:val="-2"/>
                                      <w:w w:val="105"/>
                                      <w:sz w:val="20"/>
                                    </w:rPr>
                                    <w:t>15,235</w:t>
                                  </w:r>
                                </w:p>
                              </w:tc>
                              <w:tc>
                                <w:tcPr>
                                  <w:tcW w:w="910" w:type="dxa"/>
                                </w:tcPr>
                                <w:p>
                                  <w:pPr>
                                    <w:pStyle w:val="TableParagraph"/>
                                    <w:spacing w:line="324" w:lineRule="exact"/>
                                    <w:ind w:right="265"/>
                                    <w:jc w:val="right"/>
                                    <w:rPr>
                                      <w:sz w:val="32"/>
                                    </w:rPr>
                                  </w:pPr>
                                  <w:r>
                                    <w:rPr>
                                      <w:color w:val="050505"/>
                                      <w:spacing w:val="-10"/>
                                      <w:w w:val="80"/>
                                      <w:sz w:val="32"/>
                                    </w:rPr>
                                    <w:t>-</w:t>
                                  </w:r>
                                </w:p>
                              </w:tc>
                              <w:tc>
                                <w:tcPr>
                                  <w:tcW w:w="1076" w:type="dxa"/>
                                </w:tcPr>
                                <w:p>
                                  <w:pPr>
                                    <w:pStyle w:val="TableParagraph"/>
                                    <w:spacing w:before="69"/>
                                    <w:ind w:right="53"/>
                                    <w:jc w:val="right"/>
                                    <w:rPr>
                                      <w:b/>
                                      <w:sz w:val="20"/>
                                    </w:rPr>
                                  </w:pPr>
                                  <w:r>
                                    <w:rPr>
                                      <w:b/>
                                      <w:color w:val="050505"/>
                                      <w:spacing w:val="-2"/>
                                      <w:w w:val="105"/>
                                      <w:sz w:val="20"/>
                                    </w:rPr>
                                    <w:t>167,439</w:t>
                                  </w:r>
                                </w:p>
                              </w:tc>
                            </w:tr>
                            <w:tr>
                              <w:trPr>
                                <w:trHeight w:val="335" w:hRule="atLeast"/>
                              </w:trPr>
                              <w:tc>
                                <w:tcPr>
                                  <w:tcW w:w="1204" w:type="dxa"/>
                                </w:tcPr>
                                <w:p>
                                  <w:pPr>
                                    <w:pStyle w:val="TableParagraph"/>
                                    <w:spacing w:line="210" w:lineRule="exact"/>
                                    <w:ind w:right="385"/>
                                    <w:jc w:val="right"/>
                                    <w:rPr>
                                      <w:sz w:val="20"/>
                                    </w:rPr>
                                  </w:pPr>
                                  <w:r>
                                    <w:rPr>
                                      <w:color w:val="050505"/>
                                      <w:spacing w:val="-2"/>
                                      <w:w w:val="105"/>
                                      <w:sz w:val="20"/>
                                    </w:rPr>
                                    <w:t>4,311</w:t>
                                  </w:r>
                                </w:p>
                              </w:tc>
                              <w:tc>
                                <w:tcPr>
                                  <w:tcW w:w="1537" w:type="dxa"/>
                                </w:tcPr>
                                <w:p>
                                  <w:pPr>
                                    <w:pStyle w:val="TableParagraph"/>
                                    <w:spacing w:line="214" w:lineRule="exact"/>
                                    <w:ind w:right="614"/>
                                    <w:jc w:val="right"/>
                                    <w:rPr>
                                      <w:sz w:val="20"/>
                                    </w:rPr>
                                  </w:pPr>
                                  <w:r>
                                    <w:rPr>
                                      <w:color w:val="050505"/>
                                      <w:spacing w:val="-2"/>
                                      <w:w w:val="105"/>
                                      <w:sz w:val="20"/>
                                    </w:rPr>
                                    <w:t>1,981</w:t>
                                  </w:r>
                                </w:p>
                              </w:tc>
                              <w:tc>
                                <w:tcPr>
                                  <w:tcW w:w="1387" w:type="dxa"/>
                                </w:tcPr>
                                <w:p>
                                  <w:pPr>
                                    <w:pStyle w:val="TableParagraph"/>
                                    <w:spacing w:line="219" w:lineRule="exact"/>
                                    <w:ind w:right="417"/>
                                    <w:jc w:val="right"/>
                                    <w:rPr>
                                      <w:sz w:val="20"/>
                                    </w:rPr>
                                  </w:pPr>
                                  <w:r>
                                    <w:rPr>
                                      <w:color w:val="050505"/>
                                      <w:spacing w:val="-10"/>
                                      <w:w w:val="105"/>
                                      <w:sz w:val="20"/>
                                    </w:rPr>
                                    <w:t>-</w:t>
                                  </w:r>
                                </w:p>
                              </w:tc>
                              <w:tc>
                                <w:tcPr>
                                  <w:tcW w:w="1387" w:type="dxa"/>
                                </w:tcPr>
                                <w:p>
                                  <w:pPr>
                                    <w:pStyle w:val="TableParagraph"/>
                                    <w:spacing w:line="219" w:lineRule="exact"/>
                                    <w:ind w:right="437"/>
                                    <w:jc w:val="right"/>
                                    <w:rPr>
                                      <w:sz w:val="20"/>
                                    </w:rPr>
                                  </w:pPr>
                                  <w:r>
                                    <w:rPr>
                                      <w:color w:val="050505"/>
                                      <w:spacing w:val="-5"/>
                                      <w:w w:val="105"/>
                                      <w:sz w:val="20"/>
                                    </w:rPr>
                                    <w:t>41</w:t>
                                  </w:r>
                                </w:p>
                              </w:tc>
                              <w:tc>
                                <w:tcPr>
                                  <w:tcW w:w="1654" w:type="dxa"/>
                                </w:tcPr>
                                <w:p>
                                  <w:pPr>
                                    <w:pStyle w:val="TableParagraph"/>
                                    <w:spacing w:line="219" w:lineRule="exact"/>
                                    <w:ind w:right="560"/>
                                    <w:jc w:val="right"/>
                                    <w:rPr>
                                      <w:sz w:val="20"/>
                                    </w:rPr>
                                  </w:pPr>
                                  <w:r>
                                    <w:rPr>
                                      <w:color w:val="050505"/>
                                      <w:spacing w:val="-2"/>
                                      <w:w w:val="105"/>
                                      <w:sz w:val="20"/>
                                    </w:rPr>
                                    <w:t>4,828</w:t>
                                  </w:r>
                                </w:p>
                              </w:tc>
                              <w:tc>
                                <w:tcPr>
                                  <w:tcW w:w="910" w:type="dxa"/>
                                </w:tcPr>
                                <w:p>
                                  <w:pPr>
                                    <w:pStyle w:val="TableParagraph"/>
                                    <w:spacing w:line="233" w:lineRule="exact"/>
                                    <w:ind w:right="261"/>
                                    <w:jc w:val="right"/>
                                    <w:rPr>
                                      <w:sz w:val="22"/>
                                    </w:rPr>
                                  </w:pPr>
                                  <w:r>
                                    <w:rPr>
                                      <w:color w:val="313131"/>
                                      <w:spacing w:val="-10"/>
                                      <w:w w:val="110"/>
                                      <w:sz w:val="22"/>
                                    </w:rPr>
                                    <w:t>-</w:t>
                                  </w:r>
                                </w:p>
                              </w:tc>
                              <w:tc>
                                <w:tcPr>
                                  <w:tcW w:w="1076" w:type="dxa"/>
                                </w:tcPr>
                                <w:p>
                                  <w:pPr>
                                    <w:pStyle w:val="TableParagraph"/>
                                    <w:spacing w:line="219" w:lineRule="exact"/>
                                    <w:ind w:right="47"/>
                                    <w:jc w:val="right"/>
                                    <w:rPr>
                                      <w:b/>
                                      <w:sz w:val="20"/>
                                    </w:rPr>
                                  </w:pPr>
                                  <w:r>
                                    <w:rPr>
                                      <w:b/>
                                      <w:color w:val="050505"/>
                                      <w:spacing w:val="-2"/>
                                      <w:w w:val="105"/>
                                      <w:sz w:val="20"/>
                                    </w:rPr>
                                    <w:t>11,161</w:t>
                                  </w:r>
                                </w:p>
                              </w:tc>
                            </w:tr>
                            <w:tr>
                              <w:trPr>
                                <w:trHeight w:val="563" w:hRule="atLeast"/>
                              </w:trPr>
                              <w:tc>
                                <w:tcPr>
                                  <w:tcW w:w="1204" w:type="dxa"/>
                                </w:tcPr>
                                <w:p>
                                  <w:pPr>
                                    <w:pStyle w:val="TableParagraph"/>
                                    <w:spacing w:before="135"/>
                                    <w:ind w:right="389"/>
                                    <w:jc w:val="right"/>
                                    <w:rPr>
                                      <w:sz w:val="20"/>
                                    </w:rPr>
                                  </w:pPr>
                                  <w:r>
                                    <w:rPr>
                                      <w:color w:val="050505"/>
                                      <w:spacing w:val="-2"/>
                                      <w:w w:val="105"/>
                                      <w:sz w:val="20"/>
                                    </w:rPr>
                                    <w:t>18,708</w:t>
                                  </w:r>
                                </w:p>
                              </w:tc>
                              <w:tc>
                                <w:tcPr>
                                  <w:tcW w:w="1537" w:type="dxa"/>
                                </w:tcPr>
                                <w:p>
                                  <w:pPr>
                                    <w:pStyle w:val="TableParagraph"/>
                                    <w:spacing w:before="93"/>
                                    <w:ind w:right="608"/>
                                    <w:jc w:val="right"/>
                                    <w:rPr>
                                      <w:sz w:val="27"/>
                                    </w:rPr>
                                  </w:pPr>
                                  <w:r>
                                    <w:rPr>
                                      <w:color w:val="313131"/>
                                      <w:spacing w:val="-10"/>
                                      <w:sz w:val="27"/>
                                    </w:rPr>
                                    <w:t>-</w:t>
                                  </w:r>
                                </w:p>
                              </w:tc>
                              <w:tc>
                                <w:tcPr>
                                  <w:tcW w:w="1387" w:type="dxa"/>
                                </w:tcPr>
                                <w:p>
                                  <w:pPr>
                                    <w:pStyle w:val="TableParagraph"/>
                                    <w:spacing w:before="144"/>
                                    <w:ind w:right="428"/>
                                    <w:jc w:val="right"/>
                                    <w:rPr>
                                      <w:sz w:val="20"/>
                                    </w:rPr>
                                  </w:pPr>
                                  <w:r>
                                    <w:rPr>
                                      <w:color w:val="313131"/>
                                      <w:spacing w:val="-10"/>
                                      <w:sz w:val="20"/>
                                    </w:rPr>
                                    <w:t>-</w:t>
                                  </w:r>
                                </w:p>
                              </w:tc>
                              <w:tc>
                                <w:tcPr>
                                  <w:tcW w:w="1387" w:type="dxa"/>
                                </w:tcPr>
                                <w:p>
                                  <w:pPr>
                                    <w:pStyle w:val="TableParagraph"/>
                                    <w:rPr>
                                      <w:rFonts w:ascii="Times New Roman"/>
                                      <w:sz w:val="18"/>
                                    </w:rPr>
                                  </w:pPr>
                                </w:p>
                              </w:tc>
                              <w:tc>
                                <w:tcPr>
                                  <w:tcW w:w="1654" w:type="dxa"/>
                                </w:tcPr>
                                <w:p>
                                  <w:pPr>
                                    <w:pStyle w:val="TableParagraph"/>
                                    <w:spacing w:before="164"/>
                                    <w:ind w:right="564"/>
                                    <w:jc w:val="right"/>
                                    <w:rPr>
                                      <w:sz w:val="20"/>
                                    </w:rPr>
                                  </w:pPr>
                                  <w:r>
                                    <w:rPr>
                                      <w:color w:val="313131"/>
                                      <w:spacing w:val="-10"/>
                                      <w:sz w:val="20"/>
                                    </w:rPr>
                                    <w:t>-</w:t>
                                  </w:r>
                                </w:p>
                              </w:tc>
                              <w:tc>
                                <w:tcPr>
                                  <w:tcW w:w="910" w:type="dxa"/>
                                </w:tcPr>
                                <w:p>
                                  <w:pPr>
                                    <w:pStyle w:val="TableParagraph"/>
                                    <w:rPr>
                                      <w:rFonts w:ascii="Times New Roman"/>
                                      <w:sz w:val="18"/>
                                    </w:rPr>
                                  </w:pPr>
                                </w:p>
                              </w:tc>
                              <w:tc>
                                <w:tcPr>
                                  <w:tcW w:w="1076" w:type="dxa"/>
                                </w:tcPr>
                                <w:p>
                                  <w:pPr>
                                    <w:pStyle w:val="TableParagraph"/>
                                    <w:spacing w:before="149"/>
                                    <w:ind w:right="47"/>
                                    <w:jc w:val="right"/>
                                    <w:rPr>
                                      <w:b/>
                                      <w:sz w:val="20"/>
                                    </w:rPr>
                                  </w:pPr>
                                  <w:r>
                                    <w:rPr>
                                      <w:b/>
                                      <w:color w:val="050505"/>
                                      <w:spacing w:val="-2"/>
                                      <w:w w:val="105"/>
                                      <w:sz w:val="20"/>
                                    </w:rPr>
                                    <w:t>18,708</w:t>
                                  </w:r>
                                </w:p>
                              </w:tc>
                            </w:tr>
                            <w:tr>
                              <w:trPr>
                                <w:trHeight w:val="595" w:hRule="atLeast"/>
                              </w:trPr>
                              <w:tc>
                                <w:tcPr>
                                  <w:tcW w:w="1204" w:type="dxa"/>
                                </w:tcPr>
                                <w:p>
                                  <w:pPr>
                                    <w:pStyle w:val="TableParagraph"/>
                                    <w:spacing w:before="187"/>
                                    <w:ind w:right="396"/>
                                    <w:jc w:val="right"/>
                                    <w:rPr>
                                      <w:sz w:val="20"/>
                                    </w:rPr>
                                  </w:pPr>
                                  <w:r>
                                    <w:rPr>
                                      <w:color w:val="050505"/>
                                      <w:spacing w:val="-2"/>
                                      <w:w w:val="105"/>
                                      <w:sz w:val="20"/>
                                    </w:rPr>
                                    <w:t>(3,465)</w:t>
                                  </w:r>
                                </w:p>
                              </w:tc>
                              <w:tc>
                                <w:tcPr>
                                  <w:tcW w:w="1537" w:type="dxa"/>
                                </w:tcPr>
                                <w:p>
                                  <w:pPr>
                                    <w:pStyle w:val="TableParagraph"/>
                                    <w:spacing w:before="192"/>
                                    <w:ind w:right="618"/>
                                    <w:jc w:val="right"/>
                                    <w:rPr>
                                      <w:sz w:val="20"/>
                                    </w:rPr>
                                  </w:pPr>
                                  <w:r>
                                    <w:rPr>
                                      <w:color w:val="313131"/>
                                      <w:spacing w:val="-10"/>
                                      <w:w w:val="105"/>
                                      <w:sz w:val="20"/>
                                    </w:rPr>
                                    <w:t>-</w:t>
                                  </w:r>
                                </w:p>
                              </w:tc>
                              <w:tc>
                                <w:tcPr>
                                  <w:tcW w:w="1387" w:type="dxa"/>
                                </w:tcPr>
                                <w:p>
                                  <w:pPr>
                                    <w:pStyle w:val="TableParagraph"/>
                                    <w:rPr>
                                      <w:rFonts w:ascii="Times New Roman"/>
                                      <w:sz w:val="18"/>
                                    </w:rPr>
                                  </w:pPr>
                                </w:p>
                              </w:tc>
                              <w:tc>
                                <w:tcPr>
                                  <w:tcW w:w="1387" w:type="dxa"/>
                                </w:tcPr>
                                <w:p>
                                  <w:pPr>
                                    <w:pStyle w:val="TableParagraph"/>
                                    <w:spacing w:before="216"/>
                                    <w:ind w:right="439"/>
                                    <w:jc w:val="right"/>
                                    <w:rPr>
                                      <w:sz w:val="20"/>
                                    </w:rPr>
                                  </w:pPr>
                                  <w:r>
                                    <w:rPr>
                                      <w:color w:val="313131"/>
                                      <w:spacing w:val="-10"/>
                                      <w:w w:val="105"/>
                                      <w:sz w:val="20"/>
                                    </w:rPr>
                                    <w:t>-</w:t>
                                  </w:r>
                                </w:p>
                              </w:tc>
                              <w:tc>
                                <w:tcPr>
                                  <w:tcW w:w="1654" w:type="dxa"/>
                                </w:tcPr>
                                <w:p>
                                  <w:pPr>
                                    <w:pStyle w:val="TableParagraph"/>
                                    <w:spacing w:before="150"/>
                                    <w:ind w:right="554"/>
                                    <w:jc w:val="right"/>
                                    <w:rPr>
                                      <w:sz w:val="27"/>
                                    </w:rPr>
                                  </w:pPr>
                                  <w:r>
                                    <w:rPr>
                                      <w:color w:val="313131"/>
                                      <w:spacing w:val="-10"/>
                                      <w:sz w:val="27"/>
                                    </w:rPr>
                                    <w:t>-</w:t>
                                  </w:r>
                                </w:p>
                              </w:tc>
                              <w:tc>
                                <w:tcPr>
                                  <w:tcW w:w="910" w:type="dxa"/>
                                </w:tcPr>
                                <w:p>
                                  <w:pPr>
                                    <w:pStyle w:val="TableParagraph"/>
                                    <w:spacing w:before="155"/>
                                    <w:ind w:right="267"/>
                                    <w:jc w:val="right"/>
                                    <w:rPr>
                                      <w:sz w:val="27"/>
                                    </w:rPr>
                                  </w:pPr>
                                  <w:r>
                                    <w:rPr>
                                      <w:color w:val="313131"/>
                                      <w:spacing w:val="-10"/>
                                      <w:sz w:val="27"/>
                                    </w:rPr>
                                    <w:t>-</w:t>
                                  </w:r>
                                </w:p>
                              </w:tc>
                              <w:tc>
                                <w:tcPr>
                                  <w:tcW w:w="1076" w:type="dxa"/>
                                </w:tcPr>
                                <w:p>
                                  <w:pPr>
                                    <w:pStyle w:val="TableParagraph"/>
                                    <w:spacing w:before="197"/>
                                    <w:ind w:right="47"/>
                                    <w:jc w:val="right"/>
                                    <w:rPr>
                                      <w:b/>
                                      <w:sz w:val="20"/>
                                    </w:rPr>
                                  </w:pPr>
                                  <w:r>
                                    <w:rPr>
                                      <w:b/>
                                      <w:color w:val="050505"/>
                                      <w:spacing w:val="-2"/>
                                      <w:w w:val="105"/>
                                      <w:sz w:val="20"/>
                                    </w:rPr>
                                    <w:t>(3,465)</w:t>
                                  </w:r>
                                </w:p>
                              </w:tc>
                            </w:tr>
                            <w:tr>
                              <w:trPr>
                                <w:trHeight w:val="487" w:hRule="atLeast"/>
                              </w:trPr>
                              <w:tc>
                                <w:tcPr>
                                  <w:tcW w:w="1204" w:type="dxa"/>
                                </w:tcPr>
                                <w:p>
                                  <w:pPr>
                                    <w:pStyle w:val="TableParagraph"/>
                                    <w:spacing w:before="198"/>
                                    <w:ind w:right="397"/>
                                    <w:jc w:val="right"/>
                                    <w:rPr>
                                      <w:sz w:val="20"/>
                                    </w:rPr>
                                  </w:pPr>
                                  <w:r>
                                    <w:rPr>
                                      <w:color w:val="050505"/>
                                      <w:spacing w:val="-2"/>
                                      <w:w w:val="105"/>
                                      <w:sz w:val="20"/>
                                    </w:rPr>
                                    <w:t>(172)</w:t>
                                  </w:r>
                                </w:p>
                              </w:tc>
                              <w:tc>
                                <w:tcPr>
                                  <w:tcW w:w="1537" w:type="dxa"/>
                                </w:tcPr>
                                <w:p>
                                  <w:pPr>
                                    <w:pStyle w:val="TableParagraph"/>
                                    <w:spacing w:before="193"/>
                                    <w:ind w:right="630"/>
                                    <w:jc w:val="right"/>
                                    <w:rPr>
                                      <w:sz w:val="20"/>
                                    </w:rPr>
                                  </w:pPr>
                                  <w:r>
                                    <w:rPr>
                                      <w:color w:val="050505"/>
                                      <w:spacing w:val="-2"/>
                                      <w:w w:val="105"/>
                                      <w:sz w:val="20"/>
                                    </w:rPr>
                                    <w:t>(652)</w:t>
                                  </w:r>
                                </w:p>
                              </w:tc>
                              <w:tc>
                                <w:tcPr>
                                  <w:tcW w:w="1387" w:type="dxa"/>
                                </w:tcPr>
                                <w:p>
                                  <w:pPr>
                                    <w:pStyle w:val="TableParagraph"/>
                                    <w:spacing w:before="119" w:line="348" w:lineRule="exact"/>
                                    <w:ind w:right="421"/>
                                    <w:jc w:val="right"/>
                                    <w:rPr>
                                      <w:sz w:val="32"/>
                                    </w:rPr>
                                  </w:pPr>
                                  <w:r>
                                    <w:rPr>
                                      <w:color w:val="4D4D4D"/>
                                      <w:spacing w:val="-10"/>
                                      <w:w w:val="85"/>
                                      <w:sz w:val="32"/>
                                    </w:rPr>
                                    <w:t>-</w:t>
                                  </w:r>
                                </w:p>
                              </w:tc>
                              <w:tc>
                                <w:tcPr>
                                  <w:tcW w:w="1387" w:type="dxa"/>
                                </w:tcPr>
                                <w:p>
                                  <w:pPr>
                                    <w:pStyle w:val="TableParagraph"/>
                                    <w:spacing w:before="198"/>
                                    <w:ind w:right="461"/>
                                    <w:jc w:val="right"/>
                                    <w:rPr>
                                      <w:sz w:val="21"/>
                                    </w:rPr>
                                  </w:pPr>
                                  <w:r>
                                    <w:rPr>
                                      <w:color w:val="313131"/>
                                      <w:spacing w:val="-10"/>
                                      <w:w w:val="85"/>
                                      <w:sz w:val="21"/>
                                    </w:rPr>
                                    <w:t>-</w:t>
                                  </w:r>
                                </w:p>
                              </w:tc>
                              <w:tc>
                                <w:tcPr>
                                  <w:tcW w:w="1654" w:type="dxa"/>
                                </w:tcPr>
                                <w:p>
                                  <w:pPr>
                                    <w:pStyle w:val="TableParagraph"/>
                                    <w:spacing w:before="203"/>
                                    <w:ind w:right="586"/>
                                    <w:jc w:val="right"/>
                                    <w:rPr>
                                      <w:sz w:val="21"/>
                                    </w:rPr>
                                  </w:pPr>
                                  <w:r>
                                    <w:rPr>
                                      <w:color w:val="4D4D4D"/>
                                      <w:spacing w:val="-10"/>
                                      <w:w w:val="85"/>
                                      <w:sz w:val="21"/>
                                    </w:rPr>
                                    <w:t>-</w:t>
                                  </w:r>
                                </w:p>
                              </w:tc>
                              <w:tc>
                                <w:tcPr>
                                  <w:tcW w:w="910" w:type="dxa"/>
                                </w:tcPr>
                                <w:p>
                                  <w:pPr>
                                    <w:pStyle w:val="TableParagraph"/>
                                    <w:spacing w:before="193"/>
                                    <w:ind w:right="265"/>
                                    <w:jc w:val="right"/>
                                    <w:rPr>
                                      <w:sz w:val="22"/>
                                    </w:rPr>
                                  </w:pPr>
                                  <w:r>
                                    <w:rPr>
                                      <w:color w:val="313131"/>
                                      <w:spacing w:val="-10"/>
                                      <w:w w:val="110"/>
                                      <w:sz w:val="22"/>
                                    </w:rPr>
                                    <w:t>-</w:t>
                                  </w:r>
                                </w:p>
                              </w:tc>
                              <w:tc>
                                <w:tcPr>
                                  <w:tcW w:w="1076" w:type="dxa"/>
                                </w:tcPr>
                                <w:p>
                                  <w:pPr>
                                    <w:pStyle w:val="TableParagraph"/>
                                    <w:spacing w:before="203"/>
                                    <w:ind w:right="45"/>
                                    <w:jc w:val="right"/>
                                    <w:rPr>
                                      <w:b/>
                                      <w:sz w:val="20"/>
                                    </w:rPr>
                                  </w:pPr>
                                  <w:r>
                                    <w:rPr>
                                      <w:b/>
                                      <w:color w:val="050505"/>
                                      <w:spacing w:val="-2"/>
                                      <w:w w:val="105"/>
                                      <w:sz w:val="20"/>
                                    </w:rPr>
                                    <w:t>(824)</w:t>
                                  </w:r>
                                </w:p>
                              </w:tc>
                            </w:tr>
                          </w:tbl>
                          <w:p>
                            <w:pPr>
                              <w:pStyle w:val="BodyText"/>
                            </w:pPr>
                          </w:p>
                        </w:txbxContent>
                      </wps:txbx>
                      <wps:bodyPr wrap="square" lIns="0" tIns="0" rIns="0" bIns="0" rtlCol="0">
                        <a:noAutofit/>
                      </wps:bodyPr>
                    </wps:wsp>
                  </a:graphicData>
                </a:graphic>
              </wp:anchor>
            </w:drawing>
          </ve:Choice>
          <ve:Fallback>
            <w:pict>
              <v:shape id="docshape186" style="position:absolute;margin-left:290.946503pt;margin-top:-.20877pt;width:463.9pt;height:116.2pt;mso-position-horizontal-relative:page;mso-position-vertical-relative:paragraph;z-index:15792128"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04"/>
                        <w:gridCol w:w="1537"/>
                        <w:gridCol w:w="1387"/>
                        <w:gridCol w:w="1387"/>
                        <w:gridCol w:w="1654"/>
                        <w:gridCol w:w="910"/>
                        <w:gridCol w:w="1076"/>
                      </w:tblGrid>
                      <w:tr>
                        <w:trPr>
                          <w:trHeight w:val="344" w:hRule="atLeast"/>
                        </w:trPr>
                        <w:tc>
                          <w:tcPr>
                            <w:tcW w:w="1204" w:type="dxa"/>
                          </w:tcPr>
                          <w:p>
                            <w:pPr>
                              <w:pStyle w:val="TableParagraph"/>
                              <w:spacing w:before="59"/>
                              <w:ind w:right="391"/>
                              <w:jc w:val="right"/>
                              <w:rPr>
                                <w:b/>
                                <w:sz w:val="20"/>
                              </w:rPr>
                            </w:pPr>
                            <w:r>
                              <w:rPr>
                                <w:b/>
                                <w:color w:val="050505"/>
                                <w:spacing w:val="-2"/>
                                <w:w w:val="105"/>
                                <w:sz w:val="20"/>
                              </w:rPr>
                              <w:t>142,723</w:t>
                            </w:r>
                          </w:p>
                        </w:tc>
                        <w:tc>
                          <w:tcPr>
                            <w:tcW w:w="1537" w:type="dxa"/>
                          </w:tcPr>
                          <w:p>
                            <w:pPr>
                              <w:pStyle w:val="TableParagraph"/>
                              <w:spacing w:before="59"/>
                              <w:ind w:right="625"/>
                              <w:jc w:val="right"/>
                              <w:rPr>
                                <w:b/>
                                <w:sz w:val="20"/>
                              </w:rPr>
                            </w:pPr>
                            <w:r>
                              <w:rPr>
                                <w:b/>
                                <w:color w:val="050505"/>
                                <w:spacing w:val="-2"/>
                                <w:w w:val="105"/>
                                <w:sz w:val="20"/>
                              </w:rPr>
                              <w:t>6,706</w:t>
                            </w:r>
                          </w:p>
                        </w:tc>
                        <w:tc>
                          <w:tcPr>
                            <w:tcW w:w="1387" w:type="dxa"/>
                          </w:tcPr>
                          <w:p>
                            <w:pPr>
                              <w:pStyle w:val="TableParagraph"/>
                              <w:spacing w:before="64"/>
                              <w:ind w:right="420"/>
                              <w:jc w:val="right"/>
                              <w:rPr>
                                <w:b/>
                                <w:sz w:val="20"/>
                              </w:rPr>
                            </w:pPr>
                            <w:r>
                              <w:rPr>
                                <w:b/>
                                <w:color w:val="050505"/>
                                <w:spacing w:val="-5"/>
                                <w:w w:val="105"/>
                                <w:sz w:val="20"/>
                              </w:rPr>
                              <w:t>524</w:t>
                            </w:r>
                          </w:p>
                        </w:tc>
                        <w:tc>
                          <w:tcPr>
                            <w:tcW w:w="1387" w:type="dxa"/>
                          </w:tcPr>
                          <w:p>
                            <w:pPr>
                              <w:pStyle w:val="TableParagraph"/>
                              <w:spacing w:before="64"/>
                              <w:ind w:right="438"/>
                              <w:jc w:val="right"/>
                              <w:rPr>
                                <w:b/>
                                <w:sz w:val="20"/>
                              </w:rPr>
                            </w:pPr>
                            <w:r>
                              <w:rPr>
                                <w:b/>
                                <w:color w:val="050505"/>
                                <w:spacing w:val="-2"/>
                                <w:w w:val="105"/>
                                <w:sz w:val="20"/>
                              </w:rPr>
                              <w:t>2,251</w:t>
                            </w:r>
                          </w:p>
                        </w:tc>
                        <w:tc>
                          <w:tcPr>
                            <w:tcW w:w="1654" w:type="dxa"/>
                          </w:tcPr>
                          <w:p>
                            <w:pPr>
                              <w:pStyle w:val="TableParagraph"/>
                              <w:spacing w:before="69"/>
                              <w:ind w:right="567"/>
                              <w:jc w:val="right"/>
                              <w:rPr>
                                <w:b/>
                                <w:sz w:val="20"/>
                              </w:rPr>
                            </w:pPr>
                            <w:r>
                              <w:rPr>
                                <w:b/>
                                <w:color w:val="050505"/>
                                <w:spacing w:val="-2"/>
                                <w:w w:val="105"/>
                                <w:sz w:val="20"/>
                              </w:rPr>
                              <w:t>15,235</w:t>
                            </w:r>
                          </w:p>
                        </w:tc>
                        <w:tc>
                          <w:tcPr>
                            <w:tcW w:w="910" w:type="dxa"/>
                          </w:tcPr>
                          <w:p>
                            <w:pPr>
                              <w:pStyle w:val="TableParagraph"/>
                              <w:spacing w:line="324" w:lineRule="exact"/>
                              <w:ind w:right="265"/>
                              <w:jc w:val="right"/>
                              <w:rPr>
                                <w:sz w:val="32"/>
                              </w:rPr>
                            </w:pPr>
                            <w:r>
                              <w:rPr>
                                <w:color w:val="050505"/>
                                <w:spacing w:val="-10"/>
                                <w:w w:val="80"/>
                                <w:sz w:val="32"/>
                              </w:rPr>
                              <w:t>-</w:t>
                            </w:r>
                          </w:p>
                        </w:tc>
                        <w:tc>
                          <w:tcPr>
                            <w:tcW w:w="1076" w:type="dxa"/>
                          </w:tcPr>
                          <w:p>
                            <w:pPr>
                              <w:pStyle w:val="TableParagraph"/>
                              <w:spacing w:before="69"/>
                              <w:ind w:right="53"/>
                              <w:jc w:val="right"/>
                              <w:rPr>
                                <w:b/>
                                <w:sz w:val="20"/>
                              </w:rPr>
                            </w:pPr>
                            <w:r>
                              <w:rPr>
                                <w:b/>
                                <w:color w:val="050505"/>
                                <w:spacing w:val="-2"/>
                                <w:w w:val="105"/>
                                <w:sz w:val="20"/>
                              </w:rPr>
                              <w:t>167,439</w:t>
                            </w:r>
                          </w:p>
                        </w:tc>
                      </w:tr>
                      <w:tr>
                        <w:trPr>
                          <w:trHeight w:val="335" w:hRule="atLeast"/>
                        </w:trPr>
                        <w:tc>
                          <w:tcPr>
                            <w:tcW w:w="1204" w:type="dxa"/>
                          </w:tcPr>
                          <w:p>
                            <w:pPr>
                              <w:pStyle w:val="TableParagraph"/>
                              <w:spacing w:line="210" w:lineRule="exact"/>
                              <w:ind w:right="385"/>
                              <w:jc w:val="right"/>
                              <w:rPr>
                                <w:sz w:val="20"/>
                              </w:rPr>
                            </w:pPr>
                            <w:r>
                              <w:rPr>
                                <w:color w:val="050505"/>
                                <w:spacing w:val="-2"/>
                                <w:w w:val="105"/>
                                <w:sz w:val="20"/>
                              </w:rPr>
                              <w:t>4,311</w:t>
                            </w:r>
                          </w:p>
                        </w:tc>
                        <w:tc>
                          <w:tcPr>
                            <w:tcW w:w="1537" w:type="dxa"/>
                          </w:tcPr>
                          <w:p>
                            <w:pPr>
                              <w:pStyle w:val="TableParagraph"/>
                              <w:spacing w:line="214" w:lineRule="exact"/>
                              <w:ind w:right="614"/>
                              <w:jc w:val="right"/>
                              <w:rPr>
                                <w:sz w:val="20"/>
                              </w:rPr>
                            </w:pPr>
                            <w:r>
                              <w:rPr>
                                <w:color w:val="050505"/>
                                <w:spacing w:val="-2"/>
                                <w:w w:val="105"/>
                                <w:sz w:val="20"/>
                              </w:rPr>
                              <w:t>1,981</w:t>
                            </w:r>
                          </w:p>
                        </w:tc>
                        <w:tc>
                          <w:tcPr>
                            <w:tcW w:w="1387" w:type="dxa"/>
                          </w:tcPr>
                          <w:p>
                            <w:pPr>
                              <w:pStyle w:val="TableParagraph"/>
                              <w:spacing w:line="219" w:lineRule="exact"/>
                              <w:ind w:right="417"/>
                              <w:jc w:val="right"/>
                              <w:rPr>
                                <w:sz w:val="20"/>
                              </w:rPr>
                            </w:pPr>
                            <w:r>
                              <w:rPr>
                                <w:color w:val="050505"/>
                                <w:spacing w:val="-10"/>
                                <w:w w:val="105"/>
                                <w:sz w:val="20"/>
                              </w:rPr>
                              <w:t>-</w:t>
                            </w:r>
                          </w:p>
                        </w:tc>
                        <w:tc>
                          <w:tcPr>
                            <w:tcW w:w="1387" w:type="dxa"/>
                          </w:tcPr>
                          <w:p>
                            <w:pPr>
                              <w:pStyle w:val="TableParagraph"/>
                              <w:spacing w:line="219" w:lineRule="exact"/>
                              <w:ind w:right="437"/>
                              <w:jc w:val="right"/>
                              <w:rPr>
                                <w:sz w:val="20"/>
                              </w:rPr>
                            </w:pPr>
                            <w:r>
                              <w:rPr>
                                <w:color w:val="050505"/>
                                <w:spacing w:val="-5"/>
                                <w:w w:val="105"/>
                                <w:sz w:val="20"/>
                              </w:rPr>
                              <w:t>41</w:t>
                            </w:r>
                          </w:p>
                        </w:tc>
                        <w:tc>
                          <w:tcPr>
                            <w:tcW w:w="1654" w:type="dxa"/>
                          </w:tcPr>
                          <w:p>
                            <w:pPr>
                              <w:pStyle w:val="TableParagraph"/>
                              <w:spacing w:line="219" w:lineRule="exact"/>
                              <w:ind w:right="560"/>
                              <w:jc w:val="right"/>
                              <w:rPr>
                                <w:sz w:val="20"/>
                              </w:rPr>
                            </w:pPr>
                            <w:r>
                              <w:rPr>
                                <w:color w:val="050505"/>
                                <w:spacing w:val="-2"/>
                                <w:w w:val="105"/>
                                <w:sz w:val="20"/>
                              </w:rPr>
                              <w:t>4,828</w:t>
                            </w:r>
                          </w:p>
                        </w:tc>
                        <w:tc>
                          <w:tcPr>
                            <w:tcW w:w="910" w:type="dxa"/>
                          </w:tcPr>
                          <w:p>
                            <w:pPr>
                              <w:pStyle w:val="TableParagraph"/>
                              <w:spacing w:line="233" w:lineRule="exact"/>
                              <w:ind w:right="261"/>
                              <w:jc w:val="right"/>
                              <w:rPr>
                                <w:sz w:val="22"/>
                              </w:rPr>
                            </w:pPr>
                            <w:r>
                              <w:rPr>
                                <w:color w:val="313131"/>
                                <w:spacing w:val="-10"/>
                                <w:w w:val="110"/>
                                <w:sz w:val="22"/>
                              </w:rPr>
                              <w:t>-</w:t>
                            </w:r>
                          </w:p>
                        </w:tc>
                        <w:tc>
                          <w:tcPr>
                            <w:tcW w:w="1076" w:type="dxa"/>
                          </w:tcPr>
                          <w:p>
                            <w:pPr>
                              <w:pStyle w:val="TableParagraph"/>
                              <w:spacing w:line="219" w:lineRule="exact"/>
                              <w:ind w:right="47"/>
                              <w:jc w:val="right"/>
                              <w:rPr>
                                <w:b/>
                                <w:sz w:val="20"/>
                              </w:rPr>
                            </w:pPr>
                            <w:r>
                              <w:rPr>
                                <w:b/>
                                <w:color w:val="050505"/>
                                <w:spacing w:val="-2"/>
                                <w:w w:val="105"/>
                                <w:sz w:val="20"/>
                              </w:rPr>
                              <w:t>11,161</w:t>
                            </w:r>
                          </w:p>
                        </w:tc>
                      </w:tr>
                      <w:tr>
                        <w:trPr>
                          <w:trHeight w:val="563" w:hRule="atLeast"/>
                        </w:trPr>
                        <w:tc>
                          <w:tcPr>
                            <w:tcW w:w="1204" w:type="dxa"/>
                          </w:tcPr>
                          <w:p>
                            <w:pPr>
                              <w:pStyle w:val="TableParagraph"/>
                              <w:spacing w:before="135"/>
                              <w:ind w:right="389"/>
                              <w:jc w:val="right"/>
                              <w:rPr>
                                <w:sz w:val="20"/>
                              </w:rPr>
                            </w:pPr>
                            <w:r>
                              <w:rPr>
                                <w:color w:val="050505"/>
                                <w:spacing w:val="-2"/>
                                <w:w w:val="105"/>
                                <w:sz w:val="20"/>
                              </w:rPr>
                              <w:t>18,708</w:t>
                            </w:r>
                          </w:p>
                        </w:tc>
                        <w:tc>
                          <w:tcPr>
                            <w:tcW w:w="1537" w:type="dxa"/>
                          </w:tcPr>
                          <w:p>
                            <w:pPr>
                              <w:pStyle w:val="TableParagraph"/>
                              <w:spacing w:before="93"/>
                              <w:ind w:right="608"/>
                              <w:jc w:val="right"/>
                              <w:rPr>
                                <w:sz w:val="27"/>
                              </w:rPr>
                            </w:pPr>
                            <w:r>
                              <w:rPr>
                                <w:color w:val="313131"/>
                                <w:spacing w:val="-10"/>
                                <w:sz w:val="27"/>
                              </w:rPr>
                              <w:t>-</w:t>
                            </w:r>
                          </w:p>
                        </w:tc>
                        <w:tc>
                          <w:tcPr>
                            <w:tcW w:w="1387" w:type="dxa"/>
                          </w:tcPr>
                          <w:p>
                            <w:pPr>
                              <w:pStyle w:val="TableParagraph"/>
                              <w:spacing w:before="144"/>
                              <w:ind w:right="428"/>
                              <w:jc w:val="right"/>
                              <w:rPr>
                                <w:sz w:val="20"/>
                              </w:rPr>
                            </w:pPr>
                            <w:r>
                              <w:rPr>
                                <w:color w:val="313131"/>
                                <w:spacing w:val="-10"/>
                                <w:sz w:val="20"/>
                              </w:rPr>
                              <w:t>-</w:t>
                            </w:r>
                          </w:p>
                        </w:tc>
                        <w:tc>
                          <w:tcPr>
                            <w:tcW w:w="1387" w:type="dxa"/>
                          </w:tcPr>
                          <w:p>
                            <w:pPr>
                              <w:pStyle w:val="TableParagraph"/>
                              <w:rPr>
                                <w:rFonts w:ascii="Times New Roman"/>
                                <w:sz w:val="18"/>
                              </w:rPr>
                            </w:pPr>
                          </w:p>
                        </w:tc>
                        <w:tc>
                          <w:tcPr>
                            <w:tcW w:w="1654" w:type="dxa"/>
                          </w:tcPr>
                          <w:p>
                            <w:pPr>
                              <w:pStyle w:val="TableParagraph"/>
                              <w:spacing w:before="164"/>
                              <w:ind w:right="564"/>
                              <w:jc w:val="right"/>
                              <w:rPr>
                                <w:sz w:val="20"/>
                              </w:rPr>
                            </w:pPr>
                            <w:r>
                              <w:rPr>
                                <w:color w:val="313131"/>
                                <w:spacing w:val="-10"/>
                                <w:sz w:val="20"/>
                              </w:rPr>
                              <w:t>-</w:t>
                            </w:r>
                          </w:p>
                        </w:tc>
                        <w:tc>
                          <w:tcPr>
                            <w:tcW w:w="910" w:type="dxa"/>
                          </w:tcPr>
                          <w:p>
                            <w:pPr>
                              <w:pStyle w:val="TableParagraph"/>
                              <w:rPr>
                                <w:rFonts w:ascii="Times New Roman"/>
                                <w:sz w:val="18"/>
                              </w:rPr>
                            </w:pPr>
                          </w:p>
                        </w:tc>
                        <w:tc>
                          <w:tcPr>
                            <w:tcW w:w="1076" w:type="dxa"/>
                          </w:tcPr>
                          <w:p>
                            <w:pPr>
                              <w:pStyle w:val="TableParagraph"/>
                              <w:spacing w:before="149"/>
                              <w:ind w:right="47"/>
                              <w:jc w:val="right"/>
                              <w:rPr>
                                <w:b/>
                                <w:sz w:val="20"/>
                              </w:rPr>
                            </w:pPr>
                            <w:r>
                              <w:rPr>
                                <w:b/>
                                <w:color w:val="050505"/>
                                <w:spacing w:val="-2"/>
                                <w:w w:val="105"/>
                                <w:sz w:val="20"/>
                              </w:rPr>
                              <w:t>18,708</w:t>
                            </w:r>
                          </w:p>
                        </w:tc>
                      </w:tr>
                      <w:tr>
                        <w:trPr>
                          <w:trHeight w:val="595" w:hRule="atLeast"/>
                        </w:trPr>
                        <w:tc>
                          <w:tcPr>
                            <w:tcW w:w="1204" w:type="dxa"/>
                          </w:tcPr>
                          <w:p>
                            <w:pPr>
                              <w:pStyle w:val="TableParagraph"/>
                              <w:spacing w:before="187"/>
                              <w:ind w:right="396"/>
                              <w:jc w:val="right"/>
                              <w:rPr>
                                <w:sz w:val="20"/>
                              </w:rPr>
                            </w:pPr>
                            <w:r>
                              <w:rPr>
                                <w:color w:val="050505"/>
                                <w:spacing w:val="-2"/>
                                <w:w w:val="105"/>
                                <w:sz w:val="20"/>
                              </w:rPr>
                              <w:t>(3,465)</w:t>
                            </w:r>
                          </w:p>
                        </w:tc>
                        <w:tc>
                          <w:tcPr>
                            <w:tcW w:w="1537" w:type="dxa"/>
                          </w:tcPr>
                          <w:p>
                            <w:pPr>
                              <w:pStyle w:val="TableParagraph"/>
                              <w:spacing w:before="192"/>
                              <w:ind w:right="618"/>
                              <w:jc w:val="right"/>
                              <w:rPr>
                                <w:sz w:val="20"/>
                              </w:rPr>
                            </w:pPr>
                            <w:r>
                              <w:rPr>
                                <w:color w:val="313131"/>
                                <w:spacing w:val="-10"/>
                                <w:w w:val="105"/>
                                <w:sz w:val="20"/>
                              </w:rPr>
                              <w:t>-</w:t>
                            </w:r>
                          </w:p>
                        </w:tc>
                        <w:tc>
                          <w:tcPr>
                            <w:tcW w:w="1387" w:type="dxa"/>
                          </w:tcPr>
                          <w:p>
                            <w:pPr>
                              <w:pStyle w:val="TableParagraph"/>
                              <w:rPr>
                                <w:rFonts w:ascii="Times New Roman"/>
                                <w:sz w:val="18"/>
                              </w:rPr>
                            </w:pPr>
                          </w:p>
                        </w:tc>
                        <w:tc>
                          <w:tcPr>
                            <w:tcW w:w="1387" w:type="dxa"/>
                          </w:tcPr>
                          <w:p>
                            <w:pPr>
                              <w:pStyle w:val="TableParagraph"/>
                              <w:spacing w:before="216"/>
                              <w:ind w:right="439"/>
                              <w:jc w:val="right"/>
                              <w:rPr>
                                <w:sz w:val="20"/>
                              </w:rPr>
                            </w:pPr>
                            <w:r>
                              <w:rPr>
                                <w:color w:val="313131"/>
                                <w:spacing w:val="-10"/>
                                <w:w w:val="105"/>
                                <w:sz w:val="20"/>
                              </w:rPr>
                              <w:t>-</w:t>
                            </w:r>
                          </w:p>
                        </w:tc>
                        <w:tc>
                          <w:tcPr>
                            <w:tcW w:w="1654" w:type="dxa"/>
                          </w:tcPr>
                          <w:p>
                            <w:pPr>
                              <w:pStyle w:val="TableParagraph"/>
                              <w:spacing w:before="150"/>
                              <w:ind w:right="554"/>
                              <w:jc w:val="right"/>
                              <w:rPr>
                                <w:sz w:val="27"/>
                              </w:rPr>
                            </w:pPr>
                            <w:r>
                              <w:rPr>
                                <w:color w:val="313131"/>
                                <w:spacing w:val="-10"/>
                                <w:sz w:val="27"/>
                              </w:rPr>
                              <w:t>-</w:t>
                            </w:r>
                          </w:p>
                        </w:tc>
                        <w:tc>
                          <w:tcPr>
                            <w:tcW w:w="910" w:type="dxa"/>
                          </w:tcPr>
                          <w:p>
                            <w:pPr>
                              <w:pStyle w:val="TableParagraph"/>
                              <w:spacing w:before="155"/>
                              <w:ind w:right="267"/>
                              <w:jc w:val="right"/>
                              <w:rPr>
                                <w:sz w:val="27"/>
                              </w:rPr>
                            </w:pPr>
                            <w:r>
                              <w:rPr>
                                <w:color w:val="313131"/>
                                <w:spacing w:val="-10"/>
                                <w:sz w:val="27"/>
                              </w:rPr>
                              <w:t>-</w:t>
                            </w:r>
                          </w:p>
                        </w:tc>
                        <w:tc>
                          <w:tcPr>
                            <w:tcW w:w="1076" w:type="dxa"/>
                          </w:tcPr>
                          <w:p>
                            <w:pPr>
                              <w:pStyle w:val="TableParagraph"/>
                              <w:spacing w:before="197"/>
                              <w:ind w:right="47"/>
                              <w:jc w:val="right"/>
                              <w:rPr>
                                <w:b/>
                                <w:sz w:val="20"/>
                              </w:rPr>
                            </w:pPr>
                            <w:r>
                              <w:rPr>
                                <w:b/>
                                <w:color w:val="050505"/>
                                <w:spacing w:val="-2"/>
                                <w:w w:val="105"/>
                                <w:sz w:val="20"/>
                              </w:rPr>
                              <w:t>(3,465)</w:t>
                            </w:r>
                          </w:p>
                        </w:tc>
                      </w:tr>
                      <w:tr>
                        <w:trPr>
                          <w:trHeight w:val="487" w:hRule="atLeast"/>
                        </w:trPr>
                        <w:tc>
                          <w:tcPr>
                            <w:tcW w:w="1204" w:type="dxa"/>
                          </w:tcPr>
                          <w:p>
                            <w:pPr>
                              <w:pStyle w:val="TableParagraph"/>
                              <w:spacing w:before="198"/>
                              <w:ind w:right="397"/>
                              <w:jc w:val="right"/>
                              <w:rPr>
                                <w:sz w:val="20"/>
                              </w:rPr>
                            </w:pPr>
                            <w:r>
                              <w:rPr>
                                <w:color w:val="050505"/>
                                <w:spacing w:val="-2"/>
                                <w:w w:val="105"/>
                                <w:sz w:val="20"/>
                              </w:rPr>
                              <w:t>(172)</w:t>
                            </w:r>
                          </w:p>
                        </w:tc>
                        <w:tc>
                          <w:tcPr>
                            <w:tcW w:w="1537" w:type="dxa"/>
                          </w:tcPr>
                          <w:p>
                            <w:pPr>
                              <w:pStyle w:val="TableParagraph"/>
                              <w:spacing w:before="193"/>
                              <w:ind w:right="630"/>
                              <w:jc w:val="right"/>
                              <w:rPr>
                                <w:sz w:val="20"/>
                              </w:rPr>
                            </w:pPr>
                            <w:r>
                              <w:rPr>
                                <w:color w:val="050505"/>
                                <w:spacing w:val="-2"/>
                                <w:w w:val="105"/>
                                <w:sz w:val="20"/>
                              </w:rPr>
                              <w:t>(652)</w:t>
                            </w:r>
                          </w:p>
                        </w:tc>
                        <w:tc>
                          <w:tcPr>
                            <w:tcW w:w="1387" w:type="dxa"/>
                          </w:tcPr>
                          <w:p>
                            <w:pPr>
                              <w:pStyle w:val="TableParagraph"/>
                              <w:spacing w:before="119" w:line="348" w:lineRule="exact"/>
                              <w:ind w:right="421"/>
                              <w:jc w:val="right"/>
                              <w:rPr>
                                <w:sz w:val="32"/>
                              </w:rPr>
                            </w:pPr>
                            <w:r>
                              <w:rPr>
                                <w:color w:val="4D4D4D"/>
                                <w:spacing w:val="-10"/>
                                <w:w w:val="85"/>
                                <w:sz w:val="32"/>
                              </w:rPr>
                              <w:t>-</w:t>
                            </w:r>
                          </w:p>
                        </w:tc>
                        <w:tc>
                          <w:tcPr>
                            <w:tcW w:w="1387" w:type="dxa"/>
                          </w:tcPr>
                          <w:p>
                            <w:pPr>
                              <w:pStyle w:val="TableParagraph"/>
                              <w:spacing w:before="198"/>
                              <w:ind w:right="461"/>
                              <w:jc w:val="right"/>
                              <w:rPr>
                                <w:sz w:val="21"/>
                              </w:rPr>
                            </w:pPr>
                            <w:r>
                              <w:rPr>
                                <w:color w:val="313131"/>
                                <w:spacing w:val="-10"/>
                                <w:w w:val="85"/>
                                <w:sz w:val="21"/>
                              </w:rPr>
                              <w:t>-</w:t>
                            </w:r>
                          </w:p>
                        </w:tc>
                        <w:tc>
                          <w:tcPr>
                            <w:tcW w:w="1654" w:type="dxa"/>
                          </w:tcPr>
                          <w:p>
                            <w:pPr>
                              <w:pStyle w:val="TableParagraph"/>
                              <w:spacing w:before="203"/>
                              <w:ind w:right="586"/>
                              <w:jc w:val="right"/>
                              <w:rPr>
                                <w:sz w:val="21"/>
                              </w:rPr>
                            </w:pPr>
                            <w:r>
                              <w:rPr>
                                <w:color w:val="4D4D4D"/>
                                <w:spacing w:val="-10"/>
                                <w:w w:val="85"/>
                                <w:sz w:val="21"/>
                              </w:rPr>
                              <w:t>-</w:t>
                            </w:r>
                          </w:p>
                        </w:tc>
                        <w:tc>
                          <w:tcPr>
                            <w:tcW w:w="910" w:type="dxa"/>
                          </w:tcPr>
                          <w:p>
                            <w:pPr>
                              <w:pStyle w:val="TableParagraph"/>
                              <w:spacing w:before="193"/>
                              <w:ind w:right="265"/>
                              <w:jc w:val="right"/>
                              <w:rPr>
                                <w:sz w:val="22"/>
                              </w:rPr>
                            </w:pPr>
                            <w:r>
                              <w:rPr>
                                <w:color w:val="313131"/>
                                <w:spacing w:val="-10"/>
                                <w:w w:val="110"/>
                                <w:sz w:val="22"/>
                              </w:rPr>
                              <w:t>-</w:t>
                            </w:r>
                          </w:p>
                        </w:tc>
                        <w:tc>
                          <w:tcPr>
                            <w:tcW w:w="1076" w:type="dxa"/>
                          </w:tcPr>
                          <w:p>
                            <w:pPr>
                              <w:pStyle w:val="TableParagraph"/>
                              <w:spacing w:before="203"/>
                              <w:ind w:right="45"/>
                              <w:jc w:val="right"/>
                              <w:rPr>
                                <w:b/>
                                <w:sz w:val="20"/>
                              </w:rPr>
                            </w:pPr>
                            <w:r>
                              <w:rPr>
                                <w:b/>
                                <w:color w:val="050505"/>
                                <w:spacing w:val="-2"/>
                                <w:w w:val="105"/>
                                <w:sz w:val="20"/>
                              </w:rPr>
                              <w:t>(824)</w:t>
                            </w:r>
                          </w:p>
                        </w:tc>
                      </w:tr>
                    </w:tbl>
                    <w:p>
                      <w:pPr>
                        <w:pStyle w:val="BodyText"/>
                      </w:pPr>
                    </w:p>
                  </w:txbxContent>
                </v:textbox>
                <w10:wrap type="none"/>
              </v:shape>
            </w:pict>
          </ve:Fallback>
        </ve:AlternateContent>
      </w:r>
      <w:r>
        <w:rPr>
          <w:b/>
          <w:color w:val="050505"/>
          <w:w w:val="105"/>
          <w:sz w:val="20"/>
        </w:rPr>
        <w:t>At</w:t>
      </w:r>
      <w:r>
        <w:rPr>
          <w:b/>
          <w:color w:val="050505"/>
          <w:spacing w:val="-7"/>
          <w:w w:val="105"/>
          <w:sz w:val="20"/>
        </w:rPr>
        <w:t> </w:t>
      </w:r>
      <w:r>
        <w:rPr>
          <w:b/>
          <w:color w:val="050505"/>
          <w:w w:val="105"/>
          <w:sz w:val="20"/>
        </w:rPr>
        <w:t>1</w:t>
      </w:r>
      <w:r>
        <w:rPr>
          <w:b/>
          <w:color w:val="050505"/>
          <w:spacing w:val="-3"/>
          <w:w w:val="105"/>
          <w:sz w:val="20"/>
        </w:rPr>
        <w:t> </w:t>
      </w:r>
      <w:r>
        <w:rPr>
          <w:b/>
          <w:color w:val="050505"/>
          <w:w w:val="105"/>
          <w:sz w:val="20"/>
        </w:rPr>
        <w:t>April</w:t>
      </w:r>
      <w:r>
        <w:rPr>
          <w:b/>
          <w:color w:val="050505"/>
          <w:spacing w:val="1"/>
          <w:w w:val="105"/>
          <w:sz w:val="20"/>
        </w:rPr>
        <w:t> </w:t>
      </w:r>
      <w:r>
        <w:rPr>
          <w:b/>
          <w:color w:val="050505"/>
          <w:spacing w:val="-4"/>
          <w:w w:val="105"/>
          <w:sz w:val="20"/>
        </w:rPr>
        <w:t>2022</w:t>
      </w:r>
    </w:p>
    <w:p>
      <w:pPr>
        <w:spacing w:before="39"/>
        <w:ind w:left="587" w:right="0" w:firstLine="0"/>
        <w:jc w:val="left"/>
        <w:rPr>
          <w:sz w:val="20"/>
        </w:rPr>
      </w:pPr>
      <w:r>
        <w:rPr>
          <w:color w:val="050505"/>
          <w:spacing w:val="-2"/>
          <w:w w:val="105"/>
          <w:sz w:val="20"/>
        </w:rPr>
        <w:t>Additions</w:t>
      </w:r>
    </w:p>
    <w:p>
      <w:pPr>
        <w:pStyle w:val="BodyText"/>
        <w:spacing w:before="7"/>
        <w:rPr>
          <w:sz w:val="20"/>
        </w:rPr>
      </w:pPr>
    </w:p>
    <w:p>
      <w:pPr>
        <w:spacing w:before="0" w:line="254" w:lineRule="auto"/>
        <w:ind w:left="584" w:right="11204" w:firstLine="2"/>
        <w:jc w:val="left"/>
        <w:rPr>
          <w:sz w:val="20"/>
        </w:rPr>
      </w:pPr>
      <w:r>
        <w:rPr>
          <w:color w:val="050505"/>
          <w:w w:val="105"/>
          <w:sz w:val="20"/>
        </w:rPr>
        <w:t>Revaluation increases </w:t>
      </w:r>
      <w:r>
        <w:rPr>
          <w:i/>
          <w:color w:val="050505"/>
          <w:w w:val="105"/>
          <w:sz w:val="21"/>
        </w:rPr>
        <w:t>I </w:t>
      </w:r>
      <w:r>
        <w:rPr>
          <w:color w:val="050505"/>
          <w:w w:val="105"/>
          <w:sz w:val="20"/>
        </w:rPr>
        <w:t>(decreases) recognised in the Revaluation Reserve Revaluation increases </w:t>
      </w:r>
      <w:r>
        <w:rPr>
          <w:i/>
          <w:color w:val="050505"/>
          <w:w w:val="105"/>
          <w:sz w:val="21"/>
        </w:rPr>
        <w:t>I </w:t>
      </w:r>
      <w:r>
        <w:rPr>
          <w:color w:val="050505"/>
          <w:w w:val="105"/>
          <w:sz w:val="20"/>
        </w:rPr>
        <w:t>(decreases) recognised in</w:t>
      </w:r>
      <w:r>
        <w:rPr>
          <w:color w:val="050505"/>
          <w:spacing w:val="-11"/>
          <w:w w:val="105"/>
          <w:sz w:val="20"/>
        </w:rPr>
        <w:t> </w:t>
      </w:r>
      <w:r>
        <w:rPr>
          <w:color w:val="050505"/>
          <w:w w:val="105"/>
          <w:sz w:val="20"/>
        </w:rPr>
        <w:t>the Surplus/ Deficit on</w:t>
      </w:r>
      <w:r>
        <w:rPr>
          <w:color w:val="050505"/>
          <w:spacing w:val="-2"/>
          <w:w w:val="105"/>
          <w:sz w:val="20"/>
        </w:rPr>
        <w:t> </w:t>
      </w:r>
      <w:r>
        <w:rPr>
          <w:color w:val="050505"/>
          <w:w w:val="105"/>
          <w:sz w:val="20"/>
        </w:rPr>
        <w:t>the Provision of Services</w:t>
      </w:r>
    </w:p>
    <w:p>
      <w:pPr>
        <w:spacing w:before="0" w:line="222" w:lineRule="exact"/>
        <w:ind w:left="581" w:right="0" w:firstLine="0"/>
        <w:jc w:val="left"/>
        <w:rPr>
          <w:sz w:val="20"/>
        </w:rPr>
      </w:pPr>
      <w:r>
        <w:rPr>
          <w:color w:val="050505"/>
          <w:spacing w:val="-2"/>
          <w:w w:val="105"/>
          <w:sz w:val="20"/>
        </w:rPr>
        <w:t>Disposals</w:t>
      </w:r>
    </w:p>
    <w:p>
      <w:pPr>
        <w:pStyle w:val="BodyText"/>
        <w:spacing w:before="11"/>
        <w:rPr>
          <w:sz w:val="20"/>
        </w:rPr>
      </w:pPr>
    </w:p>
    <w:p>
      <w:pPr>
        <w:spacing w:before="0" w:line="285" w:lineRule="auto"/>
        <w:ind w:left="581" w:right="11204" w:firstLine="1"/>
        <w:jc w:val="left"/>
        <w:rPr>
          <w:sz w:val="20"/>
        </w:rPr>
      </w:pPr>
      <w:r>
        <w:rPr>
          <w:color w:val="050505"/>
          <w:w w:val="105"/>
          <w:sz w:val="20"/>
        </w:rPr>
        <w:t>Assets</w:t>
      </w:r>
      <w:r>
        <w:rPr>
          <w:color w:val="050505"/>
          <w:spacing w:val="-12"/>
          <w:w w:val="105"/>
          <w:sz w:val="20"/>
        </w:rPr>
        <w:t> </w:t>
      </w:r>
      <w:r>
        <w:rPr>
          <w:color w:val="050505"/>
          <w:w w:val="105"/>
          <w:sz w:val="20"/>
        </w:rPr>
        <w:t>reclassified</w:t>
      </w:r>
      <w:r>
        <w:rPr>
          <w:color w:val="050505"/>
          <w:spacing w:val="-5"/>
          <w:w w:val="105"/>
          <w:sz w:val="20"/>
        </w:rPr>
        <w:t> </w:t>
      </w:r>
      <w:r>
        <w:rPr>
          <w:color w:val="050505"/>
          <w:w w:val="105"/>
          <w:sz w:val="20"/>
        </w:rPr>
        <w:t>(to)</w:t>
      </w:r>
      <w:r>
        <w:rPr>
          <w:color w:val="050505"/>
          <w:spacing w:val="-15"/>
          <w:w w:val="105"/>
          <w:sz w:val="20"/>
        </w:rPr>
        <w:t> </w:t>
      </w:r>
      <w:r>
        <w:rPr>
          <w:i/>
          <w:color w:val="050505"/>
          <w:w w:val="105"/>
          <w:sz w:val="21"/>
        </w:rPr>
        <w:t>I</w:t>
      </w:r>
      <w:r>
        <w:rPr>
          <w:i/>
          <w:color w:val="050505"/>
          <w:spacing w:val="-8"/>
          <w:w w:val="105"/>
          <w:sz w:val="21"/>
        </w:rPr>
        <w:t> </w:t>
      </w:r>
      <w:r>
        <w:rPr>
          <w:color w:val="050505"/>
          <w:w w:val="105"/>
          <w:sz w:val="20"/>
        </w:rPr>
        <w:t>from</w:t>
      </w:r>
      <w:r>
        <w:rPr>
          <w:color w:val="050505"/>
          <w:spacing w:val="-12"/>
          <w:w w:val="105"/>
          <w:sz w:val="20"/>
        </w:rPr>
        <w:t> </w:t>
      </w:r>
      <w:r>
        <w:rPr>
          <w:color w:val="050505"/>
          <w:w w:val="105"/>
          <w:sz w:val="20"/>
        </w:rPr>
        <w:t>Investment </w:t>
      </w:r>
      <w:r>
        <w:rPr>
          <w:color w:val="050505"/>
          <w:spacing w:val="-2"/>
          <w:w w:val="105"/>
          <w:sz w:val="20"/>
        </w:rPr>
        <w:t>Property</w:t>
      </w:r>
    </w:p>
    <w:p>
      <w:pPr>
        <w:tabs>
          <w:tab w:val="left" w:leader="none" w:pos="5303"/>
          <w:tab w:val="left" w:leader="none" w:pos="7179"/>
          <w:tab w:val="left" w:leader="none" w:pos="8767"/>
          <w:tab w:val="left" w:leader="none" w:pos="10135"/>
          <w:tab w:val="left" w:leader="none" w:pos="10954"/>
        </w:tabs>
        <w:spacing w:before="163" w:line="403" w:lineRule="auto"/>
        <w:ind w:left="582" w:right="3876" w:hanging="1"/>
        <w:jc w:val="left"/>
        <w:rPr>
          <w:sz w:val="20"/>
        </w:rPr>
      </w:pPr>
      <w:r>
        <w:rPr/>
        <ve:AlternateContent>
          <ve:Choice Requires="wps">
            <w:drawing>
              <wp:anchor distT="0" distB="0" distL="0" distR="0" simplePos="0" relativeHeight="475902976" behindDoc="1" locked="0" layoutInCell="1" allowOverlap="1">
                <wp:simplePos x="0" y="0"/>
                <wp:positionH relativeFrom="page">
                  <wp:posOffset>836517</wp:posOffset>
                </wp:positionH>
                <wp:positionV relativeFrom="paragraph">
                  <wp:posOffset>618956</wp:posOffset>
                </wp:positionV>
                <wp:extent cx="1596390" cy="142240"/>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a:off x="0" y="0"/>
                          <a:ext cx="1596390" cy="142240"/>
                        </a:xfrm>
                        <a:prstGeom prst="rect">
                          <a:avLst/>
                        </a:prstGeom>
                      </wps:spPr>
                      <wps:txbx>
                        <w:txbxContent>
                          <w:p>
                            <w:pPr>
                              <w:spacing w:before="0" w:line="224" w:lineRule="exact"/>
                              <w:ind w:left="0" w:right="0" w:firstLine="0"/>
                              <w:jc w:val="left"/>
                              <w:rPr>
                                <w:sz w:val="20"/>
                              </w:rPr>
                            </w:pPr>
                            <w:r>
                              <w:rPr>
                                <w:color w:val="050505"/>
                                <w:w w:val="105"/>
                                <w:sz w:val="20"/>
                              </w:rPr>
                              <w:t>written</w:t>
                            </w:r>
                            <w:r>
                              <w:rPr>
                                <w:color w:val="050505"/>
                                <w:spacing w:val="1"/>
                                <w:w w:val="105"/>
                                <w:sz w:val="20"/>
                              </w:rPr>
                              <w:t> </w:t>
                            </w:r>
                            <w:r>
                              <w:rPr>
                                <w:color w:val="050505"/>
                                <w:w w:val="105"/>
                                <w:sz w:val="20"/>
                              </w:rPr>
                              <w:t>to</w:t>
                            </w:r>
                            <w:r>
                              <w:rPr>
                                <w:color w:val="050505"/>
                                <w:spacing w:val="-10"/>
                                <w:w w:val="105"/>
                                <w:sz w:val="20"/>
                              </w:rPr>
                              <w:t> </w:t>
                            </w:r>
                            <w:r>
                              <w:rPr>
                                <w:color w:val="050505"/>
                                <w:w w:val="105"/>
                                <w:sz w:val="20"/>
                              </w:rPr>
                              <w:t>Cost</w:t>
                            </w:r>
                            <w:r>
                              <w:rPr>
                                <w:color w:val="050505"/>
                                <w:spacing w:val="-3"/>
                                <w:w w:val="105"/>
                                <w:sz w:val="20"/>
                              </w:rPr>
                              <w:t> </w:t>
                            </w:r>
                            <w:r>
                              <w:rPr>
                                <w:color w:val="050505"/>
                                <w:w w:val="105"/>
                                <w:sz w:val="20"/>
                              </w:rPr>
                              <w:t>or</w:t>
                            </w:r>
                            <w:r>
                              <w:rPr>
                                <w:color w:val="050505"/>
                                <w:spacing w:val="-4"/>
                                <w:w w:val="105"/>
                                <w:sz w:val="20"/>
                              </w:rPr>
                              <w:t> </w:t>
                            </w:r>
                            <w:r>
                              <w:rPr>
                                <w:color w:val="050505"/>
                                <w:spacing w:val="-2"/>
                                <w:w w:val="105"/>
                                <w:sz w:val="20"/>
                              </w:rPr>
                              <w:t>Valuation</w:t>
                            </w:r>
                          </w:p>
                        </w:txbxContent>
                      </wps:txbx>
                      <wps:bodyPr wrap="square" lIns="0" tIns="0" rIns="0" bIns="0" rtlCol="0">
                        <a:noAutofit/>
                      </wps:bodyPr>
                    </wps:wsp>
                  </a:graphicData>
                </a:graphic>
              </wp:anchor>
            </w:drawing>
          </ve:Choice>
          <ve:Fallback>
            <w:pict>
              <v:shape id="docshape187" style="position:absolute;margin-left:65.867531pt;margin-top:48.736698pt;width:125.7pt;height:11.2pt;mso-position-horizontal-relative:page;mso-position-vertical-relative:paragraph;z-index:-27413504" filled="false" stroked="false" type="#_x0000_t202">
                <v:textbox inset="0,0,0,0">
                  <w:txbxContent>
                    <w:p>
                      <w:pPr>
                        <w:spacing w:before="0" w:line="224" w:lineRule="exact"/>
                        <w:ind w:left="0" w:right="0" w:firstLine="0"/>
                        <w:jc w:val="left"/>
                        <w:rPr>
                          <w:sz w:val="20"/>
                        </w:rPr>
                      </w:pPr>
                      <w:r>
                        <w:rPr>
                          <w:color w:val="050505"/>
                          <w:w w:val="105"/>
                          <w:sz w:val="20"/>
                        </w:rPr>
                        <w:t>written</w:t>
                      </w:r>
                      <w:r>
                        <w:rPr>
                          <w:color w:val="050505"/>
                          <w:spacing w:val="1"/>
                          <w:w w:val="105"/>
                          <w:sz w:val="20"/>
                        </w:rPr>
                        <w:t> </w:t>
                      </w:r>
                      <w:r>
                        <w:rPr>
                          <w:color w:val="050505"/>
                          <w:w w:val="105"/>
                          <w:sz w:val="20"/>
                        </w:rPr>
                        <w:t>to</w:t>
                      </w:r>
                      <w:r>
                        <w:rPr>
                          <w:color w:val="050505"/>
                          <w:spacing w:val="-10"/>
                          <w:w w:val="105"/>
                          <w:sz w:val="20"/>
                        </w:rPr>
                        <w:t> </w:t>
                      </w:r>
                      <w:r>
                        <w:rPr>
                          <w:color w:val="050505"/>
                          <w:w w:val="105"/>
                          <w:sz w:val="20"/>
                        </w:rPr>
                        <w:t>Cost</w:t>
                      </w:r>
                      <w:r>
                        <w:rPr>
                          <w:color w:val="050505"/>
                          <w:spacing w:val="-3"/>
                          <w:w w:val="105"/>
                          <w:sz w:val="20"/>
                        </w:rPr>
                        <w:t> </w:t>
                      </w:r>
                      <w:r>
                        <w:rPr>
                          <w:color w:val="050505"/>
                          <w:w w:val="105"/>
                          <w:sz w:val="20"/>
                        </w:rPr>
                        <w:t>or</w:t>
                      </w:r>
                      <w:r>
                        <w:rPr>
                          <w:color w:val="050505"/>
                          <w:spacing w:val="-4"/>
                          <w:w w:val="105"/>
                          <w:sz w:val="20"/>
                        </w:rPr>
                        <w:t> </w:t>
                      </w:r>
                      <w:r>
                        <w:rPr>
                          <w:color w:val="050505"/>
                          <w:spacing w:val="-2"/>
                          <w:w w:val="105"/>
                          <w:sz w:val="20"/>
                        </w:rPr>
                        <w:t>Valuation</w:t>
                      </w:r>
                    </w:p>
                  </w:txbxContent>
                </v:textbox>
                <w10:wrap type="none"/>
              </v:shape>
            </w:pict>
          </ve:Fallback>
        </ve:AlternateContent>
      </w:r>
      <w:r>
        <w:rPr/>
        <ve:AlternateContent>
          <ve:Choice Requires="wps">
            <w:drawing>
              <wp:anchor distT="0" distB="0" distL="0" distR="0" simplePos="0" relativeHeight="15792640" behindDoc="0" locked="0" layoutInCell="1" allowOverlap="1">
                <wp:simplePos x="0" y="0"/>
                <wp:positionH relativeFrom="page">
                  <wp:posOffset>3443624</wp:posOffset>
                </wp:positionH>
                <wp:positionV relativeFrom="paragraph">
                  <wp:posOffset>502317</wp:posOffset>
                </wp:positionV>
                <wp:extent cx="6163310" cy="730885"/>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6163310" cy="73088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77"/>
                              <w:gridCol w:w="4434"/>
                              <w:gridCol w:w="1485"/>
                              <w:gridCol w:w="1581"/>
                              <w:gridCol w:w="734"/>
                              <w:gridCol w:w="1275"/>
                            </w:tblGrid>
                            <w:tr>
                              <w:trPr>
                                <w:trHeight w:val="591" w:hRule="atLeast"/>
                              </w:trPr>
                              <w:tc>
                                <w:tcPr>
                                  <w:tcW w:w="77" w:type="dxa"/>
                                  <w:tcBorders>
                                    <w:bottom w:val="single" w:color="000000" w:sz="2" w:space="0"/>
                                  </w:tcBorders>
                                </w:tcPr>
                                <w:p>
                                  <w:pPr>
                                    <w:pStyle w:val="TableParagraph"/>
                                    <w:rPr>
                                      <w:rFonts w:ascii="Times New Roman"/>
                                      <w:sz w:val="18"/>
                                    </w:rPr>
                                  </w:pPr>
                                </w:p>
                              </w:tc>
                              <w:tc>
                                <w:tcPr>
                                  <w:tcW w:w="4434" w:type="dxa"/>
                                  <w:tcBorders>
                                    <w:bottom w:val="single" w:color="000000" w:sz="6" w:space="0"/>
                                  </w:tcBorders>
                                </w:tcPr>
                                <w:p>
                                  <w:pPr>
                                    <w:pStyle w:val="TableParagraph"/>
                                    <w:tabs>
                                      <w:tab w:val="left" w:leader="none" w:pos="1952"/>
                                      <w:tab w:val="left" w:leader="none" w:pos="3527"/>
                                    </w:tabs>
                                    <w:spacing w:line="302" w:lineRule="exact"/>
                                    <w:ind w:left="41"/>
                                    <w:jc w:val="center"/>
                                    <w:rPr>
                                      <w:sz w:val="27"/>
                                    </w:rPr>
                                  </w:pPr>
                                  <w:r>
                                    <w:rPr>
                                      <w:color w:val="050505"/>
                                      <w:spacing w:val="-2"/>
                                      <w:position w:val="2"/>
                                      <w:sz w:val="20"/>
                                    </w:rPr>
                                    <w:t>(1,568)</w:t>
                                  </w:r>
                                  <w:r>
                                    <w:rPr>
                                      <w:color w:val="050505"/>
                                      <w:position w:val="2"/>
                                      <w:sz w:val="20"/>
                                    </w:rPr>
                                    <w:tab/>
                                  </w:r>
                                  <w:r>
                                    <w:rPr>
                                      <w:color w:val="313131"/>
                                      <w:spacing w:val="-10"/>
                                      <w:sz w:val="20"/>
                                    </w:rPr>
                                    <w:t>-</w:t>
                                  </w:r>
                                  <w:r>
                                    <w:rPr>
                                      <w:color w:val="313131"/>
                                      <w:sz w:val="20"/>
                                    </w:rPr>
                                    <w:tab/>
                                  </w:r>
                                  <w:r>
                                    <w:rPr>
                                      <w:color w:val="4D4D4D"/>
                                      <w:spacing w:val="-10"/>
                                      <w:sz w:val="27"/>
                                    </w:rPr>
                                    <w:t>-</w:t>
                                  </w:r>
                                </w:p>
                              </w:tc>
                              <w:tc>
                                <w:tcPr>
                                  <w:tcW w:w="1485" w:type="dxa"/>
                                  <w:tcBorders>
                                    <w:bottom w:val="single" w:color="000000" w:sz="6" w:space="0"/>
                                  </w:tcBorders>
                                </w:tcPr>
                                <w:p>
                                  <w:pPr>
                                    <w:pStyle w:val="TableParagraph"/>
                                    <w:spacing w:before="37"/>
                                    <w:ind w:left="875"/>
                                    <w:rPr>
                                      <w:sz w:val="16"/>
                                    </w:rPr>
                                  </w:pPr>
                                  <w:r>
                                    <w:rPr>
                                      <w:color w:val="313131"/>
                                      <w:spacing w:val="-5"/>
                                      <w:w w:val="160"/>
                                      <w:sz w:val="16"/>
                                    </w:rPr>
                                    <w:t>.</w:t>
                                  </w:r>
                                  <w:r>
                                    <w:rPr>
                                      <w:color w:val="DBDBDB"/>
                                      <w:spacing w:val="-5"/>
                                      <w:w w:val="160"/>
                                      <w:sz w:val="16"/>
                                    </w:rPr>
                                    <w:t>.</w:t>
                                  </w:r>
                                </w:p>
                              </w:tc>
                              <w:tc>
                                <w:tcPr>
                                  <w:tcW w:w="1581" w:type="dxa"/>
                                  <w:tcBorders>
                                    <w:bottom w:val="single" w:color="000000" w:sz="6" w:space="0"/>
                                  </w:tcBorders>
                                </w:tcPr>
                                <w:p>
                                  <w:pPr>
                                    <w:pStyle w:val="TableParagraph"/>
                                    <w:spacing w:before="43"/>
                                    <w:ind w:right="542"/>
                                    <w:jc w:val="right"/>
                                    <w:rPr>
                                      <w:sz w:val="20"/>
                                    </w:rPr>
                                  </w:pPr>
                                  <w:r>
                                    <w:rPr>
                                      <w:color w:val="313131"/>
                                      <w:spacing w:val="-10"/>
                                      <w:w w:val="160"/>
                                      <w:sz w:val="20"/>
                                    </w:rPr>
                                    <w:t>-</w:t>
                                  </w:r>
                                </w:p>
                              </w:tc>
                              <w:tc>
                                <w:tcPr>
                                  <w:tcW w:w="734" w:type="dxa"/>
                                  <w:tcBorders>
                                    <w:bottom w:val="single" w:color="000000" w:sz="6" w:space="0"/>
                                  </w:tcBorders>
                                </w:tcPr>
                                <w:p>
                                  <w:pPr>
                                    <w:pStyle w:val="TableParagraph"/>
                                    <w:spacing w:before="29"/>
                                    <w:ind w:right="106"/>
                                    <w:jc w:val="right"/>
                                    <w:rPr>
                                      <w:sz w:val="22"/>
                                    </w:rPr>
                                  </w:pPr>
                                  <w:r>
                                    <w:rPr>
                                      <w:color w:val="313131"/>
                                      <w:spacing w:val="-10"/>
                                      <w:w w:val="110"/>
                                      <w:sz w:val="22"/>
                                    </w:rPr>
                                    <w:t>-</w:t>
                                  </w:r>
                                </w:p>
                              </w:tc>
                              <w:tc>
                                <w:tcPr>
                                  <w:tcW w:w="1275" w:type="dxa"/>
                                </w:tcPr>
                                <w:p>
                                  <w:pPr>
                                    <w:pStyle w:val="TableParagraph"/>
                                    <w:spacing w:before="38"/>
                                    <w:ind w:right="92"/>
                                    <w:jc w:val="right"/>
                                    <w:rPr>
                                      <w:b/>
                                      <w:sz w:val="20"/>
                                    </w:rPr>
                                  </w:pPr>
                                  <w:r>
                                    <w:rPr>
                                      <w:b/>
                                      <w:color w:val="050505"/>
                                      <w:spacing w:val="-2"/>
                                      <w:w w:val="105"/>
                                      <w:sz w:val="20"/>
                                    </w:rPr>
                                    <w:t>(1,568)</w:t>
                                  </w:r>
                                </w:p>
                              </w:tc>
                            </w:tr>
                            <w:tr>
                              <w:trPr>
                                <w:trHeight w:val="530" w:hRule="atLeast"/>
                              </w:trPr>
                              <w:tc>
                                <w:tcPr>
                                  <w:tcW w:w="77" w:type="dxa"/>
                                  <w:tcBorders>
                                    <w:top w:val="single" w:color="000000" w:sz="2" w:space="0"/>
                                  </w:tcBorders>
                                </w:tcPr>
                                <w:p>
                                  <w:pPr>
                                    <w:pStyle w:val="TableParagraph"/>
                                    <w:rPr>
                                      <w:rFonts w:ascii="Times New Roman"/>
                                      <w:sz w:val="18"/>
                                    </w:rPr>
                                  </w:pPr>
                                </w:p>
                              </w:tc>
                              <w:tc>
                                <w:tcPr>
                                  <w:tcW w:w="4434" w:type="dxa"/>
                                  <w:tcBorders>
                                    <w:top w:val="single" w:color="000000" w:sz="6" w:space="0"/>
                                    <w:bottom w:val="single" w:color="000000" w:sz="6" w:space="0"/>
                                  </w:tcBorders>
                                </w:tcPr>
                                <w:p>
                                  <w:pPr>
                                    <w:pStyle w:val="TableParagraph"/>
                                    <w:tabs>
                                      <w:tab w:val="left" w:leader="none" w:pos="1537"/>
                                      <w:tab w:val="left" w:leader="none" w:pos="3296"/>
                                    </w:tabs>
                                    <w:spacing w:before="16"/>
                                    <w:ind w:right="62"/>
                                    <w:jc w:val="center"/>
                                    <w:rPr>
                                      <w:b/>
                                      <w:sz w:val="20"/>
                                    </w:rPr>
                                  </w:pPr>
                                  <w:r>
                                    <w:rPr>
                                      <w:b/>
                                      <w:color w:val="050505"/>
                                      <w:spacing w:val="-2"/>
                                      <w:w w:val="105"/>
                                      <w:sz w:val="20"/>
                                    </w:rPr>
                                    <w:t>176,117</w:t>
                                  </w:r>
                                  <w:r>
                                    <w:rPr>
                                      <w:b/>
                                      <w:color w:val="050505"/>
                                      <w:sz w:val="20"/>
                                    </w:rPr>
                                    <w:tab/>
                                  </w:r>
                                  <w:r>
                                    <w:rPr>
                                      <w:b/>
                                      <w:color w:val="050505"/>
                                      <w:spacing w:val="-2"/>
                                      <w:w w:val="105"/>
                                      <w:sz w:val="20"/>
                                    </w:rPr>
                                    <w:t>8,035</w:t>
                                  </w:r>
                                  <w:r>
                                    <w:rPr>
                                      <w:b/>
                                      <w:color w:val="050505"/>
                                      <w:sz w:val="20"/>
                                    </w:rPr>
                                    <w:tab/>
                                  </w:r>
                                  <w:r>
                                    <w:rPr>
                                      <w:b/>
                                      <w:color w:val="050505"/>
                                      <w:spacing w:val="-5"/>
                                      <w:w w:val="105"/>
                                      <w:sz w:val="20"/>
                                    </w:rPr>
                                    <w:t>524</w:t>
                                  </w:r>
                                </w:p>
                              </w:tc>
                              <w:tc>
                                <w:tcPr>
                                  <w:tcW w:w="1485" w:type="dxa"/>
                                  <w:tcBorders>
                                    <w:top w:val="single" w:color="000000" w:sz="6" w:space="0"/>
                                    <w:bottom w:val="single" w:color="000000" w:sz="6" w:space="0"/>
                                  </w:tcBorders>
                                </w:tcPr>
                                <w:p>
                                  <w:pPr>
                                    <w:pStyle w:val="TableParagraph"/>
                                    <w:spacing w:before="16"/>
                                    <w:ind w:left="423"/>
                                    <w:rPr>
                                      <w:b/>
                                      <w:sz w:val="20"/>
                                    </w:rPr>
                                  </w:pPr>
                                  <w:r>
                                    <w:rPr>
                                      <w:b/>
                                      <w:color w:val="050505"/>
                                      <w:spacing w:val="-2"/>
                                      <w:w w:val="105"/>
                                      <w:sz w:val="20"/>
                                    </w:rPr>
                                    <w:t>2,292</w:t>
                                  </w:r>
                                </w:p>
                              </w:tc>
                              <w:tc>
                                <w:tcPr>
                                  <w:tcW w:w="1581" w:type="dxa"/>
                                  <w:tcBorders>
                                    <w:top w:val="single" w:color="000000" w:sz="6" w:space="0"/>
                                    <w:bottom w:val="single" w:color="000000" w:sz="6" w:space="0"/>
                                  </w:tcBorders>
                                </w:tcPr>
                                <w:p>
                                  <w:pPr>
                                    <w:pStyle w:val="TableParagraph"/>
                                    <w:spacing w:before="16"/>
                                    <w:ind w:right="588"/>
                                    <w:jc w:val="right"/>
                                    <w:rPr>
                                      <w:b/>
                                      <w:sz w:val="20"/>
                                    </w:rPr>
                                  </w:pPr>
                                  <w:r>
                                    <w:rPr>
                                      <w:b/>
                                      <w:color w:val="050505"/>
                                      <w:spacing w:val="-2"/>
                                      <w:w w:val="105"/>
                                      <w:sz w:val="20"/>
                                    </w:rPr>
                                    <w:t>4,483</w:t>
                                  </w:r>
                                </w:p>
                              </w:tc>
                              <w:tc>
                                <w:tcPr>
                                  <w:tcW w:w="734" w:type="dxa"/>
                                  <w:tcBorders>
                                    <w:top w:val="single" w:color="000000" w:sz="6" w:space="0"/>
                                    <w:bottom w:val="single" w:color="000000" w:sz="6" w:space="0"/>
                                  </w:tcBorders>
                                </w:tcPr>
                                <w:p>
                                  <w:pPr>
                                    <w:pStyle w:val="TableParagraph"/>
                                    <w:spacing w:line="306" w:lineRule="exact"/>
                                    <w:ind w:right="105"/>
                                    <w:jc w:val="right"/>
                                    <w:rPr>
                                      <w:sz w:val="32"/>
                                    </w:rPr>
                                  </w:pPr>
                                  <w:r>
                                    <w:rPr>
                                      <w:color w:val="313131"/>
                                      <w:spacing w:val="-10"/>
                                      <w:w w:val="85"/>
                                      <w:sz w:val="32"/>
                                    </w:rPr>
                                    <w:t>-</w:t>
                                  </w:r>
                                </w:p>
                              </w:tc>
                              <w:tc>
                                <w:tcPr>
                                  <w:tcW w:w="1275" w:type="dxa"/>
                                  <w:tcBorders>
                                    <w:bottom w:val="single" w:color="000000" w:sz="6" w:space="0"/>
                                  </w:tcBorders>
                                </w:tcPr>
                                <w:p>
                                  <w:pPr>
                                    <w:pStyle w:val="TableParagraph"/>
                                    <w:spacing w:before="56"/>
                                    <w:ind w:right="97"/>
                                    <w:jc w:val="right"/>
                                    <w:rPr>
                                      <w:b/>
                                      <w:sz w:val="20"/>
                                    </w:rPr>
                                  </w:pPr>
                                  <w:r>
                                    <w:rPr>
                                      <w:b/>
                                      <w:color w:val="050505"/>
                                      <w:spacing w:val="-2"/>
                                      <w:w w:val="105"/>
                                      <w:sz w:val="20"/>
                                    </w:rPr>
                                    <w:t>191,451</w:t>
                                  </w:r>
                                </w:p>
                              </w:tc>
                            </w:tr>
                          </w:tbl>
                          <w:p>
                            <w:pPr>
                              <w:pStyle w:val="BodyText"/>
                            </w:pPr>
                          </w:p>
                        </w:txbxContent>
                      </wps:txbx>
                      <wps:bodyPr wrap="square" lIns="0" tIns="0" rIns="0" bIns="0" rtlCol="0">
                        <a:noAutofit/>
                      </wps:bodyPr>
                    </wps:wsp>
                  </a:graphicData>
                </a:graphic>
              </wp:anchor>
            </w:drawing>
          </ve:Choice>
          <ve:Fallback>
            <w:pict>
              <v:shape id="docshape188" style="position:absolute;margin-left:271.15155pt;margin-top:39.552521pt;width:485.3pt;height:57.55pt;mso-position-horizontal-relative:page;mso-position-vertical-relative:paragraph;z-index:15792640"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77"/>
                        <w:gridCol w:w="4434"/>
                        <w:gridCol w:w="1485"/>
                        <w:gridCol w:w="1581"/>
                        <w:gridCol w:w="734"/>
                        <w:gridCol w:w="1275"/>
                      </w:tblGrid>
                      <w:tr>
                        <w:trPr>
                          <w:trHeight w:val="591" w:hRule="atLeast"/>
                        </w:trPr>
                        <w:tc>
                          <w:tcPr>
                            <w:tcW w:w="77" w:type="dxa"/>
                            <w:tcBorders>
                              <w:bottom w:val="single" w:color="000000" w:sz="2" w:space="0"/>
                            </w:tcBorders>
                          </w:tcPr>
                          <w:p>
                            <w:pPr>
                              <w:pStyle w:val="TableParagraph"/>
                              <w:rPr>
                                <w:rFonts w:ascii="Times New Roman"/>
                                <w:sz w:val="18"/>
                              </w:rPr>
                            </w:pPr>
                          </w:p>
                        </w:tc>
                        <w:tc>
                          <w:tcPr>
                            <w:tcW w:w="4434" w:type="dxa"/>
                            <w:tcBorders>
                              <w:bottom w:val="single" w:color="000000" w:sz="6" w:space="0"/>
                            </w:tcBorders>
                          </w:tcPr>
                          <w:p>
                            <w:pPr>
                              <w:pStyle w:val="TableParagraph"/>
                              <w:tabs>
                                <w:tab w:val="left" w:leader="none" w:pos="1952"/>
                                <w:tab w:val="left" w:leader="none" w:pos="3527"/>
                              </w:tabs>
                              <w:spacing w:line="302" w:lineRule="exact"/>
                              <w:ind w:left="41"/>
                              <w:jc w:val="center"/>
                              <w:rPr>
                                <w:sz w:val="27"/>
                              </w:rPr>
                            </w:pPr>
                            <w:r>
                              <w:rPr>
                                <w:color w:val="050505"/>
                                <w:spacing w:val="-2"/>
                                <w:position w:val="2"/>
                                <w:sz w:val="20"/>
                              </w:rPr>
                              <w:t>(1,568)</w:t>
                            </w:r>
                            <w:r>
                              <w:rPr>
                                <w:color w:val="050505"/>
                                <w:position w:val="2"/>
                                <w:sz w:val="20"/>
                              </w:rPr>
                              <w:tab/>
                            </w:r>
                            <w:r>
                              <w:rPr>
                                <w:color w:val="313131"/>
                                <w:spacing w:val="-10"/>
                                <w:sz w:val="20"/>
                              </w:rPr>
                              <w:t>-</w:t>
                            </w:r>
                            <w:r>
                              <w:rPr>
                                <w:color w:val="313131"/>
                                <w:sz w:val="20"/>
                              </w:rPr>
                              <w:tab/>
                            </w:r>
                            <w:r>
                              <w:rPr>
                                <w:color w:val="4D4D4D"/>
                                <w:spacing w:val="-10"/>
                                <w:sz w:val="27"/>
                              </w:rPr>
                              <w:t>-</w:t>
                            </w:r>
                          </w:p>
                        </w:tc>
                        <w:tc>
                          <w:tcPr>
                            <w:tcW w:w="1485" w:type="dxa"/>
                            <w:tcBorders>
                              <w:bottom w:val="single" w:color="000000" w:sz="6" w:space="0"/>
                            </w:tcBorders>
                          </w:tcPr>
                          <w:p>
                            <w:pPr>
                              <w:pStyle w:val="TableParagraph"/>
                              <w:spacing w:before="37"/>
                              <w:ind w:left="875"/>
                              <w:rPr>
                                <w:sz w:val="16"/>
                              </w:rPr>
                            </w:pPr>
                            <w:r>
                              <w:rPr>
                                <w:color w:val="313131"/>
                                <w:spacing w:val="-5"/>
                                <w:w w:val="160"/>
                                <w:sz w:val="16"/>
                              </w:rPr>
                              <w:t>.</w:t>
                            </w:r>
                            <w:r>
                              <w:rPr>
                                <w:color w:val="DBDBDB"/>
                                <w:spacing w:val="-5"/>
                                <w:w w:val="160"/>
                                <w:sz w:val="16"/>
                              </w:rPr>
                              <w:t>.</w:t>
                            </w:r>
                          </w:p>
                        </w:tc>
                        <w:tc>
                          <w:tcPr>
                            <w:tcW w:w="1581" w:type="dxa"/>
                            <w:tcBorders>
                              <w:bottom w:val="single" w:color="000000" w:sz="6" w:space="0"/>
                            </w:tcBorders>
                          </w:tcPr>
                          <w:p>
                            <w:pPr>
                              <w:pStyle w:val="TableParagraph"/>
                              <w:spacing w:before="43"/>
                              <w:ind w:right="542"/>
                              <w:jc w:val="right"/>
                              <w:rPr>
                                <w:sz w:val="20"/>
                              </w:rPr>
                            </w:pPr>
                            <w:r>
                              <w:rPr>
                                <w:color w:val="313131"/>
                                <w:spacing w:val="-10"/>
                                <w:w w:val="160"/>
                                <w:sz w:val="20"/>
                              </w:rPr>
                              <w:t>-</w:t>
                            </w:r>
                          </w:p>
                        </w:tc>
                        <w:tc>
                          <w:tcPr>
                            <w:tcW w:w="734" w:type="dxa"/>
                            <w:tcBorders>
                              <w:bottom w:val="single" w:color="000000" w:sz="6" w:space="0"/>
                            </w:tcBorders>
                          </w:tcPr>
                          <w:p>
                            <w:pPr>
                              <w:pStyle w:val="TableParagraph"/>
                              <w:spacing w:before="29"/>
                              <w:ind w:right="106"/>
                              <w:jc w:val="right"/>
                              <w:rPr>
                                <w:sz w:val="22"/>
                              </w:rPr>
                            </w:pPr>
                            <w:r>
                              <w:rPr>
                                <w:color w:val="313131"/>
                                <w:spacing w:val="-10"/>
                                <w:w w:val="110"/>
                                <w:sz w:val="22"/>
                              </w:rPr>
                              <w:t>-</w:t>
                            </w:r>
                          </w:p>
                        </w:tc>
                        <w:tc>
                          <w:tcPr>
                            <w:tcW w:w="1275" w:type="dxa"/>
                          </w:tcPr>
                          <w:p>
                            <w:pPr>
                              <w:pStyle w:val="TableParagraph"/>
                              <w:spacing w:before="38"/>
                              <w:ind w:right="92"/>
                              <w:jc w:val="right"/>
                              <w:rPr>
                                <w:b/>
                                <w:sz w:val="20"/>
                              </w:rPr>
                            </w:pPr>
                            <w:r>
                              <w:rPr>
                                <w:b/>
                                <w:color w:val="050505"/>
                                <w:spacing w:val="-2"/>
                                <w:w w:val="105"/>
                                <w:sz w:val="20"/>
                              </w:rPr>
                              <w:t>(1,568)</w:t>
                            </w:r>
                          </w:p>
                        </w:tc>
                      </w:tr>
                      <w:tr>
                        <w:trPr>
                          <w:trHeight w:val="530" w:hRule="atLeast"/>
                        </w:trPr>
                        <w:tc>
                          <w:tcPr>
                            <w:tcW w:w="77" w:type="dxa"/>
                            <w:tcBorders>
                              <w:top w:val="single" w:color="000000" w:sz="2" w:space="0"/>
                            </w:tcBorders>
                          </w:tcPr>
                          <w:p>
                            <w:pPr>
                              <w:pStyle w:val="TableParagraph"/>
                              <w:rPr>
                                <w:rFonts w:ascii="Times New Roman"/>
                                <w:sz w:val="18"/>
                              </w:rPr>
                            </w:pPr>
                          </w:p>
                        </w:tc>
                        <w:tc>
                          <w:tcPr>
                            <w:tcW w:w="4434" w:type="dxa"/>
                            <w:tcBorders>
                              <w:top w:val="single" w:color="000000" w:sz="6" w:space="0"/>
                              <w:bottom w:val="single" w:color="000000" w:sz="6" w:space="0"/>
                            </w:tcBorders>
                          </w:tcPr>
                          <w:p>
                            <w:pPr>
                              <w:pStyle w:val="TableParagraph"/>
                              <w:tabs>
                                <w:tab w:val="left" w:leader="none" w:pos="1537"/>
                                <w:tab w:val="left" w:leader="none" w:pos="3296"/>
                              </w:tabs>
                              <w:spacing w:before="16"/>
                              <w:ind w:right="62"/>
                              <w:jc w:val="center"/>
                              <w:rPr>
                                <w:b/>
                                <w:sz w:val="20"/>
                              </w:rPr>
                            </w:pPr>
                            <w:r>
                              <w:rPr>
                                <w:b/>
                                <w:color w:val="050505"/>
                                <w:spacing w:val="-2"/>
                                <w:w w:val="105"/>
                                <w:sz w:val="20"/>
                              </w:rPr>
                              <w:t>176,117</w:t>
                            </w:r>
                            <w:r>
                              <w:rPr>
                                <w:b/>
                                <w:color w:val="050505"/>
                                <w:sz w:val="20"/>
                              </w:rPr>
                              <w:tab/>
                            </w:r>
                            <w:r>
                              <w:rPr>
                                <w:b/>
                                <w:color w:val="050505"/>
                                <w:spacing w:val="-2"/>
                                <w:w w:val="105"/>
                                <w:sz w:val="20"/>
                              </w:rPr>
                              <w:t>8,035</w:t>
                            </w:r>
                            <w:r>
                              <w:rPr>
                                <w:b/>
                                <w:color w:val="050505"/>
                                <w:sz w:val="20"/>
                              </w:rPr>
                              <w:tab/>
                            </w:r>
                            <w:r>
                              <w:rPr>
                                <w:b/>
                                <w:color w:val="050505"/>
                                <w:spacing w:val="-5"/>
                                <w:w w:val="105"/>
                                <w:sz w:val="20"/>
                              </w:rPr>
                              <w:t>524</w:t>
                            </w:r>
                          </w:p>
                        </w:tc>
                        <w:tc>
                          <w:tcPr>
                            <w:tcW w:w="1485" w:type="dxa"/>
                            <w:tcBorders>
                              <w:top w:val="single" w:color="000000" w:sz="6" w:space="0"/>
                              <w:bottom w:val="single" w:color="000000" w:sz="6" w:space="0"/>
                            </w:tcBorders>
                          </w:tcPr>
                          <w:p>
                            <w:pPr>
                              <w:pStyle w:val="TableParagraph"/>
                              <w:spacing w:before="16"/>
                              <w:ind w:left="423"/>
                              <w:rPr>
                                <w:b/>
                                <w:sz w:val="20"/>
                              </w:rPr>
                            </w:pPr>
                            <w:r>
                              <w:rPr>
                                <w:b/>
                                <w:color w:val="050505"/>
                                <w:spacing w:val="-2"/>
                                <w:w w:val="105"/>
                                <w:sz w:val="20"/>
                              </w:rPr>
                              <w:t>2,292</w:t>
                            </w:r>
                          </w:p>
                        </w:tc>
                        <w:tc>
                          <w:tcPr>
                            <w:tcW w:w="1581" w:type="dxa"/>
                            <w:tcBorders>
                              <w:top w:val="single" w:color="000000" w:sz="6" w:space="0"/>
                              <w:bottom w:val="single" w:color="000000" w:sz="6" w:space="0"/>
                            </w:tcBorders>
                          </w:tcPr>
                          <w:p>
                            <w:pPr>
                              <w:pStyle w:val="TableParagraph"/>
                              <w:spacing w:before="16"/>
                              <w:ind w:right="588"/>
                              <w:jc w:val="right"/>
                              <w:rPr>
                                <w:b/>
                                <w:sz w:val="20"/>
                              </w:rPr>
                            </w:pPr>
                            <w:r>
                              <w:rPr>
                                <w:b/>
                                <w:color w:val="050505"/>
                                <w:spacing w:val="-2"/>
                                <w:w w:val="105"/>
                                <w:sz w:val="20"/>
                              </w:rPr>
                              <w:t>4,483</w:t>
                            </w:r>
                          </w:p>
                        </w:tc>
                        <w:tc>
                          <w:tcPr>
                            <w:tcW w:w="734" w:type="dxa"/>
                            <w:tcBorders>
                              <w:top w:val="single" w:color="000000" w:sz="6" w:space="0"/>
                              <w:bottom w:val="single" w:color="000000" w:sz="6" w:space="0"/>
                            </w:tcBorders>
                          </w:tcPr>
                          <w:p>
                            <w:pPr>
                              <w:pStyle w:val="TableParagraph"/>
                              <w:spacing w:line="306" w:lineRule="exact"/>
                              <w:ind w:right="105"/>
                              <w:jc w:val="right"/>
                              <w:rPr>
                                <w:sz w:val="32"/>
                              </w:rPr>
                            </w:pPr>
                            <w:r>
                              <w:rPr>
                                <w:color w:val="313131"/>
                                <w:spacing w:val="-10"/>
                                <w:w w:val="85"/>
                                <w:sz w:val="32"/>
                              </w:rPr>
                              <w:t>-</w:t>
                            </w:r>
                          </w:p>
                        </w:tc>
                        <w:tc>
                          <w:tcPr>
                            <w:tcW w:w="1275" w:type="dxa"/>
                            <w:tcBorders>
                              <w:bottom w:val="single" w:color="000000" w:sz="6" w:space="0"/>
                            </w:tcBorders>
                          </w:tcPr>
                          <w:p>
                            <w:pPr>
                              <w:pStyle w:val="TableParagraph"/>
                              <w:spacing w:before="56"/>
                              <w:ind w:right="97"/>
                              <w:jc w:val="right"/>
                              <w:rPr>
                                <w:b/>
                                <w:sz w:val="20"/>
                              </w:rPr>
                            </w:pPr>
                            <w:r>
                              <w:rPr>
                                <w:b/>
                                <w:color w:val="050505"/>
                                <w:spacing w:val="-2"/>
                                <w:w w:val="105"/>
                                <w:sz w:val="20"/>
                              </w:rPr>
                              <w:t>191,451</w:t>
                            </w:r>
                          </w:p>
                        </w:tc>
                      </w:tr>
                    </w:tbl>
                    <w:p>
                      <w:pPr>
                        <w:pStyle w:val="BodyText"/>
                      </w:pPr>
                    </w:p>
                  </w:txbxContent>
                </v:textbox>
                <w10:wrap type="none"/>
              </v:shape>
            </w:pict>
          </ve:Fallback>
        </ve:AlternateContent>
      </w:r>
      <w:r>
        <w:rPr>
          <w:color w:val="050505"/>
          <w:w w:val="105"/>
          <w:sz w:val="20"/>
        </w:rPr>
        <w:t>Other movements</w:t>
      </w:r>
      <w:r>
        <w:rPr>
          <w:color w:val="050505"/>
          <w:sz w:val="20"/>
        </w:rPr>
        <w:tab/>
      </w:r>
      <w:r>
        <w:rPr>
          <w:color w:val="050505"/>
          <w:spacing w:val="-2"/>
          <w:w w:val="105"/>
          <w:sz w:val="20"/>
        </w:rPr>
        <w:t>15,580</w:t>
      </w:r>
      <w:r>
        <w:rPr>
          <w:color w:val="050505"/>
          <w:sz w:val="20"/>
        </w:rPr>
        <w:tab/>
      </w:r>
      <w:r>
        <w:rPr>
          <w:color w:val="313131"/>
          <w:spacing w:val="-10"/>
          <w:w w:val="105"/>
          <w:position w:val="0"/>
          <w:sz w:val="21"/>
        </w:rPr>
        <w:t>-</w:t>
      </w:r>
      <w:r>
        <w:rPr>
          <w:color w:val="313131"/>
          <w:position w:val="0"/>
          <w:sz w:val="21"/>
        </w:rPr>
        <w:tab/>
      </w:r>
      <w:r>
        <w:rPr>
          <w:color w:val="313131"/>
          <w:spacing w:val="-10"/>
          <w:w w:val="105"/>
          <w:position w:val="-1"/>
          <w:sz w:val="20"/>
        </w:rPr>
        <w:t>-</w:t>
      </w:r>
      <w:r>
        <w:rPr>
          <w:color w:val="313131"/>
          <w:position w:val="-1"/>
          <w:sz w:val="20"/>
        </w:rPr>
        <w:tab/>
      </w:r>
      <w:r>
        <w:rPr>
          <w:color w:val="313131"/>
          <w:spacing w:val="-10"/>
          <w:w w:val="105"/>
          <w:position w:val="-1"/>
          <w:sz w:val="27"/>
        </w:rPr>
        <w:t>-</w:t>
      </w:r>
      <w:r>
        <w:rPr>
          <w:color w:val="313131"/>
          <w:position w:val="-1"/>
          <w:sz w:val="27"/>
        </w:rPr>
        <w:tab/>
      </w:r>
      <w:r>
        <w:rPr>
          <w:color w:val="050505"/>
          <w:spacing w:val="-2"/>
          <w:w w:val="105"/>
          <w:sz w:val="20"/>
        </w:rPr>
        <w:t>(15,580) </w:t>
      </w:r>
      <w:r>
        <w:rPr>
          <w:color w:val="050505"/>
          <w:w w:val="105"/>
          <w:sz w:val="20"/>
        </w:rPr>
        <w:t>Accumulated depreciation and impairment</w:t>
      </w:r>
    </w:p>
    <w:p>
      <w:pPr>
        <w:pStyle w:val="BodyText"/>
        <w:spacing w:before="153"/>
        <w:rPr>
          <w:sz w:val="20"/>
        </w:rPr>
      </w:pPr>
    </w:p>
    <w:p>
      <w:pPr>
        <w:spacing w:before="0"/>
        <w:ind w:left="573" w:right="0" w:firstLine="0"/>
        <w:jc w:val="left"/>
        <w:rPr>
          <w:b/>
          <w:sz w:val="20"/>
        </w:rPr>
      </w:pPr>
      <w:r>
        <w:rPr>
          <w:b/>
          <w:color w:val="050505"/>
          <w:w w:val="105"/>
          <w:sz w:val="20"/>
        </w:rPr>
        <w:t>At 31</w:t>
      </w:r>
      <w:r>
        <w:rPr>
          <w:b/>
          <w:color w:val="050505"/>
          <w:spacing w:val="-13"/>
          <w:w w:val="105"/>
          <w:sz w:val="20"/>
        </w:rPr>
        <w:t> </w:t>
      </w:r>
      <w:r>
        <w:rPr>
          <w:b/>
          <w:color w:val="050505"/>
          <w:w w:val="105"/>
          <w:sz w:val="20"/>
        </w:rPr>
        <w:t>March</w:t>
      </w:r>
      <w:r>
        <w:rPr>
          <w:b/>
          <w:color w:val="050505"/>
          <w:spacing w:val="6"/>
          <w:w w:val="105"/>
          <w:sz w:val="20"/>
        </w:rPr>
        <w:t> </w:t>
      </w:r>
      <w:r>
        <w:rPr>
          <w:b/>
          <w:color w:val="050505"/>
          <w:spacing w:val="-4"/>
          <w:w w:val="105"/>
          <w:sz w:val="20"/>
        </w:rPr>
        <w:t>2023</w:t>
      </w:r>
    </w:p>
    <w:p>
      <w:pPr>
        <w:spacing w:after="0"/>
        <w:jc w:val="left"/>
        <w:rPr>
          <w:sz w:val="20"/>
        </w:rPr>
        <w:sectPr>
          <w:headerReference w:type="default" r:id="rId152"/>
          <w:pgSz w:w="16830" w:h="11910" w:orient="landscape"/>
          <w:pgMar w:top="800" w:right="480" w:bottom="1220" w:left="740" w:header="0" w:footer="0"/>
        </w:sectPr>
      </w:pPr>
    </w:p>
    <w:p>
      <w:pPr>
        <w:pStyle w:val="BodyText"/>
        <w:rPr>
          <w:b/>
          <w:sz w:val="20"/>
        </w:rPr>
      </w:pPr>
    </w:p>
    <w:p>
      <w:pPr>
        <w:pStyle w:val="BodyText"/>
        <w:rPr>
          <w:b/>
          <w:sz w:val="20"/>
        </w:rPr>
      </w:pPr>
    </w:p>
    <w:p>
      <w:pPr>
        <w:pStyle w:val="BodyText"/>
        <w:spacing w:before="195"/>
        <w:rPr>
          <w:b/>
          <w:sz w:val="20"/>
        </w:rPr>
      </w:pPr>
    </w:p>
    <w:p>
      <w:pPr>
        <w:spacing w:after="0"/>
        <w:rPr>
          <w:sz w:val="20"/>
        </w:rPr>
        <w:sectPr>
          <w:headerReference w:type="even" r:id="rId153"/>
          <w:headerReference w:type="default" r:id="rId154"/>
          <w:footerReference w:type="even" r:id="rId155"/>
          <w:footerReference w:type="default" r:id="rId156"/>
          <w:pgSz w:w="16830" w:h="11910" w:orient="landscape"/>
          <w:pgMar w:top="1600" w:right="480" w:bottom="2480" w:left="740" w:header="948" w:footer="2281"/>
          <w:pgNumType w:start="72"/>
        </w:sectPr>
      </w:pPr>
    </w:p>
    <w:p>
      <w:pPr>
        <w:spacing w:before="94" w:line="271" w:lineRule="auto"/>
        <w:ind w:left="417" w:right="1372" w:firstLine="2"/>
        <w:jc w:val="left"/>
        <w:rPr>
          <w:sz w:val="21"/>
        </w:rPr>
      </w:pPr>
      <w:r>
        <w:rPr>
          <w:color w:val="030303"/>
          <w:w w:val="105"/>
          <w:sz w:val="21"/>
        </w:rPr>
        <w:t>Accumulated Depreciation </w:t>
      </w:r>
      <w:r>
        <w:rPr>
          <w:b/>
          <w:color w:val="030303"/>
          <w:w w:val="105"/>
          <w:sz w:val="20"/>
        </w:rPr>
        <w:t>At 1 April 2022 </w:t>
      </w:r>
      <w:r>
        <w:rPr>
          <w:color w:val="030303"/>
          <w:spacing w:val="-2"/>
          <w:w w:val="105"/>
          <w:sz w:val="21"/>
        </w:rPr>
        <w:t>Depreciation</w:t>
      </w:r>
    </w:p>
    <w:p>
      <w:pPr>
        <w:spacing w:before="218" w:line="244" w:lineRule="auto"/>
        <w:ind w:left="419" w:right="36" w:hanging="1"/>
        <w:jc w:val="left"/>
        <w:rPr>
          <w:sz w:val="21"/>
        </w:rPr>
      </w:pPr>
      <w:r>
        <w:rPr>
          <w:color w:val="030303"/>
          <w:sz w:val="21"/>
        </w:rPr>
        <w:t>Impairment</w:t>
      </w:r>
      <w:r>
        <w:rPr>
          <w:color w:val="030303"/>
          <w:spacing w:val="-10"/>
          <w:sz w:val="21"/>
        </w:rPr>
        <w:t> </w:t>
      </w:r>
      <w:r>
        <w:rPr>
          <w:color w:val="030303"/>
          <w:sz w:val="21"/>
        </w:rPr>
        <w:t>Losses/(Reversals)</w:t>
      </w:r>
      <w:r>
        <w:rPr>
          <w:color w:val="030303"/>
          <w:spacing w:val="-14"/>
          <w:sz w:val="21"/>
        </w:rPr>
        <w:t> </w:t>
      </w:r>
      <w:r>
        <w:rPr>
          <w:color w:val="030303"/>
          <w:sz w:val="21"/>
        </w:rPr>
        <w:t>recognised in the Revaluation Reserve</w:t>
      </w:r>
    </w:p>
    <w:p>
      <w:pPr>
        <w:spacing w:before="0" w:line="240" w:lineRule="auto"/>
        <w:ind w:left="424" w:right="35" w:hanging="1"/>
        <w:jc w:val="left"/>
        <w:rPr>
          <w:sz w:val="21"/>
        </w:rPr>
      </w:pPr>
      <w:r>
        <w:rPr>
          <w:color w:val="030303"/>
          <w:sz w:val="21"/>
        </w:rPr>
        <w:t>Impairment</w:t>
      </w:r>
      <w:r>
        <w:rPr>
          <w:color w:val="030303"/>
          <w:spacing w:val="-13"/>
          <w:sz w:val="21"/>
        </w:rPr>
        <w:t> </w:t>
      </w:r>
      <w:r>
        <w:rPr>
          <w:color w:val="030303"/>
          <w:sz w:val="21"/>
        </w:rPr>
        <w:t>Losses/(Reversals)</w:t>
      </w:r>
      <w:r>
        <w:rPr>
          <w:color w:val="030303"/>
          <w:spacing w:val="-15"/>
          <w:sz w:val="21"/>
        </w:rPr>
        <w:t> </w:t>
      </w:r>
      <w:r>
        <w:rPr>
          <w:color w:val="030303"/>
          <w:sz w:val="21"/>
        </w:rPr>
        <w:t>recognised in the Surplus/Deficit on the Provision</w:t>
      </w:r>
      <w:r>
        <w:rPr>
          <w:color w:val="030303"/>
          <w:spacing w:val="40"/>
          <w:sz w:val="21"/>
        </w:rPr>
        <w:t> </w:t>
      </w:r>
      <w:r>
        <w:rPr>
          <w:color w:val="030303"/>
          <w:sz w:val="21"/>
        </w:rPr>
        <w:t>of </w:t>
      </w:r>
      <w:r>
        <w:rPr>
          <w:color w:val="030303"/>
          <w:spacing w:val="-2"/>
          <w:sz w:val="21"/>
        </w:rPr>
        <w:t>Services</w:t>
      </w:r>
    </w:p>
    <w:p>
      <w:pPr>
        <w:spacing w:before="0"/>
        <w:ind w:left="431" w:right="0" w:firstLine="0"/>
        <w:jc w:val="left"/>
        <w:rPr>
          <w:sz w:val="21"/>
        </w:rPr>
      </w:pPr>
      <w:r>
        <w:rPr>
          <w:color w:val="030303"/>
          <w:spacing w:val="-2"/>
          <w:sz w:val="21"/>
        </w:rPr>
        <w:t>Disposals</w:t>
      </w:r>
    </w:p>
    <w:p>
      <w:pPr>
        <w:spacing w:before="234" w:line="276" w:lineRule="auto"/>
        <w:ind w:left="436" w:right="36" w:hanging="3"/>
        <w:jc w:val="left"/>
        <w:rPr>
          <w:sz w:val="21"/>
        </w:rPr>
      </w:pPr>
      <w:r>
        <w:rPr>
          <w:color w:val="030303"/>
          <w:sz w:val="21"/>
        </w:rPr>
        <w:t>Assets</w:t>
      </w:r>
      <w:r>
        <w:rPr>
          <w:color w:val="030303"/>
          <w:spacing w:val="-12"/>
          <w:sz w:val="21"/>
        </w:rPr>
        <w:t> </w:t>
      </w:r>
      <w:r>
        <w:rPr>
          <w:color w:val="030303"/>
          <w:sz w:val="21"/>
        </w:rPr>
        <w:t>reclassified</w:t>
      </w:r>
      <w:r>
        <w:rPr>
          <w:color w:val="030303"/>
          <w:spacing w:val="-6"/>
          <w:sz w:val="21"/>
        </w:rPr>
        <w:t> </w:t>
      </w:r>
      <w:r>
        <w:rPr>
          <w:color w:val="030303"/>
          <w:sz w:val="21"/>
        </w:rPr>
        <w:t>to/</w:t>
      </w:r>
      <w:r>
        <w:rPr>
          <w:color w:val="030303"/>
          <w:spacing w:val="29"/>
          <w:sz w:val="21"/>
        </w:rPr>
        <w:t> </w:t>
      </w:r>
      <w:r>
        <w:rPr>
          <w:color w:val="030303"/>
          <w:sz w:val="21"/>
        </w:rPr>
        <w:t>(from)</w:t>
      </w:r>
      <w:r>
        <w:rPr>
          <w:color w:val="030303"/>
          <w:spacing w:val="-12"/>
          <w:sz w:val="21"/>
        </w:rPr>
        <w:t> </w:t>
      </w:r>
      <w:r>
        <w:rPr>
          <w:color w:val="030303"/>
          <w:sz w:val="21"/>
        </w:rPr>
        <w:t>Investment </w:t>
      </w:r>
      <w:r>
        <w:rPr>
          <w:color w:val="030303"/>
          <w:spacing w:val="-2"/>
          <w:sz w:val="21"/>
        </w:rPr>
        <w:t>Property</w:t>
      </w:r>
    </w:p>
    <w:p>
      <w:pPr>
        <w:spacing w:before="181" w:line="240" w:lineRule="auto"/>
        <w:rPr>
          <w:sz w:val="20"/>
        </w:rPr>
      </w:pPr>
      <w:r>
        <w:rPr/>
        <w:br w:type="column"/>
      </w:r>
      <w:r>
        <w:rPr>
          <w:sz w:val="20"/>
        </w:rPr>
      </w:r>
    </w:p>
    <w:p>
      <w:pPr>
        <w:spacing w:before="0"/>
        <w:ind w:left="417" w:right="0" w:firstLine="0"/>
        <w:jc w:val="left"/>
        <w:rPr>
          <w:b/>
          <w:sz w:val="20"/>
        </w:rPr>
      </w:pPr>
      <w:r>
        <w:rPr/>
        <ve:AlternateContent>
          <ve:Choice Requires="wps">
            <w:drawing>
              <wp:anchor distT="0" distB="0" distL="0" distR="0" simplePos="0" relativeHeight="15795712" behindDoc="0" locked="0" layoutInCell="1" allowOverlap="1">
                <wp:simplePos x="0" y="0"/>
                <wp:positionH relativeFrom="page">
                  <wp:posOffset>3447933</wp:posOffset>
                </wp:positionH>
                <wp:positionV relativeFrom="paragraph">
                  <wp:posOffset>-845611</wp:posOffset>
                </wp:positionV>
                <wp:extent cx="6022975" cy="647700"/>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6022975" cy="647700"/>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22"/>
                              <w:gridCol w:w="1311"/>
                              <w:gridCol w:w="1601"/>
                              <w:gridCol w:w="1360"/>
                              <w:gridCol w:w="1582"/>
                              <w:gridCol w:w="1101"/>
                              <w:gridCol w:w="1294"/>
                            </w:tblGrid>
                            <w:tr>
                              <w:trPr>
                                <w:trHeight w:val="497" w:hRule="atLeast"/>
                              </w:trPr>
                              <w:tc>
                                <w:tcPr>
                                  <w:tcW w:w="1122" w:type="dxa"/>
                                </w:tcPr>
                                <w:p>
                                  <w:pPr>
                                    <w:pStyle w:val="TableParagraph"/>
                                    <w:spacing w:line="240" w:lineRule="atLeast"/>
                                    <w:ind w:left="170" w:right="226" w:firstLine="77"/>
                                    <w:rPr>
                                      <w:sz w:val="21"/>
                                    </w:rPr>
                                  </w:pPr>
                                  <w:r>
                                    <w:rPr>
                                      <w:color w:val="030303"/>
                                      <w:spacing w:val="-4"/>
                                      <w:w w:val="110"/>
                                      <w:sz w:val="21"/>
                                    </w:rPr>
                                    <w:t>Other </w:t>
                                  </w:r>
                                  <w:r>
                                    <w:rPr>
                                      <w:color w:val="030303"/>
                                      <w:w w:val="110"/>
                                      <w:sz w:val="21"/>
                                    </w:rPr>
                                    <w:t>Land</w:t>
                                  </w:r>
                                  <w:r>
                                    <w:rPr>
                                      <w:color w:val="030303"/>
                                      <w:spacing w:val="-14"/>
                                      <w:w w:val="110"/>
                                      <w:sz w:val="21"/>
                                    </w:rPr>
                                    <w:t> </w:t>
                                  </w:r>
                                  <w:r>
                                    <w:rPr>
                                      <w:color w:val="030303"/>
                                      <w:spacing w:val="-10"/>
                                      <w:w w:val="110"/>
                                      <w:sz w:val="21"/>
                                    </w:rPr>
                                    <w:t>&amp;</w:t>
                                  </w:r>
                                </w:p>
                              </w:tc>
                              <w:tc>
                                <w:tcPr>
                                  <w:tcW w:w="1311" w:type="dxa"/>
                                </w:tcPr>
                                <w:p>
                                  <w:pPr>
                                    <w:pStyle w:val="TableParagraph"/>
                                    <w:spacing w:line="240" w:lineRule="atLeast"/>
                                    <w:ind w:left="297" w:hanging="96"/>
                                    <w:rPr>
                                      <w:sz w:val="21"/>
                                    </w:rPr>
                                  </w:pPr>
                                  <w:r>
                                    <w:rPr>
                                      <w:color w:val="030303"/>
                                      <w:spacing w:val="-2"/>
                                      <w:sz w:val="21"/>
                                    </w:rPr>
                                    <w:t>Vehicles, </w:t>
                                  </w:r>
                                  <w:r>
                                    <w:rPr>
                                      <w:color w:val="030303"/>
                                      <w:spacing w:val="-2"/>
                                      <w:w w:val="115"/>
                                      <w:sz w:val="21"/>
                                    </w:rPr>
                                    <w:t>Plant&amp;</w:t>
                                  </w:r>
                                </w:p>
                              </w:tc>
                              <w:tc>
                                <w:tcPr>
                                  <w:tcW w:w="1601" w:type="dxa"/>
                                </w:tcPr>
                                <w:p>
                                  <w:pPr>
                                    <w:pStyle w:val="TableParagraph"/>
                                    <w:spacing w:before="42"/>
                                    <w:rPr>
                                      <w:sz w:val="21"/>
                                    </w:rPr>
                                  </w:pPr>
                                </w:p>
                                <w:p>
                                  <w:pPr>
                                    <w:pStyle w:val="TableParagraph"/>
                                    <w:spacing w:line="193" w:lineRule="exact"/>
                                    <w:ind w:left="14" w:right="10"/>
                                    <w:jc w:val="center"/>
                                    <w:rPr>
                                      <w:sz w:val="21"/>
                                    </w:rPr>
                                  </w:pPr>
                                  <w:r>
                                    <w:rPr>
                                      <w:color w:val="030303"/>
                                      <w:spacing w:val="-2"/>
                                      <w:w w:val="110"/>
                                      <w:sz w:val="21"/>
                                    </w:rPr>
                                    <w:t>Infrastructure</w:t>
                                  </w:r>
                                </w:p>
                              </w:tc>
                              <w:tc>
                                <w:tcPr>
                                  <w:tcW w:w="1360" w:type="dxa"/>
                                </w:tcPr>
                                <w:p>
                                  <w:pPr>
                                    <w:pStyle w:val="TableParagraph"/>
                                    <w:spacing w:before="47"/>
                                    <w:rPr>
                                      <w:sz w:val="21"/>
                                    </w:rPr>
                                  </w:pPr>
                                </w:p>
                                <w:p>
                                  <w:pPr>
                                    <w:pStyle w:val="TableParagraph"/>
                                    <w:spacing w:line="189" w:lineRule="exact"/>
                                    <w:ind w:right="20"/>
                                    <w:jc w:val="center"/>
                                    <w:rPr>
                                      <w:sz w:val="21"/>
                                    </w:rPr>
                                  </w:pPr>
                                  <w:r>
                                    <w:rPr>
                                      <w:color w:val="030303"/>
                                      <w:spacing w:val="-2"/>
                                      <w:w w:val="105"/>
                                      <w:sz w:val="21"/>
                                    </w:rPr>
                                    <w:t>Community</w:t>
                                  </w:r>
                                </w:p>
                              </w:tc>
                              <w:tc>
                                <w:tcPr>
                                  <w:tcW w:w="1582" w:type="dxa"/>
                                </w:tcPr>
                                <w:p>
                                  <w:pPr>
                                    <w:pStyle w:val="TableParagraph"/>
                                    <w:spacing w:before="62"/>
                                    <w:ind w:left="423"/>
                                    <w:rPr>
                                      <w:b/>
                                      <w:sz w:val="20"/>
                                    </w:rPr>
                                  </w:pPr>
                                  <w:r>
                                    <w:rPr>
                                      <w:b/>
                                      <w:color w:val="030303"/>
                                      <w:spacing w:val="-2"/>
                                      <w:w w:val="105"/>
                                      <w:sz w:val="20"/>
                                    </w:rPr>
                                    <w:t>Assets</w:t>
                                  </w:r>
                                </w:p>
                                <w:p>
                                  <w:pPr>
                                    <w:pStyle w:val="TableParagraph"/>
                                    <w:spacing w:before="1" w:line="184" w:lineRule="exact"/>
                                    <w:ind w:left="460"/>
                                    <w:rPr>
                                      <w:sz w:val="21"/>
                                    </w:rPr>
                                  </w:pPr>
                                  <w:r>
                                    <w:rPr>
                                      <w:color w:val="030303"/>
                                      <w:spacing w:val="-2"/>
                                      <w:w w:val="105"/>
                                      <w:sz w:val="21"/>
                                    </w:rPr>
                                    <w:t>Under</w:t>
                                  </w:r>
                                </w:p>
                              </w:tc>
                              <w:tc>
                                <w:tcPr>
                                  <w:tcW w:w="1101" w:type="dxa"/>
                                </w:tcPr>
                                <w:p>
                                  <w:pPr>
                                    <w:pStyle w:val="TableParagraph"/>
                                    <w:spacing w:before="61"/>
                                    <w:rPr>
                                      <w:sz w:val="21"/>
                                    </w:rPr>
                                  </w:pPr>
                                </w:p>
                                <w:p>
                                  <w:pPr>
                                    <w:pStyle w:val="TableParagraph"/>
                                    <w:spacing w:line="174" w:lineRule="exact"/>
                                    <w:ind w:left="5" w:right="7"/>
                                    <w:jc w:val="center"/>
                                    <w:rPr>
                                      <w:sz w:val="21"/>
                                    </w:rPr>
                                  </w:pPr>
                                  <w:r>
                                    <w:rPr>
                                      <w:color w:val="030303"/>
                                      <w:spacing w:val="-2"/>
                                      <w:w w:val="110"/>
                                      <w:sz w:val="21"/>
                                    </w:rPr>
                                    <w:t>Surplus</w:t>
                                  </w:r>
                                </w:p>
                              </w:tc>
                              <w:tc>
                                <w:tcPr>
                                  <w:tcW w:w="1294" w:type="dxa"/>
                                </w:tcPr>
                                <w:p>
                                  <w:pPr>
                                    <w:pStyle w:val="TableParagraph"/>
                                    <w:spacing w:before="28" w:line="240" w:lineRule="exact"/>
                                    <w:ind w:left="220" w:right="112" w:firstLine="38"/>
                                    <w:rPr>
                                      <w:sz w:val="21"/>
                                    </w:rPr>
                                  </w:pPr>
                                  <w:r>
                                    <w:rPr>
                                      <w:color w:val="030303"/>
                                      <w:spacing w:val="-2"/>
                                      <w:w w:val="110"/>
                                      <w:sz w:val="21"/>
                                    </w:rPr>
                                    <w:t>Property </w:t>
                                  </w:r>
                                  <w:r>
                                    <w:rPr>
                                      <w:color w:val="030303"/>
                                      <w:w w:val="105"/>
                                      <w:sz w:val="21"/>
                                    </w:rPr>
                                    <w:t>Plant</w:t>
                                  </w:r>
                                  <w:r>
                                    <w:rPr>
                                      <w:color w:val="030303"/>
                                      <w:spacing w:val="4"/>
                                      <w:w w:val="110"/>
                                      <w:sz w:val="21"/>
                                    </w:rPr>
                                    <w:t> </w:t>
                                  </w:r>
                                  <w:r>
                                    <w:rPr>
                                      <w:color w:val="030303"/>
                                      <w:spacing w:val="-5"/>
                                      <w:w w:val="110"/>
                                      <w:sz w:val="21"/>
                                    </w:rPr>
                                    <w:t>and</w:t>
                                  </w:r>
                                </w:p>
                              </w:tc>
                            </w:tr>
                            <w:tr>
                              <w:trPr>
                                <w:trHeight w:val="250" w:hRule="atLeast"/>
                              </w:trPr>
                              <w:tc>
                                <w:tcPr>
                                  <w:tcW w:w="1122" w:type="dxa"/>
                                </w:tcPr>
                                <w:p>
                                  <w:pPr>
                                    <w:pStyle w:val="TableParagraph"/>
                                    <w:spacing w:before="7" w:line="224" w:lineRule="exact"/>
                                    <w:ind w:right="63"/>
                                    <w:jc w:val="center"/>
                                    <w:rPr>
                                      <w:sz w:val="21"/>
                                    </w:rPr>
                                  </w:pPr>
                                  <w:r>
                                    <w:rPr>
                                      <w:color w:val="030303"/>
                                      <w:spacing w:val="-2"/>
                                      <w:w w:val="110"/>
                                      <w:sz w:val="21"/>
                                    </w:rPr>
                                    <w:t>Buildings</w:t>
                                  </w:r>
                                </w:p>
                              </w:tc>
                              <w:tc>
                                <w:tcPr>
                                  <w:tcW w:w="1311" w:type="dxa"/>
                                </w:tcPr>
                                <w:p>
                                  <w:pPr>
                                    <w:pStyle w:val="TableParagraph"/>
                                    <w:spacing w:before="11" w:line="219" w:lineRule="exact"/>
                                    <w:ind w:left="23" w:right="20"/>
                                    <w:jc w:val="center"/>
                                    <w:rPr>
                                      <w:sz w:val="21"/>
                                    </w:rPr>
                                  </w:pPr>
                                  <w:r>
                                    <w:rPr>
                                      <w:color w:val="030303"/>
                                      <w:spacing w:val="-2"/>
                                      <w:w w:val="110"/>
                                      <w:sz w:val="21"/>
                                    </w:rPr>
                                    <w:t>Equipment</w:t>
                                  </w:r>
                                </w:p>
                              </w:tc>
                              <w:tc>
                                <w:tcPr>
                                  <w:tcW w:w="1601" w:type="dxa"/>
                                </w:tcPr>
                                <w:p>
                                  <w:pPr>
                                    <w:pStyle w:val="TableParagraph"/>
                                    <w:spacing w:before="26" w:line="205" w:lineRule="exact"/>
                                    <w:ind w:left="6" w:right="16"/>
                                    <w:jc w:val="center"/>
                                    <w:rPr>
                                      <w:b/>
                                      <w:sz w:val="20"/>
                                    </w:rPr>
                                  </w:pPr>
                                  <w:r>
                                    <w:rPr>
                                      <w:b/>
                                      <w:color w:val="030303"/>
                                      <w:spacing w:val="-2"/>
                                      <w:w w:val="105"/>
                                      <w:sz w:val="20"/>
                                    </w:rPr>
                                    <w:t>Assets</w:t>
                                  </w:r>
                                </w:p>
                              </w:tc>
                              <w:tc>
                                <w:tcPr>
                                  <w:tcW w:w="1360" w:type="dxa"/>
                                </w:tcPr>
                                <w:p>
                                  <w:pPr>
                                    <w:pStyle w:val="TableParagraph"/>
                                    <w:spacing w:before="30" w:line="200" w:lineRule="exact"/>
                                    <w:ind w:left="11" w:right="20"/>
                                    <w:jc w:val="center"/>
                                    <w:rPr>
                                      <w:b/>
                                      <w:sz w:val="20"/>
                                    </w:rPr>
                                  </w:pPr>
                                  <w:r>
                                    <w:rPr>
                                      <w:b/>
                                      <w:color w:val="030303"/>
                                      <w:spacing w:val="-2"/>
                                      <w:w w:val="105"/>
                                      <w:sz w:val="20"/>
                                    </w:rPr>
                                    <w:t>Assets</w:t>
                                  </w:r>
                                </w:p>
                              </w:tc>
                              <w:tc>
                                <w:tcPr>
                                  <w:tcW w:w="1582" w:type="dxa"/>
                                </w:tcPr>
                                <w:p>
                                  <w:pPr>
                                    <w:pStyle w:val="TableParagraph"/>
                                    <w:spacing w:before="31" w:line="200" w:lineRule="exact"/>
                                    <w:ind w:right="51"/>
                                    <w:jc w:val="center"/>
                                    <w:rPr>
                                      <w:sz w:val="21"/>
                                    </w:rPr>
                                  </w:pPr>
                                  <w:r>
                                    <w:rPr>
                                      <w:color w:val="030303"/>
                                      <w:spacing w:val="-2"/>
                                      <w:w w:val="110"/>
                                      <w:sz w:val="21"/>
                                    </w:rPr>
                                    <w:t>Construction</w:t>
                                  </w:r>
                                </w:p>
                              </w:tc>
                              <w:tc>
                                <w:tcPr>
                                  <w:tcW w:w="1101" w:type="dxa"/>
                                </w:tcPr>
                                <w:p>
                                  <w:pPr>
                                    <w:pStyle w:val="TableParagraph"/>
                                    <w:spacing w:before="45" w:line="186" w:lineRule="exact"/>
                                    <w:ind w:left="5" w:right="11"/>
                                    <w:jc w:val="center"/>
                                    <w:rPr>
                                      <w:b/>
                                      <w:sz w:val="20"/>
                                    </w:rPr>
                                  </w:pPr>
                                  <w:r>
                                    <w:rPr>
                                      <w:b/>
                                      <w:color w:val="030303"/>
                                      <w:spacing w:val="-2"/>
                                      <w:w w:val="105"/>
                                      <w:sz w:val="20"/>
                                    </w:rPr>
                                    <w:t>Assets</w:t>
                                  </w:r>
                                </w:p>
                              </w:tc>
                              <w:tc>
                                <w:tcPr>
                                  <w:tcW w:w="1294" w:type="dxa"/>
                                </w:tcPr>
                                <w:p>
                                  <w:pPr>
                                    <w:pStyle w:val="TableParagraph"/>
                                    <w:spacing w:before="40" w:line="191" w:lineRule="exact"/>
                                    <w:ind w:left="112" w:right="16"/>
                                    <w:jc w:val="center"/>
                                    <w:rPr>
                                      <w:sz w:val="21"/>
                                    </w:rPr>
                                  </w:pPr>
                                  <w:r>
                                    <w:rPr>
                                      <w:color w:val="030303"/>
                                      <w:spacing w:val="-2"/>
                                      <w:w w:val="110"/>
                                      <w:sz w:val="21"/>
                                    </w:rPr>
                                    <w:t>Equipment</w:t>
                                  </w:r>
                                </w:p>
                              </w:tc>
                            </w:tr>
                            <w:tr>
                              <w:trPr>
                                <w:trHeight w:val="262" w:hRule="atLeast"/>
                              </w:trPr>
                              <w:tc>
                                <w:tcPr>
                                  <w:tcW w:w="1122" w:type="dxa"/>
                                </w:tcPr>
                                <w:p>
                                  <w:pPr>
                                    <w:pStyle w:val="TableParagraph"/>
                                    <w:spacing w:before="34" w:line="208" w:lineRule="exact"/>
                                    <w:ind w:left="16" w:right="63"/>
                                    <w:jc w:val="center"/>
                                    <w:rPr>
                                      <w:b/>
                                      <w:sz w:val="20"/>
                                    </w:rPr>
                                  </w:pPr>
                                  <w:r>
                                    <w:rPr>
                                      <w:b/>
                                      <w:color w:val="030303"/>
                                      <w:spacing w:val="-4"/>
                                      <w:w w:val="105"/>
                                      <w:sz w:val="20"/>
                                    </w:rPr>
                                    <w:t>£000</w:t>
                                  </w:r>
                                </w:p>
                              </w:tc>
                              <w:tc>
                                <w:tcPr>
                                  <w:tcW w:w="1311" w:type="dxa"/>
                                </w:tcPr>
                                <w:p>
                                  <w:pPr>
                                    <w:pStyle w:val="TableParagraph"/>
                                    <w:spacing w:before="39" w:line="203" w:lineRule="exact"/>
                                    <w:ind w:left="23"/>
                                    <w:jc w:val="center"/>
                                    <w:rPr>
                                      <w:b/>
                                      <w:sz w:val="20"/>
                                    </w:rPr>
                                  </w:pPr>
                                  <w:r>
                                    <w:rPr>
                                      <w:b/>
                                      <w:color w:val="030303"/>
                                      <w:spacing w:val="-4"/>
                                      <w:w w:val="105"/>
                                      <w:sz w:val="20"/>
                                    </w:rPr>
                                    <w:t>£000</w:t>
                                  </w:r>
                                </w:p>
                              </w:tc>
                              <w:tc>
                                <w:tcPr>
                                  <w:tcW w:w="1601" w:type="dxa"/>
                                </w:tcPr>
                                <w:p>
                                  <w:pPr>
                                    <w:pStyle w:val="TableParagraph"/>
                                    <w:spacing w:before="44" w:line="198" w:lineRule="exact"/>
                                    <w:ind w:left="16" w:right="10"/>
                                    <w:jc w:val="center"/>
                                    <w:rPr>
                                      <w:b/>
                                      <w:sz w:val="20"/>
                                    </w:rPr>
                                  </w:pPr>
                                  <w:r>
                                    <w:rPr>
                                      <w:b/>
                                      <w:color w:val="030303"/>
                                      <w:spacing w:val="-4"/>
                                      <w:w w:val="105"/>
                                      <w:sz w:val="20"/>
                                    </w:rPr>
                                    <w:t>£000</w:t>
                                  </w:r>
                                </w:p>
                              </w:tc>
                              <w:tc>
                                <w:tcPr>
                                  <w:tcW w:w="1360" w:type="dxa"/>
                                </w:tcPr>
                                <w:p>
                                  <w:pPr>
                                    <w:pStyle w:val="TableParagraph"/>
                                    <w:spacing w:before="48" w:line="194" w:lineRule="exact"/>
                                    <w:ind w:left="19" w:right="20"/>
                                    <w:jc w:val="center"/>
                                    <w:rPr>
                                      <w:b/>
                                      <w:sz w:val="20"/>
                                    </w:rPr>
                                  </w:pPr>
                                  <w:r>
                                    <w:rPr>
                                      <w:b/>
                                      <w:color w:val="030303"/>
                                      <w:spacing w:val="-4"/>
                                      <w:w w:val="105"/>
                                      <w:sz w:val="20"/>
                                    </w:rPr>
                                    <w:t>£000</w:t>
                                  </w:r>
                                </w:p>
                              </w:tc>
                              <w:tc>
                                <w:tcPr>
                                  <w:tcW w:w="1582" w:type="dxa"/>
                                </w:tcPr>
                                <w:p>
                                  <w:pPr>
                                    <w:pStyle w:val="TableParagraph"/>
                                    <w:spacing w:before="58" w:line="184" w:lineRule="exact"/>
                                    <w:ind w:left="25" w:right="51"/>
                                    <w:jc w:val="center"/>
                                    <w:rPr>
                                      <w:b/>
                                      <w:sz w:val="20"/>
                                    </w:rPr>
                                  </w:pPr>
                                  <w:r>
                                    <w:rPr>
                                      <w:b/>
                                      <w:color w:val="030303"/>
                                      <w:spacing w:val="-4"/>
                                      <w:w w:val="105"/>
                                      <w:sz w:val="20"/>
                                    </w:rPr>
                                    <w:t>£000</w:t>
                                  </w:r>
                                </w:p>
                              </w:tc>
                              <w:tc>
                                <w:tcPr>
                                  <w:tcW w:w="1101" w:type="dxa"/>
                                </w:tcPr>
                                <w:p>
                                  <w:pPr>
                                    <w:pStyle w:val="TableParagraph"/>
                                    <w:spacing w:before="63" w:line="179" w:lineRule="exact"/>
                                    <w:ind w:left="11" w:right="6"/>
                                    <w:jc w:val="center"/>
                                    <w:rPr>
                                      <w:b/>
                                      <w:sz w:val="20"/>
                                    </w:rPr>
                                  </w:pPr>
                                  <w:r>
                                    <w:rPr>
                                      <w:b/>
                                      <w:color w:val="030303"/>
                                      <w:spacing w:val="-4"/>
                                      <w:w w:val="105"/>
                                      <w:sz w:val="20"/>
                                    </w:rPr>
                                    <w:t>£000</w:t>
                                  </w:r>
                                </w:p>
                              </w:tc>
                              <w:tc>
                                <w:tcPr>
                                  <w:tcW w:w="1294" w:type="dxa"/>
                                </w:tcPr>
                                <w:p>
                                  <w:pPr>
                                    <w:pStyle w:val="TableParagraph"/>
                                    <w:spacing w:before="68" w:line="174" w:lineRule="exact"/>
                                    <w:ind w:left="112"/>
                                    <w:jc w:val="center"/>
                                    <w:rPr>
                                      <w:b/>
                                      <w:sz w:val="20"/>
                                    </w:rPr>
                                  </w:pPr>
                                  <w:r>
                                    <w:rPr>
                                      <w:b/>
                                      <w:color w:val="030303"/>
                                      <w:spacing w:val="-4"/>
                                      <w:w w:val="105"/>
                                      <w:sz w:val="20"/>
                                    </w:rPr>
                                    <w:t>£000</w:t>
                                  </w:r>
                                </w:p>
                              </w:tc>
                            </w:tr>
                          </w:tbl>
                          <w:p>
                            <w:pPr>
                              <w:pStyle w:val="BodyText"/>
                            </w:pPr>
                          </w:p>
                        </w:txbxContent>
                      </wps:txbx>
                      <wps:bodyPr wrap="square" lIns="0" tIns="0" rIns="0" bIns="0" rtlCol="0">
                        <a:noAutofit/>
                      </wps:bodyPr>
                    </wps:wsp>
                  </a:graphicData>
                </a:graphic>
              </wp:anchor>
            </w:drawing>
          </ve:Choice>
          <ve:Fallback>
            <w:pict>
              <v:shape id="docshape197" style="position:absolute;margin-left:271.490814pt;margin-top:-66.583595pt;width:474.25pt;height:51.0pt;mso-position-horizontal-relative:page;mso-position-vertical-relative:paragraph;z-index:15795712"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22"/>
                        <w:gridCol w:w="1311"/>
                        <w:gridCol w:w="1601"/>
                        <w:gridCol w:w="1360"/>
                        <w:gridCol w:w="1582"/>
                        <w:gridCol w:w="1101"/>
                        <w:gridCol w:w="1294"/>
                      </w:tblGrid>
                      <w:tr>
                        <w:trPr>
                          <w:trHeight w:val="497" w:hRule="atLeast"/>
                        </w:trPr>
                        <w:tc>
                          <w:tcPr>
                            <w:tcW w:w="1122" w:type="dxa"/>
                          </w:tcPr>
                          <w:p>
                            <w:pPr>
                              <w:pStyle w:val="TableParagraph"/>
                              <w:spacing w:line="240" w:lineRule="atLeast"/>
                              <w:ind w:left="170" w:right="226" w:firstLine="77"/>
                              <w:rPr>
                                <w:sz w:val="21"/>
                              </w:rPr>
                            </w:pPr>
                            <w:r>
                              <w:rPr>
                                <w:color w:val="030303"/>
                                <w:spacing w:val="-4"/>
                                <w:w w:val="110"/>
                                <w:sz w:val="21"/>
                              </w:rPr>
                              <w:t>Other </w:t>
                            </w:r>
                            <w:r>
                              <w:rPr>
                                <w:color w:val="030303"/>
                                <w:w w:val="110"/>
                                <w:sz w:val="21"/>
                              </w:rPr>
                              <w:t>Land</w:t>
                            </w:r>
                            <w:r>
                              <w:rPr>
                                <w:color w:val="030303"/>
                                <w:spacing w:val="-14"/>
                                <w:w w:val="110"/>
                                <w:sz w:val="21"/>
                              </w:rPr>
                              <w:t> </w:t>
                            </w:r>
                            <w:r>
                              <w:rPr>
                                <w:color w:val="030303"/>
                                <w:spacing w:val="-10"/>
                                <w:w w:val="110"/>
                                <w:sz w:val="21"/>
                              </w:rPr>
                              <w:t>&amp;</w:t>
                            </w:r>
                          </w:p>
                        </w:tc>
                        <w:tc>
                          <w:tcPr>
                            <w:tcW w:w="1311" w:type="dxa"/>
                          </w:tcPr>
                          <w:p>
                            <w:pPr>
                              <w:pStyle w:val="TableParagraph"/>
                              <w:spacing w:line="240" w:lineRule="atLeast"/>
                              <w:ind w:left="297" w:hanging="96"/>
                              <w:rPr>
                                <w:sz w:val="21"/>
                              </w:rPr>
                            </w:pPr>
                            <w:r>
                              <w:rPr>
                                <w:color w:val="030303"/>
                                <w:spacing w:val="-2"/>
                                <w:sz w:val="21"/>
                              </w:rPr>
                              <w:t>Vehicles, </w:t>
                            </w:r>
                            <w:r>
                              <w:rPr>
                                <w:color w:val="030303"/>
                                <w:spacing w:val="-2"/>
                                <w:w w:val="115"/>
                                <w:sz w:val="21"/>
                              </w:rPr>
                              <w:t>Plant&amp;</w:t>
                            </w:r>
                          </w:p>
                        </w:tc>
                        <w:tc>
                          <w:tcPr>
                            <w:tcW w:w="1601" w:type="dxa"/>
                          </w:tcPr>
                          <w:p>
                            <w:pPr>
                              <w:pStyle w:val="TableParagraph"/>
                              <w:spacing w:before="42"/>
                              <w:rPr>
                                <w:sz w:val="21"/>
                              </w:rPr>
                            </w:pPr>
                          </w:p>
                          <w:p>
                            <w:pPr>
                              <w:pStyle w:val="TableParagraph"/>
                              <w:spacing w:line="193" w:lineRule="exact"/>
                              <w:ind w:left="14" w:right="10"/>
                              <w:jc w:val="center"/>
                              <w:rPr>
                                <w:sz w:val="21"/>
                              </w:rPr>
                            </w:pPr>
                            <w:r>
                              <w:rPr>
                                <w:color w:val="030303"/>
                                <w:spacing w:val="-2"/>
                                <w:w w:val="110"/>
                                <w:sz w:val="21"/>
                              </w:rPr>
                              <w:t>Infrastructure</w:t>
                            </w:r>
                          </w:p>
                        </w:tc>
                        <w:tc>
                          <w:tcPr>
                            <w:tcW w:w="1360" w:type="dxa"/>
                          </w:tcPr>
                          <w:p>
                            <w:pPr>
                              <w:pStyle w:val="TableParagraph"/>
                              <w:spacing w:before="47"/>
                              <w:rPr>
                                <w:sz w:val="21"/>
                              </w:rPr>
                            </w:pPr>
                          </w:p>
                          <w:p>
                            <w:pPr>
                              <w:pStyle w:val="TableParagraph"/>
                              <w:spacing w:line="189" w:lineRule="exact"/>
                              <w:ind w:right="20"/>
                              <w:jc w:val="center"/>
                              <w:rPr>
                                <w:sz w:val="21"/>
                              </w:rPr>
                            </w:pPr>
                            <w:r>
                              <w:rPr>
                                <w:color w:val="030303"/>
                                <w:spacing w:val="-2"/>
                                <w:w w:val="105"/>
                                <w:sz w:val="21"/>
                              </w:rPr>
                              <w:t>Community</w:t>
                            </w:r>
                          </w:p>
                        </w:tc>
                        <w:tc>
                          <w:tcPr>
                            <w:tcW w:w="1582" w:type="dxa"/>
                          </w:tcPr>
                          <w:p>
                            <w:pPr>
                              <w:pStyle w:val="TableParagraph"/>
                              <w:spacing w:before="62"/>
                              <w:ind w:left="423"/>
                              <w:rPr>
                                <w:b/>
                                <w:sz w:val="20"/>
                              </w:rPr>
                            </w:pPr>
                            <w:r>
                              <w:rPr>
                                <w:b/>
                                <w:color w:val="030303"/>
                                <w:spacing w:val="-2"/>
                                <w:w w:val="105"/>
                                <w:sz w:val="20"/>
                              </w:rPr>
                              <w:t>Assets</w:t>
                            </w:r>
                          </w:p>
                          <w:p>
                            <w:pPr>
                              <w:pStyle w:val="TableParagraph"/>
                              <w:spacing w:before="1" w:line="184" w:lineRule="exact"/>
                              <w:ind w:left="460"/>
                              <w:rPr>
                                <w:sz w:val="21"/>
                              </w:rPr>
                            </w:pPr>
                            <w:r>
                              <w:rPr>
                                <w:color w:val="030303"/>
                                <w:spacing w:val="-2"/>
                                <w:w w:val="105"/>
                                <w:sz w:val="21"/>
                              </w:rPr>
                              <w:t>Under</w:t>
                            </w:r>
                          </w:p>
                        </w:tc>
                        <w:tc>
                          <w:tcPr>
                            <w:tcW w:w="1101" w:type="dxa"/>
                          </w:tcPr>
                          <w:p>
                            <w:pPr>
                              <w:pStyle w:val="TableParagraph"/>
                              <w:spacing w:before="61"/>
                              <w:rPr>
                                <w:sz w:val="21"/>
                              </w:rPr>
                            </w:pPr>
                          </w:p>
                          <w:p>
                            <w:pPr>
                              <w:pStyle w:val="TableParagraph"/>
                              <w:spacing w:line="174" w:lineRule="exact"/>
                              <w:ind w:left="5" w:right="7"/>
                              <w:jc w:val="center"/>
                              <w:rPr>
                                <w:sz w:val="21"/>
                              </w:rPr>
                            </w:pPr>
                            <w:r>
                              <w:rPr>
                                <w:color w:val="030303"/>
                                <w:spacing w:val="-2"/>
                                <w:w w:val="110"/>
                                <w:sz w:val="21"/>
                              </w:rPr>
                              <w:t>Surplus</w:t>
                            </w:r>
                          </w:p>
                        </w:tc>
                        <w:tc>
                          <w:tcPr>
                            <w:tcW w:w="1294" w:type="dxa"/>
                          </w:tcPr>
                          <w:p>
                            <w:pPr>
                              <w:pStyle w:val="TableParagraph"/>
                              <w:spacing w:before="28" w:line="240" w:lineRule="exact"/>
                              <w:ind w:left="220" w:right="112" w:firstLine="38"/>
                              <w:rPr>
                                <w:sz w:val="21"/>
                              </w:rPr>
                            </w:pPr>
                            <w:r>
                              <w:rPr>
                                <w:color w:val="030303"/>
                                <w:spacing w:val="-2"/>
                                <w:w w:val="110"/>
                                <w:sz w:val="21"/>
                              </w:rPr>
                              <w:t>Property </w:t>
                            </w:r>
                            <w:r>
                              <w:rPr>
                                <w:color w:val="030303"/>
                                <w:w w:val="105"/>
                                <w:sz w:val="21"/>
                              </w:rPr>
                              <w:t>Plant</w:t>
                            </w:r>
                            <w:r>
                              <w:rPr>
                                <w:color w:val="030303"/>
                                <w:spacing w:val="4"/>
                                <w:w w:val="110"/>
                                <w:sz w:val="21"/>
                              </w:rPr>
                              <w:t> </w:t>
                            </w:r>
                            <w:r>
                              <w:rPr>
                                <w:color w:val="030303"/>
                                <w:spacing w:val="-5"/>
                                <w:w w:val="110"/>
                                <w:sz w:val="21"/>
                              </w:rPr>
                              <w:t>and</w:t>
                            </w:r>
                          </w:p>
                        </w:tc>
                      </w:tr>
                      <w:tr>
                        <w:trPr>
                          <w:trHeight w:val="250" w:hRule="atLeast"/>
                        </w:trPr>
                        <w:tc>
                          <w:tcPr>
                            <w:tcW w:w="1122" w:type="dxa"/>
                          </w:tcPr>
                          <w:p>
                            <w:pPr>
                              <w:pStyle w:val="TableParagraph"/>
                              <w:spacing w:before="7" w:line="224" w:lineRule="exact"/>
                              <w:ind w:right="63"/>
                              <w:jc w:val="center"/>
                              <w:rPr>
                                <w:sz w:val="21"/>
                              </w:rPr>
                            </w:pPr>
                            <w:r>
                              <w:rPr>
                                <w:color w:val="030303"/>
                                <w:spacing w:val="-2"/>
                                <w:w w:val="110"/>
                                <w:sz w:val="21"/>
                              </w:rPr>
                              <w:t>Buildings</w:t>
                            </w:r>
                          </w:p>
                        </w:tc>
                        <w:tc>
                          <w:tcPr>
                            <w:tcW w:w="1311" w:type="dxa"/>
                          </w:tcPr>
                          <w:p>
                            <w:pPr>
                              <w:pStyle w:val="TableParagraph"/>
                              <w:spacing w:before="11" w:line="219" w:lineRule="exact"/>
                              <w:ind w:left="23" w:right="20"/>
                              <w:jc w:val="center"/>
                              <w:rPr>
                                <w:sz w:val="21"/>
                              </w:rPr>
                            </w:pPr>
                            <w:r>
                              <w:rPr>
                                <w:color w:val="030303"/>
                                <w:spacing w:val="-2"/>
                                <w:w w:val="110"/>
                                <w:sz w:val="21"/>
                              </w:rPr>
                              <w:t>Equipment</w:t>
                            </w:r>
                          </w:p>
                        </w:tc>
                        <w:tc>
                          <w:tcPr>
                            <w:tcW w:w="1601" w:type="dxa"/>
                          </w:tcPr>
                          <w:p>
                            <w:pPr>
                              <w:pStyle w:val="TableParagraph"/>
                              <w:spacing w:before="26" w:line="205" w:lineRule="exact"/>
                              <w:ind w:left="6" w:right="16"/>
                              <w:jc w:val="center"/>
                              <w:rPr>
                                <w:b/>
                                <w:sz w:val="20"/>
                              </w:rPr>
                            </w:pPr>
                            <w:r>
                              <w:rPr>
                                <w:b/>
                                <w:color w:val="030303"/>
                                <w:spacing w:val="-2"/>
                                <w:w w:val="105"/>
                                <w:sz w:val="20"/>
                              </w:rPr>
                              <w:t>Assets</w:t>
                            </w:r>
                          </w:p>
                        </w:tc>
                        <w:tc>
                          <w:tcPr>
                            <w:tcW w:w="1360" w:type="dxa"/>
                          </w:tcPr>
                          <w:p>
                            <w:pPr>
                              <w:pStyle w:val="TableParagraph"/>
                              <w:spacing w:before="30" w:line="200" w:lineRule="exact"/>
                              <w:ind w:left="11" w:right="20"/>
                              <w:jc w:val="center"/>
                              <w:rPr>
                                <w:b/>
                                <w:sz w:val="20"/>
                              </w:rPr>
                            </w:pPr>
                            <w:r>
                              <w:rPr>
                                <w:b/>
                                <w:color w:val="030303"/>
                                <w:spacing w:val="-2"/>
                                <w:w w:val="105"/>
                                <w:sz w:val="20"/>
                              </w:rPr>
                              <w:t>Assets</w:t>
                            </w:r>
                          </w:p>
                        </w:tc>
                        <w:tc>
                          <w:tcPr>
                            <w:tcW w:w="1582" w:type="dxa"/>
                          </w:tcPr>
                          <w:p>
                            <w:pPr>
                              <w:pStyle w:val="TableParagraph"/>
                              <w:spacing w:before="31" w:line="200" w:lineRule="exact"/>
                              <w:ind w:right="51"/>
                              <w:jc w:val="center"/>
                              <w:rPr>
                                <w:sz w:val="21"/>
                              </w:rPr>
                            </w:pPr>
                            <w:r>
                              <w:rPr>
                                <w:color w:val="030303"/>
                                <w:spacing w:val="-2"/>
                                <w:w w:val="110"/>
                                <w:sz w:val="21"/>
                              </w:rPr>
                              <w:t>Construction</w:t>
                            </w:r>
                          </w:p>
                        </w:tc>
                        <w:tc>
                          <w:tcPr>
                            <w:tcW w:w="1101" w:type="dxa"/>
                          </w:tcPr>
                          <w:p>
                            <w:pPr>
                              <w:pStyle w:val="TableParagraph"/>
                              <w:spacing w:before="45" w:line="186" w:lineRule="exact"/>
                              <w:ind w:left="5" w:right="11"/>
                              <w:jc w:val="center"/>
                              <w:rPr>
                                <w:b/>
                                <w:sz w:val="20"/>
                              </w:rPr>
                            </w:pPr>
                            <w:r>
                              <w:rPr>
                                <w:b/>
                                <w:color w:val="030303"/>
                                <w:spacing w:val="-2"/>
                                <w:w w:val="105"/>
                                <w:sz w:val="20"/>
                              </w:rPr>
                              <w:t>Assets</w:t>
                            </w:r>
                          </w:p>
                        </w:tc>
                        <w:tc>
                          <w:tcPr>
                            <w:tcW w:w="1294" w:type="dxa"/>
                          </w:tcPr>
                          <w:p>
                            <w:pPr>
                              <w:pStyle w:val="TableParagraph"/>
                              <w:spacing w:before="40" w:line="191" w:lineRule="exact"/>
                              <w:ind w:left="112" w:right="16"/>
                              <w:jc w:val="center"/>
                              <w:rPr>
                                <w:sz w:val="21"/>
                              </w:rPr>
                            </w:pPr>
                            <w:r>
                              <w:rPr>
                                <w:color w:val="030303"/>
                                <w:spacing w:val="-2"/>
                                <w:w w:val="110"/>
                                <w:sz w:val="21"/>
                              </w:rPr>
                              <w:t>Equipment</w:t>
                            </w:r>
                          </w:p>
                        </w:tc>
                      </w:tr>
                      <w:tr>
                        <w:trPr>
                          <w:trHeight w:val="262" w:hRule="atLeast"/>
                        </w:trPr>
                        <w:tc>
                          <w:tcPr>
                            <w:tcW w:w="1122" w:type="dxa"/>
                          </w:tcPr>
                          <w:p>
                            <w:pPr>
                              <w:pStyle w:val="TableParagraph"/>
                              <w:spacing w:before="34" w:line="208" w:lineRule="exact"/>
                              <w:ind w:left="16" w:right="63"/>
                              <w:jc w:val="center"/>
                              <w:rPr>
                                <w:b/>
                                <w:sz w:val="20"/>
                              </w:rPr>
                            </w:pPr>
                            <w:r>
                              <w:rPr>
                                <w:b/>
                                <w:color w:val="030303"/>
                                <w:spacing w:val="-4"/>
                                <w:w w:val="105"/>
                                <w:sz w:val="20"/>
                              </w:rPr>
                              <w:t>£000</w:t>
                            </w:r>
                          </w:p>
                        </w:tc>
                        <w:tc>
                          <w:tcPr>
                            <w:tcW w:w="1311" w:type="dxa"/>
                          </w:tcPr>
                          <w:p>
                            <w:pPr>
                              <w:pStyle w:val="TableParagraph"/>
                              <w:spacing w:before="39" w:line="203" w:lineRule="exact"/>
                              <w:ind w:left="23"/>
                              <w:jc w:val="center"/>
                              <w:rPr>
                                <w:b/>
                                <w:sz w:val="20"/>
                              </w:rPr>
                            </w:pPr>
                            <w:r>
                              <w:rPr>
                                <w:b/>
                                <w:color w:val="030303"/>
                                <w:spacing w:val="-4"/>
                                <w:w w:val="105"/>
                                <w:sz w:val="20"/>
                              </w:rPr>
                              <w:t>£000</w:t>
                            </w:r>
                          </w:p>
                        </w:tc>
                        <w:tc>
                          <w:tcPr>
                            <w:tcW w:w="1601" w:type="dxa"/>
                          </w:tcPr>
                          <w:p>
                            <w:pPr>
                              <w:pStyle w:val="TableParagraph"/>
                              <w:spacing w:before="44" w:line="198" w:lineRule="exact"/>
                              <w:ind w:left="16" w:right="10"/>
                              <w:jc w:val="center"/>
                              <w:rPr>
                                <w:b/>
                                <w:sz w:val="20"/>
                              </w:rPr>
                            </w:pPr>
                            <w:r>
                              <w:rPr>
                                <w:b/>
                                <w:color w:val="030303"/>
                                <w:spacing w:val="-4"/>
                                <w:w w:val="105"/>
                                <w:sz w:val="20"/>
                              </w:rPr>
                              <w:t>£000</w:t>
                            </w:r>
                          </w:p>
                        </w:tc>
                        <w:tc>
                          <w:tcPr>
                            <w:tcW w:w="1360" w:type="dxa"/>
                          </w:tcPr>
                          <w:p>
                            <w:pPr>
                              <w:pStyle w:val="TableParagraph"/>
                              <w:spacing w:before="48" w:line="194" w:lineRule="exact"/>
                              <w:ind w:left="19" w:right="20"/>
                              <w:jc w:val="center"/>
                              <w:rPr>
                                <w:b/>
                                <w:sz w:val="20"/>
                              </w:rPr>
                            </w:pPr>
                            <w:r>
                              <w:rPr>
                                <w:b/>
                                <w:color w:val="030303"/>
                                <w:spacing w:val="-4"/>
                                <w:w w:val="105"/>
                                <w:sz w:val="20"/>
                              </w:rPr>
                              <w:t>£000</w:t>
                            </w:r>
                          </w:p>
                        </w:tc>
                        <w:tc>
                          <w:tcPr>
                            <w:tcW w:w="1582" w:type="dxa"/>
                          </w:tcPr>
                          <w:p>
                            <w:pPr>
                              <w:pStyle w:val="TableParagraph"/>
                              <w:spacing w:before="58" w:line="184" w:lineRule="exact"/>
                              <w:ind w:left="25" w:right="51"/>
                              <w:jc w:val="center"/>
                              <w:rPr>
                                <w:b/>
                                <w:sz w:val="20"/>
                              </w:rPr>
                            </w:pPr>
                            <w:r>
                              <w:rPr>
                                <w:b/>
                                <w:color w:val="030303"/>
                                <w:spacing w:val="-4"/>
                                <w:w w:val="105"/>
                                <w:sz w:val="20"/>
                              </w:rPr>
                              <w:t>£000</w:t>
                            </w:r>
                          </w:p>
                        </w:tc>
                        <w:tc>
                          <w:tcPr>
                            <w:tcW w:w="1101" w:type="dxa"/>
                          </w:tcPr>
                          <w:p>
                            <w:pPr>
                              <w:pStyle w:val="TableParagraph"/>
                              <w:spacing w:before="63" w:line="179" w:lineRule="exact"/>
                              <w:ind w:left="11" w:right="6"/>
                              <w:jc w:val="center"/>
                              <w:rPr>
                                <w:b/>
                                <w:sz w:val="20"/>
                              </w:rPr>
                            </w:pPr>
                            <w:r>
                              <w:rPr>
                                <w:b/>
                                <w:color w:val="030303"/>
                                <w:spacing w:val="-4"/>
                                <w:w w:val="105"/>
                                <w:sz w:val="20"/>
                              </w:rPr>
                              <w:t>£000</w:t>
                            </w:r>
                          </w:p>
                        </w:tc>
                        <w:tc>
                          <w:tcPr>
                            <w:tcW w:w="1294" w:type="dxa"/>
                          </w:tcPr>
                          <w:p>
                            <w:pPr>
                              <w:pStyle w:val="TableParagraph"/>
                              <w:spacing w:before="68" w:line="174" w:lineRule="exact"/>
                              <w:ind w:left="112"/>
                              <w:jc w:val="center"/>
                              <w:rPr>
                                <w:b/>
                                <w:sz w:val="20"/>
                              </w:rPr>
                            </w:pPr>
                            <w:r>
                              <w:rPr>
                                <w:b/>
                                <w:color w:val="030303"/>
                                <w:spacing w:val="-4"/>
                                <w:w w:val="105"/>
                                <w:sz w:val="20"/>
                              </w:rPr>
                              <w:t>£000</w:t>
                            </w:r>
                          </w:p>
                        </w:tc>
                      </w:tr>
                    </w:tbl>
                    <w:p>
                      <w:pPr>
                        <w:pStyle w:val="BodyText"/>
                      </w:pPr>
                    </w:p>
                  </w:txbxContent>
                </v:textbox>
                <w10:wrap type="none"/>
              </v:shape>
            </w:pict>
          </ve:Fallback>
        </ve:AlternateContent>
      </w:r>
      <w:r>
        <w:rPr>
          <w:b/>
          <w:color w:val="030303"/>
          <w:spacing w:val="-2"/>
          <w:w w:val="105"/>
          <w:sz w:val="20"/>
        </w:rPr>
        <w:t>(5,258)</w:t>
      </w:r>
    </w:p>
    <w:p>
      <w:pPr>
        <w:spacing w:before="34"/>
        <w:ind w:left="417" w:right="0" w:firstLine="0"/>
        <w:jc w:val="left"/>
        <w:rPr>
          <w:b/>
          <w:sz w:val="20"/>
        </w:rPr>
      </w:pPr>
      <w:r>
        <w:rPr/>
        <ve:AlternateContent>
          <ve:Choice Requires="wps">
            <w:drawing>
              <wp:anchor distT="0" distB="0" distL="0" distR="0" simplePos="0" relativeHeight="15796224" behindDoc="0" locked="0" layoutInCell="1" allowOverlap="1">
                <wp:simplePos x="0" y="0"/>
                <wp:positionH relativeFrom="page">
                  <wp:posOffset>3648056</wp:posOffset>
                </wp:positionH>
                <wp:positionV relativeFrom="paragraph">
                  <wp:posOffset>-192655</wp:posOffset>
                </wp:positionV>
                <wp:extent cx="5008245" cy="374015"/>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5008245" cy="37401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034"/>
                              <w:gridCol w:w="1533"/>
                              <w:gridCol w:w="1482"/>
                              <w:gridCol w:w="1663"/>
                              <w:gridCol w:w="1363"/>
                              <w:gridCol w:w="688"/>
                            </w:tblGrid>
                            <w:tr>
                              <w:trPr>
                                <w:trHeight w:val="332" w:hRule="atLeast"/>
                              </w:trPr>
                              <w:tc>
                                <w:tcPr>
                                  <w:tcW w:w="1034" w:type="dxa"/>
                                </w:tcPr>
                                <w:p>
                                  <w:pPr>
                                    <w:pStyle w:val="TableParagraph"/>
                                    <w:spacing w:before="45"/>
                                    <w:ind w:right="315"/>
                                    <w:jc w:val="right"/>
                                    <w:rPr>
                                      <w:b/>
                                      <w:sz w:val="20"/>
                                    </w:rPr>
                                  </w:pPr>
                                  <w:r>
                                    <w:rPr>
                                      <w:b/>
                                      <w:color w:val="030303"/>
                                      <w:spacing w:val="-2"/>
                                      <w:w w:val="105"/>
                                      <w:sz w:val="20"/>
                                    </w:rPr>
                                    <w:t>(739)</w:t>
                                  </w:r>
                                </w:p>
                              </w:tc>
                              <w:tc>
                                <w:tcPr>
                                  <w:tcW w:w="1533" w:type="dxa"/>
                                </w:tcPr>
                                <w:p>
                                  <w:pPr>
                                    <w:pStyle w:val="TableParagraph"/>
                                    <w:spacing w:before="45"/>
                                    <w:ind w:right="547"/>
                                    <w:jc w:val="right"/>
                                    <w:rPr>
                                      <w:b/>
                                      <w:sz w:val="20"/>
                                    </w:rPr>
                                  </w:pPr>
                                  <w:r>
                                    <w:rPr>
                                      <w:b/>
                                      <w:color w:val="030303"/>
                                      <w:spacing w:val="-2"/>
                                      <w:w w:val="105"/>
                                      <w:sz w:val="20"/>
                                    </w:rPr>
                                    <w:t>(3,949)</w:t>
                                  </w:r>
                                </w:p>
                              </w:tc>
                              <w:tc>
                                <w:tcPr>
                                  <w:tcW w:w="1482" w:type="dxa"/>
                                </w:tcPr>
                                <w:p>
                                  <w:pPr>
                                    <w:pStyle w:val="TableParagraph"/>
                                    <w:spacing w:before="49"/>
                                    <w:ind w:right="435"/>
                                    <w:jc w:val="right"/>
                                    <w:rPr>
                                      <w:b/>
                                      <w:sz w:val="20"/>
                                    </w:rPr>
                                  </w:pPr>
                                  <w:r>
                                    <w:rPr>
                                      <w:b/>
                                      <w:color w:val="030303"/>
                                      <w:spacing w:val="-2"/>
                                      <w:w w:val="105"/>
                                      <w:sz w:val="20"/>
                                    </w:rPr>
                                    <w:t>(187)</w:t>
                                  </w:r>
                                </w:p>
                              </w:tc>
                              <w:tc>
                                <w:tcPr>
                                  <w:tcW w:w="1663" w:type="dxa"/>
                                </w:tcPr>
                                <w:p>
                                  <w:pPr>
                                    <w:pStyle w:val="TableParagraph"/>
                                    <w:spacing w:before="59"/>
                                    <w:ind w:right="727"/>
                                    <w:jc w:val="right"/>
                                    <w:rPr>
                                      <w:b/>
                                      <w:sz w:val="20"/>
                                    </w:rPr>
                                  </w:pPr>
                                  <w:r>
                                    <w:rPr>
                                      <w:b/>
                                      <w:color w:val="030303"/>
                                      <w:spacing w:val="-2"/>
                                      <w:w w:val="105"/>
                                      <w:sz w:val="20"/>
                                    </w:rPr>
                                    <w:t>(383)</w:t>
                                  </w:r>
                                </w:p>
                              </w:tc>
                              <w:tc>
                                <w:tcPr>
                                  <w:tcW w:w="1363" w:type="dxa"/>
                                </w:tcPr>
                                <w:p>
                                  <w:pPr>
                                    <w:pStyle w:val="TableParagraph"/>
                                    <w:spacing w:before="15"/>
                                    <w:rPr>
                                      <w:sz w:val="9"/>
                                    </w:rPr>
                                  </w:pPr>
                                </w:p>
                                <w:p>
                                  <w:pPr>
                                    <w:pStyle w:val="TableParagraph"/>
                                    <w:ind w:right="572"/>
                                    <w:jc w:val="right"/>
                                    <w:rPr>
                                      <w:sz w:val="9"/>
                                    </w:rPr>
                                  </w:pPr>
                                  <w:r>
                                    <w:rPr>
                                      <w:color w:val="262626"/>
                                      <w:spacing w:val="-5"/>
                                      <w:w w:val="105"/>
                                      <w:sz w:val="9"/>
                                    </w:rPr>
                                    <w:t>;.</w:t>
                                  </w:r>
                                </w:p>
                              </w:tc>
                              <w:tc>
                                <w:tcPr>
                                  <w:tcW w:w="688" w:type="dxa"/>
                                </w:tcPr>
                                <w:p>
                                  <w:pPr>
                                    <w:pStyle w:val="TableParagraph"/>
                                    <w:spacing w:line="312" w:lineRule="exact"/>
                                    <w:ind w:right="38"/>
                                    <w:jc w:val="right"/>
                                    <w:rPr>
                                      <w:sz w:val="32"/>
                                    </w:rPr>
                                  </w:pPr>
                                  <w:r>
                                    <w:rPr>
                                      <w:color w:val="262626"/>
                                      <w:spacing w:val="-10"/>
                                      <w:w w:val="80"/>
                                      <w:sz w:val="32"/>
                                    </w:rPr>
                                    <w:t>-</w:t>
                                  </w:r>
                                </w:p>
                              </w:tc>
                            </w:tr>
                            <w:tr>
                              <w:trPr>
                                <w:trHeight w:val="257" w:hRule="atLeast"/>
                              </w:trPr>
                              <w:tc>
                                <w:tcPr>
                                  <w:tcW w:w="1034" w:type="dxa"/>
                                </w:tcPr>
                                <w:p>
                                  <w:pPr>
                                    <w:pStyle w:val="TableParagraph"/>
                                    <w:spacing w:line="209" w:lineRule="exact"/>
                                    <w:ind w:right="322"/>
                                    <w:jc w:val="right"/>
                                    <w:rPr>
                                      <w:sz w:val="21"/>
                                    </w:rPr>
                                  </w:pPr>
                                  <w:r>
                                    <w:rPr>
                                      <w:color w:val="030303"/>
                                      <w:spacing w:val="-2"/>
                                      <w:sz w:val="21"/>
                                    </w:rPr>
                                    <w:t>(1,720)</w:t>
                                  </w:r>
                                </w:p>
                              </w:tc>
                              <w:tc>
                                <w:tcPr>
                                  <w:tcW w:w="1533" w:type="dxa"/>
                                </w:tcPr>
                                <w:p>
                                  <w:pPr>
                                    <w:pStyle w:val="TableParagraph"/>
                                    <w:spacing w:line="214" w:lineRule="exact"/>
                                    <w:ind w:right="547"/>
                                    <w:jc w:val="right"/>
                                    <w:rPr>
                                      <w:sz w:val="21"/>
                                    </w:rPr>
                                  </w:pPr>
                                  <w:r>
                                    <w:rPr>
                                      <w:color w:val="030303"/>
                                      <w:spacing w:val="-2"/>
                                      <w:sz w:val="21"/>
                                    </w:rPr>
                                    <w:t>(446)</w:t>
                                  </w:r>
                                </w:p>
                              </w:tc>
                              <w:tc>
                                <w:tcPr>
                                  <w:tcW w:w="1482" w:type="dxa"/>
                                </w:tcPr>
                                <w:p>
                                  <w:pPr>
                                    <w:pStyle w:val="TableParagraph"/>
                                    <w:spacing w:line="219" w:lineRule="exact"/>
                                    <w:ind w:right="440"/>
                                    <w:jc w:val="right"/>
                                    <w:rPr>
                                      <w:sz w:val="21"/>
                                    </w:rPr>
                                  </w:pPr>
                                  <w:r>
                                    <w:rPr>
                                      <w:color w:val="030303"/>
                                      <w:spacing w:val="-5"/>
                                      <w:sz w:val="21"/>
                                    </w:rPr>
                                    <w:t>(1)</w:t>
                                  </w:r>
                                </w:p>
                              </w:tc>
                              <w:tc>
                                <w:tcPr>
                                  <w:tcW w:w="1663" w:type="dxa"/>
                                </w:tcPr>
                                <w:p>
                                  <w:pPr>
                                    <w:pStyle w:val="TableParagraph"/>
                                    <w:spacing w:line="224" w:lineRule="exact"/>
                                    <w:ind w:right="730"/>
                                    <w:jc w:val="right"/>
                                    <w:rPr>
                                      <w:sz w:val="21"/>
                                    </w:rPr>
                                  </w:pPr>
                                  <w:r>
                                    <w:rPr>
                                      <w:color w:val="030303"/>
                                      <w:spacing w:val="-4"/>
                                      <w:sz w:val="21"/>
                                    </w:rPr>
                                    <w:t>(46)</w:t>
                                  </w:r>
                                </w:p>
                              </w:tc>
                              <w:tc>
                                <w:tcPr>
                                  <w:tcW w:w="1363" w:type="dxa"/>
                                </w:tcPr>
                                <w:p>
                                  <w:pPr>
                                    <w:pStyle w:val="TableParagraph"/>
                                    <w:spacing w:before="11" w:line="226" w:lineRule="exact"/>
                                    <w:ind w:right="560"/>
                                    <w:jc w:val="right"/>
                                    <w:rPr>
                                      <w:sz w:val="21"/>
                                    </w:rPr>
                                  </w:pPr>
                                  <w:r>
                                    <w:rPr>
                                      <w:color w:val="262626"/>
                                      <w:spacing w:val="-10"/>
                                      <w:sz w:val="21"/>
                                    </w:rPr>
                                    <w:t>-</w:t>
                                  </w:r>
                                </w:p>
                              </w:tc>
                              <w:tc>
                                <w:tcPr>
                                  <w:tcW w:w="688" w:type="dxa"/>
                                </w:tcPr>
                                <w:p>
                                  <w:pPr>
                                    <w:pStyle w:val="TableParagraph"/>
                                    <w:spacing w:before="15" w:line="222" w:lineRule="exact"/>
                                    <w:ind w:right="44"/>
                                    <w:jc w:val="right"/>
                                    <w:rPr>
                                      <w:sz w:val="21"/>
                                    </w:rPr>
                                  </w:pPr>
                                  <w:r>
                                    <w:rPr>
                                      <w:color w:val="262626"/>
                                      <w:spacing w:val="-10"/>
                                      <w:w w:val="105"/>
                                      <w:sz w:val="21"/>
                                    </w:rPr>
                                    <w:t>-</w:t>
                                  </w:r>
                                </w:p>
                              </w:tc>
                            </w:tr>
                          </w:tbl>
                          <w:p>
                            <w:pPr>
                              <w:pStyle w:val="BodyText"/>
                            </w:pPr>
                          </w:p>
                        </w:txbxContent>
                      </wps:txbx>
                      <wps:bodyPr wrap="square" lIns="0" tIns="0" rIns="0" bIns="0" rtlCol="0">
                        <a:noAutofit/>
                      </wps:bodyPr>
                    </wps:wsp>
                  </a:graphicData>
                </a:graphic>
              </wp:anchor>
            </w:drawing>
          </ve:Choice>
          <ve:Fallback>
            <w:pict>
              <v:shape id="docshape198" style="position:absolute;margin-left:287.248505pt;margin-top:-15.169721pt;width:394.35pt;height:29.45pt;mso-position-horizontal-relative:page;mso-position-vertical-relative:paragraph;z-index:15796224"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034"/>
                        <w:gridCol w:w="1533"/>
                        <w:gridCol w:w="1482"/>
                        <w:gridCol w:w="1663"/>
                        <w:gridCol w:w="1363"/>
                        <w:gridCol w:w="688"/>
                      </w:tblGrid>
                      <w:tr>
                        <w:trPr>
                          <w:trHeight w:val="332" w:hRule="atLeast"/>
                        </w:trPr>
                        <w:tc>
                          <w:tcPr>
                            <w:tcW w:w="1034" w:type="dxa"/>
                          </w:tcPr>
                          <w:p>
                            <w:pPr>
                              <w:pStyle w:val="TableParagraph"/>
                              <w:spacing w:before="45"/>
                              <w:ind w:right="315"/>
                              <w:jc w:val="right"/>
                              <w:rPr>
                                <w:b/>
                                <w:sz w:val="20"/>
                              </w:rPr>
                            </w:pPr>
                            <w:r>
                              <w:rPr>
                                <w:b/>
                                <w:color w:val="030303"/>
                                <w:spacing w:val="-2"/>
                                <w:w w:val="105"/>
                                <w:sz w:val="20"/>
                              </w:rPr>
                              <w:t>(739)</w:t>
                            </w:r>
                          </w:p>
                        </w:tc>
                        <w:tc>
                          <w:tcPr>
                            <w:tcW w:w="1533" w:type="dxa"/>
                          </w:tcPr>
                          <w:p>
                            <w:pPr>
                              <w:pStyle w:val="TableParagraph"/>
                              <w:spacing w:before="45"/>
                              <w:ind w:right="547"/>
                              <w:jc w:val="right"/>
                              <w:rPr>
                                <w:b/>
                                <w:sz w:val="20"/>
                              </w:rPr>
                            </w:pPr>
                            <w:r>
                              <w:rPr>
                                <w:b/>
                                <w:color w:val="030303"/>
                                <w:spacing w:val="-2"/>
                                <w:w w:val="105"/>
                                <w:sz w:val="20"/>
                              </w:rPr>
                              <w:t>(3,949)</w:t>
                            </w:r>
                          </w:p>
                        </w:tc>
                        <w:tc>
                          <w:tcPr>
                            <w:tcW w:w="1482" w:type="dxa"/>
                          </w:tcPr>
                          <w:p>
                            <w:pPr>
                              <w:pStyle w:val="TableParagraph"/>
                              <w:spacing w:before="49"/>
                              <w:ind w:right="435"/>
                              <w:jc w:val="right"/>
                              <w:rPr>
                                <w:b/>
                                <w:sz w:val="20"/>
                              </w:rPr>
                            </w:pPr>
                            <w:r>
                              <w:rPr>
                                <w:b/>
                                <w:color w:val="030303"/>
                                <w:spacing w:val="-2"/>
                                <w:w w:val="105"/>
                                <w:sz w:val="20"/>
                              </w:rPr>
                              <w:t>(187)</w:t>
                            </w:r>
                          </w:p>
                        </w:tc>
                        <w:tc>
                          <w:tcPr>
                            <w:tcW w:w="1663" w:type="dxa"/>
                          </w:tcPr>
                          <w:p>
                            <w:pPr>
                              <w:pStyle w:val="TableParagraph"/>
                              <w:spacing w:before="59"/>
                              <w:ind w:right="727"/>
                              <w:jc w:val="right"/>
                              <w:rPr>
                                <w:b/>
                                <w:sz w:val="20"/>
                              </w:rPr>
                            </w:pPr>
                            <w:r>
                              <w:rPr>
                                <w:b/>
                                <w:color w:val="030303"/>
                                <w:spacing w:val="-2"/>
                                <w:w w:val="105"/>
                                <w:sz w:val="20"/>
                              </w:rPr>
                              <w:t>(383)</w:t>
                            </w:r>
                          </w:p>
                        </w:tc>
                        <w:tc>
                          <w:tcPr>
                            <w:tcW w:w="1363" w:type="dxa"/>
                          </w:tcPr>
                          <w:p>
                            <w:pPr>
                              <w:pStyle w:val="TableParagraph"/>
                              <w:spacing w:before="15"/>
                              <w:rPr>
                                <w:sz w:val="9"/>
                              </w:rPr>
                            </w:pPr>
                          </w:p>
                          <w:p>
                            <w:pPr>
                              <w:pStyle w:val="TableParagraph"/>
                              <w:ind w:right="572"/>
                              <w:jc w:val="right"/>
                              <w:rPr>
                                <w:sz w:val="9"/>
                              </w:rPr>
                            </w:pPr>
                            <w:r>
                              <w:rPr>
                                <w:color w:val="262626"/>
                                <w:spacing w:val="-5"/>
                                <w:w w:val="105"/>
                                <w:sz w:val="9"/>
                              </w:rPr>
                              <w:t>;.</w:t>
                            </w:r>
                          </w:p>
                        </w:tc>
                        <w:tc>
                          <w:tcPr>
                            <w:tcW w:w="688" w:type="dxa"/>
                          </w:tcPr>
                          <w:p>
                            <w:pPr>
                              <w:pStyle w:val="TableParagraph"/>
                              <w:spacing w:line="312" w:lineRule="exact"/>
                              <w:ind w:right="38"/>
                              <w:jc w:val="right"/>
                              <w:rPr>
                                <w:sz w:val="32"/>
                              </w:rPr>
                            </w:pPr>
                            <w:r>
                              <w:rPr>
                                <w:color w:val="262626"/>
                                <w:spacing w:val="-10"/>
                                <w:w w:val="80"/>
                                <w:sz w:val="32"/>
                              </w:rPr>
                              <w:t>-</w:t>
                            </w:r>
                          </w:p>
                        </w:tc>
                      </w:tr>
                      <w:tr>
                        <w:trPr>
                          <w:trHeight w:val="257" w:hRule="atLeast"/>
                        </w:trPr>
                        <w:tc>
                          <w:tcPr>
                            <w:tcW w:w="1034" w:type="dxa"/>
                          </w:tcPr>
                          <w:p>
                            <w:pPr>
                              <w:pStyle w:val="TableParagraph"/>
                              <w:spacing w:line="209" w:lineRule="exact"/>
                              <w:ind w:right="322"/>
                              <w:jc w:val="right"/>
                              <w:rPr>
                                <w:sz w:val="21"/>
                              </w:rPr>
                            </w:pPr>
                            <w:r>
                              <w:rPr>
                                <w:color w:val="030303"/>
                                <w:spacing w:val="-2"/>
                                <w:sz w:val="21"/>
                              </w:rPr>
                              <w:t>(1,720)</w:t>
                            </w:r>
                          </w:p>
                        </w:tc>
                        <w:tc>
                          <w:tcPr>
                            <w:tcW w:w="1533" w:type="dxa"/>
                          </w:tcPr>
                          <w:p>
                            <w:pPr>
                              <w:pStyle w:val="TableParagraph"/>
                              <w:spacing w:line="214" w:lineRule="exact"/>
                              <w:ind w:right="547"/>
                              <w:jc w:val="right"/>
                              <w:rPr>
                                <w:sz w:val="21"/>
                              </w:rPr>
                            </w:pPr>
                            <w:r>
                              <w:rPr>
                                <w:color w:val="030303"/>
                                <w:spacing w:val="-2"/>
                                <w:sz w:val="21"/>
                              </w:rPr>
                              <w:t>(446)</w:t>
                            </w:r>
                          </w:p>
                        </w:tc>
                        <w:tc>
                          <w:tcPr>
                            <w:tcW w:w="1482" w:type="dxa"/>
                          </w:tcPr>
                          <w:p>
                            <w:pPr>
                              <w:pStyle w:val="TableParagraph"/>
                              <w:spacing w:line="219" w:lineRule="exact"/>
                              <w:ind w:right="440"/>
                              <w:jc w:val="right"/>
                              <w:rPr>
                                <w:sz w:val="21"/>
                              </w:rPr>
                            </w:pPr>
                            <w:r>
                              <w:rPr>
                                <w:color w:val="030303"/>
                                <w:spacing w:val="-5"/>
                                <w:sz w:val="21"/>
                              </w:rPr>
                              <w:t>(1)</w:t>
                            </w:r>
                          </w:p>
                        </w:tc>
                        <w:tc>
                          <w:tcPr>
                            <w:tcW w:w="1663" w:type="dxa"/>
                          </w:tcPr>
                          <w:p>
                            <w:pPr>
                              <w:pStyle w:val="TableParagraph"/>
                              <w:spacing w:line="224" w:lineRule="exact"/>
                              <w:ind w:right="730"/>
                              <w:jc w:val="right"/>
                              <w:rPr>
                                <w:sz w:val="21"/>
                              </w:rPr>
                            </w:pPr>
                            <w:r>
                              <w:rPr>
                                <w:color w:val="030303"/>
                                <w:spacing w:val="-4"/>
                                <w:sz w:val="21"/>
                              </w:rPr>
                              <w:t>(46)</w:t>
                            </w:r>
                          </w:p>
                        </w:tc>
                        <w:tc>
                          <w:tcPr>
                            <w:tcW w:w="1363" w:type="dxa"/>
                          </w:tcPr>
                          <w:p>
                            <w:pPr>
                              <w:pStyle w:val="TableParagraph"/>
                              <w:spacing w:before="11" w:line="226" w:lineRule="exact"/>
                              <w:ind w:right="560"/>
                              <w:jc w:val="right"/>
                              <w:rPr>
                                <w:sz w:val="21"/>
                              </w:rPr>
                            </w:pPr>
                            <w:r>
                              <w:rPr>
                                <w:color w:val="262626"/>
                                <w:spacing w:val="-10"/>
                                <w:sz w:val="21"/>
                              </w:rPr>
                              <w:t>-</w:t>
                            </w:r>
                          </w:p>
                        </w:tc>
                        <w:tc>
                          <w:tcPr>
                            <w:tcW w:w="688" w:type="dxa"/>
                          </w:tcPr>
                          <w:p>
                            <w:pPr>
                              <w:pStyle w:val="TableParagraph"/>
                              <w:spacing w:before="15" w:line="222" w:lineRule="exact"/>
                              <w:ind w:right="44"/>
                              <w:jc w:val="right"/>
                              <w:rPr>
                                <w:sz w:val="21"/>
                              </w:rPr>
                            </w:pPr>
                            <w:r>
                              <w:rPr>
                                <w:color w:val="262626"/>
                                <w:spacing w:val="-10"/>
                                <w:w w:val="105"/>
                                <w:sz w:val="21"/>
                              </w:rPr>
                              <w:t>-</w:t>
                            </w:r>
                          </w:p>
                        </w:tc>
                      </w:tr>
                    </w:tbl>
                    <w:p>
                      <w:pPr>
                        <w:pStyle w:val="BodyText"/>
                      </w:pPr>
                    </w:p>
                  </w:txbxContent>
                </v:textbox>
                <w10:wrap type="none"/>
              </v:shape>
            </w:pict>
          </ve:Fallback>
        </ve:AlternateContent>
      </w:r>
      <w:r>
        <w:rPr>
          <w:b/>
          <w:color w:val="030303"/>
          <w:spacing w:val="-2"/>
          <w:w w:val="105"/>
          <w:sz w:val="20"/>
        </w:rPr>
        <w:t>(2,213)</w:t>
      </w:r>
    </w:p>
    <w:p>
      <w:pPr>
        <w:spacing w:after="0"/>
        <w:jc w:val="left"/>
        <w:rPr>
          <w:sz w:val="20"/>
        </w:rPr>
        <w:sectPr>
          <w:type w:val="continuous"/>
          <w:pgSz w:w="16830" w:h="11910" w:orient="landscape"/>
          <w:pgMar w:top="1940" w:right="480" w:bottom="280" w:left="740" w:header="948" w:footer="2281"/>
          <w:cols w:equalWidth="0" w:num="2">
            <w:col w:w="4442" w:space="8550"/>
            <w:col w:w="2618"/>
          </w:cols>
        </w:sectPr>
      </w:pPr>
    </w:p>
    <w:p>
      <w:pPr>
        <w:spacing w:before="205"/>
        <w:ind w:left="437" w:right="0" w:firstLine="0"/>
        <w:jc w:val="left"/>
        <w:rPr>
          <w:sz w:val="21"/>
        </w:rPr>
      </w:pPr>
      <w:r>
        <w:rPr/>
        <ve:AlternateContent>
          <ve:Choice Requires="wps">
            <w:drawing>
              <wp:anchor distT="0" distB="0" distL="0" distR="0" simplePos="0" relativeHeight="15796736" behindDoc="0" locked="0" layoutInCell="1" allowOverlap="1">
                <wp:simplePos x="0" y="0"/>
                <wp:positionH relativeFrom="page">
                  <wp:posOffset>3751726</wp:posOffset>
                </wp:positionH>
                <wp:positionV relativeFrom="paragraph">
                  <wp:posOffset>-647307</wp:posOffset>
                </wp:positionV>
                <wp:extent cx="5741035" cy="1356995"/>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5741035" cy="135699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051"/>
                              <w:gridCol w:w="1588"/>
                              <w:gridCol w:w="5323"/>
                              <w:gridCol w:w="957"/>
                            </w:tblGrid>
                            <w:tr>
                              <w:trPr>
                                <w:trHeight w:val="1054" w:hRule="atLeast"/>
                              </w:trPr>
                              <w:tc>
                                <w:tcPr>
                                  <w:tcW w:w="1051" w:type="dxa"/>
                                </w:tcPr>
                                <w:p>
                                  <w:pPr>
                                    <w:pStyle w:val="TableParagraph"/>
                                    <w:spacing w:line="235" w:lineRule="exact"/>
                                    <w:ind w:right="481"/>
                                    <w:jc w:val="right"/>
                                    <w:rPr>
                                      <w:sz w:val="21"/>
                                    </w:rPr>
                                  </w:pPr>
                                  <w:r>
                                    <w:rPr>
                                      <w:color w:val="030303"/>
                                      <w:spacing w:val="-10"/>
                                      <w:sz w:val="21"/>
                                    </w:rPr>
                                    <w:t>2</w:t>
                                  </w:r>
                                </w:p>
                              </w:tc>
                              <w:tc>
                                <w:tcPr>
                                  <w:tcW w:w="1588" w:type="dxa"/>
                                </w:tcPr>
                                <w:p>
                                  <w:pPr>
                                    <w:pStyle w:val="TableParagraph"/>
                                    <w:spacing w:line="235" w:lineRule="exact"/>
                                    <w:ind w:right="765"/>
                                    <w:jc w:val="right"/>
                                    <w:rPr>
                                      <w:sz w:val="21"/>
                                    </w:rPr>
                                  </w:pPr>
                                  <w:r>
                                    <w:rPr>
                                      <w:color w:val="030303"/>
                                      <w:spacing w:val="-5"/>
                                      <w:sz w:val="21"/>
                                    </w:rPr>
                                    <w:t>652</w:t>
                                  </w:r>
                                </w:p>
                              </w:tc>
                              <w:tc>
                                <w:tcPr>
                                  <w:tcW w:w="5323" w:type="dxa"/>
                                </w:tcPr>
                                <w:p>
                                  <w:pPr>
                                    <w:pStyle w:val="TableParagraph"/>
                                    <w:tabs>
                                      <w:tab w:val="left" w:leader="none" w:pos="1370"/>
                                      <w:tab w:val="left" w:leader="none" w:pos="2898"/>
                                      <w:tab w:val="left" w:leader="none" w:pos="4102"/>
                                    </w:tabs>
                                    <w:spacing w:before="8"/>
                                    <w:ind w:right="392"/>
                                    <w:jc w:val="right"/>
                                    <w:rPr>
                                      <w:sz w:val="21"/>
                                    </w:rPr>
                                  </w:pPr>
                                  <w:r>
                                    <w:rPr>
                                      <w:color w:val="262626"/>
                                      <w:spacing w:val="-10"/>
                                      <w:sz w:val="21"/>
                                    </w:rPr>
                                    <w:t>-</w:t>
                                  </w:r>
                                  <w:r>
                                    <w:rPr>
                                      <w:color w:val="262626"/>
                                      <w:sz w:val="21"/>
                                    </w:rPr>
                                    <w:tab/>
                                  </w:r>
                                  <w:r>
                                    <w:rPr>
                                      <w:color w:val="262626"/>
                                      <w:spacing w:val="-10"/>
                                      <w:position w:val="0"/>
                                      <w:sz w:val="21"/>
                                    </w:rPr>
                                    <w:t>-</w:t>
                                  </w:r>
                                  <w:r>
                                    <w:rPr>
                                      <w:color w:val="262626"/>
                                      <w:position w:val="0"/>
                                      <w:sz w:val="21"/>
                                    </w:rPr>
                                    <w:tab/>
                                  </w:r>
                                  <w:r>
                                    <w:rPr>
                                      <w:rFonts w:ascii="Times New Roman"/>
                                      <w:color w:val="262626"/>
                                      <w:spacing w:val="-10"/>
                                      <w:position w:val="1"/>
                                      <w:sz w:val="20"/>
                                    </w:rPr>
                                    <w:t>-</w:t>
                                  </w:r>
                                  <w:r>
                                    <w:rPr>
                                      <w:rFonts w:ascii="Times New Roman"/>
                                      <w:color w:val="262626"/>
                                      <w:position w:val="1"/>
                                      <w:sz w:val="20"/>
                                    </w:rPr>
                                    <w:tab/>
                                  </w:r>
                                  <w:r>
                                    <w:rPr>
                                      <w:color w:val="262626"/>
                                      <w:spacing w:val="-10"/>
                                      <w:position w:val="-1"/>
                                      <w:sz w:val="21"/>
                                    </w:rPr>
                                    <w:t>-</w:t>
                                  </w:r>
                                </w:p>
                              </w:tc>
                              <w:tc>
                                <w:tcPr>
                                  <w:tcW w:w="957" w:type="dxa"/>
                                </w:tcPr>
                                <w:p>
                                  <w:pPr>
                                    <w:pStyle w:val="TableParagraph"/>
                                    <w:spacing w:before="22"/>
                                    <w:ind w:right="52"/>
                                    <w:jc w:val="right"/>
                                    <w:rPr>
                                      <w:b/>
                                      <w:sz w:val="20"/>
                                    </w:rPr>
                                  </w:pPr>
                                  <w:r>
                                    <w:rPr>
                                      <w:b/>
                                      <w:color w:val="030303"/>
                                      <w:spacing w:val="-5"/>
                                      <w:w w:val="105"/>
                                      <w:sz w:val="20"/>
                                    </w:rPr>
                                    <w:t>654</w:t>
                                  </w:r>
                                </w:p>
                              </w:tc>
                            </w:tr>
                            <w:tr>
                              <w:trPr>
                                <w:trHeight w:val="1083" w:hRule="atLeast"/>
                              </w:trPr>
                              <w:tc>
                                <w:tcPr>
                                  <w:tcW w:w="1051" w:type="dxa"/>
                                </w:tcPr>
                                <w:p>
                                  <w:pPr>
                                    <w:pStyle w:val="TableParagraph"/>
                                    <w:rPr>
                                      <w:sz w:val="21"/>
                                    </w:rPr>
                                  </w:pPr>
                                </w:p>
                                <w:p>
                                  <w:pPr>
                                    <w:pStyle w:val="TableParagraph"/>
                                    <w:rPr>
                                      <w:sz w:val="21"/>
                                    </w:rPr>
                                  </w:pPr>
                                </w:p>
                                <w:p>
                                  <w:pPr>
                                    <w:pStyle w:val="TableParagraph"/>
                                    <w:spacing w:before="80"/>
                                    <w:rPr>
                                      <w:sz w:val="21"/>
                                    </w:rPr>
                                  </w:pPr>
                                </w:p>
                                <w:p>
                                  <w:pPr>
                                    <w:pStyle w:val="TableParagraph"/>
                                    <w:ind w:right="463"/>
                                    <w:jc w:val="right"/>
                                    <w:rPr>
                                      <w:sz w:val="21"/>
                                    </w:rPr>
                                  </w:pPr>
                                  <w:r>
                                    <w:rPr>
                                      <w:color w:val="030303"/>
                                      <w:spacing w:val="-2"/>
                                      <w:sz w:val="21"/>
                                    </w:rPr>
                                    <w:t>1</w:t>
                                  </w:r>
                                  <w:r>
                                    <w:rPr>
                                      <w:color w:val="3D3D3D"/>
                                      <w:spacing w:val="-2"/>
                                      <w:sz w:val="21"/>
                                    </w:rPr>
                                    <w:t>,</w:t>
                                  </w:r>
                                  <w:r>
                                    <w:rPr>
                                      <w:color w:val="030303"/>
                                      <w:spacing w:val="-2"/>
                                      <w:sz w:val="21"/>
                                    </w:rPr>
                                    <w:t>568</w:t>
                                  </w:r>
                                </w:p>
                              </w:tc>
                              <w:tc>
                                <w:tcPr>
                                  <w:tcW w:w="1588" w:type="dxa"/>
                                </w:tcPr>
                                <w:p>
                                  <w:pPr>
                                    <w:pStyle w:val="TableParagraph"/>
                                    <w:rPr>
                                      <w:sz w:val="21"/>
                                    </w:rPr>
                                  </w:pPr>
                                </w:p>
                                <w:p>
                                  <w:pPr>
                                    <w:pStyle w:val="TableParagraph"/>
                                    <w:rPr>
                                      <w:sz w:val="21"/>
                                    </w:rPr>
                                  </w:pPr>
                                </w:p>
                                <w:p>
                                  <w:pPr>
                                    <w:pStyle w:val="TableParagraph"/>
                                    <w:spacing w:before="99"/>
                                    <w:rPr>
                                      <w:sz w:val="21"/>
                                    </w:rPr>
                                  </w:pPr>
                                </w:p>
                                <w:p>
                                  <w:pPr>
                                    <w:pStyle w:val="TableParagraph"/>
                                    <w:spacing w:line="239" w:lineRule="exact"/>
                                    <w:ind w:right="747"/>
                                    <w:jc w:val="right"/>
                                    <w:rPr>
                                      <w:sz w:val="21"/>
                                    </w:rPr>
                                  </w:pPr>
                                  <w:r>
                                    <w:rPr>
                                      <w:color w:val="3D3D3D"/>
                                      <w:spacing w:val="-10"/>
                                      <w:w w:val="105"/>
                                      <w:sz w:val="21"/>
                                    </w:rPr>
                                    <w:t>-</w:t>
                                  </w:r>
                                </w:p>
                              </w:tc>
                              <w:tc>
                                <w:tcPr>
                                  <w:tcW w:w="5323" w:type="dxa"/>
                                </w:tcPr>
                                <w:p>
                                  <w:pPr>
                                    <w:pStyle w:val="TableParagraph"/>
                                    <w:rPr>
                                      <w:sz w:val="21"/>
                                    </w:rPr>
                                  </w:pPr>
                                </w:p>
                                <w:p>
                                  <w:pPr>
                                    <w:pStyle w:val="TableParagraph"/>
                                    <w:rPr>
                                      <w:sz w:val="21"/>
                                    </w:rPr>
                                  </w:pPr>
                                </w:p>
                                <w:p>
                                  <w:pPr>
                                    <w:pStyle w:val="TableParagraph"/>
                                    <w:spacing w:before="52"/>
                                    <w:rPr>
                                      <w:sz w:val="21"/>
                                    </w:rPr>
                                  </w:pPr>
                                </w:p>
                                <w:p>
                                  <w:pPr>
                                    <w:pStyle w:val="TableParagraph"/>
                                    <w:tabs>
                                      <w:tab w:val="left" w:leader="none" w:pos="1373"/>
                                      <w:tab w:val="left" w:leader="none" w:pos="2911"/>
                                      <w:tab w:val="left" w:leader="none" w:pos="4104"/>
                                    </w:tabs>
                                    <w:spacing w:before="1" w:line="286" w:lineRule="exact"/>
                                    <w:ind w:right="383"/>
                                    <w:jc w:val="right"/>
                                    <w:rPr>
                                      <w:sz w:val="21"/>
                                    </w:rPr>
                                  </w:pPr>
                                  <w:r>
                                    <w:rPr>
                                      <w:color w:val="4F4F4F"/>
                                      <w:spacing w:val="-10"/>
                                      <w:w w:val="105"/>
                                      <w:sz w:val="27"/>
                                    </w:rPr>
                                    <w:t>-</w:t>
                                  </w:r>
                                  <w:r>
                                    <w:rPr>
                                      <w:color w:val="4F4F4F"/>
                                      <w:sz w:val="27"/>
                                    </w:rPr>
                                    <w:tab/>
                                  </w:r>
                                  <w:r>
                                    <w:rPr>
                                      <w:rFonts w:ascii="Times New Roman"/>
                                      <w:color w:val="3D3D3D"/>
                                      <w:spacing w:val="-10"/>
                                      <w:w w:val="105"/>
                                      <w:position w:val="1"/>
                                      <w:sz w:val="26"/>
                                    </w:rPr>
                                    <w:t>-</w:t>
                                  </w:r>
                                  <w:r>
                                    <w:rPr>
                                      <w:rFonts w:ascii="Times New Roman"/>
                                      <w:color w:val="3D3D3D"/>
                                      <w:position w:val="1"/>
                                      <w:sz w:val="26"/>
                                    </w:rPr>
                                    <w:tab/>
                                  </w:r>
                                  <w:r>
                                    <w:rPr>
                                      <w:color w:val="3D3D3D"/>
                                      <w:spacing w:val="-10"/>
                                      <w:w w:val="105"/>
                                      <w:sz w:val="21"/>
                                    </w:rPr>
                                    <w:t>-</w:t>
                                  </w:r>
                                  <w:r>
                                    <w:rPr>
                                      <w:color w:val="3D3D3D"/>
                                      <w:sz w:val="21"/>
                                    </w:rPr>
                                    <w:tab/>
                                  </w:r>
                                  <w:r>
                                    <w:rPr>
                                      <w:color w:val="262626"/>
                                      <w:spacing w:val="-10"/>
                                      <w:w w:val="105"/>
                                      <w:sz w:val="21"/>
                                    </w:rPr>
                                    <w:t>-</w:t>
                                  </w:r>
                                </w:p>
                              </w:tc>
                              <w:tc>
                                <w:tcPr>
                                  <w:tcW w:w="957" w:type="dxa"/>
                                </w:tcPr>
                                <w:p>
                                  <w:pPr>
                                    <w:pStyle w:val="TableParagraph"/>
                                    <w:rPr>
                                      <w:sz w:val="20"/>
                                    </w:rPr>
                                  </w:pPr>
                                </w:p>
                                <w:p>
                                  <w:pPr>
                                    <w:pStyle w:val="TableParagraph"/>
                                    <w:rPr>
                                      <w:sz w:val="20"/>
                                    </w:rPr>
                                  </w:pPr>
                                </w:p>
                                <w:p>
                                  <w:pPr>
                                    <w:pStyle w:val="TableParagraph"/>
                                    <w:spacing w:before="133"/>
                                    <w:rPr>
                                      <w:sz w:val="20"/>
                                    </w:rPr>
                                  </w:pPr>
                                </w:p>
                                <w:p>
                                  <w:pPr>
                                    <w:pStyle w:val="TableParagraph"/>
                                    <w:ind w:right="46"/>
                                    <w:jc w:val="right"/>
                                    <w:rPr>
                                      <w:b/>
                                      <w:sz w:val="20"/>
                                    </w:rPr>
                                  </w:pPr>
                                  <w:r>
                                    <w:rPr>
                                      <w:b/>
                                      <w:color w:val="030303"/>
                                      <w:spacing w:val="-2"/>
                                      <w:w w:val="105"/>
                                      <w:sz w:val="20"/>
                                    </w:rPr>
                                    <w:t>1,568</w:t>
                                  </w:r>
                                </w:p>
                              </w:tc>
                            </w:tr>
                          </w:tbl>
                          <w:p>
                            <w:pPr>
                              <w:pStyle w:val="BodyText"/>
                            </w:pPr>
                          </w:p>
                        </w:txbxContent>
                      </wps:txbx>
                      <wps:bodyPr wrap="square" lIns="0" tIns="0" rIns="0" bIns="0" rtlCol="0">
                        <a:noAutofit/>
                      </wps:bodyPr>
                    </wps:wsp>
                  </a:graphicData>
                </a:graphic>
              </wp:anchor>
            </w:drawing>
          </ve:Choice>
          <ve:Fallback>
            <w:pict>
              <v:shape id="docshape199" style="position:absolute;margin-left:295.411499pt;margin-top:-50.969078pt;width:452.05pt;height:106.85pt;mso-position-horizontal-relative:page;mso-position-vertical-relative:paragraph;z-index:15796736"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051"/>
                        <w:gridCol w:w="1588"/>
                        <w:gridCol w:w="5323"/>
                        <w:gridCol w:w="957"/>
                      </w:tblGrid>
                      <w:tr>
                        <w:trPr>
                          <w:trHeight w:val="1054" w:hRule="atLeast"/>
                        </w:trPr>
                        <w:tc>
                          <w:tcPr>
                            <w:tcW w:w="1051" w:type="dxa"/>
                          </w:tcPr>
                          <w:p>
                            <w:pPr>
                              <w:pStyle w:val="TableParagraph"/>
                              <w:spacing w:line="235" w:lineRule="exact"/>
                              <w:ind w:right="481"/>
                              <w:jc w:val="right"/>
                              <w:rPr>
                                <w:sz w:val="21"/>
                              </w:rPr>
                            </w:pPr>
                            <w:r>
                              <w:rPr>
                                <w:color w:val="030303"/>
                                <w:spacing w:val="-10"/>
                                <w:sz w:val="21"/>
                              </w:rPr>
                              <w:t>2</w:t>
                            </w:r>
                          </w:p>
                        </w:tc>
                        <w:tc>
                          <w:tcPr>
                            <w:tcW w:w="1588" w:type="dxa"/>
                          </w:tcPr>
                          <w:p>
                            <w:pPr>
                              <w:pStyle w:val="TableParagraph"/>
                              <w:spacing w:line="235" w:lineRule="exact"/>
                              <w:ind w:right="765"/>
                              <w:jc w:val="right"/>
                              <w:rPr>
                                <w:sz w:val="21"/>
                              </w:rPr>
                            </w:pPr>
                            <w:r>
                              <w:rPr>
                                <w:color w:val="030303"/>
                                <w:spacing w:val="-5"/>
                                <w:sz w:val="21"/>
                              </w:rPr>
                              <w:t>652</w:t>
                            </w:r>
                          </w:p>
                        </w:tc>
                        <w:tc>
                          <w:tcPr>
                            <w:tcW w:w="5323" w:type="dxa"/>
                          </w:tcPr>
                          <w:p>
                            <w:pPr>
                              <w:pStyle w:val="TableParagraph"/>
                              <w:tabs>
                                <w:tab w:val="left" w:leader="none" w:pos="1370"/>
                                <w:tab w:val="left" w:leader="none" w:pos="2898"/>
                                <w:tab w:val="left" w:leader="none" w:pos="4102"/>
                              </w:tabs>
                              <w:spacing w:before="8"/>
                              <w:ind w:right="392"/>
                              <w:jc w:val="right"/>
                              <w:rPr>
                                <w:sz w:val="21"/>
                              </w:rPr>
                            </w:pPr>
                            <w:r>
                              <w:rPr>
                                <w:color w:val="262626"/>
                                <w:spacing w:val="-10"/>
                                <w:sz w:val="21"/>
                              </w:rPr>
                              <w:t>-</w:t>
                            </w:r>
                            <w:r>
                              <w:rPr>
                                <w:color w:val="262626"/>
                                <w:sz w:val="21"/>
                              </w:rPr>
                              <w:tab/>
                            </w:r>
                            <w:r>
                              <w:rPr>
                                <w:color w:val="262626"/>
                                <w:spacing w:val="-10"/>
                                <w:position w:val="0"/>
                                <w:sz w:val="21"/>
                              </w:rPr>
                              <w:t>-</w:t>
                            </w:r>
                            <w:r>
                              <w:rPr>
                                <w:color w:val="262626"/>
                                <w:position w:val="0"/>
                                <w:sz w:val="21"/>
                              </w:rPr>
                              <w:tab/>
                            </w:r>
                            <w:r>
                              <w:rPr>
                                <w:rFonts w:ascii="Times New Roman"/>
                                <w:color w:val="262626"/>
                                <w:spacing w:val="-10"/>
                                <w:position w:val="1"/>
                                <w:sz w:val="20"/>
                              </w:rPr>
                              <w:t>-</w:t>
                            </w:r>
                            <w:r>
                              <w:rPr>
                                <w:rFonts w:ascii="Times New Roman"/>
                                <w:color w:val="262626"/>
                                <w:position w:val="1"/>
                                <w:sz w:val="20"/>
                              </w:rPr>
                              <w:tab/>
                            </w:r>
                            <w:r>
                              <w:rPr>
                                <w:color w:val="262626"/>
                                <w:spacing w:val="-10"/>
                                <w:position w:val="-1"/>
                                <w:sz w:val="21"/>
                              </w:rPr>
                              <w:t>-</w:t>
                            </w:r>
                          </w:p>
                        </w:tc>
                        <w:tc>
                          <w:tcPr>
                            <w:tcW w:w="957" w:type="dxa"/>
                          </w:tcPr>
                          <w:p>
                            <w:pPr>
                              <w:pStyle w:val="TableParagraph"/>
                              <w:spacing w:before="22"/>
                              <w:ind w:right="52"/>
                              <w:jc w:val="right"/>
                              <w:rPr>
                                <w:b/>
                                <w:sz w:val="20"/>
                              </w:rPr>
                            </w:pPr>
                            <w:r>
                              <w:rPr>
                                <w:b/>
                                <w:color w:val="030303"/>
                                <w:spacing w:val="-5"/>
                                <w:w w:val="105"/>
                                <w:sz w:val="20"/>
                              </w:rPr>
                              <w:t>654</w:t>
                            </w:r>
                          </w:p>
                        </w:tc>
                      </w:tr>
                      <w:tr>
                        <w:trPr>
                          <w:trHeight w:val="1083" w:hRule="atLeast"/>
                        </w:trPr>
                        <w:tc>
                          <w:tcPr>
                            <w:tcW w:w="1051" w:type="dxa"/>
                          </w:tcPr>
                          <w:p>
                            <w:pPr>
                              <w:pStyle w:val="TableParagraph"/>
                              <w:rPr>
                                <w:sz w:val="21"/>
                              </w:rPr>
                            </w:pPr>
                          </w:p>
                          <w:p>
                            <w:pPr>
                              <w:pStyle w:val="TableParagraph"/>
                              <w:rPr>
                                <w:sz w:val="21"/>
                              </w:rPr>
                            </w:pPr>
                          </w:p>
                          <w:p>
                            <w:pPr>
                              <w:pStyle w:val="TableParagraph"/>
                              <w:spacing w:before="80"/>
                              <w:rPr>
                                <w:sz w:val="21"/>
                              </w:rPr>
                            </w:pPr>
                          </w:p>
                          <w:p>
                            <w:pPr>
                              <w:pStyle w:val="TableParagraph"/>
                              <w:ind w:right="463"/>
                              <w:jc w:val="right"/>
                              <w:rPr>
                                <w:sz w:val="21"/>
                              </w:rPr>
                            </w:pPr>
                            <w:r>
                              <w:rPr>
                                <w:color w:val="030303"/>
                                <w:spacing w:val="-2"/>
                                <w:sz w:val="21"/>
                              </w:rPr>
                              <w:t>1</w:t>
                            </w:r>
                            <w:r>
                              <w:rPr>
                                <w:color w:val="3D3D3D"/>
                                <w:spacing w:val="-2"/>
                                <w:sz w:val="21"/>
                              </w:rPr>
                              <w:t>,</w:t>
                            </w:r>
                            <w:r>
                              <w:rPr>
                                <w:color w:val="030303"/>
                                <w:spacing w:val="-2"/>
                                <w:sz w:val="21"/>
                              </w:rPr>
                              <w:t>568</w:t>
                            </w:r>
                          </w:p>
                        </w:tc>
                        <w:tc>
                          <w:tcPr>
                            <w:tcW w:w="1588" w:type="dxa"/>
                          </w:tcPr>
                          <w:p>
                            <w:pPr>
                              <w:pStyle w:val="TableParagraph"/>
                              <w:rPr>
                                <w:sz w:val="21"/>
                              </w:rPr>
                            </w:pPr>
                          </w:p>
                          <w:p>
                            <w:pPr>
                              <w:pStyle w:val="TableParagraph"/>
                              <w:rPr>
                                <w:sz w:val="21"/>
                              </w:rPr>
                            </w:pPr>
                          </w:p>
                          <w:p>
                            <w:pPr>
                              <w:pStyle w:val="TableParagraph"/>
                              <w:spacing w:before="99"/>
                              <w:rPr>
                                <w:sz w:val="21"/>
                              </w:rPr>
                            </w:pPr>
                          </w:p>
                          <w:p>
                            <w:pPr>
                              <w:pStyle w:val="TableParagraph"/>
                              <w:spacing w:line="239" w:lineRule="exact"/>
                              <w:ind w:right="747"/>
                              <w:jc w:val="right"/>
                              <w:rPr>
                                <w:sz w:val="21"/>
                              </w:rPr>
                            </w:pPr>
                            <w:r>
                              <w:rPr>
                                <w:color w:val="3D3D3D"/>
                                <w:spacing w:val="-10"/>
                                <w:w w:val="105"/>
                                <w:sz w:val="21"/>
                              </w:rPr>
                              <w:t>-</w:t>
                            </w:r>
                          </w:p>
                        </w:tc>
                        <w:tc>
                          <w:tcPr>
                            <w:tcW w:w="5323" w:type="dxa"/>
                          </w:tcPr>
                          <w:p>
                            <w:pPr>
                              <w:pStyle w:val="TableParagraph"/>
                              <w:rPr>
                                <w:sz w:val="21"/>
                              </w:rPr>
                            </w:pPr>
                          </w:p>
                          <w:p>
                            <w:pPr>
                              <w:pStyle w:val="TableParagraph"/>
                              <w:rPr>
                                <w:sz w:val="21"/>
                              </w:rPr>
                            </w:pPr>
                          </w:p>
                          <w:p>
                            <w:pPr>
                              <w:pStyle w:val="TableParagraph"/>
                              <w:spacing w:before="52"/>
                              <w:rPr>
                                <w:sz w:val="21"/>
                              </w:rPr>
                            </w:pPr>
                          </w:p>
                          <w:p>
                            <w:pPr>
                              <w:pStyle w:val="TableParagraph"/>
                              <w:tabs>
                                <w:tab w:val="left" w:leader="none" w:pos="1373"/>
                                <w:tab w:val="left" w:leader="none" w:pos="2911"/>
                                <w:tab w:val="left" w:leader="none" w:pos="4104"/>
                              </w:tabs>
                              <w:spacing w:before="1" w:line="286" w:lineRule="exact"/>
                              <w:ind w:right="383"/>
                              <w:jc w:val="right"/>
                              <w:rPr>
                                <w:sz w:val="21"/>
                              </w:rPr>
                            </w:pPr>
                            <w:r>
                              <w:rPr>
                                <w:color w:val="4F4F4F"/>
                                <w:spacing w:val="-10"/>
                                <w:w w:val="105"/>
                                <w:sz w:val="27"/>
                              </w:rPr>
                              <w:t>-</w:t>
                            </w:r>
                            <w:r>
                              <w:rPr>
                                <w:color w:val="4F4F4F"/>
                                <w:sz w:val="27"/>
                              </w:rPr>
                              <w:tab/>
                            </w:r>
                            <w:r>
                              <w:rPr>
                                <w:rFonts w:ascii="Times New Roman"/>
                                <w:color w:val="3D3D3D"/>
                                <w:spacing w:val="-10"/>
                                <w:w w:val="105"/>
                                <w:position w:val="1"/>
                                <w:sz w:val="26"/>
                              </w:rPr>
                              <w:t>-</w:t>
                            </w:r>
                            <w:r>
                              <w:rPr>
                                <w:rFonts w:ascii="Times New Roman"/>
                                <w:color w:val="3D3D3D"/>
                                <w:position w:val="1"/>
                                <w:sz w:val="26"/>
                              </w:rPr>
                              <w:tab/>
                            </w:r>
                            <w:r>
                              <w:rPr>
                                <w:color w:val="3D3D3D"/>
                                <w:spacing w:val="-10"/>
                                <w:w w:val="105"/>
                                <w:sz w:val="21"/>
                              </w:rPr>
                              <w:t>-</w:t>
                            </w:r>
                            <w:r>
                              <w:rPr>
                                <w:color w:val="3D3D3D"/>
                                <w:sz w:val="21"/>
                              </w:rPr>
                              <w:tab/>
                            </w:r>
                            <w:r>
                              <w:rPr>
                                <w:color w:val="262626"/>
                                <w:spacing w:val="-10"/>
                                <w:w w:val="105"/>
                                <w:sz w:val="21"/>
                              </w:rPr>
                              <w:t>-</w:t>
                            </w:r>
                          </w:p>
                        </w:tc>
                        <w:tc>
                          <w:tcPr>
                            <w:tcW w:w="957" w:type="dxa"/>
                          </w:tcPr>
                          <w:p>
                            <w:pPr>
                              <w:pStyle w:val="TableParagraph"/>
                              <w:rPr>
                                <w:sz w:val="20"/>
                              </w:rPr>
                            </w:pPr>
                          </w:p>
                          <w:p>
                            <w:pPr>
                              <w:pStyle w:val="TableParagraph"/>
                              <w:rPr>
                                <w:sz w:val="20"/>
                              </w:rPr>
                            </w:pPr>
                          </w:p>
                          <w:p>
                            <w:pPr>
                              <w:pStyle w:val="TableParagraph"/>
                              <w:spacing w:before="133"/>
                              <w:rPr>
                                <w:sz w:val="20"/>
                              </w:rPr>
                            </w:pPr>
                          </w:p>
                          <w:p>
                            <w:pPr>
                              <w:pStyle w:val="TableParagraph"/>
                              <w:ind w:right="46"/>
                              <w:jc w:val="right"/>
                              <w:rPr>
                                <w:b/>
                                <w:sz w:val="20"/>
                              </w:rPr>
                            </w:pPr>
                            <w:r>
                              <w:rPr>
                                <w:b/>
                                <w:color w:val="030303"/>
                                <w:spacing w:val="-2"/>
                                <w:w w:val="105"/>
                                <w:sz w:val="20"/>
                              </w:rPr>
                              <w:t>1,568</w:t>
                            </w:r>
                          </w:p>
                        </w:tc>
                      </w:tr>
                    </w:tbl>
                    <w:p>
                      <w:pPr>
                        <w:pStyle w:val="BodyText"/>
                      </w:pPr>
                    </w:p>
                  </w:txbxContent>
                </v:textbox>
                <w10:wrap type="none"/>
              </v:shape>
            </w:pict>
          </ve:Fallback>
        </ve:AlternateContent>
      </w:r>
      <w:r>
        <w:rPr>
          <w:color w:val="030303"/>
          <w:sz w:val="21"/>
        </w:rPr>
        <w:t>Other</w:t>
      </w:r>
      <w:r>
        <w:rPr>
          <w:color w:val="030303"/>
          <w:spacing w:val="-3"/>
          <w:sz w:val="21"/>
        </w:rPr>
        <w:t> </w:t>
      </w:r>
      <w:r>
        <w:rPr>
          <w:color w:val="030303"/>
          <w:spacing w:val="-2"/>
          <w:sz w:val="21"/>
        </w:rPr>
        <w:t>movements</w:t>
      </w:r>
    </w:p>
    <w:p>
      <w:pPr>
        <w:pStyle w:val="BodyText"/>
        <w:spacing w:before="7"/>
        <w:rPr>
          <w:sz w:val="21"/>
        </w:rPr>
      </w:pPr>
    </w:p>
    <w:p>
      <w:pPr>
        <w:spacing w:before="0" w:line="276" w:lineRule="auto"/>
        <w:ind w:left="447" w:right="11204" w:hanging="4"/>
        <w:jc w:val="left"/>
        <w:rPr>
          <w:sz w:val="21"/>
        </w:rPr>
      </w:pPr>
      <w:r>
        <w:rPr>
          <w:color w:val="030303"/>
          <w:sz w:val="21"/>
        </w:rPr>
        <w:t>Accumulated</w:t>
      </w:r>
      <w:r>
        <w:rPr>
          <w:color w:val="030303"/>
          <w:spacing w:val="-10"/>
          <w:sz w:val="21"/>
        </w:rPr>
        <w:t> </w:t>
      </w:r>
      <w:r>
        <w:rPr>
          <w:color w:val="030303"/>
          <w:sz w:val="21"/>
        </w:rPr>
        <w:t>depreciation</w:t>
      </w:r>
      <w:r>
        <w:rPr>
          <w:color w:val="030303"/>
          <w:spacing w:val="-14"/>
          <w:sz w:val="21"/>
        </w:rPr>
        <w:t> </w:t>
      </w:r>
      <w:r>
        <w:rPr>
          <w:color w:val="030303"/>
          <w:sz w:val="21"/>
        </w:rPr>
        <w:t>and</w:t>
      </w:r>
      <w:r>
        <w:rPr>
          <w:color w:val="030303"/>
          <w:spacing w:val="-15"/>
          <w:sz w:val="21"/>
        </w:rPr>
        <w:t> </w:t>
      </w:r>
      <w:r>
        <w:rPr>
          <w:color w:val="030303"/>
          <w:sz w:val="21"/>
        </w:rPr>
        <w:t>impairment written to Cost or Valuation</w:t>
      </w:r>
    </w:p>
    <w:p>
      <w:pPr>
        <w:tabs>
          <w:tab w:val="left" w:leader="none" w:pos="5319"/>
          <w:tab w:val="left" w:leader="none" w:pos="6449"/>
          <w:tab w:val="left" w:leader="none" w:pos="8209"/>
          <w:tab w:val="left" w:leader="none" w:pos="9585"/>
          <w:tab w:val="left" w:leader="none" w:pos="11543"/>
          <w:tab w:val="left" w:leader="none" w:pos="12734"/>
          <w:tab w:val="left" w:leader="none" w:pos="13438"/>
        </w:tabs>
        <w:spacing w:before="114"/>
        <w:ind w:left="453" w:right="0" w:firstLine="0"/>
        <w:jc w:val="left"/>
        <w:rPr>
          <w:b/>
          <w:sz w:val="20"/>
        </w:rPr>
      </w:pPr>
      <w:r>
        <w:rPr/>
        <ve:AlternateContent>
          <ve:Choice Requires="wps">
            <w:drawing>
              <wp:anchor distT="0" distB="0" distL="0" distR="0" simplePos="0" relativeHeight="475905536" behindDoc="1" locked="0" layoutInCell="1" allowOverlap="1">
                <wp:simplePos x="0" y="0"/>
                <wp:positionH relativeFrom="page">
                  <wp:posOffset>3390100</wp:posOffset>
                </wp:positionH>
                <wp:positionV relativeFrom="paragraph">
                  <wp:posOffset>136020</wp:posOffset>
                </wp:positionV>
                <wp:extent cx="831215" cy="1270"/>
                <wp:effectExtent l="0" t="0" r="0" b="0"/>
                <wp:wrapNone/>
                <wp:docPr id="305" name="Graphic 305"/>
                <wp:cNvGraphicFramePr>
                  <a:graphicFrameLocks/>
                </wp:cNvGraphicFramePr>
                <a:graphic>
                  <a:graphicData uri="http://schemas.microsoft.com/office/word/2010/wordprocessingShape">
                    <wps:wsp>
                      <wps:cNvPr id="305" name="Graphic 305"/>
                      <wps:cNvSpPr/>
                      <wps:spPr>
                        <a:xfrm>
                          <a:off x="0" y="0"/>
                          <a:ext cx="831215" cy="1270"/>
                        </a:xfrm>
                        <a:custGeom>
                          <a:avLst/>
                          <a:gdLst/>
                          <a:ahLst/>
                          <a:cxnLst/>
                          <a:rect l="l" t="t" r="r" b="b"/>
                          <a:pathLst>
                            <a:path w="831215" h="0">
                              <a:moveTo>
                                <a:pt x="0" y="0"/>
                              </a:moveTo>
                              <a:lnTo>
                                <a:pt x="830727"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27410944" stroked="true" strokecolor="#000000" strokeweight=".721232pt" from="266.937042pt,10.710242pt" to="332.348643pt,10.710242pt">
                <v:stroke dashstyle="solid"/>
                <w10:wrap type="none"/>
              </v:line>
            </w:pict>
          </ve:Fallback>
        </ve:AlternateContent>
      </w:r>
      <w:r>
        <w:rPr>
          <w:color w:val="030303"/>
          <w:position w:val="1"/>
          <w:sz w:val="21"/>
        </w:rPr>
        <w:t>At</w:t>
      </w:r>
      <w:r>
        <w:rPr>
          <w:color w:val="030303"/>
          <w:spacing w:val="17"/>
          <w:position w:val="1"/>
          <w:sz w:val="21"/>
        </w:rPr>
        <w:t> </w:t>
      </w:r>
      <w:r>
        <w:rPr>
          <w:color w:val="030303"/>
          <w:position w:val="1"/>
          <w:sz w:val="21"/>
        </w:rPr>
        <w:t>31</w:t>
      </w:r>
      <w:r>
        <w:rPr>
          <w:color w:val="030303"/>
          <w:spacing w:val="-1"/>
          <w:position w:val="1"/>
          <w:sz w:val="21"/>
        </w:rPr>
        <w:t> </w:t>
      </w:r>
      <w:r>
        <w:rPr>
          <w:color w:val="030303"/>
          <w:position w:val="1"/>
          <w:sz w:val="21"/>
        </w:rPr>
        <w:t>March</w:t>
      </w:r>
      <w:r>
        <w:rPr>
          <w:color w:val="030303"/>
          <w:spacing w:val="28"/>
          <w:position w:val="1"/>
          <w:sz w:val="21"/>
        </w:rPr>
        <w:t> </w:t>
      </w:r>
      <w:r>
        <w:rPr>
          <w:color w:val="030303"/>
          <w:spacing w:val="-4"/>
          <w:position w:val="1"/>
          <w:sz w:val="21"/>
        </w:rPr>
        <w:t>2023</w:t>
      </w:r>
      <w:r>
        <w:rPr>
          <w:color w:val="030303"/>
          <w:position w:val="1"/>
          <w:sz w:val="21"/>
        </w:rPr>
        <w:tab/>
      </w:r>
      <w:r>
        <w:rPr>
          <w:b/>
          <w:color w:val="030303"/>
          <w:spacing w:val="-2"/>
          <w:position w:val="1"/>
          <w:sz w:val="20"/>
        </w:rPr>
        <w:t>(889)</w:t>
      </w:r>
      <w:r>
        <w:rPr>
          <w:b/>
          <w:color w:val="030303"/>
          <w:position w:val="1"/>
          <w:sz w:val="20"/>
        </w:rPr>
        <w:tab/>
      </w:r>
      <w:r>
        <w:rPr>
          <w:b/>
          <w:color w:val="030303"/>
          <w:spacing w:val="-2"/>
          <w:position w:val="1"/>
          <w:sz w:val="20"/>
        </w:rPr>
        <w:t>(3,743)</w:t>
      </w:r>
      <w:r>
        <w:rPr>
          <w:b/>
          <w:color w:val="030303"/>
          <w:position w:val="1"/>
          <w:sz w:val="20"/>
        </w:rPr>
        <w:tab/>
      </w:r>
      <w:r>
        <w:rPr>
          <w:b/>
          <w:color w:val="030303"/>
          <w:spacing w:val="-2"/>
          <w:position w:val="1"/>
          <w:sz w:val="20"/>
        </w:rPr>
        <w:t>(188)</w:t>
      </w:r>
      <w:r>
        <w:rPr>
          <w:b/>
          <w:color w:val="030303"/>
          <w:position w:val="1"/>
          <w:sz w:val="20"/>
        </w:rPr>
        <w:tab/>
      </w:r>
      <w:r>
        <w:rPr>
          <w:b/>
          <w:color w:val="030303"/>
          <w:spacing w:val="-2"/>
          <w:position w:val="1"/>
          <w:sz w:val="20"/>
        </w:rPr>
        <w:t>(429)</w:t>
      </w:r>
      <w:r>
        <w:rPr>
          <w:b/>
          <w:color w:val="030303"/>
          <w:position w:val="1"/>
          <w:sz w:val="20"/>
        </w:rPr>
        <w:tab/>
      </w:r>
      <w:r>
        <w:rPr>
          <w:color w:val="262626"/>
          <w:spacing w:val="-10"/>
          <w:w w:val="95"/>
          <w:position w:val="-2"/>
          <w:sz w:val="32"/>
        </w:rPr>
        <w:t>-</w:t>
      </w:r>
      <w:r>
        <w:rPr>
          <w:color w:val="262626"/>
          <w:position w:val="-2"/>
          <w:sz w:val="32"/>
        </w:rPr>
        <w:tab/>
      </w:r>
      <w:r>
        <w:rPr>
          <w:color w:val="262626"/>
          <w:spacing w:val="-10"/>
          <w:w w:val="95"/>
          <w:position w:val="-4"/>
          <w:sz w:val="38"/>
        </w:rPr>
        <w:t>-</w:t>
      </w:r>
      <w:r>
        <w:rPr>
          <w:color w:val="262626"/>
          <w:position w:val="-4"/>
          <w:sz w:val="38"/>
        </w:rPr>
        <w:tab/>
      </w:r>
      <w:r>
        <w:rPr>
          <w:b/>
          <w:color w:val="030303"/>
          <w:spacing w:val="-2"/>
          <w:sz w:val="20"/>
        </w:rPr>
        <w:t>(5,249)</w:t>
      </w:r>
    </w:p>
    <w:p>
      <w:pPr>
        <w:pStyle w:val="BodyText"/>
        <w:spacing w:before="6"/>
        <w:rPr>
          <w:b/>
          <w:sz w:val="9"/>
        </w:rPr>
      </w:pPr>
      <w:r>
        <w:rPr/>
        <ve:AlternateContent>
          <ve:Choice Requires="wps">
            <w:drawing>
              <wp:anchor distT="0" distB="0" distL="0" distR="0" simplePos="0" relativeHeight="487652352" behindDoc="1" locked="0" layoutInCell="1" allowOverlap="1">
                <wp:simplePos x="0" y="0"/>
                <wp:positionH relativeFrom="page">
                  <wp:posOffset>3390100</wp:posOffset>
                </wp:positionH>
                <wp:positionV relativeFrom="paragraph">
                  <wp:posOffset>85373</wp:posOffset>
                </wp:positionV>
                <wp:extent cx="6047740" cy="1270"/>
                <wp:effectExtent l="0" t="0" r="0" b="0"/>
                <wp:wrapTopAndBottom/>
                <wp:docPr id="306" name="Graphic 306"/>
                <wp:cNvGraphicFramePr>
                  <a:graphicFrameLocks/>
                </wp:cNvGraphicFramePr>
                <a:graphic>
                  <a:graphicData uri="http://schemas.microsoft.com/office/word/2010/wordprocessingShape">
                    <wps:wsp>
                      <wps:cNvPr id="306" name="Graphic 306"/>
                      <wps:cNvSpPr/>
                      <wps:spPr>
                        <a:xfrm>
                          <a:off x="0" y="0"/>
                          <a:ext cx="6047740" cy="1270"/>
                        </a:xfrm>
                        <a:custGeom>
                          <a:avLst/>
                          <a:gdLst/>
                          <a:ahLst/>
                          <a:cxnLst/>
                          <a:rect l="l" t="t" r="r" b="b"/>
                          <a:pathLst>
                            <a:path w="6047740" h="0">
                              <a:moveTo>
                                <a:pt x="0" y="0"/>
                              </a:moveTo>
                              <a:lnTo>
                                <a:pt x="6047206"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200" style="position:absolute;margin-left:266.937042pt;margin-top:6.722341pt;width:476.2pt;height:.1pt;mso-position-horizontal-relative:page;mso-position-vertical-relative:paragraph;z-index:-15664128;mso-wrap-distance-left:0;mso-wrap-distance-right:0" coordsize="9524,0" coordorigin="5339,134" filled="false" stroked="true" strokecolor="#000000" strokeweight=".721232pt" path="m5339,134l14862,134e">
                <v:path arrowok="t"/>
                <v:stroke dashstyle="solid"/>
                <w10:wrap type="topAndBottom"/>
              </v:shape>
            </w:pict>
          </ve:Fallback>
        </ve:AlternateContent>
      </w:r>
    </w:p>
    <w:p>
      <w:pPr>
        <w:pStyle w:val="BodyText"/>
        <w:spacing w:before="41"/>
        <w:rPr>
          <w:b/>
          <w:sz w:val="20"/>
        </w:rPr>
      </w:pPr>
    </w:p>
    <w:p>
      <w:pPr>
        <w:spacing w:before="1" w:line="208" w:lineRule="exact"/>
        <w:ind w:left="451" w:right="0" w:firstLine="0"/>
        <w:jc w:val="left"/>
        <w:rPr>
          <w:sz w:val="21"/>
        </w:rPr>
      </w:pPr>
      <w:r>
        <w:rPr>
          <w:color w:val="030303"/>
          <w:w w:val="105"/>
          <w:sz w:val="21"/>
        </w:rPr>
        <w:t>Net</w:t>
      </w:r>
      <w:r>
        <w:rPr>
          <w:color w:val="030303"/>
          <w:spacing w:val="-4"/>
          <w:w w:val="105"/>
          <w:sz w:val="21"/>
        </w:rPr>
        <w:t> </w:t>
      </w:r>
      <w:r>
        <w:rPr>
          <w:color w:val="030303"/>
          <w:w w:val="105"/>
          <w:sz w:val="21"/>
        </w:rPr>
        <w:t>Book</w:t>
      </w:r>
      <w:r>
        <w:rPr>
          <w:color w:val="030303"/>
          <w:spacing w:val="13"/>
          <w:w w:val="105"/>
          <w:sz w:val="21"/>
        </w:rPr>
        <w:t> </w:t>
      </w:r>
      <w:r>
        <w:rPr>
          <w:color w:val="030303"/>
          <w:spacing w:val="-4"/>
          <w:w w:val="105"/>
          <w:sz w:val="21"/>
        </w:rPr>
        <w:t>Value</w:t>
      </w:r>
    </w:p>
    <w:p>
      <w:pPr>
        <w:tabs>
          <w:tab w:val="left" w:leader="none" w:pos="5052"/>
          <w:tab w:val="left" w:leader="none" w:pos="6603"/>
          <w:tab w:val="left" w:leader="none" w:pos="8360"/>
          <w:tab w:val="left" w:leader="none" w:pos="9549"/>
          <w:tab w:val="left" w:leader="none" w:pos="10963"/>
          <w:tab w:val="left" w:leader="none" w:pos="12748"/>
          <w:tab w:val="left" w:leader="none" w:pos="13348"/>
        </w:tabs>
        <w:spacing w:before="0" w:line="403" w:lineRule="exact"/>
        <w:ind w:left="462" w:right="0" w:firstLine="0"/>
        <w:jc w:val="left"/>
        <w:rPr>
          <w:sz w:val="21"/>
        </w:rPr>
      </w:pPr>
      <w:r>
        <w:rPr/>
        <ve:AlternateContent>
          <ve:Choice Requires="wps">
            <w:drawing>
              <wp:anchor distT="0" distB="0" distL="0" distR="0" simplePos="0" relativeHeight="475906048" behindDoc="1" locked="0" layoutInCell="1" allowOverlap="1">
                <wp:simplePos x="0" y="0"/>
                <wp:positionH relativeFrom="page">
                  <wp:posOffset>3390100</wp:posOffset>
                </wp:positionH>
                <wp:positionV relativeFrom="paragraph">
                  <wp:posOffset>38792</wp:posOffset>
                </wp:positionV>
                <wp:extent cx="6047740" cy="1270"/>
                <wp:effectExtent l="0" t="0" r="0" b="0"/>
                <wp:wrapNone/>
                <wp:docPr id="307" name="Graphic 307"/>
                <wp:cNvGraphicFramePr>
                  <a:graphicFrameLocks/>
                </wp:cNvGraphicFramePr>
                <a:graphic>
                  <a:graphicData uri="http://schemas.microsoft.com/office/word/2010/wordprocessingShape">
                    <wps:wsp>
                      <wps:cNvPr id="307" name="Graphic 307"/>
                      <wps:cNvSpPr/>
                      <wps:spPr>
                        <a:xfrm>
                          <a:off x="0" y="0"/>
                          <a:ext cx="6047740" cy="1270"/>
                        </a:xfrm>
                        <a:custGeom>
                          <a:avLst/>
                          <a:gdLst/>
                          <a:ahLst/>
                          <a:cxnLst/>
                          <a:rect l="l" t="t" r="r" b="b"/>
                          <a:pathLst>
                            <a:path w="6047740" h="0">
                              <a:moveTo>
                                <a:pt x="0" y="0"/>
                              </a:moveTo>
                              <a:lnTo>
                                <a:pt x="6047206"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27410432" stroked="true" strokecolor="#000000" strokeweight=".721232pt" from="266.937042pt,3.054489pt" to="743.095021pt,3.054489pt">
                <v:stroke dashstyle="solid"/>
                <w10:wrap type="none"/>
              </v:line>
            </w:pict>
          </ve:Fallback>
        </ve:AlternateContent>
      </w:r>
      <w:r>
        <w:rPr/>
        <ve:AlternateContent>
          <ve:Choice Requires="wps">
            <w:drawing>
              <wp:anchor distT="0" distB="0" distL="0" distR="0" simplePos="0" relativeHeight="475906560" behindDoc="1" locked="0" layoutInCell="1" allowOverlap="1">
                <wp:simplePos x="0" y="0"/>
                <wp:positionH relativeFrom="page">
                  <wp:posOffset>3390100</wp:posOffset>
                </wp:positionH>
                <wp:positionV relativeFrom="paragraph">
                  <wp:posOffset>199085</wp:posOffset>
                </wp:positionV>
                <wp:extent cx="6047740" cy="21590"/>
                <wp:effectExtent l="0" t="0" r="0" b="0"/>
                <wp:wrapNone/>
                <wp:docPr id="308" name="Group 308"/>
                <wp:cNvGraphicFramePr>
                  <a:graphicFrameLocks/>
                </wp:cNvGraphicFramePr>
                <a:graphic>
                  <a:graphicData uri="http://schemas.microsoft.com/office/word/2010/wordprocessingGroup">
                    <wpg:wgp>
                      <wpg:cNvPr id="308" name="Group 308"/>
                      <wpg:cNvGrpSpPr/>
                      <wpg:grpSpPr>
                        <a:xfrm>
                          <a:off x="0" y="0"/>
                          <a:ext cx="6047740" cy="21590"/>
                          <a:chExt cx="6047740" cy="21590"/>
                        </a:xfrm>
                      </wpg:grpSpPr>
                      <wps:wsp>
                        <wps:cNvPr id="309" name="Graphic 309"/>
                        <wps:cNvSpPr/>
                        <wps:spPr>
                          <a:xfrm>
                            <a:off x="0" y="10686"/>
                            <a:ext cx="831215" cy="1270"/>
                          </a:xfrm>
                          <a:custGeom>
                            <a:avLst/>
                            <a:gdLst/>
                            <a:ahLst/>
                            <a:cxnLst/>
                            <a:rect l="l" t="t" r="r" b="b"/>
                            <a:pathLst>
                              <a:path w="831215" h="0">
                                <a:moveTo>
                                  <a:pt x="0" y="0"/>
                                </a:moveTo>
                                <a:lnTo>
                                  <a:pt x="830727" y="0"/>
                                </a:lnTo>
                              </a:path>
                            </a:pathLst>
                          </a:custGeom>
                          <a:ln w="9159">
                            <a:solidFill>
                              <a:srgbClr val="000000"/>
                            </a:solidFill>
                            <a:prstDash val="solid"/>
                          </a:ln>
                        </wps:spPr>
                        <wps:bodyPr wrap="square" lIns="0" tIns="0" rIns="0" bIns="0" rtlCol="0">
                          <a:prstTxWarp prst="textNoShape">
                            <a:avLst/>
                          </a:prstTxWarp>
                          <a:noAutofit/>
                        </wps:bodyPr>
                      </wps:wsp>
                      <wps:wsp>
                        <wps:cNvPr id="310" name="Graphic 310"/>
                        <wps:cNvSpPr/>
                        <wps:spPr>
                          <a:xfrm>
                            <a:off x="830727" y="10686"/>
                            <a:ext cx="5216525" cy="1270"/>
                          </a:xfrm>
                          <a:custGeom>
                            <a:avLst/>
                            <a:gdLst/>
                            <a:ahLst/>
                            <a:cxnLst/>
                            <a:rect l="l" t="t" r="r" b="b"/>
                            <a:pathLst>
                              <a:path w="5216525" h="0">
                                <a:moveTo>
                                  <a:pt x="0" y="0"/>
                                </a:moveTo>
                                <a:lnTo>
                                  <a:pt x="5216478" y="0"/>
                                </a:lnTo>
                              </a:path>
                            </a:pathLst>
                          </a:custGeom>
                          <a:ln w="21372">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201" style="position:absolute;margin-left:266.937042pt;margin-top:15.676047pt;width:476.2pt;height:1.7pt;mso-position-horizontal-relative:page;mso-position-vertical-relative:paragraph;z-index:-27409920" coordsize="9524,34" coordorigin="5339,314">
                <v:line style="position:absolute" stroked="true" strokecolor="#000000" strokeweight=".721232pt" from="5339,330" to="6647,330">
                  <v:stroke dashstyle="solid"/>
                </v:line>
                <v:line style="position:absolute" stroked="true" strokecolor="#000000" strokeweight="1.682874pt" from="6647,330" to="14862,330">
                  <v:stroke dashstyle="solid"/>
                </v:line>
                <w10:wrap type="none"/>
              </v:group>
            </w:pict>
          </ve:Fallback>
        </ve:AlternateContent>
      </w:r>
      <w:r>
        <w:rPr>
          <w:color w:val="030303"/>
          <w:sz w:val="21"/>
        </w:rPr>
        <w:t>As</w:t>
      </w:r>
      <w:r>
        <w:rPr>
          <w:color w:val="030303"/>
          <w:spacing w:val="14"/>
          <w:sz w:val="21"/>
        </w:rPr>
        <w:t> </w:t>
      </w:r>
      <w:r>
        <w:rPr>
          <w:color w:val="030303"/>
          <w:sz w:val="21"/>
        </w:rPr>
        <w:t>at</w:t>
      </w:r>
      <w:r>
        <w:rPr>
          <w:color w:val="030303"/>
          <w:spacing w:val="19"/>
          <w:sz w:val="21"/>
        </w:rPr>
        <w:t> </w:t>
      </w:r>
      <w:r>
        <w:rPr>
          <w:color w:val="030303"/>
          <w:sz w:val="21"/>
        </w:rPr>
        <w:t>31</w:t>
      </w:r>
      <w:r>
        <w:rPr>
          <w:color w:val="030303"/>
          <w:spacing w:val="-4"/>
          <w:sz w:val="21"/>
        </w:rPr>
        <w:t> </w:t>
      </w:r>
      <w:r>
        <w:rPr>
          <w:color w:val="030303"/>
          <w:sz w:val="21"/>
        </w:rPr>
        <w:t>March</w:t>
      </w:r>
      <w:r>
        <w:rPr>
          <w:color w:val="030303"/>
          <w:spacing w:val="23"/>
          <w:sz w:val="21"/>
        </w:rPr>
        <w:t> </w:t>
      </w:r>
      <w:r>
        <w:rPr>
          <w:color w:val="030303"/>
          <w:spacing w:val="-4"/>
          <w:sz w:val="21"/>
        </w:rPr>
        <w:t>2022</w:t>
      </w:r>
      <w:r>
        <w:rPr>
          <w:color w:val="030303"/>
          <w:sz w:val="21"/>
        </w:rPr>
        <w:tab/>
      </w:r>
      <w:r>
        <w:rPr>
          <w:color w:val="030303"/>
          <w:spacing w:val="-2"/>
          <w:sz w:val="21"/>
        </w:rPr>
        <w:t>141,984</w:t>
      </w:r>
      <w:r>
        <w:rPr>
          <w:color w:val="030303"/>
          <w:sz w:val="21"/>
        </w:rPr>
        <w:tab/>
      </w:r>
      <w:r>
        <w:rPr>
          <w:color w:val="030303"/>
          <w:spacing w:val="-2"/>
          <w:sz w:val="21"/>
        </w:rPr>
        <w:t>2,757</w:t>
      </w:r>
      <w:r>
        <w:rPr>
          <w:color w:val="030303"/>
          <w:sz w:val="21"/>
        </w:rPr>
        <w:tab/>
      </w:r>
      <w:r>
        <w:rPr>
          <w:color w:val="030303"/>
          <w:spacing w:val="-5"/>
          <w:sz w:val="21"/>
        </w:rPr>
        <w:t>337</w:t>
      </w:r>
      <w:r>
        <w:rPr>
          <w:color w:val="030303"/>
          <w:sz w:val="21"/>
        </w:rPr>
        <w:tab/>
      </w:r>
      <w:r>
        <w:rPr>
          <w:color w:val="030303"/>
          <w:spacing w:val="-2"/>
          <w:sz w:val="21"/>
        </w:rPr>
        <w:t>1,868</w:t>
      </w:r>
      <w:r>
        <w:rPr>
          <w:color w:val="030303"/>
          <w:sz w:val="21"/>
        </w:rPr>
        <w:tab/>
      </w:r>
      <w:r>
        <w:rPr>
          <w:color w:val="030303"/>
          <w:spacing w:val="-2"/>
          <w:sz w:val="21"/>
        </w:rPr>
        <w:t>15,235</w:t>
      </w:r>
      <w:r>
        <w:rPr>
          <w:color w:val="030303"/>
          <w:sz w:val="21"/>
        </w:rPr>
        <w:tab/>
      </w:r>
      <w:r>
        <w:rPr>
          <w:color w:val="262626"/>
          <w:spacing w:val="-10"/>
          <w:w w:val="95"/>
          <w:position w:val="-4"/>
          <w:sz w:val="38"/>
        </w:rPr>
        <w:t>-</w:t>
      </w:r>
      <w:r>
        <w:rPr>
          <w:color w:val="262626"/>
          <w:position w:val="-4"/>
          <w:sz w:val="38"/>
        </w:rPr>
        <w:tab/>
      </w:r>
      <w:r>
        <w:rPr>
          <w:color w:val="030303"/>
          <w:spacing w:val="-2"/>
          <w:sz w:val="21"/>
        </w:rPr>
        <w:t>162,181</w:t>
      </w:r>
    </w:p>
    <w:p>
      <w:pPr>
        <w:pStyle w:val="BodyText"/>
        <w:spacing w:before="5"/>
        <w:rPr>
          <w:sz w:val="17"/>
        </w:rPr>
      </w:pPr>
      <w:r>
        <w:rPr/>
        <ve:AlternateContent>
          <ve:Choice Requires="wps">
            <w:drawing>
              <wp:anchor distT="0" distB="0" distL="0" distR="0" simplePos="0" relativeHeight="487652864" behindDoc="1" locked="0" layoutInCell="1" allowOverlap="1">
                <wp:simplePos x="0" y="0"/>
                <wp:positionH relativeFrom="page">
                  <wp:posOffset>3390100</wp:posOffset>
                </wp:positionH>
                <wp:positionV relativeFrom="paragraph">
                  <wp:posOffset>142546</wp:posOffset>
                </wp:positionV>
                <wp:extent cx="6047740" cy="1270"/>
                <wp:effectExtent l="0" t="0" r="0" b="0"/>
                <wp:wrapTopAndBottom/>
                <wp:docPr id="311" name="Graphic 311"/>
                <wp:cNvGraphicFramePr>
                  <a:graphicFrameLocks/>
                </wp:cNvGraphicFramePr>
                <a:graphic>
                  <a:graphicData uri="http://schemas.microsoft.com/office/word/2010/wordprocessingShape">
                    <wps:wsp>
                      <wps:cNvPr id="311" name="Graphic 311"/>
                      <wps:cNvSpPr/>
                      <wps:spPr>
                        <a:xfrm>
                          <a:off x="0" y="0"/>
                          <a:ext cx="6047740" cy="1270"/>
                        </a:xfrm>
                        <a:custGeom>
                          <a:avLst/>
                          <a:gdLst/>
                          <a:ahLst/>
                          <a:cxnLst/>
                          <a:rect l="l" t="t" r="r" b="b"/>
                          <a:pathLst>
                            <a:path w="6047740" h="0">
                              <a:moveTo>
                                <a:pt x="0" y="0"/>
                              </a:moveTo>
                              <a:lnTo>
                                <a:pt x="6047206"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202" style="position:absolute;margin-left:266.937042pt;margin-top:11.22417pt;width:476.2pt;height:.1pt;mso-position-horizontal-relative:page;mso-position-vertical-relative:paragraph;z-index:-15663616;mso-wrap-distance-left:0;mso-wrap-distance-right:0" coordsize="9524,0" coordorigin="5339,224" filled="false" stroked="true" strokecolor="#000000" strokeweight=".721232pt" path="m5339,224l14862,224e">
                <v:path arrowok="t"/>
                <v:stroke dashstyle="solid"/>
                <w10:wrap type="topAndBottom"/>
              </v:shape>
            </w:pict>
          </ve:Fallback>
        </ve:AlternateContent>
      </w:r>
    </w:p>
    <w:p>
      <w:pPr>
        <w:tabs>
          <w:tab w:val="left" w:leader="none" w:pos="5052"/>
          <w:tab w:val="left" w:leader="none" w:pos="6601"/>
          <w:tab w:val="left" w:leader="none" w:pos="8365"/>
          <w:tab w:val="left" w:leader="none" w:pos="9553"/>
          <w:tab w:val="left" w:leader="none" w:pos="11094"/>
          <w:tab w:val="left" w:leader="none" w:pos="12748"/>
          <w:tab w:val="left" w:leader="none" w:pos="13353"/>
        </w:tabs>
        <w:spacing w:before="0"/>
        <w:ind w:left="462" w:right="0" w:firstLine="0"/>
        <w:jc w:val="left"/>
        <w:rPr>
          <w:sz w:val="21"/>
        </w:rPr>
      </w:pPr>
      <w:r>
        <w:rPr>
          <w:color w:val="030303"/>
          <w:sz w:val="21"/>
        </w:rPr>
        <w:t>As</w:t>
      </w:r>
      <w:r>
        <w:rPr>
          <w:color w:val="030303"/>
          <w:spacing w:val="17"/>
          <w:sz w:val="21"/>
        </w:rPr>
        <w:t> </w:t>
      </w:r>
      <w:r>
        <w:rPr>
          <w:color w:val="030303"/>
          <w:sz w:val="21"/>
        </w:rPr>
        <w:t>at</w:t>
      </w:r>
      <w:r>
        <w:rPr>
          <w:color w:val="030303"/>
          <w:spacing w:val="17"/>
          <w:sz w:val="21"/>
        </w:rPr>
        <w:t> </w:t>
      </w:r>
      <w:r>
        <w:rPr>
          <w:color w:val="030303"/>
          <w:sz w:val="21"/>
        </w:rPr>
        <w:t>31</w:t>
      </w:r>
      <w:r>
        <w:rPr>
          <w:color w:val="030303"/>
          <w:spacing w:val="-2"/>
          <w:sz w:val="21"/>
        </w:rPr>
        <w:t> </w:t>
      </w:r>
      <w:r>
        <w:rPr>
          <w:color w:val="030303"/>
          <w:sz w:val="21"/>
        </w:rPr>
        <w:t>March</w:t>
      </w:r>
      <w:r>
        <w:rPr>
          <w:color w:val="030303"/>
          <w:spacing w:val="25"/>
          <w:sz w:val="21"/>
        </w:rPr>
        <w:t> </w:t>
      </w:r>
      <w:r>
        <w:rPr>
          <w:color w:val="030303"/>
          <w:spacing w:val="-4"/>
          <w:sz w:val="21"/>
        </w:rPr>
        <w:t>2023</w:t>
      </w:r>
      <w:r>
        <w:rPr>
          <w:color w:val="030303"/>
          <w:sz w:val="21"/>
        </w:rPr>
        <w:tab/>
      </w:r>
      <w:r>
        <w:rPr>
          <w:color w:val="030303"/>
          <w:spacing w:val="-2"/>
          <w:sz w:val="21"/>
        </w:rPr>
        <w:t>175,228</w:t>
      </w:r>
      <w:r>
        <w:rPr>
          <w:color w:val="030303"/>
          <w:sz w:val="21"/>
        </w:rPr>
        <w:tab/>
      </w:r>
      <w:r>
        <w:rPr>
          <w:color w:val="030303"/>
          <w:spacing w:val="-2"/>
          <w:sz w:val="21"/>
        </w:rPr>
        <w:t>4,292</w:t>
      </w:r>
      <w:r>
        <w:rPr>
          <w:color w:val="030303"/>
          <w:sz w:val="21"/>
        </w:rPr>
        <w:tab/>
      </w:r>
      <w:r>
        <w:rPr>
          <w:color w:val="030303"/>
          <w:spacing w:val="-5"/>
          <w:sz w:val="21"/>
        </w:rPr>
        <w:t>336</w:t>
      </w:r>
      <w:r>
        <w:rPr>
          <w:color w:val="030303"/>
          <w:sz w:val="21"/>
        </w:rPr>
        <w:tab/>
      </w:r>
      <w:r>
        <w:rPr>
          <w:color w:val="030303"/>
          <w:spacing w:val="-2"/>
          <w:sz w:val="21"/>
        </w:rPr>
        <w:t>1,863</w:t>
      </w:r>
      <w:r>
        <w:rPr>
          <w:color w:val="030303"/>
          <w:sz w:val="21"/>
        </w:rPr>
        <w:tab/>
      </w:r>
      <w:r>
        <w:rPr>
          <w:color w:val="030303"/>
          <w:spacing w:val="-2"/>
          <w:sz w:val="21"/>
        </w:rPr>
        <w:t>4,483</w:t>
      </w:r>
      <w:r>
        <w:rPr>
          <w:color w:val="030303"/>
          <w:sz w:val="21"/>
        </w:rPr>
        <w:tab/>
      </w:r>
      <w:r>
        <w:rPr>
          <w:color w:val="262626"/>
          <w:spacing w:val="-10"/>
          <w:position w:val="-4"/>
          <w:sz w:val="38"/>
        </w:rPr>
        <w:t>-</w:t>
      </w:r>
      <w:r>
        <w:rPr>
          <w:color w:val="262626"/>
          <w:position w:val="-4"/>
          <w:sz w:val="38"/>
        </w:rPr>
        <w:tab/>
      </w:r>
      <w:r>
        <w:rPr>
          <w:color w:val="030303"/>
          <w:spacing w:val="-2"/>
          <w:sz w:val="21"/>
        </w:rPr>
        <w:t>186,202</w:t>
      </w:r>
    </w:p>
    <w:p>
      <w:pPr>
        <w:spacing w:after="0"/>
        <w:jc w:val="left"/>
        <w:rPr>
          <w:sz w:val="21"/>
        </w:rPr>
        <w:sectPr>
          <w:type w:val="continuous"/>
          <w:pgSz w:w="16830" w:h="11910" w:orient="landscape"/>
          <w:pgMar w:top="1940" w:right="480" w:bottom="280" w:left="740" w:header="948" w:footer="2281"/>
        </w:sectPr>
      </w:pPr>
    </w:p>
    <w:p>
      <w:pPr>
        <w:pStyle w:val="BodyText"/>
        <w:spacing w:before="5"/>
        <w:rPr>
          <w:sz w:val="21"/>
        </w:rPr>
      </w:pPr>
    </w:p>
    <w:p>
      <w:pPr>
        <w:spacing w:before="0" w:line="249" w:lineRule="auto"/>
        <w:ind w:left="1269" w:right="1126" w:firstLine="4"/>
        <w:jc w:val="both"/>
        <w:rPr>
          <w:sz w:val="21"/>
        </w:rPr>
      </w:pPr>
      <w:r>
        <w:rPr>
          <w:color w:val="050505"/>
          <w:w w:val="105"/>
          <w:sz w:val="21"/>
        </w:rPr>
        <w:t>Assets</w:t>
      </w:r>
      <w:r>
        <w:rPr>
          <w:color w:val="050505"/>
          <w:w w:val="105"/>
          <w:sz w:val="21"/>
        </w:rPr>
        <w:t> included in note 5.16 within</w:t>
      </w:r>
      <w:r>
        <w:rPr>
          <w:color w:val="050505"/>
          <w:w w:val="105"/>
          <w:sz w:val="21"/>
        </w:rPr>
        <w:t> </w:t>
      </w:r>
      <w:r>
        <w:rPr>
          <w:color w:val="1D1D1D"/>
          <w:w w:val="105"/>
          <w:sz w:val="21"/>
        </w:rPr>
        <w:t>'Other </w:t>
      </w:r>
      <w:r>
        <w:rPr>
          <w:color w:val="050505"/>
          <w:w w:val="105"/>
          <w:sz w:val="21"/>
        </w:rPr>
        <w:t>Land and Buildings'</w:t>
      </w:r>
      <w:r>
        <w:rPr>
          <w:color w:val="050505"/>
          <w:w w:val="105"/>
          <w:sz w:val="21"/>
        </w:rPr>
        <w:t> with a carrying</w:t>
      </w:r>
      <w:r>
        <w:rPr>
          <w:color w:val="050505"/>
          <w:w w:val="105"/>
          <w:sz w:val="21"/>
        </w:rPr>
        <w:t> value</w:t>
      </w:r>
      <w:r>
        <w:rPr>
          <w:color w:val="050505"/>
          <w:w w:val="105"/>
          <w:sz w:val="21"/>
        </w:rPr>
        <w:t> of £175 million at</w:t>
      </w:r>
      <w:r>
        <w:rPr>
          <w:color w:val="050505"/>
          <w:spacing w:val="-10"/>
          <w:w w:val="105"/>
          <w:sz w:val="21"/>
        </w:rPr>
        <w:t> </w:t>
      </w:r>
      <w:r>
        <w:rPr>
          <w:color w:val="1D1D1D"/>
          <w:w w:val="105"/>
          <w:sz w:val="21"/>
        </w:rPr>
        <w:t>31</w:t>
      </w:r>
      <w:r>
        <w:rPr>
          <w:color w:val="1D1D1D"/>
          <w:spacing w:val="-11"/>
          <w:w w:val="105"/>
          <w:sz w:val="21"/>
        </w:rPr>
        <w:t> </w:t>
      </w:r>
      <w:r>
        <w:rPr>
          <w:color w:val="050505"/>
          <w:w w:val="105"/>
          <w:sz w:val="21"/>
        </w:rPr>
        <w:t>March</w:t>
      </w:r>
      <w:r>
        <w:rPr>
          <w:color w:val="050505"/>
          <w:spacing w:val="-5"/>
          <w:w w:val="105"/>
          <w:sz w:val="21"/>
        </w:rPr>
        <w:t> </w:t>
      </w:r>
      <w:r>
        <w:rPr>
          <w:color w:val="050505"/>
          <w:w w:val="105"/>
          <w:sz w:val="21"/>
        </w:rPr>
        <w:t>2023</w:t>
      </w:r>
      <w:r>
        <w:rPr>
          <w:color w:val="050505"/>
          <w:spacing w:val="-11"/>
          <w:w w:val="105"/>
          <w:sz w:val="21"/>
        </w:rPr>
        <w:t> </w:t>
      </w:r>
      <w:r>
        <w:rPr>
          <w:color w:val="050505"/>
          <w:w w:val="105"/>
          <w:sz w:val="21"/>
        </w:rPr>
        <w:t>were</w:t>
      </w:r>
      <w:r>
        <w:rPr>
          <w:color w:val="050505"/>
          <w:spacing w:val="-8"/>
          <w:w w:val="105"/>
          <w:sz w:val="21"/>
        </w:rPr>
        <w:t> </w:t>
      </w:r>
      <w:r>
        <w:rPr>
          <w:color w:val="050505"/>
          <w:w w:val="105"/>
          <w:sz w:val="21"/>
        </w:rPr>
        <w:t>revalued</w:t>
      </w:r>
      <w:r>
        <w:rPr>
          <w:color w:val="050505"/>
          <w:spacing w:val="-5"/>
          <w:w w:val="105"/>
          <w:sz w:val="21"/>
        </w:rPr>
        <w:t> </w:t>
      </w:r>
      <w:r>
        <w:rPr>
          <w:color w:val="050505"/>
          <w:w w:val="105"/>
          <w:sz w:val="21"/>
        </w:rPr>
        <w:t>in</w:t>
      </w:r>
      <w:r>
        <w:rPr>
          <w:color w:val="050505"/>
          <w:spacing w:val="-7"/>
          <w:w w:val="105"/>
          <w:sz w:val="21"/>
        </w:rPr>
        <w:t> </w:t>
      </w:r>
      <w:r>
        <w:rPr>
          <w:color w:val="050505"/>
          <w:w w:val="105"/>
          <w:sz w:val="21"/>
        </w:rPr>
        <w:t>full</w:t>
      </w:r>
      <w:r>
        <w:rPr>
          <w:color w:val="050505"/>
          <w:spacing w:val="-7"/>
          <w:w w:val="105"/>
          <w:sz w:val="21"/>
        </w:rPr>
        <w:t> </w:t>
      </w:r>
      <w:r>
        <w:rPr>
          <w:color w:val="050505"/>
          <w:w w:val="105"/>
          <w:sz w:val="21"/>
        </w:rPr>
        <w:t>at</w:t>
      </w:r>
      <w:r>
        <w:rPr>
          <w:color w:val="050505"/>
          <w:spacing w:val="-13"/>
          <w:w w:val="105"/>
          <w:sz w:val="21"/>
        </w:rPr>
        <w:t> </w:t>
      </w:r>
      <w:r>
        <w:rPr>
          <w:color w:val="1D1D1D"/>
          <w:w w:val="105"/>
          <w:sz w:val="21"/>
        </w:rPr>
        <w:t>the</w:t>
      </w:r>
      <w:r>
        <w:rPr>
          <w:color w:val="1D1D1D"/>
          <w:spacing w:val="-8"/>
          <w:w w:val="105"/>
          <w:sz w:val="21"/>
        </w:rPr>
        <w:t> </w:t>
      </w:r>
      <w:r>
        <w:rPr>
          <w:color w:val="050505"/>
          <w:w w:val="105"/>
          <w:sz w:val="21"/>
        </w:rPr>
        <w:t>dates shown</w:t>
      </w:r>
      <w:r>
        <w:rPr>
          <w:color w:val="050505"/>
          <w:spacing w:val="-7"/>
          <w:w w:val="105"/>
          <w:sz w:val="21"/>
        </w:rPr>
        <w:t> </w:t>
      </w:r>
      <w:r>
        <w:rPr>
          <w:color w:val="1D1D1D"/>
          <w:w w:val="105"/>
          <w:sz w:val="21"/>
        </w:rPr>
        <w:t>in</w:t>
      </w:r>
      <w:r>
        <w:rPr>
          <w:color w:val="1D1D1D"/>
          <w:spacing w:val="-3"/>
          <w:w w:val="105"/>
          <w:sz w:val="21"/>
        </w:rPr>
        <w:t> </w:t>
      </w:r>
      <w:r>
        <w:rPr>
          <w:color w:val="1D1D1D"/>
          <w:w w:val="105"/>
          <w:sz w:val="21"/>
        </w:rPr>
        <w:t>the</w:t>
      </w:r>
      <w:r>
        <w:rPr>
          <w:color w:val="1D1D1D"/>
          <w:spacing w:val="-8"/>
          <w:w w:val="105"/>
          <w:sz w:val="21"/>
        </w:rPr>
        <w:t> </w:t>
      </w:r>
      <w:r>
        <w:rPr>
          <w:color w:val="050505"/>
          <w:w w:val="105"/>
          <w:sz w:val="21"/>
        </w:rPr>
        <w:t>table</w:t>
      </w:r>
      <w:r>
        <w:rPr>
          <w:color w:val="050505"/>
          <w:spacing w:val="-6"/>
          <w:w w:val="105"/>
          <w:sz w:val="21"/>
        </w:rPr>
        <w:t> </w:t>
      </w:r>
      <w:r>
        <w:rPr>
          <w:color w:val="050505"/>
          <w:w w:val="105"/>
          <w:sz w:val="21"/>
        </w:rPr>
        <w:t>below. Valuations as</w:t>
      </w:r>
      <w:r>
        <w:rPr>
          <w:color w:val="050505"/>
          <w:spacing w:val="-2"/>
          <w:w w:val="105"/>
          <w:sz w:val="21"/>
        </w:rPr>
        <w:t> </w:t>
      </w:r>
      <w:r>
        <w:rPr>
          <w:color w:val="050505"/>
          <w:w w:val="105"/>
          <w:sz w:val="21"/>
        </w:rPr>
        <w:t>at</w:t>
      </w:r>
      <w:r>
        <w:rPr>
          <w:color w:val="050505"/>
          <w:spacing w:val="-2"/>
          <w:w w:val="105"/>
          <w:sz w:val="21"/>
        </w:rPr>
        <w:t> </w:t>
      </w:r>
      <w:r>
        <w:rPr>
          <w:color w:val="050505"/>
          <w:w w:val="105"/>
          <w:sz w:val="21"/>
        </w:rPr>
        <w:t>31</w:t>
      </w:r>
      <w:r>
        <w:rPr>
          <w:color w:val="050505"/>
          <w:spacing w:val="-13"/>
          <w:w w:val="105"/>
          <w:sz w:val="21"/>
        </w:rPr>
        <w:t> </w:t>
      </w:r>
      <w:r>
        <w:rPr>
          <w:color w:val="050505"/>
          <w:w w:val="105"/>
          <w:sz w:val="21"/>
        </w:rPr>
        <w:t>March 2023</w:t>
      </w:r>
      <w:r>
        <w:rPr>
          <w:color w:val="050505"/>
          <w:spacing w:val="-4"/>
          <w:w w:val="105"/>
          <w:sz w:val="21"/>
        </w:rPr>
        <w:t> </w:t>
      </w:r>
      <w:r>
        <w:rPr>
          <w:color w:val="050505"/>
          <w:w w:val="105"/>
          <w:sz w:val="21"/>
        </w:rPr>
        <w:t>in</w:t>
      </w:r>
      <w:r>
        <w:rPr>
          <w:color w:val="050505"/>
          <w:spacing w:val="-7"/>
          <w:w w:val="105"/>
          <w:sz w:val="21"/>
        </w:rPr>
        <w:t> </w:t>
      </w:r>
      <w:r>
        <w:rPr>
          <w:color w:val="050505"/>
          <w:w w:val="105"/>
          <w:sz w:val="21"/>
        </w:rPr>
        <w:t>accordance with</w:t>
      </w:r>
      <w:r>
        <w:rPr>
          <w:color w:val="050505"/>
          <w:spacing w:val="-2"/>
          <w:w w:val="105"/>
          <w:sz w:val="21"/>
        </w:rPr>
        <w:t> </w:t>
      </w:r>
      <w:r>
        <w:rPr>
          <w:color w:val="050505"/>
          <w:w w:val="105"/>
          <w:sz w:val="21"/>
        </w:rPr>
        <w:t>the</w:t>
      </w:r>
      <w:r>
        <w:rPr>
          <w:color w:val="050505"/>
          <w:spacing w:val="-2"/>
          <w:w w:val="105"/>
          <w:sz w:val="21"/>
        </w:rPr>
        <w:t> </w:t>
      </w:r>
      <w:r>
        <w:rPr>
          <w:color w:val="050505"/>
          <w:w w:val="105"/>
          <w:sz w:val="21"/>
        </w:rPr>
        <w:t>methodologies</w:t>
      </w:r>
      <w:r>
        <w:rPr>
          <w:color w:val="050505"/>
          <w:w w:val="105"/>
          <w:sz w:val="21"/>
        </w:rPr>
        <w:t> and</w:t>
      </w:r>
      <w:r>
        <w:rPr>
          <w:color w:val="050505"/>
          <w:spacing w:val="-8"/>
          <w:w w:val="105"/>
          <w:sz w:val="21"/>
        </w:rPr>
        <w:t> </w:t>
      </w:r>
      <w:r>
        <w:rPr>
          <w:color w:val="050505"/>
          <w:w w:val="105"/>
          <w:sz w:val="21"/>
        </w:rPr>
        <w:t>bases for</w:t>
      </w:r>
      <w:r>
        <w:rPr>
          <w:color w:val="050505"/>
          <w:spacing w:val="-7"/>
          <w:w w:val="105"/>
          <w:sz w:val="21"/>
        </w:rPr>
        <w:t> </w:t>
      </w:r>
      <w:r>
        <w:rPr>
          <w:color w:val="050505"/>
          <w:w w:val="105"/>
          <w:sz w:val="21"/>
        </w:rPr>
        <w:t>estimation set out</w:t>
      </w:r>
      <w:r>
        <w:rPr>
          <w:color w:val="050505"/>
          <w:spacing w:val="-5"/>
          <w:w w:val="105"/>
          <w:sz w:val="21"/>
        </w:rPr>
        <w:t> </w:t>
      </w:r>
      <w:r>
        <w:rPr>
          <w:color w:val="050505"/>
          <w:w w:val="105"/>
          <w:sz w:val="21"/>
        </w:rPr>
        <w:t>in the</w:t>
      </w:r>
      <w:r>
        <w:rPr>
          <w:color w:val="050505"/>
          <w:w w:val="105"/>
          <w:sz w:val="21"/>
        </w:rPr>
        <w:t> professional</w:t>
      </w:r>
      <w:r>
        <w:rPr>
          <w:color w:val="050505"/>
          <w:w w:val="105"/>
          <w:sz w:val="21"/>
        </w:rPr>
        <w:t> standards</w:t>
      </w:r>
      <w:r>
        <w:rPr>
          <w:color w:val="050505"/>
          <w:w w:val="105"/>
          <w:sz w:val="21"/>
        </w:rPr>
        <w:t> of</w:t>
      </w:r>
      <w:r>
        <w:rPr>
          <w:color w:val="050505"/>
          <w:w w:val="105"/>
          <w:sz w:val="21"/>
        </w:rPr>
        <w:t> the</w:t>
      </w:r>
      <w:r>
        <w:rPr>
          <w:color w:val="050505"/>
          <w:w w:val="105"/>
          <w:sz w:val="21"/>
        </w:rPr>
        <w:t> Royal</w:t>
      </w:r>
      <w:r>
        <w:rPr>
          <w:color w:val="050505"/>
          <w:w w:val="105"/>
          <w:sz w:val="21"/>
        </w:rPr>
        <w:t> Institute</w:t>
      </w:r>
      <w:r>
        <w:rPr>
          <w:color w:val="050505"/>
          <w:w w:val="105"/>
          <w:sz w:val="21"/>
        </w:rPr>
        <w:t> of</w:t>
      </w:r>
      <w:r>
        <w:rPr>
          <w:color w:val="050505"/>
          <w:w w:val="105"/>
          <w:sz w:val="21"/>
        </w:rPr>
        <w:t> Chartered</w:t>
      </w:r>
      <w:r>
        <w:rPr>
          <w:color w:val="050505"/>
          <w:w w:val="105"/>
          <w:sz w:val="21"/>
        </w:rPr>
        <w:t> Surveyors</w:t>
      </w:r>
      <w:r>
        <w:rPr>
          <w:color w:val="050505"/>
          <w:w w:val="105"/>
          <w:sz w:val="21"/>
        </w:rPr>
        <w:t> (RIGS)</w:t>
      </w:r>
      <w:r>
        <w:rPr>
          <w:color w:val="050505"/>
          <w:w w:val="105"/>
          <w:sz w:val="21"/>
        </w:rPr>
        <w:t> have</w:t>
      </w:r>
      <w:r>
        <w:rPr>
          <w:color w:val="050505"/>
          <w:w w:val="105"/>
          <w:sz w:val="21"/>
        </w:rPr>
        <w:t> been </w:t>
      </w:r>
      <w:r>
        <w:rPr>
          <w:color w:val="1D1D1D"/>
          <w:w w:val="105"/>
          <w:sz w:val="21"/>
        </w:rPr>
        <w:t>carried</w:t>
      </w:r>
      <w:r>
        <w:rPr>
          <w:color w:val="1D1D1D"/>
          <w:spacing w:val="-3"/>
          <w:w w:val="105"/>
          <w:sz w:val="21"/>
        </w:rPr>
        <w:t> </w:t>
      </w:r>
      <w:r>
        <w:rPr>
          <w:color w:val="1D1D1D"/>
          <w:w w:val="105"/>
          <w:sz w:val="21"/>
        </w:rPr>
        <w:t>out on</w:t>
      </w:r>
      <w:r>
        <w:rPr>
          <w:color w:val="1D1D1D"/>
          <w:spacing w:val="-12"/>
          <w:w w:val="105"/>
          <w:sz w:val="21"/>
        </w:rPr>
        <w:t> </w:t>
      </w:r>
      <w:r>
        <w:rPr>
          <w:color w:val="1D1D1D"/>
          <w:w w:val="105"/>
          <w:sz w:val="21"/>
        </w:rPr>
        <w:t>behalf of</w:t>
      </w:r>
      <w:r>
        <w:rPr>
          <w:color w:val="1D1D1D"/>
          <w:spacing w:val="-12"/>
          <w:w w:val="105"/>
          <w:sz w:val="21"/>
        </w:rPr>
        <w:t> </w:t>
      </w:r>
      <w:r>
        <w:rPr>
          <w:color w:val="1D1D1D"/>
          <w:w w:val="105"/>
          <w:sz w:val="21"/>
        </w:rPr>
        <w:t>the Council</w:t>
      </w:r>
      <w:r>
        <w:rPr>
          <w:color w:val="1D1D1D"/>
          <w:spacing w:val="-4"/>
          <w:w w:val="105"/>
          <w:sz w:val="21"/>
        </w:rPr>
        <w:t> </w:t>
      </w:r>
      <w:r>
        <w:rPr>
          <w:color w:val="1D1D1D"/>
          <w:w w:val="105"/>
          <w:sz w:val="21"/>
        </w:rPr>
        <w:t>by </w:t>
      </w:r>
      <w:r>
        <w:rPr>
          <w:color w:val="050505"/>
          <w:w w:val="105"/>
          <w:sz w:val="21"/>
        </w:rPr>
        <w:t>Messrs Wilks </w:t>
      </w:r>
      <w:r>
        <w:rPr>
          <w:color w:val="1D1D1D"/>
          <w:w w:val="105"/>
          <w:sz w:val="21"/>
        </w:rPr>
        <w:t>Head</w:t>
      </w:r>
      <w:r>
        <w:rPr>
          <w:color w:val="1D1D1D"/>
          <w:spacing w:val="-4"/>
          <w:w w:val="105"/>
          <w:sz w:val="21"/>
        </w:rPr>
        <w:t> </w:t>
      </w:r>
      <w:r>
        <w:rPr>
          <w:color w:val="050505"/>
          <w:w w:val="105"/>
          <w:sz w:val="21"/>
        </w:rPr>
        <w:t>and</w:t>
      </w:r>
      <w:r>
        <w:rPr>
          <w:color w:val="050505"/>
          <w:spacing w:val="-6"/>
          <w:w w:val="105"/>
          <w:sz w:val="21"/>
        </w:rPr>
        <w:t> </w:t>
      </w:r>
      <w:r>
        <w:rPr>
          <w:color w:val="050505"/>
          <w:w w:val="105"/>
          <w:sz w:val="21"/>
        </w:rPr>
        <w:t>Eve </w:t>
      </w:r>
      <w:r>
        <w:rPr>
          <w:color w:val="1D1D1D"/>
          <w:w w:val="105"/>
          <w:sz w:val="21"/>
        </w:rPr>
        <w:t>LLP</w:t>
      </w:r>
      <w:r>
        <w:rPr>
          <w:color w:val="4D4D4D"/>
          <w:w w:val="105"/>
          <w:sz w:val="21"/>
        </w:rPr>
        <w:t>,</w:t>
      </w:r>
      <w:r>
        <w:rPr>
          <w:color w:val="4D4D4D"/>
          <w:spacing w:val="-16"/>
          <w:w w:val="105"/>
          <w:sz w:val="21"/>
        </w:rPr>
        <w:t> </w:t>
      </w:r>
      <w:r>
        <w:rPr>
          <w:color w:val="1D1D1D"/>
          <w:w w:val="105"/>
          <w:sz w:val="21"/>
        </w:rPr>
        <w:t>Chartered Surveyors</w:t>
      </w:r>
      <w:r>
        <w:rPr>
          <w:color w:val="4D4D4D"/>
          <w:w w:val="105"/>
          <w:sz w:val="21"/>
        </w:rPr>
        <w:t>. </w:t>
      </w:r>
      <w:r>
        <w:rPr>
          <w:color w:val="1D1D1D"/>
          <w:w w:val="105"/>
          <w:sz w:val="21"/>
        </w:rPr>
        <w:t>Vehicles</w:t>
      </w:r>
      <w:r>
        <w:rPr>
          <w:color w:val="4D4D4D"/>
          <w:w w:val="105"/>
          <w:sz w:val="21"/>
        </w:rPr>
        <w:t>,</w:t>
      </w:r>
      <w:r>
        <w:rPr>
          <w:color w:val="4D4D4D"/>
          <w:spacing w:val="-16"/>
          <w:w w:val="105"/>
          <w:sz w:val="21"/>
        </w:rPr>
        <w:t> </w:t>
      </w:r>
      <w:r>
        <w:rPr>
          <w:color w:val="1D1D1D"/>
          <w:w w:val="105"/>
          <w:sz w:val="21"/>
        </w:rPr>
        <w:t>plant,</w:t>
      </w:r>
      <w:r>
        <w:rPr>
          <w:color w:val="1D1D1D"/>
          <w:spacing w:val="-15"/>
          <w:w w:val="105"/>
          <w:sz w:val="21"/>
        </w:rPr>
        <w:t> </w:t>
      </w:r>
      <w:r>
        <w:rPr>
          <w:color w:val="1D1D1D"/>
          <w:w w:val="105"/>
          <w:sz w:val="21"/>
        </w:rPr>
        <w:t>and</w:t>
      </w:r>
      <w:r>
        <w:rPr>
          <w:color w:val="1D1D1D"/>
          <w:spacing w:val="-9"/>
          <w:w w:val="105"/>
          <w:sz w:val="21"/>
        </w:rPr>
        <w:t> </w:t>
      </w:r>
      <w:r>
        <w:rPr>
          <w:color w:val="1D1D1D"/>
          <w:w w:val="105"/>
          <w:sz w:val="21"/>
        </w:rPr>
        <w:t>equipment have</w:t>
      </w:r>
      <w:r>
        <w:rPr>
          <w:color w:val="1D1D1D"/>
          <w:spacing w:val="-9"/>
          <w:w w:val="105"/>
          <w:sz w:val="21"/>
        </w:rPr>
        <w:t> </w:t>
      </w:r>
      <w:r>
        <w:rPr>
          <w:color w:val="050505"/>
          <w:w w:val="105"/>
          <w:sz w:val="21"/>
        </w:rPr>
        <w:t>not</w:t>
      </w:r>
      <w:r>
        <w:rPr>
          <w:color w:val="050505"/>
          <w:spacing w:val="-7"/>
          <w:w w:val="105"/>
          <w:sz w:val="21"/>
        </w:rPr>
        <w:t> </w:t>
      </w:r>
      <w:r>
        <w:rPr>
          <w:color w:val="050505"/>
          <w:w w:val="105"/>
          <w:sz w:val="21"/>
        </w:rPr>
        <w:t>been</w:t>
      </w:r>
      <w:r>
        <w:rPr>
          <w:color w:val="050505"/>
          <w:spacing w:val="-10"/>
          <w:w w:val="105"/>
          <w:sz w:val="21"/>
        </w:rPr>
        <w:t> </w:t>
      </w:r>
      <w:r>
        <w:rPr>
          <w:color w:val="050505"/>
          <w:w w:val="105"/>
          <w:sz w:val="21"/>
        </w:rPr>
        <w:t>valued</w:t>
      </w:r>
      <w:r>
        <w:rPr>
          <w:color w:val="050505"/>
          <w:spacing w:val="-2"/>
          <w:w w:val="105"/>
          <w:sz w:val="21"/>
        </w:rPr>
        <w:t> </w:t>
      </w:r>
      <w:r>
        <w:rPr>
          <w:color w:val="1D1D1D"/>
          <w:w w:val="105"/>
          <w:sz w:val="21"/>
        </w:rPr>
        <w:t>because </w:t>
      </w:r>
      <w:r>
        <w:rPr>
          <w:color w:val="050505"/>
          <w:w w:val="105"/>
          <w:sz w:val="21"/>
        </w:rPr>
        <w:t>any </w:t>
      </w:r>
      <w:r>
        <w:rPr>
          <w:color w:val="1D1D1D"/>
          <w:w w:val="105"/>
          <w:sz w:val="21"/>
        </w:rPr>
        <w:t>difference from</w:t>
      </w:r>
      <w:r>
        <w:rPr>
          <w:color w:val="1D1D1D"/>
          <w:spacing w:val="-13"/>
          <w:w w:val="105"/>
          <w:sz w:val="21"/>
        </w:rPr>
        <w:t> </w:t>
      </w:r>
      <w:r>
        <w:rPr>
          <w:color w:val="1D1D1D"/>
          <w:w w:val="105"/>
          <w:sz w:val="21"/>
        </w:rPr>
        <w:t>depreciated historical cost would not </w:t>
      </w:r>
      <w:r>
        <w:rPr>
          <w:color w:val="050505"/>
          <w:w w:val="105"/>
          <w:sz w:val="21"/>
        </w:rPr>
        <w:t>be </w:t>
      </w:r>
      <w:r>
        <w:rPr>
          <w:color w:val="1D1D1D"/>
          <w:w w:val="105"/>
          <w:sz w:val="21"/>
        </w:rPr>
        <w:t>material.</w:t>
      </w:r>
    </w:p>
    <w:p>
      <w:pPr>
        <w:pStyle w:val="BodyText"/>
        <w:spacing w:before="196"/>
        <w:rPr>
          <w:sz w:val="20"/>
        </w:rPr>
      </w:pPr>
    </w:p>
    <w:p>
      <w:pPr>
        <w:spacing w:after="0"/>
        <w:rPr>
          <w:sz w:val="20"/>
        </w:rPr>
        <w:sectPr>
          <w:pgSz w:w="11910" w:h="16830"/>
          <w:pgMar w:top="880" w:right="300" w:bottom="1340" w:left="0" w:header="697" w:footer="1150"/>
        </w:sectPr>
      </w:pPr>
    </w:p>
    <w:p>
      <w:pPr>
        <w:pStyle w:val="ListParagraph"/>
        <w:numPr>
          <w:ilvl w:val="2"/>
          <w:numId w:val="16"/>
        </w:numPr>
        <w:tabs>
          <w:tab w:val="left" w:leader="none" w:pos="1983"/>
        </w:tabs>
        <w:spacing w:before="94" w:after="0" w:line="240" w:lineRule="auto"/>
        <w:ind w:left="1983" w:right="0" w:hanging="709"/>
        <w:jc w:val="left"/>
        <w:rPr>
          <w:b/>
          <w:color w:val="050505"/>
          <w:sz w:val="21"/>
        </w:rPr>
      </w:pPr>
      <w:r>
        <w:rPr>
          <w:b/>
          <w:color w:val="050505"/>
          <w:w w:val="105"/>
          <w:sz w:val="21"/>
        </w:rPr>
        <w:t>Rolling</w:t>
      </w:r>
      <w:r>
        <w:rPr>
          <w:b/>
          <w:color w:val="050505"/>
          <w:spacing w:val="-3"/>
          <w:w w:val="105"/>
          <w:sz w:val="21"/>
        </w:rPr>
        <w:t> </w:t>
      </w:r>
      <w:r>
        <w:rPr>
          <w:b/>
          <w:color w:val="050505"/>
          <w:spacing w:val="-2"/>
          <w:w w:val="105"/>
          <w:sz w:val="21"/>
        </w:rPr>
        <w:t>Revaluation</w:t>
      </w:r>
    </w:p>
    <w:p>
      <w:pPr>
        <w:spacing w:before="112" w:line="240" w:lineRule="auto"/>
        <w:rPr>
          <w:b/>
          <w:sz w:val="18"/>
        </w:rPr>
      </w:pPr>
      <w:r>
        <w:rPr/>
        <w:br w:type="column"/>
      </w:r>
      <w:r>
        <w:rPr>
          <w:b/>
          <w:sz w:val="18"/>
        </w:rPr>
      </w:r>
    </w:p>
    <w:p>
      <w:pPr>
        <w:spacing w:before="0" w:line="345" w:lineRule="exact"/>
        <w:ind w:left="0" w:right="0" w:firstLine="0"/>
        <w:jc w:val="right"/>
        <w:rPr>
          <w:b/>
          <w:sz w:val="18"/>
        </w:rPr>
      </w:pPr>
      <w:r>
        <w:rPr>
          <w:b/>
          <w:color w:val="050505"/>
          <w:spacing w:val="-4"/>
          <w:w w:val="60"/>
          <w:sz w:val="18"/>
        </w:rPr>
        <w:t>ol!S</w:t>
      </w:r>
    </w:p>
    <w:p>
      <w:pPr>
        <w:spacing w:before="135" w:line="224" w:lineRule="exact"/>
        <w:ind w:left="0" w:right="0" w:firstLine="0"/>
        <w:jc w:val="right"/>
        <w:rPr>
          <w:sz w:val="13"/>
        </w:rPr>
      </w:pPr>
      <w:r>
        <w:rPr/>
        <w:br w:type="column"/>
      </w:r>
      <w:r>
        <w:rPr>
          <w:color w:val="050505"/>
          <w:spacing w:val="-138"/>
          <w:w w:val="70"/>
          <w:position w:val="3"/>
          <w:sz w:val="80"/>
        </w:rPr>
        <w:t>-</w:t>
      </w:r>
      <w:r>
        <w:rPr>
          <w:b/>
          <w:color w:val="050505"/>
          <w:spacing w:val="-5"/>
          <w:sz w:val="13"/>
        </w:rPr>
        <w:t>C:</w:t>
      </w:r>
      <w:r>
        <w:rPr>
          <w:color w:val="050505"/>
          <w:spacing w:val="-5"/>
          <w:sz w:val="13"/>
        </w:rPr>
        <w:t>-</w:t>
      </w:r>
    </w:p>
    <w:p>
      <w:pPr>
        <w:spacing w:before="0" w:line="240" w:lineRule="auto"/>
        <w:rPr>
          <w:sz w:val="12"/>
        </w:rPr>
      </w:pPr>
      <w:r>
        <w:rPr/>
        <w:br w:type="column"/>
      </w:r>
      <w:r>
        <w:rPr>
          <w:sz w:val="12"/>
        </w:rPr>
      </w:r>
    </w:p>
    <w:p>
      <w:pPr>
        <w:pStyle w:val="BodyText"/>
        <w:spacing w:before="56"/>
        <w:rPr>
          <w:sz w:val="12"/>
        </w:rPr>
      </w:pPr>
    </w:p>
    <w:p>
      <w:pPr>
        <w:spacing w:before="0" w:line="324" w:lineRule="exact"/>
        <w:ind w:left="0" w:right="38" w:firstLine="0"/>
        <w:jc w:val="right"/>
        <w:rPr>
          <w:b/>
          <w:sz w:val="12"/>
        </w:rPr>
      </w:pPr>
      <w:r>
        <w:rPr>
          <w:b/>
          <w:color w:val="050505"/>
          <w:spacing w:val="-5"/>
          <w:w w:val="95"/>
          <w:sz w:val="12"/>
        </w:rPr>
        <w:t>Cl)</w:t>
      </w:r>
    </w:p>
    <w:p>
      <w:pPr>
        <w:spacing w:before="0" w:line="240" w:lineRule="auto"/>
        <w:rPr>
          <w:b/>
          <w:sz w:val="10"/>
        </w:rPr>
      </w:pPr>
      <w:r>
        <w:rPr/>
        <w:br w:type="column"/>
      </w:r>
      <w:r>
        <w:rPr>
          <w:b/>
          <w:sz w:val="10"/>
        </w:rPr>
      </w:r>
    </w:p>
    <w:p>
      <w:pPr>
        <w:pStyle w:val="BodyText"/>
        <w:spacing w:before="100"/>
        <w:rPr>
          <w:b/>
          <w:sz w:val="10"/>
        </w:rPr>
      </w:pPr>
    </w:p>
    <w:p>
      <w:pPr>
        <w:spacing w:before="0" w:line="334" w:lineRule="exact"/>
        <w:ind w:left="1274" w:right="0" w:firstLine="0"/>
        <w:jc w:val="left"/>
        <w:rPr>
          <w:b/>
          <w:sz w:val="13"/>
        </w:rPr>
      </w:pPr>
      <w:r>
        <w:rPr>
          <w:b/>
          <w:color w:val="050505"/>
          <w:w w:val="105"/>
          <w:sz w:val="10"/>
        </w:rPr>
        <w:t>L.</w:t>
      </w:r>
      <w:r>
        <w:rPr>
          <w:b/>
          <w:color w:val="050505"/>
          <w:spacing w:val="53"/>
          <w:w w:val="105"/>
          <w:sz w:val="10"/>
        </w:rPr>
        <w:t>  </w:t>
      </w:r>
      <w:r>
        <w:rPr>
          <w:b/>
          <w:color w:val="050505"/>
          <w:spacing w:val="-7"/>
          <w:w w:val="105"/>
          <w:sz w:val="13"/>
        </w:rPr>
        <w:t>C:</w:t>
      </w:r>
    </w:p>
    <w:p>
      <w:pPr>
        <w:spacing w:after="0" w:line="334" w:lineRule="exact"/>
        <w:jc w:val="left"/>
        <w:rPr>
          <w:sz w:val="13"/>
        </w:rPr>
        <w:sectPr>
          <w:type w:val="continuous"/>
          <w:pgSz w:w="11910" w:h="16830"/>
          <w:pgMar w:top="1940" w:right="300" w:bottom="280" w:left="0" w:header="697" w:footer="1150"/>
          <w:cols w:equalWidth="0" w:num="5">
            <w:col w:w="4040" w:space="40"/>
            <w:col w:w="1120" w:space="39"/>
            <w:col w:w="969" w:space="40"/>
            <w:col w:w="857" w:space="344"/>
            <w:col w:w="4161"/>
          </w:cols>
        </w:sectPr>
      </w:pPr>
    </w:p>
    <w:p>
      <w:pPr>
        <w:pStyle w:val="BodyText"/>
        <w:spacing w:before="61"/>
        <w:rPr>
          <w:b/>
          <w:sz w:val="11"/>
        </w:rPr>
      </w:pPr>
    </w:p>
    <w:p>
      <w:pPr>
        <w:spacing w:before="0" w:line="33" w:lineRule="exact"/>
        <w:ind w:left="0" w:right="0" w:firstLine="0"/>
        <w:jc w:val="right"/>
        <w:rPr>
          <w:b/>
          <w:sz w:val="11"/>
        </w:rPr>
      </w:pPr>
      <w:r>
        <w:rPr>
          <w:b/>
          <w:color w:val="050505"/>
          <w:spacing w:val="-5"/>
          <w:w w:val="105"/>
          <w:sz w:val="11"/>
        </w:rPr>
        <w:t>1/)</w:t>
      </w:r>
    </w:p>
    <w:p>
      <w:pPr>
        <w:tabs>
          <w:tab w:val="left" w:leader="none" w:pos="1423"/>
          <w:tab w:val="left" w:leader="none" w:pos="2278"/>
          <w:tab w:val="left" w:leader="none" w:pos="3223"/>
          <w:tab w:val="left" w:leader="none" w:pos="5089"/>
        </w:tabs>
        <w:spacing w:before="0" w:line="212" w:lineRule="exact"/>
        <w:ind w:left="524" w:right="0" w:firstLine="0"/>
        <w:jc w:val="left"/>
        <w:rPr>
          <w:sz w:val="80"/>
        </w:rPr>
      </w:pPr>
      <w:r>
        <w:rPr/>
        <w:br w:type="column"/>
      </w:r>
      <w:r>
        <w:rPr>
          <w:b/>
          <w:color w:val="050505"/>
          <w:w w:val="85"/>
          <w:sz w:val="18"/>
        </w:rPr>
        <w:t>cu</w:t>
      </w:r>
      <w:r>
        <w:rPr>
          <w:b/>
          <w:color w:val="050505"/>
          <w:spacing w:val="31"/>
          <w:sz w:val="18"/>
        </w:rPr>
        <w:t> </w:t>
      </w:r>
      <w:r>
        <w:rPr>
          <w:b/>
          <w:color w:val="050505"/>
          <w:spacing w:val="-5"/>
          <w:sz w:val="13"/>
        </w:rPr>
        <w:t>C:</w:t>
      </w:r>
      <w:r>
        <w:rPr>
          <w:b/>
          <w:color w:val="050505"/>
          <w:sz w:val="13"/>
        </w:rPr>
        <w:tab/>
      </w:r>
      <w:r>
        <w:rPr>
          <w:b/>
          <w:color w:val="050505"/>
          <w:spacing w:val="-5"/>
          <w:position w:val="5"/>
          <w:sz w:val="10"/>
        </w:rPr>
        <w:t>L.</w:t>
      </w:r>
      <w:r>
        <w:rPr>
          <w:b/>
          <w:color w:val="050505"/>
          <w:position w:val="5"/>
          <w:sz w:val="10"/>
        </w:rPr>
        <w:tab/>
      </w:r>
      <w:r>
        <w:rPr>
          <w:color w:val="050505"/>
          <w:spacing w:val="-142"/>
          <w:w w:val="75"/>
          <w:position w:val="-21"/>
          <w:sz w:val="74"/>
        </w:rPr>
        <w:t>-</w:t>
      </w:r>
      <w:r>
        <w:rPr>
          <w:color w:val="050505"/>
          <w:spacing w:val="-5"/>
          <w:position w:val="3"/>
          <w:sz w:val="14"/>
        </w:rPr>
        <w:t>&gt;,</w:t>
      </w:r>
      <w:r>
        <w:rPr>
          <w:color w:val="050505"/>
          <w:position w:val="3"/>
          <w:sz w:val="14"/>
        </w:rPr>
        <w:tab/>
      </w:r>
      <w:r>
        <w:rPr>
          <w:b/>
          <w:color w:val="050505"/>
          <w:w w:val="95"/>
          <w:sz w:val="12"/>
        </w:rPr>
        <w:t>Cl)</w:t>
      </w:r>
      <w:r>
        <w:rPr>
          <w:b/>
          <w:color w:val="050505"/>
          <w:spacing w:val="23"/>
          <w:sz w:val="12"/>
        </w:rPr>
        <w:t> </w:t>
      </w:r>
      <w:r>
        <w:rPr>
          <w:b/>
          <w:color w:val="050505"/>
          <w:spacing w:val="-10"/>
          <w:sz w:val="16"/>
        </w:rPr>
        <w:t>0</w:t>
      </w:r>
      <w:r>
        <w:rPr>
          <w:b/>
          <w:color w:val="050505"/>
          <w:sz w:val="16"/>
        </w:rPr>
        <w:tab/>
      </w:r>
      <w:r>
        <w:rPr>
          <w:color w:val="050505"/>
          <w:spacing w:val="-10"/>
          <w:w w:val="95"/>
          <w:position w:val="-12"/>
          <w:sz w:val="80"/>
        </w:rPr>
        <w:t>-</w:t>
      </w:r>
    </w:p>
    <w:p>
      <w:pPr>
        <w:spacing w:after="0" w:line="212" w:lineRule="exact"/>
        <w:jc w:val="left"/>
        <w:rPr>
          <w:sz w:val="80"/>
        </w:rPr>
        <w:sectPr>
          <w:type w:val="continuous"/>
          <w:pgSz w:w="11910" w:h="16830"/>
          <w:pgMar w:top="1940" w:right="300" w:bottom="280" w:left="0" w:header="697" w:footer="1150"/>
          <w:cols w:equalWidth="0" w:num="2">
            <w:col w:w="5462" w:space="40"/>
            <w:col w:w="6108"/>
          </w:cols>
        </w:sectPr>
      </w:pPr>
    </w:p>
    <w:p>
      <w:pPr>
        <w:tabs>
          <w:tab w:val="left" w:leader="none" w:pos="961"/>
          <w:tab w:val="left" w:leader="none" w:pos="1262"/>
          <w:tab w:val="left" w:leader="none" w:pos="1893"/>
        </w:tabs>
        <w:spacing w:before="0" w:line="217" w:lineRule="exact"/>
        <w:ind w:left="0" w:right="0" w:firstLine="0"/>
        <w:jc w:val="right"/>
        <w:rPr>
          <w:sz w:val="15"/>
        </w:rPr>
      </w:pPr>
      <w:r>
        <w:rPr/>
        <ve:AlternateContent>
          <ve:Choice Requires="wps">
            <w:drawing>
              <wp:anchor distT="0" distB="0" distL="0" distR="0" simplePos="0" relativeHeight="475910144" behindDoc="1" locked="0" layoutInCell="1" allowOverlap="1">
                <wp:simplePos x="0" y="0"/>
                <wp:positionH relativeFrom="page">
                  <wp:posOffset>5506952</wp:posOffset>
                </wp:positionH>
                <wp:positionV relativeFrom="paragraph">
                  <wp:posOffset>90718</wp:posOffset>
                </wp:positionV>
                <wp:extent cx="288290" cy="568325"/>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288290" cy="568325"/>
                        </a:xfrm>
                        <a:prstGeom prst="rect">
                          <a:avLst/>
                        </a:prstGeom>
                      </wps:spPr>
                      <wps:txbx>
                        <w:txbxContent>
                          <w:p>
                            <w:pPr>
                              <w:spacing w:before="0" w:line="895" w:lineRule="exact"/>
                              <w:ind w:left="0" w:right="0" w:firstLine="0"/>
                              <w:jc w:val="left"/>
                              <w:rPr>
                                <w:sz w:val="80"/>
                              </w:rPr>
                            </w:pPr>
                            <w:r>
                              <w:rPr>
                                <w:color w:val="050505"/>
                                <w:w w:val="85"/>
                                <w:sz w:val="80"/>
                              </w:rPr>
                              <w:t>-</w:t>
                            </w:r>
                            <w:r>
                              <w:rPr>
                                <w:color w:val="050505"/>
                                <w:spacing w:val="-10"/>
                                <w:w w:val="85"/>
                                <w:sz w:val="80"/>
                              </w:rPr>
                              <w:t>-</w:t>
                            </w:r>
                          </w:p>
                        </w:txbxContent>
                      </wps:txbx>
                      <wps:bodyPr wrap="square" lIns="0" tIns="0" rIns="0" bIns="0" rtlCol="0">
                        <a:noAutofit/>
                      </wps:bodyPr>
                    </wps:wsp>
                  </a:graphicData>
                </a:graphic>
              </wp:anchor>
            </w:drawing>
          </ve:Choice>
          <ve:Fallback>
            <w:pict>
              <v:shape id="docshape203" style="position:absolute;margin-left:433.618286pt;margin-top:7.143224pt;width:22.7pt;height:44.75pt;mso-position-horizontal-relative:page;mso-position-vertical-relative:paragraph;z-index:-27406336" filled="false" stroked="false" type="#_x0000_t202">
                <v:textbox inset="0,0,0,0">
                  <w:txbxContent>
                    <w:p>
                      <w:pPr>
                        <w:spacing w:before="0" w:line="895" w:lineRule="exact"/>
                        <w:ind w:left="0" w:right="0" w:firstLine="0"/>
                        <w:jc w:val="left"/>
                        <w:rPr>
                          <w:sz w:val="80"/>
                        </w:rPr>
                      </w:pPr>
                      <w:r>
                        <w:rPr>
                          <w:color w:val="050505"/>
                          <w:w w:val="85"/>
                          <w:sz w:val="80"/>
                        </w:rPr>
                        <w:t>-</w:t>
                      </w:r>
                      <w:r>
                        <w:rPr>
                          <w:color w:val="050505"/>
                          <w:spacing w:val="-10"/>
                          <w:w w:val="85"/>
                          <w:sz w:val="80"/>
                        </w:rPr>
                        <w:t>-</w:t>
                      </w:r>
                    </w:p>
                  </w:txbxContent>
                </v:textbox>
                <w10:wrap type="none"/>
              </v:shape>
            </w:pict>
          </ve:Fallback>
        </ve:AlternateContent>
      </w:r>
      <w:r>
        <w:rPr/>
        <ve:AlternateContent>
          <ve:Choice Requires="wps">
            <w:drawing>
              <wp:anchor distT="0" distB="0" distL="0" distR="0" simplePos="0" relativeHeight="475910656" behindDoc="1" locked="0" layoutInCell="1" allowOverlap="1">
                <wp:simplePos x="0" y="0"/>
                <wp:positionH relativeFrom="page">
                  <wp:posOffset>4362108</wp:posOffset>
                </wp:positionH>
                <wp:positionV relativeFrom="paragraph">
                  <wp:posOffset>319579</wp:posOffset>
                </wp:positionV>
                <wp:extent cx="127635" cy="568325"/>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127635" cy="568325"/>
                        </a:xfrm>
                        <a:prstGeom prst="rect">
                          <a:avLst/>
                        </a:prstGeom>
                      </wps:spPr>
                      <wps:txbx>
                        <w:txbxContent>
                          <w:p>
                            <w:pPr>
                              <w:spacing w:before="0" w:line="895" w:lineRule="exact"/>
                              <w:ind w:left="0" w:right="0" w:firstLine="0"/>
                              <w:jc w:val="left"/>
                              <w:rPr>
                                <w:sz w:val="80"/>
                              </w:rPr>
                            </w:pPr>
                            <w:r>
                              <w:rPr>
                                <w:color w:val="050505"/>
                                <w:spacing w:val="-10"/>
                                <w:w w:val="75"/>
                                <w:sz w:val="80"/>
                              </w:rPr>
                              <w:t>-</w:t>
                            </w:r>
                          </w:p>
                        </w:txbxContent>
                      </wps:txbx>
                      <wps:bodyPr wrap="square" lIns="0" tIns="0" rIns="0" bIns="0" rtlCol="0">
                        <a:noAutofit/>
                      </wps:bodyPr>
                    </wps:wsp>
                  </a:graphicData>
                </a:graphic>
              </wp:anchor>
            </w:drawing>
          </ve:Choice>
          <ve:Fallback>
            <w:pict>
              <v:shape id="docshape204" style="position:absolute;margin-left:343.473114pt;margin-top:25.163725pt;width:10.050pt;height:44.75pt;mso-position-horizontal-relative:page;mso-position-vertical-relative:paragraph;z-index:-27405824" filled="false" stroked="false" type="#_x0000_t202">
                <v:textbox inset="0,0,0,0">
                  <w:txbxContent>
                    <w:p>
                      <w:pPr>
                        <w:spacing w:before="0" w:line="895" w:lineRule="exact"/>
                        <w:ind w:left="0" w:right="0" w:firstLine="0"/>
                        <w:jc w:val="left"/>
                        <w:rPr>
                          <w:sz w:val="80"/>
                        </w:rPr>
                      </w:pPr>
                      <w:r>
                        <w:rPr>
                          <w:color w:val="050505"/>
                          <w:spacing w:val="-10"/>
                          <w:w w:val="75"/>
                          <w:sz w:val="80"/>
                        </w:rPr>
                        <w:t>-</w:t>
                      </w:r>
                    </w:p>
                  </w:txbxContent>
                </v:textbox>
                <w10:wrap type="none"/>
              </v:shape>
            </w:pict>
          </ve:Fallback>
        </ve:AlternateContent>
      </w:r>
      <w:r>
        <w:rPr/>
        <ve:AlternateContent>
          <ve:Choice Requires="wps">
            <w:drawing>
              <wp:anchor distT="0" distB="0" distL="0" distR="0" simplePos="0" relativeHeight="475912192" behindDoc="1" locked="0" layoutInCell="1" allowOverlap="1">
                <wp:simplePos x="0" y="0"/>
                <wp:positionH relativeFrom="page">
                  <wp:posOffset>3821115</wp:posOffset>
                </wp:positionH>
                <wp:positionV relativeFrom="paragraph">
                  <wp:posOffset>183792</wp:posOffset>
                </wp:positionV>
                <wp:extent cx="829310" cy="163830"/>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829310" cy="163830"/>
                        </a:xfrm>
                        <a:prstGeom prst="rect">
                          <a:avLst/>
                        </a:prstGeom>
                      </wps:spPr>
                      <wps:txbx>
                        <w:txbxContent>
                          <w:p>
                            <w:pPr>
                              <w:tabs>
                                <w:tab w:val="left" w:leader="none" w:pos="909"/>
                              </w:tabs>
                              <w:spacing w:before="0" w:line="254" w:lineRule="exact"/>
                              <w:ind w:left="0" w:right="0" w:firstLine="0"/>
                              <w:jc w:val="left"/>
                              <w:rPr>
                                <w:b/>
                                <w:sz w:val="12"/>
                              </w:rPr>
                            </w:pPr>
                            <w:r>
                              <w:rPr>
                                <w:b/>
                                <w:i/>
                                <w:color w:val="050505"/>
                                <w:w w:val="90"/>
                                <w:position w:val="-2"/>
                                <w:sz w:val="23"/>
                              </w:rPr>
                              <w:t>u;</w:t>
                            </w:r>
                            <w:r>
                              <w:rPr>
                                <w:b/>
                                <w:i/>
                                <w:color w:val="050505"/>
                                <w:spacing w:val="9"/>
                                <w:position w:val="-2"/>
                                <w:sz w:val="23"/>
                              </w:rPr>
                              <w:t> </w:t>
                            </w:r>
                            <w:r>
                              <w:rPr>
                                <w:b/>
                                <w:color w:val="050505"/>
                                <w:spacing w:val="-5"/>
                                <w:w w:val="90"/>
                                <w:position w:val="-2"/>
                                <w:sz w:val="14"/>
                              </w:rPr>
                              <w:t>Q.</w:t>
                            </w:r>
                            <w:r>
                              <w:rPr>
                                <w:b/>
                                <w:color w:val="050505"/>
                                <w:position w:val="-2"/>
                                <w:sz w:val="14"/>
                              </w:rPr>
                              <w:tab/>
                            </w:r>
                            <w:r>
                              <w:rPr>
                                <w:color w:val="050505"/>
                                <w:w w:val="90"/>
                                <w:sz w:val="12"/>
                              </w:rPr>
                              <w:t>::::,</w:t>
                            </w:r>
                            <w:r>
                              <w:rPr>
                                <w:color w:val="050505"/>
                                <w:spacing w:val="75"/>
                                <w:sz w:val="12"/>
                              </w:rPr>
                              <w:t> </w:t>
                            </w:r>
                            <w:r>
                              <w:rPr>
                                <w:b/>
                                <w:color w:val="050505"/>
                                <w:spacing w:val="-7"/>
                                <w:w w:val="90"/>
                                <w:sz w:val="12"/>
                              </w:rPr>
                              <w:t>Cl)</w:t>
                            </w:r>
                          </w:p>
                        </w:txbxContent>
                      </wps:txbx>
                      <wps:bodyPr wrap="square" lIns="0" tIns="0" rIns="0" bIns="0" rtlCol="0">
                        <a:noAutofit/>
                      </wps:bodyPr>
                    </wps:wsp>
                  </a:graphicData>
                </a:graphic>
              </wp:anchor>
            </w:drawing>
          </ve:Choice>
          <ve:Fallback>
            <w:pict>
              <v:shape id="docshape205" style="position:absolute;margin-left:300.875214pt;margin-top:14.471854pt;width:65.3pt;height:12.9pt;mso-position-horizontal-relative:page;mso-position-vertical-relative:paragraph;z-index:-27404288" filled="false" stroked="false" type="#_x0000_t202">
                <v:textbox inset="0,0,0,0">
                  <w:txbxContent>
                    <w:p>
                      <w:pPr>
                        <w:tabs>
                          <w:tab w:val="left" w:leader="none" w:pos="909"/>
                        </w:tabs>
                        <w:spacing w:before="0" w:line="254" w:lineRule="exact"/>
                        <w:ind w:left="0" w:right="0" w:firstLine="0"/>
                        <w:jc w:val="left"/>
                        <w:rPr>
                          <w:b/>
                          <w:sz w:val="12"/>
                        </w:rPr>
                      </w:pPr>
                      <w:r>
                        <w:rPr>
                          <w:b/>
                          <w:i/>
                          <w:color w:val="050505"/>
                          <w:w w:val="90"/>
                          <w:position w:val="-2"/>
                          <w:sz w:val="23"/>
                        </w:rPr>
                        <w:t>u;</w:t>
                      </w:r>
                      <w:r>
                        <w:rPr>
                          <w:b/>
                          <w:i/>
                          <w:color w:val="050505"/>
                          <w:spacing w:val="9"/>
                          <w:position w:val="-2"/>
                          <w:sz w:val="23"/>
                        </w:rPr>
                        <w:t> </w:t>
                      </w:r>
                      <w:r>
                        <w:rPr>
                          <w:b/>
                          <w:color w:val="050505"/>
                          <w:spacing w:val="-5"/>
                          <w:w w:val="90"/>
                          <w:position w:val="-2"/>
                          <w:sz w:val="14"/>
                        </w:rPr>
                        <w:t>Q.</w:t>
                      </w:r>
                      <w:r>
                        <w:rPr>
                          <w:b/>
                          <w:color w:val="050505"/>
                          <w:position w:val="-2"/>
                          <w:sz w:val="14"/>
                        </w:rPr>
                        <w:tab/>
                      </w:r>
                      <w:r>
                        <w:rPr>
                          <w:color w:val="050505"/>
                          <w:w w:val="90"/>
                          <w:sz w:val="12"/>
                        </w:rPr>
                        <w:t>::::,</w:t>
                      </w:r>
                      <w:r>
                        <w:rPr>
                          <w:color w:val="050505"/>
                          <w:spacing w:val="75"/>
                          <w:sz w:val="12"/>
                        </w:rPr>
                        <w:t> </w:t>
                      </w:r>
                      <w:r>
                        <w:rPr>
                          <w:b/>
                          <w:color w:val="050505"/>
                          <w:spacing w:val="-7"/>
                          <w:w w:val="90"/>
                          <w:sz w:val="12"/>
                        </w:rPr>
                        <w:t>Cl)</w:t>
                      </w:r>
                    </w:p>
                  </w:txbxContent>
                </v:textbox>
                <w10:wrap type="none"/>
              </v:shape>
            </w:pict>
          </ve:Fallback>
        </ve:AlternateContent>
      </w:r>
      <w:r>
        <w:rPr/>
        <ve:AlternateContent>
          <ve:Choice Requires="wps">
            <w:drawing>
              <wp:anchor distT="0" distB="0" distL="0" distR="0" simplePos="0" relativeHeight="475912704" behindDoc="1" locked="0" layoutInCell="1" allowOverlap="1">
                <wp:simplePos x="0" y="0"/>
                <wp:positionH relativeFrom="page">
                  <wp:posOffset>4966217</wp:posOffset>
                </wp:positionH>
                <wp:positionV relativeFrom="paragraph">
                  <wp:posOffset>149531</wp:posOffset>
                </wp:positionV>
                <wp:extent cx="2043430" cy="173990"/>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2043430" cy="173990"/>
                        </a:xfrm>
                        <a:prstGeom prst="rect">
                          <a:avLst/>
                        </a:prstGeom>
                      </wps:spPr>
                      <wps:txbx>
                        <w:txbxContent>
                          <w:p>
                            <w:pPr>
                              <w:tabs>
                                <w:tab w:val="left" w:leader="none" w:pos="852"/>
                                <w:tab w:val="left" w:leader="none" w:pos="1998"/>
                                <w:tab w:val="left" w:leader="none" w:pos="2816"/>
                              </w:tabs>
                              <w:spacing w:before="0" w:line="270" w:lineRule="exact"/>
                              <w:ind w:left="0" w:right="0" w:firstLine="0"/>
                              <w:jc w:val="left"/>
                              <w:rPr>
                                <w:sz w:val="12"/>
                              </w:rPr>
                            </w:pPr>
                            <w:r>
                              <w:rPr>
                                <w:b/>
                                <w:color w:val="050505"/>
                                <w:spacing w:val="-2"/>
                                <w:w w:val="85"/>
                                <w:sz w:val="21"/>
                              </w:rPr>
                              <w:t>:::::s-</w:t>
                            </w:r>
                            <w:r>
                              <w:rPr>
                                <w:b/>
                                <w:color w:val="050505"/>
                                <w:sz w:val="21"/>
                              </w:rPr>
                              <w:tab/>
                            </w:r>
                            <w:r>
                              <w:rPr>
                                <w:color w:val="050505"/>
                                <w:w w:val="75"/>
                                <w:sz w:val="21"/>
                              </w:rPr>
                              <w:t>::::,</w:t>
                            </w:r>
                            <w:r>
                              <w:rPr>
                                <w:color w:val="050505"/>
                                <w:spacing w:val="28"/>
                                <w:sz w:val="21"/>
                              </w:rPr>
                              <w:t> </w:t>
                            </w:r>
                            <w:r>
                              <w:rPr>
                                <w:color w:val="050505"/>
                                <w:spacing w:val="-10"/>
                                <w:w w:val="85"/>
                                <w:sz w:val="21"/>
                              </w:rPr>
                              <w:t>g</w:t>
                            </w:r>
                            <w:r>
                              <w:rPr>
                                <w:color w:val="050505"/>
                                <w:sz w:val="21"/>
                              </w:rPr>
                              <w:tab/>
                            </w:r>
                            <w:r>
                              <w:rPr>
                                <w:b/>
                                <w:color w:val="050505"/>
                                <w:spacing w:val="-5"/>
                                <w:w w:val="85"/>
                                <w:position w:val="-1"/>
                                <w:sz w:val="18"/>
                              </w:rPr>
                              <w:t>cu</w:t>
                            </w:r>
                            <w:r>
                              <w:rPr>
                                <w:b/>
                                <w:color w:val="050505"/>
                                <w:position w:val="-1"/>
                                <w:sz w:val="18"/>
                              </w:rPr>
                              <w:tab/>
                            </w:r>
                            <w:r>
                              <w:rPr>
                                <w:color w:val="050505"/>
                                <w:w w:val="90"/>
                                <w:position w:val="-2"/>
                                <w:sz w:val="21"/>
                              </w:rPr>
                              <w:t>E</w:t>
                            </w:r>
                            <w:r>
                              <w:rPr>
                                <w:color w:val="050505"/>
                                <w:spacing w:val="55"/>
                                <w:w w:val="150"/>
                                <w:position w:val="-2"/>
                                <w:sz w:val="21"/>
                              </w:rPr>
                              <w:t> </w:t>
                            </w:r>
                            <w:r>
                              <w:rPr>
                                <w:color w:val="050505"/>
                                <w:spacing w:val="-5"/>
                                <w:w w:val="85"/>
                                <w:position w:val="-2"/>
                                <w:sz w:val="12"/>
                              </w:rPr>
                              <w:t>Cl)</w:t>
                            </w:r>
                          </w:p>
                        </w:txbxContent>
                      </wps:txbx>
                      <wps:bodyPr wrap="square" lIns="0" tIns="0" rIns="0" bIns="0" rtlCol="0">
                        <a:noAutofit/>
                      </wps:bodyPr>
                    </wps:wsp>
                  </a:graphicData>
                </a:graphic>
              </wp:anchor>
            </w:drawing>
          </ve:Choice>
          <ve:Fallback>
            <w:pict>
              <v:shape id="docshape206" style="position:absolute;margin-left:391.04071pt;margin-top:11.77416pt;width:160.9pt;height:13.7pt;mso-position-horizontal-relative:page;mso-position-vertical-relative:paragraph;z-index:-27403776" filled="false" stroked="false" type="#_x0000_t202">
                <v:textbox inset="0,0,0,0">
                  <w:txbxContent>
                    <w:p>
                      <w:pPr>
                        <w:tabs>
                          <w:tab w:val="left" w:leader="none" w:pos="852"/>
                          <w:tab w:val="left" w:leader="none" w:pos="1998"/>
                          <w:tab w:val="left" w:leader="none" w:pos="2816"/>
                        </w:tabs>
                        <w:spacing w:before="0" w:line="270" w:lineRule="exact"/>
                        <w:ind w:left="0" w:right="0" w:firstLine="0"/>
                        <w:jc w:val="left"/>
                        <w:rPr>
                          <w:sz w:val="12"/>
                        </w:rPr>
                      </w:pPr>
                      <w:r>
                        <w:rPr>
                          <w:b/>
                          <w:color w:val="050505"/>
                          <w:spacing w:val="-2"/>
                          <w:w w:val="85"/>
                          <w:sz w:val="21"/>
                        </w:rPr>
                        <w:t>:::::s-</w:t>
                      </w:r>
                      <w:r>
                        <w:rPr>
                          <w:b/>
                          <w:color w:val="050505"/>
                          <w:sz w:val="21"/>
                        </w:rPr>
                        <w:tab/>
                      </w:r>
                      <w:r>
                        <w:rPr>
                          <w:color w:val="050505"/>
                          <w:w w:val="75"/>
                          <w:sz w:val="21"/>
                        </w:rPr>
                        <w:t>::::,</w:t>
                      </w:r>
                      <w:r>
                        <w:rPr>
                          <w:color w:val="050505"/>
                          <w:spacing w:val="28"/>
                          <w:sz w:val="21"/>
                        </w:rPr>
                        <w:t> </w:t>
                      </w:r>
                      <w:r>
                        <w:rPr>
                          <w:color w:val="050505"/>
                          <w:spacing w:val="-10"/>
                          <w:w w:val="85"/>
                          <w:sz w:val="21"/>
                        </w:rPr>
                        <w:t>g</w:t>
                      </w:r>
                      <w:r>
                        <w:rPr>
                          <w:color w:val="050505"/>
                          <w:sz w:val="21"/>
                        </w:rPr>
                        <w:tab/>
                      </w:r>
                      <w:r>
                        <w:rPr>
                          <w:b/>
                          <w:color w:val="050505"/>
                          <w:spacing w:val="-5"/>
                          <w:w w:val="85"/>
                          <w:position w:val="-1"/>
                          <w:sz w:val="18"/>
                        </w:rPr>
                        <w:t>cu</w:t>
                      </w:r>
                      <w:r>
                        <w:rPr>
                          <w:b/>
                          <w:color w:val="050505"/>
                          <w:position w:val="-1"/>
                          <w:sz w:val="18"/>
                        </w:rPr>
                        <w:tab/>
                      </w:r>
                      <w:r>
                        <w:rPr>
                          <w:color w:val="050505"/>
                          <w:w w:val="90"/>
                          <w:position w:val="-2"/>
                          <w:sz w:val="21"/>
                        </w:rPr>
                        <w:t>E</w:t>
                      </w:r>
                      <w:r>
                        <w:rPr>
                          <w:color w:val="050505"/>
                          <w:spacing w:val="55"/>
                          <w:w w:val="150"/>
                          <w:position w:val="-2"/>
                          <w:sz w:val="21"/>
                        </w:rPr>
                        <w:t> </w:t>
                      </w:r>
                      <w:r>
                        <w:rPr>
                          <w:color w:val="050505"/>
                          <w:spacing w:val="-5"/>
                          <w:w w:val="85"/>
                          <w:position w:val="-2"/>
                          <w:sz w:val="12"/>
                        </w:rPr>
                        <w:t>Cl)</w:t>
                      </w:r>
                    </w:p>
                  </w:txbxContent>
                </v:textbox>
                <w10:wrap type="none"/>
              </v:shape>
            </w:pict>
          </ve:Fallback>
        </ve:AlternateContent>
      </w:r>
      <w:r>
        <w:rPr/>
        <ve:AlternateContent>
          <ve:Choice Requires="wps">
            <w:drawing>
              <wp:anchor distT="0" distB="0" distL="0" distR="0" simplePos="0" relativeHeight="475913216" behindDoc="1" locked="0" layoutInCell="1" allowOverlap="1">
                <wp:simplePos x="0" y="0"/>
                <wp:positionH relativeFrom="page">
                  <wp:posOffset>3222035</wp:posOffset>
                </wp:positionH>
                <wp:positionV relativeFrom="paragraph">
                  <wp:posOffset>216858</wp:posOffset>
                </wp:positionV>
                <wp:extent cx="1394460" cy="316865"/>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1394460" cy="316865"/>
                        </a:xfrm>
                        <a:prstGeom prst="rect">
                          <a:avLst/>
                        </a:prstGeom>
                      </wps:spPr>
                      <wps:txbx>
                        <w:txbxContent>
                          <w:p>
                            <w:pPr>
                              <w:tabs>
                                <w:tab w:val="left" w:leader="none" w:pos="902"/>
                                <w:tab w:val="left" w:leader="none" w:pos="1748"/>
                                <w:tab w:val="left" w:leader="none" w:pos="2114"/>
                              </w:tabs>
                              <w:spacing w:before="0" w:line="498" w:lineRule="exact"/>
                              <w:ind w:left="0" w:right="0" w:firstLine="0"/>
                              <w:jc w:val="left"/>
                              <w:rPr>
                                <w:b/>
                                <w:sz w:val="11"/>
                              </w:rPr>
                            </w:pPr>
                            <w:r>
                              <w:rPr>
                                <w:b/>
                                <w:color w:val="050505"/>
                                <w:sz w:val="10"/>
                              </w:rPr>
                              <w:t>L.</w:t>
                            </w:r>
                            <w:r>
                              <w:rPr>
                                <w:b/>
                                <w:color w:val="050505"/>
                                <w:spacing w:val="34"/>
                                <w:sz w:val="10"/>
                              </w:rPr>
                              <w:t>  </w:t>
                            </w:r>
                            <w:r>
                              <w:rPr>
                                <w:i/>
                                <w:color w:val="050505"/>
                                <w:spacing w:val="-7"/>
                                <w:sz w:val="10"/>
                              </w:rPr>
                              <w:t>==</w:t>
                            </w:r>
                            <w:r>
                              <w:rPr>
                                <w:i/>
                                <w:color w:val="050505"/>
                                <w:sz w:val="10"/>
                              </w:rPr>
                              <w:tab/>
                            </w:r>
                            <w:r>
                              <w:rPr>
                                <w:rFonts w:ascii="Times New Roman"/>
                                <w:color w:val="050505"/>
                                <w:position w:val="2"/>
                                <w:sz w:val="45"/>
                              </w:rPr>
                              <w:t>-</w:t>
                            </w:r>
                            <w:r>
                              <w:rPr>
                                <w:rFonts w:ascii="Times New Roman"/>
                                <w:color w:val="050505"/>
                                <w:spacing w:val="43"/>
                                <w:position w:val="2"/>
                                <w:sz w:val="45"/>
                              </w:rPr>
                              <w:t> </w:t>
                            </w:r>
                            <w:r>
                              <w:rPr>
                                <w:color w:val="050505"/>
                                <w:spacing w:val="-2"/>
                                <w:w w:val="90"/>
                                <w:position w:val="2"/>
                                <w:sz w:val="16"/>
                              </w:rPr>
                              <w:t>::::,</w:t>
                            </w:r>
                            <w:r>
                              <w:rPr>
                                <w:color w:val="050505"/>
                                <w:position w:val="2"/>
                                <w:sz w:val="16"/>
                              </w:rPr>
                              <w:tab/>
                            </w:r>
                            <w:r>
                              <w:rPr>
                                <w:color w:val="050505"/>
                                <w:spacing w:val="-10"/>
                                <w:w w:val="90"/>
                                <w:sz w:val="11"/>
                              </w:rPr>
                              <w:t>-</w:t>
                            </w:r>
                            <w:r>
                              <w:rPr>
                                <w:color w:val="050505"/>
                                <w:sz w:val="11"/>
                              </w:rPr>
                              <w:tab/>
                            </w:r>
                            <w:r>
                              <w:rPr>
                                <w:b/>
                                <w:color w:val="050505"/>
                                <w:spacing w:val="-10"/>
                                <w:w w:val="75"/>
                                <w:sz w:val="11"/>
                              </w:rPr>
                              <w:t>1/)</w:t>
                            </w:r>
                          </w:p>
                        </w:txbxContent>
                      </wps:txbx>
                      <wps:bodyPr wrap="square" lIns="0" tIns="0" rIns="0" bIns="0" rtlCol="0">
                        <a:noAutofit/>
                      </wps:bodyPr>
                    </wps:wsp>
                  </a:graphicData>
                </a:graphic>
              </wp:anchor>
            </w:drawing>
          </ve:Choice>
          <ve:Fallback>
            <w:pict>
              <v:shape id="docshape207" style="position:absolute;margin-left:253.703598pt;margin-top:17.075453pt;width:109.8pt;height:24.95pt;mso-position-horizontal-relative:page;mso-position-vertical-relative:paragraph;z-index:-27403264" filled="false" stroked="false" type="#_x0000_t202">
                <v:textbox inset="0,0,0,0">
                  <w:txbxContent>
                    <w:p>
                      <w:pPr>
                        <w:tabs>
                          <w:tab w:val="left" w:leader="none" w:pos="902"/>
                          <w:tab w:val="left" w:leader="none" w:pos="1748"/>
                          <w:tab w:val="left" w:leader="none" w:pos="2114"/>
                        </w:tabs>
                        <w:spacing w:before="0" w:line="498" w:lineRule="exact"/>
                        <w:ind w:left="0" w:right="0" w:firstLine="0"/>
                        <w:jc w:val="left"/>
                        <w:rPr>
                          <w:b/>
                          <w:sz w:val="11"/>
                        </w:rPr>
                      </w:pPr>
                      <w:r>
                        <w:rPr>
                          <w:b/>
                          <w:color w:val="050505"/>
                          <w:sz w:val="10"/>
                        </w:rPr>
                        <w:t>L.</w:t>
                      </w:r>
                      <w:r>
                        <w:rPr>
                          <w:b/>
                          <w:color w:val="050505"/>
                          <w:spacing w:val="34"/>
                          <w:sz w:val="10"/>
                        </w:rPr>
                        <w:t>  </w:t>
                      </w:r>
                      <w:r>
                        <w:rPr>
                          <w:i/>
                          <w:color w:val="050505"/>
                          <w:spacing w:val="-7"/>
                          <w:sz w:val="10"/>
                        </w:rPr>
                        <w:t>==</w:t>
                      </w:r>
                      <w:r>
                        <w:rPr>
                          <w:i/>
                          <w:color w:val="050505"/>
                          <w:sz w:val="10"/>
                        </w:rPr>
                        <w:tab/>
                      </w:r>
                      <w:r>
                        <w:rPr>
                          <w:rFonts w:ascii="Times New Roman"/>
                          <w:color w:val="050505"/>
                          <w:position w:val="2"/>
                          <w:sz w:val="45"/>
                        </w:rPr>
                        <w:t>-</w:t>
                      </w:r>
                      <w:r>
                        <w:rPr>
                          <w:rFonts w:ascii="Times New Roman"/>
                          <w:color w:val="050505"/>
                          <w:spacing w:val="43"/>
                          <w:position w:val="2"/>
                          <w:sz w:val="45"/>
                        </w:rPr>
                        <w:t> </w:t>
                      </w:r>
                      <w:r>
                        <w:rPr>
                          <w:color w:val="050505"/>
                          <w:spacing w:val="-2"/>
                          <w:w w:val="90"/>
                          <w:position w:val="2"/>
                          <w:sz w:val="16"/>
                        </w:rPr>
                        <w:t>::::,</w:t>
                      </w:r>
                      <w:r>
                        <w:rPr>
                          <w:color w:val="050505"/>
                          <w:position w:val="2"/>
                          <w:sz w:val="16"/>
                        </w:rPr>
                        <w:tab/>
                      </w:r>
                      <w:r>
                        <w:rPr>
                          <w:color w:val="050505"/>
                          <w:spacing w:val="-10"/>
                          <w:w w:val="90"/>
                          <w:sz w:val="11"/>
                        </w:rPr>
                        <w:t>-</w:t>
                      </w:r>
                      <w:r>
                        <w:rPr>
                          <w:color w:val="050505"/>
                          <w:sz w:val="11"/>
                        </w:rPr>
                        <w:tab/>
                      </w:r>
                      <w:r>
                        <w:rPr>
                          <w:b/>
                          <w:color w:val="050505"/>
                          <w:spacing w:val="-10"/>
                          <w:w w:val="75"/>
                          <w:sz w:val="11"/>
                        </w:rPr>
                        <w:t>1/)</w:t>
                      </w:r>
                    </w:p>
                  </w:txbxContent>
                </v:textbox>
                <w10:wrap type="none"/>
              </v:shape>
            </w:pict>
          </ve:Fallback>
        </ve:AlternateContent>
      </w:r>
      <w:r>
        <w:rPr/>
        <ve:AlternateContent>
          <ve:Choice Requires="wps">
            <w:drawing>
              <wp:anchor distT="0" distB="0" distL="0" distR="0" simplePos="0" relativeHeight="475913728" behindDoc="1" locked="0" layoutInCell="1" allowOverlap="1">
                <wp:simplePos x="0" y="0"/>
                <wp:positionH relativeFrom="page">
                  <wp:posOffset>6202629</wp:posOffset>
                </wp:positionH>
                <wp:positionV relativeFrom="paragraph">
                  <wp:posOffset>355291</wp:posOffset>
                </wp:positionV>
                <wp:extent cx="755650" cy="176530"/>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755650" cy="176530"/>
                        </a:xfrm>
                        <a:prstGeom prst="rect">
                          <a:avLst/>
                        </a:prstGeom>
                      </wps:spPr>
                      <wps:txbx>
                        <w:txbxContent>
                          <w:p>
                            <w:pPr>
                              <w:tabs>
                                <w:tab w:val="left" w:leader="none" w:pos="877"/>
                              </w:tabs>
                              <w:spacing w:before="0" w:line="216" w:lineRule="auto"/>
                              <w:ind w:left="0" w:right="0" w:firstLine="0"/>
                              <w:jc w:val="left"/>
                              <w:rPr>
                                <w:b/>
                                <w:sz w:val="16"/>
                              </w:rPr>
                            </w:pPr>
                            <w:r>
                              <w:rPr>
                                <w:color w:val="050505"/>
                                <w:spacing w:val="-5"/>
                                <w:position w:val="-9"/>
                                <w:sz w:val="17"/>
                              </w:rPr>
                              <w:t>I-</w:t>
                            </w:r>
                            <w:r>
                              <w:rPr>
                                <w:color w:val="050505"/>
                                <w:position w:val="-9"/>
                                <w:sz w:val="17"/>
                              </w:rPr>
                              <w:tab/>
                            </w:r>
                            <w:r>
                              <w:rPr>
                                <w:b/>
                                <w:color w:val="050505"/>
                                <w:sz w:val="11"/>
                              </w:rPr>
                              <w:t>1/)</w:t>
                            </w:r>
                            <w:r>
                              <w:rPr>
                                <w:b/>
                                <w:color w:val="050505"/>
                                <w:spacing w:val="52"/>
                                <w:sz w:val="11"/>
                              </w:rPr>
                              <w:t> </w:t>
                            </w:r>
                            <w:r>
                              <w:rPr>
                                <w:b/>
                                <w:color w:val="050505"/>
                                <w:spacing w:val="-10"/>
                                <w:sz w:val="16"/>
                              </w:rPr>
                              <w:t>0</w:t>
                            </w:r>
                          </w:p>
                        </w:txbxContent>
                      </wps:txbx>
                      <wps:bodyPr wrap="square" lIns="0" tIns="0" rIns="0" bIns="0" rtlCol="0">
                        <a:noAutofit/>
                      </wps:bodyPr>
                    </wps:wsp>
                  </a:graphicData>
                </a:graphic>
              </wp:anchor>
            </w:drawing>
          </ve:Choice>
          <ve:Fallback>
            <w:pict>
              <v:shape id="docshape208" style="position:absolute;margin-left:488.395996pt;margin-top:27.975727pt;width:59.5pt;height:13.9pt;mso-position-horizontal-relative:page;mso-position-vertical-relative:paragraph;z-index:-27402752" filled="false" stroked="false" type="#_x0000_t202">
                <v:textbox inset="0,0,0,0">
                  <w:txbxContent>
                    <w:p>
                      <w:pPr>
                        <w:tabs>
                          <w:tab w:val="left" w:leader="none" w:pos="877"/>
                        </w:tabs>
                        <w:spacing w:before="0" w:line="216" w:lineRule="auto"/>
                        <w:ind w:left="0" w:right="0" w:firstLine="0"/>
                        <w:jc w:val="left"/>
                        <w:rPr>
                          <w:b/>
                          <w:sz w:val="16"/>
                        </w:rPr>
                      </w:pPr>
                      <w:r>
                        <w:rPr>
                          <w:color w:val="050505"/>
                          <w:spacing w:val="-5"/>
                          <w:position w:val="-9"/>
                          <w:sz w:val="17"/>
                        </w:rPr>
                        <w:t>I-</w:t>
                      </w:r>
                      <w:r>
                        <w:rPr>
                          <w:color w:val="050505"/>
                          <w:position w:val="-9"/>
                          <w:sz w:val="17"/>
                        </w:rPr>
                        <w:tab/>
                      </w:r>
                      <w:r>
                        <w:rPr>
                          <w:b/>
                          <w:color w:val="050505"/>
                          <w:sz w:val="11"/>
                        </w:rPr>
                        <w:t>1/)</w:t>
                      </w:r>
                      <w:r>
                        <w:rPr>
                          <w:b/>
                          <w:color w:val="050505"/>
                          <w:spacing w:val="52"/>
                          <w:sz w:val="11"/>
                        </w:rPr>
                        <w:t> </w:t>
                      </w:r>
                      <w:r>
                        <w:rPr>
                          <w:b/>
                          <w:color w:val="050505"/>
                          <w:spacing w:val="-10"/>
                          <w:sz w:val="16"/>
                        </w:rPr>
                        <w:t>0</w:t>
                      </w:r>
                    </w:p>
                  </w:txbxContent>
                </v:textbox>
                <w10:wrap type="none"/>
              </v:shape>
            </w:pict>
          </ve:Fallback>
        </ve:AlternateContent>
      </w:r>
      <w:r>
        <w:rPr/>
        <ve:AlternateContent>
          <ve:Choice Requires="wps">
            <w:drawing>
              <wp:anchor distT="0" distB="0" distL="0" distR="0" simplePos="0" relativeHeight="475914240" behindDoc="1" locked="0" layoutInCell="1" allowOverlap="1">
                <wp:simplePos x="0" y="0"/>
                <wp:positionH relativeFrom="page">
                  <wp:posOffset>3223046</wp:posOffset>
                </wp:positionH>
                <wp:positionV relativeFrom="paragraph">
                  <wp:posOffset>73397</wp:posOffset>
                </wp:positionV>
                <wp:extent cx="3794760" cy="190500"/>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3794760" cy="190500"/>
                        </a:xfrm>
                        <a:prstGeom prst="rect">
                          <a:avLst/>
                        </a:prstGeom>
                      </wps:spPr>
                      <wps:txbx>
                        <w:txbxContent>
                          <w:p>
                            <w:pPr>
                              <w:tabs>
                                <w:tab w:val="left" w:leader="none" w:pos="911"/>
                                <w:tab w:val="left" w:leader="none" w:pos="1742"/>
                                <w:tab w:val="left" w:leader="none" w:pos="2694"/>
                                <w:tab w:val="left" w:leader="none" w:pos="3648"/>
                                <w:tab w:val="left" w:leader="none" w:pos="5572"/>
                              </w:tabs>
                              <w:spacing w:before="0" w:line="296" w:lineRule="exact"/>
                              <w:ind w:left="0" w:right="0" w:firstLine="0"/>
                              <w:jc w:val="left"/>
                              <w:rPr>
                                <w:b/>
                                <w:sz w:val="20"/>
                              </w:rPr>
                            </w:pPr>
                            <w:r>
                              <w:rPr>
                                <w:b/>
                                <w:color w:val="050505"/>
                                <w:position w:val="4"/>
                                <w:sz w:val="13"/>
                              </w:rPr>
                              <w:t>C:</w:t>
                            </w:r>
                            <w:r>
                              <w:rPr>
                                <w:b/>
                                <w:color w:val="050505"/>
                                <w:spacing w:val="68"/>
                                <w:w w:val="150"/>
                                <w:position w:val="4"/>
                                <w:sz w:val="13"/>
                              </w:rPr>
                              <w:t> </w:t>
                            </w:r>
                            <w:r>
                              <w:rPr>
                                <w:b/>
                                <w:color w:val="050505"/>
                                <w:spacing w:val="-5"/>
                                <w:position w:val="4"/>
                                <w:sz w:val="12"/>
                              </w:rPr>
                              <w:t>0)</w:t>
                            </w:r>
                            <w:r>
                              <w:rPr>
                                <w:b/>
                                <w:color w:val="050505"/>
                                <w:position w:val="4"/>
                                <w:sz w:val="12"/>
                              </w:rPr>
                              <w:tab/>
                            </w:r>
                            <w:r>
                              <w:rPr>
                                <w:b/>
                                <w:color w:val="050505"/>
                                <w:sz w:val="21"/>
                              </w:rPr>
                              <w:t>a.</w:t>
                            </w:r>
                            <w:r>
                              <w:rPr>
                                <w:b/>
                                <w:color w:val="050505"/>
                                <w:spacing w:val="55"/>
                                <w:sz w:val="21"/>
                              </w:rPr>
                              <w:t> </w:t>
                            </w:r>
                            <w:r>
                              <w:rPr>
                                <w:b/>
                                <w:color w:val="050505"/>
                                <w:spacing w:val="-10"/>
                                <w:sz w:val="21"/>
                              </w:rPr>
                              <w:t>E</w:t>
                            </w:r>
                            <w:r>
                              <w:rPr>
                                <w:b/>
                                <w:color w:val="050505"/>
                                <w:sz w:val="21"/>
                              </w:rPr>
                              <w:tab/>
                            </w:r>
                            <w:r>
                              <w:rPr>
                                <w:color w:val="050505"/>
                                <w:sz w:val="11"/>
                              </w:rPr>
                              <w:t>-</w:t>
                            </w:r>
                            <w:r>
                              <w:rPr>
                                <w:color w:val="050505"/>
                                <w:spacing w:val="34"/>
                                <w:sz w:val="11"/>
                              </w:rPr>
                              <w:t> </w:t>
                            </w:r>
                            <w:r>
                              <w:rPr>
                                <w:b/>
                                <w:color w:val="050505"/>
                                <w:position w:val="-3"/>
                                <w:sz w:val="20"/>
                              </w:rPr>
                              <w:t>u-</w:t>
                            </w:r>
                            <w:r>
                              <w:rPr>
                                <w:b/>
                                <w:color w:val="050505"/>
                                <w:spacing w:val="23"/>
                                <w:position w:val="-3"/>
                                <w:sz w:val="20"/>
                              </w:rPr>
                              <w:t> </w:t>
                            </w:r>
                            <w:r>
                              <w:rPr>
                                <w:b/>
                                <w:color w:val="050505"/>
                                <w:spacing w:val="-5"/>
                                <w:sz w:val="11"/>
                              </w:rPr>
                              <w:t>1/)</w:t>
                            </w:r>
                            <w:r>
                              <w:rPr>
                                <w:b/>
                                <w:color w:val="050505"/>
                                <w:sz w:val="11"/>
                              </w:rPr>
                              <w:tab/>
                            </w:r>
                            <w:r>
                              <w:rPr>
                                <w:rFonts w:ascii="Times New Roman" w:hAnsi="Times New Roman"/>
                                <w:color w:val="050505"/>
                                <w:sz w:val="24"/>
                              </w:rPr>
                              <w:t>·2</w:t>
                            </w:r>
                            <w:r>
                              <w:rPr>
                                <w:rFonts w:ascii="Times New Roman" w:hAnsi="Times New Roman"/>
                                <w:color w:val="050505"/>
                                <w:spacing w:val="47"/>
                                <w:sz w:val="24"/>
                              </w:rPr>
                              <w:t> </w:t>
                            </w:r>
                            <w:r>
                              <w:rPr>
                                <w:rFonts w:ascii="Times New Roman" w:hAnsi="Times New Roman"/>
                                <w:color w:val="050505"/>
                                <w:spacing w:val="-5"/>
                                <w:sz w:val="24"/>
                              </w:rPr>
                              <w:t>"'</w:t>
                            </w:r>
                            <w:r>
                              <w:rPr>
                                <w:rFonts w:ascii="Times New Roman" w:hAnsi="Times New Roman"/>
                                <w:color w:val="050505"/>
                                <w:sz w:val="24"/>
                              </w:rPr>
                              <w:tab/>
                            </w:r>
                            <w:r>
                              <w:rPr>
                                <w:b/>
                                <w:color w:val="050505"/>
                                <w:spacing w:val="-5"/>
                                <w:position w:val="-2"/>
                                <w:sz w:val="13"/>
                              </w:rPr>
                              <w:t>C:</w:t>
                            </w:r>
                            <w:r>
                              <w:rPr>
                                <w:color w:val="050505"/>
                                <w:spacing w:val="-5"/>
                                <w:position w:val="-2"/>
                                <w:sz w:val="13"/>
                              </w:rPr>
                              <w:t>-</w:t>
                            </w:r>
                            <w:r>
                              <w:rPr>
                                <w:color w:val="050505"/>
                                <w:position w:val="-2"/>
                                <w:sz w:val="13"/>
                              </w:rPr>
                              <w:tab/>
                            </w:r>
                            <w:r>
                              <w:rPr>
                                <w:b/>
                                <w:color w:val="050505"/>
                                <w:position w:val="2"/>
                                <w:sz w:val="12"/>
                              </w:rPr>
                              <w:t>Cl)</w:t>
                            </w:r>
                            <w:r>
                              <w:rPr>
                                <w:b/>
                                <w:color w:val="050505"/>
                                <w:spacing w:val="32"/>
                                <w:position w:val="2"/>
                                <w:sz w:val="12"/>
                              </w:rPr>
                              <w:t> </w:t>
                            </w:r>
                            <w:r>
                              <w:rPr>
                                <w:b/>
                                <w:color w:val="050505"/>
                                <w:spacing w:val="-12"/>
                                <w:position w:val="2"/>
                                <w:sz w:val="20"/>
                              </w:rPr>
                              <w:t>t::</w:t>
                            </w:r>
                          </w:p>
                        </w:txbxContent>
                      </wps:txbx>
                      <wps:bodyPr wrap="square" lIns="0" tIns="0" rIns="0" bIns="0" rtlCol="0">
                        <a:noAutofit/>
                      </wps:bodyPr>
                    </wps:wsp>
                  </a:graphicData>
                </a:graphic>
              </wp:anchor>
            </w:drawing>
          </ve:Choice>
          <ve:Fallback>
            <w:pict>
              <v:shape id="docshape209" style="position:absolute;margin-left:253.783203pt;margin-top:5.779317pt;width:298.8pt;height:15pt;mso-position-horizontal-relative:page;mso-position-vertical-relative:paragraph;z-index:-27402240" filled="false" stroked="false" type="#_x0000_t202">
                <v:textbox inset="0,0,0,0">
                  <w:txbxContent>
                    <w:p>
                      <w:pPr>
                        <w:tabs>
                          <w:tab w:val="left" w:leader="none" w:pos="911"/>
                          <w:tab w:val="left" w:leader="none" w:pos="1742"/>
                          <w:tab w:val="left" w:leader="none" w:pos="2694"/>
                          <w:tab w:val="left" w:leader="none" w:pos="3648"/>
                          <w:tab w:val="left" w:leader="none" w:pos="5572"/>
                        </w:tabs>
                        <w:spacing w:before="0" w:line="296" w:lineRule="exact"/>
                        <w:ind w:left="0" w:right="0" w:firstLine="0"/>
                        <w:jc w:val="left"/>
                        <w:rPr>
                          <w:b/>
                          <w:sz w:val="20"/>
                        </w:rPr>
                      </w:pPr>
                      <w:r>
                        <w:rPr>
                          <w:b/>
                          <w:color w:val="050505"/>
                          <w:position w:val="4"/>
                          <w:sz w:val="13"/>
                        </w:rPr>
                        <w:t>C:</w:t>
                      </w:r>
                      <w:r>
                        <w:rPr>
                          <w:b/>
                          <w:color w:val="050505"/>
                          <w:spacing w:val="68"/>
                          <w:w w:val="150"/>
                          <w:position w:val="4"/>
                          <w:sz w:val="13"/>
                        </w:rPr>
                        <w:t> </w:t>
                      </w:r>
                      <w:r>
                        <w:rPr>
                          <w:b/>
                          <w:color w:val="050505"/>
                          <w:spacing w:val="-5"/>
                          <w:position w:val="4"/>
                          <w:sz w:val="12"/>
                        </w:rPr>
                        <w:t>0)</w:t>
                      </w:r>
                      <w:r>
                        <w:rPr>
                          <w:b/>
                          <w:color w:val="050505"/>
                          <w:position w:val="4"/>
                          <w:sz w:val="12"/>
                        </w:rPr>
                        <w:tab/>
                      </w:r>
                      <w:r>
                        <w:rPr>
                          <w:b/>
                          <w:color w:val="050505"/>
                          <w:sz w:val="21"/>
                        </w:rPr>
                        <w:t>a.</w:t>
                      </w:r>
                      <w:r>
                        <w:rPr>
                          <w:b/>
                          <w:color w:val="050505"/>
                          <w:spacing w:val="55"/>
                          <w:sz w:val="21"/>
                        </w:rPr>
                        <w:t> </w:t>
                      </w:r>
                      <w:r>
                        <w:rPr>
                          <w:b/>
                          <w:color w:val="050505"/>
                          <w:spacing w:val="-10"/>
                          <w:sz w:val="21"/>
                        </w:rPr>
                        <w:t>E</w:t>
                      </w:r>
                      <w:r>
                        <w:rPr>
                          <w:b/>
                          <w:color w:val="050505"/>
                          <w:sz w:val="21"/>
                        </w:rPr>
                        <w:tab/>
                      </w:r>
                      <w:r>
                        <w:rPr>
                          <w:color w:val="050505"/>
                          <w:sz w:val="11"/>
                        </w:rPr>
                        <w:t>-</w:t>
                      </w:r>
                      <w:r>
                        <w:rPr>
                          <w:color w:val="050505"/>
                          <w:spacing w:val="34"/>
                          <w:sz w:val="11"/>
                        </w:rPr>
                        <w:t> </w:t>
                      </w:r>
                      <w:r>
                        <w:rPr>
                          <w:b/>
                          <w:color w:val="050505"/>
                          <w:position w:val="-3"/>
                          <w:sz w:val="20"/>
                        </w:rPr>
                        <w:t>u-</w:t>
                      </w:r>
                      <w:r>
                        <w:rPr>
                          <w:b/>
                          <w:color w:val="050505"/>
                          <w:spacing w:val="23"/>
                          <w:position w:val="-3"/>
                          <w:sz w:val="20"/>
                        </w:rPr>
                        <w:t> </w:t>
                      </w:r>
                      <w:r>
                        <w:rPr>
                          <w:b/>
                          <w:color w:val="050505"/>
                          <w:spacing w:val="-5"/>
                          <w:sz w:val="11"/>
                        </w:rPr>
                        <w:t>1/)</w:t>
                      </w:r>
                      <w:r>
                        <w:rPr>
                          <w:b/>
                          <w:color w:val="050505"/>
                          <w:sz w:val="11"/>
                        </w:rPr>
                        <w:tab/>
                      </w:r>
                      <w:r>
                        <w:rPr>
                          <w:rFonts w:ascii="Times New Roman" w:hAnsi="Times New Roman"/>
                          <w:color w:val="050505"/>
                          <w:sz w:val="24"/>
                        </w:rPr>
                        <w:t>·2</w:t>
                      </w:r>
                      <w:r>
                        <w:rPr>
                          <w:rFonts w:ascii="Times New Roman" w:hAnsi="Times New Roman"/>
                          <w:color w:val="050505"/>
                          <w:spacing w:val="47"/>
                          <w:sz w:val="24"/>
                        </w:rPr>
                        <w:t> </w:t>
                      </w:r>
                      <w:r>
                        <w:rPr>
                          <w:rFonts w:ascii="Times New Roman" w:hAnsi="Times New Roman"/>
                          <w:color w:val="050505"/>
                          <w:spacing w:val="-5"/>
                          <w:sz w:val="24"/>
                        </w:rPr>
                        <w:t>"'</w:t>
                      </w:r>
                      <w:r>
                        <w:rPr>
                          <w:rFonts w:ascii="Times New Roman" w:hAnsi="Times New Roman"/>
                          <w:color w:val="050505"/>
                          <w:sz w:val="24"/>
                        </w:rPr>
                        <w:tab/>
                      </w:r>
                      <w:r>
                        <w:rPr>
                          <w:b/>
                          <w:color w:val="050505"/>
                          <w:spacing w:val="-5"/>
                          <w:position w:val="-2"/>
                          <w:sz w:val="13"/>
                        </w:rPr>
                        <w:t>C:</w:t>
                      </w:r>
                      <w:r>
                        <w:rPr>
                          <w:color w:val="050505"/>
                          <w:spacing w:val="-5"/>
                          <w:position w:val="-2"/>
                          <w:sz w:val="13"/>
                        </w:rPr>
                        <w:t>-</w:t>
                      </w:r>
                      <w:r>
                        <w:rPr>
                          <w:color w:val="050505"/>
                          <w:position w:val="-2"/>
                          <w:sz w:val="13"/>
                        </w:rPr>
                        <w:tab/>
                      </w:r>
                      <w:r>
                        <w:rPr>
                          <w:b/>
                          <w:color w:val="050505"/>
                          <w:position w:val="2"/>
                          <w:sz w:val="12"/>
                        </w:rPr>
                        <w:t>Cl)</w:t>
                      </w:r>
                      <w:r>
                        <w:rPr>
                          <w:b/>
                          <w:color w:val="050505"/>
                          <w:spacing w:val="32"/>
                          <w:position w:val="2"/>
                          <w:sz w:val="12"/>
                        </w:rPr>
                        <w:t> </w:t>
                      </w:r>
                      <w:r>
                        <w:rPr>
                          <w:b/>
                          <w:color w:val="050505"/>
                          <w:spacing w:val="-12"/>
                          <w:position w:val="2"/>
                          <w:sz w:val="20"/>
                        </w:rPr>
                        <w:t>t::</w:t>
                      </w:r>
                    </w:p>
                  </w:txbxContent>
                </v:textbox>
                <w10:wrap type="none"/>
              </v:shape>
            </w:pict>
          </ve:Fallback>
        </ve:AlternateContent>
      </w:r>
      <w:r>
        <w:rPr>
          <w:b/>
          <w:color w:val="050505"/>
          <w:spacing w:val="-5"/>
          <w:sz w:val="15"/>
        </w:rPr>
        <w:t>"C</w:t>
      </w:r>
      <w:r>
        <w:rPr>
          <w:b/>
          <w:color w:val="050505"/>
          <w:sz w:val="15"/>
        </w:rPr>
        <w:tab/>
      </w:r>
      <w:r>
        <w:rPr>
          <w:color w:val="050505"/>
          <w:spacing w:val="-10"/>
          <w:sz w:val="12"/>
        </w:rPr>
        <w:t>-</w:t>
      </w:r>
      <w:r>
        <w:rPr>
          <w:color w:val="050505"/>
          <w:sz w:val="12"/>
        </w:rPr>
        <w:tab/>
      </w:r>
      <w:r>
        <w:rPr>
          <w:b/>
          <w:color w:val="050505"/>
          <w:spacing w:val="-5"/>
          <w:sz w:val="12"/>
        </w:rPr>
        <w:t>Cl)</w:t>
      </w:r>
      <w:r>
        <w:rPr>
          <w:b/>
          <w:color w:val="050505"/>
          <w:sz w:val="12"/>
        </w:rPr>
        <w:tab/>
      </w:r>
      <w:r>
        <w:rPr>
          <w:color w:val="050505"/>
          <w:spacing w:val="-2"/>
          <w:position w:val="6"/>
          <w:sz w:val="15"/>
        </w:rPr>
        <w:t>::::,</w:t>
      </w:r>
    </w:p>
    <w:p>
      <w:pPr>
        <w:tabs>
          <w:tab w:val="left" w:leader="none" w:pos="2660"/>
          <w:tab w:val="left" w:leader="none" w:pos="3538"/>
        </w:tabs>
        <w:spacing w:before="0" w:line="442" w:lineRule="exact"/>
        <w:ind w:left="1574" w:right="0" w:firstLine="0"/>
        <w:jc w:val="left"/>
        <w:rPr>
          <w:sz w:val="14"/>
        </w:rPr>
      </w:pPr>
      <w:r>
        <w:rPr/>
        <w:br w:type="column"/>
      </w:r>
      <w:r>
        <w:rPr>
          <w:b/>
          <w:color w:val="050505"/>
          <w:position w:val="-5"/>
          <w:sz w:val="15"/>
        </w:rPr>
        <w:t>"C</w:t>
      </w:r>
      <w:r>
        <w:rPr>
          <w:b/>
          <w:color w:val="050505"/>
          <w:spacing w:val="32"/>
          <w:position w:val="-5"/>
          <w:sz w:val="15"/>
        </w:rPr>
        <w:t> </w:t>
      </w:r>
      <w:r>
        <w:rPr>
          <w:color w:val="050505"/>
          <w:spacing w:val="-5"/>
          <w:position w:val="-5"/>
          <w:sz w:val="15"/>
        </w:rPr>
        <w:t>·-</w:t>
      </w:r>
      <w:r>
        <w:rPr>
          <w:color w:val="050505"/>
          <w:position w:val="-5"/>
          <w:sz w:val="15"/>
        </w:rPr>
        <w:tab/>
      </w:r>
      <w:r>
        <w:rPr>
          <w:color w:val="050505"/>
          <w:spacing w:val="-10"/>
          <w:position w:val="-52"/>
          <w:sz w:val="74"/>
        </w:rPr>
        <w:t>-</w:t>
      </w:r>
      <w:r>
        <w:rPr>
          <w:color w:val="050505"/>
          <w:position w:val="-52"/>
          <w:sz w:val="74"/>
        </w:rPr>
        <w:tab/>
      </w:r>
      <w:r>
        <w:rPr>
          <w:b/>
          <w:color w:val="050505"/>
          <w:sz w:val="13"/>
        </w:rPr>
        <w:t>C:</w:t>
      </w:r>
      <w:r>
        <w:rPr>
          <w:b/>
          <w:color w:val="050505"/>
          <w:spacing w:val="69"/>
          <w:w w:val="150"/>
          <w:sz w:val="13"/>
        </w:rPr>
        <w:t> </w:t>
      </w:r>
      <w:r>
        <w:rPr>
          <w:color w:val="050505"/>
          <w:spacing w:val="-5"/>
          <w:sz w:val="14"/>
        </w:rPr>
        <w:t>&gt;,</w:t>
      </w:r>
    </w:p>
    <w:p>
      <w:pPr>
        <w:spacing w:after="0" w:line="442" w:lineRule="exact"/>
        <w:jc w:val="left"/>
        <w:rPr>
          <w:sz w:val="14"/>
        </w:rPr>
        <w:sectPr>
          <w:type w:val="continuous"/>
          <w:pgSz w:w="11910" w:h="16830"/>
          <w:pgMar w:top="1940" w:right="300" w:bottom="280" w:left="0" w:header="697" w:footer="1150"/>
          <w:cols w:equalWidth="0" w:num="2">
            <w:col w:w="7065" w:space="40"/>
            <w:col w:w="4505"/>
          </w:cols>
        </w:sectPr>
      </w:pPr>
    </w:p>
    <w:p>
      <w:pPr>
        <w:spacing w:before="6"/>
        <w:ind w:left="0" w:right="0" w:firstLine="0"/>
        <w:jc w:val="right"/>
        <w:rPr>
          <w:sz w:val="15"/>
        </w:rPr>
      </w:pPr>
      <w:r>
        <w:rPr/>
        <ve:AlternateContent>
          <ve:Choice Requires="wps">
            <w:drawing>
              <wp:anchor distT="0" distB="0" distL="0" distR="0" simplePos="0" relativeHeight="475911680" behindDoc="1" locked="0" layoutInCell="1" allowOverlap="1">
                <wp:simplePos x="0" y="0"/>
                <wp:positionH relativeFrom="page">
                  <wp:posOffset>3219071</wp:posOffset>
                </wp:positionH>
                <wp:positionV relativeFrom="paragraph">
                  <wp:posOffset>-113947</wp:posOffset>
                </wp:positionV>
                <wp:extent cx="259079" cy="128270"/>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259079" cy="128270"/>
                        </a:xfrm>
                        <a:prstGeom prst="rect">
                          <a:avLst/>
                        </a:prstGeom>
                      </wps:spPr>
                      <wps:txbx>
                        <w:txbxContent>
                          <w:p>
                            <w:pPr>
                              <w:spacing w:before="0" w:line="201" w:lineRule="exact"/>
                              <w:ind w:left="0" w:right="0" w:firstLine="0"/>
                              <w:jc w:val="left"/>
                              <w:rPr>
                                <w:b/>
                                <w:sz w:val="13"/>
                              </w:rPr>
                            </w:pPr>
                            <w:r>
                              <w:rPr>
                                <w:b/>
                                <w:color w:val="050505"/>
                                <w:w w:val="85"/>
                                <w:sz w:val="18"/>
                              </w:rPr>
                              <w:t>cu</w:t>
                            </w:r>
                            <w:r>
                              <w:rPr>
                                <w:b/>
                                <w:color w:val="050505"/>
                                <w:spacing w:val="36"/>
                                <w:sz w:val="18"/>
                              </w:rPr>
                              <w:t> </w:t>
                            </w:r>
                            <w:r>
                              <w:rPr>
                                <w:b/>
                                <w:color w:val="050505"/>
                                <w:spacing w:val="-5"/>
                                <w:w w:val="90"/>
                                <w:sz w:val="13"/>
                              </w:rPr>
                              <w:t>C:</w:t>
                            </w:r>
                          </w:p>
                        </w:txbxContent>
                      </wps:txbx>
                      <wps:bodyPr wrap="square" lIns="0" tIns="0" rIns="0" bIns="0" rtlCol="0">
                        <a:noAutofit/>
                      </wps:bodyPr>
                    </wps:wsp>
                  </a:graphicData>
                </a:graphic>
              </wp:anchor>
            </w:drawing>
          </ve:Choice>
          <ve:Fallback>
            <w:pict>
              <v:shape id="docshape210" style="position:absolute;margin-left:253.4702pt;margin-top:-8.972240pt;width:20.4pt;height:10.1pt;mso-position-horizontal-relative:page;mso-position-vertical-relative:paragraph;z-index:-27404800" filled="false" stroked="false" type="#_x0000_t202">
                <v:textbox inset="0,0,0,0">
                  <w:txbxContent>
                    <w:p>
                      <w:pPr>
                        <w:spacing w:before="0" w:line="201" w:lineRule="exact"/>
                        <w:ind w:left="0" w:right="0" w:firstLine="0"/>
                        <w:jc w:val="left"/>
                        <w:rPr>
                          <w:b/>
                          <w:sz w:val="13"/>
                        </w:rPr>
                      </w:pPr>
                      <w:r>
                        <w:rPr>
                          <w:b/>
                          <w:color w:val="050505"/>
                          <w:w w:val="85"/>
                          <w:sz w:val="18"/>
                        </w:rPr>
                        <w:t>cu</w:t>
                      </w:r>
                      <w:r>
                        <w:rPr>
                          <w:b/>
                          <w:color w:val="050505"/>
                          <w:spacing w:val="36"/>
                          <w:sz w:val="18"/>
                        </w:rPr>
                        <w:t> </w:t>
                      </w:r>
                      <w:r>
                        <w:rPr>
                          <w:b/>
                          <w:color w:val="050505"/>
                          <w:spacing w:val="-5"/>
                          <w:w w:val="90"/>
                          <w:sz w:val="13"/>
                        </w:rPr>
                        <w:t>C:</w:t>
                      </w:r>
                    </w:p>
                  </w:txbxContent>
                </v:textbox>
                <w10:wrap type="none"/>
              </v:shape>
            </w:pict>
          </ve:Fallback>
        </ve:AlternateContent>
      </w:r>
      <w:r>
        <w:rPr/>
        <ve:AlternateContent>
          <ve:Choice Requires="wps">
            <w:drawing>
              <wp:anchor distT="0" distB="0" distL="0" distR="0" simplePos="0" relativeHeight="475914752" behindDoc="1" locked="0" layoutInCell="1" allowOverlap="1">
                <wp:simplePos x="0" y="0"/>
                <wp:positionH relativeFrom="page">
                  <wp:posOffset>3220292</wp:posOffset>
                </wp:positionH>
                <wp:positionV relativeFrom="paragraph">
                  <wp:posOffset>140020</wp:posOffset>
                </wp:positionV>
                <wp:extent cx="1281430" cy="158115"/>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1281430" cy="158115"/>
                        </a:xfrm>
                        <a:prstGeom prst="rect">
                          <a:avLst/>
                        </a:prstGeom>
                      </wps:spPr>
                      <wps:txbx>
                        <w:txbxContent>
                          <w:p>
                            <w:pPr>
                              <w:tabs>
                                <w:tab w:val="left" w:leader="none" w:pos="948"/>
                                <w:tab w:val="left" w:leader="none" w:pos="1846"/>
                              </w:tabs>
                              <w:spacing w:before="0" w:line="245" w:lineRule="exact"/>
                              <w:ind w:left="0" w:right="0" w:firstLine="0"/>
                              <w:jc w:val="left"/>
                              <w:rPr>
                                <w:sz w:val="16"/>
                              </w:rPr>
                            </w:pPr>
                            <w:r>
                              <w:rPr>
                                <w:b/>
                                <w:color w:val="050505"/>
                                <w:w w:val="95"/>
                                <w:position w:val="1"/>
                                <w:sz w:val="12"/>
                              </w:rPr>
                              <w:t>Cl)</w:t>
                            </w:r>
                            <w:r>
                              <w:rPr>
                                <w:b/>
                                <w:color w:val="050505"/>
                                <w:spacing w:val="71"/>
                                <w:position w:val="1"/>
                                <w:sz w:val="12"/>
                              </w:rPr>
                              <w:t> </w:t>
                            </w:r>
                            <w:r>
                              <w:rPr>
                                <w:color w:val="050505"/>
                                <w:spacing w:val="-2"/>
                                <w:w w:val="95"/>
                                <w:position w:val="1"/>
                                <w:sz w:val="12"/>
                              </w:rPr>
                              <w:t>::::,</w:t>
                            </w:r>
                            <w:r>
                              <w:rPr>
                                <w:color w:val="050505"/>
                                <w:position w:val="1"/>
                                <w:sz w:val="12"/>
                              </w:rPr>
                              <w:tab/>
                            </w:r>
                            <w:r>
                              <w:rPr>
                                <w:b/>
                                <w:color w:val="050505"/>
                                <w:w w:val="95"/>
                                <w:sz w:val="20"/>
                              </w:rPr>
                              <w:t>u</w:t>
                            </w:r>
                            <w:r>
                              <w:rPr>
                                <w:b/>
                                <w:color w:val="050505"/>
                                <w:spacing w:val="66"/>
                                <w:w w:val="150"/>
                                <w:sz w:val="20"/>
                              </w:rPr>
                              <w:t> </w:t>
                            </w:r>
                            <w:r>
                              <w:rPr>
                                <w:b/>
                                <w:color w:val="050505"/>
                                <w:spacing w:val="-5"/>
                                <w:w w:val="95"/>
                                <w:sz w:val="20"/>
                              </w:rPr>
                              <w:t>er</w:t>
                            </w:r>
                            <w:r>
                              <w:rPr>
                                <w:b/>
                                <w:color w:val="050505"/>
                                <w:sz w:val="20"/>
                              </w:rPr>
                              <w:tab/>
                            </w:r>
                            <w:r>
                              <w:rPr>
                                <w:color w:val="050505"/>
                                <w:spacing w:val="-8"/>
                                <w:w w:val="95"/>
                                <w:position w:val="-2"/>
                                <w:sz w:val="16"/>
                              </w:rPr>
                              <w:t>:&lt;(</w:t>
                            </w:r>
                          </w:p>
                        </w:txbxContent>
                      </wps:txbx>
                      <wps:bodyPr wrap="square" lIns="0" tIns="0" rIns="0" bIns="0" rtlCol="0">
                        <a:noAutofit/>
                      </wps:bodyPr>
                    </wps:wsp>
                  </a:graphicData>
                </a:graphic>
              </wp:anchor>
            </w:drawing>
          </ve:Choice>
          <ve:Fallback>
            <w:pict>
              <v:shape id="docshape211" style="position:absolute;margin-left:253.566299pt;margin-top:11.025253pt;width:100.9pt;height:12.45pt;mso-position-horizontal-relative:page;mso-position-vertical-relative:paragraph;z-index:-27401728" filled="false" stroked="false" type="#_x0000_t202">
                <v:textbox inset="0,0,0,0">
                  <w:txbxContent>
                    <w:p>
                      <w:pPr>
                        <w:tabs>
                          <w:tab w:val="left" w:leader="none" w:pos="948"/>
                          <w:tab w:val="left" w:leader="none" w:pos="1846"/>
                        </w:tabs>
                        <w:spacing w:before="0" w:line="245" w:lineRule="exact"/>
                        <w:ind w:left="0" w:right="0" w:firstLine="0"/>
                        <w:jc w:val="left"/>
                        <w:rPr>
                          <w:sz w:val="16"/>
                        </w:rPr>
                      </w:pPr>
                      <w:r>
                        <w:rPr>
                          <w:b/>
                          <w:color w:val="050505"/>
                          <w:w w:val="95"/>
                          <w:position w:val="1"/>
                          <w:sz w:val="12"/>
                        </w:rPr>
                        <w:t>Cl)</w:t>
                      </w:r>
                      <w:r>
                        <w:rPr>
                          <w:b/>
                          <w:color w:val="050505"/>
                          <w:spacing w:val="71"/>
                          <w:position w:val="1"/>
                          <w:sz w:val="12"/>
                        </w:rPr>
                        <w:t> </w:t>
                      </w:r>
                      <w:r>
                        <w:rPr>
                          <w:color w:val="050505"/>
                          <w:spacing w:val="-2"/>
                          <w:w w:val="95"/>
                          <w:position w:val="1"/>
                          <w:sz w:val="12"/>
                        </w:rPr>
                        <w:t>::::,</w:t>
                      </w:r>
                      <w:r>
                        <w:rPr>
                          <w:color w:val="050505"/>
                          <w:position w:val="1"/>
                          <w:sz w:val="12"/>
                        </w:rPr>
                        <w:tab/>
                      </w:r>
                      <w:r>
                        <w:rPr>
                          <w:b/>
                          <w:color w:val="050505"/>
                          <w:w w:val="95"/>
                          <w:sz w:val="20"/>
                        </w:rPr>
                        <w:t>u</w:t>
                      </w:r>
                      <w:r>
                        <w:rPr>
                          <w:b/>
                          <w:color w:val="050505"/>
                          <w:spacing w:val="66"/>
                          <w:w w:val="150"/>
                          <w:sz w:val="20"/>
                        </w:rPr>
                        <w:t> </w:t>
                      </w:r>
                      <w:r>
                        <w:rPr>
                          <w:b/>
                          <w:color w:val="050505"/>
                          <w:spacing w:val="-5"/>
                          <w:w w:val="95"/>
                          <w:sz w:val="20"/>
                        </w:rPr>
                        <w:t>er</w:t>
                      </w:r>
                      <w:r>
                        <w:rPr>
                          <w:b/>
                          <w:color w:val="050505"/>
                          <w:sz w:val="20"/>
                        </w:rPr>
                        <w:tab/>
                      </w:r>
                      <w:r>
                        <w:rPr>
                          <w:color w:val="050505"/>
                          <w:spacing w:val="-8"/>
                          <w:w w:val="95"/>
                          <w:position w:val="-2"/>
                          <w:sz w:val="16"/>
                        </w:rPr>
                        <w:t>:&lt;(</w:t>
                      </w:r>
                    </w:p>
                  </w:txbxContent>
                </v:textbox>
                <w10:wrap type="none"/>
              </v:shape>
            </w:pict>
          </ve:Fallback>
        </ve:AlternateContent>
      </w:r>
      <w:r>
        <w:rPr>
          <w:color w:val="050505"/>
          <w:spacing w:val="-2"/>
          <w:w w:val="220"/>
          <w:sz w:val="15"/>
        </w:rPr>
        <w:t>....I</w:t>
      </w:r>
    </w:p>
    <w:p>
      <w:pPr>
        <w:spacing w:before="87"/>
        <w:ind w:left="512" w:right="0" w:firstLine="0"/>
        <w:jc w:val="left"/>
        <w:rPr>
          <w:sz w:val="12"/>
        </w:rPr>
      </w:pPr>
      <w:r>
        <w:rPr/>
        <w:br w:type="column"/>
      </w:r>
      <w:r>
        <w:rPr>
          <w:b/>
          <w:color w:val="050505"/>
          <w:w w:val="95"/>
          <w:sz w:val="12"/>
        </w:rPr>
        <w:t>Cl)</w:t>
      </w:r>
      <w:r>
        <w:rPr>
          <w:b/>
          <w:color w:val="050505"/>
          <w:spacing w:val="19"/>
          <w:sz w:val="12"/>
        </w:rPr>
        <w:t> </w:t>
      </w:r>
      <w:r>
        <w:rPr>
          <w:color w:val="1D1D1D"/>
          <w:spacing w:val="-8"/>
          <w:w w:val="95"/>
          <w:sz w:val="12"/>
        </w:rPr>
        <w:t>·-</w:t>
      </w:r>
    </w:p>
    <w:p>
      <w:pPr>
        <w:tabs>
          <w:tab w:val="left" w:leader="none" w:pos="1471"/>
        </w:tabs>
        <w:spacing w:before="0" w:line="232" w:lineRule="exact"/>
        <w:ind w:left="575" w:right="0" w:firstLine="0"/>
        <w:jc w:val="left"/>
        <w:rPr>
          <w:b/>
          <w:sz w:val="21"/>
        </w:rPr>
      </w:pPr>
      <w:r>
        <w:rPr/>
        <w:br w:type="column"/>
      </w:r>
      <w:r>
        <w:rPr>
          <w:b/>
          <w:color w:val="050505"/>
          <w:w w:val="210"/>
          <w:sz w:val="10"/>
        </w:rPr>
        <w:t>L.</w:t>
      </w:r>
      <w:r>
        <w:rPr>
          <w:b/>
          <w:color w:val="050505"/>
          <w:spacing w:val="16"/>
          <w:w w:val="210"/>
          <w:sz w:val="10"/>
        </w:rPr>
        <w:t> </w:t>
      </w:r>
      <w:r>
        <w:rPr>
          <w:b/>
          <w:color w:val="050505"/>
          <w:spacing w:val="-5"/>
          <w:w w:val="210"/>
          <w:sz w:val="11"/>
        </w:rPr>
        <w:t>1/)</w:t>
      </w:r>
      <w:r>
        <w:rPr>
          <w:b/>
          <w:color w:val="050505"/>
          <w:sz w:val="11"/>
        </w:rPr>
        <w:tab/>
      </w:r>
      <w:r>
        <w:rPr>
          <w:b/>
          <w:color w:val="050505"/>
          <w:spacing w:val="-29"/>
          <w:w w:val="95"/>
          <w:position w:val="-4"/>
          <w:sz w:val="21"/>
        </w:rPr>
        <w:t>E</w:t>
      </w:r>
    </w:p>
    <w:p>
      <w:pPr>
        <w:spacing w:before="58"/>
        <w:ind w:left="0" w:right="0" w:firstLine="0"/>
        <w:jc w:val="right"/>
        <w:rPr>
          <w:b/>
          <w:sz w:val="10"/>
        </w:rPr>
      </w:pPr>
      <w:r>
        <w:rPr/>
        <w:br w:type="column"/>
      </w:r>
      <w:r>
        <w:rPr>
          <w:b/>
          <w:color w:val="050505"/>
          <w:w w:val="110"/>
          <w:sz w:val="11"/>
        </w:rPr>
        <w:t>1/)</w:t>
      </w:r>
      <w:r>
        <w:rPr>
          <w:b/>
          <w:color w:val="050505"/>
          <w:spacing w:val="77"/>
          <w:w w:val="110"/>
          <w:sz w:val="11"/>
        </w:rPr>
        <w:t> </w:t>
      </w:r>
      <w:r>
        <w:rPr>
          <w:b/>
          <w:color w:val="050505"/>
          <w:spacing w:val="-5"/>
          <w:w w:val="110"/>
          <w:sz w:val="10"/>
        </w:rPr>
        <w:t>L.</w:t>
      </w:r>
    </w:p>
    <w:p>
      <w:pPr>
        <w:pStyle w:val="BodyText"/>
        <w:spacing w:before="2"/>
        <w:rPr>
          <w:b/>
          <w:sz w:val="5"/>
        </w:rPr>
      </w:pPr>
    </w:p>
    <w:p>
      <w:pPr>
        <w:pStyle w:val="BodyText"/>
        <w:spacing w:line="134" w:lineRule="exact"/>
        <w:ind w:left="748" w:right="-58"/>
        <w:rPr>
          <w:sz w:val="13"/>
        </w:rPr>
      </w:pPr>
      <w:r>
        <w:rPr>
          <w:position w:val="-2"/>
          <w:sz w:val="13"/>
        </w:rPr>
        <ve:AlternateContent>
          <ve:Choice Requires="wps">
            <w:drawing>
              <wp:inline distT="0" distB="0" distL="0" distR="0">
                <wp:extent cx="233045" cy="85725"/>
                <wp:effectExtent l="0" t="0" r="0" b="0"/>
                <wp:docPr id="321" name="Textbox 321"/>
                <wp:cNvGraphicFramePr>
                  <a:graphicFrameLocks/>
                </wp:cNvGraphicFramePr>
                <a:graphic>
                  <a:graphicData uri="http://schemas.microsoft.com/office/word/2010/wordprocessingShape">
                    <wps:wsp>
                      <wps:cNvPr id="321" name="Textbox 321"/>
                      <wps:cNvSpPr txBox="1"/>
                      <wps:spPr>
                        <a:xfrm>
                          <a:off x="0" y="0"/>
                          <a:ext cx="233045" cy="85725"/>
                        </a:xfrm>
                        <a:prstGeom prst="rect">
                          <a:avLst/>
                        </a:prstGeom>
                      </wps:spPr>
                      <wps:txbx>
                        <w:txbxContent>
                          <w:p>
                            <w:pPr>
                              <w:spacing w:before="0" w:line="134" w:lineRule="exact"/>
                              <w:ind w:left="0" w:right="0" w:firstLine="0"/>
                              <w:jc w:val="left"/>
                              <w:rPr>
                                <w:b/>
                                <w:sz w:val="11"/>
                              </w:rPr>
                            </w:pPr>
                            <w:r>
                              <w:rPr>
                                <w:b/>
                                <w:color w:val="050505"/>
                                <w:sz w:val="12"/>
                              </w:rPr>
                              <w:t>Cl)</w:t>
                            </w:r>
                            <w:r>
                              <w:rPr>
                                <w:b/>
                                <w:color w:val="050505"/>
                                <w:spacing w:val="60"/>
                                <w:sz w:val="12"/>
                              </w:rPr>
                              <w:t> </w:t>
                            </w:r>
                            <w:r>
                              <w:rPr>
                                <w:b/>
                                <w:color w:val="050505"/>
                                <w:spacing w:val="-10"/>
                                <w:sz w:val="11"/>
                              </w:rPr>
                              <w:t>1/)</w:t>
                            </w:r>
                          </w:p>
                        </w:txbxContent>
                      </wps:txbx>
                      <wps:bodyPr wrap="square" lIns="0" tIns="0" rIns="0" bIns="0" rtlCol="0">
                        <a:noAutofit/>
                      </wps:bodyPr>
                    </wps:wsp>
                  </a:graphicData>
                </a:graphic>
              </wp:inline>
            </w:drawing>
          </ve:Choice>
          <ve:Fallback>
            <w:pict>
              <v:shape id="docshape212" style="width:18.350pt;height:6.75pt;mso-position-horizontal-relative:char;mso-position-vertical-relative:line" filled="false" stroked="false" type="#_x0000_t202">
                <w10:anchorlock/>
                <v:textbox inset="0,0,0,0">
                  <w:txbxContent>
                    <w:p>
                      <w:pPr>
                        <w:spacing w:before="0" w:line="134" w:lineRule="exact"/>
                        <w:ind w:left="0" w:right="0" w:firstLine="0"/>
                        <w:jc w:val="left"/>
                        <w:rPr>
                          <w:b/>
                          <w:sz w:val="11"/>
                        </w:rPr>
                      </w:pPr>
                      <w:r>
                        <w:rPr>
                          <w:b/>
                          <w:color w:val="050505"/>
                          <w:sz w:val="12"/>
                        </w:rPr>
                        <w:t>Cl)</w:t>
                      </w:r>
                      <w:r>
                        <w:rPr>
                          <w:b/>
                          <w:color w:val="050505"/>
                          <w:spacing w:val="60"/>
                          <w:sz w:val="12"/>
                        </w:rPr>
                        <w:t> </w:t>
                      </w:r>
                      <w:r>
                        <w:rPr>
                          <w:b/>
                          <w:color w:val="050505"/>
                          <w:spacing w:val="-10"/>
                          <w:sz w:val="11"/>
                        </w:rPr>
                        <w:t>1/)</w:t>
                      </w:r>
                    </w:p>
                  </w:txbxContent>
                </v:textbox>
              </v:shape>
            </w:pict>
          </ve:Fallback>
        </ve:AlternateContent>
      </w:r>
      <w:r>
        <w:rPr>
          <w:position w:val="-2"/>
          <w:sz w:val="13"/>
        </w:rPr>
      </w:r>
    </w:p>
    <w:p>
      <w:pPr>
        <w:tabs>
          <w:tab w:val="left" w:leader="none" w:pos="1398"/>
          <w:tab w:val="left" w:leader="none" w:pos="1793"/>
        </w:tabs>
        <w:spacing w:before="69"/>
        <w:ind w:left="654" w:right="0" w:firstLine="0"/>
        <w:jc w:val="left"/>
        <w:rPr>
          <w:b/>
          <w:sz w:val="14"/>
        </w:rPr>
      </w:pPr>
      <w:r>
        <w:rPr/>
        <w:br w:type="column"/>
      </w:r>
      <w:r>
        <w:rPr>
          <w:b/>
          <w:color w:val="050505"/>
          <w:spacing w:val="-10"/>
          <w:sz w:val="16"/>
        </w:rPr>
        <w:t>0</w:t>
      </w:r>
      <w:r>
        <w:rPr>
          <w:b/>
          <w:color w:val="050505"/>
          <w:sz w:val="16"/>
        </w:rPr>
        <w:tab/>
      </w:r>
      <w:r>
        <w:rPr>
          <w:color w:val="050505"/>
          <w:spacing w:val="-10"/>
          <w:sz w:val="14"/>
        </w:rPr>
        <w:t>-</w:t>
      </w:r>
      <w:r>
        <w:rPr>
          <w:color w:val="050505"/>
          <w:sz w:val="14"/>
        </w:rPr>
        <w:tab/>
      </w:r>
      <w:r>
        <w:rPr>
          <w:b/>
          <w:color w:val="050505"/>
          <w:spacing w:val="-5"/>
          <w:sz w:val="14"/>
        </w:rPr>
        <w:t>Q.</w:t>
      </w:r>
    </w:p>
    <w:p>
      <w:pPr>
        <w:pStyle w:val="BodyText"/>
        <w:spacing w:line="134" w:lineRule="exact"/>
        <w:ind w:left="1529"/>
        <w:rPr>
          <w:sz w:val="13"/>
        </w:rPr>
      </w:pPr>
      <w:r>
        <w:rPr/>
        <ve:AlternateContent>
          <ve:Choice Requires="wps">
            <w:drawing>
              <wp:anchor distT="0" distB="0" distL="0" distR="0" simplePos="0" relativeHeight="475911168" behindDoc="1" locked="0" layoutInCell="1" allowOverlap="1">
                <wp:simplePos x="0" y="0"/>
                <wp:positionH relativeFrom="page">
                  <wp:posOffset>6762604</wp:posOffset>
                </wp:positionH>
                <wp:positionV relativeFrom="paragraph">
                  <wp:posOffset>45128</wp:posOffset>
                </wp:positionV>
                <wp:extent cx="1905" cy="154940"/>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1905" cy="154940"/>
                        </a:xfrm>
                        <a:prstGeom prst="rect">
                          <a:avLst/>
                        </a:prstGeom>
                      </wps:spPr>
                      <wps:txbx>
                        <w:txbxContent>
                          <w:p>
                            <w:pPr>
                              <w:spacing w:before="0" w:line="244" w:lineRule="exact"/>
                              <w:ind w:left="0" w:right="0" w:firstLine="0"/>
                              <w:jc w:val="left"/>
                              <w:rPr>
                                <w:rFonts w:ascii="Times New Roman"/>
                                <w:sz w:val="22"/>
                              </w:rPr>
                            </w:pPr>
                            <w:r>
                              <w:rPr>
                                <w:rFonts w:ascii="Times New Roman"/>
                                <w:color w:val="050505"/>
                                <w:spacing w:val="-131"/>
                                <w:w w:val="105"/>
                                <w:sz w:val="22"/>
                              </w:rPr>
                              <w:t>&gt;</w:t>
                            </w:r>
                          </w:p>
                        </w:txbxContent>
                      </wps:txbx>
                      <wps:bodyPr wrap="square" lIns="0" tIns="0" rIns="0" bIns="0" rtlCol="0">
                        <a:noAutofit/>
                      </wps:bodyPr>
                    </wps:wsp>
                  </a:graphicData>
                </a:graphic>
              </wp:anchor>
            </w:drawing>
          </ve:Choice>
          <ve:Fallback>
            <w:pict>
              <v:shape id="docshape213" style="position:absolute;margin-left:532.488525pt;margin-top:3.553408pt;width:.15pt;height:12.2pt;mso-position-horizontal-relative:page;mso-position-vertical-relative:paragraph;z-index:-27405312" filled="false" stroked="false" type="#_x0000_t202">
                <v:textbox inset="0,0,0,0">
                  <w:txbxContent>
                    <w:p>
                      <w:pPr>
                        <w:spacing w:before="0" w:line="244" w:lineRule="exact"/>
                        <w:ind w:left="0" w:right="0" w:firstLine="0"/>
                        <w:jc w:val="left"/>
                        <w:rPr>
                          <w:rFonts w:ascii="Times New Roman"/>
                          <w:sz w:val="22"/>
                        </w:rPr>
                      </w:pPr>
                      <w:r>
                        <w:rPr>
                          <w:rFonts w:ascii="Times New Roman"/>
                          <w:color w:val="050505"/>
                          <w:spacing w:val="-131"/>
                          <w:w w:val="105"/>
                          <w:sz w:val="22"/>
                        </w:rPr>
                        <w:t>&gt;</w:t>
                      </w:r>
                    </w:p>
                  </w:txbxContent>
                </v:textbox>
                <w10:wrap type="none"/>
              </v:shape>
            </w:pict>
          </ve:Fallback>
        </ve:AlternateContent>
      </w:r>
      <w:r>
        <w:rPr/>
        <ve:AlternateContent>
          <ve:Choice Requires="wps">
            <w:drawing>
              <wp:anchor distT="0" distB="0" distL="0" distR="0" simplePos="0" relativeHeight="475915776" behindDoc="1" locked="0" layoutInCell="1" allowOverlap="1">
                <wp:simplePos x="0" y="0"/>
                <wp:positionH relativeFrom="page">
                  <wp:posOffset>3192129</wp:posOffset>
                </wp:positionH>
                <wp:positionV relativeFrom="paragraph">
                  <wp:posOffset>27623</wp:posOffset>
                </wp:positionV>
                <wp:extent cx="1831339" cy="298450"/>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1831339" cy="298450"/>
                        </a:xfrm>
                        <a:prstGeom prst="rect">
                          <a:avLst/>
                        </a:prstGeom>
                      </wps:spPr>
                      <wps:txbx>
                        <w:txbxContent>
                          <w:p>
                            <w:pPr>
                              <w:tabs>
                                <w:tab w:val="left" w:leader="none" w:pos="941"/>
                                <w:tab w:val="left" w:leader="none" w:pos="1897"/>
                                <w:tab w:val="left" w:leader="none" w:pos="2755"/>
                              </w:tabs>
                              <w:spacing w:before="0" w:line="230" w:lineRule="auto"/>
                              <w:ind w:left="0" w:right="0" w:firstLine="0"/>
                              <w:jc w:val="left"/>
                              <w:rPr>
                                <w:rFonts w:ascii="Times New Roman"/>
                                <w:b/>
                                <w:sz w:val="29"/>
                              </w:rPr>
                            </w:pPr>
                            <w:r>
                              <w:rPr>
                                <w:rFonts w:ascii="Times New Roman"/>
                                <w:b/>
                                <w:color w:val="050505"/>
                                <w:w w:val="90"/>
                                <w:position w:val="-3"/>
                                <w:sz w:val="28"/>
                              </w:rPr>
                              <w:t>-</w:t>
                            </w:r>
                            <w:r>
                              <w:rPr>
                                <w:rFonts w:ascii="Times New Roman"/>
                                <w:b/>
                                <w:color w:val="050505"/>
                                <w:spacing w:val="-5"/>
                                <w:position w:val="-3"/>
                                <w:sz w:val="28"/>
                              </w:rPr>
                              <w:t>Sm</w:t>
                            </w:r>
                            <w:r>
                              <w:rPr>
                                <w:rFonts w:ascii="Times New Roman"/>
                                <w:b/>
                                <w:color w:val="050505"/>
                                <w:position w:val="-3"/>
                                <w:sz w:val="28"/>
                              </w:rPr>
                              <w:tab/>
                            </w:r>
                            <w:r>
                              <w:rPr>
                                <w:color w:val="050505"/>
                                <w:spacing w:val="-5"/>
                                <w:sz w:val="30"/>
                              </w:rPr>
                              <w:t>:cw</w:t>
                            </w:r>
                            <w:r>
                              <w:rPr>
                                <w:color w:val="050505"/>
                                <w:sz w:val="30"/>
                              </w:rPr>
                              <w:tab/>
                            </w:r>
                            <w:r>
                              <w:rPr>
                                <w:b/>
                                <w:color w:val="050505"/>
                                <w:spacing w:val="-5"/>
                                <w:position w:val="4"/>
                                <w:sz w:val="10"/>
                              </w:rPr>
                              <w:t>L.</w:t>
                            </w:r>
                            <w:r>
                              <w:rPr>
                                <w:b/>
                                <w:color w:val="050505"/>
                                <w:position w:val="4"/>
                                <w:sz w:val="10"/>
                              </w:rPr>
                              <w:tab/>
                            </w:r>
                            <w:r>
                              <w:rPr>
                                <w:b/>
                                <w:color w:val="050505"/>
                                <w:spacing w:val="-63"/>
                                <w:w w:val="85"/>
                                <w:position w:val="7"/>
                                <w:sz w:val="16"/>
                              </w:rPr>
                              <w:t>0</w:t>
                            </w:r>
                            <w:r>
                              <w:rPr>
                                <w:rFonts w:ascii="Times New Roman"/>
                                <w:b/>
                                <w:color w:val="050505"/>
                                <w:spacing w:val="-63"/>
                                <w:w w:val="85"/>
                                <w:position w:val="-12"/>
                                <w:sz w:val="29"/>
                              </w:rPr>
                              <w:t>u</w:t>
                            </w:r>
                          </w:p>
                        </w:txbxContent>
                      </wps:txbx>
                      <wps:bodyPr wrap="square" lIns="0" tIns="0" rIns="0" bIns="0" rtlCol="0">
                        <a:noAutofit/>
                      </wps:bodyPr>
                    </wps:wsp>
                  </a:graphicData>
                </a:graphic>
              </wp:anchor>
            </w:drawing>
          </ve:Choice>
          <ve:Fallback>
            <w:pict>
              <v:shape id="docshape214" style="position:absolute;margin-left:251.348801pt;margin-top:2.175043pt;width:144.2pt;height:23.5pt;mso-position-horizontal-relative:page;mso-position-vertical-relative:paragraph;z-index:-27400704" filled="false" stroked="false" type="#_x0000_t202">
                <v:textbox inset="0,0,0,0">
                  <w:txbxContent>
                    <w:p>
                      <w:pPr>
                        <w:tabs>
                          <w:tab w:val="left" w:leader="none" w:pos="941"/>
                          <w:tab w:val="left" w:leader="none" w:pos="1897"/>
                          <w:tab w:val="left" w:leader="none" w:pos="2755"/>
                        </w:tabs>
                        <w:spacing w:before="0" w:line="230" w:lineRule="auto"/>
                        <w:ind w:left="0" w:right="0" w:firstLine="0"/>
                        <w:jc w:val="left"/>
                        <w:rPr>
                          <w:rFonts w:ascii="Times New Roman"/>
                          <w:b/>
                          <w:sz w:val="29"/>
                        </w:rPr>
                      </w:pPr>
                      <w:r>
                        <w:rPr>
                          <w:rFonts w:ascii="Times New Roman"/>
                          <w:b/>
                          <w:color w:val="050505"/>
                          <w:w w:val="90"/>
                          <w:position w:val="-3"/>
                          <w:sz w:val="28"/>
                        </w:rPr>
                        <w:t>-</w:t>
                      </w:r>
                      <w:r>
                        <w:rPr>
                          <w:rFonts w:ascii="Times New Roman"/>
                          <w:b/>
                          <w:color w:val="050505"/>
                          <w:spacing w:val="-5"/>
                          <w:position w:val="-3"/>
                          <w:sz w:val="28"/>
                        </w:rPr>
                        <w:t>Sm</w:t>
                      </w:r>
                      <w:r>
                        <w:rPr>
                          <w:rFonts w:ascii="Times New Roman"/>
                          <w:b/>
                          <w:color w:val="050505"/>
                          <w:position w:val="-3"/>
                          <w:sz w:val="28"/>
                        </w:rPr>
                        <w:tab/>
                      </w:r>
                      <w:r>
                        <w:rPr>
                          <w:color w:val="050505"/>
                          <w:spacing w:val="-5"/>
                          <w:sz w:val="30"/>
                        </w:rPr>
                        <w:t>:cw</w:t>
                      </w:r>
                      <w:r>
                        <w:rPr>
                          <w:color w:val="050505"/>
                          <w:sz w:val="30"/>
                        </w:rPr>
                        <w:tab/>
                      </w:r>
                      <w:r>
                        <w:rPr>
                          <w:b/>
                          <w:color w:val="050505"/>
                          <w:spacing w:val="-5"/>
                          <w:position w:val="4"/>
                          <w:sz w:val="10"/>
                        </w:rPr>
                        <w:t>L.</w:t>
                      </w:r>
                      <w:r>
                        <w:rPr>
                          <w:b/>
                          <w:color w:val="050505"/>
                          <w:position w:val="4"/>
                          <w:sz w:val="10"/>
                        </w:rPr>
                        <w:tab/>
                      </w:r>
                      <w:r>
                        <w:rPr>
                          <w:b/>
                          <w:color w:val="050505"/>
                          <w:spacing w:val="-63"/>
                          <w:w w:val="85"/>
                          <w:position w:val="7"/>
                          <w:sz w:val="16"/>
                        </w:rPr>
                        <w:t>0</w:t>
                      </w:r>
                      <w:r>
                        <w:rPr>
                          <w:rFonts w:ascii="Times New Roman"/>
                          <w:b/>
                          <w:color w:val="050505"/>
                          <w:spacing w:val="-63"/>
                          <w:w w:val="85"/>
                          <w:position w:val="-12"/>
                          <w:sz w:val="29"/>
                        </w:rPr>
                        <w:t>u</w:t>
                      </w:r>
                    </w:p>
                  </w:txbxContent>
                </v:textbox>
                <w10:wrap type="none"/>
              </v:shape>
            </w:pict>
          </ve:Fallback>
        </ve:AlternateContent>
      </w:r>
      <w:r>
        <w:rPr/>
        <ve:AlternateContent>
          <ve:Choice Requires="wps">
            <w:drawing>
              <wp:anchor distT="0" distB="0" distL="0" distR="0" simplePos="0" relativeHeight="475916288" behindDoc="1" locked="0" layoutInCell="1" allowOverlap="1">
                <wp:simplePos x="0" y="0"/>
                <wp:positionH relativeFrom="page">
                  <wp:posOffset>5110835</wp:posOffset>
                </wp:positionH>
                <wp:positionV relativeFrom="paragraph">
                  <wp:posOffset>42451</wp:posOffset>
                </wp:positionV>
                <wp:extent cx="1895475" cy="213360"/>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1895475" cy="213360"/>
                        </a:xfrm>
                        <a:prstGeom prst="rect">
                          <a:avLst/>
                        </a:prstGeom>
                      </wps:spPr>
                      <wps:txbx>
                        <w:txbxContent>
                          <w:p>
                            <w:pPr>
                              <w:tabs>
                                <w:tab w:val="left" w:leader="none" w:pos="673"/>
                                <w:tab w:val="left" w:leader="none" w:pos="2814"/>
                              </w:tabs>
                              <w:spacing w:before="0" w:line="193" w:lineRule="exact"/>
                              <w:ind w:left="0" w:right="0" w:firstLine="0"/>
                              <w:jc w:val="left"/>
                              <w:rPr>
                                <w:b/>
                                <w:sz w:val="16"/>
                              </w:rPr>
                            </w:pPr>
                            <w:r>
                              <w:rPr>
                                <w:b/>
                                <w:color w:val="050505"/>
                                <w:spacing w:val="-5"/>
                                <w:w w:val="95"/>
                                <w:position w:val="0"/>
                                <w:sz w:val="20"/>
                              </w:rPr>
                              <w:t>&lt;C</w:t>
                            </w:r>
                            <w:r>
                              <w:rPr>
                                <w:b/>
                                <w:color w:val="050505"/>
                                <w:position w:val="0"/>
                                <w:sz w:val="20"/>
                              </w:rPr>
                              <w:tab/>
                            </w:r>
                            <w:r>
                              <w:rPr>
                                <w:b/>
                                <w:color w:val="050505"/>
                                <w:w w:val="95"/>
                                <w:sz w:val="11"/>
                              </w:rPr>
                              <w:t>1/)</w:t>
                            </w:r>
                            <w:r>
                              <w:rPr>
                                <w:b/>
                                <w:color w:val="050505"/>
                                <w:spacing w:val="38"/>
                                <w:sz w:val="11"/>
                              </w:rPr>
                              <w:t>  </w:t>
                            </w:r>
                            <w:r>
                              <w:rPr>
                                <w:b/>
                                <w:color w:val="050505"/>
                                <w:spacing w:val="-5"/>
                                <w:sz w:val="13"/>
                              </w:rPr>
                              <w:t>C:</w:t>
                            </w:r>
                            <w:r>
                              <w:rPr>
                                <w:b/>
                                <w:color w:val="050505"/>
                                <w:sz w:val="13"/>
                              </w:rPr>
                              <w:tab/>
                            </w:r>
                            <w:r>
                              <w:rPr>
                                <w:b/>
                                <w:color w:val="050505"/>
                                <w:spacing w:val="-5"/>
                                <w:position w:val="-2"/>
                                <w:sz w:val="16"/>
                              </w:rPr>
                              <w:t>D.</w:t>
                            </w:r>
                          </w:p>
                          <w:p>
                            <w:pPr>
                              <w:tabs>
                                <w:tab w:val="left" w:leader="none" w:pos="2603"/>
                              </w:tabs>
                              <w:spacing w:before="0" w:line="142" w:lineRule="exact"/>
                              <w:ind w:left="678" w:right="0" w:firstLine="0"/>
                              <w:jc w:val="left"/>
                              <w:rPr>
                                <w:b/>
                                <w:sz w:val="13"/>
                              </w:rPr>
                            </w:pPr>
                            <w:r>
                              <w:rPr>
                                <w:b/>
                                <w:color w:val="050505"/>
                                <w:w w:val="105"/>
                                <w:sz w:val="11"/>
                              </w:rPr>
                              <w:t>1/)</w:t>
                            </w:r>
                            <w:r>
                              <w:rPr>
                                <w:b/>
                                <w:color w:val="050505"/>
                                <w:spacing w:val="44"/>
                                <w:w w:val="105"/>
                                <w:sz w:val="11"/>
                              </w:rPr>
                              <w:t> </w:t>
                            </w:r>
                            <w:r>
                              <w:rPr>
                                <w:b/>
                                <w:color w:val="050505"/>
                                <w:spacing w:val="-10"/>
                                <w:w w:val="105"/>
                                <w:sz w:val="16"/>
                              </w:rPr>
                              <w:t>0</w:t>
                            </w:r>
                            <w:r>
                              <w:rPr>
                                <w:b/>
                                <w:color w:val="050505"/>
                                <w:sz w:val="16"/>
                              </w:rPr>
                              <w:tab/>
                            </w:r>
                            <w:r>
                              <w:rPr>
                                <w:b/>
                                <w:color w:val="050505"/>
                                <w:spacing w:val="-5"/>
                                <w:w w:val="105"/>
                                <w:position w:val="1"/>
                                <w:sz w:val="13"/>
                              </w:rPr>
                              <w:t>C:</w:t>
                            </w:r>
                          </w:p>
                        </w:txbxContent>
                      </wps:txbx>
                      <wps:bodyPr wrap="square" lIns="0" tIns="0" rIns="0" bIns="0" rtlCol="0">
                        <a:noAutofit/>
                      </wps:bodyPr>
                    </wps:wsp>
                  </a:graphicData>
                </a:graphic>
              </wp:anchor>
            </w:drawing>
          </ve:Choice>
          <ve:Fallback>
            <w:pict>
              <v:shape id="docshape215" style="position:absolute;margin-left:402.428009pt;margin-top:3.342675pt;width:149.25pt;height:16.8pt;mso-position-horizontal-relative:page;mso-position-vertical-relative:paragraph;z-index:-27400192" filled="false" stroked="false" type="#_x0000_t202">
                <v:textbox inset="0,0,0,0">
                  <w:txbxContent>
                    <w:p>
                      <w:pPr>
                        <w:tabs>
                          <w:tab w:val="left" w:leader="none" w:pos="673"/>
                          <w:tab w:val="left" w:leader="none" w:pos="2814"/>
                        </w:tabs>
                        <w:spacing w:before="0" w:line="193" w:lineRule="exact"/>
                        <w:ind w:left="0" w:right="0" w:firstLine="0"/>
                        <w:jc w:val="left"/>
                        <w:rPr>
                          <w:b/>
                          <w:sz w:val="16"/>
                        </w:rPr>
                      </w:pPr>
                      <w:r>
                        <w:rPr>
                          <w:b/>
                          <w:color w:val="050505"/>
                          <w:spacing w:val="-5"/>
                          <w:w w:val="95"/>
                          <w:position w:val="0"/>
                          <w:sz w:val="20"/>
                        </w:rPr>
                        <w:t>&lt;C</w:t>
                      </w:r>
                      <w:r>
                        <w:rPr>
                          <w:b/>
                          <w:color w:val="050505"/>
                          <w:position w:val="0"/>
                          <w:sz w:val="20"/>
                        </w:rPr>
                        <w:tab/>
                      </w:r>
                      <w:r>
                        <w:rPr>
                          <w:b/>
                          <w:color w:val="050505"/>
                          <w:w w:val="95"/>
                          <w:sz w:val="11"/>
                        </w:rPr>
                        <w:t>1/)</w:t>
                      </w:r>
                      <w:r>
                        <w:rPr>
                          <w:b/>
                          <w:color w:val="050505"/>
                          <w:spacing w:val="38"/>
                          <w:sz w:val="11"/>
                        </w:rPr>
                        <w:t>  </w:t>
                      </w:r>
                      <w:r>
                        <w:rPr>
                          <w:b/>
                          <w:color w:val="050505"/>
                          <w:spacing w:val="-5"/>
                          <w:sz w:val="13"/>
                        </w:rPr>
                        <w:t>C:</w:t>
                      </w:r>
                      <w:r>
                        <w:rPr>
                          <w:b/>
                          <w:color w:val="050505"/>
                          <w:sz w:val="13"/>
                        </w:rPr>
                        <w:tab/>
                      </w:r>
                      <w:r>
                        <w:rPr>
                          <w:b/>
                          <w:color w:val="050505"/>
                          <w:spacing w:val="-5"/>
                          <w:position w:val="-2"/>
                          <w:sz w:val="16"/>
                        </w:rPr>
                        <w:t>D.</w:t>
                      </w:r>
                    </w:p>
                    <w:p>
                      <w:pPr>
                        <w:tabs>
                          <w:tab w:val="left" w:leader="none" w:pos="2603"/>
                        </w:tabs>
                        <w:spacing w:before="0" w:line="142" w:lineRule="exact"/>
                        <w:ind w:left="678" w:right="0" w:firstLine="0"/>
                        <w:jc w:val="left"/>
                        <w:rPr>
                          <w:b/>
                          <w:sz w:val="13"/>
                        </w:rPr>
                      </w:pPr>
                      <w:r>
                        <w:rPr>
                          <w:b/>
                          <w:color w:val="050505"/>
                          <w:w w:val="105"/>
                          <w:sz w:val="11"/>
                        </w:rPr>
                        <w:t>1/)</w:t>
                      </w:r>
                      <w:r>
                        <w:rPr>
                          <w:b/>
                          <w:color w:val="050505"/>
                          <w:spacing w:val="44"/>
                          <w:w w:val="105"/>
                          <w:sz w:val="11"/>
                        </w:rPr>
                        <w:t> </w:t>
                      </w:r>
                      <w:r>
                        <w:rPr>
                          <w:b/>
                          <w:color w:val="050505"/>
                          <w:spacing w:val="-10"/>
                          <w:w w:val="105"/>
                          <w:sz w:val="16"/>
                        </w:rPr>
                        <w:t>0</w:t>
                      </w:r>
                      <w:r>
                        <w:rPr>
                          <w:b/>
                          <w:color w:val="050505"/>
                          <w:sz w:val="16"/>
                        </w:rPr>
                        <w:tab/>
                      </w:r>
                      <w:r>
                        <w:rPr>
                          <w:b/>
                          <w:color w:val="050505"/>
                          <w:spacing w:val="-5"/>
                          <w:w w:val="105"/>
                          <w:position w:val="1"/>
                          <w:sz w:val="13"/>
                        </w:rPr>
                        <w:t>C:</w:t>
                      </w:r>
                    </w:p>
                  </w:txbxContent>
                </v:textbox>
                <w10:wrap type="none"/>
              </v:shape>
            </w:pict>
          </ve:Fallback>
        </ve:AlternateContent>
      </w:r>
      <w:r>
        <w:rPr>
          <w:position w:val="-2"/>
          <w:sz w:val="13"/>
        </w:rPr>
        <ve:AlternateContent>
          <ve:Choice Requires="wps">
            <w:drawing>
              <wp:inline distT="0" distB="0" distL="0" distR="0">
                <wp:extent cx="210185" cy="85725"/>
                <wp:effectExtent l="0" t="0" r="0" b="0"/>
                <wp:docPr id="325" name="Textbox 325"/>
                <wp:cNvGraphicFramePr>
                  <a:graphicFrameLocks/>
                </wp:cNvGraphicFramePr>
                <a:graphic>
                  <a:graphicData uri="http://schemas.microsoft.com/office/word/2010/wordprocessingShape">
                    <wps:wsp>
                      <wps:cNvPr id="325" name="Textbox 325"/>
                      <wps:cNvSpPr txBox="1"/>
                      <wps:spPr>
                        <a:xfrm>
                          <a:off x="0" y="0"/>
                          <a:ext cx="210185" cy="85725"/>
                        </a:xfrm>
                        <a:prstGeom prst="rect">
                          <a:avLst/>
                        </a:prstGeom>
                      </wps:spPr>
                      <wps:txbx>
                        <w:txbxContent>
                          <w:p>
                            <w:pPr>
                              <w:spacing w:before="0" w:line="134" w:lineRule="exact"/>
                              <w:ind w:left="0" w:right="0" w:firstLine="0"/>
                              <w:jc w:val="left"/>
                              <w:rPr>
                                <w:b/>
                                <w:sz w:val="10"/>
                              </w:rPr>
                            </w:pPr>
                            <w:r>
                              <w:rPr>
                                <w:b/>
                                <w:color w:val="050505"/>
                                <w:sz w:val="12"/>
                              </w:rPr>
                              <w:t>Cl)</w:t>
                            </w:r>
                            <w:r>
                              <w:rPr>
                                <w:b/>
                                <w:color w:val="050505"/>
                                <w:spacing w:val="61"/>
                                <w:sz w:val="12"/>
                              </w:rPr>
                              <w:t> </w:t>
                            </w:r>
                            <w:r>
                              <w:rPr>
                                <w:b/>
                                <w:color w:val="050505"/>
                                <w:spacing w:val="-13"/>
                                <w:sz w:val="10"/>
                              </w:rPr>
                              <w:t>L.</w:t>
                            </w:r>
                          </w:p>
                        </w:txbxContent>
                      </wps:txbx>
                      <wps:bodyPr wrap="square" lIns="0" tIns="0" rIns="0" bIns="0" rtlCol="0">
                        <a:noAutofit/>
                      </wps:bodyPr>
                    </wps:wsp>
                  </a:graphicData>
                </a:graphic>
              </wp:inline>
            </w:drawing>
          </ve:Choice>
          <ve:Fallback>
            <w:pict>
              <v:shape id="docshape216" style="width:16.55pt;height:6.75pt;mso-position-horizontal-relative:char;mso-position-vertical-relative:line" filled="false" stroked="false" type="#_x0000_t202">
                <w10:anchorlock/>
                <v:textbox inset="0,0,0,0">
                  <w:txbxContent>
                    <w:p>
                      <w:pPr>
                        <w:spacing w:before="0" w:line="134" w:lineRule="exact"/>
                        <w:ind w:left="0" w:right="0" w:firstLine="0"/>
                        <w:jc w:val="left"/>
                        <w:rPr>
                          <w:b/>
                          <w:sz w:val="10"/>
                        </w:rPr>
                      </w:pPr>
                      <w:r>
                        <w:rPr>
                          <w:b/>
                          <w:color w:val="050505"/>
                          <w:sz w:val="12"/>
                        </w:rPr>
                        <w:t>Cl)</w:t>
                      </w:r>
                      <w:r>
                        <w:rPr>
                          <w:b/>
                          <w:color w:val="050505"/>
                          <w:spacing w:val="61"/>
                          <w:sz w:val="12"/>
                        </w:rPr>
                        <w:t> </w:t>
                      </w:r>
                      <w:r>
                        <w:rPr>
                          <w:b/>
                          <w:color w:val="050505"/>
                          <w:spacing w:val="-13"/>
                          <w:sz w:val="10"/>
                        </w:rPr>
                        <w:t>L.</w:t>
                      </w:r>
                    </w:p>
                  </w:txbxContent>
                </v:textbox>
              </v:shape>
            </w:pict>
          </ve:Fallback>
        </ve:AlternateContent>
      </w:r>
      <w:r>
        <w:rPr>
          <w:position w:val="-2"/>
          <w:sz w:val="13"/>
        </w:rPr>
      </w:r>
    </w:p>
    <w:p>
      <w:pPr>
        <w:spacing w:after="0" w:line="134" w:lineRule="exact"/>
        <w:rPr>
          <w:sz w:val="13"/>
        </w:rPr>
        <w:sectPr>
          <w:type w:val="continuous"/>
          <w:pgSz w:w="11910" w:h="16830"/>
          <w:pgMar w:top="1940" w:right="300" w:bottom="280" w:left="0" w:header="697" w:footer="1150"/>
          <w:cols w:equalWidth="0" w:num="5">
            <w:col w:w="5480" w:space="40"/>
            <w:col w:w="790" w:space="39"/>
            <w:col w:w="1587" w:space="40"/>
            <w:col w:w="1103" w:space="40"/>
            <w:col w:w="2491"/>
          </w:cols>
        </w:sectPr>
      </w:pPr>
    </w:p>
    <w:p>
      <w:pPr>
        <w:pStyle w:val="BodyText"/>
        <w:spacing w:before="6"/>
        <w:rPr>
          <w:b/>
          <w:sz w:val="18"/>
        </w:rPr>
      </w:pPr>
    </w:p>
    <w:p>
      <w:pPr>
        <w:pStyle w:val="BodyText"/>
        <w:ind w:left="4967"/>
        <w:rPr>
          <w:sz w:val="20"/>
        </w:rPr>
      </w:pPr>
      <w:r>
        <w:rPr>
          <w:sz w:val="20"/>
        </w:rPr>
        <ve:AlternateContent>
          <ve:Choice Requires="wps">
            <w:drawing>
              <wp:inline distT="0" distB="0" distL="0" distR="0">
                <wp:extent cx="2515235" cy="163830"/>
                <wp:effectExtent l="0" t="0" r="0" b="0"/>
                <wp:docPr id="326" name="Textbox 326"/>
                <wp:cNvGraphicFramePr>
                  <a:graphicFrameLocks/>
                </wp:cNvGraphicFramePr>
                <a:graphic>
                  <a:graphicData uri="http://schemas.microsoft.com/office/word/2010/wordprocessingShape">
                    <wps:wsp>
                      <wps:cNvPr id="326" name="Textbox 326"/>
                      <wps:cNvSpPr txBox="1"/>
                      <wps:spPr>
                        <a:xfrm>
                          <a:off x="0" y="0"/>
                          <a:ext cx="2515235" cy="163830"/>
                        </a:xfrm>
                        <a:prstGeom prst="rect">
                          <a:avLst/>
                        </a:prstGeom>
                      </wps:spPr>
                      <wps:txbx>
                        <w:txbxContent>
                          <w:p>
                            <w:pPr>
                              <w:tabs>
                                <w:tab w:val="left" w:leader="none" w:pos="1279"/>
                                <w:tab w:val="left" w:leader="none" w:pos="1963"/>
                                <w:tab w:val="left" w:leader="none" w:pos="3717"/>
                              </w:tabs>
                              <w:spacing w:before="0" w:line="257" w:lineRule="exact"/>
                              <w:ind w:left="0" w:right="0" w:firstLine="0"/>
                              <w:jc w:val="left"/>
                              <w:rPr>
                                <w:b/>
                                <w:sz w:val="16"/>
                              </w:rPr>
                            </w:pPr>
                            <w:r>
                              <w:rPr>
                                <w:b/>
                                <w:color w:val="050505"/>
                                <w:spacing w:val="-10"/>
                                <w:position w:val="3"/>
                                <w:sz w:val="21"/>
                              </w:rPr>
                              <w:t>0</w:t>
                            </w:r>
                            <w:r>
                              <w:rPr>
                                <w:b/>
                                <w:color w:val="050505"/>
                                <w:position w:val="3"/>
                                <w:sz w:val="21"/>
                              </w:rPr>
                              <w:tab/>
                            </w:r>
                            <w:r>
                              <w:rPr>
                                <w:b/>
                                <w:color w:val="050505"/>
                                <w:spacing w:val="-4"/>
                                <w:sz w:val="18"/>
                              </w:rPr>
                              <w:t>ol!S</w:t>
                            </w:r>
                            <w:r>
                              <w:rPr>
                                <w:b/>
                                <w:color w:val="050505"/>
                                <w:sz w:val="18"/>
                              </w:rPr>
                              <w:tab/>
                            </w:r>
                            <w:r>
                              <w:rPr>
                                <w:b/>
                                <w:color w:val="050505"/>
                                <w:spacing w:val="-5"/>
                                <w:sz w:val="18"/>
                                <w:vertAlign w:val="superscript"/>
                              </w:rPr>
                              <w:t>C:</w:t>
                            </w:r>
                            <w:r>
                              <w:rPr>
                                <w:b/>
                                <w:color w:val="050505"/>
                                <w:sz w:val="18"/>
                                <w:vertAlign w:val="baseline"/>
                              </w:rPr>
                              <w:tab/>
                            </w:r>
                            <w:r>
                              <w:rPr>
                                <w:b/>
                                <w:color w:val="050505"/>
                                <w:spacing w:val="-5"/>
                                <w:position w:val="5"/>
                                <w:sz w:val="16"/>
                                <w:vertAlign w:val="baseline"/>
                              </w:rPr>
                              <w:t>&lt;(0</w:t>
                            </w:r>
                          </w:p>
                        </w:txbxContent>
                      </wps:txbx>
                      <wps:bodyPr wrap="square" lIns="0" tIns="0" rIns="0" bIns="0" rtlCol="0">
                        <a:noAutofit/>
                      </wps:bodyPr>
                    </wps:wsp>
                  </a:graphicData>
                </a:graphic>
              </wp:inline>
            </w:drawing>
          </ve:Choice>
          <ve:Fallback>
            <w:pict>
              <v:shape id="docshape217" style="width:198.05pt;height:12.9pt;mso-position-horizontal-relative:char;mso-position-vertical-relative:line" filled="false" stroked="false" type="#_x0000_t202">
                <w10:anchorlock/>
                <v:textbox inset="0,0,0,0">
                  <w:txbxContent>
                    <w:p>
                      <w:pPr>
                        <w:tabs>
                          <w:tab w:val="left" w:leader="none" w:pos="1279"/>
                          <w:tab w:val="left" w:leader="none" w:pos="1963"/>
                          <w:tab w:val="left" w:leader="none" w:pos="3717"/>
                        </w:tabs>
                        <w:spacing w:before="0" w:line="257" w:lineRule="exact"/>
                        <w:ind w:left="0" w:right="0" w:firstLine="0"/>
                        <w:jc w:val="left"/>
                        <w:rPr>
                          <w:b/>
                          <w:sz w:val="16"/>
                        </w:rPr>
                      </w:pPr>
                      <w:r>
                        <w:rPr>
                          <w:b/>
                          <w:color w:val="050505"/>
                          <w:spacing w:val="-10"/>
                          <w:position w:val="3"/>
                          <w:sz w:val="21"/>
                        </w:rPr>
                        <w:t>0</w:t>
                      </w:r>
                      <w:r>
                        <w:rPr>
                          <w:b/>
                          <w:color w:val="050505"/>
                          <w:position w:val="3"/>
                          <w:sz w:val="21"/>
                        </w:rPr>
                        <w:tab/>
                      </w:r>
                      <w:r>
                        <w:rPr>
                          <w:b/>
                          <w:color w:val="050505"/>
                          <w:spacing w:val="-4"/>
                          <w:sz w:val="18"/>
                        </w:rPr>
                        <w:t>ol!S</w:t>
                      </w:r>
                      <w:r>
                        <w:rPr>
                          <w:b/>
                          <w:color w:val="050505"/>
                          <w:sz w:val="18"/>
                        </w:rPr>
                        <w:tab/>
                      </w:r>
                      <w:r>
                        <w:rPr>
                          <w:b/>
                          <w:color w:val="050505"/>
                          <w:spacing w:val="-5"/>
                          <w:sz w:val="18"/>
                          <w:vertAlign w:val="superscript"/>
                        </w:rPr>
                        <w:t>C:</w:t>
                      </w:r>
                      <w:r>
                        <w:rPr>
                          <w:b/>
                          <w:color w:val="050505"/>
                          <w:sz w:val="18"/>
                          <w:vertAlign w:val="baseline"/>
                        </w:rPr>
                        <w:tab/>
                      </w:r>
                      <w:r>
                        <w:rPr>
                          <w:b/>
                          <w:color w:val="050505"/>
                          <w:spacing w:val="-5"/>
                          <w:position w:val="5"/>
                          <w:sz w:val="16"/>
                          <w:vertAlign w:val="baseline"/>
                        </w:rPr>
                        <w:t>&lt;(0</w:t>
                      </w:r>
                    </w:p>
                  </w:txbxContent>
                </v:textbox>
              </v:shape>
            </w:pict>
          </ve:Fallback>
        </ve:AlternateContent>
      </w:r>
      <w:r>
        <w:rPr>
          <w:sz w:val="20"/>
        </w:rPr>
      </w:r>
    </w:p>
    <w:p>
      <w:pPr>
        <w:pStyle w:val="BodyText"/>
        <w:rPr>
          <w:b/>
          <w:sz w:val="21"/>
        </w:rPr>
      </w:pPr>
    </w:p>
    <w:p>
      <w:pPr>
        <w:pStyle w:val="BodyText"/>
        <w:rPr>
          <w:b/>
          <w:sz w:val="21"/>
        </w:rPr>
      </w:pPr>
    </w:p>
    <w:p>
      <w:pPr>
        <w:pStyle w:val="BodyText"/>
        <w:spacing w:before="135"/>
        <w:rPr>
          <w:b/>
          <w:sz w:val="21"/>
        </w:rPr>
      </w:pPr>
    </w:p>
    <w:p>
      <w:pPr>
        <w:spacing w:before="0"/>
        <w:ind w:left="1478" w:right="0" w:firstLine="0"/>
        <w:jc w:val="left"/>
        <w:rPr>
          <w:i/>
          <w:sz w:val="21"/>
        </w:rPr>
      </w:pPr>
      <w:r>
        <w:rPr/>
        <ve:AlternateContent>
          <ve:Choice Requires="wps">
            <w:drawing>
              <wp:anchor distT="0" distB="0" distL="0" distR="0" simplePos="0" relativeHeight="475915264" behindDoc="1" locked="0" layoutInCell="1" allowOverlap="1">
                <wp:simplePos x="0" y="0"/>
                <wp:positionH relativeFrom="page">
                  <wp:posOffset>4966502</wp:posOffset>
                </wp:positionH>
                <wp:positionV relativeFrom="paragraph">
                  <wp:posOffset>-944537</wp:posOffset>
                </wp:positionV>
                <wp:extent cx="214629" cy="149225"/>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214629" cy="149225"/>
                        </a:xfrm>
                        <a:prstGeom prst="rect">
                          <a:avLst/>
                        </a:prstGeom>
                      </wps:spPr>
                      <wps:txbx>
                        <w:txbxContent>
                          <w:p>
                            <w:pPr>
                              <w:spacing w:before="0" w:line="235" w:lineRule="exact"/>
                              <w:ind w:left="0" w:right="0" w:firstLine="0"/>
                              <w:jc w:val="left"/>
                              <w:rPr>
                                <w:sz w:val="21"/>
                              </w:rPr>
                            </w:pPr>
                            <w:r>
                              <w:rPr>
                                <w:b/>
                                <w:color w:val="050505"/>
                                <w:w w:val="75"/>
                                <w:sz w:val="21"/>
                              </w:rPr>
                              <w:t>E</w:t>
                            </w:r>
                            <w:r>
                              <w:rPr>
                                <w:b/>
                                <w:color w:val="050505"/>
                                <w:spacing w:val="114"/>
                                <w:w w:val="75"/>
                                <w:sz w:val="21"/>
                              </w:rPr>
                              <w:t> </w:t>
                            </w:r>
                            <w:r>
                              <w:rPr>
                                <w:color w:val="050505"/>
                                <w:spacing w:val="-12"/>
                                <w:w w:val="75"/>
                                <w:sz w:val="21"/>
                              </w:rPr>
                              <w:t>"</w:t>
                            </w:r>
                            <w:r>
                              <w:rPr>
                                <w:color w:val="050505"/>
                                <w:spacing w:val="-12"/>
                                <w:w w:val="75"/>
                                <w:sz w:val="21"/>
                              </w:rPr>
                              <w:t>'</w:t>
                            </w:r>
                          </w:p>
                        </w:txbxContent>
                      </wps:txbx>
                      <wps:bodyPr wrap="square" lIns="0" tIns="0" rIns="0" bIns="0" rtlCol="0">
                        <a:noAutofit/>
                      </wps:bodyPr>
                    </wps:wsp>
                  </a:graphicData>
                </a:graphic>
              </wp:anchor>
            </w:drawing>
          </ve:Choice>
          <ve:Fallback>
            <w:pict>
              <v:shape id="docshape218" style="position:absolute;margin-left:391.063202pt;margin-top:-74.373024pt;width:16.9pt;height:11.75pt;mso-position-horizontal-relative:page;mso-position-vertical-relative:paragraph;z-index:-27401216" filled="false" stroked="false" type="#_x0000_t202">
                <v:textbox inset="0,0,0,0">
                  <w:txbxContent>
                    <w:p>
                      <w:pPr>
                        <w:spacing w:before="0" w:line="235" w:lineRule="exact"/>
                        <w:ind w:left="0" w:right="0" w:firstLine="0"/>
                        <w:jc w:val="left"/>
                        <w:rPr>
                          <w:sz w:val="21"/>
                        </w:rPr>
                      </w:pPr>
                      <w:r>
                        <w:rPr>
                          <w:b/>
                          <w:color w:val="050505"/>
                          <w:w w:val="75"/>
                          <w:sz w:val="21"/>
                        </w:rPr>
                        <w:t>E</w:t>
                      </w:r>
                      <w:r>
                        <w:rPr>
                          <w:b/>
                          <w:color w:val="050505"/>
                          <w:spacing w:val="114"/>
                          <w:w w:val="75"/>
                          <w:sz w:val="21"/>
                        </w:rPr>
                        <w:t> </w:t>
                      </w:r>
                      <w:r>
                        <w:rPr>
                          <w:color w:val="050505"/>
                          <w:spacing w:val="-12"/>
                          <w:w w:val="75"/>
                          <w:sz w:val="21"/>
                        </w:rPr>
                        <w:t>"</w:t>
                      </w:r>
                      <w:r>
                        <w:rPr>
                          <w:color w:val="050505"/>
                          <w:spacing w:val="-12"/>
                          <w:w w:val="75"/>
                          <w:sz w:val="21"/>
                        </w:rPr>
                        <w:t>'</w:t>
                      </w:r>
                    </w:p>
                  </w:txbxContent>
                </v:textbox>
                <w10:wrap type="none"/>
              </v:shape>
            </w:pict>
          </ve:Fallback>
        </ve:AlternateContent>
      </w:r>
      <w:r>
        <w:rPr/>
        <ve:AlternateContent>
          <ve:Choice Requires="wps">
            <w:drawing>
              <wp:anchor distT="0" distB="0" distL="0" distR="0" simplePos="0" relativeHeight="15805440" behindDoc="0" locked="0" layoutInCell="1" allowOverlap="1">
                <wp:simplePos x="0" y="0"/>
                <wp:positionH relativeFrom="page">
                  <wp:posOffset>2898805</wp:posOffset>
                </wp:positionH>
                <wp:positionV relativeFrom="paragraph">
                  <wp:posOffset>-453249</wp:posOffset>
                </wp:positionV>
                <wp:extent cx="4319905" cy="2501265"/>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4319905" cy="250126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06"/>
                              <w:gridCol w:w="1078"/>
                              <w:gridCol w:w="898"/>
                              <w:gridCol w:w="905"/>
                              <w:gridCol w:w="898"/>
                              <w:gridCol w:w="854"/>
                              <w:gridCol w:w="1030"/>
                              <w:gridCol w:w="782"/>
                              <w:gridCol w:w="129"/>
                            </w:tblGrid>
                            <w:tr>
                              <w:trPr>
                                <w:trHeight w:val="472" w:hRule="atLeast"/>
                              </w:trPr>
                              <w:tc>
                                <w:tcPr>
                                  <w:tcW w:w="106" w:type="dxa"/>
                                  <w:vMerge w:val="restart"/>
                                  <w:tcBorders>
                                    <w:bottom w:val="single" w:color="000000" w:sz="6" w:space="0"/>
                                  </w:tcBorders>
                                </w:tcPr>
                                <w:p>
                                  <w:pPr>
                                    <w:pStyle w:val="TableParagraph"/>
                                    <w:rPr>
                                      <w:rFonts w:ascii="Times New Roman"/>
                                      <w:sz w:val="20"/>
                                    </w:rPr>
                                  </w:pPr>
                                </w:p>
                              </w:tc>
                              <w:tc>
                                <w:tcPr>
                                  <w:tcW w:w="1078" w:type="dxa"/>
                                </w:tcPr>
                                <w:p>
                                  <w:pPr>
                                    <w:pStyle w:val="TableParagraph"/>
                                    <w:spacing w:line="235" w:lineRule="exact"/>
                                    <w:ind w:left="277"/>
                                    <w:rPr>
                                      <w:b/>
                                      <w:sz w:val="21"/>
                                    </w:rPr>
                                  </w:pPr>
                                  <w:r>
                                    <w:rPr>
                                      <w:b/>
                                      <w:color w:val="050505"/>
                                      <w:spacing w:val="-4"/>
                                      <w:w w:val="105"/>
                                      <w:sz w:val="21"/>
                                    </w:rPr>
                                    <w:t>£000</w:t>
                                  </w:r>
                                </w:p>
                              </w:tc>
                              <w:tc>
                                <w:tcPr>
                                  <w:tcW w:w="898" w:type="dxa"/>
                                </w:tcPr>
                                <w:p>
                                  <w:pPr>
                                    <w:pStyle w:val="TableParagraph"/>
                                    <w:spacing w:line="235" w:lineRule="exact"/>
                                    <w:ind w:right="111"/>
                                    <w:jc w:val="center"/>
                                    <w:rPr>
                                      <w:b/>
                                      <w:sz w:val="21"/>
                                    </w:rPr>
                                  </w:pPr>
                                  <w:r>
                                    <w:rPr>
                                      <w:b/>
                                      <w:color w:val="050505"/>
                                      <w:spacing w:val="-4"/>
                                      <w:w w:val="105"/>
                                      <w:sz w:val="21"/>
                                    </w:rPr>
                                    <w:t>£000</w:t>
                                  </w:r>
                                </w:p>
                              </w:tc>
                              <w:tc>
                                <w:tcPr>
                                  <w:tcW w:w="905" w:type="dxa"/>
                                </w:tcPr>
                                <w:p>
                                  <w:pPr>
                                    <w:pStyle w:val="TableParagraph"/>
                                    <w:spacing w:line="235" w:lineRule="exact"/>
                                    <w:ind w:left="152"/>
                                    <w:rPr>
                                      <w:b/>
                                      <w:sz w:val="21"/>
                                    </w:rPr>
                                  </w:pPr>
                                  <w:r>
                                    <w:rPr>
                                      <w:b/>
                                      <w:color w:val="050505"/>
                                      <w:spacing w:val="-4"/>
                                      <w:w w:val="105"/>
                                      <w:sz w:val="21"/>
                                    </w:rPr>
                                    <w:t>£000</w:t>
                                  </w:r>
                                </w:p>
                              </w:tc>
                              <w:tc>
                                <w:tcPr>
                                  <w:tcW w:w="898" w:type="dxa"/>
                                </w:tcPr>
                                <w:p>
                                  <w:pPr>
                                    <w:pStyle w:val="TableParagraph"/>
                                    <w:spacing w:line="240" w:lineRule="exact"/>
                                    <w:ind w:left="151"/>
                                    <w:rPr>
                                      <w:b/>
                                      <w:sz w:val="21"/>
                                    </w:rPr>
                                  </w:pPr>
                                  <w:r>
                                    <w:rPr>
                                      <w:b/>
                                      <w:color w:val="050505"/>
                                      <w:spacing w:val="-4"/>
                                      <w:w w:val="105"/>
                                      <w:sz w:val="21"/>
                                    </w:rPr>
                                    <w:t>£000</w:t>
                                  </w:r>
                                </w:p>
                              </w:tc>
                              <w:tc>
                                <w:tcPr>
                                  <w:tcW w:w="854" w:type="dxa"/>
                                </w:tcPr>
                                <w:p>
                                  <w:pPr>
                                    <w:pStyle w:val="TableParagraph"/>
                                    <w:spacing w:line="235" w:lineRule="exact"/>
                                    <w:ind w:left="147"/>
                                    <w:rPr>
                                      <w:b/>
                                      <w:sz w:val="21"/>
                                    </w:rPr>
                                  </w:pPr>
                                  <w:r>
                                    <w:rPr>
                                      <w:b/>
                                      <w:color w:val="050505"/>
                                      <w:spacing w:val="-4"/>
                                      <w:w w:val="105"/>
                                      <w:sz w:val="21"/>
                                    </w:rPr>
                                    <w:t>£000</w:t>
                                  </w:r>
                                </w:p>
                              </w:tc>
                              <w:tc>
                                <w:tcPr>
                                  <w:tcW w:w="1030" w:type="dxa"/>
                                </w:tcPr>
                                <w:p>
                                  <w:pPr>
                                    <w:pStyle w:val="TableParagraph"/>
                                    <w:spacing w:line="235" w:lineRule="exact"/>
                                    <w:ind w:left="254"/>
                                    <w:rPr>
                                      <w:b/>
                                      <w:sz w:val="21"/>
                                    </w:rPr>
                                  </w:pPr>
                                  <w:r>
                                    <w:rPr>
                                      <w:b/>
                                      <w:color w:val="050505"/>
                                      <w:spacing w:val="-4"/>
                                      <w:w w:val="105"/>
                                      <w:sz w:val="21"/>
                                    </w:rPr>
                                    <w:t>£000</w:t>
                                  </w:r>
                                </w:p>
                              </w:tc>
                              <w:tc>
                                <w:tcPr>
                                  <w:tcW w:w="782" w:type="dxa"/>
                                </w:tcPr>
                                <w:p>
                                  <w:pPr>
                                    <w:pStyle w:val="TableParagraph"/>
                                    <w:spacing w:line="235" w:lineRule="exact"/>
                                    <w:ind w:left="77"/>
                                    <w:jc w:val="center"/>
                                    <w:rPr>
                                      <w:b/>
                                      <w:sz w:val="21"/>
                                    </w:rPr>
                                  </w:pPr>
                                  <w:r>
                                    <w:rPr>
                                      <w:b/>
                                      <w:color w:val="050505"/>
                                      <w:spacing w:val="-4"/>
                                      <w:w w:val="105"/>
                                      <w:sz w:val="21"/>
                                    </w:rPr>
                                    <w:t>£000</w:t>
                                  </w:r>
                                </w:p>
                              </w:tc>
                              <w:tc>
                                <w:tcPr>
                                  <w:tcW w:w="129" w:type="dxa"/>
                                </w:tcPr>
                                <w:p>
                                  <w:pPr>
                                    <w:pStyle w:val="TableParagraph"/>
                                    <w:rPr>
                                      <w:rFonts w:ascii="Times New Roman"/>
                                      <w:sz w:val="20"/>
                                    </w:rPr>
                                  </w:pPr>
                                </w:p>
                              </w:tc>
                            </w:tr>
                            <w:tr>
                              <w:trPr>
                                <w:trHeight w:val="894" w:hRule="atLeast"/>
                              </w:trPr>
                              <w:tc>
                                <w:tcPr>
                                  <w:tcW w:w="106" w:type="dxa"/>
                                  <w:vMerge/>
                                  <w:tcBorders>
                                    <w:top w:val="nil"/>
                                    <w:bottom w:val="single" w:color="000000" w:sz="6" w:space="0"/>
                                  </w:tcBorders>
                                </w:tcPr>
                                <w:p>
                                  <w:pPr>
                                    <w:rPr>
                                      <w:sz w:val="2"/>
                                      <w:szCs w:val="2"/>
                                    </w:rPr>
                                  </w:pPr>
                                </w:p>
                              </w:tc>
                              <w:tc>
                                <w:tcPr>
                                  <w:tcW w:w="1078" w:type="dxa"/>
                                </w:tcPr>
                                <w:p>
                                  <w:pPr>
                                    <w:pStyle w:val="TableParagraph"/>
                                    <w:rPr>
                                      <w:rFonts w:ascii="Times New Roman"/>
                                      <w:sz w:val="20"/>
                                    </w:rPr>
                                  </w:pPr>
                                </w:p>
                              </w:tc>
                              <w:tc>
                                <w:tcPr>
                                  <w:tcW w:w="898" w:type="dxa"/>
                                </w:tcPr>
                                <w:p>
                                  <w:pPr>
                                    <w:pStyle w:val="TableParagraph"/>
                                    <w:spacing w:before="226"/>
                                    <w:ind w:left="26"/>
                                    <w:jc w:val="center"/>
                                    <w:rPr>
                                      <w:sz w:val="21"/>
                                    </w:rPr>
                                  </w:pPr>
                                  <w:r>
                                    <w:rPr>
                                      <w:color w:val="050505"/>
                                      <w:spacing w:val="-4"/>
                                      <w:w w:val="105"/>
                                      <w:sz w:val="21"/>
                                    </w:rPr>
                                    <w:t>4,292</w:t>
                                  </w:r>
                                </w:p>
                              </w:tc>
                              <w:tc>
                                <w:tcPr>
                                  <w:tcW w:w="905" w:type="dxa"/>
                                </w:tcPr>
                                <w:p>
                                  <w:pPr>
                                    <w:pStyle w:val="TableParagraph"/>
                                    <w:spacing w:before="231"/>
                                    <w:ind w:right="154"/>
                                    <w:jc w:val="right"/>
                                    <w:rPr>
                                      <w:sz w:val="21"/>
                                    </w:rPr>
                                  </w:pPr>
                                  <w:r>
                                    <w:rPr>
                                      <w:color w:val="050505"/>
                                      <w:spacing w:val="-5"/>
                                      <w:w w:val="105"/>
                                      <w:sz w:val="21"/>
                                    </w:rPr>
                                    <w:t>336</w:t>
                                  </w:r>
                                </w:p>
                              </w:tc>
                              <w:tc>
                                <w:tcPr>
                                  <w:tcW w:w="898" w:type="dxa"/>
                                </w:tcPr>
                                <w:p>
                                  <w:pPr>
                                    <w:pStyle w:val="TableParagraph"/>
                                    <w:spacing w:before="231"/>
                                    <w:ind w:right="153"/>
                                    <w:jc w:val="right"/>
                                    <w:rPr>
                                      <w:sz w:val="21"/>
                                    </w:rPr>
                                  </w:pPr>
                                  <w:r>
                                    <w:rPr>
                                      <w:color w:val="050505"/>
                                      <w:spacing w:val="-5"/>
                                      <w:w w:val="105"/>
                                      <w:sz w:val="21"/>
                                    </w:rPr>
                                    <w:t>964</w:t>
                                  </w:r>
                                </w:p>
                              </w:tc>
                              <w:tc>
                                <w:tcPr>
                                  <w:tcW w:w="854" w:type="dxa"/>
                                </w:tcPr>
                                <w:p>
                                  <w:pPr>
                                    <w:pStyle w:val="TableParagraph"/>
                                    <w:spacing w:before="231"/>
                                    <w:ind w:right="110"/>
                                    <w:jc w:val="right"/>
                                    <w:rPr>
                                      <w:sz w:val="21"/>
                                    </w:rPr>
                                  </w:pPr>
                                  <w:r>
                                    <w:rPr>
                                      <w:color w:val="050505"/>
                                      <w:spacing w:val="-4"/>
                                      <w:w w:val="105"/>
                                      <w:sz w:val="21"/>
                                    </w:rPr>
                                    <w:t>4,483</w:t>
                                  </w:r>
                                </w:p>
                              </w:tc>
                              <w:tc>
                                <w:tcPr>
                                  <w:tcW w:w="1030" w:type="dxa"/>
                                </w:tcPr>
                                <w:p>
                                  <w:pPr>
                                    <w:pStyle w:val="TableParagraph"/>
                                    <w:spacing w:before="226"/>
                                    <w:ind w:right="122"/>
                                    <w:jc w:val="right"/>
                                    <w:rPr>
                                      <w:b/>
                                      <w:sz w:val="21"/>
                                    </w:rPr>
                                  </w:pPr>
                                  <w:r>
                                    <w:rPr>
                                      <w:b/>
                                      <w:color w:val="050505"/>
                                      <w:spacing w:val="-2"/>
                                      <w:w w:val="105"/>
                                      <w:sz w:val="21"/>
                                    </w:rPr>
                                    <w:t>10,075</w:t>
                                  </w:r>
                                </w:p>
                              </w:tc>
                              <w:tc>
                                <w:tcPr>
                                  <w:tcW w:w="782" w:type="dxa"/>
                                </w:tcPr>
                                <w:p>
                                  <w:pPr>
                                    <w:pStyle w:val="TableParagraph"/>
                                    <w:rPr>
                                      <w:rFonts w:ascii="Times New Roman"/>
                                      <w:sz w:val="20"/>
                                    </w:rPr>
                                  </w:pPr>
                                </w:p>
                              </w:tc>
                              <w:tc>
                                <w:tcPr>
                                  <w:tcW w:w="129" w:type="dxa"/>
                                </w:tcPr>
                                <w:p>
                                  <w:pPr>
                                    <w:pStyle w:val="TableParagraph"/>
                                    <w:rPr>
                                      <w:rFonts w:ascii="Times New Roman"/>
                                      <w:sz w:val="20"/>
                                    </w:rPr>
                                  </w:pPr>
                                </w:p>
                              </w:tc>
                            </w:tr>
                            <w:tr>
                              <w:trPr>
                                <w:trHeight w:val="782" w:hRule="atLeast"/>
                              </w:trPr>
                              <w:tc>
                                <w:tcPr>
                                  <w:tcW w:w="106" w:type="dxa"/>
                                  <w:vMerge/>
                                  <w:tcBorders>
                                    <w:top w:val="nil"/>
                                    <w:bottom w:val="single" w:color="000000" w:sz="6" w:space="0"/>
                                  </w:tcBorders>
                                </w:tcPr>
                                <w:p>
                                  <w:pPr>
                                    <w:rPr>
                                      <w:sz w:val="2"/>
                                      <w:szCs w:val="2"/>
                                    </w:rPr>
                                  </w:pPr>
                                </w:p>
                              </w:tc>
                              <w:tc>
                                <w:tcPr>
                                  <w:tcW w:w="1078" w:type="dxa"/>
                                </w:tcPr>
                                <w:p>
                                  <w:pPr>
                                    <w:pStyle w:val="TableParagraph"/>
                                    <w:spacing w:before="223"/>
                                    <w:rPr>
                                      <w:b/>
                                      <w:sz w:val="21"/>
                                    </w:rPr>
                                  </w:pPr>
                                </w:p>
                                <w:p>
                                  <w:pPr>
                                    <w:pStyle w:val="TableParagraph"/>
                                    <w:ind w:right="159"/>
                                    <w:jc w:val="right"/>
                                    <w:rPr>
                                      <w:sz w:val="21"/>
                                    </w:rPr>
                                  </w:pPr>
                                  <w:r>
                                    <w:rPr>
                                      <w:color w:val="050505"/>
                                      <w:spacing w:val="-2"/>
                                      <w:w w:val="105"/>
                                      <w:sz w:val="21"/>
                                    </w:rPr>
                                    <w:t>136,169</w:t>
                                  </w:r>
                                </w:p>
                              </w:tc>
                              <w:tc>
                                <w:tcPr>
                                  <w:tcW w:w="898" w:type="dxa"/>
                                </w:tcPr>
                                <w:p>
                                  <w:pPr>
                                    <w:pStyle w:val="TableParagraph"/>
                                    <w:rPr>
                                      <w:rFonts w:ascii="Times New Roman"/>
                                      <w:sz w:val="20"/>
                                    </w:rPr>
                                  </w:pPr>
                                </w:p>
                              </w:tc>
                              <w:tc>
                                <w:tcPr>
                                  <w:tcW w:w="905" w:type="dxa"/>
                                </w:tcPr>
                                <w:p>
                                  <w:pPr>
                                    <w:pStyle w:val="TableParagraph"/>
                                    <w:rPr>
                                      <w:rFonts w:ascii="Times New Roman"/>
                                      <w:sz w:val="20"/>
                                    </w:rPr>
                                  </w:pPr>
                                </w:p>
                              </w:tc>
                              <w:tc>
                                <w:tcPr>
                                  <w:tcW w:w="898" w:type="dxa"/>
                                </w:tcPr>
                                <w:p>
                                  <w:pPr>
                                    <w:pStyle w:val="TableParagraph"/>
                                    <w:rPr>
                                      <w:rFonts w:ascii="Times New Roman"/>
                                      <w:sz w:val="20"/>
                                    </w:rPr>
                                  </w:pPr>
                                </w:p>
                              </w:tc>
                              <w:tc>
                                <w:tcPr>
                                  <w:tcW w:w="854" w:type="dxa"/>
                                </w:tcPr>
                                <w:p>
                                  <w:pPr>
                                    <w:pStyle w:val="TableParagraph"/>
                                    <w:spacing w:before="103"/>
                                    <w:rPr>
                                      <w:b/>
                                      <w:sz w:val="27"/>
                                    </w:rPr>
                                  </w:pPr>
                                </w:p>
                                <w:p>
                                  <w:pPr>
                                    <w:pStyle w:val="TableParagraph"/>
                                    <w:ind w:right="101"/>
                                    <w:jc w:val="right"/>
                                    <w:rPr>
                                      <w:sz w:val="27"/>
                                    </w:rPr>
                                  </w:pPr>
                                  <w:r>
                                    <w:rPr>
                                      <w:color w:val="1D1D1D"/>
                                      <w:spacing w:val="-10"/>
                                      <w:sz w:val="27"/>
                                    </w:rPr>
                                    <w:t>-</w:t>
                                  </w:r>
                                </w:p>
                              </w:tc>
                              <w:tc>
                                <w:tcPr>
                                  <w:tcW w:w="1030" w:type="dxa"/>
                                </w:tcPr>
                                <w:p>
                                  <w:pPr>
                                    <w:pStyle w:val="TableParagraph"/>
                                    <w:spacing w:before="223"/>
                                    <w:rPr>
                                      <w:b/>
                                      <w:sz w:val="21"/>
                                    </w:rPr>
                                  </w:pPr>
                                </w:p>
                                <w:p>
                                  <w:pPr>
                                    <w:pStyle w:val="TableParagraph"/>
                                    <w:ind w:right="117"/>
                                    <w:jc w:val="right"/>
                                    <w:rPr>
                                      <w:b/>
                                      <w:sz w:val="21"/>
                                    </w:rPr>
                                  </w:pPr>
                                  <w:r>
                                    <w:rPr>
                                      <w:b/>
                                      <w:color w:val="050505"/>
                                      <w:spacing w:val="-2"/>
                                      <w:w w:val="105"/>
                                      <w:sz w:val="21"/>
                                    </w:rPr>
                                    <w:t>136,169</w:t>
                                  </w:r>
                                </w:p>
                              </w:tc>
                              <w:tc>
                                <w:tcPr>
                                  <w:tcW w:w="782" w:type="dxa"/>
                                </w:tcPr>
                                <w:p>
                                  <w:pPr>
                                    <w:pStyle w:val="TableParagraph"/>
                                    <w:spacing w:before="223"/>
                                    <w:rPr>
                                      <w:b/>
                                      <w:sz w:val="21"/>
                                    </w:rPr>
                                  </w:pPr>
                                </w:p>
                                <w:p>
                                  <w:pPr>
                                    <w:pStyle w:val="TableParagraph"/>
                                    <w:ind w:left="104"/>
                                    <w:jc w:val="center"/>
                                    <w:rPr>
                                      <w:sz w:val="21"/>
                                    </w:rPr>
                                  </w:pPr>
                                  <w:r>
                                    <w:rPr>
                                      <w:color w:val="050505"/>
                                      <w:spacing w:val="-2"/>
                                      <w:w w:val="105"/>
                                      <w:sz w:val="21"/>
                                    </w:rPr>
                                    <w:t>10,076</w:t>
                                  </w:r>
                                </w:p>
                              </w:tc>
                              <w:tc>
                                <w:tcPr>
                                  <w:tcW w:w="129" w:type="dxa"/>
                                </w:tcPr>
                                <w:p>
                                  <w:pPr>
                                    <w:pStyle w:val="TableParagraph"/>
                                    <w:rPr>
                                      <w:rFonts w:ascii="Times New Roman"/>
                                      <w:sz w:val="20"/>
                                    </w:rPr>
                                  </w:pPr>
                                </w:p>
                              </w:tc>
                            </w:tr>
                            <w:tr>
                              <w:trPr>
                                <w:trHeight w:val="312" w:hRule="atLeast"/>
                              </w:trPr>
                              <w:tc>
                                <w:tcPr>
                                  <w:tcW w:w="106" w:type="dxa"/>
                                  <w:vMerge/>
                                  <w:tcBorders>
                                    <w:top w:val="nil"/>
                                    <w:bottom w:val="single" w:color="000000" w:sz="6" w:space="0"/>
                                  </w:tcBorders>
                                </w:tcPr>
                                <w:p>
                                  <w:pPr>
                                    <w:rPr>
                                      <w:sz w:val="2"/>
                                      <w:szCs w:val="2"/>
                                    </w:rPr>
                                  </w:pPr>
                                </w:p>
                              </w:tc>
                              <w:tc>
                                <w:tcPr>
                                  <w:tcW w:w="1078" w:type="dxa"/>
                                </w:tcPr>
                                <w:p>
                                  <w:pPr>
                                    <w:pStyle w:val="TableParagraph"/>
                                    <w:spacing w:before="52" w:line="241" w:lineRule="exact"/>
                                    <w:ind w:right="154"/>
                                    <w:jc w:val="right"/>
                                    <w:rPr>
                                      <w:sz w:val="21"/>
                                    </w:rPr>
                                  </w:pPr>
                                  <w:r>
                                    <w:rPr>
                                      <w:color w:val="050505"/>
                                      <w:spacing w:val="-2"/>
                                      <w:w w:val="105"/>
                                      <w:sz w:val="21"/>
                                    </w:rPr>
                                    <w:t>17,578</w:t>
                                  </w:r>
                                </w:p>
                              </w:tc>
                              <w:tc>
                                <w:tcPr>
                                  <w:tcW w:w="898" w:type="dxa"/>
                                </w:tcPr>
                                <w:p>
                                  <w:pPr>
                                    <w:pStyle w:val="TableParagraph"/>
                                    <w:rPr>
                                      <w:rFonts w:ascii="Times New Roman"/>
                                      <w:sz w:val="20"/>
                                    </w:rPr>
                                  </w:pPr>
                                </w:p>
                              </w:tc>
                              <w:tc>
                                <w:tcPr>
                                  <w:tcW w:w="905" w:type="dxa"/>
                                </w:tcPr>
                                <w:p>
                                  <w:pPr>
                                    <w:pStyle w:val="TableParagraph"/>
                                    <w:rPr>
                                      <w:rFonts w:ascii="Times New Roman"/>
                                      <w:sz w:val="20"/>
                                    </w:rPr>
                                  </w:pPr>
                                </w:p>
                              </w:tc>
                              <w:tc>
                                <w:tcPr>
                                  <w:tcW w:w="898" w:type="dxa"/>
                                </w:tcPr>
                                <w:p>
                                  <w:pPr>
                                    <w:pStyle w:val="TableParagraph"/>
                                    <w:rPr>
                                      <w:rFonts w:ascii="Times New Roman"/>
                                      <w:sz w:val="20"/>
                                    </w:rPr>
                                  </w:pPr>
                                </w:p>
                              </w:tc>
                              <w:tc>
                                <w:tcPr>
                                  <w:tcW w:w="854" w:type="dxa"/>
                                </w:tcPr>
                                <w:p>
                                  <w:pPr>
                                    <w:pStyle w:val="TableParagraph"/>
                                    <w:rPr>
                                      <w:rFonts w:ascii="Times New Roman"/>
                                      <w:sz w:val="20"/>
                                    </w:rPr>
                                  </w:pPr>
                                </w:p>
                              </w:tc>
                              <w:tc>
                                <w:tcPr>
                                  <w:tcW w:w="1030" w:type="dxa"/>
                                </w:tcPr>
                                <w:p>
                                  <w:pPr>
                                    <w:pStyle w:val="TableParagraph"/>
                                    <w:spacing w:before="56" w:line="236" w:lineRule="exact"/>
                                    <w:ind w:right="116"/>
                                    <w:jc w:val="right"/>
                                    <w:rPr>
                                      <w:b/>
                                      <w:sz w:val="21"/>
                                    </w:rPr>
                                  </w:pPr>
                                  <w:r>
                                    <w:rPr>
                                      <w:b/>
                                      <w:color w:val="050505"/>
                                      <w:spacing w:val="-2"/>
                                      <w:w w:val="105"/>
                                      <w:sz w:val="21"/>
                                    </w:rPr>
                                    <w:t>17,578</w:t>
                                  </w:r>
                                </w:p>
                              </w:tc>
                              <w:tc>
                                <w:tcPr>
                                  <w:tcW w:w="782" w:type="dxa"/>
                                </w:tcPr>
                                <w:p>
                                  <w:pPr>
                                    <w:pStyle w:val="TableParagraph"/>
                                    <w:rPr>
                                      <w:rFonts w:ascii="Times New Roman"/>
                                      <w:sz w:val="20"/>
                                    </w:rPr>
                                  </w:pPr>
                                </w:p>
                              </w:tc>
                              <w:tc>
                                <w:tcPr>
                                  <w:tcW w:w="129" w:type="dxa"/>
                                </w:tcPr>
                                <w:p>
                                  <w:pPr>
                                    <w:pStyle w:val="TableParagraph"/>
                                    <w:rPr>
                                      <w:rFonts w:ascii="Times New Roman"/>
                                      <w:sz w:val="20"/>
                                    </w:rPr>
                                  </w:pPr>
                                </w:p>
                              </w:tc>
                            </w:tr>
                            <w:tr>
                              <w:trPr>
                                <w:trHeight w:val="321" w:hRule="atLeast"/>
                              </w:trPr>
                              <w:tc>
                                <w:tcPr>
                                  <w:tcW w:w="106" w:type="dxa"/>
                                  <w:vMerge/>
                                  <w:tcBorders>
                                    <w:top w:val="nil"/>
                                    <w:bottom w:val="single" w:color="000000" w:sz="6" w:space="0"/>
                                  </w:tcBorders>
                                </w:tcPr>
                                <w:p>
                                  <w:pPr>
                                    <w:rPr>
                                      <w:sz w:val="2"/>
                                      <w:szCs w:val="2"/>
                                    </w:rPr>
                                  </w:pPr>
                                </w:p>
                              </w:tc>
                              <w:tc>
                                <w:tcPr>
                                  <w:tcW w:w="1078" w:type="dxa"/>
                                </w:tcPr>
                                <w:p>
                                  <w:pPr>
                                    <w:pStyle w:val="TableParagraph"/>
                                    <w:spacing w:before="7"/>
                                    <w:ind w:right="158"/>
                                    <w:jc w:val="right"/>
                                    <w:rPr>
                                      <w:sz w:val="21"/>
                                    </w:rPr>
                                  </w:pPr>
                                  <w:r>
                                    <w:rPr>
                                      <w:color w:val="050505"/>
                                      <w:spacing w:val="-2"/>
                                      <w:w w:val="105"/>
                                      <w:sz w:val="21"/>
                                    </w:rPr>
                                    <w:t>21,030</w:t>
                                  </w:r>
                                </w:p>
                              </w:tc>
                              <w:tc>
                                <w:tcPr>
                                  <w:tcW w:w="898" w:type="dxa"/>
                                </w:tcPr>
                                <w:p>
                                  <w:pPr>
                                    <w:pStyle w:val="TableParagraph"/>
                                    <w:rPr>
                                      <w:rFonts w:ascii="Times New Roman"/>
                                      <w:sz w:val="20"/>
                                    </w:rPr>
                                  </w:pPr>
                                </w:p>
                              </w:tc>
                              <w:tc>
                                <w:tcPr>
                                  <w:tcW w:w="905" w:type="dxa"/>
                                </w:tcPr>
                                <w:p>
                                  <w:pPr>
                                    <w:pStyle w:val="TableParagraph"/>
                                    <w:rPr>
                                      <w:rFonts w:ascii="Times New Roman"/>
                                      <w:sz w:val="20"/>
                                    </w:rPr>
                                  </w:pPr>
                                </w:p>
                              </w:tc>
                              <w:tc>
                                <w:tcPr>
                                  <w:tcW w:w="898" w:type="dxa"/>
                                </w:tcPr>
                                <w:p>
                                  <w:pPr>
                                    <w:pStyle w:val="TableParagraph"/>
                                    <w:spacing w:before="12"/>
                                    <w:ind w:right="153"/>
                                    <w:jc w:val="right"/>
                                    <w:rPr>
                                      <w:sz w:val="21"/>
                                    </w:rPr>
                                  </w:pPr>
                                  <w:r>
                                    <w:rPr>
                                      <w:color w:val="050505"/>
                                      <w:spacing w:val="-5"/>
                                      <w:w w:val="105"/>
                                      <w:sz w:val="21"/>
                                    </w:rPr>
                                    <w:t>899</w:t>
                                  </w:r>
                                </w:p>
                              </w:tc>
                              <w:tc>
                                <w:tcPr>
                                  <w:tcW w:w="854" w:type="dxa"/>
                                </w:tcPr>
                                <w:p>
                                  <w:pPr>
                                    <w:pStyle w:val="TableParagraph"/>
                                    <w:rPr>
                                      <w:rFonts w:ascii="Times New Roman"/>
                                      <w:sz w:val="20"/>
                                    </w:rPr>
                                  </w:pPr>
                                </w:p>
                              </w:tc>
                              <w:tc>
                                <w:tcPr>
                                  <w:tcW w:w="1030" w:type="dxa"/>
                                </w:tcPr>
                                <w:p>
                                  <w:pPr>
                                    <w:pStyle w:val="TableParagraph"/>
                                    <w:spacing w:before="12"/>
                                    <w:ind w:right="116"/>
                                    <w:jc w:val="right"/>
                                    <w:rPr>
                                      <w:b/>
                                      <w:sz w:val="21"/>
                                    </w:rPr>
                                  </w:pPr>
                                  <w:r>
                                    <w:rPr>
                                      <w:b/>
                                      <w:color w:val="050505"/>
                                      <w:spacing w:val="-2"/>
                                      <w:w w:val="105"/>
                                      <w:sz w:val="21"/>
                                    </w:rPr>
                                    <w:t>21,929</w:t>
                                  </w:r>
                                </w:p>
                              </w:tc>
                              <w:tc>
                                <w:tcPr>
                                  <w:tcW w:w="782" w:type="dxa"/>
                                </w:tcPr>
                                <w:p>
                                  <w:pPr>
                                    <w:pStyle w:val="TableParagraph"/>
                                    <w:rPr>
                                      <w:rFonts w:ascii="Times New Roman"/>
                                      <w:sz w:val="20"/>
                                    </w:rPr>
                                  </w:pPr>
                                </w:p>
                              </w:tc>
                              <w:tc>
                                <w:tcPr>
                                  <w:tcW w:w="129" w:type="dxa"/>
                                </w:tcPr>
                                <w:p>
                                  <w:pPr>
                                    <w:pStyle w:val="TableParagraph"/>
                                    <w:rPr>
                                      <w:rFonts w:ascii="Times New Roman"/>
                                      <w:sz w:val="20"/>
                                    </w:rPr>
                                  </w:pPr>
                                </w:p>
                              </w:tc>
                            </w:tr>
                            <w:tr>
                              <w:trPr>
                                <w:trHeight w:val="408" w:hRule="atLeast"/>
                              </w:trPr>
                              <w:tc>
                                <w:tcPr>
                                  <w:tcW w:w="106" w:type="dxa"/>
                                  <w:vMerge/>
                                  <w:tcBorders>
                                    <w:top w:val="nil"/>
                                    <w:bottom w:val="single" w:color="000000" w:sz="6" w:space="0"/>
                                  </w:tcBorders>
                                </w:tcPr>
                                <w:p>
                                  <w:pPr>
                                    <w:rPr>
                                      <w:sz w:val="2"/>
                                      <w:szCs w:val="2"/>
                                    </w:rPr>
                                  </w:pPr>
                                </w:p>
                              </w:tc>
                              <w:tc>
                                <w:tcPr>
                                  <w:tcW w:w="1078" w:type="dxa"/>
                                  <w:tcBorders>
                                    <w:bottom w:val="single" w:color="000000" w:sz="6" w:space="0"/>
                                  </w:tcBorders>
                                </w:tcPr>
                                <w:p>
                                  <w:pPr>
                                    <w:pStyle w:val="TableParagraph"/>
                                    <w:spacing w:before="60"/>
                                    <w:ind w:right="150"/>
                                    <w:jc w:val="right"/>
                                    <w:rPr>
                                      <w:sz w:val="21"/>
                                    </w:rPr>
                                  </w:pPr>
                                  <w:r>
                                    <w:rPr>
                                      <w:color w:val="050505"/>
                                      <w:spacing w:val="-5"/>
                                      <w:w w:val="105"/>
                                      <w:sz w:val="21"/>
                                    </w:rPr>
                                    <w:t>451</w:t>
                                  </w:r>
                                </w:p>
                              </w:tc>
                              <w:tc>
                                <w:tcPr>
                                  <w:tcW w:w="898" w:type="dxa"/>
                                  <w:tcBorders>
                                    <w:bottom w:val="single" w:color="000000" w:sz="6" w:space="0"/>
                                  </w:tcBorders>
                                </w:tcPr>
                                <w:p>
                                  <w:pPr>
                                    <w:pStyle w:val="TableParagraph"/>
                                    <w:rPr>
                                      <w:rFonts w:ascii="Times New Roman"/>
                                      <w:sz w:val="20"/>
                                    </w:rPr>
                                  </w:pPr>
                                </w:p>
                              </w:tc>
                              <w:tc>
                                <w:tcPr>
                                  <w:tcW w:w="905" w:type="dxa"/>
                                  <w:tcBorders>
                                    <w:bottom w:val="single" w:color="000000" w:sz="6" w:space="0"/>
                                  </w:tcBorders>
                                </w:tcPr>
                                <w:p>
                                  <w:pPr>
                                    <w:pStyle w:val="TableParagraph"/>
                                    <w:rPr>
                                      <w:rFonts w:ascii="Times New Roman"/>
                                      <w:sz w:val="20"/>
                                    </w:rPr>
                                  </w:pPr>
                                </w:p>
                              </w:tc>
                              <w:tc>
                                <w:tcPr>
                                  <w:tcW w:w="898" w:type="dxa"/>
                                  <w:tcBorders>
                                    <w:bottom w:val="single" w:color="000000" w:sz="6" w:space="0"/>
                                  </w:tcBorders>
                                </w:tcPr>
                                <w:p>
                                  <w:pPr>
                                    <w:pStyle w:val="TableParagraph"/>
                                    <w:rPr>
                                      <w:rFonts w:ascii="Times New Roman"/>
                                      <w:sz w:val="20"/>
                                    </w:rPr>
                                  </w:pPr>
                                </w:p>
                              </w:tc>
                              <w:tc>
                                <w:tcPr>
                                  <w:tcW w:w="854" w:type="dxa"/>
                                  <w:tcBorders>
                                    <w:bottom w:val="single" w:color="000000" w:sz="6" w:space="0"/>
                                  </w:tcBorders>
                                </w:tcPr>
                                <w:p>
                                  <w:pPr>
                                    <w:pStyle w:val="TableParagraph"/>
                                    <w:rPr>
                                      <w:rFonts w:ascii="Times New Roman"/>
                                      <w:sz w:val="20"/>
                                    </w:rPr>
                                  </w:pPr>
                                </w:p>
                              </w:tc>
                              <w:tc>
                                <w:tcPr>
                                  <w:tcW w:w="1030" w:type="dxa"/>
                                  <w:tcBorders>
                                    <w:bottom w:val="single" w:color="000000" w:sz="6" w:space="0"/>
                                  </w:tcBorders>
                                </w:tcPr>
                                <w:p>
                                  <w:pPr>
                                    <w:pStyle w:val="TableParagraph"/>
                                    <w:spacing w:before="65"/>
                                    <w:ind w:right="110"/>
                                    <w:jc w:val="right"/>
                                    <w:rPr>
                                      <w:b/>
                                      <w:sz w:val="21"/>
                                    </w:rPr>
                                  </w:pPr>
                                  <w:r>
                                    <w:rPr>
                                      <w:b/>
                                      <w:color w:val="050505"/>
                                      <w:spacing w:val="-5"/>
                                      <w:w w:val="105"/>
                                      <w:sz w:val="21"/>
                                    </w:rPr>
                                    <w:t>451</w:t>
                                  </w:r>
                                </w:p>
                              </w:tc>
                              <w:tc>
                                <w:tcPr>
                                  <w:tcW w:w="782" w:type="dxa"/>
                                  <w:tcBorders>
                                    <w:bottom w:val="single" w:color="000000" w:sz="6" w:space="0"/>
                                  </w:tcBorders>
                                </w:tcPr>
                                <w:p>
                                  <w:pPr>
                                    <w:pStyle w:val="TableParagraph"/>
                                    <w:rPr>
                                      <w:rFonts w:ascii="Times New Roman"/>
                                      <w:sz w:val="20"/>
                                    </w:rPr>
                                  </w:pPr>
                                </w:p>
                              </w:tc>
                              <w:tc>
                                <w:tcPr>
                                  <w:tcW w:w="129" w:type="dxa"/>
                                </w:tcPr>
                                <w:p>
                                  <w:pPr>
                                    <w:pStyle w:val="TableParagraph"/>
                                    <w:rPr>
                                      <w:rFonts w:ascii="Times New Roman"/>
                                      <w:sz w:val="20"/>
                                    </w:rPr>
                                  </w:pPr>
                                </w:p>
                              </w:tc>
                            </w:tr>
                            <w:tr>
                              <w:trPr>
                                <w:trHeight w:val="640" w:hRule="atLeast"/>
                              </w:trPr>
                              <w:tc>
                                <w:tcPr>
                                  <w:tcW w:w="106" w:type="dxa"/>
                                  <w:tcBorders>
                                    <w:top w:val="single" w:color="000000" w:sz="6" w:space="0"/>
                                  </w:tcBorders>
                                </w:tcPr>
                                <w:p>
                                  <w:pPr>
                                    <w:pStyle w:val="TableParagraph"/>
                                    <w:rPr>
                                      <w:rFonts w:ascii="Times New Roman"/>
                                      <w:sz w:val="20"/>
                                    </w:rPr>
                                  </w:pPr>
                                </w:p>
                              </w:tc>
                              <w:tc>
                                <w:tcPr>
                                  <w:tcW w:w="1078" w:type="dxa"/>
                                  <w:tcBorders>
                                    <w:top w:val="single" w:color="000000" w:sz="6" w:space="0"/>
                                    <w:bottom w:val="single" w:color="000000" w:sz="8" w:space="0"/>
                                  </w:tcBorders>
                                </w:tcPr>
                                <w:p>
                                  <w:pPr>
                                    <w:pStyle w:val="TableParagraph"/>
                                    <w:spacing w:before="208"/>
                                    <w:ind w:right="155"/>
                                    <w:jc w:val="right"/>
                                    <w:rPr>
                                      <w:b/>
                                      <w:sz w:val="21"/>
                                    </w:rPr>
                                  </w:pPr>
                                  <w:r>
                                    <w:rPr>
                                      <w:b/>
                                      <w:color w:val="050505"/>
                                      <w:spacing w:val="-2"/>
                                      <w:w w:val="105"/>
                                      <w:sz w:val="21"/>
                                    </w:rPr>
                                    <w:t>175,228</w:t>
                                  </w:r>
                                </w:p>
                              </w:tc>
                              <w:tc>
                                <w:tcPr>
                                  <w:tcW w:w="898" w:type="dxa"/>
                                  <w:tcBorders>
                                    <w:top w:val="single" w:color="000000" w:sz="6" w:space="0"/>
                                    <w:bottom w:val="single" w:color="000000" w:sz="8" w:space="0"/>
                                  </w:tcBorders>
                                </w:tcPr>
                                <w:p>
                                  <w:pPr>
                                    <w:pStyle w:val="TableParagraph"/>
                                    <w:spacing w:before="213"/>
                                    <w:ind w:left="38"/>
                                    <w:jc w:val="center"/>
                                    <w:rPr>
                                      <w:b/>
                                      <w:sz w:val="21"/>
                                    </w:rPr>
                                  </w:pPr>
                                  <w:r>
                                    <w:rPr>
                                      <w:b/>
                                      <w:color w:val="050505"/>
                                      <w:spacing w:val="-4"/>
                                      <w:w w:val="105"/>
                                      <w:sz w:val="21"/>
                                    </w:rPr>
                                    <w:t>4,292</w:t>
                                  </w:r>
                                </w:p>
                              </w:tc>
                              <w:tc>
                                <w:tcPr>
                                  <w:tcW w:w="905" w:type="dxa"/>
                                  <w:tcBorders>
                                    <w:top w:val="single" w:color="000000" w:sz="6" w:space="0"/>
                                    <w:bottom w:val="single" w:color="000000" w:sz="8" w:space="0"/>
                                  </w:tcBorders>
                                </w:tcPr>
                                <w:p>
                                  <w:pPr>
                                    <w:pStyle w:val="TableParagraph"/>
                                    <w:spacing w:before="213"/>
                                    <w:ind w:right="149"/>
                                    <w:jc w:val="right"/>
                                    <w:rPr>
                                      <w:b/>
                                      <w:sz w:val="21"/>
                                    </w:rPr>
                                  </w:pPr>
                                  <w:r>
                                    <w:rPr>
                                      <w:b/>
                                      <w:color w:val="050505"/>
                                      <w:spacing w:val="-5"/>
                                      <w:w w:val="105"/>
                                      <w:sz w:val="21"/>
                                    </w:rPr>
                                    <w:t>336</w:t>
                                  </w:r>
                                </w:p>
                              </w:tc>
                              <w:tc>
                                <w:tcPr>
                                  <w:tcW w:w="898" w:type="dxa"/>
                                  <w:tcBorders>
                                    <w:top w:val="single" w:color="000000" w:sz="6" w:space="0"/>
                                    <w:bottom w:val="single" w:color="000000" w:sz="8" w:space="0"/>
                                  </w:tcBorders>
                                </w:tcPr>
                                <w:p>
                                  <w:pPr>
                                    <w:pStyle w:val="TableParagraph"/>
                                    <w:spacing w:before="213"/>
                                    <w:ind w:left="193"/>
                                    <w:rPr>
                                      <w:b/>
                                      <w:sz w:val="21"/>
                                    </w:rPr>
                                  </w:pPr>
                                  <w:r>
                                    <w:rPr>
                                      <w:b/>
                                      <w:color w:val="050505"/>
                                      <w:spacing w:val="-4"/>
                                      <w:w w:val="105"/>
                                      <w:sz w:val="21"/>
                                    </w:rPr>
                                    <w:t>1,863</w:t>
                                  </w:r>
                                </w:p>
                              </w:tc>
                              <w:tc>
                                <w:tcPr>
                                  <w:tcW w:w="854" w:type="dxa"/>
                                  <w:tcBorders>
                                    <w:top w:val="single" w:color="000000" w:sz="6" w:space="0"/>
                                    <w:bottom w:val="single" w:color="000000" w:sz="8" w:space="0"/>
                                  </w:tcBorders>
                                </w:tcPr>
                                <w:p>
                                  <w:pPr>
                                    <w:pStyle w:val="TableParagraph"/>
                                    <w:spacing w:before="213"/>
                                    <w:ind w:right="101"/>
                                    <w:jc w:val="right"/>
                                    <w:rPr>
                                      <w:b/>
                                      <w:sz w:val="21"/>
                                    </w:rPr>
                                  </w:pPr>
                                  <w:r>
                                    <w:rPr>
                                      <w:b/>
                                      <w:color w:val="050505"/>
                                      <w:spacing w:val="-4"/>
                                      <w:w w:val="105"/>
                                      <w:sz w:val="21"/>
                                    </w:rPr>
                                    <w:t>4,483</w:t>
                                  </w:r>
                                </w:p>
                              </w:tc>
                              <w:tc>
                                <w:tcPr>
                                  <w:tcW w:w="1030" w:type="dxa"/>
                                  <w:tcBorders>
                                    <w:top w:val="single" w:color="000000" w:sz="6" w:space="0"/>
                                    <w:bottom w:val="single" w:color="000000" w:sz="8" w:space="0"/>
                                  </w:tcBorders>
                                </w:tcPr>
                                <w:p>
                                  <w:pPr>
                                    <w:pStyle w:val="TableParagraph"/>
                                    <w:spacing w:before="213"/>
                                    <w:ind w:right="107"/>
                                    <w:jc w:val="right"/>
                                    <w:rPr>
                                      <w:b/>
                                      <w:sz w:val="21"/>
                                    </w:rPr>
                                  </w:pPr>
                                  <w:r>
                                    <w:rPr>
                                      <w:b/>
                                      <w:color w:val="050505"/>
                                      <w:spacing w:val="-2"/>
                                      <w:w w:val="105"/>
                                      <w:sz w:val="21"/>
                                    </w:rPr>
                                    <w:t>186,202</w:t>
                                  </w:r>
                                </w:p>
                              </w:tc>
                              <w:tc>
                                <w:tcPr>
                                  <w:tcW w:w="782" w:type="dxa"/>
                                  <w:tcBorders>
                                    <w:top w:val="single" w:color="000000" w:sz="6" w:space="0"/>
                                    <w:bottom w:val="single" w:color="000000" w:sz="8" w:space="0"/>
                                  </w:tcBorders>
                                </w:tcPr>
                                <w:p>
                                  <w:pPr>
                                    <w:pStyle w:val="TableParagraph"/>
                                    <w:spacing w:before="213"/>
                                    <w:ind w:left="118" w:right="-15"/>
                                    <w:jc w:val="center"/>
                                    <w:rPr>
                                      <w:b/>
                                      <w:sz w:val="21"/>
                                    </w:rPr>
                                  </w:pPr>
                                  <w:r>
                                    <w:rPr>
                                      <w:b/>
                                      <w:color w:val="050505"/>
                                      <w:spacing w:val="-2"/>
                                      <w:w w:val="105"/>
                                      <w:sz w:val="21"/>
                                    </w:rPr>
                                    <w:t>10,076</w:t>
                                  </w:r>
                                </w:p>
                              </w:tc>
                              <w:tc>
                                <w:tcPr>
                                  <w:tcW w:w="129" w:type="dxa"/>
                                  <w:tcBorders>
                                    <w:bottom w:val="single" w:color="000000" w:sz="8" w:space="0"/>
                                  </w:tcBorders>
                                </w:tcPr>
                                <w:p>
                                  <w:pPr>
                                    <w:pStyle w:val="TableParagraph"/>
                                    <w:rPr>
                                      <w:rFonts w:ascii="Times New Roman"/>
                                      <w:sz w:val="20"/>
                                    </w:rPr>
                                  </w:pPr>
                                </w:p>
                              </w:tc>
                            </w:tr>
                          </w:tbl>
                          <w:p>
                            <w:pPr>
                              <w:pStyle w:val="BodyText"/>
                            </w:pPr>
                          </w:p>
                        </w:txbxContent>
                      </wps:txbx>
                      <wps:bodyPr wrap="square" lIns="0" tIns="0" rIns="0" bIns="0" rtlCol="0">
                        <a:noAutofit/>
                      </wps:bodyPr>
                    </wps:wsp>
                  </a:graphicData>
                </a:graphic>
              </wp:anchor>
            </w:drawing>
          </ve:Choice>
          <ve:Fallback>
            <w:pict>
              <v:shape id="docshape219" style="position:absolute;margin-left:228.252411pt;margin-top:-35.688923pt;width:340.15pt;height:196.95pt;mso-position-horizontal-relative:page;mso-position-vertical-relative:paragraph;z-index:15805440"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06"/>
                        <w:gridCol w:w="1078"/>
                        <w:gridCol w:w="898"/>
                        <w:gridCol w:w="905"/>
                        <w:gridCol w:w="898"/>
                        <w:gridCol w:w="854"/>
                        <w:gridCol w:w="1030"/>
                        <w:gridCol w:w="782"/>
                        <w:gridCol w:w="129"/>
                      </w:tblGrid>
                      <w:tr>
                        <w:trPr>
                          <w:trHeight w:val="472" w:hRule="atLeast"/>
                        </w:trPr>
                        <w:tc>
                          <w:tcPr>
                            <w:tcW w:w="106" w:type="dxa"/>
                            <w:vMerge w:val="restart"/>
                            <w:tcBorders>
                              <w:bottom w:val="single" w:color="000000" w:sz="6" w:space="0"/>
                            </w:tcBorders>
                          </w:tcPr>
                          <w:p>
                            <w:pPr>
                              <w:pStyle w:val="TableParagraph"/>
                              <w:rPr>
                                <w:rFonts w:ascii="Times New Roman"/>
                                <w:sz w:val="20"/>
                              </w:rPr>
                            </w:pPr>
                          </w:p>
                        </w:tc>
                        <w:tc>
                          <w:tcPr>
                            <w:tcW w:w="1078" w:type="dxa"/>
                          </w:tcPr>
                          <w:p>
                            <w:pPr>
                              <w:pStyle w:val="TableParagraph"/>
                              <w:spacing w:line="235" w:lineRule="exact"/>
                              <w:ind w:left="277"/>
                              <w:rPr>
                                <w:b/>
                                <w:sz w:val="21"/>
                              </w:rPr>
                            </w:pPr>
                            <w:r>
                              <w:rPr>
                                <w:b/>
                                <w:color w:val="050505"/>
                                <w:spacing w:val="-4"/>
                                <w:w w:val="105"/>
                                <w:sz w:val="21"/>
                              </w:rPr>
                              <w:t>£000</w:t>
                            </w:r>
                          </w:p>
                        </w:tc>
                        <w:tc>
                          <w:tcPr>
                            <w:tcW w:w="898" w:type="dxa"/>
                          </w:tcPr>
                          <w:p>
                            <w:pPr>
                              <w:pStyle w:val="TableParagraph"/>
                              <w:spacing w:line="235" w:lineRule="exact"/>
                              <w:ind w:right="111"/>
                              <w:jc w:val="center"/>
                              <w:rPr>
                                <w:b/>
                                <w:sz w:val="21"/>
                              </w:rPr>
                            </w:pPr>
                            <w:r>
                              <w:rPr>
                                <w:b/>
                                <w:color w:val="050505"/>
                                <w:spacing w:val="-4"/>
                                <w:w w:val="105"/>
                                <w:sz w:val="21"/>
                              </w:rPr>
                              <w:t>£000</w:t>
                            </w:r>
                          </w:p>
                        </w:tc>
                        <w:tc>
                          <w:tcPr>
                            <w:tcW w:w="905" w:type="dxa"/>
                          </w:tcPr>
                          <w:p>
                            <w:pPr>
                              <w:pStyle w:val="TableParagraph"/>
                              <w:spacing w:line="235" w:lineRule="exact"/>
                              <w:ind w:left="152"/>
                              <w:rPr>
                                <w:b/>
                                <w:sz w:val="21"/>
                              </w:rPr>
                            </w:pPr>
                            <w:r>
                              <w:rPr>
                                <w:b/>
                                <w:color w:val="050505"/>
                                <w:spacing w:val="-4"/>
                                <w:w w:val="105"/>
                                <w:sz w:val="21"/>
                              </w:rPr>
                              <w:t>£000</w:t>
                            </w:r>
                          </w:p>
                        </w:tc>
                        <w:tc>
                          <w:tcPr>
                            <w:tcW w:w="898" w:type="dxa"/>
                          </w:tcPr>
                          <w:p>
                            <w:pPr>
                              <w:pStyle w:val="TableParagraph"/>
                              <w:spacing w:line="240" w:lineRule="exact"/>
                              <w:ind w:left="151"/>
                              <w:rPr>
                                <w:b/>
                                <w:sz w:val="21"/>
                              </w:rPr>
                            </w:pPr>
                            <w:r>
                              <w:rPr>
                                <w:b/>
                                <w:color w:val="050505"/>
                                <w:spacing w:val="-4"/>
                                <w:w w:val="105"/>
                                <w:sz w:val="21"/>
                              </w:rPr>
                              <w:t>£000</w:t>
                            </w:r>
                          </w:p>
                        </w:tc>
                        <w:tc>
                          <w:tcPr>
                            <w:tcW w:w="854" w:type="dxa"/>
                          </w:tcPr>
                          <w:p>
                            <w:pPr>
                              <w:pStyle w:val="TableParagraph"/>
                              <w:spacing w:line="235" w:lineRule="exact"/>
                              <w:ind w:left="147"/>
                              <w:rPr>
                                <w:b/>
                                <w:sz w:val="21"/>
                              </w:rPr>
                            </w:pPr>
                            <w:r>
                              <w:rPr>
                                <w:b/>
                                <w:color w:val="050505"/>
                                <w:spacing w:val="-4"/>
                                <w:w w:val="105"/>
                                <w:sz w:val="21"/>
                              </w:rPr>
                              <w:t>£000</w:t>
                            </w:r>
                          </w:p>
                        </w:tc>
                        <w:tc>
                          <w:tcPr>
                            <w:tcW w:w="1030" w:type="dxa"/>
                          </w:tcPr>
                          <w:p>
                            <w:pPr>
                              <w:pStyle w:val="TableParagraph"/>
                              <w:spacing w:line="235" w:lineRule="exact"/>
                              <w:ind w:left="254"/>
                              <w:rPr>
                                <w:b/>
                                <w:sz w:val="21"/>
                              </w:rPr>
                            </w:pPr>
                            <w:r>
                              <w:rPr>
                                <w:b/>
                                <w:color w:val="050505"/>
                                <w:spacing w:val="-4"/>
                                <w:w w:val="105"/>
                                <w:sz w:val="21"/>
                              </w:rPr>
                              <w:t>£000</w:t>
                            </w:r>
                          </w:p>
                        </w:tc>
                        <w:tc>
                          <w:tcPr>
                            <w:tcW w:w="782" w:type="dxa"/>
                          </w:tcPr>
                          <w:p>
                            <w:pPr>
                              <w:pStyle w:val="TableParagraph"/>
                              <w:spacing w:line="235" w:lineRule="exact"/>
                              <w:ind w:left="77"/>
                              <w:jc w:val="center"/>
                              <w:rPr>
                                <w:b/>
                                <w:sz w:val="21"/>
                              </w:rPr>
                            </w:pPr>
                            <w:r>
                              <w:rPr>
                                <w:b/>
                                <w:color w:val="050505"/>
                                <w:spacing w:val="-4"/>
                                <w:w w:val="105"/>
                                <w:sz w:val="21"/>
                              </w:rPr>
                              <w:t>£000</w:t>
                            </w:r>
                          </w:p>
                        </w:tc>
                        <w:tc>
                          <w:tcPr>
                            <w:tcW w:w="129" w:type="dxa"/>
                          </w:tcPr>
                          <w:p>
                            <w:pPr>
                              <w:pStyle w:val="TableParagraph"/>
                              <w:rPr>
                                <w:rFonts w:ascii="Times New Roman"/>
                                <w:sz w:val="20"/>
                              </w:rPr>
                            </w:pPr>
                          </w:p>
                        </w:tc>
                      </w:tr>
                      <w:tr>
                        <w:trPr>
                          <w:trHeight w:val="894" w:hRule="atLeast"/>
                        </w:trPr>
                        <w:tc>
                          <w:tcPr>
                            <w:tcW w:w="106" w:type="dxa"/>
                            <w:vMerge/>
                            <w:tcBorders>
                              <w:top w:val="nil"/>
                              <w:bottom w:val="single" w:color="000000" w:sz="6" w:space="0"/>
                            </w:tcBorders>
                          </w:tcPr>
                          <w:p>
                            <w:pPr>
                              <w:rPr>
                                <w:sz w:val="2"/>
                                <w:szCs w:val="2"/>
                              </w:rPr>
                            </w:pPr>
                          </w:p>
                        </w:tc>
                        <w:tc>
                          <w:tcPr>
                            <w:tcW w:w="1078" w:type="dxa"/>
                          </w:tcPr>
                          <w:p>
                            <w:pPr>
                              <w:pStyle w:val="TableParagraph"/>
                              <w:rPr>
                                <w:rFonts w:ascii="Times New Roman"/>
                                <w:sz w:val="20"/>
                              </w:rPr>
                            </w:pPr>
                          </w:p>
                        </w:tc>
                        <w:tc>
                          <w:tcPr>
                            <w:tcW w:w="898" w:type="dxa"/>
                          </w:tcPr>
                          <w:p>
                            <w:pPr>
                              <w:pStyle w:val="TableParagraph"/>
                              <w:spacing w:before="226"/>
                              <w:ind w:left="26"/>
                              <w:jc w:val="center"/>
                              <w:rPr>
                                <w:sz w:val="21"/>
                              </w:rPr>
                            </w:pPr>
                            <w:r>
                              <w:rPr>
                                <w:color w:val="050505"/>
                                <w:spacing w:val="-4"/>
                                <w:w w:val="105"/>
                                <w:sz w:val="21"/>
                              </w:rPr>
                              <w:t>4,292</w:t>
                            </w:r>
                          </w:p>
                        </w:tc>
                        <w:tc>
                          <w:tcPr>
                            <w:tcW w:w="905" w:type="dxa"/>
                          </w:tcPr>
                          <w:p>
                            <w:pPr>
                              <w:pStyle w:val="TableParagraph"/>
                              <w:spacing w:before="231"/>
                              <w:ind w:right="154"/>
                              <w:jc w:val="right"/>
                              <w:rPr>
                                <w:sz w:val="21"/>
                              </w:rPr>
                            </w:pPr>
                            <w:r>
                              <w:rPr>
                                <w:color w:val="050505"/>
                                <w:spacing w:val="-5"/>
                                <w:w w:val="105"/>
                                <w:sz w:val="21"/>
                              </w:rPr>
                              <w:t>336</w:t>
                            </w:r>
                          </w:p>
                        </w:tc>
                        <w:tc>
                          <w:tcPr>
                            <w:tcW w:w="898" w:type="dxa"/>
                          </w:tcPr>
                          <w:p>
                            <w:pPr>
                              <w:pStyle w:val="TableParagraph"/>
                              <w:spacing w:before="231"/>
                              <w:ind w:right="153"/>
                              <w:jc w:val="right"/>
                              <w:rPr>
                                <w:sz w:val="21"/>
                              </w:rPr>
                            </w:pPr>
                            <w:r>
                              <w:rPr>
                                <w:color w:val="050505"/>
                                <w:spacing w:val="-5"/>
                                <w:w w:val="105"/>
                                <w:sz w:val="21"/>
                              </w:rPr>
                              <w:t>964</w:t>
                            </w:r>
                          </w:p>
                        </w:tc>
                        <w:tc>
                          <w:tcPr>
                            <w:tcW w:w="854" w:type="dxa"/>
                          </w:tcPr>
                          <w:p>
                            <w:pPr>
                              <w:pStyle w:val="TableParagraph"/>
                              <w:spacing w:before="231"/>
                              <w:ind w:right="110"/>
                              <w:jc w:val="right"/>
                              <w:rPr>
                                <w:sz w:val="21"/>
                              </w:rPr>
                            </w:pPr>
                            <w:r>
                              <w:rPr>
                                <w:color w:val="050505"/>
                                <w:spacing w:val="-4"/>
                                <w:w w:val="105"/>
                                <w:sz w:val="21"/>
                              </w:rPr>
                              <w:t>4,483</w:t>
                            </w:r>
                          </w:p>
                        </w:tc>
                        <w:tc>
                          <w:tcPr>
                            <w:tcW w:w="1030" w:type="dxa"/>
                          </w:tcPr>
                          <w:p>
                            <w:pPr>
                              <w:pStyle w:val="TableParagraph"/>
                              <w:spacing w:before="226"/>
                              <w:ind w:right="122"/>
                              <w:jc w:val="right"/>
                              <w:rPr>
                                <w:b/>
                                <w:sz w:val="21"/>
                              </w:rPr>
                            </w:pPr>
                            <w:r>
                              <w:rPr>
                                <w:b/>
                                <w:color w:val="050505"/>
                                <w:spacing w:val="-2"/>
                                <w:w w:val="105"/>
                                <w:sz w:val="21"/>
                              </w:rPr>
                              <w:t>10,075</w:t>
                            </w:r>
                          </w:p>
                        </w:tc>
                        <w:tc>
                          <w:tcPr>
                            <w:tcW w:w="782" w:type="dxa"/>
                          </w:tcPr>
                          <w:p>
                            <w:pPr>
                              <w:pStyle w:val="TableParagraph"/>
                              <w:rPr>
                                <w:rFonts w:ascii="Times New Roman"/>
                                <w:sz w:val="20"/>
                              </w:rPr>
                            </w:pPr>
                          </w:p>
                        </w:tc>
                        <w:tc>
                          <w:tcPr>
                            <w:tcW w:w="129" w:type="dxa"/>
                          </w:tcPr>
                          <w:p>
                            <w:pPr>
                              <w:pStyle w:val="TableParagraph"/>
                              <w:rPr>
                                <w:rFonts w:ascii="Times New Roman"/>
                                <w:sz w:val="20"/>
                              </w:rPr>
                            </w:pPr>
                          </w:p>
                        </w:tc>
                      </w:tr>
                      <w:tr>
                        <w:trPr>
                          <w:trHeight w:val="782" w:hRule="atLeast"/>
                        </w:trPr>
                        <w:tc>
                          <w:tcPr>
                            <w:tcW w:w="106" w:type="dxa"/>
                            <w:vMerge/>
                            <w:tcBorders>
                              <w:top w:val="nil"/>
                              <w:bottom w:val="single" w:color="000000" w:sz="6" w:space="0"/>
                            </w:tcBorders>
                          </w:tcPr>
                          <w:p>
                            <w:pPr>
                              <w:rPr>
                                <w:sz w:val="2"/>
                                <w:szCs w:val="2"/>
                              </w:rPr>
                            </w:pPr>
                          </w:p>
                        </w:tc>
                        <w:tc>
                          <w:tcPr>
                            <w:tcW w:w="1078" w:type="dxa"/>
                          </w:tcPr>
                          <w:p>
                            <w:pPr>
                              <w:pStyle w:val="TableParagraph"/>
                              <w:spacing w:before="223"/>
                              <w:rPr>
                                <w:b/>
                                <w:sz w:val="21"/>
                              </w:rPr>
                            </w:pPr>
                          </w:p>
                          <w:p>
                            <w:pPr>
                              <w:pStyle w:val="TableParagraph"/>
                              <w:ind w:right="159"/>
                              <w:jc w:val="right"/>
                              <w:rPr>
                                <w:sz w:val="21"/>
                              </w:rPr>
                            </w:pPr>
                            <w:r>
                              <w:rPr>
                                <w:color w:val="050505"/>
                                <w:spacing w:val="-2"/>
                                <w:w w:val="105"/>
                                <w:sz w:val="21"/>
                              </w:rPr>
                              <w:t>136,169</w:t>
                            </w:r>
                          </w:p>
                        </w:tc>
                        <w:tc>
                          <w:tcPr>
                            <w:tcW w:w="898" w:type="dxa"/>
                          </w:tcPr>
                          <w:p>
                            <w:pPr>
                              <w:pStyle w:val="TableParagraph"/>
                              <w:rPr>
                                <w:rFonts w:ascii="Times New Roman"/>
                                <w:sz w:val="20"/>
                              </w:rPr>
                            </w:pPr>
                          </w:p>
                        </w:tc>
                        <w:tc>
                          <w:tcPr>
                            <w:tcW w:w="905" w:type="dxa"/>
                          </w:tcPr>
                          <w:p>
                            <w:pPr>
                              <w:pStyle w:val="TableParagraph"/>
                              <w:rPr>
                                <w:rFonts w:ascii="Times New Roman"/>
                                <w:sz w:val="20"/>
                              </w:rPr>
                            </w:pPr>
                          </w:p>
                        </w:tc>
                        <w:tc>
                          <w:tcPr>
                            <w:tcW w:w="898" w:type="dxa"/>
                          </w:tcPr>
                          <w:p>
                            <w:pPr>
                              <w:pStyle w:val="TableParagraph"/>
                              <w:rPr>
                                <w:rFonts w:ascii="Times New Roman"/>
                                <w:sz w:val="20"/>
                              </w:rPr>
                            </w:pPr>
                          </w:p>
                        </w:tc>
                        <w:tc>
                          <w:tcPr>
                            <w:tcW w:w="854" w:type="dxa"/>
                          </w:tcPr>
                          <w:p>
                            <w:pPr>
                              <w:pStyle w:val="TableParagraph"/>
                              <w:spacing w:before="103"/>
                              <w:rPr>
                                <w:b/>
                                <w:sz w:val="27"/>
                              </w:rPr>
                            </w:pPr>
                          </w:p>
                          <w:p>
                            <w:pPr>
                              <w:pStyle w:val="TableParagraph"/>
                              <w:ind w:right="101"/>
                              <w:jc w:val="right"/>
                              <w:rPr>
                                <w:sz w:val="27"/>
                              </w:rPr>
                            </w:pPr>
                            <w:r>
                              <w:rPr>
                                <w:color w:val="1D1D1D"/>
                                <w:spacing w:val="-10"/>
                                <w:sz w:val="27"/>
                              </w:rPr>
                              <w:t>-</w:t>
                            </w:r>
                          </w:p>
                        </w:tc>
                        <w:tc>
                          <w:tcPr>
                            <w:tcW w:w="1030" w:type="dxa"/>
                          </w:tcPr>
                          <w:p>
                            <w:pPr>
                              <w:pStyle w:val="TableParagraph"/>
                              <w:spacing w:before="223"/>
                              <w:rPr>
                                <w:b/>
                                <w:sz w:val="21"/>
                              </w:rPr>
                            </w:pPr>
                          </w:p>
                          <w:p>
                            <w:pPr>
                              <w:pStyle w:val="TableParagraph"/>
                              <w:ind w:right="117"/>
                              <w:jc w:val="right"/>
                              <w:rPr>
                                <w:b/>
                                <w:sz w:val="21"/>
                              </w:rPr>
                            </w:pPr>
                            <w:r>
                              <w:rPr>
                                <w:b/>
                                <w:color w:val="050505"/>
                                <w:spacing w:val="-2"/>
                                <w:w w:val="105"/>
                                <w:sz w:val="21"/>
                              </w:rPr>
                              <w:t>136,169</w:t>
                            </w:r>
                          </w:p>
                        </w:tc>
                        <w:tc>
                          <w:tcPr>
                            <w:tcW w:w="782" w:type="dxa"/>
                          </w:tcPr>
                          <w:p>
                            <w:pPr>
                              <w:pStyle w:val="TableParagraph"/>
                              <w:spacing w:before="223"/>
                              <w:rPr>
                                <w:b/>
                                <w:sz w:val="21"/>
                              </w:rPr>
                            </w:pPr>
                          </w:p>
                          <w:p>
                            <w:pPr>
                              <w:pStyle w:val="TableParagraph"/>
                              <w:ind w:left="104"/>
                              <w:jc w:val="center"/>
                              <w:rPr>
                                <w:sz w:val="21"/>
                              </w:rPr>
                            </w:pPr>
                            <w:r>
                              <w:rPr>
                                <w:color w:val="050505"/>
                                <w:spacing w:val="-2"/>
                                <w:w w:val="105"/>
                                <w:sz w:val="21"/>
                              </w:rPr>
                              <w:t>10,076</w:t>
                            </w:r>
                          </w:p>
                        </w:tc>
                        <w:tc>
                          <w:tcPr>
                            <w:tcW w:w="129" w:type="dxa"/>
                          </w:tcPr>
                          <w:p>
                            <w:pPr>
                              <w:pStyle w:val="TableParagraph"/>
                              <w:rPr>
                                <w:rFonts w:ascii="Times New Roman"/>
                                <w:sz w:val="20"/>
                              </w:rPr>
                            </w:pPr>
                          </w:p>
                        </w:tc>
                      </w:tr>
                      <w:tr>
                        <w:trPr>
                          <w:trHeight w:val="312" w:hRule="atLeast"/>
                        </w:trPr>
                        <w:tc>
                          <w:tcPr>
                            <w:tcW w:w="106" w:type="dxa"/>
                            <w:vMerge/>
                            <w:tcBorders>
                              <w:top w:val="nil"/>
                              <w:bottom w:val="single" w:color="000000" w:sz="6" w:space="0"/>
                            </w:tcBorders>
                          </w:tcPr>
                          <w:p>
                            <w:pPr>
                              <w:rPr>
                                <w:sz w:val="2"/>
                                <w:szCs w:val="2"/>
                              </w:rPr>
                            </w:pPr>
                          </w:p>
                        </w:tc>
                        <w:tc>
                          <w:tcPr>
                            <w:tcW w:w="1078" w:type="dxa"/>
                          </w:tcPr>
                          <w:p>
                            <w:pPr>
                              <w:pStyle w:val="TableParagraph"/>
                              <w:spacing w:before="52" w:line="241" w:lineRule="exact"/>
                              <w:ind w:right="154"/>
                              <w:jc w:val="right"/>
                              <w:rPr>
                                <w:sz w:val="21"/>
                              </w:rPr>
                            </w:pPr>
                            <w:r>
                              <w:rPr>
                                <w:color w:val="050505"/>
                                <w:spacing w:val="-2"/>
                                <w:w w:val="105"/>
                                <w:sz w:val="21"/>
                              </w:rPr>
                              <w:t>17,578</w:t>
                            </w:r>
                          </w:p>
                        </w:tc>
                        <w:tc>
                          <w:tcPr>
                            <w:tcW w:w="898" w:type="dxa"/>
                          </w:tcPr>
                          <w:p>
                            <w:pPr>
                              <w:pStyle w:val="TableParagraph"/>
                              <w:rPr>
                                <w:rFonts w:ascii="Times New Roman"/>
                                <w:sz w:val="20"/>
                              </w:rPr>
                            </w:pPr>
                          </w:p>
                        </w:tc>
                        <w:tc>
                          <w:tcPr>
                            <w:tcW w:w="905" w:type="dxa"/>
                          </w:tcPr>
                          <w:p>
                            <w:pPr>
                              <w:pStyle w:val="TableParagraph"/>
                              <w:rPr>
                                <w:rFonts w:ascii="Times New Roman"/>
                                <w:sz w:val="20"/>
                              </w:rPr>
                            </w:pPr>
                          </w:p>
                        </w:tc>
                        <w:tc>
                          <w:tcPr>
                            <w:tcW w:w="898" w:type="dxa"/>
                          </w:tcPr>
                          <w:p>
                            <w:pPr>
                              <w:pStyle w:val="TableParagraph"/>
                              <w:rPr>
                                <w:rFonts w:ascii="Times New Roman"/>
                                <w:sz w:val="20"/>
                              </w:rPr>
                            </w:pPr>
                          </w:p>
                        </w:tc>
                        <w:tc>
                          <w:tcPr>
                            <w:tcW w:w="854" w:type="dxa"/>
                          </w:tcPr>
                          <w:p>
                            <w:pPr>
                              <w:pStyle w:val="TableParagraph"/>
                              <w:rPr>
                                <w:rFonts w:ascii="Times New Roman"/>
                                <w:sz w:val="20"/>
                              </w:rPr>
                            </w:pPr>
                          </w:p>
                        </w:tc>
                        <w:tc>
                          <w:tcPr>
                            <w:tcW w:w="1030" w:type="dxa"/>
                          </w:tcPr>
                          <w:p>
                            <w:pPr>
                              <w:pStyle w:val="TableParagraph"/>
                              <w:spacing w:before="56" w:line="236" w:lineRule="exact"/>
                              <w:ind w:right="116"/>
                              <w:jc w:val="right"/>
                              <w:rPr>
                                <w:b/>
                                <w:sz w:val="21"/>
                              </w:rPr>
                            </w:pPr>
                            <w:r>
                              <w:rPr>
                                <w:b/>
                                <w:color w:val="050505"/>
                                <w:spacing w:val="-2"/>
                                <w:w w:val="105"/>
                                <w:sz w:val="21"/>
                              </w:rPr>
                              <w:t>17,578</w:t>
                            </w:r>
                          </w:p>
                        </w:tc>
                        <w:tc>
                          <w:tcPr>
                            <w:tcW w:w="782" w:type="dxa"/>
                          </w:tcPr>
                          <w:p>
                            <w:pPr>
                              <w:pStyle w:val="TableParagraph"/>
                              <w:rPr>
                                <w:rFonts w:ascii="Times New Roman"/>
                                <w:sz w:val="20"/>
                              </w:rPr>
                            </w:pPr>
                          </w:p>
                        </w:tc>
                        <w:tc>
                          <w:tcPr>
                            <w:tcW w:w="129" w:type="dxa"/>
                          </w:tcPr>
                          <w:p>
                            <w:pPr>
                              <w:pStyle w:val="TableParagraph"/>
                              <w:rPr>
                                <w:rFonts w:ascii="Times New Roman"/>
                                <w:sz w:val="20"/>
                              </w:rPr>
                            </w:pPr>
                          </w:p>
                        </w:tc>
                      </w:tr>
                      <w:tr>
                        <w:trPr>
                          <w:trHeight w:val="321" w:hRule="atLeast"/>
                        </w:trPr>
                        <w:tc>
                          <w:tcPr>
                            <w:tcW w:w="106" w:type="dxa"/>
                            <w:vMerge/>
                            <w:tcBorders>
                              <w:top w:val="nil"/>
                              <w:bottom w:val="single" w:color="000000" w:sz="6" w:space="0"/>
                            </w:tcBorders>
                          </w:tcPr>
                          <w:p>
                            <w:pPr>
                              <w:rPr>
                                <w:sz w:val="2"/>
                                <w:szCs w:val="2"/>
                              </w:rPr>
                            </w:pPr>
                          </w:p>
                        </w:tc>
                        <w:tc>
                          <w:tcPr>
                            <w:tcW w:w="1078" w:type="dxa"/>
                          </w:tcPr>
                          <w:p>
                            <w:pPr>
                              <w:pStyle w:val="TableParagraph"/>
                              <w:spacing w:before="7"/>
                              <w:ind w:right="158"/>
                              <w:jc w:val="right"/>
                              <w:rPr>
                                <w:sz w:val="21"/>
                              </w:rPr>
                            </w:pPr>
                            <w:r>
                              <w:rPr>
                                <w:color w:val="050505"/>
                                <w:spacing w:val="-2"/>
                                <w:w w:val="105"/>
                                <w:sz w:val="21"/>
                              </w:rPr>
                              <w:t>21,030</w:t>
                            </w:r>
                          </w:p>
                        </w:tc>
                        <w:tc>
                          <w:tcPr>
                            <w:tcW w:w="898" w:type="dxa"/>
                          </w:tcPr>
                          <w:p>
                            <w:pPr>
                              <w:pStyle w:val="TableParagraph"/>
                              <w:rPr>
                                <w:rFonts w:ascii="Times New Roman"/>
                                <w:sz w:val="20"/>
                              </w:rPr>
                            </w:pPr>
                          </w:p>
                        </w:tc>
                        <w:tc>
                          <w:tcPr>
                            <w:tcW w:w="905" w:type="dxa"/>
                          </w:tcPr>
                          <w:p>
                            <w:pPr>
                              <w:pStyle w:val="TableParagraph"/>
                              <w:rPr>
                                <w:rFonts w:ascii="Times New Roman"/>
                                <w:sz w:val="20"/>
                              </w:rPr>
                            </w:pPr>
                          </w:p>
                        </w:tc>
                        <w:tc>
                          <w:tcPr>
                            <w:tcW w:w="898" w:type="dxa"/>
                          </w:tcPr>
                          <w:p>
                            <w:pPr>
                              <w:pStyle w:val="TableParagraph"/>
                              <w:spacing w:before="12"/>
                              <w:ind w:right="153"/>
                              <w:jc w:val="right"/>
                              <w:rPr>
                                <w:sz w:val="21"/>
                              </w:rPr>
                            </w:pPr>
                            <w:r>
                              <w:rPr>
                                <w:color w:val="050505"/>
                                <w:spacing w:val="-5"/>
                                <w:w w:val="105"/>
                                <w:sz w:val="21"/>
                              </w:rPr>
                              <w:t>899</w:t>
                            </w:r>
                          </w:p>
                        </w:tc>
                        <w:tc>
                          <w:tcPr>
                            <w:tcW w:w="854" w:type="dxa"/>
                          </w:tcPr>
                          <w:p>
                            <w:pPr>
                              <w:pStyle w:val="TableParagraph"/>
                              <w:rPr>
                                <w:rFonts w:ascii="Times New Roman"/>
                                <w:sz w:val="20"/>
                              </w:rPr>
                            </w:pPr>
                          </w:p>
                        </w:tc>
                        <w:tc>
                          <w:tcPr>
                            <w:tcW w:w="1030" w:type="dxa"/>
                          </w:tcPr>
                          <w:p>
                            <w:pPr>
                              <w:pStyle w:val="TableParagraph"/>
                              <w:spacing w:before="12"/>
                              <w:ind w:right="116"/>
                              <w:jc w:val="right"/>
                              <w:rPr>
                                <w:b/>
                                <w:sz w:val="21"/>
                              </w:rPr>
                            </w:pPr>
                            <w:r>
                              <w:rPr>
                                <w:b/>
                                <w:color w:val="050505"/>
                                <w:spacing w:val="-2"/>
                                <w:w w:val="105"/>
                                <w:sz w:val="21"/>
                              </w:rPr>
                              <w:t>21,929</w:t>
                            </w:r>
                          </w:p>
                        </w:tc>
                        <w:tc>
                          <w:tcPr>
                            <w:tcW w:w="782" w:type="dxa"/>
                          </w:tcPr>
                          <w:p>
                            <w:pPr>
                              <w:pStyle w:val="TableParagraph"/>
                              <w:rPr>
                                <w:rFonts w:ascii="Times New Roman"/>
                                <w:sz w:val="20"/>
                              </w:rPr>
                            </w:pPr>
                          </w:p>
                        </w:tc>
                        <w:tc>
                          <w:tcPr>
                            <w:tcW w:w="129" w:type="dxa"/>
                          </w:tcPr>
                          <w:p>
                            <w:pPr>
                              <w:pStyle w:val="TableParagraph"/>
                              <w:rPr>
                                <w:rFonts w:ascii="Times New Roman"/>
                                <w:sz w:val="20"/>
                              </w:rPr>
                            </w:pPr>
                          </w:p>
                        </w:tc>
                      </w:tr>
                      <w:tr>
                        <w:trPr>
                          <w:trHeight w:val="408" w:hRule="atLeast"/>
                        </w:trPr>
                        <w:tc>
                          <w:tcPr>
                            <w:tcW w:w="106" w:type="dxa"/>
                            <w:vMerge/>
                            <w:tcBorders>
                              <w:top w:val="nil"/>
                              <w:bottom w:val="single" w:color="000000" w:sz="6" w:space="0"/>
                            </w:tcBorders>
                          </w:tcPr>
                          <w:p>
                            <w:pPr>
                              <w:rPr>
                                <w:sz w:val="2"/>
                                <w:szCs w:val="2"/>
                              </w:rPr>
                            </w:pPr>
                          </w:p>
                        </w:tc>
                        <w:tc>
                          <w:tcPr>
                            <w:tcW w:w="1078" w:type="dxa"/>
                            <w:tcBorders>
                              <w:bottom w:val="single" w:color="000000" w:sz="6" w:space="0"/>
                            </w:tcBorders>
                          </w:tcPr>
                          <w:p>
                            <w:pPr>
                              <w:pStyle w:val="TableParagraph"/>
                              <w:spacing w:before="60"/>
                              <w:ind w:right="150"/>
                              <w:jc w:val="right"/>
                              <w:rPr>
                                <w:sz w:val="21"/>
                              </w:rPr>
                            </w:pPr>
                            <w:r>
                              <w:rPr>
                                <w:color w:val="050505"/>
                                <w:spacing w:val="-5"/>
                                <w:w w:val="105"/>
                                <w:sz w:val="21"/>
                              </w:rPr>
                              <w:t>451</w:t>
                            </w:r>
                          </w:p>
                        </w:tc>
                        <w:tc>
                          <w:tcPr>
                            <w:tcW w:w="898" w:type="dxa"/>
                            <w:tcBorders>
                              <w:bottom w:val="single" w:color="000000" w:sz="6" w:space="0"/>
                            </w:tcBorders>
                          </w:tcPr>
                          <w:p>
                            <w:pPr>
                              <w:pStyle w:val="TableParagraph"/>
                              <w:rPr>
                                <w:rFonts w:ascii="Times New Roman"/>
                                <w:sz w:val="20"/>
                              </w:rPr>
                            </w:pPr>
                          </w:p>
                        </w:tc>
                        <w:tc>
                          <w:tcPr>
                            <w:tcW w:w="905" w:type="dxa"/>
                            <w:tcBorders>
                              <w:bottom w:val="single" w:color="000000" w:sz="6" w:space="0"/>
                            </w:tcBorders>
                          </w:tcPr>
                          <w:p>
                            <w:pPr>
                              <w:pStyle w:val="TableParagraph"/>
                              <w:rPr>
                                <w:rFonts w:ascii="Times New Roman"/>
                                <w:sz w:val="20"/>
                              </w:rPr>
                            </w:pPr>
                          </w:p>
                        </w:tc>
                        <w:tc>
                          <w:tcPr>
                            <w:tcW w:w="898" w:type="dxa"/>
                            <w:tcBorders>
                              <w:bottom w:val="single" w:color="000000" w:sz="6" w:space="0"/>
                            </w:tcBorders>
                          </w:tcPr>
                          <w:p>
                            <w:pPr>
                              <w:pStyle w:val="TableParagraph"/>
                              <w:rPr>
                                <w:rFonts w:ascii="Times New Roman"/>
                                <w:sz w:val="20"/>
                              </w:rPr>
                            </w:pPr>
                          </w:p>
                        </w:tc>
                        <w:tc>
                          <w:tcPr>
                            <w:tcW w:w="854" w:type="dxa"/>
                            <w:tcBorders>
                              <w:bottom w:val="single" w:color="000000" w:sz="6" w:space="0"/>
                            </w:tcBorders>
                          </w:tcPr>
                          <w:p>
                            <w:pPr>
                              <w:pStyle w:val="TableParagraph"/>
                              <w:rPr>
                                <w:rFonts w:ascii="Times New Roman"/>
                                <w:sz w:val="20"/>
                              </w:rPr>
                            </w:pPr>
                          </w:p>
                        </w:tc>
                        <w:tc>
                          <w:tcPr>
                            <w:tcW w:w="1030" w:type="dxa"/>
                            <w:tcBorders>
                              <w:bottom w:val="single" w:color="000000" w:sz="6" w:space="0"/>
                            </w:tcBorders>
                          </w:tcPr>
                          <w:p>
                            <w:pPr>
                              <w:pStyle w:val="TableParagraph"/>
                              <w:spacing w:before="65"/>
                              <w:ind w:right="110"/>
                              <w:jc w:val="right"/>
                              <w:rPr>
                                <w:b/>
                                <w:sz w:val="21"/>
                              </w:rPr>
                            </w:pPr>
                            <w:r>
                              <w:rPr>
                                <w:b/>
                                <w:color w:val="050505"/>
                                <w:spacing w:val="-5"/>
                                <w:w w:val="105"/>
                                <w:sz w:val="21"/>
                              </w:rPr>
                              <w:t>451</w:t>
                            </w:r>
                          </w:p>
                        </w:tc>
                        <w:tc>
                          <w:tcPr>
                            <w:tcW w:w="782" w:type="dxa"/>
                            <w:tcBorders>
                              <w:bottom w:val="single" w:color="000000" w:sz="6" w:space="0"/>
                            </w:tcBorders>
                          </w:tcPr>
                          <w:p>
                            <w:pPr>
                              <w:pStyle w:val="TableParagraph"/>
                              <w:rPr>
                                <w:rFonts w:ascii="Times New Roman"/>
                                <w:sz w:val="20"/>
                              </w:rPr>
                            </w:pPr>
                          </w:p>
                        </w:tc>
                        <w:tc>
                          <w:tcPr>
                            <w:tcW w:w="129" w:type="dxa"/>
                          </w:tcPr>
                          <w:p>
                            <w:pPr>
                              <w:pStyle w:val="TableParagraph"/>
                              <w:rPr>
                                <w:rFonts w:ascii="Times New Roman"/>
                                <w:sz w:val="20"/>
                              </w:rPr>
                            </w:pPr>
                          </w:p>
                        </w:tc>
                      </w:tr>
                      <w:tr>
                        <w:trPr>
                          <w:trHeight w:val="640" w:hRule="atLeast"/>
                        </w:trPr>
                        <w:tc>
                          <w:tcPr>
                            <w:tcW w:w="106" w:type="dxa"/>
                            <w:tcBorders>
                              <w:top w:val="single" w:color="000000" w:sz="6" w:space="0"/>
                            </w:tcBorders>
                          </w:tcPr>
                          <w:p>
                            <w:pPr>
                              <w:pStyle w:val="TableParagraph"/>
                              <w:rPr>
                                <w:rFonts w:ascii="Times New Roman"/>
                                <w:sz w:val="20"/>
                              </w:rPr>
                            </w:pPr>
                          </w:p>
                        </w:tc>
                        <w:tc>
                          <w:tcPr>
                            <w:tcW w:w="1078" w:type="dxa"/>
                            <w:tcBorders>
                              <w:top w:val="single" w:color="000000" w:sz="6" w:space="0"/>
                              <w:bottom w:val="single" w:color="000000" w:sz="8" w:space="0"/>
                            </w:tcBorders>
                          </w:tcPr>
                          <w:p>
                            <w:pPr>
                              <w:pStyle w:val="TableParagraph"/>
                              <w:spacing w:before="208"/>
                              <w:ind w:right="155"/>
                              <w:jc w:val="right"/>
                              <w:rPr>
                                <w:b/>
                                <w:sz w:val="21"/>
                              </w:rPr>
                            </w:pPr>
                            <w:r>
                              <w:rPr>
                                <w:b/>
                                <w:color w:val="050505"/>
                                <w:spacing w:val="-2"/>
                                <w:w w:val="105"/>
                                <w:sz w:val="21"/>
                              </w:rPr>
                              <w:t>175,228</w:t>
                            </w:r>
                          </w:p>
                        </w:tc>
                        <w:tc>
                          <w:tcPr>
                            <w:tcW w:w="898" w:type="dxa"/>
                            <w:tcBorders>
                              <w:top w:val="single" w:color="000000" w:sz="6" w:space="0"/>
                              <w:bottom w:val="single" w:color="000000" w:sz="8" w:space="0"/>
                            </w:tcBorders>
                          </w:tcPr>
                          <w:p>
                            <w:pPr>
                              <w:pStyle w:val="TableParagraph"/>
                              <w:spacing w:before="213"/>
                              <w:ind w:left="38"/>
                              <w:jc w:val="center"/>
                              <w:rPr>
                                <w:b/>
                                <w:sz w:val="21"/>
                              </w:rPr>
                            </w:pPr>
                            <w:r>
                              <w:rPr>
                                <w:b/>
                                <w:color w:val="050505"/>
                                <w:spacing w:val="-4"/>
                                <w:w w:val="105"/>
                                <w:sz w:val="21"/>
                              </w:rPr>
                              <w:t>4,292</w:t>
                            </w:r>
                          </w:p>
                        </w:tc>
                        <w:tc>
                          <w:tcPr>
                            <w:tcW w:w="905" w:type="dxa"/>
                            <w:tcBorders>
                              <w:top w:val="single" w:color="000000" w:sz="6" w:space="0"/>
                              <w:bottom w:val="single" w:color="000000" w:sz="8" w:space="0"/>
                            </w:tcBorders>
                          </w:tcPr>
                          <w:p>
                            <w:pPr>
                              <w:pStyle w:val="TableParagraph"/>
                              <w:spacing w:before="213"/>
                              <w:ind w:right="149"/>
                              <w:jc w:val="right"/>
                              <w:rPr>
                                <w:b/>
                                <w:sz w:val="21"/>
                              </w:rPr>
                            </w:pPr>
                            <w:r>
                              <w:rPr>
                                <w:b/>
                                <w:color w:val="050505"/>
                                <w:spacing w:val="-5"/>
                                <w:w w:val="105"/>
                                <w:sz w:val="21"/>
                              </w:rPr>
                              <w:t>336</w:t>
                            </w:r>
                          </w:p>
                        </w:tc>
                        <w:tc>
                          <w:tcPr>
                            <w:tcW w:w="898" w:type="dxa"/>
                            <w:tcBorders>
                              <w:top w:val="single" w:color="000000" w:sz="6" w:space="0"/>
                              <w:bottom w:val="single" w:color="000000" w:sz="8" w:space="0"/>
                            </w:tcBorders>
                          </w:tcPr>
                          <w:p>
                            <w:pPr>
                              <w:pStyle w:val="TableParagraph"/>
                              <w:spacing w:before="213"/>
                              <w:ind w:left="193"/>
                              <w:rPr>
                                <w:b/>
                                <w:sz w:val="21"/>
                              </w:rPr>
                            </w:pPr>
                            <w:r>
                              <w:rPr>
                                <w:b/>
                                <w:color w:val="050505"/>
                                <w:spacing w:val="-4"/>
                                <w:w w:val="105"/>
                                <w:sz w:val="21"/>
                              </w:rPr>
                              <w:t>1,863</w:t>
                            </w:r>
                          </w:p>
                        </w:tc>
                        <w:tc>
                          <w:tcPr>
                            <w:tcW w:w="854" w:type="dxa"/>
                            <w:tcBorders>
                              <w:top w:val="single" w:color="000000" w:sz="6" w:space="0"/>
                              <w:bottom w:val="single" w:color="000000" w:sz="8" w:space="0"/>
                            </w:tcBorders>
                          </w:tcPr>
                          <w:p>
                            <w:pPr>
                              <w:pStyle w:val="TableParagraph"/>
                              <w:spacing w:before="213"/>
                              <w:ind w:right="101"/>
                              <w:jc w:val="right"/>
                              <w:rPr>
                                <w:b/>
                                <w:sz w:val="21"/>
                              </w:rPr>
                            </w:pPr>
                            <w:r>
                              <w:rPr>
                                <w:b/>
                                <w:color w:val="050505"/>
                                <w:spacing w:val="-4"/>
                                <w:w w:val="105"/>
                                <w:sz w:val="21"/>
                              </w:rPr>
                              <w:t>4,483</w:t>
                            </w:r>
                          </w:p>
                        </w:tc>
                        <w:tc>
                          <w:tcPr>
                            <w:tcW w:w="1030" w:type="dxa"/>
                            <w:tcBorders>
                              <w:top w:val="single" w:color="000000" w:sz="6" w:space="0"/>
                              <w:bottom w:val="single" w:color="000000" w:sz="8" w:space="0"/>
                            </w:tcBorders>
                          </w:tcPr>
                          <w:p>
                            <w:pPr>
                              <w:pStyle w:val="TableParagraph"/>
                              <w:spacing w:before="213"/>
                              <w:ind w:right="107"/>
                              <w:jc w:val="right"/>
                              <w:rPr>
                                <w:b/>
                                <w:sz w:val="21"/>
                              </w:rPr>
                            </w:pPr>
                            <w:r>
                              <w:rPr>
                                <w:b/>
                                <w:color w:val="050505"/>
                                <w:spacing w:val="-2"/>
                                <w:w w:val="105"/>
                                <w:sz w:val="21"/>
                              </w:rPr>
                              <w:t>186,202</w:t>
                            </w:r>
                          </w:p>
                        </w:tc>
                        <w:tc>
                          <w:tcPr>
                            <w:tcW w:w="782" w:type="dxa"/>
                            <w:tcBorders>
                              <w:top w:val="single" w:color="000000" w:sz="6" w:space="0"/>
                              <w:bottom w:val="single" w:color="000000" w:sz="8" w:space="0"/>
                            </w:tcBorders>
                          </w:tcPr>
                          <w:p>
                            <w:pPr>
                              <w:pStyle w:val="TableParagraph"/>
                              <w:spacing w:before="213"/>
                              <w:ind w:left="118" w:right="-15"/>
                              <w:jc w:val="center"/>
                              <w:rPr>
                                <w:b/>
                                <w:sz w:val="21"/>
                              </w:rPr>
                            </w:pPr>
                            <w:r>
                              <w:rPr>
                                <w:b/>
                                <w:color w:val="050505"/>
                                <w:spacing w:val="-2"/>
                                <w:w w:val="105"/>
                                <w:sz w:val="21"/>
                              </w:rPr>
                              <w:t>10,076</w:t>
                            </w:r>
                          </w:p>
                        </w:tc>
                        <w:tc>
                          <w:tcPr>
                            <w:tcW w:w="129" w:type="dxa"/>
                            <w:tcBorders>
                              <w:bottom w:val="single" w:color="000000" w:sz="8" w:space="0"/>
                            </w:tcBorders>
                          </w:tcPr>
                          <w:p>
                            <w:pPr>
                              <w:pStyle w:val="TableParagraph"/>
                              <w:rPr>
                                <w:rFonts w:ascii="Times New Roman"/>
                                <w:sz w:val="20"/>
                              </w:rPr>
                            </w:pPr>
                          </w:p>
                        </w:tc>
                      </w:tr>
                    </w:tbl>
                    <w:p>
                      <w:pPr>
                        <w:pStyle w:val="BodyText"/>
                      </w:pPr>
                    </w:p>
                  </w:txbxContent>
                </v:textbox>
                <w10:wrap type="none"/>
              </v:shape>
            </w:pict>
          </ve:Fallback>
        </ve:AlternateContent>
      </w:r>
      <w:r>
        <w:rPr>
          <w:i/>
          <w:color w:val="050505"/>
          <w:w w:val="105"/>
          <w:sz w:val="21"/>
        </w:rPr>
        <w:t>Valued</w:t>
      </w:r>
      <w:r>
        <w:rPr>
          <w:i/>
          <w:color w:val="050505"/>
          <w:spacing w:val="-6"/>
          <w:w w:val="105"/>
          <w:sz w:val="21"/>
        </w:rPr>
        <w:t> </w:t>
      </w:r>
      <w:r>
        <w:rPr>
          <w:i/>
          <w:color w:val="050505"/>
          <w:w w:val="105"/>
          <w:sz w:val="21"/>
        </w:rPr>
        <w:t>at</w:t>
      </w:r>
      <w:r>
        <w:rPr>
          <w:i/>
          <w:color w:val="050505"/>
          <w:spacing w:val="-14"/>
          <w:w w:val="105"/>
          <w:sz w:val="21"/>
        </w:rPr>
        <w:t> </w:t>
      </w:r>
      <w:r>
        <w:rPr>
          <w:i/>
          <w:color w:val="050505"/>
          <w:w w:val="105"/>
          <w:sz w:val="21"/>
        </w:rPr>
        <w:t>historical</w:t>
      </w:r>
      <w:r>
        <w:rPr>
          <w:i/>
          <w:color w:val="050505"/>
          <w:spacing w:val="-5"/>
          <w:w w:val="105"/>
          <w:sz w:val="21"/>
        </w:rPr>
        <w:t> </w:t>
      </w:r>
      <w:r>
        <w:rPr>
          <w:i/>
          <w:color w:val="050505"/>
          <w:spacing w:val="-4"/>
          <w:w w:val="105"/>
          <w:sz w:val="21"/>
        </w:rPr>
        <w:t>cost</w:t>
      </w:r>
    </w:p>
    <w:p>
      <w:pPr>
        <w:pStyle w:val="BodyText"/>
        <w:spacing w:before="238"/>
        <w:rPr>
          <w:i/>
          <w:sz w:val="21"/>
        </w:rPr>
      </w:pPr>
    </w:p>
    <w:p>
      <w:pPr>
        <w:spacing w:before="0"/>
        <w:ind w:left="1483" w:right="0" w:firstLine="0"/>
        <w:jc w:val="left"/>
        <w:rPr>
          <w:i/>
          <w:sz w:val="21"/>
        </w:rPr>
      </w:pPr>
      <w:r>
        <w:rPr>
          <w:i/>
          <w:color w:val="050505"/>
          <w:w w:val="105"/>
          <w:sz w:val="21"/>
        </w:rPr>
        <w:t>Valued</w:t>
      </w:r>
      <w:r>
        <w:rPr>
          <w:i/>
          <w:color w:val="050505"/>
          <w:spacing w:val="-6"/>
          <w:w w:val="105"/>
          <w:sz w:val="21"/>
        </w:rPr>
        <w:t> </w:t>
      </w:r>
      <w:r>
        <w:rPr>
          <w:i/>
          <w:color w:val="050505"/>
          <w:w w:val="105"/>
          <w:sz w:val="21"/>
        </w:rPr>
        <w:t>at</w:t>
      </w:r>
      <w:r>
        <w:rPr>
          <w:i/>
          <w:color w:val="050505"/>
          <w:spacing w:val="-6"/>
          <w:w w:val="105"/>
          <w:sz w:val="21"/>
        </w:rPr>
        <w:t> </w:t>
      </w:r>
      <w:r>
        <w:rPr>
          <w:i/>
          <w:color w:val="050505"/>
          <w:w w:val="105"/>
          <w:sz w:val="21"/>
        </w:rPr>
        <w:t>Fair</w:t>
      </w:r>
      <w:r>
        <w:rPr>
          <w:i/>
          <w:color w:val="050505"/>
          <w:spacing w:val="-3"/>
          <w:w w:val="105"/>
          <w:sz w:val="21"/>
        </w:rPr>
        <w:t> </w:t>
      </w:r>
      <w:r>
        <w:rPr>
          <w:i/>
          <w:color w:val="050505"/>
          <w:spacing w:val="-4"/>
          <w:w w:val="105"/>
          <w:sz w:val="21"/>
        </w:rPr>
        <w:t>Value</w:t>
      </w:r>
    </w:p>
    <w:p>
      <w:pPr>
        <w:spacing w:before="186"/>
        <w:ind w:left="1476" w:right="0" w:firstLine="0"/>
        <w:jc w:val="left"/>
        <w:rPr>
          <w:sz w:val="21"/>
        </w:rPr>
      </w:pPr>
      <w:r>
        <w:rPr>
          <w:color w:val="050505"/>
          <w:w w:val="105"/>
          <w:sz w:val="21"/>
        </w:rPr>
        <w:t>As</w:t>
      </w:r>
      <w:r>
        <w:rPr>
          <w:color w:val="050505"/>
          <w:spacing w:val="-5"/>
          <w:w w:val="105"/>
          <w:sz w:val="21"/>
        </w:rPr>
        <w:t> </w:t>
      </w:r>
      <w:r>
        <w:rPr>
          <w:color w:val="050505"/>
          <w:w w:val="105"/>
          <w:sz w:val="21"/>
        </w:rPr>
        <w:t>at</w:t>
      </w:r>
      <w:r>
        <w:rPr>
          <w:color w:val="050505"/>
          <w:spacing w:val="-2"/>
          <w:w w:val="105"/>
          <w:sz w:val="21"/>
        </w:rPr>
        <w:t> </w:t>
      </w:r>
      <w:r>
        <w:rPr>
          <w:color w:val="050505"/>
          <w:w w:val="105"/>
          <w:sz w:val="21"/>
        </w:rPr>
        <w:t>31</w:t>
      </w:r>
      <w:r>
        <w:rPr>
          <w:color w:val="050505"/>
          <w:spacing w:val="-8"/>
          <w:w w:val="105"/>
          <w:sz w:val="21"/>
        </w:rPr>
        <w:t> </w:t>
      </w:r>
      <w:r>
        <w:rPr>
          <w:color w:val="050505"/>
          <w:w w:val="105"/>
          <w:sz w:val="21"/>
        </w:rPr>
        <w:t>March</w:t>
      </w:r>
      <w:r>
        <w:rPr>
          <w:color w:val="050505"/>
          <w:spacing w:val="3"/>
          <w:w w:val="105"/>
          <w:sz w:val="21"/>
        </w:rPr>
        <w:t> </w:t>
      </w:r>
      <w:r>
        <w:rPr>
          <w:color w:val="050505"/>
          <w:spacing w:val="-4"/>
          <w:w w:val="105"/>
          <w:sz w:val="21"/>
        </w:rPr>
        <w:t>2023</w:t>
      </w:r>
    </w:p>
    <w:p>
      <w:pPr>
        <w:spacing w:before="148"/>
        <w:ind w:left="1476" w:right="0" w:firstLine="0"/>
        <w:jc w:val="left"/>
        <w:rPr>
          <w:sz w:val="21"/>
        </w:rPr>
      </w:pPr>
      <w:r>
        <w:rPr>
          <w:color w:val="050505"/>
          <w:w w:val="105"/>
          <w:sz w:val="21"/>
        </w:rPr>
        <w:t>As</w:t>
      </w:r>
      <w:r>
        <w:rPr>
          <w:color w:val="050505"/>
          <w:spacing w:val="-1"/>
          <w:w w:val="105"/>
          <w:sz w:val="21"/>
        </w:rPr>
        <w:t> </w:t>
      </w:r>
      <w:r>
        <w:rPr>
          <w:color w:val="050505"/>
          <w:w w:val="105"/>
          <w:sz w:val="21"/>
        </w:rPr>
        <w:t>at</w:t>
      </w:r>
      <w:r>
        <w:rPr>
          <w:color w:val="050505"/>
          <w:spacing w:val="-3"/>
          <w:w w:val="105"/>
          <w:sz w:val="21"/>
        </w:rPr>
        <w:t> </w:t>
      </w:r>
      <w:r>
        <w:rPr>
          <w:color w:val="050505"/>
          <w:w w:val="105"/>
          <w:sz w:val="21"/>
        </w:rPr>
        <w:t>31</w:t>
      </w:r>
      <w:r>
        <w:rPr>
          <w:color w:val="050505"/>
          <w:spacing w:val="-10"/>
          <w:w w:val="105"/>
          <w:sz w:val="21"/>
        </w:rPr>
        <w:t> </w:t>
      </w:r>
      <w:r>
        <w:rPr>
          <w:color w:val="050505"/>
          <w:w w:val="105"/>
          <w:sz w:val="21"/>
        </w:rPr>
        <w:t>March</w:t>
      </w:r>
      <w:r>
        <w:rPr>
          <w:color w:val="050505"/>
          <w:spacing w:val="3"/>
          <w:w w:val="105"/>
          <w:sz w:val="21"/>
        </w:rPr>
        <w:t> </w:t>
      </w:r>
      <w:r>
        <w:rPr>
          <w:color w:val="050505"/>
          <w:spacing w:val="-4"/>
          <w:w w:val="105"/>
          <w:sz w:val="21"/>
        </w:rPr>
        <w:t>2022</w:t>
      </w:r>
    </w:p>
    <w:p>
      <w:pPr>
        <w:spacing w:before="37"/>
        <w:ind w:left="1471" w:right="0" w:firstLine="0"/>
        <w:jc w:val="left"/>
        <w:rPr>
          <w:sz w:val="21"/>
        </w:rPr>
      </w:pPr>
      <w:r>
        <w:rPr>
          <w:color w:val="050505"/>
          <w:w w:val="105"/>
          <w:sz w:val="21"/>
        </w:rPr>
        <w:t>As</w:t>
      </w:r>
      <w:r>
        <w:rPr>
          <w:color w:val="050505"/>
          <w:spacing w:val="-3"/>
          <w:w w:val="105"/>
          <w:sz w:val="21"/>
        </w:rPr>
        <w:t> </w:t>
      </w:r>
      <w:r>
        <w:rPr>
          <w:color w:val="050505"/>
          <w:w w:val="105"/>
          <w:sz w:val="21"/>
        </w:rPr>
        <w:t>at</w:t>
      </w:r>
      <w:r>
        <w:rPr>
          <w:color w:val="050505"/>
          <w:spacing w:val="-2"/>
          <w:w w:val="105"/>
          <w:sz w:val="21"/>
        </w:rPr>
        <w:t> </w:t>
      </w:r>
      <w:r>
        <w:rPr>
          <w:color w:val="050505"/>
          <w:w w:val="105"/>
          <w:sz w:val="21"/>
        </w:rPr>
        <w:t>31</w:t>
      </w:r>
      <w:r>
        <w:rPr>
          <w:color w:val="050505"/>
          <w:spacing w:val="-5"/>
          <w:w w:val="105"/>
          <w:sz w:val="21"/>
        </w:rPr>
        <w:t> </w:t>
      </w:r>
      <w:r>
        <w:rPr>
          <w:color w:val="050505"/>
          <w:w w:val="105"/>
          <w:sz w:val="21"/>
        </w:rPr>
        <w:t>January</w:t>
      </w:r>
      <w:r>
        <w:rPr>
          <w:color w:val="050505"/>
          <w:spacing w:val="2"/>
          <w:w w:val="105"/>
          <w:sz w:val="21"/>
        </w:rPr>
        <w:t> </w:t>
      </w:r>
      <w:r>
        <w:rPr>
          <w:color w:val="050505"/>
          <w:spacing w:val="-4"/>
          <w:w w:val="105"/>
          <w:sz w:val="21"/>
        </w:rPr>
        <w:t>2021</w:t>
      </w:r>
    </w:p>
    <w:p>
      <w:pPr>
        <w:spacing w:before="153"/>
        <w:ind w:left="1476" w:right="0" w:firstLine="0"/>
        <w:jc w:val="left"/>
        <w:rPr>
          <w:sz w:val="21"/>
        </w:rPr>
      </w:pPr>
      <w:r>
        <w:rPr>
          <w:color w:val="050505"/>
          <w:w w:val="105"/>
          <w:sz w:val="21"/>
        </w:rPr>
        <w:t>As</w:t>
      </w:r>
      <w:r>
        <w:rPr>
          <w:color w:val="050505"/>
          <w:spacing w:val="-4"/>
          <w:w w:val="105"/>
          <w:sz w:val="21"/>
        </w:rPr>
        <w:t> </w:t>
      </w:r>
      <w:r>
        <w:rPr>
          <w:color w:val="050505"/>
          <w:w w:val="105"/>
          <w:sz w:val="21"/>
        </w:rPr>
        <w:t>at</w:t>
      </w:r>
      <w:r>
        <w:rPr>
          <w:color w:val="050505"/>
          <w:spacing w:val="-4"/>
          <w:w w:val="105"/>
          <w:sz w:val="21"/>
        </w:rPr>
        <w:t> </w:t>
      </w:r>
      <w:r>
        <w:rPr>
          <w:color w:val="050505"/>
          <w:w w:val="105"/>
          <w:sz w:val="21"/>
        </w:rPr>
        <w:t>31</w:t>
      </w:r>
      <w:r>
        <w:rPr>
          <w:color w:val="050505"/>
          <w:spacing w:val="-6"/>
          <w:w w:val="105"/>
          <w:sz w:val="21"/>
        </w:rPr>
        <w:t> </w:t>
      </w:r>
      <w:r>
        <w:rPr>
          <w:color w:val="050505"/>
          <w:w w:val="105"/>
          <w:sz w:val="21"/>
        </w:rPr>
        <w:t>January</w:t>
      </w:r>
      <w:r>
        <w:rPr>
          <w:color w:val="050505"/>
          <w:spacing w:val="1"/>
          <w:w w:val="105"/>
          <w:sz w:val="21"/>
        </w:rPr>
        <w:t> </w:t>
      </w:r>
      <w:r>
        <w:rPr>
          <w:color w:val="050505"/>
          <w:spacing w:val="-4"/>
          <w:w w:val="105"/>
          <w:sz w:val="21"/>
        </w:rPr>
        <w:t>2019</w:t>
      </w:r>
    </w:p>
    <w:p>
      <w:pPr>
        <w:spacing w:before="200" w:line="252" w:lineRule="auto"/>
        <w:ind w:left="1477" w:right="7029" w:hanging="2"/>
        <w:jc w:val="left"/>
        <w:rPr>
          <w:b/>
          <w:sz w:val="21"/>
        </w:rPr>
      </w:pPr>
      <w:r>
        <w:rPr>
          <w:b/>
          <w:color w:val="050505"/>
          <w:w w:val="105"/>
          <w:sz w:val="21"/>
        </w:rPr>
        <w:t>Total</w:t>
      </w:r>
      <w:r>
        <w:rPr>
          <w:b/>
          <w:color w:val="050505"/>
          <w:spacing w:val="-5"/>
          <w:w w:val="105"/>
          <w:sz w:val="21"/>
        </w:rPr>
        <w:t> </w:t>
      </w:r>
      <w:r>
        <w:rPr>
          <w:b/>
          <w:color w:val="050505"/>
          <w:w w:val="105"/>
          <w:sz w:val="21"/>
        </w:rPr>
        <w:t>cost</w:t>
      </w:r>
      <w:r>
        <w:rPr>
          <w:b/>
          <w:color w:val="050505"/>
          <w:spacing w:val="-10"/>
          <w:w w:val="105"/>
          <w:sz w:val="21"/>
        </w:rPr>
        <w:t> </w:t>
      </w:r>
      <w:r>
        <w:rPr>
          <w:b/>
          <w:color w:val="050505"/>
          <w:w w:val="105"/>
          <w:sz w:val="21"/>
        </w:rPr>
        <w:t>or</w:t>
      </w:r>
      <w:r>
        <w:rPr>
          <w:b/>
          <w:color w:val="050505"/>
          <w:spacing w:val="-8"/>
          <w:w w:val="105"/>
          <w:sz w:val="21"/>
        </w:rPr>
        <w:t> </w:t>
      </w:r>
      <w:r>
        <w:rPr>
          <w:b/>
          <w:color w:val="050505"/>
          <w:w w:val="105"/>
          <w:sz w:val="21"/>
        </w:rPr>
        <w:t>valuation as</w:t>
      </w:r>
      <w:r>
        <w:rPr>
          <w:b/>
          <w:color w:val="050505"/>
          <w:spacing w:val="-13"/>
          <w:w w:val="105"/>
          <w:sz w:val="21"/>
        </w:rPr>
        <w:t> </w:t>
      </w:r>
      <w:r>
        <w:rPr>
          <w:b/>
          <w:color w:val="050505"/>
          <w:w w:val="105"/>
          <w:sz w:val="21"/>
        </w:rPr>
        <w:t>at 31 March 2022</w:t>
      </w:r>
    </w:p>
    <w:p>
      <w:pPr>
        <w:spacing w:after="0" w:line="252" w:lineRule="auto"/>
        <w:jc w:val="left"/>
        <w:rPr>
          <w:sz w:val="21"/>
        </w:rPr>
        <w:sectPr>
          <w:type w:val="continuous"/>
          <w:pgSz w:w="11910" w:h="16830"/>
          <w:pgMar w:top="1940" w:right="300" w:bottom="280" w:left="0" w:header="697" w:footer="1150"/>
        </w:sectPr>
      </w:pPr>
    </w:p>
    <w:p>
      <w:pPr>
        <w:pStyle w:val="BodyText"/>
        <w:spacing w:before="3"/>
        <w:rPr>
          <w:b/>
          <w:sz w:val="21"/>
        </w:rPr>
      </w:pPr>
      <w:r>
        <w:rPr/>
        <ve:AlternateContent>
          <ve:Choice Requires="wps">
            <w:drawing>
              <wp:anchor distT="0" distB="0" distL="0" distR="0" simplePos="0" relativeHeight="15807488" behindDoc="0" locked="0" layoutInCell="1" allowOverlap="1">
                <wp:simplePos x="0" y="0"/>
                <wp:positionH relativeFrom="page">
                  <wp:posOffset>15264</wp:posOffset>
                </wp:positionH>
                <wp:positionV relativeFrom="page">
                  <wp:posOffset>10051580</wp:posOffset>
                </wp:positionV>
                <wp:extent cx="1270" cy="525145"/>
                <wp:effectExtent l="0" t="0" r="0" b="0"/>
                <wp:wrapNone/>
                <wp:docPr id="335" name="Graphic 335"/>
                <wp:cNvGraphicFramePr>
                  <a:graphicFrameLocks/>
                </wp:cNvGraphicFramePr>
                <a:graphic>
                  <a:graphicData uri="http://schemas.microsoft.com/office/word/2010/wordprocessingShape">
                    <wps:wsp>
                      <wps:cNvPr id="335" name="Graphic 335"/>
                      <wps:cNvSpPr/>
                      <wps:spPr>
                        <a:xfrm>
                          <a:off x="0" y="0"/>
                          <a:ext cx="1270" cy="525145"/>
                        </a:xfrm>
                        <a:custGeom>
                          <a:avLst/>
                          <a:gdLst/>
                          <a:ahLst/>
                          <a:cxnLst/>
                          <a:rect l="l" t="t" r="r" b="b"/>
                          <a:pathLst>
                            <a:path w="0" h="525145">
                              <a:moveTo>
                                <a:pt x="0" y="524854"/>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07488" stroked="true" strokecolor="#000000" strokeweight="1.201936pt" from="1.201936pt,832.790111pt" to="1.201936pt,791.463013pt">
                <v:stroke dashstyle="solid"/>
                <w10:wrap type="none"/>
              </v:line>
            </w:pict>
          </ve:Fallback>
        </ve:AlternateContent>
      </w:r>
      <w:r>
        <w:rPr/>
        <ve:AlternateContent>
          <ve:Choice Requires="wps">
            <w:drawing>
              <wp:anchor distT="0" distB="0" distL="0" distR="0" simplePos="0" relativeHeight="15808000" behindDoc="0" locked="0" layoutInCell="1" allowOverlap="1">
                <wp:simplePos x="0" y="0"/>
                <wp:positionH relativeFrom="page">
                  <wp:posOffset>33582</wp:posOffset>
                </wp:positionH>
                <wp:positionV relativeFrom="page">
                  <wp:posOffset>9123931</wp:posOffset>
                </wp:positionV>
                <wp:extent cx="1270" cy="720725"/>
                <wp:effectExtent l="0" t="0" r="0" b="0"/>
                <wp:wrapNone/>
                <wp:docPr id="336" name="Graphic 336"/>
                <wp:cNvGraphicFramePr>
                  <a:graphicFrameLocks/>
                </wp:cNvGraphicFramePr>
                <a:graphic>
                  <a:graphicData uri="http://schemas.microsoft.com/office/word/2010/wordprocessingShape">
                    <wps:wsp>
                      <wps:cNvPr id="336" name="Graphic 336"/>
                      <wps:cNvSpPr/>
                      <wps:spPr>
                        <a:xfrm>
                          <a:off x="0" y="0"/>
                          <a:ext cx="1270" cy="720725"/>
                        </a:xfrm>
                        <a:custGeom>
                          <a:avLst/>
                          <a:gdLst/>
                          <a:ahLst/>
                          <a:cxnLst/>
                          <a:rect l="l" t="t" r="r" b="b"/>
                          <a:pathLst>
                            <a:path w="0" h="720725">
                              <a:moveTo>
                                <a:pt x="0" y="720148"/>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08000" stroked="true" strokecolor="#000000" strokeweight=".961549pt" from="2.644258pt,775.124423pt" to="2.644258pt,718.4198pt">
                <v:stroke dashstyle="solid"/>
                <w10:wrap type="none"/>
              </v:line>
            </w:pict>
          </ve:Fallback>
        </ve:AlternateContent>
      </w:r>
    </w:p>
    <w:p>
      <w:pPr>
        <w:pStyle w:val="ListParagraph"/>
        <w:numPr>
          <w:ilvl w:val="1"/>
          <w:numId w:val="16"/>
        </w:numPr>
        <w:tabs>
          <w:tab w:val="left" w:leader="none" w:pos="2235"/>
        </w:tabs>
        <w:spacing w:before="0" w:after="0" w:line="240" w:lineRule="auto"/>
        <w:ind w:left="2235" w:right="0" w:hanging="716"/>
        <w:jc w:val="left"/>
        <w:rPr>
          <w:b/>
          <w:color w:val="080808"/>
          <w:sz w:val="21"/>
        </w:rPr>
      </w:pPr>
      <w:r>
        <w:rPr>
          <w:b/>
          <w:color w:val="080808"/>
          <w:w w:val="105"/>
          <w:sz w:val="21"/>
        </w:rPr>
        <w:t>Capital</w:t>
      </w:r>
      <w:r>
        <w:rPr>
          <w:b/>
          <w:color w:val="080808"/>
          <w:spacing w:val="-9"/>
          <w:w w:val="105"/>
          <w:sz w:val="21"/>
        </w:rPr>
        <w:t> </w:t>
      </w:r>
      <w:r>
        <w:rPr>
          <w:b/>
          <w:color w:val="080808"/>
          <w:w w:val="105"/>
          <w:sz w:val="21"/>
        </w:rPr>
        <w:t>Expenditure</w:t>
      </w:r>
      <w:r>
        <w:rPr>
          <w:b/>
          <w:color w:val="080808"/>
          <w:spacing w:val="-6"/>
          <w:w w:val="105"/>
          <w:sz w:val="21"/>
        </w:rPr>
        <w:t> </w:t>
      </w:r>
      <w:r>
        <w:rPr>
          <w:b/>
          <w:color w:val="080808"/>
          <w:w w:val="105"/>
          <w:sz w:val="21"/>
        </w:rPr>
        <w:t>and</w:t>
      </w:r>
      <w:r>
        <w:rPr>
          <w:b/>
          <w:color w:val="080808"/>
          <w:spacing w:val="-15"/>
          <w:w w:val="105"/>
          <w:sz w:val="21"/>
        </w:rPr>
        <w:t> </w:t>
      </w:r>
      <w:r>
        <w:rPr>
          <w:b/>
          <w:color w:val="080808"/>
          <w:w w:val="105"/>
          <w:sz w:val="21"/>
        </w:rPr>
        <w:t>Financing</w:t>
      </w:r>
      <w:r>
        <w:rPr>
          <w:b/>
          <w:color w:val="080808"/>
          <w:spacing w:val="-2"/>
          <w:w w:val="105"/>
          <w:sz w:val="21"/>
        </w:rPr>
        <w:t> Statement</w:t>
      </w:r>
    </w:p>
    <w:p>
      <w:pPr>
        <w:pStyle w:val="BodyText"/>
        <w:spacing w:before="2"/>
        <w:rPr>
          <w:b/>
          <w:sz w:val="21"/>
        </w:rPr>
      </w:pPr>
    </w:p>
    <w:p>
      <w:pPr>
        <w:spacing w:before="0" w:line="252" w:lineRule="auto"/>
        <w:ind w:left="1497" w:right="897" w:firstLine="17"/>
        <w:jc w:val="both"/>
        <w:rPr>
          <w:sz w:val="21"/>
        </w:rPr>
      </w:pPr>
      <w:r>
        <w:rPr>
          <w:color w:val="080808"/>
          <w:w w:val="105"/>
          <w:sz w:val="21"/>
        </w:rPr>
        <w:t>The</w:t>
      </w:r>
      <w:r>
        <w:rPr>
          <w:color w:val="080808"/>
          <w:spacing w:val="-16"/>
          <w:w w:val="105"/>
          <w:sz w:val="21"/>
        </w:rPr>
        <w:t> </w:t>
      </w:r>
      <w:r>
        <w:rPr>
          <w:color w:val="080808"/>
          <w:w w:val="105"/>
          <w:sz w:val="21"/>
        </w:rPr>
        <w:t>total</w:t>
      </w:r>
      <w:r>
        <w:rPr>
          <w:color w:val="080808"/>
          <w:spacing w:val="-15"/>
          <w:w w:val="105"/>
          <w:sz w:val="21"/>
        </w:rPr>
        <w:t> </w:t>
      </w:r>
      <w:r>
        <w:rPr>
          <w:color w:val="080808"/>
          <w:w w:val="105"/>
          <w:sz w:val="21"/>
        </w:rPr>
        <w:t>amount</w:t>
      </w:r>
      <w:r>
        <w:rPr>
          <w:color w:val="080808"/>
          <w:spacing w:val="-10"/>
          <w:w w:val="105"/>
          <w:sz w:val="21"/>
        </w:rPr>
        <w:t> </w:t>
      </w:r>
      <w:r>
        <w:rPr>
          <w:color w:val="080808"/>
          <w:w w:val="105"/>
          <w:sz w:val="21"/>
        </w:rPr>
        <w:t>of</w:t>
      </w:r>
      <w:r>
        <w:rPr>
          <w:color w:val="080808"/>
          <w:spacing w:val="-12"/>
          <w:w w:val="105"/>
          <w:sz w:val="21"/>
        </w:rPr>
        <w:t> </w:t>
      </w:r>
      <w:r>
        <w:rPr>
          <w:color w:val="080808"/>
          <w:w w:val="105"/>
          <w:sz w:val="21"/>
        </w:rPr>
        <w:t>capital</w:t>
      </w:r>
      <w:r>
        <w:rPr>
          <w:color w:val="080808"/>
          <w:spacing w:val="-13"/>
          <w:w w:val="105"/>
          <w:sz w:val="21"/>
        </w:rPr>
        <w:t> </w:t>
      </w:r>
      <w:r>
        <w:rPr>
          <w:color w:val="080808"/>
          <w:w w:val="105"/>
          <w:sz w:val="21"/>
        </w:rPr>
        <w:t>expenditure incurred</w:t>
      </w:r>
      <w:r>
        <w:rPr>
          <w:color w:val="080808"/>
          <w:spacing w:val="-16"/>
          <w:w w:val="105"/>
          <w:sz w:val="21"/>
        </w:rPr>
        <w:t> </w:t>
      </w:r>
      <w:r>
        <w:rPr>
          <w:color w:val="2F2F2F"/>
          <w:w w:val="105"/>
          <w:sz w:val="21"/>
        </w:rPr>
        <w:t>in</w:t>
      </w:r>
      <w:r>
        <w:rPr>
          <w:color w:val="2F2F2F"/>
          <w:spacing w:val="-14"/>
          <w:w w:val="105"/>
          <w:sz w:val="21"/>
        </w:rPr>
        <w:t> </w:t>
      </w:r>
      <w:r>
        <w:rPr>
          <w:color w:val="2F2F2F"/>
          <w:w w:val="105"/>
          <w:sz w:val="21"/>
        </w:rPr>
        <w:t>the</w:t>
      </w:r>
      <w:r>
        <w:rPr>
          <w:color w:val="2F2F2F"/>
          <w:spacing w:val="-11"/>
          <w:w w:val="105"/>
          <w:sz w:val="21"/>
        </w:rPr>
        <w:t> </w:t>
      </w:r>
      <w:r>
        <w:rPr>
          <w:color w:val="1D1D1D"/>
          <w:w w:val="105"/>
          <w:sz w:val="21"/>
        </w:rPr>
        <w:t>year</w:t>
      </w:r>
      <w:r>
        <w:rPr>
          <w:color w:val="1D1D1D"/>
          <w:spacing w:val="-7"/>
          <w:w w:val="105"/>
          <w:sz w:val="21"/>
        </w:rPr>
        <w:t> </w:t>
      </w:r>
      <w:r>
        <w:rPr>
          <w:color w:val="2F2F2F"/>
          <w:w w:val="105"/>
          <w:sz w:val="21"/>
        </w:rPr>
        <w:t>is</w:t>
      </w:r>
      <w:r>
        <w:rPr>
          <w:color w:val="2F2F2F"/>
          <w:spacing w:val="-8"/>
          <w:w w:val="105"/>
          <w:sz w:val="21"/>
        </w:rPr>
        <w:t> </w:t>
      </w:r>
      <w:r>
        <w:rPr>
          <w:color w:val="1D1D1D"/>
          <w:w w:val="105"/>
          <w:sz w:val="21"/>
        </w:rPr>
        <w:t>shown</w:t>
      </w:r>
      <w:r>
        <w:rPr>
          <w:color w:val="1D1D1D"/>
          <w:spacing w:val="-8"/>
          <w:w w:val="105"/>
          <w:sz w:val="21"/>
        </w:rPr>
        <w:t> </w:t>
      </w:r>
      <w:r>
        <w:rPr>
          <w:color w:val="1D1D1D"/>
          <w:w w:val="105"/>
          <w:sz w:val="21"/>
        </w:rPr>
        <w:t>in</w:t>
      </w:r>
      <w:r>
        <w:rPr>
          <w:color w:val="1D1D1D"/>
          <w:spacing w:val="-16"/>
          <w:w w:val="105"/>
          <w:sz w:val="21"/>
        </w:rPr>
        <w:t> </w:t>
      </w:r>
      <w:r>
        <w:rPr>
          <w:color w:val="1D1D1D"/>
          <w:w w:val="105"/>
          <w:sz w:val="21"/>
        </w:rPr>
        <w:t>the</w:t>
      </w:r>
      <w:r>
        <w:rPr>
          <w:color w:val="1D1D1D"/>
          <w:spacing w:val="-15"/>
          <w:w w:val="105"/>
          <w:sz w:val="21"/>
        </w:rPr>
        <w:t> </w:t>
      </w:r>
      <w:r>
        <w:rPr>
          <w:color w:val="1D1D1D"/>
          <w:w w:val="105"/>
          <w:sz w:val="21"/>
        </w:rPr>
        <w:t>table</w:t>
      </w:r>
      <w:r>
        <w:rPr>
          <w:color w:val="1D1D1D"/>
          <w:spacing w:val="-8"/>
          <w:w w:val="105"/>
          <w:sz w:val="21"/>
        </w:rPr>
        <w:t> </w:t>
      </w:r>
      <w:r>
        <w:rPr>
          <w:color w:val="1D1D1D"/>
          <w:w w:val="105"/>
          <w:sz w:val="21"/>
        </w:rPr>
        <w:t>below</w:t>
      </w:r>
      <w:r>
        <w:rPr>
          <w:color w:val="1D1D1D"/>
          <w:spacing w:val="-8"/>
          <w:w w:val="105"/>
          <w:sz w:val="21"/>
        </w:rPr>
        <w:t> </w:t>
      </w:r>
      <w:r>
        <w:rPr>
          <w:color w:val="1D1D1D"/>
          <w:w w:val="105"/>
          <w:sz w:val="21"/>
        </w:rPr>
        <w:t>together </w:t>
      </w:r>
      <w:r>
        <w:rPr>
          <w:color w:val="080808"/>
          <w:w w:val="105"/>
          <w:sz w:val="21"/>
        </w:rPr>
        <w:t>with</w:t>
      </w:r>
      <w:r>
        <w:rPr>
          <w:color w:val="080808"/>
          <w:spacing w:val="-16"/>
          <w:w w:val="105"/>
          <w:sz w:val="21"/>
        </w:rPr>
        <w:t> </w:t>
      </w:r>
      <w:r>
        <w:rPr>
          <w:color w:val="080808"/>
          <w:w w:val="105"/>
          <w:sz w:val="21"/>
        </w:rPr>
        <w:t>the</w:t>
      </w:r>
      <w:r>
        <w:rPr>
          <w:color w:val="080808"/>
          <w:spacing w:val="-15"/>
          <w:w w:val="105"/>
          <w:sz w:val="21"/>
        </w:rPr>
        <w:t> </w:t>
      </w:r>
      <w:r>
        <w:rPr>
          <w:color w:val="080808"/>
          <w:w w:val="105"/>
          <w:sz w:val="21"/>
        </w:rPr>
        <w:t>resources</w:t>
      </w:r>
      <w:r>
        <w:rPr>
          <w:color w:val="080808"/>
          <w:spacing w:val="-15"/>
          <w:w w:val="105"/>
          <w:sz w:val="21"/>
        </w:rPr>
        <w:t> </w:t>
      </w:r>
      <w:r>
        <w:rPr>
          <w:color w:val="080808"/>
          <w:w w:val="105"/>
          <w:sz w:val="21"/>
        </w:rPr>
        <w:t>that</w:t>
      </w:r>
      <w:r>
        <w:rPr>
          <w:color w:val="080808"/>
          <w:spacing w:val="-16"/>
          <w:w w:val="105"/>
          <w:sz w:val="21"/>
        </w:rPr>
        <w:t> </w:t>
      </w:r>
      <w:r>
        <w:rPr>
          <w:color w:val="080808"/>
          <w:w w:val="105"/>
          <w:sz w:val="21"/>
        </w:rPr>
        <w:t>have</w:t>
      </w:r>
      <w:r>
        <w:rPr>
          <w:color w:val="080808"/>
          <w:spacing w:val="-15"/>
          <w:w w:val="105"/>
          <w:sz w:val="21"/>
        </w:rPr>
        <w:t> </w:t>
      </w:r>
      <w:r>
        <w:rPr>
          <w:color w:val="080808"/>
          <w:w w:val="105"/>
          <w:sz w:val="21"/>
        </w:rPr>
        <w:t>been</w:t>
      </w:r>
      <w:r>
        <w:rPr>
          <w:color w:val="080808"/>
          <w:spacing w:val="-15"/>
          <w:w w:val="105"/>
          <w:sz w:val="21"/>
        </w:rPr>
        <w:t> </w:t>
      </w:r>
      <w:r>
        <w:rPr>
          <w:color w:val="080808"/>
          <w:w w:val="105"/>
          <w:sz w:val="21"/>
        </w:rPr>
        <w:t>used</w:t>
      </w:r>
      <w:r>
        <w:rPr>
          <w:color w:val="080808"/>
          <w:spacing w:val="-16"/>
          <w:w w:val="105"/>
          <w:sz w:val="21"/>
        </w:rPr>
        <w:t> </w:t>
      </w:r>
      <w:r>
        <w:rPr>
          <w:color w:val="080808"/>
          <w:w w:val="105"/>
          <w:sz w:val="21"/>
        </w:rPr>
        <w:t>to</w:t>
      </w:r>
      <w:r>
        <w:rPr>
          <w:color w:val="080808"/>
          <w:spacing w:val="-15"/>
          <w:w w:val="105"/>
          <w:sz w:val="21"/>
        </w:rPr>
        <w:t> </w:t>
      </w:r>
      <w:r>
        <w:rPr>
          <w:color w:val="080808"/>
          <w:w w:val="105"/>
          <w:sz w:val="21"/>
        </w:rPr>
        <w:t>finance</w:t>
      </w:r>
      <w:r>
        <w:rPr>
          <w:color w:val="080808"/>
          <w:spacing w:val="-15"/>
          <w:w w:val="105"/>
          <w:sz w:val="21"/>
        </w:rPr>
        <w:t> </w:t>
      </w:r>
      <w:r>
        <w:rPr>
          <w:color w:val="1D1D1D"/>
          <w:w w:val="105"/>
          <w:sz w:val="21"/>
        </w:rPr>
        <w:t>it.</w:t>
      </w:r>
      <w:r>
        <w:rPr>
          <w:color w:val="1D1D1D"/>
          <w:spacing w:val="-16"/>
          <w:w w:val="105"/>
          <w:sz w:val="21"/>
        </w:rPr>
        <w:t> </w:t>
      </w:r>
      <w:r>
        <w:rPr>
          <w:color w:val="1D1D1D"/>
          <w:w w:val="105"/>
          <w:sz w:val="21"/>
        </w:rPr>
        <w:t>Where</w:t>
      </w:r>
      <w:r>
        <w:rPr>
          <w:color w:val="1D1D1D"/>
          <w:spacing w:val="-8"/>
          <w:w w:val="105"/>
          <w:sz w:val="21"/>
        </w:rPr>
        <w:t> </w:t>
      </w:r>
      <w:r>
        <w:rPr>
          <w:color w:val="1D1D1D"/>
          <w:w w:val="105"/>
          <w:sz w:val="21"/>
        </w:rPr>
        <w:t>capital</w:t>
      </w:r>
      <w:r>
        <w:rPr>
          <w:color w:val="1D1D1D"/>
          <w:spacing w:val="-14"/>
          <w:w w:val="105"/>
          <w:sz w:val="21"/>
        </w:rPr>
        <w:t> </w:t>
      </w:r>
      <w:r>
        <w:rPr>
          <w:color w:val="1D1D1D"/>
          <w:w w:val="105"/>
          <w:sz w:val="21"/>
        </w:rPr>
        <w:t>expenditure</w:t>
      </w:r>
      <w:r>
        <w:rPr>
          <w:color w:val="1D1D1D"/>
          <w:spacing w:val="7"/>
          <w:w w:val="105"/>
          <w:sz w:val="21"/>
        </w:rPr>
        <w:t> </w:t>
      </w:r>
      <w:r>
        <w:rPr>
          <w:color w:val="1D1D1D"/>
          <w:w w:val="105"/>
          <w:sz w:val="21"/>
        </w:rPr>
        <w:t>is</w:t>
      </w:r>
      <w:r>
        <w:rPr>
          <w:color w:val="1D1D1D"/>
          <w:spacing w:val="-16"/>
          <w:w w:val="105"/>
          <w:sz w:val="21"/>
        </w:rPr>
        <w:t> </w:t>
      </w:r>
      <w:r>
        <w:rPr>
          <w:color w:val="1D1D1D"/>
          <w:w w:val="105"/>
          <w:sz w:val="21"/>
        </w:rPr>
        <w:t>to</w:t>
      </w:r>
      <w:r>
        <w:rPr>
          <w:color w:val="1D1D1D"/>
          <w:spacing w:val="-15"/>
          <w:w w:val="105"/>
          <w:sz w:val="21"/>
        </w:rPr>
        <w:t> </w:t>
      </w:r>
      <w:r>
        <w:rPr>
          <w:color w:val="1D1D1D"/>
          <w:w w:val="105"/>
          <w:sz w:val="21"/>
        </w:rPr>
        <w:t>be</w:t>
      </w:r>
      <w:r>
        <w:rPr>
          <w:color w:val="1D1D1D"/>
          <w:spacing w:val="-15"/>
          <w:w w:val="105"/>
          <w:sz w:val="21"/>
        </w:rPr>
        <w:t> </w:t>
      </w:r>
      <w:r>
        <w:rPr>
          <w:color w:val="1D1D1D"/>
          <w:w w:val="105"/>
          <w:sz w:val="21"/>
        </w:rPr>
        <w:t>financed </w:t>
      </w:r>
      <w:r>
        <w:rPr>
          <w:color w:val="080808"/>
          <w:w w:val="105"/>
          <w:sz w:val="21"/>
        </w:rPr>
        <w:t>in</w:t>
      </w:r>
      <w:r>
        <w:rPr>
          <w:color w:val="080808"/>
          <w:spacing w:val="-16"/>
          <w:w w:val="105"/>
          <w:sz w:val="21"/>
        </w:rPr>
        <w:t> </w:t>
      </w:r>
      <w:r>
        <w:rPr>
          <w:color w:val="080808"/>
          <w:w w:val="105"/>
          <w:sz w:val="21"/>
        </w:rPr>
        <w:t>future</w:t>
      </w:r>
      <w:r>
        <w:rPr>
          <w:color w:val="080808"/>
          <w:spacing w:val="-15"/>
          <w:w w:val="105"/>
          <w:sz w:val="21"/>
        </w:rPr>
        <w:t> </w:t>
      </w:r>
      <w:r>
        <w:rPr>
          <w:color w:val="1D1D1D"/>
          <w:w w:val="105"/>
          <w:sz w:val="21"/>
        </w:rPr>
        <w:t>years</w:t>
      </w:r>
      <w:r>
        <w:rPr>
          <w:color w:val="1D1D1D"/>
          <w:spacing w:val="-15"/>
          <w:w w:val="105"/>
          <w:sz w:val="21"/>
        </w:rPr>
        <w:t> </w:t>
      </w:r>
      <w:r>
        <w:rPr>
          <w:color w:val="080808"/>
          <w:w w:val="105"/>
          <w:sz w:val="21"/>
        </w:rPr>
        <w:t>by</w:t>
      </w:r>
      <w:r>
        <w:rPr>
          <w:color w:val="080808"/>
          <w:spacing w:val="-12"/>
          <w:w w:val="105"/>
          <w:sz w:val="21"/>
        </w:rPr>
        <w:t> </w:t>
      </w:r>
      <w:r>
        <w:rPr>
          <w:color w:val="080808"/>
          <w:w w:val="105"/>
          <w:sz w:val="21"/>
        </w:rPr>
        <w:t>charges</w:t>
      </w:r>
      <w:r>
        <w:rPr>
          <w:color w:val="080808"/>
          <w:spacing w:val="-5"/>
          <w:w w:val="105"/>
          <w:sz w:val="21"/>
        </w:rPr>
        <w:t> </w:t>
      </w:r>
      <w:r>
        <w:rPr>
          <w:color w:val="080808"/>
          <w:w w:val="105"/>
          <w:sz w:val="21"/>
        </w:rPr>
        <w:t>to</w:t>
      </w:r>
      <w:r>
        <w:rPr>
          <w:color w:val="080808"/>
          <w:spacing w:val="-16"/>
          <w:w w:val="105"/>
          <w:sz w:val="21"/>
        </w:rPr>
        <w:t> </w:t>
      </w:r>
      <w:r>
        <w:rPr>
          <w:color w:val="080808"/>
          <w:w w:val="105"/>
          <w:sz w:val="21"/>
        </w:rPr>
        <w:t>revenue</w:t>
      </w:r>
      <w:r>
        <w:rPr>
          <w:color w:val="080808"/>
          <w:spacing w:val="-2"/>
          <w:w w:val="105"/>
          <w:sz w:val="21"/>
        </w:rPr>
        <w:t> </w:t>
      </w:r>
      <w:r>
        <w:rPr>
          <w:color w:val="080808"/>
          <w:w w:val="105"/>
          <w:sz w:val="21"/>
        </w:rPr>
        <w:t>as</w:t>
      </w:r>
      <w:r>
        <w:rPr>
          <w:color w:val="080808"/>
          <w:spacing w:val="-15"/>
          <w:w w:val="105"/>
          <w:sz w:val="21"/>
        </w:rPr>
        <w:t> </w:t>
      </w:r>
      <w:r>
        <w:rPr>
          <w:color w:val="080808"/>
          <w:w w:val="105"/>
          <w:sz w:val="21"/>
        </w:rPr>
        <w:t>assets</w:t>
      </w:r>
      <w:r>
        <w:rPr>
          <w:color w:val="080808"/>
          <w:spacing w:val="-7"/>
          <w:w w:val="105"/>
          <w:sz w:val="21"/>
        </w:rPr>
        <w:t> </w:t>
      </w:r>
      <w:r>
        <w:rPr>
          <w:color w:val="1D1D1D"/>
          <w:w w:val="105"/>
          <w:sz w:val="21"/>
        </w:rPr>
        <w:t>are</w:t>
      </w:r>
      <w:r>
        <w:rPr>
          <w:color w:val="1D1D1D"/>
          <w:spacing w:val="-15"/>
          <w:w w:val="105"/>
          <w:sz w:val="21"/>
        </w:rPr>
        <w:t> </w:t>
      </w:r>
      <w:r>
        <w:rPr>
          <w:color w:val="1D1D1D"/>
          <w:w w:val="105"/>
          <w:sz w:val="21"/>
        </w:rPr>
        <w:t>used</w:t>
      </w:r>
      <w:r>
        <w:rPr>
          <w:color w:val="1D1D1D"/>
          <w:spacing w:val="-16"/>
          <w:w w:val="105"/>
          <w:sz w:val="21"/>
        </w:rPr>
        <w:t> </w:t>
      </w:r>
      <w:r>
        <w:rPr>
          <w:color w:val="1D1D1D"/>
          <w:w w:val="105"/>
          <w:sz w:val="21"/>
        </w:rPr>
        <w:t>by</w:t>
      </w:r>
      <w:r>
        <w:rPr>
          <w:color w:val="1D1D1D"/>
          <w:spacing w:val="-15"/>
          <w:w w:val="105"/>
          <w:sz w:val="21"/>
        </w:rPr>
        <w:t> </w:t>
      </w:r>
      <w:r>
        <w:rPr>
          <w:color w:val="2F2F2F"/>
          <w:w w:val="105"/>
          <w:sz w:val="21"/>
        </w:rPr>
        <w:t>the</w:t>
      </w:r>
      <w:r>
        <w:rPr>
          <w:color w:val="2F2F2F"/>
          <w:spacing w:val="-11"/>
          <w:w w:val="105"/>
          <w:sz w:val="21"/>
        </w:rPr>
        <w:t> </w:t>
      </w:r>
      <w:r>
        <w:rPr>
          <w:color w:val="1D1D1D"/>
          <w:w w:val="105"/>
          <w:sz w:val="21"/>
        </w:rPr>
        <w:t>Council</w:t>
      </w:r>
      <w:r>
        <w:rPr>
          <w:color w:val="606060"/>
          <w:w w:val="105"/>
          <w:sz w:val="21"/>
        </w:rPr>
        <w:t>,</w:t>
      </w:r>
      <w:r>
        <w:rPr>
          <w:color w:val="606060"/>
          <w:spacing w:val="-16"/>
          <w:w w:val="105"/>
          <w:sz w:val="21"/>
        </w:rPr>
        <w:t> </w:t>
      </w:r>
      <w:r>
        <w:rPr>
          <w:color w:val="1D1D1D"/>
          <w:w w:val="105"/>
          <w:sz w:val="21"/>
        </w:rPr>
        <w:t>the</w:t>
      </w:r>
      <w:r>
        <w:rPr>
          <w:color w:val="1D1D1D"/>
          <w:spacing w:val="-15"/>
          <w:w w:val="105"/>
          <w:sz w:val="21"/>
        </w:rPr>
        <w:t> </w:t>
      </w:r>
      <w:r>
        <w:rPr>
          <w:color w:val="1D1D1D"/>
          <w:w w:val="105"/>
          <w:sz w:val="21"/>
        </w:rPr>
        <w:t>expenditure</w:t>
      </w:r>
      <w:r>
        <w:rPr>
          <w:color w:val="1D1D1D"/>
          <w:spacing w:val="-1"/>
          <w:w w:val="105"/>
          <w:sz w:val="21"/>
        </w:rPr>
        <w:t> </w:t>
      </w:r>
      <w:r>
        <w:rPr>
          <w:color w:val="1D1D1D"/>
          <w:w w:val="105"/>
          <w:sz w:val="21"/>
        </w:rPr>
        <w:t>results </w:t>
      </w:r>
      <w:r>
        <w:rPr>
          <w:color w:val="080808"/>
          <w:w w:val="105"/>
          <w:sz w:val="21"/>
        </w:rPr>
        <w:t>in</w:t>
      </w:r>
      <w:r>
        <w:rPr>
          <w:color w:val="080808"/>
          <w:spacing w:val="-16"/>
          <w:w w:val="105"/>
          <w:sz w:val="21"/>
        </w:rPr>
        <w:t> </w:t>
      </w:r>
      <w:r>
        <w:rPr>
          <w:color w:val="080808"/>
          <w:w w:val="105"/>
          <w:sz w:val="21"/>
        </w:rPr>
        <w:t>an</w:t>
      </w:r>
      <w:r>
        <w:rPr>
          <w:color w:val="080808"/>
          <w:spacing w:val="-15"/>
          <w:w w:val="105"/>
          <w:sz w:val="21"/>
        </w:rPr>
        <w:t> </w:t>
      </w:r>
      <w:r>
        <w:rPr>
          <w:color w:val="080808"/>
          <w:w w:val="105"/>
          <w:sz w:val="21"/>
        </w:rPr>
        <w:t>increase</w:t>
      </w:r>
      <w:r>
        <w:rPr>
          <w:color w:val="080808"/>
          <w:spacing w:val="-15"/>
          <w:w w:val="105"/>
          <w:sz w:val="21"/>
        </w:rPr>
        <w:t> </w:t>
      </w:r>
      <w:r>
        <w:rPr>
          <w:color w:val="080808"/>
          <w:w w:val="105"/>
          <w:sz w:val="21"/>
        </w:rPr>
        <w:t>to</w:t>
      </w:r>
      <w:r>
        <w:rPr>
          <w:color w:val="080808"/>
          <w:spacing w:val="-16"/>
          <w:w w:val="105"/>
          <w:sz w:val="21"/>
        </w:rPr>
        <w:t> </w:t>
      </w:r>
      <w:r>
        <w:rPr>
          <w:color w:val="080808"/>
          <w:w w:val="105"/>
          <w:sz w:val="21"/>
        </w:rPr>
        <w:t>the</w:t>
      </w:r>
      <w:r>
        <w:rPr>
          <w:color w:val="080808"/>
          <w:spacing w:val="-15"/>
          <w:w w:val="105"/>
          <w:sz w:val="21"/>
        </w:rPr>
        <w:t> </w:t>
      </w:r>
      <w:r>
        <w:rPr>
          <w:color w:val="080808"/>
          <w:w w:val="105"/>
          <w:sz w:val="21"/>
        </w:rPr>
        <w:t>Capital</w:t>
      </w:r>
      <w:r>
        <w:rPr>
          <w:color w:val="080808"/>
          <w:spacing w:val="-15"/>
          <w:w w:val="105"/>
          <w:sz w:val="21"/>
        </w:rPr>
        <w:t> </w:t>
      </w:r>
      <w:r>
        <w:rPr>
          <w:color w:val="080808"/>
          <w:w w:val="105"/>
          <w:sz w:val="21"/>
        </w:rPr>
        <w:t>Financing</w:t>
      </w:r>
      <w:r>
        <w:rPr>
          <w:color w:val="080808"/>
          <w:spacing w:val="-16"/>
          <w:w w:val="105"/>
          <w:sz w:val="21"/>
        </w:rPr>
        <w:t> </w:t>
      </w:r>
      <w:r>
        <w:rPr>
          <w:color w:val="080808"/>
          <w:w w:val="105"/>
          <w:sz w:val="21"/>
        </w:rPr>
        <w:t>Requirement</w:t>
      </w:r>
      <w:r>
        <w:rPr>
          <w:color w:val="080808"/>
          <w:spacing w:val="-7"/>
          <w:w w:val="105"/>
          <w:sz w:val="21"/>
        </w:rPr>
        <w:t> </w:t>
      </w:r>
      <w:r>
        <w:rPr>
          <w:color w:val="2F2F2F"/>
          <w:w w:val="105"/>
          <w:sz w:val="21"/>
        </w:rPr>
        <w:t>(CFR).</w:t>
      </w:r>
      <w:r>
        <w:rPr>
          <w:color w:val="2F2F2F"/>
          <w:spacing w:val="-11"/>
          <w:w w:val="105"/>
          <w:sz w:val="21"/>
        </w:rPr>
        <w:t> </w:t>
      </w:r>
      <w:r>
        <w:rPr>
          <w:color w:val="1D1D1D"/>
          <w:w w:val="105"/>
          <w:sz w:val="21"/>
        </w:rPr>
        <w:t>The</w:t>
      </w:r>
      <w:r>
        <w:rPr>
          <w:color w:val="1D1D1D"/>
          <w:spacing w:val="-16"/>
          <w:w w:val="105"/>
          <w:sz w:val="21"/>
        </w:rPr>
        <w:t> </w:t>
      </w:r>
      <w:r>
        <w:rPr>
          <w:color w:val="1D1D1D"/>
          <w:w w:val="105"/>
          <w:sz w:val="21"/>
        </w:rPr>
        <w:t>CFR</w:t>
      </w:r>
      <w:r>
        <w:rPr>
          <w:color w:val="1D1D1D"/>
          <w:spacing w:val="-6"/>
          <w:w w:val="105"/>
          <w:sz w:val="21"/>
        </w:rPr>
        <w:t> </w:t>
      </w:r>
      <w:r>
        <w:rPr>
          <w:color w:val="1D1D1D"/>
          <w:w w:val="105"/>
          <w:sz w:val="21"/>
        </w:rPr>
        <w:t>is</w:t>
      </w:r>
      <w:r>
        <w:rPr>
          <w:color w:val="1D1D1D"/>
          <w:spacing w:val="-16"/>
          <w:w w:val="105"/>
          <w:sz w:val="21"/>
        </w:rPr>
        <w:t> </w:t>
      </w:r>
      <w:r>
        <w:rPr>
          <w:color w:val="080808"/>
          <w:w w:val="105"/>
          <w:sz w:val="21"/>
        </w:rPr>
        <w:t>a</w:t>
      </w:r>
      <w:r>
        <w:rPr>
          <w:color w:val="080808"/>
          <w:spacing w:val="-15"/>
          <w:w w:val="105"/>
          <w:sz w:val="21"/>
        </w:rPr>
        <w:t> </w:t>
      </w:r>
      <w:r>
        <w:rPr>
          <w:color w:val="1D1D1D"/>
          <w:w w:val="105"/>
          <w:sz w:val="21"/>
        </w:rPr>
        <w:t>measure</w:t>
      </w:r>
      <w:r>
        <w:rPr>
          <w:color w:val="1D1D1D"/>
          <w:spacing w:val="-4"/>
          <w:w w:val="105"/>
          <w:sz w:val="21"/>
        </w:rPr>
        <w:t> </w:t>
      </w:r>
      <w:r>
        <w:rPr>
          <w:color w:val="1D1D1D"/>
          <w:w w:val="105"/>
          <w:sz w:val="21"/>
        </w:rPr>
        <w:t>of</w:t>
      </w:r>
      <w:r>
        <w:rPr>
          <w:color w:val="1D1D1D"/>
          <w:spacing w:val="-16"/>
          <w:w w:val="105"/>
          <w:sz w:val="21"/>
        </w:rPr>
        <w:t> </w:t>
      </w:r>
      <w:r>
        <w:rPr>
          <w:color w:val="1D1D1D"/>
          <w:w w:val="105"/>
          <w:sz w:val="21"/>
        </w:rPr>
        <w:t>the</w:t>
      </w:r>
      <w:r>
        <w:rPr>
          <w:color w:val="1D1D1D"/>
          <w:spacing w:val="-15"/>
          <w:w w:val="105"/>
          <w:sz w:val="21"/>
        </w:rPr>
        <w:t> </w:t>
      </w:r>
      <w:r>
        <w:rPr>
          <w:color w:val="1D1D1D"/>
          <w:w w:val="105"/>
          <w:sz w:val="21"/>
        </w:rPr>
        <w:t>capital </w:t>
      </w:r>
      <w:r>
        <w:rPr>
          <w:color w:val="080808"/>
          <w:w w:val="105"/>
          <w:sz w:val="21"/>
        </w:rPr>
        <w:t>expenditure incurred historically by the Council that has yet to be financed.</w:t>
      </w:r>
    </w:p>
    <w:p>
      <w:pPr>
        <w:pStyle w:val="BodyText"/>
        <w:rPr>
          <w:sz w:val="20"/>
        </w:rPr>
      </w:pPr>
    </w:p>
    <w:p>
      <w:pPr>
        <w:pStyle w:val="BodyText"/>
        <w:spacing w:before="139"/>
        <w:rPr>
          <w:sz w:val="20"/>
        </w:rPr>
      </w:pPr>
    </w:p>
    <w:tbl>
      <w:tblPr>
        <w:tblW w:w="0" w:type="auto"/>
        <w:jc w:val="left"/>
        <w:tblInd w:w="144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591"/>
        <w:gridCol w:w="6255"/>
        <w:gridCol w:w="1418"/>
      </w:tblGrid>
      <w:tr>
        <w:trPr>
          <w:trHeight w:val="470" w:hRule="atLeast"/>
        </w:trPr>
        <w:tc>
          <w:tcPr>
            <w:tcW w:w="1591" w:type="dxa"/>
          </w:tcPr>
          <w:p>
            <w:pPr>
              <w:pStyle w:val="TableParagraph"/>
              <w:spacing w:line="240" w:lineRule="exact"/>
              <w:ind w:left="379"/>
              <w:rPr>
                <w:b/>
                <w:sz w:val="21"/>
              </w:rPr>
            </w:pPr>
            <w:r>
              <w:rPr>
                <w:b/>
                <w:color w:val="080808"/>
                <w:sz w:val="21"/>
              </w:rPr>
              <w:t>2021-</w:t>
            </w:r>
            <w:r>
              <w:rPr>
                <w:b/>
                <w:color w:val="080808"/>
                <w:spacing w:val="-5"/>
                <w:sz w:val="21"/>
              </w:rPr>
              <w:t>22</w:t>
            </w:r>
          </w:p>
        </w:tc>
        <w:tc>
          <w:tcPr>
            <w:tcW w:w="6255" w:type="dxa"/>
          </w:tcPr>
          <w:p>
            <w:pPr>
              <w:pStyle w:val="TableParagraph"/>
              <w:rPr>
                <w:rFonts w:ascii="Times New Roman"/>
                <w:sz w:val="20"/>
              </w:rPr>
            </w:pPr>
          </w:p>
        </w:tc>
        <w:tc>
          <w:tcPr>
            <w:tcW w:w="1418" w:type="dxa"/>
          </w:tcPr>
          <w:p>
            <w:pPr>
              <w:pStyle w:val="TableParagraph"/>
              <w:spacing w:line="235" w:lineRule="exact"/>
              <w:ind w:right="121"/>
              <w:jc w:val="right"/>
              <w:rPr>
                <w:b/>
                <w:sz w:val="21"/>
              </w:rPr>
            </w:pPr>
            <w:r>
              <w:rPr>
                <w:b/>
                <w:color w:val="080808"/>
                <w:sz w:val="21"/>
              </w:rPr>
              <w:t>2022-</w:t>
            </w:r>
            <w:r>
              <w:rPr>
                <w:b/>
                <w:color w:val="080808"/>
                <w:spacing w:val="-5"/>
                <w:sz w:val="21"/>
              </w:rPr>
              <w:t>23</w:t>
            </w:r>
          </w:p>
        </w:tc>
      </w:tr>
      <w:tr>
        <w:trPr>
          <w:trHeight w:val="670" w:hRule="atLeast"/>
        </w:trPr>
        <w:tc>
          <w:tcPr>
            <w:tcW w:w="1591" w:type="dxa"/>
          </w:tcPr>
          <w:p>
            <w:pPr>
              <w:pStyle w:val="TableParagraph"/>
              <w:spacing w:before="224"/>
              <w:ind w:left="527"/>
              <w:rPr>
                <w:b/>
                <w:sz w:val="21"/>
              </w:rPr>
            </w:pPr>
            <w:r>
              <w:rPr>
                <w:b/>
                <w:color w:val="080808"/>
                <w:spacing w:val="-4"/>
                <w:w w:val="105"/>
                <w:sz w:val="21"/>
              </w:rPr>
              <w:t>£000</w:t>
            </w:r>
          </w:p>
        </w:tc>
        <w:tc>
          <w:tcPr>
            <w:tcW w:w="6255" w:type="dxa"/>
          </w:tcPr>
          <w:p>
            <w:pPr>
              <w:pStyle w:val="TableParagraph"/>
              <w:rPr>
                <w:rFonts w:ascii="Times New Roman"/>
                <w:sz w:val="20"/>
              </w:rPr>
            </w:pPr>
          </w:p>
        </w:tc>
        <w:tc>
          <w:tcPr>
            <w:tcW w:w="1418" w:type="dxa"/>
          </w:tcPr>
          <w:p>
            <w:pPr>
              <w:pStyle w:val="TableParagraph"/>
              <w:spacing w:before="224"/>
              <w:ind w:left="648"/>
              <w:rPr>
                <w:b/>
                <w:sz w:val="21"/>
              </w:rPr>
            </w:pPr>
            <w:r>
              <w:rPr>
                <w:b/>
                <w:color w:val="080808"/>
                <w:spacing w:val="-4"/>
                <w:w w:val="105"/>
                <w:sz w:val="21"/>
              </w:rPr>
              <w:t>£000</w:t>
            </w:r>
          </w:p>
        </w:tc>
      </w:tr>
      <w:tr>
        <w:trPr>
          <w:trHeight w:val="675" w:hRule="atLeast"/>
        </w:trPr>
        <w:tc>
          <w:tcPr>
            <w:tcW w:w="1591" w:type="dxa"/>
          </w:tcPr>
          <w:p>
            <w:pPr>
              <w:pStyle w:val="TableParagraph"/>
              <w:spacing w:before="202"/>
              <w:ind w:left="622"/>
              <w:rPr>
                <w:b/>
                <w:sz w:val="21"/>
              </w:rPr>
            </w:pPr>
            <w:r>
              <w:rPr>
                <w:b/>
                <w:color w:val="080808"/>
                <w:spacing w:val="-2"/>
                <w:w w:val="105"/>
                <w:sz w:val="21"/>
              </w:rPr>
              <w:t>10,571</w:t>
            </w:r>
          </w:p>
        </w:tc>
        <w:tc>
          <w:tcPr>
            <w:tcW w:w="6255" w:type="dxa"/>
          </w:tcPr>
          <w:p>
            <w:pPr>
              <w:pStyle w:val="TableParagraph"/>
              <w:spacing w:before="202"/>
              <w:ind w:left="380"/>
              <w:rPr>
                <w:b/>
                <w:sz w:val="21"/>
              </w:rPr>
            </w:pPr>
            <w:r>
              <w:rPr>
                <w:b/>
                <w:color w:val="080808"/>
                <w:w w:val="105"/>
                <w:sz w:val="21"/>
              </w:rPr>
              <w:t>Opening</w:t>
            </w:r>
            <w:r>
              <w:rPr>
                <w:b/>
                <w:color w:val="080808"/>
                <w:spacing w:val="-10"/>
                <w:w w:val="105"/>
                <w:sz w:val="21"/>
              </w:rPr>
              <w:t> </w:t>
            </w:r>
            <w:r>
              <w:rPr>
                <w:b/>
                <w:color w:val="080808"/>
                <w:w w:val="105"/>
                <w:sz w:val="21"/>
              </w:rPr>
              <w:t>Capital</w:t>
            </w:r>
            <w:r>
              <w:rPr>
                <w:b/>
                <w:color w:val="080808"/>
                <w:spacing w:val="-6"/>
                <w:w w:val="105"/>
                <w:sz w:val="21"/>
              </w:rPr>
              <w:t> </w:t>
            </w:r>
            <w:r>
              <w:rPr>
                <w:b/>
                <w:color w:val="080808"/>
                <w:w w:val="105"/>
                <w:sz w:val="21"/>
              </w:rPr>
              <w:t>Financing</w:t>
            </w:r>
            <w:r>
              <w:rPr>
                <w:b/>
                <w:color w:val="080808"/>
                <w:spacing w:val="3"/>
                <w:w w:val="105"/>
                <w:sz w:val="21"/>
              </w:rPr>
              <w:t> </w:t>
            </w:r>
            <w:r>
              <w:rPr>
                <w:b/>
                <w:color w:val="080808"/>
                <w:spacing w:val="-2"/>
                <w:w w:val="105"/>
                <w:sz w:val="21"/>
              </w:rPr>
              <w:t>Requirement</w:t>
            </w:r>
          </w:p>
        </w:tc>
        <w:tc>
          <w:tcPr>
            <w:tcW w:w="1418" w:type="dxa"/>
          </w:tcPr>
          <w:p>
            <w:pPr>
              <w:pStyle w:val="TableParagraph"/>
              <w:spacing w:before="198"/>
              <w:ind w:right="1"/>
              <w:jc w:val="right"/>
              <w:rPr>
                <w:b/>
                <w:sz w:val="21"/>
              </w:rPr>
            </w:pPr>
            <w:r>
              <w:rPr>
                <w:b/>
                <w:color w:val="080808"/>
                <w:spacing w:val="-2"/>
                <w:w w:val="105"/>
                <w:sz w:val="21"/>
              </w:rPr>
              <w:t>17,544</w:t>
            </w:r>
          </w:p>
        </w:tc>
      </w:tr>
      <w:tr>
        <w:trPr>
          <w:trHeight w:val="523" w:hRule="atLeast"/>
        </w:trPr>
        <w:tc>
          <w:tcPr>
            <w:tcW w:w="1591" w:type="dxa"/>
          </w:tcPr>
          <w:p>
            <w:pPr>
              <w:pStyle w:val="TableParagraph"/>
              <w:rPr>
                <w:rFonts w:ascii="Times New Roman"/>
                <w:sz w:val="20"/>
              </w:rPr>
            </w:pPr>
          </w:p>
        </w:tc>
        <w:tc>
          <w:tcPr>
            <w:tcW w:w="6255" w:type="dxa"/>
          </w:tcPr>
          <w:p>
            <w:pPr>
              <w:pStyle w:val="TableParagraph"/>
              <w:spacing w:before="224"/>
              <w:ind w:left="375"/>
              <w:rPr>
                <w:b/>
                <w:sz w:val="21"/>
              </w:rPr>
            </w:pPr>
            <w:r>
              <w:rPr>
                <w:b/>
                <w:color w:val="080808"/>
                <w:w w:val="105"/>
                <w:sz w:val="21"/>
              </w:rPr>
              <w:t>Capital</w:t>
            </w:r>
            <w:r>
              <w:rPr>
                <w:b/>
                <w:color w:val="080808"/>
                <w:spacing w:val="5"/>
                <w:w w:val="105"/>
                <w:sz w:val="21"/>
              </w:rPr>
              <w:t> </w:t>
            </w:r>
            <w:r>
              <w:rPr>
                <w:b/>
                <w:color w:val="080808"/>
                <w:spacing w:val="-2"/>
                <w:w w:val="105"/>
                <w:sz w:val="21"/>
              </w:rPr>
              <w:t>Investment:</w:t>
            </w:r>
          </w:p>
        </w:tc>
        <w:tc>
          <w:tcPr>
            <w:tcW w:w="1418" w:type="dxa"/>
          </w:tcPr>
          <w:p>
            <w:pPr>
              <w:pStyle w:val="TableParagraph"/>
              <w:rPr>
                <w:rFonts w:ascii="Times New Roman"/>
                <w:sz w:val="20"/>
              </w:rPr>
            </w:pPr>
          </w:p>
        </w:tc>
      </w:tr>
      <w:tr>
        <w:trPr>
          <w:trHeight w:val="350" w:hRule="atLeast"/>
        </w:trPr>
        <w:tc>
          <w:tcPr>
            <w:tcW w:w="1591" w:type="dxa"/>
          </w:tcPr>
          <w:p>
            <w:pPr>
              <w:pStyle w:val="TableParagraph"/>
              <w:spacing w:before="51"/>
              <w:ind w:left="616"/>
              <w:rPr>
                <w:sz w:val="21"/>
              </w:rPr>
            </w:pPr>
            <w:r>
              <w:rPr>
                <w:color w:val="080808"/>
                <w:spacing w:val="-2"/>
                <w:w w:val="105"/>
                <w:sz w:val="21"/>
              </w:rPr>
              <w:t>14,731</w:t>
            </w:r>
          </w:p>
        </w:tc>
        <w:tc>
          <w:tcPr>
            <w:tcW w:w="6255" w:type="dxa"/>
          </w:tcPr>
          <w:p>
            <w:pPr>
              <w:pStyle w:val="TableParagraph"/>
              <w:spacing w:before="56"/>
              <w:ind w:left="373"/>
              <w:rPr>
                <w:sz w:val="21"/>
              </w:rPr>
            </w:pPr>
            <w:r>
              <w:rPr>
                <w:color w:val="080808"/>
                <w:w w:val="105"/>
                <w:sz w:val="21"/>
              </w:rPr>
              <w:t>Property,</w:t>
            </w:r>
            <w:r>
              <w:rPr>
                <w:color w:val="080808"/>
                <w:spacing w:val="-2"/>
                <w:w w:val="105"/>
                <w:sz w:val="21"/>
              </w:rPr>
              <w:t> </w:t>
            </w:r>
            <w:r>
              <w:rPr>
                <w:color w:val="080808"/>
                <w:w w:val="105"/>
                <w:sz w:val="21"/>
              </w:rPr>
              <w:t>plant</w:t>
            </w:r>
            <w:r>
              <w:rPr>
                <w:color w:val="080808"/>
                <w:spacing w:val="-4"/>
                <w:w w:val="105"/>
                <w:sz w:val="21"/>
              </w:rPr>
              <w:t> </w:t>
            </w:r>
            <w:r>
              <w:rPr>
                <w:color w:val="080808"/>
                <w:w w:val="105"/>
                <w:sz w:val="21"/>
              </w:rPr>
              <w:t>and</w:t>
            </w:r>
            <w:r>
              <w:rPr>
                <w:color w:val="080808"/>
                <w:spacing w:val="-13"/>
                <w:w w:val="105"/>
                <w:sz w:val="21"/>
              </w:rPr>
              <w:t> </w:t>
            </w:r>
            <w:r>
              <w:rPr>
                <w:color w:val="080808"/>
                <w:spacing w:val="-2"/>
                <w:w w:val="105"/>
                <w:sz w:val="21"/>
              </w:rPr>
              <w:t>equipment</w:t>
            </w:r>
          </w:p>
        </w:tc>
        <w:tc>
          <w:tcPr>
            <w:tcW w:w="1418" w:type="dxa"/>
          </w:tcPr>
          <w:p>
            <w:pPr>
              <w:pStyle w:val="TableParagraph"/>
              <w:spacing w:before="51"/>
              <w:jc w:val="right"/>
              <w:rPr>
                <w:sz w:val="21"/>
              </w:rPr>
            </w:pPr>
            <w:r>
              <w:rPr>
                <w:color w:val="080808"/>
                <w:spacing w:val="-2"/>
                <w:w w:val="105"/>
                <w:sz w:val="21"/>
              </w:rPr>
              <w:t>11,161</w:t>
            </w:r>
          </w:p>
        </w:tc>
      </w:tr>
      <w:tr>
        <w:trPr>
          <w:trHeight w:val="372" w:hRule="atLeast"/>
        </w:trPr>
        <w:tc>
          <w:tcPr>
            <w:tcW w:w="1591" w:type="dxa"/>
          </w:tcPr>
          <w:p>
            <w:pPr>
              <w:pStyle w:val="TableParagraph"/>
              <w:rPr>
                <w:rFonts w:ascii="Times New Roman"/>
                <w:sz w:val="20"/>
              </w:rPr>
            </w:pPr>
          </w:p>
        </w:tc>
        <w:tc>
          <w:tcPr>
            <w:tcW w:w="6255" w:type="dxa"/>
          </w:tcPr>
          <w:p>
            <w:pPr>
              <w:pStyle w:val="TableParagraph"/>
              <w:spacing w:before="99"/>
              <w:ind w:left="370"/>
              <w:rPr>
                <w:sz w:val="21"/>
              </w:rPr>
            </w:pPr>
            <w:r>
              <w:rPr>
                <w:color w:val="080808"/>
                <w:w w:val="105"/>
                <w:sz w:val="21"/>
              </w:rPr>
              <w:t>Intangible</w:t>
            </w:r>
            <w:r>
              <w:rPr>
                <w:color w:val="080808"/>
                <w:spacing w:val="3"/>
                <w:w w:val="105"/>
                <w:sz w:val="21"/>
              </w:rPr>
              <w:t> </w:t>
            </w:r>
            <w:r>
              <w:rPr>
                <w:color w:val="080808"/>
                <w:spacing w:val="-2"/>
                <w:w w:val="105"/>
                <w:sz w:val="21"/>
              </w:rPr>
              <w:t>assets</w:t>
            </w:r>
          </w:p>
        </w:tc>
        <w:tc>
          <w:tcPr>
            <w:tcW w:w="1418" w:type="dxa"/>
          </w:tcPr>
          <w:p>
            <w:pPr>
              <w:pStyle w:val="TableParagraph"/>
              <w:spacing w:before="46"/>
              <w:ind w:right="6"/>
              <w:jc w:val="right"/>
              <w:rPr>
                <w:sz w:val="21"/>
              </w:rPr>
            </w:pPr>
            <w:r>
              <w:rPr>
                <w:color w:val="080808"/>
                <w:spacing w:val="-5"/>
                <w:w w:val="105"/>
                <w:sz w:val="21"/>
              </w:rPr>
              <w:t>78</w:t>
            </w:r>
          </w:p>
        </w:tc>
      </w:tr>
      <w:tr>
        <w:trPr>
          <w:trHeight w:val="348" w:hRule="atLeast"/>
        </w:trPr>
        <w:tc>
          <w:tcPr>
            <w:tcW w:w="1591" w:type="dxa"/>
          </w:tcPr>
          <w:p>
            <w:pPr>
              <w:pStyle w:val="TableParagraph"/>
              <w:spacing w:before="25"/>
              <w:ind w:left="732"/>
              <w:rPr>
                <w:sz w:val="21"/>
              </w:rPr>
            </w:pPr>
            <w:r>
              <w:rPr>
                <w:color w:val="080808"/>
                <w:spacing w:val="-4"/>
                <w:w w:val="105"/>
                <w:sz w:val="21"/>
              </w:rPr>
              <w:t>1,232</w:t>
            </w:r>
          </w:p>
        </w:tc>
        <w:tc>
          <w:tcPr>
            <w:tcW w:w="6255" w:type="dxa"/>
          </w:tcPr>
          <w:p>
            <w:pPr>
              <w:pStyle w:val="TableParagraph"/>
              <w:spacing w:before="77"/>
              <w:ind w:left="363"/>
              <w:rPr>
                <w:sz w:val="21"/>
              </w:rPr>
            </w:pPr>
            <w:r>
              <w:rPr>
                <w:color w:val="080808"/>
                <w:w w:val="105"/>
                <w:sz w:val="21"/>
              </w:rPr>
              <w:t>Revenue</w:t>
            </w:r>
            <w:r>
              <w:rPr>
                <w:color w:val="080808"/>
                <w:spacing w:val="-2"/>
                <w:w w:val="105"/>
                <w:sz w:val="21"/>
              </w:rPr>
              <w:t> </w:t>
            </w:r>
            <w:r>
              <w:rPr>
                <w:color w:val="080808"/>
                <w:w w:val="105"/>
                <w:sz w:val="21"/>
              </w:rPr>
              <w:t>expenditure</w:t>
            </w:r>
            <w:r>
              <w:rPr>
                <w:color w:val="080808"/>
                <w:spacing w:val="-3"/>
                <w:w w:val="105"/>
                <w:sz w:val="21"/>
              </w:rPr>
              <w:t> </w:t>
            </w:r>
            <w:r>
              <w:rPr>
                <w:color w:val="080808"/>
                <w:w w:val="105"/>
                <w:sz w:val="21"/>
              </w:rPr>
              <w:t>funded</w:t>
            </w:r>
            <w:r>
              <w:rPr>
                <w:color w:val="080808"/>
                <w:spacing w:val="-7"/>
                <w:w w:val="105"/>
                <w:sz w:val="21"/>
              </w:rPr>
              <w:t> </w:t>
            </w:r>
            <w:r>
              <w:rPr>
                <w:color w:val="080808"/>
                <w:w w:val="105"/>
                <w:sz w:val="21"/>
              </w:rPr>
              <w:t>from</w:t>
            </w:r>
            <w:r>
              <w:rPr>
                <w:color w:val="080808"/>
                <w:spacing w:val="-6"/>
                <w:w w:val="105"/>
                <w:sz w:val="21"/>
              </w:rPr>
              <w:t> </w:t>
            </w:r>
            <w:r>
              <w:rPr>
                <w:color w:val="080808"/>
                <w:w w:val="105"/>
                <w:sz w:val="21"/>
              </w:rPr>
              <w:t>capital</w:t>
            </w:r>
            <w:r>
              <w:rPr>
                <w:color w:val="080808"/>
                <w:spacing w:val="-2"/>
                <w:w w:val="105"/>
                <w:sz w:val="21"/>
              </w:rPr>
              <w:t> </w:t>
            </w:r>
            <w:r>
              <w:rPr>
                <w:color w:val="080808"/>
                <w:w w:val="105"/>
                <w:sz w:val="21"/>
              </w:rPr>
              <w:t>under</w:t>
            </w:r>
            <w:r>
              <w:rPr>
                <w:color w:val="080808"/>
                <w:spacing w:val="-5"/>
                <w:w w:val="105"/>
                <w:sz w:val="21"/>
              </w:rPr>
              <w:t> </w:t>
            </w:r>
            <w:r>
              <w:rPr>
                <w:color w:val="080808"/>
                <w:spacing w:val="-2"/>
                <w:w w:val="105"/>
                <w:sz w:val="21"/>
              </w:rPr>
              <w:t>statute</w:t>
            </w:r>
          </w:p>
        </w:tc>
        <w:tc>
          <w:tcPr>
            <w:tcW w:w="1418" w:type="dxa"/>
          </w:tcPr>
          <w:p>
            <w:pPr>
              <w:pStyle w:val="TableParagraph"/>
              <w:spacing w:before="25"/>
              <w:ind w:right="9"/>
              <w:jc w:val="right"/>
              <w:rPr>
                <w:sz w:val="21"/>
              </w:rPr>
            </w:pPr>
            <w:r>
              <w:rPr>
                <w:color w:val="080808"/>
                <w:spacing w:val="-4"/>
                <w:w w:val="105"/>
                <w:sz w:val="21"/>
              </w:rPr>
              <w:t>2,072</w:t>
            </w:r>
          </w:p>
        </w:tc>
      </w:tr>
      <w:tr>
        <w:trPr>
          <w:trHeight w:val="523" w:hRule="atLeast"/>
        </w:trPr>
        <w:tc>
          <w:tcPr>
            <w:tcW w:w="1591" w:type="dxa"/>
          </w:tcPr>
          <w:p>
            <w:pPr>
              <w:pStyle w:val="TableParagraph"/>
              <w:rPr>
                <w:rFonts w:ascii="Times New Roman"/>
                <w:sz w:val="20"/>
              </w:rPr>
            </w:pPr>
          </w:p>
        </w:tc>
        <w:tc>
          <w:tcPr>
            <w:tcW w:w="6255" w:type="dxa"/>
          </w:tcPr>
          <w:p>
            <w:pPr>
              <w:pStyle w:val="TableParagraph"/>
              <w:spacing w:before="75"/>
              <w:ind w:left="360"/>
              <w:rPr>
                <w:sz w:val="21"/>
              </w:rPr>
            </w:pPr>
            <w:r>
              <w:rPr>
                <w:color w:val="080808"/>
                <w:w w:val="105"/>
                <w:sz w:val="21"/>
              </w:rPr>
              <w:t>Loan</w:t>
            </w:r>
            <w:r>
              <w:rPr>
                <w:color w:val="080808"/>
                <w:spacing w:val="-6"/>
                <w:w w:val="105"/>
                <w:sz w:val="21"/>
              </w:rPr>
              <w:t> </w:t>
            </w:r>
            <w:r>
              <w:rPr>
                <w:color w:val="080808"/>
                <w:w w:val="105"/>
                <w:sz w:val="21"/>
              </w:rPr>
              <w:t>advanced</w:t>
            </w:r>
            <w:r>
              <w:rPr>
                <w:color w:val="080808"/>
                <w:spacing w:val="1"/>
                <w:w w:val="105"/>
                <w:sz w:val="21"/>
              </w:rPr>
              <w:t> </w:t>
            </w:r>
            <w:r>
              <w:rPr>
                <w:color w:val="080808"/>
                <w:w w:val="105"/>
                <w:sz w:val="21"/>
              </w:rPr>
              <w:t>for</w:t>
            </w:r>
            <w:r>
              <w:rPr>
                <w:color w:val="080808"/>
                <w:spacing w:val="-7"/>
                <w:w w:val="105"/>
                <w:sz w:val="21"/>
              </w:rPr>
              <w:t> </w:t>
            </w:r>
            <w:r>
              <w:rPr>
                <w:color w:val="080808"/>
                <w:w w:val="105"/>
                <w:sz w:val="21"/>
              </w:rPr>
              <w:t>capital</w:t>
            </w:r>
            <w:r>
              <w:rPr>
                <w:color w:val="080808"/>
                <w:spacing w:val="-3"/>
                <w:w w:val="105"/>
                <w:sz w:val="21"/>
              </w:rPr>
              <w:t> </w:t>
            </w:r>
            <w:r>
              <w:rPr>
                <w:color w:val="080808"/>
                <w:spacing w:val="-2"/>
                <w:w w:val="105"/>
                <w:sz w:val="21"/>
              </w:rPr>
              <w:t>purposes</w:t>
            </w:r>
          </w:p>
        </w:tc>
        <w:tc>
          <w:tcPr>
            <w:tcW w:w="1418" w:type="dxa"/>
          </w:tcPr>
          <w:p>
            <w:pPr>
              <w:pStyle w:val="TableParagraph"/>
              <w:spacing w:before="22"/>
              <w:ind w:right="7"/>
              <w:jc w:val="right"/>
              <w:rPr>
                <w:sz w:val="21"/>
              </w:rPr>
            </w:pPr>
            <w:r>
              <w:rPr>
                <w:color w:val="080808"/>
                <w:spacing w:val="-5"/>
                <w:w w:val="105"/>
                <w:sz w:val="21"/>
              </w:rPr>
              <w:t>835</w:t>
            </w:r>
          </w:p>
        </w:tc>
      </w:tr>
      <w:tr>
        <w:trPr>
          <w:trHeight w:val="497" w:hRule="atLeast"/>
        </w:trPr>
        <w:tc>
          <w:tcPr>
            <w:tcW w:w="1591" w:type="dxa"/>
          </w:tcPr>
          <w:p>
            <w:pPr>
              <w:pStyle w:val="TableParagraph"/>
              <w:rPr>
                <w:rFonts w:ascii="Times New Roman"/>
                <w:sz w:val="20"/>
              </w:rPr>
            </w:pPr>
          </w:p>
        </w:tc>
        <w:tc>
          <w:tcPr>
            <w:tcW w:w="6255" w:type="dxa"/>
          </w:tcPr>
          <w:p>
            <w:pPr>
              <w:pStyle w:val="TableParagraph"/>
              <w:spacing w:before="200"/>
              <w:ind w:left="353"/>
              <w:rPr>
                <w:b/>
                <w:sz w:val="21"/>
              </w:rPr>
            </w:pPr>
            <w:r>
              <w:rPr>
                <w:b/>
                <w:color w:val="080808"/>
                <w:w w:val="105"/>
                <w:sz w:val="21"/>
              </w:rPr>
              <w:t>Sources</w:t>
            </w:r>
            <w:r>
              <w:rPr>
                <w:b/>
                <w:color w:val="080808"/>
                <w:spacing w:val="8"/>
                <w:w w:val="105"/>
                <w:sz w:val="21"/>
              </w:rPr>
              <w:t> </w:t>
            </w:r>
            <w:r>
              <w:rPr>
                <w:b/>
                <w:color w:val="080808"/>
                <w:w w:val="105"/>
                <w:sz w:val="21"/>
              </w:rPr>
              <w:t>of</w:t>
            </w:r>
            <w:r>
              <w:rPr>
                <w:b/>
                <w:color w:val="080808"/>
                <w:spacing w:val="-6"/>
                <w:w w:val="105"/>
                <w:sz w:val="21"/>
              </w:rPr>
              <w:t> </w:t>
            </w:r>
            <w:r>
              <w:rPr>
                <w:b/>
                <w:color w:val="080808"/>
                <w:spacing w:val="-2"/>
                <w:w w:val="105"/>
                <w:sz w:val="21"/>
              </w:rPr>
              <w:t>finance:</w:t>
            </w:r>
          </w:p>
        </w:tc>
        <w:tc>
          <w:tcPr>
            <w:tcW w:w="1418" w:type="dxa"/>
          </w:tcPr>
          <w:p>
            <w:pPr>
              <w:pStyle w:val="TableParagraph"/>
              <w:rPr>
                <w:rFonts w:ascii="Times New Roman"/>
                <w:sz w:val="20"/>
              </w:rPr>
            </w:pPr>
          </w:p>
        </w:tc>
      </w:tr>
      <w:tr>
        <w:trPr>
          <w:trHeight w:val="348" w:hRule="atLeast"/>
        </w:trPr>
        <w:tc>
          <w:tcPr>
            <w:tcW w:w="1591" w:type="dxa"/>
          </w:tcPr>
          <w:p>
            <w:pPr>
              <w:pStyle w:val="TableParagraph"/>
              <w:spacing w:before="49"/>
              <w:ind w:left="568"/>
              <w:rPr>
                <w:sz w:val="21"/>
              </w:rPr>
            </w:pPr>
            <w:r>
              <w:rPr>
                <w:color w:val="080808"/>
                <w:spacing w:val="-2"/>
                <w:sz w:val="21"/>
              </w:rPr>
              <w:t>(7,211)</w:t>
            </w:r>
          </w:p>
        </w:tc>
        <w:tc>
          <w:tcPr>
            <w:tcW w:w="6255" w:type="dxa"/>
          </w:tcPr>
          <w:p>
            <w:pPr>
              <w:pStyle w:val="TableParagraph"/>
              <w:spacing w:before="53"/>
              <w:ind w:left="349"/>
              <w:rPr>
                <w:sz w:val="21"/>
              </w:rPr>
            </w:pPr>
            <w:r>
              <w:rPr>
                <w:color w:val="080808"/>
                <w:w w:val="105"/>
                <w:sz w:val="21"/>
              </w:rPr>
              <w:t>Government</w:t>
            </w:r>
            <w:r>
              <w:rPr>
                <w:color w:val="080808"/>
                <w:spacing w:val="9"/>
                <w:w w:val="105"/>
                <w:sz w:val="21"/>
              </w:rPr>
              <w:t> </w:t>
            </w:r>
            <w:r>
              <w:rPr>
                <w:color w:val="080808"/>
                <w:w w:val="105"/>
                <w:sz w:val="21"/>
              </w:rPr>
              <w:t>grants</w:t>
            </w:r>
            <w:r>
              <w:rPr>
                <w:color w:val="080808"/>
                <w:spacing w:val="-2"/>
                <w:w w:val="105"/>
                <w:sz w:val="21"/>
              </w:rPr>
              <w:t> </w:t>
            </w:r>
            <w:r>
              <w:rPr>
                <w:color w:val="080808"/>
                <w:w w:val="105"/>
                <w:sz w:val="21"/>
              </w:rPr>
              <w:t>and</w:t>
            </w:r>
            <w:r>
              <w:rPr>
                <w:color w:val="080808"/>
                <w:spacing w:val="-11"/>
                <w:w w:val="105"/>
                <w:sz w:val="21"/>
              </w:rPr>
              <w:t> </w:t>
            </w:r>
            <w:r>
              <w:rPr>
                <w:color w:val="080808"/>
                <w:w w:val="105"/>
                <w:sz w:val="21"/>
              </w:rPr>
              <w:t>other</w:t>
            </w:r>
            <w:r>
              <w:rPr>
                <w:color w:val="080808"/>
                <w:spacing w:val="-3"/>
                <w:w w:val="105"/>
                <w:sz w:val="21"/>
              </w:rPr>
              <w:t> </w:t>
            </w:r>
            <w:r>
              <w:rPr>
                <w:color w:val="080808"/>
                <w:spacing w:val="-2"/>
                <w:w w:val="105"/>
                <w:sz w:val="21"/>
              </w:rPr>
              <w:t>contributions</w:t>
            </w:r>
          </w:p>
        </w:tc>
        <w:tc>
          <w:tcPr>
            <w:tcW w:w="1418" w:type="dxa"/>
          </w:tcPr>
          <w:p>
            <w:pPr>
              <w:pStyle w:val="TableParagraph"/>
              <w:spacing w:before="49"/>
              <w:ind w:right="25"/>
              <w:jc w:val="right"/>
              <w:rPr>
                <w:sz w:val="21"/>
              </w:rPr>
            </w:pPr>
            <w:r>
              <w:rPr>
                <w:color w:val="080808"/>
                <w:spacing w:val="-2"/>
                <w:w w:val="105"/>
                <w:sz w:val="21"/>
              </w:rPr>
              <w:t>(5,328)</w:t>
            </w:r>
          </w:p>
        </w:tc>
      </w:tr>
      <w:tr>
        <w:trPr>
          <w:trHeight w:val="372" w:hRule="atLeast"/>
        </w:trPr>
        <w:tc>
          <w:tcPr>
            <w:tcW w:w="1591" w:type="dxa"/>
          </w:tcPr>
          <w:p>
            <w:pPr>
              <w:pStyle w:val="TableParagraph"/>
              <w:spacing w:before="51"/>
              <w:ind w:left="746"/>
              <w:rPr>
                <w:sz w:val="21"/>
              </w:rPr>
            </w:pPr>
            <w:r>
              <w:rPr>
                <w:color w:val="080808"/>
                <w:spacing w:val="-2"/>
                <w:sz w:val="21"/>
              </w:rPr>
              <w:t>(592)</w:t>
            </w:r>
          </w:p>
        </w:tc>
        <w:tc>
          <w:tcPr>
            <w:tcW w:w="6255" w:type="dxa"/>
          </w:tcPr>
          <w:p>
            <w:pPr>
              <w:pStyle w:val="TableParagraph"/>
              <w:spacing w:before="99"/>
              <w:ind w:left="345"/>
              <w:rPr>
                <w:sz w:val="21"/>
              </w:rPr>
            </w:pPr>
            <w:r>
              <w:rPr>
                <w:color w:val="080808"/>
                <w:w w:val="105"/>
                <w:sz w:val="21"/>
              </w:rPr>
              <w:t>Capital</w:t>
            </w:r>
            <w:r>
              <w:rPr>
                <w:color w:val="080808"/>
                <w:spacing w:val="6"/>
                <w:w w:val="105"/>
                <w:sz w:val="21"/>
              </w:rPr>
              <w:t> </w:t>
            </w:r>
            <w:r>
              <w:rPr>
                <w:color w:val="080808"/>
                <w:spacing w:val="-2"/>
                <w:w w:val="105"/>
                <w:sz w:val="21"/>
              </w:rPr>
              <w:t>receipts</w:t>
            </w:r>
          </w:p>
        </w:tc>
        <w:tc>
          <w:tcPr>
            <w:tcW w:w="1418" w:type="dxa"/>
          </w:tcPr>
          <w:p>
            <w:pPr>
              <w:pStyle w:val="TableParagraph"/>
              <w:spacing w:before="46"/>
              <w:ind w:right="23"/>
              <w:jc w:val="right"/>
              <w:rPr>
                <w:sz w:val="21"/>
              </w:rPr>
            </w:pPr>
            <w:r>
              <w:rPr>
                <w:color w:val="080808"/>
                <w:spacing w:val="-2"/>
                <w:w w:val="105"/>
                <w:sz w:val="21"/>
              </w:rPr>
              <w:t>(267)</w:t>
            </w:r>
          </w:p>
        </w:tc>
      </w:tr>
      <w:tr>
        <w:trPr>
          <w:trHeight w:val="523" w:hRule="atLeast"/>
        </w:trPr>
        <w:tc>
          <w:tcPr>
            <w:tcW w:w="1591" w:type="dxa"/>
          </w:tcPr>
          <w:p>
            <w:pPr>
              <w:pStyle w:val="TableParagraph"/>
              <w:spacing w:before="25"/>
              <w:ind w:left="741"/>
              <w:rPr>
                <w:sz w:val="21"/>
              </w:rPr>
            </w:pPr>
            <w:r>
              <w:rPr>
                <w:color w:val="080808"/>
                <w:spacing w:val="-2"/>
                <w:sz w:val="21"/>
              </w:rPr>
              <w:t>(945)</w:t>
            </w:r>
          </w:p>
        </w:tc>
        <w:tc>
          <w:tcPr>
            <w:tcW w:w="6255" w:type="dxa"/>
          </w:tcPr>
          <w:p>
            <w:pPr>
              <w:pStyle w:val="TableParagraph"/>
              <w:spacing w:before="77"/>
              <w:ind w:left="344"/>
              <w:rPr>
                <w:sz w:val="21"/>
              </w:rPr>
            </w:pPr>
            <w:r>
              <w:rPr>
                <w:color w:val="080808"/>
                <w:w w:val="105"/>
                <w:sz w:val="21"/>
              </w:rPr>
              <w:t>Revenue</w:t>
            </w:r>
            <w:r>
              <w:rPr>
                <w:color w:val="080808"/>
                <w:spacing w:val="-2"/>
                <w:w w:val="105"/>
                <w:sz w:val="21"/>
              </w:rPr>
              <w:t> </w:t>
            </w:r>
            <w:r>
              <w:rPr>
                <w:color w:val="080808"/>
                <w:w w:val="105"/>
                <w:sz w:val="21"/>
              </w:rPr>
              <w:t>contribution</w:t>
            </w:r>
            <w:r>
              <w:rPr>
                <w:color w:val="080808"/>
                <w:spacing w:val="-5"/>
                <w:w w:val="105"/>
                <w:sz w:val="21"/>
              </w:rPr>
              <w:t> </w:t>
            </w:r>
            <w:r>
              <w:rPr>
                <w:color w:val="080808"/>
                <w:w w:val="105"/>
                <w:sz w:val="21"/>
              </w:rPr>
              <w:t>to</w:t>
            </w:r>
            <w:r>
              <w:rPr>
                <w:color w:val="080808"/>
                <w:spacing w:val="-8"/>
                <w:w w:val="105"/>
                <w:sz w:val="21"/>
              </w:rPr>
              <w:t> </w:t>
            </w:r>
            <w:r>
              <w:rPr>
                <w:color w:val="080808"/>
                <w:spacing w:val="-2"/>
                <w:w w:val="105"/>
                <w:sz w:val="21"/>
              </w:rPr>
              <w:t>capital</w:t>
            </w:r>
          </w:p>
        </w:tc>
        <w:tc>
          <w:tcPr>
            <w:tcW w:w="1418" w:type="dxa"/>
          </w:tcPr>
          <w:p>
            <w:pPr>
              <w:pStyle w:val="TableParagraph"/>
              <w:spacing w:before="25"/>
              <w:ind w:right="30"/>
              <w:jc w:val="right"/>
              <w:rPr>
                <w:sz w:val="21"/>
              </w:rPr>
            </w:pPr>
            <w:r>
              <w:rPr>
                <w:color w:val="080808"/>
                <w:spacing w:val="-2"/>
                <w:w w:val="105"/>
                <w:sz w:val="21"/>
              </w:rPr>
              <w:t>(1,977)</w:t>
            </w:r>
          </w:p>
        </w:tc>
      </w:tr>
      <w:tr>
        <w:trPr>
          <w:trHeight w:val="497" w:hRule="atLeast"/>
        </w:trPr>
        <w:tc>
          <w:tcPr>
            <w:tcW w:w="1591" w:type="dxa"/>
          </w:tcPr>
          <w:p>
            <w:pPr>
              <w:pStyle w:val="TableParagraph"/>
              <w:rPr>
                <w:rFonts w:ascii="Times New Roman"/>
                <w:sz w:val="20"/>
              </w:rPr>
            </w:pPr>
          </w:p>
        </w:tc>
        <w:tc>
          <w:tcPr>
            <w:tcW w:w="6255" w:type="dxa"/>
          </w:tcPr>
          <w:p>
            <w:pPr>
              <w:pStyle w:val="TableParagraph"/>
              <w:spacing w:before="198"/>
              <w:ind w:left="335"/>
              <w:rPr>
                <w:b/>
                <w:sz w:val="21"/>
              </w:rPr>
            </w:pPr>
            <w:r>
              <w:rPr>
                <w:b/>
                <w:color w:val="080808"/>
                <w:w w:val="105"/>
                <w:sz w:val="21"/>
              </w:rPr>
              <w:t>Provision</w:t>
            </w:r>
            <w:r>
              <w:rPr>
                <w:b/>
                <w:color w:val="080808"/>
                <w:spacing w:val="6"/>
                <w:w w:val="105"/>
                <w:sz w:val="21"/>
              </w:rPr>
              <w:t> </w:t>
            </w:r>
            <w:r>
              <w:rPr>
                <w:b/>
                <w:color w:val="080808"/>
                <w:w w:val="105"/>
                <w:sz w:val="21"/>
              </w:rPr>
              <w:t>for</w:t>
            </w:r>
            <w:r>
              <w:rPr>
                <w:b/>
                <w:color w:val="080808"/>
                <w:spacing w:val="-6"/>
                <w:w w:val="105"/>
                <w:sz w:val="21"/>
              </w:rPr>
              <w:t> </w:t>
            </w:r>
            <w:r>
              <w:rPr>
                <w:b/>
                <w:color w:val="080808"/>
                <w:w w:val="105"/>
                <w:sz w:val="21"/>
              </w:rPr>
              <w:t>repayment</w:t>
            </w:r>
            <w:r>
              <w:rPr>
                <w:b/>
                <w:color w:val="080808"/>
                <w:spacing w:val="8"/>
                <w:w w:val="105"/>
                <w:sz w:val="21"/>
              </w:rPr>
              <w:t> </w:t>
            </w:r>
            <w:r>
              <w:rPr>
                <w:b/>
                <w:color w:val="080808"/>
                <w:w w:val="105"/>
                <w:sz w:val="21"/>
              </w:rPr>
              <w:t>of</w:t>
            </w:r>
            <w:r>
              <w:rPr>
                <w:b/>
                <w:color w:val="080808"/>
                <w:spacing w:val="-8"/>
                <w:w w:val="105"/>
                <w:sz w:val="21"/>
              </w:rPr>
              <w:t> </w:t>
            </w:r>
            <w:r>
              <w:rPr>
                <w:b/>
                <w:color w:val="080808"/>
                <w:spacing w:val="-2"/>
                <w:w w:val="105"/>
                <w:sz w:val="21"/>
              </w:rPr>
              <w:t>debt:</w:t>
            </w:r>
          </w:p>
        </w:tc>
        <w:tc>
          <w:tcPr>
            <w:tcW w:w="1418" w:type="dxa"/>
          </w:tcPr>
          <w:p>
            <w:pPr>
              <w:pStyle w:val="TableParagraph"/>
              <w:rPr>
                <w:rFonts w:ascii="Times New Roman"/>
                <w:sz w:val="20"/>
              </w:rPr>
            </w:pPr>
          </w:p>
        </w:tc>
      </w:tr>
      <w:tr>
        <w:trPr>
          <w:trHeight w:val="350" w:hRule="atLeast"/>
        </w:trPr>
        <w:tc>
          <w:tcPr>
            <w:tcW w:w="1591" w:type="dxa"/>
          </w:tcPr>
          <w:p>
            <w:pPr>
              <w:pStyle w:val="TableParagraph"/>
              <w:spacing w:before="51"/>
              <w:ind w:left="727"/>
              <w:rPr>
                <w:sz w:val="21"/>
              </w:rPr>
            </w:pPr>
            <w:r>
              <w:rPr>
                <w:color w:val="080808"/>
                <w:spacing w:val="-2"/>
                <w:w w:val="105"/>
                <w:sz w:val="21"/>
              </w:rPr>
              <w:t>(242)</w:t>
            </w:r>
          </w:p>
        </w:tc>
        <w:tc>
          <w:tcPr>
            <w:tcW w:w="6255" w:type="dxa"/>
          </w:tcPr>
          <w:p>
            <w:pPr>
              <w:pStyle w:val="TableParagraph"/>
              <w:spacing w:before="56"/>
              <w:ind w:left="330"/>
              <w:rPr>
                <w:sz w:val="21"/>
              </w:rPr>
            </w:pPr>
            <w:r>
              <w:rPr>
                <w:color w:val="080808"/>
                <w:w w:val="105"/>
                <w:sz w:val="21"/>
              </w:rPr>
              <w:t>Minimum</w:t>
            </w:r>
            <w:r>
              <w:rPr>
                <w:color w:val="080808"/>
                <w:spacing w:val="-1"/>
                <w:w w:val="105"/>
                <w:sz w:val="21"/>
              </w:rPr>
              <w:t> </w:t>
            </w:r>
            <w:r>
              <w:rPr>
                <w:color w:val="080808"/>
                <w:w w:val="105"/>
                <w:sz w:val="21"/>
              </w:rPr>
              <w:t>revenue</w:t>
            </w:r>
            <w:r>
              <w:rPr>
                <w:color w:val="080808"/>
                <w:spacing w:val="-9"/>
                <w:w w:val="105"/>
                <w:sz w:val="21"/>
              </w:rPr>
              <w:t> </w:t>
            </w:r>
            <w:r>
              <w:rPr>
                <w:color w:val="080808"/>
                <w:spacing w:val="-2"/>
                <w:w w:val="105"/>
                <w:sz w:val="21"/>
              </w:rPr>
              <w:t>provision</w:t>
            </w:r>
          </w:p>
        </w:tc>
        <w:tc>
          <w:tcPr>
            <w:tcW w:w="1418" w:type="dxa"/>
          </w:tcPr>
          <w:p>
            <w:pPr>
              <w:pStyle w:val="TableParagraph"/>
              <w:spacing w:before="51"/>
              <w:ind w:right="33"/>
              <w:jc w:val="right"/>
              <w:rPr>
                <w:sz w:val="21"/>
              </w:rPr>
            </w:pPr>
            <w:r>
              <w:rPr>
                <w:color w:val="080808"/>
                <w:spacing w:val="-2"/>
                <w:w w:val="105"/>
                <w:sz w:val="21"/>
              </w:rPr>
              <w:t>(482)</w:t>
            </w:r>
          </w:p>
        </w:tc>
      </w:tr>
      <w:tr>
        <w:trPr>
          <w:trHeight w:val="670" w:hRule="atLeast"/>
        </w:trPr>
        <w:tc>
          <w:tcPr>
            <w:tcW w:w="1591" w:type="dxa"/>
          </w:tcPr>
          <w:p>
            <w:pPr>
              <w:pStyle w:val="TableParagraph"/>
              <w:rPr>
                <w:sz w:val="20"/>
              </w:rPr>
            </w:pPr>
          </w:p>
          <w:p>
            <w:pPr>
              <w:pStyle w:val="TableParagraph"/>
              <w:spacing w:before="211"/>
              <w:rPr>
                <w:sz w:val="20"/>
              </w:rPr>
            </w:pPr>
          </w:p>
          <w:p>
            <w:pPr>
              <w:pStyle w:val="TableParagraph"/>
              <w:spacing w:line="22" w:lineRule="exact"/>
              <w:ind w:left="49" w:right="-72"/>
              <w:rPr>
                <w:sz w:val="2"/>
              </w:rPr>
            </w:pPr>
            <w:r>
              <w:rPr>
                <w:sz w:val="2"/>
              </w:rPr>
              <ve:AlternateContent>
                <ve:Choice Requires="wps">
                  <w:drawing>
                    <wp:inline distT="0" distB="0" distL="0" distR="0">
                      <wp:extent cx="974090" cy="13970"/>
                      <wp:effectExtent l="9525" t="0" r="0" b="5079"/>
                      <wp:docPr id="337" name="Group 337"/>
                      <wp:cNvGraphicFramePr>
                        <a:graphicFrameLocks/>
                      </wp:cNvGraphicFramePr>
                      <a:graphic>
                        <a:graphicData uri="http://schemas.microsoft.com/office/word/2010/wordprocessingGroup">
                          <wpg:wgp>
                            <wpg:cNvPr id="337" name="Group 337"/>
                            <wpg:cNvGrpSpPr/>
                            <wpg:grpSpPr>
                              <a:xfrm>
                                <a:off x="0" y="0"/>
                                <a:ext cx="974090" cy="13970"/>
                                <a:chExt cx="974090" cy="13970"/>
                              </a:xfrm>
                            </wpg:grpSpPr>
                            <wps:wsp>
                              <wps:cNvPr id="338" name="Graphic 338"/>
                              <wps:cNvSpPr/>
                              <wps:spPr>
                                <a:xfrm>
                                  <a:off x="0" y="9154"/>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s:wsp>
                              <wps:cNvPr id="339" name="Graphic 339"/>
                              <wps:cNvSpPr/>
                              <wps:spPr>
                                <a:xfrm>
                                  <a:off x="207598" y="3051"/>
                                  <a:ext cx="766445" cy="1270"/>
                                </a:xfrm>
                                <a:custGeom>
                                  <a:avLst/>
                                  <a:gdLst/>
                                  <a:ahLst/>
                                  <a:cxnLst/>
                                  <a:rect l="l" t="t" r="r" b="b"/>
                                  <a:pathLst>
                                    <a:path w="766445" h="0">
                                      <a:moveTo>
                                        <a:pt x="0" y="0"/>
                                      </a:moveTo>
                                      <a:lnTo>
                                        <a:pt x="766282" y="0"/>
                                      </a:lnTo>
                                    </a:path>
                                  </a:pathLst>
                                </a:custGeom>
                                <a:ln w="6102">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26" style="width:76.7pt;height:1.1pt;mso-position-horizontal-relative:char;mso-position-vertical-relative:line" coordsize="1534,22" coordorigin="0,0">
                      <v:line style="position:absolute" stroked="true" strokecolor="#000000" strokeweight=".720821pt" from="0,14" to="1308,14">
                        <v:stroke dashstyle="solid"/>
                      </v:line>
                      <v:line style="position:absolute" stroked="true" strokecolor="#000000" strokeweight=".480548pt" from="327,5" to="1534,5">
                        <v:stroke dashstyle="solid"/>
                      </v:line>
                    </v:group>
                  </w:pict>
                </ve:Fallback>
              </ve:AlternateContent>
            </w:r>
            <w:r>
              <w:rPr>
                <w:sz w:val="2"/>
              </w:rPr>
            </w:r>
          </w:p>
        </w:tc>
        <w:tc>
          <w:tcPr>
            <w:tcW w:w="6255" w:type="dxa"/>
          </w:tcPr>
          <w:p>
            <w:pPr>
              <w:pStyle w:val="TableParagraph"/>
              <w:spacing w:before="51"/>
              <w:ind w:left="333"/>
              <w:rPr>
                <w:sz w:val="21"/>
              </w:rPr>
            </w:pPr>
            <w:r>
              <w:rPr>
                <w:color w:val="080808"/>
                <w:w w:val="105"/>
                <w:sz w:val="21"/>
              </w:rPr>
              <w:t>lnspireAII</w:t>
            </w:r>
            <w:r>
              <w:rPr>
                <w:color w:val="080808"/>
                <w:spacing w:val="-12"/>
                <w:w w:val="105"/>
                <w:sz w:val="21"/>
              </w:rPr>
              <w:t> </w:t>
            </w:r>
            <w:r>
              <w:rPr>
                <w:color w:val="080808"/>
                <w:w w:val="105"/>
                <w:sz w:val="21"/>
              </w:rPr>
              <w:t>Loan</w:t>
            </w:r>
            <w:r>
              <w:rPr>
                <w:color w:val="080808"/>
                <w:spacing w:val="-14"/>
                <w:w w:val="105"/>
                <w:sz w:val="21"/>
              </w:rPr>
              <w:t> </w:t>
            </w:r>
            <w:r>
              <w:rPr>
                <w:color w:val="080808"/>
                <w:spacing w:val="-2"/>
                <w:w w:val="105"/>
                <w:sz w:val="21"/>
              </w:rPr>
              <w:t>Repayment</w:t>
            </w:r>
          </w:p>
        </w:tc>
        <w:tc>
          <w:tcPr>
            <w:tcW w:w="1418" w:type="dxa"/>
            <w:tcBorders>
              <w:bottom w:val="single" w:color="000000" w:sz="4" w:space="0"/>
            </w:tcBorders>
          </w:tcPr>
          <w:p>
            <w:pPr>
              <w:pStyle w:val="TableParagraph"/>
              <w:spacing w:before="46"/>
              <w:ind w:right="38"/>
              <w:jc w:val="right"/>
              <w:rPr>
                <w:sz w:val="21"/>
              </w:rPr>
            </w:pPr>
            <w:r>
              <w:rPr>
                <w:color w:val="080808"/>
                <w:spacing w:val="-2"/>
                <w:w w:val="105"/>
                <w:sz w:val="21"/>
              </w:rPr>
              <w:t>(484)</w:t>
            </w:r>
          </w:p>
        </w:tc>
      </w:tr>
      <w:tr>
        <w:trPr>
          <w:trHeight w:val="334" w:hRule="atLeast"/>
        </w:trPr>
        <w:tc>
          <w:tcPr>
            <w:tcW w:w="1591" w:type="dxa"/>
          </w:tcPr>
          <w:p>
            <w:pPr>
              <w:pStyle w:val="TableParagraph"/>
              <w:spacing w:before="50"/>
              <w:ind w:left="560"/>
              <w:rPr>
                <w:b/>
                <w:sz w:val="21"/>
              </w:rPr>
            </w:pPr>
            <w:r>
              <w:rPr>
                <w:b/>
                <w:color w:val="080808"/>
                <w:spacing w:val="-2"/>
                <w:w w:val="105"/>
                <w:sz w:val="21"/>
              </w:rPr>
              <w:t>17,544</w:t>
            </w:r>
          </w:p>
        </w:tc>
        <w:tc>
          <w:tcPr>
            <w:tcW w:w="6255" w:type="dxa"/>
          </w:tcPr>
          <w:p>
            <w:pPr>
              <w:pStyle w:val="TableParagraph"/>
              <w:spacing w:before="60"/>
              <w:ind w:left="322"/>
              <w:rPr>
                <w:b/>
                <w:sz w:val="21"/>
              </w:rPr>
            </w:pPr>
            <w:r>
              <w:rPr>
                <w:b/>
                <w:color w:val="080808"/>
                <w:w w:val="105"/>
                <w:sz w:val="21"/>
              </w:rPr>
              <w:t>Closing</w:t>
            </w:r>
            <w:r>
              <w:rPr>
                <w:b/>
                <w:color w:val="080808"/>
                <w:spacing w:val="-3"/>
                <w:w w:val="105"/>
                <w:sz w:val="21"/>
              </w:rPr>
              <w:t> </w:t>
            </w:r>
            <w:r>
              <w:rPr>
                <w:b/>
                <w:color w:val="080808"/>
                <w:w w:val="105"/>
                <w:sz w:val="21"/>
              </w:rPr>
              <w:t>Capital</w:t>
            </w:r>
            <w:r>
              <w:rPr>
                <w:b/>
                <w:color w:val="080808"/>
                <w:spacing w:val="-5"/>
                <w:w w:val="105"/>
                <w:sz w:val="21"/>
              </w:rPr>
              <w:t> </w:t>
            </w:r>
            <w:r>
              <w:rPr>
                <w:b/>
                <w:color w:val="080808"/>
                <w:w w:val="105"/>
                <w:sz w:val="21"/>
              </w:rPr>
              <w:t>Financing </w:t>
            </w:r>
            <w:r>
              <w:rPr>
                <w:b/>
                <w:color w:val="080808"/>
                <w:spacing w:val="-2"/>
                <w:w w:val="105"/>
                <w:sz w:val="21"/>
              </w:rPr>
              <w:t>Requirement</w:t>
            </w:r>
          </w:p>
        </w:tc>
        <w:tc>
          <w:tcPr>
            <w:tcW w:w="1418" w:type="dxa"/>
            <w:tcBorders>
              <w:top w:val="single" w:color="000000" w:sz="4" w:space="0"/>
              <w:bottom w:val="single" w:color="000000" w:sz="4" w:space="0"/>
            </w:tcBorders>
          </w:tcPr>
          <w:p>
            <w:pPr>
              <w:pStyle w:val="TableParagraph"/>
              <w:spacing w:before="56"/>
              <w:ind w:right="30"/>
              <w:jc w:val="right"/>
              <w:rPr>
                <w:b/>
                <w:sz w:val="21"/>
              </w:rPr>
            </w:pPr>
            <w:r>
              <w:rPr>
                <w:b/>
                <w:color w:val="080808"/>
                <w:spacing w:val="-2"/>
                <w:w w:val="105"/>
                <w:sz w:val="21"/>
              </w:rPr>
              <w:t>23,152</w:t>
            </w:r>
          </w:p>
        </w:tc>
      </w:tr>
      <w:tr>
        <w:trPr>
          <w:trHeight w:val="1047" w:hRule="atLeast"/>
        </w:trPr>
        <w:tc>
          <w:tcPr>
            <w:tcW w:w="1591" w:type="dxa"/>
          </w:tcPr>
          <w:p>
            <w:pPr>
              <w:pStyle w:val="TableParagraph"/>
              <w:spacing w:line="20" w:lineRule="exact"/>
              <w:ind w:left="57"/>
              <w:rPr>
                <w:sz w:val="2"/>
              </w:rPr>
            </w:pPr>
            <w:r>
              <w:rPr>
                <w:sz w:val="2"/>
              </w:rPr>
              <ve:AlternateContent>
                <ve:Choice Requires="wps">
                  <w:drawing>
                    <wp:inline distT="0" distB="0" distL="0" distR="0">
                      <wp:extent cx="818515" cy="9525"/>
                      <wp:effectExtent l="9525" t="0" r="634" b="0"/>
                      <wp:docPr id="340" name="Group 340"/>
                      <wp:cNvGraphicFramePr>
                        <a:graphicFrameLocks/>
                      </wp:cNvGraphicFramePr>
                      <a:graphic>
                        <a:graphicData uri="http://schemas.microsoft.com/office/word/2010/wordprocessingGroup">
                          <wpg:wgp>
                            <wpg:cNvPr id="340" name="Group 340"/>
                            <wpg:cNvGrpSpPr/>
                            <wpg:grpSpPr>
                              <a:xfrm>
                                <a:off x="0" y="0"/>
                                <a:ext cx="818515" cy="9525"/>
                                <a:chExt cx="818515" cy="9525"/>
                              </a:xfrm>
                            </wpg:grpSpPr>
                            <wps:wsp>
                              <wps:cNvPr id="341" name="Graphic 341"/>
                              <wps:cNvSpPr/>
                              <wps:spPr>
                                <a:xfrm>
                                  <a:off x="0" y="4577"/>
                                  <a:ext cx="818515" cy="1270"/>
                                </a:xfrm>
                                <a:custGeom>
                                  <a:avLst/>
                                  <a:gdLst/>
                                  <a:ahLst/>
                                  <a:cxnLst/>
                                  <a:rect l="l" t="t" r="r" b="b"/>
                                  <a:pathLst>
                                    <a:path w="818515" h="0">
                                      <a:moveTo>
                                        <a:pt x="0" y="0"/>
                                      </a:moveTo>
                                      <a:lnTo>
                                        <a:pt x="818181"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27" style="width:64.45pt;height:.75pt;mso-position-horizontal-relative:char;mso-position-vertical-relative:line" coordsize="1289,15" coordorigin="0,0">
                      <v:line style="position:absolute" stroked="true" strokecolor="#000000" strokeweight=".720821pt" from="0,7" to="1288,7">
                        <v:stroke dashstyle="solid"/>
                      </v:line>
                    </v:group>
                  </w:pict>
                </ve:Fallback>
              </ve:AlternateContent>
            </w:r>
            <w:r>
              <w:rPr>
                <w:sz w:val="2"/>
              </w:rPr>
            </w:r>
          </w:p>
          <w:p>
            <w:pPr>
              <w:pStyle w:val="TableParagraph"/>
              <w:rPr>
                <w:sz w:val="20"/>
              </w:rPr>
            </w:pPr>
          </w:p>
          <w:p>
            <w:pPr>
              <w:pStyle w:val="TableParagraph"/>
              <w:rPr>
                <w:sz w:val="20"/>
              </w:rPr>
            </w:pPr>
          </w:p>
          <w:p>
            <w:pPr>
              <w:pStyle w:val="TableParagraph"/>
              <w:rPr>
                <w:sz w:val="20"/>
              </w:rPr>
            </w:pPr>
          </w:p>
          <w:p>
            <w:pPr>
              <w:pStyle w:val="TableParagraph"/>
              <w:spacing w:before="112"/>
              <w:rPr>
                <w:sz w:val="20"/>
              </w:rPr>
            </w:pPr>
          </w:p>
          <w:p>
            <w:pPr>
              <w:pStyle w:val="TableParagraph"/>
              <w:spacing w:line="20" w:lineRule="exact"/>
              <w:ind w:left="38"/>
              <w:rPr>
                <w:sz w:val="2"/>
              </w:rPr>
            </w:pPr>
            <w:r>
              <w:rPr>
                <w:sz w:val="2"/>
              </w:rPr>
              <ve:AlternateContent>
                <ve:Choice Requires="wps">
                  <w:drawing>
                    <wp:inline distT="0" distB="0" distL="0" distR="0">
                      <wp:extent cx="830580" cy="9525"/>
                      <wp:effectExtent l="9525" t="0" r="0" b="0"/>
                      <wp:docPr id="342" name="Group 342"/>
                      <wp:cNvGraphicFramePr>
                        <a:graphicFrameLocks/>
                      </wp:cNvGraphicFramePr>
                      <a:graphic>
                        <a:graphicData uri="http://schemas.microsoft.com/office/word/2010/wordprocessingGroup">
                          <wpg:wgp>
                            <wpg:cNvPr id="342" name="Group 342"/>
                            <wpg:cNvGrpSpPr/>
                            <wpg:grpSpPr>
                              <a:xfrm>
                                <a:off x="0" y="0"/>
                                <a:ext cx="830580" cy="9525"/>
                                <a:chExt cx="830580" cy="9525"/>
                              </a:xfrm>
                            </wpg:grpSpPr>
                            <wps:wsp>
                              <wps:cNvPr id="343" name="Graphic 343"/>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28" style="width:65.4pt;height:.75pt;mso-position-horizontal-relative:char;mso-position-vertical-relative:line" coordsize="1308,15" coordorigin="0,0">
                      <v:line style="position:absolute" stroked="true" strokecolor="#000000" strokeweight=".720821pt" from="0,7" to="1308,7">
                        <v:stroke dashstyle="solid"/>
                      </v:line>
                    </v:group>
                  </w:pict>
                </ve:Fallback>
              </ve:AlternateContent>
            </w:r>
            <w:r>
              <w:rPr>
                <w:sz w:val="2"/>
              </w:rPr>
            </w:r>
          </w:p>
        </w:tc>
        <w:tc>
          <w:tcPr>
            <w:tcW w:w="6255" w:type="dxa"/>
          </w:tcPr>
          <w:p>
            <w:pPr>
              <w:pStyle w:val="TableParagraph"/>
              <w:spacing w:before="186"/>
              <w:rPr>
                <w:sz w:val="21"/>
              </w:rPr>
            </w:pPr>
          </w:p>
          <w:p>
            <w:pPr>
              <w:pStyle w:val="TableParagraph"/>
              <w:ind w:left="318"/>
              <w:rPr>
                <w:b/>
                <w:i/>
                <w:sz w:val="21"/>
              </w:rPr>
            </w:pPr>
            <w:r>
              <w:rPr>
                <w:b/>
                <w:i/>
                <w:color w:val="080808"/>
                <w:w w:val="105"/>
                <w:sz w:val="21"/>
              </w:rPr>
              <w:t>Explanation</w:t>
            </w:r>
            <w:r>
              <w:rPr>
                <w:b/>
                <w:i/>
                <w:color w:val="080808"/>
                <w:spacing w:val="5"/>
                <w:w w:val="105"/>
                <w:sz w:val="21"/>
              </w:rPr>
              <w:t> </w:t>
            </w:r>
            <w:r>
              <w:rPr>
                <w:b/>
                <w:i/>
                <w:color w:val="080808"/>
                <w:w w:val="105"/>
                <w:sz w:val="21"/>
              </w:rPr>
              <w:t>of</w:t>
            </w:r>
            <w:r>
              <w:rPr>
                <w:b/>
                <w:i/>
                <w:color w:val="080808"/>
                <w:spacing w:val="-9"/>
                <w:w w:val="105"/>
                <w:sz w:val="21"/>
              </w:rPr>
              <w:t> </w:t>
            </w:r>
            <w:r>
              <w:rPr>
                <w:b/>
                <w:i/>
                <w:color w:val="080808"/>
                <w:w w:val="105"/>
                <w:sz w:val="21"/>
              </w:rPr>
              <w:t>movements</w:t>
            </w:r>
            <w:r>
              <w:rPr>
                <w:b/>
                <w:i/>
                <w:color w:val="080808"/>
                <w:spacing w:val="-2"/>
                <w:w w:val="105"/>
                <w:sz w:val="21"/>
              </w:rPr>
              <w:t> </w:t>
            </w:r>
            <w:r>
              <w:rPr>
                <w:b/>
                <w:i/>
                <w:color w:val="080808"/>
                <w:w w:val="105"/>
                <w:sz w:val="21"/>
              </w:rPr>
              <w:t>in</w:t>
            </w:r>
            <w:r>
              <w:rPr>
                <w:b/>
                <w:i/>
                <w:color w:val="080808"/>
                <w:spacing w:val="-1"/>
                <w:w w:val="105"/>
                <w:sz w:val="21"/>
              </w:rPr>
              <w:t> </w:t>
            </w:r>
            <w:r>
              <w:rPr>
                <w:b/>
                <w:i/>
                <w:color w:val="080808"/>
                <w:spacing w:val="-2"/>
                <w:w w:val="105"/>
                <w:sz w:val="21"/>
              </w:rPr>
              <w:t>year:</w:t>
            </w:r>
          </w:p>
        </w:tc>
        <w:tc>
          <w:tcPr>
            <w:tcW w:w="1418" w:type="dxa"/>
            <w:tcBorders>
              <w:top w:val="single" w:color="000000" w:sz="4" w:space="0"/>
              <w:bottom w:val="single" w:color="000000" w:sz="4" w:space="0"/>
            </w:tcBorders>
          </w:tcPr>
          <w:p>
            <w:pPr>
              <w:pStyle w:val="TableParagraph"/>
              <w:rPr>
                <w:rFonts w:ascii="Times New Roman"/>
                <w:sz w:val="20"/>
              </w:rPr>
            </w:pPr>
          </w:p>
        </w:tc>
      </w:tr>
      <w:tr>
        <w:trPr>
          <w:trHeight w:val="562" w:hRule="atLeast"/>
        </w:trPr>
        <w:tc>
          <w:tcPr>
            <w:tcW w:w="1591" w:type="dxa"/>
          </w:tcPr>
          <w:p>
            <w:pPr>
              <w:pStyle w:val="TableParagraph"/>
              <w:spacing w:before="69"/>
              <w:rPr>
                <w:sz w:val="21"/>
              </w:rPr>
            </w:pPr>
          </w:p>
          <w:p>
            <w:pPr>
              <w:pStyle w:val="TableParagraph"/>
              <w:tabs>
                <w:tab w:val="left" w:leader="none" w:pos="665"/>
                <w:tab w:val="left" w:leader="none" w:pos="1591"/>
              </w:tabs>
              <w:spacing w:line="222" w:lineRule="exact"/>
              <w:ind w:right="-15"/>
              <w:rPr>
                <w:sz w:val="21"/>
              </w:rPr>
            </w:pPr>
            <w:r>
              <w:rPr>
                <w:color w:val="080808"/>
                <w:sz w:val="21"/>
                <w:u w:val="thick" w:color="000000"/>
              </w:rPr>
              <w:tab/>
            </w:r>
            <w:r>
              <w:rPr>
                <w:color w:val="080808"/>
                <w:spacing w:val="-4"/>
                <w:w w:val="105"/>
                <w:sz w:val="21"/>
                <w:u w:val="thick" w:color="000000"/>
              </w:rPr>
              <w:t>6,973</w:t>
            </w:r>
            <w:r>
              <w:rPr>
                <w:color w:val="080808"/>
                <w:sz w:val="21"/>
                <w:u w:val="thick" w:color="000000"/>
              </w:rPr>
              <w:tab/>
            </w:r>
          </w:p>
        </w:tc>
        <w:tc>
          <w:tcPr>
            <w:tcW w:w="6255" w:type="dxa"/>
          </w:tcPr>
          <w:p>
            <w:pPr>
              <w:pStyle w:val="TableParagraph"/>
              <w:spacing w:before="42" w:line="250" w:lineRule="atLeast"/>
              <w:ind w:left="309"/>
              <w:rPr>
                <w:sz w:val="21"/>
              </w:rPr>
            </w:pPr>
            <w:r>
              <w:rPr>
                <w:color w:val="080808"/>
                <w:w w:val="105"/>
                <w:sz w:val="21"/>
              </w:rPr>
              <w:t>(Decrease) </w:t>
            </w:r>
            <w:r>
              <w:rPr>
                <w:color w:val="1D1D1D"/>
                <w:w w:val="105"/>
                <w:sz w:val="21"/>
              </w:rPr>
              <w:t>/</w:t>
            </w:r>
            <w:r>
              <w:rPr>
                <w:color w:val="1D1D1D"/>
                <w:spacing w:val="-4"/>
                <w:w w:val="105"/>
                <w:sz w:val="21"/>
              </w:rPr>
              <w:t> </w:t>
            </w:r>
            <w:r>
              <w:rPr>
                <w:color w:val="080808"/>
                <w:w w:val="105"/>
                <w:sz w:val="21"/>
              </w:rPr>
              <w:t>Increase</w:t>
            </w:r>
            <w:r>
              <w:rPr>
                <w:color w:val="080808"/>
                <w:spacing w:val="-7"/>
                <w:w w:val="105"/>
                <w:sz w:val="21"/>
              </w:rPr>
              <w:t> </w:t>
            </w:r>
            <w:r>
              <w:rPr>
                <w:color w:val="080808"/>
                <w:w w:val="105"/>
                <w:sz w:val="21"/>
              </w:rPr>
              <w:t>in</w:t>
            </w:r>
            <w:r>
              <w:rPr>
                <w:color w:val="080808"/>
                <w:spacing w:val="-2"/>
                <w:w w:val="105"/>
                <w:sz w:val="21"/>
              </w:rPr>
              <w:t> </w:t>
            </w:r>
            <w:r>
              <w:rPr>
                <w:color w:val="080808"/>
                <w:w w:val="105"/>
                <w:sz w:val="21"/>
              </w:rPr>
              <w:t>the </w:t>
            </w:r>
            <w:r>
              <w:rPr>
                <w:color w:val="1D1D1D"/>
                <w:w w:val="105"/>
                <w:sz w:val="21"/>
              </w:rPr>
              <w:t>underlying </w:t>
            </w:r>
            <w:r>
              <w:rPr>
                <w:color w:val="080808"/>
                <w:w w:val="105"/>
                <w:sz w:val="21"/>
              </w:rPr>
              <w:t>need</w:t>
            </w:r>
            <w:r>
              <w:rPr>
                <w:color w:val="080808"/>
                <w:spacing w:val="-13"/>
                <w:w w:val="105"/>
                <w:sz w:val="21"/>
              </w:rPr>
              <w:t> </w:t>
            </w:r>
            <w:r>
              <w:rPr>
                <w:color w:val="1D1D1D"/>
                <w:w w:val="105"/>
                <w:sz w:val="21"/>
              </w:rPr>
              <w:t>to</w:t>
            </w:r>
            <w:r>
              <w:rPr>
                <w:color w:val="1D1D1D"/>
                <w:spacing w:val="-3"/>
                <w:w w:val="105"/>
                <w:sz w:val="21"/>
              </w:rPr>
              <w:t> </w:t>
            </w:r>
            <w:r>
              <w:rPr>
                <w:color w:val="1D1D1D"/>
                <w:w w:val="105"/>
                <w:sz w:val="21"/>
              </w:rPr>
              <w:t>borrow </w:t>
            </w:r>
            <w:r>
              <w:rPr>
                <w:color w:val="080808"/>
                <w:w w:val="105"/>
                <w:sz w:val="21"/>
              </w:rPr>
              <w:t>(unsupported by government </w:t>
            </w:r>
            <w:r>
              <w:rPr>
                <w:color w:val="1D1D1D"/>
                <w:w w:val="105"/>
                <w:sz w:val="21"/>
              </w:rPr>
              <w:t>financial </w:t>
            </w:r>
            <w:r>
              <w:rPr>
                <w:color w:val="080808"/>
                <w:w w:val="105"/>
                <w:sz w:val="21"/>
              </w:rPr>
              <w:t>assistance)</w:t>
            </w:r>
          </w:p>
        </w:tc>
        <w:tc>
          <w:tcPr>
            <w:tcW w:w="1418" w:type="dxa"/>
            <w:tcBorders>
              <w:top w:val="single" w:color="000000" w:sz="4" w:space="0"/>
            </w:tcBorders>
          </w:tcPr>
          <w:p>
            <w:pPr>
              <w:pStyle w:val="TableParagraph"/>
              <w:spacing w:before="74"/>
              <w:rPr>
                <w:sz w:val="21"/>
              </w:rPr>
            </w:pPr>
          </w:p>
          <w:p>
            <w:pPr>
              <w:pStyle w:val="TableParagraph"/>
              <w:tabs>
                <w:tab w:val="left" w:leader="none" w:pos="822"/>
              </w:tabs>
              <w:spacing w:line="226" w:lineRule="exact"/>
              <w:ind w:right="42"/>
              <w:jc w:val="right"/>
              <w:rPr>
                <w:sz w:val="21"/>
              </w:rPr>
            </w:pPr>
            <w:r>
              <w:rPr>
                <w:color w:val="080808"/>
                <w:sz w:val="21"/>
                <w:u w:val="single" w:color="000000"/>
              </w:rPr>
              <w:tab/>
            </w:r>
            <w:r>
              <w:rPr>
                <w:color w:val="080808"/>
                <w:spacing w:val="-4"/>
                <w:w w:val="105"/>
                <w:sz w:val="21"/>
                <w:u w:val="single" w:color="000000"/>
              </w:rPr>
              <w:t>5</w:t>
            </w:r>
            <w:r>
              <w:rPr>
                <w:color w:val="4B4B4B"/>
                <w:spacing w:val="-4"/>
                <w:w w:val="105"/>
                <w:sz w:val="21"/>
                <w:u w:val="single" w:color="000000"/>
              </w:rPr>
              <w:t>,</w:t>
            </w:r>
            <w:r>
              <w:rPr>
                <w:color w:val="080808"/>
                <w:spacing w:val="-4"/>
                <w:w w:val="105"/>
                <w:sz w:val="21"/>
                <w:u w:val="single" w:color="000000"/>
              </w:rPr>
              <w:t>608</w:t>
            </w:r>
          </w:p>
        </w:tc>
      </w:tr>
    </w:tbl>
    <w:p>
      <w:pPr>
        <w:spacing w:after="0" w:line="226" w:lineRule="exact"/>
        <w:jc w:val="right"/>
        <w:rPr>
          <w:sz w:val="21"/>
        </w:rPr>
        <w:sectPr>
          <w:headerReference w:type="even" r:id="rId157"/>
          <w:headerReference w:type="default" r:id="rId158"/>
          <w:footerReference w:type="even" r:id="rId159"/>
          <w:footerReference w:type="default" r:id="rId160"/>
          <w:pgSz w:w="11910" w:h="16830"/>
          <w:pgMar w:top="1040" w:right="300" w:bottom="1220" w:left="0" w:header="843" w:footer="1029"/>
          <w:pgNumType w:start="74"/>
        </w:sectPr>
      </w:pPr>
    </w:p>
    <w:p>
      <w:pPr>
        <w:pStyle w:val="BodyText"/>
        <w:spacing w:before="5"/>
        <w:rPr>
          <w:sz w:val="21"/>
        </w:rPr>
      </w:pPr>
    </w:p>
    <w:p>
      <w:pPr>
        <w:pStyle w:val="ListParagraph"/>
        <w:numPr>
          <w:ilvl w:val="2"/>
          <w:numId w:val="16"/>
        </w:numPr>
        <w:tabs>
          <w:tab w:val="left" w:leader="none" w:pos="2086"/>
        </w:tabs>
        <w:spacing w:before="0" w:after="0" w:line="240" w:lineRule="auto"/>
        <w:ind w:left="2086" w:right="0" w:hanging="788"/>
        <w:jc w:val="left"/>
        <w:rPr>
          <w:b/>
          <w:color w:val="333333"/>
          <w:sz w:val="21"/>
        </w:rPr>
      </w:pPr>
      <w:r>
        <w:rPr>
          <w:b/>
          <w:color w:val="5E5E5E"/>
          <w:w w:val="105"/>
          <w:sz w:val="21"/>
        </w:rPr>
        <w:t>Capital</w:t>
      </w:r>
      <w:r>
        <w:rPr>
          <w:b/>
          <w:color w:val="5E5E5E"/>
          <w:spacing w:val="-10"/>
          <w:w w:val="105"/>
          <w:sz w:val="21"/>
        </w:rPr>
        <w:t> </w:t>
      </w:r>
      <w:r>
        <w:rPr>
          <w:b/>
          <w:color w:val="5E5E5E"/>
          <w:spacing w:val="-2"/>
          <w:w w:val="105"/>
          <w:sz w:val="21"/>
        </w:rPr>
        <w:t>Commitments</w:t>
      </w:r>
    </w:p>
    <w:p>
      <w:pPr>
        <w:pStyle w:val="BodyText"/>
        <w:spacing w:before="194"/>
        <w:rPr>
          <w:b/>
          <w:sz w:val="20"/>
        </w:rPr>
      </w:pPr>
    </w:p>
    <w:tbl>
      <w:tblPr>
        <w:tblW w:w="0" w:type="auto"/>
        <w:jc w:val="left"/>
        <w:tblInd w:w="13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442"/>
        <w:gridCol w:w="6293"/>
        <w:gridCol w:w="1307"/>
      </w:tblGrid>
      <w:tr>
        <w:trPr>
          <w:trHeight w:val="338" w:hRule="atLeast"/>
        </w:trPr>
        <w:tc>
          <w:tcPr>
            <w:tcW w:w="1442" w:type="dxa"/>
          </w:tcPr>
          <w:p>
            <w:pPr>
              <w:pStyle w:val="TableParagraph"/>
              <w:spacing w:before="3"/>
              <w:ind w:left="307"/>
              <w:rPr>
                <w:b/>
                <w:sz w:val="21"/>
              </w:rPr>
            </w:pPr>
            <w:r>
              <w:rPr>
                <w:b/>
                <w:color w:val="0F0F0F"/>
                <w:sz w:val="21"/>
              </w:rPr>
              <w:t>2021-</w:t>
            </w:r>
            <w:r>
              <w:rPr>
                <w:b/>
                <w:color w:val="0F0F0F"/>
                <w:spacing w:val="-5"/>
                <w:sz w:val="21"/>
              </w:rPr>
              <w:t>22</w:t>
            </w:r>
          </w:p>
        </w:tc>
        <w:tc>
          <w:tcPr>
            <w:tcW w:w="7600" w:type="dxa"/>
            <w:gridSpan w:val="2"/>
          </w:tcPr>
          <w:p>
            <w:pPr>
              <w:pStyle w:val="TableParagraph"/>
              <w:spacing w:line="235" w:lineRule="exact"/>
              <w:ind w:right="271"/>
              <w:jc w:val="right"/>
              <w:rPr>
                <w:b/>
                <w:sz w:val="21"/>
              </w:rPr>
            </w:pPr>
            <w:r>
              <w:rPr>
                <w:b/>
                <w:color w:val="0F0F0F"/>
                <w:sz w:val="21"/>
              </w:rPr>
              <w:t>2022-</w:t>
            </w:r>
            <w:r>
              <w:rPr>
                <w:b/>
                <w:color w:val="0F0F0F"/>
                <w:spacing w:val="-5"/>
                <w:sz w:val="21"/>
              </w:rPr>
              <w:t>23</w:t>
            </w:r>
          </w:p>
        </w:tc>
      </w:tr>
      <w:tr>
        <w:trPr>
          <w:trHeight w:val="338" w:hRule="atLeast"/>
        </w:trPr>
        <w:tc>
          <w:tcPr>
            <w:tcW w:w="1442" w:type="dxa"/>
          </w:tcPr>
          <w:p>
            <w:pPr>
              <w:pStyle w:val="TableParagraph"/>
              <w:spacing w:before="97" w:line="222" w:lineRule="exact"/>
              <w:ind w:left="460"/>
              <w:rPr>
                <w:b/>
                <w:sz w:val="21"/>
              </w:rPr>
            </w:pPr>
            <w:r>
              <w:rPr>
                <w:b/>
                <w:color w:val="0F0F0F"/>
                <w:spacing w:val="-4"/>
                <w:w w:val="105"/>
                <w:sz w:val="21"/>
              </w:rPr>
              <w:t>£000</w:t>
            </w:r>
          </w:p>
        </w:tc>
        <w:tc>
          <w:tcPr>
            <w:tcW w:w="7600" w:type="dxa"/>
            <w:gridSpan w:val="2"/>
          </w:tcPr>
          <w:p>
            <w:pPr>
              <w:pStyle w:val="TableParagraph"/>
              <w:spacing w:before="87" w:line="231" w:lineRule="exact"/>
              <w:ind w:right="429"/>
              <w:jc w:val="right"/>
              <w:rPr>
                <w:b/>
                <w:sz w:val="21"/>
              </w:rPr>
            </w:pPr>
            <w:r>
              <w:rPr>
                <w:b/>
                <w:color w:val="0F0F0F"/>
                <w:spacing w:val="-4"/>
                <w:w w:val="105"/>
                <w:sz w:val="21"/>
              </w:rPr>
              <w:t>£000</w:t>
            </w:r>
          </w:p>
        </w:tc>
      </w:tr>
      <w:tr>
        <w:trPr>
          <w:trHeight w:val="649" w:hRule="atLeast"/>
        </w:trPr>
        <w:tc>
          <w:tcPr>
            <w:tcW w:w="1442" w:type="dxa"/>
          </w:tcPr>
          <w:p>
            <w:pPr>
              <w:pStyle w:val="TableParagraph"/>
              <w:rPr>
                <w:rFonts w:ascii="Times New Roman"/>
                <w:sz w:val="20"/>
              </w:rPr>
            </w:pPr>
          </w:p>
        </w:tc>
        <w:tc>
          <w:tcPr>
            <w:tcW w:w="6293" w:type="dxa"/>
          </w:tcPr>
          <w:p>
            <w:pPr>
              <w:pStyle w:val="TableParagraph"/>
              <w:spacing w:before="127"/>
              <w:rPr>
                <w:b/>
                <w:sz w:val="21"/>
              </w:rPr>
            </w:pPr>
          </w:p>
          <w:p>
            <w:pPr>
              <w:pStyle w:val="TableParagraph"/>
              <w:ind w:left="471"/>
              <w:rPr>
                <w:b/>
                <w:sz w:val="21"/>
              </w:rPr>
            </w:pPr>
            <w:r>
              <w:rPr>
                <w:b/>
                <w:color w:val="0F0F0F"/>
                <w:w w:val="105"/>
                <w:sz w:val="21"/>
              </w:rPr>
              <w:t>Capital</w:t>
            </w:r>
            <w:r>
              <w:rPr>
                <w:b/>
                <w:color w:val="0F0F0F"/>
                <w:spacing w:val="-10"/>
                <w:w w:val="105"/>
                <w:sz w:val="21"/>
              </w:rPr>
              <w:t> </w:t>
            </w:r>
            <w:r>
              <w:rPr>
                <w:b/>
                <w:color w:val="0F0F0F"/>
                <w:spacing w:val="-2"/>
                <w:w w:val="105"/>
                <w:sz w:val="21"/>
              </w:rPr>
              <w:t>Commitments:</w:t>
            </w:r>
          </w:p>
        </w:tc>
        <w:tc>
          <w:tcPr>
            <w:tcW w:w="1307" w:type="dxa"/>
          </w:tcPr>
          <w:p>
            <w:pPr>
              <w:pStyle w:val="TableParagraph"/>
              <w:rPr>
                <w:rFonts w:ascii="Times New Roman"/>
                <w:sz w:val="20"/>
              </w:rPr>
            </w:pPr>
          </w:p>
        </w:tc>
      </w:tr>
      <w:tr>
        <w:trPr>
          <w:trHeight w:val="327" w:hRule="atLeast"/>
        </w:trPr>
        <w:tc>
          <w:tcPr>
            <w:tcW w:w="1442" w:type="dxa"/>
          </w:tcPr>
          <w:p>
            <w:pPr>
              <w:pStyle w:val="TableParagraph"/>
              <w:spacing w:before="37"/>
              <w:ind w:left="567"/>
              <w:rPr>
                <w:sz w:val="22"/>
              </w:rPr>
            </w:pPr>
            <w:r>
              <w:rPr>
                <w:color w:val="0F0F0F"/>
                <w:spacing w:val="-2"/>
                <w:sz w:val="22"/>
              </w:rPr>
              <w:t>10,265</w:t>
            </w:r>
          </w:p>
        </w:tc>
        <w:tc>
          <w:tcPr>
            <w:tcW w:w="6293" w:type="dxa"/>
          </w:tcPr>
          <w:p>
            <w:pPr>
              <w:pStyle w:val="TableParagraph"/>
              <w:spacing w:before="37"/>
              <w:ind w:left="471"/>
              <w:rPr>
                <w:sz w:val="22"/>
              </w:rPr>
            </w:pPr>
            <w:r>
              <w:rPr>
                <w:color w:val="0F0F0F"/>
                <w:sz w:val="22"/>
              </w:rPr>
              <w:t>Asset</w:t>
            </w:r>
            <w:r>
              <w:rPr>
                <w:color w:val="0F0F0F"/>
                <w:spacing w:val="-8"/>
                <w:sz w:val="22"/>
              </w:rPr>
              <w:t> </w:t>
            </w:r>
            <w:r>
              <w:rPr>
                <w:color w:val="0F0F0F"/>
                <w:spacing w:val="-2"/>
                <w:sz w:val="22"/>
              </w:rPr>
              <w:t>Management</w:t>
            </w:r>
          </w:p>
        </w:tc>
        <w:tc>
          <w:tcPr>
            <w:tcW w:w="1307" w:type="dxa"/>
          </w:tcPr>
          <w:p>
            <w:pPr>
              <w:pStyle w:val="TableParagraph"/>
              <w:spacing w:before="32"/>
              <w:ind w:left="496"/>
              <w:rPr>
                <w:sz w:val="22"/>
              </w:rPr>
            </w:pPr>
            <w:r>
              <w:rPr>
                <w:color w:val="0F0F0F"/>
                <w:spacing w:val="-2"/>
                <w:sz w:val="22"/>
              </w:rPr>
              <w:t>32,984</w:t>
            </w:r>
          </w:p>
        </w:tc>
      </w:tr>
      <w:tr>
        <w:trPr>
          <w:trHeight w:val="321" w:hRule="atLeast"/>
        </w:trPr>
        <w:tc>
          <w:tcPr>
            <w:tcW w:w="1442" w:type="dxa"/>
          </w:tcPr>
          <w:p>
            <w:pPr>
              <w:pStyle w:val="TableParagraph"/>
              <w:rPr>
                <w:rFonts w:ascii="Times New Roman"/>
                <w:sz w:val="20"/>
              </w:rPr>
            </w:pPr>
          </w:p>
        </w:tc>
        <w:tc>
          <w:tcPr>
            <w:tcW w:w="6293" w:type="dxa"/>
          </w:tcPr>
          <w:p>
            <w:pPr>
              <w:pStyle w:val="TableParagraph"/>
              <w:spacing w:before="31"/>
              <w:ind w:left="472"/>
              <w:rPr>
                <w:sz w:val="22"/>
              </w:rPr>
            </w:pPr>
            <w:r>
              <w:rPr>
                <w:color w:val="0F0F0F"/>
                <w:sz w:val="22"/>
              </w:rPr>
              <w:t>Human</w:t>
            </w:r>
            <w:r>
              <w:rPr>
                <w:color w:val="0F0F0F"/>
                <w:spacing w:val="-7"/>
                <w:sz w:val="22"/>
              </w:rPr>
              <w:t> </w:t>
            </w:r>
            <w:r>
              <w:rPr>
                <w:color w:val="0F0F0F"/>
                <w:sz w:val="22"/>
              </w:rPr>
              <w:t>Resources</w:t>
            </w:r>
            <w:r>
              <w:rPr>
                <w:color w:val="0F0F0F"/>
                <w:spacing w:val="4"/>
                <w:sz w:val="22"/>
              </w:rPr>
              <w:t> </w:t>
            </w:r>
            <w:r>
              <w:rPr>
                <w:color w:val="0F0F0F"/>
                <w:sz w:val="22"/>
              </w:rPr>
              <w:t>&amp;</w:t>
            </w:r>
            <w:r>
              <w:rPr>
                <w:color w:val="0F0F0F"/>
                <w:spacing w:val="-12"/>
                <w:sz w:val="22"/>
              </w:rPr>
              <w:t> </w:t>
            </w:r>
            <w:r>
              <w:rPr>
                <w:color w:val="0F0F0F"/>
                <w:sz w:val="22"/>
              </w:rPr>
              <w:t>Customer</w:t>
            </w:r>
            <w:r>
              <w:rPr>
                <w:color w:val="0F0F0F"/>
                <w:spacing w:val="7"/>
                <w:sz w:val="22"/>
              </w:rPr>
              <w:t> </w:t>
            </w:r>
            <w:r>
              <w:rPr>
                <w:color w:val="0F0F0F"/>
                <w:spacing w:val="-2"/>
                <w:sz w:val="22"/>
              </w:rPr>
              <w:t>Services</w:t>
            </w:r>
          </w:p>
        </w:tc>
        <w:tc>
          <w:tcPr>
            <w:tcW w:w="1307" w:type="dxa"/>
          </w:tcPr>
          <w:p>
            <w:pPr>
              <w:pStyle w:val="TableParagraph"/>
              <w:rPr>
                <w:rFonts w:ascii="Times New Roman"/>
                <w:sz w:val="20"/>
              </w:rPr>
            </w:pPr>
          </w:p>
        </w:tc>
      </w:tr>
      <w:tr>
        <w:trPr>
          <w:trHeight w:val="329" w:hRule="atLeast"/>
        </w:trPr>
        <w:tc>
          <w:tcPr>
            <w:tcW w:w="1442" w:type="dxa"/>
          </w:tcPr>
          <w:p>
            <w:pPr>
              <w:pStyle w:val="TableParagraph"/>
              <w:spacing w:before="40"/>
              <w:ind w:left="871"/>
              <w:rPr>
                <w:sz w:val="22"/>
              </w:rPr>
            </w:pPr>
            <w:r>
              <w:rPr>
                <w:color w:val="0F0F0F"/>
                <w:spacing w:val="-5"/>
                <w:sz w:val="22"/>
              </w:rPr>
              <w:t>628</w:t>
            </w:r>
          </w:p>
        </w:tc>
        <w:tc>
          <w:tcPr>
            <w:tcW w:w="6293" w:type="dxa"/>
          </w:tcPr>
          <w:p>
            <w:pPr>
              <w:pStyle w:val="TableParagraph"/>
              <w:spacing w:before="35"/>
              <w:ind w:left="473"/>
              <w:rPr>
                <w:sz w:val="22"/>
              </w:rPr>
            </w:pPr>
            <w:r>
              <w:rPr>
                <w:color w:val="0F0F0F"/>
                <w:sz w:val="22"/>
              </w:rPr>
              <w:t>Planning</w:t>
            </w:r>
            <w:r>
              <w:rPr>
                <w:color w:val="0F0F0F"/>
                <w:spacing w:val="-3"/>
                <w:sz w:val="22"/>
              </w:rPr>
              <w:t> </w:t>
            </w:r>
            <w:r>
              <w:rPr>
                <w:color w:val="0F0F0F"/>
                <w:sz w:val="22"/>
              </w:rPr>
              <w:t>&amp;</w:t>
            </w:r>
            <w:r>
              <w:rPr>
                <w:color w:val="0F0F0F"/>
                <w:spacing w:val="-13"/>
                <w:sz w:val="22"/>
              </w:rPr>
              <w:t> </w:t>
            </w:r>
            <w:r>
              <w:rPr>
                <w:color w:val="0F0F0F"/>
                <w:sz w:val="22"/>
              </w:rPr>
              <w:t>Economic</w:t>
            </w:r>
            <w:r>
              <w:rPr>
                <w:color w:val="0F0F0F"/>
                <w:spacing w:val="1"/>
                <w:sz w:val="22"/>
              </w:rPr>
              <w:t> </w:t>
            </w:r>
            <w:r>
              <w:rPr>
                <w:color w:val="0F0F0F"/>
                <w:spacing w:val="-2"/>
                <w:sz w:val="22"/>
              </w:rPr>
              <w:t>Development</w:t>
            </w:r>
          </w:p>
        </w:tc>
        <w:tc>
          <w:tcPr>
            <w:tcW w:w="1307" w:type="dxa"/>
          </w:tcPr>
          <w:p>
            <w:pPr>
              <w:pStyle w:val="TableParagraph"/>
              <w:spacing w:before="31"/>
              <w:ind w:left="804"/>
              <w:rPr>
                <w:sz w:val="22"/>
              </w:rPr>
            </w:pPr>
            <w:r>
              <w:rPr>
                <w:color w:val="0F0F0F"/>
                <w:spacing w:val="-5"/>
                <w:sz w:val="22"/>
              </w:rPr>
              <w:t>601</w:t>
            </w:r>
          </w:p>
        </w:tc>
      </w:tr>
      <w:tr>
        <w:trPr>
          <w:trHeight w:val="324" w:hRule="atLeast"/>
        </w:trPr>
        <w:tc>
          <w:tcPr>
            <w:tcW w:w="1442" w:type="dxa"/>
          </w:tcPr>
          <w:p>
            <w:pPr>
              <w:pStyle w:val="TableParagraph"/>
              <w:spacing w:before="38"/>
              <w:ind w:left="695"/>
              <w:rPr>
                <w:sz w:val="22"/>
              </w:rPr>
            </w:pPr>
            <w:r>
              <w:rPr>
                <w:color w:val="0F0F0F"/>
                <w:spacing w:val="-2"/>
                <w:sz w:val="22"/>
              </w:rPr>
              <w:t>2,988</w:t>
            </w:r>
          </w:p>
        </w:tc>
        <w:tc>
          <w:tcPr>
            <w:tcW w:w="6293" w:type="dxa"/>
          </w:tcPr>
          <w:p>
            <w:pPr>
              <w:pStyle w:val="TableParagraph"/>
              <w:spacing w:before="33"/>
              <w:ind w:left="473"/>
              <w:rPr>
                <w:sz w:val="22"/>
              </w:rPr>
            </w:pPr>
            <w:r>
              <w:rPr>
                <w:color w:val="0F0F0F"/>
                <w:sz w:val="22"/>
              </w:rPr>
              <w:t>Environmental</w:t>
            </w:r>
            <w:r>
              <w:rPr>
                <w:color w:val="0F0F0F"/>
                <w:spacing w:val="50"/>
                <w:sz w:val="22"/>
              </w:rPr>
              <w:t> </w:t>
            </w:r>
            <w:r>
              <w:rPr>
                <w:color w:val="0F0F0F"/>
                <w:spacing w:val="-2"/>
                <w:sz w:val="22"/>
              </w:rPr>
              <w:t>Health</w:t>
            </w:r>
          </w:p>
        </w:tc>
        <w:tc>
          <w:tcPr>
            <w:tcW w:w="1307" w:type="dxa"/>
          </w:tcPr>
          <w:p>
            <w:pPr>
              <w:pStyle w:val="TableParagraph"/>
              <w:spacing w:before="28"/>
              <w:ind w:right="120"/>
              <w:jc w:val="right"/>
              <w:rPr>
                <w:sz w:val="22"/>
              </w:rPr>
            </w:pPr>
            <w:r>
              <w:rPr>
                <w:color w:val="0F0F0F"/>
                <w:spacing w:val="-5"/>
                <w:w w:val="105"/>
                <w:sz w:val="22"/>
              </w:rPr>
              <w:t>27</w:t>
            </w:r>
          </w:p>
        </w:tc>
      </w:tr>
      <w:tr>
        <w:trPr>
          <w:trHeight w:val="321" w:hRule="atLeast"/>
        </w:trPr>
        <w:tc>
          <w:tcPr>
            <w:tcW w:w="1442" w:type="dxa"/>
          </w:tcPr>
          <w:p>
            <w:pPr>
              <w:pStyle w:val="TableParagraph"/>
              <w:rPr>
                <w:rFonts w:ascii="Times New Roman"/>
                <w:sz w:val="20"/>
              </w:rPr>
            </w:pPr>
          </w:p>
        </w:tc>
        <w:tc>
          <w:tcPr>
            <w:tcW w:w="6293" w:type="dxa"/>
          </w:tcPr>
          <w:p>
            <w:pPr>
              <w:pStyle w:val="TableParagraph"/>
              <w:spacing w:before="31"/>
              <w:ind w:left="472"/>
              <w:rPr>
                <w:sz w:val="22"/>
              </w:rPr>
            </w:pPr>
            <w:r>
              <w:rPr>
                <w:color w:val="0F0F0F"/>
                <w:sz w:val="22"/>
              </w:rPr>
              <w:t>Housing</w:t>
            </w:r>
            <w:r>
              <w:rPr>
                <w:color w:val="0F0F0F"/>
                <w:spacing w:val="6"/>
                <w:sz w:val="22"/>
              </w:rPr>
              <w:t> </w:t>
            </w:r>
            <w:r>
              <w:rPr>
                <w:color w:val="0F0F0F"/>
                <w:sz w:val="22"/>
              </w:rPr>
              <w:t>&amp;</w:t>
            </w:r>
            <w:r>
              <w:rPr>
                <w:color w:val="0F0F0F"/>
                <w:spacing w:val="-8"/>
                <w:sz w:val="22"/>
              </w:rPr>
              <w:t> </w:t>
            </w:r>
            <w:r>
              <w:rPr>
                <w:color w:val="0F0F0F"/>
                <w:spacing w:val="-2"/>
                <w:sz w:val="22"/>
              </w:rPr>
              <w:t>Partnerships</w:t>
            </w:r>
          </w:p>
        </w:tc>
        <w:tc>
          <w:tcPr>
            <w:tcW w:w="1307" w:type="dxa"/>
          </w:tcPr>
          <w:p>
            <w:pPr>
              <w:pStyle w:val="TableParagraph"/>
              <w:spacing w:before="26"/>
              <w:ind w:left="624"/>
              <w:rPr>
                <w:sz w:val="22"/>
              </w:rPr>
            </w:pPr>
            <w:r>
              <w:rPr>
                <w:color w:val="0F0F0F"/>
                <w:spacing w:val="-2"/>
                <w:sz w:val="22"/>
              </w:rPr>
              <w:t>2,248</w:t>
            </w:r>
          </w:p>
        </w:tc>
      </w:tr>
      <w:tr>
        <w:trPr>
          <w:trHeight w:val="329" w:hRule="atLeast"/>
        </w:trPr>
        <w:tc>
          <w:tcPr>
            <w:tcW w:w="1442" w:type="dxa"/>
          </w:tcPr>
          <w:p>
            <w:pPr>
              <w:pStyle w:val="TableParagraph"/>
              <w:spacing w:before="40"/>
              <w:ind w:left="697"/>
              <w:rPr>
                <w:sz w:val="22"/>
              </w:rPr>
            </w:pPr>
            <w:r>
              <w:rPr>
                <w:color w:val="0F0F0F"/>
                <w:spacing w:val="-2"/>
                <w:sz w:val="22"/>
              </w:rPr>
              <w:t>3,973</w:t>
            </w:r>
          </w:p>
        </w:tc>
        <w:tc>
          <w:tcPr>
            <w:tcW w:w="6293" w:type="dxa"/>
          </w:tcPr>
          <w:p>
            <w:pPr>
              <w:pStyle w:val="TableParagraph"/>
              <w:spacing w:before="35"/>
              <w:ind w:left="475"/>
              <w:rPr>
                <w:sz w:val="22"/>
              </w:rPr>
            </w:pPr>
            <w:r>
              <w:rPr>
                <w:color w:val="0F0F0F"/>
                <w:sz w:val="22"/>
              </w:rPr>
              <w:t>Street</w:t>
            </w:r>
            <w:r>
              <w:rPr>
                <w:color w:val="0F0F0F"/>
                <w:spacing w:val="-1"/>
                <w:sz w:val="22"/>
              </w:rPr>
              <w:t> </w:t>
            </w:r>
            <w:r>
              <w:rPr>
                <w:color w:val="0F0F0F"/>
                <w:sz w:val="22"/>
              </w:rPr>
              <w:t>Scene</w:t>
            </w:r>
            <w:r>
              <w:rPr>
                <w:color w:val="0F0F0F"/>
                <w:spacing w:val="-7"/>
                <w:sz w:val="22"/>
              </w:rPr>
              <w:t> </w:t>
            </w:r>
            <w:r>
              <w:rPr>
                <w:color w:val="0F0F0F"/>
                <w:spacing w:val="-2"/>
                <w:sz w:val="22"/>
              </w:rPr>
              <w:t>Services</w:t>
            </w:r>
          </w:p>
        </w:tc>
        <w:tc>
          <w:tcPr>
            <w:tcW w:w="1307" w:type="dxa"/>
          </w:tcPr>
          <w:p>
            <w:pPr>
              <w:pStyle w:val="TableParagraph"/>
              <w:spacing w:before="31"/>
              <w:ind w:left="626"/>
              <w:rPr>
                <w:sz w:val="22"/>
              </w:rPr>
            </w:pPr>
            <w:r>
              <w:rPr>
                <w:color w:val="0F0F0F"/>
                <w:spacing w:val="-2"/>
                <w:sz w:val="22"/>
              </w:rPr>
              <w:t>3,115</w:t>
            </w:r>
          </w:p>
        </w:tc>
      </w:tr>
      <w:tr>
        <w:trPr>
          <w:trHeight w:val="631" w:hRule="atLeast"/>
        </w:trPr>
        <w:tc>
          <w:tcPr>
            <w:tcW w:w="1442" w:type="dxa"/>
            <w:tcBorders>
              <w:bottom w:val="single" w:color="000000" w:sz="4" w:space="0"/>
            </w:tcBorders>
          </w:tcPr>
          <w:p>
            <w:pPr>
              <w:pStyle w:val="TableParagraph"/>
              <w:spacing w:before="38"/>
              <w:ind w:left="880"/>
              <w:rPr>
                <w:sz w:val="22"/>
              </w:rPr>
            </w:pPr>
            <w:r>
              <w:rPr>
                <w:color w:val="0F0F0F"/>
                <w:spacing w:val="-5"/>
                <w:sz w:val="22"/>
              </w:rPr>
              <w:t>163</w:t>
            </w:r>
          </w:p>
        </w:tc>
        <w:tc>
          <w:tcPr>
            <w:tcW w:w="6293" w:type="dxa"/>
          </w:tcPr>
          <w:p>
            <w:pPr>
              <w:pStyle w:val="TableParagraph"/>
              <w:spacing w:before="33"/>
              <w:ind w:left="472"/>
              <w:rPr>
                <w:sz w:val="22"/>
              </w:rPr>
            </w:pPr>
            <w:r>
              <w:rPr>
                <w:color w:val="0F0F0F"/>
                <w:sz w:val="22"/>
              </w:rPr>
              <w:t>Finance</w:t>
            </w:r>
            <w:r>
              <w:rPr>
                <w:color w:val="0F0F0F"/>
                <w:spacing w:val="1"/>
                <w:sz w:val="22"/>
              </w:rPr>
              <w:t> </w:t>
            </w:r>
            <w:r>
              <w:rPr>
                <w:color w:val="0F0F0F"/>
                <w:sz w:val="22"/>
              </w:rPr>
              <w:t>And</w:t>
            </w:r>
            <w:r>
              <w:rPr>
                <w:color w:val="0F0F0F"/>
                <w:spacing w:val="-14"/>
                <w:sz w:val="22"/>
              </w:rPr>
              <w:t> </w:t>
            </w:r>
            <w:r>
              <w:rPr>
                <w:color w:val="0F0F0F"/>
                <w:sz w:val="22"/>
              </w:rPr>
              <w:t>Business</w:t>
            </w:r>
            <w:r>
              <w:rPr>
                <w:color w:val="0F0F0F"/>
                <w:spacing w:val="7"/>
                <w:sz w:val="22"/>
              </w:rPr>
              <w:t> </w:t>
            </w:r>
            <w:r>
              <w:rPr>
                <w:color w:val="0F0F0F"/>
                <w:spacing w:val="-2"/>
                <w:sz w:val="22"/>
              </w:rPr>
              <w:t>Services</w:t>
            </w:r>
          </w:p>
          <w:p>
            <w:pPr>
              <w:pStyle w:val="TableParagraph"/>
              <w:spacing w:before="69"/>
              <w:ind w:left="474"/>
              <w:rPr>
                <w:sz w:val="22"/>
              </w:rPr>
            </w:pPr>
            <w:r>
              <w:rPr>
                <w:color w:val="0F0F0F"/>
                <w:sz w:val="22"/>
              </w:rPr>
              <w:t>Loan</w:t>
            </w:r>
            <w:r>
              <w:rPr>
                <w:color w:val="0F0F0F"/>
                <w:spacing w:val="-10"/>
                <w:sz w:val="22"/>
              </w:rPr>
              <w:t> </w:t>
            </w:r>
            <w:r>
              <w:rPr>
                <w:color w:val="0F0F0F"/>
                <w:sz w:val="22"/>
              </w:rPr>
              <w:t>to</w:t>
            </w:r>
            <w:r>
              <w:rPr>
                <w:color w:val="0F0F0F"/>
                <w:spacing w:val="-15"/>
                <w:sz w:val="22"/>
              </w:rPr>
              <w:t> </w:t>
            </w:r>
            <w:r>
              <w:rPr>
                <w:color w:val="0F0F0F"/>
                <w:sz w:val="22"/>
              </w:rPr>
              <w:t>Hertsmere</w:t>
            </w:r>
            <w:r>
              <w:rPr>
                <w:color w:val="0F0F0F"/>
                <w:spacing w:val="-2"/>
                <w:sz w:val="22"/>
              </w:rPr>
              <w:t> </w:t>
            </w:r>
            <w:r>
              <w:rPr>
                <w:color w:val="0F0F0F"/>
                <w:sz w:val="22"/>
              </w:rPr>
              <w:t>Development</w:t>
            </w:r>
            <w:r>
              <w:rPr>
                <w:color w:val="0F0F0F"/>
                <w:spacing w:val="5"/>
                <w:sz w:val="22"/>
              </w:rPr>
              <w:t> </w:t>
            </w:r>
            <w:r>
              <w:rPr>
                <w:color w:val="0F0F0F"/>
                <w:spacing w:val="-2"/>
                <w:sz w:val="22"/>
              </w:rPr>
              <w:t>Company</w:t>
            </w:r>
          </w:p>
        </w:tc>
        <w:tc>
          <w:tcPr>
            <w:tcW w:w="1307" w:type="dxa"/>
            <w:tcBorders>
              <w:bottom w:val="single" w:color="000000" w:sz="6" w:space="0"/>
            </w:tcBorders>
          </w:tcPr>
          <w:p>
            <w:pPr>
              <w:pStyle w:val="TableParagraph"/>
              <w:spacing w:before="28"/>
              <w:ind w:right="116"/>
              <w:jc w:val="right"/>
              <w:rPr>
                <w:sz w:val="22"/>
              </w:rPr>
            </w:pPr>
            <w:r>
              <w:rPr>
                <w:color w:val="0F0F0F"/>
                <w:spacing w:val="-5"/>
                <w:sz w:val="22"/>
              </w:rPr>
              <w:t>93</w:t>
            </w:r>
          </w:p>
        </w:tc>
      </w:tr>
      <w:tr>
        <w:trPr>
          <w:trHeight w:val="330" w:hRule="atLeast"/>
        </w:trPr>
        <w:tc>
          <w:tcPr>
            <w:tcW w:w="1442" w:type="dxa"/>
            <w:tcBorders>
              <w:top w:val="single" w:color="000000" w:sz="4" w:space="0"/>
            </w:tcBorders>
          </w:tcPr>
          <w:p>
            <w:pPr>
              <w:pStyle w:val="TableParagraph"/>
              <w:tabs>
                <w:tab w:val="left" w:leader="none" w:pos="574"/>
              </w:tabs>
              <w:spacing w:before="88" w:line="222" w:lineRule="exact"/>
              <w:ind w:right="-15"/>
              <w:rPr>
                <w:b/>
                <w:sz w:val="21"/>
              </w:rPr>
            </w:pPr>
            <w:r>
              <w:rPr>
                <w:b/>
                <w:color w:val="0F0F0F"/>
                <w:sz w:val="21"/>
                <w:u w:val="single" w:color="000000"/>
              </w:rPr>
              <w:tab/>
            </w:r>
            <w:r>
              <w:rPr>
                <w:b/>
                <w:color w:val="0F0F0F"/>
                <w:spacing w:val="-2"/>
                <w:w w:val="105"/>
                <w:sz w:val="21"/>
                <w:u w:val="single" w:color="000000"/>
              </w:rPr>
              <w:t>18,017</w:t>
            </w:r>
            <w:r>
              <w:rPr>
                <w:b/>
                <w:color w:val="0F0F0F"/>
                <w:spacing w:val="40"/>
                <w:w w:val="105"/>
                <w:sz w:val="21"/>
                <w:u w:val="single" w:color="000000"/>
              </w:rPr>
              <w:t> </w:t>
            </w:r>
          </w:p>
        </w:tc>
        <w:tc>
          <w:tcPr>
            <w:tcW w:w="6293" w:type="dxa"/>
          </w:tcPr>
          <w:p>
            <w:pPr>
              <w:pStyle w:val="TableParagraph"/>
              <w:spacing w:before="50"/>
              <w:ind w:left="476"/>
              <w:rPr>
                <w:b/>
                <w:sz w:val="21"/>
              </w:rPr>
            </w:pPr>
            <w:r>
              <w:rPr>
                <w:b/>
                <w:color w:val="0F0F0F"/>
                <w:spacing w:val="-4"/>
                <w:w w:val="105"/>
                <w:sz w:val="21"/>
              </w:rPr>
              <w:t>Total</w:t>
            </w:r>
          </w:p>
        </w:tc>
        <w:tc>
          <w:tcPr>
            <w:tcW w:w="1307" w:type="dxa"/>
            <w:tcBorders>
              <w:top w:val="single" w:color="000000" w:sz="6" w:space="0"/>
            </w:tcBorders>
          </w:tcPr>
          <w:p>
            <w:pPr>
              <w:pStyle w:val="TableParagraph"/>
              <w:tabs>
                <w:tab w:val="left" w:leader="none" w:pos="511"/>
              </w:tabs>
              <w:spacing w:before="84" w:line="226" w:lineRule="exact"/>
              <w:ind w:right="-15"/>
              <w:rPr>
                <w:b/>
                <w:sz w:val="21"/>
              </w:rPr>
            </w:pPr>
            <w:r>
              <w:rPr>
                <w:b/>
                <w:color w:val="0F0F0F"/>
                <w:sz w:val="21"/>
                <w:u w:val="single" w:color="000000"/>
              </w:rPr>
              <w:tab/>
            </w:r>
            <w:r>
              <w:rPr>
                <w:b/>
                <w:color w:val="0F0F0F"/>
                <w:spacing w:val="-2"/>
                <w:w w:val="105"/>
                <w:sz w:val="21"/>
                <w:u w:val="single" w:color="000000"/>
              </w:rPr>
              <w:t>39,068</w:t>
            </w:r>
            <w:r>
              <w:rPr>
                <w:b/>
                <w:color w:val="0F0F0F"/>
                <w:spacing w:val="80"/>
                <w:w w:val="105"/>
                <w:sz w:val="21"/>
                <w:u w:val="single" w:color="000000"/>
              </w:rPr>
              <w:t> </w:t>
            </w:r>
          </w:p>
        </w:tc>
      </w:tr>
    </w:tbl>
    <w:p>
      <w:pPr>
        <w:pStyle w:val="BodyText"/>
        <w:spacing w:before="214"/>
        <w:rPr>
          <w:b/>
          <w:sz w:val="21"/>
        </w:rPr>
      </w:pPr>
    </w:p>
    <w:p>
      <w:pPr>
        <w:pStyle w:val="ListParagraph"/>
        <w:numPr>
          <w:ilvl w:val="1"/>
          <w:numId w:val="16"/>
        </w:numPr>
        <w:tabs>
          <w:tab w:val="left" w:leader="none" w:pos="2027"/>
        </w:tabs>
        <w:spacing w:before="0" w:after="0" w:line="240" w:lineRule="auto"/>
        <w:ind w:left="2027" w:right="0" w:hanging="715"/>
        <w:jc w:val="left"/>
        <w:rPr>
          <w:b/>
          <w:color w:val="0F0F0F"/>
          <w:sz w:val="21"/>
        </w:rPr>
      </w:pPr>
      <w:r>
        <w:rPr>
          <w:b/>
          <w:color w:val="0F0F0F"/>
          <w:spacing w:val="-2"/>
          <w:w w:val="105"/>
          <w:sz w:val="21"/>
        </w:rPr>
        <w:t>Leases</w:t>
      </w:r>
    </w:p>
    <w:p>
      <w:pPr>
        <w:pStyle w:val="BodyText"/>
        <w:rPr>
          <w:b/>
          <w:sz w:val="21"/>
        </w:rPr>
      </w:pPr>
    </w:p>
    <w:p>
      <w:pPr>
        <w:pStyle w:val="BodyText"/>
        <w:spacing w:before="15"/>
        <w:rPr>
          <w:b/>
          <w:sz w:val="21"/>
        </w:rPr>
      </w:pPr>
    </w:p>
    <w:p>
      <w:pPr>
        <w:spacing w:before="0"/>
        <w:ind w:left="1310" w:right="0" w:firstLine="0"/>
        <w:jc w:val="left"/>
        <w:rPr>
          <w:i/>
          <w:sz w:val="21"/>
        </w:rPr>
      </w:pPr>
      <w:r>
        <w:rPr>
          <w:i/>
          <w:color w:val="0F0F0F"/>
          <w:w w:val="105"/>
          <w:sz w:val="21"/>
        </w:rPr>
        <w:t>The</w:t>
      </w:r>
      <w:r>
        <w:rPr>
          <w:i/>
          <w:color w:val="0F0F0F"/>
          <w:spacing w:val="-11"/>
          <w:w w:val="105"/>
          <w:sz w:val="21"/>
        </w:rPr>
        <w:t> </w:t>
      </w:r>
      <w:r>
        <w:rPr>
          <w:i/>
          <w:color w:val="0F0F0F"/>
          <w:w w:val="105"/>
          <w:sz w:val="21"/>
        </w:rPr>
        <w:t>Council</w:t>
      </w:r>
      <w:r>
        <w:rPr>
          <w:i/>
          <w:color w:val="0F0F0F"/>
          <w:spacing w:val="5"/>
          <w:w w:val="105"/>
          <w:sz w:val="21"/>
        </w:rPr>
        <w:t> </w:t>
      </w:r>
      <w:r>
        <w:rPr>
          <w:i/>
          <w:color w:val="0F0F0F"/>
          <w:w w:val="105"/>
          <w:sz w:val="21"/>
        </w:rPr>
        <w:t>as</w:t>
      </w:r>
      <w:r>
        <w:rPr>
          <w:i/>
          <w:color w:val="0F0F0F"/>
          <w:spacing w:val="-11"/>
          <w:w w:val="105"/>
          <w:sz w:val="21"/>
        </w:rPr>
        <w:t> </w:t>
      </w:r>
      <w:r>
        <w:rPr>
          <w:i/>
          <w:color w:val="0F0F0F"/>
          <w:spacing w:val="-2"/>
          <w:w w:val="105"/>
          <w:sz w:val="21"/>
        </w:rPr>
        <w:t>Lessee</w:t>
      </w:r>
    </w:p>
    <w:p>
      <w:pPr>
        <w:pStyle w:val="BodyText"/>
        <w:spacing w:before="94"/>
        <w:rPr>
          <w:i/>
          <w:sz w:val="21"/>
        </w:rPr>
      </w:pPr>
    </w:p>
    <w:p>
      <w:pPr>
        <w:pStyle w:val="BodyText"/>
        <w:ind w:left="1306"/>
      </w:pPr>
      <w:r>
        <w:rPr>
          <w:color w:val="0F0F0F"/>
        </w:rPr>
        <w:t>Operating</w:t>
      </w:r>
      <w:r>
        <w:rPr>
          <w:color w:val="0F0F0F"/>
          <w:spacing w:val="-9"/>
        </w:rPr>
        <w:t> </w:t>
      </w:r>
      <w:r>
        <w:rPr>
          <w:color w:val="0F0F0F"/>
          <w:spacing w:val="-2"/>
        </w:rPr>
        <w:t>Leases</w:t>
      </w:r>
    </w:p>
    <w:p>
      <w:pPr>
        <w:pStyle w:val="BodyText"/>
        <w:spacing w:before="71"/>
      </w:pPr>
    </w:p>
    <w:p>
      <w:pPr>
        <w:pStyle w:val="BodyText"/>
        <w:ind w:left="1312"/>
      </w:pPr>
      <w:r>
        <w:rPr>
          <w:color w:val="0F0F0F"/>
        </w:rPr>
        <w:t>There</w:t>
      </w:r>
      <w:r>
        <w:rPr>
          <w:color w:val="0F0F0F"/>
          <w:spacing w:val="-5"/>
        </w:rPr>
        <w:t> </w:t>
      </w:r>
      <w:r>
        <w:rPr>
          <w:color w:val="0F0F0F"/>
        </w:rPr>
        <w:t>are</w:t>
      </w:r>
      <w:r>
        <w:rPr>
          <w:color w:val="0F0F0F"/>
          <w:spacing w:val="-12"/>
        </w:rPr>
        <w:t> </w:t>
      </w:r>
      <w:r>
        <w:rPr>
          <w:color w:val="0F0F0F"/>
        </w:rPr>
        <w:t>no</w:t>
      </w:r>
      <w:r>
        <w:rPr>
          <w:color w:val="0F0F0F"/>
          <w:spacing w:val="-10"/>
        </w:rPr>
        <w:t> </w:t>
      </w:r>
      <w:r>
        <w:rPr>
          <w:color w:val="0F0F0F"/>
        </w:rPr>
        <w:t>operating</w:t>
      </w:r>
      <w:r>
        <w:rPr>
          <w:color w:val="0F0F0F"/>
          <w:spacing w:val="1"/>
        </w:rPr>
        <w:t> </w:t>
      </w:r>
      <w:r>
        <w:rPr>
          <w:color w:val="0F0F0F"/>
          <w:spacing w:val="-2"/>
        </w:rPr>
        <w:t>leases.</w:t>
      </w:r>
    </w:p>
    <w:p>
      <w:pPr>
        <w:pStyle w:val="BodyText"/>
        <w:spacing w:before="85"/>
      </w:pPr>
    </w:p>
    <w:p>
      <w:pPr>
        <w:spacing w:before="0"/>
        <w:ind w:left="1310" w:right="0" w:firstLine="0"/>
        <w:jc w:val="left"/>
        <w:rPr>
          <w:i/>
          <w:sz w:val="21"/>
        </w:rPr>
      </w:pPr>
      <w:r>
        <w:rPr>
          <w:i/>
          <w:color w:val="0F0F0F"/>
          <w:w w:val="105"/>
          <w:sz w:val="21"/>
        </w:rPr>
        <w:t>The</w:t>
      </w:r>
      <w:r>
        <w:rPr>
          <w:i/>
          <w:color w:val="0F0F0F"/>
          <w:spacing w:val="-12"/>
          <w:w w:val="105"/>
          <w:sz w:val="21"/>
        </w:rPr>
        <w:t> </w:t>
      </w:r>
      <w:r>
        <w:rPr>
          <w:i/>
          <w:color w:val="0F0F0F"/>
          <w:w w:val="105"/>
          <w:sz w:val="21"/>
        </w:rPr>
        <w:t>Council</w:t>
      </w:r>
      <w:r>
        <w:rPr>
          <w:i/>
          <w:color w:val="0F0F0F"/>
          <w:spacing w:val="6"/>
          <w:w w:val="105"/>
          <w:sz w:val="21"/>
        </w:rPr>
        <w:t> </w:t>
      </w:r>
      <w:r>
        <w:rPr>
          <w:i/>
          <w:color w:val="0F0F0F"/>
          <w:w w:val="105"/>
          <w:sz w:val="21"/>
        </w:rPr>
        <w:t>as</w:t>
      </w:r>
      <w:r>
        <w:rPr>
          <w:i/>
          <w:color w:val="0F0F0F"/>
          <w:spacing w:val="-6"/>
          <w:w w:val="105"/>
          <w:sz w:val="21"/>
        </w:rPr>
        <w:t> </w:t>
      </w:r>
      <w:r>
        <w:rPr>
          <w:i/>
          <w:color w:val="0F0F0F"/>
          <w:spacing w:val="-2"/>
          <w:w w:val="105"/>
          <w:sz w:val="21"/>
        </w:rPr>
        <w:t>Lessor</w:t>
      </w:r>
    </w:p>
    <w:p>
      <w:pPr>
        <w:pStyle w:val="BodyText"/>
        <w:spacing w:before="17"/>
        <w:rPr>
          <w:i/>
          <w:sz w:val="21"/>
        </w:rPr>
      </w:pPr>
    </w:p>
    <w:p>
      <w:pPr>
        <w:pStyle w:val="BodyText"/>
        <w:ind w:left="1311"/>
      </w:pPr>
      <w:r>
        <w:rPr>
          <w:color w:val="0F0F0F"/>
        </w:rPr>
        <w:t>Operating</w:t>
      </w:r>
      <w:r>
        <w:rPr>
          <w:color w:val="0F0F0F"/>
          <w:spacing w:val="-9"/>
        </w:rPr>
        <w:t> </w:t>
      </w:r>
      <w:r>
        <w:rPr>
          <w:color w:val="0F0F0F"/>
          <w:spacing w:val="-2"/>
        </w:rPr>
        <w:t>Leases</w:t>
      </w:r>
    </w:p>
    <w:p>
      <w:pPr>
        <w:pStyle w:val="BodyText"/>
        <w:spacing w:before="251"/>
        <w:ind w:left="1314" w:right="1080" w:hanging="3"/>
        <w:jc w:val="both"/>
      </w:pPr>
      <w:r>
        <w:rPr>
          <w:color w:val="0F0F0F"/>
        </w:rPr>
        <w:t>The</w:t>
      </w:r>
      <w:r>
        <w:rPr>
          <w:color w:val="0F0F0F"/>
          <w:spacing w:val="-5"/>
        </w:rPr>
        <w:t> </w:t>
      </w:r>
      <w:r>
        <w:rPr>
          <w:color w:val="0F0F0F"/>
        </w:rPr>
        <w:t>council has a</w:t>
      </w:r>
      <w:r>
        <w:rPr>
          <w:color w:val="0F0F0F"/>
          <w:spacing w:val="-4"/>
        </w:rPr>
        <w:t> </w:t>
      </w:r>
      <w:r>
        <w:rPr>
          <w:color w:val="0F0F0F"/>
        </w:rPr>
        <w:t>license fee arrangement with</w:t>
      </w:r>
      <w:r>
        <w:rPr>
          <w:color w:val="0F0F0F"/>
          <w:spacing w:val="-3"/>
        </w:rPr>
        <w:t> </w:t>
      </w:r>
      <w:r>
        <w:rPr>
          <w:color w:val="0F0F0F"/>
        </w:rPr>
        <w:t>Elstree Studios Limited (EFS), a 100% owned subsidiary company, under</w:t>
      </w:r>
      <w:r>
        <w:rPr>
          <w:color w:val="0F0F0F"/>
          <w:spacing w:val="-1"/>
        </w:rPr>
        <w:t> </w:t>
      </w:r>
      <w:r>
        <w:rPr>
          <w:color w:val="0F0F0F"/>
        </w:rPr>
        <w:t>which</w:t>
      </w:r>
      <w:r>
        <w:rPr>
          <w:color w:val="0F0F0F"/>
          <w:spacing w:val="-4"/>
        </w:rPr>
        <w:t> </w:t>
      </w:r>
      <w:r>
        <w:rPr>
          <w:color w:val="333333"/>
        </w:rPr>
        <w:t>the</w:t>
      </w:r>
      <w:r>
        <w:rPr>
          <w:color w:val="333333"/>
          <w:spacing w:val="-7"/>
        </w:rPr>
        <w:t> </w:t>
      </w:r>
      <w:r>
        <w:rPr>
          <w:color w:val="0F0F0F"/>
        </w:rPr>
        <w:t>council</w:t>
      </w:r>
      <w:r>
        <w:rPr>
          <w:color w:val="0F0F0F"/>
          <w:spacing w:val="-1"/>
        </w:rPr>
        <w:t> </w:t>
      </w:r>
      <w:r>
        <w:rPr>
          <w:color w:val="0F0F0F"/>
        </w:rPr>
        <w:t>receives</w:t>
      </w:r>
      <w:r>
        <w:rPr>
          <w:color w:val="0F0F0F"/>
          <w:spacing w:val="-1"/>
        </w:rPr>
        <w:t> </w:t>
      </w:r>
      <w:r>
        <w:rPr>
          <w:color w:val="0F0F0F"/>
        </w:rPr>
        <w:t>income</w:t>
      </w:r>
      <w:r>
        <w:rPr>
          <w:color w:val="0F0F0F"/>
          <w:spacing w:val="-6"/>
        </w:rPr>
        <w:t> </w:t>
      </w:r>
      <w:r>
        <w:rPr>
          <w:color w:val="0F0F0F"/>
        </w:rPr>
        <w:t>for use</w:t>
      </w:r>
      <w:r>
        <w:rPr>
          <w:color w:val="0F0F0F"/>
          <w:spacing w:val="-4"/>
        </w:rPr>
        <w:t> </w:t>
      </w:r>
      <w:r>
        <w:rPr>
          <w:color w:val="0F0F0F"/>
        </w:rPr>
        <w:t>of</w:t>
      </w:r>
      <w:r>
        <w:rPr>
          <w:color w:val="0F0F0F"/>
          <w:spacing w:val="-12"/>
        </w:rPr>
        <w:t> </w:t>
      </w:r>
      <w:r>
        <w:rPr>
          <w:color w:val="0F0F0F"/>
        </w:rPr>
        <w:t>premises occupied by EFS. The amount received in 2022/23 was £1,700k (2021/22: £1</w:t>
      </w:r>
      <w:r>
        <w:rPr>
          <w:color w:val="333333"/>
        </w:rPr>
        <w:t>,</w:t>
      </w:r>
      <w:r>
        <w:rPr>
          <w:color w:val="0F0F0F"/>
        </w:rPr>
        <w:t>650k</w:t>
      </w:r>
      <w:r>
        <w:rPr>
          <w:color w:val="333333"/>
        </w:rPr>
        <w:t>)</w:t>
      </w:r>
      <w:r>
        <w:rPr>
          <w:color w:val="5E5E5E"/>
        </w:rPr>
        <w:t>.</w:t>
      </w:r>
    </w:p>
    <w:p>
      <w:pPr>
        <w:spacing w:after="0"/>
        <w:jc w:val="both"/>
        <w:sectPr>
          <w:pgSz w:w="11910" w:h="16830"/>
          <w:pgMar w:top="900" w:right="300" w:bottom="1360" w:left="0" w:header="706" w:footer="1169"/>
        </w:sectPr>
      </w:pPr>
    </w:p>
    <w:p>
      <w:pPr>
        <w:pStyle w:val="BodyText"/>
        <w:spacing w:before="5"/>
        <w:rPr>
          <w:sz w:val="21"/>
        </w:rPr>
      </w:pPr>
    </w:p>
    <w:p>
      <w:pPr>
        <w:pStyle w:val="ListParagraph"/>
        <w:numPr>
          <w:ilvl w:val="1"/>
          <w:numId w:val="16"/>
        </w:numPr>
        <w:tabs>
          <w:tab w:val="left" w:leader="none" w:pos="2220"/>
        </w:tabs>
        <w:spacing w:before="0" w:after="0" w:line="240" w:lineRule="auto"/>
        <w:ind w:left="2220" w:right="0" w:hanging="711"/>
        <w:jc w:val="left"/>
        <w:rPr>
          <w:b/>
          <w:color w:val="3B3B3B"/>
          <w:sz w:val="21"/>
        </w:rPr>
      </w:pPr>
      <w:r>
        <w:rPr>
          <w:b/>
          <w:color w:val="3B3B3B"/>
          <w:w w:val="105"/>
          <w:sz w:val="21"/>
        </w:rPr>
        <w:t>Heritage </w:t>
      </w:r>
      <w:r>
        <w:rPr>
          <w:b/>
          <w:color w:val="3B3B3B"/>
          <w:spacing w:val="-2"/>
          <w:w w:val="105"/>
          <w:sz w:val="21"/>
        </w:rPr>
        <w:t>Assets</w:t>
      </w:r>
    </w:p>
    <w:p>
      <w:pPr>
        <w:pStyle w:val="BodyText"/>
        <w:spacing w:before="46"/>
        <w:rPr>
          <w:b/>
          <w:sz w:val="21"/>
        </w:rPr>
      </w:pPr>
    </w:p>
    <w:p>
      <w:pPr>
        <w:spacing w:before="0"/>
        <w:ind w:left="1502" w:right="0" w:firstLine="0"/>
        <w:jc w:val="both"/>
        <w:rPr>
          <w:sz w:val="21"/>
        </w:rPr>
      </w:pPr>
      <w:r>
        <w:rPr>
          <w:color w:val="3B3B3B"/>
          <w:w w:val="105"/>
          <w:sz w:val="21"/>
        </w:rPr>
        <w:t>Heritage</w:t>
      </w:r>
      <w:r>
        <w:rPr>
          <w:color w:val="3B3B3B"/>
          <w:spacing w:val="-2"/>
          <w:w w:val="105"/>
          <w:sz w:val="21"/>
        </w:rPr>
        <w:t> </w:t>
      </w:r>
      <w:r>
        <w:rPr>
          <w:color w:val="3B3B3B"/>
          <w:w w:val="105"/>
          <w:sz w:val="21"/>
        </w:rPr>
        <w:t>assets held</w:t>
      </w:r>
      <w:r>
        <w:rPr>
          <w:color w:val="3B3B3B"/>
          <w:spacing w:val="-7"/>
          <w:w w:val="105"/>
          <w:sz w:val="21"/>
        </w:rPr>
        <w:t> </w:t>
      </w:r>
      <w:r>
        <w:rPr>
          <w:color w:val="3B3B3B"/>
          <w:w w:val="105"/>
          <w:sz w:val="21"/>
        </w:rPr>
        <w:t>by</w:t>
      </w:r>
      <w:r>
        <w:rPr>
          <w:color w:val="3B3B3B"/>
          <w:spacing w:val="-3"/>
          <w:w w:val="105"/>
          <w:sz w:val="21"/>
        </w:rPr>
        <w:t> </w:t>
      </w:r>
      <w:r>
        <w:rPr>
          <w:color w:val="3B3B3B"/>
          <w:w w:val="105"/>
          <w:sz w:val="21"/>
        </w:rPr>
        <w:t>the</w:t>
      </w:r>
      <w:r>
        <w:rPr>
          <w:color w:val="3B3B3B"/>
          <w:spacing w:val="2"/>
          <w:w w:val="105"/>
          <w:sz w:val="21"/>
        </w:rPr>
        <w:t> </w:t>
      </w:r>
      <w:r>
        <w:rPr>
          <w:color w:val="3B3B3B"/>
          <w:spacing w:val="-2"/>
          <w:w w:val="105"/>
          <w:sz w:val="21"/>
        </w:rPr>
        <w:t>authority</w:t>
      </w:r>
    </w:p>
    <w:p>
      <w:pPr>
        <w:spacing w:before="239" w:line="252" w:lineRule="auto"/>
        <w:ind w:left="1491" w:right="895" w:firstLine="10"/>
        <w:jc w:val="both"/>
        <w:rPr>
          <w:sz w:val="21"/>
        </w:rPr>
      </w:pPr>
      <w:r>
        <w:rPr>
          <w:color w:val="1C1C1C"/>
          <w:w w:val="105"/>
          <w:sz w:val="21"/>
        </w:rPr>
        <w:t>Heritage</w:t>
      </w:r>
      <w:r>
        <w:rPr>
          <w:color w:val="1C1C1C"/>
          <w:spacing w:val="-16"/>
          <w:w w:val="105"/>
          <w:sz w:val="21"/>
        </w:rPr>
        <w:t> </w:t>
      </w:r>
      <w:r>
        <w:rPr>
          <w:color w:val="1C1C1C"/>
          <w:w w:val="105"/>
          <w:sz w:val="21"/>
        </w:rPr>
        <w:t>assets</w:t>
      </w:r>
      <w:r>
        <w:rPr>
          <w:color w:val="1C1C1C"/>
          <w:spacing w:val="-7"/>
          <w:w w:val="105"/>
          <w:sz w:val="21"/>
        </w:rPr>
        <w:t> </w:t>
      </w:r>
      <w:r>
        <w:rPr>
          <w:color w:val="1C1C1C"/>
          <w:w w:val="105"/>
          <w:sz w:val="21"/>
        </w:rPr>
        <w:t>comprise</w:t>
      </w:r>
      <w:r>
        <w:rPr>
          <w:color w:val="1C1C1C"/>
          <w:spacing w:val="-4"/>
          <w:w w:val="105"/>
          <w:sz w:val="21"/>
        </w:rPr>
        <w:t> </w:t>
      </w:r>
      <w:r>
        <w:rPr>
          <w:color w:val="1C1C1C"/>
          <w:w w:val="105"/>
          <w:sz w:val="21"/>
        </w:rPr>
        <w:t>the</w:t>
      </w:r>
      <w:r>
        <w:rPr>
          <w:color w:val="1C1C1C"/>
          <w:spacing w:val="-9"/>
          <w:w w:val="105"/>
          <w:sz w:val="21"/>
        </w:rPr>
        <w:t> </w:t>
      </w:r>
      <w:r>
        <w:rPr>
          <w:color w:val="1C1C1C"/>
          <w:w w:val="105"/>
          <w:sz w:val="21"/>
        </w:rPr>
        <w:t>restored</w:t>
      </w:r>
      <w:r>
        <w:rPr>
          <w:color w:val="1C1C1C"/>
          <w:spacing w:val="-13"/>
          <w:w w:val="105"/>
          <w:sz w:val="21"/>
        </w:rPr>
        <w:t> </w:t>
      </w:r>
      <w:r>
        <w:rPr>
          <w:color w:val="1C1C1C"/>
          <w:w w:val="105"/>
          <w:sz w:val="21"/>
        </w:rPr>
        <w:t>Grade</w:t>
      </w:r>
      <w:r>
        <w:rPr>
          <w:color w:val="1C1C1C"/>
          <w:spacing w:val="-2"/>
          <w:w w:val="105"/>
          <w:sz w:val="21"/>
        </w:rPr>
        <w:t> </w:t>
      </w:r>
      <w:r>
        <w:rPr>
          <w:color w:val="0C0C0C"/>
          <w:w w:val="105"/>
          <w:sz w:val="21"/>
        </w:rPr>
        <w:t>I</w:t>
      </w:r>
      <w:r>
        <w:rPr>
          <w:color w:val="3B3B3B"/>
          <w:w w:val="105"/>
          <w:sz w:val="21"/>
        </w:rPr>
        <w:t>I</w:t>
      </w:r>
      <w:r>
        <w:rPr>
          <w:color w:val="3B3B3B"/>
          <w:spacing w:val="-16"/>
          <w:w w:val="105"/>
          <w:sz w:val="21"/>
        </w:rPr>
        <w:t> </w:t>
      </w:r>
      <w:r>
        <w:rPr>
          <w:color w:val="1C1C1C"/>
          <w:w w:val="105"/>
          <w:sz w:val="21"/>
        </w:rPr>
        <w:t>listed</w:t>
      </w:r>
      <w:r>
        <w:rPr>
          <w:color w:val="1C1C1C"/>
          <w:spacing w:val="-9"/>
          <w:w w:val="105"/>
          <w:sz w:val="21"/>
        </w:rPr>
        <w:t> </w:t>
      </w:r>
      <w:r>
        <w:rPr>
          <w:color w:val="1C1C1C"/>
          <w:w w:val="105"/>
          <w:sz w:val="21"/>
        </w:rPr>
        <w:t>Rose</w:t>
      </w:r>
      <w:r>
        <w:rPr>
          <w:color w:val="1C1C1C"/>
          <w:spacing w:val="-11"/>
          <w:w w:val="105"/>
          <w:sz w:val="21"/>
        </w:rPr>
        <w:t> </w:t>
      </w:r>
      <w:r>
        <w:rPr>
          <w:color w:val="1C1C1C"/>
          <w:w w:val="105"/>
          <w:sz w:val="21"/>
        </w:rPr>
        <w:t>Garden</w:t>
      </w:r>
      <w:r>
        <w:rPr>
          <w:color w:val="1C1C1C"/>
          <w:spacing w:val="-10"/>
          <w:w w:val="105"/>
          <w:sz w:val="21"/>
        </w:rPr>
        <w:t> </w:t>
      </w:r>
      <w:r>
        <w:rPr>
          <w:color w:val="1C1C1C"/>
          <w:w w:val="105"/>
          <w:sz w:val="21"/>
        </w:rPr>
        <w:t>in</w:t>
      </w:r>
      <w:r>
        <w:rPr>
          <w:color w:val="1C1C1C"/>
          <w:spacing w:val="-16"/>
          <w:w w:val="105"/>
          <w:sz w:val="21"/>
        </w:rPr>
        <w:t> </w:t>
      </w:r>
      <w:r>
        <w:rPr>
          <w:color w:val="1C1C1C"/>
          <w:w w:val="105"/>
          <w:sz w:val="21"/>
        </w:rPr>
        <w:t>Herkomer</w:t>
      </w:r>
      <w:r>
        <w:rPr>
          <w:color w:val="1C1C1C"/>
          <w:spacing w:val="-4"/>
          <w:w w:val="105"/>
          <w:sz w:val="21"/>
        </w:rPr>
        <w:t> </w:t>
      </w:r>
      <w:r>
        <w:rPr>
          <w:color w:val="1C1C1C"/>
          <w:w w:val="105"/>
          <w:sz w:val="21"/>
        </w:rPr>
        <w:t>Road</w:t>
      </w:r>
      <w:r>
        <w:rPr>
          <w:color w:val="4B4B4B"/>
          <w:w w:val="105"/>
          <w:sz w:val="21"/>
        </w:rPr>
        <w:t>,</w:t>
      </w:r>
      <w:r>
        <w:rPr>
          <w:color w:val="4B4B4B"/>
          <w:spacing w:val="-16"/>
          <w:w w:val="105"/>
          <w:sz w:val="21"/>
        </w:rPr>
        <w:t> </w:t>
      </w:r>
      <w:r>
        <w:rPr>
          <w:color w:val="1C1C1C"/>
          <w:w w:val="105"/>
          <w:sz w:val="21"/>
        </w:rPr>
        <w:t>Bushey</w:t>
      </w:r>
      <w:r>
        <w:rPr>
          <w:color w:val="4B4B4B"/>
          <w:w w:val="105"/>
          <w:sz w:val="21"/>
        </w:rPr>
        <w:t>, </w:t>
      </w:r>
      <w:r>
        <w:rPr>
          <w:color w:val="1C1C1C"/>
          <w:w w:val="105"/>
          <w:sz w:val="21"/>
        </w:rPr>
        <w:t>the Borough</w:t>
      </w:r>
      <w:r>
        <w:rPr>
          <w:color w:val="4B4B4B"/>
          <w:w w:val="105"/>
          <w:sz w:val="21"/>
        </w:rPr>
        <w:t>'</w:t>
      </w:r>
      <w:r>
        <w:rPr>
          <w:color w:val="1C1C1C"/>
          <w:w w:val="105"/>
          <w:sz w:val="21"/>
        </w:rPr>
        <w:t>s war memorials and</w:t>
      </w:r>
      <w:r>
        <w:rPr>
          <w:color w:val="1C1C1C"/>
          <w:spacing w:val="-1"/>
          <w:w w:val="105"/>
          <w:sz w:val="21"/>
        </w:rPr>
        <w:t> </w:t>
      </w:r>
      <w:r>
        <w:rPr>
          <w:color w:val="1C1C1C"/>
          <w:w w:val="105"/>
          <w:sz w:val="21"/>
        </w:rPr>
        <w:t>a</w:t>
      </w:r>
      <w:r>
        <w:rPr>
          <w:color w:val="1C1C1C"/>
          <w:spacing w:val="-1"/>
          <w:w w:val="105"/>
          <w:sz w:val="21"/>
        </w:rPr>
        <w:t> </w:t>
      </w:r>
      <w:r>
        <w:rPr>
          <w:color w:val="1C1C1C"/>
          <w:w w:val="105"/>
          <w:sz w:val="21"/>
        </w:rPr>
        <w:t>small</w:t>
      </w:r>
      <w:r>
        <w:rPr>
          <w:color w:val="1C1C1C"/>
          <w:spacing w:val="-5"/>
          <w:w w:val="105"/>
          <w:sz w:val="21"/>
        </w:rPr>
        <w:t> </w:t>
      </w:r>
      <w:r>
        <w:rPr>
          <w:color w:val="1C1C1C"/>
          <w:w w:val="105"/>
          <w:sz w:val="21"/>
        </w:rPr>
        <w:t>number of paintings and</w:t>
      </w:r>
      <w:r>
        <w:rPr>
          <w:color w:val="1C1C1C"/>
          <w:spacing w:val="-2"/>
          <w:w w:val="105"/>
          <w:sz w:val="21"/>
        </w:rPr>
        <w:t> </w:t>
      </w:r>
      <w:r>
        <w:rPr>
          <w:color w:val="1C1C1C"/>
          <w:w w:val="105"/>
          <w:sz w:val="21"/>
        </w:rPr>
        <w:t>sculptures</w:t>
      </w:r>
      <w:r>
        <w:rPr>
          <w:color w:val="5E5E5E"/>
          <w:w w:val="105"/>
          <w:sz w:val="21"/>
        </w:rPr>
        <w:t>.</w:t>
      </w:r>
      <w:r>
        <w:rPr>
          <w:color w:val="5E5E5E"/>
          <w:spacing w:val="40"/>
          <w:w w:val="105"/>
          <w:sz w:val="21"/>
        </w:rPr>
        <w:t> </w:t>
      </w:r>
      <w:r>
        <w:rPr>
          <w:color w:val="1C1C1C"/>
          <w:w w:val="105"/>
          <w:sz w:val="21"/>
        </w:rPr>
        <w:t>In add</w:t>
      </w:r>
      <w:r>
        <w:rPr>
          <w:color w:val="3B3B3B"/>
          <w:w w:val="105"/>
          <w:sz w:val="21"/>
        </w:rPr>
        <w:t>i</w:t>
      </w:r>
      <w:r>
        <w:rPr>
          <w:color w:val="1C1C1C"/>
          <w:w w:val="105"/>
          <w:sz w:val="21"/>
        </w:rPr>
        <w:t>tion</w:t>
      </w:r>
      <w:r>
        <w:rPr>
          <w:color w:val="4B4B4B"/>
          <w:w w:val="105"/>
          <w:sz w:val="21"/>
        </w:rPr>
        <w:t>,</w:t>
      </w:r>
      <w:r>
        <w:rPr>
          <w:color w:val="4B4B4B"/>
          <w:spacing w:val="-9"/>
          <w:w w:val="105"/>
          <w:sz w:val="21"/>
        </w:rPr>
        <w:t> </w:t>
      </w:r>
      <w:r>
        <w:rPr>
          <w:color w:val="1C1C1C"/>
          <w:w w:val="105"/>
          <w:sz w:val="21"/>
        </w:rPr>
        <w:t>the Council</w:t>
      </w:r>
      <w:r>
        <w:rPr>
          <w:color w:val="1C1C1C"/>
          <w:spacing w:val="-16"/>
          <w:w w:val="105"/>
          <w:sz w:val="21"/>
        </w:rPr>
        <w:t> </w:t>
      </w:r>
      <w:r>
        <w:rPr>
          <w:color w:val="1C1C1C"/>
          <w:w w:val="105"/>
          <w:sz w:val="21"/>
        </w:rPr>
        <w:t>holds</w:t>
      </w:r>
      <w:r>
        <w:rPr>
          <w:color w:val="1C1C1C"/>
          <w:spacing w:val="-12"/>
          <w:w w:val="105"/>
          <w:sz w:val="21"/>
        </w:rPr>
        <w:t> </w:t>
      </w:r>
      <w:r>
        <w:rPr>
          <w:color w:val="1C1C1C"/>
          <w:w w:val="105"/>
          <w:sz w:val="21"/>
        </w:rPr>
        <w:t>some</w:t>
      </w:r>
      <w:r>
        <w:rPr>
          <w:color w:val="1C1C1C"/>
          <w:spacing w:val="-13"/>
          <w:w w:val="105"/>
          <w:sz w:val="21"/>
        </w:rPr>
        <w:t> </w:t>
      </w:r>
      <w:r>
        <w:rPr>
          <w:color w:val="3B3B3B"/>
          <w:w w:val="105"/>
          <w:sz w:val="21"/>
        </w:rPr>
        <w:t>items</w:t>
      </w:r>
      <w:r>
        <w:rPr>
          <w:color w:val="3B3B3B"/>
          <w:spacing w:val="-7"/>
          <w:w w:val="105"/>
          <w:sz w:val="21"/>
        </w:rPr>
        <w:t> </w:t>
      </w:r>
      <w:r>
        <w:rPr>
          <w:color w:val="1C1C1C"/>
          <w:w w:val="105"/>
          <w:sz w:val="21"/>
        </w:rPr>
        <w:t>of</w:t>
      </w:r>
      <w:r>
        <w:rPr>
          <w:color w:val="1C1C1C"/>
          <w:spacing w:val="-16"/>
          <w:w w:val="105"/>
          <w:sz w:val="21"/>
        </w:rPr>
        <w:t> </w:t>
      </w:r>
      <w:r>
        <w:rPr>
          <w:color w:val="1C1C1C"/>
          <w:w w:val="105"/>
          <w:sz w:val="21"/>
        </w:rPr>
        <w:t>civic</w:t>
      </w:r>
      <w:r>
        <w:rPr>
          <w:color w:val="1C1C1C"/>
          <w:spacing w:val="-8"/>
          <w:w w:val="105"/>
          <w:sz w:val="21"/>
        </w:rPr>
        <w:t> </w:t>
      </w:r>
      <w:r>
        <w:rPr>
          <w:color w:val="1C1C1C"/>
          <w:w w:val="105"/>
          <w:sz w:val="21"/>
        </w:rPr>
        <w:t>regalia.</w:t>
      </w:r>
      <w:r>
        <w:rPr>
          <w:color w:val="1C1C1C"/>
          <w:spacing w:val="40"/>
          <w:w w:val="105"/>
          <w:sz w:val="21"/>
        </w:rPr>
        <w:t> </w:t>
      </w:r>
      <w:r>
        <w:rPr>
          <w:color w:val="1C1C1C"/>
          <w:w w:val="105"/>
          <w:sz w:val="21"/>
        </w:rPr>
        <w:t>The</w:t>
      </w:r>
      <w:r>
        <w:rPr>
          <w:color w:val="1C1C1C"/>
          <w:spacing w:val="-16"/>
          <w:w w:val="105"/>
          <w:sz w:val="21"/>
        </w:rPr>
        <w:t> </w:t>
      </w:r>
      <w:r>
        <w:rPr>
          <w:color w:val="1C1C1C"/>
          <w:w w:val="105"/>
          <w:sz w:val="21"/>
        </w:rPr>
        <w:t>collective value</w:t>
      </w:r>
      <w:r>
        <w:rPr>
          <w:color w:val="1C1C1C"/>
          <w:spacing w:val="-12"/>
          <w:w w:val="105"/>
          <w:sz w:val="21"/>
        </w:rPr>
        <w:t> </w:t>
      </w:r>
      <w:r>
        <w:rPr>
          <w:color w:val="1C1C1C"/>
          <w:w w:val="105"/>
          <w:sz w:val="21"/>
        </w:rPr>
        <w:t>of</w:t>
      </w:r>
      <w:r>
        <w:rPr>
          <w:color w:val="1C1C1C"/>
          <w:spacing w:val="-16"/>
          <w:w w:val="105"/>
          <w:sz w:val="21"/>
        </w:rPr>
        <w:t> </w:t>
      </w:r>
      <w:r>
        <w:rPr>
          <w:color w:val="1C1C1C"/>
          <w:w w:val="105"/>
          <w:sz w:val="21"/>
        </w:rPr>
        <w:t>these</w:t>
      </w:r>
      <w:r>
        <w:rPr>
          <w:color w:val="1C1C1C"/>
          <w:spacing w:val="-10"/>
          <w:w w:val="105"/>
          <w:sz w:val="21"/>
        </w:rPr>
        <w:t> </w:t>
      </w:r>
      <w:r>
        <w:rPr>
          <w:color w:val="1C1C1C"/>
          <w:w w:val="105"/>
          <w:sz w:val="21"/>
        </w:rPr>
        <w:t>assets</w:t>
      </w:r>
      <w:r>
        <w:rPr>
          <w:color w:val="1C1C1C"/>
          <w:spacing w:val="-8"/>
          <w:w w:val="105"/>
          <w:sz w:val="21"/>
        </w:rPr>
        <w:t> </w:t>
      </w:r>
      <w:r>
        <w:rPr>
          <w:color w:val="1C1C1C"/>
          <w:w w:val="105"/>
          <w:sz w:val="21"/>
        </w:rPr>
        <w:t>is</w:t>
      </w:r>
      <w:r>
        <w:rPr>
          <w:color w:val="1C1C1C"/>
          <w:spacing w:val="-16"/>
          <w:w w:val="105"/>
          <w:sz w:val="21"/>
        </w:rPr>
        <w:t> </w:t>
      </w:r>
      <w:r>
        <w:rPr>
          <w:color w:val="1C1C1C"/>
          <w:w w:val="105"/>
          <w:sz w:val="21"/>
        </w:rPr>
        <w:t>not</w:t>
      </w:r>
      <w:r>
        <w:rPr>
          <w:color w:val="1C1C1C"/>
          <w:spacing w:val="-14"/>
          <w:w w:val="105"/>
          <w:sz w:val="21"/>
        </w:rPr>
        <w:t> </w:t>
      </w:r>
      <w:r>
        <w:rPr>
          <w:color w:val="1C1C1C"/>
          <w:w w:val="105"/>
          <w:sz w:val="21"/>
        </w:rPr>
        <w:t>considered </w:t>
      </w:r>
      <w:r>
        <w:rPr>
          <w:color w:val="0C0C0C"/>
          <w:w w:val="105"/>
          <w:sz w:val="21"/>
        </w:rPr>
        <w:t>to be material.</w:t>
      </w:r>
    </w:p>
    <w:p>
      <w:pPr>
        <w:pStyle w:val="BodyText"/>
        <w:rPr>
          <w:sz w:val="21"/>
        </w:rPr>
      </w:pPr>
    </w:p>
    <w:p>
      <w:pPr>
        <w:pStyle w:val="BodyText"/>
        <w:spacing w:before="16"/>
        <w:rPr>
          <w:sz w:val="21"/>
        </w:rPr>
      </w:pPr>
    </w:p>
    <w:p>
      <w:pPr>
        <w:spacing w:before="0"/>
        <w:ind w:left="1484" w:right="0" w:firstLine="0"/>
        <w:jc w:val="both"/>
        <w:rPr>
          <w:sz w:val="21"/>
        </w:rPr>
      </w:pPr>
      <w:r>
        <w:rPr>
          <w:color w:val="0C0C0C"/>
          <w:spacing w:val="-2"/>
          <w:w w:val="105"/>
          <w:sz w:val="21"/>
        </w:rPr>
        <w:t>Carrying</w:t>
      </w:r>
      <w:r>
        <w:rPr>
          <w:color w:val="0C0C0C"/>
          <w:w w:val="105"/>
          <w:sz w:val="21"/>
        </w:rPr>
        <w:t> </w:t>
      </w:r>
      <w:r>
        <w:rPr>
          <w:color w:val="0C0C0C"/>
          <w:spacing w:val="-4"/>
          <w:w w:val="105"/>
          <w:sz w:val="21"/>
        </w:rPr>
        <w:t>value</w:t>
      </w:r>
    </w:p>
    <w:p>
      <w:pPr>
        <w:spacing w:before="134" w:line="252" w:lineRule="auto"/>
        <w:ind w:left="1477" w:right="1157" w:firstLine="3"/>
        <w:jc w:val="left"/>
        <w:rPr>
          <w:sz w:val="21"/>
        </w:rPr>
      </w:pPr>
      <w:r>
        <w:rPr>
          <w:color w:val="0C0C0C"/>
          <w:w w:val="105"/>
          <w:sz w:val="21"/>
        </w:rPr>
        <w:t>The</w:t>
      </w:r>
      <w:r>
        <w:rPr>
          <w:color w:val="0C0C0C"/>
          <w:spacing w:val="-15"/>
          <w:w w:val="105"/>
          <w:sz w:val="21"/>
        </w:rPr>
        <w:t> </w:t>
      </w:r>
      <w:r>
        <w:rPr>
          <w:color w:val="0C0C0C"/>
          <w:w w:val="105"/>
          <w:sz w:val="21"/>
        </w:rPr>
        <w:t>following</w:t>
      </w:r>
      <w:r>
        <w:rPr>
          <w:color w:val="0C0C0C"/>
          <w:spacing w:val="-4"/>
          <w:w w:val="105"/>
          <w:sz w:val="21"/>
        </w:rPr>
        <w:t> </w:t>
      </w:r>
      <w:r>
        <w:rPr>
          <w:color w:val="0C0C0C"/>
          <w:w w:val="105"/>
          <w:sz w:val="21"/>
        </w:rPr>
        <w:t>table summarises the</w:t>
      </w:r>
      <w:r>
        <w:rPr>
          <w:color w:val="0C0C0C"/>
          <w:spacing w:val="-10"/>
          <w:w w:val="105"/>
          <w:sz w:val="21"/>
        </w:rPr>
        <w:t> </w:t>
      </w:r>
      <w:r>
        <w:rPr>
          <w:color w:val="0C0C0C"/>
          <w:w w:val="105"/>
          <w:sz w:val="21"/>
        </w:rPr>
        <w:t>movement in</w:t>
      </w:r>
      <w:r>
        <w:rPr>
          <w:color w:val="0C0C0C"/>
          <w:spacing w:val="-14"/>
          <w:w w:val="105"/>
          <w:sz w:val="21"/>
        </w:rPr>
        <w:t> </w:t>
      </w:r>
      <w:r>
        <w:rPr>
          <w:color w:val="0C0C0C"/>
          <w:w w:val="105"/>
          <w:sz w:val="21"/>
        </w:rPr>
        <w:t>the</w:t>
      </w:r>
      <w:r>
        <w:rPr>
          <w:color w:val="0C0C0C"/>
          <w:spacing w:val="-5"/>
          <w:w w:val="105"/>
          <w:sz w:val="21"/>
        </w:rPr>
        <w:t> </w:t>
      </w:r>
      <w:r>
        <w:rPr>
          <w:color w:val="0C0C0C"/>
          <w:w w:val="105"/>
          <w:sz w:val="21"/>
        </w:rPr>
        <w:t>carrying value</w:t>
      </w:r>
      <w:r>
        <w:rPr>
          <w:color w:val="0C0C0C"/>
          <w:spacing w:val="-2"/>
          <w:w w:val="105"/>
          <w:sz w:val="21"/>
        </w:rPr>
        <w:t> </w:t>
      </w:r>
      <w:r>
        <w:rPr>
          <w:color w:val="0C0C0C"/>
          <w:w w:val="105"/>
          <w:sz w:val="21"/>
        </w:rPr>
        <w:t>of</w:t>
      </w:r>
      <w:r>
        <w:rPr>
          <w:color w:val="0C0C0C"/>
          <w:spacing w:val="-10"/>
          <w:w w:val="105"/>
          <w:sz w:val="21"/>
        </w:rPr>
        <w:t> </w:t>
      </w:r>
      <w:r>
        <w:rPr>
          <w:color w:val="0C0C0C"/>
          <w:w w:val="105"/>
          <w:sz w:val="21"/>
        </w:rPr>
        <w:t>heritage assets over the year</w:t>
      </w:r>
      <w:r>
        <w:rPr>
          <w:color w:val="3B3B3B"/>
          <w:w w:val="105"/>
          <w:sz w:val="21"/>
        </w:rPr>
        <w:t>:</w:t>
      </w:r>
    </w:p>
    <w:p>
      <w:pPr>
        <w:pStyle w:val="BodyText"/>
        <w:spacing w:before="24"/>
        <w:rPr>
          <w:sz w:val="20"/>
        </w:rPr>
      </w:pPr>
    </w:p>
    <w:tbl>
      <w:tblPr>
        <w:tblW w:w="0" w:type="auto"/>
        <w:jc w:val="left"/>
        <w:tblInd w:w="157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521"/>
        <w:gridCol w:w="1530"/>
        <w:gridCol w:w="1335"/>
        <w:gridCol w:w="1411"/>
        <w:gridCol w:w="1300"/>
        <w:gridCol w:w="62"/>
      </w:tblGrid>
      <w:tr>
        <w:trPr>
          <w:trHeight w:val="968" w:hRule="atLeast"/>
        </w:trPr>
        <w:tc>
          <w:tcPr>
            <w:tcW w:w="3521" w:type="dxa"/>
          </w:tcPr>
          <w:p>
            <w:pPr>
              <w:pStyle w:val="TableParagraph"/>
              <w:spacing w:line="235" w:lineRule="exact"/>
              <w:ind w:left="105"/>
              <w:rPr>
                <w:b/>
                <w:sz w:val="21"/>
              </w:rPr>
            </w:pPr>
            <w:r>
              <w:rPr>
                <w:b/>
                <w:color w:val="0C0C0C"/>
                <w:sz w:val="21"/>
              </w:rPr>
              <w:t>2022-</w:t>
            </w:r>
            <w:r>
              <w:rPr>
                <w:b/>
                <w:color w:val="0C0C0C"/>
                <w:spacing w:val="-5"/>
                <w:sz w:val="21"/>
              </w:rPr>
              <w:t>23</w:t>
            </w:r>
          </w:p>
        </w:tc>
        <w:tc>
          <w:tcPr>
            <w:tcW w:w="1530" w:type="dxa"/>
          </w:tcPr>
          <w:p>
            <w:pPr>
              <w:pStyle w:val="TableParagraph"/>
              <w:rPr>
                <w:sz w:val="21"/>
              </w:rPr>
            </w:pPr>
          </w:p>
          <w:p>
            <w:pPr>
              <w:pStyle w:val="TableParagraph"/>
              <w:spacing w:before="87"/>
              <w:rPr>
                <w:sz w:val="21"/>
              </w:rPr>
            </w:pPr>
          </w:p>
          <w:p>
            <w:pPr>
              <w:pStyle w:val="TableParagraph"/>
              <w:ind w:left="325"/>
              <w:rPr>
                <w:b/>
                <w:sz w:val="21"/>
              </w:rPr>
            </w:pPr>
            <w:r>
              <w:rPr>
                <w:b/>
                <w:color w:val="0C0C0C"/>
                <w:spacing w:val="-2"/>
                <w:w w:val="105"/>
                <w:sz w:val="21"/>
              </w:rPr>
              <w:t>Artwork</w:t>
            </w:r>
          </w:p>
        </w:tc>
        <w:tc>
          <w:tcPr>
            <w:tcW w:w="1335" w:type="dxa"/>
          </w:tcPr>
          <w:p>
            <w:pPr>
              <w:pStyle w:val="TableParagraph"/>
              <w:spacing w:before="78"/>
              <w:rPr>
                <w:sz w:val="21"/>
              </w:rPr>
            </w:pPr>
          </w:p>
          <w:p>
            <w:pPr>
              <w:pStyle w:val="TableParagraph"/>
              <w:spacing w:line="247" w:lineRule="auto"/>
              <w:ind w:left="213" w:firstLine="114"/>
              <w:rPr>
                <w:b/>
                <w:sz w:val="21"/>
              </w:rPr>
            </w:pPr>
            <w:r>
              <w:rPr>
                <w:b/>
                <w:color w:val="0C0C0C"/>
                <w:spacing w:val="-4"/>
                <w:w w:val="105"/>
                <w:sz w:val="21"/>
              </w:rPr>
              <w:t>Rose Garden</w:t>
            </w:r>
          </w:p>
        </w:tc>
        <w:tc>
          <w:tcPr>
            <w:tcW w:w="1411" w:type="dxa"/>
          </w:tcPr>
          <w:p>
            <w:pPr>
              <w:pStyle w:val="TableParagraph"/>
              <w:spacing w:before="73"/>
              <w:rPr>
                <w:sz w:val="21"/>
              </w:rPr>
            </w:pPr>
          </w:p>
          <w:p>
            <w:pPr>
              <w:pStyle w:val="TableParagraph"/>
              <w:spacing w:before="1" w:line="252" w:lineRule="auto"/>
              <w:ind w:left="161" w:firstLine="273"/>
              <w:rPr>
                <w:b/>
                <w:sz w:val="21"/>
              </w:rPr>
            </w:pPr>
            <w:r>
              <w:rPr>
                <w:b/>
                <w:color w:val="0C0C0C"/>
                <w:spacing w:val="-4"/>
                <w:w w:val="105"/>
                <w:sz w:val="21"/>
              </w:rPr>
              <w:t>War Memorial</w:t>
            </w:r>
          </w:p>
        </w:tc>
        <w:tc>
          <w:tcPr>
            <w:tcW w:w="1362" w:type="dxa"/>
            <w:gridSpan w:val="2"/>
          </w:tcPr>
          <w:p>
            <w:pPr>
              <w:pStyle w:val="TableParagraph"/>
              <w:spacing w:before="60" w:line="249" w:lineRule="auto"/>
              <w:ind w:left="183" w:right="301" w:firstLine="4"/>
              <w:jc w:val="center"/>
              <w:rPr>
                <w:b/>
                <w:sz w:val="21"/>
              </w:rPr>
            </w:pPr>
            <w:r>
              <w:rPr>
                <w:b/>
                <w:color w:val="0C0C0C"/>
                <w:spacing w:val="-4"/>
                <w:w w:val="105"/>
                <w:sz w:val="21"/>
              </w:rPr>
              <w:t>Total </w:t>
            </w:r>
            <w:r>
              <w:rPr>
                <w:b/>
                <w:color w:val="0C0C0C"/>
                <w:spacing w:val="-2"/>
                <w:w w:val="105"/>
                <w:sz w:val="21"/>
              </w:rPr>
              <w:t>Heritage Assets</w:t>
            </w:r>
          </w:p>
        </w:tc>
      </w:tr>
      <w:tr>
        <w:trPr>
          <w:trHeight w:val="420" w:hRule="atLeast"/>
        </w:trPr>
        <w:tc>
          <w:tcPr>
            <w:tcW w:w="3521" w:type="dxa"/>
          </w:tcPr>
          <w:p>
            <w:pPr>
              <w:pStyle w:val="TableParagraph"/>
              <w:rPr>
                <w:rFonts w:ascii="Times New Roman"/>
                <w:sz w:val="20"/>
              </w:rPr>
            </w:pPr>
          </w:p>
        </w:tc>
        <w:tc>
          <w:tcPr>
            <w:tcW w:w="1530" w:type="dxa"/>
          </w:tcPr>
          <w:p>
            <w:pPr>
              <w:pStyle w:val="TableParagraph"/>
              <w:spacing w:before="159" w:line="241" w:lineRule="exact"/>
              <w:ind w:left="492"/>
              <w:rPr>
                <w:b/>
                <w:sz w:val="21"/>
              </w:rPr>
            </w:pPr>
            <w:r>
              <w:rPr>
                <w:b/>
                <w:color w:val="0C0C0C"/>
                <w:spacing w:val="-4"/>
                <w:w w:val="105"/>
                <w:sz w:val="21"/>
              </w:rPr>
              <w:t>£000</w:t>
            </w:r>
          </w:p>
        </w:tc>
        <w:tc>
          <w:tcPr>
            <w:tcW w:w="1335" w:type="dxa"/>
          </w:tcPr>
          <w:p>
            <w:pPr>
              <w:pStyle w:val="TableParagraph"/>
              <w:spacing w:before="154"/>
              <w:ind w:left="347"/>
              <w:rPr>
                <w:b/>
                <w:sz w:val="21"/>
              </w:rPr>
            </w:pPr>
            <w:r>
              <w:rPr>
                <w:b/>
                <w:color w:val="0C0C0C"/>
                <w:spacing w:val="-4"/>
                <w:w w:val="105"/>
                <w:sz w:val="21"/>
              </w:rPr>
              <w:t>£000</w:t>
            </w:r>
          </w:p>
        </w:tc>
        <w:tc>
          <w:tcPr>
            <w:tcW w:w="1411" w:type="dxa"/>
          </w:tcPr>
          <w:p>
            <w:pPr>
              <w:pStyle w:val="TableParagraph"/>
              <w:spacing w:before="154"/>
              <w:ind w:left="391"/>
              <w:rPr>
                <w:b/>
                <w:sz w:val="21"/>
              </w:rPr>
            </w:pPr>
            <w:r>
              <w:rPr>
                <w:b/>
                <w:color w:val="0C0C0C"/>
                <w:spacing w:val="-4"/>
                <w:w w:val="105"/>
                <w:sz w:val="21"/>
              </w:rPr>
              <w:t>£000</w:t>
            </w:r>
          </w:p>
        </w:tc>
        <w:tc>
          <w:tcPr>
            <w:tcW w:w="1362" w:type="dxa"/>
            <w:gridSpan w:val="2"/>
          </w:tcPr>
          <w:p>
            <w:pPr>
              <w:pStyle w:val="TableParagraph"/>
              <w:spacing w:before="150"/>
              <w:ind w:left="370"/>
              <w:rPr>
                <w:b/>
                <w:sz w:val="21"/>
              </w:rPr>
            </w:pPr>
            <w:r>
              <w:rPr>
                <w:b/>
                <w:color w:val="0C0C0C"/>
                <w:spacing w:val="-4"/>
                <w:w w:val="105"/>
                <w:sz w:val="21"/>
              </w:rPr>
              <w:t>£000</w:t>
            </w:r>
          </w:p>
        </w:tc>
      </w:tr>
      <w:tr>
        <w:trPr>
          <w:trHeight w:val="266" w:hRule="atLeast"/>
        </w:trPr>
        <w:tc>
          <w:tcPr>
            <w:tcW w:w="3521" w:type="dxa"/>
          </w:tcPr>
          <w:p>
            <w:pPr>
              <w:pStyle w:val="TableParagraph"/>
              <w:spacing w:before="13" w:line="234" w:lineRule="exact"/>
              <w:ind w:left="86"/>
              <w:rPr>
                <w:b/>
                <w:sz w:val="21"/>
              </w:rPr>
            </w:pPr>
            <w:r>
              <w:rPr>
                <w:b/>
                <w:color w:val="0C0C0C"/>
                <w:w w:val="105"/>
                <w:sz w:val="21"/>
              </w:rPr>
              <w:t>Gross</w:t>
            </w:r>
            <w:r>
              <w:rPr>
                <w:b/>
                <w:color w:val="0C0C0C"/>
                <w:spacing w:val="-13"/>
                <w:w w:val="105"/>
                <w:sz w:val="21"/>
              </w:rPr>
              <w:t> </w:t>
            </w:r>
            <w:r>
              <w:rPr>
                <w:b/>
                <w:color w:val="0C0C0C"/>
                <w:w w:val="105"/>
                <w:sz w:val="21"/>
              </w:rPr>
              <w:t>Carrying</w:t>
            </w:r>
            <w:r>
              <w:rPr>
                <w:b/>
                <w:color w:val="0C0C0C"/>
                <w:spacing w:val="2"/>
                <w:w w:val="105"/>
                <w:sz w:val="21"/>
              </w:rPr>
              <w:t> </w:t>
            </w:r>
            <w:r>
              <w:rPr>
                <w:b/>
                <w:color w:val="0C0C0C"/>
                <w:spacing w:val="-2"/>
                <w:w w:val="105"/>
                <w:sz w:val="21"/>
              </w:rPr>
              <w:t>Amounts</w:t>
            </w:r>
          </w:p>
        </w:tc>
        <w:tc>
          <w:tcPr>
            <w:tcW w:w="1530" w:type="dxa"/>
          </w:tcPr>
          <w:p>
            <w:pPr>
              <w:pStyle w:val="TableParagraph"/>
              <w:rPr>
                <w:rFonts w:ascii="Times New Roman"/>
                <w:sz w:val="18"/>
              </w:rPr>
            </w:pPr>
          </w:p>
        </w:tc>
        <w:tc>
          <w:tcPr>
            <w:tcW w:w="1335" w:type="dxa"/>
          </w:tcPr>
          <w:p>
            <w:pPr>
              <w:pStyle w:val="TableParagraph"/>
              <w:rPr>
                <w:rFonts w:ascii="Times New Roman"/>
                <w:sz w:val="18"/>
              </w:rPr>
            </w:pPr>
          </w:p>
        </w:tc>
        <w:tc>
          <w:tcPr>
            <w:tcW w:w="1411" w:type="dxa"/>
          </w:tcPr>
          <w:p>
            <w:pPr>
              <w:pStyle w:val="TableParagraph"/>
              <w:rPr>
                <w:rFonts w:ascii="Times New Roman"/>
                <w:sz w:val="18"/>
              </w:rPr>
            </w:pPr>
          </w:p>
        </w:tc>
        <w:tc>
          <w:tcPr>
            <w:tcW w:w="1362" w:type="dxa"/>
            <w:gridSpan w:val="2"/>
          </w:tcPr>
          <w:p>
            <w:pPr>
              <w:pStyle w:val="TableParagraph"/>
              <w:rPr>
                <w:rFonts w:ascii="Times New Roman"/>
                <w:sz w:val="18"/>
              </w:rPr>
            </w:pPr>
          </w:p>
        </w:tc>
      </w:tr>
      <w:tr>
        <w:trPr>
          <w:trHeight w:val="273" w:hRule="atLeast"/>
        </w:trPr>
        <w:tc>
          <w:tcPr>
            <w:tcW w:w="3521" w:type="dxa"/>
          </w:tcPr>
          <w:p>
            <w:pPr>
              <w:pStyle w:val="TableParagraph"/>
              <w:spacing w:before="10"/>
              <w:ind w:left="82"/>
              <w:rPr>
                <w:b/>
                <w:sz w:val="21"/>
              </w:rPr>
            </w:pPr>
            <w:r>
              <w:rPr>
                <w:b/>
                <w:color w:val="0C0C0C"/>
                <w:w w:val="105"/>
                <w:sz w:val="21"/>
              </w:rPr>
              <w:t>At</w:t>
            </w:r>
            <w:r>
              <w:rPr>
                <w:b/>
                <w:color w:val="0C0C0C"/>
                <w:spacing w:val="-7"/>
                <w:w w:val="105"/>
                <w:sz w:val="21"/>
              </w:rPr>
              <w:t> </w:t>
            </w:r>
            <w:r>
              <w:rPr>
                <w:b/>
                <w:color w:val="0C0C0C"/>
                <w:w w:val="105"/>
                <w:sz w:val="21"/>
              </w:rPr>
              <w:t>1</w:t>
            </w:r>
            <w:r>
              <w:rPr>
                <w:b/>
                <w:color w:val="0C0C0C"/>
                <w:spacing w:val="3"/>
                <w:w w:val="105"/>
                <w:sz w:val="21"/>
              </w:rPr>
              <w:t> </w:t>
            </w:r>
            <w:r>
              <w:rPr>
                <w:b/>
                <w:color w:val="0C0C0C"/>
                <w:spacing w:val="-2"/>
                <w:w w:val="105"/>
                <w:sz w:val="21"/>
              </w:rPr>
              <w:t>April</w:t>
            </w:r>
          </w:p>
        </w:tc>
        <w:tc>
          <w:tcPr>
            <w:tcW w:w="1530" w:type="dxa"/>
          </w:tcPr>
          <w:p>
            <w:pPr>
              <w:pStyle w:val="TableParagraph"/>
              <w:spacing w:before="10"/>
              <w:ind w:right="211"/>
              <w:jc w:val="right"/>
              <w:rPr>
                <w:b/>
                <w:sz w:val="21"/>
              </w:rPr>
            </w:pPr>
            <w:r>
              <w:rPr>
                <w:b/>
                <w:color w:val="0C0C0C"/>
                <w:spacing w:val="-5"/>
                <w:w w:val="105"/>
                <w:sz w:val="21"/>
              </w:rPr>
              <w:t>110</w:t>
            </w:r>
          </w:p>
        </w:tc>
        <w:tc>
          <w:tcPr>
            <w:tcW w:w="1335" w:type="dxa"/>
          </w:tcPr>
          <w:p>
            <w:pPr>
              <w:pStyle w:val="TableParagraph"/>
              <w:spacing w:before="10"/>
              <w:ind w:right="160"/>
              <w:jc w:val="right"/>
              <w:rPr>
                <w:b/>
                <w:sz w:val="21"/>
              </w:rPr>
            </w:pPr>
            <w:r>
              <w:rPr>
                <w:b/>
                <w:color w:val="0C0C0C"/>
                <w:spacing w:val="-4"/>
                <w:w w:val="105"/>
                <w:sz w:val="21"/>
              </w:rPr>
              <w:t>1,353</w:t>
            </w:r>
          </w:p>
        </w:tc>
        <w:tc>
          <w:tcPr>
            <w:tcW w:w="1411" w:type="dxa"/>
          </w:tcPr>
          <w:p>
            <w:pPr>
              <w:pStyle w:val="TableParagraph"/>
              <w:spacing w:before="10"/>
              <w:ind w:right="181"/>
              <w:jc w:val="right"/>
              <w:rPr>
                <w:b/>
                <w:sz w:val="21"/>
              </w:rPr>
            </w:pPr>
            <w:r>
              <w:rPr>
                <w:b/>
                <w:color w:val="0C0C0C"/>
                <w:spacing w:val="-5"/>
                <w:w w:val="110"/>
                <w:sz w:val="21"/>
              </w:rPr>
              <w:t>50</w:t>
            </w:r>
          </w:p>
        </w:tc>
        <w:tc>
          <w:tcPr>
            <w:tcW w:w="1362" w:type="dxa"/>
            <w:gridSpan w:val="2"/>
          </w:tcPr>
          <w:p>
            <w:pPr>
              <w:pStyle w:val="TableParagraph"/>
              <w:spacing w:before="5"/>
              <w:ind w:left="648"/>
              <w:rPr>
                <w:b/>
                <w:sz w:val="21"/>
              </w:rPr>
            </w:pPr>
            <w:r>
              <w:rPr>
                <w:b/>
                <w:color w:val="0C0C0C"/>
                <w:spacing w:val="-4"/>
                <w:w w:val="105"/>
                <w:sz w:val="21"/>
              </w:rPr>
              <w:t>1,513</w:t>
            </w:r>
          </w:p>
        </w:tc>
      </w:tr>
      <w:tr>
        <w:trPr>
          <w:trHeight w:val="256" w:hRule="atLeast"/>
        </w:trPr>
        <w:tc>
          <w:tcPr>
            <w:tcW w:w="3521" w:type="dxa"/>
          </w:tcPr>
          <w:p>
            <w:pPr>
              <w:pStyle w:val="TableParagraph"/>
              <w:spacing w:before="15" w:line="222" w:lineRule="exact"/>
              <w:ind w:left="77"/>
              <w:rPr>
                <w:sz w:val="21"/>
              </w:rPr>
            </w:pPr>
            <w:r>
              <w:rPr>
                <w:color w:val="0C0C0C"/>
                <w:w w:val="105"/>
                <w:sz w:val="21"/>
              </w:rPr>
              <w:t>Additions </w:t>
            </w:r>
            <w:r>
              <w:rPr>
                <w:color w:val="1C1C1C"/>
                <w:w w:val="105"/>
                <w:sz w:val="21"/>
              </w:rPr>
              <w:t>in</w:t>
            </w:r>
            <w:r>
              <w:rPr>
                <w:color w:val="1C1C1C"/>
                <w:spacing w:val="-2"/>
                <w:w w:val="105"/>
                <w:sz w:val="21"/>
              </w:rPr>
              <w:t> </w:t>
            </w:r>
            <w:r>
              <w:rPr>
                <w:color w:val="0C0C0C"/>
                <w:spacing w:val="-4"/>
                <w:w w:val="105"/>
                <w:sz w:val="21"/>
              </w:rPr>
              <w:t>year</w:t>
            </w:r>
          </w:p>
        </w:tc>
        <w:tc>
          <w:tcPr>
            <w:tcW w:w="1530" w:type="dxa"/>
          </w:tcPr>
          <w:p>
            <w:pPr>
              <w:pStyle w:val="TableParagraph"/>
              <w:rPr>
                <w:rFonts w:ascii="Times New Roman"/>
                <w:sz w:val="18"/>
              </w:rPr>
            </w:pPr>
          </w:p>
        </w:tc>
        <w:tc>
          <w:tcPr>
            <w:tcW w:w="1335" w:type="dxa"/>
          </w:tcPr>
          <w:p>
            <w:pPr>
              <w:pStyle w:val="TableParagraph"/>
              <w:rPr>
                <w:rFonts w:ascii="Times New Roman"/>
                <w:sz w:val="18"/>
              </w:rPr>
            </w:pPr>
          </w:p>
        </w:tc>
        <w:tc>
          <w:tcPr>
            <w:tcW w:w="1411" w:type="dxa"/>
          </w:tcPr>
          <w:p>
            <w:pPr>
              <w:pStyle w:val="TableParagraph"/>
              <w:rPr>
                <w:rFonts w:ascii="Times New Roman"/>
                <w:sz w:val="18"/>
              </w:rPr>
            </w:pPr>
          </w:p>
        </w:tc>
        <w:tc>
          <w:tcPr>
            <w:tcW w:w="1362" w:type="dxa"/>
            <w:gridSpan w:val="2"/>
          </w:tcPr>
          <w:p>
            <w:pPr>
              <w:pStyle w:val="TableParagraph"/>
              <w:rPr>
                <w:rFonts w:ascii="Times New Roman"/>
                <w:sz w:val="18"/>
              </w:rPr>
            </w:pPr>
          </w:p>
        </w:tc>
      </w:tr>
      <w:tr>
        <w:trPr>
          <w:trHeight w:val="278" w:hRule="atLeast"/>
        </w:trPr>
        <w:tc>
          <w:tcPr>
            <w:tcW w:w="9159" w:type="dxa"/>
            <w:gridSpan w:val="6"/>
          </w:tcPr>
          <w:p>
            <w:pPr>
              <w:pStyle w:val="TableParagraph"/>
              <w:tabs>
                <w:tab w:val="left" w:leader="none" w:pos="3548"/>
                <w:tab w:val="left" w:leader="none" w:pos="9158"/>
              </w:tabs>
              <w:spacing w:before="37" w:line="222" w:lineRule="exact"/>
              <w:ind w:left="71" w:right="-15"/>
              <w:rPr>
                <w:sz w:val="21"/>
              </w:rPr>
            </w:pPr>
            <w:r>
              <w:rPr>
                <w:color w:val="0C0C0C"/>
                <w:w w:val="105"/>
                <w:sz w:val="21"/>
              </w:rPr>
              <w:t>Valuation</w:t>
            </w:r>
            <w:r>
              <w:rPr>
                <w:color w:val="0C0C0C"/>
                <w:spacing w:val="-14"/>
                <w:w w:val="105"/>
                <w:sz w:val="21"/>
              </w:rPr>
              <w:t> </w:t>
            </w:r>
            <w:r>
              <w:rPr>
                <w:color w:val="0C0C0C"/>
                <w:spacing w:val="-2"/>
                <w:w w:val="105"/>
                <w:sz w:val="21"/>
              </w:rPr>
              <w:t>movements</w:t>
            </w:r>
            <w:r>
              <w:rPr>
                <w:color w:val="0C0C0C"/>
                <w:sz w:val="21"/>
              </w:rPr>
              <w:tab/>
            </w:r>
            <w:r>
              <w:rPr>
                <w:color w:val="0C0C0C"/>
                <w:sz w:val="21"/>
                <w:u w:val="single" w:color="000000"/>
              </w:rPr>
              <w:tab/>
            </w:r>
          </w:p>
        </w:tc>
      </w:tr>
      <w:tr>
        <w:trPr>
          <w:trHeight w:val="284" w:hRule="atLeast"/>
        </w:trPr>
        <w:tc>
          <w:tcPr>
            <w:tcW w:w="3521" w:type="dxa"/>
          </w:tcPr>
          <w:p>
            <w:pPr>
              <w:pStyle w:val="TableParagraph"/>
              <w:spacing w:before="42" w:line="222" w:lineRule="exact"/>
              <w:ind w:left="72"/>
              <w:rPr>
                <w:b/>
                <w:sz w:val="21"/>
              </w:rPr>
            </w:pPr>
            <w:r>
              <w:rPr>
                <w:b/>
                <w:color w:val="0C0C0C"/>
                <w:w w:val="105"/>
                <w:sz w:val="21"/>
              </w:rPr>
              <w:t>At</w:t>
            </w:r>
            <w:r>
              <w:rPr>
                <w:b/>
                <w:color w:val="0C0C0C"/>
                <w:spacing w:val="-5"/>
                <w:w w:val="105"/>
                <w:sz w:val="21"/>
              </w:rPr>
              <w:t> </w:t>
            </w:r>
            <w:r>
              <w:rPr>
                <w:b/>
                <w:color w:val="0C0C0C"/>
                <w:w w:val="105"/>
                <w:sz w:val="21"/>
              </w:rPr>
              <w:t>31</w:t>
            </w:r>
            <w:r>
              <w:rPr>
                <w:b/>
                <w:color w:val="0C0C0C"/>
                <w:spacing w:val="-8"/>
                <w:w w:val="105"/>
                <w:sz w:val="21"/>
              </w:rPr>
              <w:t> </w:t>
            </w:r>
            <w:r>
              <w:rPr>
                <w:b/>
                <w:color w:val="0C0C0C"/>
                <w:spacing w:val="-2"/>
                <w:w w:val="105"/>
                <w:sz w:val="21"/>
              </w:rPr>
              <w:t>March</w:t>
            </w:r>
          </w:p>
        </w:tc>
        <w:tc>
          <w:tcPr>
            <w:tcW w:w="1530" w:type="dxa"/>
            <w:tcBorders>
              <w:bottom w:val="single" w:color="000000" w:sz="6" w:space="0"/>
            </w:tcBorders>
          </w:tcPr>
          <w:p>
            <w:pPr>
              <w:pStyle w:val="TableParagraph"/>
              <w:spacing w:before="42" w:line="222" w:lineRule="exact"/>
              <w:ind w:right="216"/>
              <w:jc w:val="right"/>
              <w:rPr>
                <w:b/>
                <w:sz w:val="21"/>
              </w:rPr>
            </w:pPr>
            <w:r>
              <w:rPr>
                <w:b/>
                <w:color w:val="0C0C0C"/>
                <w:spacing w:val="-5"/>
                <w:w w:val="105"/>
                <w:sz w:val="21"/>
              </w:rPr>
              <w:t>110</w:t>
            </w:r>
          </w:p>
        </w:tc>
        <w:tc>
          <w:tcPr>
            <w:tcW w:w="1335" w:type="dxa"/>
            <w:tcBorders>
              <w:bottom w:val="single" w:color="000000" w:sz="6" w:space="0"/>
            </w:tcBorders>
          </w:tcPr>
          <w:p>
            <w:pPr>
              <w:pStyle w:val="TableParagraph"/>
              <w:spacing w:before="37" w:line="227" w:lineRule="exact"/>
              <w:ind w:right="165"/>
              <w:jc w:val="right"/>
              <w:rPr>
                <w:b/>
                <w:sz w:val="21"/>
              </w:rPr>
            </w:pPr>
            <w:r>
              <w:rPr>
                <w:b/>
                <w:color w:val="0C0C0C"/>
                <w:spacing w:val="-4"/>
                <w:w w:val="105"/>
                <w:sz w:val="21"/>
              </w:rPr>
              <w:t>1,353</w:t>
            </w:r>
          </w:p>
        </w:tc>
        <w:tc>
          <w:tcPr>
            <w:tcW w:w="1411" w:type="dxa"/>
            <w:tcBorders>
              <w:bottom w:val="single" w:color="000000" w:sz="6" w:space="0"/>
            </w:tcBorders>
          </w:tcPr>
          <w:p>
            <w:pPr>
              <w:pStyle w:val="TableParagraph"/>
              <w:spacing w:before="37" w:line="227" w:lineRule="exact"/>
              <w:ind w:right="185"/>
              <w:jc w:val="right"/>
              <w:rPr>
                <w:b/>
                <w:sz w:val="21"/>
              </w:rPr>
            </w:pPr>
            <w:r>
              <w:rPr>
                <w:b/>
                <w:color w:val="0C0C0C"/>
                <w:spacing w:val="-5"/>
                <w:w w:val="110"/>
                <w:sz w:val="21"/>
              </w:rPr>
              <w:t>50</w:t>
            </w:r>
          </w:p>
        </w:tc>
        <w:tc>
          <w:tcPr>
            <w:tcW w:w="1300" w:type="dxa"/>
            <w:tcBorders>
              <w:bottom w:val="single" w:color="000000" w:sz="6" w:space="0"/>
            </w:tcBorders>
          </w:tcPr>
          <w:p>
            <w:pPr>
              <w:pStyle w:val="TableParagraph"/>
              <w:spacing w:before="37" w:line="227" w:lineRule="exact"/>
              <w:ind w:right="112"/>
              <w:jc w:val="right"/>
              <w:rPr>
                <w:b/>
                <w:sz w:val="21"/>
              </w:rPr>
            </w:pPr>
            <w:r>
              <w:rPr>
                <w:b/>
                <w:color w:val="0C0C0C"/>
                <w:spacing w:val="-4"/>
                <w:w w:val="105"/>
                <w:sz w:val="21"/>
              </w:rPr>
              <w:t>1,513</w:t>
            </w:r>
          </w:p>
        </w:tc>
        <w:tc>
          <w:tcPr>
            <w:tcW w:w="62" w:type="dxa"/>
          </w:tcPr>
          <w:p>
            <w:pPr>
              <w:pStyle w:val="TableParagraph"/>
              <w:rPr>
                <w:rFonts w:ascii="Times New Roman"/>
                <w:sz w:val="20"/>
              </w:rPr>
            </w:pPr>
          </w:p>
        </w:tc>
      </w:tr>
      <w:tr>
        <w:trPr>
          <w:trHeight w:val="284" w:hRule="atLeast"/>
        </w:trPr>
        <w:tc>
          <w:tcPr>
            <w:tcW w:w="3521" w:type="dxa"/>
          </w:tcPr>
          <w:p>
            <w:pPr>
              <w:pStyle w:val="TableParagraph"/>
              <w:spacing w:before="26" w:line="239" w:lineRule="exact"/>
              <w:ind w:left="66"/>
              <w:rPr>
                <w:b/>
                <w:sz w:val="21"/>
              </w:rPr>
            </w:pPr>
            <w:r>
              <w:rPr>
                <w:b/>
                <w:color w:val="0C0C0C"/>
                <w:spacing w:val="-2"/>
                <w:w w:val="105"/>
                <w:sz w:val="21"/>
              </w:rPr>
              <w:t>Depreciation</w:t>
            </w:r>
          </w:p>
        </w:tc>
        <w:tc>
          <w:tcPr>
            <w:tcW w:w="1530" w:type="dxa"/>
            <w:tcBorders>
              <w:top w:val="single" w:color="000000" w:sz="6" w:space="0"/>
            </w:tcBorders>
          </w:tcPr>
          <w:p>
            <w:pPr>
              <w:pStyle w:val="TableParagraph"/>
              <w:rPr>
                <w:rFonts w:ascii="Times New Roman"/>
                <w:sz w:val="20"/>
              </w:rPr>
            </w:pPr>
          </w:p>
        </w:tc>
        <w:tc>
          <w:tcPr>
            <w:tcW w:w="1335" w:type="dxa"/>
            <w:tcBorders>
              <w:top w:val="single" w:color="000000" w:sz="6" w:space="0"/>
            </w:tcBorders>
          </w:tcPr>
          <w:p>
            <w:pPr>
              <w:pStyle w:val="TableParagraph"/>
              <w:rPr>
                <w:rFonts w:ascii="Times New Roman"/>
                <w:sz w:val="20"/>
              </w:rPr>
            </w:pPr>
          </w:p>
        </w:tc>
        <w:tc>
          <w:tcPr>
            <w:tcW w:w="1411" w:type="dxa"/>
            <w:tcBorders>
              <w:top w:val="single" w:color="000000" w:sz="6" w:space="0"/>
            </w:tcBorders>
          </w:tcPr>
          <w:p>
            <w:pPr>
              <w:pStyle w:val="TableParagraph"/>
              <w:rPr>
                <w:rFonts w:ascii="Times New Roman"/>
                <w:sz w:val="20"/>
              </w:rPr>
            </w:pPr>
          </w:p>
        </w:tc>
        <w:tc>
          <w:tcPr>
            <w:tcW w:w="1300" w:type="dxa"/>
            <w:tcBorders>
              <w:top w:val="single" w:color="000000" w:sz="6" w:space="0"/>
            </w:tcBorders>
          </w:tcPr>
          <w:p>
            <w:pPr>
              <w:pStyle w:val="TableParagraph"/>
              <w:rPr>
                <w:rFonts w:ascii="Times New Roman"/>
                <w:sz w:val="20"/>
              </w:rPr>
            </w:pPr>
          </w:p>
        </w:tc>
        <w:tc>
          <w:tcPr>
            <w:tcW w:w="62" w:type="dxa"/>
          </w:tcPr>
          <w:p>
            <w:pPr>
              <w:pStyle w:val="TableParagraph"/>
              <w:rPr>
                <w:rFonts w:ascii="Times New Roman"/>
                <w:sz w:val="20"/>
              </w:rPr>
            </w:pPr>
          </w:p>
        </w:tc>
      </w:tr>
      <w:tr>
        <w:trPr>
          <w:trHeight w:val="276" w:hRule="atLeast"/>
        </w:trPr>
        <w:tc>
          <w:tcPr>
            <w:tcW w:w="3521" w:type="dxa"/>
          </w:tcPr>
          <w:p>
            <w:pPr>
              <w:pStyle w:val="TableParagraph"/>
              <w:spacing w:before="20" w:line="236" w:lineRule="exact"/>
              <w:ind w:left="67"/>
              <w:rPr>
                <w:b/>
                <w:sz w:val="21"/>
              </w:rPr>
            </w:pPr>
            <w:r>
              <w:rPr>
                <w:b/>
                <w:color w:val="0C0C0C"/>
                <w:w w:val="105"/>
                <w:sz w:val="21"/>
              </w:rPr>
              <w:t>At</w:t>
            </w:r>
            <w:r>
              <w:rPr>
                <w:b/>
                <w:color w:val="0C0C0C"/>
                <w:spacing w:val="-8"/>
                <w:w w:val="105"/>
                <w:sz w:val="21"/>
              </w:rPr>
              <w:t> </w:t>
            </w:r>
            <w:r>
              <w:rPr>
                <w:b/>
                <w:color w:val="0C0C0C"/>
                <w:w w:val="105"/>
                <w:sz w:val="21"/>
              </w:rPr>
              <w:t>1 </w:t>
            </w:r>
            <w:r>
              <w:rPr>
                <w:b/>
                <w:color w:val="0C0C0C"/>
                <w:spacing w:val="-4"/>
                <w:w w:val="105"/>
                <w:sz w:val="21"/>
              </w:rPr>
              <w:t>April</w:t>
            </w:r>
          </w:p>
        </w:tc>
        <w:tc>
          <w:tcPr>
            <w:tcW w:w="1530" w:type="dxa"/>
          </w:tcPr>
          <w:p>
            <w:pPr>
              <w:pStyle w:val="TableParagraph"/>
              <w:rPr>
                <w:rFonts w:ascii="Times New Roman"/>
                <w:sz w:val="20"/>
              </w:rPr>
            </w:pPr>
          </w:p>
        </w:tc>
        <w:tc>
          <w:tcPr>
            <w:tcW w:w="1335" w:type="dxa"/>
          </w:tcPr>
          <w:p>
            <w:pPr>
              <w:pStyle w:val="TableParagraph"/>
              <w:spacing w:before="20" w:line="236" w:lineRule="exact"/>
              <w:ind w:right="179"/>
              <w:jc w:val="right"/>
              <w:rPr>
                <w:sz w:val="21"/>
              </w:rPr>
            </w:pPr>
            <w:r>
              <w:rPr>
                <w:color w:val="0C0C0C"/>
                <w:spacing w:val="-2"/>
                <w:w w:val="105"/>
                <w:sz w:val="21"/>
              </w:rPr>
              <w:t>(291)</w:t>
            </w:r>
          </w:p>
        </w:tc>
        <w:tc>
          <w:tcPr>
            <w:tcW w:w="1411" w:type="dxa"/>
          </w:tcPr>
          <w:p>
            <w:pPr>
              <w:pStyle w:val="TableParagraph"/>
              <w:rPr>
                <w:rFonts w:ascii="Times New Roman"/>
                <w:sz w:val="20"/>
              </w:rPr>
            </w:pPr>
          </w:p>
        </w:tc>
        <w:tc>
          <w:tcPr>
            <w:tcW w:w="1300" w:type="dxa"/>
          </w:tcPr>
          <w:p>
            <w:pPr>
              <w:pStyle w:val="TableParagraph"/>
              <w:spacing w:before="10"/>
              <w:ind w:right="114"/>
              <w:jc w:val="right"/>
              <w:rPr>
                <w:b/>
                <w:sz w:val="21"/>
              </w:rPr>
            </w:pPr>
            <w:r>
              <w:rPr>
                <w:b/>
                <w:color w:val="0C0C0C"/>
                <w:spacing w:val="-2"/>
                <w:w w:val="105"/>
                <w:sz w:val="21"/>
              </w:rPr>
              <w:t>(291)</w:t>
            </w:r>
          </w:p>
        </w:tc>
        <w:tc>
          <w:tcPr>
            <w:tcW w:w="62" w:type="dxa"/>
          </w:tcPr>
          <w:p>
            <w:pPr>
              <w:pStyle w:val="TableParagraph"/>
              <w:rPr>
                <w:rFonts w:ascii="Times New Roman"/>
                <w:sz w:val="20"/>
              </w:rPr>
            </w:pPr>
          </w:p>
        </w:tc>
      </w:tr>
      <w:tr>
        <w:trPr>
          <w:trHeight w:val="264" w:hRule="atLeast"/>
        </w:trPr>
        <w:tc>
          <w:tcPr>
            <w:tcW w:w="3521" w:type="dxa"/>
          </w:tcPr>
          <w:p>
            <w:pPr>
              <w:pStyle w:val="TableParagraph"/>
              <w:spacing w:before="22" w:line="222" w:lineRule="exact"/>
              <w:ind w:left="61"/>
              <w:rPr>
                <w:sz w:val="21"/>
              </w:rPr>
            </w:pPr>
            <w:r>
              <w:rPr>
                <w:color w:val="0C0C0C"/>
                <w:w w:val="105"/>
                <w:sz w:val="21"/>
              </w:rPr>
              <w:t>Depreciation</w:t>
            </w:r>
            <w:r>
              <w:rPr>
                <w:color w:val="0C0C0C"/>
                <w:spacing w:val="2"/>
                <w:w w:val="105"/>
                <w:sz w:val="21"/>
              </w:rPr>
              <w:t> </w:t>
            </w:r>
            <w:r>
              <w:rPr>
                <w:color w:val="0C0C0C"/>
                <w:w w:val="105"/>
                <w:sz w:val="21"/>
              </w:rPr>
              <w:t>charged</w:t>
            </w:r>
            <w:r>
              <w:rPr>
                <w:color w:val="0C0C0C"/>
                <w:spacing w:val="-4"/>
                <w:w w:val="105"/>
                <w:sz w:val="21"/>
              </w:rPr>
              <w:t> </w:t>
            </w:r>
            <w:r>
              <w:rPr>
                <w:color w:val="0C0C0C"/>
                <w:w w:val="105"/>
                <w:sz w:val="21"/>
              </w:rPr>
              <w:t>in</w:t>
            </w:r>
            <w:r>
              <w:rPr>
                <w:color w:val="0C0C0C"/>
                <w:spacing w:val="-9"/>
                <w:w w:val="105"/>
                <w:sz w:val="21"/>
              </w:rPr>
              <w:t> </w:t>
            </w:r>
            <w:r>
              <w:rPr>
                <w:color w:val="0C0C0C"/>
                <w:spacing w:val="-4"/>
                <w:w w:val="105"/>
                <w:sz w:val="21"/>
              </w:rPr>
              <w:t>year</w:t>
            </w:r>
          </w:p>
        </w:tc>
        <w:tc>
          <w:tcPr>
            <w:tcW w:w="1530" w:type="dxa"/>
            <w:tcBorders>
              <w:bottom w:val="single" w:color="000000" w:sz="6" w:space="0"/>
            </w:tcBorders>
          </w:tcPr>
          <w:p>
            <w:pPr>
              <w:pStyle w:val="TableParagraph"/>
              <w:rPr>
                <w:rFonts w:ascii="Times New Roman"/>
                <w:sz w:val="18"/>
              </w:rPr>
            </w:pPr>
          </w:p>
        </w:tc>
        <w:tc>
          <w:tcPr>
            <w:tcW w:w="1335" w:type="dxa"/>
            <w:tcBorders>
              <w:bottom w:val="single" w:color="000000" w:sz="6" w:space="0"/>
            </w:tcBorders>
          </w:tcPr>
          <w:p>
            <w:pPr>
              <w:pStyle w:val="TableParagraph"/>
              <w:spacing w:before="17" w:line="227" w:lineRule="exact"/>
              <w:ind w:right="175"/>
              <w:jc w:val="right"/>
              <w:rPr>
                <w:sz w:val="21"/>
              </w:rPr>
            </w:pPr>
            <w:r>
              <w:rPr>
                <w:color w:val="0C0C0C"/>
                <w:spacing w:val="-4"/>
                <w:w w:val="105"/>
                <w:sz w:val="21"/>
              </w:rPr>
              <w:t>(23)</w:t>
            </w:r>
          </w:p>
        </w:tc>
        <w:tc>
          <w:tcPr>
            <w:tcW w:w="1411" w:type="dxa"/>
            <w:tcBorders>
              <w:bottom w:val="single" w:color="000000" w:sz="6" w:space="0"/>
            </w:tcBorders>
          </w:tcPr>
          <w:p>
            <w:pPr>
              <w:pStyle w:val="TableParagraph"/>
              <w:rPr>
                <w:rFonts w:ascii="Times New Roman"/>
                <w:sz w:val="18"/>
              </w:rPr>
            </w:pPr>
          </w:p>
        </w:tc>
        <w:tc>
          <w:tcPr>
            <w:tcW w:w="1300" w:type="dxa"/>
            <w:tcBorders>
              <w:bottom w:val="single" w:color="000000" w:sz="6" w:space="0"/>
            </w:tcBorders>
          </w:tcPr>
          <w:p>
            <w:pPr>
              <w:pStyle w:val="TableParagraph"/>
              <w:spacing w:before="8" w:line="237" w:lineRule="exact"/>
              <w:ind w:right="112"/>
              <w:jc w:val="right"/>
              <w:rPr>
                <w:b/>
                <w:sz w:val="21"/>
              </w:rPr>
            </w:pPr>
            <w:r>
              <w:rPr>
                <w:b/>
                <w:color w:val="0C0C0C"/>
                <w:spacing w:val="-4"/>
                <w:w w:val="105"/>
                <w:sz w:val="21"/>
              </w:rPr>
              <w:t>(23)</w:t>
            </w:r>
          </w:p>
        </w:tc>
        <w:tc>
          <w:tcPr>
            <w:tcW w:w="62" w:type="dxa"/>
          </w:tcPr>
          <w:p>
            <w:pPr>
              <w:pStyle w:val="TableParagraph"/>
              <w:rPr>
                <w:rFonts w:ascii="Times New Roman"/>
                <w:sz w:val="18"/>
              </w:rPr>
            </w:pPr>
          </w:p>
        </w:tc>
      </w:tr>
      <w:tr>
        <w:trPr>
          <w:trHeight w:val="268" w:hRule="atLeast"/>
        </w:trPr>
        <w:tc>
          <w:tcPr>
            <w:tcW w:w="3521" w:type="dxa"/>
          </w:tcPr>
          <w:p>
            <w:pPr>
              <w:pStyle w:val="TableParagraph"/>
              <w:spacing w:before="26" w:line="222" w:lineRule="exact"/>
              <w:ind w:left="62"/>
              <w:rPr>
                <w:b/>
                <w:sz w:val="21"/>
              </w:rPr>
            </w:pPr>
            <w:r>
              <w:rPr>
                <w:b/>
                <w:color w:val="0C0C0C"/>
                <w:w w:val="105"/>
                <w:sz w:val="21"/>
              </w:rPr>
              <w:t>At</w:t>
            </w:r>
            <w:r>
              <w:rPr>
                <w:b/>
                <w:color w:val="0C0C0C"/>
                <w:spacing w:val="-7"/>
                <w:w w:val="105"/>
                <w:sz w:val="21"/>
              </w:rPr>
              <w:t> </w:t>
            </w:r>
            <w:r>
              <w:rPr>
                <w:b/>
                <w:color w:val="0C0C0C"/>
                <w:w w:val="105"/>
                <w:sz w:val="21"/>
              </w:rPr>
              <w:t>31</w:t>
            </w:r>
            <w:r>
              <w:rPr>
                <w:b/>
                <w:color w:val="0C0C0C"/>
                <w:spacing w:val="-10"/>
                <w:w w:val="105"/>
                <w:sz w:val="21"/>
              </w:rPr>
              <w:t> </w:t>
            </w:r>
            <w:r>
              <w:rPr>
                <w:b/>
                <w:color w:val="0C0C0C"/>
                <w:spacing w:val="-2"/>
                <w:w w:val="105"/>
                <w:sz w:val="21"/>
              </w:rPr>
              <w:t>March</w:t>
            </w:r>
          </w:p>
        </w:tc>
        <w:tc>
          <w:tcPr>
            <w:tcW w:w="1530" w:type="dxa"/>
            <w:tcBorders>
              <w:top w:val="single" w:color="000000" w:sz="6" w:space="0"/>
              <w:bottom w:val="single" w:color="000000" w:sz="6" w:space="0"/>
            </w:tcBorders>
          </w:tcPr>
          <w:p>
            <w:pPr>
              <w:pStyle w:val="TableParagraph"/>
              <w:rPr>
                <w:rFonts w:ascii="Times New Roman"/>
                <w:sz w:val="18"/>
              </w:rPr>
            </w:pPr>
          </w:p>
        </w:tc>
        <w:tc>
          <w:tcPr>
            <w:tcW w:w="1335" w:type="dxa"/>
            <w:tcBorders>
              <w:top w:val="single" w:color="000000" w:sz="6" w:space="0"/>
              <w:bottom w:val="single" w:color="000000" w:sz="6" w:space="0"/>
            </w:tcBorders>
          </w:tcPr>
          <w:p>
            <w:pPr>
              <w:pStyle w:val="TableParagraph"/>
              <w:spacing w:before="21" w:line="227" w:lineRule="exact"/>
              <w:ind w:right="172"/>
              <w:jc w:val="right"/>
              <w:rPr>
                <w:b/>
                <w:sz w:val="21"/>
              </w:rPr>
            </w:pPr>
            <w:r>
              <w:rPr>
                <w:b/>
                <w:color w:val="0C0C0C"/>
                <w:spacing w:val="-2"/>
                <w:w w:val="105"/>
                <w:sz w:val="21"/>
              </w:rPr>
              <w:t>(314)</w:t>
            </w:r>
          </w:p>
        </w:tc>
        <w:tc>
          <w:tcPr>
            <w:tcW w:w="1411" w:type="dxa"/>
            <w:tcBorders>
              <w:top w:val="single" w:color="000000" w:sz="6" w:space="0"/>
              <w:bottom w:val="single" w:color="000000" w:sz="6" w:space="0"/>
            </w:tcBorders>
          </w:tcPr>
          <w:p>
            <w:pPr>
              <w:pStyle w:val="TableParagraph"/>
              <w:rPr>
                <w:rFonts w:ascii="Times New Roman"/>
                <w:sz w:val="18"/>
              </w:rPr>
            </w:pPr>
          </w:p>
        </w:tc>
        <w:tc>
          <w:tcPr>
            <w:tcW w:w="1300" w:type="dxa"/>
            <w:tcBorders>
              <w:top w:val="single" w:color="000000" w:sz="6" w:space="0"/>
              <w:bottom w:val="single" w:color="000000" w:sz="6" w:space="0"/>
            </w:tcBorders>
          </w:tcPr>
          <w:p>
            <w:pPr>
              <w:pStyle w:val="TableParagraph"/>
              <w:spacing w:before="16" w:line="232" w:lineRule="exact"/>
              <w:ind w:right="114"/>
              <w:jc w:val="right"/>
              <w:rPr>
                <w:b/>
                <w:sz w:val="21"/>
              </w:rPr>
            </w:pPr>
            <w:r>
              <w:rPr>
                <w:b/>
                <w:color w:val="0C0C0C"/>
                <w:spacing w:val="-2"/>
                <w:w w:val="105"/>
                <w:sz w:val="21"/>
              </w:rPr>
              <w:t>(314)</w:t>
            </w:r>
          </w:p>
        </w:tc>
        <w:tc>
          <w:tcPr>
            <w:tcW w:w="62" w:type="dxa"/>
          </w:tcPr>
          <w:p>
            <w:pPr>
              <w:pStyle w:val="TableParagraph"/>
              <w:rPr>
                <w:rFonts w:ascii="Times New Roman"/>
                <w:sz w:val="18"/>
              </w:rPr>
            </w:pPr>
          </w:p>
        </w:tc>
      </w:tr>
      <w:tr>
        <w:trPr>
          <w:trHeight w:val="553" w:hRule="atLeast"/>
        </w:trPr>
        <w:tc>
          <w:tcPr>
            <w:tcW w:w="3521" w:type="dxa"/>
          </w:tcPr>
          <w:p>
            <w:pPr>
              <w:pStyle w:val="TableParagraph"/>
              <w:spacing w:before="77"/>
              <w:rPr>
                <w:sz w:val="21"/>
              </w:rPr>
            </w:pPr>
          </w:p>
          <w:p>
            <w:pPr>
              <w:pStyle w:val="TableParagraph"/>
              <w:spacing w:before="1" w:line="214" w:lineRule="exact"/>
              <w:ind w:left="52"/>
              <w:rPr>
                <w:b/>
                <w:sz w:val="21"/>
              </w:rPr>
            </w:pPr>
            <w:r>
              <w:rPr>
                <w:b/>
                <w:color w:val="0C0C0C"/>
                <w:w w:val="105"/>
                <w:sz w:val="21"/>
              </w:rPr>
              <w:t>Net</w:t>
            </w:r>
            <w:r>
              <w:rPr>
                <w:b/>
                <w:color w:val="0C0C0C"/>
                <w:spacing w:val="-12"/>
                <w:w w:val="105"/>
                <w:sz w:val="21"/>
              </w:rPr>
              <w:t> </w:t>
            </w:r>
            <w:r>
              <w:rPr>
                <w:b/>
                <w:color w:val="0C0C0C"/>
                <w:w w:val="105"/>
                <w:sz w:val="21"/>
              </w:rPr>
              <w:t>Carrying</w:t>
            </w:r>
            <w:r>
              <w:rPr>
                <w:b/>
                <w:color w:val="0C0C0C"/>
                <w:spacing w:val="8"/>
                <w:w w:val="105"/>
                <w:sz w:val="21"/>
              </w:rPr>
              <w:t> </w:t>
            </w:r>
            <w:r>
              <w:rPr>
                <w:b/>
                <w:color w:val="0C0C0C"/>
                <w:spacing w:val="-2"/>
                <w:w w:val="105"/>
                <w:sz w:val="21"/>
              </w:rPr>
              <w:t>Amounts</w:t>
            </w:r>
          </w:p>
        </w:tc>
        <w:tc>
          <w:tcPr>
            <w:tcW w:w="1530" w:type="dxa"/>
            <w:tcBorders>
              <w:top w:val="single" w:color="000000" w:sz="6" w:space="0"/>
              <w:bottom w:val="single" w:color="000000" w:sz="6" w:space="0"/>
            </w:tcBorders>
          </w:tcPr>
          <w:p>
            <w:pPr>
              <w:pStyle w:val="TableParagraph"/>
              <w:rPr>
                <w:rFonts w:ascii="Times New Roman"/>
                <w:sz w:val="20"/>
              </w:rPr>
            </w:pPr>
          </w:p>
        </w:tc>
        <w:tc>
          <w:tcPr>
            <w:tcW w:w="1335" w:type="dxa"/>
            <w:tcBorders>
              <w:top w:val="single" w:color="000000" w:sz="6" w:space="0"/>
              <w:bottom w:val="single" w:color="000000" w:sz="6" w:space="0"/>
            </w:tcBorders>
          </w:tcPr>
          <w:p>
            <w:pPr>
              <w:pStyle w:val="TableParagraph"/>
              <w:rPr>
                <w:rFonts w:ascii="Times New Roman"/>
                <w:sz w:val="20"/>
              </w:rPr>
            </w:pPr>
          </w:p>
        </w:tc>
        <w:tc>
          <w:tcPr>
            <w:tcW w:w="1411" w:type="dxa"/>
            <w:tcBorders>
              <w:top w:val="single" w:color="000000" w:sz="6" w:space="0"/>
              <w:bottom w:val="single" w:color="000000" w:sz="6" w:space="0"/>
            </w:tcBorders>
          </w:tcPr>
          <w:p>
            <w:pPr>
              <w:pStyle w:val="TableParagraph"/>
              <w:rPr>
                <w:rFonts w:ascii="Times New Roman"/>
                <w:sz w:val="20"/>
              </w:rPr>
            </w:pPr>
          </w:p>
        </w:tc>
        <w:tc>
          <w:tcPr>
            <w:tcW w:w="1300" w:type="dxa"/>
            <w:tcBorders>
              <w:top w:val="single" w:color="000000" w:sz="6" w:space="0"/>
              <w:bottom w:val="single" w:color="000000" w:sz="6" w:space="0"/>
            </w:tcBorders>
          </w:tcPr>
          <w:p>
            <w:pPr>
              <w:pStyle w:val="TableParagraph"/>
              <w:rPr>
                <w:rFonts w:ascii="Times New Roman"/>
                <w:sz w:val="20"/>
              </w:rPr>
            </w:pPr>
          </w:p>
        </w:tc>
        <w:tc>
          <w:tcPr>
            <w:tcW w:w="62" w:type="dxa"/>
          </w:tcPr>
          <w:p>
            <w:pPr>
              <w:pStyle w:val="TableParagraph"/>
              <w:rPr>
                <w:rFonts w:ascii="Times New Roman"/>
                <w:sz w:val="20"/>
              </w:rPr>
            </w:pPr>
          </w:p>
        </w:tc>
      </w:tr>
      <w:tr>
        <w:trPr>
          <w:trHeight w:val="281" w:hRule="atLeast"/>
        </w:trPr>
        <w:tc>
          <w:tcPr>
            <w:tcW w:w="3521" w:type="dxa"/>
          </w:tcPr>
          <w:p>
            <w:pPr>
              <w:pStyle w:val="TableParagraph"/>
              <w:spacing w:before="29" w:line="232" w:lineRule="exact"/>
              <w:ind w:left="54"/>
              <w:rPr>
                <w:b/>
                <w:sz w:val="21"/>
              </w:rPr>
            </w:pPr>
            <w:r>
              <w:rPr>
                <w:b/>
                <w:color w:val="0C0C0C"/>
                <w:w w:val="105"/>
                <w:sz w:val="21"/>
              </w:rPr>
              <w:t>31</w:t>
            </w:r>
            <w:r>
              <w:rPr>
                <w:b/>
                <w:color w:val="0C0C0C"/>
                <w:spacing w:val="-10"/>
                <w:w w:val="105"/>
                <w:sz w:val="21"/>
              </w:rPr>
              <w:t> </w:t>
            </w:r>
            <w:r>
              <w:rPr>
                <w:b/>
                <w:color w:val="0C0C0C"/>
                <w:w w:val="105"/>
                <w:sz w:val="21"/>
              </w:rPr>
              <w:t>March</w:t>
            </w:r>
            <w:r>
              <w:rPr>
                <w:b/>
                <w:color w:val="0C0C0C"/>
                <w:spacing w:val="3"/>
                <w:w w:val="105"/>
                <w:sz w:val="21"/>
              </w:rPr>
              <w:t> </w:t>
            </w:r>
            <w:r>
              <w:rPr>
                <w:b/>
                <w:color w:val="0C0C0C"/>
                <w:spacing w:val="-4"/>
                <w:w w:val="105"/>
                <w:sz w:val="21"/>
              </w:rPr>
              <w:t>2022</w:t>
            </w:r>
          </w:p>
        </w:tc>
        <w:tc>
          <w:tcPr>
            <w:tcW w:w="1530" w:type="dxa"/>
            <w:tcBorders>
              <w:top w:val="single" w:color="000000" w:sz="6" w:space="0"/>
              <w:bottom w:val="single" w:color="000000" w:sz="6" w:space="0"/>
            </w:tcBorders>
          </w:tcPr>
          <w:p>
            <w:pPr>
              <w:pStyle w:val="TableParagraph"/>
              <w:spacing w:before="31" w:line="232" w:lineRule="exact"/>
              <w:ind w:right="235"/>
              <w:jc w:val="right"/>
              <w:rPr>
                <w:b/>
                <w:sz w:val="21"/>
              </w:rPr>
            </w:pPr>
            <w:r>
              <w:rPr>
                <w:b/>
                <w:color w:val="0C0C0C"/>
                <w:spacing w:val="-5"/>
                <w:w w:val="105"/>
                <w:sz w:val="21"/>
              </w:rPr>
              <w:t>110</w:t>
            </w:r>
          </w:p>
        </w:tc>
        <w:tc>
          <w:tcPr>
            <w:tcW w:w="1335" w:type="dxa"/>
            <w:tcBorders>
              <w:top w:val="single" w:color="000000" w:sz="6" w:space="0"/>
              <w:bottom w:val="single" w:color="000000" w:sz="6" w:space="0"/>
            </w:tcBorders>
          </w:tcPr>
          <w:p>
            <w:pPr>
              <w:pStyle w:val="TableParagraph"/>
              <w:spacing w:before="31" w:line="232" w:lineRule="exact"/>
              <w:ind w:right="179"/>
              <w:jc w:val="right"/>
              <w:rPr>
                <w:b/>
                <w:sz w:val="21"/>
              </w:rPr>
            </w:pPr>
            <w:r>
              <w:rPr>
                <w:b/>
                <w:color w:val="0C0C0C"/>
                <w:spacing w:val="-4"/>
                <w:w w:val="105"/>
                <w:sz w:val="21"/>
              </w:rPr>
              <w:t>1,062</w:t>
            </w:r>
          </w:p>
        </w:tc>
        <w:tc>
          <w:tcPr>
            <w:tcW w:w="1411" w:type="dxa"/>
            <w:tcBorders>
              <w:top w:val="single" w:color="000000" w:sz="6" w:space="0"/>
              <w:bottom w:val="single" w:color="000000" w:sz="6" w:space="0"/>
            </w:tcBorders>
          </w:tcPr>
          <w:p>
            <w:pPr>
              <w:pStyle w:val="TableParagraph"/>
              <w:spacing w:before="31" w:line="232" w:lineRule="exact"/>
              <w:ind w:right="204"/>
              <w:jc w:val="right"/>
              <w:rPr>
                <w:b/>
                <w:sz w:val="21"/>
              </w:rPr>
            </w:pPr>
            <w:r>
              <w:rPr>
                <w:b/>
                <w:color w:val="0C0C0C"/>
                <w:spacing w:val="-5"/>
                <w:w w:val="105"/>
                <w:sz w:val="21"/>
              </w:rPr>
              <w:t>50</w:t>
            </w:r>
          </w:p>
        </w:tc>
        <w:tc>
          <w:tcPr>
            <w:tcW w:w="1300" w:type="dxa"/>
            <w:tcBorders>
              <w:top w:val="single" w:color="000000" w:sz="6" w:space="0"/>
              <w:bottom w:val="single" w:color="000000" w:sz="6" w:space="0"/>
            </w:tcBorders>
          </w:tcPr>
          <w:p>
            <w:pPr>
              <w:pStyle w:val="TableParagraph"/>
              <w:spacing w:before="26" w:line="237" w:lineRule="exact"/>
              <w:ind w:right="121"/>
              <w:jc w:val="right"/>
              <w:rPr>
                <w:b/>
                <w:sz w:val="21"/>
              </w:rPr>
            </w:pPr>
            <w:r>
              <w:rPr>
                <w:b/>
                <w:color w:val="0C0C0C"/>
                <w:spacing w:val="-4"/>
                <w:w w:val="105"/>
                <w:sz w:val="21"/>
              </w:rPr>
              <w:t>1,222</w:t>
            </w:r>
          </w:p>
        </w:tc>
        <w:tc>
          <w:tcPr>
            <w:tcW w:w="62" w:type="dxa"/>
          </w:tcPr>
          <w:p>
            <w:pPr>
              <w:pStyle w:val="TableParagraph"/>
              <w:rPr>
                <w:rFonts w:ascii="Times New Roman"/>
                <w:sz w:val="20"/>
              </w:rPr>
            </w:pPr>
          </w:p>
        </w:tc>
      </w:tr>
      <w:tr>
        <w:trPr>
          <w:trHeight w:val="282" w:hRule="atLeast"/>
        </w:trPr>
        <w:tc>
          <w:tcPr>
            <w:tcW w:w="3521" w:type="dxa"/>
          </w:tcPr>
          <w:p>
            <w:pPr>
              <w:pStyle w:val="TableParagraph"/>
              <w:spacing w:before="31" w:line="232" w:lineRule="exact"/>
              <w:ind w:left="50"/>
              <w:rPr>
                <w:b/>
                <w:sz w:val="21"/>
              </w:rPr>
            </w:pPr>
            <w:r>
              <w:rPr>
                <w:b/>
                <w:color w:val="0C0C0C"/>
                <w:w w:val="105"/>
                <w:sz w:val="21"/>
              </w:rPr>
              <w:t>31</w:t>
            </w:r>
            <w:r>
              <w:rPr>
                <w:b/>
                <w:color w:val="0C0C0C"/>
                <w:spacing w:val="-10"/>
                <w:w w:val="105"/>
                <w:sz w:val="21"/>
              </w:rPr>
              <w:t> </w:t>
            </w:r>
            <w:r>
              <w:rPr>
                <w:b/>
                <w:color w:val="0C0C0C"/>
                <w:w w:val="105"/>
                <w:sz w:val="21"/>
              </w:rPr>
              <w:t>March</w:t>
            </w:r>
            <w:r>
              <w:rPr>
                <w:b/>
                <w:color w:val="0C0C0C"/>
                <w:spacing w:val="3"/>
                <w:w w:val="105"/>
                <w:sz w:val="21"/>
              </w:rPr>
              <w:t> </w:t>
            </w:r>
            <w:r>
              <w:rPr>
                <w:b/>
                <w:color w:val="0C0C0C"/>
                <w:spacing w:val="-4"/>
                <w:w w:val="105"/>
                <w:sz w:val="21"/>
              </w:rPr>
              <w:t>2023</w:t>
            </w:r>
          </w:p>
        </w:tc>
        <w:tc>
          <w:tcPr>
            <w:tcW w:w="1530" w:type="dxa"/>
            <w:tcBorders>
              <w:top w:val="single" w:color="000000" w:sz="6" w:space="0"/>
              <w:bottom w:val="single" w:color="000000" w:sz="6" w:space="0"/>
            </w:tcBorders>
          </w:tcPr>
          <w:p>
            <w:pPr>
              <w:pStyle w:val="TableParagraph"/>
              <w:spacing w:before="31" w:line="232" w:lineRule="exact"/>
              <w:ind w:right="235"/>
              <w:jc w:val="right"/>
              <w:rPr>
                <w:b/>
                <w:sz w:val="21"/>
              </w:rPr>
            </w:pPr>
            <w:r>
              <w:rPr>
                <w:b/>
                <w:color w:val="0C0C0C"/>
                <w:spacing w:val="-5"/>
                <w:w w:val="105"/>
                <w:sz w:val="21"/>
              </w:rPr>
              <w:t>110</w:t>
            </w:r>
          </w:p>
        </w:tc>
        <w:tc>
          <w:tcPr>
            <w:tcW w:w="1335" w:type="dxa"/>
            <w:tcBorders>
              <w:top w:val="single" w:color="000000" w:sz="6" w:space="0"/>
              <w:bottom w:val="single" w:color="000000" w:sz="6" w:space="0"/>
            </w:tcBorders>
          </w:tcPr>
          <w:p>
            <w:pPr>
              <w:pStyle w:val="TableParagraph"/>
              <w:spacing w:before="31" w:line="232" w:lineRule="exact"/>
              <w:ind w:right="184"/>
              <w:jc w:val="right"/>
              <w:rPr>
                <w:b/>
                <w:sz w:val="21"/>
              </w:rPr>
            </w:pPr>
            <w:r>
              <w:rPr>
                <w:b/>
                <w:color w:val="0C0C0C"/>
                <w:spacing w:val="-4"/>
                <w:w w:val="105"/>
                <w:sz w:val="21"/>
              </w:rPr>
              <w:t>1,039</w:t>
            </w:r>
          </w:p>
        </w:tc>
        <w:tc>
          <w:tcPr>
            <w:tcW w:w="1411" w:type="dxa"/>
            <w:tcBorders>
              <w:top w:val="single" w:color="000000" w:sz="6" w:space="0"/>
              <w:bottom w:val="single" w:color="000000" w:sz="6" w:space="0"/>
            </w:tcBorders>
          </w:tcPr>
          <w:p>
            <w:pPr>
              <w:pStyle w:val="TableParagraph"/>
              <w:spacing w:before="31" w:line="232" w:lineRule="exact"/>
              <w:ind w:right="204"/>
              <w:jc w:val="right"/>
              <w:rPr>
                <w:b/>
                <w:sz w:val="21"/>
              </w:rPr>
            </w:pPr>
            <w:r>
              <w:rPr>
                <w:b/>
                <w:color w:val="0C0C0C"/>
                <w:spacing w:val="-5"/>
                <w:w w:val="105"/>
                <w:sz w:val="21"/>
              </w:rPr>
              <w:t>50</w:t>
            </w:r>
          </w:p>
        </w:tc>
        <w:tc>
          <w:tcPr>
            <w:tcW w:w="1300" w:type="dxa"/>
            <w:tcBorders>
              <w:top w:val="single" w:color="000000" w:sz="6" w:space="0"/>
              <w:bottom w:val="single" w:color="000000" w:sz="6" w:space="0"/>
            </w:tcBorders>
          </w:tcPr>
          <w:p>
            <w:pPr>
              <w:pStyle w:val="TableParagraph"/>
              <w:spacing w:before="26" w:line="237" w:lineRule="exact"/>
              <w:ind w:right="126"/>
              <w:jc w:val="right"/>
              <w:rPr>
                <w:b/>
                <w:sz w:val="21"/>
              </w:rPr>
            </w:pPr>
            <w:r>
              <w:rPr>
                <w:b/>
                <w:color w:val="0C0C0C"/>
                <w:spacing w:val="-4"/>
                <w:w w:val="105"/>
                <w:sz w:val="21"/>
              </w:rPr>
              <w:t>1,199</w:t>
            </w:r>
          </w:p>
        </w:tc>
        <w:tc>
          <w:tcPr>
            <w:tcW w:w="62" w:type="dxa"/>
          </w:tcPr>
          <w:p>
            <w:pPr>
              <w:pStyle w:val="TableParagraph"/>
              <w:rPr>
                <w:rFonts w:ascii="Times New Roman"/>
                <w:sz w:val="20"/>
              </w:rPr>
            </w:pPr>
          </w:p>
        </w:tc>
      </w:tr>
    </w:tbl>
    <w:p>
      <w:pPr>
        <w:pStyle w:val="BodyText"/>
        <w:rPr>
          <w:sz w:val="21"/>
        </w:rPr>
      </w:pPr>
    </w:p>
    <w:p>
      <w:pPr>
        <w:pStyle w:val="BodyText"/>
        <w:rPr>
          <w:sz w:val="21"/>
        </w:rPr>
      </w:pPr>
    </w:p>
    <w:p>
      <w:pPr>
        <w:pStyle w:val="BodyText"/>
        <w:rPr>
          <w:sz w:val="21"/>
        </w:rPr>
      </w:pPr>
    </w:p>
    <w:p>
      <w:pPr>
        <w:pStyle w:val="BodyText"/>
        <w:spacing w:before="77"/>
        <w:rPr>
          <w:sz w:val="21"/>
        </w:rPr>
      </w:pPr>
    </w:p>
    <w:p>
      <w:pPr>
        <w:pStyle w:val="ListParagraph"/>
        <w:numPr>
          <w:ilvl w:val="1"/>
          <w:numId w:val="16"/>
        </w:numPr>
        <w:tabs>
          <w:tab w:val="left" w:leader="none" w:pos="2115"/>
        </w:tabs>
        <w:spacing w:before="0" w:after="0" w:line="240" w:lineRule="auto"/>
        <w:ind w:left="2115" w:right="0" w:hanging="711"/>
        <w:jc w:val="left"/>
        <w:rPr>
          <w:b/>
          <w:color w:val="0C0C0C"/>
          <w:sz w:val="21"/>
        </w:rPr>
      </w:pPr>
      <w:r>
        <w:rPr>
          <w:b/>
          <w:color w:val="0C0C0C"/>
          <w:w w:val="105"/>
          <w:sz w:val="21"/>
        </w:rPr>
        <w:t>Investment</w:t>
      </w:r>
      <w:r>
        <w:rPr>
          <w:b/>
          <w:color w:val="0C0C0C"/>
          <w:spacing w:val="12"/>
          <w:w w:val="105"/>
          <w:sz w:val="21"/>
        </w:rPr>
        <w:t> </w:t>
      </w:r>
      <w:r>
        <w:rPr>
          <w:b/>
          <w:color w:val="0C0C0C"/>
          <w:spacing w:val="-2"/>
          <w:w w:val="105"/>
          <w:sz w:val="21"/>
        </w:rPr>
        <w:t>Property</w:t>
      </w:r>
    </w:p>
    <w:p>
      <w:pPr>
        <w:pStyle w:val="BodyText"/>
        <w:spacing w:before="3"/>
        <w:rPr>
          <w:b/>
          <w:sz w:val="21"/>
        </w:rPr>
      </w:pPr>
    </w:p>
    <w:p>
      <w:pPr>
        <w:spacing w:before="0" w:line="290" w:lineRule="auto"/>
        <w:ind w:left="1378" w:right="963" w:firstLine="18"/>
        <w:jc w:val="both"/>
        <w:rPr>
          <w:sz w:val="21"/>
        </w:rPr>
      </w:pPr>
      <w:r>
        <w:rPr>
          <w:color w:val="0C0C0C"/>
          <w:w w:val="105"/>
          <w:sz w:val="21"/>
        </w:rPr>
        <w:t>Rental income from investment</w:t>
      </w:r>
      <w:r>
        <w:rPr>
          <w:color w:val="0C0C0C"/>
          <w:w w:val="105"/>
          <w:sz w:val="21"/>
        </w:rPr>
        <w:t> property of £691k (2021/22</w:t>
      </w:r>
      <w:r>
        <w:rPr>
          <w:color w:val="3B3B3B"/>
          <w:w w:val="105"/>
          <w:sz w:val="21"/>
        </w:rPr>
        <w:t>:</w:t>
      </w:r>
      <w:r>
        <w:rPr>
          <w:color w:val="3B3B3B"/>
          <w:spacing w:val="-10"/>
          <w:w w:val="105"/>
          <w:sz w:val="21"/>
        </w:rPr>
        <w:t> </w:t>
      </w:r>
      <w:r>
        <w:rPr>
          <w:color w:val="0C0C0C"/>
          <w:w w:val="105"/>
          <w:sz w:val="21"/>
        </w:rPr>
        <w:t>£701k) has been accounted for</w:t>
      </w:r>
      <w:r>
        <w:rPr>
          <w:color w:val="0C0C0C"/>
          <w:spacing w:val="-4"/>
          <w:w w:val="105"/>
          <w:sz w:val="21"/>
        </w:rPr>
        <w:t> </w:t>
      </w:r>
      <w:r>
        <w:rPr>
          <w:color w:val="0C0C0C"/>
          <w:w w:val="105"/>
          <w:sz w:val="21"/>
        </w:rPr>
        <w:t>in the financing</w:t>
      </w:r>
      <w:r>
        <w:rPr>
          <w:color w:val="0C0C0C"/>
          <w:w w:val="105"/>
          <w:sz w:val="21"/>
        </w:rPr>
        <w:t> and </w:t>
      </w:r>
      <w:r>
        <w:rPr>
          <w:color w:val="1C1C1C"/>
          <w:w w:val="105"/>
          <w:sz w:val="21"/>
        </w:rPr>
        <w:t>investment</w:t>
      </w:r>
      <w:r>
        <w:rPr>
          <w:color w:val="1C1C1C"/>
          <w:w w:val="105"/>
          <w:sz w:val="21"/>
        </w:rPr>
        <w:t> </w:t>
      </w:r>
      <w:r>
        <w:rPr>
          <w:color w:val="0C0C0C"/>
          <w:w w:val="105"/>
          <w:sz w:val="21"/>
        </w:rPr>
        <w:t>income and expenditure line </w:t>
      </w:r>
      <w:r>
        <w:rPr>
          <w:color w:val="1C1C1C"/>
          <w:w w:val="105"/>
          <w:sz w:val="21"/>
        </w:rPr>
        <w:t>in </w:t>
      </w:r>
      <w:r>
        <w:rPr>
          <w:color w:val="0C0C0C"/>
          <w:w w:val="105"/>
          <w:sz w:val="21"/>
        </w:rPr>
        <w:t>the Comprehensive</w:t>
      </w:r>
      <w:r>
        <w:rPr>
          <w:color w:val="0C0C0C"/>
          <w:w w:val="105"/>
          <w:sz w:val="21"/>
        </w:rPr>
        <w:t> Income and Expenditure</w:t>
      </w:r>
      <w:r>
        <w:rPr>
          <w:color w:val="0C0C0C"/>
          <w:w w:val="105"/>
          <w:sz w:val="21"/>
        </w:rPr>
        <w:t> Statement.</w:t>
      </w:r>
      <w:r>
        <w:rPr>
          <w:color w:val="0C0C0C"/>
          <w:w w:val="105"/>
          <w:sz w:val="21"/>
        </w:rPr>
        <w:t> There</w:t>
      </w:r>
      <w:r>
        <w:rPr>
          <w:color w:val="0C0C0C"/>
          <w:w w:val="105"/>
          <w:sz w:val="21"/>
        </w:rPr>
        <w:t> are no restrictions</w:t>
      </w:r>
      <w:r>
        <w:rPr>
          <w:color w:val="0C0C0C"/>
          <w:w w:val="105"/>
          <w:sz w:val="21"/>
        </w:rPr>
        <w:t> on the Council's</w:t>
      </w:r>
      <w:r>
        <w:rPr>
          <w:color w:val="0C0C0C"/>
          <w:w w:val="105"/>
          <w:sz w:val="21"/>
        </w:rPr>
        <w:t> ability</w:t>
      </w:r>
      <w:r>
        <w:rPr>
          <w:color w:val="0C0C0C"/>
          <w:w w:val="105"/>
          <w:sz w:val="21"/>
        </w:rPr>
        <w:t> to realise the value inherent </w:t>
      </w:r>
      <w:r>
        <w:rPr>
          <w:color w:val="1C1C1C"/>
          <w:w w:val="105"/>
          <w:sz w:val="21"/>
        </w:rPr>
        <w:t>in</w:t>
      </w:r>
      <w:r>
        <w:rPr>
          <w:color w:val="1C1C1C"/>
          <w:spacing w:val="-10"/>
          <w:w w:val="105"/>
          <w:sz w:val="21"/>
        </w:rPr>
        <w:t> </w:t>
      </w:r>
      <w:r>
        <w:rPr>
          <w:color w:val="0C0C0C"/>
          <w:w w:val="105"/>
          <w:sz w:val="21"/>
        </w:rPr>
        <w:t>its</w:t>
      </w:r>
      <w:r>
        <w:rPr>
          <w:color w:val="0C0C0C"/>
          <w:spacing w:val="-2"/>
          <w:w w:val="105"/>
          <w:sz w:val="21"/>
        </w:rPr>
        <w:t> </w:t>
      </w:r>
      <w:r>
        <w:rPr>
          <w:color w:val="0C0C0C"/>
          <w:w w:val="105"/>
          <w:sz w:val="21"/>
        </w:rPr>
        <w:t>investment property or on</w:t>
      </w:r>
      <w:r>
        <w:rPr>
          <w:color w:val="0C0C0C"/>
          <w:spacing w:val="-8"/>
          <w:w w:val="105"/>
          <w:sz w:val="21"/>
        </w:rPr>
        <w:t> </w:t>
      </w:r>
      <w:r>
        <w:rPr>
          <w:color w:val="0C0C0C"/>
          <w:w w:val="105"/>
          <w:sz w:val="21"/>
        </w:rPr>
        <w:t>the council's right to the</w:t>
      </w:r>
      <w:r>
        <w:rPr>
          <w:color w:val="0C0C0C"/>
          <w:spacing w:val="-4"/>
          <w:w w:val="105"/>
          <w:sz w:val="21"/>
        </w:rPr>
        <w:t> </w:t>
      </w:r>
      <w:r>
        <w:rPr>
          <w:color w:val="0C0C0C"/>
          <w:w w:val="105"/>
          <w:sz w:val="21"/>
        </w:rPr>
        <w:t>remittance of income and</w:t>
      </w:r>
      <w:r>
        <w:rPr>
          <w:color w:val="0C0C0C"/>
          <w:spacing w:val="-5"/>
          <w:w w:val="105"/>
          <w:sz w:val="21"/>
        </w:rPr>
        <w:t> </w:t>
      </w:r>
      <w:r>
        <w:rPr>
          <w:color w:val="0C0C0C"/>
          <w:w w:val="105"/>
          <w:sz w:val="21"/>
        </w:rPr>
        <w:t>the proceeds</w:t>
      </w:r>
      <w:r>
        <w:rPr>
          <w:color w:val="0C0C0C"/>
          <w:w w:val="105"/>
          <w:sz w:val="21"/>
        </w:rPr>
        <w:t> of disposal.</w:t>
      </w:r>
      <w:r>
        <w:rPr>
          <w:color w:val="0C0C0C"/>
          <w:spacing w:val="40"/>
          <w:w w:val="105"/>
          <w:sz w:val="21"/>
        </w:rPr>
        <w:t> </w:t>
      </w:r>
      <w:r>
        <w:rPr>
          <w:color w:val="0C0C0C"/>
          <w:w w:val="105"/>
          <w:sz w:val="21"/>
        </w:rPr>
        <w:t>The</w:t>
      </w:r>
      <w:r>
        <w:rPr>
          <w:color w:val="0C0C0C"/>
          <w:w w:val="105"/>
          <w:sz w:val="21"/>
        </w:rPr>
        <w:t> Council</w:t>
      </w:r>
      <w:r>
        <w:rPr>
          <w:color w:val="0C0C0C"/>
          <w:w w:val="105"/>
          <w:sz w:val="21"/>
        </w:rPr>
        <w:t> has</w:t>
      </w:r>
      <w:r>
        <w:rPr>
          <w:color w:val="0C0C0C"/>
          <w:w w:val="105"/>
          <w:sz w:val="21"/>
        </w:rPr>
        <w:t> no contractual</w:t>
      </w:r>
      <w:r>
        <w:rPr>
          <w:color w:val="0C0C0C"/>
          <w:w w:val="105"/>
          <w:sz w:val="21"/>
        </w:rPr>
        <w:t> obligations</w:t>
      </w:r>
      <w:r>
        <w:rPr>
          <w:color w:val="0C0C0C"/>
          <w:w w:val="105"/>
          <w:sz w:val="21"/>
        </w:rPr>
        <w:t> to purchase,</w:t>
      </w:r>
      <w:r>
        <w:rPr>
          <w:color w:val="0C0C0C"/>
          <w:w w:val="105"/>
          <w:sz w:val="21"/>
        </w:rPr>
        <w:t> construct</w:t>
      </w:r>
      <w:r>
        <w:rPr>
          <w:color w:val="0C0C0C"/>
          <w:w w:val="105"/>
          <w:sz w:val="21"/>
        </w:rPr>
        <w:t> or develop investment property</w:t>
      </w:r>
      <w:r>
        <w:rPr>
          <w:color w:val="0C0C0C"/>
          <w:w w:val="105"/>
          <w:sz w:val="21"/>
        </w:rPr>
        <w:t> or for repairs, maintenance</w:t>
      </w:r>
      <w:r>
        <w:rPr>
          <w:color w:val="0C0C0C"/>
          <w:w w:val="105"/>
          <w:sz w:val="21"/>
        </w:rPr>
        <w:t> or enhancement.</w:t>
      </w:r>
      <w:r>
        <w:rPr>
          <w:color w:val="0C0C0C"/>
          <w:w w:val="105"/>
          <w:sz w:val="21"/>
        </w:rPr>
        <w:t> The following table summarises the movement in the fair value of investment property over the year:</w:t>
      </w:r>
    </w:p>
    <w:p>
      <w:pPr>
        <w:pStyle w:val="BodyText"/>
        <w:rPr>
          <w:sz w:val="20"/>
        </w:rPr>
      </w:pPr>
    </w:p>
    <w:p>
      <w:pPr>
        <w:pStyle w:val="BodyText"/>
        <w:spacing w:before="159"/>
        <w:rPr>
          <w:sz w:val="20"/>
        </w:rPr>
      </w:pPr>
    </w:p>
    <w:p>
      <w:pPr>
        <w:spacing w:after="0"/>
        <w:rPr>
          <w:sz w:val="20"/>
        </w:rPr>
        <w:sectPr>
          <w:headerReference w:type="even" r:id="rId161"/>
          <w:headerReference w:type="default" r:id="rId162"/>
          <w:footerReference w:type="even" r:id="rId163"/>
          <w:footerReference w:type="default" r:id="rId164"/>
          <w:pgSz w:w="11910" w:h="16830"/>
          <w:pgMar w:top="1060" w:right="300" w:bottom="1200" w:left="0" w:header="860" w:footer="1010"/>
          <w:pgNumType w:start="76"/>
        </w:sectPr>
      </w:pPr>
    </w:p>
    <w:p>
      <w:pPr>
        <w:spacing w:before="99"/>
        <w:ind w:left="12" w:right="51" w:firstLine="0"/>
        <w:jc w:val="center"/>
        <w:rPr>
          <w:b/>
          <w:sz w:val="21"/>
        </w:rPr>
      </w:pPr>
      <w:r>
        <w:rPr>
          <w:b/>
          <w:color w:val="0C0C0C"/>
          <w:sz w:val="21"/>
        </w:rPr>
        <w:t>2021-</w:t>
      </w:r>
      <w:r>
        <w:rPr>
          <w:b/>
          <w:color w:val="0C0C0C"/>
          <w:spacing w:val="-5"/>
          <w:sz w:val="21"/>
        </w:rPr>
        <w:t>22</w:t>
      </w:r>
    </w:p>
    <w:p>
      <w:pPr>
        <w:spacing w:before="133"/>
        <w:ind w:left="0" w:right="51" w:firstLine="0"/>
        <w:jc w:val="center"/>
        <w:rPr>
          <w:b/>
          <w:sz w:val="21"/>
        </w:rPr>
      </w:pPr>
      <w:r>
        <w:rPr>
          <w:b/>
          <w:color w:val="0C0C0C"/>
          <w:spacing w:val="-4"/>
          <w:w w:val="105"/>
          <w:sz w:val="21"/>
        </w:rPr>
        <w:t>£000</w:t>
      </w:r>
    </w:p>
    <w:p>
      <w:pPr>
        <w:pStyle w:val="BodyText"/>
        <w:spacing w:before="89"/>
        <w:rPr>
          <w:b/>
          <w:sz w:val="21"/>
        </w:rPr>
      </w:pPr>
    </w:p>
    <w:p>
      <w:pPr>
        <w:tabs>
          <w:tab w:val="left" w:leader="none" w:pos="3091"/>
        </w:tabs>
        <w:spacing w:before="0"/>
        <w:ind w:left="1948" w:right="0" w:firstLine="0"/>
        <w:jc w:val="left"/>
        <w:rPr>
          <w:b/>
          <w:sz w:val="21"/>
        </w:rPr>
      </w:pPr>
      <w:r>
        <w:rPr>
          <w:b/>
          <w:color w:val="0C0C0C"/>
          <w:spacing w:val="-4"/>
          <w:w w:val="105"/>
          <w:sz w:val="21"/>
        </w:rPr>
        <w:t>8,509</w:t>
      </w:r>
      <w:r>
        <w:rPr>
          <w:b/>
          <w:color w:val="0C0C0C"/>
          <w:sz w:val="21"/>
        </w:rPr>
        <w:tab/>
      </w:r>
      <w:r>
        <w:rPr>
          <w:b/>
          <w:color w:val="0C0C0C"/>
          <w:w w:val="105"/>
          <w:sz w:val="21"/>
        </w:rPr>
        <w:t>At</w:t>
      </w:r>
      <w:r>
        <w:rPr>
          <w:b/>
          <w:color w:val="0C0C0C"/>
          <w:spacing w:val="-4"/>
          <w:w w:val="105"/>
          <w:sz w:val="21"/>
        </w:rPr>
        <w:t> </w:t>
      </w:r>
      <w:r>
        <w:rPr>
          <w:b/>
          <w:color w:val="0C0C0C"/>
          <w:w w:val="105"/>
          <w:sz w:val="21"/>
        </w:rPr>
        <w:t>1</w:t>
      </w:r>
      <w:r>
        <w:rPr>
          <w:b/>
          <w:color w:val="0C0C0C"/>
          <w:spacing w:val="10"/>
          <w:w w:val="105"/>
          <w:sz w:val="21"/>
        </w:rPr>
        <w:t> </w:t>
      </w:r>
      <w:r>
        <w:rPr>
          <w:b/>
          <w:color w:val="0C0C0C"/>
          <w:spacing w:val="-2"/>
          <w:w w:val="105"/>
          <w:sz w:val="21"/>
        </w:rPr>
        <w:t>April</w:t>
      </w:r>
    </w:p>
    <w:p>
      <w:pPr>
        <w:spacing w:before="94"/>
        <w:ind w:left="481" w:right="3" w:firstLine="0"/>
        <w:jc w:val="center"/>
        <w:rPr>
          <w:b/>
          <w:sz w:val="21"/>
        </w:rPr>
      </w:pPr>
      <w:r>
        <w:rPr/>
        <w:br w:type="column"/>
      </w:r>
      <w:r>
        <w:rPr>
          <w:b/>
          <w:color w:val="0C0C0C"/>
          <w:sz w:val="21"/>
        </w:rPr>
        <w:t>2022-</w:t>
      </w:r>
      <w:r>
        <w:rPr>
          <w:b/>
          <w:color w:val="0C0C0C"/>
          <w:spacing w:val="-5"/>
          <w:sz w:val="21"/>
        </w:rPr>
        <w:t>23</w:t>
      </w:r>
    </w:p>
    <w:p>
      <w:pPr>
        <w:spacing w:before="133"/>
        <w:ind w:left="481" w:right="0" w:firstLine="0"/>
        <w:jc w:val="center"/>
        <w:rPr>
          <w:b/>
          <w:sz w:val="21"/>
        </w:rPr>
      </w:pPr>
      <w:r>
        <w:rPr>
          <w:b/>
          <w:color w:val="0C0C0C"/>
          <w:spacing w:val="-4"/>
          <w:w w:val="105"/>
          <w:sz w:val="21"/>
        </w:rPr>
        <w:t>£000</w:t>
      </w:r>
    </w:p>
    <w:p>
      <w:pPr>
        <w:pStyle w:val="BodyText"/>
        <w:spacing w:before="89"/>
        <w:rPr>
          <w:b/>
          <w:sz w:val="21"/>
        </w:rPr>
      </w:pPr>
    </w:p>
    <w:p>
      <w:pPr>
        <w:spacing w:before="0"/>
        <w:ind w:left="1964" w:right="0" w:firstLine="0"/>
        <w:jc w:val="left"/>
        <w:rPr>
          <w:b/>
          <w:sz w:val="21"/>
        </w:rPr>
      </w:pPr>
      <w:r>
        <w:rPr>
          <w:b/>
          <w:color w:val="0C0C0C"/>
          <w:spacing w:val="-4"/>
          <w:w w:val="105"/>
          <w:sz w:val="21"/>
        </w:rPr>
        <w:t>9,692</w:t>
      </w:r>
    </w:p>
    <w:p>
      <w:pPr>
        <w:spacing w:after="0"/>
        <w:jc w:val="left"/>
        <w:rPr>
          <w:sz w:val="21"/>
        </w:rPr>
        <w:sectPr>
          <w:type w:val="continuous"/>
          <w:pgSz w:w="11910" w:h="16830"/>
          <w:pgMar w:top="1940" w:right="300" w:bottom="280" w:left="0" w:header="860" w:footer="1010"/>
          <w:cols w:equalWidth="0" w:num="2">
            <w:col w:w="4115" w:space="3895"/>
            <w:col w:w="3600"/>
          </w:cols>
        </w:sectPr>
      </w:pPr>
    </w:p>
    <w:p>
      <w:pPr>
        <w:pStyle w:val="BodyText"/>
        <w:rPr>
          <w:b/>
          <w:sz w:val="20"/>
        </w:rPr>
      </w:pPr>
    </w:p>
    <w:p>
      <w:pPr>
        <w:pStyle w:val="BodyText"/>
        <w:spacing w:before="115"/>
        <w:rPr>
          <w:b/>
          <w:sz w:val="20"/>
        </w:rPr>
      </w:pPr>
    </w:p>
    <w:tbl>
      <w:tblPr>
        <w:tblW w:w="0" w:type="auto"/>
        <w:jc w:val="left"/>
        <w:tblInd w:w="125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722"/>
        <w:gridCol w:w="6007"/>
        <w:gridCol w:w="1543"/>
      </w:tblGrid>
      <w:tr>
        <w:trPr>
          <w:trHeight w:val="266" w:hRule="atLeast"/>
        </w:trPr>
        <w:tc>
          <w:tcPr>
            <w:tcW w:w="1722" w:type="dxa"/>
          </w:tcPr>
          <w:p>
            <w:pPr>
              <w:pStyle w:val="TableParagraph"/>
              <w:rPr>
                <w:rFonts w:ascii="Times New Roman"/>
                <w:sz w:val="18"/>
              </w:rPr>
            </w:pPr>
          </w:p>
        </w:tc>
        <w:tc>
          <w:tcPr>
            <w:tcW w:w="6007" w:type="dxa"/>
          </w:tcPr>
          <w:p>
            <w:pPr>
              <w:pStyle w:val="TableParagraph"/>
              <w:spacing w:line="235" w:lineRule="exact"/>
              <w:ind w:left="44"/>
              <w:rPr>
                <w:sz w:val="21"/>
              </w:rPr>
            </w:pPr>
            <w:r>
              <w:rPr>
                <w:color w:val="0E0E0E"/>
                <w:w w:val="105"/>
                <w:sz w:val="21"/>
              </w:rPr>
              <w:t>Additions</w:t>
            </w:r>
            <w:r>
              <w:rPr>
                <w:color w:val="0E0E0E"/>
                <w:spacing w:val="-2"/>
                <w:w w:val="105"/>
                <w:sz w:val="21"/>
              </w:rPr>
              <w:t> </w:t>
            </w:r>
            <w:r>
              <w:rPr>
                <w:color w:val="0E0E0E"/>
                <w:w w:val="105"/>
                <w:sz w:val="21"/>
              </w:rPr>
              <w:t>in</w:t>
            </w:r>
            <w:r>
              <w:rPr>
                <w:color w:val="0E0E0E"/>
                <w:spacing w:val="-5"/>
                <w:w w:val="105"/>
                <w:sz w:val="21"/>
              </w:rPr>
              <w:t> </w:t>
            </w:r>
            <w:r>
              <w:rPr>
                <w:color w:val="0E0E0E"/>
                <w:spacing w:val="-4"/>
                <w:w w:val="105"/>
                <w:sz w:val="21"/>
              </w:rPr>
              <w:t>year</w:t>
            </w:r>
          </w:p>
        </w:tc>
        <w:tc>
          <w:tcPr>
            <w:tcW w:w="1543" w:type="dxa"/>
          </w:tcPr>
          <w:p>
            <w:pPr>
              <w:pStyle w:val="TableParagraph"/>
              <w:rPr>
                <w:rFonts w:ascii="Times New Roman"/>
                <w:sz w:val="18"/>
              </w:rPr>
            </w:pPr>
          </w:p>
        </w:tc>
      </w:tr>
      <w:tr>
        <w:trPr>
          <w:trHeight w:val="302" w:hRule="atLeast"/>
        </w:trPr>
        <w:tc>
          <w:tcPr>
            <w:tcW w:w="1722" w:type="dxa"/>
          </w:tcPr>
          <w:p>
            <w:pPr>
              <w:pStyle w:val="TableParagraph"/>
              <w:spacing w:before="25"/>
              <w:ind w:right="8"/>
              <w:jc w:val="center"/>
              <w:rPr>
                <w:sz w:val="21"/>
              </w:rPr>
            </w:pPr>
            <w:r>
              <w:rPr>
                <w:color w:val="0E0E0E"/>
                <w:spacing w:val="-4"/>
                <w:w w:val="105"/>
                <w:sz w:val="21"/>
              </w:rPr>
              <w:t>1,183</w:t>
            </w:r>
          </w:p>
        </w:tc>
        <w:tc>
          <w:tcPr>
            <w:tcW w:w="6007" w:type="dxa"/>
          </w:tcPr>
          <w:p>
            <w:pPr>
              <w:pStyle w:val="TableParagraph"/>
              <w:spacing w:before="25"/>
              <w:ind w:left="42"/>
              <w:rPr>
                <w:sz w:val="21"/>
              </w:rPr>
            </w:pPr>
            <w:r>
              <w:rPr>
                <w:color w:val="0E0E0E"/>
                <w:w w:val="105"/>
                <w:sz w:val="21"/>
              </w:rPr>
              <w:t>Net gains/</w:t>
            </w:r>
            <w:r>
              <w:rPr>
                <w:color w:val="0E0E0E"/>
                <w:spacing w:val="7"/>
                <w:w w:val="105"/>
                <w:sz w:val="21"/>
              </w:rPr>
              <w:t> </w:t>
            </w:r>
            <w:r>
              <w:rPr>
                <w:color w:val="0E0E0E"/>
                <w:w w:val="105"/>
                <w:sz w:val="21"/>
              </w:rPr>
              <w:t>(losses)</w:t>
            </w:r>
            <w:r>
              <w:rPr>
                <w:color w:val="0E0E0E"/>
                <w:spacing w:val="11"/>
                <w:w w:val="105"/>
                <w:sz w:val="21"/>
              </w:rPr>
              <w:t> </w:t>
            </w:r>
            <w:r>
              <w:rPr>
                <w:color w:val="0E0E0E"/>
                <w:w w:val="105"/>
                <w:sz w:val="21"/>
              </w:rPr>
              <w:t>from</w:t>
            </w:r>
            <w:r>
              <w:rPr>
                <w:color w:val="0E0E0E"/>
                <w:spacing w:val="-2"/>
                <w:w w:val="105"/>
                <w:sz w:val="21"/>
              </w:rPr>
              <w:t> </w:t>
            </w:r>
            <w:r>
              <w:rPr>
                <w:color w:val="0E0E0E"/>
                <w:w w:val="105"/>
                <w:sz w:val="21"/>
              </w:rPr>
              <w:t>Fair</w:t>
            </w:r>
            <w:r>
              <w:rPr>
                <w:color w:val="0E0E0E"/>
                <w:spacing w:val="9"/>
                <w:w w:val="105"/>
                <w:sz w:val="21"/>
              </w:rPr>
              <w:t> </w:t>
            </w:r>
            <w:r>
              <w:rPr>
                <w:color w:val="0E0E0E"/>
                <w:w w:val="105"/>
                <w:sz w:val="21"/>
              </w:rPr>
              <w:t>Value</w:t>
            </w:r>
            <w:r>
              <w:rPr>
                <w:color w:val="0E0E0E"/>
                <w:spacing w:val="6"/>
                <w:w w:val="105"/>
                <w:sz w:val="21"/>
              </w:rPr>
              <w:t> </w:t>
            </w:r>
            <w:r>
              <w:rPr>
                <w:color w:val="0E0E0E"/>
                <w:spacing w:val="-2"/>
                <w:w w:val="105"/>
                <w:sz w:val="21"/>
              </w:rPr>
              <w:t>adjustments</w:t>
            </w:r>
          </w:p>
        </w:tc>
        <w:tc>
          <w:tcPr>
            <w:tcW w:w="1543" w:type="dxa"/>
          </w:tcPr>
          <w:p>
            <w:pPr>
              <w:pStyle w:val="TableParagraph"/>
              <w:spacing w:before="29"/>
              <w:ind w:left="985"/>
              <w:rPr>
                <w:sz w:val="21"/>
              </w:rPr>
            </w:pPr>
            <w:r>
              <w:rPr>
                <w:color w:val="0E0E0E"/>
                <w:spacing w:val="-5"/>
                <w:w w:val="105"/>
                <w:sz w:val="21"/>
              </w:rPr>
              <w:t>815</w:t>
            </w:r>
          </w:p>
        </w:tc>
      </w:tr>
      <w:tr>
        <w:trPr>
          <w:trHeight w:val="598" w:hRule="atLeast"/>
        </w:trPr>
        <w:tc>
          <w:tcPr>
            <w:tcW w:w="1722" w:type="dxa"/>
          </w:tcPr>
          <w:p>
            <w:pPr>
              <w:pStyle w:val="TableParagraph"/>
              <w:rPr>
                <w:rFonts w:ascii="Times New Roman"/>
                <w:sz w:val="20"/>
              </w:rPr>
            </w:pPr>
          </w:p>
        </w:tc>
        <w:tc>
          <w:tcPr>
            <w:tcW w:w="6007" w:type="dxa"/>
          </w:tcPr>
          <w:p>
            <w:pPr>
              <w:pStyle w:val="TableParagraph"/>
              <w:spacing w:before="44"/>
              <w:ind w:left="47"/>
              <w:rPr>
                <w:sz w:val="21"/>
              </w:rPr>
            </w:pPr>
            <w:r>
              <w:rPr>
                <w:color w:val="0E0E0E"/>
                <w:spacing w:val="-2"/>
                <w:w w:val="105"/>
                <w:sz w:val="21"/>
              </w:rPr>
              <w:t>Disposals</w:t>
            </w:r>
          </w:p>
          <w:p>
            <w:pPr>
              <w:pStyle w:val="TableParagraph"/>
              <w:spacing w:before="37"/>
              <w:ind w:left="48"/>
              <w:rPr>
                <w:sz w:val="21"/>
              </w:rPr>
            </w:pPr>
            <w:r>
              <w:rPr>
                <w:color w:val="0E0E0E"/>
                <w:w w:val="105"/>
                <w:sz w:val="21"/>
              </w:rPr>
              <w:t>Other</w:t>
            </w:r>
            <w:r>
              <w:rPr>
                <w:color w:val="0E0E0E"/>
                <w:spacing w:val="-8"/>
                <w:w w:val="105"/>
                <w:sz w:val="21"/>
              </w:rPr>
              <w:t> </w:t>
            </w:r>
            <w:r>
              <w:rPr>
                <w:color w:val="0E0E0E"/>
                <w:spacing w:val="-2"/>
                <w:w w:val="105"/>
                <w:sz w:val="21"/>
              </w:rPr>
              <w:t>movements</w:t>
            </w:r>
          </w:p>
        </w:tc>
        <w:tc>
          <w:tcPr>
            <w:tcW w:w="1543" w:type="dxa"/>
          </w:tcPr>
          <w:p>
            <w:pPr>
              <w:pStyle w:val="TableParagraph"/>
              <w:spacing w:before="25"/>
              <w:ind w:left="894"/>
              <w:rPr>
                <w:sz w:val="21"/>
              </w:rPr>
            </w:pPr>
            <w:r>
              <w:rPr>
                <w:color w:val="0E0E0E"/>
                <w:spacing w:val="-2"/>
                <w:w w:val="105"/>
                <w:sz w:val="21"/>
              </w:rPr>
              <w:t>(431)</w:t>
            </w:r>
          </w:p>
        </w:tc>
      </w:tr>
      <w:tr>
        <w:trPr>
          <w:trHeight w:val="594" w:hRule="atLeast"/>
        </w:trPr>
        <w:tc>
          <w:tcPr>
            <w:tcW w:w="1722" w:type="dxa"/>
          </w:tcPr>
          <w:p>
            <w:pPr>
              <w:pStyle w:val="TableParagraph"/>
              <w:rPr>
                <w:b/>
                <w:sz w:val="20"/>
              </w:rPr>
            </w:pPr>
          </w:p>
          <w:p>
            <w:pPr>
              <w:pStyle w:val="TableParagraph"/>
              <w:spacing w:before="134"/>
              <w:rPr>
                <w:b/>
                <w:sz w:val="20"/>
              </w:rPr>
            </w:pPr>
          </w:p>
          <w:p>
            <w:pPr>
              <w:pStyle w:val="TableParagraph"/>
              <w:spacing w:line="20" w:lineRule="exact"/>
              <w:ind w:left="136"/>
              <w:rPr>
                <w:sz w:val="2"/>
              </w:rPr>
            </w:pPr>
            <w:r>
              <w:rPr>
                <w:sz w:val="2"/>
              </w:rPr>
              <ve:AlternateContent>
                <ve:Choice Requires="wps">
                  <w:drawing>
                    <wp:inline distT="0" distB="0" distL="0" distR="0">
                      <wp:extent cx="745490" cy="9525"/>
                      <wp:effectExtent l="9525" t="0" r="0" b="0"/>
                      <wp:docPr id="350" name="Group 350"/>
                      <wp:cNvGraphicFramePr>
                        <a:graphicFrameLocks/>
                      </wp:cNvGraphicFramePr>
                      <a:graphic>
                        <a:graphicData uri="http://schemas.microsoft.com/office/word/2010/wordprocessingGroup">
                          <wpg:wgp>
                            <wpg:cNvPr id="350" name="Group 350"/>
                            <wpg:cNvGrpSpPr/>
                            <wpg:grpSpPr>
                              <a:xfrm>
                                <a:off x="0" y="0"/>
                                <a:ext cx="745490" cy="9525"/>
                                <a:chExt cx="745490" cy="9525"/>
                              </a:xfrm>
                            </wpg:grpSpPr>
                            <wps:wsp>
                              <wps:cNvPr id="351" name="Graphic 351"/>
                              <wps:cNvSpPr/>
                              <wps:spPr>
                                <a:xfrm>
                                  <a:off x="0" y="4577"/>
                                  <a:ext cx="745490" cy="1270"/>
                                </a:xfrm>
                                <a:custGeom>
                                  <a:avLst/>
                                  <a:gdLst/>
                                  <a:ahLst/>
                                  <a:cxnLst/>
                                  <a:rect l="l" t="t" r="r" b="b"/>
                                  <a:pathLst>
                                    <a:path w="745490" h="0">
                                      <a:moveTo>
                                        <a:pt x="0" y="0"/>
                                      </a:moveTo>
                                      <a:lnTo>
                                        <a:pt x="744911"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35" style="width:58.7pt;height:.75pt;mso-position-horizontal-relative:char;mso-position-vertical-relative:line" coordsize="1174,15" coordorigin="0,0">
                      <v:line style="position:absolute" stroked="true" strokecolor="#000000" strokeweight=".720821pt" from="0,7" to="1173,7">
                        <v:stroke dashstyle="solid"/>
                      </v:line>
                    </v:group>
                  </w:pict>
                </ve:Fallback>
              </ve:AlternateContent>
            </w:r>
            <w:r>
              <w:rPr>
                <w:sz w:val="2"/>
              </w:rPr>
            </w:r>
          </w:p>
        </w:tc>
        <w:tc>
          <w:tcPr>
            <w:tcW w:w="6007" w:type="dxa"/>
          </w:tcPr>
          <w:p>
            <w:pPr>
              <w:pStyle w:val="TableParagraph"/>
              <w:spacing w:before="27"/>
              <w:ind w:left="49"/>
              <w:rPr>
                <w:sz w:val="21"/>
              </w:rPr>
            </w:pPr>
            <w:r>
              <w:rPr>
                <w:color w:val="0E0E0E"/>
                <w:w w:val="105"/>
                <w:sz w:val="21"/>
              </w:rPr>
              <w:t>Assets</w:t>
            </w:r>
            <w:r>
              <w:rPr>
                <w:color w:val="0E0E0E"/>
                <w:spacing w:val="-13"/>
                <w:w w:val="105"/>
                <w:sz w:val="21"/>
              </w:rPr>
              <w:t> </w:t>
            </w:r>
            <w:r>
              <w:rPr>
                <w:color w:val="0E0E0E"/>
                <w:w w:val="105"/>
                <w:sz w:val="21"/>
              </w:rPr>
              <w:t>reclassified</w:t>
            </w:r>
            <w:r>
              <w:rPr>
                <w:color w:val="0E0E0E"/>
                <w:spacing w:val="-6"/>
                <w:w w:val="105"/>
                <w:sz w:val="21"/>
              </w:rPr>
              <w:t> </w:t>
            </w:r>
            <w:r>
              <w:rPr>
                <w:color w:val="0E0E0E"/>
                <w:w w:val="105"/>
                <w:sz w:val="21"/>
              </w:rPr>
              <w:t>(to)/from</w:t>
            </w:r>
            <w:r>
              <w:rPr>
                <w:color w:val="0E0E0E"/>
                <w:spacing w:val="-5"/>
                <w:w w:val="105"/>
                <w:sz w:val="21"/>
              </w:rPr>
              <w:t> </w:t>
            </w:r>
            <w:r>
              <w:rPr>
                <w:color w:val="0E0E0E"/>
                <w:w w:val="105"/>
                <w:sz w:val="21"/>
              </w:rPr>
              <w:t>Property,</w:t>
            </w:r>
            <w:r>
              <w:rPr>
                <w:color w:val="0E0E0E"/>
                <w:spacing w:val="-3"/>
                <w:w w:val="105"/>
                <w:sz w:val="21"/>
              </w:rPr>
              <w:t> </w:t>
            </w:r>
            <w:r>
              <w:rPr>
                <w:color w:val="0E0E0E"/>
                <w:w w:val="105"/>
                <w:sz w:val="21"/>
              </w:rPr>
              <w:t>Plant</w:t>
            </w:r>
            <w:r>
              <w:rPr>
                <w:color w:val="0E0E0E"/>
                <w:spacing w:val="-7"/>
                <w:w w:val="105"/>
                <w:sz w:val="21"/>
              </w:rPr>
              <w:t> </w:t>
            </w:r>
            <w:r>
              <w:rPr>
                <w:color w:val="0E0E0E"/>
                <w:w w:val="105"/>
                <w:sz w:val="21"/>
              </w:rPr>
              <w:t>and</w:t>
            </w:r>
            <w:r>
              <w:rPr>
                <w:color w:val="0E0E0E"/>
                <w:spacing w:val="-16"/>
                <w:w w:val="105"/>
                <w:sz w:val="21"/>
              </w:rPr>
              <w:t> </w:t>
            </w:r>
            <w:r>
              <w:rPr>
                <w:color w:val="0E0E0E"/>
                <w:spacing w:val="-2"/>
                <w:w w:val="105"/>
                <w:sz w:val="21"/>
              </w:rPr>
              <w:t>Equipment</w:t>
            </w:r>
          </w:p>
        </w:tc>
        <w:tc>
          <w:tcPr>
            <w:tcW w:w="1543" w:type="dxa"/>
          </w:tcPr>
          <w:p>
            <w:pPr>
              <w:pStyle w:val="TableParagraph"/>
              <w:rPr>
                <w:b/>
                <w:sz w:val="20"/>
              </w:rPr>
            </w:pPr>
          </w:p>
          <w:p>
            <w:pPr>
              <w:pStyle w:val="TableParagraph"/>
              <w:spacing w:before="134"/>
              <w:rPr>
                <w:b/>
                <w:sz w:val="20"/>
              </w:rPr>
            </w:pPr>
          </w:p>
          <w:p>
            <w:pPr>
              <w:pStyle w:val="TableParagraph"/>
              <w:spacing w:line="20" w:lineRule="exact"/>
              <w:ind w:left="368" w:right="-58"/>
              <w:rPr>
                <w:sz w:val="2"/>
              </w:rPr>
            </w:pPr>
            <w:r>
              <w:rPr>
                <w:sz w:val="2"/>
              </w:rPr>
              <ve:AlternateContent>
                <ve:Choice Requires="wps">
                  <w:drawing>
                    <wp:inline distT="0" distB="0" distL="0" distR="0">
                      <wp:extent cx="745490" cy="9525"/>
                      <wp:effectExtent l="9525" t="0" r="0" b="0"/>
                      <wp:docPr id="352" name="Group 352"/>
                      <wp:cNvGraphicFramePr>
                        <a:graphicFrameLocks/>
                      </wp:cNvGraphicFramePr>
                      <a:graphic>
                        <a:graphicData uri="http://schemas.microsoft.com/office/word/2010/wordprocessingGroup">
                          <wpg:wgp>
                            <wpg:cNvPr id="352" name="Group 352"/>
                            <wpg:cNvGrpSpPr/>
                            <wpg:grpSpPr>
                              <a:xfrm>
                                <a:off x="0" y="0"/>
                                <a:ext cx="745490" cy="9525"/>
                                <a:chExt cx="745490" cy="9525"/>
                              </a:xfrm>
                            </wpg:grpSpPr>
                            <wps:wsp>
                              <wps:cNvPr id="353" name="Graphic 353"/>
                              <wps:cNvSpPr/>
                              <wps:spPr>
                                <a:xfrm>
                                  <a:off x="0" y="4577"/>
                                  <a:ext cx="745490" cy="1270"/>
                                </a:xfrm>
                                <a:custGeom>
                                  <a:avLst/>
                                  <a:gdLst/>
                                  <a:ahLst/>
                                  <a:cxnLst/>
                                  <a:rect l="l" t="t" r="r" b="b"/>
                                  <a:pathLst>
                                    <a:path w="745490" h="0">
                                      <a:moveTo>
                                        <a:pt x="0" y="0"/>
                                      </a:moveTo>
                                      <a:lnTo>
                                        <a:pt x="744911"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36" style="width:58.7pt;height:.75pt;mso-position-horizontal-relative:char;mso-position-vertical-relative:line" coordsize="1174,15" coordorigin="0,0">
                      <v:line style="position:absolute" stroked="true" strokecolor="#000000" strokeweight=".720821pt" from="0,7" to="1173,7">
                        <v:stroke dashstyle="solid"/>
                      </v:line>
                    </v:group>
                  </w:pict>
                </ve:Fallback>
              </ve:AlternateContent>
            </w:r>
            <w:r>
              <w:rPr>
                <w:sz w:val="2"/>
              </w:rPr>
            </w:r>
          </w:p>
        </w:tc>
      </w:tr>
      <w:tr>
        <w:trPr>
          <w:trHeight w:val="287" w:hRule="atLeast"/>
        </w:trPr>
        <w:tc>
          <w:tcPr>
            <w:tcW w:w="1722" w:type="dxa"/>
          </w:tcPr>
          <w:p>
            <w:pPr>
              <w:pStyle w:val="TableParagraph"/>
              <w:spacing w:before="14"/>
              <w:ind w:left="643"/>
              <w:rPr>
                <w:b/>
                <w:sz w:val="22"/>
              </w:rPr>
            </w:pPr>
            <w:r>
              <w:rPr>
                <w:b/>
                <w:color w:val="0E0E0E"/>
                <w:spacing w:val="-2"/>
                <w:sz w:val="22"/>
              </w:rPr>
              <w:t>9,692</w:t>
            </w:r>
          </w:p>
        </w:tc>
        <w:tc>
          <w:tcPr>
            <w:tcW w:w="6007" w:type="dxa"/>
          </w:tcPr>
          <w:p>
            <w:pPr>
              <w:pStyle w:val="TableParagraph"/>
              <w:spacing w:before="9"/>
              <w:ind w:left="47"/>
              <w:rPr>
                <w:b/>
                <w:sz w:val="22"/>
              </w:rPr>
            </w:pPr>
            <w:r>
              <w:rPr>
                <w:b/>
                <w:color w:val="0E0E0E"/>
                <w:sz w:val="22"/>
              </w:rPr>
              <w:t>level</w:t>
            </w:r>
            <w:r>
              <w:rPr>
                <w:b/>
                <w:color w:val="0E0E0E"/>
                <w:spacing w:val="13"/>
                <w:sz w:val="22"/>
              </w:rPr>
              <w:t> </w:t>
            </w:r>
            <w:r>
              <w:rPr>
                <w:b/>
                <w:color w:val="0E0E0E"/>
                <w:sz w:val="22"/>
              </w:rPr>
              <w:t>2</w:t>
            </w:r>
            <w:r>
              <w:rPr>
                <w:b/>
                <w:color w:val="0E0E0E"/>
                <w:spacing w:val="3"/>
                <w:sz w:val="22"/>
              </w:rPr>
              <w:t> </w:t>
            </w:r>
            <w:r>
              <w:rPr>
                <w:b/>
                <w:color w:val="0E0E0E"/>
                <w:sz w:val="22"/>
              </w:rPr>
              <w:t>balances</w:t>
            </w:r>
            <w:r>
              <w:rPr>
                <w:b/>
                <w:color w:val="0E0E0E"/>
                <w:spacing w:val="26"/>
                <w:sz w:val="22"/>
              </w:rPr>
              <w:t> </w:t>
            </w:r>
            <w:r>
              <w:rPr>
                <w:b/>
                <w:color w:val="0E0E0E"/>
                <w:sz w:val="22"/>
              </w:rPr>
              <w:t>at</w:t>
            </w:r>
            <w:r>
              <w:rPr>
                <w:b/>
                <w:color w:val="0E0E0E"/>
                <w:spacing w:val="5"/>
                <w:sz w:val="22"/>
              </w:rPr>
              <w:t> </w:t>
            </w:r>
            <w:r>
              <w:rPr>
                <w:b/>
                <w:color w:val="0E0E0E"/>
                <w:sz w:val="22"/>
              </w:rPr>
              <w:t>31</w:t>
            </w:r>
            <w:r>
              <w:rPr>
                <w:b/>
                <w:color w:val="0E0E0E"/>
                <w:spacing w:val="1"/>
                <w:sz w:val="22"/>
              </w:rPr>
              <w:t> </w:t>
            </w:r>
            <w:r>
              <w:rPr>
                <w:b/>
                <w:color w:val="0E0E0E"/>
                <w:spacing w:val="-2"/>
                <w:sz w:val="22"/>
              </w:rPr>
              <w:t>March</w:t>
            </w:r>
          </w:p>
        </w:tc>
        <w:tc>
          <w:tcPr>
            <w:tcW w:w="1543" w:type="dxa"/>
          </w:tcPr>
          <w:p>
            <w:pPr>
              <w:pStyle w:val="TableParagraph"/>
              <w:spacing w:before="14"/>
              <w:ind w:left="745"/>
              <w:rPr>
                <w:b/>
                <w:sz w:val="22"/>
              </w:rPr>
            </w:pPr>
            <w:r>
              <w:rPr>
                <w:b/>
                <w:color w:val="0E0E0E"/>
                <w:spacing w:val="-2"/>
                <w:sz w:val="22"/>
              </w:rPr>
              <w:t>10,076</w:t>
            </w:r>
          </w:p>
        </w:tc>
      </w:tr>
      <w:tr>
        <w:trPr>
          <w:trHeight w:val="312" w:hRule="atLeast"/>
        </w:trPr>
        <w:tc>
          <w:tcPr>
            <w:tcW w:w="1722" w:type="dxa"/>
          </w:tcPr>
          <w:p>
            <w:pPr>
              <w:pStyle w:val="TableParagraph"/>
              <w:spacing w:line="20" w:lineRule="exact"/>
              <w:ind w:left="136"/>
              <w:rPr>
                <w:sz w:val="2"/>
              </w:rPr>
            </w:pPr>
            <w:r>
              <w:rPr>
                <w:sz w:val="2"/>
              </w:rPr>
              <ve:AlternateContent>
                <ve:Choice Requires="wps">
                  <w:drawing>
                    <wp:inline distT="0" distB="0" distL="0" distR="0">
                      <wp:extent cx="745490" cy="9525"/>
                      <wp:effectExtent l="9525" t="0" r="0" b="0"/>
                      <wp:docPr id="354" name="Group 354"/>
                      <wp:cNvGraphicFramePr>
                        <a:graphicFrameLocks/>
                      </wp:cNvGraphicFramePr>
                      <a:graphic>
                        <a:graphicData uri="http://schemas.microsoft.com/office/word/2010/wordprocessingGroup">
                          <wpg:wgp>
                            <wpg:cNvPr id="354" name="Group 354"/>
                            <wpg:cNvGrpSpPr/>
                            <wpg:grpSpPr>
                              <a:xfrm>
                                <a:off x="0" y="0"/>
                                <a:ext cx="745490" cy="9525"/>
                                <a:chExt cx="745490" cy="9525"/>
                              </a:xfrm>
                            </wpg:grpSpPr>
                            <wps:wsp>
                              <wps:cNvPr id="355" name="Graphic 355"/>
                              <wps:cNvSpPr/>
                              <wps:spPr>
                                <a:xfrm>
                                  <a:off x="0" y="4577"/>
                                  <a:ext cx="745490" cy="1270"/>
                                </a:xfrm>
                                <a:custGeom>
                                  <a:avLst/>
                                  <a:gdLst/>
                                  <a:ahLst/>
                                  <a:cxnLst/>
                                  <a:rect l="l" t="t" r="r" b="b"/>
                                  <a:pathLst>
                                    <a:path w="745490" h="0">
                                      <a:moveTo>
                                        <a:pt x="0" y="0"/>
                                      </a:moveTo>
                                      <a:lnTo>
                                        <a:pt x="744911"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37" style="width:58.7pt;height:.75pt;mso-position-horizontal-relative:char;mso-position-vertical-relative:line" coordsize="1174,15" coordorigin="0,0">
                      <v:line style="position:absolute" stroked="true" strokecolor="#000000" strokeweight=".720821pt" from="0,7" to="1173,7">
                        <v:stroke dashstyle="solid"/>
                      </v:line>
                    </v:group>
                  </w:pict>
                </ve:Fallback>
              </ve:AlternateContent>
            </w:r>
            <w:r>
              <w:rPr>
                <w:sz w:val="2"/>
              </w:rPr>
            </w:r>
          </w:p>
          <w:p>
            <w:pPr>
              <w:pStyle w:val="TableParagraph"/>
              <w:spacing w:before="62"/>
              <w:rPr>
                <w:b/>
                <w:sz w:val="20"/>
              </w:rPr>
            </w:pPr>
          </w:p>
          <w:p>
            <w:pPr>
              <w:pStyle w:val="TableParagraph"/>
              <w:spacing w:line="20" w:lineRule="exact"/>
              <w:ind w:left="136"/>
              <w:rPr>
                <w:sz w:val="2"/>
              </w:rPr>
            </w:pPr>
            <w:r>
              <w:rPr>
                <w:sz w:val="2"/>
              </w:rPr>
              <ve:AlternateContent>
                <ve:Choice Requires="wps">
                  <w:drawing>
                    <wp:inline distT="0" distB="0" distL="0" distR="0">
                      <wp:extent cx="745490" cy="9525"/>
                      <wp:effectExtent l="9525" t="0" r="0" b="0"/>
                      <wp:docPr id="356" name="Group 356"/>
                      <wp:cNvGraphicFramePr>
                        <a:graphicFrameLocks/>
                      </wp:cNvGraphicFramePr>
                      <a:graphic>
                        <a:graphicData uri="http://schemas.microsoft.com/office/word/2010/wordprocessingGroup">
                          <wpg:wgp>
                            <wpg:cNvPr id="356" name="Group 356"/>
                            <wpg:cNvGrpSpPr/>
                            <wpg:grpSpPr>
                              <a:xfrm>
                                <a:off x="0" y="0"/>
                                <a:ext cx="745490" cy="9525"/>
                                <a:chExt cx="745490" cy="9525"/>
                              </a:xfrm>
                            </wpg:grpSpPr>
                            <wps:wsp>
                              <wps:cNvPr id="357" name="Graphic 357"/>
                              <wps:cNvSpPr/>
                              <wps:spPr>
                                <a:xfrm>
                                  <a:off x="0" y="4577"/>
                                  <a:ext cx="745490" cy="1270"/>
                                </a:xfrm>
                                <a:custGeom>
                                  <a:avLst/>
                                  <a:gdLst/>
                                  <a:ahLst/>
                                  <a:cxnLst/>
                                  <a:rect l="l" t="t" r="r" b="b"/>
                                  <a:pathLst>
                                    <a:path w="745490" h="0">
                                      <a:moveTo>
                                        <a:pt x="0" y="0"/>
                                      </a:moveTo>
                                      <a:lnTo>
                                        <a:pt x="744911"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38" style="width:58.7pt;height:.75pt;mso-position-horizontal-relative:char;mso-position-vertical-relative:line" coordsize="1174,15" coordorigin="0,0">
                      <v:line style="position:absolute" stroked="true" strokecolor="#000000" strokeweight=".720821pt" from="0,7" to="1173,7">
                        <v:stroke dashstyle="solid"/>
                      </v:line>
                    </v:group>
                  </w:pict>
                </ve:Fallback>
              </ve:AlternateContent>
            </w:r>
            <w:r>
              <w:rPr>
                <w:sz w:val="2"/>
              </w:rPr>
            </w:r>
          </w:p>
        </w:tc>
        <w:tc>
          <w:tcPr>
            <w:tcW w:w="6007" w:type="dxa"/>
          </w:tcPr>
          <w:p>
            <w:pPr>
              <w:pStyle w:val="TableParagraph"/>
              <w:rPr>
                <w:rFonts w:ascii="Times New Roman"/>
                <w:sz w:val="20"/>
              </w:rPr>
            </w:pPr>
          </w:p>
        </w:tc>
        <w:tc>
          <w:tcPr>
            <w:tcW w:w="1543" w:type="dxa"/>
          </w:tcPr>
          <w:p>
            <w:pPr>
              <w:pStyle w:val="TableParagraph"/>
              <w:spacing w:line="20" w:lineRule="exact"/>
              <w:ind w:left="349" w:right="-58"/>
              <w:rPr>
                <w:sz w:val="2"/>
              </w:rPr>
            </w:pPr>
            <w:r>
              <w:rPr>
                <w:sz w:val="2"/>
              </w:rPr>
              <ve:AlternateContent>
                <ve:Choice Requires="wps">
                  <w:drawing>
                    <wp:inline distT="0" distB="0" distL="0" distR="0">
                      <wp:extent cx="757555" cy="9525"/>
                      <wp:effectExtent l="9525" t="0" r="0" b="0"/>
                      <wp:docPr id="358" name="Group 358"/>
                      <wp:cNvGraphicFramePr>
                        <a:graphicFrameLocks/>
                      </wp:cNvGraphicFramePr>
                      <a:graphic>
                        <a:graphicData uri="http://schemas.microsoft.com/office/word/2010/wordprocessingGroup">
                          <wpg:wgp>
                            <wpg:cNvPr id="358" name="Group 358"/>
                            <wpg:cNvGrpSpPr/>
                            <wpg:grpSpPr>
                              <a:xfrm>
                                <a:off x="0" y="0"/>
                                <a:ext cx="757555" cy="9525"/>
                                <a:chExt cx="757555" cy="9525"/>
                              </a:xfrm>
                            </wpg:grpSpPr>
                            <wps:wsp>
                              <wps:cNvPr id="359" name="Graphic 359"/>
                              <wps:cNvSpPr/>
                              <wps:spPr>
                                <a:xfrm>
                                  <a:off x="0" y="4577"/>
                                  <a:ext cx="757555" cy="1270"/>
                                </a:xfrm>
                                <a:custGeom>
                                  <a:avLst/>
                                  <a:gdLst/>
                                  <a:ahLst/>
                                  <a:cxnLst/>
                                  <a:rect l="l" t="t" r="r" b="b"/>
                                  <a:pathLst>
                                    <a:path w="757555" h="0">
                                      <a:moveTo>
                                        <a:pt x="0" y="0"/>
                                      </a:moveTo>
                                      <a:lnTo>
                                        <a:pt x="75712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39" style="width:59.65pt;height:.75pt;mso-position-horizontal-relative:char;mso-position-vertical-relative:line" coordsize="1193,15" coordorigin="0,0">
                      <v:line style="position:absolute" stroked="true" strokecolor="#000000" strokeweight=".720821pt" from="0,7" to="1192,7">
                        <v:stroke dashstyle="solid"/>
                      </v:line>
                    </v:group>
                  </w:pict>
                </ve:Fallback>
              </ve:AlternateContent>
            </w:r>
            <w:r>
              <w:rPr>
                <w:sz w:val="2"/>
              </w:rPr>
            </w:r>
          </w:p>
          <w:p>
            <w:pPr>
              <w:pStyle w:val="TableParagraph"/>
              <w:spacing w:before="62"/>
              <w:rPr>
                <w:b/>
                <w:sz w:val="20"/>
              </w:rPr>
            </w:pPr>
          </w:p>
          <w:p>
            <w:pPr>
              <w:pStyle w:val="TableParagraph"/>
              <w:spacing w:line="20" w:lineRule="exact"/>
              <w:ind w:left="368" w:right="-58"/>
              <w:rPr>
                <w:sz w:val="2"/>
              </w:rPr>
            </w:pPr>
            <w:r>
              <w:rPr>
                <w:sz w:val="2"/>
              </w:rPr>
              <ve:AlternateContent>
                <ve:Choice Requires="wps">
                  <w:drawing>
                    <wp:inline distT="0" distB="0" distL="0" distR="0">
                      <wp:extent cx="745490" cy="9525"/>
                      <wp:effectExtent l="9525" t="0" r="0" b="0"/>
                      <wp:docPr id="360" name="Group 360"/>
                      <wp:cNvGraphicFramePr>
                        <a:graphicFrameLocks/>
                      </wp:cNvGraphicFramePr>
                      <a:graphic>
                        <a:graphicData uri="http://schemas.microsoft.com/office/word/2010/wordprocessingGroup">
                          <wpg:wgp>
                            <wpg:cNvPr id="360" name="Group 360"/>
                            <wpg:cNvGrpSpPr/>
                            <wpg:grpSpPr>
                              <a:xfrm>
                                <a:off x="0" y="0"/>
                                <a:ext cx="745490" cy="9525"/>
                                <a:chExt cx="745490" cy="9525"/>
                              </a:xfrm>
                            </wpg:grpSpPr>
                            <wps:wsp>
                              <wps:cNvPr id="361" name="Graphic 361"/>
                              <wps:cNvSpPr/>
                              <wps:spPr>
                                <a:xfrm>
                                  <a:off x="0" y="4577"/>
                                  <a:ext cx="745490" cy="1270"/>
                                </a:xfrm>
                                <a:custGeom>
                                  <a:avLst/>
                                  <a:gdLst/>
                                  <a:ahLst/>
                                  <a:cxnLst/>
                                  <a:rect l="l" t="t" r="r" b="b"/>
                                  <a:pathLst>
                                    <a:path w="745490" h="0">
                                      <a:moveTo>
                                        <a:pt x="0" y="0"/>
                                      </a:moveTo>
                                      <a:lnTo>
                                        <a:pt x="744911"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40" style="width:58.7pt;height:.75pt;mso-position-horizontal-relative:char;mso-position-vertical-relative:line" coordsize="1174,15" coordorigin="0,0">
                      <v:line style="position:absolute" stroked="true" strokecolor="#000000" strokeweight=".720821pt" from="0,7" to="1173,7">
                        <v:stroke dashstyle="solid"/>
                      </v:line>
                    </v:group>
                  </w:pict>
                </ve:Fallback>
              </ve:AlternateContent>
            </w:r>
            <w:r>
              <w:rPr>
                <w:sz w:val="2"/>
              </w:rPr>
            </w:r>
          </w:p>
        </w:tc>
      </w:tr>
      <w:tr>
        <w:trPr>
          <w:trHeight w:val="292" w:hRule="atLeast"/>
        </w:trPr>
        <w:tc>
          <w:tcPr>
            <w:tcW w:w="1722" w:type="dxa"/>
          </w:tcPr>
          <w:p>
            <w:pPr>
              <w:pStyle w:val="TableParagraph"/>
              <w:spacing w:before="14"/>
              <w:ind w:left="643"/>
              <w:rPr>
                <w:b/>
                <w:sz w:val="22"/>
              </w:rPr>
            </w:pPr>
            <w:r>
              <w:rPr>
                <w:b/>
                <w:color w:val="0E0E0E"/>
                <w:spacing w:val="-2"/>
                <w:sz w:val="22"/>
              </w:rPr>
              <w:t>9,692</w:t>
            </w:r>
          </w:p>
        </w:tc>
        <w:tc>
          <w:tcPr>
            <w:tcW w:w="6007" w:type="dxa"/>
          </w:tcPr>
          <w:p>
            <w:pPr>
              <w:pStyle w:val="TableParagraph"/>
              <w:spacing w:before="14"/>
              <w:ind w:left="48"/>
              <w:rPr>
                <w:b/>
                <w:sz w:val="22"/>
              </w:rPr>
            </w:pPr>
            <w:r>
              <w:rPr>
                <w:b/>
                <w:color w:val="0E0E0E"/>
                <w:spacing w:val="-2"/>
                <w:sz w:val="22"/>
              </w:rPr>
              <w:t>Total</w:t>
            </w:r>
          </w:p>
        </w:tc>
        <w:tc>
          <w:tcPr>
            <w:tcW w:w="1543" w:type="dxa"/>
          </w:tcPr>
          <w:p>
            <w:pPr>
              <w:pStyle w:val="TableParagraph"/>
              <w:spacing w:before="14"/>
              <w:ind w:left="740"/>
              <w:rPr>
                <w:b/>
                <w:sz w:val="22"/>
              </w:rPr>
            </w:pPr>
            <w:r>
              <w:rPr>
                <w:b/>
                <w:color w:val="0E0E0E"/>
                <w:spacing w:val="-2"/>
                <w:sz w:val="22"/>
              </w:rPr>
              <w:t>10,076</w:t>
            </w:r>
          </w:p>
        </w:tc>
      </w:tr>
      <w:tr>
        <w:trPr>
          <w:trHeight w:val="563" w:hRule="atLeast"/>
        </w:trPr>
        <w:tc>
          <w:tcPr>
            <w:tcW w:w="1722" w:type="dxa"/>
          </w:tcPr>
          <w:p>
            <w:pPr>
              <w:pStyle w:val="TableParagraph"/>
              <w:spacing w:line="20" w:lineRule="exact"/>
              <w:ind w:left="136"/>
              <w:rPr>
                <w:sz w:val="2"/>
              </w:rPr>
            </w:pPr>
            <w:r>
              <w:rPr>
                <w:sz w:val="2"/>
              </w:rPr>
              <ve:AlternateContent>
                <ve:Choice Requires="wps">
                  <w:drawing>
                    <wp:inline distT="0" distB="0" distL="0" distR="0">
                      <wp:extent cx="745490" cy="9525"/>
                      <wp:effectExtent l="9525" t="0" r="0" b="0"/>
                      <wp:docPr id="362" name="Group 362"/>
                      <wp:cNvGraphicFramePr>
                        <a:graphicFrameLocks/>
                      </wp:cNvGraphicFramePr>
                      <a:graphic>
                        <a:graphicData uri="http://schemas.microsoft.com/office/word/2010/wordprocessingGroup">
                          <wpg:wgp>
                            <wpg:cNvPr id="362" name="Group 362"/>
                            <wpg:cNvGrpSpPr/>
                            <wpg:grpSpPr>
                              <a:xfrm>
                                <a:off x="0" y="0"/>
                                <a:ext cx="745490" cy="9525"/>
                                <a:chExt cx="745490" cy="9525"/>
                              </a:xfrm>
                            </wpg:grpSpPr>
                            <wps:wsp>
                              <wps:cNvPr id="363" name="Graphic 363"/>
                              <wps:cNvSpPr/>
                              <wps:spPr>
                                <a:xfrm>
                                  <a:off x="0" y="4577"/>
                                  <a:ext cx="745490" cy="1270"/>
                                </a:xfrm>
                                <a:custGeom>
                                  <a:avLst/>
                                  <a:gdLst/>
                                  <a:ahLst/>
                                  <a:cxnLst/>
                                  <a:rect l="l" t="t" r="r" b="b"/>
                                  <a:pathLst>
                                    <a:path w="745490" h="0">
                                      <a:moveTo>
                                        <a:pt x="0" y="0"/>
                                      </a:moveTo>
                                      <a:lnTo>
                                        <a:pt x="744911"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41" style="width:58.7pt;height:.75pt;mso-position-horizontal-relative:char;mso-position-vertical-relative:line" coordsize="1174,15" coordorigin="0,0">
                      <v:line style="position:absolute" stroked="true" strokecolor="#000000" strokeweight=".720821pt" from="0,7" to="1173,7">
                        <v:stroke dashstyle="solid"/>
                      </v:line>
                    </v:group>
                  </w:pict>
                </ve:Fallback>
              </ve:AlternateContent>
            </w:r>
            <w:r>
              <w:rPr>
                <w:sz w:val="2"/>
              </w:rPr>
            </w:r>
          </w:p>
          <w:p>
            <w:pPr>
              <w:pStyle w:val="TableParagraph"/>
              <w:spacing w:before="65"/>
              <w:rPr>
                <w:b/>
                <w:sz w:val="21"/>
              </w:rPr>
            </w:pPr>
          </w:p>
          <w:p>
            <w:pPr>
              <w:pStyle w:val="TableParagraph"/>
              <w:spacing w:line="222" w:lineRule="exact"/>
              <w:ind w:left="50"/>
              <w:rPr>
                <w:sz w:val="21"/>
              </w:rPr>
            </w:pPr>
            <w:r>
              <w:rPr>
                <w:color w:val="0E0E0E"/>
                <w:w w:val="105"/>
                <w:sz w:val="21"/>
              </w:rPr>
              <w:t>All</w:t>
            </w:r>
            <w:r>
              <w:rPr>
                <w:color w:val="0E0E0E"/>
                <w:spacing w:val="33"/>
                <w:w w:val="105"/>
                <w:sz w:val="21"/>
              </w:rPr>
              <w:t> </w:t>
            </w:r>
            <w:r>
              <w:rPr>
                <w:color w:val="0E0E0E"/>
                <w:w w:val="105"/>
                <w:sz w:val="21"/>
              </w:rPr>
              <w:t>the</w:t>
            </w:r>
            <w:r>
              <w:rPr>
                <w:color w:val="0E0E0E"/>
                <w:spacing w:val="35"/>
                <w:w w:val="105"/>
                <w:sz w:val="21"/>
              </w:rPr>
              <w:t> </w:t>
            </w:r>
            <w:r>
              <w:rPr>
                <w:color w:val="0E0E0E"/>
                <w:spacing w:val="-2"/>
                <w:w w:val="105"/>
                <w:sz w:val="21"/>
              </w:rPr>
              <w:t>Council's</w:t>
            </w:r>
          </w:p>
        </w:tc>
        <w:tc>
          <w:tcPr>
            <w:tcW w:w="6007" w:type="dxa"/>
          </w:tcPr>
          <w:p>
            <w:pPr>
              <w:pStyle w:val="TableParagraph"/>
              <w:spacing w:before="80"/>
              <w:rPr>
                <w:b/>
                <w:sz w:val="21"/>
              </w:rPr>
            </w:pPr>
          </w:p>
          <w:p>
            <w:pPr>
              <w:pStyle w:val="TableParagraph"/>
              <w:spacing w:line="222" w:lineRule="exact"/>
              <w:ind w:left="68"/>
              <w:rPr>
                <w:sz w:val="21"/>
              </w:rPr>
            </w:pPr>
            <w:r>
              <w:rPr>
                <w:color w:val="0E0E0E"/>
                <w:w w:val="105"/>
                <w:sz w:val="21"/>
              </w:rPr>
              <w:t>investment</w:t>
            </w:r>
            <w:r>
              <w:rPr>
                <w:color w:val="0E0E0E"/>
                <w:spacing w:val="37"/>
                <w:w w:val="105"/>
                <w:sz w:val="21"/>
              </w:rPr>
              <w:t> </w:t>
            </w:r>
            <w:r>
              <w:rPr>
                <w:color w:val="0E0E0E"/>
                <w:w w:val="105"/>
                <w:sz w:val="21"/>
              </w:rPr>
              <w:t>property</w:t>
            </w:r>
            <w:r>
              <w:rPr>
                <w:color w:val="0E0E0E"/>
                <w:spacing w:val="35"/>
                <w:w w:val="105"/>
                <w:sz w:val="21"/>
              </w:rPr>
              <w:t> </w:t>
            </w:r>
            <w:r>
              <w:rPr>
                <w:color w:val="0E0E0E"/>
                <w:w w:val="105"/>
                <w:sz w:val="21"/>
              </w:rPr>
              <w:t>portfolio</w:t>
            </w:r>
            <w:r>
              <w:rPr>
                <w:color w:val="0E0E0E"/>
                <w:spacing w:val="34"/>
                <w:w w:val="105"/>
                <w:sz w:val="21"/>
              </w:rPr>
              <w:t> </w:t>
            </w:r>
            <w:r>
              <w:rPr>
                <w:color w:val="0E0E0E"/>
                <w:w w:val="105"/>
                <w:sz w:val="21"/>
              </w:rPr>
              <w:t>has</w:t>
            </w:r>
            <w:r>
              <w:rPr>
                <w:color w:val="0E0E0E"/>
                <w:spacing w:val="26"/>
                <w:w w:val="105"/>
                <w:sz w:val="21"/>
              </w:rPr>
              <w:t> </w:t>
            </w:r>
            <w:r>
              <w:rPr>
                <w:color w:val="0E0E0E"/>
                <w:w w:val="105"/>
                <w:sz w:val="21"/>
              </w:rPr>
              <w:t>been</w:t>
            </w:r>
            <w:r>
              <w:rPr>
                <w:color w:val="0E0E0E"/>
                <w:spacing w:val="32"/>
                <w:w w:val="105"/>
                <w:sz w:val="21"/>
              </w:rPr>
              <w:t> </w:t>
            </w:r>
            <w:r>
              <w:rPr>
                <w:color w:val="0E0E0E"/>
                <w:w w:val="105"/>
                <w:sz w:val="21"/>
              </w:rPr>
              <w:t>assessed</w:t>
            </w:r>
            <w:r>
              <w:rPr>
                <w:color w:val="0E0E0E"/>
                <w:spacing w:val="31"/>
                <w:w w:val="105"/>
                <w:sz w:val="21"/>
              </w:rPr>
              <w:t> </w:t>
            </w:r>
            <w:r>
              <w:rPr>
                <w:color w:val="0E0E0E"/>
                <w:w w:val="105"/>
                <w:sz w:val="21"/>
              </w:rPr>
              <w:t>as</w:t>
            </w:r>
            <w:r>
              <w:rPr>
                <w:color w:val="0E0E0E"/>
                <w:spacing w:val="27"/>
                <w:w w:val="105"/>
                <w:sz w:val="21"/>
              </w:rPr>
              <w:t> </w:t>
            </w:r>
            <w:r>
              <w:rPr>
                <w:color w:val="0E0E0E"/>
                <w:spacing w:val="-2"/>
                <w:w w:val="105"/>
                <w:sz w:val="21"/>
              </w:rPr>
              <w:t>Level</w:t>
            </w:r>
          </w:p>
        </w:tc>
        <w:tc>
          <w:tcPr>
            <w:tcW w:w="1543" w:type="dxa"/>
          </w:tcPr>
          <w:p>
            <w:pPr>
              <w:pStyle w:val="TableParagraph"/>
              <w:spacing w:line="20" w:lineRule="exact"/>
              <w:ind w:left="349" w:right="-58"/>
              <w:rPr>
                <w:sz w:val="2"/>
              </w:rPr>
            </w:pPr>
            <w:r>
              <w:rPr>
                <w:sz w:val="2"/>
              </w:rPr>
              <ve:AlternateContent>
                <ve:Choice Requires="wps">
                  <w:drawing>
                    <wp:inline distT="0" distB="0" distL="0" distR="0">
                      <wp:extent cx="757555" cy="9525"/>
                      <wp:effectExtent l="9525" t="0" r="0" b="0"/>
                      <wp:docPr id="364" name="Group 364"/>
                      <wp:cNvGraphicFramePr>
                        <a:graphicFrameLocks/>
                      </wp:cNvGraphicFramePr>
                      <a:graphic>
                        <a:graphicData uri="http://schemas.microsoft.com/office/word/2010/wordprocessingGroup">
                          <wpg:wgp>
                            <wpg:cNvPr id="364" name="Group 364"/>
                            <wpg:cNvGrpSpPr/>
                            <wpg:grpSpPr>
                              <a:xfrm>
                                <a:off x="0" y="0"/>
                                <a:ext cx="757555" cy="9525"/>
                                <a:chExt cx="757555" cy="9525"/>
                              </a:xfrm>
                            </wpg:grpSpPr>
                            <wps:wsp>
                              <wps:cNvPr id="365" name="Graphic 365"/>
                              <wps:cNvSpPr/>
                              <wps:spPr>
                                <a:xfrm>
                                  <a:off x="0" y="4577"/>
                                  <a:ext cx="757555" cy="1270"/>
                                </a:xfrm>
                                <a:custGeom>
                                  <a:avLst/>
                                  <a:gdLst/>
                                  <a:ahLst/>
                                  <a:cxnLst/>
                                  <a:rect l="l" t="t" r="r" b="b"/>
                                  <a:pathLst>
                                    <a:path w="757555" h="0">
                                      <a:moveTo>
                                        <a:pt x="0" y="0"/>
                                      </a:moveTo>
                                      <a:lnTo>
                                        <a:pt x="75712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42" style="width:59.65pt;height:.75pt;mso-position-horizontal-relative:char;mso-position-vertical-relative:line" coordsize="1193,15" coordorigin="0,0">
                      <v:line style="position:absolute" stroked="true" strokecolor="#000000" strokeweight=".720821pt" from="0,7" to="1192,7">
                        <v:stroke dashstyle="solid"/>
                      </v:line>
                    </v:group>
                  </w:pict>
                </ve:Fallback>
              </ve:AlternateContent>
            </w:r>
            <w:r>
              <w:rPr>
                <w:sz w:val="2"/>
              </w:rPr>
            </w:r>
          </w:p>
          <w:p>
            <w:pPr>
              <w:pStyle w:val="TableParagraph"/>
              <w:spacing w:before="60"/>
              <w:rPr>
                <w:b/>
                <w:sz w:val="21"/>
              </w:rPr>
            </w:pPr>
          </w:p>
          <w:p>
            <w:pPr>
              <w:pStyle w:val="TableParagraph"/>
              <w:spacing w:line="222" w:lineRule="exact"/>
              <w:ind w:left="50"/>
              <w:rPr>
                <w:sz w:val="21"/>
              </w:rPr>
            </w:pPr>
            <w:r>
              <w:rPr>
                <w:color w:val="0E0E0E"/>
                <w:w w:val="105"/>
                <w:sz w:val="21"/>
              </w:rPr>
              <w:t>2</w:t>
            </w:r>
            <w:r>
              <w:rPr>
                <w:color w:val="0E0E0E"/>
                <w:spacing w:val="38"/>
                <w:w w:val="105"/>
                <w:sz w:val="21"/>
              </w:rPr>
              <w:t> </w:t>
            </w:r>
            <w:r>
              <w:rPr>
                <w:color w:val="0E0E0E"/>
                <w:w w:val="105"/>
                <w:sz w:val="21"/>
              </w:rPr>
              <w:t>for</w:t>
            </w:r>
            <w:r>
              <w:rPr>
                <w:color w:val="0E0E0E"/>
                <w:spacing w:val="42"/>
                <w:w w:val="105"/>
                <w:sz w:val="21"/>
              </w:rPr>
              <w:t> </w:t>
            </w:r>
            <w:r>
              <w:rPr>
                <w:color w:val="0E0E0E"/>
                <w:spacing w:val="-2"/>
                <w:w w:val="105"/>
                <w:sz w:val="21"/>
              </w:rPr>
              <w:t>valuation</w:t>
            </w:r>
          </w:p>
        </w:tc>
      </w:tr>
    </w:tbl>
    <w:p>
      <w:pPr>
        <w:spacing w:before="16" w:line="247" w:lineRule="auto"/>
        <w:ind w:left="1299" w:right="1119" w:firstLine="3"/>
        <w:jc w:val="both"/>
        <w:rPr>
          <w:sz w:val="21"/>
        </w:rPr>
      </w:pPr>
      <w:r>
        <w:rPr>
          <w:color w:val="1F1F1F"/>
          <w:w w:val="105"/>
          <w:sz w:val="21"/>
        </w:rPr>
        <w:t>purposes</w:t>
      </w:r>
      <w:r>
        <w:rPr>
          <w:color w:val="5B5B5B"/>
          <w:w w:val="105"/>
          <w:sz w:val="21"/>
        </w:rPr>
        <w:t>.</w:t>
      </w:r>
      <w:r>
        <w:rPr>
          <w:color w:val="5B5B5B"/>
          <w:spacing w:val="-16"/>
          <w:w w:val="105"/>
          <w:sz w:val="21"/>
        </w:rPr>
        <w:t> </w:t>
      </w:r>
      <w:r>
        <w:rPr>
          <w:color w:val="1F1F1F"/>
          <w:w w:val="105"/>
          <w:sz w:val="21"/>
        </w:rPr>
        <w:t>(See</w:t>
      </w:r>
      <w:r>
        <w:rPr>
          <w:color w:val="1F1F1F"/>
          <w:spacing w:val="-15"/>
          <w:w w:val="105"/>
          <w:sz w:val="21"/>
        </w:rPr>
        <w:t> </w:t>
      </w:r>
      <w:r>
        <w:rPr>
          <w:color w:val="0E0E0E"/>
          <w:w w:val="105"/>
          <w:sz w:val="21"/>
        </w:rPr>
        <w:t>Note</w:t>
      </w:r>
      <w:r>
        <w:rPr>
          <w:color w:val="0E0E0E"/>
          <w:spacing w:val="-15"/>
          <w:w w:val="105"/>
          <w:sz w:val="21"/>
        </w:rPr>
        <w:t> </w:t>
      </w:r>
      <w:r>
        <w:rPr>
          <w:color w:val="1F1F1F"/>
          <w:w w:val="105"/>
          <w:sz w:val="21"/>
        </w:rPr>
        <w:t>5</w:t>
      </w:r>
      <w:r>
        <w:rPr>
          <w:color w:val="5B5B5B"/>
          <w:w w:val="105"/>
          <w:sz w:val="21"/>
        </w:rPr>
        <w:t>.</w:t>
      </w:r>
      <w:r>
        <w:rPr>
          <w:color w:val="0E0E0E"/>
          <w:w w:val="105"/>
          <w:sz w:val="21"/>
        </w:rPr>
        <w:t>1</w:t>
      </w:r>
      <w:r>
        <w:rPr>
          <w:color w:val="0E0E0E"/>
          <w:spacing w:val="-16"/>
          <w:w w:val="105"/>
          <w:sz w:val="21"/>
        </w:rPr>
        <w:t> </w:t>
      </w:r>
      <w:r>
        <w:rPr>
          <w:color w:val="1F1F1F"/>
          <w:w w:val="105"/>
          <w:sz w:val="21"/>
        </w:rPr>
        <w:t>-Accounting </w:t>
      </w:r>
      <w:r>
        <w:rPr>
          <w:color w:val="0E0E0E"/>
          <w:w w:val="105"/>
          <w:sz w:val="21"/>
        </w:rPr>
        <w:t>Policies for</w:t>
      </w:r>
      <w:r>
        <w:rPr>
          <w:color w:val="0E0E0E"/>
          <w:spacing w:val="-7"/>
          <w:w w:val="105"/>
          <w:sz w:val="21"/>
        </w:rPr>
        <w:t> </w:t>
      </w:r>
      <w:r>
        <w:rPr>
          <w:color w:val="0E0E0E"/>
          <w:w w:val="105"/>
          <w:sz w:val="21"/>
        </w:rPr>
        <w:t>explanation</w:t>
      </w:r>
      <w:r>
        <w:rPr>
          <w:color w:val="0E0E0E"/>
          <w:spacing w:val="16"/>
          <w:w w:val="105"/>
          <w:sz w:val="21"/>
        </w:rPr>
        <w:t> </w:t>
      </w:r>
      <w:r>
        <w:rPr>
          <w:color w:val="0E0E0E"/>
          <w:w w:val="105"/>
          <w:sz w:val="21"/>
        </w:rPr>
        <w:t>of</w:t>
      </w:r>
      <w:r>
        <w:rPr>
          <w:color w:val="0E0E0E"/>
          <w:spacing w:val="-9"/>
          <w:w w:val="105"/>
          <w:sz w:val="21"/>
        </w:rPr>
        <w:t> </w:t>
      </w:r>
      <w:r>
        <w:rPr>
          <w:color w:val="0E0E0E"/>
          <w:w w:val="105"/>
          <w:sz w:val="21"/>
        </w:rPr>
        <w:t>fair</w:t>
      </w:r>
      <w:r>
        <w:rPr>
          <w:color w:val="0E0E0E"/>
          <w:spacing w:val="-3"/>
          <w:w w:val="105"/>
          <w:sz w:val="21"/>
        </w:rPr>
        <w:t> </w:t>
      </w:r>
      <w:r>
        <w:rPr>
          <w:color w:val="0E0E0E"/>
          <w:w w:val="105"/>
          <w:sz w:val="21"/>
        </w:rPr>
        <w:t>value</w:t>
      </w:r>
      <w:r>
        <w:rPr>
          <w:color w:val="0E0E0E"/>
          <w:spacing w:val="-3"/>
          <w:w w:val="105"/>
          <w:sz w:val="21"/>
        </w:rPr>
        <w:t> </w:t>
      </w:r>
      <w:r>
        <w:rPr>
          <w:color w:val="0E0E0E"/>
          <w:w w:val="105"/>
          <w:sz w:val="21"/>
        </w:rPr>
        <w:t>levels). In</w:t>
      </w:r>
      <w:r>
        <w:rPr>
          <w:color w:val="0E0E0E"/>
          <w:spacing w:val="-11"/>
          <w:w w:val="105"/>
          <w:sz w:val="21"/>
        </w:rPr>
        <w:t> </w:t>
      </w:r>
      <w:r>
        <w:rPr>
          <w:color w:val="0E0E0E"/>
          <w:w w:val="105"/>
          <w:sz w:val="21"/>
        </w:rPr>
        <w:t>estimating </w:t>
      </w:r>
      <w:r>
        <w:rPr>
          <w:color w:val="1F1F1F"/>
          <w:w w:val="105"/>
          <w:sz w:val="21"/>
        </w:rPr>
        <w:t>the</w:t>
      </w:r>
      <w:r>
        <w:rPr>
          <w:color w:val="1F1F1F"/>
          <w:spacing w:val="-16"/>
          <w:w w:val="105"/>
          <w:sz w:val="21"/>
        </w:rPr>
        <w:t> </w:t>
      </w:r>
      <w:r>
        <w:rPr>
          <w:color w:val="1F1F1F"/>
          <w:w w:val="105"/>
          <w:sz w:val="21"/>
        </w:rPr>
        <w:t>fair</w:t>
      </w:r>
      <w:r>
        <w:rPr>
          <w:color w:val="1F1F1F"/>
          <w:spacing w:val="-15"/>
          <w:w w:val="105"/>
          <w:sz w:val="21"/>
        </w:rPr>
        <w:t> </w:t>
      </w:r>
      <w:r>
        <w:rPr>
          <w:color w:val="1F1F1F"/>
          <w:w w:val="105"/>
          <w:sz w:val="21"/>
        </w:rPr>
        <w:t>value</w:t>
      </w:r>
      <w:r>
        <w:rPr>
          <w:color w:val="1F1F1F"/>
          <w:spacing w:val="-10"/>
          <w:w w:val="105"/>
          <w:sz w:val="21"/>
        </w:rPr>
        <w:t> </w:t>
      </w:r>
      <w:r>
        <w:rPr>
          <w:color w:val="1F1F1F"/>
          <w:w w:val="105"/>
          <w:sz w:val="21"/>
        </w:rPr>
        <w:t>of</w:t>
      </w:r>
      <w:r>
        <w:rPr>
          <w:color w:val="1F1F1F"/>
          <w:spacing w:val="-15"/>
          <w:w w:val="105"/>
          <w:sz w:val="21"/>
        </w:rPr>
        <w:t> </w:t>
      </w:r>
      <w:r>
        <w:rPr>
          <w:color w:val="1F1F1F"/>
          <w:w w:val="105"/>
          <w:sz w:val="21"/>
        </w:rPr>
        <w:t>the</w:t>
      </w:r>
      <w:r>
        <w:rPr>
          <w:color w:val="1F1F1F"/>
          <w:spacing w:val="-11"/>
          <w:w w:val="105"/>
          <w:sz w:val="21"/>
        </w:rPr>
        <w:t> </w:t>
      </w:r>
      <w:r>
        <w:rPr>
          <w:color w:val="1F1F1F"/>
          <w:w w:val="105"/>
          <w:sz w:val="21"/>
        </w:rPr>
        <w:t>Authority</w:t>
      </w:r>
      <w:r>
        <w:rPr>
          <w:color w:val="4B4B4B"/>
          <w:w w:val="105"/>
          <w:sz w:val="21"/>
        </w:rPr>
        <w:t>'</w:t>
      </w:r>
      <w:r>
        <w:rPr>
          <w:color w:val="1F1F1F"/>
          <w:w w:val="105"/>
          <w:sz w:val="21"/>
        </w:rPr>
        <w:t>s</w:t>
      </w:r>
      <w:r>
        <w:rPr>
          <w:color w:val="1F1F1F"/>
          <w:spacing w:val="-9"/>
          <w:w w:val="105"/>
          <w:sz w:val="21"/>
        </w:rPr>
        <w:t> </w:t>
      </w:r>
      <w:r>
        <w:rPr>
          <w:color w:val="1F1F1F"/>
          <w:w w:val="105"/>
          <w:sz w:val="21"/>
        </w:rPr>
        <w:t>investment</w:t>
      </w:r>
      <w:r>
        <w:rPr>
          <w:color w:val="1F1F1F"/>
          <w:spacing w:val="-2"/>
          <w:w w:val="105"/>
          <w:sz w:val="21"/>
        </w:rPr>
        <w:t> </w:t>
      </w:r>
      <w:r>
        <w:rPr>
          <w:color w:val="0E0E0E"/>
          <w:w w:val="105"/>
          <w:sz w:val="21"/>
        </w:rPr>
        <w:t>properties, the</w:t>
      </w:r>
      <w:r>
        <w:rPr>
          <w:color w:val="0E0E0E"/>
          <w:spacing w:val="-16"/>
          <w:w w:val="105"/>
          <w:sz w:val="21"/>
        </w:rPr>
        <w:t> </w:t>
      </w:r>
      <w:r>
        <w:rPr>
          <w:color w:val="0E0E0E"/>
          <w:w w:val="105"/>
          <w:sz w:val="21"/>
        </w:rPr>
        <w:t>highest</w:t>
      </w:r>
      <w:r>
        <w:rPr>
          <w:color w:val="0E0E0E"/>
          <w:spacing w:val="-6"/>
          <w:w w:val="105"/>
          <w:sz w:val="21"/>
        </w:rPr>
        <w:t> </w:t>
      </w:r>
      <w:r>
        <w:rPr>
          <w:color w:val="0E0E0E"/>
          <w:w w:val="105"/>
          <w:sz w:val="21"/>
        </w:rPr>
        <w:t>and</w:t>
      </w:r>
      <w:r>
        <w:rPr>
          <w:color w:val="0E0E0E"/>
          <w:spacing w:val="-16"/>
          <w:w w:val="105"/>
          <w:sz w:val="21"/>
        </w:rPr>
        <w:t> </w:t>
      </w:r>
      <w:r>
        <w:rPr>
          <w:color w:val="0E0E0E"/>
          <w:w w:val="105"/>
          <w:sz w:val="21"/>
        </w:rPr>
        <w:t>best</w:t>
      </w:r>
      <w:r>
        <w:rPr>
          <w:color w:val="0E0E0E"/>
          <w:spacing w:val="-15"/>
          <w:w w:val="105"/>
          <w:sz w:val="21"/>
        </w:rPr>
        <w:t> </w:t>
      </w:r>
      <w:r>
        <w:rPr>
          <w:color w:val="0E0E0E"/>
          <w:w w:val="105"/>
          <w:sz w:val="21"/>
        </w:rPr>
        <w:t>use</w:t>
      </w:r>
      <w:r>
        <w:rPr>
          <w:color w:val="0E0E0E"/>
          <w:spacing w:val="-4"/>
          <w:w w:val="105"/>
          <w:sz w:val="21"/>
        </w:rPr>
        <w:t> </w:t>
      </w:r>
      <w:r>
        <w:rPr>
          <w:color w:val="0E0E0E"/>
          <w:w w:val="105"/>
          <w:sz w:val="21"/>
        </w:rPr>
        <w:t>of</w:t>
      </w:r>
      <w:r>
        <w:rPr>
          <w:color w:val="0E0E0E"/>
          <w:spacing w:val="-15"/>
          <w:w w:val="105"/>
          <w:sz w:val="21"/>
        </w:rPr>
        <w:t> </w:t>
      </w:r>
      <w:r>
        <w:rPr>
          <w:color w:val="0E0E0E"/>
          <w:w w:val="105"/>
          <w:sz w:val="21"/>
        </w:rPr>
        <w:t>the</w:t>
      </w:r>
      <w:r>
        <w:rPr>
          <w:color w:val="0E0E0E"/>
          <w:spacing w:val="-16"/>
          <w:w w:val="105"/>
          <w:sz w:val="21"/>
        </w:rPr>
        <w:t> </w:t>
      </w:r>
      <w:r>
        <w:rPr>
          <w:color w:val="0E0E0E"/>
          <w:w w:val="105"/>
          <w:sz w:val="21"/>
        </w:rPr>
        <w:t>properties </w:t>
      </w:r>
      <w:r>
        <w:rPr>
          <w:color w:val="333333"/>
          <w:w w:val="105"/>
          <w:sz w:val="21"/>
        </w:rPr>
        <w:t>is </w:t>
      </w:r>
      <w:r>
        <w:rPr>
          <w:color w:val="1F1F1F"/>
          <w:w w:val="105"/>
          <w:sz w:val="21"/>
        </w:rPr>
        <w:t>deemed to be their current use</w:t>
      </w:r>
      <w:r>
        <w:rPr>
          <w:color w:val="4B4B4B"/>
          <w:w w:val="105"/>
          <w:sz w:val="21"/>
        </w:rPr>
        <w:t>.</w:t>
      </w:r>
    </w:p>
    <w:p>
      <w:pPr>
        <w:pStyle w:val="BodyText"/>
        <w:spacing w:before="22"/>
        <w:rPr>
          <w:sz w:val="21"/>
        </w:rPr>
      </w:pPr>
    </w:p>
    <w:p>
      <w:pPr>
        <w:spacing w:before="0" w:line="249" w:lineRule="auto"/>
        <w:ind w:left="1303" w:right="1104" w:firstLine="3"/>
        <w:jc w:val="both"/>
        <w:rPr>
          <w:sz w:val="21"/>
        </w:rPr>
      </w:pPr>
      <w:r>
        <w:rPr>
          <w:color w:val="1F1F1F"/>
          <w:w w:val="105"/>
          <w:sz w:val="21"/>
        </w:rPr>
        <w:t>Level </w:t>
      </w:r>
      <w:r>
        <w:rPr>
          <w:color w:val="0E0E0E"/>
          <w:w w:val="105"/>
          <w:sz w:val="21"/>
        </w:rPr>
        <w:t>2</w:t>
      </w:r>
      <w:r>
        <w:rPr>
          <w:color w:val="0E0E0E"/>
          <w:spacing w:val="-4"/>
          <w:w w:val="105"/>
          <w:sz w:val="21"/>
        </w:rPr>
        <w:t> </w:t>
      </w:r>
      <w:r>
        <w:rPr>
          <w:color w:val="1F1F1F"/>
          <w:w w:val="105"/>
          <w:sz w:val="21"/>
        </w:rPr>
        <w:t>inputs are</w:t>
      </w:r>
      <w:r>
        <w:rPr>
          <w:color w:val="1F1F1F"/>
          <w:spacing w:val="-12"/>
          <w:w w:val="105"/>
          <w:sz w:val="21"/>
        </w:rPr>
        <w:t> </w:t>
      </w:r>
      <w:r>
        <w:rPr>
          <w:color w:val="0E0E0E"/>
          <w:w w:val="105"/>
          <w:sz w:val="21"/>
        </w:rPr>
        <w:t>those</w:t>
      </w:r>
      <w:r>
        <w:rPr>
          <w:color w:val="0E0E0E"/>
          <w:spacing w:val="-5"/>
          <w:w w:val="105"/>
          <w:sz w:val="21"/>
        </w:rPr>
        <w:t> </w:t>
      </w:r>
      <w:r>
        <w:rPr>
          <w:color w:val="1F1F1F"/>
          <w:w w:val="105"/>
          <w:sz w:val="21"/>
        </w:rPr>
        <w:t>that are </w:t>
      </w:r>
      <w:r>
        <w:rPr>
          <w:color w:val="0E0E0E"/>
          <w:w w:val="105"/>
          <w:sz w:val="21"/>
        </w:rPr>
        <w:t>observable </w:t>
      </w:r>
      <w:r>
        <w:rPr>
          <w:color w:val="1F1F1F"/>
          <w:w w:val="105"/>
          <w:sz w:val="21"/>
        </w:rPr>
        <w:t>for the asset </w:t>
      </w:r>
      <w:r>
        <w:rPr>
          <w:color w:val="0E0E0E"/>
          <w:w w:val="105"/>
          <w:sz w:val="21"/>
        </w:rPr>
        <w:t>(other than</w:t>
      </w:r>
      <w:r>
        <w:rPr>
          <w:color w:val="0E0E0E"/>
          <w:spacing w:val="-4"/>
          <w:w w:val="105"/>
          <w:sz w:val="21"/>
        </w:rPr>
        <w:t> </w:t>
      </w:r>
      <w:r>
        <w:rPr>
          <w:color w:val="1F1F1F"/>
          <w:w w:val="105"/>
          <w:sz w:val="21"/>
        </w:rPr>
        <w:t>quoted prices)</w:t>
      </w:r>
      <w:r>
        <w:rPr>
          <w:color w:val="5B5B5B"/>
          <w:w w:val="105"/>
          <w:sz w:val="21"/>
        </w:rPr>
        <w:t>.</w:t>
      </w:r>
      <w:r>
        <w:rPr>
          <w:color w:val="5B5B5B"/>
          <w:spacing w:val="-16"/>
          <w:w w:val="105"/>
          <w:sz w:val="21"/>
        </w:rPr>
        <w:t> </w:t>
      </w:r>
      <w:r>
        <w:rPr>
          <w:color w:val="0E0E0E"/>
          <w:w w:val="105"/>
          <w:sz w:val="21"/>
        </w:rPr>
        <w:t>They are </w:t>
      </w:r>
      <w:r>
        <w:rPr>
          <w:color w:val="1F1F1F"/>
          <w:w w:val="105"/>
          <w:sz w:val="21"/>
        </w:rPr>
        <w:t>based</w:t>
      </w:r>
      <w:r>
        <w:rPr>
          <w:color w:val="1F1F1F"/>
          <w:spacing w:val="-16"/>
          <w:w w:val="105"/>
          <w:sz w:val="21"/>
        </w:rPr>
        <w:t> </w:t>
      </w:r>
      <w:r>
        <w:rPr>
          <w:color w:val="0E0E0E"/>
          <w:w w:val="105"/>
          <w:sz w:val="21"/>
        </w:rPr>
        <w:t>on</w:t>
      </w:r>
      <w:r>
        <w:rPr>
          <w:color w:val="0E0E0E"/>
          <w:spacing w:val="-15"/>
          <w:w w:val="105"/>
          <w:sz w:val="21"/>
        </w:rPr>
        <w:t> </w:t>
      </w:r>
      <w:r>
        <w:rPr>
          <w:color w:val="1F1F1F"/>
          <w:w w:val="105"/>
          <w:sz w:val="21"/>
        </w:rPr>
        <w:t>the</w:t>
      </w:r>
      <w:r>
        <w:rPr>
          <w:color w:val="1F1F1F"/>
          <w:spacing w:val="-15"/>
          <w:w w:val="105"/>
          <w:sz w:val="21"/>
        </w:rPr>
        <w:t> </w:t>
      </w:r>
      <w:r>
        <w:rPr>
          <w:color w:val="1F1F1F"/>
          <w:w w:val="105"/>
          <w:sz w:val="21"/>
        </w:rPr>
        <w:t>market</w:t>
      </w:r>
      <w:r>
        <w:rPr>
          <w:color w:val="1F1F1F"/>
          <w:spacing w:val="-16"/>
          <w:w w:val="105"/>
          <w:sz w:val="21"/>
        </w:rPr>
        <w:t> </w:t>
      </w:r>
      <w:r>
        <w:rPr>
          <w:color w:val="1F1F1F"/>
          <w:w w:val="105"/>
          <w:sz w:val="21"/>
        </w:rPr>
        <w:t>approach</w:t>
      </w:r>
      <w:r>
        <w:rPr>
          <w:color w:val="1F1F1F"/>
          <w:spacing w:val="-15"/>
          <w:w w:val="105"/>
          <w:sz w:val="21"/>
        </w:rPr>
        <w:t> </w:t>
      </w:r>
      <w:r>
        <w:rPr>
          <w:color w:val="0E0E0E"/>
          <w:w w:val="105"/>
          <w:sz w:val="21"/>
        </w:rPr>
        <w:t>using</w:t>
      </w:r>
      <w:r>
        <w:rPr>
          <w:color w:val="0E0E0E"/>
          <w:spacing w:val="-14"/>
          <w:w w:val="105"/>
          <w:sz w:val="21"/>
        </w:rPr>
        <w:t> </w:t>
      </w:r>
      <w:r>
        <w:rPr>
          <w:color w:val="1F1F1F"/>
          <w:w w:val="105"/>
          <w:sz w:val="21"/>
        </w:rPr>
        <w:t>current</w:t>
      </w:r>
      <w:r>
        <w:rPr>
          <w:color w:val="1F1F1F"/>
          <w:spacing w:val="-7"/>
          <w:w w:val="105"/>
          <w:sz w:val="21"/>
        </w:rPr>
        <w:t> </w:t>
      </w:r>
      <w:r>
        <w:rPr>
          <w:color w:val="1F1F1F"/>
          <w:w w:val="105"/>
          <w:sz w:val="21"/>
        </w:rPr>
        <w:t>market</w:t>
      </w:r>
      <w:r>
        <w:rPr>
          <w:color w:val="1F1F1F"/>
          <w:spacing w:val="-10"/>
          <w:w w:val="105"/>
          <w:sz w:val="21"/>
        </w:rPr>
        <w:t> </w:t>
      </w:r>
      <w:r>
        <w:rPr>
          <w:color w:val="1F1F1F"/>
          <w:w w:val="105"/>
          <w:sz w:val="21"/>
        </w:rPr>
        <w:t>conditions</w:t>
      </w:r>
      <w:r>
        <w:rPr>
          <w:color w:val="1F1F1F"/>
          <w:spacing w:val="-1"/>
          <w:w w:val="105"/>
          <w:sz w:val="21"/>
        </w:rPr>
        <w:t> </w:t>
      </w:r>
      <w:r>
        <w:rPr>
          <w:color w:val="0E0E0E"/>
          <w:w w:val="105"/>
          <w:sz w:val="21"/>
        </w:rPr>
        <w:t>and</w:t>
      </w:r>
      <w:r>
        <w:rPr>
          <w:color w:val="0E0E0E"/>
          <w:spacing w:val="-14"/>
          <w:w w:val="105"/>
          <w:sz w:val="21"/>
        </w:rPr>
        <w:t> </w:t>
      </w:r>
      <w:r>
        <w:rPr>
          <w:color w:val="1F1F1F"/>
          <w:w w:val="105"/>
          <w:sz w:val="21"/>
        </w:rPr>
        <w:t>recent</w:t>
      </w:r>
      <w:r>
        <w:rPr>
          <w:color w:val="1F1F1F"/>
          <w:spacing w:val="-10"/>
          <w:w w:val="105"/>
          <w:sz w:val="21"/>
        </w:rPr>
        <w:t> </w:t>
      </w:r>
      <w:r>
        <w:rPr>
          <w:color w:val="1F1F1F"/>
          <w:w w:val="105"/>
          <w:sz w:val="21"/>
        </w:rPr>
        <w:t>sale</w:t>
      </w:r>
      <w:r>
        <w:rPr>
          <w:color w:val="1F1F1F"/>
          <w:spacing w:val="-10"/>
          <w:w w:val="105"/>
          <w:sz w:val="21"/>
        </w:rPr>
        <w:t> </w:t>
      </w:r>
      <w:r>
        <w:rPr>
          <w:color w:val="1F1F1F"/>
          <w:w w:val="105"/>
          <w:sz w:val="21"/>
        </w:rPr>
        <w:t>prices</w:t>
      </w:r>
      <w:r>
        <w:rPr>
          <w:color w:val="1F1F1F"/>
          <w:spacing w:val="-11"/>
          <w:w w:val="105"/>
          <w:sz w:val="21"/>
        </w:rPr>
        <w:t> </w:t>
      </w:r>
      <w:r>
        <w:rPr>
          <w:color w:val="0E0E0E"/>
          <w:w w:val="105"/>
          <w:sz w:val="21"/>
        </w:rPr>
        <w:t>and</w:t>
      </w:r>
      <w:r>
        <w:rPr>
          <w:color w:val="0E0E0E"/>
          <w:spacing w:val="-16"/>
          <w:w w:val="105"/>
          <w:sz w:val="21"/>
        </w:rPr>
        <w:t> </w:t>
      </w:r>
      <w:r>
        <w:rPr>
          <w:color w:val="0E0E0E"/>
          <w:w w:val="105"/>
          <w:sz w:val="21"/>
        </w:rPr>
        <w:t>other </w:t>
      </w:r>
      <w:r>
        <w:rPr>
          <w:color w:val="1F1F1F"/>
          <w:w w:val="105"/>
          <w:sz w:val="21"/>
        </w:rPr>
        <w:t>relevant information for similar </w:t>
      </w:r>
      <w:r>
        <w:rPr>
          <w:color w:val="0E0E0E"/>
          <w:w w:val="105"/>
          <w:sz w:val="21"/>
        </w:rPr>
        <w:t>assets </w:t>
      </w:r>
      <w:r>
        <w:rPr>
          <w:color w:val="1F1F1F"/>
          <w:w w:val="105"/>
          <w:sz w:val="21"/>
        </w:rPr>
        <w:t>in</w:t>
      </w:r>
      <w:r>
        <w:rPr>
          <w:color w:val="1F1F1F"/>
          <w:spacing w:val="-3"/>
          <w:w w:val="105"/>
          <w:sz w:val="21"/>
        </w:rPr>
        <w:t> </w:t>
      </w:r>
      <w:r>
        <w:rPr>
          <w:color w:val="1F1F1F"/>
          <w:w w:val="105"/>
          <w:sz w:val="21"/>
        </w:rPr>
        <w:t>the local </w:t>
      </w:r>
      <w:r>
        <w:rPr>
          <w:color w:val="0E0E0E"/>
          <w:w w:val="105"/>
          <w:sz w:val="21"/>
        </w:rPr>
        <w:t>authority area.</w:t>
      </w:r>
    </w:p>
    <w:p>
      <w:pPr>
        <w:pStyle w:val="BodyText"/>
        <w:rPr>
          <w:sz w:val="21"/>
        </w:rPr>
      </w:pPr>
    </w:p>
    <w:p>
      <w:pPr>
        <w:pStyle w:val="BodyText"/>
        <w:spacing w:before="32"/>
        <w:rPr>
          <w:sz w:val="21"/>
        </w:rPr>
      </w:pPr>
    </w:p>
    <w:p>
      <w:pPr>
        <w:spacing w:before="0"/>
        <w:ind w:left="1302" w:right="0" w:firstLine="0"/>
        <w:jc w:val="both"/>
        <w:rPr>
          <w:sz w:val="21"/>
        </w:rPr>
      </w:pPr>
      <w:r>
        <w:rPr>
          <w:color w:val="0E0E0E"/>
          <w:w w:val="105"/>
          <w:sz w:val="21"/>
        </w:rPr>
        <w:t>Typical</w:t>
      </w:r>
      <w:r>
        <w:rPr>
          <w:color w:val="0E0E0E"/>
          <w:spacing w:val="-7"/>
          <w:w w:val="105"/>
          <w:sz w:val="21"/>
        </w:rPr>
        <w:t> </w:t>
      </w:r>
      <w:r>
        <w:rPr>
          <w:color w:val="0E0E0E"/>
          <w:w w:val="105"/>
          <w:sz w:val="21"/>
        </w:rPr>
        <w:t>valuation</w:t>
      </w:r>
      <w:r>
        <w:rPr>
          <w:color w:val="0E0E0E"/>
          <w:spacing w:val="-4"/>
          <w:w w:val="105"/>
          <w:sz w:val="21"/>
        </w:rPr>
        <w:t> </w:t>
      </w:r>
      <w:r>
        <w:rPr>
          <w:color w:val="0E0E0E"/>
          <w:w w:val="105"/>
          <w:sz w:val="21"/>
        </w:rPr>
        <w:t>inputs</w:t>
      </w:r>
      <w:r>
        <w:rPr>
          <w:color w:val="0E0E0E"/>
          <w:spacing w:val="-8"/>
          <w:w w:val="105"/>
          <w:sz w:val="21"/>
        </w:rPr>
        <w:t> </w:t>
      </w:r>
      <w:r>
        <w:rPr>
          <w:color w:val="0E0E0E"/>
          <w:w w:val="105"/>
          <w:sz w:val="21"/>
        </w:rPr>
        <w:t>which</w:t>
      </w:r>
      <w:r>
        <w:rPr>
          <w:color w:val="0E0E0E"/>
          <w:spacing w:val="-5"/>
          <w:w w:val="105"/>
          <w:sz w:val="21"/>
        </w:rPr>
        <w:t> </w:t>
      </w:r>
      <w:r>
        <w:rPr>
          <w:color w:val="0E0E0E"/>
          <w:w w:val="105"/>
          <w:sz w:val="21"/>
        </w:rPr>
        <w:t>have</w:t>
      </w:r>
      <w:r>
        <w:rPr>
          <w:color w:val="0E0E0E"/>
          <w:spacing w:val="-3"/>
          <w:w w:val="105"/>
          <w:sz w:val="21"/>
        </w:rPr>
        <w:t> </w:t>
      </w:r>
      <w:r>
        <w:rPr>
          <w:color w:val="0E0E0E"/>
          <w:w w:val="105"/>
          <w:sz w:val="21"/>
        </w:rPr>
        <w:t>been</w:t>
      </w:r>
      <w:r>
        <w:rPr>
          <w:color w:val="0E0E0E"/>
          <w:spacing w:val="-9"/>
          <w:w w:val="105"/>
          <w:sz w:val="21"/>
        </w:rPr>
        <w:t> </w:t>
      </w:r>
      <w:r>
        <w:rPr>
          <w:color w:val="0E0E0E"/>
          <w:w w:val="105"/>
          <w:sz w:val="21"/>
        </w:rPr>
        <w:t>analysed</w:t>
      </w:r>
      <w:r>
        <w:rPr>
          <w:color w:val="0E0E0E"/>
          <w:spacing w:val="-6"/>
          <w:w w:val="105"/>
          <w:sz w:val="21"/>
        </w:rPr>
        <w:t> </w:t>
      </w:r>
      <w:r>
        <w:rPr>
          <w:color w:val="0E0E0E"/>
          <w:w w:val="105"/>
          <w:sz w:val="21"/>
        </w:rPr>
        <w:t>in</w:t>
      </w:r>
      <w:r>
        <w:rPr>
          <w:color w:val="0E0E0E"/>
          <w:spacing w:val="-9"/>
          <w:w w:val="105"/>
          <w:sz w:val="21"/>
        </w:rPr>
        <w:t> </w:t>
      </w:r>
      <w:r>
        <w:rPr>
          <w:color w:val="0E0E0E"/>
          <w:w w:val="105"/>
          <w:sz w:val="21"/>
        </w:rPr>
        <w:t>arriving</w:t>
      </w:r>
      <w:r>
        <w:rPr>
          <w:color w:val="0E0E0E"/>
          <w:spacing w:val="-1"/>
          <w:w w:val="105"/>
          <w:sz w:val="21"/>
        </w:rPr>
        <w:t> </w:t>
      </w:r>
      <w:r>
        <w:rPr>
          <w:color w:val="0E0E0E"/>
          <w:w w:val="105"/>
          <w:sz w:val="21"/>
        </w:rPr>
        <w:t>at</w:t>
      </w:r>
      <w:r>
        <w:rPr>
          <w:color w:val="0E0E0E"/>
          <w:spacing w:val="-15"/>
          <w:w w:val="105"/>
          <w:sz w:val="21"/>
        </w:rPr>
        <w:t> </w:t>
      </w:r>
      <w:r>
        <w:rPr>
          <w:color w:val="0E0E0E"/>
          <w:w w:val="105"/>
          <w:sz w:val="21"/>
        </w:rPr>
        <w:t>Fair</w:t>
      </w:r>
      <w:r>
        <w:rPr>
          <w:color w:val="0E0E0E"/>
          <w:spacing w:val="-11"/>
          <w:w w:val="105"/>
          <w:sz w:val="21"/>
        </w:rPr>
        <w:t> </w:t>
      </w:r>
      <w:r>
        <w:rPr>
          <w:color w:val="0E0E0E"/>
          <w:w w:val="105"/>
          <w:sz w:val="21"/>
        </w:rPr>
        <w:t>Valuations</w:t>
      </w:r>
      <w:r>
        <w:rPr>
          <w:color w:val="0E0E0E"/>
          <w:spacing w:val="2"/>
          <w:w w:val="105"/>
          <w:sz w:val="21"/>
        </w:rPr>
        <w:t> </w:t>
      </w:r>
      <w:r>
        <w:rPr>
          <w:color w:val="1F1F1F"/>
          <w:spacing w:val="-2"/>
          <w:w w:val="105"/>
          <w:sz w:val="21"/>
        </w:rPr>
        <w:t>include;</w:t>
      </w:r>
    </w:p>
    <w:p>
      <w:pPr>
        <w:pStyle w:val="BodyText"/>
        <w:spacing w:before="41"/>
        <w:rPr>
          <w:sz w:val="21"/>
        </w:rPr>
      </w:pPr>
    </w:p>
    <w:p>
      <w:pPr>
        <w:pStyle w:val="ListParagraph"/>
        <w:numPr>
          <w:ilvl w:val="0"/>
          <w:numId w:val="18"/>
        </w:numPr>
        <w:tabs>
          <w:tab w:val="left" w:leader="none" w:pos="2013"/>
        </w:tabs>
        <w:spacing w:before="0" w:after="0" w:line="240" w:lineRule="auto"/>
        <w:ind w:left="2013" w:right="0" w:hanging="352"/>
        <w:jc w:val="left"/>
        <w:rPr>
          <w:color w:val="0E0E0E"/>
          <w:sz w:val="21"/>
        </w:rPr>
      </w:pPr>
      <w:r>
        <w:rPr>
          <w:color w:val="0E0E0E"/>
          <w:w w:val="105"/>
          <w:sz w:val="21"/>
        </w:rPr>
        <w:t>Market</w:t>
      </w:r>
      <w:r>
        <w:rPr>
          <w:color w:val="0E0E0E"/>
          <w:spacing w:val="-2"/>
          <w:w w:val="105"/>
          <w:sz w:val="21"/>
        </w:rPr>
        <w:t> </w:t>
      </w:r>
      <w:r>
        <w:rPr>
          <w:color w:val="0E0E0E"/>
          <w:w w:val="105"/>
          <w:sz w:val="21"/>
        </w:rPr>
        <w:t>Rental</w:t>
      </w:r>
      <w:r>
        <w:rPr>
          <w:color w:val="0E0E0E"/>
          <w:spacing w:val="-3"/>
          <w:w w:val="105"/>
          <w:sz w:val="21"/>
        </w:rPr>
        <w:t> </w:t>
      </w:r>
      <w:r>
        <w:rPr>
          <w:color w:val="0E0E0E"/>
          <w:w w:val="105"/>
          <w:sz w:val="21"/>
        </w:rPr>
        <w:t>and</w:t>
      </w:r>
      <w:r>
        <w:rPr>
          <w:color w:val="0E0E0E"/>
          <w:spacing w:val="-5"/>
          <w:w w:val="105"/>
          <w:sz w:val="21"/>
        </w:rPr>
        <w:t> </w:t>
      </w:r>
      <w:r>
        <w:rPr>
          <w:color w:val="0E0E0E"/>
          <w:w w:val="105"/>
          <w:sz w:val="21"/>
        </w:rPr>
        <w:t>Sale</w:t>
      </w:r>
      <w:r>
        <w:rPr>
          <w:color w:val="0E0E0E"/>
          <w:spacing w:val="-9"/>
          <w:w w:val="105"/>
          <w:sz w:val="21"/>
        </w:rPr>
        <w:t> </w:t>
      </w:r>
      <w:r>
        <w:rPr>
          <w:color w:val="0E0E0E"/>
          <w:spacing w:val="-2"/>
          <w:w w:val="105"/>
          <w:sz w:val="21"/>
        </w:rPr>
        <w:t>Values</w:t>
      </w:r>
    </w:p>
    <w:p>
      <w:pPr>
        <w:pStyle w:val="ListParagraph"/>
        <w:numPr>
          <w:ilvl w:val="0"/>
          <w:numId w:val="18"/>
        </w:numPr>
        <w:tabs>
          <w:tab w:val="left" w:leader="none" w:pos="2023"/>
        </w:tabs>
        <w:spacing w:before="32" w:after="0" w:line="240" w:lineRule="auto"/>
        <w:ind w:left="2023" w:right="0" w:hanging="357"/>
        <w:jc w:val="left"/>
        <w:rPr>
          <w:color w:val="1F1F1F"/>
          <w:sz w:val="21"/>
        </w:rPr>
      </w:pPr>
      <w:r>
        <w:rPr>
          <w:color w:val="0E0E0E"/>
          <w:spacing w:val="-2"/>
          <w:sz w:val="21"/>
        </w:rPr>
        <w:t>Yields</w:t>
      </w:r>
    </w:p>
    <w:p>
      <w:pPr>
        <w:pStyle w:val="ListParagraph"/>
        <w:numPr>
          <w:ilvl w:val="0"/>
          <w:numId w:val="18"/>
        </w:numPr>
        <w:tabs>
          <w:tab w:val="left" w:leader="none" w:pos="2018"/>
        </w:tabs>
        <w:spacing w:before="23" w:after="0" w:line="240" w:lineRule="auto"/>
        <w:ind w:left="2018" w:right="0" w:hanging="352"/>
        <w:jc w:val="left"/>
        <w:rPr>
          <w:color w:val="1F1F1F"/>
          <w:sz w:val="21"/>
        </w:rPr>
      </w:pPr>
      <w:r>
        <w:rPr>
          <w:color w:val="0E0E0E"/>
          <w:w w:val="105"/>
          <w:sz w:val="21"/>
        </w:rPr>
        <w:t>Void</w:t>
      </w:r>
      <w:r>
        <w:rPr>
          <w:color w:val="0E0E0E"/>
          <w:spacing w:val="-5"/>
          <w:w w:val="105"/>
          <w:sz w:val="21"/>
        </w:rPr>
        <w:t> </w:t>
      </w:r>
      <w:r>
        <w:rPr>
          <w:color w:val="0E0E0E"/>
          <w:w w:val="105"/>
          <w:sz w:val="21"/>
        </w:rPr>
        <w:t>and</w:t>
      </w:r>
      <w:r>
        <w:rPr>
          <w:color w:val="0E0E0E"/>
          <w:spacing w:val="-8"/>
          <w:w w:val="105"/>
          <w:sz w:val="21"/>
        </w:rPr>
        <w:t> </w:t>
      </w:r>
      <w:r>
        <w:rPr>
          <w:color w:val="0E0E0E"/>
          <w:w w:val="105"/>
          <w:sz w:val="21"/>
        </w:rPr>
        <w:t>Letting</w:t>
      </w:r>
      <w:r>
        <w:rPr>
          <w:color w:val="0E0E0E"/>
          <w:spacing w:val="-5"/>
          <w:w w:val="105"/>
          <w:sz w:val="21"/>
        </w:rPr>
        <w:t> </w:t>
      </w:r>
      <w:r>
        <w:rPr>
          <w:color w:val="0E0E0E"/>
          <w:spacing w:val="-2"/>
          <w:w w:val="105"/>
          <w:sz w:val="21"/>
        </w:rPr>
        <w:t>Periods</w:t>
      </w:r>
    </w:p>
    <w:p>
      <w:pPr>
        <w:pStyle w:val="ListParagraph"/>
        <w:numPr>
          <w:ilvl w:val="0"/>
          <w:numId w:val="18"/>
        </w:numPr>
        <w:tabs>
          <w:tab w:val="left" w:leader="none" w:pos="2019"/>
        </w:tabs>
        <w:spacing w:before="33" w:after="0" w:line="240" w:lineRule="auto"/>
        <w:ind w:left="2019" w:right="0" w:hanging="358"/>
        <w:jc w:val="left"/>
        <w:rPr>
          <w:color w:val="0E0E0E"/>
          <w:sz w:val="21"/>
        </w:rPr>
      </w:pPr>
      <w:r>
        <w:rPr>
          <w:color w:val="0E0E0E"/>
          <w:spacing w:val="-4"/>
          <w:w w:val="105"/>
          <w:sz w:val="21"/>
        </w:rPr>
        <w:t>Size</w:t>
      </w:r>
    </w:p>
    <w:p>
      <w:pPr>
        <w:pStyle w:val="ListParagraph"/>
        <w:numPr>
          <w:ilvl w:val="0"/>
          <w:numId w:val="18"/>
        </w:numPr>
        <w:tabs>
          <w:tab w:val="left" w:leader="none" w:pos="2018"/>
        </w:tabs>
        <w:spacing w:before="18" w:after="0" w:line="240" w:lineRule="auto"/>
        <w:ind w:left="2018" w:right="0" w:hanging="352"/>
        <w:jc w:val="left"/>
        <w:rPr>
          <w:color w:val="1F1F1F"/>
          <w:sz w:val="21"/>
        </w:rPr>
      </w:pPr>
      <w:r>
        <w:rPr>
          <w:color w:val="0E0E0E"/>
          <w:w w:val="105"/>
          <w:sz w:val="21"/>
        </w:rPr>
        <w:t>Configuration,</w:t>
      </w:r>
      <w:r>
        <w:rPr>
          <w:color w:val="0E0E0E"/>
          <w:spacing w:val="-14"/>
          <w:w w:val="105"/>
          <w:sz w:val="21"/>
        </w:rPr>
        <w:t> </w:t>
      </w:r>
      <w:r>
        <w:rPr>
          <w:color w:val="0E0E0E"/>
          <w:w w:val="105"/>
          <w:sz w:val="21"/>
        </w:rPr>
        <w:t>proportions</w:t>
      </w:r>
      <w:r>
        <w:rPr>
          <w:color w:val="0E0E0E"/>
          <w:spacing w:val="4"/>
          <w:w w:val="105"/>
          <w:sz w:val="21"/>
        </w:rPr>
        <w:t> </w:t>
      </w:r>
      <w:r>
        <w:rPr>
          <w:color w:val="0E0E0E"/>
          <w:w w:val="105"/>
          <w:sz w:val="21"/>
        </w:rPr>
        <w:t>and</w:t>
      </w:r>
      <w:r>
        <w:rPr>
          <w:color w:val="0E0E0E"/>
          <w:spacing w:val="-15"/>
          <w:w w:val="105"/>
          <w:sz w:val="21"/>
        </w:rPr>
        <w:t> </w:t>
      </w:r>
      <w:r>
        <w:rPr>
          <w:color w:val="0E0E0E"/>
          <w:spacing w:val="-2"/>
          <w:w w:val="105"/>
          <w:sz w:val="21"/>
        </w:rPr>
        <w:t>layout</w:t>
      </w:r>
    </w:p>
    <w:p>
      <w:pPr>
        <w:pStyle w:val="ListParagraph"/>
        <w:numPr>
          <w:ilvl w:val="0"/>
          <w:numId w:val="18"/>
        </w:numPr>
        <w:tabs>
          <w:tab w:val="left" w:leader="none" w:pos="2018"/>
        </w:tabs>
        <w:spacing w:before="27" w:after="0" w:line="240" w:lineRule="auto"/>
        <w:ind w:left="2018" w:right="0" w:hanging="361"/>
        <w:jc w:val="left"/>
        <w:rPr>
          <w:color w:val="0E0E0E"/>
          <w:sz w:val="21"/>
        </w:rPr>
      </w:pPr>
      <w:r>
        <w:rPr>
          <w:color w:val="0E0E0E"/>
          <w:w w:val="105"/>
          <w:sz w:val="21"/>
        </w:rPr>
        <w:t>Location,</w:t>
      </w:r>
      <w:r>
        <w:rPr>
          <w:color w:val="0E0E0E"/>
          <w:spacing w:val="-2"/>
          <w:w w:val="105"/>
          <w:sz w:val="21"/>
        </w:rPr>
        <w:t> </w:t>
      </w:r>
      <w:r>
        <w:rPr>
          <w:color w:val="0E0E0E"/>
          <w:w w:val="105"/>
          <w:sz w:val="21"/>
        </w:rPr>
        <w:t>visibility</w:t>
      </w:r>
      <w:r>
        <w:rPr>
          <w:color w:val="0E0E0E"/>
          <w:spacing w:val="1"/>
          <w:w w:val="105"/>
          <w:sz w:val="21"/>
        </w:rPr>
        <w:t> </w:t>
      </w:r>
      <w:r>
        <w:rPr>
          <w:color w:val="0E0E0E"/>
          <w:w w:val="105"/>
          <w:sz w:val="21"/>
        </w:rPr>
        <w:t>and</w:t>
      </w:r>
      <w:r>
        <w:rPr>
          <w:color w:val="0E0E0E"/>
          <w:spacing w:val="-13"/>
          <w:w w:val="105"/>
          <w:sz w:val="21"/>
        </w:rPr>
        <w:t> </w:t>
      </w:r>
      <w:r>
        <w:rPr>
          <w:color w:val="0E0E0E"/>
          <w:spacing w:val="-2"/>
          <w:w w:val="105"/>
          <w:sz w:val="21"/>
        </w:rPr>
        <w:t>access</w:t>
      </w:r>
    </w:p>
    <w:p>
      <w:pPr>
        <w:pStyle w:val="ListParagraph"/>
        <w:numPr>
          <w:ilvl w:val="0"/>
          <w:numId w:val="18"/>
        </w:numPr>
        <w:tabs>
          <w:tab w:val="left" w:leader="none" w:pos="2018"/>
        </w:tabs>
        <w:spacing w:before="28" w:after="0" w:line="240" w:lineRule="auto"/>
        <w:ind w:left="2018" w:right="0" w:hanging="352"/>
        <w:jc w:val="left"/>
        <w:rPr>
          <w:color w:val="0E0E0E"/>
          <w:sz w:val="21"/>
        </w:rPr>
      </w:pPr>
      <w:r>
        <w:rPr>
          <w:color w:val="0E0E0E"/>
          <w:spacing w:val="-2"/>
          <w:w w:val="105"/>
          <w:sz w:val="21"/>
        </w:rPr>
        <w:t>Condition</w:t>
      </w:r>
    </w:p>
    <w:p>
      <w:pPr>
        <w:pStyle w:val="ListParagraph"/>
        <w:numPr>
          <w:ilvl w:val="0"/>
          <w:numId w:val="18"/>
        </w:numPr>
        <w:tabs>
          <w:tab w:val="left" w:leader="none" w:pos="2018"/>
        </w:tabs>
        <w:spacing w:before="28" w:after="0" w:line="240" w:lineRule="auto"/>
        <w:ind w:left="2018" w:right="0" w:hanging="357"/>
        <w:jc w:val="left"/>
        <w:rPr>
          <w:color w:val="1F1F1F"/>
          <w:sz w:val="21"/>
        </w:rPr>
      </w:pPr>
      <w:r>
        <w:rPr>
          <w:color w:val="0E0E0E"/>
          <w:w w:val="105"/>
          <w:sz w:val="21"/>
        </w:rPr>
        <w:t>Lease</w:t>
      </w:r>
      <w:r>
        <w:rPr>
          <w:color w:val="0E0E0E"/>
          <w:spacing w:val="-2"/>
          <w:w w:val="105"/>
          <w:sz w:val="21"/>
        </w:rPr>
        <w:t> covenants</w:t>
      </w:r>
    </w:p>
    <w:p>
      <w:pPr>
        <w:pStyle w:val="ListParagraph"/>
        <w:numPr>
          <w:ilvl w:val="0"/>
          <w:numId w:val="18"/>
        </w:numPr>
        <w:tabs>
          <w:tab w:val="left" w:leader="none" w:pos="2023"/>
        </w:tabs>
        <w:spacing w:before="27" w:after="0" w:line="240" w:lineRule="auto"/>
        <w:ind w:left="2023" w:right="0" w:hanging="357"/>
        <w:jc w:val="left"/>
        <w:rPr>
          <w:color w:val="0E0E0E"/>
          <w:sz w:val="21"/>
        </w:rPr>
      </w:pPr>
      <w:r>
        <w:rPr>
          <w:color w:val="0E0E0E"/>
          <w:spacing w:val="-2"/>
          <w:w w:val="105"/>
          <w:sz w:val="21"/>
        </w:rPr>
        <w:t>Obsolescence</w:t>
      </w:r>
    </w:p>
    <w:p>
      <w:pPr>
        <w:spacing w:after="0" w:line="240" w:lineRule="auto"/>
        <w:jc w:val="left"/>
        <w:rPr>
          <w:sz w:val="21"/>
        </w:rPr>
        <w:sectPr>
          <w:pgSz w:w="11910" w:h="16830"/>
          <w:pgMar w:top="900" w:right="300" w:bottom="1340" w:left="0" w:header="716" w:footer="1144"/>
        </w:sectPr>
      </w:pPr>
    </w:p>
    <w:p>
      <w:pPr>
        <w:tabs>
          <w:tab w:val="left" w:leader="none" w:pos="2243"/>
        </w:tabs>
        <w:spacing w:before="73"/>
        <w:ind w:left="1536" w:right="0" w:firstLine="0"/>
        <w:jc w:val="left"/>
        <w:rPr>
          <w:sz w:val="15"/>
        </w:rPr>
      </w:pPr>
      <w:r>
        <w:rPr/>
        <ve:AlternateContent>
          <ve:Choice Requires="wps">
            <w:drawing>
              <wp:anchor distT="0" distB="0" distL="0" distR="0" simplePos="0" relativeHeight="15813120" behindDoc="0" locked="0" layoutInCell="1" allowOverlap="1">
                <wp:simplePos x="0" y="0"/>
                <wp:positionH relativeFrom="page">
                  <wp:posOffset>15264</wp:posOffset>
                </wp:positionH>
                <wp:positionV relativeFrom="page">
                  <wp:posOffset>9868492</wp:posOffset>
                </wp:positionV>
                <wp:extent cx="1270" cy="708025"/>
                <wp:effectExtent l="0" t="0" r="0" b="0"/>
                <wp:wrapNone/>
                <wp:docPr id="368" name="Graphic 368"/>
                <wp:cNvGraphicFramePr>
                  <a:graphicFrameLocks/>
                </wp:cNvGraphicFramePr>
                <a:graphic>
                  <a:graphicData uri="http://schemas.microsoft.com/office/word/2010/wordprocessingShape">
                    <wps:wsp>
                      <wps:cNvPr id="368" name="Graphic 368"/>
                      <wps:cNvSpPr/>
                      <wps:spPr>
                        <a:xfrm>
                          <a:off x="0" y="0"/>
                          <a:ext cx="1270" cy="708025"/>
                        </a:xfrm>
                        <a:custGeom>
                          <a:avLst/>
                          <a:gdLst/>
                          <a:ahLst/>
                          <a:cxnLst/>
                          <a:rect l="l" t="t" r="r" b="b"/>
                          <a:pathLst>
                            <a:path w="0" h="708025">
                              <a:moveTo>
                                <a:pt x="0" y="707942"/>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13120" stroked="true" strokecolor="#000000" strokeweight=".961549pt" from="1.201936pt,832.790159pt" to="1.201936pt,777.046631pt">
                <v:stroke dashstyle="solid"/>
                <w10:wrap type="none"/>
              </v:line>
            </w:pict>
          </ve:Fallback>
        </ve:AlternateContent>
      </w:r>
      <w:r>
        <w:rPr>
          <w:color w:val="494949"/>
          <w:spacing w:val="-10"/>
          <w:w w:val="105"/>
          <w:sz w:val="15"/>
        </w:rPr>
        <w:t>3</w:t>
      </w:r>
      <w:r>
        <w:rPr>
          <w:color w:val="494949"/>
          <w:sz w:val="15"/>
        </w:rPr>
        <w:tab/>
      </w:r>
      <w:r>
        <w:rPr>
          <w:color w:val="494949"/>
          <w:w w:val="105"/>
          <w:sz w:val="15"/>
        </w:rPr>
        <w:t>NOT=S</w:t>
      </w:r>
      <w:r>
        <w:rPr>
          <w:color w:val="494949"/>
          <w:spacing w:val="16"/>
          <w:w w:val="105"/>
          <w:sz w:val="15"/>
        </w:rPr>
        <w:t> </w:t>
      </w:r>
      <w:r>
        <w:rPr>
          <w:color w:val="494949"/>
          <w:w w:val="105"/>
          <w:sz w:val="15"/>
        </w:rPr>
        <w:t>TO</w:t>
      </w:r>
      <w:r>
        <w:rPr>
          <w:color w:val="494949"/>
          <w:spacing w:val="23"/>
          <w:w w:val="105"/>
          <w:sz w:val="15"/>
        </w:rPr>
        <w:t> </w:t>
      </w:r>
      <w:r>
        <w:rPr>
          <w:color w:val="494949"/>
          <w:w w:val="105"/>
          <w:sz w:val="15"/>
        </w:rPr>
        <w:t>THE</w:t>
      </w:r>
      <w:r>
        <w:rPr>
          <w:color w:val="494949"/>
          <w:spacing w:val="22"/>
          <w:w w:val="105"/>
          <w:sz w:val="15"/>
        </w:rPr>
        <w:t> </w:t>
      </w:r>
      <w:r>
        <w:rPr>
          <w:color w:val="494949"/>
          <w:w w:val="105"/>
          <w:sz w:val="15"/>
        </w:rPr>
        <w:t>ACCOU</w:t>
      </w:r>
      <w:r>
        <w:rPr>
          <w:color w:val="494949"/>
          <w:spacing w:val="2"/>
          <w:w w:val="105"/>
          <w:sz w:val="15"/>
        </w:rPr>
        <w:t> </w:t>
      </w:r>
      <w:r>
        <w:rPr>
          <w:color w:val="494949"/>
          <w:spacing w:val="-5"/>
          <w:w w:val="105"/>
          <w:sz w:val="15"/>
        </w:rPr>
        <w:t>HS</w:t>
      </w:r>
    </w:p>
    <w:p>
      <w:pPr>
        <w:pStyle w:val="BodyText"/>
        <w:spacing w:before="74"/>
        <w:rPr>
          <w:sz w:val="15"/>
        </w:rPr>
      </w:pPr>
    </w:p>
    <w:p>
      <w:pPr>
        <w:pStyle w:val="ListParagraph"/>
        <w:numPr>
          <w:ilvl w:val="1"/>
          <w:numId w:val="16"/>
        </w:numPr>
        <w:tabs>
          <w:tab w:val="left" w:leader="none" w:pos="2230"/>
        </w:tabs>
        <w:spacing w:before="1" w:after="0" w:line="240" w:lineRule="auto"/>
        <w:ind w:left="2230" w:right="0" w:hanging="716"/>
        <w:jc w:val="left"/>
        <w:rPr>
          <w:b/>
          <w:color w:val="2A2A2A"/>
          <w:sz w:val="21"/>
        </w:rPr>
      </w:pPr>
      <w:r>
        <w:rPr>
          <w:b/>
          <w:color w:val="2A2A2A"/>
          <w:w w:val="105"/>
          <w:sz w:val="21"/>
        </w:rPr>
        <w:t>Intangible</w:t>
      </w:r>
      <w:r>
        <w:rPr>
          <w:b/>
          <w:color w:val="2A2A2A"/>
          <w:spacing w:val="-13"/>
          <w:w w:val="105"/>
          <w:sz w:val="21"/>
        </w:rPr>
        <w:t> </w:t>
      </w:r>
      <w:r>
        <w:rPr>
          <w:b/>
          <w:color w:val="2A2A2A"/>
          <w:spacing w:val="-2"/>
          <w:w w:val="105"/>
          <w:sz w:val="21"/>
        </w:rPr>
        <w:t>Assets</w:t>
      </w:r>
    </w:p>
    <w:p>
      <w:pPr>
        <w:pStyle w:val="BodyText"/>
        <w:spacing w:before="2"/>
        <w:rPr>
          <w:b/>
          <w:sz w:val="21"/>
        </w:rPr>
      </w:pPr>
    </w:p>
    <w:p>
      <w:pPr>
        <w:spacing w:before="0"/>
        <w:ind w:left="1509" w:right="0" w:firstLine="0"/>
        <w:jc w:val="left"/>
        <w:rPr>
          <w:sz w:val="21"/>
        </w:rPr>
      </w:pPr>
      <w:r>
        <w:rPr>
          <w:color w:val="2A2A2A"/>
          <w:w w:val="105"/>
          <w:sz w:val="21"/>
        </w:rPr>
        <w:t>The</w:t>
      </w:r>
      <w:r>
        <w:rPr>
          <w:color w:val="2A2A2A"/>
          <w:spacing w:val="-10"/>
          <w:w w:val="105"/>
          <w:sz w:val="21"/>
        </w:rPr>
        <w:t> </w:t>
      </w:r>
      <w:r>
        <w:rPr>
          <w:color w:val="2A2A2A"/>
          <w:w w:val="105"/>
          <w:sz w:val="21"/>
        </w:rPr>
        <w:t>movement</w:t>
      </w:r>
      <w:r>
        <w:rPr>
          <w:color w:val="2A2A2A"/>
          <w:spacing w:val="3"/>
          <w:w w:val="105"/>
          <w:sz w:val="21"/>
        </w:rPr>
        <w:t> </w:t>
      </w:r>
      <w:r>
        <w:rPr>
          <w:color w:val="2A2A2A"/>
          <w:w w:val="105"/>
          <w:sz w:val="21"/>
        </w:rPr>
        <w:t>on</w:t>
      </w:r>
      <w:r>
        <w:rPr>
          <w:color w:val="2A2A2A"/>
          <w:spacing w:val="-13"/>
          <w:w w:val="105"/>
          <w:sz w:val="21"/>
        </w:rPr>
        <w:t> </w:t>
      </w:r>
      <w:r>
        <w:rPr>
          <w:color w:val="2A2A2A"/>
          <w:w w:val="105"/>
          <w:sz w:val="21"/>
        </w:rPr>
        <w:t>Intangible</w:t>
      </w:r>
      <w:r>
        <w:rPr>
          <w:color w:val="2A2A2A"/>
          <w:spacing w:val="-3"/>
          <w:w w:val="105"/>
          <w:sz w:val="21"/>
        </w:rPr>
        <w:t> </w:t>
      </w:r>
      <w:r>
        <w:rPr>
          <w:color w:val="2A2A2A"/>
          <w:w w:val="105"/>
          <w:sz w:val="21"/>
        </w:rPr>
        <w:t>Asset balances</w:t>
      </w:r>
      <w:r>
        <w:rPr>
          <w:color w:val="2A2A2A"/>
          <w:spacing w:val="5"/>
          <w:w w:val="105"/>
          <w:sz w:val="21"/>
        </w:rPr>
        <w:t> </w:t>
      </w:r>
      <w:r>
        <w:rPr>
          <w:color w:val="2A2A2A"/>
          <w:w w:val="105"/>
          <w:sz w:val="21"/>
        </w:rPr>
        <w:t>during the</w:t>
      </w:r>
      <w:r>
        <w:rPr>
          <w:color w:val="2A2A2A"/>
          <w:spacing w:val="-5"/>
          <w:w w:val="105"/>
          <w:sz w:val="21"/>
        </w:rPr>
        <w:t> </w:t>
      </w:r>
      <w:r>
        <w:rPr>
          <w:color w:val="2A2A2A"/>
          <w:w w:val="105"/>
          <w:sz w:val="21"/>
        </w:rPr>
        <w:t>year</w:t>
      </w:r>
      <w:r>
        <w:rPr>
          <w:color w:val="2A2A2A"/>
          <w:spacing w:val="-10"/>
          <w:w w:val="105"/>
          <w:sz w:val="21"/>
        </w:rPr>
        <w:t> </w:t>
      </w:r>
      <w:r>
        <w:rPr>
          <w:color w:val="2A2A2A"/>
          <w:w w:val="105"/>
          <w:sz w:val="21"/>
        </w:rPr>
        <w:t>is</w:t>
      </w:r>
      <w:r>
        <w:rPr>
          <w:color w:val="2A2A2A"/>
          <w:spacing w:val="-11"/>
          <w:w w:val="105"/>
          <w:sz w:val="21"/>
        </w:rPr>
        <w:t> </w:t>
      </w:r>
      <w:r>
        <w:rPr>
          <w:color w:val="2A2A2A"/>
          <w:w w:val="105"/>
          <w:sz w:val="21"/>
        </w:rPr>
        <w:t>as</w:t>
      </w:r>
      <w:r>
        <w:rPr>
          <w:color w:val="2A2A2A"/>
          <w:spacing w:val="-13"/>
          <w:w w:val="105"/>
          <w:sz w:val="21"/>
        </w:rPr>
        <w:t> </w:t>
      </w:r>
      <w:r>
        <w:rPr>
          <w:color w:val="2A2A2A"/>
          <w:spacing w:val="-2"/>
          <w:w w:val="105"/>
          <w:sz w:val="21"/>
        </w:rPr>
        <w:t>follows:</w:t>
      </w:r>
    </w:p>
    <w:p>
      <w:pPr>
        <w:pStyle w:val="BodyText"/>
        <w:spacing w:before="155"/>
        <w:rPr>
          <w:sz w:val="20"/>
        </w:rPr>
      </w:pPr>
    </w:p>
    <w:tbl>
      <w:tblPr>
        <w:tblW w:w="0" w:type="auto"/>
        <w:jc w:val="left"/>
        <w:tblInd w:w="17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49"/>
        <w:gridCol w:w="4650"/>
        <w:gridCol w:w="2948"/>
      </w:tblGrid>
      <w:tr>
        <w:trPr>
          <w:trHeight w:val="304" w:hRule="atLeast"/>
        </w:trPr>
        <w:tc>
          <w:tcPr>
            <w:tcW w:w="1349" w:type="dxa"/>
          </w:tcPr>
          <w:p>
            <w:pPr>
              <w:pStyle w:val="TableParagraph"/>
              <w:spacing w:line="235" w:lineRule="exact"/>
              <w:ind w:left="50"/>
              <w:rPr>
                <w:b/>
                <w:sz w:val="21"/>
              </w:rPr>
            </w:pPr>
            <w:r>
              <w:rPr>
                <w:b/>
                <w:color w:val="050505"/>
                <w:sz w:val="21"/>
              </w:rPr>
              <w:t>2021-</w:t>
            </w:r>
            <w:r>
              <w:rPr>
                <w:b/>
                <w:color w:val="050505"/>
                <w:spacing w:val="-5"/>
                <w:sz w:val="21"/>
              </w:rPr>
              <w:t>22</w:t>
            </w:r>
          </w:p>
        </w:tc>
        <w:tc>
          <w:tcPr>
            <w:tcW w:w="4650" w:type="dxa"/>
          </w:tcPr>
          <w:p>
            <w:pPr>
              <w:pStyle w:val="TableParagraph"/>
              <w:rPr>
                <w:rFonts w:ascii="Times New Roman"/>
                <w:sz w:val="20"/>
              </w:rPr>
            </w:pPr>
          </w:p>
        </w:tc>
        <w:tc>
          <w:tcPr>
            <w:tcW w:w="2948" w:type="dxa"/>
          </w:tcPr>
          <w:p>
            <w:pPr>
              <w:pStyle w:val="TableParagraph"/>
              <w:spacing w:line="235" w:lineRule="exact"/>
              <w:ind w:right="138"/>
              <w:jc w:val="right"/>
              <w:rPr>
                <w:b/>
                <w:sz w:val="21"/>
              </w:rPr>
            </w:pPr>
            <w:r>
              <w:rPr>
                <w:b/>
                <w:color w:val="050505"/>
                <w:sz w:val="21"/>
              </w:rPr>
              <w:t>2022-</w:t>
            </w:r>
            <w:r>
              <w:rPr>
                <w:b/>
                <w:color w:val="050505"/>
                <w:spacing w:val="-5"/>
                <w:sz w:val="21"/>
              </w:rPr>
              <w:t>23</w:t>
            </w:r>
          </w:p>
        </w:tc>
      </w:tr>
      <w:tr>
        <w:trPr>
          <w:trHeight w:val="324" w:hRule="atLeast"/>
        </w:trPr>
        <w:tc>
          <w:tcPr>
            <w:tcW w:w="1349" w:type="dxa"/>
          </w:tcPr>
          <w:p>
            <w:pPr>
              <w:pStyle w:val="TableParagraph"/>
              <w:spacing w:before="63" w:line="241" w:lineRule="exact"/>
              <w:ind w:left="198"/>
              <w:rPr>
                <w:b/>
                <w:sz w:val="21"/>
              </w:rPr>
            </w:pPr>
            <w:r>
              <w:rPr>
                <w:b/>
                <w:color w:val="050505"/>
                <w:spacing w:val="-4"/>
                <w:w w:val="105"/>
                <w:sz w:val="21"/>
              </w:rPr>
              <w:t>£000</w:t>
            </w:r>
          </w:p>
        </w:tc>
        <w:tc>
          <w:tcPr>
            <w:tcW w:w="4650" w:type="dxa"/>
          </w:tcPr>
          <w:p>
            <w:pPr>
              <w:pStyle w:val="TableParagraph"/>
              <w:rPr>
                <w:rFonts w:ascii="Times New Roman"/>
                <w:sz w:val="20"/>
              </w:rPr>
            </w:pPr>
          </w:p>
        </w:tc>
        <w:tc>
          <w:tcPr>
            <w:tcW w:w="2948" w:type="dxa"/>
          </w:tcPr>
          <w:p>
            <w:pPr>
              <w:pStyle w:val="TableParagraph"/>
              <w:spacing w:before="63" w:line="241" w:lineRule="exact"/>
              <w:ind w:right="293"/>
              <w:jc w:val="right"/>
              <w:rPr>
                <w:b/>
                <w:sz w:val="21"/>
              </w:rPr>
            </w:pPr>
            <w:r>
              <w:rPr>
                <w:b/>
                <w:color w:val="050505"/>
                <w:spacing w:val="-4"/>
                <w:w w:val="105"/>
                <w:sz w:val="21"/>
              </w:rPr>
              <w:t>£000</w:t>
            </w:r>
          </w:p>
        </w:tc>
      </w:tr>
      <w:tr>
        <w:trPr>
          <w:trHeight w:val="285" w:hRule="atLeast"/>
        </w:trPr>
        <w:tc>
          <w:tcPr>
            <w:tcW w:w="1349" w:type="dxa"/>
          </w:tcPr>
          <w:p>
            <w:pPr>
              <w:pStyle w:val="TableParagraph"/>
              <w:rPr>
                <w:rFonts w:ascii="Times New Roman"/>
                <w:sz w:val="20"/>
              </w:rPr>
            </w:pPr>
          </w:p>
        </w:tc>
        <w:tc>
          <w:tcPr>
            <w:tcW w:w="4650" w:type="dxa"/>
          </w:tcPr>
          <w:p>
            <w:pPr>
              <w:pStyle w:val="TableParagraph"/>
              <w:spacing w:before="13"/>
              <w:ind w:left="143"/>
              <w:rPr>
                <w:b/>
                <w:sz w:val="21"/>
              </w:rPr>
            </w:pPr>
            <w:r>
              <w:rPr>
                <w:b/>
                <w:color w:val="050505"/>
                <w:w w:val="105"/>
                <w:sz w:val="21"/>
              </w:rPr>
              <w:t>Gross</w:t>
            </w:r>
            <w:r>
              <w:rPr>
                <w:b/>
                <w:color w:val="050505"/>
                <w:spacing w:val="-3"/>
                <w:w w:val="105"/>
                <w:sz w:val="21"/>
              </w:rPr>
              <w:t> </w:t>
            </w:r>
            <w:r>
              <w:rPr>
                <w:b/>
                <w:color w:val="050505"/>
                <w:w w:val="105"/>
                <w:sz w:val="21"/>
              </w:rPr>
              <w:t>Carrying</w:t>
            </w:r>
            <w:r>
              <w:rPr>
                <w:b/>
                <w:color w:val="050505"/>
                <w:spacing w:val="-3"/>
                <w:w w:val="105"/>
                <w:sz w:val="21"/>
              </w:rPr>
              <w:t> </w:t>
            </w:r>
            <w:r>
              <w:rPr>
                <w:b/>
                <w:color w:val="050505"/>
                <w:spacing w:val="-2"/>
                <w:w w:val="105"/>
                <w:sz w:val="21"/>
              </w:rPr>
              <w:t>Amount</w:t>
            </w:r>
          </w:p>
        </w:tc>
        <w:tc>
          <w:tcPr>
            <w:tcW w:w="2948" w:type="dxa"/>
          </w:tcPr>
          <w:p>
            <w:pPr>
              <w:pStyle w:val="TableParagraph"/>
              <w:rPr>
                <w:rFonts w:ascii="Times New Roman"/>
                <w:sz w:val="20"/>
              </w:rPr>
            </w:pPr>
          </w:p>
        </w:tc>
      </w:tr>
      <w:tr>
        <w:trPr>
          <w:trHeight w:val="296" w:hRule="atLeast"/>
        </w:trPr>
        <w:tc>
          <w:tcPr>
            <w:tcW w:w="1349" w:type="dxa"/>
          </w:tcPr>
          <w:p>
            <w:pPr>
              <w:pStyle w:val="TableParagraph"/>
              <w:spacing w:before="25"/>
              <w:ind w:left="365"/>
              <w:rPr>
                <w:b/>
                <w:sz w:val="21"/>
              </w:rPr>
            </w:pPr>
            <w:r>
              <w:rPr>
                <w:b/>
                <w:color w:val="050505"/>
                <w:spacing w:val="-4"/>
                <w:w w:val="105"/>
                <w:sz w:val="21"/>
              </w:rPr>
              <w:t>1,831</w:t>
            </w:r>
          </w:p>
        </w:tc>
        <w:tc>
          <w:tcPr>
            <w:tcW w:w="4650" w:type="dxa"/>
          </w:tcPr>
          <w:p>
            <w:pPr>
              <w:pStyle w:val="TableParagraph"/>
              <w:spacing w:before="29"/>
              <w:ind w:left="138"/>
              <w:rPr>
                <w:b/>
                <w:sz w:val="21"/>
              </w:rPr>
            </w:pPr>
            <w:r>
              <w:rPr>
                <w:b/>
                <w:color w:val="050505"/>
                <w:w w:val="105"/>
                <w:sz w:val="21"/>
              </w:rPr>
              <w:t>At</w:t>
            </w:r>
            <w:r>
              <w:rPr>
                <w:b/>
                <w:color w:val="050505"/>
                <w:spacing w:val="-2"/>
                <w:w w:val="105"/>
                <w:sz w:val="21"/>
              </w:rPr>
              <w:t> </w:t>
            </w:r>
            <w:r>
              <w:rPr>
                <w:b/>
                <w:color w:val="050505"/>
                <w:w w:val="105"/>
                <w:sz w:val="21"/>
              </w:rPr>
              <w:t>1</w:t>
            </w:r>
            <w:r>
              <w:rPr>
                <w:b/>
                <w:color w:val="050505"/>
                <w:spacing w:val="8"/>
                <w:w w:val="105"/>
                <w:sz w:val="21"/>
              </w:rPr>
              <w:t> </w:t>
            </w:r>
            <w:r>
              <w:rPr>
                <w:b/>
                <w:color w:val="050505"/>
                <w:spacing w:val="-2"/>
                <w:w w:val="105"/>
                <w:sz w:val="21"/>
              </w:rPr>
              <w:t>April</w:t>
            </w:r>
          </w:p>
        </w:tc>
        <w:tc>
          <w:tcPr>
            <w:tcW w:w="2948" w:type="dxa"/>
          </w:tcPr>
          <w:p>
            <w:pPr>
              <w:pStyle w:val="TableParagraph"/>
              <w:spacing w:before="25"/>
              <w:ind w:right="65"/>
              <w:jc w:val="right"/>
              <w:rPr>
                <w:b/>
                <w:sz w:val="21"/>
              </w:rPr>
            </w:pPr>
            <w:r>
              <w:rPr>
                <w:b/>
                <w:color w:val="050505"/>
                <w:spacing w:val="-4"/>
                <w:w w:val="105"/>
                <w:sz w:val="21"/>
              </w:rPr>
              <w:t>1,831</w:t>
            </w:r>
          </w:p>
        </w:tc>
      </w:tr>
      <w:tr>
        <w:trPr>
          <w:trHeight w:val="329" w:hRule="atLeast"/>
        </w:trPr>
        <w:tc>
          <w:tcPr>
            <w:tcW w:w="1349" w:type="dxa"/>
          </w:tcPr>
          <w:p>
            <w:pPr>
              <w:pStyle w:val="TableParagraph"/>
              <w:tabs>
                <w:tab w:val="left" w:leader="none" w:pos="1233"/>
              </w:tabs>
              <w:spacing w:before="36"/>
              <w:ind w:left="55"/>
              <w:rPr>
                <w:sz w:val="21"/>
              </w:rPr>
            </w:pPr>
            <w:r>
              <w:rPr>
                <w:color w:val="050505"/>
                <w:w w:val="100"/>
                <w:sz w:val="21"/>
                <w:u w:val="single" w:color="000000"/>
              </w:rPr>
              <w:t> </w:t>
            </w:r>
            <w:r>
              <w:rPr>
                <w:color w:val="050505"/>
                <w:sz w:val="21"/>
                <w:u w:val="single" w:color="000000"/>
              </w:rPr>
              <w:tab/>
            </w:r>
          </w:p>
        </w:tc>
        <w:tc>
          <w:tcPr>
            <w:tcW w:w="4650" w:type="dxa"/>
          </w:tcPr>
          <w:p>
            <w:pPr>
              <w:pStyle w:val="TableParagraph"/>
              <w:spacing w:before="36"/>
              <w:ind w:left="129"/>
              <w:rPr>
                <w:sz w:val="21"/>
              </w:rPr>
            </w:pPr>
            <w:r>
              <w:rPr>
                <w:color w:val="050505"/>
                <w:w w:val="105"/>
                <w:sz w:val="21"/>
              </w:rPr>
              <w:t>Additions</w:t>
            </w:r>
            <w:r>
              <w:rPr>
                <w:color w:val="050505"/>
                <w:spacing w:val="6"/>
                <w:w w:val="105"/>
                <w:sz w:val="21"/>
              </w:rPr>
              <w:t> </w:t>
            </w:r>
            <w:r>
              <w:rPr>
                <w:color w:val="050505"/>
                <w:w w:val="105"/>
                <w:sz w:val="21"/>
              </w:rPr>
              <w:t>in</w:t>
            </w:r>
            <w:r>
              <w:rPr>
                <w:color w:val="050505"/>
                <w:spacing w:val="11"/>
                <w:w w:val="105"/>
                <w:sz w:val="21"/>
              </w:rPr>
              <w:t> </w:t>
            </w:r>
            <w:r>
              <w:rPr>
                <w:color w:val="050505"/>
                <w:spacing w:val="-4"/>
                <w:w w:val="105"/>
                <w:sz w:val="21"/>
              </w:rPr>
              <w:t>year</w:t>
            </w:r>
          </w:p>
        </w:tc>
        <w:tc>
          <w:tcPr>
            <w:tcW w:w="2948" w:type="dxa"/>
          </w:tcPr>
          <w:p>
            <w:pPr>
              <w:pStyle w:val="TableParagraph"/>
              <w:spacing w:before="25"/>
              <w:ind w:right="108"/>
              <w:jc w:val="right"/>
              <w:rPr>
                <w:rFonts w:ascii="Courier New"/>
                <w:sz w:val="25"/>
              </w:rPr>
            </w:pPr>
            <w:r>
              <w:rPr>
                <w:rFonts w:ascii="Courier New"/>
                <w:color w:val="050505"/>
                <w:spacing w:val="-5"/>
                <w:sz w:val="25"/>
              </w:rPr>
              <w:t>78</w:t>
            </w:r>
          </w:p>
        </w:tc>
      </w:tr>
      <w:tr>
        <w:trPr>
          <w:trHeight w:val="306" w:hRule="atLeast"/>
        </w:trPr>
        <w:tc>
          <w:tcPr>
            <w:tcW w:w="1349" w:type="dxa"/>
          </w:tcPr>
          <w:p>
            <w:pPr>
              <w:pStyle w:val="TableParagraph"/>
              <w:tabs>
                <w:tab w:val="left" w:leader="none" w:pos="1180"/>
              </w:tabs>
              <w:spacing w:before="14"/>
              <w:ind w:left="55"/>
              <w:rPr>
                <w:b/>
                <w:sz w:val="21"/>
              </w:rPr>
            </w:pPr>
            <w:r>
              <w:rPr>
                <w:b/>
                <w:color w:val="050505"/>
                <w:spacing w:val="59"/>
                <w:w w:val="105"/>
                <w:sz w:val="21"/>
                <w:u w:val="single" w:color="000000"/>
              </w:rPr>
              <w:t>  </w:t>
            </w:r>
            <w:r>
              <w:rPr>
                <w:b/>
                <w:color w:val="050505"/>
                <w:spacing w:val="-2"/>
                <w:w w:val="105"/>
                <w:sz w:val="21"/>
                <w:u w:val="single" w:color="000000"/>
              </w:rPr>
              <w:t>1,831</w:t>
            </w:r>
            <w:r>
              <w:rPr>
                <w:b/>
                <w:color w:val="050505"/>
                <w:sz w:val="21"/>
                <w:u w:val="single" w:color="000000"/>
              </w:rPr>
              <w:tab/>
            </w:r>
          </w:p>
        </w:tc>
        <w:tc>
          <w:tcPr>
            <w:tcW w:w="4650" w:type="dxa"/>
          </w:tcPr>
          <w:p>
            <w:pPr>
              <w:pStyle w:val="TableParagraph"/>
              <w:spacing w:before="14"/>
              <w:ind w:left="134"/>
              <w:rPr>
                <w:b/>
                <w:sz w:val="21"/>
              </w:rPr>
            </w:pPr>
            <w:r>
              <w:rPr>
                <w:b/>
                <w:color w:val="050505"/>
                <w:w w:val="105"/>
                <w:sz w:val="21"/>
              </w:rPr>
              <w:t>At 31</w:t>
            </w:r>
            <w:r>
              <w:rPr>
                <w:b/>
                <w:color w:val="050505"/>
                <w:spacing w:val="-3"/>
                <w:w w:val="105"/>
                <w:sz w:val="21"/>
              </w:rPr>
              <w:t> </w:t>
            </w:r>
            <w:r>
              <w:rPr>
                <w:b/>
                <w:color w:val="050505"/>
                <w:spacing w:val="-2"/>
                <w:w w:val="105"/>
                <w:sz w:val="21"/>
              </w:rPr>
              <w:t>March</w:t>
            </w:r>
          </w:p>
        </w:tc>
        <w:tc>
          <w:tcPr>
            <w:tcW w:w="2948" w:type="dxa"/>
          </w:tcPr>
          <w:p>
            <w:pPr>
              <w:pStyle w:val="TableParagraph"/>
              <w:spacing w:before="14"/>
              <w:ind w:right="127"/>
              <w:jc w:val="right"/>
              <w:rPr>
                <w:b/>
                <w:sz w:val="21"/>
              </w:rPr>
            </w:pPr>
            <w:r>
              <w:rPr>
                <w:b/>
                <w:color w:val="050505"/>
                <w:spacing w:val="-4"/>
                <w:w w:val="105"/>
                <w:sz w:val="21"/>
              </w:rPr>
              <w:t>1,909</w:t>
            </w:r>
          </w:p>
        </w:tc>
      </w:tr>
      <w:tr>
        <w:trPr>
          <w:trHeight w:val="586" w:hRule="atLeast"/>
        </w:trPr>
        <w:tc>
          <w:tcPr>
            <w:tcW w:w="1349" w:type="dxa"/>
          </w:tcPr>
          <w:p>
            <w:pPr>
              <w:pStyle w:val="TableParagraph"/>
              <w:spacing w:before="71"/>
              <w:rPr>
                <w:sz w:val="21"/>
              </w:rPr>
            </w:pPr>
          </w:p>
          <w:p>
            <w:pPr>
              <w:pStyle w:val="TableParagraph"/>
              <w:ind w:left="202"/>
              <w:rPr>
                <w:b/>
                <w:sz w:val="21"/>
              </w:rPr>
            </w:pPr>
            <w:r>
              <w:rPr>
                <w:b/>
                <w:color w:val="050505"/>
                <w:spacing w:val="-2"/>
                <w:w w:val="105"/>
                <w:sz w:val="21"/>
              </w:rPr>
              <w:t>(1,310)</w:t>
            </w:r>
          </w:p>
        </w:tc>
        <w:tc>
          <w:tcPr>
            <w:tcW w:w="4650" w:type="dxa"/>
          </w:tcPr>
          <w:p>
            <w:pPr>
              <w:pStyle w:val="TableParagraph"/>
              <w:spacing w:before="44"/>
              <w:ind w:left="124"/>
              <w:rPr>
                <w:sz w:val="21"/>
              </w:rPr>
            </w:pPr>
            <w:r>
              <w:rPr>
                <w:color w:val="050505"/>
                <w:spacing w:val="-2"/>
                <w:w w:val="105"/>
                <w:sz w:val="21"/>
              </w:rPr>
              <w:t>Amortisation</w:t>
            </w:r>
          </w:p>
          <w:p>
            <w:pPr>
              <w:pStyle w:val="TableParagraph"/>
              <w:spacing w:before="32"/>
              <w:ind w:left="124"/>
              <w:rPr>
                <w:b/>
                <w:sz w:val="21"/>
              </w:rPr>
            </w:pPr>
            <w:r>
              <w:rPr>
                <w:b/>
                <w:color w:val="050505"/>
                <w:w w:val="105"/>
                <w:sz w:val="21"/>
              </w:rPr>
              <w:t>At</w:t>
            </w:r>
            <w:r>
              <w:rPr>
                <w:b/>
                <w:color w:val="050505"/>
                <w:spacing w:val="-2"/>
                <w:w w:val="105"/>
                <w:sz w:val="21"/>
              </w:rPr>
              <w:t> </w:t>
            </w:r>
            <w:r>
              <w:rPr>
                <w:b/>
                <w:color w:val="050505"/>
                <w:w w:val="105"/>
                <w:sz w:val="21"/>
              </w:rPr>
              <w:t>1</w:t>
            </w:r>
            <w:r>
              <w:rPr>
                <w:b/>
                <w:color w:val="050505"/>
                <w:spacing w:val="8"/>
                <w:w w:val="105"/>
                <w:sz w:val="21"/>
              </w:rPr>
              <w:t> </w:t>
            </w:r>
            <w:r>
              <w:rPr>
                <w:b/>
                <w:color w:val="050505"/>
                <w:spacing w:val="-2"/>
                <w:w w:val="105"/>
                <w:sz w:val="21"/>
              </w:rPr>
              <w:t>April</w:t>
            </w:r>
          </w:p>
        </w:tc>
        <w:tc>
          <w:tcPr>
            <w:tcW w:w="2948" w:type="dxa"/>
          </w:tcPr>
          <w:p>
            <w:pPr>
              <w:pStyle w:val="TableParagraph"/>
              <w:spacing w:before="76"/>
              <w:rPr>
                <w:sz w:val="21"/>
              </w:rPr>
            </w:pPr>
          </w:p>
          <w:p>
            <w:pPr>
              <w:pStyle w:val="TableParagraph"/>
              <w:ind w:right="77"/>
              <w:jc w:val="right"/>
              <w:rPr>
                <w:b/>
                <w:sz w:val="21"/>
              </w:rPr>
            </w:pPr>
            <w:r>
              <w:rPr>
                <w:b/>
                <w:color w:val="050505"/>
                <w:spacing w:val="-2"/>
                <w:w w:val="105"/>
                <w:sz w:val="21"/>
              </w:rPr>
              <w:t>(1,427)</w:t>
            </w:r>
          </w:p>
        </w:tc>
      </w:tr>
      <w:tr>
        <w:trPr>
          <w:trHeight w:val="329" w:hRule="atLeast"/>
        </w:trPr>
        <w:tc>
          <w:tcPr>
            <w:tcW w:w="1349" w:type="dxa"/>
          </w:tcPr>
          <w:p>
            <w:pPr>
              <w:pStyle w:val="TableParagraph"/>
              <w:spacing w:before="27" w:line="282" w:lineRule="exact"/>
              <w:ind w:left="55"/>
              <w:rPr>
                <w:rFonts w:ascii="Courier New"/>
                <w:sz w:val="25"/>
              </w:rPr>
            </w:pPr>
            <w:r>
              <w:rPr>
                <w:rFonts w:ascii="Courier New"/>
                <w:color w:val="050505"/>
                <w:spacing w:val="41"/>
                <w:w w:val="150"/>
                <w:sz w:val="25"/>
                <w:u w:val="single" w:color="000000"/>
              </w:rPr>
              <w:t> </w:t>
            </w:r>
            <w:r>
              <w:rPr>
                <w:rFonts w:ascii="Courier New"/>
                <w:color w:val="050505"/>
                <w:spacing w:val="-2"/>
                <w:w w:val="90"/>
                <w:sz w:val="25"/>
                <w:u w:val="single" w:color="000000"/>
              </w:rPr>
              <w:t>(117)</w:t>
            </w:r>
            <w:r>
              <w:rPr>
                <w:rFonts w:ascii="Courier New"/>
                <w:color w:val="050505"/>
                <w:spacing w:val="80"/>
                <w:sz w:val="25"/>
                <w:u w:val="single" w:color="000000"/>
              </w:rPr>
              <w:t> </w:t>
            </w:r>
          </w:p>
        </w:tc>
        <w:tc>
          <w:tcPr>
            <w:tcW w:w="4650" w:type="dxa"/>
          </w:tcPr>
          <w:p>
            <w:pPr>
              <w:pStyle w:val="TableParagraph"/>
              <w:spacing w:before="34"/>
              <w:ind w:left="123"/>
              <w:rPr>
                <w:sz w:val="21"/>
              </w:rPr>
            </w:pPr>
            <w:r>
              <w:rPr>
                <w:color w:val="050505"/>
                <w:w w:val="105"/>
                <w:sz w:val="21"/>
              </w:rPr>
              <w:t>Charged</w:t>
            </w:r>
            <w:r>
              <w:rPr>
                <w:color w:val="050505"/>
                <w:spacing w:val="2"/>
                <w:w w:val="105"/>
                <w:sz w:val="21"/>
              </w:rPr>
              <w:t> </w:t>
            </w:r>
            <w:r>
              <w:rPr>
                <w:color w:val="050505"/>
                <w:w w:val="105"/>
                <w:sz w:val="21"/>
              </w:rPr>
              <w:t>in</w:t>
            </w:r>
            <w:r>
              <w:rPr>
                <w:color w:val="050505"/>
                <w:spacing w:val="5"/>
                <w:w w:val="105"/>
                <w:sz w:val="21"/>
              </w:rPr>
              <w:t> </w:t>
            </w:r>
            <w:r>
              <w:rPr>
                <w:color w:val="050505"/>
                <w:spacing w:val="-4"/>
                <w:w w:val="105"/>
                <w:sz w:val="21"/>
              </w:rPr>
              <w:t>year</w:t>
            </w:r>
          </w:p>
        </w:tc>
        <w:tc>
          <w:tcPr>
            <w:tcW w:w="2948" w:type="dxa"/>
          </w:tcPr>
          <w:p>
            <w:pPr>
              <w:pStyle w:val="TableParagraph"/>
              <w:spacing w:before="27" w:line="282" w:lineRule="exact"/>
              <w:ind w:right="50"/>
              <w:jc w:val="right"/>
              <w:rPr>
                <w:rFonts w:ascii="Courier New"/>
                <w:sz w:val="25"/>
              </w:rPr>
            </w:pPr>
            <w:r>
              <w:rPr>
                <w:rFonts w:ascii="Courier New"/>
                <w:color w:val="050505"/>
                <w:spacing w:val="-2"/>
                <w:w w:val="90"/>
                <w:sz w:val="25"/>
              </w:rPr>
              <w:t>(110)</w:t>
            </w:r>
          </w:p>
        </w:tc>
      </w:tr>
      <w:tr>
        <w:trPr>
          <w:trHeight w:val="253" w:hRule="atLeast"/>
        </w:trPr>
        <w:tc>
          <w:tcPr>
            <w:tcW w:w="1349" w:type="dxa"/>
          </w:tcPr>
          <w:p>
            <w:pPr>
              <w:pStyle w:val="TableParagraph"/>
              <w:tabs>
                <w:tab w:val="left" w:leader="none" w:pos="1180"/>
              </w:tabs>
              <w:spacing w:before="12" w:line="222" w:lineRule="exact"/>
              <w:ind w:left="55"/>
              <w:rPr>
                <w:b/>
                <w:sz w:val="21"/>
              </w:rPr>
            </w:pPr>
            <w:r>
              <w:rPr>
                <w:b/>
                <w:color w:val="050505"/>
                <w:spacing w:val="76"/>
                <w:w w:val="105"/>
                <w:sz w:val="21"/>
                <w:u w:val="single" w:color="000000"/>
              </w:rPr>
              <w:t> </w:t>
            </w:r>
            <w:r>
              <w:rPr>
                <w:b/>
                <w:color w:val="050505"/>
                <w:spacing w:val="-2"/>
                <w:w w:val="105"/>
                <w:sz w:val="21"/>
                <w:u w:val="single" w:color="000000"/>
              </w:rPr>
              <w:t>(1,427)</w:t>
            </w:r>
            <w:r>
              <w:rPr>
                <w:b/>
                <w:color w:val="050505"/>
                <w:sz w:val="21"/>
                <w:u w:val="single" w:color="000000"/>
              </w:rPr>
              <w:tab/>
            </w:r>
          </w:p>
        </w:tc>
        <w:tc>
          <w:tcPr>
            <w:tcW w:w="4650" w:type="dxa"/>
          </w:tcPr>
          <w:p>
            <w:pPr>
              <w:pStyle w:val="TableParagraph"/>
              <w:spacing w:before="12" w:line="222" w:lineRule="exact"/>
              <w:ind w:left="114"/>
              <w:rPr>
                <w:b/>
                <w:sz w:val="21"/>
              </w:rPr>
            </w:pPr>
            <w:r>
              <w:rPr>
                <w:b/>
                <w:color w:val="050505"/>
                <w:w w:val="105"/>
                <w:sz w:val="21"/>
              </w:rPr>
              <w:t>At</w:t>
            </w:r>
            <w:r>
              <w:rPr>
                <w:b/>
                <w:color w:val="050505"/>
                <w:spacing w:val="-1"/>
                <w:w w:val="105"/>
                <w:sz w:val="21"/>
              </w:rPr>
              <w:t> </w:t>
            </w:r>
            <w:r>
              <w:rPr>
                <w:b/>
                <w:color w:val="050505"/>
                <w:w w:val="105"/>
                <w:sz w:val="21"/>
              </w:rPr>
              <w:t>31</w:t>
            </w:r>
            <w:r>
              <w:rPr>
                <w:b/>
                <w:color w:val="050505"/>
                <w:spacing w:val="8"/>
                <w:w w:val="105"/>
                <w:sz w:val="21"/>
              </w:rPr>
              <w:t> </w:t>
            </w:r>
            <w:r>
              <w:rPr>
                <w:b/>
                <w:color w:val="050505"/>
                <w:spacing w:val="-2"/>
                <w:w w:val="105"/>
                <w:sz w:val="21"/>
              </w:rPr>
              <w:t>March</w:t>
            </w:r>
          </w:p>
        </w:tc>
        <w:tc>
          <w:tcPr>
            <w:tcW w:w="2948" w:type="dxa"/>
          </w:tcPr>
          <w:p>
            <w:pPr>
              <w:pStyle w:val="TableParagraph"/>
              <w:spacing w:before="12" w:line="222" w:lineRule="exact"/>
              <w:ind w:right="80"/>
              <w:jc w:val="right"/>
              <w:rPr>
                <w:b/>
                <w:sz w:val="21"/>
              </w:rPr>
            </w:pPr>
            <w:r>
              <w:rPr>
                <w:b/>
                <w:color w:val="050505"/>
                <w:spacing w:val="-2"/>
                <w:w w:val="105"/>
                <w:sz w:val="21"/>
              </w:rPr>
              <w:t>(1,537)</w:t>
            </w:r>
          </w:p>
        </w:tc>
      </w:tr>
    </w:tbl>
    <w:p>
      <w:pPr>
        <w:pStyle w:val="BodyText"/>
        <w:spacing w:before="81"/>
        <w:rPr>
          <w:sz w:val="20"/>
        </w:rPr>
      </w:pPr>
      <w:r>
        <w:rPr/>
        <ve:AlternateContent>
          <ve:Choice Requires="wps">
            <w:drawing>
              <wp:anchor distT="0" distB="0" distL="0" distR="0" simplePos="0" relativeHeight="487671808" behindDoc="1" locked="0" layoutInCell="1" allowOverlap="1">
                <wp:simplePos x="0" y="0"/>
                <wp:positionH relativeFrom="page">
                  <wp:posOffset>1126526</wp:posOffset>
                </wp:positionH>
                <wp:positionV relativeFrom="paragraph">
                  <wp:posOffset>213056</wp:posOffset>
                </wp:positionV>
                <wp:extent cx="715010" cy="1270"/>
                <wp:effectExtent l="0" t="0" r="0" b="0"/>
                <wp:wrapTopAndBottom/>
                <wp:docPr id="369" name="Graphic 369"/>
                <wp:cNvGraphicFramePr>
                  <a:graphicFrameLocks/>
                </wp:cNvGraphicFramePr>
                <a:graphic>
                  <a:graphicData uri="http://schemas.microsoft.com/office/word/2010/wordprocessingShape">
                    <wps:wsp>
                      <wps:cNvPr id="369" name="Graphic 369"/>
                      <wps:cNvSpPr/>
                      <wps:spPr>
                        <a:xfrm>
                          <a:off x="0" y="0"/>
                          <a:ext cx="715010" cy="1270"/>
                        </a:xfrm>
                        <a:custGeom>
                          <a:avLst/>
                          <a:gdLst/>
                          <a:ahLst/>
                          <a:cxnLst/>
                          <a:rect l="l" t="t" r="r" b="b"/>
                          <a:pathLst>
                            <a:path w="715010" h="0">
                              <a:moveTo>
                                <a:pt x="0" y="0"/>
                              </a:moveTo>
                              <a:lnTo>
                                <a:pt x="714382"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245" style="position:absolute;margin-left:88.70285pt;margin-top:16.776075pt;width:56.3pt;height:.1pt;mso-position-horizontal-relative:page;mso-position-vertical-relative:paragraph;z-index:-15644672;mso-wrap-distance-left:0;mso-wrap-distance-right:0" coordsize="1126,0" coordorigin="1774,336" filled="false" stroked="true" strokecolor="#000000" strokeweight=".480548pt" path="m1774,336l2899,336e">
                <v:path arrowok="t"/>
                <v:stroke dashstyle="solid"/>
                <w10:wrap type="topAndBottom"/>
              </v:shape>
            </w:pict>
          </ve:Fallback>
        </ve:AlternateContent>
      </w:r>
    </w:p>
    <w:p>
      <w:pPr>
        <w:tabs>
          <w:tab w:val="left" w:leader="none" w:pos="3176"/>
          <w:tab w:val="right" w:leader="none" w:pos="10581"/>
        </w:tabs>
        <w:spacing w:before="48"/>
        <w:ind w:left="2236" w:right="0" w:firstLine="0"/>
        <w:jc w:val="left"/>
        <w:rPr>
          <w:b/>
          <w:sz w:val="21"/>
        </w:rPr>
      </w:pPr>
      <w:r>
        <w:rPr>
          <w:b/>
          <w:color w:val="050505"/>
          <w:spacing w:val="-5"/>
          <w:sz w:val="21"/>
        </w:rPr>
        <w:t>404</w:t>
      </w:r>
      <w:r>
        <w:rPr>
          <w:b/>
          <w:color w:val="050505"/>
          <w:sz w:val="21"/>
        </w:rPr>
        <w:tab/>
        <w:t>Net</w:t>
      </w:r>
      <w:r>
        <w:rPr>
          <w:b/>
          <w:color w:val="050505"/>
          <w:spacing w:val="15"/>
          <w:sz w:val="21"/>
        </w:rPr>
        <w:t> </w:t>
      </w:r>
      <w:r>
        <w:rPr>
          <w:b/>
          <w:color w:val="050505"/>
          <w:sz w:val="21"/>
        </w:rPr>
        <w:t>Carrying</w:t>
      </w:r>
      <w:r>
        <w:rPr>
          <w:b/>
          <w:color w:val="050505"/>
          <w:spacing w:val="60"/>
          <w:sz w:val="21"/>
        </w:rPr>
        <w:t> </w:t>
      </w:r>
      <w:r>
        <w:rPr>
          <w:b/>
          <w:color w:val="050505"/>
          <w:spacing w:val="-2"/>
          <w:sz w:val="21"/>
        </w:rPr>
        <w:t>Amount</w:t>
      </w:r>
      <w:r>
        <w:rPr>
          <w:b/>
          <w:color w:val="050505"/>
          <w:sz w:val="21"/>
        </w:rPr>
        <w:tab/>
      </w:r>
      <w:r>
        <w:rPr>
          <w:b/>
          <w:color w:val="050505"/>
          <w:spacing w:val="-5"/>
          <w:sz w:val="21"/>
        </w:rPr>
        <w:t>372</w:t>
      </w:r>
    </w:p>
    <w:p>
      <w:pPr>
        <w:pStyle w:val="ListParagraph"/>
        <w:numPr>
          <w:ilvl w:val="1"/>
          <w:numId w:val="16"/>
        </w:numPr>
        <w:tabs>
          <w:tab w:val="left" w:leader="none" w:pos="2172"/>
        </w:tabs>
        <w:spacing w:before="594" w:after="0" w:line="240" w:lineRule="auto"/>
        <w:ind w:left="2172" w:right="0" w:hanging="720"/>
        <w:jc w:val="left"/>
        <w:rPr>
          <w:b/>
          <w:color w:val="050505"/>
          <w:sz w:val="21"/>
        </w:rPr>
      </w:pPr>
      <w:r>
        <w:rPr/>
        <ve:AlternateContent>
          <ve:Choice Requires="wps">
            <w:drawing>
              <wp:anchor distT="0" distB="0" distL="0" distR="0" simplePos="0" relativeHeight="15813632" behindDoc="0" locked="0" layoutInCell="1" allowOverlap="1">
                <wp:simplePos x="0" y="0"/>
                <wp:positionH relativeFrom="page">
                  <wp:posOffset>6044774</wp:posOffset>
                </wp:positionH>
                <wp:positionV relativeFrom="paragraph">
                  <wp:posOffset>14526</wp:posOffset>
                </wp:positionV>
                <wp:extent cx="757555" cy="1270"/>
                <wp:effectExtent l="0" t="0" r="0" b="0"/>
                <wp:wrapNone/>
                <wp:docPr id="370" name="Graphic 370"/>
                <wp:cNvGraphicFramePr>
                  <a:graphicFrameLocks/>
                </wp:cNvGraphicFramePr>
                <a:graphic>
                  <a:graphicData uri="http://schemas.microsoft.com/office/word/2010/wordprocessingShape">
                    <wps:wsp>
                      <wps:cNvPr id="370" name="Graphic 370"/>
                      <wps:cNvSpPr/>
                      <wps:spPr>
                        <a:xfrm>
                          <a:off x="0" y="0"/>
                          <a:ext cx="757555" cy="1270"/>
                        </a:xfrm>
                        <a:custGeom>
                          <a:avLst/>
                          <a:gdLst/>
                          <a:ahLst/>
                          <a:cxnLst/>
                          <a:rect l="l" t="t" r="r" b="b"/>
                          <a:pathLst>
                            <a:path w="757555" h="0">
                              <a:moveTo>
                                <a:pt x="0" y="0"/>
                              </a:moveTo>
                              <a:lnTo>
                                <a:pt x="757123"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13632" stroked="true" strokecolor="#000000" strokeweight=".720821pt" from="475.966522pt,1.143824pt" to="535.582529pt,1.143824pt">
                <v:stroke dashstyle="solid"/>
                <w10:wrap type="none"/>
              </v:line>
            </w:pict>
          </ve:Fallback>
        </ve:AlternateContent>
      </w:r>
      <w:r>
        <w:rPr/>
        <ve:AlternateContent>
          <ve:Choice Requires="wps">
            <w:drawing>
              <wp:anchor distT="0" distB="0" distL="0" distR="0" simplePos="0" relativeHeight="15814144" behindDoc="0" locked="0" layoutInCell="1" allowOverlap="1">
                <wp:simplePos x="0" y="0"/>
                <wp:positionH relativeFrom="page">
                  <wp:posOffset>989144</wp:posOffset>
                </wp:positionH>
                <wp:positionV relativeFrom="paragraph">
                  <wp:posOffset>14526</wp:posOffset>
                </wp:positionV>
                <wp:extent cx="732790" cy="1270"/>
                <wp:effectExtent l="0" t="0" r="0" b="0"/>
                <wp:wrapNone/>
                <wp:docPr id="371" name="Graphic 371"/>
                <wp:cNvGraphicFramePr>
                  <a:graphicFrameLocks/>
                </wp:cNvGraphicFramePr>
                <a:graphic>
                  <a:graphicData uri="http://schemas.microsoft.com/office/word/2010/wordprocessingShape">
                    <wps:wsp>
                      <wps:cNvPr id="371" name="Graphic 371"/>
                      <wps:cNvSpPr/>
                      <wps:spPr>
                        <a:xfrm>
                          <a:off x="0" y="0"/>
                          <a:ext cx="732790" cy="1270"/>
                        </a:xfrm>
                        <a:custGeom>
                          <a:avLst/>
                          <a:gdLst/>
                          <a:ahLst/>
                          <a:cxnLst/>
                          <a:rect l="l" t="t" r="r" b="b"/>
                          <a:pathLst>
                            <a:path w="732790" h="0">
                              <a:moveTo>
                                <a:pt x="0" y="0"/>
                              </a:moveTo>
                              <a:lnTo>
                                <a:pt x="73269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14144" stroked="true" strokecolor="#000000" strokeweight=".720821pt" from="77.885429pt,1.143824pt" to="135.578339pt,1.143824pt">
                <v:stroke dashstyle="solid"/>
                <w10:wrap type="none"/>
              </v:line>
            </w:pict>
          </ve:Fallback>
        </ve:AlternateContent>
      </w:r>
      <w:r>
        <w:rPr>
          <w:b/>
          <w:color w:val="050505"/>
          <w:spacing w:val="-2"/>
          <w:w w:val="105"/>
          <w:sz w:val="21"/>
        </w:rPr>
        <w:t>Debtors</w:t>
      </w:r>
    </w:p>
    <w:p>
      <w:pPr>
        <w:pStyle w:val="BodyText"/>
        <w:spacing w:before="26"/>
        <w:rPr>
          <w:b/>
          <w:sz w:val="20"/>
        </w:rPr>
      </w:pPr>
    </w:p>
    <w:tbl>
      <w:tblPr>
        <w:tblW w:w="0" w:type="auto"/>
        <w:jc w:val="left"/>
        <w:tblInd w:w="146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673"/>
        <w:gridCol w:w="5832"/>
        <w:gridCol w:w="1635"/>
      </w:tblGrid>
      <w:tr>
        <w:trPr>
          <w:trHeight w:val="537" w:hRule="atLeast"/>
        </w:trPr>
        <w:tc>
          <w:tcPr>
            <w:tcW w:w="1673" w:type="dxa"/>
          </w:tcPr>
          <w:p>
            <w:pPr>
              <w:pStyle w:val="TableParagraph"/>
              <w:spacing w:line="235" w:lineRule="exact"/>
              <w:ind w:right="104"/>
              <w:jc w:val="center"/>
              <w:rPr>
                <w:b/>
                <w:sz w:val="21"/>
              </w:rPr>
            </w:pPr>
            <w:r>
              <w:rPr>
                <w:b/>
                <w:color w:val="050505"/>
                <w:w w:val="105"/>
                <w:sz w:val="21"/>
              </w:rPr>
              <w:t>31</w:t>
            </w:r>
            <w:r>
              <w:rPr>
                <w:b/>
                <w:color w:val="050505"/>
                <w:spacing w:val="2"/>
                <w:w w:val="105"/>
                <w:sz w:val="21"/>
              </w:rPr>
              <w:t> </w:t>
            </w:r>
            <w:r>
              <w:rPr>
                <w:b/>
                <w:color w:val="050505"/>
                <w:spacing w:val="-2"/>
                <w:w w:val="105"/>
                <w:sz w:val="21"/>
              </w:rPr>
              <w:t>March</w:t>
            </w:r>
          </w:p>
          <w:p>
            <w:pPr>
              <w:pStyle w:val="TableParagraph"/>
              <w:spacing w:before="13"/>
              <w:ind w:left="6" w:right="104"/>
              <w:jc w:val="center"/>
              <w:rPr>
                <w:b/>
                <w:sz w:val="21"/>
              </w:rPr>
            </w:pPr>
            <w:r>
              <w:rPr>
                <w:b/>
                <w:color w:val="050505"/>
                <w:spacing w:val="-4"/>
                <w:w w:val="105"/>
                <w:sz w:val="21"/>
              </w:rPr>
              <w:t>2022</w:t>
            </w:r>
          </w:p>
        </w:tc>
        <w:tc>
          <w:tcPr>
            <w:tcW w:w="5832" w:type="dxa"/>
          </w:tcPr>
          <w:p>
            <w:pPr>
              <w:pStyle w:val="TableParagraph"/>
              <w:rPr>
                <w:rFonts w:ascii="Times New Roman"/>
                <w:sz w:val="20"/>
              </w:rPr>
            </w:pPr>
          </w:p>
        </w:tc>
        <w:tc>
          <w:tcPr>
            <w:tcW w:w="1635" w:type="dxa"/>
          </w:tcPr>
          <w:p>
            <w:pPr>
              <w:pStyle w:val="TableParagraph"/>
              <w:spacing w:line="240" w:lineRule="exact"/>
              <w:ind w:left="414"/>
              <w:jc w:val="center"/>
              <w:rPr>
                <w:b/>
                <w:sz w:val="21"/>
              </w:rPr>
            </w:pPr>
            <w:r>
              <w:rPr>
                <w:b/>
                <w:color w:val="050505"/>
                <w:w w:val="105"/>
                <w:sz w:val="21"/>
              </w:rPr>
              <w:t>31</w:t>
            </w:r>
            <w:r>
              <w:rPr>
                <w:b/>
                <w:color w:val="050505"/>
                <w:spacing w:val="-8"/>
                <w:w w:val="105"/>
                <w:sz w:val="21"/>
              </w:rPr>
              <w:t> </w:t>
            </w:r>
            <w:r>
              <w:rPr>
                <w:b/>
                <w:color w:val="050505"/>
                <w:spacing w:val="-2"/>
                <w:w w:val="105"/>
                <w:sz w:val="21"/>
              </w:rPr>
              <w:t>March</w:t>
            </w:r>
          </w:p>
          <w:p>
            <w:pPr>
              <w:pStyle w:val="TableParagraph"/>
              <w:spacing w:before="13"/>
              <w:ind w:left="414" w:right="1"/>
              <w:jc w:val="center"/>
              <w:rPr>
                <w:b/>
                <w:sz w:val="21"/>
              </w:rPr>
            </w:pPr>
            <w:r>
              <w:rPr>
                <w:b/>
                <w:color w:val="050505"/>
                <w:spacing w:val="-4"/>
                <w:w w:val="105"/>
                <w:sz w:val="21"/>
              </w:rPr>
              <w:t>2023</w:t>
            </w:r>
          </w:p>
        </w:tc>
      </w:tr>
      <w:tr>
        <w:trPr>
          <w:trHeight w:val="290" w:hRule="atLeast"/>
        </w:trPr>
        <w:tc>
          <w:tcPr>
            <w:tcW w:w="1673" w:type="dxa"/>
          </w:tcPr>
          <w:p>
            <w:pPr>
              <w:pStyle w:val="TableParagraph"/>
              <w:spacing w:before="37" w:line="234" w:lineRule="exact"/>
              <w:ind w:left="532"/>
              <w:rPr>
                <w:b/>
                <w:sz w:val="21"/>
              </w:rPr>
            </w:pPr>
            <w:r>
              <w:rPr>
                <w:b/>
                <w:color w:val="050505"/>
                <w:spacing w:val="-4"/>
                <w:w w:val="105"/>
                <w:sz w:val="21"/>
              </w:rPr>
              <w:t>£000</w:t>
            </w:r>
          </w:p>
        </w:tc>
        <w:tc>
          <w:tcPr>
            <w:tcW w:w="5832" w:type="dxa"/>
          </w:tcPr>
          <w:p>
            <w:pPr>
              <w:pStyle w:val="TableParagraph"/>
              <w:rPr>
                <w:rFonts w:ascii="Times New Roman"/>
                <w:sz w:val="20"/>
              </w:rPr>
            </w:pPr>
          </w:p>
        </w:tc>
        <w:tc>
          <w:tcPr>
            <w:tcW w:w="1635" w:type="dxa"/>
          </w:tcPr>
          <w:p>
            <w:pPr>
              <w:pStyle w:val="TableParagraph"/>
              <w:spacing w:before="41" w:line="229" w:lineRule="exact"/>
              <w:ind w:left="777"/>
              <w:rPr>
                <w:b/>
                <w:sz w:val="21"/>
              </w:rPr>
            </w:pPr>
            <w:r>
              <w:rPr>
                <w:b/>
                <w:color w:val="050505"/>
                <w:spacing w:val="-4"/>
                <w:w w:val="105"/>
                <w:sz w:val="21"/>
              </w:rPr>
              <w:t>£000</w:t>
            </w:r>
          </w:p>
        </w:tc>
      </w:tr>
      <w:tr>
        <w:trPr>
          <w:trHeight w:val="367" w:hRule="atLeast"/>
        </w:trPr>
        <w:tc>
          <w:tcPr>
            <w:tcW w:w="1673" w:type="dxa"/>
          </w:tcPr>
          <w:p>
            <w:pPr>
              <w:pStyle w:val="TableParagraph"/>
              <w:rPr>
                <w:rFonts w:ascii="Times New Roman"/>
                <w:sz w:val="20"/>
              </w:rPr>
            </w:pPr>
          </w:p>
        </w:tc>
        <w:tc>
          <w:tcPr>
            <w:tcW w:w="5832" w:type="dxa"/>
          </w:tcPr>
          <w:p>
            <w:pPr>
              <w:pStyle w:val="TableParagraph"/>
              <w:spacing w:before="1"/>
              <w:ind w:left="206"/>
              <w:rPr>
                <w:b/>
                <w:sz w:val="21"/>
              </w:rPr>
            </w:pPr>
            <w:r>
              <w:rPr>
                <w:b/>
                <w:color w:val="050505"/>
                <w:w w:val="105"/>
                <w:sz w:val="21"/>
              </w:rPr>
              <w:t>Amounts receivable</w:t>
            </w:r>
            <w:r>
              <w:rPr>
                <w:b/>
                <w:color w:val="050505"/>
                <w:spacing w:val="2"/>
                <w:w w:val="105"/>
                <w:sz w:val="21"/>
              </w:rPr>
              <w:t> </w:t>
            </w:r>
            <w:r>
              <w:rPr>
                <w:b/>
                <w:color w:val="050505"/>
                <w:w w:val="105"/>
                <w:sz w:val="21"/>
              </w:rPr>
              <w:t>within</w:t>
            </w:r>
            <w:r>
              <w:rPr>
                <w:b/>
                <w:color w:val="050505"/>
                <w:spacing w:val="-4"/>
                <w:w w:val="105"/>
                <w:sz w:val="21"/>
              </w:rPr>
              <w:t> </w:t>
            </w:r>
            <w:r>
              <w:rPr>
                <w:b/>
                <w:color w:val="050505"/>
                <w:w w:val="105"/>
                <w:sz w:val="21"/>
              </w:rPr>
              <w:t>one</w:t>
            </w:r>
            <w:r>
              <w:rPr>
                <w:b/>
                <w:color w:val="050505"/>
                <w:spacing w:val="-8"/>
                <w:w w:val="105"/>
                <w:sz w:val="21"/>
              </w:rPr>
              <w:t> </w:t>
            </w:r>
            <w:r>
              <w:rPr>
                <w:b/>
                <w:color w:val="050505"/>
                <w:spacing w:val="-2"/>
                <w:w w:val="105"/>
                <w:sz w:val="21"/>
              </w:rPr>
              <w:t>year:</w:t>
            </w:r>
          </w:p>
        </w:tc>
        <w:tc>
          <w:tcPr>
            <w:tcW w:w="1635" w:type="dxa"/>
          </w:tcPr>
          <w:p>
            <w:pPr>
              <w:pStyle w:val="TableParagraph"/>
              <w:rPr>
                <w:rFonts w:ascii="Times New Roman"/>
                <w:sz w:val="20"/>
              </w:rPr>
            </w:pPr>
          </w:p>
        </w:tc>
      </w:tr>
      <w:tr>
        <w:trPr>
          <w:trHeight w:val="626" w:hRule="atLeast"/>
        </w:trPr>
        <w:tc>
          <w:tcPr>
            <w:tcW w:w="1673" w:type="dxa"/>
          </w:tcPr>
          <w:p>
            <w:pPr>
              <w:pStyle w:val="TableParagraph"/>
              <w:spacing w:before="69"/>
              <w:rPr>
                <w:b/>
                <w:sz w:val="25"/>
              </w:rPr>
            </w:pPr>
          </w:p>
          <w:p>
            <w:pPr>
              <w:pStyle w:val="TableParagraph"/>
              <w:spacing w:before="1" w:line="249" w:lineRule="exact"/>
              <w:ind w:right="292"/>
              <w:jc w:val="right"/>
              <w:rPr>
                <w:rFonts w:ascii="Courier New"/>
                <w:sz w:val="25"/>
              </w:rPr>
            </w:pPr>
            <w:r>
              <w:rPr>
                <w:rFonts w:ascii="Courier New"/>
                <w:color w:val="050505"/>
                <w:spacing w:val="-2"/>
                <w:w w:val="85"/>
                <w:sz w:val="25"/>
              </w:rPr>
              <w:t>2,358</w:t>
            </w:r>
          </w:p>
        </w:tc>
        <w:tc>
          <w:tcPr>
            <w:tcW w:w="5832" w:type="dxa"/>
          </w:tcPr>
          <w:p>
            <w:pPr>
              <w:pStyle w:val="TableParagraph"/>
              <w:spacing w:before="118"/>
              <w:ind w:left="206"/>
              <w:rPr>
                <w:i/>
                <w:sz w:val="21"/>
              </w:rPr>
            </w:pPr>
            <w:r>
              <w:rPr>
                <w:i/>
                <w:color w:val="050505"/>
                <w:w w:val="105"/>
                <w:sz w:val="21"/>
              </w:rPr>
              <w:t>Financial</w:t>
            </w:r>
            <w:r>
              <w:rPr>
                <w:i/>
                <w:color w:val="050505"/>
                <w:spacing w:val="3"/>
                <w:w w:val="105"/>
                <w:sz w:val="21"/>
              </w:rPr>
              <w:t> </w:t>
            </w:r>
            <w:r>
              <w:rPr>
                <w:i/>
                <w:color w:val="050505"/>
                <w:spacing w:val="-2"/>
                <w:w w:val="105"/>
                <w:sz w:val="21"/>
              </w:rPr>
              <w:t>assets</w:t>
            </w:r>
          </w:p>
          <w:p>
            <w:pPr>
              <w:pStyle w:val="TableParagraph"/>
              <w:spacing w:before="13" w:line="233" w:lineRule="exact"/>
              <w:ind w:left="201"/>
              <w:rPr>
                <w:sz w:val="21"/>
              </w:rPr>
            </w:pPr>
            <w:r>
              <w:rPr>
                <w:color w:val="050505"/>
                <w:w w:val="105"/>
                <w:sz w:val="21"/>
              </w:rPr>
              <w:t>Sundry</w:t>
            </w:r>
            <w:r>
              <w:rPr>
                <w:color w:val="050505"/>
                <w:spacing w:val="6"/>
                <w:w w:val="105"/>
                <w:sz w:val="21"/>
              </w:rPr>
              <w:t> </w:t>
            </w:r>
            <w:r>
              <w:rPr>
                <w:color w:val="050505"/>
                <w:w w:val="105"/>
                <w:sz w:val="21"/>
              </w:rPr>
              <w:t>debtors</w:t>
            </w:r>
            <w:r>
              <w:rPr>
                <w:color w:val="050505"/>
                <w:spacing w:val="5"/>
                <w:w w:val="105"/>
                <w:sz w:val="21"/>
              </w:rPr>
              <w:t> </w:t>
            </w:r>
            <w:r>
              <w:rPr>
                <w:color w:val="050505"/>
                <w:w w:val="105"/>
                <w:sz w:val="21"/>
              </w:rPr>
              <w:t>and</w:t>
            </w:r>
            <w:r>
              <w:rPr>
                <w:color w:val="050505"/>
                <w:spacing w:val="-12"/>
                <w:w w:val="105"/>
                <w:sz w:val="21"/>
              </w:rPr>
              <w:t> </w:t>
            </w:r>
            <w:r>
              <w:rPr>
                <w:color w:val="050505"/>
                <w:w w:val="105"/>
                <w:sz w:val="21"/>
              </w:rPr>
              <w:t>accrued</w:t>
            </w:r>
            <w:r>
              <w:rPr>
                <w:color w:val="050505"/>
                <w:spacing w:val="-3"/>
                <w:w w:val="105"/>
                <w:sz w:val="21"/>
              </w:rPr>
              <w:t> </w:t>
            </w:r>
            <w:r>
              <w:rPr>
                <w:color w:val="050505"/>
                <w:spacing w:val="-2"/>
                <w:w w:val="105"/>
                <w:sz w:val="21"/>
              </w:rPr>
              <w:t>income</w:t>
            </w:r>
          </w:p>
        </w:tc>
        <w:tc>
          <w:tcPr>
            <w:tcW w:w="1635" w:type="dxa"/>
          </w:tcPr>
          <w:p>
            <w:pPr>
              <w:pStyle w:val="TableParagraph"/>
              <w:spacing w:before="69"/>
              <w:rPr>
                <w:b/>
                <w:sz w:val="25"/>
              </w:rPr>
            </w:pPr>
          </w:p>
          <w:p>
            <w:pPr>
              <w:pStyle w:val="TableParagraph"/>
              <w:spacing w:before="1" w:line="249" w:lineRule="exact"/>
              <w:ind w:right="92"/>
              <w:jc w:val="right"/>
              <w:rPr>
                <w:rFonts w:ascii="Courier New"/>
                <w:sz w:val="25"/>
              </w:rPr>
            </w:pPr>
            <w:r>
              <w:rPr>
                <w:rFonts w:ascii="Courier New"/>
                <w:color w:val="050505"/>
                <w:spacing w:val="-2"/>
                <w:w w:val="85"/>
                <w:sz w:val="25"/>
              </w:rPr>
              <w:t>2,420</w:t>
            </w:r>
          </w:p>
        </w:tc>
      </w:tr>
      <w:tr>
        <w:trPr>
          <w:trHeight w:val="266" w:hRule="atLeast"/>
        </w:trPr>
        <w:tc>
          <w:tcPr>
            <w:tcW w:w="1673" w:type="dxa"/>
          </w:tcPr>
          <w:p>
            <w:pPr>
              <w:pStyle w:val="TableParagraph"/>
              <w:rPr>
                <w:rFonts w:ascii="Times New Roman"/>
                <w:sz w:val="18"/>
              </w:rPr>
            </w:pPr>
          </w:p>
        </w:tc>
        <w:tc>
          <w:tcPr>
            <w:tcW w:w="5832" w:type="dxa"/>
          </w:tcPr>
          <w:p>
            <w:pPr>
              <w:pStyle w:val="TableParagraph"/>
              <w:spacing w:line="238" w:lineRule="exact"/>
              <w:ind w:left="195"/>
              <w:rPr>
                <w:sz w:val="21"/>
              </w:rPr>
            </w:pPr>
            <w:r>
              <w:rPr>
                <w:color w:val="050505"/>
                <w:w w:val="105"/>
                <w:sz w:val="21"/>
              </w:rPr>
              <w:t>Due</w:t>
            </w:r>
            <w:r>
              <w:rPr>
                <w:color w:val="050505"/>
                <w:spacing w:val="5"/>
                <w:w w:val="105"/>
                <w:sz w:val="21"/>
              </w:rPr>
              <w:t> </w:t>
            </w:r>
            <w:r>
              <w:rPr>
                <w:color w:val="050505"/>
                <w:w w:val="105"/>
                <w:sz w:val="21"/>
              </w:rPr>
              <w:t>from</w:t>
            </w:r>
            <w:r>
              <w:rPr>
                <w:color w:val="050505"/>
                <w:spacing w:val="-2"/>
                <w:w w:val="105"/>
                <w:sz w:val="21"/>
              </w:rPr>
              <w:t> </w:t>
            </w:r>
            <w:r>
              <w:rPr>
                <w:color w:val="050505"/>
                <w:w w:val="105"/>
                <w:sz w:val="21"/>
              </w:rPr>
              <w:t>group</w:t>
            </w:r>
            <w:r>
              <w:rPr>
                <w:color w:val="050505"/>
                <w:spacing w:val="-2"/>
                <w:w w:val="105"/>
                <w:sz w:val="21"/>
              </w:rPr>
              <w:t> companies</w:t>
            </w:r>
          </w:p>
        </w:tc>
        <w:tc>
          <w:tcPr>
            <w:tcW w:w="1635" w:type="dxa"/>
          </w:tcPr>
          <w:p>
            <w:pPr>
              <w:pStyle w:val="TableParagraph"/>
              <w:spacing w:line="247" w:lineRule="exact"/>
              <w:ind w:right="105"/>
              <w:jc w:val="right"/>
              <w:rPr>
                <w:rFonts w:ascii="Courier New"/>
                <w:sz w:val="25"/>
              </w:rPr>
            </w:pPr>
            <w:r>
              <w:rPr>
                <w:rFonts w:ascii="Courier New"/>
                <w:color w:val="050505"/>
                <w:spacing w:val="-2"/>
                <w:w w:val="85"/>
                <w:sz w:val="25"/>
              </w:rPr>
              <w:t>9,816</w:t>
            </w:r>
          </w:p>
        </w:tc>
      </w:tr>
      <w:tr>
        <w:trPr>
          <w:trHeight w:val="266" w:hRule="atLeast"/>
        </w:trPr>
        <w:tc>
          <w:tcPr>
            <w:tcW w:w="1673" w:type="dxa"/>
          </w:tcPr>
          <w:p>
            <w:pPr>
              <w:pStyle w:val="TableParagraph"/>
              <w:spacing w:line="247" w:lineRule="exact"/>
              <w:ind w:right="283"/>
              <w:jc w:val="right"/>
              <w:rPr>
                <w:rFonts w:ascii="Courier New"/>
                <w:sz w:val="25"/>
              </w:rPr>
            </w:pPr>
            <w:r>
              <w:rPr>
                <w:rFonts w:ascii="Courier New"/>
                <w:color w:val="050505"/>
                <w:spacing w:val="-5"/>
                <w:sz w:val="25"/>
              </w:rPr>
              <w:t>523</w:t>
            </w:r>
          </w:p>
        </w:tc>
        <w:tc>
          <w:tcPr>
            <w:tcW w:w="5832" w:type="dxa"/>
          </w:tcPr>
          <w:p>
            <w:pPr>
              <w:pStyle w:val="TableParagraph"/>
              <w:spacing w:before="9" w:line="238" w:lineRule="exact"/>
              <w:ind w:left="196"/>
              <w:rPr>
                <w:sz w:val="21"/>
              </w:rPr>
            </w:pPr>
            <w:r>
              <w:rPr>
                <w:color w:val="050505"/>
                <w:w w:val="105"/>
                <w:sz w:val="21"/>
              </w:rPr>
              <w:t>Other</w:t>
            </w:r>
            <w:r>
              <w:rPr>
                <w:color w:val="050505"/>
                <w:spacing w:val="2"/>
                <w:w w:val="105"/>
                <w:sz w:val="21"/>
              </w:rPr>
              <w:t> </w:t>
            </w:r>
            <w:r>
              <w:rPr>
                <w:color w:val="050505"/>
                <w:spacing w:val="-4"/>
                <w:w w:val="105"/>
                <w:sz w:val="21"/>
              </w:rPr>
              <w:t>loans</w:t>
            </w:r>
          </w:p>
        </w:tc>
        <w:tc>
          <w:tcPr>
            <w:tcW w:w="1635" w:type="dxa"/>
          </w:tcPr>
          <w:p>
            <w:pPr>
              <w:pStyle w:val="TableParagraph"/>
              <w:spacing w:line="247" w:lineRule="exact"/>
              <w:ind w:right="95"/>
              <w:jc w:val="right"/>
              <w:rPr>
                <w:rFonts w:ascii="Courier New"/>
                <w:sz w:val="25"/>
              </w:rPr>
            </w:pPr>
            <w:r>
              <w:rPr>
                <w:rFonts w:ascii="Courier New"/>
                <w:color w:val="050505"/>
                <w:spacing w:val="-5"/>
                <w:w w:val="95"/>
                <w:sz w:val="25"/>
              </w:rPr>
              <w:t>589</w:t>
            </w:r>
          </w:p>
        </w:tc>
      </w:tr>
      <w:tr>
        <w:trPr>
          <w:trHeight w:val="264" w:hRule="atLeast"/>
        </w:trPr>
        <w:tc>
          <w:tcPr>
            <w:tcW w:w="1673" w:type="dxa"/>
            <w:tcBorders>
              <w:bottom w:val="single" w:color="000000" w:sz="4" w:space="0"/>
            </w:tcBorders>
          </w:tcPr>
          <w:p>
            <w:pPr>
              <w:pStyle w:val="TableParagraph"/>
              <w:spacing w:line="236" w:lineRule="exact"/>
              <w:ind w:right="288"/>
              <w:jc w:val="right"/>
              <w:rPr>
                <w:rFonts w:ascii="Courier New"/>
                <w:sz w:val="25"/>
              </w:rPr>
            </w:pPr>
            <w:r>
              <w:rPr>
                <w:rFonts w:ascii="Courier New"/>
                <w:color w:val="050505"/>
                <w:spacing w:val="-5"/>
                <w:sz w:val="25"/>
              </w:rPr>
              <w:t>29</w:t>
            </w:r>
          </w:p>
        </w:tc>
        <w:tc>
          <w:tcPr>
            <w:tcW w:w="5832" w:type="dxa"/>
          </w:tcPr>
          <w:p>
            <w:pPr>
              <w:pStyle w:val="TableParagraph"/>
              <w:spacing w:line="238" w:lineRule="exact"/>
              <w:ind w:left="190"/>
              <w:rPr>
                <w:sz w:val="21"/>
              </w:rPr>
            </w:pPr>
            <w:r>
              <w:rPr>
                <w:color w:val="050505"/>
                <w:w w:val="105"/>
                <w:sz w:val="21"/>
              </w:rPr>
              <w:t>Employee</w:t>
            </w:r>
            <w:r>
              <w:rPr>
                <w:color w:val="050505"/>
                <w:spacing w:val="9"/>
                <w:w w:val="105"/>
                <w:sz w:val="21"/>
              </w:rPr>
              <w:t> </w:t>
            </w:r>
            <w:r>
              <w:rPr>
                <w:color w:val="050505"/>
                <w:w w:val="105"/>
                <w:sz w:val="21"/>
              </w:rPr>
              <w:t>car</w:t>
            </w:r>
            <w:r>
              <w:rPr>
                <w:color w:val="050505"/>
                <w:spacing w:val="-6"/>
                <w:w w:val="105"/>
                <w:sz w:val="21"/>
              </w:rPr>
              <w:t> </w:t>
            </w:r>
            <w:r>
              <w:rPr>
                <w:color w:val="2A2A2A"/>
                <w:spacing w:val="-4"/>
                <w:w w:val="105"/>
                <w:sz w:val="21"/>
              </w:rPr>
              <w:t>loans</w:t>
            </w:r>
          </w:p>
        </w:tc>
        <w:tc>
          <w:tcPr>
            <w:tcW w:w="1635" w:type="dxa"/>
            <w:tcBorders>
              <w:bottom w:val="single" w:color="000000" w:sz="4" w:space="0"/>
            </w:tcBorders>
          </w:tcPr>
          <w:p>
            <w:pPr>
              <w:pStyle w:val="TableParagraph"/>
              <w:spacing w:line="236" w:lineRule="exact"/>
              <w:ind w:right="81"/>
              <w:jc w:val="right"/>
              <w:rPr>
                <w:rFonts w:ascii="Courier New"/>
                <w:sz w:val="25"/>
              </w:rPr>
            </w:pPr>
            <w:r>
              <w:rPr>
                <w:rFonts w:ascii="Courier New"/>
                <w:color w:val="050505"/>
                <w:spacing w:val="-5"/>
                <w:sz w:val="25"/>
              </w:rPr>
              <w:t>32</w:t>
            </w:r>
          </w:p>
        </w:tc>
      </w:tr>
      <w:tr>
        <w:trPr>
          <w:trHeight w:val="218" w:hRule="atLeast"/>
        </w:trPr>
        <w:tc>
          <w:tcPr>
            <w:tcW w:w="1673" w:type="dxa"/>
            <w:tcBorders>
              <w:top w:val="single" w:color="000000" w:sz="4" w:space="0"/>
              <w:bottom w:val="single" w:color="000000" w:sz="4" w:space="0"/>
            </w:tcBorders>
          </w:tcPr>
          <w:p>
            <w:pPr>
              <w:pStyle w:val="TableParagraph"/>
              <w:spacing w:line="201" w:lineRule="exact"/>
              <w:ind w:right="302"/>
              <w:jc w:val="right"/>
              <w:rPr>
                <w:b/>
                <w:sz w:val="21"/>
              </w:rPr>
            </w:pPr>
            <w:r>
              <w:rPr>
                <w:b/>
                <w:color w:val="050505"/>
                <w:spacing w:val="-4"/>
                <w:w w:val="105"/>
                <w:sz w:val="21"/>
              </w:rPr>
              <w:t>2,910</w:t>
            </w:r>
          </w:p>
        </w:tc>
        <w:tc>
          <w:tcPr>
            <w:tcW w:w="5832" w:type="dxa"/>
          </w:tcPr>
          <w:p>
            <w:pPr>
              <w:pStyle w:val="TableParagraph"/>
              <w:spacing w:line="199" w:lineRule="exact"/>
              <w:ind w:left="192"/>
              <w:rPr>
                <w:b/>
                <w:sz w:val="21"/>
              </w:rPr>
            </w:pPr>
            <w:r>
              <w:rPr>
                <w:b/>
                <w:color w:val="050505"/>
                <w:spacing w:val="-4"/>
                <w:w w:val="105"/>
                <w:sz w:val="21"/>
              </w:rPr>
              <w:t>Total</w:t>
            </w:r>
          </w:p>
        </w:tc>
        <w:tc>
          <w:tcPr>
            <w:tcW w:w="1635" w:type="dxa"/>
            <w:tcBorders>
              <w:top w:val="single" w:color="000000" w:sz="4" w:space="0"/>
              <w:bottom w:val="single" w:color="000000" w:sz="4" w:space="0"/>
            </w:tcBorders>
          </w:tcPr>
          <w:p>
            <w:pPr>
              <w:pStyle w:val="TableParagraph"/>
              <w:spacing w:line="201" w:lineRule="exact"/>
              <w:ind w:right="102"/>
              <w:jc w:val="right"/>
              <w:rPr>
                <w:b/>
                <w:sz w:val="21"/>
              </w:rPr>
            </w:pPr>
            <w:r>
              <w:rPr>
                <w:b/>
                <w:color w:val="050505"/>
                <w:spacing w:val="-2"/>
                <w:w w:val="105"/>
                <w:sz w:val="21"/>
              </w:rPr>
              <w:t>12,857</w:t>
            </w:r>
          </w:p>
        </w:tc>
      </w:tr>
      <w:tr>
        <w:trPr>
          <w:trHeight w:val="784" w:hRule="atLeast"/>
        </w:trPr>
        <w:tc>
          <w:tcPr>
            <w:tcW w:w="1673" w:type="dxa"/>
            <w:tcBorders>
              <w:top w:val="single" w:color="000000" w:sz="4" w:space="0"/>
            </w:tcBorders>
          </w:tcPr>
          <w:p>
            <w:pPr>
              <w:pStyle w:val="TableParagraph"/>
              <w:spacing w:before="234"/>
              <w:rPr>
                <w:b/>
                <w:sz w:val="25"/>
              </w:rPr>
            </w:pPr>
          </w:p>
          <w:p>
            <w:pPr>
              <w:pStyle w:val="TableParagraph"/>
              <w:spacing w:line="249" w:lineRule="exact"/>
              <w:ind w:right="302"/>
              <w:jc w:val="right"/>
              <w:rPr>
                <w:rFonts w:ascii="Courier New"/>
                <w:sz w:val="25"/>
              </w:rPr>
            </w:pPr>
            <w:r>
              <w:rPr>
                <w:rFonts w:ascii="Courier New"/>
                <w:color w:val="050505"/>
                <w:spacing w:val="-5"/>
                <w:w w:val="95"/>
                <w:sz w:val="25"/>
              </w:rPr>
              <w:t>578</w:t>
            </w:r>
          </w:p>
        </w:tc>
        <w:tc>
          <w:tcPr>
            <w:tcW w:w="5832" w:type="dxa"/>
          </w:tcPr>
          <w:p>
            <w:pPr>
              <w:pStyle w:val="TableParagraph"/>
              <w:spacing w:before="30"/>
              <w:rPr>
                <w:b/>
                <w:sz w:val="21"/>
              </w:rPr>
            </w:pPr>
          </w:p>
          <w:p>
            <w:pPr>
              <w:pStyle w:val="TableParagraph"/>
              <w:spacing w:before="1"/>
              <w:ind w:left="188"/>
              <w:rPr>
                <w:i/>
                <w:sz w:val="21"/>
              </w:rPr>
            </w:pPr>
            <w:r>
              <w:rPr>
                <w:i/>
                <w:color w:val="050505"/>
                <w:w w:val="105"/>
                <w:sz w:val="21"/>
              </w:rPr>
              <w:t>Non-financial</w:t>
            </w:r>
            <w:r>
              <w:rPr>
                <w:i/>
                <w:color w:val="050505"/>
                <w:spacing w:val="5"/>
                <w:w w:val="105"/>
                <w:sz w:val="21"/>
              </w:rPr>
              <w:t> </w:t>
            </w:r>
            <w:r>
              <w:rPr>
                <w:i/>
                <w:color w:val="050505"/>
                <w:w w:val="105"/>
                <w:sz w:val="21"/>
              </w:rPr>
              <w:t>assets</w:t>
            </w:r>
            <w:r>
              <w:rPr>
                <w:i/>
                <w:color w:val="050505"/>
                <w:spacing w:val="-3"/>
                <w:w w:val="105"/>
                <w:sz w:val="21"/>
              </w:rPr>
              <w:t> </w:t>
            </w:r>
            <w:r>
              <w:rPr>
                <w:i/>
                <w:color w:val="050505"/>
                <w:w w:val="105"/>
                <w:sz w:val="21"/>
              </w:rPr>
              <w:t>and</w:t>
            </w:r>
            <w:r>
              <w:rPr>
                <w:i/>
                <w:color w:val="050505"/>
                <w:spacing w:val="-12"/>
                <w:w w:val="105"/>
                <w:sz w:val="21"/>
              </w:rPr>
              <w:t> </w:t>
            </w:r>
            <w:r>
              <w:rPr>
                <w:i/>
                <w:color w:val="050505"/>
                <w:w w:val="105"/>
                <w:sz w:val="21"/>
              </w:rPr>
              <w:t>statutory</w:t>
            </w:r>
            <w:r>
              <w:rPr>
                <w:i/>
                <w:color w:val="050505"/>
                <w:spacing w:val="3"/>
                <w:w w:val="105"/>
                <w:sz w:val="21"/>
              </w:rPr>
              <w:t> </w:t>
            </w:r>
            <w:r>
              <w:rPr>
                <w:i/>
                <w:color w:val="050505"/>
                <w:spacing w:val="-4"/>
                <w:w w:val="105"/>
                <w:sz w:val="21"/>
              </w:rPr>
              <w:t>debt</w:t>
            </w:r>
          </w:p>
          <w:p>
            <w:pPr>
              <w:pStyle w:val="TableParagraph"/>
              <w:spacing w:before="13" w:line="238" w:lineRule="exact"/>
              <w:ind w:left="181"/>
              <w:rPr>
                <w:sz w:val="21"/>
              </w:rPr>
            </w:pPr>
            <w:r>
              <w:rPr>
                <w:color w:val="050505"/>
                <w:w w:val="105"/>
                <w:sz w:val="21"/>
              </w:rPr>
              <w:t>Council</w:t>
            </w:r>
            <w:r>
              <w:rPr>
                <w:color w:val="050505"/>
                <w:spacing w:val="-4"/>
                <w:w w:val="105"/>
                <w:sz w:val="21"/>
              </w:rPr>
              <w:t> </w:t>
            </w:r>
            <w:r>
              <w:rPr>
                <w:color w:val="050505"/>
                <w:spacing w:val="-5"/>
                <w:w w:val="105"/>
                <w:sz w:val="21"/>
              </w:rPr>
              <w:t>tax</w:t>
            </w:r>
          </w:p>
        </w:tc>
        <w:tc>
          <w:tcPr>
            <w:tcW w:w="1635" w:type="dxa"/>
            <w:tcBorders>
              <w:top w:val="single" w:color="000000" w:sz="4" w:space="0"/>
            </w:tcBorders>
          </w:tcPr>
          <w:p>
            <w:pPr>
              <w:pStyle w:val="TableParagraph"/>
              <w:spacing w:before="239"/>
              <w:rPr>
                <w:b/>
                <w:sz w:val="25"/>
              </w:rPr>
            </w:pPr>
          </w:p>
          <w:p>
            <w:pPr>
              <w:pStyle w:val="TableParagraph"/>
              <w:spacing w:line="244" w:lineRule="exact"/>
              <w:ind w:right="100"/>
              <w:jc w:val="right"/>
              <w:rPr>
                <w:rFonts w:ascii="Courier New"/>
                <w:sz w:val="25"/>
              </w:rPr>
            </w:pPr>
            <w:r>
              <w:rPr>
                <w:rFonts w:ascii="Courier New"/>
                <w:color w:val="050505"/>
                <w:spacing w:val="-5"/>
                <w:w w:val="95"/>
                <w:sz w:val="25"/>
              </w:rPr>
              <w:t>889</w:t>
            </w:r>
          </w:p>
        </w:tc>
      </w:tr>
      <w:tr>
        <w:trPr>
          <w:trHeight w:val="252" w:hRule="atLeast"/>
        </w:trPr>
        <w:tc>
          <w:tcPr>
            <w:tcW w:w="1673" w:type="dxa"/>
          </w:tcPr>
          <w:p>
            <w:pPr>
              <w:pStyle w:val="TableParagraph"/>
              <w:spacing w:line="232" w:lineRule="exact"/>
              <w:ind w:right="332"/>
              <w:jc w:val="right"/>
              <w:rPr>
                <w:rFonts w:ascii="Courier New"/>
                <w:sz w:val="25"/>
              </w:rPr>
            </w:pPr>
            <w:r>
              <w:rPr>
                <w:rFonts w:ascii="Courier New"/>
                <w:color w:val="050505"/>
                <w:spacing w:val="-5"/>
                <w:w w:val="95"/>
                <w:sz w:val="25"/>
              </w:rPr>
              <w:t>431</w:t>
            </w:r>
          </w:p>
        </w:tc>
        <w:tc>
          <w:tcPr>
            <w:tcW w:w="5832" w:type="dxa"/>
          </w:tcPr>
          <w:p>
            <w:pPr>
              <w:pStyle w:val="TableParagraph"/>
              <w:spacing w:line="232" w:lineRule="exact"/>
              <w:ind w:left="177"/>
              <w:rPr>
                <w:sz w:val="21"/>
              </w:rPr>
            </w:pPr>
            <w:r>
              <w:rPr>
                <w:color w:val="050505"/>
                <w:w w:val="105"/>
                <w:sz w:val="21"/>
              </w:rPr>
              <w:t>Business</w:t>
            </w:r>
            <w:r>
              <w:rPr>
                <w:color w:val="050505"/>
                <w:spacing w:val="10"/>
                <w:w w:val="105"/>
                <w:sz w:val="21"/>
              </w:rPr>
              <w:t> </w:t>
            </w:r>
            <w:r>
              <w:rPr>
                <w:color w:val="050505"/>
                <w:spacing w:val="-2"/>
                <w:w w:val="105"/>
                <w:sz w:val="21"/>
              </w:rPr>
              <w:t>rates</w:t>
            </w:r>
          </w:p>
        </w:tc>
        <w:tc>
          <w:tcPr>
            <w:tcW w:w="1635" w:type="dxa"/>
          </w:tcPr>
          <w:p>
            <w:pPr>
              <w:pStyle w:val="TableParagraph"/>
              <w:spacing w:line="232" w:lineRule="exact"/>
              <w:ind w:right="105"/>
              <w:jc w:val="right"/>
              <w:rPr>
                <w:rFonts w:ascii="Courier New"/>
                <w:sz w:val="25"/>
              </w:rPr>
            </w:pPr>
            <w:r>
              <w:rPr>
                <w:rFonts w:ascii="Courier New"/>
                <w:color w:val="050505"/>
                <w:spacing w:val="-5"/>
                <w:w w:val="95"/>
                <w:sz w:val="25"/>
              </w:rPr>
              <w:t>366</w:t>
            </w:r>
          </w:p>
        </w:tc>
      </w:tr>
      <w:tr>
        <w:trPr>
          <w:trHeight w:val="254" w:hRule="atLeast"/>
        </w:trPr>
        <w:tc>
          <w:tcPr>
            <w:tcW w:w="1673" w:type="dxa"/>
          </w:tcPr>
          <w:p>
            <w:pPr>
              <w:pStyle w:val="TableParagraph"/>
              <w:spacing w:line="235" w:lineRule="exact"/>
              <w:ind w:right="307"/>
              <w:jc w:val="right"/>
              <w:rPr>
                <w:rFonts w:ascii="Courier New"/>
                <w:sz w:val="25"/>
              </w:rPr>
            </w:pPr>
            <w:r>
              <w:rPr>
                <w:rFonts w:ascii="Courier New"/>
                <w:color w:val="050505"/>
                <w:spacing w:val="-5"/>
                <w:w w:val="95"/>
                <w:sz w:val="25"/>
              </w:rPr>
              <w:t>379</w:t>
            </w:r>
          </w:p>
        </w:tc>
        <w:tc>
          <w:tcPr>
            <w:tcW w:w="5832" w:type="dxa"/>
          </w:tcPr>
          <w:p>
            <w:pPr>
              <w:pStyle w:val="TableParagraph"/>
              <w:spacing w:line="235" w:lineRule="exact"/>
              <w:ind w:left="175"/>
              <w:rPr>
                <w:sz w:val="21"/>
              </w:rPr>
            </w:pPr>
            <w:r>
              <w:rPr>
                <w:color w:val="050505"/>
                <w:w w:val="105"/>
                <w:sz w:val="21"/>
              </w:rPr>
              <w:t>HM</w:t>
            </w:r>
            <w:r>
              <w:rPr>
                <w:color w:val="050505"/>
                <w:spacing w:val="-10"/>
                <w:w w:val="105"/>
                <w:sz w:val="21"/>
              </w:rPr>
              <w:t> </w:t>
            </w:r>
            <w:r>
              <w:rPr>
                <w:color w:val="050505"/>
                <w:w w:val="105"/>
                <w:sz w:val="21"/>
              </w:rPr>
              <w:t>Revenue</w:t>
            </w:r>
            <w:r>
              <w:rPr>
                <w:color w:val="050505"/>
                <w:spacing w:val="13"/>
                <w:w w:val="105"/>
                <w:sz w:val="21"/>
              </w:rPr>
              <w:t> </w:t>
            </w:r>
            <w:r>
              <w:rPr>
                <w:color w:val="050505"/>
                <w:w w:val="105"/>
                <w:sz w:val="21"/>
              </w:rPr>
              <w:t>and</w:t>
            </w:r>
            <w:r>
              <w:rPr>
                <w:color w:val="050505"/>
                <w:spacing w:val="-8"/>
                <w:w w:val="105"/>
                <w:sz w:val="21"/>
              </w:rPr>
              <w:t> </w:t>
            </w:r>
            <w:r>
              <w:rPr>
                <w:color w:val="050505"/>
                <w:spacing w:val="-2"/>
                <w:w w:val="105"/>
                <w:sz w:val="21"/>
              </w:rPr>
              <w:t>Customs</w:t>
            </w:r>
          </w:p>
        </w:tc>
        <w:tc>
          <w:tcPr>
            <w:tcW w:w="1635" w:type="dxa"/>
          </w:tcPr>
          <w:p>
            <w:pPr>
              <w:pStyle w:val="TableParagraph"/>
              <w:spacing w:line="235" w:lineRule="exact"/>
              <w:ind w:right="98"/>
              <w:jc w:val="right"/>
              <w:rPr>
                <w:rFonts w:ascii="Courier New"/>
                <w:sz w:val="25"/>
              </w:rPr>
            </w:pPr>
            <w:r>
              <w:rPr>
                <w:rFonts w:ascii="Courier New"/>
                <w:color w:val="050505"/>
                <w:spacing w:val="-5"/>
                <w:w w:val="95"/>
                <w:sz w:val="25"/>
              </w:rPr>
              <w:t>268</w:t>
            </w:r>
          </w:p>
        </w:tc>
      </w:tr>
      <w:tr>
        <w:trPr>
          <w:trHeight w:val="252" w:hRule="atLeast"/>
        </w:trPr>
        <w:tc>
          <w:tcPr>
            <w:tcW w:w="1673" w:type="dxa"/>
          </w:tcPr>
          <w:p>
            <w:pPr>
              <w:pStyle w:val="TableParagraph"/>
              <w:spacing w:line="232" w:lineRule="exact"/>
              <w:ind w:right="303"/>
              <w:jc w:val="right"/>
              <w:rPr>
                <w:rFonts w:ascii="Courier New"/>
                <w:sz w:val="25"/>
              </w:rPr>
            </w:pPr>
            <w:r>
              <w:rPr>
                <w:rFonts w:ascii="Courier New"/>
                <w:color w:val="050505"/>
                <w:spacing w:val="-5"/>
                <w:sz w:val="25"/>
              </w:rPr>
              <w:t>65</w:t>
            </w:r>
          </w:p>
        </w:tc>
        <w:tc>
          <w:tcPr>
            <w:tcW w:w="5832" w:type="dxa"/>
          </w:tcPr>
          <w:p>
            <w:pPr>
              <w:pStyle w:val="TableParagraph"/>
              <w:spacing w:line="232" w:lineRule="exact"/>
              <w:ind w:left="176"/>
              <w:rPr>
                <w:sz w:val="21"/>
              </w:rPr>
            </w:pPr>
            <w:r>
              <w:rPr>
                <w:color w:val="050505"/>
                <w:w w:val="105"/>
                <w:sz w:val="21"/>
              </w:rPr>
              <w:t>Government</w:t>
            </w:r>
            <w:r>
              <w:rPr>
                <w:color w:val="050505"/>
                <w:spacing w:val="12"/>
                <w:w w:val="105"/>
                <w:sz w:val="21"/>
              </w:rPr>
              <w:t> </w:t>
            </w:r>
            <w:r>
              <w:rPr>
                <w:color w:val="050505"/>
                <w:w w:val="105"/>
                <w:sz w:val="21"/>
              </w:rPr>
              <w:t>departments</w:t>
            </w:r>
            <w:r>
              <w:rPr>
                <w:color w:val="050505"/>
                <w:spacing w:val="10"/>
                <w:w w:val="105"/>
                <w:sz w:val="21"/>
              </w:rPr>
              <w:t> </w:t>
            </w:r>
            <w:r>
              <w:rPr>
                <w:color w:val="050505"/>
                <w:w w:val="105"/>
                <w:sz w:val="21"/>
              </w:rPr>
              <w:t>and</w:t>
            </w:r>
            <w:r>
              <w:rPr>
                <w:color w:val="050505"/>
                <w:spacing w:val="-9"/>
                <w:w w:val="105"/>
                <w:sz w:val="21"/>
              </w:rPr>
              <w:t> </w:t>
            </w:r>
            <w:r>
              <w:rPr>
                <w:color w:val="050505"/>
                <w:w w:val="105"/>
                <w:sz w:val="21"/>
              </w:rPr>
              <w:t>other</w:t>
            </w:r>
            <w:r>
              <w:rPr>
                <w:color w:val="050505"/>
                <w:spacing w:val="-4"/>
                <w:w w:val="105"/>
                <w:sz w:val="21"/>
              </w:rPr>
              <w:t> </w:t>
            </w:r>
            <w:r>
              <w:rPr>
                <w:color w:val="050505"/>
                <w:w w:val="105"/>
                <w:sz w:val="21"/>
              </w:rPr>
              <w:t>local</w:t>
            </w:r>
            <w:r>
              <w:rPr>
                <w:color w:val="050505"/>
                <w:spacing w:val="-5"/>
                <w:w w:val="105"/>
                <w:sz w:val="21"/>
              </w:rPr>
              <w:t> </w:t>
            </w:r>
            <w:r>
              <w:rPr>
                <w:color w:val="050505"/>
                <w:spacing w:val="-2"/>
                <w:w w:val="105"/>
                <w:sz w:val="21"/>
              </w:rPr>
              <w:t>authorities</w:t>
            </w:r>
          </w:p>
        </w:tc>
        <w:tc>
          <w:tcPr>
            <w:tcW w:w="1635" w:type="dxa"/>
          </w:tcPr>
          <w:p>
            <w:pPr>
              <w:pStyle w:val="TableParagraph"/>
              <w:spacing w:line="232" w:lineRule="exact"/>
              <w:ind w:right="140"/>
              <w:jc w:val="right"/>
              <w:rPr>
                <w:rFonts w:ascii="Courier New"/>
                <w:sz w:val="25"/>
              </w:rPr>
            </w:pPr>
            <w:r>
              <w:rPr>
                <w:rFonts w:ascii="Courier New"/>
                <w:color w:val="050505"/>
                <w:spacing w:val="-2"/>
                <w:w w:val="80"/>
                <w:sz w:val="25"/>
              </w:rPr>
              <w:t>3,861</w:t>
            </w:r>
          </w:p>
        </w:tc>
      </w:tr>
      <w:tr>
        <w:trPr>
          <w:trHeight w:val="254" w:hRule="atLeast"/>
        </w:trPr>
        <w:tc>
          <w:tcPr>
            <w:tcW w:w="1673" w:type="dxa"/>
          </w:tcPr>
          <w:p>
            <w:pPr>
              <w:pStyle w:val="TableParagraph"/>
              <w:spacing w:line="235" w:lineRule="exact"/>
              <w:ind w:right="309"/>
              <w:jc w:val="right"/>
              <w:rPr>
                <w:rFonts w:ascii="Courier New"/>
                <w:sz w:val="25"/>
              </w:rPr>
            </w:pPr>
            <w:r>
              <w:rPr>
                <w:rFonts w:ascii="Courier New"/>
                <w:color w:val="050505"/>
                <w:spacing w:val="-5"/>
                <w:w w:val="95"/>
                <w:sz w:val="25"/>
              </w:rPr>
              <w:t>204</w:t>
            </w:r>
          </w:p>
        </w:tc>
        <w:tc>
          <w:tcPr>
            <w:tcW w:w="5832" w:type="dxa"/>
          </w:tcPr>
          <w:p>
            <w:pPr>
              <w:pStyle w:val="TableParagraph"/>
              <w:spacing w:line="235" w:lineRule="exact"/>
              <w:ind w:left="170"/>
              <w:rPr>
                <w:sz w:val="21"/>
              </w:rPr>
            </w:pPr>
            <w:r>
              <w:rPr>
                <w:color w:val="050505"/>
                <w:w w:val="105"/>
                <w:sz w:val="21"/>
              </w:rPr>
              <w:t>Housing</w:t>
            </w:r>
            <w:r>
              <w:rPr>
                <w:color w:val="050505"/>
                <w:spacing w:val="3"/>
                <w:w w:val="105"/>
                <w:sz w:val="21"/>
              </w:rPr>
              <w:t> </w:t>
            </w:r>
            <w:r>
              <w:rPr>
                <w:color w:val="050505"/>
                <w:w w:val="105"/>
                <w:sz w:val="21"/>
              </w:rPr>
              <w:t>Benefits</w:t>
            </w:r>
            <w:r>
              <w:rPr>
                <w:color w:val="050505"/>
                <w:spacing w:val="4"/>
                <w:w w:val="105"/>
                <w:sz w:val="21"/>
              </w:rPr>
              <w:t> </w:t>
            </w:r>
            <w:r>
              <w:rPr>
                <w:color w:val="050505"/>
                <w:spacing w:val="-2"/>
                <w:w w:val="105"/>
                <w:sz w:val="21"/>
              </w:rPr>
              <w:t>overpaid</w:t>
            </w:r>
          </w:p>
        </w:tc>
        <w:tc>
          <w:tcPr>
            <w:tcW w:w="1635" w:type="dxa"/>
          </w:tcPr>
          <w:p>
            <w:pPr>
              <w:pStyle w:val="TableParagraph"/>
              <w:spacing w:line="235" w:lineRule="exact"/>
              <w:ind w:right="101"/>
              <w:jc w:val="right"/>
              <w:rPr>
                <w:rFonts w:ascii="Courier New"/>
                <w:sz w:val="25"/>
              </w:rPr>
            </w:pPr>
            <w:r>
              <w:rPr>
                <w:rFonts w:ascii="Courier New"/>
                <w:color w:val="050505"/>
                <w:spacing w:val="-5"/>
                <w:sz w:val="25"/>
              </w:rPr>
              <w:t>390</w:t>
            </w:r>
          </w:p>
        </w:tc>
      </w:tr>
      <w:tr>
        <w:trPr>
          <w:trHeight w:val="264" w:hRule="atLeast"/>
        </w:trPr>
        <w:tc>
          <w:tcPr>
            <w:tcW w:w="1673" w:type="dxa"/>
            <w:tcBorders>
              <w:bottom w:val="single" w:color="000000" w:sz="4" w:space="0"/>
            </w:tcBorders>
          </w:tcPr>
          <w:p>
            <w:pPr>
              <w:pStyle w:val="TableParagraph"/>
              <w:spacing w:line="241" w:lineRule="exact"/>
              <w:ind w:right="313"/>
              <w:jc w:val="right"/>
              <w:rPr>
                <w:rFonts w:ascii="Courier New"/>
                <w:sz w:val="25"/>
              </w:rPr>
            </w:pPr>
            <w:r>
              <w:rPr>
                <w:rFonts w:ascii="Courier New"/>
                <w:color w:val="050505"/>
                <w:spacing w:val="-5"/>
                <w:sz w:val="25"/>
              </w:rPr>
              <w:t>665</w:t>
            </w:r>
          </w:p>
        </w:tc>
        <w:tc>
          <w:tcPr>
            <w:tcW w:w="5832" w:type="dxa"/>
          </w:tcPr>
          <w:p>
            <w:pPr>
              <w:pStyle w:val="TableParagraph"/>
              <w:spacing w:line="238" w:lineRule="exact"/>
              <w:ind w:left="171"/>
              <w:rPr>
                <w:sz w:val="21"/>
              </w:rPr>
            </w:pPr>
            <w:r>
              <w:rPr>
                <w:color w:val="050505"/>
                <w:spacing w:val="-2"/>
                <w:w w:val="105"/>
                <w:sz w:val="21"/>
              </w:rPr>
              <w:t>Prepayments</w:t>
            </w:r>
          </w:p>
        </w:tc>
        <w:tc>
          <w:tcPr>
            <w:tcW w:w="1635" w:type="dxa"/>
            <w:tcBorders>
              <w:bottom w:val="single" w:color="000000" w:sz="4" w:space="0"/>
            </w:tcBorders>
          </w:tcPr>
          <w:p>
            <w:pPr>
              <w:pStyle w:val="TableParagraph"/>
              <w:spacing w:line="241" w:lineRule="exact"/>
              <w:ind w:right="107"/>
              <w:jc w:val="right"/>
              <w:rPr>
                <w:rFonts w:ascii="Courier New"/>
                <w:sz w:val="25"/>
              </w:rPr>
            </w:pPr>
            <w:r>
              <w:rPr>
                <w:rFonts w:ascii="Courier New"/>
                <w:color w:val="050505"/>
                <w:spacing w:val="-5"/>
                <w:sz w:val="25"/>
              </w:rPr>
              <w:t>692</w:t>
            </w:r>
          </w:p>
        </w:tc>
      </w:tr>
      <w:tr>
        <w:trPr>
          <w:trHeight w:val="212" w:hRule="atLeast"/>
        </w:trPr>
        <w:tc>
          <w:tcPr>
            <w:tcW w:w="1673" w:type="dxa"/>
            <w:tcBorders>
              <w:top w:val="single" w:color="000000" w:sz="4" w:space="0"/>
              <w:bottom w:val="single" w:color="000000" w:sz="4" w:space="0"/>
            </w:tcBorders>
          </w:tcPr>
          <w:p>
            <w:pPr>
              <w:pStyle w:val="TableParagraph"/>
              <w:spacing w:line="196" w:lineRule="exact"/>
              <w:ind w:right="326"/>
              <w:jc w:val="right"/>
              <w:rPr>
                <w:b/>
                <w:sz w:val="21"/>
              </w:rPr>
            </w:pPr>
            <w:r>
              <w:rPr>
                <w:b/>
                <w:color w:val="050505"/>
                <w:spacing w:val="-4"/>
                <w:w w:val="105"/>
                <w:sz w:val="21"/>
              </w:rPr>
              <w:t>2,322</w:t>
            </w:r>
          </w:p>
        </w:tc>
        <w:tc>
          <w:tcPr>
            <w:tcW w:w="5832" w:type="dxa"/>
          </w:tcPr>
          <w:p>
            <w:pPr>
              <w:pStyle w:val="TableParagraph"/>
              <w:spacing w:line="193" w:lineRule="exact"/>
              <w:ind w:left="168"/>
              <w:rPr>
                <w:b/>
                <w:sz w:val="21"/>
              </w:rPr>
            </w:pPr>
            <w:r>
              <w:rPr>
                <w:b/>
                <w:color w:val="050505"/>
                <w:spacing w:val="-4"/>
                <w:w w:val="105"/>
                <w:sz w:val="21"/>
              </w:rPr>
              <w:t>Total</w:t>
            </w:r>
          </w:p>
        </w:tc>
        <w:tc>
          <w:tcPr>
            <w:tcW w:w="1635" w:type="dxa"/>
            <w:tcBorders>
              <w:top w:val="single" w:color="000000" w:sz="4" w:space="0"/>
              <w:bottom w:val="single" w:color="000000" w:sz="4" w:space="0"/>
            </w:tcBorders>
          </w:tcPr>
          <w:p>
            <w:pPr>
              <w:pStyle w:val="TableParagraph"/>
              <w:spacing w:line="196" w:lineRule="exact"/>
              <w:ind w:right="118"/>
              <w:jc w:val="right"/>
              <w:rPr>
                <w:b/>
                <w:sz w:val="21"/>
              </w:rPr>
            </w:pPr>
            <w:r>
              <w:rPr>
                <w:b/>
                <w:color w:val="050505"/>
                <w:spacing w:val="-4"/>
                <w:w w:val="105"/>
                <w:sz w:val="21"/>
              </w:rPr>
              <w:t>6,466</w:t>
            </w:r>
          </w:p>
        </w:tc>
      </w:tr>
      <w:tr>
        <w:trPr>
          <w:trHeight w:val="249" w:hRule="atLeast"/>
        </w:trPr>
        <w:tc>
          <w:tcPr>
            <w:tcW w:w="1673" w:type="dxa"/>
            <w:tcBorders>
              <w:top w:val="single" w:color="000000" w:sz="4" w:space="0"/>
              <w:bottom w:val="single" w:color="000000" w:sz="4" w:space="0"/>
            </w:tcBorders>
          </w:tcPr>
          <w:p>
            <w:pPr>
              <w:pStyle w:val="TableParagraph"/>
              <w:rPr>
                <w:rFonts w:ascii="Times New Roman"/>
                <w:sz w:val="18"/>
              </w:rPr>
            </w:pPr>
          </w:p>
        </w:tc>
        <w:tc>
          <w:tcPr>
            <w:tcW w:w="5832" w:type="dxa"/>
          </w:tcPr>
          <w:p>
            <w:pPr>
              <w:pStyle w:val="TableParagraph"/>
              <w:rPr>
                <w:rFonts w:ascii="Times New Roman"/>
                <w:sz w:val="18"/>
              </w:rPr>
            </w:pPr>
          </w:p>
        </w:tc>
        <w:tc>
          <w:tcPr>
            <w:tcW w:w="1635" w:type="dxa"/>
            <w:tcBorders>
              <w:top w:val="single" w:color="000000" w:sz="4" w:space="0"/>
              <w:bottom w:val="single" w:color="000000" w:sz="4" w:space="0"/>
            </w:tcBorders>
          </w:tcPr>
          <w:p>
            <w:pPr>
              <w:pStyle w:val="TableParagraph"/>
              <w:rPr>
                <w:rFonts w:ascii="Times New Roman"/>
                <w:sz w:val="18"/>
              </w:rPr>
            </w:pPr>
          </w:p>
        </w:tc>
      </w:tr>
      <w:tr>
        <w:trPr>
          <w:trHeight w:val="265" w:hRule="atLeast"/>
        </w:trPr>
        <w:tc>
          <w:tcPr>
            <w:tcW w:w="1673" w:type="dxa"/>
            <w:tcBorders>
              <w:top w:val="single" w:color="000000" w:sz="4" w:space="0"/>
              <w:bottom w:val="single" w:color="000000" w:sz="4" w:space="0"/>
            </w:tcBorders>
          </w:tcPr>
          <w:p>
            <w:pPr>
              <w:pStyle w:val="TableParagraph"/>
              <w:spacing w:before="24" w:line="210" w:lineRule="exact"/>
              <w:ind w:right="329"/>
              <w:jc w:val="right"/>
              <w:rPr>
                <w:b/>
                <w:sz w:val="21"/>
              </w:rPr>
            </w:pPr>
            <w:r>
              <w:rPr>
                <w:b/>
                <w:color w:val="050505"/>
                <w:spacing w:val="-4"/>
                <w:w w:val="105"/>
                <w:sz w:val="21"/>
              </w:rPr>
              <w:t>5,232</w:t>
            </w:r>
          </w:p>
        </w:tc>
        <w:tc>
          <w:tcPr>
            <w:tcW w:w="5832" w:type="dxa"/>
          </w:tcPr>
          <w:p>
            <w:pPr>
              <w:pStyle w:val="TableParagraph"/>
              <w:spacing w:before="28" w:line="217" w:lineRule="exact"/>
              <w:ind w:left="163"/>
              <w:rPr>
                <w:b/>
                <w:sz w:val="21"/>
              </w:rPr>
            </w:pPr>
            <w:r>
              <w:rPr>
                <w:b/>
                <w:color w:val="050505"/>
                <w:w w:val="105"/>
                <w:sz w:val="21"/>
              </w:rPr>
              <w:t>Total</w:t>
            </w:r>
            <w:r>
              <w:rPr>
                <w:b/>
                <w:color w:val="050505"/>
                <w:spacing w:val="-7"/>
                <w:w w:val="105"/>
                <w:sz w:val="21"/>
              </w:rPr>
              <w:t> </w:t>
            </w:r>
            <w:r>
              <w:rPr>
                <w:b/>
                <w:color w:val="050505"/>
                <w:w w:val="105"/>
                <w:sz w:val="21"/>
              </w:rPr>
              <w:t>amounts</w:t>
            </w:r>
            <w:r>
              <w:rPr>
                <w:b/>
                <w:color w:val="050505"/>
                <w:spacing w:val="8"/>
                <w:w w:val="105"/>
                <w:sz w:val="21"/>
              </w:rPr>
              <w:t> </w:t>
            </w:r>
            <w:r>
              <w:rPr>
                <w:b/>
                <w:color w:val="050505"/>
                <w:w w:val="105"/>
                <w:sz w:val="21"/>
              </w:rPr>
              <w:t>receivable</w:t>
            </w:r>
            <w:r>
              <w:rPr>
                <w:b/>
                <w:color w:val="050505"/>
                <w:spacing w:val="-1"/>
                <w:w w:val="105"/>
                <w:sz w:val="21"/>
              </w:rPr>
              <w:t> </w:t>
            </w:r>
            <w:r>
              <w:rPr>
                <w:b/>
                <w:color w:val="050505"/>
                <w:w w:val="105"/>
                <w:sz w:val="21"/>
              </w:rPr>
              <w:t>within</w:t>
            </w:r>
            <w:r>
              <w:rPr>
                <w:b/>
                <w:color w:val="050505"/>
                <w:spacing w:val="2"/>
                <w:w w:val="105"/>
                <w:sz w:val="21"/>
              </w:rPr>
              <w:t> </w:t>
            </w:r>
            <w:r>
              <w:rPr>
                <w:b/>
                <w:color w:val="050505"/>
                <w:w w:val="105"/>
                <w:sz w:val="21"/>
              </w:rPr>
              <w:t>one</w:t>
            </w:r>
            <w:r>
              <w:rPr>
                <w:b/>
                <w:color w:val="050505"/>
                <w:spacing w:val="-5"/>
                <w:w w:val="105"/>
                <w:sz w:val="21"/>
              </w:rPr>
              <w:t> </w:t>
            </w:r>
            <w:r>
              <w:rPr>
                <w:b/>
                <w:color w:val="050505"/>
                <w:spacing w:val="-4"/>
                <w:w w:val="105"/>
                <w:sz w:val="21"/>
              </w:rPr>
              <w:t>year</w:t>
            </w:r>
          </w:p>
        </w:tc>
        <w:tc>
          <w:tcPr>
            <w:tcW w:w="1635" w:type="dxa"/>
            <w:tcBorders>
              <w:top w:val="single" w:color="000000" w:sz="4" w:space="0"/>
              <w:bottom w:val="single" w:color="000000" w:sz="4" w:space="0"/>
            </w:tcBorders>
          </w:tcPr>
          <w:p>
            <w:pPr>
              <w:pStyle w:val="TableParagraph"/>
              <w:spacing w:before="24" w:line="210" w:lineRule="exact"/>
              <w:ind w:right="123"/>
              <w:jc w:val="right"/>
              <w:rPr>
                <w:b/>
                <w:sz w:val="21"/>
              </w:rPr>
            </w:pPr>
            <w:r>
              <w:rPr>
                <w:b/>
                <w:color w:val="050505"/>
                <w:spacing w:val="-2"/>
                <w:w w:val="105"/>
                <w:sz w:val="21"/>
              </w:rPr>
              <w:t>19,323</w:t>
            </w:r>
          </w:p>
        </w:tc>
      </w:tr>
      <w:tr>
        <w:trPr>
          <w:trHeight w:val="646" w:hRule="atLeast"/>
        </w:trPr>
        <w:tc>
          <w:tcPr>
            <w:tcW w:w="1673" w:type="dxa"/>
            <w:tcBorders>
              <w:top w:val="single" w:color="000000" w:sz="4" w:space="0"/>
            </w:tcBorders>
          </w:tcPr>
          <w:p>
            <w:pPr>
              <w:pStyle w:val="TableParagraph"/>
              <w:rPr>
                <w:rFonts w:ascii="Times New Roman"/>
                <w:sz w:val="20"/>
              </w:rPr>
            </w:pPr>
          </w:p>
        </w:tc>
        <w:tc>
          <w:tcPr>
            <w:tcW w:w="5832" w:type="dxa"/>
          </w:tcPr>
          <w:p>
            <w:pPr>
              <w:pStyle w:val="TableParagraph"/>
              <w:spacing w:before="26"/>
              <w:rPr>
                <w:b/>
                <w:sz w:val="21"/>
              </w:rPr>
            </w:pPr>
          </w:p>
          <w:p>
            <w:pPr>
              <w:pStyle w:val="TableParagraph"/>
              <w:ind w:left="158"/>
              <w:rPr>
                <w:b/>
                <w:sz w:val="21"/>
              </w:rPr>
            </w:pPr>
            <w:r>
              <w:rPr>
                <w:b/>
                <w:color w:val="050505"/>
                <w:w w:val="105"/>
                <w:sz w:val="21"/>
              </w:rPr>
              <w:t>Amounts</w:t>
            </w:r>
            <w:r>
              <w:rPr>
                <w:b/>
                <w:color w:val="050505"/>
                <w:spacing w:val="3"/>
                <w:w w:val="105"/>
                <w:sz w:val="21"/>
              </w:rPr>
              <w:t> </w:t>
            </w:r>
            <w:r>
              <w:rPr>
                <w:b/>
                <w:color w:val="050505"/>
                <w:w w:val="105"/>
                <w:sz w:val="21"/>
              </w:rPr>
              <w:t>receivable</w:t>
            </w:r>
            <w:r>
              <w:rPr>
                <w:b/>
                <w:color w:val="050505"/>
                <w:spacing w:val="-2"/>
                <w:w w:val="105"/>
                <w:sz w:val="21"/>
              </w:rPr>
              <w:t> </w:t>
            </w:r>
            <w:r>
              <w:rPr>
                <w:b/>
                <w:color w:val="050505"/>
                <w:w w:val="105"/>
                <w:sz w:val="21"/>
              </w:rPr>
              <w:t>after one</w:t>
            </w:r>
            <w:r>
              <w:rPr>
                <w:b/>
                <w:color w:val="050505"/>
                <w:spacing w:val="-6"/>
                <w:w w:val="105"/>
                <w:sz w:val="21"/>
              </w:rPr>
              <w:t> </w:t>
            </w:r>
            <w:r>
              <w:rPr>
                <w:b/>
                <w:color w:val="050505"/>
                <w:spacing w:val="-2"/>
                <w:w w:val="105"/>
                <w:sz w:val="21"/>
              </w:rPr>
              <w:t>year:</w:t>
            </w:r>
          </w:p>
        </w:tc>
        <w:tc>
          <w:tcPr>
            <w:tcW w:w="1635" w:type="dxa"/>
            <w:tcBorders>
              <w:top w:val="single" w:color="000000" w:sz="4" w:space="0"/>
            </w:tcBorders>
          </w:tcPr>
          <w:p>
            <w:pPr>
              <w:pStyle w:val="TableParagraph"/>
              <w:rPr>
                <w:rFonts w:ascii="Times New Roman"/>
                <w:sz w:val="20"/>
              </w:rPr>
            </w:pPr>
          </w:p>
        </w:tc>
      </w:tr>
      <w:tr>
        <w:trPr>
          <w:trHeight w:val="638" w:hRule="atLeast"/>
        </w:trPr>
        <w:tc>
          <w:tcPr>
            <w:tcW w:w="1673" w:type="dxa"/>
          </w:tcPr>
          <w:p>
            <w:pPr>
              <w:pStyle w:val="TableParagraph"/>
              <w:spacing w:before="81"/>
              <w:rPr>
                <w:b/>
                <w:sz w:val="25"/>
              </w:rPr>
            </w:pPr>
          </w:p>
          <w:p>
            <w:pPr>
              <w:pStyle w:val="TableParagraph"/>
              <w:spacing w:before="1" w:line="249" w:lineRule="exact"/>
              <w:ind w:right="349"/>
              <w:jc w:val="right"/>
              <w:rPr>
                <w:rFonts w:ascii="Courier New"/>
                <w:sz w:val="25"/>
              </w:rPr>
            </w:pPr>
            <w:r>
              <w:rPr>
                <w:rFonts w:ascii="Courier New"/>
                <w:color w:val="050505"/>
                <w:spacing w:val="-2"/>
                <w:w w:val="85"/>
                <w:sz w:val="25"/>
              </w:rPr>
              <w:t>2,269</w:t>
            </w:r>
          </w:p>
        </w:tc>
        <w:tc>
          <w:tcPr>
            <w:tcW w:w="5832" w:type="dxa"/>
          </w:tcPr>
          <w:p>
            <w:pPr>
              <w:pStyle w:val="TableParagraph"/>
              <w:spacing w:before="130"/>
              <w:ind w:left="149"/>
              <w:rPr>
                <w:i/>
                <w:sz w:val="21"/>
              </w:rPr>
            </w:pPr>
            <w:r>
              <w:rPr>
                <w:i/>
                <w:color w:val="050505"/>
                <w:w w:val="105"/>
                <w:sz w:val="21"/>
              </w:rPr>
              <w:t>Financial</w:t>
            </w:r>
            <w:r>
              <w:rPr>
                <w:i/>
                <w:color w:val="050505"/>
                <w:spacing w:val="4"/>
                <w:w w:val="105"/>
                <w:sz w:val="21"/>
              </w:rPr>
              <w:t> </w:t>
            </w:r>
            <w:r>
              <w:rPr>
                <w:i/>
                <w:color w:val="050505"/>
                <w:spacing w:val="-2"/>
                <w:w w:val="105"/>
                <w:sz w:val="21"/>
              </w:rPr>
              <w:t>assets</w:t>
            </w:r>
          </w:p>
          <w:p>
            <w:pPr>
              <w:pStyle w:val="TableParagraph"/>
              <w:spacing w:before="14" w:line="233" w:lineRule="exact"/>
              <w:ind w:left="146"/>
              <w:rPr>
                <w:sz w:val="21"/>
              </w:rPr>
            </w:pPr>
            <w:r>
              <w:rPr>
                <w:color w:val="050505"/>
                <w:w w:val="105"/>
                <w:sz w:val="21"/>
              </w:rPr>
              <w:t>Equity</w:t>
            </w:r>
            <w:r>
              <w:rPr>
                <w:color w:val="050505"/>
                <w:spacing w:val="7"/>
                <w:w w:val="105"/>
                <w:sz w:val="21"/>
              </w:rPr>
              <w:t> </w:t>
            </w:r>
            <w:r>
              <w:rPr>
                <w:color w:val="050505"/>
                <w:w w:val="105"/>
                <w:sz w:val="21"/>
              </w:rPr>
              <w:t>charge</w:t>
            </w:r>
            <w:r>
              <w:rPr>
                <w:color w:val="050505"/>
                <w:spacing w:val="5"/>
                <w:w w:val="105"/>
                <w:sz w:val="21"/>
              </w:rPr>
              <w:t> </w:t>
            </w:r>
            <w:r>
              <w:rPr>
                <w:color w:val="050505"/>
                <w:w w:val="105"/>
                <w:sz w:val="21"/>
              </w:rPr>
              <w:t>on</w:t>
            </w:r>
            <w:r>
              <w:rPr>
                <w:color w:val="050505"/>
                <w:spacing w:val="-9"/>
                <w:w w:val="105"/>
                <w:sz w:val="21"/>
              </w:rPr>
              <w:t> </w:t>
            </w:r>
            <w:r>
              <w:rPr>
                <w:color w:val="050505"/>
                <w:spacing w:val="-2"/>
                <w:w w:val="105"/>
                <w:sz w:val="21"/>
              </w:rPr>
              <w:t>properties</w:t>
            </w:r>
          </w:p>
        </w:tc>
        <w:tc>
          <w:tcPr>
            <w:tcW w:w="1635" w:type="dxa"/>
          </w:tcPr>
          <w:p>
            <w:pPr>
              <w:pStyle w:val="TableParagraph"/>
              <w:spacing w:before="81"/>
              <w:rPr>
                <w:b/>
                <w:sz w:val="25"/>
              </w:rPr>
            </w:pPr>
          </w:p>
          <w:p>
            <w:pPr>
              <w:pStyle w:val="TableParagraph"/>
              <w:spacing w:before="1" w:line="249" w:lineRule="exact"/>
              <w:ind w:right="129"/>
              <w:jc w:val="right"/>
              <w:rPr>
                <w:rFonts w:ascii="Courier New"/>
                <w:sz w:val="25"/>
              </w:rPr>
            </w:pPr>
            <w:r>
              <w:rPr>
                <w:rFonts w:ascii="Courier New"/>
                <w:color w:val="050505"/>
                <w:spacing w:val="-2"/>
                <w:w w:val="85"/>
                <w:sz w:val="25"/>
              </w:rPr>
              <w:t>2,378</w:t>
            </w:r>
          </w:p>
        </w:tc>
      </w:tr>
      <w:tr>
        <w:trPr>
          <w:trHeight w:val="252" w:hRule="atLeast"/>
        </w:trPr>
        <w:tc>
          <w:tcPr>
            <w:tcW w:w="1673" w:type="dxa"/>
          </w:tcPr>
          <w:p>
            <w:pPr>
              <w:pStyle w:val="TableParagraph"/>
              <w:spacing w:line="232" w:lineRule="exact"/>
              <w:ind w:right="335"/>
              <w:jc w:val="right"/>
              <w:rPr>
                <w:rFonts w:ascii="Courier New"/>
                <w:sz w:val="25"/>
              </w:rPr>
            </w:pPr>
            <w:r>
              <w:rPr>
                <w:rFonts w:ascii="Courier New"/>
                <w:color w:val="050505"/>
                <w:spacing w:val="-5"/>
                <w:sz w:val="25"/>
              </w:rPr>
              <w:t>46</w:t>
            </w:r>
          </w:p>
        </w:tc>
        <w:tc>
          <w:tcPr>
            <w:tcW w:w="5832" w:type="dxa"/>
          </w:tcPr>
          <w:p>
            <w:pPr>
              <w:pStyle w:val="TableParagraph"/>
              <w:spacing w:line="232" w:lineRule="exact"/>
              <w:ind w:left="142"/>
              <w:rPr>
                <w:sz w:val="21"/>
              </w:rPr>
            </w:pPr>
            <w:r>
              <w:rPr>
                <w:color w:val="050505"/>
                <w:w w:val="105"/>
                <w:sz w:val="21"/>
              </w:rPr>
              <w:t>Employee</w:t>
            </w:r>
            <w:r>
              <w:rPr>
                <w:color w:val="050505"/>
                <w:spacing w:val="11"/>
                <w:w w:val="105"/>
                <w:sz w:val="21"/>
              </w:rPr>
              <w:t> </w:t>
            </w:r>
            <w:r>
              <w:rPr>
                <w:color w:val="050505"/>
                <w:w w:val="105"/>
                <w:sz w:val="21"/>
              </w:rPr>
              <w:t>car</w:t>
            </w:r>
            <w:r>
              <w:rPr>
                <w:color w:val="050505"/>
                <w:spacing w:val="-5"/>
                <w:w w:val="105"/>
                <w:sz w:val="21"/>
              </w:rPr>
              <w:t> </w:t>
            </w:r>
            <w:r>
              <w:rPr>
                <w:color w:val="050505"/>
                <w:spacing w:val="-2"/>
                <w:w w:val="105"/>
                <w:sz w:val="21"/>
              </w:rPr>
              <w:t>loans</w:t>
            </w:r>
          </w:p>
        </w:tc>
        <w:tc>
          <w:tcPr>
            <w:tcW w:w="1635" w:type="dxa"/>
          </w:tcPr>
          <w:p>
            <w:pPr>
              <w:pStyle w:val="TableParagraph"/>
              <w:spacing w:line="232" w:lineRule="exact"/>
              <w:ind w:right="113"/>
              <w:jc w:val="right"/>
              <w:rPr>
                <w:rFonts w:ascii="Courier New"/>
                <w:sz w:val="25"/>
              </w:rPr>
            </w:pPr>
            <w:r>
              <w:rPr>
                <w:rFonts w:ascii="Courier New"/>
                <w:color w:val="050505"/>
                <w:spacing w:val="-5"/>
                <w:sz w:val="25"/>
              </w:rPr>
              <w:t>30</w:t>
            </w:r>
          </w:p>
        </w:tc>
      </w:tr>
      <w:tr>
        <w:trPr>
          <w:trHeight w:val="252" w:hRule="atLeast"/>
        </w:trPr>
        <w:tc>
          <w:tcPr>
            <w:tcW w:w="1673" w:type="dxa"/>
          </w:tcPr>
          <w:p>
            <w:pPr>
              <w:pStyle w:val="TableParagraph"/>
              <w:spacing w:line="232" w:lineRule="exact"/>
              <w:ind w:right="343"/>
              <w:jc w:val="right"/>
              <w:rPr>
                <w:rFonts w:ascii="Courier New"/>
                <w:sz w:val="25"/>
              </w:rPr>
            </w:pPr>
            <w:r>
              <w:rPr>
                <w:rFonts w:ascii="Courier New"/>
                <w:color w:val="050505"/>
                <w:spacing w:val="-5"/>
                <w:sz w:val="25"/>
              </w:rPr>
              <w:t>755</w:t>
            </w:r>
          </w:p>
        </w:tc>
        <w:tc>
          <w:tcPr>
            <w:tcW w:w="5832" w:type="dxa"/>
          </w:tcPr>
          <w:p>
            <w:pPr>
              <w:pStyle w:val="TableParagraph"/>
              <w:spacing w:line="232" w:lineRule="exact"/>
              <w:ind w:left="143"/>
              <w:rPr>
                <w:sz w:val="21"/>
              </w:rPr>
            </w:pPr>
            <w:r>
              <w:rPr>
                <w:color w:val="050505"/>
                <w:w w:val="105"/>
                <w:sz w:val="21"/>
              </w:rPr>
              <w:t>Loans</w:t>
            </w:r>
            <w:r>
              <w:rPr>
                <w:color w:val="050505"/>
                <w:spacing w:val="-2"/>
                <w:w w:val="105"/>
                <w:sz w:val="21"/>
              </w:rPr>
              <w:t> </w:t>
            </w:r>
            <w:r>
              <w:rPr>
                <w:color w:val="050505"/>
                <w:w w:val="105"/>
                <w:sz w:val="21"/>
              </w:rPr>
              <w:t>to</w:t>
            </w:r>
            <w:r>
              <w:rPr>
                <w:color w:val="050505"/>
                <w:spacing w:val="-3"/>
                <w:w w:val="105"/>
                <w:sz w:val="21"/>
              </w:rPr>
              <w:t> </w:t>
            </w:r>
            <w:r>
              <w:rPr>
                <w:color w:val="050505"/>
                <w:w w:val="105"/>
                <w:sz w:val="21"/>
              </w:rPr>
              <w:t>subsidiary</w:t>
            </w:r>
            <w:r>
              <w:rPr>
                <w:color w:val="050505"/>
                <w:spacing w:val="12"/>
                <w:w w:val="105"/>
                <w:sz w:val="21"/>
              </w:rPr>
              <w:t> </w:t>
            </w:r>
            <w:r>
              <w:rPr>
                <w:color w:val="050505"/>
                <w:spacing w:val="-2"/>
                <w:w w:val="105"/>
                <w:sz w:val="21"/>
              </w:rPr>
              <w:t>undertakings</w:t>
            </w:r>
          </w:p>
        </w:tc>
        <w:tc>
          <w:tcPr>
            <w:tcW w:w="1635" w:type="dxa"/>
          </w:tcPr>
          <w:p>
            <w:pPr>
              <w:pStyle w:val="TableParagraph"/>
              <w:spacing w:line="232" w:lineRule="exact"/>
              <w:ind w:right="129"/>
              <w:jc w:val="right"/>
              <w:rPr>
                <w:rFonts w:ascii="Courier New"/>
                <w:sz w:val="25"/>
              </w:rPr>
            </w:pPr>
            <w:r>
              <w:rPr>
                <w:rFonts w:ascii="Courier New"/>
                <w:color w:val="050505"/>
                <w:spacing w:val="-5"/>
                <w:w w:val="95"/>
                <w:sz w:val="25"/>
              </w:rPr>
              <w:t>835</w:t>
            </w:r>
          </w:p>
        </w:tc>
      </w:tr>
      <w:tr>
        <w:trPr>
          <w:trHeight w:val="249" w:hRule="atLeast"/>
        </w:trPr>
        <w:tc>
          <w:tcPr>
            <w:tcW w:w="1673" w:type="dxa"/>
          </w:tcPr>
          <w:p>
            <w:pPr>
              <w:pStyle w:val="TableParagraph"/>
              <w:spacing w:line="230" w:lineRule="exact"/>
              <w:ind w:right="357"/>
              <w:jc w:val="right"/>
              <w:rPr>
                <w:rFonts w:ascii="Courier New"/>
                <w:sz w:val="25"/>
              </w:rPr>
            </w:pPr>
            <w:r>
              <w:rPr>
                <w:rFonts w:ascii="Courier New"/>
                <w:color w:val="050505"/>
                <w:spacing w:val="-2"/>
                <w:w w:val="85"/>
                <w:sz w:val="25"/>
              </w:rPr>
              <w:t>4,253</w:t>
            </w:r>
          </w:p>
        </w:tc>
        <w:tc>
          <w:tcPr>
            <w:tcW w:w="5832" w:type="dxa"/>
          </w:tcPr>
          <w:p>
            <w:pPr>
              <w:pStyle w:val="TableParagraph"/>
              <w:spacing w:line="230" w:lineRule="exact"/>
              <w:ind w:left="139"/>
              <w:rPr>
                <w:sz w:val="21"/>
              </w:rPr>
            </w:pPr>
            <w:r>
              <w:rPr>
                <w:color w:val="050505"/>
                <w:w w:val="105"/>
                <w:sz w:val="21"/>
              </w:rPr>
              <w:t>Other</w:t>
            </w:r>
            <w:r>
              <w:rPr>
                <w:color w:val="050505"/>
                <w:spacing w:val="7"/>
                <w:w w:val="105"/>
                <w:sz w:val="21"/>
              </w:rPr>
              <w:t> </w:t>
            </w:r>
            <w:r>
              <w:rPr>
                <w:color w:val="050505"/>
                <w:spacing w:val="-4"/>
                <w:w w:val="105"/>
                <w:sz w:val="21"/>
              </w:rPr>
              <w:t>loans</w:t>
            </w:r>
          </w:p>
        </w:tc>
        <w:tc>
          <w:tcPr>
            <w:tcW w:w="1635" w:type="dxa"/>
          </w:tcPr>
          <w:p>
            <w:pPr>
              <w:pStyle w:val="TableParagraph"/>
              <w:spacing w:line="230" w:lineRule="exact"/>
              <w:ind w:right="144"/>
              <w:jc w:val="right"/>
              <w:rPr>
                <w:rFonts w:ascii="Courier New"/>
                <w:sz w:val="25"/>
              </w:rPr>
            </w:pPr>
            <w:r>
              <w:rPr>
                <w:rFonts w:ascii="Courier New"/>
                <w:color w:val="050505"/>
                <w:spacing w:val="-2"/>
                <w:w w:val="85"/>
                <w:sz w:val="25"/>
              </w:rPr>
              <w:t>3,756</w:t>
            </w:r>
          </w:p>
        </w:tc>
      </w:tr>
      <w:tr>
        <w:trPr>
          <w:trHeight w:val="264" w:hRule="atLeast"/>
        </w:trPr>
        <w:tc>
          <w:tcPr>
            <w:tcW w:w="1673" w:type="dxa"/>
            <w:tcBorders>
              <w:bottom w:val="single" w:color="000000" w:sz="4" w:space="0"/>
            </w:tcBorders>
          </w:tcPr>
          <w:p>
            <w:pPr>
              <w:pStyle w:val="TableParagraph"/>
              <w:spacing w:line="203" w:lineRule="exact"/>
              <w:ind w:right="344"/>
              <w:jc w:val="right"/>
              <w:rPr>
                <w:rFonts w:ascii="Courier New"/>
                <w:sz w:val="25"/>
              </w:rPr>
            </w:pPr>
            <w:r>
              <w:rPr>
                <w:rFonts w:ascii="Courier New"/>
                <w:color w:val="050505"/>
                <w:spacing w:val="-5"/>
                <w:sz w:val="25"/>
              </w:rPr>
              <w:t>46</w:t>
            </w:r>
          </w:p>
        </w:tc>
        <w:tc>
          <w:tcPr>
            <w:tcW w:w="5832" w:type="dxa"/>
          </w:tcPr>
          <w:p>
            <w:pPr>
              <w:pStyle w:val="TableParagraph"/>
              <w:spacing w:line="238" w:lineRule="exact"/>
              <w:ind w:left="134"/>
              <w:rPr>
                <w:sz w:val="21"/>
              </w:rPr>
            </w:pPr>
            <w:r>
              <w:rPr>
                <w:color w:val="050505"/>
                <w:spacing w:val="-2"/>
                <w:w w:val="105"/>
                <w:sz w:val="21"/>
              </w:rPr>
              <w:t>Other</w:t>
            </w:r>
          </w:p>
        </w:tc>
        <w:tc>
          <w:tcPr>
            <w:tcW w:w="1635" w:type="dxa"/>
            <w:tcBorders>
              <w:bottom w:val="single" w:color="000000" w:sz="4" w:space="0"/>
            </w:tcBorders>
          </w:tcPr>
          <w:p>
            <w:pPr>
              <w:pStyle w:val="TableParagraph"/>
              <w:spacing w:line="203" w:lineRule="exact"/>
              <w:ind w:right="119"/>
              <w:jc w:val="right"/>
              <w:rPr>
                <w:rFonts w:ascii="Courier New"/>
                <w:sz w:val="25"/>
              </w:rPr>
            </w:pPr>
            <w:r>
              <w:rPr>
                <w:rFonts w:ascii="Courier New"/>
                <w:color w:val="050505"/>
                <w:spacing w:val="-5"/>
                <w:sz w:val="25"/>
              </w:rPr>
              <w:t>14</w:t>
            </w:r>
          </w:p>
        </w:tc>
      </w:tr>
      <w:tr>
        <w:trPr>
          <w:trHeight w:val="356" w:hRule="atLeast"/>
        </w:trPr>
        <w:tc>
          <w:tcPr>
            <w:tcW w:w="1673" w:type="dxa"/>
            <w:tcBorders>
              <w:top w:val="single" w:color="000000" w:sz="4" w:space="0"/>
              <w:bottom w:val="single" w:color="000000" w:sz="4" w:space="0"/>
            </w:tcBorders>
          </w:tcPr>
          <w:p>
            <w:pPr>
              <w:pStyle w:val="TableParagraph"/>
              <w:spacing w:before="19"/>
              <w:ind w:right="357"/>
              <w:jc w:val="right"/>
              <w:rPr>
                <w:b/>
                <w:sz w:val="21"/>
              </w:rPr>
            </w:pPr>
            <w:r>
              <w:rPr>
                <w:b/>
                <w:color w:val="050505"/>
                <w:spacing w:val="-4"/>
                <w:w w:val="105"/>
                <w:sz w:val="21"/>
              </w:rPr>
              <w:t>7,369</w:t>
            </w:r>
          </w:p>
        </w:tc>
        <w:tc>
          <w:tcPr>
            <w:tcW w:w="5832" w:type="dxa"/>
          </w:tcPr>
          <w:p>
            <w:pPr>
              <w:pStyle w:val="TableParagraph"/>
              <w:spacing w:line="224" w:lineRule="exact"/>
              <w:ind w:left="139"/>
              <w:rPr>
                <w:b/>
                <w:sz w:val="21"/>
              </w:rPr>
            </w:pPr>
            <w:r>
              <w:rPr>
                <w:b/>
                <w:color w:val="050505"/>
                <w:w w:val="105"/>
                <w:sz w:val="21"/>
              </w:rPr>
              <w:t>Total</w:t>
            </w:r>
            <w:r>
              <w:rPr>
                <w:b/>
                <w:color w:val="050505"/>
                <w:spacing w:val="-8"/>
                <w:w w:val="105"/>
                <w:sz w:val="21"/>
              </w:rPr>
              <w:t> </w:t>
            </w:r>
            <w:r>
              <w:rPr>
                <w:b/>
                <w:color w:val="050505"/>
                <w:w w:val="105"/>
                <w:sz w:val="21"/>
              </w:rPr>
              <w:t>amounts</w:t>
            </w:r>
            <w:r>
              <w:rPr>
                <w:b/>
                <w:color w:val="050505"/>
                <w:spacing w:val="12"/>
                <w:w w:val="105"/>
                <w:sz w:val="21"/>
              </w:rPr>
              <w:t> </w:t>
            </w:r>
            <w:r>
              <w:rPr>
                <w:b/>
                <w:color w:val="050505"/>
                <w:w w:val="105"/>
                <w:sz w:val="21"/>
              </w:rPr>
              <w:t>receivable after</w:t>
            </w:r>
            <w:r>
              <w:rPr>
                <w:b/>
                <w:color w:val="050505"/>
                <w:spacing w:val="-6"/>
                <w:w w:val="105"/>
                <w:sz w:val="21"/>
              </w:rPr>
              <w:t> </w:t>
            </w:r>
            <w:r>
              <w:rPr>
                <w:b/>
                <w:color w:val="050505"/>
                <w:w w:val="105"/>
                <w:sz w:val="21"/>
              </w:rPr>
              <w:t>one</w:t>
            </w:r>
            <w:r>
              <w:rPr>
                <w:b/>
                <w:color w:val="050505"/>
                <w:spacing w:val="-1"/>
                <w:w w:val="105"/>
                <w:sz w:val="21"/>
              </w:rPr>
              <w:t> </w:t>
            </w:r>
            <w:r>
              <w:rPr>
                <w:b/>
                <w:color w:val="050505"/>
                <w:spacing w:val="-4"/>
                <w:w w:val="105"/>
                <w:sz w:val="21"/>
              </w:rPr>
              <w:t>year</w:t>
            </w:r>
          </w:p>
        </w:tc>
        <w:tc>
          <w:tcPr>
            <w:tcW w:w="1635" w:type="dxa"/>
            <w:tcBorders>
              <w:top w:val="single" w:color="000000" w:sz="4" w:space="0"/>
              <w:bottom w:val="single" w:color="000000" w:sz="4" w:space="0"/>
            </w:tcBorders>
          </w:tcPr>
          <w:p>
            <w:pPr>
              <w:pStyle w:val="TableParagraph"/>
              <w:spacing w:before="19"/>
              <w:ind w:right="137"/>
              <w:jc w:val="right"/>
              <w:rPr>
                <w:b/>
                <w:sz w:val="21"/>
              </w:rPr>
            </w:pPr>
            <w:r>
              <w:rPr>
                <w:b/>
                <w:color w:val="050505"/>
                <w:spacing w:val="-4"/>
                <w:w w:val="105"/>
                <w:sz w:val="21"/>
              </w:rPr>
              <w:t>7,013</w:t>
            </w:r>
          </w:p>
        </w:tc>
      </w:tr>
    </w:tbl>
    <w:p>
      <w:pPr>
        <w:spacing w:after="0"/>
        <w:jc w:val="right"/>
        <w:rPr>
          <w:sz w:val="21"/>
        </w:rPr>
        <w:sectPr>
          <w:headerReference w:type="even" r:id="rId165"/>
          <w:footerReference w:type="even" r:id="rId166"/>
          <w:footerReference w:type="default" r:id="rId167"/>
          <w:pgSz w:w="11910" w:h="16830"/>
          <w:pgMar w:top="820" w:right="300" w:bottom="1180" w:left="0" w:header="0" w:footer="991"/>
          <w:pgNumType w:start="78"/>
        </w:sectPr>
      </w:pPr>
    </w:p>
    <w:p>
      <w:pPr>
        <w:pStyle w:val="BodyText"/>
        <w:spacing w:before="10"/>
        <w:rPr>
          <w:b/>
          <w:sz w:val="21"/>
        </w:rPr>
      </w:pPr>
    </w:p>
    <w:p>
      <w:pPr>
        <w:pStyle w:val="ListParagraph"/>
        <w:numPr>
          <w:ilvl w:val="1"/>
          <w:numId w:val="19"/>
        </w:numPr>
        <w:tabs>
          <w:tab w:val="left" w:leader="none" w:pos="2009"/>
        </w:tabs>
        <w:spacing w:before="0" w:after="0" w:line="240" w:lineRule="auto"/>
        <w:ind w:left="2009" w:right="0" w:hanging="721"/>
        <w:jc w:val="left"/>
        <w:rPr>
          <w:b/>
          <w:color w:val="0C0C0C"/>
          <w:sz w:val="21"/>
        </w:rPr>
      </w:pPr>
      <w:r>
        <w:rPr>
          <w:b/>
          <w:color w:val="0C0C0C"/>
          <w:spacing w:val="-2"/>
          <w:w w:val="105"/>
          <w:sz w:val="21"/>
        </w:rPr>
        <w:t>Investments</w:t>
      </w:r>
    </w:p>
    <w:p>
      <w:pPr>
        <w:pStyle w:val="BodyText"/>
        <w:spacing w:before="2"/>
        <w:rPr>
          <w:b/>
          <w:sz w:val="21"/>
        </w:rPr>
      </w:pPr>
    </w:p>
    <w:p>
      <w:pPr>
        <w:spacing w:before="0" w:after="49"/>
        <w:ind w:left="1288" w:right="0" w:firstLine="0"/>
        <w:jc w:val="left"/>
        <w:rPr>
          <w:sz w:val="21"/>
        </w:rPr>
      </w:pPr>
      <w:r>
        <w:rPr>
          <w:color w:val="0C0C0C"/>
          <w:w w:val="105"/>
          <w:sz w:val="21"/>
        </w:rPr>
        <w:t>Investments</w:t>
      </w:r>
      <w:r>
        <w:rPr>
          <w:color w:val="0C0C0C"/>
          <w:spacing w:val="9"/>
          <w:w w:val="105"/>
          <w:sz w:val="21"/>
        </w:rPr>
        <w:t> </w:t>
      </w:r>
      <w:r>
        <w:rPr>
          <w:color w:val="0C0C0C"/>
          <w:w w:val="105"/>
          <w:sz w:val="21"/>
        </w:rPr>
        <w:t>were</w:t>
      </w:r>
      <w:r>
        <w:rPr>
          <w:color w:val="0C0C0C"/>
          <w:spacing w:val="-8"/>
          <w:w w:val="105"/>
          <w:sz w:val="21"/>
        </w:rPr>
        <w:t> </w:t>
      </w:r>
      <w:r>
        <w:rPr>
          <w:color w:val="0C0C0C"/>
          <w:w w:val="105"/>
          <w:sz w:val="21"/>
        </w:rPr>
        <w:t>held</w:t>
      </w:r>
      <w:r>
        <w:rPr>
          <w:color w:val="0C0C0C"/>
          <w:spacing w:val="-10"/>
          <w:w w:val="105"/>
          <w:sz w:val="21"/>
        </w:rPr>
        <w:t> </w:t>
      </w:r>
      <w:r>
        <w:rPr>
          <w:color w:val="0C0C0C"/>
          <w:w w:val="105"/>
          <w:sz w:val="21"/>
        </w:rPr>
        <w:t>as</w:t>
      </w:r>
      <w:r>
        <w:rPr>
          <w:color w:val="0C0C0C"/>
          <w:spacing w:val="-8"/>
          <w:w w:val="105"/>
          <w:sz w:val="21"/>
        </w:rPr>
        <w:t> </w:t>
      </w:r>
      <w:r>
        <w:rPr>
          <w:color w:val="0C0C0C"/>
          <w:spacing w:val="-2"/>
          <w:w w:val="105"/>
          <w:sz w:val="21"/>
        </w:rPr>
        <w:t>follows:</w:t>
      </w:r>
    </w:p>
    <w:tbl>
      <w:tblPr>
        <w:tblW w:w="0" w:type="auto"/>
        <w:jc w:val="left"/>
        <w:tblInd w:w="13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438"/>
        <w:gridCol w:w="6505"/>
        <w:gridCol w:w="1454"/>
      </w:tblGrid>
      <w:tr>
        <w:trPr>
          <w:trHeight w:val="540" w:hRule="atLeast"/>
        </w:trPr>
        <w:tc>
          <w:tcPr>
            <w:tcW w:w="1438" w:type="dxa"/>
          </w:tcPr>
          <w:p>
            <w:pPr>
              <w:pStyle w:val="TableParagraph"/>
              <w:spacing w:before="3"/>
              <w:ind w:right="27"/>
              <w:jc w:val="center"/>
              <w:rPr>
                <w:b/>
                <w:sz w:val="21"/>
              </w:rPr>
            </w:pPr>
            <w:r>
              <w:rPr>
                <w:b/>
                <w:color w:val="0C0C0C"/>
                <w:w w:val="105"/>
                <w:sz w:val="21"/>
              </w:rPr>
              <w:t>31</w:t>
            </w:r>
            <w:r>
              <w:rPr>
                <w:b/>
                <w:color w:val="0C0C0C"/>
                <w:spacing w:val="-8"/>
                <w:w w:val="105"/>
                <w:sz w:val="21"/>
              </w:rPr>
              <w:t> </w:t>
            </w:r>
            <w:r>
              <w:rPr>
                <w:b/>
                <w:color w:val="0C0C0C"/>
                <w:spacing w:val="-2"/>
                <w:w w:val="105"/>
                <w:sz w:val="21"/>
              </w:rPr>
              <w:t>March</w:t>
            </w:r>
          </w:p>
          <w:p>
            <w:pPr>
              <w:pStyle w:val="TableParagraph"/>
              <w:spacing w:before="13"/>
              <w:ind w:left="5" w:right="27"/>
              <w:jc w:val="center"/>
              <w:rPr>
                <w:b/>
                <w:sz w:val="21"/>
              </w:rPr>
            </w:pPr>
            <w:r>
              <w:rPr>
                <w:b/>
                <w:color w:val="0C0C0C"/>
                <w:spacing w:val="-4"/>
                <w:w w:val="105"/>
                <w:sz w:val="21"/>
              </w:rPr>
              <w:t>2022</w:t>
            </w:r>
          </w:p>
        </w:tc>
        <w:tc>
          <w:tcPr>
            <w:tcW w:w="6505" w:type="dxa"/>
          </w:tcPr>
          <w:p>
            <w:pPr>
              <w:pStyle w:val="TableParagraph"/>
              <w:rPr>
                <w:rFonts w:ascii="Times New Roman"/>
                <w:sz w:val="20"/>
              </w:rPr>
            </w:pPr>
          </w:p>
        </w:tc>
        <w:tc>
          <w:tcPr>
            <w:tcW w:w="1454" w:type="dxa"/>
          </w:tcPr>
          <w:p>
            <w:pPr>
              <w:pStyle w:val="TableParagraph"/>
              <w:spacing w:line="235" w:lineRule="exact"/>
              <w:ind w:right="34"/>
              <w:jc w:val="center"/>
              <w:rPr>
                <w:b/>
                <w:sz w:val="21"/>
              </w:rPr>
            </w:pPr>
            <w:r>
              <w:rPr>
                <w:b/>
                <w:color w:val="0C0C0C"/>
                <w:w w:val="105"/>
                <w:sz w:val="21"/>
              </w:rPr>
              <w:t>31</w:t>
            </w:r>
            <w:r>
              <w:rPr>
                <w:b/>
                <w:color w:val="0C0C0C"/>
                <w:spacing w:val="2"/>
                <w:w w:val="105"/>
                <w:sz w:val="21"/>
              </w:rPr>
              <w:t> </w:t>
            </w:r>
            <w:r>
              <w:rPr>
                <w:b/>
                <w:color w:val="0C0C0C"/>
                <w:spacing w:val="-2"/>
                <w:w w:val="105"/>
                <w:sz w:val="21"/>
              </w:rPr>
              <w:t>March</w:t>
            </w:r>
          </w:p>
          <w:p>
            <w:pPr>
              <w:pStyle w:val="TableParagraph"/>
              <w:spacing w:before="13"/>
              <w:ind w:left="9" w:right="34"/>
              <w:jc w:val="center"/>
              <w:rPr>
                <w:b/>
                <w:sz w:val="21"/>
              </w:rPr>
            </w:pPr>
            <w:r>
              <w:rPr>
                <w:b/>
                <w:color w:val="0C0C0C"/>
                <w:spacing w:val="-4"/>
                <w:w w:val="105"/>
                <w:sz w:val="21"/>
              </w:rPr>
              <w:t>2023</w:t>
            </w:r>
          </w:p>
        </w:tc>
      </w:tr>
      <w:tr>
        <w:trPr>
          <w:trHeight w:val="468" w:hRule="atLeast"/>
        </w:trPr>
        <w:tc>
          <w:tcPr>
            <w:tcW w:w="1438" w:type="dxa"/>
          </w:tcPr>
          <w:p>
            <w:pPr>
              <w:pStyle w:val="TableParagraph"/>
              <w:spacing w:before="39"/>
              <w:ind w:left="460"/>
              <w:rPr>
                <w:b/>
                <w:sz w:val="21"/>
              </w:rPr>
            </w:pPr>
            <w:r>
              <w:rPr>
                <w:b/>
                <w:color w:val="0C0C0C"/>
                <w:spacing w:val="-4"/>
                <w:w w:val="105"/>
                <w:sz w:val="21"/>
              </w:rPr>
              <w:t>£000</w:t>
            </w:r>
          </w:p>
        </w:tc>
        <w:tc>
          <w:tcPr>
            <w:tcW w:w="6505" w:type="dxa"/>
          </w:tcPr>
          <w:p>
            <w:pPr>
              <w:pStyle w:val="TableParagraph"/>
              <w:rPr>
                <w:rFonts w:ascii="Times New Roman"/>
                <w:sz w:val="20"/>
              </w:rPr>
            </w:pPr>
          </w:p>
        </w:tc>
        <w:tc>
          <w:tcPr>
            <w:tcW w:w="1454" w:type="dxa"/>
          </w:tcPr>
          <w:p>
            <w:pPr>
              <w:pStyle w:val="TableParagraph"/>
              <w:spacing w:before="34"/>
              <w:ind w:left="464"/>
              <w:rPr>
                <w:b/>
                <w:sz w:val="21"/>
              </w:rPr>
            </w:pPr>
            <w:r>
              <w:rPr>
                <w:b/>
                <w:color w:val="0C0C0C"/>
                <w:spacing w:val="-4"/>
                <w:w w:val="105"/>
                <w:sz w:val="21"/>
              </w:rPr>
              <w:t>£000</w:t>
            </w:r>
          </w:p>
        </w:tc>
      </w:tr>
      <w:tr>
        <w:trPr>
          <w:trHeight w:val="466" w:hRule="atLeast"/>
        </w:trPr>
        <w:tc>
          <w:tcPr>
            <w:tcW w:w="1438" w:type="dxa"/>
          </w:tcPr>
          <w:p>
            <w:pPr>
              <w:pStyle w:val="TableParagraph"/>
              <w:rPr>
                <w:rFonts w:ascii="Times New Roman"/>
                <w:sz w:val="20"/>
              </w:rPr>
            </w:pPr>
          </w:p>
        </w:tc>
        <w:tc>
          <w:tcPr>
            <w:tcW w:w="6505" w:type="dxa"/>
          </w:tcPr>
          <w:p>
            <w:pPr>
              <w:pStyle w:val="TableParagraph"/>
              <w:spacing w:before="181"/>
              <w:ind w:left="545"/>
              <w:rPr>
                <w:b/>
                <w:sz w:val="21"/>
              </w:rPr>
            </w:pPr>
            <w:r>
              <w:rPr>
                <w:b/>
                <w:color w:val="0C0C0C"/>
                <w:w w:val="105"/>
                <w:sz w:val="21"/>
              </w:rPr>
              <w:t>Long</w:t>
            </w:r>
            <w:r>
              <w:rPr>
                <w:b/>
                <w:color w:val="0C0C0C"/>
                <w:spacing w:val="-2"/>
                <w:w w:val="105"/>
                <w:sz w:val="21"/>
              </w:rPr>
              <w:t> </w:t>
            </w:r>
            <w:r>
              <w:rPr>
                <w:b/>
                <w:color w:val="0C0C0C"/>
                <w:w w:val="105"/>
                <w:sz w:val="21"/>
              </w:rPr>
              <w:t>Term</w:t>
            </w:r>
            <w:r>
              <w:rPr>
                <w:b/>
                <w:color w:val="0C0C0C"/>
                <w:spacing w:val="-9"/>
                <w:w w:val="105"/>
                <w:sz w:val="21"/>
              </w:rPr>
              <w:t> </w:t>
            </w:r>
            <w:r>
              <w:rPr>
                <w:b/>
                <w:color w:val="0C0C0C"/>
                <w:spacing w:val="-2"/>
                <w:w w:val="105"/>
                <w:sz w:val="21"/>
              </w:rPr>
              <w:t>Investments:</w:t>
            </w:r>
          </w:p>
        </w:tc>
        <w:tc>
          <w:tcPr>
            <w:tcW w:w="1454" w:type="dxa"/>
          </w:tcPr>
          <w:p>
            <w:pPr>
              <w:pStyle w:val="TableParagraph"/>
              <w:rPr>
                <w:rFonts w:ascii="Times New Roman"/>
                <w:sz w:val="20"/>
              </w:rPr>
            </w:pPr>
          </w:p>
        </w:tc>
      </w:tr>
      <w:tr>
        <w:trPr>
          <w:trHeight w:val="343" w:hRule="atLeast"/>
        </w:trPr>
        <w:tc>
          <w:tcPr>
            <w:tcW w:w="1438" w:type="dxa"/>
          </w:tcPr>
          <w:p>
            <w:pPr>
              <w:pStyle w:val="TableParagraph"/>
              <w:rPr>
                <w:rFonts w:ascii="Times New Roman"/>
                <w:sz w:val="20"/>
              </w:rPr>
            </w:pPr>
          </w:p>
        </w:tc>
        <w:tc>
          <w:tcPr>
            <w:tcW w:w="6505" w:type="dxa"/>
          </w:tcPr>
          <w:p>
            <w:pPr>
              <w:pStyle w:val="TableParagraph"/>
              <w:spacing w:before="75"/>
              <w:ind w:left="547"/>
              <w:rPr>
                <w:sz w:val="21"/>
              </w:rPr>
            </w:pPr>
            <w:r>
              <w:rPr>
                <w:color w:val="0C0C0C"/>
                <w:w w:val="105"/>
                <w:sz w:val="21"/>
              </w:rPr>
              <w:t>Investments</w:t>
            </w:r>
            <w:r>
              <w:rPr>
                <w:color w:val="0C0C0C"/>
                <w:spacing w:val="1"/>
                <w:w w:val="105"/>
                <w:sz w:val="21"/>
              </w:rPr>
              <w:t> </w:t>
            </w:r>
            <w:r>
              <w:rPr>
                <w:color w:val="0C0C0C"/>
                <w:w w:val="105"/>
                <w:sz w:val="21"/>
              </w:rPr>
              <w:t>in</w:t>
            </w:r>
            <w:r>
              <w:rPr>
                <w:color w:val="0C0C0C"/>
                <w:spacing w:val="-9"/>
                <w:w w:val="105"/>
                <w:sz w:val="21"/>
              </w:rPr>
              <w:t> </w:t>
            </w:r>
            <w:r>
              <w:rPr>
                <w:color w:val="0C0C0C"/>
                <w:spacing w:val="-2"/>
                <w:w w:val="105"/>
                <w:sz w:val="21"/>
              </w:rPr>
              <w:t>subsidiaries</w:t>
            </w:r>
          </w:p>
        </w:tc>
        <w:tc>
          <w:tcPr>
            <w:tcW w:w="1454" w:type="dxa"/>
          </w:tcPr>
          <w:p>
            <w:pPr>
              <w:pStyle w:val="TableParagraph"/>
              <w:spacing w:before="37"/>
              <w:ind w:right="130"/>
              <w:jc w:val="right"/>
              <w:rPr>
                <w:sz w:val="21"/>
              </w:rPr>
            </w:pPr>
            <w:r>
              <w:rPr>
                <w:color w:val="0C0C0C"/>
                <w:spacing w:val="-5"/>
                <w:w w:val="105"/>
                <w:sz w:val="21"/>
              </w:rPr>
              <w:t>491</w:t>
            </w:r>
          </w:p>
        </w:tc>
      </w:tr>
      <w:tr>
        <w:trPr>
          <w:trHeight w:val="286" w:hRule="atLeast"/>
        </w:trPr>
        <w:tc>
          <w:tcPr>
            <w:tcW w:w="1438" w:type="dxa"/>
            <w:tcBorders>
              <w:bottom w:val="single" w:color="000000" w:sz="6" w:space="0"/>
            </w:tcBorders>
          </w:tcPr>
          <w:p>
            <w:pPr>
              <w:pStyle w:val="TableParagraph"/>
              <w:spacing w:before="25"/>
              <w:ind w:right="128"/>
              <w:jc w:val="right"/>
              <w:rPr>
                <w:sz w:val="21"/>
              </w:rPr>
            </w:pPr>
            <w:r>
              <w:rPr>
                <w:color w:val="0C0C0C"/>
                <w:spacing w:val="-4"/>
                <w:w w:val="105"/>
                <w:sz w:val="21"/>
              </w:rPr>
              <w:t>5,000</w:t>
            </w:r>
          </w:p>
        </w:tc>
        <w:tc>
          <w:tcPr>
            <w:tcW w:w="6505" w:type="dxa"/>
          </w:tcPr>
          <w:p>
            <w:pPr>
              <w:pStyle w:val="TableParagraph"/>
              <w:spacing w:before="25"/>
              <w:ind w:left="546"/>
              <w:rPr>
                <w:sz w:val="21"/>
              </w:rPr>
            </w:pPr>
            <w:r>
              <w:rPr>
                <w:color w:val="0C0C0C"/>
                <w:w w:val="105"/>
                <w:sz w:val="21"/>
              </w:rPr>
              <w:t>Local</w:t>
            </w:r>
            <w:r>
              <w:rPr>
                <w:color w:val="0C0C0C"/>
                <w:spacing w:val="-6"/>
                <w:w w:val="105"/>
                <w:sz w:val="21"/>
              </w:rPr>
              <w:t> </w:t>
            </w:r>
            <w:r>
              <w:rPr>
                <w:color w:val="0C0C0C"/>
                <w:spacing w:val="-2"/>
                <w:w w:val="105"/>
                <w:sz w:val="21"/>
              </w:rPr>
              <w:t>Authorities</w:t>
            </w:r>
          </w:p>
        </w:tc>
        <w:tc>
          <w:tcPr>
            <w:tcW w:w="1454" w:type="dxa"/>
            <w:tcBorders>
              <w:bottom w:val="single" w:color="000000" w:sz="6" w:space="0"/>
            </w:tcBorders>
          </w:tcPr>
          <w:p>
            <w:pPr>
              <w:pStyle w:val="TableParagraph"/>
              <w:spacing w:before="20"/>
              <w:ind w:right="130"/>
              <w:jc w:val="right"/>
              <w:rPr>
                <w:sz w:val="21"/>
              </w:rPr>
            </w:pPr>
            <w:r>
              <w:rPr>
                <w:color w:val="0C0C0C"/>
                <w:spacing w:val="-4"/>
                <w:w w:val="105"/>
                <w:sz w:val="21"/>
              </w:rPr>
              <w:t>5,000</w:t>
            </w:r>
          </w:p>
        </w:tc>
      </w:tr>
      <w:tr>
        <w:trPr>
          <w:trHeight w:val="321" w:hRule="atLeast"/>
        </w:trPr>
        <w:tc>
          <w:tcPr>
            <w:tcW w:w="1438" w:type="dxa"/>
            <w:tcBorders>
              <w:top w:val="single" w:color="000000" w:sz="6" w:space="0"/>
              <w:bottom w:val="single" w:color="000000" w:sz="6" w:space="0"/>
            </w:tcBorders>
          </w:tcPr>
          <w:p>
            <w:pPr>
              <w:pStyle w:val="TableParagraph"/>
              <w:spacing w:before="45"/>
              <w:ind w:right="129"/>
              <w:jc w:val="right"/>
              <w:rPr>
                <w:b/>
                <w:sz w:val="21"/>
              </w:rPr>
            </w:pPr>
            <w:r>
              <w:rPr>
                <w:b/>
                <w:color w:val="0C0C0C"/>
                <w:spacing w:val="-4"/>
                <w:w w:val="105"/>
                <w:sz w:val="21"/>
              </w:rPr>
              <w:t>5,000</w:t>
            </w:r>
          </w:p>
        </w:tc>
        <w:tc>
          <w:tcPr>
            <w:tcW w:w="6505" w:type="dxa"/>
          </w:tcPr>
          <w:p>
            <w:pPr>
              <w:pStyle w:val="TableParagraph"/>
              <w:spacing w:before="55"/>
              <w:ind w:left="547"/>
              <w:rPr>
                <w:b/>
                <w:sz w:val="21"/>
              </w:rPr>
            </w:pPr>
            <w:r>
              <w:rPr>
                <w:b/>
                <w:color w:val="0C0C0C"/>
                <w:w w:val="105"/>
                <w:sz w:val="21"/>
              </w:rPr>
              <w:t>Total</w:t>
            </w:r>
            <w:r>
              <w:rPr>
                <w:b/>
                <w:color w:val="0C0C0C"/>
                <w:spacing w:val="-6"/>
                <w:w w:val="105"/>
                <w:sz w:val="21"/>
              </w:rPr>
              <w:t> </w:t>
            </w:r>
            <w:r>
              <w:rPr>
                <w:b/>
                <w:color w:val="0C0C0C"/>
                <w:w w:val="105"/>
                <w:sz w:val="21"/>
              </w:rPr>
              <w:t>Long</w:t>
            </w:r>
            <w:r>
              <w:rPr>
                <w:b/>
                <w:color w:val="0C0C0C"/>
                <w:spacing w:val="-5"/>
                <w:w w:val="105"/>
                <w:sz w:val="21"/>
              </w:rPr>
              <w:t> </w:t>
            </w:r>
            <w:r>
              <w:rPr>
                <w:b/>
                <w:color w:val="0C0C0C"/>
                <w:w w:val="105"/>
                <w:sz w:val="21"/>
              </w:rPr>
              <w:t>Term</w:t>
            </w:r>
            <w:r>
              <w:rPr>
                <w:b/>
                <w:color w:val="0C0C0C"/>
                <w:spacing w:val="-8"/>
                <w:w w:val="105"/>
                <w:sz w:val="21"/>
              </w:rPr>
              <w:t> </w:t>
            </w:r>
            <w:r>
              <w:rPr>
                <w:b/>
                <w:color w:val="0C0C0C"/>
                <w:spacing w:val="-2"/>
                <w:w w:val="105"/>
                <w:sz w:val="21"/>
              </w:rPr>
              <w:t>Investments</w:t>
            </w:r>
          </w:p>
        </w:tc>
        <w:tc>
          <w:tcPr>
            <w:tcW w:w="1454" w:type="dxa"/>
            <w:tcBorders>
              <w:top w:val="single" w:color="000000" w:sz="6" w:space="0"/>
              <w:bottom w:val="single" w:color="000000" w:sz="6" w:space="0"/>
            </w:tcBorders>
          </w:tcPr>
          <w:p>
            <w:pPr>
              <w:pStyle w:val="TableParagraph"/>
              <w:spacing w:before="45"/>
              <w:ind w:right="126"/>
              <w:jc w:val="right"/>
              <w:rPr>
                <w:b/>
                <w:sz w:val="21"/>
              </w:rPr>
            </w:pPr>
            <w:r>
              <w:rPr>
                <w:b/>
                <w:color w:val="0C0C0C"/>
                <w:spacing w:val="-4"/>
                <w:w w:val="105"/>
                <w:sz w:val="21"/>
              </w:rPr>
              <w:t>5,491</w:t>
            </w:r>
          </w:p>
        </w:tc>
      </w:tr>
      <w:tr>
        <w:trPr>
          <w:trHeight w:val="664" w:hRule="atLeast"/>
        </w:trPr>
        <w:tc>
          <w:tcPr>
            <w:tcW w:w="1438" w:type="dxa"/>
            <w:tcBorders>
              <w:top w:val="single" w:color="000000" w:sz="6" w:space="0"/>
            </w:tcBorders>
          </w:tcPr>
          <w:p>
            <w:pPr>
              <w:pStyle w:val="TableParagraph"/>
              <w:rPr>
                <w:rFonts w:ascii="Times New Roman"/>
                <w:sz w:val="20"/>
              </w:rPr>
            </w:pPr>
          </w:p>
        </w:tc>
        <w:tc>
          <w:tcPr>
            <w:tcW w:w="6505" w:type="dxa"/>
          </w:tcPr>
          <w:p>
            <w:pPr>
              <w:pStyle w:val="TableParagraph"/>
              <w:spacing w:before="135"/>
              <w:rPr>
                <w:sz w:val="21"/>
              </w:rPr>
            </w:pPr>
          </w:p>
          <w:p>
            <w:pPr>
              <w:pStyle w:val="TableParagraph"/>
              <w:ind w:left="549"/>
              <w:rPr>
                <w:b/>
                <w:sz w:val="21"/>
              </w:rPr>
            </w:pPr>
            <w:r>
              <w:rPr>
                <w:b/>
                <w:color w:val="0C0C0C"/>
                <w:w w:val="105"/>
                <w:sz w:val="21"/>
              </w:rPr>
              <w:t>Short</w:t>
            </w:r>
            <w:r>
              <w:rPr>
                <w:b/>
                <w:color w:val="0C0C0C"/>
                <w:spacing w:val="-8"/>
                <w:w w:val="105"/>
                <w:sz w:val="21"/>
              </w:rPr>
              <w:t> </w:t>
            </w:r>
            <w:r>
              <w:rPr>
                <w:b/>
                <w:color w:val="0C0C0C"/>
                <w:w w:val="105"/>
                <w:sz w:val="21"/>
              </w:rPr>
              <w:t>Term</w:t>
            </w:r>
            <w:r>
              <w:rPr>
                <w:b/>
                <w:color w:val="0C0C0C"/>
                <w:spacing w:val="-7"/>
                <w:w w:val="105"/>
                <w:sz w:val="21"/>
              </w:rPr>
              <w:t> </w:t>
            </w:r>
            <w:r>
              <w:rPr>
                <w:b/>
                <w:color w:val="0C0C0C"/>
                <w:spacing w:val="-2"/>
                <w:w w:val="105"/>
                <w:sz w:val="21"/>
              </w:rPr>
              <w:t>Investments:</w:t>
            </w:r>
          </w:p>
        </w:tc>
        <w:tc>
          <w:tcPr>
            <w:tcW w:w="1454" w:type="dxa"/>
            <w:tcBorders>
              <w:top w:val="single" w:color="000000" w:sz="6" w:space="0"/>
            </w:tcBorders>
          </w:tcPr>
          <w:p>
            <w:pPr>
              <w:pStyle w:val="TableParagraph"/>
              <w:rPr>
                <w:rFonts w:ascii="Times New Roman"/>
                <w:sz w:val="20"/>
              </w:rPr>
            </w:pPr>
          </w:p>
        </w:tc>
      </w:tr>
      <w:tr>
        <w:trPr>
          <w:trHeight w:val="343" w:hRule="atLeast"/>
        </w:trPr>
        <w:tc>
          <w:tcPr>
            <w:tcW w:w="1438" w:type="dxa"/>
          </w:tcPr>
          <w:p>
            <w:pPr>
              <w:pStyle w:val="TableParagraph"/>
              <w:spacing w:before="44"/>
              <w:ind w:right="126"/>
              <w:jc w:val="right"/>
              <w:rPr>
                <w:sz w:val="21"/>
              </w:rPr>
            </w:pPr>
            <w:r>
              <w:rPr>
                <w:color w:val="0C0C0C"/>
                <w:spacing w:val="-2"/>
                <w:w w:val="105"/>
                <w:sz w:val="21"/>
              </w:rPr>
              <w:t>10,008</w:t>
            </w:r>
          </w:p>
        </w:tc>
        <w:tc>
          <w:tcPr>
            <w:tcW w:w="6505" w:type="dxa"/>
          </w:tcPr>
          <w:p>
            <w:pPr>
              <w:pStyle w:val="TableParagraph"/>
              <w:spacing w:before="77"/>
              <w:ind w:left="546"/>
              <w:rPr>
                <w:sz w:val="21"/>
              </w:rPr>
            </w:pPr>
            <w:r>
              <w:rPr>
                <w:color w:val="0C0C0C"/>
                <w:spacing w:val="-4"/>
                <w:w w:val="105"/>
                <w:sz w:val="21"/>
              </w:rPr>
              <w:t>Banks</w:t>
            </w:r>
          </w:p>
        </w:tc>
        <w:tc>
          <w:tcPr>
            <w:tcW w:w="1454" w:type="dxa"/>
          </w:tcPr>
          <w:p>
            <w:pPr>
              <w:pStyle w:val="TableParagraph"/>
              <w:spacing w:before="39"/>
              <w:ind w:right="119"/>
              <w:jc w:val="right"/>
              <w:rPr>
                <w:sz w:val="21"/>
              </w:rPr>
            </w:pPr>
            <w:r>
              <w:rPr>
                <w:color w:val="0C0C0C"/>
                <w:spacing w:val="-4"/>
                <w:w w:val="105"/>
                <w:sz w:val="21"/>
              </w:rPr>
              <w:t>6,056</w:t>
            </w:r>
          </w:p>
        </w:tc>
      </w:tr>
      <w:tr>
        <w:trPr>
          <w:trHeight w:val="290" w:hRule="atLeast"/>
        </w:trPr>
        <w:tc>
          <w:tcPr>
            <w:tcW w:w="1438" w:type="dxa"/>
            <w:tcBorders>
              <w:bottom w:val="single" w:color="000000" w:sz="6" w:space="0"/>
            </w:tcBorders>
          </w:tcPr>
          <w:p>
            <w:pPr>
              <w:pStyle w:val="TableParagraph"/>
              <w:spacing w:before="22"/>
              <w:ind w:right="122"/>
              <w:jc w:val="right"/>
              <w:rPr>
                <w:sz w:val="21"/>
              </w:rPr>
            </w:pPr>
            <w:r>
              <w:rPr>
                <w:color w:val="0C0C0C"/>
                <w:spacing w:val="-2"/>
                <w:w w:val="105"/>
                <w:sz w:val="21"/>
              </w:rPr>
              <w:t>30,084</w:t>
            </w:r>
          </w:p>
        </w:tc>
        <w:tc>
          <w:tcPr>
            <w:tcW w:w="6505" w:type="dxa"/>
          </w:tcPr>
          <w:p>
            <w:pPr>
              <w:pStyle w:val="TableParagraph"/>
              <w:spacing w:before="56" w:line="214" w:lineRule="exact"/>
              <w:ind w:left="546"/>
              <w:rPr>
                <w:sz w:val="21"/>
              </w:rPr>
            </w:pPr>
            <w:r>
              <w:rPr>
                <w:color w:val="0C0C0C"/>
                <w:w w:val="105"/>
                <w:sz w:val="21"/>
              </w:rPr>
              <w:t>Local</w:t>
            </w:r>
            <w:r>
              <w:rPr>
                <w:color w:val="0C0C0C"/>
                <w:spacing w:val="-1"/>
                <w:w w:val="105"/>
                <w:sz w:val="21"/>
              </w:rPr>
              <w:t> </w:t>
            </w:r>
            <w:r>
              <w:rPr>
                <w:color w:val="0C0C0C"/>
                <w:spacing w:val="-2"/>
                <w:w w:val="105"/>
                <w:sz w:val="21"/>
              </w:rPr>
              <w:t>Authorities</w:t>
            </w:r>
          </w:p>
        </w:tc>
        <w:tc>
          <w:tcPr>
            <w:tcW w:w="1454" w:type="dxa"/>
            <w:tcBorders>
              <w:bottom w:val="single" w:color="000000" w:sz="6" w:space="0"/>
            </w:tcBorders>
          </w:tcPr>
          <w:p>
            <w:pPr>
              <w:pStyle w:val="TableParagraph"/>
              <w:spacing w:before="17"/>
              <w:ind w:right="121"/>
              <w:jc w:val="right"/>
              <w:rPr>
                <w:sz w:val="21"/>
              </w:rPr>
            </w:pPr>
            <w:r>
              <w:rPr>
                <w:color w:val="0C0C0C"/>
                <w:spacing w:val="-2"/>
                <w:w w:val="105"/>
                <w:sz w:val="21"/>
              </w:rPr>
              <w:t>25,315</w:t>
            </w:r>
          </w:p>
        </w:tc>
      </w:tr>
      <w:tr>
        <w:trPr>
          <w:trHeight w:val="315" w:hRule="atLeast"/>
        </w:trPr>
        <w:tc>
          <w:tcPr>
            <w:tcW w:w="1438" w:type="dxa"/>
            <w:tcBorders>
              <w:top w:val="single" w:color="000000" w:sz="6" w:space="0"/>
              <w:bottom w:val="single" w:color="000000" w:sz="6" w:space="0"/>
            </w:tcBorders>
          </w:tcPr>
          <w:p>
            <w:pPr>
              <w:pStyle w:val="TableParagraph"/>
              <w:spacing w:before="45"/>
              <w:ind w:right="126"/>
              <w:jc w:val="right"/>
              <w:rPr>
                <w:b/>
                <w:sz w:val="21"/>
              </w:rPr>
            </w:pPr>
            <w:r>
              <w:rPr>
                <w:b/>
                <w:color w:val="0C0C0C"/>
                <w:spacing w:val="-2"/>
                <w:w w:val="105"/>
                <w:sz w:val="21"/>
              </w:rPr>
              <w:t>40,092</w:t>
            </w:r>
          </w:p>
        </w:tc>
        <w:tc>
          <w:tcPr>
            <w:tcW w:w="6505" w:type="dxa"/>
          </w:tcPr>
          <w:p>
            <w:pPr>
              <w:pStyle w:val="TableParagraph"/>
              <w:spacing w:before="49"/>
              <w:ind w:left="547"/>
              <w:rPr>
                <w:b/>
                <w:sz w:val="21"/>
              </w:rPr>
            </w:pPr>
            <w:r>
              <w:rPr>
                <w:b/>
                <w:color w:val="0C0C0C"/>
                <w:w w:val="105"/>
                <w:sz w:val="21"/>
              </w:rPr>
              <w:t>Total</w:t>
            </w:r>
            <w:r>
              <w:rPr>
                <w:b/>
                <w:color w:val="0C0C0C"/>
                <w:spacing w:val="-3"/>
                <w:w w:val="105"/>
                <w:sz w:val="21"/>
              </w:rPr>
              <w:t> </w:t>
            </w:r>
            <w:r>
              <w:rPr>
                <w:b/>
                <w:color w:val="0C0C0C"/>
                <w:w w:val="105"/>
                <w:sz w:val="21"/>
              </w:rPr>
              <w:t>Short</w:t>
            </w:r>
            <w:r>
              <w:rPr>
                <w:b/>
                <w:color w:val="0C0C0C"/>
                <w:spacing w:val="-2"/>
                <w:w w:val="105"/>
                <w:sz w:val="21"/>
              </w:rPr>
              <w:t> </w:t>
            </w:r>
            <w:r>
              <w:rPr>
                <w:b/>
                <w:color w:val="0C0C0C"/>
                <w:w w:val="105"/>
                <w:sz w:val="21"/>
              </w:rPr>
              <w:t>Term</w:t>
            </w:r>
            <w:r>
              <w:rPr>
                <w:b/>
                <w:color w:val="0C0C0C"/>
                <w:spacing w:val="-9"/>
                <w:w w:val="105"/>
                <w:sz w:val="21"/>
              </w:rPr>
              <w:t> </w:t>
            </w:r>
            <w:r>
              <w:rPr>
                <w:b/>
                <w:color w:val="0C0C0C"/>
                <w:spacing w:val="-2"/>
                <w:w w:val="105"/>
                <w:sz w:val="21"/>
              </w:rPr>
              <w:t>Investments</w:t>
            </w:r>
          </w:p>
        </w:tc>
        <w:tc>
          <w:tcPr>
            <w:tcW w:w="1454" w:type="dxa"/>
            <w:tcBorders>
              <w:top w:val="single" w:color="000000" w:sz="6" w:space="0"/>
              <w:bottom w:val="single" w:color="000000" w:sz="6" w:space="0"/>
            </w:tcBorders>
          </w:tcPr>
          <w:p>
            <w:pPr>
              <w:pStyle w:val="TableParagraph"/>
              <w:spacing w:before="50"/>
              <w:ind w:right="118"/>
              <w:jc w:val="right"/>
              <w:rPr>
                <w:b/>
                <w:sz w:val="21"/>
              </w:rPr>
            </w:pPr>
            <w:r>
              <w:rPr>
                <w:b/>
                <w:color w:val="0C0C0C"/>
                <w:spacing w:val="-2"/>
                <w:w w:val="105"/>
                <w:sz w:val="21"/>
              </w:rPr>
              <w:t>31,371</w:t>
            </w:r>
          </w:p>
        </w:tc>
      </w:tr>
    </w:tbl>
    <w:p>
      <w:pPr>
        <w:pStyle w:val="BodyText"/>
        <w:spacing w:before="52"/>
        <w:rPr>
          <w:sz w:val="21"/>
        </w:rPr>
      </w:pPr>
    </w:p>
    <w:p>
      <w:pPr>
        <w:spacing w:before="1" w:line="249" w:lineRule="auto"/>
        <w:ind w:left="1295" w:right="1094" w:firstLine="2"/>
        <w:jc w:val="both"/>
        <w:rPr>
          <w:sz w:val="21"/>
        </w:rPr>
      </w:pPr>
      <w:r>
        <w:rPr>
          <w:color w:val="0C0C0C"/>
          <w:w w:val="105"/>
          <w:sz w:val="21"/>
        </w:rPr>
        <w:t>The</w:t>
      </w:r>
      <w:r>
        <w:rPr>
          <w:color w:val="0C0C0C"/>
          <w:w w:val="105"/>
          <w:sz w:val="21"/>
        </w:rPr>
        <w:t> Council's</w:t>
      </w:r>
      <w:r>
        <w:rPr>
          <w:color w:val="0C0C0C"/>
          <w:w w:val="105"/>
          <w:sz w:val="21"/>
        </w:rPr>
        <w:t> investment in</w:t>
      </w:r>
      <w:r>
        <w:rPr>
          <w:color w:val="0C0C0C"/>
          <w:w w:val="105"/>
          <w:sz w:val="21"/>
        </w:rPr>
        <w:t> subsidiaries</w:t>
      </w:r>
      <w:r>
        <w:rPr>
          <w:color w:val="0C0C0C"/>
          <w:w w:val="105"/>
          <w:sz w:val="21"/>
        </w:rPr>
        <w:t> comprises</w:t>
      </w:r>
      <w:r>
        <w:rPr>
          <w:color w:val="0C0C0C"/>
          <w:w w:val="105"/>
          <w:sz w:val="21"/>
        </w:rPr>
        <w:t> 491,100</w:t>
      </w:r>
      <w:r>
        <w:rPr>
          <w:color w:val="0C0C0C"/>
          <w:w w:val="105"/>
          <w:sz w:val="21"/>
        </w:rPr>
        <w:t> ordinary shares</w:t>
      </w:r>
      <w:r>
        <w:rPr>
          <w:color w:val="0C0C0C"/>
          <w:w w:val="105"/>
          <w:sz w:val="21"/>
        </w:rPr>
        <w:t> of</w:t>
      </w:r>
      <w:r>
        <w:rPr>
          <w:color w:val="0C0C0C"/>
          <w:w w:val="105"/>
          <w:sz w:val="21"/>
        </w:rPr>
        <w:t> £1</w:t>
      </w:r>
      <w:r>
        <w:rPr>
          <w:color w:val="0C0C0C"/>
          <w:w w:val="105"/>
          <w:sz w:val="21"/>
        </w:rPr>
        <w:t> each</w:t>
      </w:r>
      <w:r>
        <w:rPr>
          <w:color w:val="0C0C0C"/>
          <w:w w:val="105"/>
          <w:sz w:val="21"/>
        </w:rPr>
        <w:t> </w:t>
      </w:r>
      <w:r>
        <w:rPr>
          <w:color w:val="1D1D1D"/>
          <w:w w:val="105"/>
          <w:sz w:val="21"/>
        </w:rPr>
        <w:t>in </w:t>
      </w:r>
      <w:r>
        <w:rPr>
          <w:color w:val="0C0C0C"/>
          <w:w w:val="105"/>
          <w:sz w:val="21"/>
        </w:rPr>
        <w:t>Hertsmere Developments</w:t>
      </w:r>
      <w:r>
        <w:rPr>
          <w:color w:val="0C0C0C"/>
          <w:w w:val="105"/>
          <w:sz w:val="21"/>
        </w:rPr>
        <w:t> Limited and 1 ordinary</w:t>
      </w:r>
      <w:r>
        <w:rPr>
          <w:color w:val="0C0C0C"/>
          <w:w w:val="105"/>
          <w:sz w:val="21"/>
        </w:rPr>
        <w:t> share</w:t>
      </w:r>
      <w:r>
        <w:rPr>
          <w:color w:val="0C0C0C"/>
          <w:w w:val="105"/>
          <w:sz w:val="21"/>
        </w:rPr>
        <w:t> of £1 in Elstree Film Studios Limited. During</w:t>
      </w:r>
      <w:r>
        <w:rPr>
          <w:color w:val="0C0C0C"/>
          <w:spacing w:val="-5"/>
          <w:w w:val="105"/>
          <w:sz w:val="21"/>
        </w:rPr>
        <w:t> </w:t>
      </w:r>
      <w:r>
        <w:rPr>
          <w:color w:val="0C0C0C"/>
          <w:w w:val="105"/>
          <w:sz w:val="21"/>
        </w:rPr>
        <w:t>the </w:t>
      </w:r>
      <w:r>
        <w:rPr>
          <w:color w:val="1D1D1D"/>
          <w:w w:val="105"/>
          <w:sz w:val="21"/>
        </w:rPr>
        <w:t>year</w:t>
      </w:r>
      <w:r>
        <w:rPr>
          <w:color w:val="1D1D1D"/>
          <w:spacing w:val="-10"/>
          <w:w w:val="105"/>
          <w:sz w:val="21"/>
        </w:rPr>
        <w:t> </w:t>
      </w:r>
      <w:r>
        <w:rPr>
          <w:color w:val="0C0C0C"/>
          <w:w w:val="105"/>
          <w:sz w:val="21"/>
        </w:rPr>
        <w:t>the</w:t>
      </w:r>
      <w:r>
        <w:rPr>
          <w:color w:val="0C0C0C"/>
          <w:spacing w:val="-8"/>
          <w:w w:val="105"/>
          <w:sz w:val="21"/>
        </w:rPr>
        <w:t> </w:t>
      </w:r>
      <w:r>
        <w:rPr>
          <w:color w:val="0C0C0C"/>
          <w:w w:val="105"/>
          <w:sz w:val="21"/>
        </w:rPr>
        <w:t>Council, </w:t>
      </w:r>
      <w:r>
        <w:rPr>
          <w:color w:val="1D1D1D"/>
          <w:w w:val="105"/>
          <w:sz w:val="21"/>
        </w:rPr>
        <w:t>in </w:t>
      </w:r>
      <w:r>
        <w:rPr>
          <w:color w:val="0C0C0C"/>
          <w:w w:val="105"/>
          <w:sz w:val="21"/>
        </w:rPr>
        <w:t>exchange </w:t>
      </w:r>
      <w:r>
        <w:rPr>
          <w:color w:val="1D1D1D"/>
          <w:w w:val="105"/>
          <w:sz w:val="21"/>
        </w:rPr>
        <w:t>for</w:t>
      </w:r>
      <w:r>
        <w:rPr>
          <w:color w:val="1D1D1D"/>
          <w:spacing w:val="-2"/>
          <w:w w:val="105"/>
          <w:sz w:val="21"/>
        </w:rPr>
        <w:t> </w:t>
      </w:r>
      <w:r>
        <w:rPr>
          <w:color w:val="1D1D1D"/>
          <w:w w:val="105"/>
          <w:sz w:val="21"/>
        </w:rPr>
        <w:t>the</w:t>
      </w:r>
      <w:r>
        <w:rPr>
          <w:color w:val="1D1D1D"/>
          <w:spacing w:val="-10"/>
          <w:w w:val="105"/>
          <w:sz w:val="21"/>
        </w:rPr>
        <w:t> </w:t>
      </w:r>
      <w:r>
        <w:rPr>
          <w:color w:val="1D1D1D"/>
          <w:w w:val="105"/>
          <w:sz w:val="21"/>
        </w:rPr>
        <w:t>transfer of two</w:t>
      </w:r>
      <w:r>
        <w:rPr>
          <w:color w:val="1D1D1D"/>
          <w:spacing w:val="-3"/>
          <w:w w:val="105"/>
          <w:sz w:val="21"/>
        </w:rPr>
        <w:t> </w:t>
      </w:r>
      <w:r>
        <w:rPr>
          <w:color w:val="1D1D1D"/>
          <w:w w:val="105"/>
          <w:sz w:val="21"/>
        </w:rPr>
        <w:t>sites</w:t>
      </w:r>
      <w:r>
        <w:rPr>
          <w:color w:val="494949"/>
          <w:w w:val="105"/>
          <w:sz w:val="21"/>
        </w:rPr>
        <w:t>,</w:t>
      </w:r>
      <w:r>
        <w:rPr>
          <w:color w:val="494949"/>
          <w:spacing w:val="-9"/>
          <w:w w:val="105"/>
          <w:sz w:val="21"/>
        </w:rPr>
        <w:t> </w:t>
      </w:r>
      <w:r>
        <w:rPr>
          <w:color w:val="1D1D1D"/>
          <w:w w:val="105"/>
          <w:sz w:val="21"/>
        </w:rPr>
        <w:t>acquired</w:t>
      </w:r>
      <w:r>
        <w:rPr>
          <w:color w:val="1D1D1D"/>
          <w:spacing w:val="-4"/>
          <w:w w:val="105"/>
          <w:sz w:val="21"/>
        </w:rPr>
        <w:t> </w:t>
      </w:r>
      <w:r>
        <w:rPr>
          <w:color w:val="0C0C0C"/>
          <w:w w:val="105"/>
          <w:sz w:val="21"/>
        </w:rPr>
        <w:t>491</w:t>
      </w:r>
      <w:r>
        <w:rPr>
          <w:color w:val="494949"/>
          <w:w w:val="105"/>
          <w:sz w:val="21"/>
        </w:rPr>
        <w:t>,</w:t>
      </w:r>
      <w:r>
        <w:rPr>
          <w:color w:val="1D1D1D"/>
          <w:w w:val="105"/>
          <w:sz w:val="21"/>
        </w:rPr>
        <w:t>000 </w:t>
      </w:r>
      <w:r>
        <w:rPr>
          <w:color w:val="0C0C0C"/>
          <w:w w:val="105"/>
          <w:sz w:val="21"/>
        </w:rPr>
        <w:t>shares </w:t>
      </w:r>
      <w:r>
        <w:rPr>
          <w:color w:val="0C0C0C"/>
          <w:spacing w:val="-2"/>
          <w:w w:val="105"/>
          <w:sz w:val="21"/>
        </w:rPr>
        <w:t>of</w:t>
      </w:r>
      <w:r>
        <w:rPr>
          <w:color w:val="0C0C0C"/>
          <w:spacing w:val="-14"/>
          <w:w w:val="105"/>
          <w:sz w:val="21"/>
        </w:rPr>
        <w:t> </w:t>
      </w:r>
      <w:r>
        <w:rPr>
          <w:color w:val="0C0C0C"/>
          <w:spacing w:val="-2"/>
          <w:w w:val="105"/>
          <w:sz w:val="21"/>
        </w:rPr>
        <w:t>£1</w:t>
      </w:r>
      <w:r>
        <w:rPr>
          <w:color w:val="0C0C0C"/>
          <w:spacing w:val="-13"/>
          <w:w w:val="105"/>
          <w:sz w:val="21"/>
        </w:rPr>
        <w:t> </w:t>
      </w:r>
      <w:r>
        <w:rPr>
          <w:color w:val="0C0C0C"/>
          <w:spacing w:val="-2"/>
          <w:w w:val="105"/>
          <w:sz w:val="21"/>
        </w:rPr>
        <w:t>each</w:t>
      </w:r>
      <w:r>
        <w:rPr>
          <w:color w:val="0C0C0C"/>
          <w:spacing w:val="-13"/>
          <w:w w:val="105"/>
          <w:sz w:val="21"/>
        </w:rPr>
        <w:t> </w:t>
      </w:r>
      <w:r>
        <w:rPr>
          <w:color w:val="1D1D1D"/>
          <w:spacing w:val="-2"/>
          <w:w w:val="105"/>
          <w:sz w:val="21"/>
        </w:rPr>
        <w:t>at nominal</w:t>
      </w:r>
      <w:r>
        <w:rPr>
          <w:color w:val="1D1D1D"/>
          <w:spacing w:val="16"/>
          <w:w w:val="105"/>
          <w:sz w:val="21"/>
        </w:rPr>
        <w:t> </w:t>
      </w:r>
      <w:r>
        <w:rPr>
          <w:color w:val="1D1D1D"/>
          <w:spacing w:val="-2"/>
          <w:w w:val="105"/>
          <w:sz w:val="21"/>
        </w:rPr>
        <w:t>value</w:t>
      </w:r>
      <w:r>
        <w:rPr>
          <w:color w:val="1D1D1D"/>
          <w:spacing w:val="-11"/>
          <w:w w:val="105"/>
          <w:sz w:val="21"/>
        </w:rPr>
        <w:t> </w:t>
      </w:r>
      <w:r>
        <w:rPr>
          <w:color w:val="0C0C0C"/>
          <w:spacing w:val="-2"/>
          <w:w w:val="105"/>
          <w:sz w:val="21"/>
        </w:rPr>
        <w:t>in</w:t>
      </w:r>
      <w:r>
        <w:rPr>
          <w:color w:val="0C0C0C"/>
          <w:spacing w:val="-14"/>
          <w:w w:val="105"/>
          <w:sz w:val="21"/>
        </w:rPr>
        <w:t> </w:t>
      </w:r>
      <w:r>
        <w:rPr>
          <w:color w:val="0C0C0C"/>
          <w:spacing w:val="-2"/>
          <w:w w:val="105"/>
          <w:sz w:val="21"/>
        </w:rPr>
        <w:t>Hertsmere Developments </w:t>
      </w:r>
      <w:r>
        <w:rPr>
          <w:color w:val="1D1D1D"/>
          <w:spacing w:val="-2"/>
          <w:w w:val="105"/>
          <w:sz w:val="21"/>
        </w:rPr>
        <w:t>Limited</w:t>
      </w:r>
      <w:r>
        <w:rPr>
          <w:color w:val="6B6B6B"/>
          <w:spacing w:val="-2"/>
          <w:w w:val="105"/>
          <w:sz w:val="21"/>
        </w:rPr>
        <w:t>.</w:t>
      </w:r>
      <w:r>
        <w:rPr>
          <w:color w:val="6B6B6B"/>
          <w:spacing w:val="-14"/>
          <w:w w:val="105"/>
          <w:sz w:val="21"/>
        </w:rPr>
        <w:t> </w:t>
      </w:r>
      <w:r>
        <w:rPr>
          <w:color w:val="1D1D1D"/>
          <w:spacing w:val="-2"/>
          <w:w w:val="105"/>
          <w:sz w:val="21"/>
        </w:rPr>
        <w:t>Both</w:t>
      </w:r>
      <w:r>
        <w:rPr>
          <w:color w:val="1D1D1D"/>
          <w:spacing w:val="-13"/>
          <w:w w:val="105"/>
          <w:sz w:val="21"/>
        </w:rPr>
        <w:t> </w:t>
      </w:r>
      <w:r>
        <w:rPr>
          <w:color w:val="1D1D1D"/>
          <w:spacing w:val="-2"/>
          <w:w w:val="105"/>
          <w:sz w:val="21"/>
        </w:rPr>
        <w:t>Hertsmere </w:t>
      </w:r>
      <w:r>
        <w:rPr>
          <w:color w:val="0C0C0C"/>
          <w:spacing w:val="-2"/>
          <w:w w:val="105"/>
          <w:sz w:val="21"/>
        </w:rPr>
        <w:t>Developments </w:t>
      </w:r>
      <w:r>
        <w:rPr>
          <w:color w:val="0C0C0C"/>
          <w:w w:val="105"/>
          <w:sz w:val="21"/>
        </w:rPr>
        <w:t>Limited and</w:t>
      </w:r>
      <w:r>
        <w:rPr>
          <w:color w:val="0C0C0C"/>
          <w:spacing w:val="-1"/>
          <w:w w:val="105"/>
          <w:sz w:val="21"/>
        </w:rPr>
        <w:t> </w:t>
      </w:r>
      <w:r>
        <w:rPr>
          <w:color w:val="0C0C0C"/>
          <w:w w:val="105"/>
          <w:sz w:val="21"/>
        </w:rPr>
        <w:t>Elstree Film Studios Limited are 100% </w:t>
      </w:r>
      <w:r>
        <w:rPr>
          <w:color w:val="1D1D1D"/>
          <w:w w:val="105"/>
          <w:sz w:val="21"/>
        </w:rPr>
        <w:t>owned by the Council.</w:t>
      </w:r>
    </w:p>
    <w:p>
      <w:pPr>
        <w:pStyle w:val="BodyText"/>
        <w:spacing w:before="21"/>
        <w:rPr>
          <w:sz w:val="21"/>
        </w:rPr>
      </w:pPr>
    </w:p>
    <w:p>
      <w:pPr>
        <w:spacing w:before="0"/>
        <w:ind w:left="1297" w:right="0" w:firstLine="0"/>
        <w:jc w:val="left"/>
        <w:rPr>
          <w:sz w:val="21"/>
        </w:rPr>
      </w:pPr>
      <w:r>
        <w:rPr>
          <w:color w:val="0C0C0C"/>
          <w:w w:val="105"/>
          <w:sz w:val="21"/>
        </w:rPr>
        <w:t>Other</w:t>
      </w:r>
      <w:r>
        <w:rPr>
          <w:color w:val="0C0C0C"/>
          <w:spacing w:val="-4"/>
          <w:w w:val="105"/>
          <w:sz w:val="21"/>
        </w:rPr>
        <w:t> </w:t>
      </w:r>
      <w:r>
        <w:rPr>
          <w:color w:val="0C0C0C"/>
          <w:w w:val="105"/>
          <w:sz w:val="21"/>
        </w:rPr>
        <w:t>long</w:t>
      </w:r>
      <w:r>
        <w:rPr>
          <w:color w:val="0C0C0C"/>
          <w:spacing w:val="-13"/>
          <w:w w:val="105"/>
          <w:sz w:val="21"/>
        </w:rPr>
        <w:t> </w:t>
      </w:r>
      <w:r>
        <w:rPr>
          <w:color w:val="0C0C0C"/>
          <w:w w:val="105"/>
          <w:sz w:val="21"/>
        </w:rPr>
        <w:t>term</w:t>
      </w:r>
      <w:r>
        <w:rPr>
          <w:color w:val="0C0C0C"/>
          <w:spacing w:val="-6"/>
          <w:w w:val="105"/>
          <w:sz w:val="21"/>
        </w:rPr>
        <w:t> </w:t>
      </w:r>
      <w:r>
        <w:rPr>
          <w:color w:val="0C0C0C"/>
          <w:w w:val="105"/>
          <w:sz w:val="21"/>
        </w:rPr>
        <w:t>investments</w:t>
      </w:r>
      <w:r>
        <w:rPr>
          <w:color w:val="0C0C0C"/>
          <w:spacing w:val="10"/>
          <w:w w:val="105"/>
          <w:sz w:val="21"/>
        </w:rPr>
        <w:t> </w:t>
      </w:r>
      <w:r>
        <w:rPr>
          <w:color w:val="0C0C0C"/>
          <w:spacing w:val="-2"/>
          <w:w w:val="105"/>
          <w:sz w:val="21"/>
        </w:rPr>
        <w:t>comprise:</w:t>
      </w:r>
    </w:p>
    <w:p>
      <w:pPr>
        <w:pStyle w:val="ListParagraph"/>
        <w:numPr>
          <w:ilvl w:val="0"/>
          <w:numId w:val="20"/>
        </w:numPr>
        <w:tabs>
          <w:tab w:val="left" w:leader="none" w:pos="2018"/>
          <w:tab w:val="left" w:leader="none" w:pos="2023"/>
        </w:tabs>
        <w:spacing w:before="23" w:after="0" w:line="290" w:lineRule="auto"/>
        <w:ind w:left="2023" w:right="1102" w:hanging="362"/>
        <w:jc w:val="left"/>
        <w:rPr>
          <w:color w:val="0C0C0C"/>
          <w:sz w:val="21"/>
        </w:rPr>
      </w:pPr>
      <w:r>
        <w:rPr>
          <w:color w:val="0C0C0C"/>
          <w:w w:val="105"/>
          <w:sz w:val="21"/>
        </w:rPr>
        <w:t>One</w:t>
      </w:r>
      <w:r>
        <w:rPr>
          <w:color w:val="0C0C0C"/>
          <w:spacing w:val="-16"/>
          <w:w w:val="105"/>
          <w:sz w:val="21"/>
        </w:rPr>
        <w:t> </w:t>
      </w:r>
      <w:r>
        <w:rPr>
          <w:color w:val="0C0C0C"/>
          <w:w w:val="105"/>
          <w:sz w:val="21"/>
        </w:rPr>
        <w:t>£1</w:t>
      </w:r>
      <w:r>
        <w:rPr>
          <w:color w:val="0C0C0C"/>
          <w:spacing w:val="-20"/>
          <w:w w:val="105"/>
          <w:sz w:val="21"/>
        </w:rPr>
        <w:t> </w:t>
      </w:r>
      <w:r>
        <w:rPr>
          <w:color w:val="0C0C0C"/>
          <w:w w:val="105"/>
          <w:sz w:val="21"/>
        </w:rPr>
        <w:t>(12.5%)</w:t>
      </w:r>
      <w:r>
        <w:rPr>
          <w:color w:val="0C0C0C"/>
          <w:spacing w:val="-15"/>
          <w:w w:val="105"/>
          <w:sz w:val="21"/>
        </w:rPr>
        <w:t> </w:t>
      </w:r>
      <w:r>
        <w:rPr>
          <w:color w:val="0C0C0C"/>
          <w:w w:val="105"/>
          <w:sz w:val="21"/>
        </w:rPr>
        <w:t>share</w:t>
      </w:r>
      <w:r>
        <w:rPr>
          <w:color w:val="0C0C0C"/>
          <w:spacing w:val="-15"/>
          <w:w w:val="105"/>
          <w:sz w:val="21"/>
        </w:rPr>
        <w:t> </w:t>
      </w:r>
      <w:r>
        <w:rPr>
          <w:color w:val="0C0C0C"/>
          <w:w w:val="105"/>
          <w:sz w:val="21"/>
        </w:rPr>
        <w:t>in</w:t>
      </w:r>
      <w:r>
        <w:rPr>
          <w:color w:val="0C0C0C"/>
          <w:spacing w:val="-16"/>
          <w:w w:val="105"/>
          <w:sz w:val="21"/>
        </w:rPr>
        <w:t> </w:t>
      </w:r>
      <w:r>
        <w:rPr>
          <w:color w:val="0C0C0C"/>
          <w:w w:val="105"/>
          <w:sz w:val="21"/>
        </w:rPr>
        <w:t>Broste</w:t>
      </w:r>
      <w:r>
        <w:rPr>
          <w:color w:val="0C0C0C"/>
          <w:spacing w:val="-15"/>
          <w:w w:val="105"/>
          <w:sz w:val="21"/>
        </w:rPr>
        <w:t> </w:t>
      </w:r>
      <w:r>
        <w:rPr>
          <w:color w:val="0C0C0C"/>
          <w:w w:val="105"/>
          <w:sz w:val="21"/>
        </w:rPr>
        <w:t>Rivers</w:t>
      </w:r>
      <w:r>
        <w:rPr>
          <w:color w:val="0C0C0C"/>
          <w:spacing w:val="-15"/>
          <w:w w:val="105"/>
          <w:sz w:val="21"/>
        </w:rPr>
        <w:t> </w:t>
      </w:r>
      <w:r>
        <w:rPr>
          <w:color w:val="0C0C0C"/>
          <w:w w:val="105"/>
          <w:sz w:val="21"/>
        </w:rPr>
        <w:t>Ltd</w:t>
      </w:r>
      <w:r>
        <w:rPr>
          <w:color w:val="0C0C0C"/>
          <w:spacing w:val="-20"/>
          <w:w w:val="105"/>
          <w:sz w:val="21"/>
        </w:rPr>
        <w:t> </w:t>
      </w:r>
      <w:r>
        <w:rPr>
          <w:color w:val="0C0C0C"/>
          <w:w w:val="105"/>
          <w:sz w:val="21"/>
        </w:rPr>
        <w:t>which</w:t>
      </w:r>
      <w:r>
        <w:rPr>
          <w:color w:val="0C0C0C"/>
          <w:spacing w:val="-16"/>
          <w:w w:val="105"/>
          <w:sz w:val="21"/>
        </w:rPr>
        <w:t> </w:t>
      </w:r>
      <w:r>
        <w:rPr>
          <w:color w:val="0C0C0C"/>
          <w:w w:val="105"/>
          <w:sz w:val="21"/>
        </w:rPr>
        <w:t>is</w:t>
      </w:r>
      <w:r>
        <w:rPr>
          <w:color w:val="0C0C0C"/>
          <w:spacing w:val="-18"/>
          <w:w w:val="105"/>
          <w:sz w:val="21"/>
        </w:rPr>
        <w:t> </w:t>
      </w:r>
      <w:r>
        <w:rPr>
          <w:color w:val="0C0C0C"/>
          <w:w w:val="105"/>
          <w:sz w:val="21"/>
        </w:rPr>
        <w:t>the</w:t>
      </w:r>
      <w:r>
        <w:rPr>
          <w:color w:val="0C0C0C"/>
          <w:spacing w:val="-17"/>
          <w:w w:val="105"/>
          <w:sz w:val="21"/>
        </w:rPr>
        <w:t> </w:t>
      </w:r>
      <w:r>
        <w:rPr>
          <w:color w:val="0C0C0C"/>
          <w:w w:val="105"/>
          <w:sz w:val="21"/>
        </w:rPr>
        <w:t>holding</w:t>
      </w:r>
      <w:r>
        <w:rPr>
          <w:color w:val="0C0C0C"/>
          <w:spacing w:val="-16"/>
          <w:w w:val="105"/>
          <w:sz w:val="21"/>
        </w:rPr>
        <w:t> </w:t>
      </w:r>
      <w:r>
        <w:rPr>
          <w:color w:val="0C0C0C"/>
          <w:w w:val="105"/>
          <w:sz w:val="21"/>
        </w:rPr>
        <w:t>company</w:t>
      </w:r>
      <w:r>
        <w:rPr>
          <w:color w:val="0C0C0C"/>
          <w:spacing w:val="-13"/>
          <w:w w:val="105"/>
          <w:sz w:val="21"/>
        </w:rPr>
        <w:t> </w:t>
      </w:r>
      <w:r>
        <w:rPr>
          <w:color w:val="0C0C0C"/>
          <w:w w:val="105"/>
          <w:sz w:val="21"/>
        </w:rPr>
        <w:t>of</w:t>
      </w:r>
      <w:r>
        <w:rPr>
          <w:color w:val="0C0C0C"/>
          <w:spacing w:val="-16"/>
          <w:w w:val="105"/>
          <w:sz w:val="21"/>
        </w:rPr>
        <w:t> </w:t>
      </w:r>
      <w:r>
        <w:rPr>
          <w:color w:val="0C0C0C"/>
          <w:w w:val="105"/>
          <w:sz w:val="21"/>
        </w:rPr>
        <w:t>Hertfordshire Building Control Ltd (2022: £1</w:t>
      </w:r>
      <w:r>
        <w:rPr>
          <w:color w:val="0C0C0C"/>
          <w:spacing w:val="-3"/>
          <w:w w:val="105"/>
          <w:sz w:val="21"/>
        </w:rPr>
        <w:t> </w:t>
      </w:r>
      <w:r>
        <w:rPr>
          <w:color w:val="0C0C0C"/>
          <w:w w:val="105"/>
          <w:sz w:val="21"/>
        </w:rPr>
        <w:t>-</w:t>
      </w:r>
      <w:r>
        <w:rPr>
          <w:color w:val="0C0C0C"/>
          <w:spacing w:val="40"/>
          <w:w w:val="105"/>
          <w:sz w:val="21"/>
        </w:rPr>
        <w:t> </w:t>
      </w:r>
      <w:r>
        <w:rPr>
          <w:color w:val="0C0C0C"/>
          <w:w w:val="105"/>
          <w:sz w:val="21"/>
        </w:rPr>
        <w:t>12</w:t>
      </w:r>
      <w:r>
        <w:rPr>
          <w:color w:val="494949"/>
          <w:w w:val="105"/>
          <w:sz w:val="21"/>
        </w:rPr>
        <w:t>.</w:t>
      </w:r>
      <w:r>
        <w:rPr>
          <w:color w:val="0C0C0C"/>
          <w:w w:val="105"/>
          <w:sz w:val="21"/>
        </w:rPr>
        <w:t>5%) </w:t>
      </w:r>
      <w:r>
        <w:rPr>
          <w:color w:val="1D1D1D"/>
          <w:w w:val="105"/>
          <w:sz w:val="21"/>
        </w:rPr>
        <w:t>.</w:t>
      </w:r>
    </w:p>
    <w:p>
      <w:pPr>
        <w:pStyle w:val="ListParagraph"/>
        <w:numPr>
          <w:ilvl w:val="0"/>
          <w:numId w:val="20"/>
        </w:numPr>
        <w:tabs>
          <w:tab w:val="left" w:leader="none" w:pos="2025"/>
        </w:tabs>
        <w:spacing w:before="11" w:after="0" w:line="295" w:lineRule="auto"/>
        <w:ind w:left="2025" w:right="1088" w:hanging="355"/>
        <w:jc w:val="left"/>
        <w:rPr>
          <w:color w:val="1D1D1D"/>
          <w:sz w:val="21"/>
        </w:rPr>
      </w:pPr>
      <w:r>
        <w:rPr>
          <w:color w:val="0C0C0C"/>
          <w:w w:val="105"/>
          <w:sz w:val="21"/>
        </w:rPr>
        <w:t>14%</w:t>
      </w:r>
      <w:r>
        <w:rPr>
          <w:color w:val="0C0C0C"/>
          <w:spacing w:val="-16"/>
          <w:w w:val="105"/>
          <w:sz w:val="21"/>
        </w:rPr>
        <w:t> </w:t>
      </w:r>
      <w:r>
        <w:rPr>
          <w:color w:val="0C0C0C"/>
          <w:w w:val="105"/>
          <w:sz w:val="21"/>
        </w:rPr>
        <w:t>of</w:t>
      </w:r>
      <w:r>
        <w:rPr>
          <w:color w:val="0C0C0C"/>
          <w:spacing w:val="-21"/>
          <w:w w:val="105"/>
          <w:sz w:val="21"/>
        </w:rPr>
        <w:t> </w:t>
      </w:r>
      <w:r>
        <w:rPr>
          <w:color w:val="0C0C0C"/>
          <w:w w:val="105"/>
          <w:sz w:val="21"/>
        </w:rPr>
        <w:t>the</w:t>
      </w:r>
      <w:r>
        <w:rPr>
          <w:color w:val="0C0C0C"/>
          <w:spacing w:val="-16"/>
          <w:w w:val="105"/>
          <w:sz w:val="21"/>
        </w:rPr>
        <w:t> </w:t>
      </w:r>
      <w:r>
        <w:rPr>
          <w:color w:val="0C0C0C"/>
          <w:w w:val="105"/>
          <w:sz w:val="21"/>
        </w:rPr>
        <w:t>ordinary</w:t>
      </w:r>
      <w:r>
        <w:rPr>
          <w:color w:val="0C0C0C"/>
          <w:spacing w:val="-15"/>
          <w:w w:val="105"/>
          <w:sz w:val="21"/>
        </w:rPr>
        <w:t> </w:t>
      </w:r>
      <w:r>
        <w:rPr>
          <w:color w:val="0C0C0C"/>
          <w:w w:val="105"/>
          <w:sz w:val="21"/>
        </w:rPr>
        <w:t>shares</w:t>
      </w:r>
      <w:r>
        <w:rPr>
          <w:color w:val="0C0C0C"/>
          <w:spacing w:val="-15"/>
          <w:w w:val="105"/>
          <w:sz w:val="21"/>
        </w:rPr>
        <w:t> </w:t>
      </w:r>
      <w:r>
        <w:rPr>
          <w:color w:val="0C0C0C"/>
          <w:w w:val="105"/>
          <w:sz w:val="21"/>
        </w:rPr>
        <w:t>of£</w:t>
      </w:r>
      <w:r>
        <w:rPr>
          <w:color w:val="0C0C0C"/>
          <w:spacing w:val="-16"/>
          <w:w w:val="105"/>
          <w:sz w:val="21"/>
        </w:rPr>
        <w:t> </w:t>
      </w:r>
      <w:r>
        <w:rPr>
          <w:color w:val="0C0C0C"/>
          <w:w w:val="105"/>
          <w:sz w:val="21"/>
        </w:rPr>
        <w:t>1</w:t>
      </w:r>
      <w:r>
        <w:rPr>
          <w:color w:val="0C0C0C"/>
          <w:spacing w:val="-15"/>
          <w:w w:val="105"/>
          <w:sz w:val="21"/>
        </w:rPr>
        <w:t> </w:t>
      </w:r>
      <w:r>
        <w:rPr>
          <w:color w:val="0C0C0C"/>
          <w:w w:val="105"/>
          <w:sz w:val="21"/>
        </w:rPr>
        <w:t>each</w:t>
      </w:r>
      <w:r>
        <w:rPr>
          <w:color w:val="0C0C0C"/>
          <w:spacing w:val="-15"/>
          <w:w w:val="105"/>
          <w:sz w:val="21"/>
        </w:rPr>
        <w:t> </w:t>
      </w:r>
      <w:r>
        <w:rPr>
          <w:color w:val="0C0C0C"/>
          <w:w w:val="105"/>
          <w:sz w:val="21"/>
        </w:rPr>
        <w:t>issued</w:t>
      </w:r>
      <w:r>
        <w:rPr>
          <w:color w:val="0C0C0C"/>
          <w:spacing w:val="-17"/>
          <w:w w:val="105"/>
          <w:sz w:val="21"/>
        </w:rPr>
        <w:t> </w:t>
      </w:r>
      <w:r>
        <w:rPr>
          <w:color w:val="0C0C0C"/>
          <w:w w:val="105"/>
          <w:sz w:val="21"/>
        </w:rPr>
        <w:t>by</w:t>
      </w:r>
      <w:r>
        <w:rPr>
          <w:color w:val="0C0C0C"/>
          <w:spacing w:val="-15"/>
          <w:w w:val="105"/>
          <w:sz w:val="21"/>
        </w:rPr>
        <w:t> </w:t>
      </w:r>
      <w:r>
        <w:rPr>
          <w:color w:val="0C0C0C"/>
          <w:w w:val="105"/>
          <w:sz w:val="21"/>
        </w:rPr>
        <w:t>Hertfordshire</w:t>
      </w:r>
      <w:r>
        <w:rPr>
          <w:color w:val="0C0C0C"/>
          <w:spacing w:val="-16"/>
          <w:w w:val="105"/>
          <w:sz w:val="21"/>
        </w:rPr>
        <w:t> </w:t>
      </w:r>
      <w:r>
        <w:rPr>
          <w:color w:val="0C0C0C"/>
          <w:w w:val="105"/>
          <w:sz w:val="21"/>
        </w:rPr>
        <w:t>CCTV</w:t>
      </w:r>
      <w:r>
        <w:rPr>
          <w:color w:val="0C0C0C"/>
          <w:spacing w:val="-15"/>
          <w:w w:val="105"/>
          <w:sz w:val="21"/>
        </w:rPr>
        <w:t> </w:t>
      </w:r>
      <w:r>
        <w:rPr>
          <w:color w:val="0C0C0C"/>
          <w:w w:val="105"/>
          <w:sz w:val="21"/>
        </w:rPr>
        <w:t>Partnership</w:t>
      </w:r>
      <w:r>
        <w:rPr>
          <w:color w:val="0C0C0C"/>
          <w:spacing w:val="-15"/>
          <w:w w:val="105"/>
          <w:sz w:val="21"/>
        </w:rPr>
        <w:t> </w:t>
      </w:r>
      <w:r>
        <w:rPr>
          <w:color w:val="0C0C0C"/>
          <w:w w:val="105"/>
          <w:sz w:val="21"/>
        </w:rPr>
        <w:t>Limited (2022: 14%).</w:t>
      </w:r>
    </w:p>
    <w:p>
      <w:pPr>
        <w:pStyle w:val="ListParagraph"/>
        <w:numPr>
          <w:ilvl w:val="0"/>
          <w:numId w:val="20"/>
        </w:numPr>
        <w:tabs>
          <w:tab w:val="left" w:leader="none" w:pos="2027"/>
        </w:tabs>
        <w:spacing w:before="7" w:after="0" w:line="240" w:lineRule="auto"/>
        <w:ind w:left="2027" w:right="0" w:hanging="361"/>
        <w:jc w:val="left"/>
        <w:rPr>
          <w:color w:val="0C0C0C"/>
          <w:sz w:val="21"/>
        </w:rPr>
      </w:pPr>
      <w:r>
        <w:rPr>
          <w:color w:val="0C0C0C"/>
          <w:w w:val="105"/>
          <w:sz w:val="21"/>
        </w:rPr>
        <w:t>20,000</w:t>
      </w:r>
      <w:r>
        <w:rPr>
          <w:color w:val="0C0C0C"/>
          <w:spacing w:val="-8"/>
          <w:w w:val="105"/>
          <w:sz w:val="21"/>
        </w:rPr>
        <w:t> </w:t>
      </w:r>
      <w:r>
        <w:rPr>
          <w:color w:val="0C0C0C"/>
          <w:w w:val="105"/>
          <w:sz w:val="21"/>
        </w:rPr>
        <w:t>shares of</w:t>
      </w:r>
      <w:r>
        <w:rPr>
          <w:color w:val="0C0C0C"/>
          <w:spacing w:val="-3"/>
          <w:w w:val="105"/>
          <w:sz w:val="21"/>
        </w:rPr>
        <w:t> </w:t>
      </w:r>
      <w:r>
        <w:rPr>
          <w:color w:val="0C0C0C"/>
          <w:w w:val="105"/>
          <w:sz w:val="21"/>
        </w:rPr>
        <w:t>£0.01</w:t>
      </w:r>
      <w:r>
        <w:rPr>
          <w:color w:val="0C0C0C"/>
          <w:spacing w:val="-6"/>
          <w:w w:val="105"/>
          <w:sz w:val="21"/>
        </w:rPr>
        <w:t> </w:t>
      </w:r>
      <w:r>
        <w:rPr>
          <w:color w:val="0C0C0C"/>
          <w:w w:val="105"/>
          <w:sz w:val="21"/>
        </w:rPr>
        <w:t>each</w:t>
      </w:r>
      <w:r>
        <w:rPr>
          <w:color w:val="0C0C0C"/>
          <w:spacing w:val="-10"/>
          <w:w w:val="105"/>
          <w:sz w:val="21"/>
        </w:rPr>
        <w:t> </w:t>
      </w:r>
      <w:r>
        <w:rPr>
          <w:color w:val="0C0C0C"/>
          <w:w w:val="105"/>
          <w:sz w:val="21"/>
        </w:rPr>
        <w:t>in</w:t>
      </w:r>
      <w:r>
        <w:rPr>
          <w:color w:val="0C0C0C"/>
          <w:spacing w:val="-12"/>
          <w:w w:val="105"/>
          <w:sz w:val="21"/>
        </w:rPr>
        <w:t> </w:t>
      </w:r>
      <w:r>
        <w:rPr>
          <w:color w:val="0C0C0C"/>
          <w:w w:val="105"/>
          <w:sz w:val="21"/>
        </w:rPr>
        <w:t>UK</w:t>
      </w:r>
      <w:r>
        <w:rPr>
          <w:color w:val="0C0C0C"/>
          <w:spacing w:val="-13"/>
          <w:w w:val="105"/>
          <w:sz w:val="21"/>
        </w:rPr>
        <w:t> </w:t>
      </w:r>
      <w:r>
        <w:rPr>
          <w:color w:val="0C0C0C"/>
          <w:w w:val="105"/>
          <w:sz w:val="21"/>
        </w:rPr>
        <w:t>Municipal</w:t>
      </w:r>
      <w:r>
        <w:rPr>
          <w:color w:val="0C0C0C"/>
          <w:spacing w:val="3"/>
          <w:w w:val="105"/>
          <w:sz w:val="21"/>
        </w:rPr>
        <w:t> </w:t>
      </w:r>
      <w:r>
        <w:rPr>
          <w:color w:val="0C0C0C"/>
          <w:w w:val="105"/>
          <w:sz w:val="21"/>
        </w:rPr>
        <w:t>Bonds</w:t>
      </w:r>
      <w:r>
        <w:rPr>
          <w:color w:val="0C0C0C"/>
          <w:spacing w:val="-1"/>
          <w:w w:val="105"/>
          <w:sz w:val="21"/>
        </w:rPr>
        <w:t> </w:t>
      </w:r>
      <w:r>
        <w:rPr>
          <w:color w:val="0C0C0C"/>
          <w:w w:val="105"/>
          <w:sz w:val="21"/>
        </w:rPr>
        <w:t>Agency</w:t>
      </w:r>
      <w:r>
        <w:rPr>
          <w:color w:val="0C0C0C"/>
          <w:spacing w:val="-1"/>
          <w:w w:val="105"/>
          <w:sz w:val="21"/>
        </w:rPr>
        <w:t> </w:t>
      </w:r>
      <w:r>
        <w:rPr>
          <w:color w:val="0C0C0C"/>
          <w:w w:val="105"/>
          <w:sz w:val="21"/>
        </w:rPr>
        <w:t>PLC</w:t>
      </w:r>
      <w:r>
        <w:rPr>
          <w:color w:val="0C0C0C"/>
          <w:spacing w:val="-4"/>
          <w:w w:val="105"/>
          <w:sz w:val="21"/>
        </w:rPr>
        <w:t> </w:t>
      </w:r>
      <w:r>
        <w:rPr>
          <w:color w:val="0C0C0C"/>
          <w:w w:val="105"/>
          <w:sz w:val="21"/>
        </w:rPr>
        <w:t>(2022:</w:t>
      </w:r>
      <w:r>
        <w:rPr>
          <w:color w:val="0C0C0C"/>
          <w:spacing w:val="1"/>
          <w:w w:val="105"/>
          <w:sz w:val="21"/>
        </w:rPr>
        <w:t> </w:t>
      </w:r>
      <w:r>
        <w:rPr>
          <w:color w:val="0C0C0C"/>
          <w:spacing w:val="-2"/>
          <w:w w:val="105"/>
          <w:sz w:val="21"/>
        </w:rPr>
        <w:t>£200).</w:t>
      </w:r>
    </w:p>
    <w:p>
      <w:pPr>
        <w:pStyle w:val="BodyText"/>
        <w:spacing w:before="7"/>
        <w:rPr>
          <w:sz w:val="21"/>
        </w:rPr>
      </w:pPr>
    </w:p>
    <w:p>
      <w:pPr>
        <w:spacing w:before="0" w:line="290" w:lineRule="auto"/>
        <w:ind w:left="1308" w:right="1100" w:hanging="6"/>
        <w:jc w:val="both"/>
        <w:rPr>
          <w:sz w:val="21"/>
        </w:rPr>
      </w:pPr>
      <w:r>
        <w:rPr>
          <w:color w:val="0C0C0C"/>
          <w:w w:val="105"/>
          <w:sz w:val="21"/>
        </w:rPr>
        <w:t>The average </w:t>
      </w:r>
      <w:r>
        <w:rPr>
          <w:color w:val="1D1D1D"/>
          <w:w w:val="105"/>
          <w:sz w:val="21"/>
        </w:rPr>
        <w:t>interest </w:t>
      </w:r>
      <w:r>
        <w:rPr>
          <w:color w:val="0C0C0C"/>
          <w:w w:val="105"/>
          <w:sz w:val="21"/>
        </w:rPr>
        <w:t>rate received on core investments during the year was 1.68% (2021/22: 0.33%). Short-term investments are held for periods of one year or less</w:t>
      </w:r>
      <w:r>
        <w:rPr>
          <w:color w:val="494949"/>
          <w:w w:val="105"/>
          <w:sz w:val="21"/>
        </w:rPr>
        <w:t>.</w:t>
      </w:r>
    </w:p>
    <w:p>
      <w:pPr>
        <w:pStyle w:val="BodyText"/>
        <w:rPr>
          <w:sz w:val="21"/>
        </w:rPr>
      </w:pPr>
    </w:p>
    <w:p>
      <w:pPr>
        <w:pStyle w:val="BodyText"/>
        <w:spacing w:before="9"/>
        <w:rPr>
          <w:sz w:val="21"/>
        </w:rPr>
      </w:pPr>
    </w:p>
    <w:p>
      <w:pPr>
        <w:pStyle w:val="ListParagraph"/>
        <w:numPr>
          <w:ilvl w:val="1"/>
          <w:numId w:val="19"/>
        </w:numPr>
        <w:tabs>
          <w:tab w:val="left" w:leader="none" w:pos="2023"/>
        </w:tabs>
        <w:spacing w:before="0" w:after="0" w:line="240" w:lineRule="auto"/>
        <w:ind w:left="2023" w:right="0" w:hanging="715"/>
        <w:jc w:val="left"/>
        <w:rPr>
          <w:b/>
          <w:color w:val="0C0C0C"/>
          <w:sz w:val="21"/>
        </w:rPr>
      </w:pPr>
      <w:r>
        <w:rPr>
          <w:b/>
          <w:color w:val="0C0C0C"/>
          <w:w w:val="105"/>
          <w:sz w:val="21"/>
        </w:rPr>
        <w:t>Cash</w:t>
      </w:r>
      <w:r>
        <w:rPr>
          <w:b/>
          <w:color w:val="0C0C0C"/>
          <w:spacing w:val="-2"/>
          <w:w w:val="105"/>
          <w:sz w:val="21"/>
        </w:rPr>
        <w:t> </w:t>
      </w:r>
      <w:r>
        <w:rPr>
          <w:b/>
          <w:color w:val="0C0C0C"/>
          <w:w w:val="105"/>
          <w:sz w:val="21"/>
        </w:rPr>
        <w:t>and</w:t>
      </w:r>
      <w:r>
        <w:rPr>
          <w:b/>
          <w:color w:val="0C0C0C"/>
          <w:spacing w:val="-6"/>
          <w:w w:val="105"/>
          <w:sz w:val="21"/>
        </w:rPr>
        <w:t> </w:t>
      </w:r>
      <w:r>
        <w:rPr>
          <w:b/>
          <w:color w:val="0C0C0C"/>
          <w:w w:val="105"/>
          <w:sz w:val="21"/>
        </w:rPr>
        <w:t>Cash</w:t>
      </w:r>
      <w:r>
        <w:rPr>
          <w:b/>
          <w:color w:val="0C0C0C"/>
          <w:spacing w:val="-4"/>
          <w:w w:val="105"/>
          <w:sz w:val="21"/>
        </w:rPr>
        <w:t> </w:t>
      </w:r>
      <w:r>
        <w:rPr>
          <w:b/>
          <w:color w:val="0C0C0C"/>
          <w:spacing w:val="-2"/>
          <w:w w:val="105"/>
          <w:sz w:val="21"/>
        </w:rPr>
        <w:t>Equivalents</w:t>
      </w:r>
    </w:p>
    <w:p>
      <w:pPr>
        <w:pStyle w:val="BodyText"/>
        <w:spacing w:before="7"/>
        <w:rPr>
          <w:b/>
          <w:sz w:val="21"/>
        </w:rPr>
      </w:pPr>
    </w:p>
    <w:p>
      <w:pPr>
        <w:spacing w:before="0"/>
        <w:ind w:left="1307" w:right="0" w:firstLine="0"/>
        <w:jc w:val="left"/>
        <w:rPr>
          <w:sz w:val="21"/>
        </w:rPr>
      </w:pPr>
      <w:r>
        <w:rPr>
          <w:color w:val="0C0C0C"/>
          <w:w w:val="105"/>
          <w:sz w:val="21"/>
        </w:rPr>
        <w:t>The</w:t>
      </w:r>
      <w:r>
        <w:rPr>
          <w:color w:val="0C0C0C"/>
          <w:spacing w:val="-12"/>
          <w:w w:val="105"/>
          <w:sz w:val="21"/>
        </w:rPr>
        <w:t> </w:t>
      </w:r>
      <w:r>
        <w:rPr>
          <w:color w:val="0C0C0C"/>
          <w:w w:val="105"/>
          <w:sz w:val="21"/>
        </w:rPr>
        <w:t>balance</w:t>
      </w:r>
      <w:r>
        <w:rPr>
          <w:color w:val="0C0C0C"/>
          <w:spacing w:val="2"/>
          <w:w w:val="105"/>
          <w:sz w:val="21"/>
        </w:rPr>
        <w:t> </w:t>
      </w:r>
      <w:r>
        <w:rPr>
          <w:color w:val="0C0C0C"/>
          <w:w w:val="105"/>
          <w:sz w:val="21"/>
        </w:rPr>
        <w:t>of</w:t>
      </w:r>
      <w:r>
        <w:rPr>
          <w:color w:val="0C0C0C"/>
          <w:spacing w:val="-6"/>
          <w:w w:val="105"/>
          <w:sz w:val="21"/>
        </w:rPr>
        <w:t> </w:t>
      </w:r>
      <w:r>
        <w:rPr>
          <w:color w:val="0C0C0C"/>
          <w:w w:val="105"/>
          <w:sz w:val="21"/>
        </w:rPr>
        <w:t>cash</w:t>
      </w:r>
      <w:r>
        <w:rPr>
          <w:color w:val="0C0C0C"/>
          <w:spacing w:val="-1"/>
          <w:w w:val="105"/>
          <w:sz w:val="21"/>
        </w:rPr>
        <w:t> </w:t>
      </w:r>
      <w:r>
        <w:rPr>
          <w:color w:val="0C0C0C"/>
          <w:w w:val="105"/>
          <w:sz w:val="21"/>
        </w:rPr>
        <w:t>and</w:t>
      </w:r>
      <w:r>
        <w:rPr>
          <w:color w:val="0C0C0C"/>
          <w:spacing w:val="-9"/>
          <w:w w:val="105"/>
          <w:sz w:val="21"/>
        </w:rPr>
        <w:t> </w:t>
      </w:r>
      <w:r>
        <w:rPr>
          <w:color w:val="0C0C0C"/>
          <w:w w:val="105"/>
          <w:sz w:val="21"/>
        </w:rPr>
        <w:t>cash</w:t>
      </w:r>
      <w:r>
        <w:rPr>
          <w:color w:val="0C0C0C"/>
          <w:spacing w:val="-7"/>
          <w:w w:val="105"/>
          <w:sz w:val="21"/>
        </w:rPr>
        <w:t> </w:t>
      </w:r>
      <w:r>
        <w:rPr>
          <w:color w:val="0C0C0C"/>
          <w:w w:val="105"/>
          <w:sz w:val="21"/>
        </w:rPr>
        <w:t>equivalents</w:t>
      </w:r>
      <w:r>
        <w:rPr>
          <w:color w:val="0C0C0C"/>
          <w:spacing w:val="9"/>
          <w:w w:val="105"/>
          <w:sz w:val="21"/>
        </w:rPr>
        <w:t> </w:t>
      </w:r>
      <w:r>
        <w:rPr>
          <w:color w:val="0C0C0C"/>
          <w:w w:val="105"/>
          <w:sz w:val="21"/>
        </w:rPr>
        <w:t>is</w:t>
      </w:r>
      <w:r>
        <w:rPr>
          <w:color w:val="0C0C0C"/>
          <w:spacing w:val="-9"/>
          <w:w w:val="105"/>
          <w:sz w:val="21"/>
        </w:rPr>
        <w:t> </w:t>
      </w:r>
      <w:r>
        <w:rPr>
          <w:color w:val="0C0C0C"/>
          <w:w w:val="105"/>
          <w:sz w:val="21"/>
        </w:rPr>
        <w:t>made</w:t>
      </w:r>
      <w:r>
        <w:rPr>
          <w:color w:val="0C0C0C"/>
          <w:spacing w:val="-2"/>
          <w:w w:val="105"/>
          <w:sz w:val="21"/>
        </w:rPr>
        <w:t> </w:t>
      </w:r>
      <w:r>
        <w:rPr>
          <w:color w:val="0C0C0C"/>
          <w:w w:val="105"/>
          <w:sz w:val="21"/>
        </w:rPr>
        <w:t>up</w:t>
      </w:r>
      <w:r>
        <w:rPr>
          <w:color w:val="0C0C0C"/>
          <w:spacing w:val="-2"/>
          <w:w w:val="105"/>
          <w:sz w:val="21"/>
        </w:rPr>
        <w:t> </w:t>
      </w:r>
      <w:r>
        <w:rPr>
          <w:color w:val="0C0C0C"/>
          <w:w w:val="105"/>
          <w:sz w:val="21"/>
        </w:rPr>
        <w:t>of</w:t>
      </w:r>
      <w:r>
        <w:rPr>
          <w:color w:val="0C0C0C"/>
          <w:spacing w:val="-10"/>
          <w:w w:val="105"/>
          <w:sz w:val="21"/>
        </w:rPr>
        <w:t> </w:t>
      </w:r>
      <w:r>
        <w:rPr>
          <w:color w:val="0C0C0C"/>
          <w:w w:val="105"/>
          <w:sz w:val="21"/>
        </w:rPr>
        <w:t>the</w:t>
      </w:r>
      <w:r>
        <w:rPr>
          <w:color w:val="0C0C0C"/>
          <w:spacing w:val="-9"/>
          <w:w w:val="105"/>
          <w:sz w:val="21"/>
        </w:rPr>
        <w:t> </w:t>
      </w:r>
      <w:r>
        <w:rPr>
          <w:color w:val="0C0C0C"/>
          <w:w w:val="105"/>
          <w:sz w:val="21"/>
        </w:rPr>
        <w:t>following</w:t>
      </w:r>
      <w:r>
        <w:rPr>
          <w:color w:val="0C0C0C"/>
          <w:spacing w:val="5"/>
          <w:w w:val="105"/>
          <w:sz w:val="21"/>
        </w:rPr>
        <w:t> </w:t>
      </w:r>
      <w:r>
        <w:rPr>
          <w:color w:val="0C0C0C"/>
          <w:spacing w:val="-2"/>
          <w:w w:val="105"/>
          <w:sz w:val="21"/>
        </w:rPr>
        <w:t>elements:</w:t>
      </w:r>
    </w:p>
    <w:p>
      <w:pPr>
        <w:pStyle w:val="BodyText"/>
        <w:spacing w:before="35"/>
        <w:rPr>
          <w:sz w:val="20"/>
        </w:rPr>
      </w:pPr>
    </w:p>
    <w:tbl>
      <w:tblPr>
        <w:tblW w:w="0" w:type="auto"/>
        <w:jc w:val="left"/>
        <w:tblInd w:w="141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08"/>
        <w:gridCol w:w="6981"/>
        <w:gridCol w:w="1308"/>
      </w:tblGrid>
      <w:tr>
        <w:trPr>
          <w:trHeight w:val="569" w:hRule="atLeast"/>
        </w:trPr>
        <w:tc>
          <w:tcPr>
            <w:tcW w:w="1308" w:type="dxa"/>
          </w:tcPr>
          <w:p>
            <w:pPr>
              <w:pStyle w:val="TableParagraph"/>
              <w:spacing w:before="3"/>
              <w:ind w:left="27" w:right="49"/>
              <w:jc w:val="center"/>
              <w:rPr>
                <w:b/>
                <w:sz w:val="21"/>
              </w:rPr>
            </w:pPr>
            <w:r>
              <w:rPr>
                <w:b/>
                <w:color w:val="0C0C0C"/>
                <w:w w:val="105"/>
                <w:sz w:val="21"/>
              </w:rPr>
              <w:t>31</w:t>
            </w:r>
            <w:r>
              <w:rPr>
                <w:b/>
                <w:color w:val="0C0C0C"/>
                <w:spacing w:val="-8"/>
                <w:w w:val="105"/>
                <w:sz w:val="21"/>
              </w:rPr>
              <w:t> </w:t>
            </w:r>
            <w:r>
              <w:rPr>
                <w:b/>
                <w:color w:val="0C0C0C"/>
                <w:spacing w:val="-4"/>
                <w:w w:val="105"/>
                <w:sz w:val="21"/>
              </w:rPr>
              <w:t>March</w:t>
            </w:r>
          </w:p>
          <w:p>
            <w:pPr>
              <w:pStyle w:val="TableParagraph"/>
              <w:spacing w:before="13"/>
              <w:ind w:left="27" w:right="49"/>
              <w:jc w:val="center"/>
              <w:rPr>
                <w:b/>
                <w:sz w:val="21"/>
              </w:rPr>
            </w:pPr>
            <w:r>
              <w:rPr>
                <w:b/>
                <w:color w:val="0C0C0C"/>
                <w:spacing w:val="-4"/>
                <w:sz w:val="21"/>
              </w:rPr>
              <w:t>2022</w:t>
            </w:r>
          </w:p>
        </w:tc>
        <w:tc>
          <w:tcPr>
            <w:tcW w:w="6981" w:type="dxa"/>
          </w:tcPr>
          <w:p>
            <w:pPr>
              <w:pStyle w:val="TableParagraph"/>
              <w:rPr>
                <w:rFonts w:ascii="Times New Roman"/>
                <w:sz w:val="20"/>
              </w:rPr>
            </w:pPr>
          </w:p>
        </w:tc>
        <w:tc>
          <w:tcPr>
            <w:tcW w:w="1308" w:type="dxa"/>
          </w:tcPr>
          <w:p>
            <w:pPr>
              <w:pStyle w:val="TableParagraph"/>
              <w:spacing w:line="235" w:lineRule="exact"/>
              <w:ind w:left="23" w:right="49"/>
              <w:jc w:val="center"/>
              <w:rPr>
                <w:b/>
                <w:sz w:val="21"/>
              </w:rPr>
            </w:pPr>
            <w:r>
              <w:rPr>
                <w:b/>
                <w:color w:val="0C0C0C"/>
                <w:w w:val="105"/>
                <w:sz w:val="21"/>
              </w:rPr>
              <w:t>31</w:t>
            </w:r>
            <w:r>
              <w:rPr>
                <w:b/>
                <w:color w:val="0C0C0C"/>
                <w:spacing w:val="2"/>
                <w:w w:val="105"/>
                <w:sz w:val="21"/>
              </w:rPr>
              <w:t> </w:t>
            </w:r>
            <w:r>
              <w:rPr>
                <w:b/>
                <w:color w:val="0C0C0C"/>
                <w:spacing w:val="-2"/>
                <w:w w:val="105"/>
                <w:sz w:val="21"/>
              </w:rPr>
              <w:t>March</w:t>
            </w:r>
          </w:p>
          <w:p>
            <w:pPr>
              <w:pStyle w:val="TableParagraph"/>
              <w:spacing w:before="13"/>
              <w:ind w:left="36" w:right="49"/>
              <w:jc w:val="center"/>
              <w:rPr>
                <w:b/>
                <w:sz w:val="21"/>
              </w:rPr>
            </w:pPr>
            <w:r>
              <w:rPr>
                <w:b/>
                <w:color w:val="0C0C0C"/>
                <w:spacing w:val="-4"/>
                <w:w w:val="105"/>
                <w:sz w:val="21"/>
              </w:rPr>
              <w:t>2023</w:t>
            </w:r>
          </w:p>
        </w:tc>
      </w:tr>
      <w:tr>
        <w:trPr>
          <w:trHeight w:val="482" w:hRule="atLeast"/>
        </w:trPr>
        <w:tc>
          <w:tcPr>
            <w:tcW w:w="1308" w:type="dxa"/>
          </w:tcPr>
          <w:p>
            <w:pPr>
              <w:pStyle w:val="TableParagraph"/>
              <w:spacing w:before="73"/>
              <w:ind w:left="397"/>
              <w:rPr>
                <w:b/>
                <w:sz w:val="21"/>
              </w:rPr>
            </w:pPr>
            <w:r>
              <w:rPr>
                <w:b/>
                <w:color w:val="0C0C0C"/>
                <w:spacing w:val="-4"/>
                <w:w w:val="105"/>
                <w:sz w:val="21"/>
              </w:rPr>
              <w:t>£000</w:t>
            </w:r>
          </w:p>
        </w:tc>
        <w:tc>
          <w:tcPr>
            <w:tcW w:w="6981" w:type="dxa"/>
          </w:tcPr>
          <w:p>
            <w:pPr>
              <w:pStyle w:val="TableParagraph"/>
              <w:rPr>
                <w:rFonts w:ascii="Times New Roman"/>
                <w:sz w:val="20"/>
              </w:rPr>
            </w:pPr>
          </w:p>
        </w:tc>
        <w:tc>
          <w:tcPr>
            <w:tcW w:w="1308" w:type="dxa"/>
          </w:tcPr>
          <w:p>
            <w:pPr>
              <w:pStyle w:val="TableParagraph"/>
              <w:spacing w:before="63"/>
              <w:ind w:left="397"/>
              <w:rPr>
                <w:b/>
                <w:sz w:val="21"/>
              </w:rPr>
            </w:pPr>
            <w:r>
              <w:rPr>
                <w:b/>
                <w:color w:val="0C0C0C"/>
                <w:spacing w:val="-4"/>
                <w:w w:val="105"/>
                <w:sz w:val="21"/>
              </w:rPr>
              <w:t>£000</w:t>
            </w:r>
          </w:p>
        </w:tc>
      </w:tr>
      <w:tr>
        <w:trPr>
          <w:trHeight w:val="437" w:hRule="atLeast"/>
        </w:trPr>
        <w:tc>
          <w:tcPr>
            <w:tcW w:w="1308" w:type="dxa"/>
          </w:tcPr>
          <w:p>
            <w:pPr>
              <w:pStyle w:val="TableParagraph"/>
              <w:spacing w:before="166"/>
              <w:ind w:right="130"/>
              <w:jc w:val="right"/>
              <w:rPr>
                <w:sz w:val="21"/>
              </w:rPr>
            </w:pPr>
            <w:r>
              <w:rPr>
                <w:color w:val="0C0C0C"/>
                <w:spacing w:val="-5"/>
                <w:w w:val="105"/>
                <w:sz w:val="21"/>
              </w:rPr>
              <w:t>777</w:t>
            </w:r>
          </w:p>
        </w:tc>
        <w:tc>
          <w:tcPr>
            <w:tcW w:w="6981" w:type="dxa"/>
          </w:tcPr>
          <w:p>
            <w:pPr>
              <w:pStyle w:val="TableParagraph"/>
              <w:spacing w:before="166"/>
              <w:ind w:left="325"/>
              <w:rPr>
                <w:sz w:val="21"/>
              </w:rPr>
            </w:pPr>
            <w:r>
              <w:rPr>
                <w:color w:val="0C0C0C"/>
                <w:w w:val="105"/>
                <w:sz w:val="21"/>
              </w:rPr>
              <w:t>Bank</w:t>
            </w:r>
            <w:r>
              <w:rPr>
                <w:color w:val="0C0C0C"/>
                <w:spacing w:val="-5"/>
                <w:w w:val="105"/>
                <w:sz w:val="21"/>
              </w:rPr>
              <w:t> </w:t>
            </w:r>
            <w:r>
              <w:rPr>
                <w:color w:val="0C0C0C"/>
                <w:w w:val="105"/>
                <w:sz w:val="21"/>
              </w:rPr>
              <w:t>current </w:t>
            </w:r>
            <w:r>
              <w:rPr>
                <w:color w:val="0C0C0C"/>
                <w:spacing w:val="-2"/>
                <w:w w:val="105"/>
                <w:sz w:val="21"/>
              </w:rPr>
              <w:t>accounts</w:t>
            </w:r>
          </w:p>
        </w:tc>
        <w:tc>
          <w:tcPr>
            <w:tcW w:w="1308" w:type="dxa"/>
          </w:tcPr>
          <w:p>
            <w:pPr>
              <w:pStyle w:val="TableParagraph"/>
              <w:spacing w:before="162"/>
              <w:ind w:right="119"/>
              <w:jc w:val="right"/>
              <w:rPr>
                <w:sz w:val="21"/>
              </w:rPr>
            </w:pPr>
            <w:r>
              <w:rPr>
                <w:color w:val="0C0C0C"/>
                <w:spacing w:val="-5"/>
                <w:w w:val="105"/>
                <w:sz w:val="21"/>
              </w:rPr>
              <w:t>890</w:t>
            </w:r>
          </w:p>
        </w:tc>
      </w:tr>
      <w:tr>
        <w:trPr>
          <w:trHeight w:val="577" w:hRule="atLeast"/>
        </w:trPr>
        <w:tc>
          <w:tcPr>
            <w:tcW w:w="1308" w:type="dxa"/>
            <w:tcBorders>
              <w:bottom w:val="single" w:color="000000" w:sz="6" w:space="0"/>
            </w:tcBorders>
          </w:tcPr>
          <w:p>
            <w:pPr>
              <w:pStyle w:val="TableParagraph"/>
              <w:spacing w:before="32"/>
              <w:ind w:right="128"/>
              <w:jc w:val="right"/>
              <w:rPr>
                <w:sz w:val="21"/>
              </w:rPr>
            </w:pPr>
            <w:r>
              <w:rPr>
                <w:color w:val="0C0C0C"/>
                <w:spacing w:val="-2"/>
                <w:w w:val="105"/>
                <w:sz w:val="21"/>
              </w:rPr>
              <w:t>27,607</w:t>
            </w:r>
          </w:p>
        </w:tc>
        <w:tc>
          <w:tcPr>
            <w:tcW w:w="6981" w:type="dxa"/>
          </w:tcPr>
          <w:p>
            <w:pPr>
              <w:pStyle w:val="TableParagraph"/>
              <w:spacing w:before="46"/>
              <w:ind w:left="325"/>
              <w:rPr>
                <w:sz w:val="21"/>
              </w:rPr>
            </w:pPr>
            <w:r>
              <w:rPr>
                <w:color w:val="0C0C0C"/>
                <w:w w:val="105"/>
                <w:sz w:val="21"/>
              </w:rPr>
              <w:t>Call</w:t>
            </w:r>
            <w:r>
              <w:rPr>
                <w:color w:val="0C0C0C"/>
                <w:spacing w:val="-8"/>
                <w:w w:val="105"/>
                <w:sz w:val="21"/>
              </w:rPr>
              <w:t> </w:t>
            </w:r>
            <w:r>
              <w:rPr>
                <w:color w:val="0C0C0C"/>
                <w:w w:val="105"/>
                <w:sz w:val="21"/>
              </w:rPr>
              <w:t>deposit</w:t>
            </w:r>
            <w:r>
              <w:rPr>
                <w:color w:val="0C0C0C"/>
                <w:spacing w:val="-1"/>
                <w:w w:val="105"/>
                <w:sz w:val="21"/>
              </w:rPr>
              <w:t> </w:t>
            </w:r>
            <w:r>
              <w:rPr>
                <w:color w:val="0C0C0C"/>
                <w:w w:val="105"/>
                <w:sz w:val="21"/>
              </w:rPr>
              <w:t>and</w:t>
            </w:r>
            <w:r>
              <w:rPr>
                <w:color w:val="0C0C0C"/>
                <w:spacing w:val="-10"/>
                <w:w w:val="105"/>
                <w:sz w:val="21"/>
              </w:rPr>
              <w:t> </w:t>
            </w:r>
            <w:r>
              <w:rPr>
                <w:color w:val="0C0C0C"/>
                <w:w w:val="105"/>
                <w:sz w:val="21"/>
              </w:rPr>
              <w:t>money</w:t>
            </w:r>
            <w:r>
              <w:rPr>
                <w:color w:val="0C0C0C"/>
                <w:spacing w:val="-3"/>
                <w:w w:val="105"/>
                <w:sz w:val="21"/>
              </w:rPr>
              <w:t> </w:t>
            </w:r>
            <w:r>
              <w:rPr>
                <w:color w:val="0C0C0C"/>
                <w:w w:val="105"/>
                <w:sz w:val="21"/>
              </w:rPr>
              <w:t>market </w:t>
            </w:r>
            <w:r>
              <w:rPr>
                <w:color w:val="0C0C0C"/>
                <w:spacing w:val="-2"/>
                <w:w w:val="105"/>
                <w:sz w:val="21"/>
              </w:rPr>
              <w:t>funds</w:t>
            </w:r>
          </w:p>
        </w:tc>
        <w:tc>
          <w:tcPr>
            <w:tcW w:w="1308" w:type="dxa"/>
            <w:tcBorders>
              <w:bottom w:val="single" w:color="000000" w:sz="6" w:space="0"/>
            </w:tcBorders>
          </w:tcPr>
          <w:p>
            <w:pPr>
              <w:pStyle w:val="TableParagraph"/>
              <w:spacing w:before="22"/>
              <w:ind w:right="122"/>
              <w:jc w:val="right"/>
              <w:rPr>
                <w:sz w:val="21"/>
              </w:rPr>
            </w:pPr>
            <w:r>
              <w:rPr>
                <w:color w:val="0C0C0C"/>
                <w:spacing w:val="-2"/>
                <w:w w:val="105"/>
                <w:sz w:val="21"/>
              </w:rPr>
              <w:t>27,491</w:t>
            </w:r>
          </w:p>
        </w:tc>
      </w:tr>
      <w:tr>
        <w:trPr>
          <w:trHeight w:val="299" w:hRule="atLeast"/>
        </w:trPr>
        <w:tc>
          <w:tcPr>
            <w:tcW w:w="1308" w:type="dxa"/>
            <w:tcBorders>
              <w:top w:val="single" w:color="000000" w:sz="6" w:space="0"/>
            </w:tcBorders>
          </w:tcPr>
          <w:p>
            <w:pPr>
              <w:pStyle w:val="TableParagraph"/>
              <w:spacing w:before="35" w:line="234" w:lineRule="exact"/>
              <w:ind w:right="129"/>
              <w:jc w:val="right"/>
              <w:rPr>
                <w:b/>
                <w:sz w:val="21"/>
              </w:rPr>
            </w:pPr>
            <w:r>
              <w:rPr/>
              <ve:AlternateContent>
                <ve:Choice Requires="wps">
                  <w:drawing>
                    <wp:anchor distT="0" distB="0" distL="0" distR="0" simplePos="0" relativeHeight="15814656" behindDoc="0" locked="0" layoutInCell="1" allowOverlap="1">
                      <wp:simplePos x="0" y="0"/>
                      <wp:positionH relativeFrom="column">
                        <wp:posOffset>-12211</wp:posOffset>
                      </wp:positionH>
                      <wp:positionV relativeFrom="paragraph">
                        <wp:posOffset>186974</wp:posOffset>
                      </wp:positionV>
                      <wp:extent cx="842644" cy="12700"/>
                      <wp:effectExtent l="0" t="0" r="0" b="0"/>
                      <wp:wrapNone/>
                      <wp:docPr id="374" name="Group 374"/>
                      <wp:cNvGraphicFramePr>
                        <a:graphicFrameLocks/>
                      </wp:cNvGraphicFramePr>
                      <a:graphic>
                        <a:graphicData uri="http://schemas.microsoft.com/office/word/2010/wordprocessingGroup">
                          <wpg:wgp>
                            <wpg:cNvPr id="374" name="Group 374"/>
                            <wpg:cNvGrpSpPr/>
                            <wpg:grpSpPr>
                              <a:xfrm>
                                <a:off x="0" y="0"/>
                                <a:ext cx="842644" cy="12700"/>
                                <a:chExt cx="842644" cy="12700"/>
                              </a:xfrm>
                            </wpg:grpSpPr>
                            <wps:wsp>
                              <wps:cNvPr id="375" name="Graphic 375"/>
                              <wps:cNvSpPr/>
                              <wps:spPr>
                                <a:xfrm>
                                  <a:off x="0" y="6102"/>
                                  <a:ext cx="842644" cy="1270"/>
                                </a:xfrm>
                                <a:custGeom>
                                  <a:avLst/>
                                  <a:gdLst/>
                                  <a:ahLst/>
                                  <a:cxnLst/>
                                  <a:rect l="l" t="t" r="r" b="b"/>
                                  <a:pathLst>
                                    <a:path w="842644" h="0">
                                      <a:moveTo>
                                        <a:pt x="0" y="0"/>
                                      </a:moveTo>
                                      <a:lnTo>
                                        <a:pt x="842604"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248" style="position:absolute;margin-left:-.961549pt;margin-top:14.722394pt;width:66.350pt;height:1pt;mso-position-horizontal-relative:column;mso-position-vertical-relative:paragraph;z-index:15814656" coordsize="1327,20" coordorigin="-19,294">
                      <v:line style="position:absolute" stroked="true" strokecolor="#000000" strokeweight=".961095pt" from="-19,304" to="1308,304">
                        <v:stroke dashstyle="solid"/>
                      </v:line>
                      <w10:wrap type="none"/>
                    </v:group>
                  </w:pict>
                </ve:Fallback>
              </ve:AlternateContent>
            </w:r>
            <w:r>
              <w:rPr>
                <w:b/>
                <w:color w:val="0C0C0C"/>
                <w:spacing w:val="-2"/>
                <w:w w:val="105"/>
                <w:sz w:val="21"/>
              </w:rPr>
              <w:t>28,384</w:t>
            </w:r>
          </w:p>
        </w:tc>
        <w:tc>
          <w:tcPr>
            <w:tcW w:w="6981" w:type="dxa"/>
          </w:tcPr>
          <w:p>
            <w:pPr>
              <w:pStyle w:val="TableParagraph"/>
              <w:spacing w:before="64" w:line="215" w:lineRule="exact"/>
              <w:ind w:left="326"/>
              <w:rPr>
                <w:b/>
                <w:sz w:val="21"/>
              </w:rPr>
            </w:pPr>
            <w:r>
              <w:rPr>
                <w:b/>
                <w:color w:val="0C0C0C"/>
                <w:spacing w:val="-4"/>
                <w:w w:val="105"/>
                <w:sz w:val="21"/>
              </w:rPr>
              <w:t>Total</w:t>
            </w:r>
          </w:p>
        </w:tc>
        <w:tc>
          <w:tcPr>
            <w:tcW w:w="1308" w:type="dxa"/>
            <w:tcBorders>
              <w:top w:val="single" w:color="000000" w:sz="6" w:space="0"/>
              <w:bottom w:val="single" w:color="000000" w:sz="8" w:space="0"/>
            </w:tcBorders>
          </w:tcPr>
          <w:p>
            <w:pPr>
              <w:pStyle w:val="TableParagraph"/>
              <w:spacing w:before="35"/>
              <w:ind w:right="123"/>
              <w:jc w:val="right"/>
              <w:rPr>
                <w:b/>
                <w:sz w:val="21"/>
              </w:rPr>
            </w:pPr>
            <w:r>
              <w:rPr>
                <w:b/>
                <w:color w:val="0C0C0C"/>
                <w:spacing w:val="-2"/>
                <w:w w:val="105"/>
                <w:sz w:val="21"/>
              </w:rPr>
              <w:t>28,381</w:t>
            </w:r>
          </w:p>
        </w:tc>
      </w:tr>
    </w:tbl>
    <w:p>
      <w:pPr>
        <w:spacing w:after="0"/>
        <w:jc w:val="right"/>
        <w:rPr>
          <w:sz w:val="21"/>
        </w:rPr>
        <w:sectPr>
          <w:headerReference w:type="default" r:id="rId168"/>
          <w:pgSz w:w="11910" w:h="16830"/>
          <w:pgMar w:top="920" w:right="300" w:bottom="1320" w:left="0" w:header="726" w:footer="0"/>
        </w:sectPr>
      </w:pPr>
    </w:p>
    <w:p>
      <w:pPr>
        <w:pStyle w:val="BodyText"/>
        <w:rPr>
          <w:sz w:val="15"/>
        </w:rPr>
      </w:pPr>
    </w:p>
    <w:p>
      <w:pPr>
        <w:pStyle w:val="BodyText"/>
        <w:rPr>
          <w:sz w:val="15"/>
        </w:rPr>
      </w:pPr>
    </w:p>
    <w:p>
      <w:pPr>
        <w:pStyle w:val="BodyText"/>
        <w:rPr>
          <w:sz w:val="15"/>
        </w:rPr>
      </w:pPr>
    </w:p>
    <w:p>
      <w:pPr>
        <w:pStyle w:val="BodyText"/>
        <w:rPr>
          <w:sz w:val="15"/>
        </w:rPr>
      </w:pPr>
    </w:p>
    <w:p>
      <w:pPr>
        <w:pStyle w:val="BodyText"/>
        <w:spacing w:before="55"/>
        <w:rPr>
          <w:sz w:val="15"/>
        </w:rPr>
      </w:pPr>
    </w:p>
    <w:p>
      <w:pPr>
        <w:tabs>
          <w:tab w:val="left" w:leader="none" w:pos="2228"/>
        </w:tabs>
        <w:spacing w:before="1"/>
        <w:ind w:left="1527" w:right="0" w:firstLine="0"/>
        <w:jc w:val="left"/>
        <w:rPr>
          <w:sz w:val="15"/>
        </w:rPr>
      </w:pPr>
      <w:r>
        <w:rPr/>
        <ve:AlternateContent>
          <ve:Choice Requires="wps">
            <w:drawing>
              <wp:anchor distT="0" distB="0" distL="0" distR="0" simplePos="0" relativeHeight="15815680" behindDoc="0" locked="0" layoutInCell="1" allowOverlap="1">
                <wp:simplePos x="0" y="0"/>
                <wp:positionH relativeFrom="page">
                  <wp:posOffset>131275</wp:posOffset>
                </wp:positionH>
                <wp:positionV relativeFrom="paragraph">
                  <wp:posOffset>22822</wp:posOffset>
                </wp:positionV>
                <wp:extent cx="1270" cy="415290"/>
                <wp:effectExtent l="0" t="0" r="0" b="0"/>
                <wp:wrapNone/>
                <wp:docPr id="378" name="Graphic 378"/>
                <wp:cNvGraphicFramePr>
                  <a:graphicFrameLocks/>
                </wp:cNvGraphicFramePr>
                <a:graphic>
                  <a:graphicData uri="http://schemas.microsoft.com/office/word/2010/wordprocessingShape">
                    <wps:wsp>
                      <wps:cNvPr id="378" name="Graphic 378"/>
                      <wps:cNvSpPr/>
                      <wps:spPr>
                        <a:xfrm>
                          <a:off x="0" y="0"/>
                          <a:ext cx="1270" cy="415290"/>
                        </a:xfrm>
                        <a:custGeom>
                          <a:avLst/>
                          <a:gdLst/>
                          <a:ahLst/>
                          <a:cxnLst/>
                          <a:rect l="l" t="t" r="r" b="b"/>
                          <a:pathLst>
                            <a:path w="0" h="415290">
                              <a:moveTo>
                                <a:pt x="0" y="415000"/>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15680" stroked="true" strokecolor="#000000" strokeweight=".961549pt" from="10.336646pt,34.474308pt" to="10.336646pt,1.797067pt">
                <v:stroke dashstyle="solid"/>
                <w10:wrap type="none"/>
              </v:line>
            </w:pict>
          </ve:Fallback>
        </ve:AlternateContent>
      </w:r>
      <w:r>
        <w:rPr/>
        <ve:AlternateContent>
          <ve:Choice Requires="wps">
            <w:drawing>
              <wp:anchor distT="0" distB="0" distL="0" distR="0" simplePos="0" relativeHeight="15816192" behindDoc="0" locked="0" layoutInCell="1" allowOverlap="1">
                <wp:simplePos x="0" y="0"/>
                <wp:positionH relativeFrom="page">
                  <wp:posOffset>140434</wp:posOffset>
                </wp:positionH>
                <wp:positionV relativeFrom="paragraph">
                  <wp:posOffset>-587472</wp:posOffset>
                </wp:positionV>
                <wp:extent cx="1270" cy="525145"/>
                <wp:effectExtent l="0" t="0" r="0" b="0"/>
                <wp:wrapNone/>
                <wp:docPr id="379" name="Graphic 379"/>
                <wp:cNvGraphicFramePr>
                  <a:graphicFrameLocks/>
                </wp:cNvGraphicFramePr>
                <a:graphic>
                  <a:graphicData uri="http://schemas.microsoft.com/office/word/2010/wordprocessingShape">
                    <wps:wsp>
                      <wps:cNvPr id="379" name="Graphic 379"/>
                      <wps:cNvSpPr/>
                      <wps:spPr>
                        <a:xfrm>
                          <a:off x="0" y="0"/>
                          <a:ext cx="1270" cy="525145"/>
                        </a:xfrm>
                        <a:custGeom>
                          <a:avLst/>
                          <a:gdLst/>
                          <a:ahLst/>
                          <a:cxnLst/>
                          <a:rect l="l" t="t" r="r" b="b"/>
                          <a:pathLst>
                            <a:path w="0" h="525145">
                              <a:moveTo>
                                <a:pt x="0" y="524854"/>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16192" stroked="true" strokecolor="#000000" strokeweight=".961549pt" from="11.057808pt,-4.9306pt" to="11.057808pt,-46.257698pt">
                <v:stroke dashstyle="solid"/>
                <w10:wrap type="none"/>
              </v:line>
            </w:pict>
          </ve:Fallback>
        </ve:AlternateContent>
      </w:r>
      <w:r>
        <w:rPr>
          <w:color w:val="666666"/>
          <w:spacing w:val="-10"/>
          <w:w w:val="105"/>
          <w:sz w:val="15"/>
        </w:rPr>
        <w:t>5</w:t>
      </w:r>
      <w:r>
        <w:rPr>
          <w:color w:val="666666"/>
          <w:sz w:val="15"/>
        </w:rPr>
        <w:tab/>
      </w:r>
      <w:r>
        <w:rPr>
          <w:color w:val="666666"/>
          <w:w w:val="105"/>
          <w:sz w:val="15"/>
        </w:rPr>
        <w:t>NOTES</w:t>
      </w:r>
      <w:r>
        <w:rPr>
          <w:color w:val="666666"/>
          <w:spacing w:val="12"/>
          <w:w w:val="105"/>
          <w:sz w:val="15"/>
        </w:rPr>
        <w:t> </w:t>
      </w:r>
      <w:r>
        <w:rPr>
          <w:i/>
          <w:color w:val="666666"/>
          <w:w w:val="105"/>
          <w:sz w:val="14"/>
        </w:rPr>
        <w:t>TO</w:t>
      </w:r>
      <w:r>
        <w:rPr>
          <w:i/>
          <w:color w:val="666666"/>
          <w:spacing w:val="21"/>
          <w:w w:val="105"/>
          <w:sz w:val="14"/>
        </w:rPr>
        <w:t> </w:t>
      </w:r>
      <w:r>
        <w:rPr>
          <w:color w:val="4F4F4F"/>
          <w:w w:val="105"/>
          <w:sz w:val="15"/>
        </w:rPr>
        <w:t>THE</w:t>
      </w:r>
      <w:r>
        <w:rPr>
          <w:color w:val="4F4F4F"/>
          <w:spacing w:val="14"/>
          <w:w w:val="105"/>
          <w:sz w:val="15"/>
        </w:rPr>
        <w:t> </w:t>
      </w:r>
      <w:r>
        <w:rPr>
          <w:color w:val="666666"/>
          <w:spacing w:val="-2"/>
          <w:w w:val="105"/>
          <w:sz w:val="15"/>
        </w:rPr>
        <w:t>ACCOUNTS</w:t>
      </w:r>
    </w:p>
    <w:p>
      <w:pPr>
        <w:pStyle w:val="BodyText"/>
        <w:spacing w:before="69"/>
        <w:rPr>
          <w:sz w:val="15"/>
        </w:rPr>
      </w:pPr>
    </w:p>
    <w:p>
      <w:pPr>
        <w:pStyle w:val="ListParagraph"/>
        <w:numPr>
          <w:ilvl w:val="1"/>
          <w:numId w:val="19"/>
        </w:numPr>
        <w:tabs>
          <w:tab w:val="left" w:leader="none" w:pos="2216"/>
        </w:tabs>
        <w:spacing w:before="0" w:after="0" w:line="240" w:lineRule="auto"/>
        <w:ind w:left="2216" w:right="0" w:hanging="707"/>
        <w:jc w:val="left"/>
        <w:rPr>
          <w:b/>
          <w:color w:val="4F4F4F"/>
          <w:sz w:val="21"/>
        </w:rPr>
      </w:pPr>
      <w:r>
        <w:rPr>
          <w:b/>
          <w:color w:val="4F4F4F"/>
          <w:spacing w:val="-2"/>
          <w:w w:val="105"/>
          <w:sz w:val="21"/>
        </w:rPr>
        <w:t>Creditors</w:t>
      </w:r>
    </w:p>
    <w:p>
      <w:pPr>
        <w:pStyle w:val="BodyText"/>
        <w:spacing w:before="1"/>
        <w:rPr>
          <w:b/>
          <w:sz w:val="13"/>
        </w:rPr>
      </w:pPr>
    </w:p>
    <w:p>
      <w:pPr>
        <w:spacing w:after="0"/>
        <w:rPr>
          <w:sz w:val="13"/>
        </w:rPr>
        <w:sectPr>
          <w:headerReference w:type="even" r:id="rId169"/>
          <w:footerReference w:type="even" r:id="rId170"/>
          <w:footerReference w:type="default" r:id="rId171"/>
          <w:pgSz w:w="11910" w:h="16830"/>
          <w:pgMar w:top="220" w:right="300" w:bottom="920" w:left="0" w:header="0" w:footer="736"/>
        </w:sectPr>
      </w:pPr>
    </w:p>
    <w:p>
      <w:pPr>
        <w:spacing w:before="94"/>
        <w:ind w:left="1716" w:right="0" w:firstLine="0"/>
        <w:jc w:val="center"/>
        <w:rPr>
          <w:b/>
          <w:sz w:val="21"/>
        </w:rPr>
      </w:pPr>
      <w:r>
        <w:rPr>
          <w:b/>
          <w:color w:val="4F4F4F"/>
          <w:w w:val="105"/>
          <w:sz w:val="21"/>
        </w:rPr>
        <w:t>31</w:t>
      </w:r>
      <w:r>
        <w:rPr>
          <w:b/>
          <w:color w:val="4F4F4F"/>
          <w:spacing w:val="-13"/>
          <w:w w:val="105"/>
          <w:sz w:val="21"/>
        </w:rPr>
        <w:t> </w:t>
      </w:r>
      <w:r>
        <w:rPr>
          <w:b/>
          <w:color w:val="4F4F4F"/>
          <w:spacing w:val="-4"/>
          <w:w w:val="105"/>
          <w:sz w:val="21"/>
        </w:rPr>
        <w:t>March</w:t>
      </w:r>
    </w:p>
    <w:p>
      <w:pPr>
        <w:spacing w:before="13"/>
        <w:ind w:left="1716" w:right="10" w:firstLine="0"/>
        <w:jc w:val="center"/>
        <w:rPr>
          <w:b/>
          <w:sz w:val="21"/>
        </w:rPr>
      </w:pPr>
      <w:r>
        <w:rPr>
          <w:b/>
          <w:color w:val="4F4F4F"/>
          <w:spacing w:val="-4"/>
          <w:w w:val="105"/>
          <w:sz w:val="21"/>
        </w:rPr>
        <w:t>2022</w:t>
      </w:r>
    </w:p>
    <w:p>
      <w:pPr>
        <w:pStyle w:val="BodyText"/>
        <w:spacing w:before="65"/>
        <w:rPr>
          <w:b/>
          <w:sz w:val="21"/>
        </w:rPr>
      </w:pPr>
    </w:p>
    <w:p>
      <w:pPr>
        <w:spacing w:before="0"/>
        <w:ind w:left="1716" w:right="26" w:firstLine="0"/>
        <w:jc w:val="center"/>
        <w:rPr>
          <w:b/>
          <w:sz w:val="21"/>
        </w:rPr>
      </w:pPr>
      <w:r>
        <w:rPr>
          <w:b/>
          <w:color w:val="0A0A0A"/>
          <w:spacing w:val="-4"/>
          <w:w w:val="105"/>
          <w:sz w:val="21"/>
        </w:rPr>
        <w:t>£000</w:t>
      </w:r>
    </w:p>
    <w:p>
      <w:pPr>
        <w:spacing w:before="99"/>
        <w:ind w:left="1199" w:right="8" w:firstLine="0"/>
        <w:jc w:val="center"/>
        <w:rPr>
          <w:b/>
          <w:sz w:val="21"/>
        </w:rPr>
      </w:pPr>
      <w:r>
        <w:rPr/>
        <w:br w:type="column"/>
      </w:r>
      <w:r>
        <w:rPr>
          <w:b/>
          <w:color w:val="0A0A0A"/>
          <w:w w:val="105"/>
          <w:sz w:val="21"/>
        </w:rPr>
        <w:t>31</w:t>
      </w:r>
      <w:r>
        <w:rPr>
          <w:b/>
          <w:color w:val="0A0A0A"/>
          <w:spacing w:val="-3"/>
          <w:w w:val="105"/>
          <w:sz w:val="21"/>
        </w:rPr>
        <w:t> </w:t>
      </w:r>
      <w:r>
        <w:rPr>
          <w:b/>
          <w:color w:val="0A0A0A"/>
          <w:spacing w:val="-2"/>
          <w:w w:val="105"/>
          <w:sz w:val="21"/>
        </w:rPr>
        <w:t>March</w:t>
      </w:r>
    </w:p>
    <w:p>
      <w:pPr>
        <w:spacing w:before="13"/>
        <w:ind w:left="1199" w:right="0" w:firstLine="0"/>
        <w:jc w:val="center"/>
        <w:rPr>
          <w:b/>
          <w:sz w:val="21"/>
        </w:rPr>
      </w:pPr>
      <w:r>
        <w:rPr>
          <w:b/>
          <w:color w:val="0A0A0A"/>
          <w:spacing w:val="-4"/>
          <w:sz w:val="21"/>
        </w:rPr>
        <w:t>2023</w:t>
      </w:r>
    </w:p>
    <w:p>
      <w:pPr>
        <w:pStyle w:val="BodyText"/>
        <w:spacing w:before="64"/>
        <w:rPr>
          <w:b/>
          <w:sz w:val="21"/>
        </w:rPr>
      </w:pPr>
    </w:p>
    <w:p>
      <w:pPr>
        <w:spacing w:before="1"/>
        <w:ind w:left="1199" w:right="16" w:firstLine="0"/>
        <w:jc w:val="center"/>
        <w:rPr>
          <w:b/>
          <w:sz w:val="21"/>
        </w:rPr>
      </w:pPr>
      <w:r>
        <w:rPr>
          <w:b/>
          <w:color w:val="0A0A0A"/>
          <w:spacing w:val="-4"/>
          <w:w w:val="105"/>
          <w:sz w:val="21"/>
        </w:rPr>
        <w:t>£000</w:t>
      </w:r>
    </w:p>
    <w:p>
      <w:pPr>
        <w:spacing w:after="0"/>
        <w:jc w:val="center"/>
        <w:rPr>
          <w:sz w:val="21"/>
        </w:rPr>
        <w:sectPr>
          <w:type w:val="continuous"/>
          <w:pgSz w:w="11910" w:h="16830"/>
          <w:pgMar w:top="1940" w:right="300" w:bottom="280" w:left="0" w:header="0" w:footer="736"/>
          <w:cols w:equalWidth="0" w:num="2">
            <w:col w:w="2736" w:space="5610"/>
            <w:col w:w="3264"/>
          </w:cols>
        </w:sectPr>
      </w:pPr>
    </w:p>
    <w:p>
      <w:pPr>
        <w:pStyle w:val="BodyText"/>
        <w:spacing w:before="93"/>
        <w:rPr>
          <w:b/>
          <w:sz w:val="21"/>
        </w:rPr>
      </w:pPr>
    </w:p>
    <w:p>
      <w:pPr>
        <w:spacing w:before="0"/>
        <w:ind w:left="3283" w:right="0" w:firstLine="0"/>
        <w:jc w:val="left"/>
        <w:rPr>
          <w:b/>
          <w:sz w:val="21"/>
        </w:rPr>
      </w:pPr>
      <w:r>
        <w:rPr>
          <w:b/>
          <w:color w:val="0A0A0A"/>
          <w:w w:val="105"/>
          <w:sz w:val="21"/>
        </w:rPr>
        <w:t>Amounts</w:t>
      </w:r>
      <w:r>
        <w:rPr>
          <w:b/>
          <w:color w:val="0A0A0A"/>
          <w:spacing w:val="-3"/>
          <w:w w:val="105"/>
          <w:sz w:val="21"/>
        </w:rPr>
        <w:t> </w:t>
      </w:r>
      <w:r>
        <w:rPr>
          <w:b/>
          <w:color w:val="0A0A0A"/>
          <w:w w:val="105"/>
          <w:sz w:val="21"/>
        </w:rPr>
        <w:t>payable</w:t>
      </w:r>
      <w:r>
        <w:rPr>
          <w:b/>
          <w:color w:val="0A0A0A"/>
          <w:spacing w:val="-7"/>
          <w:w w:val="105"/>
          <w:sz w:val="21"/>
        </w:rPr>
        <w:t> </w:t>
      </w:r>
      <w:r>
        <w:rPr>
          <w:b/>
          <w:color w:val="0A0A0A"/>
          <w:w w:val="105"/>
          <w:sz w:val="21"/>
        </w:rPr>
        <w:t>within</w:t>
      </w:r>
      <w:r>
        <w:rPr>
          <w:b/>
          <w:color w:val="0A0A0A"/>
          <w:spacing w:val="-6"/>
          <w:w w:val="105"/>
          <w:sz w:val="21"/>
        </w:rPr>
        <w:t> </w:t>
      </w:r>
      <w:r>
        <w:rPr>
          <w:b/>
          <w:color w:val="0A0A0A"/>
          <w:w w:val="105"/>
          <w:sz w:val="21"/>
        </w:rPr>
        <w:t>one</w:t>
      </w:r>
      <w:r>
        <w:rPr>
          <w:b/>
          <w:color w:val="0A0A0A"/>
          <w:spacing w:val="-7"/>
          <w:w w:val="105"/>
          <w:sz w:val="21"/>
        </w:rPr>
        <w:t> </w:t>
      </w:r>
      <w:r>
        <w:rPr>
          <w:b/>
          <w:color w:val="0A0A0A"/>
          <w:spacing w:val="-2"/>
          <w:w w:val="105"/>
          <w:sz w:val="21"/>
        </w:rPr>
        <w:t>year:</w:t>
      </w:r>
    </w:p>
    <w:p>
      <w:pPr>
        <w:pStyle w:val="BodyText"/>
        <w:spacing w:before="36"/>
        <w:rPr>
          <w:b/>
          <w:sz w:val="20"/>
        </w:rPr>
      </w:pPr>
    </w:p>
    <w:p>
      <w:pPr>
        <w:spacing w:after="0"/>
        <w:rPr>
          <w:sz w:val="20"/>
        </w:rPr>
        <w:sectPr>
          <w:type w:val="continuous"/>
          <w:pgSz w:w="11910" w:h="16830"/>
          <w:pgMar w:top="1940" w:right="300" w:bottom="280" w:left="0" w:header="0" w:footer="736"/>
        </w:sectPr>
      </w:pPr>
    </w:p>
    <w:p>
      <w:pPr>
        <w:pStyle w:val="BodyText"/>
        <w:spacing w:before="150"/>
        <w:rPr>
          <w:b/>
          <w:sz w:val="21"/>
        </w:rPr>
      </w:pPr>
    </w:p>
    <w:p>
      <w:pPr>
        <w:spacing w:before="0"/>
        <w:ind w:left="0" w:right="0" w:firstLine="0"/>
        <w:jc w:val="right"/>
        <w:rPr>
          <w:sz w:val="21"/>
        </w:rPr>
      </w:pPr>
      <w:r>
        <w:rPr>
          <w:color w:val="0A0A0A"/>
          <w:spacing w:val="-4"/>
          <w:w w:val="105"/>
          <w:sz w:val="21"/>
        </w:rPr>
        <w:t>4,208</w:t>
      </w:r>
    </w:p>
    <w:p>
      <w:pPr>
        <w:spacing w:before="94"/>
        <w:ind w:left="505" w:right="0" w:firstLine="0"/>
        <w:jc w:val="left"/>
        <w:rPr>
          <w:i/>
          <w:sz w:val="21"/>
        </w:rPr>
      </w:pPr>
      <w:r>
        <w:rPr/>
        <w:br w:type="column"/>
      </w:r>
      <w:r>
        <w:rPr>
          <w:i/>
          <w:color w:val="0A0A0A"/>
          <w:w w:val="105"/>
          <w:sz w:val="21"/>
        </w:rPr>
        <w:t>Financial</w:t>
      </w:r>
      <w:r>
        <w:rPr>
          <w:i/>
          <w:color w:val="0A0A0A"/>
          <w:spacing w:val="-8"/>
          <w:w w:val="105"/>
          <w:sz w:val="21"/>
        </w:rPr>
        <w:t> </w:t>
      </w:r>
      <w:r>
        <w:rPr>
          <w:i/>
          <w:color w:val="0A0A0A"/>
          <w:spacing w:val="-2"/>
          <w:w w:val="105"/>
          <w:sz w:val="21"/>
        </w:rPr>
        <w:t>liabilities</w:t>
      </w:r>
    </w:p>
    <w:p>
      <w:pPr>
        <w:spacing w:before="61"/>
        <w:ind w:left="500" w:right="0" w:firstLine="0"/>
        <w:jc w:val="left"/>
        <w:rPr>
          <w:sz w:val="21"/>
        </w:rPr>
      </w:pPr>
      <w:r>
        <w:rPr>
          <w:color w:val="0A0A0A"/>
          <w:w w:val="105"/>
          <w:sz w:val="21"/>
        </w:rPr>
        <w:t>Sundry</w:t>
      </w:r>
      <w:r>
        <w:rPr>
          <w:color w:val="0A0A0A"/>
          <w:spacing w:val="3"/>
          <w:w w:val="105"/>
          <w:sz w:val="21"/>
        </w:rPr>
        <w:t> </w:t>
      </w:r>
      <w:r>
        <w:rPr>
          <w:color w:val="0A0A0A"/>
          <w:spacing w:val="-2"/>
          <w:w w:val="105"/>
          <w:sz w:val="21"/>
        </w:rPr>
        <w:t>creditors</w:t>
      </w:r>
    </w:p>
    <w:p>
      <w:pPr>
        <w:spacing w:before="179" w:line="240" w:lineRule="auto"/>
        <w:rPr>
          <w:sz w:val="21"/>
        </w:rPr>
      </w:pPr>
      <w:r>
        <w:rPr/>
        <w:br w:type="column"/>
      </w:r>
      <w:r>
        <w:rPr>
          <w:sz w:val="21"/>
        </w:rPr>
      </w:r>
    </w:p>
    <w:p>
      <w:pPr>
        <w:spacing w:before="0"/>
        <w:ind w:left="0" w:right="518" w:firstLine="0"/>
        <w:jc w:val="right"/>
        <w:rPr>
          <w:sz w:val="21"/>
        </w:rPr>
      </w:pPr>
      <w:r>
        <w:rPr>
          <w:color w:val="0A0A0A"/>
          <w:spacing w:val="-4"/>
          <w:w w:val="105"/>
          <w:sz w:val="21"/>
        </w:rPr>
        <w:t>4,900</w:t>
      </w:r>
    </w:p>
    <w:p>
      <w:pPr>
        <w:spacing w:after="0"/>
        <w:jc w:val="right"/>
        <w:rPr>
          <w:sz w:val="21"/>
        </w:rPr>
        <w:sectPr>
          <w:type w:val="continuous"/>
          <w:pgSz w:w="11910" w:h="16830"/>
          <w:pgMar w:top="1940" w:right="300" w:bottom="280" w:left="0" w:header="0" w:footer="736"/>
          <w:cols w:equalWidth="0" w:num="3">
            <w:col w:w="2734" w:space="40"/>
            <w:col w:w="2311" w:space="3276"/>
            <w:col w:w="3249"/>
          </w:cols>
        </w:sectPr>
      </w:pPr>
    </w:p>
    <w:p>
      <w:pPr>
        <w:pStyle w:val="BodyText"/>
        <w:spacing w:before="9"/>
        <w:rPr>
          <w:sz w:val="3"/>
        </w:rPr>
      </w:pPr>
    </w:p>
    <w:tbl>
      <w:tblPr>
        <w:tblW w:w="0" w:type="auto"/>
        <w:jc w:val="left"/>
        <w:tblInd w:w="13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579"/>
        <w:gridCol w:w="1287"/>
        <w:gridCol w:w="6669"/>
        <w:gridCol w:w="1336"/>
      </w:tblGrid>
      <w:tr>
        <w:trPr>
          <w:trHeight w:val="258" w:hRule="atLeast"/>
        </w:trPr>
        <w:tc>
          <w:tcPr>
            <w:tcW w:w="579" w:type="dxa"/>
            <w:vMerge w:val="restart"/>
          </w:tcPr>
          <w:p>
            <w:pPr>
              <w:pStyle w:val="TableParagraph"/>
              <w:rPr>
                <w:rFonts w:ascii="Times New Roman"/>
                <w:sz w:val="20"/>
              </w:rPr>
            </w:pPr>
          </w:p>
        </w:tc>
        <w:tc>
          <w:tcPr>
            <w:tcW w:w="1287" w:type="dxa"/>
          </w:tcPr>
          <w:p>
            <w:pPr>
              <w:pStyle w:val="TableParagraph"/>
              <w:rPr>
                <w:rFonts w:ascii="Times New Roman"/>
                <w:sz w:val="18"/>
              </w:rPr>
            </w:pPr>
          </w:p>
        </w:tc>
        <w:tc>
          <w:tcPr>
            <w:tcW w:w="6669" w:type="dxa"/>
          </w:tcPr>
          <w:p>
            <w:pPr>
              <w:pStyle w:val="TableParagraph"/>
              <w:spacing w:line="235" w:lineRule="exact"/>
              <w:ind w:left="61"/>
              <w:rPr>
                <w:sz w:val="21"/>
              </w:rPr>
            </w:pPr>
            <w:r>
              <w:rPr>
                <w:color w:val="0A0A0A"/>
                <w:w w:val="105"/>
                <w:sz w:val="21"/>
              </w:rPr>
              <w:t>Due</w:t>
            </w:r>
            <w:r>
              <w:rPr>
                <w:color w:val="0A0A0A"/>
                <w:spacing w:val="3"/>
                <w:w w:val="105"/>
                <w:sz w:val="21"/>
              </w:rPr>
              <w:t> </w:t>
            </w:r>
            <w:r>
              <w:rPr>
                <w:color w:val="0A0A0A"/>
                <w:w w:val="105"/>
                <w:sz w:val="21"/>
              </w:rPr>
              <w:t>to</w:t>
            </w:r>
            <w:r>
              <w:rPr>
                <w:color w:val="0A0A0A"/>
                <w:spacing w:val="-6"/>
                <w:w w:val="105"/>
                <w:sz w:val="21"/>
              </w:rPr>
              <w:t> </w:t>
            </w:r>
            <w:r>
              <w:rPr>
                <w:color w:val="0A0A0A"/>
                <w:w w:val="105"/>
                <w:sz w:val="21"/>
              </w:rPr>
              <w:t>group</w:t>
            </w:r>
            <w:r>
              <w:rPr>
                <w:color w:val="0A0A0A"/>
                <w:spacing w:val="-4"/>
                <w:w w:val="105"/>
                <w:sz w:val="21"/>
              </w:rPr>
              <w:t> </w:t>
            </w:r>
            <w:r>
              <w:rPr>
                <w:color w:val="0A0A0A"/>
                <w:spacing w:val="-2"/>
                <w:w w:val="105"/>
                <w:sz w:val="21"/>
              </w:rPr>
              <w:t>companies</w:t>
            </w:r>
          </w:p>
        </w:tc>
        <w:tc>
          <w:tcPr>
            <w:tcW w:w="1336" w:type="dxa"/>
          </w:tcPr>
          <w:p>
            <w:pPr>
              <w:pStyle w:val="TableParagraph"/>
              <w:tabs>
                <w:tab w:val="left" w:leader="none" w:pos="964"/>
              </w:tabs>
              <w:spacing w:before="17" w:line="222" w:lineRule="exact"/>
              <w:ind w:left="29" w:right="-15"/>
              <w:rPr>
                <w:sz w:val="21"/>
              </w:rPr>
            </w:pPr>
            <w:r>
              <w:rPr>
                <w:color w:val="0A0A0A"/>
                <w:sz w:val="21"/>
                <w:u w:val="single" w:color="000000"/>
              </w:rPr>
              <w:tab/>
            </w:r>
            <w:r>
              <w:rPr>
                <w:color w:val="0A0A0A"/>
                <w:spacing w:val="-7"/>
                <w:w w:val="105"/>
                <w:sz w:val="21"/>
                <w:u w:val="single" w:color="000000"/>
              </w:rPr>
              <w:t>43</w:t>
            </w:r>
            <w:r>
              <w:rPr>
                <w:color w:val="0A0A0A"/>
                <w:spacing w:val="80"/>
                <w:w w:val="105"/>
                <w:sz w:val="21"/>
                <w:u w:val="single" w:color="000000"/>
              </w:rPr>
              <w:t> </w:t>
            </w:r>
          </w:p>
        </w:tc>
      </w:tr>
      <w:tr>
        <w:trPr>
          <w:trHeight w:val="303" w:hRule="atLeast"/>
        </w:trPr>
        <w:tc>
          <w:tcPr>
            <w:tcW w:w="579" w:type="dxa"/>
            <w:vMerge/>
            <w:tcBorders>
              <w:top w:val="nil"/>
            </w:tcBorders>
          </w:tcPr>
          <w:p>
            <w:pPr>
              <w:rPr>
                <w:sz w:val="2"/>
                <w:szCs w:val="2"/>
              </w:rPr>
            </w:pPr>
          </w:p>
        </w:tc>
        <w:tc>
          <w:tcPr>
            <w:tcW w:w="1287" w:type="dxa"/>
          </w:tcPr>
          <w:p>
            <w:pPr>
              <w:pStyle w:val="TableParagraph"/>
              <w:spacing w:before="43"/>
              <w:ind w:left="250"/>
              <w:rPr>
                <w:b/>
                <w:sz w:val="21"/>
              </w:rPr>
            </w:pPr>
            <w:r>
              <w:rPr/>
              <ve:AlternateContent>
                <ve:Choice Requires="wps">
                  <w:drawing>
                    <wp:anchor distT="0" distB="0" distL="0" distR="0" simplePos="0" relativeHeight="475928064" behindDoc="1" locked="0" layoutInCell="1" allowOverlap="1">
                      <wp:simplePos x="0" y="0"/>
                      <wp:positionH relativeFrom="column">
                        <wp:posOffset>-229519</wp:posOffset>
                      </wp:positionH>
                      <wp:positionV relativeFrom="paragraph">
                        <wp:posOffset>-4766</wp:posOffset>
                      </wp:positionV>
                      <wp:extent cx="818515" cy="9525"/>
                      <wp:effectExtent l="0" t="0" r="0" b="0"/>
                      <wp:wrapNone/>
                      <wp:docPr id="380" name="Group 380"/>
                      <wp:cNvGraphicFramePr>
                        <a:graphicFrameLocks/>
                      </wp:cNvGraphicFramePr>
                      <a:graphic>
                        <a:graphicData uri="http://schemas.microsoft.com/office/word/2010/wordprocessingGroup">
                          <wpg:wgp>
                            <wpg:cNvPr id="380" name="Group 380"/>
                            <wpg:cNvGrpSpPr/>
                            <wpg:grpSpPr>
                              <a:xfrm>
                                <a:off x="0" y="0"/>
                                <a:ext cx="818515" cy="9525"/>
                                <a:chExt cx="818515" cy="9525"/>
                              </a:xfrm>
                            </wpg:grpSpPr>
                            <wps:wsp>
                              <wps:cNvPr id="381" name="Graphic 381"/>
                              <wps:cNvSpPr/>
                              <wps:spPr>
                                <a:xfrm>
                                  <a:off x="0" y="4577"/>
                                  <a:ext cx="818515" cy="1270"/>
                                </a:xfrm>
                                <a:custGeom>
                                  <a:avLst/>
                                  <a:gdLst/>
                                  <a:ahLst/>
                                  <a:cxnLst/>
                                  <a:rect l="l" t="t" r="r" b="b"/>
                                  <a:pathLst>
                                    <a:path w="818515" h="0">
                                      <a:moveTo>
                                        <a:pt x="0" y="0"/>
                                      </a:moveTo>
                                      <a:lnTo>
                                        <a:pt x="818181"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251" style="position:absolute;margin-left:-18.072382pt;margin-top:-.375278pt;width:64.45pt;height:.75pt;mso-position-horizontal-relative:column;mso-position-vertical-relative:paragraph;z-index:-27388416" coordsize="1289,15" coordorigin="-361,-8">
                      <v:line style="position:absolute" stroked="true" strokecolor="#000000" strokeweight=".720821pt" from="-361,0" to="927,0">
                        <v:stroke dashstyle="solid"/>
                      </v:line>
                      <w10:wrap type="none"/>
                    </v:group>
                  </w:pict>
                </ve:Fallback>
              </ve:AlternateContent>
            </w:r>
            <w:r>
              <w:rPr/>
              <ve:AlternateContent>
                <ve:Choice Requires="wps">
                  <w:drawing>
                    <wp:anchor distT="0" distB="0" distL="0" distR="0" simplePos="0" relativeHeight="475928576" behindDoc="1" locked="0" layoutInCell="1" allowOverlap="1">
                      <wp:simplePos x="0" y="0"/>
                      <wp:positionH relativeFrom="column">
                        <wp:posOffset>-229519</wp:posOffset>
                      </wp:positionH>
                      <wp:positionV relativeFrom="paragraph">
                        <wp:posOffset>193580</wp:posOffset>
                      </wp:positionV>
                      <wp:extent cx="818515" cy="9525"/>
                      <wp:effectExtent l="0" t="0" r="0" b="0"/>
                      <wp:wrapNone/>
                      <wp:docPr id="382" name="Group 382"/>
                      <wp:cNvGraphicFramePr>
                        <a:graphicFrameLocks/>
                      </wp:cNvGraphicFramePr>
                      <a:graphic>
                        <a:graphicData uri="http://schemas.microsoft.com/office/word/2010/wordprocessingGroup">
                          <wpg:wgp>
                            <wpg:cNvPr id="382" name="Group 382"/>
                            <wpg:cNvGrpSpPr/>
                            <wpg:grpSpPr>
                              <a:xfrm>
                                <a:off x="0" y="0"/>
                                <a:ext cx="818515" cy="9525"/>
                                <a:chExt cx="818515" cy="9525"/>
                              </a:xfrm>
                            </wpg:grpSpPr>
                            <wps:wsp>
                              <wps:cNvPr id="383" name="Graphic 383"/>
                              <wps:cNvSpPr/>
                              <wps:spPr>
                                <a:xfrm>
                                  <a:off x="0" y="4577"/>
                                  <a:ext cx="818515" cy="1270"/>
                                </a:xfrm>
                                <a:custGeom>
                                  <a:avLst/>
                                  <a:gdLst/>
                                  <a:ahLst/>
                                  <a:cxnLst/>
                                  <a:rect l="l" t="t" r="r" b="b"/>
                                  <a:pathLst>
                                    <a:path w="818515" h="0">
                                      <a:moveTo>
                                        <a:pt x="0" y="0"/>
                                      </a:moveTo>
                                      <a:lnTo>
                                        <a:pt x="818181"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252" style="position:absolute;margin-left:-18.072382pt;margin-top:15.242521pt;width:64.45pt;height:.75pt;mso-position-horizontal-relative:column;mso-position-vertical-relative:paragraph;z-index:-27387904" coordsize="1289,15" coordorigin="-361,305">
                      <v:line style="position:absolute" stroked="true" strokecolor="#000000" strokeweight=".720821pt" from="-361,312" to="927,312">
                        <v:stroke dashstyle="solid"/>
                      </v:line>
                      <w10:wrap type="none"/>
                    </v:group>
                  </w:pict>
                </ve:Fallback>
              </ve:AlternateContent>
            </w:r>
            <w:r>
              <w:rPr>
                <w:b/>
                <w:color w:val="0A0A0A"/>
                <w:spacing w:val="-4"/>
                <w:w w:val="105"/>
                <w:sz w:val="21"/>
              </w:rPr>
              <w:t>4,208</w:t>
            </w:r>
          </w:p>
        </w:tc>
        <w:tc>
          <w:tcPr>
            <w:tcW w:w="6669" w:type="dxa"/>
          </w:tcPr>
          <w:p>
            <w:pPr>
              <w:pStyle w:val="TableParagraph"/>
              <w:spacing w:before="37"/>
              <w:ind w:left="63"/>
              <w:rPr>
                <w:b/>
                <w:sz w:val="21"/>
              </w:rPr>
            </w:pPr>
            <w:r>
              <w:rPr>
                <w:b/>
                <w:color w:val="0A0A0A"/>
                <w:spacing w:val="-4"/>
                <w:w w:val="105"/>
                <w:sz w:val="21"/>
              </w:rPr>
              <w:t>Total</w:t>
            </w:r>
          </w:p>
        </w:tc>
        <w:tc>
          <w:tcPr>
            <w:tcW w:w="1336" w:type="dxa"/>
            <w:tcBorders>
              <w:bottom w:val="single" w:color="000000" w:sz="6" w:space="0"/>
            </w:tcBorders>
          </w:tcPr>
          <w:p>
            <w:pPr>
              <w:pStyle w:val="TableParagraph"/>
              <w:spacing w:before="61" w:line="222" w:lineRule="exact"/>
              <w:ind w:left="659"/>
              <w:rPr>
                <w:b/>
                <w:sz w:val="21"/>
              </w:rPr>
            </w:pPr>
            <w:r>
              <w:rPr>
                <w:b/>
                <w:color w:val="0A0A0A"/>
                <w:spacing w:val="-4"/>
                <w:w w:val="105"/>
                <w:sz w:val="21"/>
              </w:rPr>
              <w:t>4,943</w:t>
            </w:r>
          </w:p>
        </w:tc>
      </w:tr>
      <w:tr>
        <w:trPr>
          <w:trHeight w:val="609" w:hRule="atLeast"/>
        </w:trPr>
        <w:tc>
          <w:tcPr>
            <w:tcW w:w="579" w:type="dxa"/>
            <w:vMerge/>
            <w:tcBorders>
              <w:top w:val="nil"/>
            </w:tcBorders>
          </w:tcPr>
          <w:p>
            <w:pPr>
              <w:rPr>
                <w:sz w:val="2"/>
                <w:szCs w:val="2"/>
              </w:rPr>
            </w:pPr>
          </w:p>
        </w:tc>
        <w:tc>
          <w:tcPr>
            <w:tcW w:w="1287" w:type="dxa"/>
          </w:tcPr>
          <w:p>
            <w:pPr>
              <w:pStyle w:val="TableParagraph"/>
              <w:rPr>
                <w:rFonts w:ascii="Times New Roman"/>
                <w:sz w:val="20"/>
              </w:rPr>
            </w:pPr>
          </w:p>
        </w:tc>
        <w:tc>
          <w:tcPr>
            <w:tcW w:w="6669" w:type="dxa"/>
          </w:tcPr>
          <w:p>
            <w:pPr>
              <w:pStyle w:val="TableParagraph"/>
              <w:spacing w:before="97"/>
              <w:rPr>
                <w:sz w:val="21"/>
              </w:rPr>
            </w:pPr>
          </w:p>
          <w:p>
            <w:pPr>
              <w:pStyle w:val="TableParagraph"/>
              <w:ind w:left="59"/>
              <w:rPr>
                <w:i/>
                <w:sz w:val="21"/>
              </w:rPr>
            </w:pPr>
            <w:r>
              <w:rPr>
                <w:i/>
                <w:color w:val="0A0A0A"/>
                <w:w w:val="105"/>
                <w:sz w:val="21"/>
              </w:rPr>
              <w:t>Non-financial</w:t>
            </w:r>
            <w:r>
              <w:rPr>
                <w:i/>
                <w:color w:val="0A0A0A"/>
                <w:spacing w:val="-2"/>
                <w:w w:val="105"/>
                <w:sz w:val="21"/>
              </w:rPr>
              <w:t> </w:t>
            </w:r>
            <w:r>
              <w:rPr>
                <w:i/>
                <w:color w:val="0A0A0A"/>
                <w:w w:val="105"/>
                <w:sz w:val="21"/>
              </w:rPr>
              <w:t>liabilities</w:t>
            </w:r>
            <w:r>
              <w:rPr>
                <w:i/>
                <w:color w:val="0A0A0A"/>
                <w:spacing w:val="-4"/>
                <w:w w:val="105"/>
                <w:sz w:val="21"/>
              </w:rPr>
              <w:t> </w:t>
            </w:r>
            <w:r>
              <w:rPr>
                <w:i/>
                <w:color w:val="0A0A0A"/>
                <w:w w:val="105"/>
                <w:sz w:val="21"/>
              </w:rPr>
              <w:t>and</w:t>
            </w:r>
            <w:r>
              <w:rPr>
                <w:i/>
                <w:color w:val="0A0A0A"/>
                <w:spacing w:val="-14"/>
                <w:w w:val="105"/>
                <w:sz w:val="21"/>
              </w:rPr>
              <w:t> </w:t>
            </w:r>
            <w:r>
              <w:rPr>
                <w:i/>
                <w:color w:val="0A0A0A"/>
                <w:w w:val="105"/>
                <w:sz w:val="21"/>
              </w:rPr>
              <w:t>statutory</w:t>
            </w:r>
            <w:r>
              <w:rPr>
                <w:i/>
                <w:color w:val="0A0A0A"/>
                <w:spacing w:val="-5"/>
                <w:w w:val="105"/>
                <w:sz w:val="21"/>
              </w:rPr>
              <w:t> </w:t>
            </w:r>
            <w:r>
              <w:rPr>
                <w:i/>
                <w:color w:val="0A0A0A"/>
                <w:spacing w:val="-4"/>
                <w:w w:val="105"/>
                <w:sz w:val="21"/>
              </w:rPr>
              <w:t>debt</w:t>
            </w:r>
          </w:p>
        </w:tc>
        <w:tc>
          <w:tcPr>
            <w:tcW w:w="1336" w:type="dxa"/>
            <w:tcBorders>
              <w:top w:val="single" w:color="000000" w:sz="6" w:space="0"/>
            </w:tcBorders>
          </w:tcPr>
          <w:p>
            <w:pPr>
              <w:pStyle w:val="TableParagraph"/>
              <w:rPr>
                <w:rFonts w:ascii="Times New Roman"/>
                <w:sz w:val="20"/>
              </w:rPr>
            </w:pPr>
          </w:p>
        </w:tc>
      </w:tr>
      <w:tr>
        <w:trPr>
          <w:trHeight w:val="312" w:hRule="atLeast"/>
        </w:trPr>
        <w:tc>
          <w:tcPr>
            <w:tcW w:w="579" w:type="dxa"/>
            <w:vMerge/>
            <w:tcBorders>
              <w:top w:val="nil"/>
            </w:tcBorders>
          </w:tcPr>
          <w:p>
            <w:pPr>
              <w:rPr>
                <w:sz w:val="2"/>
                <w:szCs w:val="2"/>
              </w:rPr>
            </w:pPr>
          </w:p>
        </w:tc>
        <w:tc>
          <w:tcPr>
            <w:tcW w:w="1287" w:type="dxa"/>
          </w:tcPr>
          <w:p>
            <w:pPr>
              <w:pStyle w:val="TableParagraph"/>
              <w:spacing w:before="22"/>
              <w:ind w:left="419"/>
              <w:rPr>
                <w:sz w:val="21"/>
              </w:rPr>
            </w:pPr>
            <w:r>
              <w:rPr>
                <w:color w:val="0A0A0A"/>
                <w:spacing w:val="-5"/>
                <w:w w:val="105"/>
                <w:sz w:val="21"/>
              </w:rPr>
              <w:t>128</w:t>
            </w:r>
          </w:p>
        </w:tc>
        <w:tc>
          <w:tcPr>
            <w:tcW w:w="6669" w:type="dxa"/>
          </w:tcPr>
          <w:p>
            <w:pPr>
              <w:pStyle w:val="TableParagraph"/>
              <w:spacing w:before="32"/>
              <w:ind w:left="44"/>
              <w:rPr>
                <w:sz w:val="21"/>
              </w:rPr>
            </w:pPr>
            <w:r>
              <w:rPr>
                <w:color w:val="0A0A0A"/>
                <w:w w:val="105"/>
                <w:sz w:val="21"/>
              </w:rPr>
              <w:t>Accrual</w:t>
            </w:r>
            <w:r>
              <w:rPr>
                <w:color w:val="0A0A0A"/>
                <w:spacing w:val="-9"/>
                <w:w w:val="105"/>
                <w:sz w:val="21"/>
              </w:rPr>
              <w:t> </w:t>
            </w:r>
            <w:r>
              <w:rPr>
                <w:color w:val="0A0A0A"/>
                <w:w w:val="105"/>
                <w:sz w:val="21"/>
              </w:rPr>
              <w:t>for</w:t>
            </w:r>
            <w:r>
              <w:rPr>
                <w:color w:val="0A0A0A"/>
                <w:spacing w:val="-7"/>
                <w:w w:val="105"/>
                <w:sz w:val="21"/>
              </w:rPr>
              <w:t> </w:t>
            </w:r>
            <w:r>
              <w:rPr>
                <w:color w:val="0A0A0A"/>
                <w:w w:val="105"/>
                <w:sz w:val="21"/>
              </w:rPr>
              <w:t>accumulated</w:t>
            </w:r>
            <w:r>
              <w:rPr>
                <w:color w:val="0A0A0A"/>
                <w:spacing w:val="2"/>
                <w:w w:val="105"/>
                <w:sz w:val="21"/>
              </w:rPr>
              <w:t> </w:t>
            </w:r>
            <w:r>
              <w:rPr>
                <w:color w:val="0A0A0A"/>
                <w:w w:val="105"/>
                <w:sz w:val="21"/>
              </w:rPr>
              <w:t>absences</w:t>
            </w:r>
            <w:r>
              <w:rPr>
                <w:color w:val="0A0A0A"/>
                <w:spacing w:val="4"/>
                <w:w w:val="105"/>
                <w:sz w:val="21"/>
              </w:rPr>
              <w:t> </w:t>
            </w:r>
            <w:r>
              <w:rPr>
                <w:color w:val="0A0A0A"/>
                <w:w w:val="105"/>
                <w:sz w:val="21"/>
              </w:rPr>
              <w:t>(note</w:t>
            </w:r>
            <w:r>
              <w:rPr>
                <w:color w:val="0A0A0A"/>
                <w:spacing w:val="-8"/>
                <w:w w:val="105"/>
                <w:sz w:val="21"/>
              </w:rPr>
              <w:t> </w:t>
            </w:r>
            <w:r>
              <w:rPr>
                <w:color w:val="0A0A0A"/>
                <w:spacing w:val="-2"/>
                <w:w w:val="105"/>
                <w:sz w:val="21"/>
              </w:rPr>
              <w:t>5.31.6)</w:t>
            </w:r>
          </w:p>
        </w:tc>
        <w:tc>
          <w:tcPr>
            <w:tcW w:w="1336" w:type="dxa"/>
          </w:tcPr>
          <w:p>
            <w:pPr>
              <w:pStyle w:val="TableParagraph"/>
              <w:spacing w:before="51" w:line="241" w:lineRule="exact"/>
              <w:ind w:left="838"/>
              <w:rPr>
                <w:sz w:val="21"/>
              </w:rPr>
            </w:pPr>
            <w:r>
              <w:rPr>
                <w:color w:val="0A0A0A"/>
                <w:spacing w:val="-5"/>
                <w:w w:val="105"/>
                <w:sz w:val="21"/>
              </w:rPr>
              <w:t>133</w:t>
            </w:r>
          </w:p>
        </w:tc>
      </w:tr>
      <w:tr>
        <w:trPr>
          <w:trHeight w:val="300" w:hRule="atLeast"/>
        </w:trPr>
        <w:tc>
          <w:tcPr>
            <w:tcW w:w="579" w:type="dxa"/>
            <w:vMerge/>
            <w:tcBorders>
              <w:top w:val="nil"/>
            </w:tcBorders>
          </w:tcPr>
          <w:p>
            <w:pPr>
              <w:rPr>
                <w:sz w:val="2"/>
                <w:szCs w:val="2"/>
              </w:rPr>
            </w:pPr>
          </w:p>
        </w:tc>
        <w:tc>
          <w:tcPr>
            <w:tcW w:w="1287" w:type="dxa"/>
          </w:tcPr>
          <w:p>
            <w:pPr>
              <w:pStyle w:val="TableParagraph"/>
              <w:spacing w:before="13"/>
              <w:ind w:left="416"/>
              <w:rPr>
                <w:sz w:val="21"/>
              </w:rPr>
            </w:pPr>
            <w:r>
              <w:rPr>
                <w:color w:val="0A0A0A"/>
                <w:spacing w:val="-5"/>
                <w:w w:val="105"/>
                <w:sz w:val="21"/>
              </w:rPr>
              <w:t>250</w:t>
            </w:r>
          </w:p>
        </w:tc>
        <w:tc>
          <w:tcPr>
            <w:tcW w:w="6669" w:type="dxa"/>
          </w:tcPr>
          <w:p>
            <w:pPr>
              <w:pStyle w:val="TableParagraph"/>
              <w:spacing w:before="17"/>
              <w:ind w:left="41"/>
              <w:rPr>
                <w:sz w:val="21"/>
              </w:rPr>
            </w:pPr>
            <w:r>
              <w:rPr>
                <w:color w:val="0A0A0A"/>
                <w:w w:val="105"/>
                <w:sz w:val="21"/>
              </w:rPr>
              <w:t>HM</w:t>
            </w:r>
            <w:r>
              <w:rPr>
                <w:color w:val="0A0A0A"/>
                <w:spacing w:val="-13"/>
                <w:w w:val="105"/>
                <w:sz w:val="21"/>
              </w:rPr>
              <w:t> </w:t>
            </w:r>
            <w:r>
              <w:rPr>
                <w:color w:val="0A0A0A"/>
                <w:w w:val="105"/>
                <w:sz w:val="21"/>
              </w:rPr>
              <w:t>Revenue</w:t>
            </w:r>
            <w:r>
              <w:rPr>
                <w:color w:val="0A0A0A"/>
                <w:spacing w:val="5"/>
                <w:w w:val="105"/>
                <w:sz w:val="21"/>
              </w:rPr>
              <w:t> </w:t>
            </w:r>
            <w:r>
              <w:rPr>
                <w:color w:val="0A0A0A"/>
                <w:w w:val="105"/>
                <w:sz w:val="21"/>
              </w:rPr>
              <w:t>and</w:t>
            </w:r>
            <w:r>
              <w:rPr>
                <w:color w:val="0A0A0A"/>
                <w:spacing w:val="-9"/>
                <w:w w:val="105"/>
                <w:sz w:val="21"/>
              </w:rPr>
              <w:t> </w:t>
            </w:r>
            <w:r>
              <w:rPr>
                <w:color w:val="0A0A0A"/>
                <w:w w:val="105"/>
                <w:sz w:val="21"/>
              </w:rPr>
              <w:t>Customs</w:t>
            </w:r>
            <w:r>
              <w:rPr>
                <w:color w:val="0A0A0A"/>
                <w:spacing w:val="3"/>
                <w:w w:val="105"/>
                <w:sz w:val="21"/>
              </w:rPr>
              <w:t> </w:t>
            </w:r>
            <w:r>
              <w:rPr>
                <w:color w:val="0A0A0A"/>
                <w:w w:val="105"/>
                <w:sz w:val="21"/>
              </w:rPr>
              <w:t>-</w:t>
            </w:r>
            <w:r>
              <w:rPr>
                <w:color w:val="0A0A0A"/>
                <w:spacing w:val="-2"/>
                <w:w w:val="105"/>
                <w:sz w:val="21"/>
              </w:rPr>
              <w:t> </w:t>
            </w:r>
            <w:r>
              <w:rPr>
                <w:color w:val="0A0A0A"/>
                <w:w w:val="105"/>
                <w:sz w:val="21"/>
              </w:rPr>
              <w:t>payroll</w:t>
            </w:r>
            <w:r>
              <w:rPr>
                <w:color w:val="0A0A0A"/>
                <w:spacing w:val="-3"/>
                <w:w w:val="105"/>
                <w:sz w:val="21"/>
              </w:rPr>
              <w:t> </w:t>
            </w:r>
            <w:r>
              <w:rPr>
                <w:color w:val="0A0A0A"/>
                <w:spacing w:val="-2"/>
                <w:w w:val="105"/>
                <w:sz w:val="21"/>
              </w:rPr>
              <w:t>taxes</w:t>
            </w:r>
          </w:p>
        </w:tc>
        <w:tc>
          <w:tcPr>
            <w:tcW w:w="1336" w:type="dxa"/>
          </w:tcPr>
          <w:p>
            <w:pPr>
              <w:pStyle w:val="TableParagraph"/>
              <w:spacing w:before="37"/>
              <w:ind w:left="834"/>
              <w:rPr>
                <w:sz w:val="21"/>
              </w:rPr>
            </w:pPr>
            <w:r>
              <w:rPr>
                <w:color w:val="0A0A0A"/>
                <w:spacing w:val="-5"/>
                <w:w w:val="105"/>
                <w:sz w:val="21"/>
              </w:rPr>
              <w:t>455</w:t>
            </w:r>
          </w:p>
        </w:tc>
      </w:tr>
      <w:tr>
        <w:trPr>
          <w:trHeight w:val="300" w:hRule="atLeast"/>
        </w:trPr>
        <w:tc>
          <w:tcPr>
            <w:tcW w:w="579" w:type="dxa"/>
            <w:vMerge/>
            <w:tcBorders>
              <w:top w:val="nil"/>
            </w:tcBorders>
          </w:tcPr>
          <w:p>
            <w:pPr>
              <w:rPr>
                <w:sz w:val="2"/>
                <w:szCs w:val="2"/>
              </w:rPr>
            </w:pPr>
          </w:p>
        </w:tc>
        <w:tc>
          <w:tcPr>
            <w:tcW w:w="1287" w:type="dxa"/>
          </w:tcPr>
          <w:p>
            <w:pPr>
              <w:pStyle w:val="TableParagraph"/>
              <w:spacing w:before="15"/>
              <w:ind w:left="111"/>
              <w:rPr>
                <w:sz w:val="21"/>
              </w:rPr>
            </w:pPr>
            <w:r>
              <w:rPr>
                <w:color w:val="0A0A0A"/>
                <w:spacing w:val="-2"/>
                <w:w w:val="105"/>
                <w:sz w:val="21"/>
              </w:rPr>
              <w:t>13,155</w:t>
            </w:r>
          </w:p>
        </w:tc>
        <w:tc>
          <w:tcPr>
            <w:tcW w:w="6669" w:type="dxa"/>
          </w:tcPr>
          <w:p>
            <w:pPr>
              <w:pStyle w:val="TableParagraph"/>
              <w:spacing w:before="20"/>
              <w:ind w:left="42"/>
              <w:rPr>
                <w:sz w:val="21"/>
              </w:rPr>
            </w:pPr>
            <w:r>
              <w:rPr>
                <w:color w:val="0A0A0A"/>
                <w:w w:val="105"/>
                <w:sz w:val="21"/>
              </w:rPr>
              <w:t>Due</w:t>
            </w:r>
            <w:r>
              <w:rPr>
                <w:color w:val="0A0A0A"/>
                <w:spacing w:val="-3"/>
                <w:w w:val="105"/>
                <w:sz w:val="21"/>
              </w:rPr>
              <w:t> </w:t>
            </w:r>
            <w:r>
              <w:rPr>
                <w:color w:val="0A0A0A"/>
                <w:w w:val="105"/>
                <w:sz w:val="21"/>
              </w:rPr>
              <w:t>to</w:t>
            </w:r>
            <w:r>
              <w:rPr>
                <w:color w:val="0A0A0A"/>
                <w:spacing w:val="-11"/>
                <w:w w:val="105"/>
                <w:sz w:val="21"/>
              </w:rPr>
              <w:t> </w:t>
            </w:r>
            <w:r>
              <w:rPr>
                <w:color w:val="0A0A0A"/>
                <w:w w:val="105"/>
                <w:sz w:val="21"/>
              </w:rPr>
              <w:t>government</w:t>
            </w:r>
            <w:r>
              <w:rPr>
                <w:color w:val="0A0A0A"/>
                <w:spacing w:val="4"/>
                <w:w w:val="105"/>
                <w:sz w:val="21"/>
              </w:rPr>
              <w:t> </w:t>
            </w:r>
            <w:r>
              <w:rPr>
                <w:color w:val="0A0A0A"/>
                <w:w w:val="105"/>
                <w:sz w:val="21"/>
              </w:rPr>
              <w:t>departments</w:t>
            </w:r>
            <w:r>
              <w:rPr>
                <w:color w:val="0A0A0A"/>
                <w:spacing w:val="9"/>
                <w:w w:val="105"/>
                <w:sz w:val="21"/>
              </w:rPr>
              <w:t> </w:t>
            </w:r>
            <w:r>
              <w:rPr>
                <w:color w:val="0A0A0A"/>
                <w:w w:val="105"/>
                <w:sz w:val="21"/>
              </w:rPr>
              <w:t>and</w:t>
            </w:r>
            <w:r>
              <w:rPr>
                <w:color w:val="0A0A0A"/>
                <w:spacing w:val="-7"/>
                <w:w w:val="105"/>
                <w:sz w:val="21"/>
              </w:rPr>
              <w:t> </w:t>
            </w:r>
            <w:r>
              <w:rPr>
                <w:color w:val="0A0A0A"/>
                <w:w w:val="105"/>
                <w:sz w:val="21"/>
              </w:rPr>
              <w:t>other</w:t>
            </w:r>
            <w:r>
              <w:rPr>
                <w:color w:val="0A0A0A"/>
                <w:spacing w:val="-1"/>
                <w:w w:val="105"/>
                <w:sz w:val="21"/>
              </w:rPr>
              <w:t> </w:t>
            </w:r>
            <w:r>
              <w:rPr>
                <w:color w:val="0A0A0A"/>
                <w:w w:val="105"/>
                <w:sz w:val="21"/>
              </w:rPr>
              <w:t>local</w:t>
            </w:r>
            <w:r>
              <w:rPr>
                <w:color w:val="0A0A0A"/>
                <w:spacing w:val="-5"/>
                <w:w w:val="105"/>
                <w:sz w:val="21"/>
              </w:rPr>
              <w:t> </w:t>
            </w:r>
            <w:r>
              <w:rPr>
                <w:color w:val="0A0A0A"/>
                <w:spacing w:val="-2"/>
                <w:w w:val="105"/>
                <w:sz w:val="21"/>
              </w:rPr>
              <w:t>authorities</w:t>
            </w:r>
          </w:p>
        </w:tc>
        <w:tc>
          <w:tcPr>
            <w:tcW w:w="1336" w:type="dxa"/>
          </w:tcPr>
          <w:p>
            <w:pPr>
              <w:pStyle w:val="TableParagraph"/>
              <w:spacing w:before="39" w:line="241" w:lineRule="exact"/>
              <w:ind w:left="530"/>
              <w:rPr>
                <w:sz w:val="21"/>
              </w:rPr>
            </w:pPr>
            <w:r>
              <w:rPr>
                <w:color w:val="0A0A0A"/>
                <w:spacing w:val="-2"/>
                <w:w w:val="105"/>
                <w:sz w:val="21"/>
              </w:rPr>
              <w:t>18,817</w:t>
            </w:r>
          </w:p>
        </w:tc>
      </w:tr>
      <w:tr>
        <w:trPr>
          <w:trHeight w:val="274" w:hRule="atLeast"/>
        </w:trPr>
        <w:tc>
          <w:tcPr>
            <w:tcW w:w="579" w:type="dxa"/>
            <w:vMerge/>
            <w:tcBorders>
              <w:top w:val="nil"/>
            </w:tcBorders>
          </w:tcPr>
          <w:p>
            <w:pPr>
              <w:rPr>
                <w:sz w:val="2"/>
                <w:szCs w:val="2"/>
              </w:rPr>
            </w:pPr>
          </w:p>
        </w:tc>
        <w:tc>
          <w:tcPr>
            <w:tcW w:w="1287" w:type="dxa"/>
          </w:tcPr>
          <w:p>
            <w:pPr>
              <w:pStyle w:val="TableParagraph"/>
              <w:spacing w:before="13" w:line="237" w:lineRule="exact"/>
              <w:ind w:left="225"/>
              <w:rPr>
                <w:sz w:val="21"/>
              </w:rPr>
            </w:pPr>
            <w:r>
              <w:rPr>
                <w:color w:val="0A0A0A"/>
                <w:spacing w:val="-4"/>
                <w:w w:val="105"/>
                <w:sz w:val="21"/>
              </w:rPr>
              <w:t>7,428</w:t>
            </w:r>
          </w:p>
        </w:tc>
        <w:tc>
          <w:tcPr>
            <w:tcW w:w="6669" w:type="dxa"/>
          </w:tcPr>
          <w:p>
            <w:pPr>
              <w:pStyle w:val="TableParagraph"/>
              <w:spacing w:before="17" w:line="237" w:lineRule="exact"/>
              <w:ind w:left="37"/>
              <w:rPr>
                <w:sz w:val="21"/>
              </w:rPr>
            </w:pPr>
            <w:r>
              <w:rPr>
                <w:color w:val="0A0A0A"/>
                <w:w w:val="105"/>
                <w:sz w:val="21"/>
              </w:rPr>
              <w:t>Receipts</w:t>
            </w:r>
            <w:r>
              <w:rPr>
                <w:color w:val="0A0A0A"/>
                <w:spacing w:val="-1"/>
                <w:w w:val="105"/>
                <w:sz w:val="21"/>
              </w:rPr>
              <w:t> </w:t>
            </w:r>
            <w:r>
              <w:rPr>
                <w:color w:val="0A0A0A"/>
                <w:w w:val="105"/>
                <w:sz w:val="21"/>
              </w:rPr>
              <w:t>in</w:t>
            </w:r>
            <w:r>
              <w:rPr>
                <w:color w:val="0A0A0A"/>
                <w:spacing w:val="8"/>
                <w:w w:val="105"/>
                <w:sz w:val="21"/>
              </w:rPr>
              <w:t> </w:t>
            </w:r>
            <w:r>
              <w:rPr>
                <w:color w:val="0A0A0A"/>
                <w:spacing w:val="-2"/>
                <w:w w:val="105"/>
                <w:sz w:val="21"/>
              </w:rPr>
              <w:t>advance</w:t>
            </w:r>
          </w:p>
        </w:tc>
        <w:tc>
          <w:tcPr>
            <w:tcW w:w="1336" w:type="dxa"/>
            <w:tcBorders>
              <w:bottom w:val="single" w:color="000000" w:sz="6" w:space="0"/>
            </w:tcBorders>
          </w:tcPr>
          <w:p>
            <w:pPr>
              <w:pStyle w:val="TableParagraph"/>
              <w:spacing w:before="37" w:line="218" w:lineRule="exact"/>
              <w:ind w:left="650"/>
              <w:rPr>
                <w:sz w:val="21"/>
              </w:rPr>
            </w:pPr>
            <w:r>
              <w:rPr>
                <w:color w:val="0A0A0A"/>
                <w:spacing w:val="-4"/>
                <w:sz w:val="21"/>
              </w:rPr>
              <w:t>3</w:t>
            </w:r>
            <w:r>
              <w:rPr>
                <w:color w:val="666666"/>
                <w:spacing w:val="-4"/>
                <w:sz w:val="21"/>
              </w:rPr>
              <w:t>,</w:t>
            </w:r>
            <w:r>
              <w:rPr>
                <w:color w:val="0A0A0A"/>
                <w:spacing w:val="-4"/>
                <w:sz w:val="21"/>
              </w:rPr>
              <w:t>814</w:t>
            </w:r>
          </w:p>
        </w:tc>
      </w:tr>
      <w:tr>
        <w:trPr>
          <w:trHeight w:val="297" w:hRule="atLeast"/>
        </w:trPr>
        <w:tc>
          <w:tcPr>
            <w:tcW w:w="579" w:type="dxa"/>
            <w:vMerge/>
            <w:tcBorders>
              <w:top w:val="nil"/>
            </w:tcBorders>
          </w:tcPr>
          <w:p>
            <w:pPr>
              <w:rPr>
                <w:sz w:val="2"/>
                <w:szCs w:val="2"/>
              </w:rPr>
            </w:pPr>
          </w:p>
        </w:tc>
        <w:tc>
          <w:tcPr>
            <w:tcW w:w="1287" w:type="dxa"/>
          </w:tcPr>
          <w:p>
            <w:pPr>
              <w:pStyle w:val="TableParagraph"/>
              <w:spacing w:before="35"/>
              <w:ind w:left="109"/>
              <w:rPr>
                <w:b/>
                <w:sz w:val="21"/>
              </w:rPr>
            </w:pPr>
            <w:r>
              <w:rPr/>
              <ve:AlternateContent>
                <ve:Choice Requires="wps">
                  <w:drawing>
                    <wp:anchor distT="0" distB="0" distL="0" distR="0" simplePos="0" relativeHeight="475929088" behindDoc="1" locked="0" layoutInCell="1" allowOverlap="1">
                      <wp:simplePos x="0" y="0"/>
                      <wp:positionH relativeFrom="column">
                        <wp:posOffset>-241730</wp:posOffset>
                      </wp:positionH>
                      <wp:positionV relativeFrom="paragraph">
                        <wp:posOffset>-9845</wp:posOffset>
                      </wp:positionV>
                      <wp:extent cx="818515" cy="9525"/>
                      <wp:effectExtent l="0" t="0" r="0" b="0"/>
                      <wp:wrapNone/>
                      <wp:docPr id="384" name="Group 384"/>
                      <wp:cNvGraphicFramePr>
                        <a:graphicFrameLocks/>
                      </wp:cNvGraphicFramePr>
                      <a:graphic>
                        <a:graphicData uri="http://schemas.microsoft.com/office/word/2010/wordprocessingGroup">
                          <wpg:wgp>
                            <wpg:cNvPr id="384" name="Group 384"/>
                            <wpg:cNvGrpSpPr/>
                            <wpg:grpSpPr>
                              <a:xfrm>
                                <a:off x="0" y="0"/>
                                <a:ext cx="818515" cy="9525"/>
                                <a:chExt cx="818515" cy="9525"/>
                              </a:xfrm>
                            </wpg:grpSpPr>
                            <wps:wsp>
                              <wps:cNvPr id="385" name="Graphic 385"/>
                              <wps:cNvSpPr/>
                              <wps:spPr>
                                <a:xfrm>
                                  <a:off x="0" y="4577"/>
                                  <a:ext cx="818515" cy="1270"/>
                                </a:xfrm>
                                <a:custGeom>
                                  <a:avLst/>
                                  <a:gdLst/>
                                  <a:ahLst/>
                                  <a:cxnLst/>
                                  <a:rect l="l" t="t" r="r" b="b"/>
                                  <a:pathLst>
                                    <a:path w="818515" h="0">
                                      <a:moveTo>
                                        <a:pt x="0" y="0"/>
                                      </a:moveTo>
                                      <a:lnTo>
                                        <a:pt x="818181"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253" style="position:absolute;margin-left:-19.033930pt;margin-top:-.775235pt;width:64.45pt;height:.75pt;mso-position-horizontal-relative:column;mso-position-vertical-relative:paragraph;z-index:-27387392" coordsize="1289,15" coordorigin="-381,-16">
                      <v:line style="position:absolute" stroked="true" strokecolor="#000000" strokeweight=".720821pt" from="-381,-8" to="908,-8">
                        <v:stroke dashstyle="solid"/>
                      </v:line>
                      <w10:wrap type="none"/>
                    </v:group>
                  </w:pict>
                </ve:Fallback>
              </ve:AlternateContent>
            </w:r>
            <w:r>
              <w:rPr/>
              <ve:AlternateContent>
                <ve:Choice Requires="wps">
                  <w:drawing>
                    <wp:anchor distT="0" distB="0" distL="0" distR="0" simplePos="0" relativeHeight="475929600" behindDoc="1" locked="0" layoutInCell="1" allowOverlap="1">
                      <wp:simplePos x="0" y="0"/>
                      <wp:positionH relativeFrom="column">
                        <wp:posOffset>-253942</wp:posOffset>
                      </wp:positionH>
                      <wp:positionV relativeFrom="paragraph">
                        <wp:posOffset>185449</wp:posOffset>
                      </wp:positionV>
                      <wp:extent cx="830580" cy="9525"/>
                      <wp:effectExtent l="0" t="0" r="0" b="0"/>
                      <wp:wrapNone/>
                      <wp:docPr id="386" name="Group 386"/>
                      <wp:cNvGraphicFramePr>
                        <a:graphicFrameLocks/>
                      </wp:cNvGraphicFramePr>
                      <a:graphic>
                        <a:graphicData uri="http://schemas.microsoft.com/office/word/2010/wordprocessingGroup">
                          <wpg:wgp>
                            <wpg:cNvPr id="386" name="Group 386"/>
                            <wpg:cNvGrpSpPr/>
                            <wpg:grpSpPr>
                              <a:xfrm>
                                <a:off x="0" y="0"/>
                                <a:ext cx="830580" cy="9525"/>
                                <a:chExt cx="830580" cy="9525"/>
                              </a:xfrm>
                            </wpg:grpSpPr>
                            <wps:wsp>
                              <wps:cNvPr id="387" name="Graphic 387"/>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254" style="position:absolute;margin-left:-19.99548pt;margin-top:14.60229pt;width:65.4pt;height:.75pt;mso-position-horizontal-relative:column;mso-position-vertical-relative:paragraph;z-index:-27386880" coordsize="1308,15" coordorigin="-400,292">
                      <v:line style="position:absolute" stroked="true" strokecolor="#000000" strokeweight=".720821pt" from="-400,299" to="908,299">
                        <v:stroke dashstyle="solid"/>
                      </v:line>
                      <w10:wrap type="none"/>
                    </v:group>
                  </w:pict>
                </ve:Fallback>
              </ve:AlternateContent>
            </w:r>
            <w:r>
              <w:rPr>
                <w:b/>
                <w:color w:val="0A0A0A"/>
                <w:spacing w:val="-2"/>
                <w:w w:val="105"/>
                <w:sz w:val="21"/>
              </w:rPr>
              <w:t>20,961</w:t>
            </w:r>
          </w:p>
        </w:tc>
        <w:tc>
          <w:tcPr>
            <w:tcW w:w="6669" w:type="dxa"/>
          </w:tcPr>
          <w:p>
            <w:pPr>
              <w:pStyle w:val="TableParagraph"/>
              <w:spacing w:before="35"/>
              <w:ind w:left="29"/>
              <w:rPr>
                <w:b/>
                <w:sz w:val="21"/>
              </w:rPr>
            </w:pPr>
            <w:r>
              <w:rPr>
                <w:b/>
                <w:color w:val="0A0A0A"/>
                <w:spacing w:val="-4"/>
                <w:w w:val="105"/>
                <w:sz w:val="21"/>
              </w:rPr>
              <w:t>Total</w:t>
            </w:r>
          </w:p>
        </w:tc>
        <w:tc>
          <w:tcPr>
            <w:tcW w:w="1336" w:type="dxa"/>
            <w:tcBorders>
              <w:top w:val="single" w:color="000000" w:sz="6" w:space="0"/>
            </w:tcBorders>
          </w:tcPr>
          <w:p>
            <w:pPr>
              <w:pStyle w:val="TableParagraph"/>
              <w:spacing w:before="60" w:line="218" w:lineRule="exact"/>
              <w:ind w:left="523"/>
              <w:rPr>
                <w:b/>
                <w:sz w:val="21"/>
              </w:rPr>
            </w:pPr>
            <w:r>
              <w:rPr>
                <w:b/>
                <w:color w:val="0A0A0A"/>
                <w:spacing w:val="-2"/>
                <w:sz w:val="21"/>
              </w:rPr>
              <w:t>23,219</w:t>
            </w:r>
          </w:p>
        </w:tc>
      </w:tr>
      <w:tr>
        <w:trPr>
          <w:trHeight w:val="307" w:hRule="atLeast"/>
        </w:trPr>
        <w:tc>
          <w:tcPr>
            <w:tcW w:w="579" w:type="dxa"/>
            <w:vMerge/>
            <w:tcBorders>
              <w:top w:val="nil"/>
            </w:tcBorders>
          </w:tcPr>
          <w:p>
            <w:pPr>
              <w:rPr>
                <w:sz w:val="2"/>
                <w:szCs w:val="2"/>
              </w:rPr>
            </w:pPr>
          </w:p>
        </w:tc>
        <w:tc>
          <w:tcPr>
            <w:tcW w:w="1287" w:type="dxa"/>
          </w:tcPr>
          <w:p>
            <w:pPr>
              <w:pStyle w:val="TableParagraph"/>
              <w:rPr>
                <w:rFonts w:ascii="Times New Roman"/>
                <w:sz w:val="20"/>
              </w:rPr>
            </w:pPr>
          </w:p>
        </w:tc>
        <w:tc>
          <w:tcPr>
            <w:tcW w:w="6669" w:type="dxa"/>
          </w:tcPr>
          <w:p>
            <w:pPr>
              <w:pStyle w:val="TableParagraph"/>
              <w:rPr>
                <w:rFonts w:ascii="Times New Roman"/>
                <w:sz w:val="20"/>
              </w:rPr>
            </w:pPr>
          </w:p>
        </w:tc>
        <w:tc>
          <w:tcPr>
            <w:tcW w:w="1336" w:type="dxa"/>
            <w:tcBorders>
              <w:bottom w:val="single" w:color="000000" w:sz="6" w:space="0"/>
            </w:tcBorders>
          </w:tcPr>
          <w:p>
            <w:pPr>
              <w:pStyle w:val="TableParagraph"/>
              <w:spacing w:line="20" w:lineRule="exact"/>
              <w:ind w:left="9" w:right="-44"/>
              <w:rPr>
                <w:sz w:val="2"/>
              </w:rPr>
            </w:pPr>
            <w:r>
              <w:rPr>
                <w:sz w:val="2"/>
              </w:rPr>
              <ve:AlternateContent>
                <ve:Choice Requires="wps">
                  <w:drawing>
                    <wp:inline distT="0" distB="0" distL="0" distR="0">
                      <wp:extent cx="830580" cy="9525"/>
                      <wp:effectExtent l="9525" t="0" r="0" b="0"/>
                      <wp:docPr id="388" name="Group 388"/>
                      <wp:cNvGraphicFramePr>
                        <a:graphicFrameLocks/>
                      </wp:cNvGraphicFramePr>
                      <a:graphic>
                        <a:graphicData uri="http://schemas.microsoft.com/office/word/2010/wordprocessingGroup">
                          <wpg:wgp>
                            <wpg:cNvPr id="388" name="Group 388"/>
                            <wpg:cNvGrpSpPr/>
                            <wpg:grpSpPr>
                              <a:xfrm>
                                <a:off x="0" y="0"/>
                                <a:ext cx="830580" cy="9525"/>
                                <a:chExt cx="830580" cy="9525"/>
                              </a:xfrm>
                            </wpg:grpSpPr>
                            <wps:wsp>
                              <wps:cNvPr id="389" name="Graphic 389"/>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55" style="width:65.4pt;height:.75pt;mso-position-horizontal-relative:char;mso-position-vertical-relative:line" coordsize="1308,15" coordorigin="0,0">
                      <v:line style="position:absolute" stroked="true" strokecolor="#000000" strokeweight=".720821pt" from="0,7" to="1308,7">
                        <v:stroke dashstyle="solid"/>
                      </v:line>
                    </v:group>
                  </w:pict>
                </ve:Fallback>
              </ve:AlternateContent>
            </w:r>
            <w:r>
              <w:rPr>
                <w:sz w:val="2"/>
              </w:rPr>
            </w:r>
          </w:p>
        </w:tc>
      </w:tr>
      <w:tr>
        <w:trPr>
          <w:trHeight w:val="293" w:hRule="atLeast"/>
        </w:trPr>
        <w:tc>
          <w:tcPr>
            <w:tcW w:w="579" w:type="dxa"/>
            <w:vMerge/>
            <w:tcBorders>
              <w:top w:val="nil"/>
            </w:tcBorders>
          </w:tcPr>
          <w:p>
            <w:pPr>
              <w:rPr>
                <w:sz w:val="2"/>
                <w:szCs w:val="2"/>
              </w:rPr>
            </w:pPr>
          </w:p>
        </w:tc>
        <w:tc>
          <w:tcPr>
            <w:tcW w:w="1287" w:type="dxa"/>
          </w:tcPr>
          <w:p>
            <w:pPr>
              <w:pStyle w:val="TableParagraph"/>
              <w:spacing w:before="35" w:line="237" w:lineRule="exact"/>
              <w:ind w:left="100"/>
              <w:rPr>
                <w:b/>
                <w:sz w:val="21"/>
              </w:rPr>
            </w:pPr>
            <w:r>
              <w:rPr/>
              <ve:AlternateContent>
                <ve:Choice Requires="wps">
                  <w:drawing>
                    <wp:anchor distT="0" distB="0" distL="0" distR="0" simplePos="0" relativeHeight="475930112" behindDoc="1" locked="0" layoutInCell="1" allowOverlap="1">
                      <wp:simplePos x="0" y="0"/>
                      <wp:positionH relativeFrom="column">
                        <wp:posOffset>-253942</wp:posOffset>
                      </wp:positionH>
                      <wp:positionV relativeFrom="paragraph">
                        <wp:posOffset>-9845</wp:posOffset>
                      </wp:positionV>
                      <wp:extent cx="818515" cy="9525"/>
                      <wp:effectExtent l="0" t="0" r="0" b="0"/>
                      <wp:wrapNone/>
                      <wp:docPr id="390" name="Group 390"/>
                      <wp:cNvGraphicFramePr>
                        <a:graphicFrameLocks/>
                      </wp:cNvGraphicFramePr>
                      <a:graphic>
                        <a:graphicData uri="http://schemas.microsoft.com/office/word/2010/wordprocessingGroup">
                          <wpg:wgp>
                            <wpg:cNvPr id="390" name="Group 390"/>
                            <wpg:cNvGrpSpPr/>
                            <wpg:grpSpPr>
                              <a:xfrm>
                                <a:off x="0" y="0"/>
                                <a:ext cx="818515" cy="9525"/>
                                <a:chExt cx="818515" cy="9525"/>
                              </a:xfrm>
                            </wpg:grpSpPr>
                            <wps:wsp>
                              <wps:cNvPr id="391" name="Graphic 391"/>
                              <wps:cNvSpPr/>
                              <wps:spPr>
                                <a:xfrm>
                                  <a:off x="0" y="4577"/>
                                  <a:ext cx="818515" cy="1270"/>
                                </a:xfrm>
                                <a:custGeom>
                                  <a:avLst/>
                                  <a:gdLst/>
                                  <a:ahLst/>
                                  <a:cxnLst/>
                                  <a:rect l="l" t="t" r="r" b="b"/>
                                  <a:pathLst>
                                    <a:path w="818515" h="0">
                                      <a:moveTo>
                                        <a:pt x="0" y="0"/>
                                      </a:moveTo>
                                      <a:lnTo>
                                        <a:pt x="818181"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256" style="position:absolute;margin-left:-19.99548pt;margin-top:-.775211pt;width:64.45pt;height:.75pt;mso-position-horizontal-relative:column;mso-position-vertical-relative:paragraph;z-index:-27386368" coordsize="1289,15" coordorigin="-400,-16">
                      <v:line style="position:absolute" stroked="true" strokecolor="#000000" strokeweight=".720821pt" from="-400,-8" to="889,-8">
                        <v:stroke dashstyle="solid"/>
                      </v:line>
                      <w10:wrap type="none"/>
                    </v:group>
                  </w:pict>
                </ve:Fallback>
              </ve:AlternateContent>
            </w:r>
            <w:r>
              <w:rPr/>
              <ve:AlternateContent>
                <ve:Choice Requires="wps">
                  <w:drawing>
                    <wp:anchor distT="0" distB="0" distL="0" distR="0" simplePos="0" relativeHeight="475930624" behindDoc="1" locked="0" layoutInCell="1" allowOverlap="1">
                      <wp:simplePos x="0" y="0"/>
                      <wp:positionH relativeFrom="column">
                        <wp:posOffset>-253942</wp:posOffset>
                      </wp:positionH>
                      <wp:positionV relativeFrom="paragraph">
                        <wp:posOffset>185449</wp:posOffset>
                      </wp:positionV>
                      <wp:extent cx="818515" cy="9525"/>
                      <wp:effectExtent l="0" t="0" r="0" b="0"/>
                      <wp:wrapNone/>
                      <wp:docPr id="392" name="Group 392"/>
                      <wp:cNvGraphicFramePr>
                        <a:graphicFrameLocks/>
                      </wp:cNvGraphicFramePr>
                      <a:graphic>
                        <a:graphicData uri="http://schemas.microsoft.com/office/word/2010/wordprocessingGroup">
                          <wpg:wgp>
                            <wpg:cNvPr id="392" name="Group 392"/>
                            <wpg:cNvGrpSpPr/>
                            <wpg:grpSpPr>
                              <a:xfrm>
                                <a:off x="0" y="0"/>
                                <a:ext cx="818515" cy="9525"/>
                                <a:chExt cx="818515" cy="9525"/>
                              </a:xfrm>
                            </wpg:grpSpPr>
                            <wps:wsp>
                              <wps:cNvPr id="393" name="Graphic 393"/>
                              <wps:cNvSpPr/>
                              <wps:spPr>
                                <a:xfrm>
                                  <a:off x="0" y="4577"/>
                                  <a:ext cx="818515" cy="1270"/>
                                </a:xfrm>
                                <a:custGeom>
                                  <a:avLst/>
                                  <a:gdLst/>
                                  <a:ahLst/>
                                  <a:cxnLst/>
                                  <a:rect l="l" t="t" r="r" b="b"/>
                                  <a:pathLst>
                                    <a:path w="818515" h="0">
                                      <a:moveTo>
                                        <a:pt x="0" y="0"/>
                                      </a:moveTo>
                                      <a:lnTo>
                                        <a:pt x="818181"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257" style="position:absolute;margin-left:-19.99548pt;margin-top:14.602314pt;width:64.45pt;height:.75pt;mso-position-horizontal-relative:column;mso-position-vertical-relative:paragraph;z-index:-27385856" coordsize="1289,15" coordorigin="-400,292">
                      <v:line style="position:absolute" stroked="true" strokecolor="#000000" strokeweight=".720821pt" from="-400,299" to="889,299">
                        <v:stroke dashstyle="solid"/>
                      </v:line>
                      <w10:wrap type="none"/>
                    </v:group>
                  </w:pict>
                </ve:Fallback>
              </ve:AlternateContent>
            </w:r>
            <w:r>
              <w:rPr>
                <w:b/>
                <w:color w:val="0A0A0A"/>
                <w:spacing w:val="-2"/>
                <w:w w:val="105"/>
                <w:sz w:val="21"/>
              </w:rPr>
              <w:t>25,169</w:t>
            </w:r>
          </w:p>
        </w:tc>
        <w:tc>
          <w:tcPr>
            <w:tcW w:w="6669" w:type="dxa"/>
          </w:tcPr>
          <w:p>
            <w:pPr>
              <w:pStyle w:val="TableParagraph"/>
              <w:spacing w:before="35" w:line="238" w:lineRule="exact"/>
              <w:ind w:left="25"/>
              <w:rPr>
                <w:b/>
                <w:sz w:val="21"/>
              </w:rPr>
            </w:pPr>
            <w:r>
              <w:rPr>
                <w:b/>
                <w:color w:val="0A0A0A"/>
                <w:w w:val="105"/>
                <w:sz w:val="21"/>
              </w:rPr>
              <w:t>Total</w:t>
            </w:r>
            <w:r>
              <w:rPr>
                <w:b/>
                <w:color w:val="0A0A0A"/>
                <w:spacing w:val="-11"/>
                <w:w w:val="105"/>
                <w:sz w:val="21"/>
              </w:rPr>
              <w:t> </w:t>
            </w:r>
            <w:r>
              <w:rPr>
                <w:b/>
                <w:color w:val="0A0A0A"/>
                <w:w w:val="105"/>
                <w:sz w:val="21"/>
              </w:rPr>
              <w:t>included</w:t>
            </w:r>
            <w:r>
              <w:rPr>
                <w:b/>
                <w:color w:val="0A0A0A"/>
                <w:spacing w:val="3"/>
                <w:w w:val="105"/>
                <w:sz w:val="21"/>
              </w:rPr>
              <w:t> </w:t>
            </w:r>
            <w:r>
              <w:rPr>
                <w:b/>
                <w:color w:val="0A0A0A"/>
                <w:w w:val="105"/>
                <w:sz w:val="21"/>
              </w:rPr>
              <w:t>in</w:t>
            </w:r>
            <w:r>
              <w:rPr>
                <w:b/>
                <w:color w:val="0A0A0A"/>
                <w:spacing w:val="6"/>
                <w:w w:val="105"/>
                <w:sz w:val="21"/>
              </w:rPr>
              <w:t> </w:t>
            </w:r>
            <w:r>
              <w:rPr>
                <w:b/>
                <w:color w:val="0A0A0A"/>
                <w:w w:val="105"/>
                <w:sz w:val="21"/>
              </w:rPr>
              <w:t>current</w:t>
            </w:r>
            <w:r>
              <w:rPr>
                <w:b/>
                <w:color w:val="0A0A0A"/>
                <w:spacing w:val="-10"/>
                <w:w w:val="105"/>
                <w:sz w:val="21"/>
              </w:rPr>
              <w:t> </w:t>
            </w:r>
            <w:r>
              <w:rPr>
                <w:b/>
                <w:color w:val="0A0A0A"/>
                <w:spacing w:val="-2"/>
                <w:w w:val="105"/>
                <w:sz w:val="21"/>
              </w:rPr>
              <w:t>liabilities</w:t>
            </w:r>
          </w:p>
        </w:tc>
        <w:tc>
          <w:tcPr>
            <w:tcW w:w="1336" w:type="dxa"/>
            <w:tcBorders>
              <w:top w:val="single" w:color="000000" w:sz="6" w:space="0"/>
              <w:bottom w:val="single" w:color="000000" w:sz="6" w:space="0"/>
            </w:tcBorders>
          </w:tcPr>
          <w:p>
            <w:pPr>
              <w:pStyle w:val="TableParagraph"/>
              <w:spacing w:before="60" w:line="213" w:lineRule="exact"/>
              <w:ind w:left="523"/>
              <w:rPr>
                <w:b/>
                <w:sz w:val="21"/>
              </w:rPr>
            </w:pPr>
            <w:r>
              <w:rPr>
                <w:b/>
                <w:color w:val="0A0A0A"/>
                <w:spacing w:val="-2"/>
                <w:sz w:val="21"/>
              </w:rPr>
              <w:t>28,162</w:t>
            </w:r>
          </w:p>
        </w:tc>
      </w:tr>
      <w:tr>
        <w:trPr>
          <w:trHeight w:val="1064" w:hRule="atLeast"/>
        </w:trPr>
        <w:tc>
          <w:tcPr>
            <w:tcW w:w="579" w:type="dxa"/>
            <w:vMerge/>
            <w:tcBorders>
              <w:top w:val="nil"/>
            </w:tcBorders>
          </w:tcPr>
          <w:p>
            <w:pPr>
              <w:rPr>
                <w:sz w:val="2"/>
                <w:szCs w:val="2"/>
              </w:rPr>
            </w:pPr>
          </w:p>
        </w:tc>
        <w:tc>
          <w:tcPr>
            <w:tcW w:w="1287" w:type="dxa"/>
          </w:tcPr>
          <w:p>
            <w:pPr>
              <w:pStyle w:val="TableParagraph"/>
              <w:rPr>
                <w:rFonts w:ascii="Times New Roman"/>
                <w:sz w:val="20"/>
              </w:rPr>
            </w:pPr>
          </w:p>
        </w:tc>
        <w:tc>
          <w:tcPr>
            <w:tcW w:w="6669" w:type="dxa"/>
          </w:tcPr>
          <w:p>
            <w:pPr>
              <w:pStyle w:val="TableParagraph"/>
              <w:rPr>
                <w:sz w:val="21"/>
              </w:rPr>
            </w:pPr>
          </w:p>
          <w:p>
            <w:pPr>
              <w:pStyle w:val="TableParagraph"/>
              <w:spacing w:before="157"/>
              <w:rPr>
                <w:sz w:val="21"/>
              </w:rPr>
            </w:pPr>
          </w:p>
          <w:p>
            <w:pPr>
              <w:pStyle w:val="TableParagraph"/>
              <w:ind w:left="15"/>
              <w:rPr>
                <w:b/>
                <w:sz w:val="21"/>
              </w:rPr>
            </w:pPr>
            <w:r>
              <w:rPr>
                <w:b/>
                <w:color w:val="0A0A0A"/>
                <w:w w:val="105"/>
                <w:sz w:val="21"/>
              </w:rPr>
              <w:t>Amounts</w:t>
            </w:r>
            <w:r>
              <w:rPr>
                <w:b/>
                <w:color w:val="0A0A0A"/>
                <w:spacing w:val="4"/>
                <w:w w:val="105"/>
                <w:sz w:val="21"/>
              </w:rPr>
              <w:t> </w:t>
            </w:r>
            <w:r>
              <w:rPr>
                <w:b/>
                <w:color w:val="0A0A0A"/>
                <w:w w:val="105"/>
                <w:sz w:val="21"/>
              </w:rPr>
              <w:t>payable</w:t>
            </w:r>
            <w:r>
              <w:rPr>
                <w:b/>
                <w:color w:val="0A0A0A"/>
                <w:spacing w:val="-4"/>
                <w:w w:val="105"/>
                <w:sz w:val="21"/>
              </w:rPr>
              <w:t> </w:t>
            </w:r>
            <w:r>
              <w:rPr>
                <w:b/>
                <w:color w:val="0A0A0A"/>
                <w:w w:val="105"/>
                <w:sz w:val="21"/>
              </w:rPr>
              <w:t>after</w:t>
            </w:r>
            <w:r>
              <w:rPr>
                <w:b/>
                <w:color w:val="0A0A0A"/>
                <w:spacing w:val="-7"/>
                <w:w w:val="105"/>
                <w:sz w:val="21"/>
              </w:rPr>
              <w:t> </w:t>
            </w:r>
            <w:r>
              <w:rPr>
                <w:b/>
                <w:color w:val="0A0A0A"/>
                <w:w w:val="105"/>
                <w:sz w:val="21"/>
              </w:rPr>
              <w:t>one</w:t>
            </w:r>
            <w:r>
              <w:rPr>
                <w:b/>
                <w:color w:val="0A0A0A"/>
                <w:spacing w:val="-2"/>
                <w:w w:val="105"/>
                <w:sz w:val="21"/>
              </w:rPr>
              <w:t> year:</w:t>
            </w:r>
          </w:p>
        </w:tc>
        <w:tc>
          <w:tcPr>
            <w:tcW w:w="1336" w:type="dxa"/>
            <w:tcBorders>
              <w:top w:val="single" w:color="000000" w:sz="6" w:space="0"/>
            </w:tcBorders>
          </w:tcPr>
          <w:p>
            <w:pPr>
              <w:pStyle w:val="TableParagraph"/>
              <w:rPr>
                <w:rFonts w:ascii="Times New Roman"/>
                <w:sz w:val="20"/>
              </w:rPr>
            </w:pPr>
          </w:p>
        </w:tc>
      </w:tr>
      <w:tr>
        <w:trPr>
          <w:trHeight w:val="449" w:hRule="atLeast"/>
        </w:trPr>
        <w:tc>
          <w:tcPr>
            <w:tcW w:w="579" w:type="dxa"/>
            <w:vMerge/>
            <w:tcBorders>
              <w:top w:val="nil"/>
            </w:tcBorders>
          </w:tcPr>
          <w:p>
            <w:pPr>
              <w:rPr>
                <w:sz w:val="2"/>
                <w:szCs w:val="2"/>
              </w:rPr>
            </w:pPr>
          </w:p>
        </w:tc>
        <w:tc>
          <w:tcPr>
            <w:tcW w:w="1287" w:type="dxa"/>
          </w:tcPr>
          <w:p>
            <w:pPr>
              <w:pStyle w:val="TableParagraph"/>
              <w:rPr>
                <w:rFonts w:ascii="Times New Roman"/>
                <w:sz w:val="20"/>
              </w:rPr>
            </w:pPr>
          </w:p>
        </w:tc>
        <w:tc>
          <w:tcPr>
            <w:tcW w:w="6669" w:type="dxa"/>
          </w:tcPr>
          <w:p>
            <w:pPr>
              <w:pStyle w:val="TableParagraph"/>
              <w:spacing w:before="176"/>
              <w:ind w:left="5"/>
              <w:rPr>
                <w:i/>
                <w:sz w:val="21"/>
              </w:rPr>
            </w:pPr>
            <w:r>
              <w:rPr>
                <w:i/>
                <w:color w:val="0A0A0A"/>
                <w:w w:val="105"/>
                <w:sz w:val="21"/>
              </w:rPr>
              <w:t>Financial</w:t>
            </w:r>
            <w:r>
              <w:rPr>
                <w:i/>
                <w:color w:val="0A0A0A"/>
                <w:spacing w:val="-3"/>
                <w:w w:val="105"/>
                <w:sz w:val="21"/>
              </w:rPr>
              <w:t> </w:t>
            </w:r>
            <w:r>
              <w:rPr>
                <w:i/>
                <w:color w:val="0A0A0A"/>
                <w:spacing w:val="-2"/>
                <w:w w:val="105"/>
                <w:sz w:val="21"/>
              </w:rPr>
              <w:t>liabilities</w:t>
            </w:r>
          </w:p>
        </w:tc>
        <w:tc>
          <w:tcPr>
            <w:tcW w:w="1336" w:type="dxa"/>
          </w:tcPr>
          <w:p>
            <w:pPr>
              <w:pStyle w:val="TableParagraph"/>
              <w:rPr>
                <w:rFonts w:ascii="Times New Roman"/>
                <w:sz w:val="20"/>
              </w:rPr>
            </w:pPr>
          </w:p>
        </w:tc>
      </w:tr>
      <w:tr>
        <w:trPr>
          <w:trHeight w:val="286" w:hRule="atLeast"/>
        </w:trPr>
        <w:tc>
          <w:tcPr>
            <w:tcW w:w="579" w:type="dxa"/>
            <w:vMerge/>
            <w:tcBorders>
              <w:top w:val="nil"/>
            </w:tcBorders>
          </w:tcPr>
          <w:p>
            <w:pPr>
              <w:rPr>
                <w:sz w:val="2"/>
                <w:szCs w:val="2"/>
              </w:rPr>
            </w:pPr>
          </w:p>
        </w:tc>
        <w:tc>
          <w:tcPr>
            <w:tcW w:w="1287" w:type="dxa"/>
          </w:tcPr>
          <w:p>
            <w:pPr>
              <w:pStyle w:val="TableParagraph"/>
              <w:spacing w:before="25" w:line="237" w:lineRule="exact"/>
              <w:ind w:left="375"/>
              <w:rPr>
                <w:sz w:val="21"/>
              </w:rPr>
            </w:pPr>
            <w:r>
              <w:rPr>
                <w:color w:val="0A0A0A"/>
                <w:spacing w:val="-5"/>
                <w:w w:val="110"/>
                <w:sz w:val="21"/>
              </w:rPr>
              <w:t>148</w:t>
            </w:r>
          </w:p>
        </w:tc>
        <w:tc>
          <w:tcPr>
            <w:tcW w:w="6669" w:type="dxa"/>
          </w:tcPr>
          <w:p>
            <w:pPr>
              <w:pStyle w:val="TableParagraph"/>
              <w:spacing w:before="29" w:line="237" w:lineRule="exact"/>
              <w:rPr>
                <w:sz w:val="21"/>
              </w:rPr>
            </w:pPr>
            <w:r>
              <w:rPr>
                <w:color w:val="0A0A0A"/>
                <w:w w:val="105"/>
                <w:sz w:val="21"/>
              </w:rPr>
              <w:t>Other</w:t>
            </w:r>
            <w:r>
              <w:rPr>
                <w:color w:val="0A0A0A"/>
                <w:spacing w:val="12"/>
                <w:w w:val="105"/>
                <w:sz w:val="21"/>
              </w:rPr>
              <w:t> </w:t>
            </w:r>
            <w:r>
              <w:rPr>
                <w:color w:val="0A0A0A"/>
                <w:spacing w:val="-2"/>
                <w:w w:val="105"/>
                <w:sz w:val="21"/>
              </w:rPr>
              <w:t>creditors</w:t>
            </w:r>
          </w:p>
        </w:tc>
        <w:tc>
          <w:tcPr>
            <w:tcW w:w="1336" w:type="dxa"/>
            <w:tcBorders>
              <w:bottom w:val="single" w:color="000000" w:sz="6" w:space="0"/>
            </w:tcBorders>
          </w:tcPr>
          <w:p>
            <w:pPr>
              <w:pStyle w:val="TableParagraph"/>
              <w:spacing w:before="29" w:line="237" w:lineRule="exact"/>
              <w:ind w:left="809"/>
              <w:rPr>
                <w:sz w:val="21"/>
              </w:rPr>
            </w:pPr>
            <w:r>
              <w:rPr>
                <w:color w:val="0A0A0A"/>
                <w:spacing w:val="-5"/>
                <w:w w:val="105"/>
                <w:sz w:val="21"/>
              </w:rPr>
              <w:t>173</w:t>
            </w:r>
          </w:p>
        </w:tc>
      </w:tr>
      <w:tr>
        <w:trPr>
          <w:trHeight w:val="297" w:hRule="atLeast"/>
        </w:trPr>
        <w:tc>
          <w:tcPr>
            <w:tcW w:w="579" w:type="dxa"/>
            <w:vMerge/>
            <w:tcBorders>
              <w:top w:val="nil"/>
            </w:tcBorders>
          </w:tcPr>
          <w:p>
            <w:pPr>
              <w:rPr>
                <w:sz w:val="2"/>
                <w:szCs w:val="2"/>
              </w:rPr>
            </w:pPr>
          </w:p>
        </w:tc>
        <w:tc>
          <w:tcPr>
            <w:tcW w:w="1287" w:type="dxa"/>
          </w:tcPr>
          <w:p>
            <w:pPr>
              <w:pStyle w:val="TableParagraph"/>
              <w:spacing w:before="35"/>
              <w:ind w:left="372"/>
              <w:rPr>
                <w:b/>
                <w:sz w:val="21"/>
              </w:rPr>
            </w:pPr>
            <w:r>
              <w:rPr/>
              <ve:AlternateContent>
                <ve:Choice Requires="wps">
                  <w:drawing>
                    <wp:anchor distT="0" distB="0" distL="0" distR="0" simplePos="0" relativeHeight="475931136" behindDoc="1" locked="0" layoutInCell="1" allowOverlap="1">
                      <wp:simplePos x="0" y="0"/>
                      <wp:positionH relativeFrom="column">
                        <wp:posOffset>-266154</wp:posOffset>
                      </wp:positionH>
                      <wp:positionV relativeFrom="paragraph">
                        <wp:posOffset>-9845</wp:posOffset>
                      </wp:positionV>
                      <wp:extent cx="818515" cy="9525"/>
                      <wp:effectExtent l="0" t="0" r="0" b="0"/>
                      <wp:wrapNone/>
                      <wp:docPr id="394" name="Group 394"/>
                      <wp:cNvGraphicFramePr>
                        <a:graphicFrameLocks/>
                      </wp:cNvGraphicFramePr>
                      <a:graphic>
                        <a:graphicData uri="http://schemas.microsoft.com/office/word/2010/wordprocessingGroup">
                          <wpg:wgp>
                            <wpg:cNvPr id="394" name="Group 394"/>
                            <wpg:cNvGrpSpPr/>
                            <wpg:grpSpPr>
                              <a:xfrm>
                                <a:off x="0" y="0"/>
                                <a:ext cx="818515" cy="9525"/>
                                <a:chExt cx="818515" cy="9525"/>
                              </a:xfrm>
                            </wpg:grpSpPr>
                            <wps:wsp>
                              <wps:cNvPr id="395" name="Graphic 395"/>
                              <wps:cNvSpPr/>
                              <wps:spPr>
                                <a:xfrm>
                                  <a:off x="0" y="4577"/>
                                  <a:ext cx="818515" cy="1270"/>
                                </a:xfrm>
                                <a:custGeom>
                                  <a:avLst/>
                                  <a:gdLst/>
                                  <a:ahLst/>
                                  <a:cxnLst/>
                                  <a:rect l="l" t="t" r="r" b="b"/>
                                  <a:pathLst>
                                    <a:path w="818515" h="0">
                                      <a:moveTo>
                                        <a:pt x="0" y="0"/>
                                      </a:moveTo>
                                      <a:lnTo>
                                        <a:pt x="818181"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258" style="position:absolute;margin-left:-20.957027pt;margin-top:-.775259pt;width:64.45pt;height:.75pt;mso-position-horizontal-relative:column;mso-position-vertical-relative:paragraph;z-index:-27385344" coordsize="1289,15" coordorigin="-419,-16">
                      <v:line style="position:absolute" stroked="true" strokecolor="#000000" strokeweight=".720821pt" from="-419,-8" to="869,-8">
                        <v:stroke dashstyle="solid"/>
                      </v:line>
                      <w10:wrap type="none"/>
                    </v:group>
                  </w:pict>
                </ve:Fallback>
              </ve:AlternateContent>
            </w:r>
            <w:r>
              <w:rPr/>
              <ve:AlternateContent>
                <ve:Choice Requires="wps">
                  <w:drawing>
                    <wp:anchor distT="0" distB="0" distL="0" distR="0" simplePos="0" relativeHeight="475931648" behindDoc="1" locked="0" layoutInCell="1" allowOverlap="1">
                      <wp:simplePos x="0" y="0"/>
                      <wp:positionH relativeFrom="column">
                        <wp:posOffset>-278365</wp:posOffset>
                      </wp:positionH>
                      <wp:positionV relativeFrom="paragraph">
                        <wp:posOffset>188500</wp:posOffset>
                      </wp:positionV>
                      <wp:extent cx="830580" cy="9525"/>
                      <wp:effectExtent l="0" t="0" r="0" b="0"/>
                      <wp:wrapNone/>
                      <wp:docPr id="396" name="Group 396"/>
                      <wp:cNvGraphicFramePr>
                        <a:graphicFrameLocks/>
                      </wp:cNvGraphicFramePr>
                      <a:graphic>
                        <a:graphicData uri="http://schemas.microsoft.com/office/word/2010/wordprocessingGroup">
                          <wpg:wgp>
                            <wpg:cNvPr id="396" name="Group 396"/>
                            <wpg:cNvGrpSpPr/>
                            <wpg:grpSpPr>
                              <a:xfrm>
                                <a:off x="0" y="0"/>
                                <a:ext cx="830580" cy="9525"/>
                                <a:chExt cx="830580" cy="9525"/>
                              </a:xfrm>
                            </wpg:grpSpPr>
                            <wps:wsp>
                              <wps:cNvPr id="397" name="Graphic 397"/>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259" style="position:absolute;margin-left:-21.918575pt;margin-top:14.84254pt;width:65.4pt;height:.75pt;mso-position-horizontal-relative:column;mso-position-vertical-relative:paragraph;z-index:-27384832" coordsize="1308,15" coordorigin="-438,297">
                      <v:line style="position:absolute" stroked="true" strokecolor="#000000" strokeweight=".720821pt" from="-438,304" to="869,304">
                        <v:stroke dashstyle="solid"/>
                      </v:line>
                      <w10:wrap type="none"/>
                    </v:group>
                  </w:pict>
                </ve:Fallback>
              </ve:AlternateContent>
            </w:r>
            <w:r>
              <w:rPr>
                <w:b/>
                <w:color w:val="0A0A0A"/>
                <w:spacing w:val="-5"/>
                <w:w w:val="110"/>
                <w:sz w:val="21"/>
              </w:rPr>
              <w:t>148</w:t>
            </w:r>
          </w:p>
        </w:tc>
        <w:tc>
          <w:tcPr>
            <w:tcW w:w="6669" w:type="dxa"/>
          </w:tcPr>
          <w:p>
            <w:pPr>
              <w:pStyle w:val="TableParagraph"/>
              <w:spacing w:before="35"/>
              <w:ind w:left="1"/>
              <w:rPr>
                <w:b/>
                <w:sz w:val="21"/>
              </w:rPr>
            </w:pPr>
            <w:r>
              <w:rPr>
                <w:b/>
                <w:color w:val="0A0A0A"/>
                <w:w w:val="105"/>
                <w:sz w:val="21"/>
              </w:rPr>
              <w:t>Total</w:t>
            </w:r>
            <w:r>
              <w:rPr>
                <w:b/>
                <w:color w:val="0A0A0A"/>
                <w:spacing w:val="-9"/>
                <w:w w:val="105"/>
                <w:sz w:val="21"/>
              </w:rPr>
              <w:t> </w:t>
            </w:r>
            <w:r>
              <w:rPr>
                <w:b/>
                <w:color w:val="0A0A0A"/>
                <w:w w:val="105"/>
                <w:sz w:val="21"/>
              </w:rPr>
              <w:t>included in</w:t>
            </w:r>
            <w:r>
              <w:rPr>
                <w:b/>
                <w:color w:val="0A0A0A"/>
                <w:spacing w:val="-2"/>
                <w:w w:val="105"/>
                <w:sz w:val="21"/>
              </w:rPr>
              <w:t> </w:t>
            </w:r>
            <w:r>
              <w:rPr>
                <w:b/>
                <w:color w:val="0A0A0A"/>
                <w:w w:val="105"/>
                <w:sz w:val="21"/>
              </w:rPr>
              <w:t>non-current</w:t>
            </w:r>
            <w:r>
              <w:rPr>
                <w:b/>
                <w:color w:val="0A0A0A"/>
                <w:spacing w:val="7"/>
                <w:w w:val="105"/>
                <w:sz w:val="21"/>
              </w:rPr>
              <w:t> </w:t>
            </w:r>
            <w:r>
              <w:rPr>
                <w:b/>
                <w:color w:val="0A0A0A"/>
                <w:spacing w:val="-2"/>
                <w:w w:val="105"/>
                <w:sz w:val="21"/>
              </w:rPr>
              <w:t>liabilities</w:t>
            </w:r>
          </w:p>
        </w:tc>
        <w:tc>
          <w:tcPr>
            <w:tcW w:w="1336" w:type="dxa"/>
            <w:tcBorders>
              <w:top w:val="single" w:color="000000" w:sz="6" w:space="0"/>
              <w:bottom w:val="single" w:color="000000" w:sz="6" w:space="0"/>
            </w:tcBorders>
          </w:tcPr>
          <w:p>
            <w:pPr>
              <w:pStyle w:val="TableParagraph"/>
              <w:spacing w:before="35"/>
              <w:ind w:left="805"/>
              <w:rPr>
                <w:b/>
                <w:sz w:val="21"/>
              </w:rPr>
            </w:pPr>
            <w:r>
              <w:rPr>
                <w:b/>
                <w:color w:val="0A0A0A"/>
                <w:spacing w:val="-5"/>
                <w:w w:val="105"/>
                <w:sz w:val="21"/>
              </w:rPr>
              <w:t>173</w:t>
            </w:r>
          </w:p>
        </w:tc>
      </w:tr>
      <w:tr>
        <w:trPr>
          <w:trHeight w:val="1079" w:hRule="atLeast"/>
        </w:trPr>
        <w:tc>
          <w:tcPr>
            <w:tcW w:w="579" w:type="dxa"/>
          </w:tcPr>
          <w:p>
            <w:pPr>
              <w:pStyle w:val="TableParagraph"/>
              <w:rPr>
                <w:sz w:val="21"/>
              </w:rPr>
            </w:pPr>
          </w:p>
          <w:p>
            <w:pPr>
              <w:pStyle w:val="TableParagraph"/>
              <w:rPr>
                <w:sz w:val="21"/>
              </w:rPr>
            </w:pPr>
          </w:p>
          <w:p>
            <w:pPr>
              <w:pStyle w:val="TableParagraph"/>
              <w:spacing w:before="118"/>
              <w:rPr>
                <w:sz w:val="21"/>
              </w:rPr>
            </w:pPr>
          </w:p>
          <w:p>
            <w:pPr>
              <w:pStyle w:val="TableParagraph"/>
              <w:spacing w:line="222" w:lineRule="exact"/>
              <w:ind w:left="50"/>
              <w:rPr>
                <w:b/>
                <w:sz w:val="21"/>
              </w:rPr>
            </w:pPr>
            <w:r>
              <w:rPr>
                <w:b/>
                <w:color w:val="0A0A0A"/>
                <w:spacing w:val="-4"/>
                <w:w w:val="105"/>
                <w:sz w:val="21"/>
              </w:rPr>
              <w:t>5.26</w:t>
            </w:r>
          </w:p>
        </w:tc>
        <w:tc>
          <w:tcPr>
            <w:tcW w:w="1287" w:type="dxa"/>
          </w:tcPr>
          <w:p>
            <w:pPr>
              <w:pStyle w:val="TableParagraph"/>
              <w:rPr>
                <w:sz w:val="21"/>
              </w:rPr>
            </w:pPr>
          </w:p>
          <w:p>
            <w:pPr>
              <w:pStyle w:val="TableParagraph"/>
              <w:rPr>
                <w:sz w:val="21"/>
              </w:rPr>
            </w:pPr>
          </w:p>
          <w:p>
            <w:pPr>
              <w:pStyle w:val="TableParagraph"/>
              <w:spacing w:before="113"/>
              <w:rPr>
                <w:sz w:val="21"/>
              </w:rPr>
            </w:pPr>
          </w:p>
          <w:p>
            <w:pPr>
              <w:pStyle w:val="TableParagraph"/>
              <w:spacing w:before="1" w:line="226" w:lineRule="exact"/>
              <w:ind w:left="181" w:right="-29"/>
              <w:rPr>
                <w:b/>
                <w:sz w:val="21"/>
              </w:rPr>
            </w:pPr>
            <w:r>
              <w:rPr>
                <w:b/>
                <w:color w:val="0A0A0A"/>
                <w:spacing w:val="-2"/>
                <w:w w:val="105"/>
                <w:sz w:val="21"/>
              </w:rPr>
              <w:t>Provisions</w:t>
            </w:r>
          </w:p>
        </w:tc>
        <w:tc>
          <w:tcPr>
            <w:tcW w:w="6669" w:type="dxa"/>
          </w:tcPr>
          <w:p>
            <w:pPr>
              <w:pStyle w:val="TableParagraph"/>
              <w:rPr>
                <w:rFonts w:ascii="Times New Roman"/>
                <w:sz w:val="20"/>
              </w:rPr>
            </w:pPr>
          </w:p>
        </w:tc>
        <w:tc>
          <w:tcPr>
            <w:tcW w:w="1336" w:type="dxa"/>
            <w:tcBorders>
              <w:top w:val="single" w:color="000000" w:sz="6" w:space="0"/>
            </w:tcBorders>
          </w:tcPr>
          <w:p>
            <w:pPr>
              <w:pStyle w:val="TableParagraph"/>
              <w:rPr>
                <w:rFonts w:ascii="Times New Roman"/>
                <w:sz w:val="20"/>
              </w:rPr>
            </w:pPr>
          </w:p>
        </w:tc>
      </w:tr>
    </w:tbl>
    <w:p>
      <w:pPr>
        <w:pStyle w:val="BodyText"/>
        <w:spacing w:before="28"/>
        <w:rPr>
          <w:sz w:val="20"/>
        </w:rPr>
      </w:pPr>
    </w:p>
    <w:tbl>
      <w:tblPr>
        <w:tblW w:w="0" w:type="auto"/>
        <w:jc w:val="left"/>
        <w:tblInd w:w="149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2508"/>
        <w:gridCol w:w="1421"/>
        <w:gridCol w:w="1371"/>
        <w:gridCol w:w="1601"/>
        <w:gridCol w:w="1295"/>
      </w:tblGrid>
      <w:tr>
        <w:trPr>
          <w:trHeight w:val="1088" w:hRule="atLeast"/>
        </w:trPr>
        <w:tc>
          <w:tcPr>
            <w:tcW w:w="2508" w:type="dxa"/>
          </w:tcPr>
          <w:p>
            <w:pPr>
              <w:pStyle w:val="TableParagraph"/>
              <w:spacing w:line="235" w:lineRule="exact"/>
              <w:ind w:left="98"/>
              <w:rPr>
                <w:b/>
                <w:sz w:val="21"/>
              </w:rPr>
            </w:pPr>
            <w:r>
              <w:rPr>
                <w:b/>
                <w:color w:val="0A0A0A"/>
                <w:sz w:val="21"/>
              </w:rPr>
              <w:t>2021-</w:t>
            </w:r>
            <w:r>
              <w:rPr>
                <w:b/>
                <w:color w:val="0A0A0A"/>
                <w:spacing w:val="-5"/>
                <w:sz w:val="21"/>
              </w:rPr>
              <w:t>22</w:t>
            </w:r>
          </w:p>
        </w:tc>
        <w:tc>
          <w:tcPr>
            <w:tcW w:w="1421" w:type="dxa"/>
          </w:tcPr>
          <w:p>
            <w:pPr>
              <w:pStyle w:val="TableParagraph"/>
              <w:spacing w:before="11"/>
              <w:rPr>
                <w:sz w:val="21"/>
              </w:rPr>
            </w:pPr>
          </w:p>
          <w:p>
            <w:pPr>
              <w:pStyle w:val="TableParagraph"/>
              <w:spacing w:line="252" w:lineRule="auto"/>
              <w:ind w:left="201" w:right="174" w:firstLine="10"/>
              <w:jc w:val="center"/>
              <w:rPr>
                <w:b/>
                <w:sz w:val="21"/>
              </w:rPr>
            </w:pPr>
            <w:r>
              <w:rPr>
                <w:b/>
                <w:color w:val="0A0A0A"/>
                <w:spacing w:val="-2"/>
                <w:w w:val="105"/>
                <w:sz w:val="21"/>
              </w:rPr>
              <w:t>Municipal Mutual Insurance</w:t>
            </w:r>
          </w:p>
        </w:tc>
        <w:tc>
          <w:tcPr>
            <w:tcW w:w="1371" w:type="dxa"/>
          </w:tcPr>
          <w:p>
            <w:pPr>
              <w:pStyle w:val="TableParagraph"/>
              <w:spacing w:before="11"/>
              <w:rPr>
                <w:sz w:val="21"/>
              </w:rPr>
            </w:pPr>
          </w:p>
          <w:p>
            <w:pPr>
              <w:pStyle w:val="TableParagraph"/>
              <w:spacing w:line="252" w:lineRule="auto"/>
              <w:ind w:right="58"/>
              <w:jc w:val="center"/>
              <w:rPr>
                <w:b/>
                <w:sz w:val="21"/>
              </w:rPr>
            </w:pPr>
            <w:r>
              <w:rPr>
                <w:b/>
                <w:color w:val="0A0A0A"/>
                <w:spacing w:val="-2"/>
                <w:w w:val="105"/>
                <w:sz w:val="21"/>
              </w:rPr>
              <w:t>Business </w:t>
            </w:r>
            <w:r>
              <w:rPr>
                <w:b/>
                <w:color w:val="0A0A0A"/>
                <w:spacing w:val="-4"/>
                <w:w w:val="105"/>
                <w:sz w:val="21"/>
              </w:rPr>
              <w:t>Rates </w:t>
            </w:r>
            <w:r>
              <w:rPr>
                <w:b/>
                <w:color w:val="0A0A0A"/>
                <w:spacing w:val="-2"/>
                <w:w w:val="105"/>
                <w:sz w:val="21"/>
              </w:rPr>
              <w:t>Appeals</w:t>
            </w:r>
          </w:p>
        </w:tc>
        <w:tc>
          <w:tcPr>
            <w:tcW w:w="1601" w:type="dxa"/>
          </w:tcPr>
          <w:p>
            <w:pPr>
              <w:pStyle w:val="TableParagraph"/>
              <w:spacing w:before="3" w:line="252" w:lineRule="auto"/>
              <w:ind w:left="120" w:right="271" w:firstLine="1"/>
              <w:jc w:val="center"/>
              <w:rPr>
                <w:b/>
                <w:sz w:val="21"/>
              </w:rPr>
            </w:pPr>
            <w:r>
              <w:rPr>
                <w:b/>
                <w:color w:val="0A0A0A"/>
                <w:spacing w:val="-4"/>
                <w:w w:val="105"/>
                <w:sz w:val="21"/>
              </w:rPr>
              <w:t>Herts </w:t>
            </w:r>
            <w:r>
              <w:rPr>
                <w:b/>
                <w:color w:val="0A0A0A"/>
                <w:spacing w:val="-2"/>
                <w:w w:val="105"/>
                <w:sz w:val="21"/>
              </w:rPr>
              <w:t>Building </w:t>
            </w:r>
            <w:r>
              <w:rPr>
                <w:b/>
                <w:color w:val="0A0A0A"/>
                <w:w w:val="105"/>
                <w:sz w:val="21"/>
              </w:rPr>
              <w:t>Control</w:t>
            </w:r>
            <w:r>
              <w:rPr>
                <w:b/>
                <w:color w:val="0A0A0A"/>
                <w:spacing w:val="-16"/>
                <w:w w:val="105"/>
                <w:sz w:val="21"/>
              </w:rPr>
              <w:t> </w:t>
            </w:r>
            <w:r>
              <w:rPr>
                <w:b/>
                <w:color w:val="0A0A0A"/>
                <w:w w:val="105"/>
                <w:sz w:val="21"/>
              </w:rPr>
              <w:t>Ltd </w:t>
            </w:r>
            <w:r>
              <w:rPr>
                <w:b/>
                <w:color w:val="0A0A0A"/>
                <w:spacing w:val="-2"/>
                <w:w w:val="105"/>
                <w:sz w:val="21"/>
              </w:rPr>
              <w:t>Losses</w:t>
            </w:r>
          </w:p>
        </w:tc>
        <w:tc>
          <w:tcPr>
            <w:tcW w:w="1295" w:type="dxa"/>
          </w:tcPr>
          <w:p>
            <w:pPr>
              <w:pStyle w:val="TableParagraph"/>
              <w:rPr>
                <w:sz w:val="21"/>
              </w:rPr>
            </w:pPr>
          </w:p>
          <w:p>
            <w:pPr>
              <w:pStyle w:val="TableParagraph"/>
              <w:rPr>
                <w:sz w:val="21"/>
              </w:rPr>
            </w:pPr>
          </w:p>
          <w:p>
            <w:pPr>
              <w:pStyle w:val="TableParagraph"/>
              <w:spacing w:before="42"/>
              <w:rPr>
                <w:sz w:val="21"/>
              </w:rPr>
            </w:pPr>
          </w:p>
          <w:p>
            <w:pPr>
              <w:pStyle w:val="TableParagraph"/>
              <w:ind w:left="275"/>
              <w:rPr>
                <w:b/>
                <w:sz w:val="21"/>
              </w:rPr>
            </w:pPr>
            <w:r>
              <w:rPr>
                <w:b/>
                <w:color w:val="0A0A0A"/>
                <w:spacing w:val="-4"/>
                <w:w w:val="105"/>
                <w:sz w:val="21"/>
              </w:rPr>
              <w:t>Total</w:t>
            </w:r>
          </w:p>
        </w:tc>
      </w:tr>
      <w:tr>
        <w:trPr>
          <w:trHeight w:val="463" w:hRule="atLeast"/>
        </w:trPr>
        <w:tc>
          <w:tcPr>
            <w:tcW w:w="2508" w:type="dxa"/>
          </w:tcPr>
          <w:p>
            <w:pPr>
              <w:pStyle w:val="TableParagraph"/>
              <w:rPr>
                <w:rFonts w:ascii="Times New Roman"/>
                <w:sz w:val="20"/>
              </w:rPr>
            </w:pPr>
          </w:p>
        </w:tc>
        <w:tc>
          <w:tcPr>
            <w:tcW w:w="1421" w:type="dxa"/>
          </w:tcPr>
          <w:p>
            <w:pPr>
              <w:pStyle w:val="TableParagraph"/>
              <w:spacing w:before="73"/>
              <w:ind w:left="479"/>
              <w:rPr>
                <w:b/>
                <w:sz w:val="21"/>
              </w:rPr>
            </w:pPr>
            <w:r>
              <w:rPr>
                <w:b/>
                <w:color w:val="0A0A0A"/>
                <w:spacing w:val="-4"/>
                <w:w w:val="105"/>
                <w:sz w:val="21"/>
              </w:rPr>
              <w:t>£000</w:t>
            </w:r>
          </w:p>
        </w:tc>
        <w:tc>
          <w:tcPr>
            <w:tcW w:w="1371" w:type="dxa"/>
          </w:tcPr>
          <w:p>
            <w:pPr>
              <w:pStyle w:val="TableParagraph"/>
              <w:spacing w:before="73"/>
              <w:ind w:left="409"/>
              <w:rPr>
                <w:b/>
                <w:sz w:val="21"/>
              </w:rPr>
            </w:pPr>
            <w:r>
              <w:rPr>
                <w:b/>
                <w:color w:val="0A0A0A"/>
                <w:spacing w:val="-4"/>
                <w:w w:val="105"/>
                <w:sz w:val="21"/>
              </w:rPr>
              <w:t>£000</w:t>
            </w:r>
          </w:p>
        </w:tc>
        <w:tc>
          <w:tcPr>
            <w:tcW w:w="1601" w:type="dxa"/>
          </w:tcPr>
          <w:p>
            <w:pPr>
              <w:pStyle w:val="TableParagraph"/>
              <w:spacing w:before="73"/>
              <w:ind w:left="466"/>
              <w:rPr>
                <w:b/>
                <w:sz w:val="21"/>
              </w:rPr>
            </w:pPr>
            <w:r>
              <w:rPr>
                <w:b/>
                <w:color w:val="0A0A0A"/>
                <w:spacing w:val="-4"/>
                <w:w w:val="105"/>
                <w:sz w:val="21"/>
              </w:rPr>
              <w:t>£000</w:t>
            </w:r>
          </w:p>
        </w:tc>
        <w:tc>
          <w:tcPr>
            <w:tcW w:w="1295" w:type="dxa"/>
          </w:tcPr>
          <w:p>
            <w:pPr>
              <w:pStyle w:val="TableParagraph"/>
              <w:spacing w:before="73"/>
              <w:ind w:left="292"/>
              <w:rPr>
                <w:b/>
                <w:sz w:val="21"/>
              </w:rPr>
            </w:pPr>
            <w:r>
              <w:rPr>
                <w:b/>
                <w:color w:val="0A0A0A"/>
                <w:spacing w:val="-4"/>
                <w:w w:val="105"/>
                <w:sz w:val="21"/>
              </w:rPr>
              <w:t>£000</w:t>
            </w:r>
          </w:p>
        </w:tc>
      </w:tr>
      <w:tr>
        <w:trPr>
          <w:trHeight w:val="391" w:hRule="atLeast"/>
        </w:trPr>
        <w:tc>
          <w:tcPr>
            <w:tcW w:w="2508" w:type="dxa"/>
          </w:tcPr>
          <w:p>
            <w:pPr>
              <w:pStyle w:val="TableParagraph"/>
              <w:spacing w:before="142" w:line="229" w:lineRule="exact"/>
              <w:ind w:left="74"/>
              <w:rPr>
                <w:b/>
                <w:sz w:val="21"/>
              </w:rPr>
            </w:pPr>
            <w:r>
              <w:rPr>
                <w:b/>
                <w:color w:val="0A0A0A"/>
                <w:w w:val="105"/>
                <w:sz w:val="21"/>
              </w:rPr>
              <w:t>Balance</w:t>
            </w:r>
            <w:r>
              <w:rPr>
                <w:b/>
                <w:color w:val="0A0A0A"/>
                <w:spacing w:val="-4"/>
                <w:w w:val="105"/>
                <w:sz w:val="21"/>
              </w:rPr>
              <w:t> </w:t>
            </w:r>
            <w:r>
              <w:rPr>
                <w:b/>
                <w:color w:val="0A0A0A"/>
                <w:w w:val="105"/>
                <w:sz w:val="21"/>
              </w:rPr>
              <w:t>at</w:t>
            </w:r>
            <w:r>
              <w:rPr>
                <w:b/>
                <w:color w:val="0A0A0A"/>
                <w:spacing w:val="4"/>
                <w:w w:val="105"/>
                <w:sz w:val="21"/>
              </w:rPr>
              <w:t> </w:t>
            </w:r>
            <w:r>
              <w:rPr>
                <w:b/>
                <w:color w:val="0A0A0A"/>
                <w:w w:val="105"/>
                <w:sz w:val="21"/>
              </w:rPr>
              <w:t>1</w:t>
            </w:r>
            <w:r>
              <w:rPr>
                <w:b/>
                <w:color w:val="0A0A0A"/>
                <w:spacing w:val="-5"/>
                <w:w w:val="105"/>
                <w:sz w:val="21"/>
              </w:rPr>
              <w:t> </w:t>
            </w:r>
            <w:r>
              <w:rPr>
                <w:b/>
                <w:color w:val="0A0A0A"/>
                <w:spacing w:val="-2"/>
                <w:w w:val="105"/>
                <w:sz w:val="21"/>
              </w:rPr>
              <w:t>April</w:t>
            </w:r>
          </w:p>
        </w:tc>
        <w:tc>
          <w:tcPr>
            <w:tcW w:w="1421" w:type="dxa"/>
          </w:tcPr>
          <w:p>
            <w:pPr>
              <w:pStyle w:val="TableParagraph"/>
              <w:rPr>
                <w:rFonts w:ascii="Times New Roman"/>
                <w:sz w:val="20"/>
              </w:rPr>
            </w:pPr>
          </w:p>
        </w:tc>
        <w:tc>
          <w:tcPr>
            <w:tcW w:w="1371" w:type="dxa"/>
          </w:tcPr>
          <w:p>
            <w:pPr>
              <w:pStyle w:val="TableParagraph"/>
              <w:rPr>
                <w:rFonts w:ascii="Times New Roman"/>
                <w:sz w:val="20"/>
              </w:rPr>
            </w:pPr>
          </w:p>
        </w:tc>
        <w:tc>
          <w:tcPr>
            <w:tcW w:w="1601" w:type="dxa"/>
          </w:tcPr>
          <w:p>
            <w:pPr>
              <w:pStyle w:val="TableParagraph"/>
              <w:rPr>
                <w:rFonts w:ascii="Times New Roman"/>
                <w:sz w:val="20"/>
              </w:rPr>
            </w:pPr>
          </w:p>
        </w:tc>
        <w:tc>
          <w:tcPr>
            <w:tcW w:w="1295" w:type="dxa"/>
          </w:tcPr>
          <w:p>
            <w:pPr>
              <w:pStyle w:val="TableParagraph"/>
              <w:rPr>
                <w:rFonts w:ascii="Times New Roman"/>
                <w:sz w:val="20"/>
              </w:rPr>
            </w:pPr>
          </w:p>
        </w:tc>
      </w:tr>
      <w:tr>
        <w:trPr>
          <w:trHeight w:val="506" w:hRule="atLeast"/>
        </w:trPr>
        <w:tc>
          <w:tcPr>
            <w:tcW w:w="2508" w:type="dxa"/>
          </w:tcPr>
          <w:p>
            <w:pPr>
              <w:pStyle w:val="TableParagraph"/>
              <w:spacing w:before="1"/>
              <w:ind w:left="74"/>
              <w:rPr>
                <w:b/>
                <w:sz w:val="21"/>
              </w:rPr>
            </w:pPr>
            <w:r>
              <w:rPr>
                <w:b/>
                <w:color w:val="0A0A0A"/>
                <w:spacing w:val="-4"/>
                <w:w w:val="105"/>
                <w:sz w:val="21"/>
              </w:rPr>
              <w:t>2021</w:t>
            </w:r>
          </w:p>
          <w:p>
            <w:pPr>
              <w:pStyle w:val="TableParagraph"/>
              <w:spacing w:before="13" w:line="231" w:lineRule="exact"/>
              <w:ind w:left="71"/>
              <w:rPr>
                <w:sz w:val="21"/>
              </w:rPr>
            </w:pPr>
            <w:r>
              <w:rPr>
                <w:color w:val="0A0A0A"/>
                <w:w w:val="105"/>
                <w:sz w:val="21"/>
              </w:rPr>
              <w:t>lncrease/(decrease)</w:t>
            </w:r>
            <w:r>
              <w:rPr>
                <w:color w:val="0A0A0A"/>
                <w:spacing w:val="4"/>
                <w:w w:val="105"/>
                <w:sz w:val="21"/>
              </w:rPr>
              <w:t> </w:t>
            </w:r>
            <w:r>
              <w:rPr>
                <w:color w:val="0A0A0A"/>
                <w:spacing w:val="-5"/>
                <w:w w:val="105"/>
                <w:sz w:val="21"/>
              </w:rPr>
              <w:t>in</w:t>
            </w:r>
          </w:p>
        </w:tc>
        <w:tc>
          <w:tcPr>
            <w:tcW w:w="1421" w:type="dxa"/>
          </w:tcPr>
          <w:p>
            <w:pPr>
              <w:pStyle w:val="TableParagraph"/>
              <w:spacing w:before="10"/>
              <w:ind w:right="165"/>
              <w:jc w:val="right"/>
              <w:rPr>
                <w:b/>
                <w:sz w:val="21"/>
              </w:rPr>
            </w:pPr>
            <w:r>
              <w:rPr>
                <w:b/>
                <w:color w:val="0A0A0A"/>
                <w:spacing w:val="-5"/>
                <w:w w:val="110"/>
                <w:sz w:val="21"/>
              </w:rPr>
              <w:t>75</w:t>
            </w:r>
          </w:p>
        </w:tc>
        <w:tc>
          <w:tcPr>
            <w:tcW w:w="1371" w:type="dxa"/>
          </w:tcPr>
          <w:p>
            <w:pPr>
              <w:pStyle w:val="TableParagraph"/>
              <w:spacing w:before="5"/>
              <w:ind w:right="118"/>
              <w:jc w:val="right"/>
              <w:rPr>
                <w:b/>
                <w:sz w:val="21"/>
              </w:rPr>
            </w:pPr>
            <w:r>
              <w:rPr>
                <w:b/>
                <w:color w:val="0A0A0A"/>
                <w:spacing w:val="-4"/>
                <w:w w:val="105"/>
                <w:sz w:val="21"/>
              </w:rPr>
              <w:t>2,613</w:t>
            </w:r>
          </w:p>
        </w:tc>
        <w:tc>
          <w:tcPr>
            <w:tcW w:w="1601" w:type="dxa"/>
          </w:tcPr>
          <w:p>
            <w:pPr>
              <w:pStyle w:val="TableParagraph"/>
              <w:spacing w:before="5"/>
              <w:ind w:left="945"/>
              <w:rPr>
                <w:b/>
                <w:sz w:val="21"/>
              </w:rPr>
            </w:pPr>
            <w:r>
              <w:rPr>
                <w:b/>
                <w:color w:val="0A0A0A"/>
                <w:spacing w:val="-5"/>
                <w:w w:val="105"/>
                <w:sz w:val="21"/>
              </w:rPr>
              <w:t>134</w:t>
            </w:r>
          </w:p>
        </w:tc>
        <w:tc>
          <w:tcPr>
            <w:tcW w:w="1295" w:type="dxa"/>
          </w:tcPr>
          <w:p>
            <w:pPr>
              <w:pStyle w:val="TableParagraph"/>
              <w:spacing w:before="5"/>
              <w:ind w:right="153"/>
              <w:jc w:val="right"/>
              <w:rPr>
                <w:b/>
                <w:sz w:val="21"/>
              </w:rPr>
            </w:pPr>
            <w:r>
              <w:rPr>
                <w:b/>
                <w:color w:val="0A0A0A"/>
                <w:spacing w:val="-4"/>
                <w:w w:val="105"/>
                <w:sz w:val="21"/>
              </w:rPr>
              <w:t>2,822</w:t>
            </w:r>
          </w:p>
        </w:tc>
      </w:tr>
      <w:tr>
        <w:trPr>
          <w:trHeight w:val="264" w:hRule="atLeast"/>
        </w:trPr>
        <w:tc>
          <w:tcPr>
            <w:tcW w:w="2508" w:type="dxa"/>
          </w:tcPr>
          <w:p>
            <w:pPr>
              <w:pStyle w:val="TableParagraph"/>
              <w:spacing w:before="3" w:line="241" w:lineRule="exact"/>
              <w:ind w:left="61"/>
              <w:rPr>
                <w:sz w:val="21"/>
              </w:rPr>
            </w:pPr>
            <w:r>
              <w:rPr>
                <w:color w:val="0A0A0A"/>
                <w:w w:val="105"/>
                <w:sz w:val="21"/>
              </w:rPr>
              <w:t>provision</w:t>
            </w:r>
            <w:r>
              <w:rPr>
                <w:color w:val="0A0A0A"/>
                <w:spacing w:val="-1"/>
                <w:w w:val="105"/>
                <w:sz w:val="21"/>
              </w:rPr>
              <w:t> </w:t>
            </w:r>
            <w:r>
              <w:rPr>
                <w:color w:val="0A0A0A"/>
                <w:w w:val="105"/>
                <w:sz w:val="21"/>
              </w:rPr>
              <w:t>during</w:t>
            </w:r>
            <w:r>
              <w:rPr>
                <w:color w:val="0A0A0A"/>
                <w:spacing w:val="-2"/>
                <w:w w:val="105"/>
                <w:sz w:val="21"/>
              </w:rPr>
              <w:t> </w:t>
            </w:r>
            <w:r>
              <w:rPr>
                <w:color w:val="0A0A0A"/>
                <w:spacing w:val="-4"/>
                <w:w w:val="105"/>
                <w:sz w:val="21"/>
              </w:rPr>
              <w:t>year</w:t>
            </w:r>
          </w:p>
        </w:tc>
        <w:tc>
          <w:tcPr>
            <w:tcW w:w="1421" w:type="dxa"/>
          </w:tcPr>
          <w:p>
            <w:pPr>
              <w:pStyle w:val="TableParagraph"/>
              <w:rPr>
                <w:rFonts w:ascii="Times New Roman"/>
                <w:sz w:val="18"/>
              </w:rPr>
            </w:pPr>
          </w:p>
        </w:tc>
        <w:tc>
          <w:tcPr>
            <w:tcW w:w="1371" w:type="dxa"/>
          </w:tcPr>
          <w:p>
            <w:pPr>
              <w:pStyle w:val="TableParagraph"/>
              <w:spacing w:before="8" w:line="236" w:lineRule="exact"/>
              <w:ind w:right="116"/>
              <w:jc w:val="right"/>
              <w:rPr>
                <w:sz w:val="21"/>
              </w:rPr>
            </w:pPr>
            <w:r>
              <w:rPr>
                <w:color w:val="0A0A0A"/>
                <w:spacing w:val="-5"/>
                <w:w w:val="105"/>
                <w:sz w:val="21"/>
              </w:rPr>
              <w:t>571</w:t>
            </w:r>
          </w:p>
        </w:tc>
        <w:tc>
          <w:tcPr>
            <w:tcW w:w="1601" w:type="dxa"/>
          </w:tcPr>
          <w:p>
            <w:pPr>
              <w:pStyle w:val="TableParagraph"/>
              <w:rPr>
                <w:rFonts w:ascii="Times New Roman"/>
                <w:sz w:val="18"/>
              </w:rPr>
            </w:pPr>
          </w:p>
        </w:tc>
        <w:tc>
          <w:tcPr>
            <w:tcW w:w="1295" w:type="dxa"/>
          </w:tcPr>
          <w:p>
            <w:pPr>
              <w:pStyle w:val="TableParagraph"/>
              <w:spacing w:before="8" w:line="236" w:lineRule="exact"/>
              <w:ind w:right="148"/>
              <w:jc w:val="right"/>
              <w:rPr>
                <w:b/>
                <w:sz w:val="21"/>
              </w:rPr>
            </w:pPr>
            <w:r>
              <w:rPr>
                <w:b/>
                <w:color w:val="0A0A0A"/>
                <w:spacing w:val="-5"/>
                <w:w w:val="110"/>
                <w:sz w:val="21"/>
              </w:rPr>
              <w:t>571</w:t>
            </w:r>
          </w:p>
        </w:tc>
      </w:tr>
      <w:tr>
        <w:trPr>
          <w:trHeight w:val="268" w:hRule="atLeast"/>
        </w:trPr>
        <w:tc>
          <w:tcPr>
            <w:tcW w:w="2508" w:type="dxa"/>
          </w:tcPr>
          <w:p>
            <w:pPr>
              <w:pStyle w:val="TableParagraph"/>
              <w:spacing w:before="8" w:line="241" w:lineRule="exact"/>
              <w:ind w:left="60"/>
              <w:rPr>
                <w:sz w:val="21"/>
              </w:rPr>
            </w:pPr>
            <w:r>
              <w:rPr>
                <w:color w:val="0A0A0A"/>
                <w:w w:val="105"/>
                <w:sz w:val="21"/>
              </w:rPr>
              <w:t>Amounts</w:t>
            </w:r>
            <w:r>
              <w:rPr>
                <w:color w:val="0A0A0A"/>
                <w:spacing w:val="-10"/>
                <w:w w:val="105"/>
                <w:sz w:val="21"/>
              </w:rPr>
              <w:t> </w:t>
            </w:r>
            <w:r>
              <w:rPr>
                <w:color w:val="0A0A0A"/>
                <w:spacing w:val="-4"/>
                <w:w w:val="105"/>
                <w:sz w:val="21"/>
              </w:rPr>
              <w:t>used</w:t>
            </w:r>
          </w:p>
        </w:tc>
        <w:tc>
          <w:tcPr>
            <w:tcW w:w="1421" w:type="dxa"/>
          </w:tcPr>
          <w:p>
            <w:pPr>
              <w:pStyle w:val="TableParagraph"/>
              <w:spacing w:before="27" w:line="222" w:lineRule="exact"/>
              <w:ind w:right="183"/>
              <w:jc w:val="right"/>
              <w:rPr>
                <w:sz w:val="21"/>
              </w:rPr>
            </w:pPr>
            <w:r>
              <w:rPr>
                <w:color w:val="0A0A0A"/>
                <w:spacing w:val="-4"/>
                <w:w w:val="105"/>
                <w:sz w:val="21"/>
              </w:rPr>
              <w:t>(17)</w:t>
            </w:r>
          </w:p>
        </w:tc>
        <w:tc>
          <w:tcPr>
            <w:tcW w:w="1371" w:type="dxa"/>
          </w:tcPr>
          <w:p>
            <w:pPr>
              <w:pStyle w:val="TableParagraph"/>
              <w:spacing w:before="27" w:line="222" w:lineRule="exact"/>
              <w:ind w:right="131"/>
              <w:jc w:val="right"/>
              <w:rPr>
                <w:sz w:val="21"/>
              </w:rPr>
            </w:pPr>
            <w:r>
              <w:rPr>
                <w:color w:val="0A0A0A"/>
                <w:spacing w:val="-2"/>
                <w:w w:val="105"/>
                <w:sz w:val="21"/>
              </w:rPr>
              <w:t>(1,821)</w:t>
            </w:r>
          </w:p>
        </w:tc>
        <w:tc>
          <w:tcPr>
            <w:tcW w:w="1601" w:type="dxa"/>
          </w:tcPr>
          <w:p>
            <w:pPr>
              <w:pStyle w:val="TableParagraph"/>
              <w:rPr>
                <w:rFonts w:ascii="Times New Roman"/>
                <w:sz w:val="18"/>
              </w:rPr>
            </w:pPr>
          </w:p>
        </w:tc>
        <w:tc>
          <w:tcPr>
            <w:tcW w:w="1295" w:type="dxa"/>
          </w:tcPr>
          <w:p>
            <w:pPr>
              <w:pStyle w:val="TableParagraph"/>
              <w:spacing w:before="27" w:line="222" w:lineRule="exact"/>
              <w:ind w:right="165"/>
              <w:jc w:val="right"/>
              <w:rPr>
                <w:b/>
                <w:sz w:val="21"/>
              </w:rPr>
            </w:pPr>
            <w:r>
              <w:rPr>
                <w:b/>
                <w:color w:val="0A0A0A"/>
                <w:spacing w:val="-2"/>
                <w:w w:val="105"/>
                <w:sz w:val="21"/>
              </w:rPr>
              <w:t>(1,838)</w:t>
            </w:r>
          </w:p>
        </w:tc>
      </w:tr>
      <w:tr>
        <w:trPr>
          <w:trHeight w:val="293" w:hRule="atLeast"/>
        </w:trPr>
        <w:tc>
          <w:tcPr>
            <w:tcW w:w="2508" w:type="dxa"/>
          </w:tcPr>
          <w:p>
            <w:pPr>
              <w:pStyle w:val="TableParagraph"/>
              <w:spacing w:before="22"/>
              <w:ind w:left="54"/>
              <w:rPr>
                <w:sz w:val="21"/>
              </w:rPr>
            </w:pPr>
            <w:r>
              <w:rPr>
                <w:color w:val="0A0A0A"/>
                <w:w w:val="105"/>
                <w:sz w:val="21"/>
              </w:rPr>
              <w:t>Classified</w:t>
            </w:r>
            <w:r>
              <w:rPr>
                <w:color w:val="0A0A0A"/>
                <w:spacing w:val="9"/>
                <w:w w:val="105"/>
                <w:sz w:val="21"/>
              </w:rPr>
              <w:t> </w:t>
            </w:r>
            <w:r>
              <w:rPr>
                <w:color w:val="0A0A0A"/>
                <w:w w:val="105"/>
                <w:sz w:val="21"/>
              </w:rPr>
              <w:t>as</w:t>
            </w:r>
            <w:r>
              <w:rPr>
                <w:color w:val="0A0A0A"/>
                <w:spacing w:val="-6"/>
                <w:w w:val="105"/>
                <w:sz w:val="21"/>
              </w:rPr>
              <w:t> </w:t>
            </w:r>
            <w:r>
              <w:rPr>
                <w:color w:val="0A0A0A"/>
                <w:w w:val="105"/>
                <w:sz w:val="21"/>
              </w:rPr>
              <w:t>Long</w:t>
            </w:r>
            <w:r>
              <w:rPr>
                <w:color w:val="0A0A0A"/>
                <w:spacing w:val="-7"/>
                <w:w w:val="105"/>
                <w:sz w:val="21"/>
              </w:rPr>
              <w:t> </w:t>
            </w:r>
            <w:r>
              <w:rPr>
                <w:color w:val="0A0A0A"/>
                <w:spacing w:val="-4"/>
                <w:w w:val="105"/>
                <w:sz w:val="21"/>
              </w:rPr>
              <w:t>Term</w:t>
            </w:r>
          </w:p>
        </w:tc>
        <w:tc>
          <w:tcPr>
            <w:tcW w:w="5688" w:type="dxa"/>
            <w:gridSpan w:val="4"/>
          </w:tcPr>
          <w:p>
            <w:pPr>
              <w:pStyle w:val="TableParagraph"/>
              <w:tabs>
                <w:tab w:val="left" w:leader="none" w:pos="2150"/>
                <w:tab w:val="left" w:leader="none" w:pos="5003"/>
              </w:tabs>
              <w:spacing w:before="37" w:line="236" w:lineRule="exact"/>
              <w:ind w:left="71"/>
              <w:rPr>
                <w:b/>
                <w:sz w:val="21"/>
              </w:rPr>
            </w:pPr>
            <w:r>
              <w:rPr>
                <w:color w:val="0A0A0A"/>
                <w:sz w:val="21"/>
                <w:u w:val="single" w:color="000000"/>
              </w:rPr>
              <w:tab/>
            </w:r>
            <w:r>
              <w:rPr>
                <w:color w:val="0A0A0A"/>
                <w:spacing w:val="-2"/>
                <w:w w:val="105"/>
                <w:sz w:val="21"/>
                <w:u w:val="single" w:color="000000"/>
              </w:rPr>
              <w:t>(182)</w:t>
            </w:r>
            <w:r>
              <w:rPr>
                <w:color w:val="0A0A0A"/>
                <w:sz w:val="21"/>
                <w:u w:val="single" w:color="000000"/>
              </w:rPr>
              <w:tab/>
            </w:r>
            <w:r>
              <w:rPr>
                <w:b/>
                <w:color w:val="0A0A0A"/>
                <w:spacing w:val="-2"/>
                <w:w w:val="105"/>
                <w:sz w:val="21"/>
                <w:u w:val="single" w:color="000000"/>
              </w:rPr>
              <w:t>(182)</w:t>
            </w:r>
          </w:p>
        </w:tc>
      </w:tr>
      <w:tr>
        <w:trPr>
          <w:trHeight w:val="504" w:hRule="atLeast"/>
        </w:trPr>
        <w:tc>
          <w:tcPr>
            <w:tcW w:w="2508" w:type="dxa"/>
          </w:tcPr>
          <w:p>
            <w:pPr>
              <w:pStyle w:val="TableParagraph"/>
              <w:spacing w:before="1" w:line="240" w:lineRule="atLeast"/>
              <w:ind w:left="50" w:right="131" w:hanging="1"/>
              <w:rPr>
                <w:b/>
                <w:sz w:val="21"/>
              </w:rPr>
            </w:pPr>
            <w:r>
              <w:rPr>
                <w:b/>
                <w:color w:val="0A0A0A"/>
                <w:w w:val="105"/>
                <w:sz w:val="21"/>
              </w:rPr>
              <w:t>Balance</w:t>
            </w:r>
            <w:r>
              <w:rPr>
                <w:b/>
                <w:color w:val="0A0A0A"/>
                <w:spacing w:val="-5"/>
                <w:w w:val="105"/>
                <w:sz w:val="21"/>
              </w:rPr>
              <w:t> </w:t>
            </w:r>
            <w:r>
              <w:rPr>
                <w:b/>
                <w:color w:val="0A0A0A"/>
                <w:w w:val="105"/>
                <w:sz w:val="21"/>
              </w:rPr>
              <w:t>as at</w:t>
            </w:r>
            <w:r>
              <w:rPr>
                <w:b/>
                <w:color w:val="0A0A0A"/>
                <w:spacing w:val="-13"/>
                <w:w w:val="105"/>
                <w:sz w:val="21"/>
              </w:rPr>
              <w:t> </w:t>
            </w:r>
            <w:r>
              <w:rPr>
                <w:b/>
                <w:color w:val="0A0A0A"/>
                <w:w w:val="105"/>
                <w:sz w:val="21"/>
              </w:rPr>
              <w:t>31 March 2022</w:t>
            </w:r>
          </w:p>
        </w:tc>
        <w:tc>
          <w:tcPr>
            <w:tcW w:w="5688" w:type="dxa"/>
            <w:gridSpan w:val="4"/>
          </w:tcPr>
          <w:p>
            <w:pPr>
              <w:pStyle w:val="TableParagraph"/>
              <w:spacing w:before="21"/>
              <w:rPr>
                <w:sz w:val="21"/>
              </w:rPr>
            </w:pPr>
          </w:p>
          <w:p>
            <w:pPr>
              <w:pStyle w:val="TableParagraph"/>
              <w:tabs>
                <w:tab w:val="left" w:leader="none" w:pos="985"/>
                <w:tab w:val="left" w:leader="none" w:pos="2108"/>
                <w:tab w:val="left" w:leader="none" w:pos="3728"/>
                <w:tab w:val="left" w:leader="none" w:pos="4963"/>
              </w:tabs>
              <w:spacing w:line="222" w:lineRule="exact"/>
              <w:ind w:left="62"/>
              <w:rPr>
                <w:b/>
                <w:sz w:val="21"/>
              </w:rPr>
            </w:pPr>
            <w:r>
              <w:rPr>
                <w:b/>
                <w:color w:val="0A0A0A"/>
                <w:sz w:val="21"/>
                <w:u w:val="single" w:color="000000"/>
              </w:rPr>
              <w:tab/>
            </w:r>
            <w:r>
              <w:rPr>
                <w:b/>
                <w:color w:val="0A0A0A"/>
                <w:spacing w:val="-7"/>
                <w:w w:val="105"/>
                <w:sz w:val="21"/>
                <w:u w:val="single" w:color="000000"/>
              </w:rPr>
              <w:t>58</w:t>
            </w:r>
            <w:r>
              <w:rPr>
                <w:b/>
                <w:color w:val="0A0A0A"/>
                <w:sz w:val="21"/>
                <w:u w:val="single" w:color="000000"/>
              </w:rPr>
              <w:tab/>
            </w:r>
            <w:r>
              <w:rPr>
                <w:b/>
                <w:color w:val="0A0A0A"/>
                <w:spacing w:val="-2"/>
                <w:w w:val="105"/>
                <w:sz w:val="21"/>
                <w:u w:val="single" w:color="000000"/>
              </w:rPr>
              <w:t>1,181</w:t>
            </w:r>
            <w:r>
              <w:rPr>
                <w:b/>
                <w:color w:val="0A0A0A"/>
                <w:sz w:val="21"/>
                <w:u w:val="single" w:color="000000"/>
              </w:rPr>
              <w:tab/>
            </w:r>
            <w:r>
              <w:rPr>
                <w:b/>
                <w:color w:val="0A0A0A"/>
                <w:spacing w:val="-5"/>
                <w:w w:val="105"/>
                <w:sz w:val="21"/>
                <w:u w:val="single" w:color="000000"/>
              </w:rPr>
              <w:t>134</w:t>
            </w:r>
            <w:r>
              <w:rPr>
                <w:b/>
                <w:color w:val="0A0A0A"/>
                <w:sz w:val="21"/>
                <w:u w:val="single" w:color="000000"/>
              </w:rPr>
              <w:tab/>
            </w:r>
            <w:r>
              <w:rPr>
                <w:b/>
                <w:color w:val="0A0A0A"/>
                <w:spacing w:val="-2"/>
                <w:w w:val="105"/>
                <w:sz w:val="21"/>
                <w:u w:val="single" w:color="000000"/>
              </w:rPr>
              <w:t>1,373</w:t>
            </w:r>
            <w:r>
              <w:rPr>
                <w:b/>
                <w:color w:val="0A0A0A"/>
                <w:spacing w:val="80"/>
                <w:w w:val="105"/>
                <w:sz w:val="21"/>
                <w:u w:val="single" w:color="000000"/>
              </w:rPr>
              <w:t> </w:t>
            </w:r>
          </w:p>
        </w:tc>
      </w:tr>
    </w:tbl>
    <w:p>
      <w:pPr>
        <w:spacing w:after="0" w:line="222" w:lineRule="exact"/>
        <w:rPr>
          <w:sz w:val="21"/>
        </w:rPr>
        <w:sectPr>
          <w:type w:val="continuous"/>
          <w:pgSz w:w="11910" w:h="16830"/>
          <w:pgMar w:top="1940" w:right="300" w:bottom="280" w:left="0" w:header="0" w:footer="736"/>
        </w:sectPr>
      </w:pPr>
    </w:p>
    <w:p>
      <w:pPr>
        <w:pStyle w:val="BodyText"/>
        <w:rPr>
          <w:sz w:val="20"/>
        </w:rPr>
      </w:pPr>
    </w:p>
    <w:p>
      <w:pPr>
        <w:pStyle w:val="BodyText"/>
        <w:spacing w:before="63"/>
        <w:rPr>
          <w:sz w:val="20"/>
        </w:rPr>
      </w:pPr>
    </w:p>
    <w:tbl>
      <w:tblPr>
        <w:tblW w:w="0" w:type="auto"/>
        <w:jc w:val="left"/>
        <w:tblInd w:w="16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2549"/>
        <w:gridCol w:w="1322"/>
        <w:gridCol w:w="1372"/>
        <w:gridCol w:w="1577"/>
        <w:gridCol w:w="1325"/>
      </w:tblGrid>
      <w:tr>
        <w:trPr>
          <w:trHeight w:val="1136" w:hRule="atLeast"/>
        </w:trPr>
        <w:tc>
          <w:tcPr>
            <w:tcW w:w="2549" w:type="dxa"/>
          </w:tcPr>
          <w:p>
            <w:pPr>
              <w:pStyle w:val="TableParagraph"/>
              <w:spacing w:line="246" w:lineRule="exact"/>
              <w:ind w:left="55"/>
              <w:rPr>
                <w:b/>
                <w:sz w:val="22"/>
              </w:rPr>
            </w:pPr>
            <w:r>
              <w:rPr>
                <w:b/>
                <w:color w:val="0C0C0C"/>
                <w:spacing w:val="-5"/>
                <w:sz w:val="22"/>
              </w:rPr>
              <w:t>2022-23</w:t>
            </w:r>
          </w:p>
        </w:tc>
        <w:tc>
          <w:tcPr>
            <w:tcW w:w="1322" w:type="dxa"/>
          </w:tcPr>
          <w:p>
            <w:pPr>
              <w:pStyle w:val="TableParagraph"/>
              <w:spacing w:before="243"/>
              <w:ind w:left="107" w:right="181" w:firstLine="1"/>
              <w:jc w:val="center"/>
              <w:rPr>
                <w:b/>
                <w:sz w:val="22"/>
              </w:rPr>
            </w:pPr>
            <w:r>
              <w:rPr>
                <w:b/>
                <w:color w:val="0C0C0C"/>
                <w:spacing w:val="-2"/>
                <w:sz w:val="22"/>
              </w:rPr>
              <w:t>Municipal Mutual Insurance</w:t>
            </w:r>
          </w:p>
        </w:tc>
        <w:tc>
          <w:tcPr>
            <w:tcW w:w="1372" w:type="dxa"/>
          </w:tcPr>
          <w:p>
            <w:pPr>
              <w:pStyle w:val="TableParagraph"/>
              <w:spacing w:before="247"/>
              <w:ind w:right="91"/>
              <w:jc w:val="center"/>
              <w:rPr>
                <w:b/>
                <w:sz w:val="22"/>
              </w:rPr>
            </w:pPr>
            <w:r>
              <w:rPr>
                <w:b/>
                <w:color w:val="0C0C0C"/>
                <w:spacing w:val="-4"/>
                <w:sz w:val="22"/>
              </w:rPr>
              <w:t>Business </w:t>
            </w:r>
            <w:r>
              <w:rPr>
                <w:b/>
                <w:color w:val="0C0C0C"/>
                <w:spacing w:val="-2"/>
                <w:sz w:val="22"/>
              </w:rPr>
              <w:t>Rates Appeals</w:t>
            </w:r>
          </w:p>
        </w:tc>
        <w:tc>
          <w:tcPr>
            <w:tcW w:w="1577" w:type="dxa"/>
          </w:tcPr>
          <w:p>
            <w:pPr>
              <w:pStyle w:val="TableParagraph"/>
              <w:spacing w:line="242" w:lineRule="auto"/>
              <w:ind w:left="101" w:right="283" w:hanging="4"/>
              <w:jc w:val="center"/>
              <w:rPr>
                <w:b/>
                <w:sz w:val="22"/>
              </w:rPr>
            </w:pPr>
            <w:r>
              <w:rPr>
                <w:b/>
                <w:color w:val="0C0C0C"/>
                <w:spacing w:val="-2"/>
                <w:sz w:val="22"/>
              </w:rPr>
              <w:t>Herts Building </w:t>
            </w:r>
            <w:r>
              <w:rPr>
                <w:b/>
                <w:color w:val="0C0C0C"/>
                <w:sz w:val="22"/>
              </w:rPr>
              <w:t>Control</w:t>
            </w:r>
            <w:r>
              <w:rPr>
                <w:b/>
                <w:color w:val="0C0C0C"/>
                <w:spacing w:val="-16"/>
                <w:sz w:val="22"/>
              </w:rPr>
              <w:t> </w:t>
            </w:r>
            <w:r>
              <w:rPr>
                <w:b/>
                <w:color w:val="0C0C0C"/>
                <w:sz w:val="22"/>
              </w:rPr>
              <w:t>Ltd </w:t>
            </w:r>
            <w:r>
              <w:rPr>
                <w:b/>
                <w:color w:val="0C0C0C"/>
                <w:spacing w:val="-2"/>
                <w:sz w:val="22"/>
              </w:rPr>
              <w:t>Losses</w:t>
            </w:r>
          </w:p>
        </w:tc>
        <w:tc>
          <w:tcPr>
            <w:tcW w:w="1325" w:type="dxa"/>
          </w:tcPr>
          <w:p>
            <w:pPr>
              <w:pStyle w:val="TableParagraph"/>
              <w:rPr>
                <w:sz w:val="22"/>
              </w:rPr>
            </w:pPr>
          </w:p>
          <w:p>
            <w:pPr>
              <w:pStyle w:val="TableParagraph"/>
              <w:spacing w:before="246"/>
              <w:rPr>
                <w:sz w:val="22"/>
              </w:rPr>
            </w:pPr>
          </w:p>
          <w:p>
            <w:pPr>
              <w:pStyle w:val="TableParagraph"/>
              <w:ind w:left="270"/>
              <w:rPr>
                <w:b/>
                <w:sz w:val="22"/>
              </w:rPr>
            </w:pPr>
            <w:r>
              <w:rPr>
                <w:b/>
                <w:color w:val="0C0C0C"/>
                <w:spacing w:val="-2"/>
                <w:sz w:val="22"/>
              </w:rPr>
              <w:t>Total</w:t>
            </w:r>
          </w:p>
        </w:tc>
      </w:tr>
      <w:tr>
        <w:trPr>
          <w:trHeight w:val="600" w:hRule="atLeast"/>
        </w:trPr>
        <w:tc>
          <w:tcPr>
            <w:tcW w:w="2549" w:type="dxa"/>
          </w:tcPr>
          <w:p>
            <w:pPr>
              <w:pStyle w:val="TableParagraph"/>
              <w:rPr>
                <w:rFonts w:ascii="Times New Roman"/>
                <w:sz w:val="20"/>
              </w:rPr>
            </w:pPr>
          </w:p>
        </w:tc>
        <w:tc>
          <w:tcPr>
            <w:tcW w:w="1322" w:type="dxa"/>
          </w:tcPr>
          <w:p>
            <w:pPr>
              <w:pStyle w:val="TableParagraph"/>
              <w:spacing w:before="120"/>
              <w:ind w:left="385"/>
              <w:rPr>
                <w:b/>
                <w:sz w:val="22"/>
              </w:rPr>
            </w:pPr>
            <w:r>
              <w:rPr>
                <w:b/>
                <w:color w:val="0C0C0C"/>
                <w:spacing w:val="-4"/>
                <w:sz w:val="22"/>
              </w:rPr>
              <w:t>£000</w:t>
            </w:r>
          </w:p>
        </w:tc>
        <w:tc>
          <w:tcPr>
            <w:tcW w:w="1372" w:type="dxa"/>
          </w:tcPr>
          <w:p>
            <w:pPr>
              <w:pStyle w:val="TableParagraph"/>
              <w:spacing w:before="120"/>
              <w:ind w:left="405"/>
              <w:rPr>
                <w:b/>
                <w:sz w:val="22"/>
              </w:rPr>
            </w:pPr>
            <w:r>
              <w:rPr>
                <w:b/>
                <w:color w:val="0C0C0C"/>
                <w:spacing w:val="-4"/>
                <w:sz w:val="22"/>
              </w:rPr>
              <w:t>£000</w:t>
            </w:r>
          </w:p>
        </w:tc>
        <w:tc>
          <w:tcPr>
            <w:tcW w:w="1577" w:type="dxa"/>
          </w:tcPr>
          <w:p>
            <w:pPr>
              <w:pStyle w:val="TableParagraph"/>
              <w:spacing w:before="124"/>
              <w:ind w:left="451"/>
              <w:rPr>
                <w:b/>
                <w:sz w:val="22"/>
              </w:rPr>
            </w:pPr>
            <w:r>
              <w:rPr>
                <w:b/>
                <w:color w:val="0C0C0C"/>
                <w:spacing w:val="-4"/>
                <w:sz w:val="22"/>
              </w:rPr>
              <w:t>£000</w:t>
            </w:r>
          </w:p>
        </w:tc>
        <w:tc>
          <w:tcPr>
            <w:tcW w:w="1325" w:type="dxa"/>
          </w:tcPr>
          <w:p>
            <w:pPr>
              <w:pStyle w:val="TableParagraph"/>
              <w:spacing w:before="120"/>
              <w:ind w:left="292"/>
              <w:rPr>
                <w:b/>
                <w:sz w:val="22"/>
              </w:rPr>
            </w:pPr>
            <w:r>
              <w:rPr>
                <w:b/>
                <w:color w:val="0C0C0C"/>
                <w:spacing w:val="-4"/>
                <w:sz w:val="22"/>
              </w:rPr>
              <w:t>£000</w:t>
            </w:r>
          </w:p>
        </w:tc>
      </w:tr>
      <w:tr>
        <w:trPr>
          <w:trHeight w:val="728" w:hRule="atLeast"/>
        </w:trPr>
        <w:tc>
          <w:tcPr>
            <w:tcW w:w="2549" w:type="dxa"/>
          </w:tcPr>
          <w:p>
            <w:pPr>
              <w:pStyle w:val="TableParagraph"/>
              <w:spacing w:before="202" w:line="250" w:lineRule="atLeast"/>
              <w:ind w:left="60" w:right="236" w:hanging="11"/>
              <w:rPr>
                <w:b/>
                <w:sz w:val="22"/>
              </w:rPr>
            </w:pPr>
            <w:r>
              <w:rPr>
                <w:b/>
                <w:color w:val="0C0C0C"/>
                <w:sz w:val="22"/>
              </w:rPr>
              <w:t>Balance</w:t>
            </w:r>
            <w:r>
              <w:rPr>
                <w:b/>
                <w:color w:val="0C0C0C"/>
                <w:spacing w:val="-5"/>
                <w:sz w:val="22"/>
              </w:rPr>
              <w:t> </w:t>
            </w:r>
            <w:r>
              <w:rPr>
                <w:b/>
                <w:color w:val="0C0C0C"/>
                <w:sz w:val="22"/>
              </w:rPr>
              <w:t>at</w:t>
            </w:r>
            <w:r>
              <w:rPr>
                <w:b/>
                <w:color w:val="0C0C0C"/>
                <w:spacing w:val="-15"/>
                <w:sz w:val="22"/>
              </w:rPr>
              <w:t> </w:t>
            </w:r>
            <w:r>
              <w:rPr>
                <w:b/>
                <w:color w:val="0C0C0C"/>
                <w:sz w:val="22"/>
              </w:rPr>
              <w:t>1</w:t>
            </w:r>
            <w:r>
              <w:rPr>
                <w:b/>
                <w:color w:val="0C0C0C"/>
                <w:spacing w:val="-16"/>
                <w:sz w:val="22"/>
              </w:rPr>
              <w:t> </w:t>
            </w:r>
            <w:r>
              <w:rPr>
                <w:b/>
                <w:color w:val="0C0C0C"/>
                <w:sz w:val="22"/>
              </w:rPr>
              <w:t>April </w:t>
            </w:r>
            <w:r>
              <w:rPr>
                <w:b/>
                <w:color w:val="0C0C0C"/>
                <w:spacing w:val="-4"/>
                <w:sz w:val="22"/>
              </w:rPr>
              <w:t>2022</w:t>
            </w:r>
          </w:p>
        </w:tc>
        <w:tc>
          <w:tcPr>
            <w:tcW w:w="1322" w:type="dxa"/>
          </w:tcPr>
          <w:p>
            <w:pPr>
              <w:pStyle w:val="TableParagraph"/>
              <w:spacing w:before="217"/>
              <w:rPr>
                <w:sz w:val="22"/>
              </w:rPr>
            </w:pPr>
          </w:p>
          <w:p>
            <w:pPr>
              <w:pStyle w:val="TableParagraph"/>
              <w:spacing w:line="237" w:lineRule="exact"/>
              <w:ind w:right="158"/>
              <w:jc w:val="right"/>
              <w:rPr>
                <w:b/>
                <w:sz w:val="22"/>
              </w:rPr>
            </w:pPr>
            <w:r>
              <w:rPr>
                <w:b/>
                <w:color w:val="0C0C0C"/>
                <w:spacing w:val="-5"/>
                <w:sz w:val="22"/>
              </w:rPr>
              <w:t>58</w:t>
            </w:r>
          </w:p>
        </w:tc>
        <w:tc>
          <w:tcPr>
            <w:tcW w:w="1372" w:type="dxa"/>
          </w:tcPr>
          <w:p>
            <w:pPr>
              <w:pStyle w:val="TableParagraph"/>
              <w:spacing w:before="217"/>
              <w:rPr>
                <w:sz w:val="22"/>
              </w:rPr>
            </w:pPr>
          </w:p>
          <w:p>
            <w:pPr>
              <w:pStyle w:val="TableParagraph"/>
              <w:spacing w:line="237" w:lineRule="exact"/>
              <w:ind w:right="111"/>
              <w:jc w:val="right"/>
              <w:rPr>
                <w:b/>
                <w:sz w:val="22"/>
              </w:rPr>
            </w:pPr>
            <w:r>
              <w:rPr>
                <w:b/>
                <w:color w:val="0C0C0C"/>
                <w:spacing w:val="-2"/>
                <w:sz w:val="22"/>
              </w:rPr>
              <w:t>1,363</w:t>
            </w:r>
          </w:p>
        </w:tc>
        <w:tc>
          <w:tcPr>
            <w:tcW w:w="1577" w:type="dxa"/>
          </w:tcPr>
          <w:p>
            <w:pPr>
              <w:pStyle w:val="TableParagraph"/>
              <w:spacing w:before="217"/>
              <w:rPr>
                <w:sz w:val="22"/>
              </w:rPr>
            </w:pPr>
          </w:p>
          <w:p>
            <w:pPr>
              <w:pStyle w:val="TableParagraph"/>
              <w:spacing w:line="237" w:lineRule="exact"/>
              <w:ind w:right="268"/>
              <w:jc w:val="right"/>
              <w:rPr>
                <w:b/>
                <w:sz w:val="22"/>
              </w:rPr>
            </w:pPr>
            <w:r>
              <w:rPr>
                <w:b/>
                <w:color w:val="0C0C0C"/>
                <w:spacing w:val="-5"/>
                <w:sz w:val="22"/>
              </w:rPr>
              <w:t>134</w:t>
            </w:r>
          </w:p>
        </w:tc>
        <w:tc>
          <w:tcPr>
            <w:tcW w:w="1325" w:type="dxa"/>
          </w:tcPr>
          <w:p>
            <w:pPr>
              <w:pStyle w:val="TableParagraph"/>
              <w:spacing w:before="217"/>
              <w:rPr>
                <w:sz w:val="22"/>
              </w:rPr>
            </w:pPr>
          </w:p>
          <w:p>
            <w:pPr>
              <w:pStyle w:val="TableParagraph"/>
              <w:spacing w:line="237" w:lineRule="exact"/>
              <w:ind w:right="177"/>
              <w:jc w:val="right"/>
              <w:rPr>
                <w:b/>
                <w:sz w:val="22"/>
              </w:rPr>
            </w:pPr>
            <w:r>
              <w:rPr>
                <w:b/>
                <w:color w:val="0C0C0C"/>
                <w:spacing w:val="-2"/>
                <w:sz w:val="22"/>
              </w:rPr>
              <w:t>1,555</w:t>
            </w:r>
          </w:p>
        </w:tc>
      </w:tr>
      <w:tr>
        <w:trPr>
          <w:trHeight w:val="521" w:hRule="atLeast"/>
        </w:trPr>
        <w:tc>
          <w:tcPr>
            <w:tcW w:w="2549" w:type="dxa"/>
          </w:tcPr>
          <w:p>
            <w:pPr>
              <w:pStyle w:val="TableParagraph"/>
              <w:spacing w:line="254" w:lineRule="exact"/>
              <w:ind w:left="51" w:firstLine="5"/>
              <w:rPr>
                <w:sz w:val="22"/>
              </w:rPr>
            </w:pPr>
            <w:r>
              <w:rPr>
                <w:color w:val="0C0C0C"/>
                <w:sz w:val="22"/>
              </w:rPr>
              <w:t>lncrease/(decrease)</w:t>
            </w:r>
            <w:r>
              <w:rPr>
                <w:color w:val="0C0C0C"/>
                <w:spacing w:val="-16"/>
                <w:sz w:val="22"/>
              </w:rPr>
              <w:t> </w:t>
            </w:r>
            <w:r>
              <w:rPr>
                <w:color w:val="1F1F1F"/>
                <w:sz w:val="22"/>
              </w:rPr>
              <w:t>in </w:t>
            </w:r>
            <w:r>
              <w:rPr>
                <w:color w:val="0C0C0C"/>
                <w:sz w:val="22"/>
              </w:rPr>
              <w:t>provision during year</w:t>
            </w:r>
          </w:p>
        </w:tc>
        <w:tc>
          <w:tcPr>
            <w:tcW w:w="1322" w:type="dxa"/>
          </w:tcPr>
          <w:p>
            <w:pPr>
              <w:pStyle w:val="TableParagraph"/>
              <w:rPr>
                <w:rFonts w:ascii="Times New Roman"/>
                <w:sz w:val="20"/>
              </w:rPr>
            </w:pPr>
          </w:p>
        </w:tc>
        <w:tc>
          <w:tcPr>
            <w:tcW w:w="1372" w:type="dxa"/>
          </w:tcPr>
          <w:p>
            <w:pPr>
              <w:pStyle w:val="TableParagraph"/>
              <w:spacing w:before="252" w:line="249" w:lineRule="exact"/>
              <w:ind w:right="115"/>
              <w:jc w:val="right"/>
              <w:rPr>
                <w:sz w:val="22"/>
              </w:rPr>
            </w:pPr>
            <w:r>
              <w:rPr>
                <w:color w:val="0C0C0C"/>
                <w:spacing w:val="-5"/>
                <w:sz w:val="22"/>
              </w:rPr>
              <w:t>115</w:t>
            </w:r>
          </w:p>
        </w:tc>
        <w:tc>
          <w:tcPr>
            <w:tcW w:w="1577" w:type="dxa"/>
          </w:tcPr>
          <w:p>
            <w:pPr>
              <w:pStyle w:val="TableParagraph"/>
              <w:spacing w:before="252" w:line="249" w:lineRule="exact"/>
              <w:ind w:right="280"/>
              <w:jc w:val="right"/>
              <w:rPr>
                <w:sz w:val="22"/>
              </w:rPr>
            </w:pPr>
            <w:r>
              <w:rPr>
                <w:color w:val="0C0C0C"/>
                <w:spacing w:val="-2"/>
                <w:sz w:val="22"/>
              </w:rPr>
              <w:t>(134)</w:t>
            </w:r>
          </w:p>
        </w:tc>
        <w:tc>
          <w:tcPr>
            <w:tcW w:w="1325" w:type="dxa"/>
          </w:tcPr>
          <w:p>
            <w:pPr>
              <w:pStyle w:val="TableParagraph"/>
              <w:spacing w:before="252" w:line="249" w:lineRule="exact"/>
              <w:ind w:right="161"/>
              <w:jc w:val="right"/>
              <w:rPr>
                <w:b/>
                <w:sz w:val="22"/>
              </w:rPr>
            </w:pPr>
            <w:r>
              <w:rPr>
                <w:b/>
                <w:color w:val="0C0C0C"/>
                <w:spacing w:val="-4"/>
                <w:w w:val="105"/>
                <w:sz w:val="22"/>
              </w:rPr>
              <w:t>(19)</w:t>
            </w:r>
          </w:p>
        </w:tc>
      </w:tr>
      <w:tr>
        <w:trPr>
          <w:trHeight w:val="278" w:hRule="atLeast"/>
        </w:trPr>
        <w:tc>
          <w:tcPr>
            <w:tcW w:w="2549" w:type="dxa"/>
          </w:tcPr>
          <w:p>
            <w:pPr>
              <w:pStyle w:val="TableParagraph"/>
              <w:spacing w:before="9" w:line="250" w:lineRule="exact"/>
              <w:ind w:left="52"/>
              <w:rPr>
                <w:sz w:val="22"/>
              </w:rPr>
            </w:pPr>
            <w:r>
              <w:rPr>
                <w:color w:val="0C0C0C"/>
                <w:sz w:val="22"/>
              </w:rPr>
              <w:t>Amounts</w:t>
            </w:r>
            <w:r>
              <w:rPr>
                <w:color w:val="0C0C0C"/>
                <w:spacing w:val="-4"/>
                <w:sz w:val="22"/>
              </w:rPr>
              <w:t> used</w:t>
            </w:r>
          </w:p>
        </w:tc>
        <w:tc>
          <w:tcPr>
            <w:tcW w:w="1322" w:type="dxa"/>
          </w:tcPr>
          <w:p>
            <w:pPr>
              <w:pStyle w:val="TableParagraph"/>
              <w:rPr>
                <w:rFonts w:ascii="Times New Roman"/>
                <w:sz w:val="20"/>
              </w:rPr>
            </w:pPr>
          </w:p>
        </w:tc>
        <w:tc>
          <w:tcPr>
            <w:tcW w:w="1372" w:type="dxa"/>
          </w:tcPr>
          <w:p>
            <w:pPr>
              <w:pStyle w:val="TableParagraph"/>
              <w:spacing w:before="9" w:line="250" w:lineRule="exact"/>
              <w:ind w:right="108"/>
              <w:jc w:val="right"/>
              <w:rPr>
                <w:sz w:val="22"/>
              </w:rPr>
            </w:pPr>
            <w:r>
              <w:rPr>
                <w:color w:val="0C0C0C"/>
                <w:spacing w:val="-2"/>
                <w:sz w:val="22"/>
              </w:rPr>
              <w:t>(1</w:t>
            </w:r>
            <w:r>
              <w:rPr>
                <w:color w:val="383838"/>
                <w:spacing w:val="-2"/>
                <w:sz w:val="22"/>
              </w:rPr>
              <w:t>,</w:t>
            </w:r>
            <w:r>
              <w:rPr>
                <w:color w:val="0C0C0C"/>
                <w:spacing w:val="-2"/>
                <w:sz w:val="22"/>
              </w:rPr>
              <w:t>060)</w:t>
            </w:r>
          </w:p>
        </w:tc>
        <w:tc>
          <w:tcPr>
            <w:tcW w:w="1577" w:type="dxa"/>
          </w:tcPr>
          <w:p>
            <w:pPr>
              <w:pStyle w:val="TableParagraph"/>
              <w:rPr>
                <w:rFonts w:ascii="Times New Roman"/>
                <w:sz w:val="20"/>
              </w:rPr>
            </w:pPr>
          </w:p>
        </w:tc>
        <w:tc>
          <w:tcPr>
            <w:tcW w:w="1325" w:type="dxa"/>
          </w:tcPr>
          <w:p>
            <w:pPr>
              <w:pStyle w:val="TableParagraph"/>
              <w:spacing w:before="9" w:line="250" w:lineRule="exact"/>
              <w:ind w:right="171"/>
              <w:jc w:val="right"/>
              <w:rPr>
                <w:b/>
                <w:sz w:val="22"/>
              </w:rPr>
            </w:pPr>
            <w:r>
              <w:rPr>
                <w:b/>
                <w:color w:val="0C0C0C"/>
                <w:spacing w:val="-2"/>
                <w:sz w:val="22"/>
              </w:rPr>
              <w:t>(1,060)</w:t>
            </w:r>
          </w:p>
        </w:tc>
      </w:tr>
      <w:tr>
        <w:trPr>
          <w:trHeight w:val="251" w:hRule="atLeast"/>
        </w:trPr>
        <w:tc>
          <w:tcPr>
            <w:tcW w:w="2549" w:type="dxa"/>
          </w:tcPr>
          <w:p>
            <w:pPr>
              <w:pStyle w:val="TableParagraph"/>
              <w:spacing w:before="18" w:line="213" w:lineRule="exact"/>
              <w:ind w:left="50"/>
              <w:rPr>
                <w:sz w:val="22"/>
              </w:rPr>
            </w:pPr>
            <w:r>
              <w:rPr>
                <w:color w:val="0C0C0C"/>
                <w:sz w:val="22"/>
              </w:rPr>
              <w:t>Classified</w:t>
            </w:r>
            <w:r>
              <w:rPr>
                <w:color w:val="0C0C0C"/>
                <w:spacing w:val="-1"/>
                <w:sz w:val="22"/>
              </w:rPr>
              <w:t> </w:t>
            </w:r>
            <w:r>
              <w:rPr>
                <w:color w:val="0C0C0C"/>
                <w:sz w:val="22"/>
              </w:rPr>
              <w:t>as</w:t>
            </w:r>
            <w:r>
              <w:rPr>
                <w:color w:val="0C0C0C"/>
                <w:spacing w:val="-9"/>
                <w:sz w:val="22"/>
              </w:rPr>
              <w:t> </w:t>
            </w:r>
            <w:r>
              <w:rPr>
                <w:color w:val="0C0C0C"/>
                <w:sz w:val="22"/>
              </w:rPr>
              <w:t>Long</w:t>
            </w:r>
            <w:r>
              <w:rPr>
                <w:color w:val="0C0C0C"/>
                <w:spacing w:val="-7"/>
                <w:sz w:val="22"/>
              </w:rPr>
              <w:t> </w:t>
            </w:r>
            <w:r>
              <w:rPr>
                <w:color w:val="0C0C0C"/>
                <w:spacing w:val="-4"/>
                <w:sz w:val="22"/>
              </w:rPr>
              <w:t>Term</w:t>
            </w:r>
          </w:p>
        </w:tc>
        <w:tc>
          <w:tcPr>
            <w:tcW w:w="1322" w:type="dxa"/>
            <w:tcBorders>
              <w:bottom w:val="single" w:color="4A4A4A" w:sz="8" w:space="0"/>
            </w:tcBorders>
          </w:tcPr>
          <w:p>
            <w:pPr>
              <w:pStyle w:val="TableParagraph"/>
              <w:rPr>
                <w:rFonts w:ascii="Times New Roman"/>
                <w:sz w:val="16"/>
              </w:rPr>
            </w:pPr>
          </w:p>
        </w:tc>
        <w:tc>
          <w:tcPr>
            <w:tcW w:w="1372" w:type="dxa"/>
          </w:tcPr>
          <w:p>
            <w:pPr>
              <w:pStyle w:val="TableParagraph"/>
              <w:spacing w:before="9" w:line="209" w:lineRule="exact"/>
              <w:ind w:right="100"/>
              <w:jc w:val="right"/>
              <w:rPr>
                <w:b/>
                <w:sz w:val="23"/>
              </w:rPr>
            </w:pPr>
            <w:r>
              <w:rPr>
                <w:b/>
                <w:color w:val="383838"/>
                <w:spacing w:val="37"/>
                <w:sz w:val="23"/>
                <w:u w:val="thick" w:color="1F1F1F"/>
              </w:rPr>
              <w:t> </w:t>
            </w:r>
            <w:r>
              <w:rPr>
                <w:b/>
                <w:color w:val="383838"/>
                <w:w w:val="40"/>
                <w:sz w:val="23"/>
                <w:u w:val="thick" w:color="1F1F1F"/>
              </w:rPr>
              <w:t>,_</w:t>
            </w:r>
            <w:r>
              <w:rPr>
                <w:b/>
                <w:color w:val="1F1F1F"/>
                <w:w w:val="40"/>
                <w:sz w:val="23"/>
                <w:u w:val="thick" w:color="1F1F1F"/>
              </w:rPr>
              <w:t>(5</w:t>
            </w:r>
            <w:r>
              <w:rPr>
                <w:b/>
                <w:color w:val="5B5B5B"/>
                <w:w w:val="40"/>
                <w:sz w:val="23"/>
                <w:u w:val="thick" w:color="1F1F1F"/>
              </w:rPr>
              <w:t>_</w:t>
            </w:r>
            <w:r>
              <w:rPr>
                <w:b/>
                <w:color w:val="0C0C0C"/>
                <w:w w:val="40"/>
                <w:sz w:val="23"/>
                <w:u w:val="thick" w:color="1F1F1F"/>
              </w:rPr>
              <w:t>6</w:t>
            </w:r>
            <w:r>
              <w:rPr>
                <w:b/>
                <w:color w:val="383838"/>
                <w:w w:val="40"/>
                <w:sz w:val="23"/>
                <w:u w:val="thick" w:color="1F1F1F"/>
              </w:rPr>
              <w:t>_,</w:t>
            </w:r>
            <w:r>
              <w:rPr>
                <w:b/>
                <w:color w:val="383838"/>
                <w:spacing w:val="40"/>
                <w:sz w:val="23"/>
                <w:u w:val="thick" w:color="1F1F1F"/>
              </w:rPr>
              <w:t> </w:t>
            </w:r>
            <w:r>
              <w:rPr>
                <w:b/>
                <w:color w:val="1F1F1F"/>
                <w:spacing w:val="-10"/>
                <w:w w:val="50"/>
                <w:sz w:val="23"/>
                <w:u w:val="thick" w:color="1F1F1F"/>
              </w:rPr>
              <w:t>)</w:t>
            </w:r>
          </w:p>
        </w:tc>
        <w:tc>
          <w:tcPr>
            <w:tcW w:w="1577" w:type="dxa"/>
            <w:tcBorders>
              <w:bottom w:val="single" w:color="4A4A4A" w:sz="12" w:space="0"/>
            </w:tcBorders>
          </w:tcPr>
          <w:p>
            <w:pPr>
              <w:pStyle w:val="TableParagraph"/>
              <w:rPr>
                <w:rFonts w:ascii="Times New Roman"/>
                <w:sz w:val="16"/>
              </w:rPr>
            </w:pPr>
          </w:p>
        </w:tc>
        <w:tc>
          <w:tcPr>
            <w:tcW w:w="1325" w:type="dxa"/>
            <w:tcBorders>
              <w:bottom w:val="single" w:color="4A4A4A" w:sz="18" w:space="0"/>
            </w:tcBorders>
          </w:tcPr>
          <w:p>
            <w:pPr>
              <w:pStyle w:val="TableParagraph"/>
              <w:spacing w:before="93" w:line="124" w:lineRule="exact"/>
              <w:ind w:right="184"/>
              <w:jc w:val="right"/>
              <w:rPr>
                <w:b/>
                <w:sz w:val="14"/>
              </w:rPr>
            </w:pPr>
            <w:r>
              <w:rPr>
                <w:b/>
                <w:color w:val="4B4B4B"/>
                <w:spacing w:val="28"/>
                <w:sz w:val="14"/>
                <w:u w:val="thick" w:color="0C0C0C"/>
              </w:rPr>
              <w:t> </w:t>
            </w:r>
            <w:r>
              <w:rPr>
                <w:b/>
                <w:color w:val="4B4B4B"/>
                <w:w w:val="60"/>
                <w:sz w:val="14"/>
                <w:u w:val="thick" w:color="0C0C0C"/>
              </w:rPr>
              <w:t>,</w:t>
            </w:r>
            <w:r>
              <w:rPr>
                <w:b/>
                <w:color w:val="4B4B4B"/>
                <w:spacing w:val="29"/>
                <w:sz w:val="14"/>
                <w:u w:val="thick" w:color="0C0C0C"/>
              </w:rPr>
              <w:t> </w:t>
            </w:r>
            <w:r>
              <w:rPr>
                <w:b/>
                <w:color w:val="1F1F1F"/>
                <w:w w:val="60"/>
                <w:sz w:val="14"/>
                <w:u w:val="thick" w:color="0C0C0C"/>
              </w:rPr>
              <w:t>(5</w:t>
            </w:r>
            <w:r>
              <w:rPr>
                <w:b/>
                <w:color w:val="4B4B4B"/>
                <w:w w:val="60"/>
                <w:sz w:val="14"/>
                <w:u w:val="thick" w:color="0C0C0C"/>
              </w:rPr>
              <w:t>_</w:t>
            </w:r>
            <w:r>
              <w:rPr>
                <w:b/>
                <w:color w:val="0C0C0C"/>
                <w:w w:val="60"/>
                <w:sz w:val="14"/>
                <w:u w:val="thick" w:color="0C0C0C"/>
              </w:rPr>
              <w:t>6</w:t>
            </w:r>
            <w:r>
              <w:rPr>
                <w:b/>
                <w:color w:val="383838"/>
                <w:w w:val="60"/>
                <w:sz w:val="14"/>
                <w:u w:val="thick" w:color="0C0C0C"/>
              </w:rPr>
              <w:t>..,</w:t>
            </w:r>
            <w:r>
              <w:rPr>
                <w:b/>
                <w:color w:val="383838"/>
                <w:spacing w:val="29"/>
                <w:sz w:val="14"/>
                <w:u w:val="thick" w:color="0C0C0C"/>
              </w:rPr>
              <w:t> </w:t>
            </w:r>
            <w:r>
              <w:rPr>
                <w:b/>
                <w:color w:val="383838"/>
                <w:spacing w:val="-7"/>
                <w:w w:val="60"/>
                <w:sz w:val="14"/>
                <w:u w:val="thick" w:color="0C0C0C"/>
              </w:rPr>
              <w:t>,</w:t>
            </w:r>
            <w:r>
              <w:rPr>
                <w:b/>
                <w:color w:val="0C0C0C"/>
                <w:spacing w:val="-7"/>
                <w:w w:val="60"/>
                <w:sz w:val="14"/>
                <w:u w:val="thick" w:color="0C0C0C"/>
              </w:rPr>
              <w:t>)</w:t>
            </w:r>
          </w:p>
        </w:tc>
      </w:tr>
      <w:tr>
        <w:trPr>
          <w:trHeight w:val="239" w:hRule="atLeast"/>
        </w:trPr>
        <w:tc>
          <w:tcPr>
            <w:tcW w:w="2549" w:type="dxa"/>
          </w:tcPr>
          <w:p>
            <w:pPr>
              <w:pStyle w:val="TableParagraph"/>
              <w:spacing w:line="220" w:lineRule="exact"/>
              <w:ind w:left="54"/>
              <w:rPr>
                <w:b/>
                <w:sz w:val="22"/>
              </w:rPr>
            </w:pPr>
            <w:r>
              <w:rPr>
                <w:b/>
                <w:color w:val="0C0C0C"/>
                <w:sz w:val="22"/>
              </w:rPr>
              <w:t>Balance</w:t>
            </w:r>
            <w:r>
              <w:rPr>
                <w:b/>
                <w:color w:val="0C0C0C"/>
                <w:spacing w:val="4"/>
                <w:sz w:val="22"/>
              </w:rPr>
              <w:t> </w:t>
            </w:r>
            <w:r>
              <w:rPr>
                <w:b/>
                <w:color w:val="0C0C0C"/>
                <w:sz w:val="22"/>
              </w:rPr>
              <w:t>as</w:t>
            </w:r>
            <w:r>
              <w:rPr>
                <w:b/>
                <w:color w:val="0C0C0C"/>
                <w:spacing w:val="-8"/>
                <w:sz w:val="22"/>
              </w:rPr>
              <w:t> </w:t>
            </w:r>
            <w:r>
              <w:rPr>
                <w:b/>
                <w:color w:val="0C0C0C"/>
                <w:sz w:val="22"/>
              </w:rPr>
              <w:t>at</w:t>
            </w:r>
            <w:r>
              <w:rPr>
                <w:b/>
                <w:color w:val="0C0C0C"/>
                <w:spacing w:val="-5"/>
                <w:sz w:val="22"/>
              </w:rPr>
              <w:t> 31</w:t>
            </w:r>
          </w:p>
        </w:tc>
        <w:tc>
          <w:tcPr>
            <w:tcW w:w="1322" w:type="dxa"/>
            <w:tcBorders>
              <w:top w:val="single" w:color="4A4A4A" w:sz="8" w:space="0"/>
            </w:tcBorders>
          </w:tcPr>
          <w:p>
            <w:pPr>
              <w:pStyle w:val="TableParagraph"/>
              <w:rPr>
                <w:rFonts w:ascii="Times New Roman"/>
                <w:sz w:val="18"/>
              </w:rPr>
            </w:pPr>
          </w:p>
        </w:tc>
        <w:tc>
          <w:tcPr>
            <w:tcW w:w="1372" w:type="dxa"/>
          </w:tcPr>
          <w:p>
            <w:pPr>
              <w:pStyle w:val="TableParagraph"/>
              <w:rPr>
                <w:rFonts w:ascii="Times New Roman"/>
                <w:sz w:val="18"/>
              </w:rPr>
            </w:pPr>
          </w:p>
        </w:tc>
        <w:tc>
          <w:tcPr>
            <w:tcW w:w="1577" w:type="dxa"/>
            <w:tcBorders>
              <w:top w:val="single" w:color="4A4A4A" w:sz="12" w:space="0"/>
            </w:tcBorders>
          </w:tcPr>
          <w:p>
            <w:pPr>
              <w:pStyle w:val="TableParagraph"/>
              <w:rPr>
                <w:rFonts w:ascii="Times New Roman"/>
                <w:sz w:val="18"/>
              </w:rPr>
            </w:pPr>
          </w:p>
        </w:tc>
        <w:tc>
          <w:tcPr>
            <w:tcW w:w="1325" w:type="dxa"/>
            <w:tcBorders>
              <w:top w:val="single" w:color="4A4A4A" w:sz="18" w:space="0"/>
            </w:tcBorders>
          </w:tcPr>
          <w:p>
            <w:pPr>
              <w:pStyle w:val="TableParagraph"/>
              <w:rPr>
                <w:rFonts w:ascii="Times New Roman"/>
                <w:sz w:val="18"/>
              </w:rPr>
            </w:pPr>
          </w:p>
        </w:tc>
      </w:tr>
      <w:tr>
        <w:trPr>
          <w:trHeight w:val="254" w:hRule="atLeast"/>
        </w:trPr>
        <w:tc>
          <w:tcPr>
            <w:tcW w:w="2549" w:type="dxa"/>
          </w:tcPr>
          <w:p>
            <w:pPr>
              <w:pStyle w:val="TableParagraph"/>
              <w:spacing w:line="226" w:lineRule="exact"/>
              <w:ind w:left="55"/>
              <w:rPr>
                <w:b/>
                <w:sz w:val="22"/>
              </w:rPr>
            </w:pPr>
            <w:r>
              <w:rPr>
                <w:b/>
                <w:color w:val="0C0C0C"/>
                <w:sz w:val="22"/>
              </w:rPr>
              <w:t>March</w:t>
            </w:r>
            <w:r>
              <w:rPr>
                <w:b/>
                <w:color w:val="0C0C0C"/>
                <w:spacing w:val="-2"/>
                <w:sz w:val="22"/>
              </w:rPr>
              <w:t> </w:t>
            </w:r>
            <w:r>
              <w:rPr>
                <w:b/>
                <w:color w:val="0C0C0C"/>
                <w:spacing w:val="-4"/>
                <w:sz w:val="22"/>
              </w:rPr>
              <w:t>2023</w:t>
            </w:r>
          </w:p>
        </w:tc>
        <w:tc>
          <w:tcPr>
            <w:tcW w:w="5596" w:type="dxa"/>
            <w:gridSpan w:val="4"/>
          </w:tcPr>
          <w:p>
            <w:pPr>
              <w:pStyle w:val="TableParagraph"/>
              <w:tabs>
                <w:tab w:val="left" w:leader="none" w:pos="920"/>
                <w:tab w:val="left" w:leader="none" w:pos="2215"/>
                <w:tab w:val="left" w:leader="none" w:pos="5056"/>
              </w:tabs>
              <w:spacing w:line="226" w:lineRule="exact"/>
              <w:ind w:left="-12"/>
              <w:rPr>
                <w:b/>
                <w:sz w:val="22"/>
              </w:rPr>
            </w:pPr>
            <w:r>
              <w:rPr>
                <w:b/>
                <w:color w:val="0C0C0C"/>
                <w:sz w:val="22"/>
                <w:u w:val="single" w:color="000000"/>
              </w:rPr>
              <w:tab/>
            </w:r>
            <w:r>
              <w:rPr>
                <w:b/>
                <w:color w:val="0C0C0C"/>
                <w:spacing w:val="-5"/>
                <w:sz w:val="22"/>
                <w:u w:val="single" w:color="000000"/>
              </w:rPr>
              <w:t>58</w:t>
            </w:r>
            <w:r>
              <w:rPr>
                <w:b/>
                <w:color w:val="0C0C0C"/>
                <w:sz w:val="22"/>
                <w:u w:val="single" w:color="000000"/>
              </w:rPr>
              <w:tab/>
            </w:r>
            <w:r>
              <w:rPr>
                <w:b/>
                <w:color w:val="0C0C0C"/>
                <w:spacing w:val="-5"/>
                <w:sz w:val="22"/>
                <w:u w:val="single" w:color="000000"/>
              </w:rPr>
              <w:t>362</w:t>
            </w:r>
            <w:r>
              <w:rPr>
                <w:b/>
                <w:color w:val="0C0C0C"/>
                <w:sz w:val="22"/>
                <w:u w:val="single" w:color="000000"/>
              </w:rPr>
              <w:tab/>
            </w:r>
            <w:r>
              <w:rPr>
                <w:b/>
                <w:color w:val="0C0C0C"/>
                <w:spacing w:val="-5"/>
                <w:sz w:val="22"/>
                <w:u w:val="single" w:color="000000"/>
              </w:rPr>
              <w:t>420</w:t>
            </w:r>
            <w:r>
              <w:rPr>
                <w:b/>
                <w:color w:val="0C0C0C"/>
                <w:spacing w:val="80"/>
                <w:sz w:val="22"/>
                <w:u w:val="single" w:color="000000"/>
              </w:rPr>
              <w:t> </w:t>
            </w:r>
          </w:p>
        </w:tc>
      </w:tr>
    </w:tbl>
    <w:p>
      <w:pPr>
        <w:pStyle w:val="BodyText"/>
        <w:spacing w:before="46"/>
      </w:pPr>
    </w:p>
    <w:p>
      <w:pPr>
        <w:pStyle w:val="BodyText"/>
        <w:ind w:left="1646" w:right="887"/>
        <w:jc w:val="both"/>
      </w:pPr>
      <w:r>
        <w:rPr>
          <w:color w:val="0C0C0C"/>
        </w:rPr>
        <w:t>Municipal </w:t>
      </w:r>
      <w:r>
        <w:rPr>
          <w:color w:val="1F1F1F"/>
        </w:rPr>
        <w:t>Mutual </w:t>
      </w:r>
      <w:r>
        <w:rPr>
          <w:color w:val="0C0C0C"/>
        </w:rPr>
        <w:t>Insurance - a provis</w:t>
      </w:r>
      <w:r>
        <w:rPr>
          <w:color w:val="383838"/>
        </w:rPr>
        <w:t>i</w:t>
      </w:r>
      <w:r>
        <w:rPr>
          <w:color w:val="1F1F1F"/>
        </w:rPr>
        <w:t>on </w:t>
      </w:r>
      <w:r>
        <w:rPr>
          <w:color w:val="0C0C0C"/>
        </w:rPr>
        <w:t>in respect of the Council's liabilities under the Municipal </w:t>
      </w:r>
      <w:r>
        <w:rPr>
          <w:color w:val="1F1F1F"/>
        </w:rPr>
        <w:t>Mutual</w:t>
      </w:r>
      <w:r>
        <w:rPr>
          <w:color w:val="1F1F1F"/>
          <w:spacing w:val="-12"/>
        </w:rPr>
        <w:t> </w:t>
      </w:r>
      <w:r>
        <w:rPr>
          <w:color w:val="0C0C0C"/>
        </w:rPr>
        <w:t>Insurance </w:t>
      </w:r>
      <w:r>
        <w:rPr>
          <w:color w:val="1F1F1F"/>
        </w:rPr>
        <w:t>Scheme of ArrangE</w:t>
      </w:r>
      <w:r>
        <w:rPr>
          <w:color w:val="1F1F1F"/>
          <w:spacing w:val="-8"/>
        </w:rPr>
        <w:t> </w:t>
      </w:r>
      <w:r>
        <w:rPr>
          <w:color w:val="1F1F1F"/>
        </w:rPr>
        <w:t>ment.</w:t>
      </w:r>
    </w:p>
    <w:p>
      <w:pPr>
        <w:pStyle w:val="BodyText"/>
        <w:spacing w:before="34"/>
      </w:pPr>
    </w:p>
    <w:p>
      <w:pPr>
        <w:pStyle w:val="BodyText"/>
        <w:ind w:left="1655" w:right="864" w:firstLine="1"/>
        <w:jc w:val="both"/>
      </w:pPr>
      <w:r>
        <w:rPr>
          <w:color w:val="1F1F1F"/>
        </w:rPr>
        <w:t>Business</w:t>
      </w:r>
      <w:r>
        <w:rPr>
          <w:color w:val="1F1F1F"/>
          <w:spacing w:val="-16"/>
        </w:rPr>
        <w:t> </w:t>
      </w:r>
      <w:r>
        <w:rPr>
          <w:color w:val="1F1F1F"/>
        </w:rPr>
        <w:t>Rates</w:t>
      </w:r>
      <w:r>
        <w:rPr>
          <w:color w:val="1F1F1F"/>
          <w:spacing w:val="-15"/>
        </w:rPr>
        <w:t> </w:t>
      </w:r>
      <w:r>
        <w:rPr>
          <w:color w:val="1F1F1F"/>
        </w:rPr>
        <w:t>Appeals</w:t>
      </w:r>
      <w:r>
        <w:rPr>
          <w:color w:val="1F1F1F"/>
          <w:spacing w:val="-8"/>
        </w:rPr>
        <w:t> </w:t>
      </w:r>
      <w:r>
        <w:rPr>
          <w:color w:val="1F1F1F"/>
        </w:rPr>
        <w:t>-</w:t>
      </w:r>
      <w:r>
        <w:rPr>
          <w:color w:val="1F1F1F"/>
          <w:spacing w:val="-13"/>
        </w:rPr>
        <w:t> </w:t>
      </w:r>
      <w:r>
        <w:rPr>
          <w:color w:val="1F1F1F"/>
        </w:rPr>
        <w:t>a</w:t>
      </w:r>
      <w:r>
        <w:rPr>
          <w:color w:val="1F1F1F"/>
          <w:spacing w:val="-16"/>
        </w:rPr>
        <w:t> </w:t>
      </w:r>
      <w:r>
        <w:rPr>
          <w:color w:val="0C0C0C"/>
        </w:rPr>
        <w:t>prov</w:t>
      </w:r>
      <w:r>
        <w:rPr>
          <w:color w:val="4B4B4B"/>
        </w:rPr>
        <w:t>i</w:t>
      </w:r>
      <w:r>
        <w:rPr>
          <w:color w:val="1F1F1F"/>
        </w:rPr>
        <w:t>sion</w:t>
      </w:r>
      <w:r>
        <w:rPr>
          <w:color w:val="1F1F1F"/>
          <w:spacing w:val="-15"/>
        </w:rPr>
        <w:t> </w:t>
      </w:r>
      <w:r>
        <w:rPr>
          <w:color w:val="1F1F1F"/>
        </w:rPr>
        <w:t>in</w:t>
      </w:r>
      <w:r>
        <w:rPr>
          <w:color w:val="1F1F1F"/>
          <w:spacing w:val="-15"/>
        </w:rPr>
        <w:t> </w:t>
      </w:r>
      <w:r>
        <w:rPr>
          <w:color w:val="1F1F1F"/>
        </w:rPr>
        <w:t>respect of</w:t>
      </w:r>
      <w:r>
        <w:rPr>
          <w:color w:val="1F1F1F"/>
          <w:spacing w:val="-14"/>
        </w:rPr>
        <w:t> </w:t>
      </w:r>
      <w:r>
        <w:rPr>
          <w:color w:val="1F1F1F"/>
        </w:rPr>
        <w:t>the</w:t>
      </w:r>
      <w:r>
        <w:rPr>
          <w:color w:val="1F1F1F"/>
          <w:spacing w:val="-16"/>
        </w:rPr>
        <w:t> </w:t>
      </w:r>
      <w:r>
        <w:rPr>
          <w:color w:val="1F1F1F"/>
        </w:rPr>
        <w:t>Council</w:t>
      </w:r>
      <w:r>
        <w:rPr>
          <w:color w:val="4B4B4B"/>
        </w:rPr>
        <w:t>'</w:t>
      </w:r>
      <w:r>
        <w:rPr>
          <w:color w:val="1F1F1F"/>
        </w:rPr>
        <w:t>s</w:t>
      </w:r>
      <w:r>
        <w:rPr>
          <w:color w:val="1F1F1F"/>
          <w:spacing w:val="-15"/>
        </w:rPr>
        <w:t> </w:t>
      </w:r>
      <w:r>
        <w:rPr>
          <w:color w:val="1F1F1F"/>
        </w:rPr>
        <w:t>share</w:t>
      </w:r>
      <w:r>
        <w:rPr>
          <w:color w:val="1F1F1F"/>
          <w:spacing w:val="-10"/>
        </w:rPr>
        <w:t> </w:t>
      </w:r>
      <w:r>
        <w:rPr>
          <w:color w:val="1F1F1F"/>
        </w:rPr>
        <w:t>of</w:t>
      </w:r>
      <w:r>
        <w:rPr>
          <w:color w:val="1F1F1F"/>
          <w:spacing w:val="-16"/>
        </w:rPr>
        <w:t> </w:t>
      </w:r>
      <w:r>
        <w:rPr>
          <w:color w:val="1F1F1F"/>
        </w:rPr>
        <w:t>the</w:t>
      </w:r>
      <w:r>
        <w:rPr>
          <w:color w:val="1F1F1F"/>
          <w:spacing w:val="-15"/>
        </w:rPr>
        <w:t> </w:t>
      </w:r>
      <w:r>
        <w:rPr>
          <w:color w:val="1F1F1F"/>
        </w:rPr>
        <w:t>cost</w:t>
      </w:r>
      <w:r>
        <w:rPr>
          <w:color w:val="1F1F1F"/>
          <w:spacing w:val="-1"/>
        </w:rPr>
        <w:t> </w:t>
      </w:r>
      <w:r>
        <w:rPr>
          <w:color w:val="1F1F1F"/>
        </w:rPr>
        <w:t>of</w:t>
      </w:r>
      <w:r>
        <w:rPr>
          <w:color w:val="1F1F1F"/>
          <w:spacing w:val="-8"/>
        </w:rPr>
        <w:t> </w:t>
      </w:r>
      <w:r>
        <w:rPr>
          <w:color w:val="1F1F1F"/>
        </w:rPr>
        <w:t>successful appeals</w:t>
      </w:r>
      <w:r>
        <w:rPr>
          <w:color w:val="1F1F1F"/>
          <w:spacing w:val="-3"/>
        </w:rPr>
        <w:t> </w:t>
      </w:r>
      <w:r>
        <w:rPr>
          <w:color w:val="1F1F1F"/>
        </w:rPr>
        <w:t>against valuations for</w:t>
      </w:r>
      <w:r>
        <w:rPr>
          <w:color w:val="1F1F1F"/>
          <w:spacing w:val="-3"/>
        </w:rPr>
        <w:t> </w:t>
      </w:r>
      <w:r>
        <w:rPr>
          <w:color w:val="1F1F1F"/>
        </w:rPr>
        <w:t>business rates</w:t>
      </w:r>
      <w:r>
        <w:rPr>
          <w:color w:val="4B4B4B"/>
        </w:rPr>
        <w:t>.</w:t>
      </w:r>
      <w:r>
        <w:rPr>
          <w:color w:val="4B4B4B"/>
          <w:spacing w:val="-16"/>
        </w:rPr>
        <w:t> </w:t>
      </w:r>
      <w:r>
        <w:rPr>
          <w:color w:val="1F1F1F"/>
        </w:rPr>
        <w:t>Estimated settlement for</w:t>
      </w:r>
      <w:r>
        <w:rPr>
          <w:color w:val="1F1F1F"/>
          <w:spacing w:val="-2"/>
        </w:rPr>
        <w:t> </w:t>
      </w:r>
      <w:r>
        <w:rPr>
          <w:color w:val="1F1F1F"/>
        </w:rPr>
        <w:t>the next 12</w:t>
      </w:r>
      <w:r>
        <w:rPr>
          <w:color w:val="1F1F1F"/>
          <w:spacing w:val="-5"/>
        </w:rPr>
        <w:t> </w:t>
      </w:r>
      <w:r>
        <w:rPr>
          <w:color w:val="1F1F1F"/>
        </w:rPr>
        <w:t>months is 86</w:t>
      </w:r>
      <w:r>
        <w:rPr>
          <w:color w:val="5B5B5B"/>
        </w:rPr>
        <w:t>.</w:t>
      </w:r>
      <w:r>
        <w:rPr>
          <w:color w:val="1F1F1F"/>
        </w:rPr>
        <w:t>63%</w:t>
      </w:r>
      <w:r>
        <w:rPr>
          <w:color w:val="1F1F1F"/>
          <w:spacing w:val="-3"/>
        </w:rPr>
        <w:t> </w:t>
      </w:r>
      <w:r>
        <w:rPr>
          <w:color w:val="1F1F1F"/>
        </w:rPr>
        <w:t>of</w:t>
      </w:r>
      <w:r>
        <w:rPr>
          <w:color w:val="1F1F1F"/>
          <w:spacing w:val="-2"/>
        </w:rPr>
        <w:t> </w:t>
      </w:r>
      <w:r>
        <w:rPr>
          <w:color w:val="1F1F1F"/>
        </w:rPr>
        <w:t>total</w:t>
      </w:r>
      <w:r>
        <w:rPr>
          <w:color w:val="1F1F1F"/>
          <w:spacing w:val="-4"/>
        </w:rPr>
        <w:t> </w:t>
      </w:r>
      <w:r>
        <w:rPr>
          <w:color w:val="1F1F1F"/>
        </w:rPr>
        <w:t>calculated provision</w:t>
      </w:r>
      <w:r>
        <w:rPr>
          <w:color w:val="1F1F1F"/>
          <w:spacing w:val="-1"/>
        </w:rPr>
        <w:t> </w:t>
      </w:r>
      <w:r>
        <w:rPr>
          <w:color w:val="1F1F1F"/>
        </w:rPr>
        <w:t>-</w:t>
      </w:r>
      <w:r>
        <w:rPr>
          <w:color w:val="1F1F1F"/>
          <w:spacing w:val="40"/>
        </w:rPr>
        <w:t> </w:t>
      </w:r>
      <w:r>
        <w:rPr>
          <w:color w:val="1F1F1F"/>
        </w:rPr>
        <w:t>this</w:t>
      </w:r>
      <w:r>
        <w:rPr>
          <w:color w:val="1F1F1F"/>
          <w:spacing w:val="-2"/>
        </w:rPr>
        <w:t> </w:t>
      </w:r>
      <w:r>
        <w:rPr>
          <w:color w:val="1F1F1F"/>
        </w:rPr>
        <w:t>has been</w:t>
      </w:r>
      <w:r>
        <w:rPr>
          <w:color w:val="1F1F1F"/>
          <w:spacing w:val="-1"/>
        </w:rPr>
        <w:t> </w:t>
      </w:r>
      <w:r>
        <w:rPr>
          <w:color w:val="1F1F1F"/>
        </w:rPr>
        <w:t>based on</w:t>
      </w:r>
      <w:r>
        <w:rPr>
          <w:color w:val="1F1F1F"/>
          <w:spacing w:val="-12"/>
        </w:rPr>
        <w:t> </w:t>
      </w:r>
      <w:r>
        <w:rPr>
          <w:color w:val="1F1F1F"/>
        </w:rPr>
        <w:t>the</w:t>
      </w:r>
      <w:r>
        <w:rPr>
          <w:color w:val="1F1F1F"/>
          <w:spacing w:val="-4"/>
        </w:rPr>
        <w:t> </w:t>
      </w:r>
      <w:r>
        <w:rPr>
          <w:color w:val="1F1F1F"/>
        </w:rPr>
        <w:t>methodology applied</w:t>
      </w:r>
      <w:r>
        <w:rPr>
          <w:color w:val="1F1F1F"/>
          <w:spacing w:val="-2"/>
        </w:rPr>
        <w:t> </w:t>
      </w:r>
      <w:r>
        <w:rPr>
          <w:color w:val="1F1F1F"/>
        </w:rPr>
        <w:t>in</w:t>
      </w:r>
      <w:r>
        <w:rPr>
          <w:color w:val="1F1F1F"/>
          <w:spacing w:val="-3"/>
        </w:rPr>
        <w:t> </w:t>
      </w:r>
      <w:r>
        <w:rPr>
          <w:color w:val="1F1F1F"/>
        </w:rPr>
        <w:t>the previous financial year during which the Council had a large number of 2017 List Check</w:t>
      </w:r>
      <w:r>
        <w:rPr>
          <w:color w:val="4B4B4B"/>
        </w:rPr>
        <w:t>, </w:t>
      </w:r>
      <w:r>
        <w:rPr>
          <w:color w:val="1F1F1F"/>
        </w:rPr>
        <w:t>Challenge and Appeal settlements</w:t>
      </w:r>
      <w:r>
        <w:rPr>
          <w:color w:val="696969"/>
        </w:rPr>
        <w:t>.</w:t>
      </w:r>
    </w:p>
    <w:p>
      <w:pPr>
        <w:pStyle w:val="BodyText"/>
        <w:spacing w:before="34"/>
      </w:pPr>
    </w:p>
    <w:p>
      <w:pPr>
        <w:pStyle w:val="BodyText"/>
        <w:spacing w:before="1"/>
        <w:ind w:left="1648" w:right="888" w:firstLine="1"/>
        <w:jc w:val="both"/>
      </w:pPr>
      <w:r>
        <w:rPr>
          <w:color w:val="0C0C0C"/>
        </w:rPr>
        <w:t>Hertfordshire Building Control Ltd</w:t>
      </w:r>
      <w:r>
        <w:rPr>
          <w:color w:val="0C0C0C"/>
          <w:spacing w:val="-3"/>
        </w:rPr>
        <w:t> </w:t>
      </w:r>
      <w:r>
        <w:rPr>
          <w:color w:val="0C0C0C"/>
        </w:rPr>
        <w:t>Losses - a provision to meet the Council's share of earlier potential losses reversed in 2022/23.</w:t>
      </w:r>
    </w:p>
    <w:p>
      <w:pPr>
        <w:spacing w:after="0"/>
        <w:jc w:val="both"/>
        <w:sectPr>
          <w:headerReference w:type="default" r:id="rId172"/>
          <w:headerReference w:type="even" r:id="rId173"/>
          <w:pgSz w:w="11910" w:h="16830"/>
          <w:pgMar w:top="1200" w:right="300" w:bottom="1040" w:left="0" w:header="1014" w:footer="0"/>
        </w:sectPr>
      </w:pPr>
    </w:p>
    <w:p>
      <w:pPr>
        <w:pStyle w:val="Heading3"/>
        <w:numPr>
          <w:ilvl w:val="1"/>
          <w:numId w:val="21"/>
        </w:numPr>
        <w:tabs>
          <w:tab w:val="left" w:leader="none" w:pos="2249"/>
        </w:tabs>
        <w:spacing w:before="237" w:after="0" w:line="240" w:lineRule="auto"/>
        <w:ind w:left="2249" w:right="0" w:hanging="716"/>
        <w:jc w:val="left"/>
        <w:rPr>
          <w:color w:val="464646"/>
        </w:rPr>
      </w:pPr>
      <w:r>
        <w:rPr>
          <w:color w:val="464646"/>
        </w:rPr>
        <w:t>Capital</w:t>
      </w:r>
      <w:r>
        <w:rPr>
          <w:color w:val="464646"/>
          <w:spacing w:val="1"/>
        </w:rPr>
        <w:t> </w:t>
      </w:r>
      <w:r>
        <w:rPr>
          <w:color w:val="464646"/>
        </w:rPr>
        <w:t>Grants Received</w:t>
      </w:r>
      <w:r>
        <w:rPr>
          <w:color w:val="464646"/>
          <w:spacing w:val="-1"/>
        </w:rPr>
        <w:t> </w:t>
      </w:r>
      <w:r>
        <w:rPr>
          <w:color w:val="464646"/>
        </w:rPr>
        <w:t>in</w:t>
      </w:r>
      <w:r>
        <w:rPr>
          <w:color w:val="464646"/>
          <w:spacing w:val="-10"/>
        </w:rPr>
        <w:t> </w:t>
      </w:r>
      <w:r>
        <w:rPr>
          <w:color w:val="464646"/>
          <w:spacing w:val="-2"/>
        </w:rPr>
        <w:t>Advance</w:t>
      </w:r>
    </w:p>
    <w:p>
      <w:pPr>
        <w:pStyle w:val="BodyText"/>
        <w:spacing w:before="233"/>
        <w:ind w:left="1515" w:right="877" w:firstLine="13"/>
        <w:jc w:val="both"/>
      </w:pPr>
      <w:r>
        <w:rPr>
          <w:color w:val="0F0F0F"/>
        </w:rPr>
        <w:t>The</w:t>
      </w:r>
      <w:r>
        <w:rPr>
          <w:color w:val="0F0F0F"/>
          <w:spacing w:val="-8"/>
        </w:rPr>
        <w:t> </w:t>
      </w:r>
      <w:r>
        <w:rPr>
          <w:color w:val="0F0F0F"/>
        </w:rPr>
        <w:t>Council</w:t>
      </w:r>
      <w:r>
        <w:rPr>
          <w:color w:val="0F0F0F"/>
          <w:spacing w:val="-3"/>
        </w:rPr>
        <w:t> </w:t>
      </w:r>
      <w:r>
        <w:rPr>
          <w:color w:val="0F0F0F"/>
        </w:rPr>
        <w:t>has</w:t>
      </w:r>
      <w:r>
        <w:rPr>
          <w:color w:val="0F0F0F"/>
          <w:spacing w:val="-11"/>
        </w:rPr>
        <w:t> </w:t>
      </w:r>
      <w:r>
        <w:rPr>
          <w:color w:val="0F0F0F"/>
        </w:rPr>
        <w:t>received a</w:t>
      </w:r>
      <w:r>
        <w:rPr>
          <w:color w:val="0F0F0F"/>
          <w:spacing w:val="-10"/>
        </w:rPr>
        <w:t> </w:t>
      </w:r>
      <w:r>
        <w:rPr>
          <w:color w:val="0F0F0F"/>
        </w:rPr>
        <w:t>number of</w:t>
      </w:r>
      <w:r>
        <w:rPr>
          <w:color w:val="0F0F0F"/>
          <w:spacing w:val="-8"/>
        </w:rPr>
        <w:t> </w:t>
      </w:r>
      <w:r>
        <w:rPr>
          <w:color w:val="0F0F0F"/>
        </w:rPr>
        <w:t>grants</w:t>
      </w:r>
      <w:r>
        <w:rPr>
          <w:color w:val="0F0F0F"/>
          <w:spacing w:val="-5"/>
        </w:rPr>
        <w:t> </w:t>
      </w:r>
      <w:r>
        <w:rPr>
          <w:color w:val="0F0F0F"/>
        </w:rPr>
        <w:t>and</w:t>
      </w:r>
      <w:r>
        <w:rPr>
          <w:color w:val="0F0F0F"/>
          <w:spacing w:val="-6"/>
        </w:rPr>
        <w:t> </w:t>
      </w:r>
      <w:r>
        <w:rPr>
          <w:color w:val="0F0F0F"/>
        </w:rPr>
        <w:t>contributions,</w:t>
      </w:r>
      <w:r>
        <w:rPr>
          <w:color w:val="0F0F0F"/>
          <w:spacing w:val="-9"/>
        </w:rPr>
        <w:t> </w:t>
      </w:r>
      <w:r>
        <w:rPr>
          <w:color w:val="0F0F0F"/>
        </w:rPr>
        <w:t>known</w:t>
      </w:r>
      <w:r>
        <w:rPr>
          <w:color w:val="0F0F0F"/>
          <w:spacing w:val="-2"/>
        </w:rPr>
        <w:t> </w:t>
      </w:r>
      <w:r>
        <w:rPr>
          <w:color w:val="0F0F0F"/>
        </w:rPr>
        <w:t>as</w:t>
      </w:r>
      <w:r>
        <w:rPr>
          <w:color w:val="0F0F0F"/>
          <w:spacing w:val="-12"/>
        </w:rPr>
        <w:t> </w:t>
      </w:r>
      <w:r>
        <w:rPr>
          <w:color w:val="0F0F0F"/>
        </w:rPr>
        <w:t>Section</w:t>
      </w:r>
      <w:r>
        <w:rPr>
          <w:color w:val="0F0F0F"/>
          <w:spacing w:val="-6"/>
        </w:rPr>
        <w:t> </w:t>
      </w:r>
      <w:r>
        <w:rPr>
          <w:color w:val="0F0F0F"/>
        </w:rPr>
        <w:t>106</w:t>
      </w:r>
      <w:r>
        <w:rPr>
          <w:color w:val="0F0F0F"/>
          <w:spacing w:val="-5"/>
        </w:rPr>
        <w:t> </w:t>
      </w:r>
      <w:r>
        <w:rPr>
          <w:color w:val="0F0F0F"/>
        </w:rPr>
        <w:t>receipts </w:t>
      </w:r>
      <w:r>
        <w:rPr>
          <w:color w:val="1D1D1D"/>
        </w:rPr>
        <w:t>that have </w:t>
      </w:r>
      <w:r>
        <w:rPr>
          <w:color w:val="0F0F0F"/>
        </w:rPr>
        <w:t>yet </w:t>
      </w:r>
      <w:r>
        <w:rPr>
          <w:color w:val="1D1D1D"/>
        </w:rPr>
        <w:t>to</w:t>
      </w:r>
      <w:r>
        <w:rPr>
          <w:color w:val="1D1D1D"/>
          <w:spacing w:val="-8"/>
        </w:rPr>
        <w:t> </w:t>
      </w:r>
      <w:r>
        <w:rPr>
          <w:color w:val="1D1D1D"/>
        </w:rPr>
        <w:t>be</w:t>
      </w:r>
      <w:r>
        <w:rPr>
          <w:color w:val="1D1D1D"/>
          <w:spacing w:val="-7"/>
        </w:rPr>
        <w:t> </w:t>
      </w:r>
      <w:r>
        <w:rPr>
          <w:color w:val="1D1D1D"/>
        </w:rPr>
        <w:t>recognised as</w:t>
      </w:r>
      <w:r>
        <w:rPr>
          <w:color w:val="1D1D1D"/>
          <w:spacing w:val="-6"/>
        </w:rPr>
        <w:t> </w:t>
      </w:r>
      <w:r>
        <w:rPr>
          <w:color w:val="1D1D1D"/>
        </w:rPr>
        <w:t>income as</w:t>
      </w:r>
      <w:r>
        <w:rPr>
          <w:color w:val="1D1D1D"/>
          <w:spacing w:val="-9"/>
        </w:rPr>
        <w:t> </w:t>
      </w:r>
      <w:r>
        <w:rPr>
          <w:color w:val="0F0F0F"/>
        </w:rPr>
        <w:t>they</w:t>
      </w:r>
      <w:r>
        <w:rPr>
          <w:color w:val="0F0F0F"/>
          <w:spacing w:val="-1"/>
        </w:rPr>
        <w:t> </w:t>
      </w:r>
      <w:r>
        <w:rPr>
          <w:color w:val="1D1D1D"/>
        </w:rPr>
        <w:t>have conditions </w:t>
      </w:r>
      <w:r>
        <w:rPr>
          <w:color w:val="0F0F0F"/>
        </w:rPr>
        <w:t>attached to</w:t>
      </w:r>
      <w:r>
        <w:rPr>
          <w:color w:val="0F0F0F"/>
          <w:spacing w:val="-6"/>
        </w:rPr>
        <w:t> </w:t>
      </w:r>
      <w:r>
        <w:rPr>
          <w:color w:val="0F0F0F"/>
        </w:rPr>
        <w:t>them that would </w:t>
      </w:r>
      <w:r>
        <w:rPr>
          <w:color w:val="313131"/>
        </w:rPr>
        <w:t>require</w:t>
      </w:r>
      <w:r>
        <w:rPr>
          <w:color w:val="313131"/>
          <w:spacing w:val="-16"/>
        </w:rPr>
        <w:t> </w:t>
      </w:r>
      <w:r>
        <w:rPr>
          <w:color w:val="0F0F0F"/>
        </w:rPr>
        <w:t>the</w:t>
      </w:r>
      <w:r>
        <w:rPr>
          <w:color w:val="0F0F0F"/>
          <w:spacing w:val="-15"/>
        </w:rPr>
        <w:t> </w:t>
      </w:r>
      <w:r>
        <w:rPr>
          <w:color w:val="1D1D1D"/>
        </w:rPr>
        <w:t>monies</w:t>
      </w:r>
      <w:r>
        <w:rPr>
          <w:color w:val="1D1D1D"/>
          <w:spacing w:val="-15"/>
        </w:rPr>
        <w:t> </w:t>
      </w:r>
      <w:r>
        <w:rPr>
          <w:color w:val="313131"/>
        </w:rPr>
        <w:t>to</w:t>
      </w:r>
      <w:r>
        <w:rPr>
          <w:color w:val="313131"/>
          <w:spacing w:val="-16"/>
        </w:rPr>
        <w:t> </w:t>
      </w:r>
      <w:r>
        <w:rPr>
          <w:color w:val="1D1D1D"/>
        </w:rPr>
        <w:t>be</w:t>
      </w:r>
      <w:r>
        <w:rPr>
          <w:color w:val="1D1D1D"/>
          <w:spacing w:val="-15"/>
        </w:rPr>
        <w:t> </w:t>
      </w:r>
      <w:r>
        <w:rPr>
          <w:color w:val="1D1D1D"/>
        </w:rPr>
        <w:t>returned</w:t>
      </w:r>
      <w:r>
        <w:rPr>
          <w:color w:val="1D1D1D"/>
          <w:spacing w:val="-13"/>
        </w:rPr>
        <w:t> </w:t>
      </w:r>
      <w:r>
        <w:rPr>
          <w:color w:val="313131"/>
        </w:rPr>
        <w:t>to</w:t>
      </w:r>
      <w:r>
        <w:rPr>
          <w:color w:val="313131"/>
          <w:spacing w:val="-15"/>
        </w:rPr>
        <w:t> </w:t>
      </w:r>
      <w:r>
        <w:rPr>
          <w:color w:val="1D1D1D"/>
        </w:rPr>
        <w:t>the</w:t>
      </w:r>
      <w:r>
        <w:rPr>
          <w:color w:val="1D1D1D"/>
          <w:spacing w:val="-15"/>
        </w:rPr>
        <w:t> </w:t>
      </w:r>
      <w:r>
        <w:rPr>
          <w:color w:val="1D1D1D"/>
        </w:rPr>
        <w:t>giver</w:t>
      </w:r>
      <w:r>
        <w:rPr>
          <w:color w:val="1D1D1D"/>
          <w:spacing w:val="-16"/>
        </w:rPr>
        <w:t> </w:t>
      </w:r>
      <w:r>
        <w:rPr>
          <w:color w:val="1D1D1D"/>
        </w:rPr>
        <w:t>in</w:t>
      </w:r>
      <w:r>
        <w:rPr>
          <w:color w:val="1D1D1D"/>
          <w:spacing w:val="-10"/>
        </w:rPr>
        <w:t> </w:t>
      </w:r>
      <w:r>
        <w:rPr>
          <w:color w:val="1D1D1D"/>
        </w:rPr>
        <w:t>the</w:t>
      </w:r>
      <w:r>
        <w:rPr>
          <w:color w:val="1D1D1D"/>
          <w:spacing w:val="-15"/>
        </w:rPr>
        <w:t> </w:t>
      </w:r>
      <w:r>
        <w:rPr>
          <w:color w:val="1D1D1D"/>
        </w:rPr>
        <w:t>event</w:t>
      </w:r>
      <w:r>
        <w:rPr>
          <w:color w:val="1D1D1D"/>
          <w:spacing w:val="-1"/>
        </w:rPr>
        <w:t> </w:t>
      </w:r>
      <w:r>
        <w:rPr>
          <w:color w:val="1D1D1D"/>
        </w:rPr>
        <w:t>of</w:t>
      </w:r>
      <w:r>
        <w:rPr>
          <w:color w:val="1D1D1D"/>
          <w:spacing w:val="-16"/>
        </w:rPr>
        <w:t> </w:t>
      </w:r>
      <w:r>
        <w:rPr>
          <w:color w:val="1D1D1D"/>
        </w:rPr>
        <w:t>non-compliance</w:t>
      </w:r>
      <w:r>
        <w:rPr>
          <w:color w:val="1D1D1D"/>
          <w:spacing w:val="-15"/>
        </w:rPr>
        <w:t> </w:t>
      </w:r>
      <w:r>
        <w:rPr>
          <w:color w:val="0F0F0F"/>
        </w:rPr>
        <w:t>with</w:t>
      </w:r>
      <w:r>
        <w:rPr>
          <w:color w:val="0F0F0F"/>
          <w:spacing w:val="-9"/>
        </w:rPr>
        <w:t> </w:t>
      </w:r>
      <w:r>
        <w:rPr>
          <w:color w:val="0F0F0F"/>
        </w:rPr>
        <w:t>the</w:t>
      </w:r>
      <w:r>
        <w:rPr>
          <w:color w:val="0F0F0F"/>
          <w:spacing w:val="-16"/>
        </w:rPr>
        <w:t> </w:t>
      </w:r>
      <w:r>
        <w:rPr>
          <w:color w:val="0F0F0F"/>
        </w:rPr>
        <w:t>conditions. Pending </w:t>
      </w:r>
      <w:r>
        <w:rPr>
          <w:color w:val="1D1D1D"/>
        </w:rPr>
        <w:t>application to the relevant projects, </w:t>
      </w:r>
      <w:r>
        <w:rPr>
          <w:color w:val="0F0F0F"/>
        </w:rPr>
        <w:t>these grants are held on the balance sheet as capital grants received in advance.</w:t>
      </w:r>
    </w:p>
    <w:p>
      <w:pPr>
        <w:pStyle w:val="BodyText"/>
        <w:spacing w:before="248"/>
        <w:ind w:left="1496" w:right="876" w:firstLine="17"/>
        <w:jc w:val="both"/>
      </w:pPr>
      <w:r>
        <w:rPr>
          <w:color w:val="0F0F0F"/>
        </w:rPr>
        <w:t>Section 106</w:t>
      </w:r>
      <w:r>
        <w:rPr>
          <w:color w:val="0F0F0F"/>
          <w:spacing w:val="-2"/>
        </w:rPr>
        <w:t> </w:t>
      </w:r>
      <w:r>
        <w:rPr>
          <w:color w:val="0F0F0F"/>
        </w:rPr>
        <w:t>receipts are amounts paid</w:t>
      </w:r>
      <w:r>
        <w:rPr>
          <w:color w:val="0F0F0F"/>
          <w:spacing w:val="-4"/>
        </w:rPr>
        <w:t> </w:t>
      </w:r>
      <w:r>
        <w:rPr>
          <w:color w:val="0F0F0F"/>
        </w:rPr>
        <w:t>to</w:t>
      </w:r>
      <w:r>
        <w:rPr>
          <w:color w:val="0F0F0F"/>
          <w:spacing w:val="-5"/>
        </w:rPr>
        <w:t> </w:t>
      </w:r>
      <w:r>
        <w:rPr>
          <w:color w:val="0F0F0F"/>
        </w:rPr>
        <w:t>the </w:t>
      </w:r>
      <w:r>
        <w:rPr>
          <w:color w:val="1D1D1D"/>
        </w:rPr>
        <w:t>Council by developers</w:t>
      </w:r>
      <w:r>
        <w:rPr>
          <w:color w:val="1D1D1D"/>
          <w:spacing w:val="22"/>
        </w:rPr>
        <w:t> </w:t>
      </w:r>
      <w:r>
        <w:rPr>
          <w:color w:val="1D1D1D"/>
        </w:rPr>
        <w:t>as a</w:t>
      </w:r>
      <w:r>
        <w:rPr>
          <w:color w:val="1D1D1D"/>
          <w:spacing w:val="-10"/>
        </w:rPr>
        <w:t> </w:t>
      </w:r>
      <w:r>
        <w:rPr>
          <w:color w:val="1D1D1D"/>
        </w:rPr>
        <w:t>result of</w:t>
      </w:r>
      <w:r>
        <w:rPr>
          <w:color w:val="1D1D1D"/>
          <w:spacing w:val="-4"/>
        </w:rPr>
        <w:t> </w:t>
      </w:r>
      <w:r>
        <w:rPr>
          <w:color w:val="1D1D1D"/>
        </w:rPr>
        <w:t>the</w:t>
      </w:r>
      <w:r>
        <w:rPr>
          <w:color w:val="1D1D1D"/>
          <w:spacing w:val="-2"/>
        </w:rPr>
        <w:t> </w:t>
      </w:r>
      <w:r>
        <w:rPr>
          <w:color w:val="1D1D1D"/>
        </w:rPr>
        <w:t>granting of planning perm</w:t>
      </w:r>
      <w:r>
        <w:rPr>
          <w:color w:val="464646"/>
        </w:rPr>
        <w:t>i</w:t>
      </w:r>
      <w:r>
        <w:rPr>
          <w:color w:val="1D1D1D"/>
        </w:rPr>
        <w:t>ssion where improvement or new fac</w:t>
      </w:r>
      <w:r>
        <w:rPr>
          <w:color w:val="464646"/>
        </w:rPr>
        <w:t>ili</w:t>
      </w:r>
      <w:r>
        <w:rPr>
          <w:color w:val="1D1D1D"/>
        </w:rPr>
        <w:t>ty works are required as part of the condition of granting the planning permission. The responsibility to carry </w:t>
      </w:r>
      <w:r>
        <w:rPr>
          <w:color w:val="0F0F0F"/>
        </w:rPr>
        <w:t>out </w:t>
      </w:r>
      <w:r>
        <w:rPr>
          <w:color w:val="1D1D1D"/>
        </w:rPr>
        <w:t>the works is with the </w:t>
      </w:r>
      <w:r>
        <w:rPr>
          <w:color w:val="0F0F0F"/>
        </w:rPr>
        <w:t>Council, </w:t>
      </w:r>
      <w:r>
        <w:rPr>
          <w:color w:val="1D1D1D"/>
        </w:rPr>
        <w:t>however the monies are restricted to being spent only in accordance with the </w:t>
      </w:r>
      <w:r>
        <w:rPr>
          <w:color w:val="0F0F0F"/>
        </w:rPr>
        <w:t>agreement </w:t>
      </w:r>
      <w:r>
        <w:rPr>
          <w:color w:val="1D1D1D"/>
        </w:rPr>
        <w:t>concluded with</w:t>
      </w:r>
      <w:r>
        <w:rPr>
          <w:color w:val="1D1D1D"/>
          <w:spacing w:val="-4"/>
        </w:rPr>
        <w:t> </w:t>
      </w:r>
      <w:r>
        <w:rPr>
          <w:color w:val="0F0F0F"/>
        </w:rPr>
        <w:t>the</w:t>
      </w:r>
      <w:r>
        <w:rPr>
          <w:color w:val="0F0F0F"/>
          <w:spacing w:val="-4"/>
        </w:rPr>
        <w:t> </w:t>
      </w:r>
      <w:r>
        <w:rPr>
          <w:color w:val="0F0F0F"/>
        </w:rPr>
        <w:t>developer and </w:t>
      </w:r>
      <w:r>
        <w:rPr>
          <w:color w:val="1D1D1D"/>
        </w:rPr>
        <w:t>are</w:t>
      </w:r>
      <w:r>
        <w:rPr>
          <w:color w:val="1D1D1D"/>
          <w:spacing w:val="-3"/>
        </w:rPr>
        <w:t> </w:t>
      </w:r>
      <w:r>
        <w:rPr>
          <w:color w:val="1D1D1D"/>
        </w:rPr>
        <w:t>repayable in</w:t>
      </w:r>
      <w:r>
        <w:rPr>
          <w:color w:val="1D1D1D"/>
          <w:spacing w:val="-4"/>
        </w:rPr>
        <w:t> </w:t>
      </w:r>
      <w:r>
        <w:rPr>
          <w:color w:val="1D1D1D"/>
        </w:rPr>
        <w:t>the</w:t>
      </w:r>
      <w:r>
        <w:rPr>
          <w:color w:val="1D1D1D"/>
          <w:spacing w:val="-1"/>
        </w:rPr>
        <w:t> </w:t>
      </w:r>
      <w:r>
        <w:rPr>
          <w:color w:val="1D1D1D"/>
        </w:rPr>
        <w:t>event that there are surplus funds</w:t>
      </w:r>
      <w:r>
        <w:rPr>
          <w:color w:val="1D1D1D"/>
          <w:spacing w:val="-1"/>
        </w:rPr>
        <w:t> </w:t>
      </w:r>
      <w:r>
        <w:rPr>
          <w:color w:val="0F0F0F"/>
        </w:rPr>
        <w:t>remaining following completion of the</w:t>
      </w:r>
      <w:r>
        <w:rPr>
          <w:color w:val="0F0F0F"/>
          <w:spacing w:val="-1"/>
        </w:rPr>
        <w:t> </w:t>
      </w:r>
      <w:r>
        <w:rPr>
          <w:color w:val="0F0F0F"/>
        </w:rPr>
        <w:t>contract </w:t>
      </w:r>
      <w:r>
        <w:rPr>
          <w:color w:val="1D1D1D"/>
        </w:rPr>
        <w:t>or</w:t>
      </w:r>
      <w:r>
        <w:rPr>
          <w:color w:val="1D1D1D"/>
          <w:spacing w:val="-3"/>
        </w:rPr>
        <w:t> </w:t>
      </w:r>
      <w:r>
        <w:rPr>
          <w:color w:val="1D1D1D"/>
        </w:rPr>
        <w:t>that the</w:t>
      </w:r>
      <w:r>
        <w:rPr>
          <w:color w:val="1D1D1D"/>
          <w:spacing w:val="-5"/>
        </w:rPr>
        <w:t> </w:t>
      </w:r>
      <w:r>
        <w:rPr>
          <w:color w:val="1D1D1D"/>
        </w:rPr>
        <w:t>project is</w:t>
      </w:r>
      <w:r>
        <w:rPr>
          <w:color w:val="1D1D1D"/>
          <w:spacing w:val="-8"/>
        </w:rPr>
        <w:t> </w:t>
      </w:r>
      <w:r>
        <w:rPr>
          <w:color w:val="1D1D1D"/>
        </w:rPr>
        <w:t>ceased following the </w:t>
      </w:r>
      <w:r>
        <w:rPr>
          <w:color w:val="0F0F0F"/>
        </w:rPr>
        <w:t>agreement of both parties.</w:t>
      </w:r>
    </w:p>
    <w:p>
      <w:pPr>
        <w:pStyle w:val="BodyText"/>
        <w:spacing w:before="9"/>
      </w:pPr>
    </w:p>
    <w:p>
      <w:pPr>
        <w:pStyle w:val="BodyText"/>
        <w:ind w:left="1485"/>
        <w:jc w:val="both"/>
      </w:pPr>
      <w:r>
        <w:rPr>
          <w:color w:val="0F0F0F"/>
        </w:rPr>
        <w:t>The</w:t>
      </w:r>
      <w:r>
        <w:rPr>
          <w:color w:val="0F0F0F"/>
          <w:spacing w:val="-10"/>
        </w:rPr>
        <w:t> </w:t>
      </w:r>
      <w:r>
        <w:rPr>
          <w:color w:val="0F0F0F"/>
        </w:rPr>
        <w:t>balances</w:t>
      </w:r>
      <w:r>
        <w:rPr>
          <w:color w:val="0F0F0F"/>
          <w:spacing w:val="9"/>
        </w:rPr>
        <w:t> </w:t>
      </w:r>
      <w:r>
        <w:rPr>
          <w:color w:val="0F0F0F"/>
        </w:rPr>
        <w:t>at</w:t>
      </w:r>
      <w:r>
        <w:rPr>
          <w:color w:val="0F0F0F"/>
          <w:spacing w:val="-6"/>
        </w:rPr>
        <w:t> </w:t>
      </w:r>
      <w:r>
        <w:rPr>
          <w:color w:val="0F0F0F"/>
        </w:rPr>
        <w:t>the year-end</w:t>
      </w:r>
      <w:r>
        <w:rPr>
          <w:color w:val="0F0F0F"/>
          <w:spacing w:val="6"/>
        </w:rPr>
        <w:t> </w:t>
      </w:r>
      <w:r>
        <w:rPr>
          <w:color w:val="0F0F0F"/>
        </w:rPr>
        <w:t>are</w:t>
      </w:r>
      <w:r>
        <w:rPr>
          <w:color w:val="0F0F0F"/>
          <w:spacing w:val="1"/>
        </w:rPr>
        <w:t> </w:t>
      </w:r>
      <w:r>
        <w:rPr>
          <w:color w:val="0F0F0F"/>
        </w:rPr>
        <w:t>as</w:t>
      </w:r>
      <w:r>
        <w:rPr>
          <w:color w:val="0F0F0F"/>
          <w:spacing w:val="-9"/>
        </w:rPr>
        <w:t> </w:t>
      </w:r>
      <w:r>
        <w:rPr>
          <w:color w:val="0F0F0F"/>
          <w:spacing w:val="-2"/>
        </w:rPr>
        <w:t>follows</w:t>
      </w:r>
      <w:r>
        <w:rPr>
          <w:color w:val="464646"/>
          <w:spacing w:val="-2"/>
        </w:rPr>
        <w:t>:</w:t>
      </w:r>
    </w:p>
    <w:p>
      <w:pPr>
        <w:pStyle w:val="BodyText"/>
        <w:rPr>
          <w:sz w:val="20"/>
        </w:rPr>
      </w:pPr>
    </w:p>
    <w:p>
      <w:pPr>
        <w:pStyle w:val="BodyText"/>
        <w:spacing w:before="193"/>
        <w:rPr>
          <w:sz w:val="20"/>
        </w:rPr>
      </w:pPr>
    </w:p>
    <w:tbl>
      <w:tblPr>
        <w:tblW w:w="0" w:type="auto"/>
        <w:jc w:val="left"/>
        <w:tblInd w:w="17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73"/>
        <w:gridCol w:w="4835"/>
        <w:gridCol w:w="2644"/>
      </w:tblGrid>
      <w:tr>
        <w:trPr>
          <w:trHeight w:val="521" w:hRule="atLeast"/>
        </w:trPr>
        <w:tc>
          <w:tcPr>
            <w:tcW w:w="1173" w:type="dxa"/>
          </w:tcPr>
          <w:p>
            <w:pPr>
              <w:pStyle w:val="TableParagraph"/>
              <w:spacing w:line="251" w:lineRule="exact"/>
              <w:ind w:left="1" w:right="123"/>
              <w:jc w:val="center"/>
              <w:rPr>
                <w:b/>
                <w:sz w:val="22"/>
              </w:rPr>
            </w:pPr>
            <w:r>
              <w:rPr>
                <w:b/>
                <w:color w:val="0F0F0F"/>
                <w:sz w:val="22"/>
              </w:rPr>
              <w:t>31</w:t>
            </w:r>
            <w:r>
              <w:rPr>
                <w:b/>
                <w:color w:val="0F0F0F"/>
                <w:spacing w:val="-8"/>
                <w:sz w:val="22"/>
              </w:rPr>
              <w:t> </w:t>
            </w:r>
            <w:r>
              <w:rPr>
                <w:b/>
                <w:color w:val="0F0F0F"/>
                <w:spacing w:val="-2"/>
                <w:sz w:val="22"/>
              </w:rPr>
              <w:t>March</w:t>
            </w:r>
          </w:p>
          <w:p>
            <w:pPr>
              <w:pStyle w:val="TableParagraph"/>
              <w:spacing w:before="6" w:line="245" w:lineRule="exact"/>
              <w:ind w:right="123"/>
              <w:jc w:val="center"/>
              <w:rPr>
                <w:b/>
                <w:sz w:val="22"/>
              </w:rPr>
            </w:pPr>
            <w:r>
              <w:rPr>
                <w:b/>
                <w:color w:val="0F0F0F"/>
                <w:spacing w:val="-4"/>
                <w:sz w:val="22"/>
              </w:rPr>
              <w:t>2022</w:t>
            </w:r>
          </w:p>
        </w:tc>
        <w:tc>
          <w:tcPr>
            <w:tcW w:w="4835" w:type="dxa"/>
          </w:tcPr>
          <w:p>
            <w:pPr>
              <w:pStyle w:val="TableParagraph"/>
              <w:rPr>
                <w:rFonts w:ascii="Times New Roman"/>
                <w:sz w:val="20"/>
              </w:rPr>
            </w:pPr>
          </w:p>
        </w:tc>
        <w:tc>
          <w:tcPr>
            <w:tcW w:w="2644" w:type="dxa"/>
          </w:tcPr>
          <w:p>
            <w:pPr>
              <w:pStyle w:val="TableParagraph"/>
              <w:spacing w:line="246" w:lineRule="exact"/>
              <w:ind w:left="1234"/>
              <w:jc w:val="center"/>
              <w:rPr>
                <w:b/>
                <w:sz w:val="22"/>
              </w:rPr>
            </w:pPr>
            <w:r>
              <w:rPr>
                <w:b/>
                <w:color w:val="0F0F0F"/>
                <w:sz w:val="22"/>
              </w:rPr>
              <w:t>31</w:t>
            </w:r>
            <w:r>
              <w:rPr>
                <w:b/>
                <w:color w:val="0F0F0F"/>
                <w:spacing w:val="-8"/>
                <w:sz w:val="22"/>
              </w:rPr>
              <w:t> </w:t>
            </w:r>
            <w:r>
              <w:rPr>
                <w:b/>
                <w:color w:val="0F0F0F"/>
                <w:spacing w:val="-2"/>
                <w:sz w:val="22"/>
              </w:rPr>
              <w:t>March</w:t>
            </w:r>
          </w:p>
          <w:p>
            <w:pPr>
              <w:pStyle w:val="TableParagraph"/>
              <w:spacing w:before="1"/>
              <w:ind w:left="1234" w:right="5"/>
              <w:jc w:val="center"/>
              <w:rPr>
                <w:b/>
                <w:sz w:val="22"/>
              </w:rPr>
            </w:pPr>
            <w:r>
              <w:rPr>
                <w:b/>
                <w:color w:val="0F0F0F"/>
                <w:spacing w:val="-4"/>
                <w:sz w:val="22"/>
              </w:rPr>
              <w:t>2023</w:t>
            </w:r>
          </w:p>
        </w:tc>
      </w:tr>
      <w:tr>
        <w:trPr>
          <w:trHeight w:val="290" w:hRule="atLeast"/>
        </w:trPr>
        <w:tc>
          <w:tcPr>
            <w:tcW w:w="1173" w:type="dxa"/>
          </w:tcPr>
          <w:p>
            <w:pPr>
              <w:pStyle w:val="TableParagraph"/>
              <w:spacing w:before="9"/>
              <w:ind w:left="273"/>
              <w:rPr>
                <w:b/>
                <w:sz w:val="22"/>
              </w:rPr>
            </w:pPr>
            <w:r>
              <w:rPr>
                <w:b/>
                <w:color w:val="0F0F0F"/>
                <w:spacing w:val="-4"/>
                <w:sz w:val="22"/>
              </w:rPr>
              <w:t>£000</w:t>
            </w:r>
          </w:p>
        </w:tc>
        <w:tc>
          <w:tcPr>
            <w:tcW w:w="4835" w:type="dxa"/>
          </w:tcPr>
          <w:p>
            <w:pPr>
              <w:pStyle w:val="TableParagraph"/>
              <w:rPr>
                <w:rFonts w:ascii="Times New Roman"/>
                <w:sz w:val="20"/>
              </w:rPr>
            </w:pPr>
          </w:p>
        </w:tc>
        <w:tc>
          <w:tcPr>
            <w:tcW w:w="2644" w:type="dxa"/>
          </w:tcPr>
          <w:p>
            <w:pPr>
              <w:pStyle w:val="TableParagraph"/>
              <w:spacing w:before="4"/>
              <w:ind w:left="1688"/>
              <w:rPr>
                <w:b/>
                <w:sz w:val="22"/>
              </w:rPr>
            </w:pPr>
            <w:r>
              <w:rPr>
                <w:b/>
                <w:color w:val="0F0F0F"/>
                <w:spacing w:val="-4"/>
                <w:sz w:val="22"/>
              </w:rPr>
              <w:t>£000</w:t>
            </w:r>
          </w:p>
        </w:tc>
      </w:tr>
      <w:tr>
        <w:trPr>
          <w:trHeight w:val="309" w:hRule="atLeast"/>
        </w:trPr>
        <w:tc>
          <w:tcPr>
            <w:tcW w:w="1173" w:type="dxa"/>
          </w:tcPr>
          <w:p>
            <w:pPr>
              <w:pStyle w:val="TableParagraph"/>
              <w:spacing w:before="21"/>
              <w:ind w:right="105"/>
              <w:jc w:val="right"/>
              <w:rPr>
                <w:b/>
                <w:sz w:val="22"/>
              </w:rPr>
            </w:pPr>
            <w:r>
              <w:rPr>
                <w:b/>
                <w:color w:val="0F0F0F"/>
                <w:spacing w:val="-2"/>
                <w:sz w:val="22"/>
              </w:rPr>
              <w:t>11,391</w:t>
            </w:r>
          </w:p>
        </w:tc>
        <w:tc>
          <w:tcPr>
            <w:tcW w:w="4835" w:type="dxa"/>
          </w:tcPr>
          <w:p>
            <w:pPr>
              <w:pStyle w:val="TableParagraph"/>
              <w:spacing w:before="21"/>
              <w:ind w:left="109"/>
              <w:rPr>
                <w:b/>
                <w:sz w:val="22"/>
              </w:rPr>
            </w:pPr>
            <w:r>
              <w:rPr>
                <w:b/>
                <w:color w:val="0F0F0F"/>
                <w:sz w:val="22"/>
              </w:rPr>
              <w:t>Balance</w:t>
            </w:r>
            <w:r>
              <w:rPr>
                <w:b/>
                <w:color w:val="0F0F0F"/>
                <w:spacing w:val="7"/>
                <w:sz w:val="22"/>
              </w:rPr>
              <w:t> </w:t>
            </w:r>
            <w:r>
              <w:rPr>
                <w:b/>
                <w:color w:val="0F0F0F"/>
                <w:sz w:val="22"/>
              </w:rPr>
              <w:t>at</w:t>
            </w:r>
            <w:r>
              <w:rPr>
                <w:b/>
                <w:color w:val="0F0F0F"/>
                <w:spacing w:val="-5"/>
                <w:sz w:val="22"/>
              </w:rPr>
              <w:t> </w:t>
            </w:r>
            <w:r>
              <w:rPr>
                <w:b/>
                <w:color w:val="0F0F0F"/>
                <w:sz w:val="22"/>
              </w:rPr>
              <w:t>1</w:t>
            </w:r>
            <w:r>
              <w:rPr>
                <w:b/>
                <w:color w:val="0F0F0F"/>
                <w:spacing w:val="-1"/>
                <w:sz w:val="22"/>
              </w:rPr>
              <w:t> </w:t>
            </w:r>
            <w:r>
              <w:rPr>
                <w:b/>
                <w:color w:val="0F0F0F"/>
                <w:sz w:val="22"/>
              </w:rPr>
              <w:t>April</w:t>
            </w:r>
            <w:r>
              <w:rPr>
                <w:b/>
                <w:color w:val="0F0F0F"/>
                <w:spacing w:val="6"/>
                <w:sz w:val="22"/>
              </w:rPr>
              <w:t> </w:t>
            </w:r>
            <w:r>
              <w:rPr>
                <w:b/>
                <w:color w:val="0F0F0F"/>
                <w:spacing w:val="-4"/>
                <w:sz w:val="22"/>
              </w:rPr>
              <w:t>2022</w:t>
            </w:r>
          </w:p>
        </w:tc>
        <w:tc>
          <w:tcPr>
            <w:tcW w:w="2644" w:type="dxa"/>
          </w:tcPr>
          <w:p>
            <w:pPr>
              <w:pStyle w:val="TableParagraph"/>
              <w:spacing w:before="35"/>
              <w:ind w:right="103"/>
              <w:jc w:val="right"/>
              <w:rPr>
                <w:b/>
                <w:sz w:val="22"/>
              </w:rPr>
            </w:pPr>
            <w:r>
              <w:rPr>
                <w:b/>
                <w:color w:val="0F0F0F"/>
                <w:spacing w:val="-2"/>
                <w:sz w:val="22"/>
              </w:rPr>
              <w:t>11,516</w:t>
            </w:r>
          </w:p>
        </w:tc>
      </w:tr>
      <w:tr>
        <w:trPr>
          <w:trHeight w:val="300" w:hRule="atLeast"/>
        </w:trPr>
        <w:tc>
          <w:tcPr>
            <w:tcW w:w="1173" w:type="dxa"/>
          </w:tcPr>
          <w:p>
            <w:pPr>
              <w:pStyle w:val="TableParagraph"/>
              <w:spacing w:before="14"/>
              <w:ind w:right="109"/>
              <w:jc w:val="right"/>
              <w:rPr>
                <w:sz w:val="22"/>
              </w:rPr>
            </w:pPr>
            <w:r>
              <w:rPr>
                <w:color w:val="0F0F0F"/>
                <w:spacing w:val="-2"/>
                <w:sz w:val="22"/>
              </w:rPr>
              <w:t>1,970</w:t>
            </w:r>
          </w:p>
        </w:tc>
        <w:tc>
          <w:tcPr>
            <w:tcW w:w="4835" w:type="dxa"/>
          </w:tcPr>
          <w:p>
            <w:pPr>
              <w:pStyle w:val="TableParagraph"/>
              <w:spacing w:before="14"/>
              <w:ind w:left="104"/>
              <w:rPr>
                <w:sz w:val="22"/>
              </w:rPr>
            </w:pPr>
            <w:r>
              <w:rPr>
                <w:color w:val="0F0F0F"/>
                <w:sz w:val="22"/>
              </w:rPr>
              <w:t>New</w:t>
            </w:r>
            <w:r>
              <w:rPr>
                <w:color w:val="0F0F0F"/>
                <w:spacing w:val="-6"/>
                <w:sz w:val="22"/>
              </w:rPr>
              <w:t> </w:t>
            </w:r>
            <w:r>
              <w:rPr>
                <w:color w:val="0F0F0F"/>
                <w:sz w:val="22"/>
              </w:rPr>
              <w:t>grants</w:t>
            </w:r>
            <w:r>
              <w:rPr>
                <w:color w:val="0F0F0F"/>
                <w:spacing w:val="7"/>
                <w:sz w:val="22"/>
              </w:rPr>
              <w:t> </w:t>
            </w:r>
            <w:r>
              <w:rPr>
                <w:color w:val="0F0F0F"/>
                <w:sz w:val="22"/>
              </w:rPr>
              <w:t>received</w:t>
            </w:r>
            <w:r>
              <w:rPr>
                <w:color w:val="0F0F0F"/>
                <w:spacing w:val="8"/>
                <w:sz w:val="22"/>
              </w:rPr>
              <w:t> </w:t>
            </w:r>
            <w:r>
              <w:rPr>
                <w:color w:val="0F0F0F"/>
                <w:sz w:val="22"/>
              </w:rPr>
              <w:t>in</w:t>
            </w:r>
            <w:r>
              <w:rPr>
                <w:color w:val="0F0F0F"/>
                <w:spacing w:val="-7"/>
                <w:sz w:val="22"/>
              </w:rPr>
              <w:t> </w:t>
            </w:r>
            <w:r>
              <w:rPr>
                <w:color w:val="0F0F0F"/>
                <w:spacing w:val="-2"/>
                <w:sz w:val="22"/>
              </w:rPr>
              <w:t>advance</w:t>
            </w:r>
          </w:p>
        </w:tc>
        <w:tc>
          <w:tcPr>
            <w:tcW w:w="2644" w:type="dxa"/>
          </w:tcPr>
          <w:p>
            <w:pPr>
              <w:pStyle w:val="TableParagraph"/>
              <w:spacing w:before="28" w:line="252" w:lineRule="exact"/>
              <w:ind w:right="96"/>
              <w:jc w:val="right"/>
              <w:rPr>
                <w:sz w:val="22"/>
              </w:rPr>
            </w:pPr>
            <w:r>
              <w:rPr>
                <w:color w:val="0F0F0F"/>
                <w:spacing w:val="-5"/>
                <w:sz w:val="22"/>
              </w:rPr>
              <w:t>216</w:t>
            </w:r>
          </w:p>
        </w:tc>
      </w:tr>
      <w:tr>
        <w:trPr>
          <w:trHeight w:val="300" w:hRule="atLeast"/>
        </w:trPr>
        <w:tc>
          <w:tcPr>
            <w:tcW w:w="1173" w:type="dxa"/>
          </w:tcPr>
          <w:p>
            <w:pPr>
              <w:pStyle w:val="TableParagraph"/>
              <w:spacing w:before="11"/>
              <w:ind w:right="100"/>
              <w:jc w:val="right"/>
              <w:rPr>
                <w:sz w:val="22"/>
              </w:rPr>
            </w:pPr>
            <w:r>
              <w:rPr>
                <w:color w:val="0F0F0F"/>
                <w:spacing w:val="-5"/>
                <w:w w:val="105"/>
                <w:sz w:val="22"/>
              </w:rPr>
              <w:t>50</w:t>
            </w:r>
          </w:p>
        </w:tc>
        <w:tc>
          <w:tcPr>
            <w:tcW w:w="4835" w:type="dxa"/>
          </w:tcPr>
          <w:p>
            <w:pPr>
              <w:pStyle w:val="TableParagraph"/>
              <w:spacing w:before="11"/>
              <w:ind w:left="103"/>
              <w:rPr>
                <w:sz w:val="22"/>
              </w:rPr>
            </w:pPr>
            <w:r>
              <w:rPr>
                <w:color w:val="0F0F0F"/>
                <w:sz w:val="22"/>
              </w:rPr>
              <w:t>Receipt</w:t>
            </w:r>
            <w:r>
              <w:rPr>
                <w:color w:val="0F0F0F"/>
                <w:spacing w:val="5"/>
                <w:sz w:val="22"/>
              </w:rPr>
              <w:t> </w:t>
            </w:r>
            <w:r>
              <w:rPr>
                <w:color w:val="0F0F0F"/>
                <w:sz w:val="22"/>
              </w:rPr>
              <w:t>in</w:t>
            </w:r>
            <w:r>
              <w:rPr>
                <w:color w:val="0F0F0F"/>
                <w:spacing w:val="-8"/>
                <w:sz w:val="22"/>
              </w:rPr>
              <w:t> </w:t>
            </w:r>
            <w:r>
              <w:rPr>
                <w:color w:val="0F0F0F"/>
                <w:sz w:val="22"/>
              </w:rPr>
              <w:t>lieu</w:t>
            </w:r>
            <w:r>
              <w:rPr>
                <w:color w:val="0F0F0F"/>
                <w:spacing w:val="7"/>
                <w:sz w:val="22"/>
              </w:rPr>
              <w:t> </w:t>
            </w:r>
            <w:r>
              <w:rPr>
                <w:color w:val="0F0F0F"/>
                <w:sz w:val="22"/>
              </w:rPr>
              <w:t>of</w:t>
            </w:r>
            <w:r>
              <w:rPr>
                <w:color w:val="0F0F0F"/>
                <w:spacing w:val="-6"/>
                <w:sz w:val="22"/>
              </w:rPr>
              <w:t> </w:t>
            </w:r>
            <w:r>
              <w:rPr>
                <w:color w:val="0F0F0F"/>
                <w:spacing w:val="-2"/>
                <w:sz w:val="22"/>
              </w:rPr>
              <w:t>interest</w:t>
            </w:r>
          </w:p>
        </w:tc>
        <w:tc>
          <w:tcPr>
            <w:tcW w:w="2644" w:type="dxa"/>
          </w:tcPr>
          <w:p>
            <w:pPr>
              <w:pStyle w:val="TableParagraph"/>
              <w:spacing w:before="26"/>
              <w:ind w:right="99"/>
              <w:jc w:val="right"/>
              <w:rPr>
                <w:sz w:val="22"/>
              </w:rPr>
            </w:pPr>
            <w:r>
              <w:rPr>
                <w:color w:val="0F0F0F"/>
                <w:spacing w:val="-5"/>
                <w:sz w:val="22"/>
              </w:rPr>
              <w:t>192</w:t>
            </w:r>
          </w:p>
        </w:tc>
      </w:tr>
      <w:tr>
        <w:trPr>
          <w:trHeight w:val="281" w:hRule="atLeast"/>
        </w:trPr>
        <w:tc>
          <w:tcPr>
            <w:tcW w:w="1173" w:type="dxa"/>
          </w:tcPr>
          <w:p>
            <w:pPr>
              <w:pStyle w:val="TableParagraph"/>
              <w:spacing w:before="14" w:line="247" w:lineRule="exact"/>
              <w:ind w:right="115"/>
              <w:jc w:val="right"/>
              <w:rPr>
                <w:sz w:val="22"/>
              </w:rPr>
            </w:pPr>
            <w:r>
              <w:rPr>
                <w:color w:val="0F0F0F"/>
                <w:spacing w:val="-2"/>
                <w:sz w:val="22"/>
              </w:rPr>
              <w:t>(1,895)</w:t>
            </w:r>
          </w:p>
        </w:tc>
        <w:tc>
          <w:tcPr>
            <w:tcW w:w="4835" w:type="dxa"/>
          </w:tcPr>
          <w:p>
            <w:pPr>
              <w:pStyle w:val="TableParagraph"/>
              <w:spacing w:before="14" w:line="247" w:lineRule="exact"/>
              <w:ind w:left="102"/>
              <w:rPr>
                <w:sz w:val="22"/>
              </w:rPr>
            </w:pPr>
            <w:r>
              <w:rPr>
                <w:color w:val="0F0F0F"/>
                <w:sz w:val="22"/>
              </w:rPr>
              <w:t>Application</w:t>
            </w:r>
            <w:r>
              <w:rPr>
                <w:color w:val="0F0F0F"/>
                <w:spacing w:val="12"/>
                <w:sz w:val="22"/>
              </w:rPr>
              <w:t> </w:t>
            </w:r>
            <w:r>
              <w:rPr>
                <w:color w:val="0F0F0F"/>
                <w:sz w:val="22"/>
              </w:rPr>
              <w:t>of</w:t>
            </w:r>
            <w:r>
              <w:rPr>
                <w:color w:val="0F0F0F"/>
                <w:spacing w:val="-3"/>
                <w:sz w:val="22"/>
              </w:rPr>
              <w:t> </w:t>
            </w:r>
            <w:r>
              <w:rPr>
                <w:color w:val="0F0F0F"/>
                <w:sz w:val="22"/>
              </w:rPr>
              <w:t>grants</w:t>
            </w:r>
            <w:r>
              <w:rPr>
                <w:color w:val="0F0F0F"/>
                <w:spacing w:val="-2"/>
                <w:sz w:val="22"/>
              </w:rPr>
              <w:t> </w:t>
            </w:r>
            <w:r>
              <w:rPr>
                <w:color w:val="0F0F0F"/>
                <w:sz w:val="22"/>
              </w:rPr>
              <w:t>used</w:t>
            </w:r>
            <w:r>
              <w:rPr>
                <w:color w:val="0F0F0F"/>
                <w:spacing w:val="-5"/>
                <w:sz w:val="22"/>
              </w:rPr>
              <w:t> </w:t>
            </w:r>
            <w:r>
              <w:rPr>
                <w:color w:val="0F0F0F"/>
                <w:sz w:val="22"/>
              </w:rPr>
              <w:t>in</w:t>
            </w:r>
            <w:r>
              <w:rPr>
                <w:color w:val="0F0F0F"/>
                <w:spacing w:val="-5"/>
                <w:sz w:val="22"/>
              </w:rPr>
              <w:t> </w:t>
            </w:r>
            <w:r>
              <w:rPr>
                <w:color w:val="0F0F0F"/>
                <w:spacing w:val="-4"/>
                <w:sz w:val="22"/>
              </w:rPr>
              <w:t>year</w:t>
            </w:r>
          </w:p>
        </w:tc>
        <w:tc>
          <w:tcPr>
            <w:tcW w:w="2644" w:type="dxa"/>
          </w:tcPr>
          <w:p>
            <w:pPr>
              <w:pStyle w:val="TableParagraph"/>
              <w:spacing w:before="28" w:line="233" w:lineRule="exact"/>
              <w:ind w:right="48"/>
              <w:jc w:val="right"/>
              <w:rPr>
                <w:sz w:val="22"/>
              </w:rPr>
            </w:pPr>
            <w:r>
              <w:rPr>
                <w:color w:val="0F0F0F"/>
                <w:spacing w:val="-2"/>
                <w:sz w:val="22"/>
              </w:rPr>
              <w:t>(3,211)</w:t>
            </w:r>
          </w:p>
        </w:tc>
      </w:tr>
    </w:tbl>
    <w:p>
      <w:pPr>
        <w:spacing w:after="0" w:line="233" w:lineRule="exact"/>
        <w:jc w:val="right"/>
        <w:rPr>
          <w:sz w:val="22"/>
        </w:rPr>
        <w:sectPr>
          <w:footerReference w:type="even" r:id="rId174"/>
          <w:footerReference w:type="default" r:id="rId175"/>
          <w:pgSz w:w="11910" w:h="16830"/>
          <w:pgMar w:top="1060" w:right="300" w:bottom="1200" w:left="0" w:header="0" w:footer="1014"/>
          <w:pgNumType w:start="82"/>
        </w:sectPr>
      </w:pPr>
    </w:p>
    <w:p>
      <w:pPr>
        <w:pStyle w:val="BodyText"/>
        <w:tabs>
          <w:tab w:val="left" w:leader="hyphen" w:pos="2971"/>
        </w:tabs>
        <w:spacing w:before="56" w:line="192" w:lineRule="auto"/>
        <w:ind w:left="1546"/>
      </w:pPr>
      <w:r>
        <w:rPr>
          <w:color w:val="1D1D1D"/>
          <w:spacing w:val="-10"/>
          <w:w w:val="280"/>
          <w:position w:val="-11"/>
        </w:rPr>
        <w:t>-</w:t>
      </w:r>
      <w:r>
        <w:rPr>
          <w:color w:val="1D1D1D"/>
          <w:position w:val="-11"/>
        </w:rPr>
        <w:tab/>
      </w:r>
      <w:r>
        <w:rPr>
          <w:color w:val="0F0F0F"/>
        </w:rPr>
        <w:t>Amounts</w:t>
      </w:r>
      <w:r>
        <w:rPr>
          <w:color w:val="0F0F0F"/>
          <w:spacing w:val="-1"/>
          <w:w w:val="110"/>
        </w:rPr>
        <w:t> </w:t>
      </w:r>
      <w:r>
        <w:rPr>
          <w:color w:val="0F0F0F"/>
          <w:spacing w:val="-2"/>
          <w:w w:val="110"/>
        </w:rPr>
        <w:t>repaid</w:t>
      </w:r>
    </w:p>
    <w:p>
      <w:pPr>
        <w:pStyle w:val="Heading3"/>
        <w:tabs>
          <w:tab w:val="left" w:leader="none" w:pos="2974"/>
        </w:tabs>
        <w:spacing w:line="221" w:lineRule="exact"/>
        <w:ind w:left="2078"/>
      </w:pPr>
      <w:r>
        <w:rPr>
          <w:color w:val="0F0F0F"/>
          <w:spacing w:val="-2"/>
          <w:u w:val="thick" w:color="0F0F0F"/>
        </w:rPr>
        <w:t>11,516</w:t>
      </w:r>
      <w:r>
        <w:rPr>
          <w:color w:val="0F0F0F"/>
          <w:u w:val="none"/>
        </w:rPr>
        <w:tab/>
        <w:t>Balance</w:t>
      </w:r>
      <w:r>
        <w:rPr>
          <w:color w:val="0F0F0F"/>
          <w:spacing w:val="6"/>
          <w:u w:val="none"/>
        </w:rPr>
        <w:t> </w:t>
      </w:r>
      <w:r>
        <w:rPr>
          <w:color w:val="0F0F0F"/>
          <w:u w:val="none"/>
        </w:rPr>
        <w:t>at</w:t>
      </w:r>
      <w:r>
        <w:rPr>
          <w:color w:val="0F0F0F"/>
          <w:spacing w:val="-6"/>
          <w:u w:val="none"/>
        </w:rPr>
        <w:t> </w:t>
      </w:r>
      <w:r>
        <w:rPr>
          <w:color w:val="0F0F0F"/>
          <w:u w:val="none"/>
        </w:rPr>
        <w:t>31</w:t>
      </w:r>
      <w:r>
        <w:rPr>
          <w:color w:val="0F0F0F"/>
          <w:spacing w:val="-3"/>
          <w:u w:val="none"/>
        </w:rPr>
        <w:t> </w:t>
      </w:r>
      <w:r>
        <w:rPr>
          <w:color w:val="0F0F0F"/>
          <w:u w:val="none"/>
        </w:rPr>
        <w:t>March</w:t>
      </w:r>
      <w:r>
        <w:rPr>
          <w:color w:val="0F0F0F"/>
          <w:spacing w:val="9"/>
          <w:u w:val="none"/>
        </w:rPr>
        <w:t> </w:t>
      </w:r>
      <w:r>
        <w:rPr>
          <w:color w:val="0F0F0F"/>
          <w:spacing w:val="-4"/>
          <w:u w:val="none"/>
        </w:rPr>
        <w:t>2023</w:t>
      </w:r>
    </w:p>
    <w:p>
      <w:pPr>
        <w:pStyle w:val="BodyText"/>
        <w:spacing w:before="53"/>
        <w:ind w:left="2498"/>
      </w:pPr>
      <w:r>
        <w:rPr/>
        <w:br w:type="column"/>
      </w:r>
      <w:r>
        <w:rPr>
          <w:color w:val="1D1D1D"/>
          <w:spacing w:val="-2"/>
          <w:u w:val="double" w:color="1D1D1D"/>
        </w:rPr>
        <w:t>(103)</w:t>
      </w:r>
    </w:p>
    <w:p>
      <w:pPr>
        <w:tabs>
          <w:tab w:val="left" w:leader="none" w:pos="2392"/>
        </w:tabs>
        <w:spacing w:before="50"/>
        <w:ind w:left="1546" w:right="0" w:firstLine="0"/>
        <w:jc w:val="left"/>
        <w:rPr>
          <w:b/>
          <w:sz w:val="22"/>
        </w:rPr>
      </w:pPr>
      <w:r>
        <w:rPr>
          <w:b/>
          <w:color w:val="0F0F0F"/>
          <w:sz w:val="22"/>
          <w:u w:val="single" w:color="000000"/>
        </w:rPr>
        <w:tab/>
      </w:r>
      <w:r>
        <w:rPr>
          <w:b/>
          <w:color w:val="0F0F0F"/>
          <w:spacing w:val="-2"/>
          <w:sz w:val="22"/>
          <w:u w:val="single" w:color="000000"/>
        </w:rPr>
        <w:t>8,610</w:t>
      </w:r>
      <w:r>
        <w:rPr>
          <w:b/>
          <w:color w:val="0F0F0F"/>
          <w:spacing w:val="40"/>
          <w:sz w:val="22"/>
          <w:u w:val="single" w:color="000000"/>
        </w:rPr>
        <w:t> </w:t>
      </w:r>
    </w:p>
    <w:p>
      <w:pPr>
        <w:spacing w:after="0"/>
        <w:jc w:val="left"/>
        <w:rPr>
          <w:sz w:val="22"/>
        </w:rPr>
        <w:sectPr>
          <w:type w:val="continuous"/>
          <w:pgSz w:w="11910" w:h="16830"/>
          <w:pgMar w:top="1940" w:right="300" w:bottom="280" w:left="0" w:header="0" w:footer="1014"/>
          <w:cols w:equalWidth="0" w:num="2">
            <w:col w:w="5688" w:space="1612"/>
            <w:col w:w="4310"/>
          </w:cols>
        </w:sectPr>
      </w:pPr>
    </w:p>
    <w:p>
      <w:pPr>
        <w:pStyle w:val="BodyText"/>
        <w:rPr>
          <w:b/>
        </w:rPr>
      </w:pPr>
      <w:r>
        <w:rPr/>
        <ve:AlternateContent>
          <ve:Choice Requires="wps">
            <w:drawing>
              <wp:anchor distT="0" distB="0" distL="0" distR="0" simplePos="0" relativeHeight="15821312" behindDoc="0" locked="0" layoutInCell="1" allowOverlap="1">
                <wp:simplePos x="0" y="0"/>
                <wp:positionH relativeFrom="page">
                  <wp:posOffset>30529</wp:posOffset>
                </wp:positionH>
                <wp:positionV relativeFrom="page">
                  <wp:posOffset>10173639</wp:posOffset>
                </wp:positionV>
                <wp:extent cx="1270" cy="391160"/>
                <wp:effectExtent l="0" t="0" r="0" b="0"/>
                <wp:wrapNone/>
                <wp:docPr id="404" name="Graphic 404"/>
                <wp:cNvGraphicFramePr>
                  <a:graphicFrameLocks/>
                </wp:cNvGraphicFramePr>
                <a:graphic>
                  <a:graphicData uri="http://schemas.microsoft.com/office/word/2010/wordprocessingShape">
                    <wps:wsp>
                      <wps:cNvPr id="404" name="Graphic 404"/>
                      <wps:cNvSpPr/>
                      <wps:spPr>
                        <a:xfrm>
                          <a:off x="0" y="0"/>
                          <a:ext cx="1270" cy="391160"/>
                        </a:xfrm>
                        <a:custGeom>
                          <a:avLst/>
                          <a:gdLst/>
                          <a:ahLst/>
                          <a:cxnLst/>
                          <a:rect l="l" t="t" r="r" b="b"/>
                          <a:pathLst>
                            <a:path w="0" h="391160">
                              <a:moveTo>
                                <a:pt x="0" y="390589"/>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21312" stroked="true" strokecolor="#000000" strokeweight=".721161pt" from="2.403871pt,831.829025pt" to="2.403871pt,801.073975pt">
                <v:stroke dashstyle="solid"/>
                <w10:wrap type="none"/>
              </v:line>
            </w:pict>
          </ve:Fallback>
        </ve:AlternateContent>
      </w:r>
    </w:p>
    <w:p>
      <w:pPr>
        <w:pStyle w:val="BodyText"/>
        <w:rPr>
          <w:b/>
        </w:rPr>
      </w:pPr>
    </w:p>
    <w:p>
      <w:pPr>
        <w:pStyle w:val="BodyText"/>
        <w:spacing w:before="69"/>
        <w:rPr>
          <w:b/>
        </w:rPr>
      </w:pPr>
    </w:p>
    <w:p>
      <w:pPr>
        <w:pStyle w:val="BodyText"/>
        <w:ind w:left="140"/>
        <w:jc w:val="center"/>
      </w:pPr>
      <w:r>
        <w:rPr>
          <w:color w:val="0F0F0F"/>
        </w:rPr>
        <w:t>Interest</w:t>
      </w:r>
      <w:r>
        <w:rPr>
          <w:color w:val="0F0F0F"/>
          <w:spacing w:val="5"/>
        </w:rPr>
        <w:t> </w:t>
      </w:r>
      <w:r>
        <w:rPr>
          <w:color w:val="0F0F0F"/>
        </w:rPr>
        <w:t>in</w:t>
      </w:r>
      <w:r>
        <w:rPr>
          <w:color w:val="0F0F0F"/>
          <w:spacing w:val="-10"/>
        </w:rPr>
        <w:t> </w:t>
      </w:r>
      <w:r>
        <w:rPr>
          <w:color w:val="0F0F0F"/>
        </w:rPr>
        <w:t>lieu</w:t>
      </w:r>
      <w:r>
        <w:rPr>
          <w:color w:val="0F0F0F"/>
          <w:spacing w:val="-5"/>
        </w:rPr>
        <w:t> </w:t>
      </w:r>
      <w:r>
        <w:rPr>
          <w:color w:val="1D1D1D"/>
        </w:rPr>
        <w:t>is</w:t>
      </w:r>
      <w:r>
        <w:rPr>
          <w:color w:val="1D1D1D"/>
          <w:spacing w:val="-5"/>
        </w:rPr>
        <w:t> </w:t>
      </w:r>
      <w:r>
        <w:rPr>
          <w:color w:val="0F0F0F"/>
        </w:rPr>
        <w:t>allocated</w:t>
      </w:r>
      <w:r>
        <w:rPr>
          <w:color w:val="0F0F0F"/>
          <w:spacing w:val="1"/>
        </w:rPr>
        <w:t> </w:t>
      </w:r>
      <w:r>
        <w:rPr>
          <w:color w:val="0F0F0F"/>
        </w:rPr>
        <w:t>to</w:t>
      </w:r>
      <w:r>
        <w:rPr>
          <w:color w:val="0F0F0F"/>
          <w:spacing w:val="-6"/>
        </w:rPr>
        <w:t> </w:t>
      </w:r>
      <w:r>
        <w:rPr>
          <w:color w:val="0F0F0F"/>
        </w:rPr>
        <w:t>S106</w:t>
      </w:r>
      <w:r>
        <w:rPr>
          <w:color w:val="0F0F0F"/>
          <w:spacing w:val="-1"/>
        </w:rPr>
        <w:t> </w:t>
      </w:r>
      <w:r>
        <w:rPr>
          <w:color w:val="0F0F0F"/>
        </w:rPr>
        <w:t>balances</w:t>
      </w:r>
      <w:r>
        <w:rPr>
          <w:color w:val="0F0F0F"/>
          <w:spacing w:val="6"/>
        </w:rPr>
        <w:t> </w:t>
      </w:r>
      <w:r>
        <w:rPr>
          <w:color w:val="0F0F0F"/>
        </w:rPr>
        <w:t>whilst</w:t>
      </w:r>
      <w:r>
        <w:rPr>
          <w:color w:val="0F0F0F"/>
          <w:spacing w:val="-1"/>
        </w:rPr>
        <w:t> </w:t>
      </w:r>
      <w:r>
        <w:rPr>
          <w:color w:val="0F0F0F"/>
        </w:rPr>
        <w:t>they</w:t>
      </w:r>
      <w:r>
        <w:rPr>
          <w:color w:val="0F0F0F"/>
          <w:spacing w:val="7"/>
        </w:rPr>
        <w:t> </w:t>
      </w:r>
      <w:r>
        <w:rPr>
          <w:color w:val="0F0F0F"/>
        </w:rPr>
        <w:t>are</w:t>
      </w:r>
      <w:r>
        <w:rPr>
          <w:color w:val="0F0F0F"/>
          <w:spacing w:val="1"/>
        </w:rPr>
        <w:t> </w:t>
      </w:r>
      <w:r>
        <w:rPr>
          <w:color w:val="0F0F0F"/>
        </w:rPr>
        <w:t>held</w:t>
      </w:r>
      <w:r>
        <w:rPr>
          <w:color w:val="0F0F0F"/>
          <w:spacing w:val="-5"/>
        </w:rPr>
        <w:t> </w:t>
      </w:r>
      <w:r>
        <w:rPr>
          <w:color w:val="0F0F0F"/>
        </w:rPr>
        <w:t>on</w:t>
      </w:r>
      <w:r>
        <w:rPr>
          <w:color w:val="0F0F0F"/>
          <w:spacing w:val="-6"/>
        </w:rPr>
        <w:t> </w:t>
      </w:r>
      <w:r>
        <w:rPr>
          <w:color w:val="0F0F0F"/>
        </w:rPr>
        <w:t>deposit</w:t>
      </w:r>
      <w:r>
        <w:rPr>
          <w:color w:val="0F0F0F"/>
          <w:spacing w:val="7"/>
        </w:rPr>
        <w:t> </w:t>
      </w:r>
      <w:r>
        <w:rPr>
          <w:color w:val="0F0F0F"/>
        </w:rPr>
        <w:t>by</w:t>
      </w:r>
      <w:r>
        <w:rPr>
          <w:color w:val="0F0F0F"/>
          <w:spacing w:val="3"/>
        </w:rPr>
        <w:t> </w:t>
      </w:r>
      <w:r>
        <w:rPr>
          <w:color w:val="0F0F0F"/>
        </w:rPr>
        <w:t>the</w:t>
      </w:r>
      <w:r>
        <w:rPr>
          <w:color w:val="0F0F0F"/>
          <w:spacing w:val="-6"/>
        </w:rPr>
        <w:t> </w:t>
      </w:r>
      <w:r>
        <w:rPr>
          <w:color w:val="0F0F0F"/>
          <w:spacing w:val="-2"/>
        </w:rPr>
        <w:t>Council.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3"/>
        <w:rPr>
          <w:sz w:val="20"/>
        </w:rPr>
      </w:pPr>
      <w:r>
        <w:rPr/>
        <w:drawing>
          <wp:anchor distT="0" distB="0" distL="0" distR="0" simplePos="0" relativeHeight="487680000" behindDoc="1" locked="0" layoutInCell="1" allowOverlap="1">
            <wp:simplePos x="0" y="0"/>
            <wp:positionH relativeFrom="page">
              <wp:posOffset>48846</wp:posOffset>
            </wp:positionH>
            <wp:positionV relativeFrom="paragraph">
              <wp:posOffset>296532</wp:posOffset>
            </wp:positionV>
            <wp:extent cx="6098" cy="451104"/>
            <wp:effectExtent l="0" t="0" r="0" b="0"/>
            <wp:wrapTopAndBottom/>
            <wp:docPr id="405" name="Image 405"/>
            <wp:cNvGraphicFramePr>
              <a:graphicFrameLocks/>
            </wp:cNvGraphicFramePr>
            <a:graphic>
              <a:graphicData uri="http://schemas.openxmlformats.org/drawingml/2006/picture">
                <pic:pic>
                  <pic:nvPicPr>
                    <pic:cNvPr id="405" name="Image 405"/>
                    <pic:cNvPicPr/>
                  </pic:nvPicPr>
                  <pic:blipFill>
                    <a:blip r:embed="rId176" cstate="print"/>
                    <a:stretch>
                      <a:fillRect/>
                    </a:stretch>
                  </pic:blipFill>
                  <pic:spPr>
                    <a:xfrm>
                      <a:off x="0" y="0"/>
                      <a:ext cx="6098" cy="451104"/>
                    </a:xfrm>
                    <a:prstGeom prst="rect">
                      <a:avLst/>
                    </a:prstGeom>
                  </pic:spPr>
                </pic:pic>
              </a:graphicData>
            </a:graphic>
          </wp:anchor>
        </w:drawing>
      </w:r>
    </w:p>
    <w:p>
      <w:pPr>
        <w:spacing w:after="0"/>
        <w:rPr>
          <w:sz w:val="20"/>
        </w:rPr>
        <w:sectPr>
          <w:type w:val="continuous"/>
          <w:pgSz w:w="11910" w:h="16830"/>
          <w:pgMar w:top="1940" w:right="300" w:bottom="280" w:left="0" w:header="0" w:footer="1014"/>
        </w:sectPr>
      </w:pPr>
    </w:p>
    <w:p>
      <w:pPr>
        <w:pStyle w:val="Heading3"/>
        <w:numPr>
          <w:ilvl w:val="1"/>
          <w:numId w:val="21"/>
        </w:numPr>
        <w:tabs>
          <w:tab w:val="left" w:leader="none" w:pos="1998"/>
        </w:tabs>
        <w:spacing w:before="237" w:after="0" w:line="240" w:lineRule="auto"/>
        <w:ind w:left="1998" w:right="0" w:hanging="715"/>
        <w:jc w:val="left"/>
        <w:rPr>
          <w:color w:val="595959"/>
        </w:rPr>
      </w:pPr>
      <w:r>
        <w:rPr>
          <w:color w:val="595959"/>
        </w:rPr>
        <w:t>Financial</w:t>
      </w:r>
      <w:r>
        <w:rPr>
          <w:color w:val="595959"/>
          <w:spacing w:val="-8"/>
        </w:rPr>
        <w:t> </w:t>
      </w:r>
      <w:r>
        <w:rPr>
          <w:color w:val="595959"/>
          <w:spacing w:val="-2"/>
        </w:rPr>
        <w:t>Instruments</w:t>
      </w:r>
    </w:p>
    <w:p>
      <w:pPr>
        <w:pStyle w:val="BodyText"/>
        <w:spacing w:before="240" w:line="237" w:lineRule="auto"/>
        <w:ind w:left="1280" w:right="1133" w:hanging="1"/>
        <w:jc w:val="both"/>
      </w:pPr>
      <w:r>
        <w:rPr>
          <w:color w:val="0A0A0A"/>
        </w:rPr>
        <w:t>Financial Instruments comprise contractua</w:t>
      </w:r>
      <w:r>
        <w:rPr>
          <w:color w:val="3B3B3B"/>
        </w:rPr>
        <w:t>l</w:t>
      </w:r>
      <w:r>
        <w:rPr>
          <w:color w:val="3B3B3B"/>
          <w:spacing w:val="-10"/>
        </w:rPr>
        <w:t> </w:t>
      </w:r>
      <w:r>
        <w:rPr>
          <w:color w:val="1F1F1F"/>
        </w:rPr>
        <w:t>positions </w:t>
      </w:r>
      <w:r>
        <w:rPr>
          <w:color w:val="0A0A0A"/>
        </w:rPr>
        <w:t>that gives rise</w:t>
      </w:r>
      <w:r>
        <w:rPr>
          <w:color w:val="0A0A0A"/>
          <w:spacing w:val="-4"/>
        </w:rPr>
        <w:t> </w:t>
      </w:r>
      <w:r>
        <w:rPr>
          <w:color w:val="0A0A0A"/>
        </w:rPr>
        <w:t>to a financial asset of one entity and a</w:t>
      </w:r>
      <w:r>
        <w:rPr>
          <w:color w:val="0A0A0A"/>
          <w:spacing w:val="-3"/>
        </w:rPr>
        <w:t> </w:t>
      </w:r>
      <w:r>
        <w:rPr>
          <w:color w:val="0A0A0A"/>
        </w:rPr>
        <w:t>financial liability (or equity </w:t>
      </w:r>
      <w:r>
        <w:rPr>
          <w:color w:val="1F1F1F"/>
        </w:rPr>
        <w:t>instrument) </w:t>
      </w:r>
      <w:r>
        <w:rPr>
          <w:color w:val="0A0A0A"/>
        </w:rPr>
        <w:t>of another.</w:t>
      </w:r>
    </w:p>
    <w:p>
      <w:pPr>
        <w:pStyle w:val="BodyText"/>
        <w:spacing w:before="251" w:line="242" w:lineRule="auto"/>
        <w:ind w:left="1290" w:right="1121" w:hanging="1"/>
        <w:jc w:val="both"/>
      </w:pPr>
      <w:r>
        <w:rPr>
          <w:color w:val="1F1F1F"/>
        </w:rPr>
        <w:t>Financial assets whose contractual terms give rise </w:t>
      </w:r>
      <w:r>
        <w:rPr>
          <w:color w:val="0A0A0A"/>
        </w:rPr>
        <w:t>on </w:t>
      </w:r>
      <w:r>
        <w:rPr>
          <w:color w:val="1F1F1F"/>
        </w:rPr>
        <w:t>specified dates to cash flows that are solely</w:t>
      </w:r>
      <w:r>
        <w:rPr>
          <w:color w:val="1F1F1F"/>
          <w:spacing w:val="-16"/>
        </w:rPr>
        <w:t> </w:t>
      </w:r>
      <w:r>
        <w:rPr>
          <w:color w:val="1F1F1F"/>
        </w:rPr>
        <w:t>payments</w:t>
      </w:r>
      <w:r>
        <w:rPr>
          <w:color w:val="1F1F1F"/>
          <w:spacing w:val="-15"/>
        </w:rPr>
        <w:t> </w:t>
      </w:r>
      <w:r>
        <w:rPr>
          <w:color w:val="1F1F1F"/>
        </w:rPr>
        <w:t>of</w:t>
      </w:r>
      <w:r>
        <w:rPr>
          <w:color w:val="1F1F1F"/>
          <w:spacing w:val="-15"/>
        </w:rPr>
        <w:t> </w:t>
      </w:r>
      <w:r>
        <w:rPr>
          <w:color w:val="1F1F1F"/>
        </w:rPr>
        <w:t>principal</w:t>
      </w:r>
      <w:r>
        <w:rPr>
          <w:color w:val="1F1F1F"/>
          <w:spacing w:val="-16"/>
        </w:rPr>
        <w:t> </w:t>
      </w:r>
      <w:r>
        <w:rPr>
          <w:color w:val="1F1F1F"/>
        </w:rPr>
        <w:t>and</w:t>
      </w:r>
      <w:r>
        <w:rPr>
          <w:color w:val="1F1F1F"/>
          <w:spacing w:val="-15"/>
        </w:rPr>
        <w:t> </w:t>
      </w:r>
      <w:r>
        <w:rPr>
          <w:color w:val="1F1F1F"/>
        </w:rPr>
        <w:t>interest</w:t>
      </w:r>
      <w:r>
        <w:rPr>
          <w:color w:val="1F1F1F"/>
          <w:spacing w:val="-15"/>
        </w:rPr>
        <w:t> </w:t>
      </w:r>
      <w:r>
        <w:rPr>
          <w:color w:val="1F1F1F"/>
        </w:rPr>
        <w:t>on</w:t>
      </w:r>
      <w:r>
        <w:rPr>
          <w:color w:val="1F1F1F"/>
          <w:spacing w:val="-15"/>
        </w:rPr>
        <w:t> </w:t>
      </w:r>
      <w:r>
        <w:rPr>
          <w:color w:val="1F1F1F"/>
        </w:rPr>
        <w:t>the</w:t>
      </w:r>
      <w:r>
        <w:rPr>
          <w:color w:val="1F1F1F"/>
          <w:spacing w:val="-16"/>
        </w:rPr>
        <w:t> </w:t>
      </w:r>
      <w:r>
        <w:rPr>
          <w:color w:val="1F1F1F"/>
        </w:rPr>
        <w:t>principal</w:t>
      </w:r>
      <w:r>
        <w:rPr>
          <w:color w:val="1F1F1F"/>
          <w:spacing w:val="-15"/>
        </w:rPr>
        <w:t> </w:t>
      </w:r>
      <w:r>
        <w:rPr>
          <w:color w:val="1F1F1F"/>
        </w:rPr>
        <w:t>amount</w:t>
      </w:r>
      <w:r>
        <w:rPr>
          <w:color w:val="1F1F1F"/>
          <w:spacing w:val="-15"/>
        </w:rPr>
        <w:t> </w:t>
      </w:r>
      <w:r>
        <w:rPr>
          <w:color w:val="0A0A0A"/>
        </w:rPr>
        <w:t>outstanding</w:t>
      </w:r>
      <w:r>
        <w:rPr>
          <w:color w:val="0A0A0A"/>
          <w:spacing w:val="-11"/>
        </w:rPr>
        <w:t> </w:t>
      </w:r>
      <w:r>
        <w:rPr>
          <w:color w:val="1F1F1F"/>
        </w:rPr>
        <w:t>and</w:t>
      </w:r>
      <w:r>
        <w:rPr>
          <w:color w:val="1F1F1F"/>
          <w:spacing w:val="-15"/>
        </w:rPr>
        <w:t> </w:t>
      </w:r>
      <w:r>
        <w:rPr>
          <w:color w:val="1F1F1F"/>
        </w:rPr>
        <w:t>are</w:t>
      </w:r>
      <w:r>
        <w:rPr>
          <w:color w:val="1F1F1F"/>
          <w:spacing w:val="-15"/>
        </w:rPr>
        <w:t> </w:t>
      </w:r>
      <w:r>
        <w:rPr>
          <w:color w:val="1F1F1F"/>
        </w:rPr>
        <w:t>held</w:t>
      </w:r>
      <w:r>
        <w:rPr>
          <w:color w:val="1F1F1F"/>
          <w:spacing w:val="-16"/>
        </w:rPr>
        <w:t> </w:t>
      </w:r>
      <w:r>
        <w:rPr>
          <w:color w:val="1F1F1F"/>
        </w:rPr>
        <w:t>within a</w:t>
      </w:r>
      <w:r>
        <w:rPr>
          <w:color w:val="1F1F1F"/>
          <w:spacing w:val="-16"/>
        </w:rPr>
        <w:t> </w:t>
      </w:r>
      <w:r>
        <w:rPr>
          <w:color w:val="1F1F1F"/>
        </w:rPr>
        <w:t>business</w:t>
      </w:r>
      <w:r>
        <w:rPr>
          <w:color w:val="1F1F1F"/>
          <w:spacing w:val="-15"/>
        </w:rPr>
        <w:t> </w:t>
      </w:r>
      <w:r>
        <w:rPr>
          <w:color w:val="1F1F1F"/>
        </w:rPr>
        <w:t>model</w:t>
      </w:r>
      <w:r>
        <w:rPr>
          <w:color w:val="1F1F1F"/>
          <w:spacing w:val="-15"/>
        </w:rPr>
        <w:t> </w:t>
      </w:r>
      <w:r>
        <w:rPr>
          <w:color w:val="1F1F1F"/>
        </w:rPr>
        <w:t>whose</w:t>
      </w:r>
      <w:r>
        <w:rPr>
          <w:color w:val="1F1F1F"/>
          <w:spacing w:val="-16"/>
        </w:rPr>
        <w:t> </w:t>
      </w:r>
      <w:r>
        <w:rPr>
          <w:color w:val="1F1F1F"/>
        </w:rPr>
        <w:t>objectives</w:t>
      </w:r>
      <w:r>
        <w:rPr>
          <w:color w:val="1F1F1F"/>
          <w:spacing w:val="-15"/>
        </w:rPr>
        <w:t> </w:t>
      </w:r>
      <w:r>
        <w:rPr>
          <w:color w:val="1F1F1F"/>
        </w:rPr>
        <w:t>are</w:t>
      </w:r>
      <w:r>
        <w:rPr>
          <w:color w:val="1F1F1F"/>
          <w:spacing w:val="-15"/>
        </w:rPr>
        <w:t> </w:t>
      </w:r>
      <w:r>
        <w:rPr>
          <w:color w:val="1F1F1F"/>
        </w:rPr>
        <w:t>achieved</w:t>
      </w:r>
      <w:r>
        <w:rPr>
          <w:color w:val="1F1F1F"/>
          <w:spacing w:val="-15"/>
        </w:rPr>
        <w:t> </w:t>
      </w:r>
      <w:r>
        <w:rPr>
          <w:color w:val="1F1F1F"/>
        </w:rPr>
        <w:t>by</w:t>
      </w:r>
      <w:r>
        <w:rPr>
          <w:color w:val="1F1F1F"/>
          <w:spacing w:val="-16"/>
        </w:rPr>
        <w:t> </w:t>
      </w:r>
      <w:r>
        <w:rPr>
          <w:color w:val="1F1F1F"/>
        </w:rPr>
        <w:t>collecting</w:t>
      </w:r>
      <w:r>
        <w:rPr>
          <w:color w:val="1F1F1F"/>
          <w:spacing w:val="-15"/>
        </w:rPr>
        <w:t> </w:t>
      </w:r>
      <w:r>
        <w:rPr>
          <w:color w:val="0A0A0A"/>
        </w:rPr>
        <w:t>contractual</w:t>
      </w:r>
      <w:r>
        <w:rPr>
          <w:color w:val="0A0A0A"/>
          <w:spacing w:val="-15"/>
        </w:rPr>
        <w:t> </w:t>
      </w:r>
      <w:r>
        <w:rPr>
          <w:color w:val="0A0A0A"/>
        </w:rPr>
        <w:t>cash</w:t>
      </w:r>
      <w:r>
        <w:rPr>
          <w:color w:val="0A0A0A"/>
          <w:spacing w:val="-16"/>
        </w:rPr>
        <w:t> </w:t>
      </w:r>
      <w:r>
        <w:rPr>
          <w:color w:val="1F1F1F"/>
        </w:rPr>
        <w:t>flows</w:t>
      </w:r>
      <w:r>
        <w:rPr>
          <w:color w:val="1F1F1F"/>
          <w:spacing w:val="-15"/>
        </w:rPr>
        <w:t> </w:t>
      </w:r>
      <w:r>
        <w:rPr>
          <w:color w:val="1F1F1F"/>
        </w:rPr>
        <w:t>are</w:t>
      </w:r>
      <w:r>
        <w:rPr>
          <w:color w:val="1F1F1F"/>
          <w:spacing w:val="-15"/>
        </w:rPr>
        <w:t> </w:t>
      </w:r>
      <w:r>
        <w:rPr>
          <w:color w:val="1F1F1F"/>
        </w:rPr>
        <w:t>carried </w:t>
      </w:r>
      <w:r>
        <w:rPr>
          <w:color w:val="0A0A0A"/>
        </w:rPr>
        <w:t>at amortised cost.</w:t>
      </w:r>
    </w:p>
    <w:p>
      <w:pPr>
        <w:pStyle w:val="BodyText"/>
        <w:spacing w:before="251"/>
        <w:ind w:left="1285" w:right="1133" w:hanging="2"/>
        <w:jc w:val="both"/>
      </w:pPr>
      <w:r>
        <w:rPr>
          <w:color w:val="0A0A0A"/>
        </w:rPr>
        <w:t>The Council's financial liabilities are carried at amortised cost with no change in carrying </w:t>
      </w:r>
      <w:r>
        <w:rPr>
          <w:color w:val="0A0A0A"/>
          <w:spacing w:val="-2"/>
        </w:rPr>
        <w:t>amounts.</w:t>
      </w:r>
    </w:p>
    <w:p>
      <w:pPr>
        <w:pStyle w:val="BodyText"/>
      </w:pPr>
    </w:p>
    <w:p>
      <w:pPr>
        <w:pStyle w:val="BodyText"/>
        <w:spacing w:before="17"/>
      </w:pPr>
    </w:p>
    <w:p>
      <w:pPr>
        <w:pStyle w:val="Heading3"/>
        <w:ind w:left="1388"/>
        <w:jc w:val="both"/>
      </w:pPr>
      <w:r>
        <w:rPr>
          <w:color w:val="0A0A0A"/>
        </w:rPr>
        <w:t>Impairment</w:t>
      </w:r>
      <w:r>
        <w:rPr>
          <w:color w:val="0A0A0A"/>
          <w:spacing w:val="1"/>
        </w:rPr>
        <w:t> </w:t>
      </w:r>
      <w:r>
        <w:rPr>
          <w:color w:val="0A0A0A"/>
        </w:rPr>
        <w:t>Loss</w:t>
      </w:r>
      <w:r>
        <w:rPr>
          <w:color w:val="0A0A0A"/>
          <w:spacing w:val="3"/>
        </w:rPr>
        <w:t> </w:t>
      </w:r>
      <w:r>
        <w:rPr>
          <w:color w:val="0A0A0A"/>
          <w:spacing w:val="-2"/>
        </w:rPr>
        <w:t>Allowances</w:t>
      </w:r>
    </w:p>
    <w:p>
      <w:pPr>
        <w:pStyle w:val="BodyText"/>
        <w:spacing w:before="251"/>
        <w:ind w:left="1390" w:right="1095" w:hanging="3"/>
        <w:jc w:val="both"/>
      </w:pPr>
      <w:r>
        <w:rPr>
          <w:color w:val="0A0A0A"/>
        </w:rPr>
        <w:t>I</w:t>
      </w:r>
      <w:r>
        <w:rPr>
          <w:color w:val="1F1F1F"/>
        </w:rPr>
        <w:t>FRS</w:t>
      </w:r>
      <w:r>
        <w:rPr>
          <w:color w:val="1F1F1F"/>
          <w:spacing w:val="-13"/>
        </w:rPr>
        <w:t> </w:t>
      </w:r>
      <w:r>
        <w:rPr>
          <w:color w:val="1F1F1F"/>
        </w:rPr>
        <w:t>9</w:t>
      </w:r>
      <w:r>
        <w:rPr>
          <w:color w:val="1F1F1F"/>
          <w:spacing w:val="-16"/>
        </w:rPr>
        <w:t> </w:t>
      </w:r>
      <w:r>
        <w:rPr>
          <w:color w:val="1F1F1F"/>
        </w:rPr>
        <w:t>Financial </w:t>
      </w:r>
      <w:r>
        <w:rPr>
          <w:color w:val="3B3B3B"/>
        </w:rPr>
        <w:t>Instruments </w:t>
      </w:r>
      <w:r>
        <w:rPr>
          <w:color w:val="0A0A0A"/>
        </w:rPr>
        <w:t>requ</w:t>
      </w:r>
      <w:r>
        <w:rPr>
          <w:color w:val="3B3B3B"/>
        </w:rPr>
        <w:t>i</w:t>
      </w:r>
      <w:r>
        <w:rPr>
          <w:color w:val="1F1F1F"/>
        </w:rPr>
        <w:t>res</w:t>
      </w:r>
      <w:r>
        <w:rPr>
          <w:color w:val="1F1F1F"/>
          <w:spacing w:val="-16"/>
        </w:rPr>
        <w:t> </w:t>
      </w:r>
      <w:r>
        <w:rPr>
          <w:color w:val="1F1F1F"/>
        </w:rPr>
        <w:t>impairment </w:t>
      </w:r>
      <w:r>
        <w:rPr>
          <w:color w:val="0A0A0A"/>
        </w:rPr>
        <w:t>of</w:t>
      </w:r>
      <w:r>
        <w:rPr>
          <w:color w:val="0A0A0A"/>
          <w:spacing w:val="-6"/>
        </w:rPr>
        <w:t> </w:t>
      </w:r>
      <w:r>
        <w:rPr>
          <w:color w:val="1F1F1F"/>
        </w:rPr>
        <w:t>financial </w:t>
      </w:r>
      <w:r>
        <w:rPr>
          <w:color w:val="0A0A0A"/>
        </w:rPr>
        <w:t>assets</w:t>
      </w:r>
      <w:r>
        <w:rPr>
          <w:color w:val="0A0A0A"/>
          <w:spacing w:val="-3"/>
        </w:rPr>
        <w:t> </w:t>
      </w:r>
      <w:r>
        <w:rPr>
          <w:color w:val="1F1F1F"/>
        </w:rPr>
        <w:t>carried</w:t>
      </w:r>
      <w:r>
        <w:rPr>
          <w:color w:val="1F1F1F"/>
          <w:spacing w:val="-1"/>
        </w:rPr>
        <w:t> </w:t>
      </w:r>
      <w:r>
        <w:rPr>
          <w:color w:val="0A0A0A"/>
        </w:rPr>
        <w:t>at</w:t>
      </w:r>
      <w:r>
        <w:rPr>
          <w:color w:val="0A0A0A"/>
          <w:spacing w:val="-2"/>
        </w:rPr>
        <w:t> </w:t>
      </w:r>
      <w:r>
        <w:rPr>
          <w:color w:val="0A0A0A"/>
        </w:rPr>
        <w:t>amortised </w:t>
      </w:r>
      <w:r>
        <w:rPr>
          <w:color w:val="1F1F1F"/>
        </w:rPr>
        <w:t>cost </w:t>
      </w:r>
      <w:r>
        <w:rPr>
          <w:color w:val="0A0A0A"/>
        </w:rPr>
        <w:t>to</w:t>
      </w:r>
      <w:r>
        <w:rPr>
          <w:color w:val="0A0A0A"/>
          <w:spacing w:val="-1"/>
        </w:rPr>
        <w:t> </w:t>
      </w:r>
      <w:r>
        <w:rPr>
          <w:color w:val="1F1F1F"/>
        </w:rPr>
        <w:t>be </w:t>
      </w:r>
      <w:r>
        <w:rPr>
          <w:color w:val="0A0A0A"/>
        </w:rPr>
        <w:t>based on </w:t>
      </w:r>
      <w:r>
        <w:rPr>
          <w:color w:val="1F1F1F"/>
        </w:rPr>
        <w:t>forward-looking expectations (expected </w:t>
      </w:r>
      <w:r>
        <w:rPr>
          <w:color w:val="0A0A0A"/>
        </w:rPr>
        <w:t>credit </w:t>
      </w:r>
      <w:r>
        <w:rPr>
          <w:color w:val="1F1F1F"/>
        </w:rPr>
        <w:t>losses). </w:t>
      </w:r>
      <w:r>
        <w:rPr>
          <w:color w:val="0A0A0A"/>
        </w:rPr>
        <w:t>The Council </w:t>
      </w:r>
      <w:r>
        <w:rPr>
          <w:color w:val="1F1F1F"/>
        </w:rPr>
        <w:t>has used </w:t>
      </w:r>
      <w:r>
        <w:rPr>
          <w:color w:val="0A0A0A"/>
        </w:rPr>
        <w:t>the </w:t>
      </w:r>
      <w:r>
        <w:rPr>
          <w:color w:val="1F1F1F"/>
        </w:rPr>
        <w:t>following criteria to arrive </w:t>
      </w:r>
      <w:r>
        <w:rPr>
          <w:color w:val="0A0A0A"/>
        </w:rPr>
        <w:t>at </w:t>
      </w:r>
      <w:r>
        <w:rPr>
          <w:color w:val="1F1F1F"/>
        </w:rPr>
        <w:t>loss allowances.</w:t>
      </w:r>
    </w:p>
    <w:p>
      <w:pPr>
        <w:pStyle w:val="BodyText"/>
        <w:spacing w:before="1"/>
        <w:rPr>
          <w:sz w:val="14"/>
        </w:rPr>
      </w:pPr>
    </w:p>
    <w:p>
      <w:pPr>
        <w:spacing w:after="0"/>
        <w:rPr>
          <w:sz w:val="14"/>
        </w:rPr>
        <w:sectPr>
          <w:headerReference w:type="default" r:id="rId177"/>
          <w:headerReference w:type="even" r:id="rId178"/>
          <w:pgSz w:w="11910" w:h="16830"/>
          <w:pgMar w:top="900" w:right="300" w:bottom="1320" w:left="0" w:header="716" w:footer="0"/>
        </w:sectPr>
      </w:pPr>
    </w:p>
    <w:p>
      <w:pPr>
        <w:pStyle w:val="Heading3"/>
        <w:spacing w:before="94"/>
        <w:ind w:left="1522"/>
      </w:pPr>
      <w:r>
        <w:rPr>
          <w:color w:val="0A0A0A"/>
        </w:rPr>
        <w:t>Financial</w:t>
      </w:r>
      <w:r>
        <w:rPr>
          <w:color w:val="0A0A0A"/>
          <w:spacing w:val="2"/>
        </w:rPr>
        <w:t> </w:t>
      </w:r>
      <w:r>
        <w:rPr>
          <w:color w:val="0A0A0A"/>
          <w:spacing w:val="-2"/>
        </w:rPr>
        <w:t>Asset</w:t>
      </w:r>
    </w:p>
    <w:p>
      <w:pPr>
        <w:pStyle w:val="BodyText"/>
        <w:spacing w:before="3"/>
        <w:rPr>
          <w:b/>
        </w:rPr>
      </w:pPr>
    </w:p>
    <w:p>
      <w:pPr>
        <w:pStyle w:val="BodyText"/>
        <w:ind w:left="1395" w:hanging="3"/>
      </w:pPr>
      <w:r>
        <w:rPr>
          <w:color w:val="0A0A0A"/>
          <w:spacing w:val="-2"/>
        </w:rPr>
        <w:t>Investments,</w:t>
      </w:r>
      <w:r>
        <w:rPr>
          <w:color w:val="0A0A0A"/>
          <w:spacing w:val="-5"/>
        </w:rPr>
        <w:t> </w:t>
      </w:r>
      <w:r>
        <w:rPr>
          <w:color w:val="0A0A0A"/>
          <w:spacing w:val="-2"/>
        </w:rPr>
        <w:t>cash </w:t>
      </w:r>
      <w:r>
        <w:rPr>
          <w:color w:val="0A0A0A"/>
        </w:rPr>
        <w:t>and cash </w:t>
      </w:r>
      <w:r>
        <w:rPr>
          <w:color w:val="0A0A0A"/>
          <w:spacing w:val="-2"/>
        </w:rPr>
        <w:t>equivalents</w:t>
      </w:r>
    </w:p>
    <w:p>
      <w:pPr>
        <w:pStyle w:val="BodyText"/>
      </w:pPr>
    </w:p>
    <w:p>
      <w:pPr>
        <w:pStyle w:val="BodyText"/>
      </w:pPr>
    </w:p>
    <w:p>
      <w:pPr>
        <w:pStyle w:val="BodyText"/>
      </w:pPr>
    </w:p>
    <w:p>
      <w:pPr>
        <w:pStyle w:val="BodyText"/>
      </w:pPr>
    </w:p>
    <w:p>
      <w:pPr>
        <w:pStyle w:val="BodyText"/>
      </w:pPr>
    </w:p>
    <w:p>
      <w:pPr>
        <w:pStyle w:val="BodyText"/>
        <w:spacing w:before="231"/>
      </w:pPr>
    </w:p>
    <w:p>
      <w:pPr>
        <w:pStyle w:val="BodyText"/>
        <w:spacing w:before="1"/>
        <w:ind w:left="1394" w:hanging="2"/>
      </w:pPr>
      <w:r>
        <w:rPr>
          <w:color w:val="0A0A0A"/>
        </w:rPr>
        <w:t>Loans to businesses and group</w:t>
      </w:r>
      <w:r>
        <w:rPr>
          <w:color w:val="0A0A0A"/>
          <w:spacing w:val="-6"/>
        </w:rPr>
        <w:t> </w:t>
      </w:r>
      <w:r>
        <w:rPr>
          <w:color w:val="0A0A0A"/>
          <w:spacing w:val="-4"/>
        </w:rPr>
        <w:t>companies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5"/>
      </w:pPr>
    </w:p>
    <w:p>
      <w:pPr>
        <w:pStyle w:val="BodyText"/>
        <w:ind w:left="1393"/>
      </w:pPr>
      <w:r>
        <w:rPr>
          <w:color w:val="0A0A0A"/>
        </w:rPr>
        <w:t>Trade</w:t>
      </w:r>
      <w:r>
        <w:rPr>
          <w:color w:val="0A0A0A"/>
          <w:spacing w:val="-6"/>
        </w:rPr>
        <w:t> </w:t>
      </w:r>
      <w:r>
        <w:rPr>
          <w:color w:val="0A0A0A"/>
          <w:spacing w:val="-2"/>
        </w:rPr>
        <w:t>receivables</w:t>
      </w:r>
    </w:p>
    <w:p>
      <w:pPr>
        <w:pStyle w:val="Heading3"/>
        <w:spacing w:before="98"/>
        <w:ind w:right="687"/>
        <w:jc w:val="center"/>
      </w:pPr>
      <w:r>
        <w:rPr>
          <w:b w:val="0"/>
        </w:rPr>
        <w:br w:type="column"/>
      </w:r>
      <w:r>
        <w:rPr>
          <w:color w:val="0A0A0A"/>
          <w:spacing w:val="-2"/>
        </w:rPr>
        <w:t>Criteria</w:t>
      </w:r>
    </w:p>
    <w:p>
      <w:pPr>
        <w:pStyle w:val="BodyText"/>
        <w:spacing w:before="252"/>
        <w:ind w:left="278" w:right="940" w:firstLine="1"/>
        <w:jc w:val="both"/>
      </w:pPr>
      <w:r>
        <w:rPr>
          <w:color w:val="0A0A0A"/>
        </w:rPr>
        <w:t>Based on the Council's approach to credit risk arising from deposits with banks and</w:t>
      </w:r>
      <w:r>
        <w:rPr>
          <w:color w:val="0A0A0A"/>
          <w:spacing w:val="-11"/>
        </w:rPr>
        <w:t> </w:t>
      </w:r>
      <w:r>
        <w:rPr>
          <w:color w:val="0A0A0A"/>
        </w:rPr>
        <w:t>financial </w:t>
      </w:r>
      <w:r>
        <w:rPr>
          <w:color w:val="1F1F1F"/>
        </w:rPr>
        <w:t>institutions </w:t>
      </w:r>
      <w:r>
        <w:rPr>
          <w:color w:val="0A0A0A"/>
        </w:rPr>
        <w:t>which</w:t>
      </w:r>
      <w:r>
        <w:rPr>
          <w:color w:val="0A0A0A"/>
          <w:spacing w:val="-3"/>
        </w:rPr>
        <w:t> </w:t>
      </w:r>
      <w:r>
        <w:rPr>
          <w:color w:val="0A0A0A"/>
        </w:rPr>
        <w:t>are</w:t>
      </w:r>
      <w:r>
        <w:rPr>
          <w:color w:val="0A0A0A"/>
          <w:spacing w:val="-6"/>
        </w:rPr>
        <w:t> </w:t>
      </w:r>
      <w:r>
        <w:rPr>
          <w:color w:val="0A0A0A"/>
        </w:rPr>
        <w:t>detailed</w:t>
      </w:r>
      <w:r>
        <w:rPr>
          <w:color w:val="0A0A0A"/>
          <w:spacing w:val="-5"/>
        </w:rPr>
        <w:t> </w:t>
      </w:r>
      <w:r>
        <w:rPr>
          <w:color w:val="0A0A0A"/>
        </w:rPr>
        <w:t>below, all</w:t>
      </w:r>
      <w:r>
        <w:rPr>
          <w:color w:val="0A0A0A"/>
          <w:spacing w:val="-10"/>
        </w:rPr>
        <w:t> </w:t>
      </w:r>
      <w:r>
        <w:rPr>
          <w:color w:val="0A0A0A"/>
        </w:rPr>
        <w:t>deposits held at 31 March 2023 are considered to have low credit risk. Therefore 12 month expected credit losses have been calculated applying risk factors provided by</w:t>
      </w:r>
      <w:r>
        <w:rPr>
          <w:color w:val="0A0A0A"/>
          <w:spacing w:val="-1"/>
        </w:rPr>
        <w:t> </w:t>
      </w:r>
      <w:r>
        <w:rPr>
          <w:color w:val="0A0A0A"/>
        </w:rPr>
        <w:t>the Council's treasury management advisors. This amounted to £291 (2022: £2,010) which is considered to be immaterial and has therefore</w:t>
      </w:r>
      <w:r>
        <w:rPr>
          <w:color w:val="0A0A0A"/>
          <w:spacing w:val="-12"/>
        </w:rPr>
        <w:t> </w:t>
      </w:r>
      <w:r>
        <w:rPr>
          <w:color w:val="0A0A0A"/>
        </w:rPr>
        <w:t>not</w:t>
      </w:r>
      <w:r>
        <w:rPr>
          <w:color w:val="0A0A0A"/>
          <w:spacing w:val="-11"/>
        </w:rPr>
        <w:t> </w:t>
      </w:r>
      <w:r>
        <w:rPr>
          <w:color w:val="0A0A0A"/>
        </w:rPr>
        <w:t>been</w:t>
      </w:r>
      <w:r>
        <w:rPr>
          <w:color w:val="0A0A0A"/>
          <w:spacing w:val="-10"/>
        </w:rPr>
        <w:t> </w:t>
      </w:r>
      <w:r>
        <w:rPr>
          <w:color w:val="0A0A0A"/>
        </w:rPr>
        <w:t>reflected</w:t>
      </w:r>
      <w:r>
        <w:rPr>
          <w:color w:val="0A0A0A"/>
          <w:spacing w:val="-6"/>
        </w:rPr>
        <w:t> </w:t>
      </w:r>
      <w:r>
        <w:rPr>
          <w:color w:val="0A0A0A"/>
        </w:rPr>
        <w:t>in</w:t>
      </w:r>
      <w:r>
        <w:rPr>
          <w:color w:val="0A0A0A"/>
          <w:spacing w:val="-16"/>
        </w:rPr>
        <w:t> </w:t>
      </w:r>
      <w:r>
        <w:rPr>
          <w:color w:val="0A0A0A"/>
        </w:rPr>
        <w:t>the</w:t>
      </w:r>
      <w:r>
        <w:rPr>
          <w:color w:val="0A0A0A"/>
          <w:spacing w:val="-13"/>
        </w:rPr>
        <w:t> </w:t>
      </w:r>
      <w:r>
        <w:rPr>
          <w:color w:val="0A0A0A"/>
        </w:rPr>
        <w:t>core</w:t>
      </w:r>
      <w:r>
        <w:rPr>
          <w:color w:val="0A0A0A"/>
          <w:spacing w:val="-14"/>
        </w:rPr>
        <w:t> </w:t>
      </w:r>
      <w:r>
        <w:rPr>
          <w:color w:val="0A0A0A"/>
        </w:rPr>
        <w:t>financial</w:t>
      </w:r>
      <w:r>
        <w:rPr>
          <w:color w:val="0A0A0A"/>
          <w:spacing w:val="-6"/>
        </w:rPr>
        <w:t> </w:t>
      </w:r>
      <w:r>
        <w:rPr>
          <w:color w:val="0A0A0A"/>
        </w:rPr>
        <w:t>statements. No</w:t>
      </w:r>
      <w:r>
        <w:rPr>
          <w:color w:val="0A0A0A"/>
          <w:spacing w:val="-13"/>
        </w:rPr>
        <w:t> </w:t>
      </w:r>
      <w:r>
        <w:rPr>
          <w:color w:val="0A0A0A"/>
        </w:rPr>
        <w:t>allowance is</w:t>
      </w:r>
      <w:r>
        <w:rPr>
          <w:color w:val="0A0A0A"/>
          <w:spacing w:val="-10"/>
        </w:rPr>
        <w:t> </w:t>
      </w:r>
      <w:r>
        <w:rPr>
          <w:color w:val="0A0A0A"/>
        </w:rPr>
        <w:t>required</w:t>
      </w:r>
      <w:r>
        <w:rPr>
          <w:color w:val="0A0A0A"/>
          <w:spacing w:val="-1"/>
        </w:rPr>
        <w:t> </w:t>
      </w:r>
      <w:r>
        <w:rPr>
          <w:color w:val="0A0A0A"/>
        </w:rPr>
        <w:t>for</w:t>
      </w:r>
      <w:r>
        <w:rPr>
          <w:color w:val="0A0A0A"/>
          <w:spacing w:val="-13"/>
        </w:rPr>
        <w:t> </w:t>
      </w:r>
      <w:r>
        <w:rPr>
          <w:color w:val="1F1F1F"/>
        </w:rPr>
        <w:t>deposits</w:t>
      </w:r>
      <w:r>
        <w:rPr>
          <w:color w:val="1F1F1F"/>
          <w:spacing w:val="-1"/>
        </w:rPr>
        <w:t> </w:t>
      </w:r>
      <w:r>
        <w:rPr>
          <w:color w:val="0A0A0A"/>
        </w:rPr>
        <w:t>with</w:t>
      </w:r>
      <w:r>
        <w:rPr>
          <w:color w:val="0A0A0A"/>
          <w:spacing w:val="-11"/>
        </w:rPr>
        <w:t> </w:t>
      </w:r>
      <w:r>
        <w:rPr>
          <w:color w:val="0A0A0A"/>
        </w:rPr>
        <w:t>central</w:t>
      </w:r>
      <w:r>
        <w:rPr>
          <w:color w:val="0A0A0A"/>
          <w:spacing w:val="-11"/>
        </w:rPr>
        <w:t> </w:t>
      </w:r>
      <w:r>
        <w:rPr>
          <w:color w:val="1F1F1F"/>
        </w:rPr>
        <w:t>government </w:t>
      </w:r>
      <w:r>
        <w:rPr>
          <w:color w:val="0A0A0A"/>
        </w:rPr>
        <w:t>and</w:t>
      </w:r>
      <w:r>
        <w:rPr>
          <w:color w:val="0A0A0A"/>
          <w:spacing w:val="-15"/>
        </w:rPr>
        <w:t> </w:t>
      </w:r>
      <w:r>
        <w:rPr>
          <w:color w:val="0A0A0A"/>
        </w:rPr>
        <w:t>other</w:t>
      </w:r>
      <w:r>
        <w:rPr>
          <w:color w:val="0A0A0A"/>
          <w:spacing w:val="-4"/>
        </w:rPr>
        <w:t> </w:t>
      </w:r>
      <w:r>
        <w:rPr>
          <w:color w:val="0A0A0A"/>
        </w:rPr>
        <w:t>local</w:t>
      </w:r>
      <w:r>
        <w:rPr>
          <w:color w:val="0A0A0A"/>
          <w:spacing w:val="-4"/>
        </w:rPr>
        <w:t> </w:t>
      </w:r>
      <w:r>
        <w:rPr>
          <w:color w:val="0A0A0A"/>
        </w:rPr>
        <w:t>authorities as relevant </w:t>
      </w:r>
      <w:r>
        <w:rPr>
          <w:color w:val="1F1F1F"/>
        </w:rPr>
        <w:t>statutory </w:t>
      </w:r>
      <w:r>
        <w:rPr>
          <w:color w:val="0A0A0A"/>
        </w:rPr>
        <w:t>provisions prevent </w:t>
      </w:r>
      <w:r>
        <w:rPr>
          <w:color w:val="1F1F1F"/>
        </w:rPr>
        <w:t>default.</w:t>
      </w:r>
    </w:p>
    <w:p>
      <w:pPr>
        <w:pStyle w:val="BodyText"/>
        <w:spacing w:before="232"/>
        <w:ind w:left="280" w:right="925" w:firstLine="2"/>
        <w:jc w:val="both"/>
      </w:pPr>
      <w:r>
        <w:rPr>
          <w:color w:val="0A0A0A"/>
        </w:rPr>
        <w:t>Financial assessment prior to loan advance, financial performance and position of the third party or group company, internal information e.g. attendance at board</w:t>
      </w:r>
      <w:r>
        <w:rPr>
          <w:color w:val="0A0A0A"/>
          <w:spacing w:val="-2"/>
        </w:rPr>
        <w:t> </w:t>
      </w:r>
      <w:r>
        <w:rPr>
          <w:color w:val="0A0A0A"/>
        </w:rPr>
        <w:t>meetings and</w:t>
      </w:r>
      <w:r>
        <w:rPr>
          <w:color w:val="0A0A0A"/>
          <w:spacing w:val="-4"/>
        </w:rPr>
        <w:t> </w:t>
      </w:r>
      <w:r>
        <w:rPr>
          <w:color w:val="0A0A0A"/>
        </w:rPr>
        <w:t>any relevant external information. The Covid-19 pandemic required the Council to review the level of expected credit loss applicable to</w:t>
      </w:r>
      <w:r>
        <w:rPr>
          <w:color w:val="0A0A0A"/>
          <w:spacing w:val="-1"/>
        </w:rPr>
        <w:t> </w:t>
      </w:r>
      <w:r>
        <w:rPr>
          <w:color w:val="0A0A0A"/>
        </w:rPr>
        <w:t>a</w:t>
      </w:r>
      <w:r>
        <w:rPr>
          <w:color w:val="0A0A0A"/>
          <w:spacing w:val="-1"/>
        </w:rPr>
        <w:t> </w:t>
      </w:r>
      <w:r>
        <w:rPr>
          <w:color w:val="0A0A0A"/>
        </w:rPr>
        <w:t>loan to a</w:t>
      </w:r>
      <w:r>
        <w:rPr>
          <w:color w:val="0A0A0A"/>
          <w:spacing w:val="-8"/>
        </w:rPr>
        <w:t> </w:t>
      </w:r>
      <w:r>
        <w:rPr>
          <w:color w:val="0A0A0A"/>
        </w:rPr>
        <w:t>third</w:t>
      </w:r>
      <w:r>
        <w:rPr>
          <w:color w:val="0A0A0A"/>
          <w:spacing w:val="-3"/>
        </w:rPr>
        <w:t> </w:t>
      </w:r>
      <w:r>
        <w:rPr>
          <w:color w:val="0A0A0A"/>
        </w:rPr>
        <w:t>party that manages the</w:t>
      </w:r>
      <w:r>
        <w:rPr>
          <w:color w:val="0A0A0A"/>
          <w:spacing w:val="-9"/>
        </w:rPr>
        <w:t> </w:t>
      </w:r>
      <w:r>
        <w:rPr>
          <w:color w:val="0A0A0A"/>
        </w:rPr>
        <w:t>Council's leisure</w:t>
      </w:r>
      <w:r>
        <w:rPr>
          <w:color w:val="0A0A0A"/>
          <w:spacing w:val="-16"/>
        </w:rPr>
        <w:t> </w:t>
      </w:r>
      <w:r>
        <w:rPr>
          <w:color w:val="0A0A0A"/>
        </w:rPr>
        <w:t>centres.</w:t>
      </w:r>
      <w:r>
        <w:rPr>
          <w:color w:val="0A0A0A"/>
          <w:spacing w:val="-6"/>
        </w:rPr>
        <w:t> </w:t>
      </w:r>
      <w:r>
        <w:rPr>
          <w:color w:val="0A0A0A"/>
        </w:rPr>
        <w:t>The</w:t>
      </w:r>
      <w:r>
        <w:rPr>
          <w:color w:val="0A0A0A"/>
          <w:spacing w:val="-15"/>
        </w:rPr>
        <w:t> </w:t>
      </w:r>
      <w:r>
        <w:rPr>
          <w:color w:val="0A0A0A"/>
        </w:rPr>
        <w:t>loan</w:t>
      </w:r>
      <w:r>
        <w:rPr>
          <w:color w:val="0A0A0A"/>
          <w:spacing w:val="-16"/>
        </w:rPr>
        <w:t> </w:t>
      </w:r>
      <w:r>
        <w:rPr>
          <w:color w:val="0A0A0A"/>
        </w:rPr>
        <w:t>was</w:t>
      </w:r>
      <w:r>
        <w:rPr>
          <w:color w:val="0A0A0A"/>
          <w:spacing w:val="-5"/>
        </w:rPr>
        <w:t> </w:t>
      </w:r>
      <w:r>
        <w:rPr>
          <w:color w:val="0A0A0A"/>
        </w:rPr>
        <w:t>advanced</w:t>
      </w:r>
      <w:r>
        <w:rPr>
          <w:color w:val="0A0A0A"/>
          <w:spacing w:val="-6"/>
        </w:rPr>
        <w:t> </w:t>
      </w:r>
      <w:r>
        <w:rPr>
          <w:color w:val="0A0A0A"/>
        </w:rPr>
        <w:t>to</w:t>
      </w:r>
      <w:r>
        <w:rPr>
          <w:color w:val="0A0A0A"/>
          <w:spacing w:val="-16"/>
        </w:rPr>
        <w:t> </w:t>
      </w:r>
      <w:r>
        <w:rPr>
          <w:color w:val="0A0A0A"/>
        </w:rPr>
        <w:t>enhance</w:t>
      </w:r>
      <w:r>
        <w:rPr>
          <w:color w:val="0A0A0A"/>
          <w:spacing w:val="-7"/>
        </w:rPr>
        <w:t> </w:t>
      </w:r>
      <w:r>
        <w:rPr>
          <w:color w:val="0A0A0A"/>
        </w:rPr>
        <w:t>leisure</w:t>
      </w:r>
      <w:r>
        <w:rPr>
          <w:color w:val="0A0A0A"/>
          <w:spacing w:val="-6"/>
        </w:rPr>
        <w:t> </w:t>
      </w:r>
      <w:r>
        <w:rPr>
          <w:color w:val="0A0A0A"/>
        </w:rPr>
        <w:t>centre</w:t>
      </w:r>
      <w:r>
        <w:rPr>
          <w:color w:val="0A0A0A"/>
          <w:spacing w:val="-14"/>
        </w:rPr>
        <w:t> </w:t>
      </w:r>
      <w:r>
        <w:rPr>
          <w:color w:val="0A0A0A"/>
        </w:rPr>
        <w:t>revenue generating activities which would finance loan repayments</w:t>
      </w:r>
      <w:r>
        <w:rPr>
          <w:color w:val="3B3B3B"/>
        </w:rPr>
        <w:t>. </w:t>
      </w:r>
      <w:r>
        <w:rPr>
          <w:color w:val="0A0A0A"/>
        </w:rPr>
        <w:t>The Council supports the</w:t>
      </w:r>
      <w:r>
        <w:rPr>
          <w:color w:val="0A0A0A"/>
          <w:spacing w:val="-4"/>
        </w:rPr>
        <w:t> </w:t>
      </w:r>
      <w:r>
        <w:rPr>
          <w:color w:val="0A0A0A"/>
        </w:rPr>
        <w:t>view of the</w:t>
      </w:r>
      <w:r>
        <w:rPr>
          <w:color w:val="0A0A0A"/>
          <w:spacing w:val="-4"/>
        </w:rPr>
        <w:t> </w:t>
      </w:r>
      <w:r>
        <w:rPr>
          <w:color w:val="0A0A0A"/>
        </w:rPr>
        <w:t>third</w:t>
      </w:r>
      <w:r>
        <w:rPr>
          <w:color w:val="0A0A0A"/>
          <w:spacing w:val="-7"/>
        </w:rPr>
        <w:t> </w:t>
      </w:r>
      <w:r>
        <w:rPr>
          <w:color w:val="0A0A0A"/>
        </w:rPr>
        <w:t>party management team that a combination of their support measures and overall management will enable the company</w:t>
      </w:r>
      <w:r>
        <w:rPr>
          <w:color w:val="0A0A0A"/>
          <w:spacing w:val="-1"/>
        </w:rPr>
        <w:t> </w:t>
      </w:r>
      <w:r>
        <w:rPr>
          <w:color w:val="1F1F1F"/>
        </w:rPr>
        <w:t>to</w:t>
      </w:r>
      <w:r>
        <w:rPr>
          <w:color w:val="1F1F1F"/>
          <w:spacing w:val="-13"/>
        </w:rPr>
        <w:t> </w:t>
      </w:r>
      <w:r>
        <w:rPr>
          <w:color w:val="0A0A0A"/>
        </w:rPr>
        <w:t>fully recover </w:t>
      </w:r>
      <w:r>
        <w:rPr>
          <w:color w:val="1F1F1F"/>
        </w:rPr>
        <w:t>from</w:t>
      </w:r>
      <w:r>
        <w:rPr>
          <w:color w:val="1F1F1F"/>
          <w:spacing w:val="-11"/>
        </w:rPr>
        <w:t> </w:t>
      </w:r>
      <w:r>
        <w:rPr>
          <w:color w:val="0A0A0A"/>
        </w:rPr>
        <w:t>the</w:t>
      </w:r>
      <w:r>
        <w:rPr>
          <w:color w:val="0A0A0A"/>
          <w:spacing w:val="-9"/>
        </w:rPr>
        <w:t> </w:t>
      </w:r>
      <w:r>
        <w:rPr>
          <w:color w:val="0A0A0A"/>
        </w:rPr>
        <w:t>pandemic and</w:t>
      </w:r>
      <w:r>
        <w:rPr>
          <w:color w:val="0A0A0A"/>
          <w:spacing w:val="-7"/>
        </w:rPr>
        <w:t> </w:t>
      </w:r>
      <w:r>
        <w:rPr>
          <w:color w:val="1F1F1F"/>
        </w:rPr>
        <w:t>repay</w:t>
      </w:r>
      <w:r>
        <w:rPr>
          <w:color w:val="1F1F1F"/>
          <w:spacing w:val="-6"/>
        </w:rPr>
        <w:t> </w:t>
      </w:r>
      <w:r>
        <w:rPr>
          <w:color w:val="0A0A0A"/>
        </w:rPr>
        <w:t>the</w:t>
      </w:r>
      <w:r>
        <w:rPr>
          <w:color w:val="0A0A0A"/>
          <w:spacing w:val="-4"/>
        </w:rPr>
        <w:t> </w:t>
      </w:r>
      <w:r>
        <w:rPr>
          <w:color w:val="0A0A0A"/>
        </w:rPr>
        <w:t>loan</w:t>
      </w:r>
      <w:r>
        <w:rPr>
          <w:color w:val="0A0A0A"/>
          <w:spacing w:val="-4"/>
        </w:rPr>
        <w:t> </w:t>
      </w:r>
      <w:r>
        <w:rPr>
          <w:color w:val="0A0A0A"/>
        </w:rPr>
        <w:t>in</w:t>
      </w:r>
      <w:r>
        <w:rPr>
          <w:color w:val="0A0A0A"/>
          <w:spacing w:val="-15"/>
        </w:rPr>
        <w:t> </w:t>
      </w:r>
      <w:r>
        <w:rPr>
          <w:color w:val="0A0A0A"/>
        </w:rPr>
        <w:t>full</w:t>
      </w:r>
      <w:r>
        <w:rPr>
          <w:color w:val="0A0A0A"/>
          <w:spacing w:val="-11"/>
        </w:rPr>
        <w:t> </w:t>
      </w:r>
      <w:r>
        <w:rPr>
          <w:color w:val="0A0A0A"/>
        </w:rPr>
        <w:t>over the agreed extended period. The </w:t>
      </w:r>
      <w:r>
        <w:rPr>
          <w:color w:val="1F1F1F"/>
        </w:rPr>
        <w:t>Council </w:t>
      </w:r>
      <w:r>
        <w:rPr>
          <w:color w:val="0A0A0A"/>
        </w:rPr>
        <w:t>has </w:t>
      </w:r>
      <w:r>
        <w:rPr>
          <w:color w:val="1F1F1F"/>
        </w:rPr>
        <w:t>therefore </w:t>
      </w:r>
      <w:r>
        <w:rPr>
          <w:color w:val="0A0A0A"/>
        </w:rPr>
        <w:t>maintained the level of expected credit loss at 4% (2023: £175k, 2022: £203k) and this amount has been</w:t>
      </w:r>
      <w:r>
        <w:rPr>
          <w:color w:val="0A0A0A"/>
          <w:spacing w:val="-2"/>
        </w:rPr>
        <w:t> </w:t>
      </w:r>
      <w:r>
        <w:rPr>
          <w:color w:val="0A0A0A"/>
        </w:rPr>
        <w:t>earmarked against the</w:t>
      </w:r>
      <w:r>
        <w:rPr>
          <w:color w:val="0A0A0A"/>
          <w:spacing w:val="-9"/>
        </w:rPr>
        <w:t> </w:t>
      </w:r>
      <w:r>
        <w:rPr>
          <w:color w:val="0A0A0A"/>
        </w:rPr>
        <w:t>Council's usable capital</w:t>
      </w:r>
      <w:r>
        <w:rPr>
          <w:color w:val="0A0A0A"/>
          <w:spacing w:val="-4"/>
        </w:rPr>
        <w:t> </w:t>
      </w:r>
      <w:r>
        <w:rPr>
          <w:color w:val="0A0A0A"/>
        </w:rPr>
        <w:t>receipts (£5.138m at 31 March 2023).</w:t>
      </w:r>
    </w:p>
    <w:p>
      <w:pPr>
        <w:pStyle w:val="BodyText"/>
        <w:spacing w:before="242" w:line="237" w:lineRule="auto"/>
        <w:ind w:left="286" w:right="925" w:hanging="1"/>
        <w:jc w:val="both"/>
      </w:pPr>
      <w:r>
        <w:rPr>
          <w:color w:val="0A0A0A"/>
        </w:rPr>
        <w:t>The expected lifetime credit loss allowance is based on the provision matrices policies applied by the Council. This calculation, based on the age of debt outstanding, </w:t>
      </w:r>
      <w:r>
        <w:rPr>
          <w:color w:val="1F1F1F"/>
        </w:rPr>
        <w:t>is </w:t>
      </w:r>
      <w:r>
        <w:rPr>
          <w:color w:val="0A0A0A"/>
        </w:rPr>
        <w:t>adjusted for any improving or worsening position applicable to specific debtors.</w:t>
      </w:r>
    </w:p>
    <w:p>
      <w:pPr>
        <w:spacing w:after="0" w:line="237" w:lineRule="auto"/>
        <w:jc w:val="both"/>
        <w:sectPr>
          <w:type w:val="continuous"/>
          <w:pgSz w:w="11910" w:h="16830"/>
          <w:pgMar w:top="1940" w:right="300" w:bottom="280" w:left="0" w:header="716" w:footer="0"/>
          <w:cols w:equalWidth="0" w:num="2">
            <w:col w:w="3164" w:space="40"/>
            <w:col w:w="8406"/>
          </w:cols>
        </w:sectPr>
      </w:pPr>
    </w:p>
    <w:p>
      <w:pPr>
        <w:pStyle w:val="Heading3"/>
        <w:spacing w:before="232"/>
        <w:ind w:left="1527"/>
      </w:pPr>
      <w:r>
        <w:rPr>
          <w:color w:val="4F4F4F"/>
        </w:rPr>
        <w:t>Financial</w:t>
      </w:r>
      <w:r>
        <w:rPr>
          <w:color w:val="4F4F4F"/>
          <w:spacing w:val="-8"/>
        </w:rPr>
        <w:t> </w:t>
      </w:r>
      <w:r>
        <w:rPr>
          <w:color w:val="4F4F4F"/>
        </w:rPr>
        <w:t>Instruments</w:t>
      </w:r>
      <w:r>
        <w:rPr>
          <w:color w:val="4F4F4F"/>
          <w:spacing w:val="-2"/>
        </w:rPr>
        <w:t> </w:t>
      </w:r>
      <w:r>
        <w:rPr>
          <w:color w:val="4F4F4F"/>
        </w:rPr>
        <w:t>by</w:t>
      </w:r>
      <w:r>
        <w:rPr>
          <w:color w:val="4F4F4F"/>
          <w:spacing w:val="-15"/>
        </w:rPr>
        <w:t> </w:t>
      </w:r>
      <w:r>
        <w:rPr>
          <w:color w:val="4F4F4F"/>
          <w:spacing w:val="-2"/>
        </w:rPr>
        <w:t>Category</w:t>
      </w:r>
    </w:p>
    <w:p>
      <w:pPr>
        <w:pStyle w:val="BodyText"/>
        <w:spacing w:before="8"/>
        <w:rPr>
          <w:b/>
        </w:rPr>
      </w:pPr>
    </w:p>
    <w:p>
      <w:pPr>
        <w:spacing w:before="0"/>
        <w:ind w:left="1519" w:right="0" w:firstLine="0"/>
        <w:jc w:val="left"/>
        <w:rPr>
          <w:sz w:val="21"/>
        </w:rPr>
      </w:pPr>
      <w:r>
        <w:rPr>
          <w:color w:val="0F0F0F"/>
          <w:w w:val="105"/>
          <w:sz w:val="21"/>
        </w:rPr>
        <w:t>The</w:t>
      </w:r>
      <w:r>
        <w:rPr>
          <w:color w:val="0F0F0F"/>
          <w:spacing w:val="-10"/>
          <w:w w:val="105"/>
          <w:sz w:val="21"/>
        </w:rPr>
        <w:t> </w:t>
      </w:r>
      <w:r>
        <w:rPr>
          <w:color w:val="0F0F0F"/>
          <w:w w:val="105"/>
          <w:sz w:val="21"/>
        </w:rPr>
        <w:t>following</w:t>
      </w:r>
      <w:r>
        <w:rPr>
          <w:color w:val="0F0F0F"/>
          <w:spacing w:val="1"/>
          <w:w w:val="105"/>
          <w:sz w:val="21"/>
        </w:rPr>
        <w:t> </w:t>
      </w:r>
      <w:r>
        <w:rPr>
          <w:color w:val="0F0F0F"/>
          <w:w w:val="105"/>
          <w:sz w:val="21"/>
        </w:rPr>
        <w:t>categories</w:t>
      </w:r>
      <w:r>
        <w:rPr>
          <w:color w:val="0F0F0F"/>
          <w:spacing w:val="1"/>
          <w:w w:val="105"/>
          <w:sz w:val="21"/>
        </w:rPr>
        <w:t> </w:t>
      </w:r>
      <w:r>
        <w:rPr>
          <w:color w:val="0F0F0F"/>
          <w:w w:val="105"/>
          <w:sz w:val="21"/>
        </w:rPr>
        <w:t>of</w:t>
      </w:r>
      <w:r>
        <w:rPr>
          <w:color w:val="0F0F0F"/>
          <w:spacing w:val="-12"/>
          <w:w w:val="105"/>
          <w:sz w:val="21"/>
        </w:rPr>
        <w:t> </w:t>
      </w:r>
      <w:r>
        <w:rPr>
          <w:color w:val="0F0F0F"/>
          <w:w w:val="105"/>
          <w:sz w:val="21"/>
        </w:rPr>
        <w:t>financial</w:t>
      </w:r>
      <w:r>
        <w:rPr>
          <w:color w:val="0F0F0F"/>
          <w:spacing w:val="-10"/>
          <w:w w:val="105"/>
          <w:sz w:val="21"/>
        </w:rPr>
        <w:t> </w:t>
      </w:r>
      <w:r>
        <w:rPr>
          <w:color w:val="0F0F0F"/>
          <w:w w:val="105"/>
          <w:sz w:val="21"/>
        </w:rPr>
        <w:t>instruments</w:t>
      </w:r>
      <w:r>
        <w:rPr>
          <w:color w:val="0F0F0F"/>
          <w:spacing w:val="1"/>
          <w:w w:val="105"/>
          <w:sz w:val="21"/>
        </w:rPr>
        <w:t> </w:t>
      </w:r>
      <w:r>
        <w:rPr>
          <w:color w:val="0F0F0F"/>
          <w:w w:val="105"/>
          <w:sz w:val="21"/>
        </w:rPr>
        <w:t>are</w:t>
      </w:r>
      <w:r>
        <w:rPr>
          <w:color w:val="0F0F0F"/>
          <w:spacing w:val="-11"/>
          <w:w w:val="105"/>
          <w:sz w:val="21"/>
        </w:rPr>
        <w:t> </w:t>
      </w:r>
      <w:r>
        <w:rPr>
          <w:color w:val="0F0F0F"/>
          <w:w w:val="105"/>
          <w:sz w:val="21"/>
        </w:rPr>
        <w:t>carried</w:t>
      </w:r>
      <w:r>
        <w:rPr>
          <w:color w:val="0F0F0F"/>
          <w:spacing w:val="-8"/>
          <w:w w:val="105"/>
          <w:sz w:val="21"/>
        </w:rPr>
        <w:t> </w:t>
      </w:r>
      <w:r>
        <w:rPr>
          <w:color w:val="0F0F0F"/>
          <w:w w:val="105"/>
          <w:sz w:val="21"/>
        </w:rPr>
        <w:t>in</w:t>
      </w:r>
      <w:r>
        <w:rPr>
          <w:color w:val="0F0F0F"/>
          <w:spacing w:val="-6"/>
          <w:w w:val="105"/>
          <w:sz w:val="21"/>
        </w:rPr>
        <w:t> </w:t>
      </w:r>
      <w:r>
        <w:rPr>
          <w:color w:val="0F0F0F"/>
          <w:w w:val="105"/>
          <w:sz w:val="21"/>
        </w:rPr>
        <w:t>the</w:t>
      </w:r>
      <w:r>
        <w:rPr>
          <w:color w:val="0F0F0F"/>
          <w:spacing w:val="-12"/>
          <w:w w:val="105"/>
          <w:sz w:val="21"/>
        </w:rPr>
        <w:t> </w:t>
      </w:r>
      <w:r>
        <w:rPr>
          <w:color w:val="0F0F0F"/>
          <w:w w:val="105"/>
          <w:sz w:val="21"/>
        </w:rPr>
        <w:t>Balance</w:t>
      </w:r>
      <w:r>
        <w:rPr>
          <w:color w:val="0F0F0F"/>
          <w:spacing w:val="-3"/>
          <w:w w:val="105"/>
          <w:sz w:val="21"/>
        </w:rPr>
        <w:t> </w:t>
      </w:r>
      <w:r>
        <w:rPr>
          <w:color w:val="0F0F0F"/>
          <w:spacing w:val="-2"/>
          <w:w w:val="105"/>
          <w:sz w:val="21"/>
        </w:rPr>
        <w:t>Sheet.</w:t>
      </w:r>
    </w:p>
    <w:p>
      <w:pPr>
        <w:pStyle w:val="BodyText"/>
        <w:rPr>
          <w:sz w:val="20"/>
        </w:rPr>
      </w:pPr>
    </w:p>
    <w:p>
      <w:pPr>
        <w:pStyle w:val="BodyText"/>
        <w:rPr>
          <w:sz w:val="20"/>
        </w:rPr>
      </w:pPr>
    </w:p>
    <w:p>
      <w:pPr>
        <w:pStyle w:val="BodyText"/>
        <w:spacing w:before="45"/>
        <w:rPr>
          <w:sz w:val="20"/>
        </w:rPr>
      </w:pPr>
    </w:p>
    <w:tbl>
      <w:tblPr>
        <w:tblW w:w="0" w:type="auto"/>
        <w:jc w:val="left"/>
        <w:tblInd w:w="15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2147"/>
        <w:gridCol w:w="1348"/>
        <w:gridCol w:w="1037"/>
        <w:gridCol w:w="1401"/>
        <w:gridCol w:w="1129"/>
        <w:gridCol w:w="1286"/>
      </w:tblGrid>
      <w:tr>
        <w:trPr>
          <w:trHeight w:val="449" w:hRule="atLeast"/>
        </w:trPr>
        <w:tc>
          <w:tcPr>
            <w:tcW w:w="3495" w:type="dxa"/>
            <w:gridSpan w:val="2"/>
            <w:vMerge w:val="restart"/>
          </w:tcPr>
          <w:p>
            <w:pPr>
              <w:pStyle w:val="TableParagraph"/>
              <w:rPr>
                <w:rFonts w:ascii="Times New Roman"/>
                <w:sz w:val="18"/>
              </w:rPr>
            </w:pPr>
          </w:p>
        </w:tc>
        <w:tc>
          <w:tcPr>
            <w:tcW w:w="1037" w:type="dxa"/>
          </w:tcPr>
          <w:p>
            <w:pPr>
              <w:pStyle w:val="TableParagraph"/>
              <w:spacing w:line="212" w:lineRule="exact"/>
              <w:ind w:left="324"/>
              <w:rPr>
                <w:b/>
                <w:sz w:val="19"/>
              </w:rPr>
            </w:pPr>
            <w:r>
              <w:rPr>
                <w:b/>
                <w:color w:val="0F0F0F"/>
                <w:spacing w:val="-4"/>
                <w:w w:val="105"/>
                <w:sz w:val="19"/>
              </w:rPr>
              <w:t>Fair</w:t>
            </w:r>
          </w:p>
          <w:p>
            <w:pPr>
              <w:pStyle w:val="TableParagraph"/>
              <w:spacing w:before="7" w:line="210" w:lineRule="exact"/>
              <w:ind w:left="237"/>
              <w:rPr>
                <w:b/>
                <w:sz w:val="19"/>
              </w:rPr>
            </w:pPr>
            <w:r>
              <w:rPr>
                <w:b/>
                <w:color w:val="0F0F0F"/>
                <w:spacing w:val="-2"/>
                <w:w w:val="105"/>
                <w:sz w:val="19"/>
              </w:rPr>
              <w:t>Value</w:t>
            </w:r>
          </w:p>
        </w:tc>
        <w:tc>
          <w:tcPr>
            <w:tcW w:w="1401" w:type="dxa"/>
          </w:tcPr>
          <w:p>
            <w:pPr>
              <w:pStyle w:val="TableParagraph"/>
              <w:spacing w:before="6"/>
              <w:rPr>
                <w:sz w:val="19"/>
              </w:rPr>
            </w:pPr>
          </w:p>
          <w:p>
            <w:pPr>
              <w:pStyle w:val="TableParagraph"/>
              <w:spacing w:line="205" w:lineRule="exact"/>
              <w:ind w:left="445"/>
              <w:rPr>
                <w:b/>
                <w:sz w:val="19"/>
              </w:rPr>
            </w:pPr>
            <w:r>
              <w:rPr>
                <w:b/>
                <w:color w:val="0F0F0F"/>
                <w:spacing w:val="-4"/>
                <w:w w:val="105"/>
                <w:sz w:val="19"/>
              </w:rPr>
              <w:t>Non-</w:t>
            </w:r>
          </w:p>
        </w:tc>
        <w:tc>
          <w:tcPr>
            <w:tcW w:w="1129" w:type="dxa"/>
          </w:tcPr>
          <w:p>
            <w:pPr>
              <w:pStyle w:val="TableParagraph"/>
              <w:spacing w:before="1"/>
              <w:rPr>
                <w:sz w:val="19"/>
              </w:rPr>
            </w:pPr>
          </w:p>
          <w:p>
            <w:pPr>
              <w:pStyle w:val="TableParagraph"/>
              <w:spacing w:line="210" w:lineRule="exact"/>
              <w:ind w:right="195"/>
              <w:jc w:val="right"/>
              <w:rPr>
                <w:b/>
                <w:sz w:val="19"/>
              </w:rPr>
            </w:pPr>
            <w:r>
              <w:rPr>
                <w:b/>
                <w:color w:val="0F0F0F"/>
                <w:spacing w:val="-2"/>
                <w:w w:val="105"/>
                <w:sz w:val="19"/>
              </w:rPr>
              <w:t>Balance</w:t>
            </w:r>
          </w:p>
        </w:tc>
        <w:tc>
          <w:tcPr>
            <w:tcW w:w="1286" w:type="dxa"/>
          </w:tcPr>
          <w:p>
            <w:pPr>
              <w:pStyle w:val="TableParagraph"/>
              <w:spacing w:before="1"/>
              <w:rPr>
                <w:sz w:val="19"/>
              </w:rPr>
            </w:pPr>
          </w:p>
          <w:p>
            <w:pPr>
              <w:pStyle w:val="TableParagraph"/>
              <w:spacing w:line="210" w:lineRule="exact"/>
              <w:ind w:left="262"/>
              <w:rPr>
                <w:b/>
                <w:sz w:val="19"/>
              </w:rPr>
            </w:pPr>
            <w:r>
              <w:rPr>
                <w:b/>
                <w:color w:val="0F0F0F"/>
                <w:spacing w:val="-2"/>
                <w:w w:val="105"/>
                <w:sz w:val="19"/>
              </w:rPr>
              <w:t>Financial</w:t>
            </w:r>
          </w:p>
        </w:tc>
      </w:tr>
      <w:tr>
        <w:trPr>
          <w:trHeight w:val="228" w:hRule="atLeast"/>
        </w:trPr>
        <w:tc>
          <w:tcPr>
            <w:tcW w:w="3495" w:type="dxa"/>
            <w:gridSpan w:val="2"/>
            <w:vMerge/>
            <w:tcBorders>
              <w:top w:val="nil"/>
            </w:tcBorders>
          </w:tcPr>
          <w:p>
            <w:pPr>
              <w:rPr>
                <w:sz w:val="2"/>
                <w:szCs w:val="2"/>
              </w:rPr>
            </w:pPr>
          </w:p>
        </w:tc>
        <w:tc>
          <w:tcPr>
            <w:tcW w:w="1037" w:type="dxa"/>
          </w:tcPr>
          <w:p>
            <w:pPr>
              <w:pStyle w:val="TableParagraph"/>
              <w:spacing w:line="208" w:lineRule="exact"/>
              <w:ind w:right="157"/>
              <w:jc w:val="right"/>
              <w:rPr>
                <w:b/>
                <w:sz w:val="19"/>
              </w:rPr>
            </w:pPr>
            <w:r>
              <w:rPr>
                <w:b/>
                <w:color w:val="0F0F0F"/>
                <w:spacing w:val="-2"/>
                <w:w w:val="105"/>
                <w:sz w:val="19"/>
              </w:rPr>
              <w:t>through</w:t>
            </w:r>
          </w:p>
        </w:tc>
        <w:tc>
          <w:tcPr>
            <w:tcW w:w="1401" w:type="dxa"/>
          </w:tcPr>
          <w:p>
            <w:pPr>
              <w:pStyle w:val="TableParagraph"/>
              <w:spacing w:line="208" w:lineRule="exact"/>
              <w:ind w:left="265"/>
              <w:rPr>
                <w:b/>
                <w:sz w:val="19"/>
              </w:rPr>
            </w:pPr>
            <w:r>
              <w:rPr>
                <w:b/>
                <w:color w:val="0F0F0F"/>
                <w:spacing w:val="-2"/>
                <w:w w:val="105"/>
                <w:sz w:val="19"/>
              </w:rPr>
              <w:t>financial</w:t>
            </w:r>
          </w:p>
        </w:tc>
        <w:tc>
          <w:tcPr>
            <w:tcW w:w="1129" w:type="dxa"/>
          </w:tcPr>
          <w:p>
            <w:pPr>
              <w:pStyle w:val="TableParagraph"/>
              <w:spacing w:line="208" w:lineRule="exact"/>
              <w:ind w:left="282"/>
              <w:rPr>
                <w:b/>
                <w:sz w:val="19"/>
              </w:rPr>
            </w:pPr>
            <w:r>
              <w:rPr>
                <w:b/>
                <w:color w:val="0F0F0F"/>
                <w:spacing w:val="-4"/>
                <w:w w:val="105"/>
                <w:sz w:val="19"/>
              </w:rPr>
              <w:t>Sheet</w:t>
            </w:r>
          </w:p>
        </w:tc>
        <w:tc>
          <w:tcPr>
            <w:tcW w:w="1286" w:type="dxa"/>
          </w:tcPr>
          <w:p>
            <w:pPr>
              <w:pStyle w:val="TableParagraph"/>
              <w:spacing w:line="208" w:lineRule="exact"/>
              <w:ind w:right="23"/>
              <w:jc w:val="right"/>
              <w:rPr>
                <w:b/>
                <w:sz w:val="19"/>
              </w:rPr>
            </w:pPr>
            <w:r>
              <w:rPr>
                <w:b/>
                <w:color w:val="0F0F0F"/>
                <w:spacing w:val="-2"/>
                <w:w w:val="105"/>
                <w:sz w:val="19"/>
              </w:rPr>
              <w:t>Instruments</w:t>
            </w:r>
          </w:p>
        </w:tc>
      </w:tr>
      <w:tr>
        <w:trPr>
          <w:trHeight w:val="922" w:hRule="atLeast"/>
        </w:trPr>
        <w:tc>
          <w:tcPr>
            <w:tcW w:w="2147" w:type="dxa"/>
          </w:tcPr>
          <w:p>
            <w:pPr>
              <w:pStyle w:val="TableParagraph"/>
              <w:spacing w:before="2" w:line="462" w:lineRule="exact"/>
              <w:ind w:left="88" w:firstLine="6"/>
              <w:rPr>
                <w:b/>
                <w:sz w:val="19"/>
              </w:rPr>
            </w:pPr>
            <w:r>
              <w:rPr>
                <w:b/>
                <w:color w:val="0F0F0F"/>
                <w:w w:val="105"/>
                <w:sz w:val="19"/>
              </w:rPr>
              <w:t>31 March 2022 </w:t>
            </w:r>
            <w:r>
              <w:rPr>
                <w:b/>
                <w:color w:val="0F0F0F"/>
                <w:spacing w:val="-2"/>
                <w:w w:val="105"/>
                <w:sz w:val="19"/>
              </w:rPr>
              <w:t>Financial</w:t>
            </w:r>
            <w:r>
              <w:rPr>
                <w:b/>
                <w:color w:val="0F0F0F"/>
                <w:spacing w:val="-12"/>
                <w:w w:val="105"/>
                <w:sz w:val="19"/>
              </w:rPr>
              <w:t> </w:t>
            </w:r>
            <w:r>
              <w:rPr>
                <w:b/>
                <w:color w:val="0F0F0F"/>
                <w:spacing w:val="-2"/>
                <w:w w:val="105"/>
                <w:sz w:val="19"/>
              </w:rPr>
              <w:t>Assets</w:t>
            </w:r>
          </w:p>
        </w:tc>
        <w:tc>
          <w:tcPr>
            <w:tcW w:w="1348" w:type="dxa"/>
          </w:tcPr>
          <w:p>
            <w:pPr>
              <w:pStyle w:val="TableParagraph"/>
              <w:spacing w:before="8" w:line="254" w:lineRule="auto"/>
              <w:ind w:left="80"/>
              <w:jc w:val="center"/>
              <w:rPr>
                <w:b/>
                <w:sz w:val="19"/>
              </w:rPr>
            </w:pPr>
            <w:r>
              <w:rPr>
                <w:b/>
                <w:color w:val="0F0F0F"/>
                <w:spacing w:val="-2"/>
                <w:w w:val="105"/>
                <w:sz w:val="19"/>
              </w:rPr>
              <w:t>Amortised </w:t>
            </w:r>
            <w:r>
              <w:rPr>
                <w:b/>
                <w:color w:val="0F0F0F"/>
                <w:spacing w:val="-4"/>
                <w:w w:val="105"/>
                <w:sz w:val="19"/>
              </w:rPr>
              <w:t>Cost</w:t>
            </w:r>
          </w:p>
          <w:p>
            <w:pPr>
              <w:pStyle w:val="TableParagraph"/>
              <w:spacing w:line="217" w:lineRule="exact"/>
              <w:ind w:left="80" w:right="3"/>
              <w:jc w:val="center"/>
              <w:rPr>
                <w:b/>
                <w:sz w:val="19"/>
              </w:rPr>
            </w:pPr>
            <w:r>
              <w:rPr>
                <w:b/>
                <w:color w:val="0F0F0F"/>
                <w:spacing w:val="-4"/>
                <w:w w:val="105"/>
                <w:sz w:val="19"/>
              </w:rPr>
              <w:t>£000</w:t>
            </w:r>
          </w:p>
        </w:tc>
        <w:tc>
          <w:tcPr>
            <w:tcW w:w="1037" w:type="dxa"/>
          </w:tcPr>
          <w:p>
            <w:pPr>
              <w:pStyle w:val="TableParagraph"/>
              <w:spacing w:before="3" w:line="254" w:lineRule="auto"/>
              <w:ind w:left="10" w:right="45"/>
              <w:jc w:val="center"/>
              <w:rPr>
                <w:b/>
                <w:sz w:val="19"/>
              </w:rPr>
            </w:pPr>
            <w:r>
              <w:rPr>
                <w:b/>
                <w:color w:val="0F0F0F"/>
                <w:w w:val="105"/>
                <w:sz w:val="19"/>
              </w:rPr>
              <w:t>profit</w:t>
            </w:r>
            <w:r>
              <w:rPr>
                <w:b/>
                <w:color w:val="0F0F0F"/>
                <w:spacing w:val="-14"/>
                <w:w w:val="105"/>
                <w:sz w:val="19"/>
              </w:rPr>
              <w:t> </w:t>
            </w:r>
            <w:r>
              <w:rPr>
                <w:b/>
                <w:color w:val="0F0F0F"/>
                <w:w w:val="105"/>
                <w:sz w:val="19"/>
              </w:rPr>
              <w:t>or </w:t>
            </w:r>
            <w:r>
              <w:rPr>
                <w:b/>
                <w:color w:val="0F0F0F"/>
                <w:spacing w:val="-4"/>
                <w:w w:val="105"/>
                <w:sz w:val="19"/>
              </w:rPr>
              <w:t>loss</w:t>
            </w:r>
          </w:p>
          <w:p>
            <w:pPr>
              <w:pStyle w:val="TableParagraph"/>
              <w:spacing w:before="3"/>
              <w:ind w:right="45"/>
              <w:jc w:val="center"/>
              <w:rPr>
                <w:b/>
                <w:sz w:val="19"/>
              </w:rPr>
            </w:pPr>
            <w:r>
              <w:rPr>
                <w:b/>
                <w:color w:val="0F0F0F"/>
                <w:spacing w:val="-4"/>
                <w:w w:val="105"/>
                <w:sz w:val="19"/>
              </w:rPr>
              <w:t>£000</w:t>
            </w:r>
          </w:p>
        </w:tc>
        <w:tc>
          <w:tcPr>
            <w:tcW w:w="1401" w:type="dxa"/>
          </w:tcPr>
          <w:p>
            <w:pPr>
              <w:pStyle w:val="TableParagraph"/>
              <w:spacing w:before="3" w:line="259" w:lineRule="auto"/>
              <w:ind w:left="3" w:right="74"/>
              <w:jc w:val="center"/>
              <w:rPr>
                <w:b/>
                <w:sz w:val="19"/>
              </w:rPr>
            </w:pPr>
            <w:r>
              <w:rPr>
                <w:b/>
                <w:color w:val="0F0F0F"/>
                <w:spacing w:val="-2"/>
                <w:sz w:val="19"/>
              </w:rPr>
              <w:t>instrument </w:t>
            </w:r>
            <w:r>
              <w:rPr>
                <w:b/>
                <w:color w:val="0F0F0F"/>
                <w:spacing w:val="-2"/>
                <w:w w:val="105"/>
                <w:sz w:val="19"/>
              </w:rPr>
              <w:t>balances</w:t>
            </w:r>
          </w:p>
          <w:p>
            <w:pPr>
              <w:pStyle w:val="TableParagraph"/>
              <w:spacing w:line="213" w:lineRule="exact"/>
              <w:ind w:right="74"/>
              <w:jc w:val="center"/>
              <w:rPr>
                <w:b/>
                <w:sz w:val="19"/>
              </w:rPr>
            </w:pPr>
            <w:r>
              <w:rPr>
                <w:b/>
                <w:color w:val="0F0F0F"/>
                <w:spacing w:val="-4"/>
                <w:w w:val="105"/>
                <w:sz w:val="19"/>
              </w:rPr>
              <w:t>£000</w:t>
            </w:r>
          </w:p>
        </w:tc>
        <w:tc>
          <w:tcPr>
            <w:tcW w:w="1129" w:type="dxa"/>
          </w:tcPr>
          <w:p>
            <w:pPr>
              <w:pStyle w:val="TableParagraph"/>
              <w:spacing w:before="3" w:line="259" w:lineRule="auto"/>
              <w:ind w:right="44"/>
              <w:jc w:val="center"/>
              <w:rPr>
                <w:b/>
                <w:sz w:val="19"/>
              </w:rPr>
            </w:pPr>
            <w:r>
              <w:rPr>
                <w:b/>
                <w:color w:val="0F0F0F"/>
                <w:spacing w:val="-2"/>
                <w:w w:val="105"/>
                <w:sz w:val="19"/>
              </w:rPr>
              <w:t>carrying amount</w:t>
            </w:r>
          </w:p>
          <w:p>
            <w:pPr>
              <w:pStyle w:val="TableParagraph"/>
              <w:spacing w:line="213" w:lineRule="exact"/>
              <w:ind w:left="6" w:right="44"/>
              <w:jc w:val="center"/>
              <w:rPr>
                <w:b/>
                <w:sz w:val="19"/>
              </w:rPr>
            </w:pPr>
            <w:r>
              <w:rPr>
                <w:b/>
                <w:color w:val="0F0F0F"/>
                <w:spacing w:val="-4"/>
                <w:w w:val="105"/>
                <w:sz w:val="19"/>
              </w:rPr>
              <w:t>£000</w:t>
            </w:r>
          </w:p>
        </w:tc>
        <w:tc>
          <w:tcPr>
            <w:tcW w:w="1286" w:type="dxa"/>
          </w:tcPr>
          <w:p>
            <w:pPr>
              <w:pStyle w:val="TableParagraph"/>
              <w:spacing w:before="3" w:line="254" w:lineRule="auto"/>
              <w:ind w:left="98"/>
              <w:jc w:val="center"/>
              <w:rPr>
                <w:b/>
                <w:sz w:val="19"/>
              </w:rPr>
            </w:pPr>
            <w:r>
              <w:rPr>
                <w:b/>
                <w:color w:val="0F0F0F"/>
                <w:spacing w:val="-2"/>
                <w:sz w:val="19"/>
              </w:rPr>
              <w:t>Impairment </w:t>
            </w:r>
            <w:r>
              <w:rPr>
                <w:b/>
                <w:color w:val="0F0F0F"/>
                <w:spacing w:val="-2"/>
                <w:w w:val="105"/>
                <w:sz w:val="19"/>
              </w:rPr>
              <w:t>Allowance</w:t>
            </w:r>
          </w:p>
          <w:p>
            <w:pPr>
              <w:pStyle w:val="TableParagraph"/>
              <w:spacing w:line="217" w:lineRule="exact"/>
              <w:ind w:left="98" w:right="5"/>
              <w:jc w:val="center"/>
              <w:rPr>
                <w:b/>
                <w:sz w:val="19"/>
              </w:rPr>
            </w:pPr>
            <w:r>
              <w:rPr>
                <w:b/>
                <w:color w:val="0F0F0F"/>
                <w:spacing w:val="-4"/>
                <w:w w:val="105"/>
                <w:sz w:val="19"/>
              </w:rPr>
              <w:t>£000</w:t>
            </w:r>
          </w:p>
        </w:tc>
      </w:tr>
      <w:tr>
        <w:trPr>
          <w:trHeight w:val="227" w:hRule="atLeast"/>
        </w:trPr>
        <w:tc>
          <w:tcPr>
            <w:tcW w:w="2147" w:type="dxa"/>
          </w:tcPr>
          <w:p>
            <w:pPr>
              <w:pStyle w:val="TableParagraph"/>
              <w:spacing w:line="207" w:lineRule="exact"/>
              <w:ind w:left="88"/>
              <w:rPr>
                <w:sz w:val="19"/>
              </w:rPr>
            </w:pPr>
            <w:r>
              <w:rPr>
                <w:color w:val="0F0F0F"/>
                <w:w w:val="105"/>
                <w:sz w:val="19"/>
              </w:rPr>
              <w:t>Long</w:t>
            </w:r>
            <w:r>
              <w:rPr>
                <w:color w:val="0F0F0F"/>
                <w:spacing w:val="-9"/>
                <w:w w:val="105"/>
                <w:sz w:val="19"/>
              </w:rPr>
              <w:t> </w:t>
            </w:r>
            <w:r>
              <w:rPr>
                <w:color w:val="0F0F0F"/>
                <w:spacing w:val="-4"/>
                <w:w w:val="105"/>
                <w:sz w:val="19"/>
              </w:rPr>
              <w:t>Term</w:t>
            </w:r>
          </w:p>
        </w:tc>
        <w:tc>
          <w:tcPr>
            <w:tcW w:w="1348" w:type="dxa"/>
          </w:tcPr>
          <w:p>
            <w:pPr>
              <w:pStyle w:val="TableParagraph"/>
              <w:rPr>
                <w:rFonts w:ascii="Times New Roman"/>
                <w:sz w:val="16"/>
              </w:rPr>
            </w:pPr>
          </w:p>
        </w:tc>
        <w:tc>
          <w:tcPr>
            <w:tcW w:w="1037" w:type="dxa"/>
          </w:tcPr>
          <w:p>
            <w:pPr>
              <w:pStyle w:val="TableParagraph"/>
              <w:rPr>
                <w:rFonts w:ascii="Times New Roman"/>
                <w:sz w:val="16"/>
              </w:rPr>
            </w:pPr>
          </w:p>
        </w:tc>
        <w:tc>
          <w:tcPr>
            <w:tcW w:w="1401" w:type="dxa"/>
          </w:tcPr>
          <w:p>
            <w:pPr>
              <w:pStyle w:val="TableParagraph"/>
              <w:rPr>
                <w:rFonts w:ascii="Times New Roman"/>
                <w:sz w:val="16"/>
              </w:rPr>
            </w:pPr>
          </w:p>
        </w:tc>
        <w:tc>
          <w:tcPr>
            <w:tcW w:w="1129" w:type="dxa"/>
          </w:tcPr>
          <w:p>
            <w:pPr>
              <w:pStyle w:val="TableParagraph"/>
              <w:rPr>
                <w:rFonts w:ascii="Times New Roman"/>
                <w:sz w:val="16"/>
              </w:rPr>
            </w:pPr>
          </w:p>
        </w:tc>
        <w:tc>
          <w:tcPr>
            <w:tcW w:w="1286" w:type="dxa"/>
          </w:tcPr>
          <w:p>
            <w:pPr>
              <w:pStyle w:val="TableParagraph"/>
              <w:rPr>
                <w:rFonts w:ascii="Times New Roman"/>
                <w:sz w:val="16"/>
              </w:rPr>
            </w:pPr>
          </w:p>
        </w:tc>
      </w:tr>
      <w:tr>
        <w:trPr>
          <w:trHeight w:val="233" w:hRule="atLeast"/>
        </w:trPr>
        <w:tc>
          <w:tcPr>
            <w:tcW w:w="2147" w:type="dxa"/>
          </w:tcPr>
          <w:p>
            <w:pPr>
              <w:pStyle w:val="TableParagraph"/>
              <w:spacing w:before="3" w:line="210" w:lineRule="exact"/>
              <w:ind w:left="79"/>
              <w:rPr>
                <w:sz w:val="19"/>
              </w:rPr>
            </w:pPr>
            <w:r>
              <w:rPr>
                <w:color w:val="0F0F0F"/>
                <w:spacing w:val="-2"/>
                <w:w w:val="105"/>
                <w:sz w:val="19"/>
              </w:rPr>
              <w:t>Investments</w:t>
            </w:r>
          </w:p>
        </w:tc>
        <w:tc>
          <w:tcPr>
            <w:tcW w:w="1348" w:type="dxa"/>
          </w:tcPr>
          <w:p>
            <w:pPr>
              <w:pStyle w:val="TableParagraph"/>
              <w:spacing w:before="8" w:line="205" w:lineRule="exact"/>
              <w:ind w:right="110"/>
              <w:jc w:val="right"/>
              <w:rPr>
                <w:sz w:val="19"/>
              </w:rPr>
            </w:pPr>
            <w:r>
              <w:rPr>
                <w:color w:val="0F0F0F"/>
                <w:spacing w:val="-2"/>
                <w:w w:val="105"/>
                <w:sz w:val="19"/>
              </w:rPr>
              <w:t>5,000</w:t>
            </w:r>
          </w:p>
        </w:tc>
        <w:tc>
          <w:tcPr>
            <w:tcW w:w="1037" w:type="dxa"/>
          </w:tcPr>
          <w:p>
            <w:pPr>
              <w:pStyle w:val="TableParagraph"/>
              <w:rPr>
                <w:rFonts w:ascii="Times New Roman"/>
                <w:sz w:val="16"/>
              </w:rPr>
            </w:pPr>
          </w:p>
        </w:tc>
        <w:tc>
          <w:tcPr>
            <w:tcW w:w="1401" w:type="dxa"/>
          </w:tcPr>
          <w:p>
            <w:pPr>
              <w:pStyle w:val="TableParagraph"/>
              <w:rPr>
                <w:rFonts w:ascii="Times New Roman"/>
                <w:sz w:val="16"/>
              </w:rPr>
            </w:pPr>
          </w:p>
        </w:tc>
        <w:tc>
          <w:tcPr>
            <w:tcW w:w="1129" w:type="dxa"/>
          </w:tcPr>
          <w:p>
            <w:pPr>
              <w:pStyle w:val="TableParagraph"/>
              <w:spacing w:before="8" w:line="205" w:lineRule="exact"/>
              <w:ind w:right="124"/>
              <w:jc w:val="right"/>
              <w:rPr>
                <w:sz w:val="19"/>
              </w:rPr>
            </w:pPr>
            <w:r>
              <w:rPr>
                <w:color w:val="0F0F0F"/>
                <w:spacing w:val="-2"/>
                <w:w w:val="105"/>
                <w:sz w:val="19"/>
              </w:rPr>
              <w:t>5,000</w:t>
            </w:r>
          </w:p>
        </w:tc>
        <w:tc>
          <w:tcPr>
            <w:tcW w:w="1286" w:type="dxa"/>
          </w:tcPr>
          <w:p>
            <w:pPr>
              <w:pStyle w:val="TableParagraph"/>
              <w:spacing w:before="3" w:line="210" w:lineRule="exact"/>
              <w:ind w:right="-15"/>
              <w:jc w:val="right"/>
              <w:rPr>
                <w:sz w:val="19"/>
              </w:rPr>
            </w:pPr>
            <w:r>
              <w:rPr>
                <w:color w:val="0F0F0F"/>
                <w:spacing w:val="-4"/>
                <w:w w:val="105"/>
                <w:sz w:val="19"/>
              </w:rPr>
              <w:t>(20)</w:t>
            </w:r>
          </w:p>
        </w:tc>
      </w:tr>
      <w:tr>
        <w:trPr>
          <w:trHeight w:val="458" w:hRule="atLeast"/>
        </w:trPr>
        <w:tc>
          <w:tcPr>
            <w:tcW w:w="2147" w:type="dxa"/>
          </w:tcPr>
          <w:p>
            <w:pPr>
              <w:pStyle w:val="TableParagraph"/>
              <w:ind w:left="83"/>
              <w:rPr>
                <w:sz w:val="19"/>
              </w:rPr>
            </w:pPr>
            <w:r>
              <w:rPr>
                <w:color w:val="0F0F0F"/>
                <w:w w:val="105"/>
                <w:sz w:val="19"/>
              </w:rPr>
              <w:t>Long</w:t>
            </w:r>
            <w:r>
              <w:rPr>
                <w:color w:val="0F0F0F"/>
                <w:spacing w:val="-5"/>
                <w:w w:val="105"/>
                <w:sz w:val="19"/>
              </w:rPr>
              <w:t> </w:t>
            </w:r>
            <w:r>
              <w:rPr>
                <w:color w:val="0F0F0F"/>
                <w:w w:val="105"/>
                <w:sz w:val="19"/>
              </w:rPr>
              <w:t>Term</w:t>
            </w:r>
            <w:r>
              <w:rPr>
                <w:color w:val="0F0F0F"/>
                <w:spacing w:val="-3"/>
                <w:w w:val="105"/>
                <w:sz w:val="19"/>
              </w:rPr>
              <w:t> </w:t>
            </w:r>
            <w:r>
              <w:rPr>
                <w:color w:val="0F0F0F"/>
                <w:spacing w:val="-2"/>
                <w:w w:val="105"/>
                <w:sz w:val="19"/>
              </w:rPr>
              <w:t>Debtors</w:t>
            </w:r>
          </w:p>
          <w:p>
            <w:pPr>
              <w:pStyle w:val="TableParagraph"/>
              <w:spacing w:before="13" w:line="208" w:lineRule="exact"/>
              <w:ind w:left="79"/>
              <w:rPr>
                <w:sz w:val="19"/>
              </w:rPr>
            </w:pPr>
            <w:r>
              <w:rPr>
                <w:color w:val="0F0F0F"/>
                <w:w w:val="105"/>
                <w:sz w:val="19"/>
              </w:rPr>
              <w:t>Short</w:t>
            </w:r>
            <w:r>
              <w:rPr>
                <w:color w:val="0F0F0F"/>
                <w:spacing w:val="-9"/>
                <w:w w:val="105"/>
                <w:sz w:val="19"/>
              </w:rPr>
              <w:t> </w:t>
            </w:r>
            <w:r>
              <w:rPr>
                <w:color w:val="0F0F0F"/>
                <w:spacing w:val="-4"/>
                <w:w w:val="105"/>
                <w:sz w:val="19"/>
              </w:rPr>
              <w:t>Term</w:t>
            </w:r>
          </w:p>
        </w:tc>
        <w:tc>
          <w:tcPr>
            <w:tcW w:w="1348" w:type="dxa"/>
          </w:tcPr>
          <w:p>
            <w:pPr>
              <w:pStyle w:val="TableParagraph"/>
              <w:spacing w:before="5"/>
              <w:ind w:right="115"/>
              <w:jc w:val="right"/>
              <w:rPr>
                <w:sz w:val="19"/>
              </w:rPr>
            </w:pPr>
            <w:r>
              <w:rPr>
                <w:color w:val="0F0F0F"/>
                <w:spacing w:val="-2"/>
                <w:w w:val="105"/>
                <w:sz w:val="19"/>
              </w:rPr>
              <w:t>5,100</w:t>
            </w:r>
          </w:p>
        </w:tc>
        <w:tc>
          <w:tcPr>
            <w:tcW w:w="1037" w:type="dxa"/>
          </w:tcPr>
          <w:p>
            <w:pPr>
              <w:pStyle w:val="TableParagraph"/>
              <w:spacing w:before="5"/>
              <w:ind w:right="163"/>
              <w:jc w:val="right"/>
              <w:rPr>
                <w:sz w:val="19"/>
              </w:rPr>
            </w:pPr>
            <w:r>
              <w:rPr>
                <w:color w:val="0F0F0F"/>
                <w:spacing w:val="-2"/>
                <w:w w:val="105"/>
                <w:sz w:val="19"/>
              </w:rPr>
              <w:t>2,269</w:t>
            </w:r>
          </w:p>
        </w:tc>
        <w:tc>
          <w:tcPr>
            <w:tcW w:w="1401" w:type="dxa"/>
          </w:tcPr>
          <w:p>
            <w:pPr>
              <w:pStyle w:val="TableParagraph"/>
              <w:rPr>
                <w:rFonts w:ascii="Times New Roman"/>
                <w:sz w:val="18"/>
              </w:rPr>
            </w:pPr>
          </w:p>
        </w:tc>
        <w:tc>
          <w:tcPr>
            <w:tcW w:w="1129" w:type="dxa"/>
          </w:tcPr>
          <w:p>
            <w:pPr>
              <w:pStyle w:val="TableParagraph"/>
              <w:spacing w:before="5"/>
              <w:ind w:right="130"/>
              <w:jc w:val="right"/>
              <w:rPr>
                <w:sz w:val="19"/>
              </w:rPr>
            </w:pPr>
            <w:r>
              <w:rPr>
                <w:color w:val="0F0F0F"/>
                <w:spacing w:val="-2"/>
                <w:w w:val="105"/>
                <w:sz w:val="19"/>
              </w:rPr>
              <w:t>7,369</w:t>
            </w:r>
          </w:p>
        </w:tc>
        <w:tc>
          <w:tcPr>
            <w:tcW w:w="1286" w:type="dxa"/>
          </w:tcPr>
          <w:p>
            <w:pPr>
              <w:pStyle w:val="TableParagraph"/>
              <w:ind w:right="4"/>
              <w:jc w:val="right"/>
              <w:rPr>
                <w:sz w:val="19"/>
              </w:rPr>
            </w:pPr>
            <w:r>
              <w:rPr>
                <w:color w:val="0F0F0F"/>
                <w:spacing w:val="-4"/>
                <w:w w:val="105"/>
                <w:sz w:val="19"/>
              </w:rPr>
              <w:t>(280)</w:t>
            </w:r>
          </w:p>
        </w:tc>
      </w:tr>
      <w:tr>
        <w:trPr>
          <w:trHeight w:val="233" w:hRule="atLeast"/>
        </w:trPr>
        <w:tc>
          <w:tcPr>
            <w:tcW w:w="2147" w:type="dxa"/>
          </w:tcPr>
          <w:p>
            <w:pPr>
              <w:pStyle w:val="TableParagraph"/>
              <w:spacing w:before="3" w:line="210" w:lineRule="exact"/>
              <w:ind w:left="70"/>
              <w:rPr>
                <w:sz w:val="19"/>
              </w:rPr>
            </w:pPr>
            <w:r>
              <w:rPr>
                <w:color w:val="0F0F0F"/>
                <w:spacing w:val="-2"/>
                <w:w w:val="105"/>
                <w:sz w:val="19"/>
              </w:rPr>
              <w:t>Investments</w:t>
            </w:r>
          </w:p>
        </w:tc>
        <w:tc>
          <w:tcPr>
            <w:tcW w:w="1348" w:type="dxa"/>
          </w:tcPr>
          <w:p>
            <w:pPr>
              <w:pStyle w:val="TableParagraph"/>
              <w:spacing w:before="8" w:line="205" w:lineRule="exact"/>
              <w:ind w:right="123"/>
              <w:jc w:val="right"/>
              <w:rPr>
                <w:sz w:val="19"/>
              </w:rPr>
            </w:pPr>
            <w:r>
              <w:rPr>
                <w:color w:val="0F0F0F"/>
                <w:spacing w:val="-2"/>
                <w:w w:val="105"/>
                <w:sz w:val="19"/>
              </w:rPr>
              <w:t>40,092</w:t>
            </w:r>
          </w:p>
        </w:tc>
        <w:tc>
          <w:tcPr>
            <w:tcW w:w="1037" w:type="dxa"/>
          </w:tcPr>
          <w:p>
            <w:pPr>
              <w:pStyle w:val="TableParagraph"/>
              <w:rPr>
                <w:rFonts w:ascii="Times New Roman"/>
                <w:sz w:val="16"/>
              </w:rPr>
            </w:pPr>
          </w:p>
        </w:tc>
        <w:tc>
          <w:tcPr>
            <w:tcW w:w="1401" w:type="dxa"/>
          </w:tcPr>
          <w:p>
            <w:pPr>
              <w:pStyle w:val="TableParagraph"/>
              <w:rPr>
                <w:rFonts w:ascii="Times New Roman"/>
                <w:sz w:val="16"/>
              </w:rPr>
            </w:pPr>
          </w:p>
        </w:tc>
        <w:tc>
          <w:tcPr>
            <w:tcW w:w="1129" w:type="dxa"/>
          </w:tcPr>
          <w:p>
            <w:pPr>
              <w:pStyle w:val="TableParagraph"/>
              <w:spacing w:before="8" w:line="205" w:lineRule="exact"/>
              <w:ind w:right="138"/>
              <w:jc w:val="right"/>
              <w:rPr>
                <w:sz w:val="19"/>
              </w:rPr>
            </w:pPr>
            <w:r>
              <w:rPr>
                <w:color w:val="0F0F0F"/>
                <w:spacing w:val="-2"/>
                <w:w w:val="105"/>
                <w:sz w:val="19"/>
              </w:rPr>
              <w:t>40,092</w:t>
            </w:r>
          </w:p>
        </w:tc>
        <w:tc>
          <w:tcPr>
            <w:tcW w:w="1286" w:type="dxa"/>
          </w:tcPr>
          <w:p>
            <w:pPr>
              <w:pStyle w:val="TableParagraph"/>
              <w:rPr>
                <w:rFonts w:ascii="Times New Roman"/>
                <w:sz w:val="16"/>
              </w:rPr>
            </w:pPr>
          </w:p>
        </w:tc>
      </w:tr>
      <w:tr>
        <w:trPr>
          <w:trHeight w:val="458" w:hRule="atLeast"/>
        </w:trPr>
        <w:tc>
          <w:tcPr>
            <w:tcW w:w="2147" w:type="dxa"/>
          </w:tcPr>
          <w:p>
            <w:pPr>
              <w:pStyle w:val="TableParagraph"/>
              <w:ind w:left="74"/>
              <w:rPr>
                <w:sz w:val="19"/>
              </w:rPr>
            </w:pPr>
            <w:r>
              <w:rPr>
                <w:color w:val="0F0F0F"/>
                <w:w w:val="105"/>
                <w:sz w:val="19"/>
              </w:rPr>
              <w:t>Short</w:t>
            </w:r>
            <w:r>
              <w:rPr>
                <w:color w:val="0F0F0F"/>
                <w:spacing w:val="-6"/>
                <w:w w:val="105"/>
                <w:sz w:val="19"/>
              </w:rPr>
              <w:t> </w:t>
            </w:r>
            <w:r>
              <w:rPr>
                <w:color w:val="0F0F0F"/>
                <w:w w:val="105"/>
                <w:sz w:val="19"/>
              </w:rPr>
              <w:t>Term</w:t>
            </w:r>
            <w:r>
              <w:rPr>
                <w:color w:val="0F0F0F"/>
                <w:spacing w:val="-2"/>
                <w:w w:val="105"/>
                <w:sz w:val="19"/>
              </w:rPr>
              <w:t> Debtors</w:t>
            </w:r>
          </w:p>
          <w:p>
            <w:pPr>
              <w:pStyle w:val="TableParagraph"/>
              <w:spacing w:before="13" w:line="208" w:lineRule="exact"/>
              <w:ind w:left="68"/>
              <w:rPr>
                <w:sz w:val="19"/>
              </w:rPr>
            </w:pPr>
            <w:r>
              <w:rPr>
                <w:color w:val="0F0F0F"/>
                <w:w w:val="105"/>
                <w:sz w:val="19"/>
              </w:rPr>
              <w:t>Cash</w:t>
            </w:r>
            <w:r>
              <w:rPr>
                <w:color w:val="0F0F0F"/>
                <w:spacing w:val="-1"/>
                <w:w w:val="105"/>
                <w:sz w:val="19"/>
              </w:rPr>
              <w:t> </w:t>
            </w:r>
            <w:r>
              <w:rPr>
                <w:color w:val="0F0F0F"/>
                <w:w w:val="105"/>
                <w:sz w:val="19"/>
              </w:rPr>
              <w:t>and</w:t>
            </w:r>
            <w:r>
              <w:rPr>
                <w:color w:val="0F0F0F"/>
                <w:spacing w:val="-12"/>
                <w:w w:val="105"/>
                <w:sz w:val="19"/>
              </w:rPr>
              <w:t> </w:t>
            </w:r>
            <w:r>
              <w:rPr>
                <w:color w:val="0F0F0F"/>
                <w:spacing w:val="-4"/>
                <w:w w:val="105"/>
                <w:sz w:val="19"/>
              </w:rPr>
              <w:t>Cash</w:t>
            </w:r>
          </w:p>
        </w:tc>
        <w:tc>
          <w:tcPr>
            <w:tcW w:w="1348" w:type="dxa"/>
          </w:tcPr>
          <w:p>
            <w:pPr>
              <w:pStyle w:val="TableParagraph"/>
              <w:spacing w:before="5"/>
              <w:ind w:right="126"/>
              <w:jc w:val="right"/>
              <w:rPr>
                <w:sz w:val="19"/>
              </w:rPr>
            </w:pPr>
            <w:r>
              <w:rPr>
                <w:color w:val="0F0F0F"/>
                <w:spacing w:val="-2"/>
                <w:w w:val="105"/>
                <w:sz w:val="19"/>
              </w:rPr>
              <w:t>2,910</w:t>
            </w:r>
          </w:p>
        </w:tc>
        <w:tc>
          <w:tcPr>
            <w:tcW w:w="1037" w:type="dxa"/>
          </w:tcPr>
          <w:p>
            <w:pPr>
              <w:pStyle w:val="TableParagraph"/>
              <w:rPr>
                <w:rFonts w:ascii="Times New Roman"/>
                <w:sz w:val="18"/>
              </w:rPr>
            </w:pPr>
          </w:p>
        </w:tc>
        <w:tc>
          <w:tcPr>
            <w:tcW w:w="1401" w:type="dxa"/>
          </w:tcPr>
          <w:p>
            <w:pPr>
              <w:pStyle w:val="TableParagraph"/>
              <w:ind w:right="146"/>
              <w:jc w:val="right"/>
              <w:rPr>
                <w:sz w:val="19"/>
              </w:rPr>
            </w:pPr>
            <w:r>
              <w:rPr>
                <w:color w:val="0F0F0F"/>
                <w:spacing w:val="-2"/>
                <w:w w:val="105"/>
                <w:sz w:val="19"/>
              </w:rPr>
              <w:t>2,322</w:t>
            </w:r>
          </w:p>
        </w:tc>
        <w:tc>
          <w:tcPr>
            <w:tcW w:w="1129" w:type="dxa"/>
          </w:tcPr>
          <w:p>
            <w:pPr>
              <w:pStyle w:val="TableParagraph"/>
              <w:ind w:right="133"/>
              <w:jc w:val="right"/>
              <w:rPr>
                <w:sz w:val="19"/>
              </w:rPr>
            </w:pPr>
            <w:r>
              <w:rPr>
                <w:color w:val="0F0F0F"/>
                <w:spacing w:val="-2"/>
                <w:w w:val="105"/>
                <w:sz w:val="19"/>
              </w:rPr>
              <w:t>5,232</w:t>
            </w:r>
          </w:p>
        </w:tc>
        <w:tc>
          <w:tcPr>
            <w:tcW w:w="1286" w:type="dxa"/>
          </w:tcPr>
          <w:p>
            <w:pPr>
              <w:pStyle w:val="TableParagraph"/>
              <w:ind w:right="9"/>
              <w:jc w:val="right"/>
              <w:rPr>
                <w:sz w:val="19"/>
              </w:rPr>
            </w:pPr>
            <w:r>
              <w:rPr>
                <w:color w:val="0F0F0F"/>
                <w:spacing w:val="-4"/>
                <w:w w:val="105"/>
                <w:sz w:val="19"/>
              </w:rPr>
              <w:t>(694)</w:t>
            </w:r>
          </w:p>
        </w:tc>
      </w:tr>
      <w:tr>
        <w:trPr>
          <w:trHeight w:val="241" w:hRule="atLeast"/>
        </w:trPr>
        <w:tc>
          <w:tcPr>
            <w:tcW w:w="2147" w:type="dxa"/>
          </w:tcPr>
          <w:p>
            <w:pPr>
              <w:pStyle w:val="TableParagraph"/>
              <w:spacing w:before="3" w:line="218" w:lineRule="exact"/>
              <w:ind w:left="63"/>
              <w:rPr>
                <w:sz w:val="19"/>
              </w:rPr>
            </w:pPr>
            <w:r>
              <w:rPr>
                <w:color w:val="0F0F0F"/>
                <w:spacing w:val="-2"/>
                <w:w w:val="105"/>
                <w:sz w:val="19"/>
              </w:rPr>
              <w:t>Equivalents</w:t>
            </w:r>
          </w:p>
        </w:tc>
        <w:tc>
          <w:tcPr>
            <w:tcW w:w="1348" w:type="dxa"/>
          </w:tcPr>
          <w:p>
            <w:pPr>
              <w:pStyle w:val="TableParagraph"/>
              <w:spacing w:before="3" w:line="218" w:lineRule="exact"/>
              <w:ind w:right="128"/>
              <w:jc w:val="right"/>
              <w:rPr>
                <w:sz w:val="19"/>
              </w:rPr>
            </w:pPr>
            <w:r>
              <w:rPr>
                <w:color w:val="0F0F0F"/>
                <w:spacing w:val="-2"/>
                <w:w w:val="105"/>
                <w:sz w:val="19"/>
              </w:rPr>
              <w:t>28</w:t>
            </w:r>
            <w:r>
              <w:rPr>
                <w:color w:val="3B3B3B"/>
                <w:spacing w:val="-2"/>
                <w:w w:val="105"/>
                <w:sz w:val="19"/>
              </w:rPr>
              <w:t>,</w:t>
            </w:r>
            <w:r>
              <w:rPr>
                <w:color w:val="0F0F0F"/>
                <w:spacing w:val="-2"/>
                <w:w w:val="105"/>
                <w:sz w:val="19"/>
              </w:rPr>
              <w:t>384</w:t>
            </w:r>
          </w:p>
        </w:tc>
        <w:tc>
          <w:tcPr>
            <w:tcW w:w="1037" w:type="dxa"/>
          </w:tcPr>
          <w:p>
            <w:pPr>
              <w:pStyle w:val="TableParagraph"/>
              <w:rPr>
                <w:rFonts w:ascii="Times New Roman"/>
                <w:sz w:val="16"/>
              </w:rPr>
            </w:pPr>
          </w:p>
        </w:tc>
        <w:tc>
          <w:tcPr>
            <w:tcW w:w="1401" w:type="dxa"/>
          </w:tcPr>
          <w:p>
            <w:pPr>
              <w:pStyle w:val="TableParagraph"/>
              <w:rPr>
                <w:rFonts w:ascii="Times New Roman"/>
                <w:sz w:val="16"/>
              </w:rPr>
            </w:pPr>
          </w:p>
        </w:tc>
        <w:tc>
          <w:tcPr>
            <w:tcW w:w="1129" w:type="dxa"/>
          </w:tcPr>
          <w:p>
            <w:pPr>
              <w:pStyle w:val="TableParagraph"/>
              <w:spacing w:before="3" w:line="218" w:lineRule="exact"/>
              <w:ind w:right="135"/>
              <w:jc w:val="right"/>
              <w:rPr>
                <w:sz w:val="19"/>
              </w:rPr>
            </w:pPr>
            <w:r>
              <w:rPr>
                <w:color w:val="0F0F0F"/>
                <w:spacing w:val="-2"/>
                <w:w w:val="105"/>
                <w:sz w:val="19"/>
              </w:rPr>
              <w:t>28,384</w:t>
            </w:r>
          </w:p>
        </w:tc>
        <w:tc>
          <w:tcPr>
            <w:tcW w:w="1286" w:type="dxa"/>
            <w:tcBorders>
              <w:bottom w:val="single" w:color="000000" w:sz="6" w:space="0"/>
            </w:tcBorders>
          </w:tcPr>
          <w:p>
            <w:pPr>
              <w:pStyle w:val="TableParagraph"/>
              <w:rPr>
                <w:rFonts w:ascii="Times New Roman"/>
                <w:sz w:val="16"/>
              </w:rPr>
            </w:pPr>
          </w:p>
        </w:tc>
      </w:tr>
      <w:tr>
        <w:trPr>
          <w:trHeight w:val="214" w:hRule="atLeast"/>
        </w:trPr>
        <w:tc>
          <w:tcPr>
            <w:tcW w:w="2147" w:type="dxa"/>
          </w:tcPr>
          <w:p>
            <w:pPr>
              <w:pStyle w:val="TableParagraph"/>
              <w:rPr>
                <w:rFonts w:ascii="Times New Roman"/>
                <w:sz w:val="14"/>
              </w:rPr>
            </w:pPr>
          </w:p>
        </w:tc>
        <w:tc>
          <w:tcPr>
            <w:tcW w:w="1348" w:type="dxa"/>
          </w:tcPr>
          <w:p>
            <w:pPr>
              <w:pStyle w:val="TableParagraph"/>
              <w:rPr>
                <w:rFonts w:ascii="Times New Roman"/>
                <w:sz w:val="14"/>
              </w:rPr>
            </w:pPr>
          </w:p>
        </w:tc>
        <w:tc>
          <w:tcPr>
            <w:tcW w:w="1037" w:type="dxa"/>
          </w:tcPr>
          <w:p>
            <w:pPr>
              <w:pStyle w:val="TableParagraph"/>
              <w:rPr>
                <w:rFonts w:ascii="Times New Roman"/>
                <w:sz w:val="14"/>
              </w:rPr>
            </w:pPr>
          </w:p>
        </w:tc>
        <w:tc>
          <w:tcPr>
            <w:tcW w:w="1401" w:type="dxa"/>
          </w:tcPr>
          <w:p>
            <w:pPr>
              <w:pStyle w:val="TableParagraph"/>
              <w:rPr>
                <w:rFonts w:ascii="Times New Roman"/>
                <w:sz w:val="14"/>
              </w:rPr>
            </w:pPr>
          </w:p>
        </w:tc>
        <w:tc>
          <w:tcPr>
            <w:tcW w:w="1129" w:type="dxa"/>
          </w:tcPr>
          <w:p>
            <w:pPr>
              <w:pStyle w:val="TableParagraph"/>
              <w:rPr>
                <w:rFonts w:ascii="Times New Roman"/>
                <w:sz w:val="14"/>
              </w:rPr>
            </w:pPr>
          </w:p>
        </w:tc>
        <w:tc>
          <w:tcPr>
            <w:tcW w:w="1286" w:type="dxa"/>
            <w:tcBorders>
              <w:top w:val="single" w:color="000000" w:sz="6" w:space="0"/>
            </w:tcBorders>
          </w:tcPr>
          <w:p>
            <w:pPr>
              <w:pStyle w:val="TableParagraph"/>
              <w:spacing w:line="195" w:lineRule="exact"/>
              <w:ind w:right="14"/>
              <w:jc w:val="right"/>
              <w:rPr>
                <w:sz w:val="19"/>
              </w:rPr>
            </w:pPr>
            <w:r>
              <w:rPr>
                <w:color w:val="0F0F0F"/>
                <w:spacing w:val="-4"/>
                <w:w w:val="105"/>
                <w:sz w:val="19"/>
              </w:rPr>
              <w:t>(994)</w:t>
            </w:r>
          </w:p>
        </w:tc>
      </w:tr>
      <w:tr>
        <w:trPr>
          <w:trHeight w:val="230" w:hRule="atLeast"/>
        </w:trPr>
        <w:tc>
          <w:tcPr>
            <w:tcW w:w="2147" w:type="dxa"/>
          </w:tcPr>
          <w:p>
            <w:pPr>
              <w:pStyle w:val="TableParagraph"/>
              <w:spacing w:before="3" w:line="208" w:lineRule="exact"/>
              <w:ind w:left="59"/>
              <w:rPr>
                <w:b/>
                <w:sz w:val="19"/>
              </w:rPr>
            </w:pPr>
            <w:r>
              <w:rPr>
                <w:b/>
                <w:color w:val="0F0F0F"/>
                <w:spacing w:val="-2"/>
                <w:w w:val="105"/>
                <w:sz w:val="19"/>
              </w:rPr>
              <w:t>Financial</w:t>
            </w:r>
            <w:r>
              <w:rPr>
                <w:b/>
                <w:color w:val="0F0F0F"/>
                <w:spacing w:val="2"/>
                <w:w w:val="105"/>
                <w:sz w:val="19"/>
              </w:rPr>
              <w:t> </w:t>
            </w:r>
            <w:r>
              <w:rPr>
                <w:b/>
                <w:color w:val="0F0F0F"/>
                <w:spacing w:val="-2"/>
                <w:w w:val="105"/>
                <w:sz w:val="19"/>
              </w:rPr>
              <w:t>Liabilities</w:t>
            </w:r>
          </w:p>
        </w:tc>
        <w:tc>
          <w:tcPr>
            <w:tcW w:w="1348" w:type="dxa"/>
          </w:tcPr>
          <w:p>
            <w:pPr>
              <w:pStyle w:val="TableParagraph"/>
              <w:rPr>
                <w:rFonts w:ascii="Times New Roman"/>
                <w:sz w:val="16"/>
              </w:rPr>
            </w:pPr>
          </w:p>
        </w:tc>
        <w:tc>
          <w:tcPr>
            <w:tcW w:w="1037" w:type="dxa"/>
          </w:tcPr>
          <w:p>
            <w:pPr>
              <w:pStyle w:val="TableParagraph"/>
              <w:rPr>
                <w:rFonts w:ascii="Times New Roman"/>
                <w:sz w:val="16"/>
              </w:rPr>
            </w:pPr>
          </w:p>
        </w:tc>
        <w:tc>
          <w:tcPr>
            <w:tcW w:w="1401" w:type="dxa"/>
          </w:tcPr>
          <w:p>
            <w:pPr>
              <w:pStyle w:val="TableParagraph"/>
              <w:rPr>
                <w:rFonts w:ascii="Times New Roman"/>
                <w:sz w:val="16"/>
              </w:rPr>
            </w:pPr>
          </w:p>
        </w:tc>
        <w:tc>
          <w:tcPr>
            <w:tcW w:w="1129" w:type="dxa"/>
          </w:tcPr>
          <w:p>
            <w:pPr>
              <w:pStyle w:val="TableParagraph"/>
              <w:rPr>
                <w:rFonts w:ascii="Times New Roman"/>
                <w:sz w:val="16"/>
              </w:rPr>
            </w:pPr>
          </w:p>
        </w:tc>
        <w:tc>
          <w:tcPr>
            <w:tcW w:w="1286" w:type="dxa"/>
          </w:tcPr>
          <w:p>
            <w:pPr>
              <w:pStyle w:val="TableParagraph"/>
              <w:rPr>
                <w:rFonts w:ascii="Times New Roman"/>
                <w:sz w:val="16"/>
              </w:rPr>
            </w:pPr>
          </w:p>
        </w:tc>
      </w:tr>
      <w:tr>
        <w:trPr>
          <w:trHeight w:val="230" w:hRule="atLeast"/>
        </w:trPr>
        <w:tc>
          <w:tcPr>
            <w:tcW w:w="2147" w:type="dxa"/>
          </w:tcPr>
          <w:p>
            <w:pPr>
              <w:pStyle w:val="TableParagraph"/>
              <w:spacing w:before="3" w:line="208" w:lineRule="exact"/>
              <w:ind w:left="55"/>
              <w:rPr>
                <w:sz w:val="19"/>
              </w:rPr>
            </w:pPr>
            <w:r>
              <w:rPr>
                <w:color w:val="0F0F0F"/>
                <w:w w:val="105"/>
                <w:sz w:val="19"/>
              </w:rPr>
              <w:t>Short</w:t>
            </w:r>
            <w:r>
              <w:rPr>
                <w:color w:val="0F0F0F"/>
                <w:spacing w:val="-2"/>
                <w:w w:val="105"/>
                <w:sz w:val="19"/>
              </w:rPr>
              <w:t> </w:t>
            </w:r>
            <w:r>
              <w:rPr>
                <w:color w:val="0F0F0F"/>
                <w:w w:val="105"/>
                <w:sz w:val="19"/>
              </w:rPr>
              <w:t>Term</w:t>
            </w:r>
            <w:r>
              <w:rPr>
                <w:color w:val="0F0F0F"/>
                <w:spacing w:val="-1"/>
                <w:w w:val="105"/>
                <w:sz w:val="19"/>
              </w:rPr>
              <w:t> </w:t>
            </w:r>
            <w:r>
              <w:rPr>
                <w:color w:val="0F0F0F"/>
                <w:spacing w:val="-2"/>
                <w:w w:val="105"/>
                <w:sz w:val="19"/>
              </w:rPr>
              <w:t>Creditors</w:t>
            </w:r>
          </w:p>
        </w:tc>
        <w:tc>
          <w:tcPr>
            <w:tcW w:w="1348" w:type="dxa"/>
          </w:tcPr>
          <w:p>
            <w:pPr>
              <w:pStyle w:val="TableParagraph"/>
              <w:spacing w:before="3" w:line="208" w:lineRule="exact"/>
              <w:ind w:right="127"/>
              <w:jc w:val="right"/>
              <w:rPr>
                <w:sz w:val="19"/>
              </w:rPr>
            </w:pPr>
            <w:r>
              <w:rPr>
                <w:color w:val="0F0F0F"/>
                <w:spacing w:val="-2"/>
                <w:w w:val="105"/>
                <w:sz w:val="19"/>
              </w:rPr>
              <w:t>(14</w:t>
            </w:r>
            <w:r>
              <w:rPr>
                <w:color w:val="3B3B3B"/>
                <w:spacing w:val="-2"/>
                <w:w w:val="105"/>
                <w:sz w:val="19"/>
              </w:rPr>
              <w:t>,</w:t>
            </w:r>
            <w:r>
              <w:rPr>
                <w:color w:val="0F0F0F"/>
                <w:spacing w:val="-2"/>
                <w:w w:val="105"/>
                <w:sz w:val="19"/>
              </w:rPr>
              <w:t>110)</w:t>
            </w:r>
          </w:p>
        </w:tc>
        <w:tc>
          <w:tcPr>
            <w:tcW w:w="1037" w:type="dxa"/>
          </w:tcPr>
          <w:p>
            <w:pPr>
              <w:pStyle w:val="TableParagraph"/>
              <w:rPr>
                <w:rFonts w:ascii="Times New Roman"/>
                <w:sz w:val="16"/>
              </w:rPr>
            </w:pPr>
          </w:p>
        </w:tc>
        <w:tc>
          <w:tcPr>
            <w:tcW w:w="1401" w:type="dxa"/>
          </w:tcPr>
          <w:p>
            <w:pPr>
              <w:pStyle w:val="TableParagraph"/>
              <w:spacing w:before="3" w:line="208" w:lineRule="exact"/>
              <w:ind w:right="165"/>
              <w:jc w:val="right"/>
              <w:rPr>
                <w:sz w:val="19"/>
              </w:rPr>
            </w:pPr>
            <w:r>
              <w:rPr>
                <w:color w:val="0F0F0F"/>
                <w:spacing w:val="-2"/>
                <w:w w:val="105"/>
                <w:sz w:val="19"/>
              </w:rPr>
              <w:t>(11,059)</w:t>
            </w:r>
          </w:p>
        </w:tc>
        <w:tc>
          <w:tcPr>
            <w:tcW w:w="1129" w:type="dxa"/>
          </w:tcPr>
          <w:p>
            <w:pPr>
              <w:pStyle w:val="TableParagraph"/>
              <w:spacing w:before="3" w:line="208" w:lineRule="exact"/>
              <w:ind w:right="148"/>
              <w:jc w:val="right"/>
              <w:rPr>
                <w:sz w:val="19"/>
              </w:rPr>
            </w:pPr>
            <w:r>
              <w:rPr>
                <w:color w:val="0F0F0F"/>
                <w:spacing w:val="-2"/>
                <w:w w:val="105"/>
                <w:sz w:val="19"/>
              </w:rPr>
              <w:t>(25,169)</w:t>
            </w:r>
          </w:p>
        </w:tc>
        <w:tc>
          <w:tcPr>
            <w:tcW w:w="1286" w:type="dxa"/>
          </w:tcPr>
          <w:p>
            <w:pPr>
              <w:pStyle w:val="TableParagraph"/>
              <w:rPr>
                <w:rFonts w:ascii="Times New Roman"/>
                <w:sz w:val="16"/>
              </w:rPr>
            </w:pPr>
          </w:p>
        </w:tc>
      </w:tr>
      <w:tr>
        <w:trPr>
          <w:trHeight w:val="466" w:hRule="atLeast"/>
        </w:trPr>
        <w:tc>
          <w:tcPr>
            <w:tcW w:w="2147" w:type="dxa"/>
          </w:tcPr>
          <w:p>
            <w:pPr>
              <w:pStyle w:val="TableParagraph"/>
              <w:spacing w:line="226" w:lineRule="exact"/>
              <w:ind w:left="50" w:firstLine="4"/>
              <w:rPr>
                <w:sz w:val="19"/>
              </w:rPr>
            </w:pPr>
            <w:r>
              <w:rPr>
                <w:color w:val="0F0F0F"/>
                <w:w w:val="105"/>
                <w:sz w:val="19"/>
              </w:rPr>
              <w:t>Other</w:t>
            </w:r>
            <w:r>
              <w:rPr>
                <w:color w:val="0F0F0F"/>
                <w:spacing w:val="-14"/>
                <w:w w:val="105"/>
                <w:sz w:val="19"/>
              </w:rPr>
              <w:t> </w:t>
            </w:r>
            <w:r>
              <w:rPr>
                <w:color w:val="0F0F0F"/>
                <w:w w:val="105"/>
                <w:sz w:val="19"/>
              </w:rPr>
              <w:t>Long</w:t>
            </w:r>
            <w:r>
              <w:rPr>
                <w:color w:val="0F0F0F"/>
                <w:spacing w:val="-14"/>
                <w:w w:val="105"/>
                <w:sz w:val="19"/>
              </w:rPr>
              <w:t> </w:t>
            </w:r>
            <w:r>
              <w:rPr>
                <w:color w:val="0F0F0F"/>
                <w:w w:val="105"/>
                <w:sz w:val="19"/>
              </w:rPr>
              <w:t>term </w:t>
            </w:r>
            <w:r>
              <w:rPr>
                <w:color w:val="0F0F0F"/>
                <w:spacing w:val="-2"/>
                <w:w w:val="105"/>
                <w:sz w:val="19"/>
              </w:rPr>
              <w:t>Liabilities</w:t>
            </w:r>
          </w:p>
        </w:tc>
        <w:tc>
          <w:tcPr>
            <w:tcW w:w="1348" w:type="dxa"/>
          </w:tcPr>
          <w:p>
            <w:pPr>
              <w:pStyle w:val="TableParagraph"/>
              <w:spacing w:before="15"/>
              <w:rPr>
                <w:sz w:val="19"/>
              </w:rPr>
            </w:pPr>
          </w:p>
          <w:p>
            <w:pPr>
              <w:pStyle w:val="TableParagraph"/>
              <w:spacing w:line="213" w:lineRule="exact"/>
              <w:ind w:right="147"/>
              <w:jc w:val="right"/>
              <w:rPr>
                <w:sz w:val="19"/>
              </w:rPr>
            </w:pPr>
            <w:r>
              <w:rPr>
                <w:color w:val="0F0F0F"/>
                <w:spacing w:val="-4"/>
                <w:w w:val="105"/>
                <w:sz w:val="19"/>
              </w:rPr>
              <w:t>(148)</w:t>
            </w:r>
          </w:p>
        </w:tc>
        <w:tc>
          <w:tcPr>
            <w:tcW w:w="1037" w:type="dxa"/>
          </w:tcPr>
          <w:p>
            <w:pPr>
              <w:pStyle w:val="TableParagraph"/>
              <w:rPr>
                <w:rFonts w:ascii="Times New Roman"/>
                <w:sz w:val="18"/>
              </w:rPr>
            </w:pPr>
          </w:p>
        </w:tc>
        <w:tc>
          <w:tcPr>
            <w:tcW w:w="1401" w:type="dxa"/>
          </w:tcPr>
          <w:p>
            <w:pPr>
              <w:pStyle w:val="TableParagraph"/>
              <w:rPr>
                <w:rFonts w:ascii="Times New Roman"/>
                <w:sz w:val="18"/>
              </w:rPr>
            </w:pPr>
          </w:p>
        </w:tc>
        <w:tc>
          <w:tcPr>
            <w:tcW w:w="1129" w:type="dxa"/>
          </w:tcPr>
          <w:p>
            <w:pPr>
              <w:pStyle w:val="TableParagraph"/>
              <w:spacing w:before="15"/>
              <w:rPr>
                <w:sz w:val="19"/>
              </w:rPr>
            </w:pPr>
          </w:p>
          <w:p>
            <w:pPr>
              <w:pStyle w:val="TableParagraph"/>
              <w:spacing w:line="213" w:lineRule="exact"/>
              <w:ind w:right="151"/>
              <w:jc w:val="right"/>
              <w:rPr>
                <w:sz w:val="19"/>
              </w:rPr>
            </w:pPr>
            <w:r>
              <w:rPr>
                <w:color w:val="0F0F0F"/>
                <w:spacing w:val="-4"/>
                <w:w w:val="105"/>
                <w:sz w:val="19"/>
              </w:rPr>
              <w:t>(148)</w:t>
            </w:r>
          </w:p>
        </w:tc>
        <w:tc>
          <w:tcPr>
            <w:tcW w:w="1286" w:type="dxa"/>
            <w:tcBorders>
              <w:bottom w:val="single" w:color="000000" w:sz="6" w:space="0"/>
            </w:tcBorders>
          </w:tcPr>
          <w:p>
            <w:pPr>
              <w:pStyle w:val="TableParagraph"/>
              <w:rPr>
                <w:rFonts w:ascii="Times New Roman"/>
                <w:sz w:val="18"/>
              </w:rPr>
            </w:pPr>
          </w:p>
        </w:tc>
      </w:tr>
      <w:tr>
        <w:trPr>
          <w:trHeight w:val="210" w:hRule="atLeast"/>
        </w:trPr>
        <w:tc>
          <w:tcPr>
            <w:tcW w:w="2147" w:type="dxa"/>
          </w:tcPr>
          <w:p>
            <w:pPr>
              <w:pStyle w:val="TableParagraph"/>
              <w:rPr>
                <w:rFonts w:ascii="Times New Roman"/>
                <w:sz w:val="14"/>
              </w:rPr>
            </w:pPr>
          </w:p>
        </w:tc>
        <w:tc>
          <w:tcPr>
            <w:tcW w:w="1348" w:type="dxa"/>
          </w:tcPr>
          <w:p>
            <w:pPr>
              <w:pStyle w:val="TableParagraph"/>
              <w:rPr>
                <w:rFonts w:ascii="Times New Roman"/>
                <w:sz w:val="14"/>
              </w:rPr>
            </w:pPr>
          </w:p>
        </w:tc>
        <w:tc>
          <w:tcPr>
            <w:tcW w:w="1037" w:type="dxa"/>
          </w:tcPr>
          <w:p>
            <w:pPr>
              <w:pStyle w:val="TableParagraph"/>
              <w:rPr>
                <w:rFonts w:ascii="Times New Roman"/>
                <w:sz w:val="14"/>
              </w:rPr>
            </w:pPr>
          </w:p>
        </w:tc>
        <w:tc>
          <w:tcPr>
            <w:tcW w:w="1401" w:type="dxa"/>
          </w:tcPr>
          <w:p>
            <w:pPr>
              <w:pStyle w:val="TableParagraph"/>
              <w:rPr>
                <w:rFonts w:ascii="Times New Roman"/>
                <w:sz w:val="14"/>
              </w:rPr>
            </w:pPr>
          </w:p>
        </w:tc>
        <w:tc>
          <w:tcPr>
            <w:tcW w:w="1129" w:type="dxa"/>
          </w:tcPr>
          <w:p>
            <w:pPr>
              <w:pStyle w:val="TableParagraph"/>
              <w:rPr>
                <w:rFonts w:ascii="Times New Roman"/>
                <w:sz w:val="14"/>
              </w:rPr>
            </w:pPr>
          </w:p>
        </w:tc>
        <w:tc>
          <w:tcPr>
            <w:tcW w:w="1286" w:type="dxa"/>
            <w:tcBorders>
              <w:top w:val="single" w:color="000000" w:sz="6" w:space="0"/>
            </w:tcBorders>
          </w:tcPr>
          <w:p>
            <w:pPr>
              <w:pStyle w:val="TableParagraph"/>
              <w:tabs>
                <w:tab w:val="left" w:leader="none" w:pos="796"/>
              </w:tabs>
              <w:spacing w:line="191" w:lineRule="exact"/>
              <w:ind w:right="25"/>
              <w:jc w:val="right"/>
              <w:rPr>
                <w:sz w:val="19"/>
              </w:rPr>
            </w:pPr>
            <w:r>
              <w:rPr>
                <w:color w:val="0F0F0F"/>
                <w:sz w:val="19"/>
                <w:u w:val="single" w:color="000000"/>
              </w:rPr>
              <w:tab/>
            </w:r>
            <w:r>
              <w:rPr>
                <w:color w:val="0F0F0F"/>
                <w:spacing w:val="-4"/>
                <w:w w:val="105"/>
                <w:sz w:val="19"/>
                <w:u w:val="single" w:color="000000"/>
              </w:rPr>
              <w:t>(994)</w:t>
            </w:r>
          </w:p>
        </w:tc>
      </w:tr>
    </w:tbl>
    <w:p>
      <w:pPr>
        <w:pStyle w:val="BodyText"/>
        <w:rPr>
          <w:sz w:val="20"/>
        </w:rPr>
      </w:pPr>
    </w:p>
    <w:p>
      <w:pPr>
        <w:pStyle w:val="BodyText"/>
        <w:rPr>
          <w:sz w:val="20"/>
        </w:rPr>
      </w:pPr>
    </w:p>
    <w:p>
      <w:pPr>
        <w:pStyle w:val="BodyText"/>
        <w:spacing w:before="66" w:after="1"/>
        <w:rPr>
          <w:sz w:val="20"/>
        </w:rPr>
      </w:pPr>
    </w:p>
    <w:tbl>
      <w:tblPr>
        <w:tblW w:w="0" w:type="auto"/>
        <w:jc w:val="left"/>
        <w:tblInd w:w="145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2153"/>
        <w:gridCol w:w="1349"/>
        <w:gridCol w:w="1039"/>
        <w:gridCol w:w="1410"/>
        <w:gridCol w:w="1125"/>
        <w:gridCol w:w="1567"/>
      </w:tblGrid>
      <w:tr>
        <w:trPr>
          <w:trHeight w:val="449" w:hRule="atLeast"/>
        </w:trPr>
        <w:tc>
          <w:tcPr>
            <w:tcW w:w="2153" w:type="dxa"/>
            <w:vMerge w:val="restart"/>
          </w:tcPr>
          <w:p>
            <w:pPr>
              <w:pStyle w:val="TableParagraph"/>
              <w:rPr>
                <w:rFonts w:ascii="Times New Roman"/>
                <w:sz w:val="18"/>
              </w:rPr>
            </w:pPr>
          </w:p>
        </w:tc>
        <w:tc>
          <w:tcPr>
            <w:tcW w:w="1349" w:type="dxa"/>
          </w:tcPr>
          <w:p>
            <w:pPr>
              <w:pStyle w:val="TableParagraph"/>
              <w:rPr>
                <w:rFonts w:ascii="Times New Roman"/>
                <w:sz w:val="18"/>
              </w:rPr>
            </w:pPr>
          </w:p>
        </w:tc>
        <w:tc>
          <w:tcPr>
            <w:tcW w:w="1039" w:type="dxa"/>
          </w:tcPr>
          <w:p>
            <w:pPr>
              <w:pStyle w:val="TableParagraph"/>
              <w:spacing w:line="212" w:lineRule="exact"/>
              <w:ind w:left="326"/>
              <w:rPr>
                <w:b/>
                <w:sz w:val="19"/>
              </w:rPr>
            </w:pPr>
            <w:r>
              <w:rPr>
                <w:b/>
                <w:color w:val="0F0F0F"/>
                <w:spacing w:val="-4"/>
                <w:w w:val="105"/>
                <w:sz w:val="19"/>
              </w:rPr>
              <w:t>Fair</w:t>
            </w:r>
          </w:p>
          <w:p>
            <w:pPr>
              <w:pStyle w:val="TableParagraph"/>
              <w:spacing w:before="12" w:line="205" w:lineRule="exact"/>
              <w:ind w:left="239"/>
              <w:rPr>
                <w:b/>
                <w:sz w:val="19"/>
              </w:rPr>
            </w:pPr>
            <w:r>
              <w:rPr>
                <w:b/>
                <w:color w:val="0F0F0F"/>
                <w:spacing w:val="-2"/>
                <w:w w:val="105"/>
                <w:sz w:val="19"/>
              </w:rPr>
              <w:t>Value</w:t>
            </w:r>
          </w:p>
        </w:tc>
        <w:tc>
          <w:tcPr>
            <w:tcW w:w="1410" w:type="dxa"/>
          </w:tcPr>
          <w:p>
            <w:pPr>
              <w:pStyle w:val="TableParagraph"/>
              <w:spacing w:before="6"/>
              <w:rPr>
                <w:sz w:val="19"/>
              </w:rPr>
            </w:pPr>
          </w:p>
          <w:p>
            <w:pPr>
              <w:pStyle w:val="TableParagraph"/>
              <w:spacing w:line="205" w:lineRule="exact"/>
              <w:ind w:left="446"/>
              <w:rPr>
                <w:b/>
                <w:sz w:val="19"/>
              </w:rPr>
            </w:pPr>
            <w:r>
              <w:rPr>
                <w:b/>
                <w:color w:val="0F0F0F"/>
                <w:spacing w:val="-4"/>
                <w:w w:val="105"/>
                <w:sz w:val="19"/>
              </w:rPr>
              <w:t>Non-</w:t>
            </w:r>
          </w:p>
        </w:tc>
        <w:tc>
          <w:tcPr>
            <w:tcW w:w="1125" w:type="dxa"/>
          </w:tcPr>
          <w:p>
            <w:pPr>
              <w:pStyle w:val="TableParagraph"/>
              <w:spacing w:before="6"/>
              <w:rPr>
                <w:sz w:val="19"/>
              </w:rPr>
            </w:pPr>
          </w:p>
          <w:p>
            <w:pPr>
              <w:pStyle w:val="TableParagraph"/>
              <w:spacing w:line="205" w:lineRule="exact"/>
              <w:ind w:left="166"/>
              <w:rPr>
                <w:b/>
                <w:sz w:val="19"/>
              </w:rPr>
            </w:pPr>
            <w:r>
              <w:rPr>
                <w:b/>
                <w:color w:val="0F0F0F"/>
                <w:spacing w:val="-2"/>
                <w:w w:val="105"/>
                <w:sz w:val="19"/>
              </w:rPr>
              <w:t>Balance</w:t>
            </w:r>
          </w:p>
        </w:tc>
        <w:tc>
          <w:tcPr>
            <w:tcW w:w="1567" w:type="dxa"/>
          </w:tcPr>
          <w:p>
            <w:pPr>
              <w:pStyle w:val="TableParagraph"/>
              <w:spacing w:before="1"/>
              <w:rPr>
                <w:sz w:val="19"/>
              </w:rPr>
            </w:pPr>
          </w:p>
          <w:p>
            <w:pPr>
              <w:pStyle w:val="TableParagraph"/>
              <w:spacing w:line="210" w:lineRule="exact"/>
              <w:ind w:left="272"/>
              <w:rPr>
                <w:b/>
                <w:sz w:val="19"/>
              </w:rPr>
            </w:pPr>
            <w:r>
              <w:rPr>
                <w:b/>
                <w:color w:val="0F0F0F"/>
                <w:spacing w:val="-2"/>
                <w:w w:val="105"/>
                <w:sz w:val="19"/>
              </w:rPr>
              <w:t>Financial</w:t>
            </w:r>
          </w:p>
        </w:tc>
      </w:tr>
      <w:tr>
        <w:trPr>
          <w:trHeight w:val="461" w:hRule="atLeast"/>
        </w:trPr>
        <w:tc>
          <w:tcPr>
            <w:tcW w:w="2153" w:type="dxa"/>
            <w:vMerge/>
            <w:tcBorders>
              <w:top w:val="nil"/>
            </w:tcBorders>
          </w:tcPr>
          <w:p>
            <w:pPr>
              <w:rPr>
                <w:sz w:val="2"/>
                <w:szCs w:val="2"/>
              </w:rPr>
            </w:pPr>
          </w:p>
        </w:tc>
        <w:tc>
          <w:tcPr>
            <w:tcW w:w="1349" w:type="dxa"/>
          </w:tcPr>
          <w:p>
            <w:pPr>
              <w:pStyle w:val="TableParagraph"/>
              <w:spacing w:before="17"/>
              <w:rPr>
                <w:sz w:val="19"/>
              </w:rPr>
            </w:pPr>
          </w:p>
          <w:p>
            <w:pPr>
              <w:pStyle w:val="TableParagraph"/>
              <w:spacing w:line="205" w:lineRule="exact"/>
              <w:ind w:right="146"/>
              <w:jc w:val="right"/>
              <w:rPr>
                <w:b/>
                <w:sz w:val="19"/>
              </w:rPr>
            </w:pPr>
            <w:r>
              <w:rPr>
                <w:b/>
                <w:color w:val="0F0F0F"/>
                <w:spacing w:val="-2"/>
                <w:w w:val="105"/>
                <w:sz w:val="19"/>
              </w:rPr>
              <w:t>Amortised</w:t>
            </w:r>
          </w:p>
        </w:tc>
        <w:tc>
          <w:tcPr>
            <w:tcW w:w="1039" w:type="dxa"/>
          </w:tcPr>
          <w:p>
            <w:pPr>
              <w:pStyle w:val="TableParagraph"/>
              <w:spacing w:before="5"/>
              <w:ind w:left="126"/>
              <w:rPr>
                <w:b/>
                <w:sz w:val="19"/>
              </w:rPr>
            </w:pPr>
            <w:r>
              <w:rPr>
                <w:b/>
                <w:color w:val="0F0F0F"/>
                <w:spacing w:val="-2"/>
                <w:w w:val="105"/>
                <w:sz w:val="19"/>
              </w:rPr>
              <w:t>through</w:t>
            </w:r>
          </w:p>
          <w:p>
            <w:pPr>
              <w:pStyle w:val="TableParagraph"/>
              <w:spacing w:before="12" w:line="205" w:lineRule="exact"/>
              <w:ind w:left="116"/>
              <w:rPr>
                <w:b/>
                <w:sz w:val="19"/>
              </w:rPr>
            </w:pPr>
            <w:r>
              <w:rPr>
                <w:b/>
                <w:color w:val="0F0F0F"/>
                <w:w w:val="105"/>
                <w:sz w:val="19"/>
              </w:rPr>
              <w:t>profit</w:t>
            </w:r>
            <w:r>
              <w:rPr>
                <w:b/>
                <w:color w:val="0F0F0F"/>
                <w:spacing w:val="6"/>
                <w:w w:val="105"/>
                <w:sz w:val="19"/>
              </w:rPr>
              <w:t> </w:t>
            </w:r>
            <w:r>
              <w:rPr>
                <w:b/>
                <w:color w:val="0F0F0F"/>
                <w:spacing w:val="-5"/>
                <w:w w:val="105"/>
                <w:sz w:val="19"/>
              </w:rPr>
              <w:t>or</w:t>
            </w:r>
          </w:p>
        </w:tc>
        <w:tc>
          <w:tcPr>
            <w:tcW w:w="1410" w:type="dxa"/>
          </w:tcPr>
          <w:p>
            <w:pPr>
              <w:pStyle w:val="TableParagraph"/>
              <w:spacing w:before="5"/>
              <w:ind w:left="13" w:right="78"/>
              <w:jc w:val="center"/>
              <w:rPr>
                <w:b/>
                <w:sz w:val="19"/>
              </w:rPr>
            </w:pPr>
            <w:r>
              <w:rPr>
                <w:b/>
                <w:color w:val="0F0F0F"/>
                <w:spacing w:val="-2"/>
                <w:w w:val="105"/>
                <w:sz w:val="19"/>
              </w:rPr>
              <w:t>financial</w:t>
            </w:r>
          </w:p>
          <w:p>
            <w:pPr>
              <w:pStyle w:val="TableParagraph"/>
              <w:spacing w:before="12" w:line="205" w:lineRule="exact"/>
              <w:ind w:right="78"/>
              <w:jc w:val="center"/>
              <w:rPr>
                <w:b/>
                <w:sz w:val="19"/>
              </w:rPr>
            </w:pPr>
            <w:r>
              <w:rPr>
                <w:b/>
                <w:color w:val="0F0F0F"/>
                <w:spacing w:val="-2"/>
                <w:w w:val="105"/>
                <w:sz w:val="19"/>
              </w:rPr>
              <w:t>instrument</w:t>
            </w:r>
          </w:p>
        </w:tc>
        <w:tc>
          <w:tcPr>
            <w:tcW w:w="1125" w:type="dxa"/>
          </w:tcPr>
          <w:p>
            <w:pPr>
              <w:pStyle w:val="TableParagraph"/>
              <w:ind w:left="19" w:right="39"/>
              <w:jc w:val="center"/>
              <w:rPr>
                <w:b/>
                <w:sz w:val="19"/>
              </w:rPr>
            </w:pPr>
            <w:r>
              <w:rPr>
                <w:b/>
                <w:color w:val="0F0F0F"/>
                <w:spacing w:val="-4"/>
                <w:w w:val="105"/>
                <w:sz w:val="19"/>
              </w:rPr>
              <w:t>Sheet</w:t>
            </w:r>
          </w:p>
          <w:p>
            <w:pPr>
              <w:pStyle w:val="TableParagraph"/>
              <w:spacing w:before="13" w:line="210" w:lineRule="exact"/>
              <w:ind w:right="39"/>
              <w:jc w:val="center"/>
              <w:rPr>
                <w:b/>
                <w:sz w:val="19"/>
              </w:rPr>
            </w:pPr>
            <w:r>
              <w:rPr>
                <w:b/>
                <w:color w:val="0F0F0F"/>
                <w:spacing w:val="-2"/>
                <w:w w:val="105"/>
                <w:sz w:val="19"/>
              </w:rPr>
              <w:t>carrying</w:t>
            </w:r>
          </w:p>
        </w:tc>
        <w:tc>
          <w:tcPr>
            <w:tcW w:w="1567" w:type="dxa"/>
          </w:tcPr>
          <w:p>
            <w:pPr>
              <w:pStyle w:val="TableParagraph"/>
              <w:ind w:left="133"/>
              <w:rPr>
                <w:b/>
                <w:sz w:val="19"/>
              </w:rPr>
            </w:pPr>
            <w:r>
              <w:rPr>
                <w:b/>
                <w:color w:val="0F0F0F"/>
                <w:spacing w:val="-2"/>
                <w:w w:val="105"/>
                <w:sz w:val="19"/>
              </w:rPr>
              <w:t>Instruments</w:t>
            </w:r>
          </w:p>
          <w:p>
            <w:pPr>
              <w:pStyle w:val="TableParagraph"/>
              <w:spacing w:before="13" w:line="210" w:lineRule="exact"/>
              <w:ind w:left="162"/>
              <w:rPr>
                <w:b/>
                <w:sz w:val="19"/>
              </w:rPr>
            </w:pPr>
            <w:r>
              <w:rPr>
                <w:b/>
                <w:color w:val="0F0F0F"/>
                <w:spacing w:val="-2"/>
                <w:w w:val="105"/>
                <w:sz w:val="19"/>
              </w:rPr>
              <w:t>Impairment</w:t>
            </w:r>
          </w:p>
        </w:tc>
      </w:tr>
      <w:tr>
        <w:trPr>
          <w:trHeight w:val="230" w:hRule="atLeast"/>
        </w:trPr>
        <w:tc>
          <w:tcPr>
            <w:tcW w:w="2153" w:type="dxa"/>
          </w:tcPr>
          <w:p>
            <w:pPr>
              <w:pStyle w:val="TableParagraph"/>
              <w:spacing w:line="210" w:lineRule="exact"/>
              <w:ind w:left="90"/>
              <w:rPr>
                <w:b/>
                <w:sz w:val="19"/>
              </w:rPr>
            </w:pPr>
            <w:r>
              <w:rPr>
                <w:b/>
                <w:color w:val="0F0F0F"/>
                <w:w w:val="105"/>
                <w:sz w:val="19"/>
              </w:rPr>
              <w:t>31</w:t>
            </w:r>
            <w:r>
              <w:rPr>
                <w:b/>
                <w:color w:val="0F0F0F"/>
                <w:spacing w:val="-10"/>
                <w:w w:val="105"/>
                <w:sz w:val="19"/>
              </w:rPr>
              <w:t> </w:t>
            </w:r>
            <w:r>
              <w:rPr>
                <w:b/>
                <w:color w:val="0F0F0F"/>
                <w:w w:val="105"/>
                <w:sz w:val="19"/>
              </w:rPr>
              <w:t>March</w:t>
            </w:r>
            <w:r>
              <w:rPr>
                <w:b/>
                <w:color w:val="0F0F0F"/>
                <w:spacing w:val="-1"/>
                <w:w w:val="105"/>
                <w:sz w:val="19"/>
              </w:rPr>
              <w:t> </w:t>
            </w:r>
            <w:r>
              <w:rPr>
                <w:b/>
                <w:color w:val="0F0F0F"/>
                <w:spacing w:val="-4"/>
                <w:w w:val="105"/>
                <w:sz w:val="19"/>
              </w:rPr>
              <w:t>2023</w:t>
            </w:r>
          </w:p>
        </w:tc>
        <w:tc>
          <w:tcPr>
            <w:tcW w:w="1349" w:type="dxa"/>
          </w:tcPr>
          <w:p>
            <w:pPr>
              <w:pStyle w:val="TableParagraph"/>
              <w:spacing w:before="5" w:line="205" w:lineRule="exact"/>
              <w:ind w:left="488"/>
              <w:rPr>
                <w:b/>
                <w:sz w:val="19"/>
              </w:rPr>
            </w:pPr>
            <w:r>
              <w:rPr>
                <w:b/>
                <w:color w:val="0F0F0F"/>
                <w:spacing w:val="-4"/>
                <w:w w:val="105"/>
                <w:sz w:val="19"/>
              </w:rPr>
              <w:t>Cost</w:t>
            </w:r>
          </w:p>
        </w:tc>
        <w:tc>
          <w:tcPr>
            <w:tcW w:w="1039" w:type="dxa"/>
          </w:tcPr>
          <w:p>
            <w:pPr>
              <w:pStyle w:val="TableParagraph"/>
              <w:spacing w:before="5" w:line="205" w:lineRule="exact"/>
              <w:ind w:left="293"/>
              <w:rPr>
                <w:b/>
                <w:sz w:val="19"/>
              </w:rPr>
            </w:pPr>
            <w:r>
              <w:rPr>
                <w:b/>
                <w:color w:val="0F0F0F"/>
                <w:spacing w:val="-4"/>
                <w:w w:val="105"/>
                <w:sz w:val="19"/>
              </w:rPr>
              <w:t>loss</w:t>
            </w:r>
          </w:p>
        </w:tc>
        <w:tc>
          <w:tcPr>
            <w:tcW w:w="1410" w:type="dxa"/>
          </w:tcPr>
          <w:p>
            <w:pPr>
              <w:pStyle w:val="TableParagraph"/>
              <w:spacing w:before="5" w:line="205" w:lineRule="exact"/>
              <w:ind w:left="241"/>
              <w:rPr>
                <w:b/>
                <w:sz w:val="19"/>
              </w:rPr>
            </w:pPr>
            <w:r>
              <w:rPr>
                <w:b/>
                <w:color w:val="0F0F0F"/>
                <w:spacing w:val="-2"/>
                <w:w w:val="105"/>
                <w:sz w:val="19"/>
              </w:rPr>
              <w:t>balances</w:t>
            </w:r>
          </w:p>
        </w:tc>
        <w:tc>
          <w:tcPr>
            <w:tcW w:w="1125" w:type="dxa"/>
          </w:tcPr>
          <w:p>
            <w:pPr>
              <w:pStyle w:val="TableParagraph"/>
              <w:spacing w:before="5" w:line="205" w:lineRule="exact"/>
              <w:ind w:left="183"/>
              <w:rPr>
                <w:b/>
                <w:sz w:val="19"/>
              </w:rPr>
            </w:pPr>
            <w:r>
              <w:rPr>
                <w:b/>
                <w:color w:val="0F0F0F"/>
                <w:spacing w:val="-2"/>
                <w:w w:val="105"/>
                <w:sz w:val="19"/>
              </w:rPr>
              <w:t>amount</w:t>
            </w:r>
          </w:p>
        </w:tc>
        <w:tc>
          <w:tcPr>
            <w:tcW w:w="1567" w:type="dxa"/>
          </w:tcPr>
          <w:p>
            <w:pPr>
              <w:pStyle w:val="TableParagraph"/>
              <w:spacing w:line="210" w:lineRule="exact"/>
              <w:ind w:left="209"/>
              <w:rPr>
                <w:b/>
                <w:sz w:val="19"/>
              </w:rPr>
            </w:pPr>
            <w:r>
              <w:rPr>
                <w:b/>
                <w:color w:val="0F0F0F"/>
                <w:spacing w:val="-2"/>
                <w:w w:val="105"/>
                <w:sz w:val="19"/>
              </w:rPr>
              <w:t>Allowance</w:t>
            </w:r>
          </w:p>
        </w:tc>
      </w:tr>
      <w:tr>
        <w:trPr>
          <w:trHeight w:val="461" w:hRule="atLeast"/>
        </w:trPr>
        <w:tc>
          <w:tcPr>
            <w:tcW w:w="2153" w:type="dxa"/>
          </w:tcPr>
          <w:p>
            <w:pPr>
              <w:pStyle w:val="TableParagraph"/>
              <w:spacing w:before="12"/>
              <w:rPr>
                <w:sz w:val="19"/>
              </w:rPr>
            </w:pPr>
          </w:p>
          <w:p>
            <w:pPr>
              <w:pStyle w:val="TableParagraph"/>
              <w:spacing w:before="1" w:line="210" w:lineRule="exact"/>
              <w:ind w:left="83"/>
              <w:rPr>
                <w:b/>
                <w:sz w:val="19"/>
              </w:rPr>
            </w:pPr>
            <w:r>
              <w:rPr>
                <w:b/>
                <w:color w:val="0F0F0F"/>
                <w:w w:val="105"/>
                <w:sz w:val="19"/>
              </w:rPr>
              <w:t>Financial</w:t>
            </w:r>
            <w:r>
              <w:rPr>
                <w:b/>
                <w:color w:val="0F0F0F"/>
                <w:spacing w:val="-6"/>
                <w:w w:val="105"/>
                <w:sz w:val="19"/>
              </w:rPr>
              <w:t> </w:t>
            </w:r>
            <w:r>
              <w:rPr>
                <w:b/>
                <w:color w:val="0F0F0F"/>
                <w:spacing w:val="-2"/>
                <w:w w:val="105"/>
                <w:sz w:val="19"/>
              </w:rPr>
              <w:t>Assets</w:t>
            </w:r>
          </w:p>
        </w:tc>
        <w:tc>
          <w:tcPr>
            <w:tcW w:w="1349" w:type="dxa"/>
          </w:tcPr>
          <w:p>
            <w:pPr>
              <w:pStyle w:val="TableParagraph"/>
              <w:spacing w:before="5"/>
              <w:ind w:left="486"/>
              <w:rPr>
                <w:b/>
                <w:sz w:val="19"/>
              </w:rPr>
            </w:pPr>
            <w:r>
              <w:rPr>
                <w:b/>
                <w:color w:val="0F0F0F"/>
                <w:spacing w:val="-4"/>
                <w:w w:val="105"/>
                <w:sz w:val="19"/>
              </w:rPr>
              <w:t>£000</w:t>
            </w:r>
          </w:p>
        </w:tc>
        <w:tc>
          <w:tcPr>
            <w:tcW w:w="1039" w:type="dxa"/>
          </w:tcPr>
          <w:p>
            <w:pPr>
              <w:pStyle w:val="TableParagraph"/>
              <w:spacing w:before="5"/>
              <w:ind w:left="277"/>
              <w:rPr>
                <w:b/>
                <w:sz w:val="19"/>
              </w:rPr>
            </w:pPr>
            <w:r>
              <w:rPr>
                <w:b/>
                <w:color w:val="0F0F0F"/>
                <w:spacing w:val="-4"/>
                <w:w w:val="105"/>
                <w:sz w:val="19"/>
              </w:rPr>
              <w:t>£000</w:t>
            </w:r>
          </w:p>
        </w:tc>
        <w:tc>
          <w:tcPr>
            <w:tcW w:w="1410" w:type="dxa"/>
          </w:tcPr>
          <w:p>
            <w:pPr>
              <w:pStyle w:val="TableParagraph"/>
              <w:spacing w:before="5"/>
              <w:ind w:left="444"/>
              <w:rPr>
                <w:b/>
                <w:sz w:val="19"/>
              </w:rPr>
            </w:pPr>
            <w:r>
              <w:rPr>
                <w:b/>
                <w:color w:val="0F0F0F"/>
                <w:spacing w:val="-4"/>
                <w:w w:val="105"/>
                <w:sz w:val="19"/>
              </w:rPr>
              <w:t>£000</w:t>
            </w:r>
          </w:p>
        </w:tc>
        <w:tc>
          <w:tcPr>
            <w:tcW w:w="1125" w:type="dxa"/>
          </w:tcPr>
          <w:p>
            <w:pPr>
              <w:pStyle w:val="TableParagraph"/>
              <w:spacing w:before="5"/>
              <w:ind w:left="323"/>
              <w:rPr>
                <w:b/>
                <w:sz w:val="19"/>
              </w:rPr>
            </w:pPr>
            <w:r>
              <w:rPr>
                <w:b/>
                <w:color w:val="0F0F0F"/>
                <w:spacing w:val="-4"/>
                <w:w w:val="105"/>
                <w:sz w:val="19"/>
              </w:rPr>
              <w:t>£000</w:t>
            </w:r>
          </w:p>
        </w:tc>
        <w:tc>
          <w:tcPr>
            <w:tcW w:w="1567" w:type="dxa"/>
          </w:tcPr>
          <w:p>
            <w:pPr>
              <w:pStyle w:val="TableParagraph"/>
              <w:ind w:left="477"/>
              <w:rPr>
                <w:b/>
                <w:sz w:val="19"/>
              </w:rPr>
            </w:pPr>
            <w:r>
              <w:rPr>
                <w:b/>
                <w:color w:val="0F0F0F"/>
                <w:spacing w:val="-4"/>
                <w:w w:val="105"/>
                <w:sz w:val="19"/>
              </w:rPr>
              <w:t>£000</w:t>
            </w:r>
          </w:p>
        </w:tc>
      </w:tr>
      <w:tr>
        <w:trPr>
          <w:trHeight w:val="466" w:hRule="atLeast"/>
        </w:trPr>
        <w:tc>
          <w:tcPr>
            <w:tcW w:w="2153" w:type="dxa"/>
          </w:tcPr>
          <w:p>
            <w:pPr>
              <w:pStyle w:val="TableParagraph"/>
              <w:spacing w:before="5"/>
              <w:ind w:left="83"/>
              <w:rPr>
                <w:sz w:val="19"/>
              </w:rPr>
            </w:pPr>
            <w:r>
              <w:rPr>
                <w:color w:val="0F0F0F"/>
                <w:w w:val="105"/>
                <w:sz w:val="19"/>
              </w:rPr>
              <w:t>Long</w:t>
            </w:r>
            <w:r>
              <w:rPr>
                <w:color w:val="0F0F0F"/>
                <w:spacing w:val="-9"/>
                <w:w w:val="105"/>
                <w:sz w:val="19"/>
              </w:rPr>
              <w:t> </w:t>
            </w:r>
            <w:r>
              <w:rPr>
                <w:color w:val="0F0F0F"/>
                <w:spacing w:val="-4"/>
                <w:w w:val="105"/>
                <w:sz w:val="19"/>
              </w:rPr>
              <w:t>Term</w:t>
            </w:r>
          </w:p>
          <w:p>
            <w:pPr>
              <w:pStyle w:val="TableParagraph"/>
              <w:spacing w:before="12" w:line="210" w:lineRule="exact"/>
              <w:ind w:left="75"/>
              <w:rPr>
                <w:sz w:val="19"/>
              </w:rPr>
            </w:pPr>
            <w:r>
              <w:rPr>
                <w:color w:val="0F0F0F"/>
                <w:spacing w:val="-2"/>
                <w:w w:val="105"/>
                <w:sz w:val="19"/>
              </w:rPr>
              <w:t>Investments</w:t>
            </w:r>
          </w:p>
        </w:tc>
        <w:tc>
          <w:tcPr>
            <w:tcW w:w="1349" w:type="dxa"/>
          </w:tcPr>
          <w:p>
            <w:pPr>
              <w:pStyle w:val="TableParagraph"/>
              <w:spacing w:before="22"/>
              <w:rPr>
                <w:sz w:val="19"/>
              </w:rPr>
            </w:pPr>
          </w:p>
          <w:p>
            <w:pPr>
              <w:pStyle w:val="TableParagraph"/>
              <w:spacing w:line="205" w:lineRule="exact"/>
              <w:ind w:right="112"/>
              <w:jc w:val="right"/>
              <w:rPr>
                <w:sz w:val="19"/>
              </w:rPr>
            </w:pPr>
            <w:r>
              <w:rPr>
                <w:color w:val="0F0F0F"/>
                <w:spacing w:val="-2"/>
                <w:w w:val="105"/>
                <w:sz w:val="19"/>
              </w:rPr>
              <w:t>5,000</w:t>
            </w:r>
          </w:p>
        </w:tc>
        <w:tc>
          <w:tcPr>
            <w:tcW w:w="1039" w:type="dxa"/>
          </w:tcPr>
          <w:p>
            <w:pPr>
              <w:pStyle w:val="TableParagraph"/>
              <w:rPr>
                <w:rFonts w:ascii="Times New Roman"/>
                <w:sz w:val="18"/>
              </w:rPr>
            </w:pPr>
          </w:p>
        </w:tc>
        <w:tc>
          <w:tcPr>
            <w:tcW w:w="1410" w:type="dxa"/>
          </w:tcPr>
          <w:p>
            <w:pPr>
              <w:pStyle w:val="TableParagraph"/>
              <w:spacing w:before="17"/>
              <w:rPr>
                <w:sz w:val="19"/>
              </w:rPr>
            </w:pPr>
          </w:p>
          <w:p>
            <w:pPr>
              <w:pStyle w:val="TableParagraph"/>
              <w:spacing w:line="210" w:lineRule="exact"/>
              <w:ind w:right="142"/>
              <w:jc w:val="right"/>
              <w:rPr>
                <w:sz w:val="19"/>
              </w:rPr>
            </w:pPr>
            <w:r>
              <w:rPr>
                <w:color w:val="0F0F0F"/>
                <w:spacing w:val="-5"/>
                <w:w w:val="105"/>
                <w:sz w:val="19"/>
              </w:rPr>
              <w:t>491</w:t>
            </w:r>
          </w:p>
        </w:tc>
        <w:tc>
          <w:tcPr>
            <w:tcW w:w="1125" w:type="dxa"/>
          </w:tcPr>
          <w:p>
            <w:pPr>
              <w:pStyle w:val="TableParagraph"/>
              <w:spacing w:before="17"/>
              <w:rPr>
                <w:sz w:val="19"/>
              </w:rPr>
            </w:pPr>
          </w:p>
          <w:p>
            <w:pPr>
              <w:pStyle w:val="TableParagraph"/>
              <w:spacing w:line="210" w:lineRule="exact"/>
              <w:ind w:right="119"/>
              <w:jc w:val="right"/>
              <w:rPr>
                <w:sz w:val="19"/>
              </w:rPr>
            </w:pPr>
            <w:r>
              <w:rPr>
                <w:color w:val="0F0F0F"/>
                <w:spacing w:val="-2"/>
                <w:w w:val="105"/>
                <w:sz w:val="19"/>
              </w:rPr>
              <w:t>5,491</w:t>
            </w:r>
          </w:p>
        </w:tc>
        <w:tc>
          <w:tcPr>
            <w:tcW w:w="1567" w:type="dxa"/>
          </w:tcPr>
          <w:p>
            <w:pPr>
              <w:pStyle w:val="TableParagraph"/>
              <w:spacing w:before="12"/>
              <w:rPr>
                <w:sz w:val="19"/>
              </w:rPr>
            </w:pPr>
          </w:p>
          <w:p>
            <w:pPr>
              <w:pStyle w:val="TableParagraph"/>
              <w:spacing w:before="1" w:line="215" w:lineRule="exact"/>
              <w:ind w:right="267"/>
              <w:jc w:val="right"/>
              <w:rPr>
                <w:sz w:val="19"/>
              </w:rPr>
            </w:pPr>
            <w:r>
              <w:rPr>
                <w:color w:val="0F0F0F"/>
                <w:spacing w:val="-4"/>
                <w:w w:val="105"/>
                <w:sz w:val="19"/>
              </w:rPr>
              <w:t>(20)</w:t>
            </w:r>
          </w:p>
        </w:tc>
      </w:tr>
      <w:tr>
        <w:trPr>
          <w:trHeight w:val="458" w:hRule="atLeast"/>
        </w:trPr>
        <w:tc>
          <w:tcPr>
            <w:tcW w:w="2153" w:type="dxa"/>
          </w:tcPr>
          <w:p>
            <w:pPr>
              <w:pStyle w:val="TableParagraph"/>
              <w:ind w:left="78"/>
              <w:rPr>
                <w:sz w:val="19"/>
              </w:rPr>
            </w:pPr>
            <w:r>
              <w:rPr>
                <w:color w:val="0F0F0F"/>
                <w:w w:val="105"/>
                <w:sz w:val="19"/>
              </w:rPr>
              <w:t>Long</w:t>
            </w:r>
            <w:r>
              <w:rPr>
                <w:color w:val="0F0F0F"/>
                <w:spacing w:val="-3"/>
                <w:w w:val="105"/>
                <w:sz w:val="19"/>
              </w:rPr>
              <w:t> </w:t>
            </w:r>
            <w:r>
              <w:rPr>
                <w:color w:val="0F0F0F"/>
                <w:w w:val="105"/>
                <w:sz w:val="19"/>
              </w:rPr>
              <w:t>Term</w:t>
            </w:r>
            <w:r>
              <w:rPr>
                <w:color w:val="0F0F0F"/>
                <w:spacing w:val="-4"/>
                <w:w w:val="105"/>
                <w:sz w:val="19"/>
              </w:rPr>
              <w:t> </w:t>
            </w:r>
            <w:r>
              <w:rPr>
                <w:color w:val="0F0F0F"/>
                <w:spacing w:val="-2"/>
                <w:w w:val="105"/>
                <w:sz w:val="19"/>
              </w:rPr>
              <w:t>Debtors</w:t>
            </w:r>
          </w:p>
          <w:p>
            <w:pPr>
              <w:pStyle w:val="TableParagraph"/>
              <w:spacing w:before="13" w:line="208" w:lineRule="exact"/>
              <w:ind w:left="74"/>
              <w:rPr>
                <w:sz w:val="19"/>
              </w:rPr>
            </w:pPr>
            <w:r>
              <w:rPr>
                <w:color w:val="0F0F0F"/>
                <w:w w:val="105"/>
                <w:sz w:val="19"/>
              </w:rPr>
              <w:t>Short</w:t>
            </w:r>
            <w:r>
              <w:rPr>
                <w:color w:val="0F0F0F"/>
                <w:spacing w:val="-9"/>
                <w:w w:val="105"/>
                <w:sz w:val="19"/>
              </w:rPr>
              <w:t> </w:t>
            </w:r>
            <w:r>
              <w:rPr>
                <w:color w:val="0F0F0F"/>
                <w:spacing w:val="-4"/>
                <w:w w:val="105"/>
                <w:sz w:val="19"/>
              </w:rPr>
              <w:t>Term</w:t>
            </w:r>
          </w:p>
        </w:tc>
        <w:tc>
          <w:tcPr>
            <w:tcW w:w="1349" w:type="dxa"/>
          </w:tcPr>
          <w:p>
            <w:pPr>
              <w:pStyle w:val="TableParagraph"/>
              <w:spacing w:before="5"/>
              <w:ind w:right="121"/>
              <w:jc w:val="right"/>
              <w:rPr>
                <w:sz w:val="19"/>
              </w:rPr>
            </w:pPr>
            <w:r>
              <w:rPr>
                <w:color w:val="0F0F0F"/>
                <w:spacing w:val="-2"/>
                <w:w w:val="105"/>
                <w:sz w:val="19"/>
              </w:rPr>
              <w:t>4,635</w:t>
            </w:r>
          </w:p>
        </w:tc>
        <w:tc>
          <w:tcPr>
            <w:tcW w:w="1039" w:type="dxa"/>
          </w:tcPr>
          <w:p>
            <w:pPr>
              <w:pStyle w:val="TableParagraph"/>
              <w:ind w:left="378"/>
              <w:rPr>
                <w:sz w:val="19"/>
              </w:rPr>
            </w:pPr>
            <w:r>
              <w:rPr>
                <w:color w:val="0F0F0F"/>
                <w:spacing w:val="-2"/>
                <w:w w:val="105"/>
                <w:sz w:val="19"/>
              </w:rPr>
              <w:t>2,378</w:t>
            </w:r>
          </w:p>
        </w:tc>
        <w:tc>
          <w:tcPr>
            <w:tcW w:w="1410" w:type="dxa"/>
          </w:tcPr>
          <w:p>
            <w:pPr>
              <w:pStyle w:val="TableParagraph"/>
              <w:rPr>
                <w:rFonts w:ascii="Times New Roman"/>
                <w:sz w:val="18"/>
              </w:rPr>
            </w:pPr>
          </w:p>
        </w:tc>
        <w:tc>
          <w:tcPr>
            <w:tcW w:w="1125" w:type="dxa"/>
          </w:tcPr>
          <w:p>
            <w:pPr>
              <w:pStyle w:val="TableParagraph"/>
              <w:ind w:right="129"/>
              <w:jc w:val="right"/>
              <w:rPr>
                <w:sz w:val="19"/>
              </w:rPr>
            </w:pPr>
            <w:r>
              <w:rPr>
                <w:color w:val="0F0F0F"/>
                <w:spacing w:val="-2"/>
                <w:w w:val="105"/>
                <w:sz w:val="19"/>
              </w:rPr>
              <w:t>7,013</w:t>
            </w:r>
          </w:p>
        </w:tc>
        <w:tc>
          <w:tcPr>
            <w:tcW w:w="1567" w:type="dxa"/>
          </w:tcPr>
          <w:p>
            <w:pPr>
              <w:pStyle w:val="TableParagraph"/>
              <w:ind w:right="275"/>
              <w:jc w:val="right"/>
              <w:rPr>
                <w:sz w:val="19"/>
              </w:rPr>
            </w:pPr>
            <w:r>
              <w:rPr>
                <w:color w:val="0F0F0F"/>
                <w:spacing w:val="-4"/>
                <w:w w:val="105"/>
                <w:sz w:val="19"/>
              </w:rPr>
              <w:t>(151)</w:t>
            </w:r>
          </w:p>
        </w:tc>
      </w:tr>
      <w:tr>
        <w:trPr>
          <w:trHeight w:val="230" w:hRule="atLeast"/>
        </w:trPr>
        <w:tc>
          <w:tcPr>
            <w:tcW w:w="2153" w:type="dxa"/>
          </w:tcPr>
          <w:p>
            <w:pPr>
              <w:pStyle w:val="TableParagraph"/>
              <w:spacing w:before="3" w:line="208" w:lineRule="exact"/>
              <w:ind w:left="65"/>
              <w:rPr>
                <w:sz w:val="19"/>
              </w:rPr>
            </w:pPr>
            <w:r>
              <w:rPr>
                <w:color w:val="0F0F0F"/>
                <w:spacing w:val="-2"/>
                <w:w w:val="105"/>
                <w:sz w:val="19"/>
              </w:rPr>
              <w:t>Investments</w:t>
            </w:r>
          </w:p>
        </w:tc>
        <w:tc>
          <w:tcPr>
            <w:tcW w:w="1349" w:type="dxa"/>
          </w:tcPr>
          <w:p>
            <w:pPr>
              <w:pStyle w:val="TableParagraph"/>
              <w:spacing w:before="3" w:line="208" w:lineRule="exact"/>
              <w:ind w:right="122"/>
              <w:jc w:val="right"/>
              <w:rPr>
                <w:sz w:val="19"/>
              </w:rPr>
            </w:pPr>
            <w:r>
              <w:rPr>
                <w:color w:val="0F0F0F"/>
                <w:spacing w:val="-2"/>
                <w:w w:val="105"/>
                <w:sz w:val="19"/>
              </w:rPr>
              <w:t>31,371</w:t>
            </w:r>
          </w:p>
        </w:tc>
        <w:tc>
          <w:tcPr>
            <w:tcW w:w="1039" w:type="dxa"/>
          </w:tcPr>
          <w:p>
            <w:pPr>
              <w:pStyle w:val="TableParagraph"/>
              <w:rPr>
                <w:rFonts w:ascii="Times New Roman"/>
                <w:sz w:val="16"/>
              </w:rPr>
            </w:pPr>
          </w:p>
        </w:tc>
        <w:tc>
          <w:tcPr>
            <w:tcW w:w="1410" w:type="dxa"/>
          </w:tcPr>
          <w:p>
            <w:pPr>
              <w:pStyle w:val="TableParagraph"/>
              <w:rPr>
                <w:rFonts w:ascii="Times New Roman"/>
                <w:sz w:val="16"/>
              </w:rPr>
            </w:pPr>
          </w:p>
        </w:tc>
        <w:tc>
          <w:tcPr>
            <w:tcW w:w="1125" w:type="dxa"/>
          </w:tcPr>
          <w:p>
            <w:pPr>
              <w:pStyle w:val="TableParagraph"/>
              <w:spacing w:before="3" w:line="208" w:lineRule="exact"/>
              <w:ind w:right="128"/>
              <w:jc w:val="right"/>
              <w:rPr>
                <w:sz w:val="19"/>
              </w:rPr>
            </w:pPr>
            <w:r>
              <w:rPr>
                <w:color w:val="0F0F0F"/>
                <w:spacing w:val="-2"/>
                <w:w w:val="105"/>
                <w:sz w:val="19"/>
              </w:rPr>
              <w:t>31,371</w:t>
            </w:r>
          </w:p>
        </w:tc>
        <w:tc>
          <w:tcPr>
            <w:tcW w:w="1567" w:type="dxa"/>
          </w:tcPr>
          <w:p>
            <w:pPr>
              <w:pStyle w:val="TableParagraph"/>
              <w:rPr>
                <w:rFonts w:ascii="Times New Roman"/>
                <w:sz w:val="16"/>
              </w:rPr>
            </w:pPr>
          </w:p>
        </w:tc>
      </w:tr>
      <w:tr>
        <w:trPr>
          <w:trHeight w:val="456" w:hRule="atLeast"/>
        </w:trPr>
        <w:tc>
          <w:tcPr>
            <w:tcW w:w="2153" w:type="dxa"/>
          </w:tcPr>
          <w:p>
            <w:pPr>
              <w:pStyle w:val="TableParagraph"/>
              <w:spacing w:line="226" w:lineRule="exact"/>
              <w:ind w:left="63" w:firstLine="5"/>
              <w:rPr>
                <w:sz w:val="19"/>
              </w:rPr>
            </w:pPr>
            <w:r>
              <w:rPr>
                <w:color w:val="0F0F0F"/>
                <w:w w:val="105"/>
                <w:sz w:val="19"/>
              </w:rPr>
              <w:t>Short</w:t>
            </w:r>
            <w:r>
              <w:rPr>
                <w:color w:val="0F0F0F"/>
                <w:spacing w:val="-14"/>
                <w:w w:val="105"/>
                <w:sz w:val="19"/>
              </w:rPr>
              <w:t> </w:t>
            </w:r>
            <w:r>
              <w:rPr>
                <w:color w:val="0F0F0F"/>
                <w:w w:val="105"/>
                <w:sz w:val="19"/>
              </w:rPr>
              <w:t>Term</w:t>
            </w:r>
            <w:r>
              <w:rPr>
                <w:color w:val="0F0F0F"/>
                <w:spacing w:val="-14"/>
                <w:w w:val="105"/>
                <w:sz w:val="19"/>
              </w:rPr>
              <w:t> </w:t>
            </w:r>
            <w:r>
              <w:rPr>
                <w:color w:val="0F0F0F"/>
                <w:w w:val="105"/>
                <w:sz w:val="19"/>
              </w:rPr>
              <w:t>Debtors Cash and Cash</w:t>
            </w:r>
          </w:p>
        </w:tc>
        <w:tc>
          <w:tcPr>
            <w:tcW w:w="1349" w:type="dxa"/>
          </w:tcPr>
          <w:p>
            <w:pPr>
              <w:pStyle w:val="TableParagraph"/>
              <w:spacing w:before="8"/>
              <w:ind w:right="124"/>
              <w:jc w:val="right"/>
              <w:rPr>
                <w:sz w:val="19"/>
              </w:rPr>
            </w:pPr>
            <w:r>
              <w:rPr>
                <w:color w:val="0F0F0F"/>
                <w:spacing w:val="-2"/>
                <w:w w:val="105"/>
                <w:sz w:val="19"/>
              </w:rPr>
              <w:t>12,856</w:t>
            </w:r>
          </w:p>
        </w:tc>
        <w:tc>
          <w:tcPr>
            <w:tcW w:w="1039" w:type="dxa"/>
          </w:tcPr>
          <w:p>
            <w:pPr>
              <w:pStyle w:val="TableParagraph"/>
              <w:rPr>
                <w:rFonts w:ascii="Times New Roman"/>
                <w:sz w:val="18"/>
              </w:rPr>
            </w:pPr>
          </w:p>
        </w:tc>
        <w:tc>
          <w:tcPr>
            <w:tcW w:w="1410" w:type="dxa"/>
          </w:tcPr>
          <w:p>
            <w:pPr>
              <w:pStyle w:val="TableParagraph"/>
              <w:spacing w:before="3"/>
              <w:ind w:right="152"/>
              <w:jc w:val="right"/>
              <w:rPr>
                <w:sz w:val="19"/>
              </w:rPr>
            </w:pPr>
            <w:r>
              <w:rPr>
                <w:color w:val="0F0F0F"/>
                <w:spacing w:val="-2"/>
                <w:w w:val="105"/>
                <w:sz w:val="19"/>
              </w:rPr>
              <w:t>6,467</w:t>
            </w:r>
          </w:p>
        </w:tc>
        <w:tc>
          <w:tcPr>
            <w:tcW w:w="1125" w:type="dxa"/>
          </w:tcPr>
          <w:p>
            <w:pPr>
              <w:pStyle w:val="TableParagraph"/>
              <w:spacing w:before="3"/>
              <w:ind w:right="136"/>
              <w:jc w:val="right"/>
              <w:rPr>
                <w:sz w:val="19"/>
              </w:rPr>
            </w:pPr>
            <w:r>
              <w:rPr>
                <w:color w:val="0F0F0F"/>
                <w:spacing w:val="-2"/>
                <w:w w:val="105"/>
                <w:sz w:val="19"/>
              </w:rPr>
              <w:t>19,323</w:t>
            </w:r>
          </w:p>
        </w:tc>
        <w:tc>
          <w:tcPr>
            <w:tcW w:w="1567" w:type="dxa"/>
          </w:tcPr>
          <w:p>
            <w:pPr>
              <w:pStyle w:val="TableParagraph"/>
              <w:spacing w:before="3"/>
              <w:ind w:right="280"/>
              <w:jc w:val="right"/>
              <w:rPr>
                <w:sz w:val="19"/>
              </w:rPr>
            </w:pPr>
            <w:r>
              <w:rPr>
                <w:color w:val="0F0F0F"/>
                <w:spacing w:val="-4"/>
                <w:w w:val="105"/>
                <w:sz w:val="19"/>
              </w:rPr>
              <w:t>(617)</w:t>
            </w:r>
          </w:p>
        </w:tc>
      </w:tr>
      <w:tr>
        <w:trPr>
          <w:trHeight w:val="241" w:hRule="atLeast"/>
        </w:trPr>
        <w:tc>
          <w:tcPr>
            <w:tcW w:w="2153" w:type="dxa"/>
          </w:tcPr>
          <w:p>
            <w:pPr>
              <w:pStyle w:val="TableParagraph"/>
              <w:spacing w:before="3" w:line="218" w:lineRule="exact"/>
              <w:ind w:left="63"/>
              <w:rPr>
                <w:sz w:val="19"/>
              </w:rPr>
            </w:pPr>
            <w:r>
              <w:rPr>
                <w:color w:val="0F0F0F"/>
                <w:spacing w:val="-2"/>
                <w:w w:val="105"/>
                <w:sz w:val="19"/>
              </w:rPr>
              <w:t>Equivalents</w:t>
            </w:r>
          </w:p>
        </w:tc>
        <w:tc>
          <w:tcPr>
            <w:tcW w:w="1349" w:type="dxa"/>
          </w:tcPr>
          <w:p>
            <w:pPr>
              <w:pStyle w:val="TableParagraph"/>
              <w:spacing w:before="8" w:line="213" w:lineRule="exact"/>
              <w:ind w:right="128"/>
              <w:jc w:val="right"/>
              <w:rPr>
                <w:sz w:val="19"/>
              </w:rPr>
            </w:pPr>
            <w:r>
              <w:rPr>
                <w:color w:val="0F0F0F"/>
                <w:spacing w:val="-2"/>
                <w:w w:val="105"/>
                <w:sz w:val="19"/>
              </w:rPr>
              <w:t>28,381</w:t>
            </w:r>
          </w:p>
        </w:tc>
        <w:tc>
          <w:tcPr>
            <w:tcW w:w="1039" w:type="dxa"/>
          </w:tcPr>
          <w:p>
            <w:pPr>
              <w:pStyle w:val="TableParagraph"/>
              <w:rPr>
                <w:rFonts w:ascii="Times New Roman"/>
                <w:sz w:val="16"/>
              </w:rPr>
            </w:pPr>
          </w:p>
        </w:tc>
        <w:tc>
          <w:tcPr>
            <w:tcW w:w="1410" w:type="dxa"/>
          </w:tcPr>
          <w:p>
            <w:pPr>
              <w:pStyle w:val="TableParagraph"/>
              <w:rPr>
                <w:rFonts w:ascii="Times New Roman"/>
                <w:sz w:val="16"/>
              </w:rPr>
            </w:pPr>
          </w:p>
        </w:tc>
        <w:tc>
          <w:tcPr>
            <w:tcW w:w="1125" w:type="dxa"/>
          </w:tcPr>
          <w:p>
            <w:pPr>
              <w:pStyle w:val="TableParagraph"/>
              <w:spacing w:before="8" w:line="213" w:lineRule="exact"/>
              <w:ind w:right="135"/>
              <w:jc w:val="right"/>
              <w:rPr>
                <w:sz w:val="19"/>
              </w:rPr>
            </w:pPr>
            <w:r>
              <w:rPr>
                <w:color w:val="0F0F0F"/>
                <w:spacing w:val="-2"/>
                <w:w w:val="105"/>
                <w:sz w:val="19"/>
              </w:rPr>
              <w:t>28,381</w:t>
            </w:r>
          </w:p>
        </w:tc>
        <w:tc>
          <w:tcPr>
            <w:tcW w:w="1567" w:type="dxa"/>
            <w:tcBorders>
              <w:bottom w:val="single" w:color="000000" w:sz="6" w:space="0"/>
            </w:tcBorders>
          </w:tcPr>
          <w:p>
            <w:pPr>
              <w:pStyle w:val="TableParagraph"/>
              <w:rPr>
                <w:rFonts w:ascii="Times New Roman"/>
                <w:sz w:val="16"/>
              </w:rPr>
            </w:pPr>
          </w:p>
        </w:tc>
      </w:tr>
      <w:tr>
        <w:trPr>
          <w:trHeight w:val="447" w:hRule="atLeast"/>
        </w:trPr>
        <w:tc>
          <w:tcPr>
            <w:tcW w:w="2153" w:type="dxa"/>
          </w:tcPr>
          <w:p>
            <w:pPr>
              <w:pStyle w:val="TableParagraph"/>
              <w:spacing w:before="218" w:line="210" w:lineRule="exact"/>
              <w:ind w:left="54"/>
              <w:rPr>
                <w:b/>
                <w:sz w:val="19"/>
              </w:rPr>
            </w:pPr>
            <w:r>
              <w:rPr>
                <w:b/>
                <w:color w:val="0F0F0F"/>
                <w:w w:val="105"/>
                <w:sz w:val="19"/>
              </w:rPr>
              <w:t>Financial</w:t>
            </w:r>
            <w:r>
              <w:rPr>
                <w:b/>
                <w:color w:val="0F0F0F"/>
                <w:spacing w:val="-11"/>
                <w:w w:val="105"/>
                <w:sz w:val="19"/>
              </w:rPr>
              <w:t> </w:t>
            </w:r>
            <w:r>
              <w:rPr>
                <w:b/>
                <w:color w:val="0F0F0F"/>
                <w:spacing w:val="-2"/>
                <w:w w:val="105"/>
                <w:sz w:val="19"/>
              </w:rPr>
              <w:t>Liabilities</w:t>
            </w:r>
          </w:p>
        </w:tc>
        <w:tc>
          <w:tcPr>
            <w:tcW w:w="1349" w:type="dxa"/>
          </w:tcPr>
          <w:p>
            <w:pPr>
              <w:pStyle w:val="TableParagraph"/>
              <w:rPr>
                <w:rFonts w:ascii="Times New Roman"/>
                <w:sz w:val="18"/>
              </w:rPr>
            </w:pPr>
          </w:p>
        </w:tc>
        <w:tc>
          <w:tcPr>
            <w:tcW w:w="1039" w:type="dxa"/>
          </w:tcPr>
          <w:p>
            <w:pPr>
              <w:pStyle w:val="TableParagraph"/>
              <w:rPr>
                <w:rFonts w:ascii="Times New Roman"/>
                <w:sz w:val="18"/>
              </w:rPr>
            </w:pPr>
          </w:p>
        </w:tc>
        <w:tc>
          <w:tcPr>
            <w:tcW w:w="1410" w:type="dxa"/>
          </w:tcPr>
          <w:p>
            <w:pPr>
              <w:pStyle w:val="TableParagraph"/>
              <w:rPr>
                <w:rFonts w:ascii="Times New Roman"/>
                <w:sz w:val="18"/>
              </w:rPr>
            </w:pPr>
          </w:p>
        </w:tc>
        <w:tc>
          <w:tcPr>
            <w:tcW w:w="1125" w:type="dxa"/>
          </w:tcPr>
          <w:p>
            <w:pPr>
              <w:pStyle w:val="TableParagraph"/>
              <w:rPr>
                <w:rFonts w:ascii="Times New Roman"/>
                <w:sz w:val="18"/>
              </w:rPr>
            </w:pPr>
          </w:p>
        </w:tc>
        <w:tc>
          <w:tcPr>
            <w:tcW w:w="1567" w:type="dxa"/>
            <w:tcBorders>
              <w:top w:val="single" w:color="000000" w:sz="6" w:space="0"/>
            </w:tcBorders>
          </w:tcPr>
          <w:p>
            <w:pPr>
              <w:pStyle w:val="TableParagraph"/>
              <w:spacing w:line="211" w:lineRule="exact"/>
              <w:ind w:right="285"/>
              <w:jc w:val="right"/>
              <w:rPr>
                <w:sz w:val="19"/>
              </w:rPr>
            </w:pPr>
            <w:r>
              <w:rPr>
                <w:color w:val="0F0F0F"/>
                <w:spacing w:val="-4"/>
                <w:w w:val="105"/>
                <w:sz w:val="19"/>
              </w:rPr>
              <w:t>(788)</w:t>
            </w:r>
          </w:p>
        </w:tc>
      </w:tr>
      <w:tr>
        <w:trPr>
          <w:trHeight w:val="233" w:hRule="atLeast"/>
        </w:trPr>
        <w:tc>
          <w:tcPr>
            <w:tcW w:w="2153" w:type="dxa"/>
          </w:tcPr>
          <w:p>
            <w:pPr>
              <w:pStyle w:val="TableParagraph"/>
              <w:spacing w:before="5" w:line="208" w:lineRule="exact"/>
              <w:ind w:left="55"/>
              <w:rPr>
                <w:sz w:val="19"/>
              </w:rPr>
            </w:pPr>
            <w:r>
              <w:rPr>
                <w:color w:val="0F0F0F"/>
                <w:w w:val="105"/>
                <w:sz w:val="19"/>
              </w:rPr>
              <w:t>Short</w:t>
            </w:r>
            <w:r>
              <w:rPr>
                <w:color w:val="0F0F0F"/>
                <w:spacing w:val="-2"/>
                <w:w w:val="105"/>
                <w:sz w:val="19"/>
              </w:rPr>
              <w:t> </w:t>
            </w:r>
            <w:r>
              <w:rPr>
                <w:color w:val="0F0F0F"/>
                <w:w w:val="105"/>
                <w:sz w:val="19"/>
              </w:rPr>
              <w:t>Term</w:t>
            </w:r>
            <w:r>
              <w:rPr>
                <w:color w:val="0F0F0F"/>
                <w:spacing w:val="-1"/>
                <w:w w:val="105"/>
                <w:sz w:val="19"/>
              </w:rPr>
              <w:t> </w:t>
            </w:r>
            <w:r>
              <w:rPr>
                <w:color w:val="0F0F0F"/>
                <w:spacing w:val="-2"/>
                <w:w w:val="105"/>
                <w:sz w:val="19"/>
              </w:rPr>
              <w:t>Creditors</w:t>
            </w:r>
          </w:p>
        </w:tc>
        <w:tc>
          <w:tcPr>
            <w:tcW w:w="1349" w:type="dxa"/>
          </w:tcPr>
          <w:p>
            <w:pPr>
              <w:pStyle w:val="TableParagraph"/>
              <w:spacing w:before="5" w:line="208" w:lineRule="exact"/>
              <w:ind w:right="142"/>
              <w:jc w:val="right"/>
              <w:rPr>
                <w:sz w:val="19"/>
              </w:rPr>
            </w:pPr>
            <w:r>
              <w:rPr>
                <w:color w:val="0F0F0F"/>
                <w:spacing w:val="-2"/>
                <w:w w:val="105"/>
                <w:sz w:val="19"/>
              </w:rPr>
              <w:t>(5,546)</w:t>
            </w:r>
          </w:p>
        </w:tc>
        <w:tc>
          <w:tcPr>
            <w:tcW w:w="1039" w:type="dxa"/>
          </w:tcPr>
          <w:p>
            <w:pPr>
              <w:pStyle w:val="TableParagraph"/>
              <w:rPr>
                <w:rFonts w:ascii="Times New Roman"/>
                <w:sz w:val="16"/>
              </w:rPr>
            </w:pPr>
          </w:p>
        </w:tc>
        <w:tc>
          <w:tcPr>
            <w:tcW w:w="1410" w:type="dxa"/>
          </w:tcPr>
          <w:p>
            <w:pPr>
              <w:pStyle w:val="TableParagraph"/>
              <w:spacing w:before="5" w:line="208" w:lineRule="exact"/>
              <w:ind w:right="169"/>
              <w:jc w:val="right"/>
              <w:rPr>
                <w:sz w:val="19"/>
              </w:rPr>
            </w:pPr>
            <w:r>
              <w:rPr>
                <w:color w:val="0F0F0F"/>
                <w:spacing w:val="-2"/>
                <w:w w:val="105"/>
                <w:sz w:val="19"/>
              </w:rPr>
              <w:t>(22,616)</w:t>
            </w:r>
          </w:p>
        </w:tc>
        <w:tc>
          <w:tcPr>
            <w:tcW w:w="1125" w:type="dxa"/>
          </w:tcPr>
          <w:p>
            <w:pPr>
              <w:pStyle w:val="TableParagraph"/>
              <w:spacing w:before="5" w:line="208" w:lineRule="exact"/>
              <w:ind w:right="145"/>
              <w:jc w:val="right"/>
              <w:rPr>
                <w:sz w:val="19"/>
              </w:rPr>
            </w:pPr>
            <w:r>
              <w:rPr>
                <w:color w:val="0F0F0F"/>
                <w:spacing w:val="-2"/>
                <w:w w:val="105"/>
                <w:sz w:val="19"/>
              </w:rPr>
              <w:t>(28,162)</w:t>
            </w:r>
          </w:p>
        </w:tc>
        <w:tc>
          <w:tcPr>
            <w:tcW w:w="1567" w:type="dxa"/>
          </w:tcPr>
          <w:p>
            <w:pPr>
              <w:pStyle w:val="TableParagraph"/>
              <w:rPr>
                <w:rFonts w:ascii="Times New Roman"/>
                <w:sz w:val="16"/>
              </w:rPr>
            </w:pPr>
          </w:p>
        </w:tc>
      </w:tr>
      <w:tr>
        <w:trPr>
          <w:trHeight w:val="471" w:hRule="atLeast"/>
        </w:trPr>
        <w:tc>
          <w:tcPr>
            <w:tcW w:w="2153" w:type="dxa"/>
          </w:tcPr>
          <w:p>
            <w:pPr>
              <w:pStyle w:val="TableParagraph"/>
              <w:spacing w:line="226" w:lineRule="exact"/>
              <w:ind w:left="50" w:firstLine="4"/>
              <w:rPr>
                <w:sz w:val="19"/>
              </w:rPr>
            </w:pPr>
            <w:r>
              <w:rPr>
                <w:color w:val="0F0F0F"/>
                <w:w w:val="105"/>
                <w:sz w:val="19"/>
              </w:rPr>
              <w:t>Other</w:t>
            </w:r>
            <w:r>
              <w:rPr>
                <w:color w:val="0F0F0F"/>
                <w:spacing w:val="-14"/>
                <w:w w:val="105"/>
                <w:sz w:val="19"/>
              </w:rPr>
              <w:t> </w:t>
            </w:r>
            <w:r>
              <w:rPr>
                <w:color w:val="0F0F0F"/>
                <w:w w:val="105"/>
                <w:sz w:val="19"/>
              </w:rPr>
              <w:t>Long</w:t>
            </w:r>
            <w:r>
              <w:rPr>
                <w:color w:val="0F0F0F"/>
                <w:spacing w:val="-14"/>
                <w:w w:val="105"/>
                <w:sz w:val="19"/>
              </w:rPr>
              <w:t> </w:t>
            </w:r>
            <w:r>
              <w:rPr>
                <w:color w:val="0F0F0F"/>
                <w:w w:val="105"/>
                <w:sz w:val="19"/>
              </w:rPr>
              <w:t>term </w:t>
            </w:r>
            <w:r>
              <w:rPr>
                <w:color w:val="0F0F0F"/>
                <w:spacing w:val="-2"/>
                <w:w w:val="105"/>
                <w:sz w:val="19"/>
              </w:rPr>
              <w:t>Liabilities</w:t>
            </w:r>
          </w:p>
        </w:tc>
        <w:tc>
          <w:tcPr>
            <w:tcW w:w="1349" w:type="dxa"/>
          </w:tcPr>
          <w:p>
            <w:pPr>
              <w:pStyle w:val="TableParagraph"/>
              <w:spacing w:before="15"/>
              <w:rPr>
                <w:sz w:val="19"/>
              </w:rPr>
            </w:pPr>
          </w:p>
          <w:p>
            <w:pPr>
              <w:pStyle w:val="TableParagraph"/>
              <w:spacing w:line="218" w:lineRule="exact"/>
              <w:ind w:right="139"/>
              <w:jc w:val="right"/>
              <w:rPr>
                <w:sz w:val="19"/>
              </w:rPr>
            </w:pPr>
            <w:r>
              <w:rPr>
                <w:color w:val="0F0F0F"/>
                <w:spacing w:val="-4"/>
                <w:w w:val="105"/>
                <w:sz w:val="19"/>
              </w:rPr>
              <w:t>(173)</w:t>
            </w:r>
          </w:p>
        </w:tc>
        <w:tc>
          <w:tcPr>
            <w:tcW w:w="1039" w:type="dxa"/>
          </w:tcPr>
          <w:p>
            <w:pPr>
              <w:pStyle w:val="TableParagraph"/>
              <w:rPr>
                <w:rFonts w:ascii="Times New Roman"/>
                <w:sz w:val="18"/>
              </w:rPr>
            </w:pPr>
          </w:p>
        </w:tc>
        <w:tc>
          <w:tcPr>
            <w:tcW w:w="1410" w:type="dxa"/>
          </w:tcPr>
          <w:p>
            <w:pPr>
              <w:pStyle w:val="TableParagraph"/>
              <w:rPr>
                <w:rFonts w:ascii="Times New Roman"/>
                <w:sz w:val="18"/>
              </w:rPr>
            </w:pPr>
          </w:p>
        </w:tc>
        <w:tc>
          <w:tcPr>
            <w:tcW w:w="1125" w:type="dxa"/>
          </w:tcPr>
          <w:p>
            <w:pPr>
              <w:pStyle w:val="TableParagraph"/>
              <w:spacing w:before="15"/>
              <w:rPr>
                <w:sz w:val="19"/>
              </w:rPr>
            </w:pPr>
          </w:p>
          <w:p>
            <w:pPr>
              <w:pStyle w:val="TableParagraph"/>
              <w:spacing w:line="218" w:lineRule="exact"/>
              <w:ind w:right="146"/>
              <w:jc w:val="right"/>
              <w:rPr>
                <w:sz w:val="19"/>
              </w:rPr>
            </w:pPr>
            <w:r>
              <w:rPr>
                <w:color w:val="0F0F0F"/>
                <w:spacing w:val="-4"/>
                <w:w w:val="105"/>
                <w:sz w:val="19"/>
              </w:rPr>
              <w:t>(173)</w:t>
            </w:r>
          </w:p>
        </w:tc>
        <w:tc>
          <w:tcPr>
            <w:tcW w:w="1567" w:type="dxa"/>
            <w:tcBorders>
              <w:bottom w:val="single" w:color="000000" w:sz="6" w:space="0"/>
            </w:tcBorders>
          </w:tcPr>
          <w:p>
            <w:pPr>
              <w:pStyle w:val="TableParagraph"/>
              <w:rPr>
                <w:rFonts w:ascii="Times New Roman"/>
                <w:sz w:val="18"/>
              </w:rPr>
            </w:pPr>
          </w:p>
        </w:tc>
      </w:tr>
      <w:tr>
        <w:trPr>
          <w:trHeight w:val="210" w:hRule="atLeast"/>
        </w:trPr>
        <w:tc>
          <w:tcPr>
            <w:tcW w:w="2153" w:type="dxa"/>
          </w:tcPr>
          <w:p>
            <w:pPr>
              <w:pStyle w:val="TableParagraph"/>
              <w:rPr>
                <w:rFonts w:ascii="Times New Roman"/>
                <w:sz w:val="14"/>
              </w:rPr>
            </w:pPr>
          </w:p>
        </w:tc>
        <w:tc>
          <w:tcPr>
            <w:tcW w:w="1349" w:type="dxa"/>
          </w:tcPr>
          <w:p>
            <w:pPr>
              <w:pStyle w:val="TableParagraph"/>
              <w:rPr>
                <w:rFonts w:ascii="Times New Roman"/>
                <w:sz w:val="14"/>
              </w:rPr>
            </w:pPr>
          </w:p>
        </w:tc>
        <w:tc>
          <w:tcPr>
            <w:tcW w:w="1039" w:type="dxa"/>
          </w:tcPr>
          <w:p>
            <w:pPr>
              <w:pStyle w:val="TableParagraph"/>
              <w:rPr>
                <w:rFonts w:ascii="Times New Roman"/>
                <w:sz w:val="14"/>
              </w:rPr>
            </w:pPr>
          </w:p>
        </w:tc>
        <w:tc>
          <w:tcPr>
            <w:tcW w:w="1410" w:type="dxa"/>
          </w:tcPr>
          <w:p>
            <w:pPr>
              <w:pStyle w:val="TableParagraph"/>
              <w:rPr>
                <w:rFonts w:ascii="Times New Roman"/>
                <w:sz w:val="14"/>
              </w:rPr>
            </w:pPr>
          </w:p>
        </w:tc>
        <w:tc>
          <w:tcPr>
            <w:tcW w:w="1125" w:type="dxa"/>
          </w:tcPr>
          <w:p>
            <w:pPr>
              <w:pStyle w:val="TableParagraph"/>
              <w:rPr>
                <w:rFonts w:ascii="Times New Roman"/>
                <w:sz w:val="14"/>
              </w:rPr>
            </w:pPr>
          </w:p>
        </w:tc>
        <w:tc>
          <w:tcPr>
            <w:tcW w:w="1567" w:type="dxa"/>
            <w:tcBorders>
              <w:top w:val="single" w:color="000000" w:sz="6" w:space="0"/>
            </w:tcBorders>
          </w:tcPr>
          <w:p>
            <w:pPr>
              <w:pStyle w:val="TableParagraph"/>
              <w:spacing w:line="191" w:lineRule="exact"/>
              <w:ind w:right="290"/>
              <w:jc w:val="right"/>
              <w:rPr>
                <w:sz w:val="19"/>
              </w:rPr>
            </w:pPr>
            <w:r>
              <w:rPr>
                <w:color w:val="262626"/>
                <w:spacing w:val="-4"/>
                <w:w w:val="105"/>
                <w:sz w:val="19"/>
                <w:u w:val="thick" w:color="262626"/>
              </w:rPr>
              <w:t>(788)</w:t>
            </w:r>
          </w:p>
        </w:tc>
      </w:tr>
    </w:tbl>
    <w:p>
      <w:pPr>
        <w:pStyle w:val="BodyText"/>
        <w:spacing w:before="8"/>
        <w:rPr>
          <w:sz w:val="21"/>
        </w:rPr>
      </w:pPr>
    </w:p>
    <w:p>
      <w:pPr>
        <w:spacing w:before="0" w:line="290" w:lineRule="auto"/>
        <w:ind w:left="1375" w:right="1157" w:firstLine="6"/>
        <w:jc w:val="left"/>
        <w:rPr>
          <w:sz w:val="21"/>
        </w:rPr>
      </w:pPr>
      <w:r>
        <w:rPr>
          <w:color w:val="0F0F0F"/>
          <w:w w:val="105"/>
          <w:sz w:val="21"/>
        </w:rPr>
        <w:t>For</w:t>
      </w:r>
      <w:r>
        <w:rPr>
          <w:color w:val="0F0F0F"/>
          <w:spacing w:val="-9"/>
          <w:w w:val="105"/>
          <w:sz w:val="21"/>
        </w:rPr>
        <w:t> </w:t>
      </w:r>
      <w:r>
        <w:rPr>
          <w:color w:val="0F0F0F"/>
          <w:w w:val="105"/>
          <w:sz w:val="21"/>
        </w:rPr>
        <w:t>those assets and</w:t>
      </w:r>
      <w:r>
        <w:rPr>
          <w:color w:val="0F0F0F"/>
          <w:spacing w:val="-12"/>
          <w:w w:val="105"/>
          <w:sz w:val="21"/>
        </w:rPr>
        <w:t> </w:t>
      </w:r>
      <w:r>
        <w:rPr>
          <w:color w:val="0F0F0F"/>
          <w:w w:val="105"/>
          <w:sz w:val="21"/>
        </w:rPr>
        <w:t>liabilities carried at amortised cost</w:t>
      </w:r>
      <w:r>
        <w:rPr>
          <w:color w:val="0F0F0F"/>
          <w:spacing w:val="-5"/>
          <w:w w:val="105"/>
          <w:sz w:val="21"/>
        </w:rPr>
        <w:t> </w:t>
      </w:r>
      <w:r>
        <w:rPr>
          <w:color w:val="0F0F0F"/>
          <w:w w:val="105"/>
          <w:sz w:val="21"/>
        </w:rPr>
        <w:t>such</w:t>
      </w:r>
      <w:r>
        <w:rPr>
          <w:color w:val="0F0F0F"/>
          <w:spacing w:val="-4"/>
          <w:w w:val="105"/>
          <w:sz w:val="21"/>
        </w:rPr>
        <w:t> </w:t>
      </w:r>
      <w:r>
        <w:rPr>
          <w:color w:val="0F0F0F"/>
          <w:w w:val="105"/>
          <w:sz w:val="21"/>
        </w:rPr>
        <w:t>carrying amounts provide a reliable estimate of fair value.</w:t>
      </w:r>
    </w:p>
    <w:p>
      <w:pPr>
        <w:spacing w:after="0" w:line="290" w:lineRule="auto"/>
        <w:jc w:val="left"/>
        <w:rPr>
          <w:sz w:val="21"/>
        </w:rPr>
        <w:sectPr>
          <w:footerReference w:type="even" r:id="rId179"/>
          <w:footerReference w:type="default" r:id="rId180"/>
          <w:pgSz w:w="11910" w:h="16830"/>
          <w:pgMar w:top="1060" w:right="300" w:bottom="1180" w:left="0" w:header="0" w:footer="991"/>
          <w:pgNumType w:start="84"/>
        </w:sectPr>
      </w:pPr>
    </w:p>
    <w:p>
      <w:pPr>
        <w:pStyle w:val="BodyText"/>
        <w:spacing w:before="39"/>
        <w:rPr>
          <w:sz w:val="21"/>
        </w:rPr>
      </w:pPr>
    </w:p>
    <w:p>
      <w:pPr>
        <w:spacing w:before="0"/>
        <w:ind w:left="1264" w:right="0" w:firstLine="0"/>
        <w:jc w:val="left"/>
        <w:rPr>
          <w:b/>
          <w:sz w:val="21"/>
        </w:rPr>
      </w:pPr>
      <w:r>
        <w:rPr>
          <w:b/>
          <w:color w:val="0A0A0A"/>
          <w:w w:val="105"/>
          <w:sz w:val="21"/>
        </w:rPr>
        <w:t>Income,</w:t>
      </w:r>
      <w:r>
        <w:rPr>
          <w:b/>
          <w:color w:val="0A0A0A"/>
          <w:spacing w:val="-7"/>
          <w:w w:val="105"/>
          <w:sz w:val="21"/>
        </w:rPr>
        <w:t> </w:t>
      </w:r>
      <w:r>
        <w:rPr>
          <w:b/>
          <w:color w:val="0A0A0A"/>
          <w:w w:val="105"/>
          <w:sz w:val="21"/>
        </w:rPr>
        <w:t>Expense,</w:t>
      </w:r>
      <w:r>
        <w:rPr>
          <w:b/>
          <w:color w:val="0A0A0A"/>
          <w:spacing w:val="-4"/>
          <w:w w:val="105"/>
          <w:sz w:val="21"/>
        </w:rPr>
        <w:t> </w:t>
      </w:r>
      <w:r>
        <w:rPr>
          <w:b/>
          <w:color w:val="0A0A0A"/>
          <w:w w:val="105"/>
          <w:sz w:val="21"/>
        </w:rPr>
        <w:t>Gains</w:t>
      </w:r>
      <w:r>
        <w:rPr>
          <w:b/>
          <w:color w:val="0A0A0A"/>
          <w:spacing w:val="-8"/>
          <w:w w:val="105"/>
          <w:sz w:val="21"/>
        </w:rPr>
        <w:t> </w:t>
      </w:r>
      <w:r>
        <w:rPr>
          <w:b/>
          <w:color w:val="0A0A0A"/>
          <w:w w:val="105"/>
          <w:sz w:val="21"/>
        </w:rPr>
        <w:t>and</w:t>
      </w:r>
      <w:r>
        <w:rPr>
          <w:b/>
          <w:color w:val="0A0A0A"/>
          <w:spacing w:val="-8"/>
          <w:w w:val="105"/>
          <w:sz w:val="21"/>
        </w:rPr>
        <w:t> </w:t>
      </w:r>
      <w:r>
        <w:rPr>
          <w:b/>
          <w:color w:val="0A0A0A"/>
          <w:spacing w:val="-2"/>
          <w:w w:val="105"/>
          <w:sz w:val="21"/>
        </w:rPr>
        <w:t>Losses</w:t>
      </w:r>
    </w:p>
    <w:p>
      <w:pPr>
        <w:pStyle w:val="BodyText"/>
        <w:spacing w:before="21"/>
        <w:rPr>
          <w:b/>
          <w:sz w:val="21"/>
        </w:rPr>
      </w:pPr>
    </w:p>
    <w:p>
      <w:pPr>
        <w:spacing w:before="0"/>
        <w:ind w:left="1269" w:right="0" w:firstLine="0"/>
        <w:jc w:val="left"/>
        <w:rPr>
          <w:sz w:val="21"/>
        </w:rPr>
      </w:pPr>
      <w:r>
        <w:rPr>
          <w:color w:val="0A0A0A"/>
          <w:w w:val="105"/>
          <w:sz w:val="21"/>
        </w:rPr>
        <w:t>The</w:t>
      </w:r>
      <w:r>
        <w:rPr>
          <w:color w:val="0A0A0A"/>
          <w:spacing w:val="-11"/>
          <w:w w:val="105"/>
          <w:sz w:val="21"/>
        </w:rPr>
        <w:t> </w:t>
      </w:r>
      <w:r>
        <w:rPr>
          <w:color w:val="0A0A0A"/>
          <w:w w:val="105"/>
          <w:sz w:val="21"/>
        </w:rPr>
        <w:t>following</w:t>
      </w:r>
      <w:r>
        <w:rPr>
          <w:color w:val="0A0A0A"/>
          <w:spacing w:val="-4"/>
          <w:w w:val="105"/>
          <w:sz w:val="21"/>
        </w:rPr>
        <w:t> </w:t>
      </w:r>
      <w:r>
        <w:rPr>
          <w:color w:val="0A0A0A"/>
          <w:w w:val="105"/>
          <w:sz w:val="21"/>
        </w:rPr>
        <w:t>gains</w:t>
      </w:r>
      <w:r>
        <w:rPr>
          <w:color w:val="0A0A0A"/>
          <w:spacing w:val="-3"/>
          <w:w w:val="105"/>
          <w:sz w:val="21"/>
        </w:rPr>
        <w:t> </w:t>
      </w:r>
      <w:r>
        <w:rPr>
          <w:color w:val="0A0A0A"/>
          <w:w w:val="105"/>
          <w:sz w:val="21"/>
        </w:rPr>
        <w:t>and</w:t>
      </w:r>
      <w:r>
        <w:rPr>
          <w:color w:val="0A0A0A"/>
          <w:spacing w:val="-7"/>
          <w:w w:val="105"/>
          <w:sz w:val="21"/>
        </w:rPr>
        <w:t> </w:t>
      </w:r>
      <w:r>
        <w:rPr>
          <w:color w:val="0A0A0A"/>
          <w:w w:val="105"/>
          <w:sz w:val="21"/>
        </w:rPr>
        <w:t>losses</w:t>
      </w:r>
      <w:r>
        <w:rPr>
          <w:color w:val="0A0A0A"/>
          <w:spacing w:val="-2"/>
          <w:w w:val="105"/>
          <w:sz w:val="21"/>
        </w:rPr>
        <w:t> </w:t>
      </w:r>
      <w:r>
        <w:rPr>
          <w:color w:val="0A0A0A"/>
          <w:w w:val="105"/>
          <w:sz w:val="21"/>
        </w:rPr>
        <w:t>arose</w:t>
      </w:r>
      <w:r>
        <w:rPr>
          <w:color w:val="0A0A0A"/>
          <w:spacing w:val="-7"/>
          <w:w w:val="105"/>
          <w:sz w:val="21"/>
        </w:rPr>
        <w:t> </w:t>
      </w:r>
      <w:r>
        <w:rPr>
          <w:color w:val="0A0A0A"/>
          <w:w w:val="105"/>
          <w:sz w:val="21"/>
        </w:rPr>
        <w:t>in</w:t>
      </w:r>
      <w:r>
        <w:rPr>
          <w:color w:val="0A0A0A"/>
          <w:spacing w:val="-6"/>
          <w:w w:val="105"/>
          <w:sz w:val="21"/>
        </w:rPr>
        <w:t> </w:t>
      </w:r>
      <w:r>
        <w:rPr>
          <w:color w:val="0A0A0A"/>
          <w:w w:val="105"/>
          <w:sz w:val="21"/>
        </w:rPr>
        <w:t>2022/23</w:t>
      </w:r>
      <w:r>
        <w:rPr>
          <w:color w:val="0A0A0A"/>
          <w:spacing w:val="-1"/>
          <w:w w:val="105"/>
          <w:sz w:val="21"/>
        </w:rPr>
        <w:t> </w:t>
      </w:r>
      <w:r>
        <w:rPr>
          <w:color w:val="0A0A0A"/>
          <w:w w:val="105"/>
          <w:sz w:val="21"/>
        </w:rPr>
        <w:t>in</w:t>
      </w:r>
      <w:r>
        <w:rPr>
          <w:color w:val="0A0A0A"/>
          <w:spacing w:val="-16"/>
          <w:w w:val="105"/>
          <w:sz w:val="21"/>
        </w:rPr>
        <w:t> </w:t>
      </w:r>
      <w:r>
        <w:rPr>
          <w:color w:val="0A0A0A"/>
          <w:w w:val="105"/>
          <w:sz w:val="21"/>
        </w:rPr>
        <w:t>relation</w:t>
      </w:r>
      <w:r>
        <w:rPr>
          <w:color w:val="0A0A0A"/>
          <w:spacing w:val="-13"/>
          <w:w w:val="105"/>
          <w:sz w:val="21"/>
        </w:rPr>
        <w:t> </w:t>
      </w:r>
      <w:r>
        <w:rPr>
          <w:color w:val="0A0A0A"/>
          <w:w w:val="105"/>
          <w:sz w:val="21"/>
        </w:rPr>
        <w:t>to</w:t>
      </w:r>
      <w:r>
        <w:rPr>
          <w:color w:val="0A0A0A"/>
          <w:spacing w:val="-9"/>
          <w:w w:val="105"/>
          <w:sz w:val="21"/>
        </w:rPr>
        <w:t> </w:t>
      </w:r>
      <w:r>
        <w:rPr>
          <w:color w:val="0A0A0A"/>
          <w:w w:val="105"/>
          <w:sz w:val="21"/>
        </w:rPr>
        <w:t>financial</w:t>
      </w:r>
      <w:r>
        <w:rPr>
          <w:color w:val="0A0A0A"/>
          <w:spacing w:val="-5"/>
          <w:w w:val="105"/>
          <w:sz w:val="21"/>
        </w:rPr>
        <w:t> </w:t>
      </w:r>
      <w:r>
        <w:rPr>
          <w:color w:val="0A0A0A"/>
          <w:spacing w:val="-2"/>
          <w:w w:val="105"/>
          <w:sz w:val="21"/>
        </w:rPr>
        <w:t>instruments.</w:t>
      </w:r>
    </w:p>
    <w:p>
      <w:pPr>
        <w:pStyle w:val="BodyText"/>
        <w:spacing w:before="1"/>
        <w:rPr>
          <w:sz w:val="13"/>
        </w:rPr>
      </w:pPr>
    </w:p>
    <w:p>
      <w:pPr>
        <w:spacing w:after="0"/>
        <w:rPr>
          <w:sz w:val="13"/>
        </w:rPr>
        <w:sectPr>
          <w:headerReference w:type="default" r:id="rId181"/>
          <w:headerReference w:type="even" r:id="rId182"/>
          <w:pgSz w:w="11910" w:h="16830"/>
          <w:pgMar w:top="880" w:right="300" w:bottom="1320" w:left="0" w:header="726" w:footer="0"/>
        </w:sectPr>
      </w:pPr>
    </w:p>
    <w:p>
      <w:pPr>
        <w:spacing w:before="99"/>
        <w:ind w:left="1380" w:right="11" w:firstLine="0"/>
        <w:jc w:val="center"/>
        <w:rPr>
          <w:b/>
          <w:sz w:val="21"/>
        </w:rPr>
      </w:pPr>
      <w:r>
        <w:rPr>
          <w:b/>
          <w:color w:val="0A0A0A"/>
          <w:sz w:val="21"/>
        </w:rPr>
        <w:t>2021-</w:t>
      </w:r>
      <w:r>
        <w:rPr>
          <w:b/>
          <w:color w:val="0A0A0A"/>
          <w:spacing w:val="-5"/>
          <w:sz w:val="21"/>
        </w:rPr>
        <w:t>22</w:t>
      </w:r>
    </w:p>
    <w:p>
      <w:pPr>
        <w:spacing w:before="12" w:line="254" w:lineRule="auto"/>
        <w:ind w:left="1387" w:right="0" w:hanging="11"/>
        <w:jc w:val="center"/>
        <w:rPr>
          <w:b/>
          <w:sz w:val="19"/>
        </w:rPr>
      </w:pPr>
      <w:r>
        <w:rPr>
          <w:b/>
          <w:color w:val="0A0A0A"/>
          <w:spacing w:val="-2"/>
          <w:w w:val="105"/>
          <w:sz w:val="19"/>
        </w:rPr>
        <w:t>Financial Instruments </w:t>
      </w:r>
      <w:r>
        <w:rPr>
          <w:b/>
          <w:color w:val="0A0A0A"/>
          <w:w w:val="105"/>
          <w:sz w:val="19"/>
        </w:rPr>
        <w:t>measured</w:t>
      </w:r>
      <w:r>
        <w:rPr>
          <w:b/>
          <w:color w:val="0A0A0A"/>
          <w:spacing w:val="-11"/>
          <w:w w:val="105"/>
          <w:sz w:val="19"/>
        </w:rPr>
        <w:t> </w:t>
      </w:r>
      <w:r>
        <w:rPr>
          <w:b/>
          <w:color w:val="0A0A0A"/>
          <w:w w:val="105"/>
          <w:sz w:val="19"/>
        </w:rPr>
        <w:t>at </w:t>
      </w:r>
      <w:r>
        <w:rPr>
          <w:b/>
          <w:color w:val="0A0A0A"/>
          <w:spacing w:val="-2"/>
          <w:w w:val="105"/>
          <w:sz w:val="19"/>
        </w:rPr>
        <w:t>amortised </w:t>
      </w:r>
      <w:r>
        <w:rPr>
          <w:b/>
          <w:color w:val="0A0A0A"/>
          <w:spacing w:val="-4"/>
          <w:w w:val="105"/>
          <w:sz w:val="19"/>
        </w:rPr>
        <w:t>cost</w:t>
      </w:r>
    </w:p>
    <w:p>
      <w:pPr>
        <w:spacing w:before="0" w:line="214" w:lineRule="exact"/>
        <w:ind w:left="1380" w:right="0" w:firstLine="0"/>
        <w:jc w:val="center"/>
        <w:rPr>
          <w:b/>
          <w:sz w:val="19"/>
        </w:rPr>
      </w:pPr>
      <w:r>
        <w:rPr>
          <w:b/>
          <w:color w:val="0A0A0A"/>
          <w:spacing w:val="-4"/>
          <w:w w:val="105"/>
          <w:sz w:val="19"/>
        </w:rPr>
        <w:t>£000</w:t>
      </w:r>
    </w:p>
    <w:p>
      <w:pPr>
        <w:spacing w:before="0" w:line="240" w:lineRule="auto"/>
        <w:rPr>
          <w:b/>
          <w:sz w:val="21"/>
        </w:rPr>
      </w:pPr>
      <w:r>
        <w:rPr/>
        <w:br w:type="column"/>
      </w:r>
      <w:r>
        <w:rPr>
          <w:b/>
          <w:sz w:val="21"/>
        </w:rPr>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61"/>
        <w:rPr>
          <w:b/>
          <w:sz w:val="21"/>
        </w:rPr>
      </w:pPr>
    </w:p>
    <w:p>
      <w:pPr>
        <w:spacing w:before="0"/>
        <w:ind w:left="193" w:right="0" w:firstLine="0"/>
        <w:jc w:val="left"/>
        <w:rPr>
          <w:sz w:val="21"/>
        </w:rPr>
      </w:pPr>
      <w:r>
        <w:rPr>
          <w:color w:val="1C1C1C"/>
          <w:w w:val="105"/>
          <w:sz w:val="21"/>
          <w:u w:val="thick" w:color="1C1C1C"/>
        </w:rPr>
        <w:t>Financing</w:t>
      </w:r>
      <w:r>
        <w:rPr>
          <w:color w:val="1C1C1C"/>
          <w:spacing w:val="-9"/>
          <w:w w:val="105"/>
          <w:sz w:val="21"/>
          <w:u w:val="thick" w:color="1C1C1C"/>
        </w:rPr>
        <w:t> </w:t>
      </w:r>
      <w:r>
        <w:rPr>
          <w:color w:val="1C1C1C"/>
          <w:w w:val="105"/>
          <w:sz w:val="21"/>
          <w:u w:val="thick" w:color="1C1C1C"/>
        </w:rPr>
        <w:t>and</w:t>
      </w:r>
      <w:r>
        <w:rPr>
          <w:color w:val="1C1C1C"/>
          <w:spacing w:val="-16"/>
          <w:w w:val="105"/>
          <w:sz w:val="21"/>
          <w:u w:val="thick" w:color="1C1C1C"/>
        </w:rPr>
        <w:t> </w:t>
      </w:r>
      <w:r>
        <w:rPr>
          <w:color w:val="1C1C1C"/>
          <w:w w:val="105"/>
          <w:sz w:val="21"/>
          <w:u w:val="thick" w:color="1C1C1C"/>
        </w:rPr>
        <w:t>Investment</w:t>
      </w:r>
      <w:r>
        <w:rPr>
          <w:color w:val="1C1C1C"/>
          <w:spacing w:val="-1"/>
          <w:w w:val="105"/>
          <w:sz w:val="21"/>
          <w:u w:val="thick" w:color="1C1C1C"/>
        </w:rPr>
        <w:t> </w:t>
      </w:r>
      <w:r>
        <w:rPr>
          <w:color w:val="1C1C1C"/>
          <w:w w:val="105"/>
          <w:sz w:val="21"/>
          <w:u w:val="thick" w:color="1C1C1C"/>
        </w:rPr>
        <w:t>Income</w:t>
      </w:r>
      <w:r>
        <w:rPr>
          <w:color w:val="1C1C1C"/>
          <w:spacing w:val="-11"/>
          <w:w w:val="105"/>
          <w:sz w:val="21"/>
          <w:u w:val="thick" w:color="1C1C1C"/>
        </w:rPr>
        <w:t> </w:t>
      </w:r>
      <w:r>
        <w:rPr>
          <w:color w:val="1C1C1C"/>
          <w:w w:val="105"/>
          <w:sz w:val="21"/>
          <w:u w:val="thick" w:color="1C1C1C"/>
        </w:rPr>
        <w:t>and</w:t>
      </w:r>
      <w:r>
        <w:rPr>
          <w:color w:val="1C1C1C"/>
          <w:spacing w:val="-15"/>
          <w:w w:val="105"/>
          <w:sz w:val="21"/>
          <w:u w:val="thick" w:color="1C1C1C"/>
        </w:rPr>
        <w:t> </w:t>
      </w:r>
      <w:r>
        <w:rPr>
          <w:color w:val="1C1C1C"/>
          <w:spacing w:val="-2"/>
          <w:w w:val="105"/>
          <w:sz w:val="21"/>
          <w:u w:val="thick" w:color="1C1C1C"/>
        </w:rPr>
        <w:t>Expenditure</w:t>
      </w:r>
    </w:p>
    <w:p>
      <w:pPr>
        <w:spacing w:before="94"/>
        <w:ind w:left="0" w:right="35" w:firstLine="0"/>
        <w:jc w:val="center"/>
        <w:rPr>
          <w:b/>
          <w:sz w:val="21"/>
        </w:rPr>
      </w:pPr>
      <w:r>
        <w:rPr/>
        <w:br w:type="column"/>
      </w:r>
      <w:r>
        <w:rPr>
          <w:b/>
          <w:color w:val="0A0A0A"/>
          <w:sz w:val="21"/>
        </w:rPr>
        <w:t>2022-</w:t>
      </w:r>
      <w:r>
        <w:rPr>
          <w:b/>
          <w:color w:val="0A0A0A"/>
          <w:spacing w:val="-5"/>
          <w:sz w:val="21"/>
        </w:rPr>
        <w:t>23</w:t>
      </w:r>
    </w:p>
    <w:p>
      <w:pPr>
        <w:spacing w:before="13" w:line="254" w:lineRule="auto"/>
        <w:ind w:left="1308" w:right="1338" w:hanging="10"/>
        <w:jc w:val="center"/>
        <w:rPr>
          <w:b/>
          <w:sz w:val="19"/>
        </w:rPr>
      </w:pPr>
      <w:r>
        <w:rPr>
          <w:b/>
          <w:color w:val="0A0A0A"/>
          <w:spacing w:val="-2"/>
          <w:w w:val="105"/>
          <w:sz w:val="19"/>
        </w:rPr>
        <w:t>Financial Instruments </w:t>
      </w:r>
      <w:r>
        <w:rPr>
          <w:b/>
          <w:color w:val="0A0A0A"/>
          <w:w w:val="105"/>
          <w:sz w:val="19"/>
        </w:rPr>
        <w:t>measured</w:t>
      </w:r>
      <w:r>
        <w:rPr>
          <w:b/>
          <w:color w:val="0A0A0A"/>
          <w:spacing w:val="-7"/>
          <w:w w:val="105"/>
          <w:sz w:val="19"/>
        </w:rPr>
        <w:t> </w:t>
      </w:r>
      <w:r>
        <w:rPr>
          <w:b/>
          <w:color w:val="0A0A0A"/>
          <w:w w:val="105"/>
          <w:sz w:val="19"/>
        </w:rPr>
        <w:t>at </w:t>
      </w:r>
      <w:r>
        <w:rPr>
          <w:b/>
          <w:color w:val="0A0A0A"/>
          <w:spacing w:val="-2"/>
          <w:w w:val="105"/>
          <w:sz w:val="19"/>
        </w:rPr>
        <w:t>amortised </w:t>
      </w:r>
      <w:r>
        <w:rPr>
          <w:b/>
          <w:color w:val="0A0A0A"/>
          <w:spacing w:val="-4"/>
          <w:w w:val="105"/>
          <w:sz w:val="19"/>
        </w:rPr>
        <w:t>cost</w:t>
      </w:r>
    </w:p>
    <w:p>
      <w:pPr>
        <w:spacing w:before="0"/>
        <w:ind w:left="15" w:right="35" w:firstLine="0"/>
        <w:jc w:val="center"/>
        <w:rPr>
          <w:b/>
          <w:sz w:val="19"/>
        </w:rPr>
      </w:pPr>
      <w:r>
        <w:rPr>
          <w:b/>
          <w:color w:val="0A0A0A"/>
          <w:spacing w:val="-4"/>
          <w:w w:val="105"/>
          <w:sz w:val="19"/>
        </w:rPr>
        <w:t>£000</w:t>
      </w:r>
    </w:p>
    <w:p>
      <w:pPr>
        <w:spacing w:after="0"/>
        <w:jc w:val="center"/>
        <w:rPr>
          <w:sz w:val="19"/>
        </w:rPr>
        <w:sectPr>
          <w:type w:val="continuous"/>
          <w:pgSz w:w="11910" w:h="16830"/>
          <w:pgMar w:top="1940" w:right="300" w:bottom="280" w:left="0" w:header="726" w:footer="0"/>
          <w:cols w:equalWidth="0" w:num="3">
            <w:col w:w="2568" w:space="40"/>
            <w:col w:w="5129" w:space="39"/>
            <w:col w:w="3834"/>
          </w:cols>
        </w:sectPr>
      </w:pPr>
    </w:p>
    <w:p>
      <w:pPr>
        <w:pStyle w:val="BodyText"/>
        <w:spacing w:before="31"/>
        <w:rPr>
          <w:b/>
          <w:sz w:val="21"/>
        </w:rPr>
      </w:pPr>
    </w:p>
    <w:p>
      <w:pPr>
        <w:tabs>
          <w:tab w:val="left" w:leader="none" w:pos="2792"/>
        </w:tabs>
        <w:spacing w:before="1"/>
        <w:ind w:left="2512" w:right="0" w:firstLine="0"/>
        <w:jc w:val="left"/>
        <w:rPr>
          <w:sz w:val="21"/>
        </w:rPr>
      </w:pPr>
      <w:r>
        <w:rPr>
          <w:color w:val="1C1C1C"/>
          <w:spacing w:val="-10"/>
          <w:w w:val="105"/>
          <w:sz w:val="21"/>
        </w:rPr>
        <w:t>-</w:t>
      </w:r>
      <w:r>
        <w:rPr>
          <w:color w:val="1C1C1C"/>
          <w:sz w:val="21"/>
        </w:rPr>
        <w:tab/>
      </w:r>
      <w:r>
        <w:rPr>
          <w:color w:val="0A0A0A"/>
          <w:w w:val="105"/>
          <w:sz w:val="21"/>
        </w:rPr>
        <w:t>Interest</w:t>
      </w:r>
      <w:r>
        <w:rPr>
          <w:color w:val="0A0A0A"/>
          <w:spacing w:val="-7"/>
          <w:w w:val="105"/>
          <w:sz w:val="21"/>
        </w:rPr>
        <w:t> </w:t>
      </w:r>
      <w:r>
        <w:rPr>
          <w:color w:val="0A0A0A"/>
          <w:w w:val="105"/>
          <w:sz w:val="21"/>
        </w:rPr>
        <w:t>payable</w:t>
      </w:r>
      <w:r>
        <w:rPr>
          <w:color w:val="0A0A0A"/>
          <w:spacing w:val="-5"/>
          <w:w w:val="105"/>
          <w:sz w:val="21"/>
        </w:rPr>
        <w:t> </w:t>
      </w:r>
      <w:r>
        <w:rPr>
          <w:color w:val="0A0A0A"/>
          <w:w w:val="105"/>
          <w:sz w:val="21"/>
        </w:rPr>
        <w:t>and</w:t>
      </w:r>
      <w:r>
        <w:rPr>
          <w:color w:val="0A0A0A"/>
          <w:spacing w:val="-11"/>
          <w:w w:val="105"/>
          <w:sz w:val="21"/>
        </w:rPr>
        <w:t> </w:t>
      </w:r>
      <w:r>
        <w:rPr>
          <w:color w:val="0A0A0A"/>
          <w:w w:val="105"/>
          <w:sz w:val="21"/>
        </w:rPr>
        <w:t>similar</w:t>
      </w:r>
      <w:r>
        <w:rPr>
          <w:color w:val="0A0A0A"/>
          <w:spacing w:val="-3"/>
          <w:w w:val="105"/>
          <w:sz w:val="21"/>
        </w:rPr>
        <w:t> </w:t>
      </w:r>
      <w:r>
        <w:rPr>
          <w:color w:val="0A0A0A"/>
          <w:spacing w:val="-2"/>
          <w:w w:val="105"/>
          <w:sz w:val="21"/>
        </w:rPr>
        <w:t>charges</w:t>
      </w:r>
    </w:p>
    <w:p>
      <w:pPr>
        <w:pStyle w:val="BodyText"/>
        <w:spacing w:before="1"/>
        <w:rPr>
          <w:sz w:val="15"/>
        </w:rPr>
      </w:pPr>
    </w:p>
    <w:p>
      <w:pPr>
        <w:spacing w:after="0"/>
        <w:rPr>
          <w:sz w:val="15"/>
        </w:rPr>
        <w:sectPr>
          <w:type w:val="continuous"/>
          <w:pgSz w:w="11910" w:h="16830"/>
          <w:pgMar w:top="1940" w:right="300" w:bottom="280" w:left="0" w:header="726" w:footer="0"/>
        </w:sectPr>
      </w:pPr>
    </w:p>
    <w:p>
      <w:pPr>
        <w:tabs>
          <w:tab w:val="left" w:leader="none" w:pos="2792"/>
        </w:tabs>
        <w:spacing w:before="94"/>
        <w:ind w:left="2064" w:right="0" w:firstLine="0"/>
        <w:jc w:val="left"/>
        <w:rPr>
          <w:sz w:val="21"/>
        </w:rPr>
      </w:pPr>
      <w:r>
        <w:rPr>
          <w:color w:val="0A0A0A"/>
          <w:spacing w:val="-2"/>
          <w:w w:val="105"/>
          <w:sz w:val="21"/>
        </w:rPr>
        <w:t>(345)</w:t>
      </w:r>
      <w:r>
        <w:rPr>
          <w:color w:val="0A0A0A"/>
          <w:sz w:val="21"/>
        </w:rPr>
        <w:tab/>
      </w:r>
      <w:r>
        <w:rPr>
          <w:color w:val="0A0A0A"/>
          <w:w w:val="105"/>
          <w:sz w:val="21"/>
        </w:rPr>
        <w:t>Interest</w:t>
      </w:r>
      <w:r>
        <w:rPr>
          <w:color w:val="0A0A0A"/>
          <w:spacing w:val="-10"/>
          <w:w w:val="105"/>
          <w:sz w:val="21"/>
        </w:rPr>
        <w:t> </w:t>
      </w:r>
      <w:r>
        <w:rPr>
          <w:color w:val="0A0A0A"/>
          <w:w w:val="105"/>
          <w:sz w:val="21"/>
        </w:rPr>
        <w:t>receivable</w:t>
      </w:r>
      <w:r>
        <w:rPr>
          <w:color w:val="0A0A0A"/>
          <w:spacing w:val="-1"/>
          <w:w w:val="105"/>
          <w:sz w:val="21"/>
        </w:rPr>
        <w:t> </w:t>
      </w:r>
      <w:r>
        <w:rPr>
          <w:color w:val="0A0A0A"/>
          <w:w w:val="105"/>
          <w:sz w:val="21"/>
        </w:rPr>
        <w:t>and</w:t>
      </w:r>
      <w:r>
        <w:rPr>
          <w:color w:val="0A0A0A"/>
          <w:spacing w:val="-13"/>
          <w:w w:val="105"/>
          <w:sz w:val="21"/>
        </w:rPr>
        <w:t> </w:t>
      </w:r>
      <w:r>
        <w:rPr>
          <w:color w:val="0A0A0A"/>
          <w:w w:val="105"/>
          <w:sz w:val="21"/>
        </w:rPr>
        <w:t>similar</w:t>
      </w:r>
      <w:r>
        <w:rPr>
          <w:color w:val="0A0A0A"/>
          <w:spacing w:val="-7"/>
          <w:w w:val="105"/>
          <w:sz w:val="21"/>
        </w:rPr>
        <w:t> </w:t>
      </w:r>
      <w:r>
        <w:rPr>
          <w:color w:val="0A0A0A"/>
          <w:spacing w:val="-2"/>
          <w:w w:val="105"/>
          <w:sz w:val="21"/>
        </w:rPr>
        <w:t>income</w:t>
      </w:r>
    </w:p>
    <w:p>
      <w:pPr>
        <w:pStyle w:val="BodyText"/>
        <w:spacing w:before="21"/>
        <w:rPr>
          <w:sz w:val="21"/>
        </w:rPr>
      </w:pPr>
    </w:p>
    <w:p>
      <w:pPr>
        <w:tabs>
          <w:tab w:val="left" w:leader="none" w:pos="2792"/>
        </w:tabs>
        <w:spacing w:before="1"/>
        <w:ind w:left="2208" w:right="0" w:firstLine="0"/>
        <w:jc w:val="left"/>
        <w:rPr>
          <w:sz w:val="21"/>
        </w:rPr>
      </w:pPr>
      <w:r>
        <w:rPr>
          <w:color w:val="0A0A0A"/>
          <w:spacing w:val="-5"/>
          <w:w w:val="105"/>
          <w:sz w:val="21"/>
        </w:rPr>
        <w:t>132</w:t>
      </w:r>
      <w:r>
        <w:rPr>
          <w:color w:val="0A0A0A"/>
          <w:sz w:val="21"/>
        </w:rPr>
        <w:tab/>
      </w:r>
      <w:r>
        <w:rPr>
          <w:color w:val="0A0A0A"/>
          <w:w w:val="105"/>
          <w:sz w:val="21"/>
        </w:rPr>
        <w:t>Impairment</w:t>
      </w:r>
      <w:r>
        <w:rPr>
          <w:color w:val="0A0A0A"/>
          <w:spacing w:val="-1"/>
          <w:w w:val="105"/>
          <w:sz w:val="21"/>
        </w:rPr>
        <w:t> </w:t>
      </w:r>
      <w:r>
        <w:rPr>
          <w:color w:val="0A0A0A"/>
          <w:w w:val="105"/>
          <w:sz w:val="21"/>
        </w:rPr>
        <w:t>of</w:t>
      </w:r>
      <w:r>
        <w:rPr>
          <w:color w:val="0A0A0A"/>
          <w:spacing w:val="-15"/>
          <w:w w:val="105"/>
          <w:sz w:val="21"/>
        </w:rPr>
        <w:t> </w:t>
      </w:r>
      <w:r>
        <w:rPr>
          <w:color w:val="0A0A0A"/>
          <w:w w:val="105"/>
          <w:sz w:val="21"/>
        </w:rPr>
        <w:t>Financial</w:t>
      </w:r>
      <w:r>
        <w:rPr>
          <w:color w:val="0A0A0A"/>
          <w:spacing w:val="-16"/>
          <w:w w:val="105"/>
          <w:sz w:val="21"/>
        </w:rPr>
        <w:t> </w:t>
      </w:r>
      <w:r>
        <w:rPr>
          <w:color w:val="0A0A0A"/>
          <w:spacing w:val="-2"/>
          <w:w w:val="105"/>
          <w:sz w:val="21"/>
        </w:rPr>
        <w:t>Assets</w:t>
      </w:r>
    </w:p>
    <w:p>
      <w:pPr>
        <w:spacing w:before="94"/>
        <w:ind w:left="0" w:right="1262" w:firstLine="0"/>
        <w:jc w:val="right"/>
        <w:rPr>
          <w:sz w:val="21"/>
        </w:rPr>
      </w:pPr>
      <w:r>
        <w:rPr/>
        <w:br w:type="column"/>
      </w:r>
      <w:r>
        <w:rPr>
          <w:color w:val="0A0A0A"/>
          <w:spacing w:val="-2"/>
          <w:sz w:val="21"/>
        </w:rPr>
        <w:t>(1,345)</w:t>
      </w:r>
    </w:p>
    <w:p>
      <w:pPr>
        <w:pStyle w:val="BodyText"/>
        <w:spacing w:before="21"/>
        <w:rPr>
          <w:sz w:val="21"/>
        </w:rPr>
      </w:pPr>
    </w:p>
    <w:p>
      <w:pPr>
        <w:spacing w:before="1"/>
        <w:ind w:left="0" w:right="1249" w:firstLine="0"/>
        <w:jc w:val="right"/>
        <w:rPr>
          <w:sz w:val="21"/>
        </w:rPr>
      </w:pPr>
      <w:r>
        <w:rPr>
          <w:color w:val="0A0A0A"/>
          <w:spacing w:val="-4"/>
          <w:w w:val="105"/>
          <w:sz w:val="21"/>
        </w:rPr>
        <w:t>(93)</w:t>
      </w:r>
    </w:p>
    <w:p>
      <w:pPr>
        <w:spacing w:after="0"/>
        <w:jc w:val="right"/>
        <w:rPr>
          <w:sz w:val="21"/>
        </w:rPr>
        <w:sectPr>
          <w:type w:val="continuous"/>
          <w:pgSz w:w="11910" w:h="16830"/>
          <w:pgMar w:top="1940" w:right="300" w:bottom="280" w:left="0" w:header="726" w:footer="0"/>
          <w:cols w:equalWidth="0" w:num="2">
            <w:col w:w="6520" w:space="1076"/>
            <w:col w:w="4014"/>
          </w:cols>
        </w:sectPr>
      </w:pPr>
    </w:p>
    <w:p>
      <w:pPr>
        <w:pStyle w:val="BodyText"/>
        <w:spacing w:before="23"/>
        <w:rPr>
          <w:sz w:val="20"/>
        </w:rPr>
      </w:pPr>
    </w:p>
    <w:p>
      <w:pPr>
        <w:tabs>
          <w:tab w:val="left" w:leader="none" w:pos="8903"/>
        </w:tabs>
        <w:spacing w:line="20" w:lineRule="exact"/>
        <w:ind w:left="1269" w:right="0" w:firstLine="0"/>
        <w:rPr>
          <w:sz w:val="2"/>
        </w:rPr>
      </w:pPr>
      <w:r>
        <w:rPr>
          <w:sz w:val="2"/>
        </w:rPr>
        <ve:AlternateContent>
          <ve:Choice Requires="wps">
            <w:drawing>
              <wp:inline distT="0" distB="0" distL="0" distR="0">
                <wp:extent cx="904240" cy="9525"/>
                <wp:effectExtent l="9525" t="0" r="634" b="0"/>
                <wp:docPr id="416" name="Group 416"/>
                <wp:cNvGraphicFramePr>
                  <a:graphicFrameLocks/>
                </wp:cNvGraphicFramePr>
                <a:graphic>
                  <a:graphicData uri="http://schemas.microsoft.com/office/word/2010/wordprocessingGroup">
                    <wpg:wgp>
                      <wpg:cNvPr id="416" name="Group 416"/>
                      <wpg:cNvGrpSpPr/>
                      <wpg:grpSpPr>
                        <a:xfrm>
                          <a:off x="0" y="0"/>
                          <a:ext cx="904240" cy="9525"/>
                          <a:chExt cx="904240" cy="9525"/>
                        </a:xfrm>
                      </wpg:grpSpPr>
                      <wps:wsp>
                        <wps:cNvPr id="417" name="Graphic 417"/>
                        <wps:cNvSpPr/>
                        <wps:spPr>
                          <a:xfrm>
                            <a:off x="0" y="4577"/>
                            <a:ext cx="904240" cy="1270"/>
                          </a:xfrm>
                          <a:custGeom>
                            <a:avLst/>
                            <a:gdLst/>
                            <a:ahLst/>
                            <a:cxnLst/>
                            <a:rect l="l" t="t" r="r" b="b"/>
                            <a:pathLst>
                              <a:path w="904240" h="0">
                                <a:moveTo>
                                  <a:pt x="0" y="0"/>
                                </a:moveTo>
                                <a:lnTo>
                                  <a:pt x="90366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76" style="width:71.2pt;height:.75pt;mso-position-horizontal-relative:char;mso-position-vertical-relative:line" coordsize="1424,15" coordorigin="0,0">
                <v:line style="position:absolute" stroked="true" strokecolor="#000000" strokeweight=".720821pt" from="0,7" to="1423,7">
                  <v:stroke dashstyle="solid"/>
                </v:line>
              </v:group>
            </w:pict>
          </ve:Fallback>
        </ve:AlternateContent>
      </w:r>
      <w:r>
        <w:rPr>
          <w:sz w:val="2"/>
        </w:rPr>
      </w:r>
      <w:r>
        <w:rPr>
          <w:sz w:val="2"/>
        </w:rPr>
        <w:tab/>
      </w:r>
      <w:r>
        <w:rPr>
          <w:sz w:val="2"/>
        </w:rPr>
        <ve:AlternateContent>
          <ve:Choice Requires="wps">
            <w:drawing>
              <wp:inline distT="0" distB="0" distL="0" distR="0">
                <wp:extent cx="1001394" cy="9525"/>
                <wp:effectExtent l="9525" t="0" r="0" b="0"/>
                <wp:docPr id="418" name="Group 418"/>
                <wp:cNvGraphicFramePr>
                  <a:graphicFrameLocks/>
                </wp:cNvGraphicFramePr>
                <a:graphic>
                  <a:graphicData uri="http://schemas.microsoft.com/office/word/2010/wordprocessingGroup">
                    <wpg:wgp>
                      <wpg:cNvPr id="418" name="Group 418"/>
                      <wpg:cNvGrpSpPr/>
                      <wpg:grpSpPr>
                        <a:xfrm>
                          <a:off x="0" y="0"/>
                          <a:ext cx="1001394" cy="9525"/>
                          <a:chExt cx="1001394" cy="9525"/>
                        </a:xfrm>
                      </wpg:grpSpPr>
                      <wps:wsp>
                        <wps:cNvPr id="419" name="Graphic 419"/>
                        <wps:cNvSpPr/>
                        <wps:spPr>
                          <a:xfrm>
                            <a:off x="0" y="4577"/>
                            <a:ext cx="1001394" cy="1270"/>
                          </a:xfrm>
                          <a:custGeom>
                            <a:avLst/>
                            <a:gdLst/>
                            <a:ahLst/>
                            <a:cxnLst/>
                            <a:rect l="l" t="t" r="r" b="b"/>
                            <a:pathLst>
                              <a:path w="1001394" h="0">
                                <a:moveTo>
                                  <a:pt x="0" y="0"/>
                                </a:moveTo>
                                <a:lnTo>
                                  <a:pt x="1001356"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77" style="width:78.850pt;height:.75pt;mso-position-horizontal-relative:char;mso-position-vertical-relative:line" coordsize="1577,15" coordorigin="0,0">
                <v:line style="position:absolute" stroked="true" strokecolor="#000000" strokeweight=".720821pt" from="0,7" to="1577,7">
                  <v:stroke dashstyle="solid"/>
                </v:line>
              </v:group>
            </w:pict>
          </ve:Fallback>
        </ve:AlternateContent>
      </w:r>
      <w:r>
        <w:rPr>
          <w:sz w:val="2"/>
        </w:rPr>
      </w:r>
    </w:p>
    <w:p>
      <w:pPr>
        <w:tabs>
          <w:tab w:val="left" w:leader="none" w:pos="9660"/>
        </w:tabs>
        <w:spacing w:before="9"/>
        <w:ind w:left="2064" w:right="0" w:firstLine="0"/>
        <w:jc w:val="left"/>
        <w:rPr>
          <w:sz w:val="21"/>
        </w:rPr>
      </w:pPr>
      <w:r>
        <w:rPr>
          <w:color w:val="1C1C1C"/>
          <w:spacing w:val="-2"/>
          <w:w w:val="105"/>
          <w:sz w:val="21"/>
          <w:u w:val="double" w:color="1C1C1C"/>
        </w:rPr>
        <w:t>(213)</w:t>
      </w:r>
      <w:r>
        <w:rPr>
          <w:color w:val="1C1C1C"/>
          <w:sz w:val="21"/>
          <w:u w:val="none"/>
        </w:rPr>
        <w:tab/>
      </w:r>
      <w:r>
        <w:rPr>
          <w:color w:val="1C1C1C"/>
          <w:spacing w:val="-2"/>
          <w:w w:val="105"/>
          <w:sz w:val="21"/>
          <w:u w:val="double" w:color="1C1C1C"/>
        </w:rPr>
        <w:t>(1,438)</w:t>
      </w:r>
    </w:p>
    <w:p>
      <w:pPr>
        <w:pStyle w:val="BodyText"/>
        <w:rPr>
          <w:sz w:val="21"/>
        </w:rPr>
      </w:pPr>
    </w:p>
    <w:p>
      <w:pPr>
        <w:pStyle w:val="BodyText"/>
        <w:spacing w:before="39"/>
        <w:rPr>
          <w:sz w:val="21"/>
        </w:rPr>
      </w:pPr>
    </w:p>
    <w:p>
      <w:pPr>
        <w:spacing w:before="0"/>
        <w:ind w:left="1268" w:right="0" w:firstLine="0"/>
        <w:jc w:val="left"/>
        <w:rPr>
          <w:b/>
          <w:sz w:val="21"/>
        </w:rPr>
      </w:pPr>
      <w:r>
        <w:rPr>
          <w:b/>
          <w:color w:val="0A0A0A"/>
          <w:w w:val="105"/>
          <w:sz w:val="21"/>
        </w:rPr>
        <w:t>Changes</w:t>
      </w:r>
      <w:r>
        <w:rPr>
          <w:b/>
          <w:color w:val="0A0A0A"/>
          <w:spacing w:val="-7"/>
          <w:w w:val="105"/>
          <w:sz w:val="21"/>
        </w:rPr>
        <w:t> </w:t>
      </w:r>
      <w:r>
        <w:rPr>
          <w:b/>
          <w:color w:val="0A0A0A"/>
          <w:w w:val="105"/>
          <w:sz w:val="21"/>
        </w:rPr>
        <w:t>in</w:t>
      </w:r>
      <w:r>
        <w:rPr>
          <w:b/>
          <w:color w:val="0A0A0A"/>
          <w:spacing w:val="-4"/>
          <w:w w:val="105"/>
          <w:sz w:val="21"/>
        </w:rPr>
        <w:t> </w:t>
      </w:r>
      <w:r>
        <w:rPr>
          <w:b/>
          <w:color w:val="0A0A0A"/>
          <w:w w:val="105"/>
          <w:sz w:val="21"/>
        </w:rPr>
        <w:t>Expected</w:t>
      </w:r>
      <w:r>
        <w:rPr>
          <w:b/>
          <w:color w:val="0A0A0A"/>
          <w:spacing w:val="-1"/>
          <w:w w:val="105"/>
          <w:sz w:val="21"/>
        </w:rPr>
        <w:t> </w:t>
      </w:r>
      <w:r>
        <w:rPr>
          <w:b/>
          <w:color w:val="0A0A0A"/>
          <w:w w:val="105"/>
          <w:sz w:val="21"/>
        </w:rPr>
        <w:t>Credit</w:t>
      </w:r>
      <w:r>
        <w:rPr>
          <w:b/>
          <w:color w:val="0A0A0A"/>
          <w:spacing w:val="-14"/>
          <w:w w:val="105"/>
          <w:sz w:val="21"/>
        </w:rPr>
        <w:t> </w:t>
      </w:r>
      <w:r>
        <w:rPr>
          <w:b/>
          <w:color w:val="0A0A0A"/>
          <w:spacing w:val="-2"/>
          <w:w w:val="105"/>
          <w:sz w:val="21"/>
        </w:rPr>
        <w:t>Losses</w:t>
      </w:r>
    </w:p>
    <w:p>
      <w:pPr>
        <w:pStyle w:val="BodyText"/>
        <w:spacing w:before="6"/>
        <w:rPr>
          <w:b/>
          <w:sz w:val="13"/>
        </w:rPr>
      </w:pPr>
    </w:p>
    <w:p>
      <w:pPr>
        <w:spacing w:after="0"/>
        <w:rPr>
          <w:sz w:val="13"/>
        </w:rPr>
        <w:sectPr>
          <w:type w:val="continuous"/>
          <w:pgSz w:w="11910" w:h="16830"/>
          <w:pgMar w:top="1940" w:right="300" w:bottom="280" w:left="0" w:header="726" w:footer="0"/>
        </w:sect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77"/>
        <w:rPr>
          <w:b/>
          <w:sz w:val="21"/>
        </w:rPr>
      </w:pPr>
    </w:p>
    <w:p>
      <w:pPr>
        <w:spacing w:before="0"/>
        <w:ind w:left="1378" w:right="0" w:firstLine="0"/>
        <w:jc w:val="left"/>
        <w:rPr>
          <w:b/>
          <w:sz w:val="21"/>
        </w:rPr>
      </w:pPr>
      <w:r>
        <w:rPr>
          <w:b/>
          <w:color w:val="0A0A0A"/>
          <w:w w:val="105"/>
          <w:sz w:val="21"/>
        </w:rPr>
        <w:t>Long</w:t>
      </w:r>
      <w:r>
        <w:rPr>
          <w:b/>
          <w:color w:val="0A0A0A"/>
          <w:spacing w:val="-2"/>
          <w:w w:val="105"/>
          <w:sz w:val="21"/>
        </w:rPr>
        <w:t> </w:t>
      </w:r>
      <w:r>
        <w:rPr>
          <w:b/>
          <w:color w:val="0A0A0A"/>
          <w:w w:val="105"/>
          <w:sz w:val="21"/>
        </w:rPr>
        <w:t>Term</w:t>
      </w:r>
      <w:r>
        <w:rPr>
          <w:b/>
          <w:color w:val="0A0A0A"/>
          <w:spacing w:val="-4"/>
          <w:w w:val="105"/>
          <w:sz w:val="21"/>
        </w:rPr>
        <w:t> </w:t>
      </w:r>
      <w:r>
        <w:rPr>
          <w:b/>
          <w:color w:val="0A0A0A"/>
          <w:spacing w:val="-2"/>
          <w:w w:val="105"/>
          <w:sz w:val="21"/>
        </w:rPr>
        <w:t>Investments</w:t>
      </w:r>
    </w:p>
    <w:p>
      <w:pPr>
        <w:tabs>
          <w:tab w:val="left" w:leader="none" w:pos="1797"/>
        </w:tabs>
        <w:spacing w:before="18"/>
        <w:ind w:left="1440" w:right="0" w:firstLine="0"/>
        <w:jc w:val="left"/>
        <w:rPr>
          <w:sz w:val="21"/>
        </w:rPr>
      </w:pPr>
      <w:r>
        <w:rPr>
          <w:color w:val="0A0A0A"/>
          <w:spacing w:val="-10"/>
          <w:w w:val="105"/>
          <w:sz w:val="21"/>
        </w:rPr>
        <w:t>-</w:t>
      </w:r>
      <w:r>
        <w:rPr>
          <w:color w:val="0A0A0A"/>
          <w:sz w:val="21"/>
        </w:rPr>
        <w:tab/>
      </w:r>
      <w:r>
        <w:rPr>
          <w:color w:val="0A0A0A"/>
          <w:w w:val="105"/>
          <w:sz w:val="21"/>
        </w:rPr>
        <w:t>Lifetime</w:t>
      </w:r>
      <w:r>
        <w:rPr>
          <w:color w:val="0A0A0A"/>
          <w:spacing w:val="-7"/>
          <w:w w:val="105"/>
          <w:sz w:val="21"/>
        </w:rPr>
        <w:t> </w:t>
      </w:r>
      <w:r>
        <w:rPr>
          <w:color w:val="0A0A0A"/>
          <w:w w:val="105"/>
          <w:sz w:val="21"/>
        </w:rPr>
        <w:t>credit</w:t>
      </w:r>
      <w:r>
        <w:rPr>
          <w:color w:val="0A0A0A"/>
          <w:spacing w:val="-7"/>
          <w:w w:val="105"/>
          <w:sz w:val="21"/>
        </w:rPr>
        <w:t> </w:t>
      </w:r>
      <w:r>
        <w:rPr>
          <w:color w:val="0A0A0A"/>
          <w:spacing w:val="-2"/>
          <w:w w:val="105"/>
          <w:sz w:val="21"/>
        </w:rPr>
        <w:t>losses</w:t>
      </w:r>
    </w:p>
    <w:p>
      <w:pPr>
        <w:pStyle w:val="BodyText"/>
        <w:spacing w:before="17"/>
        <w:rPr>
          <w:sz w:val="21"/>
        </w:rPr>
      </w:pPr>
    </w:p>
    <w:p>
      <w:pPr>
        <w:spacing w:before="0" w:line="256" w:lineRule="auto"/>
        <w:ind w:left="1385" w:right="0" w:hanging="8"/>
        <w:jc w:val="left"/>
        <w:rPr>
          <w:b/>
          <w:sz w:val="21"/>
        </w:rPr>
      </w:pPr>
      <w:r>
        <w:rPr/>
        <ve:AlternateContent>
          <ve:Choice Requires="wps">
            <w:drawing>
              <wp:anchor distT="0" distB="0" distL="0" distR="0" simplePos="0" relativeHeight="15823360" behindDoc="0" locked="0" layoutInCell="1" allowOverlap="1">
                <wp:simplePos x="0" y="0"/>
                <wp:positionH relativeFrom="page">
                  <wp:posOffset>1074402</wp:posOffset>
                </wp:positionH>
                <wp:positionV relativeFrom="paragraph">
                  <wp:posOffset>328146</wp:posOffset>
                </wp:positionV>
                <wp:extent cx="5589905" cy="316230"/>
                <wp:effectExtent l="0" t="0" r="0" b="0"/>
                <wp:wrapNone/>
                <wp:docPr id="420" name="Textbox 420"/>
                <wp:cNvGraphicFramePr>
                  <a:graphicFrameLocks/>
                </wp:cNvGraphicFramePr>
                <a:graphic>
                  <a:graphicData uri="http://schemas.microsoft.com/office/word/2010/wordprocessingShape">
                    <wps:wsp>
                      <wps:cNvPr id="420" name="Textbox 420"/>
                      <wps:cNvSpPr txBox="1"/>
                      <wps:spPr>
                        <a:xfrm>
                          <a:off x="0" y="0"/>
                          <a:ext cx="5589905" cy="316230"/>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2994"/>
                              <w:gridCol w:w="1718"/>
                              <w:gridCol w:w="2119"/>
                              <w:gridCol w:w="1853"/>
                            </w:tblGrid>
                            <w:tr>
                              <w:trPr>
                                <w:trHeight w:val="251" w:hRule="atLeast"/>
                              </w:trPr>
                              <w:tc>
                                <w:tcPr>
                                  <w:tcW w:w="2994" w:type="dxa"/>
                                </w:tcPr>
                                <w:p>
                                  <w:pPr>
                                    <w:pStyle w:val="TableParagraph"/>
                                    <w:spacing w:line="232" w:lineRule="exact"/>
                                    <w:ind w:left="52"/>
                                    <w:rPr>
                                      <w:sz w:val="21"/>
                                    </w:rPr>
                                  </w:pPr>
                                  <w:r>
                                    <w:rPr>
                                      <w:color w:val="0A0A0A"/>
                                      <w:w w:val="105"/>
                                      <w:sz w:val="21"/>
                                    </w:rPr>
                                    <w:t>12-month</w:t>
                                  </w:r>
                                  <w:r>
                                    <w:rPr>
                                      <w:color w:val="0A0A0A"/>
                                      <w:spacing w:val="-10"/>
                                      <w:w w:val="105"/>
                                      <w:sz w:val="21"/>
                                    </w:rPr>
                                    <w:t> </w:t>
                                  </w:r>
                                  <w:r>
                                    <w:rPr>
                                      <w:color w:val="0A0A0A"/>
                                      <w:w w:val="105"/>
                                      <w:sz w:val="21"/>
                                    </w:rPr>
                                    <w:t>credit</w:t>
                                  </w:r>
                                  <w:r>
                                    <w:rPr>
                                      <w:color w:val="0A0A0A"/>
                                      <w:spacing w:val="-6"/>
                                      <w:w w:val="105"/>
                                      <w:sz w:val="21"/>
                                    </w:rPr>
                                    <w:t> </w:t>
                                  </w:r>
                                  <w:r>
                                    <w:rPr>
                                      <w:color w:val="0A0A0A"/>
                                      <w:spacing w:val="-2"/>
                                      <w:w w:val="105"/>
                                      <w:sz w:val="21"/>
                                    </w:rPr>
                                    <w:t>losses</w:t>
                                  </w:r>
                                </w:p>
                              </w:tc>
                              <w:tc>
                                <w:tcPr>
                                  <w:tcW w:w="1718" w:type="dxa"/>
                                </w:tcPr>
                                <w:p>
                                  <w:pPr>
                                    <w:pStyle w:val="TableParagraph"/>
                                    <w:spacing w:line="232" w:lineRule="exact"/>
                                    <w:ind w:right="478"/>
                                    <w:jc w:val="right"/>
                                    <w:rPr>
                                      <w:sz w:val="21"/>
                                    </w:rPr>
                                  </w:pPr>
                                  <w:r>
                                    <w:rPr>
                                      <w:color w:val="0A0A0A"/>
                                      <w:spacing w:val="-2"/>
                                      <w:sz w:val="21"/>
                                    </w:rPr>
                                    <w:t>(203)</w:t>
                                  </w:r>
                                </w:p>
                              </w:tc>
                              <w:tc>
                                <w:tcPr>
                                  <w:tcW w:w="2119" w:type="dxa"/>
                                </w:tcPr>
                                <w:p>
                                  <w:pPr>
                                    <w:pStyle w:val="TableParagraph"/>
                                    <w:spacing w:line="232" w:lineRule="exact"/>
                                    <w:ind w:left="597"/>
                                    <w:rPr>
                                      <w:sz w:val="21"/>
                                    </w:rPr>
                                  </w:pPr>
                                  <w:r>
                                    <w:rPr>
                                      <w:color w:val="0A0A0A"/>
                                      <w:spacing w:val="-5"/>
                                      <w:w w:val="105"/>
                                      <w:sz w:val="21"/>
                                    </w:rPr>
                                    <w:t>28</w:t>
                                  </w:r>
                                </w:p>
                              </w:tc>
                              <w:tc>
                                <w:tcPr>
                                  <w:tcW w:w="1853" w:type="dxa"/>
                                </w:tcPr>
                                <w:p>
                                  <w:pPr>
                                    <w:pStyle w:val="TableParagraph"/>
                                    <w:spacing w:line="230" w:lineRule="exact"/>
                                    <w:ind w:right="49"/>
                                    <w:jc w:val="right"/>
                                    <w:rPr>
                                      <w:b/>
                                      <w:sz w:val="21"/>
                                    </w:rPr>
                                  </w:pPr>
                                  <w:r>
                                    <w:rPr>
                                      <w:b/>
                                      <w:color w:val="0A0A0A"/>
                                      <w:spacing w:val="-4"/>
                                      <w:w w:val="110"/>
                                      <w:sz w:val="21"/>
                                    </w:rPr>
                                    <w:t>(175)</w:t>
                                  </w:r>
                                </w:p>
                              </w:tc>
                            </w:tr>
                            <w:tr>
                              <w:trPr>
                                <w:trHeight w:val="247" w:hRule="atLeast"/>
                              </w:trPr>
                              <w:tc>
                                <w:tcPr>
                                  <w:tcW w:w="2994" w:type="dxa"/>
                                </w:tcPr>
                                <w:p>
                                  <w:pPr>
                                    <w:pStyle w:val="TableParagraph"/>
                                    <w:spacing w:line="226" w:lineRule="exact"/>
                                    <w:ind w:left="50"/>
                                    <w:rPr>
                                      <w:sz w:val="21"/>
                                    </w:rPr>
                                  </w:pPr>
                                  <w:r>
                                    <w:rPr>
                                      <w:color w:val="0A0A0A"/>
                                      <w:w w:val="105"/>
                                      <w:sz w:val="21"/>
                                    </w:rPr>
                                    <w:t>Lifetime</w:t>
                                  </w:r>
                                  <w:r>
                                    <w:rPr>
                                      <w:color w:val="0A0A0A"/>
                                      <w:spacing w:val="-10"/>
                                      <w:w w:val="105"/>
                                      <w:sz w:val="21"/>
                                    </w:rPr>
                                    <w:t> </w:t>
                                  </w:r>
                                  <w:r>
                                    <w:rPr>
                                      <w:color w:val="0A0A0A"/>
                                      <w:w w:val="105"/>
                                      <w:sz w:val="21"/>
                                    </w:rPr>
                                    <w:t>credit</w:t>
                                  </w:r>
                                  <w:r>
                                    <w:rPr>
                                      <w:color w:val="0A0A0A"/>
                                      <w:spacing w:val="-4"/>
                                      <w:w w:val="105"/>
                                      <w:sz w:val="21"/>
                                    </w:rPr>
                                    <w:t> </w:t>
                                  </w:r>
                                  <w:r>
                                    <w:rPr>
                                      <w:color w:val="0A0A0A"/>
                                      <w:spacing w:val="-2"/>
                                      <w:w w:val="105"/>
                                      <w:sz w:val="21"/>
                                    </w:rPr>
                                    <w:t>losses</w:t>
                                  </w:r>
                                </w:p>
                              </w:tc>
                              <w:tc>
                                <w:tcPr>
                                  <w:tcW w:w="1718" w:type="dxa"/>
                                </w:tcPr>
                                <w:p>
                                  <w:pPr>
                                    <w:pStyle w:val="TableParagraph"/>
                                    <w:spacing w:line="227" w:lineRule="exact"/>
                                    <w:ind w:right="473"/>
                                    <w:jc w:val="right"/>
                                    <w:rPr>
                                      <w:sz w:val="21"/>
                                    </w:rPr>
                                  </w:pPr>
                                  <w:r>
                                    <w:rPr>
                                      <w:color w:val="0A0A0A"/>
                                      <w:spacing w:val="-2"/>
                                      <w:w w:val="105"/>
                                      <w:sz w:val="21"/>
                                    </w:rPr>
                                    <w:t>(107)</w:t>
                                  </w:r>
                                </w:p>
                              </w:tc>
                              <w:tc>
                                <w:tcPr>
                                  <w:tcW w:w="2119" w:type="dxa"/>
                                </w:tcPr>
                                <w:p>
                                  <w:pPr>
                                    <w:pStyle w:val="TableParagraph"/>
                                    <w:spacing w:line="227" w:lineRule="exact"/>
                                    <w:ind w:left="474"/>
                                    <w:rPr>
                                      <w:sz w:val="21"/>
                                    </w:rPr>
                                  </w:pPr>
                                  <w:r>
                                    <w:rPr>
                                      <w:color w:val="0A0A0A"/>
                                      <w:spacing w:val="-5"/>
                                      <w:w w:val="105"/>
                                      <w:sz w:val="21"/>
                                    </w:rPr>
                                    <w:t>107</w:t>
                                  </w:r>
                                </w:p>
                              </w:tc>
                              <w:tc>
                                <w:tcPr>
                                  <w:tcW w:w="1853" w:type="dxa"/>
                                </w:tcPr>
                                <w:p>
                                  <w:pPr>
                                    <w:pStyle w:val="TableParagraph"/>
                                    <w:rPr>
                                      <w:rFonts w:ascii="Times New Roman"/>
                                      <w:sz w:val="18"/>
                                    </w:rPr>
                                  </w:pPr>
                                </w:p>
                              </w:tc>
                            </w:tr>
                          </w:tbl>
                          <w:p>
                            <w:pPr>
                              <w:pStyle w:val="BodyText"/>
                            </w:pPr>
                          </w:p>
                        </w:txbxContent>
                      </wps:txbx>
                      <wps:bodyPr wrap="square" lIns="0" tIns="0" rIns="0" bIns="0" rtlCol="0">
                        <a:noAutofit/>
                      </wps:bodyPr>
                    </wps:wsp>
                  </a:graphicData>
                </a:graphic>
              </wp:anchor>
            </w:drawing>
          </ve:Choice>
          <ve:Fallback>
            <w:pict>
              <v:shape id="docshape278" style="position:absolute;margin-left:84.598587pt;margin-top:25.838306pt;width:440.15pt;height:24.9pt;mso-position-horizontal-relative:page;mso-position-vertical-relative:paragraph;z-index:15823360"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2994"/>
                        <w:gridCol w:w="1718"/>
                        <w:gridCol w:w="2119"/>
                        <w:gridCol w:w="1853"/>
                      </w:tblGrid>
                      <w:tr>
                        <w:trPr>
                          <w:trHeight w:val="251" w:hRule="atLeast"/>
                        </w:trPr>
                        <w:tc>
                          <w:tcPr>
                            <w:tcW w:w="2994" w:type="dxa"/>
                          </w:tcPr>
                          <w:p>
                            <w:pPr>
                              <w:pStyle w:val="TableParagraph"/>
                              <w:spacing w:line="232" w:lineRule="exact"/>
                              <w:ind w:left="52"/>
                              <w:rPr>
                                <w:sz w:val="21"/>
                              </w:rPr>
                            </w:pPr>
                            <w:r>
                              <w:rPr>
                                <w:color w:val="0A0A0A"/>
                                <w:w w:val="105"/>
                                <w:sz w:val="21"/>
                              </w:rPr>
                              <w:t>12-month</w:t>
                            </w:r>
                            <w:r>
                              <w:rPr>
                                <w:color w:val="0A0A0A"/>
                                <w:spacing w:val="-10"/>
                                <w:w w:val="105"/>
                                <w:sz w:val="21"/>
                              </w:rPr>
                              <w:t> </w:t>
                            </w:r>
                            <w:r>
                              <w:rPr>
                                <w:color w:val="0A0A0A"/>
                                <w:w w:val="105"/>
                                <w:sz w:val="21"/>
                              </w:rPr>
                              <w:t>credit</w:t>
                            </w:r>
                            <w:r>
                              <w:rPr>
                                <w:color w:val="0A0A0A"/>
                                <w:spacing w:val="-6"/>
                                <w:w w:val="105"/>
                                <w:sz w:val="21"/>
                              </w:rPr>
                              <w:t> </w:t>
                            </w:r>
                            <w:r>
                              <w:rPr>
                                <w:color w:val="0A0A0A"/>
                                <w:spacing w:val="-2"/>
                                <w:w w:val="105"/>
                                <w:sz w:val="21"/>
                              </w:rPr>
                              <w:t>losses</w:t>
                            </w:r>
                          </w:p>
                        </w:tc>
                        <w:tc>
                          <w:tcPr>
                            <w:tcW w:w="1718" w:type="dxa"/>
                          </w:tcPr>
                          <w:p>
                            <w:pPr>
                              <w:pStyle w:val="TableParagraph"/>
                              <w:spacing w:line="232" w:lineRule="exact"/>
                              <w:ind w:right="478"/>
                              <w:jc w:val="right"/>
                              <w:rPr>
                                <w:sz w:val="21"/>
                              </w:rPr>
                            </w:pPr>
                            <w:r>
                              <w:rPr>
                                <w:color w:val="0A0A0A"/>
                                <w:spacing w:val="-2"/>
                                <w:sz w:val="21"/>
                              </w:rPr>
                              <w:t>(203)</w:t>
                            </w:r>
                          </w:p>
                        </w:tc>
                        <w:tc>
                          <w:tcPr>
                            <w:tcW w:w="2119" w:type="dxa"/>
                          </w:tcPr>
                          <w:p>
                            <w:pPr>
                              <w:pStyle w:val="TableParagraph"/>
                              <w:spacing w:line="232" w:lineRule="exact"/>
                              <w:ind w:left="597"/>
                              <w:rPr>
                                <w:sz w:val="21"/>
                              </w:rPr>
                            </w:pPr>
                            <w:r>
                              <w:rPr>
                                <w:color w:val="0A0A0A"/>
                                <w:spacing w:val="-5"/>
                                <w:w w:val="105"/>
                                <w:sz w:val="21"/>
                              </w:rPr>
                              <w:t>28</w:t>
                            </w:r>
                          </w:p>
                        </w:tc>
                        <w:tc>
                          <w:tcPr>
                            <w:tcW w:w="1853" w:type="dxa"/>
                          </w:tcPr>
                          <w:p>
                            <w:pPr>
                              <w:pStyle w:val="TableParagraph"/>
                              <w:spacing w:line="230" w:lineRule="exact"/>
                              <w:ind w:right="49"/>
                              <w:jc w:val="right"/>
                              <w:rPr>
                                <w:b/>
                                <w:sz w:val="21"/>
                              </w:rPr>
                            </w:pPr>
                            <w:r>
                              <w:rPr>
                                <w:b/>
                                <w:color w:val="0A0A0A"/>
                                <w:spacing w:val="-4"/>
                                <w:w w:val="110"/>
                                <w:sz w:val="21"/>
                              </w:rPr>
                              <w:t>(175)</w:t>
                            </w:r>
                          </w:p>
                        </w:tc>
                      </w:tr>
                      <w:tr>
                        <w:trPr>
                          <w:trHeight w:val="247" w:hRule="atLeast"/>
                        </w:trPr>
                        <w:tc>
                          <w:tcPr>
                            <w:tcW w:w="2994" w:type="dxa"/>
                          </w:tcPr>
                          <w:p>
                            <w:pPr>
                              <w:pStyle w:val="TableParagraph"/>
                              <w:spacing w:line="226" w:lineRule="exact"/>
                              <w:ind w:left="50"/>
                              <w:rPr>
                                <w:sz w:val="21"/>
                              </w:rPr>
                            </w:pPr>
                            <w:r>
                              <w:rPr>
                                <w:color w:val="0A0A0A"/>
                                <w:w w:val="105"/>
                                <w:sz w:val="21"/>
                              </w:rPr>
                              <w:t>Lifetime</w:t>
                            </w:r>
                            <w:r>
                              <w:rPr>
                                <w:color w:val="0A0A0A"/>
                                <w:spacing w:val="-10"/>
                                <w:w w:val="105"/>
                                <w:sz w:val="21"/>
                              </w:rPr>
                              <w:t> </w:t>
                            </w:r>
                            <w:r>
                              <w:rPr>
                                <w:color w:val="0A0A0A"/>
                                <w:w w:val="105"/>
                                <w:sz w:val="21"/>
                              </w:rPr>
                              <w:t>credit</w:t>
                            </w:r>
                            <w:r>
                              <w:rPr>
                                <w:color w:val="0A0A0A"/>
                                <w:spacing w:val="-4"/>
                                <w:w w:val="105"/>
                                <w:sz w:val="21"/>
                              </w:rPr>
                              <w:t> </w:t>
                            </w:r>
                            <w:r>
                              <w:rPr>
                                <w:color w:val="0A0A0A"/>
                                <w:spacing w:val="-2"/>
                                <w:w w:val="105"/>
                                <w:sz w:val="21"/>
                              </w:rPr>
                              <w:t>losses</w:t>
                            </w:r>
                          </w:p>
                        </w:tc>
                        <w:tc>
                          <w:tcPr>
                            <w:tcW w:w="1718" w:type="dxa"/>
                          </w:tcPr>
                          <w:p>
                            <w:pPr>
                              <w:pStyle w:val="TableParagraph"/>
                              <w:spacing w:line="227" w:lineRule="exact"/>
                              <w:ind w:right="473"/>
                              <w:jc w:val="right"/>
                              <w:rPr>
                                <w:sz w:val="21"/>
                              </w:rPr>
                            </w:pPr>
                            <w:r>
                              <w:rPr>
                                <w:color w:val="0A0A0A"/>
                                <w:spacing w:val="-2"/>
                                <w:w w:val="105"/>
                                <w:sz w:val="21"/>
                              </w:rPr>
                              <w:t>(107)</w:t>
                            </w:r>
                          </w:p>
                        </w:tc>
                        <w:tc>
                          <w:tcPr>
                            <w:tcW w:w="2119" w:type="dxa"/>
                          </w:tcPr>
                          <w:p>
                            <w:pPr>
                              <w:pStyle w:val="TableParagraph"/>
                              <w:spacing w:line="227" w:lineRule="exact"/>
                              <w:ind w:left="474"/>
                              <w:rPr>
                                <w:sz w:val="21"/>
                              </w:rPr>
                            </w:pPr>
                            <w:r>
                              <w:rPr>
                                <w:color w:val="0A0A0A"/>
                                <w:spacing w:val="-5"/>
                                <w:w w:val="105"/>
                                <w:sz w:val="21"/>
                              </w:rPr>
                              <w:t>107</w:t>
                            </w:r>
                          </w:p>
                        </w:tc>
                        <w:tc>
                          <w:tcPr>
                            <w:tcW w:w="1853" w:type="dxa"/>
                          </w:tcPr>
                          <w:p>
                            <w:pPr>
                              <w:pStyle w:val="TableParagraph"/>
                              <w:rPr>
                                <w:rFonts w:ascii="Times New Roman"/>
                                <w:sz w:val="18"/>
                              </w:rPr>
                            </w:pPr>
                          </w:p>
                        </w:tc>
                      </w:tr>
                    </w:tbl>
                    <w:p>
                      <w:pPr>
                        <w:pStyle w:val="BodyText"/>
                      </w:pPr>
                    </w:p>
                  </w:txbxContent>
                </v:textbox>
                <w10:wrap type="none"/>
              </v:shape>
            </w:pict>
          </ve:Fallback>
        </ve:AlternateContent>
      </w:r>
      <w:r>
        <w:rPr>
          <w:b/>
          <w:color w:val="0A0A0A"/>
          <w:w w:val="105"/>
          <w:sz w:val="21"/>
        </w:rPr>
        <w:t>Loans</w:t>
      </w:r>
      <w:r>
        <w:rPr>
          <w:b/>
          <w:color w:val="0A0A0A"/>
          <w:spacing w:val="-15"/>
          <w:w w:val="105"/>
          <w:sz w:val="21"/>
        </w:rPr>
        <w:t> </w:t>
      </w:r>
      <w:r>
        <w:rPr>
          <w:b/>
          <w:color w:val="0A0A0A"/>
          <w:w w:val="105"/>
          <w:sz w:val="21"/>
        </w:rPr>
        <w:t>to</w:t>
      </w:r>
      <w:r>
        <w:rPr>
          <w:b/>
          <w:color w:val="0A0A0A"/>
          <w:spacing w:val="-15"/>
          <w:w w:val="105"/>
          <w:sz w:val="21"/>
        </w:rPr>
        <w:t> </w:t>
      </w:r>
      <w:r>
        <w:rPr>
          <w:b/>
          <w:color w:val="0A0A0A"/>
          <w:w w:val="105"/>
          <w:sz w:val="21"/>
        </w:rPr>
        <w:t>businesses</w:t>
      </w:r>
      <w:r>
        <w:rPr>
          <w:b/>
          <w:color w:val="0A0A0A"/>
          <w:spacing w:val="-11"/>
          <w:w w:val="105"/>
          <w:sz w:val="21"/>
        </w:rPr>
        <w:t> </w:t>
      </w:r>
      <w:r>
        <w:rPr>
          <w:b/>
          <w:color w:val="0A0A0A"/>
          <w:w w:val="105"/>
          <w:sz w:val="21"/>
        </w:rPr>
        <w:t>and group companies</w:t>
      </w:r>
    </w:p>
    <w:p>
      <w:pPr>
        <w:spacing w:before="93"/>
        <w:ind w:left="2160" w:right="0" w:firstLine="0"/>
        <w:jc w:val="left"/>
        <w:rPr>
          <w:b/>
          <w:sz w:val="21"/>
        </w:rPr>
      </w:pPr>
      <w:r>
        <w:rPr/>
        <w:br w:type="column"/>
      </w:r>
      <w:r>
        <w:rPr>
          <w:b/>
          <w:color w:val="0A0A0A"/>
          <w:spacing w:val="-2"/>
          <w:w w:val="105"/>
          <w:sz w:val="21"/>
        </w:rPr>
        <w:t>Allowance</w:t>
      </w:r>
    </w:p>
    <w:p>
      <w:pPr>
        <w:tabs>
          <w:tab w:val="left" w:leader="none" w:pos="2171"/>
          <w:tab w:val="left" w:leader="none" w:pos="3636"/>
          <w:tab w:val="left" w:leader="none" w:pos="5170"/>
          <w:tab w:val="left" w:leader="none" w:pos="5470"/>
        </w:tabs>
        <w:spacing w:before="14" w:line="247" w:lineRule="auto"/>
        <w:ind w:left="790" w:right="1299" w:firstLine="1391"/>
        <w:jc w:val="left"/>
        <w:rPr>
          <w:b/>
          <w:sz w:val="21"/>
        </w:rPr>
      </w:pPr>
      <w:r>
        <w:rPr>
          <w:b/>
          <w:color w:val="0A0A0A"/>
          <w:w w:val="105"/>
          <w:sz w:val="21"/>
        </w:rPr>
        <w:t>for assets</w:t>
      </w:r>
      <w:r>
        <w:rPr>
          <w:b/>
          <w:color w:val="0A0A0A"/>
          <w:sz w:val="21"/>
        </w:rPr>
        <w:tab/>
        <w:tab/>
      </w:r>
      <w:r>
        <w:rPr>
          <w:b/>
          <w:color w:val="0A0A0A"/>
          <w:spacing w:val="-2"/>
          <w:w w:val="105"/>
          <w:sz w:val="21"/>
        </w:rPr>
        <w:t>Allowance Allowance</w:t>
      </w:r>
      <w:r>
        <w:rPr>
          <w:b/>
          <w:color w:val="0A0A0A"/>
          <w:sz w:val="21"/>
        </w:rPr>
        <w:tab/>
      </w:r>
      <w:r>
        <w:rPr>
          <w:b/>
          <w:color w:val="0A0A0A"/>
          <w:spacing w:val="-2"/>
          <w:w w:val="105"/>
          <w:sz w:val="21"/>
        </w:rPr>
        <w:t>originated</w:t>
      </w:r>
      <w:r>
        <w:rPr>
          <w:b/>
          <w:color w:val="0A0A0A"/>
          <w:sz w:val="21"/>
        </w:rPr>
        <w:tab/>
      </w:r>
      <w:r>
        <w:rPr>
          <w:b/>
          <w:color w:val="0A0A0A"/>
          <w:spacing w:val="-2"/>
          <w:w w:val="105"/>
          <w:sz w:val="21"/>
        </w:rPr>
        <w:t>Allowance</w:t>
      </w:r>
      <w:r>
        <w:rPr>
          <w:b/>
          <w:color w:val="0A0A0A"/>
          <w:sz w:val="21"/>
        </w:rPr>
        <w:tab/>
        <w:tab/>
      </w:r>
      <w:r>
        <w:rPr>
          <w:b/>
          <w:color w:val="0A0A0A"/>
          <w:w w:val="105"/>
          <w:sz w:val="21"/>
        </w:rPr>
        <w:t>at 31</w:t>
      </w:r>
    </w:p>
    <w:p>
      <w:pPr>
        <w:tabs>
          <w:tab w:val="left" w:leader="none" w:pos="2244"/>
          <w:tab w:val="left" w:leader="none" w:pos="2594"/>
          <w:tab w:val="left" w:leader="none" w:pos="3464"/>
          <w:tab w:val="left" w:leader="none" w:pos="3658"/>
          <w:tab w:val="left" w:leader="none" w:pos="5395"/>
          <w:tab w:val="right" w:leader="none" w:pos="5959"/>
        </w:tabs>
        <w:spacing w:before="7" w:line="252" w:lineRule="auto"/>
        <w:ind w:left="1088" w:right="1505" w:hanging="234"/>
        <w:jc w:val="left"/>
        <w:rPr>
          <w:b/>
          <w:sz w:val="21"/>
        </w:rPr>
      </w:pPr>
      <w:r>
        <w:rPr>
          <w:b/>
          <w:color w:val="0A0A0A"/>
          <w:w w:val="105"/>
          <w:sz w:val="21"/>
        </w:rPr>
        <w:t>at 1 April</w:t>
      </w:r>
      <w:r>
        <w:rPr>
          <w:b/>
          <w:color w:val="0A0A0A"/>
          <w:sz w:val="21"/>
        </w:rPr>
        <w:tab/>
        <w:tab/>
      </w:r>
      <w:r>
        <w:rPr>
          <w:b/>
          <w:color w:val="0A0A0A"/>
          <w:spacing w:val="-6"/>
          <w:w w:val="105"/>
          <w:sz w:val="21"/>
        </w:rPr>
        <w:t>or</w:t>
      </w:r>
      <w:r>
        <w:rPr>
          <w:b/>
          <w:color w:val="0A0A0A"/>
          <w:sz w:val="21"/>
        </w:rPr>
        <w:tab/>
        <w:tab/>
      </w:r>
      <w:r>
        <w:rPr>
          <w:b/>
          <w:color w:val="0A0A0A"/>
          <w:w w:val="105"/>
          <w:sz w:val="21"/>
        </w:rPr>
        <w:t>for assets</w:t>
      </w:r>
      <w:r>
        <w:rPr>
          <w:b/>
          <w:color w:val="0A0A0A"/>
          <w:sz w:val="21"/>
        </w:rPr>
        <w:tab/>
      </w:r>
      <w:r>
        <w:rPr>
          <w:b/>
          <w:color w:val="0A0A0A"/>
          <w:spacing w:val="-2"/>
          <w:w w:val="105"/>
          <w:sz w:val="21"/>
        </w:rPr>
        <w:t>March </w:t>
      </w:r>
      <w:r>
        <w:rPr>
          <w:b/>
          <w:color w:val="0A0A0A"/>
          <w:spacing w:val="-4"/>
          <w:w w:val="105"/>
          <w:sz w:val="21"/>
        </w:rPr>
        <w:t>2022</w:t>
      </w:r>
      <w:r>
        <w:rPr>
          <w:b/>
          <w:color w:val="0A0A0A"/>
          <w:sz w:val="21"/>
        </w:rPr>
        <w:tab/>
      </w:r>
      <w:r>
        <w:rPr>
          <w:b/>
          <w:color w:val="0A0A0A"/>
          <w:spacing w:val="-2"/>
          <w:w w:val="105"/>
          <w:sz w:val="21"/>
        </w:rPr>
        <w:t>acquired</w:t>
      </w:r>
      <w:r>
        <w:rPr>
          <w:b/>
          <w:color w:val="0A0A0A"/>
          <w:sz w:val="21"/>
        </w:rPr>
        <w:tab/>
      </w:r>
      <w:r>
        <w:rPr>
          <w:b/>
          <w:color w:val="0A0A0A"/>
          <w:spacing w:val="-2"/>
          <w:w w:val="105"/>
          <w:sz w:val="21"/>
        </w:rPr>
        <w:t>derecognised</w:t>
      </w:r>
      <w:r>
        <w:rPr>
          <w:b/>
          <w:color w:val="0A0A0A"/>
          <w:sz w:val="21"/>
        </w:rPr>
        <w:tab/>
      </w:r>
      <w:r>
        <w:rPr>
          <w:b/>
          <w:color w:val="0A0A0A"/>
          <w:spacing w:val="-4"/>
          <w:w w:val="105"/>
          <w:sz w:val="21"/>
        </w:rPr>
        <w:t>2023</w:t>
      </w:r>
    </w:p>
    <w:p>
      <w:pPr>
        <w:tabs>
          <w:tab w:val="left" w:leader="none" w:pos="2462"/>
          <w:tab w:val="left" w:leader="none" w:pos="3965"/>
          <w:tab w:val="left" w:leader="none" w:pos="5503"/>
        </w:tabs>
        <w:spacing w:before="16"/>
        <w:ind w:left="1087" w:right="0" w:firstLine="0"/>
        <w:jc w:val="left"/>
        <w:rPr>
          <w:rFonts w:ascii="Times New Roman" w:hAnsi="Times New Roman"/>
          <w:b/>
          <w:sz w:val="20"/>
        </w:rPr>
      </w:pPr>
      <w:r>
        <w:rPr>
          <w:b/>
          <w:color w:val="0A0A0A"/>
          <w:spacing w:val="-4"/>
          <w:w w:val="110"/>
          <w:sz w:val="21"/>
        </w:rPr>
        <w:t>£000</w:t>
      </w:r>
      <w:r>
        <w:rPr>
          <w:b/>
          <w:color w:val="0A0A0A"/>
          <w:sz w:val="21"/>
        </w:rPr>
        <w:tab/>
      </w:r>
      <w:r>
        <w:rPr>
          <w:b/>
          <w:color w:val="0A0A0A"/>
          <w:spacing w:val="-4"/>
          <w:w w:val="110"/>
          <w:sz w:val="21"/>
        </w:rPr>
        <w:t>£000</w:t>
      </w:r>
      <w:r>
        <w:rPr>
          <w:b/>
          <w:color w:val="0A0A0A"/>
          <w:sz w:val="21"/>
        </w:rPr>
        <w:tab/>
      </w:r>
      <w:r>
        <w:rPr>
          <w:rFonts w:ascii="Times New Roman" w:hAnsi="Times New Roman"/>
          <w:b/>
          <w:color w:val="0A0A0A"/>
          <w:spacing w:val="-4"/>
          <w:w w:val="110"/>
          <w:position w:val="1"/>
          <w:sz w:val="20"/>
        </w:rPr>
        <w:t>£000</w:t>
      </w:r>
      <w:r>
        <w:rPr>
          <w:rFonts w:ascii="Times New Roman" w:hAnsi="Times New Roman"/>
          <w:b/>
          <w:color w:val="0A0A0A"/>
          <w:position w:val="1"/>
          <w:sz w:val="20"/>
        </w:rPr>
        <w:tab/>
      </w:r>
      <w:r>
        <w:rPr>
          <w:rFonts w:ascii="Times New Roman" w:hAnsi="Times New Roman"/>
          <w:b/>
          <w:color w:val="0A0A0A"/>
          <w:spacing w:val="-4"/>
          <w:w w:val="110"/>
          <w:position w:val="1"/>
          <w:sz w:val="20"/>
        </w:rPr>
        <w:t>£000</w:t>
      </w:r>
    </w:p>
    <w:p>
      <w:pPr>
        <w:tabs>
          <w:tab w:val="left" w:leader="none" w:pos="5928"/>
        </w:tabs>
        <w:spacing w:before="264"/>
        <w:ind w:left="1551" w:right="0" w:firstLine="0"/>
        <w:jc w:val="left"/>
        <w:rPr>
          <w:b/>
          <w:sz w:val="21"/>
        </w:rPr>
      </w:pPr>
      <w:r>
        <w:rPr>
          <w:color w:val="0A0A0A"/>
          <w:spacing w:val="-4"/>
          <w:w w:val="105"/>
          <w:sz w:val="21"/>
        </w:rPr>
        <w:t>(20)</w:t>
      </w:r>
      <w:r>
        <w:rPr>
          <w:color w:val="0A0A0A"/>
          <w:sz w:val="21"/>
        </w:rPr>
        <w:tab/>
      </w:r>
      <w:r>
        <w:rPr>
          <w:b/>
          <w:color w:val="0A0A0A"/>
          <w:spacing w:val="-4"/>
          <w:w w:val="105"/>
          <w:sz w:val="21"/>
        </w:rPr>
        <w:t>(20)</w:t>
      </w:r>
    </w:p>
    <w:p>
      <w:pPr>
        <w:spacing w:after="0"/>
        <w:jc w:val="left"/>
        <w:rPr>
          <w:sz w:val="21"/>
        </w:rPr>
        <w:sectPr>
          <w:type w:val="continuous"/>
          <w:pgSz w:w="11910" w:h="16830"/>
          <w:pgMar w:top="1940" w:right="300" w:bottom="280" w:left="0" w:header="726" w:footer="0"/>
          <w:cols w:equalWidth="0" w:num="2">
            <w:col w:w="4011" w:space="40"/>
            <w:col w:w="7559"/>
          </w:cols>
        </w:sectPr>
      </w:pPr>
    </w:p>
    <w:p>
      <w:pPr>
        <w:spacing w:before="752" w:line="252" w:lineRule="auto"/>
        <w:ind w:left="1385" w:right="7029" w:hanging="2"/>
        <w:jc w:val="left"/>
        <w:rPr>
          <w:b/>
          <w:sz w:val="21"/>
        </w:rPr>
      </w:pPr>
      <w:r>
        <w:rPr>
          <w:b/>
          <w:color w:val="0A0A0A"/>
          <w:w w:val="105"/>
          <w:sz w:val="21"/>
        </w:rPr>
        <w:t>Deposits</w:t>
      </w:r>
      <w:r>
        <w:rPr>
          <w:b/>
          <w:color w:val="0A0A0A"/>
          <w:spacing w:val="-11"/>
          <w:w w:val="105"/>
          <w:sz w:val="21"/>
        </w:rPr>
        <w:t> </w:t>
      </w:r>
      <w:r>
        <w:rPr>
          <w:b/>
          <w:color w:val="0A0A0A"/>
          <w:w w:val="105"/>
          <w:sz w:val="21"/>
        </w:rPr>
        <w:t>with</w:t>
      </w:r>
      <w:r>
        <w:rPr>
          <w:b/>
          <w:color w:val="0A0A0A"/>
          <w:spacing w:val="-15"/>
          <w:w w:val="105"/>
          <w:sz w:val="21"/>
        </w:rPr>
        <w:t> </w:t>
      </w:r>
      <w:r>
        <w:rPr>
          <w:b/>
          <w:color w:val="0A0A0A"/>
          <w:w w:val="105"/>
          <w:sz w:val="21"/>
        </w:rPr>
        <w:t>banks</w:t>
      </w:r>
      <w:r>
        <w:rPr>
          <w:b/>
          <w:color w:val="0A0A0A"/>
          <w:spacing w:val="-13"/>
          <w:w w:val="105"/>
          <w:sz w:val="21"/>
        </w:rPr>
        <w:t> </w:t>
      </w:r>
      <w:r>
        <w:rPr>
          <w:b/>
          <w:color w:val="0A0A0A"/>
          <w:w w:val="105"/>
          <w:sz w:val="21"/>
        </w:rPr>
        <w:t>and building societies</w:t>
      </w:r>
    </w:p>
    <w:p>
      <w:pPr>
        <w:spacing w:before="2"/>
        <w:ind w:left="1804" w:right="0" w:firstLine="0"/>
        <w:jc w:val="left"/>
        <w:rPr>
          <w:sz w:val="21"/>
        </w:rPr>
      </w:pPr>
      <w:r>
        <w:rPr>
          <w:color w:val="0A0A0A"/>
          <w:w w:val="105"/>
          <w:sz w:val="21"/>
        </w:rPr>
        <w:t>12-month</w:t>
      </w:r>
      <w:r>
        <w:rPr>
          <w:color w:val="0A0A0A"/>
          <w:spacing w:val="-5"/>
          <w:w w:val="105"/>
          <w:sz w:val="21"/>
        </w:rPr>
        <w:t> </w:t>
      </w:r>
      <w:r>
        <w:rPr>
          <w:color w:val="0A0A0A"/>
          <w:w w:val="105"/>
          <w:sz w:val="21"/>
        </w:rPr>
        <w:t>credit</w:t>
      </w:r>
      <w:r>
        <w:rPr>
          <w:color w:val="0A0A0A"/>
          <w:spacing w:val="-12"/>
          <w:w w:val="105"/>
          <w:sz w:val="21"/>
        </w:rPr>
        <w:t> </w:t>
      </w:r>
      <w:r>
        <w:rPr>
          <w:color w:val="0A0A0A"/>
          <w:spacing w:val="-2"/>
          <w:w w:val="105"/>
          <w:sz w:val="21"/>
        </w:rPr>
        <w:t>losses</w:t>
      </w:r>
    </w:p>
    <w:p>
      <w:pPr>
        <w:spacing w:after="0"/>
        <w:jc w:val="left"/>
        <w:rPr>
          <w:sz w:val="21"/>
        </w:rPr>
        <w:sectPr>
          <w:type w:val="continuous"/>
          <w:pgSz w:w="11910" w:h="16830"/>
          <w:pgMar w:top="1940" w:right="300" w:bottom="280" w:left="0" w:header="726" w:footer="0"/>
        </w:sectPr>
      </w:pPr>
    </w:p>
    <w:p>
      <w:pPr>
        <w:pStyle w:val="BodyText"/>
        <w:spacing w:before="22"/>
        <w:rPr>
          <w:sz w:val="21"/>
        </w:rPr>
      </w:pPr>
    </w:p>
    <w:p>
      <w:pPr>
        <w:spacing w:before="0"/>
        <w:ind w:left="1380" w:right="0" w:firstLine="0"/>
        <w:jc w:val="left"/>
        <w:rPr>
          <w:b/>
          <w:sz w:val="21"/>
        </w:rPr>
      </w:pPr>
      <w:r>
        <w:rPr>
          <w:b/>
          <w:color w:val="0A0A0A"/>
          <w:w w:val="105"/>
          <w:sz w:val="21"/>
        </w:rPr>
        <w:t>Trade</w:t>
      </w:r>
      <w:r>
        <w:rPr>
          <w:b/>
          <w:color w:val="0A0A0A"/>
          <w:spacing w:val="-3"/>
          <w:w w:val="105"/>
          <w:sz w:val="21"/>
        </w:rPr>
        <w:t> </w:t>
      </w:r>
      <w:r>
        <w:rPr>
          <w:b/>
          <w:color w:val="0A0A0A"/>
          <w:spacing w:val="-2"/>
          <w:w w:val="105"/>
          <w:sz w:val="21"/>
        </w:rPr>
        <w:t>receivables</w:t>
      </w:r>
    </w:p>
    <w:p>
      <w:pPr>
        <w:spacing w:before="13"/>
        <w:ind w:left="1801" w:right="0" w:firstLine="0"/>
        <w:jc w:val="left"/>
        <w:rPr>
          <w:sz w:val="21"/>
        </w:rPr>
      </w:pPr>
      <w:r>
        <w:rPr>
          <w:color w:val="0A0A0A"/>
          <w:w w:val="105"/>
          <w:sz w:val="21"/>
        </w:rPr>
        <w:t>Grouped </w:t>
      </w:r>
      <w:r>
        <w:rPr>
          <w:color w:val="0A0A0A"/>
          <w:spacing w:val="-2"/>
          <w:w w:val="105"/>
          <w:sz w:val="21"/>
        </w:rPr>
        <w:t>assets</w:t>
      </w:r>
    </w:p>
    <w:p>
      <w:pPr>
        <w:pStyle w:val="BodyText"/>
        <w:spacing w:before="31"/>
        <w:rPr>
          <w:sz w:val="21"/>
        </w:rPr>
      </w:pPr>
    </w:p>
    <w:p>
      <w:pPr>
        <w:spacing w:before="1"/>
        <w:ind w:left="1380" w:right="0" w:firstLine="0"/>
        <w:jc w:val="left"/>
        <w:rPr>
          <w:b/>
          <w:sz w:val="21"/>
        </w:rPr>
      </w:pPr>
      <w:r>
        <w:rPr>
          <w:b/>
          <w:color w:val="0A0A0A"/>
          <w:w w:val="105"/>
          <w:sz w:val="21"/>
        </w:rPr>
        <w:t>Total</w:t>
      </w:r>
      <w:r>
        <w:rPr>
          <w:b/>
          <w:color w:val="0A0A0A"/>
          <w:spacing w:val="-2"/>
          <w:w w:val="105"/>
          <w:sz w:val="21"/>
        </w:rPr>
        <w:t> </w:t>
      </w:r>
      <w:r>
        <w:rPr>
          <w:b/>
          <w:color w:val="0A0A0A"/>
          <w:w w:val="105"/>
          <w:sz w:val="21"/>
        </w:rPr>
        <w:t>loss</w:t>
      </w:r>
      <w:r>
        <w:rPr>
          <w:b/>
          <w:color w:val="0A0A0A"/>
          <w:spacing w:val="1"/>
          <w:w w:val="105"/>
          <w:sz w:val="21"/>
        </w:rPr>
        <w:t> </w:t>
      </w:r>
      <w:r>
        <w:rPr>
          <w:b/>
          <w:color w:val="0A0A0A"/>
          <w:spacing w:val="-2"/>
          <w:w w:val="105"/>
          <w:sz w:val="21"/>
        </w:rPr>
        <w:t>allowances</w:t>
      </w:r>
    </w:p>
    <w:p>
      <w:pPr>
        <w:spacing w:before="0" w:line="240" w:lineRule="auto"/>
        <w:rPr>
          <w:b/>
          <w:sz w:val="21"/>
        </w:rPr>
      </w:pPr>
      <w:r>
        <w:rPr/>
        <w:br w:type="column"/>
      </w:r>
      <w:r>
        <w:rPr>
          <w:b/>
          <w:sz w:val="21"/>
        </w:rPr>
      </w:r>
    </w:p>
    <w:p>
      <w:pPr>
        <w:pStyle w:val="BodyText"/>
        <w:spacing w:before="40"/>
        <w:rPr>
          <w:b/>
          <w:sz w:val="21"/>
        </w:rPr>
      </w:pPr>
    </w:p>
    <w:p>
      <w:pPr>
        <w:tabs>
          <w:tab w:val="left" w:leader="none" w:pos="3379"/>
          <w:tab w:val="left" w:leader="none" w:pos="5158"/>
          <w:tab w:val="left" w:leader="none" w:pos="6179"/>
        </w:tabs>
        <w:spacing w:before="0"/>
        <w:ind w:left="1797" w:right="0" w:firstLine="0"/>
        <w:jc w:val="left"/>
        <w:rPr>
          <w:b/>
          <w:sz w:val="21"/>
        </w:rPr>
      </w:pPr>
      <w:r>
        <w:rPr>
          <w:color w:val="0A0A0A"/>
          <w:spacing w:val="-2"/>
          <w:w w:val="105"/>
          <w:sz w:val="21"/>
        </w:rPr>
        <w:t>(664)</w:t>
      </w:r>
      <w:r>
        <w:rPr>
          <w:color w:val="0A0A0A"/>
          <w:sz w:val="21"/>
        </w:rPr>
        <w:tab/>
      </w:r>
      <w:r>
        <w:rPr>
          <w:color w:val="0A0A0A"/>
          <w:spacing w:val="-5"/>
          <w:w w:val="105"/>
          <w:sz w:val="21"/>
        </w:rPr>
        <w:t>65</w:t>
      </w:r>
      <w:r>
        <w:rPr>
          <w:color w:val="0A0A0A"/>
          <w:sz w:val="21"/>
        </w:rPr>
        <w:tab/>
      </w:r>
      <w:r>
        <w:rPr>
          <w:color w:val="0A0A0A"/>
          <w:spacing w:val="-10"/>
          <w:w w:val="105"/>
          <w:sz w:val="21"/>
        </w:rPr>
        <w:t>6</w:t>
      </w:r>
      <w:r>
        <w:rPr>
          <w:color w:val="0A0A0A"/>
          <w:sz w:val="21"/>
        </w:rPr>
        <w:tab/>
      </w:r>
      <w:r>
        <w:rPr>
          <w:b/>
          <w:color w:val="0A0A0A"/>
          <w:spacing w:val="-4"/>
          <w:w w:val="105"/>
          <w:sz w:val="21"/>
        </w:rPr>
        <w:t>(593)</w:t>
      </w:r>
    </w:p>
    <w:p>
      <w:pPr>
        <w:pStyle w:val="BodyText"/>
        <w:spacing w:before="6"/>
        <w:rPr>
          <w:b/>
          <w:sz w:val="19"/>
        </w:rPr>
      </w:pPr>
      <w:r>
        <w:rPr/>
        <ve:AlternateContent>
          <ve:Choice Requires="wps">
            <w:drawing>
              <wp:anchor distT="0" distB="0" distL="0" distR="0" simplePos="0" relativeHeight="487682048" behindDoc="1" locked="0" layoutInCell="1" allowOverlap="1">
                <wp:simplePos x="0" y="0"/>
                <wp:positionH relativeFrom="page">
                  <wp:posOffset>2967434</wp:posOffset>
                </wp:positionH>
                <wp:positionV relativeFrom="paragraph">
                  <wp:posOffset>158126</wp:posOffset>
                </wp:positionV>
                <wp:extent cx="3700145" cy="1270"/>
                <wp:effectExtent l="0" t="0" r="0" b="0"/>
                <wp:wrapTopAndBottom/>
                <wp:docPr id="421" name="Graphic 421"/>
                <wp:cNvGraphicFramePr>
                  <a:graphicFrameLocks/>
                </wp:cNvGraphicFramePr>
                <a:graphic>
                  <a:graphicData uri="http://schemas.microsoft.com/office/word/2010/wordprocessingShape">
                    <wps:wsp>
                      <wps:cNvPr id="421" name="Graphic 421"/>
                      <wps:cNvSpPr/>
                      <wps:spPr>
                        <a:xfrm>
                          <a:off x="0" y="0"/>
                          <a:ext cx="3700145" cy="1270"/>
                        </a:xfrm>
                        <a:custGeom>
                          <a:avLst/>
                          <a:gdLst/>
                          <a:ahLst/>
                          <a:cxnLst/>
                          <a:rect l="l" t="t" r="r" b="b"/>
                          <a:pathLst>
                            <a:path w="3700145" h="0">
                              <a:moveTo>
                                <a:pt x="0" y="0"/>
                              </a:moveTo>
                              <a:lnTo>
                                <a:pt x="3700134"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279" style="position:absolute;margin-left:233.656281pt;margin-top:12.450929pt;width:291.350pt;height:.1pt;mso-position-horizontal-relative:page;mso-position-vertical-relative:paragraph;z-index:-15634432;mso-wrap-distance-left:0;mso-wrap-distance-right:0" coordsize="5827,0" coordorigin="4673,249" filled="false" stroked="true" strokecolor="#000000" strokeweight=".720821pt" path="m4673,249l10500,249e">
                <v:path arrowok="t"/>
                <v:stroke dashstyle="solid"/>
                <w10:wrap type="topAndBottom"/>
              </v:shape>
            </w:pict>
          </ve:Fallback>
        </ve:AlternateContent>
      </w:r>
    </w:p>
    <w:p>
      <w:pPr>
        <w:tabs>
          <w:tab w:val="left" w:leader="none" w:pos="906"/>
          <w:tab w:val="left" w:leader="none" w:pos="2297"/>
          <w:tab w:val="left" w:leader="none" w:pos="4193"/>
          <w:tab w:val="left" w:leader="none" w:pos="5289"/>
          <w:tab w:val="left" w:leader="none" w:pos="5865"/>
        </w:tabs>
        <w:spacing w:before="17"/>
        <w:ind w:left="0" w:right="113" w:firstLine="0"/>
        <w:jc w:val="center"/>
        <w:rPr>
          <w:b/>
          <w:sz w:val="21"/>
        </w:rPr>
      </w:pPr>
      <w:r>
        <w:rPr>
          <w:b/>
          <w:color w:val="0A0A0A"/>
          <w:sz w:val="21"/>
          <w:u w:val="single" w:color="000000"/>
        </w:rPr>
        <w:tab/>
      </w:r>
      <w:r>
        <w:rPr>
          <w:b/>
          <w:color w:val="0A0A0A"/>
          <w:spacing w:val="-4"/>
          <w:w w:val="105"/>
          <w:sz w:val="21"/>
          <w:u w:val="single" w:color="000000"/>
        </w:rPr>
        <w:t>994)</w:t>
      </w:r>
      <w:r>
        <w:rPr>
          <w:b/>
          <w:color w:val="0A0A0A"/>
          <w:sz w:val="21"/>
          <w:u w:val="single" w:color="000000"/>
        </w:rPr>
        <w:tab/>
      </w:r>
      <w:r>
        <w:rPr>
          <w:b/>
          <w:color w:val="0A0A0A"/>
          <w:spacing w:val="-5"/>
          <w:w w:val="105"/>
          <w:sz w:val="21"/>
          <w:u w:val="single" w:color="000000"/>
        </w:rPr>
        <w:t>200</w:t>
      </w:r>
      <w:r>
        <w:rPr>
          <w:b/>
          <w:color w:val="0A0A0A"/>
          <w:sz w:val="21"/>
          <w:u w:val="single" w:color="000000"/>
        </w:rPr>
        <w:tab/>
      </w:r>
      <w:r>
        <w:rPr>
          <w:b/>
          <w:color w:val="0A0A0A"/>
          <w:spacing w:val="-10"/>
          <w:w w:val="105"/>
          <w:sz w:val="21"/>
          <w:u w:val="single" w:color="000000"/>
        </w:rPr>
        <w:t>6</w:t>
      </w:r>
      <w:r>
        <w:rPr>
          <w:b/>
          <w:color w:val="0A0A0A"/>
          <w:sz w:val="21"/>
          <w:u w:val="single" w:color="000000"/>
        </w:rPr>
        <w:tab/>
      </w:r>
      <w:r>
        <w:rPr>
          <w:b/>
          <w:color w:val="0A0A0A"/>
          <w:spacing w:val="-5"/>
          <w:w w:val="105"/>
          <w:sz w:val="21"/>
          <w:u w:val="single" w:color="000000"/>
        </w:rPr>
        <w:t>788</w:t>
      </w:r>
      <w:r>
        <w:rPr>
          <w:b/>
          <w:color w:val="0A0A0A"/>
          <w:sz w:val="21"/>
          <w:u w:val="single" w:color="000000"/>
        </w:rPr>
        <w:tab/>
      </w:r>
    </w:p>
    <w:p>
      <w:pPr>
        <w:spacing w:after="0"/>
        <w:jc w:val="center"/>
        <w:rPr>
          <w:sz w:val="21"/>
        </w:rPr>
        <w:sectPr>
          <w:type w:val="continuous"/>
          <w:pgSz w:w="11910" w:h="16830"/>
          <w:pgMar w:top="1940" w:right="300" w:bottom="280" w:left="0" w:header="726" w:footer="0"/>
          <w:cols w:equalWidth="0" w:num="2">
            <w:col w:w="3645" w:space="40"/>
            <w:col w:w="7925"/>
          </w:cols>
        </w:sectPr>
      </w:pPr>
    </w:p>
    <w:p>
      <w:pPr>
        <w:spacing w:before="237"/>
        <w:ind w:left="1562" w:right="0" w:firstLine="0"/>
        <w:jc w:val="left"/>
        <w:rPr>
          <w:b/>
          <w:sz w:val="21"/>
        </w:rPr>
      </w:pPr>
      <w:r>
        <w:rPr>
          <w:b/>
          <w:color w:val="212121"/>
          <w:w w:val="105"/>
          <w:sz w:val="21"/>
        </w:rPr>
        <w:t>Credit</w:t>
      </w:r>
      <w:r>
        <w:rPr>
          <w:b/>
          <w:color w:val="212121"/>
          <w:spacing w:val="-4"/>
          <w:w w:val="105"/>
          <w:sz w:val="21"/>
        </w:rPr>
        <w:t> </w:t>
      </w:r>
      <w:r>
        <w:rPr>
          <w:b/>
          <w:color w:val="212121"/>
          <w:w w:val="105"/>
          <w:sz w:val="21"/>
        </w:rPr>
        <w:t>Risk</w:t>
      </w:r>
      <w:r>
        <w:rPr>
          <w:b/>
          <w:color w:val="212121"/>
          <w:spacing w:val="3"/>
          <w:w w:val="105"/>
          <w:sz w:val="21"/>
        </w:rPr>
        <w:t> </w:t>
      </w:r>
      <w:r>
        <w:rPr>
          <w:b/>
          <w:color w:val="212121"/>
          <w:spacing w:val="-2"/>
          <w:w w:val="105"/>
          <w:sz w:val="21"/>
        </w:rPr>
        <w:t>Exposure</w:t>
      </w:r>
    </w:p>
    <w:p>
      <w:pPr>
        <w:pStyle w:val="BodyText"/>
        <w:spacing w:before="26"/>
        <w:rPr>
          <w:b/>
          <w:sz w:val="21"/>
        </w:rPr>
      </w:pPr>
    </w:p>
    <w:p>
      <w:pPr>
        <w:spacing w:before="0"/>
        <w:ind w:left="1552" w:right="0" w:firstLine="0"/>
        <w:jc w:val="left"/>
        <w:rPr>
          <w:sz w:val="21"/>
        </w:rPr>
      </w:pPr>
      <w:r>
        <w:rPr>
          <w:color w:val="212121"/>
          <w:w w:val="105"/>
          <w:sz w:val="21"/>
        </w:rPr>
        <w:t>The</w:t>
      </w:r>
      <w:r>
        <w:rPr>
          <w:color w:val="212121"/>
          <w:spacing w:val="-7"/>
          <w:w w:val="105"/>
          <w:sz w:val="21"/>
        </w:rPr>
        <w:t> </w:t>
      </w:r>
      <w:r>
        <w:rPr>
          <w:color w:val="212121"/>
          <w:w w:val="105"/>
          <w:sz w:val="21"/>
        </w:rPr>
        <w:t>Council</w:t>
      </w:r>
      <w:r>
        <w:rPr>
          <w:color w:val="212121"/>
          <w:spacing w:val="-1"/>
          <w:w w:val="105"/>
          <w:sz w:val="21"/>
        </w:rPr>
        <w:t> </w:t>
      </w:r>
      <w:r>
        <w:rPr>
          <w:color w:val="212121"/>
          <w:w w:val="105"/>
          <w:sz w:val="21"/>
        </w:rPr>
        <w:t>had</w:t>
      </w:r>
      <w:r>
        <w:rPr>
          <w:color w:val="212121"/>
          <w:spacing w:val="-11"/>
          <w:w w:val="105"/>
          <w:sz w:val="21"/>
        </w:rPr>
        <w:t> </w:t>
      </w:r>
      <w:r>
        <w:rPr>
          <w:color w:val="212121"/>
          <w:w w:val="105"/>
          <w:sz w:val="21"/>
        </w:rPr>
        <w:t>the</w:t>
      </w:r>
      <w:r>
        <w:rPr>
          <w:color w:val="212121"/>
          <w:spacing w:val="-8"/>
          <w:w w:val="105"/>
          <w:sz w:val="21"/>
        </w:rPr>
        <w:t> </w:t>
      </w:r>
      <w:r>
        <w:rPr>
          <w:color w:val="212121"/>
          <w:w w:val="105"/>
          <w:sz w:val="21"/>
        </w:rPr>
        <w:t>following</w:t>
      </w:r>
      <w:r>
        <w:rPr>
          <w:color w:val="212121"/>
          <w:spacing w:val="5"/>
          <w:w w:val="105"/>
          <w:sz w:val="21"/>
        </w:rPr>
        <w:t> </w:t>
      </w:r>
      <w:r>
        <w:rPr>
          <w:color w:val="212121"/>
          <w:w w:val="105"/>
          <w:sz w:val="21"/>
        </w:rPr>
        <w:t>exposure</w:t>
      </w:r>
      <w:r>
        <w:rPr>
          <w:color w:val="212121"/>
          <w:spacing w:val="-4"/>
          <w:w w:val="105"/>
          <w:sz w:val="21"/>
        </w:rPr>
        <w:t> </w:t>
      </w:r>
      <w:r>
        <w:rPr>
          <w:color w:val="212121"/>
          <w:w w:val="105"/>
          <w:sz w:val="21"/>
        </w:rPr>
        <w:t>to</w:t>
      </w:r>
      <w:r>
        <w:rPr>
          <w:color w:val="212121"/>
          <w:spacing w:val="-6"/>
          <w:w w:val="105"/>
          <w:sz w:val="21"/>
        </w:rPr>
        <w:t> </w:t>
      </w:r>
      <w:r>
        <w:rPr>
          <w:color w:val="212121"/>
          <w:w w:val="105"/>
          <w:sz w:val="21"/>
        </w:rPr>
        <w:t>credit</w:t>
      </w:r>
      <w:r>
        <w:rPr>
          <w:color w:val="212121"/>
          <w:spacing w:val="-3"/>
          <w:w w:val="105"/>
          <w:sz w:val="21"/>
        </w:rPr>
        <w:t> </w:t>
      </w:r>
      <w:r>
        <w:rPr>
          <w:color w:val="212121"/>
          <w:w w:val="105"/>
          <w:sz w:val="21"/>
        </w:rPr>
        <w:t>risk</w:t>
      </w:r>
      <w:r>
        <w:rPr>
          <w:color w:val="212121"/>
          <w:spacing w:val="-4"/>
          <w:w w:val="105"/>
          <w:sz w:val="21"/>
        </w:rPr>
        <w:t> </w:t>
      </w:r>
      <w:r>
        <w:rPr>
          <w:color w:val="212121"/>
          <w:w w:val="105"/>
          <w:sz w:val="21"/>
        </w:rPr>
        <w:t>at</w:t>
      </w:r>
      <w:r>
        <w:rPr>
          <w:color w:val="212121"/>
          <w:spacing w:val="-1"/>
          <w:w w:val="105"/>
          <w:sz w:val="21"/>
        </w:rPr>
        <w:t> </w:t>
      </w:r>
      <w:r>
        <w:rPr>
          <w:color w:val="212121"/>
          <w:w w:val="105"/>
          <w:sz w:val="21"/>
        </w:rPr>
        <w:t>31</w:t>
      </w:r>
      <w:r>
        <w:rPr>
          <w:color w:val="212121"/>
          <w:spacing w:val="-9"/>
          <w:w w:val="105"/>
          <w:sz w:val="21"/>
        </w:rPr>
        <w:t> </w:t>
      </w:r>
      <w:r>
        <w:rPr>
          <w:color w:val="212121"/>
          <w:w w:val="105"/>
          <w:sz w:val="21"/>
        </w:rPr>
        <w:t>March</w:t>
      </w:r>
      <w:r>
        <w:rPr>
          <w:color w:val="212121"/>
          <w:spacing w:val="-2"/>
          <w:w w:val="105"/>
          <w:sz w:val="21"/>
        </w:rPr>
        <w:t> 2023.</w:t>
      </w:r>
    </w:p>
    <w:p>
      <w:pPr>
        <w:pStyle w:val="BodyText"/>
        <w:spacing w:before="22"/>
        <w:rPr>
          <w:sz w:val="21"/>
        </w:rPr>
      </w:pPr>
    </w:p>
    <w:p>
      <w:pPr>
        <w:spacing w:before="0"/>
        <w:ind w:left="6754" w:right="0" w:firstLine="0"/>
        <w:jc w:val="left"/>
        <w:rPr>
          <w:b/>
          <w:sz w:val="21"/>
        </w:rPr>
      </w:pPr>
      <w:r>
        <w:rPr>
          <w:b/>
          <w:color w:val="212121"/>
          <w:w w:val="105"/>
          <w:sz w:val="21"/>
        </w:rPr>
        <w:t>Credit</w:t>
      </w:r>
      <w:r>
        <w:rPr>
          <w:b/>
          <w:color w:val="212121"/>
          <w:spacing w:val="1"/>
          <w:w w:val="105"/>
          <w:sz w:val="21"/>
        </w:rPr>
        <w:t> </w:t>
      </w:r>
      <w:r>
        <w:rPr>
          <w:b/>
          <w:color w:val="212121"/>
          <w:w w:val="105"/>
          <w:sz w:val="21"/>
        </w:rPr>
        <w:t>Risk</w:t>
      </w:r>
      <w:r>
        <w:rPr>
          <w:b/>
          <w:color w:val="212121"/>
          <w:spacing w:val="3"/>
          <w:w w:val="105"/>
          <w:sz w:val="21"/>
        </w:rPr>
        <w:t> </w:t>
      </w:r>
      <w:r>
        <w:rPr>
          <w:b/>
          <w:color w:val="212121"/>
          <w:spacing w:val="-2"/>
          <w:w w:val="105"/>
          <w:sz w:val="21"/>
        </w:rPr>
        <w:t>Rating</w:t>
      </w:r>
    </w:p>
    <w:p>
      <w:pPr>
        <w:pStyle w:val="BodyText"/>
        <w:spacing w:before="194"/>
        <w:rPr>
          <w:b/>
          <w:sz w:val="20"/>
        </w:rPr>
      </w:pPr>
    </w:p>
    <w:p>
      <w:pPr>
        <w:spacing w:after="0"/>
        <w:rPr>
          <w:sz w:val="20"/>
        </w:rPr>
        <w:sectPr>
          <w:footerReference w:type="even" r:id="rId183"/>
          <w:footerReference w:type="default" r:id="rId184"/>
          <w:pgSz w:w="11910" w:h="16830"/>
          <w:pgMar w:top="1040" w:right="300" w:bottom="1200" w:left="0" w:header="0" w:footer="1020"/>
          <w:pgNumType w:start="86"/>
        </w:sectPr>
      </w:pPr>
    </w:p>
    <w:p>
      <w:pPr>
        <w:pStyle w:val="BodyText"/>
        <w:rPr>
          <w:b/>
          <w:sz w:val="21"/>
        </w:rPr>
      </w:pPr>
    </w:p>
    <w:p>
      <w:pPr>
        <w:pStyle w:val="BodyText"/>
        <w:spacing w:before="110"/>
        <w:rPr>
          <w:b/>
          <w:sz w:val="21"/>
        </w:rPr>
      </w:pPr>
    </w:p>
    <w:p>
      <w:pPr>
        <w:spacing w:before="1"/>
        <w:ind w:left="1638" w:right="0" w:firstLine="0"/>
        <w:jc w:val="left"/>
        <w:rPr>
          <w:b/>
          <w:sz w:val="21"/>
        </w:rPr>
      </w:pPr>
      <w:r>
        <w:rPr>
          <w:b/>
          <w:color w:val="0C0C0C"/>
          <w:w w:val="105"/>
          <w:sz w:val="21"/>
        </w:rPr>
        <w:t>Deposits</w:t>
      </w:r>
      <w:r>
        <w:rPr>
          <w:b/>
          <w:color w:val="0C0C0C"/>
          <w:spacing w:val="1"/>
          <w:w w:val="105"/>
          <w:sz w:val="21"/>
        </w:rPr>
        <w:t> </w:t>
      </w:r>
      <w:r>
        <w:rPr>
          <w:b/>
          <w:color w:val="0C0C0C"/>
          <w:w w:val="105"/>
          <w:sz w:val="21"/>
        </w:rPr>
        <w:t>with</w:t>
      </w:r>
      <w:r>
        <w:rPr>
          <w:b/>
          <w:color w:val="0C0C0C"/>
          <w:spacing w:val="-10"/>
          <w:w w:val="105"/>
          <w:sz w:val="21"/>
        </w:rPr>
        <w:t> </w:t>
      </w:r>
      <w:r>
        <w:rPr>
          <w:b/>
          <w:color w:val="0C0C0C"/>
          <w:w w:val="105"/>
          <w:sz w:val="21"/>
        </w:rPr>
        <w:t>banks</w:t>
      </w:r>
      <w:r>
        <w:rPr>
          <w:b/>
          <w:color w:val="0C0C0C"/>
          <w:spacing w:val="-4"/>
          <w:w w:val="105"/>
          <w:sz w:val="21"/>
        </w:rPr>
        <w:t> </w:t>
      </w:r>
      <w:r>
        <w:rPr>
          <w:b/>
          <w:color w:val="0C0C0C"/>
          <w:w w:val="105"/>
          <w:sz w:val="21"/>
        </w:rPr>
        <w:t>and</w:t>
      </w:r>
      <w:r>
        <w:rPr>
          <w:b/>
          <w:color w:val="0C0C0C"/>
          <w:spacing w:val="-7"/>
          <w:w w:val="105"/>
          <w:sz w:val="21"/>
        </w:rPr>
        <w:t> </w:t>
      </w:r>
      <w:r>
        <w:rPr>
          <w:b/>
          <w:color w:val="0C0C0C"/>
          <w:w w:val="105"/>
          <w:sz w:val="21"/>
        </w:rPr>
        <w:t>building</w:t>
      </w:r>
      <w:r>
        <w:rPr>
          <w:b/>
          <w:color w:val="0C0C0C"/>
          <w:spacing w:val="4"/>
          <w:w w:val="105"/>
          <w:sz w:val="21"/>
        </w:rPr>
        <w:t> </w:t>
      </w:r>
      <w:r>
        <w:rPr>
          <w:b/>
          <w:color w:val="0C0C0C"/>
          <w:spacing w:val="-2"/>
          <w:w w:val="105"/>
          <w:sz w:val="21"/>
        </w:rPr>
        <w:t>societies</w:t>
      </w:r>
    </w:p>
    <w:p>
      <w:pPr>
        <w:spacing w:before="94"/>
        <w:ind w:left="117" w:right="0" w:firstLine="0"/>
        <w:jc w:val="left"/>
        <w:rPr>
          <w:b/>
          <w:sz w:val="21"/>
        </w:rPr>
      </w:pPr>
      <w:r>
        <w:rPr/>
        <w:br w:type="column"/>
      </w:r>
      <w:r>
        <w:rPr>
          <w:b/>
          <w:color w:val="0C0C0C"/>
          <w:spacing w:val="-5"/>
          <w:w w:val="105"/>
          <w:sz w:val="21"/>
        </w:rPr>
        <w:t>Low</w:t>
      </w:r>
    </w:p>
    <w:p>
      <w:pPr>
        <w:pStyle w:val="Heading2"/>
        <w:rPr>
          <w:rFonts w:ascii="Courier New" w:hAnsi="Courier New"/>
        </w:rPr>
      </w:pPr>
      <w:r>
        <w:rPr/>
        <ve:AlternateContent>
          <ve:Choice Requires="wps">
            <w:drawing>
              <wp:anchor distT="0" distB="0" distL="0" distR="0" simplePos="0" relativeHeight="15824384" behindDoc="0" locked="0" layoutInCell="1" allowOverlap="1">
                <wp:simplePos x="0" y="0"/>
                <wp:positionH relativeFrom="page">
                  <wp:posOffset>4521412</wp:posOffset>
                </wp:positionH>
                <wp:positionV relativeFrom="paragraph">
                  <wp:posOffset>-469410</wp:posOffset>
                </wp:positionV>
                <wp:extent cx="2221865" cy="650875"/>
                <wp:effectExtent l="0" t="0" r="0" b="0"/>
                <wp:wrapNone/>
                <wp:docPr id="424" name="Textbox 424"/>
                <wp:cNvGraphicFramePr>
                  <a:graphicFrameLocks/>
                </wp:cNvGraphicFramePr>
                <a:graphic>
                  <a:graphicData uri="http://schemas.microsoft.com/office/word/2010/wordprocessingShape">
                    <wps:wsp>
                      <wps:cNvPr id="424" name="Textbox 424"/>
                      <wps:cNvSpPr txBox="1"/>
                      <wps:spPr>
                        <a:xfrm>
                          <a:off x="0" y="0"/>
                          <a:ext cx="2221865" cy="65087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41"/>
                              <w:gridCol w:w="1021"/>
                              <w:gridCol w:w="1215"/>
                            </w:tblGrid>
                            <w:tr>
                              <w:trPr>
                                <w:trHeight w:val="242" w:hRule="atLeast"/>
                              </w:trPr>
                              <w:tc>
                                <w:tcPr>
                                  <w:tcW w:w="2162" w:type="dxa"/>
                                  <w:gridSpan w:val="2"/>
                                  <w:vMerge w:val="restart"/>
                                </w:tcPr>
                                <w:p>
                                  <w:pPr>
                                    <w:pStyle w:val="TableParagraph"/>
                                    <w:rPr>
                                      <w:rFonts w:ascii="Times New Roman"/>
                                      <w:sz w:val="20"/>
                                    </w:rPr>
                                  </w:pPr>
                                </w:p>
                              </w:tc>
                              <w:tc>
                                <w:tcPr>
                                  <w:tcW w:w="1215" w:type="dxa"/>
                                </w:tcPr>
                                <w:p>
                                  <w:pPr>
                                    <w:pStyle w:val="TableParagraph"/>
                                    <w:spacing w:line="222" w:lineRule="exact"/>
                                    <w:ind w:left="237"/>
                                    <w:jc w:val="center"/>
                                    <w:rPr>
                                      <w:b/>
                                      <w:sz w:val="21"/>
                                    </w:rPr>
                                  </w:pPr>
                                  <w:r>
                                    <w:rPr>
                                      <w:b/>
                                      <w:color w:val="0C0C0C"/>
                                      <w:spacing w:val="-4"/>
                                      <w:w w:val="105"/>
                                      <w:sz w:val="21"/>
                                    </w:rPr>
                                    <w:t>Gross</w:t>
                                  </w:r>
                                </w:p>
                              </w:tc>
                            </w:tr>
                            <w:tr>
                              <w:trPr>
                                <w:trHeight w:val="252" w:hRule="atLeast"/>
                              </w:trPr>
                              <w:tc>
                                <w:tcPr>
                                  <w:tcW w:w="2162" w:type="dxa"/>
                                  <w:gridSpan w:val="2"/>
                                  <w:vMerge/>
                                  <w:tcBorders>
                                    <w:top w:val="nil"/>
                                  </w:tcBorders>
                                </w:tcPr>
                                <w:p>
                                  <w:pPr>
                                    <w:rPr>
                                      <w:sz w:val="2"/>
                                      <w:szCs w:val="2"/>
                                    </w:rPr>
                                  </w:pPr>
                                </w:p>
                              </w:tc>
                              <w:tc>
                                <w:tcPr>
                                  <w:tcW w:w="1215" w:type="dxa"/>
                                </w:tcPr>
                                <w:p>
                                  <w:pPr>
                                    <w:pStyle w:val="TableParagraph"/>
                                    <w:spacing w:before="1" w:line="231" w:lineRule="exact"/>
                                    <w:ind w:left="237" w:right="18"/>
                                    <w:jc w:val="center"/>
                                    <w:rPr>
                                      <w:b/>
                                      <w:sz w:val="21"/>
                                    </w:rPr>
                                  </w:pPr>
                                  <w:r>
                                    <w:rPr>
                                      <w:b/>
                                      <w:color w:val="0C0C0C"/>
                                      <w:spacing w:val="-2"/>
                                      <w:w w:val="105"/>
                                      <w:sz w:val="21"/>
                                    </w:rPr>
                                    <w:t>Carrying</w:t>
                                  </w:r>
                                </w:p>
                              </w:tc>
                            </w:tr>
                            <w:tr>
                              <w:trPr>
                                <w:trHeight w:val="249" w:hRule="atLeast"/>
                              </w:trPr>
                              <w:tc>
                                <w:tcPr>
                                  <w:tcW w:w="1141" w:type="dxa"/>
                                </w:tcPr>
                                <w:p>
                                  <w:pPr>
                                    <w:pStyle w:val="TableParagraph"/>
                                    <w:spacing w:before="3" w:line="227" w:lineRule="exact"/>
                                    <w:ind w:right="204"/>
                                    <w:jc w:val="center"/>
                                    <w:rPr>
                                      <w:b/>
                                      <w:sz w:val="21"/>
                                    </w:rPr>
                                  </w:pPr>
                                  <w:r>
                                    <w:rPr>
                                      <w:b/>
                                      <w:color w:val="0C0C0C"/>
                                      <w:spacing w:val="-2"/>
                                      <w:w w:val="105"/>
                                      <w:sz w:val="21"/>
                                    </w:rPr>
                                    <w:t>Medium</w:t>
                                  </w:r>
                                </w:p>
                              </w:tc>
                              <w:tc>
                                <w:tcPr>
                                  <w:tcW w:w="1021" w:type="dxa"/>
                                </w:tcPr>
                                <w:p>
                                  <w:pPr>
                                    <w:pStyle w:val="TableParagraph"/>
                                    <w:spacing w:before="3" w:line="227" w:lineRule="exact"/>
                                    <w:ind w:left="12" w:right="12"/>
                                    <w:jc w:val="center"/>
                                    <w:rPr>
                                      <w:b/>
                                      <w:sz w:val="21"/>
                                    </w:rPr>
                                  </w:pPr>
                                  <w:r>
                                    <w:rPr>
                                      <w:b/>
                                      <w:color w:val="0C0C0C"/>
                                      <w:spacing w:val="-4"/>
                                      <w:w w:val="105"/>
                                      <w:sz w:val="21"/>
                                    </w:rPr>
                                    <w:t>High</w:t>
                                  </w:r>
                                </w:p>
                              </w:tc>
                              <w:tc>
                                <w:tcPr>
                                  <w:tcW w:w="1215" w:type="dxa"/>
                                </w:tcPr>
                                <w:p>
                                  <w:pPr>
                                    <w:pStyle w:val="TableParagraph"/>
                                    <w:spacing w:before="3" w:line="227" w:lineRule="exact"/>
                                    <w:ind w:left="237" w:right="13"/>
                                    <w:jc w:val="center"/>
                                    <w:rPr>
                                      <w:b/>
                                      <w:sz w:val="21"/>
                                    </w:rPr>
                                  </w:pPr>
                                  <w:r>
                                    <w:rPr>
                                      <w:b/>
                                      <w:color w:val="0C0C0C"/>
                                      <w:spacing w:val="-2"/>
                                      <w:w w:val="105"/>
                                      <w:sz w:val="21"/>
                                    </w:rPr>
                                    <w:t>Amount</w:t>
                                  </w:r>
                                </w:p>
                              </w:tc>
                            </w:tr>
                            <w:tr>
                              <w:trPr>
                                <w:trHeight w:val="282" w:hRule="atLeast"/>
                              </w:trPr>
                              <w:tc>
                                <w:tcPr>
                                  <w:tcW w:w="1141" w:type="dxa"/>
                                </w:tcPr>
                                <w:p>
                                  <w:pPr>
                                    <w:pStyle w:val="TableParagraph"/>
                                    <w:spacing w:before="5" w:line="257" w:lineRule="exact"/>
                                    <w:ind w:right="204"/>
                                    <w:jc w:val="center"/>
                                    <w:rPr>
                                      <w:rFonts w:ascii="Courier New" w:hAnsi="Courier New"/>
                                      <w:b/>
                                      <w:sz w:val="24"/>
                                    </w:rPr>
                                  </w:pPr>
                                  <w:r>
                                    <w:rPr>
                                      <w:rFonts w:ascii="Courier New" w:hAnsi="Courier New"/>
                                      <w:b/>
                                      <w:color w:val="0C0C0C"/>
                                      <w:spacing w:val="-4"/>
                                      <w:w w:val="95"/>
                                      <w:sz w:val="24"/>
                                    </w:rPr>
                                    <w:t>£000</w:t>
                                  </w:r>
                                </w:p>
                              </w:tc>
                              <w:tc>
                                <w:tcPr>
                                  <w:tcW w:w="1021" w:type="dxa"/>
                                </w:tcPr>
                                <w:p>
                                  <w:pPr>
                                    <w:pStyle w:val="TableParagraph"/>
                                    <w:spacing w:before="10" w:line="252" w:lineRule="exact"/>
                                    <w:ind w:right="12"/>
                                    <w:jc w:val="center"/>
                                    <w:rPr>
                                      <w:rFonts w:ascii="Courier New" w:hAnsi="Courier New"/>
                                      <w:b/>
                                      <w:sz w:val="24"/>
                                    </w:rPr>
                                  </w:pPr>
                                  <w:r>
                                    <w:rPr>
                                      <w:rFonts w:ascii="Courier New" w:hAnsi="Courier New"/>
                                      <w:b/>
                                      <w:color w:val="0C0C0C"/>
                                      <w:spacing w:val="-4"/>
                                      <w:w w:val="95"/>
                                      <w:sz w:val="24"/>
                                    </w:rPr>
                                    <w:t>£000</w:t>
                                  </w:r>
                                </w:p>
                              </w:tc>
                              <w:tc>
                                <w:tcPr>
                                  <w:tcW w:w="1215" w:type="dxa"/>
                                </w:tcPr>
                                <w:p>
                                  <w:pPr>
                                    <w:pStyle w:val="TableParagraph"/>
                                    <w:spacing w:before="5" w:line="257" w:lineRule="exact"/>
                                    <w:ind w:left="237" w:right="15"/>
                                    <w:jc w:val="center"/>
                                    <w:rPr>
                                      <w:rFonts w:ascii="Courier New" w:hAnsi="Courier New"/>
                                      <w:b/>
                                      <w:sz w:val="24"/>
                                    </w:rPr>
                                  </w:pPr>
                                  <w:r>
                                    <w:rPr>
                                      <w:rFonts w:ascii="Courier New" w:hAnsi="Courier New"/>
                                      <w:b/>
                                      <w:color w:val="0C0C0C"/>
                                      <w:spacing w:val="-4"/>
                                      <w:w w:val="95"/>
                                      <w:sz w:val="24"/>
                                    </w:rPr>
                                    <w:t>£000</w:t>
                                  </w:r>
                                </w:p>
                              </w:tc>
                            </w:tr>
                          </w:tbl>
                          <w:p>
                            <w:pPr>
                              <w:pStyle w:val="BodyText"/>
                            </w:pPr>
                          </w:p>
                        </w:txbxContent>
                      </wps:txbx>
                      <wps:bodyPr wrap="square" lIns="0" tIns="0" rIns="0" bIns="0" rtlCol="0">
                        <a:noAutofit/>
                      </wps:bodyPr>
                    </wps:wsp>
                  </a:graphicData>
                </a:graphic>
              </wp:anchor>
            </w:drawing>
          </ve:Choice>
          <ve:Fallback>
            <w:pict>
              <v:shape id="docshape282" style="position:absolute;margin-left:356.016693pt;margin-top:-36.961456pt;width:174.95pt;height:51.25pt;mso-position-horizontal-relative:page;mso-position-vertical-relative:paragraph;z-index:15824384"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41"/>
                        <w:gridCol w:w="1021"/>
                        <w:gridCol w:w="1215"/>
                      </w:tblGrid>
                      <w:tr>
                        <w:trPr>
                          <w:trHeight w:val="242" w:hRule="atLeast"/>
                        </w:trPr>
                        <w:tc>
                          <w:tcPr>
                            <w:tcW w:w="2162" w:type="dxa"/>
                            <w:gridSpan w:val="2"/>
                            <w:vMerge w:val="restart"/>
                          </w:tcPr>
                          <w:p>
                            <w:pPr>
                              <w:pStyle w:val="TableParagraph"/>
                              <w:rPr>
                                <w:rFonts w:ascii="Times New Roman"/>
                                <w:sz w:val="20"/>
                              </w:rPr>
                            </w:pPr>
                          </w:p>
                        </w:tc>
                        <w:tc>
                          <w:tcPr>
                            <w:tcW w:w="1215" w:type="dxa"/>
                          </w:tcPr>
                          <w:p>
                            <w:pPr>
                              <w:pStyle w:val="TableParagraph"/>
                              <w:spacing w:line="222" w:lineRule="exact"/>
                              <w:ind w:left="237"/>
                              <w:jc w:val="center"/>
                              <w:rPr>
                                <w:b/>
                                <w:sz w:val="21"/>
                              </w:rPr>
                            </w:pPr>
                            <w:r>
                              <w:rPr>
                                <w:b/>
                                <w:color w:val="0C0C0C"/>
                                <w:spacing w:val="-4"/>
                                <w:w w:val="105"/>
                                <w:sz w:val="21"/>
                              </w:rPr>
                              <w:t>Gross</w:t>
                            </w:r>
                          </w:p>
                        </w:tc>
                      </w:tr>
                      <w:tr>
                        <w:trPr>
                          <w:trHeight w:val="252" w:hRule="atLeast"/>
                        </w:trPr>
                        <w:tc>
                          <w:tcPr>
                            <w:tcW w:w="2162" w:type="dxa"/>
                            <w:gridSpan w:val="2"/>
                            <w:vMerge/>
                            <w:tcBorders>
                              <w:top w:val="nil"/>
                            </w:tcBorders>
                          </w:tcPr>
                          <w:p>
                            <w:pPr>
                              <w:rPr>
                                <w:sz w:val="2"/>
                                <w:szCs w:val="2"/>
                              </w:rPr>
                            </w:pPr>
                          </w:p>
                        </w:tc>
                        <w:tc>
                          <w:tcPr>
                            <w:tcW w:w="1215" w:type="dxa"/>
                          </w:tcPr>
                          <w:p>
                            <w:pPr>
                              <w:pStyle w:val="TableParagraph"/>
                              <w:spacing w:before="1" w:line="231" w:lineRule="exact"/>
                              <w:ind w:left="237" w:right="18"/>
                              <w:jc w:val="center"/>
                              <w:rPr>
                                <w:b/>
                                <w:sz w:val="21"/>
                              </w:rPr>
                            </w:pPr>
                            <w:r>
                              <w:rPr>
                                <w:b/>
                                <w:color w:val="0C0C0C"/>
                                <w:spacing w:val="-2"/>
                                <w:w w:val="105"/>
                                <w:sz w:val="21"/>
                              </w:rPr>
                              <w:t>Carrying</w:t>
                            </w:r>
                          </w:p>
                        </w:tc>
                      </w:tr>
                      <w:tr>
                        <w:trPr>
                          <w:trHeight w:val="249" w:hRule="atLeast"/>
                        </w:trPr>
                        <w:tc>
                          <w:tcPr>
                            <w:tcW w:w="1141" w:type="dxa"/>
                          </w:tcPr>
                          <w:p>
                            <w:pPr>
                              <w:pStyle w:val="TableParagraph"/>
                              <w:spacing w:before="3" w:line="227" w:lineRule="exact"/>
                              <w:ind w:right="204"/>
                              <w:jc w:val="center"/>
                              <w:rPr>
                                <w:b/>
                                <w:sz w:val="21"/>
                              </w:rPr>
                            </w:pPr>
                            <w:r>
                              <w:rPr>
                                <w:b/>
                                <w:color w:val="0C0C0C"/>
                                <w:spacing w:val="-2"/>
                                <w:w w:val="105"/>
                                <w:sz w:val="21"/>
                              </w:rPr>
                              <w:t>Medium</w:t>
                            </w:r>
                          </w:p>
                        </w:tc>
                        <w:tc>
                          <w:tcPr>
                            <w:tcW w:w="1021" w:type="dxa"/>
                          </w:tcPr>
                          <w:p>
                            <w:pPr>
                              <w:pStyle w:val="TableParagraph"/>
                              <w:spacing w:before="3" w:line="227" w:lineRule="exact"/>
                              <w:ind w:left="12" w:right="12"/>
                              <w:jc w:val="center"/>
                              <w:rPr>
                                <w:b/>
                                <w:sz w:val="21"/>
                              </w:rPr>
                            </w:pPr>
                            <w:r>
                              <w:rPr>
                                <w:b/>
                                <w:color w:val="0C0C0C"/>
                                <w:spacing w:val="-4"/>
                                <w:w w:val="105"/>
                                <w:sz w:val="21"/>
                              </w:rPr>
                              <w:t>High</w:t>
                            </w:r>
                          </w:p>
                        </w:tc>
                        <w:tc>
                          <w:tcPr>
                            <w:tcW w:w="1215" w:type="dxa"/>
                          </w:tcPr>
                          <w:p>
                            <w:pPr>
                              <w:pStyle w:val="TableParagraph"/>
                              <w:spacing w:before="3" w:line="227" w:lineRule="exact"/>
                              <w:ind w:left="237" w:right="13"/>
                              <w:jc w:val="center"/>
                              <w:rPr>
                                <w:b/>
                                <w:sz w:val="21"/>
                              </w:rPr>
                            </w:pPr>
                            <w:r>
                              <w:rPr>
                                <w:b/>
                                <w:color w:val="0C0C0C"/>
                                <w:spacing w:val="-2"/>
                                <w:w w:val="105"/>
                                <w:sz w:val="21"/>
                              </w:rPr>
                              <w:t>Amount</w:t>
                            </w:r>
                          </w:p>
                        </w:tc>
                      </w:tr>
                      <w:tr>
                        <w:trPr>
                          <w:trHeight w:val="282" w:hRule="atLeast"/>
                        </w:trPr>
                        <w:tc>
                          <w:tcPr>
                            <w:tcW w:w="1141" w:type="dxa"/>
                          </w:tcPr>
                          <w:p>
                            <w:pPr>
                              <w:pStyle w:val="TableParagraph"/>
                              <w:spacing w:before="5" w:line="257" w:lineRule="exact"/>
                              <w:ind w:right="204"/>
                              <w:jc w:val="center"/>
                              <w:rPr>
                                <w:rFonts w:ascii="Courier New" w:hAnsi="Courier New"/>
                                <w:b/>
                                <w:sz w:val="24"/>
                              </w:rPr>
                            </w:pPr>
                            <w:r>
                              <w:rPr>
                                <w:rFonts w:ascii="Courier New" w:hAnsi="Courier New"/>
                                <w:b/>
                                <w:color w:val="0C0C0C"/>
                                <w:spacing w:val="-4"/>
                                <w:w w:val="95"/>
                                <w:sz w:val="24"/>
                              </w:rPr>
                              <w:t>£000</w:t>
                            </w:r>
                          </w:p>
                        </w:tc>
                        <w:tc>
                          <w:tcPr>
                            <w:tcW w:w="1021" w:type="dxa"/>
                          </w:tcPr>
                          <w:p>
                            <w:pPr>
                              <w:pStyle w:val="TableParagraph"/>
                              <w:spacing w:before="10" w:line="252" w:lineRule="exact"/>
                              <w:ind w:right="12"/>
                              <w:jc w:val="center"/>
                              <w:rPr>
                                <w:rFonts w:ascii="Courier New" w:hAnsi="Courier New"/>
                                <w:b/>
                                <w:sz w:val="24"/>
                              </w:rPr>
                            </w:pPr>
                            <w:r>
                              <w:rPr>
                                <w:rFonts w:ascii="Courier New" w:hAnsi="Courier New"/>
                                <w:b/>
                                <w:color w:val="0C0C0C"/>
                                <w:spacing w:val="-4"/>
                                <w:w w:val="95"/>
                                <w:sz w:val="24"/>
                              </w:rPr>
                              <w:t>£000</w:t>
                            </w:r>
                          </w:p>
                        </w:tc>
                        <w:tc>
                          <w:tcPr>
                            <w:tcW w:w="1215" w:type="dxa"/>
                          </w:tcPr>
                          <w:p>
                            <w:pPr>
                              <w:pStyle w:val="TableParagraph"/>
                              <w:spacing w:before="5" w:line="257" w:lineRule="exact"/>
                              <w:ind w:left="237" w:right="15"/>
                              <w:jc w:val="center"/>
                              <w:rPr>
                                <w:rFonts w:ascii="Courier New" w:hAnsi="Courier New"/>
                                <w:b/>
                                <w:sz w:val="24"/>
                              </w:rPr>
                            </w:pPr>
                            <w:r>
                              <w:rPr>
                                <w:rFonts w:ascii="Courier New" w:hAnsi="Courier New"/>
                                <w:b/>
                                <w:color w:val="0C0C0C"/>
                                <w:spacing w:val="-4"/>
                                <w:w w:val="95"/>
                                <w:sz w:val="24"/>
                              </w:rPr>
                              <w:t>£000</w:t>
                            </w:r>
                          </w:p>
                        </w:tc>
                      </w:tr>
                    </w:tbl>
                    <w:p>
                      <w:pPr>
                        <w:pStyle w:val="BodyText"/>
                      </w:pPr>
                    </w:p>
                  </w:txbxContent>
                </v:textbox>
                <w10:wrap type="none"/>
              </v:shape>
            </w:pict>
          </ve:Fallback>
        </ve:AlternateContent>
      </w:r>
      <w:r>
        <w:rPr>
          <w:rFonts w:ascii="Courier New" w:hAnsi="Courier New"/>
          <w:color w:val="0C0C0C"/>
          <w:spacing w:val="-4"/>
          <w:w w:val="95"/>
        </w:rPr>
        <w:t>£000</w:t>
      </w:r>
    </w:p>
    <w:p>
      <w:pPr>
        <w:spacing w:after="0"/>
        <w:rPr>
          <w:rFonts w:ascii="Courier New" w:hAnsi="Courier New"/>
        </w:rPr>
        <w:sectPr>
          <w:type w:val="continuous"/>
          <w:pgSz w:w="11910" w:h="16830"/>
          <w:pgMar w:top="1940" w:right="300" w:bottom="280" w:left="0" w:header="0" w:footer="1020"/>
          <w:cols w:equalWidth="0" w:num="2">
            <w:col w:w="6135" w:space="40"/>
            <w:col w:w="5435"/>
          </w:cols>
        </w:sectPr>
      </w:pPr>
    </w:p>
    <w:p>
      <w:pPr>
        <w:tabs>
          <w:tab w:val="left" w:leader="none" w:pos="6221"/>
          <w:tab w:val="left" w:leader="none" w:pos="9952"/>
        </w:tabs>
        <w:spacing w:before="23"/>
        <w:ind w:left="2063" w:right="0" w:firstLine="0"/>
        <w:jc w:val="left"/>
        <w:rPr>
          <w:sz w:val="21"/>
        </w:rPr>
      </w:pPr>
      <w:r>
        <w:rPr>
          <w:color w:val="0C0C0C"/>
          <w:w w:val="105"/>
          <w:sz w:val="21"/>
        </w:rPr>
        <w:t>12-month</w:t>
      </w:r>
      <w:r>
        <w:rPr>
          <w:color w:val="0C0C0C"/>
          <w:spacing w:val="-8"/>
          <w:w w:val="105"/>
          <w:sz w:val="21"/>
        </w:rPr>
        <w:t> </w:t>
      </w:r>
      <w:r>
        <w:rPr>
          <w:color w:val="0C0C0C"/>
          <w:w w:val="105"/>
          <w:sz w:val="21"/>
        </w:rPr>
        <w:t>credit</w:t>
      </w:r>
      <w:r>
        <w:rPr>
          <w:color w:val="0C0C0C"/>
          <w:spacing w:val="-14"/>
          <w:w w:val="105"/>
          <w:sz w:val="21"/>
        </w:rPr>
        <w:t> </w:t>
      </w:r>
      <w:r>
        <w:rPr>
          <w:color w:val="0C0C0C"/>
          <w:spacing w:val="-2"/>
          <w:w w:val="105"/>
          <w:sz w:val="21"/>
        </w:rPr>
        <w:t>losses</w:t>
      </w:r>
      <w:r>
        <w:rPr>
          <w:color w:val="0C0C0C"/>
          <w:sz w:val="21"/>
        </w:rPr>
        <w:tab/>
      </w:r>
      <w:r>
        <w:rPr>
          <w:color w:val="0C0C0C"/>
          <w:spacing w:val="-2"/>
          <w:w w:val="105"/>
          <w:sz w:val="21"/>
        </w:rPr>
        <w:t>34,437</w:t>
      </w:r>
      <w:r>
        <w:rPr>
          <w:color w:val="0C0C0C"/>
          <w:sz w:val="21"/>
        </w:rPr>
        <w:tab/>
      </w:r>
      <w:r>
        <w:rPr>
          <w:color w:val="0C0C0C"/>
          <w:spacing w:val="-2"/>
          <w:w w:val="105"/>
          <w:sz w:val="21"/>
        </w:rPr>
        <w:t>34,437</w:t>
      </w:r>
    </w:p>
    <w:p>
      <w:pPr>
        <w:pStyle w:val="BodyText"/>
        <w:spacing w:before="16"/>
        <w:rPr>
          <w:sz w:val="21"/>
        </w:rPr>
      </w:pPr>
    </w:p>
    <w:p>
      <w:pPr>
        <w:spacing w:before="0" w:after="20"/>
        <w:ind w:left="1628" w:right="0" w:firstLine="0"/>
        <w:jc w:val="left"/>
        <w:rPr>
          <w:b/>
          <w:sz w:val="21"/>
        </w:rPr>
      </w:pPr>
      <w:r>
        <w:rPr>
          <w:b/>
          <w:color w:val="0C0C0C"/>
          <w:w w:val="105"/>
          <w:sz w:val="21"/>
        </w:rPr>
        <w:t>Loans</w:t>
      </w:r>
      <w:r>
        <w:rPr>
          <w:b/>
          <w:color w:val="0C0C0C"/>
          <w:spacing w:val="1"/>
          <w:w w:val="105"/>
          <w:sz w:val="21"/>
        </w:rPr>
        <w:t> </w:t>
      </w:r>
      <w:r>
        <w:rPr>
          <w:b/>
          <w:color w:val="0C0C0C"/>
          <w:w w:val="105"/>
          <w:sz w:val="21"/>
        </w:rPr>
        <w:t>to</w:t>
      </w:r>
      <w:r>
        <w:rPr>
          <w:b/>
          <w:color w:val="0C0C0C"/>
          <w:spacing w:val="-5"/>
          <w:w w:val="105"/>
          <w:sz w:val="21"/>
        </w:rPr>
        <w:t> </w:t>
      </w:r>
      <w:r>
        <w:rPr>
          <w:b/>
          <w:color w:val="0C0C0C"/>
          <w:w w:val="105"/>
          <w:sz w:val="21"/>
        </w:rPr>
        <w:t>businesses</w:t>
      </w:r>
      <w:r>
        <w:rPr>
          <w:b/>
          <w:color w:val="0C0C0C"/>
          <w:spacing w:val="3"/>
          <w:w w:val="105"/>
          <w:sz w:val="21"/>
        </w:rPr>
        <w:t> </w:t>
      </w:r>
      <w:r>
        <w:rPr>
          <w:b/>
          <w:color w:val="0C0C0C"/>
          <w:w w:val="105"/>
          <w:sz w:val="21"/>
        </w:rPr>
        <w:t>and</w:t>
      </w:r>
      <w:r>
        <w:rPr>
          <w:b/>
          <w:color w:val="0C0C0C"/>
          <w:spacing w:val="-7"/>
          <w:w w:val="105"/>
          <w:sz w:val="21"/>
        </w:rPr>
        <w:t> </w:t>
      </w:r>
      <w:r>
        <w:rPr>
          <w:b/>
          <w:color w:val="0C0C0C"/>
          <w:w w:val="105"/>
          <w:sz w:val="21"/>
        </w:rPr>
        <w:t>group</w:t>
      </w:r>
      <w:r>
        <w:rPr>
          <w:b/>
          <w:color w:val="0C0C0C"/>
          <w:spacing w:val="-2"/>
          <w:w w:val="105"/>
          <w:sz w:val="21"/>
        </w:rPr>
        <w:t> companies</w:t>
      </w:r>
    </w:p>
    <w:tbl>
      <w:tblPr>
        <w:tblW w:w="0" w:type="auto"/>
        <w:jc w:val="left"/>
        <w:tblInd w:w="20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299"/>
        <w:gridCol w:w="3181"/>
        <w:gridCol w:w="2194"/>
      </w:tblGrid>
      <w:tr>
        <w:trPr>
          <w:trHeight w:val="244" w:hRule="atLeast"/>
        </w:trPr>
        <w:tc>
          <w:tcPr>
            <w:tcW w:w="3299" w:type="dxa"/>
          </w:tcPr>
          <w:p>
            <w:pPr>
              <w:pStyle w:val="TableParagraph"/>
              <w:spacing w:line="225" w:lineRule="exact"/>
              <w:ind w:left="52"/>
              <w:rPr>
                <w:sz w:val="21"/>
              </w:rPr>
            </w:pPr>
            <w:r>
              <w:rPr>
                <w:color w:val="0C0C0C"/>
                <w:w w:val="105"/>
                <w:sz w:val="21"/>
              </w:rPr>
              <w:t>12-month</w:t>
            </w:r>
            <w:r>
              <w:rPr>
                <w:color w:val="0C0C0C"/>
                <w:spacing w:val="-7"/>
                <w:w w:val="105"/>
                <w:sz w:val="21"/>
              </w:rPr>
              <w:t> </w:t>
            </w:r>
            <w:r>
              <w:rPr>
                <w:color w:val="0C0C0C"/>
                <w:w w:val="105"/>
                <w:sz w:val="21"/>
              </w:rPr>
              <w:t>credit</w:t>
            </w:r>
            <w:r>
              <w:rPr>
                <w:color w:val="0C0C0C"/>
                <w:spacing w:val="-6"/>
                <w:w w:val="105"/>
                <w:sz w:val="21"/>
              </w:rPr>
              <w:t> </w:t>
            </w:r>
            <w:r>
              <w:rPr>
                <w:color w:val="0C0C0C"/>
                <w:spacing w:val="-2"/>
                <w:w w:val="105"/>
                <w:sz w:val="21"/>
              </w:rPr>
              <w:t>losses</w:t>
            </w:r>
          </w:p>
        </w:tc>
        <w:tc>
          <w:tcPr>
            <w:tcW w:w="3181" w:type="dxa"/>
          </w:tcPr>
          <w:p>
            <w:pPr>
              <w:pStyle w:val="TableParagraph"/>
              <w:spacing w:line="225" w:lineRule="exact"/>
              <w:ind w:right="1589"/>
              <w:jc w:val="right"/>
              <w:rPr>
                <w:sz w:val="21"/>
              </w:rPr>
            </w:pPr>
            <w:r>
              <w:rPr>
                <w:color w:val="0C0C0C"/>
                <w:spacing w:val="-4"/>
                <w:w w:val="105"/>
                <w:sz w:val="21"/>
              </w:rPr>
              <w:t>6,398</w:t>
            </w:r>
          </w:p>
        </w:tc>
        <w:tc>
          <w:tcPr>
            <w:tcW w:w="2194" w:type="dxa"/>
          </w:tcPr>
          <w:p>
            <w:pPr>
              <w:pStyle w:val="TableParagraph"/>
              <w:spacing w:line="225" w:lineRule="exact"/>
              <w:ind w:right="47"/>
              <w:jc w:val="right"/>
              <w:rPr>
                <w:sz w:val="21"/>
              </w:rPr>
            </w:pPr>
            <w:r>
              <w:rPr>
                <w:color w:val="0C0C0C"/>
                <w:spacing w:val="-4"/>
                <w:w w:val="105"/>
                <w:sz w:val="21"/>
              </w:rPr>
              <w:t>6,398</w:t>
            </w:r>
          </w:p>
        </w:tc>
      </w:tr>
      <w:tr>
        <w:trPr>
          <w:trHeight w:val="249" w:hRule="atLeast"/>
        </w:trPr>
        <w:tc>
          <w:tcPr>
            <w:tcW w:w="3299" w:type="dxa"/>
          </w:tcPr>
          <w:p>
            <w:pPr>
              <w:pStyle w:val="TableParagraph"/>
              <w:spacing w:line="230" w:lineRule="exact"/>
              <w:ind w:left="50"/>
              <w:rPr>
                <w:sz w:val="21"/>
              </w:rPr>
            </w:pPr>
            <w:r>
              <w:rPr>
                <w:color w:val="0C0C0C"/>
                <w:w w:val="105"/>
                <w:sz w:val="21"/>
              </w:rPr>
              <w:t>Lifetime</w:t>
            </w:r>
            <w:r>
              <w:rPr>
                <w:color w:val="0C0C0C"/>
                <w:spacing w:val="-5"/>
                <w:w w:val="105"/>
                <w:sz w:val="21"/>
              </w:rPr>
              <w:t> </w:t>
            </w:r>
            <w:r>
              <w:rPr>
                <w:color w:val="0C0C0C"/>
                <w:w w:val="105"/>
                <w:sz w:val="21"/>
              </w:rPr>
              <w:t>credit</w:t>
            </w:r>
            <w:r>
              <w:rPr>
                <w:color w:val="0C0C0C"/>
                <w:spacing w:val="-8"/>
                <w:w w:val="105"/>
                <w:sz w:val="21"/>
              </w:rPr>
              <w:t> </w:t>
            </w:r>
            <w:r>
              <w:rPr>
                <w:color w:val="0C0C0C"/>
                <w:spacing w:val="-2"/>
                <w:w w:val="105"/>
                <w:sz w:val="21"/>
              </w:rPr>
              <w:t>losses</w:t>
            </w:r>
          </w:p>
        </w:tc>
        <w:tc>
          <w:tcPr>
            <w:tcW w:w="3181" w:type="dxa"/>
          </w:tcPr>
          <w:p>
            <w:pPr>
              <w:pStyle w:val="TableParagraph"/>
              <w:spacing w:before="8" w:line="222" w:lineRule="exact"/>
              <w:ind w:right="1594"/>
              <w:jc w:val="right"/>
              <w:rPr>
                <w:sz w:val="21"/>
              </w:rPr>
            </w:pPr>
            <w:r>
              <w:rPr>
                <w:color w:val="0C0C0C"/>
                <w:spacing w:val="-5"/>
                <w:w w:val="105"/>
                <w:sz w:val="21"/>
              </w:rPr>
              <w:t>107</w:t>
            </w:r>
          </w:p>
        </w:tc>
        <w:tc>
          <w:tcPr>
            <w:tcW w:w="2194" w:type="dxa"/>
          </w:tcPr>
          <w:p>
            <w:pPr>
              <w:pStyle w:val="TableParagraph"/>
              <w:spacing w:before="8" w:line="222" w:lineRule="exact"/>
              <w:ind w:right="49"/>
              <w:jc w:val="right"/>
              <w:rPr>
                <w:sz w:val="21"/>
              </w:rPr>
            </w:pPr>
            <w:r>
              <w:rPr>
                <w:color w:val="0C0C0C"/>
                <w:spacing w:val="-5"/>
                <w:w w:val="105"/>
                <w:sz w:val="21"/>
              </w:rPr>
              <w:t>107</w:t>
            </w:r>
          </w:p>
        </w:tc>
      </w:tr>
    </w:tbl>
    <w:p>
      <w:pPr>
        <w:pStyle w:val="BodyText"/>
        <w:rPr>
          <w:b/>
          <w:sz w:val="14"/>
        </w:rPr>
      </w:pPr>
    </w:p>
    <w:p>
      <w:pPr>
        <w:spacing w:after="0"/>
        <w:rPr>
          <w:sz w:val="14"/>
        </w:rPr>
        <w:sectPr>
          <w:type w:val="continuous"/>
          <w:pgSz w:w="11910" w:h="16830"/>
          <w:pgMar w:top="1940" w:right="300" w:bottom="280" w:left="0" w:header="0" w:footer="1020"/>
        </w:sectPr>
      </w:pPr>
    </w:p>
    <w:p>
      <w:pPr>
        <w:spacing w:before="94"/>
        <w:ind w:left="1615" w:right="0" w:firstLine="0"/>
        <w:jc w:val="left"/>
        <w:rPr>
          <w:b/>
          <w:sz w:val="21"/>
        </w:rPr>
      </w:pPr>
      <w:r>
        <w:rPr>
          <w:b/>
          <w:color w:val="0C0C0C"/>
          <w:w w:val="105"/>
          <w:sz w:val="21"/>
        </w:rPr>
        <w:t>Trade</w:t>
      </w:r>
      <w:r>
        <w:rPr>
          <w:b/>
          <w:color w:val="0C0C0C"/>
          <w:spacing w:val="2"/>
          <w:w w:val="105"/>
          <w:sz w:val="21"/>
        </w:rPr>
        <w:t> </w:t>
      </w:r>
      <w:r>
        <w:rPr>
          <w:b/>
          <w:color w:val="0C0C0C"/>
          <w:spacing w:val="-2"/>
          <w:w w:val="105"/>
          <w:sz w:val="21"/>
        </w:rPr>
        <w:t>receivables</w:t>
      </w:r>
    </w:p>
    <w:p>
      <w:pPr>
        <w:spacing w:before="18"/>
        <w:ind w:left="280" w:right="0" w:firstLine="0"/>
        <w:jc w:val="center"/>
        <w:rPr>
          <w:sz w:val="21"/>
        </w:rPr>
      </w:pPr>
      <w:r>
        <w:rPr>
          <w:color w:val="0C0C0C"/>
          <w:w w:val="105"/>
          <w:sz w:val="21"/>
        </w:rPr>
        <w:t>Grouped</w:t>
      </w:r>
      <w:r>
        <w:rPr>
          <w:color w:val="0C0C0C"/>
          <w:spacing w:val="4"/>
          <w:w w:val="105"/>
          <w:sz w:val="21"/>
        </w:rPr>
        <w:t> </w:t>
      </w:r>
      <w:r>
        <w:rPr>
          <w:color w:val="0C0C0C"/>
          <w:spacing w:val="-2"/>
          <w:w w:val="105"/>
          <w:sz w:val="21"/>
        </w:rPr>
        <w:t>assets</w:t>
      </w:r>
    </w:p>
    <w:p>
      <w:pPr>
        <w:pStyle w:val="BodyText"/>
        <w:spacing w:before="31"/>
        <w:rPr>
          <w:sz w:val="21"/>
        </w:rPr>
      </w:pPr>
    </w:p>
    <w:p>
      <w:pPr>
        <w:spacing w:before="0"/>
        <w:ind w:left="1605" w:right="0" w:firstLine="0"/>
        <w:jc w:val="left"/>
        <w:rPr>
          <w:b/>
          <w:sz w:val="21"/>
        </w:rPr>
      </w:pPr>
      <w:r>
        <w:rPr>
          <w:b/>
          <w:color w:val="0C0C0C"/>
          <w:w w:val="105"/>
          <w:sz w:val="21"/>
        </w:rPr>
        <w:t>Total</w:t>
      </w:r>
      <w:r>
        <w:rPr>
          <w:b/>
          <w:color w:val="0C0C0C"/>
          <w:spacing w:val="-4"/>
          <w:w w:val="105"/>
          <w:sz w:val="21"/>
        </w:rPr>
        <w:t> </w:t>
      </w:r>
      <w:r>
        <w:rPr>
          <w:b/>
          <w:color w:val="0C0C0C"/>
          <w:w w:val="105"/>
          <w:sz w:val="21"/>
        </w:rPr>
        <w:t>amount</w:t>
      </w:r>
      <w:r>
        <w:rPr>
          <w:b/>
          <w:color w:val="0C0C0C"/>
          <w:spacing w:val="4"/>
          <w:w w:val="105"/>
          <w:sz w:val="21"/>
        </w:rPr>
        <w:t> </w:t>
      </w:r>
      <w:r>
        <w:rPr>
          <w:b/>
          <w:color w:val="0C0C0C"/>
          <w:w w:val="105"/>
          <w:sz w:val="21"/>
        </w:rPr>
        <w:t>exposed to</w:t>
      </w:r>
      <w:r>
        <w:rPr>
          <w:b/>
          <w:color w:val="0C0C0C"/>
          <w:spacing w:val="-2"/>
          <w:w w:val="105"/>
          <w:sz w:val="21"/>
        </w:rPr>
        <w:t> </w:t>
      </w:r>
      <w:r>
        <w:rPr>
          <w:b/>
          <w:color w:val="0C0C0C"/>
          <w:w w:val="105"/>
          <w:sz w:val="21"/>
        </w:rPr>
        <w:t>credit </w:t>
      </w:r>
      <w:r>
        <w:rPr>
          <w:b/>
          <w:color w:val="0C0C0C"/>
          <w:spacing w:val="-4"/>
          <w:w w:val="105"/>
          <w:sz w:val="21"/>
        </w:rPr>
        <w:t>risk</w:t>
      </w:r>
    </w:p>
    <w:p>
      <w:pPr>
        <w:spacing w:before="121" w:line="240" w:lineRule="auto"/>
        <w:rPr>
          <w:b/>
          <w:sz w:val="21"/>
        </w:rPr>
      </w:pPr>
      <w:r>
        <w:rPr/>
        <w:br w:type="column"/>
      </w:r>
      <w:r>
        <w:rPr>
          <w:b/>
          <w:sz w:val="21"/>
        </w:rPr>
      </w:r>
    </w:p>
    <w:p>
      <w:pPr>
        <w:tabs>
          <w:tab w:val="left" w:leader="none" w:pos="3963"/>
        </w:tabs>
        <w:spacing w:before="0"/>
        <w:ind w:left="0" w:right="268" w:firstLine="0"/>
        <w:jc w:val="center"/>
        <w:rPr>
          <w:sz w:val="21"/>
        </w:rPr>
      </w:pPr>
      <w:r>
        <w:rPr>
          <w:color w:val="0C0C0C"/>
          <w:w w:val="105"/>
          <w:sz w:val="21"/>
        </w:rPr>
        <w:t>Not</w:t>
      </w:r>
      <w:r>
        <w:rPr>
          <w:color w:val="0C0C0C"/>
          <w:spacing w:val="-1"/>
          <w:w w:val="105"/>
          <w:sz w:val="21"/>
        </w:rPr>
        <w:t> </w:t>
      </w:r>
      <w:r>
        <w:rPr>
          <w:color w:val="0C0C0C"/>
          <w:w w:val="105"/>
          <w:sz w:val="21"/>
        </w:rPr>
        <w:t>subject</w:t>
      </w:r>
      <w:r>
        <w:rPr>
          <w:color w:val="0C0C0C"/>
          <w:spacing w:val="4"/>
          <w:w w:val="105"/>
          <w:sz w:val="21"/>
        </w:rPr>
        <w:t> </w:t>
      </w:r>
      <w:r>
        <w:rPr>
          <w:color w:val="0C0C0C"/>
          <w:w w:val="105"/>
          <w:sz w:val="21"/>
        </w:rPr>
        <w:t>to</w:t>
      </w:r>
      <w:r>
        <w:rPr>
          <w:color w:val="0C0C0C"/>
          <w:spacing w:val="-6"/>
          <w:w w:val="105"/>
          <w:sz w:val="21"/>
        </w:rPr>
        <w:t> </w:t>
      </w:r>
      <w:r>
        <w:rPr>
          <w:color w:val="0C0C0C"/>
          <w:w w:val="105"/>
          <w:sz w:val="21"/>
        </w:rPr>
        <w:t>credit</w:t>
      </w:r>
      <w:r>
        <w:rPr>
          <w:color w:val="0C0C0C"/>
          <w:spacing w:val="-2"/>
          <w:w w:val="105"/>
          <w:sz w:val="21"/>
        </w:rPr>
        <w:t> rating</w:t>
      </w:r>
      <w:r>
        <w:rPr>
          <w:color w:val="0C0C0C"/>
          <w:sz w:val="21"/>
        </w:rPr>
        <w:tab/>
      </w:r>
      <w:r>
        <w:rPr>
          <w:color w:val="0C0C0C"/>
          <w:spacing w:val="-2"/>
          <w:w w:val="105"/>
          <w:sz w:val="21"/>
        </w:rPr>
        <w:t>3,483</w:t>
      </w:r>
    </w:p>
    <w:p>
      <w:pPr>
        <w:pStyle w:val="BodyText"/>
        <w:spacing w:before="1"/>
        <w:rPr>
          <w:sz w:val="19"/>
        </w:rPr>
      </w:pPr>
      <w:r>
        <w:rPr/>
        <ve:AlternateContent>
          <ve:Choice Requires="wps">
            <w:drawing>
              <wp:anchor distT="0" distB="0" distL="0" distR="0" simplePos="0" relativeHeight="487683072" behindDoc="1" locked="0" layoutInCell="1" allowOverlap="1">
                <wp:simplePos x="0" y="0"/>
                <wp:positionH relativeFrom="page">
                  <wp:posOffset>5947081</wp:posOffset>
                </wp:positionH>
                <wp:positionV relativeFrom="paragraph">
                  <wp:posOffset>155113</wp:posOffset>
                </wp:positionV>
                <wp:extent cx="879475" cy="1270"/>
                <wp:effectExtent l="0" t="0" r="0" b="0"/>
                <wp:wrapTopAndBottom/>
                <wp:docPr id="425" name="Graphic 425"/>
                <wp:cNvGraphicFramePr>
                  <a:graphicFrameLocks/>
                </wp:cNvGraphicFramePr>
                <a:graphic>
                  <a:graphicData uri="http://schemas.microsoft.com/office/word/2010/wordprocessingShape">
                    <wps:wsp>
                      <wps:cNvPr id="425" name="Graphic 425"/>
                      <wps:cNvSpPr/>
                      <wps:spPr>
                        <a:xfrm>
                          <a:off x="0" y="0"/>
                          <a:ext cx="879475" cy="1270"/>
                        </a:xfrm>
                        <a:custGeom>
                          <a:avLst/>
                          <a:gdLst/>
                          <a:ahLst/>
                          <a:cxnLst/>
                          <a:rect l="l" t="t" r="r" b="b"/>
                          <a:pathLst>
                            <a:path w="879475" h="0">
                              <a:moveTo>
                                <a:pt x="0" y="0"/>
                              </a:moveTo>
                              <a:lnTo>
                                <a:pt x="87923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283" style="position:absolute;margin-left:468.274109pt;margin-top:12.21366pt;width:69.25pt;height:.1pt;mso-position-horizontal-relative:page;mso-position-vertical-relative:paragraph;z-index:-15633408;mso-wrap-distance-left:0;mso-wrap-distance-right:0" coordsize="1385,0" coordorigin="9365,244" filled="false" stroked="true" strokecolor="#000000" strokeweight=".720821pt" path="m9365,244l10750,244e">
                <v:path arrowok="t"/>
                <v:stroke dashstyle="solid"/>
                <w10:wrap type="topAndBottom"/>
              </v:shape>
            </w:pict>
          </ve:Fallback>
        </ve:AlternateContent>
      </w:r>
    </w:p>
    <w:p>
      <w:pPr>
        <w:tabs>
          <w:tab w:val="left" w:leader="none" w:pos="4553"/>
        </w:tabs>
        <w:spacing w:before="17"/>
        <w:ind w:left="3983" w:right="0" w:firstLine="0"/>
        <w:jc w:val="left"/>
        <w:rPr>
          <w:sz w:val="21"/>
        </w:rPr>
      </w:pPr>
      <w:r>
        <w:rPr>
          <w:color w:val="0C0C0C"/>
          <w:sz w:val="21"/>
          <w:u w:val="single" w:color="000000"/>
        </w:rPr>
        <w:tab/>
      </w:r>
      <w:r>
        <w:rPr>
          <w:color w:val="0C0C0C"/>
          <w:spacing w:val="-2"/>
          <w:w w:val="105"/>
          <w:sz w:val="21"/>
          <w:u w:val="single" w:color="000000"/>
        </w:rPr>
        <w:t>44,425</w:t>
      </w:r>
      <w:r>
        <w:rPr>
          <w:color w:val="0C0C0C"/>
          <w:spacing w:val="80"/>
          <w:w w:val="105"/>
          <w:sz w:val="21"/>
          <w:u w:val="single" w:color="000000"/>
        </w:rPr>
        <w:t> </w:t>
      </w:r>
    </w:p>
    <w:p>
      <w:pPr>
        <w:spacing w:after="0"/>
        <w:jc w:val="left"/>
        <w:rPr>
          <w:sz w:val="21"/>
        </w:rPr>
        <w:sectPr>
          <w:type w:val="continuous"/>
          <w:pgSz w:w="11910" w:h="16830"/>
          <w:pgMar w:top="1940" w:right="300" w:bottom="280" w:left="0" w:header="0" w:footer="1020"/>
          <w:cols w:equalWidth="0" w:num="2">
            <w:col w:w="5342" w:space="40"/>
            <w:col w:w="6228"/>
          </w:cols>
        </w:sectPr>
      </w:pPr>
    </w:p>
    <w:p>
      <w:pPr>
        <w:pStyle w:val="BodyText"/>
        <w:rPr>
          <w:sz w:val="21"/>
        </w:rPr>
      </w:pPr>
    </w:p>
    <w:p>
      <w:pPr>
        <w:pStyle w:val="BodyText"/>
        <w:rPr>
          <w:sz w:val="21"/>
        </w:rPr>
      </w:pPr>
    </w:p>
    <w:p>
      <w:pPr>
        <w:pStyle w:val="BodyText"/>
        <w:spacing w:before="52"/>
        <w:rPr>
          <w:sz w:val="21"/>
        </w:rPr>
      </w:pPr>
    </w:p>
    <w:p>
      <w:pPr>
        <w:spacing w:before="0"/>
        <w:ind w:left="1480" w:right="0" w:firstLine="0"/>
        <w:jc w:val="both"/>
        <w:rPr>
          <w:b/>
          <w:sz w:val="21"/>
        </w:rPr>
      </w:pPr>
      <w:r>
        <w:rPr>
          <w:b/>
          <w:color w:val="0C0C0C"/>
          <w:w w:val="105"/>
          <w:sz w:val="21"/>
        </w:rPr>
        <w:t>Credit</w:t>
      </w:r>
      <w:r>
        <w:rPr>
          <w:b/>
          <w:color w:val="0C0C0C"/>
          <w:spacing w:val="-3"/>
          <w:w w:val="105"/>
          <w:sz w:val="21"/>
        </w:rPr>
        <w:t> </w:t>
      </w:r>
      <w:r>
        <w:rPr>
          <w:b/>
          <w:color w:val="0C0C0C"/>
          <w:w w:val="105"/>
          <w:sz w:val="21"/>
        </w:rPr>
        <w:t>Risk</w:t>
      </w:r>
      <w:r>
        <w:rPr>
          <w:b/>
          <w:color w:val="0C0C0C"/>
          <w:spacing w:val="-4"/>
          <w:w w:val="105"/>
          <w:sz w:val="21"/>
        </w:rPr>
        <w:t> </w:t>
      </w:r>
      <w:r>
        <w:rPr>
          <w:b/>
          <w:color w:val="0C0C0C"/>
          <w:w w:val="105"/>
          <w:sz w:val="21"/>
        </w:rPr>
        <w:t>arising from</w:t>
      </w:r>
      <w:r>
        <w:rPr>
          <w:b/>
          <w:color w:val="0C0C0C"/>
          <w:spacing w:val="-4"/>
          <w:w w:val="105"/>
          <w:sz w:val="21"/>
        </w:rPr>
        <w:t> </w:t>
      </w:r>
      <w:r>
        <w:rPr>
          <w:b/>
          <w:color w:val="0C0C0C"/>
          <w:w w:val="105"/>
          <w:sz w:val="21"/>
        </w:rPr>
        <w:t>deposits</w:t>
      </w:r>
      <w:r>
        <w:rPr>
          <w:b/>
          <w:color w:val="0C0C0C"/>
          <w:spacing w:val="11"/>
          <w:w w:val="105"/>
          <w:sz w:val="21"/>
        </w:rPr>
        <w:t> </w:t>
      </w:r>
      <w:r>
        <w:rPr>
          <w:b/>
          <w:color w:val="0C0C0C"/>
          <w:w w:val="105"/>
          <w:sz w:val="21"/>
        </w:rPr>
        <w:t>with</w:t>
      </w:r>
      <w:r>
        <w:rPr>
          <w:b/>
          <w:color w:val="0C0C0C"/>
          <w:spacing w:val="-11"/>
          <w:w w:val="105"/>
          <w:sz w:val="21"/>
        </w:rPr>
        <w:t> </w:t>
      </w:r>
      <w:r>
        <w:rPr>
          <w:b/>
          <w:color w:val="0C0C0C"/>
          <w:w w:val="105"/>
          <w:sz w:val="21"/>
        </w:rPr>
        <w:t>Banks</w:t>
      </w:r>
      <w:r>
        <w:rPr>
          <w:b/>
          <w:color w:val="0C0C0C"/>
          <w:spacing w:val="-7"/>
          <w:w w:val="105"/>
          <w:sz w:val="21"/>
        </w:rPr>
        <w:t> </w:t>
      </w:r>
      <w:r>
        <w:rPr>
          <w:b/>
          <w:color w:val="0C0C0C"/>
          <w:w w:val="105"/>
          <w:sz w:val="21"/>
        </w:rPr>
        <w:t>and</w:t>
      </w:r>
      <w:r>
        <w:rPr>
          <w:b/>
          <w:color w:val="0C0C0C"/>
          <w:spacing w:val="-2"/>
          <w:w w:val="105"/>
          <w:sz w:val="21"/>
        </w:rPr>
        <w:t> </w:t>
      </w:r>
      <w:r>
        <w:rPr>
          <w:b/>
          <w:color w:val="0C0C0C"/>
          <w:w w:val="105"/>
          <w:sz w:val="21"/>
        </w:rPr>
        <w:t>Financial </w:t>
      </w:r>
      <w:r>
        <w:rPr>
          <w:b/>
          <w:color w:val="0C0C0C"/>
          <w:spacing w:val="-2"/>
          <w:w w:val="105"/>
          <w:sz w:val="21"/>
        </w:rPr>
        <w:t>Institutions</w:t>
      </w:r>
    </w:p>
    <w:p>
      <w:pPr>
        <w:pStyle w:val="BodyText"/>
        <w:spacing w:before="27"/>
        <w:rPr>
          <w:b/>
          <w:sz w:val="21"/>
        </w:rPr>
      </w:pPr>
    </w:p>
    <w:p>
      <w:pPr>
        <w:spacing w:before="0" w:line="252" w:lineRule="auto"/>
        <w:ind w:left="1464" w:right="892" w:firstLine="11"/>
        <w:jc w:val="both"/>
        <w:rPr>
          <w:sz w:val="21"/>
        </w:rPr>
      </w:pPr>
      <w:r>
        <w:rPr>
          <w:color w:val="0C0C0C"/>
          <w:w w:val="105"/>
          <w:sz w:val="21"/>
        </w:rPr>
        <w:t>This</w:t>
      </w:r>
      <w:r>
        <w:rPr>
          <w:color w:val="0C0C0C"/>
          <w:spacing w:val="-3"/>
          <w:w w:val="105"/>
          <w:sz w:val="21"/>
        </w:rPr>
        <w:t> </w:t>
      </w:r>
      <w:r>
        <w:rPr>
          <w:color w:val="0C0C0C"/>
          <w:w w:val="105"/>
          <w:sz w:val="21"/>
        </w:rPr>
        <w:t>risk is</w:t>
      </w:r>
      <w:r>
        <w:rPr>
          <w:color w:val="0C0C0C"/>
          <w:spacing w:val="-8"/>
          <w:w w:val="105"/>
          <w:sz w:val="21"/>
        </w:rPr>
        <w:t> </w:t>
      </w:r>
      <w:r>
        <w:rPr>
          <w:color w:val="0C0C0C"/>
          <w:w w:val="105"/>
          <w:sz w:val="21"/>
        </w:rPr>
        <w:t>minimised through</w:t>
      </w:r>
      <w:r>
        <w:rPr>
          <w:color w:val="0C0C0C"/>
          <w:spacing w:val="-1"/>
          <w:w w:val="105"/>
          <w:sz w:val="21"/>
        </w:rPr>
        <w:t> </w:t>
      </w:r>
      <w:r>
        <w:rPr>
          <w:color w:val="0C0C0C"/>
          <w:w w:val="105"/>
          <w:sz w:val="21"/>
        </w:rPr>
        <w:t>the</w:t>
      </w:r>
      <w:r>
        <w:rPr>
          <w:color w:val="0C0C0C"/>
          <w:spacing w:val="-3"/>
          <w:w w:val="105"/>
          <w:sz w:val="21"/>
        </w:rPr>
        <w:t> </w:t>
      </w:r>
      <w:r>
        <w:rPr>
          <w:color w:val="0C0C0C"/>
          <w:w w:val="105"/>
          <w:sz w:val="21"/>
        </w:rPr>
        <w:t>Council's Treasury </w:t>
      </w:r>
      <w:r>
        <w:rPr>
          <w:color w:val="212121"/>
          <w:w w:val="105"/>
          <w:sz w:val="21"/>
        </w:rPr>
        <w:t>Management Strategy</w:t>
      </w:r>
      <w:r>
        <w:rPr>
          <w:color w:val="666666"/>
          <w:w w:val="105"/>
          <w:sz w:val="21"/>
        </w:rPr>
        <w:t>.</w:t>
      </w:r>
      <w:r>
        <w:rPr>
          <w:color w:val="666666"/>
          <w:spacing w:val="40"/>
          <w:w w:val="105"/>
          <w:sz w:val="21"/>
        </w:rPr>
        <w:t> </w:t>
      </w:r>
      <w:r>
        <w:rPr>
          <w:color w:val="212121"/>
          <w:w w:val="105"/>
          <w:sz w:val="21"/>
        </w:rPr>
        <w:t>The </w:t>
      </w:r>
      <w:r>
        <w:rPr>
          <w:color w:val="0C0C0C"/>
          <w:w w:val="105"/>
          <w:sz w:val="21"/>
        </w:rPr>
        <w:t>Council </w:t>
      </w:r>
      <w:r>
        <w:rPr>
          <w:color w:val="212121"/>
          <w:w w:val="105"/>
          <w:sz w:val="21"/>
        </w:rPr>
        <w:t>has </w:t>
      </w:r>
      <w:r>
        <w:rPr>
          <w:color w:val="0C0C0C"/>
          <w:w w:val="105"/>
          <w:sz w:val="21"/>
        </w:rPr>
        <w:t>adopted</w:t>
      </w:r>
      <w:r>
        <w:rPr>
          <w:color w:val="0C0C0C"/>
          <w:spacing w:val="-16"/>
          <w:w w:val="105"/>
          <w:sz w:val="21"/>
        </w:rPr>
        <w:t> </w:t>
      </w:r>
      <w:r>
        <w:rPr>
          <w:color w:val="0C0C0C"/>
          <w:w w:val="105"/>
          <w:sz w:val="21"/>
        </w:rPr>
        <w:t>the</w:t>
      </w:r>
      <w:r>
        <w:rPr>
          <w:color w:val="0C0C0C"/>
          <w:spacing w:val="-15"/>
          <w:w w:val="105"/>
          <w:sz w:val="21"/>
        </w:rPr>
        <w:t> </w:t>
      </w:r>
      <w:r>
        <w:rPr>
          <w:color w:val="0C0C0C"/>
          <w:w w:val="105"/>
          <w:sz w:val="21"/>
        </w:rPr>
        <w:t>CIPFA</w:t>
      </w:r>
      <w:r>
        <w:rPr>
          <w:color w:val="0C0C0C"/>
          <w:spacing w:val="-15"/>
          <w:w w:val="105"/>
          <w:sz w:val="21"/>
        </w:rPr>
        <w:t> </w:t>
      </w:r>
      <w:r>
        <w:rPr>
          <w:color w:val="0C0C0C"/>
          <w:w w:val="105"/>
          <w:sz w:val="21"/>
        </w:rPr>
        <w:t>Code</w:t>
      </w:r>
      <w:r>
        <w:rPr>
          <w:color w:val="0C0C0C"/>
          <w:spacing w:val="-16"/>
          <w:w w:val="105"/>
          <w:sz w:val="21"/>
        </w:rPr>
        <w:t> </w:t>
      </w:r>
      <w:r>
        <w:rPr>
          <w:color w:val="0C0C0C"/>
          <w:w w:val="105"/>
          <w:sz w:val="21"/>
        </w:rPr>
        <w:t>of</w:t>
      </w:r>
      <w:r>
        <w:rPr>
          <w:color w:val="0C0C0C"/>
          <w:spacing w:val="-15"/>
          <w:w w:val="105"/>
          <w:sz w:val="21"/>
        </w:rPr>
        <w:t> </w:t>
      </w:r>
      <w:r>
        <w:rPr>
          <w:color w:val="0C0C0C"/>
          <w:w w:val="105"/>
          <w:sz w:val="21"/>
        </w:rPr>
        <w:t>Practice</w:t>
      </w:r>
      <w:r>
        <w:rPr>
          <w:color w:val="0C0C0C"/>
          <w:spacing w:val="-6"/>
          <w:w w:val="105"/>
          <w:sz w:val="21"/>
        </w:rPr>
        <w:t> </w:t>
      </w:r>
      <w:r>
        <w:rPr>
          <w:color w:val="212121"/>
          <w:w w:val="105"/>
          <w:sz w:val="21"/>
        </w:rPr>
        <w:t>on</w:t>
      </w:r>
      <w:r>
        <w:rPr>
          <w:color w:val="212121"/>
          <w:spacing w:val="-16"/>
          <w:w w:val="105"/>
          <w:sz w:val="21"/>
        </w:rPr>
        <w:t> </w:t>
      </w:r>
      <w:r>
        <w:rPr>
          <w:color w:val="0C0C0C"/>
          <w:w w:val="105"/>
          <w:sz w:val="21"/>
        </w:rPr>
        <w:t>Treasury</w:t>
      </w:r>
      <w:r>
        <w:rPr>
          <w:color w:val="0C0C0C"/>
          <w:spacing w:val="-8"/>
          <w:w w:val="105"/>
          <w:sz w:val="21"/>
        </w:rPr>
        <w:t> </w:t>
      </w:r>
      <w:r>
        <w:rPr>
          <w:color w:val="212121"/>
          <w:w w:val="105"/>
          <w:sz w:val="21"/>
        </w:rPr>
        <w:t>Management in</w:t>
      </w:r>
      <w:r>
        <w:rPr>
          <w:color w:val="212121"/>
          <w:spacing w:val="-12"/>
          <w:w w:val="105"/>
          <w:sz w:val="21"/>
        </w:rPr>
        <w:t> </w:t>
      </w:r>
      <w:r>
        <w:rPr>
          <w:color w:val="212121"/>
          <w:w w:val="105"/>
          <w:sz w:val="21"/>
        </w:rPr>
        <w:t>Public</w:t>
      </w:r>
      <w:r>
        <w:rPr>
          <w:color w:val="212121"/>
          <w:spacing w:val="-11"/>
          <w:w w:val="105"/>
          <w:sz w:val="21"/>
        </w:rPr>
        <w:t> </w:t>
      </w:r>
      <w:r>
        <w:rPr>
          <w:color w:val="212121"/>
          <w:w w:val="105"/>
          <w:sz w:val="21"/>
        </w:rPr>
        <w:t>Services.</w:t>
      </w:r>
      <w:r>
        <w:rPr>
          <w:color w:val="212121"/>
          <w:spacing w:val="40"/>
          <w:w w:val="105"/>
          <w:sz w:val="21"/>
        </w:rPr>
        <w:t> </w:t>
      </w:r>
      <w:r>
        <w:rPr>
          <w:color w:val="0C0C0C"/>
          <w:w w:val="105"/>
          <w:sz w:val="21"/>
        </w:rPr>
        <w:t>In</w:t>
      </w:r>
      <w:r>
        <w:rPr>
          <w:color w:val="0C0C0C"/>
          <w:spacing w:val="-16"/>
          <w:w w:val="105"/>
          <w:sz w:val="21"/>
        </w:rPr>
        <w:t> </w:t>
      </w:r>
      <w:r>
        <w:rPr>
          <w:color w:val="212121"/>
          <w:w w:val="105"/>
          <w:sz w:val="21"/>
        </w:rPr>
        <w:t>assessing </w:t>
      </w:r>
      <w:r>
        <w:rPr>
          <w:color w:val="0C0C0C"/>
          <w:w w:val="105"/>
          <w:sz w:val="21"/>
        </w:rPr>
        <w:t>credit</w:t>
      </w:r>
      <w:r>
        <w:rPr>
          <w:color w:val="0C0C0C"/>
          <w:spacing w:val="-13"/>
          <w:w w:val="105"/>
          <w:sz w:val="21"/>
        </w:rPr>
        <w:t> </w:t>
      </w:r>
      <w:r>
        <w:rPr>
          <w:color w:val="0C0C0C"/>
          <w:w w:val="105"/>
          <w:sz w:val="21"/>
        </w:rPr>
        <w:t>risk,</w:t>
      </w:r>
      <w:r>
        <w:rPr>
          <w:color w:val="0C0C0C"/>
          <w:spacing w:val="-6"/>
          <w:w w:val="105"/>
          <w:sz w:val="21"/>
        </w:rPr>
        <w:t> </w:t>
      </w:r>
      <w:r>
        <w:rPr>
          <w:color w:val="0C0C0C"/>
          <w:w w:val="105"/>
          <w:sz w:val="21"/>
        </w:rPr>
        <w:t>the</w:t>
      </w:r>
      <w:r>
        <w:rPr>
          <w:color w:val="0C0C0C"/>
          <w:spacing w:val="-13"/>
          <w:w w:val="105"/>
          <w:sz w:val="21"/>
        </w:rPr>
        <w:t> </w:t>
      </w:r>
      <w:r>
        <w:rPr>
          <w:color w:val="0C0C0C"/>
          <w:w w:val="105"/>
          <w:sz w:val="21"/>
        </w:rPr>
        <w:t>Council</w:t>
      </w:r>
      <w:r>
        <w:rPr>
          <w:color w:val="0C0C0C"/>
          <w:spacing w:val="-9"/>
          <w:w w:val="105"/>
          <w:sz w:val="21"/>
        </w:rPr>
        <w:t> </w:t>
      </w:r>
      <w:r>
        <w:rPr>
          <w:color w:val="0C0C0C"/>
          <w:w w:val="105"/>
          <w:sz w:val="21"/>
        </w:rPr>
        <w:t>uses</w:t>
      </w:r>
      <w:r>
        <w:rPr>
          <w:color w:val="0C0C0C"/>
          <w:spacing w:val="-7"/>
          <w:w w:val="105"/>
          <w:sz w:val="21"/>
        </w:rPr>
        <w:t> </w:t>
      </w:r>
      <w:r>
        <w:rPr>
          <w:color w:val="0C0C0C"/>
          <w:w w:val="105"/>
          <w:sz w:val="21"/>
        </w:rPr>
        <w:t>the</w:t>
      </w:r>
      <w:r>
        <w:rPr>
          <w:color w:val="0C0C0C"/>
          <w:spacing w:val="-11"/>
          <w:w w:val="105"/>
          <w:sz w:val="21"/>
        </w:rPr>
        <w:t> </w:t>
      </w:r>
      <w:r>
        <w:rPr>
          <w:color w:val="0C0C0C"/>
          <w:w w:val="105"/>
          <w:sz w:val="21"/>
        </w:rPr>
        <w:t>creditworthiness</w:t>
      </w:r>
      <w:r>
        <w:rPr>
          <w:color w:val="0C0C0C"/>
          <w:spacing w:val="-10"/>
          <w:w w:val="105"/>
          <w:sz w:val="21"/>
        </w:rPr>
        <w:t> </w:t>
      </w:r>
      <w:r>
        <w:rPr>
          <w:color w:val="212121"/>
          <w:w w:val="105"/>
          <w:sz w:val="21"/>
        </w:rPr>
        <w:t>service</w:t>
      </w:r>
      <w:r>
        <w:rPr>
          <w:color w:val="212121"/>
          <w:spacing w:val="-3"/>
          <w:w w:val="105"/>
          <w:sz w:val="21"/>
        </w:rPr>
        <w:t> </w:t>
      </w:r>
      <w:r>
        <w:rPr>
          <w:color w:val="212121"/>
          <w:w w:val="105"/>
          <w:sz w:val="21"/>
        </w:rPr>
        <w:t>provided</w:t>
      </w:r>
      <w:r>
        <w:rPr>
          <w:color w:val="212121"/>
          <w:spacing w:val="-6"/>
          <w:w w:val="105"/>
          <w:sz w:val="21"/>
        </w:rPr>
        <w:t> </w:t>
      </w:r>
      <w:r>
        <w:rPr>
          <w:color w:val="212121"/>
          <w:w w:val="105"/>
          <w:sz w:val="21"/>
        </w:rPr>
        <w:t>by</w:t>
      </w:r>
      <w:r>
        <w:rPr>
          <w:color w:val="212121"/>
          <w:spacing w:val="-7"/>
          <w:w w:val="105"/>
          <w:sz w:val="21"/>
        </w:rPr>
        <w:t> </w:t>
      </w:r>
      <w:r>
        <w:rPr>
          <w:color w:val="212121"/>
          <w:w w:val="105"/>
          <w:sz w:val="21"/>
        </w:rPr>
        <w:t>Link</w:t>
      </w:r>
      <w:r>
        <w:rPr>
          <w:color w:val="212121"/>
          <w:spacing w:val="-4"/>
          <w:w w:val="105"/>
          <w:sz w:val="21"/>
        </w:rPr>
        <w:t> </w:t>
      </w:r>
      <w:r>
        <w:rPr>
          <w:color w:val="212121"/>
          <w:w w:val="105"/>
          <w:sz w:val="21"/>
        </w:rPr>
        <w:t>Asset</w:t>
      </w:r>
      <w:r>
        <w:rPr>
          <w:color w:val="212121"/>
          <w:spacing w:val="-1"/>
          <w:w w:val="105"/>
          <w:sz w:val="21"/>
        </w:rPr>
        <w:t> </w:t>
      </w:r>
      <w:r>
        <w:rPr>
          <w:color w:val="212121"/>
          <w:w w:val="105"/>
          <w:sz w:val="21"/>
        </w:rPr>
        <w:t>Services which </w:t>
      </w:r>
      <w:r>
        <w:rPr>
          <w:color w:val="0C0C0C"/>
          <w:w w:val="105"/>
          <w:sz w:val="21"/>
        </w:rPr>
        <w:t>combines</w:t>
      </w:r>
      <w:r>
        <w:rPr>
          <w:color w:val="0C0C0C"/>
          <w:spacing w:val="-3"/>
          <w:w w:val="105"/>
          <w:sz w:val="21"/>
        </w:rPr>
        <w:t> </w:t>
      </w:r>
      <w:r>
        <w:rPr>
          <w:color w:val="0C0C0C"/>
          <w:w w:val="105"/>
          <w:sz w:val="21"/>
        </w:rPr>
        <w:t>assessments of</w:t>
      </w:r>
      <w:r>
        <w:rPr>
          <w:color w:val="0C0C0C"/>
          <w:spacing w:val="-10"/>
          <w:w w:val="105"/>
          <w:sz w:val="21"/>
        </w:rPr>
        <w:t> </w:t>
      </w:r>
      <w:r>
        <w:rPr>
          <w:color w:val="0C0C0C"/>
          <w:w w:val="105"/>
          <w:sz w:val="21"/>
        </w:rPr>
        <w:t>credit</w:t>
      </w:r>
      <w:r>
        <w:rPr>
          <w:color w:val="0C0C0C"/>
          <w:spacing w:val="-8"/>
          <w:w w:val="105"/>
          <w:sz w:val="21"/>
        </w:rPr>
        <w:t> </w:t>
      </w:r>
      <w:r>
        <w:rPr>
          <w:color w:val="0C0C0C"/>
          <w:w w:val="105"/>
          <w:sz w:val="21"/>
        </w:rPr>
        <w:t>ratings, credit</w:t>
      </w:r>
      <w:r>
        <w:rPr>
          <w:color w:val="0C0C0C"/>
          <w:spacing w:val="-1"/>
          <w:w w:val="105"/>
          <w:sz w:val="21"/>
        </w:rPr>
        <w:t> </w:t>
      </w:r>
      <w:r>
        <w:rPr>
          <w:color w:val="212121"/>
          <w:w w:val="105"/>
          <w:sz w:val="21"/>
        </w:rPr>
        <w:t>watches,</w:t>
      </w:r>
      <w:r>
        <w:rPr>
          <w:color w:val="212121"/>
          <w:spacing w:val="-7"/>
          <w:w w:val="105"/>
          <w:sz w:val="21"/>
        </w:rPr>
        <w:t> </w:t>
      </w:r>
      <w:r>
        <w:rPr>
          <w:color w:val="212121"/>
          <w:w w:val="105"/>
          <w:sz w:val="21"/>
        </w:rPr>
        <w:t>credit</w:t>
      </w:r>
      <w:r>
        <w:rPr>
          <w:color w:val="212121"/>
          <w:spacing w:val="-3"/>
          <w:w w:val="105"/>
          <w:sz w:val="21"/>
        </w:rPr>
        <w:t> </w:t>
      </w:r>
      <w:r>
        <w:rPr>
          <w:color w:val="212121"/>
          <w:w w:val="105"/>
          <w:sz w:val="21"/>
        </w:rPr>
        <w:t>outlooks and</w:t>
      </w:r>
      <w:r>
        <w:rPr>
          <w:color w:val="212121"/>
          <w:spacing w:val="-16"/>
          <w:w w:val="105"/>
          <w:sz w:val="21"/>
        </w:rPr>
        <w:t> </w:t>
      </w:r>
      <w:r>
        <w:rPr>
          <w:color w:val="212121"/>
          <w:w w:val="105"/>
          <w:sz w:val="21"/>
        </w:rPr>
        <w:t>credit</w:t>
      </w:r>
      <w:r>
        <w:rPr>
          <w:color w:val="212121"/>
          <w:spacing w:val="-6"/>
          <w:w w:val="105"/>
          <w:sz w:val="21"/>
        </w:rPr>
        <w:t> </w:t>
      </w:r>
      <w:r>
        <w:rPr>
          <w:color w:val="212121"/>
          <w:w w:val="105"/>
          <w:sz w:val="21"/>
        </w:rPr>
        <w:t>default</w:t>
      </w:r>
      <w:r>
        <w:rPr>
          <w:color w:val="212121"/>
          <w:spacing w:val="-10"/>
          <w:w w:val="105"/>
          <w:sz w:val="21"/>
        </w:rPr>
        <w:t> </w:t>
      </w:r>
      <w:r>
        <w:rPr>
          <w:color w:val="212121"/>
          <w:w w:val="105"/>
          <w:sz w:val="21"/>
        </w:rPr>
        <w:t>swap </w:t>
      </w:r>
      <w:r>
        <w:rPr>
          <w:color w:val="0C0C0C"/>
          <w:w w:val="105"/>
          <w:sz w:val="21"/>
        </w:rPr>
        <w:t>spreads to provide a weighted scoring system.</w:t>
      </w:r>
    </w:p>
    <w:p>
      <w:pPr>
        <w:pStyle w:val="BodyText"/>
        <w:spacing w:before="9"/>
        <w:rPr>
          <w:sz w:val="21"/>
        </w:rPr>
      </w:pPr>
    </w:p>
    <w:p>
      <w:pPr>
        <w:spacing w:before="0" w:line="249" w:lineRule="auto"/>
        <w:ind w:left="1445" w:right="904" w:firstLine="15"/>
        <w:jc w:val="both"/>
        <w:rPr>
          <w:sz w:val="21"/>
        </w:rPr>
      </w:pPr>
      <w:r>
        <w:rPr>
          <w:color w:val="212121"/>
          <w:w w:val="105"/>
          <w:sz w:val="21"/>
        </w:rPr>
        <w:t>As well as using</w:t>
      </w:r>
      <w:r>
        <w:rPr>
          <w:color w:val="212121"/>
          <w:spacing w:val="-1"/>
          <w:w w:val="105"/>
          <w:sz w:val="21"/>
        </w:rPr>
        <w:t> </w:t>
      </w:r>
      <w:r>
        <w:rPr>
          <w:color w:val="212121"/>
          <w:w w:val="105"/>
          <w:sz w:val="21"/>
        </w:rPr>
        <w:t>the</w:t>
      </w:r>
      <w:r>
        <w:rPr>
          <w:color w:val="212121"/>
          <w:spacing w:val="-1"/>
          <w:w w:val="105"/>
          <w:sz w:val="21"/>
        </w:rPr>
        <w:t> </w:t>
      </w:r>
      <w:r>
        <w:rPr>
          <w:color w:val="212121"/>
          <w:w w:val="105"/>
          <w:sz w:val="21"/>
        </w:rPr>
        <w:t>matrix </w:t>
      </w:r>
      <w:r>
        <w:rPr>
          <w:color w:val="0C0C0C"/>
          <w:w w:val="105"/>
          <w:sz w:val="21"/>
        </w:rPr>
        <w:t>produced</w:t>
      </w:r>
      <w:r>
        <w:rPr>
          <w:color w:val="0C0C0C"/>
          <w:spacing w:val="-3"/>
          <w:w w:val="105"/>
          <w:sz w:val="21"/>
        </w:rPr>
        <w:t> </w:t>
      </w:r>
      <w:r>
        <w:rPr>
          <w:color w:val="0C0C0C"/>
          <w:w w:val="105"/>
          <w:sz w:val="21"/>
        </w:rPr>
        <w:t>by </w:t>
      </w:r>
      <w:r>
        <w:rPr>
          <w:color w:val="212121"/>
          <w:w w:val="105"/>
          <w:sz w:val="21"/>
        </w:rPr>
        <w:t>Link </w:t>
      </w:r>
      <w:r>
        <w:rPr>
          <w:color w:val="0C0C0C"/>
          <w:w w:val="105"/>
          <w:sz w:val="21"/>
        </w:rPr>
        <w:t>Asset </w:t>
      </w:r>
      <w:r>
        <w:rPr>
          <w:color w:val="212121"/>
          <w:w w:val="105"/>
          <w:sz w:val="21"/>
        </w:rPr>
        <w:t>Services,</w:t>
      </w:r>
      <w:r>
        <w:rPr>
          <w:color w:val="212121"/>
          <w:w w:val="105"/>
          <w:sz w:val="21"/>
        </w:rPr>
        <w:t> the Council</w:t>
      </w:r>
      <w:r>
        <w:rPr>
          <w:color w:val="212121"/>
          <w:spacing w:val="-2"/>
          <w:w w:val="105"/>
          <w:sz w:val="21"/>
        </w:rPr>
        <w:t> </w:t>
      </w:r>
      <w:r>
        <w:rPr>
          <w:color w:val="212121"/>
          <w:w w:val="105"/>
          <w:sz w:val="21"/>
        </w:rPr>
        <w:t>limits</w:t>
      </w:r>
      <w:r>
        <w:rPr>
          <w:color w:val="212121"/>
          <w:spacing w:val="-1"/>
          <w:w w:val="105"/>
          <w:sz w:val="21"/>
        </w:rPr>
        <w:t> </w:t>
      </w:r>
      <w:r>
        <w:rPr>
          <w:color w:val="212121"/>
          <w:w w:val="105"/>
          <w:sz w:val="21"/>
        </w:rPr>
        <w:t>its</w:t>
      </w:r>
      <w:r>
        <w:rPr>
          <w:color w:val="212121"/>
          <w:spacing w:val="-2"/>
          <w:w w:val="105"/>
          <w:sz w:val="21"/>
        </w:rPr>
        <w:t> </w:t>
      </w:r>
      <w:r>
        <w:rPr>
          <w:color w:val="212121"/>
          <w:w w:val="105"/>
          <w:sz w:val="21"/>
        </w:rPr>
        <w:t>exposure</w:t>
      </w:r>
      <w:r>
        <w:rPr>
          <w:color w:val="212121"/>
          <w:spacing w:val="-2"/>
          <w:w w:val="105"/>
          <w:sz w:val="21"/>
        </w:rPr>
        <w:t> </w:t>
      </w:r>
      <w:r>
        <w:rPr>
          <w:color w:val="0C0C0C"/>
          <w:w w:val="105"/>
          <w:sz w:val="21"/>
        </w:rPr>
        <w:t>to </w:t>
      </w:r>
      <w:r>
        <w:rPr>
          <w:color w:val="212121"/>
          <w:w w:val="105"/>
          <w:sz w:val="21"/>
        </w:rPr>
        <w:t>any one</w:t>
      </w:r>
      <w:r>
        <w:rPr>
          <w:color w:val="212121"/>
          <w:spacing w:val="-11"/>
          <w:w w:val="105"/>
          <w:sz w:val="21"/>
        </w:rPr>
        <w:t> </w:t>
      </w:r>
      <w:r>
        <w:rPr>
          <w:color w:val="212121"/>
          <w:w w:val="105"/>
          <w:sz w:val="21"/>
        </w:rPr>
        <w:t>particular </w:t>
      </w:r>
      <w:r>
        <w:rPr>
          <w:color w:val="494949"/>
          <w:w w:val="105"/>
          <w:sz w:val="21"/>
        </w:rPr>
        <w:t>institution </w:t>
      </w:r>
      <w:r>
        <w:rPr>
          <w:color w:val="212121"/>
          <w:w w:val="105"/>
          <w:sz w:val="21"/>
        </w:rPr>
        <w:t>or</w:t>
      </w:r>
      <w:r>
        <w:rPr>
          <w:color w:val="212121"/>
          <w:spacing w:val="-3"/>
          <w:w w:val="105"/>
          <w:sz w:val="21"/>
        </w:rPr>
        <w:t> </w:t>
      </w:r>
      <w:r>
        <w:rPr>
          <w:color w:val="212121"/>
          <w:w w:val="105"/>
          <w:sz w:val="21"/>
        </w:rPr>
        <w:t>group</w:t>
      </w:r>
      <w:r>
        <w:rPr>
          <w:color w:val="212121"/>
          <w:spacing w:val="-5"/>
          <w:w w:val="105"/>
          <w:sz w:val="21"/>
        </w:rPr>
        <w:t> </w:t>
      </w:r>
      <w:r>
        <w:rPr>
          <w:color w:val="0C0C0C"/>
          <w:w w:val="105"/>
          <w:sz w:val="21"/>
        </w:rPr>
        <w:t>of</w:t>
      </w:r>
      <w:r>
        <w:rPr>
          <w:color w:val="0C0C0C"/>
          <w:spacing w:val="-1"/>
          <w:w w:val="105"/>
          <w:sz w:val="21"/>
        </w:rPr>
        <w:t> </w:t>
      </w:r>
      <w:r>
        <w:rPr>
          <w:color w:val="212121"/>
          <w:w w:val="105"/>
          <w:sz w:val="21"/>
        </w:rPr>
        <w:t>banks </w:t>
      </w:r>
      <w:r>
        <w:rPr>
          <w:color w:val="0C0C0C"/>
          <w:w w:val="105"/>
          <w:sz w:val="21"/>
        </w:rPr>
        <w:t>and</w:t>
      </w:r>
      <w:r>
        <w:rPr>
          <w:color w:val="0C0C0C"/>
          <w:spacing w:val="-5"/>
          <w:w w:val="105"/>
          <w:sz w:val="21"/>
        </w:rPr>
        <w:t> </w:t>
      </w:r>
      <w:r>
        <w:rPr>
          <w:color w:val="212121"/>
          <w:w w:val="105"/>
          <w:sz w:val="21"/>
        </w:rPr>
        <w:t>uses</w:t>
      </w:r>
      <w:r>
        <w:rPr>
          <w:color w:val="212121"/>
          <w:spacing w:val="-1"/>
          <w:w w:val="105"/>
          <w:sz w:val="21"/>
        </w:rPr>
        <w:t> </w:t>
      </w:r>
      <w:r>
        <w:rPr>
          <w:color w:val="212121"/>
          <w:w w:val="105"/>
          <w:sz w:val="21"/>
        </w:rPr>
        <w:t>Fitch</w:t>
      </w:r>
      <w:r>
        <w:rPr>
          <w:color w:val="212121"/>
          <w:spacing w:val="-5"/>
          <w:w w:val="105"/>
          <w:sz w:val="21"/>
        </w:rPr>
        <w:t> </w:t>
      </w:r>
      <w:r>
        <w:rPr>
          <w:color w:val="212121"/>
          <w:w w:val="105"/>
          <w:sz w:val="21"/>
        </w:rPr>
        <w:t>long-term ratings (or</w:t>
      </w:r>
      <w:r>
        <w:rPr>
          <w:color w:val="212121"/>
          <w:spacing w:val="-3"/>
          <w:w w:val="105"/>
          <w:sz w:val="21"/>
        </w:rPr>
        <w:t> </w:t>
      </w:r>
      <w:r>
        <w:rPr>
          <w:color w:val="212121"/>
          <w:w w:val="105"/>
          <w:sz w:val="21"/>
        </w:rPr>
        <w:t>equivalent) to</w:t>
      </w:r>
      <w:r>
        <w:rPr>
          <w:color w:val="212121"/>
          <w:w w:val="105"/>
          <w:sz w:val="21"/>
        </w:rPr>
        <w:t> determine</w:t>
      </w:r>
      <w:r>
        <w:rPr>
          <w:color w:val="212121"/>
          <w:w w:val="105"/>
          <w:sz w:val="21"/>
        </w:rPr>
        <w:t> the</w:t>
      </w:r>
      <w:r>
        <w:rPr>
          <w:color w:val="212121"/>
          <w:w w:val="105"/>
          <w:sz w:val="21"/>
        </w:rPr>
        <w:t> amount</w:t>
      </w:r>
      <w:r>
        <w:rPr>
          <w:color w:val="212121"/>
          <w:w w:val="105"/>
          <w:sz w:val="21"/>
        </w:rPr>
        <w:t> </w:t>
      </w:r>
      <w:r>
        <w:rPr>
          <w:color w:val="0C0C0C"/>
          <w:w w:val="105"/>
          <w:sz w:val="21"/>
        </w:rPr>
        <w:t>of</w:t>
      </w:r>
      <w:r>
        <w:rPr>
          <w:color w:val="0C0C0C"/>
          <w:w w:val="105"/>
          <w:sz w:val="21"/>
        </w:rPr>
        <w:t> </w:t>
      </w:r>
      <w:r>
        <w:rPr>
          <w:color w:val="212121"/>
          <w:w w:val="105"/>
          <w:sz w:val="21"/>
        </w:rPr>
        <w:t>funds</w:t>
      </w:r>
      <w:r>
        <w:rPr>
          <w:color w:val="212121"/>
          <w:w w:val="105"/>
          <w:sz w:val="21"/>
        </w:rPr>
        <w:t> placed</w:t>
      </w:r>
      <w:r>
        <w:rPr>
          <w:color w:val="212121"/>
          <w:w w:val="105"/>
          <w:sz w:val="21"/>
        </w:rPr>
        <w:t> with</w:t>
      </w:r>
      <w:r>
        <w:rPr>
          <w:color w:val="212121"/>
          <w:w w:val="105"/>
          <w:sz w:val="21"/>
        </w:rPr>
        <w:t> each</w:t>
      </w:r>
      <w:r>
        <w:rPr>
          <w:color w:val="212121"/>
          <w:w w:val="105"/>
          <w:sz w:val="21"/>
        </w:rPr>
        <w:t> institution</w:t>
      </w:r>
      <w:r>
        <w:rPr>
          <w:color w:val="212121"/>
          <w:w w:val="105"/>
          <w:sz w:val="21"/>
        </w:rPr>
        <w:t> as</w:t>
      </w:r>
      <w:r>
        <w:rPr>
          <w:color w:val="212121"/>
          <w:w w:val="105"/>
          <w:sz w:val="21"/>
        </w:rPr>
        <w:t> follows</w:t>
      </w:r>
      <w:r>
        <w:rPr>
          <w:color w:val="212121"/>
          <w:w w:val="105"/>
          <w:sz w:val="21"/>
        </w:rPr>
        <w:t> (limits</w:t>
      </w:r>
      <w:r>
        <w:rPr>
          <w:color w:val="212121"/>
          <w:w w:val="105"/>
          <w:sz w:val="21"/>
        </w:rPr>
        <w:t> effective</w:t>
      </w:r>
      <w:r>
        <w:rPr>
          <w:color w:val="212121"/>
          <w:w w:val="105"/>
          <w:sz w:val="21"/>
        </w:rPr>
        <w:t> in </w:t>
      </w:r>
      <w:r>
        <w:rPr>
          <w:color w:val="0C0C0C"/>
          <w:spacing w:val="-2"/>
          <w:w w:val="105"/>
          <w:sz w:val="21"/>
        </w:rPr>
        <w:t>2022/23):</w:t>
      </w:r>
    </w:p>
    <w:p>
      <w:pPr>
        <w:spacing w:after="0" w:line="249" w:lineRule="auto"/>
        <w:jc w:val="both"/>
        <w:rPr>
          <w:sz w:val="21"/>
        </w:rPr>
        <w:sectPr>
          <w:type w:val="continuous"/>
          <w:pgSz w:w="11910" w:h="16830"/>
          <w:pgMar w:top="1940" w:right="300" w:bottom="280" w:left="0" w:header="0" w:footer="1020"/>
        </w:sect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95"/>
        <w:rPr>
          <w:sz w:val="30"/>
        </w:rPr>
      </w:pPr>
    </w:p>
    <w:p>
      <w:pPr>
        <w:spacing w:before="0"/>
        <w:ind w:left="1282" w:right="0" w:firstLine="0"/>
        <w:jc w:val="left"/>
        <w:rPr>
          <w:sz w:val="30"/>
        </w:rPr>
      </w:pPr>
      <w:r>
        <w:rPr/>
        <ve:AlternateContent>
          <ve:Choice Requires="wps">
            <w:drawing>
              <wp:anchor distT="0" distB="0" distL="0" distR="0" simplePos="0" relativeHeight="15824896" behindDoc="0" locked="0" layoutInCell="1" allowOverlap="1">
                <wp:simplePos x="0" y="0"/>
                <wp:positionH relativeFrom="page">
                  <wp:posOffset>844150</wp:posOffset>
                </wp:positionH>
                <wp:positionV relativeFrom="paragraph">
                  <wp:posOffset>-4093726</wp:posOffset>
                </wp:positionV>
                <wp:extent cx="6043295" cy="5709285"/>
                <wp:effectExtent l="0" t="0" r="0" b="0"/>
                <wp:wrapNone/>
                <wp:docPr id="426" name="Group 426"/>
                <wp:cNvGraphicFramePr>
                  <a:graphicFrameLocks/>
                </wp:cNvGraphicFramePr>
                <a:graphic>
                  <a:graphicData uri="http://schemas.microsoft.com/office/word/2010/wordprocessingGroup">
                    <wpg:wgp>
                      <wpg:cNvPr id="426" name="Group 426"/>
                      <wpg:cNvGrpSpPr/>
                      <wpg:grpSpPr>
                        <a:xfrm>
                          <a:off x="0" y="0"/>
                          <a:ext cx="6043295" cy="5709285"/>
                          <a:chExt cx="6043295" cy="5709285"/>
                        </a:xfrm>
                      </wpg:grpSpPr>
                      <wps:wsp>
                        <wps:cNvPr id="427" name="Graphic 427"/>
                        <wps:cNvSpPr/>
                        <wps:spPr>
                          <a:xfrm>
                            <a:off x="25930" y="12850"/>
                            <a:ext cx="6017895" cy="1593215"/>
                          </a:xfrm>
                          <a:custGeom>
                            <a:avLst/>
                            <a:gdLst/>
                            <a:ahLst/>
                            <a:cxnLst/>
                            <a:rect l="l" t="t" r="r" b="b"/>
                            <a:pathLst>
                              <a:path w="6017895" h="1593215">
                                <a:moveTo>
                                  <a:pt x="0" y="3051"/>
                                </a:moveTo>
                                <a:lnTo>
                                  <a:pt x="6017298" y="3051"/>
                                </a:lnTo>
                              </a:path>
                              <a:path w="6017895" h="1593215">
                                <a:moveTo>
                                  <a:pt x="3052" y="662170"/>
                                </a:moveTo>
                                <a:lnTo>
                                  <a:pt x="3052" y="0"/>
                                </a:lnTo>
                              </a:path>
                              <a:path w="6017895" h="1593215">
                                <a:moveTo>
                                  <a:pt x="1599728" y="1592871"/>
                                </a:moveTo>
                                <a:lnTo>
                                  <a:pt x="1599728" y="0"/>
                                </a:lnTo>
                              </a:path>
                            </a:pathLst>
                          </a:custGeom>
                          <a:ln w="9156">
                            <a:solidFill>
                              <a:srgbClr val="000000"/>
                            </a:solidFill>
                            <a:prstDash val="solid"/>
                          </a:ln>
                        </wps:spPr>
                        <wps:bodyPr wrap="square" lIns="0" tIns="0" rIns="0" bIns="0" rtlCol="0">
                          <a:prstTxWarp prst="textNoShape">
                            <a:avLst/>
                          </a:prstTxWarp>
                          <a:noAutofit/>
                        </wps:bodyPr>
                      </wps:wsp>
                      <wps:wsp>
                        <wps:cNvPr id="428" name="Graphic 428"/>
                        <wps:cNvSpPr/>
                        <wps:spPr>
                          <a:xfrm>
                            <a:off x="4507612" y="12850"/>
                            <a:ext cx="1270" cy="4204970"/>
                          </a:xfrm>
                          <a:custGeom>
                            <a:avLst/>
                            <a:gdLst/>
                            <a:ahLst/>
                            <a:cxnLst/>
                            <a:rect l="l" t="t" r="r" b="b"/>
                            <a:pathLst>
                              <a:path w="0" h="4204970">
                                <a:moveTo>
                                  <a:pt x="0" y="4204936"/>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429" name="Graphic 429"/>
                        <wps:cNvSpPr/>
                        <wps:spPr>
                          <a:xfrm>
                            <a:off x="28983" y="12850"/>
                            <a:ext cx="6014720" cy="2557145"/>
                          </a:xfrm>
                          <a:custGeom>
                            <a:avLst/>
                            <a:gdLst/>
                            <a:ahLst/>
                            <a:cxnLst/>
                            <a:rect l="l" t="t" r="r" b="b"/>
                            <a:pathLst>
                              <a:path w="6014720" h="2557145">
                                <a:moveTo>
                                  <a:pt x="6008139" y="1519635"/>
                                </a:moveTo>
                                <a:lnTo>
                                  <a:pt x="6008139" y="0"/>
                                </a:lnTo>
                              </a:path>
                              <a:path w="6014720" h="2557145">
                                <a:moveTo>
                                  <a:pt x="3068181" y="994781"/>
                                </a:moveTo>
                                <a:lnTo>
                                  <a:pt x="3068181" y="256324"/>
                                </a:lnTo>
                              </a:path>
                              <a:path w="6014720" h="2557145">
                                <a:moveTo>
                                  <a:pt x="0" y="817796"/>
                                </a:moveTo>
                                <a:lnTo>
                                  <a:pt x="6014245" y="817796"/>
                                </a:lnTo>
                              </a:path>
                              <a:path w="6014720" h="2557145">
                                <a:moveTo>
                                  <a:pt x="0" y="1269414"/>
                                </a:moveTo>
                                <a:lnTo>
                                  <a:pt x="6014245" y="1269414"/>
                                </a:lnTo>
                              </a:path>
                              <a:path w="6014720" h="2557145">
                                <a:moveTo>
                                  <a:pt x="0" y="1739342"/>
                                </a:moveTo>
                                <a:lnTo>
                                  <a:pt x="0" y="1266363"/>
                                </a:lnTo>
                              </a:path>
                              <a:path w="6014720" h="2557145">
                                <a:moveTo>
                                  <a:pt x="3068181" y="1739342"/>
                                </a:moveTo>
                                <a:lnTo>
                                  <a:pt x="3068181" y="1266363"/>
                                </a:lnTo>
                              </a:path>
                              <a:path w="6014720" h="2557145">
                                <a:moveTo>
                                  <a:pt x="6008139" y="2557138"/>
                                </a:moveTo>
                                <a:lnTo>
                                  <a:pt x="6008139" y="1592871"/>
                                </a:lnTo>
                              </a:path>
                            </a:pathLst>
                          </a:custGeom>
                          <a:ln w="9156">
                            <a:solidFill>
                              <a:srgbClr val="000000"/>
                            </a:solidFill>
                            <a:prstDash val="solid"/>
                          </a:ln>
                        </wps:spPr>
                        <wps:bodyPr wrap="square" lIns="0" tIns="0" rIns="0" bIns="0" rtlCol="0">
                          <a:prstTxWarp prst="textNoShape">
                            <a:avLst/>
                          </a:prstTxWarp>
                          <a:noAutofit/>
                        </wps:bodyPr>
                      </wps:wsp>
                      <wps:wsp>
                        <wps:cNvPr id="430" name="Graphic 430"/>
                        <wps:cNvSpPr/>
                        <wps:spPr>
                          <a:xfrm>
                            <a:off x="28983" y="1910869"/>
                            <a:ext cx="6014720" cy="1270"/>
                          </a:xfrm>
                          <a:custGeom>
                            <a:avLst/>
                            <a:gdLst/>
                            <a:ahLst/>
                            <a:cxnLst/>
                            <a:rect l="l" t="t" r="r" b="b"/>
                            <a:pathLst>
                              <a:path w="6014720" h="0">
                                <a:moveTo>
                                  <a:pt x="0" y="0"/>
                                </a:moveTo>
                                <a:lnTo>
                                  <a:pt x="6014245" y="0"/>
                                </a:lnTo>
                              </a:path>
                            </a:pathLst>
                          </a:custGeom>
                          <a:ln w="3051">
                            <a:solidFill>
                              <a:srgbClr val="000000"/>
                            </a:solidFill>
                            <a:prstDash val="solid"/>
                          </a:ln>
                        </wps:spPr>
                        <wps:bodyPr wrap="square" lIns="0" tIns="0" rIns="0" bIns="0" rtlCol="0">
                          <a:prstTxWarp prst="textNoShape">
                            <a:avLst/>
                          </a:prstTxWarp>
                          <a:noAutofit/>
                        </wps:bodyPr>
                      </wps:wsp>
                      <wps:wsp>
                        <wps:cNvPr id="431" name="Graphic 431"/>
                        <wps:cNvSpPr/>
                        <wps:spPr>
                          <a:xfrm>
                            <a:off x="25930" y="1752192"/>
                            <a:ext cx="6017895" cy="2181860"/>
                          </a:xfrm>
                          <a:custGeom>
                            <a:avLst/>
                            <a:gdLst/>
                            <a:ahLst/>
                            <a:cxnLst/>
                            <a:rect l="l" t="t" r="r" b="b"/>
                            <a:pathLst>
                              <a:path w="6017895" h="2181860">
                                <a:moveTo>
                                  <a:pt x="1599728" y="2181806"/>
                                </a:moveTo>
                                <a:lnTo>
                                  <a:pt x="1599728" y="0"/>
                                </a:lnTo>
                              </a:path>
                              <a:path w="6017895" h="2181860">
                                <a:moveTo>
                                  <a:pt x="3052" y="1013090"/>
                                </a:moveTo>
                                <a:lnTo>
                                  <a:pt x="3052" y="158676"/>
                                </a:lnTo>
                              </a:path>
                              <a:path w="6017895" h="2181860">
                                <a:moveTo>
                                  <a:pt x="3071233" y="451618"/>
                                </a:moveTo>
                                <a:lnTo>
                                  <a:pt x="3071233" y="155625"/>
                                </a:lnTo>
                              </a:path>
                              <a:path w="6017895" h="2181860">
                                <a:moveTo>
                                  <a:pt x="0" y="582832"/>
                                </a:moveTo>
                                <a:lnTo>
                                  <a:pt x="6017298" y="582832"/>
                                </a:lnTo>
                              </a:path>
                              <a:path w="6017895" h="2181860">
                                <a:moveTo>
                                  <a:pt x="0" y="1006987"/>
                                </a:moveTo>
                                <a:lnTo>
                                  <a:pt x="6014245" y="1006987"/>
                                </a:lnTo>
                              </a:path>
                            </a:pathLst>
                          </a:custGeom>
                          <a:ln w="9156">
                            <a:solidFill>
                              <a:srgbClr val="000000"/>
                            </a:solidFill>
                            <a:prstDash val="solid"/>
                          </a:ln>
                        </wps:spPr>
                        <wps:bodyPr wrap="square" lIns="0" tIns="0" rIns="0" bIns="0" rtlCol="0">
                          <a:prstTxWarp prst="textNoShape">
                            <a:avLst/>
                          </a:prstTxWarp>
                          <a:noAutofit/>
                        </wps:bodyPr>
                      </wps:wsp>
                      <wps:wsp>
                        <wps:cNvPr id="432" name="Graphic 432"/>
                        <wps:cNvSpPr/>
                        <wps:spPr>
                          <a:xfrm>
                            <a:off x="6037123" y="2569988"/>
                            <a:ext cx="1270" cy="3106420"/>
                          </a:xfrm>
                          <a:custGeom>
                            <a:avLst/>
                            <a:gdLst/>
                            <a:ahLst/>
                            <a:cxnLst/>
                            <a:rect l="l" t="t" r="r" b="b"/>
                            <a:pathLst>
                              <a:path w="0" h="3106420">
                                <a:moveTo>
                                  <a:pt x="0" y="3106404"/>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433" name="Graphic 433"/>
                        <wps:cNvSpPr/>
                        <wps:spPr>
                          <a:xfrm>
                            <a:off x="28983" y="3186386"/>
                            <a:ext cx="6011545" cy="2484120"/>
                          </a:xfrm>
                          <a:custGeom>
                            <a:avLst/>
                            <a:gdLst/>
                            <a:ahLst/>
                            <a:cxnLst/>
                            <a:rect l="l" t="t" r="r" b="b"/>
                            <a:pathLst>
                              <a:path w="6011545" h="2484120">
                                <a:moveTo>
                                  <a:pt x="0" y="0"/>
                                </a:moveTo>
                                <a:lnTo>
                                  <a:pt x="6011192" y="0"/>
                                </a:lnTo>
                              </a:path>
                              <a:path w="6011545" h="2484120">
                                <a:moveTo>
                                  <a:pt x="3068181" y="747612"/>
                                </a:moveTo>
                                <a:lnTo>
                                  <a:pt x="3068181" y="341765"/>
                                </a:lnTo>
                              </a:path>
                              <a:path w="6011545" h="2484120">
                                <a:moveTo>
                                  <a:pt x="0" y="741509"/>
                                </a:moveTo>
                                <a:lnTo>
                                  <a:pt x="6011192" y="741509"/>
                                </a:lnTo>
                              </a:path>
                              <a:path w="6011545" h="2484120">
                                <a:moveTo>
                                  <a:pt x="0" y="1162612"/>
                                </a:moveTo>
                                <a:lnTo>
                                  <a:pt x="6011192" y="1162612"/>
                                </a:lnTo>
                              </a:path>
                              <a:path w="6011545" h="2484120">
                                <a:moveTo>
                                  <a:pt x="1596675" y="2334380"/>
                                </a:moveTo>
                                <a:lnTo>
                                  <a:pt x="1596675" y="1031399"/>
                                </a:lnTo>
                              </a:path>
                              <a:path w="6011545" h="2484120">
                                <a:moveTo>
                                  <a:pt x="3068181" y="1595922"/>
                                </a:moveTo>
                                <a:lnTo>
                                  <a:pt x="3068181" y="1159561"/>
                                </a:lnTo>
                              </a:path>
                              <a:path w="6011545" h="2484120">
                                <a:moveTo>
                                  <a:pt x="0" y="1589819"/>
                                </a:moveTo>
                                <a:lnTo>
                                  <a:pt x="6011192" y="1589819"/>
                                </a:lnTo>
                              </a:path>
                              <a:path w="6011545" h="2484120">
                                <a:moveTo>
                                  <a:pt x="0" y="2013975"/>
                                </a:moveTo>
                                <a:lnTo>
                                  <a:pt x="6011192" y="2013975"/>
                                </a:lnTo>
                              </a:path>
                              <a:path w="6011545" h="2484120">
                                <a:moveTo>
                                  <a:pt x="3068181" y="2334380"/>
                                </a:moveTo>
                                <a:lnTo>
                                  <a:pt x="3068181" y="2010923"/>
                                </a:lnTo>
                              </a:path>
                              <a:path w="6011545" h="2484120">
                                <a:moveTo>
                                  <a:pt x="0" y="2483902"/>
                                </a:moveTo>
                                <a:lnTo>
                                  <a:pt x="6011192" y="2483902"/>
                                </a:lnTo>
                              </a:path>
                            </a:pathLst>
                          </a:custGeom>
                          <a:ln w="9156">
                            <a:solidFill>
                              <a:srgbClr val="000000"/>
                            </a:solidFill>
                            <a:prstDash val="solid"/>
                          </a:ln>
                        </wps:spPr>
                        <wps:bodyPr wrap="square" lIns="0" tIns="0" rIns="0" bIns="0" rtlCol="0">
                          <a:prstTxWarp prst="textNoShape">
                            <a:avLst/>
                          </a:prstTxWarp>
                          <a:noAutofit/>
                        </wps:bodyPr>
                      </wps:wsp>
                      <wps:wsp>
                        <wps:cNvPr id="434" name="Graphic 434"/>
                        <wps:cNvSpPr/>
                        <wps:spPr>
                          <a:xfrm>
                            <a:off x="3097164" y="5520767"/>
                            <a:ext cx="1270" cy="156210"/>
                          </a:xfrm>
                          <a:custGeom>
                            <a:avLst/>
                            <a:gdLst/>
                            <a:ahLst/>
                            <a:cxnLst/>
                            <a:rect l="l" t="t" r="r" b="b"/>
                            <a:pathLst>
                              <a:path w="0" h="156210">
                                <a:moveTo>
                                  <a:pt x="0" y="155625"/>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435" name="Textbox 435"/>
                        <wps:cNvSpPr txBox="1"/>
                        <wps:spPr>
                          <a:xfrm>
                            <a:off x="3069268" y="0"/>
                            <a:ext cx="64769" cy="298450"/>
                          </a:xfrm>
                          <a:prstGeom prst="rect">
                            <a:avLst/>
                          </a:prstGeom>
                        </wps:spPr>
                        <wps:txbx>
                          <w:txbxContent>
                            <w:p>
                              <w:pPr>
                                <w:spacing w:before="0" w:line="470" w:lineRule="exact"/>
                                <w:ind w:left="0" w:right="0" w:firstLine="0"/>
                                <w:jc w:val="left"/>
                                <w:rPr>
                                  <w:sz w:val="42"/>
                                </w:rPr>
                              </w:pPr>
                              <w:r>
                                <w:rPr>
                                  <w:color w:val="C1C1C1"/>
                                  <w:spacing w:val="-10"/>
                                  <w:w w:val="80"/>
                                  <w:sz w:val="42"/>
                                </w:rPr>
                                <w:t>I</w:t>
                              </w:r>
                            </w:p>
                          </w:txbxContent>
                        </wps:txbx>
                        <wps:bodyPr wrap="square" lIns="0" tIns="0" rIns="0" bIns="0" rtlCol="0">
                          <a:noAutofit/>
                        </wps:bodyPr>
                      </wps:wsp>
                      <wps:wsp>
                        <wps:cNvPr id="436" name="Textbox 436"/>
                        <wps:cNvSpPr txBox="1"/>
                        <wps:spPr>
                          <a:xfrm>
                            <a:off x="526437" y="364974"/>
                            <a:ext cx="608965" cy="149225"/>
                          </a:xfrm>
                          <a:prstGeom prst="rect">
                            <a:avLst/>
                          </a:prstGeom>
                        </wps:spPr>
                        <wps:txbx>
                          <w:txbxContent>
                            <w:p>
                              <w:pPr>
                                <w:spacing w:before="0" w:line="235" w:lineRule="exact"/>
                                <w:ind w:left="0" w:right="0" w:firstLine="0"/>
                                <w:jc w:val="left"/>
                                <w:rPr>
                                  <w:b/>
                                  <w:sz w:val="21"/>
                                </w:rPr>
                              </w:pPr>
                              <w:r>
                                <w:rPr>
                                  <w:b/>
                                  <w:color w:val="0F0F0F"/>
                                  <w:spacing w:val="-2"/>
                                  <w:w w:val="105"/>
                                  <w:sz w:val="21"/>
                                </w:rPr>
                                <w:t>Category</w:t>
                              </w:r>
                            </w:p>
                          </w:txbxContent>
                        </wps:txbx>
                        <wps:bodyPr wrap="square" lIns="0" tIns="0" rIns="0" bIns="0" rtlCol="0">
                          <a:noAutofit/>
                        </wps:bodyPr>
                      </wps:wsp>
                      <wps:wsp>
                        <wps:cNvPr id="437" name="Textbox 437"/>
                        <wps:cNvSpPr txBox="1"/>
                        <wps:spPr>
                          <a:xfrm>
                            <a:off x="1995137" y="282584"/>
                            <a:ext cx="746125" cy="307975"/>
                          </a:xfrm>
                          <a:prstGeom prst="rect">
                            <a:avLst/>
                          </a:prstGeom>
                        </wps:spPr>
                        <wps:txbx>
                          <w:txbxContent>
                            <w:p>
                              <w:pPr>
                                <w:spacing w:before="0" w:line="247" w:lineRule="auto"/>
                                <w:ind w:left="0" w:right="18" w:firstLine="76"/>
                                <w:jc w:val="left"/>
                                <w:rPr>
                                  <w:b/>
                                  <w:sz w:val="21"/>
                                </w:rPr>
                              </w:pPr>
                              <w:r>
                                <w:rPr>
                                  <w:b/>
                                  <w:color w:val="0F0F0F"/>
                                  <w:spacing w:val="-2"/>
                                  <w:w w:val="105"/>
                                  <w:sz w:val="21"/>
                                </w:rPr>
                                <w:t>Maximum </w:t>
                              </w:r>
                              <w:r>
                                <w:rPr>
                                  <w:b/>
                                  <w:color w:val="0F0F0F"/>
                                  <w:spacing w:val="-2"/>
                                  <w:sz w:val="21"/>
                                </w:rPr>
                                <w:t>Investment</w:t>
                              </w:r>
                            </w:p>
                          </w:txbxContent>
                        </wps:txbx>
                        <wps:bodyPr wrap="square" lIns="0" tIns="0" rIns="0" bIns="0" rtlCol="0">
                          <a:noAutofit/>
                        </wps:bodyPr>
                      </wps:wsp>
                      <wps:wsp>
                        <wps:cNvPr id="438" name="Textbox 438"/>
                        <wps:cNvSpPr txBox="1"/>
                        <wps:spPr>
                          <a:xfrm>
                            <a:off x="3188828" y="282584"/>
                            <a:ext cx="1302385" cy="311150"/>
                          </a:xfrm>
                          <a:prstGeom prst="rect">
                            <a:avLst/>
                          </a:prstGeom>
                        </wps:spPr>
                        <wps:txbx>
                          <w:txbxContent>
                            <w:p>
                              <w:pPr>
                                <w:spacing w:before="0" w:line="252" w:lineRule="auto"/>
                                <w:ind w:left="417" w:right="18" w:hanging="418"/>
                                <w:jc w:val="left"/>
                                <w:rPr>
                                  <w:b/>
                                  <w:sz w:val="21"/>
                                </w:rPr>
                              </w:pPr>
                              <w:r>
                                <w:rPr>
                                  <w:b/>
                                  <w:color w:val="0F0F0F"/>
                                  <w:w w:val="105"/>
                                  <w:sz w:val="21"/>
                                </w:rPr>
                                <w:t>Investment</w:t>
                              </w:r>
                              <w:r>
                                <w:rPr>
                                  <w:b/>
                                  <w:color w:val="0F0F0F"/>
                                  <w:spacing w:val="-12"/>
                                  <w:w w:val="105"/>
                                  <w:sz w:val="21"/>
                                </w:rPr>
                                <w:t> </w:t>
                              </w:r>
                              <w:r>
                                <w:rPr>
                                  <w:b/>
                                  <w:color w:val="0F0F0F"/>
                                  <w:w w:val="105"/>
                                  <w:sz w:val="21"/>
                                </w:rPr>
                                <w:t>as</w:t>
                              </w:r>
                              <w:r>
                                <w:rPr>
                                  <w:b/>
                                  <w:color w:val="0F0F0F"/>
                                  <w:spacing w:val="-14"/>
                                  <w:w w:val="105"/>
                                  <w:sz w:val="21"/>
                                </w:rPr>
                                <w:t> </w:t>
                              </w:r>
                              <w:r>
                                <w:rPr>
                                  <w:b/>
                                  <w:color w:val="0F0F0F"/>
                                  <w:w w:val="105"/>
                                  <w:sz w:val="21"/>
                                </w:rPr>
                                <w:t>at</w:t>
                              </w:r>
                              <w:r>
                                <w:rPr>
                                  <w:b/>
                                  <w:color w:val="0F0F0F"/>
                                  <w:spacing w:val="-16"/>
                                  <w:w w:val="105"/>
                                  <w:sz w:val="21"/>
                                </w:rPr>
                                <w:t> </w:t>
                              </w:r>
                              <w:r>
                                <w:rPr>
                                  <w:b/>
                                  <w:color w:val="0F0F0F"/>
                                  <w:w w:val="105"/>
                                  <w:sz w:val="21"/>
                                </w:rPr>
                                <w:t>31 March 2023</w:t>
                              </w:r>
                            </w:p>
                          </w:txbxContent>
                        </wps:txbx>
                        <wps:bodyPr wrap="square" lIns="0" tIns="0" rIns="0" bIns="0" rtlCol="0">
                          <a:noAutofit/>
                        </wps:bodyPr>
                      </wps:wsp>
                      <wps:wsp>
                        <wps:cNvPr id="439" name="Textbox 439"/>
                        <wps:cNvSpPr txBox="1"/>
                        <wps:spPr>
                          <a:xfrm>
                            <a:off x="99200" y="858616"/>
                            <a:ext cx="1262380" cy="1022985"/>
                          </a:xfrm>
                          <a:prstGeom prst="rect">
                            <a:avLst/>
                          </a:prstGeom>
                        </wps:spPr>
                        <wps:txbx>
                          <w:txbxContent>
                            <w:p>
                              <w:pPr>
                                <w:spacing w:before="0" w:line="254" w:lineRule="auto"/>
                                <w:ind w:left="0" w:right="18" w:firstLine="0"/>
                                <w:jc w:val="both"/>
                                <w:rPr>
                                  <w:b/>
                                  <w:sz w:val="19"/>
                                </w:rPr>
                              </w:pPr>
                              <w:r>
                                <w:rPr>
                                  <w:b/>
                                  <w:color w:val="0F0F0F"/>
                                  <w:w w:val="105"/>
                                  <w:sz w:val="19"/>
                                </w:rPr>
                                <w:t>Higher</w:t>
                              </w:r>
                              <w:r>
                                <w:rPr>
                                  <w:b/>
                                  <w:color w:val="0F0F0F"/>
                                  <w:spacing w:val="-14"/>
                                  <w:w w:val="105"/>
                                  <w:sz w:val="19"/>
                                </w:rPr>
                                <w:t> </w:t>
                              </w:r>
                              <w:r>
                                <w:rPr>
                                  <w:b/>
                                  <w:color w:val="0F0F0F"/>
                                  <w:w w:val="105"/>
                                  <w:sz w:val="19"/>
                                </w:rPr>
                                <w:t>Quality</w:t>
                              </w:r>
                              <w:r>
                                <w:rPr>
                                  <w:b/>
                                  <w:color w:val="0F0F0F"/>
                                  <w:spacing w:val="-14"/>
                                  <w:w w:val="105"/>
                                  <w:sz w:val="19"/>
                                </w:rPr>
                                <w:t> </w:t>
                              </w:r>
                              <w:r>
                                <w:rPr>
                                  <w:b/>
                                  <w:color w:val="0F0F0F"/>
                                  <w:w w:val="105"/>
                                  <w:sz w:val="19"/>
                                </w:rPr>
                                <w:t>Rated Banks </w:t>
                              </w:r>
                              <w:r>
                                <w:rPr>
                                  <w:color w:val="0F0F0F"/>
                                  <w:w w:val="105"/>
                                  <w:sz w:val="19"/>
                                </w:rPr>
                                <w:t>-</w:t>
                              </w:r>
                              <w:r>
                                <w:rPr>
                                  <w:color w:val="0F0F0F"/>
                                  <w:spacing w:val="40"/>
                                  <w:w w:val="105"/>
                                  <w:sz w:val="19"/>
                                </w:rPr>
                                <w:t> </w:t>
                              </w:r>
                              <w:r>
                                <w:rPr>
                                  <w:b/>
                                  <w:color w:val="0F0F0F"/>
                                  <w:w w:val="105"/>
                                  <w:sz w:val="19"/>
                                </w:rPr>
                                <w:t>rating AAA, AA+, AA and AA-</w:t>
                              </w:r>
                            </w:p>
                            <w:p>
                              <w:pPr>
                                <w:spacing w:before="0" w:line="252" w:lineRule="auto"/>
                                <w:ind w:left="0" w:right="0" w:firstLine="0"/>
                                <w:jc w:val="left"/>
                                <w:rPr>
                                  <w:b/>
                                  <w:sz w:val="19"/>
                                </w:rPr>
                              </w:pPr>
                              <w:r>
                                <w:rPr>
                                  <w:b/>
                                  <w:color w:val="0F0F0F"/>
                                  <w:w w:val="105"/>
                                  <w:sz w:val="19"/>
                                </w:rPr>
                                <w:t>UK Medium Quality Rated Banks and Building</w:t>
                              </w:r>
                              <w:r>
                                <w:rPr>
                                  <w:b/>
                                  <w:color w:val="0F0F0F"/>
                                  <w:spacing w:val="-10"/>
                                  <w:w w:val="105"/>
                                  <w:sz w:val="19"/>
                                </w:rPr>
                                <w:t> </w:t>
                              </w:r>
                              <w:r>
                                <w:rPr>
                                  <w:b/>
                                  <w:color w:val="0F0F0F"/>
                                  <w:w w:val="105"/>
                                  <w:sz w:val="19"/>
                                </w:rPr>
                                <w:t>Societies</w:t>
                              </w:r>
                              <w:r>
                                <w:rPr>
                                  <w:b/>
                                  <w:color w:val="0F0F0F"/>
                                  <w:spacing w:val="32"/>
                                  <w:w w:val="105"/>
                                  <w:sz w:val="19"/>
                                </w:rPr>
                                <w:t> </w:t>
                              </w:r>
                              <w:r>
                                <w:rPr>
                                  <w:color w:val="0F0F0F"/>
                                  <w:w w:val="105"/>
                                  <w:sz w:val="19"/>
                                </w:rPr>
                                <w:t>- </w:t>
                              </w:r>
                              <w:r>
                                <w:rPr>
                                  <w:b/>
                                  <w:color w:val="0F0F0F"/>
                                  <w:w w:val="105"/>
                                  <w:sz w:val="19"/>
                                  <w:u w:val="thick" w:color="0F0F0F"/>
                                </w:rPr>
                                <w:t>rating</w:t>
                              </w:r>
                              <w:r>
                                <w:rPr>
                                  <w:b/>
                                  <w:color w:val="0F0F0F"/>
                                  <w:w w:val="105"/>
                                  <w:sz w:val="19"/>
                                  <w:u w:val="none"/>
                                </w:rPr>
                                <w:t> A+, A</w:t>
                              </w:r>
                            </w:p>
                          </w:txbxContent>
                        </wps:txbx>
                        <wps:bodyPr wrap="square" lIns="0" tIns="0" rIns="0" bIns="0" rtlCol="0">
                          <a:noAutofit/>
                        </wps:bodyPr>
                      </wps:wsp>
                      <wps:wsp>
                        <wps:cNvPr id="440" name="Textbox 440"/>
                        <wps:cNvSpPr txBox="1"/>
                        <wps:spPr>
                          <a:xfrm>
                            <a:off x="1700532" y="1005088"/>
                            <a:ext cx="327660" cy="135255"/>
                          </a:xfrm>
                          <a:prstGeom prst="rect">
                            <a:avLst/>
                          </a:prstGeom>
                        </wps:spPr>
                        <wps:txbx>
                          <w:txbxContent>
                            <w:p>
                              <w:pPr>
                                <w:spacing w:before="0" w:line="212" w:lineRule="exact"/>
                                <w:ind w:left="0" w:right="0" w:firstLine="0"/>
                                <w:jc w:val="left"/>
                                <w:rPr>
                                  <w:sz w:val="19"/>
                                </w:rPr>
                              </w:pPr>
                              <w:r>
                                <w:rPr>
                                  <w:color w:val="0F0F0F"/>
                                  <w:spacing w:val="-4"/>
                                  <w:w w:val="105"/>
                                  <w:sz w:val="19"/>
                                </w:rPr>
                                <w:t>£10m</w:t>
                              </w:r>
                            </w:p>
                          </w:txbxContent>
                        </wps:txbx>
                        <wps:bodyPr wrap="square" lIns="0" tIns="0" rIns="0" bIns="0" rtlCol="0">
                          <a:noAutofit/>
                        </wps:bodyPr>
                      </wps:wsp>
                      <wps:wsp>
                        <wps:cNvPr id="441" name="Textbox 441"/>
                        <wps:cNvSpPr txBox="1"/>
                        <wps:spPr>
                          <a:xfrm>
                            <a:off x="3075279" y="1054071"/>
                            <a:ext cx="74295" cy="262890"/>
                          </a:xfrm>
                          <a:prstGeom prst="rect">
                            <a:avLst/>
                          </a:prstGeom>
                        </wps:spPr>
                        <wps:txbx>
                          <w:txbxContent>
                            <w:p>
                              <w:pPr>
                                <w:spacing w:before="0" w:line="414" w:lineRule="exact"/>
                                <w:ind w:left="0" w:right="0" w:firstLine="0"/>
                                <w:jc w:val="left"/>
                                <w:rPr>
                                  <w:sz w:val="37"/>
                                </w:rPr>
                              </w:pPr>
                              <w:r>
                                <w:rPr>
                                  <w:color w:val="CFCFCF"/>
                                  <w:spacing w:val="-10"/>
                                  <w:sz w:val="37"/>
                                </w:rPr>
                                <w:t>I</w:t>
                              </w:r>
                            </w:p>
                          </w:txbxContent>
                        </wps:txbx>
                        <wps:bodyPr wrap="square" lIns="0" tIns="0" rIns="0" bIns="0" rtlCol="0">
                          <a:noAutofit/>
                        </wps:bodyPr>
                      </wps:wsp>
                      <wps:wsp>
                        <wps:cNvPr id="442" name="Textbox 442"/>
                        <wps:cNvSpPr txBox="1"/>
                        <wps:spPr>
                          <a:xfrm>
                            <a:off x="1700532" y="1529942"/>
                            <a:ext cx="259715" cy="135255"/>
                          </a:xfrm>
                          <a:prstGeom prst="rect">
                            <a:avLst/>
                          </a:prstGeom>
                        </wps:spPr>
                        <wps:txbx>
                          <w:txbxContent>
                            <w:p>
                              <w:pPr>
                                <w:spacing w:before="0" w:line="212" w:lineRule="exact"/>
                                <w:ind w:left="0" w:right="0" w:firstLine="0"/>
                                <w:jc w:val="left"/>
                                <w:rPr>
                                  <w:sz w:val="19"/>
                                </w:rPr>
                              </w:pPr>
                              <w:r>
                                <w:rPr>
                                  <w:color w:val="0F0F0F"/>
                                  <w:spacing w:val="-5"/>
                                  <w:w w:val="105"/>
                                  <w:sz w:val="19"/>
                                </w:rPr>
                                <w:t>£6m</w:t>
                              </w:r>
                            </w:p>
                          </w:txbxContent>
                        </wps:txbx>
                        <wps:bodyPr wrap="square" lIns="0" tIns="0" rIns="0" bIns="0" rtlCol="0">
                          <a:noAutofit/>
                        </wps:bodyPr>
                      </wps:wsp>
                      <wps:wsp>
                        <wps:cNvPr id="443" name="Textbox 443"/>
                        <wps:cNvSpPr txBox="1"/>
                        <wps:spPr>
                          <a:xfrm>
                            <a:off x="3169015" y="1459758"/>
                            <a:ext cx="875030" cy="281940"/>
                          </a:xfrm>
                          <a:prstGeom prst="rect">
                            <a:avLst/>
                          </a:prstGeom>
                        </wps:spPr>
                        <wps:txbx>
                          <w:txbxContent>
                            <w:p>
                              <w:pPr>
                                <w:spacing w:before="0" w:line="254" w:lineRule="auto"/>
                                <w:ind w:left="0" w:right="0" w:firstLine="5"/>
                                <w:jc w:val="left"/>
                                <w:rPr>
                                  <w:sz w:val="19"/>
                                </w:rPr>
                              </w:pPr>
                              <w:r>
                                <w:rPr>
                                  <w:color w:val="0F0F0F"/>
                                  <w:w w:val="105"/>
                                  <w:sz w:val="19"/>
                                </w:rPr>
                                <w:t>1 deposit not exceeding</w:t>
                              </w:r>
                              <w:r>
                                <w:rPr>
                                  <w:color w:val="0F0F0F"/>
                                  <w:spacing w:val="-14"/>
                                  <w:w w:val="105"/>
                                  <w:sz w:val="19"/>
                                </w:rPr>
                                <w:t> </w:t>
                              </w:r>
                              <w:r>
                                <w:rPr>
                                  <w:color w:val="0F0F0F"/>
                                  <w:w w:val="105"/>
                                  <w:sz w:val="19"/>
                                </w:rPr>
                                <w:t>£6m</w:t>
                              </w:r>
                            </w:p>
                          </w:txbxContent>
                        </wps:txbx>
                        <wps:bodyPr wrap="square" lIns="0" tIns="0" rIns="0" bIns="0" rtlCol="0">
                          <a:noAutofit/>
                        </wps:bodyPr>
                      </wps:wsp>
                      <wps:wsp>
                        <wps:cNvPr id="444" name="Textbox 444"/>
                        <wps:cNvSpPr txBox="1"/>
                        <wps:spPr>
                          <a:xfrm>
                            <a:off x="4638047" y="1386522"/>
                            <a:ext cx="1144270" cy="427990"/>
                          </a:xfrm>
                          <a:prstGeom prst="rect">
                            <a:avLst/>
                          </a:prstGeom>
                        </wps:spPr>
                        <wps:txbx>
                          <w:txbxContent>
                            <w:p>
                              <w:pPr>
                                <w:spacing w:before="0" w:line="254" w:lineRule="auto"/>
                                <w:ind w:left="3" w:right="18" w:hanging="4"/>
                                <w:jc w:val="left"/>
                                <w:rPr>
                                  <w:sz w:val="19"/>
                                </w:rPr>
                              </w:pPr>
                              <w:r>
                                <w:rPr>
                                  <w:color w:val="0F0F0F"/>
                                  <w:w w:val="105"/>
                                  <w:sz w:val="19"/>
                                </w:rPr>
                                <w:t>1 deposit not exceeding</w:t>
                              </w:r>
                              <w:r>
                                <w:rPr>
                                  <w:color w:val="0F0F0F"/>
                                  <w:spacing w:val="-14"/>
                                  <w:w w:val="105"/>
                                  <w:sz w:val="19"/>
                                </w:rPr>
                                <w:t> </w:t>
                              </w:r>
                              <w:r>
                                <w:rPr>
                                  <w:color w:val="0F0F0F"/>
                                  <w:w w:val="105"/>
                                  <w:sz w:val="19"/>
                                </w:rPr>
                                <w:t>Council's banker limit</w:t>
                              </w:r>
                            </w:p>
                          </w:txbxContent>
                        </wps:txbx>
                        <wps:bodyPr wrap="square" lIns="0" tIns="0" rIns="0" bIns="0" rtlCol="0">
                          <a:noAutofit/>
                        </wps:bodyPr>
                      </wps:wsp>
                      <wps:wsp>
                        <wps:cNvPr id="445" name="Textbox 445"/>
                        <wps:cNvSpPr txBox="1"/>
                        <wps:spPr>
                          <a:xfrm>
                            <a:off x="1700532" y="2054796"/>
                            <a:ext cx="262255" cy="135255"/>
                          </a:xfrm>
                          <a:prstGeom prst="rect">
                            <a:avLst/>
                          </a:prstGeom>
                        </wps:spPr>
                        <wps:txbx>
                          <w:txbxContent>
                            <w:p>
                              <w:pPr>
                                <w:spacing w:before="0" w:line="212" w:lineRule="exact"/>
                                <w:ind w:left="0" w:right="0" w:firstLine="0"/>
                                <w:jc w:val="left"/>
                                <w:rPr>
                                  <w:sz w:val="19"/>
                                </w:rPr>
                              </w:pPr>
                              <w:r>
                                <w:rPr>
                                  <w:color w:val="0F0F0F"/>
                                  <w:spacing w:val="-5"/>
                                  <w:w w:val="105"/>
                                  <w:sz w:val="19"/>
                                </w:rPr>
                                <w:t>£4m</w:t>
                              </w:r>
                            </w:p>
                          </w:txbxContent>
                        </wps:txbx>
                        <wps:bodyPr wrap="square" lIns="0" tIns="0" rIns="0" bIns="0" rtlCol="0">
                          <a:noAutofit/>
                        </wps:bodyPr>
                      </wps:wsp>
                      <wps:wsp>
                        <wps:cNvPr id="446" name="Textbox 446"/>
                        <wps:cNvSpPr txBox="1"/>
                        <wps:spPr>
                          <a:xfrm>
                            <a:off x="8967" y="2918365"/>
                            <a:ext cx="1954530" cy="721360"/>
                          </a:xfrm>
                          <a:prstGeom prst="rect">
                            <a:avLst/>
                          </a:prstGeom>
                        </wps:spPr>
                        <wps:txbx>
                          <w:txbxContent>
                            <w:p>
                              <w:pPr>
                                <w:spacing w:before="0" w:line="212" w:lineRule="exact"/>
                                <w:ind w:left="147" w:right="0" w:firstLine="0"/>
                                <w:jc w:val="left"/>
                                <w:rPr>
                                  <w:b/>
                                  <w:sz w:val="19"/>
                                </w:rPr>
                              </w:pPr>
                              <w:r>
                                <w:rPr>
                                  <w:b/>
                                  <w:color w:val="0F0F0F"/>
                                  <w:w w:val="105"/>
                                  <w:sz w:val="19"/>
                                </w:rPr>
                                <w:t>Part</w:t>
                              </w:r>
                              <w:r>
                                <w:rPr>
                                  <w:b/>
                                  <w:color w:val="0F0F0F"/>
                                  <w:spacing w:val="-14"/>
                                  <w:w w:val="105"/>
                                  <w:sz w:val="19"/>
                                </w:rPr>
                                <w:t> </w:t>
                              </w:r>
                              <w:r>
                                <w:rPr>
                                  <w:b/>
                                  <w:color w:val="0F0F0F"/>
                                  <w:w w:val="105"/>
                                  <w:sz w:val="19"/>
                                </w:rPr>
                                <w:t>nationalised</w:t>
                              </w:r>
                              <w:r>
                                <w:rPr>
                                  <w:b/>
                                  <w:color w:val="0F0F0F"/>
                                  <w:spacing w:val="3"/>
                                  <w:w w:val="105"/>
                                  <w:sz w:val="19"/>
                                </w:rPr>
                                <w:t> </w:t>
                              </w:r>
                              <w:r>
                                <w:rPr>
                                  <w:b/>
                                  <w:color w:val="0F0F0F"/>
                                  <w:spacing w:val="-2"/>
                                  <w:w w:val="105"/>
                                  <w:sz w:val="19"/>
                                </w:rPr>
                                <w:t>banks</w:t>
                              </w:r>
                            </w:p>
                            <w:p>
                              <w:pPr>
                                <w:spacing w:before="107" w:line="208" w:lineRule="auto"/>
                                <w:ind w:left="145" w:right="1327" w:hanging="146"/>
                                <w:jc w:val="left"/>
                                <w:rPr>
                                  <w:b/>
                                  <w:sz w:val="19"/>
                                </w:rPr>
                              </w:pPr>
                              <w:r>
                                <w:rPr>
                                  <w:color w:val="C1C1C1"/>
                                  <w:sz w:val="39"/>
                                </w:rPr>
                                <w:t>I</w:t>
                              </w:r>
                              <w:r>
                                <w:rPr>
                                  <w:color w:val="C1C1C1"/>
                                  <w:spacing w:val="-30"/>
                                  <w:sz w:val="39"/>
                                </w:rPr>
                                <w:t> </w:t>
                              </w:r>
                              <w:r>
                                <w:rPr>
                                  <w:b/>
                                  <w:color w:val="0F0F0F"/>
                                  <w:sz w:val="19"/>
                                </w:rPr>
                                <w:t>Unrated</w:t>
                              </w:r>
                              <w:r>
                                <w:rPr>
                                  <w:b/>
                                  <w:color w:val="0F0F0F"/>
                                  <w:spacing w:val="-6"/>
                                  <w:sz w:val="19"/>
                                </w:rPr>
                                <w:t> </w:t>
                              </w:r>
                              <w:r>
                                <w:rPr>
                                  <w:b/>
                                  <w:color w:val="0F0F0F"/>
                                  <w:sz w:val="19"/>
                                </w:rPr>
                                <w:t>Building Societies or</w:t>
                              </w:r>
                            </w:p>
                            <w:p>
                              <w:pPr>
                                <w:tabs>
                                  <w:tab w:val="left" w:leader="none" w:pos="2668"/>
                                </w:tabs>
                                <w:spacing w:before="17"/>
                                <w:ind w:left="21" w:right="0" w:firstLine="0"/>
                                <w:jc w:val="left"/>
                                <w:rPr>
                                  <w:sz w:val="19"/>
                                </w:rPr>
                              </w:pPr>
                              <w:r>
                                <w:rPr>
                                  <w:color w:val="AFAFAF"/>
                                  <w:sz w:val="19"/>
                                  <w:vertAlign w:val="superscript"/>
                                </w:rPr>
                                <w:t>1</w:t>
                              </w:r>
                              <w:r>
                                <w:rPr>
                                  <w:color w:val="AFAFAF"/>
                                  <w:spacing w:val="35"/>
                                  <w:sz w:val="19"/>
                                  <w:vertAlign w:val="baseline"/>
                                </w:rPr>
                                <w:t> </w:t>
                              </w:r>
                              <w:r>
                                <w:rPr>
                                  <w:b/>
                                  <w:color w:val="0F0F0F"/>
                                  <w:sz w:val="19"/>
                                  <w:vertAlign w:val="baseline"/>
                                </w:rPr>
                                <w:t>with</w:t>
                              </w:r>
                              <w:r>
                                <w:rPr>
                                  <w:b/>
                                  <w:color w:val="0F0F0F"/>
                                  <w:spacing w:val="12"/>
                                  <w:sz w:val="19"/>
                                  <w:vertAlign w:val="baseline"/>
                                </w:rPr>
                                <w:t> </w:t>
                              </w:r>
                              <w:r>
                                <w:rPr>
                                  <w:b/>
                                  <w:color w:val="0F0F0F"/>
                                  <w:sz w:val="19"/>
                                  <w:vertAlign w:val="baseline"/>
                                </w:rPr>
                                <w:t>rating</w:t>
                              </w:r>
                              <w:r>
                                <w:rPr>
                                  <w:b/>
                                  <w:color w:val="0F0F0F"/>
                                  <w:spacing w:val="15"/>
                                  <w:sz w:val="19"/>
                                  <w:vertAlign w:val="baseline"/>
                                </w:rPr>
                                <w:t> </w:t>
                              </w:r>
                              <w:r>
                                <w:rPr>
                                  <w:b/>
                                  <w:color w:val="0F0F0F"/>
                                  <w:sz w:val="19"/>
                                  <w:vertAlign w:val="baseline"/>
                                </w:rPr>
                                <w:t>below</w:t>
                              </w:r>
                              <w:r>
                                <w:rPr>
                                  <w:b/>
                                  <w:color w:val="0F0F0F"/>
                                  <w:spacing w:val="15"/>
                                  <w:sz w:val="19"/>
                                  <w:vertAlign w:val="baseline"/>
                                </w:rPr>
                                <w:t> </w:t>
                              </w:r>
                              <w:r>
                                <w:rPr>
                                  <w:b/>
                                  <w:color w:val="0F0F0F"/>
                                  <w:sz w:val="19"/>
                                  <w:vertAlign w:val="baseline"/>
                                </w:rPr>
                                <w:t>A</w:t>
                              </w:r>
                              <w:r>
                                <w:rPr>
                                  <w:b/>
                                  <w:color w:val="0F0F0F"/>
                                  <w:spacing w:val="7"/>
                                  <w:sz w:val="19"/>
                                  <w:vertAlign w:val="baseline"/>
                                </w:rPr>
                                <w:t> </w:t>
                              </w:r>
                              <w:r>
                                <w:rPr>
                                  <w:color w:val="0F0F0F"/>
                                  <w:spacing w:val="-10"/>
                                  <w:sz w:val="19"/>
                                  <w:vertAlign w:val="baseline"/>
                                </w:rPr>
                                <w:t>-</w:t>
                              </w:r>
                              <w:r>
                                <w:rPr>
                                  <w:color w:val="0F0F0F"/>
                                  <w:sz w:val="19"/>
                                  <w:vertAlign w:val="baseline"/>
                                </w:rPr>
                                <w:tab/>
                              </w:r>
                              <w:r>
                                <w:rPr>
                                  <w:color w:val="0F0F0F"/>
                                  <w:spacing w:val="-5"/>
                                  <w:sz w:val="19"/>
                                  <w:vertAlign w:val="baseline"/>
                                </w:rPr>
                                <w:t>£3m</w:t>
                              </w:r>
                            </w:p>
                          </w:txbxContent>
                        </wps:txbx>
                        <wps:bodyPr wrap="square" lIns="0" tIns="0" rIns="0" bIns="0" rtlCol="0">
                          <a:noAutofit/>
                        </wps:bodyPr>
                      </wps:wsp>
                      <wps:wsp>
                        <wps:cNvPr id="447" name="Textbox 447"/>
                        <wps:cNvSpPr txBox="1"/>
                        <wps:spPr>
                          <a:xfrm>
                            <a:off x="0" y="3639796"/>
                            <a:ext cx="64769" cy="348615"/>
                          </a:xfrm>
                          <a:prstGeom prst="rect">
                            <a:avLst/>
                          </a:prstGeom>
                        </wps:spPr>
                        <wps:txbx>
                          <w:txbxContent>
                            <w:p>
                              <w:pPr>
                                <w:spacing w:before="0" w:line="548" w:lineRule="exact"/>
                                <w:ind w:left="0" w:right="0" w:firstLine="0"/>
                                <w:jc w:val="left"/>
                                <w:rPr>
                                  <w:sz w:val="49"/>
                                </w:rPr>
                              </w:pPr>
                              <w:r>
                                <w:rPr>
                                  <w:color w:val="C1C1C1"/>
                                  <w:spacing w:val="-10"/>
                                  <w:w w:val="70"/>
                                  <w:sz w:val="49"/>
                                </w:rPr>
                                <w:t>I</w:t>
                              </w:r>
                            </w:p>
                          </w:txbxContent>
                        </wps:txbx>
                        <wps:bodyPr wrap="square" lIns="0" tIns="0" rIns="0" bIns="0" rtlCol="0">
                          <a:noAutofit/>
                        </wps:bodyPr>
                      </wps:wsp>
                      <wps:wsp>
                        <wps:cNvPr id="448" name="Textbox 448"/>
                        <wps:cNvSpPr txBox="1"/>
                        <wps:spPr>
                          <a:xfrm>
                            <a:off x="100867" y="3647667"/>
                            <a:ext cx="887730" cy="281940"/>
                          </a:xfrm>
                          <a:prstGeom prst="rect">
                            <a:avLst/>
                          </a:prstGeom>
                        </wps:spPr>
                        <wps:txbx>
                          <w:txbxContent>
                            <w:p>
                              <w:pPr>
                                <w:spacing w:before="0" w:line="254" w:lineRule="auto"/>
                                <w:ind w:left="5" w:right="18" w:hanging="6"/>
                                <w:jc w:val="left"/>
                                <w:rPr>
                                  <w:b/>
                                  <w:sz w:val="19"/>
                                </w:rPr>
                              </w:pPr>
                              <w:r>
                                <w:rPr>
                                  <w:b/>
                                  <w:color w:val="0F0F0F"/>
                                  <w:w w:val="105"/>
                                  <w:sz w:val="19"/>
                                </w:rPr>
                                <w:t>min</w:t>
                              </w:r>
                              <w:r>
                                <w:rPr>
                                  <w:b/>
                                  <w:color w:val="0F0F0F"/>
                                  <w:spacing w:val="-14"/>
                                  <w:w w:val="105"/>
                                  <w:sz w:val="19"/>
                                </w:rPr>
                                <w:t> </w:t>
                              </w:r>
                              <w:r>
                                <w:rPr>
                                  <w:b/>
                                  <w:color w:val="0F0F0F"/>
                                  <w:w w:val="105"/>
                                  <w:sz w:val="19"/>
                                </w:rPr>
                                <w:t>£38</w:t>
                              </w:r>
                              <w:r>
                                <w:rPr>
                                  <w:b/>
                                  <w:color w:val="0F0F0F"/>
                                  <w:spacing w:val="13"/>
                                  <w:w w:val="105"/>
                                  <w:sz w:val="19"/>
                                </w:rPr>
                                <w:t> </w:t>
                              </w:r>
                              <w:r>
                                <w:rPr>
                                  <w:b/>
                                  <w:color w:val="0F0F0F"/>
                                  <w:w w:val="105"/>
                                  <w:sz w:val="19"/>
                                </w:rPr>
                                <w:t>Asset </w:t>
                              </w:r>
                              <w:r>
                                <w:rPr>
                                  <w:b/>
                                  <w:color w:val="0F0F0F"/>
                                  <w:spacing w:val="-4"/>
                                  <w:w w:val="105"/>
                                  <w:sz w:val="19"/>
                                </w:rPr>
                                <w:t>Size</w:t>
                              </w:r>
                            </w:p>
                          </w:txbxContent>
                        </wps:txbx>
                        <wps:bodyPr wrap="square" lIns="0" tIns="0" rIns="0" bIns="0" rtlCol="0">
                          <a:noAutofit/>
                        </wps:bodyPr>
                      </wps:wsp>
                      <wps:wsp>
                        <wps:cNvPr id="449" name="Textbox 449"/>
                        <wps:cNvSpPr txBox="1"/>
                        <wps:spPr>
                          <a:xfrm>
                            <a:off x="7784" y="4013845"/>
                            <a:ext cx="1415415" cy="706120"/>
                          </a:xfrm>
                          <a:prstGeom prst="rect">
                            <a:avLst/>
                          </a:prstGeom>
                        </wps:spPr>
                        <wps:txbx>
                          <w:txbxContent>
                            <w:p>
                              <w:pPr>
                                <w:spacing w:before="0" w:line="212" w:lineRule="exact"/>
                                <w:ind w:left="149" w:right="0" w:firstLine="0"/>
                                <w:jc w:val="left"/>
                                <w:rPr>
                                  <w:sz w:val="19"/>
                                </w:rPr>
                              </w:pPr>
                              <w:r>
                                <w:rPr>
                                  <w:b/>
                                  <w:color w:val="0F0F0F"/>
                                  <w:w w:val="105"/>
                                  <w:sz w:val="19"/>
                                </w:rPr>
                                <w:t>Barclays</w:t>
                              </w:r>
                              <w:r>
                                <w:rPr>
                                  <w:b/>
                                  <w:color w:val="0F0F0F"/>
                                  <w:spacing w:val="-4"/>
                                  <w:w w:val="105"/>
                                  <w:sz w:val="19"/>
                                </w:rPr>
                                <w:t> </w:t>
                              </w:r>
                              <w:r>
                                <w:rPr>
                                  <w:b/>
                                  <w:color w:val="0F0F0F"/>
                                  <w:w w:val="105"/>
                                  <w:sz w:val="19"/>
                                </w:rPr>
                                <w:t>Bank</w:t>
                              </w:r>
                              <w:r>
                                <w:rPr>
                                  <w:b/>
                                  <w:color w:val="0F0F0F"/>
                                  <w:spacing w:val="-14"/>
                                  <w:w w:val="105"/>
                                  <w:sz w:val="19"/>
                                </w:rPr>
                                <w:t> </w:t>
                              </w:r>
                              <w:r>
                                <w:rPr>
                                  <w:color w:val="0F0F0F"/>
                                  <w:spacing w:val="-10"/>
                                  <w:w w:val="105"/>
                                  <w:sz w:val="19"/>
                                </w:rPr>
                                <w:t>-</w:t>
                              </w:r>
                            </w:p>
                            <w:p>
                              <w:pPr>
                                <w:spacing w:before="17"/>
                                <w:ind w:left="154" w:right="0" w:firstLine="0"/>
                                <w:jc w:val="left"/>
                                <w:rPr>
                                  <w:b/>
                                  <w:sz w:val="19"/>
                                </w:rPr>
                              </w:pPr>
                              <w:r>
                                <w:rPr>
                                  <w:b/>
                                  <w:color w:val="0F0F0F"/>
                                  <w:w w:val="105"/>
                                  <w:sz w:val="19"/>
                                </w:rPr>
                                <w:t>Council's</w:t>
                              </w:r>
                              <w:r>
                                <w:rPr>
                                  <w:b/>
                                  <w:color w:val="0F0F0F"/>
                                  <w:spacing w:val="-8"/>
                                  <w:w w:val="105"/>
                                  <w:sz w:val="19"/>
                                </w:rPr>
                                <w:t> </w:t>
                              </w:r>
                              <w:r>
                                <w:rPr>
                                  <w:b/>
                                  <w:color w:val="0F0F0F"/>
                                  <w:spacing w:val="-2"/>
                                  <w:w w:val="105"/>
                                  <w:sz w:val="19"/>
                                </w:rPr>
                                <w:t>banker</w:t>
                              </w:r>
                            </w:p>
                            <w:p>
                              <w:pPr>
                                <w:spacing w:before="7" w:line="454" w:lineRule="exact"/>
                                <w:ind w:left="0" w:right="0" w:firstLine="0"/>
                                <w:jc w:val="left"/>
                                <w:rPr>
                                  <w:sz w:val="19"/>
                                </w:rPr>
                              </w:pPr>
                              <w:r>
                                <w:rPr>
                                  <w:color w:val="C1C1C1"/>
                                  <w:sz w:val="41"/>
                                </w:rPr>
                                <w:t>I</w:t>
                              </w:r>
                              <w:r>
                                <w:rPr>
                                  <w:color w:val="C1C1C1"/>
                                  <w:spacing w:val="-37"/>
                                  <w:sz w:val="41"/>
                                </w:rPr>
                                <w:t> </w:t>
                              </w:r>
                              <w:r>
                                <w:rPr>
                                  <w:b/>
                                  <w:color w:val="0F0F0F"/>
                                  <w:sz w:val="19"/>
                                </w:rPr>
                                <w:t>Money</w:t>
                              </w:r>
                              <w:r>
                                <w:rPr>
                                  <w:b/>
                                  <w:color w:val="0F0F0F"/>
                                  <w:spacing w:val="12"/>
                                  <w:sz w:val="19"/>
                                </w:rPr>
                                <w:t> </w:t>
                              </w:r>
                              <w:r>
                                <w:rPr>
                                  <w:b/>
                                  <w:color w:val="0F0F0F"/>
                                  <w:sz w:val="19"/>
                                </w:rPr>
                                <w:t>market</w:t>
                              </w:r>
                              <w:r>
                                <w:rPr>
                                  <w:b/>
                                  <w:color w:val="0F0F0F"/>
                                  <w:spacing w:val="17"/>
                                  <w:sz w:val="19"/>
                                </w:rPr>
                                <w:t> </w:t>
                              </w:r>
                              <w:r>
                                <w:rPr>
                                  <w:b/>
                                  <w:color w:val="0F0F0F"/>
                                  <w:sz w:val="19"/>
                                </w:rPr>
                                <w:t>funds</w:t>
                              </w:r>
                              <w:r>
                                <w:rPr>
                                  <w:b/>
                                  <w:color w:val="0F0F0F"/>
                                  <w:spacing w:val="10"/>
                                  <w:sz w:val="19"/>
                                </w:rPr>
                                <w:t> </w:t>
                              </w:r>
                              <w:r>
                                <w:rPr>
                                  <w:color w:val="0F0F0F"/>
                                  <w:spacing w:val="-10"/>
                                  <w:sz w:val="19"/>
                                </w:rPr>
                                <w:t>-</w:t>
                              </w:r>
                            </w:p>
                            <w:p>
                              <w:pPr>
                                <w:spacing w:before="0" w:line="201" w:lineRule="exact"/>
                                <w:ind w:left="153" w:right="0" w:firstLine="0"/>
                                <w:jc w:val="left"/>
                                <w:rPr>
                                  <w:b/>
                                  <w:sz w:val="19"/>
                                </w:rPr>
                              </w:pPr>
                              <w:r>
                                <w:rPr>
                                  <w:b/>
                                  <w:color w:val="0F0F0F"/>
                                  <w:spacing w:val="-5"/>
                                  <w:sz w:val="19"/>
                                </w:rPr>
                                <w:t>AAA</w:t>
                              </w:r>
                            </w:p>
                          </w:txbxContent>
                        </wps:txbx>
                        <wps:bodyPr wrap="square" lIns="0" tIns="0" rIns="0" bIns="0" rtlCol="0">
                          <a:noAutofit/>
                        </wps:bodyPr>
                      </wps:wsp>
                      <wps:wsp>
                        <wps:cNvPr id="450" name="Textbox 450"/>
                        <wps:cNvSpPr txBox="1"/>
                        <wps:spPr>
                          <a:xfrm>
                            <a:off x="1700532" y="4087079"/>
                            <a:ext cx="261620" cy="135255"/>
                          </a:xfrm>
                          <a:prstGeom prst="rect">
                            <a:avLst/>
                          </a:prstGeom>
                        </wps:spPr>
                        <wps:txbx>
                          <w:txbxContent>
                            <w:p>
                              <w:pPr>
                                <w:spacing w:before="0" w:line="212" w:lineRule="exact"/>
                                <w:ind w:left="0" w:right="0" w:firstLine="0"/>
                                <w:jc w:val="left"/>
                                <w:rPr>
                                  <w:sz w:val="19"/>
                                </w:rPr>
                              </w:pPr>
                              <w:r>
                                <w:rPr>
                                  <w:color w:val="0F0F0F"/>
                                  <w:spacing w:val="-5"/>
                                  <w:sz w:val="19"/>
                                </w:rPr>
                                <w:t>£Sm</w:t>
                              </w:r>
                            </w:p>
                          </w:txbxContent>
                        </wps:txbx>
                        <wps:bodyPr wrap="square" lIns="0" tIns="0" rIns="0" bIns="0" rtlCol="0">
                          <a:noAutofit/>
                        </wps:bodyPr>
                      </wps:wsp>
                      <wps:wsp>
                        <wps:cNvPr id="451" name="Textbox 451"/>
                        <wps:cNvSpPr txBox="1"/>
                        <wps:spPr>
                          <a:xfrm>
                            <a:off x="3074287" y="4048694"/>
                            <a:ext cx="64769" cy="348615"/>
                          </a:xfrm>
                          <a:prstGeom prst="rect">
                            <a:avLst/>
                          </a:prstGeom>
                        </wps:spPr>
                        <wps:txbx>
                          <w:txbxContent>
                            <w:p>
                              <w:pPr>
                                <w:spacing w:before="0" w:line="548" w:lineRule="exact"/>
                                <w:ind w:left="0" w:right="0" w:firstLine="0"/>
                                <w:jc w:val="left"/>
                                <w:rPr>
                                  <w:sz w:val="49"/>
                                </w:rPr>
                              </w:pPr>
                              <w:r>
                                <w:rPr>
                                  <w:color w:val="CFCFCF"/>
                                  <w:spacing w:val="-10"/>
                                  <w:w w:val="70"/>
                                  <w:sz w:val="49"/>
                                </w:rPr>
                                <w:t>I</w:t>
                              </w:r>
                            </w:p>
                          </w:txbxContent>
                        </wps:txbx>
                        <wps:bodyPr wrap="square" lIns="0" tIns="0" rIns="0" bIns="0" rtlCol="0">
                          <a:noAutofit/>
                        </wps:bodyPr>
                      </wps:wsp>
                      <wps:wsp>
                        <wps:cNvPr id="452" name="Textbox 452"/>
                        <wps:cNvSpPr txBox="1"/>
                        <wps:spPr>
                          <a:xfrm>
                            <a:off x="4564815" y="4222388"/>
                            <a:ext cx="53975" cy="156845"/>
                          </a:xfrm>
                          <a:prstGeom prst="rect">
                            <a:avLst/>
                          </a:prstGeom>
                        </wps:spPr>
                        <wps:txbx>
                          <w:txbxContent>
                            <w:p>
                              <w:pPr>
                                <w:spacing w:before="0" w:line="246" w:lineRule="exact"/>
                                <w:ind w:left="0" w:right="0" w:firstLine="0"/>
                                <w:jc w:val="left"/>
                                <w:rPr>
                                  <w:sz w:val="22"/>
                                </w:rPr>
                              </w:pPr>
                              <w:r>
                                <w:rPr>
                                  <w:color w:val="AFAFAF"/>
                                  <w:spacing w:val="-10"/>
                                  <w:w w:val="105"/>
                                  <w:sz w:val="22"/>
                                </w:rPr>
                                <w:t>I</w:t>
                              </w:r>
                            </w:p>
                          </w:txbxContent>
                        </wps:txbx>
                        <wps:bodyPr wrap="square" lIns="0" tIns="0" rIns="0" bIns="0" rtlCol="0">
                          <a:noAutofit/>
                        </wps:bodyPr>
                      </wps:wsp>
                      <wps:wsp>
                        <wps:cNvPr id="453" name="Textbox 453"/>
                        <wps:cNvSpPr txBox="1"/>
                        <wps:spPr>
                          <a:xfrm>
                            <a:off x="102590" y="4862155"/>
                            <a:ext cx="1223010" cy="791210"/>
                          </a:xfrm>
                          <a:prstGeom prst="rect">
                            <a:avLst/>
                          </a:prstGeom>
                        </wps:spPr>
                        <wps:txbx>
                          <w:txbxContent>
                            <w:p>
                              <w:pPr>
                                <w:spacing w:before="0" w:line="254" w:lineRule="auto"/>
                                <w:ind w:left="2" w:right="0" w:firstLine="2"/>
                                <w:jc w:val="left"/>
                                <w:rPr>
                                  <w:b/>
                                  <w:sz w:val="19"/>
                                </w:rPr>
                              </w:pPr>
                              <w:r>
                                <w:rPr>
                                  <w:b/>
                                  <w:color w:val="0F0F0F"/>
                                  <w:w w:val="105"/>
                                  <w:sz w:val="19"/>
                                </w:rPr>
                                <w:t>Enhanced Money market</w:t>
                              </w:r>
                              <w:r>
                                <w:rPr>
                                  <w:b/>
                                  <w:color w:val="0F0F0F"/>
                                  <w:spacing w:val="-12"/>
                                  <w:w w:val="105"/>
                                  <w:sz w:val="19"/>
                                </w:rPr>
                                <w:t> </w:t>
                              </w:r>
                              <w:r>
                                <w:rPr>
                                  <w:b/>
                                  <w:color w:val="0F0F0F"/>
                                  <w:w w:val="105"/>
                                  <w:sz w:val="19"/>
                                </w:rPr>
                                <w:t>funds</w:t>
                              </w:r>
                              <w:r>
                                <w:rPr>
                                  <w:b/>
                                  <w:color w:val="0F0F0F"/>
                                  <w:spacing w:val="-12"/>
                                  <w:w w:val="105"/>
                                  <w:sz w:val="19"/>
                                </w:rPr>
                                <w:t> </w:t>
                              </w:r>
                              <w:r>
                                <w:rPr>
                                  <w:color w:val="0F0F0F"/>
                                  <w:w w:val="105"/>
                                  <w:sz w:val="19"/>
                                </w:rPr>
                                <w:t>-</w:t>
                              </w:r>
                              <w:r>
                                <w:rPr>
                                  <w:color w:val="0F0F0F"/>
                                  <w:spacing w:val="26"/>
                                  <w:w w:val="105"/>
                                  <w:sz w:val="19"/>
                                </w:rPr>
                                <w:t> </w:t>
                              </w:r>
                              <w:r>
                                <w:rPr>
                                  <w:b/>
                                  <w:color w:val="0F0F0F"/>
                                  <w:w w:val="105"/>
                                  <w:sz w:val="19"/>
                                </w:rPr>
                                <w:t>AAA</w:t>
                              </w:r>
                            </w:p>
                            <w:p>
                              <w:pPr>
                                <w:spacing w:before="87" w:line="254" w:lineRule="auto"/>
                                <w:ind w:left="4" w:right="202" w:hanging="5"/>
                                <w:jc w:val="left"/>
                                <w:rPr>
                                  <w:b/>
                                  <w:sz w:val="19"/>
                                </w:rPr>
                              </w:pPr>
                              <w:r>
                                <w:rPr>
                                  <w:b/>
                                  <w:color w:val="0F0F0F"/>
                                  <w:w w:val="105"/>
                                  <w:sz w:val="19"/>
                                </w:rPr>
                                <w:t>Debt</w:t>
                              </w:r>
                              <w:r>
                                <w:rPr>
                                  <w:b/>
                                  <w:color w:val="0F0F0F"/>
                                  <w:spacing w:val="-14"/>
                                  <w:w w:val="105"/>
                                  <w:sz w:val="19"/>
                                </w:rPr>
                                <w:t> </w:t>
                              </w:r>
                              <w:r>
                                <w:rPr>
                                  <w:b/>
                                  <w:color w:val="0F0F0F"/>
                                  <w:w w:val="105"/>
                                  <w:sz w:val="19"/>
                                </w:rPr>
                                <w:t>Management Account Deposit </w:t>
                              </w:r>
                              <w:r>
                                <w:rPr>
                                  <w:b/>
                                  <w:color w:val="0F0F0F"/>
                                  <w:spacing w:val="-2"/>
                                  <w:w w:val="105"/>
                                  <w:sz w:val="19"/>
                                </w:rPr>
                                <w:t>Facility</w:t>
                              </w:r>
                            </w:p>
                          </w:txbxContent>
                        </wps:txbx>
                        <wps:bodyPr wrap="square" lIns="0" tIns="0" rIns="0" bIns="0" rtlCol="0">
                          <a:noAutofit/>
                        </wps:bodyPr>
                      </wps:wsp>
                      <wps:wsp>
                        <wps:cNvPr id="454" name="Textbox 454"/>
                        <wps:cNvSpPr txBox="1"/>
                        <wps:spPr>
                          <a:xfrm>
                            <a:off x="1701593" y="5371752"/>
                            <a:ext cx="536575" cy="135255"/>
                          </a:xfrm>
                          <a:prstGeom prst="rect">
                            <a:avLst/>
                          </a:prstGeom>
                        </wps:spPr>
                        <wps:txbx>
                          <w:txbxContent>
                            <w:p>
                              <w:pPr>
                                <w:spacing w:before="0" w:line="212" w:lineRule="exact"/>
                                <w:ind w:left="0" w:right="0" w:firstLine="0"/>
                                <w:jc w:val="left"/>
                                <w:rPr>
                                  <w:sz w:val="19"/>
                                </w:rPr>
                              </w:pPr>
                              <w:r>
                                <w:rPr>
                                  <w:color w:val="0F0F0F"/>
                                  <w:spacing w:val="-2"/>
                                  <w:w w:val="105"/>
                                  <w:sz w:val="19"/>
                                </w:rPr>
                                <w:t>Unlimited</w:t>
                              </w:r>
                            </w:p>
                          </w:txbxContent>
                        </wps:txbx>
                        <wps:bodyPr wrap="square" lIns="0" tIns="0" rIns="0" bIns="0" rtlCol="0">
                          <a:noAutofit/>
                        </wps:bodyPr>
                      </wps:wsp>
                      <wps:wsp>
                        <wps:cNvPr id="455" name="Textbox 455"/>
                        <wps:cNvSpPr txBox="1"/>
                        <wps:spPr>
                          <a:xfrm>
                            <a:off x="4548844" y="5360828"/>
                            <a:ext cx="64769" cy="348615"/>
                          </a:xfrm>
                          <a:prstGeom prst="rect">
                            <a:avLst/>
                          </a:prstGeom>
                        </wps:spPr>
                        <wps:txbx>
                          <w:txbxContent>
                            <w:p>
                              <w:pPr>
                                <w:spacing w:before="0" w:line="548" w:lineRule="exact"/>
                                <w:ind w:left="0" w:right="0" w:firstLine="0"/>
                                <w:jc w:val="left"/>
                                <w:rPr>
                                  <w:sz w:val="49"/>
                                </w:rPr>
                              </w:pPr>
                              <w:r>
                                <w:rPr>
                                  <w:color w:val="C1C1C1"/>
                                  <w:spacing w:val="-10"/>
                                  <w:w w:val="70"/>
                                  <w:sz w:val="49"/>
                                </w:rPr>
                                <w:t>I</w:t>
                              </w:r>
                            </w:p>
                          </w:txbxContent>
                        </wps:txbx>
                        <wps:bodyPr wrap="square" lIns="0" tIns="0" rIns="0" bIns="0" rtlCol="0">
                          <a:noAutofit/>
                        </wps:bodyPr>
                      </wps:wsp>
                      <wps:wsp>
                        <wps:cNvPr id="456" name="Textbox 456"/>
                        <wps:cNvSpPr txBox="1"/>
                        <wps:spPr>
                          <a:xfrm>
                            <a:off x="4557126" y="4763971"/>
                            <a:ext cx="65405" cy="461009"/>
                          </a:xfrm>
                          <a:prstGeom prst="rect">
                            <a:avLst/>
                          </a:prstGeom>
                        </wps:spPr>
                        <wps:txbx>
                          <w:txbxContent>
                            <w:p>
                              <w:pPr>
                                <w:spacing w:before="0" w:line="391" w:lineRule="exact"/>
                                <w:ind w:left="0" w:right="0" w:firstLine="0"/>
                                <w:jc w:val="left"/>
                                <w:rPr>
                                  <w:sz w:val="35"/>
                                </w:rPr>
                              </w:pPr>
                              <w:r>
                                <w:rPr>
                                  <w:color w:val="C1C1C1"/>
                                  <w:spacing w:val="-10"/>
                                  <w:w w:val="95"/>
                                  <w:sz w:val="35"/>
                                </w:rPr>
                                <w:t>I</w:t>
                              </w:r>
                            </w:p>
                            <w:p>
                              <w:pPr>
                                <w:spacing w:before="47"/>
                                <w:ind w:left="9" w:right="0" w:firstLine="0"/>
                                <w:jc w:val="left"/>
                                <w:rPr>
                                  <w:sz w:val="25"/>
                                </w:rPr>
                              </w:pPr>
                              <w:r>
                                <w:rPr>
                                  <w:color w:val="C1C1C1"/>
                                  <w:spacing w:val="-10"/>
                                  <w:w w:val="105"/>
                                  <w:sz w:val="25"/>
                                </w:rPr>
                                <w:t>I</w:t>
                              </w:r>
                            </w:p>
                          </w:txbxContent>
                        </wps:txbx>
                        <wps:bodyPr wrap="square" lIns="0" tIns="0" rIns="0" bIns="0" rtlCol="0">
                          <a:noAutofit/>
                        </wps:bodyPr>
                      </wps:wsp>
                      <wps:wsp>
                        <wps:cNvPr id="457" name="Textbox 457"/>
                        <wps:cNvSpPr txBox="1"/>
                        <wps:spPr>
                          <a:xfrm>
                            <a:off x="3083254" y="4789775"/>
                            <a:ext cx="74930" cy="446405"/>
                          </a:xfrm>
                          <a:prstGeom prst="rect">
                            <a:avLst/>
                          </a:prstGeom>
                        </wps:spPr>
                        <wps:txbx>
                          <w:txbxContent>
                            <w:p>
                              <w:pPr>
                                <w:spacing w:before="0" w:line="379" w:lineRule="exact"/>
                                <w:ind w:left="0" w:right="0" w:firstLine="0"/>
                                <w:jc w:val="left"/>
                                <w:rPr>
                                  <w:sz w:val="39"/>
                                </w:rPr>
                              </w:pPr>
                              <w:r>
                                <w:rPr>
                                  <w:color w:val="CFCFCF"/>
                                  <w:spacing w:val="-10"/>
                                  <w:w w:val="75"/>
                                  <w:sz w:val="39"/>
                                </w:rPr>
                                <w:t>I</w:t>
                              </w:r>
                            </w:p>
                            <w:p>
                              <w:pPr>
                                <w:spacing w:before="0" w:line="323" w:lineRule="exact"/>
                                <w:ind w:left="0" w:right="0" w:firstLine="0"/>
                                <w:jc w:val="left"/>
                                <w:rPr>
                                  <w:sz w:val="33"/>
                                </w:rPr>
                              </w:pPr>
                              <w:r>
                                <w:rPr>
                                  <w:color w:val="CFCFCF"/>
                                  <w:spacing w:val="-10"/>
                                  <w:w w:val="105"/>
                                  <w:sz w:val="33"/>
                                </w:rPr>
                                <w:t>I</w:t>
                              </w:r>
                            </w:p>
                          </w:txbxContent>
                        </wps:txbx>
                        <wps:bodyPr wrap="square" lIns="0" tIns="0" rIns="0" bIns="0" rtlCol="0">
                          <a:noAutofit/>
                        </wps:bodyPr>
                      </wps:wsp>
                      <wps:wsp>
                        <wps:cNvPr id="458" name="Textbox 458"/>
                        <wps:cNvSpPr txBox="1"/>
                        <wps:spPr>
                          <a:xfrm>
                            <a:off x="1703583" y="4935391"/>
                            <a:ext cx="261620" cy="135255"/>
                          </a:xfrm>
                          <a:prstGeom prst="rect">
                            <a:avLst/>
                          </a:prstGeom>
                        </wps:spPr>
                        <wps:txbx>
                          <w:txbxContent>
                            <w:p>
                              <w:pPr>
                                <w:spacing w:before="0" w:line="212" w:lineRule="exact"/>
                                <w:ind w:left="0" w:right="0" w:firstLine="0"/>
                                <w:jc w:val="left"/>
                                <w:rPr>
                                  <w:sz w:val="19"/>
                                </w:rPr>
                              </w:pPr>
                              <w:r>
                                <w:rPr>
                                  <w:color w:val="0F0F0F"/>
                                  <w:spacing w:val="-5"/>
                                  <w:sz w:val="19"/>
                                </w:rPr>
                                <w:t>£Sm</w:t>
                              </w:r>
                            </w:p>
                          </w:txbxContent>
                        </wps:txbx>
                        <wps:bodyPr wrap="square" lIns="0" tIns="0" rIns="0" bIns="0" rtlCol="0">
                          <a:noAutofit/>
                        </wps:bodyPr>
                      </wps:wsp>
                      <wps:wsp>
                        <wps:cNvPr id="459" name="Textbox 459"/>
                        <wps:cNvSpPr txBox="1"/>
                        <wps:spPr>
                          <a:xfrm>
                            <a:off x="3101744" y="4353577"/>
                            <a:ext cx="2934335" cy="418465"/>
                          </a:xfrm>
                          <a:prstGeom prst="rect">
                            <a:avLst/>
                          </a:prstGeom>
                        </wps:spPr>
                        <wps:txbx>
                          <w:txbxContent>
                            <w:p>
                              <w:pPr>
                                <w:spacing w:before="131" w:line="254" w:lineRule="auto"/>
                                <w:ind w:left="2437" w:right="704" w:hanging="1"/>
                                <w:jc w:val="left"/>
                                <w:rPr>
                                  <w:sz w:val="19"/>
                                </w:rPr>
                              </w:pPr>
                              <w:r>
                                <w:rPr>
                                  <w:color w:val="0F0F0F"/>
                                  <w:w w:val="105"/>
                                  <w:sz w:val="19"/>
                                </w:rPr>
                                <w:t>3 deposits not exceeding</w:t>
                              </w:r>
                              <w:r>
                                <w:rPr>
                                  <w:color w:val="0F0F0F"/>
                                  <w:spacing w:val="-14"/>
                                  <w:w w:val="105"/>
                                  <w:sz w:val="19"/>
                                </w:rPr>
                                <w:t> </w:t>
                              </w:r>
                              <w:r>
                                <w:rPr>
                                  <w:color w:val="0F0F0F"/>
                                  <w:w w:val="105"/>
                                  <w:sz w:val="19"/>
                                </w:rPr>
                                <w:t>£10m</w:t>
                              </w:r>
                            </w:p>
                          </w:txbxContent>
                        </wps:txbx>
                        <wps:bodyPr wrap="square" lIns="0" tIns="0" rIns="0" bIns="0" rtlCol="0">
                          <a:noAutofit/>
                        </wps:bodyPr>
                      </wps:wsp>
                      <wps:wsp>
                        <wps:cNvPr id="460" name="Textbox 460"/>
                        <wps:cNvSpPr txBox="1"/>
                        <wps:spPr>
                          <a:xfrm>
                            <a:off x="1625658" y="4349000"/>
                            <a:ext cx="1471930" cy="427355"/>
                          </a:xfrm>
                          <a:prstGeom prst="rect">
                            <a:avLst/>
                          </a:prstGeom>
                          <a:ln w="9158">
                            <a:solidFill>
                              <a:srgbClr val="000000"/>
                            </a:solidFill>
                            <a:prstDash val="solid"/>
                          </a:ln>
                        </wps:spPr>
                        <wps:txbx>
                          <w:txbxContent>
                            <w:p>
                              <w:pPr>
                                <w:spacing w:before="23" w:line="240" w:lineRule="auto"/>
                                <w:rPr>
                                  <w:sz w:val="19"/>
                                </w:rPr>
                              </w:pPr>
                            </w:p>
                            <w:p>
                              <w:pPr>
                                <w:spacing w:before="0"/>
                                <w:ind w:left="115" w:right="0" w:firstLine="0"/>
                                <w:jc w:val="left"/>
                                <w:rPr>
                                  <w:sz w:val="19"/>
                                </w:rPr>
                              </w:pPr>
                              <w:r>
                                <w:rPr>
                                  <w:color w:val="0F0F0F"/>
                                  <w:spacing w:val="-4"/>
                                  <w:w w:val="105"/>
                                  <w:sz w:val="19"/>
                                </w:rPr>
                                <w:t>£10m</w:t>
                              </w:r>
                            </w:p>
                          </w:txbxContent>
                        </wps:txbx>
                        <wps:bodyPr wrap="square" lIns="0" tIns="0" rIns="0" bIns="0" rtlCol="0">
                          <a:noAutofit/>
                        </wps:bodyPr>
                      </wps:wsp>
                      <wps:wsp>
                        <wps:cNvPr id="461" name="Textbox 461"/>
                        <wps:cNvSpPr txBox="1"/>
                        <wps:spPr>
                          <a:xfrm>
                            <a:off x="3023013" y="2928374"/>
                            <a:ext cx="19050" cy="277495"/>
                          </a:xfrm>
                          <a:prstGeom prst="rect">
                            <a:avLst/>
                          </a:prstGeom>
                        </wps:spPr>
                        <wps:txbx>
                          <w:txbxContent>
                            <w:p>
                              <w:pPr>
                                <w:spacing w:before="0" w:line="436" w:lineRule="exact"/>
                                <w:ind w:left="0" w:right="0" w:firstLine="0"/>
                                <w:jc w:val="left"/>
                                <w:rPr>
                                  <w:sz w:val="39"/>
                                </w:rPr>
                              </w:pPr>
                              <w:r>
                                <w:rPr>
                                  <w:color w:val="C1C1C1"/>
                                  <w:spacing w:val="-10"/>
                                  <w:w w:val="20"/>
                                  <w:sz w:val="39"/>
                                </w:rPr>
                                <w:t>I</w:t>
                              </w:r>
                            </w:p>
                          </w:txbxContent>
                        </wps:txbx>
                        <wps:bodyPr wrap="square" lIns="0" tIns="0" rIns="0" bIns="0" rtlCol="0">
                          <a:noAutofit/>
                        </wps:bodyPr>
                      </wps:wsp>
                      <wps:wsp>
                        <wps:cNvPr id="462" name="Textbox 462"/>
                        <wps:cNvSpPr txBox="1"/>
                        <wps:spPr>
                          <a:xfrm>
                            <a:off x="1700532" y="2918365"/>
                            <a:ext cx="330200" cy="135255"/>
                          </a:xfrm>
                          <a:prstGeom prst="rect">
                            <a:avLst/>
                          </a:prstGeom>
                        </wps:spPr>
                        <wps:txbx>
                          <w:txbxContent>
                            <w:p>
                              <w:pPr>
                                <w:spacing w:before="0" w:line="212" w:lineRule="exact"/>
                                <w:ind w:left="0" w:right="0" w:firstLine="0"/>
                                <w:jc w:val="left"/>
                                <w:rPr>
                                  <w:sz w:val="19"/>
                                </w:rPr>
                              </w:pPr>
                              <w:r>
                                <w:rPr>
                                  <w:color w:val="0F0F0F"/>
                                  <w:spacing w:val="-4"/>
                                  <w:w w:val="105"/>
                                  <w:sz w:val="19"/>
                                </w:rPr>
                                <w:t>£10m</w:t>
                              </w:r>
                            </w:p>
                          </w:txbxContent>
                        </wps:txbx>
                        <wps:bodyPr wrap="square" lIns="0" tIns="0" rIns="0" bIns="0" rtlCol="0">
                          <a:noAutofit/>
                        </wps:bodyPr>
                      </wps:wsp>
                      <wps:wsp>
                        <wps:cNvPr id="463" name="Textbox 463"/>
                        <wps:cNvSpPr txBox="1"/>
                        <wps:spPr>
                          <a:xfrm>
                            <a:off x="3171465" y="2424025"/>
                            <a:ext cx="941705" cy="278765"/>
                          </a:xfrm>
                          <a:prstGeom prst="rect">
                            <a:avLst/>
                          </a:prstGeom>
                        </wps:spPr>
                        <wps:txbx>
                          <w:txbxContent>
                            <w:p>
                              <w:pPr>
                                <w:spacing w:before="0" w:line="247" w:lineRule="auto"/>
                                <w:ind w:left="0" w:right="18" w:hanging="1"/>
                                <w:jc w:val="left"/>
                                <w:rPr>
                                  <w:sz w:val="19"/>
                                </w:rPr>
                              </w:pPr>
                              <w:r>
                                <w:rPr>
                                  <w:color w:val="0F0F0F"/>
                                  <w:w w:val="105"/>
                                  <w:sz w:val="19"/>
                                </w:rPr>
                                <w:t>5 deposits not exceeding</w:t>
                              </w:r>
                              <w:r>
                                <w:rPr>
                                  <w:color w:val="0F0F0F"/>
                                  <w:spacing w:val="-14"/>
                                  <w:w w:val="105"/>
                                  <w:sz w:val="19"/>
                                </w:rPr>
                                <w:t> </w:t>
                              </w:r>
                              <w:r>
                                <w:rPr>
                                  <w:color w:val="0F0F0F"/>
                                  <w:w w:val="105"/>
                                  <w:sz w:val="19"/>
                                </w:rPr>
                                <w:t>£10m</w:t>
                              </w:r>
                            </w:p>
                          </w:txbxContent>
                        </wps:txbx>
                        <wps:bodyPr wrap="square" lIns="0" tIns="0" rIns="0" bIns="0" rtlCol="0">
                          <a:noAutofit/>
                        </wps:bodyPr>
                      </wps:wsp>
                      <wps:wsp>
                        <wps:cNvPr id="464" name="Textbox 464"/>
                        <wps:cNvSpPr txBox="1"/>
                        <wps:spPr>
                          <a:xfrm>
                            <a:off x="1700532" y="2494209"/>
                            <a:ext cx="330200" cy="135255"/>
                          </a:xfrm>
                          <a:prstGeom prst="rect">
                            <a:avLst/>
                          </a:prstGeom>
                        </wps:spPr>
                        <wps:txbx>
                          <w:txbxContent>
                            <w:p>
                              <w:pPr>
                                <w:spacing w:before="0" w:line="212" w:lineRule="exact"/>
                                <w:ind w:left="0" w:right="0" w:firstLine="0"/>
                                <w:jc w:val="left"/>
                                <w:rPr>
                                  <w:sz w:val="19"/>
                                </w:rPr>
                              </w:pPr>
                              <w:r>
                                <w:rPr>
                                  <w:color w:val="0F0F0F"/>
                                  <w:spacing w:val="-4"/>
                                  <w:w w:val="105"/>
                                  <w:sz w:val="19"/>
                                </w:rPr>
                                <w:t>£10m</w:t>
                              </w:r>
                            </w:p>
                          </w:txbxContent>
                        </wps:txbx>
                        <wps:bodyPr wrap="square" lIns="0" tIns="0" rIns="0" bIns="0" rtlCol="0">
                          <a:noAutofit/>
                        </wps:bodyPr>
                      </wps:wsp>
                      <wps:wsp>
                        <wps:cNvPr id="465" name="Textbox 465"/>
                        <wps:cNvSpPr txBox="1"/>
                        <wps:spPr>
                          <a:xfrm>
                            <a:off x="28983" y="2335024"/>
                            <a:ext cx="1597025" cy="424180"/>
                          </a:xfrm>
                          <a:prstGeom prst="rect">
                            <a:avLst/>
                          </a:prstGeom>
                          <a:ln w="9158">
                            <a:solidFill>
                              <a:srgbClr val="000000"/>
                            </a:solidFill>
                            <a:prstDash val="solid"/>
                          </a:ln>
                        </wps:spPr>
                        <wps:txbx>
                          <w:txbxContent>
                            <w:p>
                              <w:pPr>
                                <w:spacing w:before="18" w:line="240" w:lineRule="auto"/>
                                <w:rPr>
                                  <w:sz w:val="19"/>
                                </w:rPr>
                              </w:pPr>
                            </w:p>
                            <w:p>
                              <w:pPr>
                                <w:spacing w:before="1"/>
                                <w:ind w:left="103" w:right="0" w:firstLine="0"/>
                                <w:jc w:val="left"/>
                                <w:rPr>
                                  <w:b/>
                                  <w:sz w:val="19"/>
                                </w:rPr>
                              </w:pPr>
                              <w:r>
                                <w:rPr>
                                  <w:b/>
                                  <w:color w:val="0F0F0F"/>
                                  <w:w w:val="105"/>
                                  <w:sz w:val="19"/>
                                </w:rPr>
                                <w:t>Local</w:t>
                              </w:r>
                              <w:r>
                                <w:rPr>
                                  <w:b/>
                                  <w:color w:val="0F0F0F"/>
                                  <w:spacing w:val="5"/>
                                  <w:w w:val="105"/>
                                  <w:sz w:val="19"/>
                                </w:rPr>
                                <w:t> </w:t>
                              </w:r>
                              <w:r>
                                <w:rPr>
                                  <w:b/>
                                  <w:color w:val="0F0F0F"/>
                                  <w:spacing w:val="-2"/>
                                  <w:w w:val="105"/>
                                  <w:sz w:val="19"/>
                                </w:rPr>
                                <w:t>Authorities</w:t>
                              </w:r>
                            </w:p>
                          </w:txbxContent>
                        </wps:txbx>
                        <wps:bodyPr wrap="square" lIns="0" tIns="0" rIns="0" bIns="0" rtlCol="0">
                          <a:noAutofit/>
                        </wps:bodyPr>
                      </wps:wsp>
                      <wps:wsp>
                        <wps:cNvPr id="466" name="Textbox 466"/>
                        <wps:cNvSpPr txBox="1"/>
                        <wps:spPr>
                          <a:xfrm>
                            <a:off x="33563" y="1912395"/>
                            <a:ext cx="1588135" cy="418465"/>
                          </a:xfrm>
                          <a:prstGeom prst="rect">
                            <a:avLst/>
                          </a:prstGeom>
                        </wps:spPr>
                        <wps:txbx>
                          <w:txbxContent>
                            <w:p>
                              <w:pPr>
                                <w:spacing w:before="0" w:line="206" w:lineRule="exact"/>
                                <w:ind w:left="104" w:right="0" w:firstLine="0"/>
                                <w:jc w:val="left"/>
                                <w:rPr>
                                  <w:b/>
                                  <w:sz w:val="19"/>
                                </w:rPr>
                              </w:pPr>
                              <w:r>
                                <w:rPr>
                                  <w:b/>
                                  <w:color w:val="0F0F0F"/>
                                  <w:w w:val="105"/>
                                  <w:sz w:val="19"/>
                                </w:rPr>
                                <w:t>Medium</w:t>
                              </w:r>
                              <w:r>
                                <w:rPr>
                                  <w:b/>
                                  <w:color w:val="0F0F0F"/>
                                  <w:spacing w:val="-5"/>
                                  <w:w w:val="105"/>
                                  <w:sz w:val="19"/>
                                </w:rPr>
                                <w:t> </w:t>
                              </w:r>
                              <w:r>
                                <w:rPr>
                                  <w:b/>
                                  <w:color w:val="0F0F0F"/>
                                  <w:w w:val="105"/>
                                  <w:sz w:val="19"/>
                                </w:rPr>
                                <w:t>Quality</w:t>
                              </w:r>
                              <w:r>
                                <w:rPr>
                                  <w:b/>
                                  <w:color w:val="0F0F0F"/>
                                  <w:spacing w:val="-7"/>
                                  <w:w w:val="105"/>
                                  <w:sz w:val="19"/>
                                </w:rPr>
                                <w:t> </w:t>
                              </w:r>
                              <w:r>
                                <w:rPr>
                                  <w:b/>
                                  <w:color w:val="0F0F0F"/>
                                  <w:spacing w:val="-2"/>
                                  <w:w w:val="105"/>
                                  <w:sz w:val="19"/>
                                </w:rPr>
                                <w:t>Rated</w:t>
                              </w:r>
                            </w:p>
                            <w:p>
                              <w:pPr>
                                <w:spacing w:before="0" w:line="254" w:lineRule="auto"/>
                                <w:ind w:left="108" w:right="0" w:hanging="5"/>
                                <w:jc w:val="left"/>
                                <w:rPr>
                                  <w:b/>
                                  <w:sz w:val="19"/>
                                </w:rPr>
                              </w:pPr>
                              <w:r>
                                <w:rPr>
                                  <w:b/>
                                  <w:color w:val="0F0F0F"/>
                                  <w:w w:val="105"/>
                                  <w:sz w:val="19"/>
                                </w:rPr>
                                <w:t>Non</w:t>
                              </w:r>
                              <w:r>
                                <w:rPr>
                                  <w:b/>
                                  <w:color w:val="0F0F0F"/>
                                  <w:spacing w:val="-11"/>
                                  <w:w w:val="105"/>
                                  <w:sz w:val="19"/>
                                </w:rPr>
                                <w:t> </w:t>
                              </w:r>
                              <w:r>
                                <w:rPr>
                                  <w:b/>
                                  <w:color w:val="0F0F0F"/>
                                  <w:w w:val="105"/>
                                  <w:sz w:val="19"/>
                                </w:rPr>
                                <w:t>UK</w:t>
                              </w:r>
                              <w:r>
                                <w:rPr>
                                  <w:b/>
                                  <w:color w:val="0F0F0F"/>
                                  <w:spacing w:val="-5"/>
                                  <w:w w:val="105"/>
                                  <w:sz w:val="19"/>
                                </w:rPr>
                                <w:t> </w:t>
                              </w:r>
                              <w:r>
                                <w:rPr>
                                  <w:b/>
                                  <w:color w:val="0F0F0F"/>
                                  <w:w w:val="105"/>
                                  <w:sz w:val="19"/>
                                </w:rPr>
                                <w:t>Banks</w:t>
                              </w:r>
                              <w:r>
                                <w:rPr>
                                  <w:b/>
                                  <w:color w:val="0F0F0F"/>
                                  <w:spacing w:val="-13"/>
                                  <w:w w:val="105"/>
                                  <w:sz w:val="19"/>
                                </w:rPr>
                                <w:t> </w:t>
                              </w:r>
                              <w:r>
                                <w:rPr>
                                  <w:color w:val="0F0F0F"/>
                                  <w:w w:val="105"/>
                                  <w:sz w:val="19"/>
                                </w:rPr>
                                <w:t>-</w:t>
                              </w:r>
                              <w:r>
                                <w:rPr>
                                  <w:color w:val="0F0F0F"/>
                                  <w:spacing w:val="40"/>
                                  <w:w w:val="105"/>
                                  <w:sz w:val="19"/>
                                </w:rPr>
                                <w:t> </w:t>
                              </w:r>
                              <w:r>
                                <w:rPr>
                                  <w:b/>
                                  <w:color w:val="0F0F0F"/>
                                  <w:w w:val="105"/>
                                  <w:sz w:val="19"/>
                                </w:rPr>
                                <w:t>rating </w:t>
                              </w:r>
                              <w:r>
                                <w:rPr>
                                  <w:b/>
                                  <w:color w:val="0F0F0F"/>
                                  <w:spacing w:val="-4"/>
                                  <w:w w:val="105"/>
                                  <w:sz w:val="19"/>
                                </w:rPr>
                                <w:t>A+</w:t>
                              </w:r>
                              <w:r>
                                <w:rPr>
                                  <w:b/>
                                  <w:color w:val="3B3B3B"/>
                                  <w:spacing w:val="-4"/>
                                  <w:w w:val="105"/>
                                  <w:sz w:val="19"/>
                                </w:rPr>
                                <w:t>,</w:t>
                              </w:r>
                              <w:r>
                                <w:rPr>
                                  <w:b/>
                                  <w:color w:val="0F0F0F"/>
                                  <w:spacing w:val="-4"/>
                                  <w:w w:val="105"/>
                                  <w:sz w:val="19"/>
                                </w:rPr>
                                <w:t>A</w:t>
                              </w:r>
                            </w:p>
                          </w:txbxContent>
                        </wps:txbx>
                        <wps:bodyPr wrap="square" lIns="0" tIns="0" rIns="0" bIns="0" rtlCol="0">
                          <a:noAutofit/>
                        </wps:bodyPr>
                      </wps:wsp>
                      <wps:wsp>
                        <wps:cNvPr id="467" name="Textbox 467"/>
                        <wps:cNvSpPr txBox="1"/>
                        <wps:spPr>
                          <a:xfrm>
                            <a:off x="4509138" y="20478"/>
                            <a:ext cx="1524000" cy="805815"/>
                          </a:xfrm>
                          <a:prstGeom prst="rect">
                            <a:avLst/>
                          </a:prstGeom>
                        </wps:spPr>
                        <wps:txbx>
                          <w:txbxContent>
                            <w:p>
                              <w:pPr>
                                <w:spacing w:before="13" w:line="249" w:lineRule="auto"/>
                                <w:ind w:left="280" w:right="169" w:firstLine="0"/>
                                <w:jc w:val="center"/>
                                <w:rPr>
                                  <w:b/>
                                  <w:sz w:val="21"/>
                                </w:rPr>
                              </w:pPr>
                              <w:r>
                                <w:rPr>
                                  <w:b/>
                                  <w:color w:val="0F0F0F"/>
                                  <w:w w:val="105"/>
                                  <w:sz w:val="21"/>
                                </w:rPr>
                                <w:t>Call</w:t>
                              </w:r>
                              <w:r>
                                <w:rPr>
                                  <w:b/>
                                  <w:color w:val="0F0F0F"/>
                                  <w:spacing w:val="-9"/>
                                  <w:w w:val="105"/>
                                  <w:sz w:val="21"/>
                                </w:rPr>
                                <w:t> </w:t>
                              </w:r>
                              <w:r>
                                <w:rPr>
                                  <w:b/>
                                  <w:color w:val="0F0F0F"/>
                                  <w:w w:val="105"/>
                                  <w:sz w:val="21"/>
                                </w:rPr>
                                <w:t>deposits</w:t>
                              </w:r>
                              <w:r>
                                <w:rPr>
                                  <w:b/>
                                  <w:color w:val="0F0F0F"/>
                                  <w:spacing w:val="-3"/>
                                  <w:w w:val="105"/>
                                  <w:sz w:val="21"/>
                                </w:rPr>
                                <w:t> </w:t>
                              </w:r>
                              <w:r>
                                <w:rPr>
                                  <w:b/>
                                  <w:color w:val="0F0F0F"/>
                                  <w:w w:val="105"/>
                                  <w:sz w:val="21"/>
                                </w:rPr>
                                <w:t>at</w:t>
                              </w:r>
                              <w:r>
                                <w:rPr>
                                  <w:b/>
                                  <w:color w:val="0F0F0F"/>
                                  <w:spacing w:val="-15"/>
                                  <w:w w:val="105"/>
                                  <w:sz w:val="21"/>
                                </w:rPr>
                                <w:t> </w:t>
                              </w:r>
                              <w:r>
                                <w:rPr>
                                  <w:b/>
                                  <w:color w:val="0F0F0F"/>
                                  <w:w w:val="105"/>
                                  <w:sz w:val="21"/>
                                </w:rPr>
                                <w:t>31 March 2023 (included in cash and cash </w:t>
                              </w:r>
                              <w:r>
                                <w:rPr>
                                  <w:b/>
                                  <w:color w:val="0F0F0F"/>
                                  <w:spacing w:val="-2"/>
                                  <w:w w:val="105"/>
                                  <w:sz w:val="21"/>
                                </w:rPr>
                                <w:t>equivalents}</w:t>
                              </w:r>
                            </w:p>
                          </w:txbxContent>
                        </wps:txbx>
                        <wps:bodyPr wrap="square" lIns="0" tIns="0" rIns="0" bIns="0" rtlCol="0">
                          <a:noAutofit/>
                        </wps:bodyPr>
                      </wps:wsp>
                    </wpg:wgp>
                  </a:graphicData>
                </a:graphic>
              </wp:anchor>
            </w:drawing>
          </ve:Choice>
          <ve:Fallback>
            <w:pict>
              <v:group id="docshapegroup284" style="position:absolute;margin-left:66.468536pt;margin-top:-322.340668pt;width:475.85pt;height:449.55pt;mso-position-horizontal-relative:page;mso-position-vertical-relative:paragraph;z-index:15824896" coordsize="9517,8991" coordorigin="1329,-6447">
                <v:shape id="docshape285" style="position:absolute;left:1370;top:-6427;width:9477;height:2509" coordsize="9477,2509" coordorigin="1370,-6427" filled="false" stroked="true" strokecolor="#000000" strokeweight=".720991pt" path="m1370,-6422l10846,-6422m1375,-5384l1375,-6427m3889,-3918l3889,-6427e">
                  <v:path arrowok="t"/>
                  <v:stroke dashstyle="solid"/>
                </v:shape>
                <v:line style="position:absolute" stroked="true" strokecolor="#000000" strokeweight=".240387pt" from="8428,195" to="8428,-6427">
                  <v:stroke dashstyle="solid"/>
                </v:line>
                <v:shape id="docshape286" style="position:absolute;left:1375;top:-6427;width:9472;height:4027" coordsize="9472,4027" coordorigin="1375,-6427" filled="false" stroked="true" strokecolor="#000000" strokeweight=".720991pt" path="m10837,-4033l10837,-6427m6207,-4860l6207,-6023m1375,-5139l10846,-5139m1375,-4427l10846,-4427m1375,-3687l1375,-4432m6207,-3687l6207,-4432m10837,-2400l10837,-3918e">
                  <v:path arrowok="t"/>
                  <v:stroke dashstyle="solid"/>
                </v:shape>
                <v:line style="position:absolute" stroked="true" strokecolor="#000000" strokeweight=".240274pt" from="1375,-3438" to="10846,-3438">
                  <v:stroke dashstyle="solid"/>
                </v:line>
                <v:shape id="docshape287" style="position:absolute;left:1370;top:-3688;width:9477;height:3436" coordsize="9477,3436" coordorigin="1370,-3687" filled="false" stroked="true" strokecolor="#000000" strokeweight=".720991pt" path="m3889,-252l3889,-3687m1375,-2092l1375,-3438m6207,-2976l6207,-3442m1370,-2770l10846,-2770m1370,-2102l10841,-2102e">
                  <v:path arrowok="t"/>
                  <v:stroke dashstyle="solid"/>
                </v:shape>
                <v:line style="position:absolute" stroked="true" strokecolor="#000000" strokeweight=".240387pt" from="10837,2492" to="10837,-2400">
                  <v:stroke dashstyle="solid"/>
                </v:line>
                <v:shape id="docshape288" style="position:absolute;left:1375;top:-1429;width:9467;height:3912" coordsize="9467,3912" coordorigin="1375,-1429" filled="false" stroked="true" strokecolor="#000000" strokeweight=".720991pt" path="m1375,-1429l10841,-1429m6207,-252l6207,-891m1375,-261l10841,-261m1375,402l10841,402m3889,2247l3889,195m6207,1084l6207,397m1375,1075l10841,1075m1375,1743l10841,1743m6207,2247l6207,1738m1375,2483l10841,2483e">
                  <v:path arrowok="t"/>
                  <v:stroke dashstyle="solid"/>
                </v:shape>
                <v:line style="position:absolute" stroked="true" strokecolor="#000000" strokeweight=".240387pt" from="6207,2492" to="6207,2247">
                  <v:stroke dashstyle="solid"/>
                </v:line>
                <v:shape id="docshape289" style="position:absolute;left:6162;top:-6447;width:102;height:470" filled="false" stroked="false" type="#_x0000_t202">
                  <v:textbox inset="0,0,0,0">
                    <w:txbxContent>
                      <w:p>
                        <w:pPr>
                          <w:spacing w:before="0" w:line="470" w:lineRule="exact"/>
                          <w:ind w:left="0" w:right="0" w:firstLine="0"/>
                          <w:jc w:val="left"/>
                          <w:rPr>
                            <w:sz w:val="42"/>
                          </w:rPr>
                        </w:pPr>
                        <w:r>
                          <w:rPr>
                            <w:color w:val="C1C1C1"/>
                            <w:spacing w:val="-10"/>
                            <w:w w:val="80"/>
                            <w:sz w:val="42"/>
                          </w:rPr>
                          <w:t>I</w:t>
                        </w:r>
                      </w:p>
                    </w:txbxContent>
                  </v:textbox>
                  <w10:wrap type="none"/>
                </v:shape>
                <v:shape id="docshape290" style="position:absolute;left:2158;top:-5873;width:959;height:235" filled="false" stroked="false" type="#_x0000_t202">
                  <v:textbox inset="0,0,0,0">
                    <w:txbxContent>
                      <w:p>
                        <w:pPr>
                          <w:spacing w:before="0" w:line="235" w:lineRule="exact"/>
                          <w:ind w:left="0" w:right="0" w:firstLine="0"/>
                          <w:jc w:val="left"/>
                          <w:rPr>
                            <w:b/>
                            <w:sz w:val="21"/>
                          </w:rPr>
                        </w:pPr>
                        <w:r>
                          <w:rPr>
                            <w:b/>
                            <w:color w:val="0F0F0F"/>
                            <w:spacing w:val="-2"/>
                            <w:w w:val="105"/>
                            <w:sz w:val="21"/>
                          </w:rPr>
                          <w:t>Category</w:t>
                        </w:r>
                      </w:p>
                    </w:txbxContent>
                  </v:textbox>
                  <w10:wrap type="none"/>
                </v:shape>
                <v:shape id="docshape291" style="position:absolute;left:4471;top:-6002;width:1175;height:485" filled="false" stroked="false" type="#_x0000_t202">
                  <v:textbox inset="0,0,0,0">
                    <w:txbxContent>
                      <w:p>
                        <w:pPr>
                          <w:spacing w:before="0" w:line="247" w:lineRule="auto"/>
                          <w:ind w:left="0" w:right="18" w:firstLine="76"/>
                          <w:jc w:val="left"/>
                          <w:rPr>
                            <w:b/>
                            <w:sz w:val="21"/>
                          </w:rPr>
                        </w:pPr>
                        <w:r>
                          <w:rPr>
                            <w:b/>
                            <w:color w:val="0F0F0F"/>
                            <w:spacing w:val="-2"/>
                            <w:w w:val="105"/>
                            <w:sz w:val="21"/>
                          </w:rPr>
                          <w:t>Maximum </w:t>
                        </w:r>
                        <w:r>
                          <w:rPr>
                            <w:b/>
                            <w:color w:val="0F0F0F"/>
                            <w:spacing w:val="-2"/>
                            <w:sz w:val="21"/>
                          </w:rPr>
                          <w:t>Investment</w:t>
                        </w:r>
                      </w:p>
                    </w:txbxContent>
                  </v:textbox>
                  <w10:wrap type="none"/>
                </v:shape>
                <v:shape id="docshape292" style="position:absolute;left:6351;top:-6002;width:2051;height:490" filled="false" stroked="false" type="#_x0000_t202">
                  <v:textbox inset="0,0,0,0">
                    <w:txbxContent>
                      <w:p>
                        <w:pPr>
                          <w:spacing w:before="0" w:line="252" w:lineRule="auto"/>
                          <w:ind w:left="417" w:right="18" w:hanging="418"/>
                          <w:jc w:val="left"/>
                          <w:rPr>
                            <w:b/>
                            <w:sz w:val="21"/>
                          </w:rPr>
                        </w:pPr>
                        <w:r>
                          <w:rPr>
                            <w:b/>
                            <w:color w:val="0F0F0F"/>
                            <w:w w:val="105"/>
                            <w:sz w:val="21"/>
                          </w:rPr>
                          <w:t>Investment</w:t>
                        </w:r>
                        <w:r>
                          <w:rPr>
                            <w:b/>
                            <w:color w:val="0F0F0F"/>
                            <w:spacing w:val="-12"/>
                            <w:w w:val="105"/>
                            <w:sz w:val="21"/>
                          </w:rPr>
                          <w:t> </w:t>
                        </w:r>
                        <w:r>
                          <w:rPr>
                            <w:b/>
                            <w:color w:val="0F0F0F"/>
                            <w:w w:val="105"/>
                            <w:sz w:val="21"/>
                          </w:rPr>
                          <w:t>as</w:t>
                        </w:r>
                        <w:r>
                          <w:rPr>
                            <w:b/>
                            <w:color w:val="0F0F0F"/>
                            <w:spacing w:val="-14"/>
                            <w:w w:val="105"/>
                            <w:sz w:val="21"/>
                          </w:rPr>
                          <w:t> </w:t>
                        </w:r>
                        <w:r>
                          <w:rPr>
                            <w:b/>
                            <w:color w:val="0F0F0F"/>
                            <w:w w:val="105"/>
                            <w:sz w:val="21"/>
                          </w:rPr>
                          <w:t>at</w:t>
                        </w:r>
                        <w:r>
                          <w:rPr>
                            <w:b/>
                            <w:color w:val="0F0F0F"/>
                            <w:spacing w:val="-16"/>
                            <w:w w:val="105"/>
                            <w:sz w:val="21"/>
                          </w:rPr>
                          <w:t> </w:t>
                        </w:r>
                        <w:r>
                          <w:rPr>
                            <w:b/>
                            <w:color w:val="0F0F0F"/>
                            <w:w w:val="105"/>
                            <w:sz w:val="21"/>
                          </w:rPr>
                          <w:t>31 March 2023</w:t>
                        </w:r>
                      </w:p>
                    </w:txbxContent>
                  </v:textbox>
                  <w10:wrap type="none"/>
                </v:shape>
                <v:shape id="docshape293" style="position:absolute;left:1485;top:-5095;width:1988;height:1611" filled="false" stroked="false" type="#_x0000_t202">
                  <v:textbox inset="0,0,0,0">
                    <w:txbxContent>
                      <w:p>
                        <w:pPr>
                          <w:spacing w:before="0" w:line="254" w:lineRule="auto"/>
                          <w:ind w:left="0" w:right="18" w:firstLine="0"/>
                          <w:jc w:val="both"/>
                          <w:rPr>
                            <w:b/>
                            <w:sz w:val="19"/>
                          </w:rPr>
                        </w:pPr>
                        <w:r>
                          <w:rPr>
                            <w:b/>
                            <w:color w:val="0F0F0F"/>
                            <w:w w:val="105"/>
                            <w:sz w:val="19"/>
                          </w:rPr>
                          <w:t>Higher</w:t>
                        </w:r>
                        <w:r>
                          <w:rPr>
                            <w:b/>
                            <w:color w:val="0F0F0F"/>
                            <w:spacing w:val="-14"/>
                            <w:w w:val="105"/>
                            <w:sz w:val="19"/>
                          </w:rPr>
                          <w:t> </w:t>
                        </w:r>
                        <w:r>
                          <w:rPr>
                            <w:b/>
                            <w:color w:val="0F0F0F"/>
                            <w:w w:val="105"/>
                            <w:sz w:val="19"/>
                          </w:rPr>
                          <w:t>Quality</w:t>
                        </w:r>
                        <w:r>
                          <w:rPr>
                            <w:b/>
                            <w:color w:val="0F0F0F"/>
                            <w:spacing w:val="-14"/>
                            <w:w w:val="105"/>
                            <w:sz w:val="19"/>
                          </w:rPr>
                          <w:t> </w:t>
                        </w:r>
                        <w:r>
                          <w:rPr>
                            <w:b/>
                            <w:color w:val="0F0F0F"/>
                            <w:w w:val="105"/>
                            <w:sz w:val="19"/>
                          </w:rPr>
                          <w:t>Rated Banks </w:t>
                        </w:r>
                        <w:r>
                          <w:rPr>
                            <w:color w:val="0F0F0F"/>
                            <w:w w:val="105"/>
                            <w:sz w:val="19"/>
                          </w:rPr>
                          <w:t>-</w:t>
                        </w:r>
                        <w:r>
                          <w:rPr>
                            <w:color w:val="0F0F0F"/>
                            <w:spacing w:val="40"/>
                            <w:w w:val="105"/>
                            <w:sz w:val="19"/>
                          </w:rPr>
                          <w:t> </w:t>
                        </w:r>
                        <w:r>
                          <w:rPr>
                            <w:b/>
                            <w:color w:val="0F0F0F"/>
                            <w:w w:val="105"/>
                            <w:sz w:val="19"/>
                          </w:rPr>
                          <w:t>rating AAA, AA+, AA and AA-</w:t>
                        </w:r>
                      </w:p>
                      <w:p>
                        <w:pPr>
                          <w:spacing w:before="0" w:line="252" w:lineRule="auto"/>
                          <w:ind w:left="0" w:right="0" w:firstLine="0"/>
                          <w:jc w:val="left"/>
                          <w:rPr>
                            <w:b/>
                            <w:sz w:val="19"/>
                          </w:rPr>
                        </w:pPr>
                        <w:r>
                          <w:rPr>
                            <w:b/>
                            <w:color w:val="0F0F0F"/>
                            <w:w w:val="105"/>
                            <w:sz w:val="19"/>
                          </w:rPr>
                          <w:t>UK Medium Quality Rated Banks and Building</w:t>
                        </w:r>
                        <w:r>
                          <w:rPr>
                            <w:b/>
                            <w:color w:val="0F0F0F"/>
                            <w:spacing w:val="-10"/>
                            <w:w w:val="105"/>
                            <w:sz w:val="19"/>
                          </w:rPr>
                          <w:t> </w:t>
                        </w:r>
                        <w:r>
                          <w:rPr>
                            <w:b/>
                            <w:color w:val="0F0F0F"/>
                            <w:w w:val="105"/>
                            <w:sz w:val="19"/>
                          </w:rPr>
                          <w:t>Societies</w:t>
                        </w:r>
                        <w:r>
                          <w:rPr>
                            <w:b/>
                            <w:color w:val="0F0F0F"/>
                            <w:spacing w:val="32"/>
                            <w:w w:val="105"/>
                            <w:sz w:val="19"/>
                          </w:rPr>
                          <w:t> </w:t>
                        </w:r>
                        <w:r>
                          <w:rPr>
                            <w:color w:val="0F0F0F"/>
                            <w:w w:val="105"/>
                            <w:sz w:val="19"/>
                          </w:rPr>
                          <w:t>- </w:t>
                        </w:r>
                        <w:r>
                          <w:rPr>
                            <w:b/>
                            <w:color w:val="0F0F0F"/>
                            <w:w w:val="105"/>
                            <w:sz w:val="19"/>
                            <w:u w:val="thick" w:color="0F0F0F"/>
                          </w:rPr>
                          <w:t>rating</w:t>
                        </w:r>
                        <w:r>
                          <w:rPr>
                            <w:b/>
                            <w:color w:val="0F0F0F"/>
                            <w:w w:val="105"/>
                            <w:sz w:val="19"/>
                            <w:u w:val="none"/>
                          </w:rPr>
                          <w:t> A+, A</w:t>
                        </w:r>
                      </w:p>
                    </w:txbxContent>
                  </v:textbox>
                  <w10:wrap type="none"/>
                </v:shape>
                <v:shape id="docshape294" style="position:absolute;left:4007;top:-4864;width:516;height:213" filled="false" stroked="false" type="#_x0000_t202">
                  <v:textbox inset="0,0,0,0">
                    <w:txbxContent>
                      <w:p>
                        <w:pPr>
                          <w:spacing w:before="0" w:line="212" w:lineRule="exact"/>
                          <w:ind w:left="0" w:right="0" w:firstLine="0"/>
                          <w:jc w:val="left"/>
                          <w:rPr>
                            <w:sz w:val="19"/>
                          </w:rPr>
                        </w:pPr>
                        <w:r>
                          <w:rPr>
                            <w:color w:val="0F0F0F"/>
                            <w:spacing w:val="-4"/>
                            <w:w w:val="105"/>
                            <w:sz w:val="19"/>
                          </w:rPr>
                          <w:t>£10m</w:t>
                        </w:r>
                      </w:p>
                    </w:txbxContent>
                  </v:textbox>
                  <w10:wrap type="none"/>
                </v:shape>
                <v:shape id="docshape295" style="position:absolute;left:6172;top:-4787;width:117;height:414" filled="false" stroked="false" type="#_x0000_t202">
                  <v:textbox inset="0,0,0,0">
                    <w:txbxContent>
                      <w:p>
                        <w:pPr>
                          <w:spacing w:before="0" w:line="414" w:lineRule="exact"/>
                          <w:ind w:left="0" w:right="0" w:firstLine="0"/>
                          <w:jc w:val="left"/>
                          <w:rPr>
                            <w:sz w:val="37"/>
                          </w:rPr>
                        </w:pPr>
                        <w:r>
                          <w:rPr>
                            <w:color w:val="CFCFCF"/>
                            <w:spacing w:val="-10"/>
                            <w:sz w:val="37"/>
                          </w:rPr>
                          <w:t>I</w:t>
                        </w:r>
                      </w:p>
                    </w:txbxContent>
                  </v:textbox>
                  <w10:wrap type="none"/>
                </v:shape>
                <v:shape id="docshape296" style="position:absolute;left:4007;top:-4038;width:409;height:213" filled="false" stroked="false" type="#_x0000_t202">
                  <v:textbox inset="0,0,0,0">
                    <w:txbxContent>
                      <w:p>
                        <w:pPr>
                          <w:spacing w:before="0" w:line="212" w:lineRule="exact"/>
                          <w:ind w:left="0" w:right="0" w:firstLine="0"/>
                          <w:jc w:val="left"/>
                          <w:rPr>
                            <w:sz w:val="19"/>
                          </w:rPr>
                        </w:pPr>
                        <w:r>
                          <w:rPr>
                            <w:color w:val="0F0F0F"/>
                            <w:spacing w:val="-5"/>
                            <w:w w:val="105"/>
                            <w:sz w:val="19"/>
                          </w:rPr>
                          <w:t>£6m</w:t>
                        </w:r>
                      </w:p>
                    </w:txbxContent>
                  </v:textbox>
                  <w10:wrap type="none"/>
                </v:shape>
                <v:shape id="docshape297" style="position:absolute;left:6319;top:-4148;width:1378;height:444" filled="false" stroked="false" type="#_x0000_t202">
                  <v:textbox inset="0,0,0,0">
                    <w:txbxContent>
                      <w:p>
                        <w:pPr>
                          <w:spacing w:before="0" w:line="254" w:lineRule="auto"/>
                          <w:ind w:left="0" w:right="0" w:firstLine="5"/>
                          <w:jc w:val="left"/>
                          <w:rPr>
                            <w:sz w:val="19"/>
                          </w:rPr>
                        </w:pPr>
                        <w:r>
                          <w:rPr>
                            <w:color w:val="0F0F0F"/>
                            <w:w w:val="105"/>
                            <w:sz w:val="19"/>
                          </w:rPr>
                          <w:t>1 deposit not exceeding</w:t>
                        </w:r>
                        <w:r>
                          <w:rPr>
                            <w:color w:val="0F0F0F"/>
                            <w:spacing w:val="-14"/>
                            <w:w w:val="105"/>
                            <w:sz w:val="19"/>
                          </w:rPr>
                          <w:t> </w:t>
                        </w:r>
                        <w:r>
                          <w:rPr>
                            <w:color w:val="0F0F0F"/>
                            <w:w w:val="105"/>
                            <w:sz w:val="19"/>
                          </w:rPr>
                          <w:t>£6m</w:t>
                        </w:r>
                      </w:p>
                    </w:txbxContent>
                  </v:textbox>
                  <w10:wrap type="none"/>
                </v:shape>
                <v:shape id="docshape298" style="position:absolute;left:8633;top:-4264;width:1802;height:674" filled="false" stroked="false" type="#_x0000_t202">
                  <v:textbox inset="0,0,0,0">
                    <w:txbxContent>
                      <w:p>
                        <w:pPr>
                          <w:spacing w:before="0" w:line="254" w:lineRule="auto"/>
                          <w:ind w:left="3" w:right="18" w:hanging="4"/>
                          <w:jc w:val="left"/>
                          <w:rPr>
                            <w:sz w:val="19"/>
                          </w:rPr>
                        </w:pPr>
                        <w:r>
                          <w:rPr>
                            <w:color w:val="0F0F0F"/>
                            <w:w w:val="105"/>
                            <w:sz w:val="19"/>
                          </w:rPr>
                          <w:t>1 deposit not exceeding</w:t>
                        </w:r>
                        <w:r>
                          <w:rPr>
                            <w:color w:val="0F0F0F"/>
                            <w:spacing w:val="-14"/>
                            <w:w w:val="105"/>
                            <w:sz w:val="19"/>
                          </w:rPr>
                          <w:t> </w:t>
                        </w:r>
                        <w:r>
                          <w:rPr>
                            <w:color w:val="0F0F0F"/>
                            <w:w w:val="105"/>
                            <w:sz w:val="19"/>
                          </w:rPr>
                          <w:t>Council's banker limit</w:t>
                        </w:r>
                      </w:p>
                    </w:txbxContent>
                  </v:textbox>
                  <w10:wrap type="none"/>
                </v:shape>
                <v:shape id="docshape299" style="position:absolute;left:4007;top:-3211;width:413;height:213" filled="false" stroked="false" type="#_x0000_t202">
                  <v:textbox inset="0,0,0,0">
                    <w:txbxContent>
                      <w:p>
                        <w:pPr>
                          <w:spacing w:before="0" w:line="212" w:lineRule="exact"/>
                          <w:ind w:left="0" w:right="0" w:firstLine="0"/>
                          <w:jc w:val="left"/>
                          <w:rPr>
                            <w:sz w:val="19"/>
                          </w:rPr>
                        </w:pPr>
                        <w:r>
                          <w:rPr>
                            <w:color w:val="0F0F0F"/>
                            <w:spacing w:val="-5"/>
                            <w:w w:val="105"/>
                            <w:sz w:val="19"/>
                          </w:rPr>
                          <w:t>£4m</w:t>
                        </w:r>
                      </w:p>
                    </w:txbxContent>
                  </v:textbox>
                  <w10:wrap type="none"/>
                </v:shape>
                <v:shape id="docshape300" style="position:absolute;left:1343;top:-1851;width:3078;height:1136" filled="false" stroked="false" type="#_x0000_t202">
                  <v:textbox inset="0,0,0,0">
                    <w:txbxContent>
                      <w:p>
                        <w:pPr>
                          <w:spacing w:before="0" w:line="212" w:lineRule="exact"/>
                          <w:ind w:left="147" w:right="0" w:firstLine="0"/>
                          <w:jc w:val="left"/>
                          <w:rPr>
                            <w:b/>
                            <w:sz w:val="19"/>
                          </w:rPr>
                        </w:pPr>
                        <w:r>
                          <w:rPr>
                            <w:b/>
                            <w:color w:val="0F0F0F"/>
                            <w:w w:val="105"/>
                            <w:sz w:val="19"/>
                          </w:rPr>
                          <w:t>Part</w:t>
                        </w:r>
                        <w:r>
                          <w:rPr>
                            <w:b/>
                            <w:color w:val="0F0F0F"/>
                            <w:spacing w:val="-14"/>
                            <w:w w:val="105"/>
                            <w:sz w:val="19"/>
                          </w:rPr>
                          <w:t> </w:t>
                        </w:r>
                        <w:r>
                          <w:rPr>
                            <w:b/>
                            <w:color w:val="0F0F0F"/>
                            <w:w w:val="105"/>
                            <w:sz w:val="19"/>
                          </w:rPr>
                          <w:t>nationalised</w:t>
                        </w:r>
                        <w:r>
                          <w:rPr>
                            <w:b/>
                            <w:color w:val="0F0F0F"/>
                            <w:spacing w:val="3"/>
                            <w:w w:val="105"/>
                            <w:sz w:val="19"/>
                          </w:rPr>
                          <w:t> </w:t>
                        </w:r>
                        <w:r>
                          <w:rPr>
                            <w:b/>
                            <w:color w:val="0F0F0F"/>
                            <w:spacing w:val="-2"/>
                            <w:w w:val="105"/>
                            <w:sz w:val="19"/>
                          </w:rPr>
                          <w:t>banks</w:t>
                        </w:r>
                      </w:p>
                      <w:p>
                        <w:pPr>
                          <w:spacing w:before="107" w:line="208" w:lineRule="auto"/>
                          <w:ind w:left="145" w:right="1327" w:hanging="146"/>
                          <w:jc w:val="left"/>
                          <w:rPr>
                            <w:b/>
                            <w:sz w:val="19"/>
                          </w:rPr>
                        </w:pPr>
                        <w:r>
                          <w:rPr>
                            <w:color w:val="C1C1C1"/>
                            <w:sz w:val="39"/>
                          </w:rPr>
                          <w:t>I</w:t>
                        </w:r>
                        <w:r>
                          <w:rPr>
                            <w:color w:val="C1C1C1"/>
                            <w:spacing w:val="-30"/>
                            <w:sz w:val="39"/>
                          </w:rPr>
                          <w:t> </w:t>
                        </w:r>
                        <w:r>
                          <w:rPr>
                            <w:b/>
                            <w:color w:val="0F0F0F"/>
                            <w:sz w:val="19"/>
                          </w:rPr>
                          <w:t>Unrated</w:t>
                        </w:r>
                        <w:r>
                          <w:rPr>
                            <w:b/>
                            <w:color w:val="0F0F0F"/>
                            <w:spacing w:val="-6"/>
                            <w:sz w:val="19"/>
                          </w:rPr>
                          <w:t> </w:t>
                        </w:r>
                        <w:r>
                          <w:rPr>
                            <w:b/>
                            <w:color w:val="0F0F0F"/>
                            <w:sz w:val="19"/>
                          </w:rPr>
                          <w:t>Building Societies or</w:t>
                        </w:r>
                      </w:p>
                      <w:p>
                        <w:pPr>
                          <w:tabs>
                            <w:tab w:val="left" w:leader="none" w:pos="2668"/>
                          </w:tabs>
                          <w:spacing w:before="17"/>
                          <w:ind w:left="21" w:right="0" w:firstLine="0"/>
                          <w:jc w:val="left"/>
                          <w:rPr>
                            <w:sz w:val="19"/>
                          </w:rPr>
                        </w:pPr>
                        <w:r>
                          <w:rPr>
                            <w:color w:val="AFAFAF"/>
                            <w:sz w:val="19"/>
                            <w:vertAlign w:val="superscript"/>
                          </w:rPr>
                          <w:t>1</w:t>
                        </w:r>
                        <w:r>
                          <w:rPr>
                            <w:color w:val="AFAFAF"/>
                            <w:spacing w:val="35"/>
                            <w:sz w:val="19"/>
                            <w:vertAlign w:val="baseline"/>
                          </w:rPr>
                          <w:t> </w:t>
                        </w:r>
                        <w:r>
                          <w:rPr>
                            <w:b/>
                            <w:color w:val="0F0F0F"/>
                            <w:sz w:val="19"/>
                            <w:vertAlign w:val="baseline"/>
                          </w:rPr>
                          <w:t>with</w:t>
                        </w:r>
                        <w:r>
                          <w:rPr>
                            <w:b/>
                            <w:color w:val="0F0F0F"/>
                            <w:spacing w:val="12"/>
                            <w:sz w:val="19"/>
                            <w:vertAlign w:val="baseline"/>
                          </w:rPr>
                          <w:t> </w:t>
                        </w:r>
                        <w:r>
                          <w:rPr>
                            <w:b/>
                            <w:color w:val="0F0F0F"/>
                            <w:sz w:val="19"/>
                            <w:vertAlign w:val="baseline"/>
                          </w:rPr>
                          <w:t>rating</w:t>
                        </w:r>
                        <w:r>
                          <w:rPr>
                            <w:b/>
                            <w:color w:val="0F0F0F"/>
                            <w:spacing w:val="15"/>
                            <w:sz w:val="19"/>
                            <w:vertAlign w:val="baseline"/>
                          </w:rPr>
                          <w:t> </w:t>
                        </w:r>
                        <w:r>
                          <w:rPr>
                            <w:b/>
                            <w:color w:val="0F0F0F"/>
                            <w:sz w:val="19"/>
                            <w:vertAlign w:val="baseline"/>
                          </w:rPr>
                          <w:t>below</w:t>
                        </w:r>
                        <w:r>
                          <w:rPr>
                            <w:b/>
                            <w:color w:val="0F0F0F"/>
                            <w:spacing w:val="15"/>
                            <w:sz w:val="19"/>
                            <w:vertAlign w:val="baseline"/>
                          </w:rPr>
                          <w:t> </w:t>
                        </w:r>
                        <w:r>
                          <w:rPr>
                            <w:b/>
                            <w:color w:val="0F0F0F"/>
                            <w:sz w:val="19"/>
                            <w:vertAlign w:val="baseline"/>
                          </w:rPr>
                          <w:t>A</w:t>
                        </w:r>
                        <w:r>
                          <w:rPr>
                            <w:b/>
                            <w:color w:val="0F0F0F"/>
                            <w:spacing w:val="7"/>
                            <w:sz w:val="19"/>
                            <w:vertAlign w:val="baseline"/>
                          </w:rPr>
                          <w:t> </w:t>
                        </w:r>
                        <w:r>
                          <w:rPr>
                            <w:color w:val="0F0F0F"/>
                            <w:spacing w:val="-10"/>
                            <w:sz w:val="19"/>
                            <w:vertAlign w:val="baseline"/>
                          </w:rPr>
                          <w:t>-</w:t>
                        </w:r>
                        <w:r>
                          <w:rPr>
                            <w:color w:val="0F0F0F"/>
                            <w:sz w:val="19"/>
                            <w:vertAlign w:val="baseline"/>
                          </w:rPr>
                          <w:tab/>
                        </w:r>
                        <w:r>
                          <w:rPr>
                            <w:color w:val="0F0F0F"/>
                            <w:spacing w:val="-5"/>
                            <w:sz w:val="19"/>
                            <w:vertAlign w:val="baseline"/>
                          </w:rPr>
                          <w:t>£3m</w:t>
                        </w:r>
                      </w:p>
                    </w:txbxContent>
                  </v:textbox>
                  <w10:wrap type="none"/>
                </v:shape>
                <v:shape id="docshape301" style="position:absolute;left:1329;top:-715;width:102;height:549" filled="false" stroked="false" type="#_x0000_t202">
                  <v:textbox inset="0,0,0,0">
                    <w:txbxContent>
                      <w:p>
                        <w:pPr>
                          <w:spacing w:before="0" w:line="548" w:lineRule="exact"/>
                          <w:ind w:left="0" w:right="0" w:firstLine="0"/>
                          <w:jc w:val="left"/>
                          <w:rPr>
                            <w:sz w:val="49"/>
                          </w:rPr>
                        </w:pPr>
                        <w:r>
                          <w:rPr>
                            <w:color w:val="C1C1C1"/>
                            <w:spacing w:val="-10"/>
                            <w:w w:val="70"/>
                            <w:sz w:val="49"/>
                          </w:rPr>
                          <w:t>I</w:t>
                        </w:r>
                      </w:p>
                    </w:txbxContent>
                  </v:textbox>
                  <w10:wrap type="none"/>
                </v:shape>
                <v:shape id="docshape302" style="position:absolute;left:1488;top:-703;width:1398;height:444" filled="false" stroked="false" type="#_x0000_t202">
                  <v:textbox inset="0,0,0,0">
                    <w:txbxContent>
                      <w:p>
                        <w:pPr>
                          <w:spacing w:before="0" w:line="254" w:lineRule="auto"/>
                          <w:ind w:left="5" w:right="18" w:hanging="6"/>
                          <w:jc w:val="left"/>
                          <w:rPr>
                            <w:b/>
                            <w:sz w:val="19"/>
                          </w:rPr>
                        </w:pPr>
                        <w:r>
                          <w:rPr>
                            <w:b/>
                            <w:color w:val="0F0F0F"/>
                            <w:w w:val="105"/>
                            <w:sz w:val="19"/>
                          </w:rPr>
                          <w:t>min</w:t>
                        </w:r>
                        <w:r>
                          <w:rPr>
                            <w:b/>
                            <w:color w:val="0F0F0F"/>
                            <w:spacing w:val="-14"/>
                            <w:w w:val="105"/>
                            <w:sz w:val="19"/>
                          </w:rPr>
                          <w:t> </w:t>
                        </w:r>
                        <w:r>
                          <w:rPr>
                            <w:b/>
                            <w:color w:val="0F0F0F"/>
                            <w:w w:val="105"/>
                            <w:sz w:val="19"/>
                          </w:rPr>
                          <w:t>£38</w:t>
                        </w:r>
                        <w:r>
                          <w:rPr>
                            <w:b/>
                            <w:color w:val="0F0F0F"/>
                            <w:spacing w:val="13"/>
                            <w:w w:val="105"/>
                            <w:sz w:val="19"/>
                          </w:rPr>
                          <w:t> </w:t>
                        </w:r>
                        <w:r>
                          <w:rPr>
                            <w:b/>
                            <w:color w:val="0F0F0F"/>
                            <w:w w:val="105"/>
                            <w:sz w:val="19"/>
                          </w:rPr>
                          <w:t>Asset </w:t>
                        </w:r>
                        <w:r>
                          <w:rPr>
                            <w:b/>
                            <w:color w:val="0F0F0F"/>
                            <w:spacing w:val="-4"/>
                            <w:w w:val="105"/>
                            <w:sz w:val="19"/>
                          </w:rPr>
                          <w:t>Size</w:t>
                        </w:r>
                      </w:p>
                    </w:txbxContent>
                  </v:textbox>
                  <w10:wrap type="none"/>
                </v:shape>
                <v:shape id="docshape303" style="position:absolute;left:1341;top:-126;width:2229;height:1112" filled="false" stroked="false" type="#_x0000_t202">
                  <v:textbox inset="0,0,0,0">
                    <w:txbxContent>
                      <w:p>
                        <w:pPr>
                          <w:spacing w:before="0" w:line="212" w:lineRule="exact"/>
                          <w:ind w:left="149" w:right="0" w:firstLine="0"/>
                          <w:jc w:val="left"/>
                          <w:rPr>
                            <w:sz w:val="19"/>
                          </w:rPr>
                        </w:pPr>
                        <w:r>
                          <w:rPr>
                            <w:b/>
                            <w:color w:val="0F0F0F"/>
                            <w:w w:val="105"/>
                            <w:sz w:val="19"/>
                          </w:rPr>
                          <w:t>Barclays</w:t>
                        </w:r>
                        <w:r>
                          <w:rPr>
                            <w:b/>
                            <w:color w:val="0F0F0F"/>
                            <w:spacing w:val="-4"/>
                            <w:w w:val="105"/>
                            <w:sz w:val="19"/>
                          </w:rPr>
                          <w:t> </w:t>
                        </w:r>
                        <w:r>
                          <w:rPr>
                            <w:b/>
                            <w:color w:val="0F0F0F"/>
                            <w:w w:val="105"/>
                            <w:sz w:val="19"/>
                          </w:rPr>
                          <w:t>Bank</w:t>
                        </w:r>
                        <w:r>
                          <w:rPr>
                            <w:b/>
                            <w:color w:val="0F0F0F"/>
                            <w:spacing w:val="-14"/>
                            <w:w w:val="105"/>
                            <w:sz w:val="19"/>
                          </w:rPr>
                          <w:t> </w:t>
                        </w:r>
                        <w:r>
                          <w:rPr>
                            <w:color w:val="0F0F0F"/>
                            <w:spacing w:val="-10"/>
                            <w:w w:val="105"/>
                            <w:sz w:val="19"/>
                          </w:rPr>
                          <w:t>-</w:t>
                        </w:r>
                      </w:p>
                      <w:p>
                        <w:pPr>
                          <w:spacing w:before="17"/>
                          <w:ind w:left="154" w:right="0" w:firstLine="0"/>
                          <w:jc w:val="left"/>
                          <w:rPr>
                            <w:b/>
                            <w:sz w:val="19"/>
                          </w:rPr>
                        </w:pPr>
                        <w:r>
                          <w:rPr>
                            <w:b/>
                            <w:color w:val="0F0F0F"/>
                            <w:w w:val="105"/>
                            <w:sz w:val="19"/>
                          </w:rPr>
                          <w:t>Council's</w:t>
                        </w:r>
                        <w:r>
                          <w:rPr>
                            <w:b/>
                            <w:color w:val="0F0F0F"/>
                            <w:spacing w:val="-8"/>
                            <w:w w:val="105"/>
                            <w:sz w:val="19"/>
                          </w:rPr>
                          <w:t> </w:t>
                        </w:r>
                        <w:r>
                          <w:rPr>
                            <w:b/>
                            <w:color w:val="0F0F0F"/>
                            <w:spacing w:val="-2"/>
                            <w:w w:val="105"/>
                            <w:sz w:val="19"/>
                          </w:rPr>
                          <w:t>banker</w:t>
                        </w:r>
                      </w:p>
                      <w:p>
                        <w:pPr>
                          <w:spacing w:before="7" w:line="454" w:lineRule="exact"/>
                          <w:ind w:left="0" w:right="0" w:firstLine="0"/>
                          <w:jc w:val="left"/>
                          <w:rPr>
                            <w:sz w:val="19"/>
                          </w:rPr>
                        </w:pPr>
                        <w:r>
                          <w:rPr>
                            <w:color w:val="C1C1C1"/>
                            <w:sz w:val="41"/>
                          </w:rPr>
                          <w:t>I</w:t>
                        </w:r>
                        <w:r>
                          <w:rPr>
                            <w:color w:val="C1C1C1"/>
                            <w:spacing w:val="-37"/>
                            <w:sz w:val="41"/>
                          </w:rPr>
                          <w:t> </w:t>
                        </w:r>
                        <w:r>
                          <w:rPr>
                            <w:b/>
                            <w:color w:val="0F0F0F"/>
                            <w:sz w:val="19"/>
                          </w:rPr>
                          <w:t>Money</w:t>
                        </w:r>
                        <w:r>
                          <w:rPr>
                            <w:b/>
                            <w:color w:val="0F0F0F"/>
                            <w:spacing w:val="12"/>
                            <w:sz w:val="19"/>
                          </w:rPr>
                          <w:t> </w:t>
                        </w:r>
                        <w:r>
                          <w:rPr>
                            <w:b/>
                            <w:color w:val="0F0F0F"/>
                            <w:sz w:val="19"/>
                          </w:rPr>
                          <w:t>market</w:t>
                        </w:r>
                        <w:r>
                          <w:rPr>
                            <w:b/>
                            <w:color w:val="0F0F0F"/>
                            <w:spacing w:val="17"/>
                            <w:sz w:val="19"/>
                          </w:rPr>
                          <w:t> </w:t>
                        </w:r>
                        <w:r>
                          <w:rPr>
                            <w:b/>
                            <w:color w:val="0F0F0F"/>
                            <w:sz w:val="19"/>
                          </w:rPr>
                          <w:t>funds</w:t>
                        </w:r>
                        <w:r>
                          <w:rPr>
                            <w:b/>
                            <w:color w:val="0F0F0F"/>
                            <w:spacing w:val="10"/>
                            <w:sz w:val="19"/>
                          </w:rPr>
                          <w:t> </w:t>
                        </w:r>
                        <w:r>
                          <w:rPr>
                            <w:color w:val="0F0F0F"/>
                            <w:spacing w:val="-10"/>
                            <w:sz w:val="19"/>
                          </w:rPr>
                          <w:t>-</w:t>
                        </w:r>
                      </w:p>
                      <w:p>
                        <w:pPr>
                          <w:spacing w:before="0" w:line="201" w:lineRule="exact"/>
                          <w:ind w:left="153" w:right="0" w:firstLine="0"/>
                          <w:jc w:val="left"/>
                          <w:rPr>
                            <w:b/>
                            <w:sz w:val="19"/>
                          </w:rPr>
                        </w:pPr>
                        <w:r>
                          <w:rPr>
                            <w:b/>
                            <w:color w:val="0F0F0F"/>
                            <w:spacing w:val="-5"/>
                            <w:sz w:val="19"/>
                          </w:rPr>
                          <w:t>AAA</w:t>
                        </w:r>
                      </w:p>
                    </w:txbxContent>
                  </v:textbox>
                  <w10:wrap type="none"/>
                </v:shape>
                <v:shape id="docshape304" style="position:absolute;left:4007;top:-11;width:412;height:213" filled="false" stroked="false" type="#_x0000_t202">
                  <v:textbox inset="0,0,0,0">
                    <w:txbxContent>
                      <w:p>
                        <w:pPr>
                          <w:spacing w:before="0" w:line="212" w:lineRule="exact"/>
                          <w:ind w:left="0" w:right="0" w:firstLine="0"/>
                          <w:jc w:val="left"/>
                          <w:rPr>
                            <w:sz w:val="19"/>
                          </w:rPr>
                        </w:pPr>
                        <w:r>
                          <w:rPr>
                            <w:color w:val="0F0F0F"/>
                            <w:spacing w:val="-5"/>
                            <w:sz w:val="19"/>
                          </w:rPr>
                          <w:t>£Sm</w:t>
                        </w:r>
                      </w:p>
                    </w:txbxContent>
                  </v:textbox>
                  <w10:wrap type="none"/>
                </v:shape>
                <v:shape id="docshape305" style="position:absolute;left:6170;top:-71;width:102;height:549" filled="false" stroked="false" type="#_x0000_t202">
                  <v:textbox inset="0,0,0,0">
                    <w:txbxContent>
                      <w:p>
                        <w:pPr>
                          <w:spacing w:before="0" w:line="548" w:lineRule="exact"/>
                          <w:ind w:left="0" w:right="0" w:firstLine="0"/>
                          <w:jc w:val="left"/>
                          <w:rPr>
                            <w:sz w:val="49"/>
                          </w:rPr>
                        </w:pPr>
                        <w:r>
                          <w:rPr>
                            <w:color w:val="CFCFCF"/>
                            <w:spacing w:val="-10"/>
                            <w:w w:val="70"/>
                            <w:sz w:val="49"/>
                          </w:rPr>
                          <w:t>I</w:t>
                        </w:r>
                      </w:p>
                    </w:txbxContent>
                  </v:textbox>
                  <w10:wrap type="none"/>
                </v:shape>
                <v:shape id="docshape306" style="position:absolute;left:8518;top:202;width:85;height:247" filled="false" stroked="false" type="#_x0000_t202">
                  <v:textbox inset="0,0,0,0">
                    <w:txbxContent>
                      <w:p>
                        <w:pPr>
                          <w:spacing w:before="0" w:line="246" w:lineRule="exact"/>
                          <w:ind w:left="0" w:right="0" w:firstLine="0"/>
                          <w:jc w:val="left"/>
                          <w:rPr>
                            <w:sz w:val="22"/>
                          </w:rPr>
                        </w:pPr>
                        <w:r>
                          <w:rPr>
                            <w:color w:val="AFAFAF"/>
                            <w:spacing w:val="-10"/>
                            <w:w w:val="105"/>
                            <w:sz w:val="22"/>
                          </w:rPr>
                          <w:t>I</w:t>
                        </w:r>
                      </w:p>
                    </w:txbxContent>
                  </v:textbox>
                  <w10:wrap type="none"/>
                </v:shape>
                <v:shape id="docshape307" style="position:absolute;left:1490;top:1210;width:1926;height:1246" filled="false" stroked="false" type="#_x0000_t202">
                  <v:textbox inset="0,0,0,0">
                    <w:txbxContent>
                      <w:p>
                        <w:pPr>
                          <w:spacing w:before="0" w:line="254" w:lineRule="auto"/>
                          <w:ind w:left="2" w:right="0" w:firstLine="2"/>
                          <w:jc w:val="left"/>
                          <w:rPr>
                            <w:b/>
                            <w:sz w:val="19"/>
                          </w:rPr>
                        </w:pPr>
                        <w:r>
                          <w:rPr>
                            <w:b/>
                            <w:color w:val="0F0F0F"/>
                            <w:w w:val="105"/>
                            <w:sz w:val="19"/>
                          </w:rPr>
                          <w:t>Enhanced Money market</w:t>
                        </w:r>
                        <w:r>
                          <w:rPr>
                            <w:b/>
                            <w:color w:val="0F0F0F"/>
                            <w:spacing w:val="-12"/>
                            <w:w w:val="105"/>
                            <w:sz w:val="19"/>
                          </w:rPr>
                          <w:t> </w:t>
                        </w:r>
                        <w:r>
                          <w:rPr>
                            <w:b/>
                            <w:color w:val="0F0F0F"/>
                            <w:w w:val="105"/>
                            <w:sz w:val="19"/>
                          </w:rPr>
                          <w:t>funds</w:t>
                        </w:r>
                        <w:r>
                          <w:rPr>
                            <w:b/>
                            <w:color w:val="0F0F0F"/>
                            <w:spacing w:val="-12"/>
                            <w:w w:val="105"/>
                            <w:sz w:val="19"/>
                          </w:rPr>
                          <w:t> </w:t>
                        </w:r>
                        <w:r>
                          <w:rPr>
                            <w:color w:val="0F0F0F"/>
                            <w:w w:val="105"/>
                            <w:sz w:val="19"/>
                          </w:rPr>
                          <w:t>-</w:t>
                        </w:r>
                        <w:r>
                          <w:rPr>
                            <w:color w:val="0F0F0F"/>
                            <w:spacing w:val="26"/>
                            <w:w w:val="105"/>
                            <w:sz w:val="19"/>
                          </w:rPr>
                          <w:t> </w:t>
                        </w:r>
                        <w:r>
                          <w:rPr>
                            <w:b/>
                            <w:color w:val="0F0F0F"/>
                            <w:w w:val="105"/>
                            <w:sz w:val="19"/>
                          </w:rPr>
                          <w:t>AAA</w:t>
                        </w:r>
                      </w:p>
                      <w:p>
                        <w:pPr>
                          <w:spacing w:before="87" w:line="254" w:lineRule="auto"/>
                          <w:ind w:left="4" w:right="202" w:hanging="5"/>
                          <w:jc w:val="left"/>
                          <w:rPr>
                            <w:b/>
                            <w:sz w:val="19"/>
                          </w:rPr>
                        </w:pPr>
                        <w:r>
                          <w:rPr>
                            <w:b/>
                            <w:color w:val="0F0F0F"/>
                            <w:w w:val="105"/>
                            <w:sz w:val="19"/>
                          </w:rPr>
                          <w:t>Debt</w:t>
                        </w:r>
                        <w:r>
                          <w:rPr>
                            <w:b/>
                            <w:color w:val="0F0F0F"/>
                            <w:spacing w:val="-14"/>
                            <w:w w:val="105"/>
                            <w:sz w:val="19"/>
                          </w:rPr>
                          <w:t> </w:t>
                        </w:r>
                        <w:r>
                          <w:rPr>
                            <w:b/>
                            <w:color w:val="0F0F0F"/>
                            <w:w w:val="105"/>
                            <w:sz w:val="19"/>
                          </w:rPr>
                          <w:t>Management Account Deposit </w:t>
                        </w:r>
                        <w:r>
                          <w:rPr>
                            <w:b/>
                            <w:color w:val="0F0F0F"/>
                            <w:spacing w:val="-2"/>
                            <w:w w:val="105"/>
                            <w:sz w:val="19"/>
                          </w:rPr>
                          <w:t>Facility</w:t>
                        </w:r>
                      </w:p>
                    </w:txbxContent>
                  </v:textbox>
                  <w10:wrap type="none"/>
                </v:shape>
                <v:shape id="docshape308" style="position:absolute;left:4009;top:2012;width:845;height:213" filled="false" stroked="false" type="#_x0000_t202">
                  <v:textbox inset="0,0,0,0">
                    <w:txbxContent>
                      <w:p>
                        <w:pPr>
                          <w:spacing w:before="0" w:line="212" w:lineRule="exact"/>
                          <w:ind w:left="0" w:right="0" w:firstLine="0"/>
                          <w:jc w:val="left"/>
                          <w:rPr>
                            <w:sz w:val="19"/>
                          </w:rPr>
                        </w:pPr>
                        <w:r>
                          <w:rPr>
                            <w:color w:val="0F0F0F"/>
                            <w:spacing w:val="-2"/>
                            <w:w w:val="105"/>
                            <w:sz w:val="19"/>
                          </w:rPr>
                          <w:t>Unlimited</w:t>
                        </w:r>
                      </w:p>
                    </w:txbxContent>
                  </v:textbox>
                  <w10:wrap type="none"/>
                </v:shape>
                <v:shape id="docshape309" style="position:absolute;left:8492;top:1995;width:102;height:549" filled="false" stroked="false" type="#_x0000_t202">
                  <v:textbox inset="0,0,0,0">
                    <w:txbxContent>
                      <w:p>
                        <w:pPr>
                          <w:spacing w:before="0" w:line="548" w:lineRule="exact"/>
                          <w:ind w:left="0" w:right="0" w:firstLine="0"/>
                          <w:jc w:val="left"/>
                          <w:rPr>
                            <w:sz w:val="49"/>
                          </w:rPr>
                        </w:pPr>
                        <w:r>
                          <w:rPr>
                            <w:color w:val="C1C1C1"/>
                            <w:spacing w:val="-10"/>
                            <w:w w:val="70"/>
                            <w:sz w:val="49"/>
                          </w:rPr>
                          <w:t>I</w:t>
                        </w:r>
                      </w:p>
                    </w:txbxContent>
                  </v:textbox>
                  <w10:wrap type="none"/>
                </v:shape>
                <v:shape id="docshape310" style="position:absolute;left:8505;top:1055;width:103;height:726" filled="false" stroked="false" type="#_x0000_t202">
                  <v:textbox inset="0,0,0,0">
                    <w:txbxContent>
                      <w:p>
                        <w:pPr>
                          <w:spacing w:before="0" w:line="391" w:lineRule="exact"/>
                          <w:ind w:left="0" w:right="0" w:firstLine="0"/>
                          <w:jc w:val="left"/>
                          <w:rPr>
                            <w:sz w:val="35"/>
                          </w:rPr>
                        </w:pPr>
                        <w:r>
                          <w:rPr>
                            <w:color w:val="C1C1C1"/>
                            <w:spacing w:val="-10"/>
                            <w:w w:val="95"/>
                            <w:sz w:val="35"/>
                          </w:rPr>
                          <w:t>I</w:t>
                        </w:r>
                      </w:p>
                      <w:p>
                        <w:pPr>
                          <w:spacing w:before="47"/>
                          <w:ind w:left="9" w:right="0" w:firstLine="0"/>
                          <w:jc w:val="left"/>
                          <w:rPr>
                            <w:sz w:val="25"/>
                          </w:rPr>
                        </w:pPr>
                        <w:r>
                          <w:rPr>
                            <w:color w:val="C1C1C1"/>
                            <w:spacing w:val="-10"/>
                            <w:w w:val="105"/>
                            <w:sz w:val="25"/>
                          </w:rPr>
                          <w:t>I</w:t>
                        </w:r>
                      </w:p>
                    </w:txbxContent>
                  </v:textbox>
                  <w10:wrap type="none"/>
                </v:shape>
                <v:shape id="docshape311" style="position:absolute;left:6184;top:1096;width:118;height:703" filled="false" stroked="false" type="#_x0000_t202">
                  <v:textbox inset="0,0,0,0">
                    <w:txbxContent>
                      <w:p>
                        <w:pPr>
                          <w:spacing w:before="0" w:line="379" w:lineRule="exact"/>
                          <w:ind w:left="0" w:right="0" w:firstLine="0"/>
                          <w:jc w:val="left"/>
                          <w:rPr>
                            <w:sz w:val="39"/>
                          </w:rPr>
                        </w:pPr>
                        <w:r>
                          <w:rPr>
                            <w:color w:val="CFCFCF"/>
                            <w:spacing w:val="-10"/>
                            <w:w w:val="75"/>
                            <w:sz w:val="39"/>
                          </w:rPr>
                          <w:t>I</w:t>
                        </w:r>
                      </w:p>
                      <w:p>
                        <w:pPr>
                          <w:spacing w:before="0" w:line="323" w:lineRule="exact"/>
                          <w:ind w:left="0" w:right="0" w:firstLine="0"/>
                          <w:jc w:val="left"/>
                          <w:rPr>
                            <w:sz w:val="33"/>
                          </w:rPr>
                        </w:pPr>
                        <w:r>
                          <w:rPr>
                            <w:color w:val="CFCFCF"/>
                            <w:spacing w:val="-10"/>
                            <w:w w:val="105"/>
                            <w:sz w:val="33"/>
                          </w:rPr>
                          <w:t>I</w:t>
                        </w:r>
                      </w:p>
                    </w:txbxContent>
                  </v:textbox>
                  <w10:wrap type="none"/>
                </v:shape>
                <v:shape id="docshape312" style="position:absolute;left:4012;top:1325;width:412;height:213" filled="false" stroked="false" type="#_x0000_t202">
                  <v:textbox inset="0,0,0,0">
                    <w:txbxContent>
                      <w:p>
                        <w:pPr>
                          <w:spacing w:before="0" w:line="212" w:lineRule="exact"/>
                          <w:ind w:left="0" w:right="0" w:firstLine="0"/>
                          <w:jc w:val="left"/>
                          <w:rPr>
                            <w:sz w:val="19"/>
                          </w:rPr>
                        </w:pPr>
                        <w:r>
                          <w:rPr>
                            <w:color w:val="0F0F0F"/>
                            <w:spacing w:val="-5"/>
                            <w:sz w:val="19"/>
                          </w:rPr>
                          <w:t>£Sm</w:t>
                        </w:r>
                      </w:p>
                    </w:txbxContent>
                  </v:textbox>
                  <w10:wrap type="none"/>
                </v:shape>
                <v:shape id="docshape313" style="position:absolute;left:6214;top:409;width:4621;height:659" filled="false" stroked="false" type="#_x0000_t202">
                  <v:textbox inset="0,0,0,0">
                    <w:txbxContent>
                      <w:p>
                        <w:pPr>
                          <w:spacing w:before="131" w:line="254" w:lineRule="auto"/>
                          <w:ind w:left="2437" w:right="704" w:hanging="1"/>
                          <w:jc w:val="left"/>
                          <w:rPr>
                            <w:sz w:val="19"/>
                          </w:rPr>
                        </w:pPr>
                        <w:r>
                          <w:rPr>
                            <w:color w:val="0F0F0F"/>
                            <w:w w:val="105"/>
                            <w:sz w:val="19"/>
                          </w:rPr>
                          <w:t>3 deposits not exceeding</w:t>
                        </w:r>
                        <w:r>
                          <w:rPr>
                            <w:color w:val="0F0F0F"/>
                            <w:spacing w:val="-14"/>
                            <w:w w:val="105"/>
                            <w:sz w:val="19"/>
                          </w:rPr>
                          <w:t> </w:t>
                        </w:r>
                        <w:r>
                          <w:rPr>
                            <w:color w:val="0F0F0F"/>
                            <w:w w:val="105"/>
                            <w:sz w:val="19"/>
                          </w:rPr>
                          <w:t>£10m</w:t>
                        </w:r>
                      </w:p>
                    </w:txbxContent>
                  </v:textbox>
                  <w10:wrap type="none"/>
                </v:shape>
                <v:shape id="docshape314" style="position:absolute;left:3889;top:402;width:2318;height:673" filled="false" stroked="true" strokecolor="#000000" strokeweight=".721161pt" type="#_x0000_t202">
                  <v:textbox inset="0,0,0,0">
                    <w:txbxContent>
                      <w:p>
                        <w:pPr>
                          <w:spacing w:before="23" w:line="240" w:lineRule="auto"/>
                          <w:rPr>
                            <w:sz w:val="19"/>
                          </w:rPr>
                        </w:pPr>
                      </w:p>
                      <w:p>
                        <w:pPr>
                          <w:spacing w:before="0"/>
                          <w:ind w:left="115" w:right="0" w:firstLine="0"/>
                          <w:jc w:val="left"/>
                          <w:rPr>
                            <w:sz w:val="19"/>
                          </w:rPr>
                        </w:pPr>
                        <w:r>
                          <w:rPr>
                            <w:color w:val="0F0F0F"/>
                            <w:spacing w:val="-4"/>
                            <w:w w:val="105"/>
                            <w:sz w:val="19"/>
                          </w:rPr>
                          <w:t>£10m</w:t>
                        </w:r>
                      </w:p>
                    </w:txbxContent>
                  </v:textbox>
                  <v:stroke dashstyle="solid"/>
                  <w10:wrap type="none"/>
                </v:shape>
                <v:shape id="docshape315" style="position:absolute;left:6090;top:-1836;width:30;height:437" filled="false" stroked="false" type="#_x0000_t202">
                  <v:textbox inset="0,0,0,0">
                    <w:txbxContent>
                      <w:p>
                        <w:pPr>
                          <w:spacing w:before="0" w:line="436" w:lineRule="exact"/>
                          <w:ind w:left="0" w:right="0" w:firstLine="0"/>
                          <w:jc w:val="left"/>
                          <w:rPr>
                            <w:sz w:val="39"/>
                          </w:rPr>
                        </w:pPr>
                        <w:r>
                          <w:rPr>
                            <w:color w:val="C1C1C1"/>
                            <w:spacing w:val="-10"/>
                            <w:w w:val="20"/>
                            <w:sz w:val="39"/>
                          </w:rPr>
                          <w:t>I</w:t>
                        </w:r>
                      </w:p>
                    </w:txbxContent>
                  </v:textbox>
                  <w10:wrap type="none"/>
                </v:shape>
                <v:shape id="docshape316" style="position:absolute;left:4007;top:-1851;width:520;height:213" filled="false" stroked="false" type="#_x0000_t202">
                  <v:textbox inset="0,0,0,0">
                    <w:txbxContent>
                      <w:p>
                        <w:pPr>
                          <w:spacing w:before="0" w:line="212" w:lineRule="exact"/>
                          <w:ind w:left="0" w:right="0" w:firstLine="0"/>
                          <w:jc w:val="left"/>
                          <w:rPr>
                            <w:sz w:val="19"/>
                          </w:rPr>
                        </w:pPr>
                        <w:r>
                          <w:rPr>
                            <w:color w:val="0F0F0F"/>
                            <w:spacing w:val="-4"/>
                            <w:w w:val="105"/>
                            <w:sz w:val="19"/>
                          </w:rPr>
                          <w:t>£10m</w:t>
                        </w:r>
                      </w:p>
                    </w:txbxContent>
                  </v:textbox>
                  <w10:wrap type="none"/>
                </v:shape>
                <v:shape id="docshape317" style="position:absolute;left:6323;top:-2630;width:1483;height:439" filled="false" stroked="false" type="#_x0000_t202">
                  <v:textbox inset="0,0,0,0">
                    <w:txbxContent>
                      <w:p>
                        <w:pPr>
                          <w:spacing w:before="0" w:line="247" w:lineRule="auto"/>
                          <w:ind w:left="0" w:right="18" w:hanging="1"/>
                          <w:jc w:val="left"/>
                          <w:rPr>
                            <w:sz w:val="19"/>
                          </w:rPr>
                        </w:pPr>
                        <w:r>
                          <w:rPr>
                            <w:color w:val="0F0F0F"/>
                            <w:w w:val="105"/>
                            <w:sz w:val="19"/>
                          </w:rPr>
                          <w:t>5 deposits not exceeding</w:t>
                        </w:r>
                        <w:r>
                          <w:rPr>
                            <w:color w:val="0F0F0F"/>
                            <w:spacing w:val="-14"/>
                            <w:w w:val="105"/>
                            <w:sz w:val="19"/>
                          </w:rPr>
                          <w:t> </w:t>
                        </w:r>
                        <w:r>
                          <w:rPr>
                            <w:color w:val="0F0F0F"/>
                            <w:w w:val="105"/>
                            <w:sz w:val="19"/>
                          </w:rPr>
                          <w:t>£10m</w:t>
                        </w:r>
                      </w:p>
                    </w:txbxContent>
                  </v:textbox>
                  <w10:wrap type="none"/>
                </v:shape>
                <v:shape id="docshape318" style="position:absolute;left:4007;top:-2519;width:520;height:213" filled="false" stroked="false" type="#_x0000_t202">
                  <v:textbox inset="0,0,0,0">
                    <w:txbxContent>
                      <w:p>
                        <w:pPr>
                          <w:spacing w:before="0" w:line="212" w:lineRule="exact"/>
                          <w:ind w:left="0" w:right="0" w:firstLine="0"/>
                          <w:jc w:val="left"/>
                          <w:rPr>
                            <w:sz w:val="19"/>
                          </w:rPr>
                        </w:pPr>
                        <w:r>
                          <w:rPr>
                            <w:color w:val="0F0F0F"/>
                            <w:spacing w:val="-4"/>
                            <w:w w:val="105"/>
                            <w:sz w:val="19"/>
                          </w:rPr>
                          <w:t>£10m</w:t>
                        </w:r>
                      </w:p>
                    </w:txbxContent>
                  </v:textbox>
                  <w10:wrap type="none"/>
                </v:shape>
                <v:shape id="docshape319" style="position:absolute;left:1375;top:-2770;width:2515;height:668" filled="false" stroked="true" strokecolor="#000000" strokeweight=".721161pt" type="#_x0000_t202">
                  <v:textbox inset="0,0,0,0">
                    <w:txbxContent>
                      <w:p>
                        <w:pPr>
                          <w:spacing w:before="18" w:line="240" w:lineRule="auto"/>
                          <w:rPr>
                            <w:sz w:val="19"/>
                          </w:rPr>
                        </w:pPr>
                      </w:p>
                      <w:p>
                        <w:pPr>
                          <w:spacing w:before="1"/>
                          <w:ind w:left="103" w:right="0" w:firstLine="0"/>
                          <w:jc w:val="left"/>
                          <w:rPr>
                            <w:b/>
                            <w:sz w:val="19"/>
                          </w:rPr>
                        </w:pPr>
                        <w:r>
                          <w:rPr>
                            <w:b/>
                            <w:color w:val="0F0F0F"/>
                            <w:w w:val="105"/>
                            <w:sz w:val="19"/>
                          </w:rPr>
                          <w:t>Local</w:t>
                        </w:r>
                        <w:r>
                          <w:rPr>
                            <w:b/>
                            <w:color w:val="0F0F0F"/>
                            <w:spacing w:val="5"/>
                            <w:w w:val="105"/>
                            <w:sz w:val="19"/>
                          </w:rPr>
                          <w:t> </w:t>
                        </w:r>
                        <w:r>
                          <w:rPr>
                            <w:b/>
                            <w:color w:val="0F0F0F"/>
                            <w:spacing w:val="-2"/>
                            <w:w w:val="105"/>
                            <w:sz w:val="19"/>
                          </w:rPr>
                          <w:t>Authorities</w:t>
                        </w:r>
                      </w:p>
                    </w:txbxContent>
                  </v:textbox>
                  <v:stroke dashstyle="solid"/>
                  <w10:wrap type="none"/>
                </v:shape>
                <v:shape id="docshape320" style="position:absolute;left:1382;top:-3436;width:2501;height:659" filled="false" stroked="false" type="#_x0000_t202">
                  <v:textbox inset="0,0,0,0">
                    <w:txbxContent>
                      <w:p>
                        <w:pPr>
                          <w:spacing w:before="0" w:line="206" w:lineRule="exact"/>
                          <w:ind w:left="104" w:right="0" w:firstLine="0"/>
                          <w:jc w:val="left"/>
                          <w:rPr>
                            <w:b/>
                            <w:sz w:val="19"/>
                          </w:rPr>
                        </w:pPr>
                        <w:r>
                          <w:rPr>
                            <w:b/>
                            <w:color w:val="0F0F0F"/>
                            <w:w w:val="105"/>
                            <w:sz w:val="19"/>
                          </w:rPr>
                          <w:t>Medium</w:t>
                        </w:r>
                        <w:r>
                          <w:rPr>
                            <w:b/>
                            <w:color w:val="0F0F0F"/>
                            <w:spacing w:val="-5"/>
                            <w:w w:val="105"/>
                            <w:sz w:val="19"/>
                          </w:rPr>
                          <w:t> </w:t>
                        </w:r>
                        <w:r>
                          <w:rPr>
                            <w:b/>
                            <w:color w:val="0F0F0F"/>
                            <w:w w:val="105"/>
                            <w:sz w:val="19"/>
                          </w:rPr>
                          <w:t>Quality</w:t>
                        </w:r>
                        <w:r>
                          <w:rPr>
                            <w:b/>
                            <w:color w:val="0F0F0F"/>
                            <w:spacing w:val="-7"/>
                            <w:w w:val="105"/>
                            <w:sz w:val="19"/>
                          </w:rPr>
                          <w:t> </w:t>
                        </w:r>
                        <w:r>
                          <w:rPr>
                            <w:b/>
                            <w:color w:val="0F0F0F"/>
                            <w:spacing w:val="-2"/>
                            <w:w w:val="105"/>
                            <w:sz w:val="19"/>
                          </w:rPr>
                          <w:t>Rated</w:t>
                        </w:r>
                      </w:p>
                      <w:p>
                        <w:pPr>
                          <w:spacing w:before="0" w:line="254" w:lineRule="auto"/>
                          <w:ind w:left="108" w:right="0" w:hanging="5"/>
                          <w:jc w:val="left"/>
                          <w:rPr>
                            <w:b/>
                            <w:sz w:val="19"/>
                          </w:rPr>
                        </w:pPr>
                        <w:r>
                          <w:rPr>
                            <w:b/>
                            <w:color w:val="0F0F0F"/>
                            <w:w w:val="105"/>
                            <w:sz w:val="19"/>
                          </w:rPr>
                          <w:t>Non</w:t>
                        </w:r>
                        <w:r>
                          <w:rPr>
                            <w:b/>
                            <w:color w:val="0F0F0F"/>
                            <w:spacing w:val="-11"/>
                            <w:w w:val="105"/>
                            <w:sz w:val="19"/>
                          </w:rPr>
                          <w:t> </w:t>
                        </w:r>
                        <w:r>
                          <w:rPr>
                            <w:b/>
                            <w:color w:val="0F0F0F"/>
                            <w:w w:val="105"/>
                            <w:sz w:val="19"/>
                          </w:rPr>
                          <w:t>UK</w:t>
                        </w:r>
                        <w:r>
                          <w:rPr>
                            <w:b/>
                            <w:color w:val="0F0F0F"/>
                            <w:spacing w:val="-5"/>
                            <w:w w:val="105"/>
                            <w:sz w:val="19"/>
                          </w:rPr>
                          <w:t> </w:t>
                        </w:r>
                        <w:r>
                          <w:rPr>
                            <w:b/>
                            <w:color w:val="0F0F0F"/>
                            <w:w w:val="105"/>
                            <w:sz w:val="19"/>
                          </w:rPr>
                          <w:t>Banks</w:t>
                        </w:r>
                        <w:r>
                          <w:rPr>
                            <w:b/>
                            <w:color w:val="0F0F0F"/>
                            <w:spacing w:val="-13"/>
                            <w:w w:val="105"/>
                            <w:sz w:val="19"/>
                          </w:rPr>
                          <w:t> </w:t>
                        </w:r>
                        <w:r>
                          <w:rPr>
                            <w:color w:val="0F0F0F"/>
                            <w:w w:val="105"/>
                            <w:sz w:val="19"/>
                          </w:rPr>
                          <w:t>-</w:t>
                        </w:r>
                        <w:r>
                          <w:rPr>
                            <w:color w:val="0F0F0F"/>
                            <w:spacing w:val="40"/>
                            <w:w w:val="105"/>
                            <w:sz w:val="19"/>
                          </w:rPr>
                          <w:t> </w:t>
                        </w:r>
                        <w:r>
                          <w:rPr>
                            <w:b/>
                            <w:color w:val="0F0F0F"/>
                            <w:w w:val="105"/>
                            <w:sz w:val="19"/>
                          </w:rPr>
                          <w:t>rating </w:t>
                        </w:r>
                        <w:r>
                          <w:rPr>
                            <w:b/>
                            <w:color w:val="0F0F0F"/>
                            <w:spacing w:val="-4"/>
                            <w:w w:val="105"/>
                            <w:sz w:val="19"/>
                          </w:rPr>
                          <w:t>A+</w:t>
                        </w:r>
                        <w:r>
                          <w:rPr>
                            <w:b/>
                            <w:color w:val="3B3B3B"/>
                            <w:spacing w:val="-4"/>
                            <w:w w:val="105"/>
                            <w:sz w:val="19"/>
                          </w:rPr>
                          <w:t>,</w:t>
                        </w:r>
                        <w:r>
                          <w:rPr>
                            <w:b/>
                            <w:color w:val="0F0F0F"/>
                            <w:spacing w:val="-4"/>
                            <w:w w:val="105"/>
                            <w:sz w:val="19"/>
                          </w:rPr>
                          <w:t>A</w:t>
                        </w:r>
                      </w:p>
                    </w:txbxContent>
                  </v:textbox>
                  <w10:wrap type="none"/>
                </v:shape>
                <v:shape id="docshape321" style="position:absolute;left:8430;top:-6415;width:2400;height:1269" filled="false" stroked="false" type="#_x0000_t202">
                  <v:textbox inset="0,0,0,0">
                    <w:txbxContent>
                      <w:p>
                        <w:pPr>
                          <w:spacing w:before="13" w:line="249" w:lineRule="auto"/>
                          <w:ind w:left="280" w:right="169" w:firstLine="0"/>
                          <w:jc w:val="center"/>
                          <w:rPr>
                            <w:b/>
                            <w:sz w:val="21"/>
                          </w:rPr>
                        </w:pPr>
                        <w:r>
                          <w:rPr>
                            <w:b/>
                            <w:color w:val="0F0F0F"/>
                            <w:w w:val="105"/>
                            <w:sz w:val="21"/>
                          </w:rPr>
                          <w:t>Call</w:t>
                        </w:r>
                        <w:r>
                          <w:rPr>
                            <w:b/>
                            <w:color w:val="0F0F0F"/>
                            <w:spacing w:val="-9"/>
                            <w:w w:val="105"/>
                            <w:sz w:val="21"/>
                          </w:rPr>
                          <w:t> </w:t>
                        </w:r>
                        <w:r>
                          <w:rPr>
                            <w:b/>
                            <w:color w:val="0F0F0F"/>
                            <w:w w:val="105"/>
                            <w:sz w:val="21"/>
                          </w:rPr>
                          <w:t>deposits</w:t>
                        </w:r>
                        <w:r>
                          <w:rPr>
                            <w:b/>
                            <w:color w:val="0F0F0F"/>
                            <w:spacing w:val="-3"/>
                            <w:w w:val="105"/>
                            <w:sz w:val="21"/>
                          </w:rPr>
                          <w:t> </w:t>
                        </w:r>
                        <w:r>
                          <w:rPr>
                            <w:b/>
                            <w:color w:val="0F0F0F"/>
                            <w:w w:val="105"/>
                            <w:sz w:val="21"/>
                          </w:rPr>
                          <w:t>at</w:t>
                        </w:r>
                        <w:r>
                          <w:rPr>
                            <w:b/>
                            <w:color w:val="0F0F0F"/>
                            <w:spacing w:val="-15"/>
                            <w:w w:val="105"/>
                            <w:sz w:val="21"/>
                          </w:rPr>
                          <w:t> </w:t>
                        </w:r>
                        <w:r>
                          <w:rPr>
                            <w:b/>
                            <w:color w:val="0F0F0F"/>
                            <w:w w:val="105"/>
                            <w:sz w:val="21"/>
                          </w:rPr>
                          <w:t>31 March 2023 (included in cash and cash </w:t>
                        </w:r>
                        <w:r>
                          <w:rPr>
                            <w:b/>
                            <w:color w:val="0F0F0F"/>
                            <w:spacing w:val="-2"/>
                            <w:w w:val="105"/>
                            <w:sz w:val="21"/>
                          </w:rPr>
                          <w:t>equivalents}</w:t>
                        </w:r>
                      </w:p>
                    </w:txbxContent>
                  </v:textbox>
                  <w10:wrap type="none"/>
                </v:shape>
                <w10:wrap type="none"/>
              </v:group>
            </w:pict>
          </ve:Fallback>
        </ve:AlternateContent>
      </w:r>
      <w:r>
        <w:rPr>
          <w:color w:val="C1C1C1"/>
          <w:spacing w:val="-10"/>
          <w:w w:val="20"/>
          <w:sz w:val="30"/>
        </w:rPr>
        <w:t>I</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1"/>
      </w:pPr>
    </w:p>
    <w:p>
      <w:pPr>
        <w:pStyle w:val="BodyText"/>
        <w:ind w:left="1283" w:right="1111" w:hanging="1"/>
        <w:jc w:val="both"/>
      </w:pPr>
      <w:r>
        <w:rPr>
          <w:color w:val="0F0F0F"/>
        </w:rPr>
        <w:t>The </w:t>
      </w:r>
      <w:r>
        <w:rPr>
          <w:color w:val="1F1F1F"/>
        </w:rPr>
        <w:t>Council's </w:t>
      </w:r>
      <w:r>
        <w:rPr>
          <w:color w:val="0F0F0F"/>
        </w:rPr>
        <w:t>Treasury Management Strategy reduces credit</w:t>
      </w:r>
      <w:r>
        <w:rPr>
          <w:color w:val="0F0F0F"/>
          <w:spacing w:val="-4"/>
        </w:rPr>
        <w:t> </w:t>
      </w:r>
      <w:r>
        <w:rPr>
          <w:color w:val="1F1F1F"/>
        </w:rPr>
        <w:t>risk</w:t>
      </w:r>
      <w:r>
        <w:rPr>
          <w:color w:val="1F1F1F"/>
          <w:spacing w:val="-9"/>
        </w:rPr>
        <w:t> </w:t>
      </w:r>
      <w:r>
        <w:rPr>
          <w:color w:val="1F1F1F"/>
        </w:rPr>
        <w:t>further</w:t>
      </w:r>
      <w:r>
        <w:rPr>
          <w:color w:val="1F1F1F"/>
          <w:spacing w:val="-11"/>
        </w:rPr>
        <w:t> </w:t>
      </w:r>
      <w:r>
        <w:rPr>
          <w:color w:val="0F0F0F"/>
        </w:rPr>
        <w:t>by</w:t>
      </w:r>
      <w:r>
        <w:rPr>
          <w:color w:val="0F0F0F"/>
          <w:spacing w:val="-1"/>
        </w:rPr>
        <w:t> </w:t>
      </w:r>
      <w:r>
        <w:rPr>
          <w:color w:val="0F0F0F"/>
        </w:rPr>
        <w:t>limiting the</w:t>
      </w:r>
      <w:r>
        <w:rPr>
          <w:color w:val="0F0F0F"/>
          <w:spacing w:val="-16"/>
        </w:rPr>
        <w:t> </w:t>
      </w:r>
      <w:r>
        <w:rPr>
          <w:color w:val="0F0F0F"/>
        </w:rPr>
        <w:t>term</w:t>
      </w:r>
      <w:r>
        <w:rPr>
          <w:color w:val="0F0F0F"/>
          <w:spacing w:val="-1"/>
        </w:rPr>
        <w:t> </w:t>
      </w:r>
      <w:r>
        <w:rPr>
          <w:color w:val="0F0F0F"/>
        </w:rPr>
        <w:t>of investments depending on the credit criteria of </w:t>
      </w:r>
      <w:r>
        <w:rPr>
          <w:color w:val="1F1F1F"/>
        </w:rPr>
        <w:t>the financial </w:t>
      </w:r>
      <w:r>
        <w:rPr>
          <w:color w:val="3B3B3B"/>
        </w:rPr>
        <w:t>institution </w:t>
      </w:r>
      <w:r>
        <w:rPr>
          <w:color w:val="0F0F0F"/>
        </w:rPr>
        <w:t>and by limiting the amounts that may be</w:t>
      </w:r>
      <w:r>
        <w:rPr>
          <w:color w:val="0F0F0F"/>
          <w:spacing w:val="-2"/>
        </w:rPr>
        <w:t> </w:t>
      </w:r>
      <w:r>
        <w:rPr>
          <w:color w:val="0F0F0F"/>
        </w:rPr>
        <w:t>invested in any one country </w:t>
      </w:r>
      <w:r>
        <w:rPr>
          <w:color w:val="1F1F1F"/>
        </w:rPr>
        <w:t>(other than the</w:t>
      </w:r>
      <w:r>
        <w:rPr>
          <w:color w:val="1F1F1F"/>
          <w:spacing w:val="-3"/>
        </w:rPr>
        <w:t> </w:t>
      </w:r>
      <w:r>
        <w:rPr>
          <w:color w:val="1F1F1F"/>
        </w:rPr>
        <w:t>UK)</w:t>
      </w:r>
      <w:r>
        <w:rPr>
          <w:color w:val="676767"/>
        </w:rPr>
        <w:t>.</w:t>
      </w:r>
    </w:p>
    <w:p>
      <w:pPr>
        <w:pStyle w:val="BodyText"/>
        <w:spacing w:before="250"/>
        <w:ind w:left="1281"/>
        <w:jc w:val="both"/>
      </w:pPr>
      <w:r>
        <w:rPr>
          <w:color w:val="0F0F0F"/>
        </w:rPr>
        <w:t>Debt</w:t>
      </w:r>
      <w:r>
        <w:rPr>
          <w:color w:val="0F0F0F"/>
          <w:spacing w:val="-6"/>
        </w:rPr>
        <w:t> </w:t>
      </w:r>
      <w:r>
        <w:rPr>
          <w:color w:val="0F0F0F"/>
        </w:rPr>
        <w:t>Management</w:t>
      </w:r>
      <w:r>
        <w:rPr>
          <w:color w:val="0F0F0F"/>
          <w:spacing w:val="5"/>
        </w:rPr>
        <w:t> </w:t>
      </w:r>
      <w:r>
        <w:rPr>
          <w:color w:val="0F0F0F"/>
        </w:rPr>
        <w:t>Office</w:t>
      </w:r>
      <w:r>
        <w:rPr>
          <w:color w:val="0F0F0F"/>
          <w:spacing w:val="-3"/>
        </w:rPr>
        <w:t> </w:t>
      </w:r>
      <w:r>
        <w:rPr>
          <w:color w:val="0F0F0F"/>
        </w:rPr>
        <w:t>and</w:t>
      </w:r>
      <w:r>
        <w:rPr>
          <w:color w:val="0F0F0F"/>
          <w:spacing w:val="-8"/>
        </w:rPr>
        <w:t> </w:t>
      </w:r>
      <w:r>
        <w:rPr>
          <w:color w:val="0F0F0F"/>
        </w:rPr>
        <w:t>Local</w:t>
      </w:r>
      <w:r>
        <w:rPr>
          <w:color w:val="0F0F0F"/>
          <w:spacing w:val="-7"/>
        </w:rPr>
        <w:t> </w:t>
      </w:r>
      <w:r>
        <w:rPr>
          <w:color w:val="0F0F0F"/>
        </w:rPr>
        <w:t>&amp;</w:t>
      </w:r>
      <w:r>
        <w:rPr>
          <w:color w:val="0F0F0F"/>
          <w:spacing w:val="-12"/>
        </w:rPr>
        <w:t> </w:t>
      </w:r>
      <w:r>
        <w:rPr>
          <w:color w:val="0F0F0F"/>
        </w:rPr>
        <w:t>Public</w:t>
      </w:r>
      <w:r>
        <w:rPr>
          <w:color w:val="0F0F0F"/>
          <w:spacing w:val="2"/>
        </w:rPr>
        <w:t> </w:t>
      </w:r>
      <w:r>
        <w:rPr>
          <w:color w:val="0F0F0F"/>
          <w:spacing w:val="-2"/>
        </w:rPr>
        <w:t>Authorities</w:t>
      </w:r>
    </w:p>
    <w:p>
      <w:pPr>
        <w:pStyle w:val="BodyText"/>
        <w:spacing w:before="3"/>
      </w:pPr>
    </w:p>
    <w:p>
      <w:pPr>
        <w:pStyle w:val="BodyText"/>
        <w:ind w:left="1283" w:right="1101"/>
        <w:jc w:val="both"/>
      </w:pPr>
      <w:r>
        <w:rPr>
          <w:color w:val="0F0F0F"/>
        </w:rPr>
        <w:t>Although not </w:t>
      </w:r>
      <w:r>
        <w:rPr>
          <w:color w:val="1F1F1F"/>
        </w:rPr>
        <w:t>rated </w:t>
      </w:r>
      <w:r>
        <w:rPr>
          <w:color w:val="0F0F0F"/>
        </w:rPr>
        <w:t>by Fitch Rating Services, the Government's Debt Management Office and other local</w:t>
      </w:r>
      <w:r>
        <w:rPr>
          <w:color w:val="0F0F0F"/>
          <w:spacing w:val="-6"/>
        </w:rPr>
        <w:t> </w:t>
      </w:r>
      <w:r>
        <w:rPr>
          <w:color w:val="0F0F0F"/>
        </w:rPr>
        <w:t>and</w:t>
      </w:r>
      <w:r>
        <w:rPr>
          <w:color w:val="0F0F0F"/>
          <w:spacing w:val="-16"/>
        </w:rPr>
        <w:t> </w:t>
      </w:r>
      <w:r>
        <w:rPr>
          <w:color w:val="0F0F0F"/>
        </w:rPr>
        <w:t>public authorities</w:t>
      </w:r>
      <w:r>
        <w:rPr>
          <w:color w:val="0F0F0F"/>
          <w:spacing w:val="-1"/>
        </w:rPr>
        <w:t> </w:t>
      </w:r>
      <w:r>
        <w:rPr>
          <w:color w:val="0F0F0F"/>
        </w:rPr>
        <w:t>meet</w:t>
      </w:r>
      <w:r>
        <w:rPr>
          <w:color w:val="0F0F0F"/>
          <w:spacing w:val="-8"/>
        </w:rPr>
        <w:t> </w:t>
      </w:r>
      <w:r>
        <w:rPr>
          <w:color w:val="0F0F0F"/>
        </w:rPr>
        <w:t>the</w:t>
      </w:r>
      <w:r>
        <w:rPr>
          <w:color w:val="0F0F0F"/>
          <w:spacing w:val="-9"/>
        </w:rPr>
        <w:t> </w:t>
      </w:r>
      <w:r>
        <w:rPr>
          <w:color w:val="0F0F0F"/>
        </w:rPr>
        <w:t>criteria</w:t>
      </w:r>
      <w:r>
        <w:rPr>
          <w:color w:val="0F0F0F"/>
          <w:spacing w:val="-1"/>
        </w:rPr>
        <w:t> </w:t>
      </w:r>
      <w:r>
        <w:rPr>
          <w:color w:val="0F0F0F"/>
        </w:rPr>
        <w:t>for</w:t>
      </w:r>
      <w:r>
        <w:rPr>
          <w:color w:val="0F0F0F"/>
          <w:spacing w:val="-5"/>
        </w:rPr>
        <w:t> </w:t>
      </w:r>
      <w:r>
        <w:rPr>
          <w:color w:val="0F0F0F"/>
        </w:rPr>
        <w:t>the</w:t>
      </w:r>
      <w:r>
        <w:rPr>
          <w:color w:val="0F0F0F"/>
          <w:spacing w:val="-10"/>
        </w:rPr>
        <w:t> </w:t>
      </w:r>
      <w:r>
        <w:rPr>
          <w:color w:val="0F0F0F"/>
        </w:rPr>
        <w:t>highest counterparty credit</w:t>
      </w:r>
      <w:r>
        <w:rPr>
          <w:color w:val="0F0F0F"/>
          <w:spacing w:val="-3"/>
        </w:rPr>
        <w:t> </w:t>
      </w:r>
      <w:r>
        <w:rPr>
          <w:color w:val="0F0F0F"/>
        </w:rPr>
        <w:t>limit which permits the council to invest with them up</w:t>
      </w:r>
      <w:r>
        <w:rPr>
          <w:color w:val="0F0F0F"/>
          <w:spacing w:val="-7"/>
        </w:rPr>
        <w:t> </w:t>
      </w:r>
      <w:r>
        <w:rPr>
          <w:color w:val="0F0F0F"/>
        </w:rPr>
        <w:t>to £1Om.</w:t>
      </w:r>
    </w:p>
    <w:p>
      <w:pPr>
        <w:spacing w:after="0"/>
        <w:jc w:val="both"/>
        <w:sectPr>
          <w:pgSz w:w="11910" w:h="16830"/>
          <w:pgMar w:top="880" w:right="300" w:bottom="1360" w:left="0" w:header="0" w:footer="1174"/>
        </w:sectPr>
      </w:pPr>
    </w:p>
    <w:p>
      <w:pPr>
        <w:tabs>
          <w:tab w:val="left" w:leader="none" w:pos="2257"/>
        </w:tabs>
        <w:spacing w:before="83"/>
        <w:ind w:left="1536" w:right="0" w:firstLine="0"/>
        <w:jc w:val="both"/>
        <w:rPr>
          <w:sz w:val="15"/>
        </w:rPr>
      </w:pPr>
      <w:r>
        <w:rPr>
          <w:color w:val="ACACAC"/>
          <w:spacing w:val="-5"/>
          <w:w w:val="105"/>
          <w:sz w:val="8"/>
        </w:rPr>
        <w:t>;J</w:t>
      </w:r>
      <w:r>
        <w:rPr>
          <w:color w:val="ACACAC"/>
          <w:sz w:val="8"/>
        </w:rPr>
        <w:tab/>
      </w:r>
      <w:r>
        <w:rPr>
          <w:color w:val="ACACAC"/>
          <w:w w:val="105"/>
          <w:sz w:val="15"/>
        </w:rPr>
        <w:t>NO.''::</w:t>
      </w:r>
      <w:r>
        <w:rPr>
          <w:color w:val="ACACAC"/>
          <w:spacing w:val="-23"/>
          <w:w w:val="105"/>
          <w:sz w:val="15"/>
        </w:rPr>
        <w:t> </w:t>
      </w:r>
      <w:r>
        <w:rPr>
          <w:color w:val="ACACAC"/>
          <w:w w:val="105"/>
          <w:sz w:val="15"/>
        </w:rPr>
        <w:t>S</w:t>
      </w:r>
      <w:r>
        <w:rPr>
          <w:color w:val="ACACAC"/>
          <w:spacing w:val="-1"/>
          <w:w w:val="105"/>
          <w:sz w:val="15"/>
        </w:rPr>
        <w:t> </w:t>
      </w:r>
      <w:r>
        <w:rPr>
          <w:color w:val="ACACAC"/>
          <w:w w:val="105"/>
          <w:sz w:val="15"/>
        </w:rPr>
        <w:t>TO</w:t>
      </w:r>
      <w:r>
        <w:rPr>
          <w:color w:val="ACACAC"/>
          <w:spacing w:val="7"/>
          <w:w w:val="105"/>
          <w:sz w:val="15"/>
        </w:rPr>
        <w:t> </w:t>
      </w:r>
      <w:r>
        <w:rPr>
          <w:color w:val="ACACAC"/>
          <w:w w:val="105"/>
          <w:sz w:val="15"/>
        </w:rPr>
        <w:t>THE</w:t>
      </w:r>
      <w:r>
        <w:rPr>
          <w:color w:val="ACACAC"/>
          <w:spacing w:val="57"/>
          <w:w w:val="105"/>
          <w:sz w:val="15"/>
        </w:rPr>
        <w:t> </w:t>
      </w:r>
      <w:r>
        <w:rPr>
          <w:color w:val="ACACAC"/>
          <w:spacing w:val="-2"/>
          <w:w w:val="105"/>
          <w:sz w:val="15"/>
        </w:rPr>
        <w:t>CCOUNTS</w:t>
      </w:r>
    </w:p>
    <w:p>
      <w:pPr>
        <w:pStyle w:val="BodyText"/>
        <w:spacing w:before="75"/>
        <w:rPr>
          <w:sz w:val="15"/>
        </w:rPr>
      </w:pPr>
    </w:p>
    <w:p>
      <w:pPr>
        <w:spacing w:before="0"/>
        <w:ind w:left="1518" w:right="0" w:firstLine="0"/>
        <w:jc w:val="both"/>
        <w:rPr>
          <w:b/>
          <w:sz w:val="21"/>
        </w:rPr>
      </w:pPr>
      <w:r>
        <w:rPr>
          <w:b/>
          <w:color w:val="0A0A0A"/>
          <w:w w:val="105"/>
          <w:sz w:val="21"/>
        </w:rPr>
        <w:t>Credit</w:t>
      </w:r>
      <w:r>
        <w:rPr>
          <w:b/>
          <w:color w:val="0A0A0A"/>
          <w:spacing w:val="-7"/>
          <w:w w:val="105"/>
          <w:sz w:val="21"/>
        </w:rPr>
        <w:t> </w:t>
      </w:r>
      <w:r>
        <w:rPr>
          <w:b/>
          <w:color w:val="0A0A0A"/>
          <w:w w:val="105"/>
          <w:sz w:val="21"/>
        </w:rPr>
        <w:t>Risk</w:t>
      </w:r>
      <w:r>
        <w:rPr>
          <w:b/>
          <w:color w:val="0A0A0A"/>
          <w:spacing w:val="-9"/>
          <w:w w:val="105"/>
          <w:sz w:val="21"/>
        </w:rPr>
        <w:t> </w:t>
      </w:r>
      <w:r>
        <w:rPr>
          <w:b/>
          <w:color w:val="0A0A0A"/>
          <w:w w:val="105"/>
          <w:sz w:val="21"/>
        </w:rPr>
        <w:t>arising</w:t>
      </w:r>
      <w:r>
        <w:rPr>
          <w:b/>
          <w:color w:val="0A0A0A"/>
          <w:spacing w:val="-8"/>
          <w:w w:val="105"/>
          <w:sz w:val="21"/>
        </w:rPr>
        <w:t> </w:t>
      </w:r>
      <w:r>
        <w:rPr>
          <w:b/>
          <w:color w:val="0A0A0A"/>
          <w:w w:val="105"/>
          <w:sz w:val="21"/>
        </w:rPr>
        <w:t>from</w:t>
      </w:r>
      <w:r>
        <w:rPr>
          <w:b/>
          <w:color w:val="0A0A0A"/>
          <w:spacing w:val="-2"/>
          <w:w w:val="105"/>
          <w:sz w:val="21"/>
        </w:rPr>
        <w:t> </w:t>
      </w:r>
      <w:r>
        <w:rPr>
          <w:b/>
          <w:color w:val="0A0A0A"/>
          <w:w w:val="105"/>
          <w:sz w:val="21"/>
        </w:rPr>
        <w:t>the</w:t>
      </w:r>
      <w:r>
        <w:rPr>
          <w:b/>
          <w:color w:val="0A0A0A"/>
          <w:spacing w:val="-4"/>
          <w:w w:val="105"/>
          <w:sz w:val="21"/>
        </w:rPr>
        <w:t> </w:t>
      </w:r>
      <w:r>
        <w:rPr>
          <w:b/>
          <w:color w:val="0A0A0A"/>
          <w:w w:val="105"/>
          <w:sz w:val="21"/>
        </w:rPr>
        <w:t>Council's</w:t>
      </w:r>
      <w:r>
        <w:rPr>
          <w:b/>
          <w:color w:val="0A0A0A"/>
          <w:spacing w:val="-2"/>
          <w:w w:val="105"/>
          <w:sz w:val="21"/>
        </w:rPr>
        <w:t> </w:t>
      </w:r>
      <w:r>
        <w:rPr>
          <w:b/>
          <w:color w:val="0A0A0A"/>
          <w:w w:val="105"/>
          <w:sz w:val="21"/>
        </w:rPr>
        <w:t>exposure</w:t>
      </w:r>
      <w:r>
        <w:rPr>
          <w:b/>
          <w:color w:val="0A0A0A"/>
          <w:spacing w:val="3"/>
          <w:w w:val="105"/>
          <w:sz w:val="21"/>
        </w:rPr>
        <w:t> </w:t>
      </w:r>
      <w:r>
        <w:rPr>
          <w:b/>
          <w:color w:val="0A0A0A"/>
          <w:w w:val="105"/>
          <w:sz w:val="21"/>
        </w:rPr>
        <w:t>to</w:t>
      </w:r>
      <w:r>
        <w:rPr>
          <w:b/>
          <w:color w:val="0A0A0A"/>
          <w:spacing w:val="-13"/>
          <w:w w:val="105"/>
          <w:sz w:val="21"/>
        </w:rPr>
        <w:t> </w:t>
      </w:r>
      <w:r>
        <w:rPr>
          <w:b/>
          <w:color w:val="0A0A0A"/>
          <w:w w:val="105"/>
          <w:sz w:val="21"/>
        </w:rPr>
        <w:t>other</w:t>
      </w:r>
      <w:r>
        <w:rPr>
          <w:b/>
          <w:color w:val="0A0A0A"/>
          <w:spacing w:val="-5"/>
          <w:w w:val="105"/>
          <w:sz w:val="21"/>
        </w:rPr>
        <w:t> </w:t>
      </w:r>
      <w:r>
        <w:rPr>
          <w:b/>
          <w:color w:val="0A0A0A"/>
          <w:spacing w:val="-2"/>
          <w:w w:val="105"/>
          <w:sz w:val="21"/>
        </w:rPr>
        <w:t>debtors</w:t>
      </w:r>
    </w:p>
    <w:p>
      <w:pPr>
        <w:pStyle w:val="BodyText"/>
        <w:spacing w:before="12"/>
        <w:rPr>
          <w:b/>
          <w:sz w:val="21"/>
        </w:rPr>
      </w:pPr>
    </w:p>
    <w:p>
      <w:pPr>
        <w:pStyle w:val="BodyText"/>
        <w:ind w:left="1502" w:right="889" w:firstLine="10"/>
        <w:jc w:val="both"/>
      </w:pPr>
      <w:r>
        <w:rPr>
          <w:color w:val="0A0A0A"/>
        </w:rPr>
        <w:t>Credit risk can</w:t>
      </w:r>
      <w:r>
        <w:rPr>
          <w:color w:val="0A0A0A"/>
          <w:spacing w:val="-7"/>
        </w:rPr>
        <w:t> </w:t>
      </w:r>
      <w:r>
        <w:rPr>
          <w:color w:val="0A0A0A"/>
        </w:rPr>
        <w:t>arise</w:t>
      </w:r>
      <w:r>
        <w:rPr>
          <w:color w:val="0A0A0A"/>
          <w:spacing w:val="-5"/>
        </w:rPr>
        <w:t> </w:t>
      </w:r>
      <w:r>
        <w:rPr>
          <w:color w:val="1A1A1A"/>
        </w:rPr>
        <w:t>from </w:t>
      </w:r>
      <w:r>
        <w:rPr>
          <w:color w:val="0A0A0A"/>
        </w:rPr>
        <w:t>the</w:t>
      </w:r>
      <w:r>
        <w:rPr>
          <w:color w:val="0A0A0A"/>
          <w:spacing w:val="-5"/>
        </w:rPr>
        <w:t> </w:t>
      </w:r>
      <w:r>
        <w:rPr>
          <w:color w:val="0A0A0A"/>
        </w:rPr>
        <w:t>Council's exposure to</w:t>
      </w:r>
      <w:r>
        <w:rPr>
          <w:color w:val="0A0A0A"/>
          <w:spacing w:val="-6"/>
        </w:rPr>
        <w:t> </w:t>
      </w:r>
      <w:r>
        <w:rPr>
          <w:color w:val="0A0A0A"/>
        </w:rPr>
        <w:t>other debtors</w:t>
      </w:r>
      <w:r>
        <w:rPr>
          <w:color w:val="0A0A0A"/>
          <w:spacing w:val="-1"/>
        </w:rPr>
        <w:t> </w:t>
      </w:r>
      <w:r>
        <w:rPr>
          <w:color w:val="0A0A0A"/>
        </w:rPr>
        <w:t>excluding amounts due</w:t>
      </w:r>
      <w:r>
        <w:rPr>
          <w:color w:val="0A0A0A"/>
          <w:spacing w:val="-5"/>
        </w:rPr>
        <w:t> </w:t>
      </w:r>
      <w:r>
        <w:rPr>
          <w:color w:val="0A0A0A"/>
        </w:rPr>
        <w:t>from government and</w:t>
      </w:r>
      <w:r>
        <w:rPr>
          <w:color w:val="0A0A0A"/>
          <w:spacing w:val="-9"/>
        </w:rPr>
        <w:t> </w:t>
      </w:r>
      <w:r>
        <w:rPr>
          <w:color w:val="1A1A1A"/>
        </w:rPr>
        <w:t>public</w:t>
      </w:r>
      <w:r>
        <w:rPr>
          <w:color w:val="1A1A1A"/>
          <w:spacing w:val="-7"/>
        </w:rPr>
        <w:t> </w:t>
      </w:r>
      <w:r>
        <w:rPr>
          <w:color w:val="1A1A1A"/>
        </w:rPr>
        <w:t>institutions. </w:t>
      </w:r>
      <w:r>
        <w:rPr>
          <w:color w:val="0A0A0A"/>
        </w:rPr>
        <w:t>In</w:t>
      </w:r>
      <w:r>
        <w:rPr>
          <w:color w:val="0A0A0A"/>
          <w:spacing w:val="-11"/>
        </w:rPr>
        <w:t> </w:t>
      </w:r>
      <w:r>
        <w:rPr>
          <w:color w:val="1A1A1A"/>
        </w:rPr>
        <w:t>addition</w:t>
      </w:r>
      <w:r>
        <w:rPr>
          <w:color w:val="1A1A1A"/>
          <w:spacing w:val="-14"/>
        </w:rPr>
        <w:t> </w:t>
      </w:r>
      <w:r>
        <w:rPr>
          <w:color w:val="0A0A0A"/>
        </w:rPr>
        <w:t>to</w:t>
      </w:r>
      <w:r>
        <w:rPr>
          <w:color w:val="0A0A0A"/>
          <w:spacing w:val="-13"/>
        </w:rPr>
        <w:t> </w:t>
      </w:r>
      <w:r>
        <w:rPr>
          <w:color w:val="0A0A0A"/>
        </w:rPr>
        <w:t>known </w:t>
      </w:r>
      <w:r>
        <w:rPr>
          <w:color w:val="1A1A1A"/>
        </w:rPr>
        <w:t>specific</w:t>
      </w:r>
      <w:r>
        <w:rPr>
          <w:color w:val="1A1A1A"/>
          <w:spacing w:val="-4"/>
        </w:rPr>
        <w:t> </w:t>
      </w:r>
      <w:r>
        <w:rPr>
          <w:color w:val="0A0A0A"/>
        </w:rPr>
        <w:t>issues</w:t>
      </w:r>
      <w:r>
        <w:rPr>
          <w:color w:val="0A0A0A"/>
          <w:spacing w:val="-6"/>
        </w:rPr>
        <w:t> </w:t>
      </w:r>
      <w:r>
        <w:rPr>
          <w:color w:val="0A0A0A"/>
        </w:rPr>
        <w:t>the</w:t>
      </w:r>
      <w:r>
        <w:rPr>
          <w:color w:val="0A0A0A"/>
          <w:spacing w:val="-13"/>
        </w:rPr>
        <w:t> </w:t>
      </w:r>
      <w:r>
        <w:rPr>
          <w:color w:val="0A0A0A"/>
        </w:rPr>
        <w:t>Council</w:t>
      </w:r>
      <w:r>
        <w:rPr>
          <w:color w:val="0A0A0A"/>
          <w:spacing w:val="-3"/>
        </w:rPr>
        <w:t> </w:t>
      </w:r>
      <w:r>
        <w:rPr>
          <w:color w:val="0A0A0A"/>
        </w:rPr>
        <w:t>has</w:t>
      </w:r>
      <w:r>
        <w:rPr>
          <w:color w:val="0A0A0A"/>
          <w:spacing w:val="-6"/>
        </w:rPr>
        <w:t> </w:t>
      </w:r>
      <w:r>
        <w:rPr>
          <w:color w:val="1A1A1A"/>
        </w:rPr>
        <w:t>applied </w:t>
      </w:r>
      <w:r>
        <w:rPr>
          <w:color w:val="0A0A0A"/>
        </w:rPr>
        <w:t>the following criteria when calculating </w:t>
      </w:r>
      <w:r>
        <w:rPr>
          <w:color w:val="1A1A1A"/>
        </w:rPr>
        <w:t>allowances </w:t>
      </w:r>
      <w:r>
        <w:rPr>
          <w:color w:val="0A0A0A"/>
        </w:rPr>
        <w:t>for credit </w:t>
      </w:r>
      <w:r>
        <w:rPr>
          <w:color w:val="1A1A1A"/>
        </w:rPr>
        <w:t>risk in </w:t>
      </w:r>
      <w:r>
        <w:rPr>
          <w:color w:val="0A0A0A"/>
        </w:rPr>
        <w:t>respect of trade </w:t>
      </w:r>
      <w:r>
        <w:rPr>
          <w:color w:val="1A1A1A"/>
        </w:rPr>
        <w:t>receivable </w:t>
      </w:r>
      <w:r>
        <w:rPr>
          <w:color w:val="0A0A0A"/>
          <w:spacing w:val="-2"/>
        </w:rPr>
        <w:t>debt.</w:t>
      </w:r>
    </w:p>
    <w:p>
      <w:pPr>
        <w:pStyle w:val="BodyText"/>
        <w:spacing w:before="15"/>
        <w:rPr>
          <w:sz w:val="21"/>
        </w:rPr>
      </w:pPr>
    </w:p>
    <w:p>
      <w:pPr>
        <w:spacing w:before="0" w:after="20"/>
        <w:ind w:left="2226" w:right="0" w:firstLine="0"/>
        <w:jc w:val="center"/>
        <w:rPr>
          <w:b/>
          <w:sz w:val="21"/>
        </w:rPr>
      </w:pPr>
      <w:r>
        <w:rPr>
          <w:b/>
          <w:color w:val="0A0A0A"/>
          <w:w w:val="105"/>
          <w:sz w:val="21"/>
        </w:rPr>
        <w:t>Age</w:t>
      </w:r>
      <w:r>
        <w:rPr>
          <w:b/>
          <w:color w:val="0A0A0A"/>
          <w:spacing w:val="-11"/>
          <w:w w:val="105"/>
          <w:sz w:val="21"/>
        </w:rPr>
        <w:t> </w:t>
      </w:r>
      <w:r>
        <w:rPr>
          <w:b/>
          <w:color w:val="0A0A0A"/>
          <w:spacing w:val="-2"/>
          <w:w w:val="105"/>
          <w:sz w:val="21"/>
        </w:rPr>
        <w:t>(Days)</w:t>
      </w:r>
    </w:p>
    <w:tbl>
      <w:tblPr>
        <w:tblW w:w="0" w:type="auto"/>
        <w:jc w:val="left"/>
        <w:tblInd w:w="153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2693"/>
        <w:gridCol w:w="1129"/>
        <w:gridCol w:w="918"/>
        <w:gridCol w:w="843"/>
        <w:gridCol w:w="696"/>
        <w:gridCol w:w="738"/>
        <w:gridCol w:w="844"/>
        <w:gridCol w:w="1273"/>
      </w:tblGrid>
      <w:tr>
        <w:trPr>
          <w:trHeight w:val="242" w:hRule="atLeast"/>
        </w:trPr>
        <w:tc>
          <w:tcPr>
            <w:tcW w:w="7861" w:type="dxa"/>
            <w:gridSpan w:val="7"/>
            <w:vMerge w:val="restart"/>
          </w:tcPr>
          <w:p>
            <w:pPr>
              <w:pStyle w:val="TableParagraph"/>
              <w:rPr>
                <w:rFonts w:ascii="Times New Roman"/>
                <w:sz w:val="20"/>
              </w:rPr>
            </w:pPr>
          </w:p>
        </w:tc>
        <w:tc>
          <w:tcPr>
            <w:tcW w:w="1273" w:type="dxa"/>
          </w:tcPr>
          <w:p>
            <w:pPr>
              <w:pStyle w:val="TableParagraph"/>
              <w:spacing w:line="222" w:lineRule="exact"/>
              <w:ind w:right="74"/>
              <w:jc w:val="right"/>
              <w:rPr>
                <w:b/>
                <w:sz w:val="21"/>
              </w:rPr>
            </w:pPr>
            <w:r>
              <w:rPr>
                <w:b/>
                <w:color w:val="0A0A0A"/>
                <w:spacing w:val="-2"/>
                <w:w w:val="105"/>
                <w:sz w:val="21"/>
              </w:rPr>
              <w:t>Allowance</w:t>
            </w:r>
          </w:p>
        </w:tc>
      </w:tr>
      <w:tr>
        <w:trPr>
          <w:trHeight w:val="254" w:hRule="atLeast"/>
        </w:trPr>
        <w:tc>
          <w:tcPr>
            <w:tcW w:w="7861" w:type="dxa"/>
            <w:gridSpan w:val="7"/>
            <w:vMerge/>
            <w:tcBorders>
              <w:top w:val="nil"/>
            </w:tcBorders>
          </w:tcPr>
          <w:p>
            <w:pPr>
              <w:rPr>
                <w:sz w:val="2"/>
                <w:szCs w:val="2"/>
              </w:rPr>
            </w:pPr>
          </w:p>
        </w:tc>
        <w:tc>
          <w:tcPr>
            <w:tcW w:w="1273" w:type="dxa"/>
          </w:tcPr>
          <w:p>
            <w:pPr>
              <w:pStyle w:val="TableParagraph"/>
              <w:spacing w:before="1" w:line="234" w:lineRule="exact"/>
              <w:ind w:left="399"/>
              <w:rPr>
                <w:b/>
                <w:sz w:val="21"/>
              </w:rPr>
            </w:pPr>
            <w:r>
              <w:rPr>
                <w:b/>
                <w:color w:val="0A0A0A"/>
                <w:w w:val="110"/>
                <w:sz w:val="21"/>
              </w:rPr>
              <w:t>at</w:t>
            </w:r>
            <w:r>
              <w:rPr>
                <w:b/>
                <w:color w:val="0A0A0A"/>
                <w:spacing w:val="-11"/>
                <w:w w:val="110"/>
                <w:sz w:val="21"/>
              </w:rPr>
              <w:t> </w:t>
            </w:r>
            <w:r>
              <w:rPr>
                <w:b/>
                <w:color w:val="0A0A0A"/>
                <w:spacing w:val="-5"/>
                <w:w w:val="110"/>
                <w:sz w:val="21"/>
              </w:rPr>
              <w:t>31</w:t>
            </w:r>
          </w:p>
        </w:tc>
      </w:tr>
      <w:tr>
        <w:trPr>
          <w:trHeight w:val="250" w:hRule="atLeast"/>
        </w:trPr>
        <w:tc>
          <w:tcPr>
            <w:tcW w:w="2693" w:type="dxa"/>
          </w:tcPr>
          <w:p>
            <w:pPr>
              <w:pStyle w:val="TableParagraph"/>
              <w:rPr>
                <w:rFonts w:ascii="Times New Roman"/>
                <w:sz w:val="18"/>
              </w:rPr>
            </w:pPr>
          </w:p>
        </w:tc>
        <w:tc>
          <w:tcPr>
            <w:tcW w:w="1129" w:type="dxa"/>
          </w:tcPr>
          <w:p>
            <w:pPr>
              <w:pStyle w:val="TableParagraph"/>
              <w:rPr>
                <w:rFonts w:ascii="Times New Roman"/>
                <w:sz w:val="18"/>
              </w:rPr>
            </w:pPr>
          </w:p>
        </w:tc>
        <w:tc>
          <w:tcPr>
            <w:tcW w:w="918" w:type="dxa"/>
          </w:tcPr>
          <w:p>
            <w:pPr>
              <w:pStyle w:val="TableParagraph"/>
              <w:rPr>
                <w:rFonts w:ascii="Times New Roman"/>
                <w:sz w:val="18"/>
              </w:rPr>
            </w:pPr>
          </w:p>
        </w:tc>
        <w:tc>
          <w:tcPr>
            <w:tcW w:w="843" w:type="dxa"/>
          </w:tcPr>
          <w:p>
            <w:pPr>
              <w:pStyle w:val="TableParagraph"/>
              <w:rPr>
                <w:rFonts w:ascii="Times New Roman"/>
                <w:sz w:val="18"/>
              </w:rPr>
            </w:pPr>
          </w:p>
        </w:tc>
        <w:tc>
          <w:tcPr>
            <w:tcW w:w="696" w:type="dxa"/>
          </w:tcPr>
          <w:p>
            <w:pPr>
              <w:pStyle w:val="TableParagraph"/>
              <w:spacing w:before="5" w:line="225" w:lineRule="exact"/>
              <w:ind w:left="164"/>
              <w:rPr>
                <w:b/>
                <w:sz w:val="21"/>
              </w:rPr>
            </w:pPr>
            <w:r>
              <w:rPr>
                <w:b/>
                <w:color w:val="0A0A0A"/>
                <w:spacing w:val="-5"/>
                <w:w w:val="105"/>
                <w:sz w:val="21"/>
              </w:rPr>
              <w:t>90-</w:t>
            </w:r>
          </w:p>
        </w:tc>
        <w:tc>
          <w:tcPr>
            <w:tcW w:w="738" w:type="dxa"/>
          </w:tcPr>
          <w:p>
            <w:pPr>
              <w:pStyle w:val="TableParagraph"/>
              <w:spacing w:before="5" w:line="225" w:lineRule="exact"/>
              <w:ind w:right="181"/>
              <w:jc w:val="right"/>
              <w:rPr>
                <w:b/>
                <w:sz w:val="21"/>
              </w:rPr>
            </w:pPr>
            <w:r>
              <w:rPr>
                <w:b/>
                <w:color w:val="0A0A0A"/>
                <w:spacing w:val="-4"/>
                <w:w w:val="105"/>
                <w:sz w:val="21"/>
              </w:rPr>
              <w:t>180-</w:t>
            </w:r>
          </w:p>
        </w:tc>
        <w:tc>
          <w:tcPr>
            <w:tcW w:w="844" w:type="dxa"/>
          </w:tcPr>
          <w:p>
            <w:pPr>
              <w:pStyle w:val="TableParagraph"/>
              <w:spacing w:before="5" w:line="225" w:lineRule="exact"/>
              <w:ind w:left="146"/>
              <w:rPr>
                <w:b/>
                <w:sz w:val="21"/>
              </w:rPr>
            </w:pPr>
            <w:r>
              <w:rPr>
                <w:b/>
                <w:color w:val="0A0A0A"/>
                <w:spacing w:val="-4"/>
                <w:w w:val="105"/>
                <w:sz w:val="21"/>
              </w:rPr>
              <w:t>Over</w:t>
            </w:r>
          </w:p>
        </w:tc>
        <w:tc>
          <w:tcPr>
            <w:tcW w:w="1273" w:type="dxa"/>
          </w:tcPr>
          <w:p>
            <w:pPr>
              <w:pStyle w:val="TableParagraph"/>
              <w:spacing w:before="5" w:line="225" w:lineRule="exact"/>
              <w:ind w:left="325"/>
              <w:rPr>
                <w:b/>
                <w:sz w:val="21"/>
              </w:rPr>
            </w:pPr>
            <w:r>
              <w:rPr>
                <w:b/>
                <w:color w:val="0A0A0A"/>
                <w:spacing w:val="-2"/>
                <w:w w:val="105"/>
                <w:sz w:val="21"/>
              </w:rPr>
              <w:t>March</w:t>
            </w:r>
          </w:p>
        </w:tc>
      </w:tr>
      <w:tr>
        <w:trPr>
          <w:trHeight w:val="257" w:hRule="atLeast"/>
        </w:trPr>
        <w:tc>
          <w:tcPr>
            <w:tcW w:w="2693" w:type="dxa"/>
          </w:tcPr>
          <w:p>
            <w:pPr>
              <w:pStyle w:val="TableParagraph"/>
              <w:spacing w:line="237" w:lineRule="exact"/>
              <w:ind w:left="566"/>
              <w:rPr>
                <w:sz w:val="22"/>
              </w:rPr>
            </w:pPr>
            <w:r>
              <w:rPr>
                <w:color w:val="0A0A0A"/>
                <w:sz w:val="22"/>
              </w:rPr>
              <w:t>Trade </w:t>
            </w:r>
            <w:r>
              <w:rPr>
                <w:color w:val="0A0A0A"/>
                <w:spacing w:val="-2"/>
                <w:sz w:val="22"/>
              </w:rPr>
              <w:t>Receivable</w:t>
            </w:r>
          </w:p>
        </w:tc>
        <w:tc>
          <w:tcPr>
            <w:tcW w:w="1129" w:type="dxa"/>
          </w:tcPr>
          <w:p>
            <w:pPr>
              <w:pStyle w:val="TableParagraph"/>
              <w:spacing w:before="5" w:line="232" w:lineRule="exact"/>
              <w:ind w:left="417"/>
              <w:rPr>
                <w:b/>
                <w:sz w:val="21"/>
              </w:rPr>
            </w:pPr>
            <w:r>
              <w:rPr>
                <w:b/>
                <w:color w:val="0A0A0A"/>
                <w:w w:val="105"/>
                <w:sz w:val="21"/>
              </w:rPr>
              <w:t>0-</w:t>
            </w:r>
            <w:r>
              <w:rPr>
                <w:b/>
                <w:color w:val="0A0A0A"/>
                <w:spacing w:val="-5"/>
                <w:w w:val="105"/>
                <w:sz w:val="21"/>
              </w:rPr>
              <w:t>30</w:t>
            </w:r>
          </w:p>
        </w:tc>
        <w:tc>
          <w:tcPr>
            <w:tcW w:w="918" w:type="dxa"/>
          </w:tcPr>
          <w:p>
            <w:pPr>
              <w:pStyle w:val="TableParagraph"/>
              <w:spacing w:before="5" w:line="232" w:lineRule="exact"/>
              <w:ind w:left="140"/>
              <w:rPr>
                <w:b/>
                <w:sz w:val="21"/>
              </w:rPr>
            </w:pPr>
            <w:r>
              <w:rPr>
                <w:b/>
                <w:color w:val="0A0A0A"/>
                <w:sz w:val="21"/>
              </w:rPr>
              <w:t>31-</w:t>
            </w:r>
            <w:r>
              <w:rPr>
                <w:b/>
                <w:color w:val="0A0A0A"/>
                <w:spacing w:val="-5"/>
                <w:sz w:val="21"/>
              </w:rPr>
              <w:t>60</w:t>
            </w:r>
          </w:p>
        </w:tc>
        <w:tc>
          <w:tcPr>
            <w:tcW w:w="843" w:type="dxa"/>
          </w:tcPr>
          <w:p>
            <w:pPr>
              <w:pStyle w:val="TableParagraph"/>
              <w:spacing w:before="5" w:line="232" w:lineRule="exact"/>
              <w:ind w:right="159"/>
              <w:jc w:val="right"/>
              <w:rPr>
                <w:b/>
                <w:sz w:val="21"/>
              </w:rPr>
            </w:pPr>
            <w:r>
              <w:rPr>
                <w:b/>
                <w:color w:val="0A0A0A"/>
                <w:w w:val="105"/>
                <w:sz w:val="21"/>
              </w:rPr>
              <w:t>61-</w:t>
            </w:r>
            <w:r>
              <w:rPr>
                <w:b/>
                <w:color w:val="0A0A0A"/>
                <w:spacing w:val="-5"/>
                <w:w w:val="105"/>
                <w:sz w:val="21"/>
              </w:rPr>
              <w:t>90</w:t>
            </w:r>
          </w:p>
        </w:tc>
        <w:tc>
          <w:tcPr>
            <w:tcW w:w="696" w:type="dxa"/>
          </w:tcPr>
          <w:p>
            <w:pPr>
              <w:pStyle w:val="TableParagraph"/>
              <w:spacing w:before="10" w:line="227" w:lineRule="exact"/>
              <w:ind w:left="135"/>
              <w:rPr>
                <w:b/>
                <w:sz w:val="21"/>
              </w:rPr>
            </w:pPr>
            <w:r>
              <w:rPr>
                <w:b/>
                <w:color w:val="0A0A0A"/>
                <w:spacing w:val="-5"/>
                <w:w w:val="105"/>
                <w:sz w:val="21"/>
              </w:rPr>
              <w:t>180</w:t>
            </w:r>
          </w:p>
        </w:tc>
        <w:tc>
          <w:tcPr>
            <w:tcW w:w="738" w:type="dxa"/>
          </w:tcPr>
          <w:p>
            <w:pPr>
              <w:pStyle w:val="TableParagraph"/>
              <w:spacing w:before="10" w:line="227" w:lineRule="exact"/>
              <w:ind w:right="217"/>
              <w:jc w:val="right"/>
              <w:rPr>
                <w:b/>
                <w:sz w:val="21"/>
              </w:rPr>
            </w:pPr>
            <w:r>
              <w:rPr>
                <w:b/>
                <w:color w:val="0A0A0A"/>
                <w:spacing w:val="-5"/>
                <w:w w:val="105"/>
                <w:sz w:val="21"/>
              </w:rPr>
              <w:t>365</w:t>
            </w:r>
          </w:p>
        </w:tc>
        <w:tc>
          <w:tcPr>
            <w:tcW w:w="844" w:type="dxa"/>
          </w:tcPr>
          <w:p>
            <w:pPr>
              <w:pStyle w:val="TableParagraph"/>
              <w:spacing w:before="10" w:line="227" w:lineRule="exact"/>
              <w:ind w:left="214"/>
              <w:rPr>
                <w:b/>
                <w:sz w:val="21"/>
              </w:rPr>
            </w:pPr>
            <w:r>
              <w:rPr>
                <w:b/>
                <w:color w:val="0A0A0A"/>
                <w:spacing w:val="-5"/>
                <w:w w:val="105"/>
                <w:sz w:val="21"/>
              </w:rPr>
              <w:t>365</w:t>
            </w:r>
          </w:p>
        </w:tc>
        <w:tc>
          <w:tcPr>
            <w:tcW w:w="1273" w:type="dxa"/>
          </w:tcPr>
          <w:p>
            <w:pPr>
              <w:pStyle w:val="TableParagraph"/>
              <w:spacing w:before="5" w:line="232" w:lineRule="exact"/>
              <w:ind w:left="407"/>
              <w:rPr>
                <w:b/>
                <w:sz w:val="21"/>
              </w:rPr>
            </w:pPr>
            <w:r>
              <w:rPr>
                <w:b/>
                <w:color w:val="0A0A0A"/>
                <w:spacing w:val="-4"/>
                <w:w w:val="105"/>
                <w:sz w:val="21"/>
              </w:rPr>
              <w:t>2023</w:t>
            </w:r>
          </w:p>
        </w:tc>
      </w:tr>
      <w:tr>
        <w:trPr>
          <w:trHeight w:val="260" w:hRule="atLeast"/>
        </w:trPr>
        <w:tc>
          <w:tcPr>
            <w:tcW w:w="2693" w:type="dxa"/>
          </w:tcPr>
          <w:p>
            <w:pPr>
              <w:pStyle w:val="TableParagraph"/>
              <w:rPr>
                <w:rFonts w:ascii="Times New Roman"/>
                <w:sz w:val="18"/>
              </w:rPr>
            </w:pPr>
          </w:p>
        </w:tc>
        <w:tc>
          <w:tcPr>
            <w:tcW w:w="1129" w:type="dxa"/>
          </w:tcPr>
          <w:p>
            <w:pPr>
              <w:pStyle w:val="TableParagraph"/>
              <w:spacing w:line="241" w:lineRule="exact"/>
              <w:ind w:left="199" w:right="44"/>
              <w:jc w:val="center"/>
              <w:rPr>
                <w:sz w:val="22"/>
              </w:rPr>
            </w:pPr>
            <w:r>
              <w:rPr>
                <w:color w:val="0A0A0A"/>
                <w:spacing w:val="-10"/>
                <w:w w:val="105"/>
                <w:sz w:val="22"/>
              </w:rPr>
              <w:t>%</w:t>
            </w:r>
          </w:p>
        </w:tc>
        <w:tc>
          <w:tcPr>
            <w:tcW w:w="918" w:type="dxa"/>
          </w:tcPr>
          <w:p>
            <w:pPr>
              <w:pStyle w:val="TableParagraph"/>
              <w:spacing w:line="241" w:lineRule="exact"/>
              <w:ind w:right="68"/>
              <w:jc w:val="center"/>
              <w:rPr>
                <w:sz w:val="22"/>
              </w:rPr>
            </w:pPr>
            <w:r>
              <w:rPr>
                <w:color w:val="0A0A0A"/>
                <w:spacing w:val="-10"/>
                <w:w w:val="105"/>
                <w:sz w:val="22"/>
              </w:rPr>
              <w:t>%</w:t>
            </w:r>
          </w:p>
        </w:tc>
        <w:tc>
          <w:tcPr>
            <w:tcW w:w="843" w:type="dxa"/>
          </w:tcPr>
          <w:p>
            <w:pPr>
              <w:pStyle w:val="TableParagraph"/>
              <w:spacing w:line="241" w:lineRule="exact"/>
              <w:ind w:right="49"/>
              <w:jc w:val="center"/>
              <w:rPr>
                <w:sz w:val="22"/>
              </w:rPr>
            </w:pPr>
            <w:r>
              <w:rPr>
                <w:color w:val="0A0A0A"/>
                <w:spacing w:val="-10"/>
                <w:w w:val="110"/>
                <w:sz w:val="22"/>
              </w:rPr>
              <w:t>%</w:t>
            </w:r>
          </w:p>
        </w:tc>
        <w:tc>
          <w:tcPr>
            <w:tcW w:w="696" w:type="dxa"/>
          </w:tcPr>
          <w:p>
            <w:pPr>
              <w:pStyle w:val="TableParagraph"/>
              <w:spacing w:line="241" w:lineRule="exact"/>
              <w:ind w:left="215"/>
              <w:rPr>
                <w:sz w:val="22"/>
              </w:rPr>
            </w:pPr>
            <w:r>
              <w:rPr>
                <w:color w:val="0A0A0A"/>
                <w:spacing w:val="-10"/>
                <w:w w:val="110"/>
                <w:sz w:val="22"/>
              </w:rPr>
              <w:t>%</w:t>
            </w:r>
          </w:p>
        </w:tc>
        <w:tc>
          <w:tcPr>
            <w:tcW w:w="738" w:type="dxa"/>
          </w:tcPr>
          <w:p>
            <w:pPr>
              <w:pStyle w:val="TableParagraph"/>
              <w:spacing w:line="241" w:lineRule="exact"/>
              <w:ind w:left="231"/>
              <w:rPr>
                <w:sz w:val="22"/>
              </w:rPr>
            </w:pPr>
            <w:r>
              <w:rPr>
                <w:color w:val="0A0A0A"/>
                <w:spacing w:val="-10"/>
                <w:w w:val="105"/>
                <w:sz w:val="22"/>
              </w:rPr>
              <w:t>%</w:t>
            </w:r>
          </w:p>
        </w:tc>
        <w:tc>
          <w:tcPr>
            <w:tcW w:w="844" w:type="dxa"/>
          </w:tcPr>
          <w:p>
            <w:pPr>
              <w:pStyle w:val="TableParagraph"/>
              <w:spacing w:line="241" w:lineRule="exact"/>
              <w:ind w:left="28" w:right="79"/>
              <w:jc w:val="center"/>
              <w:rPr>
                <w:sz w:val="22"/>
              </w:rPr>
            </w:pPr>
            <w:r>
              <w:rPr>
                <w:color w:val="0A0A0A"/>
                <w:spacing w:val="-10"/>
                <w:w w:val="105"/>
                <w:sz w:val="22"/>
              </w:rPr>
              <w:t>%</w:t>
            </w:r>
          </w:p>
        </w:tc>
        <w:tc>
          <w:tcPr>
            <w:tcW w:w="1273" w:type="dxa"/>
          </w:tcPr>
          <w:p>
            <w:pPr>
              <w:pStyle w:val="TableParagraph"/>
              <w:spacing w:before="18" w:line="223" w:lineRule="exact"/>
              <w:ind w:left="428"/>
              <w:rPr>
                <w:rFonts w:ascii="Times New Roman" w:hAnsi="Times New Roman"/>
                <w:b/>
                <w:sz w:val="20"/>
              </w:rPr>
            </w:pPr>
            <w:r>
              <w:rPr>
                <w:rFonts w:ascii="Times New Roman" w:hAnsi="Times New Roman"/>
                <w:b/>
                <w:color w:val="0A0A0A"/>
                <w:spacing w:val="-4"/>
                <w:w w:val="115"/>
                <w:sz w:val="20"/>
              </w:rPr>
              <w:t>£000</w:t>
            </w:r>
          </w:p>
        </w:tc>
      </w:tr>
      <w:tr>
        <w:trPr>
          <w:trHeight w:val="402" w:hRule="atLeast"/>
        </w:trPr>
        <w:tc>
          <w:tcPr>
            <w:tcW w:w="2693" w:type="dxa"/>
          </w:tcPr>
          <w:p>
            <w:pPr>
              <w:pStyle w:val="TableParagraph"/>
              <w:spacing w:before="2"/>
              <w:ind w:left="60"/>
              <w:rPr>
                <w:sz w:val="22"/>
              </w:rPr>
            </w:pPr>
            <w:r>
              <w:rPr>
                <w:color w:val="0A0A0A"/>
                <w:spacing w:val="-2"/>
                <w:sz w:val="22"/>
              </w:rPr>
              <w:t>Other</w:t>
            </w:r>
          </w:p>
        </w:tc>
        <w:tc>
          <w:tcPr>
            <w:tcW w:w="1129" w:type="dxa"/>
          </w:tcPr>
          <w:p>
            <w:pPr>
              <w:pStyle w:val="TableParagraph"/>
              <w:spacing w:before="31"/>
              <w:ind w:right="138"/>
              <w:jc w:val="right"/>
              <w:rPr>
                <w:rFonts w:ascii="Courier New"/>
                <w:sz w:val="23"/>
              </w:rPr>
            </w:pPr>
            <w:r>
              <w:rPr>
                <w:rFonts w:ascii="Courier New"/>
                <w:color w:val="0A0A0A"/>
                <w:spacing w:val="-10"/>
                <w:w w:val="110"/>
                <w:sz w:val="23"/>
              </w:rPr>
              <w:t>0</w:t>
            </w:r>
          </w:p>
        </w:tc>
        <w:tc>
          <w:tcPr>
            <w:tcW w:w="918" w:type="dxa"/>
          </w:tcPr>
          <w:p>
            <w:pPr>
              <w:pStyle w:val="TableParagraph"/>
              <w:spacing w:before="26"/>
              <w:ind w:right="124"/>
              <w:jc w:val="right"/>
              <w:rPr>
                <w:rFonts w:ascii="Courier New"/>
                <w:sz w:val="23"/>
              </w:rPr>
            </w:pPr>
            <w:r>
              <w:rPr>
                <w:rFonts w:ascii="Courier New"/>
                <w:color w:val="1A1A1A"/>
                <w:spacing w:val="-5"/>
                <w:w w:val="90"/>
                <w:sz w:val="23"/>
              </w:rPr>
              <w:t>15</w:t>
            </w:r>
          </w:p>
        </w:tc>
        <w:tc>
          <w:tcPr>
            <w:tcW w:w="843" w:type="dxa"/>
          </w:tcPr>
          <w:p>
            <w:pPr>
              <w:pStyle w:val="TableParagraph"/>
              <w:spacing w:before="26"/>
              <w:ind w:right="134"/>
              <w:jc w:val="right"/>
              <w:rPr>
                <w:rFonts w:ascii="Courier New"/>
                <w:sz w:val="23"/>
              </w:rPr>
            </w:pPr>
            <w:r>
              <w:rPr>
                <w:rFonts w:ascii="Courier New"/>
                <w:color w:val="0A0A0A"/>
                <w:spacing w:val="-5"/>
                <w:sz w:val="23"/>
              </w:rPr>
              <w:t>30</w:t>
            </w:r>
          </w:p>
        </w:tc>
        <w:tc>
          <w:tcPr>
            <w:tcW w:w="696" w:type="dxa"/>
          </w:tcPr>
          <w:p>
            <w:pPr>
              <w:pStyle w:val="TableParagraph"/>
              <w:spacing w:before="26"/>
              <w:ind w:right="118"/>
              <w:jc w:val="right"/>
              <w:rPr>
                <w:rFonts w:ascii="Courier New"/>
                <w:sz w:val="23"/>
              </w:rPr>
            </w:pPr>
            <w:r>
              <w:rPr>
                <w:rFonts w:ascii="Courier New"/>
                <w:color w:val="0A0A0A"/>
                <w:spacing w:val="-5"/>
                <w:sz w:val="23"/>
              </w:rPr>
              <w:t>50</w:t>
            </w:r>
          </w:p>
        </w:tc>
        <w:tc>
          <w:tcPr>
            <w:tcW w:w="738" w:type="dxa"/>
          </w:tcPr>
          <w:p>
            <w:pPr>
              <w:pStyle w:val="TableParagraph"/>
              <w:spacing w:before="31"/>
              <w:ind w:right="148"/>
              <w:jc w:val="right"/>
              <w:rPr>
                <w:rFonts w:ascii="Courier New"/>
                <w:sz w:val="23"/>
              </w:rPr>
            </w:pPr>
            <w:r>
              <w:rPr>
                <w:rFonts w:ascii="Courier New"/>
                <w:color w:val="0A0A0A"/>
                <w:spacing w:val="-5"/>
                <w:sz w:val="23"/>
              </w:rPr>
              <w:t>80</w:t>
            </w:r>
          </w:p>
        </w:tc>
        <w:tc>
          <w:tcPr>
            <w:tcW w:w="844" w:type="dxa"/>
          </w:tcPr>
          <w:p>
            <w:pPr>
              <w:pStyle w:val="TableParagraph"/>
              <w:spacing w:before="26"/>
              <w:ind w:right="108"/>
              <w:jc w:val="right"/>
              <w:rPr>
                <w:rFonts w:ascii="Courier New"/>
                <w:sz w:val="23"/>
              </w:rPr>
            </w:pPr>
            <w:r>
              <w:rPr>
                <w:rFonts w:ascii="Courier New"/>
                <w:color w:val="0A0A0A"/>
                <w:spacing w:val="-5"/>
                <w:w w:val="95"/>
                <w:sz w:val="23"/>
              </w:rPr>
              <w:t>100</w:t>
            </w:r>
          </w:p>
        </w:tc>
        <w:tc>
          <w:tcPr>
            <w:tcW w:w="1273" w:type="dxa"/>
          </w:tcPr>
          <w:p>
            <w:pPr>
              <w:pStyle w:val="TableParagraph"/>
              <w:spacing w:before="31"/>
              <w:ind w:right="51"/>
              <w:jc w:val="right"/>
              <w:rPr>
                <w:rFonts w:ascii="Courier New"/>
                <w:sz w:val="23"/>
              </w:rPr>
            </w:pPr>
            <w:r>
              <w:rPr>
                <w:rFonts w:ascii="Courier New"/>
                <w:color w:val="0A0A0A"/>
                <w:spacing w:val="-2"/>
                <w:w w:val="90"/>
                <w:sz w:val="23"/>
              </w:rPr>
              <w:t>(538)</w:t>
            </w:r>
          </w:p>
        </w:tc>
      </w:tr>
      <w:tr>
        <w:trPr>
          <w:trHeight w:val="398" w:hRule="atLeast"/>
        </w:trPr>
        <w:tc>
          <w:tcPr>
            <w:tcW w:w="2693" w:type="dxa"/>
          </w:tcPr>
          <w:p>
            <w:pPr>
              <w:pStyle w:val="TableParagraph"/>
              <w:spacing w:before="104"/>
              <w:ind w:left="50"/>
              <w:rPr>
                <w:sz w:val="22"/>
              </w:rPr>
            </w:pPr>
            <w:r>
              <w:rPr>
                <w:color w:val="0A0A0A"/>
                <w:sz w:val="22"/>
              </w:rPr>
              <w:t>Garage</w:t>
            </w:r>
            <w:r>
              <w:rPr>
                <w:color w:val="0A0A0A"/>
                <w:spacing w:val="5"/>
                <w:sz w:val="22"/>
              </w:rPr>
              <w:t> </w:t>
            </w:r>
            <w:r>
              <w:rPr>
                <w:color w:val="0A0A0A"/>
                <w:spacing w:val="-2"/>
                <w:sz w:val="22"/>
              </w:rPr>
              <w:t>Rents</w:t>
            </w:r>
          </w:p>
        </w:tc>
        <w:tc>
          <w:tcPr>
            <w:tcW w:w="1129" w:type="dxa"/>
          </w:tcPr>
          <w:p>
            <w:pPr>
              <w:pStyle w:val="TableParagraph"/>
              <w:spacing w:before="138" w:line="241" w:lineRule="exact"/>
              <w:ind w:right="147"/>
              <w:jc w:val="right"/>
              <w:rPr>
                <w:rFonts w:ascii="Courier New"/>
                <w:sz w:val="23"/>
              </w:rPr>
            </w:pPr>
            <w:r>
              <w:rPr>
                <w:rFonts w:ascii="Courier New"/>
                <w:color w:val="0A0A0A"/>
                <w:spacing w:val="-10"/>
                <w:w w:val="110"/>
                <w:sz w:val="23"/>
              </w:rPr>
              <w:t>0</w:t>
            </w:r>
          </w:p>
        </w:tc>
        <w:tc>
          <w:tcPr>
            <w:tcW w:w="918" w:type="dxa"/>
          </w:tcPr>
          <w:p>
            <w:pPr>
              <w:pStyle w:val="TableParagraph"/>
              <w:spacing w:before="133" w:line="245" w:lineRule="exact"/>
              <w:ind w:right="109"/>
              <w:jc w:val="right"/>
              <w:rPr>
                <w:rFonts w:ascii="Courier New"/>
                <w:sz w:val="23"/>
              </w:rPr>
            </w:pPr>
            <w:r>
              <w:rPr>
                <w:rFonts w:ascii="Courier New"/>
                <w:color w:val="0A0A0A"/>
                <w:spacing w:val="-10"/>
                <w:w w:val="110"/>
                <w:sz w:val="23"/>
              </w:rPr>
              <w:t>0</w:t>
            </w:r>
          </w:p>
        </w:tc>
        <w:tc>
          <w:tcPr>
            <w:tcW w:w="843" w:type="dxa"/>
          </w:tcPr>
          <w:p>
            <w:pPr>
              <w:pStyle w:val="TableParagraph"/>
              <w:spacing w:before="133" w:line="245" w:lineRule="exact"/>
              <w:ind w:right="137"/>
              <w:jc w:val="right"/>
              <w:rPr>
                <w:rFonts w:ascii="Courier New"/>
                <w:sz w:val="23"/>
              </w:rPr>
            </w:pPr>
            <w:r>
              <w:rPr>
                <w:rFonts w:ascii="Courier New"/>
                <w:color w:val="0A0A0A"/>
                <w:spacing w:val="-5"/>
                <w:sz w:val="23"/>
              </w:rPr>
              <w:t>40</w:t>
            </w:r>
          </w:p>
        </w:tc>
        <w:tc>
          <w:tcPr>
            <w:tcW w:w="696" w:type="dxa"/>
          </w:tcPr>
          <w:p>
            <w:pPr>
              <w:pStyle w:val="TableParagraph"/>
              <w:spacing w:before="133" w:line="245" w:lineRule="exact"/>
              <w:ind w:right="124"/>
              <w:jc w:val="right"/>
              <w:rPr>
                <w:rFonts w:ascii="Courier New"/>
                <w:sz w:val="23"/>
              </w:rPr>
            </w:pPr>
            <w:r>
              <w:rPr>
                <w:rFonts w:ascii="Courier New"/>
                <w:color w:val="0A0A0A"/>
                <w:spacing w:val="-5"/>
                <w:sz w:val="23"/>
              </w:rPr>
              <w:t>60</w:t>
            </w:r>
          </w:p>
        </w:tc>
        <w:tc>
          <w:tcPr>
            <w:tcW w:w="738" w:type="dxa"/>
          </w:tcPr>
          <w:p>
            <w:pPr>
              <w:pStyle w:val="TableParagraph"/>
              <w:spacing w:before="133" w:line="245" w:lineRule="exact"/>
              <w:ind w:right="153"/>
              <w:jc w:val="right"/>
              <w:rPr>
                <w:rFonts w:ascii="Courier New"/>
                <w:sz w:val="23"/>
              </w:rPr>
            </w:pPr>
            <w:r>
              <w:rPr>
                <w:rFonts w:ascii="Courier New"/>
                <w:color w:val="0A0A0A"/>
                <w:spacing w:val="-5"/>
                <w:sz w:val="23"/>
              </w:rPr>
              <w:t>80</w:t>
            </w:r>
          </w:p>
        </w:tc>
        <w:tc>
          <w:tcPr>
            <w:tcW w:w="844" w:type="dxa"/>
          </w:tcPr>
          <w:p>
            <w:pPr>
              <w:pStyle w:val="TableParagraph"/>
              <w:spacing w:before="133" w:line="245" w:lineRule="exact"/>
              <w:ind w:right="107"/>
              <w:jc w:val="right"/>
              <w:rPr>
                <w:rFonts w:ascii="Courier New"/>
                <w:sz w:val="23"/>
              </w:rPr>
            </w:pPr>
            <w:r>
              <w:rPr>
                <w:rFonts w:ascii="Courier New"/>
                <w:color w:val="0A0A0A"/>
                <w:spacing w:val="-5"/>
                <w:sz w:val="23"/>
              </w:rPr>
              <w:t>80</w:t>
            </w:r>
          </w:p>
        </w:tc>
        <w:tc>
          <w:tcPr>
            <w:tcW w:w="1273" w:type="dxa"/>
          </w:tcPr>
          <w:p>
            <w:pPr>
              <w:pStyle w:val="TableParagraph"/>
              <w:spacing w:before="133" w:line="245" w:lineRule="exact"/>
              <w:ind w:right="51"/>
              <w:jc w:val="right"/>
              <w:rPr>
                <w:rFonts w:ascii="Courier New"/>
                <w:sz w:val="23"/>
              </w:rPr>
            </w:pPr>
            <w:r>
              <w:rPr>
                <w:rFonts w:ascii="Courier New"/>
                <w:color w:val="0A0A0A"/>
                <w:spacing w:val="-4"/>
                <w:w w:val="90"/>
                <w:sz w:val="23"/>
              </w:rPr>
              <w:t>(11)</w:t>
            </w:r>
          </w:p>
        </w:tc>
      </w:tr>
    </w:tbl>
    <w:p>
      <w:pPr>
        <w:pStyle w:val="BodyText"/>
        <w:spacing w:before="9"/>
        <w:rPr>
          <w:b/>
          <w:sz w:val="10"/>
        </w:rPr>
      </w:pPr>
    </w:p>
    <w:p>
      <w:pPr>
        <w:spacing w:after="0"/>
        <w:rPr>
          <w:sz w:val="10"/>
        </w:rPr>
        <w:sectPr>
          <w:headerReference w:type="even" r:id="rId185"/>
          <w:footerReference w:type="even" r:id="rId186"/>
          <w:footerReference w:type="default" r:id="rId187"/>
          <w:pgSz w:w="11910" w:h="16830"/>
          <w:pgMar w:top="800" w:right="300" w:bottom="1200" w:left="0" w:header="0" w:footer="1005"/>
          <w:pgNumType w:start="88"/>
        </w:sectPr>
      </w:pPr>
    </w:p>
    <w:p>
      <w:pPr>
        <w:pStyle w:val="BodyText"/>
        <w:spacing w:before="94"/>
        <w:ind w:right="38"/>
        <w:jc w:val="right"/>
      </w:pPr>
      <w:r>
        <w:rPr>
          <w:color w:val="0A0A0A"/>
          <w:spacing w:val="-2"/>
        </w:rPr>
        <w:t>Parking</w:t>
      </w:r>
    </w:p>
    <w:p>
      <w:pPr>
        <w:tabs>
          <w:tab w:val="left" w:leader="none" w:pos="7276"/>
        </w:tabs>
        <w:spacing w:before="98" w:line="240" w:lineRule="exact"/>
        <w:ind w:left="1579" w:right="0" w:firstLine="0"/>
        <w:jc w:val="left"/>
        <w:rPr>
          <w:b/>
          <w:sz w:val="20"/>
        </w:rPr>
      </w:pPr>
      <w:r>
        <w:rPr/>
        <w:br w:type="column"/>
      </w:r>
      <w:r>
        <w:rPr>
          <w:color w:val="0A0A0A"/>
          <w:sz w:val="20"/>
        </w:rPr>
        <w:t>Provision</w:t>
      </w:r>
      <w:r>
        <w:rPr>
          <w:color w:val="0A0A0A"/>
          <w:spacing w:val="35"/>
          <w:sz w:val="20"/>
        </w:rPr>
        <w:t> </w:t>
      </w:r>
      <w:r>
        <w:rPr>
          <w:color w:val="0A0A0A"/>
          <w:sz w:val="20"/>
        </w:rPr>
        <w:t>is</w:t>
      </w:r>
      <w:r>
        <w:rPr>
          <w:color w:val="0A0A0A"/>
          <w:spacing w:val="23"/>
          <w:sz w:val="20"/>
        </w:rPr>
        <w:t> </w:t>
      </w:r>
      <w:r>
        <w:rPr>
          <w:color w:val="0A0A0A"/>
          <w:sz w:val="20"/>
        </w:rPr>
        <w:t>made</w:t>
      </w:r>
      <w:r>
        <w:rPr>
          <w:color w:val="0A0A0A"/>
          <w:spacing w:val="22"/>
          <w:sz w:val="20"/>
        </w:rPr>
        <w:t> </w:t>
      </w:r>
      <w:r>
        <w:rPr>
          <w:color w:val="0A0A0A"/>
          <w:sz w:val="20"/>
        </w:rPr>
        <w:t>based</w:t>
      </w:r>
      <w:r>
        <w:rPr>
          <w:color w:val="0A0A0A"/>
          <w:spacing w:val="30"/>
          <w:sz w:val="20"/>
        </w:rPr>
        <w:t> </w:t>
      </w:r>
      <w:r>
        <w:rPr>
          <w:color w:val="0A0A0A"/>
          <w:sz w:val="20"/>
        </w:rPr>
        <w:t>on</w:t>
      </w:r>
      <w:r>
        <w:rPr>
          <w:color w:val="0A0A0A"/>
          <w:spacing w:val="20"/>
          <w:sz w:val="20"/>
        </w:rPr>
        <w:t> </w:t>
      </w:r>
      <w:r>
        <w:rPr>
          <w:color w:val="0A0A0A"/>
          <w:sz w:val="20"/>
        </w:rPr>
        <w:t>age</w:t>
      </w:r>
      <w:r>
        <w:rPr>
          <w:color w:val="0A0A0A"/>
          <w:spacing w:val="28"/>
          <w:sz w:val="20"/>
        </w:rPr>
        <w:t> </w:t>
      </w:r>
      <w:r>
        <w:rPr>
          <w:color w:val="0A0A0A"/>
          <w:sz w:val="20"/>
        </w:rPr>
        <w:t>of</w:t>
      </w:r>
      <w:r>
        <w:rPr>
          <w:color w:val="0A0A0A"/>
          <w:spacing w:val="23"/>
          <w:sz w:val="20"/>
        </w:rPr>
        <w:t> </w:t>
      </w:r>
      <w:r>
        <w:rPr>
          <w:color w:val="0A0A0A"/>
          <w:sz w:val="20"/>
        </w:rPr>
        <w:t>Penalty</w:t>
      </w:r>
      <w:r>
        <w:rPr>
          <w:color w:val="0A0A0A"/>
          <w:spacing w:val="33"/>
          <w:sz w:val="20"/>
        </w:rPr>
        <w:t> </w:t>
      </w:r>
      <w:r>
        <w:rPr>
          <w:color w:val="0A0A0A"/>
          <w:spacing w:val="-2"/>
          <w:sz w:val="20"/>
        </w:rPr>
        <w:t>Charge</w:t>
      </w:r>
      <w:r>
        <w:rPr>
          <w:color w:val="0A0A0A"/>
          <w:sz w:val="20"/>
        </w:rPr>
        <w:tab/>
      </w:r>
      <w:r>
        <w:rPr>
          <w:b/>
          <w:color w:val="0A0A0A"/>
          <w:spacing w:val="-4"/>
          <w:position w:val="-1"/>
          <w:sz w:val="20"/>
        </w:rPr>
        <w:t>(44)</w:t>
      </w:r>
    </w:p>
    <w:p>
      <w:pPr>
        <w:spacing w:before="0" w:line="220" w:lineRule="exact"/>
        <w:ind w:left="1574" w:right="0" w:firstLine="0"/>
        <w:jc w:val="left"/>
        <w:rPr>
          <w:sz w:val="20"/>
        </w:rPr>
      </w:pPr>
      <w:r>
        <w:rPr>
          <w:color w:val="0A0A0A"/>
          <w:spacing w:val="-2"/>
          <w:sz w:val="20"/>
        </w:rPr>
        <w:t>Notices.</w:t>
      </w:r>
    </w:p>
    <w:p>
      <w:pPr>
        <w:pStyle w:val="BodyText"/>
        <w:spacing w:before="30"/>
        <w:rPr>
          <w:sz w:val="20"/>
        </w:rPr>
      </w:pPr>
      <w:r>
        <w:rPr/>
        <ve:AlternateContent>
          <ve:Choice Requires="wps">
            <w:drawing>
              <wp:anchor distT="0" distB="0" distL="0" distR="0" simplePos="0" relativeHeight="487684608" behindDoc="1" locked="0" layoutInCell="1" allowOverlap="1">
                <wp:simplePos x="0" y="0"/>
                <wp:positionH relativeFrom="page">
                  <wp:posOffset>5956239</wp:posOffset>
                </wp:positionH>
                <wp:positionV relativeFrom="paragraph">
                  <wp:posOffset>180800</wp:posOffset>
                </wp:positionV>
                <wp:extent cx="769620" cy="1270"/>
                <wp:effectExtent l="0" t="0" r="0" b="0"/>
                <wp:wrapTopAndBottom/>
                <wp:docPr id="470" name="Graphic 470"/>
                <wp:cNvGraphicFramePr>
                  <a:graphicFrameLocks/>
                </wp:cNvGraphicFramePr>
                <a:graphic>
                  <a:graphicData uri="http://schemas.microsoft.com/office/word/2010/wordprocessingShape">
                    <wps:wsp>
                      <wps:cNvPr id="470" name="Graphic 470"/>
                      <wps:cNvSpPr/>
                      <wps:spPr>
                        <a:xfrm>
                          <a:off x="0" y="0"/>
                          <a:ext cx="769620" cy="1270"/>
                        </a:xfrm>
                        <a:custGeom>
                          <a:avLst/>
                          <a:gdLst/>
                          <a:ahLst/>
                          <a:cxnLst/>
                          <a:rect l="l" t="t" r="r" b="b"/>
                          <a:pathLst>
                            <a:path w="769620" h="0">
                              <a:moveTo>
                                <a:pt x="0" y="0"/>
                              </a:moveTo>
                              <a:lnTo>
                                <a:pt x="769334"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324" style="position:absolute;margin-left:468.99527pt;margin-top:14.236244pt;width:60.6pt;height:.1pt;mso-position-horizontal-relative:page;mso-position-vertical-relative:paragraph;z-index:-15631872;mso-wrap-distance-left:0;mso-wrap-distance-right:0" coordsize="1212,0" coordorigin="9380,285" filled="false" stroked="true" strokecolor="#000000" strokeweight=".720821pt" path="m9380,285l10591,285e">
                <v:path arrowok="t"/>
                <v:stroke dashstyle="solid"/>
                <w10:wrap type="topAndBottom"/>
              </v:shape>
            </w:pict>
          </ve:Fallback>
        </ve:AlternateContent>
      </w:r>
    </w:p>
    <w:p>
      <w:pPr>
        <w:tabs>
          <w:tab w:val="left" w:leader="none" w:pos="714"/>
        </w:tabs>
        <w:spacing w:before="41"/>
        <w:ind w:left="0" w:right="1026" w:firstLine="0"/>
        <w:jc w:val="right"/>
        <w:rPr>
          <w:rFonts w:ascii="Times New Roman"/>
          <w:b/>
          <w:sz w:val="20"/>
        </w:rPr>
      </w:pPr>
      <w:r>
        <w:rPr>
          <w:rFonts w:ascii="Times New Roman"/>
          <w:b/>
          <w:color w:val="1A1A1A"/>
          <w:sz w:val="20"/>
          <w:u w:val="single" w:color="000000"/>
        </w:rPr>
        <w:tab/>
      </w:r>
      <w:r>
        <w:rPr>
          <w:rFonts w:ascii="Times New Roman"/>
          <w:b/>
          <w:color w:val="1A1A1A"/>
          <w:spacing w:val="-2"/>
          <w:w w:val="105"/>
          <w:sz w:val="20"/>
          <w:u w:val="single" w:color="000000"/>
        </w:rPr>
        <w:t>{593}</w:t>
      </w:r>
    </w:p>
    <w:p>
      <w:pPr>
        <w:spacing w:after="0"/>
        <w:jc w:val="right"/>
        <w:rPr>
          <w:rFonts w:ascii="Times New Roman"/>
          <w:sz w:val="20"/>
        </w:rPr>
        <w:sectPr>
          <w:type w:val="continuous"/>
          <w:pgSz w:w="11910" w:h="16830"/>
          <w:pgMar w:top="1940" w:right="300" w:bottom="280" w:left="0" w:header="0" w:footer="1005"/>
          <w:cols w:equalWidth="0" w:num="2">
            <w:col w:w="2362" w:space="582"/>
            <w:col w:w="8666"/>
          </w:cols>
        </w:sectPr>
      </w:pPr>
    </w:p>
    <w:p>
      <w:pPr>
        <w:pStyle w:val="BodyText"/>
        <w:rPr>
          <w:rFonts w:ascii="Times New Roman"/>
          <w:b/>
          <w:sz w:val="21"/>
        </w:rPr>
      </w:pPr>
      <w:r>
        <w:rPr/>
        <ve:AlternateContent>
          <ve:Choice Requires="wps">
            <w:drawing>
              <wp:anchor distT="0" distB="0" distL="0" distR="0" simplePos="0" relativeHeight="15825920" behindDoc="0" locked="0" layoutInCell="1" allowOverlap="1">
                <wp:simplePos x="0" y="0"/>
                <wp:positionH relativeFrom="page">
                  <wp:posOffset>15264</wp:posOffset>
                </wp:positionH>
                <wp:positionV relativeFrom="page">
                  <wp:posOffset>10063786</wp:posOffset>
                </wp:positionV>
                <wp:extent cx="1270" cy="513080"/>
                <wp:effectExtent l="0" t="0" r="0" b="0"/>
                <wp:wrapNone/>
                <wp:docPr id="471" name="Graphic 471"/>
                <wp:cNvGraphicFramePr>
                  <a:graphicFrameLocks/>
                </wp:cNvGraphicFramePr>
                <a:graphic>
                  <a:graphicData uri="http://schemas.microsoft.com/office/word/2010/wordprocessingShape">
                    <wps:wsp>
                      <wps:cNvPr id="471" name="Graphic 471"/>
                      <wps:cNvSpPr/>
                      <wps:spPr>
                        <a:xfrm>
                          <a:off x="0" y="0"/>
                          <a:ext cx="1270" cy="513080"/>
                        </a:xfrm>
                        <a:custGeom>
                          <a:avLst/>
                          <a:gdLst/>
                          <a:ahLst/>
                          <a:cxnLst/>
                          <a:rect l="l" t="t" r="r" b="b"/>
                          <a:pathLst>
                            <a:path w="0" h="513080">
                              <a:moveTo>
                                <a:pt x="0" y="512648"/>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25920" stroked="true" strokecolor="#000000" strokeweight="1.201936pt" from="1.201936pt,832.790136pt" to="1.201936pt,792.424133pt">
                <v:stroke dashstyle="solid"/>
                <w10:wrap type="none"/>
              </v:line>
            </w:pict>
          </ve:Fallback>
        </ve:AlternateContent>
      </w:r>
      <w:r>
        <w:rPr/>
        <ve:AlternateContent>
          <ve:Choice Requires="wps">
            <w:drawing>
              <wp:anchor distT="0" distB="0" distL="0" distR="0" simplePos="0" relativeHeight="15826432" behindDoc="0" locked="0" layoutInCell="1" allowOverlap="1">
                <wp:simplePos x="0" y="0"/>
                <wp:positionH relativeFrom="page">
                  <wp:posOffset>33582</wp:posOffset>
                </wp:positionH>
                <wp:positionV relativeFrom="page">
                  <wp:posOffset>9123931</wp:posOffset>
                </wp:positionV>
                <wp:extent cx="1270" cy="513080"/>
                <wp:effectExtent l="0" t="0" r="0" b="0"/>
                <wp:wrapNone/>
                <wp:docPr id="472" name="Graphic 472"/>
                <wp:cNvGraphicFramePr>
                  <a:graphicFrameLocks/>
                </wp:cNvGraphicFramePr>
                <a:graphic>
                  <a:graphicData uri="http://schemas.microsoft.com/office/word/2010/wordprocessingShape">
                    <wps:wsp>
                      <wps:cNvPr id="472" name="Graphic 472"/>
                      <wps:cNvSpPr/>
                      <wps:spPr>
                        <a:xfrm>
                          <a:off x="0" y="0"/>
                          <a:ext cx="1270" cy="513080"/>
                        </a:xfrm>
                        <a:custGeom>
                          <a:avLst/>
                          <a:gdLst/>
                          <a:ahLst/>
                          <a:cxnLst/>
                          <a:rect l="l" t="t" r="r" b="b"/>
                          <a:pathLst>
                            <a:path w="0" h="513080">
                              <a:moveTo>
                                <a:pt x="0" y="512648"/>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26432" stroked="true" strokecolor="#000000" strokeweight=".961549pt" from="2.644258pt,758.785803pt" to="2.644258pt,718.4198pt">
                <v:stroke dashstyle="solid"/>
                <w10:wrap type="none"/>
              </v:line>
            </w:pict>
          </ve:Fallback>
        </ve:AlternateContent>
      </w:r>
    </w:p>
    <w:p>
      <w:pPr>
        <w:pStyle w:val="BodyText"/>
        <w:spacing w:before="36"/>
        <w:rPr>
          <w:rFonts w:ascii="Times New Roman"/>
          <w:b/>
          <w:sz w:val="21"/>
        </w:rPr>
      </w:pPr>
    </w:p>
    <w:p>
      <w:pPr>
        <w:spacing w:before="0"/>
        <w:ind w:left="1445" w:right="0" w:firstLine="0"/>
        <w:jc w:val="both"/>
        <w:rPr>
          <w:b/>
          <w:sz w:val="21"/>
        </w:rPr>
      </w:pPr>
      <w:r>
        <w:rPr>
          <w:b/>
          <w:color w:val="0A0A0A"/>
          <w:w w:val="105"/>
          <w:sz w:val="21"/>
        </w:rPr>
        <w:t>Liquidity</w:t>
      </w:r>
      <w:r>
        <w:rPr>
          <w:b/>
          <w:color w:val="0A0A0A"/>
          <w:spacing w:val="-3"/>
          <w:w w:val="105"/>
          <w:sz w:val="21"/>
        </w:rPr>
        <w:t> </w:t>
      </w:r>
      <w:r>
        <w:rPr>
          <w:b/>
          <w:color w:val="0A0A0A"/>
          <w:spacing w:val="-4"/>
          <w:w w:val="105"/>
          <w:sz w:val="21"/>
        </w:rPr>
        <w:t>Risk</w:t>
      </w:r>
    </w:p>
    <w:p>
      <w:pPr>
        <w:pStyle w:val="BodyText"/>
        <w:spacing w:before="22"/>
        <w:rPr>
          <w:b/>
          <w:sz w:val="21"/>
        </w:rPr>
      </w:pPr>
    </w:p>
    <w:p>
      <w:pPr>
        <w:pStyle w:val="BodyText"/>
        <w:spacing w:line="276" w:lineRule="auto"/>
        <w:ind w:left="1424" w:right="918" w:firstLine="17"/>
        <w:jc w:val="both"/>
      </w:pPr>
      <w:r>
        <w:rPr>
          <w:color w:val="0A0A0A"/>
        </w:rPr>
        <w:t>This</w:t>
      </w:r>
      <w:r>
        <w:rPr>
          <w:color w:val="0A0A0A"/>
          <w:spacing w:val="-9"/>
        </w:rPr>
        <w:t> </w:t>
      </w:r>
      <w:r>
        <w:rPr>
          <w:color w:val="0A0A0A"/>
        </w:rPr>
        <w:t>is</w:t>
      </w:r>
      <w:r>
        <w:rPr>
          <w:color w:val="0A0A0A"/>
          <w:spacing w:val="-12"/>
        </w:rPr>
        <w:t> </w:t>
      </w:r>
      <w:r>
        <w:rPr>
          <w:color w:val="0A0A0A"/>
        </w:rPr>
        <w:t>the</w:t>
      </w:r>
      <w:r>
        <w:rPr>
          <w:color w:val="0A0A0A"/>
          <w:spacing w:val="-10"/>
        </w:rPr>
        <w:t> </w:t>
      </w:r>
      <w:r>
        <w:rPr>
          <w:color w:val="0A0A0A"/>
        </w:rPr>
        <w:t>risk that</w:t>
      </w:r>
      <w:r>
        <w:rPr>
          <w:color w:val="0A0A0A"/>
          <w:spacing w:val="-1"/>
        </w:rPr>
        <w:t> </w:t>
      </w:r>
      <w:r>
        <w:rPr>
          <w:color w:val="0A0A0A"/>
        </w:rPr>
        <w:t>cash</w:t>
      </w:r>
      <w:r>
        <w:rPr>
          <w:color w:val="0A0A0A"/>
          <w:spacing w:val="-7"/>
        </w:rPr>
        <w:t> </w:t>
      </w:r>
      <w:r>
        <w:rPr>
          <w:color w:val="0A0A0A"/>
        </w:rPr>
        <w:t>will</w:t>
      </w:r>
      <w:r>
        <w:rPr>
          <w:color w:val="0A0A0A"/>
          <w:spacing w:val="-13"/>
        </w:rPr>
        <w:t> </w:t>
      </w:r>
      <w:r>
        <w:rPr>
          <w:color w:val="0A0A0A"/>
        </w:rPr>
        <w:t>not be available when</w:t>
      </w:r>
      <w:r>
        <w:rPr>
          <w:color w:val="0A0A0A"/>
          <w:spacing w:val="-4"/>
        </w:rPr>
        <w:t> </w:t>
      </w:r>
      <w:r>
        <w:rPr>
          <w:color w:val="0A0A0A"/>
        </w:rPr>
        <w:t>it</w:t>
      </w:r>
      <w:r>
        <w:rPr>
          <w:color w:val="0A0A0A"/>
          <w:spacing w:val="-7"/>
        </w:rPr>
        <w:t> </w:t>
      </w:r>
      <w:r>
        <w:rPr>
          <w:color w:val="0A0A0A"/>
        </w:rPr>
        <w:t>is</w:t>
      </w:r>
      <w:r>
        <w:rPr>
          <w:color w:val="0A0A0A"/>
          <w:spacing w:val="-9"/>
        </w:rPr>
        <w:t> </w:t>
      </w:r>
      <w:r>
        <w:rPr>
          <w:color w:val="0A0A0A"/>
        </w:rPr>
        <w:t>needed, that ineffective management of liquidity creates additional unbudgeted costs, and that the organisation's business/service objectives will be thereby compromised. The Council ensures it has adequate though not excessive cash</w:t>
      </w:r>
      <w:r>
        <w:rPr>
          <w:color w:val="0A0A0A"/>
          <w:spacing w:val="-3"/>
        </w:rPr>
        <w:t> </w:t>
      </w:r>
      <w:r>
        <w:rPr>
          <w:color w:val="0A0A0A"/>
        </w:rPr>
        <w:t>resources, borrowing arrangements or</w:t>
      </w:r>
      <w:r>
        <w:rPr>
          <w:color w:val="0A0A0A"/>
          <w:spacing w:val="-7"/>
        </w:rPr>
        <w:t> </w:t>
      </w:r>
      <w:r>
        <w:rPr>
          <w:color w:val="0A0A0A"/>
        </w:rPr>
        <w:t>standby facilities to</w:t>
      </w:r>
      <w:r>
        <w:rPr>
          <w:color w:val="0A0A0A"/>
          <w:spacing w:val="-10"/>
        </w:rPr>
        <w:t> </w:t>
      </w:r>
      <w:r>
        <w:rPr>
          <w:color w:val="0A0A0A"/>
        </w:rPr>
        <w:t>enable it</w:t>
      </w:r>
      <w:r>
        <w:rPr>
          <w:color w:val="0A0A0A"/>
          <w:spacing w:val="-2"/>
        </w:rPr>
        <w:t> </w:t>
      </w:r>
      <w:r>
        <w:rPr>
          <w:color w:val="0A0A0A"/>
        </w:rPr>
        <w:t>at all</w:t>
      </w:r>
      <w:r>
        <w:rPr>
          <w:color w:val="0A0A0A"/>
          <w:spacing w:val="-14"/>
        </w:rPr>
        <w:t> </w:t>
      </w:r>
      <w:r>
        <w:rPr>
          <w:color w:val="0A0A0A"/>
        </w:rPr>
        <w:t>times to</w:t>
      </w:r>
      <w:r>
        <w:rPr>
          <w:color w:val="0A0A0A"/>
          <w:spacing w:val="-5"/>
        </w:rPr>
        <w:t> </w:t>
      </w:r>
      <w:r>
        <w:rPr>
          <w:color w:val="0A0A0A"/>
        </w:rPr>
        <w:t>have</w:t>
      </w:r>
      <w:r>
        <w:rPr>
          <w:color w:val="0A0A0A"/>
          <w:spacing w:val="-10"/>
        </w:rPr>
        <w:t> </w:t>
      </w:r>
      <w:r>
        <w:rPr>
          <w:color w:val="0A0A0A"/>
        </w:rPr>
        <w:t>the</w:t>
      </w:r>
      <w:r>
        <w:rPr>
          <w:color w:val="0A0A0A"/>
          <w:spacing w:val="-8"/>
        </w:rPr>
        <w:t> </w:t>
      </w:r>
      <w:r>
        <w:rPr>
          <w:color w:val="0A0A0A"/>
        </w:rPr>
        <w:t>level of</w:t>
      </w:r>
      <w:r>
        <w:rPr>
          <w:color w:val="0A0A0A"/>
          <w:spacing w:val="-5"/>
        </w:rPr>
        <w:t> </w:t>
      </w:r>
      <w:r>
        <w:rPr>
          <w:color w:val="0A0A0A"/>
        </w:rPr>
        <w:t>funds</w:t>
      </w:r>
      <w:r>
        <w:rPr>
          <w:color w:val="0A0A0A"/>
          <w:spacing w:val="-7"/>
        </w:rPr>
        <w:t> </w:t>
      </w:r>
      <w:r>
        <w:rPr>
          <w:color w:val="0A0A0A"/>
        </w:rPr>
        <w:t>available to</w:t>
      </w:r>
      <w:r>
        <w:rPr>
          <w:color w:val="0A0A0A"/>
          <w:spacing w:val="-15"/>
        </w:rPr>
        <w:t> </w:t>
      </w:r>
      <w:r>
        <w:rPr>
          <w:color w:val="0A0A0A"/>
        </w:rPr>
        <w:t>it</w:t>
      </w:r>
      <w:r>
        <w:rPr>
          <w:color w:val="0A0A0A"/>
          <w:spacing w:val="-11"/>
        </w:rPr>
        <w:t> </w:t>
      </w:r>
      <w:r>
        <w:rPr>
          <w:color w:val="0A0A0A"/>
        </w:rPr>
        <w:t>which</w:t>
      </w:r>
      <w:r>
        <w:rPr>
          <w:color w:val="0A0A0A"/>
          <w:spacing w:val="-3"/>
        </w:rPr>
        <w:t> </w:t>
      </w:r>
      <w:r>
        <w:rPr>
          <w:color w:val="0A0A0A"/>
        </w:rPr>
        <w:t>are</w:t>
      </w:r>
      <w:r>
        <w:rPr>
          <w:color w:val="0A0A0A"/>
          <w:spacing w:val="-8"/>
        </w:rPr>
        <w:t> </w:t>
      </w:r>
      <w:r>
        <w:rPr>
          <w:color w:val="0A0A0A"/>
        </w:rPr>
        <w:t>necessary for</w:t>
      </w:r>
      <w:r>
        <w:rPr>
          <w:color w:val="0A0A0A"/>
          <w:spacing w:val="-4"/>
        </w:rPr>
        <w:t> </w:t>
      </w:r>
      <w:r>
        <w:rPr>
          <w:color w:val="0A0A0A"/>
        </w:rPr>
        <w:t>the</w:t>
      </w:r>
      <w:r>
        <w:rPr>
          <w:color w:val="0A0A0A"/>
          <w:spacing w:val="-1"/>
        </w:rPr>
        <w:t> </w:t>
      </w:r>
      <w:r>
        <w:rPr>
          <w:color w:val="0A0A0A"/>
        </w:rPr>
        <w:t>achievement of</w:t>
      </w:r>
      <w:r>
        <w:rPr>
          <w:color w:val="0A0A0A"/>
          <w:spacing w:val="-18"/>
        </w:rPr>
        <w:t> </w:t>
      </w:r>
      <w:r>
        <w:rPr>
          <w:color w:val="0A0A0A"/>
        </w:rPr>
        <w:t>its</w:t>
      </w:r>
      <w:r>
        <w:rPr>
          <w:color w:val="0A0A0A"/>
          <w:spacing w:val="-10"/>
        </w:rPr>
        <w:t> </w:t>
      </w:r>
      <w:r>
        <w:rPr>
          <w:color w:val="0A0A0A"/>
        </w:rPr>
        <w:t>business</w:t>
      </w:r>
    </w:p>
    <w:p>
      <w:pPr>
        <w:pStyle w:val="BodyText"/>
        <w:spacing w:before="2" w:line="276" w:lineRule="auto"/>
        <w:ind w:left="1413" w:right="945" w:firstLine="14"/>
        <w:jc w:val="both"/>
      </w:pPr>
      <w:r>
        <w:rPr>
          <w:color w:val="0A0A0A"/>
        </w:rPr>
        <w:t>/ service objectives and will only borrow in advance of need where there is a clear business case</w:t>
      </w:r>
      <w:r>
        <w:rPr>
          <w:color w:val="0A0A0A"/>
          <w:spacing w:val="-3"/>
        </w:rPr>
        <w:t> </w:t>
      </w:r>
      <w:r>
        <w:rPr>
          <w:color w:val="0A0A0A"/>
        </w:rPr>
        <w:t>for doing so</w:t>
      </w:r>
      <w:r>
        <w:rPr>
          <w:color w:val="0A0A0A"/>
          <w:spacing w:val="-4"/>
        </w:rPr>
        <w:t> </w:t>
      </w:r>
      <w:r>
        <w:rPr>
          <w:color w:val="0A0A0A"/>
        </w:rPr>
        <w:t>and</w:t>
      </w:r>
      <w:r>
        <w:rPr>
          <w:color w:val="0A0A0A"/>
          <w:spacing w:val="-6"/>
        </w:rPr>
        <w:t> </w:t>
      </w:r>
      <w:r>
        <w:rPr>
          <w:color w:val="0A0A0A"/>
        </w:rPr>
        <w:t>will</w:t>
      </w:r>
      <w:r>
        <w:rPr>
          <w:color w:val="0A0A0A"/>
          <w:spacing w:val="-3"/>
        </w:rPr>
        <w:t> </w:t>
      </w:r>
      <w:r>
        <w:rPr>
          <w:color w:val="0A0A0A"/>
        </w:rPr>
        <w:t>only</w:t>
      </w:r>
      <w:r>
        <w:rPr>
          <w:color w:val="0A0A0A"/>
          <w:spacing w:val="-2"/>
        </w:rPr>
        <w:t> </w:t>
      </w:r>
      <w:r>
        <w:rPr>
          <w:color w:val="0A0A0A"/>
        </w:rPr>
        <w:t>do</w:t>
      </w:r>
      <w:r>
        <w:rPr>
          <w:color w:val="0A0A0A"/>
          <w:spacing w:val="-3"/>
        </w:rPr>
        <w:t> </w:t>
      </w:r>
      <w:r>
        <w:rPr>
          <w:color w:val="0A0A0A"/>
        </w:rPr>
        <w:t>so</w:t>
      </w:r>
      <w:r>
        <w:rPr>
          <w:color w:val="0A0A0A"/>
          <w:spacing w:val="-7"/>
        </w:rPr>
        <w:t> </w:t>
      </w:r>
      <w:r>
        <w:rPr>
          <w:color w:val="0A0A0A"/>
        </w:rPr>
        <w:t>for</w:t>
      </w:r>
      <w:r>
        <w:rPr>
          <w:color w:val="0A0A0A"/>
          <w:spacing w:val="-5"/>
        </w:rPr>
        <w:t> </w:t>
      </w:r>
      <w:r>
        <w:rPr>
          <w:color w:val="0A0A0A"/>
        </w:rPr>
        <w:t>the</w:t>
      </w:r>
      <w:r>
        <w:rPr>
          <w:color w:val="0A0A0A"/>
          <w:spacing w:val="-3"/>
        </w:rPr>
        <w:t> </w:t>
      </w:r>
      <w:r>
        <w:rPr>
          <w:color w:val="0A0A0A"/>
        </w:rPr>
        <w:t>current capital</w:t>
      </w:r>
      <w:r>
        <w:rPr>
          <w:color w:val="0A0A0A"/>
          <w:spacing w:val="-8"/>
        </w:rPr>
        <w:t> </w:t>
      </w:r>
      <w:r>
        <w:rPr>
          <w:color w:val="0A0A0A"/>
        </w:rPr>
        <w:t>programme or</w:t>
      </w:r>
      <w:r>
        <w:rPr>
          <w:color w:val="0A0A0A"/>
          <w:spacing w:val="-7"/>
        </w:rPr>
        <w:t> </w:t>
      </w:r>
      <w:r>
        <w:rPr>
          <w:color w:val="0A0A0A"/>
        </w:rPr>
        <w:t>to</w:t>
      </w:r>
      <w:r>
        <w:rPr>
          <w:color w:val="0A0A0A"/>
          <w:spacing w:val="-7"/>
        </w:rPr>
        <w:t> </w:t>
      </w:r>
      <w:r>
        <w:rPr>
          <w:color w:val="0A0A0A"/>
        </w:rPr>
        <w:t>finance future</w:t>
      </w:r>
      <w:r>
        <w:rPr>
          <w:color w:val="0A0A0A"/>
          <w:spacing w:val="-3"/>
        </w:rPr>
        <w:t> </w:t>
      </w:r>
      <w:r>
        <w:rPr>
          <w:color w:val="0A0A0A"/>
        </w:rPr>
        <w:t>debt </w:t>
      </w:r>
      <w:r>
        <w:rPr>
          <w:color w:val="0A0A0A"/>
          <w:spacing w:val="-2"/>
        </w:rPr>
        <w:t>maturities.</w:t>
      </w:r>
    </w:p>
    <w:p>
      <w:pPr>
        <w:pStyle w:val="BodyText"/>
        <w:spacing w:before="198" w:line="278" w:lineRule="auto"/>
        <w:ind w:left="1399" w:right="944" w:firstLine="9"/>
        <w:jc w:val="both"/>
      </w:pPr>
      <w:r>
        <w:rPr>
          <w:color w:val="0A0A0A"/>
        </w:rPr>
        <w:t>As</w:t>
      </w:r>
      <w:r>
        <w:rPr>
          <w:color w:val="0A0A0A"/>
          <w:spacing w:val="-9"/>
        </w:rPr>
        <w:t> </w:t>
      </w:r>
      <w:r>
        <w:rPr>
          <w:color w:val="0A0A0A"/>
        </w:rPr>
        <w:t>the</w:t>
      </w:r>
      <w:r>
        <w:rPr>
          <w:color w:val="0A0A0A"/>
          <w:spacing w:val="-7"/>
        </w:rPr>
        <w:t> </w:t>
      </w:r>
      <w:r>
        <w:rPr>
          <w:color w:val="0A0A0A"/>
        </w:rPr>
        <w:t>majority of</w:t>
      </w:r>
      <w:r>
        <w:rPr>
          <w:color w:val="0A0A0A"/>
          <w:spacing w:val="-12"/>
        </w:rPr>
        <w:t> </w:t>
      </w:r>
      <w:r>
        <w:rPr>
          <w:color w:val="0A0A0A"/>
        </w:rPr>
        <w:t>its</w:t>
      </w:r>
      <w:r>
        <w:rPr>
          <w:color w:val="0A0A0A"/>
          <w:spacing w:val="-8"/>
        </w:rPr>
        <w:t> </w:t>
      </w:r>
      <w:r>
        <w:rPr>
          <w:color w:val="0A0A0A"/>
        </w:rPr>
        <w:t>investments are</w:t>
      </w:r>
      <w:r>
        <w:rPr>
          <w:color w:val="0A0A0A"/>
          <w:spacing w:val="-13"/>
        </w:rPr>
        <w:t> </w:t>
      </w:r>
      <w:r>
        <w:rPr>
          <w:color w:val="0A0A0A"/>
        </w:rPr>
        <w:t>short</w:t>
      </w:r>
      <w:r>
        <w:rPr>
          <w:color w:val="0A0A0A"/>
          <w:spacing w:val="-3"/>
        </w:rPr>
        <w:t> </w:t>
      </w:r>
      <w:r>
        <w:rPr>
          <w:color w:val="0A0A0A"/>
        </w:rPr>
        <w:t>term</w:t>
      </w:r>
      <w:r>
        <w:rPr>
          <w:color w:val="0A0A0A"/>
          <w:spacing w:val="-6"/>
        </w:rPr>
        <w:t> </w:t>
      </w:r>
      <w:r>
        <w:rPr>
          <w:color w:val="0A0A0A"/>
        </w:rPr>
        <w:t>deposits, which</w:t>
      </w:r>
      <w:r>
        <w:rPr>
          <w:color w:val="0A0A0A"/>
          <w:spacing w:val="-1"/>
        </w:rPr>
        <w:t> </w:t>
      </w:r>
      <w:r>
        <w:rPr>
          <w:color w:val="0A0A0A"/>
        </w:rPr>
        <w:t>are</w:t>
      </w:r>
      <w:r>
        <w:rPr>
          <w:color w:val="0A0A0A"/>
          <w:spacing w:val="-9"/>
        </w:rPr>
        <w:t> </w:t>
      </w:r>
      <w:r>
        <w:rPr>
          <w:color w:val="0A0A0A"/>
        </w:rPr>
        <w:t>available at</w:t>
      </w:r>
      <w:r>
        <w:rPr>
          <w:color w:val="0A0A0A"/>
          <w:spacing w:val="-14"/>
        </w:rPr>
        <w:t> </w:t>
      </w:r>
      <w:r>
        <w:rPr>
          <w:color w:val="0A0A0A"/>
        </w:rPr>
        <w:t>relatively short notice, there is no significant risk that the Council will be unable to raise finance to meet its commitments under financial instruments.</w:t>
      </w:r>
    </w:p>
    <w:p>
      <w:pPr>
        <w:spacing w:after="0" w:line="278" w:lineRule="auto"/>
        <w:jc w:val="both"/>
        <w:sectPr>
          <w:type w:val="continuous"/>
          <w:pgSz w:w="11910" w:h="16830"/>
          <w:pgMar w:top="1940" w:right="300" w:bottom="280" w:left="0" w:header="0" w:footer="1005"/>
        </w:sectPr>
      </w:pPr>
    </w:p>
    <w:p>
      <w:pPr>
        <w:pStyle w:val="BodyText"/>
        <w:rPr>
          <w:sz w:val="21"/>
        </w:rPr>
      </w:pPr>
    </w:p>
    <w:p>
      <w:pPr>
        <w:spacing w:before="0"/>
        <w:ind w:left="1259" w:right="0" w:firstLine="0"/>
        <w:jc w:val="left"/>
        <w:rPr>
          <w:b/>
          <w:sz w:val="21"/>
        </w:rPr>
      </w:pPr>
      <w:r>
        <w:rPr>
          <w:b/>
          <w:color w:val="696969"/>
          <w:w w:val="105"/>
          <w:sz w:val="21"/>
        </w:rPr>
        <w:t>Interest Rate</w:t>
      </w:r>
      <w:r>
        <w:rPr>
          <w:b/>
          <w:color w:val="696969"/>
          <w:spacing w:val="-4"/>
          <w:w w:val="105"/>
          <w:sz w:val="21"/>
        </w:rPr>
        <w:t> Risk</w:t>
      </w:r>
    </w:p>
    <w:p>
      <w:pPr>
        <w:pStyle w:val="BodyText"/>
        <w:spacing w:before="12"/>
        <w:rPr>
          <w:b/>
          <w:sz w:val="21"/>
        </w:rPr>
      </w:pPr>
    </w:p>
    <w:p>
      <w:pPr>
        <w:pStyle w:val="BodyText"/>
        <w:spacing w:before="1"/>
        <w:ind w:left="1259" w:right="1149" w:firstLine="4"/>
        <w:jc w:val="both"/>
      </w:pPr>
      <w:r>
        <w:rPr>
          <w:color w:val="0E0E0E"/>
        </w:rPr>
        <w:t>This </w:t>
      </w:r>
      <w:r>
        <w:rPr>
          <w:color w:val="1C1C1C"/>
        </w:rPr>
        <w:t>is </w:t>
      </w:r>
      <w:r>
        <w:rPr>
          <w:color w:val="0E0E0E"/>
        </w:rPr>
        <w:t>the risk that fluctuations </w:t>
      </w:r>
      <w:r>
        <w:rPr>
          <w:color w:val="1C1C1C"/>
        </w:rPr>
        <w:t>in </w:t>
      </w:r>
      <w:r>
        <w:rPr>
          <w:color w:val="0E0E0E"/>
        </w:rPr>
        <w:t>the levels of interest rates create an unexpected or unbudgeted burden on the Council's finances, against which it has failed to protect itself adequately. The Council manages its exposure to fluctuations in</w:t>
      </w:r>
      <w:r>
        <w:rPr>
          <w:color w:val="0E0E0E"/>
          <w:spacing w:val="-3"/>
        </w:rPr>
        <w:t> </w:t>
      </w:r>
      <w:r>
        <w:rPr>
          <w:color w:val="0E0E0E"/>
        </w:rPr>
        <w:t>interest rates with a view to containing</w:t>
      </w:r>
      <w:r>
        <w:rPr>
          <w:color w:val="0E0E0E"/>
          <w:spacing w:val="-9"/>
        </w:rPr>
        <w:t> </w:t>
      </w:r>
      <w:r>
        <w:rPr>
          <w:color w:val="1C1C1C"/>
        </w:rPr>
        <w:t>its</w:t>
      </w:r>
      <w:r>
        <w:rPr>
          <w:color w:val="1C1C1C"/>
          <w:spacing w:val="-16"/>
        </w:rPr>
        <w:t> </w:t>
      </w:r>
      <w:r>
        <w:rPr>
          <w:color w:val="2F2F2F"/>
        </w:rPr>
        <w:t>interest</w:t>
      </w:r>
      <w:r>
        <w:rPr>
          <w:color w:val="2F2F2F"/>
          <w:spacing w:val="-2"/>
        </w:rPr>
        <w:t> </w:t>
      </w:r>
      <w:r>
        <w:rPr>
          <w:color w:val="0E0E0E"/>
        </w:rPr>
        <w:t>costs</w:t>
      </w:r>
      <w:r>
        <w:rPr>
          <w:color w:val="0E0E0E"/>
          <w:spacing w:val="-8"/>
        </w:rPr>
        <w:t> </w:t>
      </w:r>
      <w:r>
        <w:rPr>
          <w:color w:val="0E0E0E"/>
        </w:rPr>
        <w:t>or</w:t>
      </w:r>
      <w:r>
        <w:rPr>
          <w:color w:val="0E0E0E"/>
          <w:spacing w:val="-9"/>
        </w:rPr>
        <w:t> </w:t>
      </w:r>
      <w:r>
        <w:rPr>
          <w:color w:val="0E0E0E"/>
        </w:rPr>
        <w:t>securing</w:t>
      </w:r>
      <w:r>
        <w:rPr>
          <w:color w:val="0E0E0E"/>
          <w:spacing w:val="-10"/>
        </w:rPr>
        <w:t> </w:t>
      </w:r>
      <w:r>
        <w:rPr>
          <w:color w:val="0E0E0E"/>
        </w:rPr>
        <w:t>its</w:t>
      </w:r>
      <w:r>
        <w:rPr>
          <w:color w:val="0E0E0E"/>
          <w:spacing w:val="-14"/>
        </w:rPr>
        <w:t> </w:t>
      </w:r>
      <w:r>
        <w:rPr>
          <w:color w:val="0E0E0E"/>
        </w:rPr>
        <w:t>interest</w:t>
      </w:r>
      <w:r>
        <w:rPr>
          <w:color w:val="0E0E0E"/>
          <w:spacing w:val="-1"/>
        </w:rPr>
        <w:t> </w:t>
      </w:r>
      <w:r>
        <w:rPr>
          <w:color w:val="0E0E0E"/>
        </w:rPr>
        <w:t>revenues.</w:t>
      </w:r>
      <w:r>
        <w:rPr>
          <w:color w:val="0E0E0E"/>
          <w:spacing w:val="-2"/>
        </w:rPr>
        <w:t> </w:t>
      </w:r>
      <w:r>
        <w:rPr>
          <w:color w:val="0E0E0E"/>
        </w:rPr>
        <w:t>It</w:t>
      </w:r>
      <w:r>
        <w:rPr>
          <w:color w:val="0E0E0E"/>
          <w:spacing w:val="-14"/>
        </w:rPr>
        <w:t> </w:t>
      </w:r>
      <w:r>
        <w:rPr>
          <w:color w:val="0E0E0E"/>
        </w:rPr>
        <w:t>achieves this</w:t>
      </w:r>
      <w:r>
        <w:rPr>
          <w:color w:val="0E0E0E"/>
          <w:spacing w:val="-13"/>
        </w:rPr>
        <w:t> </w:t>
      </w:r>
      <w:r>
        <w:rPr>
          <w:color w:val="0E0E0E"/>
        </w:rPr>
        <w:t>by</w:t>
      </w:r>
      <w:r>
        <w:rPr>
          <w:color w:val="0E0E0E"/>
          <w:spacing w:val="-11"/>
        </w:rPr>
        <w:t> </w:t>
      </w:r>
      <w:r>
        <w:rPr>
          <w:color w:val="0E0E0E"/>
        </w:rPr>
        <w:t>the</w:t>
      </w:r>
      <w:r>
        <w:rPr>
          <w:color w:val="0E0E0E"/>
          <w:spacing w:val="-13"/>
        </w:rPr>
        <w:t> </w:t>
      </w:r>
      <w:r>
        <w:rPr>
          <w:color w:val="0E0E0E"/>
        </w:rPr>
        <w:t>prudent</w:t>
      </w:r>
      <w:r>
        <w:rPr>
          <w:color w:val="0E0E0E"/>
          <w:spacing w:val="-4"/>
        </w:rPr>
        <w:t> </w:t>
      </w:r>
      <w:r>
        <w:rPr>
          <w:color w:val="0E0E0E"/>
        </w:rPr>
        <w:t>use of its approved financing and </w:t>
      </w:r>
      <w:r>
        <w:rPr>
          <w:color w:val="2F2F2F"/>
        </w:rPr>
        <w:t>investment </w:t>
      </w:r>
      <w:r>
        <w:rPr>
          <w:color w:val="0E0E0E"/>
        </w:rPr>
        <w:t>instruments, </w:t>
      </w:r>
      <w:r>
        <w:rPr>
          <w:color w:val="1C1C1C"/>
        </w:rPr>
        <w:t>methods </w:t>
      </w:r>
      <w:r>
        <w:rPr>
          <w:color w:val="0E0E0E"/>
        </w:rPr>
        <w:t>and techniques, primarily to </w:t>
      </w:r>
      <w:r>
        <w:rPr>
          <w:color w:val="1C1C1C"/>
        </w:rPr>
        <w:t>create stability and certainty of costs </w:t>
      </w:r>
      <w:r>
        <w:rPr>
          <w:color w:val="0E0E0E"/>
        </w:rPr>
        <w:t>and </w:t>
      </w:r>
      <w:r>
        <w:rPr>
          <w:color w:val="2F2F2F"/>
        </w:rPr>
        <w:t>re</w:t>
      </w:r>
      <w:r>
        <w:rPr>
          <w:color w:val="0E0E0E"/>
        </w:rPr>
        <w:t>venues</w:t>
      </w:r>
      <w:r>
        <w:rPr>
          <w:color w:val="696969"/>
        </w:rPr>
        <w:t>,</w:t>
      </w:r>
      <w:r>
        <w:rPr>
          <w:color w:val="696969"/>
          <w:spacing w:val="-16"/>
        </w:rPr>
        <w:t> </w:t>
      </w:r>
      <w:r>
        <w:rPr>
          <w:color w:val="0E0E0E"/>
        </w:rPr>
        <w:t>but </w:t>
      </w:r>
      <w:r>
        <w:rPr>
          <w:color w:val="1C1C1C"/>
        </w:rPr>
        <w:t>at the</w:t>
      </w:r>
      <w:r>
        <w:rPr>
          <w:color w:val="1C1C1C"/>
          <w:spacing w:val="-4"/>
        </w:rPr>
        <w:t> </w:t>
      </w:r>
      <w:r>
        <w:rPr>
          <w:color w:val="0E0E0E"/>
        </w:rPr>
        <w:t>same time retaining a sufficient </w:t>
      </w:r>
      <w:r>
        <w:rPr>
          <w:color w:val="1C1C1C"/>
        </w:rPr>
        <w:t>degree</w:t>
      </w:r>
      <w:r>
        <w:rPr>
          <w:color w:val="1C1C1C"/>
          <w:spacing w:val="-2"/>
        </w:rPr>
        <w:t> </w:t>
      </w:r>
      <w:r>
        <w:rPr>
          <w:color w:val="1C1C1C"/>
        </w:rPr>
        <w:t>of</w:t>
      </w:r>
      <w:r>
        <w:rPr>
          <w:color w:val="1C1C1C"/>
          <w:spacing w:val="-12"/>
        </w:rPr>
        <w:t> </w:t>
      </w:r>
      <w:r>
        <w:rPr>
          <w:color w:val="2F2F2F"/>
        </w:rPr>
        <w:t>flexibility </w:t>
      </w:r>
      <w:r>
        <w:rPr>
          <w:color w:val="1C1C1C"/>
        </w:rPr>
        <w:t>to</w:t>
      </w:r>
      <w:r>
        <w:rPr>
          <w:color w:val="1C1C1C"/>
          <w:spacing w:val="-2"/>
        </w:rPr>
        <w:t> </w:t>
      </w:r>
      <w:r>
        <w:rPr>
          <w:color w:val="0E0E0E"/>
        </w:rPr>
        <w:t>ta</w:t>
      </w:r>
      <w:r>
        <w:rPr>
          <w:color w:val="2F2F2F"/>
        </w:rPr>
        <w:t>k</w:t>
      </w:r>
      <w:r>
        <w:rPr>
          <w:color w:val="BABABA"/>
        </w:rPr>
        <w:t>.</w:t>
      </w:r>
      <w:r>
        <w:rPr>
          <w:color w:val="1C1C1C"/>
        </w:rPr>
        <w:t>e</w:t>
      </w:r>
      <w:r>
        <w:rPr>
          <w:color w:val="1C1C1C"/>
          <w:spacing w:val="-10"/>
        </w:rPr>
        <w:t> </w:t>
      </w:r>
      <w:r>
        <w:rPr>
          <w:color w:val="1C1C1C"/>
        </w:rPr>
        <w:t>advantage </w:t>
      </w:r>
      <w:r>
        <w:rPr>
          <w:color w:val="0E0E0E"/>
        </w:rPr>
        <w:t>of</w:t>
      </w:r>
      <w:r>
        <w:rPr>
          <w:color w:val="0E0E0E"/>
          <w:spacing w:val="-10"/>
        </w:rPr>
        <w:t> </w:t>
      </w:r>
      <w:r>
        <w:rPr>
          <w:color w:val="0E0E0E"/>
        </w:rPr>
        <w:t>unexpected, potentially advantageous changes</w:t>
      </w:r>
      <w:r>
        <w:rPr>
          <w:color w:val="0E0E0E"/>
          <w:spacing w:val="-2"/>
        </w:rPr>
        <w:t> </w:t>
      </w:r>
      <w:r>
        <w:rPr>
          <w:color w:val="0E0E0E"/>
        </w:rPr>
        <w:t>in</w:t>
      </w:r>
      <w:r>
        <w:rPr>
          <w:color w:val="0E0E0E"/>
          <w:spacing w:val="-16"/>
        </w:rPr>
        <w:t> </w:t>
      </w:r>
      <w:r>
        <w:rPr>
          <w:color w:val="0E0E0E"/>
        </w:rPr>
        <w:t>the </w:t>
      </w:r>
      <w:r>
        <w:rPr>
          <w:color w:val="1C1C1C"/>
        </w:rPr>
        <w:t>level or structure </w:t>
      </w:r>
      <w:r>
        <w:rPr>
          <w:color w:val="0E0E0E"/>
        </w:rPr>
        <w:t>of </w:t>
      </w:r>
      <w:r>
        <w:rPr>
          <w:color w:val="1C1C1C"/>
        </w:rPr>
        <w:t>interest </w:t>
      </w:r>
      <w:r>
        <w:rPr>
          <w:color w:val="2F2F2F"/>
        </w:rPr>
        <w:t>rates</w:t>
      </w:r>
      <w:r>
        <w:rPr>
          <w:color w:val="696969"/>
        </w:rPr>
        <w:t>.</w:t>
      </w:r>
    </w:p>
    <w:p>
      <w:pPr>
        <w:pStyle w:val="BodyText"/>
        <w:spacing w:before="5"/>
      </w:pPr>
    </w:p>
    <w:p>
      <w:pPr>
        <w:pStyle w:val="BodyText"/>
        <w:ind w:left="1259" w:right="1157" w:hanging="1"/>
      </w:pPr>
      <w:r>
        <w:rPr>
          <w:color w:val="0E0E0E"/>
        </w:rPr>
        <w:t>The</w:t>
      </w:r>
      <w:r>
        <w:rPr>
          <w:color w:val="0E0E0E"/>
          <w:spacing w:val="-2"/>
        </w:rPr>
        <w:t> </w:t>
      </w:r>
      <w:r>
        <w:rPr>
          <w:color w:val="0E0E0E"/>
        </w:rPr>
        <w:t>Council only </w:t>
      </w:r>
      <w:r>
        <w:rPr>
          <w:color w:val="1C1C1C"/>
        </w:rPr>
        <w:t>invests </w:t>
      </w:r>
      <w:r>
        <w:rPr>
          <w:color w:val="0E0E0E"/>
        </w:rPr>
        <w:t>in</w:t>
      </w:r>
      <w:r>
        <w:rPr>
          <w:color w:val="0E0E0E"/>
          <w:spacing w:val="-10"/>
        </w:rPr>
        <w:t> </w:t>
      </w:r>
      <w:r>
        <w:rPr>
          <w:color w:val="0E0E0E"/>
        </w:rPr>
        <w:t>fixed rate</w:t>
      </w:r>
      <w:r>
        <w:rPr>
          <w:color w:val="0E0E0E"/>
          <w:spacing w:val="-2"/>
        </w:rPr>
        <w:t> </w:t>
      </w:r>
      <w:r>
        <w:rPr>
          <w:color w:val="0E0E0E"/>
        </w:rPr>
        <w:t>investment products in order to minimise its</w:t>
      </w:r>
      <w:r>
        <w:rPr>
          <w:color w:val="0E0E0E"/>
          <w:spacing w:val="-3"/>
        </w:rPr>
        <w:t> </w:t>
      </w:r>
      <w:r>
        <w:rPr>
          <w:color w:val="0E0E0E"/>
        </w:rPr>
        <w:t>exposure to interest rate risk.</w:t>
      </w:r>
    </w:p>
    <w:p>
      <w:pPr>
        <w:pStyle w:val="BodyText"/>
        <w:spacing w:before="168"/>
      </w:pPr>
    </w:p>
    <w:p>
      <w:pPr>
        <w:spacing w:before="1"/>
        <w:ind w:left="1263" w:right="0" w:firstLine="0"/>
        <w:jc w:val="left"/>
        <w:rPr>
          <w:b/>
          <w:sz w:val="21"/>
        </w:rPr>
      </w:pPr>
      <w:r>
        <w:rPr>
          <w:b/>
          <w:color w:val="0E0E0E"/>
          <w:w w:val="105"/>
          <w:sz w:val="21"/>
        </w:rPr>
        <w:t>Price</w:t>
      </w:r>
      <w:r>
        <w:rPr>
          <w:b/>
          <w:color w:val="0E0E0E"/>
          <w:spacing w:val="-5"/>
          <w:w w:val="105"/>
          <w:sz w:val="21"/>
        </w:rPr>
        <w:t> </w:t>
      </w:r>
      <w:r>
        <w:rPr>
          <w:b/>
          <w:color w:val="0E0E0E"/>
          <w:spacing w:val="-4"/>
          <w:w w:val="105"/>
          <w:sz w:val="21"/>
        </w:rPr>
        <w:t>Risk</w:t>
      </w:r>
    </w:p>
    <w:p>
      <w:pPr>
        <w:pStyle w:val="BodyText"/>
        <w:spacing w:before="2"/>
        <w:rPr>
          <w:b/>
          <w:sz w:val="21"/>
        </w:rPr>
      </w:pPr>
    </w:p>
    <w:p>
      <w:pPr>
        <w:pStyle w:val="BodyText"/>
        <w:spacing w:line="278" w:lineRule="auto"/>
        <w:ind w:left="1264" w:right="1139" w:hanging="1"/>
        <w:jc w:val="both"/>
      </w:pPr>
      <w:r>
        <w:rPr>
          <w:color w:val="0E0E0E"/>
        </w:rPr>
        <w:t>The</w:t>
      </w:r>
      <w:r>
        <w:rPr>
          <w:color w:val="0E0E0E"/>
          <w:spacing w:val="-13"/>
        </w:rPr>
        <w:t> </w:t>
      </w:r>
      <w:r>
        <w:rPr>
          <w:color w:val="0E0E0E"/>
        </w:rPr>
        <w:t>Council</w:t>
      </w:r>
      <w:r>
        <w:rPr>
          <w:color w:val="0E0E0E"/>
          <w:spacing w:val="-8"/>
        </w:rPr>
        <w:t> </w:t>
      </w:r>
      <w:r>
        <w:rPr>
          <w:color w:val="0E0E0E"/>
        </w:rPr>
        <w:t>does</w:t>
      </w:r>
      <w:r>
        <w:rPr>
          <w:color w:val="0E0E0E"/>
          <w:spacing w:val="-14"/>
        </w:rPr>
        <w:t> </w:t>
      </w:r>
      <w:r>
        <w:rPr>
          <w:color w:val="0E0E0E"/>
        </w:rPr>
        <w:t>not</w:t>
      </w:r>
      <w:r>
        <w:rPr>
          <w:color w:val="0E0E0E"/>
          <w:spacing w:val="-6"/>
        </w:rPr>
        <w:t> </w:t>
      </w:r>
      <w:r>
        <w:rPr>
          <w:color w:val="0E0E0E"/>
        </w:rPr>
        <w:t>invest</w:t>
      </w:r>
      <w:r>
        <w:rPr>
          <w:color w:val="0E0E0E"/>
          <w:spacing w:val="-7"/>
        </w:rPr>
        <w:t> </w:t>
      </w:r>
      <w:r>
        <w:rPr>
          <w:color w:val="0E0E0E"/>
        </w:rPr>
        <w:t>in</w:t>
      </w:r>
      <w:r>
        <w:rPr>
          <w:color w:val="0E0E0E"/>
          <w:spacing w:val="-16"/>
        </w:rPr>
        <w:t> </w:t>
      </w:r>
      <w:r>
        <w:rPr>
          <w:color w:val="0E0E0E"/>
        </w:rPr>
        <w:t>equity</w:t>
      </w:r>
      <w:r>
        <w:rPr>
          <w:color w:val="0E0E0E"/>
          <w:spacing w:val="-2"/>
        </w:rPr>
        <w:t> </w:t>
      </w:r>
      <w:r>
        <w:rPr>
          <w:color w:val="0E0E0E"/>
        </w:rPr>
        <w:t>shares</w:t>
      </w:r>
      <w:r>
        <w:rPr>
          <w:color w:val="0E0E0E"/>
          <w:spacing w:val="-2"/>
        </w:rPr>
        <w:t> </w:t>
      </w:r>
      <w:r>
        <w:rPr>
          <w:color w:val="0E0E0E"/>
        </w:rPr>
        <w:t>and</w:t>
      </w:r>
      <w:r>
        <w:rPr>
          <w:color w:val="0E0E0E"/>
          <w:spacing w:val="-16"/>
        </w:rPr>
        <w:t> </w:t>
      </w:r>
      <w:r>
        <w:rPr>
          <w:color w:val="0E0E0E"/>
        </w:rPr>
        <w:t>therefore</w:t>
      </w:r>
      <w:r>
        <w:rPr>
          <w:color w:val="0E0E0E"/>
          <w:spacing w:val="-4"/>
        </w:rPr>
        <w:t> </w:t>
      </w:r>
      <w:r>
        <w:rPr>
          <w:color w:val="0E0E0E"/>
        </w:rPr>
        <w:t>is</w:t>
      </w:r>
      <w:r>
        <w:rPr>
          <w:color w:val="0E0E0E"/>
          <w:spacing w:val="-15"/>
        </w:rPr>
        <w:t> </w:t>
      </w:r>
      <w:r>
        <w:rPr>
          <w:color w:val="0E0E0E"/>
        </w:rPr>
        <w:t>not</w:t>
      </w:r>
      <w:r>
        <w:rPr>
          <w:color w:val="0E0E0E"/>
          <w:spacing w:val="-13"/>
        </w:rPr>
        <w:t> </w:t>
      </w:r>
      <w:r>
        <w:rPr>
          <w:color w:val="0E0E0E"/>
        </w:rPr>
        <w:t>exposed</w:t>
      </w:r>
      <w:r>
        <w:rPr>
          <w:color w:val="0E0E0E"/>
          <w:spacing w:val="-4"/>
        </w:rPr>
        <w:t> </w:t>
      </w:r>
      <w:r>
        <w:rPr>
          <w:color w:val="0E0E0E"/>
        </w:rPr>
        <w:t>to</w:t>
      </w:r>
      <w:r>
        <w:rPr>
          <w:color w:val="0E0E0E"/>
          <w:spacing w:val="-10"/>
        </w:rPr>
        <w:t> </w:t>
      </w:r>
      <w:r>
        <w:rPr>
          <w:color w:val="0E0E0E"/>
        </w:rPr>
        <w:t>losses</w:t>
      </w:r>
      <w:r>
        <w:rPr>
          <w:color w:val="0E0E0E"/>
          <w:spacing w:val="-3"/>
        </w:rPr>
        <w:t> </w:t>
      </w:r>
      <w:r>
        <w:rPr>
          <w:color w:val="0E0E0E"/>
        </w:rPr>
        <w:t>arising</w:t>
      </w:r>
      <w:r>
        <w:rPr>
          <w:color w:val="0E0E0E"/>
          <w:spacing w:val="-12"/>
        </w:rPr>
        <w:t> </w:t>
      </w:r>
      <w:r>
        <w:rPr>
          <w:color w:val="0E0E0E"/>
        </w:rPr>
        <w:t>from movement in the price of shares.</w:t>
      </w:r>
    </w:p>
    <w:p>
      <w:pPr>
        <w:spacing w:before="206"/>
        <w:ind w:left="1263" w:right="0" w:firstLine="0"/>
        <w:jc w:val="left"/>
        <w:rPr>
          <w:b/>
          <w:sz w:val="21"/>
        </w:rPr>
      </w:pPr>
      <w:r>
        <w:rPr>
          <w:b/>
          <w:color w:val="0E0E0E"/>
          <w:w w:val="105"/>
          <w:sz w:val="21"/>
        </w:rPr>
        <w:t>Foreign</w:t>
      </w:r>
      <w:r>
        <w:rPr>
          <w:b/>
          <w:color w:val="0E0E0E"/>
          <w:spacing w:val="-9"/>
          <w:w w:val="105"/>
          <w:sz w:val="21"/>
        </w:rPr>
        <w:t> </w:t>
      </w:r>
      <w:r>
        <w:rPr>
          <w:b/>
          <w:color w:val="0E0E0E"/>
          <w:w w:val="105"/>
          <w:sz w:val="21"/>
        </w:rPr>
        <w:t>Exchange</w:t>
      </w:r>
      <w:r>
        <w:rPr>
          <w:b/>
          <w:color w:val="0E0E0E"/>
          <w:spacing w:val="-9"/>
          <w:w w:val="105"/>
          <w:sz w:val="21"/>
        </w:rPr>
        <w:t> </w:t>
      </w:r>
      <w:r>
        <w:rPr>
          <w:b/>
          <w:color w:val="0E0E0E"/>
          <w:spacing w:val="-4"/>
          <w:w w:val="105"/>
          <w:sz w:val="21"/>
        </w:rPr>
        <w:t>Risk</w:t>
      </w:r>
    </w:p>
    <w:p>
      <w:pPr>
        <w:pStyle w:val="BodyText"/>
        <w:spacing w:before="239" w:line="278" w:lineRule="auto"/>
        <w:ind w:left="1259" w:right="1150" w:firstLine="4"/>
        <w:jc w:val="both"/>
      </w:pPr>
      <w:r>
        <w:rPr>
          <w:color w:val="0E0E0E"/>
        </w:rPr>
        <w:t>The</w:t>
      </w:r>
      <w:r>
        <w:rPr>
          <w:color w:val="0E0E0E"/>
          <w:spacing w:val="-16"/>
        </w:rPr>
        <w:t> </w:t>
      </w:r>
      <w:r>
        <w:rPr>
          <w:color w:val="0E0E0E"/>
        </w:rPr>
        <w:t>Council</w:t>
      </w:r>
      <w:r>
        <w:rPr>
          <w:color w:val="0E0E0E"/>
          <w:spacing w:val="-15"/>
        </w:rPr>
        <w:t> </w:t>
      </w:r>
      <w:r>
        <w:rPr>
          <w:color w:val="0E0E0E"/>
        </w:rPr>
        <w:t>has</w:t>
      </w:r>
      <w:r>
        <w:rPr>
          <w:color w:val="0E0E0E"/>
          <w:spacing w:val="-15"/>
        </w:rPr>
        <w:t> </w:t>
      </w:r>
      <w:r>
        <w:rPr>
          <w:color w:val="0E0E0E"/>
        </w:rPr>
        <w:t>no</w:t>
      </w:r>
      <w:r>
        <w:rPr>
          <w:color w:val="0E0E0E"/>
          <w:spacing w:val="-16"/>
        </w:rPr>
        <w:t> </w:t>
      </w:r>
      <w:r>
        <w:rPr>
          <w:color w:val="0E0E0E"/>
        </w:rPr>
        <w:t>financial</w:t>
      </w:r>
      <w:r>
        <w:rPr>
          <w:color w:val="0E0E0E"/>
          <w:spacing w:val="-15"/>
        </w:rPr>
        <w:t> </w:t>
      </w:r>
      <w:r>
        <w:rPr>
          <w:color w:val="0E0E0E"/>
        </w:rPr>
        <w:t>assets</w:t>
      </w:r>
      <w:r>
        <w:rPr>
          <w:color w:val="0E0E0E"/>
          <w:spacing w:val="-15"/>
        </w:rPr>
        <w:t> </w:t>
      </w:r>
      <w:r>
        <w:rPr>
          <w:color w:val="0E0E0E"/>
        </w:rPr>
        <w:t>or</w:t>
      </w:r>
      <w:r>
        <w:rPr>
          <w:color w:val="0E0E0E"/>
          <w:spacing w:val="-15"/>
        </w:rPr>
        <w:t> </w:t>
      </w:r>
      <w:r>
        <w:rPr>
          <w:color w:val="0E0E0E"/>
        </w:rPr>
        <w:t>liabilities</w:t>
      </w:r>
      <w:r>
        <w:rPr>
          <w:color w:val="0E0E0E"/>
          <w:spacing w:val="-16"/>
        </w:rPr>
        <w:t> </w:t>
      </w:r>
      <w:r>
        <w:rPr>
          <w:color w:val="0E0E0E"/>
        </w:rPr>
        <w:t>denominated</w:t>
      </w:r>
      <w:r>
        <w:rPr>
          <w:color w:val="0E0E0E"/>
          <w:spacing w:val="-15"/>
        </w:rPr>
        <w:t> </w:t>
      </w:r>
      <w:r>
        <w:rPr>
          <w:color w:val="0E0E0E"/>
        </w:rPr>
        <w:t>in</w:t>
      </w:r>
      <w:r>
        <w:rPr>
          <w:color w:val="0E0E0E"/>
          <w:spacing w:val="-15"/>
        </w:rPr>
        <w:t> </w:t>
      </w:r>
      <w:r>
        <w:rPr>
          <w:color w:val="0E0E0E"/>
        </w:rPr>
        <w:t>foreign</w:t>
      </w:r>
      <w:r>
        <w:rPr>
          <w:color w:val="0E0E0E"/>
          <w:spacing w:val="-16"/>
        </w:rPr>
        <w:t> </w:t>
      </w:r>
      <w:r>
        <w:rPr>
          <w:color w:val="0E0E0E"/>
        </w:rPr>
        <w:t>currencies</w:t>
      </w:r>
      <w:r>
        <w:rPr>
          <w:color w:val="0E0E0E"/>
          <w:spacing w:val="-15"/>
        </w:rPr>
        <w:t> </w:t>
      </w:r>
      <w:r>
        <w:rPr>
          <w:color w:val="0E0E0E"/>
        </w:rPr>
        <w:t>and</w:t>
      </w:r>
      <w:r>
        <w:rPr>
          <w:color w:val="0E0E0E"/>
          <w:spacing w:val="-15"/>
        </w:rPr>
        <w:t> </w:t>
      </w:r>
      <w:r>
        <w:rPr>
          <w:color w:val="0E0E0E"/>
        </w:rPr>
        <w:t>therefore has no exposure to loss arising from movements in exchange rates.</w:t>
      </w:r>
    </w:p>
    <w:p>
      <w:pPr>
        <w:spacing w:after="0" w:line="278" w:lineRule="auto"/>
        <w:jc w:val="both"/>
        <w:sectPr>
          <w:headerReference w:type="default" r:id="rId188"/>
          <w:pgSz w:w="11910" w:h="16830"/>
          <w:pgMar w:top="900" w:right="300" w:bottom="1340" w:left="0" w:header="706" w:footer="0"/>
        </w:sectPr>
      </w:pPr>
    </w:p>
    <w:p>
      <w:pPr>
        <w:pStyle w:val="BodyText"/>
        <w:rPr>
          <w:sz w:val="14"/>
        </w:rPr>
      </w:pPr>
    </w:p>
    <w:p>
      <w:pPr>
        <w:pStyle w:val="BodyText"/>
        <w:rPr>
          <w:sz w:val="14"/>
        </w:rPr>
      </w:pPr>
    </w:p>
    <w:p>
      <w:pPr>
        <w:pStyle w:val="BodyText"/>
        <w:spacing w:before="124"/>
        <w:rPr>
          <w:sz w:val="14"/>
        </w:rPr>
      </w:pPr>
    </w:p>
    <w:p>
      <w:pPr>
        <w:tabs>
          <w:tab w:val="left" w:leader="none" w:pos="2301"/>
        </w:tabs>
        <w:spacing w:before="0"/>
        <w:ind w:left="1580" w:right="0" w:firstLine="0"/>
        <w:jc w:val="left"/>
        <w:rPr>
          <w:sz w:val="14"/>
        </w:rPr>
      </w:pPr>
      <w:r>
        <w:rPr/>
        <ve:AlternateContent>
          <ve:Choice Requires="wps">
            <w:drawing>
              <wp:anchor distT="0" distB="0" distL="0" distR="0" simplePos="0" relativeHeight="15827968" behindDoc="0" locked="0" layoutInCell="1" allowOverlap="1">
                <wp:simplePos x="0" y="0"/>
                <wp:positionH relativeFrom="page">
                  <wp:posOffset>170963</wp:posOffset>
                </wp:positionH>
                <wp:positionV relativeFrom="paragraph">
                  <wp:posOffset>-386519</wp:posOffset>
                </wp:positionV>
                <wp:extent cx="1270" cy="586105"/>
                <wp:effectExtent l="0" t="0" r="0" b="0"/>
                <wp:wrapNone/>
                <wp:docPr id="477" name="Graphic 477"/>
                <wp:cNvGraphicFramePr>
                  <a:graphicFrameLocks/>
                </wp:cNvGraphicFramePr>
                <a:graphic>
                  <a:graphicData uri="http://schemas.microsoft.com/office/word/2010/wordprocessingShape">
                    <wps:wsp>
                      <wps:cNvPr id="477" name="Graphic 477"/>
                      <wps:cNvSpPr/>
                      <wps:spPr>
                        <a:xfrm>
                          <a:off x="0" y="0"/>
                          <a:ext cx="1270" cy="586105"/>
                        </a:xfrm>
                        <a:custGeom>
                          <a:avLst/>
                          <a:gdLst/>
                          <a:ahLst/>
                          <a:cxnLst/>
                          <a:rect l="l" t="t" r="r" b="b"/>
                          <a:pathLst>
                            <a:path w="0" h="586105">
                              <a:moveTo>
                                <a:pt x="0" y="585883"/>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27968" stroked="true" strokecolor="#000000" strokeweight=".721161pt" from="13.461679pt,15.69798pt" to="13.461679pt,-30.434595pt">
                <v:stroke dashstyle="solid"/>
                <w10:wrap type="none"/>
              </v:line>
            </w:pict>
          </ve:Fallback>
        </ve:AlternateContent>
      </w:r>
      <w:r>
        <w:rPr>
          <w:color w:val="4D4D4D"/>
          <w:spacing w:val="-5"/>
          <w:w w:val="110"/>
          <w:sz w:val="14"/>
        </w:rPr>
        <w:t>5.</w:t>
      </w:r>
      <w:r>
        <w:rPr>
          <w:color w:val="4D4D4D"/>
          <w:sz w:val="14"/>
        </w:rPr>
        <w:tab/>
      </w:r>
      <w:r>
        <w:rPr>
          <w:color w:val="4D4D4D"/>
          <w:w w:val="110"/>
          <w:sz w:val="14"/>
        </w:rPr>
        <w:t>NOTES</w:t>
      </w:r>
      <w:r>
        <w:rPr>
          <w:color w:val="4D4D4D"/>
          <w:spacing w:val="13"/>
          <w:w w:val="110"/>
          <w:sz w:val="14"/>
        </w:rPr>
        <w:t> </w:t>
      </w:r>
      <w:r>
        <w:rPr>
          <w:color w:val="4D4D4D"/>
          <w:w w:val="110"/>
          <w:sz w:val="14"/>
        </w:rPr>
        <w:t>TO</w:t>
      </w:r>
      <w:r>
        <w:rPr>
          <w:color w:val="4D4D4D"/>
          <w:spacing w:val="13"/>
          <w:w w:val="110"/>
          <w:sz w:val="14"/>
        </w:rPr>
        <w:t> </w:t>
      </w:r>
      <w:r>
        <w:rPr>
          <w:color w:val="2B2B2B"/>
          <w:w w:val="110"/>
          <w:sz w:val="14"/>
        </w:rPr>
        <w:t>THE</w:t>
      </w:r>
      <w:r>
        <w:rPr>
          <w:color w:val="2B2B2B"/>
          <w:spacing w:val="19"/>
          <w:w w:val="110"/>
          <w:sz w:val="14"/>
        </w:rPr>
        <w:t> </w:t>
      </w:r>
      <w:r>
        <w:rPr>
          <w:color w:val="4D4D4D"/>
          <w:spacing w:val="-2"/>
          <w:w w:val="110"/>
          <w:sz w:val="14"/>
        </w:rPr>
        <w:t>ACCOUNTS</w:t>
      </w:r>
    </w:p>
    <w:p>
      <w:pPr>
        <w:pStyle w:val="BodyText"/>
        <w:spacing w:before="78"/>
        <w:rPr>
          <w:sz w:val="14"/>
        </w:rPr>
      </w:pPr>
    </w:p>
    <w:p>
      <w:pPr>
        <w:pStyle w:val="Heading3"/>
        <w:numPr>
          <w:ilvl w:val="1"/>
          <w:numId w:val="21"/>
        </w:numPr>
        <w:tabs>
          <w:tab w:val="left" w:leader="none" w:pos="2416"/>
        </w:tabs>
        <w:spacing w:before="0" w:after="0" w:line="240" w:lineRule="auto"/>
        <w:ind w:left="2416" w:right="0" w:hanging="849"/>
        <w:jc w:val="left"/>
        <w:rPr>
          <w:color w:val="2B2B2B"/>
        </w:rPr>
      </w:pPr>
      <w:r>
        <w:rPr>
          <w:color w:val="2B2B2B"/>
        </w:rPr>
        <w:t>Defined</w:t>
      </w:r>
      <w:r>
        <w:rPr>
          <w:color w:val="2B2B2B"/>
          <w:spacing w:val="-9"/>
        </w:rPr>
        <w:t> </w:t>
      </w:r>
      <w:r>
        <w:rPr>
          <w:color w:val="2B2B2B"/>
        </w:rPr>
        <w:t>Benefit</w:t>
      </w:r>
      <w:r>
        <w:rPr>
          <w:color w:val="2B2B2B"/>
          <w:spacing w:val="-6"/>
        </w:rPr>
        <w:t> </w:t>
      </w:r>
      <w:r>
        <w:rPr>
          <w:color w:val="2B2B2B"/>
        </w:rPr>
        <w:t>Pension</w:t>
      </w:r>
      <w:r>
        <w:rPr>
          <w:color w:val="2B2B2B"/>
          <w:spacing w:val="-2"/>
        </w:rPr>
        <w:t> Scheme</w:t>
      </w:r>
    </w:p>
    <w:p>
      <w:pPr>
        <w:pStyle w:val="BodyText"/>
        <w:spacing w:before="252"/>
        <w:ind w:left="1559"/>
        <w:jc w:val="both"/>
      </w:pPr>
      <w:r>
        <w:rPr>
          <w:color w:val="2B2B2B"/>
        </w:rPr>
        <w:t>Participation</w:t>
      </w:r>
      <w:r>
        <w:rPr>
          <w:color w:val="2B2B2B"/>
          <w:spacing w:val="4"/>
        </w:rPr>
        <w:t> </w:t>
      </w:r>
      <w:r>
        <w:rPr>
          <w:color w:val="2B2B2B"/>
        </w:rPr>
        <w:t>in</w:t>
      </w:r>
      <w:r>
        <w:rPr>
          <w:color w:val="2B2B2B"/>
          <w:spacing w:val="-15"/>
        </w:rPr>
        <w:t> </w:t>
      </w:r>
      <w:r>
        <w:rPr>
          <w:color w:val="2B2B2B"/>
        </w:rPr>
        <w:t>Pension</w:t>
      </w:r>
      <w:r>
        <w:rPr>
          <w:color w:val="2B2B2B"/>
          <w:spacing w:val="-6"/>
        </w:rPr>
        <w:t> </w:t>
      </w:r>
      <w:r>
        <w:rPr>
          <w:color w:val="2B2B2B"/>
          <w:spacing w:val="-2"/>
        </w:rPr>
        <w:t>Schemes</w:t>
      </w:r>
    </w:p>
    <w:p>
      <w:pPr>
        <w:pStyle w:val="BodyText"/>
        <w:spacing w:before="242"/>
        <w:ind w:left="1544" w:right="838" w:firstLine="13"/>
        <w:jc w:val="both"/>
      </w:pPr>
      <w:r>
        <w:rPr/>
        <ve:AlternateContent>
          <ve:Choice Requires="wps">
            <w:drawing>
              <wp:anchor distT="0" distB="0" distL="0" distR="0" simplePos="0" relativeHeight="15827456" behindDoc="0" locked="0" layoutInCell="1" allowOverlap="1">
                <wp:simplePos x="0" y="0"/>
                <wp:positionH relativeFrom="page">
                  <wp:posOffset>143487</wp:posOffset>
                </wp:positionH>
                <wp:positionV relativeFrom="paragraph">
                  <wp:posOffset>635846</wp:posOffset>
                </wp:positionV>
                <wp:extent cx="1270" cy="513080"/>
                <wp:effectExtent l="0" t="0" r="0" b="0"/>
                <wp:wrapNone/>
                <wp:docPr id="478" name="Graphic 478"/>
                <wp:cNvGraphicFramePr>
                  <a:graphicFrameLocks/>
                </wp:cNvGraphicFramePr>
                <a:graphic>
                  <a:graphicData uri="http://schemas.microsoft.com/office/word/2010/wordprocessingShape">
                    <wps:wsp>
                      <wps:cNvPr id="478" name="Graphic 478"/>
                      <wps:cNvSpPr/>
                      <wps:spPr>
                        <a:xfrm>
                          <a:off x="0" y="0"/>
                          <a:ext cx="1270" cy="513080"/>
                        </a:xfrm>
                        <a:custGeom>
                          <a:avLst/>
                          <a:gdLst/>
                          <a:ahLst/>
                          <a:cxnLst/>
                          <a:rect l="l" t="t" r="r" b="b"/>
                          <a:pathLst>
                            <a:path w="0" h="513080">
                              <a:moveTo>
                                <a:pt x="0" y="512648"/>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27456" stroked="true" strokecolor="#000000" strokeweight=".961549pt" from="11.298195pt,90.43265pt" to="11.298195pt,50.066647pt">
                <v:stroke dashstyle="solid"/>
                <w10:wrap type="none"/>
              </v:line>
            </w:pict>
          </ve:Fallback>
        </ve:AlternateContent>
      </w:r>
      <w:r>
        <w:rPr>
          <w:color w:val="1C1C1C"/>
        </w:rPr>
        <w:t>As part of </w:t>
      </w:r>
      <w:r>
        <w:rPr>
          <w:color w:val="2B2B2B"/>
        </w:rPr>
        <w:t>the</w:t>
      </w:r>
      <w:r>
        <w:rPr>
          <w:color w:val="2B2B2B"/>
          <w:spacing w:val="-1"/>
        </w:rPr>
        <w:t> </w:t>
      </w:r>
      <w:r>
        <w:rPr>
          <w:color w:val="1C1C1C"/>
        </w:rPr>
        <w:t>terms and</w:t>
      </w:r>
      <w:r>
        <w:rPr>
          <w:color w:val="1C1C1C"/>
          <w:spacing w:val="-2"/>
        </w:rPr>
        <w:t> </w:t>
      </w:r>
      <w:r>
        <w:rPr>
          <w:color w:val="1C1C1C"/>
        </w:rPr>
        <w:t>conditions of</w:t>
      </w:r>
      <w:r>
        <w:rPr>
          <w:color w:val="1C1C1C"/>
          <w:spacing w:val="-4"/>
        </w:rPr>
        <w:t> </w:t>
      </w:r>
      <w:r>
        <w:rPr>
          <w:color w:val="1C1C1C"/>
        </w:rPr>
        <w:t>employment of</w:t>
      </w:r>
      <w:r>
        <w:rPr>
          <w:color w:val="1C1C1C"/>
          <w:spacing w:val="-1"/>
        </w:rPr>
        <w:t> </w:t>
      </w:r>
      <w:r>
        <w:rPr>
          <w:color w:val="1C1C1C"/>
        </w:rPr>
        <w:t>its staff</w:t>
      </w:r>
      <w:r>
        <w:rPr>
          <w:color w:val="6B6B6B"/>
        </w:rPr>
        <w:t>,</w:t>
      </w:r>
      <w:r>
        <w:rPr>
          <w:color w:val="6B6B6B"/>
          <w:spacing w:val="-7"/>
        </w:rPr>
        <w:t> </w:t>
      </w:r>
      <w:r>
        <w:rPr>
          <w:color w:val="2B2B2B"/>
        </w:rPr>
        <w:t>the </w:t>
      </w:r>
      <w:r>
        <w:rPr>
          <w:color w:val="1C1C1C"/>
        </w:rPr>
        <w:t>council</w:t>
      </w:r>
      <w:r>
        <w:rPr>
          <w:color w:val="1C1C1C"/>
          <w:spacing w:val="-2"/>
        </w:rPr>
        <w:t> </w:t>
      </w:r>
      <w:r>
        <w:rPr>
          <w:color w:val="1C1C1C"/>
        </w:rPr>
        <w:t>makes </w:t>
      </w:r>
      <w:r>
        <w:rPr>
          <w:color w:val="0C0C0C"/>
        </w:rPr>
        <w:t>contributions </w:t>
      </w:r>
      <w:r>
        <w:rPr>
          <w:color w:val="1C1C1C"/>
        </w:rPr>
        <w:t>towards</w:t>
      </w:r>
      <w:r>
        <w:rPr>
          <w:color w:val="1C1C1C"/>
          <w:spacing w:val="-6"/>
        </w:rPr>
        <w:t> </w:t>
      </w:r>
      <w:r>
        <w:rPr>
          <w:color w:val="1C1C1C"/>
        </w:rPr>
        <w:t>the</w:t>
      </w:r>
      <w:r>
        <w:rPr>
          <w:color w:val="1C1C1C"/>
          <w:spacing w:val="-8"/>
        </w:rPr>
        <w:t> </w:t>
      </w:r>
      <w:r>
        <w:rPr>
          <w:color w:val="1C1C1C"/>
        </w:rPr>
        <w:t>cost of</w:t>
      </w:r>
      <w:r>
        <w:rPr>
          <w:color w:val="1C1C1C"/>
          <w:spacing w:val="-8"/>
        </w:rPr>
        <w:t> </w:t>
      </w:r>
      <w:r>
        <w:rPr>
          <w:color w:val="1C1C1C"/>
        </w:rPr>
        <w:t>post-employment</w:t>
      </w:r>
      <w:r>
        <w:rPr>
          <w:color w:val="1C1C1C"/>
          <w:spacing w:val="-1"/>
        </w:rPr>
        <w:t> </w:t>
      </w:r>
      <w:r>
        <w:rPr>
          <w:color w:val="1C1C1C"/>
        </w:rPr>
        <w:t>benefits</w:t>
      </w:r>
      <w:r>
        <w:rPr>
          <w:color w:val="6B6B6B"/>
        </w:rPr>
        <w:t>.</w:t>
      </w:r>
      <w:r>
        <w:rPr>
          <w:color w:val="6B6B6B"/>
          <w:spacing w:val="31"/>
        </w:rPr>
        <w:t> </w:t>
      </w:r>
      <w:r>
        <w:rPr>
          <w:color w:val="1C1C1C"/>
        </w:rPr>
        <w:t>Although </w:t>
      </w:r>
      <w:r>
        <w:rPr>
          <w:color w:val="2B2B2B"/>
        </w:rPr>
        <w:t>these </w:t>
      </w:r>
      <w:r>
        <w:rPr>
          <w:color w:val="1C1C1C"/>
        </w:rPr>
        <w:t>benefits will</w:t>
      </w:r>
      <w:r>
        <w:rPr>
          <w:color w:val="1C1C1C"/>
          <w:spacing w:val="-14"/>
        </w:rPr>
        <w:t> </w:t>
      </w:r>
      <w:r>
        <w:rPr>
          <w:color w:val="2B2B2B"/>
        </w:rPr>
        <w:t>not</w:t>
      </w:r>
      <w:r>
        <w:rPr>
          <w:color w:val="2B2B2B"/>
          <w:spacing w:val="-6"/>
        </w:rPr>
        <w:t> </w:t>
      </w:r>
      <w:r>
        <w:rPr>
          <w:color w:val="1C1C1C"/>
        </w:rPr>
        <w:t>be</w:t>
      </w:r>
      <w:r>
        <w:rPr>
          <w:color w:val="1C1C1C"/>
          <w:spacing w:val="-6"/>
        </w:rPr>
        <w:t> </w:t>
      </w:r>
      <w:r>
        <w:rPr>
          <w:color w:val="1C1C1C"/>
        </w:rPr>
        <w:t>payable</w:t>
      </w:r>
      <w:r>
        <w:rPr>
          <w:color w:val="1C1C1C"/>
          <w:spacing w:val="-3"/>
        </w:rPr>
        <w:t> </w:t>
      </w:r>
      <w:r>
        <w:rPr>
          <w:color w:val="1C1C1C"/>
        </w:rPr>
        <w:t>until the</w:t>
      </w:r>
      <w:r>
        <w:rPr>
          <w:color w:val="1C1C1C"/>
          <w:spacing w:val="-14"/>
        </w:rPr>
        <w:t> </w:t>
      </w:r>
      <w:r>
        <w:rPr>
          <w:color w:val="1C1C1C"/>
        </w:rPr>
        <w:t>employees retire</w:t>
      </w:r>
      <w:r>
        <w:rPr>
          <w:color w:val="4D4D4D"/>
        </w:rPr>
        <w:t>,</w:t>
      </w:r>
      <w:r>
        <w:rPr>
          <w:color w:val="4D4D4D"/>
          <w:spacing w:val="-16"/>
        </w:rPr>
        <w:t> </w:t>
      </w:r>
      <w:r>
        <w:rPr>
          <w:color w:val="1C1C1C"/>
        </w:rPr>
        <w:t>the</w:t>
      </w:r>
      <w:r>
        <w:rPr>
          <w:color w:val="1C1C1C"/>
          <w:spacing w:val="-12"/>
        </w:rPr>
        <w:t> </w:t>
      </w:r>
      <w:r>
        <w:rPr>
          <w:color w:val="1C1C1C"/>
        </w:rPr>
        <w:t>Council</w:t>
      </w:r>
      <w:r>
        <w:rPr>
          <w:color w:val="1C1C1C"/>
          <w:spacing w:val="-5"/>
        </w:rPr>
        <w:t> </w:t>
      </w:r>
      <w:r>
        <w:rPr>
          <w:color w:val="1C1C1C"/>
        </w:rPr>
        <w:t>has</w:t>
      </w:r>
      <w:r>
        <w:rPr>
          <w:color w:val="1C1C1C"/>
          <w:spacing w:val="-3"/>
        </w:rPr>
        <w:t> </w:t>
      </w:r>
      <w:r>
        <w:rPr>
          <w:color w:val="1C1C1C"/>
        </w:rPr>
        <w:t>a</w:t>
      </w:r>
      <w:r>
        <w:rPr>
          <w:color w:val="1C1C1C"/>
          <w:spacing w:val="-3"/>
        </w:rPr>
        <w:t> </w:t>
      </w:r>
      <w:r>
        <w:rPr>
          <w:color w:val="1C1C1C"/>
        </w:rPr>
        <w:t>commitment</w:t>
      </w:r>
      <w:r>
        <w:rPr>
          <w:color w:val="1C1C1C"/>
          <w:spacing w:val="18"/>
        </w:rPr>
        <w:t> </w:t>
      </w:r>
      <w:r>
        <w:rPr>
          <w:color w:val="1C1C1C"/>
        </w:rPr>
        <w:t>to</w:t>
      </w:r>
      <w:r>
        <w:rPr>
          <w:color w:val="1C1C1C"/>
          <w:spacing w:val="-11"/>
        </w:rPr>
        <w:t> </w:t>
      </w:r>
      <w:r>
        <w:rPr>
          <w:color w:val="1C1C1C"/>
        </w:rPr>
        <w:t>make</w:t>
      </w:r>
      <w:r>
        <w:rPr>
          <w:color w:val="1C1C1C"/>
          <w:spacing w:val="-11"/>
        </w:rPr>
        <w:t> </w:t>
      </w:r>
      <w:r>
        <w:rPr>
          <w:color w:val="2B2B2B"/>
        </w:rPr>
        <w:t>the</w:t>
      </w:r>
      <w:r>
        <w:rPr>
          <w:color w:val="2B2B2B"/>
          <w:spacing w:val="-13"/>
        </w:rPr>
        <w:t> </w:t>
      </w:r>
      <w:r>
        <w:rPr>
          <w:color w:val="2B2B2B"/>
        </w:rPr>
        <w:t>payments </w:t>
      </w:r>
      <w:r>
        <w:rPr>
          <w:color w:val="1C1C1C"/>
        </w:rPr>
        <w:t>for</w:t>
      </w:r>
      <w:r>
        <w:rPr>
          <w:color w:val="1C1C1C"/>
          <w:spacing w:val="-6"/>
        </w:rPr>
        <w:t> </w:t>
      </w:r>
      <w:r>
        <w:rPr>
          <w:color w:val="1C1C1C"/>
        </w:rPr>
        <w:t>the</w:t>
      </w:r>
      <w:r>
        <w:rPr>
          <w:color w:val="1C1C1C"/>
          <w:spacing w:val="-7"/>
        </w:rPr>
        <w:t> </w:t>
      </w:r>
      <w:r>
        <w:rPr>
          <w:color w:val="1C1C1C"/>
        </w:rPr>
        <w:t>benefits and to disclose </w:t>
      </w:r>
      <w:r>
        <w:rPr>
          <w:color w:val="2B2B2B"/>
        </w:rPr>
        <w:t>them </w:t>
      </w:r>
      <w:r>
        <w:rPr>
          <w:color w:val="1C1C1C"/>
        </w:rPr>
        <w:t>at the</w:t>
      </w:r>
      <w:r>
        <w:rPr>
          <w:color w:val="1C1C1C"/>
          <w:spacing w:val="-1"/>
        </w:rPr>
        <w:t> </w:t>
      </w:r>
      <w:r>
        <w:rPr>
          <w:color w:val="1C1C1C"/>
        </w:rPr>
        <w:t>time that </w:t>
      </w:r>
      <w:r>
        <w:rPr>
          <w:color w:val="2B2B2B"/>
        </w:rPr>
        <w:t>the </w:t>
      </w:r>
      <w:r>
        <w:rPr>
          <w:color w:val="1C1C1C"/>
        </w:rPr>
        <w:t>employees earn their future entitlement.</w:t>
      </w:r>
    </w:p>
    <w:p>
      <w:pPr>
        <w:pStyle w:val="BodyText"/>
        <w:spacing w:before="252" w:line="242" w:lineRule="auto"/>
        <w:ind w:left="1533" w:right="851" w:firstLine="9"/>
        <w:jc w:val="both"/>
      </w:pPr>
      <w:r>
        <w:rPr/>
        <ve:AlternateContent>
          <ve:Choice Requires="wps">
            <w:drawing>
              <wp:anchor distT="0" distB="0" distL="0" distR="0" simplePos="0" relativeHeight="15826944" behindDoc="0" locked="0" layoutInCell="1" allowOverlap="1">
                <wp:simplePos x="0" y="0"/>
                <wp:positionH relativeFrom="page">
                  <wp:posOffset>131275</wp:posOffset>
                </wp:positionH>
                <wp:positionV relativeFrom="paragraph">
                  <wp:posOffset>571965</wp:posOffset>
                </wp:positionV>
                <wp:extent cx="1270" cy="561975"/>
                <wp:effectExtent l="0" t="0" r="0" b="0"/>
                <wp:wrapNone/>
                <wp:docPr id="479" name="Graphic 479"/>
                <wp:cNvGraphicFramePr>
                  <a:graphicFrameLocks/>
                </wp:cNvGraphicFramePr>
                <a:graphic>
                  <a:graphicData uri="http://schemas.microsoft.com/office/word/2010/wordprocessingShape">
                    <wps:wsp>
                      <wps:cNvPr id="479" name="Graphic 479"/>
                      <wps:cNvSpPr/>
                      <wps:spPr>
                        <a:xfrm>
                          <a:off x="0" y="0"/>
                          <a:ext cx="1270" cy="561975"/>
                        </a:xfrm>
                        <a:custGeom>
                          <a:avLst/>
                          <a:gdLst/>
                          <a:ahLst/>
                          <a:cxnLst/>
                          <a:rect l="l" t="t" r="r" b="b"/>
                          <a:pathLst>
                            <a:path w="0" h="561975">
                              <a:moveTo>
                                <a:pt x="0" y="561471"/>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26944" stroked="true" strokecolor="#000000" strokeweight="1.201936pt" from="10.336646pt,89.247048pt" to="10.336646pt,45.036663pt">
                <v:stroke dashstyle="solid"/>
                <w10:wrap type="none"/>
              </v:line>
            </w:pict>
          </ve:Fallback>
        </ve:AlternateContent>
      </w:r>
      <w:r>
        <w:rPr>
          <w:color w:val="2B2B2B"/>
        </w:rPr>
        <w:t>The </w:t>
      </w:r>
      <w:r>
        <w:rPr>
          <w:color w:val="1C1C1C"/>
        </w:rPr>
        <w:t>Council participates </w:t>
      </w:r>
      <w:r>
        <w:rPr>
          <w:color w:val="2B2B2B"/>
        </w:rPr>
        <w:t>in the </w:t>
      </w:r>
      <w:r>
        <w:rPr>
          <w:color w:val="1C1C1C"/>
        </w:rPr>
        <w:t>Hertfordshire Local </w:t>
      </w:r>
      <w:r>
        <w:rPr>
          <w:color w:val="0C0C0C"/>
        </w:rPr>
        <w:t>Government </w:t>
      </w:r>
      <w:r>
        <w:rPr>
          <w:color w:val="1C1C1C"/>
        </w:rPr>
        <w:t>Pension Scheme </w:t>
      </w:r>
      <w:r>
        <w:rPr>
          <w:color w:val="0C0C0C"/>
        </w:rPr>
        <w:t>which is </w:t>
      </w:r>
      <w:r>
        <w:rPr>
          <w:color w:val="1C1C1C"/>
        </w:rPr>
        <w:t>administered </w:t>
      </w:r>
      <w:r>
        <w:rPr>
          <w:color w:val="0C0C0C"/>
        </w:rPr>
        <w:t>by </w:t>
      </w:r>
      <w:r>
        <w:rPr>
          <w:color w:val="2B2B2B"/>
        </w:rPr>
        <w:t>Hertfordshire </w:t>
      </w:r>
      <w:r>
        <w:rPr>
          <w:color w:val="0C0C0C"/>
        </w:rPr>
        <w:t>County </w:t>
      </w:r>
      <w:r>
        <w:rPr>
          <w:color w:val="1C1C1C"/>
        </w:rPr>
        <w:t>Council.</w:t>
      </w:r>
      <w:r>
        <w:rPr>
          <w:color w:val="1C1C1C"/>
          <w:spacing w:val="40"/>
        </w:rPr>
        <w:t> </w:t>
      </w:r>
      <w:r>
        <w:rPr>
          <w:color w:val="0C0C0C"/>
        </w:rPr>
        <w:t>This </w:t>
      </w:r>
      <w:r>
        <w:rPr>
          <w:color w:val="2B2B2B"/>
        </w:rPr>
        <w:t>is a </w:t>
      </w:r>
      <w:r>
        <w:rPr>
          <w:color w:val="0C0C0C"/>
        </w:rPr>
        <w:t>funded defined </w:t>
      </w:r>
      <w:r>
        <w:rPr>
          <w:color w:val="1C1C1C"/>
        </w:rPr>
        <w:t>benefit </w:t>
      </w:r>
      <w:r>
        <w:rPr>
          <w:color w:val="0C0C0C"/>
        </w:rPr>
        <w:t>scheme, </w:t>
      </w:r>
      <w:r>
        <w:rPr>
          <w:color w:val="1C1C1C"/>
        </w:rPr>
        <w:t>meaning that </w:t>
      </w:r>
      <w:r>
        <w:rPr>
          <w:color w:val="2B2B2B"/>
        </w:rPr>
        <w:t>the </w:t>
      </w:r>
      <w:r>
        <w:rPr>
          <w:color w:val="1C1C1C"/>
        </w:rPr>
        <w:t>council and employees pay contributions </w:t>
      </w:r>
      <w:r>
        <w:rPr>
          <w:color w:val="2B2B2B"/>
        </w:rPr>
        <w:t>into </w:t>
      </w:r>
      <w:r>
        <w:rPr>
          <w:color w:val="0C0C0C"/>
        </w:rPr>
        <w:t>a </w:t>
      </w:r>
      <w:r>
        <w:rPr>
          <w:color w:val="1C1C1C"/>
        </w:rPr>
        <w:t>fund</w:t>
      </w:r>
      <w:r>
        <w:rPr>
          <w:color w:val="4D4D4D"/>
        </w:rPr>
        <w:t>, </w:t>
      </w:r>
      <w:r>
        <w:rPr>
          <w:color w:val="1C1C1C"/>
        </w:rPr>
        <w:t>calculated at </w:t>
      </w:r>
      <w:r>
        <w:rPr>
          <w:color w:val="0C0C0C"/>
        </w:rPr>
        <w:t>a level </w:t>
      </w:r>
      <w:r>
        <w:rPr>
          <w:color w:val="1C1C1C"/>
        </w:rPr>
        <w:t>intended to balance the pension liabilities with investment assets</w:t>
      </w:r>
      <w:r>
        <w:rPr>
          <w:color w:val="6B6B6B"/>
        </w:rPr>
        <w:t>.</w:t>
      </w:r>
    </w:p>
    <w:p>
      <w:pPr>
        <w:pStyle w:val="BodyText"/>
        <w:spacing w:before="3"/>
      </w:pPr>
    </w:p>
    <w:p>
      <w:pPr>
        <w:pStyle w:val="BodyText"/>
        <w:ind w:left="1521"/>
        <w:jc w:val="both"/>
      </w:pPr>
      <w:r>
        <w:rPr>
          <w:color w:val="0C0C0C"/>
        </w:rPr>
        <w:t>Discretionary</w:t>
      </w:r>
      <w:r>
        <w:rPr>
          <w:color w:val="0C0C0C"/>
          <w:spacing w:val="5"/>
        </w:rPr>
        <w:t> </w:t>
      </w:r>
      <w:r>
        <w:rPr>
          <w:color w:val="0C0C0C"/>
        </w:rPr>
        <w:t>Post-retirement</w:t>
      </w:r>
      <w:r>
        <w:rPr>
          <w:color w:val="0C0C0C"/>
          <w:spacing w:val="-13"/>
        </w:rPr>
        <w:t> </w:t>
      </w:r>
      <w:r>
        <w:rPr>
          <w:color w:val="0C0C0C"/>
          <w:spacing w:val="-2"/>
        </w:rPr>
        <w:t>Benefits</w:t>
      </w:r>
    </w:p>
    <w:p>
      <w:pPr>
        <w:pStyle w:val="BodyText"/>
        <w:spacing w:before="247"/>
        <w:ind w:left="1514" w:right="863" w:firstLine="7"/>
        <w:jc w:val="both"/>
      </w:pPr>
      <w:r>
        <w:rPr>
          <w:color w:val="1C1C1C"/>
        </w:rPr>
        <w:t>Discretionary</w:t>
      </w:r>
      <w:r>
        <w:rPr>
          <w:color w:val="1C1C1C"/>
          <w:spacing w:val="-15"/>
        </w:rPr>
        <w:t> </w:t>
      </w:r>
      <w:r>
        <w:rPr>
          <w:color w:val="1C1C1C"/>
        </w:rPr>
        <w:t>post-retirement</w:t>
      </w:r>
      <w:r>
        <w:rPr>
          <w:color w:val="1C1C1C"/>
          <w:spacing w:val="-15"/>
        </w:rPr>
        <w:t> </w:t>
      </w:r>
      <w:r>
        <w:rPr>
          <w:color w:val="1C1C1C"/>
        </w:rPr>
        <w:t>benefits</w:t>
      </w:r>
      <w:r>
        <w:rPr>
          <w:color w:val="1C1C1C"/>
          <w:spacing w:val="-8"/>
        </w:rPr>
        <w:t> </w:t>
      </w:r>
      <w:r>
        <w:rPr>
          <w:color w:val="1C1C1C"/>
        </w:rPr>
        <w:t>on</w:t>
      </w:r>
      <w:r>
        <w:rPr>
          <w:color w:val="1C1C1C"/>
          <w:spacing w:val="-16"/>
        </w:rPr>
        <w:t> </w:t>
      </w:r>
      <w:r>
        <w:rPr>
          <w:color w:val="0C0C0C"/>
        </w:rPr>
        <w:t>early</w:t>
      </w:r>
      <w:r>
        <w:rPr>
          <w:color w:val="0C0C0C"/>
          <w:spacing w:val="-8"/>
        </w:rPr>
        <w:t> </w:t>
      </w:r>
      <w:r>
        <w:rPr>
          <w:color w:val="1C1C1C"/>
        </w:rPr>
        <w:t>retirement</w:t>
      </w:r>
      <w:r>
        <w:rPr>
          <w:color w:val="1C1C1C"/>
          <w:spacing w:val="-11"/>
        </w:rPr>
        <w:t> </w:t>
      </w:r>
      <w:r>
        <w:rPr>
          <w:color w:val="1C1C1C"/>
        </w:rPr>
        <w:t>may</w:t>
      </w:r>
      <w:r>
        <w:rPr>
          <w:color w:val="1C1C1C"/>
          <w:spacing w:val="-13"/>
        </w:rPr>
        <w:t> </w:t>
      </w:r>
      <w:r>
        <w:rPr>
          <w:color w:val="1C1C1C"/>
        </w:rPr>
        <w:t>be</w:t>
      </w:r>
      <w:r>
        <w:rPr>
          <w:color w:val="1C1C1C"/>
          <w:spacing w:val="-13"/>
        </w:rPr>
        <w:t> </w:t>
      </w:r>
      <w:r>
        <w:rPr>
          <w:color w:val="1C1C1C"/>
        </w:rPr>
        <w:t>awarded.</w:t>
      </w:r>
      <w:r>
        <w:rPr>
          <w:color w:val="1C1C1C"/>
          <w:spacing w:val="40"/>
        </w:rPr>
        <w:t> </w:t>
      </w:r>
      <w:r>
        <w:rPr>
          <w:color w:val="0C0C0C"/>
        </w:rPr>
        <w:t>This</w:t>
      </w:r>
      <w:r>
        <w:rPr>
          <w:color w:val="0C0C0C"/>
          <w:spacing w:val="-16"/>
        </w:rPr>
        <w:t> </w:t>
      </w:r>
      <w:r>
        <w:rPr>
          <w:color w:val="0C0C0C"/>
        </w:rPr>
        <w:t>is</w:t>
      </w:r>
      <w:r>
        <w:rPr>
          <w:color w:val="0C0C0C"/>
          <w:spacing w:val="-13"/>
        </w:rPr>
        <w:t> </w:t>
      </w:r>
      <w:r>
        <w:rPr>
          <w:color w:val="1C1C1C"/>
        </w:rPr>
        <w:t>an</w:t>
      </w:r>
      <w:r>
        <w:rPr>
          <w:color w:val="1C1C1C"/>
          <w:spacing w:val="-16"/>
        </w:rPr>
        <w:t> </w:t>
      </w:r>
      <w:r>
        <w:rPr>
          <w:color w:val="1C1C1C"/>
        </w:rPr>
        <w:t>unfunded defined</w:t>
      </w:r>
      <w:r>
        <w:rPr>
          <w:color w:val="1C1C1C"/>
          <w:spacing w:val="-9"/>
        </w:rPr>
        <w:t> </w:t>
      </w:r>
      <w:r>
        <w:rPr>
          <w:color w:val="1C1C1C"/>
        </w:rPr>
        <w:t>benefit</w:t>
      </w:r>
      <w:r>
        <w:rPr>
          <w:color w:val="1C1C1C"/>
          <w:spacing w:val="-6"/>
        </w:rPr>
        <w:t> </w:t>
      </w:r>
      <w:r>
        <w:rPr>
          <w:color w:val="0C0C0C"/>
        </w:rPr>
        <w:t>arrangement</w:t>
      </w:r>
      <w:r>
        <w:rPr>
          <w:color w:val="0C0C0C"/>
          <w:spacing w:val="14"/>
        </w:rPr>
        <w:t> </w:t>
      </w:r>
      <w:r>
        <w:rPr>
          <w:color w:val="2B2B2B"/>
        </w:rPr>
        <w:t>under</w:t>
      </w:r>
      <w:r>
        <w:rPr>
          <w:color w:val="2B2B2B"/>
          <w:spacing w:val="-9"/>
        </w:rPr>
        <w:t> </w:t>
      </w:r>
      <w:r>
        <w:rPr>
          <w:color w:val="1C1C1C"/>
        </w:rPr>
        <w:t>which</w:t>
      </w:r>
      <w:r>
        <w:rPr>
          <w:color w:val="1C1C1C"/>
          <w:spacing w:val="-16"/>
        </w:rPr>
        <w:t> </w:t>
      </w:r>
      <w:r>
        <w:rPr>
          <w:color w:val="0C0C0C"/>
        </w:rPr>
        <w:t>liabilities</w:t>
      </w:r>
      <w:r>
        <w:rPr>
          <w:color w:val="0C0C0C"/>
          <w:spacing w:val="-7"/>
        </w:rPr>
        <w:t> </w:t>
      </w:r>
      <w:r>
        <w:rPr>
          <w:color w:val="0C0C0C"/>
        </w:rPr>
        <w:t>are</w:t>
      </w:r>
      <w:r>
        <w:rPr>
          <w:color w:val="0C0C0C"/>
          <w:spacing w:val="-15"/>
        </w:rPr>
        <w:t> </w:t>
      </w:r>
      <w:r>
        <w:rPr>
          <w:color w:val="1C1C1C"/>
        </w:rPr>
        <w:t>recognised</w:t>
      </w:r>
      <w:r>
        <w:rPr>
          <w:color w:val="1C1C1C"/>
          <w:spacing w:val="-4"/>
        </w:rPr>
        <w:t> </w:t>
      </w:r>
      <w:r>
        <w:rPr>
          <w:color w:val="1C1C1C"/>
        </w:rPr>
        <w:t>when</w:t>
      </w:r>
      <w:r>
        <w:rPr>
          <w:color w:val="1C1C1C"/>
          <w:spacing w:val="-15"/>
        </w:rPr>
        <w:t> </w:t>
      </w:r>
      <w:r>
        <w:rPr>
          <w:color w:val="0C0C0C"/>
        </w:rPr>
        <w:t>the</w:t>
      </w:r>
      <w:r>
        <w:rPr>
          <w:color w:val="0C0C0C"/>
          <w:spacing w:val="-9"/>
        </w:rPr>
        <w:t> </w:t>
      </w:r>
      <w:r>
        <w:rPr>
          <w:color w:val="0C0C0C"/>
        </w:rPr>
        <w:t>award</w:t>
      </w:r>
      <w:r>
        <w:rPr>
          <w:color w:val="0C0C0C"/>
          <w:spacing w:val="-10"/>
        </w:rPr>
        <w:t> </w:t>
      </w:r>
      <w:r>
        <w:rPr>
          <w:color w:val="2B2B2B"/>
        </w:rPr>
        <w:t>is</w:t>
      </w:r>
      <w:r>
        <w:rPr>
          <w:color w:val="2B2B2B"/>
          <w:spacing w:val="-5"/>
        </w:rPr>
        <w:t> </w:t>
      </w:r>
      <w:r>
        <w:rPr>
          <w:color w:val="2B2B2B"/>
        </w:rPr>
        <w:t>made</w:t>
      </w:r>
      <w:r>
        <w:rPr>
          <w:color w:val="6B6B6B"/>
        </w:rPr>
        <w:t>.</w:t>
      </w:r>
      <w:r>
        <w:rPr>
          <w:color w:val="6B6B6B"/>
          <w:spacing w:val="22"/>
        </w:rPr>
        <w:t> </w:t>
      </w:r>
      <w:r>
        <w:rPr>
          <w:color w:val="0C0C0C"/>
        </w:rPr>
        <w:t>No </w:t>
      </w:r>
      <w:r>
        <w:rPr>
          <w:color w:val="1C1C1C"/>
        </w:rPr>
        <w:t>plan assets build up to meet these </w:t>
      </w:r>
      <w:r>
        <w:rPr>
          <w:color w:val="2B2B2B"/>
        </w:rPr>
        <w:t>liabilities.</w:t>
      </w:r>
    </w:p>
    <w:p>
      <w:pPr>
        <w:pStyle w:val="BodyText"/>
        <w:spacing w:before="7"/>
      </w:pPr>
    </w:p>
    <w:p>
      <w:pPr>
        <w:pStyle w:val="BodyText"/>
        <w:ind w:left="1509"/>
        <w:jc w:val="both"/>
      </w:pPr>
      <w:r>
        <w:rPr>
          <w:color w:val="0C0C0C"/>
        </w:rPr>
        <w:t>Transactions</w:t>
      </w:r>
      <w:r>
        <w:rPr>
          <w:color w:val="0C0C0C"/>
          <w:spacing w:val="8"/>
        </w:rPr>
        <w:t> </w:t>
      </w:r>
      <w:r>
        <w:rPr>
          <w:color w:val="0C0C0C"/>
        </w:rPr>
        <w:t>Relating</w:t>
      </w:r>
      <w:r>
        <w:rPr>
          <w:color w:val="0C0C0C"/>
          <w:spacing w:val="4"/>
        </w:rPr>
        <w:t> </w:t>
      </w:r>
      <w:r>
        <w:rPr>
          <w:color w:val="0C0C0C"/>
        </w:rPr>
        <w:t>to</w:t>
      </w:r>
      <w:r>
        <w:rPr>
          <w:color w:val="0C0C0C"/>
          <w:spacing w:val="-11"/>
        </w:rPr>
        <w:t> </w:t>
      </w:r>
      <w:r>
        <w:rPr>
          <w:color w:val="0C0C0C"/>
        </w:rPr>
        <w:t>Post-employment</w:t>
      </w:r>
      <w:r>
        <w:rPr>
          <w:color w:val="0C0C0C"/>
          <w:spacing w:val="-6"/>
        </w:rPr>
        <w:t> </w:t>
      </w:r>
      <w:r>
        <w:rPr>
          <w:color w:val="0C0C0C"/>
          <w:spacing w:val="-2"/>
        </w:rPr>
        <w:t>Benefits</w:t>
      </w:r>
    </w:p>
    <w:p>
      <w:pPr>
        <w:pStyle w:val="BodyText"/>
        <w:spacing w:before="247"/>
        <w:ind w:left="1491" w:right="869" w:firstLine="17"/>
        <w:jc w:val="both"/>
      </w:pPr>
      <w:r>
        <w:rPr>
          <w:color w:val="2B2B2B"/>
        </w:rPr>
        <w:t>The</w:t>
      </w:r>
      <w:r>
        <w:rPr>
          <w:color w:val="2B2B2B"/>
          <w:spacing w:val="-14"/>
        </w:rPr>
        <w:t> </w:t>
      </w:r>
      <w:r>
        <w:rPr>
          <w:color w:val="1C1C1C"/>
        </w:rPr>
        <w:t>Council</w:t>
      </w:r>
      <w:r>
        <w:rPr>
          <w:color w:val="1C1C1C"/>
          <w:spacing w:val="-15"/>
        </w:rPr>
        <w:t> </w:t>
      </w:r>
      <w:r>
        <w:rPr>
          <w:color w:val="2B2B2B"/>
        </w:rPr>
        <w:t>has</w:t>
      </w:r>
      <w:r>
        <w:rPr>
          <w:color w:val="2B2B2B"/>
          <w:spacing w:val="-13"/>
        </w:rPr>
        <w:t> </w:t>
      </w:r>
      <w:r>
        <w:rPr>
          <w:color w:val="1C1C1C"/>
        </w:rPr>
        <w:t>recognised</w:t>
      </w:r>
      <w:r>
        <w:rPr>
          <w:color w:val="1C1C1C"/>
          <w:spacing w:val="-4"/>
        </w:rPr>
        <w:t> </w:t>
      </w:r>
      <w:r>
        <w:rPr>
          <w:color w:val="1C1C1C"/>
        </w:rPr>
        <w:t>the</w:t>
      </w:r>
      <w:r>
        <w:rPr>
          <w:color w:val="1C1C1C"/>
          <w:spacing w:val="-14"/>
        </w:rPr>
        <w:t> </w:t>
      </w:r>
      <w:r>
        <w:rPr>
          <w:color w:val="1C1C1C"/>
        </w:rPr>
        <w:t>cost</w:t>
      </w:r>
      <w:r>
        <w:rPr>
          <w:color w:val="1C1C1C"/>
          <w:spacing w:val="-8"/>
        </w:rPr>
        <w:t> </w:t>
      </w:r>
      <w:r>
        <w:rPr>
          <w:color w:val="1C1C1C"/>
        </w:rPr>
        <w:t>of</w:t>
      </w:r>
      <w:r>
        <w:rPr>
          <w:color w:val="1C1C1C"/>
          <w:spacing w:val="-16"/>
        </w:rPr>
        <w:t> </w:t>
      </w:r>
      <w:r>
        <w:rPr>
          <w:color w:val="1C1C1C"/>
        </w:rPr>
        <w:t>retirement benefits </w:t>
      </w:r>
      <w:r>
        <w:rPr>
          <w:color w:val="2B2B2B"/>
        </w:rPr>
        <w:t>in</w:t>
      </w:r>
      <w:r>
        <w:rPr>
          <w:color w:val="2B2B2B"/>
          <w:spacing w:val="-16"/>
        </w:rPr>
        <w:t> </w:t>
      </w:r>
      <w:r>
        <w:rPr>
          <w:color w:val="1C1C1C"/>
        </w:rPr>
        <w:t>the</w:t>
      </w:r>
      <w:r>
        <w:rPr>
          <w:color w:val="1C1C1C"/>
          <w:spacing w:val="-15"/>
        </w:rPr>
        <w:t> </w:t>
      </w:r>
      <w:r>
        <w:rPr>
          <w:color w:val="2B2B2B"/>
        </w:rPr>
        <w:t>reported</w:t>
      </w:r>
      <w:r>
        <w:rPr>
          <w:color w:val="2B2B2B"/>
          <w:spacing w:val="-12"/>
        </w:rPr>
        <w:t> </w:t>
      </w:r>
      <w:r>
        <w:rPr>
          <w:color w:val="1C1C1C"/>
        </w:rPr>
        <w:t>cost</w:t>
      </w:r>
      <w:r>
        <w:rPr>
          <w:color w:val="1C1C1C"/>
          <w:spacing w:val="-6"/>
        </w:rPr>
        <w:t> </w:t>
      </w:r>
      <w:r>
        <w:rPr>
          <w:color w:val="1C1C1C"/>
        </w:rPr>
        <w:t>of</w:t>
      </w:r>
      <w:r>
        <w:rPr>
          <w:color w:val="1C1C1C"/>
          <w:spacing w:val="-12"/>
        </w:rPr>
        <w:t> </w:t>
      </w:r>
      <w:r>
        <w:rPr>
          <w:color w:val="1C1C1C"/>
        </w:rPr>
        <w:t>services</w:t>
      </w:r>
      <w:r>
        <w:rPr>
          <w:color w:val="1C1C1C"/>
          <w:spacing w:val="-2"/>
        </w:rPr>
        <w:t> </w:t>
      </w:r>
      <w:r>
        <w:rPr>
          <w:color w:val="1C1C1C"/>
        </w:rPr>
        <w:t>when earned</w:t>
      </w:r>
      <w:r>
        <w:rPr>
          <w:color w:val="1C1C1C"/>
          <w:spacing w:val="-13"/>
        </w:rPr>
        <w:t> </w:t>
      </w:r>
      <w:r>
        <w:rPr>
          <w:color w:val="1C1C1C"/>
        </w:rPr>
        <w:t>by</w:t>
      </w:r>
      <w:r>
        <w:rPr>
          <w:color w:val="1C1C1C"/>
          <w:spacing w:val="-3"/>
        </w:rPr>
        <w:t> </w:t>
      </w:r>
      <w:r>
        <w:rPr>
          <w:color w:val="1C1C1C"/>
        </w:rPr>
        <w:t>employees</w:t>
      </w:r>
      <w:r>
        <w:rPr>
          <w:color w:val="4D4D4D"/>
        </w:rPr>
        <w:t>,</w:t>
      </w:r>
      <w:r>
        <w:rPr>
          <w:color w:val="4D4D4D"/>
          <w:spacing w:val="-16"/>
        </w:rPr>
        <w:t> </w:t>
      </w:r>
      <w:r>
        <w:rPr>
          <w:color w:val="2B2B2B"/>
        </w:rPr>
        <w:t>rather than </w:t>
      </w:r>
      <w:r>
        <w:rPr>
          <w:color w:val="1C1C1C"/>
        </w:rPr>
        <w:t>when</w:t>
      </w:r>
      <w:r>
        <w:rPr>
          <w:color w:val="1C1C1C"/>
          <w:spacing w:val="-3"/>
        </w:rPr>
        <w:t> </w:t>
      </w:r>
      <w:r>
        <w:rPr>
          <w:color w:val="1C1C1C"/>
        </w:rPr>
        <w:t>the</w:t>
      </w:r>
      <w:r>
        <w:rPr>
          <w:color w:val="1C1C1C"/>
          <w:spacing w:val="-11"/>
        </w:rPr>
        <w:t> </w:t>
      </w:r>
      <w:r>
        <w:rPr>
          <w:color w:val="1C1C1C"/>
        </w:rPr>
        <w:t>benefits </w:t>
      </w:r>
      <w:r>
        <w:rPr>
          <w:color w:val="2B2B2B"/>
        </w:rPr>
        <w:t>are</w:t>
      </w:r>
      <w:r>
        <w:rPr>
          <w:color w:val="2B2B2B"/>
          <w:spacing w:val="-11"/>
        </w:rPr>
        <w:t> </w:t>
      </w:r>
      <w:r>
        <w:rPr>
          <w:color w:val="1C1C1C"/>
        </w:rPr>
        <w:t>eventually</w:t>
      </w:r>
      <w:r>
        <w:rPr>
          <w:color w:val="1C1C1C"/>
          <w:spacing w:val="14"/>
        </w:rPr>
        <w:t> </w:t>
      </w:r>
      <w:r>
        <w:rPr>
          <w:color w:val="1C1C1C"/>
        </w:rPr>
        <w:t>paid</w:t>
      </w:r>
      <w:r>
        <w:rPr>
          <w:color w:val="1C1C1C"/>
          <w:spacing w:val="-8"/>
        </w:rPr>
        <w:t> </w:t>
      </w:r>
      <w:r>
        <w:rPr>
          <w:color w:val="1C1C1C"/>
        </w:rPr>
        <w:t>as</w:t>
      </w:r>
      <w:r>
        <w:rPr>
          <w:color w:val="1C1C1C"/>
          <w:spacing w:val="-6"/>
        </w:rPr>
        <w:t> </w:t>
      </w:r>
      <w:r>
        <w:rPr>
          <w:color w:val="1C1C1C"/>
        </w:rPr>
        <w:t>pensions</w:t>
      </w:r>
      <w:r>
        <w:rPr>
          <w:color w:val="4D4D4D"/>
        </w:rPr>
        <w:t>.</w:t>
      </w:r>
      <w:r>
        <w:rPr>
          <w:color w:val="4D4D4D"/>
          <w:spacing w:val="-16"/>
        </w:rPr>
        <w:t> </w:t>
      </w:r>
      <w:r>
        <w:rPr>
          <w:color w:val="1C1C1C"/>
        </w:rPr>
        <w:t>However, </w:t>
      </w:r>
      <w:r>
        <w:rPr>
          <w:color w:val="2B2B2B"/>
        </w:rPr>
        <w:t>the </w:t>
      </w:r>
      <w:r>
        <w:rPr>
          <w:color w:val="1C1C1C"/>
        </w:rPr>
        <w:t>charge that is </w:t>
      </w:r>
      <w:r>
        <w:rPr>
          <w:color w:val="2B2B2B"/>
        </w:rPr>
        <w:t>required </w:t>
      </w:r>
      <w:r>
        <w:rPr>
          <w:color w:val="1C1C1C"/>
        </w:rPr>
        <w:t>to be</w:t>
      </w:r>
      <w:r>
        <w:rPr>
          <w:color w:val="1C1C1C"/>
          <w:spacing w:val="-3"/>
        </w:rPr>
        <w:t> </w:t>
      </w:r>
      <w:r>
        <w:rPr>
          <w:color w:val="1C1C1C"/>
        </w:rPr>
        <w:t>made against council tax </w:t>
      </w:r>
      <w:r>
        <w:rPr>
          <w:color w:val="2B2B2B"/>
        </w:rPr>
        <w:t>is </w:t>
      </w:r>
      <w:r>
        <w:rPr>
          <w:color w:val="1C1C1C"/>
        </w:rPr>
        <w:t>based on</w:t>
      </w:r>
      <w:r>
        <w:rPr>
          <w:color w:val="1C1C1C"/>
          <w:spacing w:val="-4"/>
        </w:rPr>
        <w:t> </w:t>
      </w:r>
      <w:r>
        <w:rPr>
          <w:color w:val="2B2B2B"/>
        </w:rPr>
        <w:t>the </w:t>
      </w:r>
      <w:r>
        <w:rPr>
          <w:color w:val="1C1C1C"/>
        </w:rPr>
        <w:t>cash payable </w:t>
      </w:r>
      <w:r>
        <w:rPr>
          <w:color w:val="2B2B2B"/>
        </w:rPr>
        <w:t>in</w:t>
      </w:r>
      <w:r>
        <w:rPr>
          <w:color w:val="2B2B2B"/>
          <w:spacing w:val="-2"/>
        </w:rPr>
        <w:t> </w:t>
      </w:r>
      <w:r>
        <w:rPr>
          <w:color w:val="1C1C1C"/>
        </w:rPr>
        <w:t>the year</w:t>
      </w:r>
      <w:r>
        <w:rPr>
          <w:color w:val="4D4D4D"/>
        </w:rPr>
        <w:t>, </w:t>
      </w:r>
      <w:r>
        <w:rPr>
          <w:color w:val="2B2B2B"/>
        </w:rPr>
        <w:t>so the </w:t>
      </w:r>
      <w:r>
        <w:rPr>
          <w:color w:val="1C1C1C"/>
        </w:rPr>
        <w:t>real cost of post-employment/retirement benefits </w:t>
      </w:r>
      <w:r>
        <w:rPr>
          <w:color w:val="2B2B2B"/>
        </w:rPr>
        <w:t>is reversed </w:t>
      </w:r>
      <w:r>
        <w:rPr>
          <w:color w:val="1C1C1C"/>
        </w:rPr>
        <w:t>out of </w:t>
      </w:r>
      <w:r>
        <w:rPr>
          <w:color w:val="2B2B2B"/>
        </w:rPr>
        <w:t>the </w:t>
      </w:r>
      <w:r>
        <w:rPr>
          <w:color w:val="1C1C1C"/>
        </w:rPr>
        <w:t>General Fund via the Movement </w:t>
      </w:r>
      <w:r>
        <w:rPr>
          <w:color w:val="2B2B2B"/>
        </w:rPr>
        <w:t>in </w:t>
      </w:r>
      <w:r>
        <w:rPr>
          <w:color w:val="1C1C1C"/>
        </w:rPr>
        <w:t>Reserves Statement.</w:t>
      </w:r>
    </w:p>
    <w:p>
      <w:pPr>
        <w:pStyle w:val="BodyText"/>
        <w:spacing w:before="5"/>
      </w:pPr>
    </w:p>
    <w:p>
      <w:pPr>
        <w:pStyle w:val="BodyText"/>
        <w:ind w:left="1482" w:right="874" w:firstLine="8"/>
        <w:jc w:val="both"/>
      </w:pPr>
      <w:r>
        <w:rPr>
          <w:color w:val="1C1C1C"/>
        </w:rPr>
        <w:t>The following transactions </w:t>
      </w:r>
      <w:r>
        <w:rPr>
          <w:color w:val="2B2B2B"/>
        </w:rPr>
        <w:t>have </w:t>
      </w:r>
      <w:r>
        <w:rPr>
          <w:color w:val="0C0C0C"/>
        </w:rPr>
        <w:t>been included within the </w:t>
      </w:r>
      <w:r>
        <w:rPr>
          <w:color w:val="1C1C1C"/>
        </w:rPr>
        <w:t>Comprehensive </w:t>
      </w:r>
      <w:r>
        <w:rPr>
          <w:color w:val="0C0C0C"/>
        </w:rPr>
        <w:t>Income and </w:t>
      </w:r>
      <w:r>
        <w:rPr>
          <w:color w:val="1C1C1C"/>
        </w:rPr>
        <w:t>Expenditure Statement </w:t>
      </w:r>
      <w:r>
        <w:rPr>
          <w:color w:val="2B2B2B"/>
        </w:rPr>
        <w:t>and</w:t>
      </w:r>
      <w:r>
        <w:rPr>
          <w:color w:val="2B2B2B"/>
          <w:spacing w:val="-11"/>
        </w:rPr>
        <w:t> </w:t>
      </w:r>
      <w:r>
        <w:rPr>
          <w:color w:val="0C0C0C"/>
        </w:rPr>
        <w:t>the</w:t>
      </w:r>
      <w:r>
        <w:rPr>
          <w:color w:val="0C0C0C"/>
          <w:spacing w:val="-9"/>
        </w:rPr>
        <w:t> </w:t>
      </w:r>
      <w:r>
        <w:rPr>
          <w:color w:val="1C1C1C"/>
        </w:rPr>
        <w:t>General </w:t>
      </w:r>
      <w:r>
        <w:rPr>
          <w:color w:val="0C0C0C"/>
        </w:rPr>
        <w:t>Fund</w:t>
      </w:r>
      <w:r>
        <w:rPr>
          <w:color w:val="0C0C0C"/>
          <w:spacing w:val="-4"/>
        </w:rPr>
        <w:t> </w:t>
      </w:r>
      <w:r>
        <w:rPr>
          <w:color w:val="0C0C0C"/>
        </w:rPr>
        <w:t>via</w:t>
      </w:r>
      <w:r>
        <w:rPr>
          <w:color w:val="0C0C0C"/>
          <w:spacing w:val="-5"/>
        </w:rPr>
        <w:t> </w:t>
      </w:r>
      <w:r>
        <w:rPr>
          <w:color w:val="0C0C0C"/>
        </w:rPr>
        <w:t>the</w:t>
      </w:r>
      <w:r>
        <w:rPr>
          <w:color w:val="0C0C0C"/>
          <w:spacing w:val="-8"/>
        </w:rPr>
        <w:t> </w:t>
      </w:r>
      <w:r>
        <w:rPr>
          <w:color w:val="0C0C0C"/>
        </w:rPr>
        <w:t>Movement </w:t>
      </w:r>
      <w:r>
        <w:rPr>
          <w:color w:val="2B2B2B"/>
        </w:rPr>
        <w:t>in</w:t>
      </w:r>
      <w:r>
        <w:rPr>
          <w:color w:val="2B2B2B"/>
          <w:spacing w:val="-12"/>
        </w:rPr>
        <w:t> </w:t>
      </w:r>
      <w:r>
        <w:rPr>
          <w:color w:val="1C1C1C"/>
        </w:rPr>
        <w:t>Reserves </w:t>
      </w:r>
      <w:r>
        <w:rPr>
          <w:color w:val="0C0C0C"/>
        </w:rPr>
        <w:t>Statement during </w:t>
      </w:r>
      <w:r>
        <w:rPr>
          <w:color w:val="1C1C1C"/>
        </w:rPr>
        <w:t>the year</w:t>
      </w:r>
      <w:r>
        <w:rPr>
          <w:color w:val="4D4D4D"/>
        </w:rPr>
        <w:t>:</w:t>
      </w:r>
    </w:p>
    <w:p>
      <w:pPr>
        <w:spacing w:after="0"/>
        <w:jc w:val="both"/>
        <w:sectPr>
          <w:headerReference w:type="even" r:id="rId189"/>
          <w:footerReference w:type="even" r:id="rId190"/>
          <w:footerReference w:type="default" r:id="rId191"/>
          <w:pgSz w:w="11910" w:h="16830"/>
          <w:pgMar w:top="560" w:right="300" w:bottom="920" w:left="0" w:header="0" w:footer="736"/>
        </w:sectPr>
      </w:pPr>
    </w:p>
    <w:p>
      <w:pPr>
        <w:pStyle w:val="BodyText"/>
        <w:spacing w:before="2"/>
        <w:rPr>
          <w:sz w:val="21"/>
        </w:rPr>
      </w:pPr>
    </w:p>
    <w:p>
      <w:pPr>
        <w:pStyle w:val="ListParagraph"/>
        <w:numPr>
          <w:ilvl w:val="2"/>
          <w:numId w:val="21"/>
        </w:numPr>
        <w:tabs>
          <w:tab w:val="left" w:leader="none" w:pos="2316"/>
        </w:tabs>
        <w:spacing w:before="0" w:after="0" w:line="240" w:lineRule="auto"/>
        <w:ind w:left="2316" w:right="0" w:hanging="835"/>
        <w:jc w:val="left"/>
        <w:rPr>
          <w:b/>
          <w:color w:val="0F0F0F"/>
          <w:sz w:val="21"/>
        </w:rPr>
      </w:pPr>
      <w:r>
        <w:rPr>
          <w:b/>
          <w:color w:val="0F0F0F"/>
          <w:w w:val="105"/>
          <w:sz w:val="21"/>
        </w:rPr>
        <w:t>Comprehensive</w:t>
      </w:r>
      <w:r>
        <w:rPr>
          <w:b/>
          <w:color w:val="0F0F0F"/>
          <w:spacing w:val="-4"/>
          <w:w w:val="105"/>
          <w:sz w:val="21"/>
        </w:rPr>
        <w:t> </w:t>
      </w:r>
      <w:r>
        <w:rPr>
          <w:b/>
          <w:color w:val="0F0F0F"/>
          <w:w w:val="105"/>
          <w:sz w:val="21"/>
        </w:rPr>
        <w:t>Income</w:t>
      </w:r>
      <w:r>
        <w:rPr>
          <w:b/>
          <w:color w:val="0F0F0F"/>
          <w:spacing w:val="-14"/>
          <w:w w:val="105"/>
          <w:sz w:val="21"/>
        </w:rPr>
        <w:t> </w:t>
      </w:r>
      <w:r>
        <w:rPr>
          <w:b/>
          <w:color w:val="0F0F0F"/>
          <w:w w:val="105"/>
          <w:sz w:val="21"/>
        </w:rPr>
        <w:t>and</w:t>
      </w:r>
      <w:r>
        <w:rPr>
          <w:b/>
          <w:color w:val="0F0F0F"/>
          <w:spacing w:val="-15"/>
          <w:w w:val="105"/>
          <w:sz w:val="21"/>
        </w:rPr>
        <w:t> </w:t>
      </w:r>
      <w:r>
        <w:rPr>
          <w:b/>
          <w:color w:val="0F0F0F"/>
          <w:w w:val="105"/>
          <w:sz w:val="21"/>
        </w:rPr>
        <w:t>Expenditure</w:t>
      </w:r>
      <w:r>
        <w:rPr>
          <w:b/>
          <w:color w:val="0F0F0F"/>
          <w:spacing w:val="-12"/>
          <w:w w:val="105"/>
          <w:sz w:val="21"/>
        </w:rPr>
        <w:t> </w:t>
      </w:r>
      <w:r>
        <w:rPr>
          <w:b/>
          <w:color w:val="0F0F0F"/>
          <w:spacing w:val="-2"/>
          <w:w w:val="105"/>
          <w:sz w:val="21"/>
        </w:rPr>
        <w:t>Statement</w:t>
      </w:r>
    </w:p>
    <w:p>
      <w:pPr>
        <w:pStyle w:val="BodyText"/>
        <w:rPr>
          <w:b/>
          <w:sz w:val="20"/>
        </w:rPr>
      </w:pPr>
    </w:p>
    <w:p>
      <w:pPr>
        <w:pStyle w:val="BodyText"/>
        <w:spacing w:before="79"/>
        <w:rPr>
          <w:b/>
          <w:sz w:val="20"/>
        </w:rPr>
      </w:pPr>
    </w:p>
    <w:tbl>
      <w:tblPr>
        <w:tblW w:w="0" w:type="auto"/>
        <w:jc w:val="left"/>
        <w:tblInd w:w="16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13"/>
        <w:gridCol w:w="7149"/>
        <w:gridCol w:w="1288"/>
      </w:tblGrid>
      <w:tr>
        <w:trPr>
          <w:trHeight w:val="343" w:hRule="atLeast"/>
        </w:trPr>
        <w:tc>
          <w:tcPr>
            <w:tcW w:w="1213" w:type="dxa"/>
          </w:tcPr>
          <w:p>
            <w:pPr>
              <w:pStyle w:val="TableParagraph"/>
              <w:spacing w:line="235" w:lineRule="exact"/>
              <w:ind w:left="121"/>
              <w:rPr>
                <w:b/>
                <w:sz w:val="21"/>
              </w:rPr>
            </w:pPr>
            <w:r>
              <w:rPr>
                <w:b/>
                <w:color w:val="0F0F0F"/>
                <w:sz w:val="21"/>
              </w:rPr>
              <w:t>2021-</w:t>
            </w:r>
            <w:r>
              <w:rPr>
                <w:b/>
                <w:color w:val="0F0F0F"/>
                <w:spacing w:val="-5"/>
                <w:sz w:val="21"/>
              </w:rPr>
              <w:t>22</w:t>
            </w:r>
          </w:p>
        </w:tc>
        <w:tc>
          <w:tcPr>
            <w:tcW w:w="7149" w:type="dxa"/>
          </w:tcPr>
          <w:p>
            <w:pPr>
              <w:pStyle w:val="TableParagraph"/>
              <w:rPr>
                <w:rFonts w:ascii="Times New Roman"/>
                <w:sz w:val="20"/>
              </w:rPr>
            </w:pPr>
          </w:p>
        </w:tc>
        <w:tc>
          <w:tcPr>
            <w:tcW w:w="1288" w:type="dxa"/>
          </w:tcPr>
          <w:p>
            <w:pPr>
              <w:pStyle w:val="TableParagraph"/>
              <w:spacing w:line="240" w:lineRule="exact"/>
              <w:ind w:left="226"/>
              <w:rPr>
                <w:b/>
                <w:sz w:val="21"/>
              </w:rPr>
            </w:pPr>
            <w:r>
              <w:rPr>
                <w:b/>
                <w:color w:val="0F0F0F"/>
                <w:sz w:val="21"/>
              </w:rPr>
              <w:t>2022-</w:t>
            </w:r>
            <w:r>
              <w:rPr>
                <w:b/>
                <w:color w:val="0F0F0F"/>
                <w:spacing w:val="-5"/>
                <w:sz w:val="21"/>
              </w:rPr>
              <w:t>23</w:t>
            </w:r>
          </w:p>
        </w:tc>
      </w:tr>
      <w:tr>
        <w:trPr>
          <w:trHeight w:val="350" w:hRule="atLeast"/>
        </w:trPr>
        <w:tc>
          <w:tcPr>
            <w:tcW w:w="1213" w:type="dxa"/>
          </w:tcPr>
          <w:p>
            <w:pPr>
              <w:pStyle w:val="TableParagraph"/>
              <w:spacing w:before="97" w:line="234" w:lineRule="exact"/>
              <w:ind w:left="279"/>
              <w:rPr>
                <w:b/>
                <w:sz w:val="21"/>
              </w:rPr>
            </w:pPr>
            <w:r>
              <w:rPr>
                <w:b/>
                <w:color w:val="0F0F0F"/>
                <w:spacing w:val="-4"/>
                <w:w w:val="105"/>
                <w:sz w:val="21"/>
              </w:rPr>
              <w:t>£000</w:t>
            </w:r>
          </w:p>
        </w:tc>
        <w:tc>
          <w:tcPr>
            <w:tcW w:w="7149" w:type="dxa"/>
          </w:tcPr>
          <w:p>
            <w:pPr>
              <w:pStyle w:val="TableParagraph"/>
              <w:rPr>
                <w:rFonts w:ascii="Times New Roman"/>
                <w:sz w:val="20"/>
              </w:rPr>
            </w:pPr>
          </w:p>
        </w:tc>
        <w:tc>
          <w:tcPr>
            <w:tcW w:w="1288" w:type="dxa"/>
          </w:tcPr>
          <w:p>
            <w:pPr>
              <w:pStyle w:val="TableParagraph"/>
              <w:spacing w:before="101" w:line="229" w:lineRule="exact"/>
              <w:ind w:left="379"/>
              <w:rPr>
                <w:b/>
                <w:sz w:val="21"/>
              </w:rPr>
            </w:pPr>
            <w:r>
              <w:rPr>
                <w:b/>
                <w:color w:val="0F0F0F"/>
                <w:spacing w:val="-4"/>
                <w:w w:val="105"/>
                <w:sz w:val="21"/>
              </w:rPr>
              <w:t>£000</w:t>
            </w:r>
          </w:p>
        </w:tc>
      </w:tr>
      <w:tr>
        <w:trPr>
          <w:trHeight w:val="317" w:hRule="atLeast"/>
        </w:trPr>
        <w:tc>
          <w:tcPr>
            <w:tcW w:w="1213" w:type="dxa"/>
          </w:tcPr>
          <w:p>
            <w:pPr>
              <w:pStyle w:val="TableParagraph"/>
              <w:rPr>
                <w:rFonts w:ascii="Times New Roman"/>
                <w:sz w:val="20"/>
              </w:rPr>
            </w:pPr>
          </w:p>
        </w:tc>
        <w:tc>
          <w:tcPr>
            <w:tcW w:w="7149" w:type="dxa"/>
          </w:tcPr>
          <w:p>
            <w:pPr>
              <w:pStyle w:val="TableParagraph"/>
              <w:spacing w:before="1"/>
              <w:ind w:left="250"/>
              <w:rPr>
                <w:b/>
                <w:sz w:val="21"/>
              </w:rPr>
            </w:pPr>
            <w:r>
              <w:rPr>
                <w:b/>
                <w:color w:val="0F0F0F"/>
                <w:w w:val="105"/>
                <w:sz w:val="21"/>
              </w:rPr>
              <w:t>Cost</w:t>
            </w:r>
            <w:r>
              <w:rPr>
                <w:b/>
                <w:color w:val="0F0F0F"/>
                <w:spacing w:val="3"/>
                <w:w w:val="105"/>
                <w:sz w:val="21"/>
              </w:rPr>
              <w:t> </w:t>
            </w:r>
            <w:r>
              <w:rPr>
                <w:b/>
                <w:color w:val="0F0F0F"/>
                <w:w w:val="105"/>
                <w:sz w:val="21"/>
              </w:rPr>
              <w:t>of</w:t>
            </w:r>
            <w:r>
              <w:rPr>
                <w:b/>
                <w:color w:val="0F0F0F"/>
                <w:spacing w:val="-6"/>
                <w:w w:val="105"/>
                <w:sz w:val="21"/>
              </w:rPr>
              <w:t> </w:t>
            </w:r>
            <w:r>
              <w:rPr>
                <w:b/>
                <w:color w:val="0F0F0F"/>
                <w:spacing w:val="-2"/>
                <w:w w:val="105"/>
                <w:sz w:val="21"/>
              </w:rPr>
              <w:t>Services:</w:t>
            </w:r>
          </w:p>
        </w:tc>
        <w:tc>
          <w:tcPr>
            <w:tcW w:w="1288" w:type="dxa"/>
          </w:tcPr>
          <w:p>
            <w:pPr>
              <w:pStyle w:val="TableParagraph"/>
              <w:rPr>
                <w:rFonts w:ascii="Times New Roman"/>
                <w:sz w:val="20"/>
              </w:rPr>
            </w:pPr>
          </w:p>
        </w:tc>
      </w:tr>
      <w:tr>
        <w:trPr>
          <w:trHeight w:val="384" w:hRule="atLeast"/>
        </w:trPr>
        <w:tc>
          <w:tcPr>
            <w:tcW w:w="1213" w:type="dxa"/>
          </w:tcPr>
          <w:p>
            <w:pPr>
              <w:pStyle w:val="TableParagraph"/>
              <w:rPr>
                <w:rFonts w:ascii="Times New Roman"/>
                <w:sz w:val="20"/>
              </w:rPr>
            </w:pPr>
          </w:p>
        </w:tc>
        <w:tc>
          <w:tcPr>
            <w:tcW w:w="7149" w:type="dxa"/>
          </w:tcPr>
          <w:p>
            <w:pPr>
              <w:pStyle w:val="TableParagraph"/>
              <w:spacing w:before="68"/>
              <w:ind w:left="250"/>
              <w:rPr>
                <w:i/>
                <w:sz w:val="21"/>
              </w:rPr>
            </w:pPr>
            <w:r>
              <w:rPr>
                <w:i/>
                <w:color w:val="0F0F0F"/>
                <w:w w:val="105"/>
                <w:sz w:val="21"/>
              </w:rPr>
              <w:t>Service</w:t>
            </w:r>
            <w:r>
              <w:rPr>
                <w:i/>
                <w:color w:val="0F0F0F"/>
                <w:spacing w:val="-7"/>
                <w:w w:val="105"/>
                <w:sz w:val="21"/>
              </w:rPr>
              <w:t> </w:t>
            </w:r>
            <w:r>
              <w:rPr>
                <w:i/>
                <w:color w:val="0F0F0F"/>
                <w:w w:val="105"/>
                <w:sz w:val="21"/>
              </w:rPr>
              <w:t>cost</w:t>
            </w:r>
            <w:r>
              <w:rPr>
                <w:i/>
                <w:color w:val="0F0F0F"/>
                <w:spacing w:val="-9"/>
                <w:w w:val="105"/>
                <w:sz w:val="21"/>
              </w:rPr>
              <w:t> </w:t>
            </w:r>
            <w:r>
              <w:rPr>
                <w:i/>
                <w:color w:val="0F0F0F"/>
                <w:spacing w:val="-2"/>
                <w:w w:val="105"/>
                <w:sz w:val="21"/>
              </w:rPr>
              <w:t>comprising:</w:t>
            </w:r>
          </w:p>
        </w:tc>
        <w:tc>
          <w:tcPr>
            <w:tcW w:w="1288" w:type="dxa"/>
          </w:tcPr>
          <w:p>
            <w:pPr>
              <w:pStyle w:val="TableParagraph"/>
              <w:rPr>
                <w:rFonts w:ascii="Times New Roman"/>
                <w:sz w:val="20"/>
              </w:rPr>
            </w:pPr>
          </w:p>
        </w:tc>
      </w:tr>
      <w:tr>
        <w:trPr>
          <w:trHeight w:val="381" w:hRule="atLeast"/>
        </w:trPr>
        <w:tc>
          <w:tcPr>
            <w:tcW w:w="1213" w:type="dxa"/>
          </w:tcPr>
          <w:p>
            <w:pPr>
              <w:pStyle w:val="TableParagraph"/>
              <w:spacing w:before="68"/>
              <w:ind w:left="413"/>
              <w:rPr>
                <w:sz w:val="21"/>
              </w:rPr>
            </w:pPr>
            <w:r>
              <w:rPr>
                <w:color w:val="0F0F0F"/>
                <w:spacing w:val="-4"/>
                <w:w w:val="105"/>
                <w:sz w:val="21"/>
              </w:rPr>
              <w:t>4,341</w:t>
            </w:r>
          </w:p>
        </w:tc>
        <w:tc>
          <w:tcPr>
            <w:tcW w:w="7149" w:type="dxa"/>
          </w:tcPr>
          <w:p>
            <w:pPr>
              <w:pStyle w:val="TableParagraph"/>
              <w:spacing w:before="68"/>
              <w:ind w:left="249"/>
              <w:rPr>
                <w:sz w:val="21"/>
              </w:rPr>
            </w:pPr>
            <w:r>
              <w:rPr>
                <w:color w:val="0F0F0F"/>
                <w:w w:val="105"/>
                <w:sz w:val="21"/>
              </w:rPr>
              <w:t>Current</w:t>
            </w:r>
            <w:r>
              <w:rPr>
                <w:color w:val="0F0F0F"/>
                <w:spacing w:val="-8"/>
                <w:w w:val="105"/>
                <w:sz w:val="21"/>
              </w:rPr>
              <w:t> </w:t>
            </w:r>
            <w:r>
              <w:rPr>
                <w:color w:val="0F0F0F"/>
                <w:w w:val="105"/>
                <w:sz w:val="21"/>
              </w:rPr>
              <w:t>service</w:t>
            </w:r>
            <w:r>
              <w:rPr>
                <w:color w:val="0F0F0F"/>
                <w:spacing w:val="-7"/>
                <w:w w:val="105"/>
                <w:sz w:val="21"/>
              </w:rPr>
              <w:t> </w:t>
            </w:r>
            <w:r>
              <w:rPr>
                <w:color w:val="0F0F0F"/>
                <w:spacing w:val="-4"/>
                <w:w w:val="105"/>
                <w:sz w:val="21"/>
              </w:rPr>
              <w:t>cost</w:t>
            </w:r>
          </w:p>
        </w:tc>
        <w:tc>
          <w:tcPr>
            <w:tcW w:w="1288" w:type="dxa"/>
          </w:tcPr>
          <w:p>
            <w:pPr>
              <w:pStyle w:val="TableParagraph"/>
              <w:spacing w:before="73"/>
              <w:ind w:right="129"/>
              <w:jc w:val="right"/>
              <w:rPr>
                <w:sz w:val="21"/>
              </w:rPr>
            </w:pPr>
            <w:r>
              <w:rPr>
                <w:color w:val="0F0F0F"/>
                <w:spacing w:val="-4"/>
                <w:w w:val="105"/>
                <w:sz w:val="21"/>
              </w:rPr>
              <w:t>4,346</w:t>
            </w:r>
          </w:p>
        </w:tc>
      </w:tr>
      <w:tr>
        <w:trPr>
          <w:trHeight w:val="394" w:hRule="atLeast"/>
        </w:trPr>
        <w:tc>
          <w:tcPr>
            <w:tcW w:w="1213" w:type="dxa"/>
          </w:tcPr>
          <w:p>
            <w:pPr>
              <w:pStyle w:val="TableParagraph"/>
              <w:spacing w:before="58"/>
              <w:ind w:right="243"/>
              <w:jc w:val="right"/>
              <w:rPr>
                <w:rFonts w:ascii="Times New Roman"/>
                <w:sz w:val="23"/>
              </w:rPr>
            </w:pPr>
            <w:r>
              <w:rPr>
                <w:rFonts w:ascii="Times New Roman"/>
                <w:color w:val="0F0F0F"/>
                <w:spacing w:val="-10"/>
                <w:w w:val="110"/>
                <w:sz w:val="23"/>
              </w:rPr>
              <w:t>1</w:t>
            </w:r>
          </w:p>
        </w:tc>
        <w:tc>
          <w:tcPr>
            <w:tcW w:w="7149" w:type="dxa"/>
          </w:tcPr>
          <w:p>
            <w:pPr>
              <w:pStyle w:val="TableParagraph"/>
              <w:spacing w:before="75"/>
              <w:ind w:left="248"/>
              <w:rPr>
                <w:sz w:val="21"/>
              </w:rPr>
            </w:pPr>
            <w:r>
              <w:rPr>
                <w:color w:val="0F0F0F"/>
                <w:w w:val="105"/>
                <w:sz w:val="21"/>
              </w:rPr>
              <w:t>Past</w:t>
            </w:r>
            <w:r>
              <w:rPr>
                <w:color w:val="0F0F0F"/>
                <w:spacing w:val="-6"/>
                <w:w w:val="105"/>
                <w:sz w:val="21"/>
              </w:rPr>
              <w:t> </w:t>
            </w:r>
            <w:r>
              <w:rPr>
                <w:color w:val="0F0F0F"/>
                <w:w w:val="105"/>
                <w:sz w:val="21"/>
              </w:rPr>
              <w:t>service</w:t>
            </w:r>
            <w:r>
              <w:rPr>
                <w:color w:val="0F0F0F"/>
                <w:spacing w:val="-4"/>
                <w:w w:val="105"/>
                <w:sz w:val="21"/>
              </w:rPr>
              <w:t> cost</w:t>
            </w:r>
          </w:p>
        </w:tc>
        <w:tc>
          <w:tcPr>
            <w:tcW w:w="1288" w:type="dxa"/>
          </w:tcPr>
          <w:p>
            <w:pPr>
              <w:pStyle w:val="TableParagraph"/>
              <w:rPr>
                <w:rFonts w:ascii="Times New Roman"/>
                <w:sz w:val="20"/>
              </w:rPr>
            </w:pPr>
          </w:p>
        </w:tc>
      </w:tr>
      <w:tr>
        <w:trPr>
          <w:trHeight w:val="381" w:hRule="atLeast"/>
        </w:trPr>
        <w:tc>
          <w:tcPr>
            <w:tcW w:w="1213" w:type="dxa"/>
          </w:tcPr>
          <w:p>
            <w:pPr>
              <w:pStyle w:val="TableParagraph"/>
              <w:rPr>
                <w:rFonts w:ascii="Times New Roman"/>
                <w:sz w:val="20"/>
              </w:rPr>
            </w:pPr>
          </w:p>
        </w:tc>
        <w:tc>
          <w:tcPr>
            <w:tcW w:w="7149" w:type="dxa"/>
          </w:tcPr>
          <w:p>
            <w:pPr>
              <w:pStyle w:val="TableParagraph"/>
              <w:spacing w:before="65"/>
              <w:ind w:left="247"/>
              <w:rPr>
                <w:sz w:val="21"/>
              </w:rPr>
            </w:pPr>
            <w:r>
              <w:rPr>
                <w:color w:val="0F0F0F"/>
                <w:w w:val="105"/>
                <w:sz w:val="21"/>
              </w:rPr>
              <w:t>Finance</w:t>
            </w:r>
            <w:r>
              <w:rPr>
                <w:color w:val="0F0F0F"/>
                <w:spacing w:val="-4"/>
                <w:w w:val="105"/>
                <w:sz w:val="21"/>
              </w:rPr>
              <w:t> </w:t>
            </w:r>
            <w:r>
              <w:rPr>
                <w:color w:val="0F0F0F"/>
                <w:w w:val="105"/>
                <w:sz w:val="21"/>
              </w:rPr>
              <w:t>and</w:t>
            </w:r>
            <w:r>
              <w:rPr>
                <w:color w:val="0F0F0F"/>
                <w:spacing w:val="-15"/>
                <w:w w:val="105"/>
                <w:sz w:val="21"/>
              </w:rPr>
              <w:t> </w:t>
            </w:r>
            <w:r>
              <w:rPr>
                <w:color w:val="0F0F0F"/>
                <w:w w:val="105"/>
                <w:sz w:val="21"/>
              </w:rPr>
              <w:t>investment</w:t>
            </w:r>
            <w:r>
              <w:rPr>
                <w:color w:val="0F0F0F"/>
                <w:spacing w:val="8"/>
                <w:w w:val="105"/>
                <w:sz w:val="21"/>
              </w:rPr>
              <w:t> </w:t>
            </w:r>
            <w:r>
              <w:rPr>
                <w:color w:val="0F0F0F"/>
                <w:w w:val="105"/>
                <w:sz w:val="21"/>
              </w:rPr>
              <w:t>income</w:t>
            </w:r>
            <w:r>
              <w:rPr>
                <w:color w:val="0F0F0F"/>
                <w:spacing w:val="-7"/>
                <w:w w:val="105"/>
                <w:sz w:val="21"/>
              </w:rPr>
              <w:t> </w:t>
            </w:r>
            <w:r>
              <w:rPr>
                <w:color w:val="0F0F0F"/>
                <w:w w:val="105"/>
                <w:sz w:val="21"/>
              </w:rPr>
              <w:t>and</w:t>
            </w:r>
            <w:r>
              <w:rPr>
                <w:color w:val="0F0F0F"/>
                <w:spacing w:val="-15"/>
                <w:w w:val="105"/>
                <w:sz w:val="21"/>
              </w:rPr>
              <w:t> </w:t>
            </w:r>
            <w:r>
              <w:rPr>
                <w:color w:val="0F0F0F"/>
                <w:spacing w:val="-2"/>
                <w:w w:val="105"/>
                <w:sz w:val="21"/>
              </w:rPr>
              <w:t>expenditure:</w:t>
            </w:r>
          </w:p>
        </w:tc>
        <w:tc>
          <w:tcPr>
            <w:tcW w:w="1288" w:type="dxa"/>
          </w:tcPr>
          <w:p>
            <w:pPr>
              <w:pStyle w:val="TableParagraph"/>
              <w:rPr>
                <w:rFonts w:ascii="Times New Roman"/>
                <w:sz w:val="20"/>
              </w:rPr>
            </w:pPr>
          </w:p>
        </w:tc>
      </w:tr>
      <w:tr>
        <w:trPr>
          <w:trHeight w:val="450" w:hRule="atLeast"/>
        </w:trPr>
        <w:tc>
          <w:tcPr>
            <w:tcW w:w="1213" w:type="dxa"/>
          </w:tcPr>
          <w:p>
            <w:pPr>
              <w:pStyle w:val="TableParagraph"/>
              <w:spacing w:before="68"/>
              <w:ind w:left="531"/>
              <w:rPr>
                <w:sz w:val="21"/>
              </w:rPr>
            </w:pPr>
            <w:r>
              <w:rPr/>
              <ve:AlternateContent>
                <ve:Choice Requires="wps">
                  <w:drawing>
                    <wp:anchor distT="0" distB="0" distL="0" distR="0" simplePos="0" relativeHeight="475941376" behindDoc="1" locked="0" layoutInCell="1" allowOverlap="1">
                      <wp:simplePos x="0" y="0"/>
                      <wp:positionH relativeFrom="column">
                        <wp:posOffset>-13900</wp:posOffset>
                      </wp:positionH>
                      <wp:positionV relativeFrom="paragraph">
                        <wp:posOffset>273536</wp:posOffset>
                      </wp:positionV>
                      <wp:extent cx="708660" cy="9525"/>
                      <wp:effectExtent l="0" t="0" r="0" b="0"/>
                      <wp:wrapNone/>
                      <wp:docPr id="484" name="Group 484"/>
                      <wp:cNvGraphicFramePr>
                        <a:graphicFrameLocks/>
                      </wp:cNvGraphicFramePr>
                      <a:graphic>
                        <a:graphicData uri="http://schemas.microsoft.com/office/word/2010/wordprocessingGroup">
                          <wpg:wgp>
                            <wpg:cNvPr id="484" name="Group 484"/>
                            <wpg:cNvGrpSpPr/>
                            <wpg:grpSpPr>
                              <a:xfrm>
                                <a:off x="0" y="0"/>
                                <a:ext cx="708660" cy="9525"/>
                                <a:chExt cx="708660" cy="9525"/>
                              </a:xfrm>
                            </wpg:grpSpPr>
                            <wps:wsp>
                              <wps:cNvPr id="485" name="Graphic 485"/>
                              <wps:cNvSpPr/>
                              <wps:spPr>
                                <a:xfrm>
                                  <a:off x="0" y="4577"/>
                                  <a:ext cx="708660" cy="1270"/>
                                </a:xfrm>
                                <a:custGeom>
                                  <a:avLst/>
                                  <a:gdLst/>
                                  <a:ahLst/>
                                  <a:cxnLst/>
                                  <a:rect l="l" t="t" r="r" b="b"/>
                                  <a:pathLst>
                                    <a:path w="708660" h="0">
                                      <a:moveTo>
                                        <a:pt x="0" y="0"/>
                                      </a:moveTo>
                                      <a:lnTo>
                                        <a:pt x="708276"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33" style="position:absolute;margin-left:-1.094537pt;margin-top:21.538286pt;width:55.8pt;height:.75pt;mso-position-horizontal-relative:column;mso-position-vertical-relative:paragraph;z-index:-27375104" coordsize="1116,15" coordorigin="-22,431">
                      <v:line style="position:absolute" stroked="true" strokecolor="#000000" strokeweight=".720821pt" from="-22,438" to="1094,438">
                        <v:stroke dashstyle="solid"/>
                      </v:line>
                      <w10:wrap type="none"/>
                    </v:group>
                  </w:pict>
                </ve:Fallback>
              </ve:AlternateContent>
            </w:r>
            <w:r>
              <w:rPr>
                <w:color w:val="0F0F0F"/>
                <w:spacing w:val="-5"/>
                <w:w w:val="105"/>
                <w:sz w:val="21"/>
              </w:rPr>
              <w:t>875</w:t>
            </w:r>
          </w:p>
        </w:tc>
        <w:tc>
          <w:tcPr>
            <w:tcW w:w="7149" w:type="dxa"/>
          </w:tcPr>
          <w:p>
            <w:pPr>
              <w:pStyle w:val="TableParagraph"/>
              <w:spacing w:before="68"/>
              <w:ind w:left="249"/>
              <w:rPr>
                <w:sz w:val="21"/>
              </w:rPr>
            </w:pPr>
            <w:r>
              <w:rPr>
                <w:color w:val="0F0F0F"/>
                <w:w w:val="105"/>
                <w:sz w:val="21"/>
              </w:rPr>
              <w:t>Net</w:t>
            </w:r>
            <w:r>
              <w:rPr>
                <w:color w:val="0F0F0F"/>
                <w:spacing w:val="-7"/>
                <w:w w:val="105"/>
                <w:sz w:val="21"/>
              </w:rPr>
              <w:t> </w:t>
            </w:r>
            <w:r>
              <w:rPr>
                <w:color w:val="0F0F0F"/>
                <w:w w:val="105"/>
                <w:sz w:val="21"/>
              </w:rPr>
              <w:t>interest</w:t>
            </w:r>
            <w:r>
              <w:rPr>
                <w:color w:val="0F0F0F"/>
                <w:spacing w:val="-6"/>
                <w:w w:val="105"/>
                <w:sz w:val="21"/>
              </w:rPr>
              <w:t> </w:t>
            </w:r>
            <w:r>
              <w:rPr>
                <w:color w:val="0F0F0F"/>
                <w:spacing w:val="-2"/>
                <w:w w:val="105"/>
                <w:sz w:val="21"/>
              </w:rPr>
              <w:t>expense</w:t>
            </w:r>
          </w:p>
        </w:tc>
        <w:tc>
          <w:tcPr>
            <w:tcW w:w="1288" w:type="dxa"/>
          </w:tcPr>
          <w:p>
            <w:pPr>
              <w:pStyle w:val="TableParagraph"/>
              <w:spacing w:before="73"/>
              <w:ind w:right="126"/>
              <w:jc w:val="right"/>
              <w:rPr>
                <w:sz w:val="21"/>
              </w:rPr>
            </w:pPr>
            <w:r>
              <w:rPr>
                <w:color w:val="0F0F0F"/>
                <w:spacing w:val="-4"/>
                <w:w w:val="105"/>
                <w:sz w:val="21"/>
              </w:rPr>
              <w:t>1,108</w:t>
            </w:r>
          </w:p>
        </w:tc>
      </w:tr>
      <w:tr>
        <w:trPr>
          <w:trHeight w:val="268" w:hRule="atLeast"/>
        </w:trPr>
        <w:tc>
          <w:tcPr>
            <w:tcW w:w="9650" w:type="dxa"/>
            <w:gridSpan w:val="3"/>
          </w:tcPr>
          <w:p>
            <w:pPr>
              <w:pStyle w:val="TableParagraph"/>
              <w:spacing w:line="20" w:lineRule="exact"/>
              <w:ind w:left="8362" w:right="-58"/>
              <w:rPr>
                <w:sz w:val="2"/>
              </w:rPr>
            </w:pPr>
            <w:r>
              <w:rPr>
                <w:sz w:val="2"/>
              </w:rPr>
              <ve:AlternateContent>
                <ve:Choice Requires="wps">
                  <w:drawing>
                    <wp:inline distT="0" distB="0" distL="0" distR="0">
                      <wp:extent cx="818515" cy="9525"/>
                      <wp:effectExtent l="9525" t="0" r="634" b="0"/>
                      <wp:docPr id="486" name="Group 486"/>
                      <wp:cNvGraphicFramePr>
                        <a:graphicFrameLocks/>
                      </wp:cNvGraphicFramePr>
                      <a:graphic>
                        <a:graphicData uri="http://schemas.microsoft.com/office/word/2010/wordprocessingGroup">
                          <wpg:wgp>
                            <wpg:cNvPr id="486" name="Group 486"/>
                            <wpg:cNvGrpSpPr/>
                            <wpg:grpSpPr>
                              <a:xfrm>
                                <a:off x="0" y="0"/>
                                <a:ext cx="818515" cy="9525"/>
                                <a:chExt cx="818515" cy="9525"/>
                              </a:xfrm>
                            </wpg:grpSpPr>
                            <wps:wsp>
                              <wps:cNvPr id="487" name="Graphic 487"/>
                              <wps:cNvSpPr/>
                              <wps:spPr>
                                <a:xfrm>
                                  <a:off x="0" y="4577"/>
                                  <a:ext cx="818515" cy="1270"/>
                                </a:xfrm>
                                <a:custGeom>
                                  <a:avLst/>
                                  <a:gdLst/>
                                  <a:ahLst/>
                                  <a:cxnLst/>
                                  <a:rect l="l" t="t" r="r" b="b"/>
                                  <a:pathLst>
                                    <a:path w="818515" h="0">
                                      <a:moveTo>
                                        <a:pt x="0" y="0"/>
                                      </a:moveTo>
                                      <a:lnTo>
                                        <a:pt x="818181"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34" style="width:64.45pt;height:.75pt;mso-position-horizontal-relative:char;mso-position-vertical-relative:line" coordsize="1289,15" coordorigin="0,0">
                      <v:line style="position:absolute" stroked="true" strokecolor="#000000" strokeweight=".720821pt" from="0,7" to="1288,7">
                        <v:stroke dashstyle="solid"/>
                      </v:line>
                    </v:group>
                  </w:pict>
                </ve:Fallback>
              </ve:AlternateContent>
            </w:r>
            <w:r>
              <w:rPr>
                <w:sz w:val="2"/>
              </w:rPr>
            </w:r>
          </w:p>
          <w:p>
            <w:pPr>
              <w:pStyle w:val="TableParagraph"/>
              <w:tabs>
                <w:tab w:val="left" w:leader="none" w:pos="1473"/>
                <w:tab w:val="left" w:leader="none" w:pos="8978"/>
              </w:tabs>
              <w:spacing w:before="43" w:line="52" w:lineRule="auto"/>
              <w:ind w:left="411"/>
              <w:rPr>
                <w:b/>
                <w:sz w:val="21"/>
              </w:rPr>
            </w:pPr>
            <w:r>
              <w:rPr>
                <w:b/>
                <w:color w:val="0F0F0F"/>
                <w:spacing w:val="-4"/>
                <w:w w:val="105"/>
                <w:position w:val="-12"/>
                <w:sz w:val="21"/>
              </w:rPr>
              <w:t>5,217</w:t>
            </w:r>
            <w:r>
              <w:rPr>
                <w:b/>
                <w:color w:val="0F0F0F"/>
                <w:position w:val="-12"/>
                <w:sz w:val="21"/>
              </w:rPr>
              <w:tab/>
            </w:r>
            <w:r>
              <w:rPr>
                <w:b/>
                <w:color w:val="242424"/>
                <w:w w:val="105"/>
                <w:sz w:val="21"/>
              </w:rPr>
              <w:t>Total</w:t>
            </w:r>
            <w:r>
              <w:rPr>
                <w:b/>
                <w:color w:val="242424"/>
                <w:spacing w:val="-16"/>
                <w:w w:val="105"/>
                <w:sz w:val="21"/>
              </w:rPr>
              <w:t> </w:t>
            </w:r>
            <w:r>
              <w:rPr>
                <w:b/>
                <w:color w:val="0F0F0F"/>
                <w:w w:val="105"/>
                <w:sz w:val="21"/>
              </w:rPr>
              <w:t>post-employment</w:t>
            </w:r>
            <w:r>
              <w:rPr>
                <w:b/>
                <w:color w:val="0F0F0F"/>
                <w:spacing w:val="-15"/>
                <w:w w:val="105"/>
                <w:sz w:val="21"/>
              </w:rPr>
              <w:t> </w:t>
            </w:r>
            <w:r>
              <w:rPr>
                <w:b/>
                <w:color w:val="0F0F0F"/>
                <w:w w:val="105"/>
                <w:sz w:val="21"/>
              </w:rPr>
              <w:t>benefits</w:t>
            </w:r>
            <w:r>
              <w:rPr>
                <w:b/>
                <w:color w:val="0F0F0F"/>
                <w:spacing w:val="-2"/>
                <w:w w:val="105"/>
                <w:sz w:val="21"/>
              </w:rPr>
              <w:t> </w:t>
            </w:r>
            <w:r>
              <w:rPr>
                <w:b/>
                <w:color w:val="0F0F0F"/>
                <w:w w:val="105"/>
                <w:sz w:val="21"/>
              </w:rPr>
              <w:t>charged</w:t>
            </w:r>
            <w:r>
              <w:rPr>
                <w:b/>
                <w:color w:val="0F0F0F"/>
                <w:spacing w:val="-2"/>
                <w:w w:val="105"/>
                <w:sz w:val="21"/>
              </w:rPr>
              <w:t> </w:t>
            </w:r>
            <w:r>
              <w:rPr>
                <w:b/>
                <w:color w:val="0F0F0F"/>
                <w:w w:val="105"/>
                <w:sz w:val="21"/>
              </w:rPr>
              <w:t>to</w:t>
            </w:r>
            <w:r>
              <w:rPr>
                <w:b/>
                <w:color w:val="0F0F0F"/>
                <w:spacing w:val="-14"/>
                <w:w w:val="105"/>
                <w:sz w:val="21"/>
              </w:rPr>
              <w:t> </w:t>
            </w:r>
            <w:r>
              <w:rPr>
                <w:b/>
                <w:color w:val="0F0F0F"/>
                <w:w w:val="105"/>
                <w:sz w:val="21"/>
              </w:rPr>
              <w:t>the</w:t>
            </w:r>
            <w:r>
              <w:rPr>
                <w:b/>
                <w:color w:val="0F0F0F"/>
                <w:spacing w:val="-10"/>
                <w:w w:val="105"/>
                <w:sz w:val="21"/>
              </w:rPr>
              <w:t> </w:t>
            </w:r>
            <w:r>
              <w:rPr>
                <w:b/>
                <w:color w:val="0F0F0F"/>
                <w:w w:val="105"/>
                <w:sz w:val="21"/>
              </w:rPr>
              <w:t>Surplus </w:t>
            </w:r>
            <w:r>
              <w:rPr>
                <w:b/>
                <w:color w:val="0F0F0F"/>
                <w:spacing w:val="-5"/>
                <w:w w:val="105"/>
                <w:sz w:val="21"/>
              </w:rPr>
              <w:t>or</w:t>
            </w:r>
            <w:r>
              <w:rPr>
                <w:b/>
                <w:color w:val="0F0F0F"/>
                <w:sz w:val="21"/>
              </w:rPr>
              <w:tab/>
            </w:r>
            <w:r>
              <w:rPr>
                <w:b/>
                <w:color w:val="0F0F0F"/>
                <w:spacing w:val="-2"/>
                <w:w w:val="105"/>
                <w:position w:val="-12"/>
                <w:sz w:val="21"/>
              </w:rPr>
              <w:t>5,454</w:t>
            </w:r>
          </w:p>
        </w:tc>
      </w:tr>
      <w:tr>
        <w:trPr>
          <w:trHeight w:val="240" w:hRule="atLeast"/>
        </w:trPr>
        <w:tc>
          <w:tcPr>
            <w:tcW w:w="1213" w:type="dxa"/>
          </w:tcPr>
          <w:p>
            <w:pPr>
              <w:pStyle w:val="TableParagraph"/>
              <w:tabs>
                <w:tab w:val="left" w:leader="none" w:pos="1146"/>
              </w:tabs>
              <w:spacing w:line="220" w:lineRule="exact"/>
              <w:ind w:left="-42"/>
              <w:rPr>
                <w:b/>
                <w:sz w:val="21"/>
              </w:rPr>
            </w:pPr>
            <w:r>
              <w:rPr>
                <w:b/>
                <w:color w:val="0F0F0F"/>
                <w:w w:val="100"/>
                <w:sz w:val="21"/>
                <w:u w:val="single" w:color="000000"/>
              </w:rPr>
              <w:t> </w:t>
            </w:r>
            <w:r>
              <w:rPr>
                <w:b/>
                <w:color w:val="0F0F0F"/>
                <w:sz w:val="21"/>
                <w:u w:val="single" w:color="000000"/>
              </w:rPr>
              <w:tab/>
            </w:r>
          </w:p>
        </w:tc>
        <w:tc>
          <w:tcPr>
            <w:tcW w:w="7149" w:type="dxa"/>
          </w:tcPr>
          <w:p>
            <w:pPr>
              <w:pStyle w:val="TableParagraph"/>
              <w:spacing w:line="220" w:lineRule="exact"/>
              <w:ind w:left="259"/>
              <w:rPr>
                <w:b/>
                <w:sz w:val="21"/>
              </w:rPr>
            </w:pPr>
            <w:r>
              <w:rPr>
                <w:b/>
                <w:color w:val="0F0F0F"/>
                <w:w w:val="105"/>
                <w:sz w:val="21"/>
              </w:rPr>
              <w:t>Deficit</w:t>
            </w:r>
            <w:r>
              <w:rPr>
                <w:b/>
                <w:color w:val="0F0F0F"/>
                <w:spacing w:val="-8"/>
                <w:w w:val="105"/>
                <w:sz w:val="21"/>
              </w:rPr>
              <w:t> </w:t>
            </w:r>
            <w:r>
              <w:rPr>
                <w:b/>
                <w:color w:val="0F0F0F"/>
                <w:w w:val="105"/>
                <w:sz w:val="21"/>
              </w:rPr>
              <w:t>on</w:t>
            </w:r>
            <w:r>
              <w:rPr>
                <w:b/>
                <w:color w:val="0F0F0F"/>
                <w:spacing w:val="-14"/>
                <w:w w:val="105"/>
                <w:sz w:val="21"/>
              </w:rPr>
              <w:t> </w:t>
            </w:r>
            <w:r>
              <w:rPr>
                <w:b/>
                <w:color w:val="0F0F0F"/>
                <w:w w:val="105"/>
                <w:sz w:val="21"/>
              </w:rPr>
              <w:t>the</w:t>
            </w:r>
            <w:r>
              <w:rPr>
                <w:b/>
                <w:color w:val="0F0F0F"/>
                <w:spacing w:val="-3"/>
                <w:w w:val="105"/>
                <w:sz w:val="21"/>
              </w:rPr>
              <w:t> </w:t>
            </w:r>
            <w:r>
              <w:rPr>
                <w:b/>
                <w:color w:val="0F0F0F"/>
                <w:w w:val="105"/>
                <w:sz w:val="21"/>
              </w:rPr>
              <w:t>Provision</w:t>
            </w:r>
            <w:r>
              <w:rPr>
                <w:b/>
                <w:color w:val="0F0F0F"/>
                <w:spacing w:val="5"/>
                <w:w w:val="105"/>
                <w:sz w:val="21"/>
              </w:rPr>
              <w:t> </w:t>
            </w:r>
            <w:r>
              <w:rPr>
                <w:b/>
                <w:color w:val="0F0F0F"/>
                <w:w w:val="105"/>
                <w:sz w:val="21"/>
              </w:rPr>
              <w:t>of</w:t>
            </w:r>
            <w:r>
              <w:rPr>
                <w:b/>
                <w:color w:val="0F0F0F"/>
                <w:spacing w:val="-13"/>
                <w:w w:val="105"/>
                <w:sz w:val="21"/>
              </w:rPr>
              <w:t> </w:t>
            </w:r>
            <w:r>
              <w:rPr>
                <w:b/>
                <w:color w:val="0F0F0F"/>
                <w:spacing w:val="-2"/>
                <w:w w:val="105"/>
                <w:sz w:val="21"/>
              </w:rPr>
              <w:t>Services</w:t>
            </w:r>
          </w:p>
        </w:tc>
        <w:tc>
          <w:tcPr>
            <w:tcW w:w="1288" w:type="dxa"/>
            <w:tcBorders>
              <w:bottom w:val="single" w:color="000000" w:sz="6" w:space="0"/>
            </w:tcBorders>
          </w:tcPr>
          <w:p>
            <w:pPr>
              <w:pStyle w:val="TableParagraph"/>
              <w:rPr>
                <w:rFonts w:ascii="Times New Roman"/>
                <w:sz w:val="16"/>
              </w:rPr>
            </w:pPr>
          </w:p>
        </w:tc>
      </w:tr>
      <w:tr>
        <w:trPr>
          <w:trHeight w:val="645" w:hRule="atLeast"/>
        </w:trPr>
        <w:tc>
          <w:tcPr>
            <w:tcW w:w="1213" w:type="dxa"/>
          </w:tcPr>
          <w:p>
            <w:pPr>
              <w:pStyle w:val="TableParagraph"/>
              <w:rPr>
                <w:rFonts w:ascii="Times New Roman"/>
                <w:sz w:val="20"/>
              </w:rPr>
            </w:pPr>
          </w:p>
        </w:tc>
        <w:tc>
          <w:tcPr>
            <w:tcW w:w="7149" w:type="dxa"/>
          </w:tcPr>
          <w:p>
            <w:pPr>
              <w:pStyle w:val="TableParagraph"/>
              <w:spacing w:before="154"/>
              <w:rPr>
                <w:b/>
                <w:sz w:val="21"/>
              </w:rPr>
            </w:pPr>
          </w:p>
          <w:p>
            <w:pPr>
              <w:pStyle w:val="TableParagraph"/>
              <w:spacing w:line="229" w:lineRule="exact"/>
              <w:ind w:left="256"/>
              <w:rPr>
                <w:b/>
                <w:sz w:val="21"/>
              </w:rPr>
            </w:pPr>
            <w:r>
              <w:rPr>
                <w:b/>
                <w:color w:val="0F0F0F"/>
                <w:w w:val="105"/>
                <w:sz w:val="21"/>
              </w:rPr>
              <w:t>Other</w:t>
            </w:r>
            <w:r>
              <w:rPr>
                <w:b/>
                <w:color w:val="0F0F0F"/>
                <w:spacing w:val="-16"/>
                <w:w w:val="105"/>
                <w:sz w:val="21"/>
              </w:rPr>
              <w:t> </w:t>
            </w:r>
            <w:r>
              <w:rPr>
                <w:b/>
                <w:color w:val="0F0F0F"/>
                <w:w w:val="105"/>
                <w:sz w:val="21"/>
              </w:rPr>
              <w:t>post-employment</w:t>
            </w:r>
            <w:r>
              <w:rPr>
                <w:b/>
                <w:color w:val="0F0F0F"/>
                <w:spacing w:val="-20"/>
                <w:w w:val="105"/>
                <w:sz w:val="21"/>
              </w:rPr>
              <w:t> </w:t>
            </w:r>
            <w:r>
              <w:rPr>
                <w:b/>
                <w:color w:val="0F0F0F"/>
                <w:w w:val="105"/>
                <w:sz w:val="21"/>
              </w:rPr>
              <w:t>benefits</w:t>
            </w:r>
            <w:r>
              <w:rPr>
                <w:b/>
                <w:color w:val="0F0F0F"/>
                <w:spacing w:val="8"/>
                <w:w w:val="105"/>
                <w:sz w:val="21"/>
              </w:rPr>
              <w:t> </w:t>
            </w:r>
            <w:r>
              <w:rPr>
                <w:b/>
                <w:color w:val="0F0F0F"/>
                <w:w w:val="105"/>
                <w:sz w:val="21"/>
              </w:rPr>
              <w:t>charged to</w:t>
            </w:r>
            <w:r>
              <w:rPr>
                <w:b/>
                <w:color w:val="0F0F0F"/>
                <w:spacing w:val="-9"/>
                <w:w w:val="105"/>
                <w:sz w:val="21"/>
              </w:rPr>
              <w:t> </w:t>
            </w:r>
            <w:r>
              <w:rPr>
                <w:b/>
                <w:color w:val="0F0F0F"/>
                <w:w w:val="105"/>
                <w:sz w:val="21"/>
              </w:rPr>
              <w:t>the</w:t>
            </w:r>
            <w:r>
              <w:rPr>
                <w:b/>
                <w:color w:val="0F0F0F"/>
                <w:spacing w:val="-8"/>
                <w:w w:val="105"/>
                <w:sz w:val="21"/>
              </w:rPr>
              <w:t> </w:t>
            </w:r>
            <w:r>
              <w:rPr>
                <w:b/>
                <w:color w:val="0F0F0F"/>
                <w:spacing w:val="-2"/>
                <w:w w:val="105"/>
                <w:sz w:val="21"/>
              </w:rPr>
              <w:t>Comprehensive</w:t>
            </w:r>
          </w:p>
        </w:tc>
        <w:tc>
          <w:tcPr>
            <w:tcW w:w="1288" w:type="dxa"/>
            <w:tcBorders>
              <w:top w:val="single" w:color="000000" w:sz="6" w:space="0"/>
            </w:tcBorders>
          </w:tcPr>
          <w:p>
            <w:pPr>
              <w:pStyle w:val="TableParagraph"/>
              <w:rPr>
                <w:rFonts w:ascii="Times New Roman"/>
                <w:sz w:val="20"/>
              </w:rPr>
            </w:pPr>
          </w:p>
        </w:tc>
      </w:tr>
      <w:tr>
        <w:trPr>
          <w:trHeight w:val="367" w:hRule="atLeast"/>
        </w:trPr>
        <w:tc>
          <w:tcPr>
            <w:tcW w:w="1213" w:type="dxa"/>
          </w:tcPr>
          <w:p>
            <w:pPr>
              <w:pStyle w:val="TableParagraph"/>
              <w:rPr>
                <w:rFonts w:ascii="Times New Roman"/>
                <w:sz w:val="20"/>
              </w:rPr>
            </w:pPr>
          </w:p>
        </w:tc>
        <w:tc>
          <w:tcPr>
            <w:tcW w:w="7149" w:type="dxa"/>
          </w:tcPr>
          <w:p>
            <w:pPr>
              <w:pStyle w:val="TableParagraph"/>
              <w:spacing w:before="1"/>
              <w:ind w:left="255"/>
              <w:rPr>
                <w:b/>
                <w:sz w:val="21"/>
              </w:rPr>
            </w:pPr>
            <w:r>
              <w:rPr>
                <w:b/>
                <w:color w:val="0F0F0F"/>
                <w:w w:val="105"/>
                <w:sz w:val="21"/>
              </w:rPr>
              <w:t>Income</w:t>
            </w:r>
            <w:r>
              <w:rPr>
                <w:b/>
                <w:color w:val="0F0F0F"/>
                <w:spacing w:val="-10"/>
                <w:w w:val="105"/>
                <w:sz w:val="21"/>
              </w:rPr>
              <w:t> </w:t>
            </w:r>
            <w:r>
              <w:rPr>
                <w:b/>
                <w:color w:val="0F0F0F"/>
                <w:w w:val="105"/>
                <w:sz w:val="21"/>
              </w:rPr>
              <w:t>and</w:t>
            </w:r>
            <w:r>
              <w:rPr>
                <w:b/>
                <w:color w:val="0F0F0F"/>
                <w:spacing w:val="-13"/>
                <w:w w:val="105"/>
                <w:sz w:val="21"/>
              </w:rPr>
              <w:t> </w:t>
            </w:r>
            <w:r>
              <w:rPr>
                <w:b/>
                <w:color w:val="0F0F0F"/>
                <w:w w:val="105"/>
                <w:sz w:val="21"/>
              </w:rPr>
              <w:t>Expenditure</w:t>
            </w:r>
            <w:r>
              <w:rPr>
                <w:b/>
                <w:color w:val="0F0F0F"/>
                <w:spacing w:val="1"/>
                <w:w w:val="105"/>
                <w:sz w:val="21"/>
              </w:rPr>
              <w:t> </w:t>
            </w:r>
            <w:r>
              <w:rPr>
                <w:b/>
                <w:color w:val="0F0F0F"/>
                <w:spacing w:val="-2"/>
                <w:w w:val="105"/>
                <w:sz w:val="21"/>
              </w:rPr>
              <w:t>Statement:</w:t>
            </w:r>
          </w:p>
        </w:tc>
        <w:tc>
          <w:tcPr>
            <w:tcW w:w="1288" w:type="dxa"/>
          </w:tcPr>
          <w:p>
            <w:pPr>
              <w:pStyle w:val="TableParagraph"/>
              <w:rPr>
                <w:rFonts w:ascii="Times New Roman"/>
                <w:sz w:val="20"/>
              </w:rPr>
            </w:pPr>
          </w:p>
        </w:tc>
      </w:tr>
      <w:tr>
        <w:trPr>
          <w:trHeight w:val="432" w:hRule="atLeast"/>
        </w:trPr>
        <w:tc>
          <w:tcPr>
            <w:tcW w:w="1213" w:type="dxa"/>
          </w:tcPr>
          <w:p>
            <w:pPr>
              <w:pStyle w:val="TableParagraph"/>
              <w:rPr>
                <w:rFonts w:ascii="Times New Roman"/>
                <w:sz w:val="20"/>
              </w:rPr>
            </w:pPr>
          </w:p>
        </w:tc>
        <w:tc>
          <w:tcPr>
            <w:tcW w:w="7149" w:type="dxa"/>
          </w:tcPr>
          <w:p>
            <w:pPr>
              <w:pStyle w:val="TableParagraph"/>
              <w:spacing w:before="118"/>
              <w:ind w:left="248"/>
              <w:rPr>
                <w:sz w:val="21"/>
              </w:rPr>
            </w:pPr>
            <w:r>
              <w:rPr>
                <w:color w:val="0F0F0F"/>
                <w:w w:val="105"/>
                <w:sz w:val="21"/>
              </w:rPr>
              <w:t>Re-measurement</w:t>
            </w:r>
            <w:r>
              <w:rPr>
                <w:color w:val="0F0F0F"/>
                <w:spacing w:val="-4"/>
                <w:w w:val="105"/>
                <w:sz w:val="21"/>
              </w:rPr>
              <w:t> </w:t>
            </w:r>
            <w:r>
              <w:rPr>
                <w:color w:val="0F0F0F"/>
                <w:w w:val="105"/>
                <w:sz w:val="21"/>
              </w:rPr>
              <w:t>of</w:t>
            </w:r>
            <w:r>
              <w:rPr>
                <w:color w:val="0F0F0F"/>
                <w:spacing w:val="-12"/>
                <w:w w:val="105"/>
                <w:sz w:val="21"/>
              </w:rPr>
              <w:t> </w:t>
            </w:r>
            <w:r>
              <w:rPr>
                <w:color w:val="0F0F0F"/>
                <w:w w:val="105"/>
                <w:sz w:val="21"/>
              </w:rPr>
              <w:t>the</w:t>
            </w:r>
            <w:r>
              <w:rPr>
                <w:color w:val="0F0F0F"/>
                <w:spacing w:val="-14"/>
                <w:w w:val="105"/>
                <w:sz w:val="21"/>
              </w:rPr>
              <w:t> </w:t>
            </w:r>
            <w:r>
              <w:rPr>
                <w:color w:val="0F0F0F"/>
                <w:w w:val="105"/>
                <w:sz w:val="21"/>
              </w:rPr>
              <w:t>net</w:t>
            </w:r>
            <w:r>
              <w:rPr>
                <w:color w:val="0F0F0F"/>
                <w:spacing w:val="-1"/>
                <w:w w:val="105"/>
                <w:sz w:val="21"/>
              </w:rPr>
              <w:t> </w:t>
            </w:r>
            <w:r>
              <w:rPr>
                <w:color w:val="0F0F0F"/>
                <w:w w:val="105"/>
                <w:sz w:val="21"/>
              </w:rPr>
              <w:t>defined</w:t>
            </w:r>
            <w:r>
              <w:rPr>
                <w:color w:val="0F0F0F"/>
                <w:spacing w:val="-10"/>
                <w:w w:val="105"/>
                <w:sz w:val="21"/>
              </w:rPr>
              <w:t> </w:t>
            </w:r>
            <w:r>
              <w:rPr>
                <w:color w:val="0F0F0F"/>
                <w:w w:val="105"/>
                <w:sz w:val="21"/>
              </w:rPr>
              <w:t>liability</w:t>
            </w:r>
            <w:r>
              <w:rPr>
                <w:color w:val="0F0F0F"/>
                <w:spacing w:val="3"/>
                <w:w w:val="105"/>
                <w:sz w:val="21"/>
              </w:rPr>
              <w:t> </w:t>
            </w:r>
            <w:r>
              <w:rPr>
                <w:color w:val="0F0F0F"/>
                <w:spacing w:val="-2"/>
                <w:w w:val="105"/>
                <w:sz w:val="21"/>
              </w:rPr>
              <w:t>comprising:</w:t>
            </w:r>
          </w:p>
        </w:tc>
        <w:tc>
          <w:tcPr>
            <w:tcW w:w="1288" w:type="dxa"/>
          </w:tcPr>
          <w:p>
            <w:pPr>
              <w:pStyle w:val="TableParagraph"/>
              <w:rPr>
                <w:rFonts w:ascii="Times New Roman"/>
                <w:sz w:val="20"/>
              </w:rPr>
            </w:pPr>
          </w:p>
        </w:tc>
      </w:tr>
      <w:tr>
        <w:trPr>
          <w:trHeight w:val="321" w:hRule="atLeast"/>
        </w:trPr>
        <w:tc>
          <w:tcPr>
            <w:tcW w:w="1213" w:type="dxa"/>
          </w:tcPr>
          <w:p>
            <w:pPr>
              <w:pStyle w:val="TableParagraph"/>
              <w:spacing w:before="65" w:line="236" w:lineRule="exact"/>
              <w:ind w:left="268"/>
              <w:rPr>
                <w:sz w:val="21"/>
              </w:rPr>
            </w:pPr>
            <w:r>
              <w:rPr>
                <w:color w:val="0F0F0F"/>
                <w:spacing w:val="-2"/>
                <w:w w:val="105"/>
                <w:sz w:val="21"/>
              </w:rPr>
              <w:t>(2,472)</w:t>
            </w:r>
          </w:p>
        </w:tc>
        <w:tc>
          <w:tcPr>
            <w:tcW w:w="7149" w:type="dxa"/>
          </w:tcPr>
          <w:p>
            <w:pPr>
              <w:pStyle w:val="TableParagraph"/>
              <w:spacing w:before="70" w:line="231" w:lineRule="exact"/>
              <w:ind w:left="248"/>
              <w:rPr>
                <w:sz w:val="21"/>
              </w:rPr>
            </w:pPr>
            <w:r>
              <w:rPr>
                <w:color w:val="0F0F0F"/>
                <w:w w:val="105"/>
                <w:sz w:val="21"/>
              </w:rPr>
              <w:t>Return</w:t>
            </w:r>
            <w:r>
              <w:rPr>
                <w:color w:val="0F0F0F"/>
                <w:spacing w:val="-5"/>
                <w:w w:val="105"/>
                <w:sz w:val="21"/>
              </w:rPr>
              <w:t> </w:t>
            </w:r>
            <w:r>
              <w:rPr>
                <w:color w:val="0F0F0F"/>
                <w:w w:val="105"/>
                <w:sz w:val="21"/>
              </w:rPr>
              <w:t>on</w:t>
            </w:r>
            <w:r>
              <w:rPr>
                <w:color w:val="0F0F0F"/>
                <w:spacing w:val="-15"/>
                <w:w w:val="105"/>
                <w:sz w:val="21"/>
              </w:rPr>
              <w:t> </w:t>
            </w:r>
            <w:r>
              <w:rPr>
                <w:color w:val="0F0F0F"/>
                <w:w w:val="105"/>
                <w:sz w:val="21"/>
              </w:rPr>
              <w:t>plan</w:t>
            </w:r>
            <w:r>
              <w:rPr>
                <w:color w:val="0F0F0F"/>
                <w:spacing w:val="-6"/>
                <w:w w:val="105"/>
                <w:sz w:val="21"/>
              </w:rPr>
              <w:t> </w:t>
            </w:r>
            <w:r>
              <w:rPr>
                <w:color w:val="0F0F0F"/>
                <w:w w:val="105"/>
                <w:sz w:val="21"/>
              </w:rPr>
              <w:t>assets</w:t>
            </w:r>
            <w:r>
              <w:rPr>
                <w:color w:val="0F0F0F"/>
                <w:spacing w:val="-2"/>
                <w:w w:val="105"/>
                <w:sz w:val="21"/>
              </w:rPr>
              <w:t> </w:t>
            </w:r>
            <w:r>
              <w:rPr>
                <w:color w:val="0F0F0F"/>
                <w:w w:val="105"/>
                <w:sz w:val="21"/>
              </w:rPr>
              <w:t>(excluding</w:t>
            </w:r>
            <w:r>
              <w:rPr>
                <w:color w:val="0F0F0F"/>
                <w:spacing w:val="4"/>
                <w:w w:val="105"/>
                <w:sz w:val="21"/>
              </w:rPr>
              <w:t> </w:t>
            </w:r>
            <w:r>
              <w:rPr>
                <w:color w:val="0F0F0F"/>
                <w:w w:val="105"/>
                <w:sz w:val="21"/>
              </w:rPr>
              <w:t>the</w:t>
            </w:r>
            <w:r>
              <w:rPr>
                <w:color w:val="0F0F0F"/>
                <w:spacing w:val="-12"/>
                <w:w w:val="105"/>
                <w:sz w:val="21"/>
              </w:rPr>
              <w:t> </w:t>
            </w:r>
            <w:r>
              <w:rPr>
                <w:color w:val="0F0F0F"/>
                <w:w w:val="105"/>
                <w:sz w:val="21"/>
              </w:rPr>
              <w:t>amount</w:t>
            </w:r>
            <w:r>
              <w:rPr>
                <w:color w:val="0F0F0F"/>
                <w:spacing w:val="2"/>
                <w:w w:val="105"/>
                <w:sz w:val="21"/>
              </w:rPr>
              <w:t> </w:t>
            </w:r>
            <w:r>
              <w:rPr>
                <w:color w:val="0F0F0F"/>
                <w:w w:val="105"/>
                <w:sz w:val="21"/>
              </w:rPr>
              <w:t>included</w:t>
            </w:r>
            <w:r>
              <w:rPr>
                <w:color w:val="0F0F0F"/>
                <w:spacing w:val="-2"/>
                <w:w w:val="105"/>
                <w:sz w:val="21"/>
              </w:rPr>
              <w:t> </w:t>
            </w:r>
            <w:r>
              <w:rPr>
                <w:color w:val="0F0F0F"/>
                <w:w w:val="105"/>
                <w:sz w:val="21"/>
              </w:rPr>
              <w:t>in</w:t>
            </w:r>
            <w:r>
              <w:rPr>
                <w:color w:val="0F0F0F"/>
                <w:spacing w:val="-2"/>
                <w:w w:val="105"/>
                <w:sz w:val="21"/>
              </w:rPr>
              <w:t> </w:t>
            </w:r>
            <w:r>
              <w:rPr>
                <w:color w:val="0F0F0F"/>
                <w:w w:val="105"/>
                <w:sz w:val="21"/>
              </w:rPr>
              <w:t>the</w:t>
            </w:r>
            <w:r>
              <w:rPr>
                <w:color w:val="0F0F0F"/>
                <w:spacing w:val="-8"/>
                <w:w w:val="105"/>
                <w:sz w:val="21"/>
              </w:rPr>
              <w:t> </w:t>
            </w:r>
            <w:r>
              <w:rPr>
                <w:color w:val="0F0F0F"/>
                <w:spacing w:val="-5"/>
                <w:w w:val="105"/>
                <w:sz w:val="21"/>
              </w:rPr>
              <w:t>net</w:t>
            </w:r>
          </w:p>
        </w:tc>
        <w:tc>
          <w:tcPr>
            <w:tcW w:w="1288" w:type="dxa"/>
          </w:tcPr>
          <w:p>
            <w:pPr>
              <w:pStyle w:val="TableParagraph"/>
              <w:spacing w:before="70" w:line="231" w:lineRule="exact"/>
              <w:ind w:left="439"/>
              <w:rPr>
                <w:sz w:val="21"/>
              </w:rPr>
            </w:pPr>
            <w:r>
              <w:rPr>
                <w:color w:val="0F0F0F"/>
                <w:spacing w:val="-2"/>
                <w:w w:val="105"/>
                <w:sz w:val="21"/>
              </w:rPr>
              <w:t>10,749</w:t>
            </w:r>
          </w:p>
        </w:tc>
      </w:tr>
      <w:tr>
        <w:trPr>
          <w:trHeight w:val="365" w:hRule="atLeast"/>
        </w:trPr>
        <w:tc>
          <w:tcPr>
            <w:tcW w:w="1213" w:type="dxa"/>
          </w:tcPr>
          <w:p>
            <w:pPr>
              <w:pStyle w:val="TableParagraph"/>
              <w:rPr>
                <w:rFonts w:ascii="Times New Roman"/>
                <w:sz w:val="20"/>
              </w:rPr>
            </w:pPr>
          </w:p>
        </w:tc>
        <w:tc>
          <w:tcPr>
            <w:tcW w:w="7149" w:type="dxa"/>
          </w:tcPr>
          <w:p>
            <w:pPr>
              <w:pStyle w:val="TableParagraph"/>
              <w:spacing w:before="3"/>
              <w:ind w:left="246"/>
              <w:rPr>
                <w:sz w:val="21"/>
              </w:rPr>
            </w:pPr>
            <w:r>
              <w:rPr>
                <w:color w:val="0F0F0F"/>
                <w:w w:val="105"/>
                <w:sz w:val="21"/>
              </w:rPr>
              <w:t>interest</w:t>
            </w:r>
            <w:r>
              <w:rPr>
                <w:color w:val="0F0F0F"/>
                <w:spacing w:val="-7"/>
                <w:w w:val="105"/>
                <w:sz w:val="21"/>
              </w:rPr>
              <w:t> </w:t>
            </w:r>
            <w:r>
              <w:rPr>
                <w:color w:val="0F0F0F"/>
                <w:spacing w:val="-2"/>
                <w:w w:val="105"/>
                <w:sz w:val="21"/>
              </w:rPr>
              <w:t>expense)</w:t>
            </w:r>
          </w:p>
        </w:tc>
        <w:tc>
          <w:tcPr>
            <w:tcW w:w="1288" w:type="dxa"/>
          </w:tcPr>
          <w:p>
            <w:pPr>
              <w:pStyle w:val="TableParagraph"/>
              <w:rPr>
                <w:rFonts w:ascii="Times New Roman"/>
                <w:sz w:val="20"/>
              </w:rPr>
            </w:pPr>
          </w:p>
        </w:tc>
      </w:tr>
      <w:tr>
        <w:trPr>
          <w:trHeight w:val="367" w:hRule="atLeast"/>
        </w:trPr>
        <w:tc>
          <w:tcPr>
            <w:tcW w:w="1213" w:type="dxa"/>
          </w:tcPr>
          <w:p>
            <w:pPr>
              <w:pStyle w:val="TableParagraph"/>
              <w:spacing w:before="113" w:line="234" w:lineRule="exact"/>
              <w:ind w:left="268"/>
              <w:rPr>
                <w:sz w:val="21"/>
              </w:rPr>
            </w:pPr>
            <w:r>
              <w:rPr>
                <w:color w:val="0F0F0F"/>
                <w:spacing w:val="-2"/>
                <w:w w:val="105"/>
                <w:sz w:val="21"/>
              </w:rPr>
              <w:t>(8,599)</w:t>
            </w:r>
          </w:p>
        </w:tc>
        <w:tc>
          <w:tcPr>
            <w:tcW w:w="7149" w:type="dxa"/>
          </w:tcPr>
          <w:p>
            <w:pPr>
              <w:pStyle w:val="TableParagraph"/>
              <w:spacing w:before="113" w:line="234" w:lineRule="exact"/>
              <w:ind w:left="251"/>
              <w:rPr>
                <w:sz w:val="21"/>
              </w:rPr>
            </w:pPr>
            <w:r>
              <w:rPr>
                <w:color w:val="0F0F0F"/>
                <w:w w:val="105"/>
                <w:sz w:val="21"/>
              </w:rPr>
              <w:t>Actuarial</w:t>
            </w:r>
            <w:r>
              <w:rPr>
                <w:color w:val="0F0F0F"/>
                <w:spacing w:val="-5"/>
                <w:w w:val="105"/>
                <w:sz w:val="21"/>
              </w:rPr>
              <w:t> </w:t>
            </w:r>
            <w:r>
              <w:rPr>
                <w:color w:val="0F0F0F"/>
                <w:w w:val="105"/>
                <w:sz w:val="21"/>
              </w:rPr>
              <w:t>(gains)</w:t>
            </w:r>
            <w:r>
              <w:rPr>
                <w:color w:val="0F0F0F"/>
                <w:spacing w:val="8"/>
                <w:w w:val="105"/>
                <w:sz w:val="21"/>
              </w:rPr>
              <w:t> </w:t>
            </w:r>
            <w:r>
              <w:rPr>
                <w:color w:val="0F0F0F"/>
                <w:w w:val="105"/>
                <w:sz w:val="21"/>
              </w:rPr>
              <w:t>and</w:t>
            </w:r>
            <w:r>
              <w:rPr>
                <w:color w:val="0F0F0F"/>
                <w:spacing w:val="-15"/>
                <w:w w:val="105"/>
                <w:sz w:val="21"/>
              </w:rPr>
              <w:t> </w:t>
            </w:r>
            <w:r>
              <w:rPr>
                <w:color w:val="0F0F0F"/>
                <w:w w:val="105"/>
                <w:sz w:val="21"/>
              </w:rPr>
              <w:t>losses</w:t>
            </w:r>
            <w:r>
              <w:rPr>
                <w:color w:val="0F0F0F"/>
                <w:spacing w:val="4"/>
                <w:w w:val="105"/>
                <w:sz w:val="21"/>
              </w:rPr>
              <w:t> </w:t>
            </w:r>
            <w:r>
              <w:rPr>
                <w:color w:val="0F0F0F"/>
                <w:w w:val="105"/>
                <w:sz w:val="21"/>
              </w:rPr>
              <w:t>arising</w:t>
            </w:r>
            <w:r>
              <w:rPr>
                <w:color w:val="0F0F0F"/>
                <w:spacing w:val="-3"/>
                <w:w w:val="105"/>
                <w:sz w:val="21"/>
              </w:rPr>
              <w:t> </w:t>
            </w:r>
            <w:r>
              <w:rPr>
                <w:color w:val="0F0F0F"/>
                <w:w w:val="105"/>
                <w:sz w:val="21"/>
              </w:rPr>
              <w:t>on</w:t>
            </w:r>
            <w:r>
              <w:rPr>
                <w:color w:val="0F0F0F"/>
                <w:spacing w:val="-16"/>
                <w:w w:val="105"/>
                <w:sz w:val="21"/>
              </w:rPr>
              <w:t> </w:t>
            </w:r>
            <w:r>
              <w:rPr>
                <w:color w:val="0F0F0F"/>
                <w:w w:val="105"/>
                <w:sz w:val="21"/>
              </w:rPr>
              <w:t>changes</w:t>
            </w:r>
            <w:r>
              <w:rPr>
                <w:color w:val="0F0F0F"/>
                <w:spacing w:val="-3"/>
                <w:w w:val="105"/>
                <w:sz w:val="21"/>
              </w:rPr>
              <w:t> </w:t>
            </w:r>
            <w:r>
              <w:rPr>
                <w:color w:val="0F0F0F"/>
                <w:w w:val="105"/>
                <w:sz w:val="21"/>
              </w:rPr>
              <w:t>in</w:t>
            </w:r>
            <w:r>
              <w:rPr>
                <w:color w:val="0F0F0F"/>
                <w:spacing w:val="-7"/>
                <w:w w:val="105"/>
                <w:sz w:val="21"/>
              </w:rPr>
              <w:t> </w:t>
            </w:r>
            <w:r>
              <w:rPr>
                <w:color w:val="0F0F0F"/>
                <w:spacing w:val="-2"/>
                <w:w w:val="105"/>
                <w:sz w:val="21"/>
              </w:rPr>
              <w:t>financial</w:t>
            </w:r>
          </w:p>
        </w:tc>
        <w:tc>
          <w:tcPr>
            <w:tcW w:w="1288" w:type="dxa"/>
          </w:tcPr>
          <w:p>
            <w:pPr>
              <w:pStyle w:val="TableParagraph"/>
              <w:spacing w:before="118" w:line="229" w:lineRule="exact"/>
              <w:ind w:right="121"/>
              <w:jc w:val="right"/>
              <w:rPr>
                <w:sz w:val="21"/>
              </w:rPr>
            </w:pPr>
            <w:r>
              <w:rPr>
                <w:color w:val="0F0F0F"/>
                <w:spacing w:val="-2"/>
                <w:w w:val="105"/>
                <w:sz w:val="21"/>
              </w:rPr>
              <w:t>(50,714)</w:t>
            </w:r>
          </w:p>
        </w:tc>
      </w:tr>
      <w:tr>
        <w:trPr>
          <w:trHeight w:val="398" w:hRule="atLeast"/>
        </w:trPr>
        <w:tc>
          <w:tcPr>
            <w:tcW w:w="1213" w:type="dxa"/>
          </w:tcPr>
          <w:p>
            <w:pPr>
              <w:pStyle w:val="TableParagraph"/>
              <w:rPr>
                <w:rFonts w:ascii="Times New Roman"/>
                <w:sz w:val="20"/>
              </w:rPr>
            </w:pPr>
          </w:p>
        </w:tc>
        <w:tc>
          <w:tcPr>
            <w:tcW w:w="7149" w:type="dxa"/>
          </w:tcPr>
          <w:p>
            <w:pPr>
              <w:pStyle w:val="TableParagraph"/>
              <w:spacing w:before="1"/>
              <w:ind w:left="257"/>
              <w:rPr>
                <w:sz w:val="21"/>
              </w:rPr>
            </w:pPr>
            <w:r>
              <w:rPr>
                <w:color w:val="0F0F0F"/>
                <w:spacing w:val="-2"/>
                <w:sz w:val="21"/>
              </w:rPr>
              <w:t>assumptions</w:t>
            </w:r>
          </w:p>
        </w:tc>
        <w:tc>
          <w:tcPr>
            <w:tcW w:w="1288" w:type="dxa"/>
          </w:tcPr>
          <w:p>
            <w:pPr>
              <w:pStyle w:val="TableParagraph"/>
              <w:rPr>
                <w:rFonts w:ascii="Times New Roman"/>
                <w:sz w:val="20"/>
              </w:rPr>
            </w:pPr>
          </w:p>
        </w:tc>
      </w:tr>
      <w:tr>
        <w:trPr>
          <w:trHeight w:val="406" w:hRule="atLeast"/>
        </w:trPr>
        <w:tc>
          <w:tcPr>
            <w:tcW w:w="1213" w:type="dxa"/>
          </w:tcPr>
          <w:p>
            <w:pPr>
              <w:pStyle w:val="TableParagraph"/>
              <w:spacing w:before="150" w:line="236" w:lineRule="exact"/>
              <w:ind w:left="268"/>
              <w:rPr>
                <w:sz w:val="21"/>
              </w:rPr>
            </w:pPr>
            <w:r>
              <w:rPr>
                <w:color w:val="0F0F0F"/>
                <w:spacing w:val="-2"/>
                <w:w w:val="105"/>
                <w:sz w:val="21"/>
              </w:rPr>
              <w:t>(1,509)</w:t>
            </w:r>
          </w:p>
        </w:tc>
        <w:tc>
          <w:tcPr>
            <w:tcW w:w="7149" w:type="dxa"/>
          </w:tcPr>
          <w:p>
            <w:pPr>
              <w:pStyle w:val="TableParagraph"/>
              <w:spacing w:before="154" w:line="231" w:lineRule="exact"/>
              <w:ind w:left="251"/>
              <w:rPr>
                <w:sz w:val="21"/>
              </w:rPr>
            </w:pPr>
            <w:r>
              <w:rPr>
                <w:color w:val="0F0F0F"/>
                <w:w w:val="105"/>
                <w:sz w:val="21"/>
              </w:rPr>
              <w:t>Actuarial</w:t>
            </w:r>
            <w:r>
              <w:rPr>
                <w:color w:val="0F0F0F"/>
                <w:spacing w:val="-4"/>
                <w:w w:val="105"/>
                <w:sz w:val="21"/>
              </w:rPr>
              <w:t> </w:t>
            </w:r>
            <w:r>
              <w:rPr>
                <w:color w:val="0F0F0F"/>
                <w:w w:val="105"/>
                <w:sz w:val="21"/>
              </w:rPr>
              <w:t>(gains)</w:t>
            </w:r>
            <w:r>
              <w:rPr>
                <w:color w:val="0F0F0F"/>
                <w:spacing w:val="7"/>
                <w:w w:val="105"/>
                <w:sz w:val="21"/>
              </w:rPr>
              <w:t> </w:t>
            </w:r>
            <w:r>
              <w:rPr>
                <w:color w:val="0F0F0F"/>
                <w:w w:val="105"/>
                <w:sz w:val="21"/>
              </w:rPr>
              <w:t>and</w:t>
            </w:r>
            <w:r>
              <w:rPr>
                <w:color w:val="0F0F0F"/>
                <w:spacing w:val="-16"/>
                <w:w w:val="105"/>
                <w:sz w:val="21"/>
              </w:rPr>
              <w:t> </w:t>
            </w:r>
            <w:r>
              <w:rPr>
                <w:color w:val="0F0F0F"/>
                <w:w w:val="105"/>
                <w:sz w:val="21"/>
              </w:rPr>
              <w:t>losses</w:t>
            </w:r>
            <w:r>
              <w:rPr>
                <w:color w:val="0F0F0F"/>
                <w:spacing w:val="2"/>
                <w:w w:val="105"/>
                <w:sz w:val="21"/>
              </w:rPr>
              <w:t> </w:t>
            </w:r>
            <w:r>
              <w:rPr>
                <w:color w:val="0F0F0F"/>
                <w:w w:val="105"/>
                <w:sz w:val="21"/>
              </w:rPr>
              <w:t>arising</w:t>
            </w:r>
            <w:r>
              <w:rPr>
                <w:color w:val="0F0F0F"/>
                <w:spacing w:val="-3"/>
                <w:w w:val="105"/>
                <w:sz w:val="21"/>
              </w:rPr>
              <w:t> </w:t>
            </w:r>
            <w:r>
              <w:rPr>
                <w:color w:val="0F0F0F"/>
                <w:w w:val="105"/>
                <w:sz w:val="21"/>
              </w:rPr>
              <w:t>on</w:t>
            </w:r>
            <w:r>
              <w:rPr>
                <w:color w:val="0F0F0F"/>
                <w:spacing w:val="-14"/>
                <w:w w:val="105"/>
                <w:sz w:val="21"/>
              </w:rPr>
              <w:t> </w:t>
            </w:r>
            <w:r>
              <w:rPr>
                <w:color w:val="0F0F0F"/>
                <w:w w:val="105"/>
                <w:sz w:val="21"/>
              </w:rPr>
              <w:t>changes</w:t>
            </w:r>
            <w:r>
              <w:rPr>
                <w:color w:val="0F0F0F"/>
                <w:spacing w:val="-3"/>
                <w:w w:val="105"/>
                <w:sz w:val="21"/>
              </w:rPr>
              <w:t> </w:t>
            </w:r>
            <w:r>
              <w:rPr>
                <w:color w:val="0F0F0F"/>
                <w:w w:val="105"/>
                <w:sz w:val="21"/>
              </w:rPr>
              <w:t>in</w:t>
            </w:r>
            <w:r>
              <w:rPr>
                <w:color w:val="0F0F0F"/>
                <w:spacing w:val="-7"/>
                <w:w w:val="105"/>
                <w:sz w:val="21"/>
              </w:rPr>
              <w:t> </w:t>
            </w:r>
            <w:r>
              <w:rPr>
                <w:color w:val="0F0F0F"/>
                <w:spacing w:val="-2"/>
                <w:w w:val="105"/>
                <w:sz w:val="21"/>
              </w:rPr>
              <w:t>demographic</w:t>
            </w:r>
          </w:p>
        </w:tc>
        <w:tc>
          <w:tcPr>
            <w:tcW w:w="1288" w:type="dxa"/>
          </w:tcPr>
          <w:p>
            <w:pPr>
              <w:pStyle w:val="TableParagraph"/>
              <w:spacing w:before="154" w:line="231" w:lineRule="exact"/>
              <w:ind w:right="114"/>
              <w:jc w:val="right"/>
              <w:rPr>
                <w:sz w:val="21"/>
              </w:rPr>
            </w:pPr>
            <w:r>
              <w:rPr>
                <w:color w:val="0F0F0F"/>
                <w:spacing w:val="-2"/>
                <w:w w:val="105"/>
                <w:sz w:val="21"/>
              </w:rPr>
              <w:t>(1,044)</w:t>
            </w:r>
          </w:p>
        </w:tc>
      </w:tr>
      <w:tr>
        <w:trPr>
          <w:trHeight w:val="333" w:hRule="atLeast"/>
        </w:trPr>
        <w:tc>
          <w:tcPr>
            <w:tcW w:w="1213" w:type="dxa"/>
          </w:tcPr>
          <w:p>
            <w:pPr>
              <w:pStyle w:val="TableParagraph"/>
              <w:rPr>
                <w:rFonts w:ascii="Times New Roman"/>
                <w:sz w:val="20"/>
              </w:rPr>
            </w:pPr>
          </w:p>
        </w:tc>
        <w:tc>
          <w:tcPr>
            <w:tcW w:w="7149" w:type="dxa"/>
          </w:tcPr>
          <w:p>
            <w:pPr>
              <w:pStyle w:val="TableParagraph"/>
              <w:spacing w:before="3"/>
              <w:ind w:left="257"/>
              <w:rPr>
                <w:sz w:val="21"/>
              </w:rPr>
            </w:pPr>
            <w:r>
              <w:rPr>
                <w:color w:val="0F0F0F"/>
                <w:spacing w:val="-2"/>
                <w:sz w:val="21"/>
              </w:rPr>
              <w:t>assumptions</w:t>
            </w:r>
          </w:p>
        </w:tc>
        <w:tc>
          <w:tcPr>
            <w:tcW w:w="1288" w:type="dxa"/>
          </w:tcPr>
          <w:p>
            <w:pPr>
              <w:pStyle w:val="TableParagraph"/>
              <w:rPr>
                <w:rFonts w:ascii="Times New Roman"/>
                <w:sz w:val="20"/>
              </w:rPr>
            </w:pPr>
          </w:p>
        </w:tc>
      </w:tr>
      <w:tr>
        <w:trPr>
          <w:trHeight w:val="469" w:hRule="atLeast"/>
        </w:trPr>
        <w:tc>
          <w:tcPr>
            <w:tcW w:w="1213" w:type="dxa"/>
          </w:tcPr>
          <w:p>
            <w:pPr>
              <w:pStyle w:val="TableParagraph"/>
              <w:spacing w:before="87"/>
              <w:ind w:left="410"/>
              <w:rPr>
                <w:sz w:val="21"/>
              </w:rPr>
            </w:pPr>
            <w:r>
              <w:rPr/>
              <ve:AlternateContent>
                <ve:Choice Requires="wps">
                  <w:drawing>
                    <wp:anchor distT="0" distB="0" distL="0" distR="0" simplePos="0" relativeHeight="15830528" behindDoc="0" locked="0" layoutInCell="1" allowOverlap="1">
                      <wp:simplePos x="0" y="0"/>
                      <wp:positionH relativeFrom="column">
                        <wp:posOffset>-26112</wp:posOffset>
                      </wp:positionH>
                      <wp:positionV relativeFrom="paragraph">
                        <wp:posOffset>285600</wp:posOffset>
                      </wp:positionV>
                      <wp:extent cx="708660" cy="9525"/>
                      <wp:effectExtent l="0" t="0" r="0" b="0"/>
                      <wp:wrapNone/>
                      <wp:docPr id="488" name="Group 488"/>
                      <wp:cNvGraphicFramePr>
                        <a:graphicFrameLocks/>
                      </wp:cNvGraphicFramePr>
                      <a:graphic>
                        <a:graphicData uri="http://schemas.microsoft.com/office/word/2010/wordprocessingGroup">
                          <wpg:wgp>
                            <wpg:cNvPr id="488" name="Group 488"/>
                            <wpg:cNvGrpSpPr/>
                            <wpg:grpSpPr>
                              <a:xfrm>
                                <a:off x="0" y="0"/>
                                <a:ext cx="708660" cy="9525"/>
                                <a:chExt cx="708660" cy="9525"/>
                              </a:xfrm>
                            </wpg:grpSpPr>
                            <wps:wsp>
                              <wps:cNvPr id="489" name="Graphic 489"/>
                              <wps:cNvSpPr/>
                              <wps:spPr>
                                <a:xfrm>
                                  <a:off x="0" y="4577"/>
                                  <a:ext cx="708660" cy="1270"/>
                                </a:xfrm>
                                <a:custGeom>
                                  <a:avLst/>
                                  <a:gdLst/>
                                  <a:ahLst/>
                                  <a:cxnLst/>
                                  <a:rect l="l" t="t" r="r" b="b"/>
                                  <a:pathLst>
                                    <a:path w="708660" h="0">
                                      <a:moveTo>
                                        <a:pt x="0" y="0"/>
                                      </a:moveTo>
                                      <a:lnTo>
                                        <a:pt x="708276"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35" style="position:absolute;margin-left:-2.056085pt;margin-top:22.488264pt;width:55.8pt;height:.75pt;mso-position-horizontal-relative:column;mso-position-vertical-relative:paragraph;z-index:15830528" coordsize="1116,15" coordorigin="-41,450">
                      <v:line style="position:absolute" stroked="true" strokecolor="#000000" strokeweight=".720821pt" from="-41,457" to="1074,457">
                        <v:stroke dashstyle="solid"/>
                      </v:line>
                      <w10:wrap type="none"/>
                    </v:group>
                  </w:pict>
                </ve:Fallback>
              </ve:AlternateContent>
            </w:r>
            <w:r>
              <w:rPr>
                <w:color w:val="0F0F0F"/>
                <w:spacing w:val="-4"/>
                <w:w w:val="105"/>
                <w:sz w:val="21"/>
              </w:rPr>
              <w:t>7,444</w:t>
            </w:r>
          </w:p>
        </w:tc>
        <w:tc>
          <w:tcPr>
            <w:tcW w:w="7149" w:type="dxa"/>
          </w:tcPr>
          <w:p>
            <w:pPr>
              <w:pStyle w:val="TableParagraph"/>
              <w:spacing w:before="82"/>
              <w:ind w:left="255"/>
              <w:rPr>
                <w:sz w:val="21"/>
              </w:rPr>
            </w:pPr>
            <w:r>
              <w:rPr>
                <w:color w:val="0F0F0F"/>
                <w:w w:val="105"/>
                <w:sz w:val="21"/>
              </w:rPr>
              <w:t>Other</w:t>
            </w:r>
            <w:r>
              <w:rPr>
                <w:color w:val="0F0F0F"/>
                <w:spacing w:val="-8"/>
                <w:w w:val="105"/>
                <w:sz w:val="21"/>
              </w:rPr>
              <w:t> </w:t>
            </w:r>
            <w:r>
              <w:rPr>
                <w:color w:val="0F0F0F"/>
                <w:w w:val="105"/>
                <w:sz w:val="21"/>
              </w:rPr>
              <w:t>experience</w:t>
            </w:r>
            <w:r>
              <w:rPr>
                <w:color w:val="0F0F0F"/>
                <w:spacing w:val="-1"/>
                <w:w w:val="105"/>
                <w:sz w:val="21"/>
              </w:rPr>
              <w:t> </w:t>
            </w:r>
            <w:r>
              <w:rPr>
                <w:color w:val="0F0F0F"/>
                <w:w w:val="105"/>
                <w:sz w:val="21"/>
              </w:rPr>
              <w:t>(gains)</w:t>
            </w:r>
            <w:r>
              <w:rPr>
                <w:color w:val="0F0F0F"/>
                <w:spacing w:val="-1"/>
                <w:w w:val="105"/>
                <w:sz w:val="21"/>
              </w:rPr>
              <w:t> </w:t>
            </w:r>
            <w:r>
              <w:rPr>
                <w:color w:val="0F0F0F"/>
                <w:w w:val="105"/>
                <w:sz w:val="21"/>
              </w:rPr>
              <w:t>and</w:t>
            </w:r>
            <w:r>
              <w:rPr>
                <w:color w:val="0F0F0F"/>
                <w:spacing w:val="-14"/>
                <w:w w:val="105"/>
                <w:sz w:val="21"/>
              </w:rPr>
              <w:t> </w:t>
            </w:r>
            <w:r>
              <w:rPr>
                <w:color w:val="0F0F0F"/>
                <w:spacing w:val="-2"/>
                <w:w w:val="105"/>
                <w:sz w:val="21"/>
              </w:rPr>
              <w:t>losses</w:t>
            </w:r>
          </w:p>
        </w:tc>
        <w:tc>
          <w:tcPr>
            <w:tcW w:w="1288" w:type="dxa"/>
          </w:tcPr>
          <w:p>
            <w:pPr>
              <w:pStyle w:val="TableParagraph"/>
              <w:spacing w:before="87"/>
              <w:ind w:right="169"/>
              <w:jc w:val="right"/>
              <w:rPr>
                <w:sz w:val="21"/>
              </w:rPr>
            </w:pPr>
            <w:r>
              <w:rPr/>
              <ve:AlternateContent>
                <ve:Choice Requires="wps">
                  <w:drawing>
                    <wp:anchor distT="0" distB="0" distL="0" distR="0" simplePos="0" relativeHeight="15831040" behindDoc="0" locked="0" layoutInCell="1" allowOverlap="1">
                      <wp:simplePos x="0" y="0"/>
                      <wp:positionH relativeFrom="column">
                        <wp:posOffset>12211</wp:posOffset>
                      </wp:positionH>
                      <wp:positionV relativeFrom="paragraph">
                        <wp:posOffset>288652</wp:posOffset>
                      </wp:positionV>
                      <wp:extent cx="818515" cy="9525"/>
                      <wp:effectExtent l="0" t="0" r="0" b="0"/>
                      <wp:wrapNone/>
                      <wp:docPr id="490" name="Group 490"/>
                      <wp:cNvGraphicFramePr>
                        <a:graphicFrameLocks/>
                      </wp:cNvGraphicFramePr>
                      <a:graphic>
                        <a:graphicData uri="http://schemas.microsoft.com/office/word/2010/wordprocessingGroup">
                          <wpg:wgp>
                            <wpg:cNvPr id="490" name="Group 490"/>
                            <wpg:cNvGrpSpPr/>
                            <wpg:grpSpPr>
                              <a:xfrm>
                                <a:off x="0" y="0"/>
                                <a:ext cx="818515" cy="9525"/>
                                <a:chExt cx="818515" cy="9525"/>
                              </a:xfrm>
                            </wpg:grpSpPr>
                            <wps:wsp>
                              <wps:cNvPr id="491" name="Graphic 491"/>
                              <wps:cNvSpPr/>
                              <wps:spPr>
                                <a:xfrm>
                                  <a:off x="0" y="4577"/>
                                  <a:ext cx="818515" cy="1270"/>
                                </a:xfrm>
                                <a:custGeom>
                                  <a:avLst/>
                                  <a:gdLst/>
                                  <a:ahLst/>
                                  <a:cxnLst/>
                                  <a:rect l="l" t="t" r="r" b="b"/>
                                  <a:pathLst>
                                    <a:path w="818515" h="0">
                                      <a:moveTo>
                                        <a:pt x="0" y="0"/>
                                      </a:moveTo>
                                      <a:lnTo>
                                        <a:pt x="818181"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36" style="position:absolute;margin-left:.961549pt;margin-top:22.728539pt;width:64.45pt;height:.75pt;mso-position-horizontal-relative:column;mso-position-vertical-relative:paragraph;z-index:15831040" coordsize="1289,15" coordorigin="19,455">
                      <v:line style="position:absolute" stroked="true" strokecolor="#000000" strokeweight=".720821pt" from="19,462" to="1308,462">
                        <v:stroke dashstyle="solid"/>
                      </v:line>
                      <w10:wrap type="none"/>
                    </v:group>
                  </w:pict>
                </ve:Fallback>
              </ve:AlternateContent>
            </w:r>
            <w:r>
              <w:rPr>
                <w:color w:val="0F0F0F"/>
                <w:spacing w:val="-4"/>
                <w:w w:val="105"/>
                <w:sz w:val="21"/>
              </w:rPr>
              <w:t>8,712</w:t>
            </w:r>
          </w:p>
        </w:tc>
      </w:tr>
    </w:tbl>
    <w:p>
      <w:pPr>
        <w:pStyle w:val="BodyText"/>
        <w:spacing w:before="1"/>
        <w:rPr>
          <w:b/>
          <w:sz w:val="6"/>
        </w:rPr>
      </w:pPr>
    </w:p>
    <w:p>
      <w:pPr>
        <w:spacing w:after="0"/>
        <w:rPr>
          <w:sz w:val="6"/>
        </w:rPr>
        <w:sectPr>
          <w:headerReference w:type="default" r:id="rId192"/>
          <w:headerReference w:type="even" r:id="rId193"/>
          <w:pgSz w:w="11910" w:h="16830"/>
          <w:pgMar w:top="1220" w:right="300" w:bottom="1020" w:left="0" w:header="1036" w:footer="0"/>
        </w:sectPr>
      </w:pPr>
    </w:p>
    <w:p>
      <w:pPr>
        <w:spacing w:before="188"/>
        <w:ind w:left="0" w:right="0" w:firstLine="0"/>
        <w:jc w:val="right"/>
        <w:rPr>
          <w:b/>
          <w:sz w:val="21"/>
        </w:rPr>
      </w:pPr>
      <w:r>
        <w:rPr>
          <w:b/>
          <w:color w:val="0F0F0F"/>
          <w:spacing w:val="-2"/>
          <w:w w:val="105"/>
          <w:sz w:val="21"/>
        </w:rPr>
        <w:t>(5,136)</w:t>
      </w:r>
    </w:p>
    <w:p>
      <w:pPr>
        <w:spacing w:before="58" w:line="252" w:lineRule="auto"/>
        <w:ind w:left="530" w:right="0" w:hanging="5"/>
        <w:jc w:val="left"/>
        <w:rPr>
          <w:b/>
          <w:sz w:val="21"/>
        </w:rPr>
      </w:pPr>
      <w:r>
        <w:rPr/>
        <w:br w:type="column"/>
      </w:r>
      <w:r>
        <w:rPr>
          <w:b/>
          <w:color w:val="0F0F0F"/>
          <w:w w:val="105"/>
          <w:sz w:val="21"/>
        </w:rPr>
        <w:t>Total</w:t>
      </w:r>
      <w:r>
        <w:rPr>
          <w:b/>
          <w:color w:val="0F0F0F"/>
          <w:spacing w:val="-9"/>
          <w:w w:val="105"/>
          <w:sz w:val="21"/>
        </w:rPr>
        <w:t> </w:t>
      </w:r>
      <w:r>
        <w:rPr>
          <w:b/>
          <w:color w:val="0F0F0F"/>
          <w:w w:val="105"/>
          <w:sz w:val="21"/>
        </w:rPr>
        <w:t>post-employment</w:t>
      </w:r>
      <w:r>
        <w:rPr>
          <w:b/>
          <w:color w:val="0F0F0F"/>
          <w:spacing w:val="-14"/>
          <w:w w:val="105"/>
          <w:sz w:val="21"/>
        </w:rPr>
        <w:t> </w:t>
      </w:r>
      <w:r>
        <w:rPr>
          <w:b/>
          <w:color w:val="0F0F0F"/>
          <w:w w:val="105"/>
          <w:sz w:val="21"/>
        </w:rPr>
        <w:t>benefits charged/(credited)</w:t>
      </w:r>
      <w:r>
        <w:rPr>
          <w:b/>
          <w:color w:val="0F0F0F"/>
          <w:spacing w:val="-11"/>
          <w:w w:val="105"/>
          <w:sz w:val="21"/>
        </w:rPr>
        <w:t> </w:t>
      </w:r>
      <w:r>
        <w:rPr>
          <w:b/>
          <w:color w:val="0F0F0F"/>
          <w:w w:val="105"/>
          <w:sz w:val="21"/>
        </w:rPr>
        <w:t>to</w:t>
      </w:r>
      <w:r>
        <w:rPr>
          <w:b/>
          <w:color w:val="0F0F0F"/>
          <w:spacing w:val="-9"/>
          <w:w w:val="105"/>
          <w:sz w:val="21"/>
        </w:rPr>
        <w:t> </w:t>
      </w:r>
      <w:r>
        <w:rPr>
          <w:b/>
          <w:color w:val="0F0F0F"/>
          <w:w w:val="105"/>
          <w:sz w:val="21"/>
        </w:rPr>
        <w:t>the Comprehensive Income and Expenditure Statement</w:t>
      </w:r>
    </w:p>
    <w:p>
      <w:pPr>
        <w:spacing w:before="192"/>
        <w:ind w:left="1236" w:right="0" w:firstLine="0"/>
        <w:jc w:val="left"/>
        <w:rPr>
          <w:b/>
          <w:sz w:val="21"/>
        </w:rPr>
      </w:pPr>
      <w:r>
        <w:rPr/>
        <w:br w:type="column"/>
      </w:r>
      <w:r>
        <w:rPr>
          <w:b/>
          <w:color w:val="0F0F0F"/>
          <w:spacing w:val="-2"/>
          <w:w w:val="105"/>
          <w:sz w:val="21"/>
        </w:rPr>
        <w:t>(32,297)</w:t>
      </w:r>
    </w:p>
    <w:p>
      <w:pPr>
        <w:spacing w:after="0"/>
        <w:jc w:val="left"/>
        <w:rPr>
          <w:sz w:val="21"/>
        </w:rPr>
        <w:sectPr>
          <w:type w:val="continuous"/>
          <w:pgSz w:w="11910" w:h="16830"/>
          <w:pgMar w:top="1940" w:right="300" w:bottom="280" w:left="0" w:header="1036" w:footer="0"/>
          <w:cols w:equalWidth="0" w:num="3">
            <w:col w:w="2502" w:space="40"/>
            <w:col w:w="6504" w:space="39"/>
            <w:col w:w="2525"/>
          </w:cols>
        </w:sectPr>
      </w:pPr>
    </w:p>
    <w:p>
      <w:pPr>
        <w:pStyle w:val="BodyText"/>
        <w:spacing w:before="4"/>
        <w:rPr>
          <w:b/>
          <w:sz w:val="9"/>
        </w:rPr>
      </w:pPr>
    </w:p>
    <w:p>
      <w:pPr>
        <w:tabs>
          <w:tab w:val="left" w:leader="none" w:pos="9961"/>
        </w:tabs>
        <w:spacing w:line="20" w:lineRule="exact"/>
        <w:ind w:left="1557" w:right="0" w:firstLine="0"/>
        <w:rPr>
          <w:sz w:val="2"/>
        </w:rPr>
      </w:pPr>
      <w:r>
        <w:rPr>
          <w:sz w:val="2"/>
        </w:rPr>
        <ve:AlternateContent>
          <ve:Choice Requires="wps">
            <w:drawing>
              <wp:inline distT="0" distB="0" distL="0" distR="0">
                <wp:extent cx="720725" cy="9525"/>
                <wp:effectExtent l="9525" t="0" r="3175" b="0"/>
                <wp:docPr id="492" name="Group 492"/>
                <wp:cNvGraphicFramePr>
                  <a:graphicFrameLocks/>
                </wp:cNvGraphicFramePr>
                <a:graphic>
                  <a:graphicData uri="http://schemas.microsoft.com/office/word/2010/wordprocessingGroup">
                    <wpg:wgp>
                      <wpg:cNvPr id="492" name="Group 492"/>
                      <wpg:cNvGrpSpPr/>
                      <wpg:grpSpPr>
                        <a:xfrm>
                          <a:off x="0" y="0"/>
                          <a:ext cx="720725" cy="9525"/>
                          <a:chExt cx="720725" cy="9525"/>
                        </a:xfrm>
                      </wpg:grpSpPr>
                      <wps:wsp>
                        <wps:cNvPr id="493" name="Graphic 493"/>
                        <wps:cNvSpPr/>
                        <wps:spPr>
                          <a:xfrm>
                            <a:off x="0" y="4577"/>
                            <a:ext cx="720725" cy="1270"/>
                          </a:xfrm>
                          <a:custGeom>
                            <a:avLst/>
                            <a:gdLst/>
                            <a:ahLst/>
                            <a:cxnLst/>
                            <a:rect l="l" t="t" r="r" b="b"/>
                            <a:pathLst>
                              <a:path w="720725" h="0">
                                <a:moveTo>
                                  <a:pt x="0" y="0"/>
                                </a:moveTo>
                                <a:lnTo>
                                  <a:pt x="720488"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37" style="width:56.75pt;height:.75pt;mso-position-horizontal-relative:char;mso-position-vertical-relative:line" coordsize="1135,15" coordorigin="0,0">
                <v:line style="position:absolute" stroked="true" strokecolor="#000000" strokeweight=".720821pt" from="0,7" to="1135,7">
                  <v:stroke dashstyle="solid"/>
                </v:line>
              </v:group>
            </w:pict>
          </ve:Fallback>
        </ve:AlternateContent>
      </w:r>
      <w:r>
        <w:rPr>
          <w:sz w:val="2"/>
        </w:rPr>
      </w:r>
      <w:r>
        <w:rPr>
          <w:sz w:val="2"/>
        </w:rPr>
        <w:tab/>
      </w:r>
      <w:r>
        <w:rPr>
          <w:sz w:val="2"/>
        </w:rPr>
        <ve:AlternateContent>
          <ve:Choice Requires="wps">
            <w:drawing>
              <wp:inline distT="0" distB="0" distL="0" distR="0">
                <wp:extent cx="842644" cy="9525"/>
                <wp:effectExtent l="9525" t="0" r="0" b="0"/>
                <wp:docPr id="494" name="Group 494"/>
                <wp:cNvGraphicFramePr>
                  <a:graphicFrameLocks/>
                </wp:cNvGraphicFramePr>
                <a:graphic>
                  <a:graphicData uri="http://schemas.microsoft.com/office/word/2010/wordprocessingGroup">
                    <wpg:wgp>
                      <wpg:cNvPr id="494" name="Group 494"/>
                      <wpg:cNvGrpSpPr/>
                      <wpg:grpSpPr>
                        <a:xfrm>
                          <a:off x="0" y="0"/>
                          <a:ext cx="842644" cy="9525"/>
                          <a:chExt cx="842644" cy="9525"/>
                        </a:xfrm>
                      </wpg:grpSpPr>
                      <wps:wsp>
                        <wps:cNvPr id="495" name="Graphic 495"/>
                        <wps:cNvSpPr/>
                        <wps:spPr>
                          <a:xfrm>
                            <a:off x="0" y="4577"/>
                            <a:ext cx="842644" cy="1270"/>
                          </a:xfrm>
                          <a:custGeom>
                            <a:avLst/>
                            <a:gdLst/>
                            <a:ahLst/>
                            <a:cxnLst/>
                            <a:rect l="l" t="t" r="r" b="b"/>
                            <a:pathLst>
                              <a:path w="842644" h="0">
                                <a:moveTo>
                                  <a:pt x="0" y="0"/>
                                </a:moveTo>
                                <a:lnTo>
                                  <a:pt x="842604"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38" style="width:66.350pt;height:.75pt;mso-position-horizontal-relative:char;mso-position-vertical-relative:line" coordsize="1327,15" coordorigin="0,0">
                <v:line style="position:absolute" stroked="true" strokecolor="#000000" strokeweight=".720821pt" from="0,7" to="1327,7">
                  <v:stroke dashstyle="solid"/>
                </v:line>
              </v:group>
            </w:pict>
          </ve:Fallback>
        </ve:AlternateContent>
      </w:r>
      <w:r>
        <w:rPr>
          <w:sz w:val="2"/>
        </w:rPr>
      </w:r>
    </w:p>
    <w:p>
      <w:pPr>
        <w:pStyle w:val="BodyText"/>
        <w:spacing w:before="171"/>
        <w:rPr>
          <w:b/>
          <w:sz w:val="21"/>
        </w:rPr>
      </w:pPr>
    </w:p>
    <w:p>
      <w:pPr>
        <w:pStyle w:val="ListParagraph"/>
        <w:numPr>
          <w:ilvl w:val="2"/>
          <w:numId w:val="21"/>
        </w:numPr>
        <w:tabs>
          <w:tab w:val="left" w:leader="none" w:pos="2436"/>
        </w:tabs>
        <w:spacing w:before="0" w:after="0" w:line="240" w:lineRule="auto"/>
        <w:ind w:left="2436" w:right="0" w:hanging="960"/>
        <w:jc w:val="left"/>
        <w:rPr>
          <w:b/>
          <w:color w:val="0F0F0F"/>
          <w:sz w:val="21"/>
        </w:rPr>
      </w:pPr>
      <w:r>
        <w:rPr>
          <w:b/>
          <w:color w:val="0F0F0F"/>
          <w:w w:val="105"/>
          <w:sz w:val="21"/>
        </w:rPr>
        <w:t>Movement</w:t>
      </w:r>
      <w:r>
        <w:rPr>
          <w:b/>
          <w:color w:val="0F0F0F"/>
          <w:spacing w:val="-3"/>
          <w:w w:val="105"/>
          <w:sz w:val="21"/>
        </w:rPr>
        <w:t> </w:t>
      </w:r>
      <w:r>
        <w:rPr>
          <w:b/>
          <w:color w:val="0F0F0F"/>
          <w:w w:val="105"/>
          <w:sz w:val="21"/>
        </w:rPr>
        <w:t>in</w:t>
      </w:r>
      <w:r>
        <w:rPr>
          <w:b/>
          <w:color w:val="0F0F0F"/>
          <w:spacing w:val="-15"/>
          <w:w w:val="105"/>
          <w:sz w:val="21"/>
        </w:rPr>
        <w:t> </w:t>
      </w:r>
      <w:r>
        <w:rPr>
          <w:b/>
          <w:color w:val="0F0F0F"/>
          <w:w w:val="105"/>
          <w:sz w:val="21"/>
        </w:rPr>
        <w:t>Reserves</w:t>
      </w:r>
      <w:r>
        <w:rPr>
          <w:b/>
          <w:color w:val="0F0F0F"/>
          <w:spacing w:val="8"/>
          <w:w w:val="105"/>
          <w:sz w:val="21"/>
        </w:rPr>
        <w:t> </w:t>
      </w:r>
      <w:r>
        <w:rPr>
          <w:b/>
          <w:color w:val="0F0F0F"/>
          <w:spacing w:val="-2"/>
          <w:w w:val="105"/>
          <w:sz w:val="21"/>
        </w:rPr>
        <w:t>Statement</w:t>
      </w:r>
    </w:p>
    <w:p>
      <w:pPr>
        <w:pStyle w:val="BodyText"/>
        <w:spacing w:before="212" w:after="1"/>
        <w:rPr>
          <w:b/>
          <w:sz w:val="20"/>
        </w:rPr>
      </w:pPr>
    </w:p>
    <w:tbl>
      <w:tblPr>
        <w:tblW w:w="0" w:type="auto"/>
        <w:jc w:val="left"/>
        <w:tblInd w:w="168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49"/>
        <w:gridCol w:w="7107"/>
        <w:gridCol w:w="1313"/>
      </w:tblGrid>
      <w:tr>
        <w:trPr>
          <w:trHeight w:val="343" w:hRule="atLeast"/>
        </w:trPr>
        <w:tc>
          <w:tcPr>
            <w:tcW w:w="1149" w:type="dxa"/>
          </w:tcPr>
          <w:p>
            <w:pPr>
              <w:pStyle w:val="TableParagraph"/>
              <w:spacing w:line="235" w:lineRule="exact"/>
              <w:ind w:right="294"/>
              <w:jc w:val="right"/>
              <w:rPr>
                <w:b/>
                <w:sz w:val="21"/>
              </w:rPr>
            </w:pPr>
            <w:r>
              <w:rPr>
                <w:b/>
                <w:color w:val="0F0F0F"/>
                <w:sz w:val="21"/>
              </w:rPr>
              <w:t>2021-</w:t>
            </w:r>
            <w:r>
              <w:rPr>
                <w:b/>
                <w:color w:val="0F0F0F"/>
                <w:spacing w:val="-5"/>
                <w:sz w:val="21"/>
              </w:rPr>
              <w:t>22</w:t>
            </w:r>
          </w:p>
        </w:tc>
        <w:tc>
          <w:tcPr>
            <w:tcW w:w="7107" w:type="dxa"/>
          </w:tcPr>
          <w:p>
            <w:pPr>
              <w:pStyle w:val="TableParagraph"/>
              <w:rPr>
                <w:rFonts w:ascii="Times New Roman"/>
                <w:sz w:val="20"/>
              </w:rPr>
            </w:pPr>
          </w:p>
        </w:tc>
        <w:tc>
          <w:tcPr>
            <w:tcW w:w="1313" w:type="dxa"/>
          </w:tcPr>
          <w:p>
            <w:pPr>
              <w:pStyle w:val="TableParagraph"/>
              <w:spacing w:line="240" w:lineRule="exact"/>
              <w:ind w:left="303"/>
              <w:rPr>
                <w:b/>
                <w:sz w:val="21"/>
              </w:rPr>
            </w:pPr>
            <w:r>
              <w:rPr>
                <w:b/>
                <w:color w:val="0F0F0F"/>
                <w:sz w:val="21"/>
              </w:rPr>
              <w:t>2022-</w:t>
            </w:r>
            <w:r>
              <w:rPr>
                <w:b/>
                <w:color w:val="0F0F0F"/>
                <w:spacing w:val="-5"/>
                <w:sz w:val="21"/>
              </w:rPr>
              <w:t>23</w:t>
            </w:r>
          </w:p>
        </w:tc>
      </w:tr>
      <w:tr>
        <w:trPr>
          <w:trHeight w:val="466" w:hRule="atLeast"/>
        </w:trPr>
        <w:tc>
          <w:tcPr>
            <w:tcW w:w="1149" w:type="dxa"/>
          </w:tcPr>
          <w:p>
            <w:pPr>
              <w:pStyle w:val="TableParagraph"/>
              <w:spacing w:before="97"/>
              <w:ind w:left="203"/>
              <w:rPr>
                <w:b/>
                <w:sz w:val="21"/>
              </w:rPr>
            </w:pPr>
            <w:r>
              <w:rPr>
                <w:b/>
                <w:color w:val="0F0F0F"/>
                <w:spacing w:val="-4"/>
                <w:w w:val="105"/>
                <w:sz w:val="21"/>
              </w:rPr>
              <w:t>£000</w:t>
            </w:r>
          </w:p>
        </w:tc>
        <w:tc>
          <w:tcPr>
            <w:tcW w:w="7107" w:type="dxa"/>
          </w:tcPr>
          <w:p>
            <w:pPr>
              <w:pStyle w:val="TableParagraph"/>
              <w:rPr>
                <w:rFonts w:ascii="Times New Roman"/>
                <w:sz w:val="20"/>
              </w:rPr>
            </w:pPr>
          </w:p>
        </w:tc>
        <w:tc>
          <w:tcPr>
            <w:tcW w:w="1313" w:type="dxa"/>
          </w:tcPr>
          <w:p>
            <w:pPr>
              <w:pStyle w:val="TableParagraph"/>
              <w:spacing w:before="101"/>
              <w:ind w:left="461"/>
              <w:rPr>
                <w:b/>
                <w:sz w:val="21"/>
              </w:rPr>
            </w:pPr>
            <w:r>
              <w:rPr>
                <w:b/>
                <w:color w:val="0F0F0F"/>
                <w:spacing w:val="-4"/>
                <w:w w:val="105"/>
                <w:sz w:val="21"/>
              </w:rPr>
              <w:t>£000</w:t>
            </w:r>
          </w:p>
        </w:tc>
      </w:tr>
      <w:tr>
        <w:trPr>
          <w:trHeight w:val="970" w:hRule="atLeast"/>
        </w:trPr>
        <w:tc>
          <w:tcPr>
            <w:tcW w:w="1149" w:type="dxa"/>
          </w:tcPr>
          <w:p>
            <w:pPr>
              <w:pStyle w:val="TableParagraph"/>
              <w:spacing w:before="116"/>
              <w:ind w:right="254"/>
              <w:jc w:val="right"/>
              <w:rPr>
                <w:sz w:val="21"/>
              </w:rPr>
            </w:pPr>
            <w:r>
              <w:rPr>
                <w:color w:val="0F0F0F"/>
                <w:spacing w:val="-2"/>
                <w:w w:val="105"/>
                <w:sz w:val="21"/>
              </w:rPr>
              <w:t>(5,217)</w:t>
            </w:r>
          </w:p>
        </w:tc>
        <w:tc>
          <w:tcPr>
            <w:tcW w:w="7107" w:type="dxa"/>
          </w:tcPr>
          <w:p>
            <w:pPr>
              <w:pStyle w:val="TableParagraph"/>
              <w:spacing w:before="116" w:line="252" w:lineRule="auto"/>
              <w:ind w:left="250" w:right="136" w:hanging="1"/>
              <w:rPr>
                <w:sz w:val="21"/>
              </w:rPr>
            </w:pPr>
            <w:r>
              <w:rPr>
                <w:color w:val="0F0F0F"/>
                <w:w w:val="105"/>
                <w:sz w:val="21"/>
              </w:rPr>
              <w:t>Reversal of net </w:t>
            </w:r>
            <w:r>
              <w:rPr>
                <w:color w:val="242424"/>
                <w:w w:val="105"/>
                <w:sz w:val="21"/>
              </w:rPr>
              <w:t>charges </w:t>
            </w:r>
            <w:r>
              <w:rPr>
                <w:color w:val="0F0F0F"/>
                <w:w w:val="105"/>
                <w:sz w:val="21"/>
              </w:rPr>
              <w:t>made to the Surplus or Deficit on the Provision of</w:t>
            </w:r>
            <w:r>
              <w:rPr>
                <w:color w:val="0F0F0F"/>
                <w:spacing w:val="-10"/>
                <w:w w:val="105"/>
                <w:sz w:val="21"/>
              </w:rPr>
              <w:t> </w:t>
            </w:r>
            <w:r>
              <w:rPr>
                <w:color w:val="0F0F0F"/>
                <w:w w:val="105"/>
                <w:sz w:val="21"/>
              </w:rPr>
              <w:t>Services</w:t>
            </w:r>
            <w:r>
              <w:rPr>
                <w:color w:val="0F0F0F"/>
                <w:spacing w:val="-6"/>
                <w:w w:val="105"/>
                <w:sz w:val="21"/>
              </w:rPr>
              <w:t> </w:t>
            </w:r>
            <w:r>
              <w:rPr>
                <w:color w:val="0F0F0F"/>
                <w:w w:val="105"/>
                <w:sz w:val="21"/>
              </w:rPr>
              <w:t>for</w:t>
            </w:r>
            <w:r>
              <w:rPr>
                <w:color w:val="0F0F0F"/>
                <w:spacing w:val="-11"/>
                <w:w w:val="105"/>
                <w:sz w:val="21"/>
              </w:rPr>
              <w:t> </w:t>
            </w:r>
            <w:r>
              <w:rPr>
                <w:color w:val="0F0F0F"/>
                <w:w w:val="105"/>
                <w:sz w:val="21"/>
              </w:rPr>
              <w:t>post-employment</w:t>
            </w:r>
            <w:r>
              <w:rPr>
                <w:color w:val="0F0F0F"/>
                <w:spacing w:val="-9"/>
                <w:w w:val="105"/>
                <w:sz w:val="21"/>
              </w:rPr>
              <w:t> </w:t>
            </w:r>
            <w:r>
              <w:rPr>
                <w:color w:val="0F0F0F"/>
                <w:w w:val="105"/>
                <w:sz w:val="21"/>
              </w:rPr>
              <w:t>benefits</w:t>
            </w:r>
            <w:r>
              <w:rPr>
                <w:color w:val="0F0F0F"/>
                <w:spacing w:val="-7"/>
                <w:w w:val="105"/>
                <w:sz w:val="21"/>
              </w:rPr>
              <w:t> </w:t>
            </w:r>
            <w:r>
              <w:rPr>
                <w:color w:val="0F0F0F"/>
                <w:w w:val="105"/>
                <w:sz w:val="21"/>
              </w:rPr>
              <w:t>in</w:t>
            </w:r>
            <w:r>
              <w:rPr>
                <w:color w:val="0F0F0F"/>
                <w:spacing w:val="-6"/>
                <w:w w:val="105"/>
                <w:sz w:val="21"/>
              </w:rPr>
              <w:t> </w:t>
            </w:r>
            <w:r>
              <w:rPr>
                <w:color w:val="0F0F0F"/>
                <w:w w:val="105"/>
                <w:sz w:val="21"/>
              </w:rPr>
              <w:t>accordance with the Code</w:t>
            </w:r>
          </w:p>
        </w:tc>
        <w:tc>
          <w:tcPr>
            <w:tcW w:w="1313" w:type="dxa"/>
          </w:tcPr>
          <w:p>
            <w:pPr>
              <w:pStyle w:val="TableParagraph"/>
              <w:spacing w:before="121"/>
              <w:ind w:right="62"/>
              <w:jc w:val="right"/>
              <w:rPr>
                <w:sz w:val="21"/>
              </w:rPr>
            </w:pPr>
            <w:r>
              <w:rPr>
                <w:color w:val="0F0F0F"/>
                <w:spacing w:val="-2"/>
                <w:w w:val="105"/>
                <w:sz w:val="21"/>
              </w:rPr>
              <w:t>(5,454)</w:t>
            </w:r>
          </w:p>
        </w:tc>
      </w:tr>
      <w:tr>
        <w:trPr>
          <w:trHeight w:val="752" w:hRule="atLeast"/>
        </w:trPr>
        <w:tc>
          <w:tcPr>
            <w:tcW w:w="1149" w:type="dxa"/>
          </w:tcPr>
          <w:p>
            <w:pPr>
              <w:pStyle w:val="TableParagraph"/>
              <w:rPr>
                <w:rFonts w:ascii="Times New Roman"/>
                <w:sz w:val="20"/>
              </w:rPr>
            </w:pPr>
          </w:p>
        </w:tc>
        <w:tc>
          <w:tcPr>
            <w:tcW w:w="7107" w:type="dxa"/>
          </w:tcPr>
          <w:p>
            <w:pPr>
              <w:pStyle w:val="TableParagraph"/>
              <w:spacing w:before="97" w:line="247" w:lineRule="auto"/>
              <w:ind w:left="255" w:right="136" w:hanging="1"/>
              <w:rPr>
                <w:b/>
                <w:i/>
                <w:sz w:val="21"/>
              </w:rPr>
            </w:pPr>
            <w:r>
              <w:rPr>
                <w:b/>
                <w:i/>
                <w:color w:val="0F0F0F"/>
                <w:w w:val="105"/>
                <w:sz w:val="21"/>
              </w:rPr>
              <w:t>Actual</w:t>
            </w:r>
            <w:r>
              <w:rPr>
                <w:b/>
                <w:i/>
                <w:color w:val="0F0F0F"/>
                <w:spacing w:val="-1"/>
                <w:w w:val="105"/>
                <w:sz w:val="21"/>
              </w:rPr>
              <w:t> </w:t>
            </w:r>
            <w:r>
              <w:rPr>
                <w:b/>
                <w:i/>
                <w:color w:val="0F0F0F"/>
                <w:w w:val="105"/>
                <w:sz w:val="21"/>
              </w:rPr>
              <w:t>amount charged</w:t>
            </w:r>
            <w:r>
              <w:rPr>
                <w:b/>
                <w:i/>
                <w:color w:val="0F0F0F"/>
                <w:spacing w:val="-5"/>
                <w:w w:val="105"/>
                <w:sz w:val="21"/>
              </w:rPr>
              <w:t> </w:t>
            </w:r>
            <w:r>
              <w:rPr>
                <w:b/>
                <w:i/>
                <w:color w:val="0F0F0F"/>
                <w:w w:val="105"/>
                <w:sz w:val="21"/>
              </w:rPr>
              <w:t>against</w:t>
            </w:r>
            <w:r>
              <w:rPr>
                <w:b/>
                <w:i/>
                <w:color w:val="0F0F0F"/>
                <w:spacing w:val="-1"/>
                <w:w w:val="105"/>
                <w:sz w:val="21"/>
              </w:rPr>
              <w:t> </w:t>
            </w:r>
            <w:r>
              <w:rPr>
                <w:b/>
                <w:i/>
                <w:color w:val="0F0F0F"/>
                <w:w w:val="105"/>
                <w:sz w:val="21"/>
              </w:rPr>
              <w:t>the</w:t>
            </w:r>
            <w:r>
              <w:rPr>
                <w:b/>
                <w:i/>
                <w:color w:val="0F0F0F"/>
                <w:spacing w:val="-16"/>
                <w:w w:val="105"/>
                <w:sz w:val="21"/>
              </w:rPr>
              <w:t> </w:t>
            </w:r>
            <w:r>
              <w:rPr>
                <w:b/>
                <w:i/>
                <w:color w:val="0F0F0F"/>
                <w:w w:val="105"/>
                <w:sz w:val="21"/>
              </w:rPr>
              <w:t>General Fund</w:t>
            </w:r>
            <w:r>
              <w:rPr>
                <w:b/>
                <w:i/>
                <w:color w:val="0F0F0F"/>
                <w:spacing w:val="-8"/>
                <w:w w:val="105"/>
                <w:sz w:val="21"/>
              </w:rPr>
              <w:t> </w:t>
            </w:r>
            <w:r>
              <w:rPr>
                <w:b/>
                <w:i/>
                <w:color w:val="0F0F0F"/>
                <w:w w:val="105"/>
                <w:sz w:val="21"/>
              </w:rPr>
              <w:t>for</w:t>
            </w:r>
            <w:r>
              <w:rPr>
                <w:b/>
                <w:i/>
                <w:color w:val="0F0F0F"/>
                <w:spacing w:val="-7"/>
                <w:w w:val="105"/>
                <w:sz w:val="21"/>
              </w:rPr>
              <w:t> </w:t>
            </w:r>
            <w:r>
              <w:rPr>
                <w:b/>
                <w:i/>
                <w:color w:val="0F0F0F"/>
                <w:w w:val="105"/>
                <w:sz w:val="21"/>
              </w:rPr>
              <w:t>pensions</w:t>
            </w:r>
            <w:r>
              <w:rPr>
                <w:b/>
                <w:i/>
                <w:color w:val="0F0F0F"/>
                <w:w w:val="105"/>
                <w:sz w:val="21"/>
              </w:rPr>
              <w:t> for the year:</w:t>
            </w:r>
          </w:p>
        </w:tc>
        <w:tc>
          <w:tcPr>
            <w:tcW w:w="1313" w:type="dxa"/>
          </w:tcPr>
          <w:p>
            <w:pPr>
              <w:pStyle w:val="TableParagraph"/>
              <w:rPr>
                <w:rFonts w:ascii="Times New Roman"/>
                <w:sz w:val="20"/>
              </w:rPr>
            </w:pPr>
          </w:p>
        </w:tc>
      </w:tr>
      <w:tr>
        <w:trPr>
          <w:trHeight w:val="403" w:hRule="atLeast"/>
        </w:trPr>
        <w:tc>
          <w:tcPr>
            <w:tcW w:w="1149" w:type="dxa"/>
          </w:tcPr>
          <w:p>
            <w:pPr>
              <w:pStyle w:val="TableParagraph"/>
              <w:spacing w:before="157" w:line="226" w:lineRule="exact"/>
              <w:ind w:right="248"/>
              <w:jc w:val="right"/>
              <w:rPr>
                <w:sz w:val="21"/>
              </w:rPr>
            </w:pPr>
            <w:r>
              <w:rPr>
                <w:color w:val="0F0F0F"/>
                <w:spacing w:val="-4"/>
                <w:w w:val="105"/>
                <w:sz w:val="21"/>
              </w:rPr>
              <w:t>2,698</w:t>
            </w:r>
          </w:p>
        </w:tc>
        <w:tc>
          <w:tcPr>
            <w:tcW w:w="7107" w:type="dxa"/>
          </w:tcPr>
          <w:p>
            <w:pPr>
              <w:pStyle w:val="TableParagraph"/>
              <w:spacing w:before="157" w:line="226" w:lineRule="exact"/>
              <w:ind w:left="250"/>
              <w:rPr>
                <w:sz w:val="21"/>
              </w:rPr>
            </w:pPr>
            <w:r>
              <w:rPr>
                <w:color w:val="0F0F0F"/>
                <w:w w:val="105"/>
                <w:sz w:val="21"/>
              </w:rPr>
              <w:t>Employer's</w:t>
            </w:r>
            <w:r>
              <w:rPr>
                <w:color w:val="0F0F0F"/>
                <w:spacing w:val="7"/>
                <w:w w:val="105"/>
                <w:sz w:val="21"/>
              </w:rPr>
              <w:t> </w:t>
            </w:r>
            <w:r>
              <w:rPr>
                <w:color w:val="0F0F0F"/>
                <w:w w:val="105"/>
                <w:sz w:val="21"/>
              </w:rPr>
              <w:t>contributions</w:t>
            </w:r>
            <w:r>
              <w:rPr>
                <w:color w:val="0F0F0F"/>
                <w:spacing w:val="7"/>
                <w:w w:val="105"/>
                <w:sz w:val="21"/>
              </w:rPr>
              <w:t> </w:t>
            </w:r>
            <w:r>
              <w:rPr>
                <w:color w:val="0F0F0F"/>
                <w:w w:val="105"/>
                <w:sz w:val="21"/>
              </w:rPr>
              <w:t>payable</w:t>
            </w:r>
            <w:r>
              <w:rPr>
                <w:color w:val="0F0F0F"/>
                <w:spacing w:val="-2"/>
                <w:w w:val="105"/>
                <w:sz w:val="21"/>
              </w:rPr>
              <w:t> </w:t>
            </w:r>
            <w:r>
              <w:rPr>
                <w:color w:val="0F0F0F"/>
                <w:w w:val="105"/>
                <w:sz w:val="21"/>
              </w:rPr>
              <w:t>to</w:t>
            </w:r>
            <w:r>
              <w:rPr>
                <w:color w:val="0F0F0F"/>
                <w:spacing w:val="-14"/>
                <w:w w:val="105"/>
                <w:sz w:val="21"/>
              </w:rPr>
              <w:t> </w:t>
            </w:r>
            <w:r>
              <w:rPr>
                <w:color w:val="0F0F0F"/>
                <w:w w:val="105"/>
                <w:sz w:val="21"/>
              </w:rPr>
              <w:t>the</w:t>
            </w:r>
            <w:r>
              <w:rPr>
                <w:color w:val="0F0F0F"/>
                <w:spacing w:val="1"/>
                <w:w w:val="105"/>
                <w:sz w:val="21"/>
              </w:rPr>
              <w:t> </w:t>
            </w:r>
            <w:r>
              <w:rPr>
                <w:color w:val="0F0F0F"/>
                <w:spacing w:val="-2"/>
                <w:w w:val="105"/>
                <w:sz w:val="21"/>
              </w:rPr>
              <w:t>scheme</w:t>
            </w:r>
          </w:p>
        </w:tc>
        <w:tc>
          <w:tcPr>
            <w:tcW w:w="1313" w:type="dxa"/>
          </w:tcPr>
          <w:p>
            <w:pPr>
              <w:pStyle w:val="TableParagraph"/>
              <w:spacing w:before="162" w:line="222" w:lineRule="exact"/>
              <w:ind w:right="46"/>
              <w:jc w:val="right"/>
              <w:rPr>
                <w:sz w:val="21"/>
              </w:rPr>
            </w:pPr>
            <w:r>
              <w:rPr>
                <w:color w:val="0F0F0F"/>
                <w:spacing w:val="-2"/>
                <w:w w:val="105"/>
                <w:sz w:val="21"/>
              </w:rPr>
              <w:t>2</w:t>
            </w:r>
            <w:r>
              <w:rPr>
                <w:color w:val="4B4B4B"/>
                <w:spacing w:val="-2"/>
                <w:w w:val="105"/>
                <w:sz w:val="21"/>
              </w:rPr>
              <w:t>,</w:t>
            </w:r>
            <w:r>
              <w:rPr>
                <w:color w:val="0F0F0F"/>
                <w:spacing w:val="-2"/>
                <w:w w:val="105"/>
                <w:sz w:val="21"/>
              </w:rPr>
              <w:t>846</w:t>
            </w:r>
          </w:p>
        </w:tc>
      </w:tr>
    </w:tbl>
    <w:p>
      <w:pPr>
        <w:spacing w:after="0" w:line="222" w:lineRule="exact"/>
        <w:jc w:val="right"/>
        <w:rPr>
          <w:sz w:val="21"/>
        </w:rPr>
        <w:sectPr>
          <w:type w:val="continuous"/>
          <w:pgSz w:w="11910" w:h="16830"/>
          <w:pgMar w:top="1940" w:right="300" w:bottom="280" w:left="0" w:header="1036" w:footer="0"/>
        </w:sectPr>
      </w:pPr>
    </w:p>
    <w:p>
      <w:pPr>
        <w:pStyle w:val="BodyText"/>
        <w:spacing w:before="10"/>
        <w:rPr>
          <w:b/>
          <w:sz w:val="21"/>
        </w:rPr>
      </w:pPr>
      <w:r>
        <w:rPr/>
        <ve:AlternateContent>
          <ve:Choice Requires="wps">
            <w:drawing>
              <wp:anchor distT="0" distB="0" distL="0" distR="0" simplePos="0" relativeHeight="15831552" behindDoc="0" locked="0" layoutInCell="1" allowOverlap="1">
                <wp:simplePos x="0" y="0"/>
                <wp:positionH relativeFrom="page">
                  <wp:posOffset>30529</wp:posOffset>
                </wp:positionH>
                <wp:positionV relativeFrom="page">
                  <wp:posOffset>10075992</wp:posOffset>
                </wp:positionV>
                <wp:extent cx="1270" cy="513080"/>
                <wp:effectExtent l="0" t="0" r="0" b="0"/>
                <wp:wrapNone/>
                <wp:docPr id="498" name="Graphic 498"/>
                <wp:cNvGraphicFramePr>
                  <a:graphicFrameLocks/>
                </wp:cNvGraphicFramePr>
                <a:graphic>
                  <a:graphicData uri="http://schemas.microsoft.com/office/word/2010/wordprocessingShape">
                    <wps:wsp>
                      <wps:cNvPr id="498" name="Graphic 498"/>
                      <wps:cNvSpPr/>
                      <wps:spPr>
                        <a:xfrm>
                          <a:off x="0" y="0"/>
                          <a:ext cx="1270" cy="513080"/>
                        </a:xfrm>
                        <a:custGeom>
                          <a:avLst/>
                          <a:gdLst/>
                          <a:ahLst/>
                          <a:cxnLst/>
                          <a:rect l="l" t="t" r="r" b="b"/>
                          <a:pathLst>
                            <a:path w="0" h="513080">
                              <a:moveTo>
                                <a:pt x="0" y="512648"/>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31552" stroked="true" strokecolor="#000000" strokeweight="1.201936pt" from="2.403871pt,833.751257pt" to="2.403871pt,793.385254pt">
                <v:stroke dashstyle="solid"/>
                <w10:wrap type="none"/>
              </v:line>
            </w:pict>
          </ve:Fallback>
        </ve:AlternateContent>
      </w:r>
    </w:p>
    <w:p>
      <w:pPr>
        <w:pStyle w:val="ListParagraph"/>
        <w:numPr>
          <w:ilvl w:val="2"/>
          <w:numId w:val="21"/>
        </w:numPr>
        <w:tabs>
          <w:tab w:val="left" w:leader="none" w:pos="2335"/>
        </w:tabs>
        <w:spacing w:before="0" w:after="0" w:line="240" w:lineRule="auto"/>
        <w:ind w:left="2335" w:right="0" w:hanging="782"/>
        <w:jc w:val="left"/>
        <w:rPr>
          <w:b/>
          <w:color w:val="0A0A0A"/>
          <w:sz w:val="21"/>
        </w:rPr>
      </w:pPr>
      <w:r>
        <w:rPr>
          <w:b/>
          <w:color w:val="0A0A0A"/>
          <w:w w:val="105"/>
          <w:sz w:val="21"/>
        </w:rPr>
        <w:t>Pensions</w:t>
      </w:r>
      <w:r>
        <w:rPr>
          <w:b/>
          <w:color w:val="0A0A0A"/>
          <w:spacing w:val="-1"/>
          <w:w w:val="105"/>
          <w:sz w:val="21"/>
        </w:rPr>
        <w:t> </w:t>
      </w:r>
      <w:r>
        <w:rPr>
          <w:b/>
          <w:color w:val="0A0A0A"/>
          <w:w w:val="105"/>
          <w:sz w:val="21"/>
        </w:rPr>
        <w:t>Assets</w:t>
      </w:r>
      <w:r>
        <w:rPr>
          <w:b/>
          <w:color w:val="0A0A0A"/>
          <w:spacing w:val="-6"/>
          <w:w w:val="105"/>
          <w:sz w:val="21"/>
        </w:rPr>
        <w:t> </w:t>
      </w:r>
      <w:r>
        <w:rPr>
          <w:b/>
          <w:color w:val="0A0A0A"/>
          <w:w w:val="105"/>
          <w:sz w:val="21"/>
        </w:rPr>
        <w:t>and</w:t>
      </w:r>
      <w:r>
        <w:rPr>
          <w:b/>
          <w:color w:val="0A0A0A"/>
          <w:spacing w:val="-16"/>
          <w:w w:val="105"/>
          <w:sz w:val="21"/>
        </w:rPr>
        <w:t> </w:t>
      </w:r>
      <w:r>
        <w:rPr>
          <w:b/>
          <w:color w:val="0A0A0A"/>
          <w:w w:val="105"/>
          <w:sz w:val="21"/>
        </w:rPr>
        <w:t>Liabilities</w:t>
      </w:r>
      <w:r>
        <w:rPr>
          <w:b/>
          <w:color w:val="0A0A0A"/>
          <w:spacing w:val="-8"/>
          <w:w w:val="105"/>
          <w:sz w:val="21"/>
        </w:rPr>
        <w:t> </w:t>
      </w:r>
      <w:r>
        <w:rPr>
          <w:b/>
          <w:color w:val="0A0A0A"/>
          <w:w w:val="105"/>
          <w:sz w:val="21"/>
        </w:rPr>
        <w:t>recognised</w:t>
      </w:r>
      <w:r>
        <w:rPr>
          <w:b/>
          <w:color w:val="0A0A0A"/>
          <w:spacing w:val="-5"/>
          <w:w w:val="105"/>
          <w:sz w:val="21"/>
        </w:rPr>
        <w:t> </w:t>
      </w:r>
      <w:r>
        <w:rPr>
          <w:b/>
          <w:color w:val="0A0A0A"/>
          <w:w w:val="105"/>
          <w:sz w:val="21"/>
        </w:rPr>
        <w:t>in</w:t>
      </w:r>
      <w:r>
        <w:rPr>
          <w:b/>
          <w:color w:val="0A0A0A"/>
          <w:spacing w:val="-5"/>
          <w:w w:val="105"/>
          <w:sz w:val="21"/>
        </w:rPr>
        <w:t> </w:t>
      </w:r>
      <w:r>
        <w:rPr>
          <w:b/>
          <w:color w:val="0A0A0A"/>
          <w:w w:val="105"/>
          <w:sz w:val="21"/>
        </w:rPr>
        <w:t>the</w:t>
      </w:r>
      <w:r>
        <w:rPr>
          <w:b/>
          <w:color w:val="0A0A0A"/>
          <w:spacing w:val="-12"/>
          <w:w w:val="105"/>
          <w:sz w:val="21"/>
        </w:rPr>
        <w:t> </w:t>
      </w:r>
      <w:r>
        <w:rPr>
          <w:b/>
          <w:color w:val="0A0A0A"/>
          <w:w w:val="105"/>
          <w:sz w:val="21"/>
        </w:rPr>
        <w:t>Balance</w:t>
      </w:r>
      <w:r>
        <w:rPr>
          <w:b/>
          <w:color w:val="0A0A0A"/>
          <w:spacing w:val="-7"/>
          <w:w w:val="105"/>
          <w:sz w:val="21"/>
        </w:rPr>
        <w:t> </w:t>
      </w:r>
      <w:r>
        <w:rPr>
          <w:b/>
          <w:color w:val="0A0A0A"/>
          <w:spacing w:val="-2"/>
          <w:w w:val="105"/>
          <w:sz w:val="21"/>
        </w:rPr>
        <w:t>Sheet</w:t>
      </w:r>
    </w:p>
    <w:p>
      <w:pPr>
        <w:pStyle w:val="BodyText"/>
        <w:spacing w:before="2"/>
        <w:rPr>
          <w:b/>
          <w:sz w:val="21"/>
        </w:rPr>
      </w:pPr>
    </w:p>
    <w:p>
      <w:pPr>
        <w:spacing w:before="0" w:line="252" w:lineRule="auto"/>
        <w:ind w:left="1541" w:right="780" w:firstLine="2"/>
        <w:jc w:val="left"/>
        <w:rPr>
          <w:sz w:val="21"/>
        </w:rPr>
      </w:pPr>
      <w:r>
        <w:rPr>
          <w:color w:val="0A0A0A"/>
          <w:w w:val="105"/>
          <w:sz w:val="21"/>
        </w:rPr>
        <w:t>The</w:t>
      </w:r>
      <w:r>
        <w:rPr>
          <w:color w:val="0A0A0A"/>
          <w:spacing w:val="-7"/>
          <w:w w:val="105"/>
          <w:sz w:val="21"/>
        </w:rPr>
        <w:t> </w:t>
      </w:r>
      <w:r>
        <w:rPr>
          <w:color w:val="0A0A0A"/>
          <w:w w:val="105"/>
          <w:sz w:val="21"/>
        </w:rPr>
        <w:t>amount included</w:t>
      </w:r>
      <w:r>
        <w:rPr>
          <w:color w:val="0A0A0A"/>
          <w:spacing w:val="-7"/>
          <w:w w:val="105"/>
          <w:sz w:val="21"/>
        </w:rPr>
        <w:t> </w:t>
      </w:r>
      <w:r>
        <w:rPr>
          <w:color w:val="0A0A0A"/>
          <w:w w:val="105"/>
          <w:sz w:val="21"/>
        </w:rPr>
        <w:t>in</w:t>
      </w:r>
      <w:r>
        <w:rPr>
          <w:color w:val="0A0A0A"/>
          <w:spacing w:val="-11"/>
          <w:w w:val="105"/>
          <w:sz w:val="21"/>
        </w:rPr>
        <w:t> </w:t>
      </w:r>
      <w:r>
        <w:rPr>
          <w:color w:val="0A0A0A"/>
          <w:w w:val="105"/>
          <w:sz w:val="21"/>
        </w:rPr>
        <w:t>the</w:t>
      </w:r>
      <w:r>
        <w:rPr>
          <w:color w:val="0A0A0A"/>
          <w:spacing w:val="-8"/>
          <w:w w:val="105"/>
          <w:sz w:val="21"/>
        </w:rPr>
        <w:t> </w:t>
      </w:r>
      <w:r>
        <w:rPr>
          <w:color w:val="0A0A0A"/>
          <w:w w:val="105"/>
          <w:sz w:val="21"/>
        </w:rPr>
        <w:t>Balance Sheet arising</w:t>
      </w:r>
      <w:r>
        <w:rPr>
          <w:color w:val="0A0A0A"/>
          <w:spacing w:val="-11"/>
          <w:w w:val="105"/>
          <w:sz w:val="21"/>
        </w:rPr>
        <w:t> </w:t>
      </w:r>
      <w:r>
        <w:rPr>
          <w:color w:val="0A0A0A"/>
          <w:w w:val="105"/>
          <w:sz w:val="21"/>
        </w:rPr>
        <w:t>from</w:t>
      </w:r>
      <w:r>
        <w:rPr>
          <w:color w:val="0A0A0A"/>
          <w:spacing w:val="-8"/>
          <w:w w:val="105"/>
          <w:sz w:val="21"/>
        </w:rPr>
        <w:t> </w:t>
      </w:r>
      <w:r>
        <w:rPr>
          <w:color w:val="0A0A0A"/>
          <w:w w:val="105"/>
          <w:sz w:val="21"/>
        </w:rPr>
        <w:t>the</w:t>
      </w:r>
      <w:r>
        <w:rPr>
          <w:color w:val="0A0A0A"/>
          <w:spacing w:val="-14"/>
          <w:w w:val="105"/>
          <w:sz w:val="21"/>
        </w:rPr>
        <w:t> </w:t>
      </w:r>
      <w:r>
        <w:rPr>
          <w:color w:val="0A0A0A"/>
          <w:w w:val="105"/>
          <w:sz w:val="21"/>
        </w:rPr>
        <w:t>Council's obligation</w:t>
      </w:r>
      <w:r>
        <w:rPr>
          <w:color w:val="0A0A0A"/>
          <w:spacing w:val="-1"/>
          <w:w w:val="105"/>
          <w:sz w:val="21"/>
        </w:rPr>
        <w:t> </w:t>
      </w:r>
      <w:r>
        <w:rPr>
          <w:color w:val="0A0A0A"/>
          <w:w w:val="105"/>
          <w:sz w:val="21"/>
        </w:rPr>
        <w:t>in</w:t>
      </w:r>
      <w:r>
        <w:rPr>
          <w:color w:val="0A0A0A"/>
          <w:spacing w:val="-4"/>
          <w:w w:val="105"/>
          <w:sz w:val="21"/>
        </w:rPr>
        <w:t> </w:t>
      </w:r>
      <w:r>
        <w:rPr>
          <w:color w:val="0A0A0A"/>
          <w:w w:val="105"/>
          <w:sz w:val="21"/>
        </w:rPr>
        <w:t>respect</w:t>
      </w:r>
      <w:r>
        <w:rPr>
          <w:color w:val="0A0A0A"/>
          <w:spacing w:val="-2"/>
          <w:w w:val="105"/>
          <w:sz w:val="21"/>
        </w:rPr>
        <w:t> </w:t>
      </w:r>
      <w:r>
        <w:rPr>
          <w:color w:val="0A0A0A"/>
          <w:w w:val="105"/>
          <w:sz w:val="21"/>
        </w:rPr>
        <w:t>of</w:t>
      </w:r>
      <w:r>
        <w:rPr>
          <w:color w:val="0A0A0A"/>
          <w:spacing w:val="-10"/>
          <w:w w:val="105"/>
          <w:sz w:val="21"/>
        </w:rPr>
        <w:t> </w:t>
      </w:r>
      <w:r>
        <w:rPr>
          <w:color w:val="0A0A0A"/>
          <w:w w:val="105"/>
          <w:sz w:val="21"/>
        </w:rPr>
        <w:t>its defined benefit pension plan is as follows:</w:t>
      </w:r>
    </w:p>
    <w:p>
      <w:pPr>
        <w:pStyle w:val="BodyText"/>
        <w:spacing w:before="140"/>
        <w:rPr>
          <w:sz w:val="20"/>
        </w:rPr>
      </w:pPr>
    </w:p>
    <w:tbl>
      <w:tblPr>
        <w:tblW w:w="0" w:type="auto"/>
        <w:jc w:val="left"/>
        <w:tblInd w:w="162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08"/>
        <w:gridCol w:w="6712"/>
        <w:gridCol w:w="1443"/>
      </w:tblGrid>
      <w:tr>
        <w:trPr>
          <w:trHeight w:val="309" w:hRule="atLeast"/>
        </w:trPr>
        <w:tc>
          <w:tcPr>
            <w:tcW w:w="1308" w:type="dxa"/>
          </w:tcPr>
          <w:p>
            <w:pPr>
              <w:pStyle w:val="TableParagraph"/>
              <w:spacing w:line="235" w:lineRule="exact"/>
              <w:ind w:left="244"/>
              <w:rPr>
                <w:b/>
                <w:sz w:val="21"/>
              </w:rPr>
            </w:pPr>
            <w:r>
              <w:rPr>
                <w:b/>
                <w:color w:val="0A0A0A"/>
                <w:w w:val="105"/>
                <w:sz w:val="21"/>
              </w:rPr>
              <w:t>2021-</w:t>
            </w:r>
            <w:r>
              <w:rPr>
                <w:b/>
                <w:color w:val="0A0A0A"/>
                <w:spacing w:val="-5"/>
                <w:w w:val="105"/>
                <w:sz w:val="21"/>
              </w:rPr>
              <w:t>22</w:t>
            </w:r>
          </w:p>
        </w:tc>
        <w:tc>
          <w:tcPr>
            <w:tcW w:w="6712" w:type="dxa"/>
          </w:tcPr>
          <w:p>
            <w:pPr>
              <w:pStyle w:val="TableParagraph"/>
              <w:rPr>
                <w:rFonts w:ascii="Times New Roman"/>
                <w:sz w:val="20"/>
              </w:rPr>
            </w:pPr>
          </w:p>
        </w:tc>
        <w:tc>
          <w:tcPr>
            <w:tcW w:w="1443" w:type="dxa"/>
          </w:tcPr>
          <w:p>
            <w:pPr>
              <w:pStyle w:val="TableParagraph"/>
              <w:spacing w:line="240" w:lineRule="exact"/>
              <w:ind w:left="316"/>
              <w:rPr>
                <w:b/>
                <w:sz w:val="21"/>
              </w:rPr>
            </w:pPr>
            <w:r>
              <w:rPr>
                <w:b/>
                <w:color w:val="0A0A0A"/>
                <w:sz w:val="21"/>
              </w:rPr>
              <w:t>2022-</w:t>
            </w:r>
            <w:r>
              <w:rPr>
                <w:b/>
                <w:color w:val="0A0A0A"/>
                <w:spacing w:val="-5"/>
                <w:sz w:val="21"/>
              </w:rPr>
              <w:t>23</w:t>
            </w:r>
          </w:p>
        </w:tc>
      </w:tr>
      <w:tr>
        <w:trPr>
          <w:trHeight w:val="345" w:hRule="atLeast"/>
        </w:trPr>
        <w:tc>
          <w:tcPr>
            <w:tcW w:w="1308" w:type="dxa"/>
          </w:tcPr>
          <w:p>
            <w:pPr>
              <w:pStyle w:val="TableParagraph"/>
              <w:spacing w:before="63"/>
              <w:ind w:left="397"/>
              <w:rPr>
                <w:b/>
                <w:sz w:val="21"/>
              </w:rPr>
            </w:pPr>
            <w:r>
              <w:rPr>
                <w:b/>
                <w:color w:val="0A0A0A"/>
                <w:spacing w:val="-4"/>
                <w:w w:val="110"/>
                <w:sz w:val="21"/>
              </w:rPr>
              <w:t>£000</w:t>
            </w:r>
          </w:p>
        </w:tc>
        <w:tc>
          <w:tcPr>
            <w:tcW w:w="6712" w:type="dxa"/>
          </w:tcPr>
          <w:p>
            <w:pPr>
              <w:pStyle w:val="TableParagraph"/>
              <w:rPr>
                <w:rFonts w:ascii="Times New Roman"/>
                <w:sz w:val="20"/>
              </w:rPr>
            </w:pPr>
          </w:p>
        </w:tc>
        <w:tc>
          <w:tcPr>
            <w:tcW w:w="1443" w:type="dxa"/>
          </w:tcPr>
          <w:p>
            <w:pPr>
              <w:pStyle w:val="TableParagraph"/>
              <w:spacing w:before="68"/>
              <w:ind w:left="469"/>
              <w:rPr>
                <w:b/>
                <w:sz w:val="21"/>
              </w:rPr>
            </w:pPr>
            <w:r>
              <w:rPr>
                <w:b/>
                <w:color w:val="0A0A0A"/>
                <w:spacing w:val="-4"/>
                <w:w w:val="105"/>
                <w:sz w:val="21"/>
              </w:rPr>
              <w:t>£000</w:t>
            </w:r>
          </w:p>
        </w:tc>
      </w:tr>
      <w:tr>
        <w:trPr>
          <w:trHeight w:val="343" w:hRule="atLeast"/>
        </w:trPr>
        <w:tc>
          <w:tcPr>
            <w:tcW w:w="1308" w:type="dxa"/>
          </w:tcPr>
          <w:p>
            <w:pPr>
              <w:pStyle w:val="TableParagraph"/>
              <w:spacing w:before="29"/>
              <w:ind w:left="227"/>
              <w:rPr>
                <w:sz w:val="21"/>
              </w:rPr>
            </w:pPr>
            <w:r>
              <w:rPr>
                <w:color w:val="0A0A0A"/>
                <w:spacing w:val="-2"/>
                <w:w w:val="105"/>
                <w:sz w:val="21"/>
              </w:rPr>
              <w:t>(150,887)</w:t>
            </w:r>
          </w:p>
        </w:tc>
        <w:tc>
          <w:tcPr>
            <w:tcW w:w="6712" w:type="dxa"/>
          </w:tcPr>
          <w:p>
            <w:pPr>
              <w:pStyle w:val="TableParagraph"/>
              <w:spacing w:before="34"/>
              <w:ind w:left="372"/>
              <w:rPr>
                <w:sz w:val="21"/>
              </w:rPr>
            </w:pPr>
            <w:r>
              <w:rPr>
                <w:color w:val="0A0A0A"/>
                <w:w w:val="105"/>
                <w:sz w:val="21"/>
              </w:rPr>
              <w:t>Present</w:t>
            </w:r>
            <w:r>
              <w:rPr>
                <w:color w:val="0A0A0A"/>
                <w:spacing w:val="-3"/>
                <w:w w:val="105"/>
                <w:sz w:val="21"/>
              </w:rPr>
              <w:t> </w:t>
            </w:r>
            <w:r>
              <w:rPr>
                <w:color w:val="0A0A0A"/>
                <w:w w:val="105"/>
                <w:sz w:val="21"/>
              </w:rPr>
              <w:t>value</w:t>
            </w:r>
            <w:r>
              <w:rPr>
                <w:color w:val="0A0A0A"/>
                <w:spacing w:val="-3"/>
                <w:w w:val="105"/>
                <w:sz w:val="21"/>
              </w:rPr>
              <w:t> </w:t>
            </w:r>
            <w:r>
              <w:rPr>
                <w:color w:val="0A0A0A"/>
                <w:w w:val="105"/>
                <w:sz w:val="21"/>
              </w:rPr>
              <w:t>of</w:t>
            </w:r>
            <w:r>
              <w:rPr>
                <w:color w:val="0A0A0A"/>
                <w:spacing w:val="-13"/>
                <w:w w:val="105"/>
                <w:sz w:val="21"/>
              </w:rPr>
              <w:t> </w:t>
            </w:r>
            <w:r>
              <w:rPr>
                <w:color w:val="0A0A0A"/>
                <w:w w:val="105"/>
                <w:sz w:val="21"/>
              </w:rPr>
              <w:t>defined</w:t>
            </w:r>
            <w:r>
              <w:rPr>
                <w:color w:val="0A0A0A"/>
                <w:spacing w:val="-15"/>
                <w:w w:val="105"/>
                <w:sz w:val="21"/>
              </w:rPr>
              <w:t> </w:t>
            </w:r>
            <w:r>
              <w:rPr>
                <w:color w:val="0A0A0A"/>
                <w:w w:val="105"/>
                <w:sz w:val="21"/>
              </w:rPr>
              <w:t>benefit</w:t>
            </w:r>
            <w:r>
              <w:rPr>
                <w:color w:val="0A0A0A"/>
                <w:spacing w:val="2"/>
                <w:w w:val="105"/>
                <w:sz w:val="21"/>
              </w:rPr>
              <w:t> </w:t>
            </w:r>
            <w:r>
              <w:rPr>
                <w:color w:val="0A0A0A"/>
                <w:spacing w:val="-2"/>
                <w:w w:val="105"/>
                <w:sz w:val="21"/>
              </w:rPr>
              <w:t>obligations</w:t>
            </w:r>
          </w:p>
        </w:tc>
        <w:tc>
          <w:tcPr>
            <w:tcW w:w="1443" w:type="dxa"/>
          </w:tcPr>
          <w:p>
            <w:pPr>
              <w:pStyle w:val="TableParagraph"/>
              <w:spacing w:before="34"/>
              <w:ind w:right="137"/>
              <w:jc w:val="right"/>
              <w:rPr>
                <w:sz w:val="21"/>
              </w:rPr>
            </w:pPr>
            <w:r>
              <w:rPr>
                <w:color w:val="0A0A0A"/>
                <w:spacing w:val="-2"/>
                <w:w w:val="105"/>
                <w:sz w:val="21"/>
              </w:rPr>
              <w:t>(112,577)</w:t>
            </w:r>
          </w:p>
        </w:tc>
      </w:tr>
      <w:tr>
        <w:trPr>
          <w:trHeight w:val="360" w:hRule="atLeast"/>
        </w:trPr>
        <w:tc>
          <w:tcPr>
            <w:tcW w:w="1308" w:type="dxa"/>
            <w:tcBorders>
              <w:bottom w:val="single" w:color="000000" w:sz="6" w:space="0"/>
            </w:tcBorders>
          </w:tcPr>
          <w:p>
            <w:pPr>
              <w:pStyle w:val="TableParagraph"/>
              <w:spacing w:before="61"/>
              <w:ind w:right="186"/>
              <w:jc w:val="right"/>
              <w:rPr>
                <w:sz w:val="21"/>
              </w:rPr>
            </w:pPr>
            <w:r>
              <w:rPr>
                <w:color w:val="0A0A0A"/>
                <w:spacing w:val="-2"/>
                <w:w w:val="105"/>
                <w:sz w:val="21"/>
              </w:rPr>
              <w:t>110,561</w:t>
            </w:r>
          </w:p>
        </w:tc>
        <w:tc>
          <w:tcPr>
            <w:tcW w:w="6712" w:type="dxa"/>
          </w:tcPr>
          <w:p>
            <w:pPr>
              <w:pStyle w:val="TableParagraph"/>
              <w:spacing w:before="65"/>
              <w:ind w:left="367"/>
              <w:rPr>
                <w:sz w:val="21"/>
              </w:rPr>
            </w:pPr>
            <w:r>
              <w:rPr>
                <w:color w:val="0A0A0A"/>
                <w:w w:val="105"/>
                <w:sz w:val="21"/>
              </w:rPr>
              <w:t>Fair</w:t>
            </w:r>
            <w:r>
              <w:rPr>
                <w:color w:val="0A0A0A"/>
                <w:spacing w:val="-3"/>
                <w:w w:val="105"/>
                <w:sz w:val="21"/>
              </w:rPr>
              <w:t> </w:t>
            </w:r>
            <w:r>
              <w:rPr>
                <w:color w:val="0A0A0A"/>
                <w:w w:val="105"/>
                <w:sz w:val="21"/>
              </w:rPr>
              <w:t>value</w:t>
            </w:r>
            <w:r>
              <w:rPr>
                <w:color w:val="0A0A0A"/>
                <w:spacing w:val="2"/>
                <w:w w:val="105"/>
                <w:sz w:val="21"/>
              </w:rPr>
              <w:t> </w:t>
            </w:r>
            <w:r>
              <w:rPr>
                <w:color w:val="0A0A0A"/>
                <w:w w:val="105"/>
                <w:sz w:val="21"/>
              </w:rPr>
              <w:t>of</w:t>
            </w:r>
            <w:r>
              <w:rPr>
                <w:color w:val="0A0A0A"/>
                <w:spacing w:val="-1"/>
                <w:w w:val="105"/>
                <w:sz w:val="21"/>
              </w:rPr>
              <w:t> </w:t>
            </w:r>
            <w:r>
              <w:rPr>
                <w:color w:val="0A0A0A"/>
                <w:w w:val="105"/>
                <w:sz w:val="21"/>
              </w:rPr>
              <w:t>scheme </w:t>
            </w:r>
            <w:r>
              <w:rPr>
                <w:color w:val="0A0A0A"/>
                <w:spacing w:val="-2"/>
                <w:w w:val="105"/>
                <w:sz w:val="21"/>
              </w:rPr>
              <w:t>assets</w:t>
            </w:r>
          </w:p>
        </w:tc>
        <w:tc>
          <w:tcPr>
            <w:tcW w:w="1443" w:type="dxa"/>
            <w:tcBorders>
              <w:bottom w:val="single" w:color="000000" w:sz="6" w:space="0"/>
            </w:tcBorders>
          </w:tcPr>
          <w:p>
            <w:pPr>
              <w:pStyle w:val="TableParagraph"/>
              <w:spacing w:before="65"/>
              <w:ind w:right="197"/>
              <w:jc w:val="right"/>
              <w:rPr>
                <w:sz w:val="21"/>
              </w:rPr>
            </w:pPr>
            <w:r>
              <w:rPr>
                <w:color w:val="0A0A0A"/>
                <w:spacing w:val="-2"/>
                <w:w w:val="105"/>
                <w:sz w:val="21"/>
              </w:rPr>
              <w:t>101,940</w:t>
            </w:r>
          </w:p>
        </w:tc>
      </w:tr>
      <w:tr>
        <w:trPr>
          <w:trHeight w:val="384" w:hRule="atLeast"/>
        </w:trPr>
        <w:tc>
          <w:tcPr>
            <w:tcW w:w="1308" w:type="dxa"/>
            <w:tcBorders>
              <w:top w:val="single" w:color="000000" w:sz="6" w:space="0"/>
            </w:tcBorders>
          </w:tcPr>
          <w:p>
            <w:pPr>
              <w:pStyle w:val="TableParagraph"/>
              <w:spacing w:before="74"/>
              <w:ind w:right="127"/>
              <w:jc w:val="right"/>
              <w:rPr>
                <w:b/>
                <w:sz w:val="21"/>
              </w:rPr>
            </w:pPr>
            <w:r>
              <w:rPr/>
              <ve:AlternateContent>
                <ve:Choice Requires="wps">
                  <w:drawing>
                    <wp:anchor distT="0" distB="0" distL="0" distR="0" simplePos="0" relativeHeight="15832064" behindDoc="0" locked="0" layoutInCell="1" allowOverlap="1">
                      <wp:simplePos x="0" y="0"/>
                      <wp:positionH relativeFrom="column">
                        <wp:posOffset>-12211</wp:posOffset>
                      </wp:positionH>
                      <wp:positionV relativeFrom="paragraph">
                        <wp:posOffset>234625</wp:posOffset>
                      </wp:positionV>
                      <wp:extent cx="842644" cy="9525"/>
                      <wp:effectExtent l="0" t="0" r="0" b="0"/>
                      <wp:wrapNone/>
                      <wp:docPr id="499" name="Group 499"/>
                      <wp:cNvGraphicFramePr>
                        <a:graphicFrameLocks/>
                      </wp:cNvGraphicFramePr>
                      <a:graphic>
                        <a:graphicData uri="http://schemas.microsoft.com/office/word/2010/wordprocessingGroup">
                          <wpg:wgp>
                            <wpg:cNvPr id="499" name="Group 499"/>
                            <wpg:cNvGrpSpPr/>
                            <wpg:grpSpPr>
                              <a:xfrm>
                                <a:off x="0" y="0"/>
                                <a:ext cx="842644" cy="9525"/>
                                <a:chExt cx="842644" cy="9525"/>
                              </a:xfrm>
                            </wpg:grpSpPr>
                            <wps:wsp>
                              <wps:cNvPr id="500" name="Graphic 500"/>
                              <wps:cNvSpPr/>
                              <wps:spPr>
                                <a:xfrm>
                                  <a:off x="0" y="4577"/>
                                  <a:ext cx="842644" cy="1270"/>
                                </a:xfrm>
                                <a:custGeom>
                                  <a:avLst/>
                                  <a:gdLst/>
                                  <a:ahLst/>
                                  <a:cxnLst/>
                                  <a:rect l="l" t="t" r="r" b="b"/>
                                  <a:pathLst>
                                    <a:path w="842644" h="0">
                                      <a:moveTo>
                                        <a:pt x="0" y="0"/>
                                      </a:moveTo>
                                      <a:lnTo>
                                        <a:pt x="842604"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41" style="position:absolute;margin-left:-.961549pt;margin-top:18.474463pt;width:66.350pt;height:.75pt;mso-position-horizontal-relative:column;mso-position-vertical-relative:paragraph;z-index:15832064" coordsize="1327,15" coordorigin="-19,369">
                      <v:line style="position:absolute" stroked="true" strokecolor="#000000" strokeweight=".720821pt" from="-19,377" to="1308,377">
                        <v:stroke dashstyle="solid"/>
                      </v:line>
                      <w10:wrap type="none"/>
                    </v:group>
                  </w:pict>
                </ve:Fallback>
              </ve:AlternateContent>
            </w:r>
            <w:r>
              <w:rPr>
                <w:b/>
                <w:color w:val="0A0A0A"/>
                <w:spacing w:val="-2"/>
                <w:w w:val="105"/>
                <w:sz w:val="21"/>
              </w:rPr>
              <w:t>(40,326)</w:t>
            </w:r>
          </w:p>
        </w:tc>
        <w:tc>
          <w:tcPr>
            <w:tcW w:w="6712" w:type="dxa"/>
          </w:tcPr>
          <w:p>
            <w:pPr>
              <w:pStyle w:val="TableParagraph"/>
              <w:spacing w:before="74"/>
              <w:ind w:left="364"/>
              <w:rPr>
                <w:b/>
                <w:sz w:val="21"/>
              </w:rPr>
            </w:pPr>
            <w:r>
              <w:rPr>
                <w:b/>
                <w:color w:val="0A0A0A"/>
                <w:w w:val="105"/>
                <w:sz w:val="21"/>
              </w:rPr>
              <w:t>Net</w:t>
            </w:r>
            <w:r>
              <w:rPr>
                <w:b/>
                <w:color w:val="0A0A0A"/>
                <w:spacing w:val="-13"/>
                <w:w w:val="105"/>
                <w:sz w:val="21"/>
              </w:rPr>
              <w:t> </w:t>
            </w:r>
            <w:r>
              <w:rPr>
                <w:b/>
                <w:color w:val="0A0A0A"/>
                <w:w w:val="105"/>
                <w:sz w:val="21"/>
              </w:rPr>
              <w:t>liability</w:t>
            </w:r>
            <w:r>
              <w:rPr>
                <w:b/>
                <w:color w:val="0A0A0A"/>
                <w:spacing w:val="-7"/>
                <w:w w:val="105"/>
                <w:sz w:val="21"/>
              </w:rPr>
              <w:t> </w:t>
            </w:r>
            <w:r>
              <w:rPr>
                <w:b/>
                <w:color w:val="0A0A0A"/>
                <w:w w:val="105"/>
                <w:sz w:val="21"/>
              </w:rPr>
              <w:t>arising</w:t>
            </w:r>
            <w:r>
              <w:rPr>
                <w:b/>
                <w:color w:val="0A0A0A"/>
                <w:spacing w:val="-3"/>
                <w:w w:val="105"/>
                <w:sz w:val="21"/>
              </w:rPr>
              <w:t> </w:t>
            </w:r>
            <w:r>
              <w:rPr>
                <w:b/>
                <w:color w:val="0A0A0A"/>
                <w:w w:val="105"/>
                <w:sz w:val="21"/>
              </w:rPr>
              <w:t>from defined</w:t>
            </w:r>
            <w:r>
              <w:rPr>
                <w:b/>
                <w:color w:val="0A0A0A"/>
                <w:spacing w:val="-2"/>
                <w:w w:val="105"/>
                <w:sz w:val="21"/>
              </w:rPr>
              <w:t> </w:t>
            </w:r>
            <w:r>
              <w:rPr>
                <w:b/>
                <w:color w:val="0A0A0A"/>
                <w:w w:val="105"/>
                <w:sz w:val="21"/>
              </w:rPr>
              <w:t>benefit</w:t>
            </w:r>
            <w:r>
              <w:rPr>
                <w:b/>
                <w:color w:val="0A0A0A"/>
                <w:spacing w:val="-4"/>
                <w:w w:val="105"/>
                <w:sz w:val="21"/>
              </w:rPr>
              <w:t> </w:t>
            </w:r>
            <w:r>
              <w:rPr>
                <w:b/>
                <w:color w:val="0A0A0A"/>
                <w:spacing w:val="-2"/>
                <w:w w:val="105"/>
                <w:sz w:val="21"/>
              </w:rPr>
              <w:t>obligation</w:t>
            </w:r>
          </w:p>
        </w:tc>
        <w:tc>
          <w:tcPr>
            <w:tcW w:w="1443" w:type="dxa"/>
            <w:tcBorders>
              <w:top w:val="single" w:color="000000" w:sz="6" w:space="0"/>
            </w:tcBorders>
          </w:tcPr>
          <w:p>
            <w:pPr>
              <w:pStyle w:val="TableParagraph"/>
              <w:spacing w:before="74"/>
              <w:ind w:right="138"/>
              <w:jc w:val="right"/>
              <w:rPr>
                <w:b/>
                <w:sz w:val="21"/>
              </w:rPr>
            </w:pPr>
            <w:r>
              <w:rPr/>
              <ve:AlternateContent>
                <ve:Choice Requires="wps">
                  <w:drawing>
                    <wp:anchor distT="0" distB="0" distL="0" distR="0" simplePos="0" relativeHeight="15832576" behindDoc="0" locked="0" layoutInCell="1" allowOverlap="1">
                      <wp:simplePos x="0" y="0"/>
                      <wp:positionH relativeFrom="column">
                        <wp:posOffset>-12211</wp:posOffset>
                      </wp:positionH>
                      <wp:positionV relativeFrom="paragraph">
                        <wp:posOffset>234625</wp:posOffset>
                      </wp:positionV>
                      <wp:extent cx="928369" cy="9525"/>
                      <wp:effectExtent l="0" t="0" r="0" b="0"/>
                      <wp:wrapNone/>
                      <wp:docPr id="501" name="Group 501"/>
                      <wp:cNvGraphicFramePr>
                        <a:graphicFrameLocks/>
                      </wp:cNvGraphicFramePr>
                      <a:graphic>
                        <a:graphicData uri="http://schemas.microsoft.com/office/word/2010/wordprocessingGroup">
                          <wpg:wgp>
                            <wpg:cNvPr id="501" name="Group 501"/>
                            <wpg:cNvGrpSpPr/>
                            <wpg:grpSpPr>
                              <a:xfrm>
                                <a:off x="0" y="0"/>
                                <a:ext cx="928369" cy="9525"/>
                                <a:chExt cx="928369" cy="9525"/>
                              </a:xfrm>
                            </wpg:grpSpPr>
                            <wps:wsp>
                              <wps:cNvPr id="502" name="Graphic 502"/>
                              <wps:cNvSpPr/>
                              <wps:spPr>
                                <a:xfrm>
                                  <a:off x="0" y="4577"/>
                                  <a:ext cx="928369" cy="1270"/>
                                </a:xfrm>
                                <a:custGeom>
                                  <a:avLst/>
                                  <a:gdLst/>
                                  <a:ahLst/>
                                  <a:cxnLst/>
                                  <a:rect l="l" t="t" r="r" b="b"/>
                                  <a:pathLst>
                                    <a:path w="928369" h="0">
                                      <a:moveTo>
                                        <a:pt x="0" y="0"/>
                                      </a:moveTo>
                                      <a:lnTo>
                                        <a:pt x="928086"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42" style="position:absolute;margin-left:-.961549pt;margin-top:18.474442pt;width:73.1pt;height:.75pt;mso-position-horizontal-relative:column;mso-position-vertical-relative:paragraph;z-index:15832576" coordsize="1462,15" coordorigin="-19,369">
                      <v:line style="position:absolute" stroked="true" strokecolor="#000000" strokeweight=".720821pt" from="-19,377" to="1442,377">
                        <v:stroke dashstyle="solid"/>
                      </v:line>
                      <w10:wrap type="none"/>
                    </v:group>
                  </w:pict>
                </ve:Fallback>
              </ve:AlternateContent>
            </w:r>
            <w:r>
              <w:rPr>
                <w:b/>
                <w:color w:val="0A0A0A"/>
                <w:spacing w:val="-2"/>
                <w:w w:val="105"/>
                <w:sz w:val="21"/>
              </w:rPr>
              <w:t>(10,637)</w:t>
            </w:r>
          </w:p>
        </w:tc>
      </w:tr>
    </w:tbl>
    <w:p>
      <w:pPr>
        <w:pStyle w:val="BodyText"/>
        <w:rPr>
          <w:sz w:val="21"/>
        </w:rPr>
      </w:pPr>
    </w:p>
    <w:p>
      <w:pPr>
        <w:pStyle w:val="BodyText"/>
        <w:rPr>
          <w:sz w:val="21"/>
        </w:rPr>
      </w:pPr>
    </w:p>
    <w:p>
      <w:pPr>
        <w:pStyle w:val="BodyText"/>
        <w:spacing w:before="55"/>
        <w:rPr>
          <w:sz w:val="21"/>
        </w:rPr>
      </w:pPr>
    </w:p>
    <w:p>
      <w:pPr>
        <w:spacing w:before="0" w:line="247" w:lineRule="auto"/>
        <w:ind w:left="1496" w:right="780" w:firstLine="3"/>
        <w:jc w:val="left"/>
        <w:rPr>
          <w:sz w:val="21"/>
        </w:rPr>
      </w:pPr>
      <w:r>
        <w:rPr>
          <w:color w:val="0A0A0A"/>
          <w:w w:val="105"/>
          <w:sz w:val="21"/>
        </w:rPr>
        <w:t>The</w:t>
      </w:r>
      <w:r>
        <w:rPr>
          <w:color w:val="0A0A0A"/>
          <w:spacing w:val="-12"/>
          <w:w w:val="105"/>
          <w:sz w:val="21"/>
        </w:rPr>
        <w:t> </w:t>
      </w:r>
      <w:r>
        <w:rPr>
          <w:color w:val="0A0A0A"/>
          <w:w w:val="105"/>
          <w:sz w:val="21"/>
        </w:rPr>
        <w:t>following</w:t>
      </w:r>
      <w:r>
        <w:rPr>
          <w:color w:val="0A0A0A"/>
          <w:spacing w:val="-10"/>
          <w:w w:val="105"/>
          <w:sz w:val="21"/>
        </w:rPr>
        <w:t> </w:t>
      </w:r>
      <w:r>
        <w:rPr>
          <w:color w:val="0A0A0A"/>
          <w:w w:val="105"/>
          <w:sz w:val="21"/>
        </w:rPr>
        <w:t>table</w:t>
      </w:r>
      <w:r>
        <w:rPr>
          <w:color w:val="0A0A0A"/>
          <w:spacing w:val="-14"/>
          <w:w w:val="105"/>
          <w:sz w:val="21"/>
        </w:rPr>
        <w:t> </w:t>
      </w:r>
      <w:r>
        <w:rPr>
          <w:color w:val="0A0A0A"/>
          <w:w w:val="105"/>
          <w:sz w:val="21"/>
        </w:rPr>
        <w:t>reconciles</w:t>
      </w:r>
      <w:r>
        <w:rPr>
          <w:color w:val="0A0A0A"/>
          <w:spacing w:val="-1"/>
          <w:w w:val="105"/>
          <w:sz w:val="21"/>
        </w:rPr>
        <w:t> </w:t>
      </w:r>
      <w:r>
        <w:rPr>
          <w:color w:val="0A0A0A"/>
          <w:w w:val="105"/>
          <w:sz w:val="21"/>
        </w:rPr>
        <w:t>the</w:t>
      </w:r>
      <w:r>
        <w:rPr>
          <w:color w:val="0A0A0A"/>
          <w:spacing w:val="-16"/>
          <w:w w:val="105"/>
          <w:sz w:val="21"/>
        </w:rPr>
        <w:t> </w:t>
      </w:r>
      <w:r>
        <w:rPr>
          <w:color w:val="0A0A0A"/>
          <w:w w:val="105"/>
          <w:sz w:val="21"/>
        </w:rPr>
        <w:t>present</w:t>
      </w:r>
      <w:r>
        <w:rPr>
          <w:color w:val="0A0A0A"/>
          <w:spacing w:val="-4"/>
          <w:w w:val="105"/>
          <w:sz w:val="21"/>
        </w:rPr>
        <w:t> </w:t>
      </w:r>
      <w:r>
        <w:rPr>
          <w:color w:val="0A0A0A"/>
          <w:w w:val="105"/>
          <w:sz w:val="21"/>
        </w:rPr>
        <w:t>value</w:t>
      </w:r>
      <w:r>
        <w:rPr>
          <w:color w:val="0A0A0A"/>
          <w:spacing w:val="-9"/>
          <w:w w:val="105"/>
          <w:sz w:val="21"/>
        </w:rPr>
        <w:t> </w:t>
      </w:r>
      <w:r>
        <w:rPr>
          <w:color w:val="0A0A0A"/>
          <w:w w:val="105"/>
          <w:sz w:val="21"/>
        </w:rPr>
        <w:t>of</w:t>
      </w:r>
      <w:r>
        <w:rPr>
          <w:color w:val="0A0A0A"/>
          <w:spacing w:val="-12"/>
          <w:w w:val="105"/>
          <w:sz w:val="21"/>
        </w:rPr>
        <w:t> </w:t>
      </w:r>
      <w:r>
        <w:rPr>
          <w:color w:val="0A0A0A"/>
          <w:w w:val="105"/>
          <w:sz w:val="21"/>
        </w:rPr>
        <w:t>the</w:t>
      </w:r>
      <w:r>
        <w:rPr>
          <w:color w:val="0A0A0A"/>
          <w:spacing w:val="-15"/>
          <w:w w:val="105"/>
          <w:sz w:val="21"/>
        </w:rPr>
        <w:t> </w:t>
      </w:r>
      <w:r>
        <w:rPr>
          <w:color w:val="0A0A0A"/>
          <w:w w:val="105"/>
          <w:sz w:val="21"/>
        </w:rPr>
        <w:t>scheme's defined</w:t>
      </w:r>
      <w:r>
        <w:rPr>
          <w:color w:val="0A0A0A"/>
          <w:spacing w:val="-15"/>
          <w:w w:val="105"/>
          <w:sz w:val="21"/>
        </w:rPr>
        <w:t> </w:t>
      </w:r>
      <w:r>
        <w:rPr>
          <w:color w:val="0A0A0A"/>
          <w:w w:val="105"/>
          <w:sz w:val="21"/>
        </w:rPr>
        <w:t>benefit</w:t>
      </w:r>
      <w:r>
        <w:rPr>
          <w:color w:val="0A0A0A"/>
          <w:spacing w:val="-1"/>
          <w:w w:val="105"/>
          <w:sz w:val="21"/>
        </w:rPr>
        <w:t> </w:t>
      </w:r>
      <w:r>
        <w:rPr>
          <w:color w:val="0A0A0A"/>
          <w:w w:val="105"/>
          <w:sz w:val="21"/>
        </w:rPr>
        <w:t>obligations</w:t>
      </w:r>
      <w:r>
        <w:rPr>
          <w:color w:val="0A0A0A"/>
          <w:spacing w:val="-1"/>
          <w:w w:val="105"/>
          <w:sz w:val="21"/>
        </w:rPr>
        <w:t> </w:t>
      </w:r>
      <w:r>
        <w:rPr>
          <w:color w:val="0A0A0A"/>
          <w:w w:val="105"/>
          <w:sz w:val="21"/>
        </w:rPr>
        <w:t>and the fair value of the scheme assets:</w:t>
      </w:r>
    </w:p>
    <w:p>
      <w:pPr>
        <w:pStyle w:val="BodyText"/>
        <w:spacing w:before="67"/>
        <w:rPr>
          <w:sz w:val="20"/>
        </w:rPr>
      </w:pPr>
    </w:p>
    <w:tbl>
      <w:tblPr>
        <w:tblW w:w="0" w:type="auto"/>
        <w:jc w:val="left"/>
        <w:tblInd w:w="174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09"/>
        <w:gridCol w:w="5950"/>
        <w:gridCol w:w="2120"/>
      </w:tblGrid>
      <w:tr>
        <w:trPr>
          <w:trHeight w:val="427" w:hRule="atLeast"/>
        </w:trPr>
        <w:tc>
          <w:tcPr>
            <w:tcW w:w="1109" w:type="dxa"/>
          </w:tcPr>
          <w:p>
            <w:pPr>
              <w:pStyle w:val="TableParagraph"/>
              <w:spacing w:line="235" w:lineRule="exact"/>
              <w:ind w:left="74"/>
              <w:rPr>
                <w:b/>
                <w:sz w:val="21"/>
              </w:rPr>
            </w:pPr>
            <w:r>
              <w:rPr>
                <w:b/>
                <w:color w:val="0A0A0A"/>
                <w:w w:val="105"/>
                <w:sz w:val="21"/>
              </w:rPr>
              <w:t>2021-</w:t>
            </w:r>
            <w:r>
              <w:rPr>
                <w:b/>
                <w:color w:val="0A0A0A"/>
                <w:spacing w:val="-5"/>
                <w:w w:val="105"/>
                <w:sz w:val="21"/>
              </w:rPr>
              <w:t>22</w:t>
            </w:r>
          </w:p>
        </w:tc>
        <w:tc>
          <w:tcPr>
            <w:tcW w:w="5950" w:type="dxa"/>
          </w:tcPr>
          <w:p>
            <w:pPr>
              <w:pStyle w:val="TableParagraph"/>
              <w:rPr>
                <w:rFonts w:ascii="Times New Roman"/>
                <w:sz w:val="20"/>
              </w:rPr>
            </w:pPr>
          </w:p>
        </w:tc>
        <w:tc>
          <w:tcPr>
            <w:tcW w:w="2120" w:type="dxa"/>
          </w:tcPr>
          <w:p>
            <w:pPr>
              <w:pStyle w:val="TableParagraph"/>
              <w:spacing w:line="240" w:lineRule="exact"/>
              <w:ind w:left="1078"/>
              <w:rPr>
                <w:b/>
                <w:sz w:val="21"/>
              </w:rPr>
            </w:pPr>
            <w:r>
              <w:rPr>
                <w:b/>
                <w:color w:val="0A0A0A"/>
                <w:sz w:val="21"/>
              </w:rPr>
              <w:t>2022-</w:t>
            </w:r>
            <w:r>
              <w:rPr>
                <w:b/>
                <w:color w:val="0A0A0A"/>
                <w:spacing w:val="-5"/>
                <w:sz w:val="21"/>
              </w:rPr>
              <w:t>23</w:t>
            </w:r>
          </w:p>
        </w:tc>
      </w:tr>
      <w:tr>
        <w:trPr>
          <w:trHeight w:val="720" w:hRule="atLeast"/>
        </w:trPr>
        <w:tc>
          <w:tcPr>
            <w:tcW w:w="1109" w:type="dxa"/>
          </w:tcPr>
          <w:p>
            <w:pPr>
              <w:pStyle w:val="TableParagraph"/>
              <w:spacing w:before="181"/>
              <w:ind w:left="223"/>
              <w:rPr>
                <w:b/>
                <w:sz w:val="21"/>
              </w:rPr>
            </w:pPr>
            <w:r>
              <w:rPr>
                <w:b/>
                <w:color w:val="0A0A0A"/>
                <w:spacing w:val="-4"/>
                <w:w w:val="110"/>
                <w:sz w:val="21"/>
              </w:rPr>
              <w:t>£000</w:t>
            </w:r>
          </w:p>
        </w:tc>
        <w:tc>
          <w:tcPr>
            <w:tcW w:w="5950" w:type="dxa"/>
          </w:tcPr>
          <w:p>
            <w:pPr>
              <w:pStyle w:val="TableParagraph"/>
              <w:spacing w:before="213"/>
              <w:rPr>
                <w:sz w:val="21"/>
              </w:rPr>
            </w:pPr>
          </w:p>
          <w:p>
            <w:pPr>
              <w:pStyle w:val="TableParagraph"/>
              <w:ind w:left="128"/>
              <w:rPr>
                <w:b/>
                <w:sz w:val="21"/>
              </w:rPr>
            </w:pPr>
            <w:r>
              <w:rPr>
                <w:b/>
                <w:color w:val="0A0A0A"/>
                <w:w w:val="105"/>
                <w:sz w:val="21"/>
              </w:rPr>
              <w:t>Present</w:t>
            </w:r>
            <w:r>
              <w:rPr>
                <w:b/>
                <w:color w:val="0A0A0A"/>
                <w:spacing w:val="1"/>
                <w:w w:val="105"/>
                <w:sz w:val="21"/>
              </w:rPr>
              <w:t> </w:t>
            </w:r>
            <w:r>
              <w:rPr>
                <w:b/>
                <w:color w:val="0A0A0A"/>
                <w:w w:val="105"/>
                <w:sz w:val="21"/>
              </w:rPr>
              <w:t>Value</w:t>
            </w:r>
            <w:r>
              <w:rPr>
                <w:b/>
                <w:color w:val="0A0A0A"/>
                <w:spacing w:val="-3"/>
                <w:w w:val="105"/>
                <w:sz w:val="21"/>
              </w:rPr>
              <w:t> </w:t>
            </w:r>
            <w:r>
              <w:rPr>
                <w:b/>
                <w:color w:val="0A0A0A"/>
                <w:w w:val="105"/>
                <w:sz w:val="21"/>
              </w:rPr>
              <w:t>of</w:t>
            </w:r>
            <w:r>
              <w:rPr>
                <w:b/>
                <w:color w:val="0A0A0A"/>
                <w:spacing w:val="-11"/>
                <w:w w:val="105"/>
                <w:sz w:val="21"/>
              </w:rPr>
              <w:t> </w:t>
            </w:r>
            <w:r>
              <w:rPr>
                <w:b/>
                <w:color w:val="0A0A0A"/>
                <w:w w:val="105"/>
                <w:sz w:val="21"/>
              </w:rPr>
              <w:t>Defined</w:t>
            </w:r>
            <w:r>
              <w:rPr>
                <w:b/>
                <w:color w:val="0A0A0A"/>
                <w:spacing w:val="-1"/>
                <w:w w:val="105"/>
                <w:sz w:val="21"/>
              </w:rPr>
              <w:t> </w:t>
            </w:r>
            <w:r>
              <w:rPr>
                <w:b/>
                <w:color w:val="0A0A0A"/>
                <w:w w:val="105"/>
                <w:sz w:val="21"/>
              </w:rPr>
              <w:t>Benefit</w:t>
            </w:r>
            <w:r>
              <w:rPr>
                <w:b/>
                <w:color w:val="0A0A0A"/>
                <w:spacing w:val="-2"/>
                <w:w w:val="105"/>
                <w:sz w:val="21"/>
              </w:rPr>
              <w:t> Obligations:</w:t>
            </w:r>
          </w:p>
        </w:tc>
        <w:tc>
          <w:tcPr>
            <w:tcW w:w="2120" w:type="dxa"/>
          </w:tcPr>
          <w:p>
            <w:pPr>
              <w:pStyle w:val="TableParagraph"/>
              <w:spacing w:before="186"/>
              <w:ind w:left="1226"/>
              <w:rPr>
                <w:b/>
                <w:sz w:val="21"/>
              </w:rPr>
            </w:pPr>
            <w:r>
              <w:rPr>
                <w:b/>
                <w:color w:val="0A0A0A"/>
                <w:spacing w:val="-4"/>
                <w:w w:val="105"/>
                <w:sz w:val="21"/>
              </w:rPr>
              <w:t>£000</w:t>
            </w:r>
          </w:p>
        </w:tc>
      </w:tr>
      <w:tr>
        <w:trPr>
          <w:trHeight w:val="290" w:hRule="atLeast"/>
        </w:trPr>
        <w:tc>
          <w:tcPr>
            <w:tcW w:w="1109" w:type="dxa"/>
          </w:tcPr>
          <w:p>
            <w:pPr>
              <w:pStyle w:val="TableParagraph"/>
              <w:spacing w:before="17"/>
              <w:ind w:left="50"/>
              <w:rPr>
                <w:b/>
                <w:sz w:val="21"/>
              </w:rPr>
            </w:pPr>
            <w:r>
              <w:rPr>
                <w:b/>
                <w:color w:val="0A0A0A"/>
                <w:spacing w:val="-2"/>
                <w:w w:val="105"/>
                <w:sz w:val="21"/>
              </w:rPr>
              <w:t>(147,583)</w:t>
            </w:r>
          </w:p>
        </w:tc>
        <w:tc>
          <w:tcPr>
            <w:tcW w:w="5950" w:type="dxa"/>
          </w:tcPr>
          <w:p>
            <w:pPr>
              <w:pStyle w:val="TableParagraph"/>
              <w:spacing w:before="22"/>
              <w:ind w:left="125"/>
              <w:rPr>
                <w:b/>
                <w:sz w:val="21"/>
              </w:rPr>
            </w:pPr>
            <w:r>
              <w:rPr>
                <w:b/>
                <w:color w:val="0A0A0A"/>
                <w:w w:val="105"/>
                <w:sz w:val="21"/>
              </w:rPr>
              <w:t>As at</w:t>
            </w:r>
            <w:r>
              <w:rPr>
                <w:b/>
                <w:color w:val="0A0A0A"/>
                <w:spacing w:val="-10"/>
                <w:w w:val="105"/>
                <w:sz w:val="21"/>
              </w:rPr>
              <w:t> </w:t>
            </w:r>
            <w:r>
              <w:rPr>
                <w:b/>
                <w:color w:val="0A0A0A"/>
                <w:w w:val="105"/>
                <w:sz w:val="21"/>
              </w:rPr>
              <w:t>1</w:t>
            </w:r>
            <w:r>
              <w:rPr>
                <w:b/>
                <w:color w:val="0A0A0A"/>
                <w:spacing w:val="1"/>
                <w:w w:val="105"/>
                <w:sz w:val="21"/>
              </w:rPr>
              <w:t> </w:t>
            </w:r>
            <w:r>
              <w:rPr>
                <w:b/>
                <w:color w:val="0A0A0A"/>
                <w:spacing w:val="-2"/>
                <w:w w:val="105"/>
                <w:sz w:val="21"/>
              </w:rPr>
              <w:t>April</w:t>
            </w:r>
          </w:p>
        </w:tc>
        <w:tc>
          <w:tcPr>
            <w:tcW w:w="2120" w:type="dxa"/>
          </w:tcPr>
          <w:p>
            <w:pPr>
              <w:pStyle w:val="TableParagraph"/>
              <w:spacing w:before="22"/>
              <w:ind w:right="47"/>
              <w:jc w:val="right"/>
              <w:rPr>
                <w:b/>
                <w:sz w:val="21"/>
              </w:rPr>
            </w:pPr>
            <w:r>
              <w:rPr>
                <w:b/>
                <w:color w:val="0A0A0A"/>
                <w:spacing w:val="-2"/>
                <w:w w:val="105"/>
                <w:sz w:val="21"/>
              </w:rPr>
              <w:t>(150,887)</w:t>
            </w:r>
          </w:p>
        </w:tc>
      </w:tr>
      <w:tr>
        <w:trPr>
          <w:trHeight w:val="290" w:hRule="atLeast"/>
        </w:trPr>
        <w:tc>
          <w:tcPr>
            <w:tcW w:w="1109" w:type="dxa"/>
          </w:tcPr>
          <w:p>
            <w:pPr>
              <w:pStyle w:val="TableParagraph"/>
              <w:spacing w:before="20"/>
              <w:ind w:right="109"/>
              <w:jc w:val="right"/>
              <w:rPr>
                <w:sz w:val="21"/>
              </w:rPr>
            </w:pPr>
            <w:r>
              <w:rPr>
                <w:color w:val="0A0A0A"/>
                <w:spacing w:val="-2"/>
                <w:w w:val="105"/>
                <w:sz w:val="21"/>
              </w:rPr>
              <w:t>(4,341)</w:t>
            </w:r>
          </w:p>
        </w:tc>
        <w:tc>
          <w:tcPr>
            <w:tcW w:w="5950" w:type="dxa"/>
          </w:tcPr>
          <w:p>
            <w:pPr>
              <w:pStyle w:val="TableParagraph"/>
              <w:spacing w:before="25"/>
              <w:ind w:left="119"/>
              <w:rPr>
                <w:sz w:val="21"/>
              </w:rPr>
            </w:pPr>
            <w:r>
              <w:rPr>
                <w:color w:val="0A0A0A"/>
                <w:w w:val="105"/>
                <w:sz w:val="21"/>
              </w:rPr>
              <w:t>Current</w:t>
            </w:r>
            <w:r>
              <w:rPr>
                <w:color w:val="0A0A0A"/>
                <w:spacing w:val="-8"/>
                <w:w w:val="105"/>
                <w:sz w:val="21"/>
              </w:rPr>
              <w:t> </w:t>
            </w:r>
            <w:r>
              <w:rPr>
                <w:color w:val="0A0A0A"/>
                <w:w w:val="105"/>
                <w:sz w:val="21"/>
              </w:rPr>
              <w:t>service</w:t>
            </w:r>
            <w:r>
              <w:rPr>
                <w:color w:val="0A0A0A"/>
                <w:spacing w:val="-8"/>
                <w:w w:val="105"/>
                <w:sz w:val="21"/>
              </w:rPr>
              <w:t> </w:t>
            </w:r>
            <w:r>
              <w:rPr>
                <w:color w:val="0A0A0A"/>
                <w:spacing w:val="-4"/>
                <w:w w:val="105"/>
                <w:sz w:val="21"/>
              </w:rPr>
              <w:t>cost</w:t>
            </w:r>
          </w:p>
        </w:tc>
        <w:tc>
          <w:tcPr>
            <w:tcW w:w="2120" w:type="dxa"/>
          </w:tcPr>
          <w:p>
            <w:pPr>
              <w:pStyle w:val="TableParagraph"/>
              <w:spacing w:before="25"/>
              <w:ind w:right="57"/>
              <w:jc w:val="right"/>
              <w:rPr>
                <w:sz w:val="21"/>
              </w:rPr>
            </w:pPr>
            <w:r>
              <w:rPr>
                <w:color w:val="0A0A0A"/>
                <w:spacing w:val="-2"/>
                <w:w w:val="105"/>
                <w:sz w:val="21"/>
              </w:rPr>
              <w:t>(4,346)</w:t>
            </w:r>
          </w:p>
        </w:tc>
      </w:tr>
      <w:tr>
        <w:trPr>
          <w:trHeight w:val="288" w:hRule="atLeast"/>
        </w:trPr>
        <w:tc>
          <w:tcPr>
            <w:tcW w:w="1109" w:type="dxa"/>
          </w:tcPr>
          <w:p>
            <w:pPr>
              <w:pStyle w:val="TableParagraph"/>
              <w:spacing w:before="17"/>
              <w:ind w:right="103"/>
              <w:jc w:val="right"/>
              <w:rPr>
                <w:sz w:val="21"/>
              </w:rPr>
            </w:pPr>
            <w:r>
              <w:rPr>
                <w:color w:val="0A0A0A"/>
                <w:spacing w:val="-5"/>
                <w:w w:val="105"/>
                <w:sz w:val="21"/>
              </w:rPr>
              <w:t>(1)</w:t>
            </w:r>
          </w:p>
        </w:tc>
        <w:tc>
          <w:tcPr>
            <w:tcW w:w="5950" w:type="dxa"/>
          </w:tcPr>
          <w:p>
            <w:pPr>
              <w:pStyle w:val="TableParagraph"/>
              <w:spacing w:before="22"/>
              <w:ind w:left="113"/>
              <w:rPr>
                <w:sz w:val="21"/>
              </w:rPr>
            </w:pPr>
            <w:r>
              <w:rPr>
                <w:color w:val="0A0A0A"/>
                <w:w w:val="105"/>
                <w:sz w:val="21"/>
              </w:rPr>
              <w:t>Past</w:t>
            </w:r>
            <w:r>
              <w:rPr>
                <w:color w:val="0A0A0A"/>
                <w:spacing w:val="-7"/>
                <w:w w:val="105"/>
                <w:sz w:val="21"/>
              </w:rPr>
              <w:t> </w:t>
            </w:r>
            <w:r>
              <w:rPr>
                <w:color w:val="0A0A0A"/>
                <w:w w:val="105"/>
                <w:sz w:val="21"/>
              </w:rPr>
              <w:t>service</w:t>
            </w:r>
            <w:r>
              <w:rPr>
                <w:color w:val="0A0A0A"/>
                <w:spacing w:val="-4"/>
                <w:w w:val="105"/>
                <w:sz w:val="21"/>
              </w:rPr>
              <w:t> cost</w:t>
            </w:r>
          </w:p>
        </w:tc>
        <w:tc>
          <w:tcPr>
            <w:tcW w:w="2120" w:type="dxa"/>
          </w:tcPr>
          <w:p>
            <w:pPr>
              <w:pStyle w:val="TableParagraph"/>
              <w:rPr>
                <w:rFonts w:ascii="Times New Roman"/>
                <w:sz w:val="20"/>
              </w:rPr>
            </w:pPr>
          </w:p>
        </w:tc>
      </w:tr>
      <w:tr>
        <w:trPr>
          <w:trHeight w:val="288" w:hRule="atLeast"/>
        </w:trPr>
        <w:tc>
          <w:tcPr>
            <w:tcW w:w="1109" w:type="dxa"/>
          </w:tcPr>
          <w:p>
            <w:pPr>
              <w:pStyle w:val="TableParagraph"/>
              <w:spacing w:before="17"/>
              <w:ind w:right="114"/>
              <w:jc w:val="right"/>
              <w:rPr>
                <w:sz w:val="21"/>
              </w:rPr>
            </w:pPr>
            <w:r>
              <w:rPr>
                <w:color w:val="0A0A0A"/>
                <w:spacing w:val="-2"/>
                <w:w w:val="105"/>
                <w:sz w:val="21"/>
              </w:rPr>
              <w:t>(2,957)</w:t>
            </w:r>
          </w:p>
        </w:tc>
        <w:tc>
          <w:tcPr>
            <w:tcW w:w="5950" w:type="dxa"/>
          </w:tcPr>
          <w:p>
            <w:pPr>
              <w:pStyle w:val="TableParagraph"/>
              <w:spacing w:before="17"/>
              <w:ind w:left="110"/>
              <w:rPr>
                <w:sz w:val="21"/>
              </w:rPr>
            </w:pPr>
            <w:r>
              <w:rPr>
                <w:color w:val="0A0A0A"/>
                <w:w w:val="105"/>
                <w:sz w:val="21"/>
              </w:rPr>
              <w:t>Interest</w:t>
            </w:r>
            <w:r>
              <w:rPr>
                <w:color w:val="0A0A0A"/>
                <w:spacing w:val="-9"/>
                <w:w w:val="105"/>
                <w:sz w:val="21"/>
              </w:rPr>
              <w:t> </w:t>
            </w:r>
            <w:r>
              <w:rPr>
                <w:color w:val="0A0A0A"/>
                <w:spacing w:val="-4"/>
                <w:w w:val="105"/>
                <w:sz w:val="21"/>
              </w:rPr>
              <w:t>cost</w:t>
            </w:r>
          </w:p>
        </w:tc>
        <w:tc>
          <w:tcPr>
            <w:tcW w:w="2120" w:type="dxa"/>
          </w:tcPr>
          <w:p>
            <w:pPr>
              <w:pStyle w:val="TableParagraph"/>
              <w:spacing w:before="22"/>
              <w:ind w:right="60"/>
              <w:jc w:val="right"/>
              <w:rPr>
                <w:sz w:val="21"/>
              </w:rPr>
            </w:pPr>
            <w:r>
              <w:rPr>
                <w:color w:val="0A0A0A"/>
                <w:spacing w:val="-2"/>
                <w:w w:val="105"/>
                <w:sz w:val="21"/>
              </w:rPr>
              <w:t>(4,080)</w:t>
            </w:r>
          </w:p>
        </w:tc>
      </w:tr>
      <w:tr>
        <w:trPr>
          <w:trHeight w:val="434" w:hRule="atLeast"/>
        </w:trPr>
        <w:tc>
          <w:tcPr>
            <w:tcW w:w="1109" w:type="dxa"/>
          </w:tcPr>
          <w:p>
            <w:pPr>
              <w:pStyle w:val="TableParagraph"/>
              <w:spacing w:before="17"/>
              <w:ind w:right="115"/>
              <w:jc w:val="right"/>
              <w:rPr>
                <w:sz w:val="21"/>
              </w:rPr>
            </w:pPr>
            <w:r>
              <w:rPr>
                <w:color w:val="0A0A0A"/>
                <w:spacing w:val="-2"/>
                <w:w w:val="105"/>
                <w:sz w:val="21"/>
              </w:rPr>
              <w:t>(616)</w:t>
            </w:r>
          </w:p>
        </w:tc>
        <w:tc>
          <w:tcPr>
            <w:tcW w:w="5950" w:type="dxa"/>
          </w:tcPr>
          <w:p>
            <w:pPr>
              <w:pStyle w:val="TableParagraph"/>
              <w:spacing w:before="22"/>
              <w:ind w:left="109"/>
              <w:rPr>
                <w:sz w:val="21"/>
              </w:rPr>
            </w:pPr>
            <w:r>
              <w:rPr>
                <w:color w:val="0A0A0A"/>
                <w:w w:val="105"/>
                <w:sz w:val="21"/>
              </w:rPr>
              <w:t>Contributions</w:t>
            </w:r>
            <w:r>
              <w:rPr>
                <w:color w:val="0A0A0A"/>
                <w:spacing w:val="10"/>
                <w:w w:val="105"/>
                <w:sz w:val="21"/>
              </w:rPr>
              <w:t> </w:t>
            </w:r>
            <w:r>
              <w:rPr>
                <w:color w:val="0A0A0A"/>
                <w:w w:val="105"/>
                <w:sz w:val="21"/>
              </w:rPr>
              <w:t>by</w:t>
            </w:r>
            <w:r>
              <w:rPr>
                <w:color w:val="0A0A0A"/>
                <w:spacing w:val="-5"/>
                <w:w w:val="105"/>
                <w:sz w:val="21"/>
              </w:rPr>
              <w:t> </w:t>
            </w:r>
            <w:r>
              <w:rPr>
                <w:color w:val="0A0A0A"/>
                <w:w w:val="105"/>
                <w:sz w:val="21"/>
              </w:rPr>
              <w:t>scheme</w:t>
            </w:r>
            <w:r>
              <w:rPr>
                <w:color w:val="0A0A0A"/>
                <w:spacing w:val="-6"/>
                <w:w w:val="105"/>
                <w:sz w:val="21"/>
              </w:rPr>
              <w:t> </w:t>
            </w:r>
            <w:r>
              <w:rPr>
                <w:color w:val="0A0A0A"/>
                <w:spacing w:val="-2"/>
                <w:w w:val="105"/>
                <w:sz w:val="21"/>
              </w:rPr>
              <w:t>members</w:t>
            </w:r>
          </w:p>
        </w:tc>
        <w:tc>
          <w:tcPr>
            <w:tcW w:w="2120" w:type="dxa"/>
          </w:tcPr>
          <w:p>
            <w:pPr>
              <w:pStyle w:val="TableParagraph"/>
              <w:spacing w:before="22"/>
              <w:ind w:right="60"/>
              <w:jc w:val="right"/>
              <w:rPr>
                <w:sz w:val="21"/>
              </w:rPr>
            </w:pPr>
            <w:r>
              <w:rPr>
                <w:color w:val="0A0A0A"/>
                <w:spacing w:val="-2"/>
                <w:w w:val="105"/>
                <w:sz w:val="21"/>
              </w:rPr>
              <w:t>(664)</w:t>
            </w:r>
          </w:p>
        </w:tc>
      </w:tr>
      <w:tr>
        <w:trPr>
          <w:trHeight w:val="405" w:hRule="atLeast"/>
        </w:trPr>
        <w:tc>
          <w:tcPr>
            <w:tcW w:w="1109" w:type="dxa"/>
          </w:tcPr>
          <w:p>
            <w:pPr>
              <w:pStyle w:val="TableParagraph"/>
              <w:rPr>
                <w:rFonts w:ascii="Times New Roman"/>
                <w:sz w:val="20"/>
              </w:rPr>
            </w:pPr>
          </w:p>
        </w:tc>
        <w:tc>
          <w:tcPr>
            <w:tcW w:w="5950" w:type="dxa"/>
          </w:tcPr>
          <w:p>
            <w:pPr>
              <w:pStyle w:val="TableParagraph"/>
              <w:spacing w:before="164" w:line="222" w:lineRule="exact"/>
              <w:ind w:left="105"/>
              <w:rPr>
                <w:i/>
                <w:sz w:val="21"/>
              </w:rPr>
            </w:pPr>
            <w:r>
              <w:rPr>
                <w:i/>
                <w:color w:val="0A0A0A"/>
                <w:w w:val="105"/>
                <w:sz w:val="21"/>
              </w:rPr>
              <w:t>Re-measurement</w:t>
            </w:r>
            <w:r>
              <w:rPr>
                <w:i/>
                <w:color w:val="0A0A0A"/>
                <w:spacing w:val="-6"/>
                <w:w w:val="105"/>
                <w:sz w:val="21"/>
              </w:rPr>
              <w:t> </w:t>
            </w:r>
            <w:r>
              <w:rPr>
                <w:i/>
                <w:color w:val="0A0A0A"/>
                <w:w w:val="105"/>
                <w:sz w:val="21"/>
              </w:rPr>
              <w:t>gains</w:t>
            </w:r>
            <w:r>
              <w:rPr>
                <w:i/>
                <w:color w:val="0A0A0A"/>
                <w:spacing w:val="-5"/>
                <w:w w:val="105"/>
                <w:sz w:val="21"/>
              </w:rPr>
              <w:t> </w:t>
            </w:r>
            <w:r>
              <w:rPr>
                <w:i/>
                <w:color w:val="0A0A0A"/>
                <w:w w:val="105"/>
                <w:sz w:val="21"/>
              </w:rPr>
              <w:t>and</w:t>
            </w:r>
            <w:r>
              <w:rPr>
                <w:i/>
                <w:color w:val="0A0A0A"/>
                <w:spacing w:val="-4"/>
                <w:w w:val="105"/>
                <w:sz w:val="21"/>
              </w:rPr>
              <w:t> </w:t>
            </w:r>
            <w:r>
              <w:rPr>
                <w:i/>
                <w:color w:val="0A0A0A"/>
                <w:spacing w:val="-2"/>
                <w:w w:val="105"/>
                <w:sz w:val="21"/>
              </w:rPr>
              <w:t>(losses):</w:t>
            </w:r>
          </w:p>
        </w:tc>
        <w:tc>
          <w:tcPr>
            <w:tcW w:w="2120" w:type="dxa"/>
          </w:tcPr>
          <w:p>
            <w:pPr>
              <w:pStyle w:val="TableParagraph"/>
              <w:rPr>
                <w:rFonts w:ascii="Times New Roman"/>
                <w:sz w:val="20"/>
              </w:rPr>
            </w:pPr>
          </w:p>
        </w:tc>
      </w:tr>
    </w:tbl>
    <w:p>
      <w:pPr>
        <w:tabs>
          <w:tab w:val="left" w:leader="none" w:pos="2952"/>
          <w:tab w:val="left" w:leader="none" w:pos="10241"/>
        </w:tabs>
        <w:spacing w:before="71" w:after="48" w:line="165" w:lineRule="auto"/>
        <w:ind w:left="2949" w:right="802" w:hanging="780"/>
        <w:jc w:val="left"/>
        <w:rPr>
          <w:sz w:val="21"/>
        </w:rPr>
      </w:pPr>
      <w:r>
        <w:rPr>
          <w:color w:val="0A0A0A"/>
          <w:spacing w:val="-4"/>
          <w:w w:val="105"/>
          <w:position w:val="-11"/>
          <w:sz w:val="21"/>
        </w:rPr>
        <w:t>1,509</w:t>
      </w:r>
      <w:r>
        <w:rPr>
          <w:color w:val="0A0A0A"/>
          <w:position w:val="-11"/>
          <w:sz w:val="21"/>
        </w:rPr>
        <w:tab/>
        <w:tab/>
      </w:r>
      <w:r>
        <w:rPr>
          <w:color w:val="0A0A0A"/>
          <w:w w:val="105"/>
          <w:sz w:val="21"/>
        </w:rPr>
        <w:t>Actuarial gains and (losses) arising on changes in demographic</w:t>
      </w:r>
      <w:r>
        <w:rPr>
          <w:color w:val="0A0A0A"/>
          <w:sz w:val="21"/>
        </w:rPr>
        <w:tab/>
      </w:r>
      <w:r>
        <w:rPr>
          <w:color w:val="0A0A0A"/>
          <w:spacing w:val="-2"/>
          <w:w w:val="105"/>
          <w:position w:val="-11"/>
          <w:sz w:val="21"/>
        </w:rPr>
        <w:t>1,044 </w:t>
      </w:r>
      <w:r>
        <w:rPr>
          <w:color w:val="0A0A0A"/>
          <w:spacing w:val="-2"/>
          <w:w w:val="105"/>
          <w:sz w:val="21"/>
        </w:rPr>
        <w:t>assumptions</w:t>
      </w:r>
    </w:p>
    <w:tbl>
      <w:tblPr>
        <w:tblW w:w="0" w:type="auto"/>
        <w:jc w:val="left"/>
        <w:tblInd w:w="170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66"/>
        <w:gridCol w:w="6301"/>
        <w:gridCol w:w="1759"/>
      </w:tblGrid>
      <w:tr>
        <w:trPr>
          <w:trHeight w:val="501" w:hRule="atLeast"/>
        </w:trPr>
        <w:tc>
          <w:tcPr>
            <w:tcW w:w="1166" w:type="dxa"/>
          </w:tcPr>
          <w:p>
            <w:pPr>
              <w:pStyle w:val="TableParagraph"/>
              <w:spacing w:before="113"/>
              <w:ind w:right="129"/>
              <w:jc w:val="right"/>
              <w:rPr>
                <w:sz w:val="21"/>
              </w:rPr>
            </w:pPr>
            <w:r>
              <w:rPr>
                <w:color w:val="0A0A0A"/>
                <w:spacing w:val="-4"/>
                <w:w w:val="110"/>
                <w:sz w:val="21"/>
              </w:rPr>
              <w:t>8,599</w:t>
            </w:r>
          </w:p>
        </w:tc>
        <w:tc>
          <w:tcPr>
            <w:tcW w:w="6301" w:type="dxa"/>
          </w:tcPr>
          <w:p>
            <w:pPr>
              <w:pStyle w:val="TableParagraph"/>
              <w:spacing w:line="235" w:lineRule="exact"/>
              <w:ind w:left="82"/>
              <w:rPr>
                <w:sz w:val="21"/>
              </w:rPr>
            </w:pPr>
            <w:r>
              <w:rPr>
                <w:color w:val="0A0A0A"/>
                <w:w w:val="105"/>
                <w:sz w:val="21"/>
              </w:rPr>
              <w:t>Actuarial</w:t>
            </w:r>
            <w:r>
              <w:rPr>
                <w:color w:val="0A0A0A"/>
                <w:spacing w:val="-3"/>
                <w:w w:val="105"/>
                <w:sz w:val="21"/>
              </w:rPr>
              <w:t> </w:t>
            </w:r>
            <w:r>
              <w:rPr>
                <w:color w:val="0A0A0A"/>
                <w:w w:val="105"/>
                <w:sz w:val="21"/>
              </w:rPr>
              <w:t>gains</w:t>
            </w:r>
            <w:r>
              <w:rPr>
                <w:color w:val="0A0A0A"/>
                <w:spacing w:val="3"/>
                <w:w w:val="105"/>
                <w:sz w:val="21"/>
              </w:rPr>
              <w:t> </w:t>
            </w:r>
            <w:r>
              <w:rPr>
                <w:color w:val="0A0A0A"/>
                <w:w w:val="105"/>
                <w:sz w:val="21"/>
              </w:rPr>
              <w:t>and</w:t>
            </w:r>
            <w:r>
              <w:rPr>
                <w:color w:val="0A0A0A"/>
                <w:spacing w:val="-7"/>
                <w:w w:val="105"/>
                <w:sz w:val="21"/>
              </w:rPr>
              <w:t> </w:t>
            </w:r>
            <w:r>
              <w:rPr>
                <w:color w:val="0A0A0A"/>
                <w:w w:val="105"/>
                <w:sz w:val="21"/>
              </w:rPr>
              <w:t>(losses)</w:t>
            </w:r>
            <w:r>
              <w:rPr>
                <w:color w:val="0A0A0A"/>
                <w:spacing w:val="5"/>
                <w:w w:val="105"/>
                <w:sz w:val="21"/>
              </w:rPr>
              <w:t> </w:t>
            </w:r>
            <w:r>
              <w:rPr>
                <w:color w:val="0A0A0A"/>
                <w:w w:val="105"/>
                <w:sz w:val="21"/>
              </w:rPr>
              <w:t>arising</w:t>
            </w:r>
            <w:r>
              <w:rPr>
                <w:color w:val="0A0A0A"/>
                <w:spacing w:val="5"/>
                <w:w w:val="105"/>
                <w:sz w:val="21"/>
              </w:rPr>
              <w:t> </w:t>
            </w:r>
            <w:r>
              <w:rPr>
                <w:color w:val="0A0A0A"/>
                <w:w w:val="105"/>
                <w:sz w:val="21"/>
              </w:rPr>
              <w:t>on</w:t>
            </w:r>
            <w:r>
              <w:rPr>
                <w:color w:val="0A0A0A"/>
                <w:spacing w:val="-11"/>
                <w:w w:val="105"/>
                <w:sz w:val="21"/>
              </w:rPr>
              <w:t> </w:t>
            </w:r>
            <w:r>
              <w:rPr>
                <w:color w:val="0A0A0A"/>
                <w:w w:val="105"/>
                <w:sz w:val="21"/>
              </w:rPr>
              <w:t>changes</w:t>
            </w:r>
            <w:r>
              <w:rPr>
                <w:color w:val="0A0A0A"/>
                <w:spacing w:val="4"/>
                <w:w w:val="105"/>
                <w:sz w:val="21"/>
              </w:rPr>
              <w:t> </w:t>
            </w:r>
            <w:r>
              <w:rPr>
                <w:color w:val="0A0A0A"/>
                <w:w w:val="105"/>
                <w:sz w:val="21"/>
              </w:rPr>
              <w:t>in</w:t>
            </w:r>
            <w:r>
              <w:rPr>
                <w:color w:val="0A0A0A"/>
                <w:spacing w:val="-15"/>
                <w:w w:val="105"/>
                <w:sz w:val="21"/>
              </w:rPr>
              <w:t> </w:t>
            </w:r>
            <w:r>
              <w:rPr>
                <w:color w:val="0A0A0A"/>
                <w:spacing w:val="-2"/>
                <w:w w:val="105"/>
                <w:sz w:val="21"/>
              </w:rPr>
              <w:t>financial</w:t>
            </w:r>
          </w:p>
          <w:p>
            <w:pPr>
              <w:pStyle w:val="TableParagraph"/>
              <w:spacing w:before="8" w:line="239" w:lineRule="exact"/>
              <w:ind w:left="84"/>
              <w:rPr>
                <w:sz w:val="21"/>
              </w:rPr>
            </w:pPr>
            <w:r>
              <w:rPr>
                <w:color w:val="0A0A0A"/>
                <w:spacing w:val="-2"/>
                <w:w w:val="105"/>
                <w:sz w:val="21"/>
              </w:rPr>
              <w:t>assumptions</w:t>
            </w:r>
          </w:p>
        </w:tc>
        <w:tc>
          <w:tcPr>
            <w:tcW w:w="1759" w:type="dxa"/>
          </w:tcPr>
          <w:p>
            <w:pPr>
              <w:pStyle w:val="TableParagraph"/>
              <w:spacing w:before="118"/>
              <w:ind w:right="126"/>
              <w:jc w:val="right"/>
              <w:rPr>
                <w:sz w:val="21"/>
              </w:rPr>
            </w:pPr>
            <w:r>
              <w:rPr>
                <w:color w:val="0A0A0A"/>
                <w:spacing w:val="-2"/>
                <w:w w:val="105"/>
                <w:sz w:val="21"/>
              </w:rPr>
              <w:t>50,714</w:t>
            </w:r>
          </w:p>
        </w:tc>
      </w:tr>
      <w:tr>
        <w:trPr>
          <w:trHeight w:val="281" w:hRule="atLeast"/>
        </w:trPr>
        <w:tc>
          <w:tcPr>
            <w:tcW w:w="1166" w:type="dxa"/>
          </w:tcPr>
          <w:p>
            <w:pPr>
              <w:pStyle w:val="TableParagraph"/>
              <w:spacing w:before="10"/>
              <w:ind w:left="312"/>
              <w:rPr>
                <w:sz w:val="21"/>
              </w:rPr>
            </w:pPr>
            <w:r>
              <w:rPr>
                <w:color w:val="0A0A0A"/>
                <w:spacing w:val="-2"/>
                <w:w w:val="105"/>
                <w:sz w:val="21"/>
              </w:rPr>
              <w:t>(9,704)</w:t>
            </w:r>
          </w:p>
        </w:tc>
        <w:tc>
          <w:tcPr>
            <w:tcW w:w="6301" w:type="dxa"/>
          </w:tcPr>
          <w:p>
            <w:pPr>
              <w:pStyle w:val="TableParagraph"/>
              <w:spacing w:before="15"/>
              <w:ind w:left="77"/>
              <w:rPr>
                <w:sz w:val="21"/>
              </w:rPr>
            </w:pPr>
            <w:r>
              <w:rPr>
                <w:color w:val="0A0A0A"/>
                <w:w w:val="105"/>
                <w:sz w:val="21"/>
              </w:rPr>
              <w:t>Other</w:t>
            </w:r>
            <w:r>
              <w:rPr>
                <w:color w:val="0A0A0A"/>
                <w:spacing w:val="-7"/>
                <w:w w:val="105"/>
                <w:sz w:val="21"/>
              </w:rPr>
              <w:t> </w:t>
            </w:r>
            <w:r>
              <w:rPr>
                <w:color w:val="0A0A0A"/>
                <w:w w:val="105"/>
                <w:sz w:val="21"/>
              </w:rPr>
              <w:t>experience</w:t>
            </w:r>
            <w:r>
              <w:rPr>
                <w:color w:val="0A0A0A"/>
                <w:spacing w:val="10"/>
                <w:w w:val="105"/>
                <w:sz w:val="21"/>
              </w:rPr>
              <w:t> </w:t>
            </w:r>
            <w:r>
              <w:rPr>
                <w:color w:val="0A0A0A"/>
                <w:w w:val="105"/>
                <w:sz w:val="21"/>
              </w:rPr>
              <w:t>gains</w:t>
            </w:r>
            <w:r>
              <w:rPr>
                <w:color w:val="0A0A0A"/>
                <w:spacing w:val="-2"/>
                <w:w w:val="105"/>
                <w:sz w:val="21"/>
              </w:rPr>
              <w:t> </w:t>
            </w:r>
            <w:r>
              <w:rPr>
                <w:color w:val="0A0A0A"/>
                <w:w w:val="105"/>
                <w:sz w:val="21"/>
              </w:rPr>
              <w:t>and</w:t>
            </w:r>
            <w:r>
              <w:rPr>
                <w:color w:val="0A0A0A"/>
                <w:spacing w:val="-9"/>
                <w:w w:val="105"/>
                <w:sz w:val="21"/>
              </w:rPr>
              <w:t> </w:t>
            </w:r>
            <w:r>
              <w:rPr>
                <w:color w:val="0A0A0A"/>
                <w:spacing w:val="-2"/>
                <w:w w:val="105"/>
                <w:sz w:val="21"/>
              </w:rPr>
              <w:t>(losses)</w:t>
            </w:r>
          </w:p>
        </w:tc>
        <w:tc>
          <w:tcPr>
            <w:tcW w:w="1759" w:type="dxa"/>
          </w:tcPr>
          <w:p>
            <w:pPr>
              <w:pStyle w:val="TableParagraph"/>
              <w:spacing w:before="15"/>
              <w:ind w:right="74"/>
              <w:jc w:val="right"/>
              <w:rPr>
                <w:sz w:val="21"/>
              </w:rPr>
            </w:pPr>
            <w:r>
              <w:rPr>
                <w:color w:val="0A0A0A"/>
                <w:spacing w:val="-2"/>
                <w:w w:val="105"/>
                <w:sz w:val="21"/>
              </w:rPr>
              <w:t>(8,712)</w:t>
            </w:r>
          </w:p>
        </w:tc>
      </w:tr>
      <w:tr>
        <w:trPr>
          <w:trHeight w:val="293" w:hRule="atLeast"/>
        </w:trPr>
        <w:tc>
          <w:tcPr>
            <w:tcW w:w="1166" w:type="dxa"/>
          </w:tcPr>
          <w:p>
            <w:pPr>
              <w:pStyle w:val="TableParagraph"/>
              <w:tabs>
                <w:tab w:val="left" w:leader="none" w:pos="333"/>
              </w:tabs>
              <w:spacing w:before="17"/>
              <w:ind w:right="40"/>
              <w:jc w:val="right"/>
              <w:rPr>
                <w:sz w:val="21"/>
              </w:rPr>
            </w:pPr>
            <w:r>
              <w:rPr>
                <w:color w:val="0A0A0A"/>
                <w:sz w:val="21"/>
                <w:u w:val="single" w:color="000000"/>
              </w:rPr>
              <w:tab/>
            </w:r>
            <w:r>
              <w:rPr>
                <w:color w:val="0A0A0A"/>
                <w:spacing w:val="-2"/>
                <w:w w:val="105"/>
                <w:sz w:val="21"/>
                <w:u w:val="single" w:color="000000"/>
              </w:rPr>
              <w:t>4,207</w:t>
            </w:r>
            <w:r>
              <w:rPr>
                <w:color w:val="0A0A0A"/>
                <w:spacing w:val="40"/>
                <w:w w:val="105"/>
                <w:sz w:val="21"/>
                <w:u w:val="single" w:color="000000"/>
              </w:rPr>
              <w:t> </w:t>
            </w:r>
          </w:p>
        </w:tc>
        <w:tc>
          <w:tcPr>
            <w:tcW w:w="6301" w:type="dxa"/>
          </w:tcPr>
          <w:p>
            <w:pPr>
              <w:pStyle w:val="TableParagraph"/>
              <w:spacing w:before="22"/>
              <w:ind w:left="76"/>
              <w:rPr>
                <w:sz w:val="21"/>
              </w:rPr>
            </w:pPr>
            <w:r>
              <w:rPr>
                <w:color w:val="0A0A0A"/>
                <w:w w:val="105"/>
                <w:sz w:val="21"/>
              </w:rPr>
              <w:t>Benefits</w:t>
            </w:r>
            <w:r>
              <w:rPr>
                <w:color w:val="0A0A0A"/>
                <w:spacing w:val="-8"/>
                <w:w w:val="105"/>
                <w:sz w:val="21"/>
              </w:rPr>
              <w:t> </w:t>
            </w:r>
            <w:r>
              <w:rPr>
                <w:color w:val="0A0A0A"/>
                <w:spacing w:val="-4"/>
                <w:w w:val="105"/>
                <w:sz w:val="21"/>
              </w:rPr>
              <w:t>paid</w:t>
            </w:r>
          </w:p>
        </w:tc>
        <w:tc>
          <w:tcPr>
            <w:tcW w:w="1759" w:type="dxa"/>
          </w:tcPr>
          <w:p>
            <w:pPr>
              <w:pStyle w:val="TableParagraph"/>
              <w:tabs>
                <w:tab w:val="left" w:leader="none" w:pos="588"/>
              </w:tabs>
              <w:spacing w:before="22"/>
              <w:ind w:right="47"/>
              <w:jc w:val="right"/>
              <w:rPr>
                <w:sz w:val="21"/>
              </w:rPr>
            </w:pPr>
            <w:r>
              <w:rPr>
                <w:color w:val="0A0A0A"/>
                <w:sz w:val="21"/>
                <w:u w:val="single" w:color="000000"/>
              </w:rPr>
              <w:tab/>
            </w:r>
            <w:r>
              <w:rPr>
                <w:color w:val="0A0A0A"/>
                <w:spacing w:val="-2"/>
                <w:w w:val="105"/>
                <w:sz w:val="21"/>
                <w:u w:val="single" w:color="000000"/>
              </w:rPr>
              <w:t>4,354</w:t>
            </w:r>
            <w:r>
              <w:rPr>
                <w:color w:val="0A0A0A"/>
                <w:spacing w:val="40"/>
                <w:w w:val="105"/>
                <w:sz w:val="21"/>
                <w:u w:val="single" w:color="000000"/>
              </w:rPr>
              <w:t> </w:t>
            </w:r>
          </w:p>
        </w:tc>
      </w:tr>
      <w:tr>
        <w:trPr>
          <w:trHeight w:val="444" w:hRule="atLeast"/>
        </w:trPr>
        <w:tc>
          <w:tcPr>
            <w:tcW w:w="1166" w:type="dxa"/>
          </w:tcPr>
          <w:p>
            <w:pPr>
              <w:pStyle w:val="TableParagraph"/>
              <w:spacing w:before="22"/>
              <w:ind w:right="40"/>
              <w:jc w:val="right"/>
              <w:rPr>
                <w:b/>
                <w:sz w:val="21"/>
              </w:rPr>
            </w:pPr>
            <w:r>
              <w:rPr>
                <w:b/>
                <w:color w:val="0A0A0A"/>
                <w:spacing w:val="-2"/>
                <w:w w:val="105"/>
                <w:sz w:val="21"/>
                <w:u w:val="single" w:color="000000"/>
              </w:rPr>
              <w:t>(150,887)</w:t>
            </w:r>
            <w:r>
              <w:rPr>
                <w:b/>
                <w:color w:val="0A0A0A"/>
                <w:spacing w:val="80"/>
                <w:w w:val="105"/>
                <w:sz w:val="21"/>
                <w:u w:val="single" w:color="000000"/>
              </w:rPr>
              <w:t> </w:t>
            </w:r>
          </w:p>
        </w:tc>
        <w:tc>
          <w:tcPr>
            <w:tcW w:w="6301" w:type="dxa"/>
          </w:tcPr>
          <w:p>
            <w:pPr>
              <w:pStyle w:val="TableParagraph"/>
              <w:spacing w:before="27"/>
              <w:ind w:left="72"/>
              <w:rPr>
                <w:b/>
                <w:sz w:val="21"/>
              </w:rPr>
            </w:pPr>
            <w:r>
              <w:rPr>
                <w:b/>
                <w:color w:val="0A0A0A"/>
                <w:w w:val="105"/>
                <w:sz w:val="21"/>
              </w:rPr>
              <w:t>As</w:t>
            </w:r>
            <w:r>
              <w:rPr>
                <w:b/>
                <w:color w:val="0A0A0A"/>
                <w:spacing w:val="3"/>
                <w:w w:val="105"/>
                <w:sz w:val="21"/>
              </w:rPr>
              <w:t> </w:t>
            </w:r>
            <w:r>
              <w:rPr>
                <w:b/>
                <w:color w:val="0A0A0A"/>
                <w:w w:val="105"/>
                <w:sz w:val="21"/>
              </w:rPr>
              <w:t>at</w:t>
            </w:r>
            <w:r>
              <w:rPr>
                <w:b/>
                <w:color w:val="0A0A0A"/>
                <w:spacing w:val="-7"/>
                <w:w w:val="105"/>
                <w:sz w:val="21"/>
              </w:rPr>
              <w:t> </w:t>
            </w:r>
            <w:r>
              <w:rPr>
                <w:b/>
                <w:color w:val="0A0A0A"/>
                <w:w w:val="105"/>
                <w:sz w:val="21"/>
              </w:rPr>
              <w:t>31</w:t>
            </w:r>
            <w:r>
              <w:rPr>
                <w:b/>
                <w:color w:val="0A0A0A"/>
                <w:spacing w:val="-4"/>
                <w:w w:val="105"/>
                <w:sz w:val="21"/>
              </w:rPr>
              <w:t> </w:t>
            </w:r>
            <w:r>
              <w:rPr>
                <w:b/>
                <w:color w:val="0A0A0A"/>
                <w:spacing w:val="-2"/>
                <w:w w:val="105"/>
                <w:sz w:val="21"/>
              </w:rPr>
              <w:t>March</w:t>
            </w:r>
          </w:p>
        </w:tc>
        <w:tc>
          <w:tcPr>
            <w:tcW w:w="1759" w:type="dxa"/>
          </w:tcPr>
          <w:p>
            <w:pPr>
              <w:pStyle w:val="TableParagraph"/>
              <w:spacing w:before="22"/>
              <w:ind w:right="74"/>
              <w:jc w:val="right"/>
              <w:rPr>
                <w:b/>
                <w:sz w:val="21"/>
              </w:rPr>
            </w:pPr>
            <w:r>
              <w:rPr>
                <w:b/>
                <w:color w:val="0A0A0A"/>
                <w:spacing w:val="64"/>
                <w:w w:val="105"/>
                <w:sz w:val="21"/>
                <w:u w:val="single" w:color="000000"/>
              </w:rPr>
              <w:t>  </w:t>
            </w:r>
            <w:r>
              <w:rPr>
                <w:b/>
                <w:color w:val="0A0A0A"/>
                <w:spacing w:val="-2"/>
                <w:w w:val="105"/>
                <w:sz w:val="21"/>
                <w:u w:val="single" w:color="000000"/>
              </w:rPr>
              <w:t>(112,577)</w:t>
            </w:r>
          </w:p>
        </w:tc>
      </w:tr>
      <w:tr>
        <w:trPr>
          <w:trHeight w:val="434" w:hRule="atLeast"/>
        </w:trPr>
        <w:tc>
          <w:tcPr>
            <w:tcW w:w="1166" w:type="dxa"/>
          </w:tcPr>
          <w:p>
            <w:pPr>
              <w:pStyle w:val="TableParagraph"/>
              <w:rPr>
                <w:rFonts w:ascii="Times New Roman"/>
                <w:sz w:val="20"/>
              </w:rPr>
            </w:pPr>
          </w:p>
        </w:tc>
        <w:tc>
          <w:tcPr>
            <w:tcW w:w="6301" w:type="dxa"/>
          </w:tcPr>
          <w:p>
            <w:pPr>
              <w:pStyle w:val="TableParagraph"/>
              <w:spacing w:before="169"/>
              <w:ind w:left="67"/>
              <w:rPr>
                <w:b/>
                <w:sz w:val="21"/>
              </w:rPr>
            </w:pPr>
            <w:r>
              <w:rPr>
                <w:b/>
                <w:color w:val="0A0A0A"/>
                <w:w w:val="105"/>
                <w:sz w:val="21"/>
              </w:rPr>
              <w:t>Fair</w:t>
            </w:r>
            <w:r>
              <w:rPr>
                <w:b/>
                <w:color w:val="0A0A0A"/>
                <w:spacing w:val="-2"/>
                <w:w w:val="105"/>
                <w:sz w:val="21"/>
              </w:rPr>
              <w:t> </w:t>
            </w:r>
            <w:r>
              <w:rPr>
                <w:b/>
                <w:color w:val="0A0A0A"/>
                <w:w w:val="105"/>
                <w:sz w:val="21"/>
              </w:rPr>
              <w:t>Value</w:t>
            </w:r>
            <w:r>
              <w:rPr>
                <w:b/>
                <w:color w:val="0A0A0A"/>
                <w:spacing w:val="1"/>
                <w:w w:val="105"/>
                <w:sz w:val="21"/>
              </w:rPr>
              <w:t> </w:t>
            </w:r>
            <w:r>
              <w:rPr>
                <w:b/>
                <w:color w:val="0A0A0A"/>
                <w:w w:val="105"/>
                <w:sz w:val="21"/>
              </w:rPr>
              <w:t>of</w:t>
            </w:r>
            <w:r>
              <w:rPr>
                <w:b/>
                <w:color w:val="0A0A0A"/>
                <w:spacing w:val="-6"/>
                <w:w w:val="105"/>
                <w:sz w:val="21"/>
              </w:rPr>
              <w:t> </w:t>
            </w:r>
            <w:r>
              <w:rPr>
                <w:b/>
                <w:color w:val="0A0A0A"/>
                <w:w w:val="105"/>
                <w:sz w:val="21"/>
              </w:rPr>
              <w:t>Scheme</w:t>
            </w:r>
            <w:r>
              <w:rPr>
                <w:b/>
                <w:color w:val="0A0A0A"/>
                <w:spacing w:val="7"/>
                <w:w w:val="105"/>
                <w:sz w:val="21"/>
              </w:rPr>
              <w:t> </w:t>
            </w:r>
            <w:r>
              <w:rPr>
                <w:b/>
                <w:color w:val="0A0A0A"/>
                <w:spacing w:val="-2"/>
                <w:w w:val="105"/>
                <w:sz w:val="21"/>
              </w:rPr>
              <w:t>Assets:</w:t>
            </w:r>
          </w:p>
        </w:tc>
        <w:tc>
          <w:tcPr>
            <w:tcW w:w="1759" w:type="dxa"/>
          </w:tcPr>
          <w:p>
            <w:pPr>
              <w:pStyle w:val="TableParagraph"/>
              <w:rPr>
                <w:rFonts w:ascii="Times New Roman"/>
                <w:sz w:val="20"/>
              </w:rPr>
            </w:pPr>
          </w:p>
        </w:tc>
      </w:tr>
      <w:tr>
        <w:trPr>
          <w:trHeight w:val="290" w:hRule="atLeast"/>
        </w:trPr>
        <w:tc>
          <w:tcPr>
            <w:tcW w:w="1166" w:type="dxa"/>
          </w:tcPr>
          <w:p>
            <w:pPr>
              <w:pStyle w:val="TableParagraph"/>
              <w:spacing w:before="17"/>
              <w:ind w:left="188"/>
              <w:rPr>
                <w:b/>
                <w:sz w:val="21"/>
              </w:rPr>
            </w:pPr>
            <w:r>
              <w:rPr>
                <w:b/>
                <w:color w:val="0A0A0A"/>
                <w:spacing w:val="-2"/>
                <w:w w:val="105"/>
                <w:sz w:val="21"/>
              </w:rPr>
              <w:t>104,640</w:t>
            </w:r>
          </w:p>
        </w:tc>
        <w:tc>
          <w:tcPr>
            <w:tcW w:w="6301" w:type="dxa"/>
          </w:tcPr>
          <w:p>
            <w:pPr>
              <w:pStyle w:val="TableParagraph"/>
              <w:spacing w:before="17"/>
              <w:ind w:left="63"/>
              <w:rPr>
                <w:b/>
                <w:sz w:val="21"/>
              </w:rPr>
            </w:pPr>
            <w:r>
              <w:rPr>
                <w:b/>
                <w:color w:val="0A0A0A"/>
                <w:w w:val="105"/>
                <w:sz w:val="21"/>
              </w:rPr>
              <w:t>As</w:t>
            </w:r>
            <w:r>
              <w:rPr>
                <w:b/>
                <w:color w:val="0A0A0A"/>
                <w:spacing w:val="5"/>
                <w:w w:val="105"/>
                <w:sz w:val="21"/>
              </w:rPr>
              <w:t> </w:t>
            </w:r>
            <w:r>
              <w:rPr>
                <w:b/>
                <w:color w:val="0A0A0A"/>
                <w:w w:val="105"/>
                <w:sz w:val="21"/>
              </w:rPr>
              <w:t>at</w:t>
            </w:r>
            <w:r>
              <w:rPr>
                <w:b/>
                <w:color w:val="0A0A0A"/>
                <w:spacing w:val="-5"/>
                <w:w w:val="105"/>
                <w:sz w:val="21"/>
              </w:rPr>
              <w:t> </w:t>
            </w:r>
            <w:r>
              <w:rPr>
                <w:b/>
                <w:color w:val="0A0A0A"/>
                <w:w w:val="105"/>
                <w:sz w:val="21"/>
              </w:rPr>
              <w:t>1</w:t>
            </w:r>
            <w:r>
              <w:rPr>
                <w:b/>
                <w:color w:val="0A0A0A"/>
                <w:spacing w:val="1"/>
                <w:w w:val="105"/>
                <w:sz w:val="21"/>
              </w:rPr>
              <w:t> </w:t>
            </w:r>
            <w:r>
              <w:rPr>
                <w:b/>
                <w:color w:val="0A0A0A"/>
                <w:spacing w:val="-2"/>
                <w:w w:val="105"/>
                <w:sz w:val="21"/>
              </w:rPr>
              <w:t>April</w:t>
            </w:r>
          </w:p>
        </w:tc>
        <w:tc>
          <w:tcPr>
            <w:tcW w:w="1759" w:type="dxa"/>
          </w:tcPr>
          <w:p>
            <w:pPr>
              <w:pStyle w:val="TableParagraph"/>
              <w:spacing w:before="22"/>
              <w:ind w:right="141"/>
              <w:jc w:val="right"/>
              <w:rPr>
                <w:b/>
                <w:sz w:val="21"/>
              </w:rPr>
            </w:pPr>
            <w:r>
              <w:rPr>
                <w:b/>
                <w:color w:val="0A0A0A"/>
                <w:spacing w:val="-2"/>
                <w:w w:val="105"/>
                <w:sz w:val="21"/>
              </w:rPr>
              <w:t>110,561</w:t>
            </w:r>
          </w:p>
        </w:tc>
      </w:tr>
      <w:tr>
        <w:trPr>
          <w:trHeight w:val="288" w:hRule="atLeast"/>
        </w:trPr>
        <w:tc>
          <w:tcPr>
            <w:tcW w:w="1166" w:type="dxa"/>
          </w:tcPr>
          <w:p>
            <w:pPr>
              <w:pStyle w:val="TableParagraph"/>
              <w:spacing w:before="20"/>
              <w:ind w:right="156"/>
              <w:jc w:val="right"/>
              <w:rPr>
                <w:sz w:val="21"/>
              </w:rPr>
            </w:pPr>
            <w:r>
              <w:rPr>
                <w:color w:val="0A0A0A"/>
                <w:spacing w:val="-4"/>
                <w:w w:val="110"/>
                <w:sz w:val="21"/>
              </w:rPr>
              <w:t>2,082</w:t>
            </w:r>
          </w:p>
        </w:tc>
        <w:tc>
          <w:tcPr>
            <w:tcW w:w="6301" w:type="dxa"/>
          </w:tcPr>
          <w:p>
            <w:pPr>
              <w:pStyle w:val="TableParagraph"/>
              <w:spacing w:before="20"/>
              <w:ind w:left="58"/>
              <w:rPr>
                <w:sz w:val="21"/>
              </w:rPr>
            </w:pPr>
            <w:r>
              <w:rPr>
                <w:color w:val="0A0A0A"/>
                <w:w w:val="105"/>
                <w:sz w:val="21"/>
              </w:rPr>
              <w:t>Interest</w:t>
            </w:r>
            <w:r>
              <w:rPr>
                <w:color w:val="0A0A0A"/>
                <w:spacing w:val="-11"/>
                <w:w w:val="105"/>
                <w:sz w:val="21"/>
              </w:rPr>
              <w:t> </w:t>
            </w:r>
            <w:r>
              <w:rPr>
                <w:color w:val="0A0A0A"/>
                <w:spacing w:val="-2"/>
                <w:w w:val="105"/>
                <w:sz w:val="21"/>
              </w:rPr>
              <w:t>Income</w:t>
            </w:r>
          </w:p>
        </w:tc>
        <w:tc>
          <w:tcPr>
            <w:tcW w:w="1759" w:type="dxa"/>
          </w:tcPr>
          <w:p>
            <w:pPr>
              <w:pStyle w:val="TableParagraph"/>
              <w:spacing w:before="25"/>
              <w:ind w:right="140"/>
              <w:jc w:val="right"/>
              <w:rPr>
                <w:sz w:val="21"/>
              </w:rPr>
            </w:pPr>
            <w:r>
              <w:rPr>
                <w:color w:val="0A0A0A"/>
                <w:spacing w:val="-4"/>
                <w:w w:val="105"/>
                <w:sz w:val="21"/>
              </w:rPr>
              <w:t>2,972</w:t>
            </w:r>
          </w:p>
        </w:tc>
      </w:tr>
      <w:tr>
        <w:trPr>
          <w:trHeight w:val="290" w:hRule="atLeast"/>
        </w:trPr>
        <w:tc>
          <w:tcPr>
            <w:tcW w:w="1166" w:type="dxa"/>
          </w:tcPr>
          <w:p>
            <w:pPr>
              <w:pStyle w:val="TableParagraph"/>
              <w:spacing w:before="15"/>
              <w:ind w:right="160"/>
              <w:jc w:val="right"/>
              <w:rPr>
                <w:sz w:val="21"/>
              </w:rPr>
            </w:pPr>
            <w:r>
              <w:rPr>
                <w:color w:val="0A0A0A"/>
                <w:spacing w:val="-5"/>
                <w:w w:val="110"/>
                <w:sz w:val="21"/>
              </w:rPr>
              <w:t>616</w:t>
            </w:r>
          </w:p>
        </w:tc>
        <w:tc>
          <w:tcPr>
            <w:tcW w:w="6301" w:type="dxa"/>
          </w:tcPr>
          <w:p>
            <w:pPr>
              <w:pStyle w:val="TableParagraph"/>
              <w:spacing w:before="20"/>
              <w:ind w:left="52"/>
              <w:rPr>
                <w:sz w:val="21"/>
              </w:rPr>
            </w:pPr>
            <w:r>
              <w:rPr>
                <w:color w:val="0A0A0A"/>
                <w:w w:val="105"/>
                <w:sz w:val="21"/>
              </w:rPr>
              <w:t>Contributions</w:t>
            </w:r>
            <w:r>
              <w:rPr>
                <w:color w:val="0A0A0A"/>
                <w:spacing w:val="9"/>
                <w:w w:val="105"/>
                <w:sz w:val="21"/>
              </w:rPr>
              <w:t> </w:t>
            </w:r>
            <w:r>
              <w:rPr>
                <w:color w:val="0A0A0A"/>
                <w:w w:val="105"/>
                <w:sz w:val="21"/>
              </w:rPr>
              <w:t>by</w:t>
            </w:r>
            <w:r>
              <w:rPr>
                <w:color w:val="0A0A0A"/>
                <w:spacing w:val="-1"/>
                <w:w w:val="105"/>
                <w:sz w:val="21"/>
              </w:rPr>
              <w:t> </w:t>
            </w:r>
            <w:r>
              <w:rPr>
                <w:color w:val="0A0A0A"/>
                <w:w w:val="105"/>
                <w:sz w:val="21"/>
              </w:rPr>
              <w:t>scheme</w:t>
            </w:r>
            <w:r>
              <w:rPr>
                <w:color w:val="0A0A0A"/>
                <w:spacing w:val="-6"/>
                <w:w w:val="105"/>
                <w:sz w:val="21"/>
              </w:rPr>
              <w:t> </w:t>
            </w:r>
            <w:r>
              <w:rPr>
                <w:color w:val="0A0A0A"/>
                <w:spacing w:val="-2"/>
                <w:w w:val="105"/>
                <w:sz w:val="21"/>
              </w:rPr>
              <w:t>members</w:t>
            </w:r>
          </w:p>
        </w:tc>
        <w:tc>
          <w:tcPr>
            <w:tcW w:w="1759" w:type="dxa"/>
          </w:tcPr>
          <w:p>
            <w:pPr>
              <w:pStyle w:val="TableParagraph"/>
              <w:spacing w:before="25"/>
              <w:ind w:right="133"/>
              <w:jc w:val="right"/>
              <w:rPr>
                <w:sz w:val="21"/>
              </w:rPr>
            </w:pPr>
            <w:r>
              <w:rPr>
                <w:color w:val="0A0A0A"/>
                <w:spacing w:val="-5"/>
                <w:w w:val="110"/>
                <w:sz w:val="21"/>
              </w:rPr>
              <w:t>664</w:t>
            </w:r>
          </w:p>
        </w:tc>
      </w:tr>
      <w:tr>
        <w:trPr>
          <w:trHeight w:val="432" w:hRule="atLeast"/>
        </w:trPr>
        <w:tc>
          <w:tcPr>
            <w:tcW w:w="1166" w:type="dxa"/>
          </w:tcPr>
          <w:p>
            <w:pPr>
              <w:pStyle w:val="TableParagraph"/>
              <w:spacing w:before="17"/>
              <w:ind w:right="166"/>
              <w:jc w:val="right"/>
              <w:rPr>
                <w:sz w:val="21"/>
              </w:rPr>
            </w:pPr>
            <w:r>
              <w:rPr>
                <w:color w:val="0A0A0A"/>
                <w:spacing w:val="-4"/>
                <w:w w:val="105"/>
                <w:sz w:val="21"/>
              </w:rPr>
              <w:t>2,698</w:t>
            </w:r>
          </w:p>
        </w:tc>
        <w:tc>
          <w:tcPr>
            <w:tcW w:w="6301" w:type="dxa"/>
          </w:tcPr>
          <w:p>
            <w:pPr>
              <w:pStyle w:val="TableParagraph"/>
              <w:spacing w:before="17"/>
              <w:ind w:left="52"/>
              <w:rPr>
                <w:sz w:val="21"/>
              </w:rPr>
            </w:pPr>
            <w:r>
              <w:rPr>
                <w:color w:val="0A0A0A"/>
                <w:w w:val="105"/>
                <w:sz w:val="21"/>
              </w:rPr>
              <w:t>Contributions</w:t>
            </w:r>
            <w:r>
              <w:rPr>
                <w:color w:val="0A0A0A"/>
                <w:spacing w:val="7"/>
                <w:w w:val="105"/>
                <w:sz w:val="21"/>
              </w:rPr>
              <w:t> </w:t>
            </w:r>
            <w:r>
              <w:rPr>
                <w:color w:val="0A0A0A"/>
                <w:w w:val="105"/>
                <w:sz w:val="21"/>
              </w:rPr>
              <w:t>by</w:t>
            </w:r>
            <w:r>
              <w:rPr>
                <w:color w:val="0A0A0A"/>
                <w:spacing w:val="-3"/>
                <w:w w:val="105"/>
                <w:sz w:val="21"/>
              </w:rPr>
              <w:t> </w:t>
            </w:r>
            <w:r>
              <w:rPr>
                <w:color w:val="0A0A0A"/>
                <w:spacing w:val="-2"/>
                <w:w w:val="105"/>
                <w:sz w:val="21"/>
              </w:rPr>
              <w:t>employer</w:t>
            </w:r>
          </w:p>
        </w:tc>
        <w:tc>
          <w:tcPr>
            <w:tcW w:w="1759" w:type="dxa"/>
          </w:tcPr>
          <w:p>
            <w:pPr>
              <w:pStyle w:val="TableParagraph"/>
              <w:spacing w:before="22"/>
              <w:ind w:right="145"/>
              <w:jc w:val="right"/>
              <w:rPr>
                <w:sz w:val="21"/>
              </w:rPr>
            </w:pPr>
            <w:r>
              <w:rPr>
                <w:color w:val="0A0A0A"/>
                <w:spacing w:val="-4"/>
                <w:w w:val="105"/>
                <w:sz w:val="21"/>
              </w:rPr>
              <w:t>2,846</w:t>
            </w:r>
          </w:p>
        </w:tc>
      </w:tr>
      <w:tr>
        <w:trPr>
          <w:trHeight w:val="403" w:hRule="atLeast"/>
        </w:trPr>
        <w:tc>
          <w:tcPr>
            <w:tcW w:w="1166" w:type="dxa"/>
          </w:tcPr>
          <w:p>
            <w:pPr>
              <w:pStyle w:val="TableParagraph"/>
              <w:rPr>
                <w:rFonts w:ascii="Times New Roman"/>
                <w:sz w:val="20"/>
              </w:rPr>
            </w:pPr>
          </w:p>
        </w:tc>
        <w:tc>
          <w:tcPr>
            <w:tcW w:w="6301" w:type="dxa"/>
          </w:tcPr>
          <w:p>
            <w:pPr>
              <w:pStyle w:val="TableParagraph"/>
              <w:spacing w:before="162" w:line="222" w:lineRule="exact"/>
              <w:ind w:left="43"/>
              <w:rPr>
                <w:i/>
                <w:sz w:val="21"/>
              </w:rPr>
            </w:pPr>
            <w:r>
              <w:rPr>
                <w:i/>
                <w:color w:val="0A0A0A"/>
                <w:w w:val="105"/>
                <w:sz w:val="21"/>
              </w:rPr>
              <w:t>Re-measurement</w:t>
            </w:r>
            <w:r>
              <w:rPr>
                <w:i/>
                <w:color w:val="0A0A0A"/>
                <w:spacing w:val="3"/>
                <w:w w:val="105"/>
                <w:sz w:val="21"/>
              </w:rPr>
              <w:t> </w:t>
            </w:r>
            <w:r>
              <w:rPr>
                <w:i/>
                <w:color w:val="232323"/>
                <w:w w:val="105"/>
                <w:sz w:val="21"/>
              </w:rPr>
              <w:t>gains</w:t>
            </w:r>
            <w:r>
              <w:rPr>
                <w:i/>
                <w:color w:val="232323"/>
                <w:spacing w:val="-7"/>
                <w:w w:val="105"/>
                <w:sz w:val="21"/>
              </w:rPr>
              <w:t> </w:t>
            </w:r>
            <w:r>
              <w:rPr>
                <w:i/>
                <w:color w:val="0A0A0A"/>
                <w:w w:val="105"/>
                <w:sz w:val="21"/>
              </w:rPr>
              <w:t>and</w:t>
            </w:r>
            <w:r>
              <w:rPr>
                <w:i/>
                <w:color w:val="0A0A0A"/>
                <w:spacing w:val="-1"/>
                <w:w w:val="105"/>
                <w:sz w:val="21"/>
              </w:rPr>
              <w:t> </w:t>
            </w:r>
            <w:r>
              <w:rPr>
                <w:i/>
                <w:color w:val="0A0A0A"/>
                <w:spacing w:val="-2"/>
                <w:w w:val="105"/>
                <w:sz w:val="21"/>
              </w:rPr>
              <w:t>(losses):</w:t>
            </w:r>
          </w:p>
        </w:tc>
        <w:tc>
          <w:tcPr>
            <w:tcW w:w="1759" w:type="dxa"/>
          </w:tcPr>
          <w:p>
            <w:pPr>
              <w:pStyle w:val="TableParagraph"/>
              <w:rPr>
                <w:rFonts w:ascii="Times New Roman"/>
                <w:sz w:val="20"/>
              </w:rPr>
            </w:pPr>
          </w:p>
        </w:tc>
      </w:tr>
    </w:tbl>
    <w:p>
      <w:pPr>
        <w:tabs>
          <w:tab w:val="left" w:leader="none" w:pos="2896"/>
          <w:tab w:val="left" w:leader="none" w:pos="10006"/>
        </w:tabs>
        <w:spacing w:before="71" w:line="165" w:lineRule="auto"/>
        <w:ind w:left="2894" w:right="780" w:hanging="776"/>
        <w:jc w:val="left"/>
        <w:rPr>
          <w:sz w:val="21"/>
        </w:rPr>
      </w:pPr>
      <w:r>
        <w:rPr>
          <w:color w:val="0A0A0A"/>
          <w:spacing w:val="-4"/>
          <w:w w:val="105"/>
          <w:position w:val="-11"/>
          <w:sz w:val="21"/>
        </w:rPr>
        <w:t>2,472</w:t>
      </w:r>
      <w:r>
        <w:rPr>
          <w:color w:val="0A0A0A"/>
          <w:position w:val="-11"/>
          <w:sz w:val="21"/>
        </w:rPr>
        <w:tab/>
        <w:tab/>
      </w:r>
      <w:r>
        <w:rPr>
          <w:color w:val="0A0A0A"/>
          <w:w w:val="105"/>
          <w:sz w:val="21"/>
        </w:rPr>
        <w:t>Return</w:t>
      </w:r>
      <w:r>
        <w:rPr>
          <w:color w:val="0A0A0A"/>
          <w:spacing w:val="40"/>
          <w:w w:val="105"/>
          <w:sz w:val="21"/>
        </w:rPr>
        <w:t> </w:t>
      </w:r>
      <w:r>
        <w:rPr>
          <w:color w:val="0A0A0A"/>
          <w:w w:val="105"/>
          <w:sz w:val="21"/>
        </w:rPr>
        <w:t>on plan</w:t>
      </w:r>
      <w:r>
        <w:rPr>
          <w:color w:val="0A0A0A"/>
          <w:w w:val="105"/>
          <w:sz w:val="21"/>
        </w:rPr>
        <w:t> assets</w:t>
      </w:r>
      <w:r>
        <w:rPr>
          <w:color w:val="0A0A0A"/>
          <w:spacing w:val="40"/>
          <w:w w:val="105"/>
          <w:sz w:val="21"/>
        </w:rPr>
        <w:t> </w:t>
      </w:r>
      <w:r>
        <w:rPr>
          <w:color w:val="0A0A0A"/>
          <w:w w:val="105"/>
          <w:sz w:val="21"/>
        </w:rPr>
        <w:t>excluding</w:t>
      </w:r>
      <w:r>
        <w:rPr>
          <w:color w:val="0A0A0A"/>
          <w:spacing w:val="40"/>
          <w:w w:val="105"/>
          <w:sz w:val="21"/>
        </w:rPr>
        <w:t> </w:t>
      </w:r>
      <w:r>
        <w:rPr>
          <w:color w:val="0A0A0A"/>
          <w:w w:val="105"/>
          <w:sz w:val="21"/>
        </w:rPr>
        <w:t>the</w:t>
      </w:r>
      <w:r>
        <w:rPr>
          <w:color w:val="0A0A0A"/>
          <w:w w:val="105"/>
          <w:sz w:val="21"/>
        </w:rPr>
        <w:t> amount</w:t>
      </w:r>
      <w:r>
        <w:rPr>
          <w:color w:val="0A0A0A"/>
          <w:spacing w:val="40"/>
          <w:w w:val="105"/>
          <w:sz w:val="21"/>
        </w:rPr>
        <w:t> </w:t>
      </w:r>
      <w:r>
        <w:rPr>
          <w:color w:val="0A0A0A"/>
          <w:w w:val="105"/>
          <w:sz w:val="21"/>
        </w:rPr>
        <w:t>included</w:t>
      </w:r>
      <w:r>
        <w:rPr>
          <w:color w:val="0A0A0A"/>
          <w:spacing w:val="40"/>
          <w:w w:val="105"/>
          <w:sz w:val="21"/>
        </w:rPr>
        <w:t> </w:t>
      </w:r>
      <w:r>
        <w:rPr>
          <w:color w:val="0A0A0A"/>
          <w:w w:val="105"/>
          <w:sz w:val="21"/>
        </w:rPr>
        <w:t>in the</w:t>
      </w:r>
      <w:r>
        <w:rPr>
          <w:color w:val="0A0A0A"/>
          <w:w w:val="105"/>
          <w:sz w:val="21"/>
        </w:rPr>
        <w:t> net</w:t>
      </w:r>
      <w:r>
        <w:rPr>
          <w:color w:val="0A0A0A"/>
          <w:sz w:val="21"/>
        </w:rPr>
        <w:tab/>
      </w:r>
      <w:r>
        <w:rPr>
          <w:color w:val="0A0A0A"/>
          <w:spacing w:val="-2"/>
          <w:w w:val="105"/>
          <w:position w:val="-11"/>
          <w:sz w:val="21"/>
        </w:rPr>
        <w:t>(10,749) </w:t>
      </w:r>
      <w:r>
        <w:rPr>
          <w:color w:val="0A0A0A"/>
          <w:w w:val="105"/>
          <w:sz w:val="21"/>
        </w:rPr>
        <w:t>interest expense</w:t>
      </w:r>
    </w:p>
    <w:p>
      <w:pPr>
        <w:tabs>
          <w:tab w:val="left" w:leader="none" w:pos="2893"/>
        </w:tabs>
        <w:spacing w:before="176"/>
        <w:ind w:left="2109" w:right="0" w:firstLine="0"/>
        <w:jc w:val="left"/>
        <w:rPr>
          <w:sz w:val="21"/>
        </w:rPr>
      </w:pPr>
      <w:r>
        <w:rPr>
          <w:color w:val="0A0A0A"/>
          <w:spacing w:val="-4"/>
          <w:w w:val="105"/>
          <w:sz w:val="21"/>
        </w:rPr>
        <w:t>2,260</w:t>
      </w:r>
      <w:r>
        <w:rPr>
          <w:color w:val="0A0A0A"/>
          <w:sz w:val="21"/>
        </w:rPr>
        <w:tab/>
      </w:r>
      <w:r>
        <w:rPr>
          <w:color w:val="0A0A0A"/>
          <w:w w:val="105"/>
          <w:sz w:val="21"/>
        </w:rPr>
        <w:t>Other</w:t>
      </w:r>
      <w:r>
        <w:rPr>
          <w:color w:val="0A0A0A"/>
          <w:spacing w:val="-3"/>
          <w:w w:val="105"/>
          <w:sz w:val="21"/>
        </w:rPr>
        <w:t> </w:t>
      </w:r>
      <w:r>
        <w:rPr>
          <w:color w:val="0A0A0A"/>
          <w:w w:val="105"/>
          <w:sz w:val="21"/>
        </w:rPr>
        <w:t>experience</w:t>
      </w:r>
      <w:r>
        <w:rPr>
          <w:color w:val="0A0A0A"/>
          <w:spacing w:val="10"/>
          <w:w w:val="105"/>
          <w:sz w:val="21"/>
        </w:rPr>
        <w:t> </w:t>
      </w:r>
      <w:r>
        <w:rPr>
          <w:color w:val="0A0A0A"/>
          <w:w w:val="105"/>
          <w:sz w:val="21"/>
        </w:rPr>
        <w:t>gains</w:t>
      </w:r>
      <w:r>
        <w:rPr>
          <w:color w:val="0A0A0A"/>
          <w:spacing w:val="-1"/>
          <w:w w:val="105"/>
          <w:sz w:val="21"/>
        </w:rPr>
        <w:t> </w:t>
      </w:r>
      <w:r>
        <w:rPr>
          <w:color w:val="0A0A0A"/>
          <w:w w:val="105"/>
          <w:sz w:val="21"/>
        </w:rPr>
        <w:t>and</w:t>
      </w:r>
      <w:r>
        <w:rPr>
          <w:color w:val="0A0A0A"/>
          <w:spacing w:val="-9"/>
          <w:w w:val="105"/>
          <w:sz w:val="21"/>
        </w:rPr>
        <w:t> </w:t>
      </w:r>
      <w:r>
        <w:rPr>
          <w:color w:val="0A0A0A"/>
          <w:spacing w:val="-2"/>
          <w:w w:val="105"/>
          <w:sz w:val="21"/>
        </w:rPr>
        <w:t>(losses)</w:t>
      </w:r>
    </w:p>
    <w:p>
      <w:pPr>
        <w:pStyle w:val="BodyText"/>
        <w:spacing w:before="3"/>
        <w:rPr>
          <w:sz w:val="14"/>
        </w:rPr>
      </w:pPr>
    </w:p>
    <w:tbl>
      <w:tblPr>
        <w:tblW w:w="0" w:type="auto"/>
        <w:jc w:val="left"/>
        <w:tblInd w:w="15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92"/>
        <w:gridCol w:w="4196"/>
        <w:gridCol w:w="3910"/>
      </w:tblGrid>
      <w:tr>
        <w:trPr>
          <w:trHeight w:val="266" w:hRule="atLeast"/>
        </w:trPr>
        <w:tc>
          <w:tcPr>
            <w:tcW w:w="1292" w:type="dxa"/>
          </w:tcPr>
          <w:p>
            <w:pPr>
              <w:pStyle w:val="TableParagraph"/>
              <w:spacing w:line="235" w:lineRule="exact"/>
              <w:ind w:left="196"/>
              <w:rPr>
                <w:sz w:val="21"/>
              </w:rPr>
            </w:pPr>
            <w:r>
              <w:rPr>
                <w:color w:val="0A0A0A"/>
                <w:spacing w:val="37"/>
                <w:w w:val="105"/>
                <w:sz w:val="21"/>
                <w:u w:val="single" w:color="000000"/>
              </w:rPr>
              <w:t>  </w:t>
            </w:r>
            <w:r>
              <w:rPr>
                <w:color w:val="0A0A0A"/>
                <w:spacing w:val="-2"/>
                <w:w w:val="105"/>
                <w:sz w:val="21"/>
                <w:u w:val="single" w:color="000000"/>
              </w:rPr>
              <w:t>(4,207)</w:t>
            </w:r>
            <w:r>
              <w:rPr>
                <w:color w:val="0A0A0A"/>
                <w:spacing w:val="40"/>
                <w:w w:val="105"/>
                <w:sz w:val="21"/>
                <w:u w:val="single" w:color="000000"/>
              </w:rPr>
              <w:t> </w:t>
            </w:r>
          </w:p>
        </w:tc>
        <w:tc>
          <w:tcPr>
            <w:tcW w:w="4196" w:type="dxa"/>
          </w:tcPr>
          <w:p>
            <w:pPr>
              <w:pStyle w:val="TableParagraph"/>
              <w:spacing w:line="240" w:lineRule="exact"/>
              <w:ind w:left="33"/>
              <w:rPr>
                <w:sz w:val="21"/>
              </w:rPr>
            </w:pPr>
            <w:r>
              <w:rPr>
                <w:color w:val="0A0A0A"/>
                <w:w w:val="105"/>
                <w:sz w:val="21"/>
              </w:rPr>
              <w:t>Benefits</w:t>
            </w:r>
            <w:r>
              <w:rPr>
                <w:color w:val="0A0A0A"/>
                <w:spacing w:val="2"/>
                <w:w w:val="105"/>
                <w:sz w:val="21"/>
              </w:rPr>
              <w:t> </w:t>
            </w:r>
            <w:r>
              <w:rPr>
                <w:color w:val="0A0A0A"/>
                <w:spacing w:val="-4"/>
                <w:w w:val="105"/>
                <w:sz w:val="21"/>
              </w:rPr>
              <w:t>paid</w:t>
            </w:r>
          </w:p>
        </w:tc>
        <w:tc>
          <w:tcPr>
            <w:tcW w:w="3910" w:type="dxa"/>
          </w:tcPr>
          <w:p>
            <w:pPr>
              <w:pStyle w:val="TableParagraph"/>
              <w:tabs>
                <w:tab w:val="left" w:leader="none" w:pos="482"/>
              </w:tabs>
              <w:spacing w:line="240" w:lineRule="exact"/>
              <w:ind w:right="83"/>
              <w:jc w:val="right"/>
              <w:rPr>
                <w:sz w:val="21"/>
              </w:rPr>
            </w:pPr>
            <w:r>
              <w:rPr>
                <w:color w:val="0A0A0A"/>
                <w:sz w:val="21"/>
                <w:u w:val="single" w:color="000000"/>
              </w:rPr>
              <w:tab/>
            </w:r>
            <w:r>
              <w:rPr>
                <w:color w:val="0A0A0A"/>
                <w:spacing w:val="-2"/>
                <w:w w:val="105"/>
                <w:sz w:val="21"/>
                <w:u w:val="single" w:color="000000"/>
              </w:rPr>
              <w:t>(4,354)</w:t>
            </w:r>
            <w:r>
              <w:rPr>
                <w:color w:val="0A0A0A"/>
                <w:spacing w:val="40"/>
                <w:w w:val="105"/>
                <w:sz w:val="21"/>
                <w:u w:val="single" w:color="000000"/>
              </w:rPr>
              <w:t> </w:t>
            </w:r>
          </w:p>
        </w:tc>
      </w:tr>
      <w:tr>
        <w:trPr>
          <w:trHeight w:val="296" w:hRule="atLeast"/>
        </w:trPr>
        <w:tc>
          <w:tcPr>
            <w:tcW w:w="1292" w:type="dxa"/>
          </w:tcPr>
          <w:p>
            <w:pPr>
              <w:pStyle w:val="TableParagraph"/>
              <w:spacing w:before="20"/>
              <w:ind w:left="228"/>
              <w:rPr>
                <w:b/>
                <w:sz w:val="21"/>
              </w:rPr>
            </w:pPr>
            <w:r>
              <w:rPr/>
              <ve:AlternateContent>
                <ve:Choice Requires="wps">
                  <w:drawing>
                    <wp:anchor distT="0" distB="0" distL="0" distR="0" simplePos="0" relativeHeight="15833088" behindDoc="0" locked="0" layoutInCell="1" allowOverlap="1">
                      <wp:simplePos x="0" y="0"/>
                      <wp:positionH relativeFrom="column">
                        <wp:posOffset>-61363</wp:posOffset>
                      </wp:positionH>
                      <wp:positionV relativeFrom="paragraph">
                        <wp:posOffset>175924</wp:posOffset>
                      </wp:positionV>
                      <wp:extent cx="842644" cy="9525"/>
                      <wp:effectExtent l="0" t="0" r="0" b="0"/>
                      <wp:wrapNone/>
                      <wp:docPr id="503" name="Group 503"/>
                      <wp:cNvGraphicFramePr>
                        <a:graphicFrameLocks/>
                      </wp:cNvGraphicFramePr>
                      <a:graphic>
                        <a:graphicData uri="http://schemas.microsoft.com/office/word/2010/wordprocessingGroup">
                          <wpg:wgp>
                            <wpg:cNvPr id="503" name="Group 503"/>
                            <wpg:cNvGrpSpPr/>
                            <wpg:grpSpPr>
                              <a:xfrm>
                                <a:off x="0" y="0"/>
                                <a:ext cx="842644" cy="9525"/>
                                <a:chExt cx="842644" cy="9525"/>
                              </a:xfrm>
                            </wpg:grpSpPr>
                            <wps:wsp>
                              <wps:cNvPr id="504" name="Graphic 504"/>
                              <wps:cNvSpPr/>
                              <wps:spPr>
                                <a:xfrm>
                                  <a:off x="0" y="4577"/>
                                  <a:ext cx="842644" cy="1270"/>
                                </a:xfrm>
                                <a:custGeom>
                                  <a:avLst/>
                                  <a:gdLst/>
                                  <a:ahLst/>
                                  <a:cxnLst/>
                                  <a:rect l="l" t="t" r="r" b="b"/>
                                  <a:pathLst>
                                    <a:path w="842644" h="0">
                                      <a:moveTo>
                                        <a:pt x="0" y="0"/>
                                      </a:moveTo>
                                      <a:lnTo>
                                        <a:pt x="842604"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43" style="position:absolute;margin-left:-4.831807pt;margin-top:13.852283pt;width:66.350pt;height:.75pt;mso-position-horizontal-relative:column;mso-position-vertical-relative:paragraph;z-index:15833088" coordsize="1327,15" coordorigin="-97,277">
                      <v:line style="position:absolute" stroked="true" strokecolor="#000000" strokeweight=".720821pt" from="-97,284" to="1230,284">
                        <v:stroke dashstyle="solid"/>
                      </v:line>
                      <w10:wrap type="none"/>
                    </v:group>
                  </w:pict>
                </ve:Fallback>
              </ve:AlternateContent>
            </w:r>
            <w:r>
              <w:rPr>
                <w:b/>
                <w:color w:val="0A0A0A"/>
                <w:spacing w:val="-2"/>
                <w:w w:val="105"/>
                <w:sz w:val="21"/>
              </w:rPr>
              <w:t>110,561</w:t>
            </w:r>
          </w:p>
        </w:tc>
        <w:tc>
          <w:tcPr>
            <w:tcW w:w="4196" w:type="dxa"/>
          </w:tcPr>
          <w:p>
            <w:pPr>
              <w:pStyle w:val="TableParagraph"/>
              <w:spacing w:before="25"/>
              <w:ind w:left="34"/>
              <w:rPr>
                <w:b/>
                <w:sz w:val="21"/>
              </w:rPr>
            </w:pPr>
            <w:r>
              <w:rPr>
                <w:b/>
                <w:color w:val="0A0A0A"/>
                <w:w w:val="105"/>
                <w:sz w:val="21"/>
              </w:rPr>
              <w:t>As</w:t>
            </w:r>
            <w:r>
              <w:rPr>
                <w:b/>
                <w:color w:val="0A0A0A"/>
                <w:spacing w:val="5"/>
                <w:w w:val="105"/>
                <w:sz w:val="21"/>
              </w:rPr>
              <w:t> </w:t>
            </w:r>
            <w:r>
              <w:rPr>
                <w:b/>
                <w:color w:val="0A0A0A"/>
                <w:w w:val="105"/>
                <w:sz w:val="21"/>
              </w:rPr>
              <w:t>at</w:t>
            </w:r>
            <w:r>
              <w:rPr>
                <w:b/>
                <w:color w:val="0A0A0A"/>
                <w:spacing w:val="-2"/>
                <w:w w:val="105"/>
                <w:sz w:val="21"/>
              </w:rPr>
              <w:t> </w:t>
            </w:r>
            <w:r>
              <w:rPr>
                <w:b/>
                <w:color w:val="0A0A0A"/>
                <w:w w:val="105"/>
                <w:sz w:val="21"/>
              </w:rPr>
              <w:t>31</w:t>
            </w:r>
            <w:r>
              <w:rPr>
                <w:b/>
                <w:color w:val="0A0A0A"/>
                <w:spacing w:val="-7"/>
                <w:w w:val="105"/>
                <w:sz w:val="21"/>
              </w:rPr>
              <w:t> </w:t>
            </w:r>
            <w:r>
              <w:rPr>
                <w:b/>
                <w:color w:val="0A0A0A"/>
                <w:spacing w:val="-2"/>
                <w:w w:val="105"/>
                <w:sz w:val="21"/>
              </w:rPr>
              <w:t>March</w:t>
            </w:r>
          </w:p>
        </w:tc>
        <w:tc>
          <w:tcPr>
            <w:tcW w:w="3910" w:type="dxa"/>
          </w:tcPr>
          <w:p>
            <w:pPr>
              <w:pStyle w:val="TableParagraph"/>
              <w:spacing w:before="29"/>
              <w:ind w:right="134"/>
              <w:jc w:val="right"/>
              <w:rPr>
                <w:b/>
                <w:sz w:val="21"/>
              </w:rPr>
            </w:pPr>
            <w:r>
              <w:rPr/>
              <ve:AlternateContent>
                <ve:Choice Requires="wps">
                  <w:drawing>
                    <wp:anchor distT="0" distB="0" distL="0" distR="0" simplePos="0" relativeHeight="15833600" behindDoc="0" locked="0" layoutInCell="1" allowOverlap="1">
                      <wp:simplePos x="0" y="0"/>
                      <wp:positionH relativeFrom="column">
                        <wp:posOffset>1558074</wp:posOffset>
                      </wp:positionH>
                      <wp:positionV relativeFrom="paragraph">
                        <wp:posOffset>178587</wp:posOffset>
                      </wp:positionV>
                      <wp:extent cx="916305" cy="9525"/>
                      <wp:effectExtent l="0" t="0" r="0" b="0"/>
                      <wp:wrapNone/>
                      <wp:docPr id="505" name="Group 505"/>
                      <wp:cNvGraphicFramePr>
                        <a:graphicFrameLocks/>
                      </wp:cNvGraphicFramePr>
                      <a:graphic>
                        <a:graphicData uri="http://schemas.microsoft.com/office/word/2010/wordprocessingGroup">
                          <wpg:wgp>
                            <wpg:cNvPr id="505" name="Group 505"/>
                            <wpg:cNvGrpSpPr/>
                            <wpg:grpSpPr>
                              <a:xfrm>
                                <a:off x="0" y="0"/>
                                <a:ext cx="916305" cy="9525"/>
                                <a:chExt cx="916305" cy="9525"/>
                              </a:xfrm>
                            </wpg:grpSpPr>
                            <wps:wsp>
                              <wps:cNvPr id="506" name="Graphic 506"/>
                              <wps:cNvSpPr/>
                              <wps:spPr>
                                <a:xfrm>
                                  <a:off x="0" y="4577"/>
                                  <a:ext cx="916305" cy="1270"/>
                                </a:xfrm>
                                <a:custGeom>
                                  <a:avLst/>
                                  <a:gdLst/>
                                  <a:ahLst/>
                                  <a:cxnLst/>
                                  <a:rect l="l" t="t" r="r" b="b"/>
                                  <a:pathLst>
                                    <a:path w="916305" h="0">
                                      <a:moveTo>
                                        <a:pt x="0" y="0"/>
                                      </a:moveTo>
                                      <a:lnTo>
                                        <a:pt x="915874"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44" style="position:absolute;margin-left:122.683029pt;margin-top:14.062012pt;width:72.150pt;height:.75pt;mso-position-horizontal-relative:column;mso-position-vertical-relative:paragraph;z-index:15833600" coordsize="1443,15" coordorigin="2454,281">
                      <v:line style="position:absolute" stroked="true" strokecolor="#000000" strokeweight=".720821pt" from="2454,288" to="3896,288">
                        <v:stroke dashstyle="solid"/>
                      </v:line>
                      <w10:wrap type="none"/>
                    </v:group>
                  </w:pict>
                </ve:Fallback>
              </ve:AlternateContent>
            </w:r>
            <w:r>
              <w:rPr>
                <w:b/>
                <w:color w:val="0A0A0A"/>
                <w:spacing w:val="-2"/>
                <w:w w:val="105"/>
                <w:sz w:val="21"/>
              </w:rPr>
              <w:t>101,940</w:t>
            </w:r>
          </w:p>
        </w:tc>
      </w:tr>
    </w:tbl>
    <w:p>
      <w:pPr>
        <w:spacing w:after="0"/>
        <w:jc w:val="right"/>
        <w:rPr>
          <w:sz w:val="21"/>
        </w:rPr>
        <w:sectPr>
          <w:footerReference w:type="even" r:id="rId194"/>
          <w:footerReference w:type="default" r:id="rId195"/>
          <w:pgSz w:w="11910" w:h="16830"/>
          <w:pgMar w:top="1060" w:right="300" w:bottom="1180" w:left="0" w:header="0" w:footer="990"/>
          <w:pgNumType w:start="92"/>
        </w:sectPr>
      </w:pPr>
    </w:p>
    <w:p>
      <w:pPr>
        <w:pStyle w:val="ListParagraph"/>
        <w:numPr>
          <w:ilvl w:val="2"/>
          <w:numId w:val="21"/>
        </w:numPr>
        <w:tabs>
          <w:tab w:val="left" w:leader="none" w:pos="2107"/>
        </w:tabs>
        <w:spacing w:before="231" w:after="0" w:line="240" w:lineRule="auto"/>
        <w:ind w:left="2107" w:right="0" w:hanging="840"/>
        <w:jc w:val="left"/>
        <w:rPr>
          <w:rFonts w:ascii="Times New Roman"/>
          <w:color w:val="494949"/>
          <w:sz w:val="23"/>
        </w:rPr>
      </w:pPr>
      <w:r>
        <w:rPr>
          <w:color w:val="494949"/>
          <w:w w:val="105"/>
          <w:sz w:val="22"/>
        </w:rPr>
        <w:t>Pension</w:t>
      </w:r>
      <w:r>
        <w:rPr>
          <w:color w:val="494949"/>
          <w:spacing w:val="-7"/>
          <w:w w:val="105"/>
          <w:sz w:val="22"/>
        </w:rPr>
        <w:t> </w:t>
      </w:r>
      <w:r>
        <w:rPr>
          <w:color w:val="494949"/>
          <w:w w:val="105"/>
          <w:sz w:val="22"/>
        </w:rPr>
        <w:t>Fair</w:t>
      </w:r>
      <w:r>
        <w:rPr>
          <w:color w:val="494949"/>
          <w:spacing w:val="-5"/>
          <w:w w:val="105"/>
          <w:sz w:val="22"/>
        </w:rPr>
        <w:t> </w:t>
      </w:r>
      <w:r>
        <w:rPr>
          <w:color w:val="494949"/>
          <w:w w:val="105"/>
          <w:sz w:val="22"/>
        </w:rPr>
        <w:t>Values Scheme</w:t>
      </w:r>
      <w:r>
        <w:rPr>
          <w:color w:val="494949"/>
          <w:spacing w:val="13"/>
          <w:w w:val="105"/>
          <w:sz w:val="22"/>
        </w:rPr>
        <w:t> </w:t>
      </w:r>
      <w:r>
        <w:rPr>
          <w:color w:val="494949"/>
          <w:spacing w:val="-2"/>
          <w:w w:val="105"/>
          <w:sz w:val="22"/>
        </w:rPr>
        <w:t>Assets</w:t>
      </w:r>
    </w:p>
    <w:p>
      <w:pPr>
        <w:pStyle w:val="BodyText"/>
        <w:spacing w:before="234"/>
        <w:ind w:left="1269" w:right="1157" w:hanging="1"/>
      </w:pPr>
      <w:r>
        <w:rPr>
          <w:color w:val="0E0E0E"/>
        </w:rPr>
        <w:t>The</w:t>
      </w:r>
      <w:r>
        <w:rPr>
          <w:color w:val="0E0E0E"/>
          <w:spacing w:val="40"/>
        </w:rPr>
        <w:t> </w:t>
      </w:r>
      <w:r>
        <w:rPr>
          <w:color w:val="0E0E0E"/>
        </w:rPr>
        <w:t>fair</w:t>
      </w:r>
      <w:r>
        <w:rPr>
          <w:color w:val="0E0E0E"/>
          <w:spacing w:val="40"/>
        </w:rPr>
        <w:t> </w:t>
      </w:r>
      <w:r>
        <w:rPr>
          <w:color w:val="0E0E0E"/>
        </w:rPr>
        <w:t>values</w:t>
      </w:r>
      <w:r>
        <w:rPr>
          <w:color w:val="0E0E0E"/>
          <w:spacing w:val="40"/>
        </w:rPr>
        <w:t> </w:t>
      </w:r>
      <w:r>
        <w:rPr>
          <w:color w:val="0E0E0E"/>
        </w:rPr>
        <w:t>of</w:t>
      </w:r>
      <w:r>
        <w:rPr>
          <w:color w:val="0E0E0E"/>
          <w:spacing w:val="40"/>
        </w:rPr>
        <w:t> </w:t>
      </w:r>
      <w:r>
        <w:rPr>
          <w:color w:val="0E0E0E"/>
        </w:rPr>
        <w:t>scheme</w:t>
      </w:r>
      <w:r>
        <w:rPr>
          <w:color w:val="0E0E0E"/>
          <w:spacing w:val="40"/>
        </w:rPr>
        <w:t> </w:t>
      </w:r>
      <w:r>
        <w:rPr>
          <w:color w:val="0E0E0E"/>
        </w:rPr>
        <w:t>assets</w:t>
      </w:r>
      <w:r>
        <w:rPr>
          <w:color w:val="0E0E0E"/>
          <w:spacing w:val="40"/>
        </w:rPr>
        <w:t> </w:t>
      </w:r>
      <w:r>
        <w:rPr>
          <w:color w:val="0E0E0E"/>
        </w:rPr>
        <w:t>are</w:t>
      </w:r>
      <w:r>
        <w:rPr>
          <w:color w:val="0E0E0E"/>
          <w:spacing w:val="40"/>
        </w:rPr>
        <w:t> </w:t>
      </w:r>
      <w:r>
        <w:rPr>
          <w:color w:val="0E0E0E"/>
        </w:rPr>
        <w:t>made</w:t>
      </w:r>
      <w:r>
        <w:rPr>
          <w:color w:val="0E0E0E"/>
          <w:spacing w:val="40"/>
        </w:rPr>
        <w:t> </w:t>
      </w:r>
      <w:r>
        <w:rPr>
          <w:color w:val="0E0E0E"/>
        </w:rPr>
        <w:t>up</w:t>
      </w:r>
      <w:r>
        <w:rPr>
          <w:color w:val="0E0E0E"/>
          <w:spacing w:val="40"/>
        </w:rPr>
        <w:t> </w:t>
      </w:r>
      <w:r>
        <w:rPr>
          <w:color w:val="0E0E0E"/>
        </w:rPr>
        <w:t>of</w:t>
      </w:r>
      <w:r>
        <w:rPr>
          <w:color w:val="0E0E0E"/>
          <w:spacing w:val="40"/>
        </w:rPr>
        <w:t> </w:t>
      </w:r>
      <w:r>
        <w:rPr>
          <w:color w:val="0E0E0E"/>
        </w:rPr>
        <w:t>the</w:t>
      </w:r>
      <w:r>
        <w:rPr>
          <w:color w:val="0E0E0E"/>
          <w:spacing w:val="40"/>
        </w:rPr>
        <w:t> </w:t>
      </w:r>
      <w:r>
        <w:rPr>
          <w:color w:val="0E0E0E"/>
        </w:rPr>
        <w:t>following</w:t>
      </w:r>
      <w:r>
        <w:rPr>
          <w:color w:val="0E0E0E"/>
          <w:spacing w:val="40"/>
        </w:rPr>
        <w:t> </w:t>
      </w:r>
      <w:r>
        <w:rPr>
          <w:color w:val="0E0E0E"/>
        </w:rPr>
        <w:t>types</w:t>
      </w:r>
      <w:r>
        <w:rPr>
          <w:color w:val="0E0E0E"/>
          <w:spacing w:val="40"/>
        </w:rPr>
        <w:t> </w:t>
      </w:r>
      <w:r>
        <w:rPr>
          <w:color w:val="0E0E0E"/>
        </w:rPr>
        <w:t>of</w:t>
      </w:r>
      <w:r>
        <w:rPr>
          <w:color w:val="0E0E0E"/>
          <w:spacing w:val="40"/>
        </w:rPr>
        <w:t> </w:t>
      </w:r>
      <w:r>
        <w:rPr>
          <w:color w:val="0E0E0E"/>
        </w:rPr>
        <w:t>investments</w:t>
      </w:r>
      <w:r>
        <w:rPr>
          <w:color w:val="0E0E0E"/>
          <w:spacing w:val="40"/>
        </w:rPr>
        <w:t> </w:t>
      </w:r>
      <w:r>
        <w:rPr>
          <w:color w:val="0E0E0E"/>
        </w:rPr>
        <w:t>by proportion of total assets held:</w:t>
      </w:r>
    </w:p>
    <w:p>
      <w:pPr>
        <w:spacing w:before="72" w:after="15"/>
        <w:ind w:left="7210" w:right="0" w:firstLine="0"/>
        <w:jc w:val="left"/>
        <w:rPr>
          <w:rFonts w:ascii="Times New Roman"/>
          <w:sz w:val="23"/>
        </w:rPr>
      </w:pPr>
      <w:r>
        <w:rPr>
          <w:color w:val="0E0E0E"/>
          <w:w w:val="105"/>
          <w:sz w:val="22"/>
        </w:rPr>
        <w:t>Year ended </w:t>
      </w:r>
      <w:r>
        <w:rPr>
          <w:rFonts w:ascii="Times New Roman"/>
          <w:color w:val="0E0E0E"/>
          <w:w w:val="105"/>
          <w:sz w:val="23"/>
        </w:rPr>
        <w:t>31</w:t>
      </w:r>
      <w:r>
        <w:rPr>
          <w:rFonts w:ascii="Times New Roman"/>
          <w:color w:val="0E0E0E"/>
          <w:spacing w:val="-8"/>
          <w:w w:val="105"/>
          <w:sz w:val="23"/>
        </w:rPr>
        <w:t> </w:t>
      </w:r>
      <w:r>
        <w:rPr>
          <w:color w:val="0E0E0E"/>
          <w:w w:val="105"/>
          <w:sz w:val="22"/>
        </w:rPr>
        <w:t>March</w:t>
      </w:r>
      <w:r>
        <w:rPr>
          <w:color w:val="0E0E0E"/>
          <w:spacing w:val="8"/>
          <w:w w:val="105"/>
          <w:sz w:val="22"/>
        </w:rPr>
        <w:t> </w:t>
      </w:r>
      <w:r>
        <w:rPr>
          <w:rFonts w:ascii="Times New Roman"/>
          <w:color w:val="0E0E0E"/>
          <w:spacing w:val="-4"/>
          <w:w w:val="105"/>
          <w:sz w:val="23"/>
        </w:rPr>
        <w:t>2022</w:t>
      </w:r>
    </w:p>
    <w:tbl>
      <w:tblPr>
        <w:tblW w:w="0" w:type="auto"/>
        <w:jc w:val="left"/>
        <w:tblInd w:w="14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635"/>
        <w:gridCol w:w="654"/>
        <w:gridCol w:w="862"/>
        <w:gridCol w:w="1632"/>
        <w:gridCol w:w="1310"/>
        <w:gridCol w:w="355"/>
        <w:gridCol w:w="304"/>
      </w:tblGrid>
      <w:tr>
        <w:trPr>
          <w:trHeight w:val="1047" w:hRule="atLeast"/>
        </w:trPr>
        <w:tc>
          <w:tcPr>
            <w:tcW w:w="4635" w:type="dxa"/>
            <w:vMerge w:val="restart"/>
          </w:tcPr>
          <w:p>
            <w:pPr>
              <w:pStyle w:val="TableParagraph"/>
              <w:rPr>
                <w:rFonts w:ascii="Times New Roman"/>
                <w:sz w:val="22"/>
              </w:rPr>
            </w:pPr>
          </w:p>
        </w:tc>
        <w:tc>
          <w:tcPr>
            <w:tcW w:w="1516" w:type="dxa"/>
            <w:gridSpan w:val="2"/>
          </w:tcPr>
          <w:p>
            <w:pPr>
              <w:pStyle w:val="TableParagraph"/>
              <w:ind w:left="247" w:right="364" w:firstLine="13"/>
              <w:jc w:val="center"/>
              <w:rPr>
                <w:b/>
                <w:sz w:val="22"/>
              </w:rPr>
            </w:pPr>
            <w:r>
              <w:rPr>
                <w:color w:val="0E0E0E"/>
                <w:spacing w:val="-2"/>
                <w:w w:val="105"/>
                <w:sz w:val="22"/>
              </w:rPr>
              <w:t>Quoted </w:t>
            </w:r>
            <w:r>
              <w:rPr>
                <w:color w:val="0E0E0E"/>
                <w:w w:val="105"/>
                <w:sz w:val="22"/>
              </w:rPr>
              <w:t>Prices</w:t>
            </w:r>
            <w:r>
              <w:rPr>
                <w:color w:val="0E0E0E"/>
                <w:spacing w:val="-17"/>
                <w:w w:val="105"/>
                <w:sz w:val="22"/>
              </w:rPr>
              <w:t> </w:t>
            </w:r>
            <w:r>
              <w:rPr>
                <w:color w:val="0E0E0E"/>
                <w:w w:val="105"/>
                <w:sz w:val="22"/>
              </w:rPr>
              <w:t>in </w:t>
            </w:r>
            <w:r>
              <w:rPr>
                <w:color w:val="0E0E0E"/>
                <w:spacing w:val="-2"/>
                <w:w w:val="105"/>
                <w:sz w:val="22"/>
              </w:rPr>
              <w:t>Active </w:t>
            </w:r>
            <w:r>
              <w:rPr>
                <w:b/>
                <w:color w:val="0E0E0E"/>
                <w:spacing w:val="-2"/>
                <w:w w:val="105"/>
                <w:sz w:val="22"/>
              </w:rPr>
              <w:t>Markets</w:t>
            </w:r>
          </w:p>
        </w:tc>
        <w:tc>
          <w:tcPr>
            <w:tcW w:w="1632" w:type="dxa"/>
          </w:tcPr>
          <w:p>
            <w:pPr>
              <w:pStyle w:val="TableParagraph"/>
              <w:ind w:left="20" w:right="290" w:firstLine="14"/>
              <w:jc w:val="center"/>
              <w:rPr>
                <w:b/>
                <w:sz w:val="22"/>
              </w:rPr>
            </w:pPr>
            <w:r>
              <w:rPr>
                <w:color w:val="0E0E0E"/>
                <w:spacing w:val="-2"/>
                <w:w w:val="105"/>
                <w:sz w:val="22"/>
              </w:rPr>
              <w:t>Quoted </w:t>
            </w:r>
            <w:r>
              <w:rPr>
                <w:color w:val="0E0E0E"/>
                <w:w w:val="105"/>
                <w:sz w:val="22"/>
              </w:rPr>
              <w:t>Prices not </w:t>
            </w:r>
            <w:r>
              <w:rPr>
                <w:color w:val="0E0E0E"/>
                <w:w w:val="105"/>
                <w:sz w:val="22"/>
              </w:rPr>
              <w:t>in </w:t>
            </w:r>
            <w:r>
              <w:rPr>
                <w:color w:val="0E0E0E"/>
                <w:spacing w:val="-2"/>
                <w:w w:val="105"/>
                <w:sz w:val="22"/>
              </w:rPr>
              <w:t>Active </w:t>
            </w:r>
            <w:r>
              <w:rPr>
                <w:b/>
                <w:color w:val="0E0E0E"/>
                <w:spacing w:val="-2"/>
                <w:w w:val="105"/>
                <w:sz w:val="22"/>
              </w:rPr>
              <w:t>Markets</w:t>
            </w:r>
          </w:p>
        </w:tc>
        <w:tc>
          <w:tcPr>
            <w:tcW w:w="1310" w:type="dxa"/>
          </w:tcPr>
          <w:p>
            <w:pPr>
              <w:pStyle w:val="TableParagraph"/>
              <w:rPr>
                <w:rFonts w:ascii="Times New Roman"/>
                <w:sz w:val="22"/>
              </w:rPr>
            </w:pPr>
          </w:p>
          <w:p>
            <w:pPr>
              <w:pStyle w:val="TableParagraph"/>
              <w:spacing w:before="246"/>
              <w:rPr>
                <w:rFonts w:ascii="Times New Roman"/>
                <w:sz w:val="22"/>
              </w:rPr>
            </w:pPr>
          </w:p>
          <w:p>
            <w:pPr>
              <w:pStyle w:val="TableParagraph"/>
              <w:ind w:right="148"/>
              <w:jc w:val="right"/>
              <w:rPr>
                <w:sz w:val="22"/>
              </w:rPr>
            </w:pPr>
            <w:r>
              <w:rPr>
                <w:color w:val="0E0E0E"/>
                <w:spacing w:val="-2"/>
                <w:w w:val="110"/>
                <w:sz w:val="22"/>
              </w:rPr>
              <w:t>Total</w:t>
            </w:r>
          </w:p>
        </w:tc>
        <w:tc>
          <w:tcPr>
            <w:tcW w:w="355" w:type="dxa"/>
          </w:tcPr>
          <w:p>
            <w:pPr>
              <w:pStyle w:val="TableParagraph"/>
              <w:rPr>
                <w:rFonts w:ascii="Times New Roman"/>
                <w:sz w:val="22"/>
              </w:rPr>
            </w:pPr>
          </w:p>
        </w:tc>
        <w:tc>
          <w:tcPr>
            <w:tcW w:w="304" w:type="dxa"/>
            <w:vMerge w:val="restart"/>
          </w:tcPr>
          <w:p>
            <w:pPr>
              <w:pStyle w:val="TableParagraph"/>
              <w:rPr>
                <w:rFonts w:ascii="Times New Roman"/>
                <w:sz w:val="22"/>
              </w:rPr>
            </w:pPr>
          </w:p>
        </w:tc>
      </w:tr>
      <w:tr>
        <w:trPr>
          <w:trHeight w:val="321" w:hRule="atLeast"/>
        </w:trPr>
        <w:tc>
          <w:tcPr>
            <w:tcW w:w="4635" w:type="dxa"/>
            <w:vMerge/>
            <w:tcBorders>
              <w:top w:val="nil"/>
            </w:tcBorders>
          </w:tcPr>
          <w:p>
            <w:pPr>
              <w:rPr>
                <w:sz w:val="2"/>
                <w:szCs w:val="2"/>
              </w:rPr>
            </w:pPr>
          </w:p>
        </w:tc>
        <w:tc>
          <w:tcPr>
            <w:tcW w:w="1516" w:type="dxa"/>
            <w:gridSpan w:val="2"/>
          </w:tcPr>
          <w:p>
            <w:pPr>
              <w:pStyle w:val="TableParagraph"/>
              <w:spacing w:before="41"/>
              <w:ind w:left="465"/>
              <w:rPr>
                <w:b/>
                <w:sz w:val="22"/>
              </w:rPr>
            </w:pPr>
            <w:r>
              <w:rPr>
                <w:b/>
                <w:color w:val="0E0E0E"/>
                <w:spacing w:val="-4"/>
                <w:sz w:val="22"/>
              </w:rPr>
              <w:t>£000</w:t>
            </w:r>
          </w:p>
        </w:tc>
        <w:tc>
          <w:tcPr>
            <w:tcW w:w="1632" w:type="dxa"/>
          </w:tcPr>
          <w:p>
            <w:pPr>
              <w:pStyle w:val="TableParagraph"/>
              <w:spacing w:before="41"/>
              <w:ind w:left="444"/>
              <w:rPr>
                <w:b/>
                <w:sz w:val="22"/>
              </w:rPr>
            </w:pPr>
            <w:r>
              <w:rPr>
                <w:b/>
                <w:color w:val="0E0E0E"/>
                <w:spacing w:val="-4"/>
                <w:sz w:val="22"/>
              </w:rPr>
              <w:t>£000</w:t>
            </w:r>
          </w:p>
        </w:tc>
        <w:tc>
          <w:tcPr>
            <w:tcW w:w="1310" w:type="dxa"/>
          </w:tcPr>
          <w:p>
            <w:pPr>
              <w:pStyle w:val="TableParagraph"/>
              <w:spacing w:before="41"/>
              <w:ind w:left="240"/>
              <w:rPr>
                <w:b/>
                <w:sz w:val="22"/>
              </w:rPr>
            </w:pPr>
            <w:r>
              <w:rPr>
                <w:b/>
                <w:color w:val="0E0E0E"/>
                <w:spacing w:val="-4"/>
                <w:sz w:val="22"/>
              </w:rPr>
              <w:t>£000</w:t>
            </w:r>
          </w:p>
        </w:tc>
        <w:tc>
          <w:tcPr>
            <w:tcW w:w="355" w:type="dxa"/>
          </w:tcPr>
          <w:p>
            <w:pPr>
              <w:pStyle w:val="TableParagraph"/>
              <w:spacing w:before="32"/>
              <w:ind w:left="120"/>
              <w:rPr>
                <w:rFonts w:ascii="Times New Roman"/>
                <w:sz w:val="23"/>
              </w:rPr>
            </w:pPr>
            <w:r>
              <w:rPr>
                <w:rFonts w:ascii="Times New Roman"/>
                <w:color w:val="0E0E0E"/>
                <w:spacing w:val="-10"/>
                <w:w w:val="105"/>
                <w:sz w:val="23"/>
              </w:rPr>
              <w:t>%</w:t>
            </w:r>
          </w:p>
        </w:tc>
        <w:tc>
          <w:tcPr>
            <w:tcW w:w="304" w:type="dxa"/>
            <w:vMerge/>
            <w:tcBorders>
              <w:top w:val="nil"/>
            </w:tcBorders>
          </w:tcPr>
          <w:p>
            <w:pPr>
              <w:rPr>
                <w:sz w:val="2"/>
                <w:szCs w:val="2"/>
              </w:rPr>
            </w:pPr>
          </w:p>
        </w:tc>
      </w:tr>
      <w:tr>
        <w:trPr>
          <w:trHeight w:val="481" w:hRule="atLeast"/>
        </w:trPr>
        <w:tc>
          <w:tcPr>
            <w:tcW w:w="4635" w:type="dxa"/>
          </w:tcPr>
          <w:p>
            <w:pPr>
              <w:pStyle w:val="TableParagraph"/>
              <w:spacing w:before="17"/>
              <w:ind w:left="52"/>
              <w:rPr>
                <w:sz w:val="22"/>
              </w:rPr>
            </w:pPr>
            <w:r>
              <w:rPr>
                <w:color w:val="0E0E0E"/>
                <w:w w:val="105"/>
                <w:sz w:val="22"/>
              </w:rPr>
              <w:t>Cash</w:t>
            </w:r>
            <w:r>
              <w:rPr>
                <w:color w:val="0E0E0E"/>
                <w:spacing w:val="4"/>
                <w:w w:val="105"/>
                <w:sz w:val="22"/>
              </w:rPr>
              <w:t> </w:t>
            </w:r>
            <w:r>
              <w:rPr>
                <w:color w:val="0E0E0E"/>
                <w:w w:val="105"/>
                <w:sz w:val="22"/>
              </w:rPr>
              <w:t>and</w:t>
            </w:r>
            <w:r>
              <w:rPr>
                <w:color w:val="0E0E0E"/>
                <w:spacing w:val="-3"/>
                <w:w w:val="105"/>
                <w:sz w:val="22"/>
              </w:rPr>
              <w:t> </w:t>
            </w:r>
            <w:r>
              <w:rPr>
                <w:color w:val="0E0E0E"/>
                <w:w w:val="105"/>
                <w:sz w:val="22"/>
              </w:rPr>
              <w:t>cash </w:t>
            </w:r>
            <w:r>
              <w:rPr>
                <w:color w:val="0E0E0E"/>
                <w:spacing w:val="-2"/>
                <w:w w:val="105"/>
                <w:sz w:val="22"/>
              </w:rPr>
              <w:t>equivalents</w:t>
            </w:r>
          </w:p>
        </w:tc>
        <w:tc>
          <w:tcPr>
            <w:tcW w:w="1516" w:type="dxa"/>
            <w:gridSpan w:val="2"/>
          </w:tcPr>
          <w:p>
            <w:pPr>
              <w:pStyle w:val="TableParagraph"/>
              <w:spacing w:before="17"/>
              <w:ind w:left="760"/>
              <w:rPr>
                <w:b/>
                <w:sz w:val="22"/>
              </w:rPr>
            </w:pPr>
            <w:r>
              <w:rPr>
                <w:b/>
                <w:color w:val="0E0E0E"/>
                <w:spacing w:val="-2"/>
                <w:sz w:val="22"/>
              </w:rPr>
              <w:t>6,469</w:t>
            </w:r>
          </w:p>
        </w:tc>
        <w:tc>
          <w:tcPr>
            <w:tcW w:w="1632" w:type="dxa"/>
          </w:tcPr>
          <w:p>
            <w:pPr>
              <w:pStyle w:val="TableParagraph"/>
              <w:rPr>
                <w:rFonts w:ascii="Times New Roman"/>
                <w:sz w:val="22"/>
              </w:rPr>
            </w:pPr>
          </w:p>
        </w:tc>
        <w:tc>
          <w:tcPr>
            <w:tcW w:w="1310" w:type="dxa"/>
          </w:tcPr>
          <w:p>
            <w:pPr>
              <w:pStyle w:val="TableParagraph"/>
              <w:spacing w:before="17"/>
              <w:ind w:left="472"/>
              <w:rPr>
                <w:b/>
                <w:sz w:val="22"/>
              </w:rPr>
            </w:pPr>
            <w:r>
              <w:rPr>
                <w:b/>
                <w:color w:val="0E0E0E"/>
                <w:spacing w:val="-2"/>
                <w:sz w:val="22"/>
              </w:rPr>
              <w:t>6,469</w:t>
            </w:r>
          </w:p>
        </w:tc>
        <w:tc>
          <w:tcPr>
            <w:tcW w:w="355" w:type="dxa"/>
          </w:tcPr>
          <w:p>
            <w:pPr>
              <w:pStyle w:val="TableParagraph"/>
              <w:rPr>
                <w:rFonts w:ascii="Times New Roman"/>
                <w:sz w:val="22"/>
              </w:rPr>
            </w:pPr>
          </w:p>
        </w:tc>
        <w:tc>
          <w:tcPr>
            <w:tcW w:w="304" w:type="dxa"/>
          </w:tcPr>
          <w:p>
            <w:pPr>
              <w:pStyle w:val="TableParagraph"/>
              <w:spacing w:before="17"/>
              <w:ind w:left="34"/>
              <w:rPr>
                <w:sz w:val="22"/>
              </w:rPr>
            </w:pPr>
            <w:r>
              <w:rPr>
                <w:color w:val="0E0E0E"/>
                <w:spacing w:val="-10"/>
                <w:w w:val="105"/>
                <w:sz w:val="22"/>
              </w:rPr>
              <w:t>6</w:t>
            </w:r>
          </w:p>
        </w:tc>
      </w:tr>
      <w:tr>
        <w:trPr>
          <w:trHeight w:val="509" w:hRule="atLeast"/>
        </w:trPr>
        <w:tc>
          <w:tcPr>
            <w:tcW w:w="4635" w:type="dxa"/>
          </w:tcPr>
          <w:p>
            <w:pPr>
              <w:pStyle w:val="TableParagraph"/>
              <w:spacing w:before="204"/>
              <w:ind w:left="55"/>
              <w:rPr>
                <w:sz w:val="22"/>
              </w:rPr>
            </w:pPr>
            <w:r>
              <w:rPr>
                <w:color w:val="0E0E0E"/>
                <w:w w:val="110"/>
                <w:sz w:val="22"/>
              </w:rPr>
              <w:t>Equity</w:t>
            </w:r>
            <w:r>
              <w:rPr>
                <w:color w:val="0E0E0E"/>
                <w:spacing w:val="-13"/>
                <w:w w:val="110"/>
                <w:sz w:val="22"/>
              </w:rPr>
              <w:t> </w:t>
            </w:r>
            <w:r>
              <w:rPr>
                <w:color w:val="0E0E0E"/>
                <w:spacing w:val="-2"/>
                <w:w w:val="110"/>
                <w:sz w:val="22"/>
              </w:rPr>
              <w:t>instruments:</w:t>
            </w:r>
          </w:p>
        </w:tc>
        <w:tc>
          <w:tcPr>
            <w:tcW w:w="1516" w:type="dxa"/>
            <w:gridSpan w:val="2"/>
          </w:tcPr>
          <w:p>
            <w:pPr>
              <w:pStyle w:val="TableParagraph"/>
              <w:rPr>
                <w:rFonts w:ascii="Times New Roman"/>
                <w:sz w:val="22"/>
              </w:rPr>
            </w:pPr>
          </w:p>
        </w:tc>
        <w:tc>
          <w:tcPr>
            <w:tcW w:w="1632" w:type="dxa"/>
          </w:tcPr>
          <w:p>
            <w:pPr>
              <w:pStyle w:val="TableParagraph"/>
              <w:rPr>
                <w:rFonts w:ascii="Times New Roman"/>
                <w:sz w:val="22"/>
              </w:rPr>
            </w:pPr>
          </w:p>
        </w:tc>
        <w:tc>
          <w:tcPr>
            <w:tcW w:w="1310" w:type="dxa"/>
          </w:tcPr>
          <w:p>
            <w:pPr>
              <w:pStyle w:val="TableParagraph"/>
              <w:rPr>
                <w:rFonts w:ascii="Times New Roman"/>
                <w:sz w:val="22"/>
              </w:rPr>
            </w:pPr>
          </w:p>
        </w:tc>
        <w:tc>
          <w:tcPr>
            <w:tcW w:w="355" w:type="dxa"/>
          </w:tcPr>
          <w:p>
            <w:pPr>
              <w:pStyle w:val="TableParagraph"/>
              <w:rPr>
                <w:rFonts w:ascii="Times New Roman"/>
                <w:sz w:val="22"/>
              </w:rPr>
            </w:pPr>
          </w:p>
        </w:tc>
        <w:tc>
          <w:tcPr>
            <w:tcW w:w="304" w:type="dxa"/>
          </w:tcPr>
          <w:p>
            <w:pPr>
              <w:pStyle w:val="TableParagraph"/>
              <w:rPr>
                <w:rFonts w:ascii="Times New Roman"/>
                <w:sz w:val="22"/>
              </w:rPr>
            </w:pPr>
          </w:p>
        </w:tc>
      </w:tr>
      <w:tr>
        <w:trPr>
          <w:trHeight w:val="308" w:hRule="atLeast"/>
        </w:trPr>
        <w:tc>
          <w:tcPr>
            <w:tcW w:w="4635" w:type="dxa"/>
          </w:tcPr>
          <w:p>
            <w:pPr>
              <w:pStyle w:val="TableParagraph"/>
              <w:spacing w:before="45"/>
              <w:ind w:left="53"/>
              <w:rPr>
                <w:i/>
                <w:sz w:val="21"/>
              </w:rPr>
            </w:pPr>
            <w:r>
              <w:rPr>
                <w:i/>
                <w:color w:val="0E0E0E"/>
                <w:w w:val="105"/>
                <w:sz w:val="21"/>
              </w:rPr>
              <w:t>By</w:t>
            </w:r>
            <w:r>
              <w:rPr>
                <w:i/>
                <w:color w:val="0E0E0E"/>
                <w:spacing w:val="-6"/>
                <w:w w:val="105"/>
                <w:sz w:val="21"/>
              </w:rPr>
              <w:t> </w:t>
            </w:r>
            <w:r>
              <w:rPr>
                <w:i/>
                <w:color w:val="0E0E0E"/>
                <w:w w:val="105"/>
                <w:sz w:val="21"/>
              </w:rPr>
              <w:t>industry</w:t>
            </w:r>
            <w:r>
              <w:rPr>
                <w:i/>
                <w:color w:val="0E0E0E"/>
                <w:spacing w:val="-2"/>
                <w:w w:val="105"/>
                <w:sz w:val="21"/>
              </w:rPr>
              <w:t> type:</w:t>
            </w:r>
          </w:p>
        </w:tc>
        <w:tc>
          <w:tcPr>
            <w:tcW w:w="1516" w:type="dxa"/>
            <w:gridSpan w:val="2"/>
          </w:tcPr>
          <w:p>
            <w:pPr>
              <w:pStyle w:val="TableParagraph"/>
              <w:rPr>
                <w:rFonts w:ascii="Times New Roman"/>
                <w:sz w:val="22"/>
              </w:rPr>
            </w:pPr>
          </w:p>
        </w:tc>
        <w:tc>
          <w:tcPr>
            <w:tcW w:w="1632" w:type="dxa"/>
          </w:tcPr>
          <w:p>
            <w:pPr>
              <w:pStyle w:val="TableParagraph"/>
              <w:rPr>
                <w:rFonts w:ascii="Times New Roman"/>
                <w:sz w:val="22"/>
              </w:rPr>
            </w:pPr>
          </w:p>
        </w:tc>
        <w:tc>
          <w:tcPr>
            <w:tcW w:w="1310" w:type="dxa"/>
          </w:tcPr>
          <w:p>
            <w:pPr>
              <w:pStyle w:val="TableParagraph"/>
              <w:rPr>
                <w:rFonts w:ascii="Times New Roman"/>
                <w:sz w:val="22"/>
              </w:rPr>
            </w:pPr>
          </w:p>
        </w:tc>
        <w:tc>
          <w:tcPr>
            <w:tcW w:w="355" w:type="dxa"/>
          </w:tcPr>
          <w:p>
            <w:pPr>
              <w:pStyle w:val="TableParagraph"/>
              <w:rPr>
                <w:rFonts w:ascii="Times New Roman"/>
                <w:sz w:val="22"/>
              </w:rPr>
            </w:pPr>
          </w:p>
        </w:tc>
        <w:tc>
          <w:tcPr>
            <w:tcW w:w="304" w:type="dxa"/>
          </w:tcPr>
          <w:p>
            <w:pPr>
              <w:pStyle w:val="TableParagraph"/>
              <w:rPr>
                <w:rFonts w:ascii="Times New Roman"/>
                <w:sz w:val="22"/>
              </w:rPr>
            </w:pPr>
          </w:p>
        </w:tc>
      </w:tr>
      <w:tr>
        <w:trPr>
          <w:trHeight w:val="337" w:hRule="atLeast"/>
        </w:trPr>
        <w:tc>
          <w:tcPr>
            <w:tcW w:w="4635" w:type="dxa"/>
          </w:tcPr>
          <w:p>
            <w:pPr>
              <w:pStyle w:val="TableParagraph"/>
              <w:spacing w:before="59"/>
              <w:ind w:left="56"/>
              <w:rPr>
                <w:sz w:val="22"/>
              </w:rPr>
            </w:pPr>
            <w:r>
              <w:rPr>
                <w:color w:val="0E0E0E"/>
                <w:spacing w:val="-2"/>
                <w:sz w:val="22"/>
              </w:rPr>
              <w:t>Consumer</w:t>
            </w:r>
          </w:p>
        </w:tc>
        <w:tc>
          <w:tcPr>
            <w:tcW w:w="1516" w:type="dxa"/>
            <w:gridSpan w:val="2"/>
          </w:tcPr>
          <w:p>
            <w:pPr>
              <w:pStyle w:val="TableParagraph"/>
              <w:spacing w:before="25"/>
              <w:ind w:left="764"/>
              <w:rPr>
                <w:sz w:val="22"/>
              </w:rPr>
            </w:pPr>
            <w:r>
              <w:rPr>
                <w:color w:val="0E0E0E"/>
                <w:spacing w:val="-2"/>
                <w:sz w:val="22"/>
              </w:rPr>
              <w:t>1,577</w:t>
            </w:r>
          </w:p>
        </w:tc>
        <w:tc>
          <w:tcPr>
            <w:tcW w:w="1632" w:type="dxa"/>
          </w:tcPr>
          <w:p>
            <w:pPr>
              <w:pStyle w:val="TableParagraph"/>
              <w:rPr>
                <w:rFonts w:ascii="Times New Roman"/>
                <w:sz w:val="22"/>
              </w:rPr>
            </w:pPr>
          </w:p>
        </w:tc>
        <w:tc>
          <w:tcPr>
            <w:tcW w:w="1310" w:type="dxa"/>
          </w:tcPr>
          <w:p>
            <w:pPr>
              <w:pStyle w:val="TableParagraph"/>
              <w:spacing w:before="20"/>
              <w:ind w:left="479"/>
              <w:rPr>
                <w:b/>
                <w:sz w:val="22"/>
              </w:rPr>
            </w:pPr>
            <w:r>
              <w:rPr>
                <w:b/>
                <w:color w:val="0E0E0E"/>
                <w:spacing w:val="-2"/>
                <w:sz w:val="22"/>
              </w:rPr>
              <w:t>1,577</w:t>
            </w:r>
          </w:p>
        </w:tc>
        <w:tc>
          <w:tcPr>
            <w:tcW w:w="355" w:type="dxa"/>
          </w:tcPr>
          <w:p>
            <w:pPr>
              <w:pStyle w:val="TableParagraph"/>
              <w:rPr>
                <w:rFonts w:ascii="Times New Roman"/>
                <w:sz w:val="22"/>
              </w:rPr>
            </w:pPr>
          </w:p>
        </w:tc>
        <w:tc>
          <w:tcPr>
            <w:tcW w:w="304" w:type="dxa"/>
          </w:tcPr>
          <w:p>
            <w:pPr>
              <w:pStyle w:val="TableParagraph"/>
              <w:spacing w:before="12"/>
              <w:ind w:left="30"/>
              <w:rPr>
                <w:rFonts w:ascii="Times New Roman"/>
                <w:sz w:val="23"/>
              </w:rPr>
            </w:pPr>
            <w:r>
              <w:rPr>
                <w:rFonts w:ascii="Times New Roman"/>
                <w:color w:val="0E0E0E"/>
                <w:spacing w:val="-10"/>
                <w:sz w:val="23"/>
              </w:rPr>
              <w:t>1</w:t>
            </w:r>
          </w:p>
        </w:tc>
      </w:tr>
      <w:tr>
        <w:trPr>
          <w:trHeight w:val="331" w:hRule="atLeast"/>
        </w:trPr>
        <w:tc>
          <w:tcPr>
            <w:tcW w:w="4635" w:type="dxa"/>
          </w:tcPr>
          <w:p>
            <w:pPr>
              <w:pStyle w:val="TableParagraph"/>
              <w:spacing w:before="57"/>
              <w:ind w:left="51"/>
              <w:rPr>
                <w:sz w:val="22"/>
              </w:rPr>
            </w:pPr>
            <w:r>
              <w:rPr>
                <w:color w:val="0E0E0E"/>
                <w:spacing w:val="-2"/>
                <w:sz w:val="22"/>
              </w:rPr>
              <w:t>Manufacturing</w:t>
            </w:r>
          </w:p>
        </w:tc>
        <w:tc>
          <w:tcPr>
            <w:tcW w:w="1516" w:type="dxa"/>
            <w:gridSpan w:val="2"/>
          </w:tcPr>
          <w:p>
            <w:pPr>
              <w:pStyle w:val="TableParagraph"/>
              <w:spacing w:before="23"/>
              <w:ind w:left="947"/>
              <w:rPr>
                <w:sz w:val="22"/>
              </w:rPr>
            </w:pPr>
            <w:r>
              <w:rPr>
                <w:color w:val="0E0E0E"/>
                <w:spacing w:val="-5"/>
                <w:sz w:val="22"/>
              </w:rPr>
              <w:t>523</w:t>
            </w:r>
          </w:p>
        </w:tc>
        <w:tc>
          <w:tcPr>
            <w:tcW w:w="1632" w:type="dxa"/>
          </w:tcPr>
          <w:p>
            <w:pPr>
              <w:pStyle w:val="TableParagraph"/>
              <w:rPr>
                <w:rFonts w:ascii="Times New Roman"/>
                <w:sz w:val="22"/>
              </w:rPr>
            </w:pPr>
          </w:p>
        </w:tc>
        <w:tc>
          <w:tcPr>
            <w:tcW w:w="1310" w:type="dxa"/>
          </w:tcPr>
          <w:p>
            <w:pPr>
              <w:pStyle w:val="TableParagraph"/>
              <w:spacing w:before="19"/>
              <w:ind w:left="664"/>
              <w:rPr>
                <w:b/>
                <w:sz w:val="22"/>
              </w:rPr>
            </w:pPr>
            <w:r>
              <w:rPr>
                <w:b/>
                <w:color w:val="0E0E0E"/>
                <w:spacing w:val="-5"/>
                <w:sz w:val="22"/>
              </w:rPr>
              <w:t>523</w:t>
            </w:r>
          </w:p>
        </w:tc>
        <w:tc>
          <w:tcPr>
            <w:tcW w:w="355" w:type="dxa"/>
          </w:tcPr>
          <w:p>
            <w:pPr>
              <w:pStyle w:val="TableParagraph"/>
              <w:rPr>
                <w:rFonts w:ascii="Times New Roman"/>
                <w:sz w:val="22"/>
              </w:rPr>
            </w:pPr>
          </w:p>
        </w:tc>
        <w:tc>
          <w:tcPr>
            <w:tcW w:w="304" w:type="dxa"/>
          </w:tcPr>
          <w:p>
            <w:pPr>
              <w:pStyle w:val="TableParagraph"/>
              <w:rPr>
                <w:rFonts w:ascii="Times New Roman"/>
                <w:sz w:val="22"/>
              </w:rPr>
            </w:pPr>
          </w:p>
        </w:tc>
      </w:tr>
      <w:tr>
        <w:trPr>
          <w:trHeight w:val="331" w:hRule="atLeast"/>
        </w:trPr>
        <w:tc>
          <w:tcPr>
            <w:tcW w:w="4635" w:type="dxa"/>
          </w:tcPr>
          <w:p>
            <w:pPr>
              <w:pStyle w:val="TableParagraph"/>
              <w:spacing w:before="58"/>
              <w:ind w:left="54"/>
              <w:rPr>
                <w:sz w:val="22"/>
              </w:rPr>
            </w:pPr>
            <w:r>
              <w:rPr>
                <w:color w:val="0E0E0E"/>
                <w:spacing w:val="-2"/>
                <w:sz w:val="22"/>
              </w:rPr>
              <w:t>Financial</w:t>
            </w:r>
            <w:r>
              <w:rPr>
                <w:color w:val="0E0E0E"/>
                <w:spacing w:val="-3"/>
                <w:sz w:val="22"/>
              </w:rPr>
              <w:t> </w:t>
            </w:r>
            <w:r>
              <w:rPr>
                <w:color w:val="0E0E0E"/>
                <w:spacing w:val="-2"/>
                <w:sz w:val="22"/>
              </w:rPr>
              <w:t>Institutions</w:t>
            </w:r>
          </w:p>
        </w:tc>
        <w:tc>
          <w:tcPr>
            <w:tcW w:w="1516" w:type="dxa"/>
            <w:gridSpan w:val="2"/>
          </w:tcPr>
          <w:p>
            <w:pPr>
              <w:pStyle w:val="TableParagraph"/>
              <w:spacing w:before="24"/>
              <w:ind w:left="943"/>
              <w:rPr>
                <w:sz w:val="22"/>
              </w:rPr>
            </w:pPr>
            <w:r>
              <w:rPr>
                <w:color w:val="0E0E0E"/>
                <w:spacing w:val="-5"/>
                <w:sz w:val="22"/>
              </w:rPr>
              <w:t>607</w:t>
            </w:r>
          </w:p>
        </w:tc>
        <w:tc>
          <w:tcPr>
            <w:tcW w:w="1632" w:type="dxa"/>
          </w:tcPr>
          <w:p>
            <w:pPr>
              <w:pStyle w:val="TableParagraph"/>
              <w:rPr>
                <w:rFonts w:ascii="Times New Roman"/>
                <w:sz w:val="22"/>
              </w:rPr>
            </w:pPr>
          </w:p>
        </w:tc>
        <w:tc>
          <w:tcPr>
            <w:tcW w:w="1310" w:type="dxa"/>
          </w:tcPr>
          <w:p>
            <w:pPr>
              <w:pStyle w:val="TableParagraph"/>
              <w:spacing w:before="19"/>
              <w:ind w:left="665"/>
              <w:rPr>
                <w:b/>
                <w:sz w:val="22"/>
              </w:rPr>
            </w:pPr>
            <w:r>
              <w:rPr>
                <w:b/>
                <w:color w:val="0E0E0E"/>
                <w:spacing w:val="-5"/>
                <w:sz w:val="22"/>
              </w:rPr>
              <w:t>607</w:t>
            </w:r>
          </w:p>
        </w:tc>
        <w:tc>
          <w:tcPr>
            <w:tcW w:w="355" w:type="dxa"/>
          </w:tcPr>
          <w:p>
            <w:pPr>
              <w:pStyle w:val="TableParagraph"/>
              <w:rPr>
                <w:rFonts w:ascii="Times New Roman"/>
                <w:sz w:val="22"/>
              </w:rPr>
            </w:pPr>
          </w:p>
        </w:tc>
        <w:tc>
          <w:tcPr>
            <w:tcW w:w="304" w:type="dxa"/>
          </w:tcPr>
          <w:p>
            <w:pPr>
              <w:pStyle w:val="TableParagraph"/>
              <w:spacing w:before="11"/>
              <w:ind w:left="35"/>
              <w:rPr>
                <w:rFonts w:ascii="Times New Roman"/>
                <w:sz w:val="23"/>
              </w:rPr>
            </w:pPr>
            <w:r>
              <w:rPr>
                <w:rFonts w:ascii="Times New Roman"/>
                <w:color w:val="0E0E0E"/>
                <w:spacing w:val="-10"/>
                <w:sz w:val="23"/>
              </w:rPr>
              <w:t>1</w:t>
            </w:r>
          </w:p>
        </w:tc>
      </w:tr>
      <w:tr>
        <w:trPr>
          <w:trHeight w:val="338" w:hRule="atLeast"/>
        </w:trPr>
        <w:tc>
          <w:tcPr>
            <w:tcW w:w="4635" w:type="dxa"/>
          </w:tcPr>
          <w:p>
            <w:pPr>
              <w:pStyle w:val="TableParagraph"/>
              <w:spacing w:before="62"/>
              <w:ind w:left="50"/>
              <w:rPr>
                <w:sz w:val="22"/>
              </w:rPr>
            </w:pPr>
            <w:r>
              <w:rPr>
                <w:color w:val="0E0E0E"/>
                <w:sz w:val="22"/>
              </w:rPr>
              <w:t>Health</w:t>
            </w:r>
            <w:r>
              <w:rPr>
                <w:color w:val="0E0E0E"/>
                <w:spacing w:val="2"/>
                <w:sz w:val="22"/>
              </w:rPr>
              <w:t> </w:t>
            </w:r>
            <w:r>
              <w:rPr>
                <w:color w:val="0E0E0E"/>
                <w:sz w:val="22"/>
              </w:rPr>
              <w:t>&amp;</w:t>
            </w:r>
            <w:r>
              <w:rPr>
                <w:color w:val="0E0E0E"/>
                <w:spacing w:val="-8"/>
                <w:sz w:val="22"/>
              </w:rPr>
              <w:t> </w:t>
            </w:r>
            <w:r>
              <w:rPr>
                <w:color w:val="0E0E0E"/>
                <w:spacing w:val="-4"/>
                <w:sz w:val="22"/>
              </w:rPr>
              <w:t>Care</w:t>
            </w:r>
          </w:p>
        </w:tc>
        <w:tc>
          <w:tcPr>
            <w:tcW w:w="1516" w:type="dxa"/>
            <w:gridSpan w:val="2"/>
          </w:tcPr>
          <w:p>
            <w:pPr>
              <w:pStyle w:val="TableParagraph"/>
              <w:spacing w:before="29"/>
              <w:ind w:left="947"/>
              <w:rPr>
                <w:sz w:val="22"/>
              </w:rPr>
            </w:pPr>
            <w:r>
              <w:rPr>
                <w:color w:val="0E0E0E"/>
                <w:spacing w:val="-5"/>
                <w:sz w:val="22"/>
              </w:rPr>
              <w:t>955</w:t>
            </w:r>
          </w:p>
        </w:tc>
        <w:tc>
          <w:tcPr>
            <w:tcW w:w="1632" w:type="dxa"/>
          </w:tcPr>
          <w:p>
            <w:pPr>
              <w:pStyle w:val="TableParagraph"/>
              <w:rPr>
                <w:rFonts w:ascii="Times New Roman"/>
                <w:sz w:val="22"/>
              </w:rPr>
            </w:pPr>
          </w:p>
        </w:tc>
        <w:tc>
          <w:tcPr>
            <w:tcW w:w="1310" w:type="dxa"/>
          </w:tcPr>
          <w:p>
            <w:pPr>
              <w:pStyle w:val="TableParagraph"/>
              <w:spacing w:before="24"/>
              <w:ind w:left="667"/>
              <w:rPr>
                <w:b/>
                <w:sz w:val="22"/>
              </w:rPr>
            </w:pPr>
            <w:r>
              <w:rPr>
                <w:b/>
                <w:color w:val="0E0E0E"/>
                <w:spacing w:val="-5"/>
                <w:sz w:val="22"/>
              </w:rPr>
              <w:t>955</w:t>
            </w:r>
          </w:p>
        </w:tc>
        <w:tc>
          <w:tcPr>
            <w:tcW w:w="355" w:type="dxa"/>
          </w:tcPr>
          <w:p>
            <w:pPr>
              <w:pStyle w:val="TableParagraph"/>
              <w:rPr>
                <w:rFonts w:ascii="Times New Roman"/>
                <w:sz w:val="22"/>
              </w:rPr>
            </w:pPr>
          </w:p>
        </w:tc>
        <w:tc>
          <w:tcPr>
            <w:tcW w:w="304" w:type="dxa"/>
          </w:tcPr>
          <w:p>
            <w:pPr>
              <w:pStyle w:val="TableParagraph"/>
              <w:spacing w:before="11"/>
              <w:ind w:left="35"/>
              <w:rPr>
                <w:rFonts w:ascii="Times New Roman"/>
                <w:sz w:val="23"/>
              </w:rPr>
            </w:pPr>
            <w:r>
              <w:rPr>
                <w:rFonts w:ascii="Times New Roman"/>
                <w:color w:val="0E0E0E"/>
                <w:spacing w:val="-10"/>
                <w:sz w:val="23"/>
              </w:rPr>
              <w:t>1</w:t>
            </w:r>
          </w:p>
        </w:tc>
      </w:tr>
      <w:tr>
        <w:trPr>
          <w:trHeight w:val="334" w:hRule="atLeast"/>
        </w:trPr>
        <w:tc>
          <w:tcPr>
            <w:tcW w:w="4635" w:type="dxa"/>
          </w:tcPr>
          <w:p>
            <w:pPr>
              <w:pStyle w:val="TableParagraph"/>
              <w:spacing w:before="55"/>
              <w:ind w:left="52"/>
              <w:rPr>
                <w:sz w:val="22"/>
              </w:rPr>
            </w:pPr>
            <w:r>
              <w:rPr>
                <w:color w:val="0E0E0E"/>
                <w:sz w:val="22"/>
              </w:rPr>
              <w:t>Information</w:t>
            </w:r>
            <w:r>
              <w:rPr>
                <w:color w:val="0E0E0E"/>
                <w:spacing w:val="-16"/>
                <w:sz w:val="22"/>
              </w:rPr>
              <w:t> </w:t>
            </w:r>
            <w:r>
              <w:rPr>
                <w:color w:val="0E0E0E"/>
                <w:spacing w:val="-2"/>
                <w:sz w:val="22"/>
              </w:rPr>
              <w:t>Technology</w:t>
            </w:r>
          </w:p>
        </w:tc>
        <w:tc>
          <w:tcPr>
            <w:tcW w:w="1516" w:type="dxa"/>
            <w:gridSpan w:val="2"/>
          </w:tcPr>
          <w:p>
            <w:pPr>
              <w:pStyle w:val="TableParagraph"/>
              <w:spacing w:before="13"/>
              <w:ind w:left="769"/>
              <w:rPr>
                <w:rFonts w:ascii="Times New Roman"/>
                <w:sz w:val="23"/>
              </w:rPr>
            </w:pPr>
            <w:r>
              <w:rPr>
                <w:rFonts w:ascii="Times New Roman"/>
                <w:color w:val="0E0E0E"/>
                <w:spacing w:val="-2"/>
                <w:w w:val="105"/>
                <w:sz w:val="23"/>
              </w:rPr>
              <w:t>2,011</w:t>
            </w:r>
          </w:p>
        </w:tc>
        <w:tc>
          <w:tcPr>
            <w:tcW w:w="1632" w:type="dxa"/>
          </w:tcPr>
          <w:p>
            <w:pPr>
              <w:pStyle w:val="TableParagraph"/>
              <w:rPr>
                <w:rFonts w:ascii="Times New Roman"/>
                <w:sz w:val="22"/>
              </w:rPr>
            </w:pPr>
          </w:p>
        </w:tc>
        <w:tc>
          <w:tcPr>
            <w:tcW w:w="1310" w:type="dxa"/>
          </w:tcPr>
          <w:p>
            <w:pPr>
              <w:pStyle w:val="TableParagraph"/>
              <w:spacing w:before="22"/>
              <w:ind w:left="486"/>
              <w:rPr>
                <w:b/>
                <w:sz w:val="22"/>
              </w:rPr>
            </w:pPr>
            <w:r>
              <w:rPr>
                <w:b/>
                <w:color w:val="0E0E0E"/>
                <w:spacing w:val="-2"/>
                <w:sz w:val="22"/>
              </w:rPr>
              <w:t>2,011</w:t>
            </w:r>
          </w:p>
        </w:tc>
        <w:tc>
          <w:tcPr>
            <w:tcW w:w="355" w:type="dxa"/>
          </w:tcPr>
          <w:p>
            <w:pPr>
              <w:pStyle w:val="TableParagraph"/>
              <w:rPr>
                <w:rFonts w:ascii="Times New Roman"/>
                <w:sz w:val="22"/>
              </w:rPr>
            </w:pPr>
          </w:p>
        </w:tc>
        <w:tc>
          <w:tcPr>
            <w:tcW w:w="304" w:type="dxa"/>
          </w:tcPr>
          <w:p>
            <w:pPr>
              <w:pStyle w:val="TableParagraph"/>
              <w:spacing w:before="13"/>
              <w:ind w:left="52"/>
              <w:rPr>
                <w:rFonts w:ascii="Times New Roman"/>
                <w:sz w:val="23"/>
              </w:rPr>
            </w:pPr>
            <w:r>
              <w:rPr>
                <w:rFonts w:ascii="Times New Roman"/>
                <w:color w:val="0E0E0E"/>
                <w:spacing w:val="-10"/>
                <w:w w:val="105"/>
                <w:sz w:val="23"/>
              </w:rPr>
              <w:t>2</w:t>
            </w:r>
          </w:p>
        </w:tc>
      </w:tr>
      <w:tr>
        <w:trPr>
          <w:trHeight w:val="567" w:hRule="atLeast"/>
        </w:trPr>
        <w:tc>
          <w:tcPr>
            <w:tcW w:w="4635" w:type="dxa"/>
          </w:tcPr>
          <w:p>
            <w:pPr>
              <w:pStyle w:val="TableParagraph"/>
              <w:spacing w:before="57"/>
              <w:ind w:left="52"/>
              <w:rPr>
                <w:sz w:val="22"/>
              </w:rPr>
            </w:pPr>
            <w:r>
              <w:rPr>
                <w:color w:val="0E0E0E"/>
                <w:w w:val="110"/>
                <w:sz w:val="22"/>
              </w:rPr>
              <w:t>Sub-total</w:t>
            </w:r>
            <w:r>
              <w:rPr>
                <w:color w:val="0E0E0E"/>
                <w:spacing w:val="-17"/>
                <w:w w:val="110"/>
                <w:sz w:val="22"/>
              </w:rPr>
              <w:t> </w:t>
            </w:r>
            <w:r>
              <w:rPr>
                <w:color w:val="0E0E0E"/>
                <w:w w:val="110"/>
                <w:sz w:val="22"/>
              </w:rPr>
              <w:t>equity</w:t>
            </w:r>
            <w:r>
              <w:rPr>
                <w:color w:val="0E0E0E"/>
                <w:spacing w:val="-16"/>
                <w:w w:val="110"/>
                <w:sz w:val="22"/>
              </w:rPr>
              <w:t> </w:t>
            </w:r>
            <w:r>
              <w:rPr>
                <w:color w:val="0E0E0E"/>
                <w:spacing w:val="-2"/>
                <w:w w:val="110"/>
                <w:sz w:val="22"/>
              </w:rPr>
              <w:t>instruments</w:t>
            </w:r>
          </w:p>
        </w:tc>
        <w:tc>
          <w:tcPr>
            <w:tcW w:w="1516" w:type="dxa"/>
            <w:gridSpan w:val="2"/>
          </w:tcPr>
          <w:p>
            <w:pPr>
              <w:pStyle w:val="TableParagraph"/>
              <w:spacing w:before="19"/>
              <w:ind w:left="764"/>
              <w:rPr>
                <w:b/>
                <w:sz w:val="22"/>
              </w:rPr>
            </w:pPr>
            <w:r>
              <w:rPr>
                <w:b/>
                <w:color w:val="0E0E0E"/>
                <w:spacing w:val="-2"/>
                <w:sz w:val="22"/>
              </w:rPr>
              <w:t>5,673</w:t>
            </w:r>
          </w:p>
        </w:tc>
        <w:tc>
          <w:tcPr>
            <w:tcW w:w="1632" w:type="dxa"/>
          </w:tcPr>
          <w:p>
            <w:pPr>
              <w:pStyle w:val="TableParagraph"/>
              <w:rPr>
                <w:rFonts w:ascii="Times New Roman"/>
                <w:sz w:val="22"/>
              </w:rPr>
            </w:pPr>
          </w:p>
        </w:tc>
        <w:tc>
          <w:tcPr>
            <w:tcW w:w="1310" w:type="dxa"/>
          </w:tcPr>
          <w:p>
            <w:pPr>
              <w:pStyle w:val="TableParagraph"/>
              <w:spacing w:before="19"/>
              <w:ind w:left="486"/>
              <w:rPr>
                <w:b/>
                <w:sz w:val="22"/>
              </w:rPr>
            </w:pPr>
            <w:r>
              <w:rPr>
                <w:b/>
                <w:color w:val="0E0E0E"/>
                <w:spacing w:val="-2"/>
                <w:sz w:val="22"/>
              </w:rPr>
              <w:t>5,673</w:t>
            </w:r>
          </w:p>
        </w:tc>
        <w:tc>
          <w:tcPr>
            <w:tcW w:w="355" w:type="dxa"/>
          </w:tcPr>
          <w:p>
            <w:pPr>
              <w:pStyle w:val="TableParagraph"/>
              <w:rPr>
                <w:rFonts w:ascii="Times New Roman"/>
                <w:sz w:val="22"/>
              </w:rPr>
            </w:pPr>
          </w:p>
        </w:tc>
        <w:tc>
          <w:tcPr>
            <w:tcW w:w="304" w:type="dxa"/>
          </w:tcPr>
          <w:p>
            <w:pPr>
              <w:pStyle w:val="TableParagraph"/>
              <w:spacing w:before="23"/>
              <w:ind w:left="47"/>
              <w:rPr>
                <w:b/>
                <w:sz w:val="22"/>
              </w:rPr>
            </w:pPr>
            <w:r>
              <w:rPr>
                <w:b/>
                <w:color w:val="0E0E0E"/>
                <w:spacing w:val="-10"/>
                <w:sz w:val="22"/>
              </w:rPr>
              <w:t>5</w:t>
            </w:r>
          </w:p>
        </w:tc>
      </w:tr>
      <w:tr>
        <w:trPr>
          <w:trHeight w:val="801" w:hRule="atLeast"/>
        </w:trPr>
        <w:tc>
          <w:tcPr>
            <w:tcW w:w="4635" w:type="dxa"/>
          </w:tcPr>
          <w:p>
            <w:pPr>
              <w:pStyle w:val="TableParagraph"/>
              <w:spacing w:before="81" w:line="330" w:lineRule="atLeast"/>
              <w:ind w:left="50" w:right="2746"/>
              <w:rPr>
                <w:sz w:val="22"/>
              </w:rPr>
            </w:pPr>
            <w:r>
              <w:rPr>
                <w:color w:val="0E0E0E"/>
                <w:sz w:val="22"/>
              </w:rPr>
              <w:t>Debt Securities: UK Government</w:t>
            </w:r>
          </w:p>
        </w:tc>
        <w:tc>
          <w:tcPr>
            <w:tcW w:w="1516" w:type="dxa"/>
            <w:gridSpan w:val="2"/>
            <w:tcBorders>
              <w:bottom w:val="single" w:color="000000" w:sz="6" w:space="0"/>
            </w:tcBorders>
          </w:tcPr>
          <w:p>
            <w:pPr>
              <w:pStyle w:val="TableParagraph"/>
              <w:spacing w:before="216"/>
              <w:rPr>
                <w:rFonts w:ascii="Times New Roman"/>
                <w:sz w:val="23"/>
              </w:rPr>
            </w:pPr>
          </w:p>
          <w:p>
            <w:pPr>
              <w:pStyle w:val="TableParagraph"/>
              <w:ind w:left="765"/>
              <w:rPr>
                <w:rFonts w:ascii="Times New Roman"/>
                <w:sz w:val="23"/>
              </w:rPr>
            </w:pPr>
            <w:r>
              <w:rPr>
                <w:rFonts w:ascii="Times New Roman"/>
                <w:color w:val="0E0E0E"/>
                <w:spacing w:val="-2"/>
                <w:w w:val="105"/>
                <w:sz w:val="23"/>
              </w:rPr>
              <w:t>8,112</w:t>
            </w:r>
          </w:p>
        </w:tc>
        <w:tc>
          <w:tcPr>
            <w:tcW w:w="1632" w:type="dxa"/>
            <w:tcBorders>
              <w:bottom w:val="single" w:color="000000" w:sz="12" w:space="0"/>
            </w:tcBorders>
          </w:tcPr>
          <w:p>
            <w:pPr>
              <w:pStyle w:val="TableParagraph"/>
              <w:spacing w:before="374" w:line="373" w:lineRule="exact"/>
              <w:ind w:right="98"/>
              <w:jc w:val="right"/>
              <w:rPr>
                <w:sz w:val="43"/>
              </w:rPr>
            </w:pPr>
            <w:r>
              <w:rPr>
                <w:color w:val="0E0E0E"/>
                <w:spacing w:val="58"/>
                <w:w w:val="50"/>
                <w:sz w:val="43"/>
              </w:rPr>
              <w:t>-</w:t>
            </w:r>
            <w:r>
              <w:rPr>
                <w:color w:val="B6B6B6"/>
                <w:spacing w:val="-10"/>
                <w:w w:val="70"/>
                <w:sz w:val="43"/>
              </w:rPr>
              <w:t>I</w:t>
            </w:r>
          </w:p>
        </w:tc>
        <w:tc>
          <w:tcPr>
            <w:tcW w:w="1310" w:type="dxa"/>
            <w:tcBorders>
              <w:bottom w:val="single" w:color="000000" w:sz="6" w:space="0"/>
            </w:tcBorders>
          </w:tcPr>
          <w:p>
            <w:pPr>
              <w:pStyle w:val="TableParagraph"/>
              <w:spacing w:before="241" w:line="506" w:lineRule="exact"/>
              <w:ind w:right="126"/>
              <w:jc w:val="right"/>
              <w:rPr>
                <w:sz w:val="50"/>
              </w:rPr>
            </w:pPr>
            <w:r>
              <w:rPr/>
              <ve:AlternateContent>
                <ve:Choice Requires="wps">
                  <w:drawing>
                    <wp:anchor distT="0" distB="0" distL="0" distR="0" simplePos="0" relativeHeight="475948544" behindDoc="1" locked="0" layoutInCell="1" allowOverlap="1">
                      <wp:simplePos x="0" y="0"/>
                      <wp:positionH relativeFrom="column">
                        <wp:posOffset>698179</wp:posOffset>
                      </wp:positionH>
                      <wp:positionV relativeFrom="paragraph">
                        <wp:posOffset>444488</wp:posOffset>
                      </wp:positionV>
                      <wp:extent cx="15875" cy="13335"/>
                      <wp:effectExtent l="0" t="0" r="0" b="0"/>
                      <wp:wrapNone/>
                      <wp:docPr id="511" name="Group 511"/>
                      <wp:cNvGraphicFramePr>
                        <a:graphicFrameLocks/>
                      </wp:cNvGraphicFramePr>
                      <a:graphic>
                        <a:graphicData uri="http://schemas.microsoft.com/office/word/2010/wordprocessingGroup">
                          <wpg:wgp>
                            <wpg:cNvPr id="511" name="Group 511"/>
                            <wpg:cNvGrpSpPr/>
                            <wpg:grpSpPr>
                              <a:xfrm>
                                <a:off x="0" y="0"/>
                                <a:ext cx="15875" cy="13335"/>
                                <a:chExt cx="15875" cy="13335"/>
                              </a:xfrm>
                            </wpg:grpSpPr>
                            <wps:wsp>
                              <wps:cNvPr id="512" name="Graphic 512"/>
                              <wps:cNvSpPr/>
                              <wps:spPr>
                                <a:xfrm>
                                  <a:off x="0" y="6357"/>
                                  <a:ext cx="15875" cy="1270"/>
                                </a:xfrm>
                                <a:custGeom>
                                  <a:avLst/>
                                  <a:gdLst/>
                                  <a:ahLst/>
                                  <a:cxnLst/>
                                  <a:rect l="l" t="t" r="r" b="b"/>
                                  <a:pathLst>
                                    <a:path w="15875" h="0">
                                      <a:moveTo>
                                        <a:pt x="0" y="0"/>
                                      </a:moveTo>
                                      <a:lnTo>
                                        <a:pt x="15264" y="0"/>
                                      </a:lnTo>
                                    </a:path>
                                  </a:pathLst>
                                </a:custGeom>
                                <a:ln w="12714">
                                  <a:solidFill>
                                    <a:srgbClr val="B6B6B6"/>
                                  </a:solidFill>
                                  <a:prstDash val="solid"/>
                                </a:ln>
                              </wps:spPr>
                              <wps:bodyPr wrap="square" lIns="0" tIns="0" rIns="0" bIns="0" rtlCol="0">
                                <a:prstTxWarp prst="textNoShape">
                                  <a:avLst/>
                                </a:prstTxWarp>
                                <a:noAutofit/>
                              </wps:bodyPr>
                            </wps:wsp>
                          </wpg:wgp>
                        </a:graphicData>
                      </a:graphic>
                    </wp:anchor>
                  </w:drawing>
                </ve:Choice>
                <ve:Fallback>
                  <w:pict>
                    <v:group id="docshapegroup349" style="position:absolute;margin-left:54.974796pt;margin-top:34.999092pt;width:1.25pt;height:1.05pt;mso-position-horizontal-relative:column;mso-position-vertical-relative:paragraph;z-index:-27367936" coordsize="25,21" coordorigin="1099,700">
                      <v:line style="position:absolute" stroked="true" strokecolor="#b6b6b6" strokeweight="1.001141pt" from="1099,710" to="1124,710">
                        <v:stroke dashstyle="solid"/>
                      </v:line>
                      <w10:wrap type="none"/>
                    </v:group>
                  </w:pict>
                </ve:Fallback>
              </ve:AlternateContent>
            </w:r>
            <w:r>
              <w:rPr>
                <w:rFonts w:ascii="Times New Roman"/>
                <w:color w:val="0E0E0E"/>
                <w:sz w:val="23"/>
              </w:rPr>
              <w:t>8,112</w:t>
            </w:r>
            <w:r>
              <w:rPr>
                <w:rFonts w:ascii="Times New Roman"/>
                <w:color w:val="0E0E0E"/>
                <w:spacing w:val="40"/>
                <w:sz w:val="23"/>
              </w:rPr>
              <w:t> </w:t>
            </w:r>
            <w:r>
              <w:rPr>
                <w:color w:val="B6B6B6"/>
                <w:spacing w:val="-10"/>
                <w:sz w:val="50"/>
              </w:rPr>
              <w:t>I</w:t>
            </w:r>
          </w:p>
        </w:tc>
        <w:tc>
          <w:tcPr>
            <w:tcW w:w="355" w:type="dxa"/>
            <w:tcBorders>
              <w:bottom w:val="single" w:color="000000" w:sz="6" w:space="0"/>
            </w:tcBorders>
          </w:tcPr>
          <w:p>
            <w:pPr>
              <w:pStyle w:val="TableParagraph"/>
              <w:rPr>
                <w:rFonts w:ascii="Times New Roman"/>
                <w:sz w:val="22"/>
              </w:rPr>
            </w:pPr>
          </w:p>
        </w:tc>
        <w:tc>
          <w:tcPr>
            <w:tcW w:w="304" w:type="dxa"/>
            <w:tcBorders>
              <w:bottom w:val="single" w:color="000000" w:sz="6" w:space="0"/>
            </w:tcBorders>
          </w:tcPr>
          <w:p>
            <w:pPr>
              <w:pStyle w:val="TableParagraph"/>
              <w:spacing w:before="236"/>
              <w:rPr>
                <w:rFonts w:ascii="Times New Roman"/>
                <w:sz w:val="22"/>
              </w:rPr>
            </w:pPr>
          </w:p>
          <w:p>
            <w:pPr>
              <w:pStyle w:val="TableParagraph"/>
              <w:ind w:left="51"/>
              <w:rPr>
                <w:sz w:val="22"/>
              </w:rPr>
            </w:pPr>
            <w:r>
              <w:rPr>
                <w:color w:val="0E0E0E"/>
                <w:spacing w:val="-10"/>
                <w:w w:val="105"/>
                <w:sz w:val="22"/>
              </w:rPr>
              <w:t>7</w:t>
            </w:r>
          </w:p>
        </w:tc>
      </w:tr>
      <w:tr>
        <w:trPr>
          <w:trHeight w:val="296" w:hRule="atLeast"/>
        </w:trPr>
        <w:tc>
          <w:tcPr>
            <w:tcW w:w="4635" w:type="dxa"/>
          </w:tcPr>
          <w:p>
            <w:pPr>
              <w:pStyle w:val="TableParagraph"/>
              <w:spacing w:before="4"/>
              <w:ind w:left="52"/>
              <w:rPr>
                <w:sz w:val="22"/>
              </w:rPr>
            </w:pPr>
            <w:r>
              <w:rPr>
                <w:color w:val="0E0E0E"/>
                <w:spacing w:val="-2"/>
                <w:sz w:val="22"/>
              </w:rPr>
              <w:t>Other</w:t>
            </w:r>
          </w:p>
        </w:tc>
        <w:tc>
          <w:tcPr>
            <w:tcW w:w="1516" w:type="dxa"/>
            <w:gridSpan w:val="2"/>
            <w:tcBorders>
              <w:top w:val="single" w:color="000000" w:sz="6" w:space="0"/>
            </w:tcBorders>
          </w:tcPr>
          <w:p>
            <w:pPr>
              <w:pStyle w:val="TableParagraph"/>
              <w:rPr>
                <w:rFonts w:ascii="Times New Roman"/>
                <w:sz w:val="22"/>
              </w:rPr>
            </w:pPr>
          </w:p>
        </w:tc>
        <w:tc>
          <w:tcPr>
            <w:tcW w:w="1632" w:type="dxa"/>
            <w:tcBorders>
              <w:top w:val="single" w:color="000000" w:sz="12" w:space="0"/>
            </w:tcBorders>
          </w:tcPr>
          <w:p>
            <w:pPr>
              <w:pStyle w:val="TableParagraph"/>
              <w:spacing w:before="38"/>
              <w:ind w:left="833"/>
              <w:rPr>
                <w:sz w:val="22"/>
              </w:rPr>
            </w:pPr>
            <w:r>
              <w:rPr>
                <w:color w:val="0E0E0E"/>
                <w:spacing w:val="-2"/>
                <w:sz w:val="22"/>
              </w:rPr>
              <w:t>2,897</w:t>
            </w:r>
          </w:p>
        </w:tc>
        <w:tc>
          <w:tcPr>
            <w:tcW w:w="1310" w:type="dxa"/>
            <w:tcBorders>
              <w:top w:val="single" w:color="000000" w:sz="6" w:space="0"/>
            </w:tcBorders>
          </w:tcPr>
          <w:p>
            <w:pPr>
              <w:pStyle w:val="TableParagraph"/>
              <w:spacing w:before="24"/>
              <w:ind w:right="120"/>
              <w:jc w:val="right"/>
              <w:rPr>
                <w:sz w:val="23"/>
              </w:rPr>
            </w:pPr>
            <w:r>
              <w:rPr>
                <w:b/>
                <w:color w:val="0E0E0E"/>
                <w:w w:val="95"/>
                <w:sz w:val="22"/>
              </w:rPr>
              <w:t>2,897</w:t>
            </w:r>
            <w:r>
              <w:rPr>
                <w:b/>
                <w:color w:val="0E0E0E"/>
                <w:spacing w:val="71"/>
                <w:sz w:val="22"/>
              </w:rPr>
              <w:t> </w:t>
            </w:r>
            <w:r>
              <w:rPr>
                <w:color w:val="B6B6B6"/>
                <w:spacing w:val="-10"/>
                <w:w w:val="95"/>
                <w:sz w:val="23"/>
              </w:rPr>
              <w:t>j</w:t>
            </w:r>
          </w:p>
        </w:tc>
        <w:tc>
          <w:tcPr>
            <w:tcW w:w="355" w:type="dxa"/>
            <w:tcBorders>
              <w:top w:val="single" w:color="000000" w:sz="6" w:space="0"/>
            </w:tcBorders>
          </w:tcPr>
          <w:p>
            <w:pPr>
              <w:pStyle w:val="TableParagraph"/>
              <w:rPr>
                <w:rFonts w:ascii="Times New Roman"/>
                <w:sz w:val="22"/>
              </w:rPr>
            </w:pPr>
          </w:p>
        </w:tc>
        <w:tc>
          <w:tcPr>
            <w:tcW w:w="304" w:type="dxa"/>
            <w:tcBorders>
              <w:top w:val="single" w:color="000000" w:sz="6" w:space="0"/>
            </w:tcBorders>
          </w:tcPr>
          <w:p>
            <w:pPr>
              <w:pStyle w:val="TableParagraph"/>
              <w:spacing w:before="38"/>
              <w:ind w:left="57"/>
              <w:rPr>
                <w:sz w:val="22"/>
              </w:rPr>
            </w:pPr>
            <w:r>
              <w:rPr>
                <w:color w:val="0E0E0E"/>
                <w:spacing w:val="-10"/>
                <w:sz w:val="22"/>
              </w:rPr>
              <w:t>3</w:t>
            </w:r>
          </w:p>
        </w:tc>
      </w:tr>
      <w:tr>
        <w:trPr>
          <w:trHeight w:val="318" w:hRule="atLeast"/>
        </w:trPr>
        <w:tc>
          <w:tcPr>
            <w:tcW w:w="4635" w:type="dxa"/>
          </w:tcPr>
          <w:p>
            <w:pPr>
              <w:pStyle w:val="TableParagraph"/>
              <w:spacing w:before="45"/>
              <w:ind w:left="52"/>
              <w:rPr>
                <w:sz w:val="22"/>
              </w:rPr>
            </w:pPr>
            <w:r>
              <w:rPr>
                <w:color w:val="0E0E0E"/>
                <w:spacing w:val="-2"/>
                <w:w w:val="110"/>
                <w:sz w:val="22"/>
              </w:rPr>
              <w:t>Sub-total</w:t>
            </w:r>
            <w:r>
              <w:rPr>
                <w:color w:val="0E0E0E"/>
                <w:spacing w:val="-5"/>
                <w:w w:val="110"/>
                <w:sz w:val="22"/>
              </w:rPr>
              <w:t> </w:t>
            </w:r>
            <w:r>
              <w:rPr>
                <w:color w:val="0E0E0E"/>
                <w:spacing w:val="-2"/>
                <w:w w:val="110"/>
                <w:sz w:val="22"/>
              </w:rPr>
              <w:t>debt</w:t>
            </w:r>
            <w:r>
              <w:rPr>
                <w:color w:val="0E0E0E"/>
                <w:spacing w:val="-10"/>
                <w:w w:val="110"/>
                <w:sz w:val="22"/>
              </w:rPr>
              <w:t> </w:t>
            </w:r>
            <w:r>
              <w:rPr>
                <w:color w:val="0E0E0E"/>
                <w:spacing w:val="-2"/>
                <w:w w:val="110"/>
                <w:sz w:val="22"/>
              </w:rPr>
              <w:t>securities</w:t>
            </w:r>
          </w:p>
        </w:tc>
        <w:tc>
          <w:tcPr>
            <w:tcW w:w="654" w:type="dxa"/>
            <w:tcBorders>
              <w:bottom w:val="single" w:color="000000" w:sz="6" w:space="0"/>
            </w:tcBorders>
          </w:tcPr>
          <w:p>
            <w:pPr>
              <w:pStyle w:val="TableParagraph"/>
              <w:rPr>
                <w:rFonts w:ascii="Times New Roman"/>
                <w:sz w:val="22"/>
              </w:rPr>
            </w:pPr>
          </w:p>
        </w:tc>
        <w:tc>
          <w:tcPr>
            <w:tcW w:w="862" w:type="dxa"/>
            <w:tcBorders>
              <w:top w:val="single" w:color="000000" w:sz="6" w:space="0"/>
              <w:bottom w:val="single" w:color="000000" w:sz="6" w:space="0"/>
            </w:tcBorders>
          </w:tcPr>
          <w:p>
            <w:pPr>
              <w:pStyle w:val="TableParagraph"/>
              <w:spacing w:before="60" w:line="246" w:lineRule="exact"/>
              <w:ind w:left="116"/>
              <w:rPr>
                <w:b/>
                <w:sz w:val="22"/>
              </w:rPr>
            </w:pPr>
            <w:r>
              <w:rPr>
                <w:b/>
                <w:color w:val="0E0E0E"/>
                <w:spacing w:val="-2"/>
                <w:w w:val="115"/>
                <w:sz w:val="22"/>
                <w:u w:val="thick" w:color="B6B6B6"/>
              </w:rPr>
              <w:t>8,112</w:t>
            </w:r>
            <w:r>
              <w:rPr>
                <w:b/>
                <w:color w:val="B6B6B6"/>
                <w:spacing w:val="-2"/>
                <w:w w:val="115"/>
                <w:sz w:val="22"/>
                <w:u w:val="none"/>
              </w:rPr>
              <w:t>:</w:t>
            </w:r>
          </w:p>
        </w:tc>
        <w:tc>
          <w:tcPr>
            <w:tcW w:w="1632" w:type="dxa"/>
            <w:tcBorders>
              <w:top w:val="single" w:color="000000" w:sz="6" w:space="0"/>
              <w:bottom w:val="single" w:color="000000" w:sz="6" w:space="0"/>
            </w:tcBorders>
          </w:tcPr>
          <w:p>
            <w:pPr>
              <w:pStyle w:val="TableParagraph"/>
              <w:spacing w:before="45"/>
              <w:ind w:left="839"/>
              <w:rPr>
                <w:b/>
                <w:sz w:val="22"/>
              </w:rPr>
            </w:pPr>
            <w:r>
              <w:rPr>
                <w:b/>
                <w:color w:val="0E0E0E"/>
                <w:spacing w:val="-2"/>
                <w:sz w:val="22"/>
              </w:rPr>
              <w:t>2,897</w:t>
            </w:r>
          </w:p>
        </w:tc>
        <w:tc>
          <w:tcPr>
            <w:tcW w:w="1969" w:type="dxa"/>
            <w:gridSpan w:val="3"/>
            <w:tcBorders>
              <w:top w:val="single" w:color="000000" w:sz="6" w:space="0"/>
              <w:bottom w:val="single" w:color="000000" w:sz="6" w:space="0"/>
            </w:tcBorders>
          </w:tcPr>
          <w:p>
            <w:pPr>
              <w:pStyle w:val="TableParagraph"/>
              <w:tabs>
                <w:tab w:val="left" w:leader="none" w:pos="1592"/>
              </w:tabs>
              <w:spacing w:before="21" w:line="285" w:lineRule="exact"/>
              <w:ind w:left="368"/>
              <w:rPr>
                <w:rFonts w:ascii="Courier New"/>
                <w:sz w:val="12"/>
              </w:rPr>
            </w:pPr>
            <w:r>
              <w:rPr/>
              <ve:AlternateContent>
                <ve:Choice Requires="wps">
                  <w:drawing>
                    <wp:anchor distT="0" distB="0" distL="0" distR="0" simplePos="0" relativeHeight="475949056" behindDoc="1" locked="0" layoutInCell="1" allowOverlap="1">
                      <wp:simplePos x="0" y="0"/>
                      <wp:positionH relativeFrom="column">
                        <wp:posOffset>702993</wp:posOffset>
                      </wp:positionH>
                      <wp:positionV relativeFrom="paragraph">
                        <wp:posOffset>138014</wp:posOffset>
                      </wp:positionV>
                      <wp:extent cx="9525" cy="13335"/>
                      <wp:effectExtent l="0" t="0" r="0" b="0"/>
                      <wp:wrapNone/>
                      <wp:docPr id="513" name="Group 513"/>
                      <wp:cNvGraphicFramePr>
                        <a:graphicFrameLocks/>
                      </wp:cNvGraphicFramePr>
                      <a:graphic>
                        <a:graphicData uri="http://schemas.microsoft.com/office/word/2010/wordprocessingGroup">
                          <wpg:wgp>
                            <wpg:cNvPr id="513" name="Group 513"/>
                            <wpg:cNvGrpSpPr/>
                            <wpg:grpSpPr>
                              <a:xfrm>
                                <a:off x="0" y="0"/>
                                <a:ext cx="9525" cy="13335"/>
                                <a:chExt cx="9525" cy="13335"/>
                              </a:xfrm>
                            </wpg:grpSpPr>
                            <wps:wsp>
                              <wps:cNvPr id="514" name="Graphic 514"/>
                              <wps:cNvSpPr/>
                              <wps:spPr>
                                <a:xfrm>
                                  <a:off x="0" y="6357"/>
                                  <a:ext cx="9525" cy="1270"/>
                                </a:xfrm>
                                <a:custGeom>
                                  <a:avLst/>
                                  <a:gdLst/>
                                  <a:ahLst/>
                                  <a:cxnLst/>
                                  <a:rect l="l" t="t" r="r" b="b"/>
                                  <a:pathLst>
                                    <a:path w="9525" h="0">
                                      <a:moveTo>
                                        <a:pt x="0" y="0"/>
                                      </a:moveTo>
                                      <a:lnTo>
                                        <a:pt x="9158" y="0"/>
                                      </a:lnTo>
                                    </a:path>
                                  </a:pathLst>
                                </a:custGeom>
                                <a:ln w="12714">
                                  <a:solidFill>
                                    <a:srgbClr val="B6B6B6"/>
                                  </a:solidFill>
                                  <a:prstDash val="solid"/>
                                </a:ln>
                              </wps:spPr>
                              <wps:bodyPr wrap="square" lIns="0" tIns="0" rIns="0" bIns="0" rtlCol="0">
                                <a:prstTxWarp prst="textNoShape">
                                  <a:avLst/>
                                </a:prstTxWarp>
                                <a:noAutofit/>
                              </wps:bodyPr>
                            </wps:wsp>
                          </wpg:wgp>
                        </a:graphicData>
                      </a:graphic>
                    </wp:anchor>
                  </w:drawing>
                </ve:Choice>
                <ve:Fallback>
                  <w:pict>
                    <v:group id="docshapegroup350" style="position:absolute;margin-left:55.353806pt;margin-top:10.867311pt;width:.75pt;height:1.05pt;mso-position-horizontal-relative:column;mso-position-vertical-relative:paragraph;z-index:-27367424" coordsize="15,21" coordorigin="1107,217">
                      <v:line style="position:absolute" stroked="true" strokecolor="#b6b6b6" strokeweight="1.001141pt" from="1107,227" to="1121,227">
                        <v:stroke dashstyle="solid"/>
                      </v:line>
                      <w10:wrap type="none"/>
                    </v:group>
                  </w:pict>
                </ve:Fallback>
              </ve:AlternateContent>
            </w:r>
            <w:r>
              <w:rPr>
                <w:b/>
                <w:color w:val="0E0E0E"/>
                <w:sz w:val="22"/>
              </w:rPr>
              <w:t>11,009</w:t>
            </w:r>
            <w:r>
              <w:rPr>
                <w:b/>
                <w:color w:val="0E0E0E"/>
                <w:spacing w:val="-2"/>
                <w:sz w:val="22"/>
              </w:rPr>
              <w:t> </w:t>
            </w:r>
            <w:r>
              <w:rPr>
                <w:color w:val="B6B6B6"/>
                <w:spacing w:val="-10"/>
                <w:w w:val="55"/>
                <w:sz w:val="15"/>
              </w:rPr>
              <w:t>I</w:t>
            </w:r>
            <w:r>
              <w:rPr>
                <w:color w:val="B6B6B6"/>
                <w:sz w:val="15"/>
              </w:rPr>
              <w:tab/>
            </w:r>
            <w:r>
              <w:rPr>
                <w:color w:val="0E0E0E"/>
                <w:position w:val="-6"/>
                <w:sz w:val="22"/>
              </w:rPr>
              <w:t>10</w:t>
            </w:r>
            <w:r>
              <w:rPr>
                <w:color w:val="0E0E0E"/>
                <w:spacing w:val="-11"/>
                <w:position w:val="-6"/>
                <w:sz w:val="22"/>
              </w:rPr>
              <w:t> </w:t>
            </w:r>
            <w:r>
              <w:rPr>
                <w:rFonts w:ascii="Courier New"/>
                <w:color w:val="B6B6B6"/>
                <w:spacing w:val="-10"/>
                <w:w w:val="55"/>
                <w:position w:val="-6"/>
                <w:sz w:val="12"/>
              </w:rPr>
              <w:t>I</w:t>
            </w:r>
          </w:p>
        </w:tc>
      </w:tr>
    </w:tbl>
    <w:p>
      <w:pPr>
        <w:pStyle w:val="BodyText"/>
        <w:spacing w:before="71"/>
        <w:rPr>
          <w:rFonts w:ascii="Times New Roman"/>
        </w:rPr>
      </w:pPr>
    </w:p>
    <w:p>
      <w:pPr>
        <w:tabs>
          <w:tab w:val="left" w:leader="none" w:pos="6057"/>
          <w:tab w:val="left" w:leader="none" w:pos="8406"/>
          <w:tab w:val="left" w:leader="none" w:pos="9692"/>
          <w:tab w:val="left" w:leader="none" w:pos="10711"/>
          <w:tab w:val="left" w:leader="none" w:pos="10933"/>
        </w:tabs>
        <w:spacing w:before="0"/>
        <w:ind w:left="1474" w:right="0" w:firstLine="0"/>
        <w:jc w:val="left"/>
        <w:rPr>
          <w:rFonts w:ascii="Times New Roman"/>
          <w:sz w:val="23"/>
        </w:rPr>
      </w:pPr>
      <w:r>
        <w:rPr/>
        <ve:AlternateContent>
          <ve:Choice Requires="wps">
            <w:drawing>
              <wp:anchor distT="0" distB="0" distL="0" distR="0" simplePos="0" relativeHeight="15840256" behindDoc="0" locked="0" layoutInCell="1" allowOverlap="1">
                <wp:simplePos x="0" y="0"/>
                <wp:positionH relativeFrom="page">
                  <wp:posOffset>7079903</wp:posOffset>
                </wp:positionH>
                <wp:positionV relativeFrom="paragraph">
                  <wp:posOffset>2348</wp:posOffset>
                </wp:positionV>
                <wp:extent cx="12065" cy="71120"/>
                <wp:effectExtent l="0" t="0" r="0" b="0"/>
                <wp:wrapNone/>
                <wp:docPr id="515" name="Textbox 515"/>
                <wp:cNvGraphicFramePr>
                  <a:graphicFrameLocks/>
                </wp:cNvGraphicFramePr>
                <a:graphic>
                  <a:graphicData uri="http://schemas.microsoft.com/office/word/2010/wordprocessingShape">
                    <wps:wsp>
                      <wps:cNvPr id="515" name="Textbox 515"/>
                      <wps:cNvSpPr txBox="1"/>
                      <wps:spPr>
                        <a:xfrm>
                          <a:off x="0" y="0"/>
                          <a:ext cx="12065" cy="71120"/>
                        </a:xfrm>
                        <a:prstGeom prst="rect">
                          <a:avLst/>
                        </a:prstGeom>
                      </wps:spPr>
                      <wps:txbx>
                        <w:txbxContent>
                          <w:p>
                            <w:pPr>
                              <w:spacing w:before="0" w:line="112" w:lineRule="exact"/>
                              <w:ind w:left="0" w:right="0" w:firstLine="0"/>
                              <w:jc w:val="left"/>
                              <w:rPr>
                                <w:sz w:val="10"/>
                              </w:rPr>
                            </w:pPr>
                            <w:r>
                              <w:rPr>
                                <w:color w:val="B6B6B6"/>
                                <w:spacing w:val="-10"/>
                                <w:w w:val="65"/>
                                <w:sz w:val="10"/>
                              </w:rPr>
                              <w:t>I</w:t>
                            </w:r>
                          </w:p>
                        </w:txbxContent>
                      </wps:txbx>
                      <wps:bodyPr wrap="square" lIns="0" tIns="0" rIns="0" bIns="0" rtlCol="0">
                        <a:noAutofit/>
                      </wps:bodyPr>
                    </wps:wsp>
                  </a:graphicData>
                </a:graphic>
              </wp:anchor>
            </w:drawing>
          </ve:Choice>
          <ve:Fallback>
            <w:pict>
              <v:shape id="docshape351" style="position:absolute;margin-left:557.472717pt;margin-top:.184912pt;width:.95pt;height:5.6pt;mso-position-horizontal-relative:page;mso-position-vertical-relative:paragraph;z-index:15840256" filled="false" stroked="false" type="#_x0000_t202">
                <v:textbox inset="0,0,0,0">
                  <w:txbxContent>
                    <w:p>
                      <w:pPr>
                        <w:spacing w:before="0" w:line="112" w:lineRule="exact"/>
                        <w:ind w:left="0" w:right="0" w:firstLine="0"/>
                        <w:jc w:val="left"/>
                        <w:rPr>
                          <w:sz w:val="10"/>
                        </w:rPr>
                      </w:pPr>
                      <w:r>
                        <w:rPr>
                          <w:color w:val="B6B6B6"/>
                          <w:spacing w:val="-10"/>
                          <w:w w:val="65"/>
                          <w:sz w:val="10"/>
                        </w:rPr>
                        <w:t>I</w:t>
                      </w:r>
                    </w:p>
                  </w:txbxContent>
                </v:textbox>
                <w10:wrap type="none"/>
              </v:shape>
            </w:pict>
          </ve:Fallback>
        </ve:AlternateContent>
      </w:r>
      <w:r>
        <w:rPr>
          <w:b/>
          <w:color w:val="0E0E0E"/>
          <w:position w:val="1"/>
          <w:sz w:val="22"/>
        </w:rPr>
        <w:t>Private</w:t>
      </w:r>
      <w:r>
        <w:rPr>
          <w:b/>
          <w:color w:val="0E0E0E"/>
          <w:spacing w:val="-11"/>
          <w:position w:val="1"/>
          <w:sz w:val="22"/>
        </w:rPr>
        <w:t> </w:t>
      </w:r>
      <w:r>
        <w:rPr>
          <w:color w:val="0E0E0E"/>
          <w:spacing w:val="-2"/>
          <w:position w:val="1"/>
          <w:sz w:val="22"/>
        </w:rPr>
        <w:t>Equity</w:t>
      </w:r>
      <w:r>
        <w:rPr>
          <w:color w:val="0E0E0E"/>
          <w:position w:val="1"/>
          <w:sz w:val="22"/>
        </w:rPr>
        <w:tab/>
      </w:r>
      <w:r>
        <w:rPr>
          <w:rFonts w:ascii="Times New Roman"/>
          <w:color w:val="2A2A2A"/>
          <w:sz w:val="23"/>
          <w:u w:val="single" w:color="000000"/>
        </w:rPr>
        <w:tab/>
      </w:r>
      <w:r>
        <w:rPr>
          <w:rFonts w:ascii="Times New Roman"/>
          <w:color w:val="2A2A2A"/>
          <w:spacing w:val="2"/>
          <w:sz w:val="23"/>
          <w:u w:val="single" w:color="000000"/>
        </w:rPr>
        <w:t>s,019</w:t>
      </w:r>
      <w:r>
        <w:rPr>
          <w:rFonts w:ascii="Times New Roman"/>
          <w:color w:val="2A2A2A"/>
          <w:spacing w:val="65"/>
          <w:sz w:val="23"/>
          <w:u w:val="single" w:color="000000"/>
        </w:rPr>
        <w:t> </w:t>
      </w:r>
      <w:r>
        <w:rPr>
          <w:color w:val="494949"/>
          <w:spacing w:val="-10"/>
          <w:w w:val="75"/>
          <w:sz w:val="9"/>
          <w:u w:val="single" w:color="000000"/>
        </w:rPr>
        <w:t>J</w:t>
      </w:r>
      <w:r>
        <w:rPr>
          <w:color w:val="494949"/>
          <w:sz w:val="9"/>
          <w:u w:val="single" w:color="000000"/>
        </w:rPr>
        <w:tab/>
      </w:r>
      <w:r>
        <w:rPr>
          <w:rFonts w:ascii="Times New Roman"/>
          <w:color w:val="2A2A2A"/>
          <w:sz w:val="23"/>
          <w:u w:val="single" w:color="000000"/>
        </w:rPr>
        <w:t>8,079</w:t>
      </w:r>
      <w:r>
        <w:rPr>
          <w:rFonts w:ascii="Times New Roman"/>
          <w:color w:val="2A2A2A"/>
          <w:spacing w:val="58"/>
          <w:sz w:val="23"/>
          <w:u w:val="single" w:color="000000"/>
        </w:rPr>
        <w:t> </w:t>
      </w:r>
      <w:r>
        <w:rPr>
          <w:color w:val="494949"/>
          <w:spacing w:val="-10"/>
          <w:w w:val="75"/>
          <w:sz w:val="30"/>
          <w:u w:val="single" w:color="000000"/>
        </w:rPr>
        <w:t>I</w:t>
      </w:r>
      <w:r>
        <w:rPr>
          <w:color w:val="494949"/>
          <w:sz w:val="30"/>
          <w:u w:val="single" w:color="000000"/>
        </w:rPr>
        <w:tab/>
      </w:r>
      <w:r>
        <w:rPr>
          <w:color w:val="494949"/>
          <w:sz w:val="30"/>
          <w:u w:val="none"/>
        </w:rPr>
        <w:tab/>
      </w:r>
      <w:r>
        <w:rPr>
          <w:rFonts w:ascii="Times New Roman"/>
          <w:color w:val="828282"/>
          <w:spacing w:val="-5"/>
          <w:w w:val="75"/>
          <w:position w:val="-3"/>
          <w:sz w:val="23"/>
          <w:u w:val="none"/>
        </w:rPr>
        <w:t>7J</w:t>
      </w:r>
    </w:p>
    <w:p>
      <w:pPr>
        <w:pStyle w:val="BodyText"/>
        <w:spacing w:before="49"/>
        <w:rPr>
          <w:rFonts w:ascii="Times New Roman"/>
          <w:sz w:val="20"/>
        </w:rPr>
      </w:pPr>
    </w:p>
    <w:p>
      <w:pPr>
        <w:spacing w:after="0"/>
        <w:rPr>
          <w:rFonts w:ascii="Times New Roman"/>
          <w:sz w:val="20"/>
        </w:rPr>
        <w:sectPr>
          <w:headerReference w:type="default" r:id="rId196"/>
          <w:headerReference w:type="even" r:id="rId197"/>
          <w:pgSz w:w="11910" w:h="16830"/>
          <w:pgMar w:top="900" w:right="300" w:bottom="1340" w:left="0" w:header="704" w:footer="0"/>
        </w:sectPr>
      </w:pPr>
    </w:p>
    <w:p>
      <w:pPr>
        <w:pStyle w:val="BodyText"/>
        <w:spacing w:line="330" w:lineRule="atLeast"/>
        <w:ind w:left="1477" w:right="38" w:hanging="5"/>
      </w:pPr>
      <w:r>
        <w:rPr>
          <w:color w:val="0E0E0E"/>
          <w:spacing w:val="-2"/>
        </w:rPr>
        <w:t>Property: UK</w:t>
      </w:r>
      <w:r>
        <w:rPr>
          <w:color w:val="0E0E0E"/>
          <w:spacing w:val="-14"/>
        </w:rPr>
        <w:t> </w:t>
      </w:r>
      <w:r>
        <w:rPr>
          <w:color w:val="0E0E0E"/>
          <w:spacing w:val="-2"/>
        </w:rPr>
        <w:t>Property</w:t>
      </w:r>
    </w:p>
    <w:p>
      <w:pPr>
        <w:spacing w:before="191" w:line="240" w:lineRule="auto"/>
        <w:rPr>
          <w:sz w:val="22"/>
        </w:rPr>
      </w:pPr>
      <w:r>
        <w:rPr/>
        <w:br w:type="column"/>
      </w:r>
      <w:r>
        <w:rPr>
          <w:sz w:val="22"/>
        </w:rPr>
      </w:r>
    </w:p>
    <w:p>
      <w:pPr>
        <w:pStyle w:val="BodyText"/>
        <w:spacing w:line="128" w:lineRule="exact"/>
        <w:jc w:val="right"/>
      </w:pPr>
      <w:r>
        <w:rPr/>
        <w:drawing>
          <wp:anchor distT="0" distB="0" distL="0" distR="0" simplePos="0" relativeHeight="475945984" behindDoc="1" locked="0" layoutInCell="1" allowOverlap="1">
            <wp:simplePos x="0" y="0"/>
            <wp:positionH relativeFrom="page">
              <wp:posOffset>6862955</wp:posOffset>
            </wp:positionH>
            <wp:positionV relativeFrom="paragraph">
              <wp:posOffset>225657</wp:posOffset>
            </wp:positionV>
            <wp:extent cx="177069" cy="411949"/>
            <wp:effectExtent l="0" t="0" r="0" b="0"/>
            <wp:wrapNone/>
            <wp:docPr id="516" name="Image 516"/>
            <wp:cNvGraphicFramePr>
              <a:graphicFrameLocks/>
            </wp:cNvGraphicFramePr>
            <a:graphic>
              <a:graphicData uri="http://schemas.openxmlformats.org/drawingml/2006/picture">
                <pic:pic>
                  <pic:nvPicPr>
                    <pic:cNvPr id="516" name="Image 516"/>
                    <pic:cNvPicPr/>
                  </pic:nvPicPr>
                  <pic:blipFill>
                    <a:blip r:embed="rId198" cstate="print"/>
                    <a:stretch>
                      <a:fillRect/>
                    </a:stretch>
                  </pic:blipFill>
                  <pic:spPr>
                    <a:xfrm>
                      <a:off x="0" y="0"/>
                      <a:ext cx="177069" cy="411949"/>
                    </a:xfrm>
                    <a:prstGeom prst="rect">
                      <a:avLst/>
                    </a:prstGeom>
                  </pic:spPr>
                </pic:pic>
              </a:graphicData>
            </a:graphic>
          </wp:anchor>
        </w:drawing>
      </w:r>
      <w:r>
        <w:rPr/>
        <ve:AlternateContent>
          <ve:Choice Requires="wps">
            <w:drawing>
              <wp:anchor distT="0" distB="0" distL="0" distR="0" simplePos="0" relativeHeight="475946496" behindDoc="1" locked="0" layoutInCell="1" allowOverlap="1">
                <wp:simplePos x="0" y="0"/>
                <wp:positionH relativeFrom="page">
                  <wp:posOffset>3846674</wp:posOffset>
                </wp:positionH>
                <wp:positionV relativeFrom="paragraph">
                  <wp:posOffset>173782</wp:posOffset>
                </wp:positionV>
                <wp:extent cx="3260725" cy="1270"/>
                <wp:effectExtent l="0" t="0" r="0" b="0"/>
                <wp:wrapNone/>
                <wp:docPr id="517" name="Graphic 517"/>
                <wp:cNvGraphicFramePr>
                  <a:graphicFrameLocks/>
                </wp:cNvGraphicFramePr>
                <a:graphic>
                  <a:graphicData uri="http://schemas.microsoft.com/office/word/2010/wordprocessingShape">
                    <wps:wsp>
                      <wps:cNvPr id="517" name="Graphic 517"/>
                      <wps:cNvSpPr/>
                      <wps:spPr>
                        <a:xfrm>
                          <a:off x="0" y="0"/>
                          <a:ext cx="3260725" cy="1270"/>
                        </a:xfrm>
                        <a:custGeom>
                          <a:avLst/>
                          <a:gdLst/>
                          <a:ahLst/>
                          <a:cxnLst/>
                          <a:rect l="l" t="t" r="r" b="b"/>
                          <a:pathLst>
                            <a:path w="3260725" h="0">
                              <a:moveTo>
                                <a:pt x="0" y="0"/>
                              </a:moveTo>
                              <a:lnTo>
                                <a:pt x="3260514"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27369984" stroked="true" strokecolor="#000000" strokeweight=".720821pt" from="302.887787pt,13.68364pt" to="559.621236pt,13.68364pt">
                <v:stroke dashstyle="solid"/>
                <w10:wrap type="none"/>
              </v:line>
            </w:pict>
          </ve:Fallback>
        </ve:AlternateContent>
      </w:r>
      <w:r>
        <w:rPr>
          <w:color w:val="0E0E0E"/>
          <w:spacing w:val="-2"/>
          <w:w w:val="120"/>
        </w:rPr>
        <w:t>8,583</w:t>
      </w:r>
      <w:r>
        <w:rPr>
          <w:color w:val="B6B6B6"/>
          <w:spacing w:val="-2"/>
          <w:w w:val="120"/>
        </w:rPr>
        <w:t>:</w:t>
      </w:r>
    </w:p>
    <w:p>
      <w:pPr>
        <w:spacing w:before="168" w:line="240" w:lineRule="auto"/>
        <w:rPr>
          <w:sz w:val="23"/>
        </w:rPr>
      </w:pPr>
      <w:r>
        <w:rPr/>
        <w:br w:type="column"/>
      </w:r>
      <w:r>
        <w:rPr>
          <w:sz w:val="23"/>
        </w:rPr>
      </w:r>
    </w:p>
    <w:p>
      <w:pPr>
        <w:tabs>
          <w:tab w:val="left" w:leader="none" w:pos="1756"/>
        </w:tabs>
        <w:spacing w:before="0" w:line="139" w:lineRule="exact"/>
        <w:ind w:left="520" w:right="0" w:firstLine="0"/>
        <w:jc w:val="left"/>
        <w:rPr>
          <w:sz w:val="22"/>
        </w:rPr>
      </w:pPr>
      <w:r>
        <w:rPr>
          <w:rFonts w:ascii="Times New Roman"/>
          <w:color w:val="0E0E0E"/>
          <w:spacing w:val="-2"/>
          <w:w w:val="120"/>
          <w:sz w:val="23"/>
          <w:u w:val="thick" w:color="B6B6B6"/>
        </w:rPr>
        <w:t>8,583</w:t>
      </w:r>
      <w:r>
        <w:rPr>
          <w:rFonts w:ascii="Times New Roman"/>
          <w:color w:val="B6B6B6"/>
          <w:spacing w:val="-2"/>
          <w:w w:val="120"/>
          <w:sz w:val="23"/>
          <w:u w:val="none"/>
        </w:rPr>
        <w:t>1</w:t>
      </w:r>
      <w:r>
        <w:rPr>
          <w:rFonts w:ascii="Times New Roman"/>
          <w:color w:val="B6B6B6"/>
          <w:sz w:val="23"/>
          <w:u w:val="none"/>
        </w:rPr>
        <w:tab/>
      </w:r>
      <w:r>
        <w:rPr>
          <w:color w:val="0E0E0E"/>
          <w:spacing w:val="-10"/>
          <w:w w:val="120"/>
          <w:position w:val="4"/>
          <w:sz w:val="22"/>
          <w:u w:val="none"/>
        </w:rPr>
        <w:t>8</w:t>
      </w:r>
    </w:p>
    <w:p>
      <w:pPr>
        <w:spacing w:after="0" w:line="139" w:lineRule="exact"/>
        <w:jc w:val="left"/>
        <w:rPr>
          <w:sz w:val="22"/>
        </w:rPr>
        <w:sectPr>
          <w:type w:val="continuous"/>
          <w:pgSz w:w="11910" w:h="16830"/>
          <w:pgMar w:top="1940" w:right="300" w:bottom="280" w:left="0" w:header="704" w:footer="0"/>
          <w:cols w:equalWidth="0" w:num="3">
            <w:col w:w="2704" w:space="4237"/>
            <w:col w:w="2197" w:space="39"/>
            <w:col w:w="2433"/>
          </w:cols>
        </w:sectPr>
      </w:pPr>
    </w:p>
    <w:p>
      <w:pPr>
        <w:pStyle w:val="BodyText"/>
        <w:spacing w:before="115" w:line="328" w:lineRule="auto"/>
        <w:ind w:left="1475" w:right="38" w:hanging="1"/>
      </w:pPr>
      <w:r>
        <w:rPr>
          <w:color w:val="0E0E0E"/>
        </w:rPr>
        <w:t>Overseas Property </w:t>
      </w:r>
      <w:r>
        <w:rPr>
          <w:color w:val="0E0E0E"/>
          <w:w w:val="105"/>
        </w:rPr>
        <w:t>Sub-total property</w:t>
      </w:r>
    </w:p>
    <w:p>
      <w:pPr>
        <w:tabs>
          <w:tab w:val="left" w:leader="none" w:pos="3807"/>
          <w:tab w:val="left" w:leader="none" w:pos="5095"/>
          <w:tab w:val="left" w:leader="none" w:pos="6321"/>
        </w:tabs>
        <w:spacing w:before="0" w:line="452" w:lineRule="exact"/>
        <w:ind w:left="1475" w:right="0" w:firstLine="0"/>
        <w:jc w:val="left"/>
        <w:rPr>
          <w:b/>
          <w:sz w:val="22"/>
        </w:rPr>
      </w:pPr>
      <w:r>
        <w:rPr/>
        <w:br w:type="column"/>
      </w:r>
      <w:r>
        <w:rPr>
          <w:color w:val="0E0E0E"/>
          <w:sz w:val="22"/>
          <w:u w:val="single" w:color="000000"/>
        </w:rPr>
        <w:tab/>
      </w:r>
      <w:r>
        <w:rPr>
          <w:color w:val="0E0E0E"/>
          <w:spacing w:val="8"/>
          <w:w w:val="115"/>
          <w:sz w:val="22"/>
          <w:u w:val="single" w:color="000000"/>
        </w:rPr>
        <w:t>6,19</w:t>
      </w:r>
      <w:r>
        <w:rPr>
          <w:color w:val="0E0E0E"/>
          <w:spacing w:val="-54"/>
          <w:w w:val="115"/>
          <w:sz w:val="22"/>
          <w:u w:val="single" w:color="000000"/>
        </w:rPr>
        <w:t>0</w:t>
      </w:r>
      <w:r>
        <w:rPr>
          <w:color w:val="B6B6B6"/>
          <w:spacing w:val="9"/>
          <w:w w:val="21"/>
          <w:sz w:val="50"/>
          <w:u w:val="single" w:color="000000"/>
        </w:rPr>
        <w:t>I</w:t>
      </w:r>
      <w:r>
        <w:rPr>
          <w:color w:val="B6B6B6"/>
          <w:sz w:val="50"/>
          <w:u w:val="single" w:color="000000"/>
        </w:rPr>
        <w:tab/>
      </w:r>
      <w:r>
        <w:rPr>
          <w:b/>
          <w:color w:val="0E0E0E"/>
          <w:spacing w:val="-2"/>
          <w:position w:val="5"/>
          <w:sz w:val="22"/>
          <w:u w:val="single" w:color="000000"/>
        </w:rPr>
        <w:t>6,190</w:t>
      </w:r>
      <w:r>
        <w:rPr>
          <w:b/>
          <w:color w:val="0E0E0E"/>
          <w:position w:val="5"/>
          <w:sz w:val="22"/>
          <w:u w:val="single" w:color="000000"/>
        </w:rPr>
        <w:tab/>
      </w:r>
    </w:p>
    <w:p>
      <w:pPr>
        <w:tabs>
          <w:tab w:val="left" w:leader="none" w:pos="3674"/>
          <w:tab w:val="left" w:leader="none" w:pos="4967"/>
          <w:tab w:val="left" w:leader="none" w:pos="6205"/>
        </w:tabs>
        <w:spacing w:before="0" w:line="280" w:lineRule="exact"/>
        <w:ind w:left="1475" w:right="0" w:firstLine="0"/>
        <w:jc w:val="left"/>
        <w:rPr>
          <w:sz w:val="26"/>
        </w:rPr>
      </w:pPr>
      <w:r>
        <w:rPr/>
        <ve:AlternateContent>
          <ve:Choice Requires="wps">
            <w:drawing>
              <wp:anchor distT="0" distB="0" distL="0" distR="0" simplePos="0" relativeHeight="475949568" behindDoc="1" locked="0" layoutInCell="1" allowOverlap="1">
                <wp:simplePos x="0" y="0"/>
                <wp:positionH relativeFrom="page">
                  <wp:posOffset>5657960</wp:posOffset>
                </wp:positionH>
                <wp:positionV relativeFrom="paragraph">
                  <wp:posOffset>-55384</wp:posOffset>
                </wp:positionV>
                <wp:extent cx="15875" cy="1270"/>
                <wp:effectExtent l="0" t="0" r="0" b="0"/>
                <wp:wrapNone/>
                <wp:docPr id="518" name="Graphic 518"/>
                <wp:cNvGraphicFramePr>
                  <a:graphicFrameLocks/>
                </wp:cNvGraphicFramePr>
                <a:graphic>
                  <a:graphicData uri="http://schemas.microsoft.com/office/word/2010/wordprocessingShape">
                    <wps:wsp>
                      <wps:cNvPr id="518" name="Graphic 518"/>
                      <wps:cNvSpPr/>
                      <wps:spPr>
                        <a:xfrm>
                          <a:off x="0" y="0"/>
                          <a:ext cx="15875" cy="1270"/>
                        </a:xfrm>
                        <a:custGeom>
                          <a:avLst/>
                          <a:gdLst/>
                          <a:ahLst/>
                          <a:cxnLst/>
                          <a:rect l="l" t="t" r="r" b="b"/>
                          <a:pathLst>
                            <a:path w="15875" h="0">
                              <a:moveTo>
                                <a:pt x="0" y="0"/>
                              </a:moveTo>
                              <a:lnTo>
                                <a:pt x="15264" y="0"/>
                              </a:lnTo>
                            </a:path>
                          </a:pathLst>
                        </a:custGeom>
                        <a:ln w="12714">
                          <a:solidFill>
                            <a:srgbClr val="B6B6B6"/>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27366912" stroked="true" strokecolor="#b6b6b6" strokeweight="1.001141pt" from="445.508667pt,-4.360959pt" to="446.710603pt,-4.360959pt">
                <v:stroke dashstyle="solid"/>
                <w10:wrap type="none"/>
              </v:line>
            </w:pict>
          </ve:Fallback>
        </ve:AlternateContent>
      </w:r>
      <w:r>
        <w:rPr/>
        <ve:AlternateContent>
          <ve:Choice Requires="wps">
            <w:drawing>
              <wp:anchor distT="0" distB="0" distL="0" distR="0" simplePos="0" relativeHeight="475950080" behindDoc="1" locked="0" layoutInCell="1" allowOverlap="1">
                <wp:simplePos x="0" y="0"/>
                <wp:positionH relativeFrom="page">
                  <wp:posOffset>6567866</wp:posOffset>
                </wp:positionH>
                <wp:positionV relativeFrom="paragraph">
                  <wp:posOffset>142961</wp:posOffset>
                </wp:positionV>
                <wp:extent cx="9525" cy="1270"/>
                <wp:effectExtent l="0" t="0" r="0" b="0"/>
                <wp:wrapNone/>
                <wp:docPr id="519" name="Graphic 519"/>
                <wp:cNvGraphicFramePr>
                  <a:graphicFrameLocks/>
                </wp:cNvGraphicFramePr>
                <a:graphic>
                  <a:graphicData uri="http://schemas.microsoft.com/office/word/2010/wordprocessingShape">
                    <wps:wsp>
                      <wps:cNvPr id="519" name="Graphic 519"/>
                      <wps:cNvSpPr/>
                      <wps:spPr>
                        <a:xfrm>
                          <a:off x="0" y="0"/>
                          <a:ext cx="9525" cy="1270"/>
                        </a:xfrm>
                        <a:custGeom>
                          <a:avLst/>
                          <a:gdLst/>
                          <a:ahLst/>
                          <a:cxnLst/>
                          <a:rect l="l" t="t" r="r" b="b"/>
                          <a:pathLst>
                            <a:path w="9525" h="0">
                              <a:moveTo>
                                <a:pt x="0" y="0"/>
                              </a:moveTo>
                              <a:lnTo>
                                <a:pt x="9158" y="0"/>
                              </a:lnTo>
                            </a:path>
                          </a:pathLst>
                        </a:custGeom>
                        <a:ln w="12714">
                          <a:solidFill>
                            <a:srgbClr val="B6B6B6"/>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27366400" stroked="true" strokecolor="#b6b6b6" strokeweight="1.001141pt" from="517.154846pt,11.25684pt" to="517.876008pt,11.25684pt">
                <v:stroke dashstyle="solid"/>
                <w10:wrap type="none"/>
              </v:line>
            </w:pict>
          </ve:Fallback>
        </ve:AlternateContent>
      </w:r>
      <w:r>
        <w:rPr>
          <w:rFonts w:ascii="Times New Roman"/>
          <w:color w:val="0E0E0E"/>
          <w:position w:val="1"/>
          <w:sz w:val="23"/>
          <w:u w:val="single" w:color="000000"/>
        </w:rPr>
        <w:tab/>
      </w:r>
      <w:r>
        <w:rPr>
          <w:rFonts w:ascii="Times New Roman"/>
          <w:color w:val="0E0E0E"/>
          <w:spacing w:val="-2"/>
          <w:position w:val="1"/>
          <w:sz w:val="23"/>
          <w:u w:val="single" w:color="000000"/>
        </w:rPr>
        <w:t>14,773</w:t>
      </w:r>
      <w:r>
        <w:rPr>
          <w:rFonts w:ascii="Times New Roman"/>
          <w:color w:val="0E0E0E"/>
          <w:position w:val="1"/>
          <w:sz w:val="23"/>
          <w:u w:val="single" w:color="000000"/>
        </w:rPr>
        <w:tab/>
      </w:r>
      <w:r>
        <w:rPr>
          <w:rFonts w:ascii="Times New Roman"/>
          <w:color w:val="0E0E0E"/>
          <w:sz w:val="23"/>
          <w:u w:val="single" w:color="000000"/>
        </w:rPr>
        <w:t>14,773</w:t>
      </w:r>
      <w:r>
        <w:rPr>
          <w:rFonts w:ascii="Times New Roman"/>
          <w:color w:val="0E0E0E"/>
          <w:spacing w:val="52"/>
          <w:w w:val="150"/>
          <w:sz w:val="23"/>
          <w:u w:val="single" w:color="000000"/>
        </w:rPr>
        <w:t> </w:t>
      </w:r>
      <w:r>
        <w:rPr>
          <w:color w:val="B6B6B6"/>
          <w:spacing w:val="-10"/>
          <w:sz w:val="26"/>
          <w:u w:val="single" w:color="000000"/>
        </w:rPr>
        <w:t>!</w:t>
      </w:r>
      <w:r>
        <w:rPr>
          <w:color w:val="B6B6B6"/>
          <w:sz w:val="26"/>
          <w:u w:val="single" w:color="000000"/>
        </w:rPr>
        <w:tab/>
      </w:r>
    </w:p>
    <w:p>
      <w:pPr>
        <w:spacing w:after="0" w:line="280" w:lineRule="exact"/>
        <w:jc w:val="left"/>
        <w:rPr>
          <w:sz w:val="26"/>
        </w:rPr>
        <w:sectPr>
          <w:type w:val="continuous"/>
          <w:pgSz w:w="11910" w:h="16830"/>
          <w:pgMar w:top="1940" w:right="300" w:bottom="280" w:left="0" w:header="704" w:footer="0"/>
          <w:cols w:equalWidth="0" w:num="2">
            <w:col w:w="3417" w:space="1185"/>
            <w:col w:w="7008"/>
          </w:cols>
        </w:sectPr>
      </w:pPr>
    </w:p>
    <w:p>
      <w:pPr>
        <w:pStyle w:val="BodyText"/>
        <w:spacing w:before="73"/>
      </w:pPr>
    </w:p>
    <w:p>
      <w:pPr>
        <w:pStyle w:val="BodyText"/>
        <w:ind w:left="1469"/>
      </w:pPr>
      <w:r>
        <w:rPr>
          <w:color w:val="0E0E0E"/>
        </w:rPr>
        <w:t>Investment</w:t>
      </w:r>
      <w:r>
        <w:rPr>
          <w:color w:val="0E0E0E"/>
          <w:spacing w:val="58"/>
        </w:rPr>
        <w:t> </w:t>
      </w:r>
      <w:r>
        <w:rPr>
          <w:color w:val="0E0E0E"/>
        </w:rPr>
        <w:t>Funds</w:t>
      </w:r>
      <w:r>
        <w:rPr>
          <w:color w:val="0E0E0E"/>
          <w:spacing w:val="64"/>
        </w:rPr>
        <w:t> </w:t>
      </w:r>
      <w:r>
        <w:rPr>
          <w:color w:val="0E0E0E"/>
        </w:rPr>
        <w:t>and</w:t>
      </w:r>
      <w:r>
        <w:rPr>
          <w:color w:val="0E0E0E"/>
          <w:spacing w:val="28"/>
        </w:rPr>
        <w:t> </w:t>
      </w:r>
      <w:r>
        <w:rPr>
          <w:color w:val="0E0E0E"/>
        </w:rPr>
        <w:t>Unit</w:t>
      </w:r>
      <w:r>
        <w:rPr>
          <w:color w:val="0E0E0E"/>
          <w:spacing w:val="37"/>
        </w:rPr>
        <w:t> </w:t>
      </w:r>
      <w:r>
        <w:rPr>
          <w:color w:val="0E0E0E"/>
          <w:spacing w:val="-2"/>
        </w:rPr>
        <w:t>Trusts:</w:t>
      </w:r>
    </w:p>
    <w:p>
      <w:pPr>
        <w:tabs>
          <w:tab w:val="left" w:leader="none" w:pos="6703"/>
          <w:tab w:val="left" w:leader="none" w:pos="9582"/>
          <w:tab w:val="right" w:leader="none" w:pos="11064"/>
        </w:tabs>
        <w:spacing w:before="75" w:line="246" w:lineRule="exact"/>
        <w:ind w:left="1477" w:right="0" w:firstLine="0"/>
        <w:jc w:val="left"/>
        <w:rPr>
          <w:rFonts w:ascii="Times New Roman"/>
          <w:sz w:val="23"/>
        </w:rPr>
      </w:pPr>
      <w:r>
        <w:rPr>
          <w:color w:val="0E0E0E"/>
          <w:spacing w:val="-2"/>
          <w:sz w:val="22"/>
        </w:rPr>
        <w:t>Equities</w:t>
      </w:r>
      <w:r>
        <w:rPr>
          <w:color w:val="0E0E0E"/>
          <w:sz w:val="22"/>
        </w:rPr>
        <w:tab/>
      </w:r>
      <w:r>
        <w:rPr>
          <w:rFonts w:ascii="Times New Roman"/>
          <w:color w:val="0E0E0E"/>
          <w:spacing w:val="-2"/>
          <w:sz w:val="23"/>
        </w:rPr>
        <w:t>40,639</w:t>
      </w:r>
      <w:r>
        <w:rPr>
          <w:rFonts w:ascii="Times New Roman"/>
          <w:color w:val="0E0E0E"/>
          <w:sz w:val="23"/>
        </w:rPr>
        <w:tab/>
      </w:r>
      <w:r>
        <w:rPr>
          <w:rFonts w:ascii="Times New Roman"/>
          <w:color w:val="0E0E0E"/>
          <w:spacing w:val="-2"/>
          <w:sz w:val="23"/>
        </w:rPr>
        <w:t>40,639</w:t>
      </w:r>
      <w:r>
        <w:rPr>
          <w:rFonts w:ascii="Times New Roman"/>
          <w:color w:val="0E0E0E"/>
          <w:sz w:val="23"/>
        </w:rPr>
        <w:tab/>
      </w:r>
      <w:r>
        <w:rPr>
          <w:rFonts w:ascii="Times New Roman"/>
          <w:color w:val="0E0E0E"/>
          <w:spacing w:val="-5"/>
          <w:sz w:val="23"/>
        </w:rPr>
        <w:t>37</w:t>
      </w:r>
    </w:p>
    <w:p>
      <w:pPr>
        <w:tabs>
          <w:tab w:val="left" w:leader="hyphen" w:pos="11120"/>
        </w:tabs>
        <w:spacing w:before="0" w:line="116" w:lineRule="exact"/>
        <w:ind w:left="6059" w:right="0" w:firstLine="0"/>
        <w:jc w:val="left"/>
        <w:rPr>
          <w:rFonts w:ascii="Courier New"/>
          <w:sz w:val="14"/>
        </w:rPr>
      </w:pPr>
      <w:r>
        <w:rPr>
          <w:rFonts w:ascii="Courier New"/>
          <w:color w:val="B6B6B6"/>
          <w:w w:val="185"/>
          <w:sz w:val="14"/>
        </w:rPr>
        <w:t>---------'------+----------</w:t>
      </w:r>
      <w:r>
        <w:rPr>
          <w:rFonts w:ascii="Courier New"/>
          <w:color w:val="B6B6B6"/>
          <w:spacing w:val="-10"/>
          <w:w w:val="185"/>
          <w:sz w:val="14"/>
        </w:rPr>
        <w:t>,</w:t>
      </w:r>
      <w:r>
        <w:rPr>
          <w:rFonts w:ascii="Courier New"/>
          <w:color w:val="B6B6B6"/>
          <w:sz w:val="14"/>
        </w:rPr>
        <w:tab/>
      </w:r>
      <w:r>
        <w:rPr>
          <w:rFonts w:ascii="Courier New"/>
          <w:color w:val="B6B6B6"/>
          <w:spacing w:val="-12"/>
          <w:w w:val="185"/>
          <w:sz w:val="14"/>
        </w:rPr>
        <w:t>;</w:t>
      </w:r>
    </w:p>
    <w:p>
      <w:pPr>
        <w:spacing w:before="0" w:line="6" w:lineRule="exact"/>
        <w:ind w:left="0" w:right="1207" w:firstLine="0"/>
        <w:jc w:val="right"/>
        <w:rPr>
          <w:sz w:val="9"/>
        </w:rPr>
      </w:pPr>
      <w:r>
        <w:rPr>
          <w:color w:val="B6B6B6"/>
          <w:spacing w:val="-10"/>
          <w:w w:val="70"/>
          <w:sz w:val="9"/>
        </w:rPr>
        <w:t>1</w:t>
      </w:r>
    </w:p>
    <w:p>
      <w:pPr>
        <w:spacing w:after="0" w:line="6" w:lineRule="exact"/>
        <w:jc w:val="right"/>
        <w:rPr>
          <w:sz w:val="9"/>
        </w:rPr>
        <w:sectPr>
          <w:type w:val="continuous"/>
          <w:pgSz w:w="11910" w:h="16830"/>
          <w:pgMar w:top="1940" w:right="300" w:bottom="280" w:left="0" w:header="704" w:footer="0"/>
        </w:sectPr>
      </w:pPr>
    </w:p>
    <w:p>
      <w:pPr>
        <w:pStyle w:val="BodyText"/>
        <w:spacing w:line="240" w:lineRule="exact"/>
        <w:ind w:right="38"/>
        <w:jc w:val="right"/>
      </w:pPr>
      <w:r>
        <w:rPr>
          <w:color w:val="0E0E0E"/>
          <w:spacing w:val="-2"/>
        </w:rPr>
        <w:t>Bonds</w:t>
      </w:r>
    </w:p>
    <w:p>
      <w:pPr>
        <w:spacing w:before="21" w:line="312" w:lineRule="exact"/>
        <w:ind w:left="1479" w:right="0" w:firstLine="0"/>
        <w:jc w:val="left"/>
        <w:rPr>
          <w:rFonts w:ascii="Courier New"/>
          <w:sz w:val="40"/>
        </w:rPr>
      </w:pPr>
      <w:r>
        <w:rPr/>
        <w:br w:type="column"/>
      </w:r>
      <w:r>
        <w:rPr>
          <w:rFonts w:ascii="Courier New"/>
          <w:color w:val="B6B6B6"/>
          <w:w w:val="105"/>
          <w:sz w:val="40"/>
        </w:rPr>
        <w:t>--</w:t>
      </w:r>
      <w:r>
        <w:rPr>
          <w:rFonts w:ascii="Courier New"/>
          <w:color w:val="B6B6B6"/>
          <w:spacing w:val="-243"/>
          <w:w w:val="105"/>
          <w:sz w:val="40"/>
        </w:rPr>
        <w:t>-</w:t>
      </w:r>
      <w:r>
        <w:rPr>
          <w:rFonts w:ascii="Times New Roman"/>
          <w:color w:val="0E0E0E"/>
          <w:w w:val="97"/>
          <w:sz w:val="40"/>
          <w:vertAlign w:val="superscript"/>
        </w:rPr>
        <w:t>16</w:t>
      </w:r>
      <w:r>
        <w:rPr>
          <w:rFonts w:ascii="Times New Roman"/>
          <w:color w:val="0E0E0E"/>
          <w:spacing w:val="-60"/>
          <w:w w:val="97"/>
          <w:sz w:val="40"/>
          <w:vertAlign w:val="superscript"/>
        </w:rPr>
        <w:t>,</w:t>
      </w:r>
      <w:r>
        <w:rPr>
          <w:rFonts w:ascii="Courier New"/>
          <w:color w:val="B6B6B6"/>
          <w:spacing w:val="-241"/>
          <w:w w:val="129"/>
          <w:sz w:val="40"/>
          <w:vertAlign w:val="baseline"/>
        </w:rPr>
        <w:t>-</w:t>
      </w:r>
      <w:r>
        <w:rPr>
          <w:rFonts w:ascii="Times New Roman"/>
          <w:color w:val="0E0E0E"/>
          <w:w w:val="94"/>
          <w:sz w:val="40"/>
          <w:vertAlign w:val="superscript"/>
        </w:rPr>
        <w:t>4</w:t>
      </w:r>
      <w:r>
        <w:rPr>
          <w:rFonts w:ascii="Times New Roman"/>
          <w:color w:val="0E0E0E"/>
          <w:spacing w:val="-2"/>
          <w:w w:val="94"/>
          <w:sz w:val="40"/>
          <w:vertAlign w:val="superscript"/>
        </w:rPr>
        <w:t>0</w:t>
      </w:r>
      <w:r>
        <w:rPr>
          <w:rFonts w:ascii="Courier New"/>
          <w:color w:val="B6B6B6"/>
          <w:spacing w:val="-300"/>
          <w:w w:val="126"/>
          <w:sz w:val="40"/>
          <w:vertAlign w:val="baseline"/>
        </w:rPr>
        <w:t>-</w:t>
      </w:r>
      <w:r>
        <w:rPr>
          <w:rFonts w:ascii="Times New Roman"/>
          <w:color w:val="0E0E0E"/>
          <w:w w:val="105"/>
          <w:sz w:val="40"/>
          <w:vertAlign w:val="superscript"/>
        </w:rPr>
        <w:t>1</w:t>
      </w:r>
      <w:r>
        <w:rPr>
          <w:rFonts w:ascii="Times New Roman"/>
          <w:color w:val="0E0E0E"/>
          <w:spacing w:val="55"/>
          <w:w w:val="105"/>
          <w:sz w:val="40"/>
          <w:vertAlign w:val="baseline"/>
        </w:rPr>
        <w:t>  </w:t>
      </w:r>
      <w:r>
        <w:rPr>
          <w:color w:val="B6B6B6"/>
          <w:w w:val="105"/>
          <w:position w:val="16"/>
          <w:sz w:val="9"/>
          <w:vertAlign w:val="baseline"/>
        </w:rPr>
        <w:t>1</w:t>
      </w:r>
      <w:r>
        <w:rPr>
          <w:color w:val="B6B6B6"/>
          <w:spacing w:val="53"/>
          <w:w w:val="105"/>
          <w:position w:val="16"/>
          <w:sz w:val="9"/>
          <w:vertAlign w:val="baseline"/>
        </w:rPr>
        <w:t> </w:t>
      </w:r>
      <w:r>
        <w:rPr>
          <w:rFonts w:ascii="Courier New"/>
          <w:color w:val="B6B6B6"/>
          <w:w w:val="105"/>
          <w:sz w:val="40"/>
          <w:vertAlign w:val="baseline"/>
        </w:rPr>
        <w:t>----</w:t>
      </w:r>
      <w:r>
        <w:rPr>
          <w:rFonts w:ascii="Courier New"/>
          <w:color w:val="B6B6B6"/>
          <w:spacing w:val="-10"/>
          <w:w w:val="105"/>
          <w:sz w:val="40"/>
          <w:vertAlign w:val="baseline"/>
        </w:rPr>
        <w:t>-</w:t>
      </w:r>
    </w:p>
    <w:p>
      <w:pPr>
        <w:tabs>
          <w:tab w:val="left" w:leader="none" w:pos="1719"/>
          <w:tab w:val="left" w:leader="none" w:pos="2102"/>
        </w:tabs>
        <w:spacing w:before="0" w:line="243" w:lineRule="exact"/>
        <w:ind w:left="484" w:right="0" w:firstLine="0"/>
        <w:jc w:val="left"/>
        <w:rPr>
          <w:rFonts w:ascii="Times New Roman"/>
          <w:sz w:val="23"/>
        </w:rPr>
      </w:pPr>
      <w:r>
        <w:rPr/>
        <w:br w:type="column"/>
      </w:r>
      <w:r>
        <w:rPr>
          <w:rFonts w:ascii="Times New Roman"/>
          <w:color w:val="0E0E0E"/>
          <w:spacing w:val="-2"/>
          <w:sz w:val="23"/>
        </w:rPr>
        <w:t>16,401</w:t>
      </w:r>
      <w:r>
        <w:rPr>
          <w:rFonts w:ascii="Times New Roman"/>
          <w:color w:val="0E0E0E"/>
          <w:sz w:val="23"/>
          <w:u w:val="single" w:color="000000"/>
        </w:rPr>
        <w:tab/>
      </w:r>
      <w:r>
        <w:rPr>
          <w:rFonts w:ascii="Times New Roman"/>
          <w:color w:val="0E0E0E"/>
          <w:spacing w:val="-5"/>
          <w:w w:val="95"/>
          <w:sz w:val="23"/>
          <w:u w:val="single" w:color="000000"/>
        </w:rPr>
        <w:t>15</w:t>
      </w:r>
      <w:r>
        <w:rPr>
          <w:rFonts w:ascii="Times New Roman"/>
          <w:color w:val="0E0E0E"/>
          <w:sz w:val="23"/>
          <w:u w:val="single" w:color="000000"/>
        </w:rPr>
        <w:tab/>
      </w:r>
    </w:p>
    <w:p>
      <w:pPr>
        <w:spacing w:after="0" w:line="243" w:lineRule="exact"/>
        <w:jc w:val="left"/>
        <w:rPr>
          <w:rFonts w:ascii="Times New Roman"/>
          <w:sz w:val="23"/>
        </w:rPr>
        <w:sectPr>
          <w:type w:val="continuous"/>
          <w:pgSz w:w="11910" w:h="16830"/>
          <w:pgMar w:top="1940" w:right="300" w:bottom="280" w:left="0" w:header="704" w:footer="0"/>
          <w:cols w:equalWidth="0" w:num="3">
            <w:col w:w="2132" w:space="2434"/>
            <w:col w:w="4484" w:space="40"/>
            <w:col w:w="2520"/>
          </w:cols>
        </w:sectPr>
      </w:pPr>
    </w:p>
    <w:p>
      <w:pPr>
        <w:pStyle w:val="BodyText"/>
        <w:tabs>
          <w:tab w:val="left" w:leader="none" w:pos="8727"/>
          <w:tab w:val="right" w:leader="none" w:pos="10267"/>
        </w:tabs>
        <w:spacing w:line="237" w:lineRule="exact"/>
        <w:ind w:left="1472"/>
        <w:rPr>
          <w:rFonts w:ascii="Times New Roman"/>
          <w:sz w:val="23"/>
        </w:rPr>
      </w:pPr>
      <w:r>
        <w:rPr>
          <w:color w:val="0E0E0E"/>
          <w:spacing w:val="-2"/>
          <w:sz w:val="21"/>
        </w:rPr>
        <w:t>1</w:t>
      </w:r>
      <w:r>
        <w:rPr>
          <w:color w:val="0E0E0E"/>
          <w:spacing w:val="-2"/>
        </w:rPr>
        <w:t>nfrastructure</w:t>
      </w:r>
      <w:r>
        <w:rPr>
          <w:color w:val="0E0E0E"/>
        </w:rPr>
        <w:tab/>
      </w:r>
      <w:r>
        <w:rPr>
          <w:color w:val="0E0E0E"/>
          <w:spacing w:val="-5"/>
        </w:rPr>
        <w:t>67</w:t>
      </w:r>
      <w:r>
        <w:rPr>
          <w:color w:val="0E0E0E"/>
        </w:rPr>
        <w:tab/>
      </w:r>
      <w:r>
        <w:rPr>
          <w:rFonts w:ascii="Times New Roman"/>
          <w:color w:val="0E0E0E"/>
          <w:spacing w:val="-5"/>
          <w:sz w:val="23"/>
        </w:rPr>
        <w:t>67</w:t>
      </w:r>
    </w:p>
    <w:p>
      <w:pPr>
        <w:tabs>
          <w:tab w:val="left" w:leader="hyphen" w:pos="10847"/>
        </w:tabs>
        <w:spacing w:before="0" w:line="108" w:lineRule="exact"/>
        <w:ind w:left="9073" w:right="0" w:firstLine="0"/>
        <w:jc w:val="left"/>
        <w:rPr>
          <w:sz w:val="11"/>
        </w:rPr>
      </w:pPr>
      <w:r>
        <w:rPr>
          <w:color w:val="B6B6B6"/>
          <w:spacing w:val="-10"/>
          <w:w w:val="600"/>
          <w:sz w:val="11"/>
        </w:rPr>
        <w:t>-</w:t>
      </w:r>
      <w:r>
        <w:rPr>
          <w:color w:val="B6B6B6"/>
          <w:sz w:val="11"/>
        </w:rPr>
        <w:tab/>
      </w:r>
      <w:r>
        <w:rPr>
          <w:color w:val="B6B6B6"/>
          <w:spacing w:val="-10"/>
          <w:w w:val="600"/>
          <w:sz w:val="11"/>
        </w:rPr>
        <w:t>&lt;</w:t>
      </w:r>
    </w:p>
    <w:p>
      <w:pPr>
        <w:tabs>
          <w:tab w:val="left" w:leader="none" w:pos="7014"/>
          <w:tab w:val="left" w:leader="none" w:pos="8414"/>
          <w:tab w:val="left" w:leader="none" w:pos="9243"/>
          <w:tab w:val="left" w:leader="none" w:pos="9707"/>
        </w:tabs>
        <w:spacing w:before="16" w:line="169" w:lineRule="exact"/>
        <w:ind w:left="1479" w:right="0" w:firstLine="0"/>
        <w:jc w:val="left"/>
        <w:rPr>
          <w:rFonts w:ascii="Times New Roman"/>
          <w:sz w:val="23"/>
        </w:rPr>
      </w:pPr>
      <w:r>
        <w:rPr>
          <w:color w:val="0E0E0E"/>
          <w:spacing w:val="-2"/>
          <w:sz w:val="22"/>
        </w:rPr>
        <w:t>Other</w:t>
      </w:r>
      <w:r>
        <w:rPr>
          <w:color w:val="0E0E0E"/>
          <w:sz w:val="22"/>
        </w:rPr>
        <w:tab/>
      </w:r>
      <w:r>
        <w:rPr>
          <w:color w:val="0E0E0E"/>
          <w:w w:val="90"/>
          <w:sz w:val="22"/>
        </w:rPr>
        <w:t>93</w:t>
      </w:r>
      <w:r>
        <w:rPr>
          <w:color w:val="B6B6B6"/>
          <w:w w:val="90"/>
          <w:sz w:val="22"/>
        </w:rPr>
        <w:t>_</w:t>
      </w:r>
      <w:r>
        <w:rPr>
          <w:color w:val="0E0E0E"/>
          <w:w w:val="90"/>
          <w:sz w:val="22"/>
        </w:rPr>
        <w:t>4</w:t>
      </w:r>
      <w:r>
        <w:rPr>
          <w:color w:val="B6B6B6"/>
          <w:w w:val="90"/>
          <w:sz w:val="22"/>
        </w:rPr>
        <w:t>_,_</w:t>
      </w:r>
      <w:r>
        <w:rPr>
          <w:color w:val="B6B6B6"/>
          <w:w w:val="90"/>
          <w:sz w:val="22"/>
          <w:u w:val="single" w:color="B5B5B5"/>
        </w:rPr>
        <w:t>1</w:t>
      </w:r>
      <w:r>
        <w:rPr>
          <w:color w:val="B6B6B6"/>
          <w:spacing w:val="80"/>
          <w:sz w:val="22"/>
          <w:u w:val="single" w:color="B5B5B5"/>
        </w:rPr>
        <w:t> </w:t>
      </w:r>
      <w:r>
        <w:rPr>
          <w:color w:val="B6B6B6"/>
          <w:sz w:val="22"/>
          <w:u w:val="none"/>
        </w:rPr>
        <w:tab/>
      </w:r>
      <w:r>
        <w:rPr>
          <w:color w:val="0E0E0E"/>
          <w:spacing w:val="-2"/>
          <w:w w:val="90"/>
          <w:sz w:val="22"/>
          <w:u w:val="none"/>
        </w:rPr>
        <w:t>6</w:t>
      </w:r>
      <w:r>
        <w:rPr>
          <w:color w:val="B6B6B6"/>
          <w:spacing w:val="-2"/>
          <w:w w:val="90"/>
          <w:sz w:val="22"/>
          <w:u w:val="none"/>
        </w:rPr>
        <w:t>_</w:t>
      </w:r>
      <w:r>
        <w:rPr>
          <w:color w:val="0E0E0E"/>
          <w:spacing w:val="-2"/>
          <w:w w:val="90"/>
          <w:sz w:val="22"/>
          <w:u w:val="none"/>
        </w:rPr>
        <w:t>,5</w:t>
      </w:r>
      <w:r>
        <w:rPr>
          <w:color w:val="B6B6B6"/>
          <w:spacing w:val="-2"/>
          <w:w w:val="90"/>
          <w:sz w:val="22"/>
          <w:u w:val="none"/>
        </w:rPr>
        <w:t>_</w:t>
      </w:r>
      <w:r>
        <w:rPr>
          <w:color w:val="0E0E0E"/>
          <w:spacing w:val="-2"/>
          <w:w w:val="90"/>
          <w:sz w:val="22"/>
          <w:u w:val="none"/>
        </w:rPr>
        <w:t>7</w:t>
      </w:r>
      <w:r>
        <w:rPr>
          <w:color w:val="B6B6B6"/>
          <w:spacing w:val="-2"/>
          <w:w w:val="90"/>
          <w:sz w:val="22"/>
          <w:u w:val="none"/>
        </w:rPr>
        <w:t>_</w:t>
      </w:r>
      <w:r>
        <w:rPr>
          <w:color w:val="0E0E0E"/>
          <w:spacing w:val="-2"/>
          <w:w w:val="90"/>
          <w:sz w:val="22"/>
          <w:u w:val="none"/>
        </w:rPr>
        <w:t>5</w:t>
      </w:r>
      <w:r>
        <w:rPr>
          <w:color w:val="0E0E0E"/>
          <w:sz w:val="22"/>
          <w:u w:val="single" w:color="B5B5B5"/>
        </w:rPr>
        <w:tab/>
      </w:r>
      <w:r>
        <w:rPr>
          <w:color w:val="0E0E0E"/>
          <w:sz w:val="22"/>
          <w:u w:val="none"/>
        </w:rPr>
        <w:tab/>
      </w:r>
      <w:r>
        <w:rPr>
          <w:rFonts w:ascii="Times New Roman"/>
          <w:color w:val="0E0E0E"/>
          <w:sz w:val="23"/>
          <w:u w:val="thick" w:color="B6B6B6"/>
        </w:rPr>
        <w:t>7</w:t>
      </w:r>
      <w:r>
        <w:rPr>
          <w:rFonts w:ascii="Times New Roman"/>
          <w:color w:val="B6B6B6"/>
          <w:sz w:val="23"/>
          <w:u w:val="thick" w:color="B6B6B6"/>
        </w:rPr>
        <w:t>_</w:t>
      </w:r>
      <w:r>
        <w:rPr>
          <w:rFonts w:ascii="Times New Roman"/>
          <w:color w:val="0E0E0E"/>
          <w:sz w:val="23"/>
          <w:u w:val="thick" w:color="B6B6B6"/>
        </w:rPr>
        <w:t>,5</w:t>
      </w:r>
      <w:r>
        <w:rPr>
          <w:rFonts w:ascii="Times New Roman"/>
          <w:color w:val="B6B6B6"/>
          <w:sz w:val="23"/>
          <w:u w:val="thick" w:color="B6B6B6"/>
        </w:rPr>
        <w:t>_</w:t>
      </w:r>
      <w:r>
        <w:rPr>
          <w:rFonts w:ascii="Times New Roman"/>
          <w:color w:val="0E0E0E"/>
          <w:sz w:val="23"/>
          <w:u w:val="thick" w:color="B6B6B6"/>
        </w:rPr>
        <w:t>0</w:t>
      </w:r>
      <w:r>
        <w:rPr>
          <w:rFonts w:ascii="Times New Roman"/>
          <w:color w:val="B6B6B6"/>
          <w:sz w:val="23"/>
          <w:u w:val="thick" w:color="B6B6B6"/>
        </w:rPr>
        <w:t>_</w:t>
      </w:r>
      <w:r>
        <w:rPr>
          <w:rFonts w:ascii="Times New Roman"/>
          <w:color w:val="0E0E0E"/>
          <w:sz w:val="23"/>
          <w:u w:val="thick" w:color="B6B6B6"/>
        </w:rPr>
        <w:t>9</w:t>
      </w:r>
      <w:r>
        <w:rPr>
          <w:rFonts w:ascii="Times New Roman"/>
          <w:color w:val="0E0E0E"/>
          <w:spacing w:val="43"/>
          <w:sz w:val="23"/>
          <w:u w:val="thick" w:color="B6B6B6"/>
        </w:rPr>
        <w:t>  </w:t>
      </w:r>
      <w:r>
        <w:rPr>
          <w:rFonts w:ascii="Times New Roman"/>
          <w:color w:val="B6B6B6"/>
          <w:spacing w:val="-5"/>
          <w:sz w:val="23"/>
          <w:u w:val="thick" w:color="B6B6B6"/>
        </w:rPr>
        <w:t>_</w:t>
      </w:r>
      <w:r>
        <w:rPr>
          <w:rFonts w:ascii="Times New Roman"/>
          <w:color w:val="0E0E0E"/>
          <w:spacing w:val="-5"/>
          <w:sz w:val="23"/>
          <w:u w:val="thick" w:color="B6B6B6"/>
        </w:rPr>
        <w:t>7</w:t>
      </w:r>
      <w:r>
        <w:rPr>
          <w:rFonts w:ascii="Times New Roman"/>
          <w:color w:val="B6B6B6"/>
          <w:spacing w:val="-5"/>
          <w:sz w:val="23"/>
          <w:u w:val="thick" w:color="B6B6B6"/>
        </w:rPr>
        <w:t>_</w:t>
      </w:r>
    </w:p>
    <w:p>
      <w:pPr>
        <w:tabs>
          <w:tab w:val="left" w:leader="none" w:pos="8417"/>
          <w:tab w:val="left" w:leader="none" w:pos="9586"/>
          <w:tab w:val="left" w:leader="none" w:pos="10658"/>
        </w:tabs>
        <w:spacing w:before="0" w:line="437" w:lineRule="exact"/>
        <w:ind w:left="1480" w:right="0" w:firstLine="0"/>
        <w:jc w:val="left"/>
        <w:rPr>
          <w:rFonts w:ascii="Times New Roman"/>
          <w:sz w:val="23"/>
        </w:rPr>
      </w:pPr>
      <w:r>
        <w:rPr/>
        <ve:AlternateContent>
          <ve:Choice Requires="wps">
            <w:drawing>
              <wp:anchor distT="0" distB="0" distL="0" distR="0" simplePos="0" relativeHeight="15835648" behindDoc="0" locked="0" layoutInCell="1" allowOverlap="1">
                <wp:simplePos x="0" y="0"/>
                <wp:positionH relativeFrom="page">
                  <wp:posOffset>4554951</wp:posOffset>
                </wp:positionH>
                <wp:positionV relativeFrom="paragraph">
                  <wp:posOffset>285890</wp:posOffset>
                </wp:positionV>
                <wp:extent cx="1746885" cy="1270"/>
                <wp:effectExtent l="0" t="0" r="0" b="0"/>
                <wp:wrapNone/>
                <wp:docPr id="520" name="Graphic 520"/>
                <wp:cNvGraphicFramePr>
                  <a:graphicFrameLocks/>
                </wp:cNvGraphicFramePr>
                <a:graphic>
                  <a:graphicData uri="http://schemas.microsoft.com/office/word/2010/wordprocessingShape">
                    <wps:wsp>
                      <wps:cNvPr id="520" name="Graphic 520"/>
                      <wps:cNvSpPr/>
                      <wps:spPr>
                        <a:xfrm>
                          <a:off x="0" y="0"/>
                          <a:ext cx="1746885" cy="1270"/>
                        </a:xfrm>
                        <a:custGeom>
                          <a:avLst/>
                          <a:gdLst/>
                          <a:ahLst/>
                          <a:cxnLst/>
                          <a:rect l="l" t="t" r="r" b="b"/>
                          <a:pathLst>
                            <a:path w="1746885" h="0">
                              <a:moveTo>
                                <a:pt x="0" y="0"/>
                              </a:moveTo>
                              <a:lnTo>
                                <a:pt x="1746268"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35648" stroked="true" strokecolor="#000000" strokeweight=".720821pt" from="358.657593pt,22.511045pt" to="496.159028pt,22.511045pt">
                <v:stroke dashstyle="solid"/>
                <w10:wrap type="none"/>
              </v:line>
            </w:pict>
          </ve:Fallback>
        </ve:AlternateContent>
      </w:r>
      <w:r>
        <w:rPr/>
        <ve:AlternateContent>
          <ve:Choice Requires="wps">
            <w:drawing>
              <wp:anchor distT="0" distB="0" distL="0" distR="0" simplePos="0" relativeHeight="15836160" behindDoc="0" locked="0" layoutInCell="1" allowOverlap="1">
                <wp:simplePos x="0" y="0"/>
                <wp:positionH relativeFrom="page">
                  <wp:posOffset>6508818</wp:posOffset>
                </wp:positionH>
                <wp:positionV relativeFrom="paragraph">
                  <wp:posOffset>282838</wp:posOffset>
                </wp:positionV>
                <wp:extent cx="598805" cy="1270"/>
                <wp:effectExtent l="0" t="0" r="0" b="0"/>
                <wp:wrapNone/>
                <wp:docPr id="521" name="Graphic 521"/>
                <wp:cNvGraphicFramePr>
                  <a:graphicFrameLocks/>
                </wp:cNvGraphicFramePr>
                <a:graphic>
                  <a:graphicData uri="http://schemas.microsoft.com/office/word/2010/wordprocessingShape">
                    <wps:wsp>
                      <wps:cNvPr id="521" name="Graphic 521"/>
                      <wps:cNvSpPr/>
                      <wps:spPr>
                        <a:xfrm>
                          <a:off x="0" y="0"/>
                          <a:ext cx="598805" cy="1270"/>
                        </a:xfrm>
                        <a:custGeom>
                          <a:avLst/>
                          <a:gdLst/>
                          <a:ahLst/>
                          <a:cxnLst/>
                          <a:rect l="l" t="t" r="r" b="b"/>
                          <a:pathLst>
                            <a:path w="598805" h="0">
                              <a:moveTo>
                                <a:pt x="0" y="0"/>
                              </a:moveTo>
                              <a:lnTo>
                                <a:pt x="598371"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36160" stroked="true" strokecolor="#000000" strokeweight=".720821pt" from="512.505371pt,22.270773pt" to="559.621248pt,22.270773pt">
                <v:stroke dashstyle="solid"/>
                <w10:wrap type="none"/>
              </v:line>
            </w:pict>
          </ve:Fallback>
        </ve:AlternateContent>
      </w:r>
      <w:r>
        <w:rPr/>
        <ve:AlternateContent>
          <ve:Choice Requires="wps">
            <w:drawing>
              <wp:anchor distT="0" distB="0" distL="0" distR="0" simplePos="0" relativeHeight="475950592" behindDoc="1" locked="0" layoutInCell="1" allowOverlap="1">
                <wp:simplePos x="0" y="0"/>
                <wp:positionH relativeFrom="page">
                  <wp:posOffset>6768318</wp:posOffset>
                </wp:positionH>
                <wp:positionV relativeFrom="paragraph">
                  <wp:posOffset>75338</wp:posOffset>
                </wp:positionV>
                <wp:extent cx="9525" cy="1270"/>
                <wp:effectExtent l="0" t="0" r="0" b="0"/>
                <wp:wrapNone/>
                <wp:docPr id="522" name="Graphic 522"/>
                <wp:cNvGraphicFramePr>
                  <a:graphicFrameLocks/>
                </wp:cNvGraphicFramePr>
                <a:graphic>
                  <a:graphicData uri="http://schemas.microsoft.com/office/word/2010/wordprocessingShape">
                    <wps:wsp>
                      <wps:cNvPr id="522" name="Graphic 522"/>
                      <wps:cNvSpPr/>
                      <wps:spPr>
                        <a:xfrm>
                          <a:off x="0" y="0"/>
                          <a:ext cx="9525" cy="1270"/>
                        </a:xfrm>
                        <a:custGeom>
                          <a:avLst/>
                          <a:gdLst/>
                          <a:ahLst/>
                          <a:cxnLst/>
                          <a:rect l="l" t="t" r="r" b="b"/>
                          <a:pathLst>
                            <a:path w="9525" h="0">
                              <a:moveTo>
                                <a:pt x="0" y="0"/>
                              </a:moveTo>
                              <a:lnTo>
                                <a:pt x="9158" y="0"/>
                              </a:lnTo>
                            </a:path>
                          </a:pathLst>
                        </a:custGeom>
                        <a:ln w="12714">
                          <a:solidFill>
                            <a:srgbClr val="B6B6B6"/>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27365888" stroked="true" strokecolor="#b6b6b6" strokeweight="1.001141pt" from="532.938477pt,5.932152pt" to="533.659638pt,5.932152pt">
                <v:stroke dashstyle="solid"/>
                <w10:wrap type="none"/>
              </v:line>
            </w:pict>
          </ve:Fallback>
        </ve:AlternateContent>
      </w:r>
      <w:r>
        <w:rPr/>
        <ve:AlternateContent>
          <ve:Choice Requires="wps">
            <w:drawing>
              <wp:anchor distT="0" distB="0" distL="0" distR="0" simplePos="0" relativeHeight="475951104" behindDoc="1" locked="0" layoutInCell="1" allowOverlap="1">
                <wp:simplePos x="0" y="0"/>
                <wp:positionH relativeFrom="page">
                  <wp:posOffset>5743890</wp:posOffset>
                </wp:positionH>
                <wp:positionV relativeFrom="paragraph">
                  <wp:posOffset>224860</wp:posOffset>
                </wp:positionV>
                <wp:extent cx="12700" cy="1270"/>
                <wp:effectExtent l="0" t="0" r="0" b="0"/>
                <wp:wrapNone/>
                <wp:docPr id="523" name="Graphic 523"/>
                <wp:cNvGraphicFramePr>
                  <a:graphicFrameLocks/>
                </wp:cNvGraphicFramePr>
                <a:graphic>
                  <a:graphicData uri="http://schemas.microsoft.com/office/word/2010/wordprocessingShape">
                    <wps:wsp>
                      <wps:cNvPr id="523" name="Graphic 523"/>
                      <wps:cNvSpPr/>
                      <wps:spPr>
                        <a:xfrm>
                          <a:off x="0" y="0"/>
                          <a:ext cx="12700" cy="1270"/>
                        </a:xfrm>
                        <a:custGeom>
                          <a:avLst/>
                          <a:gdLst/>
                          <a:ahLst/>
                          <a:cxnLst/>
                          <a:rect l="l" t="t" r="r" b="b"/>
                          <a:pathLst>
                            <a:path w="12700" h="0">
                              <a:moveTo>
                                <a:pt x="0" y="0"/>
                              </a:moveTo>
                              <a:lnTo>
                                <a:pt x="12211" y="0"/>
                              </a:lnTo>
                            </a:path>
                          </a:pathLst>
                        </a:custGeom>
                        <a:ln w="12714">
                          <a:solidFill>
                            <a:srgbClr val="B6B6B6"/>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27365376" stroked="true" strokecolor="#b6b6b6" strokeweight="1.001141pt" from="452.274841pt,17.705570pt" to="453.23639pt,17.705570pt">
                <v:stroke dashstyle="solid"/>
                <w10:wrap type="none"/>
              </v:line>
            </w:pict>
          </ve:Fallback>
        </ve:AlternateContent>
      </w:r>
      <w:r>
        <w:rPr>
          <w:color w:val="0E0E0E"/>
          <w:w w:val="110"/>
          <w:sz w:val="22"/>
        </w:rPr>
        <w:t>Sub-total</w:t>
      </w:r>
      <w:r>
        <w:rPr>
          <w:color w:val="0E0E0E"/>
          <w:spacing w:val="15"/>
          <w:w w:val="110"/>
          <w:sz w:val="22"/>
        </w:rPr>
        <w:t> </w:t>
      </w:r>
      <w:r>
        <w:rPr>
          <w:color w:val="0E0E0E"/>
          <w:w w:val="110"/>
          <w:sz w:val="22"/>
        </w:rPr>
        <w:t>investment</w:t>
      </w:r>
      <w:r>
        <w:rPr>
          <w:color w:val="0E0E0E"/>
          <w:spacing w:val="26"/>
          <w:w w:val="110"/>
          <w:sz w:val="22"/>
        </w:rPr>
        <w:t> </w:t>
      </w:r>
      <w:r>
        <w:rPr>
          <w:color w:val="0E0E0E"/>
          <w:w w:val="110"/>
          <w:sz w:val="22"/>
        </w:rPr>
        <w:t>funds</w:t>
      </w:r>
      <w:r>
        <w:rPr>
          <w:color w:val="0E0E0E"/>
          <w:spacing w:val="8"/>
          <w:w w:val="110"/>
          <w:sz w:val="22"/>
        </w:rPr>
        <w:t> </w:t>
      </w:r>
      <w:r>
        <w:rPr>
          <w:color w:val="0E0E0E"/>
          <w:w w:val="110"/>
          <w:sz w:val="22"/>
        </w:rPr>
        <w:t>and</w:t>
      </w:r>
      <w:r>
        <w:rPr>
          <w:color w:val="0E0E0E"/>
          <w:spacing w:val="2"/>
          <w:w w:val="110"/>
          <w:sz w:val="22"/>
        </w:rPr>
        <w:t> </w:t>
      </w:r>
      <w:r>
        <w:rPr>
          <w:color w:val="0E0E0E"/>
          <w:w w:val="110"/>
          <w:sz w:val="22"/>
        </w:rPr>
        <w:t>unit</w:t>
      </w:r>
      <w:r>
        <w:rPr>
          <w:color w:val="0E0E0E"/>
          <w:spacing w:val="4"/>
          <w:w w:val="110"/>
          <w:sz w:val="22"/>
        </w:rPr>
        <w:t> </w:t>
      </w:r>
      <w:r>
        <w:rPr>
          <w:color w:val="0E0E0E"/>
          <w:w w:val="110"/>
          <w:sz w:val="22"/>
        </w:rPr>
        <w:t>trusts</w:t>
      </w:r>
      <w:r>
        <w:rPr>
          <w:rFonts w:ascii="Times New Roman"/>
          <w:color w:val="B6B6B6"/>
          <w:w w:val="110"/>
          <w:sz w:val="23"/>
        </w:rPr>
        <w:t>--</w:t>
      </w:r>
      <w:r>
        <w:rPr>
          <w:rFonts w:ascii="Times New Roman"/>
          <w:color w:val="0E0E0E"/>
          <w:spacing w:val="-2"/>
          <w:w w:val="110"/>
          <w:sz w:val="23"/>
        </w:rPr>
        <w:t>5</w:t>
      </w:r>
      <w:r>
        <w:rPr>
          <w:rFonts w:ascii="Times New Roman"/>
          <w:color w:val="2A2A2A"/>
          <w:spacing w:val="-2"/>
          <w:w w:val="110"/>
          <w:sz w:val="23"/>
        </w:rPr>
        <w:t>7</w:t>
      </w:r>
      <w:r>
        <w:rPr>
          <w:rFonts w:ascii="Times New Roman"/>
          <w:color w:val="0E0E0E"/>
          <w:spacing w:val="-2"/>
          <w:w w:val="110"/>
          <w:sz w:val="23"/>
        </w:rPr>
        <w:t>,974</w:t>
      </w:r>
      <w:r>
        <w:rPr>
          <w:rFonts w:ascii="Times New Roman"/>
          <w:color w:val="0E0E0E"/>
          <w:sz w:val="23"/>
        </w:rPr>
        <w:tab/>
      </w:r>
      <w:r>
        <w:rPr>
          <w:rFonts w:ascii="Times New Roman"/>
          <w:color w:val="0E0E0E"/>
          <w:w w:val="110"/>
          <w:sz w:val="23"/>
        </w:rPr>
        <w:t>6,642</w:t>
      </w:r>
      <w:r>
        <w:rPr>
          <w:rFonts w:ascii="Times New Roman"/>
          <w:color w:val="0E0E0E"/>
          <w:spacing w:val="-7"/>
          <w:w w:val="110"/>
          <w:sz w:val="23"/>
        </w:rPr>
        <w:t> </w:t>
      </w:r>
      <w:r>
        <w:rPr>
          <w:color w:val="B6B6B6"/>
          <w:spacing w:val="-10"/>
          <w:sz w:val="39"/>
        </w:rPr>
        <w:t>I</w:t>
      </w:r>
      <w:r>
        <w:rPr>
          <w:color w:val="B6B6B6"/>
          <w:sz w:val="39"/>
        </w:rPr>
        <w:tab/>
      </w:r>
      <w:r>
        <w:rPr>
          <w:rFonts w:ascii="Times New Roman"/>
          <w:color w:val="0E0E0E"/>
          <w:spacing w:val="-2"/>
          <w:w w:val="120"/>
          <w:sz w:val="23"/>
        </w:rPr>
        <w:t>64,616</w:t>
      </w:r>
      <w:r>
        <w:rPr>
          <w:rFonts w:ascii="Times New Roman"/>
          <w:color w:val="0E0E0E"/>
          <w:sz w:val="23"/>
        </w:rPr>
        <w:tab/>
      </w:r>
      <w:r>
        <w:rPr>
          <w:color w:val="B6B6B6"/>
          <w:w w:val="120"/>
          <w:position w:val="24"/>
          <w:sz w:val="10"/>
        </w:rPr>
        <w:t>1</w:t>
      </w:r>
      <w:r>
        <w:rPr>
          <w:color w:val="B6B6B6"/>
          <w:spacing w:val="65"/>
          <w:w w:val="120"/>
          <w:position w:val="24"/>
          <w:sz w:val="10"/>
        </w:rPr>
        <w:t> </w:t>
      </w:r>
      <w:r>
        <w:rPr>
          <w:rFonts w:ascii="Times New Roman"/>
          <w:color w:val="0E0E0E"/>
          <w:spacing w:val="-5"/>
          <w:w w:val="120"/>
          <w:sz w:val="23"/>
        </w:rPr>
        <w:t>59</w:t>
      </w:r>
    </w:p>
    <w:p>
      <w:pPr>
        <w:spacing w:after="0" w:line="437" w:lineRule="exact"/>
        <w:jc w:val="left"/>
        <w:rPr>
          <w:rFonts w:ascii="Times New Roman"/>
          <w:sz w:val="23"/>
        </w:rPr>
        <w:sectPr>
          <w:type w:val="continuous"/>
          <w:pgSz w:w="11910" w:h="16830"/>
          <w:pgMar w:top="1940" w:right="300" w:bottom="280" w:left="0" w:header="704" w:footer="0"/>
        </w:sectPr>
      </w:pPr>
    </w:p>
    <w:p>
      <w:pPr>
        <w:pStyle w:val="BodyText"/>
        <w:spacing w:before="403"/>
        <w:ind w:left="1478"/>
      </w:pPr>
      <w:r>
        <w:rPr>
          <w:color w:val="0E0E0E"/>
          <w:spacing w:val="-2"/>
          <w:w w:val="110"/>
        </w:rPr>
        <w:t>Derivatives:</w:t>
      </w:r>
      <w:r>
        <w:rPr>
          <w:color w:val="0E0E0E"/>
          <w:spacing w:val="7"/>
          <w:w w:val="110"/>
        </w:rPr>
        <w:t> </w:t>
      </w:r>
      <w:r>
        <w:rPr>
          <w:color w:val="0E0E0E"/>
          <w:spacing w:val="-2"/>
          <w:w w:val="110"/>
        </w:rPr>
        <w:t>foreign</w:t>
      </w:r>
      <w:r>
        <w:rPr>
          <w:color w:val="0E0E0E"/>
          <w:spacing w:val="-8"/>
          <w:w w:val="110"/>
        </w:rPr>
        <w:t> </w:t>
      </w:r>
      <w:r>
        <w:rPr>
          <w:color w:val="0E0E0E"/>
          <w:spacing w:val="-2"/>
          <w:w w:val="105"/>
        </w:rPr>
        <w:t>exchange</w:t>
      </w:r>
    </w:p>
    <w:p>
      <w:pPr>
        <w:spacing w:before="204"/>
        <w:ind w:left="1407" w:right="0" w:firstLine="0"/>
        <w:jc w:val="left"/>
        <w:rPr>
          <w:sz w:val="43"/>
        </w:rPr>
      </w:pPr>
      <w:r>
        <w:rPr/>
        <w:br w:type="column"/>
      </w:r>
      <w:r>
        <w:rPr>
          <w:rFonts w:ascii="Courier New"/>
          <w:color w:val="B6B6B6"/>
          <w:sz w:val="32"/>
        </w:rPr>
        <w:t>------</w:t>
      </w:r>
      <w:r>
        <w:rPr>
          <w:color w:val="2A2A2A"/>
          <w:spacing w:val="-53"/>
          <w:sz w:val="32"/>
          <w:vertAlign w:val="superscript"/>
        </w:rPr>
        <w:t>-</w:t>
      </w:r>
      <w:r>
        <w:rPr>
          <w:rFonts w:ascii="Courier New"/>
          <w:color w:val="B6B6B6"/>
          <w:spacing w:val="-62"/>
          <w:sz w:val="32"/>
          <w:vertAlign w:val="baseline"/>
        </w:rPr>
        <w:t>-</w:t>
      </w:r>
      <w:r>
        <w:rPr>
          <w:color w:val="B6B6B6"/>
          <w:spacing w:val="13"/>
          <w:position w:val="17"/>
          <w:sz w:val="43"/>
          <w:vertAlign w:val="baseline"/>
        </w:rPr>
        <w:t>I</w:t>
      </w:r>
      <w:r>
        <w:rPr>
          <w:rFonts w:ascii="Courier New"/>
          <w:color w:val="B6B6B6"/>
          <w:spacing w:val="13"/>
          <w:sz w:val="32"/>
          <w:vertAlign w:val="baseline"/>
        </w:rPr>
        <w:t>-</w:t>
      </w:r>
      <w:r>
        <w:rPr>
          <w:rFonts w:ascii="Courier New"/>
          <w:color w:val="B6B6B6"/>
          <w:sz w:val="32"/>
          <w:vertAlign w:val="baseline"/>
        </w:rPr>
        <w:t>---</w:t>
      </w:r>
      <w:r>
        <w:rPr>
          <w:rFonts w:ascii="Courier New"/>
          <w:color w:val="B6B6B6"/>
          <w:spacing w:val="-51"/>
          <w:sz w:val="32"/>
          <w:vertAlign w:val="baseline"/>
        </w:rPr>
        <w:t>-</w:t>
      </w:r>
      <w:r>
        <w:rPr>
          <w:rFonts w:ascii="Times New Roman"/>
          <w:color w:val="2A2A2A"/>
          <w:spacing w:val="15"/>
          <w:w w:val="101"/>
          <w:sz w:val="32"/>
          <w:vertAlign w:val="superscript"/>
        </w:rPr>
        <w:t>(</w:t>
      </w:r>
      <w:r>
        <w:rPr>
          <w:rFonts w:ascii="Courier New"/>
          <w:color w:val="B6B6B6"/>
          <w:spacing w:val="-140"/>
          <w:w w:val="98"/>
          <w:sz w:val="32"/>
          <w:vertAlign w:val="baseline"/>
        </w:rPr>
        <w:t>-</w:t>
      </w:r>
      <w:r>
        <w:rPr>
          <w:rFonts w:ascii="Times New Roman"/>
          <w:color w:val="2A2A2A"/>
          <w:spacing w:val="10"/>
          <w:w w:val="101"/>
          <w:sz w:val="32"/>
          <w:vertAlign w:val="superscript"/>
        </w:rPr>
        <w:t>5</w:t>
      </w:r>
      <w:r>
        <w:rPr>
          <w:rFonts w:ascii="Times New Roman"/>
          <w:color w:val="2A2A2A"/>
          <w:spacing w:val="-47"/>
          <w:w w:val="101"/>
          <w:sz w:val="32"/>
          <w:vertAlign w:val="superscript"/>
        </w:rPr>
        <w:t>8</w:t>
      </w:r>
      <w:r>
        <w:rPr>
          <w:rFonts w:ascii="Courier New"/>
          <w:color w:val="B6B6B6"/>
          <w:spacing w:val="-149"/>
          <w:w w:val="98"/>
          <w:sz w:val="32"/>
          <w:vertAlign w:val="baseline"/>
        </w:rPr>
        <w:t>-</w:t>
      </w:r>
      <w:r>
        <w:rPr>
          <w:rFonts w:ascii="Times New Roman"/>
          <w:color w:val="2A2A2A"/>
          <w:sz w:val="32"/>
          <w:vertAlign w:val="superscript"/>
        </w:rPr>
        <w:t>)</w:t>
      </w:r>
      <w:r>
        <w:rPr>
          <w:rFonts w:ascii="Times New Roman"/>
          <w:color w:val="2A2A2A"/>
          <w:spacing w:val="27"/>
          <w:sz w:val="32"/>
          <w:vertAlign w:val="baseline"/>
        </w:rPr>
        <w:t> </w:t>
      </w:r>
      <w:r>
        <w:rPr>
          <w:color w:val="494949"/>
          <w:position w:val="17"/>
          <w:sz w:val="43"/>
          <w:vertAlign w:val="baseline"/>
        </w:rPr>
        <w:t>I</w:t>
      </w:r>
      <w:r>
        <w:rPr>
          <w:rFonts w:ascii="Courier New"/>
          <w:color w:val="B6B6B6"/>
          <w:sz w:val="32"/>
          <w:vertAlign w:val="baseline"/>
        </w:rPr>
        <w:t>'--</w:t>
      </w:r>
      <w:r>
        <w:rPr>
          <w:rFonts w:ascii="Courier New"/>
          <w:color w:val="B6B6B6"/>
          <w:spacing w:val="-55"/>
          <w:sz w:val="32"/>
          <w:vertAlign w:val="baseline"/>
        </w:rPr>
        <w:t>-</w:t>
      </w:r>
      <w:r>
        <w:rPr>
          <w:rFonts w:ascii="Times New Roman"/>
          <w:color w:val="494949"/>
          <w:spacing w:val="19"/>
          <w:w w:val="101"/>
          <w:sz w:val="32"/>
          <w:vertAlign w:val="superscript"/>
        </w:rPr>
        <w:t>(</w:t>
      </w:r>
      <w:r>
        <w:rPr>
          <w:rFonts w:ascii="Courier New"/>
          <w:color w:val="B6B6B6"/>
          <w:spacing w:val="-144"/>
          <w:w w:val="98"/>
          <w:sz w:val="32"/>
          <w:vertAlign w:val="baseline"/>
        </w:rPr>
        <w:t>-</w:t>
      </w:r>
      <w:r>
        <w:rPr>
          <w:rFonts w:ascii="Times New Roman"/>
          <w:color w:val="494949"/>
          <w:spacing w:val="10"/>
          <w:w w:val="101"/>
          <w:sz w:val="32"/>
          <w:vertAlign w:val="superscript"/>
        </w:rPr>
        <w:t>5</w:t>
      </w:r>
      <w:r>
        <w:rPr>
          <w:rFonts w:ascii="Times New Roman"/>
          <w:color w:val="494949"/>
          <w:spacing w:val="-43"/>
          <w:w w:val="101"/>
          <w:sz w:val="32"/>
          <w:vertAlign w:val="superscript"/>
        </w:rPr>
        <w:t>8</w:t>
      </w:r>
      <w:r>
        <w:rPr>
          <w:rFonts w:ascii="Courier New"/>
          <w:color w:val="B6B6B6"/>
          <w:spacing w:val="-153"/>
          <w:w w:val="98"/>
          <w:sz w:val="32"/>
          <w:vertAlign w:val="baseline"/>
        </w:rPr>
        <w:t>-</w:t>
      </w:r>
      <w:r>
        <w:rPr>
          <w:rFonts w:ascii="Times New Roman"/>
          <w:color w:val="494949"/>
          <w:sz w:val="32"/>
          <w:vertAlign w:val="superscript"/>
        </w:rPr>
        <w:t>)</w:t>
      </w:r>
      <w:r>
        <w:rPr>
          <w:rFonts w:ascii="Times New Roman"/>
          <w:color w:val="494949"/>
          <w:spacing w:val="61"/>
          <w:sz w:val="32"/>
          <w:vertAlign w:val="baseline"/>
        </w:rPr>
        <w:t> </w:t>
      </w:r>
      <w:r>
        <w:rPr>
          <w:color w:val="5E5E5E"/>
          <w:spacing w:val="-10"/>
          <w:w w:val="75"/>
          <w:position w:val="17"/>
          <w:sz w:val="43"/>
          <w:vertAlign w:val="baseline"/>
        </w:rPr>
        <w:t>i</w:t>
      </w:r>
    </w:p>
    <w:p>
      <w:pPr>
        <w:spacing w:before="204"/>
        <w:ind w:left="137" w:right="0" w:firstLine="0"/>
        <w:jc w:val="left"/>
        <w:rPr>
          <w:sz w:val="43"/>
        </w:rPr>
      </w:pPr>
      <w:r>
        <w:rPr/>
        <w:br w:type="column"/>
      </w:r>
      <w:r>
        <w:rPr>
          <w:rFonts w:ascii="Courier New"/>
          <w:color w:val="B6B6B6"/>
          <w:sz w:val="32"/>
        </w:rPr>
        <w:t>--</w:t>
      </w:r>
      <w:r>
        <w:rPr>
          <w:color w:val="0E0E0E"/>
          <w:spacing w:val="-79"/>
          <w:w w:val="85"/>
          <w:position w:val="17"/>
          <w:sz w:val="43"/>
        </w:rPr>
        <w:t>-</w:t>
      </w:r>
      <w:r>
        <w:rPr>
          <w:rFonts w:ascii="Courier New"/>
          <w:color w:val="B6B6B6"/>
          <w:spacing w:val="-80"/>
          <w:sz w:val="32"/>
        </w:rPr>
        <w:t>-</w:t>
      </w:r>
      <w:r>
        <w:rPr>
          <w:color w:val="B6B6B6"/>
          <w:spacing w:val="-10"/>
          <w:w w:val="85"/>
          <w:position w:val="17"/>
          <w:sz w:val="43"/>
        </w:rPr>
        <w:t>I</w:t>
      </w:r>
    </w:p>
    <w:p>
      <w:pPr>
        <w:spacing w:after="0"/>
        <w:jc w:val="left"/>
        <w:rPr>
          <w:sz w:val="43"/>
        </w:rPr>
        <w:sectPr>
          <w:type w:val="continuous"/>
          <w:pgSz w:w="11910" w:h="16830"/>
          <w:pgMar w:top="1940" w:right="300" w:bottom="280" w:left="0" w:header="704" w:footer="0"/>
          <w:cols w:equalWidth="0" w:num="3">
            <w:col w:w="4601" w:space="40"/>
            <w:col w:w="5753" w:space="39"/>
            <w:col w:w="1177"/>
          </w:cols>
        </w:sectPr>
      </w:pPr>
    </w:p>
    <w:p>
      <w:pPr>
        <w:tabs>
          <w:tab w:val="left" w:leader="none" w:pos="6712"/>
          <w:tab w:val="left" w:leader="none" w:pos="8298"/>
          <w:tab w:val="left" w:leader="none" w:pos="9458"/>
          <w:tab w:val="left" w:leader="none" w:pos="10699"/>
        </w:tabs>
        <w:spacing w:before="43"/>
        <w:ind w:left="1480" w:right="0" w:firstLine="0"/>
        <w:jc w:val="left"/>
        <w:rPr>
          <w:rFonts w:ascii="Times New Roman"/>
          <w:sz w:val="23"/>
        </w:rPr>
      </w:pPr>
      <w:r>
        <w:rPr/>
        <ve:AlternateContent>
          <ve:Choice Requires="wps">
            <w:drawing>
              <wp:anchor distT="0" distB="0" distL="0" distR="0" simplePos="0" relativeHeight="475948032" behindDoc="1" locked="0" layoutInCell="1" allowOverlap="1">
                <wp:simplePos x="0" y="0"/>
                <wp:positionH relativeFrom="page">
                  <wp:posOffset>3846674</wp:posOffset>
                </wp:positionH>
                <wp:positionV relativeFrom="paragraph">
                  <wp:posOffset>97782</wp:posOffset>
                </wp:positionV>
                <wp:extent cx="3272790" cy="1270"/>
                <wp:effectExtent l="0" t="0" r="0" b="0"/>
                <wp:wrapNone/>
                <wp:docPr id="524" name="Graphic 524"/>
                <wp:cNvGraphicFramePr>
                  <a:graphicFrameLocks/>
                </wp:cNvGraphicFramePr>
                <a:graphic>
                  <a:graphicData uri="http://schemas.microsoft.com/office/word/2010/wordprocessingShape">
                    <wps:wsp>
                      <wps:cNvPr id="524" name="Graphic 524"/>
                      <wps:cNvSpPr/>
                      <wps:spPr>
                        <a:xfrm>
                          <a:off x="0" y="0"/>
                          <a:ext cx="3272790" cy="1270"/>
                        </a:xfrm>
                        <a:custGeom>
                          <a:avLst/>
                          <a:gdLst/>
                          <a:ahLst/>
                          <a:cxnLst/>
                          <a:rect l="l" t="t" r="r" b="b"/>
                          <a:pathLst>
                            <a:path w="3272790" h="0">
                              <a:moveTo>
                                <a:pt x="0" y="0"/>
                              </a:moveTo>
                              <a:lnTo>
                                <a:pt x="3272726"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27368448" stroked="true" strokecolor="#000000" strokeweight=".720821pt" from="302.887787pt,7.699433pt" to="560.582785pt,7.699433pt">
                <v:stroke dashstyle="solid"/>
                <w10:wrap type="none"/>
              </v:line>
            </w:pict>
          </ve:Fallback>
        </ve:AlternateContent>
      </w:r>
      <w:r>
        <w:rPr>
          <w:color w:val="0E0E0E"/>
          <w:sz w:val="22"/>
        </w:rPr>
        <w:t>Total</w:t>
      </w:r>
      <w:r>
        <w:rPr>
          <w:color w:val="0E0E0E"/>
          <w:spacing w:val="28"/>
          <w:sz w:val="22"/>
        </w:rPr>
        <w:t> </w:t>
      </w:r>
      <w:r>
        <w:rPr>
          <w:color w:val="0E0E0E"/>
          <w:spacing w:val="-2"/>
          <w:sz w:val="22"/>
        </w:rPr>
        <w:t>assets</w:t>
      </w:r>
      <w:r>
        <w:rPr>
          <w:color w:val="0E0E0E"/>
          <w:sz w:val="22"/>
        </w:rPr>
        <w:tab/>
      </w:r>
      <w:r>
        <w:rPr>
          <w:rFonts w:ascii="Times New Roman"/>
          <w:color w:val="0E0E0E"/>
          <w:spacing w:val="-2"/>
          <w:sz w:val="23"/>
        </w:rPr>
        <w:t>78,228</w:t>
      </w:r>
      <w:r>
        <w:rPr>
          <w:rFonts w:ascii="Times New Roman"/>
          <w:color w:val="0E0E0E"/>
          <w:sz w:val="23"/>
        </w:rPr>
        <w:tab/>
      </w:r>
      <w:r>
        <w:rPr>
          <w:rFonts w:ascii="Times New Roman"/>
          <w:color w:val="0E0E0E"/>
          <w:spacing w:val="-2"/>
          <w:sz w:val="23"/>
        </w:rPr>
        <w:t>32,333</w:t>
      </w:r>
      <w:r>
        <w:rPr>
          <w:rFonts w:ascii="Times New Roman"/>
          <w:color w:val="0E0E0E"/>
          <w:sz w:val="23"/>
        </w:rPr>
        <w:tab/>
        <w:t>110,561</w:t>
      </w:r>
      <w:r>
        <w:rPr>
          <w:rFonts w:ascii="Times New Roman"/>
          <w:color w:val="0E0E0E"/>
          <w:spacing w:val="78"/>
          <w:sz w:val="23"/>
        </w:rPr>
        <w:t> </w:t>
      </w:r>
      <w:r>
        <w:rPr>
          <w:color w:val="B6B6B6"/>
          <w:spacing w:val="-10"/>
          <w:sz w:val="39"/>
        </w:rPr>
        <w:t>I</w:t>
      </w:r>
      <w:r>
        <w:rPr>
          <w:color w:val="B6B6B6"/>
          <w:sz w:val="39"/>
        </w:rPr>
        <w:tab/>
      </w:r>
      <w:r>
        <w:rPr>
          <w:rFonts w:ascii="Times New Roman"/>
          <w:color w:val="0E0E0E"/>
          <w:spacing w:val="-5"/>
          <w:sz w:val="23"/>
        </w:rPr>
        <w:t>100</w:t>
      </w:r>
    </w:p>
    <w:p>
      <w:pPr>
        <w:pStyle w:val="BodyText"/>
        <w:spacing w:line="20" w:lineRule="exact"/>
        <w:ind w:left="6076"/>
        <w:rPr>
          <w:rFonts w:ascii="Times New Roman"/>
          <w:sz w:val="2"/>
        </w:rPr>
      </w:pPr>
      <w:r>
        <w:rPr>
          <w:rFonts w:ascii="Times New Roman"/>
          <w:sz w:val="2"/>
        </w:rPr>
        <ve:AlternateContent>
          <ve:Choice Requires="wps">
            <w:drawing>
              <wp:inline distT="0" distB="0" distL="0" distR="0">
                <wp:extent cx="3260725" cy="12700"/>
                <wp:effectExtent l="9525" t="0" r="0" b="6350"/>
                <wp:docPr id="525" name="Group 525"/>
                <wp:cNvGraphicFramePr>
                  <a:graphicFrameLocks/>
                </wp:cNvGraphicFramePr>
                <a:graphic>
                  <a:graphicData uri="http://schemas.microsoft.com/office/word/2010/wordprocessingGroup">
                    <wpg:wgp>
                      <wpg:cNvPr id="525" name="Group 525"/>
                      <wpg:cNvGrpSpPr/>
                      <wpg:grpSpPr>
                        <a:xfrm>
                          <a:off x="0" y="0"/>
                          <a:ext cx="3260725" cy="12700"/>
                          <a:chExt cx="3260725" cy="12700"/>
                        </a:xfrm>
                      </wpg:grpSpPr>
                      <wps:wsp>
                        <wps:cNvPr id="526" name="Graphic 526"/>
                        <wps:cNvSpPr/>
                        <wps:spPr>
                          <a:xfrm>
                            <a:off x="0" y="6102"/>
                            <a:ext cx="3260725" cy="1270"/>
                          </a:xfrm>
                          <a:custGeom>
                            <a:avLst/>
                            <a:gdLst/>
                            <a:ahLst/>
                            <a:cxnLst/>
                            <a:rect l="l" t="t" r="r" b="b"/>
                            <a:pathLst>
                              <a:path w="3260725" h="0">
                                <a:moveTo>
                                  <a:pt x="0" y="0"/>
                                </a:moveTo>
                                <a:lnTo>
                                  <a:pt x="3260514" y="0"/>
                                </a:lnTo>
                              </a:path>
                            </a:pathLst>
                          </a:custGeom>
                          <a:ln w="1220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52" style="width:256.75pt;height:1pt;mso-position-horizontal-relative:char;mso-position-vertical-relative:line" coordsize="5135,20" coordorigin="0,0">
                <v:line style="position:absolute" stroked="true" strokecolor="#000000" strokeweight=".961095pt" from="0,10" to="5135,10">
                  <v:stroke dashstyle="solid"/>
                </v:line>
              </v:group>
            </w:pict>
          </ve:Fallback>
        </ve:AlternateContent>
      </w:r>
      <w:r>
        <w:rPr>
          <w:rFonts w:ascii="Times New Roman"/>
          <w:sz w:val="2"/>
        </w:rPr>
      </w:r>
    </w:p>
    <w:p>
      <w:pPr>
        <w:spacing w:after="0" w:line="20" w:lineRule="exact"/>
        <w:rPr>
          <w:rFonts w:ascii="Times New Roman"/>
          <w:sz w:val="2"/>
        </w:rPr>
        <w:sectPr>
          <w:type w:val="continuous"/>
          <w:pgSz w:w="11910" w:h="16830"/>
          <w:pgMar w:top="1940" w:right="300" w:bottom="280" w:left="0" w:header="704" w:footer="0"/>
        </w:sectPr>
      </w:pPr>
    </w:p>
    <w:p>
      <w:pPr>
        <w:pStyle w:val="BodyText"/>
        <w:spacing w:before="48"/>
        <w:rPr>
          <w:rFonts w:ascii="Times New Roman"/>
        </w:rPr>
      </w:pPr>
      <w:r>
        <w:rPr/>
        <ve:AlternateContent>
          <ve:Choice Requires="wps">
            <w:drawing>
              <wp:anchor distT="0" distB="0" distL="0" distR="0" simplePos="0" relativeHeight="15841792" behindDoc="0" locked="0" layoutInCell="1" allowOverlap="1">
                <wp:simplePos x="0" y="0"/>
                <wp:positionH relativeFrom="page">
                  <wp:posOffset>21370</wp:posOffset>
                </wp:positionH>
                <wp:positionV relativeFrom="page">
                  <wp:posOffset>9636579</wp:posOffset>
                </wp:positionV>
                <wp:extent cx="1270" cy="427355"/>
                <wp:effectExtent l="0" t="0" r="0" b="0"/>
                <wp:wrapNone/>
                <wp:docPr id="529" name="Graphic 529"/>
                <wp:cNvGraphicFramePr>
                  <a:graphicFrameLocks/>
                </wp:cNvGraphicFramePr>
                <a:graphic>
                  <a:graphicData uri="http://schemas.microsoft.com/office/word/2010/wordprocessingShape">
                    <wps:wsp>
                      <wps:cNvPr id="529" name="Graphic 529"/>
                      <wps:cNvSpPr/>
                      <wps:spPr>
                        <a:xfrm>
                          <a:off x="0" y="0"/>
                          <a:ext cx="1270" cy="427355"/>
                        </a:xfrm>
                        <a:custGeom>
                          <a:avLst/>
                          <a:gdLst/>
                          <a:ahLst/>
                          <a:cxnLst/>
                          <a:rect l="l" t="t" r="r" b="b"/>
                          <a:pathLst>
                            <a:path w="0" h="427355">
                              <a:moveTo>
                                <a:pt x="0" y="427206"/>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41792" stroked="true" strokecolor="#000000" strokeweight=".961549pt" from="1.68271pt,792.424103pt" to="1.68271pt,758.785767pt">
                <v:stroke dashstyle="solid"/>
                <w10:wrap type="none"/>
              </v:line>
            </w:pict>
          </ve:Fallback>
        </ve:AlternateContent>
      </w:r>
    </w:p>
    <w:p>
      <w:pPr>
        <w:spacing w:before="0"/>
        <w:ind w:left="7451" w:right="0" w:firstLine="0"/>
        <w:jc w:val="left"/>
        <w:rPr>
          <w:rFonts w:ascii="Times New Roman"/>
          <w:sz w:val="23"/>
        </w:rPr>
      </w:pPr>
      <w:r>
        <w:rPr>
          <w:color w:val="0A0A0A"/>
          <w:w w:val="105"/>
          <w:sz w:val="22"/>
        </w:rPr>
        <w:t>Year</w:t>
      </w:r>
      <w:r>
        <w:rPr>
          <w:color w:val="0A0A0A"/>
          <w:spacing w:val="-4"/>
          <w:w w:val="105"/>
          <w:sz w:val="22"/>
        </w:rPr>
        <w:t> </w:t>
      </w:r>
      <w:r>
        <w:rPr>
          <w:color w:val="0A0A0A"/>
          <w:w w:val="105"/>
          <w:sz w:val="22"/>
        </w:rPr>
        <w:t>ended</w:t>
      </w:r>
      <w:r>
        <w:rPr>
          <w:color w:val="0A0A0A"/>
          <w:spacing w:val="-1"/>
          <w:w w:val="105"/>
          <w:sz w:val="22"/>
        </w:rPr>
        <w:t> </w:t>
      </w:r>
      <w:r>
        <w:rPr>
          <w:rFonts w:ascii="Times New Roman"/>
          <w:color w:val="0A0A0A"/>
          <w:w w:val="105"/>
          <w:sz w:val="23"/>
        </w:rPr>
        <w:t>31</w:t>
      </w:r>
      <w:r>
        <w:rPr>
          <w:rFonts w:ascii="Times New Roman"/>
          <w:color w:val="0A0A0A"/>
          <w:spacing w:val="-6"/>
          <w:w w:val="105"/>
          <w:sz w:val="23"/>
        </w:rPr>
        <w:t> </w:t>
      </w:r>
      <w:r>
        <w:rPr>
          <w:color w:val="0A0A0A"/>
          <w:w w:val="105"/>
          <w:sz w:val="22"/>
        </w:rPr>
        <w:t>March</w:t>
      </w:r>
      <w:r>
        <w:rPr>
          <w:color w:val="0A0A0A"/>
          <w:spacing w:val="1"/>
          <w:w w:val="105"/>
          <w:sz w:val="22"/>
        </w:rPr>
        <w:t> </w:t>
      </w:r>
      <w:r>
        <w:rPr>
          <w:rFonts w:ascii="Times New Roman"/>
          <w:color w:val="0A0A0A"/>
          <w:spacing w:val="-4"/>
          <w:w w:val="105"/>
          <w:sz w:val="23"/>
        </w:rPr>
        <w:t>2023</w:t>
      </w: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spacing w:before="18"/>
        <w:rPr>
          <w:rFonts w:ascii="Times New Roman"/>
          <w:sz w:val="13"/>
        </w:rPr>
      </w:pPr>
    </w:p>
    <w:p>
      <w:pPr>
        <w:tabs>
          <w:tab w:val="left" w:leader="none" w:pos="2706"/>
          <w:tab w:val="left" w:leader="none" w:pos="3537"/>
        </w:tabs>
        <w:spacing w:before="0"/>
        <w:ind w:left="1903" w:right="0" w:firstLine="0"/>
        <w:jc w:val="left"/>
        <w:rPr>
          <w:rFonts w:ascii="Times New Roman"/>
          <w:sz w:val="13"/>
        </w:rPr>
      </w:pPr>
      <w:r>
        <w:rPr/>
        <ve:AlternateContent>
          <ve:Choice Requires="wps">
            <w:drawing>
              <wp:anchor distT="0" distB="0" distL="0" distR="0" simplePos="0" relativeHeight="15843328" behindDoc="0" locked="0" layoutInCell="1" allowOverlap="1">
                <wp:simplePos x="0" y="0"/>
                <wp:positionH relativeFrom="page">
                  <wp:posOffset>966246</wp:posOffset>
                </wp:positionH>
                <wp:positionV relativeFrom="paragraph">
                  <wp:posOffset>-1425480</wp:posOffset>
                </wp:positionV>
                <wp:extent cx="6268085" cy="3583940"/>
                <wp:effectExtent l="0" t="0" r="0" b="0"/>
                <wp:wrapNone/>
                <wp:docPr id="530" name="Textbox 530"/>
                <wp:cNvGraphicFramePr>
                  <a:graphicFrameLocks/>
                </wp:cNvGraphicFramePr>
                <a:graphic>
                  <a:graphicData uri="http://schemas.microsoft.com/office/word/2010/wordprocessingShape">
                    <wps:wsp>
                      <wps:cNvPr id="530" name="Textbox 530"/>
                      <wps:cNvSpPr txBox="1"/>
                      <wps:spPr>
                        <a:xfrm>
                          <a:off x="0" y="0"/>
                          <a:ext cx="6268085" cy="3583940"/>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616"/>
                              <w:gridCol w:w="1446"/>
                              <w:gridCol w:w="1596"/>
                              <w:gridCol w:w="1227"/>
                              <w:gridCol w:w="85"/>
                              <w:gridCol w:w="773"/>
                            </w:tblGrid>
                            <w:tr>
                              <w:trPr>
                                <w:trHeight w:val="500" w:hRule="atLeast"/>
                              </w:trPr>
                              <w:tc>
                                <w:tcPr>
                                  <w:tcW w:w="6062" w:type="dxa"/>
                                  <w:gridSpan w:val="2"/>
                                </w:tcPr>
                                <w:p>
                                  <w:pPr>
                                    <w:pStyle w:val="TableParagraph"/>
                                    <w:spacing w:line="244" w:lineRule="exact"/>
                                    <w:ind w:right="257"/>
                                    <w:jc w:val="right"/>
                                    <w:rPr>
                                      <w:sz w:val="22"/>
                                    </w:rPr>
                                  </w:pPr>
                                  <w:r>
                                    <w:rPr>
                                      <w:color w:val="0A0A0A"/>
                                      <w:spacing w:val="-2"/>
                                      <w:w w:val="105"/>
                                      <w:sz w:val="22"/>
                                    </w:rPr>
                                    <w:t>Quoted</w:t>
                                  </w:r>
                                </w:p>
                                <w:p>
                                  <w:pPr>
                                    <w:pStyle w:val="TableParagraph"/>
                                    <w:spacing w:line="236" w:lineRule="exact"/>
                                    <w:ind w:right="198"/>
                                    <w:jc w:val="right"/>
                                    <w:rPr>
                                      <w:sz w:val="22"/>
                                    </w:rPr>
                                  </w:pPr>
                                  <w:r>
                                    <w:rPr>
                                      <w:color w:val="0A0A0A"/>
                                      <w:w w:val="105"/>
                                      <w:sz w:val="22"/>
                                    </w:rPr>
                                    <w:t>Prices</w:t>
                                  </w:r>
                                  <w:r>
                                    <w:rPr>
                                      <w:color w:val="0A0A0A"/>
                                      <w:spacing w:val="16"/>
                                      <w:w w:val="105"/>
                                      <w:sz w:val="22"/>
                                    </w:rPr>
                                    <w:t> </w:t>
                                  </w:r>
                                  <w:r>
                                    <w:rPr>
                                      <w:color w:val="0A0A0A"/>
                                      <w:spacing w:val="-5"/>
                                      <w:w w:val="105"/>
                                      <w:sz w:val="22"/>
                                    </w:rPr>
                                    <w:t>in</w:t>
                                  </w:r>
                                </w:p>
                              </w:tc>
                              <w:tc>
                                <w:tcPr>
                                  <w:tcW w:w="1596" w:type="dxa"/>
                                </w:tcPr>
                                <w:p>
                                  <w:pPr>
                                    <w:pStyle w:val="TableParagraph"/>
                                    <w:spacing w:line="244" w:lineRule="exact"/>
                                    <w:ind w:left="113"/>
                                    <w:jc w:val="center"/>
                                    <w:rPr>
                                      <w:sz w:val="22"/>
                                    </w:rPr>
                                  </w:pPr>
                                  <w:r>
                                    <w:rPr>
                                      <w:color w:val="0A0A0A"/>
                                      <w:spacing w:val="-2"/>
                                      <w:w w:val="105"/>
                                      <w:sz w:val="22"/>
                                    </w:rPr>
                                    <w:t>Quoted</w:t>
                                  </w:r>
                                </w:p>
                                <w:p>
                                  <w:pPr>
                                    <w:pStyle w:val="TableParagraph"/>
                                    <w:spacing w:line="236" w:lineRule="exact"/>
                                    <w:ind w:left="113" w:right="21"/>
                                    <w:jc w:val="center"/>
                                    <w:rPr>
                                      <w:sz w:val="22"/>
                                    </w:rPr>
                                  </w:pPr>
                                  <w:r>
                                    <w:rPr>
                                      <w:color w:val="0A0A0A"/>
                                      <w:w w:val="110"/>
                                      <w:sz w:val="22"/>
                                    </w:rPr>
                                    <w:t>Prices</w:t>
                                  </w:r>
                                  <w:r>
                                    <w:rPr>
                                      <w:color w:val="0A0A0A"/>
                                      <w:spacing w:val="-11"/>
                                      <w:w w:val="110"/>
                                      <w:sz w:val="22"/>
                                    </w:rPr>
                                    <w:t> </w:t>
                                  </w:r>
                                  <w:r>
                                    <w:rPr>
                                      <w:color w:val="0A0A0A"/>
                                      <w:w w:val="110"/>
                                      <w:sz w:val="22"/>
                                    </w:rPr>
                                    <w:t>not</w:t>
                                  </w:r>
                                  <w:r>
                                    <w:rPr>
                                      <w:color w:val="0A0A0A"/>
                                      <w:spacing w:val="-14"/>
                                      <w:w w:val="110"/>
                                      <w:sz w:val="22"/>
                                    </w:rPr>
                                    <w:t> </w:t>
                                  </w:r>
                                  <w:r>
                                    <w:rPr>
                                      <w:color w:val="0A0A0A"/>
                                      <w:spacing w:val="-5"/>
                                      <w:w w:val="110"/>
                                      <w:sz w:val="22"/>
                                    </w:rPr>
                                    <w:t>in</w:t>
                                  </w:r>
                                </w:p>
                              </w:tc>
                              <w:tc>
                                <w:tcPr>
                                  <w:tcW w:w="2085" w:type="dxa"/>
                                  <w:gridSpan w:val="3"/>
                                </w:tcPr>
                                <w:p>
                                  <w:pPr>
                                    <w:pStyle w:val="TableParagraph"/>
                                    <w:rPr>
                                      <w:rFonts w:ascii="Times New Roman"/>
                                      <w:sz w:val="22"/>
                                    </w:rPr>
                                  </w:pPr>
                                </w:p>
                              </w:tc>
                            </w:tr>
                            <w:tr>
                              <w:trPr>
                                <w:trHeight w:val="540" w:hRule="atLeast"/>
                              </w:trPr>
                              <w:tc>
                                <w:tcPr>
                                  <w:tcW w:w="6062" w:type="dxa"/>
                                  <w:gridSpan w:val="2"/>
                                </w:tcPr>
                                <w:p>
                                  <w:pPr>
                                    <w:pStyle w:val="TableParagraph"/>
                                    <w:spacing w:line="237" w:lineRule="auto"/>
                                    <w:ind w:left="4993" w:firstLine="88"/>
                                    <w:rPr>
                                      <w:sz w:val="22"/>
                                    </w:rPr>
                                  </w:pPr>
                                  <w:r>
                                    <w:rPr>
                                      <w:color w:val="0A0A0A"/>
                                      <w:spacing w:val="-2"/>
                                      <w:w w:val="110"/>
                                      <w:sz w:val="22"/>
                                    </w:rPr>
                                    <w:t>Active </w:t>
                                  </w:r>
                                  <w:r>
                                    <w:rPr>
                                      <w:color w:val="0A0A0A"/>
                                      <w:spacing w:val="-2"/>
                                      <w:sz w:val="22"/>
                                    </w:rPr>
                                    <w:t>Markets</w:t>
                                  </w:r>
                                </w:p>
                              </w:tc>
                              <w:tc>
                                <w:tcPr>
                                  <w:tcW w:w="1596" w:type="dxa"/>
                                </w:tcPr>
                                <w:p>
                                  <w:pPr>
                                    <w:pStyle w:val="TableParagraph"/>
                                    <w:spacing w:line="237" w:lineRule="auto"/>
                                    <w:ind w:left="436" w:firstLine="98"/>
                                    <w:rPr>
                                      <w:sz w:val="22"/>
                                    </w:rPr>
                                  </w:pPr>
                                  <w:r>
                                    <w:rPr>
                                      <w:color w:val="0A0A0A"/>
                                      <w:spacing w:val="-2"/>
                                      <w:w w:val="105"/>
                                      <w:sz w:val="22"/>
                                    </w:rPr>
                                    <w:t>Active </w:t>
                                  </w:r>
                                  <w:r>
                                    <w:rPr>
                                      <w:color w:val="0A0A0A"/>
                                      <w:spacing w:val="-2"/>
                                      <w:sz w:val="22"/>
                                    </w:rPr>
                                    <w:t>Markets</w:t>
                                  </w:r>
                                </w:p>
                              </w:tc>
                              <w:tc>
                                <w:tcPr>
                                  <w:tcW w:w="1312" w:type="dxa"/>
                                  <w:gridSpan w:val="2"/>
                                </w:tcPr>
                                <w:p>
                                  <w:pPr>
                                    <w:pStyle w:val="TableParagraph"/>
                                    <w:spacing w:before="242"/>
                                    <w:ind w:left="817" w:right="-44"/>
                                    <w:rPr>
                                      <w:sz w:val="22"/>
                                    </w:rPr>
                                  </w:pPr>
                                  <w:r>
                                    <w:rPr>
                                      <w:color w:val="0A0A0A"/>
                                      <w:spacing w:val="-2"/>
                                      <w:w w:val="110"/>
                                      <w:sz w:val="22"/>
                                    </w:rPr>
                                    <w:t>Total</w:t>
                                  </w:r>
                                </w:p>
                              </w:tc>
                              <w:tc>
                                <w:tcPr>
                                  <w:tcW w:w="773" w:type="dxa"/>
                                </w:tcPr>
                                <w:p>
                                  <w:pPr>
                                    <w:pStyle w:val="TableParagraph"/>
                                    <w:rPr>
                                      <w:rFonts w:ascii="Times New Roman"/>
                                      <w:sz w:val="22"/>
                                    </w:rPr>
                                  </w:pPr>
                                </w:p>
                              </w:tc>
                            </w:tr>
                            <w:tr>
                              <w:trPr>
                                <w:trHeight w:val="318" w:hRule="atLeast"/>
                              </w:trPr>
                              <w:tc>
                                <w:tcPr>
                                  <w:tcW w:w="6062" w:type="dxa"/>
                                  <w:gridSpan w:val="2"/>
                                </w:tcPr>
                                <w:p>
                                  <w:pPr>
                                    <w:pStyle w:val="TableParagraph"/>
                                    <w:spacing w:before="35" w:line="264" w:lineRule="exact"/>
                                    <w:ind w:right="410"/>
                                    <w:jc w:val="right"/>
                                    <w:rPr>
                                      <w:rFonts w:ascii="Times New Roman" w:hAnsi="Times New Roman"/>
                                      <w:sz w:val="23"/>
                                    </w:rPr>
                                  </w:pPr>
                                  <w:r>
                                    <w:rPr>
                                      <w:rFonts w:ascii="Times New Roman" w:hAnsi="Times New Roman"/>
                                      <w:color w:val="0A0A0A"/>
                                      <w:spacing w:val="-4"/>
                                      <w:w w:val="110"/>
                                      <w:sz w:val="23"/>
                                    </w:rPr>
                                    <w:t>£000</w:t>
                                  </w:r>
                                </w:p>
                              </w:tc>
                              <w:tc>
                                <w:tcPr>
                                  <w:tcW w:w="1596" w:type="dxa"/>
                                </w:tcPr>
                                <w:p>
                                  <w:pPr>
                                    <w:pStyle w:val="TableParagraph"/>
                                    <w:spacing w:before="35" w:line="264" w:lineRule="exact"/>
                                    <w:ind w:left="604"/>
                                    <w:rPr>
                                      <w:rFonts w:ascii="Times New Roman" w:hAnsi="Times New Roman"/>
                                      <w:sz w:val="23"/>
                                    </w:rPr>
                                  </w:pPr>
                                  <w:r>
                                    <w:rPr>
                                      <w:rFonts w:ascii="Times New Roman" w:hAnsi="Times New Roman"/>
                                      <w:color w:val="0A0A0A"/>
                                      <w:spacing w:val="-4"/>
                                      <w:w w:val="105"/>
                                      <w:sz w:val="23"/>
                                    </w:rPr>
                                    <w:t>£000</w:t>
                                  </w:r>
                                </w:p>
                              </w:tc>
                              <w:tc>
                                <w:tcPr>
                                  <w:tcW w:w="1312" w:type="dxa"/>
                                  <w:gridSpan w:val="2"/>
                                </w:tcPr>
                                <w:p>
                                  <w:pPr>
                                    <w:pStyle w:val="TableParagraph"/>
                                    <w:spacing w:before="30"/>
                                    <w:ind w:left="426"/>
                                    <w:rPr>
                                      <w:rFonts w:ascii="Times New Roman" w:hAnsi="Times New Roman"/>
                                      <w:sz w:val="23"/>
                                    </w:rPr>
                                  </w:pPr>
                                  <w:r>
                                    <w:rPr>
                                      <w:rFonts w:ascii="Times New Roman" w:hAnsi="Times New Roman"/>
                                      <w:color w:val="0A0A0A"/>
                                      <w:spacing w:val="-4"/>
                                      <w:w w:val="105"/>
                                      <w:sz w:val="23"/>
                                    </w:rPr>
                                    <w:t>£000</w:t>
                                  </w:r>
                                </w:p>
                              </w:tc>
                              <w:tc>
                                <w:tcPr>
                                  <w:tcW w:w="773" w:type="dxa"/>
                                </w:tcPr>
                                <w:p>
                                  <w:pPr>
                                    <w:pStyle w:val="TableParagraph"/>
                                    <w:spacing w:before="38"/>
                                    <w:ind w:left="46"/>
                                    <w:jc w:val="center"/>
                                    <w:rPr>
                                      <w:sz w:val="22"/>
                                    </w:rPr>
                                  </w:pPr>
                                  <w:r>
                                    <w:rPr>
                                      <w:color w:val="0A0A0A"/>
                                      <w:spacing w:val="-10"/>
                                      <w:w w:val="105"/>
                                      <w:sz w:val="22"/>
                                    </w:rPr>
                                    <w:t>%</w:t>
                                  </w:r>
                                </w:p>
                              </w:tc>
                            </w:tr>
                            <w:tr>
                              <w:trPr>
                                <w:trHeight w:val="275" w:hRule="atLeast"/>
                              </w:trPr>
                              <w:tc>
                                <w:tcPr>
                                  <w:tcW w:w="6062" w:type="dxa"/>
                                  <w:gridSpan w:val="2"/>
                                </w:tcPr>
                                <w:p>
                                  <w:pPr>
                                    <w:pStyle w:val="TableParagraph"/>
                                    <w:tabs>
                                      <w:tab w:val="left" w:leader="none" w:pos="5455"/>
                                    </w:tabs>
                                    <w:spacing w:before="14" w:line="241" w:lineRule="exact"/>
                                    <w:ind w:left="104"/>
                                    <w:rPr>
                                      <w:rFonts w:ascii="Times New Roman"/>
                                      <w:sz w:val="23"/>
                                    </w:rPr>
                                  </w:pPr>
                                  <w:r>
                                    <w:rPr>
                                      <w:color w:val="0A0A0A"/>
                                      <w:w w:val="105"/>
                                      <w:sz w:val="22"/>
                                    </w:rPr>
                                    <w:t>Cash</w:t>
                                  </w:r>
                                  <w:r>
                                    <w:rPr>
                                      <w:color w:val="0A0A0A"/>
                                      <w:spacing w:val="4"/>
                                      <w:w w:val="105"/>
                                      <w:sz w:val="22"/>
                                    </w:rPr>
                                    <w:t> </w:t>
                                  </w:r>
                                  <w:r>
                                    <w:rPr>
                                      <w:color w:val="0A0A0A"/>
                                      <w:w w:val="105"/>
                                      <w:sz w:val="22"/>
                                    </w:rPr>
                                    <w:t>and cash</w:t>
                                  </w:r>
                                  <w:r>
                                    <w:rPr>
                                      <w:color w:val="0A0A0A"/>
                                      <w:spacing w:val="1"/>
                                      <w:w w:val="105"/>
                                      <w:sz w:val="22"/>
                                    </w:rPr>
                                    <w:t> </w:t>
                                  </w:r>
                                  <w:r>
                                    <w:rPr>
                                      <w:color w:val="0A0A0A"/>
                                      <w:spacing w:val="-2"/>
                                      <w:w w:val="105"/>
                                      <w:sz w:val="22"/>
                                    </w:rPr>
                                    <w:t>equivalents</w:t>
                                  </w:r>
                                  <w:r>
                                    <w:rPr>
                                      <w:color w:val="0A0A0A"/>
                                      <w:sz w:val="22"/>
                                    </w:rPr>
                                    <w:tab/>
                                  </w:r>
                                  <w:r>
                                    <w:rPr>
                                      <w:rFonts w:ascii="Times New Roman"/>
                                      <w:color w:val="0A0A0A"/>
                                      <w:spacing w:val="-2"/>
                                      <w:w w:val="105"/>
                                      <w:sz w:val="23"/>
                                    </w:rPr>
                                    <w:t>5,773</w:t>
                                  </w:r>
                                </w:p>
                              </w:tc>
                              <w:tc>
                                <w:tcPr>
                                  <w:tcW w:w="1596" w:type="dxa"/>
                                </w:tcPr>
                                <w:p>
                                  <w:pPr>
                                    <w:pStyle w:val="TableParagraph"/>
                                    <w:rPr>
                                      <w:rFonts w:ascii="Times New Roman"/>
                                      <w:sz w:val="20"/>
                                    </w:rPr>
                                  </w:pPr>
                                </w:p>
                              </w:tc>
                              <w:tc>
                                <w:tcPr>
                                  <w:tcW w:w="1312" w:type="dxa"/>
                                  <w:gridSpan w:val="2"/>
                                </w:tcPr>
                                <w:p>
                                  <w:pPr>
                                    <w:pStyle w:val="TableParagraph"/>
                                    <w:spacing w:before="9" w:line="246" w:lineRule="exact"/>
                                    <w:ind w:left="653"/>
                                    <w:rPr>
                                      <w:rFonts w:ascii="Times New Roman"/>
                                      <w:sz w:val="23"/>
                                    </w:rPr>
                                  </w:pPr>
                                  <w:r>
                                    <w:rPr>
                                      <w:rFonts w:ascii="Times New Roman"/>
                                      <w:color w:val="0A0A0A"/>
                                      <w:spacing w:val="-4"/>
                                      <w:w w:val="110"/>
                                      <w:sz w:val="23"/>
                                    </w:rPr>
                                    <w:t>5,773</w:t>
                                  </w:r>
                                </w:p>
                              </w:tc>
                              <w:tc>
                                <w:tcPr>
                                  <w:tcW w:w="773" w:type="dxa"/>
                                </w:tcPr>
                                <w:p>
                                  <w:pPr>
                                    <w:pStyle w:val="TableParagraph"/>
                                    <w:spacing w:before="18" w:line="238" w:lineRule="exact"/>
                                    <w:ind w:right="74"/>
                                    <w:jc w:val="right"/>
                                    <w:rPr>
                                      <w:sz w:val="22"/>
                                    </w:rPr>
                                  </w:pPr>
                                  <w:r>
                                    <w:rPr>
                                      <w:color w:val="0A0A0A"/>
                                      <w:spacing w:val="-10"/>
                                      <w:sz w:val="22"/>
                                    </w:rPr>
                                    <w:t>6</w:t>
                                  </w:r>
                                </w:p>
                              </w:tc>
                            </w:tr>
                            <w:tr>
                              <w:trPr>
                                <w:trHeight w:val="759" w:hRule="atLeast"/>
                              </w:trPr>
                              <w:tc>
                                <w:tcPr>
                                  <w:tcW w:w="6062" w:type="dxa"/>
                                  <w:gridSpan w:val="2"/>
                                </w:tcPr>
                                <w:p>
                                  <w:pPr>
                                    <w:pStyle w:val="TableParagraph"/>
                                    <w:spacing w:before="161"/>
                                    <w:rPr>
                                      <w:sz w:val="22"/>
                                    </w:rPr>
                                  </w:pPr>
                                </w:p>
                                <w:p>
                                  <w:pPr>
                                    <w:pStyle w:val="TableParagraph"/>
                                    <w:spacing w:before="1"/>
                                    <w:ind w:left="93"/>
                                    <w:rPr>
                                      <w:sz w:val="22"/>
                                    </w:rPr>
                                  </w:pPr>
                                  <w:r>
                                    <w:rPr>
                                      <w:color w:val="282828"/>
                                      <w:w w:val="110"/>
                                      <w:sz w:val="22"/>
                                    </w:rPr>
                                    <w:t>Equity</w:t>
                                  </w:r>
                                  <w:r>
                                    <w:rPr>
                                      <w:color w:val="282828"/>
                                      <w:spacing w:val="1"/>
                                      <w:w w:val="110"/>
                                      <w:sz w:val="22"/>
                                    </w:rPr>
                                    <w:t> </w:t>
                                  </w:r>
                                  <w:r>
                                    <w:rPr>
                                      <w:color w:val="282828"/>
                                      <w:spacing w:val="-2"/>
                                      <w:w w:val="110"/>
                                      <w:sz w:val="22"/>
                                    </w:rPr>
                                    <w:t>instruments:</w:t>
                                  </w:r>
                                </w:p>
                              </w:tc>
                              <w:tc>
                                <w:tcPr>
                                  <w:tcW w:w="1596" w:type="dxa"/>
                                </w:tcPr>
                                <w:p>
                                  <w:pPr>
                                    <w:pStyle w:val="TableParagraph"/>
                                    <w:rPr>
                                      <w:rFonts w:ascii="Times New Roman"/>
                                      <w:sz w:val="22"/>
                                    </w:rPr>
                                  </w:pPr>
                                </w:p>
                              </w:tc>
                              <w:tc>
                                <w:tcPr>
                                  <w:tcW w:w="1312" w:type="dxa"/>
                                  <w:gridSpan w:val="2"/>
                                </w:tcPr>
                                <w:p>
                                  <w:pPr>
                                    <w:pStyle w:val="TableParagraph"/>
                                    <w:rPr>
                                      <w:rFonts w:ascii="Times New Roman"/>
                                      <w:sz w:val="22"/>
                                    </w:rPr>
                                  </w:pPr>
                                </w:p>
                              </w:tc>
                              <w:tc>
                                <w:tcPr>
                                  <w:tcW w:w="773" w:type="dxa"/>
                                </w:tcPr>
                                <w:p>
                                  <w:pPr>
                                    <w:pStyle w:val="TableParagraph"/>
                                    <w:rPr>
                                      <w:rFonts w:ascii="Times New Roman"/>
                                      <w:sz w:val="22"/>
                                    </w:rPr>
                                  </w:pPr>
                                </w:p>
                              </w:tc>
                            </w:tr>
                            <w:tr>
                              <w:trPr>
                                <w:trHeight w:val="263" w:hRule="atLeast"/>
                              </w:trPr>
                              <w:tc>
                                <w:tcPr>
                                  <w:tcW w:w="4616" w:type="dxa"/>
                                </w:tcPr>
                                <w:p>
                                  <w:pPr>
                                    <w:pStyle w:val="TableParagraph"/>
                                    <w:spacing w:line="235" w:lineRule="exact"/>
                                    <w:ind w:left="96"/>
                                    <w:rPr>
                                      <w:i/>
                                      <w:sz w:val="21"/>
                                    </w:rPr>
                                  </w:pPr>
                                  <w:r>
                                    <w:rPr>
                                      <w:i/>
                                      <w:color w:val="282828"/>
                                      <w:w w:val="105"/>
                                      <w:sz w:val="21"/>
                                    </w:rPr>
                                    <w:t>By</w:t>
                                  </w:r>
                                  <w:r>
                                    <w:rPr>
                                      <w:i/>
                                      <w:color w:val="282828"/>
                                      <w:spacing w:val="-1"/>
                                      <w:w w:val="105"/>
                                      <w:sz w:val="21"/>
                                    </w:rPr>
                                    <w:t> </w:t>
                                  </w:r>
                                  <w:r>
                                    <w:rPr>
                                      <w:i/>
                                      <w:color w:val="282828"/>
                                      <w:w w:val="105"/>
                                      <w:sz w:val="21"/>
                                    </w:rPr>
                                    <w:t>industry</w:t>
                                  </w:r>
                                  <w:r>
                                    <w:rPr>
                                      <w:i/>
                                      <w:color w:val="282828"/>
                                      <w:spacing w:val="-3"/>
                                      <w:w w:val="105"/>
                                      <w:sz w:val="21"/>
                                    </w:rPr>
                                    <w:t> </w:t>
                                  </w:r>
                                  <w:r>
                                    <w:rPr>
                                      <w:i/>
                                      <w:color w:val="282828"/>
                                      <w:spacing w:val="-2"/>
                                      <w:w w:val="105"/>
                                      <w:sz w:val="21"/>
                                    </w:rPr>
                                    <w:t>type:</w:t>
                                  </w:r>
                                </w:p>
                              </w:tc>
                              <w:tc>
                                <w:tcPr>
                                  <w:tcW w:w="1446" w:type="dxa"/>
                                </w:tcPr>
                                <w:p>
                                  <w:pPr>
                                    <w:pStyle w:val="TableParagraph"/>
                                    <w:rPr>
                                      <w:rFonts w:ascii="Times New Roman"/>
                                      <w:sz w:val="18"/>
                                    </w:rPr>
                                  </w:pPr>
                                </w:p>
                              </w:tc>
                              <w:tc>
                                <w:tcPr>
                                  <w:tcW w:w="2823" w:type="dxa"/>
                                  <w:gridSpan w:val="2"/>
                                </w:tcPr>
                                <w:p>
                                  <w:pPr>
                                    <w:pStyle w:val="TableParagraph"/>
                                    <w:rPr>
                                      <w:rFonts w:ascii="Times New Roman"/>
                                      <w:sz w:val="18"/>
                                    </w:rPr>
                                  </w:pPr>
                                </w:p>
                              </w:tc>
                              <w:tc>
                                <w:tcPr>
                                  <w:tcW w:w="858" w:type="dxa"/>
                                  <w:gridSpan w:val="2"/>
                                </w:tcPr>
                                <w:p>
                                  <w:pPr>
                                    <w:pStyle w:val="TableParagraph"/>
                                    <w:rPr>
                                      <w:rFonts w:ascii="Times New Roman"/>
                                      <w:sz w:val="18"/>
                                    </w:rPr>
                                  </w:pPr>
                                </w:p>
                              </w:tc>
                            </w:tr>
                            <w:tr>
                              <w:trPr>
                                <w:trHeight w:val="335" w:hRule="atLeast"/>
                              </w:trPr>
                              <w:tc>
                                <w:tcPr>
                                  <w:tcW w:w="4616" w:type="dxa"/>
                                </w:tcPr>
                                <w:p>
                                  <w:pPr>
                                    <w:pStyle w:val="TableParagraph"/>
                                    <w:spacing w:before="63" w:line="251" w:lineRule="exact"/>
                                    <w:ind w:left="85"/>
                                    <w:rPr>
                                      <w:sz w:val="22"/>
                                    </w:rPr>
                                  </w:pPr>
                                  <w:r>
                                    <w:rPr>
                                      <w:color w:val="282828"/>
                                      <w:spacing w:val="-2"/>
                                      <w:sz w:val="22"/>
                                    </w:rPr>
                                    <w:t>Consumer</w:t>
                                  </w:r>
                                </w:p>
                              </w:tc>
                              <w:tc>
                                <w:tcPr>
                                  <w:tcW w:w="1446" w:type="dxa"/>
                                </w:tcPr>
                                <w:p>
                                  <w:pPr>
                                    <w:pStyle w:val="TableParagraph"/>
                                    <w:spacing w:before="30"/>
                                    <w:ind w:left="831"/>
                                    <w:rPr>
                                      <w:sz w:val="22"/>
                                    </w:rPr>
                                  </w:pPr>
                                  <w:r>
                                    <w:rPr>
                                      <w:color w:val="0A0A0A"/>
                                      <w:spacing w:val="-2"/>
                                      <w:sz w:val="22"/>
                                    </w:rPr>
                                    <w:t>1,350</w:t>
                                  </w:r>
                                </w:p>
                              </w:tc>
                              <w:tc>
                                <w:tcPr>
                                  <w:tcW w:w="2823" w:type="dxa"/>
                                  <w:gridSpan w:val="2"/>
                                </w:tcPr>
                                <w:p>
                                  <w:pPr>
                                    <w:pStyle w:val="TableParagraph"/>
                                    <w:spacing w:before="12"/>
                                    <w:ind w:right="22"/>
                                    <w:jc w:val="right"/>
                                    <w:rPr>
                                      <w:rFonts w:ascii="Times New Roman"/>
                                      <w:sz w:val="23"/>
                                    </w:rPr>
                                  </w:pPr>
                                  <w:r>
                                    <w:rPr>
                                      <w:rFonts w:ascii="Times New Roman"/>
                                      <w:color w:val="0A0A0A"/>
                                      <w:spacing w:val="-4"/>
                                      <w:w w:val="110"/>
                                      <w:sz w:val="23"/>
                                    </w:rPr>
                                    <w:t>1,350</w:t>
                                  </w:r>
                                </w:p>
                              </w:tc>
                              <w:tc>
                                <w:tcPr>
                                  <w:tcW w:w="858" w:type="dxa"/>
                                  <w:gridSpan w:val="2"/>
                                </w:tcPr>
                                <w:p>
                                  <w:pPr>
                                    <w:pStyle w:val="TableParagraph"/>
                                    <w:spacing w:before="12"/>
                                    <w:ind w:right="90"/>
                                    <w:jc w:val="right"/>
                                    <w:rPr>
                                      <w:rFonts w:ascii="Times New Roman"/>
                                      <w:sz w:val="23"/>
                                    </w:rPr>
                                  </w:pPr>
                                  <w:r>
                                    <w:rPr>
                                      <w:rFonts w:ascii="Times New Roman"/>
                                      <w:color w:val="0A0A0A"/>
                                      <w:spacing w:val="-10"/>
                                      <w:w w:val="110"/>
                                      <w:sz w:val="23"/>
                                    </w:rPr>
                                    <w:t>1</w:t>
                                  </w:r>
                                </w:p>
                              </w:tc>
                            </w:tr>
                            <w:tr>
                              <w:trPr>
                                <w:trHeight w:val="333" w:hRule="atLeast"/>
                              </w:trPr>
                              <w:tc>
                                <w:tcPr>
                                  <w:tcW w:w="4616" w:type="dxa"/>
                                </w:tcPr>
                                <w:p>
                                  <w:pPr>
                                    <w:pStyle w:val="TableParagraph"/>
                                    <w:spacing w:before="60"/>
                                    <w:ind w:left="79"/>
                                    <w:rPr>
                                      <w:sz w:val="22"/>
                                    </w:rPr>
                                  </w:pPr>
                                  <w:r>
                                    <w:rPr>
                                      <w:color w:val="282828"/>
                                      <w:spacing w:val="-2"/>
                                      <w:sz w:val="22"/>
                                    </w:rPr>
                                    <w:t>Manufacturing</w:t>
                                  </w:r>
                                </w:p>
                              </w:tc>
                              <w:tc>
                                <w:tcPr>
                                  <w:tcW w:w="1446" w:type="dxa"/>
                                </w:tcPr>
                                <w:p>
                                  <w:pPr>
                                    <w:pStyle w:val="TableParagraph"/>
                                    <w:spacing w:before="26"/>
                                    <w:ind w:right="66"/>
                                    <w:jc w:val="right"/>
                                    <w:rPr>
                                      <w:sz w:val="22"/>
                                    </w:rPr>
                                  </w:pPr>
                                  <w:r>
                                    <w:rPr>
                                      <w:color w:val="0A0A0A"/>
                                      <w:spacing w:val="-5"/>
                                      <w:sz w:val="22"/>
                                    </w:rPr>
                                    <w:t>596</w:t>
                                  </w:r>
                                </w:p>
                              </w:tc>
                              <w:tc>
                                <w:tcPr>
                                  <w:tcW w:w="2823" w:type="dxa"/>
                                  <w:gridSpan w:val="2"/>
                                </w:tcPr>
                                <w:p>
                                  <w:pPr>
                                    <w:pStyle w:val="TableParagraph"/>
                                    <w:spacing w:before="13"/>
                                    <w:ind w:right="24"/>
                                    <w:jc w:val="right"/>
                                    <w:rPr>
                                      <w:rFonts w:ascii="Times New Roman"/>
                                      <w:sz w:val="23"/>
                                    </w:rPr>
                                  </w:pPr>
                                  <w:r>
                                    <w:rPr>
                                      <w:rFonts w:ascii="Times New Roman"/>
                                      <w:color w:val="0A0A0A"/>
                                      <w:spacing w:val="-5"/>
                                      <w:w w:val="105"/>
                                      <w:sz w:val="23"/>
                                    </w:rPr>
                                    <w:t>596</w:t>
                                  </w:r>
                                </w:p>
                              </w:tc>
                              <w:tc>
                                <w:tcPr>
                                  <w:tcW w:w="858" w:type="dxa"/>
                                  <w:gridSpan w:val="2"/>
                                </w:tcPr>
                                <w:p>
                                  <w:pPr>
                                    <w:pStyle w:val="TableParagraph"/>
                                    <w:spacing w:before="8"/>
                                    <w:ind w:right="91"/>
                                    <w:jc w:val="right"/>
                                    <w:rPr>
                                      <w:rFonts w:ascii="Times New Roman"/>
                                      <w:sz w:val="23"/>
                                    </w:rPr>
                                  </w:pPr>
                                  <w:r>
                                    <w:rPr>
                                      <w:rFonts w:ascii="Times New Roman"/>
                                      <w:color w:val="0A0A0A"/>
                                      <w:spacing w:val="-10"/>
                                      <w:w w:val="105"/>
                                      <w:sz w:val="23"/>
                                    </w:rPr>
                                    <w:t>1</w:t>
                                  </w:r>
                                </w:p>
                              </w:tc>
                            </w:tr>
                            <w:tr>
                              <w:trPr>
                                <w:trHeight w:val="336" w:hRule="atLeast"/>
                              </w:trPr>
                              <w:tc>
                                <w:tcPr>
                                  <w:tcW w:w="4616" w:type="dxa"/>
                                </w:tcPr>
                                <w:p>
                                  <w:pPr>
                                    <w:pStyle w:val="TableParagraph"/>
                                    <w:spacing w:before="62"/>
                                    <w:ind w:left="78"/>
                                    <w:rPr>
                                      <w:sz w:val="22"/>
                                    </w:rPr>
                                  </w:pPr>
                                  <w:r>
                                    <w:rPr>
                                      <w:color w:val="282828"/>
                                      <w:sz w:val="22"/>
                                    </w:rPr>
                                    <w:t>Financial</w:t>
                                  </w:r>
                                  <w:r>
                                    <w:rPr>
                                      <w:color w:val="282828"/>
                                      <w:spacing w:val="-2"/>
                                      <w:sz w:val="22"/>
                                    </w:rPr>
                                    <w:t> Institutions</w:t>
                                  </w:r>
                                </w:p>
                              </w:tc>
                              <w:tc>
                                <w:tcPr>
                                  <w:tcW w:w="1446" w:type="dxa"/>
                                </w:tcPr>
                                <w:p>
                                  <w:pPr>
                                    <w:pStyle w:val="TableParagraph"/>
                                    <w:spacing w:before="29"/>
                                    <w:ind w:right="70"/>
                                    <w:jc w:val="right"/>
                                    <w:rPr>
                                      <w:sz w:val="22"/>
                                    </w:rPr>
                                  </w:pPr>
                                  <w:r>
                                    <w:rPr>
                                      <w:color w:val="0A0A0A"/>
                                      <w:spacing w:val="-5"/>
                                      <w:sz w:val="22"/>
                                    </w:rPr>
                                    <w:t>512</w:t>
                                  </w:r>
                                </w:p>
                              </w:tc>
                              <w:tc>
                                <w:tcPr>
                                  <w:tcW w:w="2823" w:type="dxa"/>
                                  <w:gridSpan w:val="2"/>
                                </w:tcPr>
                                <w:p>
                                  <w:pPr>
                                    <w:pStyle w:val="TableParagraph"/>
                                    <w:spacing w:before="11"/>
                                    <w:ind w:right="25"/>
                                    <w:jc w:val="right"/>
                                    <w:rPr>
                                      <w:rFonts w:ascii="Times New Roman"/>
                                      <w:sz w:val="23"/>
                                    </w:rPr>
                                  </w:pPr>
                                  <w:r>
                                    <w:rPr>
                                      <w:rFonts w:ascii="Times New Roman"/>
                                      <w:color w:val="0A0A0A"/>
                                      <w:spacing w:val="-5"/>
                                      <w:w w:val="110"/>
                                      <w:sz w:val="23"/>
                                    </w:rPr>
                                    <w:t>512</w:t>
                                  </w:r>
                                </w:p>
                              </w:tc>
                              <w:tc>
                                <w:tcPr>
                                  <w:tcW w:w="858" w:type="dxa"/>
                                  <w:gridSpan w:val="2"/>
                                </w:tcPr>
                                <w:p>
                                  <w:pPr>
                                    <w:pStyle w:val="TableParagraph"/>
                                    <w:spacing w:before="11"/>
                                    <w:ind w:right="95"/>
                                    <w:jc w:val="right"/>
                                    <w:rPr>
                                      <w:rFonts w:ascii="Times New Roman"/>
                                      <w:sz w:val="23"/>
                                    </w:rPr>
                                  </w:pPr>
                                  <w:r>
                                    <w:rPr>
                                      <w:rFonts w:ascii="Times New Roman"/>
                                      <w:color w:val="0A0A0A"/>
                                      <w:spacing w:val="-10"/>
                                      <w:w w:val="110"/>
                                      <w:sz w:val="23"/>
                                    </w:rPr>
                                    <w:t>1</w:t>
                                  </w:r>
                                </w:p>
                              </w:tc>
                            </w:tr>
                            <w:tr>
                              <w:trPr>
                                <w:trHeight w:val="333" w:hRule="atLeast"/>
                              </w:trPr>
                              <w:tc>
                                <w:tcPr>
                                  <w:tcW w:w="4616" w:type="dxa"/>
                                </w:tcPr>
                                <w:p>
                                  <w:pPr>
                                    <w:pStyle w:val="TableParagraph"/>
                                    <w:spacing w:before="62" w:line="251" w:lineRule="exact"/>
                                    <w:ind w:left="73"/>
                                    <w:rPr>
                                      <w:sz w:val="22"/>
                                    </w:rPr>
                                  </w:pPr>
                                  <w:r>
                                    <w:rPr>
                                      <w:color w:val="282828"/>
                                      <w:sz w:val="22"/>
                                    </w:rPr>
                                    <w:t>Health</w:t>
                                  </w:r>
                                  <w:r>
                                    <w:rPr>
                                      <w:color w:val="282828"/>
                                      <w:spacing w:val="6"/>
                                      <w:sz w:val="22"/>
                                    </w:rPr>
                                    <w:t> </w:t>
                                  </w:r>
                                  <w:r>
                                    <w:rPr>
                                      <w:color w:val="282828"/>
                                      <w:sz w:val="22"/>
                                    </w:rPr>
                                    <w:t>&amp;</w:t>
                                  </w:r>
                                  <w:r>
                                    <w:rPr>
                                      <w:color w:val="282828"/>
                                      <w:spacing w:val="-3"/>
                                      <w:sz w:val="22"/>
                                    </w:rPr>
                                    <w:t> </w:t>
                                  </w:r>
                                  <w:r>
                                    <w:rPr>
                                      <w:color w:val="282828"/>
                                      <w:spacing w:val="-4"/>
                                      <w:sz w:val="22"/>
                                    </w:rPr>
                                    <w:t>Care</w:t>
                                  </w:r>
                                </w:p>
                              </w:tc>
                              <w:tc>
                                <w:tcPr>
                                  <w:tcW w:w="1446" w:type="dxa"/>
                                </w:tcPr>
                                <w:p>
                                  <w:pPr>
                                    <w:pStyle w:val="TableParagraph"/>
                                    <w:spacing w:before="24"/>
                                    <w:ind w:right="67"/>
                                    <w:jc w:val="right"/>
                                    <w:rPr>
                                      <w:sz w:val="22"/>
                                    </w:rPr>
                                  </w:pPr>
                                  <w:r>
                                    <w:rPr>
                                      <w:color w:val="0A0A0A"/>
                                      <w:spacing w:val="-5"/>
                                      <w:sz w:val="22"/>
                                    </w:rPr>
                                    <w:t>802</w:t>
                                  </w:r>
                                </w:p>
                              </w:tc>
                              <w:tc>
                                <w:tcPr>
                                  <w:tcW w:w="2823" w:type="dxa"/>
                                  <w:gridSpan w:val="2"/>
                                </w:tcPr>
                                <w:p>
                                  <w:pPr>
                                    <w:pStyle w:val="TableParagraph"/>
                                    <w:spacing w:before="11"/>
                                    <w:ind w:right="28"/>
                                    <w:jc w:val="right"/>
                                    <w:rPr>
                                      <w:rFonts w:ascii="Times New Roman"/>
                                      <w:sz w:val="23"/>
                                    </w:rPr>
                                  </w:pPr>
                                  <w:r>
                                    <w:rPr>
                                      <w:rFonts w:ascii="Times New Roman"/>
                                      <w:color w:val="0A0A0A"/>
                                      <w:spacing w:val="-5"/>
                                      <w:w w:val="110"/>
                                      <w:sz w:val="23"/>
                                    </w:rPr>
                                    <w:t>802</w:t>
                                  </w:r>
                                </w:p>
                              </w:tc>
                              <w:tc>
                                <w:tcPr>
                                  <w:tcW w:w="858" w:type="dxa"/>
                                  <w:gridSpan w:val="2"/>
                                </w:tcPr>
                                <w:p>
                                  <w:pPr>
                                    <w:pStyle w:val="TableParagraph"/>
                                    <w:spacing w:before="11"/>
                                    <w:ind w:right="95"/>
                                    <w:jc w:val="right"/>
                                    <w:rPr>
                                      <w:rFonts w:ascii="Times New Roman"/>
                                      <w:sz w:val="23"/>
                                    </w:rPr>
                                  </w:pPr>
                                  <w:r>
                                    <w:rPr>
                                      <w:rFonts w:ascii="Times New Roman"/>
                                      <w:color w:val="0A0A0A"/>
                                      <w:spacing w:val="-10"/>
                                      <w:w w:val="110"/>
                                      <w:sz w:val="23"/>
                                    </w:rPr>
                                    <w:t>1</w:t>
                                  </w:r>
                                </w:p>
                              </w:tc>
                            </w:tr>
                            <w:tr>
                              <w:trPr>
                                <w:trHeight w:val="331" w:hRule="atLeast"/>
                              </w:trPr>
                              <w:tc>
                                <w:tcPr>
                                  <w:tcW w:w="4616" w:type="dxa"/>
                                </w:tcPr>
                                <w:p>
                                  <w:pPr>
                                    <w:pStyle w:val="TableParagraph"/>
                                    <w:spacing w:before="60" w:line="251" w:lineRule="exact"/>
                                    <w:ind w:left="70"/>
                                    <w:rPr>
                                      <w:sz w:val="22"/>
                                    </w:rPr>
                                  </w:pPr>
                                  <w:r>
                                    <w:rPr>
                                      <w:color w:val="282828"/>
                                      <w:sz w:val="22"/>
                                    </w:rPr>
                                    <w:t>Information</w:t>
                                  </w:r>
                                  <w:r>
                                    <w:rPr>
                                      <w:color w:val="282828"/>
                                      <w:spacing w:val="1"/>
                                      <w:sz w:val="22"/>
                                    </w:rPr>
                                    <w:t> </w:t>
                                  </w:r>
                                  <w:r>
                                    <w:rPr>
                                      <w:color w:val="282828"/>
                                      <w:spacing w:val="-2"/>
                                      <w:sz w:val="22"/>
                                    </w:rPr>
                                    <w:t>Technology</w:t>
                                  </w:r>
                                </w:p>
                              </w:tc>
                              <w:tc>
                                <w:tcPr>
                                  <w:tcW w:w="1446" w:type="dxa"/>
                                </w:tcPr>
                                <w:p>
                                  <w:pPr>
                                    <w:pStyle w:val="TableParagraph"/>
                                    <w:spacing w:before="26"/>
                                    <w:ind w:left="817"/>
                                    <w:rPr>
                                      <w:sz w:val="22"/>
                                    </w:rPr>
                                  </w:pPr>
                                  <w:r>
                                    <w:rPr>
                                      <w:color w:val="0A0A0A"/>
                                      <w:spacing w:val="-2"/>
                                      <w:sz w:val="22"/>
                                    </w:rPr>
                                    <w:t>1,790</w:t>
                                  </w:r>
                                </w:p>
                              </w:tc>
                              <w:tc>
                                <w:tcPr>
                                  <w:tcW w:w="2823" w:type="dxa"/>
                                  <w:gridSpan w:val="2"/>
                                </w:tcPr>
                                <w:p>
                                  <w:pPr>
                                    <w:pStyle w:val="TableParagraph"/>
                                    <w:spacing w:before="8"/>
                                    <w:ind w:right="32"/>
                                    <w:jc w:val="right"/>
                                    <w:rPr>
                                      <w:rFonts w:ascii="Times New Roman"/>
                                      <w:sz w:val="23"/>
                                    </w:rPr>
                                  </w:pPr>
                                  <w:r>
                                    <w:rPr>
                                      <w:rFonts w:ascii="Times New Roman"/>
                                      <w:color w:val="0A0A0A"/>
                                      <w:spacing w:val="-4"/>
                                      <w:w w:val="110"/>
                                      <w:sz w:val="23"/>
                                    </w:rPr>
                                    <w:t>1,790</w:t>
                                  </w:r>
                                </w:p>
                              </w:tc>
                              <w:tc>
                                <w:tcPr>
                                  <w:tcW w:w="858" w:type="dxa"/>
                                  <w:gridSpan w:val="2"/>
                                </w:tcPr>
                                <w:p>
                                  <w:pPr>
                                    <w:pStyle w:val="TableParagraph"/>
                                    <w:spacing w:before="8"/>
                                    <w:ind w:right="82"/>
                                    <w:jc w:val="right"/>
                                    <w:rPr>
                                      <w:rFonts w:ascii="Times New Roman"/>
                                      <w:sz w:val="23"/>
                                    </w:rPr>
                                  </w:pPr>
                                  <w:r>
                                    <w:rPr>
                                      <w:rFonts w:ascii="Times New Roman"/>
                                      <w:color w:val="0A0A0A"/>
                                      <w:spacing w:val="-10"/>
                                      <w:w w:val="110"/>
                                      <w:sz w:val="23"/>
                                    </w:rPr>
                                    <w:t>2</w:t>
                                  </w:r>
                                </w:p>
                              </w:tc>
                            </w:tr>
                            <w:tr>
                              <w:trPr>
                                <w:trHeight w:val="524" w:hRule="atLeast"/>
                              </w:trPr>
                              <w:tc>
                                <w:tcPr>
                                  <w:tcW w:w="4616" w:type="dxa"/>
                                </w:tcPr>
                                <w:p>
                                  <w:pPr>
                                    <w:pStyle w:val="TableParagraph"/>
                                    <w:spacing w:before="60"/>
                                    <w:ind w:left="62"/>
                                    <w:rPr>
                                      <w:sz w:val="22"/>
                                    </w:rPr>
                                  </w:pPr>
                                  <w:r>
                                    <w:rPr>
                                      <w:color w:val="282828"/>
                                      <w:w w:val="110"/>
                                      <w:sz w:val="22"/>
                                    </w:rPr>
                                    <w:t>Sub-total</w:t>
                                  </w:r>
                                  <w:r>
                                    <w:rPr>
                                      <w:color w:val="282828"/>
                                      <w:spacing w:val="-12"/>
                                      <w:w w:val="110"/>
                                      <w:sz w:val="22"/>
                                    </w:rPr>
                                    <w:t> </w:t>
                                  </w:r>
                                  <w:r>
                                    <w:rPr>
                                      <w:color w:val="282828"/>
                                      <w:w w:val="110"/>
                                      <w:sz w:val="22"/>
                                    </w:rPr>
                                    <w:t>equity</w:t>
                                  </w:r>
                                  <w:r>
                                    <w:rPr>
                                      <w:color w:val="282828"/>
                                      <w:spacing w:val="-8"/>
                                      <w:w w:val="110"/>
                                      <w:sz w:val="22"/>
                                    </w:rPr>
                                    <w:t> </w:t>
                                  </w:r>
                                  <w:r>
                                    <w:rPr>
                                      <w:color w:val="282828"/>
                                      <w:spacing w:val="-2"/>
                                      <w:w w:val="110"/>
                                      <w:sz w:val="22"/>
                                    </w:rPr>
                                    <w:t>instruments</w:t>
                                  </w:r>
                                </w:p>
                              </w:tc>
                              <w:tc>
                                <w:tcPr>
                                  <w:tcW w:w="1446" w:type="dxa"/>
                                </w:tcPr>
                                <w:p>
                                  <w:pPr>
                                    <w:pStyle w:val="TableParagraph"/>
                                    <w:spacing w:before="18"/>
                                    <w:ind w:left="815"/>
                                    <w:rPr>
                                      <w:rFonts w:ascii="Times New Roman"/>
                                      <w:sz w:val="23"/>
                                    </w:rPr>
                                  </w:pPr>
                                  <w:r>
                                    <w:rPr>
                                      <w:rFonts w:ascii="Times New Roman"/>
                                      <w:color w:val="0A0A0A"/>
                                      <w:spacing w:val="-2"/>
                                      <w:w w:val="105"/>
                                      <w:sz w:val="23"/>
                                    </w:rPr>
                                    <w:t>5,050</w:t>
                                  </w:r>
                                </w:p>
                              </w:tc>
                              <w:tc>
                                <w:tcPr>
                                  <w:tcW w:w="2823" w:type="dxa"/>
                                  <w:gridSpan w:val="2"/>
                                </w:tcPr>
                                <w:p>
                                  <w:pPr>
                                    <w:pStyle w:val="TableParagraph"/>
                                    <w:spacing w:before="8"/>
                                    <w:ind w:right="36"/>
                                    <w:jc w:val="right"/>
                                    <w:rPr>
                                      <w:rFonts w:ascii="Times New Roman"/>
                                      <w:sz w:val="23"/>
                                    </w:rPr>
                                  </w:pPr>
                                  <w:r>
                                    <w:rPr>
                                      <w:rFonts w:ascii="Times New Roman"/>
                                      <w:color w:val="0A0A0A"/>
                                      <w:spacing w:val="-2"/>
                                      <w:w w:val="105"/>
                                      <w:sz w:val="23"/>
                                    </w:rPr>
                                    <w:t>5,050</w:t>
                                  </w:r>
                                </w:p>
                              </w:tc>
                              <w:tc>
                                <w:tcPr>
                                  <w:tcW w:w="858" w:type="dxa"/>
                                  <w:gridSpan w:val="2"/>
                                </w:tcPr>
                                <w:p>
                                  <w:pPr>
                                    <w:pStyle w:val="TableParagraph"/>
                                    <w:spacing w:before="13"/>
                                    <w:ind w:right="87"/>
                                    <w:jc w:val="right"/>
                                    <w:rPr>
                                      <w:rFonts w:ascii="Times New Roman"/>
                                      <w:sz w:val="23"/>
                                    </w:rPr>
                                  </w:pPr>
                                  <w:r>
                                    <w:rPr>
                                      <w:rFonts w:ascii="Times New Roman"/>
                                      <w:color w:val="0A0A0A"/>
                                      <w:spacing w:val="-10"/>
                                      <w:w w:val="110"/>
                                      <w:sz w:val="23"/>
                                    </w:rPr>
                                    <w:t>6</w:t>
                                  </w:r>
                                </w:p>
                              </w:tc>
                            </w:tr>
                            <w:tr>
                              <w:trPr>
                                <w:trHeight w:val="501" w:hRule="atLeast"/>
                              </w:trPr>
                              <w:tc>
                                <w:tcPr>
                                  <w:tcW w:w="4616" w:type="dxa"/>
                                </w:tcPr>
                                <w:p>
                                  <w:pPr>
                                    <w:pStyle w:val="TableParagraph"/>
                                    <w:spacing w:before="204"/>
                                    <w:ind w:left="55"/>
                                    <w:rPr>
                                      <w:sz w:val="22"/>
                                    </w:rPr>
                                  </w:pPr>
                                  <w:r>
                                    <w:rPr>
                                      <w:color w:val="0A0A0A"/>
                                      <w:w w:val="105"/>
                                      <w:sz w:val="22"/>
                                    </w:rPr>
                                    <w:t>Debt</w:t>
                                  </w:r>
                                  <w:r>
                                    <w:rPr>
                                      <w:color w:val="0A0A0A"/>
                                      <w:spacing w:val="-1"/>
                                      <w:w w:val="105"/>
                                      <w:sz w:val="22"/>
                                    </w:rPr>
                                    <w:t> </w:t>
                                  </w:r>
                                  <w:r>
                                    <w:rPr>
                                      <w:color w:val="0A0A0A"/>
                                      <w:spacing w:val="-2"/>
                                      <w:w w:val="110"/>
                                      <w:sz w:val="22"/>
                                    </w:rPr>
                                    <w:t>Securities:</w:t>
                                  </w:r>
                                </w:p>
                              </w:tc>
                              <w:tc>
                                <w:tcPr>
                                  <w:tcW w:w="1446" w:type="dxa"/>
                                </w:tcPr>
                                <w:p>
                                  <w:pPr>
                                    <w:pStyle w:val="TableParagraph"/>
                                    <w:rPr>
                                      <w:rFonts w:ascii="Times New Roman"/>
                                      <w:sz w:val="22"/>
                                    </w:rPr>
                                  </w:pPr>
                                </w:p>
                              </w:tc>
                              <w:tc>
                                <w:tcPr>
                                  <w:tcW w:w="2823" w:type="dxa"/>
                                  <w:gridSpan w:val="2"/>
                                </w:tcPr>
                                <w:p>
                                  <w:pPr>
                                    <w:pStyle w:val="TableParagraph"/>
                                    <w:rPr>
                                      <w:rFonts w:ascii="Times New Roman"/>
                                      <w:sz w:val="22"/>
                                    </w:rPr>
                                  </w:pPr>
                                </w:p>
                              </w:tc>
                              <w:tc>
                                <w:tcPr>
                                  <w:tcW w:w="858" w:type="dxa"/>
                                  <w:gridSpan w:val="2"/>
                                </w:tcPr>
                                <w:p>
                                  <w:pPr>
                                    <w:pStyle w:val="TableParagraph"/>
                                    <w:rPr>
                                      <w:rFonts w:ascii="Times New Roman"/>
                                      <w:sz w:val="22"/>
                                    </w:rPr>
                                  </w:pPr>
                                </w:p>
                              </w:tc>
                            </w:tr>
                            <w:tr>
                              <w:trPr>
                                <w:trHeight w:val="296" w:hRule="atLeast"/>
                              </w:trPr>
                              <w:tc>
                                <w:tcPr>
                                  <w:tcW w:w="4616" w:type="dxa"/>
                                </w:tcPr>
                                <w:p>
                                  <w:pPr>
                                    <w:pStyle w:val="TableParagraph"/>
                                    <w:spacing w:before="43" w:line="233" w:lineRule="exact"/>
                                    <w:ind w:left="50"/>
                                    <w:rPr>
                                      <w:sz w:val="22"/>
                                    </w:rPr>
                                  </w:pPr>
                                  <w:r>
                                    <w:rPr>
                                      <w:color w:val="0A0A0A"/>
                                      <w:sz w:val="22"/>
                                    </w:rPr>
                                    <w:t>UK</w:t>
                                  </w:r>
                                  <w:r>
                                    <w:rPr>
                                      <w:color w:val="0A0A0A"/>
                                      <w:spacing w:val="3"/>
                                      <w:sz w:val="22"/>
                                    </w:rPr>
                                    <w:t> </w:t>
                                  </w:r>
                                  <w:r>
                                    <w:rPr>
                                      <w:color w:val="0A0A0A"/>
                                      <w:spacing w:val="-2"/>
                                      <w:sz w:val="22"/>
                                    </w:rPr>
                                    <w:t>Government</w:t>
                                  </w:r>
                                </w:p>
                              </w:tc>
                              <w:tc>
                                <w:tcPr>
                                  <w:tcW w:w="1446" w:type="dxa"/>
                                </w:tcPr>
                                <w:p>
                                  <w:pPr>
                                    <w:pStyle w:val="TableParagraph"/>
                                    <w:spacing w:before="19"/>
                                    <w:ind w:left="806"/>
                                    <w:rPr>
                                      <w:sz w:val="22"/>
                                    </w:rPr>
                                  </w:pPr>
                                  <w:r>
                                    <w:rPr>
                                      <w:color w:val="0A0A0A"/>
                                      <w:spacing w:val="4"/>
                                      <w:w w:val="90"/>
                                      <w:sz w:val="22"/>
                                    </w:rPr>
                                    <w:t>7,496</w:t>
                                  </w:r>
                                  <w:r>
                                    <w:rPr>
                                      <w:color w:val="0A0A0A"/>
                                      <w:spacing w:val="6"/>
                                      <w:sz w:val="22"/>
                                    </w:rPr>
                                    <w:t> </w:t>
                                  </w:r>
                                  <w:r>
                                    <w:rPr>
                                      <w:color w:val="C1C1C1"/>
                                      <w:spacing w:val="-10"/>
                                      <w:w w:val="50"/>
                                      <w:sz w:val="22"/>
                                    </w:rPr>
                                    <w:t>I</w:t>
                                  </w:r>
                                </w:p>
                              </w:tc>
                              <w:tc>
                                <w:tcPr>
                                  <w:tcW w:w="2823" w:type="dxa"/>
                                  <w:gridSpan w:val="2"/>
                                </w:tcPr>
                                <w:p>
                                  <w:pPr>
                                    <w:pStyle w:val="TableParagraph"/>
                                    <w:spacing w:before="25" w:line="251" w:lineRule="exact"/>
                                    <w:ind w:right="43"/>
                                    <w:jc w:val="right"/>
                                    <w:rPr>
                                      <w:rFonts w:ascii="Times New Roman"/>
                                      <w:sz w:val="23"/>
                                    </w:rPr>
                                  </w:pPr>
                                  <w:r>
                                    <w:rPr>
                                      <w:rFonts w:ascii="Times New Roman"/>
                                      <w:color w:val="0A0A0A"/>
                                      <w:spacing w:val="-2"/>
                                      <w:w w:val="105"/>
                                      <w:sz w:val="23"/>
                                    </w:rPr>
                                    <w:t>7,496</w:t>
                                  </w:r>
                                </w:p>
                              </w:tc>
                              <w:tc>
                                <w:tcPr>
                                  <w:tcW w:w="858" w:type="dxa"/>
                                  <w:gridSpan w:val="2"/>
                                </w:tcPr>
                                <w:p>
                                  <w:pPr>
                                    <w:pStyle w:val="TableParagraph"/>
                                    <w:spacing w:before="25" w:line="251" w:lineRule="exact"/>
                                    <w:ind w:right="98"/>
                                    <w:jc w:val="right"/>
                                    <w:rPr>
                                      <w:rFonts w:ascii="Times New Roman"/>
                                      <w:sz w:val="23"/>
                                    </w:rPr>
                                  </w:pPr>
                                  <w:r>
                                    <w:rPr>
                                      <w:rFonts w:ascii="Times New Roman"/>
                                      <w:color w:val="0A0A0A"/>
                                      <w:spacing w:val="-10"/>
                                      <w:w w:val="105"/>
                                      <w:sz w:val="23"/>
                                    </w:rPr>
                                    <w:t>7</w:t>
                                  </w:r>
                                </w:p>
                              </w:tc>
                            </w:tr>
                          </w:tbl>
                          <w:p>
                            <w:pPr>
                              <w:pStyle w:val="BodyText"/>
                            </w:pPr>
                          </w:p>
                        </w:txbxContent>
                      </wps:txbx>
                      <wps:bodyPr wrap="square" lIns="0" tIns="0" rIns="0" bIns="0" rtlCol="0">
                        <a:noAutofit/>
                      </wps:bodyPr>
                    </wps:wsp>
                  </a:graphicData>
                </a:graphic>
              </wp:anchor>
            </w:drawing>
          </ve:Choice>
          <ve:Fallback>
            <w:pict>
              <v:shape id="docshape355" style="position:absolute;margin-left:76.082367pt;margin-top:-112.242523pt;width:493.55pt;height:282.2pt;mso-position-horizontal-relative:page;mso-position-vertical-relative:paragraph;z-index:15843328"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616"/>
                        <w:gridCol w:w="1446"/>
                        <w:gridCol w:w="1596"/>
                        <w:gridCol w:w="1227"/>
                        <w:gridCol w:w="85"/>
                        <w:gridCol w:w="773"/>
                      </w:tblGrid>
                      <w:tr>
                        <w:trPr>
                          <w:trHeight w:val="500" w:hRule="atLeast"/>
                        </w:trPr>
                        <w:tc>
                          <w:tcPr>
                            <w:tcW w:w="6062" w:type="dxa"/>
                            <w:gridSpan w:val="2"/>
                          </w:tcPr>
                          <w:p>
                            <w:pPr>
                              <w:pStyle w:val="TableParagraph"/>
                              <w:spacing w:line="244" w:lineRule="exact"/>
                              <w:ind w:right="257"/>
                              <w:jc w:val="right"/>
                              <w:rPr>
                                <w:sz w:val="22"/>
                              </w:rPr>
                            </w:pPr>
                            <w:r>
                              <w:rPr>
                                <w:color w:val="0A0A0A"/>
                                <w:spacing w:val="-2"/>
                                <w:w w:val="105"/>
                                <w:sz w:val="22"/>
                              </w:rPr>
                              <w:t>Quoted</w:t>
                            </w:r>
                          </w:p>
                          <w:p>
                            <w:pPr>
                              <w:pStyle w:val="TableParagraph"/>
                              <w:spacing w:line="236" w:lineRule="exact"/>
                              <w:ind w:right="198"/>
                              <w:jc w:val="right"/>
                              <w:rPr>
                                <w:sz w:val="22"/>
                              </w:rPr>
                            </w:pPr>
                            <w:r>
                              <w:rPr>
                                <w:color w:val="0A0A0A"/>
                                <w:w w:val="105"/>
                                <w:sz w:val="22"/>
                              </w:rPr>
                              <w:t>Prices</w:t>
                            </w:r>
                            <w:r>
                              <w:rPr>
                                <w:color w:val="0A0A0A"/>
                                <w:spacing w:val="16"/>
                                <w:w w:val="105"/>
                                <w:sz w:val="22"/>
                              </w:rPr>
                              <w:t> </w:t>
                            </w:r>
                            <w:r>
                              <w:rPr>
                                <w:color w:val="0A0A0A"/>
                                <w:spacing w:val="-5"/>
                                <w:w w:val="105"/>
                                <w:sz w:val="22"/>
                              </w:rPr>
                              <w:t>in</w:t>
                            </w:r>
                          </w:p>
                        </w:tc>
                        <w:tc>
                          <w:tcPr>
                            <w:tcW w:w="1596" w:type="dxa"/>
                          </w:tcPr>
                          <w:p>
                            <w:pPr>
                              <w:pStyle w:val="TableParagraph"/>
                              <w:spacing w:line="244" w:lineRule="exact"/>
                              <w:ind w:left="113"/>
                              <w:jc w:val="center"/>
                              <w:rPr>
                                <w:sz w:val="22"/>
                              </w:rPr>
                            </w:pPr>
                            <w:r>
                              <w:rPr>
                                <w:color w:val="0A0A0A"/>
                                <w:spacing w:val="-2"/>
                                <w:w w:val="105"/>
                                <w:sz w:val="22"/>
                              </w:rPr>
                              <w:t>Quoted</w:t>
                            </w:r>
                          </w:p>
                          <w:p>
                            <w:pPr>
                              <w:pStyle w:val="TableParagraph"/>
                              <w:spacing w:line="236" w:lineRule="exact"/>
                              <w:ind w:left="113" w:right="21"/>
                              <w:jc w:val="center"/>
                              <w:rPr>
                                <w:sz w:val="22"/>
                              </w:rPr>
                            </w:pPr>
                            <w:r>
                              <w:rPr>
                                <w:color w:val="0A0A0A"/>
                                <w:w w:val="110"/>
                                <w:sz w:val="22"/>
                              </w:rPr>
                              <w:t>Prices</w:t>
                            </w:r>
                            <w:r>
                              <w:rPr>
                                <w:color w:val="0A0A0A"/>
                                <w:spacing w:val="-11"/>
                                <w:w w:val="110"/>
                                <w:sz w:val="22"/>
                              </w:rPr>
                              <w:t> </w:t>
                            </w:r>
                            <w:r>
                              <w:rPr>
                                <w:color w:val="0A0A0A"/>
                                <w:w w:val="110"/>
                                <w:sz w:val="22"/>
                              </w:rPr>
                              <w:t>not</w:t>
                            </w:r>
                            <w:r>
                              <w:rPr>
                                <w:color w:val="0A0A0A"/>
                                <w:spacing w:val="-14"/>
                                <w:w w:val="110"/>
                                <w:sz w:val="22"/>
                              </w:rPr>
                              <w:t> </w:t>
                            </w:r>
                            <w:r>
                              <w:rPr>
                                <w:color w:val="0A0A0A"/>
                                <w:spacing w:val="-5"/>
                                <w:w w:val="110"/>
                                <w:sz w:val="22"/>
                              </w:rPr>
                              <w:t>in</w:t>
                            </w:r>
                          </w:p>
                        </w:tc>
                        <w:tc>
                          <w:tcPr>
                            <w:tcW w:w="2085" w:type="dxa"/>
                            <w:gridSpan w:val="3"/>
                          </w:tcPr>
                          <w:p>
                            <w:pPr>
                              <w:pStyle w:val="TableParagraph"/>
                              <w:rPr>
                                <w:rFonts w:ascii="Times New Roman"/>
                                <w:sz w:val="22"/>
                              </w:rPr>
                            </w:pPr>
                          </w:p>
                        </w:tc>
                      </w:tr>
                      <w:tr>
                        <w:trPr>
                          <w:trHeight w:val="540" w:hRule="atLeast"/>
                        </w:trPr>
                        <w:tc>
                          <w:tcPr>
                            <w:tcW w:w="6062" w:type="dxa"/>
                            <w:gridSpan w:val="2"/>
                          </w:tcPr>
                          <w:p>
                            <w:pPr>
                              <w:pStyle w:val="TableParagraph"/>
                              <w:spacing w:line="237" w:lineRule="auto"/>
                              <w:ind w:left="4993" w:firstLine="88"/>
                              <w:rPr>
                                <w:sz w:val="22"/>
                              </w:rPr>
                            </w:pPr>
                            <w:r>
                              <w:rPr>
                                <w:color w:val="0A0A0A"/>
                                <w:spacing w:val="-2"/>
                                <w:w w:val="110"/>
                                <w:sz w:val="22"/>
                              </w:rPr>
                              <w:t>Active </w:t>
                            </w:r>
                            <w:r>
                              <w:rPr>
                                <w:color w:val="0A0A0A"/>
                                <w:spacing w:val="-2"/>
                                <w:sz w:val="22"/>
                              </w:rPr>
                              <w:t>Markets</w:t>
                            </w:r>
                          </w:p>
                        </w:tc>
                        <w:tc>
                          <w:tcPr>
                            <w:tcW w:w="1596" w:type="dxa"/>
                          </w:tcPr>
                          <w:p>
                            <w:pPr>
                              <w:pStyle w:val="TableParagraph"/>
                              <w:spacing w:line="237" w:lineRule="auto"/>
                              <w:ind w:left="436" w:firstLine="98"/>
                              <w:rPr>
                                <w:sz w:val="22"/>
                              </w:rPr>
                            </w:pPr>
                            <w:r>
                              <w:rPr>
                                <w:color w:val="0A0A0A"/>
                                <w:spacing w:val="-2"/>
                                <w:w w:val="105"/>
                                <w:sz w:val="22"/>
                              </w:rPr>
                              <w:t>Active </w:t>
                            </w:r>
                            <w:r>
                              <w:rPr>
                                <w:color w:val="0A0A0A"/>
                                <w:spacing w:val="-2"/>
                                <w:sz w:val="22"/>
                              </w:rPr>
                              <w:t>Markets</w:t>
                            </w:r>
                          </w:p>
                        </w:tc>
                        <w:tc>
                          <w:tcPr>
                            <w:tcW w:w="1312" w:type="dxa"/>
                            <w:gridSpan w:val="2"/>
                          </w:tcPr>
                          <w:p>
                            <w:pPr>
                              <w:pStyle w:val="TableParagraph"/>
                              <w:spacing w:before="242"/>
                              <w:ind w:left="817" w:right="-44"/>
                              <w:rPr>
                                <w:sz w:val="22"/>
                              </w:rPr>
                            </w:pPr>
                            <w:r>
                              <w:rPr>
                                <w:color w:val="0A0A0A"/>
                                <w:spacing w:val="-2"/>
                                <w:w w:val="110"/>
                                <w:sz w:val="22"/>
                              </w:rPr>
                              <w:t>Total</w:t>
                            </w:r>
                          </w:p>
                        </w:tc>
                        <w:tc>
                          <w:tcPr>
                            <w:tcW w:w="773" w:type="dxa"/>
                          </w:tcPr>
                          <w:p>
                            <w:pPr>
                              <w:pStyle w:val="TableParagraph"/>
                              <w:rPr>
                                <w:rFonts w:ascii="Times New Roman"/>
                                <w:sz w:val="22"/>
                              </w:rPr>
                            </w:pPr>
                          </w:p>
                        </w:tc>
                      </w:tr>
                      <w:tr>
                        <w:trPr>
                          <w:trHeight w:val="318" w:hRule="atLeast"/>
                        </w:trPr>
                        <w:tc>
                          <w:tcPr>
                            <w:tcW w:w="6062" w:type="dxa"/>
                            <w:gridSpan w:val="2"/>
                          </w:tcPr>
                          <w:p>
                            <w:pPr>
                              <w:pStyle w:val="TableParagraph"/>
                              <w:spacing w:before="35" w:line="264" w:lineRule="exact"/>
                              <w:ind w:right="410"/>
                              <w:jc w:val="right"/>
                              <w:rPr>
                                <w:rFonts w:ascii="Times New Roman" w:hAnsi="Times New Roman"/>
                                <w:sz w:val="23"/>
                              </w:rPr>
                            </w:pPr>
                            <w:r>
                              <w:rPr>
                                <w:rFonts w:ascii="Times New Roman" w:hAnsi="Times New Roman"/>
                                <w:color w:val="0A0A0A"/>
                                <w:spacing w:val="-4"/>
                                <w:w w:val="110"/>
                                <w:sz w:val="23"/>
                              </w:rPr>
                              <w:t>£000</w:t>
                            </w:r>
                          </w:p>
                        </w:tc>
                        <w:tc>
                          <w:tcPr>
                            <w:tcW w:w="1596" w:type="dxa"/>
                          </w:tcPr>
                          <w:p>
                            <w:pPr>
                              <w:pStyle w:val="TableParagraph"/>
                              <w:spacing w:before="35" w:line="264" w:lineRule="exact"/>
                              <w:ind w:left="604"/>
                              <w:rPr>
                                <w:rFonts w:ascii="Times New Roman" w:hAnsi="Times New Roman"/>
                                <w:sz w:val="23"/>
                              </w:rPr>
                            </w:pPr>
                            <w:r>
                              <w:rPr>
                                <w:rFonts w:ascii="Times New Roman" w:hAnsi="Times New Roman"/>
                                <w:color w:val="0A0A0A"/>
                                <w:spacing w:val="-4"/>
                                <w:w w:val="105"/>
                                <w:sz w:val="23"/>
                              </w:rPr>
                              <w:t>£000</w:t>
                            </w:r>
                          </w:p>
                        </w:tc>
                        <w:tc>
                          <w:tcPr>
                            <w:tcW w:w="1312" w:type="dxa"/>
                            <w:gridSpan w:val="2"/>
                          </w:tcPr>
                          <w:p>
                            <w:pPr>
                              <w:pStyle w:val="TableParagraph"/>
                              <w:spacing w:before="30"/>
                              <w:ind w:left="426"/>
                              <w:rPr>
                                <w:rFonts w:ascii="Times New Roman" w:hAnsi="Times New Roman"/>
                                <w:sz w:val="23"/>
                              </w:rPr>
                            </w:pPr>
                            <w:r>
                              <w:rPr>
                                <w:rFonts w:ascii="Times New Roman" w:hAnsi="Times New Roman"/>
                                <w:color w:val="0A0A0A"/>
                                <w:spacing w:val="-4"/>
                                <w:w w:val="105"/>
                                <w:sz w:val="23"/>
                              </w:rPr>
                              <w:t>£000</w:t>
                            </w:r>
                          </w:p>
                        </w:tc>
                        <w:tc>
                          <w:tcPr>
                            <w:tcW w:w="773" w:type="dxa"/>
                          </w:tcPr>
                          <w:p>
                            <w:pPr>
                              <w:pStyle w:val="TableParagraph"/>
                              <w:spacing w:before="38"/>
                              <w:ind w:left="46"/>
                              <w:jc w:val="center"/>
                              <w:rPr>
                                <w:sz w:val="22"/>
                              </w:rPr>
                            </w:pPr>
                            <w:r>
                              <w:rPr>
                                <w:color w:val="0A0A0A"/>
                                <w:spacing w:val="-10"/>
                                <w:w w:val="105"/>
                                <w:sz w:val="22"/>
                              </w:rPr>
                              <w:t>%</w:t>
                            </w:r>
                          </w:p>
                        </w:tc>
                      </w:tr>
                      <w:tr>
                        <w:trPr>
                          <w:trHeight w:val="275" w:hRule="atLeast"/>
                        </w:trPr>
                        <w:tc>
                          <w:tcPr>
                            <w:tcW w:w="6062" w:type="dxa"/>
                            <w:gridSpan w:val="2"/>
                          </w:tcPr>
                          <w:p>
                            <w:pPr>
                              <w:pStyle w:val="TableParagraph"/>
                              <w:tabs>
                                <w:tab w:val="left" w:leader="none" w:pos="5455"/>
                              </w:tabs>
                              <w:spacing w:before="14" w:line="241" w:lineRule="exact"/>
                              <w:ind w:left="104"/>
                              <w:rPr>
                                <w:rFonts w:ascii="Times New Roman"/>
                                <w:sz w:val="23"/>
                              </w:rPr>
                            </w:pPr>
                            <w:r>
                              <w:rPr>
                                <w:color w:val="0A0A0A"/>
                                <w:w w:val="105"/>
                                <w:sz w:val="22"/>
                              </w:rPr>
                              <w:t>Cash</w:t>
                            </w:r>
                            <w:r>
                              <w:rPr>
                                <w:color w:val="0A0A0A"/>
                                <w:spacing w:val="4"/>
                                <w:w w:val="105"/>
                                <w:sz w:val="22"/>
                              </w:rPr>
                              <w:t> </w:t>
                            </w:r>
                            <w:r>
                              <w:rPr>
                                <w:color w:val="0A0A0A"/>
                                <w:w w:val="105"/>
                                <w:sz w:val="22"/>
                              </w:rPr>
                              <w:t>and cash</w:t>
                            </w:r>
                            <w:r>
                              <w:rPr>
                                <w:color w:val="0A0A0A"/>
                                <w:spacing w:val="1"/>
                                <w:w w:val="105"/>
                                <w:sz w:val="22"/>
                              </w:rPr>
                              <w:t> </w:t>
                            </w:r>
                            <w:r>
                              <w:rPr>
                                <w:color w:val="0A0A0A"/>
                                <w:spacing w:val="-2"/>
                                <w:w w:val="105"/>
                                <w:sz w:val="22"/>
                              </w:rPr>
                              <w:t>equivalents</w:t>
                            </w:r>
                            <w:r>
                              <w:rPr>
                                <w:color w:val="0A0A0A"/>
                                <w:sz w:val="22"/>
                              </w:rPr>
                              <w:tab/>
                            </w:r>
                            <w:r>
                              <w:rPr>
                                <w:rFonts w:ascii="Times New Roman"/>
                                <w:color w:val="0A0A0A"/>
                                <w:spacing w:val="-2"/>
                                <w:w w:val="105"/>
                                <w:sz w:val="23"/>
                              </w:rPr>
                              <w:t>5,773</w:t>
                            </w:r>
                          </w:p>
                        </w:tc>
                        <w:tc>
                          <w:tcPr>
                            <w:tcW w:w="1596" w:type="dxa"/>
                          </w:tcPr>
                          <w:p>
                            <w:pPr>
                              <w:pStyle w:val="TableParagraph"/>
                              <w:rPr>
                                <w:rFonts w:ascii="Times New Roman"/>
                                <w:sz w:val="20"/>
                              </w:rPr>
                            </w:pPr>
                          </w:p>
                        </w:tc>
                        <w:tc>
                          <w:tcPr>
                            <w:tcW w:w="1312" w:type="dxa"/>
                            <w:gridSpan w:val="2"/>
                          </w:tcPr>
                          <w:p>
                            <w:pPr>
                              <w:pStyle w:val="TableParagraph"/>
                              <w:spacing w:before="9" w:line="246" w:lineRule="exact"/>
                              <w:ind w:left="653"/>
                              <w:rPr>
                                <w:rFonts w:ascii="Times New Roman"/>
                                <w:sz w:val="23"/>
                              </w:rPr>
                            </w:pPr>
                            <w:r>
                              <w:rPr>
                                <w:rFonts w:ascii="Times New Roman"/>
                                <w:color w:val="0A0A0A"/>
                                <w:spacing w:val="-4"/>
                                <w:w w:val="110"/>
                                <w:sz w:val="23"/>
                              </w:rPr>
                              <w:t>5,773</w:t>
                            </w:r>
                          </w:p>
                        </w:tc>
                        <w:tc>
                          <w:tcPr>
                            <w:tcW w:w="773" w:type="dxa"/>
                          </w:tcPr>
                          <w:p>
                            <w:pPr>
                              <w:pStyle w:val="TableParagraph"/>
                              <w:spacing w:before="18" w:line="238" w:lineRule="exact"/>
                              <w:ind w:right="74"/>
                              <w:jc w:val="right"/>
                              <w:rPr>
                                <w:sz w:val="22"/>
                              </w:rPr>
                            </w:pPr>
                            <w:r>
                              <w:rPr>
                                <w:color w:val="0A0A0A"/>
                                <w:spacing w:val="-10"/>
                                <w:sz w:val="22"/>
                              </w:rPr>
                              <w:t>6</w:t>
                            </w:r>
                          </w:p>
                        </w:tc>
                      </w:tr>
                      <w:tr>
                        <w:trPr>
                          <w:trHeight w:val="759" w:hRule="atLeast"/>
                        </w:trPr>
                        <w:tc>
                          <w:tcPr>
                            <w:tcW w:w="6062" w:type="dxa"/>
                            <w:gridSpan w:val="2"/>
                          </w:tcPr>
                          <w:p>
                            <w:pPr>
                              <w:pStyle w:val="TableParagraph"/>
                              <w:spacing w:before="161"/>
                              <w:rPr>
                                <w:sz w:val="22"/>
                              </w:rPr>
                            </w:pPr>
                          </w:p>
                          <w:p>
                            <w:pPr>
                              <w:pStyle w:val="TableParagraph"/>
                              <w:spacing w:before="1"/>
                              <w:ind w:left="93"/>
                              <w:rPr>
                                <w:sz w:val="22"/>
                              </w:rPr>
                            </w:pPr>
                            <w:r>
                              <w:rPr>
                                <w:color w:val="282828"/>
                                <w:w w:val="110"/>
                                <w:sz w:val="22"/>
                              </w:rPr>
                              <w:t>Equity</w:t>
                            </w:r>
                            <w:r>
                              <w:rPr>
                                <w:color w:val="282828"/>
                                <w:spacing w:val="1"/>
                                <w:w w:val="110"/>
                                <w:sz w:val="22"/>
                              </w:rPr>
                              <w:t> </w:t>
                            </w:r>
                            <w:r>
                              <w:rPr>
                                <w:color w:val="282828"/>
                                <w:spacing w:val="-2"/>
                                <w:w w:val="110"/>
                                <w:sz w:val="22"/>
                              </w:rPr>
                              <w:t>instruments:</w:t>
                            </w:r>
                          </w:p>
                        </w:tc>
                        <w:tc>
                          <w:tcPr>
                            <w:tcW w:w="1596" w:type="dxa"/>
                          </w:tcPr>
                          <w:p>
                            <w:pPr>
                              <w:pStyle w:val="TableParagraph"/>
                              <w:rPr>
                                <w:rFonts w:ascii="Times New Roman"/>
                                <w:sz w:val="22"/>
                              </w:rPr>
                            </w:pPr>
                          </w:p>
                        </w:tc>
                        <w:tc>
                          <w:tcPr>
                            <w:tcW w:w="1312" w:type="dxa"/>
                            <w:gridSpan w:val="2"/>
                          </w:tcPr>
                          <w:p>
                            <w:pPr>
                              <w:pStyle w:val="TableParagraph"/>
                              <w:rPr>
                                <w:rFonts w:ascii="Times New Roman"/>
                                <w:sz w:val="22"/>
                              </w:rPr>
                            </w:pPr>
                          </w:p>
                        </w:tc>
                        <w:tc>
                          <w:tcPr>
                            <w:tcW w:w="773" w:type="dxa"/>
                          </w:tcPr>
                          <w:p>
                            <w:pPr>
                              <w:pStyle w:val="TableParagraph"/>
                              <w:rPr>
                                <w:rFonts w:ascii="Times New Roman"/>
                                <w:sz w:val="22"/>
                              </w:rPr>
                            </w:pPr>
                          </w:p>
                        </w:tc>
                      </w:tr>
                      <w:tr>
                        <w:trPr>
                          <w:trHeight w:val="263" w:hRule="atLeast"/>
                        </w:trPr>
                        <w:tc>
                          <w:tcPr>
                            <w:tcW w:w="4616" w:type="dxa"/>
                          </w:tcPr>
                          <w:p>
                            <w:pPr>
                              <w:pStyle w:val="TableParagraph"/>
                              <w:spacing w:line="235" w:lineRule="exact"/>
                              <w:ind w:left="96"/>
                              <w:rPr>
                                <w:i/>
                                <w:sz w:val="21"/>
                              </w:rPr>
                            </w:pPr>
                            <w:r>
                              <w:rPr>
                                <w:i/>
                                <w:color w:val="282828"/>
                                <w:w w:val="105"/>
                                <w:sz w:val="21"/>
                              </w:rPr>
                              <w:t>By</w:t>
                            </w:r>
                            <w:r>
                              <w:rPr>
                                <w:i/>
                                <w:color w:val="282828"/>
                                <w:spacing w:val="-1"/>
                                <w:w w:val="105"/>
                                <w:sz w:val="21"/>
                              </w:rPr>
                              <w:t> </w:t>
                            </w:r>
                            <w:r>
                              <w:rPr>
                                <w:i/>
                                <w:color w:val="282828"/>
                                <w:w w:val="105"/>
                                <w:sz w:val="21"/>
                              </w:rPr>
                              <w:t>industry</w:t>
                            </w:r>
                            <w:r>
                              <w:rPr>
                                <w:i/>
                                <w:color w:val="282828"/>
                                <w:spacing w:val="-3"/>
                                <w:w w:val="105"/>
                                <w:sz w:val="21"/>
                              </w:rPr>
                              <w:t> </w:t>
                            </w:r>
                            <w:r>
                              <w:rPr>
                                <w:i/>
                                <w:color w:val="282828"/>
                                <w:spacing w:val="-2"/>
                                <w:w w:val="105"/>
                                <w:sz w:val="21"/>
                              </w:rPr>
                              <w:t>type:</w:t>
                            </w:r>
                          </w:p>
                        </w:tc>
                        <w:tc>
                          <w:tcPr>
                            <w:tcW w:w="1446" w:type="dxa"/>
                          </w:tcPr>
                          <w:p>
                            <w:pPr>
                              <w:pStyle w:val="TableParagraph"/>
                              <w:rPr>
                                <w:rFonts w:ascii="Times New Roman"/>
                                <w:sz w:val="18"/>
                              </w:rPr>
                            </w:pPr>
                          </w:p>
                        </w:tc>
                        <w:tc>
                          <w:tcPr>
                            <w:tcW w:w="2823" w:type="dxa"/>
                            <w:gridSpan w:val="2"/>
                          </w:tcPr>
                          <w:p>
                            <w:pPr>
                              <w:pStyle w:val="TableParagraph"/>
                              <w:rPr>
                                <w:rFonts w:ascii="Times New Roman"/>
                                <w:sz w:val="18"/>
                              </w:rPr>
                            </w:pPr>
                          </w:p>
                        </w:tc>
                        <w:tc>
                          <w:tcPr>
                            <w:tcW w:w="858" w:type="dxa"/>
                            <w:gridSpan w:val="2"/>
                          </w:tcPr>
                          <w:p>
                            <w:pPr>
                              <w:pStyle w:val="TableParagraph"/>
                              <w:rPr>
                                <w:rFonts w:ascii="Times New Roman"/>
                                <w:sz w:val="18"/>
                              </w:rPr>
                            </w:pPr>
                          </w:p>
                        </w:tc>
                      </w:tr>
                      <w:tr>
                        <w:trPr>
                          <w:trHeight w:val="335" w:hRule="atLeast"/>
                        </w:trPr>
                        <w:tc>
                          <w:tcPr>
                            <w:tcW w:w="4616" w:type="dxa"/>
                          </w:tcPr>
                          <w:p>
                            <w:pPr>
                              <w:pStyle w:val="TableParagraph"/>
                              <w:spacing w:before="63" w:line="251" w:lineRule="exact"/>
                              <w:ind w:left="85"/>
                              <w:rPr>
                                <w:sz w:val="22"/>
                              </w:rPr>
                            </w:pPr>
                            <w:r>
                              <w:rPr>
                                <w:color w:val="282828"/>
                                <w:spacing w:val="-2"/>
                                <w:sz w:val="22"/>
                              </w:rPr>
                              <w:t>Consumer</w:t>
                            </w:r>
                          </w:p>
                        </w:tc>
                        <w:tc>
                          <w:tcPr>
                            <w:tcW w:w="1446" w:type="dxa"/>
                          </w:tcPr>
                          <w:p>
                            <w:pPr>
                              <w:pStyle w:val="TableParagraph"/>
                              <w:spacing w:before="30"/>
                              <w:ind w:left="831"/>
                              <w:rPr>
                                <w:sz w:val="22"/>
                              </w:rPr>
                            </w:pPr>
                            <w:r>
                              <w:rPr>
                                <w:color w:val="0A0A0A"/>
                                <w:spacing w:val="-2"/>
                                <w:sz w:val="22"/>
                              </w:rPr>
                              <w:t>1,350</w:t>
                            </w:r>
                          </w:p>
                        </w:tc>
                        <w:tc>
                          <w:tcPr>
                            <w:tcW w:w="2823" w:type="dxa"/>
                            <w:gridSpan w:val="2"/>
                          </w:tcPr>
                          <w:p>
                            <w:pPr>
                              <w:pStyle w:val="TableParagraph"/>
                              <w:spacing w:before="12"/>
                              <w:ind w:right="22"/>
                              <w:jc w:val="right"/>
                              <w:rPr>
                                <w:rFonts w:ascii="Times New Roman"/>
                                <w:sz w:val="23"/>
                              </w:rPr>
                            </w:pPr>
                            <w:r>
                              <w:rPr>
                                <w:rFonts w:ascii="Times New Roman"/>
                                <w:color w:val="0A0A0A"/>
                                <w:spacing w:val="-4"/>
                                <w:w w:val="110"/>
                                <w:sz w:val="23"/>
                              </w:rPr>
                              <w:t>1,350</w:t>
                            </w:r>
                          </w:p>
                        </w:tc>
                        <w:tc>
                          <w:tcPr>
                            <w:tcW w:w="858" w:type="dxa"/>
                            <w:gridSpan w:val="2"/>
                          </w:tcPr>
                          <w:p>
                            <w:pPr>
                              <w:pStyle w:val="TableParagraph"/>
                              <w:spacing w:before="12"/>
                              <w:ind w:right="90"/>
                              <w:jc w:val="right"/>
                              <w:rPr>
                                <w:rFonts w:ascii="Times New Roman"/>
                                <w:sz w:val="23"/>
                              </w:rPr>
                            </w:pPr>
                            <w:r>
                              <w:rPr>
                                <w:rFonts w:ascii="Times New Roman"/>
                                <w:color w:val="0A0A0A"/>
                                <w:spacing w:val="-10"/>
                                <w:w w:val="110"/>
                                <w:sz w:val="23"/>
                              </w:rPr>
                              <w:t>1</w:t>
                            </w:r>
                          </w:p>
                        </w:tc>
                      </w:tr>
                      <w:tr>
                        <w:trPr>
                          <w:trHeight w:val="333" w:hRule="atLeast"/>
                        </w:trPr>
                        <w:tc>
                          <w:tcPr>
                            <w:tcW w:w="4616" w:type="dxa"/>
                          </w:tcPr>
                          <w:p>
                            <w:pPr>
                              <w:pStyle w:val="TableParagraph"/>
                              <w:spacing w:before="60"/>
                              <w:ind w:left="79"/>
                              <w:rPr>
                                <w:sz w:val="22"/>
                              </w:rPr>
                            </w:pPr>
                            <w:r>
                              <w:rPr>
                                <w:color w:val="282828"/>
                                <w:spacing w:val="-2"/>
                                <w:sz w:val="22"/>
                              </w:rPr>
                              <w:t>Manufacturing</w:t>
                            </w:r>
                          </w:p>
                        </w:tc>
                        <w:tc>
                          <w:tcPr>
                            <w:tcW w:w="1446" w:type="dxa"/>
                          </w:tcPr>
                          <w:p>
                            <w:pPr>
                              <w:pStyle w:val="TableParagraph"/>
                              <w:spacing w:before="26"/>
                              <w:ind w:right="66"/>
                              <w:jc w:val="right"/>
                              <w:rPr>
                                <w:sz w:val="22"/>
                              </w:rPr>
                            </w:pPr>
                            <w:r>
                              <w:rPr>
                                <w:color w:val="0A0A0A"/>
                                <w:spacing w:val="-5"/>
                                <w:sz w:val="22"/>
                              </w:rPr>
                              <w:t>596</w:t>
                            </w:r>
                          </w:p>
                        </w:tc>
                        <w:tc>
                          <w:tcPr>
                            <w:tcW w:w="2823" w:type="dxa"/>
                            <w:gridSpan w:val="2"/>
                          </w:tcPr>
                          <w:p>
                            <w:pPr>
                              <w:pStyle w:val="TableParagraph"/>
                              <w:spacing w:before="13"/>
                              <w:ind w:right="24"/>
                              <w:jc w:val="right"/>
                              <w:rPr>
                                <w:rFonts w:ascii="Times New Roman"/>
                                <w:sz w:val="23"/>
                              </w:rPr>
                            </w:pPr>
                            <w:r>
                              <w:rPr>
                                <w:rFonts w:ascii="Times New Roman"/>
                                <w:color w:val="0A0A0A"/>
                                <w:spacing w:val="-5"/>
                                <w:w w:val="105"/>
                                <w:sz w:val="23"/>
                              </w:rPr>
                              <w:t>596</w:t>
                            </w:r>
                          </w:p>
                        </w:tc>
                        <w:tc>
                          <w:tcPr>
                            <w:tcW w:w="858" w:type="dxa"/>
                            <w:gridSpan w:val="2"/>
                          </w:tcPr>
                          <w:p>
                            <w:pPr>
                              <w:pStyle w:val="TableParagraph"/>
                              <w:spacing w:before="8"/>
                              <w:ind w:right="91"/>
                              <w:jc w:val="right"/>
                              <w:rPr>
                                <w:rFonts w:ascii="Times New Roman"/>
                                <w:sz w:val="23"/>
                              </w:rPr>
                            </w:pPr>
                            <w:r>
                              <w:rPr>
                                <w:rFonts w:ascii="Times New Roman"/>
                                <w:color w:val="0A0A0A"/>
                                <w:spacing w:val="-10"/>
                                <w:w w:val="105"/>
                                <w:sz w:val="23"/>
                              </w:rPr>
                              <w:t>1</w:t>
                            </w:r>
                          </w:p>
                        </w:tc>
                      </w:tr>
                      <w:tr>
                        <w:trPr>
                          <w:trHeight w:val="336" w:hRule="atLeast"/>
                        </w:trPr>
                        <w:tc>
                          <w:tcPr>
                            <w:tcW w:w="4616" w:type="dxa"/>
                          </w:tcPr>
                          <w:p>
                            <w:pPr>
                              <w:pStyle w:val="TableParagraph"/>
                              <w:spacing w:before="62"/>
                              <w:ind w:left="78"/>
                              <w:rPr>
                                <w:sz w:val="22"/>
                              </w:rPr>
                            </w:pPr>
                            <w:r>
                              <w:rPr>
                                <w:color w:val="282828"/>
                                <w:sz w:val="22"/>
                              </w:rPr>
                              <w:t>Financial</w:t>
                            </w:r>
                            <w:r>
                              <w:rPr>
                                <w:color w:val="282828"/>
                                <w:spacing w:val="-2"/>
                                <w:sz w:val="22"/>
                              </w:rPr>
                              <w:t> Institutions</w:t>
                            </w:r>
                          </w:p>
                        </w:tc>
                        <w:tc>
                          <w:tcPr>
                            <w:tcW w:w="1446" w:type="dxa"/>
                          </w:tcPr>
                          <w:p>
                            <w:pPr>
                              <w:pStyle w:val="TableParagraph"/>
                              <w:spacing w:before="29"/>
                              <w:ind w:right="70"/>
                              <w:jc w:val="right"/>
                              <w:rPr>
                                <w:sz w:val="22"/>
                              </w:rPr>
                            </w:pPr>
                            <w:r>
                              <w:rPr>
                                <w:color w:val="0A0A0A"/>
                                <w:spacing w:val="-5"/>
                                <w:sz w:val="22"/>
                              </w:rPr>
                              <w:t>512</w:t>
                            </w:r>
                          </w:p>
                        </w:tc>
                        <w:tc>
                          <w:tcPr>
                            <w:tcW w:w="2823" w:type="dxa"/>
                            <w:gridSpan w:val="2"/>
                          </w:tcPr>
                          <w:p>
                            <w:pPr>
                              <w:pStyle w:val="TableParagraph"/>
                              <w:spacing w:before="11"/>
                              <w:ind w:right="25"/>
                              <w:jc w:val="right"/>
                              <w:rPr>
                                <w:rFonts w:ascii="Times New Roman"/>
                                <w:sz w:val="23"/>
                              </w:rPr>
                            </w:pPr>
                            <w:r>
                              <w:rPr>
                                <w:rFonts w:ascii="Times New Roman"/>
                                <w:color w:val="0A0A0A"/>
                                <w:spacing w:val="-5"/>
                                <w:w w:val="110"/>
                                <w:sz w:val="23"/>
                              </w:rPr>
                              <w:t>512</w:t>
                            </w:r>
                          </w:p>
                        </w:tc>
                        <w:tc>
                          <w:tcPr>
                            <w:tcW w:w="858" w:type="dxa"/>
                            <w:gridSpan w:val="2"/>
                          </w:tcPr>
                          <w:p>
                            <w:pPr>
                              <w:pStyle w:val="TableParagraph"/>
                              <w:spacing w:before="11"/>
                              <w:ind w:right="95"/>
                              <w:jc w:val="right"/>
                              <w:rPr>
                                <w:rFonts w:ascii="Times New Roman"/>
                                <w:sz w:val="23"/>
                              </w:rPr>
                            </w:pPr>
                            <w:r>
                              <w:rPr>
                                <w:rFonts w:ascii="Times New Roman"/>
                                <w:color w:val="0A0A0A"/>
                                <w:spacing w:val="-10"/>
                                <w:w w:val="110"/>
                                <w:sz w:val="23"/>
                              </w:rPr>
                              <w:t>1</w:t>
                            </w:r>
                          </w:p>
                        </w:tc>
                      </w:tr>
                      <w:tr>
                        <w:trPr>
                          <w:trHeight w:val="333" w:hRule="atLeast"/>
                        </w:trPr>
                        <w:tc>
                          <w:tcPr>
                            <w:tcW w:w="4616" w:type="dxa"/>
                          </w:tcPr>
                          <w:p>
                            <w:pPr>
                              <w:pStyle w:val="TableParagraph"/>
                              <w:spacing w:before="62" w:line="251" w:lineRule="exact"/>
                              <w:ind w:left="73"/>
                              <w:rPr>
                                <w:sz w:val="22"/>
                              </w:rPr>
                            </w:pPr>
                            <w:r>
                              <w:rPr>
                                <w:color w:val="282828"/>
                                <w:sz w:val="22"/>
                              </w:rPr>
                              <w:t>Health</w:t>
                            </w:r>
                            <w:r>
                              <w:rPr>
                                <w:color w:val="282828"/>
                                <w:spacing w:val="6"/>
                                <w:sz w:val="22"/>
                              </w:rPr>
                              <w:t> </w:t>
                            </w:r>
                            <w:r>
                              <w:rPr>
                                <w:color w:val="282828"/>
                                <w:sz w:val="22"/>
                              </w:rPr>
                              <w:t>&amp;</w:t>
                            </w:r>
                            <w:r>
                              <w:rPr>
                                <w:color w:val="282828"/>
                                <w:spacing w:val="-3"/>
                                <w:sz w:val="22"/>
                              </w:rPr>
                              <w:t> </w:t>
                            </w:r>
                            <w:r>
                              <w:rPr>
                                <w:color w:val="282828"/>
                                <w:spacing w:val="-4"/>
                                <w:sz w:val="22"/>
                              </w:rPr>
                              <w:t>Care</w:t>
                            </w:r>
                          </w:p>
                        </w:tc>
                        <w:tc>
                          <w:tcPr>
                            <w:tcW w:w="1446" w:type="dxa"/>
                          </w:tcPr>
                          <w:p>
                            <w:pPr>
                              <w:pStyle w:val="TableParagraph"/>
                              <w:spacing w:before="24"/>
                              <w:ind w:right="67"/>
                              <w:jc w:val="right"/>
                              <w:rPr>
                                <w:sz w:val="22"/>
                              </w:rPr>
                            </w:pPr>
                            <w:r>
                              <w:rPr>
                                <w:color w:val="0A0A0A"/>
                                <w:spacing w:val="-5"/>
                                <w:sz w:val="22"/>
                              </w:rPr>
                              <w:t>802</w:t>
                            </w:r>
                          </w:p>
                        </w:tc>
                        <w:tc>
                          <w:tcPr>
                            <w:tcW w:w="2823" w:type="dxa"/>
                            <w:gridSpan w:val="2"/>
                          </w:tcPr>
                          <w:p>
                            <w:pPr>
                              <w:pStyle w:val="TableParagraph"/>
                              <w:spacing w:before="11"/>
                              <w:ind w:right="28"/>
                              <w:jc w:val="right"/>
                              <w:rPr>
                                <w:rFonts w:ascii="Times New Roman"/>
                                <w:sz w:val="23"/>
                              </w:rPr>
                            </w:pPr>
                            <w:r>
                              <w:rPr>
                                <w:rFonts w:ascii="Times New Roman"/>
                                <w:color w:val="0A0A0A"/>
                                <w:spacing w:val="-5"/>
                                <w:w w:val="110"/>
                                <w:sz w:val="23"/>
                              </w:rPr>
                              <w:t>802</w:t>
                            </w:r>
                          </w:p>
                        </w:tc>
                        <w:tc>
                          <w:tcPr>
                            <w:tcW w:w="858" w:type="dxa"/>
                            <w:gridSpan w:val="2"/>
                          </w:tcPr>
                          <w:p>
                            <w:pPr>
                              <w:pStyle w:val="TableParagraph"/>
                              <w:spacing w:before="11"/>
                              <w:ind w:right="95"/>
                              <w:jc w:val="right"/>
                              <w:rPr>
                                <w:rFonts w:ascii="Times New Roman"/>
                                <w:sz w:val="23"/>
                              </w:rPr>
                            </w:pPr>
                            <w:r>
                              <w:rPr>
                                <w:rFonts w:ascii="Times New Roman"/>
                                <w:color w:val="0A0A0A"/>
                                <w:spacing w:val="-10"/>
                                <w:w w:val="110"/>
                                <w:sz w:val="23"/>
                              </w:rPr>
                              <w:t>1</w:t>
                            </w:r>
                          </w:p>
                        </w:tc>
                      </w:tr>
                      <w:tr>
                        <w:trPr>
                          <w:trHeight w:val="331" w:hRule="atLeast"/>
                        </w:trPr>
                        <w:tc>
                          <w:tcPr>
                            <w:tcW w:w="4616" w:type="dxa"/>
                          </w:tcPr>
                          <w:p>
                            <w:pPr>
                              <w:pStyle w:val="TableParagraph"/>
                              <w:spacing w:before="60" w:line="251" w:lineRule="exact"/>
                              <w:ind w:left="70"/>
                              <w:rPr>
                                <w:sz w:val="22"/>
                              </w:rPr>
                            </w:pPr>
                            <w:r>
                              <w:rPr>
                                <w:color w:val="282828"/>
                                <w:sz w:val="22"/>
                              </w:rPr>
                              <w:t>Information</w:t>
                            </w:r>
                            <w:r>
                              <w:rPr>
                                <w:color w:val="282828"/>
                                <w:spacing w:val="1"/>
                                <w:sz w:val="22"/>
                              </w:rPr>
                              <w:t> </w:t>
                            </w:r>
                            <w:r>
                              <w:rPr>
                                <w:color w:val="282828"/>
                                <w:spacing w:val="-2"/>
                                <w:sz w:val="22"/>
                              </w:rPr>
                              <w:t>Technology</w:t>
                            </w:r>
                          </w:p>
                        </w:tc>
                        <w:tc>
                          <w:tcPr>
                            <w:tcW w:w="1446" w:type="dxa"/>
                          </w:tcPr>
                          <w:p>
                            <w:pPr>
                              <w:pStyle w:val="TableParagraph"/>
                              <w:spacing w:before="26"/>
                              <w:ind w:left="817"/>
                              <w:rPr>
                                <w:sz w:val="22"/>
                              </w:rPr>
                            </w:pPr>
                            <w:r>
                              <w:rPr>
                                <w:color w:val="0A0A0A"/>
                                <w:spacing w:val="-2"/>
                                <w:sz w:val="22"/>
                              </w:rPr>
                              <w:t>1,790</w:t>
                            </w:r>
                          </w:p>
                        </w:tc>
                        <w:tc>
                          <w:tcPr>
                            <w:tcW w:w="2823" w:type="dxa"/>
                            <w:gridSpan w:val="2"/>
                          </w:tcPr>
                          <w:p>
                            <w:pPr>
                              <w:pStyle w:val="TableParagraph"/>
                              <w:spacing w:before="8"/>
                              <w:ind w:right="32"/>
                              <w:jc w:val="right"/>
                              <w:rPr>
                                <w:rFonts w:ascii="Times New Roman"/>
                                <w:sz w:val="23"/>
                              </w:rPr>
                            </w:pPr>
                            <w:r>
                              <w:rPr>
                                <w:rFonts w:ascii="Times New Roman"/>
                                <w:color w:val="0A0A0A"/>
                                <w:spacing w:val="-4"/>
                                <w:w w:val="110"/>
                                <w:sz w:val="23"/>
                              </w:rPr>
                              <w:t>1,790</w:t>
                            </w:r>
                          </w:p>
                        </w:tc>
                        <w:tc>
                          <w:tcPr>
                            <w:tcW w:w="858" w:type="dxa"/>
                            <w:gridSpan w:val="2"/>
                          </w:tcPr>
                          <w:p>
                            <w:pPr>
                              <w:pStyle w:val="TableParagraph"/>
                              <w:spacing w:before="8"/>
                              <w:ind w:right="82"/>
                              <w:jc w:val="right"/>
                              <w:rPr>
                                <w:rFonts w:ascii="Times New Roman"/>
                                <w:sz w:val="23"/>
                              </w:rPr>
                            </w:pPr>
                            <w:r>
                              <w:rPr>
                                <w:rFonts w:ascii="Times New Roman"/>
                                <w:color w:val="0A0A0A"/>
                                <w:spacing w:val="-10"/>
                                <w:w w:val="110"/>
                                <w:sz w:val="23"/>
                              </w:rPr>
                              <w:t>2</w:t>
                            </w:r>
                          </w:p>
                        </w:tc>
                      </w:tr>
                      <w:tr>
                        <w:trPr>
                          <w:trHeight w:val="524" w:hRule="atLeast"/>
                        </w:trPr>
                        <w:tc>
                          <w:tcPr>
                            <w:tcW w:w="4616" w:type="dxa"/>
                          </w:tcPr>
                          <w:p>
                            <w:pPr>
                              <w:pStyle w:val="TableParagraph"/>
                              <w:spacing w:before="60"/>
                              <w:ind w:left="62"/>
                              <w:rPr>
                                <w:sz w:val="22"/>
                              </w:rPr>
                            </w:pPr>
                            <w:r>
                              <w:rPr>
                                <w:color w:val="282828"/>
                                <w:w w:val="110"/>
                                <w:sz w:val="22"/>
                              </w:rPr>
                              <w:t>Sub-total</w:t>
                            </w:r>
                            <w:r>
                              <w:rPr>
                                <w:color w:val="282828"/>
                                <w:spacing w:val="-12"/>
                                <w:w w:val="110"/>
                                <w:sz w:val="22"/>
                              </w:rPr>
                              <w:t> </w:t>
                            </w:r>
                            <w:r>
                              <w:rPr>
                                <w:color w:val="282828"/>
                                <w:w w:val="110"/>
                                <w:sz w:val="22"/>
                              </w:rPr>
                              <w:t>equity</w:t>
                            </w:r>
                            <w:r>
                              <w:rPr>
                                <w:color w:val="282828"/>
                                <w:spacing w:val="-8"/>
                                <w:w w:val="110"/>
                                <w:sz w:val="22"/>
                              </w:rPr>
                              <w:t> </w:t>
                            </w:r>
                            <w:r>
                              <w:rPr>
                                <w:color w:val="282828"/>
                                <w:spacing w:val="-2"/>
                                <w:w w:val="110"/>
                                <w:sz w:val="22"/>
                              </w:rPr>
                              <w:t>instruments</w:t>
                            </w:r>
                          </w:p>
                        </w:tc>
                        <w:tc>
                          <w:tcPr>
                            <w:tcW w:w="1446" w:type="dxa"/>
                          </w:tcPr>
                          <w:p>
                            <w:pPr>
                              <w:pStyle w:val="TableParagraph"/>
                              <w:spacing w:before="18"/>
                              <w:ind w:left="815"/>
                              <w:rPr>
                                <w:rFonts w:ascii="Times New Roman"/>
                                <w:sz w:val="23"/>
                              </w:rPr>
                            </w:pPr>
                            <w:r>
                              <w:rPr>
                                <w:rFonts w:ascii="Times New Roman"/>
                                <w:color w:val="0A0A0A"/>
                                <w:spacing w:val="-2"/>
                                <w:w w:val="105"/>
                                <w:sz w:val="23"/>
                              </w:rPr>
                              <w:t>5,050</w:t>
                            </w:r>
                          </w:p>
                        </w:tc>
                        <w:tc>
                          <w:tcPr>
                            <w:tcW w:w="2823" w:type="dxa"/>
                            <w:gridSpan w:val="2"/>
                          </w:tcPr>
                          <w:p>
                            <w:pPr>
                              <w:pStyle w:val="TableParagraph"/>
                              <w:spacing w:before="8"/>
                              <w:ind w:right="36"/>
                              <w:jc w:val="right"/>
                              <w:rPr>
                                <w:rFonts w:ascii="Times New Roman"/>
                                <w:sz w:val="23"/>
                              </w:rPr>
                            </w:pPr>
                            <w:r>
                              <w:rPr>
                                <w:rFonts w:ascii="Times New Roman"/>
                                <w:color w:val="0A0A0A"/>
                                <w:spacing w:val="-2"/>
                                <w:w w:val="105"/>
                                <w:sz w:val="23"/>
                              </w:rPr>
                              <w:t>5,050</w:t>
                            </w:r>
                          </w:p>
                        </w:tc>
                        <w:tc>
                          <w:tcPr>
                            <w:tcW w:w="858" w:type="dxa"/>
                            <w:gridSpan w:val="2"/>
                          </w:tcPr>
                          <w:p>
                            <w:pPr>
                              <w:pStyle w:val="TableParagraph"/>
                              <w:spacing w:before="13"/>
                              <w:ind w:right="87"/>
                              <w:jc w:val="right"/>
                              <w:rPr>
                                <w:rFonts w:ascii="Times New Roman"/>
                                <w:sz w:val="23"/>
                              </w:rPr>
                            </w:pPr>
                            <w:r>
                              <w:rPr>
                                <w:rFonts w:ascii="Times New Roman"/>
                                <w:color w:val="0A0A0A"/>
                                <w:spacing w:val="-10"/>
                                <w:w w:val="110"/>
                                <w:sz w:val="23"/>
                              </w:rPr>
                              <w:t>6</w:t>
                            </w:r>
                          </w:p>
                        </w:tc>
                      </w:tr>
                      <w:tr>
                        <w:trPr>
                          <w:trHeight w:val="501" w:hRule="atLeast"/>
                        </w:trPr>
                        <w:tc>
                          <w:tcPr>
                            <w:tcW w:w="4616" w:type="dxa"/>
                          </w:tcPr>
                          <w:p>
                            <w:pPr>
                              <w:pStyle w:val="TableParagraph"/>
                              <w:spacing w:before="204"/>
                              <w:ind w:left="55"/>
                              <w:rPr>
                                <w:sz w:val="22"/>
                              </w:rPr>
                            </w:pPr>
                            <w:r>
                              <w:rPr>
                                <w:color w:val="0A0A0A"/>
                                <w:w w:val="105"/>
                                <w:sz w:val="22"/>
                              </w:rPr>
                              <w:t>Debt</w:t>
                            </w:r>
                            <w:r>
                              <w:rPr>
                                <w:color w:val="0A0A0A"/>
                                <w:spacing w:val="-1"/>
                                <w:w w:val="105"/>
                                <w:sz w:val="22"/>
                              </w:rPr>
                              <w:t> </w:t>
                            </w:r>
                            <w:r>
                              <w:rPr>
                                <w:color w:val="0A0A0A"/>
                                <w:spacing w:val="-2"/>
                                <w:w w:val="110"/>
                                <w:sz w:val="22"/>
                              </w:rPr>
                              <w:t>Securities:</w:t>
                            </w:r>
                          </w:p>
                        </w:tc>
                        <w:tc>
                          <w:tcPr>
                            <w:tcW w:w="1446" w:type="dxa"/>
                          </w:tcPr>
                          <w:p>
                            <w:pPr>
                              <w:pStyle w:val="TableParagraph"/>
                              <w:rPr>
                                <w:rFonts w:ascii="Times New Roman"/>
                                <w:sz w:val="22"/>
                              </w:rPr>
                            </w:pPr>
                          </w:p>
                        </w:tc>
                        <w:tc>
                          <w:tcPr>
                            <w:tcW w:w="2823" w:type="dxa"/>
                            <w:gridSpan w:val="2"/>
                          </w:tcPr>
                          <w:p>
                            <w:pPr>
                              <w:pStyle w:val="TableParagraph"/>
                              <w:rPr>
                                <w:rFonts w:ascii="Times New Roman"/>
                                <w:sz w:val="22"/>
                              </w:rPr>
                            </w:pPr>
                          </w:p>
                        </w:tc>
                        <w:tc>
                          <w:tcPr>
                            <w:tcW w:w="858" w:type="dxa"/>
                            <w:gridSpan w:val="2"/>
                          </w:tcPr>
                          <w:p>
                            <w:pPr>
                              <w:pStyle w:val="TableParagraph"/>
                              <w:rPr>
                                <w:rFonts w:ascii="Times New Roman"/>
                                <w:sz w:val="22"/>
                              </w:rPr>
                            </w:pPr>
                          </w:p>
                        </w:tc>
                      </w:tr>
                      <w:tr>
                        <w:trPr>
                          <w:trHeight w:val="296" w:hRule="atLeast"/>
                        </w:trPr>
                        <w:tc>
                          <w:tcPr>
                            <w:tcW w:w="4616" w:type="dxa"/>
                          </w:tcPr>
                          <w:p>
                            <w:pPr>
                              <w:pStyle w:val="TableParagraph"/>
                              <w:spacing w:before="43" w:line="233" w:lineRule="exact"/>
                              <w:ind w:left="50"/>
                              <w:rPr>
                                <w:sz w:val="22"/>
                              </w:rPr>
                            </w:pPr>
                            <w:r>
                              <w:rPr>
                                <w:color w:val="0A0A0A"/>
                                <w:sz w:val="22"/>
                              </w:rPr>
                              <w:t>UK</w:t>
                            </w:r>
                            <w:r>
                              <w:rPr>
                                <w:color w:val="0A0A0A"/>
                                <w:spacing w:val="3"/>
                                <w:sz w:val="22"/>
                              </w:rPr>
                              <w:t> </w:t>
                            </w:r>
                            <w:r>
                              <w:rPr>
                                <w:color w:val="0A0A0A"/>
                                <w:spacing w:val="-2"/>
                                <w:sz w:val="22"/>
                              </w:rPr>
                              <w:t>Government</w:t>
                            </w:r>
                          </w:p>
                        </w:tc>
                        <w:tc>
                          <w:tcPr>
                            <w:tcW w:w="1446" w:type="dxa"/>
                          </w:tcPr>
                          <w:p>
                            <w:pPr>
                              <w:pStyle w:val="TableParagraph"/>
                              <w:spacing w:before="19"/>
                              <w:ind w:left="806"/>
                              <w:rPr>
                                <w:sz w:val="22"/>
                              </w:rPr>
                            </w:pPr>
                            <w:r>
                              <w:rPr>
                                <w:color w:val="0A0A0A"/>
                                <w:spacing w:val="4"/>
                                <w:w w:val="90"/>
                                <w:sz w:val="22"/>
                              </w:rPr>
                              <w:t>7,496</w:t>
                            </w:r>
                            <w:r>
                              <w:rPr>
                                <w:color w:val="0A0A0A"/>
                                <w:spacing w:val="6"/>
                                <w:sz w:val="22"/>
                              </w:rPr>
                              <w:t> </w:t>
                            </w:r>
                            <w:r>
                              <w:rPr>
                                <w:color w:val="C1C1C1"/>
                                <w:spacing w:val="-10"/>
                                <w:w w:val="50"/>
                                <w:sz w:val="22"/>
                              </w:rPr>
                              <w:t>I</w:t>
                            </w:r>
                          </w:p>
                        </w:tc>
                        <w:tc>
                          <w:tcPr>
                            <w:tcW w:w="2823" w:type="dxa"/>
                            <w:gridSpan w:val="2"/>
                          </w:tcPr>
                          <w:p>
                            <w:pPr>
                              <w:pStyle w:val="TableParagraph"/>
                              <w:spacing w:before="25" w:line="251" w:lineRule="exact"/>
                              <w:ind w:right="43"/>
                              <w:jc w:val="right"/>
                              <w:rPr>
                                <w:rFonts w:ascii="Times New Roman"/>
                                <w:sz w:val="23"/>
                              </w:rPr>
                            </w:pPr>
                            <w:r>
                              <w:rPr>
                                <w:rFonts w:ascii="Times New Roman"/>
                                <w:color w:val="0A0A0A"/>
                                <w:spacing w:val="-2"/>
                                <w:w w:val="105"/>
                                <w:sz w:val="23"/>
                              </w:rPr>
                              <w:t>7,496</w:t>
                            </w:r>
                          </w:p>
                        </w:tc>
                        <w:tc>
                          <w:tcPr>
                            <w:tcW w:w="858" w:type="dxa"/>
                            <w:gridSpan w:val="2"/>
                          </w:tcPr>
                          <w:p>
                            <w:pPr>
                              <w:pStyle w:val="TableParagraph"/>
                              <w:spacing w:before="25" w:line="251" w:lineRule="exact"/>
                              <w:ind w:right="98"/>
                              <w:jc w:val="right"/>
                              <w:rPr>
                                <w:rFonts w:ascii="Times New Roman"/>
                                <w:sz w:val="23"/>
                              </w:rPr>
                            </w:pPr>
                            <w:r>
                              <w:rPr>
                                <w:rFonts w:ascii="Times New Roman"/>
                                <w:color w:val="0A0A0A"/>
                                <w:spacing w:val="-10"/>
                                <w:w w:val="105"/>
                                <w:sz w:val="23"/>
                              </w:rPr>
                              <w:t>7</w:t>
                            </w:r>
                          </w:p>
                        </w:tc>
                      </w:tr>
                    </w:tbl>
                    <w:p>
                      <w:pPr>
                        <w:pStyle w:val="BodyText"/>
                      </w:pPr>
                    </w:p>
                  </w:txbxContent>
                </v:textbox>
                <w10:wrap type="none"/>
              </v:shape>
            </w:pict>
          </ve:Fallback>
        </ve:AlternateContent>
      </w:r>
      <w:r>
        <w:rPr>
          <w:rFonts w:ascii="Times New Roman"/>
          <w:color w:val="A8A8A8"/>
          <w:sz w:val="13"/>
        </w:rPr>
        <w:t>-</w:t>
      </w:r>
      <w:r>
        <w:rPr>
          <w:rFonts w:ascii="Times New Roman"/>
          <w:color w:val="A8A8A8"/>
          <w:spacing w:val="30"/>
          <w:sz w:val="13"/>
        </w:rPr>
        <w:t> </w:t>
      </w:r>
      <w:r>
        <w:rPr>
          <w:color w:val="4B4B4B"/>
          <w:spacing w:val="-10"/>
          <w:sz w:val="10"/>
        </w:rPr>
        <w:t>.</w:t>
      </w:r>
      <w:r>
        <w:rPr>
          <w:color w:val="4B4B4B"/>
          <w:sz w:val="10"/>
        </w:rPr>
        <w:tab/>
      </w:r>
      <w:r>
        <w:rPr>
          <w:rFonts w:ascii="Times New Roman"/>
          <w:color w:val="8E8E8E"/>
          <w:sz w:val="13"/>
        </w:rPr>
        <w:t>-</w:t>
      </w:r>
      <w:r>
        <w:rPr>
          <w:rFonts w:ascii="Times New Roman"/>
          <w:color w:val="8E8E8E"/>
          <w:spacing w:val="62"/>
          <w:sz w:val="13"/>
        </w:rPr>
        <w:t> </w:t>
      </w:r>
      <w:r>
        <w:rPr>
          <w:rFonts w:ascii="Times New Roman"/>
          <w:color w:val="646464"/>
          <w:spacing w:val="-10"/>
          <w:sz w:val="13"/>
        </w:rPr>
        <w:t>-</w:t>
      </w:r>
      <w:r>
        <w:rPr>
          <w:rFonts w:ascii="Times New Roman"/>
          <w:color w:val="646464"/>
          <w:sz w:val="13"/>
        </w:rPr>
        <w:tab/>
      </w:r>
      <w:r>
        <w:rPr>
          <w:rFonts w:ascii="Times New Roman"/>
          <w:color w:val="363636"/>
          <w:spacing w:val="-10"/>
          <w:sz w:val="13"/>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74"/>
        <w:rPr>
          <w:rFonts w:ascii="Times New Roman"/>
          <w:sz w:val="20"/>
        </w:rPr>
      </w:pPr>
      <w:r>
        <w:rPr/>
        <ve:AlternateContent>
          <ve:Choice Requires="wps">
            <w:drawing>
              <wp:anchor distT="0" distB="0" distL="0" distR="0" simplePos="0" relativeHeight="487699968" behindDoc="1" locked="0" layoutInCell="1" allowOverlap="1">
                <wp:simplePos x="0" y="0"/>
                <wp:positionH relativeFrom="page">
                  <wp:posOffset>6704204</wp:posOffset>
                </wp:positionH>
                <wp:positionV relativeFrom="paragraph">
                  <wp:posOffset>274027</wp:posOffset>
                </wp:positionV>
                <wp:extent cx="501015" cy="738505"/>
                <wp:effectExtent l="0" t="0" r="0" b="0"/>
                <wp:wrapTopAndBottom/>
                <wp:docPr id="531" name="Group 531"/>
                <wp:cNvGraphicFramePr>
                  <a:graphicFrameLocks/>
                </wp:cNvGraphicFramePr>
                <a:graphic>
                  <a:graphicData uri="http://schemas.microsoft.com/office/word/2010/wordprocessingGroup">
                    <wpg:wgp>
                      <wpg:cNvPr id="531" name="Group 531"/>
                      <wpg:cNvGrpSpPr/>
                      <wpg:grpSpPr>
                        <a:xfrm>
                          <a:off x="0" y="0"/>
                          <a:ext cx="501015" cy="738505"/>
                          <a:chExt cx="501015" cy="738505"/>
                        </a:xfrm>
                      </wpg:grpSpPr>
                      <wps:wsp>
                        <wps:cNvPr id="532" name="Graphic 532"/>
                        <wps:cNvSpPr/>
                        <wps:spPr>
                          <a:xfrm>
                            <a:off x="0" y="643861"/>
                            <a:ext cx="501015" cy="1270"/>
                          </a:xfrm>
                          <a:custGeom>
                            <a:avLst/>
                            <a:gdLst/>
                            <a:ahLst/>
                            <a:cxnLst/>
                            <a:rect l="l" t="t" r="r" b="b"/>
                            <a:pathLst>
                              <a:path w="501015" h="0">
                                <a:moveTo>
                                  <a:pt x="0" y="0"/>
                                </a:moveTo>
                                <a:lnTo>
                                  <a:pt x="500678" y="0"/>
                                </a:lnTo>
                              </a:path>
                            </a:pathLst>
                          </a:custGeom>
                          <a:ln w="9154">
                            <a:solidFill>
                              <a:srgbClr val="000000"/>
                            </a:solidFill>
                            <a:prstDash val="solid"/>
                          </a:ln>
                        </wps:spPr>
                        <wps:bodyPr wrap="square" lIns="0" tIns="0" rIns="0" bIns="0" rtlCol="0">
                          <a:prstTxWarp prst="textNoShape">
                            <a:avLst/>
                          </a:prstTxWarp>
                          <a:noAutofit/>
                        </wps:bodyPr>
                      </wps:wsp>
                      <wps:wsp>
                        <wps:cNvPr id="533" name="Graphic 533"/>
                        <wps:cNvSpPr/>
                        <wps:spPr>
                          <a:xfrm>
                            <a:off x="482360" y="0"/>
                            <a:ext cx="1270" cy="201930"/>
                          </a:xfrm>
                          <a:custGeom>
                            <a:avLst/>
                            <a:gdLst/>
                            <a:ahLst/>
                            <a:cxnLst/>
                            <a:rect l="l" t="t" r="r" b="b"/>
                            <a:pathLst>
                              <a:path w="0" h="201930">
                                <a:moveTo>
                                  <a:pt x="0" y="201397"/>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534" name="Graphic 534"/>
                        <wps:cNvSpPr/>
                        <wps:spPr>
                          <a:xfrm>
                            <a:off x="482360" y="201397"/>
                            <a:ext cx="1270" cy="537210"/>
                          </a:xfrm>
                          <a:custGeom>
                            <a:avLst/>
                            <a:gdLst/>
                            <a:ahLst/>
                            <a:cxnLst/>
                            <a:rect l="l" t="t" r="r" b="b"/>
                            <a:pathLst>
                              <a:path w="0" h="537210">
                                <a:moveTo>
                                  <a:pt x="0" y="537060"/>
                                </a:moveTo>
                                <a:lnTo>
                                  <a:pt x="0" y="0"/>
                                </a:lnTo>
                              </a:path>
                            </a:pathLst>
                          </a:custGeom>
                          <a:ln w="9158">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56" style="position:absolute;margin-left:527.890137pt;margin-top:21.576986pt;width:39.450pt;height:58.15pt;mso-position-horizontal-relative:page;mso-position-vertical-relative:paragraph;z-index:-15616512;mso-wrap-distance-left:0;mso-wrap-distance-right:0" coordsize="789,1163" coordorigin="10558,432">
                <v:line style="position:absolute" stroked="true" strokecolor="#000000" strokeweight=".720821pt" from="10558,1445" to="11346,1445">
                  <v:stroke dashstyle="solid"/>
                </v:line>
                <v:line style="position:absolute" stroked="true" strokecolor="#000000" strokeweight=".240387pt" from="11317,749" to="11317,432">
                  <v:stroke dashstyle="solid"/>
                </v:line>
                <v:line style="position:absolute" stroked="true" strokecolor="#000000" strokeweight=".721161pt" from="11317,1594" to="11317,749">
                  <v:stroke dashstyle="solid"/>
                </v:line>
                <w10:wrap type="topAndBottom"/>
              </v:group>
            </w:pict>
          </ve:Fallback>
        </ve:AlternateContent>
      </w: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rPr>
          <w:rFonts w:ascii="Times New Roman"/>
          <w:sz w:val="13"/>
        </w:rPr>
      </w:pPr>
    </w:p>
    <w:p>
      <w:pPr>
        <w:pStyle w:val="BodyText"/>
        <w:spacing w:before="63"/>
        <w:rPr>
          <w:rFonts w:ascii="Times New Roman"/>
          <w:sz w:val="13"/>
        </w:rPr>
      </w:pPr>
    </w:p>
    <w:p>
      <w:pPr>
        <w:pStyle w:val="BodyText"/>
        <w:ind w:left="1607"/>
      </w:pPr>
      <w:r>
        <w:rPr/>
        <ve:AlternateContent>
          <ve:Choice Requires="wps">
            <w:drawing>
              <wp:anchor distT="0" distB="0" distL="0" distR="0" simplePos="0" relativeHeight="15842304" behindDoc="0" locked="0" layoutInCell="1" allowOverlap="1">
                <wp:simplePos x="0" y="0"/>
                <wp:positionH relativeFrom="page">
                  <wp:posOffset>6649252</wp:posOffset>
                </wp:positionH>
                <wp:positionV relativeFrom="paragraph">
                  <wp:posOffset>-1537858</wp:posOffset>
                </wp:positionV>
                <wp:extent cx="1270" cy="448945"/>
                <wp:effectExtent l="0" t="0" r="0" b="0"/>
                <wp:wrapNone/>
                <wp:docPr id="535" name="Graphic 535"/>
                <wp:cNvGraphicFramePr>
                  <a:graphicFrameLocks/>
                </wp:cNvGraphicFramePr>
                <a:graphic>
                  <a:graphicData uri="http://schemas.microsoft.com/office/word/2010/wordprocessingShape">
                    <wps:wsp>
                      <wps:cNvPr id="535" name="Graphic 535"/>
                      <wps:cNvSpPr/>
                      <wps:spPr>
                        <a:xfrm>
                          <a:off x="0" y="0"/>
                          <a:ext cx="1270" cy="448945"/>
                        </a:xfrm>
                        <a:custGeom>
                          <a:avLst/>
                          <a:gdLst/>
                          <a:ahLst/>
                          <a:cxnLst/>
                          <a:rect l="l" t="t" r="r" b="b"/>
                          <a:pathLst>
                            <a:path w="0" h="448945">
                              <a:moveTo>
                                <a:pt x="0" y="448567"/>
                              </a:moveTo>
                              <a:lnTo>
                                <a:pt x="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42304" stroked="true" strokecolor="#000000" strokeweight=".240387pt" from="523.563171pt,-85.770934pt" to="523.563171pt,-121.091187pt">
                <v:stroke dashstyle="solid"/>
                <w10:wrap type="none"/>
              </v:line>
            </w:pict>
          </ve:Fallback>
        </ve:AlternateContent>
      </w:r>
      <w:r>
        <w:rPr/>
        <ve:AlternateContent>
          <ve:Choice Requires="wps">
            <w:drawing>
              <wp:anchor distT="0" distB="0" distL="0" distR="0" simplePos="0" relativeHeight="15842816" behindDoc="0" locked="0" layoutInCell="1" allowOverlap="1">
                <wp:simplePos x="0" y="0"/>
                <wp:positionH relativeFrom="page">
                  <wp:posOffset>3901688</wp:posOffset>
                </wp:positionH>
                <wp:positionV relativeFrom="paragraph">
                  <wp:posOffset>-44159</wp:posOffset>
                </wp:positionV>
                <wp:extent cx="3324860" cy="662940"/>
                <wp:effectExtent l="0" t="0" r="0" b="0"/>
                <wp:wrapNone/>
                <wp:docPr id="536" name="Textbox 536"/>
                <wp:cNvGraphicFramePr>
                  <a:graphicFrameLocks/>
                </wp:cNvGraphicFramePr>
                <a:graphic>
                  <a:graphicData uri="http://schemas.microsoft.com/office/word/2010/wordprocessingShape">
                    <wps:wsp>
                      <wps:cNvPr id="536" name="Textbox 536"/>
                      <wps:cNvSpPr txBox="1"/>
                      <wps:spPr>
                        <a:xfrm>
                          <a:off x="0" y="0"/>
                          <a:ext cx="3324860" cy="662940"/>
                        </a:xfrm>
                        <a:prstGeom prst="rect">
                          <a:avLst/>
                        </a:prstGeom>
                      </wps:spPr>
                      <wps:txbx>
                        <w:txbxContent>
                          <w:tbl>
                            <w:tblPr>
                              <w:tblW w:w="0" w:type="auto"/>
                              <w:jc w:val="left"/>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Look w:val="01E0"/>
                            </w:tblPr>
                            <w:tblGrid>
                              <w:gridCol w:w="1433"/>
                              <w:gridCol w:w="486"/>
                              <w:gridCol w:w="1371"/>
                              <w:gridCol w:w="1248"/>
                              <w:gridCol w:w="564"/>
                            </w:tblGrid>
                            <w:tr>
                              <w:trPr>
                                <w:trHeight w:val="343" w:hRule="atLeast"/>
                              </w:trPr>
                              <w:tc>
                                <w:tcPr>
                                  <w:tcW w:w="1919" w:type="dxa"/>
                                  <w:gridSpan w:val="2"/>
                                  <w:tcBorders>
                                    <w:top w:val="nil"/>
                                    <w:left w:val="nil"/>
                                    <w:right w:val="nil"/>
                                  </w:tcBorders>
                                </w:tcPr>
                                <w:p>
                                  <w:pPr>
                                    <w:pStyle w:val="TableParagraph"/>
                                    <w:spacing w:line="323" w:lineRule="exact"/>
                                    <w:ind w:left="1258"/>
                                    <w:rPr>
                                      <w:sz w:val="43"/>
                                    </w:rPr>
                                  </w:pPr>
                                  <w:r>
                                    <w:rPr>
                                      <w:color w:val="282828"/>
                                      <w:spacing w:val="62"/>
                                      <w:w w:val="55"/>
                                      <w:sz w:val="43"/>
                                    </w:rPr>
                                    <w:t>-</w:t>
                                  </w:r>
                                  <w:r>
                                    <w:rPr>
                                      <w:color w:val="C1C1C1"/>
                                      <w:spacing w:val="-10"/>
                                      <w:w w:val="75"/>
                                      <w:sz w:val="43"/>
                                    </w:rPr>
                                    <w:t>I</w:t>
                                  </w:r>
                                </w:p>
                              </w:tc>
                              <w:tc>
                                <w:tcPr>
                                  <w:tcW w:w="1371" w:type="dxa"/>
                                  <w:tcBorders>
                                    <w:top w:val="nil"/>
                                    <w:left w:val="nil"/>
                                    <w:right w:val="nil"/>
                                  </w:tcBorders>
                                </w:tcPr>
                                <w:p>
                                  <w:pPr>
                                    <w:pStyle w:val="TableParagraph"/>
                                    <w:spacing w:before="62"/>
                                    <w:ind w:left="454"/>
                                    <w:rPr>
                                      <w:sz w:val="22"/>
                                    </w:rPr>
                                  </w:pPr>
                                  <w:r>
                                    <w:rPr>
                                      <w:color w:val="0A0A0A"/>
                                      <w:spacing w:val="-2"/>
                                      <w:sz w:val="22"/>
                                    </w:rPr>
                                    <w:t>8,615</w:t>
                                  </w:r>
                                </w:p>
                              </w:tc>
                              <w:tc>
                                <w:tcPr>
                                  <w:tcW w:w="1248" w:type="dxa"/>
                                  <w:tcBorders>
                                    <w:top w:val="nil"/>
                                    <w:left w:val="nil"/>
                                    <w:right w:val="nil"/>
                                  </w:tcBorders>
                                </w:tcPr>
                                <w:p>
                                  <w:pPr>
                                    <w:pStyle w:val="TableParagraph"/>
                                    <w:spacing w:before="44"/>
                                    <w:ind w:left="357"/>
                                    <w:rPr>
                                      <w:rFonts w:ascii="Times New Roman"/>
                                      <w:sz w:val="23"/>
                                    </w:rPr>
                                  </w:pPr>
                                  <w:r>
                                    <w:rPr>
                                      <w:rFonts w:ascii="Times New Roman"/>
                                      <w:color w:val="0A0A0A"/>
                                      <w:spacing w:val="-4"/>
                                      <w:w w:val="110"/>
                                      <w:sz w:val="23"/>
                                    </w:rPr>
                                    <w:t>8,615</w:t>
                                  </w:r>
                                </w:p>
                              </w:tc>
                              <w:tc>
                                <w:tcPr>
                                  <w:tcW w:w="564" w:type="dxa"/>
                                  <w:tcBorders>
                                    <w:top w:val="nil"/>
                                    <w:left w:val="nil"/>
                                  </w:tcBorders>
                                </w:tcPr>
                                <w:p>
                                  <w:pPr>
                                    <w:pStyle w:val="TableParagraph"/>
                                    <w:spacing w:before="58"/>
                                    <w:ind w:right="80"/>
                                    <w:jc w:val="right"/>
                                    <w:rPr>
                                      <w:sz w:val="22"/>
                                    </w:rPr>
                                  </w:pPr>
                                  <w:r>
                                    <w:rPr>
                                      <w:color w:val="0A0A0A"/>
                                      <w:spacing w:val="-10"/>
                                      <w:w w:val="105"/>
                                      <w:sz w:val="22"/>
                                    </w:rPr>
                                    <w:t>8</w:t>
                                  </w:r>
                                </w:p>
                              </w:tc>
                            </w:tr>
                            <w:tr>
                              <w:trPr>
                                <w:trHeight w:val="330" w:hRule="atLeast"/>
                              </w:trPr>
                              <w:tc>
                                <w:tcPr>
                                  <w:tcW w:w="1433" w:type="dxa"/>
                                  <w:tcBorders>
                                    <w:left w:val="nil"/>
                                    <w:right w:val="single" w:color="000000" w:sz="8" w:space="0"/>
                                  </w:tcBorders>
                                </w:tcPr>
                                <w:p>
                                  <w:pPr>
                                    <w:pStyle w:val="TableParagraph"/>
                                    <w:rPr>
                                      <w:rFonts w:ascii="Times New Roman"/>
                                      <w:sz w:val="22"/>
                                    </w:rPr>
                                  </w:pPr>
                                </w:p>
                              </w:tc>
                              <w:tc>
                                <w:tcPr>
                                  <w:tcW w:w="1857" w:type="dxa"/>
                                  <w:gridSpan w:val="2"/>
                                  <w:tcBorders>
                                    <w:left w:val="single" w:color="000000" w:sz="8" w:space="0"/>
                                    <w:right w:val="nil"/>
                                  </w:tcBorders>
                                </w:tcPr>
                                <w:p>
                                  <w:pPr>
                                    <w:pStyle w:val="TableParagraph"/>
                                    <w:spacing w:line="311" w:lineRule="exact"/>
                                    <w:ind w:left="926"/>
                                    <w:rPr>
                                      <w:sz w:val="38"/>
                                    </w:rPr>
                                  </w:pPr>
                                  <w:r>
                                    <w:rPr>
                                      <w:color w:val="0A0A0A"/>
                                      <w:sz w:val="22"/>
                                    </w:rPr>
                                    <w:t>a</w:t>
                                  </w:r>
                                  <w:r>
                                    <w:rPr>
                                      <w:color w:val="363636"/>
                                      <w:sz w:val="22"/>
                                    </w:rPr>
                                    <w:t>,</w:t>
                                  </w:r>
                                  <w:r>
                                    <w:rPr>
                                      <w:color w:val="0A0A0A"/>
                                      <w:sz w:val="22"/>
                                    </w:rPr>
                                    <w:t>820</w:t>
                                  </w:r>
                                  <w:r>
                                    <w:rPr>
                                      <w:color w:val="0A0A0A"/>
                                      <w:spacing w:val="3"/>
                                      <w:sz w:val="22"/>
                                    </w:rPr>
                                    <w:t> </w:t>
                                  </w:r>
                                  <w:r>
                                    <w:rPr>
                                      <w:color w:val="C1C1C1"/>
                                      <w:spacing w:val="-10"/>
                                      <w:sz w:val="38"/>
                                    </w:rPr>
                                    <w:t>I</w:t>
                                  </w:r>
                                </w:p>
                              </w:tc>
                              <w:tc>
                                <w:tcPr>
                                  <w:tcW w:w="1248" w:type="dxa"/>
                                  <w:tcBorders>
                                    <w:left w:val="nil"/>
                                    <w:right w:val="nil"/>
                                  </w:tcBorders>
                                </w:tcPr>
                                <w:p>
                                  <w:pPr>
                                    <w:pStyle w:val="TableParagraph"/>
                                    <w:spacing w:before="42"/>
                                    <w:ind w:left="356"/>
                                    <w:rPr>
                                      <w:rFonts w:ascii="Times New Roman"/>
                                      <w:sz w:val="23"/>
                                    </w:rPr>
                                  </w:pPr>
                                  <w:r>
                                    <w:rPr>
                                      <w:rFonts w:ascii="Times New Roman"/>
                                      <w:color w:val="0A0A0A"/>
                                      <w:sz w:val="23"/>
                                    </w:rPr>
                                    <w:t>6,820</w:t>
                                  </w:r>
                                  <w:r>
                                    <w:rPr>
                                      <w:rFonts w:ascii="Times New Roman"/>
                                      <w:color w:val="0A0A0A"/>
                                      <w:spacing w:val="76"/>
                                      <w:sz w:val="23"/>
                                    </w:rPr>
                                    <w:t> </w:t>
                                  </w:r>
                                  <w:r>
                                    <w:rPr>
                                      <w:rFonts w:ascii="Times New Roman"/>
                                      <w:color w:val="C1C1C1"/>
                                      <w:spacing w:val="-10"/>
                                      <w:w w:val="85"/>
                                      <w:sz w:val="23"/>
                                    </w:rPr>
                                    <w:t>I</w:t>
                                  </w:r>
                                </w:p>
                              </w:tc>
                              <w:tc>
                                <w:tcPr>
                                  <w:tcW w:w="564" w:type="dxa"/>
                                  <w:tcBorders>
                                    <w:left w:val="nil"/>
                                  </w:tcBorders>
                                </w:tcPr>
                                <w:p>
                                  <w:pPr>
                                    <w:pStyle w:val="TableParagraph"/>
                                    <w:spacing w:before="45"/>
                                    <w:ind w:right="85"/>
                                    <w:jc w:val="right"/>
                                    <w:rPr>
                                      <w:sz w:val="22"/>
                                    </w:rPr>
                                  </w:pPr>
                                  <w:r>
                                    <w:rPr>
                                      <w:color w:val="0A0A0A"/>
                                      <w:spacing w:val="-10"/>
                                      <w:sz w:val="22"/>
                                    </w:rPr>
                                    <w:t>7</w:t>
                                  </w:r>
                                </w:p>
                              </w:tc>
                            </w:tr>
                            <w:tr>
                              <w:trPr>
                                <w:trHeight w:val="326" w:hRule="atLeast"/>
                              </w:trPr>
                              <w:tc>
                                <w:tcPr>
                                  <w:tcW w:w="1433" w:type="dxa"/>
                                  <w:tcBorders>
                                    <w:left w:val="nil"/>
                                    <w:right w:val="single" w:color="000000" w:sz="8" w:space="0"/>
                                  </w:tcBorders>
                                </w:tcPr>
                                <w:p>
                                  <w:pPr>
                                    <w:pStyle w:val="TableParagraph"/>
                                    <w:rPr>
                                      <w:rFonts w:ascii="Times New Roman"/>
                                      <w:sz w:val="22"/>
                                    </w:rPr>
                                  </w:pPr>
                                </w:p>
                              </w:tc>
                              <w:tc>
                                <w:tcPr>
                                  <w:tcW w:w="1857" w:type="dxa"/>
                                  <w:gridSpan w:val="2"/>
                                  <w:tcBorders>
                                    <w:left w:val="single" w:color="000000" w:sz="8" w:space="0"/>
                                    <w:right w:val="nil"/>
                                  </w:tcBorders>
                                </w:tcPr>
                                <w:p>
                                  <w:pPr>
                                    <w:pStyle w:val="TableParagraph"/>
                                    <w:ind w:left="795"/>
                                    <w:rPr>
                                      <w:sz w:val="20"/>
                                    </w:rPr>
                                  </w:pPr>
                                  <w:r>
                                    <w:rPr>
                                      <w:sz w:val="20"/>
                                    </w:rPr>
                                    <w:drawing>
                                      <wp:inline distT="0" distB="0" distL="0" distR="0">
                                        <wp:extent cx="530374" cy="180117"/>
                                        <wp:effectExtent l="0" t="0" r="0" b="0"/>
                                        <wp:docPr id="537" name="Image 537"/>
                                        <wp:cNvGraphicFramePr>
                                          <a:graphicFrameLocks/>
                                        </wp:cNvGraphicFramePr>
                                        <a:graphic>
                                          <a:graphicData uri="http://schemas.openxmlformats.org/drawingml/2006/picture">
                                            <pic:pic>
                                              <pic:nvPicPr>
                                                <pic:cNvPr id="537" name="Image 537"/>
                                                <pic:cNvPicPr/>
                                              </pic:nvPicPr>
                                              <pic:blipFill>
                                                <a:blip r:embed="rId201" cstate="print"/>
                                                <a:stretch>
                                                  <a:fillRect/>
                                                </a:stretch>
                                              </pic:blipFill>
                                              <pic:spPr>
                                                <a:xfrm>
                                                  <a:off x="0" y="0"/>
                                                  <a:ext cx="530374" cy="180117"/>
                                                </a:xfrm>
                                                <a:prstGeom prst="rect">
                                                  <a:avLst/>
                                                </a:prstGeom>
                                              </pic:spPr>
                                            </pic:pic>
                                          </a:graphicData>
                                        </a:graphic>
                                      </wp:inline>
                                    </w:drawing>
                                  </w:r>
                                  <w:r>
                                    <w:rPr>
                                      <w:sz w:val="20"/>
                                    </w:rPr>
                                  </w:r>
                                </w:p>
                              </w:tc>
                              <w:tc>
                                <w:tcPr>
                                  <w:tcW w:w="1248" w:type="dxa"/>
                                  <w:tcBorders>
                                    <w:left w:val="nil"/>
                                    <w:right w:val="nil"/>
                                  </w:tcBorders>
                                </w:tcPr>
                                <w:p>
                                  <w:pPr>
                                    <w:pStyle w:val="TableParagraph"/>
                                    <w:spacing w:before="31"/>
                                    <w:ind w:left="234"/>
                                    <w:rPr>
                                      <w:rFonts w:ascii="Times New Roman"/>
                                      <w:sz w:val="16"/>
                                    </w:rPr>
                                  </w:pPr>
                                  <w:r>
                                    <w:rPr>
                                      <w:b/>
                                      <w:color w:val="0A0A0A"/>
                                      <w:spacing w:val="2"/>
                                      <w:w w:val="95"/>
                                      <w:sz w:val="21"/>
                                    </w:rPr>
                                    <w:t>15,435</w:t>
                                  </w:r>
                                  <w:r>
                                    <w:rPr>
                                      <w:b/>
                                      <w:color w:val="0A0A0A"/>
                                      <w:spacing w:val="33"/>
                                      <w:sz w:val="21"/>
                                    </w:rPr>
                                    <w:t> </w:t>
                                  </w:r>
                                  <w:r>
                                    <w:rPr>
                                      <w:rFonts w:ascii="Times New Roman"/>
                                      <w:color w:val="C1C1C1"/>
                                      <w:spacing w:val="-10"/>
                                      <w:w w:val="65"/>
                                      <w:sz w:val="16"/>
                                    </w:rPr>
                                    <w:t>I</w:t>
                                  </w:r>
                                </w:p>
                              </w:tc>
                              <w:tc>
                                <w:tcPr>
                                  <w:tcW w:w="564" w:type="dxa"/>
                                  <w:tcBorders>
                                    <w:left w:val="nil"/>
                                  </w:tcBorders>
                                </w:tcPr>
                                <w:p>
                                  <w:pPr>
                                    <w:pStyle w:val="TableParagraph"/>
                                    <w:spacing w:before="50"/>
                                    <w:ind w:right="87"/>
                                    <w:jc w:val="right"/>
                                    <w:rPr>
                                      <w:b/>
                                      <w:sz w:val="21"/>
                                    </w:rPr>
                                  </w:pPr>
                                  <w:r>
                                    <w:rPr>
                                      <w:b/>
                                      <w:color w:val="0A0A0A"/>
                                      <w:spacing w:val="-5"/>
                                      <w:w w:val="105"/>
                                      <w:sz w:val="21"/>
                                    </w:rPr>
                                    <w:t>15</w:t>
                                  </w:r>
                                </w:p>
                              </w:tc>
                            </w:tr>
                          </w:tbl>
                          <w:p>
                            <w:pPr>
                              <w:pStyle w:val="BodyText"/>
                            </w:pPr>
                          </w:p>
                        </w:txbxContent>
                      </wps:txbx>
                      <wps:bodyPr wrap="square" lIns="0" tIns="0" rIns="0" bIns="0" rtlCol="0">
                        <a:noAutofit/>
                      </wps:bodyPr>
                    </wps:wsp>
                  </a:graphicData>
                </a:graphic>
              </wp:anchor>
            </w:drawing>
          </ve:Choice>
          <ve:Fallback>
            <w:pict>
              <v:shape id="docshape357" style="position:absolute;margin-left:307.219574pt;margin-top:-3.477149pt;width:261.8pt;height:52.2pt;mso-position-horizontal-relative:page;mso-position-vertical-relative:paragraph;z-index:15842816" filled="false" stroked="false" type="#_x0000_t202">
                <v:textbox inset="0,0,0,0">
                  <w:txbxContent>
                    <w:tbl>
                      <w:tblPr>
                        <w:tblW w:w="0" w:type="auto"/>
                        <w:jc w:val="left"/>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Look w:val="01E0"/>
                      </w:tblPr>
                      <w:tblGrid>
                        <w:gridCol w:w="1433"/>
                        <w:gridCol w:w="486"/>
                        <w:gridCol w:w="1371"/>
                        <w:gridCol w:w="1248"/>
                        <w:gridCol w:w="564"/>
                      </w:tblGrid>
                      <w:tr>
                        <w:trPr>
                          <w:trHeight w:val="343" w:hRule="atLeast"/>
                        </w:trPr>
                        <w:tc>
                          <w:tcPr>
                            <w:tcW w:w="1919" w:type="dxa"/>
                            <w:gridSpan w:val="2"/>
                            <w:tcBorders>
                              <w:top w:val="nil"/>
                              <w:left w:val="nil"/>
                              <w:right w:val="nil"/>
                            </w:tcBorders>
                          </w:tcPr>
                          <w:p>
                            <w:pPr>
                              <w:pStyle w:val="TableParagraph"/>
                              <w:spacing w:line="323" w:lineRule="exact"/>
                              <w:ind w:left="1258"/>
                              <w:rPr>
                                <w:sz w:val="43"/>
                              </w:rPr>
                            </w:pPr>
                            <w:r>
                              <w:rPr>
                                <w:color w:val="282828"/>
                                <w:spacing w:val="62"/>
                                <w:w w:val="55"/>
                                <w:sz w:val="43"/>
                              </w:rPr>
                              <w:t>-</w:t>
                            </w:r>
                            <w:r>
                              <w:rPr>
                                <w:color w:val="C1C1C1"/>
                                <w:spacing w:val="-10"/>
                                <w:w w:val="75"/>
                                <w:sz w:val="43"/>
                              </w:rPr>
                              <w:t>I</w:t>
                            </w:r>
                          </w:p>
                        </w:tc>
                        <w:tc>
                          <w:tcPr>
                            <w:tcW w:w="1371" w:type="dxa"/>
                            <w:tcBorders>
                              <w:top w:val="nil"/>
                              <w:left w:val="nil"/>
                              <w:right w:val="nil"/>
                            </w:tcBorders>
                          </w:tcPr>
                          <w:p>
                            <w:pPr>
                              <w:pStyle w:val="TableParagraph"/>
                              <w:spacing w:before="62"/>
                              <w:ind w:left="454"/>
                              <w:rPr>
                                <w:sz w:val="22"/>
                              </w:rPr>
                            </w:pPr>
                            <w:r>
                              <w:rPr>
                                <w:color w:val="0A0A0A"/>
                                <w:spacing w:val="-2"/>
                                <w:sz w:val="22"/>
                              </w:rPr>
                              <w:t>8,615</w:t>
                            </w:r>
                          </w:p>
                        </w:tc>
                        <w:tc>
                          <w:tcPr>
                            <w:tcW w:w="1248" w:type="dxa"/>
                            <w:tcBorders>
                              <w:top w:val="nil"/>
                              <w:left w:val="nil"/>
                              <w:right w:val="nil"/>
                            </w:tcBorders>
                          </w:tcPr>
                          <w:p>
                            <w:pPr>
                              <w:pStyle w:val="TableParagraph"/>
                              <w:spacing w:before="44"/>
                              <w:ind w:left="357"/>
                              <w:rPr>
                                <w:rFonts w:ascii="Times New Roman"/>
                                <w:sz w:val="23"/>
                              </w:rPr>
                            </w:pPr>
                            <w:r>
                              <w:rPr>
                                <w:rFonts w:ascii="Times New Roman"/>
                                <w:color w:val="0A0A0A"/>
                                <w:spacing w:val="-4"/>
                                <w:w w:val="110"/>
                                <w:sz w:val="23"/>
                              </w:rPr>
                              <w:t>8,615</w:t>
                            </w:r>
                          </w:p>
                        </w:tc>
                        <w:tc>
                          <w:tcPr>
                            <w:tcW w:w="564" w:type="dxa"/>
                            <w:tcBorders>
                              <w:top w:val="nil"/>
                              <w:left w:val="nil"/>
                            </w:tcBorders>
                          </w:tcPr>
                          <w:p>
                            <w:pPr>
                              <w:pStyle w:val="TableParagraph"/>
                              <w:spacing w:before="58"/>
                              <w:ind w:right="80"/>
                              <w:jc w:val="right"/>
                              <w:rPr>
                                <w:sz w:val="22"/>
                              </w:rPr>
                            </w:pPr>
                            <w:r>
                              <w:rPr>
                                <w:color w:val="0A0A0A"/>
                                <w:spacing w:val="-10"/>
                                <w:w w:val="105"/>
                                <w:sz w:val="22"/>
                              </w:rPr>
                              <w:t>8</w:t>
                            </w:r>
                          </w:p>
                        </w:tc>
                      </w:tr>
                      <w:tr>
                        <w:trPr>
                          <w:trHeight w:val="330" w:hRule="atLeast"/>
                        </w:trPr>
                        <w:tc>
                          <w:tcPr>
                            <w:tcW w:w="1433" w:type="dxa"/>
                            <w:tcBorders>
                              <w:left w:val="nil"/>
                              <w:right w:val="single" w:color="000000" w:sz="8" w:space="0"/>
                            </w:tcBorders>
                          </w:tcPr>
                          <w:p>
                            <w:pPr>
                              <w:pStyle w:val="TableParagraph"/>
                              <w:rPr>
                                <w:rFonts w:ascii="Times New Roman"/>
                                <w:sz w:val="22"/>
                              </w:rPr>
                            </w:pPr>
                          </w:p>
                        </w:tc>
                        <w:tc>
                          <w:tcPr>
                            <w:tcW w:w="1857" w:type="dxa"/>
                            <w:gridSpan w:val="2"/>
                            <w:tcBorders>
                              <w:left w:val="single" w:color="000000" w:sz="8" w:space="0"/>
                              <w:right w:val="nil"/>
                            </w:tcBorders>
                          </w:tcPr>
                          <w:p>
                            <w:pPr>
                              <w:pStyle w:val="TableParagraph"/>
                              <w:spacing w:line="311" w:lineRule="exact"/>
                              <w:ind w:left="926"/>
                              <w:rPr>
                                <w:sz w:val="38"/>
                              </w:rPr>
                            </w:pPr>
                            <w:r>
                              <w:rPr>
                                <w:color w:val="0A0A0A"/>
                                <w:sz w:val="22"/>
                              </w:rPr>
                              <w:t>a</w:t>
                            </w:r>
                            <w:r>
                              <w:rPr>
                                <w:color w:val="363636"/>
                                <w:sz w:val="22"/>
                              </w:rPr>
                              <w:t>,</w:t>
                            </w:r>
                            <w:r>
                              <w:rPr>
                                <w:color w:val="0A0A0A"/>
                                <w:sz w:val="22"/>
                              </w:rPr>
                              <w:t>820</w:t>
                            </w:r>
                            <w:r>
                              <w:rPr>
                                <w:color w:val="0A0A0A"/>
                                <w:spacing w:val="3"/>
                                <w:sz w:val="22"/>
                              </w:rPr>
                              <w:t> </w:t>
                            </w:r>
                            <w:r>
                              <w:rPr>
                                <w:color w:val="C1C1C1"/>
                                <w:spacing w:val="-10"/>
                                <w:sz w:val="38"/>
                              </w:rPr>
                              <w:t>I</w:t>
                            </w:r>
                          </w:p>
                        </w:tc>
                        <w:tc>
                          <w:tcPr>
                            <w:tcW w:w="1248" w:type="dxa"/>
                            <w:tcBorders>
                              <w:left w:val="nil"/>
                              <w:right w:val="nil"/>
                            </w:tcBorders>
                          </w:tcPr>
                          <w:p>
                            <w:pPr>
                              <w:pStyle w:val="TableParagraph"/>
                              <w:spacing w:before="42"/>
                              <w:ind w:left="356"/>
                              <w:rPr>
                                <w:rFonts w:ascii="Times New Roman"/>
                                <w:sz w:val="23"/>
                              </w:rPr>
                            </w:pPr>
                            <w:r>
                              <w:rPr>
                                <w:rFonts w:ascii="Times New Roman"/>
                                <w:color w:val="0A0A0A"/>
                                <w:sz w:val="23"/>
                              </w:rPr>
                              <w:t>6,820</w:t>
                            </w:r>
                            <w:r>
                              <w:rPr>
                                <w:rFonts w:ascii="Times New Roman"/>
                                <w:color w:val="0A0A0A"/>
                                <w:spacing w:val="76"/>
                                <w:sz w:val="23"/>
                              </w:rPr>
                              <w:t> </w:t>
                            </w:r>
                            <w:r>
                              <w:rPr>
                                <w:rFonts w:ascii="Times New Roman"/>
                                <w:color w:val="C1C1C1"/>
                                <w:spacing w:val="-10"/>
                                <w:w w:val="85"/>
                                <w:sz w:val="23"/>
                              </w:rPr>
                              <w:t>I</w:t>
                            </w:r>
                          </w:p>
                        </w:tc>
                        <w:tc>
                          <w:tcPr>
                            <w:tcW w:w="564" w:type="dxa"/>
                            <w:tcBorders>
                              <w:left w:val="nil"/>
                            </w:tcBorders>
                          </w:tcPr>
                          <w:p>
                            <w:pPr>
                              <w:pStyle w:val="TableParagraph"/>
                              <w:spacing w:before="45"/>
                              <w:ind w:right="85"/>
                              <w:jc w:val="right"/>
                              <w:rPr>
                                <w:sz w:val="22"/>
                              </w:rPr>
                            </w:pPr>
                            <w:r>
                              <w:rPr>
                                <w:color w:val="0A0A0A"/>
                                <w:spacing w:val="-10"/>
                                <w:sz w:val="22"/>
                              </w:rPr>
                              <w:t>7</w:t>
                            </w:r>
                          </w:p>
                        </w:tc>
                      </w:tr>
                      <w:tr>
                        <w:trPr>
                          <w:trHeight w:val="326" w:hRule="atLeast"/>
                        </w:trPr>
                        <w:tc>
                          <w:tcPr>
                            <w:tcW w:w="1433" w:type="dxa"/>
                            <w:tcBorders>
                              <w:left w:val="nil"/>
                              <w:right w:val="single" w:color="000000" w:sz="8" w:space="0"/>
                            </w:tcBorders>
                          </w:tcPr>
                          <w:p>
                            <w:pPr>
                              <w:pStyle w:val="TableParagraph"/>
                              <w:rPr>
                                <w:rFonts w:ascii="Times New Roman"/>
                                <w:sz w:val="22"/>
                              </w:rPr>
                            </w:pPr>
                          </w:p>
                        </w:tc>
                        <w:tc>
                          <w:tcPr>
                            <w:tcW w:w="1857" w:type="dxa"/>
                            <w:gridSpan w:val="2"/>
                            <w:tcBorders>
                              <w:left w:val="single" w:color="000000" w:sz="8" w:space="0"/>
                              <w:right w:val="nil"/>
                            </w:tcBorders>
                          </w:tcPr>
                          <w:p>
                            <w:pPr>
                              <w:pStyle w:val="TableParagraph"/>
                              <w:ind w:left="795"/>
                              <w:rPr>
                                <w:sz w:val="20"/>
                              </w:rPr>
                            </w:pPr>
                            <w:r>
                              <w:rPr>
                                <w:sz w:val="20"/>
                              </w:rPr>
                              <w:drawing>
                                <wp:inline distT="0" distB="0" distL="0" distR="0">
                                  <wp:extent cx="530374" cy="180117"/>
                                  <wp:effectExtent l="0" t="0" r="0" b="0"/>
                                  <wp:docPr id="538" name="Image 538"/>
                                  <wp:cNvGraphicFramePr>
                                    <a:graphicFrameLocks/>
                                  </wp:cNvGraphicFramePr>
                                  <a:graphic>
                                    <a:graphicData uri="http://schemas.openxmlformats.org/drawingml/2006/picture">
                                      <pic:pic>
                                        <pic:nvPicPr>
                                          <pic:cNvPr id="538" name="Image 538"/>
                                          <pic:cNvPicPr/>
                                        </pic:nvPicPr>
                                        <pic:blipFill>
                                          <a:blip r:embed="rId201" cstate="print"/>
                                          <a:stretch>
                                            <a:fillRect/>
                                          </a:stretch>
                                        </pic:blipFill>
                                        <pic:spPr>
                                          <a:xfrm>
                                            <a:off x="0" y="0"/>
                                            <a:ext cx="530374" cy="180117"/>
                                          </a:xfrm>
                                          <a:prstGeom prst="rect">
                                            <a:avLst/>
                                          </a:prstGeom>
                                        </pic:spPr>
                                      </pic:pic>
                                    </a:graphicData>
                                  </a:graphic>
                                </wp:inline>
                              </w:drawing>
                            </w:r>
                            <w:r>
                              <w:rPr>
                                <w:sz w:val="20"/>
                              </w:rPr>
                            </w:r>
                          </w:p>
                        </w:tc>
                        <w:tc>
                          <w:tcPr>
                            <w:tcW w:w="1248" w:type="dxa"/>
                            <w:tcBorders>
                              <w:left w:val="nil"/>
                              <w:right w:val="nil"/>
                            </w:tcBorders>
                          </w:tcPr>
                          <w:p>
                            <w:pPr>
                              <w:pStyle w:val="TableParagraph"/>
                              <w:spacing w:before="31"/>
                              <w:ind w:left="234"/>
                              <w:rPr>
                                <w:rFonts w:ascii="Times New Roman"/>
                                <w:sz w:val="16"/>
                              </w:rPr>
                            </w:pPr>
                            <w:r>
                              <w:rPr>
                                <w:b/>
                                <w:color w:val="0A0A0A"/>
                                <w:spacing w:val="2"/>
                                <w:w w:val="95"/>
                                <w:sz w:val="21"/>
                              </w:rPr>
                              <w:t>15,435</w:t>
                            </w:r>
                            <w:r>
                              <w:rPr>
                                <w:b/>
                                <w:color w:val="0A0A0A"/>
                                <w:spacing w:val="33"/>
                                <w:sz w:val="21"/>
                              </w:rPr>
                              <w:t> </w:t>
                            </w:r>
                            <w:r>
                              <w:rPr>
                                <w:rFonts w:ascii="Times New Roman"/>
                                <w:color w:val="C1C1C1"/>
                                <w:spacing w:val="-10"/>
                                <w:w w:val="65"/>
                                <w:sz w:val="16"/>
                              </w:rPr>
                              <w:t>I</w:t>
                            </w:r>
                          </w:p>
                        </w:tc>
                        <w:tc>
                          <w:tcPr>
                            <w:tcW w:w="564" w:type="dxa"/>
                            <w:tcBorders>
                              <w:left w:val="nil"/>
                            </w:tcBorders>
                          </w:tcPr>
                          <w:p>
                            <w:pPr>
                              <w:pStyle w:val="TableParagraph"/>
                              <w:spacing w:before="50"/>
                              <w:ind w:right="87"/>
                              <w:jc w:val="right"/>
                              <w:rPr>
                                <w:b/>
                                <w:sz w:val="21"/>
                              </w:rPr>
                            </w:pPr>
                            <w:r>
                              <w:rPr>
                                <w:b/>
                                <w:color w:val="0A0A0A"/>
                                <w:spacing w:val="-5"/>
                                <w:w w:val="105"/>
                                <w:sz w:val="21"/>
                              </w:rPr>
                              <w:t>15</w:t>
                            </w:r>
                          </w:p>
                        </w:tc>
                      </w:tr>
                    </w:tbl>
                    <w:p>
                      <w:pPr>
                        <w:pStyle w:val="BodyText"/>
                      </w:pPr>
                    </w:p>
                  </w:txbxContent>
                </v:textbox>
                <w10:wrap type="none"/>
              </v:shape>
            </w:pict>
          </ve:Fallback>
        </ve:AlternateContent>
      </w:r>
      <w:r>
        <w:rPr/>
        <ve:AlternateContent>
          <ve:Choice Requires="wps">
            <w:drawing>
              <wp:anchor distT="0" distB="0" distL="0" distR="0" simplePos="0" relativeHeight="15843840" behindDoc="0" locked="0" layoutInCell="1" allowOverlap="1">
                <wp:simplePos x="0" y="0"/>
                <wp:positionH relativeFrom="page">
                  <wp:posOffset>919129</wp:posOffset>
                </wp:positionH>
                <wp:positionV relativeFrom="paragraph">
                  <wp:posOffset>-1380869</wp:posOffset>
                </wp:positionV>
                <wp:extent cx="6411595" cy="4378959"/>
                <wp:effectExtent l="0" t="0" r="0" b="0"/>
                <wp:wrapNone/>
                <wp:docPr id="539" name="Textbox 539"/>
                <wp:cNvGraphicFramePr>
                  <a:graphicFrameLocks/>
                </wp:cNvGraphicFramePr>
                <a:graphic>
                  <a:graphicData uri="http://schemas.microsoft.com/office/word/2010/wordprocessingShape">
                    <wps:wsp>
                      <wps:cNvPr id="539" name="Textbox 539"/>
                      <wps:cNvSpPr txBox="1"/>
                      <wps:spPr>
                        <a:xfrm>
                          <a:off x="0" y="0"/>
                          <a:ext cx="6411595" cy="4378959"/>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690"/>
                              <w:gridCol w:w="307"/>
                              <w:gridCol w:w="1139"/>
                              <w:gridCol w:w="392"/>
                              <w:gridCol w:w="1206"/>
                              <w:gridCol w:w="1315"/>
                              <w:gridCol w:w="926"/>
                            </w:tblGrid>
                            <w:tr>
                              <w:trPr>
                                <w:trHeight w:val="455" w:hRule="atLeast"/>
                              </w:trPr>
                              <w:tc>
                                <w:tcPr>
                                  <w:tcW w:w="4690" w:type="dxa"/>
                                </w:tcPr>
                                <w:p>
                                  <w:pPr>
                                    <w:pStyle w:val="TableParagraph"/>
                                    <w:spacing w:before="137"/>
                                    <w:ind w:left="121"/>
                                    <w:rPr>
                                      <w:sz w:val="22"/>
                                    </w:rPr>
                                  </w:pPr>
                                  <w:r>
                                    <w:rPr>
                                      <w:color w:val="0A0A0A"/>
                                      <w:spacing w:val="-2"/>
                                      <w:sz w:val="22"/>
                                    </w:rPr>
                                    <w:t>Other</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sz w:val="9"/>
                                    </w:rPr>
                                  </w:pPr>
                                </w:p>
                                <w:p>
                                  <w:pPr>
                                    <w:pStyle w:val="TableParagraph"/>
                                    <w:rPr>
                                      <w:sz w:val="9"/>
                                    </w:rPr>
                                  </w:pPr>
                                </w:p>
                                <w:p>
                                  <w:pPr>
                                    <w:pStyle w:val="TableParagraph"/>
                                    <w:spacing w:before="2"/>
                                    <w:rPr>
                                      <w:sz w:val="9"/>
                                    </w:rPr>
                                  </w:pPr>
                                </w:p>
                                <w:p>
                                  <w:pPr>
                                    <w:pStyle w:val="TableParagraph"/>
                                    <w:ind w:left="13"/>
                                    <w:rPr>
                                      <w:rFonts w:ascii="Times New Roman"/>
                                      <w:sz w:val="9"/>
                                    </w:rPr>
                                  </w:pPr>
                                  <w:r>
                                    <w:rPr>
                                      <w:rFonts w:ascii="Times New Roman"/>
                                      <w:color w:val="C1C1C1"/>
                                      <w:spacing w:val="-10"/>
                                      <w:sz w:val="9"/>
                                    </w:rPr>
                                    <w:t>I</w:t>
                                  </w:r>
                                </w:p>
                              </w:tc>
                              <w:tc>
                                <w:tcPr>
                                  <w:tcW w:w="1206" w:type="dxa"/>
                                </w:tcPr>
                                <w:p>
                                  <w:pPr>
                                    <w:pStyle w:val="TableParagraph"/>
                                    <w:spacing w:before="147"/>
                                    <w:ind w:right="104"/>
                                    <w:jc w:val="right"/>
                                    <w:rPr>
                                      <w:sz w:val="22"/>
                                    </w:rPr>
                                  </w:pPr>
                                  <w:r>
                                    <w:rPr>
                                      <w:color w:val="0A0A0A"/>
                                      <w:spacing w:val="-2"/>
                                      <w:sz w:val="22"/>
                                    </w:rPr>
                                    <w:t>2,985</w:t>
                                  </w:r>
                                </w:p>
                              </w:tc>
                              <w:tc>
                                <w:tcPr>
                                  <w:tcW w:w="1315" w:type="dxa"/>
                                </w:tcPr>
                                <w:p>
                                  <w:pPr>
                                    <w:pStyle w:val="TableParagraph"/>
                                    <w:tabs>
                                      <w:tab w:val="left" w:leader="none" w:pos="633"/>
                                    </w:tabs>
                                    <w:spacing w:line="436" w:lineRule="exact"/>
                                    <w:ind w:left="-43"/>
                                    <w:rPr>
                                      <w:rFonts w:ascii="Times New Roman"/>
                                      <w:sz w:val="23"/>
                                    </w:rPr>
                                  </w:pPr>
                                  <w:r>
                                    <w:rPr>
                                      <w:color w:val="C1C1C1"/>
                                      <w:spacing w:val="-10"/>
                                      <w:w w:val="105"/>
                                      <w:sz w:val="39"/>
                                    </w:rPr>
                                    <w:t>I</w:t>
                                  </w:r>
                                  <w:r>
                                    <w:rPr>
                                      <w:color w:val="C1C1C1"/>
                                      <w:sz w:val="39"/>
                                    </w:rPr>
                                    <w:tab/>
                                  </w:r>
                                  <w:r>
                                    <w:rPr>
                                      <w:rFonts w:ascii="Times New Roman"/>
                                      <w:color w:val="0A0A0A"/>
                                      <w:spacing w:val="-2"/>
                                      <w:w w:val="105"/>
                                      <w:position w:val="2"/>
                                      <w:sz w:val="23"/>
                                    </w:rPr>
                                    <w:t>2,985</w:t>
                                  </w:r>
                                </w:p>
                              </w:tc>
                              <w:tc>
                                <w:tcPr>
                                  <w:tcW w:w="926" w:type="dxa"/>
                                </w:tcPr>
                                <w:p>
                                  <w:pPr>
                                    <w:pStyle w:val="TableParagraph"/>
                                    <w:spacing w:before="124"/>
                                    <w:ind w:left="545"/>
                                    <w:rPr>
                                      <w:rFonts w:ascii="Times New Roman"/>
                                      <w:sz w:val="23"/>
                                    </w:rPr>
                                  </w:pPr>
                                  <w:r>
                                    <w:rPr>
                                      <w:rFonts w:ascii="Times New Roman"/>
                                      <w:color w:val="0A0A0A"/>
                                      <w:spacing w:val="-10"/>
                                      <w:w w:val="105"/>
                                      <w:sz w:val="23"/>
                                    </w:rPr>
                                    <w:t>3</w:t>
                                  </w:r>
                                </w:p>
                              </w:tc>
                            </w:tr>
                            <w:tr>
                              <w:trPr>
                                <w:trHeight w:val="311" w:hRule="atLeast"/>
                              </w:trPr>
                              <w:tc>
                                <w:tcPr>
                                  <w:tcW w:w="4690" w:type="dxa"/>
                                </w:tcPr>
                                <w:p>
                                  <w:pPr>
                                    <w:pStyle w:val="TableParagraph"/>
                                    <w:spacing w:before="23"/>
                                    <w:ind w:left="117"/>
                                    <w:rPr>
                                      <w:sz w:val="22"/>
                                    </w:rPr>
                                  </w:pPr>
                                  <w:r>
                                    <w:rPr>
                                      <w:color w:val="0A0A0A"/>
                                      <w:w w:val="110"/>
                                      <w:sz w:val="22"/>
                                    </w:rPr>
                                    <w:t>Sub-total</w:t>
                                  </w:r>
                                  <w:r>
                                    <w:rPr>
                                      <w:color w:val="0A0A0A"/>
                                      <w:spacing w:val="-15"/>
                                      <w:w w:val="110"/>
                                      <w:sz w:val="22"/>
                                    </w:rPr>
                                    <w:t> </w:t>
                                  </w:r>
                                  <w:r>
                                    <w:rPr>
                                      <w:color w:val="0A0A0A"/>
                                      <w:w w:val="110"/>
                                      <w:sz w:val="22"/>
                                    </w:rPr>
                                    <w:t>debt</w:t>
                                  </w:r>
                                  <w:r>
                                    <w:rPr>
                                      <w:color w:val="0A0A0A"/>
                                      <w:spacing w:val="-17"/>
                                      <w:w w:val="110"/>
                                      <w:sz w:val="22"/>
                                    </w:rPr>
                                    <w:t> </w:t>
                                  </w:r>
                                  <w:r>
                                    <w:rPr>
                                      <w:color w:val="0A0A0A"/>
                                      <w:spacing w:val="-2"/>
                                      <w:w w:val="110"/>
                                      <w:sz w:val="22"/>
                                    </w:rPr>
                                    <w:t>securities</w:t>
                                  </w:r>
                                </w:p>
                              </w:tc>
                              <w:tc>
                                <w:tcPr>
                                  <w:tcW w:w="307" w:type="dxa"/>
                                </w:tcPr>
                                <w:p>
                                  <w:pPr>
                                    <w:pStyle w:val="TableParagraph"/>
                                    <w:rPr>
                                      <w:rFonts w:ascii="Times New Roman"/>
                                      <w:sz w:val="22"/>
                                    </w:rPr>
                                  </w:pPr>
                                </w:p>
                              </w:tc>
                              <w:tc>
                                <w:tcPr>
                                  <w:tcW w:w="1139" w:type="dxa"/>
                                </w:tcPr>
                                <w:p>
                                  <w:pPr>
                                    <w:pStyle w:val="TableParagraph"/>
                                    <w:spacing w:before="14"/>
                                    <w:ind w:left="-20" w:right="90"/>
                                    <w:jc w:val="right"/>
                                    <w:rPr>
                                      <w:rFonts w:ascii="Times New Roman"/>
                                      <w:sz w:val="23"/>
                                    </w:rPr>
                                  </w:pPr>
                                  <w:r>
                                    <w:rPr>
                                      <w:rFonts w:ascii="Times New Roman"/>
                                      <w:color w:val="0A0A0A"/>
                                      <w:spacing w:val="-2"/>
                                      <w:w w:val="105"/>
                                      <w:sz w:val="23"/>
                                    </w:rPr>
                                    <w:t>7,496</w:t>
                                  </w:r>
                                </w:p>
                              </w:tc>
                              <w:tc>
                                <w:tcPr>
                                  <w:tcW w:w="392" w:type="dxa"/>
                                </w:tcPr>
                                <w:p>
                                  <w:pPr>
                                    <w:pStyle w:val="TableParagraph"/>
                                    <w:rPr>
                                      <w:rFonts w:ascii="Times New Roman"/>
                                      <w:sz w:val="22"/>
                                    </w:rPr>
                                  </w:pPr>
                                </w:p>
                              </w:tc>
                              <w:tc>
                                <w:tcPr>
                                  <w:tcW w:w="1206" w:type="dxa"/>
                                </w:tcPr>
                                <w:p>
                                  <w:pPr>
                                    <w:pStyle w:val="TableParagraph"/>
                                    <w:spacing w:before="10"/>
                                    <w:ind w:right="93"/>
                                    <w:jc w:val="right"/>
                                    <w:rPr>
                                      <w:rFonts w:ascii="Times New Roman"/>
                                      <w:sz w:val="23"/>
                                    </w:rPr>
                                  </w:pPr>
                                  <w:r>
                                    <w:rPr>
                                      <w:rFonts w:ascii="Times New Roman"/>
                                      <w:color w:val="0A0A0A"/>
                                      <w:spacing w:val="-2"/>
                                      <w:w w:val="105"/>
                                      <w:sz w:val="23"/>
                                    </w:rPr>
                                    <w:t>2,985</w:t>
                                  </w:r>
                                </w:p>
                              </w:tc>
                              <w:tc>
                                <w:tcPr>
                                  <w:tcW w:w="1315" w:type="dxa"/>
                                </w:tcPr>
                                <w:p>
                                  <w:pPr>
                                    <w:pStyle w:val="TableParagraph"/>
                                    <w:spacing w:before="10"/>
                                    <w:ind w:left="491"/>
                                    <w:rPr>
                                      <w:rFonts w:ascii="Times New Roman"/>
                                      <w:sz w:val="23"/>
                                    </w:rPr>
                                  </w:pPr>
                                  <w:r>
                                    <w:rPr>
                                      <w:rFonts w:ascii="Times New Roman"/>
                                      <w:color w:val="0A0A0A"/>
                                      <w:spacing w:val="-2"/>
                                      <w:w w:val="105"/>
                                      <w:sz w:val="23"/>
                                    </w:rPr>
                                    <w:t>10,481</w:t>
                                  </w:r>
                                </w:p>
                              </w:tc>
                              <w:tc>
                                <w:tcPr>
                                  <w:tcW w:w="926" w:type="dxa"/>
                                </w:tcPr>
                                <w:p>
                                  <w:pPr>
                                    <w:pStyle w:val="TableParagraph"/>
                                    <w:spacing w:before="10"/>
                                    <w:ind w:left="407"/>
                                    <w:rPr>
                                      <w:rFonts w:ascii="Times New Roman"/>
                                      <w:sz w:val="23"/>
                                    </w:rPr>
                                  </w:pPr>
                                  <w:r>
                                    <w:rPr>
                                      <w:rFonts w:ascii="Times New Roman"/>
                                      <w:color w:val="0A0A0A"/>
                                      <w:spacing w:val="-5"/>
                                      <w:w w:val="105"/>
                                      <w:sz w:val="23"/>
                                    </w:rPr>
                                    <w:t>10</w:t>
                                  </w:r>
                                </w:p>
                              </w:tc>
                            </w:tr>
                            <w:tr>
                              <w:trPr>
                                <w:trHeight w:val="686" w:hRule="atLeast"/>
                              </w:trPr>
                              <w:tc>
                                <w:tcPr>
                                  <w:tcW w:w="4690" w:type="dxa"/>
                                </w:tcPr>
                                <w:p>
                                  <w:pPr>
                                    <w:pStyle w:val="TableParagraph"/>
                                    <w:spacing w:before="141"/>
                                    <w:rPr>
                                      <w:sz w:val="22"/>
                                    </w:rPr>
                                  </w:pPr>
                                </w:p>
                                <w:p>
                                  <w:pPr>
                                    <w:pStyle w:val="TableParagraph"/>
                                    <w:ind w:left="110"/>
                                    <w:rPr>
                                      <w:sz w:val="22"/>
                                    </w:rPr>
                                  </w:pPr>
                                  <w:r>
                                    <w:rPr>
                                      <w:color w:val="0A0A0A"/>
                                      <w:w w:val="105"/>
                                      <w:sz w:val="22"/>
                                    </w:rPr>
                                    <w:t>Private</w:t>
                                  </w:r>
                                  <w:r>
                                    <w:rPr>
                                      <w:color w:val="0A0A0A"/>
                                      <w:spacing w:val="8"/>
                                      <w:w w:val="110"/>
                                      <w:sz w:val="22"/>
                                    </w:rPr>
                                    <w:t> </w:t>
                                  </w:r>
                                  <w:r>
                                    <w:rPr>
                                      <w:color w:val="0A0A0A"/>
                                      <w:spacing w:val="-2"/>
                                      <w:w w:val="110"/>
                                      <w:sz w:val="22"/>
                                    </w:rPr>
                                    <w:t>Equity</w:t>
                                  </w:r>
                                </w:p>
                              </w:tc>
                              <w:tc>
                                <w:tcPr>
                                  <w:tcW w:w="307" w:type="dxa"/>
                                  <w:tcBorders>
                                    <w:bottom w:val="single" w:color="000000" w:sz="6" w:space="0"/>
                                  </w:tcBorders>
                                </w:tcPr>
                                <w:p>
                                  <w:pPr>
                                    <w:pStyle w:val="TableParagraph"/>
                                    <w:rPr>
                                      <w:rFonts w:ascii="Times New Roman"/>
                                      <w:sz w:val="22"/>
                                    </w:rPr>
                                  </w:pPr>
                                </w:p>
                              </w:tc>
                              <w:tc>
                                <w:tcPr>
                                  <w:tcW w:w="1139" w:type="dxa"/>
                                  <w:tcBorders>
                                    <w:bottom w:val="single" w:color="000000" w:sz="6" w:space="0"/>
                                  </w:tcBorders>
                                </w:tcPr>
                                <w:p>
                                  <w:pPr>
                                    <w:pStyle w:val="TableParagraph"/>
                                    <w:spacing w:before="231" w:line="423" w:lineRule="exact"/>
                                    <w:ind w:left="-20" w:right="85"/>
                                    <w:jc w:val="right"/>
                                    <w:rPr>
                                      <w:sz w:val="46"/>
                                    </w:rPr>
                                  </w:pPr>
                                  <w:r>
                                    <w:rPr>
                                      <w:color w:val="0A0A0A"/>
                                      <w:spacing w:val="-10"/>
                                      <w:w w:val="60"/>
                                      <w:sz w:val="46"/>
                                    </w:rPr>
                                    <w:t>-</w:t>
                                  </w:r>
                                </w:p>
                              </w:tc>
                              <w:tc>
                                <w:tcPr>
                                  <w:tcW w:w="392" w:type="dxa"/>
                                  <w:tcBorders>
                                    <w:bottom w:val="single" w:color="000000" w:sz="6" w:space="0"/>
                                  </w:tcBorders>
                                </w:tcPr>
                                <w:p>
                                  <w:pPr>
                                    <w:pStyle w:val="TableParagraph"/>
                                    <w:spacing w:before="231" w:line="423" w:lineRule="exact"/>
                                    <w:ind w:left="-33"/>
                                    <w:rPr>
                                      <w:sz w:val="46"/>
                                    </w:rPr>
                                  </w:pPr>
                                  <w:r>
                                    <w:rPr>
                                      <w:color w:val="C1C1C1"/>
                                      <w:spacing w:val="-10"/>
                                      <w:w w:val="75"/>
                                      <w:sz w:val="46"/>
                                    </w:rPr>
                                    <w:t>I</w:t>
                                  </w:r>
                                </w:p>
                              </w:tc>
                              <w:tc>
                                <w:tcPr>
                                  <w:tcW w:w="1206" w:type="dxa"/>
                                  <w:tcBorders>
                                    <w:bottom w:val="single" w:color="000000" w:sz="6" w:space="0"/>
                                  </w:tcBorders>
                                </w:tcPr>
                                <w:p>
                                  <w:pPr>
                                    <w:pStyle w:val="TableParagraph"/>
                                    <w:spacing w:before="235" w:line="420" w:lineRule="exact"/>
                                    <w:ind w:right="-29"/>
                                    <w:jc w:val="right"/>
                                    <w:rPr>
                                      <w:sz w:val="40"/>
                                    </w:rPr>
                                  </w:pPr>
                                  <w:r>
                                    <w:rPr>
                                      <w:rFonts w:ascii="Times New Roman"/>
                                      <w:color w:val="4B4B4B"/>
                                      <w:spacing w:val="2"/>
                                      <w:sz w:val="23"/>
                                    </w:rPr>
                                    <w:t>9,sso</w:t>
                                  </w:r>
                                  <w:r>
                                    <w:rPr>
                                      <w:rFonts w:ascii="Times New Roman"/>
                                      <w:color w:val="4B4B4B"/>
                                      <w:spacing w:val="71"/>
                                      <w:sz w:val="23"/>
                                    </w:rPr>
                                    <w:t> </w:t>
                                  </w:r>
                                  <w:r>
                                    <w:rPr>
                                      <w:color w:val="646464"/>
                                      <w:spacing w:val="-10"/>
                                      <w:sz w:val="40"/>
                                    </w:rPr>
                                    <w:t>I</w:t>
                                  </w:r>
                                </w:p>
                              </w:tc>
                              <w:tc>
                                <w:tcPr>
                                  <w:tcW w:w="1315" w:type="dxa"/>
                                  <w:tcBorders>
                                    <w:bottom w:val="single" w:color="000000" w:sz="6" w:space="0"/>
                                  </w:tcBorders>
                                </w:tcPr>
                                <w:p>
                                  <w:pPr>
                                    <w:pStyle w:val="TableParagraph"/>
                                    <w:spacing w:before="125"/>
                                    <w:rPr>
                                      <w:sz w:val="23"/>
                                    </w:rPr>
                                  </w:pPr>
                                </w:p>
                                <w:p>
                                  <w:pPr>
                                    <w:pStyle w:val="TableParagraph"/>
                                    <w:spacing w:line="265" w:lineRule="exact"/>
                                    <w:ind w:right="23"/>
                                    <w:jc w:val="right"/>
                                    <w:rPr>
                                      <w:rFonts w:ascii="Times New Roman"/>
                                      <w:sz w:val="23"/>
                                    </w:rPr>
                                  </w:pPr>
                                  <w:r>
                                    <w:rPr>
                                      <w:rFonts w:ascii="Times New Roman"/>
                                      <w:color w:val="282828"/>
                                      <w:sz w:val="23"/>
                                    </w:rPr>
                                    <w:t>9,660</w:t>
                                  </w:r>
                                  <w:r>
                                    <w:rPr>
                                      <w:rFonts w:ascii="Times New Roman"/>
                                      <w:color w:val="282828"/>
                                      <w:spacing w:val="65"/>
                                      <w:sz w:val="23"/>
                                    </w:rPr>
                                    <w:t> </w:t>
                                  </w:r>
                                  <w:r>
                                    <w:rPr>
                                      <w:color w:val="363636"/>
                                      <w:spacing w:val="-7"/>
                                      <w:w w:val="90"/>
                                      <w:sz w:val="23"/>
                                      <w:vertAlign w:val="superscript"/>
                                    </w:rPr>
                                    <w:t>I</w:t>
                                  </w:r>
                                  <w:r>
                                    <w:rPr>
                                      <w:rFonts w:ascii="Times New Roman"/>
                                      <w:color w:val="4B4B4B"/>
                                      <w:spacing w:val="-7"/>
                                      <w:w w:val="90"/>
                                      <w:sz w:val="23"/>
                                      <w:vertAlign w:val="baseline"/>
                                    </w:rPr>
                                    <w:t>I</w:t>
                                  </w:r>
                                </w:p>
                              </w:tc>
                              <w:tc>
                                <w:tcPr>
                                  <w:tcW w:w="926" w:type="dxa"/>
                                  <w:tcBorders>
                                    <w:bottom w:val="single" w:color="000000" w:sz="6" w:space="0"/>
                                  </w:tcBorders>
                                </w:tcPr>
                                <w:p>
                                  <w:pPr>
                                    <w:pStyle w:val="TableParagraph"/>
                                    <w:spacing w:before="164"/>
                                    <w:rPr>
                                      <w:sz w:val="23"/>
                                    </w:rPr>
                                  </w:pPr>
                                </w:p>
                                <w:p>
                                  <w:pPr>
                                    <w:pStyle w:val="TableParagraph"/>
                                    <w:spacing w:line="226" w:lineRule="exact"/>
                                    <w:ind w:right="46"/>
                                    <w:jc w:val="right"/>
                                    <w:rPr>
                                      <w:rFonts w:ascii="Times New Roman"/>
                                      <w:sz w:val="23"/>
                                    </w:rPr>
                                  </w:pPr>
                                  <w:r>
                                    <w:rPr>
                                      <w:rFonts w:ascii="Times New Roman"/>
                                      <w:color w:val="0A0A0A"/>
                                      <w:spacing w:val="-5"/>
                                      <w:w w:val="145"/>
                                      <w:sz w:val="23"/>
                                      <w:u w:val="thick" w:color="C1C1C1"/>
                                    </w:rPr>
                                    <w:t>9</w:t>
                                  </w:r>
                                  <w:r>
                                    <w:rPr>
                                      <w:rFonts w:ascii="Times New Roman"/>
                                      <w:color w:val="C1C1C1"/>
                                      <w:spacing w:val="-5"/>
                                      <w:w w:val="145"/>
                                      <w:sz w:val="23"/>
                                      <w:u w:val="none"/>
                                    </w:rPr>
                                    <w:t>1</w:t>
                                  </w:r>
                                </w:p>
                              </w:tc>
                            </w:tr>
                            <w:tr>
                              <w:trPr>
                                <w:trHeight w:val="995" w:hRule="atLeast"/>
                              </w:trPr>
                              <w:tc>
                                <w:tcPr>
                                  <w:tcW w:w="4690" w:type="dxa"/>
                                </w:tcPr>
                                <w:p>
                                  <w:pPr>
                                    <w:pStyle w:val="TableParagraph"/>
                                    <w:spacing w:before="117"/>
                                    <w:rPr>
                                      <w:sz w:val="22"/>
                                    </w:rPr>
                                  </w:pPr>
                                </w:p>
                                <w:p>
                                  <w:pPr>
                                    <w:pStyle w:val="TableParagraph"/>
                                    <w:ind w:left="105"/>
                                    <w:rPr>
                                      <w:sz w:val="22"/>
                                    </w:rPr>
                                  </w:pPr>
                                  <w:r>
                                    <w:rPr>
                                      <w:color w:val="0A0A0A"/>
                                      <w:spacing w:val="-2"/>
                                      <w:w w:val="110"/>
                                      <w:sz w:val="22"/>
                                    </w:rPr>
                                    <w:t>Property:</w:t>
                                  </w:r>
                                </w:p>
                              </w:tc>
                              <w:tc>
                                <w:tcPr>
                                  <w:tcW w:w="307" w:type="dxa"/>
                                  <w:tcBorders>
                                    <w:top w:val="single" w:color="000000" w:sz="6" w:space="0"/>
                                  </w:tcBorders>
                                </w:tcPr>
                                <w:p>
                                  <w:pPr>
                                    <w:pStyle w:val="TableParagraph"/>
                                    <w:rPr>
                                      <w:rFonts w:ascii="Times New Roman"/>
                                      <w:sz w:val="22"/>
                                    </w:rPr>
                                  </w:pPr>
                                </w:p>
                              </w:tc>
                              <w:tc>
                                <w:tcPr>
                                  <w:tcW w:w="1139" w:type="dxa"/>
                                  <w:tcBorders>
                                    <w:top w:val="single" w:color="000000" w:sz="6" w:space="0"/>
                                  </w:tcBorders>
                                </w:tcPr>
                                <w:p>
                                  <w:pPr>
                                    <w:pStyle w:val="TableParagraph"/>
                                    <w:rPr>
                                      <w:rFonts w:ascii="Times New Roman"/>
                                      <w:sz w:val="22"/>
                                    </w:rPr>
                                  </w:pPr>
                                </w:p>
                              </w:tc>
                              <w:tc>
                                <w:tcPr>
                                  <w:tcW w:w="392" w:type="dxa"/>
                                  <w:tcBorders>
                                    <w:top w:val="single" w:color="000000" w:sz="6" w:space="0"/>
                                  </w:tcBorders>
                                </w:tcPr>
                                <w:p>
                                  <w:pPr>
                                    <w:pStyle w:val="TableParagraph"/>
                                    <w:rPr>
                                      <w:rFonts w:ascii="Times New Roman"/>
                                      <w:sz w:val="22"/>
                                    </w:rPr>
                                  </w:pPr>
                                </w:p>
                              </w:tc>
                              <w:tc>
                                <w:tcPr>
                                  <w:tcW w:w="1206" w:type="dxa"/>
                                  <w:tcBorders>
                                    <w:top w:val="single" w:color="000000" w:sz="6" w:space="0"/>
                                  </w:tcBorders>
                                </w:tcPr>
                                <w:p>
                                  <w:pPr>
                                    <w:pStyle w:val="TableParagraph"/>
                                    <w:rPr>
                                      <w:rFonts w:ascii="Times New Roman"/>
                                      <w:sz w:val="22"/>
                                    </w:rPr>
                                  </w:pPr>
                                </w:p>
                              </w:tc>
                              <w:tc>
                                <w:tcPr>
                                  <w:tcW w:w="1315" w:type="dxa"/>
                                  <w:tcBorders>
                                    <w:top w:val="single" w:color="000000" w:sz="6" w:space="0"/>
                                  </w:tcBorders>
                                </w:tcPr>
                                <w:p>
                                  <w:pPr>
                                    <w:pStyle w:val="TableParagraph"/>
                                    <w:rPr>
                                      <w:rFonts w:ascii="Times New Roman"/>
                                      <w:sz w:val="22"/>
                                    </w:rPr>
                                  </w:pPr>
                                </w:p>
                              </w:tc>
                              <w:tc>
                                <w:tcPr>
                                  <w:tcW w:w="926" w:type="dxa"/>
                                  <w:tcBorders>
                                    <w:top w:val="single" w:color="000000" w:sz="6" w:space="0"/>
                                  </w:tcBorders>
                                </w:tcPr>
                                <w:p>
                                  <w:pPr>
                                    <w:pStyle w:val="TableParagraph"/>
                                    <w:rPr>
                                      <w:rFonts w:ascii="Times New Roman"/>
                                      <w:sz w:val="22"/>
                                    </w:rPr>
                                  </w:pPr>
                                </w:p>
                              </w:tc>
                            </w:tr>
                            <w:tr>
                              <w:trPr>
                                <w:trHeight w:val="345" w:hRule="atLeast"/>
                              </w:trPr>
                              <w:tc>
                                <w:tcPr>
                                  <w:tcW w:w="4690" w:type="dxa"/>
                                </w:tcPr>
                                <w:p>
                                  <w:pPr>
                                    <w:pStyle w:val="TableParagraph"/>
                                    <w:spacing w:before="58"/>
                                    <w:ind w:left="97"/>
                                    <w:rPr>
                                      <w:sz w:val="22"/>
                                    </w:rPr>
                                  </w:pPr>
                                  <w:r>
                                    <w:rPr>
                                      <w:color w:val="0A0A0A"/>
                                      <w:sz w:val="22"/>
                                    </w:rPr>
                                    <w:t>Overseas</w:t>
                                  </w:r>
                                  <w:r>
                                    <w:rPr>
                                      <w:color w:val="0A0A0A"/>
                                      <w:spacing w:val="13"/>
                                      <w:sz w:val="22"/>
                                    </w:rPr>
                                    <w:t> </w:t>
                                  </w:r>
                                  <w:r>
                                    <w:rPr>
                                      <w:color w:val="0A0A0A"/>
                                      <w:spacing w:val="-2"/>
                                      <w:sz w:val="22"/>
                                    </w:rPr>
                                    <w:t>Property</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rPr>
                                      <w:rFonts w:ascii="Times New Roman"/>
                                      <w:sz w:val="22"/>
                                    </w:rPr>
                                  </w:pPr>
                                </w:p>
                              </w:tc>
                            </w:tr>
                            <w:tr>
                              <w:trPr>
                                <w:trHeight w:val="341" w:hRule="atLeast"/>
                              </w:trPr>
                              <w:tc>
                                <w:tcPr>
                                  <w:tcW w:w="4690" w:type="dxa"/>
                                </w:tcPr>
                                <w:p>
                                  <w:pPr>
                                    <w:pStyle w:val="TableParagraph"/>
                                    <w:spacing w:before="53"/>
                                    <w:ind w:left="93"/>
                                    <w:rPr>
                                      <w:sz w:val="22"/>
                                    </w:rPr>
                                  </w:pPr>
                                  <w:r>
                                    <w:rPr>
                                      <w:color w:val="0A0A0A"/>
                                      <w:w w:val="110"/>
                                      <w:sz w:val="22"/>
                                    </w:rPr>
                                    <w:t>Sub-total</w:t>
                                  </w:r>
                                  <w:r>
                                    <w:rPr>
                                      <w:color w:val="0A0A0A"/>
                                      <w:spacing w:val="-16"/>
                                      <w:w w:val="110"/>
                                      <w:sz w:val="22"/>
                                    </w:rPr>
                                    <w:t> </w:t>
                                  </w:r>
                                  <w:r>
                                    <w:rPr>
                                      <w:color w:val="0A0A0A"/>
                                      <w:spacing w:val="-2"/>
                                      <w:w w:val="110"/>
                                      <w:sz w:val="22"/>
                                    </w:rPr>
                                    <w:t>property</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rPr>
                                      <w:rFonts w:ascii="Times New Roman"/>
                                      <w:sz w:val="22"/>
                                    </w:rPr>
                                  </w:pPr>
                                </w:p>
                              </w:tc>
                            </w:tr>
                            <w:tr>
                              <w:trPr>
                                <w:trHeight w:val="706" w:hRule="atLeast"/>
                              </w:trPr>
                              <w:tc>
                                <w:tcPr>
                                  <w:tcW w:w="4690" w:type="dxa"/>
                                </w:tcPr>
                                <w:p>
                                  <w:pPr>
                                    <w:pStyle w:val="TableParagraph"/>
                                    <w:spacing w:before="141"/>
                                    <w:rPr>
                                      <w:sz w:val="22"/>
                                    </w:rPr>
                                  </w:pPr>
                                </w:p>
                                <w:p>
                                  <w:pPr>
                                    <w:pStyle w:val="TableParagraph"/>
                                    <w:ind w:left="77"/>
                                    <w:rPr>
                                      <w:sz w:val="22"/>
                                    </w:rPr>
                                  </w:pPr>
                                  <w:r>
                                    <w:rPr>
                                      <w:color w:val="0A0A0A"/>
                                      <w:w w:val="110"/>
                                      <w:sz w:val="22"/>
                                    </w:rPr>
                                    <w:t>Investment</w:t>
                                  </w:r>
                                  <w:r>
                                    <w:rPr>
                                      <w:color w:val="0A0A0A"/>
                                      <w:spacing w:val="-17"/>
                                      <w:w w:val="110"/>
                                      <w:sz w:val="22"/>
                                    </w:rPr>
                                    <w:t> </w:t>
                                  </w:r>
                                  <w:r>
                                    <w:rPr>
                                      <w:color w:val="0A0A0A"/>
                                      <w:w w:val="110"/>
                                      <w:sz w:val="22"/>
                                    </w:rPr>
                                    <w:t>Funds</w:t>
                                  </w:r>
                                  <w:r>
                                    <w:rPr>
                                      <w:color w:val="0A0A0A"/>
                                      <w:spacing w:val="-13"/>
                                      <w:w w:val="110"/>
                                      <w:sz w:val="22"/>
                                    </w:rPr>
                                    <w:t> </w:t>
                                  </w:r>
                                  <w:r>
                                    <w:rPr>
                                      <w:color w:val="0A0A0A"/>
                                      <w:w w:val="110"/>
                                      <w:sz w:val="22"/>
                                    </w:rPr>
                                    <w:t>and</w:t>
                                  </w:r>
                                  <w:r>
                                    <w:rPr>
                                      <w:color w:val="0A0A0A"/>
                                      <w:spacing w:val="-17"/>
                                      <w:w w:val="110"/>
                                      <w:sz w:val="22"/>
                                    </w:rPr>
                                    <w:t> </w:t>
                                  </w:r>
                                  <w:r>
                                    <w:rPr>
                                      <w:color w:val="0A0A0A"/>
                                      <w:w w:val="110"/>
                                      <w:sz w:val="22"/>
                                    </w:rPr>
                                    <w:t>Unit</w:t>
                                  </w:r>
                                  <w:r>
                                    <w:rPr>
                                      <w:color w:val="0A0A0A"/>
                                      <w:spacing w:val="-17"/>
                                      <w:w w:val="110"/>
                                      <w:sz w:val="22"/>
                                    </w:rPr>
                                    <w:t> </w:t>
                                  </w:r>
                                  <w:r>
                                    <w:rPr>
                                      <w:color w:val="0A0A0A"/>
                                      <w:spacing w:val="-2"/>
                                      <w:w w:val="110"/>
                                      <w:sz w:val="22"/>
                                    </w:rPr>
                                    <w:t>Trusts:</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rPr>
                                      <w:rFonts w:ascii="Times New Roman"/>
                                      <w:sz w:val="22"/>
                                    </w:rPr>
                                  </w:pPr>
                                </w:p>
                              </w:tc>
                            </w:tr>
                            <w:tr>
                              <w:trPr>
                                <w:trHeight w:val="294" w:hRule="atLeast"/>
                              </w:trPr>
                              <w:tc>
                                <w:tcPr>
                                  <w:tcW w:w="4690" w:type="dxa"/>
                                </w:tcPr>
                                <w:p>
                                  <w:pPr>
                                    <w:pStyle w:val="TableParagraph"/>
                                    <w:spacing w:before="24" w:line="251" w:lineRule="exact"/>
                                    <w:ind w:left="80"/>
                                    <w:rPr>
                                      <w:sz w:val="22"/>
                                    </w:rPr>
                                  </w:pPr>
                                  <w:r>
                                    <w:rPr>
                                      <w:color w:val="0A0A0A"/>
                                      <w:spacing w:val="-2"/>
                                      <w:sz w:val="22"/>
                                    </w:rPr>
                                    <w:t>Equities</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spacing w:before="30" w:line="245" w:lineRule="exact"/>
                                    <w:ind w:right="59"/>
                                    <w:jc w:val="right"/>
                                    <w:rPr>
                                      <w:rFonts w:ascii="Times New Roman"/>
                                      <w:sz w:val="23"/>
                                    </w:rPr>
                                  </w:pPr>
                                  <w:r>
                                    <w:rPr>
                                      <w:rFonts w:ascii="Times New Roman"/>
                                      <w:color w:val="C1C1C1"/>
                                      <w:spacing w:val="-10"/>
                                      <w:w w:val="135"/>
                                      <w:sz w:val="23"/>
                                    </w:rPr>
                                    <w:t>1</w:t>
                                  </w:r>
                                </w:p>
                              </w:tc>
                            </w:tr>
                            <w:tr>
                              <w:trPr>
                                <w:trHeight w:val="339" w:hRule="atLeast"/>
                              </w:trPr>
                              <w:tc>
                                <w:tcPr>
                                  <w:tcW w:w="4690" w:type="dxa"/>
                                </w:tcPr>
                                <w:p>
                                  <w:pPr>
                                    <w:pStyle w:val="TableParagraph"/>
                                    <w:spacing w:before="75" w:line="244" w:lineRule="exact"/>
                                    <w:ind w:left="77"/>
                                    <w:rPr>
                                      <w:sz w:val="22"/>
                                    </w:rPr>
                                  </w:pPr>
                                  <w:r>
                                    <w:rPr>
                                      <w:color w:val="0A0A0A"/>
                                      <w:spacing w:val="-2"/>
                                      <w:sz w:val="22"/>
                                    </w:rPr>
                                    <w:t>Bonds</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spacing w:before="47"/>
                                    <w:rPr>
                                      <w:sz w:val="8"/>
                                    </w:rPr>
                                  </w:pPr>
                                </w:p>
                                <w:p>
                                  <w:pPr>
                                    <w:pStyle w:val="TableParagraph"/>
                                    <w:spacing w:before="1"/>
                                    <w:ind w:right="193"/>
                                    <w:jc w:val="right"/>
                                    <w:rPr>
                                      <w:rFonts w:ascii="Times New Roman"/>
                                      <w:sz w:val="8"/>
                                    </w:rPr>
                                  </w:pPr>
                                  <w:r>
                                    <w:rPr>
                                      <w:rFonts w:ascii="Times New Roman"/>
                                      <w:color w:val="A8A8A8"/>
                                      <w:spacing w:val="-10"/>
                                      <w:w w:val="45"/>
                                      <w:sz w:val="8"/>
                                    </w:rPr>
                                    <w:t>I</w:t>
                                  </w:r>
                                </w:p>
                              </w:tc>
                            </w:tr>
                            <w:tr>
                              <w:trPr>
                                <w:trHeight w:val="350" w:hRule="atLeast"/>
                              </w:trPr>
                              <w:tc>
                                <w:tcPr>
                                  <w:tcW w:w="4690" w:type="dxa"/>
                                </w:tcPr>
                                <w:p>
                                  <w:pPr>
                                    <w:pStyle w:val="TableParagraph"/>
                                    <w:spacing w:before="77"/>
                                    <w:ind w:left="73"/>
                                    <w:rPr>
                                      <w:sz w:val="22"/>
                                    </w:rPr>
                                  </w:pPr>
                                  <w:r>
                                    <w:rPr>
                                      <w:color w:val="0A0A0A"/>
                                      <w:spacing w:val="-2"/>
                                      <w:sz w:val="22"/>
                                    </w:rPr>
                                    <w:t>Infrastructure</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rPr>
                                      <w:rFonts w:ascii="Times New Roman"/>
                                      <w:sz w:val="22"/>
                                    </w:rPr>
                                  </w:pPr>
                                </w:p>
                              </w:tc>
                            </w:tr>
                            <w:tr>
                              <w:trPr>
                                <w:trHeight w:val="345" w:hRule="atLeast"/>
                              </w:trPr>
                              <w:tc>
                                <w:tcPr>
                                  <w:tcW w:w="4690" w:type="dxa"/>
                                </w:tcPr>
                                <w:p>
                                  <w:pPr>
                                    <w:pStyle w:val="TableParagraph"/>
                                    <w:spacing w:before="72"/>
                                    <w:ind w:left="68"/>
                                    <w:rPr>
                                      <w:sz w:val="22"/>
                                    </w:rPr>
                                  </w:pPr>
                                  <w:r>
                                    <w:rPr>
                                      <w:color w:val="0A0A0A"/>
                                      <w:spacing w:val="-2"/>
                                      <w:sz w:val="22"/>
                                    </w:rPr>
                                    <w:t>Other</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rPr>
                                      <w:rFonts w:ascii="Times New Roman"/>
                                      <w:sz w:val="22"/>
                                    </w:rPr>
                                  </w:pPr>
                                </w:p>
                              </w:tc>
                            </w:tr>
                            <w:tr>
                              <w:trPr>
                                <w:trHeight w:val="341" w:hRule="atLeast"/>
                              </w:trPr>
                              <w:tc>
                                <w:tcPr>
                                  <w:tcW w:w="4690" w:type="dxa"/>
                                </w:tcPr>
                                <w:p>
                                  <w:pPr>
                                    <w:pStyle w:val="TableParagraph"/>
                                    <w:spacing w:before="72" w:line="249" w:lineRule="exact"/>
                                    <w:ind w:left="64"/>
                                    <w:rPr>
                                      <w:sz w:val="22"/>
                                    </w:rPr>
                                  </w:pPr>
                                  <w:r>
                                    <w:rPr>
                                      <w:color w:val="0A0A0A"/>
                                      <w:w w:val="110"/>
                                      <w:sz w:val="22"/>
                                    </w:rPr>
                                    <w:t>Sub-total</w:t>
                                  </w:r>
                                  <w:r>
                                    <w:rPr>
                                      <w:color w:val="0A0A0A"/>
                                      <w:spacing w:val="-5"/>
                                      <w:w w:val="110"/>
                                      <w:sz w:val="22"/>
                                    </w:rPr>
                                    <w:t> </w:t>
                                  </w:r>
                                  <w:r>
                                    <w:rPr>
                                      <w:color w:val="0A0A0A"/>
                                      <w:w w:val="110"/>
                                      <w:sz w:val="22"/>
                                    </w:rPr>
                                    <w:t>investment</w:t>
                                  </w:r>
                                  <w:r>
                                    <w:rPr>
                                      <w:color w:val="0A0A0A"/>
                                      <w:spacing w:val="6"/>
                                      <w:w w:val="110"/>
                                      <w:sz w:val="22"/>
                                    </w:rPr>
                                    <w:t> </w:t>
                                  </w:r>
                                  <w:r>
                                    <w:rPr>
                                      <w:color w:val="0A0A0A"/>
                                      <w:w w:val="110"/>
                                      <w:sz w:val="22"/>
                                    </w:rPr>
                                    <w:t>funds</w:t>
                                  </w:r>
                                  <w:r>
                                    <w:rPr>
                                      <w:color w:val="0A0A0A"/>
                                      <w:spacing w:val="-8"/>
                                      <w:w w:val="110"/>
                                      <w:sz w:val="22"/>
                                    </w:rPr>
                                    <w:t> </w:t>
                                  </w:r>
                                  <w:r>
                                    <w:rPr>
                                      <w:color w:val="0A0A0A"/>
                                      <w:w w:val="110"/>
                                      <w:sz w:val="22"/>
                                    </w:rPr>
                                    <w:t>and</w:t>
                                  </w:r>
                                  <w:r>
                                    <w:rPr>
                                      <w:color w:val="0A0A0A"/>
                                      <w:spacing w:val="-8"/>
                                      <w:w w:val="110"/>
                                      <w:sz w:val="22"/>
                                    </w:rPr>
                                    <w:t> </w:t>
                                  </w:r>
                                  <w:r>
                                    <w:rPr>
                                      <w:color w:val="0A0A0A"/>
                                      <w:w w:val="110"/>
                                      <w:sz w:val="22"/>
                                    </w:rPr>
                                    <w:t>unit</w:t>
                                  </w:r>
                                  <w:r>
                                    <w:rPr>
                                      <w:color w:val="0A0A0A"/>
                                      <w:spacing w:val="-16"/>
                                      <w:w w:val="110"/>
                                      <w:sz w:val="22"/>
                                    </w:rPr>
                                    <w:t> </w:t>
                                  </w:r>
                                  <w:r>
                                    <w:rPr>
                                      <w:color w:val="0A0A0A"/>
                                      <w:spacing w:val="-2"/>
                                      <w:w w:val="110"/>
                                      <w:sz w:val="22"/>
                                    </w:rPr>
                                    <w:t>trusts</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rPr>
                                      <w:rFonts w:ascii="Times New Roman"/>
                                      <w:sz w:val="22"/>
                                    </w:rPr>
                                  </w:pPr>
                                </w:p>
                              </w:tc>
                            </w:tr>
                            <w:tr>
                              <w:trPr>
                                <w:trHeight w:val="1020" w:hRule="atLeast"/>
                              </w:trPr>
                              <w:tc>
                                <w:tcPr>
                                  <w:tcW w:w="4690" w:type="dxa"/>
                                </w:tcPr>
                                <w:p>
                                  <w:pPr>
                                    <w:pStyle w:val="TableParagraph"/>
                                    <w:spacing w:before="155"/>
                                    <w:rPr>
                                      <w:sz w:val="22"/>
                                    </w:rPr>
                                  </w:pPr>
                                </w:p>
                                <w:p>
                                  <w:pPr>
                                    <w:pStyle w:val="TableParagraph"/>
                                    <w:ind w:left="57"/>
                                    <w:rPr>
                                      <w:sz w:val="22"/>
                                    </w:rPr>
                                  </w:pPr>
                                  <w:r>
                                    <w:rPr>
                                      <w:color w:val="0A0A0A"/>
                                      <w:w w:val="110"/>
                                      <w:sz w:val="22"/>
                                    </w:rPr>
                                    <w:t>Derivatives:</w:t>
                                  </w:r>
                                  <w:r>
                                    <w:rPr>
                                      <w:color w:val="0A0A0A"/>
                                      <w:spacing w:val="-3"/>
                                      <w:w w:val="110"/>
                                      <w:sz w:val="22"/>
                                    </w:rPr>
                                    <w:t> </w:t>
                                  </w:r>
                                  <w:r>
                                    <w:rPr>
                                      <w:color w:val="0A0A0A"/>
                                      <w:w w:val="110"/>
                                      <w:sz w:val="22"/>
                                    </w:rPr>
                                    <w:t>foreign</w:t>
                                  </w:r>
                                  <w:r>
                                    <w:rPr>
                                      <w:color w:val="0A0A0A"/>
                                      <w:spacing w:val="-16"/>
                                      <w:w w:val="110"/>
                                      <w:sz w:val="22"/>
                                    </w:rPr>
                                    <w:t> </w:t>
                                  </w:r>
                                  <w:r>
                                    <w:rPr>
                                      <w:color w:val="0A0A0A"/>
                                      <w:spacing w:val="-2"/>
                                      <w:w w:val="110"/>
                                      <w:sz w:val="22"/>
                                    </w:rPr>
                                    <w:t>exchange</w:t>
                                  </w:r>
                                </w:p>
                              </w:tc>
                              <w:tc>
                                <w:tcPr>
                                  <w:tcW w:w="307" w:type="dxa"/>
                                  <w:tcBorders>
                                    <w:bottom w:val="single" w:color="000000" w:sz="6" w:space="0"/>
                                  </w:tcBorders>
                                </w:tcPr>
                                <w:p>
                                  <w:pPr>
                                    <w:pStyle w:val="TableParagraph"/>
                                    <w:rPr>
                                      <w:rFonts w:ascii="Times New Roman"/>
                                      <w:sz w:val="22"/>
                                    </w:rPr>
                                  </w:pPr>
                                </w:p>
                              </w:tc>
                              <w:tc>
                                <w:tcPr>
                                  <w:tcW w:w="1139" w:type="dxa"/>
                                  <w:tcBorders>
                                    <w:bottom w:val="single" w:color="000000" w:sz="6" w:space="0"/>
                                  </w:tcBorders>
                                </w:tcPr>
                                <w:p>
                                  <w:pPr>
                                    <w:pStyle w:val="TableParagraph"/>
                                    <w:rPr>
                                      <w:rFonts w:ascii="Times New Roman"/>
                                      <w:sz w:val="22"/>
                                    </w:rPr>
                                  </w:pPr>
                                </w:p>
                              </w:tc>
                              <w:tc>
                                <w:tcPr>
                                  <w:tcW w:w="392" w:type="dxa"/>
                                  <w:tcBorders>
                                    <w:bottom w:val="single" w:color="000000" w:sz="6" w:space="0"/>
                                  </w:tcBorders>
                                </w:tcPr>
                                <w:p>
                                  <w:pPr>
                                    <w:pStyle w:val="TableParagraph"/>
                                    <w:rPr>
                                      <w:rFonts w:ascii="Times New Roman"/>
                                      <w:sz w:val="22"/>
                                    </w:rPr>
                                  </w:pPr>
                                </w:p>
                              </w:tc>
                              <w:tc>
                                <w:tcPr>
                                  <w:tcW w:w="1206" w:type="dxa"/>
                                  <w:tcBorders>
                                    <w:bottom w:val="single" w:color="000000" w:sz="6" w:space="0"/>
                                  </w:tcBorders>
                                </w:tcPr>
                                <w:p>
                                  <w:pPr>
                                    <w:pStyle w:val="TableParagraph"/>
                                    <w:spacing w:before="36"/>
                                    <w:rPr>
                                      <w:sz w:val="23"/>
                                    </w:rPr>
                                  </w:pPr>
                                </w:p>
                                <w:p>
                                  <w:pPr>
                                    <w:pStyle w:val="TableParagraph"/>
                                    <w:ind w:right="7"/>
                                    <w:jc w:val="right"/>
                                    <w:rPr>
                                      <w:sz w:val="34"/>
                                    </w:rPr>
                                  </w:pPr>
                                  <w:r>
                                    <w:rPr>
                                      <w:rFonts w:ascii="Times New Roman"/>
                                      <w:color w:val="282828"/>
                                      <w:w w:val="95"/>
                                      <w:sz w:val="23"/>
                                    </w:rPr>
                                    <w:t>(307)</w:t>
                                  </w:r>
                                  <w:r>
                                    <w:rPr>
                                      <w:rFonts w:ascii="Times New Roman"/>
                                      <w:color w:val="282828"/>
                                      <w:spacing w:val="53"/>
                                      <w:sz w:val="23"/>
                                    </w:rPr>
                                    <w:t> </w:t>
                                  </w:r>
                                  <w:r>
                                    <w:rPr>
                                      <w:color w:val="646464"/>
                                      <w:spacing w:val="-10"/>
                                      <w:w w:val="95"/>
                                      <w:sz w:val="34"/>
                                    </w:rPr>
                                    <w:t>!</w:t>
                                  </w:r>
                                </w:p>
                              </w:tc>
                              <w:tc>
                                <w:tcPr>
                                  <w:tcW w:w="1315" w:type="dxa"/>
                                  <w:tcBorders>
                                    <w:bottom w:val="single" w:color="000000" w:sz="6" w:space="0"/>
                                  </w:tcBorders>
                                </w:tcPr>
                                <w:p>
                                  <w:pPr>
                                    <w:pStyle w:val="TableParagraph"/>
                                    <w:spacing w:before="31"/>
                                    <w:rPr>
                                      <w:sz w:val="23"/>
                                    </w:rPr>
                                  </w:pPr>
                                </w:p>
                                <w:p>
                                  <w:pPr>
                                    <w:pStyle w:val="TableParagraph"/>
                                    <w:ind w:right="33"/>
                                    <w:jc w:val="right"/>
                                    <w:rPr>
                                      <w:sz w:val="34"/>
                                    </w:rPr>
                                  </w:pPr>
                                  <w:r>
                                    <w:rPr>
                                      <w:rFonts w:ascii="Times New Roman"/>
                                      <w:color w:val="282828"/>
                                      <w:w w:val="95"/>
                                      <w:sz w:val="23"/>
                                    </w:rPr>
                                    <w:t>(307)</w:t>
                                  </w:r>
                                  <w:r>
                                    <w:rPr>
                                      <w:rFonts w:ascii="Times New Roman"/>
                                      <w:color w:val="282828"/>
                                      <w:spacing w:val="58"/>
                                      <w:sz w:val="23"/>
                                    </w:rPr>
                                    <w:t> </w:t>
                                  </w:r>
                                  <w:r>
                                    <w:rPr>
                                      <w:color w:val="4B4B4B"/>
                                      <w:spacing w:val="-10"/>
                                      <w:w w:val="95"/>
                                      <w:sz w:val="34"/>
                                    </w:rPr>
                                    <w:t>!</w:t>
                                  </w:r>
                                </w:p>
                              </w:tc>
                              <w:tc>
                                <w:tcPr>
                                  <w:tcW w:w="926" w:type="dxa"/>
                                  <w:tcBorders>
                                    <w:bottom w:val="single" w:color="000000" w:sz="6" w:space="0"/>
                                  </w:tcBorders>
                                </w:tcPr>
                                <w:p>
                                  <w:pPr>
                                    <w:pStyle w:val="TableParagraph"/>
                                    <w:spacing w:before="208"/>
                                    <w:ind w:left="563"/>
                                    <w:rPr>
                                      <w:sz w:val="49"/>
                                    </w:rPr>
                                  </w:pPr>
                                  <w:r>
                                    <w:rPr>
                                      <w:color w:val="0A0A0A"/>
                                      <w:spacing w:val="46"/>
                                      <w:w w:val="50"/>
                                      <w:sz w:val="49"/>
                                    </w:rPr>
                                    <w:t>-</w:t>
                                  </w:r>
                                  <w:r>
                                    <w:rPr>
                                      <w:color w:val="C1C1C1"/>
                                      <w:spacing w:val="-10"/>
                                      <w:w w:val="70"/>
                                      <w:sz w:val="49"/>
                                    </w:rPr>
                                    <w:t>I</w:t>
                                  </w:r>
                                </w:p>
                              </w:tc>
                            </w:tr>
                            <w:tr>
                              <w:trPr>
                                <w:trHeight w:val="318" w:hRule="atLeast"/>
                              </w:trPr>
                              <w:tc>
                                <w:tcPr>
                                  <w:tcW w:w="4690" w:type="dxa"/>
                                </w:tcPr>
                                <w:p>
                                  <w:pPr>
                                    <w:pStyle w:val="TableParagraph"/>
                                    <w:spacing w:before="45"/>
                                    <w:ind w:left="50"/>
                                    <w:rPr>
                                      <w:sz w:val="22"/>
                                    </w:rPr>
                                  </w:pPr>
                                  <w:r>
                                    <w:rPr>
                                      <w:color w:val="0A0A0A"/>
                                      <w:spacing w:val="-2"/>
                                      <w:w w:val="110"/>
                                      <w:sz w:val="22"/>
                                    </w:rPr>
                                    <w:t>Total</w:t>
                                  </w:r>
                                  <w:r>
                                    <w:rPr>
                                      <w:color w:val="0A0A0A"/>
                                      <w:spacing w:val="-7"/>
                                      <w:w w:val="110"/>
                                      <w:sz w:val="22"/>
                                    </w:rPr>
                                    <w:t> </w:t>
                                  </w:r>
                                  <w:r>
                                    <w:rPr>
                                      <w:color w:val="0A0A0A"/>
                                      <w:spacing w:val="-2"/>
                                      <w:w w:val="110"/>
                                      <w:sz w:val="22"/>
                                    </w:rPr>
                                    <w:t>assets</w:t>
                                  </w:r>
                                </w:p>
                              </w:tc>
                              <w:tc>
                                <w:tcPr>
                                  <w:tcW w:w="307" w:type="dxa"/>
                                  <w:tcBorders>
                                    <w:top w:val="single" w:color="000000" w:sz="6" w:space="0"/>
                                    <w:bottom w:val="single" w:color="000000" w:sz="8" w:space="0"/>
                                  </w:tcBorders>
                                </w:tcPr>
                                <w:p>
                                  <w:pPr>
                                    <w:pStyle w:val="TableParagraph"/>
                                    <w:rPr>
                                      <w:rFonts w:ascii="Times New Roman"/>
                                      <w:sz w:val="22"/>
                                    </w:rPr>
                                  </w:pPr>
                                </w:p>
                              </w:tc>
                              <w:tc>
                                <w:tcPr>
                                  <w:tcW w:w="1139" w:type="dxa"/>
                                  <w:tcBorders>
                                    <w:top w:val="single" w:color="000000" w:sz="6" w:space="0"/>
                                    <w:bottom w:val="single" w:color="000000" w:sz="8" w:space="0"/>
                                  </w:tcBorders>
                                </w:tcPr>
                                <w:p>
                                  <w:pPr>
                                    <w:pStyle w:val="TableParagraph"/>
                                    <w:spacing w:before="37" w:line="262" w:lineRule="exact"/>
                                    <w:ind w:left="-20" w:right="136"/>
                                    <w:jc w:val="right"/>
                                    <w:rPr>
                                      <w:rFonts w:ascii="Times New Roman"/>
                                      <w:sz w:val="23"/>
                                    </w:rPr>
                                  </w:pPr>
                                  <w:r>
                                    <w:rPr>
                                      <w:rFonts w:ascii="Times New Roman"/>
                                      <w:color w:val="0A0A0A"/>
                                      <w:spacing w:val="-2"/>
                                      <w:w w:val="105"/>
                                      <w:sz w:val="23"/>
                                    </w:rPr>
                                    <w:t>67,160</w:t>
                                  </w:r>
                                </w:p>
                              </w:tc>
                              <w:tc>
                                <w:tcPr>
                                  <w:tcW w:w="392" w:type="dxa"/>
                                  <w:tcBorders>
                                    <w:top w:val="single" w:color="000000" w:sz="6" w:space="0"/>
                                    <w:bottom w:val="single" w:color="000000" w:sz="8" w:space="0"/>
                                  </w:tcBorders>
                                </w:tcPr>
                                <w:p>
                                  <w:pPr>
                                    <w:pStyle w:val="TableParagraph"/>
                                    <w:rPr>
                                      <w:rFonts w:ascii="Times New Roman"/>
                                      <w:sz w:val="22"/>
                                    </w:rPr>
                                  </w:pPr>
                                </w:p>
                              </w:tc>
                              <w:tc>
                                <w:tcPr>
                                  <w:tcW w:w="1206" w:type="dxa"/>
                                  <w:tcBorders>
                                    <w:top w:val="single" w:color="000000" w:sz="6" w:space="0"/>
                                    <w:bottom w:val="single" w:color="000000" w:sz="8" w:space="0"/>
                                  </w:tcBorders>
                                </w:tcPr>
                                <w:p>
                                  <w:pPr>
                                    <w:pStyle w:val="TableParagraph"/>
                                    <w:spacing w:before="42" w:line="257" w:lineRule="exact"/>
                                    <w:ind w:right="-15"/>
                                    <w:jc w:val="right"/>
                                    <w:rPr>
                                      <w:sz w:val="13"/>
                                    </w:rPr>
                                  </w:pPr>
                                  <w:r>
                                    <w:rPr>
                                      <w:rFonts w:ascii="Times New Roman"/>
                                      <w:color w:val="0A0A0A"/>
                                      <w:sz w:val="23"/>
                                    </w:rPr>
                                    <w:t>34,780</w:t>
                                  </w:r>
                                  <w:r>
                                    <w:rPr>
                                      <w:rFonts w:ascii="Times New Roman"/>
                                      <w:color w:val="0A0A0A"/>
                                      <w:spacing w:val="62"/>
                                      <w:sz w:val="23"/>
                                    </w:rPr>
                                    <w:t> </w:t>
                                  </w:r>
                                  <w:r>
                                    <w:rPr>
                                      <w:color w:val="C1C1C1"/>
                                      <w:spacing w:val="-10"/>
                                      <w:sz w:val="13"/>
                                    </w:rPr>
                                    <w:t>1</w:t>
                                  </w:r>
                                </w:p>
                              </w:tc>
                              <w:tc>
                                <w:tcPr>
                                  <w:tcW w:w="1315" w:type="dxa"/>
                                  <w:tcBorders>
                                    <w:top w:val="single" w:color="000000" w:sz="6" w:space="0"/>
                                    <w:bottom w:val="single" w:color="000000" w:sz="8" w:space="0"/>
                                  </w:tcBorders>
                                </w:tcPr>
                                <w:p>
                                  <w:pPr>
                                    <w:pStyle w:val="TableParagraph"/>
                                    <w:spacing w:before="42" w:line="257" w:lineRule="exact"/>
                                    <w:ind w:left="328"/>
                                    <w:rPr>
                                      <w:rFonts w:ascii="Times New Roman"/>
                                      <w:sz w:val="10"/>
                                    </w:rPr>
                                  </w:pPr>
                                  <w:r>
                                    <w:rPr>
                                      <w:rFonts w:ascii="Times New Roman"/>
                                      <w:color w:val="0A0A0A"/>
                                      <w:sz w:val="23"/>
                                    </w:rPr>
                                    <w:t>101,940</w:t>
                                  </w:r>
                                  <w:r>
                                    <w:rPr>
                                      <w:rFonts w:ascii="Times New Roman"/>
                                      <w:color w:val="0A0A0A"/>
                                      <w:spacing w:val="76"/>
                                      <w:sz w:val="23"/>
                                    </w:rPr>
                                    <w:t> </w:t>
                                  </w:r>
                                  <w:r>
                                    <w:rPr>
                                      <w:rFonts w:ascii="Times New Roman"/>
                                      <w:color w:val="C1C1C1"/>
                                      <w:spacing w:val="-10"/>
                                      <w:w w:val="75"/>
                                      <w:sz w:val="10"/>
                                    </w:rPr>
                                    <w:t>J</w:t>
                                  </w:r>
                                </w:p>
                              </w:tc>
                              <w:tc>
                                <w:tcPr>
                                  <w:tcW w:w="926" w:type="dxa"/>
                                  <w:tcBorders>
                                    <w:top w:val="single" w:color="000000" w:sz="6" w:space="0"/>
                                    <w:bottom w:val="single" w:color="000000" w:sz="8" w:space="0"/>
                                  </w:tcBorders>
                                </w:tcPr>
                                <w:p>
                                  <w:pPr>
                                    <w:pStyle w:val="TableParagraph"/>
                                    <w:tabs>
                                      <w:tab w:val="left" w:leader="none" w:pos="711"/>
                                    </w:tabs>
                                    <w:spacing w:before="3" w:line="295" w:lineRule="exact"/>
                                    <w:ind w:left="253"/>
                                    <w:rPr>
                                      <w:sz w:val="27"/>
                                    </w:rPr>
                                  </w:pPr>
                                  <w:r>
                                    <w:rPr>
                                      <w:rFonts w:ascii="Times New Roman"/>
                                      <w:color w:val="0A0A0A"/>
                                      <w:spacing w:val="-5"/>
                                      <w:w w:val="65"/>
                                      <w:sz w:val="23"/>
                                    </w:rPr>
                                    <w:t>100</w:t>
                                  </w:r>
                                  <w:r>
                                    <w:rPr>
                                      <w:rFonts w:ascii="Times New Roman"/>
                                      <w:color w:val="0A0A0A"/>
                                      <w:sz w:val="23"/>
                                    </w:rPr>
                                    <w:tab/>
                                  </w:r>
                                  <w:r>
                                    <w:rPr>
                                      <w:color w:val="C1C1C1"/>
                                      <w:spacing w:val="-10"/>
                                      <w:w w:val="80"/>
                                      <w:sz w:val="27"/>
                                    </w:rPr>
                                    <w:t>I</w:t>
                                  </w:r>
                                </w:p>
                              </w:tc>
                            </w:tr>
                          </w:tbl>
                          <w:p>
                            <w:pPr>
                              <w:pStyle w:val="BodyText"/>
                            </w:pPr>
                          </w:p>
                        </w:txbxContent>
                      </wps:txbx>
                      <wps:bodyPr wrap="square" lIns="0" tIns="0" rIns="0" bIns="0" rtlCol="0">
                        <a:noAutofit/>
                      </wps:bodyPr>
                    </wps:wsp>
                  </a:graphicData>
                </a:graphic>
              </wp:anchor>
            </w:drawing>
          </ve:Choice>
          <ve:Fallback>
            <w:pict>
              <v:shape id="docshape358" style="position:absolute;margin-left:72.372398pt;margin-top:-108.729919pt;width:504.85pt;height:344.8pt;mso-position-horizontal-relative:page;mso-position-vertical-relative:paragraph;z-index:15843840"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690"/>
                        <w:gridCol w:w="307"/>
                        <w:gridCol w:w="1139"/>
                        <w:gridCol w:w="392"/>
                        <w:gridCol w:w="1206"/>
                        <w:gridCol w:w="1315"/>
                        <w:gridCol w:w="926"/>
                      </w:tblGrid>
                      <w:tr>
                        <w:trPr>
                          <w:trHeight w:val="455" w:hRule="atLeast"/>
                        </w:trPr>
                        <w:tc>
                          <w:tcPr>
                            <w:tcW w:w="4690" w:type="dxa"/>
                          </w:tcPr>
                          <w:p>
                            <w:pPr>
                              <w:pStyle w:val="TableParagraph"/>
                              <w:spacing w:before="137"/>
                              <w:ind w:left="121"/>
                              <w:rPr>
                                <w:sz w:val="22"/>
                              </w:rPr>
                            </w:pPr>
                            <w:r>
                              <w:rPr>
                                <w:color w:val="0A0A0A"/>
                                <w:spacing w:val="-2"/>
                                <w:sz w:val="22"/>
                              </w:rPr>
                              <w:t>Other</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sz w:val="9"/>
                              </w:rPr>
                            </w:pPr>
                          </w:p>
                          <w:p>
                            <w:pPr>
                              <w:pStyle w:val="TableParagraph"/>
                              <w:rPr>
                                <w:sz w:val="9"/>
                              </w:rPr>
                            </w:pPr>
                          </w:p>
                          <w:p>
                            <w:pPr>
                              <w:pStyle w:val="TableParagraph"/>
                              <w:spacing w:before="2"/>
                              <w:rPr>
                                <w:sz w:val="9"/>
                              </w:rPr>
                            </w:pPr>
                          </w:p>
                          <w:p>
                            <w:pPr>
                              <w:pStyle w:val="TableParagraph"/>
                              <w:ind w:left="13"/>
                              <w:rPr>
                                <w:rFonts w:ascii="Times New Roman"/>
                                <w:sz w:val="9"/>
                              </w:rPr>
                            </w:pPr>
                            <w:r>
                              <w:rPr>
                                <w:rFonts w:ascii="Times New Roman"/>
                                <w:color w:val="C1C1C1"/>
                                <w:spacing w:val="-10"/>
                                <w:sz w:val="9"/>
                              </w:rPr>
                              <w:t>I</w:t>
                            </w:r>
                          </w:p>
                        </w:tc>
                        <w:tc>
                          <w:tcPr>
                            <w:tcW w:w="1206" w:type="dxa"/>
                          </w:tcPr>
                          <w:p>
                            <w:pPr>
                              <w:pStyle w:val="TableParagraph"/>
                              <w:spacing w:before="147"/>
                              <w:ind w:right="104"/>
                              <w:jc w:val="right"/>
                              <w:rPr>
                                <w:sz w:val="22"/>
                              </w:rPr>
                            </w:pPr>
                            <w:r>
                              <w:rPr>
                                <w:color w:val="0A0A0A"/>
                                <w:spacing w:val="-2"/>
                                <w:sz w:val="22"/>
                              </w:rPr>
                              <w:t>2,985</w:t>
                            </w:r>
                          </w:p>
                        </w:tc>
                        <w:tc>
                          <w:tcPr>
                            <w:tcW w:w="1315" w:type="dxa"/>
                          </w:tcPr>
                          <w:p>
                            <w:pPr>
                              <w:pStyle w:val="TableParagraph"/>
                              <w:tabs>
                                <w:tab w:val="left" w:leader="none" w:pos="633"/>
                              </w:tabs>
                              <w:spacing w:line="436" w:lineRule="exact"/>
                              <w:ind w:left="-43"/>
                              <w:rPr>
                                <w:rFonts w:ascii="Times New Roman"/>
                                <w:sz w:val="23"/>
                              </w:rPr>
                            </w:pPr>
                            <w:r>
                              <w:rPr>
                                <w:color w:val="C1C1C1"/>
                                <w:spacing w:val="-10"/>
                                <w:w w:val="105"/>
                                <w:sz w:val="39"/>
                              </w:rPr>
                              <w:t>I</w:t>
                            </w:r>
                            <w:r>
                              <w:rPr>
                                <w:color w:val="C1C1C1"/>
                                <w:sz w:val="39"/>
                              </w:rPr>
                              <w:tab/>
                            </w:r>
                            <w:r>
                              <w:rPr>
                                <w:rFonts w:ascii="Times New Roman"/>
                                <w:color w:val="0A0A0A"/>
                                <w:spacing w:val="-2"/>
                                <w:w w:val="105"/>
                                <w:position w:val="2"/>
                                <w:sz w:val="23"/>
                              </w:rPr>
                              <w:t>2,985</w:t>
                            </w:r>
                          </w:p>
                        </w:tc>
                        <w:tc>
                          <w:tcPr>
                            <w:tcW w:w="926" w:type="dxa"/>
                          </w:tcPr>
                          <w:p>
                            <w:pPr>
                              <w:pStyle w:val="TableParagraph"/>
                              <w:spacing w:before="124"/>
                              <w:ind w:left="545"/>
                              <w:rPr>
                                <w:rFonts w:ascii="Times New Roman"/>
                                <w:sz w:val="23"/>
                              </w:rPr>
                            </w:pPr>
                            <w:r>
                              <w:rPr>
                                <w:rFonts w:ascii="Times New Roman"/>
                                <w:color w:val="0A0A0A"/>
                                <w:spacing w:val="-10"/>
                                <w:w w:val="105"/>
                                <w:sz w:val="23"/>
                              </w:rPr>
                              <w:t>3</w:t>
                            </w:r>
                          </w:p>
                        </w:tc>
                      </w:tr>
                      <w:tr>
                        <w:trPr>
                          <w:trHeight w:val="311" w:hRule="atLeast"/>
                        </w:trPr>
                        <w:tc>
                          <w:tcPr>
                            <w:tcW w:w="4690" w:type="dxa"/>
                          </w:tcPr>
                          <w:p>
                            <w:pPr>
                              <w:pStyle w:val="TableParagraph"/>
                              <w:spacing w:before="23"/>
                              <w:ind w:left="117"/>
                              <w:rPr>
                                <w:sz w:val="22"/>
                              </w:rPr>
                            </w:pPr>
                            <w:r>
                              <w:rPr>
                                <w:color w:val="0A0A0A"/>
                                <w:w w:val="110"/>
                                <w:sz w:val="22"/>
                              </w:rPr>
                              <w:t>Sub-total</w:t>
                            </w:r>
                            <w:r>
                              <w:rPr>
                                <w:color w:val="0A0A0A"/>
                                <w:spacing w:val="-15"/>
                                <w:w w:val="110"/>
                                <w:sz w:val="22"/>
                              </w:rPr>
                              <w:t> </w:t>
                            </w:r>
                            <w:r>
                              <w:rPr>
                                <w:color w:val="0A0A0A"/>
                                <w:w w:val="110"/>
                                <w:sz w:val="22"/>
                              </w:rPr>
                              <w:t>debt</w:t>
                            </w:r>
                            <w:r>
                              <w:rPr>
                                <w:color w:val="0A0A0A"/>
                                <w:spacing w:val="-17"/>
                                <w:w w:val="110"/>
                                <w:sz w:val="22"/>
                              </w:rPr>
                              <w:t> </w:t>
                            </w:r>
                            <w:r>
                              <w:rPr>
                                <w:color w:val="0A0A0A"/>
                                <w:spacing w:val="-2"/>
                                <w:w w:val="110"/>
                                <w:sz w:val="22"/>
                              </w:rPr>
                              <w:t>securities</w:t>
                            </w:r>
                          </w:p>
                        </w:tc>
                        <w:tc>
                          <w:tcPr>
                            <w:tcW w:w="307" w:type="dxa"/>
                          </w:tcPr>
                          <w:p>
                            <w:pPr>
                              <w:pStyle w:val="TableParagraph"/>
                              <w:rPr>
                                <w:rFonts w:ascii="Times New Roman"/>
                                <w:sz w:val="22"/>
                              </w:rPr>
                            </w:pPr>
                          </w:p>
                        </w:tc>
                        <w:tc>
                          <w:tcPr>
                            <w:tcW w:w="1139" w:type="dxa"/>
                          </w:tcPr>
                          <w:p>
                            <w:pPr>
                              <w:pStyle w:val="TableParagraph"/>
                              <w:spacing w:before="14"/>
                              <w:ind w:left="-20" w:right="90"/>
                              <w:jc w:val="right"/>
                              <w:rPr>
                                <w:rFonts w:ascii="Times New Roman"/>
                                <w:sz w:val="23"/>
                              </w:rPr>
                            </w:pPr>
                            <w:r>
                              <w:rPr>
                                <w:rFonts w:ascii="Times New Roman"/>
                                <w:color w:val="0A0A0A"/>
                                <w:spacing w:val="-2"/>
                                <w:w w:val="105"/>
                                <w:sz w:val="23"/>
                              </w:rPr>
                              <w:t>7,496</w:t>
                            </w:r>
                          </w:p>
                        </w:tc>
                        <w:tc>
                          <w:tcPr>
                            <w:tcW w:w="392" w:type="dxa"/>
                          </w:tcPr>
                          <w:p>
                            <w:pPr>
                              <w:pStyle w:val="TableParagraph"/>
                              <w:rPr>
                                <w:rFonts w:ascii="Times New Roman"/>
                                <w:sz w:val="22"/>
                              </w:rPr>
                            </w:pPr>
                          </w:p>
                        </w:tc>
                        <w:tc>
                          <w:tcPr>
                            <w:tcW w:w="1206" w:type="dxa"/>
                          </w:tcPr>
                          <w:p>
                            <w:pPr>
                              <w:pStyle w:val="TableParagraph"/>
                              <w:spacing w:before="10"/>
                              <w:ind w:right="93"/>
                              <w:jc w:val="right"/>
                              <w:rPr>
                                <w:rFonts w:ascii="Times New Roman"/>
                                <w:sz w:val="23"/>
                              </w:rPr>
                            </w:pPr>
                            <w:r>
                              <w:rPr>
                                <w:rFonts w:ascii="Times New Roman"/>
                                <w:color w:val="0A0A0A"/>
                                <w:spacing w:val="-2"/>
                                <w:w w:val="105"/>
                                <w:sz w:val="23"/>
                              </w:rPr>
                              <w:t>2,985</w:t>
                            </w:r>
                          </w:p>
                        </w:tc>
                        <w:tc>
                          <w:tcPr>
                            <w:tcW w:w="1315" w:type="dxa"/>
                          </w:tcPr>
                          <w:p>
                            <w:pPr>
                              <w:pStyle w:val="TableParagraph"/>
                              <w:spacing w:before="10"/>
                              <w:ind w:left="491"/>
                              <w:rPr>
                                <w:rFonts w:ascii="Times New Roman"/>
                                <w:sz w:val="23"/>
                              </w:rPr>
                            </w:pPr>
                            <w:r>
                              <w:rPr>
                                <w:rFonts w:ascii="Times New Roman"/>
                                <w:color w:val="0A0A0A"/>
                                <w:spacing w:val="-2"/>
                                <w:w w:val="105"/>
                                <w:sz w:val="23"/>
                              </w:rPr>
                              <w:t>10,481</w:t>
                            </w:r>
                          </w:p>
                        </w:tc>
                        <w:tc>
                          <w:tcPr>
                            <w:tcW w:w="926" w:type="dxa"/>
                          </w:tcPr>
                          <w:p>
                            <w:pPr>
                              <w:pStyle w:val="TableParagraph"/>
                              <w:spacing w:before="10"/>
                              <w:ind w:left="407"/>
                              <w:rPr>
                                <w:rFonts w:ascii="Times New Roman"/>
                                <w:sz w:val="23"/>
                              </w:rPr>
                            </w:pPr>
                            <w:r>
                              <w:rPr>
                                <w:rFonts w:ascii="Times New Roman"/>
                                <w:color w:val="0A0A0A"/>
                                <w:spacing w:val="-5"/>
                                <w:w w:val="105"/>
                                <w:sz w:val="23"/>
                              </w:rPr>
                              <w:t>10</w:t>
                            </w:r>
                          </w:p>
                        </w:tc>
                      </w:tr>
                      <w:tr>
                        <w:trPr>
                          <w:trHeight w:val="686" w:hRule="atLeast"/>
                        </w:trPr>
                        <w:tc>
                          <w:tcPr>
                            <w:tcW w:w="4690" w:type="dxa"/>
                          </w:tcPr>
                          <w:p>
                            <w:pPr>
                              <w:pStyle w:val="TableParagraph"/>
                              <w:spacing w:before="141"/>
                              <w:rPr>
                                <w:sz w:val="22"/>
                              </w:rPr>
                            </w:pPr>
                          </w:p>
                          <w:p>
                            <w:pPr>
                              <w:pStyle w:val="TableParagraph"/>
                              <w:ind w:left="110"/>
                              <w:rPr>
                                <w:sz w:val="22"/>
                              </w:rPr>
                            </w:pPr>
                            <w:r>
                              <w:rPr>
                                <w:color w:val="0A0A0A"/>
                                <w:w w:val="105"/>
                                <w:sz w:val="22"/>
                              </w:rPr>
                              <w:t>Private</w:t>
                            </w:r>
                            <w:r>
                              <w:rPr>
                                <w:color w:val="0A0A0A"/>
                                <w:spacing w:val="8"/>
                                <w:w w:val="110"/>
                                <w:sz w:val="22"/>
                              </w:rPr>
                              <w:t> </w:t>
                            </w:r>
                            <w:r>
                              <w:rPr>
                                <w:color w:val="0A0A0A"/>
                                <w:spacing w:val="-2"/>
                                <w:w w:val="110"/>
                                <w:sz w:val="22"/>
                              </w:rPr>
                              <w:t>Equity</w:t>
                            </w:r>
                          </w:p>
                        </w:tc>
                        <w:tc>
                          <w:tcPr>
                            <w:tcW w:w="307" w:type="dxa"/>
                            <w:tcBorders>
                              <w:bottom w:val="single" w:color="000000" w:sz="6" w:space="0"/>
                            </w:tcBorders>
                          </w:tcPr>
                          <w:p>
                            <w:pPr>
                              <w:pStyle w:val="TableParagraph"/>
                              <w:rPr>
                                <w:rFonts w:ascii="Times New Roman"/>
                                <w:sz w:val="22"/>
                              </w:rPr>
                            </w:pPr>
                          </w:p>
                        </w:tc>
                        <w:tc>
                          <w:tcPr>
                            <w:tcW w:w="1139" w:type="dxa"/>
                            <w:tcBorders>
                              <w:bottom w:val="single" w:color="000000" w:sz="6" w:space="0"/>
                            </w:tcBorders>
                          </w:tcPr>
                          <w:p>
                            <w:pPr>
                              <w:pStyle w:val="TableParagraph"/>
                              <w:spacing w:before="231" w:line="423" w:lineRule="exact"/>
                              <w:ind w:left="-20" w:right="85"/>
                              <w:jc w:val="right"/>
                              <w:rPr>
                                <w:sz w:val="46"/>
                              </w:rPr>
                            </w:pPr>
                            <w:r>
                              <w:rPr>
                                <w:color w:val="0A0A0A"/>
                                <w:spacing w:val="-10"/>
                                <w:w w:val="60"/>
                                <w:sz w:val="46"/>
                              </w:rPr>
                              <w:t>-</w:t>
                            </w:r>
                          </w:p>
                        </w:tc>
                        <w:tc>
                          <w:tcPr>
                            <w:tcW w:w="392" w:type="dxa"/>
                            <w:tcBorders>
                              <w:bottom w:val="single" w:color="000000" w:sz="6" w:space="0"/>
                            </w:tcBorders>
                          </w:tcPr>
                          <w:p>
                            <w:pPr>
                              <w:pStyle w:val="TableParagraph"/>
                              <w:spacing w:before="231" w:line="423" w:lineRule="exact"/>
                              <w:ind w:left="-33"/>
                              <w:rPr>
                                <w:sz w:val="46"/>
                              </w:rPr>
                            </w:pPr>
                            <w:r>
                              <w:rPr>
                                <w:color w:val="C1C1C1"/>
                                <w:spacing w:val="-10"/>
                                <w:w w:val="75"/>
                                <w:sz w:val="46"/>
                              </w:rPr>
                              <w:t>I</w:t>
                            </w:r>
                          </w:p>
                        </w:tc>
                        <w:tc>
                          <w:tcPr>
                            <w:tcW w:w="1206" w:type="dxa"/>
                            <w:tcBorders>
                              <w:bottom w:val="single" w:color="000000" w:sz="6" w:space="0"/>
                            </w:tcBorders>
                          </w:tcPr>
                          <w:p>
                            <w:pPr>
                              <w:pStyle w:val="TableParagraph"/>
                              <w:spacing w:before="235" w:line="420" w:lineRule="exact"/>
                              <w:ind w:right="-29"/>
                              <w:jc w:val="right"/>
                              <w:rPr>
                                <w:sz w:val="40"/>
                              </w:rPr>
                            </w:pPr>
                            <w:r>
                              <w:rPr>
                                <w:rFonts w:ascii="Times New Roman"/>
                                <w:color w:val="4B4B4B"/>
                                <w:spacing w:val="2"/>
                                <w:sz w:val="23"/>
                              </w:rPr>
                              <w:t>9,sso</w:t>
                            </w:r>
                            <w:r>
                              <w:rPr>
                                <w:rFonts w:ascii="Times New Roman"/>
                                <w:color w:val="4B4B4B"/>
                                <w:spacing w:val="71"/>
                                <w:sz w:val="23"/>
                              </w:rPr>
                              <w:t> </w:t>
                            </w:r>
                            <w:r>
                              <w:rPr>
                                <w:color w:val="646464"/>
                                <w:spacing w:val="-10"/>
                                <w:sz w:val="40"/>
                              </w:rPr>
                              <w:t>I</w:t>
                            </w:r>
                          </w:p>
                        </w:tc>
                        <w:tc>
                          <w:tcPr>
                            <w:tcW w:w="1315" w:type="dxa"/>
                            <w:tcBorders>
                              <w:bottom w:val="single" w:color="000000" w:sz="6" w:space="0"/>
                            </w:tcBorders>
                          </w:tcPr>
                          <w:p>
                            <w:pPr>
                              <w:pStyle w:val="TableParagraph"/>
                              <w:spacing w:before="125"/>
                              <w:rPr>
                                <w:sz w:val="23"/>
                              </w:rPr>
                            </w:pPr>
                          </w:p>
                          <w:p>
                            <w:pPr>
                              <w:pStyle w:val="TableParagraph"/>
                              <w:spacing w:line="265" w:lineRule="exact"/>
                              <w:ind w:right="23"/>
                              <w:jc w:val="right"/>
                              <w:rPr>
                                <w:rFonts w:ascii="Times New Roman"/>
                                <w:sz w:val="23"/>
                              </w:rPr>
                            </w:pPr>
                            <w:r>
                              <w:rPr>
                                <w:rFonts w:ascii="Times New Roman"/>
                                <w:color w:val="282828"/>
                                <w:sz w:val="23"/>
                              </w:rPr>
                              <w:t>9,660</w:t>
                            </w:r>
                            <w:r>
                              <w:rPr>
                                <w:rFonts w:ascii="Times New Roman"/>
                                <w:color w:val="282828"/>
                                <w:spacing w:val="65"/>
                                <w:sz w:val="23"/>
                              </w:rPr>
                              <w:t> </w:t>
                            </w:r>
                            <w:r>
                              <w:rPr>
                                <w:color w:val="363636"/>
                                <w:spacing w:val="-7"/>
                                <w:w w:val="90"/>
                                <w:sz w:val="23"/>
                                <w:vertAlign w:val="superscript"/>
                              </w:rPr>
                              <w:t>I</w:t>
                            </w:r>
                            <w:r>
                              <w:rPr>
                                <w:rFonts w:ascii="Times New Roman"/>
                                <w:color w:val="4B4B4B"/>
                                <w:spacing w:val="-7"/>
                                <w:w w:val="90"/>
                                <w:sz w:val="23"/>
                                <w:vertAlign w:val="baseline"/>
                              </w:rPr>
                              <w:t>I</w:t>
                            </w:r>
                          </w:p>
                        </w:tc>
                        <w:tc>
                          <w:tcPr>
                            <w:tcW w:w="926" w:type="dxa"/>
                            <w:tcBorders>
                              <w:bottom w:val="single" w:color="000000" w:sz="6" w:space="0"/>
                            </w:tcBorders>
                          </w:tcPr>
                          <w:p>
                            <w:pPr>
                              <w:pStyle w:val="TableParagraph"/>
                              <w:spacing w:before="164"/>
                              <w:rPr>
                                <w:sz w:val="23"/>
                              </w:rPr>
                            </w:pPr>
                          </w:p>
                          <w:p>
                            <w:pPr>
                              <w:pStyle w:val="TableParagraph"/>
                              <w:spacing w:line="226" w:lineRule="exact"/>
                              <w:ind w:right="46"/>
                              <w:jc w:val="right"/>
                              <w:rPr>
                                <w:rFonts w:ascii="Times New Roman"/>
                                <w:sz w:val="23"/>
                              </w:rPr>
                            </w:pPr>
                            <w:r>
                              <w:rPr>
                                <w:rFonts w:ascii="Times New Roman"/>
                                <w:color w:val="0A0A0A"/>
                                <w:spacing w:val="-5"/>
                                <w:w w:val="145"/>
                                <w:sz w:val="23"/>
                                <w:u w:val="thick" w:color="C1C1C1"/>
                              </w:rPr>
                              <w:t>9</w:t>
                            </w:r>
                            <w:r>
                              <w:rPr>
                                <w:rFonts w:ascii="Times New Roman"/>
                                <w:color w:val="C1C1C1"/>
                                <w:spacing w:val="-5"/>
                                <w:w w:val="145"/>
                                <w:sz w:val="23"/>
                                <w:u w:val="none"/>
                              </w:rPr>
                              <w:t>1</w:t>
                            </w:r>
                          </w:p>
                        </w:tc>
                      </w:tr>
                      <w:tr>
                        <w:trPr>
                          <w:trHeight w:val="995" w:hRule="atLeast"/>
                        </w:trPr>
                        <w:tc>
                          <w:tcPr>
                            <w:tcW w:w="4690" w:type="dxa"/>
                          </w:tcPr>
                          <w:p>
                            <w:pPr>
                              <w:pStyle w:val="TableParagraph"/>
                              <w:spacing w:before="117"/>
                              <w:rPr>
                                <w:sz w:val="22"/>
                              </w:rPr>
                            </w:pPr>
                          </w:p>
                          <w:p>
                            <w:pPr>
                              <w:pStyle w:val="TableParagraph"/>
                              <w:ind w:left="105"/>
                              <w:rPr>
                                <w:sz w:val="22"/>
                              </w:rPr>
                            </w:pPr>
                            <w:r>
                              <w:rPr>
                                <w:color w:val="0A0A0A"/>
                                <w:spacing w:val="-2"/>
                                <w:w w:val="110"/>
                                <w:sz w:val="22"/>
                              </w:rPr>
                              <w:t>Property:</w:t>
                            </w:r>
                          </w:p>
                        </w:tc>
                        <w:tc>
                          <w:tcPr>
                            <w:tcW w:w="307" w:type="dxa"/>
                            <w:tcBorders>
                              <w:top w:val="single" w:color="000000" w:sz="6" w:space="0"/>
                            </w:tcBorders>
                          </w:tcPr>
                          <w:p>
                            <w:pPr>
                              <w:pStyle w:val="TableParagraph"/>
                              <w:rPr>
                                <w:rFonts w:ascii="Times New Roman"/>
                                <w:sz w:val="22"/>
                              </w:rPr>
                            </w:pPr>
                          </w:p>
                        </w:tc>
                        <w:tc>
                          <w:tcPr>
                            <w:tcW w:w="1139" w:type="dxa"/>
                            <w:tcBorders>
                              <w:top w:val="single" w:color="000000" w:sz="6" w:space="0"/>
                            </w:tcBorders>
                          </w:tcPr>
                          <w:p>
                            <w:pPr>
                              <w:pStyle w:val="TableParagraph"/>
                              <w:rPr>
                                <w:rFonts w:ascii="Times New Roman"/>
                                <w:sz w:val="22"/>
                              </w:rPr>
                            </w:pPr>
                          </w:p>
                        </w:tc>
                        <w:tc>
                          <w:tcPr>
                            <w:tcW w:w="392" w:type="dxa"/>
                            <w:tcBorders>
                              <w:top w:val="single" w:color="000000" w:sz="6" w:space="0"/>
                            </w:tcBorders>
                          </w:tcPr>
                          <w:p>
                            <w:pPr>
                              <w:pStyle w:val="TableParagraph"/>
                              <w:rPr>
                                <w:rFonts w:ascii="Times New Roman"/>
                                <w:sz w:val="22"/>
                              </w:rPr>
                            </w:pPr>
                          </w:p>
                        </w:tc>
                        <w:tc>
                          <w:tcPr>
                            <w:tcW w:w="1206" w:type="dxa"/>
                            <w:tcBorders>
                              <w:top w:val="single" w:color="000000" w:sz="6" w:space="0"/>
                            </w:tcBorders>
                          </w:tcPr>
                          <w:p>
                            <w:pPr>
                              <w:pStyle w:val="TableParagraph"/>
                              <w:rPr>
                                <w:rFonts w:ascii="Times New Roman"/>
                                <w:sz w:val="22"/>
                              </w:rPr>
                            </w:pPr>
                          </w:p>
                        </w:tc>
                        <w:tc>
                          <w:tcPr>
                            <w:tcW w:w="1315" w:type="dxa"/>
                            <w:tcBorders>
                              <w:top w:val="single" w:color="000000" w:sz="6" w:space="0"/>
                            </w:tcBorders>
                          </w:tcPr>
                          <w:p>
                            <w:pPr>
                              <w:pStyle w:val="TableParagraph"/>
                              <w:rPr>
                                <w:rFonts w:ascii="Times New Roman"/>
                                <w:sz w:val="22"/>
                              </w:rPr>
                            </w:pPr>
                          </w:p>
                        </w:tc>
                        <w:tc>
                          <w:tcPr>
                            <w:tcW w:w="926" w:type="dxa"/>
                            <w:tcBorders>
                              <w:top w:val="single" w:color="000000" w:sz="6" w:space="0"/>
                            </w:tcBorders>
                          </w:tcPr>
                          <w:p>
                            <w:pPr>
                              <w:pStyle w:val="TableParagraph"/>
                              <w:rPr>
                                <w:rFonts w:ascii="Times New Roman"/>
                                <w:sz w:val="22"/>
                              </w:rPr>
                            </w:pPr>
                          </w:p>
                        </w:tc>
                      </w:tr>
                      <w:tr>
                        <w:trPr>
                          <w:trHeight w:val="345" w:hRule="atLeast"/>
                        </w:trPr>
                        <w:tc>
                          <w:tcPr>
                            <w:tcW w:w="4690" w:type="dxa"/>
                          </w:tcPr>
                          <w:p>
                            <w:pPr>
                              <w:pStyle w:val="TableParagraph"/>
                              <w:spacing w:before="58"/>
                              <w:ind w:left="97"/>
                              <w:rPr>
                                <w:sz w:val="22"/>
                              </w:rPr>
                            </w:pPr>
                            <w:r>
                              <w:rPr>
                                <w:color w:val="0A0A0A"/>
                                <w:sz w:val="22"/>
                              </w:rPr>
                              <w:t>Overseas</w:t>
                            </w:r>
                            <w:r>
                              <w:rPr>
                                <w:color w:val="0A0A0A"/>
                                <w:spacing w:val="13"/>
                                <w:sz w:val="22"/>
                              </w:rPr>
                              <w:t> </w:t>
                            </w:r>
                            <w:r>
                              <w:rPr>
                                <w:color w:val="0A0A0A"/>
                                <w:spacing w:val="-2"/>
                                <w:sz w:val="22"/>
                              </w:rPr>
                              <w:t>Property</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rPr>
                                <w:rFonts w:ascii="Times New Roman"/>
                                <w:sz w:val="22"/>
                              </w:rPr>
                            </w:pPr>
                          </w:p>
                        </w:tc>
                      </w:tr>
                      <w:tr>
                        <w:trPr>
                          <w:trHeight w:val="341" w:hRule="atLeast"/>
                        </w:trPr>
                        <w:tc>
                          <w:tcPr>
                            <w:tcW w:w="4690" w:type="dxa"/>
                          </w:tcPr>
                          <w:p>
                            <w:pPr>
                              <w:pStyle w:val="TableParagraph"/>
                              <w:spacing w:before="53"/>
                              <w:ind w:left="93"/>
                              <w:rPr>
                                <w:sz w:val="22"/>
                              </w:rPr>
                            </w:pPr>
                            <w:r>
                              <w:rPr>
                                <w:color w:val="0A0A0A"/>
                                <w:w w:val="110"/>
                                <w:sz w:val="22"/>
                              </w:rPr>
                              <w:t>Sub-total</w:t>
                            </w:r>
                            <w:r>
                              <w:rPr>
                                <w:color w:val="0A0A0A"/>
                                <w:spacing w:val="-16"/>
                                <w:w w:val="110"/>
                                <w:sz w:val="22"/>
                              </w:rPr>
                              <w:t> </w:t>
                            </w:r>
                            <w:r>
                              <w:rPr>
                                <w:color w:val="0A0A0A"/>
                                <w:spacing w:val="-2"/>
                                <w:w w:val="110"/>
                                <w:sz w:val="22"/>
                              </w:rPr>
                              <w:t>property</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rPr>
                                <w:rFonts w:ascii="Times New Roman"/>
                                <w:sz w:val="22"/>
                              </w:rPr>
                            </w:pPr>
                          </w:p>
                        </w:tc>
                      </w:tr>
                      <w:tr>
                        <w:trPr>
                          <w:trHeight w:val="706" w:hRule="atLeast"/>
                        </w:trPr>
                        <w:tc>
                          <w:tcPr>
                            <w:tcW w:w="4690" w:type="dxa"/>
                          </w:tcPr>
                          <w:p>
                            <w:pPr>
                              <w:pStyle w:val="TableParagraph"/>
                              <w:spacing w:before="141"/>
                              <w:rPr>
                                <w:sz w:val="22"/>
                              </w:rPr>
                            </w:pPr>
                          </w:p>
                          <w:p>
                            <w:pPr>
                              <w:pStyle w:val="TableParagraph"/>
                              <w:ind w:left="77"/>
                              <w:rPr>
                                <w:sz w:val="22"/>
                              </w:rPr>
                            </w:pPr>
                            <w:r>
                              <w:rPr>
                                <w:color w:val="0A0A0A"/>
                                <w:w w:val="110"/>
                                <w:sz w:val="22"/>
                              </w:rPr>
                              <w:t>Investment</w:t>
                            </w:r>
                            <w:r>
                              <w:rPr>
                                <w:color w:val="0A0A0A"/>
                                <w:spacing w:val="-17"/>
                                <w:w w:val="110"/>
                                <w:sz w:val="22"/>
                              </w:rPr>
                              <w:t> </w:t>
                            </w:r>
                            <w:r>
                              <w:rPr>
                                <w:color w:val="0A0A0A"/>
                                <w:w w:val="110"/>
                                <w:sz w:val="22"/>
                              </w:rPr>
                              <w:t>Funds</w:t>
                            </w:r>
                            <w:r>
                              <w:rPr>
                                <w:color w:val="0A0A0A"/>
                                <w:spacing w:val="-13"/>
                                <w:w w:val="110"/>
                                <w:sz w:val="22"/>
                              </w:rPr>
                              <w:t> </w:t>
                            </w:r>
                            <w:r>
                              <w:rPr>
                                <w:color w:val="0A0A0A"/>
                                <w:w w:val="110"/>
                                <w:sz w:val="22"/>
                              </w:rPr>
                              <w:t>and</w:t>
                            </w:r>
                            <w:r>
                              <w:rPr>
                                <w:color w:val="0A0A0A"/>
                                <w:spacing w:val="-17"/>
                                <w:w w:val="110"/>
                                <w:sz w:val="22"/>
                              </w:rPr>
                              <w:t> </w:t>
                            </w:r>
                            <w:r>
                              <w:rPr>
                                <w:color w:val="0A0A0A"/>
                                <w:w w:val="110"/>
                                <w:sz w:val="22"/>
                              </w:rPr>
                              <w:t>Unit</w:t>
                            </w:r>
                            <w:r>
                              <w:rPr>
                                <w:color w:val="0A0A0A"/>
                                <w:spacing w:val="-17"/>
                                <w:w w:val="110"/>
                                <w:sz w:val="22"/>
                              </w:rPr>
                              <w:t> </w:t>
                            </w:r>
                            <w:r>
                              <w:rPr>
                                <w:color w:val="0A0A0A"/>
                                <w:spacing w:val="-2"/>
                                <w:w w:val="110"/>
                                <w:sz w:val="22"/>
                              </w:rPr>
                              <w:t>Trusts:</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rPr>
                                <w:rFonts w:ascii="Times New Roman"/>
                                <w:sz w:val="22"/>
                              </w:rPr>
                            </w:pPr>
                          </w:p>
                        </w:tc>
                      </w:tr>
                      <w:tr>
                        <w:trPr>
                          <w:trHeight w:val="294" w:hRule="atLeast"/>
                        </w:trPr>
                        <w:tc>
                          <w:tcPr>
                            <w:tcW w:w="4690" w:type="dxa"/>
                          </w:tcPr>
                          <w:p>
                            <w:pPr>
                              <w:pStyle w:val="TableParagraph"/>
                              <w:spacing w:before="24" w:line="251" w:lineRule="exact"/>
                              <w:ind w:left="80"/>
                              <w:rPr>
                                <w:sz w:val="22"/>
                              </w:rPr>
                            </w:pPr>
                            <w:r>
                              <w:rPr>
                                <w:color w:val="0A0A0A"/>
                                <w:spacing w:val="-2"/>
                                <w:sz w:val="22"/>
                              </w:rPr>
                              <w:t>Equities</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spacing w:before="30" w:line="245" w:lineRule="exact"/>
                              <w:ind w:right="59"/>
                              <w:jc w:val="right"/>
                              <w:rPr>
                                <w:rFonts w:ascii="Times New Roman"/>
                                <w:sz w:val="23"/>
                              </w:rPr>
                            </w:pPr>
                            <w:r>
                              <w:rPr>
                                <w:rFonts w:ascii="Times New Roman"/>
                                <w:color w:val="C1C1C1"/>
                                <w:spacing w:val="-10"/>
                                <w:w w:val="135"/>
                                <w:sz w:val="23"/>
                              </w:rPr>
                              <w:t>1</w:t>
                            </w:r>
                          </w:p>
                        </w:tc>
                      </w:tr>
                      <w:tr>
                        <w:trPr>
                          <w:trHeight w:val="339" w:hRule="atLeast"/>
                        </w:trPr>
                        <w:tc>
                          <w:tcPr>
                            <w:tcW w:w="4690" w:type="dxa"/>
                          </w:tcPr>
                          <w:p>
                            <w:pPr>
                              <w:pStyle w:val="TableParagraph"/>
                              <w:spacing w:before="75" w:line="244" w:lineRule="exact"/>
                              <w:ind w:left="77"/>
                              <w:rPr>
                                <w:sz w:val="22"/>
                              </w:rPr>
                            </w:pPr>
                            <w:r>
                              <w:rPr>
                                <w:color w:val="0A0A0A"/>
                                <w:spacing w:val="-2"/>
                                <w:sz w:val="22"/>
                              </w:rPr>
                              <w:t>Bonds</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spacing w:before="47"/>
                              <w:rPr>
                                <w:sz w:val="8"/>
                              </w:rPr>
                            </w:pPr>
                          </w:p>
                          <w:p>
                            <w:pPr>
                              <w:pStyle w:val="TableParagraph"/>
                              <w:spacing w:before="1"/>
                              <w:ind w:right="193"/>
                              <w:jc w:val="right"/>
                              <w:rPr>
                                <w:rFonts w:ascii="Times New Roman"/>
                                <w:sz w:val="8"/>
                              </w:rPr>
                            </w:pPr>
                            <w:r>
                              <w:rPr>
                                <w:rFonts w:ascii="Times New Roman"/>
                                <w:color w:val="A8A8A8"/>
                                <w:spacing w:val="-10"/>
                                <w:w w:val="45"/>
                                <w:sz w:val="8"/>
                              </w:rPr>
                              <w:t>I</w:t>
                            </w:r>
                          </w:p>
                        </w:tc>
                      </w:tr>
                      <w:tr>
                        <w:trPr>
                          <w:trHeight w:val="350" w:hRule="atLeast"/>
                        </w:trPr>
                        <w:tc>
                          <w:tcPr>
                            <w:tcW w:w="4690" w:type="dxa"/>
                          </w:tcPr>
                          <w:p>
                            <w:pPr>
                              <w:pStyle w:val="TableParagraph"/>
                              <w:spacing w:before="77"/>
                              <w:ind w:left="73"/>
                              <w:rPr>
                                <w:sz w:val="22"/>
                              </w:rPr>
                            </w:pPr>
                            <w:r>
                              <w:rPr>
                                <w:color w:val="0A0A0A"/>
                                <w:spacing w:val="-2"/>
                                <w:sz w:val="22"/>
                              </w:rPr>
                              <w:t>Infrastructure</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rPr>
                                <w:rFonts w:ascii="Times New Roman"/>
                                <w:sz w:val="22"/>
                              </w:rPr>
                            </w:pPr>
                          </w:p>
                        </w:tc>
                      </w:tr>
                      <w:tr>
                        <w:trPr>
                          <w:trHeight w:val="345" w:hRule="atLeast"/>
                        </w:trPr>
                        <w:tc>
                          <w:tcPr>
                            <w:tcW w:w="4690" w:type="dxa"/>
                          </w:tcPr>
                          <w:p>
                            <w:pPr>
                              <w:pStyle w:val="TableParagraph"/>
                              <w:spacing w:before="72"/>
                              <w:ind w:left="68"/>
                              <w:rPr>
                                <w:sz w:val="22"/>
                              </w:rPr>
                            </w:pPr>
                            <w:r>
                              <w:rPr>
                                <w:color w:val="0A0A0A"/>
                                <w:spacing w:val="-2"/>
                                <w:sz w:val="22"/>
                              </w:rPr>
                              <w:t>Other</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rPr>
                                <w:rFonts w:ascii="Times New Roman"/>
                                <w:sz w:val="22"/>
                              </w:rPr>
                            </w:pPr>
                          </w:p>
                        </w:tc>
                      </w:tr>
                      <w:tr>
                        <w:trPr>
                          <w:trHeight w:val="341" w:hRule="atLeast"/>
                        </w:trPr>
                        <w:tc>
                          <w:tcPr>
                            <w:tcW w:w="4690" w:type="dxa"/>
                          </w:tcPr>
                          <w:p>
                            <w:pPr>
                              <w:pStyle w:val="TableParagraph"/>
                              <w:spacing w:before="72" w:line="249" w:lineRule="exact"/>
                              <w:ind w:left="64"/>
                              <w:rPr>
                                <w:sz w:val="22"/>
                              </w:rPr>
                            </w:pPr>
                            <w:r>
                              <w:rPr>
                                <w:color w:val="0A0A0A"/>
                                <w:w w:val="110"/>
                                <w:sz w:val="22"/>
                              </w:rPr>
                              <w:t>Sub-total</w:t>
                            </w:r>
                            <w:r>
                              <w:rPr>
                                <w:color w:val="0A0A0A"/>
                                <w:spacing w:val="-5"/>
                                <w:w w:val="110"/>
                                <w:sz w:val="22"/>
                              </w:rPr>
                              <w:t> </w:t>
                            </w:r>
                            <w:r>
                              <w:rPr>
                                <w:color w:val="0A0A0A"/>
                                <w:w w:val="110"/>
                                <w:sz w:val="22"/>
                              </w:rPr>
                              <w:t>investment</w:t>
                            </w:r>
                            <w:r>
                              <w:rPr>
                                <w:color w:val="0A0A0A"/>
                                <w:spacing w:val="6"/>
                                <w:w w:val="110"/>
                                <w:sz w:val="22"/>
                              </w:rPr>
                              <w:t> </w:t>
                            </w:r>
                            <w:r>
                              <w:rPr>
                                <w:color w:val="0A0A0A"/>
                                <w:w w:val="110"/>
                                <w:sz w:val="22"/>
                              </w:rPr>
                              <w:t>funds</w:t>
                            </w:r>
                            <w:r>
                              <w:rPr>
                                <w:color w:val="0A0A0A"/>
                                <w:spacing w:val="-8"/>
                                <w:w w:val="110"/>
                                <w:sz w:val="22"/>
                              </w:rPr>
                              <w:t> </w:t>
                            </w:r>
                            <w:r>
                              <w:rPr>
                                <w:color w:val="0A0A0A"/>
                                <w:w w:val="110"/>
                                <w:sz w:val="22"/>
                              </w:rPr>
                              <w:t>and</w:t>
                            </w:r>
                            <w:r>
                              <w:rPr>
                                <w:color w:val="0A0A0A"/>
                                <w:spacing w:val="-8"/>
                                <w:w w:val="110"/>
                                <w:sz w:val="22"/>
                              </w:rPr>
                              <w:t> </w:t>
                            </w:r>
                            <w:r>
                              <w:rPr>
                                <w:color w:val="0A0A0A"/>
                                <w:w w:val="110"/>
                                <w:sz w:val="22"/>
                              </w:rPr>
                              <w:t>unit</w:t>
                            </w:r>
                            <w:r>
                              <w:rPr>
                                <w:color w:val="0A0A0A"/>
                                <w:spacing w:val="-16"/>
                                <w:w w:val="110"/>
                                <w:sz w:val="22"/>
                              </w:rPr>
                              <w:t> </w:t>
                            </w:r>
                            <w:r>
                              <w:rPr>
                                <w:color w:val="0A0A0A"/>
                                <w:spacing w:val="-2"/>
                                <w:w w:val="110"/>
                                <w:sz w:val="22"/>
                              </w:rPr>
                              <w:t>trusts</w:t>
                            </w:r>
                          </w:p>
                        </w:tc>
                        <w:tc>
                          <w:tcPr>
                            <w:tcW w:w="307" w:type="dxa"/>
                          </w:tcPr>
                          <w:p>
                            <w:pPr>
                              <w:pStyle w:val="TableParagraph"/>
                              <w:rPr>
                                <w:rFonts w:ascii="Times New Roman"/>
                                <w:sz w:val="22"/>
                              </w:rPr>
                            </w:pPr>
                          </w:p>
                        </w:tc>
                        <w:tc>
                          <w:tcPr>
                            <w:tcW w:w="1139" w:type="dxa"/>
                          </w:tcPr>
                          <w:p>
                            <w:pPr>
                              <w:pStyle w:val="TableParagraph"/>
                              <w:rPr>
                                <w:rFonts w:ascii="Times New Roman"/>
                                <w:sz w:val="22"/>
                              </w:rPr>
                            </w:pPr>
                          </w:p>
                        </w:tc>
                        <w:tc>
                          <w:tcPr>
                            <w:tcW w:w="392" w:type="dxa"/>
                          </w:tcPr>
                          <w:p>
                            <w:pPr>
                              <w:pStyle w:val="TableParagraph"/>
                              <w:rPr>
                                <w:rFonts w:ascii="Times New Roman"/>
                                <w:sz w:val="22"/>
                              </w:rPr>
                            </w:pPr>
                          </w:p>
                        </w:tc>
                        <w:tc>
                          <w:tcPr>
                            <w:tcW w:w="1206" w:type="dxa"/>
                          </w:tcPr>
                          <w:p>
                            <w:pPr>
                              <w:pStyle w:val="TableParagraph"/>
                              <w:rPr>
                                <w:rFonts w:ascii="Times New Roman"/>
                                <w:sz w:val="22"/>
                              </w:rPr>
                            </w:pPr>
                          </w:p>
                        </w:tc>
                        <w:tc>
                          <w:tcPr>
                            <w:tcW w:w="1315" w:type="dxa"/>
                          </w:tcPr>
                          <w:p>
                            <w:pPr>
                              <w:pStyle w:val="TableParagraph"/>
                              <w:rPr>
                                <w:rFonts w:ascii="Times New Roman"/>
                                <w:sz w:val="22"/>
                              </w:rPr>
                            </w:pPr>
                          </w:p>
                        </w:tc>
                        <w:tc>
                          <w:tcPr>
                            <w:tcW w:w="926" w:type="dxa"/>
                          </w:tcPr>
                          <w:p>
                            <w:pPr>
                              <w:pStyle w:val="TableParagraph"/>
                              <w:rPr>
                                <w:rFonts w:ascii="Times New Roman"/>
                                <w:sz w:val="22"/>
                              </w:rPr>
                            </w:pPr>
                          </w:p>
                        </w:tc>
                      </w:tr>
                      <w:tr>
                        <w:trPr>
                          <w:trHeight w:val="1020" w:hRule="atLeast"/>
                        </w:trPr>
                        <w:tc>
                          <w:tcPr>
                            <w:tcW w:w="4690" w:type="dxa"/>
                          </w:tcPr>
                          <w:p>
                            <w:pPr>
                              <w:pStyle w:val="TableParagraph"/>
                              <w:spacing w:before="155"/>
                              <w:rPr>
                                <w:sz w:val="22"/>
                              </w:rPr>
                            </w:pPr>
                          </w:p>
                          <w:p>
                            <w:pPr>
                              <w:pStyle w:val="TableParagraph"/>
                              <w:ind w:left="57"/>
                              <w:rPr>
                                <w:sz w:val="22"/>
                              </w:rPr>
                            </w:pPr>
                            <w:r>
                              <w:rPr>
                                <w:color w:val="0A0A0A"/>
                                <w:w w:val="110"/>
                                <w:sz w:val="22"/>
                              </w:rPr>
                              <w:t>Derivatives:</w:t>
                            </w:r>
                            <w:r>
                              <w:rPr>
                                <w:color w:val="0A0A0A"/>
                                <w:spacing w:val="-3"/>
                                <w:w w:val="110"/>
                                <w:sz w:val="22"/>
                              </w:rPr>
                              <w:t> </w:t>
                            </w:r>
                            <w:r>
                              <w:rPr>
                                <w:color w:val="0A0A0A"/>
                                <w:w w:val="110"/>
                                <w:sz w:val="22"/>
                              </w:rPr>
                              <w:t>foreign</w:t>
                            </w:r>
                            <w:r>
                              <w:rPr>
                                <w:color w:val="0A0A0A"/>
                                <w:spacing w:val="-16"/>
                                <w:w w:val="110"/>
                                <w:sz w:val="22"/>
                              </w:rPr>
                              <w:t> </w:t>
                            </w:r>
                            <w:r>
                              <w:rPr>
                                <w:color w:val="0A0A0A"/>
                                <w:spacing w:val="-2"/>
                                <w:w w:val="110"/>
                                <w:sz w:val="22"/>
                              </w:rPr>
                              <w:t>exchange</w:t>
                            </w:r>
                          </w:p>
                        </w:tc>
                        <w:tc>
                          <w:tcPr>
                            <w:tcW w:w="307" w:type="dxa"/>
                            <w:tcBorders>
                              <w:bottom w:val="single" w:color="000000" w:sz="6" w:space="0"/>
                            </w:tcBorders>
                          </w:tcPr>
                          <w:p>
                            <w:pPr>
                              <w:pStyle w:val="TableParagraph"/>
                              <w:rPr>
                                <w:rFonts w:ascii="Times New Roman"/>
                                <w:sz w:val="22"/>
                              </w:rPr>
                            </w:pPr>
                          </w:p>
                        </w:tc>
                        <w:tc>
                          <w:tcPr>
                            <w:tcW w:w="1139" w:type="dxa"/>
                            <w:tcBorders>
                              <w:bottom w:val="single" w:color="000000" w:sz="6" w:space="0"/>
                            </w:tcBorders>
                          </w:tcPr>
                          <w:p>
                            <w:pPr>
                              <w:pStyle w:val="TableParagraph"/>
                              <w:rPr>
                                <w:rFonts w:ascii="Times New Roman"/>
                                <w:sz w:val="22"/>
                              </w:rPr>
                            </w:pPr>
                          </w:p>
                        </w:tc>
                        <w:tc>
                          <w:tcPr>
                            <w:tcW w:w="392" w:type="dxa"/>
                            <w:tcBorders>
                              <w:bottom w:val="single" w:color="000000" w:sz="6" w:space="0"/>
                            </w:tcBorders>
                          </w:tcPr>
                          <w:p>
                            <w:pPr>
                              <w:pStyle w:val="TableParagraph"/>
                              <w:rPr>
                                <w:rFonts w:ascii="Times New Roman"/>
                                <w:sz w:val="22"/>
                              </w:rPr>
                            </w:pPr>
                          </w:p>
                        </w:tc>
                        <w:tc>
                          <w:tcPr>
                            <w:tcW w:w="1206" w:type="dxa"/>
                            <w:tcBorders>
                              <w:bottom w:val="single" w:color="000000" w:sz="6" w:space="0"/>
                            </w:tcBorders>
                          </w:tcPr>
                          <w:p>
                            <w:pPr>
                              <w:pStyle w:val="TableParagraph"/>
                              <w:spacing w:before="36"/>
                              <w:rPr>
                                <w:sz w:val="23"/>
                              </w:rPr>
                            </w:pPr>
                          </w:p>
                          <w:p>
                            <w:pPr>
                              <w:pStyle w:val="TableParagraph"/>
                              <w:ind w:right="7"/>
                              <w:jc w:val="right"/>
                              <w:rPr>
                                <w:sz w:val="34"/>
                              </w:rPr>
                            </w:pPr>
                            <w:r>
                              <w:rPr>
                                <w:rFonts w:ascii="Times New Roman"/>
                                <w:color w:val="282828"/>
                                <w:w w:val="95"/>
                                <w:sz w:val="23"/>
                              </w:rPr>
                              <w:t>(307)</w:t>
                            </w:r>
                            <w:r>
                              <w:rPr>
                                <w:rFonts w:ascii="Times New Roman"/>
                                <w:color w:val="282828"/>
                                <w:spacing w:val="53"/>
                                <w:sz w:val="23"/>
                              </w:rPr>
                              <w:t> </w:t>
                            </w:r>
                            <w:r>
                              <w:rPr>
                                <w:color w:val="646464"/>
                                <w:spacing w:val="-10"/>
                                <w:w w:val="95"/>
                                <w:sz w:val="34"/>
                              </w:rPr>
                              <w:t>!</w:t>
                            </w:r>
                          </w:p>
                        </w:tc>
                        <w:tc>
                          <w:tcPr>
                            <w:tcW w:w="1315" w:type="dxa"/>
                            <w:tcBorders>
                              <w:bottom w:val="single" w:color="000000" w:sz="6" w:space="0"/>
                            </w:tcBorders>
                          </w:tcPr>
                          <w:p>
                            <w:pPr>
                              <w:pStyle w:val="TableParagraph"/>
                              <w:spacing w:before="31"/>
                              <w:rPr>
                                <w:sz w:val="23"/>
                              </w:rPr>
                            </w:pPr>
                          </w:p>
                          <w:p>
                            <w:pPr>
                              <w:pStyle w:val="TableParagraph"/>
                              <w:ind w:right="33"/>
                              <w:jc w:val="right"/>
                              <w:rPr>
                                <w:sz w:val="34"/>
                              </w:rPr>
                            </w:pPr>
                            <w:r>
                              <w:rPr>
                                <w:rFonts w:ascii="Times New Roman"/>
                                <w:color w:val="282828"/>
                                <w:w w:val="95"/>
                                <w:sz w:val="23"/>
                              </w:rPr>
                              <w:t>(307)</w:t>
                            </w:r>
                            <w:r>
                              <w:rPr>
                                <w:rFonts w:ascii="Times New Roman"/>
                                <w:color w:val="282828"/>
                                <w:spacing w:val="58"/>
                                <w:sz w:val="23"/>
                              </w:rPr>
                              <w:t> </w:t>
                            </w:r>
                            <w:r>
                              <w:rPr>
                                <w:color w:val="4B4B4B"/>
                                <w:spacing w:val="-10"/>
                                <w:w w:val="95"/>
                                <w:sz w:val="34"/>
                              </w:rPr>
                              <w:t>!</w:t>
                            </w:r>
                          </w:p>
                        </w:tc>
                        <w:tc>
                          <w:tcPr>
                            <w:tcW w:w="926" w:type="dxa"/>
                            <w:tcBorders>
                              <w:bottom w:val="single" w:color="000000" w:sz="6" w:space="0"/>
                            </w:tcBorders>
                          </w:tcPr>
                          <w:p>
                            <w:pPr>
                              <w:pStyle w:val="TableParagraph"/>
                              <w:spacing w:before="208"/>
                              <w:ind w:left="563"/>
                              <w:rPr>
                                <w:sz w:val="49"/>
                              </w:rPr>
                            </w:pPr>
                            <w:r>
                              <w:rPr>
                                <w:color w:val="0A0A0A"/>
                                <w:spacing w:val="46"/>
                                <w:w w:val="50"/>
                                <w:sz w:val="49"/>
                              </w:rPr>
                              <w:t>-</w:t>
                            </w:r>
                            <w:r>
                              <w:rPr>
                                <w:color w:val="C1C1C1"/>
                                <w:spacing w:val="-10"/>
                                <w:w w:val="70"/>
                                <w:sz w:val="49"/>
                              </w:rPr>
                              <w:t>I</w:t>
                            </w:r>
                          </w:p>
                        </w:tc>
                      </w:tr>
                      <w:tr>
                        <w:trPr>
                          <w:trHeight w:val="318" w:hRule="atLeast"/>
                        </w:trPr>
                        <w:tc>
                          <w:tcPr>
                            <w:tcW w:w="4690" w:type="dxa"/>
                          </w:tcPr>
                          <w:p>
                            <w:pPr>
                              <w:pStyle w:val="TableParagraph"/>
                              <w:spacing w:before="45"/>
                              <w:ind w:left="50"/>
                              <w:rPr>
                                <w:sz w:val="22"/>
                              </w:rPr>
                            </w:pPr>
                            <w:r>
                              <w:rPr>
                                <w:color w:val="0A0A0A"/>
                                <w:spacing w:val="-2"/>
                                <w:w w:val="110"/>
                                <w:sz w:val="22"/>
                              </w:rPr>
                              <w:t>Total</w:t>
                            </w:r>
                            <w:r>
                              <w:rPr>
                                <w:color w:val="0A0A0A"/>
                                <w:spacing w:val="-7"/>
                                <w:w w:val="110"/>
                                <w:sz w:val="22"/>
                              </w:rPr>
                              <w:t> </w:t>
                            </w:r>
                            <w:r>
                              <w:rPr>
                                <w:color w:val="0A0A0A"/>
                                <w:spacing w:val="-2"/>
                                <w:w w:val="110"/>
                                <w:sz w:val="22"/>
                              </w:rPr>
                              <w:t>assets</w:t>
                            </w:r>
                          </w:p>
                        </w:tc>
                        <w:tc>
                          <w:tcPr>
                            <w:tcW w:w="307" w:type="dxa"/>
                            <w:tcBorders>
                              <w:top w:val="single" w:color="000000" w:sz="6" w:space="0"/>
                              <w:bottom w:val="single" w:color="000000" w:sz="8" w:space="0"/>
                            </w:tcBorders>
                          </w:tcPr>
                          <w:p>
                            <w:pPr>
                              <w:pStyle w:val="TableParagraph"/>
                              <w:rPr>
                                <w:rFonts w:ascii="Times New Roman"/>
                                <w:sz w:val="22"/>
                              </w:rPr>
                            </w:pPr>
                          </w:p>
                        </w:tc>
                        <w:tc>
                          <w:tcPr>
                            <w:tcW w:w="1139" w:type="dxa"/>
                            <w:tcBorders>
                              <w:top w:val="single" w:color="000000" w:sz="6" w:space="0"/>
                              <w:bottom w:val="single" w:color="000000" w:sz="8" w:space="0"/>
                            </w:tcBorders>
                          </w:tcPr>
                          <w:p>
                            <w:pPr>
                              <w:pStyle w:val="TableParagraph"/>
                              <w:spacing w:before="37" w:line="262" w:lineRule="exact"/>
                              <w:ind w:left="-20" w:right="136"/>
                              <w:jc w:val="right"/>
                              <w:rPr>
                                <w:rFonts w:ascii="Times New Roman"/>
                                <w:sz w:val="23"/>
                              </w:rPr>
                            </w:pPr>
                            <w:r>
                              <w:rPr>
                                <w:rFonts w:ascii="Times New Roman"/>
                                <w:color w:val="0A0A0A"/>
                                <w:spacing w:val="-2"/>
                                <w:w w:val="105"/>
                                <w:sz w:val="23"/>
                              </w:rPr>
                              <w:t>67,160</w:t>
                            </w:r>
                          </w:p>
                        </w:tc>
                        <w:tc>
                          <w:tcPr>
                            <w:tcW w:w="392" w:type="dxa"/>
                            <w:tcBorders>
                              <w:top w:val="single" w:color="000000" w:sz="6" w:space="0"/>
                              <w:bottom w:val="single" w:color="000000" w:sz="8" w:space="0"/>
                            </w:tcBorders>
                          </w:tcPr>
                          <w:p>
                            <w:pPr>
                              <w:pStyle w:val="TableParagraph"/>
                              <w:rPr>
                                <w:rFonts w:ascii="Times New Roman"/>
                                <w:sz w:val="22"/>
                              </w:rPr>
                            </w:pPr>
                          </w:p>
                        </w:tc>
                        <w:tc>
                          <w:tcPr>
                            <w:tcW w:w="1206" w:type="dxa"/>
                            <w:tcBorders>
                              <w:top w:val="single" w:color="000000" w:sz="6" w:space="0"/>
                              <w:bottom w:val="single" w:color="000000" w:sz="8" w:space="0"/>
                            </w:tcBorders>
                          </w:tcPr>
                          <w:p>
                            <w:pPr>
                              <w:pStyle w:val="TableParagraph"/>
                              <w:spacing w:before="42" w:line="257" w:lineRule="exact"/>
                              <w:ind w:right="-15"/>
                              <w:jc w:val="right"/>
                              <w:rPr>
                                <w:sz w:val="13"/>
                              </w:rPr>
                            </w:pPr>
                            <w:r>
                              <w:rPr>
                                <w:rFonts w:ascii="Times New Roman"/>
                                <w:color w:val="0A0A0A"/>
                                <w:sz w:val="23"/>
                              </w:rPr>
                              <w:t>34,780</w:t>
                            </w:r>
                            <w:r>
                              <w:rPr>
                                <w:rFonts w:ascii="Times New Roman"/>
                                <w:color w:val="0A0A0A"/>
                                <w:spacing w:val="62"/>
                                <w:sz w:val="23"/>
                              </w:rPr>
                              <w:t> </w:t>
                            </w:r>
                            <w:r>
                              <w:rPr>
                                <w:color w:val="C1C1C1"/>
                                <w:spacing w:val="-10"/>
                                <w:sz w:val="13"/>
                              </w:rPr>
                              <w:t>1</w:t>
                            </w:r>
                          </w:p>
                        </w:tc>
                        <w:tc>
                          <w:tcPr>
                            <w:tcW w:w="1315" w:type="dxa"/>
                            <w:tcBorders>
                              <w:top w:val="single" w:color="000000" w:sz="6" w:space="0"/>
                              <w:bottom w:val="single" w:color="000000" w:sz="8" w:space="0"/>
                            </w:tcBorders>
                          </w:tcPr>
                          <w:p>
                            <w:pPr>
                              <w:pStyle w:val="TableParagraph"/>
                              <w:spacing w:before="42" w:line="257" w:lineRule="exact"/>
                              <w:ind w:left="328"/>
                              <w:rPr>
                                <w:rFonts w:ascii="Times New Roman"/>
                                <w:sz w:val="10"/>
                              </w:rPr>
                            </w:pPr>
                            <w:r>
                              <w:rPr>
                                <w:rFonts w:ascii="Times New Roman"/>
                                <w:color w:val="0A0A0A"/>
                                <w:sz w:val="23"/>
                              </w:rPr>
                              <w:t>101,940</w:t>
                            </w:r>
                            <w:r>
                              <w:rPr>
                                <w:rFonts w:ascii="Times New Roman"/>
                                <w:color w:val="0A0A0A"/>
                                <w:spacing w:val="76"/>
                                <w:sz w:val="23"/>
                              </w:rPr>
                              <w:t> </w:t>
                            </w:r>
                            <w:r>
                              <w:rPr>
                                <w:rFonts w:ascii="Times New Roman"/>
                                <w:color w:val="C1C1C1"/>
                                <w:spacing w:val="-10"/>
                                <w:w w:val="75"/>
                                <w:sz w:val="10"/>
                              </w:rPr>
                              <w:t>J</w:t>
                            </w:r>
                          </w:p>
                        </w:tc>
                        <w:tc>
                          <w:tcPr>
                            <w:tcW w:w="926" w:type="dxa"/>
                            <w:tcBorders>
                              <w:top w:val="single" w:color="000000" w:sz="6" w:space="0"/>
                              <w:bottom w:val="single" w:color="000000" w:sz="8" w:space="0"/>
                            </w:tcBorders>
                          </w:tcPr>
                          <w:p>
                            <w:pPr>
                              <w:pStyle w:val="TableParagraph"/>
                              <w:tabs>
                                <w:tab w:val="left" w:leader="none" w:pos="711"/>
                              </w:tabs>
                              <w:spacing w:before="3" w:line="295" w:lineRule="exact"/>
                              <w:ind w:left="253"/>
                              <w:rPr>
                                <w:sz w:val="27"/>
                              </w:rPr>
                            </w:pPr>
                            <w:r>
                              <w:rPr>
                                <w:rFonts w:ascii="Times New Roman"/>
                                <w:color w:val="0A0A0A"/>
                                <w:spacing w:val="-5"/>
                                <w:w w:val="65"/>
                                <w:sz w:val="23"/>
                              </w:rPr>
                              <w:t>100</w:t>
                            </w:r>
                            <w:r>
                              <w:rPr>
                                <w:rFonts w:ascii="Times New Roman"/>
                                <w:color w:val="0A0A0A"/>
                                <w:sz w:val="23"/>
                              </w:rPr>
                              <w:tab/>
                            </w:r>
                            <w:r>
                              <w:rPr>
                                <w:color w:val="C1C1C1"/>
                                <w:spacing w:val="-10"/>
                                <w:w w:val="80"/>
                                <w:sz w:val="27"/>
                              </w:rPr>
                              <w:t>I</w:t>
                            </w:r>
                          </w:p>
                        </w:tc>
                      </w:tr>
                    </w:tbl>
                    <w:p>
                      <w:pPr>
                        <w:pStyle w:val="BodyText"/>
                      </w:pPr>
                    </w:p>
                  </w:txbxContent>
                </v:textbox>
                <w10:wrap type="none"/>
              </v:shape>
            </w:pict>
          </ve:Fallback>
        </ve:AlternateContent>
      </w:r>
      <w:r>
        <w:rPr>
          <w:color w:val="0A0A0A"/>
        </w:rPr>
        <w:t>UK</w:t>
      </w:r>
      <w:r>
        <w:rPr>
          <w:color w:val="0A0A0A"/>
          <w:spacing w:val="2"/>
        </w:rPr>
        <w:t> </w:t>
      </w:r>
      <w:r>
        <w:rPr>
          <w:color w:val="0A0A0A"/>
          <w:spacing w:val="-2"/>
        </w:rPr>
        <w:t>Property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1" w:after="1"/>
        <w:rPr>
          <w:sz w:val="20"/>
        </w:rPr>
      </w:pPr>
    </w:p>
    <w:tbl>
      <w:tblPr>
        <w:tblW w:w="0" w:type="auto"/>
        <w:jc w:val="left"/>
        <w:tblInd w:w="650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Look w:val="01E0"/>
      </w:tblPr>
      <w:tblGrid>
        <w:gridCol w:w="1060"/>
        <w:gridCol w:w="546"/>
        <w:gridCol w:w="998"/>
        <w:gridCol w:w="89"/>
        <w:gridCol w:w="292"/>
        <w:gridCol w:w="1262"/>
        <w:gridCol w:w="528"/>
      </w:tblGrid>
      <w:tr>
        <w:trPr>
          <w:trHeight w:val="280" w:hRule="atLeast"/>
        </w:trPr>
        <w:tc>
          <w:tcPr>
            <w:tcW w:w="1060" w:type="dxa"/>
            <w:tcBorders>
              <w:top w:val="nil"/>
              <w:left w:val="nil"/>
              <w:right w:val="nil"/>
            </w:tcBorders>
          </w:tcPr>
          <w:p>
            <w:pPr>
              <w:pStyle w:val="TableParagraph"/>
              <w:spacing w:before="24" w:line="237" w:lineRule="exact"/>
              <w:ind w:right="35"/>
              <w:jc w:val="right"/>
              <w:rPr>
                <w:sz w:val="22"/>
              </w:rPr>
            </w:pPr>
            <w:r>
              <w:rPr>
                <w:color w:val="0A0A0A"/>
                <w:spacing w:val="-2"/>
                <w:sz w:val="22"/>
              </w:rPr>
              <w:t>34,492</w:t>
            </w:r>
          </w:p>
        </w:tc>
        <w:tc>
          <w:tcPr>
            <w:tcW w:w="546" w:type="dxa"/>
            <w:tcBorders>
              <w:top w:val="nil"/>
              <w:left w:val="nil"/>
              <w:right w:val="nil"/>
            </w:tcBorders>
          </w:tcPr>
          <w:p>
            <w:pPr>
              <w:pStyle w:val="TableParagraph"/>
              <w:rPr>
                <w:rFonts w:ascii="Times New Roman"/>
                <w:sz w:val="20"/>
              </w:rPr>
            </w:pPr>
          </w:p>
        </w:tc>
        <w:tc>
          <w:tcPr>
            <w:tcW w:w="1087" w:type="dxa"/>
            <w:gridSpan w:val="2"/>
            <w:tcBorders>
              <w:top w:val="nil"/>
              <w:left w:val="nil"/>
              <w:right w:val="single" w:color="000000" w:sz="2" w:space="0"/>
            </w:tcBorders>
          </w:tcPr>
          <w:p>
            <w:pPr>
              <w:pStyle w:val="TableParagraph"/>
              <w:spacing w:line="261" w:lineRule="exact"/>
              <w:ind w:right="65"/>
              <w:jc w:val="right"/>
              <w:rPr>
                <w:sz w:val="27"/>
              </w:rPr>
            </w:pPr>
            <w:r>
              <w:rPr>
                <w:color w:val="363636"/>
                <w:spacing w:val="-10"/>
                <w:sz w:val="27"/>
              </w:rPr>
              <w:t>-</w:t>
            </w:r>
          </w:p>
        </w:tc>
        <w:tc>
          <w:tcPr>
            <w:tcW w:w="1554" w:type="dxa"/>
            <w:gridSpan w:val="2"/>
            <w:tcBorders>
              <w:top w:val="nil"/>
              <w:left w:val="single" w:color="000000" w:sz="2" w:space="0"/>
              <w:right w:val="nil"/>
            </w:tcBorders>
          </w:tcPr>
          <w:p>
            <w:pPr>
              <w:pStyle w:val="TableParagraph"/>
              <w:spacing w:before="33" w:line="227" w:lineRule="exact"/>
              <w:ind w:left="529"/>
              <w:rPr>
                <w:sz w:val="20"/>
              </w:rPr>
            </w:pPr>
            <w:r>
              <w:rPr>
                <w:b/>
                <w:color w:val="0A0A0A"/>
                <w:w w:val="105"/>
                <w:sz w:val="21"/>
              </w:rPr>
              <w:t>34,492</w:t>
            </w:r>
            <w:r>
              <w:rPr>
                <w:b/>
                <w:color w:val="0A0A0A"/>
                <w:spacing w:val="16"/>
                <w:w w:val="105"/>
                <w:sz w:val="21"/>
              </w:rPr>
              <w:t> </w:t>
            </w:r>
            <w:r>
              <w:rPr>
                <w:color w:val="C1C1C1"/>
                <w:spacing w:val="-10"/>
                <w:w w:val="105"/>
                <w:sz w:val="20"/>
              </w:rPr>
              <w:t>I</w:t>
            </w:r>
          </w:p>
        </w:tc>
        <w:tc>
          <w:tcPr>
            <w:tcW w:w="528" w:type="dxa"/>
            <w:tcBorders>
              <w:top w:val="nil"/>
              <w:left w:val="nil"/>
              <w:right w:val="nil"/>
            </w:tcBorders>
          </w:tcPr>
          <w:p>
            <w:pPr>
              <w:pStyle w:val="TableParagraph"/>
              <w:spacing w:before="30" w:line="230" w:lineRule="exact"/>
              <w:ind w:right="9"/>
              <w:jc w:val="right"/>
              <w:rPr>
                <w:rFonts w:ascii="Times New Roman"/>
                <w:sz w:val="23"/>
              </w:rPr>
            </w:pPr>
            <w:r>
              <w:rPr>
                <w:rFonts w:ascii="Times New Roman"/>
                <w:color w:val="0A0A0A"/>
                <w:spacing w:val="-5"/>
                <w:w w:val="135"/>
                <w:sz w:val="23"/>
              </w:rPr>
              <w:t>34</w:t>
            </w:r>
          </w:p>
        </w:tc>
      </w:tr>
      <w:tr>
        <w:trPr>
          <w:trHeight w:val="330" w:hRule="atLeast"/>
        </w:trPr>
        <w:tc>
          <w:tcPr>
            <w:tcW w:w="1060" w:type="dxa"/>
            <w:tcBorders>
              <w:left w:val="nil"/>
              <w:right w:val="nil"/>
            </w:tcBorders>
          </w:tcPr>
          <w:p>
            <w:pPr>
              <w:pStyle w:val="TableParagraph"/>
              <w:spacing w:before="69" w:line="241" w:lineRule="exact"/>
              <w:ind w:right="38"/>
              <w:jc w:val="right"/>
              <w:rPr>
                <w:sz w:val="22"/>
              </w:rPr>
            </w:pPr>
            <w:r>
              <w:rPr>
                <w:color w:val="0A0A0A"/>
                <w:spacing w:val="-2"/>
                <w:sz w:val="22"/>
              </w:rPr>
              <w:t>13,396</w:t>
            </w:r>
          </w:p>
        </w:tc>
        <w:tc>
          <w:tcPr>
            <w:tcW w:w="546" w:type="dxa"/>
            <w:tcBorders>
              <w:left w:val="nil"/>
              <w:right w:val="nil"/>
            </w:tcBorders>
          </w:tcPr>
          <w:p>
            <w:pPr>
              <w:pStyle w:val="TableParagraph"/>
              <w:spacing w:before="67"/>
              <w:rPr>
                <w:sz w:val="10"/>
              </w:rPr>
            </w:pPr>
          </w:p>
          <w:p>
            <w:pPr>
              <w:pStyle w:val="TableParagraph"/>
              <w:ind w:left="69"/>
              <w:rPr>
                <w:rFonts w:ascii="Times New Roman"/>
                <w:sz w:val="10"/>
              </w:rPr>
            </w:pPr>
            <w:r>
              <w:rPr>
                <w:rFonts w:ascii="Times New Roman"/>
                <w:color w:val="A8A8A8"/>
                <w:spacing w:val="-10"/>
                <w:w w:val="75"/>
                <w:sz w:val="10"/>
              </w:rPr>
              <w:t>I</w:t>
            </w:r>
          </w:p>
        </w:tc>
        <w:tc>
          <w:tcPr>
            <w:tcW w:w="1087" w:type="dxa"/>
            <w:gridSpan w:val="2"/>
            <w:tcBorders>
              <w:left w:val="nil"/>
              <w:right w:val="single" w:color="000000" w:sz="2" w:space="0"/>
            </w:tcBorders>
          </w:tcPr>
          <w:p>
            <w:pPr>
              <w:pStyle w:val="TableParagraph"/>
              <w:spacing w:before="28" w:line="283" w:lineRule="exact"/>
              <w:ind w:right="60"/>
              <w:jc w:val="right"/>
              <w:rPr>
                <w:rFonts w:ascii="Times New Roman"/>
                <w:sz w:val="26"/>
              </w:rPr>
            </w:pPr>
            <w:r>
              <w:rPr>
                <w:rFonts w:ascii="Times New Roman"/>
                <w:color w:val="282828"/>
                <w:spacing w:val="-10"/>
                <w:w w:val="105"/>
                <w:sz w:val="26"/>
              </w:rPr>
              <w:t>-</w:t>
            </w:r>
          </w:p>
        </w:tc>
        <w:tc>
          <w:tcPr>
            <w:tcW w:w="1554" w:type="dxa"/>
            <w:gridSpan w:val="2"/>
            <w:tcBorders>
              <w:left w:val="single" w:color="000000" w:sz="2" w:space="0"/>
              <w:right w:val="nil"/>
            </w:tcBorders>
          </w:tcPr>
          <w:p>
            <w:pPr>
              <w:pStyle w:val="TableParagraph"/>
              <w:spacing w:line="311" w:lineRule="exact"/>
              <w:ind w:left="510"/>
              <w:rPr>
                <w:sz w:val="30"/>
              </w:rPr>
            </w:pPr>
            <w:r>
              <w:rPr>
                <w:rFonts w:ascii="Times New Roman"/>
                <w:color w:val="0A0A0A"/>
                <w:w w:val="105"/>
                <w:sz w:val="23"/>
              </w:rPr>
              <w:t>13,396</w:t>
            </w:r>
            <w:r>
              <w:rPr>
                <w:rFonts w:ascii="Times New Roman"/>
                <w:color w:val="0A0A0A"/>
                <w:spacing w:val="37"/>
                <w:w w:val="105"/>
                <w:sz w:val="23"/>
              </w:rPr>
              <w:t> </w:t>
            </w:r>
            <w:r>
              <w:rPr>
                <w:color w:val="C1C1C1"/>
                <w:spacing w:val="-10"/>
                <w:w w:val="105"/>
                <w:sz w:val="30"/>
              </w:rPr>
              <w:t>I</w:t>
            </w:r>
          </w:p>
        </w:tc>
        <w:tc>
          <w:tcPr>
            <w:tcW w:w="528" w:type="dxa"/>
            <w:tcBorders>
              <w:left w:val="nil"/>
              <w:right w:val="single" w:color="000000" w:sz="2" w:space="0"/>
            </w:tcBorders>
          </w:tcPr>
          <w:p>
            <w:pPr>
              <w:pStyle w:val="TableParagraph"/>
              <w:spacing w:before="16"/>
              <w:ind w:right="68"/>
              <w:jc w:val="right"/>
              <w:rPr>
                <w:b/>
                <w:sz w:val="21"/>
              </w:rPr>
            </w:pPr>
            <w:r>
              <w:rPr>
                <w:b/>
                <w:color w:val="0A0A0A"/>
                <w:spacing w:val="-5"/>
                <w:w w:val="110"/>
                <w:sz w:val="21"/>
              </w:rPr>
              <w:t>13</w:t>
            </w:r>
          </w:p>
        </w:tc>
      </w:tr>
      <w:tr>
        <w:trPr>
          <w:trHeight w:val="335" w:hRule="atLeast"/>
        </w:trPr>
        <w:tc>
          <w:tcPr>
            <w:tcW w:w="1060" w:type="dxa"/>
            <w:tcBorders>
              <w:left w:val="nil"/>
              <w:right w:val="nil"/>
            </w:tcBorders>
          </w:tcPr>
          <w:p>
            <w:pPr>
              <w:pStyle w:val="TableParagraph"/>
              <w:spacing w:line="316" w:lineRule="exact"/>
              <w:ind w:right="24"/>
              <w:jc w:val="right"/>
              <w:rPr>
                <w:sz w:val="39"/>
              </w:rPr>
            </w:pPr>
            <w:r>
              <w:rPr>
                <w:color w:val="363636"/>
                <w:spacing w:val="-10"/>
                <w:w w:val="80"/>
                <w:sz w:val="39"/>
              </w:rPr>
              <w:t>-</w:t>
            </w:r>
          </w:p>
        </w:tc>
        <w:tc>
          <w:tcPr>
            <w:tcW w:w="546" w:type="dxa"/>
            <w:tcBorders>
              <w:left w:val="nil"/>
              <w:right w:val="nil"/>
            </w:tcBorders>
          </w:tcPr>
          <w:p>
            <w:pPr>
              <w:pStyle w:val="TableParagraph"/>
              <w:spacing w:line="316" w:lineRule="exact"/>
              <w:ind w:left="31"/>
              <w:rPr>
                <w:sz w:val="39"/>
              </w:rPr>
            </w:pPr>
            <w:r>
              <w:rPr>
                <w:color w:val="C1C1C1"/>
                <w:spacing w:val="-10"/>
                <w:w w:val="75"/>
                <w:sz w:val="39"/>
              </w:rPr>
              <w:t>I</w:t>
            </w:r>
          </w:p>
        </w:tc>
        <w:tc>
          <w:tcPr>
            <w:tcW w:w="998" w:type="dxa"/>
            <w:tcBorders>
              <w:left w:val="nil"/>
              <w:right w:val="nil"/>
            </w:tcBorders>
          </w:tcPr>
          <w:p>
            <w:pPr>
              <w:pStyle w:val="TableParagraph"/>
              <w:spacing w:before="84" w:line="232" w:lineRule="exact"/>
              <w:ind w:left="632" w:right="-15"/>
              <w:rPr>
                <w:sz w:val="22"/>
              </w:rPr>
            </w:pPr>
            <w:r>
              <w:rPr>
                <w:color w:val="0A0A0A"/>
                <w:spacing w:val="-5"/>
                <w:sz w:val="22"/>
              </w:rPr>
              <w:t>10a</w:t>
            </w:r>
          </w:p>
        </w:tc>
        <w:tc>
          <w:tcPr>
            <w:tcW w:w="381" w:type="dxa"/>
            <w:gridSpan w:val="2"/>
            <w:tcBorders>
              <w:left w:val="nil"/>
              <w:right w:val="nil"/>
            </w:tcBorders>
          </w:tcPr>
          <w:p>
            <w:pPr>
              <w:pStyle w:val="TableParagraph"/>
              <w:spacing w:line="316" w:lineRule="exact"/>
              <w:ind w:left="72"/>
              <w:rPr>
                <w:sz w:val="35"/>
              </w:rPr>
            </w:pPr>
            <w:r>
              <w:rPr>
                <w:color w:val="C1C1C1"/>
                <w:spacing w:val="-10"/>
                <w:w w:val="95"/>
                <w:sz w:val="35"/>
              </w:rPr>
              <w:t>I</w:t>
            </w:r>
          </w:p>
        </w:tc>
        <w:tc>
          <w:tcPr>
            <w:tcW w:w="1262" w:type="dxa"/>
            <w:tcBorders>
              <w:left w:val="nil"/>
              <w:right w:val="nil"/>
            </w:tcBorders>
          </w:tcPr>
          <w:p>
            <w:pPr>
              <w:pStyle w:val="TableParagraph"/>
              <w:spacing w:before="88" w:line="227" w:lineRule="exact"/>
              <w:ind w:right="270"/>
              <w:jc w:val="right"/>
              <w:rPr>
                <w:rFonts w:ascii="Times New Roman"/>
                <w:sz w:val="10"/>
              </w:rPr>
            </w:pPr>
            <w:r>
              <w:rPr>
                <w:b/>
                <w:color w:val="0A0A0A"/>
                <w:w w:val="95"/>
                <w:sz w:val="21"/>
              </w:rPr>
              <w:t>106</w:t>
            </w:r>
            <w:r>
              <w:rPr>
                <w:b/>
                <w:color w:val="0A0A0A"/>
                <w:spacing w:val="46"/>
                <w:sz w:val="21"/>
              </w:rPr>
              <w:t> </w:t>
            </w:r>
            <w:r>
              <w:rPr>
                <w:rFonts w:ascii="Times New Roman"/>
                <w:color w:val="C1C1C1"/>
                <w:spacing w:val="-10"/>
                <w:w w:val="80"/>
                <w:sz w:val="10"/>
              </w:rPr>
              <w:t>I</w:t>
            </w:r>
          </w:p>
        </w:tc>
        <w:tc>
          <w:tcPr>
            <w:tcW w:w="528" w:type="dxa"/>
            <w:tcBorders>
              <w:left w:val="nil"/>
              <w:right w:val="single" w:color="000000" w:sz="2" w:space="0"/>
            </w:tcBorders>
          </w:tcPr>
          <w:p>
            <w:pPr>
              <w:pStyle w:val="TableParagraph"/>
              <w:spacing w:line="316" w:lineRule="exact"/>
              <w:ind w:right="68"/>
              <w:jc w:val="right"/>
              <w:rPr>
                <w:sz w:val="32"/>
              </w:rPr>
            </w:pPr>
            <w:r>
              <w:rPr>
                <w:color w:val="0A0A0A"/>
                <w:spacing w:val="-10"/>
                <w:w w:val="85"/>
                <w:sz w:val="32"/>
              </w:rPr>
              <w:t>-</w:t>
            </w:r>
          </w:p>
        </w:tc>
      </w:tr>
      <w:tr>
        <w:trPr>
          <w:trHeight w:val="330" w:hRule="atLeast"/>
        </w:trPr>
        <w:tc>
          <w:tcPr>
            <w:tcW w:w="1060" w:type="dxa"/>
            <w:tcBorders>
              <w:left w:val="nil"/>
              <w:right w:val="nil"/>
            </w:tcBorders>
          </w:tcPr>
          <w:p>
            <w:pPr>
              <w:pStyle w:val="TableParagraph"/>
              <w:spacing w:before="69" w:line="241" w:lineRule="exact"/>
              <w:ind w:right="36"/>
              <w:jc w:val="right"/>
              <w:rPr>
                <w:sz w:val="22"/>
              </w:rPr>
            </w:pPr>
            <w:r>
              <w:rPr>
                <w:color w:val="0A0A0A"/>
                <w:spacing w:val="-5"/>
                <w:sz w:val="22"/>
              </w:rPr>
              <w:t>953</w:t>
            </w:r>
          </w:p>
        </w:tc>
        <w:tc>
          <w:tcPr>
            <w:tcW w:w="1544" w:type="dxa"/>
            <w:gridSpan w:val="2"/>
            <w:tcBorders>
              <w:left w:val="nil"/>
              <w:right w:val="nil"/>
            </w:tcBorders>
          </w:tcPr>
          <w:p>
            <w:pPr>
              <w:pStyle w:val="TableParagraph"/>
              <w:spacing w:before="69" w:line="241" w:lineRule="exact"/>
              <w:ind w:left="996"/>
              <w:rPr>
                <w:sz w:val="22"/>
              </w:rPr>
            </w:pPr>
            <w:r>
              <w:rPr>
                <w:color w:val="0A0A0A"/>
                <w:spacing w:val="-4"/>
                <w:sz w:val="22"/>
              </w:rPr>
              <w:t>6,901</w:t>
            </w:r>
          </w:p>
        </w:tc>
        <w:tc>
          <w:tcPr>
            <w:tcW w:w="381" w:type="dxa"/>
            <w:gridSpan w:val="2"/>
            <w:tcBorders>
              <w:left w:val="nil"/>
              <w:right w:val="nil"/>
            </w:tcBorders>
          </w:tcPr>
          <w:p>
            <w:pPr>
              <w:pStyle w:val="TableParagraph"/>
              <w:rPr>
                <w:sz w:val="8"/>
              </w:rPr>
            </w:pPr>
          </w:p>
          <w:p>
            <w:pPr>
              <w:pStyle w:val="TableParagraph"/>
              <w:spacing w:before="17"/>
              <w:rPr>
                <w:sz w:val="8"/>
              </w:rPr>
            </w:pPr>
          </w:p>
          <w:p>
            <w:pPr>
              <w:pStyle w:val="TableParagraph"/>
              <w:ind w:left="74"/>
              <w:rPr>
                <w:rFonts w:ascii="Times New Roman"/>
                <w:sz w:val="8"/>
              </w:rPr>
            </w:pPr>
            <w:r>
              <w:rPr>
                <w:rFonts w:ascii="Times New Roman"/>
                <w:color w:val="C1C1C1"/>
                <w:spacing w:val="-10"/>
                <w:w w:val="55"/>
                <w:sz w:val="8"/>
              </w:rPr>
              <w:t>I</w:t>
            </w:r>
          </w:p>
        </w:tc>
        <w:tc>
          <w:tcPr>
            <w:tcW w:w="1262" w:type="dxa"/>
            <w:tcBorders>
              <w:left w:val="nil"/>
              <w:right w:val="nil"/>
            </w:tcBorders>
          </w:tcPr>
          <w:p>
            <w:pPr>
              <w:pStyle w:val="TableParagraph"/>
              <w:spacing w:before="79" w:line="232" w:lineRule="exact"/>
              <w:ind w:right="298"/>
              <w:jc w:val="right"/>
              <w:rPr>
                <w:rFonts w:ascii="Times New Roman"/>
                <w:sz w:val="16"/>
              </w:rPr>
            </w:pPr>
            <w:r>
              <w:rPr>
                <w:b/>
                <w:color w:val="0A0A0A"/>
                <w:spacing w:val="2"/>
                <w:w w:val="95"/>
                <w:sz w:val="21"/>
              </w:rPr>
              <w:t>7,854</w:t>
            </w:r>
            <w:r>
              <w:rPr>
                <w:b/>
                <w:color w:val="0A0A0A"/>
                <w:spacing w:val="24"/>
                <w:sz w:val="21"/>
              </w:rPr>
              <w:t> </w:t>
            </w:r>
            <w:r>
              <w:rPr>
                <w:rFonts w:ascii="Times New Roman"/>
                <w:color w:val="C1C1C1"/>
                <w:spacing w:val="-10"/>
                <w:w w:val="65"/>
                <w:sz w:val="16"/>
              </w:rPr>
              <w:t>I</w:t>
            </w:r>
          </w:p>
        </w:tc>
        <w:tc>
          <w:tcPr>
            <w:tcW w:w="528" w:type="dxa"/>
            <w:tcBorders>
              <w:left w:val="nil"/>
              <w:right w:val="single" w:color="000000" w:sz="2" w:space="0"/>
            </w:tcBorders>
          </w:tcPr>
          <w:p>
            <w:pPr>
              <w:pStyle w:val="TableParagraph"/>
              <w:spacing w:before="51" w:line="259" w:lineRule="exact"/>
              <w:ind w:left="323"/>
              <w:rPr>
                <w:rFonts w:ascii="Times New Roman"/>
                <w:sz w:val="23"/>
              </w:rPr>
            </w:pPr>
            <w:r>
              <w:rPr>
                <w:rFonts w:ascii="Times New Roman"/>
                <w:color w:val="0A0A0A"/>
                <w:spacing w:val="-10"/>
                <w:w w:val="35"/>
                <w:sz w:val="23"/>
              </w:rPr>
              <w:t>7</w:t>
            </w:r>
          </w:p>
        </w:tc>
      </w:tr>
      <w:tr>
        <w:trPr>
          <w:trHeight w:val="326" w:hRule="atLeast"/>
        </w:trPr>
        <w:tc>
          <w:tcPr>
            <w:tcW w:w="1060" w:type="dxa"/>
            <w:tcBorders>
              <w:left w:val="nil"/>
              <w:right w:val="nil"/>
            </w:tcBorders>
          </w:tcPr>
          <w:p>
            <w:pPr>
              <w:pStyle w:val="TableParagraph"/>
              <w:spacing w:before="74" w:line="232" w:lineRule="exact"/>
              <w:ind w:right="41"/>
              <w:jc w:val="right"/>
              <w:rPr>
                <w:b/>
                <w:sz w:val="21"/>
              </w:rPr>
            </w:pPr>
            <w:r>
              <w:rPr>
                <w:b/>
                <w:color w:val="0A0A0A"/>
                <w:spacing w:val="-2"/>
                <w:w w:val="105"/>
                <w:sz w:val="21"/>
              </w:rPr>
              <w:t>48,841</w:t>
            </w:r>
          </w:p>
        </w:tc>
        <w:tc>
          <w:tcPr>
            <w:tcW w:w="1633" w:type="dxa"/>
            <w:gridSpan w:val="3"/>
            <w:tcBorders>
              <w:left w:val="nil"/>
            </w:tcBorders>
          </w:tcPr>
          <w:p>
            <w:pPr>
              <w:pStyle w:val="TableParagraph"/>
              <w:tabs>
                <w:tab w:val="left" w:leader="none" w:pos="996"/>
              </w:tabs>
              <w:spacing w:before="46" w:line="260" w:lineRule="exact"/>
              <w:ind w:left="39"/>
              <w:rPr>
                <w:rFonts w:ascii="Times New Roman"/>
                <w:sz w:val="23"/>
              </w:rPr>
            </w:pPr>
            <w:r>
              <w:rPr>
                <w:color w:val="C1C1C1"/>
                <w:spacing w:val="-10"/>
                <w:w w:val="50"/>
                <w:sz w:val="10"/>
              </w:rPr>
              <w:t>I</w:t>
            </w:r>
            <w:r>
              <w:rPr>
                <w:color w:val="C1C1C1"/>
                <w:sz w:val="10"/>
              </w:rPr>
              <w:tab/>
            </w:r>
            <w:r>
              <w:rPr>
                <w:rFonts w:ascii="Times New Roman"/>
                <w:color w:val="0A0A0A"/>
                <w:spacing w:val="-2"/>
                <w:position w:val="1"/>
                <w:sz w:val="23"/>
              </w:rPr>
              <w:t>7,007</w:t>
            </w:r>
          </w:p>
        </w:tc>
        <w:tc>
          <w:tcPr>
            <w:tcW w:w="1554" w:type="dxa"/>
            <w:gridSpan w:val="2"/>
            <w:tcBorders>
              <w:right w:val="nil"/>
            </w:tcBorders>
          </w:tcPr>
          <w:p>
            <w:pPr>
              <w:pStyle w:val="TableParagraph"/>
              <w:spacing w:before="14" w:line="88" w:lineRule="exact"/>
              <w:ind w:right="222"/>
              <w:jc w:val="right"/>
              <w:rPr>
                <w:rFonts w:ascii="Times New Roman"/>
                <w:sz w:val="11"/>
              </w:rPr>
            </w:pPr>
            <w:r>
              <w:rPr>
                <w:rFonts w:ascii="Times New Roman"/>
                <w:color w:val="C1C1C1"/>
                <w:spacing w:val="-10"/>
                <w:w w:val="85"/>
                <w:sz w:val="11"/>
              </w:rPr>
              <w:t>I</w:t>
            </w:r>
          </w:p>
          <w:p>
            <w:pPr>
              <w:pStyle w:val="TableParagraph"/>
              <w:spacing w:line="203" w:lineRule="exact"/>
              <w:ind w:left="513"/>
              <w:rPr>
                <w:sz w:val="22"/>
              </w:rPr>
            </w:pPr>
            <w:r>
              <w:rPr>
                <w:b/>
                <w:color w:val="0A0A0A"/>
                <w:w w:val="105"/>
                <w:sz w:val="21"/>
              </w:rPr>
              <w:t>55,848</w:t>
            </w:r>
            <w:r>
              <w:rPr>
                <w:b/>
                <w:color w:val="0A0A0A"/>
                <w:spacing w:val="15"/>
                <w:w w:val="105"/>
                <w:sz w:val="21"/>
              </w:rPr>
              <w:t> </w:t>
            </w:r>
            <w:r>
              <w:rPr>
                <w:color w:val="C1C1C1"/>
                <w:spacing w:val="-10"/>
                <w:w w:val="105"/>
                <w:sz w:val="22"/>
              </w:rPr>
              <w:t>I</w:t>
            </w:r>
          </w:p>
        </w:tc>
        <w:tc>
          <w:tcPr>
            <w:tcW w:w="528" w:type="dxa"/>
            <w:tcBorders>
              <w:left w:val="nil"/>
              <w:right w:val="single" w:color="000000" w:sz="2" w:space="0"/>
            </w:tcBorders>
          </w:tcPr>
          <w:p>
            <w:pPr>
              <w:pStyle w:val="TableParagraph"/>
              <w:spacing w:before="64"/>
              <w:ind w:right="75"/>
              <w:jc w:val="right"/>
              <w:rPr>
                <w:b/>
                <w:sz w:val="21"/>
              </w:rPr>
            </w:pPr>
            <w:r>
              <w:rPr>
                <w:b/>
                <w:color w:val="0A0A0A"/>
                <w:spacing w:val="-5"/>
                <w:w w:val="105"/>
                <w:sz w:val="21"/>
              </w:rPr>
              <w:t>54</w:t>
            </w:r>
          </w:p>
        </w:tc>
      </w:tr>
    </w:tbl>
    <w:p>
      <w:pPr>
        <w:pStyle w:val="BodyText"/>
        <w:rPr>
          <w:sz w:val="20"/>
        </w:rPr>
      </w:pPr>
    </w:p>
    <w:p>
      <w:pPr>
        <w:pStyle w:val="BodyText"/>
        <w:spacing w:before="176"/>
        <w:rPr>
          <w:sz w:val="20"/>
        </w:rPr>
      </w:pPr>
      <w:r>
        <w:rPr/>
        <ve:AlternateContent>
          <ve:Choice Requires="wps">
            <w:drawing>
              <wp:anchor distT="0" distB="0" distL="0" distR="0" simplePos="0" relativeHeight="487700480" behindDoc="1" locked="0" layoutInCell="1" allowOverlap="1">
                <wp:simplePos x="0" y="0"/>
                <wp:positionH relativeFrom="page">
                  <wp:posOffset>3932156</wp:posOffset>
                </wp:positionH>
                <wp:positionV relativeFrom="paragraph">
                  <wp:posOffset>273665</wp:posOffset>
                </wp:positionV>
                <wp:extent cx="3255010" cy="29845"/>
                <wp:effectExtent l="0" t="0" r="0" b="0"/>
                <wp:wrapTopAndBottom/>
                <wp:docPr id="540" name="Group 540"/>
                <wp:cNvGraphicFramePr>
                  <a:graphicFrameLocks/>
                </wp:cNvGraphicFramePr>
                <a:graphic>
                  <a:graphicData uri="http://schemas.microsoft.com/office/word/2010/wordprocessingGroup">
                    <wpg:wgp>
                      <wpg:cNvPr id="540" name="Group 540"/>
                      <wpg:cNvGrpSpPr/>
                      <wpg:grpSpPr>
                        <a:xfrm>
                          <a:off x="0" y="0"/>
                          <a:ext cx="3255010" cy="29845"/>
                          <a:chExt cx="3255010" cy="29845"/>
                        </a:xfrm>
                      </wpg:grpSpPr>
                      <wps:wsp>
                        <wps:cNvPr id="541" name="Graphic 541"/>
                        <wps:cNvSpPr/>
                        <wps:spPr>
                          <a:xfrm>
                            <a:off x="0" y="24666"/>
                            <a:ext cx="3255010" cy="1270"/>
                          </a:xfrm>
                          <a:custGeom>
                            <a:avLst/>
                            <a:gdLst/>
                            <a:ahLst/>
                            <a:cxnLst/>
                            <a:rect l="l" t="t" r="r" b="b"/>
                            <a:pathLst>
                              <a:path w="3255010" h="0">
                                <a:moveTo>
                                  <a:pt x="0" y="0"/>
                                </a:moveTo>
                                <a:lnTo>
                                  <a:pt x="3254408" y="0"/>
                                </a:lnTo>
                              </a:path>
                            </a:pathLst>
                          </a:custGeom>
                          <a:ln w="9154">
                            <a:solidFill>
                              <a:srgbClr val="000000"/>
                            </a:solidFill>
                            <a:prstDash val="solid"/>
                          </a:ln>
                        </wps:spPr>
                        <wps:bodyPr wrap="square" lIns="0" tIns="0" rIns="0" bIns="0" rtlCol="0">
                          <a:prstTxWarp prst="textNoShape">
                            <a:avLst/>
                          </a:prstTxWarp>
                          <a:noAutofit/>
                        </wps:bodyPr>
                      </wps:wsp>
                      <wps:wsp>
                        <wps:cNvPr id="542" name="Graphic 542"/>
                        <wps:cNvSpPr/>
                        <wps:spPr>
                          <a:xfrm>
                            <a:off x="3210160" y="6357"/>
                            <a:ext cx="18415" cy="1270"/>
                          </a:xfrm>
                          <a:custGeom>
                            <a:avLst/>
                            <a:gdLst/>
                            <a:ahLst/>
                            <a:cxnLst/>
                            <a:rect l="l" t="t" r="r" b="b"/>
                            <a:pathLst>
                              <a:path w="18415" h="0">
                                <a:moveTo>
                                  <a:pt x="0" y="0"/>
                                </a:moveTo>
                                <a:lnTo>
                                  <a:pt x="18317" y="0"/>
                                </a:lnTo>
                              </a:path>
                            </a:pathLst>
                          </a:custGeom>
                          <a:ln w="12714">
                            <a:solidFill>
                              <a:srgbClr val="C1C1C1"/>
                            </a:solidFill>
                            <a:prstDash val="solid"/>
                          </a:ln>
                        </wps:spPr>
                        <wps:bodyPr wrap="square" lIns="0" tIns="0" rIns="0" bIns="0" rtlCol="0">
                          <a:prstTxWarp prst="textNoShape">
                            <a:avLst/>
                          </a:prstTxWarp>
                          <a:noAutofit/>
                        </wps:bodyPr>
                      </wps:wsp>
                    </wpg:wgp>
                  </a:graphicData>
                </a:graphic>
              </wp:anchor>
            </w:drawing>
          </ve:Choice>
          <ve:Fallback>
            <w:pict>
              <v:group id="docshapegroup359" style="position:absolute;margin-left:309.618622pt;margin-top:21.548452pt;width:256.3pt;height:2.35pt;mso-position-horizontal-relative:page;mso-position-vertical-relative:paragraph;z-index:-15616000;mso-wrap-distance-left:0;mso-wrap-distance-right:0" coordsize="5126,47" coordorigin="6192,431">
                <v:line style="position:absolute" stroked="true" strokecolor="#000000" strokeweight=".720821pt" from="6192,470" to="11317,470">
                  <v:stroke dashstyle="solid"/>
                </v:line>
                <v:line style="position:absolute" stroked="true" strokecolor="#c1c1c1" strokeweight="1.001141pt" from="11248,441" to="11277,441">
                  <v:stroke dashstyle="solid"/>
                </v:line>
                <w10:wrap type="topAndBottom"/>
              </v:group>
            </w:pict>
          </ve:Fallback>
        </ve:AlternateContent>
      </w:r>
    </w:p>
    <w:p>
      <w:pPr>
        <w:spacing w:after="0"/>
        <w:rPr>
          <w:sz w:val="20"/>
        </w:rPr>
        <w:sectPr>
          <w:footerReference w:type="even" r:id="rId199"/>
          <w:footerReference w:type="default" r:id="rId200"/>
          <w:pgSz w:w="11910" w:h="16830"/>
          <w:pgMar w:top="1060" w:right="300" w:bottom="1200" w:left="0" w:header="0" w:footer="1007"/>
          <w:pgNumType w:start="94"/>
        </w:sectPr>
      </w:pPr>
    </w:p>
    <w:p>
      <w:pPr>
        <w:tabs>
          <w:tab w:val="left" w:leader="none" w:pos="2006"/>
        </w:tabs>
        <w:spacing w:before="75"/>
        <w:ind w:left="1293" w:right="0" w:firstLine="0"/>
        <w:jc w:val="both"/>
        <w:rPr>
          <w:sz w:val="14"/>
        </w:rPr>
      </w:pPr>
      <w:r>
        <w:rPr>
          <w:rFonts w:ascii="Times New Roman" w:hAnsi="Times New Roman"/>
          <w:color w:val="4F4F4F"/>
          <w:spacing w:val="-10"/>
          <w:sz w:val="15"/>
        </w:rPr>
        <w:t>S</w:t>
      </w:r>
      <w:r>
        <w:rPr>
          <w:rFonts w:ascii="Times New Roman" w:hAnsi="Times New Roman"/>
          <w:color w:val="4F4F4F"/>
          <w:sz w:val="15"/>
        </w:rPr>
        <w:tab/>
      </w:r>
      <w:r>
        <w:rPr>
          <w:color w:val="A7A7A7"/>
          <w:sz w:val="14"/>
        </w:rPr>
        <w:t>•\JOTcS</w:t>
      </w:r>
      <w:r>
        <w:rPr>
          <w:color w:val="A7A7A7"/>
          <w:spacing w:val="20"/>
          <w:sz w:val="14"/>
        </w:rPr>
        <w:t> </w:t>
      </w:r>
      <w:r>
        <w:rPr>
          <w:rFonts w:ascii="Times New Roman" w:hAnsi="Times New Roman"/>
          <w:color w:val="A7A7A7"/>
          <w:sz w:val="15"/>
        </w:rPr>
        <w:t>fCl</w:t>
      </w:r>
      <w:r>
        <w:rPr>
          <w:rFonts w:ascii="Times New Roman" w:hAnsi="Times New Roman"/>
          <w:color w:val="A7A7A7"/>
          <w:spacing w:val="26"/>
          <w:sz w:val="15"/>
        </w:rPr>
        <w:t> </w:t>
      </w:r>
      <w:r>
        <w:rPr>
          <w:rFonts w:ascii="Times New Roman" w:hAnsi="Times New Roman"/>
          <w:color w:val="A7A7A7"/>
          <w:sz w:val="15"/>
        </w:rPr>
        <w:t>fi--!E</w:t>
      </w:r>
      <w:r>
        <w:rPr>
          <w:rFonts w:ascii="Times New Roman" w:hAnsi="Times New Roman"/>
          <w:color w:val="A7A7A7"/>
          <w:spacing w:val="17"/>
          <w:sz w:val="15"/>
        </w:rPr>
        <w:t> </w:t>
      </w:r>
      <w:r>
        <w:rPr>
          <w:color w:val="A7A7A7"/>
          <w:spacing w:val="-2"/>
          <w:sz w:val="14"/>
        </w:rPr>
        <w:t>ACCOUNTS</w:t>
      </w:r>
    </w:p>
    <w:p>
      <w:pPr>
        <w:pStyle w:val="BodyText"/>
        <w:spacing w:before="85"/>
        <w:rPr>
          <w:sz w:val="14"/>
        </w:rPr>
      </w:pPr>
    </w:p>
    <w:p>
      <w:pPr>
        <w:pStyle w:val="ListParagraph"/>
        <w:numPr>
          <w:ilvl w:val="2"/>
          <w:numId w:val="21"/>
        </w:numPr>
        <w:tabs>
          <w:tab w:val="left" w:leader="none" w:pos="2124"/>
        </w:tabs>
        <w:spacing w:before="0" w:after="0" w:line="240" w:lineRule="auto"/>
        <w:ind w:left="2124" w:right="0" w:hanging="840"/>
        <w:jc w:val="left"/>
        <w:rPr>
          <w:b/>
          <w:color w:val="363636"/>
          <w:sz w:val="21"/>
        </w:rPr>
      </w:pPr>
      <w:r>
        <w:rPr>
          <w:b/>
          <w:color w:val="0A0A0A"/>
          <w:w w:val="105"/>
          <w:sz w:val="21"/>
        </w:rPr>
        <w:t>Basis</w:t>
      </w:r>
      <w:r>
        <w:rPr>
          <w:b/>
          <w:color w:val="0A0A0A"/>
          <w:spacing w:val="-12"/>
          <w:w w:val="105"/>
          <w:sz w:val="21"/>
        </w:rPr>
        <w:t> </w:t>
      </w:r>
      <w:r>
        <w:rPr>
          <w:b/>
          <w:color w:val="0A0A0A"/>
          <w:w w:val="105"/>
          <w:sz w:val="21"/>
        </w:rPr>
        <w:t>for</w:t>
      </w:r>
      <w:r>
        <w:rPr>
          <w:b/>
          <w:color w:val="0A0A0A"/>
          <w:spacing w:val="-10"/>
          <w:w w:val="105"/>
          <w:sz w:val="21"/>
        </w:rPr>
        <w:t> </w:t>
      </w:r>
      <w:r>
        <w:rPr>
          <w:b/>
          <w:color w:val="0A0A0A"/>
          <w:w w:val="105"/>
          <w:sz w:val="21"/>
        </w:rPr>
        <w:t>estimating</w:t>
      </w:r>
      <w:r>
        <w:rPr>
          <w:b/>
          <w:color w:val="0A0A0A"/>
          <w:spacing w:val="1"/>
          <w:w w:val="105"/>
          <w:sz w:val="21"/>
        </w:rPr>
        <w:t> </w:t>
      </w:r>
      <w:r>
        <w:rPr>
          <w:b/>
          <w:color w:val="0A0A0A"/>
          <w:w w:val="105"/>
          <w:sz w:val="21"/>
        </w:rPr>
        <w:t>Assets</w:t>
      </w:r>
      <w:r>
        <w:rPr>
          <w:b/>
          <w:color w:val="0A0A0A"/>
          <w:spacing w:val="-10"/>
          <w:w w:val="105"/>
          <w:sz w:val="21"/>
        </w:rPr>
        <w:t> </w:t>
      </w:r>
      <w:r>
        <w:rPr>
          <w:b/>
          <w:color w:val="0A0A0A"/>
          <w:w w:val="105"/>
          <w:sz w:val="21"/>
        </w:rPr>
        <w:t>and</w:t>
      </w:r>
      <w:r>
        <w:rPr>
          <w:b/>
          <w:color w:val="0A0A0A"/>
          <w:spacing w:val="-14"/>
          <w:w w:val="105"/>
          <w:sz w:val="21"/>
        </w:rPr>
        <w:t> </w:t>
      </w:r>
      <w:r>
        <w:rPr>
          <w:b/>
          <w:color w:val="0A0A0A"/>
          <w:spacing w:val="-2"/>
          <w:w w:val="105"/>
          <w:sz w:val="21"/>
        </w:rPr>
        <w:t>Liabilities</w:t>
      </w:r>
    </w:p>
    <w:p>
      <w:pPr>
        <w:pStyle w:val="BodyText"/>
        <w:spacing w:before="240"/>
        <w:ind w:left="1285" w:right="1138" w:hanging="4"/>
        <w:jc w:val="both"/>
      </w:pPr>
      <w:r>
        <w:rPr>
          <w:color w:val="0A0A0A"/>
        </w:rPr>
        <w:t>Liabilities have been assessed on an actuarial basis using the projected unit credit method which provides an estimate of the pensions that will be payable in future years dependent on assumptions about such factors as</w:t>
      </w:r>
      <w:r>
        <w:rPr>
          <w:color w:val="0A0A0A"/>
          <w:spacing w:val="-2"/>
        </w:rPr>
        <w:t> </w:t>
      </w:r>
      <w:r>
        <w:rPr>
          <w:color w:val="0A0A0A"/>
        </w:rPr>
        <w:t>mortality rates and salary levels.</w:t>
      </w:r>
    </w:p>
    <w:p>
      <w:pPr>
        <w:pStyle w:val="BodyText"/>
        <w:spacing w:before="2"/>
      </w:pPr>
    </w:p>
    <w:p>
      <w:pPr>
        <w:pStyle w:val="BodyText"/>
        <w:spacing w:line="242" w:lineRule="auto"/>
        <w:ind w:left="1284" w:right="1139" w:hanging="2"/>
        <w:jc w:val="both"/>
      </w:pPr>
      <w:r>
        <w:rPr>
          <w:color w:val="0A0A0A"/>
        </w:rPr>
        <w:t>The</w:t>
      </w:r>
      <w:r>
        <w:rPr>
          <w:color w:val="0A0A0A"/>
          <w:spacing w:val="-5"/>
        </w:rPr>
        <w:t> </w:t>
      </w:r>
      <w:r>
        <w:rPr>
          <w:color w:val="0A0A0A"/>
        </w:rPr>
        <w:t>estimated liabilities are</w:t>
      </w:r>
      <w:r>
        <w:rPr>
          <w:color w:val="0A0A0A"/>
          <w:spacing w:val="-7"/>
        </w:rPr>
        <w:t> </w:t>
      </w:r>
      <w:r>
        <w:rPr>
          <w:color w:val="0A0A0A"/>
        </w:rPr>
        <w:t>based on</w:t>
      </w:r>
      <w:r>
        <w:rPr>
          <w:color w:val="0A0A0A"/>
          <w:spacing w:val="-4"/>
        </w:rPr>
        <w:t> </w:t>
      </w:r>
      <w:r>
        <w:rPr>
          <w:color w:val="0A0A0A"/>
        </w:rPr>
        <w:t>a</w:t>
      </w:r>
      <w:r>
        <w:rPr>
          <w:color w:val="0A0A0A"/>
          <w:spacing w:val="-7"/>
        </w:rPr>
        <w:t> </w:t>
      </w:r>
      <w:r>
        <w:rPr>
          <w:color w:val="0A0A0A"/>
        </w:rPr>
        <w:t>formal valuation as at</w:t>
      </w:r>
      <w:r>
        <w:rPr>
          <w:color w:val="0A0A0A"/>
          <w:spacing w:val="-2"/>
        </w:rPr>
        <w:t> </w:t>
      </w:r>
      <w:r>
        <w:rPr>
          <w:color w:val="0A0A0A"/>
        </w:rPr>
        <w:t>31</w:t>
      </w:r>
      <w:r>
        <w:rPr>
          <w:color w:val="0A0A0A"/>
          <w:spacing w:val="-13"/>
        </w:rPr>
        <w:t> </w:t>
      </w:r>
      <w:r>
        <w:rPr>
          <w:color w:val="0A0A0A"/>
        </w:rPr>
        <w:t>March 2022 and</w:t>
      </w:r>
      <w:r>
        <w:rPr>
          <w:color w:val="0A0A0A"/>
          <w:spacing w:val="-1"/>
        </w:rPr>
        <w:t> </w:t>
      </w:r>
      <w:r>
        <w:rPr>
          <w:color w:val="0A0A0A"/>
        </w:rPr>
        <w:t>are</w:t>
      </w:r>
      <w:r>
        <w:rPr>
          <w:color w:val="0A0A0A"/>
          <w:spacing w:val="-2"/>
        </w:rPr>
        <w:t> </w:t>
      </w:r>
      <w:r>
        <w:rPr>
          <w:color w:val="0A0A0A"/>
        </w:rPr>
        <w:t>updated to the current year by Hymans Robertson, the independent actuary to Hertfordshire Local Government Pension Scheme.</w:t>
      </w:r>
    </w:p>
    <w:p>
      <w:pPr>
        <w:pStyle w:val="BodyText"/>
        <w:spacing w:before="247"/>
        <w:ind w:left="1288"/>
        <w:jc w:val="both"/>
      </w:pPr>
      <w:r>
        <w:rPr>
          <w:color w:val="0A0A0A"/>
        </w:rPr>
        <w:t>The</w:t>
      </w:r>
      <w:r>
        <w:rPr>
          <w:color w:val="0A0A0A"/>
          <w:spacing w:val="-10"/>
        </w:rPr>
        <w:t> </w:t>
      </w:r>
      <w:r>
        <w:rPr>
          <w:color w:val="0A0A0A"/>
        </w:rPr>
        <w:t>principal</w:t>
      </w:r>
      <w:r>
        <w:rPr>
          <w:color w:val="0A0A0A"/>
          <w:spacing w:val="5"/>
        </w:rPr>
        <w:t> </w:t>
      </w:r>
      <w:r>
        <w:rPr>
          <w:color w:val="0A0A0A"/>
        </w:rPr>
        <w:t>assumptions</w:t>
      </w:r>
      <w:r>
        <w:rPr>
          <w:color w:val="0A0A0A"/>
          <w:spacing w:val="6"/>
        </w:rPr>
        <w:t> </w:t>
      </w:r>
      <w:r>
        <w:rPr>
          <w:color w:val="0A0A0A"/>
        </w:rPr>
        <w:t>used</w:t>
      </w:r>
      <w:r>
        <w:rPr>
          <w:color w:val="0A0A0A"/>
          <w:spacing w:val="-10"/>
        </w:rPr>
        <w:t> </w:t>
      </w:r>
      <w:r>
        <w:rPr>
          <w:color w:val="0A0A0A"/>
        </w:rPr>
        <w:t>by</w:t>
      </w:r>
      <w:r>
        <w:rPr>
          <w:color w:val="0A0A0A"/>
          <w:spacing w:val="-10"/>
        </w:rPr>
        <w:t> </w:t>
      </w:r>
      <w:r>
        <w:rPr>
          <w:color w:val="0A0A0A"/>
        </w:rPr>
        <w:t>the</w:t>
      </w:r>
      <w:r>
        <w:rPr>
          <w:color w:val="0A0A0A"/>
          <w:spacing w:val="-6"/>
        </w:rPr>
        <w:t> </w:t>
      </w:r>
      <w:r>
        <w:rPr>
          <w:color w:val="0A0A0A"/>
        </w:rPr>
        <w:t>actuary</w:t>
      </w:r>
      <w:r>
        <w:rPr>
          <w:color w:val="0A0A0A"/>
          <w:spacing w:val="2"/>
        </w:rPr>
        <w:t> </w:t>
      </w:r>
      <w:r>
        <w:rPr>
          <w:color w:val="0A0A0A"/>
        </w:rPr>
        <w:t>are</w:t>
      </w:r>
      <w:r>
        <w:rPr>
          <w:color w:val="0A0A0A"/>
          <w:spacing w:val="-5"/>
        </w:rPr>
        <w:t> </w:t>
      </w:r>
      <w:r>
        <w:rPr>
          <w:color w:val="0A0A0A"/>
        </w:rPr>
        <w:t>as</w:t>
      </w:r>
      <w:r>
        <w:rPr>
          <w:color w:val="0A0A0A"/>
          <w:spacing w:val="-13"/>
        </w:rPr>
        <w:t> </w:t>
      </w:r>
      <w:r>
        <w:rPr>
          <w:color w:val="0A0A0A"/>
          <w:spacing w:val="-2"/>
        </w:rPr>
        <w:t>follows:</w:t>
      </w:r>
    </w:p>
    <w:p>
      <w:pPr>
        <w:pStyle w:val="BodyText"/>
        <w:spacing w:before="42" w:after="1"/>
        <w:rPr>
          <w:sz w:val="20"/>
        </w:rPr>
      </w:pPr>
    </w:p>
    <w:tbl>
      <w:tblPr>
        <w:tblW w:w="0" w:type="auto"/>
        <w:jc w:val="left"/>
        <w:tblInd w:w="15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53"/>
        <w:gridCol w:w="6063"/>
        <w:gridCol w:w="1426"/>
      </w:tblGrid>
      <w:tr>
        <w:trPr>
          <w:trHeight w:val="872" w:hRule="atLeast"/>
        </w:trPr>
        <w:tc>
          <w:tcPr>
            <w:tcW w:w="1253" w:type="dxa"/>
          </w:tcPr>
          <w:p>
            <w:pPr>
              <w:pStyle w:val="TableParagraph"/>
              <w:spacing w:line="240" w:lineRule="exact"/>
              <w:ind w:left="2" w:right="202"/>
              <w:jc w:val="center"/>
              <w:rPr>
                <w:b/>
                <w:sz w:val="21"/>
              </w:rPr>
            </w:pPr>
            <w:r>
              <w:rPr>
                <w:b/>
                <w:color w:val="0A0A0A"/>
                <w:w w:val="105"/>
                <w:sz w:val="21"/>
              </w:rPr>
              <w:t>31</w:t>
            </w:r>
            <w:r>
              <w:rPr>
                <w:b/>
                <w:color w:val="0A0A0A"/>
                <w:spacing w:val="-8"/>
                <w:w w:val="105"/>
                <w:sz w:val="21"/>
              </w:rPr>
              <w:t> </w:t>
            </w:r>
            <w:r>
              <w:rPr>
                <w:b/>
                <w:color w:val="0A0A0A"/>
                <w:spacing w:val="-2"/>
                <w:w w:val="105"/>
                <w:sz w:val="21"/>
              </w:rPr>
              <w:t>March</w:t>
            </w:r>
          </w:p>
          <w:p>
            <w:pPr>
              <w:pStyle w:val="TableParagraph"/>
              <w:spacing w:before="13"/>
              <w:ind w:right="202"/>
              <w:jc w:val="center"/>
              <w:rPr>
                <w:b/>
                <w:sz w:val="21"/>
              </w:rPr>
            </w:pPr>
            <w:r>
              <w:rPr>
                <w:b/>
                <w:color w:val="0A0A0A"/>
                <w:spacing w:val="-4"/>
                <w:w w:val="105"/>
                <w:sz w:val="21"/>
              </w:rPr>
              <w:t>2022</w:t>
            </w:r>
          </w:p>
        </w:tc>
        <w:tc>
          <w:tcPr>
            <w:tcW w:w="6063" w:type="dxa"/>
          </w:tcPr>
          <w:p>
            <w:pPr>
              <w:pStyle w:val="TableParagraph"/>
              <w:rPr>
                <w:sz w:val="21"/>
              </w:rPr>
            </w:pPr>
          </w:p>
          <w:p>
            <w:pPr>
              <w:pStyle w:val="TableParagraph"/>
              <w:spacing w:before="82"/>
              <w:rPr>
                <w:sz w:val="21"/>
              </w:rPr>
            </w:pPr>
          </w:p>
          <w:p>
            <w:pPr>
              <w:pStyle w:val="TableParagraph"/>
              <w:ind w:left="102"/>
              <w:rPr>
                <w:b/>
                <w:sz w:val="21"/>
              </w:rPr>
            </w:pPr>
            <w:r>
              <w:rPr>
                <w:b/>
                <w:color w:val="0A0A0A"/>
                <w:w w:val="105"/>
                <w:sz w:val="21"/>
              </w:rPr>
              <w:t>Financial</w:t>
            </w:r>
            <w:r>
              <w:rPr>
                <w:b/>
                <w:color w:val="0A0A0A"/>
                <w:spacing w:val="-14"/>
                <w:w w:val="105"/>
                <w:sz w:val="21"/>
              </w:rPr>
              <w:t> </w:t>
            </w:r>
            <w:r>
              <w:rPr>
                <w:b/>
                <w:color w:val="0A0A0A"/>
                <w:spacing w:val="-2"/>
                <w:w w:val="105"/>
                <w:sz w:val="21"/>
              </w:rPr>
              <w:t>assumptions:</w:t>
            </w:r>
          </w:p>
        </w:tc>
        <w:tc>
          <w:tcPr>
            <w:tcW w:w="1426" w:type="dxa"/>
          </w:tcPr>
          <w:p>
            <w:pPr>
              <w:pStyle w:val="TableParagraph"/>
              <w:spacing w:line="235" w:lineRule="exact"/>
              <w:ind w:left="58" w:right="5"/>
              <w:jc w:val="center"/>
              <w:rPr>
                <w:b/>
                <w:sz w:val="21"/>
              </w:rPr>
            </w:pPr>
            <w:r>
              <w:rPr>
                <w:b/>
                <w:color w:val="0A0A0A"/>
                <w:w w:val="105"/>
                <w:sz w:val="21"/>
              </w:rPr>
              <w:t>31</w:t>
            </w:r>
            <w:r>
              <w:rPr>
                <w:b/>
                <w:color w:val="0A0A0A"/>
                <w:spacing w:val="-8"/>
                <w:w w:val="105"/>
                <w:sz w:val="21"/>
              </w:rPr>
              <w:t> </w:t>
            </w:r>
            <w:r>
              <w:rPr>
                <w:b/>
                <w:color w:val="0A0A0A"/>
                <w:spacing w:val="-2"/>
                <w:w w:val="105"/>
                <w:sz w:val="21"/>
              </w:rPr>
              <w:t>March</w:t>
            </w:r>
          </w:p>
          <w:p>
            <w:pPr>
              <w:pStyle w:val="TableParagraph"/>
              <w:spacing w:before="13"/>
              <w:ind w:left="58"/>
              <w:jc w:val="center"/>
              <w:rPr>
                <w:b/>
                <w:sz w:val="21"/>
              </w:rPr>
            </w:pPr>
            <w:r>
              <w:rPr>
                <w:b/>
                <w:color w:val="0A0A0A"/>
                <w:spacing w:val="-4"/>
                <w:w w:val="105"/>
                <w:sz w:val="21"/>
              </w:rPr>
              <w:t>2023</w:t>
            </w:r>
          </w:p>
        </w:tc>
      </w:tr>
      <w:tr>
        <w:trPr>
          <w:trHeight w:val="373" w:hRule="atLeast"/>
        </w:trPr>
        <w:tc>
          <w:tcPr>
            <w:tcW w:w="1253" w:type="dxa"/>
          </w:tcPr>
          <w:p>
            <w:pPr>
              <w:pStyle w:val="TableParagraph"/>
              <w:spacing w:before="58"/>
              <w:ind w:right="117"/>
              <w:jc w:val="right"/>
              <w:rPr>
                <w:sz w:val="22"/>
              </w:rPr>
            </w:pPr>
            <w:r>
              <w:rPr>
                <w:color w:val="0A0A0A"/>
                <w:spacing w:val="-2"/>
                <w:sz w:val="22"/>
              </w:rPr>
              <w:t>3.20%</w:t>
            </w:r>
          </w:p>
        </w:tc>
        <w:tc>
          <w:tcPr>
            <w:tcW w:w="6063" w:type="dxa"/>
          </w:tcPr>
          <w:p>
            <w:pPr>
              <w:pStyle w:val="TableParagraph"/>
              <w:spacing w:before="58"/>
              <w:ind w:left="100"/>
              <w:rPr>
                <w:sz w:val="22"/>
              </w:rPr>
            </w:pPr>
            <w:r>
              <w:rPr>
                <w:color w:val="0A0A0A"/>
                <w:sz w:val="22"/>
              </w:rPr>
              <w:t>Rate of</w:t>
            </w:r>
            <w:r>
              <w:rPr>
                <w:color w:val="0A0A0A"/>
                <w:spacing w:val="-9"/>
                <w:sz w:val="22"/>
              </w:rPr>
              <w:t> </w:t>
            </w:r>
            <w:r>
              <w:rPr>
                <w:color w:val="0A0A0A"/>
                <w:sz w:val="22"/>
              </w:rPr>
              <w:t>increase</w:t>
            </w:r>
            <w:r>
              <w:rPr>
                <w:color w:val="0A0A0A"/>
                <w:spacing w:val="-3"/>
                <w:sz w:val="22"/>
              </w:rPr>
              <w:t> </w:t>
            </w:r>
            <w:r>
              <w:rPr>
                <w:color w:val="0A0A0A"/>
                <w:sz w:val="22"/>
              </w:rPr>
              <w:t>in</w:t>
            </w:r>
            <w:r>
              <w:rPr>
                <w:color w:val="0A0A0A"/>
                <w:spacing w:val="-15"/>
                <w:sz w:val="22"/>
              </w:rPr>
              <w:t> </w:t>
            </w:r>
            <w:r>
              <w:rPr>
                <w:color w:val="0A0A0A"/>
                <w:sz w:val="22"/>
              </w:rPr>
              <w:t>inflation</w:t>
            </w:r>
            <w:r>
              <w:rPr>
                <w:color w:val="0A0A0A"/>
                <w:spacing w:val="2"/>
                <w:sz w:val="22"/>
              </w:rPr>
              <w:t> </w:t>
            </w:r>
            <w:r>
              <w:rPr>
                <w:color w:val="0A0A0A"/>
                <w:sz w:val="22"/>
              </w:rPr>
              <w:t>/</w:t>
            </w:r>
            <w:r>
              <w:rPr>
                <w:color w:val="0A0A0A"/>
                <w:spacing w:val="-13"/>
                <w:sz w:val="22"/>
              </w:rPr>
              <w:t> </w:t>
            </w:r>
            <w:r>
              <w:rPr>
                <w:color w:val="0A0A0A"/>
                <w:sz w:val="22"/>
              </w:rPr>
              <w:t>pension</w:t>
            </w:r>
            <w:r>
              <w:rPr>
                <w:color w:val="0A0A0A"/>
                <w:spacing w:val="1"/>
                <w:sz w:val="22"/>
              </w:rPr>
              <w:t> </w:t>
            </w:r>
            <w:r>
              <w:rPr>
                <w:color w:val="0A0A0A"/>
                <w:spacing w:val="-4"/>
                <w:sz w:val="22"/>
              </w:rPr>
              <w:t>cost</w:t>
            </w:r>
          </w:p>
        </w:tc>
        <w:tc>
          <w:tcPr>
            <w:tcW w:w="1426" w:type="dxa"/>
          </w:tcPr>
          <w:p>
            <w:pPr>
              <w:pStyle w:val="TableParagraph"/>
              <w:spacing w:before="58"/>
              <w:ind w:right="79"/>
              <w:jc w:val="right"/>
              <w:rPr>
                <w:sz w:val="22"/>
              </w:rPr>
            </w:pPr>
            <w:r>
              <w:rPr>
                <w:color w:val="0A0A0A"/>
                <w:spacing w:val="-2"/>
                <w:sz w:val="22"/>
              </w:rPr>
              <w:t>3.00%</w:t>
            </w:r>
          </w:p>
        </w:tc>
      </w:tr>
      <w:tr>
        <w:trPr>
          <w:trHeight w:val="370" w:hRule="atLeast"/>
        </w:trPr>
        <w:tc>
          <w:tcPr>
            <w:tcW w:w="1253" w:type="dxa"/>
          </w:tcPr>
          <w:p>
            <w:pPr>
              <w:pStyle w:val="TableParagraph"/>
              <w:spacing w:before="55"/>
              <w:ind w:right="113"/>
              <w:jc w:val="right"/>
              <w:rPr>
                <w:sz w:val="22"/>
              </w:rPr>
            </w:pPr>
            <w:r>
              <w:rPr>
                <w:color w:val="0A0A0A"/>
                <w:spacing w:val="-4"/>
                <w:sz w:val="22"/>
              </w:rPr>
              <w:t>3.70%</w:t>
            </w:r>
          </w:p>
        </w:tc>
        <w:tc>
          <w:tcPr>
            <w:tcW w:w="6063" w:type="dxa"/>
          </w:tcPr>
          <w:p>
            <w:pPr>
              <w:pStyle w:val="TableParagraph"/>
              <w:spacing w:before="55"/>
              <w:ind w:left="100"/>
              <w:rPr>
                <w:sz w:val="22"/>
              </w:rPr>
            </w:pPr>
            <w:r>
              <w:rPr>
                <w:color w:val="0A0A0A"/>
                <w:sz w:val="22"/>
              </w:rPr>
              <w:t>Rate</w:t>
            </w:r>
            <w:r>
              <w:rPr>
                <w:color w:val="0A0A0A"/>
                <w:spacing w:val="4"/>
                <w:sz w:val="22"/>
              </w:rPr>
              <w:t> </w:t>
            </w:r>
            <w:r>
              <w:rPr>
                <w:color w:val="0A0A0A"/>
                <w:sz w:val="22"/>
              </w:rPr>
              <w:t>of</w:t>
            </w:r>
            <w:r>
              <w:rPr>
                <w:color w:val="0A0A0A"/>
                <w:spacing w:val="-9"/>
                <w:sz w:val="22"/>
              </w:rPr>
              <w:t> </w:t>
            </w:r>
            <w:r>
              <w:rPr>
                <w:color w:val="0A0A0A"/>
                <w:sz w:val="22"/>
              </w:rPr>
              <w:t>increase</w:t>
            </w:r>
            <w:r>
              <w:rPr>
                <w:color w:val="0A0A0A"/>
                <w:spacing w:val="1"/>
                <w:sz w:val="22"/>
              </w:rPr>
              <w:t> </w:t>
            </w:r>
            <w:r>
              <w:rPr>
                <w:color w:val="0A0A0A"/>
                <w:sz w:val="22"/>
              </w:rPr>
              <w:t>in</w:t>
            </w:r>
            <w:r>
              <w:rPr>
                <w:color w:val="0A0A0A"/>
                <w:spacing w:val="-14"/>
                <w:sz w:val="22"/>
              </w:rPr>
              <w:t> </w:t>
            </w:r>
            <w:r>
              <w:rPr>
                <w:color w:val="0A0A0A"/>
                <w:spacing w:val="-2"/>
                <w:sz w:val="22"/>
              </w:rPr>
              <w:t>salaries</w:t>
            </w:r>
          </w:p>
        </w:tc>
        <w:tc>
          <w:tcPr>
            <w:tcW w:w="1426" w:type="dxa"/>
          </w:tcPr>
          <w:p>
            <w:pPr>
              <w:pStyle w:val="TableParagraph"/>
              <w:spacing w:before="55"/>
              <w:ind w:right="72"/>
              <w:jc w:val="right"/>
              <w:rPr>
                <w:sz w:val="22"/>
              </w:rPr>
            </w:pPr>
            <w:r>
              <w:rPr>
                <w:color w:val="0A0A0A"/>
                <w:spacing w:val="-2"/>
                <w:sz w:val="22"/>
              </w:rPr>
              <w:t>3.50%</w:t>
            </w:r>
          </w:p>
        </w:tc>
      </w:tr>
      <w:tr>
        <w:trPr>
          <w:trHeight w:val="343" w:hRule="atLeast"/>
        </w:trPr>
        <w:tc>
          <w:tcPr>
            <w:tcW w:w="1253" w:type="dxa"/>
          </w:tcPr>
          <w:p>
            <w:pPr>
              <w:pStyle w:val="TableParagraph"/>
              <w:spacing w:before="55"/>
              <w:ind w:right="113"/>
              <w:jc w:val="right"/>
              <w:rPr>
                <w:sz w:val="22"/>
              </w:rPr>
            </w:pPr>
            <w:r>
              <w:rPr>
                <w:color w:val="0A0A0A"/>
                <w:spacing w:val="-2"/>
                <w:w w:val="105"/>
                <w:sz w:val="22"/>
              </w:rPr>
              <w:t>2</w:t>
            </w:r>
            <w:r>
              <w:rPr>
                <w:color w:val="4F4F4F"/>
                <w:spacing w:val="-2"/>
                <w:w w:val="105"/>
                <w:sz w:val="22"/>
              </w:rPr>
              <w:t>.</w:t>
            </w:r>
            <w:r>
              <w:rPr>
                <w:color w:val="0A0A0A"/>
                <w:spacing w:val="-2"/>
                <w:w w:val="105"/>
                <w:sz w:val="22"/>
              </w:rPr>
              <w:t>70%</w:t>
            </w:r>
          </w:p>
        </w:tc>
        <w:tc>
          <w:tcPr>
            <w:tcW w:w="6063" w:type="dxa"/>
          </w:tcPr>
          <w:p>
            <w:pPr>
              <w:pStyle w:val="TableParagraph"/>
              <w:spacing w:before="55"/>
              <w:ind w:left="95"/>
              <w:rPr>
                <w:sz w:val="22"/>
              </w:rPr>
            </w:pPr>
            <w:r>
              <w:rPr>
                <w:color w:val="0A0A0A"/>
                <w:sz w:val="22"/>
              </w:rPr>
              <w:t>Rate</w:t>
            </w:r>
            <w:r>
              <w:rPr>
                <w:color w:val="0A0A0A"/>
                <w:spacing w:val="-13"/>
                <w:sz w:val="22"/>
              </w:rPr>
              <w:t> </w:t>
            </w:r>
            <w:r>
              <w:rPr>
                <w:color w:val="0A0A0A"/>
                <w:sz w:val="22"/>
              </w:rPr>
              <w:t>for</w:t>
            </w:r>
            <w:r>
              <w:rPr>
                <w:color w:val="0A0A0A"/>
                <w:spacing w:val="-9"/>
                <w:sz w:val="22"/>
              </w:rPr>
              <w:t> </w:t>
            </w:r>
            <w:r>
              <w:rPr>
                <w:color w:val="0A0A0A"/>
                <w:sz w:val="22"/>
              </w:rPr>
              <w:t>discounting</w:t>
            </w:r>
            <w:r>
              <w:rPr>
                <w:color w:val="0A0A0A"/>
                <w:spacing w:val="5"/>
                <w:sz w:val="22"/>
              </w:rPr>
              <w:t> </w:t>
            </w:r>
            <w:r>
              <w:rPr>
                <w:color w:val="0A0A0A"/>
                <w:sz w:val="22"/>
              </w:rPr>
              <w:t>scheme</w:t>
            </w:r>
            <w:r>
              <w:rPr>
                <w:color w:val="0A0A0A"/>
                <w:spacing w:val="-5"/>
                <w:sz w:val="22"/>
              </w:rPr>
              <w:t> </w:t>
            </w:r>
            <w:r>
              <w:rPr>
                <w:color w:val="0A0A0A"/>
                <w:spacing w:val="-2"/>
                <w:sz w:val="22"/>
              </w:rPr>
              <w:t>obligations</w:t>
            </w:r>
          </w:p>
        </w:tc>
        <w:tc>
          <w:tcPr>
            <w:tcW w:w="1426" w:type="dxa"/>
          </w:tcPr>
          <w:p>
            <w:pPr>
              <w:pStyle w:val="TableParagraph"/>
              <w:spacing w:before="55"/>
              <w:ind w:right="77"/>
              <w:jc w:val="right"/>
              <w:rPr>
                <w:sz w:val="22"/>
              </w:rPr>
            </w:pPr>
            <w:r>
              <w:rPr>
                <w:color w:val="0A0A0A"/>
                <w:spacing w:val="-2"/>
                <w:sz w:val="22"/>
              </w:rPr>
              <w:t>4.75%</w:t>
            </w:r>
          </w:p>
        </w:tc>
      </w:tr>
      <w:tr>
        <w:trPr>
          <w:trHeight w:val="540" w:hRule="atLeast"/>
        </w:trPr>
        <w:tc>
          <w:tcPr>
            <w:tcW w:w="1253" w:type="dxa"/>
          </w:tcPr>
          <w:p>
            <w:pPr>
              <w:pStyle w:val="TableParagraph"/>
              <w:spacing w:before="30"/>
              <w:rPr>
                <w:sz w:val="22"/>
              </w:rPr>
            </w:pPr>
          </w:p>
          <w:p>
            <w:pPr>
              <w:pStyle w:val="TableParagraph"/>
              <w:spacing w:line="237" w:lineRule="exact"/>
              <w:ind w:right="115"/>
              <w:jc w:val="right"/>
              <w:rPr>
                <w:sz w:val="22"/>
              </w:rPr>
            </w:pPr>
            <w:r>
              <w:rPr>
                <w:color w:val="0A0A0A"/>
                <w:spacing w:val="-5"/>
                <w:sz w:val="22"/>
              </w:rPr>
              <w:t>45%</w:t>
            </w:r>
          </w:p>
        </w:tc>
        <w:tc>
          <w:tcPr>
            <w:tcW w:w="6063" w:type="dxa"/>
          </w:tcPr>
          <w:p>
            <w:pPr>
              <w:pStyle w:val="TableParagraph"/>
              <w:spacing w:before="14" w:line="250" w:lineRule="atLeast"/>
              <w:ind w:left="99" w:right="146" w:hanging="1"/>
              <w:rPr>
                <w:sz w:val="22"/>
              </w:rPr>
            </w:pPr>
            <w:r>
              <w:rPr>
                <w:color w:val="0A0A0A"/>
                <w:sz w:val="22"/>
              </w:rPr>
              <w:t>A</w:t>
            </w:r>
            <w:r>
              <w:rPr>
                <w:color w:val="0A0A0A"/>
                <w:spacing w:val="-8"/>
                <w:sz w:val="22"/>
              </w:rPr>
              <w:t> </w:t>
            </w:r>
            <w:r>
              <w:rPr>
                <w:color w:val="0A0A0A"/>
                <w:sz w:val="22"/>
              </w:rPr>
              <w:t>commutation</w:t>
            </w:r>
            <w:r>
              <w:rPr>
                <w:color w:val="0A0A0A"/>
                <w:spacing w:val="-5"/>
                <w:sz w:val="22"/>
              </w:rPr>
              <w:t> </w:t>
            </w:r>
            <w:r>
              <w:rPr>
                <w:color w:val="0A0A0A"/>
                <w:sz w:val="22"/>
              </w:rPr>
              <w:t>allowance is</w:t>
            </w:r>
            <w:r>
              <w:rPr>
                <w:color w:val="0A0A0A"/>
                <w:spacing w:val="-12"/>
                <w:sz w:val="22"/>
              </w:rPr>
              <w:t> </w:t>
            </w:r>
            <w:r>
              <w:rPr>
                <w:color w:val="0A0A0A"/>
                <w:sz w:val="22"/>
              </w:rPr>
              <w:t>included</w:t>
            </w:r>
            <w:r>
              <w:rPr>
                <w:color w:val="0A0A0A"/>
                <w:spacing w:val="-8"/>
                <w:sz w:val="22"/>
              </w:rPr>
              <w:t> </w:t>
            </w:r>
            <w:r>
              <w:rPr>
                <w:color w:val="0A0A0A"/>
                <w:sz w:val="22"/>
              </w:rPr>
              <w:t>for</w:t>
            </w:r>
            <w:r>
              <w:rPr>
                <w:color w:val="0A0A0A"/>
                <w:spacing w:val="-13"/>
                <w:sz w:val="22"/>
              </w:rPr>
              <w:t> </w:t>
            </w:r>
            <w:r>
              <w:rPr>
                <w:color w:val="0A0A0A"/>
                <w:sz w:val="22"/>
              </w:rPr>
              <w:t>future</w:t>
            </w:r>
            <w:r>
              <w:rPr>
                <w:color w:val="0A0A0A"/>
                <w:spacing w:val="-9"/>
                <w:sz w:val="22"/>
              </w:rPr>
              <w:t> </w:t>
            </w:r>
            <w:r>
              <w:rPr>
                <w:color w:val="0A0A0A"/>
                <w:sz w:val="22"/>
              </w:rPr>
              <w:t>retirements to elect to take 45% of the maximum additional tax-free</w:t>
            </w:r>
          </w:p>
        </w:tc>
        <w:tc>
          <w:tcPr>
            <w:tcW w:w="1426" w:type="dxa"/>
          </w:tcPr>
          <w:p>
            <w:pPr>
              <w:pStyle w:val="TableParagraph"/>
              <w:spacing w:before="25"/>
              <w:rPr>
                <w:sz w:val="22"/>
              </w:rPr>
            </w:pPr>
          </w:p>
          <w:p>
            <w:pPr>
              <w:pStyle w:val="TableParagraph"/>
              <w:spacing w:line="242" w:lineRule="exact"/>
              <w:ind w:right="70"/>
              <w:jc w:val="right"/>
              <w:rPr>
                <w:sz w:val="22"/>
              </w:rPr>
            </w:pPr>
            <w:r>
              <w:rPr>
                <w:color w:val="0A0A0A"/>
                <w:spacing w:val="-5"/>
                <w:sz w:val="22"/>
              </w:rPr>
              <w:t>45%</w:t>
            </w:r>
          </w:p>
        </w:tc>
      </w:tr>
      <w:tr>
        <w:trPr>
          <w:trHeight w:val="473" w:hRule="atLeast"/>
        </w:trPr>
        <w:tc>
          <w:tcPr>
            <w:tcW w:w="1253" w:type="dxa"/>
          </w:tcPr>
          <w:p>
            <w:pPr>
              <w:pStyle w:val="TableParagraph"/>
              <w:rPr>
                <w:rFonts w:ascii="Times New Roman"/>
                <w:sz w:val="20"/>
              </w:rPr>
            </w:pPr>
          </w:p>
        </w:tc>
        <w:tc>
          <w:tcPr>
            <w:tcW w:w="6063" w:type="dxa"/>
          </w:tcPr>
          <w:p>
            <w:pPr>
              <w:pStyle w:val="TableParagraph"/>
              <w:spacing w:line="250" w:lineRule="exact"/>
              <w:ind w:left="99"/>
              <w:rPr>
                <w:sz w:val="22"/>
              </w:rPr>
            </w:pPr>
            <w:r>
              <w:rPr>
                <w:color w:val="0A0A0A"/>
                <w:sz w:val="22"/>
              </w:rPr>
              <w:t>cash up</w:t>
            </w:r>
            <w:r>
              <w:rPr>
                <w:color w:val="0A0A0A"/>
                <w:spacing w:val="-9"/>
                <w:sz w:val="22"/>
              </w:rPr>
              <w:t> </w:t>
            </w:r>
            <w:r>
              <w:rPr>
                <w:color w:val="0A0A0A"/>
                <w:sz w:val="22"/>
              </w:rPr>
              <w:t>to</w:t>
            </w:r>
            <w:r>
              <w:rPr>
                <w:color w:val="0A0A0A"/>
                <w:spacing w:val="-12"/>
                <w:sz w:val="22"/>
              </w:rPr>
              <w:t> </w:t>
            </w:r>
            <w:r>
              <w:rPr>
                <w:color w:val="0A0A0A"/>
                <w:sz w:val="22"/>
              </w:rPr>
              <w:t>HMRC</w:t>
            </w:r>
            <w:r>
              <w:rPr>
                <w:color w:val="0A0A0A"/>
                <w:spacing w:val="3"/>
                <w:sz w:val="22"/>
              </w:rPr>
              <w:t> </w:t>
            </w:r>
            <w:r>
              <w:rPr>
                <w:color w:val="0A0A0A"/>
                <w:spacing w:val="-2"/>
                <w:sz w:val="22"/>
              </w:rPr>
              <w:t>limits.</w:t>
            </w:r>
          </w:p>
        </w:tc>
        <w:tc>
          <w:tcPr>
            <w:tcW w:w="1426" w:type="dxa"/>
          </w:tcPr>
          <w:p>
            <w:pPr>
              <w:pStyle w:val="TableParagraph"/>
              <w:rPr>
                <w:rFonts w:ascii="Times New Roman"/>
                <w:sz w:val="20"/>
              </w:rPr>
            </w:pPr>
          </w:p>
        </w:tc>
      </w:tr>
      <w:tr>
        <w:trPr>
          <w:trHeight w:val="520" w:hRule="atLeast"/>
        </w:trPr>
        <w:tc>
          <w:tcPr>
            <w:tcW w:w="1253" w:type="dxa"/>
          </w:tcPr>
          <w:p>
            <w:pPr>
              <w:pStyle w:val="TableParagraph"/>
              <w:rPr>
                <w:rFonts w:ascii="Times New Roman"/>
                <w:sz w:val="20"/>
              </w:rPr>
            </w:pPr>
          </w:p>
        </w:tc>
        <w:tc>
          <w:tcPr>
            <w:tcW w:w="6063" w:type="dxa"/>
          </w:tcPr>
          <w:p>
            <w:pPr>
              <w:pStyle w:val="TableParagraph"/>
              <w:spacing w:before="216"/>
              <w:ind w:left="102"/>
              <w:rPr>
                <w:b/>
                <w:sz w:val="21"/>
              </w:rPr>
            </w:pPr>
            <w:r>
              <w:rPr>
                <w:b/>
                <w:color w:val="0A0A0A"/>
                <w:spacing w:val="-2"/>
                <w:w w:val="105"/>
                <w:sz w:val="21"/>
              </w:rPr>
              <w:t>Mortality</w:t>
            </w:r>
            <w:r>
              <w:rPr>
                <w:b/>
                <w:color w:val="0A0A0A"/>
                <w:spacing w:val="1"/>
                <w:w w:val="105"/>
                <w:sz w:val="21"/>
              </w:rPr>
              <w:t> </w:t>
            </w:r>
            <w:r>
              <w:rPr>
                <w:b/>
                <w:color w:val="0A0A0A"/>
                <w:spacing w:val="-2"/>
                <w:w w:val="105"/>
                <w:sz w:val="21"/>
              </w:rPr>
              <w:t>assumptions:</w:t>
            </w:r>
          </w:p>
        </w:tc>
        <w:tc>
          <w:tcPr>
            <w:tcW w:w="1426" w:type="dxa"/>
          </w:tcPr>
          <w:p>
            <w:pPr>
              <w:pStyle w:val="TableParagraph"/>
              <w:rPr>
                <w:rFonts w:ascii="Times New Roman"/>
                <w:sz w:val="20"/>
              </w:rPr>
            </w:pPr>
          </w:p>
        </w:tc>
      </w:tr>
      <w:tr>
        <w:trPr>
          <w:trHeight w:val="371" w:hRule="atLeast"/>
        </w:trPr>
        <w:tc>
          <w:tcPr>
            <w:tcW w:w="1253" w:type="dxa"/>
          </w:tcPr>
          <w:p>
            <w:pPr>
              <w:pStyle w:val="TableParagraph"/>
              <w:rPr>
                <w:rFonts w:ascii="Times New Roman"/>
                <w:sz w:val="20"/>
              </w:rPr>
            </w:pPr>
          </w:p>
        </w:tc>
        <w:tc>
          <w:tcPr>
            <w:tcW w:w="6063" w:type="dxa"/>
          </w:tcPr>
          <w:p>
            <w:pPr>
              <w:pStyle w:val="TableParagraph"/>
              <w:spacing w:before="56"/>
              <w:ind w:left="101"/>
              <w:rPr>
                <w:sz w:val="22"/>
              </w:rPr>
            </w:pPr>
            <w:r>
              <w:rPr>
                <w:color w:val="0A0A0A"/>
                <w:sz w:val="22"/>
              </w:rPr>
              <w:t>Longevity</w:t>
            </w:r>
            <w:r>
              <w:rPr>
                <w:color w:val="0A0A0A"/>
                <w:spacing w:val="5"/>
                <w:sz w:val="22"/>
              </w:rPr>
              <w:t> </w:t>
            </w:r>
            <w:r>
              <w:rPr>
                <w:color w:val="0A0A0A"/>
                <w:sz w:val="22"/>
              </w:rPr>
              <w:t>at</w:t>
            </w:r>
            <w:r>
              <w:rPr>
                <w:color w:val="0A0A0A"/>
                <w:spacing w:val="-7"/>
                <w:sz w:val="22"/>
              </w:rPr>
              <w:t> </w:t>
            </w:r>
            <w:r>
              <w:rPr>
                <w:color w:val="0A0A0A"/>
                <w:sz w:val="22"/>
              </w:rPr>
              <w:t>65</w:t>
            </w:r>
            <w:r>
              <w:rPr>
                <w:color w:val="0A0A0A"/>
                <w:spacing w:val="-14"/>
                <w:sz w:val="22"/>
              </w:rPr>
              <w:t> </w:t>
            </w:r>
            <w:r>
              <w:rPr>
                <w:color w:val="0A0A0A"/>
                <w:sz w:val="22"/>
              </w:rPr>
              <w:t>for</w:t>
            </w:r>
            <w:r>
              <w:rPr>
                <w:color w:val="0A0A0A"/>
                <w:spacing w:val="-8"/>
                <w:sz w:val="22"/>
              </w:rPr>
              <w:t> </w:t>
            </w:r>
            <w:r>
              <w:rPr>
                <w:color w:val="0A0A0A"/>
                <w:sz w:val="22"/>
              </w:rPr>
              <w:t>current</w:t>
            </w:r>
            <w:r>
              <w:rPr>
                <w:color w:val="0A0A0A"/>
                <w:spacing w:val="1"/>
                <w:sz w:val="22"/>
              </w:rPr>
              <w:t> </w:t>
            </w:r>
            <w:r>
              <w:rPr>
                <w:color w:val="0A0A0A"/>
                <w:sz w:val="22"/>
              </w:rPr>
              <w:t>pensioners</w:t>
            </w:r>
            <w:r>
              <w:rPr>
                <w:color w:val="0A0A0A"/>
                <w:spacing w:val="5"/>
                <w:sz w:val="22"/>
              </w:rPr>
              <w:t> </w:t>
            </w:r>
            <w:r>
              <w:rPr>
                <w:color w:val="0A0A0A"/>
                <w:spacing w:val="-2"/>
                <w:sz w:val="22"/>
              </w:rPr>
              <w:t>(years)</w:t>
            </w:r>
          </w:p>
        </w:tc>
        <w:tc>
          <w:tcPr>
            <w:tcW w:w="1426" w:type="dxa"/>
          </w:tcPr>
          <w:p>
            <w:pPr>
              <w:pStyle w:val="TableParagraph"/>
              <w:rPr>
                <w:rFonts w:ascii="Times New Roman"/>
                <w:sz w:val="20"/>
              </w:rPr>
            </w:pPr>
          </w:p>
        </w:tc>
      </w:tr>
      <w:tr>
        <w:trPr>
          <w:trHeight w:val="372" w:hRule="atLeast"/>
        </w:trPr>
        <w:tc>
          <w:tcPr>
            <w:tcW w:w="1253" w:type="dxa"/>
          </w:tcPr>
          <w:p>
            <w:pPr>
              <w:pStyle w:val="TableParagraph"/>
              <w:spacing w:before="60"/>
              <w:ind w:right="112"/>
              <w:jc w:val="right"/>
              <w:rPr>
                <w:sz w:val="22"/>
              </w:rPr>
            </w:pPr>
            <w:r>
              <w:rPr>
                <w:color w:val="0A0A0A"/>
                <w:spacing w:val="-4"/>
                <w:sz w:val="22"/>
              </w:rPr>
              <w:t>22.1</w:t>
            </w:r>
          </w:p>
        </w:tc>
        <w:tc>
          <w:tcPr>
            <w:tcW w:w="6063" w:type="dxa"/>
          </w:tcPr>
          <w:p>
            <w:pPr>
              <w:pStyle w:val="TableParagraph"/>
              <w:spacing w:before="60"/>
              <w:ind w:left="100"/>
              <w:rPr>
                <w:sz w:val="22"/>
              </w:rPr>
            </w:pPr>
            <w:r>
              <w:rPr>
                <w:color w:val="0A0A0A"/>
                <w:spacing w:val="-5"/>
                <w:sz w:val="22"/>
              </w:rPr>
              <w:t>Men</w:t>
            </w:r>
          </w:p>
        </w:tc>
        <w:tc>
          <w:tcPr>
            <w:tcW w:w="1426" w:type="dxa"/>
          </w:tcPr>
          <w:p>
            <w:pPr>
              <w:pStyle w:val="TableParagraph"/>
              <w:spacing w:before="55"/>
              <w:ind w:right="57"/>
              <w:jc w:val="right"/>
              <w:rPr>
                <w:sz w:val="22"/>
              </w:rPr>
            </w:pPr>
            <w:r>
              <w:rPr>
                <w:color w:val="0A0A0A"/>
                <w:spacing w:val="-4"/>
                <w:sz w:val="22"/>
              </w:rPr>
              <w:t>22.0</w:t>
            </w:r>
          </w:p>
        </w:tc>
      </w:tr>
      <w:tr>
        <w:trPr>
          <w:trHeight w:val="552" w:hRule="atLeast"/>
        </w:trPr>
        <w:tc>
          <w:tcPr>
            <w:tcW w:w="1253" w:type="dxa"/>
          </w:tcPr>
          <w:p>
            <w:pPr>
              <w:pStyle w:val="TableParagraph"/>
              <w:spacing w:before="52"/>
              <w:ind w:right="112"/>
              <w:jc w:val="right"/>
              <w:rPr>
                <w:sz w:val="22"/>
              </w:rPr>
            </w:pPr>
            <w:r>
              <w:rPr>
                <w:color w:val="0A0A0A"/>
                <w:spacing w:val="-4"/>
                <w:sz w:val="22"/>
              </w:rPr>
              <w:t>24.7</w:t>
            </w:r>
          </w:p>
        </w:tc>
        <w:tc>
          <w:tcPr>
            <w:tcW w:w="6063" w:type="dxa"/>
          </w:tcPr>
          <w:p>
            <w:pPr>
              <w:pStyle w:val="TableParagraph"/>
              <w:spacing w:before="52"/>
              <w:ind w:left="105"/>
              <w:rPr>
                <w:sz w:val="22"/>
              </w:rPr>
            </w:pPr>
            <w:r>
              <w:rPr>
                <w:color w:val="0A0A0A"/>
                <w:spacing w:val="-2"/>
                <w:sz w:val="22"/>
              </w:rPr>
              <w:t>Women</w:t>
            </w:r>
          </w:p>
        </w:tc>
        <w:tc>
          <w:tcPr>
            <w:tcW w:w="1426" w:type="dxa"/>
          </w:tcPr>
          <w:p>
            <w:pPr>
              <w:pStyle w:val="TableParagraph"/>
              <w:spacing w:before="52"/>
              <w:ind w:right="53"/>
              <w:jc w:val="right"/>
              <w:rPr>
                <w:sz w:val="22"/>
              </w:rPr>
            </w:pPr>
            <w:r>
              <w:rPr>
                <w:color w:val="0A0A0A"/>
                <w:spacing w:val="-4"/>
                <w:sz w:val="22"/>
              </w:rPr>
              <w:t>24.4</w:t>
            </w:r>
          </w:p>
        </w:tc>
      </w:tr>
      <w:tr>
        <w:trPr>
          <w:trHeight w:val="557" w:hRule="atLeast"/>
        </w:trPr>
        <w:tc>
          <w:tcPr>
            <w:tcW w:w="1253" w:type="dxa"/>
          </w:tcPr>
          <w:p>
            <w:pPr>
              <w:pStyle w:val="TableParagraph"/>
              <w:rPr>
                <w:rFonts w:ascii="Times New Roman"/>
                <w:sz w:val="20"/>
              </w:rPr>
            </w:pPr>
          </w:p>
        </w:tc>
        <w:tc>
          <w:tcPr>
            <w:tcW w:w="6063" w:type="dxa"/>
          </w:tcPr>
          <w:p>
            <w:pPr>
              <w:pStyle w:val="TableParagraph"/>
              <w:spacing w:before="240"/>
              <w:ind w:left="101"/>
              <w:rPr>
                <w:sz w:val="22"/>
              </w:rPr>
            </w:pPr>
            <w:r>
              <w:rPr>
                <w:color w:val="0A0A0A"/>
                <w:sz w:val="22"/>
              </w:rPr>
              <w:t>Longevity</w:t>
            </w:r>
            <w:r>
              <w:rPr>
                <w:color w:val="0A0A0A"/>
                <w:spacing w:val="13"/>
                <w:sz w:val="22"/>
              </w:rPr>
              <w:t> </w:t>
            </w:r>
            <w:r>
              <w:rPr>
                <w:color w:val="0A0A0A"/>
                <w:sz w:val="22"/>
              </w:rPr>
              <w:t>at</w:t>
            </w:r>
            <w:r>
              <w:rPr>
                <w:color w:val="0A0A0A"/>
                <w:spacing w:val="-4"/>
                <w:sz w:val="22"/>
              </w:rPr>
              <w:t> </w:t>
            </w:r>
            <w:r>
              <w:rPr>
                <w:color w:val="0A0A0A"/>
                <w:sz w:val="22"/>
              </w:rPr>
              <w:t>65</w:t>
            </w:r>
            <w:r>
              <w:rPr>
                <w:color w:val="0A0A0A"/>
                <w:spacing w:val="-11"/>
                <w:sz w:val="22"/>
              </w:rPr>
              <w:t> </w:t>
            </w:r>
            <w:r>
              <w:rPr>
                <w:color w:val="0A0A0A"/>
                <w:sz w:val="22"/>
              </w:rPr>
              <w:t>for</w:t>
            </w:r>
            <w:r>
              <w:rPr>
                <w:color w:val="0A0A0A"/>
                <w:spacing w:val="-9"/>
                <w:sz w:val="22"/>
              </w:rPr>
              <w:t> </w:t>
            </w:r>
            <w:r>
              <w:rPr>
                <w:color w:val="0A0A0A"/>
                <w:sz w:val="22"/>
              </w:rPr>
              <w:t>future</w:t>
            </w:r>
            <w:r>
              <w:rPr>
                <w:color w:val="0A0A0A"/>
                <w:spacing w:val="-8"/>
                <w:sz w:val="22"/>
              </w:rPr>
              <w:t> </w:t>
            </w:r>
            <w:r>
              <w:rPr>
                <w:color w:val="0A0A0A"/>
                <w:sz w:val="22"/>
              </w:rPr>
              <w:t>pensioners</w:t>
            </w:r>
            <w:r>
              <w:rPr>
                <w:color w:val="0A0A0A"/>
                <w:spacing w:val="8"/>
                <w:sz w:val="22"/>
              </w:rPr>
              <w:t> </w:t>
            </w:r>
            <w:r>
              <w:rPr>
                <w:color w:val="0A0A0A"/>
                <w:spacing w:val="-2"/>
                <w:sz w:val="22"/>
              </w:rPr>
              <w:t>(years)</w:t>
            </w:r>
          </w:p>
        </w:tc>
        <w:tc>
          <w:tcPr>
            <w:tcW w:w="1426" w:type="dxa"/>
          </w:tcPr>
          <w:p>
            <w:pPr>
              <w:pStyle w:val="TableParagraph"/>
              <w:rPr>
                <w:rFonts w:ascii="Times New Roman"/>
                <w:sz w:val="20"/>
              </w:rPr>
            </w:pPr>
          </w:p>
        </w:tc>
      </w:tr>
      <w:tr>
        <w:trPr>
          <w:trHeight w:val="370" w:hRule="atLeast"/>
        </w:trPr>
        <w:tc>
          <w:tcPr>
            <w:tcW w:w="1253" w:type="dxa"/>
          </w:tcPr>
          <w:p>
            <w:pPr>
              <w:pStyle w:val="TableParagraph"/>
              <w:spacing w:before="57"/>
              <w:ind w:right="107"/>
              <w:jc w:val="right"/>
              <w:rPr>
                <w:sz w:val="22"/>
              </w:rPr>
            </w:pPr>
            <w:r>
              <w:rPr>
                <w:color w:val="0A0A0A"/>
                <w:spacing w:val="-4"/>
                <w:sz w:val="22"/>
              </w:rPr>
              <w:t>22.9</w:t>
            </w:r>
          </w:p>
        </w:tc>
        <w:tc>
          <w:tcPr>
            <w:tcW w:w="6063" w:type="dxa"/>
          </w:tcPr>
          <w:p>
            <w:pPr>
              <w:pStyle w:val="TableParagraph"/>
              <w:spacing w:before="57"/>
              <w:ind w:left="100"/>
              <w:rPr>
                <w:sz w:val="22"/>
              </w:rPr>
            </w:pPr>
            <w:r>
              <w:rPr>
                <w:color w:val="0A0A0A"/>
                <w:spacing w:val="-5"/>
                <w:sz w:val="22"/>
              </w:rPr>
              <w:t>Men</w:t>
            </w:r>
          </w:p>
        </w:tc>
        <w:tc>
          <w:tcPr>
            <w:tcW w:w="1426" w:type="dxa"/>
          </w:tcPr>
          <w:p>
            <w:pPr>
              <w:pStyle w:val="TableParagraph"/>
              <w:spacing w:before="57"/>
              <w:ind w:right="48"/>
              <w:jc w:val="right"/>
              <w:rPr>
                <w:sz w:val="22"/>
              </w:rPr>
            </w:pPr>
            <w:r>
              <w:rPr>
                <w:color w:val="0A0A0A"/>
                <w:spacing w:val="-4"/>
                <w:sz w:val="22"/>
              </w:rPr>
              <w:t>22.4</w:t>
            </w:r>
          </w:p>
        </w:tc>
      </w:tr>
      <w:tr>
        <w:trPr>
          <w:trHeight w:val="310" w:hRule="atLeast"/>
        </w:trPr>
        <w:tc>
          <w:tcPr>
            <w:tcW w:w="1253" w:type="dxa"/>
          </w:tcPr>
          <w:p>
            <w:pPr>
              <w:pStyle w:val="TableParagraph"/>
              <w:spacing w:before="57" w:line="233" w:lineRule="exact"/>
              <w:ind w:right="92"/>
              <w:jc w:val="right"/>
              <w:rPr>
                <w:sz w:val="22"/>
              </w:rPr>
            </w:pPr>
            <w:r>
              <w:rPr>
                <w:color w:val="0A0A0A"/>
                <w:spacing w:val="-4"/>
                <w:w w:val="105"/>
                <w:sz w:val="22"/>
              </w:rPr>
              <w:t>26</w:t>
            </w:r>
            <w:r>
              <w:rPr>
                <w:color w:val="363636"/>
                <w:spacing w:val="-4"/>
                <w:w w:val="105"/>
                <w:sz w:val="22"/>
              </w:rPr>
              <w:t>.</w:t>
            </w:r>
            <w:r>
              <w:rPr>
                <w:color w:val="0A0A0A"/>
                <w:spacing w:val="-4"/>
                <w:w w:val="105"/>
                <w:sz w:val="22"/>
              </w:rPr>
              <w:t>1</w:t>
            </w:r>
          </w:p>
        </w:tc>
        <w:tc>
          <w:tcPr>
            <w:tcW w:w="6063" w:type="dxa"/>
          </w:tcPr>
          <w:p>
            <w:pPr>
              <w:pStyle w:val="TableParagraph"/>
              <w:spacing w:before="57" w:line="233" w:lineRule="exact"/>
              <w:ind w:left="105"/>
              <w:rPr>
                <w:sz w:val="22"/>
              </w:rPr>
            </w:pPr>
            <w:r>
              <w:rPr>
                <w:color w:val="0A0A0A"/>
                <w:spacing w:val="-2"/>
                <w:sz w:val="22"/>
              </w:rPr>
              <w:t>Women</w:t>
            </w:r>
          </w:p>
        </w:tc>
        <w:tc>
          <w:tcPr>
            <w:tcW w:w="1426" w:type="dxa"/>
          </w:tcPr>
          <w:p>
            <w:pPr>
              <w:pStyle w:val="TableParagraph"/>
              <w:spacing w:before="52" w:line="238" w:lineRule="exact"/>
              <w:ind w:right="47"/>
              <w:jc w:val="right"/>
              <w:rPr>
                <w:sz w:val="22"/>
              </w:rPr>
            </w:pPr>
            <w:r>
              <w:rPr>
                <w:color w:val="0A0A0A"/>
                <w:spacing w:val="-4"/>
                <w:sz w:val="22"/>
              </w:rPr>
              <w:t>26.0</w:t>
            </w:r>
          </w:p>
        </w:tc>
      </w:tr>
    </w:tbl>
    <w:p>
      <w:pPr>
        <w:pStyle w:val="BodyText"/>
      </w:pPr>
    </w:p>
    <w:p>
      <w:pPr>
        <w:pStyle w:val="BodyText"/>
        <w:spacing w:before="67"/>
      </w:pPr>
    </w:p>
    <w:p>
      <w:pPr>
        <w:pStyle w:val="BodyText"/>
        <w:ind w:left="1293" w:right="1089" w:hanging="5"/>
        <w:jc w:val="both"/>
      </w:pPr>
      <w:r>
        <w:rPr>
          <w:color w:val="0A0A0A"/>
        </w:rPr>
        <w:t>The</w:t>
      </w:r>
      <w:r>
        <w:rPr>
          <w:color w:val="0A0A0A"/>
          <w:spacing w:val="-13"/>
        </w:rPr>
        <w:t> </w:t>
      </w:r>
      <w:r>
        <w:rPr>
          <w:color w:val="0A0A0A"/>
        </w:rPr>
        <w:t>estimation</w:t>
      </w:r>
      <w:r>
        <w:rPr>
          <w:color w:val="0A0A0A"/>
          <w:spacing w:val="-1"/>
        </w:rPr>
        <w:t> </w:t>
      </w:r>
      <w:r>
        <w:rPr>
          <w:color w:val="0A0A0A"/>
        </w:rPr>
        <w:t>of</w:t>
      </w:r>
      <w:r>
        <w:rPr>
          <w:color w:val="0A0A0A"/>
          <w:spacing w:val="-14"/>
        </w:rPr>
        <w:t> </w:t>
      </w:r>
      <w:r>
        <w:rPr>
          <w:color w:val="0A0A0A"/>
        </w:rPr>
        <w:t>the</w:t>
      </w:r>
      <w:r>
        <w:rPr>
          <w:color w:val="0A0A0A"/>
          <w:spacing w:val="-4"/>
        </w:rPr>
        <w:t> </w:t>
      </w:r>
      <w:r>
        <w:rPr>
          <w:color w:val="0A0A0A"/>
        </w:rPr>
        <w:t>defined</w:t>
      </w:r>
      <w:r>
        <w:rPr>
          <w:color w:val="0A0A0A"/>
          <w:spacing w:val="-2"/>
        </w:rPr>
        <w:t> </w:t>
      </w:r>
      <w:r>
        <w:rPr>
          <w:color w:val="0A0A0A"/>
        </w:rPr>
        <w:t>benefit</w:t>
      </w:r>
      <w:r>
        <w:rPr>
          <w:color w:val="0A0A0A"/>
          <w:spacing w:val="-1"/>
        </w:rPr>
        <w:t> </w:t>
      </w:r>
      <w:r>
        <w:rPr>
          <w:color w:val="0A0A0A"/>
        </w:rPr>
        <w:t>obligations</w:t>
      </w:r>
      <w:r>
        <w:rPr>
          <w:color w:val="0A0A0A"/>
          <w:spacing w:val="-1"/>
        </w:rPr>
        <w:t> </w:t>
      </w:r>
      <w:r>
        <w:rPr>
          <w:color w:val="0A0A0A"/>
        </w:rPr>
        <w:t>is</w:t>
      </w:r>
      <w:r>
        <w:rPr>
          <w:color w:val="0A0A0A"/>
          <w:spacing w:val="-16"/>
        </w:rPr>
        <w:t> </w:t>
      </w:r>
      <w:r>
        <w:rPr>
          <w:color w:val="0A0A0A"/>
        </w:rPr>
        <w:t>sensitive</w:t>
      </w:r>
      <w:r>
        <w:rPr>
          <w:color w:val="0A0A0A"/>
          <w:spacing w:val="-6"/>
        </w:rPr>
        <w:t> </w:t>
      </w:r>
      <w:r>
        <w:rPr>
          <w:color w:val="0A0A0A"/>
        </w:rPr>
        <w:t>to</w:t>
      </w:r>
      <w:r>
        <w:rPr>
          <w:color w:val="0A0A0A"/>
          <w:spacing w:val="-16"/>
        </w:rPr>
        <w:t> </w:t>
      </w:r>
      <w:r>
        <w:rPr>
          <w:color w:val="0A0A0A"/>
        </w:rPr>
        <w:t>the</w:t>
      </w:r>
      <w:r>
        <w:rPr>
          <w:color w:val="0A0A0A"/>
          <w:spacing w:val="-9"/>
        </w:rPr>
        <w:t> </w:t>
      </w:r>
      <w:r>
        <w:rPr>
          <w:color w:val="0A0A0A"/>
        </w:rPr>
        <w:t>actuarial assumptions</w:t>
      </w:r>
      <w:r>
        <w:rPr>
          <w:color w:val="0A0A0A"/>
          <w:spacing w:val="18"/>
        </w:rPr>
        <w:t> </w:t>
      </w:r>
      <w:r>
        <w:rPr>
          <w:color w:val="0A0A0A"/>
        </w:rPr>
        <w:t>as</w:t>
      </w:r>
      <w:r>
        <w:rPr>
          <w:color w:val="0A0A0A"/>
          <w:spacing w:val="-4"/>
        </w:rPr>
        <w:t> </w:t>
      </w:r>
      <w:r>
        <w:rPr>
          <w:color w:val="0A0A0A"/>
        </w:rPr>
        <w:t>set out in the table above.</w:t>
      </w:r>
      <w:r>
        <w:rPr>
          <w:color w:val="0A0A0A"/>
          <w:spacing w:val="40"/>
        </w:rPr>
        <w:t> </w:t>
      </w:r>
      <w:r>
        <w:rPr>
          <w:color w:val="0A0A0A"/>
        </w:rPr>
        <w:t>The sensitivity analyses below have been determined based on reasonably possible changes of the assumptions occurring at the end of the reporting period and assumes that for each change the assumption analysed changes whilst all other assumptions remain</w:t>
      </w:r>
      <w:r>
        <w:rPr>
          <w:color w:val="0A0A0A"/>
          <w:spacing w:val="-5"/>
        </w:rPr>
        <w:t> </w:t>
      </w:r>
      <w:r>
        <w:rPr>
          <w:color w:val="0A0A0A"/>
        </w:rPr>
        <w:t>constant.</w:t>
      </w:r>
      <w:r>
        <w:rPr>
          <w:color w:val="0A0A0A"/>
          <w:spacing w:val="40"/>
        </w:rPr>
        <w:t> </w:t>
      </w:r>
      <w:r>
        <w:rPr>
          <w:color w:val="0A0A0A"/>
        </w:rPr>
        <w:t>In</w:t>
      </w:r>
      <w:r>
        <w:rPr>
          <w:color w:val="0A0A0A"/>
          <w:spacing w:val="-13"/>
        </w:rPr>
        <w:t> </w:t>
      </w:r>
      <w:r>
        <w:rPr>
          <w:color w:val="0A0A0A"/>
        </w:rPr>
        <w:t>practice, this</w:t>
      </w:r>
      <w:r>
        <w:rPr>
          <w:color w:val="0A0A0A"/>
          <w:spacing w:val="-6"/>
        </w:rPr>
        <w:t> </w:t>
      </w:r>
      <w:r>
        <w:rPr>
          <w:color w:val="0A0A0A"/>
        </w:rPr>
        <w:t>is</w:t>
      </w:r>
      <w:r>
        <w:rPr>
          <w:color w:val="0A0A0A"/>
          <w:spacing w:val="-9"/>
        </w:rPr>
        <w:t> </w:t>
      </w:r>
      <w:r>
        <w:rPr>
          <w:color w:val="0A0A0A"/>
        </w:rPr>
        <w:t>unlikely to</w:t>
      </w:r>
      <w:r>
        <w:rPr>
          <w:color w:val="0A0A0A"/>
          <w:spacing w:val="-6"/>
        </w:rPr>
        <w:t> </w:t>
      </w:r>
      <w:r>
        <w:rPr>
          <w:color w:val="0A0A0A"/>
        </w:rPr>
        <w:t>occur, and</w:t>
      </w:r>
      <w:r>
        <w:rPr>
          <w:color w:val="0A0A0A"/>
          <w:spacing w:val="-3"/>
        </w:rPr>
        <w:t> </w:t>
      </w:r>
      <w:r>
        <w:rPr>
          <w:color w:val="0A0A0A"/>
        </w:rPr>
        <w:t>changes in</w:t>
      </w:r>
      <w:r>
        <w:rPr>
          <w:color w:val="0A0A0A"/>
          <w:spacing w:val="-12"/>
        </w:rPr>
        <w:t> </w:t>
      </w:r>
      <w:r>
        <w:rPr>
          <w:color w:val="0A0A0A"/>
        </w:rPr>
        <w:t>some of</w:t>
      </w:r>
      <w:r>
        <w:rPr>
          <w:color w:val="0A0A0A"/>
          <w:spacing w:val="-6"/>
        </w:rPr>
        <w:t> </w:t>
      </w:r>
      <w:r>
        <w:rPr>
          <w:color w:val="0A0A0A"/>
        </w:rPr>
        <w:t>the assumptions may be</w:t>
      </w:r>
      <w:r>
        <w:rPr>
          <w:color w:val="0A0A0A"/>
          <w:spacing w:val="-10"/>
        </w:rPr>
        <w:t> </w:t>
      </w:r>
      <w:r>
        <w:rPr>
          <w:color w:val="0A0A0A"/>
        </w:rPr>
        <w:t>interrelated.</w:t>
      </w:r>
      <w:r>
        <w:rPr>
          <w:color w:val="0A0A0A"/>
          <w:spacing w:val="40"/>
        </w:rPr>
        <w:t> </w:t>
      </w:r>
      <w:r>
        <w:rPr>
          <w:color w:val="0A0A0A"/>
        </w:rPr>
        <w:t>The</w:t>
      </w:r>
      <w:r>
        <w:rPr>
          <w:color w:val="0A0A0A"/>
          <w:spacing w:val="-3"/>
        </w:rPr>
        <w:t> </w:t>
      </w:r>
      <w:r>
        <w:rPr>
          <w:color w:val="0A0A0A"/>
        </w:rPr>
        <w:t>estimations in</w:t>
      </w:r>
      <w:r>
        <w:rPr>
          <w:color w:val="0A0A0A"/>
          <w:spacing w:val="-9"/>
        </w:rPr>
        <w:t> </w:t>
      </w:r>
      <w:r>
        <w:rPr>
          <w:color w:val="0A0A0A"/>
        </w:rPr>
        <w:t>the</w:t>
      </w:r>
      <w:r>
        <w:rPr>
          <w:color w:val="0A0A0A"/>
          <w:spacing w:val="-5"/>
        </w:rPr>
        <w:t> </w:t>
      </w:r>
      <w:r>
        <w:rPr>
          <w:color w:val="0A0A0A"/>
        </w:rPr>
        <w:t>sensitivity analysis have followed the accounting policies for the scheme, i.e., on an actuarial basis using the projected unit credit method.</w:t>
      </w:r>
      <w:r>
        <w:rPr>
          <w:color w:val="0A0A0A"/>
          <w:spacing w:val="40"/>
        </w:rPr>
        <w:t> </w:t>
      </w:r>
      <w:r>
        <w:rPr>
          <w:color w:val="0A0A0A"/>
        </w:rPr>
        <w:t>The</w:t>
      </w:r>
      <w:r>
        <w:rPr>
          <w:color w:val="0A0A0A"/>
          <w:spacing w:val="-3"/>
        </w:rPr>
        <w:t> </w:t>
      </w:r>
      <w:r>
        <w:rPr>
          <w:color w:val="0A0A0A"/>
        </w:rPr>
        <w:t>methods and</w:t>
      </w:r>
      <w:r>
        <w:rPr>
          <w:color w:val="0A0A0A"/>
          <w:spacing w:val="-3"/>
        </w:rPr>
        <w:t> </w:t>
      </w:r>
      <w:r>
        <w:rPr>
          <w:color w:val="0A0A0A"/>
        </w:rPr>
        <w:t>types of</w:t>
      </w:r>
      <w:r>
        <w:rPr>
          <w:color w:val="0A0A0A"/>
          <w:spacing w:val="-1"/>
        </w:rPr>
        <w:t> </w:t>
      </w:r>
      <w:r>
        <w:rPr>
          <w:color w:val="0A0A0A"/>
        </w:rPr>
        <w:t>assumptions used</w:t>
      </w:r>
      <w:r>
        <w:rPr>
          <w:color w:val="0A0A0A"/>
          <w:spacing w:val="-2"/>
        </w:rPr>
        <w:t> </w:t>
      </w:r>
      <w:r>
        <w:rPr>
          <w:color w:val="0A0A0A"/>
        </w:rPr>
        <w:t>in</w:t>
      </w:r>
      <w:r>
        <w:rPr>
          <w:color w:val="0A0A0A"/>
          <w:spacing w:val="-10"/>
        </w:rPr>
        <w:t> </w:t>
      </w:r>
      <w:r>
        <w:rPr>
          <w:color w:val="0A0A0A"/>
        </w:rPr>
        <w:t>preparing the sensitivity analysis did not change from those used in</w:t>
      </w:r>
      <w:r>
        <w:rPr>
          <w:color w:val="0A0A0A"/>
          <w:spacing w:val="-1"/>
        </w:rPr>
        <w:t> </w:t>
      </w:r>
      <w:r>
        <w:rPr>
          <w:color w:val="0A0A0A"/>
        </w:rPr>
        <w:t>the previous period.</w:t>
      </w:r>
    </w:p>
    <w:p>
      <w:pPr>
        <w:spacing w:after="0"/>
        <w:jc w:val="both"/>
        <w:sectPr>
          <w:headerReference w:type="default" r:id="rId202"/>
          <w:pgSz w:w="11910" w:h="16830"/>
          <w:pgMar w:top="660" w:right="300" w:bottom="1320" w:left="0" w:header="0" w:footer="0"/>
        </w:sectPr>
      </w:pPr>
    </w:p>
    <w:p>
      <w:pPr>
        <w:tabs>
          <w:tab w:val="left" w:leader="none" w:pos="2277"/>
        </w:tabs>
        <w:spacing w:before="68"/>
        <w:ind w:left="1551" w:right="0" w:firstLine="0"/>
        <w:jc w:val="left"/>
        <w:rPr>
          <w:sz w:val="14"/>
        </w:rPr>
      </w:pPr>
      <w:r>
        <w:rPr>
          <w:color w:val="AAAAAA"/>
          <w:spacing w:val="-10"/>
          <w:w w:val="105"/>
          <w:sz w:val="14"/>
        </w:rPr>
        <w:t>5</w:t>
      </w:r>
      <w:r>
        <w:rPr>
          <w:color w:val="AAAAAA"/>
          <w:sz w:val="14"/>
        </w:rPr>
        <w:tab/>
      </w:r>
      <w:r>
        <w:rPr>
          <w:color w:val="AAAAAA"/>
          <w:w w:val="105"/>
          <w:sz w:val="14"/>
        </w:rPr>
        <w:t>NOT:=5</w:t>
      </w:r>
      <w:r>
        <w:rPr>
          <w:color w:val="AAAAAA"/>
          <w:spacing w:val="33"/>
          <w:w w:val="105"/>
          <w:sz w:val="14"/>
        </w:rPr>
        <w:t> </w:t>
      </w:r>
      <w:r>
        <w:rPr>
          <w:color w:val="AAAAAA"/>
          <w:w w:val="105"/>
          <w:sz w:val="14"/>
        </w:rPr>
        <w:t>T'.J</w:t>
      </w:r>
      <w:r>
        <w:rPr>
          <w:color w:val="AAAAAA"/>
          <w:spacing w:val="15"/>
          <w:w w:val="105"/>
          <w:sz w:val="14"/>
        </w:rPr>
        <w:t> </w:t>
      </w:r>
      <w:r>
        <w:rPr>
          <w:color w:val="AAAAAA"/>
          <w:w w:val="105"/>
          <w:sz w:val="14"/>
        </w:rPr>
        <w:t>THE</w:t>
      </w:r>
      <w:r>
        <w:rPr>
          <w:color w:val="AAAAAA"/>
          <w:spacing w:val="13"/>
          <w:w w:val="105"/>
          <w:sz w:val="14"/>
        </w:rPr>
        <w:t> </w:t>
      </w:r>
      <w:r>
        <w:rPr>
          <w:color w:val="AAAAAA"/>
          <w:spacing w:val="-2"/>
          <w:w w:val="105"/>
          <w:sz w:val="14"/>
        </w:rPr>
        <w:t>ACCOUNTS</w:t>
      </w:r>
    </w:p>
    <w:p>
      <w:pPr>
        <w:pStyle w:val="BodyText"/>
        <w:spacing w:before="160"/>
        <w:rPr>
          <w:sz w:val="14"/>
        </w:rPr>
      </w:pPr>
    </w:p>
    <w:p>
      <w:pPr>
        <w:spacing w:before="0"/>
        <w:ind w:left="2865" w:right="0" w:firstLine="0"/>
        <w:jc w:val="left"/>
        <w:rPr>
          <w:b/>
          <w:sz w:val="21"/>
        </w:rPr>
      </w:pPr>
      <w:r>
        <w:rPr>
          <w:b/>
          <w:color w:val="0A0A0A"/>
          <w:w w:val="105"/>
          <w:sz w:val="21"/>
        </w:rPr>
        <w:t>Approximate</w:t>
      </w:r>
      <w:r>
        <w:rPr>
          <w:b/>
          <w:color w:val="0A0A0A"/>
          <w:spacing w:val="10"/>
          <w:w w:val="105"/>
          <w:sz w:val="21"/>
        </w:rPr>
        <w:t> </w:t>
      </w:r>
      <w:r>
        <w:rPr>
          <w:b/>
          <w:color w:val="0A0A0A"/>
          <w:w w:val="105"/>
          <w:sz w:val="21"/>
        </w:rPr>
        <w:t>Impact</w:t>
      </w:r>
      <w:r>
        <w:rPr>
          <w:b/>
          <w:color w:val="0A0A0A"/>
          <w:spacing w:val="-8"/>
          <w:w w:val="105"/>
          <w:sz w:val="21"/>
        </w:rPr>
        <w:t> </w:t>
      </w:r>
      <w:r>
        <w:rPr>
          <w:b/>
          <w:color w:val="0A0A0A"/>
          <w:w w:val="105"/>
          <w:sz w:val="21"/>
        </w:rPr>
        <w:t>on</w:t>
      </w:r>
      <w:r>
        <w:rPr>
          <w:b/>
          <w:color w:val="0A0A0A"/>
          <w:spacing w:val="-11"/>
          <w:w w:val="105"/>
          <w:sz w:val="21"/>
        </w:rPr>
        <w:t> </w:t>
      </w:r>
      <w:r>
        <w:rPr>
          <w:b/>
          <w:color w:val="0A0A0A"/>
          <w:w w:val="105"/>
          <w:sz w:val="21"/>
        </w:rPr>
        <w:t>the</w:t>
      </w:r>
      <w:r>
        <w:rPr>
          <w:b/>
          <w:color w:val="0A0A0A"/>
          <w:spacing w:val="-13"/>
          <w:w w:val="105"/>
          <w:sz w:val="21"/>
        </w:rPr>
        <w:t> </w:t>
      </w:r>
      <w:r>
        <w:rPr>
          <w:b/>
          <w:color w:val="0A0A0A"/>
          <w:w w:val="105"/>
          <w:sz w:val="21"/>
        </w:rPr>
        <w:t>Defined</w:t>
      </w:r>
      <w:r>
        <w:rPr>
          <w:b/>
          <w:color w:val="0A0A0A"/>
          <w:spacing w:val="-9"/>
          <w:w w:val="105"/>
          <w:sz w:val="21"/>
        </w:rPr>
        <w:t> </w:t>
      </w:r>
      <w:r>
        <w:rPr>
          <w:b/>
          <w:color w:val="0A0A0A"/>
          <w:w w:val="105"/>
          <w:sz w:val="21"/>
        </w:rPr>
        <w:t>Benefit</w:t>
      </w:r>
      <w:r>
        <w:rPr>
          <w:b/>
          <w:color w:val="0A0A0A"/>
          <w:spacing w:val="-4"/>
          <w:w w:val="105"/>
          <w:sz w:val="21"/>
        </w:rPr>
        <w:t> </w:t>
      </w:r>
      <w:r>
        <w:rPr>
          <w:b/>
          <w:color w:val="0A0A0A"/>
          <w:w w:val="105"/>
          <w:sz w:val="21"/>
        </w:rPr>
        <w:t>Obligation</w:t>
      </w:r>
      <w:r>
        <w:rPr>
          <w:b/>
          <w:color w:val="0A0A0A"/>
          <w:spacing w:val="-3"/>
          <w:w w:val="105"/>
          <w:sz w:val="21"/>
        </w:rPr>
        <w:t> </w:t>
      </w:r>
      <w:r>
        <w:rPr>
          <w:b/>
          <w:color w:val="0A0A0A"/>
          <w:w w:val="105"/>
          <w:sz w:val="21"/>
        </w:rPr>
        <w:t>in</w:t>
      </w:r>
      <w:r>
        <w:rPr>
          <w:b/>
          <w:color w:val="0A0A0A"/>
          <w:spacing w:val="-13"/>
          <w:w w:val="105"/>
          <w:sz w:val="21"/>
        </w:rPr>
        <w:t> </w:t>
      </w:r>
      <w:r>
        <w:rPr>
          <w:b/>
          <w:color w:val="0A0A0A"/>
          <w:w w:val="105"/>
          <w:sz w:val="21"/>
        </w:rPr>
        <w:t>the</w:t>
      </w:r>
      <w:r>
        <w:rPr>
          <w:b/>
          <w:color w:val="0A0A0A"/>
          <w:spacing w:val="-10"/>
          <w:w w:val="105"/>
          <w:sz w:val="21"/>
        </w:rPr>
        <w:t> </w:t>
      </w:r>
      <w:r>
        <w:rPr>
          <w:b/>
          <w:color w:val="0A0A0A"/>
          <w:spacing w:val="-2"/>
          <w:w w:val="105"/>
          <w:sz w:val="21"/>
        </w:rPr>
        <w:t>Scheme</w:t>
      </w:r>
    </w:p>
    <w:p>
      <w:pPr>
        <w:pStyle w:val="BodyText"/>
        <w:spacing w:before="78"/>
        <w:rPr>
          <w:b/>
          <w:sz w:val="20"/>
        </w:rPr>
      </w:pPr>
    </w:p>
    <w:tbl>
      <w:tblPr>
        <w:tblW w:w="0" w:type="auto"/>
        <w:jc w:val="left"/>
        <w:tblInd w:w="165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5329"/>
        <w:gridCol w:w="2582"/>
        <w:gridCol w:w="1656"/>
      </w:tblGrid>
      <w:tr>
        <w:trPr>
          <w:trHeight w:val="1009" w:hRule="atLeast"/>
        </w:trPr>
        <w:tc>
          <w:tcPr>
            <w:tcW w:w="5329" w:type="dxa"/>
            <w:vMerge w:val="restart"/>
          </w:tcPr>
          <w:p>
            <w:pPr>
              <w:pStyle w:val="TableParagraph"/>
              <w:rPr>
                <w:rFonts w:ascii="Times New Roman"/>
                <w:sz w:val="20"/>
              </w:rPr>
            </w:pPr>
          </w:p>
        </w:tc>
        <w:tc>
          <w:tcPr>
            <w:tcW w:w="2582" w:type="dxa"/>
          </w:tcPr>
          <w:p>
            <w:pPr>
              <w:pStyle w:val="TableParagraph"/>
              <w:spacing w:line="249" w:lineRule="auto"/>
              <w:ind w:left="975" w:right="431" w:hanging="11"/>
              <w:jc w:val="both"/>
              <w:rPr>
                <w:b/>
                <w:sz w:val="21"/>
              </w:rPr>
            </w:pPr>
            <w:r>
              <w:rPr>
                <w:b/>
                <w:color w:val="0A0A0A"/>
                <w:spacing w:val="-2"/>
                <w:w w:val="105"/>
                <w:sz w:val="21"/>
              </w:rPr>
              <w:t>Percentage </w:t>
            </w:r>
            <w:r>
              <w:rPr>
                <w:b/>
                <w:color w:val="0A0A0A"/>
                <w:w w:val="105"/>
                <w:sz w:val="21"/>
              </w:rPr>
              <w:t>Increase</w:t>
            </w:r>
            <w:r>
              <w:rPr>
                <w:b/>
                <w:color w:val="0A0A0A"/>
                <w:spacing w:val="-16"/>
                <w:w w:val="105"/>
                <w:sz w:val="21"/>
              </w:rPr>
              <w:t> </w:t>
            </w:r>
            <w:r>
              <w:rPr>
                <w:b/>
                <w:color w:val="0A0A0A"/>
                <w:w w:val="105"/>
                <w:sz w:val="21"/>
              </w:rPr>
              <w:t>to </w:t>
            </w:r>
            <w:r>
              <w:rPr>
                <w:b/>
                <w:color w:val="0A0A0A"/>
                <w:spacing w:val="-2"/>
                <w:w w:val="105"/>
                <w:sz w:val="21"/>
              </w:rPr>
              <w:t>Employer</w:t>
            </w:r>
          </w:p>
          <w:p>
            <w:pPr>
              <w:pStyle w:val="TableParagraph"/>
              <w:spacing w:before="4" w:line="232" w:lineRule="exact"/>
              <w:ind w:left="1137"/>
              <w:rPr>
                <w:b/>
                <w:sz w:val="21"/>
              </w:rPr>
            </w:pPr>
            <w:r>
              <w:rPr>
                <w:b/>
                <w:color w:val="0A0A0A"/>
                <w:spacing w:val="-2"/>
                <w:w w:val="105"/>
                <w:sz w:val="21"/>
              </w:rPr>
              <w:t>Liability</w:t>
            </w:r>
          </w:p>
        </w:tc>
        <w:tc>
          <w:tcPr>
            <w:tcW w:w="1656" w:type="dxa"/>
          </w:tcPr>
          <w:p>
            <w:pPr>
              <w:pStyle w:val="TableParagraph"/>
              <w:spacing w:line="249" w:lineRule="auto"/>
              <w:ind w:left="374" w:right="111" w:hanging="14"/>
              <w:jc w:val="center"/>
              <w:rPr>
                <w:b/>
                <w:sz w:val="21"/>
              </w:rPr>
            </w:pPr>
            <w:r>
              <w:rPr>
                <w:b/>
                <w:color w:val="0A0A0A"/>
                <w:spacing w:val="-2"/>
                <w:w w:val="105"/>
                <w:sz w:val="21"/>
              </w:rPr>
              <w:t>Monetary </w:t>
            </w:r>
            <w:r>
              <w:rPr>
                <w:b/>
                <w:color w:val="0A0A0A"/>
                <w:w w:val="105"/>
                <w:sz w:val="21"/>
              </w:rPr>
              <w:t>Increase</w:t>
            </w:r>
            <w:r>
              <w:rPr>
                <w:b/>
                <w:color w:val="0A0A0A"/>
                <w:spacing w:val="-13"/>
                <w:w w:val="105"/>
                <w:sz w:val="21"/>
              </w:rPr>
              <w:t> </w:t>
            </w:r>
            <w:r>
              <w:rPr>
                <w:b/>
                <w:color w:val="0A0A0A"/>
                <w:w w:val="105"/>
                <w:sz w:val="21"/>
              </w:rPr>
              <w:t>to </w:t>
            </w:r>
            <w:r>
              <w:rPr>
                <w:b/>
                <w:color w:val="0A0A0A"/>
                <w:spacing w:val="-2"/>
                <w:w w:val="105"/>
                <w:sz w:val="21"/>
              </w:rPr>
              <w:t>Employer</w:t>
            </w:r>
          </w:p>
          <w:p>
            <w:pPr>
              <w:pStyle w:val="TableParagraph"/>
              <w:ind w:left="234"/>
              <w:jc w:val="center"/>
              <w:rPr>
                <w:b/>
                <w:sz w:val="21"/>
              </w:rPr>
            </w:pPr>
            <w:r>
              <w:rPr>
                <w:b/>
                <w:color w:val="0A0A0A"/>
                <w:spacing w:val="-2"/>
                <w:w w:val="105"/>
                <w:sz w:val="21"/>
              </w:rPr>
              <w:t>Liability</w:t>
            </w:r>
          </w:p>
        </w:tc>
      </w:tr>
      <w:tr>
        <w:trPr>
          <w:trHeight w:val="296" w:hRule="atLeast"/>
        </w:trPr>
        <w:tc>
          <w:tcPr>
            <w:tcW w:w="5329" w:type="dxa"/>
            <w:vMerge/>
            <w:tcBorders>
              <w:top w:val="nil"/>
            </w:tcBorders>
          </w:tcPr>
          <w:p>
            <w:pPr>
              <w:rPr>
                <w:sz w:val="2"/>
                <w:szCs w:val="2"/>
              </w:rPr>
            </w:pPr>
          </w:p>
        </w:tc>
        <w:tc>
          <w:tcPr>
            <w:tcW w:w="2582" w:type="dxa"/>
          </w:tcPr>
          <w:p>
            <w:pPr>
              <w:pStyle w:val="TableParagraph"/>
              <w:spacing w:before="3"/>
              <w:ind w:left="526"/>
              <w:jc w:val="center"/>
              <w:rPr>
                <w:sz w:val="22"/>
              </w:rPr>
            </w:pPr>
            <w:r>
              <w:rPr>
                <w:color w:val="0A0A0A"/>
                <w:spacing w:val="-10"/>
                <w:w w:val="105"/>
                <w:sz w:val="22"/>
              </w:rPr>
              <w:t>%</w:t>
            </w:r>
          </w:p>
        </w:tc>
        <w:tc>
          <w:tcPr>
            <w:tcW w:w="1656" w:type="dxa"/>
          </w:tcPr>
          <w:p>
            <w:pPr>
              <w:pStyle w:val="TableParagraph"/>
              <w:spacing w:before="7"/>
              <w:ind w:left="704"/>
              <w:rPr>
                <w:b/>
                <w:sz w:val="21"/>
              </w:rPr>
            </w:pPr>
            <w:r>
              <w:rPr>
                <w:b/>
                <w:color w:val="0A0A0A"/>
                <w:spacing w:val="-4"/>
                <w:w w:val="105"/>
                <w:sz w:val="21"/>
              </w:rPr>
              <w:t>£000</w:t>
            </w:r>
          </w:p>
        </w:tc>
      </w:tr>
      <w:tr>
        <w:trPr>
          <w:trHeight w:val="372" w:hRule="atLeast"/>
        </w:trPr>
        <w:tc>
          <w:tcPr>
            <w:tcW w:w="5329" w:type="dxa"/>
          </w:tcPr>
          <w:p>
            <w:pPr>
              <w:pStyle w:val="TableParagraph"/>
              <w:spacing w:before="43"/>
              <w:ind w:left="69"/>
              <w:rPr>
                <w:sz w:val="22"/>
              </w:rPr>
            </w:pPr>
            <w:r>
              <w:rPr>
                <w:color w:val="0A0A0A"/>
                <w:sz w:val="22"/>
              </w:rPr>
              <w:t>0.1%</w:t>
            </w:r>
            <w:r>
              <w:rPr>
                <w:color w:val="0A0A0A"/>
                <w:spacing w:val="-9"/>
                <w:sz w:val="22"/>
              </w:rPr>
              <w:t> </w:t>
            </w:r>
            <w:r>
              <w:rPr>
                <w:color w:val="1D1D1D"/>
                <w:sz w:val="22"/>
              </w:rPr>
              <w:t>increase</w:t>
            </w:r>
            <w:r>
              <w:rPr>
                <w:color w:val="1D1D1D"/>
                <w:spacing w:val="8"/>
                <w:sz w:val="22"/>
              </w:rPr>
              <w:t> </w:t>
            </w:r>
            <w:r>
              <w:rPr>
                <w:color w:val="1D1D1D"/>
                <w:sz w:val="22"/>
              </w:rPr>
              <w:t>in</w:t>
            </w:r>
            <w:r>
              <w:rPr>
                <w:color w:val="1D1D1D"/>
                <w:spacing w:val="-8"/>
                <w:sz w:val="22"/>
              </w:rPr>
              <w:t> </w:t>
            </w:r>
            <w:r>
              <w:rPr>
                <w:color w:val="0A0A0A"/>
                <w:sz w:val="22"/>
              </w:rPr>
              <w:t>the</w:t>
            </w:r>
            <w:r>
              <w:rPr>
                <w:color w:val="0A0A0A"/>
                <w:spacing w:val="-6"/>
                <w:sz w:val="22"/>
              </w:rPr>
              <w:t> </w:t>
            </w:r>
            <w:r>
              <w:rPr>
                <w:color w:val="0A0A0A"/>
                <w:sz w:val="22"/>
              </w:rPr>
              <w:t>Salary</w:t>
            </w:r>
            <w:r>
              <w:rPr>
                <w:color w:val="0A0A0A"/>
                <w:spacing w:val="5"/>
                <w:sz w:val="22"/>
              </w:rPr>
              <w:t> </w:t>
            </w:r>
            <w:r>
              <w:rPr>
                <w:color w:val="0A0A0A"/>
                <w:sz w:val="22"/>
              </w:rPr>
              <w:t>Increase</w:t>
            </w:r>
            <w:r>
              <w:rPr>
                <w:color w:val="0A0A0A"/>
                <w:spacing w:val="8"/>
                <w:sz w:val="22"/>
              </w:rPr>
              <w:t> </w:t>
            </w:r>
            <w:r>
              <w:rPr>
                <w:color w:val="0A0A0A"/>
                <w:spacing w:val="-4"/>
                <w:sz w:val="22"/>
              </w:rPr>
              <w:t>Rate</w:t>
            </w:r>
          </w:p>
        </w:tc>
        <w:tc>
          <w:tcPr>
            <w:tcW w:w="2582" w:type="dxa"/>
          </w:tcPr>
          <w:p>
            <w:pPr>
              <w:pStyle w:val="TableParagraph"/>
              <w:spacing w:before="38"/>
              <w:ind w:right="373"/>
              <w:jc w:val="right"/>
              <w:rPr>
                <w:sz w:val="22"/>
              </w:rPr>
            </w:pPr>
            <w:r>
              <w:rPr>
                <w:color w:val="0A0A0A"/>
                <w:spacing w:val="-5"/>
                <w:sz w:val="22"/>
              </w:rPr>
              <w:t>0%</w:t>
            </w:r>
          </w:p>
        </w:tc>
        <w:tc>
          <w:tcPr>
            <w:tcW w:w="1656" w:type="dxa"/>
          </w:tcPr>
          <w:p>
            <w:pPr>
              <w:pStyle w:val="TableParagraph"/>
              <w:spacing w:before="33"/>
              <w:ind w:right="48"/>
              <w:jc w:val="right"/>
              <w:rPr>
                <w:sz w:val="22"/>
              </w:rPr>
            </w:pPr>
            <w:r>
              <w:rPr>
                <w:color w:val="0A0A0A"/>
                <w:spacing w:val="-5"/>
                <w:sz w:val="22"/>
              </w:rPr>
              <w:t>184</w:t>
            </w:r>
          </w:p>
        </w:tc>
      </w:tr>
      <w:tr>
        <w:trPr>
          <w:trHeight w:val="408" w:hRule="atLeast"/>
        </w:trPr>
        <w:tc>
          <w:tcPr>
            <w:tcW w:w="5329" w:type="dxa"/>
          </w:tcPr>
          <w:p>
            <w:pPr>
              <w:pStyle w:val="TableParagraph"/>
              <w:spacing w:before="79"/>
              <w:ind w:left="59"/>
              <w:rPr>
                <w:sz w:val="22"/>
              </w:rPr>
            </w:pPr>
            <w:r>
              <w:rPr>
                <w:color w:val="0A0A0A"/>
                <w:sz w:val="22"/>
              </w:rPr>
              <w:t>0.1%</w:t>
            </w:r>
            <w:r>
              <w:rPr>
                <w:color w:val="0A0A0A"/>
                <w:spacing w:val="-4"/>
                <w:sz w:val="22"/>
              </w:rPr>
              <w:t> </w:t>
            </w:r>
            <w:r>
              <w:rPr>
                <w:color w:val="1D1D1D"/>
                <w:sz w:val="22"/>
              </w:rPr>
              <w:t>increase</w:t>
            </w:r>
            <w:r>
              <w:rPr>
                <w:color w:val="1D1D1D"/>
                <w:spacing w:val="4"/>
                <w:sz w:val="22"/>
              </w:rPr>
              <w:t> </w:t>
            </w:r>
            <w:r>
              <w:rPr>
                <w:color w:val="1D1D1D"/>
                <w:sz w:val="22"/>
              </w:rPr>
              <w:t>in</w:t>
            </w:r>
            <w:r>
              <w:rPr>
                <w:color w:val="1D1D1D"/>
                <w:spacing w:val="-11"/>
                <w:sz w:val="22"/>
              </w:rPr>
              <w:t> </w:t>
            </w:r>
            <w:r>
              <w:rPr>
                <w:color w:val="0A0A0A"/>
                <w:sz w:val="22"/>
              </w:rPr>
              <w:t>the</w:t>
            </w:r>
            <w:r>
              <w:rPr>
                <w:color w:val="0A0A0A"/>
                <w:spacing w:val="-8"/>
                <w:sz w:val="22"/>
              </w:rPr>
              <w:t> </w:t>
            </w:r>
            <w:r>
              <w:rPr>
                <w:color w:val="0A0A0A"/>
                <w:sz w:val="22"/>
              </w:rPr>
              <w:t>Pension</w:t>
            </w:r>
            <w:r>
              <w:rPr>
                <w:color w:val="0A0A0A"/>
                <w:spacing w:val="7"/>
                <w:sz w:val="22"/>
              </w:rPr>
              <w:t> </w:t>
            </w:r>
            <w:r>
              <w:rPr>
                <w:color w:val="0A0A0A"/>
                <w:sz w:val="22"/>
              </w:rPr>
              <w:t>Increase</w:t>
            </w:r>
            <w:r>
              <w:rPr>
                <w:color w:val="0A0A0A"/>
                <w:spacing w:val="9"/>
                <w:sz w:val="22"/>
              </w:rPr>
              <w:t> </w:t>
            </w:r>
            <w:r>
              <w:rPr>
                <w:color w:val="0A0A0A"/>
                <w:spacing w:val="-4"/>
                <w:sz w:val="22"/>
              </w:rPr>
              <w:t>Rate</w:t>
            </w:r>
          </w:p>
        </w:tc>
        <w:tc>
          <w:tcPr>
            <w:tcW w:w="2582" w:type="dxa"/>
          </w:tcPr>
          <w:p>
            <w:pPr>
              <w:pStyle w:val="TableParagraph"/>
              <w:spacing w:before="74"/>
              <w:ind w:right="373"/>
              <w:jc w:val="right"/>
              <w:rPr>
                <w:sz w:val="22"/>
              </w:rPr>
            </w:pPr>
            <w:r>
              <w:rPr>
                <w:color w:val="0A0A0A"/>
                <w:spacing w:val="-5"/>
                <w:sz w:val="22"/>
              </w:rPr>
              <w:t>1%</w:t>
            </w:r>
          </w:p>
        </w:tc>
        <w:tc>
          <w:tcPr>
            <w:tcW w:w="1656" w:type="dxa"/>
          </w:tcPr>
          <w:p>
            <w:pPr>
              <w:pStyle w:val="TableParagraph"/>
              <w:spacing w:before="69"/>
              <w:ind w:right="56"/>
              <w:jc w:val="right"/>
              <w:rPr>
                <w:sz w:val="22"/>
              </w:rPr>
            </w:pPr>
            <w:r>
              <w:rPr>
                <w:color w:val="0A0A0A"/>
                <w:spacing w:val="-2"/>
                <w:sz w:val="22"/>
              </w:rPr>
              <w:t>1,613</w:t>
            </w:r>
          </w:p>
        </w:tc>
      </w:tr>
      <w:tr>
        <w:trPr>
          <w:trHeight w:val="406" w:hRule="atLeast"/>
        </w:trPr>
        <w:tc>
          <w:tcPr>
            <w:tcW w:w="5329" w:type="dxa"/>
          </w:tcPr>
          <w:p>
            <w:pPr>
              <w:pStyle w:val="TableParagraph"/>
              <w:spacing w:before="74"/>
              <w:ind w:left="54"/>
              <w:rPr>
                <w:sz w:val="22"/>
              </w:rPr>
            </w:pPr>
            <w:r>
              <w:rPr>
                <w:color w:val="0A0A0A"/>
                <w:sz w:val="22"/>
              </w:rPr>
              <w:t>0.1%</w:t>
            </w:r>
            <w:r>
              <w:rPr>
                <w:color w:val="0A0A0A"/>
                <w:spacing w:val="-6"/>
                <w:sz w:val="22"/>
              </w:rPr>
              <w:t> </w:t>
            </w:r>
            <w:r>
              <w:rPr>
                <w:color w:val="0A0A0A"/>
                <w:sz w:val="22"/>
              </w:rPr>
              <w:t>decrease</w:t>
            </w:r>
            <w:r>
              <w:rPr>
                <w:color w:val="0A0A0A"/>
                <w:spacing w:val="7"/>
                <w:sz w:val="22"/>
              </w:rPr>
              <w:t> </w:t>
            </w:r>
            <w:r>
              <w:rPr>
                <w:color w:val="0A0A0A"/>
                <w:sz w:val="22"/>
              </w:rPr>
              <w:t>in</w:t>
            </w:r>
            <w:r>
              <w:rPr>
                <w:color w:val="0A0A0A"/>
                <w:spacing w:val="-7"/>
                <w:sz w:val="22"/>
              </w:rPr>
              <w:t> </w:t>
            </w:r>
            <w:r>
              <w:rPr>
                <w:color w:val="0A0A0A"/>
                <w:sz w:val="22"/>
              </w:rPr>
              <w:t>Real</w:t>
            </w:r>
            <w:r>
              <w:rPr>
                <w:color w:val="0A0A0A"/>
                <w:spacing w:val="-7"/>
                <w:sz w:val="22"/>
              </w:rPr>
              <w:t> </w:t>
            </w:r>
            <w:r>
              <w:rPr>
                <w:color w:val="0A0A0A"/>
                <w:sz w:val="22"/>
              </w:rPr>
              <w:t>Discount</w:t>
            </w:r>
            <w:r>
              <w:rPr>
                <w:color w:val="0A0A0A"/>
                <w:spacing w:val="8"/>
                <w:sz w:val="22"/>
              </w:rPr>
              <w:t> </w:t>
            </w:r>
            <w:r>
              <w:rPr>
                <w:color w:val="0A0A0A"/>
                <w:spacing w:val="-4"/>
                <w:sz w:val="22"/>
              </w:rPr>
              <w:t>Rate</w:t>
            </w:r>
          </w:p>
        </w:tc>
        <w:tc>
          <w:tcPr>
            <w:tcW w:w="2582" w:type="dxa"/>
          </w:tcPr>
          <w:p>
            <w:pPr>
              <w:pStyle w:val="TableParagraph"/>
              <w:spacing w:before="74"/>
              <w:ind w:right="373"/>
              <w:jc w:val="right"/>
              <w:rPr>
                <w:sz w:val="22"/>
              </w:rPr>
            </w:pPr>
            <w:r>
              <w:rPr>
                <w:color w:val="0A0A0A"/>
                <w:spacing w:val="-5"/>
                <w:w w:val="105"/>
                <w:sz w:val="22"/>
              </w:rPr>
              <w:t>2%</w:t>
            </w:r>
          </w:p>
        </w:tc>
        <w:tc>
          <w:tcPr>
            <w:tcW w:w="1656" w:type="dxa"/>
          </w:tcPr>
          <w:p>
            <w:pPr>
              <w:pStyle w:val="TableParagraph"/>
              <w:spacing w:before="69"/>
              <w:ind w:right="54"/>
              <w:jc w:val="right"/>
              <w:rPr>
                <w:sz w:val="22"/>
              </w:rPr>
            </w:pPr>
            <w:r>
              <w:rPr>
                <w:color w:val="0A0A0A"/>
                <w:spacing w:val="-2"/>
                <w:sz w:val="22"/>
              </w:rPr>
              <w:t>1,771</w:t>
            </w:r>
          </w:p>
        </w:tc>
      </w:tr>
      <w:tr>
        <w:trPr>
          <w:trHeight w:val="329" w:hRule="atLeast"/>
        </w:trPr>
        <w:tc>
          <w:tcPr>
            <w:tcW w:w="5329" w:type="dxa"/>
          </w:tcPr>
          <w:p>
            <w:pPr>
              <w:pStyle w:val="TableParagraph"/>
              <w:spacing w:before="76" w:line="233" w:lineRule="exact"/>
              <w:ind w:left="50"/>
              <w:rPr>
                <w:sz w:val="22"/>
              </w:rPr>
            </w:pPr>
            <w:r>
              <w:rPr>
                <w:color w:val="0A0A0A"/>
                <w:sz w:val="22"/>
              </w:rPr>
              <w:t>1 year</w:t>
            </w:r>
            <w:r>
              <w:rPr>
                <w:color w:val="0A0A0A"/>
                <w:spacing w:val="5"/>
                <w:sz w:val="22"/>
              </w:rPr>
              <w:t> </w:t>
            </w:r>
            <w:r>
              <w:rPr>
                <w:color w:val="0A0A0A"/>
                <w:sz w:val="22"/>
              </w:rPr>
              <w:t>increase</w:t>
            </w:r>
            <w:r>
              <w:rPr>
                <w:color w:val="0A0A0A"/>
                <w:spacing w:val="3"/>
                <w:sz w:val="22"/>
              </w:rPr>
              <w:t> </w:t>
            </w:r>
            <w:r>
              <w:rPr>
                <w:color w:val="0A0A0A"/>
                <w:sz w:val="22"/>
              </w:rPr>
              <w:t>in</w:t>
            </w:r>
            <w:r>
              <w:rPr>
                <w:color w:val="0A0A0A"/>
                <w:spacing w:val="-9"/>
                <w:sz w:val="22"/>
              </w:rPr>
              <w:t> </w:t>
            </w:r>
            <w:r>
              <w:rPr>
                <w:color w:val="0A0A0A"/>
                <w:sz w:val="22"/>
              </w:rPr>
              <w:t>member</w:t>
            </w:r>
            <w:r>
              <w:rPr>
                <w:color w:val="0A0A0A"/>
                <w:spacing w:val="14"/>
                <w:sz w:val="22"/>
              </w:rPr>
              <w:t> </w:t>
            </w:r>
            <w:r>
              <w:rPr>
                <w:color w:val="0A0A0A"/>
                <w:sz w:val="22"/>
              </w:rPr>
              <w:t>life</w:t>
            </w:r>
            <w:r>
              <w:rPr>
                <w:color w:val="0A0A0A"/>
                <w:spacing w:val="-5"/>
                <w:sz w:val="22"/>
              </w:rPr>
              <w:t> </w:t>
            </w:r>
            <w:r>
              <w:rPr>
                <w:color w:val="0A0A0A"/>
                <w:spacing w:val="-2"/>
                <w:sz w:val="22"/>
              </w:rPr>
              <w:t>expectancy</w:t>
            </w:r>
          </w:p>
        </w:tc>
        <w:tc>
          <w:tcPr>
            <w:tcW w:w="2582" w:type="dxa"/>
          </w:tcPr>
          <w:p>
            <w:pPr>
              <w:pStyle w:val="TableParagraph"/>
              <w:spacing w:before="72" w:line="238" w:lineRule="exact"/>
              <w:ind w:right="381"/>
              <w:jc w:val="right"/>
              <w:rPr>
                <w:sz w:val="22"/>
              </w:rPr>
            </w:pPr>
            <w:r>
              <w:rPr>
                <w:color w:val="0A0A0A"/>
                <w:spacing w:val="-5"/>
                <w:sz w:val="22"/>
              </w:rPr>
              <w:t>4%</w:t>
            </w:r>
          </w:p>
        </w:tc>
        <w:tc>
          <w:tcPr>
            <w:tcW w:w="1656" w:type="dxa"/>
          </w:tcPr>
          <w:p>
            <w:pPr>
              <w:pStyle w:val="TableParagraph"/>
              <w:spacing w:before="72" w:line="238" w:lineRule="exact"/>
              <w:ind w:right="62"/>
              <w:jc w:val="right"/>
              <w:rPr>
                <w:sz w:val="22"/>
              </w:rPr>
            </w:pPr>
            <w:r>
              <w:rPr>
                <w:color w:val="0A0A0A"/>
                <w:spacing w:val="-2"/>
                <w:sz w:val="22"/>
              </w:rPr>
              <w:t>4,503</w:t>
            </w:r>
          </w:p>
        </w:tc>
      </w:tr>
    </w:tbl>
    <w:p>
      <w:pPr>
        <w:pStyle w:val="BodyText"/>
        <w:spacing w:before="103"/>
        <w:rPr>
          <w:b/>
          <w:sz w:val="21"/>
        </w:rPr>
      </w:pPr>
    </w:p>
    <w:p>
      <w:pPr>
        <w:spacing w:before="0"/>
        <w:ind w:left="1490" w:right="0" w:firstLine="0"/>
        <w:jc w:val="both"/>
        <w:rPr>
          <w:b/>
          <w:sz w:val="21"/>
        </w:rPr>
      </w:pPr>
      <w:r>
        <w:rPr>
          <w:b/>
          <w:color w:val="0A0A0A"/>
          <w:w w:val="105"/>
          <w:sz w:val="21"/>
        </w:rPr>
        <w:t>Impact</w:t>
      </w:r>
      <w:r>
        <w:rPr>
          <w:b/>
          <w:color w:val="0A0A0A"/>
          <w:spacing w:val="5"/>
          <w:w w:val="105"/>
          <w:sz w:val="21"/>
        </w:rPr>
        <w:t> </w:t>
      </w:r>
      <w:r>
        <w:rPr>
          <w:b/>
          <w:color w:val="0A0A0A"/>
          <w:w w:val="105"/>
          <w:sz w:val="21"/>
        </w:rPr>
        <w:t>on</w:t>
      </w:r>
      <w:r>
        <w:rPr>
          <w:b/>
          <w:color w:val="0A0A0A"/>
          <w:spacing w:val="-4"/>
          <w:w w:val="105"/>
          <w:sz w:val="21"/>
        </w:rPr>
        <w:t> </w:t>
      </w:r>
      <w:r>
        <w:rPr>
          <w:b/>
          <w:color w:val="0A0A0A"/>
          <w:w w:val="105"/>
          <w:sz w:val="21"/>
        </w:rPr>
        <w:t>the</w:t>
      </w:r>
      <w:r>
        <w:rPr>
          <w:b/>
          <w:color w:val="0A0A0A"/>
          <w:spacing w:val="-6"/>
          <w:w w:val="105"/>
          <w:sz w:val="21"/>
        </w:rPr>
        <w:t> </w:t>
      </w:r>
      <w:r>
        <w:rPr>
          <w:b/>
          <w:color w:val="0A0A0A"/>
          <w:w w:val="105"/>
          <w:sz w:val="21"/>
        </w:rPr>
        <w:t>Council's</w:t>
      </w:r>
      <w:r>
        <w:rPr>
          <w:b/>
          <w:color w:val="0A0A0A"/>
          <w:spacing w:val="7"/>
          <w:w w:val="105"/>
          <w:sz w:val="21"/>
        </w:rPr>
        <w:t> </w:t>
      </w:r>
      <w:r>
        <w:rPr>
          <w:b/>
          <w:color w:val="0A0A0A"/>
          <w:w w:val="105"/>
          <w:sz w:val="21"/>
        </w:rPr>
        <w:t>Cash</w:t>
      </w:r>
      <w:r>
        <w:rPr>
          <w:b/>
          <w:color w:val="0A0A0A"/>
          <w:spacing w:val="4"/>
          <w:w w:val="105"/>
          <w:sz w:val="21"/>
        </w:rPr>
        <w:t> </w:t>
      </w:r>
      <w:r>
        <w:rPr>
          <w:b/>
          <w:color w:val="0A0A0A"/>
          <w:spacing w:val="-2"/>
          <w:w w:val="105"/>
          <w:sz w:val="21"/>
        </w:rPr>
        <w:t>Flows</w:t>
      </w:r>
    </w:p>
    <w:p>
      <w:pPr>
        <w:pStyle w:val="BodyText"/>
        <w:spacing w:before="12"/>
        <w:rPr>
          <w:b/>
          <w:sz w:val="21"/>
        </w:rPr>
      </w:pPr>
    </w:p>
    <w:p>
      <w:pPr>
        <w:pStyle w:val="BodyText"/>
        <w:spacing w:line="242" w:lineRule="auto"/>
        <w:ind w:left="1469" w:right="886" w:firstLine="16"/>
        <w:jc w:val="both"/>
      </w:pPr>
      <w:r>
        <w:rPr>
          <w:color w:val="1D1D1D"/>
        </w:rPr>
        <w:t>The</w:t>
      </w:r>
      <w:r>
        <w:rPr>
          <w:color w:val="1D1D1D"/>
          <w:spacing w:val="-16"/>
        </w:rPr>
        <w:t> </w:t>
      </w:r>
      <w:r>
        <w:rPr>
          <w:color w:val="1D1D1D"/>
        </w:rPr>
        <w:t>objectives</w:t>
      </w:r>
      <w:r>
        <w:rPr>
          <w:color w:val="1D1D1D"/>
          <w:spacing w:val="-15"/>
        </w:rPr>
        <w:t> </w:t>
      </w:r>
      <w:r>
        <w:rPr>
          <w:color w:val="1D1D1D"/>
        </w:rPr>
        <w:t>of</w:t>
      </w:r>
      <w:r>
        <w:rPr>
          <w:color w:val="1D1D1D"/>
          <w:spacing w:val="-15"/>
        </w:rPr>
        <w:t> </w:t>
      </w:r>
      <w:r>
        <w:rPr>
          <w:color w:val="0A0A0A"/>
        </w:rPr>
        <w:t>the</w:t>
      </w:r>
      <w:r>
        <w:rPr>
          <w:color w:val="0A0A0A"/>
          <w:spacing w:val="-15"/>
        </w:rPr>
        <w:t> </w:t>
      </w:r>
      <w:r>
        <w:rPr>
          <w:color w:val="0A0A0A"/>
        </w:rPr>
        <w:t>scheme</w:t>
      </w:r>
      <w:r>
        <w:rPr>
          <w:color w:val="0A0A0A"/>
          <w:spacing w:val="-2"/>
        </w:rPr>
        <w:t> </w:t>
      </w:r>
      <w:r>
        <w:rPr>
          <w:color w:val="1D1D1D"/>
        </w:rPr>
        <w:t>include</w:t>
      </w:r>
      <w:r>
        <w:rPr>
          <w:color w:val="1D1D1D"/>
          <w:spacing w:val="-4"/>
        </w:rPr>
        <w:t> </w:t>
      </w:r>
      <w:r>
        <w:rPr>
          <w:color w:val="1D1D1D"/>
        </w:rPr>
        <w:t>that</w:t>
      </w:r>
      <w:r>
        <w:rPr>
          <w:color w:val="1D1D1D"/>
          <w:spacing w:val="-5"/>
        </w:rPr>
        <w:t> </w:t>
      </w:r>
      <w:r>
        <w:rPr>
          <w:color w:val="1D1D1D"/>
        </w:rPr>
        <w:t>of</w:t>
      </w:r>
      <w:r>
        <w:rPr>
          <w:color w:val="1D1D1D"/>
          <w:spacing w:val="-16"/>
        </w:rPr>
        <w:t> </w:t>
      </w:r>
      <w:r>
        <w:rPr>
          <w:color w:val="1D1D1D"/>
        </w:rPr>
        <w:t>keeping</w:t>
      </w:r>
      <w:r>
        <w:rPr>
          <w:color w:val="1D1D1D"/>
          <w:spacing w:val="-10"/>
        </w:rPr>
        <w:t> </w:t>
      </w:r>
      <w:r>
        <w:rPr>
          <w:color w:val="1D1D1D"/>
        </w:rPr>
        <w:t>the</w:t>
      </w:r>
      <w:r>
        <w:rPr>
          <w:color w:val="1D1D1D"/>
          <w:spacing w:val="-16"/>
        </w:rPr>
        <w:t> </w:t>
      </w:r>
      <w:r>
        <w:rPr>
          <w:color w:val="1D1D1D"/>
        </w:rPr>
        <w:t>employers</w:t>
      </w:r>
      <w:r>
        <w:rPr>
          <w:color w:val="4D4D4D"/>
        </w:rPr>
        <w:t>'</w:t>
      </w:r>
      <w:r>
        <w:rPr>
          <w:color w:val="4D4D4D"/>
          <w:spacing w:val="-15"/>
        </w:rPr>
        <w:t> </w:t>
      </w:r>
      <w:r>
        <w:rPr>
          <w:color w:val="1D1D1D"/>
        </w:rPr>
        <w:t>contributions at</w:t>
      </w:r>
      <w:r>
        <w:rPr>
          <w:color w:val="1D1D1D"/>
          <w:spacing w:val="-15"/>
        </w:rPr>
        <w:t> </w:t>
      </w:r>
      <w:r>
        <w:rPr>
          <w:color w:val="1D1D1D"/>
        </w:rPr>
        <w:t>as</w:t>
      </w:r>
      <w:r>
        <w:rPr>
          <w:color w:val="1D1D1D"/>
          <w:spacing w:val="-16"/>
        </w:rPr>
        <w:t> </w:t>
      </w:r>
      <w:r>
        <w:rPr>
          <w:color w:val="1D1D1D"/>
        </w:rPr>
        <w:t>constant a rate as possible.</w:t>
      </w:r>
      <w:r>
        <w:rPr>
          <w:color w:val="1D1D1D"/>
          <w:spacing w:val="40"/>
        </w:rPr>
        <w:t> </w:t>
      </w:r>
      <w:r>
        <w:rPr>
          <w:color w:val="0A0A0A"/>
        </w:rPr>
        <w:t>The </w:t>
      </w:r>
      <w:r>
        <w:rPr>
          <w:color w:val="1D1D1D"/>
        </w:rPr>
        <w:t>County Council has agreed a strategy with the scheme</w:t>
      </w:r>
      <w:r>
        <w:rPr>
          <w:color w:val="4D4D4D"/>
        </w:rPr>
        <w:t>'</w:t>
      </w:r>
      <w:r>
        <w:rPr>
          <w:color w:val="1D1D1D"/>
        </w:rPr>
        <w:t>s actuary to achieve a funding </w:t>
      </w:r>
      <w:r>
        <w:rPr>
          <w:color w:val="0A0A0A"/>
        </w:rPr>
        <w:t>level </w:t>
      </w:r>
      <w:r>
        <w:rPr>
          <w:color w:val="1D1D1D"/>
        </w:rPr>
        <w:t>of 100% over a 20 year period</w:t>
      </w:r>
      <w:r>
        <w:rPr>
          <w:color w:val="727272"/>
        </w:rPr>
        <w:t>.</w:t>
      </w:r>
      <w:r>
        <w:rPr>
          <w:color w:val="727272"/>
          <w:spacing w:val="40"/>
        </w:rPr>
        <w:t> </w:t>
      </w:r>
      <w:r>
        <w:rPr>
          <w:color w:val="1D1D1D"/>
        </w:rPr>
        <w:t>The Council </w:t>
      </w:r>
      <w:r>
        <w:rPr>
          <w:color w:val="343434"/>
        </w:rPr>
        <w:t>is </w:t>
      </w:r>
      <w:r>
        <w:rPr>
          <w:color w:val="1D1D1D"/>
        </w:rPr>
        <w:t>participating in this </w:t>
      </w:r>
      <w:r>
        <w:rPr>
          <w:color w:val="0A0A0A"/>
        </w:rPr>
        <w:t>strategy in</w:t>
      </w:r>
      <w:r>
        <w:rPr>
          <w:color w:val="0A0A0A"/>
          <w:spacing w:val="-10"/>
        </w:rPr>
        <w:t> </w:t>
      </w:r>
      <w:r>
        <w:rPr>
          <w:color w:val="1D1D1D"/>
        </w:rPr>
        <w:t>order</w:t>
      </w:r>
      <w:r>
        <w:rPr>
          <w:color w:val="1D1D1D"/>
          <w:spacing w:val="-8"/>
        </w:rPr>
        <w:t> </w:t>
      </w:r>
      <w:r>
        <w:rPr>
          <w:color w:val="0A0A0A"/>
        </w:rPr>
        <w:t>to</w:t>
      </w:r>
      <w:r>
        <w:rPr>
          <w:color w:val="0A0A0A"/>
          <w:spacing w:val="-10"/>
        </w:rPr>
        <w:t> </w:t>
      </w:r>
      <w:r>
        <w:rPr>
          <w:color w:val="0A0A0A"/>
        </w:rPr>
        <w:t>contribute to</w:t>
      </w:r>
      <w:r>
        <w:rPr>
          <w:color w:val="0A0A0A"/>
          <w:spacing w:val="-16"/>
        </w:rPr>
        <w:t> </w:t>
      </w:r>
      <w:r>
        <w:rPr>
          <w:color w:val="0A0A0A"/>
        </w:rPr>
        <w:t>meet</w:t>
      </w:r>
      <w:r>
        <w:rPr>
          <w:color w:val="343434"/>
        </w:rPr>
        <w:t>i</w:t>
      </w:r>
      <w:r>
        <w:rPr>
          <w:color w:val="0A0A0A"/>
        </w:rPr>
        <w:t>ng</w:t>
      </w:r>
      <w:r>
        <w:rPr>
          <w:color w:val="0A0A0A"/>
          <w:spacing w:val="-13"/>
        </w:rPr>
        <w:t> </w:t>
      </w:r>
      <w:r>
        <w:rPr>
          <w:color w:val="0A0A0A"/>
        </w:rPr>
        <w:t>the</w:t>
      </w:r>
      <w:r>
        <w:rPr>
          <w:color w:val="0A0A0A"/>
          <w:spacing w:val="-14"/>
        </w:rPr>
        <w:t> </w:t>
      </w:r>
      <w:r>
        <w:rPr>
          <w:color w:val="0A0A0A"/>
        </w:rPr>
        <w:t>scheme </w:t>
      </w:r>
      <w:r>
        <w:rPr>
          <w:color w:val="1D1D1D"/>
        </w:rPr>
        <w:t>deficit</w:t>
      </w:r>
      <w:r>
        <w:rPr>
          <w:color w:val="1D1D1D"/>
          <w:spacing w:val="-2"/>
        </w:rPr>
        <w:t> </w:t>
      </w:r>
      <w:r>
        <w:rPr>
          <w:color w:val="1D1D1D"/>
        </w:rPr>
        <w:t>wh</w:t>
      </w:r>
      <w:r>
        <w:rPr>
          <w:color w:val="4D4D4D"/>
        </w:rPr>
        <w:t>i</w:t>
      </w:r>
      <w:r>
        <w:rPr>
          <w:color w:val="1D1D1D"/>
        </w:rPr>
        <w:t>le</w:t>
      </w:r>
      <w:r>
        <w:rPr>
          <w:color w:val="1D1D1D"/>
          <w:spacing w:val="-15"/>
        </w:rPr>
        <w:t> </w:t>
      </w:r>
      <w:r>
        <w:rPr>
          <w:color w:val="1D1D1D"/>
        </w:rPr>
        <w:t>maintaining contribution rates </w:t>
      </w:r>
      <w:r>
        <w:rPr>
          <w:color w:val="0A0A0A"/>
        </w:rPr>
        <w:t>at</w:t>
      </w:r>
      <w:r>
        <w:rPr>
          <w:color w:val="0A0A0A"/>
          <w:spacing w:val="-3"/>
        </w:rPr>
        <w:t> </w:t>
      </w:r>
      <w:r>
        <w:rPr>
          <w:color w:val="0A0A0A"/>
        </w:rPr>
        <w:t>their current </w:t>
      </w:r>
      <w:r>
        <w:rPr>
          <w:color w:val="1D1D1D"/>
        </w:rPr>
        <w:t>levels </w:t>
      </w:r>
      <w:r>
        <w:rPr>
          <w:color w:val="0A0A0A"/>
        </w:rPr>
        <w:t>at</w:t>
      </w:r>
      <w:r>
        <w:rPr>
          <w:color w:val="0A0A0A"/>
          <w:spacing w:val="-4"/>
        </w:rPr>
        <w:t> </w:t>
      </w:r>
      <w:r>
        <w:rPr>
          <w:color w:val="0A0A0A"/>
        </w:rPr>
        <w:t>least until </w:t>
      </w:r>
      <w:r>
        <w:rPr>
          <w:color w:val="343434"/>
        </w:rPr>
        <w:t>the</w:t>
      </w:r>
      <w:r>
        <w:rPr>
          <w:color w:val="343434"/>
          <w:spacing w:val="-5"/>
        </w:rPr>
        <w:t> </w:t>
      </w:r>
      <w:r>
        <w:rPr>
          <w:color w:val="0A0A0A"/>
        </w:rPr>
        <w:t>next</w:t>
      </w:r>
      <w:r>
        <w:rPr>
          <w:color w:val="0A0A0A"/>
          <w:spacing w:val="-2"/>
        </w:rPr>
        <w:t> </w:t>
      </w:r>
      <w:r>
        <w:rPr>
          <w:color w:val="0A0A0A"/>
        </w:rPr>
        <w:t>triennial valuation as at</w:t>
      </w:r>
      <w:r>
        <w:rPr>
          <w:color w:val="0A0A0A"/>
          <w:spacing w:val="-8"/>
        </w:rPr>
        <w:t> </w:t>
      </w:r>
      <w:r>
        <w:rPr>
          <w:color w:val="0A0A0A"/>
        </w:rPr>
        <w:t>31</w:t>
      </w:r>
      <w:r>
        <w:rPr>
          <w:color w:val="0A0A0A"/>
          <w:spacing w:val="-16"/>
        </w:rPr>
        <w:t> </w:t>
      </w:r>
      <w:r>
        <w:rPr>
          <w:color w:val="0A0A0A"/>
        </w:rPr>
        <w:t>March</w:t>
      </w:r>
      <w:r>
        <w:rPr>
          <w:color w:val="0A0A0A"/>
          <w:spacing w:val="-2"/>
        </w:rPr>
        <w:t> </w:t>
      </w:r>
      <w:r>
        <w:rPr>
          <w:color w:val="0A0A0A"/>
        </w:rPr>
        <w:t>2025.</w:t>
      </w:r>
      <w:r>
        <w:rPr>
          <w:color w:val="0A0A0A"/>
          <w:spacing w:val="40"/>
        </w:rPr>
        <w:t> </w:t>
      </w:r>
      <w:r>
        <w:rPr>
          <w:color w:val="0A0A0A"/>
        </w:rPr>
        <w:t>Meanwhile funding levels are monitored on an annual basis.</w:t>
      </w:r>
    </w:p>
    <w:p>
      <w:pPr>
        <w:pStyle w:val="BodyText"/>
        <w:spacing w:before="249"/>
      </w:pPr>
    </w:p>
    <w:p>
      <w:pPr>
        <w:pStyle w:val="BodyText"/>
        <w:spacing w:line="237" w:lineRule="auto"/>
        <w:ind w:left="1454" w:right="904" w:firstLine="5"/>
        <w:jc w:val="both"/>
      </w:pPr>
      <w:r>
        <w:rPr/>
        <ve:AlternateContent>
          <ve:Choice Requires="wps">
            <w:drawing>
              <wp:anchor distT="0" distB="0" distL="0" distR="0" simplePos="0" relativeHeight="15844352" behindDoc="0" locked="0" layoutInCell="1" allowOverlap="1">
                <wp:simplePos x="0" y="0"/>
                <wp:positionH relativeFrom="page">
                  <wp:posOffset>1147424</wp:posOffset>
                </wp:positionH>
                <wp:positionV relativeFrom="paragraph">
                  <wp:posOffset>524867</wp:posOffset>
                </wp:positionV>
                <wp:extent cx="6169025" cy="1273810"/>
                <wp:effectExtent l="0" t="0" r="0" b="0"/>
                <wp:wrapNone/>
                <wp:docPr id="545" name="Textbox 545"/>
                <wp:cNvGraphicFramePr>
                  <a:graphicFrameLocks/>
                </wp:cNvGraphicFramePr>
                <a:graphic>
                  <a:graphicData uri="http://schemas.microsoft.com/office/word/2010/wordprocessingShape">
                    <wps:wsp>
                      <wps:cNvPr id="545" name="Textbox 545"/>
                      <wps:cNvSpPr txBox="1"/>
                      <wps:spPr>
                        <a:xfrm>
                          <a:off x="0" y="0"/>
                          <a:ext cx="6169025" cy="1273810"/>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04"/>
                              <w:gridCol w:w="1279"/>
                              <w:gridCol w:w="1294"/>
                              <w:gridCol w:w="1281"/>
                              <w:gridCol w:w="3392"/>
                              <w:gridCol w:w="1249"/>
                            </w:tblGrid>
                            <w:tr>
                              <w:trPr>
                                <w:trHeight w:val="273" w:hRule="atLeast"/>
                              </w:trPr>
                              <w:tc>
                                <w:tcPr>
                                  <w:tcW w:w="1104" w:type="dxa"/>
                                </w:tcPr>
                                <w:p>
                                  <w:pPr>
                                    <w:pStyle w:val="TableParagraph"/>
                                    <w:spacing w:line="235" w:lineRule="exact"/>
                                    <w:ind w:left="94"/>
                                    <w:rPr>
                                      <w:b/>
                                      <w:sz w:val="21"/>
                                    </w:rPr>
                                  </w:pPr>
                                  <w:r>
                                    <w:rPr>
                                      <w:b/>
                                      <w:color w:val="0A0A0A"/>
                                      <w:spacing w:val="-4"/>
                                      <w:sz w:val="21"/>
                                    </w:rPr>
                                    <w:t>2019</w:t>
                                  </w:r>
                                </w:p>
                              </w:tc>
                              <w:tc>
                                <w:tcPr>
                                  <w:tcW w:w="1279" w:type="dxa"/>
                                </w:tcPr>
                                <w:p>
                                  <w:pPr>
                                    <w:pStyle w:val="TableParagraph"/>
                                    <w:spacing w:line="240" w:lineRule="exact"/>
                                    <w:ind w:left="293"/>
                                    <w:rPr>
                                      <w:b/>
                                      <w:sz w:val="21"/>
                                    </w:rPr>
                                  </w:pPr>
                                  <w:r>
                                    <w:rPr>
                                      <w:b/>
                                      <w:color w:val="0A0A0A"/>
                                      <w:spacing w:val="-4"/>
                                      <w:sz w:val="21"/>
                                    </w:rPr>
                                    <w:t>2020</w:t>
                                  </w:r>
                                </w:p>
                              </w:tc>
                              <w:tc>
                                <w:tcPr>
                                  <w:tcW w:w="1294" w:type="dxa"/>
                                </w:tcPr>
                                <w:p>
                                  <w:pPr>
                                    <w:pStyle w:val="TableParagraph"/>
                                    <w:spacing w:line="240" w:lineRule="exact"/>
                                    <w:ind w:left="292"/>
                                    <w:rPr>
                                      <w:b/>
                                      <w:sz w:val="21"/>
                                    </w:rPr>
                                  </w:pPr>
                                  <w:r>
                                    <w:rPr>
                                      <w:b/>
                                      <w:color w:val="0A0A0A"/>
                                      <w:spacing w:val="-4"/>
                                      <w:sz w:val="21"/>
                                    </w:rPr>
                                    <w:t>2021</w:t>
                                  </w:r>
                                </w:p>
                              </w:tc>
                              <w:tc>
                                <w:tcPr>
                                  <w:tcW w:w="1281" w:type="dxa"/>
                                </w:tcPr>
                                <w:p>
                                  <w:pPr>
                                    <w:pStyle w:val="TableParagraph"/>
                                    <w:spacing w:line="240" w:lineRule="exact"/>
                                    <w:ind w:left="282"/>
                                    <w:rPr>
                                      <w:b/>
                                      <w:sz w:val="21"/>
                                    </w:rPr>
                                  </w:pPr>
                                  <w:r>
                                    <w:rPr>
                                      <w:b/>
                                      <w:color w:val="0A0A0A"/>
                                      <w:spacing w:val="-4"/>
                                      <w:sz w:val="21"/>
                                    </w:rPr>
                                    <w:t>2022</w:t>
                                  </w:r>
                                </w:p>
                              </w:tc>
                              <w:tc>
                                <w:tcPr>
                                  <w:tcW w:w="3392" w:type="dxa"/>
                                </w:tcPr>
                                <w:p>
                                  <w:pPr>
                                    <w:pStyle w:val="TableParagraph"/>
                                    <w:spacing w:line="240" w:lineRule="exact"/>
                                    <w:ind w:left="266"/>
                                    <w:rPr>
                                      <w:b/>
                                      <w:sz w:val="21"/>
                                    </w:rPr>
                                  </w:pPr>
                                  <w:r>
                                    <w:rPr>
                                      <w:b/>
                                      <w:color w:val="0A0A0A"/>
                                      <w:sz w:val="21"/>
                                    </w:rPr>
                                    <w:t>As</w:t>
                                  </w:r>
                                  <w:r>
                                    <w:rPr>
                                      <w:b/>
                                      <w:color w:val="0A0A0A"/>
                                      <w:spacing w:val="5"/>
                                      <w:sz w:val="21"/>
                                    </w:rPr>
                                    <w:t> </w:t>
                                  </w:r>
                                  <w:r>
                                    <w:rPr>
                                      <w:b/>
                                      <w:color w:val="0A0A0A"/>
                                      <w:sz w:val="21"/>
                                    </w:rPr>
                                    <w:t>at</w:t>
                                  </w:r>
                                  <w:r>
                                    <w:rPr>
                                      <w:b/>
                                      <w:color w:val="0A0A0A"/>
                                      <w:spacing w:val="-5"/>
                                      <w:sz w:val="21"/>
                                    </w:rPr>
                                    <w:t> </w:t>
                                  </w:r>
                                  <w:r>
                                    <w:rPr>
                                      <w:b/>
                                      <w:color w:val="0A0A0A"/>
                                      <w:sz w:val="21"/>
                                    </w:rPr>
                                    <w:t>31</w:t>
                                  </w:r>
                                  <w:r>
                                    <w:rPr>
                                      <w:b/>
                                      <w:color w:val="0A0A0A"/>
                                      <w:spacing w:val="-5"/>
                                      <w:sz w:val="21"/>
                                    </w:rPr>
                                    <w:t> </w:t>
                                  </w:r>
                                  <w:r>
                                    <w:rPr>
                                      <w:b/>
                                      <w:color w:val="0A0A0A"/>
                                      <w:spacing w:val="-2"/>
                                      <w:sz w:val="21"/>
                                    </w:rPr>
                                    <w:t>March</w:t>
                                  </w:r>
                                </w:p>
                              </w:tc>
                              <w:tc>
                                <w:tcPr>
                                  <w:tcW w:w="1249" w:type="dxa"/>
                                </w:tcPr>
                                <w:p>
                                  <w:pPr>
                                    <w:pStyle w:val="TableParagraph"/>
                                    <w:spacing w:line="235" w:lineRule="exact"/>
                                    <w:ind w:left="441"/>
                                    <w:rPr>
                                      <w:b/>
                                      <w:sz w:val="21"/>
                                    </w:rPr>
                                  </w:pPr>
                                  <w:r>
                                    <w:rPr>
                                      <w:b/>
                                      <w:color w:val="0A0A0A"/>
                                      <w:spacing w:val="-4"/>
                                      <w:sz w:val="21"/>
                                    </w:rPr>
                                    <w:t>2023</w:t>
                                  </w:r>
                                </w:p>
                              </w:tc>
                            </w:tr>
                            <w:tr>
                              <w:trPr>
                                <w:trHeight w:val="413" w:hRule="atLeast"/>
                              </w:trPr>
                              <w:tc>
                                <w:tcPr>
                                  <w:tcW w:w="1104" w:type="dxa"/>
                                </w:tcPr>
                                <w:p>
                                  <w:pPr>
                                    <w:pStyle w:val="TableParagraph"/>
                                    <w:spacing w:before="32"/>
                                    <w:ind w:left="83"/>
                                    <w:rPr>
                                      <w:b/>
                                      <w:sz w:val="21"/>
                                    </w:rPr>
                                  </w:pPr>
                                  <w:r>
                                    <w:rPr>
                                      <w:b/>
                                      <w:color w:val="0A0A0A"/>
                                      <w:spacing w:val="-4"/>
                                      <w:sz w:val="21"/>
                                    </w:rPr>
                                    <w:t>£000</w:t>
                                  </w:r>
                                </w:p>
                              </w:tc>
                              <w:tc>
                                <w:tcPr>
                                  <w:tcW w:w="1279" w:type="dxa"/>
                                </w:tcPr>
                                <w:p>
                                  <w:pPr>
                                    <w:pStyle w:val="TableParagraph"/>
                                    <w:spacing w:before="37"/>
                                    <w:ind w:left="282"/>
                                    <w:rPr>
                                      <w:b/>
                                      <w:sz w:val="21"/>
                                    </w:rPr>
                                  </w:pPr>
                                  <w:r>
                                    <w:rPr>
                                      <w:b/>
                                      <w:color w:val="0A0A0A"/>
                                      <w:spacing w:val="-4"/>
                                      <w:sz w:val="21"/>
                                    </w:rPr>
                                    <w:t>£000</w:t>
                                  </w:r>
                                </w:p>
                              </w:tc>
                              <w:tc>
                                <w:tcPr>
                                  <w:tcW w:w="1294" w:type="dxa"/>
                                </w:tcPr>
                                <w:p>
                                  <w:pPr>
                                    <w:pStyle w:val="TableParagraph"/>
                                    <w:spacing w:before="37"/>
                                    <w:ind w:left="282"/>
                                    <w:rPr>
                                      <w:b/>
                                      <w:sz w:val="21"/>
                                    </w:rPr>
                                  </w:pPr>
                                  <w:r>
                                    <w:rPr>
                                      <w:b/>
                                      <w:color w:val="0A0A0A"/>
                                      <w:spacing w:val="-4"/>
                                      <w:sz w:val="21"/>
                                    </w:rPr>
                                    <w:t>£000</w:t>
                                  </w:r>
                                </w:p>
                              </w:tc>
                              <w:tc>
                                <w:tcPr>
                                  <w:tcW w:w="1281" w:type="dxa"/>
                                </w:tcPr>
                                <w:p>
                                  <w:pPr>
                                    <w:pStyle w:val="TableParagraph"/>
                                    <w:spacing w:before="37"/>
                                    <w:ind w:left="276"/>
                                    <w:rPr>
                                      <w:b/>
                                      <w:sz w:val="21"/>
                                    </w:rPr>
                                  </w:pPr>
                                  <w:r>
                                    <w:rPr>
                                      <w:b/>
                                      <w:color w:val="0A0A0A"/>
                                      <w:spacing w:val="-4"/>
                                      <w:sz w:val="21"/>
                                    </w:rPr>
                                    <w:t>£000</w:t>
                                  </w:r>
                                </w:p>
                              </w:tc>
                              <w:tc>
                                <w:tcPr>
                                  <w:tcW w:w="3392" w:type="dxa"/>
                                </w:tcPr>
                                <w:p>
                                  <w:pPr>
                                    <w:pStyle w:val="TableParagraph"/>
                                    <w:rPr>
                                      <w:rFonts w:ascii="Times New Roman"/>
                                      <w:sz w:val="20"/>
                                    </w:rPr>
                                  </w:pPr>
                                </w:p>
                              </w:tc>
                              <w:tc>
                                <w:tcPr>
                                  <w:tcW w:w="1249" w:type="dxa"/>
                                </w:tcPr>
                                <w:p>
                                  <w:pPr>
                                    <w:pStyle w:val="TableParagraph"/>
                                    <w:spacing w:before="27"/>
                                    <w:ind w:left="440"/>
                                    <w:rPr>
                                      <w:b/>
                                      <w:sz w:val="21"/>
                                    </w:rPr>
                                  </w:pPr>
                                  <w:r>
                                    <w:rPr>
                                      <w:b/>
                                      <w:color w:val="0A0A0A"/>
                                      <w:spacing w:val="-4"/>
                                      <w:sz w:val="21"/>
                                    </w:rPr>
                                    <w:t>£000</w:t>
                                  </w:r>
                                </w:p>
                              </w:tc>
                            </w:tr>
                            <w:tr>
                              <w:trPr>
                                <w:trHeight w:val="940" w:hRule="atLeast"/>
                              </w:trPr>
                              <w:tc>
                                <w:tcPr>
                                  <w:tcW w:w="1104" w:type="dxa"/>
                                </w:tcPr>
                                <w:p>
                                  <w:pPr>
                                    <w:pStyle w:val="TableParagraph"/>
                                    <w:spacing w:before="8"/>
                                    <w:ind w:right="250"/>
                                    <w:jc w:val="right"/>
                                    <w:rPr>
                                      <w:sz w:val="22"/>
                                    </w:rPr>
                                  </w:pPr>
                                  <w:r>
                                    <w:rPr>
                                      <w:color w:val="0A0A0A"/>
                                      <w:spacing w:val="-5"/>
                                      <w:sz w:val="22"/>
                                    </w:rPr>
                                    <w:t>130,861)</w:t>
                                  </w:r>
                                </w:p>
                                <w:p>
                                  <w:pPr>
                                    <w:pStyle w:val="TableParagraph"/>
                                    <w:spacing w:before="27"/>
                                    <w:rPr>
                                      <w:sz w:val="22"/>
                                    </w:rPr>
                                  </w:pPr>
                                </w:p>
                                <w:p>
                                  <w:pPr>
                                    <w:pStyle w:val="TableParagraph"/>
                                    <w:ind w:right="247"/>
                                    <w:jc w:val="right"/>
                                    <w:rPr>
                                      <w:sz w:val="22"/>
                                    </w:rPr>
                                  </w:pPr>
                                  <w:r>
                                    <w:rPr>
                                      <w:color w:val="0A0A0A"/>
                                      <w:spacing w:val="-2"/>
                                      <w:sz w:val="22"/>
                                    </w:rPr>
                                    <w:t>90,170</w:t>
                                  </w:r>
                                </w:p>
                              </w:tc>
                              <w:tc>
                                <w:tcPr>
                                  <w:tcW w:w="1279" w:type="dxa"/>
                                </w:tcPr>
                                <w:p>
                                  <w:pPr>
                                    <w:pStyle w:val="TableParagraph"/>
                                    <w:spacing w:before="8"/>
                                    <w:ind w:right="254"/>
                                    <w:jc w:val="right"/>
                                    <w:rPr>
                                      <w:sz w:val="22"/>
                                    </w:rPr>
                                  </w:pPr>
                                  <w:r>
                                    <w:rPr>
                                      <w:color w:val="0A0A0A"/>
                                      <w:spacing w:val="-2"/>
                                      <w:sz w:val="22"/>
                                    </w:rPr>
                                    <w:t>(117,172)</w:t>
                                  </w:r>
                                </w:p>
                                <w:p>
                                  <w:pPr>
                                    <w:pStyle w:val="TableParagraph"/>
                                    <w:spacing w:before="27"/>
                                    <w:rPr>
                                      <w:sz w:val="22"/>
                                    </w:rPr>
                                  </w:pPr>
                                </w:p>
                                <w:p>
                                  <w:pPr>
                                    <w:pStyle w:val="TableParagraph"/>
                                    <w:ind w:right="248"/>
                                    <w:jc w:val="right"/>
                                    <w:rPr>
                                      <w:sz w:val="22"/>
                                    </w:rPr>
                                  </w:pPr>
                                  <w:r>
                                    <w:rPr>
                                      <w:color w:val="0A0A0A"/>
                                      <w:spacing w:val="-2"/>
                                      <w:sz w:val="22"/>
                                    </w:rPr>
                                    <w:t>87,011</w:t>
                                  </w:r>
                                </w:p>
                              </w:tc>
                              <w:tc>
                                <w:tcPr>
                                  <w:tcW w:w="1294" w:type="dxa"/>
                                </w:tcPr>
                                <w:p>
                                  <w:pPr>
                                    <w:pStyle w:val="TableParagraph"/>
                                    <w:spacing w:before="8"/>
                                    <w:ind w:right="250"/>
                                    <w:jc w:val="right"/>
                                    <w:rPr>
                                      <w:sz w:val="22"/>
                                    </w:rPr>
                                  </w:pPr>
                                  <w:r>
                                    <w:rPr>
                                      <w:color w:val="0A0A0A"/>
                                      <w:spacing w:val="-2"/>
                                      <w:sz w:val="22"/>
                                    </w:rPr>
                                    <w:t>(147,583)</w:t>
                                  </w:r>
                                </w:p>
                                <w:p>
                                  <w:pPr>
                                    <w:pStyle w:val="TableParagraph"/>
                                    <w:spacing w:before="32"/>
                                    <w:rPr>
                                      <w:sz w:val="22"/>
                                    </w:rPr>
                                  </w:pPr>
                                </w:p>
                                <w:p>
                                  <w:pPr>
                                    <w:pStyle w:val="TableParagraph"/>
                                    <w:ind w:right="251"/>
                                    <w:jc w:val="right"/>
                                    <w:rPr>
                                      <w:sz w:val="22"/>
                                    </w:rPr>
                                  </w:pPr>
                                  <w:r>
                                    <w:rPr>
                                      <w:color w:val="0A0A0A"/>
                                      <w:spacing w:val="-2"/>
                                      <w:sz w:val="22"/>
                                    </w:rPr>
                                    <w:t>104,640</w:t>
                                  </w:r>
                                </w:p>
                              </w:tc>
                              <w:tc>
                                <w:tcPr>
                                  <w:tcW w:w="1281" w:type="dxa"/>
                                </w:tcPr>
                                <w:p>
                                  <w:pPr>
                                    <w:pStyle w:val="TableParagraph"/>
                                    <w:spacing w:before="8"/>
                                    <w:ind w:right="262"/>
                                    <w:jc w:val="right"/>
                                    <w:rPr>
                                      <w:sz w:val="22"/>
                                    </w:rPr>
                                  </w:pPr>
                                  <w:r>
                                    <w:rPr>
                                      <w:color w:val="0A0A0A"/>
                                      <w:spacing w:val="-2"/>
                                      <w:sz w:val="22"/>
                                    </w:rPr>
                                    <w:t>(150,887)</w:t>
                                  </w:r>
                                </w:p>
                                <w:p>
                                  <w:pPr>
                                    <w:pStyle w:val="TableParagraph"/>
                                    <w:spacing w:before="32"/>
                                    <w:rPr>
                                      <w:sz w:val="22"/>
                                    </w:rPr>
                                  </w:pPr>
                                </w:p>
                                <w:p>
                                  <w:pPr>
                                    <w:pStyle w:val="TableParagraph"/>
                                    <w:ind w:right="248"/>
                                    <w:jc w:val="right"/>
                                    <w:rPr>
                                      <w:sz w:val="22"/>
                                    </w:rPr>
                                  </w:pPr>
                                  <w:r>
                                    <w:rPr>
                                      <w:color w:val="0A0A0A"/>
                                      <w:spacing w:val="-2"/>
                                      <w:sz w:val="22"/>
                                    </w:rPr>
                                    <w:t>110,561</w:t>
                                  </w:r>
                                </w:p>
                              </w:tc>
                              <w:tc>
                                <w:tcPr>
                                  <w:tcW w:w="3392" w:type="dxa"/>
                                </w:tcPr>
                                <w:p>
                                  <w:pPr>
                                    <w:pStyle w:val="TableParagraph"/>
                                    <w:spacing w:line="132" w:lineRule="exact"/>
                                    <w:ind w:left="259"/>
                                    <w:rPr>
                                      <w:sz w:val="22"/>
                                    </w:rPr>
                                  </w:pPr>
                                  <w:r>
                                    <w:rPr>
                                      <w:color w:val="0A0A0A"/>
                                      <w:spacing w:val="-4"/>
                                      <w:sz w:val="22"/>
                                    </w:rPr>
                                    <w:t>Present</w:t>
                                  </w:r>
                                  <w:r>
                                    <w:rPr>
                                      <w:color w:val="0A0A0A"/>
                                      <w:spacing w:val="-3"/>
                                      <w:sz w:val="22"/>
                                    </w:rPr>
                                    <w:t> </w:t>
                                  </w:r>
                                  <w:r>
                                    <w:rPr>
                                      <w:color w:val="0A0A0A"/>
                                      <w:spacing w:val="-4"/>
                                      <w:sz w:val="22"/>
                                    </w:rPr>
                                    <w:t>value</w:t>
                                  </w:r>
                                  <w:r>
                                    <w:rPr>
                                      <w:color w:val="0A0A0A"/>
                                      <w:spacing w:val="-7"/>
                                      <w:sz w:val="22"/>
                                    </w:rPr>
                                    <w:t> </w:t>
                                  </w:r>
                                  <w:r>
                                    <w:rPr>
                                      <w:color w:val="0A0A0A"/>
                                      <w:spacing w:val="-4"/>
                                      <w:sz w:val="22"/>
                                    </w:rPr>
                                    <w:t>of</w:t>
                                  </w:r>
                                  <w:r>
                                    <w:rPr>
                                      <w:color w:val="0A0A0A"/>
                                      <w:spacing w:val="-12"/>
                                      <w:sz w:val="22"/>
                                    </w:rPr>
                                    <w:t> </w:t>
                                  </w:r>
                                  <w:r>
                                    <w:rPr>
                                      <w:color w:val="0A0A0A"/>
                                      <w:spacing w:val="-4"/>
                                      <w:sz w:val="22"/>
                                    </w:rPr>
                                    <w:t>defined</w:t>
                                  </w:r>
                                  <w:r>
                                    <w:rPr>
                                      <w:color w:val="0A0A0A"/>
                                      <w:spacing w:val="-10"/>
                                      <w:sz w:val="22"/>
                                    </w:rPr>
                                    <w:t> </w:t>
                                  </w:r>
                                  <w:r>
                                    <w:rPr>
                                      <w:color w:val="0A0A0A"/>
                                      <w:spacing w:val="-4"/>
                                      <w:sz w:val="22"/>
                                    </w:rPr>
                                    <w:t>benefit</w:t>
                                  </w:r>
                                </w:p>
                                <w:p>
                                  <w:pPr>
                                    <w:pStyle w:val="TableParagraph"/>
                                    <w:spacing w:line="249" w:lineRule="exact"/>
                                    <w:ind w:left="263"/>
                                    <w:rPr>
                                      <w:sz w:val="22"/>
                                    </w:rPr>
                                  </w:pPr>
                                  <w:r>
                                    <w:rPr>
                                      <w:color w:val="0A0A0A"/>
                                      <w:spacing w:val="-2"/>
                                      <w:sz w:val="22"/>
                                    </w:rPr>
                                    <w:t>obligations</w:t>
                                  </w:r>
                                </w:p>
                                <w:p>
                                  <w:pPr>
                                    <w:pStyle w:val="TableParagraph"/>
                                    <w:spacing w:before="160"/>
                                    <w:ind w:left="253"/>
                                    <w:rPr>
                                      <w:sz w:val="22"/>
                                    </w:rPr>
                                  </w:pPr>
                                  <w:r>
                                    <w:rPr>
                                      <w:color w:val="0A0A0A"/>
                                      <w:spacing w:val="-4"/>
                                      <w:sz w:val="22"/>
                                    </w:rPr>
                                    <w:t>Fair</w:t>
                                  </w:r>
                                  <w:r>
                                    <w:rPr>
                                      <w:color w:val="0A0A0A"/>
                                      <w:spacing w:val="-9"/>
                                      <w:sz w:val="22"/>
                                    </w:rPr>
                                    <w:t> </w:t>
                                  </w:r>
                                  <w:r>
                                    <w:rPr>
                                      <w:color w:val="0A0A0A"/>
                                      <w:spacing w:val="-4"/>
                                      <w:sz w:val="22"/>
                                    </w:rPr>
                                    <w:t>value</w:t>
                                  </w:r>
                                  <w:r>
                                    <w:rPr>
                                      <w:color w:val="0A0A0A"/>
                                      <w:spacing w:val="-1"/>
                                      <w:sz w:val="22"/>
                                    </w:rPr>
                                    <w:t> </w:t>
                                  </w:r>
                                  <w:r>
                                    <w:rPr>
                                      <w:color w:val="0A0A0A"/>
                                      <w:spacing w:val="-4"/>
                                      <w:sz w:val="22"/>
                                    </w:rPr>
                                    <w:t>of</w:t>
                                  </w:r>
                                  <w:r>
                                    <w:rPr>
                                      <w:color w:val="0A0A0A"/>
                                      <w:spacing w:val="-15"/>
                                      <w:sz w:val="22"/>
                                    </w:rPr>
                                    <w:t> </w:t>
                                  </w:r>
                                  <w:r>
                                    <w:rPr>
                                      <w:color w:val="0A0A0A"/>
                                      <w:spacing w:val="-4"/>
                                      <w:sz w:val="22"/>
                                    </w:rPr>
                                    <w:t>employer</w:t>
                                  </w:r>
                                  <w:r>
                                    <w:rPr>
                                      <w:color w:val="0A0A0A"/>
                                      <w:spacing w:val="7"/>
                                      <w:sz w:val="22"/>
                                    </w:rPr>
                                    <w:t> </w:t>
                                  </w:r>
                                  <w:r>
                                    <w:rPr>
                                      <w:color w:val="0A0A0A"/>
                                      <w:spacing w:val="-4"/>
                                      <w:sz w:val="22"/>
                                    </w:rPr>
                                    <w:t>assets</w:t>
                                  </w:r>
                                </w:p>
                              </w:tc>
                              <w:tc>
                                <w:tcPr>
                                  <w:tcW w:w="1249" w:type="dxa"/>
                                </w:tcPr>
                                <w:p>
                                  <w:pPr>
                                    <w:pStyle w:val="TableParagraph"/>
                                    <w:spacing w:line="251" w:lineRule="exact"/>
                                    <w:ind w:left="293"/>
                                    <w:rPr>
                                      <w:sz w:val="22"/>
                                    </w:rPr>
                                  </w:pPr>
                                  <w:r>
                                    <w:rPr>
                                      <w:color w:val="0A0A0A"/>
                                      <w:spacing w:val="-2"/>
                                      <w:sz w:val="22"/>
                                    </w:rPr>
                                    <w:t>(112,577)</w:t>
                                  </w:r>
                                </w:p>
                                <w:p>
                                  <w:pPr>
                                    <w:pStyle w:val="TableParagraph"/>
                                    <w:spacing w:before="32"/>
                                    <w:rPr>
                                      <w:sz w:val="22"/>
                                    </w:rPr>
                                  </w:pPr>
                                </w:p>
                                <w:p>
                                  <w:pPr>
                                    <w:pStyle w:val="TableParagraph"/>
                                    <w:ind w:left="379"/>
                                    <w:rPr>
                                      <w:sz w:val="22"/>
                                    </w:rPr>
                                  </w:pPr>
                                  <w:r>
                                    <w:rPr>
                                      <w:color w:val="0A0A0A"/>
                                      <w:spacing w:val="-2"/>
                                      <w:sz w:val="22"/>
                                    </w:rPr>
                                    <w:t>101,940</w:t>
                                  </w:r>
                                </w:p>
                              </w:tc>
                            </w:tr>
                            <w:tr>
                              <w:trPr>
                                <w:trHeight w:val="380" w:hRule="atLeast"/>
                              </w:trPr>
                              <w:tc>
                                <w:tcPr>
                                  <w:tcW w:w="1104" w:type="dxa"/>
                                </w:tcPr>
                                <w:p>
                                  <w:pPr>
                                    <w:pStyle w:val="TableParagraph"/>
                                    <w:spacing w:before="139" w:line="222" w:lineRule="exact"/>
                                    <w:ind w:left="50"/>
                                    <w:rPr>
                                      <w:b/>
                                      <w:sz w:val="21"/>
                                    </w:rPr>
                                  </w:pPr>
                                  <w:r>
                                    <w:rPr>
                                      <w:b/>
                                      <w:color w:val="0A0A0A"/>
                                      <w:spacing w:val="-2"/>
                                      <w:sz w:val="21"/>
                                    </w:rPr>
                                    <w:t>(40,691)</w:t>
                                  </w:r>
                                </w:p>
                              </w:tc>
                              <w:tc>
                                <w:tcPr>
                                  <w:tcW w:w="1279" w:type="dxa"/>
                                </w:tcPr>
                                <w:p>
                                  <w:pPr>
                                    <w:pStyle w:val="TableParagraph"/>
                                    <w:spacing w:before="139" w:line="222" w:lineRule="exact"/>
                                    <w:ind w:left="248"/>
                                    <w:rPr>
                                      <w:b/>
                                      <w:sz w:val="21"/>
                                    </w:rPr>
                                  </w:pPr>
                                  <w:r>
                                    <w:rPr>
                                      <w:b/>
                                      <w:color w:val="0A0A0A"/>
                                      <w:spacing w:val="-2"/>
                                      <w:sz w:val="21"/>
                                    </w:rPr>
                                    <w:t>(30,161)</w:t>
                                  </w:r>
                                </w:p>
                              </w:tc>
                              <w:tc>
                                <w:tcPr>
                                  <w:tcW w:w="1294" w:type="dxa"/>
                                </w:tcPr>
                                <w:p>
                                  <w:pPr>
                                    <w:pStyle w:val="TableParagraph"/>
                                    <w:spacing w:before="139" w:line="222" w:lineRule="exact"/>
                                    <w:ind w:left="248"/>
                                    <w:rPr>
                                      <w:b/>
                                      <w:sz w:val="21"/>
                                    </w:rPr>
                                  </w:pPr>
                                  <w:r>
                                    <w:rPr>
                                      <w:b/>
                                      <w:color w:val="0A0A0A"/>
                                      <w:spacing w:val="-2"/>
                                      <w:sz w:val="21"/>
                                    </w:rPr>
                                    <w:t>(42,943)</w:t>
                                  </w:r>
                                </w:p>
                              </w:tc>
                              <w:tc>
                                <w:tcPr>
                                  <w:tcW w:w="1281" w:type="dxa"/>
                                </w:tcPr>
                                <w:p>
                                  <w:pPr>
                                    <w:pStyle w:val="TableParagraph"/>
                                    <w:spacing w:before="139" w:line="222" w:lineRule="exact"/>
                                    <w:ind w:left="243"/>
                                    <w:rPr>
                                      <w:b/>
                                      <w:sz w:val="21"/>
                                    </w:rPr>
                                  </w:pPr>
                                  <w:r>
                                    <w:rPr>
                                      <w:b/>
                                      <w:color w:val="0A0A0A"/>
                                      <w:spacing w:val="-2"/>
                                      <w:sz w:val="21"/>
                                    </w:rPr>
                                    <w:t>(40,326)</w:t>
                                  </w:r>
                                </w:p>
                              </w:tc>
                              <w:tc>
                                <w:tcPr>
                                  <w:tcW w:w="3392" w:type="dxa"/>
                                </w:tcPr>
                                <w:p>
                                  <w:pPr>
                                    <w:pStyle w:val="TableParagraph"/>
                                    <w:spacing w:before="139" w:line="222" w:lineRule="exact"/>
                                    <w:ind w:left="246"/>
                                    <w:rPr>
                                      <w:b/>
                                      <w:sz w:val="21"/>
                                    </w:rPr>
                                  </w:pPr>
                                  <w:r>
                                    <w:rPr>
                                      <w:b/>
                                      <w:color w:val="0A0A0A"/>
                                      <w:sz w:val="21"/>
                                    </w:rPr>
                                    <w:t>Deficit</w:t>
                                  </w:r>
                                  <w:r>
                                    <w:rPr>
                                      <w:b/>
                                      <w:color w:val="0A0A0A"/>
                                      <w:spacing w:val="4"/>
                                      <w:sz w:val="21"/>
                                    </w:rPr>
                                    <w:t> </w:t>
                                  </w:r>
                                  <w:r>
                                    <w:rPr>
                                      <w:b/>
                                      <w:color w:val="0A0A0A"/>
                                      <w:sz w:val="21"/>
                                    </w:rPr>
                                    <w:t>in the</w:t>
                                  </w:r>
                                  <w:r>
                                    <w:rPr>
                                      <w:b/>
                                      <w:color w:val="0A0A0A"/>
                                      <w:spacing w:val="4"/>
                                      <w:sz w:val="21"/>
                                    </w:rPr>
                                    <w:t> </w:t>
                                  </w:r>
                                  <w:r>
                                    <w:rPr>
                                      <w:b/>
                                      <w:color w:val="0A0A0A"/>
                                      <w:spacing w:val="-2"/>
                                      <w:sz w:val="21"/>
                                    </w:rPr>
                                    <w:t>scheme</w:t>
                                  </w:r>
                                </w:p>
                              </w:tc>
                              <w:tc>
                                <w:tcPr>
                                  <w:tcW w:w="1249" w:type="dxa"/>
                                </w:tcPr>
                                <w:p>
                                  <w:pPr>
                                    <w:pStyle w:val="TableParagraph"/>
                                    <w:spacing w:before="134" w:line="226" w:lineRule="exact"/>
                                    <w:ind w:left="411"/>
                                    <w:rPr>
                                      <w:b/>
                                      <w:sz w:val="21"/>
                                    </w:rPr>
                                  </w:pPr>
                                  <w:r>
                                    <w:rPr>
                                      <w:b/>
                                      <w:color w:val="0A0A0A"/>
                                      <w:spacing w:val="-2"/>
                                      <w:sz w:val="21"/>
                                    </w:rPr>
                                    <w:t>(10,637)</w:t>
                                  </w:r>
                                </w:p>
                              </w:tc>
                            </w:tr>
                          </w:tbl>
                          <w:p>
                            <w:pPr>
                              <w:pStyle w:val="BodyText"/>
                            </w:pPr>
                          </w:p>
                        </w:txbxContent>
                      </wps:txbx>
                      <wps:bodyPr wrap="square" lIns="0" tIns="0" rIns="0" bIns="0" rtlCol="0">
                        <a:noAutofit/>
                      </wps:bodyPr>
                    </wps:wsp>
                  </a:graphicData>
                </a:graphic>
              </wp:anchor>
            </w:drawing>
          </ve:Choice>
          <ve:Fallback>
            <w:pict>
              <v:shape id="docshape362" style="position:absolute;margin-left:90.348351pt;margin-top:41.328159pt;width:485.75pt;height:100.3pt;mso-position-horizontal-relative:page;mso-position-vertical-relative:paragraph;z-index:15844352"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04"/>
                        <w:gridCol w:w="1279"/>
                        <w:gridCol w:w="1294"/>
                        <w:gridCol w:w="1281"/>
                        <w:gridCol w:w="3392"/>
                        <w:gridCol w:w="1249"/>
                      </w:tblGrid>
                      <w:tr>
                        <w:trPr>
                          <w:trHeight w:val="273" w:hRule="atLeast"/>
                        </w:trPr>
                        <w:tc>
                          <w:tcPr>
                            <w:tcW w:w="1104" w:type="dxa"/>
                          </w:tcPr>
                          <w:p>
                            <w:pPr>
                              <w:pStyle w:val="TableParagraph"/>
                              <w:spacing w:line="235" w:lineRule="exact"/>
                              <w:ind w:left="94"/>
                              <w:rPr>
                                <w:b/>
                                <w:sz w:val="21"/>
                              </w:rPr>
                            </w:pPr>
                            <w:r>
                              <w:rPr>
                                <w:b/>
                                <w:color w:val="0A0A0A"/>
                                <w:spacing w:val="-4"/>
                                <w:sz w:val="21"/>
                              </w:rPr>
                              <w:t>2019</w:t>
                            </w:r>
                          </w:p>
                        </w:tc>
                        <w:tc>
                          <w:tcPr>
                            <w:tcW w:w="1279" w:type="dxa"/>
                          </w:tcPr>
                          <w:p>
                            <w:pPr>
                              <w:pStyle w:val="TableParagraph"/>
                              <w:spacing w:line="240" w:lineRule="exact"/>
                              <w:ind w:left="293"/>
                              <w:rPr>
                                <w:b/>
                                <w:sz w:val="21"/>
                              </w:rPr>
                            </w:pPr>
                            <w:r>
                              <w:rPr>
                                <w:b/>
                                <w:color w:val="0A0A0A"/>
                                <w:spacing w:val="-4"/>
                                <w:sz w:val="21"/>
                              </w:rPr>
                              <w:t>2020</w:t>
                            </w:r>
                          </w:p>
                        </w:tc>
                        <w:tc>
                          <w:tcPr>
                            <w:tcW w:w="1294" w:type="dxa"/>
                          </w:tcPr>
                          <w:p>
                            <w:pPr>
                              <w:pStyle w:val="TableParagraph"/>
                              <w:spacing w:line="240" w:lineRule="exact"/>
                              <w:ind w:left="292"/>
                              <w:rPr>
                                <w:b/>
                                <w:sz w:val="21"/>
                              </w:rPr>
                            </w:pPr>
                            <w:r>
                              <w:rPr>
                                <w:b/>
                                <w:color w:val="0A0A0A"/>
                                <w:spacing w:val="-4"/>
                                <w:sz w:val="21"/>
                              </w:rPr>
                              <w:t>2021</w:t>
                            </w:r>
                          </w:p>
                        </w:tc>
                        <w:tc>
                          <w:tcPr>
                            <w:tcW w:w="1281" w:type="dxa"/>
                          </w:tcPr>
                          <w:p>
                            <w:pPr>
                              <w:pStyle w:val="TableParagraph"/>
                              <w:spacing w:line="240" w:lineRule="exact"/>
                              <w:ind w:left="282"/>
                              <w:rPr>
                                <w:b/>
                                <w:sz w:val="21"/>
                              </w:rPr>
                            </w:pPr>
                            <w:r>
                              <w:rPr>
                                <w:b/>
                                <w:color w:val="0A0A0A"/>
                                <w:spacing w:val="-4"/>
                                <w:sz w:val="21"/>
                              </w:rPr>
                              <w:t>2022</w:t>
                            </w:r>
                          </w:p>
                        </w:tc>
                        <w:tc>
                          <w:tcPr>
                            <w:tcW w:w="3392" w:type="dxa"/>
                          </w:tcPr>
                          <w:p>
                            <w:pPr>
                              <w:pStyle w:val="TableParagraph"/>
                              <w:spacing w:line="240" w:lineRule="exact"/>
                              <w:ind w:left="266"/>
                              <w:rPr>
                                <w:b/>
                                <w:sz w:val="21"/>
                              </w:rPr>
                            </w:pPr>
                            <w:r>
                              <w:rPr>
                                <w:b/>
                                <w:color w:val="0A0A0A"/>
                                <w:sz w:val="21"/>
                              </w:rPr>
                              <w:t>As</w:t>
                            </w:r>
                            <w:r>
                              <w:rPr>
                                <w:b/>
                                <w:color w:val="0A0A0A"/>
                                <w:spacing w:val="5"/>
                                <w:sz w:val="21"/>
                              </w:rPr>
                              <w:t> </w:t>
                            </w:r>
                            <w:r>
                              <w:rPr>
                                <w:b/>
                                <w:color w:val="0A0A0A"/>
                                <w:sz w:val="21"/>
                              </w:rPr>
                              <w:t>at</w:t>
                            </w:r>
                            <w:r>
                              <w:rPr>
                                <w:b/>
                                <w:color w:val="0A0A0A"/>
                                <w:spacing w:val="-5"/>
                                <w:sz w:val="21"/>
                              </w:rPr>
                              <w:t> </w:t>
                            </w:r>
                            <w:r>
                              <w:rPr>
                                <w:b/>
                                <w:color w:val="0A0A0A"/>
                                <w:sz w:val="21"/>
                              </w:rPr>
                              <w:t>31</w:t>
                            </w:r>
                            <w:r>
                              <w:rPr>
                                <w:b/>
                                <w:color w:val="0A0A0A"/>
                                <w:spacing w:val="-5"/>
                                <w:sz w:val="21"/>
                              </w:rPr>
                              <w:t> </w:t>
                            </w:r>
                            <w:r>
                              <w:rPr>
                                <w:b/>
                                <w:color w:val="0A0A0A"/>
                                <w:spacing w:val="-2"/>
                                <w:sz w:val="21"/>
                              </w:rPr>
                              <w:t>March</w:t>
                            </w:r>
                          </w:p>
                        </w:tc>
                        <w:tc>
                          <w:tcPr>
                            <w:tcW w:w="1249" w:type="dxa"/>
                          </w:tcPr>
                          <w:p>
                            <w:pPr>
                              <w:pStyle w:val="TableParagraph"/>
                              <w:spacing w:line="235" w:lineRule="exact"/>
                              <w:ind w:left="441"/>
                              <w:rPr>
                                <w:b/>
                                <w:sz w:val="21"/>
                              </w:rPr>
                            </w:pPr>
                            <w:r>
                              <w:rPr>
                                <w:b/>
                                <w:color w:val="0A0A0A"/>
                                <w:spacing w:val="-4"/>
                                <w:sz w:val="21"/>
                              </w:rPr>
                              <w:t>2023</w:t>
                            </w:r>
                          </w:p>
                        </w:tc>
                      </w:tr>
                      <w:tr>
                        <w:trPr>
                          <w:trHeight w:val="413" w:hRule="atLeast"/>
                        </w:trPr>
                        <w:tc>
                          <w:tcPr>
                            <w:tcW w:w="1104" w:type="dxa"/>
                          </w:tcPr>
                          <w:p>
                            <w:pPr>
                              <w:pStyle w:val="TableParagraph"/>
                              <w:spacing w:before="32"/>
                              <w:ind w:left="83"/>
                              <w:rPr>
                                <w:b/>
                                <w:sz w:val="21"/>
                              </w:rPr>
                            </w:pPr>
                            <w:r>
                              <w:rPr>
                                <w:b/>
                                <w:color w:val="0A0A0A"/>
                                <w:spacing w:val="-4"/>
                                <w:sz w:val="21"/>
                              </w:rPr>
                              <w:t>£000</w:t>
                            </w:r>
                          </w:p>
                        </w:tc>
                        <w:tc>
                          <w:tcPr>
                            <w:tcW w:w="1279" w:type="dxa"/>
                          </w:tcPr>
                          <w:p>
                            <w:pPr>
                              <w:pStyle w:val="TableParagraph"/>
                              <w:spacing w:before="37"/>
                              <w:ind w:left="282"/>
                              <w:rPr>
                                <w:b/>
                                <w:sz w:val="21"/>
                              </w:rPr>
                            </w:pPr>
                            <w:r>
                              <w:rPr>
                                <w:b/>
                                <w:color w:val="0A0A0A"/>
                                <w:spacing w:val="-4"/>
                                <w:sz w:val="21"/>
                              </w:rPr>
                              <w:t>£000</w:t>
                            </w:r>
                          </w:p>
                        </w:tc>
                        <w:tc>
                          <w:tcPr>
                            <w:tcW w:w="1294" w:type="dxa"/>
                          </w:tcPr>
                          <w:p>
                            <w:pPr>
                              <w:pStyle w:val="TableParagraph"/>
                              <w:spacing w:before="37"/>
                              <w:ind w:left="282"/>
                              <w:rPr>
                                <w:b/>
                                <w:sz w:val="21"/>
                              </w:rPr>
                            </w:pPr>
                            <w:r>
                              <w:rPr>
                                <w:b/>
                                <w:color w:val="0A0A0A"/>
                                <w:spacing w:val="-4"/>
                                <w:sz w:val="21"/>
                              </w:rPr>
                              <w:t>£000</w:t>
                            </w:r>
                          </w:p>
                        </w:tc>
                        <w:tc>
                          <w:tcPr>
                            <w:tcW w:w="1281" w:type="dxa"/>
                          </w:tcPr>
                          <w:p>
                            <w:pPr>
                              <w:pStyle w:val="TableParagraph"/>
                              <w:spacing w:before="37"/>
                              <w:ind w:left="276"/>
                              <w:rPr>
                                <w:b/>
                                <w:sz w:val="21"/>
                              </w:rPr>
                            </w:pPr>
                            <w:r>
                              <w:rPr>
                                <w:b/>
                                <w:color w:val="0A0A0A"/>
                                <w:spacing w:val="-4"/>
                                <w:sz w:val="21"/>
                              </w:rPr>
                              <w:t>£000</w:t>
                            </w:r>
                          </w:p>
                        </w:tc>
                        <w:tc>
                          <w:tcPr>
                            <w:tcW w:w="3392" w:type="dxa"/>
                          </w:tcPr>
                          <w:p>
                            <w:pPr>
                              <w:pStyle w:val="TableParagraph"/>
                              <w:rPr>
                                <w:rFonts w:ascii="Times New Roman"/>
                                <w:sz w:val="20"/>
                              </w:rPr>
                            </w:pPr>
                          </w:p>
                        </w:tc>
                        <w:tc>
                          <w:tcPr>
                            <w:tcW w:w="1249" w:type="dxa"/>
                          </w:tcPr>
                          <w:p>
                            <w:pPr>
                              <w:pStyle w:val="TableParagraph"/>
                              <w:spacing w:before="27"/>
                              <w:ind w:left="440"/>
                              <w:rPr>
                                <w:b/>
                                <w:sz w:val="21"/>
                              </w:rPr>
                            </w:pPr>
                            <w:r>
                              <w:rPr>
                                <w:b/>
                                <w:color w:val="0A0A0A"/>
                                <w:spacing w:val="-4"/>
                                <w:sz w:val="21"/>
                              </w:rPr>
                              <w:t>£000</w:t>
                            </w:r>
                          </w:p>
                        </w:tc>
                      </w:tr>
                      <w:tr>
                        <w:trPr>
                          <w:trHeight w:val="940" w:hRule="atLeast"/>
                        </w:trPr>
                        <w:tc>
                          <w:tcPr>
                            <w:tcW w:w="1104" w:type="dxa"/>
                          </w:tcPr>
                          <w:p>
                            <w:pPr>
                              <w:pStyle w:val="TableParagraph"/>
                              <w:spacing w:before="8"/>
                              <w:ind w:right="250"/>
                              <w:jc w:val="right"/>
                              <w:rPr>
                                <w:sz w:val="22"/>
                              </w:rPr>
                            </w:pPr>
                            <w:r>
                              <w:rPr>
                                <w:color w:val="0A0A0A"/>
                                <w:spacing w:val="-5"/>
                                <w:sz w:val="22"/>
                              </w:rPr>
                              <w:t>130,861)</w:t>
                            </w:r>
                          </w:p>
                          <w:p>
                            <w:pPr>
                              <w:pStyle w:val="TableParagraph"/>
                              <w:spacing w:before="27"/>
                              <w:rPr>
                                <w:sz w:val="22"/>
                              </w:rPr>
                            </w:pPr>
                          </w:p>
                          <w:p>
                            <w:pPr>
                              <w:pStyle w:val="TableParagraph"/>
                              <w:ind w:right="247"/>
                              <w:jc w:val="right"/>
                              <w:rPr>
                                <w:sz w:val="22"/>
                              </w:rPr>
                            </w:pPr>
                            <w:r>
                              <w:rPr>
                                <w:color w:val="0A0A0A"/>
                                <w:spacing w:val="-2"/>
                                <w:sz w:val="22"/>
                              </w:rPr>
                              <w:t>90,170</w:t>
                            </w:r>
                          </w:p>
                        </w:tc>
                        <w:tc>
                          <w:tcPr>
                            <w:tcW w:w="1279" w:type="dxa"/>
                          </w:tcPr>
                          <w:p>
                            <w:pPr>
                              <w:pStyle w:val="TableParagraph"/>
                              <w:spacing w:before="8"/>
                              <w:ind w:right="254"/>
                              <w:jc w:val="right"/>
                              <w:rPr>
                                <w:sz w:val="22"/>
                              </w:rPr>
                            </w:pPr>
                            <w:r>
                              <w:rPr>
                                <w:color w:val="0A0A0A"/>
                                <w:spacing w:val="-2"/>
                                <w:sz w:val="22"/>
                              </w:rPr>
                              <w:t>(117,172)</w:t>
                            </w:r>
                          </w:p>
                          <w:p>
                            <w:pPr>
                              <w:pStyle w:val="TableParagraph"/>
                              <w:spacing w:before="27"/>
                              <w:rPr>
                                <w:sz w:val="22"/>
                              </w:rPr>
                            </w:pPr>
                          </w:p>
                          <w:p>
                            <w:pPr>
                              <w:pStyle w:val="TableParagraph"/>
                              <w:ind w:right="248"/>
                              <w:jc w:val="right"/>
                              <w:rPr>
                                <w:sz w:val="22"/>
                              </w:rPr>
                            </w:pPr>
                            <w:r>
                              <w:rPr>
                                <w:color w:val="0A0A0A"/>
                                <w:spacing w:val="-2"/>
                                <w:sz w:val="22"/>
                              </w:rPr>
                              <w:t>87,011</w:t>
                            </w:r>
                          </w:p>
                        </w:tc>
                        <w:tc>
                          <w:tcPr>
                            <w:tcW w:w="1294" w:type="dxa"/>
                          </w:tcPr>
                          <w:p>
                            <w:pPr>
                              <w:pStyle w:val="TableParagraph"/>
                              <w:spacing w:before="8"/>
                              <w:ind w:right="250"/>
                              <w:jc w:val="right"/>
                              <w:rPr>
                                <w:sz w:val="22"/>
                              </w:rPr>
                            </w:pPr>
                            <w:r>
                              <w:rPr>
                                <w:color w:val="0A0A0A"/>
                                <w:spacing w:val="-2"/>
                                <w:sz w:val="22"/>
                              </w:rPr>
                              <w:t>(147,583)</w:t>
                            </w:r>
                          </w:p>
                          <w:p>
                            <w:pPr>
                              <w:pStyle w:val="TableParagraph"/>
                              <w:spacing w:before="32"/>
                              <w:rPr>
                                <w:sz w:val="22"/>
                              </w:rPr>
                            </w:pPr>
                          </w:p>
                          <w:p>
                            <w:pPr>
                              <w:pStyle w:val="TableParagraph"/>
                              <w:ind w:right="251"/>
                              <w:jc w:val="right"/>
                              <w:rPr>
                                <w:sz w:val="22"/>
                              </w:rPr>
                            </w:pPr>
                            <w:r>
                              <w:rPr>
                                <w:color w:val="0A0A0A"/>
                                <w:spacing w:val="-2"/>
                                <w:sz w:val="22"/>
                              </w:rPr>
                              <w:t>104,640</w:t>
                            </w:r>
                          </w:p>
                        </w:tc>
                        <w:tc>
                          <w:tcPr>
                            <w:tcW w:w="1281" w:type="dxa"/>
                          </w:tcPr>
                          <w:p>
                            <w:pPr>
                              <w:pStyle w:val="TableParagraph"/>
                              <w:spacing w:before="8"/>
                              <w:ind w:right="262"/>
                              <w:jc w:val="right"/>
                              <w:rPr>
                                <w:sz w:val="22"/>
                              </w:rPr>
                            </w:pPr>
                            <w:r>
                              <w:rPr>
                                <w:color w:val="0A0A0A"/>
                                <w:spacing w:val="-2"/>
                                <w:sz w:val="22"/>
                              </w:rPr>
                              <w:t>(150,887)</w:t>
                            </w:r>
                          </w:p>
                          <w:p>
                            <w:pPr>
                              <w:pStyle w:val="TableParagraph"/>
                              <w:spacing w:before="32"/>
                              <w:rPr>
                                <w:sz w:val="22"/>
                              </w:rPr>
                            </w:pPr>
                          </w:p>
                          <w:p>
                            <w:pPr>
                              <w:pStyle w:val="TableParagraph"/>
                              <w:ind w:right="248"/>
                              <w:jc w:val="right"/>
                              <w:rPr>
                                <w:sz w:val="22"/>
                              </w:rPr>
                            </w:pPr>
                            <w:r>
                              <w:rPr>
                                <w:color w:val="0A0A0A"/>
                                <w:spacing w:val="-2"/>
                                <w:sz w:val="22"/>
                              </w:rPr>
                              <w:t>110,561</w:t>
                            </w:r>
                          </w:p>
                        </w:tc>
                        <w:tc>
                          <w:tcPr>
                            <w:tcW w:w="3392" w:type="dxa"/>
                          </w:tcPr>
                          <w:p>
                            <w:pPr>
                              <w:pStyle w:val="TableParagraph"/>
                              <w:spacing w:line="132" w:lineRule="exact"/>
                              <w:ind w:left="259"/>
                              <w:rPr>
                                <w:sz w:val="22"/>
                              </w:rPr>
                            </w:pPr>
                            <w:r>
                              <w:rPr>
                                <w:color w:val="0A0A0A"/>
                                <w:spacing w:val="-4"/>
                                <w:sz w:val="22"/>
                              </w:rPr>
                              <w:t>Present</w:t>
                            </w:r>
                            <w:r>
                              <w:rPr>
                                <w:color w:val="0A0A0A"/>
                                <w:spacing w:val="-3"/>
                                <w:sz w:val="22"/>
                              </w:rPr>
                              <w:t> </w:t>
                            </w:r>
                            <w:r>
                              <w:rPr>
                                <w:color w:val="0A0A0A"/>
                                <w:spacing w:val="-4"/>
                                <w:sz w:val="22"/>
                              </w:rPr>
                              <w:t>value</w:t>
                            </w:r>
                            <w:r>
                              <w:rPr>
                                <w:color w:val="0A0A0A"/>
                                <w:spacing w:val="-7"/>
                                <w:sz w:val="22"/>
                              </w:rPr>
                              <w:t> </w:t>
                            </w:r>
                            <w:r>
                              <w:rPr>
                                <w:color w:val="0A0A0A"/>
                                <w:spacing w:val="-4"/>
                                <w:sz w:val="22"/>
                              </w:rPr>
                              <w:t>of</w:t>
                            </w:r>
                            <w:r>
                              <w:rPr>
                                <w:color w:val="0A0A0A"/>
                                <w:spacing w:val="-12"/>
                                <w:sz w:val="22"/>
                              </w:rPr>
                              <w:t> </w:t>
                            </w:r>
                            <w:r>
                              <w:rPr>
                                <w:color w:val="0A0A0A"/>
                                <w:spacing w:val="-4"/>
                                <w:sz w:val="22"/>
                              </w:rPr>
                              <w:t>defined</w:t>
                            </w:r>
                            <w:r>
                              <w:rPr>
                                <w:color w:val="0A0A0A"/>
                                <w:spacing w:val="-10"/>
                                <w:sz w:val="22"/>
                              </w:rPr>
                              <w:t> </w:t>
                            </w:r>
                            <w:r>
                              <w:rPr>
                                <w:color w:val="0A0A0A"/>
                                <w:spacing w:val="-4"/>
                                <w:sz w:val="22"/>
                              </w:rPr>
                              <w:t>benefit</w:t>
                            </w:r>
                          </w:p>
                          <w:p>
                            <w:pPr>
                              <w:pStyle w:val="TableParagraph"/>
                              <w:spacing w:line="249" w:lineRule="exact"/>
                              <w:ind w:left="263"/>
                              <w:rPr>
                                <w:sz w:val="22"/>
                              </w:rPr>
                            </w:pPr>
                            <w:r>
                              <w:rPr>
                                <w:color w:val="0A0A0A"/>
                                <w:spacing w:val="-2"/>
                                <w:sz w:val="22"/>
                              </w:rPr>
                              <w:t>obligations</w:t>
                            </w:r>
                          </w:p>
                          <w:p>
                            <w:pPr>
                              <w:pStyle w:val="TableParagraph"/>
                              <w:spacing w:before="160"/>
                              <w:ind w:left="253"/>
                              <w:rPr>
                                <w:sz w:val="22"/>
                              </w:rPr>
                            </w:pPr>
                            <w:r>
                              <w:rPr>
                                <w:color w:val="0A0A0A"/>
                                <w:spacing w:val="-4"/>
                                <w:sz w:val="22"/>
                              </w:rPr>
                              <w:t>Fair</w:t>
                            </w:r>
                            <w:r>
                              <w:rPr>
                                <w:color w:val="0A0A0A"/>
                                <w:spacing w:val="-9"/>
                                <w:sz w:val="22"/>
                              </w:rPr>
                              <w:t> </w:t>
                            </w:r>
                            <w:r>
                              <w:rPr>
                                <w:color w:val="0A0A0A"/>
                                <w:spacing w:val="-4"/>
                                <w:sz w:val="22"/>
                              </w:rPr>
                              <w:t>value</w:t>
                            </w:r>
                            <w:r>
                              <w:rPr>
                                <w:color w:val="0A0A0A"/>
                                <w:spacing w:val="-1"/>
                                <w:sz w:val="22"/>
                              </w:rPr>
                              <w:t> </w:t>
                            </w:r>
                            <w:r>
                              <w:rPr>
                                <w:color w:val="0A0A0A"/>
                                <w:spacing w:val="-4"/>
                                <w:sz w:val="22"/>
                              </w:rPr>
                              <w:t>of</w:t>
                            </w:r>
                            <w:r>
                              <w:rPr>
                                <w:color w:val="0A0A0A"/>
                                <w:spacing w:val="-15"/>
                                <w:sz w:val="22"/>
                              </w:rPr>
                              <w:t> </w:t>
                            </w:r>
                            <w:r>
                              <w:rPr>
                                <w:color w:val="0A0A0A"/>
                                <w:spacing w:val="-4"/>
                                <w:sz w:val="22"/>
                              </w:rPr>
                              <w:t>employer</w:t>
                            </w:r>
                            <w:r>
                              <w:rPr>
                                <w:color w:val="0A0A0A"/>
                                <w:spacing w:val="7"/>
                                <w:sz w:val="22"/>
                              </w:rPr>
                              <w:t> </w:t>
                            </w:r>
                            <w:r>
                              <w:rPr>
                                <w:color w:val="0A0A0A"/>
                                <w:spacing w:val="-4"/>
                                <w:sz w:val="22"/>
                              </w:rPr>
                              <w:t>assets</w:t>
                            </w:r>
                          </w:p>
                        </w:tc>
                        <w:tc>
                          <w:tcPr>
                            <w:tcW w:w="1249" w:type="dxa"/>
                          </w:tcPr>
                          <w:p>
                            <w:pPr>
                              <w:pStyle w:val="TableParagraph"/>
                              <w:spacing w:line="251" w:lineRule="exact"/>
                              <w:ind w:left="293"/>
                              <w:rPr>
                                <w:sz w:val="22"/>
                              </w:rPr>
                            </w:pPr>
                            <w:r>
                              <w:rPr>
                                <w:color w:val="0A0A0A"/>
                                <w:spacing w:val="-2"/>
                                <w:sz w:val="22"/>
                              </w:rPr>
                              <w:t>(112,577)</w:t>
                            </w:r>
                          </w:p>
                          <w:p>
                            <w:pPr>
                              <w:pStyle w:val="TableParagraph"/>
                              <w:spacing w:before="32"/>
                              <w:rPr>
                                <w:sz w:val="22"/>
                              </w:rPr>
                            </w:pPr>
                          </w:p>
                          <w:p>
                            <w:pPr>
                              <w:pStyle w:val="TableParagraph"/>
                              <w:ind w:left="379"/>
                              <w:rPr>
                                <w:sz w:val="22"/>
                              </w:rPr>
                            </w:pPr>
                            <w:r>
                              <w:rPr>
                                <w:color w:val="0A0A0A"/>
                                <w:spacing w:val="-2"/>
                                <w:sz w:val="22"/>
                              </w:rPr>
                              <w:t>101,940</w:t>
                            </w:r>
                          </w:p>
                        </w:tc>
                      </w:tr>
                      <w:tr>
                        <w:trPr>
                          <w:trHeight w:val="380" w:hRule="atLeast"/>
                        </w:trPr>
                        <w:tc>
                          <w:tcPr>
                            <w:tcW w:w="1104" w:type="dxa"/>
                          </w:tcPr>
                          <w:p>
                            <w:pPr>
                              <w:pStyle w:val="TableParagraph"/>
                              <w:spacing w:before="139" w:line="222" w:lineRule="exact"/>
                              <w:ind w:left="50"/>
                              <w:rPr>
                                <w:b/>
                                <w:sz w:val="21"/>
                              </w:rPr>
                            </w:pPr>
                            <w:r>
                              <w:rPr>
                                <w:b/>
                                <w:color w:val="0A0A0A"/>
                                <w:spacing w:val="-2"/>
                                <w:sz w:val="21"/>
                              </w:rPr>
                              <w:t>(40,691)</w:t>
                            </w:r>
                          </w:p>
                        </w:tc>
                        <w:tc>
                          <w:tcPr>
                            <w:tcW w:w="1279" w:type="dxa"/>
                          </w:tcPr>
                          <w:p>
                            <w:pPr>
                              <w:pStyle w:val="TableParagraph"/>
                              <w:spacing w:before="139" w:line="222" w:lineRule="exact"/>
                              <w:ind w:left="248"/>
                              <w:rPr>
                                <w:b/>
                                <w:sz w:val="21"/>
                              </w:rPr>
                            </w:pPr>
                            <w:r>
                              <w:rPr>
                                <w:b/>
                                <w:color w:val="0A0A0A"/>
                                <w:spacing w:val="-2"/>
                                <w:sz w:val="21"/>
                              </w:rPr>
                              <w:t>(30,161)</w:t>
                            </w:r>
                          </w:p>
                        </w:tc>
                        <w:tc>
                          <w:tcPr>
                            <w:tcW w:w="1294" w:type="dxa"/>
                          </w:tcPr>
                          <w:p>
                            <w:pPr>
                              <w:pStyle w:val="TableParagraph"/>
                              <w:spacing w:before="139" w:line="222" w:lineRule="exact"/>
                              <w:ind w:left="248"/>
                              <w:rPr>
                                <w:b/>
                                <w:sz w:val="21"/>
                              </w:rPr>
                            </w:pPr>
                            <w:r>
                              <w:rPr>
                                <w:b/>
                                <w:color w:val="0A0A0A"/>
                                <w:spacing w:val="-2"/>
                                <w:sz w:val="21"/>
                              </w:rPr>
                              <w:t>(42,943)</w:t>
                            </w:r>
                          </w:p>
                        </w:tc>
                        <w:tc>
                          <w:tcPr>
                            <w:tcW w:w="1281" w:type="dxa"/>
                          </w:tcPr>
                          <w:p>
                            <w:pPr>
                              <w:pStyle w:val="TableParagraph"/>
                              <w:spacing w:before="139" w:line="222" w:lineRule="exact"/>
                              <w:ind w:left="243"/>
                              <w:rPr>
                                <w:b/>
                                <w:sz w:val="21"/>
                              </w:rPr>
                            </w:pPr>
                            <w:r>
                              <w:rPr>
                                <w:b/>
                                <w:color w:val="0A0A0A"/>
                                <w:spacing w:val="-2"/>
                                <w:sz w:val="21"/>
                              </w:rPr>
                              <w:t>(40,326)</w:t>
                            </w:r>
                          </w:p>
                        </w:tc>
                        <w:tc>
                          <w:tcPr>
                            <w:tcW w:w="3392" w:type="dxa"/>
                          </w:tcPr>
                          <w:p>
                            <w:pPr>
                              <w:pStyle w:val="TableParagraph"/>
                              <w:spacing w:before="139" w:line="222" w:lineRule="exact"/>
                              <w:ind w:left="246"/>
                              <w:rPr>
                                <w:b/>
                                <w:sz w:val="21"/>
                              </w:rPr>
                            </w:pPr>
                            <w:r>
                              <w:rPr>
                                <w:b/>
                                <w:color w:val="0A0A0A"/>
                                <w:sz w:val="21"/>
                              </w:rPr>
                              <w:t>Deficit</w:t>
                            </w:r>
                            <w:r>
                              <w:rPr>
                                <w:b/>
                                <w:color w:val="0A0A0A"/>
                                <w:spacing w:val="4"/>
                                <w:sz w:val="21"/>
                              </w:rPr>
                              <w:t> </w:t>
                            </w:r>
                            <w:r>
                              <w:rPr>
                                <w:b/>
                                <w:color w:val="0A0A0A"/>
                                <w:sz w:val="21"/>
                              </w:rPr>
                              <w:t>in the</w:t>
                            </w:r>
                            <w:r>
                              <w:rPr>
                                <w:b/>
                                <w:color w:val="0A0A0A"/>
                                <w:spacing w:val="4"/>
                                <w:sz w:val="21"/>
                              </w:rPr>
                              <w:t> </w:t>
                            </w:r>
                            <w:r>
                              <w:rPr>
                                <w:b/>
                                <w:color w:val="0A0A0A"/>
                                <w:spacing w:val="-2"/>
                                <w:sz w:val="21"/>
                              </w:rPr>
                              <w:t>scheme</w:t>
                            </w:r>
                          </w:p>
                        </w:tc>
                        <w:tc>
                          <w:tcPr>
                            <w:tcW w:w="1249" w:type="dxa"/>
                          </w:tcPr>
                          <w:p>
                            <w:pPr>
                              <w:pStyle w:val="TableParagraph"/>
                              <w:spacing w:before="134" w:line="226" w:lineRule="exact"/>
                              <w:ind w:left="411"/>
                              <w:rPr>
                                <w:b/>
                                <w:sz w:val="21"/>
                              </w:rPr>
                            </w:pPr>
                            <w:r>
                              <w:rPr>
                                <w:b/>
                                <w:color w:val="0A0A0A"/>
                                <w:spacing w:val="-2"/>
                                <w:sz w:val="21"/>
                              </w:rPr>
                              <w:t>(10,637)</w:t>
                            </w:r>
                          </w:p>
                        </w:tc>
                      </w:tr>
                    </w:tbl>
                    <w:p>
                      <w:pPr>
                        <w:pStyle w:val="BodyText"/>
                      </w:pPr>
                    </w:p>
                  </w:txbxContent>
                </v:textbox>
                <w10:wrap type="none"/>
              </v:shape>
            </w:pict>
          </ve:Fallback>
        </ve:AlternateContent>
      </w:r>
      <w:r>
        <w:rPr>
          <w:color w:val="0A0A0A"/>
        </w:rPr>
        <w:t>It </w:t>
      </w:r>
      <w:r>
        <w:rPr>
          <w:color w:val="1D1D1D"/>
        </w:rPr>
        <w:t>is </w:t>
      </w:r>
      <w:r>
        <w:rPr>
          <w:color w:val="0A0A0A"/>
        </w:rPr>
        <w:t>estimated that the Council will contribute approximately £2</w:t>
      </w:r>
      <w:r>
        <w:rPr>
          <w:color w:val="343434"/>
        </w:rPr>
        <w:t>.</w:t>
      </w:r>
      <w:r>
        <w:rPr>
          <w:color w:val="0A0A0A"/>
        </w:rPr>
        <w:t>833 million to the Local Government</w:t>
      </w:r>
      <w:r>
        <w:rPr>
          <w:color w:val="0A0A0A"/>
          <w:spacing w:val="40"/>
        </w:rPr>
        <w:t> </w:t>
      </w:r>
      <w:r>
        <w:rPr>
          <w:color w:val="0A0A0A"/>
        </w:rPr>
        <w:t>Pension Scheme during the year ending 31</w:t>
      </w:r>
      <w:r>
        <w:rPr>
          <w:color w:val="0A0A0A"/>
          <w:spacing w:val="-1"/>
        </w:rPr>
        <w:t> </w:t>
      </w:r>
      <w:r>
        <w:rPr>
          <w:color w:val="0A0A0A"/>
        </w:rPr>
        <w:t>March 2024.</w:t>
      </w:r>
    </w:p>
    <w:p>
      <w:pPr>
        <w:pStyle w:val="BodyText"/>
      </w:pPr>
    </w:p>
    <w:p>
      <w:pPr>
        <w:pStyle w:val="BodyText"/>
      </w:pPr>
    </w:p>
    <w:p>
      <w:pPr>
        <w:pStyle w:val="BodyText"/>
      </w:pPr>
    </w:p>
    <w:p>
      <w:pPr>
        <w:pStyle w:val="BodyText"/>
        <w:spacing w:before="8"/>
      </w:pPr>
    </w:p>
    <w:p>
      <w:pPr>
        <w:spacing w:before="1"/>
        <w:ind w:left="1813" w:right="0" w:firstLine="0"/>
        <w:jc w:val="left"/>
        <w:rPr>
          <w:sz w:val="22"/>
        </w:rPr>
      </w:pPr>
      <w:r>
        <w:rPr>
          <w:color w:val="0A0A0A"/>
          <w:spacing w:val="-10"/>
          <w:sz w:val="22"/>
        </w:rPr>
        <w:t>(</w:t>
      </w:r>
    </w:p>
    <w:p>
      <w:pPr>
        <w:pStyle w:val="BodyText"/>
      </w:pPr>
    </w:p>
    <w:p>
      <w:pPr>
        <w:pStyle w:val="BodyText"/>
      </w:pPr>
    </w:p>
    <w:p>
      <w:pPr>
        <w:pStyle w:val="BodyText"/>
      </w:pPr>
    </w:p>
    <w:p>
      <w:pPr>
        <w:pStyle w:val="BodyText"/>
      </w:pPr>
    </w:p>
    <w:p>
      <w:pPr>
        <w:pStyle w:val="BodyText"/>
        <w:spacing w:before="192"/>
      </w:pPr>
    </w:p>
    <w:p>
      <w:pPr>
        <w:pStyle w:val="BodyText"/>
        <w:spacing w:before="1"/>
        <w:ind w:left="1405" w:right="915" w:firstLine="12"/>
        <w:jc w:val="both"/>
      </w:pPr>
      <w:r>
        <w:rPr>
          <w:color w:val="0A0A0A"/>
        </w:rPr>
        <w:t>The defined benefit obligations show the underlying </w:t>
      </w:r>
      <w:r>
        <w:rPr>
          <w:color w:val="1D1D1D"/>
        </w:rPr>
        <w:t>commitments that the Council has </w:t>
      </w:r>
      <w:r>
        <w:rPr>
          <w:color w:val="343434"/>
        </w:rPr>
        <w:t>in </w:t>
      </w:r>
      <w:r>
        <w:rPr>
          <w:color w:val="1D1D1D"/>
        </w:rPr>
        <w:t>the long term </w:t>
      </w:r>
      <w:r>
        <w:rPr>
          <w:color w:val="0A0A0A"/>
        </w:rPr>
        <w:t>to </w:t>
      </w:r>
      <w:r>
        <w:rPr>
          <w:color w:val="1D1D1D"/>
        </w:rPr>
        <w:t>pay retirement </w:t>
      </w:r>
      <w:r>
        <w:rPr>
          <w:color w:val="0A0A0A"/>
        </w:rPr>
        <w:t>benefits. The total</w:t>
      </w:r>
      <w:r>
        <w:rPr>
          <w:color w:val="0A0A0A"/>
          <w:spacing w:val="-3"/>
        </w:rPr>
        <w:t> </w:t>
      </w:r>
      <w:r>
        <w:rPr>
          <w:color w:val="1D1D1D"/>
        </w:rPr>
        <w:t>liability has a substantial negative </w:t>
      </w:r>
      <w:r>
        <w:rPr>
          <w:color w:val="343434"/>
        </w:rPr>
        <w:t>impact </w:t>
      </w:r>
      <w:r>
        <w:rPr>
          <w:color w:val="1D1D1D"/>
        </w:rPr>
        <w:t>on</w:t>
      </w:r>
      <w:r>
        <w:rPr>
          <w:color w:val="1D1D1D"/>
          <w:spacing w:val="-15"/>
        </w:rPr>
        <w:t> </w:t>
      </w:r>
      <w:r>
        <w:rPr>
          <w:color w:val="1D1D1D"/>
        </w:rPr>
        <w:t>the net</w:t>
      </w:r>
      <w:r>
        <w:rPr>
          <w:color w:val="1D1D1D"/>
          <w:spacing w:val="-9"/>
        </w:rPr>
        <w:t> </w:t>
      </w:r>
      <w:r>
        <w:rPr>
          <w:color w:val="1D1D1D"/>
        </w:rPr>
        <w:t>worth </w:t>
      </w:r>
      <w:r>
        <w:rPr>
          <w:color w:val="0A0A0A"/>
        </w:rPr>
        <w:t>of</w:t>
      </w:r>
      <w:r>
        <w:rPr>
          <w:color w:val="0A0A0A"/>
          <w:spacing w:val="-5"/>
        </w:rPr>
        <w:t> </w:t>
      </w:r>
      <w:r>
        <w:rPr>
          <w:color w:val="1D1D1D"/>
        </w:rPr>
        <w:t>the Council </w:t>
      </w:r>
      <w:r>
        <w:rPr>
          <w:color w:val="0A0A0A"/>
        </w:rPr>
        <w:t>as</w:t>
      </w:r>
      <w:r>
        <w:rPr>
          <w:color w:val="0A0A0A"/>
          <w:spacing w:val="-10"/>
        </w:rPr>
        <w:t> </w:t>
      </w:r>
      <w:r>
        <w:rPr>
          <w:color w:val="0A0A0A"/>
        </w:rPr>
        <w:t>recorded in</w:t>
      </w:r>
      <w:r>
        <w:rPr>
          <w:color w:val="0A0A0A"/>
          <w:spacing w:val="-16"/>
        </w:rPr>
        <w:t> </w:t>
      </w:r>
      <w:r>
        <w:rPr>
          <w:color w:val="0A0A0A"/>
        </w:rPr>
        <w:t>the</w:t>
      </w:r>
      <w:r>
        <w:rPr>
          <w:color w:val="0A0A0A"/>
          <w:spacing w:val="-1"/>
        </w:rPr>
        <w:t> </w:t>
      </w:r>
      <w:r>
        <w:rPr>
          <w:color w:val="0A0A0A"/>
        </w:rPr>
        <w:t>Balance </w:t>
      </w:r>
      <w:r>
        <w:rPr>
          <w:color w:val="1D1D1D"/>
        </w:rPr>
        <w:t>Sheet</w:t>
      </w:r>
      <w:r>
        <w:rPr>
          <w:color w:val="4D4D4D"/>
        </w:rPr>
        <w:t>;</w:t>
      </w:r>
      <w:r>
        <w:rPr>
          <w:color w:val="4D4D4D"/>
          <w:spacing w:val="-16"/>
        </w:rPr>
        <w:t> </w:t>
      </w:r>
      <w:r>
        <w:rPr>
          <w:color w:val="1D1D1D"/>
        </w:rPr>
        <w:t>however</w:t>
      </w:r>
      <w:r>
        <w:rPr>
          <w:color w:val="4D4D4D"/>
        </w:rPr>
        <w:t>,</w:t>
      </w:r>
      <w:r>
        <w:rPr>
          <w:color w:val="4D4D4D"/>
          <w:spacing w:val="-15"/>
        </w:rPr>
        <w:t> </w:t>
      </w:r>
      <w:r>
        <w:rPr>
          <w:color w:val="1D1D1D"/>
        </w:rPr>
        <w:t>the short term</w:t>
      </w:r>
      <w:r>
        <w:rPr>
          <w:color w:val="1D1D1D"/>
          <w:spacing w:val="-5"/>
        </w:rPr>
        <w:t> </w:t>
      </w:r>
      <w:r>
        <w:rPr>
          <w:color w:val="1D1D1D"/>
        </w:rPr>
        <w:t>effect of</w:t>
      </w:r>
      <w:r>
        <w:rPr>
          <w:color w:val="1D1D1D"/>
          <w:spacing w:val="-13"/>
        </w:rPr>
        <w:t> </w:t>
      </w:r>
      <w:r>
        <w:rPr>
          <w:color w:val="1D1D1D"/>
        </w:rPr>
        <w:t>this liability </w:t>
      </w:r>
      <w:r>
        <w:rPr>
          <w:color w:val="0A0A0A"/>
        </w:rPr>
        <w:t>will be minimal as </w:t>
      </w:r>
      <w:r>
        <w:rPr>
          <w:color w:val="1D1D1D"/>
        </w:rPr>
        <w:t>statutory arrangements permit the Council to reduce </w:t>
      </w:r>
      <w:r>
        <w:rPr>
          <w:color w:val="343434"/>
        </w:rPr>
        <w:t>the </w:t>
      </w:r>
      <w:r>
        <w:rPr>
          <w:color w:val="1D1D1D"/>
        </w:rPr>
        <w:t>deficit by making </w:t>
      </w:r>
      <w:r>
        <w:rPr>
          <w:color w:val="0A0A0A"/>
        </w:rPr>
        <w:t>increased contribu</w:t>
      </w:r>
      <w:r>
        <w:rPr>
          <w:color w:val="343434"/>
        </w:rPr>
        <w:t>tions </w:t>
      </w:r>
      <w:r>
        <w:rPr>
          <w:color w:val="0A0A0A"/>
        </w:rPr>
        <w:t>over </w:t>
      </w:r>
      <w:r>
        <w:rPr>
          <w:color w:val="1D1D1D"/>
        </w:rPr>
        <w:t>the </w:t>
      </w:r>
      <w:r>
        <w:rPr>
          <w:color w:val="0A0A0A"/>
        </w:rPr>
        <w:t>remaining </w:t>
      </w:r>
      <w:r>
        <w:rPr>
          <w:color w:val="1D1D1D"/>
        </w:rPr>
        <w:t>working life</w:t>
      </w:r>
      <w:r>
        <w:rPr>
          <w:color w:val="1D1D1D"/>
          <w:spacing w:val="-2"/>
        </w:rPr>
        <w:t> </w:t>
      </w:r>
      <w:r>
        <w:rPr>
          <w:color w:val="1D1D1D"/>
        </w:rPr>
        <w:t>of employees, as assessed by </w:t>
      </w:r>
      <w:r>
        <w:rPr>
          <w:color w:val="0A0A0A"/>
        </w:rPr>
        <w:t>the scheme</w:t>
      </w:r>
      <w:r>
        <w:rPr>
          <w:color w:val="343434"/>
        </w:rPr>
        <w:t>'</w:t>
      </w:r>
      <w:r>
        <w:rPr>
          <w:color w:val="0A0A0A"/>
        </w:rPr>
        <w:t>s Actuary.</w:t>
      </w:r>
    </w:p>
    <w:p>
      <w:pPr>
        <w:spacing w:after="0"/>
        <w:jc w:val="both"/>
        <w:sectPr>
          <w:headerReference w:type="even" r:id="rId203"/>
          <w:footerReference w:type="even" r:id="rId204"/>
          <w:footerReference w:type="default" r:id="rId205"/>
          <w:pgSz w:w="11910" w:h="16830"/>
          <w:pgMar w:top="820" w:right="300" w:bottom="1200" w:left="0" w:header="0" w:footer="1005"/>
          <w:pgNumType w:start="96"/>
        </w:sectPr>
      </w:pPr>
    </w:p>
    <w:p>
      <w:pPr>
        <w:tabs>
          <w:tab w:val="left" w:leader="none" w:pos="1993"/>
        </w:tabs>
        <w:spacing w:before="74"/>
        <w:ind w:left="1282" w:right="0" w:firstLine="0"/>
        <w:jc w:val="left"/>
        <w:rPr>
          <w:sz w:val="15"/>
        </w:rPr>
      </w:pPr>
      <w:r>
        <w:rPr>
          <w:color w:val="646464"/>
          <w:spacing w:val="-10"/>
          <w:sz w:val="15"/>
        </w:rPr>
        <w:t>5</w:t>
      </w:r>
      <w:r>
        <w:rPr>
          <w:color w:val="646464"/>
          <w:sz w:val="15"/>
        </w:rPr>
        <w:tab/>
        <w:t>NOTES</w:t>
      </w:r>
      <w:r>
        <w:rPr>
          <w:color w:val="646464"/>
          <w:spacing w:val="23"/>
          <w:sz w:val="15"/>
        </w:rPr>
        <w:t> </w:t>
      </w:r>
      <w:r>
        <w:rPr>
          <w:i/>
          <w:color w:val="646464"/>
          <w:sz w:val="15"/>
        </w:rPr>
        <w:t>TO</w:t>
      </w:r>
      <w:r>
        <w:rPr>
          <w:i/>
          <w:color w:val="646464"/>
          <w:spacing w:val="30"/>
          <w:sz w:val="15"/>
        </w:rPr>
        <w:t> </w:t>
      </w:r>
      <w:r>
        <w:rPr>
          <w:color w:val="646464"/>
          <w:sz w:val="15"/>
        </w:rPr>
        <w:t>THE</w:t>
      </w:r>
      <w:r>
        <w:rPr>
          <w:color w:val="646464"/>
          <w:spacing w:val="11"/>
          <w:sz w:val="15"/>
        </w:rPr>
        <w:t> </w:t>
      </w:r>
      <w:r>
        <w:rPr>
          <w:color w:val="808080"/>
          <w:spacing w:val="-2"/>
          <w:sz w:val="15"/>
        </w:rPr>
        <w:t>.ACCOUNTS</w:t>
      </w:r>
    </w:p>
    <w:p>
      <w:pPr>
        <w:pStyle w:val="BodyText"/>
        <w:spacing w:before="65"/>
        <w:rPr>
          <w:sz w:val="15"/>
        </w:rPr>
      </w:pPr>
    </w:p>
    <w:p>
      <w:pPr>
        <w:pStyle w:val="Heading3"/>
        <w:numPr>
          <w:ilvl w:val="1"/>
          <w:numId w:val="21"/>
        </w:numPr>
        <w:tabs>
          <w:tab w:val="left" w:leader="none" w:pos="2108"/>
        </w:tabs>
        <w:spacing w:before="1" w:after="0" w:line="240" w:lineRule="auto"/>
        <w:ind w:left="2108" w:right="0" w:hanging="835"/>
        <w:jc w:val="left"/>
        <w:rPr>
          <w:color w:val="646464"/>
        </w:rPr>
      </w:pPr>
      <w:r>
        <w:rPr>
          <w:color w:val="646464"/>
        </w:rPr>
        <w:t>Usable</w:t>
      </w:r>
      <w:r>
        <w:rPr>
          <w:color w:val="646464"/>
          <w:spacing w:val="-3"/>
        </w:rPr>
        <w:t> </w:t>
      </w:r>
      <w:r>
        <w:rPr>
          <w:color w:val="646464"/>
          <w:spacing w:val="-2"/>
        </w:rPr>
        <w:t>Reserves</w:t>
      </w:r>
    </w:p>
    <w:p>
      <w:pPr>
        <w:spacing w:before="241" w:line="290" w:lineRule="auto"/>
        <w:ind w:left="1270" w:right="1157" w:firstLine="1"/>
        <w:jc w:val="left"/>
        <w:rPr>
          <w:sz w:val="21"/>
        </w:rPr>
      </w:pPr>
      <w:r>
        <w:rPr>
          <w:color w:val="0F0F0F"/>
          <w:w w:val="105"/>
          <w:sz w:val="21"/>
        </w:rPr>
        <w:t>Usable Reserves are</w:t>
      </w:r>
      <w:r>
        <w:rPr>
          <w:color w:val="0F0F0F"/>
          <w:spacing w:val="-1"/>
          <w:w w:val="105"/>
          <w:sz w:val="21"/>
        </w:rPr>
        <w:t> </w:t>
      </w:r>
      <w:r>
        <w:rPr>
          <w:color w:val="0F0F0F"/>
          <w:w w:val="105"/>
          <w:sz w:val="21"/>
        </w:rPr>
        <w:t>those reserves that</w:t>
      </w:r>
      <w:r>
        <w:rPr>
          <w:color w:val="0F0F0F"/>
          <w:spacing w:val="-2"/>
          <w:w w:val="105"/>
          <w:sz w:val="21"/>
        </w:rPr>
        <w:t> </w:t>
      </w:r>
      <w:r>
        <w:rPr>
          <w:color w:val="0F0F0F"/>
          <w:w w:val="105"/>
          <w:sz w:val="21"/>
        </w:rPr>
        <w:t>the council can use</w:t>
      </w:r>
      <w:r>
        <w:rPr>
          <w:color w:val="0F0F0F"/>
          <w:spacing w:val="-4"/>
          <w:w w:val="105"/>
          <w:sz w:val="21"/>
        </w:rPr>
        <w:t> </w:t>
      </w:r>
      <w:r>
        <w:rPr>
          <w:color w:val="0F0F0F"/>
          <w:w w:val="105"/>
          <w:sz w:val="21"/>
        </w:rPr>
        <w:t>to</w:t>
      </w:r>
      <w:r>
        <w:rPr>
          <w:color w:val="0F0F0F"/>
          <w:spacing w:val="-8"/>
          <w:w w:val="105"/>
          <w:sz w:val="21"/>
        </w:rPr>
        <w:t> </w:t>
      </w:r>
      <w:r>
        <w:rPr>
          <w:color w:val="0F0F0F"/>
          <w:w w:val="105"/>
          <w:sz w:val="21"/>
        </w:rPr>
        <w:t>provide services, subject to the</w:t>
      </w:r>
      <w:r>
        <w:rPr>
          <w:color w:val="0F0F0F"/>
          <w:spacing w:val="-12"/>
          <w:w w:val="105"/>
          <w:sz w:val="21"/>
        </w:rPr>
        <w:t> </w:t>
      </w:r>
      <w:r>
        <w:rPr>
          <w:color w:val="0F0F0F"/>
          <w:w w:val="105"/>
          <w:sz w:val="21"/>
        </w:rPr>
        <w:t>need</w:t>
      </w:r>
      <w:r>
        <w:rPr>
          <w:color w:val="0F0F0F"/>
          <w:spacing w:val="-13"/>
          <w:w w:val="105"/>
          <w:sz w:val="21"/>
        </w:rPr>
        <w:t> </w:t>
      </w:r>
      <w:r>
        <w:rPr>
          <w:color w:val="0F0F0F"/>
          <w:w w:val="105"/>
          <w:sz w:val="21"/>
        </w:rPr>
        <w:t>to</w:t>
      </w:r>
      <w:r>
        <w:rPr>
          <w:color w:val="0F0F0F"/>
          <w:spacing w:val="-13"/>
          <w:w w:val="105"/>
          <w:sz w:val="21"/>
        </w:rPr>
        <w:t> </w:t>
      </w:r>
      <w:r>
        <w:rPr>
          <w:color w:val="0F0F0F"/>
          <w:w w:val="105"/>
          <w:sz w:val="21"/>
        </w:rPr>
        <w:t>maintain a</w:t>
      </w:r>
      <w:r>
        <w:rPr>
          <w:color w:val="0F0F0F"/>
          <w:spacing w:val="-16"/>
          <w:w w:val="105"/>
          <w:sz w:val="21"/>
        </w:rPr>
        <w:t> </w:t>
      </w:r>
      <w:r>
        <w:rPr>
          <w:color w:val="0F0F0F"/>
          <w:w w:val="105"/>
          <w:sz w:val="21"/>
        </w:rPr>
        <w:t>prudent level of</w:t>
      </w:r>
      <w:r>
        <w:rPr>
          <w:color w:val="0F0F0F"/>
          <w:spacing w:val="-6"/>
          <w:w w:val="105"/>
          <w:sz w:val="21"/>
        </w:rPr>
        <w:t> </w:t>
      </w:r>
      <w:r>
        <w:rPr>
          <w:color w:val="0F0F0F"/>
          <w:w w:val="105"/>
          <w:sz w:val="21"/>
        </w:rPr>
        <w:t>reserves and</w:t>
      </w:r>
      <w:r>
        <w:rPr>
          <w:color w:val="0F0F0F"/>
          <w:spacing w:val="-8"/>
          <w:w w:val="105"/>
          <w:sz w:val="21"/>
        </w:rPr>
        <w:t> </w:t>
      </w:r>
      <w:r>
        <w:rPr>
          <w:color w:val="0F0F0F"/>
          <w:w w:val="105"/>
          <w:sz w:val="21"/>
        </w:rPr>
        <w:t>any</w:t>
      </w:r>
      <w:r>
        <w:rPr>
          <w:color w:val="0F0F0F"/>
          <w:spacing w:val="-2"/>
          <w:w w:val="105"/>
          <w:sz w:val="21"/>
        </w:rPr>
        <w:t> </w:t>
      </w:r>
      <w:r>
        <w:rPr>
          <w:color w:val="0F0F0F"/>
          <w:w w:val="105"/>
          <w:sz w:val="21"/>
        </w:rPr>
        <w:t>statutory limitations on</w:t>
      </w:r>
      <w:r>
        <w:rPr>
          <w:color w:val="0F0F0F"/>
          <w:spacing w:val="-14"/>
          <w:w w:val="105"/>
          <w:sz w:val="21"/>
        </w:rPr>
        <w:t> </w:t>
      </w:r>
      <w:r>
        <w:rPr>
          <w:color w:val="0F0F0F"/>
          <w:w w:val="105"/>
          <w:sz w:val="21"/>
        </w:rPr>
        <w:t>their use</w:t>
      </w:r>
      <w:r>
        <w:rPr>
          <w:color w:val="0F0F0F"/>
          <w:spacing w:val="-6"/>
          <w:w w:val="105"/>
          <w:sz w:val="21"/>
        </w:rPr>
        <w:t> </w:t>
      </w:r>
      <w:r>
        <w:rPr>
          <w:color w:val="0F0F0F"/>
          <w:w w:val="105"/>
          <w:sz w:val="21"/>
        </w:rPr>
        <w:t>(e.g</w:t>
      </w:r>
      <w:r>
        <w:rPr>
          <w:color w:val="646464"/>
          <w:w w:val="105"/>
          <w:sz w:val="21"/>
        </w:rPr>
        <w:t>. </w:t>
      </w:r>
      <w:r>
        <w:rPr>
          <w:color w:val="0F0F0F"/>
          <w:w w:val="105"/>
          <w:sz w:val="21"/>
        </w:rPr>
        <w:t>the Capital Receipts Reserve can only be</w:t>
      </w:r>
      <w:r>
        <w:rPr>
          <w:color w:val="0F0F0F"/>
          <w:spacing w:val="-5"/>
          <w:w w:val="105"/>
          <w:sz w:val="21"/>
        </w:rPr>
        <w:t> </w:t>
      </w:r>
      <w:r>
        <w:rPr>
          <w:color w:val="0F0F0F"/>
          <w:w w:val="105"/>
          <w:sz w:val="21"/>
        </w:rPr>
        <w:t>used</w:t>
      </w:r>
      <w:r>
        <w:rPr>
          <w:color w:val="0F0F0F"/>
          <w:spacing w:val="-1"/>
          <w:w w:val="105"/>
          <w:sz w:val="21"/>
        </w:rPr>
        <w:t> </w:t>
      </w:r>
      <w:r>
        <w:rPr>
          <w:color w:val="0F0F0F"/>
          <w:w w:val="105"/>
          <w:sz w:val="21"/>
        </w:rPr>
        <w:t>to</w:t>
      </w:r>
      <w:r>
        <w:rPr>
          <w:color w:val="0F0F0F"/>
          <w:spacing w:val="-7"/>
          <w:w w:val="105"/>
          <w:sz w:val="21"/>
        </w:rPr>
        <w:t> </w:t>
      </w:r>
      <w:r>
        <w:rPr>
          <w:color w:val="0F0F0F"/>
          <w:w w:val="105"/>
          <w:sz w:val="21"/>
        </w:rPr>
        <w:t>fund capital expenditure or</w:t>
      </w:r>
      <w:r>
        <w:rPr>
          <w:color w:val="0F0F0F"/>
          <w:spacing w:val="-3"/>
          <w:w w:val="105"/>
          <w:sz w:val="21"/>
        </w:rPr>
        <w:t> </w:t>
      </w:r>
      <w:r>
        <w:rPr>
          <w:color w:val="0F0F0F"/>
          <w:w w:val="105"/>
          <w:sz w:val="21"/>
        </w:rPr>
        <w:t>to</w:t>
      </w:r>
      <w:r>
        <w:rPr>
          <w:color w:val="0F0F0F"/>
          <w:spacing w:val="-5"/>
          <w:w w:val="105"/>
          <w:sz w:val="21"/>
        </w:rPr>
        <w:t> </w:t>
      </w:r>
      <w:r>
        <w:rPr>
          <w:color w:val="0F0F0F"/>
          <w:w w:val="105"/>
          <w:sz w:val="21"/>
        </w:rPr>
        <w:t>repay debt).</w:t>
      </w:r>
    </w:p>
    <w:p>
      <w:pPr>
        <w:pStyle w:val="BodyText"/>
        <w:spacing w:before="9"/>
        <w:rPr>
          <w:sz w:val="16"/>
        </w:rPr>
      </w:pPr>
    </w:p>
    <w:tbl>
      <w:tblPr>
        <w:tblW w:w="0" w:type="auto"/>
        <w:jc w:val="left"/>
        <w:tblInd w:w="13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08"/>
        <w:gridCol w:w="5156"/>
        <w:gridCol w:w="1575"/>
        <w:gridCol w:w="1308"/>
      </w:tblGrid>
      <w:tr>
        <w:trPr>
          <w:trHeight w:val="526" w:hRule="atLeast"/>
        </w:trPr>
        <w:tc>
          <w:tcPr>
            <w:tcW w:w="1308" w:type="dxa"/>
          </w:tcPr>
          <w:p>
            <w:pPr>
              <w:pStyle w:val="TableParagraph"/>
              <w:spacing w:line="251" w:lineRule="exact"/>
              <w:ind w:left="15" w:right="49"/>
              <w:jc w:val="center"/>
              <w:rPr>
                <w:b/>
                <w:sz w:val="22"/>
              </w:rPr>
            </w:pPr>
            <w:r>
              <w:rPr>
                <w:b/>
                <w:color w:val="0F0F0F"/>
                <w:sz w:val="22"/>
              </w:rPr>
              <w:t>31</w:t>
            </w:r>
            <w:r>
              <w:rPr>
                <w:b/>
                <w:color w:val="0F0F0F"/>
                <w:spacing w:val="-8"/>
                <w:sz w:val="22"/>
              </w:rPr>
              <w:t> </w:t>
            </w:r>
            <w:r>
              <w:rPr>
                <w:b/>
                <w:color w:val="0F0F0F"/>
                <w:spacing w:val="-2"/>
                <w:sz w:val="22"/>
              </w:rPr>
              <w:t>March</w:t>
            </w:r>
          </w:p>
          <w:p>
            <w:pPr>
              <w:pStyle w:val="TableParagraph"/>
              <w:spacing w:before="1"/>
              <w:ind w:left="25" w:right="49"/>
              <w:jc w:val="center"/>
              <w:rPr>
                <w:b/>
                <w:sz w:val="22"/>
              </w:rPr>
            </w:pPr>
            <w:r>
              <w:rPr>
                <w:b/>
                <w:color w:val="0F0F0F"/>
                <w:spacing w:val="-4"/>
                <w:sz w:val="22"/>
              </w:rPr>
              <w:t>2022</w:t>
            </w:r>
          </w:p>
        </w:tc>
        <w:tc>
          <w:tcPr>
            <w:tcW w:w="5156" w:type="dxa"/>
          </w:tcPr>
          <w:p>
            <w:pPr>
              <w:pStyle w:val="TableParagraph"/>
              <w:rPr>
                <w:rFonts w:ascii="Times New Roman"/>
                <w:sz w:val="20"/>
              </w:rPr>
            </w:pPr>
          </w:p>
        </w:tc>
        <w:tc>
          <w:tcPr>
            <w:tcW w:w="1575" w:type="dxa"/>
          </w:tcPr>
          <w:p>
            <w:pPr>
              <w:pStyle w:val="TableParagraph"/>
              <w:spacing w:before="252"/>
              <w:ind w:left="409"/>
              <w:rPr>
                <w:b/>
                <w:sz w:val="22"/>
              </w:rPr>
            </w:pPr>
            <w:r>
              <w:rPr>
                <w:b/>
                <w:color w:val="0F0F0F"/>
                <w:spacing w:val="-4"/>
                <w:sz w:val="22"/>
              </w:rPr>
              <w:t>Note</w:t>
            </w:r>
          </w:p>
        </w:tc>
        <w:tc>
          <w:tcPr>
            <w:tcW w:w="1308" w:type="dxa"/>
          </w:tcPr>
          <w:p>
            <w:pPr>
              <w:pStyle w:val="TableParagraph"/>
              <w:spacing w:line="246" w:lineRule="exact"/>
              <w:ind w:right="49"/>
              <w:jc w:val="center"/>
              <w:rPr>
                <w:b/>
                <w:sz w:val="22"/>
              </w:rPr>
            </w:pPr>
            <w:r>
              <w:rPr>
                <w:b/>
                <w:color w:val="0F0F0F"/>
                <w:sz w:val="22"/>
              </w:rPr>
              <w:t>31</w:t>
            </w:r>
            <w:r>
              <w:rPr>
                <w:b/>
                <w:color w:val="0F0F0F"/>
                <w:spacing w:val="-3"/>
                <w:sz w:val="22"/>
              </w:rPr>
              <w:t> </w:t>
            </w:r>
            <w:r>
              <w:rPr>
                <w:b/>
                <w:color w:val="0F0F0F"/>
                <w:spacing w:val="-2"/>
                <w:sz w:val="22"/>
              </w:rPr>
              <w:t>March</w:t>
            </w:r>
          </w:p>
          <w:p>
            <w:pPr>
              <w:pStyle w:val="TableParagraph"/>
              <w:spacing w:before="1"/>
              <w:ind w:left="10" w:right="49"/>
              <w:jc w:val="center"/>
              <w:rPr>
                <w:b/>
                <w:sz w:val="22"/>
              </w:rPr>
            </w:pPr>
            <w:r>
              <w:rPr>
                <w:b/>
                <w:color w:val="0F0F0F"/>
                <w:spacing w:val="-4"/>
                <w:sz w:val="22"/>
              </w:rPr>
              <w:t>2023</w:t>
            </w:r>
          </w:p>
        </w:tc>
      </w:tr>
      <w:tr>
        <w:trPr>
          <w:trHeight w:val="458" w:hRule="atLeast"/>
        </w:trPr>
        <w:tc>
          <w:tcPr>
            <w:tcW w:w="1308" w:type="dxa"/>
          </w:tcPr>
          <w:p>
            <w:pPr>
              <w:pStyle w:val="TableParagraph"/>
              <w:spacing w:before="19"/>
              <w:ind w:left="392"/>
              <w:rPr>
                <w:b/>
                <w:sz w:val="22"/>
              </w:rPr>
            </w:pPr>
            <w:r>
              <w:rPr>
                <w:b/>
                <w:color w:val="0F0F0F"/>
                <w:spacing w:val="-4"/>
                <w:sz w:val="22"/>
              </w:rPr>
              <w:t>£000</w:t>
            </w:r>
          </w:p>
        </w:tc>
        <w:tc>
          <w:tcPr>
            <w:tcW w:w="5156" w:type="dxa"/>
          </w:tcPr>
          <w:p>
            <w:pPr>
              <w:pStyle w:val="TableParagraph"/>
              <w:rPr>
                <w:rFonts w:ascii="Times New Roman"/>
                <w:sz w:val="20"/>
              </w:rPr>
            </w:pPr>
          </w:p>
        </w:tc>
        <w:tc>
          <w:tcPr>
            <w:tcW w:w="1575" w:type="dxa"/>
          </w:tcPr>
          <w:p>
            <w:pPr>
              <w:pStyle w:val="TableParagraph"/>
              <w:rPr>
                <w:rFonts w:ascii="Times New Roman"/>
                <w:sz w:val="20"/>
              </w:rPr>
            </w:pPr>
          </w:p>
        </w:tc>
        <w:tc>
          <w:tcPr>
            <w:tcW w:w="1308" w:type="dxa"/>
          </w:tcPr>
          <w:p>
            <w:pPr>
              <w:pStyle w:val="TableParagraph"/>
              <w:spacing w:before="14"/>
              <w:ind w:left="392"/>
              <w:rPr>
                <w:b/>
                <w:sz w:val="22"/>
              </w:rPr>
            </w:pPr>
            <w:r>
              <w:rPr>
                <w:b/>
                <w:color w:val="0F0F0F"/>
                <w:spacing w:val="-4"/>
                <w:sz w:val="22"/>
              </w:rPr>
              <w:t>£000</w:t>
            </w:r>
          </w:p>
        </w:tc>
      </w:tr>
      <w:tr>
        <w:trPr>
          <w:trHeight w:val="486" w:hRule="atLeast"/>
        </w:trPr>
        <w:tc>
          <w:tcPr>
            <w:tcW w:w="1308" w:type="dxa"/>
          </w:tcPr>
          <w:p>
            <w:pPr>
              <w:pStyle w:val="TableParagraph"/>
              <w:spacing w:before="184"/>
              <w:ind w:right="148"/>
              <w:jc w:val="right"/>
              <w:rPr>
                <w:sz w:val="21"/>
              </w:rPr>
            </w:pPr>
            <w:r>
              <w:rPr>
                <w:color w:val="0F0F0F"/>
                <w:spacing w:val="-2"/>
                <w:sz w:val="21"/>
              </w:rPr>
              <w:t>(8,435)</w:t>
            </w:r>
          </w:p>
        </w:tc>
        <w:tc>
          <w:tcPr>
            <w:tcW w:w="5156" w:type="dxa"/>
          </w:tcPr>
          <w:p>
            <w:pPr>
              <w:pStyle w:val="TableParagraph"/>
              <w:spacing w:before="184"/>
              <w:ind w:left="541"/>
              <w:rPr>
                <w:sz w:val="21"/>
              </w:rPr>
            </w:pPr>
            <w:r>
              <w:rPr>
                <w:color w:val="0F0F0F"/>
                <w:w w:val="105"/>
                <w:sz w:val="21"/>
              </w:rPr>
              <w:t>General</w:t>
            </w:r>
            <w:r>
              <w:rPr>
                <w:color w:val="0F0F0F"/>
                <w:spacing w:val="-9"/>
                <w:w w:val="105"/>
                <w:sz w:val="21"/>
              </w:rPr>
              <w:t> </w:t>
            </w:r>
            <w:r>
              <w:rPr>
                <w:color w:val="0F0F0F"/>
                <w:spacing w:val="-4"/>
                <w:w w:val="105"/>
                <w:sz w:val="21"/>
              </w:rPr>
              <w:t>Fund</w:t>
            </w:r>
          </w:p>
        </w:tc>
        <w:tc>
          <w:tcPr>
            <w:tcW w:w="1575" w:type="dxa"/>
          </w:tcPr>
          <w:p>
            <w:pPr>
              <w:pStyle w:val="TableParagraph"/>
              <w:spacing w:before="23"/>
              <w:rPr>
                <w:sz w:val="19"/>
              </w:rPr>
            </w:pPr>
          </w:p>
          <w:p>
            <w:pPr>
              <w:pStyle w:val="TableParagraph"/>
              <w:ind w:left="383"/>
              <w:rPr>
                <w:sz w:val="19"/>
              </w:rPr>
            </w:pPr>
            <w:r>
              <w:rPr>
                <w:color w:val="0F0F0F"/>
                <w:spacing w:val="-2"/>
                <w:w w:val="105"/>
                <w:sz w:val="19"/>
              </w:rPr>
              <w:t>5.30.1</w:t>
            </w:r>
          </w:p>
        </w:tc>
        <w:tc>
          <w:tcPr>
            <w:tcW w:w="1308" w:type="dxa"/>
          </w:tcPr>
          <w:p>
            <w:pPr>
              <w:pStyle w:val="TableParagraph"/>
              <w:spacing w:before="180"/>
              <w:ind w:right="140"/>
              <w:jc w:val="right"/>
              <w:rPr>
                <w:sz w:val="21"/>
              </w:rPr>
            </w:pPr>
            <w:r>
              <w:rPr>
                <w:color w:val="0F0F0F"/>
                <w:spacing w:val="-2"/>
                <w:w w:val="105"/>
                <w:sz w:val="21"/>
              </w:rPr>
              <w:t>(8,520)</w:t>
            </w:r>
          </w:p>
        </w:tc>
      </w:tr>
      <w:tr>
        <w:trPr>
          <w:trHeight w:val="326" w:hRule="atLeast"/>
        </w:trPr>
        <w:tc>
          <w:tcPr>
            <w:tcW w:w="1308" w:type="dxa"/>
          </w:tcPr>
          <w:p>
            <w:pPr>
              <w:pStyle w:val="TableParagraph"/>
              <w:spacing w:before="19"/>
              <w:ind w:right="146"/>
              <w:jc w:val="right"/>
              <w:rPr>
                <w:sz w:val="21"/>
              </w:rPr>
            </w:pPr>
            <w:r>
              <w:rPr>
                <w:color w:val="0F0F0F"/>
                <w:spacing w:val="-2"/>
                <w:w w:val="105"/>
                <w:sz w:val="21"/>
              </w:rPr>
              <w:t>(31,842)</w:t>
            </w:r>
          </w:p>
        </w:tc>
        <w:tc>
          <w:tcPr>
            <w:tcW w:w="5156" w:type="dxa"/>
          </w:tcPr>
          <w:p>
            <w:pPr>
              <w:pStyle w:val="TableParagraph"/>
              <w:spacing w:before="19"/>
              <w:ind w:left="540"/>
              <w:rPr>
                <w:sz w:val="21"/>
              </w:rPr>
            </w:pPr>
            <w:r>
              <w:rPr>
                <w:color w:val="0F0F0F"/>
                <w:w w:val="105"/>
                <w:sz w:val="21"/>
              </w:rPr>
              <w:t>Earmarked</w:t>
            </w:r>
            <w:r>
              <w:rPr>
                <w:color w:val="0F0F0F"/>
                <w:spacing w:val="-11"/>
                <w:w w:val="105"/>
                <w:sz w:val="21"/>
              </w:rPr>
              <w:t> </w:t>
            </w:r>
            <w:r>
              <w:rPr>
                <w:color w:val="0F0F0F"/>
                <w:w w:val="105"/>
                <w:sz w:val="21"/>
              </w:rPr>
              <w:t>Reserves</w:t>
            </w:r>
            <w:r>
              <w:rPr>
                <w:color w:val="0F0F0F"/>
                <w:spacing w:val="-8"/>
                <w:w w:val="105"/>
                <w:sz w:val="21"/>
              </w:rPr>
              <w:t> </w:t>
            </w:r>
            <w:r>
              <w:rPr>
                <w:color w:val="0F0F0F"/>
                <w:w w:val="105"/>
                <w:sz w:val="21"/>
              </w:rPr>
              <w:t>(General</w:t>
            </w:r>
            <w:r>
              <w:rPr>
                <w:color w:val="0F0F0F"/>
                <w:spacing w:val="-11"/>
                <w:w w:val="105"/>
                <w:sz w:val="21"/>
              </w:rPr>
              <w:t> </w:t>
            </w:r>
            <w:r>
              <w:rPr>
                <w:color w:val="0F0F0F"/>
                <w:spacing w:val="-2"/>
                <w:w w:val="105"/>
                <w:sz w:val="21"/>
              </w:rPr>
              <w:t>Fund)</w:t>
            </w:r>
          </w:p>
        </w:tc>
        <w:tc>
          <w:tcPr>
            <w:tcW w:w="1575" w:type="dxa"/>
          </w:tcPr>
          <w:p>
            <w:pPr>
              <w:pStyle w:val="TableParagraph"/>
              <w:spacing w:before="82"/>
              <w:ind w:left="383"/>
              <w:rPr>
                <w:sz w:val="19"/>
              </w:rPr>
            </w:pPr>
            <w:r>
              <w:rPr>
                <w:color w:val="0F0F0F"/>
                <w:spacing w:val="-2"/>
                <w:w w:val="105"/>
                <w:sz w:val="19"/>
              </w:rPr>
              <w:t>5</w:t>
            </w:r>
            <w:r>
              <w:rPr>
                <w:color w:val="484848"/>
                <w:spacing w:val="-2"/>
                <w:w w:val="105"/>
                <w:sz w:val="19"/>
              </w:rPr>
              <w:t>.</w:t>
            </w:r>
            <w:r>
              <w:rPr>
                <w:color w:val="0F0F0F"/>
                <w:spacing w:val="-2"/>
                <w:w w:val="105"/>
                <w:sz w:val="19"/>
              </w:rPr>
              <w:t>30.2</w:t>
            </w:r>
          </w:p>
        </w:tc>
        <w:tc>
          <w:tcPr>
            <w:tcW w:w="1308" w:type="dxa"/>
          </w:tcPr>
          <w:p>
            <w:pPr>
              <w:pStyle w:val="TableParagraph"/>
              <w:spacing w:before="19"/>
              <w:ind w:right="150"/>
              <w:jc w:val="right"/>
              <w:rPr>
                <w:sz w:val="21"/>
              </w:rPr>
            </w:pPr>
            <w:r>
              <w:rPr>
                <w:color w:val="0F0F0F"/>
                <w:spacing w:val="-2"/>
                <w:sz w:val="21"/>
              </w:rPr>
              <w:t>(34,215)</w:t>
            </w:r>
          </w:p>
        </w:tc>
      </w:tr>
      <w:tr>
        <w:trPr>
          <w:trHeight w:val="324" w:hRule="atLeast"/>
        </w:trPr>
        <w:tc>
          <w:tcPr>
            <w:tcW w:w="1308" w:type="dxa"/>
          </w:tcPr>
          <w:p>
            <w:pPr>
              <w:pStyle w:val="TableParagraph"/>
              <w:spacing w:before="19"/>
              <w:ind w:right="142"/>
              <w:jc w:val="right"/>
              <w:rPr>
                <w:sz w:val="21"/>
              </w:rPr>
            </w:pPr>
            <w:r>
              <w:rPr>
                <w:color w:val="0F0F0F"/>
                <w:spacing w:val="-2"/>
                <w:w w:val="105"/>
                <w:sz w:val="21"/>
              </w:rPr>
              <w:t>(5,086)</w:t>
            </w:r>
          </w:p>
        </w:tc>
        <w:tc>
          <w:tcPr>
            <w:tcW w:w="5156" w:type="dxa"/>
          </w:tcPr>
          <w:p>
            <w:pPr>
              <w:pStyle w:val="TableParagraph"/>
              <w:spacing w:before="19"/>
              <w:ind w:left="542"/>
              <w:rPr>
                <w:sz w:val="21"/>
              </w:rPr>
            </w:pPr>
            <w:r>
              <w:rPr>
                <w:color w:val="0F0F0F"/>
                <w:w w:val="105"/>
                <w:sz w:val="21"/>
              </w:rPr>
              <w:t>Capital</w:t>
            </w:r>
            <w:r>
              <w:rPr>
                <w:color w:val="0F0F0F"/>
                <w:spacing w:val="-9"/>
                <w:w w:val="105"/>
                <w:sz w:val="21"/>
              </w:rPr>
              <w:t> </w:t>
            </w:r>
            <w:r>
              <w:rPr>
                <w:color w:val="0F0F0F"/>
                <w:w w:val="105"/>
                <w:sz w:val="21"/>
              </w:rPr>
              <w:t>Receipts</w:t>
            </w:r>
            <w:r>
              <w:rPr>
                <w:color w:val="0F0F0F"/>
                <w:spacing w:val="-6"/>
                <w:w w:val="105"/>
                <w:sz w:val="21"/>
              </w:rPr>
              <w:t> </w:t>
            </w:r>
            <w:r>
              <w:rPr>
                <w:color w:val="0F0F0F"/>
                <w:spacing w:val="-2"/>
                <w:w w:val="105"/>
                <w:sz w:val="21"/>
              </w:rPr>
              <w:t>Reserve</w:t>
            </w:r>
          </w:p>
        </w:tc>
        <w:tc>
          <w:tcPr>
            <w:tcW w:w="1575" w:type="dxa"/>
          </w:tcPr>
          <w:p>
            <w:pPr>
              <w:pStyle w:val="TableParagraph"/>
              <w:spacing w:before="81"/>
              <w:ind w:left="383"/>
              <w:rPr>
                <w:sz w:val="19"/>
              </w:rPr>
            </w:pPr>
            <w:r>
              <w:rPr>
                <w:color w:val="0F0F0F"/>
                <w:spacing w:val="-2"/>
                <w:w w:val="105"/>
                <w:sz w:val="19"/>
              </w:rPr>
              <w:t>5</w:t>
            </w:r>
            <w:r>
              <w:rPr>
                <w:color w:val="484848"/>
                <w:spacing w:val="-2"/>
                <w:w w:val="105"/>
                <w:sz w:val="19"/>
              </w:rPr>
              <w:t>.</w:t>
            </w:r>
            <w:r>
              <w:rPr>
                <w:color w:val="0F0F0F"/>
                <w:spacing w:val="-2"/>
                <w:w w:val="105"/>
                <w:sz w:val="19"/>
              </w:rPr>
              <w:t>30</w:t>
            </w:r>
            <w:r>
              <w:rPr>
                <w:color w:val="646464"/>
                <w:spacing w:val="-2"/>
                <w:w w:val="105"/>
                <w:sz w:val="19"/>
              </w:rPr>
              <w:t>.</w:t>
            </w:r>
            <w:r>
              <w:rPr>
                <w:color w:val="0F0F0F"/>
                <w:spacing w:val="-2"/>
                <w:w w:val="105"/>
                <w:sz w:val="19"/>
              </w:rPr>
              <w:t>3</w:t>
            </w:r>
          </w:p>
        </w:tc>
        <w:tc>
          <w:tcPr>
            <w:tcW w:w="1308" w:type="dxa"/>
          </w:tcPr>
          <w:p>
            <w:pPr>
              <w:pStyle w:val="TableParagraph"/>
              <w:spacing w:before="19"/>
              <w:ind w:right="142"/>
              <w:jc w:val="right"/>
              <w:rPr>
                <w:sz w:val="21"/>
              </w:rPr>
            </w:pPr>
            <w:r>
              <w:rPr>
                <w:color w:val="0F0F0F"/>
                <w:spacing w:val="-2"/>
                <w:w w:val="105"/>
                <w:sz w:val="21"/>
              </w:rPr>
              <w:t>(5,138)</w:t>
            </w:r>
          </w:p>
        </w:tc>
      </w:tr>
      <w:tr>
        <w:trPr>
          <w:trHeight w:val="610" w:hRule="atLeast"/>
        </w:trPr>
        <w:tc>
          <w:tcPr>
            <w:tcW w:w="1308" w:type="dxa"/>
            <w:tcBorders>
              <w:bottom w:val="single" w:color="000000" w:sz="6" w:space="0"/>
            </w:tcBorders>
          </w:tcPr>
          <w:p>
            <w:pPr>
              <w:pStyle w:val="TableParagraph"/>
              <w:spacing w:before="22"/>
              <w:ind w:right="141"/>
              <w:jc w:val="right"/>
              <w:rPr>
                <w:sz w:val="21"/>
              </w:rPr>
            </w:pPr>
            <w:r>
              <w:rPr>
                <w:color w:val="0F0F0F"/>
                <w:spacing w:val="-2"/>
                <w:w w:val="105"/>
                <w:sz w:val="21"/>
              </w:rPr>
              <w:t>(18,325)</w:t>
            </w:r>
          </w:p>
        </w:tc>
        <w:tc>
          <w:tcPr>
            <w:tcW w:w="5156" w:type="dxa"/>
          </w:tcPr>
          <w:p>
            <w:pPr>
              <w:pStyle w:val="TableParagraph"/>
              <w:spacing w:before="17"/>
              <w:ind w:left="542"/>
              <w:rPr>
                <w:sz w:val="21"/>
              </w:rPr>
            </w:pPr>
            <w:r>
              <w:rPr>
                <w:color w:val="0F0F0F"/>
                <w:w w:val="105"/>
                <w:sz w:val="21"/>
              </w:rPr>
              <w:t>Capital</w:t>
            </w:r>
            <w:r>
              <w:rPr>
                <w:color w:val="0F0F0F"/>
                <w:spacing w:val="-9"/>
                <w:w w:val="105"/>
                <w:sz w:val="21"/>
              </w:rPr>
              <w:t> </w:t>
            </w:r>
            <w:r>
              <w:rPr>
                <w:color w:val="0F0F0F"/>
                <w:w w:val="105"/>
                <w:sz w:val="21"/>
              </w:rPr>
              <w:t>Grants</w:t>
            </w:r>
            <w:r>
              <w:rPr>
                <w:color w:val="0F0F0F"/>
                <w:spacing w:val="-5"/>
                <w:w w:val="105"/>
                <w:sz w:val="21"/>
              </w:rPr>
              <w:t> </w:t>
            </w:r>
            <w:r>
              <w:rPr>
                <w:color w:val="0F0F0F"/>
                <w:w w:val="105"/>
                <w:sz w:val="21"/>
              </w:rPr>
              <w:t>and</w:t>
            </w:r>
            <w:r>
              <w:rPr>
                <w:color w:val="0F0F0F"/>
                <w:spacing w:val="-15"/>
                <w:w w:val="105"/>
                <w:sz w:val="21"/>
              </w:rPr>
              <w:t> </w:t>
            </w:r>
            <w:r>
              <w:rPr>
                <w:color w:val="0F0F0F"/>
                <w:w w:val="105"/>
                <w:sz w:val="21"/>
              </w:rPr>
              <w:t>Contributions</w:t>
            </w:r>
            <w:r>
              <w:rPr>
                <w:color w:val="0F0F0F"/>
                <w:spacing w:val="7"/>
                <w:w w:val="105"/>
                <w:sz w:val="21"/>
              </w:rPr>
              <w:t> </w:t>
            </w:r>
            <w:r>
              <w:rPr>
                <w:color w:val="0F0F0F"/>
                <w:spacing w:val="-2"/>
                <w:w w:val="105"/>
                <w:sz w:val="21"/>
              </w:rPr>
              <w:t>Unapplied</w:t>
            </w:r>
          </w:p>
        </w:tc>
        <w:tc>
          <w:tcPr>
            <w:tcW w:w="1575" w:type="dxa"/>
          </w:tcPr>
          <w:p>
            <w:pPr>
              <w:pStyle w:val="TableParagraph"/>
              <w:spacing w:before="79"/>
              <w:ind w:left="383"/>
              <w:rPr>
                <w:sz w:val="19"/>
              </w:rPr>
            </w:pPr>
            <w:r>
              <w:rPr>
                <w:color w:val="0F0F0F"/>
                <w:spacing w:val="-2"/>
                <w:w w:val="105"/>
                <w:sz w:val="19"/>
              </w:rPr>
              <w:t>5.30.4</w:t>
            </w:r>
          </w:p>
        </w:tc>
        <w:tc>
          <w:tcPr>
            <w:tcW w:w="1308" w:type="dxa"/>
            <w:tcBorders>
              <w:bottom w:val="single" w:color="000000" w:sz="6" w:space="0"/>
            </w:tcBorders>
          </w:tcPr>
          <w:p>
            <w:pPr>
              <w:pStyle w:val="TableParagraph"/>
              <w:spacing w:before="17"/>
              <w:ind w:right="142"/>
              <w:jc w:val="right"/>
              <w:rPr>
                <w:sz w:val="21"/>
              </w:rPr>
            </w:pPr>
            <w:r>
              <w:rPr>
                <w:color w:val="0F0F0F"/>
                <w:spacing w:val="-2"/>
                <w:w w:val="105"/>
                <w:sz w:val="21"/>
              </w:rPr>
              <w:t>(19,954)</w:t>
            </w:r>
          </w:p>
        </w:tc>
      </w:tr>
      <w:tr>
        <w:trPr>
          <w:trHeight w:val="298" w:hRule="atLeast"/>
        </w:trPr>
        <w:tc>
          <w:tcPr>
            <w:tcW w:w="1308" w:type="dxa"/>
            <w:tcBorders>
              <w:top w:val="single" w:color="000000" w:sz="6" w:space="0"/>
            </w:tcBorders>
          </w:tcPr>
          <w:p>
            <w:pPr>
              <w:pStyle w:val="TableParagraph"/>
              <w:spacing w:before="36" w:line="238" w:lineRule="exact"/>
              <w:ind w:right="139"/>
              <w:jc w:val="right"/>
              <w:rPr>
                <w:b/>
                <w:sz w:val="22"/>
              </w:rPr>
            </w:pPr>
            <w:r>
              <w:rPr>
                <w:b/>
                <w:color w:val="0F0F0F"/>
                <w:spacing w:val="-2"/>
                <w:sz w:val="22"/>
                <w:u w:val="thick" w:color="0F0F0F"/>
              </w:rPr>
              <w:t>(63,688)</w:t>
            </w:r>
          </w:p>
        </w:tc>
        <w:tc>
          <w:tcPr>
            <w:tcW w:w="5156" w:type="dxa"/>
          </w:tcPr>
          <w:p>
            <w:pPr>
              <w:pStyle w:val="TableParagraph"/>
              <w:spacing w:before="45" w:line="233" w:lineRule="exact"/>
              <w:ind w:left="547"/>
              <w:rPr>
                <w:b/>
                <w:sz w:val="22"/>
              </w:rPr>
            </w:pPr>
            <w:r>
              <w:rPr>
                <w:b/>
                <w:color w:val="0F0F0F"/>
                <w:spacing w:val="-2"/>
                <w:sz w:val="22"/>
              </w:rPr>
              <w:t>Total</w:t>
            </w:r>
          </w:p>
        </w:tc>
        <w:tc>
          <w:tcPr>
            <w:tcW w:w="1575" w:type="dxa"/>
          </w:tcPr>
          <w:p>
            <w:pPr>
              <w:pStyle w:val="TableParagraph"/>
              <w:rPr>
                <w:rFonts w:ascii="Times New Roman"/>
                <w:sz w:val="20"/>
              </w:rPr>
            </w:pPr>
          </w:p>
        </w:tc>
        <w:tc>
          <w:tcPr>
            <w:tcW w:w="1308" w:type="dxa"/>
            <w:tcBorders>
              <w:top w:val="single" w:color="000000" w:sz="6" w:space="0"/>
            </w:tcBorders>
          </w:tcPr>
          <w:p>
            <w:pPr>
              <w:pStyle w:val="TableParagraph"/>
              <w:spacing w:before="41" w:line="238" w:lineRule="exact"/>
              <w:ind w:right="135"/>
              <w:jc w:val="right"/>
              <w:rPr>
                <w:b/>
                <w:sz w:val="22"/>
              </w:rPr>
            </w:pPr>
            <w:r>
              <w:rPr>
                <w:b/>
                <w:color w:val="0F0F0F"/>
                <w:spacing w:val="-2"/>
                <w:sz w:val="22"/>
                <w:u w:val="thick" w:color="0F0F0F"/>
              </w:rPr>
              <w:t>(67,827)</w:t>
            </w:r>
          </w:p>
        </w:tc>
      </w:tr>
    </w:tbl>
    <w:p>
      <w:pPr>
        <w:spacing w:after="0" w:line="238" w:lineRule="exact"/>
        <w:jc w:val="right"/>
        <w:rPr>
          <w:sz w:val="22"/>
        </w:rPr>
        <w:sectPr>
          <w:headerReference w:type="default" r:id="rId206"/>
          <w:pgSz w:w="11910" w:h="16830"/>
          <w:pgMar w:top="660" w:right="300" w:bottom="1320" w:left="0" w:header="0" w:footer="0"/>
        </w:sectPr>
      </w:pPr>
    </w:p>
    <w:p>
      <w:pPr>
        <w:pStyle w:val="BodyText"/>
        <w:rPr>
          <w:sz w:val="15"/>
        </w:rPr>
      </w:pPr>
    </w:p>
    <w:p>
      <w:pPr>
        <w:pStyle w:val="BodyText"/>
        <w:rPr>
          <w:sz w:val="15"/>
        </w:rPr>
      </w:pPr>
    </w:p>
    <w:p>
      <w:pPr>
        <w:pStyle w:val="BodyText"/>
        <w:rPr>
          <w:sz w:val="15"/>
        </w:rPr>
      </w:pPr>
    </w:p>
    <w:p>
      <w:pPr>
        <w:pStyle w:val="BodyText"/>
        <w:spacing w:before="170"/>
        <w:rPr>
          <w:sz w:val="15"/>
        </w:rPr>
      </w:pPr>
    </w:p>
    <w:p>
      <w:pPr>
        <w:tabs>
          <w:tab w:val="left" w:leader="none" w:pos="2252"/>
        </w:tabs>
        <w:spacing w:before="0"/>
        <w:ind w:left="1532" w:right="0" w:firstLine="0"/>
        <w:jc w:val="left"/>
        <w:rPr>
          <w:sz w:val="15"/>
        </w:rPr>
      </w:pPr>
      <w:r>
        <w:rPr/>
        <ve:AlternateContent>
          <ve:Choice Requires="wps">
            <w:drawing>
              <wp:anchor distT="0" distB="0" distL="0" distR="0" simplePos="0" relativeHeight="15846400" behindDoc="0" locked="0" layoutInCell="1" allowOverlap="1">
                <wp:simplePos x="0" y="0"/>
                <wp:positionH relativeFrom="page">
                  <wp:posOffset>146539</wp:posOffset>
                </wp:positionH>
                <wp:positionV relativeFrom="paragraph">
                  <wp:posOffset>-551463</wp:posOffset>
                </wp:positionV>
                <wp:extent cx="1270" cy="817880"/>
                <wp:effectExtent l="0" t="0" r="0" b="0"/>
                <wp:wrapNone/>
                <wp:docPr id="548" name="Graphic 548"/>
                <wp:cNvGraphicFramePr>
                  <a:graphicFrameLocks/>
                </wp:cNvGraphicFramePr>
                <a:graphic>
                  <a:graphicData uri="http://schemas.microsoft.com/office/word/2010/wordprocessingShape">
                    <wps:wsp>
                      <wps:cNvPr id="548" name="Graphic 548"/>
                      <wps:cNvSpPr/>
                      <wps:spPr>
                        <a:xfrm>
                          <a:off x="0" y="0"/>
                          <a:ext cx="1270" cy="817880"/>
                        </a:xfrm>
                        <a:custGeom>
                          <a:avLst/>
                          <a:gdLst/>
                          <a:ahLst/>
                          <a:cxnLst/>
                          <a:rect l="l" t="t" r="r" b="b"/>
                          <a:pathLst>
                            <a:path w="0" h="817880">
                              <a:moveTo>
                                <a:pt x="0" y="817796"/>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46400" stroked="true" strokecolor="#000000" strokeweight=".721161pt" from="11.538582pt,20.971049pt" to="11.538582pt,-43.422337pt">
                <v:stroke dashstyle="solid"/>
                <w10:wrap type="none"/>
              </v:line>
            </w:pict>
          </ve:Fallback>
        </ve:AlternateContent>
      </w:r>
      <w:r>
        <w:rPr>
          <w:color w:val="646464"/>
          <w:spacing w:val="-10"/>
          <w:w w:val="105"/>
          <w:sz w:val="15"/>
        </w:rPr>
        <w:t>5</w:t>
      </w:r>
      <w:r>
        <w:rPr>
          <w:color w:val="646464"/>
          <w:sz w:val="15"/>
        </w:rPr>
        <w:tab/>
      </w:r>
      <w:r>
        <w:rPr>
          <w:color w:val="646464"/>
          <w:w w:val="105"/>
          <w:sz w:val="15"/>
        </w:rPr>
        <w:t>NOTES</w:t>
      </w:r>
      <w:r>
        <w:rPr>
          <w:color w:val="646464"/>
          <w:spacing w:val="7"/>
          <w:w w:val="105"/>
          <w:sz w:val="15"/>
        </w:rPr>
        <w:t> </w:t>
      </w:r>
      <w:r>
        <w:rPr>
          <w:color w:val="646464"/>
          <w:w w:val="105"/>
          <w:sz w:val="15"/>
        </w:rPr>
        <w:t>TO</w:t>
      </w:r>
      <w:r>
        <w:rPr>
          <w:color w:val="646464"/>
          <w:spacing w:val="4"/>
          <w:w w:val="105"/>
          <w:sz w:val="15"/>
        </w:rPr>
        <w:t> </w:t>
      </w:r>
      <w:r>
        <w:rPr>
          <w:color w:val="646464"/>
          <w:w w:val="105"/>
          <w:sz w:val="15"/>
        </w:rPr>
        <w:t>THE</w:t>
      </w:r>
      <w:r>
        <w:rPr>
          <w:color w:val="646464"/>
          <w:spacing w:val="-1"/>
          <w:w w:val="105"/>
          <w:sz w:val="15"/>
        </w:rPr>
        <w:t> </w:t>
      </w:r>
      <w:r>
        <w:rPr>
          <w:color w:val="646464"/>
          <w:spacing w:val="-2"/>
          <w:w w:val="105"/>
          <w:sz w:val="15"/>
        </w:rPr>
        <w:t>ACCOUNTS</w:t>
      </w:r>
    </w:p>
    <w:p>
      <w:pPr>
        <w:pStyle w:val="BodyText"/>
        <w:spacing w:before="65"/>
        <w:rPr>
          <w:sz w:val="15"/>
        </w:rPr>
      </w:pPr>
    </w:p>
    <w:p>
      <w:pPr>
        <w:pStyle w:val="Heading3"/>
        <w:numPr>
          <w:ilvl w:val="2"/>
          <w:numId w:val="21"/>
        </w:numPr>
        <w:tabs>
          <w:tab w:val="left" w:leader="none" w:pos="2369"/>
        </w:tabs>
        <w:spacing w:before="0" w:after="0" w:line="240" w:lineRule="auto"/>
        <w:ind w:left="2369" w:right="0" w:hanging="855"/>
        <w:jc w:val="left"/>
        <w:rPr>
          <w:color w:val="646464"/>
        </w:rPr>
      </w:pPr>
      <w:r>
        <w:rPr>
          <w:color w:val="646464"/>
        </w:rPr>
        <w:t>General</w:t>
      </w:r>
      <w:r>
        <w:rPr>
          <w:color w:val="646464"/>
          <w:spacing w:val="-13"/>
        </w:rPr>
        <w:t> </w:t>
      </w:r>
      <w:r>
        <w:rPr>
          <w:color w:val="646464"/>
          <w:spacing w:val="-4"/>
        </w:rPr>
        <w:t>Fund</w:t>
      </w:r>
    </w:p>
    <w:p>
      <w:pPr>
        <w:spacing w:before="242" w:line="252" w:lineRule="auto"/>
        <w:ind w:left="1495" w:right="891" w:firstLine="13"/>
        <w:jc w:val="both"/>
        <w:rPr>
          <w:sz w:val="21"/>
        </w:rPr>
      </w:pPr>
      <w:r>
        <w:rPr/>
        <ve:AlternateContent>
          <ve:Choice Requires="wps">
            <w:drawing>
              <wp:anchor distT="0" distB="0" distL="0" distR="0" simplePos="0" relativeHeight="15845376" behindDoc="0" locked="0" layoutInCell="1" allowOverlap="1">
                <wp:simplePos x="0" y="0"/>
                <wp:positionH relativeFrom="page">
                  <wp:posOffset>103799</wp:posOffset>
                </wp:positionH>
                <wp:positionV relativeFrom="paragraph">
                  <wp:posOffset>1773893</wp:posOffset>
                </wp:positionV>
                <wp:extent cx="1270" cy="610870"/>
                <wp:effectExtent l="0" t="0" r="0" b="0"/>
                <wp:wrapNone/>
                <wp:docPr id="549" name="Graphic 549"/>
                <wp:cNvGraphicFramePr>
                  <a:graphicFrameLocks/>
                </wp:cNvGraphicFramePr>
                <a:graphic>
                  <a:graphicData uri="http://schemas.microsoft.com/office/word/2010/wordprocessingShape">
                    <wps:wsp>
                      <wps:cNvPr id="549" name="Graphic 549"/>
                      <wps:cNvSpPr/>
                      <wps:spPr>
                        <a:xfrm>
                          <a:off x="0" y="0"/>
                          <a:ext cx="1270" cy="610870"/>
                        </a:xfrm>
                        <a:custGeom>
                          <a:avLst/>
                          <a:gdLst/>
                          <a:ahLst/>
                          <a:cxnLst/>
                          <a:rect l="l" t="t" r="r" b="b"/>
                          <a:pathLst>
                            <a:path w="0" h="610870">
                              <a:moveTo>
                                <a:pt x="0" y="610295"/>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45376" stroked="true" strokecolor="#000000" strokeweight="1.201936pt" from="8.173162pt,187.731417pt" to="8.173162pt,139.676651pt">
                <v:stroke dashstyle="solid"/>
                <w10:wrap type="none"/>
              </v:line>
            </w:pict>
          </ve:Fallback>
        </ve:AlternateContent>
      </w:r>
      <w:r>
        <w:rPr/>
        <ve:AlternateContent>
          <ve:Choice Requires="wps">
            <w:drawing>
              <wp:anchor distT="0" distB="0" distL="0" distR="0" simplePos="0" relativeHeight="15845888" behindDoc="0" locked="0" layoutInCell="1" allowOverlap="1">
                <wp:simplePos x="0" y="0"/>
                <wp:positionH relativeFrom="page">
                  <wp:posOffset>119063</wp:posOffset>
                </wp:positionH>
                <wp:positionV relativeFrom="paragraph">
                  <wp:posOffset>943891</wp:posOffset>
                </wp:positionV>
                <wp:extent cx="1270" cy="513080"/>
                <wp:effectExtent l="0" t="0" r="0" b="0"/>
                <wp:wrapNone/>
                <wp:docPr id="550" name="Graphic 550"/>
                <wp:cNvGraphicFramePr>
                  <a:graphicFrameLocks/>
                </wp:cNvGraphicFramePr>
                <a:graphic>
                  <a:graphicData uri="http://schemas.microsoft.com/office/word/2010/wordprocessingShape">
                    <wps:wsp>
                      <wps:cNvPr id="550" name="Graphic 550"/>
                      <wps:cNvSpPr/>
                      <wps:spPr>
                        <a:xfrm>
                          <a:off x="0" y="0"/>
                          <a:ext cx="1270" cy="513080"/>
                        </a:xfrm>
                        <a:custGeom>
                          <a:avLst/>
                          <a:gdLst/>
                          <a:ahLst/>
                          <a:cxnLst/>
                          <a:rect l="l" t="t" r="r" b="b"/>
                          <a:pathLst>
                            <a:path w="0" h="513080">
                              <a:moveTo>
                                <a:pt x="0" y="512648"/>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45888" stroked="true" strokecolor="#000000" strokeweight=".961549pt" from="9.375098pt,114.68817pt" to="9.375098pt,74.322166pt">
                <v:stroke dashstyle="solid"/>
                <w10:wrap type="none"/>
              </v:line>
            </w:pict>
          </ve:Fallback>
        </ve:AlternateContent>
      </w:r>
      <w:r>
        <w:rPr>
          <w:color w:val="1C1C1C"/>
          <w:w w:val="105"/>
          <w:sz w:val="21"/>
        </w:rPr>
        <w:t>The</w:t>
      </w:r>
      <w:r>
        <w:rPr>
          <w:color w:val="1C1C1C"/>
          <w:spacing w:val="-16"/>
          <w:w w:val="105"/>
          <w:sz w:val="21"/>
        </w:rPr>
        <w:t> </w:t>
      </w:r>
      <w:r>
        <w:rPr>
          <w:color w:val="1C1C1C"/>
          <w:w w:val="105"/>
          <w:sz w:val="21"/>
        </w:rPr>
        <w:t>General</w:t>
      </w:r>
      <w:r>
        <w:rPr>
          <w:color w:val="1C1C1C"/>
          <w:spacing w:val="-15"/>
          <w:w w:val="105"/>
          <w:sz w:val="21"/>
        </w:rPr>
        <w:t> </w:t>
      </w:r>
      <w:r>
        <w:rPr>
          <w:color w:val="1C1C1C"/>
          <w:w w:val="105"/>
          <w:sz w:val="21"/>
        </w:rPr>
        <w:t>Fund</w:t>
      </w:r>
      <w:r>
        <w:rPr>
          <w:color w:val="1C1C1C"/>
          <w:spacing w:val="-15"/>
          <w:w w:val="105"/>
          <w:sz w:val="21"/>
        </w:rPr>
        <w:t> </w:t>
      </w:r>
      <w:r>
        <w:rPr>
          <w:color w:val="2F2F2F"/>
          <w:w w:val="105"/>
          <w:sz w:val="21"/>
        </w:rPr>
        <w:t>represents</w:t>
      </w:r>
      <w:r>
        <w:rPr>
          <w:color w:val="2F2F2F"/>
          <w:spacing w:val="-14"/>
          <w:w w:val="105"/>
          <w:sz w:val="21"/>
        </w:rPr>
        <w:t> </w:t>
      </w:r>
      <w:r>
        <w:rPr>
          <w:color w:val="1C1C1C"/>
          <w:w w:val="105"/>
          <w:sz w:val="21"/>
        </w:rPr>
        <w:t>resources</w:t>
      </w:r>
      <w:r>
        <w:rPr>
          <w:color w:val="1C1C1C"/>
          <w:spacing w:val="-9"/>
          <w:w w:val="105"/>
          <w:sz w:val="21"/>
        </w:rPr>
        <w:t> </w:t>
      </w:r>
      <w:r>
        <w:rPr>
          <w:color w:val="1C1C1C"/>
          <w:w w:val="105"/>
          <w:sz w:val="21"/>
        </w:rPr>
        <w:t>available</w:t>
      </w:r>
      <w:r>
        <w:rPr>
          <w:color w:val="1C1C1C"/>
          <w:spacing w:val="-11"/>
          <w:w w:val="105"/>
          <w:sz w:val="21"/>
        </w:rPr>
        <w:t> </w:t>
      </w:r>
      <w:r>
        <w:rPr>
          <w:color w:val="1C1C1C"/>
          <w:w w:val="105"/>
          <w:sz w:val="21"/>
        </w:rPr>
        <w:t>to</w:t>
      </w:r>
      <w:r>
        <w:rPr>
          <w:color w:val="1C1C1C"/>
          <w:spacing w:val="-16"/>
          <w:w w:val="105"/>
          <w:sz w:val="21"/>
        </w:rPr>
        <w:t> </w:t>
      </w:r>
      <w:r>
        <w:rPr>
          <w:color w:val="1C1C1C"/>
          <w:w w:val="105"/>
          <w:sz w:val="21"/>
        </w:rPr>
        <w:t>finance</w:t>
      </w:r>
      <w:r>
        <w:rPr>
          <w:color w:val="1C1C1C"/>
          <w:spacing w:val="-15"/>
          <w:w w:val="105"/>
          <w:sz w:val="21"/>
        </w:rPr>
        <w:t> </w:t>
      </w:r>
      <w:r>
        <w:rPr>
          <w:color w:val="1C1C1C"/>
          <w:w w:val="105"/>
          <w:sz w:val="21"/>
        </w:rPr>
        <w:t>future</w:t>
      </w:r>
      <w:r>
        <w:rPr>
          <w:color w:val="1C1C1C"/>
          <w:spacing w:val="-14"/>
          <w:w w:val="105"/>
          <w:sz w:val="21"/>
        </w:rPr>
        <w:t> </w:t>
      </w:r>
      <w:r>
        <w:rPr>
          <w:color w:val="2F2F2F"/>
          <w:w w:val="105"/>
          <w:sz w:val="21"/>
        </w:rPr>
        <w:t>running</w:t>
      </w:r>
      <w:r>
        <w:rPr>
          <w:color w:val="2F2F2F"/>
          <w:spacing w:val="-9"/>
          <w:w w:val="105"/>
          <w:sz w:val="21"/>
        </w:rPr>
        <w:t> </w:t>
      </w:r>
      <w:r>
        <w:rPr>
          <w:color w:val="1C1C1C"/>
          <w:w w:val="105"/>
          <w:sz w:val="21"/>
        </w:rPr>
        <w:t>costs</w:t>
      </w:r>
      <w:r>
        <w:rPr>
          <w:color w:val="1C1C1C"/>
          <w:spacing w:val="-7"/>
          <w:w w:val="105"/>
          <w:sz w:val="21"/>
        </w:rPr>
        <w:t> </w:t>
      </w:r>
      <w:r>
        <w:rPr>
          <w:color w:val="1C1C1C"/>
          <w:w w:val="105"/>
          <w:sz w:val="21"/>
        </w:rPr>
        <w:t>of</w:t>
      </w:r>
      <w:r>
        <w:rPr>
          <w:color w:val="1C1C1C"/>
          <w:spacing w:val="-16"/>
          <w:w w:val="105"/>
          <w:sz w:val="21"/>
        </w:rPr>
        <w:t> </w:t>
      </w:r>
      <w:r>
        <w:rPr>
          <w:color w:val="1C1C1C"/>
          <w:w w:val="105"/>
          <w:sz w:val="21"/>
        </w:rPr>
        <w:t>the</w:t>
      </w:r>
      <w:r>
        <w:rPr>
          <w:color w:val="1C1C1C"/>
          <w:spacing w:val="-15"/>
          <w:w w:val="105"/>
          <w:sz w:val="21"/>
        </w:rPr>
        <w:t> </w:t>
      </w:r>
      <w:r>
        <w:rPr>
          <w:color w:val="1C1C1C"/>
          <w:w w:val="105"/>
          <w:sz w:val="21"/>
        </w:rPr>
        <w:t>Council. </w:t>
      </w:r>
      <w:r>
        <w:rPr>
          <w:color w:val="0C0C0C"/>
          <w:w w:val="105"/>
          <w:sz w:val="21"/>
        </w:rPr>
        <w:t>Any</w:t>
      </w:r>
      <w:r>
        <w:rPr>
          <w:color w:val="0C0C0C"/>
          <w:spacing w:val="-16"/>
          <w:w w:val="105"/>
          <w:sz w:val="21"/>
        </w:rPr>
        <w:t> </w:t>
      </w:r>
      <w:r>
        <w:rPr>
          <w:color w:val="1C1C1C"/>
          <w:w w:val="105"/>
          <w:sz w:val="21"/>
        </w:rPr>
        <w:t>surplus</w:t>
      </w:r>
      <w:r>
        <w:rPr>
          <w:color w:val="1C1C1C"/>
          <w:spacing w:val="-11"/>
          <w:w w:val="105"/>
          <w:sz w:val="21"/>
        </w:rPr>
        <w:t> </w:t>
      </w:r>
      <w:r>
        <w:rPr>
          <w:color w:val="1C1C1C"/>
          <w:w w:val="105"/>
          <w:sz w:val="21"/>
        </w:rPr>
        <w:t>or</w:t>
      </w:r>
      <w:r>
        <w:rPr>
          <w:color w:val="1C1C1C"/>
          <w:spacing w:val="-16"/>
          <w:w w:val="105"/>
          <w:sz w:val="21"/>
        </w:rPr>
        <w:t> </w:t>
      </w:r>
      <w:r>
        <w:rPr>
          <w:color w:val="1C1C1C"/>
          <w:w w:val="105"/>
          <w:sz w:val="21"/>
        </w:rPr>
        <w:t>deficit</w:t>
      </w:r>
      <w:r>
        <w:rPr>
          <w:color w:val="1C1C1C"/>
          <w:spacing w:val="-5"/>
          <w:w w:val="105"/>
          <w:sz w:val="21"/>
        </w:rPr>
        <w:t> </w:t>
      </w:r>
      <w:r>
        <w:rPr>
          <w:color w:val="1C1C1C"/>
          <w:w w:val="105"/>
          <w:sz w:val="21"/>
        </w:rPr>
        <w:t>arising</w:t>
      </w:r>
      <w:r>
        <w:rPr>
          <w:color w:val="1C1C1C"/>
          <w:spacing w:val="-11"/>
          <w:w w:val="105"/>
          <w:sz w:val="21"/>
        </w:rPr>
        <w:t> </w:t>
      </w:r>
      <w:r>
        <w:rPr>
          <w:color w:val="0C0C0C"/>
          <w:w w:val="105"/>
          <w:sz w:val="21"/>
        </w:rPr>
        <w:t>during</w:t>
      </w:r>
      <w:r>
        <w:rPr>
          <w:color w:val="0C0C0C"/>
          <w:spacing w:val="-16"/>
          <w:w w:val="105"/>
          <w:sz w:val="21"/>
        </w:rPr>
        <w:t> </w:t>
      </w:r>
      <w:r>
        <w:rPr>
          <w:color w:val="1C1C1C"/>
          <w:w w:val="105"/>
          <w:sz w:val="21"/>
        </w:rPr>
        <w:t>the</w:t>
      </w:r>
      <w:r>
        <w:rPr>
          <w:color w:val="1C1C1C"/>
          <w:spacing w:val="-9"/>
          <w:w w:val="105"/>
          <w:sz w:val="21"/>
        </w:rPr>
        <w:t> </w:t>
      </w:r>
      <w:r>
        <w:rPr>
          <w:color w:val="1C1C1C"/>
          <w:w w:val="105"/>
          <w:sz w:val="21"/>
        </w:rPr>
        <w:t>year</w:t>
      </w:r>
      <w:r>
        <w:rPr>
          <w:color w:val="1C1C1C"/>
          <w:spacing w:val="-14"/>
          <w:w w:val="105"/>
          <w:sz w:val="21"/>
        </w:rPr>
        <w:t> </w:t>
      </w:r>
      <w:r>
        <w:rPr>
          <w:color w:val="2F2F2F"/>
          <w:w w:val="105"/>
          <w:sz w:val="21"/>
        </w:rPr>
        <w:t>from</w:t>
      </w:r>
      <w:r>
        <w:rPr>
          <w:color w:val="2F2F2F"/>
          <w:spacing w:val="-12"/>
          <w:w w:val="105"/>
          <w:sz w:val="21"/>
        </w:rPr>
        <w:t> </w:t>
      </w:r>
      <w:r>
        <w:rPr>
          <w:color w:val="1C1C1C"/>
          <w:w w:val="105"/>
          <w:sz w:val="21"/>
        </w:rPr>
        <w:t>ordinary activities</w:t>
      </w:r>
      <w:r>
        <w:rPr>
          <w:color w:val="1C1C1C"/>
          <w:spacing w:val="-9"/>
          <w:w w:val="105"/>
          <w:sz w:val="21"/>
        </w:rPr>
        <w:t> </w:t>
      </w:r>
      <w:r>
        <w:rPr>
          <w:color w:val="2F2F2F"/>
          <w:w w:val="105"/>
          <w:sz w:val="21"/>
        </w:rPr>
        <w:t>is</w:t>
      </w:r>
      <w:r>
        <w:rPr>
          <w:color w:val="2F2F2F"/>
          <w:spacing w:val="-14"/>
          <w:w w:val="105"/>
          <w:sz w:val="21"/>
        </w:rPr>
        <w:t> </w:t>
      </w:r>
      <w:r>
        <w:rPr>
          <w:color w:val="1C1C1C"/>
          <w:w w:val="105"/>
          <w:sz w:val="21"/>
        </w:rPr>
        <w:t>transferred</w:t>
      </w:r>
      <w:r>
        <w:rPr>
          <w:color w:val="1C1C1C"/>
          <w:spacing w:val="-8"/>
          <w:w w:val="105"/>
          <w:sz w:val="21"/>
        </w:rPr>
        <w:t> </w:t>
      </w:r>
      <w:r>
        <w:rPr>
          <w:color w:val="1C1C1C"/>
          <w:w w:val="105"/>
          <w:sz w:val="21"/>
        </w:rPr>
        <w:t>to</w:t>
      </w:r>
      <w:r>
        <w:rPr>
          <w:color w:val="1C1C1C"/>
          <w:spacing w:val="-16"/>
          <w:w w:val="105"/>
          <w:sz w:val="21"/>
        </w:rPr>
        <w:t> </w:t>
      </w:r>
      <w:r>
        <w:rPr>
          <w:color w:val="1C1C1C"/>
          <w:w w:val="105"/>
          <w:sz w:val="21"/>
        </w:rPr>
        <w:t>the</w:t>
      </w:r>
      <w:r>
        <w:rPr>
          <w:color w:val="1C1C1C"/>
          <w:spacing w:val="-15"/>
          <w:w w:val="105"/>
          <w:sz w:val="21"/>
        </w:rPr>
        <w:t> </w:t>
      </w:r>
      <w:r>
        <w:rPr>
          <w:color w:val="2F2F2F"/>
          <w:w w:val="105"/>
          <w:sz w:val="21"/>
        </w:rPr>
        <w:t>reseNe, </w:t>
      </w:r>
      <w:r>
        <w:rPr>
          <w:color w:val="0C0C0C"/>
          <w:w w:val="105"/>
          <w:sz w:val="21"/>
        </w:rPr>
        <w:t>which</w:t>
      </w:r>
      <w:r>
        <w:rPr>
          <w:color w:val="0C0C0C"/>
          <w:spacing w:val="-14"/>
          <w:w w:val="105"/>
          <w:sz w:val="21"/>
        </w:rPr>
        <w:t> </w:t>
      </w:r>
      <w:r>
        <w:rPr>
          <w:color w:val="1C1C1C"/>
          <w:w w:val="105"/>
          <w:sz w:val="21"/>
        </w:rPr>
        <w:t>subsequently may</w:t>
      </w:r>
      <w:r>
        <w:rPr>
          <w:color w:val="1C1C1C"/>
          <w:spacing w:val="-1"/>
          <w:w w:val="105"/>
          <w:sz w:val="21"/>
        </w:rPr>
        <w:t> </w:t>
      </w:r>
      <w:r>
        <w:rPr>
          <w:color w:val="1C1C1C"/>
          <w:w w:val="105"/>
          <w:sz w:val="21"/>
        </w:rPr>
        <w:t>be</w:t>
      </w:r>
      <w:r>
        <w:rPr>
          <w:color w:val="1C1C1C"/>
          <w:spacing w:val="-16"/>
          <w:w w:val="105"/>
          <w:sz w:val="21"/>
        </w:rPr>
        <w:t> </w:t>
      </w:r>
      <w:r>
        <w:rPr>
          <w:color w:val="0C0C0C"/>
          <w:w w:val="105"/>
          <w:sz w:val="21"/>
        </w:rPr>
        <w:t>used</w:t>
      </w:r>
      <w:r>
        <w:rPr>
          <w:color w:val="0C0C0C"/>
          <w:spacing w:val="-6"/>
          <w:w w:val="105"/>
          <w:sz w:val="21"/>
        </w:rPr>
        <w:t> </w:t>
      </w:r>
      <w:r>
        <w:rPr>
          <w:color w:val="1C1C1C"/>
          <w:w w:val="105"/>
          <w:sz w:val="21"/>
        </w:rPr>
        <w:t>for</w:t>
      </w:r>
      <w:r>
        <w:rPr>
          <w:color w:val="1C1C1C"/>
          <w:spacing w:val="-9"/>
          <w:w w:val="105"/>
          <w:sz w:val="21"/>
        </w:rPr>
        <w:t> </w:t>
      </w:r>
      <w:r>
        <w:rPr>
          <w:color w:val="1C1C1C"/>
          <w:w w:val="105"/>
          <w:sz w:val="21"/>
        </w:rPr>
        <w:t>future</w:t>
      </w:r>
      <w:r>
        <w:rPr>
          <w:color w:val="1C1C1C"/>
          <w:spacing w:val="-11"/>
          <w:w w:val="105"/>
          <w:sz w:val="21"/>
        </w:rPr>
        <w:t> </w:t>
      </w:r>
      <w:r>
        <w:rPr>
          <w:color w:val="1C1C1C"/>
          <w:w w:val="105"/>
          <w:sz w:val="21"/>
        </w:rPr>
        <w:t>revenue or</w:t>
      </w:r>
      <w:r>
        <w:rPr>
          <w:color w:val="1C1C1C"/>
          <w:spacing w:val="-8"/>
          <w:w w:val="105"/>
          <w:sz w:val="21"/>
        </w:rPr>
        <w:t> </w:t>
      </w:r>
      <w:r>
        <w:rPr>
          <w:color w:val="1C1C1C"/>
          <w:w w:val="105"/>
          <w:sz w:val="21"/>
        </w:rPr>
        <w:t>capital</w:t>
      </w:r>
      <w:r>
        <w:rPr>
          <w:color w:val="1C1C1C"/>
          <w:spacing w:val="-12"/>
          <w:w w:val="105"/>
          <w:sz w:val="21"/>
        </w:rPr>
        <w:t> </w:t>
      </w:r>
      <w:r>
        <w:rPr>
          <w:color w:val="2F2F2F"/>
          <w:w w:val="105"/>
          <w:sz w:val="21"/>
        </w:rPr>
        <w:t>financing</w:t>
      </w:r>
      <w:r>
        <w:rPr>
          <w:color w:val="646464"/>
          <w:w w:val="105"/>
          <w:sz w:val="21"/>
        </w:rPr>
        <w:t>.</w:t>
      </w:r>
      <w:r>
        <w:rPr>
          <w:color w:val="646464"/>
          <w:spacing w:val="-16"/>
          <w:w w:val="105"/>
          <w:sz w:val="21"/>
        </w:rPr>
        <w:t> </w:t>
      </w:r>
      <w:r>
        <w:rPr>
          <w:color w:val="1C1C1C"/>
          <w:w w:val="105"/>
          <w:sz w:val="21"/>
        </w:rPr>
        <w:t>The</w:t>
      </w:r>
      <w:r>
        <w:rPr>
          <w:color w:val="1C1C1C"/>
          <w:spacing w:val="-4"/>
          <w:w w:val="105"/>
          <w:sz w:val="21"/>
        </w:rPr>
        <w:t> </w:t>
      </w:r>
      <w:r>
        <w:rPr>
          <w:color w:val="1C1C1C"/>
          <w:w w:val="105"/>
          <w:sz w:val="21"/>
        </w:rPr>
        <w:t>movements </w:t>
      </w:r>
      <w:r>
        <w:rPr>
          <w:color w:val="2F2F2F"/>
          <w:w w:val="105"/>
          <w:sz w:val="21"/>
        </w:rPr>
        <w:t>in</w:t>
      </w:r>
      <w:r>
        <w:rPr>
          <w:color w:val="2F2F2F"/>
          <w:spacing w:val="-1"/>
          <w:w w:val="105"/>
          <w:sz w:val="21"/>
        </w:rPr>
        <w:t> </w:t>
      </w:r>
      <w:r>
        <w:rPr>
          <w:color w:val="2F2F2F"/>
          <w:w w:val="105"/>
          <w:sz w:val="21"/>
        </w:rPr>
        <w:t>the </w:t>
      </w:r>
      <w:r>
        <w:rPr>
          <w:color w:val="0C0C0C"/>
          <w:w w:val="105"/>
          <w:sz w:val="21"/>
        </w:rPr>
        <w:t>reseNe during the year are summarised below and on</w:t>
      </w:r>
      <w:r>
        <w:rPr>
          <w:color w:val="0C0C0C"/>
          <w:spacing w:val="-10"/>
          <w:w w:val="105"/>
          <w:sz w:val="21"/>
        </w:rPr>
        <w:t> </w:t>
      </w:r>
      <w:r>
        <w:rPr>
          <w:color w:val="0C0C0C"/>
          <w:w w:val="105"/>
          <w:sz w:val="21"/>
        </w:rPr>
        <w:t>the</w:t>
      </w:r>
      <w:r>
        <w:rPr>
          <w:color w:val="0C0C0C"/>
          <w:spacing w:val="-5"/>
          <w:w w:val="105"/>
          <w:sz w:val="21"/>
        </w:rPr>
        <w:t> </w:t>
      </w:r>
      <w:r>
        <w:rPr>
          <w:color w:val="0C0C0C"/>
          <w:w w:val="105"/>
          <w:sz w:val="21"/>
        </w:rPr>
        <w:t>Movement </w:t>
      </w:r>
      <w:r>
        <w:rPr>
          <w:color w:val="1C1C1C"/>
          <w:w w:val="105"/>
          <w:sz w:val="21"/>
        </w:rPr>
        <w:t>in </w:t>
      </w:r>
      <w:r>
        <w:rPr>
          <w:color w:val="0C0C0C"/>
          <w:w w:val="105"/>
          <w:sz w:val="21"/>
        </w:rPr>
        <w:t>ReseNes Statement.</w:t>
      </w:r>
    </w:p>
    <w:p>
      <w:pPr>
        <w:pStyle w:val="BodyText"/>
        <w:spacing w:before="180"/>
        <w:rPr>
          <w:sz w:val="20"/>
        </w:rPr>
      </w:pPr>
      <w:r>
        <w:rPr/>
        <w:drawing>
          <wp:anchor distT="0" distB="0" distL="0" distR="0" simplePos="0" relativeHeight="487704064" behindDoc="1" locked="0" layoutInCell="1" allowOverlap="1">
            <wp:simplePos x="0" y="0"/>
            <wp:positionH relativeFrom="page">
              <wp:posOffset>85481</wp:posOffset>
            </wp:positionH>
            <wp:positionV relativeFrom="paragraph">
              <wp:posOffset>1781788</wp:posOffset>
            </wp:positionV>
            <wp:extent cx="36593" cy="524255"/>
            <wp:effectExtent l="0" t="0" r="0" b="0"/>
            <wp:wrapTopAndBottom/>
            <wp:docPr id="551" name="Image 551"/>
            <wp:cNvGraphicFramePr>
              <a:graphicFrameLocks/>
            </wp:cNvGraphicFramePr>
            <a:graphic>
              <a:graphicData uri="http://schemas.openxmlformats.org/drawingml/2006/picture">
                <pic:pic>
                  <pic:nvPicPr>
                    <pic:cNvPr id="551" name="Image 551"/>
                    <pic:cNvPicPr/>
                  </pic:nvPicPr>
                  <pic:blipFill>
                    <a:blip r:embed="rId210" cstate="print"/>
                    <a:stretch>
                      <a:fillRect/>
                    </a:stretch>
                  </pic:blipFill>
                  <pic:spPr>
                    <a:xfrm>
                      <a:off x="0" y="0"/>
                      <a:ext cx="36593" cy="524255"/>
                    </a:xfrm>
                    <a:prstGeom prst="rect">
                      <a:avLst/>
                    </a:prstGeom>
                  </pic:spPr>
                </pic:pic>
              </a:graphicData>
            </a:graphic>
          </wp:anchor>
        </w:drawing>
      </w:r>
      <w:r>
        <w:rPr/>
        <ve:AlternateContent>
          <ve:Choice Requires="wps">
            <w:drawing>
              <wp:anchor distT="0" distB="0" distL="0" distR="0" simplePos="0" relativeHeight="487587840" behindDoc="1" locked="0" layoutInCell="1" allowOverlap="1">
                <wp:simplePos x="0" y="0"/>
                <wp:positionH relativeFrom="page">
                  <wp:posOffset>976933</wp:posOffset>
                </wp:positionH>
                <wp:positionV relativeFrom="paragraph">
                  <wp:posOffset>275908</wp:posOffset>
                </wp:positionV>
                <wp:extent cx="5996305" cy="2165350"/>
                <wp:effectExtent l="0" t="0" r="0" b="0"/>
                <wp:wrapTopAndBottom/>
                <wp:docPr id="552" name="Textbox 552"/>
                <wp:cNvGraphicFramePr>
                  <a:graphicFrameLocks/>
                </wp:cNvGraphicFramePr>
                <a:graphic>
                  <a:graphicData uri="http://schemas.microsoft.com/office/word/2010/wordprocessingShape">
                    <wps:wsp>
                      <wps:cNvPr id="552" name="Textbox 552"/>
                      <wps:cNvSpPr txBox="1"/>
                      <wps:spPr>
                        <a:xfrm>
                          <a:off x="0" y="0"/>
                          <a:ext cx="5996305" cy="2165350"/>
                        </a:xfrm>
                        <a:prstGeom prst="rect">
                          <a:avLst/>
                        </a:prstGeom>
                      </wps:spPr>
                      <wps:txbx>
                        <w:txbxContent>
                          <w:tbl>
                            <w:tblPr>
                              <w:tblW w:w="0" w:type="auto"/>
                              <w:jc w:val="left"/>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27"/>
                              <w:gridCol w:w="5272"/>
                              <w:gridCol w:w="1614"/>
                              <w:gridCol w:w="1232"/>
                            </w:tblGrid>
                            <w:tr>
                              <w:trPr>
                                <w:trHeight w:val="303" w:hRule="atLeast"/>
                              </w:trPr>
                              <w:tc>
                                <w:tcPr>
                                  <w:tcW w:w="1327" w:type="dxa"/>
                                </w:tcPr>
                                <w:p>
                                  <w:pPr>
                                    <w:pStyle w:val="TableParagraph"/>
                                    <w:spacing w:line="246" w:lineRule="exact"/>
                                    <w:ind w:left="287"/>
                                    <w:rPr>
                                      <w:b/>
                                      <w:sz w:val="22"/>
                                    </w:rPr>
                                  </w:pPr>
                                  <w:r>
                                    <w:rPr>
                                      <w:b/>
                                      <w:color w:val="0C0C0C"/>
                                      <w:spacing w:val="-2"/>
                                      <w:sz w:val="22"/>
                                    </w:rPr>
                                    <w:t>2021-</w:t>
                                  </w:r>
                                  <w:r>
                                    <w:rPr>
                                      <w:b/>
                                      <w:color w:val="0C0C0C"/>
                                      <w:spacing w:val="-5"/>
                                      <w:sz w:val="22"/>
                                    </w:rPr>
                                    <w:t>22</w:t>
                                  </w:r>
                                </w:p>
                              </w:tc>
                              <w:tc>
                                <w:tcPr>
                                  <w:tcW w:w="5272" w:type="dxa"/>
                                </w:tcPr>
                                <w:p>
                                  <w:pPr>
                                    <w:pStyle w:val="TableParagraph"/>
                                    <w:rPr>
                                      <w:rFonts w:ascii="Times New Roman"/>
                                      <w:sz w:val="20"/>
                                    </w:rPr>
                                  </w:pPr>
                                </w:p>
                              </w:tc>
                              <w:tc>
                                <w:tcPr>
                                  <w:tcW w:w="1614" w:type="dxa"/>
                                </w:tcPr>
                                <w:p>
                                  <w:pPr>
                                    <w:pStyle w:val="TableParagraph"/>
                                    <w:spacing w:line="251" w:lineRule="exact"/>
                                    <w:ind w:right="338"/>
                                    <w:jc w:val="right"/>
                                    <w:rPr>
                                      <w:b/>
                                      <w:sz w:val="22"/>
                                    </w:rPr>
                                  </w:pPr>
                                  <w:r>
                                    <w:rPr>
                                      <w:b/>
                                      <w:color w:val="0C0C0C"/>
                                      <w:spacing w:val="-4"/>
                                      <w:sz w:val="22"/>
                                    </w:rPr>
                                    <w:t>Note</w:t>
                                  </w:r>
                                </w:p>
                              </w:tc>
                              <w:tc>
                                <w:tcPr>
                                  <w:tcW w:w="1232" w:type="dxa"/>
                                </w:tcPr>
                                <w:p>
                                  <w:pPr>
                                    <w:pStyle w:val="TableParagraph"/>
                                    <w:spacing w:line="251" w:lineRule="exact"/>
                                    <w:ind w:left="238"/>
                                    <w:rPr>
                                      <w:b/>
                                      <w:sz w:val="22"/>
                                    </w:rPr>
                                  </w:pPr>
                                  <w:r>
                                    <w:rPr>
                                      <w:b/>
                                      <w:color w:val="0C0C0C"/>
                                      <w:spacing w:val="-5"/>
                                      <w:sz w:val="22"/>
                                    </w:rPr>
                                    <w:t>2022-23</w:t>
                                  </w:r>
                                </w:p>
                              </w:tc>
                            </w:tr>
                            <w:tr>
                              <w:trPr>
                                <w:trHeight w:val="482" w:hRule="atLeast"/>
                              </w:trPr>
                              <w:tc>
                                <w:tcPr>
                                  <w:tcW w:w="1327" w:type="dxa"/>
                                </w:tcPr>
                                <w:p>
                                  <w:pPr>
                                    <w:pStyle w:val="TableParagraph"/>
                                    <w:spacing w:before="45"/>
                                    <w:ind w:left="436"/>
                                    <w:rPr>
                                      <w:b/>
                                      <w:sz w:val="22"/>
                                    </w:rPr>
                                  </w:pPr>
                                  <w:r>
                                    <w:rPr>
                                      <w:b/>
                                      <w:color w:val="0C0C0C"/>
                                      <w:spacing w:val="-4"/>
                                      <w:sz w:val="22"/>
                                    </w:rPr>
                                    <w:t>£000</w:t>
                                  </w:r>
                                </w:p>
                              </w:tc>
                              <w:tc>
                                <w:tcPr>
                                  <w:tcW w:w="5272" w:type="dxa"/>
                                </w:tcPr>
                                <w:p>
                                  <w:pPr>
                                    <w:pStyle w:val="TableParagraph"/>
                                    <w:rPr>
                                      <w:rFonts w:ascii="Times New Roman"/>
                                      <w:sz w:val="20"/>
                                    </w:rPr>
                                  </w:pPr>
                                </w:p>
                              </w:tc>
                              <w:tc>
                                <w:tcPr>
                                  <w:tcW w:w="1614" w:type="dxa"/>
                                </w:tcPr>
                                <w:p>
                                  <w:pPr>
                                    <w:pStyle w:val="TableParagraph"/>
                                    <w:rPr>
                                      <w:rFonts w:ascii="Times New Roman"/>
                                      <w:sz w:val="20"/>
                                    </w:rPr>
                                  </w:pPr>
                                </w:p>
                              </w:tc>
                              <w:tc>
                                <w:tcPr>
                                  <w:tcW w:w="1232" w:type="dxa"/>
                                </w:tcPr>
                                <w:p>
                                  <w:pPr>
                                    <w:pStyle w:val="TableParagraph"/>
                                    <w:spacing w:before="50"/>
                                    <w:ind w:left="386"/>
                                    <w:rPr>
                                      <w:b/>
                                      <w:sz w:val="22"/>
                                    </w:rPr>
                                  </w:pPr>
                                  <w:r>
                                    <w:rPr>
                                      <w:b/>
                                      <w:color w:val="0C0C0C"/>
                                      <w:spacing w:val="-4"/>
                                      <w:sz w:val="22"/>
                                    </w:rPr>
                                    <w:t>£000</w:t>
                                  </w:r>
                                </w:p>
                              </w:tc>
                            </w:tr>
                            <w:tr>
                              <w:trPr>
                                <w:trHeight w:val="475" w:hRule="atLeast"/>
                              </w:trPr>
                              <w:tc>
                                <w:tcPr>
                                  <w:tcW w:w="1327" w:type="dxa"/>
                                </w:tcPr>
                                <w:p>
                                  <w:pPr>
                                    <w:pStyle w:val="TableParagraph"/>
                                    <w:spacing w:before="172"/>
                                    <w:ind w:right="107"/>
                                    <w:jc w:val="right"/>
                                    <w:rPr>
                                      <w:b/>
                                      <w:sz w:val="22"/>
                                    </w:rPr>
                                  </w:pPr>
                                  <w:r>
                                    <w:rPr>
                                      <w:b/>
                                      <w:color w:val="0C0C0C"/>
                                      <w:spacing w:val="-2"/>
                                      <w:sz w:val="22"/>
                                    </w:rPr>
                                    <w:t>(8,392)</w:t>
                                  </w:r>
                                </w:p>
                              </w:tc>
                              <w:tc>
                                <w:tcPr>
                                  <w:tcW w:w="5272" w:type="dxa"/>
                                </w:tcPr>
                                <w:p>
                                  <w:pPr>
                                    <w:pStyle w:val="TableParagraph"/>
                                    <w:spacing w:before="177"/>
                                    <w:ind w:left="522"/>
                                    <w:rPr>
                                      <w:b/>
                                      <w:sz w:val="22"/>
                                    </w:rPr>
                                  </w:pPr>
                                  <w:r>
                                    <w:rPr>
                                      <w:b/>
                                      <w:color w:val="0C0C0C"/>
                                      <w:sz w:val="22"/>
                                    </w:rPr>
                                    <w:t>Balance</w:t>
                                  </w:r>
                                  <w:r>
                                    <w:rPr>
                                      <w:b/>
                                      <w:color w:val="0C0C0C"/>
                                      <w:spacing w:val="9"/>
                                      <w:sz w:val="22"/>
                                    </w:rPr>
                                    <w:t> </w:t>
                                  </w:r>
                                  <w:r>
                                    <w:rPr>
                                      <w:b/>
                                      <w:color w:val="0C0C0C"/>
                                      <w:sz w:val="22"/>
                                    </w:rPr>
                                    <w:t>at</w:t>
                                  </w:r>
                                  <w:r>
                                    <w:rPr>
                                      <w:b/>
                                      <w:color w:val="0C0C0C"/>
                                      <w:spacing w:val="-1"/>
                                      <w:sz w:val="22"/>
                                    </w:rPr>
                                    <w:t> </w:t>
                                  </w:r>
                                  <w:r>
                                    <w:rPr>
                                      <w:b/>
                                      <w:color w:val="0C0C0C"/>
                                      <w:sz w:val="22"/>
                                    </w:rPr>
                                    <w:t>1</w:t>
                                  </w:r>
                                  <w:r>
                                    <w:rPr>
                                      <w:b/>
                                      <w:color w:val="0C0C0C"/>
                                      <w:spacing w:val="-7"/>
                                      <w:sz w:val="22"/>
                                    </w:rPr>
                                    <w:t> </w:t>
                                  </w:r>
                                  <w:r>
                                    <w:rPr>
                                      <w:b/>
                                      <w:color w:val="0C0C0C"/>
                                      <w:spacing w:val="-2"/>
                                      <w:sz w:val="22"/>
                                    </w:rPr>
                                    <w:t>April</w:t>
                                  </w:r>
                                </w:p>
                              </w:tc>
                              <w:tc>
                                <w:tcPr>
                                  <w:tcW w:w="1614" w:type="dxa"/>
                                </w:tcPr>
                                <w:p>
                                  <w:pPr>
                                    <w:pStyle w:val="TableParagraph"/>
                                    <w:rPr>
                                      <w:rFonts w:ascii="Times New Roman"/>
                                      <w:sz w:val="20"/>
                                    </w:rPr>
                                  </w:pPr>
                                </w:p>
                              </w:tc>
                              <w:tc>
                                <w:tcPr>
                                  <w:tcW w:w="1232" w:type="dxa"/>
                                </w:tcPr>
                                <w:p>
                                  <w:pPr>
                                    <w:pStyle w:val="TableParagraph"/>
                                    <w:spacing w:before="177"/>
                                    <w:ind w:right="95"/>
                                    <w:jc w:val="right"/>
                                    <w:rPr>
                                      <w:b/>
                                      <w:sz w:val="22"/>
                                    </w:rPr>
                                  </w:pPr>
                                  <w:r>
                                    <w:rPr>
                                      <w:b/>
                                      <w:color w:val="0C0C0C"/>
                                      <w:spacing w:val="-2"/>
                                      <w:sz w:val="22"/>
                                    </w:rPr>
                                    <w:t>(8,435)</w:t>
                                  </w:r>
                                </w:p>
                              </w:tc>
                            </w:tr>
                            <w:tr>
                              <w:trPr>
                                <w:trHeight w:val="284" w:hRule="atLeast"/>
                              </w:trPr>
                              <w:tc>
                                <w:tcPr>
                                  <w:tcW w:w="1327" w:type="dxa"/>
                                </w:tcPr>
                                <w:p>
                                  <w:pPr>
                                    <w:pStyle w:val="TableParagraph"/>
                                    <w:spacing w:before="38" w:line="226" w:lineRule="exact"/>
                                    <w:ind w:right="125"/>
                                    <w:jc w:val="right"/>
                                    <w:rPr>
                                      <w:sz w:val="21"/>
                                    </w:rPr>
                                  </w:pPr>
                                  <w:r>
                                    <w:rPr>
                                      <w:color w:val="1C1C1C"/>
                                      <w:spacing w:val="-2"/>
                                      <w:w w:val="105"/>
                                      <w:sz w:val="21"/>
                                    </w:rPr>
                                    <w:t>(9,941)</w:t>
                                  </w:r>
                                </w:p>
                              </w:tc>
                              <w:tc>
                                <w:tcPr>
                                  <w:tcW w:w="5272" w:type="dxa"/>
                                </w:tcPr>
                                <w:p>
                                  <w:pPr>
                                    <w:pStyle w:val="TableParagraph"/>
                                    <w:spacing w:before="43" w:line="222" w:lineRule="exact"/>
                                    <w:ind w:left="520"/>
                                    <w:rPr>
                                      <w:sz w:val="21"/>
                                    </w:rPr>
                                  </w:pPr>
                                  <w:r>
                                    <w:rPr>
                                      <w:color w:val="0C0C0C"/>
                                      <w:w w:val="105"/>
                                      <w:sz w:val="21"/>
                                    </w:rPr>
                                    <w:t>(Surplus)/</w:t>
                                  </w:r>
                                  <w:r>
                                    <w:rPr>
                                      <w:color w:val="0C0C0C"/>
                                      <w:spacing w:val="16"/>
                                      <w:w w:val="105"/>
                                      <w:sz w:val="21"/>
                                    </w:rPr>
                                    <w:t> </w:t>
                                  </w:r>
                                  <w:r>
                                    <w:rPr>
                                      <w:color w:val="0C0C0C"/>
                                      <w:w w:val="105"/>
                                      <w:sz w:val="21"/>
                                    </w:rPr>
                                    <w:t>deficit</w:t>
                                  </w:r>
                                  <w:r>
                                    <w:rPr>
                                      <w:color w:val="0C0C0C"/>
                                      <w:spacing w:val="9"/>
                                      <w:w w:val="105"/>
                                      <w:sz w:val="21"/>
                                    </w:rPr>
                                    <w:t> </w:t>
                                  </w:r>
                                  <w:r>
                                    <w:rPr>
                                      <w:color w:val="0C0C0C"/>
                                      <w:w w:val="105"/>
                                      <w:sz w:val="21"/>
                                    </w:rPr>
                                    <w:t>on</w:t>
                                  </w:r>
                                  <w:r>
                                    <w:rPr>
                                      <w:color w:val="0C0C0C"/>
                                      <w:spacing w:val="-6"/>
                                      <w:w w:val="105"/>
                                      <w:sz w:val="21"/>
                                    </w:rPr>
                                    <w:t> </w:t>
                                  </w:r>
                                  <w:r>
                                    <w:rPr>
                                      <w:color w:val="0C0C0C"/>
                                      <w:w w:val="105"/>
                                      <w:sz w:val="21"/>
                                    </w:rPr>
                                    <w:t>provision</w:t>
                                  </w:r>
                                  <w:r>
                                    <w:rPr>
                                      <w:color w:val="0C0C0C"/>
                                      <w:spacing w:val="20"/>
                                      <w:w w:val="105"/>
                                      <w:sz w:val="21"/>
                                    </w:rPr>
                                    <w:t> </w:t>
                                  </w:r>
                                  <w:r>
                                    <w:rPr>
                                      <w:color w:val="0C0C0C"/>
                                      <w:w w:val="105"/>
                                      <w:sz w:val="21"/>
                                    </w:rPr>
                                    <w:t>of</w:t>
                                  </w:r>
                                  <w:r>
                                    <w:rPr>
                                      <w:color w:val="0C0C0C"/>
                                      <w:spacing w:val="7"/>
                                      <w:w w:val="105"/>
                                      <w:sz w:val="21"/>
                                    </w:rPr>
                                    <w:t> </w:t>
                                  </w:r>
                                  <w:r>
                                    <w:rPr>
                                      <w:color w:val="0C0C0C"/>
                                      <w:spacing w:val="-2"/>
                                      <w:w w:val="105"/>
                                      <w:sz w:val="21"/>
                                    </w:rPr>
                                    <w:t>seNices</w:t>
                                  </w:r>
                                </w:p>
                              </w:tc>
                              <w:tc>
                                <w:tcPr>
                                  <w:tcW w:w="1614" w:type="dxa"/>
                                </w:tcPr>
                                <w:p>
                                  <w:pPr>
                                    <w:pStyle w:val="TableParagraph"/>
                                    <w:spacing w:before="52" w:line="212" w:lineRule="exact"/>
                                    <w:ind w:left="884"/>
                                    <w:rPr>
                                      <w:sz w:val="19"/>
                                    </w:rPr>
                                  </w:pPr>
                                  <w:r>
                                    <w:rPr>
                                      <w:color w:val="0C0C0C"/>
                                      <w:spacing w:val="-5"/>
                                      <w:w w:val="105"/>
                                      <w:sz w:val="19"/>
                                    </w:rPr>
                                    <w:t>4.2</w:t>
                                  </w:r>
                                </w:p>
                              </w:tc>
                              <w:tc>
                                <w:tcPr>
                                  <w:tcW w:w="1232" w:type="dxa"/>
                                </w:tcPr>
                                <w:p>
                                  <w:pPr>
                                    <w:pStyle w:val="TableParagraph"/>
                                    <w:spacing w:before="43" w:line="222" w:lineRule="exact"/>
                                    <w:ind w:right="110"/>
                                    <w:jc w:val="right"/>
                                    <w:rPr>
                                      <w:sz w:val="21"/>
                                    </w:rPr>
                                  </w:pPr>
                                  <w:r>
                                    <w:rPr>
                                      <w:color w:val="0C0C0C"/>
                                      <w:spacing w:val="-2"/>
                                      <w:w w:val="105"/>
                                      <w:sz w:val="21"/>
                                    </w:rPr>
                                    <w:t>(9,508)</w:t>
                                  </w:r>
                                </w:p>
                              </w:tc>
                            </w:tr>
                            <w:tr>
                              <w:trPr>
                                <w:trHeight w:val="466" w:hRule="atLeast"/>
                              </w:trPr>
                              <w:tc>
                                <w:tcPr>
                                  <w:tcW w:w="9445" w:type="dxa"/>
                                  <w:gridSpan w:val="4"/>
                                </w:tcPr>
                                <w:p>
                                  <w:pPr>
                                    <w:pStyle w:val="TableParagraph"/>
                                    <w:spacing w:before="14"/>
                                    <w:rPr>
                                      <w:sz w:val="21"/>
                                    </w:rPr>
                                  </w:pPr>
                                </w:p>
                                <w:p>
                                  <w:pPr>
                                    <w:pStyle w:val="TableParagraph"/>
                                    <w:tabs>
                                      <w:tab w:val="left" w:leader="none" w:pos="1836"/>
                                      <w:tab w:val="left" w:leader="none" w:pos="7419"/>
                                      <w:tab w:val="left" w:leader="none" w:pos="8725"/>
                                    </w:tabs>
                                    <w:spacing w:line="60" w:lineRule="auto"/>
                                    <w:ind w:left="525"/>
                                    <w:rPr>
                                      <w:sz w:val="21"/>
                                    </w:rPr>
                                  </w:pPr>
                                  <w:r>
                                    <w:rPr>
                                      <w:color w:val="0C0C0C"/>
                                      <w:spacing w:val="-2"/>
                                      <w:w w:val="105"/>
                                      <w:position w:val="-11"/>
                                      <w:sz w:val="21"/>
                                    </w:rPr>
                                    <w:t>13,679</w:t>
                                  </w:r>
                                  <w:r>
                                    <w:rPr>
                                      <w:color w:val="0C0C0C"/>
                                      <w:position w:val="-11"/>
                                      <w:sz w:val="21"/>
                                    </w:rPr>
                                    <w:tab/>
                                  </w:r>
                                  <w:r>
                                    <w:rPr>
                                      <w:color w:val="0C0C0C"/>
                                      <w:w w:val="105"/>
                                      <w:sz w:val="21"/>
                                    </w:rPr>
                                    <w:t>Adjustments</w:t>
                                  </w:r>
                                  <w:r>
                                    <w:rPr>
                                      <w:color w:val="0C0C0C"/>
                                      <w:spacing w:val="5"/>
                                      <w:w w:val="105"/>
                                      <w:sz w:val="21"/>
                                    </w:rPr>
                                    <w:t> </w:t>
                                  </w:r>
                                  <w:r>
                                    <w:rPr>
                                      <w:color w:val="0C0C0C"/>
                                      <w:w w:val="105"/>
                                      <w:sz w:val="21"/>
                                    </w:rPr>
                                    <w:t>between</w:t>
                                  </w:r>
                                  <w:r>
                                    <w:rPr>
                                      <w:color w:val="0C0C0C"/>
                                      <w:spacing w:val="-3"/>
                                      <w:w w:val="105"/>
                                      <w:sz w:val="21"/>
                                    </w:rPr>
                                    <w:t> </w:t>
                                  </w:r>
                                  <w:r>
                                    <w:rPr>
                                      <w:color w:val="0C0C0C"/>
                                      <w:w w:val="105"/>
                                      <w:sz w:val="21"/>
                                    </w:rPr>
                                    <w:t>accounting</w:t>
                                  </w:r>
                                  <w:r>
                                    <w:rPr>
                                      <w:color w:val="0C0C0C"/>
                                      <w:spacing w:val="-1"/>
                                      <w:w w:val="105"/>
                                      <w:sz w:val="21"/>
                                    </w:rPr>
                                    <w:t> </w:t>
                                  </w:r>
                                  <w:r>
                                    <w:rPr>
                                      <w:color w:val="0C0C0C"/>
                                      <w:w w:val="105"/>
                                      <w:sz w:val="21"/>
                                    </w:rPr>
                                    <w:t>basis</w:t>
                                  </w:r>
                                  <w:r>
                                    <w:rPr>
                                      <w:color w:val="0C0C0C"/>
                                      <w:spacing w:val="-7"/>
                                      <w:w w:val="105"/>
                                      <w:sz w:val="21"/>
                                    </w:rPr>
                                    <w:t> </w:t>
                                  </w:r>
                                  <w:r>
                                    <w:rPr>
                                      <w:color w:val="0C0C0C"/>
                                      <w:w w:val="105"/>
                                      <w:sz w:val="21"/>
                                    </w:rPr>
                                    <w:t>and</w:t>
                                  </w:r>
                                  <w:r>
                                    <w:rPr>
                                      <w:color w:val="0C0C0C"/>
                                      <w:spacing w:val="-16"/>
                                      <w:w w:val="105"/>
                                      <w:sz w:val="21"/>
                                    </w:rPr>
                                    <w:t> </w:t>
                                  </w:r>
                                  <w:r>
                                    <w:rPr>
                                      <w:color w:val="0C0C0C"/>
                                      <w:spacing w:val="-2"/>
                                      <w:w w:val="105"/>
                                      <w:sz w:val="21"/>
                                    </w:rPr>
                                    <w:t>funding</w:t>
                                  </w:r>
                                  <w:r>
                                    <w:rPr>
                                      <w:color w:val="0C0C0C"/>
                                      <w:sz w:val="21"/>
                                    </w:rPr>
                                    <w:tab/>
                                  </w:r>
                                  <w:r>
                                    <w:rPr>
                                      <w:color w:val="0C0C0C"/>
                                      <w:spacing w:val="-4"/>
                                      <w:w w:val="105"/>
                                      <w:position w:val="-11"/>
                                      <w:sz w:val="19"/>
                                    </w:rPr>
                                    <w:t>5.14</w:t>
                                  </w:r>
                                  <w:r>
                                    <w:rPr>
                                      <w:color w:val="0C0C0C"/>
                                      <w:position w:val="-11"/>
                                      <w:sz w:val="19"/>
                                    </w:rPr>
                                    <w:tab/>
                                  </w:r>
                                  <w:r>
                                    <w:rPr>
                                      <w:color w:val="0C0C0C"/>
                                      <w:spacing w:val="-2"/>
                                      <w:w w:val="105"/>
                                      <w:position w:val="-12"/>
                                      <w:sz w:val="21"/>
                                    </w:rPr>
                                    <w:t>7,050</w:t>
                                  </w:r>
                                </w:p>
                              </w:tc>
                            </w:tr>
                            <w:tr>
                              <w:trPr>
                                <w:trHeight w:val="340" w:hRule="atLeast"/>
                              </w:trPr>
                              <w:tc>
                                <w:tcPr>
                                  <w:tcW w:w="1327" w:type="dxa"/>
                                </w:tcPr>
                                <w:p>
                                  <w:pPr>
                                    <w:pStyle w:val="TableParagraph"/>
                                    <w:rPr>
                                      <w:rFonts w:ascii="Times New Roman"/>
                                      <w:sz w:val="20"/>
                                    </w:rPr>
                                  </w:pPr>
                                </w:p>
                              </w:tc>
                              <w:tc>
                                <w:tcPr>
                                  <w:tcW w:w="5272" w:type="dxa"/>
                                </w:tcPr>
                                <w:p>
                                  <w:pPr>
                                    <w:pStyle w:val="TableParagraph"/>
                                    <w:spacing w:line="235" w:lineRule="exact"/>
                                    <w:ind w:left="510"/>
                                    <w:rPr>
                                      <w:sz w:val="21"/>
                                    </w:rPr>
                                  </w:pPr>
                                  <w:r>
                                    <w:rPr>
                                      <w:color w:val="0C0C0C"/>
                                      <w:w w:val="105"/>
                                      <w:sz w:val="21"/>
                                    </w:rPr>
                                    <w:t>basis</w:t>
                                  </w:r>
                                  <w:r>
                                    <w:rPr>
                                      <w:color w:val="0C0C0C"/>
                                      <w:spacing w:val="5"/>
                                      <w:w w:val="105"/>
                                      <w:sz w:val="21"/>
                                    </w:rPr>
                                    <w:t> </w:t>
                                  </w:r>
                                  <w:r>
                                    <w:rPr>
                                      <w:color w:val="1C1C1C"/>
                                      <w:w w:val="105"/>
                                      <w:sz w:val="21"/>
                                    </w:rPr>
                                    <w:t>under</w:t>
                                  </w:r>
                                  <w:r>
                                    <w:rPr>
                                      <w:color w:val="1C1C1C"/>
                                      <w:spacing w:val="-2"/>
                                      <w:w w:val="105"/>
                                      <w:sz w:val="21"/>
                                    </w:rPr>
                                    <w:t> </w:t>
                                  </w:r>
                                  <w:r>
                                    <w:rPr>
                                      <w:color w:val="0C0C0C"/>
                                      <w:spacing w:val="-2"/>
                                      <w:w w:val="105"/>
                                      <w:sz w:val="21"/>
                                    </w:rPr>
                                    <w:t>regulation</w:t>
                                  </w:r>
                                </w:p>
                              </w:tc>
                              <w:tc>
                                <w:tcPr>
                                  <w:tcW w:w="1614" w:type="dxa"/>
                                </w:tcPr>
                                <w:p>
                                  <w:pPr>
                                    <w:pStyle w:val="TableParagraph"/>
                                    <w:rPr>
                                      <w:rFonts w:ascii="Times New Roman"/>
                                      <w:sz w:val="20"/>
                                    </w:rPr>
                                  </w:pPr>
                                </w:p>
                              </w:tc>
                              <w:tc>
                                <w:tcPr>
                                  <w:tcW w:w="1232" w:type="dxa"/>
                                </w:tcPr>
                                <w:p>
                                  <w:pPr>
                                    <w:pStyle w:val="TableParagraph"/>
                                    <w:rPr>
                                      <w:rFonts w:ascii="Times New Roman"/>
                                      <w:sz w:val="20"/>
                                    </w:rPr>
                                  </w:pPr>
                                </w:p>
                              </w:tc>
                            </w:tr>
                            <w:tr>
                              <w:trPr>
                                <w:trHeight w:val="697" w:hRule="atLeast"/>
                              </w:trPr>
                              <w:tc>
                                <w:tcPr>
                                  <w:tcW w:w="1327" w:type="dxa"/>
                                  <w:tcBorders>
                                    <w:bottom w:val="single" w:color="000000" w:sz="4" w:space="0"/>
                                  </w:tcBorders>
                                </w:tcPr>
                                <w:p>
                                  <w:pPr>
                                    <w:pStyle w:val="TableParagraph"/>
                                    <w:spacing w:before="99"/>
                                    <w:ind w:right="135"/>
                                    <w:jc w:val="right"/>
                                    <w:rPr>
                                      <w:sz w:val="21"/>
                                    </w:rPr>
                                  </w:pPr>
                                  <w:r>
                                    <w:rPr>
                                      <w:color w:val="1C1C1C"/>
                                      <w:spacing w:val="-2"/>
                                      <w:w w:val="105"/>
                                      <w:sz w:val="21"/>
                                    </w:rPr>
                                    <w:t>(3,781)</w:t>
                                  </w:r>
                                </w:p>
                              </w:tc>
                              <w:tc>
                                <w:tcPr>
                                  <w:tcW w:w="5272" w:type="dxa"/>
                                </w:tcPr>
                                <w:p>
                                  <w:pPr>
                                    <w:pStyle w:val="TableParagraph"/>
                                    <w:spacing w:before="104"/>
                                    <w:ind w:left="509"/>
                                    <w:rPr>
                                      <w:sz w:val="21"/>
                                    </w:rPr>
                                  </w:pPr>
                                  <w:r>
                                    <w:rPr>
                                      <w:color w:val="0C0C0C"/>
                                      <w:w w:val="105"/>
                                      <w:sz w:val="21"/>
                                    </w:rPr>
                                    <w:t>Transfers</w:t>
                                  </w:r>
                                  <w:r>
                                    <w:rPr>
                                      <w:color w:val="0C0C0C"/>
                                      <w:spacing w:val="3"/>
                                      <w:w w:val="105"/>
                                      <w:sz w:val="21"/>
                                    </w:rPr>
                                    <w:t> </w:t>
                                  </w:r>
                                  <w:r>
                                    <w:rPr>
                                      <w:color w:val="0C0C0C"/>
                                      <w:w w:val="105"/>
                                      <w:sz w:val="21"/>
                                    </w:rPr>
                                    <w:t>to</w:t>
                                  </w:r>
                                  <w:r>
                                    <w:rPr>
                                      <w:color w:val="0C0C0C"/>
                                      <w:spacing w:val="-12"/>
                                      <w:w w:val="105"/>
                                      <w:sz w:val="21"/>
                                    </w:rPr>
                                    <w:t> </w:t>
                                  </w:r>
                                  <w:r>
                                    <w:rPr>
                                      <w:color w:val="0C0C0C"/>
                                      <w:w w:val="105"/>
                                      <w:sz w:val="21"/>
                                    </w:rPr>
                                    <w:t>(from)</w:t>
                                  </w:r>
                                  <w:r>
                                    <w:rPr>
                                      <w:color w:val="0C0C0C"/>
                                      <w:spacing w:val="-5"/>
                                      <w:w w:val="105"/>
                                      <w:sz w:val="21"/>
                                    </w:rPr>
                                    <w:t> </w:t>
                                  </w:r>
                                  <w:r>
                                    <w:rPr>
                                      <w:color w:val="0C0C0C"/>
                                      <w:w w:val="105"/>
                                      <w:sz w:val="21"/>
                                    </w:rPr>
                                    <w:t>earmarked</w:t>
                                  </w:r>
                                  <w:r>
                                    <w:rPr>
                                      <w:color w:val="0C0C0C"/>
                                      <w:spacing w:val="-3"/>
                                      <w:w w:val="105"/>
                                      <w:sz w:val="21"/>
                                    </w:rPr>
                                    <w:t> </w:t>
                                  </w:r>
                                  <w:r>
                                    <w:rPr>
                                      <w:color w:val="0C0C0C"/>
                                      <w:spacing w:val="-2"/>
                                      <w:w w:val="105"/>
                                      <w:sz w:val="21"/>
                                    </w:rPr>
                                    <w:t>reseNes</w:t>
                                  </w:r>
                                </w:p>
                              </w:tc>
                              <w:tc>
                                <w:tcPr>
                                  <w:tcW w:w="1614" w:type="dxa"/>
                                </w:tcPr>
                                <w:p>
                                  <w:pPr>
                                    <w:pStyle w:val="TableParagraph"/>
                                    <w:spacing w:before="113"/>
                                    <w:ind w:right="327"/>
                                    <w:jc w:val="right"/>
                                    <w:rPr>
                                      <w:sz w:val="19"/>
                                    </w:rPr>
                                  </w:pPr>
                                  <w:r>
                                    <w:rPr>
                                      <w:color w:val="0C0C0C"/>
                                      <w:spacing w:val="-2"/>
                                      <w:w w:val="105"/>
                                      <w:sz w:val="19"/>
                                    </w:rPr>
                                    <w:t>5.30.2</w:t>
                                  </w:r>
                                </w:p>
                              </w:tc>
                              <w:tc>
                                <w:tcPr>
                                  <w:tcW w:w="1232" w:type="dxa"/>
                                  <w:tcBorders>
                                    <w:bottom w:val="single" w:color="000000" w:sz="6" w:space="0"/>
                                  </w:tcBorders>
                                </w:tcPr>
                                <w:p>
                                  <w:pPr>
                                    <w:pStyle w:val="TableParagraph"/>
                                    <w:spacing w:before="104"/>
                                    <w:ind w:right="176"/>
                                    <w:jc w:val="right"/>
                                    <w:rPr>
                                      <w:sz w:val="21"/>
                                    </w:rPr>
                                  </w:pPr>
                                  <w:r>
                                    <w:rPr>
                                      <w:color w:val="0C0C0C"/>
                                      <w:spacing w:val="-4"/>
                                      <w:w w:val="105"/>
                                      <w:sz w:val="21"/>
                                    </w:rPr>
                                    <w:t>2,373</w:t>
                                  </w:r>
                                </w:p>
                              </w:tc>
                            </w:tr>
                            <w:tr>
                              <w:trPr>
                                <w:trHeight w:val="343" w:hRule="atLeast"/>
                              </w:trPr>
                              <w:tc>
                                <w:tcPr>
                                  <w:tcW w:w="1327" w:type="dxa"/>
                                  <w:tcBorders>
                                    <w:top w:val="single" w:color="000000" w:sz="4" w:space="0"/>
                                  </w:tcBorders>
                                </w:tcPr>
                                <w:p>
                                  <w:pPr>
                                    <w:pStyle w:val="TableParagraph"/>
                                    <w:spacing w:before="36"/>
                                    <w:ind w:right="134"/>
                                    <w:jc w:val="right"/>
                                    <w:rPr>
                                      <w:b/>
                                      <w:sz w:val="22"/>
                                    </w:rPr>
                                  </w:pPr>
                                  <w:r>
                                    <w:rPr>
                                      <w:b/>
                                      <w:color w:val="0C0C0C"/>
                                      <w:spacing w:val="-2"/>
                                      <w:sz w:val="22"/>
                                    </w:rPr>
                                    <w:t>(8,435)</w:t>
                                  </w:r>
                                </w:p>
                              </w:tc>
                              <w:tc>
                                <w:tcPr>
                                  <w:tcW w:w="5272" w:type="dxa"/>
                                </w:tcPr>
                                <w:p>
                                  <w:pPr>
                                    <w:pStyle w:val="TableParagraph"/>
                                    <w:spacing w:before="36"/>
                                    <w:ind w:left="495"/>
                                    <w:rPr>
                                      <w:b/>
                                      <w:sz w:val="22"/>
                                    </w:rPr>
                                  </w:pPr>
                                  <w:r>
                                    <w:rPr>
                                      <w:b/>
                                      <w:color w:val="0C0C0C"/>
                                      <w:spacing w:val="-2"/>
                                      <w:sz w:val="22"/>
                                    </w:rPr>
                                    <w:t>Total</w:t>
                                  </w:r>
                                </w:p>
                              </w:tc>
                              <w:tc>
                                <w:tcPr>
                                  <w:tcW w:w="1614" w:type="dxa"/>
                                </w:tcPr>
                                <w:p>
                                  <w:pPr>
                                    <w:pStyle w:val="TableParagraph"/>
                                    <w:rPr>
                                      <w:rFonts w:ascii="Times New Roman"/>
                                      <w:sz w:val="20"/>
                                    </w:rPr>
                                  </w:pPr>
                                </w:p>
                              </w:tc>
                              <w:tc>
                                <w:tcPr>
                                  <w:tcW w:w="1232" w:type="dxa"/>
                                  <w:tcBorders>
                                    <w:top w:val="single" w:color="000000" w:sz="6" w:space="0"/>
                                  </w:tcBorders>
                                </w:tcPr>
                                <w:p>
                                  <w:pPr>
                                    <w:pStyle w:val="TableParagraph"/>
                                    <w:spacing w:before="36"/>
                                    <w:ind w:right="116"/>
                                    <w:jc w:val="right"/>
                                    <w:rPr>
                                      <w:b/>
                                      <w:sz w:val="22"/>
                                    </w:rPr>
                                  </w:pPr>
                                  <w:r>
                                    <w:rPr>
                                      <w:b/>
                                      <w:color w:val="0C0C0C"/>
                                      <w:spacing w:val="-2"/>
                                      <w:sz w:val="22"/>
                                    </w:rPr>
                                    <w:t>(8,520)</w:t>
                                  </w:r>
                                </w:p>
                              </w:tc>
                            </w:tr>
                          </w:tbl>
                          <w:p>
                            <w:pPr>
                              <w:pStyle w:val="BodyText"/>
                            </w:pPr>
                          </w:p>
                        </w:txbxContent>
                      </wps:txbx>
                      <wps:bodyPr wrap="square" lIns="0" tIns="0" rIns="0" bIns="0" rtlCol="0">
                        <a:noAutofit/>
                      </wps:bodyPr>
                    </wps:wsp>
                  </a:graphicData>
                </a:graphic>
              </wp:anchor>
            </w:drawing>
          </ve:Choice>
          <ve:Fallback>
            <w:pict>
              <v:shape id="docshape365" style="position:absolute;margin-left:76.923882pt;margin-top:21.725105pt;width:472.15pt;height:170.5pt;mso-position-horizontal-relative:page;mso-position-vertical-relative:paragraph;z-index:-15728640;mso-wrap-distance-left:0;mso-wrap-distance-right:0" filled="false" stroked="false" type="#_x0000_t202">
                <v:textbox inset="0,0,0,0">
                  <w:txbxContent>
                    <w:tbl>
                      <w:tblPr>
                        <w:tblW w:w="0" w:type="auto"/>
                        <w:jc w:val="left"/>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27"/>
                        <w:gridCol w:w="5272"/>
                        <w:gridCol w:w="1614"/>
                        <w:gridCol w:w="1232"/>
                      </w:tblGrid>
                      <w:tr>
                        <w:trPr>
                          <w:trHeight w:val="303" w:hRule="atLeast"/>
                        </w:trPr>
                        <w:tc>
                          <w:tcPr>
                            <w:tcW w:w="1327" w:type="dxa"/>
                          </w:tcPr>
                          <w:p>
                            <w:pPr>
                              <w:pStyle w:val="TableParagraph"/>
                              <w:spacing w:line="246" w:lineRule="exact"/>
                              <w:ind w:left="287"/>
                              <w:rPr>
                                <w:b/>
                                <w:sz w:val="22"/>
                              </w:rPr>
                            </w:pPr>
                            <w:r>
                              <w:rPr>
                                <w:b/>
                                <w:color w:val="0C0C0C"/>
                                <w:spacing w:val="-2"/>
                                <w:sz w:val="22"/>
                              </w:rPr>
                              <w:t>2021-</w:t>
                            </w:r>
                            <w:r>
                              <w:rPr>
                                <w:b/>
                                <w:color w:val="0C0C0C"/>
                                <w:spacing w:val="-5"/>
                                <w:sz w:val="22"/>
                              </w:rPr>
                              <w:t>22</w:t>
                            </w:r>
                          </w:p>
                        </w:tc>
                        <w:tc>
                          <w:tcPr>
                            <w:tcW w:w="5272" w:type="dxa"/>
                          </w:tcPr>
                          <w:p>
                            <w:pPr>
                              <w:pStyle w:val="TableParagraph"/>
                              <w:rPr>
                                <w:rFonts w:ascii="Times New Roman"/>
                                <w:sz w:val="20"/>
                              </w:rPr>
                            </w:pPr>
                          </w:p>
                        </w:tc>
                        <w:tc>
                          <w:tcPr>
                            <w:tcW w:w="1614" w:type="dxa"/>
                          </w:tcPr>
                          <w:p>
                            <w:pPr>
                              <w:pStyle w:val="TableParagraph"/>
                              <w:spacing w:line="251" w:lineRule="exact"/>
                              <w:ind w:right="338"/>
                              <w:jc w:val="right"/>
                              <w:rPr>
                                <w:b/>
                                <w:sz w:val="22"/>
                              </w:rPr>
                            </w:pPr>
                            <w:r>
                              <w:rPr>
                                <w:b/>
                                <w:color w:val="0C0C0C"/>
                                <w:spacing w:val="-4"/>
                                <w:sz w:val="22"/>
                              </w:rPr>
                              <w:t>Note</w:t>
                            </w:r>
                          </w:p>
                        </w:tc>
                        <w:tc>
                          <w:tcPr>
                            <w:tcW w:w="1232" w:type="dxa"/>
                          </w:tcPr>
                          <w:p>
                            <w:pPr>
                              <w:pStyle w:val="TableParagraph"/>
                              <w:spacing w:line="251" w:lineRule="exact"/>
                              <w:ind w:left="238"/>
                              <w:rPr>
                                <w:b/>
                                <w:sz w:val="22"/>
                              </w:rPr>
                            </w:pPr>
                            <w:r>
                              <w:rPr>
                                <w:b/>
                                <w:color w:val="0C0C0C"/>
                                <w:spacing w:val="-5"/>
                                <w:sz w:val="22"/>
                              </w:rPr>
                              <w:t>2022-23</w:t>
                            </w:r>
                          </w:p>
                        </w:tc>
                      </w:tr>
                      <w:tr>
                        <w:trPr>
                          <w:trHeight w:val="482" w:hRule="atLeast"/>
                        </w:trPr>
                        <w:tc>
                          <w:tcPr>
                            <w:tcW w:w="1327" w:type="dxa"/>
                          </w:tcPr>
                          <w:p>
                            <w:pPr>
                              <w:pStyle w:val="TableParagraph"/>
                              <w:spacing w:before="45"/>
                              <w:ind w:left="436"/>
                              <w:rPr>
                                <w:b/>
                                <w:sz w:val="22"/>
                              </w:rPr>
                            </w:pPr>
                            <w:r>
                              <w:rPr>
                                <w:b/>
                                <w:color w:val="0C0C0C"/>
                                <w:spacing w:val="-4"/>
                                <w:sz w:val="22"/>
                              </w:rPr>
                              <w:t>£000</w:t>
                            </w:r>
                          </w:p>
                        </w:tc>
                        <w:tc>
                          <w:tcPr>
                            <w:tcW w:w="5272" w:type="dxa"/>
                          </w:tcPr>
                          <w:p>
                            <w:pPr>
                              <w:pStyle w:val="TableParagraph"/>
                              <w:rPr>
                                <w:rFonts w:ascii="Times New Roman"/>
                                <w:sz w:val="20"/>
                              </w:rPr>
                            </w:pPr>
                          </w:p>
                        </w:tc>
                        <w:tc>
                          <w:tcPr>
                            <w:tcW w:w="1614" w:type="dxa"/>
                          </w:tcPr>
                          <w:p>
                            <w:pPr>
                              <w:pStyle w:val="TableParagraph"/>
                              <w:rPr>
                                <w:rFonts w:ascii="Times New Roman"/>
                                <w:sz w:val="20"/>
                              </w:rPr>
                            </w:pPr>
                          </w:p>
                        </w:tc>
                        <w:tc>
                          <w:tcPr>
                            <w:tcW w:w="1232" w:type="dxa"/>
                          </w:tcPr>
                          <w:p>
                            <w:pPr>
                              <w:pStyle w:val="TableParagraph"/>
                              <w:spacing w:before="50"/>
                              <w:ind w:left="386"/>
                              <w:rPr>
                                <w:b/>
                                <w:sz w:val="22"/>
                              </w:rPr>
                            </w:pPr>
                            <w:r>
                              <w:rPr>
                                <w:b/>
                                <w:color w:val="0C0C0C"/>
                                <w:spacing w:val="-4"/>
                                <w:sz w:val="22"/>
                              </w:rPr>
                              <w:t>£000</w:t>
                            </w:r>
                          </w:p>
                        </w:tc>
                      </w:tr>
                      <w:tr>
                        <w:trPr>
                          <w:trHeight w:val="475" w:hRule="atLeast"/>
                        </w:trPr>
                        <w:tc>
                          <w:tcPr>
                            <w:tcW w:w="1327" w:type="dxa"/>
                          </w:tcPr>
                          <w:p>
                            <w:pPr>
                              <w:pStyle w:val="TableParagraph"/>
                              <w:spacing w:before="172"/>
                              <w:ind w:right="107"/>
                              <w:jc w:val="right"/>
                              <w:rPr>
                                <w:b/>
                                <w:sz w:val="22"/>
                              </w:rPr>
                            </w:pPr>
                            <w:r>
                              <w:rPr>
                                <w:b/>
                                <w:color w:val="0C0C0C"/>
                                <w:spacing w:val="-2"/>
                                <w:sz w:val="22"/>
                              </w:rPr>
                              <w:t>(8,392)</w:t>
                            </w:r>
                          </w:p>
                        </w:tc>
                        <w:tc>
                          <w:tcPr>
                            <w:tcW w:w="5272" w:type="dxa"/>
                          </w:tcPr>
                          <w:p>
                            <w:pPr>
                              <w:pStyle w:val="TableParagraph"/>
                              <w:spacing w:before="177"/>
                              <w:ind w:left="522"/>
                              <w:rPr>
                                <w:b/>
                                <w:sz w:val="22"/>
                              </w:rPr>
                            </w:pPr>
                            <w:r>
                              <w:rPr>
                                <w:b/>
                                <w:color w:val="0C0C0C"/>
                                <w:sz w:val="22"/>
                              </w:rPr>
                              <w:t>Balance</w:t>
                            </w:r>
                            <w:r>
                              <w:rPr>
                                <w:b/>
                                <w:color w:val="0C0C0C"/>
                                <w:spacing w:val="9"/>
                                <w:sz w:val="22"/>
                              </w:rPr>
                              <w:t> </w:t>
                            </w:r>
                            <w:r>
                              <w:rPr>
                                <w:b/>
                                <w:color w:val="0C0C0C"/>
                                <w:sz w:val="22"/>
                              </w:rPr>
                              <w:t>at</w:t>
                            </w:r>
                            <w:r>
                              <w:rPr>
                                <w:b/>
                                <w:color w:val="0C0C0C"/>
                                <w:spacing w:val="-1"/>
                                <w:sz w:val="22"/>
                              </w:rPr>
                              <w:t> </w:t>
                            </w:r>
                            <w:r>
                              <w:rPr>
                                <w:b/>
                                <w:color w:val="0C0C0C"/>
                                <w:sz w:val="22"/>
                              </w:rPr>
                              <w:t>1</w:t>
                            </w:r>
                            <w:r>
                              <w:rPr>
                                <w:b/>
                                <w:color w:val="0C0C0C"/>
                                <w:spacing w:val="-7"/>
                                <w:sz w:val="22"/>
                              </w:rPr>
                              <w:t> </w:t>
                            </w:r>
                            <w:r>
                              <w:rPr>
                                <w:b/>
                                <w:color w:val="0C0C0C"/>
                                <w:spacing w:val="-2"/>
                                <w:sz w:val="22"/>
                              </w:rPr>
                              <w:t>April</w:t>
                            </w:r>
                          </w:p>
                        </w:tc>
                        <w:tc>
                          <w:tcPr>
                            <w:tcW w:w="1614" w:type="dxa"/>
                          </w:tcPr>
                          <w:p>
                            <w:pPr>
                              <w:pStyle w:val="TableParagraph"/>
                              <w:rPr>
                                <w:rFonts w:ascii="Times New Roman"/>
                                <w:sz w:val="20"/>
                              </w:rPr>
                            </w:pPr>
                          </w:p>
                        </w:tc>
                        <w:tc>
                          <w:tcPr>
                            <w:tcW w:w="1232" w:type="dxa"/>
                          </w:tcPr>
                          <w:p>
                            <w:pPr>
                              <w:pStyle w:val="TableParagraph"/>
                              <w:spacing w:before="177"/>
                              <w:ind w:right="95"/>
                              <w:jc w:val="right"/>
                              <w:rPr>
                                <w:b/>
                                <w:sz w:val="22"/>
                              </w:rPr>
                            </w:pPr>
                            <w:r>
                              <w:rPr>
                                <w:b/>
                                <w:color w:val="0C0C0C"/>
                                <w:spacing w:val="-2"/>
                                <w:sz w:val="22"/>
                              </w:rPr>
                              <w:t>(8,435)</w:t>
                            </w:r>
                          </w:p>
                        </w:tc>
                      </w:tr>
                      <w:tr>
                        <w:trPr>
                          <w:trHeight w:val="284" w:hRule="atLeast"/>
                        </w:trPr>
                        <w:tc>
                          <w:tcPr>
                            <w:tcW w:w="1327" w:type="dxa"/>
                          </w:tcPr>
                          <w:p>
                            <w:pPr>
                              <w:pStyle w:val="TableParagraph"/>
                              <w:spacing w:before="38" w:line="226" w:lineRule="exact"/>
                              <w:ind w:right="125"/>
                              <w:jc w:val="right"/>
                              <w:rPr>
                                <w:sz w:val="21"/>
                              </w:rPr>
                            </w:pPr>
                            <w:r>
                              <w:rPr>
                                <w:color w:val="1C1C1C"/>
                                <w:spacing w:val="-2"/>
                                <w:w w:val="105"/>
                                <w:sz w:val="21"/>
                              </w:rPr>
                              <w:t>(9,941)</w:t>
                            </w:r>
                          </w:p>
                        </w:tc>
                        <w:tc>
                          <w:tcPr>
                            <w:tcW w:w="5272" w:type="dxa"/>
                          </w:tcPr>
                          <w:p>
                            <w:pPr>
                              <w:pStyle w:val="TableParagraph"/>
                              <w:spacing w:before="43" w:line="222" w:lineRule="exact"/>
                              <w:ind w:left="520"/>
                              <w:rPr>
                                <w:sz w:val="21"/>
                              </w:rPr>
                            </w:pPr>
                            <w:r>
                              <w:rPr>
                                <w:color w:val="0C0C0C"/>
                                <w:w w:val="105"/>
                                <w:sz w:val="21"/>
                              </w:rPr>
                              <w:t>(Surplus)/</w:t>
                            </w:r>
                            <w:r>
                              <w:rPr>
                                <w:color w:val="0C0C0C"/>
                                <w:spacing w:val="16"/>
                                <w:w w:val="105"/>
                                <w:sz w:val="21"/>
                              </w:rPr>
                              <w:t> </w:t>
                            </w:r>
                            <w:r>
                              <w:rPr>
                                <w:color w:val="0C0C0C"/>
                                <w:w w:val="105"/>
                                <w:sz w:val="21"/>
                              </w:rPr>
                              <w:t>deficit</w:t>
                            </w:r>
                            <w:r>
                              <w:rPr>
                                <w:color w:val="0C0C0C"/>
                                <w:spacing w:val="9"/>
                                <w:w w:val="105"/>
                                <w:sz w:val="21"/>
                              </w:rPr>
                              <w:t> </w:t>
                            </w:r>
                            <w:r>
                              <w:rPr>
                                <w:color w:val="0C0C0C"/>
                                <w:w w:val="105"/>
                                <w:sz w:val="21"/>
                              </w:rPr>
                              <w:t>on</w:t>
                            </w:r>
                            <w:r>
                              <w:rPr>
                                <w:color w:val="0C0C0C"/>
                                <w:spacing w:val="-6"/>
                                <w:w w:val="105"/>
                                <w:sz w:val="21"/>
                              </w:rPr>
                              <w:t> </w:t>
                            </w:r>
                            <w:r>
                              <w:rPr>
                                <w:color w:val="0C0C0C"/>
                                <w:w w:val="105"/>
                                <w:sz w:val="21"/>
                              </w:rPr>
                              <w:t>provision</w:t>
                            </w:r>
                            <w:r>
                              <w:rPr>
                                <w:color w:val="0C0C0C"/>
                                <w:spacing w:val="20"/>
                                <w:w w:val="105"/>
                                <w:sz w:val="21"/>
                              </w:rPr>
                              <w:t> </w:t>
                            </w:r>
                            <w:r>
                              <w:rPr>
                                <w:color w:val="0C0C0C"/>
                                <w:w w:val="105"/>
                                <w:sz w:val="21"/>
                              </w:rPr>
                              <w:t>of</w:t>
                            </w:r>
                            <w:r>
                              <w:rPr>
                                <w:color w:val="0C0C0C"/>
                                <w:spacing w:val="7"/>
                                <w:w w:val="105"/>
                                <w:sz w:val="21"/>
                              </w:rPr>
                              <w:t> </w:t>
                            </w:r>
                            <w:r>
                              <w:rPr>
                                <w:color w:val="0C0C0C"/>
                                <w:spacing w:val="-2"/>
                                <w:w w:val="105"/>
                                <w:sz w:val="21"/>
                              </w:rPr>
                              <w:t>seNices</w:t>
                            </w:r>
                          </w:p>
                        </w:tc>
                        <w:tc>
                          <w:tcPr>
                            <w:tcW w:w="1614" w:type="dxa"/>
                          </w:tcPr>
                          <w:p>
                            <w:pPr>
                              <w:pStyle w:val="TableParagraph"/>
                              <w:spacing w:before="52" w:line="212" w:lineRule="exact"/>
                              <w:ind w:left="884"/>
                              <w:rPr>
                                <w:sz w:val="19"/>
                              </w:rPr>
                            </w:pPr>
                            <w:r>
                              <w:rPr>
                                <w:color w:val="0C0C0C"/>
                                <w:spacing w:val="-5"/>
                                <w:w w:val="105"/>
                                <w:sz w:val="19"/>
                              </w:rPr>
                              <w:t>4.2</w:t>
                            </w:r>
                          </w:p>
                        </w:tc>
                        <w:tc>
                          <w:tcPr>
                            <w:tcW w:w="1232" w:type="dxa"/>
                          </w:tcPr>
                          <w:p>
                            <w:pPr>
                              <w:pStyle w:val="TableParagraph"/>
                              <w:spacing w:before="43" w:line="222" w:lineRule="exact"/>
                              <w:ind w:right="110"/>
                              <w:jc w:val="right"/>
                              <w:rPr>
                                <w:sz w:val="21"/>
                              </w:rPr>
                            </w:pPr>
                            <w:r>
                              <w:rPr>
                                <w:color w:val="0C0C0C"/>
                                <w:spacing w:val="-2"/>
                                <w:w w:val="105"/>
                                <w:sz w:val="21"/>
                              </w:rPr>
                              <w:t>(9,508)</w:t>
                            </w:r>
                          </w:p>
                        </w:tc>
                      </w:tr>
                      <w:tr>
                        <w:trPr>
                          <w:trHeight w:val="466" w:hRule="atLeast"/>
                        </w:trPr>
                        <w:tc>
                          <w:tcPr>
                            <w:tcW w:w="9445" w:type="dxa"/>
                            <w:gridSpan w:val="4"/>
                          </w:tcPr>
                          <w:p>
                            <w:pPr>
                              <w:pStyle w:val="TableParagraph"/>
                              <w:spacing w:before="14"/>
                              <w:rPr>
                                <w:sz w:val="21"/>
                              </w:rPr>
                            </w:pPr>
                          </w:p>
                          <w:p>
                            <w:pPr>
                              <w:pStyle w:val="TableParagraph"/>
                              <w:tabs>
                                <w:tab w:val="left" w:leader="none" w:pos="1836"/>
                                <w:tab w:val="left" w:leader="none" w:pos="7419"/>
                                <w:tab w:val="left" w:leader="none" w:pos="8725"/>
                              </w:tabs>
                              <w:spacing w:line="60" w:lineRule="auto"/>
                              <w:ind w:left="525"/>
                              <w:rPr>
                                <w:sz w:val="21"/>
                              </w:rPr>
                            </w:pPr>
                            <w:r>
                              <w:rPr>
                                <w:color w:val="0C0C0C"/>
                                <w:spacing w:val="-2"/>
                                <w:w w:val="105"/>
                                <w:position w:val="-11"/>
                                <w:sz w:val="21"/>
                              </w:rPr>
                              <w:t>13,679</w:t>
                            </w:r>
                            <w:r>
                              <w:rPr>
                                <w:color w:val="0C0C0C"/>
                                <w:position w:val="-11"/>
                                <w:sz w:val="21"/>
                              </w:rPr>
                              <w:tab/>
                            </w:r>
                            <w:r>
                              <w:rPr>
                                <w:color w:val="0C0C0C"/>
                                <w:w w:val="105"/>
                                <w:sz w:val="21"/>
                              </w:rPr>
                              <w:t>Adjustments</w:t>
                            </w:r>
                            <w:r>
                              <w:rPr>
                                <w:color w:val="0C0C0C"/>
                                <w:spacing w:val="5"/>
                                <w:w w:val="105"/>
                                <w:sz w:val="21"/>
                              </w:rPr>
                              <w:t> </w:t>
                            </w:r>
                            <w:r>
                              <w:rPr>
                                <w:color w:val="0C0C0C"/>
                                <w:w w:val="105"/>
                                <w:sz w:val="21"/>
                              </w:rPr>
                              <w:t>between</w:t>
                            </w:r>
                            <w:r>
                              <w:rPr>
                                <w:color w:val="0C0C0C"/>
                                <w:spacing w:val="-3"/>
                                <w:w w:val="105"/>
                                <w:sz w:val="21"/>
                              </w:rPr>
                              <w:t> </w:t>
                            </w:r>
                            <w:r>
                              <w:rPr>
                                <w:color w:val="0C0C0C"/>
                                <w:w w:val="105"/>
                                <w:sz w:val="21"/>
                              </w:rPr>
                              <w:t>accounting</w:t>
                            </w:r>
                            <w:r>
                              <w:rPr>
                                <w:color w:val="0C0C0C"/>
                                <w:spacing w:val="-1"/>
                                <w:w w:val="105"/>
                                <w:sz w:val="21"/>
                              </w:rPr>
                              <w:t> </w:t>
                            </w:r>
                            <w:r>
                              <w:rPr>
                                <w:color w:val="0C0C0C"/>
                                <w:w w:val="105"/>
                                <w:sz w:val="21"/>
                              </w:rPr>
                              <w:t>basis</w:t>
                            </w:r>
                            <w:r>
                              <w:rPr>
                                <w:color w:val="0C0C0C"/>
                                <w:spacing w:val="-7"/>
                                <w:w w:val="105"/>
                                <w:sz w:val="21"/>
                              </w:rPr>
                              <w:t> </w:t>
                            </w:r>
                            <w:r>
                              <w:rPr>
                                <w:color w:val="0C0C0C"/>
                                <w:w w:val="105"/>
                                <w:sz w:val="21"/>
                              </w:rPr>
                              <w:t>and</w:t>
                            </w:r>
                            <w:r>
                              <w:rPr>
                                <w:color w:val="0C0C0C"/>
                                <w:spacing w:val="-16"/>
                                <w:w w:val="105"/>
                                <w:sz w:val="21"/>
                              </w:rPr>
                              <w:t> </w:t>
                            </w:r>
                            <w:r>
                              <w:rPr>
                                <w:color w:val="0C0C0C"/>
                                <w:spacing w:val="-2"/>
                                <w:w w:val="105"/>
                                <w:sz w:val="21"/>
                              </w:rPr>
                              <w:t>funding</w:t>
                            </w:r>
                            <w:r>
                              <w:rPr>
                                <w:color w:val="0C0C0C"/>
                                <w:sz w:val="21"/>
                              </w:rPr>
                              <w:tab/>
                            </w:r>
                            <w:r>
                              <w:rPr>
                                <w:color w:val="0C0C0C"/>
                                <w:spacing w:val="-4"/>
                                <w:w w:val="105"/>
                                <w:position w:val="-11"/>
                                <w:sz w:val="19"/>
                              </w:rPr>
                              <w:t>5.14</w:t>
                            </w:r>
                            <w:r>
                              <w:rPr>
                                <w:color w:val="0C0C0C"/>
                                <w:position w:val="-11"/>
                                <w:sz w:val="19"/>
                              </w:rPr>
                              <w:tab/>
                            </w:r>
                            <w:r>
                              <w:rPr>
                                <w:color w:val="0C0C0C"/>
                                <w:spacing w:val="-2"/>
                                <w:w w:val="105"/>
                                <w:position w:val="-12"/>
                                <w:sz w:val="21"/>
                              </w:rPr>
                              <w:t>7,050</w:t>
                            </w:r>
                          </w:p>
                        </w:tc>
                      </w:tr>
                      <w:tr>
                        <w:trPr>
                          <w:trHeight w:val="340" w:hRule="atLeast"/>
                        </w:trPr>
                        <w:tc>
                          <w:tcPr>
                            <w:tcW w:w="1327" w:type="dxa"/>
                          </w:tcPr>
                          <w:p>
                            <w:pPr>
                              <w:pStyle w:val="TableParagraph"/>
                              <w:rPr>
                                <w:rFonts w:ascii="Times New Roman"/>
                                <w:sz w:val="20"/>
                              </w:rPr>
                            </w:pPr>
                          </w:p>
                        </w:tc>
                        <w:tc>
                          <w:tcPr>
                            <w:tcW w:w="5272" w:type="dxa"/>
                          </w:tcPr>
                          <w:p>
                            <w:pPr>
                              <w:pStyle w:val="TableParagraph"/>
                              <w:spacing w:line="235" w:lineRule="exact"/>
                              <w:ind w:left="510"/>
                              <w:rPr>
                                <w:sz w:val="21"/>
                              </w:rPr>
                            </w:pPr>
                            <w:r>
                              <w:rPr>
                                <w:color w:val="0C0C0C"/>
                                <w:w w:val="105"/>
                                <w:sz w:val="21"/>
                              </w:rPr>
                              <w:t>basis</w:t>
                            </w:r>
                            <w:r>
                              <w:rPr>
                                <w:color w:val="0C0C0C"/>
                                <w:spacing w:val="5"/>
                                <w:w w:val="105"/>
                                <w:sz w:val="21"/>
                              </w:rPr>
                              <w:t> </w:t>
                            </w:r>
                            <w:r>
                              <w:rPr>
                                <w:color w:val="1C1C1C"/>
                                <w:w w:val="105"/>
                                <w:sz w:val="21"/>
                              </w:rPr>
                              <w:t>under</w:t>
                            </w:r>
                            <w:r>
                              <w:rPr>
                                <w:color w:val="1C1C1C"/>
                                <w:spacing w:val="-2"/>
                                <w:w w:val="105"/>
                                <w:sz w:val="21"/>
                              </w:rPr>
                              <w:t> </w:t>
                            </w:r>
                            <w:r>
                              <w:rPr>
                                <w:color w:val="0C0C0C"/>
                                <w:spacing w:val="-2"/>
                                <w:w w:val="105"/>
                                <w:sz w:val="21"/>
                              </w:rPr>
                              <w:t>regulation</w:t>
                            </w:r>
                          </w:p>
                        </w:tc>
                        <w:tc>
                          <w:tcPr>
                            <w:tcW w:w="1614" w:type="dxa"/>
                          </w:tcPr>
                          <w:p>
                            <w:pPr>
                              <w:pStyle w:val="TableParagraph"/>
                              <w:rPr>
                                <w:rFonts w:ascii="Times New Roman"/>
                                <w:sz w:val="20"/>
                              </w:rPr>
                            </w:pPr>
                          </w:p>
                        </w:tc>
                        <w:tc>
                          <w:tcPr>
                            <w:tcW w:w="1232" w:type="dxa"/>
                          </w:tcPr>
                          <w:p>
                            <w:pPr>
                              <w:pStyle w:val="TableParagraph"/>
                              <w:rPr>
                                <w:rFonts w:ascii="Times New Roman"/>
                                <w:sz w:val="20"/>
                              </w:rPr>
                            </w:pPr>
                          </w:p>
                        </w:tc>
                      </w:tr>
                      <w:tr>
                        <w:trPr>
                          <w:trHeight w:val="697" w:hRule="atLeast"/>
                        </w:trPr>
                        <w:tc>
                          <w:tcPr>
                            <w:tcW w:w="1327" w:type="dxa"/>
                            <w:tcBorders>
                              <w:bottom w:val="single" w:color="000000" w:sz="4" w:space="0"/>
                            </w:tcBorders>
                          </w:tcPr>
                          <w:p>
                            <w:pPr>
                              <w:pStyle w:val="TableParagraph"/>
                              <w:spacing w:before="99"/>
                              <w:ind w:right="135"/>
                              <w:jc w:val="right"/>
                              <w:rPr>
                                <w:sz w:val="21"/>
                              </w:rPr>
                            </w:pPr>
                            <w:r>
                              <w:rPr>
                                <w:color w:val="1C1C1C"/>
                                <w:spacing w:val="-2"/>
                                <w:w w:val="105"/>
                                <w:sz w:val="21"/>
                              </w:rPr>
                              <w:t>(3,781)</w:t>
                            </w:r>
                          </w:p>
                        </w:tc>
                        <w:tc>
                          <w:tcPr>
                            <w:tcW w:w="5272" w:type="dxa"/>
                          </w:tcPr>
                          <w:p>
                            <w:pPr>
                              <w:pStyle w:val="TableParagraph"/>
                              <w:spacing w:before="104"/>
                              <w:ind w:left="509"/>
                              <w:rPr>
                                <w:sz w:val="21"/>
                              </w:rPr>
                            </w:pPr>
                            <w:r>
                              <w:rPr>
                                <w:color w:val="0C0C0C"/>
                                <w:w w:val="105"/>
                                <w:sz w:val="21"/>
                              </w:rPr>
                              <w:t>Transfers</w:t>
                            </w:r>
                            <w:r>
                              <w:rPr>
                                <w:color w:val="0C0C0C"/>
                                <w:spacing w:val="3"/>
                                <w:w w:val="105"/>
                                <w:sz w:val="21"/>
                              </w:rPr>
                              <w:t> </w:t>
                            </w:r>
                            <w:r>
                              <w:rPr>
                                <w:color w:val="0C0C0C"/>
                                <w:w w:val="105"/>
                                <w:sz w:val="21"/>
                              </w:rPr>
                              <w:t>to</w:t>
                            </w:r>
                            <w:r>
                              <w:rPr>
                                <w:color w:val="0C0C0C"/>
                                <w:spacing w:val="-12"/>
                                <w:w w:val="105"/>
                                <w:sz w:val="21"/>
                              </w:rPr>
                              <w:t> </w:t>
                            </w:r>
                            <w:r>
                              <w:rPr>
                                <w:color w:val="0C0C0C"/>
                                <w:w w:val="105"/>
                                <w:sz w:val="21"/>
                              </w:rPr>
                              <w:t>(from)</w:t>
                            </w:r>
                            <w:r>
                              <w:rPr>
                                <w:color w:val="0C0C0C"/>
                                <w:spacing w:val="-5"/>
                                <w:w w:val="105"/>
                                <w:sz w:val="21"/>
                              </w:rPr>
                              <w:t> </w:t>
                            </w:r>
                            <w:r>
                              <w:rPr>
                                <w:color w:val="0C0C0C"/>
                                <w:w w:val="105"/>
                                <w:sz w:val="21"/>
                              </w:rPr>
                              <w:t>earmarked</w:t>
                            </w:r>
                            <w:r>
                              <w:rPr>
                                <w:color w:val="0C0C0C"/>
                                <w:spacing w:val="-3"/>
                                <w:w w:val="105"/>
                                <w:sz w:val="21"/>
                              </w:rPr>
                              <w:t> </w:t>
                            </w:r>
                            <w:r>
                              <w:rPr>
                                <w:color w:val="0C0C0C"/>
                                <w:spacing w:val="-2"/>
                                <w:w w:val="105"/>
                                <w:sz w:val="21"/>
                              </w:rPr>
                              <w:t>reseNes</w:t>
                            </w:r>
                          </w:p>
                        </w:tc>
                        <w:tc>
                          <w:tcPr>
                            <w:tcW w:w="1614" w:type="dxa"/>
                          </w:tcPr>
                          <w:p>
                            <w:pPr>
                              <w:pStyle w:val="TableParagraph"/>
                              <w:spacing w:before="113"/>
                              <w:ind w:right="327"/>
                              <w:jc w:val="right"/>
                              <w:rPr>
                                <w:sz w:val="19"/>
                              </w:rPr>
                            </w:pPr>
                            <w:r>
                              <w:rPr>
                                <w:color w:val="0C0C0C"/>
                                <w:spacing w:val="-2"/>
                                <w:w w:val="105"/>
                                <w:sz w:val="19"/>
                              </w:rPr>
                              <w:t>5.30.2</w:t>
                            </w:r>
                          </w:p>
                        </w:tc>
                        <w:tc>
                          <w:tcPr>
                            <w:tcW w:w="1232" w:type="dxa"/>
                            <w:tcBorders>
                              <w:bottom w:val="single" w:color="000000" w:sz="6" w:space="0"/>
                            </w:tcBorders>
                          </w:tcPr>
                          <w:p>
                            <w:pPr>
                              <w:pStyle w:val="TableParagraph"/>
                              <w:spacing w:before="104"/>
                              <w:ind w:right="176"/>
                              <w:jc w:val="right"/>
                              <w:rPr>
                                <w:sz w:val="21"/>
                              </w:rPr>
                            </w:pPr>
                            <w:r>
                              <w:rPr>
                                <w:color w:val="0C0C0C"/>
                                <w:spacing w:val="-4"/>
                                <w:w w:val="105"/>
                                <w:sz w:val="21"/>
                              </w:rPr>
                              <w:t>2,373</w:t>
                            </w:r>
                          </w:p>
                        </w:tc>
                      </w:tr>
                      <w:tr>
                        <w:trPr>
                          <w:trHeight w:val="343" w:hRule="atLeast"/>
                        </w:trPr>
                        <w:tc>
                          <w:tcPr>
                            <w:tcW w:w="1327" w:type="dxa"/>
                            <w:tcBorders>
                              <w:top w:val="single" w:color="000000" w:sz="4" w:space="0"/>
                            </w:tcBorders>
                          </w:tcPr>
                          <w:p>
                            <w:pPr>
                              <w:pStyle w:val="TableParagraph"/>
                              <w:spacing w:before="36"/>
                              <w:ind w:right="134"/>
                              <w:jc w:val="right"/>
                              <w:rPr>
                                <w:b/>
                                <w:sz w:val="22"/>
                              </w:rPr>
                            </w:pPr>
                            <w:r>
                              <w:rPr>
                                <w:b/>
                                <w:color w:val="0C0C0C"/>
                                <w:spacing w:val="-2"/>
                                <w:sz w:val="22"/>
                              </w:rPr>
                              <w:t>(8,435)</w:t>
                            </w:r>
                          </w:p>
                        </w:tc>
                        <w:tc>
                          <w:tcPr>
                            <w:tcW w:w="5272" w:type="dxa"/>
                          </w:tcPr>
                          <w:p>
                            <w:pPr>
                              <w:pStyle w:val="TableParagraph"/>
                              <w:spacing w:before="36"/>
                              <w:ind w:left="495"/>
                              <w:rPr>
                                <w:b/>
                                <w:sz w:val="22"/>
                              </w:rPr>
                            </w:pPr>
                            <w:r>
                              <w:rPr>
                                <w:b/>
                                <w:color w:val="0C0C0C"/>
                                <w:spacing w:val="-2"/>
                                <w:sz w:val="22"/>
                              </w:rPr>
                              <w:t>Total</w:t>
                            </w:r>
                          </w:p>
                        </w:tc>
                        <w:tc>
                          <w:tcPr>
                            <w:tcW w:w="1614" w:type="dxa"/>
                          </w:tcPr>
                          <w:p>
                            <w:pPr>
                              <w:pStyle w:val="TableParagraph"/>
                              <w:rPr>
                                <w:rFonts w:ascii="Times New Roman"/>
                                <w:sz w:val="20"/>
                              </w:rPr>
                            </w:pPr>
                          </w:p>
                        </w:tc>
                        <w:tc>
                          <w:tcPr>
                            <w:tcW w:w="1232" w:type="dxa"/>
                            <w:tcBorders>
                              <w:top w:val="single" w:color="000000" w:sz="6" w:space="0"/>
                            </w:tcBorders>
                          </w:tcPr>
                          <w:p>
                            <w:pPr>
                              <w:pStyle w:val="TableParagraph"/>
                              <w:spacing w:before="36"/>
                              <w:ind w:right="116"/>
                              <w:jc w:val="right"/>
                              <w:rPr>
                                <w:b/>
                                <w:sz w:val="22"/>
                              </w:rPr>
                            </w:pPr>
                            <w:r>
                              <w:rPr>
                                <w:b/>
                                <w:color w:val="0C0C0C"/>
                                <w:spacing w:val="-2"/>
                                <w:sz w:val="22"/>
                              </w:rPr>
                              <w:t>(8,520)</w:t>
                            </w:r>
                          </w:p>
                        </w:tc>
                      </w:tr>
                    </w:tbl>
                    <w:p>
                      <w:pPr>
                        <w:pStyle w:val="BodyText"/>
                      </w:pPr>
                    </w:p>
                  </w:txbxContent>
                </v:textbox>
                <w10:wrap type="topAndBottom"/>
              </v:shape>
            </w:pict>
          </ve:Fallback>
        </ve:AlternateContent>
      </w:r>
    </w:p>
    <w:p>
      <w:pPr>
        <w:pStyle w:val="BodyText"/>
      </w:pPr>
    </w:p>
    <w:p>
      <w:pPr>
        <w:pStyle w:val="BodyText"/>
        <w:spacing w:before="243"/>
      </w:pPr>
    </w:p>
    <w:p>
      <w:pPr>
        <w:pStyle w:val="Heading3"/>
        <w:numPr>
          <w:ilvl w:val="2"/>
          <w:numId w:val="21"/>
        </w:numPr>
        <w:tabs>
          <w:tab w:val="left" w:leader="none" w:pos="2291"/>
        </w:tabs>
        <w:spacing w:before="1" w:after="0" w:line="240" w:lineRule="auto"/>
        <w:ind w:left="2291" w:right="0" w:hanging="859"/>
        <w:jc w:val="left"/>
        <w:rPr>
          <w:color w:val="0C0C0C"/>
        </w:rPr>
      </w:pPr>
      <w:r>
        <w:rPr/>
        <ve:AlternateContent>
          <ve:Choice Requires="wps">
            <w:drawing>
              <wp:anchor distT="0" distB="0" distL="0" distR="0" simplePos="0" relativeHeight="15846912" behindDoc="0" locked="0" layoutInCell="1" allowOverlap="1">
                <wp:simplePos x="0" y="0"/>
                <wp:positionH relativeFrom="page">
                  <wp:posOffset>964721</wp:posOffset>
                </wp:positionH>
                <wp:positionV relativeFrom="paragraph">
                  <wp:posOffset>-484742</wp:posOffset>
                </wp:positionV>
                <wp:extent cx="842644" cy="1270"/>
                <wp:effectExtent l="0" t="0" r="0" b="0"/>
                <wp:wrapNone/>
                <wp:docPr id="553" name="Graphic 553"/>
                <wp:cNvGraphicFramePr>
                  <a:graphicFrameLocks/>
                </wp:cNvGraphicFramePr>
                <a:graphic>
                  <a:graphicData uri="http://schemas.microsoft.com/office/word/2010/wordprocessingShape">
                    <wps:wsp>
                      <wps:cNvPr id="553" name="Graphic 553"/>
                      <wps:cNvSpPr/>
                      <wps:spPr>
                        <a:xfrm>
                          <a:off x="0" y="0"/>
                          <a:ext cx="842644" cy="1270"/>
                        </a:xfrm>
                        <a:custGeom>
                          <a:avLst/>
                          <a:gdLst/>
                          <a:ahLst/>
                          <a:cxnLst/>
                          <a:rect l="l" t="t" r="r" b="b"/>
                          <a:pathLst>
                            <a:path w="842644" h="0">
                              <a:moveTo>
                                <a:pt x="0" y="0"/>
                              </a:moveTo>
                              <a:lnTo>
                                <a:pt x="842604" y="0"/>
                              </a:lnTo>
                            </a:path>
                          </a:pathLst>
                        </a:custGeom>
                        <a:ln w="12205">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46912" stroked="true" strokecolor="#000000" strokeweight=".961095pt" from="75.962334pt,-38.168674pt" to="142.30918pt,-38.168674pt">
                <v:stroke dashstyle="solid"/>
                <w10:wrap type="none"/>
              </v:line>
            </w:pict>
          </ve:Fallback>
        </ve:AlternateContent>
      </w:r>
      <w:r>
        <w:rPr/>
        <ve:AlternateContent>
          <ve:Choice Requires="wps">
            <w:drawing>
              <wp:anchor distT="0" distB="0" distL="0" distR="0" simplePos="0" relativeHeight="15847424" behindDoc="0" locked="0" layoutInCell="1" allowOverlap="1">
                <wp:simplePos x="0" y="0"/>
                <wp:positionH relativeFrom="page">
                  <wp:posOffset>6179103</wp:posOffset>
                </wp:positionH>
                <wp:positionV relativeFrom="paragraph">
                  <wp:posOffset>-481690</wp:posOffset>
                </wp:positionV>
                <wp:extent cx="806450" cy="1270"/>
                <wp:effectExtent l="0" t="0" r="0" b="0"/>
                <wp:wrapNone/>
                <wp:docPr id="554" name="Graphic 554"/>
                <wp:cNvGraphicFramePr>
                  <a:graphicFrameLocks/>
                </wp:cNvGraphicFramePr>
                <a:graphic>
                  <a:graphicData uri="http://schemas.microsoft.com/office/word/2010/wordprocessingShape">
                    <wps:wsp>
                      <wps:cNvPr id="554" name="Graphic 554"/>
                      <wps:cNvSpPr/>
                      <wps:spPr>
                        <a:xfrm>
                          <a:off x="0" y="0"/>
                          <a:ext cx="806450" cy="1270"/>
                        </a:xfrm>
                        <a:custGeom>
                          <a:avLst/>
                          <a:gdLst/>
                          <a:ahLst/>
                          <a:cxnLst/>
                          <a:rect l="l" t="t" r="r" b="b"/>
                          <a:pathLst>
                            <a:path w="806450" h="0">
                              <a:moveTo>
                                <a:pt x="0" y="0"/>
                              </a:moveTo>
                              <a:lnTo>
                                <a:pt x="805969" y="0"/>
                              </a:lnTo>
                            </a:path>
                          </a:pathLst>
                        </a:custGeom>
                        <a:ln w="12205">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47424" stroked="true" strokecolor="#000000" strokeweight=".961095pt" from="486.543549pt,-37.928398pt" to="550.00575pt,-37.928398pt">
                <v:stroke dashstyle="solid"/>
                <w10:wrap type="none"/>
              </v:line>
            </w:pict>
          </ve:Fallback>
        </ve:AlternateContent>
      </w:r>
      <w:r>
        <w:rPr>
          <w:color w:val="0C0C0C"/>
        </w:rPr>
        <w:t>Earmarked</w:t>
      </w:r>
      <w:r>
        <w:rPr>
          <w:color w:val="0C0C0C"/>
          <w:spacing w:val="-6"/>
        </w:rPr>
        <w:t> </w:t>
      </w:r>
      <w:r>
        <w:rPr>
          <w:color w:val="0C0C0C"/>
          <w:spacing w:val="-2"/>
        </w:rPr>
        <w:t>Reserves</w:t>
      </w:r>
    </w:p>
    <w:p>
      <w:pPr>
        <w:spacing w:before="251" w:line="247" w:lineRule="auto"/>
        <w:ind w:left="1421" w:right="930" w:firstLine="4"/>
        <w:jc w:val="both"/>
        <w:rPr>
          <w:sz w:val="21"/>
        </w:rPr>
      </w:pPr>
      <w:r>
        <w:rPr>
          <w:color w:val="0C0C0C"/>
          <w:w w:val="105"/>
          <w:sz w:val="21"/>
        </w:rPr>
        <w:t>Earmarked ReseNes represents</w:t>
      </w:r>
      <w:r>
        <w:rPr>
          <w:color w:val="0C0C0C"/>
          <w:w w:val="105"/>
          <w:sz w:val="21"/>
        </w:rPr>
        <w:t> that part of the General Fund retained voluntarily</w:t>
      </w:r>
      <w:r>
        <w:rPr>
          <w:color w:val="0C0C0C"/>
          <w:w w:val="105"/>
          <w:sz w:val="21"/>
        </w:rPr>
        <w:t> for use on specific projects or causes. A summary of the movement in the </w:t>
      </w:r>
      <w:r>
        <w:rPr>
          <w:color w:val="1C1C1C"/>
          <w:w w:val="105"/>
          <w:sz w:val="21"/>
        </w:rPr>
        <w:t>reseNes during </w:t>
      </w:r>
      <w:r>
        <w:rPr>
          <w:color w:val="0C0C0C"/>
          <w:w w:val="105"/>
          <w:sz w:val="21"/>
        </w:rPr>
        <w:t>the year </w:t>
      </w:r>
      <w:r>
        <w:rPr>
          <w:color w:val="1C1C1C"/>
          <w:w w:val="105"/>
          <w:sz w:val="21"/>
        </w:rPr>
        <w:t>is </w:t>
      </w:r>
      <w:r>
        <w:rPr>
          <w:color w:val="0C0C0C"/>
          <w:w w:val="105"/>
          <w:sz w:val="21"/>
        </w:rPr>
        <w:t>as </w:t>
      </w:r>
      <w:r>
        <w:rPr>
          <w:color w:val="0C0C0C"/>
          <w:spacing w:val="-2"/>
          <w:w w:val="105"/>
          <w:sz w:val="21"/>
        </w:rPr>
        <w:t>follows:</w:t>
      </w:r>
    </w:p>
    <w:p>
      <w:pPr>
        <w:pStyle w:val="BodyText"/>
        <w:rPr>
          <w:sz w:val="20"/>
        </w:rPr>
      </w:pPr>
    </w:p>
    <w:p>
      <w:pPr>
        <w:pStyle w:val="BodyText"/>
        <w:spacing w:before="12"/>
        <w:rPr>
          <w:sz w:val="20"/>
        </w:rPr>
      </w:pPr>
    </w:p>
    <w:tbl>
      <w:tblPr>
        <w:tblW w:w="0" w:type="auto"/>
        <w:jc w:val="left"/>
        <w:tblInd w:w="14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27"/>
        <w:gridCol w:w="5288"/>
        <w:gridCol w:w="1635"/>
        <w:gridCol w:w="1231"/>
      </w:tblGrid>
      <w:tr>
        <w:trPr>
          <w:trHeight w:val="255" w:hRule="atLeast"/>
        </w:trPr>
        <w:tc>
          <w:tcPr>
            <w:tcW w:w="1327" w:type="dxa"/>
          </w:tcPr>
          <w:p>
            <w:pPr>
              <w:pStyle w:val="TableParagraph"/>
              <w:spacing w:line="235" w:lineRule="exact"/>
              <w:ind w:left="268"/>
              <w:rPr>
                <w:b/>
                <w:sz w:val="22"/>
              </w:rPr>
            </w:pPr>
            <w:r>
              <w:rPr>
                <w:b/>
                <w:color w:val="0C0C0C"/>
                <w:sz w:val="22"/>
              </w:rPr>
              <w:t>2021-</w:t>
            </w:r>
            <w:r>
              <w:rPr>
                <w:b/>
                <w:color w:val="0C0C0C"/>
                <w:spacing w:val="-5"/>
                <w:sz w:val="22"/>
              </w:rPr>
              <w:t>22</w:t>
            </w:r>
          </w:p>
        </w:tc>
        <w:tc>
          <w:tcPr>
            <w:tcW w:w="5288" w:type="dxa"/>
          </w:tcPr>
          <w:p>
            <w:pPr>
              <w:pStyle w:val="TableParagraph"/>
              <w:rPr>
                <w:rFonts w:ascii="Times New Roman"/>
                <w:sz w:val="18"/>
              </w:rPr>
            </w:pPr>
          </w:p>
        </w:tc>
        <w:tc>
          <w:tcPr>
            <w:tcW w:w="1635" w:type="dxa"/>
          </w:tcPr>
          <w:p>
            <w:pPr>
              <w:pStyle w:val="TableParagraph"/>
              <w:spacing w:line="235" w:lineRule="exact"/>
              <w:ind w:right="365"/>
              <w:jc w:val="right"/>
              <w:rPr>
                <w:b/>
                <w:sz w:val="22"/>
              </w:rPr>
            </w:pPr>
            <w:r>
              <w:rPr>
                <w:b/>
                <w:color w:val="0C0C0C"/>
                <w:spacing w:val="-4"/>
                <w:sz w:val="22"/>
              </w:rPr>
              <w:t>Note</w:t>
            </w:r>
          </w:p>
        </w:tc>
        <w:tc>
          <w:tcPr>
            <w:tcW w:w="1231" w:type="dxa"/>
          </w:tcPr>
          <w:p>
            <w:pPr>
              <w:pStyle w:val="TableParagraph"/>
              <w:spacing w:line="235" w:lineRule="exact"/>
              <w:ind w:left="215"/>
              <w:rPr>
                <w:b/>
                <w:sz w:val="22"/>
              </w:rPr>
            </w:pPr>
            <w:r>
              <w:rPr>
                <w:b/>
                <w:color w:val="0C0C0C"/>
                <w:spacing w:val="-4"/>
                <w:sz w:val="22"/>
              </w:rPr>
              <w:t>2022-</w:t>
            </w:r>
            <w:r>
              <w:rPr>
                <w:b/>
                <w:color w:val="0C0C0C"/>
                <w:spacing w:val="-5"/>
                <w:sz w:val="22"/>
              </w:rPr>
              <w:t>23</w:t>
            </w:r>
          </w:p>
        </w:tc>
      </w:tr>
      <w:tr>
        <w:trPr>
          <w:trHeight w:val="429" w:hRule="atLeast"/>
        </w:trPr>
        <w:tc>
          <w:tcPr>
            <w:tcW w:w="1327" w:type="dxa"/>
          </w:tcPr>
          <w:p>
            <w:pPr>
              <w:pStyle w:val="TableParagraph"/>
              <w:spacing w:line="250" w:lineRule="exact"/>
              <w:ind w:left="421"/>
              <w:rPr>
                <w:b/>
                <w:sz w:val="22"/>
              </w:rPr>
            </w:pPr>
            <w:r>
              <w:rPr>
                <w:b/>
                <w:color w:val="0C0C0C"/>
                <w:spacing w:val="-4"/>
                <w:sz w:val="22"/>
              </w:rPr>
              <w:t>£000</w:t>
            </w:r>
          </w:p>
        </w:tc>
        <w:tc>
          <w:tcPr>
            <w:tcW w:w="5288" w:type="dxa"/>
          </w:tcPr>
          <w:p>
            <w:pPr>
              <w:pStyle w:val="TableParagraph"/>
              <w:rPr>
                <w:rFonts w:ascii="Times New Roman"/>
                <w:sz w:val="20"/>
              </w:rPr>
            </w:pPr>
          </w:p>
        </w:tc>
        <w:tc>
          <w:tcPr>
            <w:tcW w:w="1635" w:type="dxa"/>
          </w:tcPr>
          <w:p>
            <w:pPr>
              <w:pStyle w:val="TableParagraph"/>
              <w:rPr>
                <w:rFonts w:ascii="Times New Roman"/>
                <w:sz w:val="20"/>
              </w:rPr>
            </w:pPr>
          </w:p>
        </w:tc>
        <w:tc>
          <w:tcPr>
            <w:tcW w:w="1231" w:type="dxa"/>
          </w:tcPr>
          <w:p>
            <w:pPr>
              <w:pStyle w:val="TableParagraph"/>
              <w:spacing w:line="250" w:lineRule="exact"/>
              <w:ind w:left="364"/>
              <w:rPr>
                <w:b/>
                <w:sz w:val="22"/>
              </w:rPr>
            </w:pPr>
            <w:r>
              <w:rPr>
                <w:b/>
                <w:color w:val="0C0C0C"/>
                <w:spacing w:val="-4"/>
                <w:sz w:val="22"/>
              </w:rPr>
              <w:t>£000</w:t>
            </w:r>
          </w:p>
        </w:tc>
      </w:tr>
      <w:tr>
        <w:trPr>
          <w:trHeight w:val="471" w:hRule="atLeast"/>
        </w:trPr>
        <w:tc>
          <w:tcPr>
            <w:tcW w:w="1327" w:type="dxa"/>
          </w:tcPr>
          <w:p>
            <w:pPr>
              <w:pStyle w:val="TableParagraph"/>
              <w:spacing w:before="178"/>
              <w:ind w:right="127"/>
              <w:jc w:val="right"/>
              <w:rPr>
                <w:b/>
                <w:sz w:val="22"/>
              </w:rPr>
            </w:pPr>
            <w:r>
              <w:rPr>
                <w:b/>
                <w:color w:val="0C0C0C"/>
                <w:spacing w:val="-2"/>
                <w:sz w:val="22"/>
              </w:rPr>
              <w:t>(35,623)</w:t>
            </w:r>
          </w:p>
        </w:tc>
        <w:tc>
          <w:tcPr>
            <w:tcW w:w="5288" w:type="dxa"/>
          </w:tcPr>
          <w:p>
            <w:pPr>
              <w:pStyle w:val="TableParagraph"/>
              <w:spacing w:before="169"/>
              <w:ind w:left="512"/>
              <w:rPr>
                <w:b/>
                <w:sz w:val="22"/>
              </w:rPr>
            </w:pPr>
            <w:r>
              <w:rPr>
                <w:b/>
                <w:color w:val="0C0C0C"/>
                <w:sz w:val="22"/>
              </w:rPr>
              <w:t>Balance</w:t>
            </w:r>
            <w:r>
              <w:rPr>
                <w:b/>
                <w:color w:val="0C0C0C"/>
                <w:spacing w:val="9"/>
                <w:sz w:val="22"/>
              </w:rPr>
              <w:t> </w:t>
            </w:r>
            <w:r>
              <w:rPr>
                <w:b/>
                <w:color w:val="0C0C0C"/>
                <w:sz w:val="22"/>
              </w:rPr>
              <w:t>at</w:t>
            </w:r>
            <w:r>
              <w:rPr>
                <w:b/>
                <w:color w:val="0C0C0C"/>
                <w:spacing w:val="-8"/>
                <w:sz w:val="22"/>
              </w:rPr>
              <w:t> </w:t>
            </w:r>
            <w:r>
              <w:rPr>
                <w:rFonts w:ascii="Times New Roman"/>
                <w:b/>
                <w:color w:val="0C0C0C"/>
                <w:sz w:val="23"/>
              </w:rPr>
              <w:t>1</w:t>
            </w:r>
            <w:r>
              <w:rPr>
                <w:rFonts w:ascii="Times New Roman"/>
                <w:b/>
                <w:color w:val="0C0C0C"/>
                <w:spacing w:val="22"/>
                <w:sz w:val="23"/>
              </w:rPr>
              <w:t> </w:t>
            </w:r>
            <w:r>
              <w:rPr>
                <w:b/>
                <w:color w:val="0C0C0C"/>
                <w:spacing w:val="-2"/>
                <w:sz w:val="22"/>
              </w:rPr>
              <w:t>April</w:t>
            </w:r>
          </w:p>
        </w:tc>
        <w:tc>
          <w:tcPr>
            <w:tcW w:w="1635" w:type="dxa"/>
          </w:tcPr>
          <w:p>
            <w:pPr>
              <w:pStyle w:val="TableParagraph"/>
              <w:rPr>
                <w:rFonts w:ascii="Times New Roman"/>
                <w:sz w:val="20"/>
              </w:rPr>
            </w:pPr>
          </w:p>
        </w:tc>
        <w:tc>
          <w:tcPr>
            <w:tcW w:w="1231" w:type="dxa"/>
          </w:tcPr>
          <w:p>
            <w:pPr>
              <w:pStyle w:val="TableParagraph"/>
              <w:spacing w:before="183"/>
              <w:ind w:right="121"/>
              <w:jc w:val="right"/>
              <w:rPr>
                <w:b/>
                <w:sz w:val="22"/>
              </w:rPr>
            </w:pPr>
            <w:r>
              <w:rPr>
                <w:b/>
                <w:color w:val="0C0C0C"/>
                <w:spacing w:val="-2"/>
                <w:sz w:val="22"/>
              </w:rPr>
              <w:t>(31,842)</w:t>
            </w:r>
          </w:p>
        </w:tc>
      </w:tr>
      <w:tr>
        <w:trPr>
          <w:trHeight w:val="640" w:hRule="atLeast"/>
        </w:trPr>
        <w:tc>
          <w:tcPr>
            <w:tcW w:w="1327" w:type="dxa"/>
            <w:tcBorders>
              <w:bottom w:val="single" w:color="000000" w:sz="6" w:space="0"/>
            </w:tcBorders>
          </w:tcPr>
          <w:p>
            <w:pPr>
              <w:pStyle w:val="TableParagraph"/>
              <w:spacing w:before="42"/>
              <w:ind w:right="116"/>
              <w:jc w:val="right"/>
              <w:rPr>
                <w:sz w:val="21"/>
              </w:rPr>
            </w:pPr>
            <w:r>
              <w:rPr>
                <w:color w:val="0C0C0C"/>
                <w:spacing w:val="-4"/>
                <w:w w:val="110"/>
                <w:sz w:val="21"/>
              </w:rPr>
              <w:t>3,781</w:t>
            </w:r>
          </w:p>
        </w:tc>
        <w:tc>
          <w:tcPr>
            <w:tcW w:w="5288" w:type="dxa"/>
          </w:tcPr>
          <w:p>
            <w:pPr>
              <w:pStyle w:val="TableParagraph"/>
              <w:spacing w:before="28"/>
              <w:ind w:left="509"/>
              <w:rPr>
                <w:sz w:val="21"/>
              </w:rPr>
            </w:pPr>
            <w:r>
              <w:rPr>
                <w:color w:val="0C0C0C"/>
                <w:w w:val="105"/>
                <w:sz w:val="21"/>
              </w:rPr>
              <w:t>Transfers</w:t>
            </w:r>
            <w:r>
              <w:rPr>
                <w:color w:val="0C0C0C"/>
                <w:spacing w:val="4"/>
                <w:w w:val="105"/>
                <w:sz w:val="21"/>
              </w:rPr>
              <w:t> </w:t>
            </w:r>
            <w:r>
              <w:rPr>
                <w:color w:val="0C0C0C"/>
                <w:w w:val="105"/>
                <w:sz w:val="21"/>
              </w:rPr>
              <w:t>(to)</w:t>
            </w:r>
            <w:r>
              <w:rPr>
                <w:color w:val="0C0C0C"/>
                <w:spacing w:val="52"/>
                <w:w w:val="105"/>
                <w:sz w:val="21"/>
              </w:rPr>
              <w:t> </w:t>
            </w:r>
            <w:r>
              <w:rPr>
                <w:i/>
                <w:color w:val="1C1C1C"/>
                <w:w w:val="105"/>
                <w:sz w:val="23"/>
              </w:rPr>
              <w:t>I</w:t>
            </w:r>
            <w:r>
              <w:rPr>
                <w:i/>
                <w:color w:val="1C1C1C"/>
                <w:spacing w:val="-5"/>
                <w:w w:val="105"/>
                <w:sz w:val="23"/>
              </w:rPr>
              <w:t> </w:t>
            </w:r>
            <w:r>
              <w:rPr>
                <w:color w:val="0C0C0C"/>
                <w:w w:val="105"/>
                <w:sz w:val="21"/>
              </w:rPr>
              <w:t>from</w:t>
            </w:r>
            <w:r>
              <w:rPr>
                <w:color w:val="0C0C0C"/>
                <w:spacing w:val="-2"/>
                <w:w w:val="105"/>
                <w:sz w:val="21"/>
              </w:rPr>
              <w:t> </w:t>
            </w:r>
            <w:r>
              <w:rPr>
                <w:color w:val="0C0C0C"/>
                <w:w w:val="105"/>
                <w:sz w:val="21"/>
              </w:rPr>
              <w:t>earmarked </w:t>
            </w:r>
            <w:r>
              <w:rPr>
                <w:color w:val="0C0C0C"/>
                <w:spacing w:val="-2"/>
                <w:w w:val="105"/>
                <w:sz w:val="21"/>
              </w:rPr>
              <w:t>reseNes</w:t>
            </w:r>
          </w:p>
        </w:tc>
        <w:tc>
          <w:tcPr>
            <w:tcW w:w="1635" w:type="dxa"/>
          </w:tcPr>
          <w:p>
            <w:pPr>
              <w:pStyle w:val="TableParagraph"/>
              <w:spacing w:before="61"/>
              <w:ind w:right="322"/>
              <w:jc w:val="right"/>
              <w:rPr>
                <w:sz w:val="19"/>
              </w:rPr>
            </w:pPr>
            <w:r>
              <w:rPr>
                <w:color w:val="0C0C0C"/>
                <w:spacing w:val="-2"/>
                <w:w w:val="110"/>
                <w:sz w:val="19"/>
              </w:rPr>
              <w:t>5.30</w:t>
            </w:r>
            <w:r>
              <w:rPr>
                <w:color w:val="646464"/>
                <w:spacing w:val="-2"/>
                <w:w w:val="110"/>
                <w:sz w:val="19"/>
              </w:rPr>
              <w:t>.</w:t>
            </w:r>
            <w:r>
              <w:rPr>
                <w:color w:val="0C0C0C"/>
                <w:spacing w:val="-2"/>
                <w:w w:val="110"/>
                <w:sz w:val="19"/>
              </w:rPr>
              <w:t>1</w:t>
            </w:r>
          </w:p>
        </w:tc>
        <w:tc>
          <w:tcPr>
            <w:tcW w:w="1231" w:type="dxa"/>
            <w:tcBorders>
              <w:bottom w:val="single" w:color="000000" w:sz="6" w:space="0"/>
            </w:tcBorders>
          </w:tcPr>
          <w:p>
            <w:pPr>
              <w:pStyle w:val="TableParagraph"/>
              <w:spacing w:before="47"/>
              <w:ind w:right="132"/>
              <w:jc w:val="right"/>
              <w:rPr>
                <w:sz w:val="21"/>
              </w:rPr>
            </w:pPr>
            <w:r>
              <w:rPr>
                <w:color w:val="0C0C0C"/>
                <w:spacing w:val="-2"/>
                <w:w w:val="105"/>
                <w:sz w:val="21"/>
              </w:rPr>
              <w:t>(2,373)</w:t>
            </w:r>
          </w:p>
        </w:tc>
      </w:tr>
      <w:tr>
        <w:trPr>
          <w:trHeight w:val="289" w:hRule="atLeast"/>
        </w:trPr>
        <w:tc>
          <w:tcPr>
            <w:tcW w:w="1327" w:type="dxa"/>
            <w:tcBorders>
              <w:top w:val="single" w:color="000000" w:sz="6" w:space="0"/>
            </w:tcBorders>
          </w:tcPr>
          <w:p>
            <w:pPr>
              <w:pStyle w:val="TableParagraph"/>
              <w:spacing w:before="36" w:line="238" w:lineRule="exact"/>
              <w:ind w:right="137"/>
              <w:jc w:val="right"/>
              <w:rPr>
                <w:b/>
                <w:sz w:val="22"/>
              </w:rPr>
            </w:pPr>
            <w:r>
              <w:rPr>
                <w:b/>
                <w:color w:val="0C0C0C"/>
                <w:spacing w:val="-2"/>
                <w:sz w:val="22"/>
                <w:u w:val="thick" w:color="0C0C0C"/>
              </w:rPr>
              <w:t>(31,842)</w:t>
            </w:r>
          </w:p>
        </w:tc>
        <w:tc>
          <w:tcPr>
            <w:tcW w:w="5288" w:type="dxa"/>
          </w:tcPr>
          <w:p>
            <w:pPr>
              <w:pStyle w:val="TableParagraph"/>
              <w:spacing w:before="36" w:line="233" w:lineRule="exact"/>
              <w:ind w:left="504"/>
              <w:rPr>
                <w:b/>
                <w:sz w:val="22"/>
              </w:rPr>
            </w:pPr>
            <w:r>
              <w:rPr>
                <w:b/>
                <w:color w:val="0C0C0C"/>
                <w:spacing w:val="-2"/>
                <w:sz w:val="22"/>
              </w:rPr>
              <w:t>Total</w:t>
            </w:r>
          </w:p>
        </w:tc>
        <w:tc>
          <w:tcPr>
            <w:tcW w:w="1635" w:type="dxa"/>
          </w:tcPr>
          <w:p>
            <w:pPr>
              <w:pStyle w:val="TableParagraph"/>
              <w:rPr>
                <w:rFonts w:ascii="Times New Roman"/>
                <w:sz w:val="20"/>
              </w:rPr>
            </w:pPr>
          </w:p>
        </w:tc>
        <w:tc>
          <w:tcPr>
            <w:tcW w:w="1231" w:type="dxa"/>
            <w:tcBorders>
              <w:top w:val="single" w:color="000000" w:sz="6" w:space="0"/>
            </w:tcBorders>
          </w:tcPr>
          <w:p>
            <w:pPr>
              <w:pStyle w:val="TableParagraph"/>
              <w:spacing w:before="36" w:line="233" w:lineRule="exact"/>
              <w:ind w:right="134"/>
              <w:jc w:val="right"/>
              <w:rPr>
                <w:b/>
                <w:sz w:val="22"/>
              </w:rPr>
            </w:pPr>
            <w:r>
              <w:rPr>
                <w:b/>
                <w:color w:val="0C0C0C"/>
                <w:spacing w:val="-2"/>
                <w:sz w:val="22"/>
                <w:u w:val="thick" w:color="0C0C0C"/>
              </w:rPr>
              <w:t>(34,215)</w:t>
            </w:r>
          </w:p>
        </w:tc>
      </w:tr>
    </w:tbl>
    <w:p>
      <w:pPr>
        <w:spacing w:after="0" w:line="233" w:lineRule="exact"/>
        <w:jc w:val="right"/>
        <w:rPr>
          <w:sz w:val="22"/>
        </w:rPr>
        <w:sectPr>
          <w:headerReference w:type="even" r:id="rId207"/>
          <w:footerReference w:type="even" r:id="rId208"/>
          <w:footerReference w:type="default" r:id="rId209"/>
          <w:pgSz w:w="11910" w:h="16830"/>
          <w:pgMar w:top="240" w:right="300" w:bottom="960" w:left="0" w:header="0" w:footer="775"/>
        </w:sectPr>
      </w:pPr>
    </w:p>
    <w:p>
      <w:pPr>
        <w:tabs>
          <w:tab w:val="left" w:leader="none" w:pos="2143"/>
        </w:tabs>
        <w:spacing w:before="73"/>
        <w:ind w:left="1435" w:right="0" w:firstLine="0"/>
        <w:jc w:val="left"/>
        <w:rPr>
          <w:sz w:val="14"/>
        </w:rPr>
      </w:pPr>
      <w:r>
        <w:rPr>
          <w:color w:val="ACACAC"/>
          <w:spacing w:val="-10"/>
          <w:w w:val="105"/>
          <w:sz w:val="14"/>
        </w:rPr>
        <w:t>S</w:t>
      </w:r>
      <w:r>
        <w:rPr>
          <w:color w:val="ACACAC"/>
          <w:sz w:val="14"/>
        </w:rPr>
        <w:tab/>
      </w:r>
      <w:r>
        <w:rPr>
          <w:color w:val="ACACAC"/>
          <w:w w:val="105"/>
          <w:sz w:val="14"/>
        </w:rPr>
        <w:t>NOTES</w:t>
      </w:r>
      <w:r>
        <w:rPr>
          <w:color w:val="ACACAC"/>
          <w:spacing w:val="28"/>
          <w:w w:val="105"/>
          <w:sz w:val="14"/>
        </w:rPr>
        <w:t> </w:t>
      </w:r>
      <w:r>
        <w:rPr>
          <w:i/>
          <w:color w:val="ACACAC"/>
          <w:w w:val="105"/>
          <w:sz w:val="14"/>
        </w:rPr>
        <w:t>TO</w:t>
      </w:r>
      <w:r>
        <w:rPr>
          <w:i/>
          <w:color w:val="ACACAC"/>
          <w:spacing w:val="41"/>
          <w:w w:val="105"/>
          <w:sz w:val="14"/>
        </w:rPr>
        <w:t> </w:t>
      </w:r>
      <w:r>
        <w:rPr>
          <w:color w:val="ACACAC"/>
          <w:w w:val="105"/>
          <w:sz w:val="14"/>
        </w:rPr>
        <w:t>T E</w:t>
      </w:r>
      <w:r>
        <w:rPr>
          <w:color w:val="ACACAC"/>
          <w:spacing w:val="30"/>
          <w:w w:val="105"/>
          <w:sz w:val="14"/>
        </w:rPr>
        <w:t>  </w:t>
      </w:r>
      <w:r>
        <w:rPr>
          <w:color w:val="ACACAC"/>
          <w:spacing w:val="-2"/>
          <w:w w:val="105"/>
          <w:sz w:val="14"/>
        </w:rPr>
        <w:t>u.CCOUNTS</w:t>
      </w:r>
    </w:p>
    <w:p>
      <w:pPr>
        <w:pStyle w:val="BodyText"/>
        <w:spacing w:before="88"/>
        <w:rPr>
          <w:sz w:val="14"/>
        </w:rPr>
      </w:pPr>
    </w:p>
    <w:p>
      <w:pPr>
        <w:spacing w:before="0" w:line="241" w:lineRule="exact"/>
        <w:ind w:left="286" w:right="1902" w:firstLine="0"/>
        <w:jc w:val="center"/>
        <w:rPr>
          <w:sz w:val="21"/>
        </w:rPr>
      </w:pPr>
      <w:r>
        <w:rPr>
          <w:color w:val="111111"/>
          <w:w w:val="105"/>
          <w:sz w:val="21"/>
        </w:rPr>
        <w:t>A</w:t>
      </w:r>
      <w:r>
        <w:rPr>
          <w:color w:val="111111"/>
          <w:spacing w:val="-16"/>
          <w:w w:val="105"/>
          <w:sz w:val="21"/>
        </w:rPr>
        <w:t> </w:t>
      </w:r>
      <w:r>
        <w:rPr>
          <w:color w:val="111111"/>
          <w:w w:val="105"/>
          <w:sz w:val="21"/>
        </w:rPr>
        <w:t>brief</w:t>
      </w:r>
      <w:r>
        <w:rPr>
          <w:color w:val="111111"/>
          <w:spacing w:val="-10"/>
          <w:w w:val="105"/>
          <w:sz w:val="21"/>
        </w:rPr>
        <w:t> </w:t>
      </w:r>
      <w:r>
        <w:rPr>
          <w:color w:val="111111"/>
          <w:w w:val="105"/>
          <w:sz w:val="21"/>
        </w:rPr>
        <w:t>description</w:t>
      </w:r>
      <w:r>
        <w:rPr>
          <w:color w:val="111111"/>
          <w:spacing w:val="-3"/>
          <w:w w:val="105"/>
          <w:sz w:val="21"/>
        </w:rPr>
        <w:t> </w:t>
      </w:r>
      <w:r>
        <w:rPr>
          <w:color w:val="111111"/>
          <w:w w:val="105"/>
          <w:sz w:val="21"/>
        </w:rPr>
        <w:t>of</w:t>
      </w:r>
      <w:r>
        <w:rPr>
          <w:color w:val="111111"/>
          <w:spacing w:val="-13"/>
          <w:w w:val="105"/>
          <w:sz w:val="21"/>
        </w:rPr>
        <w:t> </w:t>
      </w:r>
      <w:r>
        <w:rPr>
          <w:color w:val="111111"/>
          <w:w w:val="105"/>
          <w:sz w:val="21"/>
        </w:rPr>
        <w:t>those</w:t>
      </w:r>
      <w:r>
        <w:rPr>
          <w:color w:val="111111"/>
          <w:spacing w:val="-6"/>
          <w:w w:val="105"/>
          <w:sz w:val="21"/>
        </w:rPr>
        <w:t> </w:t>
      </w:r>
      <w:r>
        <w:rPr>
          <w:color w:val="111111"/>
          <w:w w:val="105"/>
          <w:sz w:val="21"/>
        </w:rPr>
        <w:t>significant</w:t>
      </w:r>
      <w:r>
        <w:rPr>
          <w:color w:val="111111"/>
          <w:spacing w:val="-4"/>
          <w:w w:val="105"/>
          <w:sz w:val="21"/>
        </w:rPr>
        <w:t> </w:t>
      </w:r>
      <w:r>
        <w:rPr>
          <w:color w:val="111111"/>
          <w:w w:val="105"/>
          <w:sz w:val="21"/>
        </w:rPr>
        <w:t>reserves</w:t>
      </w:r>
      <w:r>
        <w:rPr>
          <w:color w:val="111111"/>
          <w:spacing w:val="-3"/>
          <w:w w:val="105"/>
          <w:sz w:val="21"/>
        </w:rPr>
        <w:t> </w:t>
      </w:r>
      <w:r>
        <w:rPr>
          <w:color w:val="111111"/>
          <w:w w:val="105"/>
          <w:sz w:val="21"/>
        </w:rPr>
        <w:t>disclosed</w:t>
      </w:r>
      <w:r>
        <w:rPr>
          <w:color w:val="111111"/>
          <w:spacing w:val="-4"/>
          <w:w w:val="105"/>
          <w:sz w:val="21"/>
        </w:rPr>
        <w:t> </w:t>
      </w:r>
      <w:r>
        <w:rPr>
          <w:color w:val="111111"/>
          <w:w w:val="105"/>
          <w:sz w:val="21"/>
        </w:rPr>
        <w:t>is</w:t>
      </w:r>
      <w:r>
        <w:rPr>
          <w:color w:val="111111"/>
          <w:spacing w:val="-9"/>
          <w:w w:val="105"/>
          <w:sz w:val="21"/>
        </w:rPr>
        <w:t> </w:t>
      </w:r>
      <w:r>
        <w:rPr>
          <w:color w:val="111111"/>
          <w:w w:val="105"/>
          <w:sz w:val="21"/>
        </w:rPr>
        <w:t>shown</w:t>
      </w:r>
      <w:r>
        <w:rPr>
          <w:color w:val="111111"/>
          <w:spacing w:val="-14"/>
          <w:w w:val="105"/>
          <w:sz w:val="21"/>
        </w:rPr>
        <w:t> </w:t>
      </w:r>
      <w:r>
        <w:rPr>
          <w:color w:val="111111"/>
          <w:spacing w:val="-2"/>
          <w:w w:val="105"/>
          <w:sz w:val="21"/>
        </w:rPr>
        <w:t>below</w:t>
      </w:r>
      <w:r>
        <w:rPr>
          <w:color w:val="4D4D4D"/>
          <w:spacing w:val="-2"/>
          <w:w w:val="105"/>
          <w:sz w:val="21"/>
        </w:rPr>
        <w:t>:</w:t>
      </w:r>
    </w:p>
    <w:p>
      <w:pPr>
        <w:tabs>
          <w:tab w:val="left" w:leader="none" w:pos="2045"/>
          <w:tab w:val="left" w:leader="none" w:pos="4512"/>
          <w:tab w:val="left" w:leader="none" w:pos="5331"/>
        </w:tabs>
        <w:spacing w:before="0" w:line="206" w:lineRule="exact"/>
        <w:ind w:left="0" w:right="1335" w:firstLine="0"/>
        <w:jc w:val="center"/>
        <w:rPr>
          <w:b/>
          <w:sz w:val="18"/>
        </w:rPr>
      </w:pPr>
      <w:r>
        <w:rPr>
          <w:b/>
          <w:color w:val="111111"/>
          <w:w w:val="95"/>
          <w:sz w:val="18"/>
        </w:rPr>
        <w:t>Earmarked</w:t>
      </w:r>
      <w:r>
        <w:rPr>
          <w:b/>
          <w:color w:val="111111"/>
          <w:spacing w:val="38"/>
          <w:sz w:val="18"/>
        </w:rPr>
        <w:t> </w:t>
      </w:r>
      <w:r>
        <w:rPr>
          <w:b/>
          <w:color w:val="111111"/>
          <w:spacing w:val="-2"/>
          <w:w w:val="95"/>
          <w:sz w:val="18"/>
        </w:rPr>
        <w:t>Reserve</w:t>
      </w:r>
      <w:r>
        <w:rPr>
          <w:b/>
          <w:color w:val="111111"/>
          <w:sz w:val="18"/>
        </w:rPr>
        <w:tab/>
      </w:r>
      <w:r>
        <w:rPr>
          <w:color w:val="4D4D4D"/>
          <w:spacing w:val="-10"/>
          <w:w w:val="85"/>
          <w:sz w:val="18"/>
        </w:rPr>
        <w:t>•</w:t>
      </w:r>
      <w:r>
        <w:rPr>
          <w:color w:val="4D4D4D"/>
          <w:sz w:val="18"/>
        </w:rPr>
        <w:tab/>
      </w:r>
      <w:r>
        <w:rPr>
          <w:color w:val="7C7C7C"/>
          <w:spacing w:val="-10"/>
          <w:w w:val="85"/>
          <w:sz w:val="18"/>
        </w:rPr>
        <w:t>•</w:t>
      </w:r>
      <w:r>
        <w:rPr>
          <w:color w:val="7C7C7C"/>
          <w:sz w:val="18"/>
        </w:rPr>
        <w:tab/>
      </w:r>
      <w:r>
        <w:rPr>
          <w:b/>
          <w:color w:val="111111"/>
          <w:spacing w:val="-2"/>
          <w:w w:val="95"/>
          <w:sz w:val="18"/>
        </w:rPr>
        <w:t>Description</w:t>
      </w:r>
    </w:p>
    <w:p>
      <w:pPr>
        <w:tabs>
          <w:tab w:val="left" w:leader="none" w:pos="2895"/>
        </w:tabs>
        <w:spacing w:before="29"/>
        <w:ind w:left="286" w:right="0" w:firstLine="0"/>
        <w:jc w:val="center"/>
        <w:rPr>
          <w:sz w:val="18"/>
        </w:rPr>
      </w:pPr>
      <w:r>
        <w:rPr>
          <w:color w:val="111111"/>
          <w:sz w:val="18"/>
        </w:rPr>
        <w:t>3</w:t>
      </w:r>
      <w:r>
        <w:rPr>
          <w:color w:val="111111"/>
          <w:spacing w:val="-4"/>
          <w:sz w:val="18"/>
        </w:rPr>
        <w:t> </w:t>
      </w:r>
      <w:r>
        <w:rPr>
          <w:color w:val="111111"/>
          <w:sz w:val="18"/>
        </w:rPr>
        <w:t>Valleys</w:t>
      </w:r>
      <w:r>
        <w:rPr>
          <w:color w:val="111111"/>
          <w:spacing w:val="2"/>
          <w:sz w:val="18"/>
        </w:rPr>
        <w:t> </w:t>
      </w:r>
      <w:r>
        <w:rPr>
          <w:color w:val="111111"/>
          <w:sz w:val="18"/>
        </w:rPr>
        <w:t>Way</w:t>
      </w:r>
      <w:r>
        <w:rPr>
          <w:color w:val="111111"/>
          <w:spacing w:val="1"/>
          <w:sz w:val="18"/>
        </w:rPr>
        <w:t> </w:t>
      </w:r>
      <w:r>
        <w:rPr>
          <w:color w:val="111111"/>
          <w:sz w:val="18"/>
        </w:rPr>
        <w:t>Play</w:t>
      </w:r>
      <w:r>
        <w:rPr>
          <w:color w:val="111111"/>
          <w:spacing w:val="-4"/>
          <w:sz w:val="18"/>
        </w:rPr>
        <w:t> Area</w:t>
      </w:r>
      <w:r>
        <w:rPr>
          <w:color w:val="111111"/>
          <w:sz w:val="18"/>
        </w:rPr>
        <w:tab/>
        <w:t>Developer</w:t>
      </w:r>
      <w:r>
        <w:rPr>
          <w:color w:val="111111"/>
          <w:spacing w:val="-3"/>
          <w:sz w:val="18"/>
        </w:rPr>
        <w:t> </w:t>
      </w:r>
      <w:r>
        <w:rPr>
          <w:color w:val="111111"/>
          <w:sz w:val="18"/>
        </w:rPr>
        <w:t>contributions</w:t>
      </w:r>
      <w:r>
        <w:rPr>
          <w:color w:val="111111"/>
          <w:spacing w:val="6"/>
          <w:sz w:val="18"/>
        </w:rPr>
        <w:t> </w:t>
      </w:r>
      <w:r>
        <w:rPr>
          <w:color w:val="111111"/>
          <w:sz w:val="18"/>
        </w:rPr>
        <w:t>for</w:t>
      </w:r>
      <w:r>
        <w:rPr>
          <w:color w:val="111111"/>
          <w:spacing w:val="-11"/>
          <w:sz w:val="18"/>
        </w:rPr>
        <w:t> </w:t>
      </w:r>
      <w:r>
        <w:rPr>
          <w:color w:val="111111"/>
          <w:sz w:val="18"/>
        </w:rPr>
        <w:t>the</w:t>
      </w:r>
      <w:r>
        <w:rPr>
          <w:color w:val="111111"/>
          <w:spacing w:val="-12"/>
          <w:sz w:val="18"/>
        </w:rPr>
        <w:t> </w:t>
      </w:r>
      <w:r>
        <w:rPr>
          <w:color w:val="111111"/>
          <w:sz w:val="18"/>
        </w:rPr>
        <w:t>maintenance</w:t>
      </w:r>
      <w:r>
        <w:rPr>
          <w:color w:val="111111"/>
          <w:spacing w:val="9"/>
          <w:sz w:val="18"/>
        </w:rPr>
        <w:t> </w:t>
      </w:r>
      <w:r>
        <w:rPr>
          <w:color w:val="111111"/>
          <w:sz w:val="18"/>
        </w:rPr>
        <w:t>and</w:t>
      </w:r>
      <w:r>
        <w:rPr>
          <w:color w:val="111111"/>
          <w:spacing w:val="-9"/>
          <w:sz w:val="18"/>
        </w:rPr>
        <w:t> </w:t>
      </w:r>
      <w:r>
        <w:rPr>
          <w:color w:val="111111"/>
          <w:sz w:val="18"/>
        </w:rPr>
        <w:t>upkeep of</w:t>
      </w:r>
      <w:r>
        <w:rPr>
          <w:color w:val="111111"/>
          <w:spacing w:val="-12"/>
          <w:sz w:val="18"/>
        </w:rPr>
        <w:t> </w:t>
      </w:r>
      <w:r>
        <w:rPr>
          <w:color w:val="111111"/>
          <w:sz w:val="18"/>
        </w:rPr>
        <w:t>new</w:t>
      </w:r>
      <w:r>
        <w:rPr>
          <w:color w:val="111111"/>
          <w:spacing w:val="-8"/>
          <w:sz w:val="18"/>
        </w:rPr>
        <w:t> </w:t>
      </w:r>
      <w:r>
        <w:rPr>
          <w:color w:val="111111"/>
          <w:sz w:val="18"/>
        </w:rPr>
        <w:t>play</w:t>
      </w:r>
      <w:r>
        <w:rPr>
          <w:color w:val="111111"/>
          <w:spacing w:val="-3"/>
          <w:sz w:val="18"/>
        </w:rPr>
        <w:t> </w:t>
      </w:r>
      <w:r>
        <w:rPr>
          <w:color w:val="111111"/>
          <w:spacing w:val="-2"/>
          <w:sz w:val="18"/>
        </w:rPr>
        <w:t>areas.</w:t>
      </w:r>
    </w:p>
    <w:p>
      <w:pPr>
        <w:spacing w:after="0"/>
        <w:jc w:val="center"/>
        <w:rPr>
          <w:sz w:val="18"/>
        </w:rPr>
        <w:sectPr>
          <w:headerReference w:type="default" r:id="rId211"/>
          <w:pgSz w:w="11910" w:h="16830"/>
          <w:pgMar w:top="940" w:right="300" w:bottom="1060" w:left="0" w:header="0" w:footer="0"/>
        </w:sectPr>
      </w:pPr>
    </w:p>
    <w:p>
      <w:pPr>
        <w:spacing w:before="143" w:line="324" w:lineRule="auto"/>
        <w:ind w:left="1626" w:right="664" w:firstLine="0"/>
        <w:jc w:val="left"/>
        <w:rPr>
          <w:sz w:val="18"/>
        </w:rPr>
      </w:pPr>
      <w:r>
        <w:rPr>
          <w:color w:val="111111"/>
          <w:sz w:val="18"/>
        </w:rPr>
        <w:t>3</w:t>
      </w:r>
      <w:r>
        <w:rPr>
          <w:color w:val="111111"/>
          <w:spacing w:val="-13"/>
          <w:sz w:val="18"/>
        </w:rPr>
        <w:t> </w:t>
      </w:r>
      <w:r>
        <w:rPr>
          <w:color w:val="111111"/>
          <w:sz w:val="18"/>
        </w:rPr>
        <w:t>Valleys</w:t>
      </w:r>
      <w:r>
        <w:rPr>
          <w:color w:val="111111"/>
          <w:spacing w:val="-12"/>
          <w:sz w:val="18"/>
        </w:rPr>
        <w:t> </w:t>
      </w:r>
      <w:r>
        <w:rPr>
          <w:color w:val="111111"/>
          <w:sz w:val="18"/>
        </w:rPr>
        <w:t>Way</w:t>
      </w:r>
      <w:r>
        <w:rPr>
          <w:color w:val="111111"/>
          <w:spacing w:val="-13"/>
          <w:sz w:val="18"/>
        </w:rPr>
        <w:t> </w:t>
      </w:r>
      <w:r>
        <w:rPr>
          <w:color w:val="111111"/>
          <w:sz w:val="18"/>
        </w:rPr>
        <w:t>Swal</w:t>
      </w:r>
      <w:r>
        <w:rPr>
          <w:color w:val="111111"/>
          <w:sz w:val="18"/>
        </w:rPr>
        <w:t>e</w:t>
      </w:r>
      <w:r>
        <w:rPr>
          <w:color w:val="111111"/>
          <w:sz w:val="18"/>
        </w:rPr>
        <w:t> Building Reserve</w:t>
      </w:r>
    </w:p>
    <w:p>
      <w:pPr>
        <w:spacing w:before="0" w:line="177" w:lineRule="exact"/>
        <w:ind w:left="1626" w:right="0" w:firstLine="0"/>
        <w:jc w:val="left"/>
        <w:rPr>
          <w:sz w:val="18"/>
        </w:rPr>
      </w:pPr>
      <w:r>
        <w:rPr>
          <w:color w:val="111111"/>
          <w:sz w:val="18"/>
        </w:rPr>
        <w:t>Business</w:t>
      </w:r>
      <w:r>
        <w:rPr>
          <w:color w:val="111111"/>
          <w:spacing w:val="2"/>
          <w:sz w:val="18"/>
        </w:rPr>
        <w:t> </w:t>
      </w:r>
      <w:r>
        <w:rPr>
          <w:color w:val="111111"/>
          <w:sz w:val="18"/>
        </w:rPr>
        <w:t>rates</w:t>
      </w:r>
      <w:r>
        <w:rPr>
          <w:color w:val="111111"/>
          <w:spacing w:val="-3"/>
          <w:sz w:val="18"/>
        </w:rPr>
        <w:t> </w:t>
      </w:r>
      <w:r>
        <w:rPr>
          <w:color w:val="111111"/>
          <w:spacing w:val="-2"/>
          <w:sz w:val="18"/>
        </w:rPr>
        <w:t>equalisation</w:t>
      </w:r>
    </w:p>
    <w:p>
      <w:pPr>
        <w:spacing w:before="48" w:line="489" w:lineRule="auto"/>
        <w:ind w:left="1630" w:right="352" w:firstLine="0"/>
        <w:jc w:val="left"/>
        <w:rPr>
          <w:sz w:val="18"/>
        </w:rPr>
      </w:pPr>
      <w:r>
        <w:rPr>
          <w:color w:val="111111"/>
          <w:sz w:val="18"/>
        </w:rPr>
        <w:t>Collection</w:t>
      </w:r>
      <w:r>
        <w:rPr>
          <w:color w:val="111111"/>
          <w:spacing w:val="-15"/>
          <w:sz w:val="18"/>
        </w:rPr>
        <w:t> </w:t>
      </w:r>
      <w:r>
        <w:rPr>
          <w:color w:val="111111"/>
          <w:sz w:val="18"/>
        </w:rPr>
        <w:t>fund</w:t>
      </w:r>
      <w:r>
        <w:rPr>
          <w:color w:val="111111"/>
          <w:spacing w:val="-12"/>
          <w:sz w:val="18"/>
        </w:rPr>
        <w:t> </w:t>
      </w:r>
      <w:r>
        <w:rPr>
          <w:color w:val="111111"/>
          <w:sz w:val="18"/>
        </w:rPr>
        <w:t>deficit CCTV Reserve</w:t>
      </w:r>
    </w:p>
    <w:p>
      <w:pPr>
        <w:spacing w:before="117"/>
        <w:ind w:left="1630" w:right="0" w:firstLine="0"/>
        <w:jc w:val="left"/>
        <w:rPr>
          <w:sz w:val="18"/>
        </w:rPr>
      </w:pPr>
      <w:r>
        <w:rPr>
          <w:color w:val="111111"/>
          <w:sz w:val="18"/>
        </w:rPr>
        <w:t>Civic</w:t>
      </w:r>
      <w:r>
        <w:rPr>
          <w:color w:val="111111"/>
          <w:spacing w:val="-6"/>
          <w:sz w:val="18"/>
        </w:rPr>
        <w:t> </w:t>
      </w:r>
      <w:r>
        <w:rPr>
          <w:color w:val="111111"/>
          <w:sz w:val="18"/>
        </w:rPr>
        <w:t>Offices</w:t>
      </w:r>
      <w:r>
        <w:rPr>
          <w:color w:val="111111"/>
          <w:spacing w:val="1"/>
          <w:sz w:val="18"/>
        </w:rPr>
        <w:t> </w:t>
      </w:r>
      <w:r>
        <w:rPr>
          <w:color w:val="111111"/>
          <w:sz w:val="18"/>
        </w:rPr>
        <w:t>Sinking</w:t>
      </w:r>
      <w:r>
        <w:rPr>
          <w:color w:val="111111"/>
          <w:spacing w:val="-9"/>
          <w:sz w:val="18"/>
        </w:rPr>
        <w:t> </w:t>
      </w:r>
      <w:r>
        <w:rPr>
          <w:color w:val="111111"/>
          <w:spacing w:val="-4"/>
          <w:sz w:val="18"/>
        </w:rPr>
        <w:t>Fund</w:t>
      </w:r>
    </w:p>
    <w:p>
      <w:pPr>
        <w:spacing w:before="177"/>
        <w:ind w:left="1635" w:right="0" w:hanging="5"/>
        <w:jc w:val="left"/>
        <w:rPr>
          <w:sz w:val="18"/>
        </w:rPr>
      </w:pPr>
      <w:r>
        <w:rPr>
          <w:color w:val="111111"/>
          <w:spacing w:val="-2"/>
          <w:sz w:val="18"/>
        </w:rPr>
        <w:t>Corporate</w:t>
      </w:r>
      <w:r>
        <w:rPr>
          <w:color w:val="111111"/>
          <w:spacing w:val="2"/>
          <w:sz w:val="18"/>
        </w:rPr>
        <w:t> </w:t>
      </w:r>
      <w:r>
        <w:rPr>
          <w:color w:val="111111"/>
          <w:spacing w:val="-2"/>
          <w:sz w:val="18"/>
        </w:rPr>
        <w:t>Consultation</w:t>
      </w:r>
    </w:p>
    <w:p>
      <w:pPr>
        <w:spacing w:before="72"/>
        <w:ind w:left="1630" w:right="0" w:firstLine="4"/>
        <w:jc w:val="left"/>
        <w:rPr>
          <w:sz w:val="18"/>
        </w:rPr>
      </w:pPr>
      <w:r>
        <w:rPr>
          <w:color w:val="111111"/>
          <w:sz w:val="18"/>
        </w:rPr>
        <w:t>Council</w:t>
      </w:r>
      <w:r>
        <w:rPr>
          <w:color w:val="111111"/>
          <w:spacing w:val="-13"/>
          <w:sz w:val="18"/>
        </w:rPr>
        <w:t> </w:t>
      </w:r>
      <w:r>
        <w:rPr>
          <w:color w:val="111111"/>
          <w:sz w:val="18"/>
        </w:rPr>
        <w:t>Contribution</w:t>
      </w:r>
      <w:r>
        <w:rPr>
          <w:color w:val="111111"/>
          <w:spacing w:val="-12"/>
          <w:sz w:val="18"/>
        </w:rPr>
        <w:t> </w:t>
      </w:r>
      <w:r>
        <w:rPr>
          <w:color w:val="111111"/>
          <w:sz w:val="18"/>
        </w:rPr>
        <w:t>to Pension Fund</w:t>
      </w:r>
    </w:p>
    <w:p>
      <w:pPr>
        <w:spacing w:before="110"/>
        <w:ind w:left="1630" w:right="0" w:firstLine="0"/>
        <w:jc w:val="left"/>
        <w:rPr>
          <w:sz w:val="18"/>
        </w:rPr>
      </w:pPr>
      <w:r>
        <w:rPr>
          <w:color w:val="111111"/>
          <w:spacing w:val="-2"/>
          <w:sz w:val="18"/>
        </w:rPr>
        <w:t>Covid-</w:t>
      </w:r>
      <w:r>
        <w:rPr>
          <w:color w:val="111111"/>
          <w:spacing w:val="-5"/>
          <w:sz w:val="18"/>
        </w:rPr>
        <w:t>19</w:t>
      </w:r>
    </w:p>
    <w:p>
      <w:pPr>
        <w:spacing w:before="124" w:line="326" w:lineRule="auto"/>
        <w:ind w:left="1629" w:right="352" w:firstLine="0"/>
        <w:jc w:val="left"/>
        <w:rPr>
          <w:sz w:val="18"/>
        </w:rPr>
      </w:pPr>
      <w:r>
        <w:rPr>
          <w:color w:val="111111"/>
          <w:sz w:val="18"/>
        </w:rPr>
        <w:t>EFS Sinking Fund Elections Reserve Emergency Funding EWC Housing Zone Fishers</w:t>
      </w:r>
      <w:r>
        <w:rPr>
          <w:color w:val="111111"/>
          <w:spacing w:val="-13"/>
          <w:sz w:val="18"/>
        </w:rPr>
        <w:t> </w:t>
      </w:r>
      <w:r>
        <w:rPr>
          <w:color w:val="111111"/>
          <w:sz w:val="18"/>
        </w:rPr>
        <w:t>Park</w:t>
      </w:r>
      <w:r>
        <w:rPr>
          <w:color w:val="111111"/>
          <w:spacing w:val="-12"/>
          <w:sz w:val="18"/>
        </w:rPr>
        <w:t> </w:t>
      </w:r>
      <w:r>
        <w:rPr>
          <w:color w:val="111111"/>
          <w:sz w:val="18"/>
        </w:rPr>
        <w:t>Play</w:t>
      </w:r>
      <w:r>
        <w:rPr>
          <w:color w:val="111111"/>
          <w:spacing w:val="-12"/>
          <w:sz w:val="18"/>
        </w:rPr>
        <w:t> </w:t>
      </w:r>
      <w:r>
        <w:rPr>
          <w:color w:val="111111"/>
          <w:sz w:val="18"/>
        </w:rPr>
        <w:t>Area</w:t>
      </w:r>
    </w:p>
    <w:p>
      <w:pPr>
        <w:spacing w:before="15"/>
        <w:ind w:left="1629" w:right="0" w:firstLine="0"/>
        <w:jc w:val="left"/>
        <w:rPr>
          <w:sz w:val="18"/>
        </w:rPr>
      </w:pPr>
      <w:r>
        <w:rPr>
          <w:color w:val="111111"/>
          <w:sz w:val="18"/>
        </w:rPr>
        <w:t>Flexible</w:t>
      </w:r>
      <w:r>
        <w:rPr>
          <w:color w:val="111111"/>
          <w:spacing w:val="-4"/>
          <w:sz w:val="18"/>
        </w:rPr>
        <w:t> </w:t>
      </w:r>
      <w:r>
        <w:rPr>
          <w:color w:val="111111"/>
          <w:sz w:val="18"/>
        </w:rPr>
        <w:t>Homeless</w:t>
      </w:r>
      <w:r>
        <w:rPr>
          <w:color w:val="111111"/>
          <w:spacing w:val="3"/>
          <w:sz w:val="18"/>
        </w:rPr>
        <w:t> </w:t>
      </w:r>
      <w:r>
        <w:rPr>
          <w:color w:val="111111"/>
          <w:spacing w:val="-2"/>
          <w:sz w:val="18"/>
        </w:rPr>
        <w:t>Support</w:t>
      </w:r>
    </w:p>
    <w:p>
      <w:pPr>
        <w:pStyle w:val="BodyText"/>
        <w:spacing w:before="9"/>
        <w:rPr>
          <w:sz w:val="18"/>
        </w:rPr>
      </w:pPr>
    </w:p>
    <w:p>
      <w:pPr>
        <w:spacing w:before="0" w:line="244" w:lineRule="auto"/>
        <w:ind w:left="1631" w:right="0" w:hanging="2"/>
        <w:jc w:val="left"/>
        <w:rPr>
          <w:sz w:val="18"/>
        </w:rPr>
      </w:pPr>
      <w:r>
        <w:rPr>
          <w:color w:val="111111"/>
          <w:sz w:val="18"/>
        </w:rPr>
        <w:t>Housing &amp; Council Tax Benefit</w:t>
      </w:r>
      <w:r>
        <w:rPr>
          <w:color w:val="111111"/>
          <w:spacing w:val="-13"/>
          <w:sz w:val="18"/>
        </w:rPr>
        <w:t> </w:t>
      </w:r>
      <w:r>
        <w:rPr>
          <w:color w:val="111111"/>
          <w:sz w:val="18"/>
        </w:rPr>
        <w:t>Equalisation</w:t>
      </w:r>
      <w:r>
        <w:rPr>
          <w:color w:val="111111"/>
          <w:spacing w:val="-7"/>
          <w:sz w:val="18"/>
        </w:rPr>
        <w:t> </w:t>
      </w:r>
      <w:r>
        <w:rPr>
          <w:color w:val="111111"/>
          <w:sz w:val="18"/>
        </w:rPr>
        <w:t>Account Human Resources strategy</w:t>
      </w:r>
    </w:p>
    <w:p>
      <w:pPr>
        <w:spacing w:before="78" w:line="244" w:lineRule="auto"/>
        <w:ind w:left="1632" w:right="0" w:firstLine="0"/>
        <w:jc w:val="left"/>
        <w:rPr>
          <w:sz w:val="18"/>
        </w:rPr>
      </w:pPr>
      <w:r>
        <w:rPr>
          <w:color w:val="111111"/>
          <w:sz w:val="18"/>
        </w:rPr>
        <w:t>Information Services Infrastructure</w:t>
      </w:r>
      <w:r>
        <w:rPr>
          <w:color w:val="111111"/>
          <w:spacing w:val="-11"/>
          <w:sz w:val="18"/>
        </w:rPr>
        <w:t> </w:t>
      </w:r>
      <w:r>
        <w:rPr>
          <w:color w:val="111111"/>
          <w:sz w:val="18"/>
        </w:rPr>
        <w:t>Replacement Innovation</w:t>
      </w:r>
      <w:r>
        <w:rPr>
          <w:color w:val="111111"/>
          <w:spacing w:val="-9"/>
          <w:sz w:val="18"/>
        </w:rPr>
        <w:t> </w:t>
      </w:r>
      <w:r>
        <w:rPr>
          <w:color w:val="111111"/>
          <w:sz w:val="18"/>
        </w:rPr>
        <w:t>&amp;</w:t>
      </w:r>
      <w:r>
        <w:rPr>
          <w:color w:val="111111"/>
          <w:spacing w:val="-12"/>
          <w:sz w:val="18"/>
        </w:rPr>
        <w:t> </w:t>
      </w:r>
      <w:r>
        <w:rPr>
          <w:color w:val="111111"/>
          <w:sz w:val="18"/>
        </w:rPr>
        <w:t>Investment</w:t>
      </w:r>
      <w:r>
        <w:rPr>
          <w:color w:val="111111"/>
          <w:spacing w:val="-11"/>
          <w:sz w:val="18"/>
        </w:rPr>
        <w:t> </w:t>
      </w:r>
      <w:r>
        <w:rPr>
          <w:color w:val="111111"/>
          <w:sz w:val="18"/>
        </w:rPr>
        <w:t>fund</w:t>
      </w:r>
    </w:p>
    <w:p>
      <w:pPr>
        <w:spacing w:before="68" w:line="345" w:lineRule="auto"/>
        <w:ind w:left="1635" w:right="1149" w:firstLine="0"/>
        <w:jc w:val="left"/>
        <w:rPr>
          <w:sz w:val="18"/>
        </w:rPr>
      </w:pPr>
      <w:r>
        <w:rPr>
          <w:color w:val="111111"/>
          <w:sz w:val="18"/>
        </w:rPr>
        <w:t>Land</w:t>
      </w:r>
      <w:r>
        <w:rPr>
          <w:color w:val="111111"/>
          <w:spacing w:val="-13"/>
          <w:sz w:val="18"/>
        </w:rPr>
        <w:t> </w:t>
      </w:r>
      <w:r>
        <w:rPr>
          <w:color w:val="111111"/>
          <w:sz w:val="18"/>
        </w:rPr>
        <w:t>Drainage LOS reserve</w:t>
      </w:r>
    </w:p>
    <w:p>
      <w:pPr>
        <w:spacing w:before="125"/>
        <w:ind w:left="1635" w:right="0" w:firstLine="0"/>
        <w:jc w:val="left"/>
        <w:rPr>
          <w:sz w:val="18"/>
        </w:rPr>
      </w:pPr>
      <w:r>
        <w:rPr>
          <w:color w:val="111111"/>
          <w:sz w:val="18"/>
        </w:rPr>
        <w:t>Minor</w:t>
      </w:r>
      <w:r>
        <w:rPr>
          <w:color w:val="111111"/>
          <w:spacing w:val="-10"/>
          <w:sz w:val="18"/>
        </w:rPr>
        <w:t> </w:t>
      </w:r>
      <w:r>
        <w:rPr>
          <w:color w:val="111111"/>
          <w:sz w:val="18"/>
        </w:rPr>
        <w:t>revenue</w:t>
      </w:r>
      <w:r>
        <w:rPr>
          <w:color w:val="111111"/>
          <w:spacing w:val="4"/>
          <w:sz w:val="18"/>
        </w:rPr>
        <w:t> </w:t>
      </w:r>
      <w:r>
        <w:rPr>
          <w:color w:val="111111"/>
          <w:spacing w:val="-2"/>
          <w:sz w:val="18"/>
        </w:rPr>
        <w:t>grants</w:t>
      </w:r>
    </w:p>
    <w:p>
      <w:pPr>
        <w:spacing w:before="115"/>
        <w:ind w:left="1634" w:right="630" w:firstLine="0"/>
        <w:jc w:val="left"/>
        <w:rPr>
          <w:sz w:val="18"/>
        </w:rPr>
      </w:pPr>
      <w:r>
        <w:rPr>
          <w:color w:val="111111"/>
          <w:sz w:val="18"/>
        </w:rPr>
        <w:t>New Homes Bonus Equalisation</w:t>
      </w:r>
      <w:r>
        <w:rPr>
          <w:color w:val="111111"/>
          <w:spacing w:val="-13"/>
          <w:sz w:val="18"/>
        </w:rPr>
        <w:t> </w:t>
      </w:r>
      <w:r>
        <w:rPr>
          <w:color w:val="111111"/>
          <w:sz w:val="18"/>
        </w:rPr>
        <w:t>Reserve</w:t>
      </w:r>
    </w:p>
    <w:p>
      <w:pPr>
        <w:spacing w:before="110"/>
        <w:ind w:left="1640" w:right="0" w:firstLine="0"/>
        <w:jc w:val="left"/>
        <w:rPr>
          <w:sz w:val="18"/>
        </w:rPr>
      </w:pPr>
      <w:r>
        <w:rPr>
          <w:color w:val="111111"/>
          <w:spacing w:val="-2"/>
          <w:sz w:val="18"/>
        </w:rPr>
        <w:t>Non-recurring</w:t>
      </w:r>
      <w:r>
        <w:rPr>
          <w:color w:val="111111"/>
          <w:spacing w:val="6"/>
          <w:sz w:val="18"/>
        </w:rPr>
        <w:t> </w:t>
      </w:r>
      <w:r>
        <w:rPr>
          <w:color w:val="111111"/>
          <w:spacing w:val="-2"/>
          <w:sz w:val="18"/>
        </w:rPr>
        <w:t>Items</w:t>
      </w:r>
    </w:p>
    <w:p>
      <w:pPr>
        <w:spacing w:before="62"/>
        <w:ind w:left="1635" w:right="0" w:firstLine="0"/>
        <w:jc w:val="left"/>
        <w:rPr>
          <w:sz w:val="18"/>
        </w:rPr>
      </w:pPr>
      <w:r>
        <w:rPr>
          <w:color w:val="111111"/>
          <w:sz w:val="18"/>
        </w:rPr>
        <w:t>Parking</w:t>
      </w:r>
      <w:r>
        <w:rPr>
          <w:color w:val="111111"/>
          <w:spacing w:val="-5"/>
          <w:sz w:val="18"/>
        </w:rPr>
        <w:t> </w:t>
      </w:r>
      <w:r>
        <w:rPr>
          <w:color w:val="111111"/>
          <w:sz w:val="18"/>
        </w:rPr>
        <w:t>Repairs</w:t>
      </w:r>
      <w:r>
        <w:rPr>
          <w:color w:val="111111"/>
          <w:spacing w:val="5"/>
          <w:sz w:val="18"/>
        </w:rPr>
        <w:t> </w:t>
      </w:r>
      <w:r>
        <w:rPr>
          <w:color w:val="111111"/>
          <w:sz w:val="18"/>
        </w:rPr>
        <w:t>&amp;</w:t>
      </w:r>
      <w:r>
        <w:rPr>
          <w:color w:val="111111"/>
          <w:spacing w:val="-5"/>
          <w:sz w:val="18"/>
        </w:rPr>
        <w:t> </w:t>
      </w:r>
      <w:r>
        <w:rPr>
          <w:color w:val="111111"/>
          <w:spacing w:val="-2"/>
          <w:sz w:val="18"/>
        </w:rPr>
        <w:t>Renewals</w:t>
      </w:r>
    </w:p>
    <w:p>
      <w:pPr>
        <w:spacing w:before="153" w:line="316" w:lineRule="auto"/>
        <w:ind w:left="1639" w:right="0" w:firstLine="0"/>
        <w:jc w:val="left"/>
        <w:rPr>
          <w:sz w:val="18"/>
        </w:rPr>
      </w:pPr>
      <w:r>
        <w:rPr>
          <w:color w:val="111111"/>
          <w:sz w:val="18"/>
        </w:rPr>
        <w:t>Parks</w:t>
      </w:r>
      <w:r>
        <w:rPr>
          <w:color w:val="111111"/>
          <w:spacing w:val="-15"/>
          <w:sz w:val="18"/>
        </w:rPr>
        <w:t> </w:t>
      </w:r>
      <w:r>
        <w:rPr>
          <w:color w:val="111111"/>
          <w:sz w:val="18"/>
        </w:rPr>
        <w:t>Play</w:t>
      </w:r>
      <w:r>
        <w:rPr>
          <w:color w:val="111111"/>
          <w:spacing w:val="-12"/>
          <w:sz w:val="18"/>
        </w:rPr>
        <w:t> </w:t>
      </w:r>
      <w:r>
        <w:rPr>
          <w:color w:val="111111"/>
          <w:sz w:val="18"/>
        </w:rPr>
        <w:t>Equipment Recycling Initiatives</w:t>
      </w:r>
    </w:p>
    <w:p>
      <w:pPr>
        <w:spacing w:before="26" w:line="244" w:lineRule="auto"/>
        <w:ind w:left="1639" w:right="0" w:firstLine="0"/>
        <w:jc w:val="left"/>
        <w:rPr>
          <w:sz w:val="18"/>
        </w:rPr>
      </w:pPr>
      <w:r>
        <w:rPr>
          <w:color w:val="111111"/>
          <w:sz w:val="18"/>
        </w:rPr>
        <w:t>Uninsured</w:t>
      </w:r>
      <w:r>
        <w:rPr>
          <w:color w:val="111111"/>
          <w:spacing w:val="-13"/>
          <w:sz w:val="18"/>
        </w:rPr>
        <w:t> </w:t>
      </w:r>
      <w:r>
        <w:rPr>
          <w:color w:val="111111"/>
          <w:sz w:val="18"/>
        </w:rPr>
        <w:t>Losses</w:t>
      </w:r>
      <w:r>
        <w:rPr>
          <w:color w:val="111111"/>
          <w:spacing w:val="-12"/>
          <w:sz w:val="18"/>
        </w:rPr>
        <w:t> </w:t>
      </w:r>
      <w:r>
        <w:rPr>
          <w:color w:val="111111"/>
          <w:sz w:val="18"/>
        </w:rPr>
        <w:t>Garages </w:t>
      </w:r>
      <w:r>
        <w:rPr>
          <w:color w:val="111111"/>
          <w:spacing w:val="-2"/>
          <w:sz w:val="18"/>
        </w:rPr>
        <w:t>Reserve</w:t>
      </w:r>
    </w:p>
    <w:p>
      <w:pPr>
        <w:spacing w:before="101"/>
        <w:ind w:left="1639" w:right="0" w:firstLine="0"/>
        <w:jc w:val="left"/>
        <w:rPr>
          <w:sz w:val="18"/>
        </w:rPr>
      </w:pPr>
      <w:r>
        <w:rPr>
          <w:color w:val="111111"/>
          <w:sz w:val="18"/>
        </w:rPr>
        <w:t>Uninsured</w:t>
      </w:r>
      <w:r>
        <w:rPr>
          <w:color w:val="111111"/>
          <w:spacing w:val="-6"/>
          <w:sz w:val="18"/>
        </w:rPr>
        <w:t> </w:t>
      </w:r>
      <w:r>
        <w:rPr>
          <w:color w:val="111111"/>
          <w:sz w:val="18"/>
        </w:rPr>
        <w:t>Losses</w:t>
      </w:r>
      <w:r>
        <w:rPr>
          <w:color w:val="111111"/>
          <w:spacing w:val="-8"/>
          <w:sz w:val="18"/>
        </w:rPr>
        <w:t> </w:t>
      </w:r>
      <w:r>
        <w:rPr>
          <w:color w:val="111111"/>
          <w:spacing w:val="-2"/>
          <w:sz w:val="18"/>
        </w:rPr>
        <w:t>reserve</w:t>
      </w:r>
    </w:p>
    <w:p>
      <w:pPr>
        <w:spacing w:before="110"/>
        <w:ind w:left="1639" w:right="352" w:firstLine="2"/>
        <w:jc w:val="left"/>
        <w:rPr>
          <w:sz w:val="18"/>
        </w:rPr>
      </w:pPr>
      <w:r>
        <w:rPr>
          <w:color w:val="111111"/>
          <w:sz w:val="18"/>
        </w:rPr>
        <w:t>Waste</w:t>
      </w:r>
      <w:r>
        <w:rPr>
          <w:color w:val="111111"/>
          <w:spacing w:val="-13"/>
          <w:sz w:val="18"/>
        </w:rPr>
        <w:t> </w:t>
      </w:r>
      <w:r>
        <w:rPr>
          <w:color w:val="111111"/>
          <w:sz w:val="18"/>
        </w:rPr>
        <w:t>Services</w:t>
      </w:r>
      <w:r>
        <w:rPr>
          <w:color w:val="111111"/>
          <w:spacing w:val="-9"/>
          <w:sz w:val="18"/>
        </w:rPr>
        <w:t> </w:t>
      </w:r>
      <w:r>
        <w:rPr>
          <w:color w:val="111111"/>
          <w:sz w:val="18"/>
        </w:rPr>
        <w:t>Vehicles </w:t>
      </w:r>
      <w:r>
        <w:rPr>
          <w:color w:val="111111"/>
          <w:spacing w:val="-2"/>
          <w:sz w:val="18"/>
        </w:rPr>
        <w:t>Replacement</w:t>
      </w:r>
    </w:p>
    <w:p>
      <w:pPr>
        <w:spacing w:before="143" w:line="316" w:lineRule="auto"/>
        <w:ind w:left="229" w:right="894" w:hanging="5"/>
        <w:jc w:val="left"/>
        <w:rPr>
          <w:sz w:val="18"/>
        </w:rPr>
      </w:pPr>
      <w:r>
        <w:rPr/>
        <w:br w:type="column"/>
      </w:r>
      <w:r>
        <w:rPr>
          <w:color w:val="111111"/>
          <w:sz w:val="18"/>
        </w:rPr>
        <w:t>Developer</w:t>
      </w:r>
      <w:r>
        <w:rPr>
          <w:color w:val="111111"/>
          <w:spacing w:val="-2"/>
          <w:sz w:val="18"/>
        </w:rPr>
        <w:t> </w:t>
      </w:r>
      <w:r>
        <w:rPr>
          <w:color w:val="111111"/>
          <w:sz w:val="18"/>
        </w:rPr>
        <w:t>contributions</w:t>
      </w:r>
      <w:r>
        <w:rPr>
          <w:color w:val="111111"/>
          <w:spacing w:val="-4"/>
          <w:sz w:val="18"/>
        </w:rPr>
        <w:t> </w:t>
      </w:r>
      <w:r>
        <w:rPr>
          <w:color w:val="111111"/>
          <w:sz w:val="18"/>
        </w:rPr>
        <w:t>for</w:t>
      </w:r>
      <w:r>
        <w:rPr>
          <w:color w:val="111111"/>
          <w:spacing w:val="-12"/>
          <w:sz w:val="18"/>
        </w:rPr>
        <w:t> </w:t>
      </w:r>
      <w:r>
        <w:rPr>
          <w:color w:val="111111"/>
          <w:sz w:val="18"/>
        </w:rPr>
        <w:t>the</w:t>
      </w:r>
      <w:r>
        <w:rPr>
          <w:color w:val="111111"/>
          <w:spacing w:val="-13"/>
          <w:sz w:val="18"/>
        </w:rPr>
        <w:t> </w:t>
      </w:r>
      <w:r>
        <w:rPr>
          <w:color w:val="111111"/>
          <w:sz w:val="18"/>
        </w:rPr>
        <w:t>maintenance</w:t>
      </w:r>
      <w:r>
        <w:rPr>
          <w:color w:val="111111"/>
          <w:spacing w:val="8"/>
          <w:sz w:val="18"/>
        </w:rPr>
        <w:t> </w:t>
      </w:r>
      <w:r>
        <w:rPr>
          <w:color w:val="111111"/>
          <w:sz w:val="18"/>
        </w:rPr>
        <w:t>and</w:t>
      </w:r>
      <w:r>
        <w:rPr>
          <w:color w:val="111111"/>
          <w:spacing w:val="-11"/>
          <w:sz w:val="18"/>
        </w:rPr>
        <w:t> </w:t>
      </w:r>
      <w:r>
        <w:rPr>
          <w:color w:val="111111"/>
          <w:sz w:val="18"/>
        </w:rPr>
        <w:t>upkeep</w:t>
      </w:r>
      <w:r>
        <w:rPr>
          <w:color w:val="111111"/>
          <w:spacing w:val="-7"/>
          <w:sz w:val="18"/>
        </w:rPr>
        <w:t> </w:t>
      </w:r>
      <w:r>
        <w:rPr>
          <w:color w:val="111111"/>
          <w:sz w:val="18"/>
        </w:rPr>
        <w:t>of</w:t>
      </w:r>
      <w:r>
        <w:rPr>
          <w:color w:val="111111"/>
          <w:spacing w:val="-13"/>
          <w:sz w:val="18"/>
        </w:rPr>
        <w:t> </w:t>
      </w:r>
      <w:r>
        <w:rPr>
          <w:color w:val="111111"/>
          <w:sz w:val="18"/>
        </w:rPr>
        <w:t>SuDS/Swale</w:t>
      </w:r>
      <w:r>
        <w:rPr>
          <w:color w:val="111111"/>
          <w:spacing w:val="10"/>
          <w:sz w:val="18"/>
        </w:rPr>
        <w:t> </w:t>
      </w:r>
      <w:r>
        <w:rPr>
          <w:color w:val="111111"/>
          <w:sz w:val="18"/>
        </w:rPr>
        <w:t>areas. To fund maintenance costs in excess of revenue budget provision.</w:t>
      </w:r>
    </w:p>
    <w:p>
      <w:pPr>
        <w:spacing w:before="0" w:line="189" w:lineRule="exact"/>
        <w:ind w:left="224" w:right="0" w:firstLine="0"/>
        <w:jc w:val="left"/>
        <w:rPr>
          <w:sz w:val="18"/>
        </w:rPr>
      </w:pPr>
      <w:r>
        <w:rPr>
          <w:color w:val="111111"/>
          <w:sz w:val="18"/>
        </w:rPr>
        <w:t>To</w:t>
      </w:r>
      <w:r>
        <w:rPr>
          <w:color w:val="111111"/>
          <w:spacing w:val="-5"/>
          <w:sz w:val="18"/>
        </w:rPr>
        <w:t> </w:t>
      </w:r>
      <w:r>
        <w:rPr>
          <w:color w:val="111111"/>
          <w:sz w:val="18"/>
        </w:rPr>
        <w:t>fund</w:t>
      </w:r>
      <w:r>
        <w:rPr>
          <w:color w:val="111111"/>
          <w:spacing w:val="1"/>
          <w:sz w:val="18"/>
        </w:rPr>
        <w:t> </w:t>
      </w:r>
      <w:r>
        <w:rPr>
          <w:color w:val="111111"/>
          <w:sz w:val="18"/>
        </w:rPr>
        <w:t>shortfalls</w:t>
      </w:r>
      <w:r>
        <w:rPr>
          <w:color w:val="111111"/>
          <w:spacing w:val="4"/>
          <w:sz w:val="18"/>
        </w:rPr>
        <w:t> </w:t>
      </w:r>
      <w:r>
        <w:rPr>
          <w:color w:val="111111"/>
          <w:sz w:val="18"/>
        </w:rPr>
        <w:t>in</w:t>
      </w:r>
      <w:r>
        <w:rPr>
          <w:color w:val="111111"/>
          <w:spacing w:val="-13"/>
          <w:sz w:val="18"/>
        </w:rPr>
        <w:t> </w:t>
      </w:r>
      <w:r>
        <w:rPr>
          <w:color w:val="111111"/>
          <w:sz w:val="18"/>
        </w:rPr>
        <w:t>business</w:t>
      </w:r>
      <w:r>
        <w:rPr>
          <w:color w:val="111111"/>
          <w:spacing w:val="4"/>
          <w:sz w:val="18"/>
        </w:rPr>
        <w:t> </w:t>
      </w:r>
      <w:r>
        <w:rPr>
          <w:color w:val="111111"/>
          <w:sz w:val="18"/>
        </w:rPr>
        <w:t>rates </w:t>
      </w:r>
      <w:r>
        <w:rPr>
          <w:color w:val="111111"/>
          <w:spacing w:val="-2"/>
          <w:sz w:val="18"/>
        </w:rPr>
        <w:t>generation.</w:t>
      </w:r>
    </w:p>
    <w:p>
      <w:pPr>
        <w:spacing w:before="43"/>
        <w:ind w:left="231" w:right="306" w:hanging="8"/>
        <w:jc w:val="left"/>
        <w:rPr>
          <w:sz w:val="18"/>
        </w:rPr>
      </w:pPr>
      <w:r>
        <w:rPr>
          <w:color w:val="111111"/>
          <w:sz w:val="18"/>
        </w:rPr>
        <w:t>To</w:t>
      </w:r>
      <w:r>
        <w:rPr>
          <w:color w:val="111111"/>
          <w:spacing w:val="-3"/>
          <w:sz w:val="18"/>
        </w:rPr>
        <w:t> </w:t>
      </w:r>
      <w:r>
        <w:rPr>
          <w:color w:val="111111"/>
          <w:sz w:val="18"/>
        </w:rPr>
        <w:t>fund</w:t>
      </w:r>
      <w:r>
        <w:rPr>
          <w:color w:val="111111"/>
          <w:spacing w:val="-8"/>
          <w:sz w:val="18"/>
        </w:rPr>
        <w:t> </w:t>
      </w:r>
      <w:r>
        <w:rPr>
          <w:color w:val="111111"/>
          <w:sz w:val="18"/>
        </w:rPr>
        <w:t>the</w:t>
      </w:r>
      <w:r>
        <w:rPr>
          <w:color w:val="111111"/>
          <w:spacing w:val="-2"/>
          <w:sz w:val="18"/>
        </w:rPr>
        <w:t> </w:t>
      </w:r>
      <w:r>
        <w:rPr>
          <w:color w:val="111111"/>
          <w:sz w:val="18"/>
        </w:rPr>
        <w:t>2020/21 collection</w:t>
      </w:r>
      <w:r>
        <w:rPr>
          <w:color w:val="111111"/>
          <w:spacing w:val="-1"/>
          <w:sz w:val="18"/>
        </w:rPr>
        <w:t> </w:t>
      </w:r>
      <w:r>
        <w:rPr>
          <w:color w:val="111111"/>
          <w:sz w:val="18"/>
        </w:rPr>
        <w:t>fund</w:t>
      </w:r>
      <w:r>
        <w:rPr>
          <w:color w:val="111111"/>
          <w:spacing w:val="-10"/>
          <w:sz w:val="18"/>
        </w:rPr>
        <w:t> </w:t>
      </w:r>
      <w:r>
        <w:rPr>
          <w:color w:val="111111"/>
          <w:sz w:val="18"/>
        </w:rPr>
        <w:t>deficit that</w:t>
      </w:r>
      <w:r>
        <w:rPr>
          <w:color w:val="111111"/>
          <w:spacing w:val="-5"/>
          <w:sz w:val="18"/>
        </w:rPr>
        <w:t> </w:t>
      </w:r>
      <w:r>
        <w:rPr>
          <w:color w:val="111111"/>
          <w:sz w:val="18"/>
        </w:rPr>
        <w:t>has</w:t>
      </w:r>
      <w:r>
        <w:rPr>
          <w:color w:val="111111"/>
          <w:spacing w:val="-3"/>
          <w:sz w:val="18"/>
        </w:rPr>
        <w:t> </w:t>
      </w:r>
      <w:r>
        <w:rPr>
          <w:color w:val="111111"/>
          <w:sz w:val="18"/>
        </w:rPr>
        <w:t>arisen</w:t>
      </w:r>
      <w:r>
        <w:rPr>
          <w:color w:val="111111"/>
          <w:spacing w:val="-4"/>
          <w:sz w:val="18"/>
        </w:rPr>
        <w:t> </w:t>
      </w:r>
      <w:r>
        <w:rPr>
          <w:color w:val="111111"/>
          <w:sz w:val="18"/>
        </w:rPr>
        <w:t>due</w:t>
      </w:r>
      <w:r>
        <w:rPr>
          <w:color w:val="111111"/>
          <w:spacing w:val="-3"/>
          <w:sz w:val="18"/>
        </w:rPr>
        <w:t> </w:t>
      </w:r>
      <w:r>
        <w:rPr>
          <w:color w:val="111111"/>
          <w:sz w:val="18"/>
        </w:rPr>
        <w:t>to</w:t>
      </w:r>
      <w:r>
        <w:rPr>
          <w:color w:val="111111"/>
          <w:spacing w:val="-6"/>
          <w:sz w:val="18"/>
        </w:rPr>
        <w:t> </w:t>
      </w:r>
      <w:r>
        <w:rPr>
          <w:color w:val="111111"/>
          <w:sz w:val="18"/>
        </w:rPr>
        <w:t>the</w:t>
      </w:r>
      <w:r>
        <w:rPr>
          <w:color w:val="111111"/>
          <w:spacing w:val="-5"/>
          <w:sz w:val="18"/>
        </w:rPr>
        <w:t> </w:t>
      </w:r>
      <w:r>
        <w:rPr>
          <w:color w:val="111111"/>
          <w:sz w:val="18"/>
        </w:rPr>
        <w:t>Covid-19</w:t>
      </w:r>
      <w:r>
        <w:rPr>
          <w:color w:val="111111"/>
          <w:spacing w:val="-2"/>
          <w:sz w:val="18"/>
        </w:rPr>
        <w:t> </w:t>
      </w:r>
      <w:r>
        <w:rPr>
          <w:color w:val="111111"/>
          <w:sz w:val="18"/>
        </w:rPr>
        <w:t>pandemic and is</w:t>
      </w:r>
      <w:r>
        <w:rPr>
          <w:color w:val="111111"/>
          <w:spacing w:val="-4"/>
          <w:sz w:val="18"/>
        </w:rPr>
        <w:t> </w:t>
      </w:r>
      <w:r>
        <w:rPr>
          <w:color w:val="111111"/>
          <w:sz w:val="18"/>
        </w:rPr>
        <w:t>to</w:t>
      </w:r>
      <w:r>
        <w:rPr>
          <w:color w:val="111111"/>
          <w:spacing w:val="-1"/>
          <w:sz w:val="18"/>
        </w:rPr>
        <w:t> </w:t>
      </w:r>
      <w:r>
        <w:rPr>
          <w:color w:val="111111"/>
          <w:sz w:val="18"/>
        </w:rPr>
        <w:t>be spread over the next three years in </w:t>
      </w:r>
      <w:r>
        <w:rPr>
          <w:color w:val="282828"/>
          <w:sz w:val="18"/>
        </w:rPr>
        <w:t>accordance </w:t>
      </w:r>
      <w:r>
        <w:rPr>
          <w:color w:val="111111"/>
          <w:sz w:val="18"/>
        </w:rPr>
        <w:t>with </w:t>
      </w:r>
      <w:r>
        <w:rPr>
          <w:color w:val="282828"/>
          <w:sz w:val="18"/>
        </w:rPr>
        <w:t>legislation.</w:t>
      </w:r>
    </w:p>
    <w:p>
      <w:pPr>
        <w:spacing w:before="14"/>
        <w:ind w:left="237" w:right="0" w:hanging="9"/>
        <w:jc w:val="left"/>
        <w:rPr>
          <w:sz w:val="18"/>
        </w:rPr>
      </w:pPr>
      <w:r>
        <w:rPr>
          <w:color w:val="111111"/>
          <w:sz w:val="18"/>
        </w:rPr>
        <w:t>To</w:t>
      </w:r>
      <w:r>
        <w:rPr>
          <w:color w:val="111111"/>
          <w:spacing w:val="-6"/>
          <w:sz w:val="18"/>
        </w:rPr>
        <w:t> </w:t>
      </w:r>
      <w:r>
        <w:rPr>
          <w:color w:val="111111"/>
          <w:sz w:val="18"/>
        </w:rPr>
        <w:t>fund</w:t>
      </w:r>
      <w:r>
        <w:rPr>
          <w:color w:val="111111"/>
          <w:spacing w:val="-4"/>
          <w:sz w:val="18"/>
        </w:rPr>
        <w:t> </w:t>
      </w:r>
      <w:r>
        <w:rPr>
          <w:color w:val="111111"/>
          <w:sz w:val="18"/>
        </w:rPr>
        <w:t>the</w:t>
      </w:r>
      <w:r>
        <w:rPr>
          <w:color w:val="111111"/>
          <w:spacing w:val="-4"/>
          <w:sz w:val="18"/>
        </w:rPr>
        <w:t> </w:t>
      </w:r>
      <w:r>
        <w:rPr>
          <w:color w:val="111111"/>
          <w:sz w:val="18"/>
        </w:rPr>
        <w:t>future provision of</w:t>
      </w:r>
      <w:r>
        <w:rPr>
          <w:color w:val="111111"/>
          <w:spacing w:val="-15"/>
          <w:sz w:val="18"/>
        </w:rPr>
        <w:t> </w:t>
      </w:r>
      <w:r>
        <w:rPr>
          <w:color w:val="111111"/>
          <w:sz w:val="18"/>
        </w:rPr>
        <w:t>the</w:t>
      </w:r>
      <w:r>
        <w:rPr>
          <w:color w:val="111111"/>
          <w:spacing w:val="-4"/>
          <w:sz w:val="18"/>
        </w:rPr>
        <w:t> </w:t>
      </w:r>
      <w:r>
        <w:rPr>
          <w:color w:val="111111"/>
          <w:sz w:val="18"/>
        </w:rPr>
        <w:t>management</w:t>
      </w:r>
      <w:r>
        <w:rPr>
          <w:color w:val="111111"/>
          <w:spacing w:val="19"/>
          <w:sz w:val="18"/>
        </w:rPr>
        <w:t> </w:t>
      </w:r>
      <w:r>
        <w:rPr>
          <w:color w:val="282828"/>
          <w:sz w:val="18"/>
        </w:rPr>
        <w:t>and</w:t>
      </w:r>
      <w:r>
        <w:rPr>
          <w:color w:val="282828"/>
          <w:spacing w:val="-13"/>
          <w:sz w:val="18"/>
        </w:rPr>
        <w:t> </w:t>
      </w:r>
      <w:r>
        <w:rPr>
          <w:color w:val="111111"/>
          <w:sz w:val="18"/>
        </w:rPr>
        <w:t>maintenance </w:t>
      </w:r>
      <w:r>
        <w:rPr>
          <w:color w:val="282828"/>
          <w:sz w:val="18"/>
        </w:rPr>
        <w:t>of</w:t>
      </w:r>
      <w:r>
        <w:rPr>
          <w:color w:val="282828"/>
          <w:spacing w:val="-11"/>
          <w:sz w:val="18"/>
        </w:rPr>
        <w:t> </w:t>
      </w:r>
      <w:r>
        <w:rPr>
          <w:color w:val="111111"/>
          <w:sz w:val="18"/>
        </w:rPr>
        <w:t>the</w:t>
      </w:r>
      <w:r>
        <w:rPr>
          <w:color w:val="111111"/>
          <w:spacing w:val="-9"/>
          <w:sz w:val="18"/>
        </w:rPr>
        <w:t> </w:t>
      </w:r>
      <w:r>
        <w:rPr>
          <w:color w:val="111111"/>
          <w:sz w:val="18"/>
        </w:rPr>
        <w:t>council's CCTV </w:t>
      </w:r>
      <w:r>
        <w:rPr>
          <w:color w:val="111111"/>
          <w:spacing w:val="-2"/>
          <w:sz w:val="18"/>
        </w:rPr>
        <w:t>service.</w:t>
      </w:r>
    </w:p>
    <w:p>
      <w:pPr>
        <w:spacing w:before="119"/>
        <w:ind w:left="229" w:right="0" w:firstLine="0"/>
        <w:jc w:val="left"/>
        <w:rPr>
          <w:sz w:val="18"/>
        </w:rPr>
      </w:pPr>
      <w:r>
        <w:rPr>
          <w:color w:val="111111"/>
          <w:sz w:val="18"/>
        </w:rPr>
        <w:t>Property</w:t>
      </w:r>
      <w:r>
        <w:rPr>
          <w:color w:val="111111"/>
          <w:spacing w:val="-3"/>
          <w:sz w:val="18"/>
        </w:rPr>
        <w:t> </w:t>
      </w:r>
      <w:r>
        <w:rPr>
          <w:color w:val="111111"/>
          <w:sz w:val="18"/>
        </w:rPr>
        <w:t>&amp;</w:t>
      </w:r>
      <w:r>
        <w:rPr>
          <w:color w:val="111111"/>
          <w:spacing w:val="-8"/>
          <w:sz w:val="18"/>
        </w:rPr>
        <w:t> </w:t>
      </w:r>
      <w:r>
        <w:rPr>
          <w:color w:val="111111"/>
          <w:sz w:val="18"/>
        </w:rPr>
        <w:t>equipment</w:t>
      </w:r>
      <w:r>
        <w:rPr>
          <w:color w:val="111111"/>
          <w:spacing w:val="6"/>
          <w:sz w:val="18"/>
        </w:rPr>
        <w:t> </w:t>
      </w:r>
      <w:r>
        <w:rPr>
          <w:color w:val="111111"/>
          <w:sz w:val="18"/>
        </w:rPr>
        <w:t>replacement</w:t>
      </w:r>
      <w:r>
        <w:rPr>
          <w:color w:val="111111"/>
          <w:spacing w:val="8"/>
          <w:sz w:val="18"/>
        </w:rPr>
        <w:t> </w:t>
      </w:r>
      <w:r>
        <w:rPr>
          <w:color w:val="111111"/>
          <w:sz w:val="18"/>
        </w:rPr>
        <w:t>reserve</w:t>
      </w:r>
      <w:r>
        <w:rPr>
          <w:color w:val="111111"/>
          <w:spacing w:val="-4"/>
          <w:sz w:val="18"/>
        </w:rPr>
        <w:t> </w:t>
      </w:r>
      <w:r>
        <w:rPr>
          <w:color w:val="111111"/>
          <w:sz w:val="18"/>
        </w:rPr>
        <w:t>for</w:t>
      </w:r>
      <w:r>
        <w:rPr>
          <w:color w:val="111111"/>
          <w:spacing w:val="-9"/>
          <w:sz w:val="18"/>
        </w:rPr>
        <w:t> </w:t>
      </w:r>
      <w:r>
        <w:rPr>
          <w:color w:val="111111"/>
          <w:sz w:val="18"/>
        </w:rPr>
        <w:t>the</w:t>
      </w:r>
      <w:r>
        <w:rPr>
          <w:color w:val="111111"/>
          <w:spacing w:val="-12"/>
          <w:sz w:val="18"/>
        </w:rPr>
        <w:t> </w:t>
      </w:r>
      <w:r>
        <w:rPr>
          <w:color w:val="111111"/>
          <w:sz w:val="18"/>
        </w:rPr>
        <w:t>Civic</w:t>
      </w:r>
      <w:r>
        <w:rPr>
          <w:color w:val="111111"/>
          <w:spacing w:val="-8"/>
          <w:sz w:val="18"/>
        </w:rPr>
        <w:t> </w:t>
      </w:r>
      <w:r>
        <w:rPr>
          <w:color w:val="111111"/>
          <w:spacing w:val="-2"/>
          <w:sz w:val="18"/>
        </w:rPr>
        <w:t>Offices.</w:t>
      </w:r>
    </w:p>
    <w:p>
      <w:pPr>
        <w:spacing w:before="178"/>
        <w:ind w:left="228" w:right="0" w:firstLine="0"/>
        <w:jc w:val="left"/>
        <w:rPr>
          <w:sz w:val="18"/>
        </w:rPr>
      </w:pPr>
      <w:r>
        <w:rPr>
          <w:color w:val="111111"/>
          <w:sz w:val="18"/>
        </w:rPr>
        <w:t>Funds</w:t>
      </w:r>
      <w:r>
        <w:rPr>
          <w:color w:val="111111"/>
          <w:spacing w:val="4"/>
          <w:sz w:val="18"/>
        </w:rPr>
        <w:t> </w:t>
      </w:r>
      <w:r>
        <w:rPr>
          <w:color w:val="111111"/>
          <w:sz w:val="18"/>
        </w:rPr>
        <w:t>set</w:t>
      </w:r>
      <w:r>
        <w:rPr>
          <w:color w:val="111111"/>
          <w:spacing w:val="-2"/>
          <w:sz w:val="18"/>
        </w:rPr>
        <w:t> </w:t>
      </w:r>
      <w:r>
        <w:rPr>
          <w:color w:val="111111"/>
          <w:sz w:val="18"/>
        </w:rPr>
        <w:t>aside</w:t>
      </w:r>
      <w:r>
        <w:rPr>
          <w:color w:val="111111"/>
          <w:spacing w:val="-8"/>
          <w:sz w:val="18"/>
        </w:rPr>
        <w:t> </w:t>
      </w:r>
      <w:r>
        <w:rPr>
          <w:color w:val="111111"/>
          <w:sz w:val="18"/>
        </w:rPr>
        <w:t>to</w:t>
      </w:r>
      <w:r>
        <w:rPr>
          <w:color w:val="111111"/>
          <w:spacing w:val="-10"/>
          <w:sz w:val="18"/>
        </w:rPr>
        <w:t> </w:t>
      </w:r>
      <w:r>
        <w:rPr>
          <w:color w:val="111111"/>
          <w:sz w:val="18"/>
        </w:rPr>
        <w:t>cover</w:t>
      </w:r>
      <w:r>
        <w:rPr>
          <w:color w:val="111111"/>
          <w:spacing w:val="6"/>
          <w:sz w:val="18"/>
        </w:rPr>
        <w:t> </w:t>
      </w:r>
      <w:r>
        <w:rPr>
          <w:color w:val="111111"/>
          <w:sz w:val="18"/>
        </w:rPr>
        <w:t>the</w:t>
      </w:r>
      <w:r>
        <w:rPr>
          <w:color w:val="111111"/>
          <w:spacing w:val="-3"/>
          <w:sz w:val="18"/>
        </w:rPr>
        <w:t> </w:t>
      </w:r>
      <w:r>
        <w:rPr>
          <w:color w:val="111111"/>
          <w:sz w:val="18"/>
        </w:rPr>
        <w:t>future</w:t>
      </w:r>
      <w:r>
        <w:rPr>
          <w:color w:val="111111"/>
          <w:spacing w:val="-4"/>
          <w:sz w:val="18"/>
        </w:rPr>
        <w:t> </w:t>
      </w:r>
      <w:r>
        <w:rPr>
          <w:color w:val="111111"/>
          <w:sz w:val="18"/>
        </w:rPr>
        <w:t>cost</w:t>
      </w:r>
      <w:r>
        <w:rPr>
          <w:color w:val="111111"/>
          <w:spacing w:val="-2"/>
          <w:sz w:val="18"/>
        </w:rPr>
        <w:t> </w:t>
      </w:r>
      <w:r>
        <w:rPr>
          <w:color w:val="111111"/>
          <w:sz w:val="18"/>
        </w:rPr>
        <w:t>of</w:t>
      </w:r>
      <w:r>
        <w:rPr>
          <w:color w:val="111111"/>
          <w:spacing w:val="-6"/>
          <w:sz w:val="18"/>
        </w:rPr>
        <w:t> </w:t>
      </w:r>
      <w:r>
        <w:rPr>
          <w:color w:val="111111"/>
          <w:sz w:val="18"/>
        </w:rPr>
        <w:t>the</w:t>
      </w:r>
      <w:r>
        <w:rPr>
          <w:color w:val="111111"/>
          <w:spacing w:val="-9"/>
          <w:sz w:val="18"/>
        </w:rPr>
        <w:t> </w:t>
      </w:r>
      <w:r>
        <w:rPr>
          <w:color w:val="111111"/>
          <w:sz w:val="18"/>
        </w:rPr>
        <w:t>corporate</w:t>
      </w:r>
      <w:r>
        <w:rPr>
          <w:color w:val="111111"/>
          <w:spacing w:val="-1"/>
          <w:sz w:val="18"/>
        </w:rPr>
        <w:t> </w:t>
      </w:r>
      <w:r>
        <w:rPr>
          <w:color w:val="111111"/>
          <w:spacing w:val="-2"/>
          <w:sz w:val="18"/>
        </w:rPr>
        <w:t>consultations.</w:t>
      </w:r>
    </w:p>
    <w:p>
      <w:pPr>
        <w:spacing w:before="72"/>
        <w:ind w:left="229" w:right="0" w:firstLine="0"/>
        <w:jc w:val="left"/>
        <w:rPr>
          <w:sz w:val="18"/>
        </w:rPr>
      </w:pPr>
      <w:r>
        <w:rPr>
          <w:color w:val="111111"/>
          <w:sz w:val="18"/>
        </w:rPr>
        <w:t>To</w:t>
      </w:r>
      <w:r>
        <w:rPr>
          <w:color w:val="111111"/>
          <w:spacing w:val="-6"/>
          <w:sz w:val="18"/>
        </w:rPr>
        <w:t> </w:t>
      </w:r>
      <w:r>
        <w:rPr>
          <w:color w:val="111111"/>
          <w:sz w:val="18"/>
        </w:rPr>
        <w:t>meet</w:t>
      </w:r>
      <w:r>
        <w:rPr>
          <w:color w:val="111111"/>
          <w:spacing w:val="1"/>
          <w:sz w:val="18"/>
        </w:rPr>
        <w:t> </w:t>
      </w:r>
      <w:r>
        <w:rPr>
          <w:color w:val="111111"/>
          <w:sz w:val="18"/>
        </w:rPr>
        <w:t>any</w:t>
      </w:r>
      <w:r>
        <w:rPr>
          <w:color w:val="111111"/>
          <w:spacing w:val="-2"/>
          <w:sz w:val="18"/>
        </w:rPr>
        <w:t> </w:t>
      </w:r>
      <w:r>
        <w:rPr>
          <w:color w:val="111111"/>
          <w:sz w:val="18"/>
        </w:rPr>
        <w:t>future</w:t>
      </w:r>
      <w:r>
        <w:rPr>
          <w:color w:val="111111"/>
          <w:spacing w:val="3"/>
          <w:sz w:val="18"/>
        </w:rPr>
        <w:t> </w:t>
      </w:r>
      <w:r>
        <w:rPr>
          <w:color w:val="111111"/>
          <w:sz w:val="18"/>
        </w:rPr>
        <w:t>shortfall in</w:t>
      </w:r>
      <w:r>
        <w:rPr>
          <w:color w:val="111111"/>
          <w:spacing w:val="-12"/>
          <w:sz w:val="18"/>
        </w:rPr>
        <w:t> </w:t>
      </w:r>
      <w:r>
        <w:rPr>
          <w:color w:val="111111"/>
          <w:sz w:val="18"/>
        </w:rPr>
        <w:t>pension fund</w:t>
      </w:r>
      <w:r>
        <w:rPr>
          <w:color w:val="111111"/>
          <w:spacing w:val="-6"/>
          <w:sz w:val="18"/>
        </w:rPr>
        <w:t> </w:t>
      </w:r>
      <w:r>
        <w:rPr>
          <w:color w:val="111111"/>
          <w:sz w:val="18"/>
        </w:rPr>
        <w:t>deficit</w:t>
      </w:r>
      <w:r>
        <w:rPr>
          <w:color w:val="111111"/>
          <w:spacing w:val="2"/>
          <w:sz w:val="18"/>
        </w:rPr>
        <w:t> </w:t>
      </w:r>
      <w:r>
        <w:rPr>
          <w:color w:val="111111"/>
          <w:sz w:val="18"/>
        </w:rPr>
        <w:t>and</w:t>
      </w:r>
      <w:r>
        <w:rPr>
          <w:color w:val="111111"/>
          <w:spacing w:val="-7"/>
          <w:sz w:val="18"/>
        </w:rPr>
        <w:t> </w:t>
      </w:r>
      <w:r>
        <w:rPr>
          <w:color w:val="111111"/>
          <w:sz w:val="18"/>
        </w:rPr>
        <w:t>any strain</w:t>
      </w:r>
      <w:r>
        <w:rPr>
          <w:color w:val="111111"/>
          <w:spacing w:val="-7"/>
          <w:sz w:val="18"/>
        </w:rPr>
        <w:t> </w:t>
      </w:r>
      <w:r>
        <w:rPr>
          <w:color w:val="111111"/>
          <w:sz w:val="18"/>
        </w:rPr>
        <w:t>in</w:t>
      </w:r>
      <w:r>
        <w:rPr>
          <w:color w:val="111111"/>
          <w:spacing w:val="-13"/>
          <w:sz w:val="18"/>
        </w:rPr>
        <w:t> </w:t>
      </w:r>
      <w:r>
        <w:rPr>
          <w:color w:val="111111"/>
          <w:sz w:val="18"/>
        </w:rPr>
        <w:t>the</w:t>
      </w:r>
      <w:r>
        <w:rPr>
          <w:color w:val="111111"/>
          <w:spacing w:val="-8"/>
          <w:sz w:val="18"/>
        </w:rPr>
        <w:t> </w:t>
      </w:r>
      <w:r>
        <w:rPr>
          <w:color w:val="111111"/>
          <w:sz w:val="18"/>
        </w:rPr>
        <w:t>pension</w:t>
      </w:r>
      <w:r>
        <w:rPr>
          <w:color w:val="111111"/>
          <w:spacing w:val="4"/>
          <w:sz w:val="18"/>
        </w:rPr>
        <w:t> </w:t>
      </w:r>
      <w:r>
        <w:rPr>
          <w:color w:val="111111"/>
          <w:spacing w:val="-2"/>
          <w:sz w:val="18"/>
        </w:rPr>
        <w:t>fund.</w:t>
      </w:r>
    </w:p>
    <w:p>
      <w:pPr>
        <w:pStyle w:val="BodyText"/>
        <w:spacing w:before="114"/>
        <w:rPr>
          <w:sz w:val="18"/>
        </w:rPr>
      </w:pPr>
    </w:p>
    <w:p>
      <w:pPr>
        <w:spacing w:before="0"/>
        <w:ind w:left="228" w:right="0" w:firstLine="0"/>
        <w:jc w:val="left"/>
        <w:rPr>
          <w:sz w:val="18"/>
        </w:rPr>
      </w:pPr>
      <w:r>
        <w:rPr>
          <w:color w:val="111111"/>
          <w:sz w:val="18"/>
        </w:rPr>
        <w:t>For</w:t>
      </w:r>
      <w:r>
        <w:rPr>
          <w:color w:val="111111"/>
          <w:spacing w:val="-6"/>
          <w:sz w:val="18"/>
        </w:rPr>
        <w:t> </w:t>
      </w:r>
      <w:r>
        <w:rPr>
          <w:color w:val="111111"/>
          <w:sz w:val="18"/>
        </w:rPr>
        <w:t>use</w:t>
      </w:r>
      <w:r>
        <w:rPr>
          <w:color w:val="111111"/>
          <w:spacing w:val="-2"/>
          <w:sz w:val="18"/>
        </w:rPr>
        <w:t> </w:t>
      </w:r>
      <w:r>
        <w:rPr>
          <w:color w:val="111111"/>
          <w:sz w:val="18"/>
        </w:rPr>
        <w:t>to</w:t>
      </w:r>
      <w:r>
        <w:rPr>
          <w:color w:val="111111"/>
          <w:spacing w:val="-8"/>
          <w:sz w:val="18"/>
        </w:rPr>
        <w:t> </w:t>
      </w:r>
      <w:r>
        <w:rPr>
          <w:color w:val="111111"/>
          <w:sz w:val="18"/>
        </w:rPr>
        <w:t>fund Covid-19 related</w:t>
      </w:r>
      <w:r>
        <w:rPr>
          <w:color w:val="111111"/>
          <w:spacing w:val="1"/>
          <w:sz w:val="18"/>
        </w:rPr>
        <w:t> </w:t>
      </w:r>
      <w:r>
        <w:rPr>
          <w:color w:val="111111"/>
          <w:sz w:val="18"/>
        </w:rPr>
        <w:t>deficits</w:t>
      </w:r>
      <w:r>
        <w:rPr>
          <w:color w:val="111111"/>
          <w:spacing w:val="-1"/>
          <w:sz w:val="18"/>
        </w:rPr>
        <w:t> </w:t>
      </w:r>
      <w:r>
        <w:rPr>
          <w:color w:val="111111"/>
          <w:sz w:val="18"/>
        </w:rPr>
        <w:t>in</w:t>
      </w:r>
      <w:r>
        <w:rPr>
          <w:color w:val="111111"/>
          <w:spacing w:val="-12"/>
          <w:sz w:val="18"/>
        </w:rPr>
        <w:t> </w:t>
      </w:r>
      <w:r>
        <w:rPr>
          <w:color w:val="111111"/>
          <w:sz w:val="18"/>
        </w:rPr>
        <w:t>future</w:t>
      </w:r>
      <w:r>
        <w:rPr>
          <w:color w:val="111111"/>
          <w:spacing w:val="2"/>
          <w:sz w:val="18"/>
        </w:rPr>
        <w:t> </w:t>
      </w:r>
      <w:r>
        <w:rPr>
          <w:color w:val="111111"/>
          <w:spacing w:val="-2"/>
          <w:sz w:val="18"/>
        </w:rPr>
        <w:t>years.</w:t>
      </w:r>
    </w:p>
    <w:p>
      <w:pPr>
        <w:spacing w:before="125" w:line="324" w:lineRule="auto"/>
        <w:ind w:left="234" w:right="2207" w:hanging="5"/>
        <w:jc w:val="left"/>
        <w:rPr>
          <w:sz w:val="18"/>
        </w:rPr>
      </w:pPr>
      <w:r>
        <w:rPr>
          <w:color w:val="111111"/>
          <w:sz w:val="18"/>
        </w:rPr>
        <w:t>To</w:t>
      </w:r>
      <w:r>
        <w:rPr>
          <w:color w:val="111111"/>
          <w:spacing w:val="-6"/>
          <w:sz w:val="18"/>
        </w:rPr>
        <w:t> </w:t>
      </w:r>
      <w:r>
        <w:rPr>
          <w:color w:val="111111"/>
          <w:sz w:val="18"/>
        </w:rPr>
        <w:t>fund</w:t>
      </w:r>
      <w:r>
        <w:rPr>
          <w:color w:val="111111"/>
          <w:spacing w:val="-5"/>
          <w:sz w:val="18"/>
        </w:rPr>
        <w:t> </w:t>
      </w:r>
      <w:r>
        <w:rPr>
          <w:color w:val="111111"/>
          <w:sz w:val="18"/>
        </w:rPr>
        <w:t>repairs and</w:t>
      </w:r>
      <w:r>
        <w:rPr>
          <w:color w:val="111111"/>
          <w:spacing w:val="-10"/>
          <w:sz w:val="18"/>
        </w:rPr>
        <w:t> </w:t>
      </w:r>
      <w:r>
        <w:rPr>
          <w:color w:val="111111"/>
          <w:sz w:val="18"/>
        </w:rPr>
        <w:t>maintenance costs at</w:t>
      </w:r>
      <w:r>
        <w:rPr>
          <w:color w:val="111111"/>
          <w:spacing w:val="-9"/>
          <w:sz w:val="18"/>
        </w:rPr>
        <w:t> </w:t>
      </w:r>
      <w:r>
        <w:rPr>
          <w:color w:val="111111"/>
          <w:sz w:val="18"/>
        </w:rPr>
        <w:t>Elstree</w:t>
      </w:r>
      <w:r>
        <w:rPr>
          <w:color w:val="111111"/>
          <w:spacing w:val="-5"/>
          <w:sz w:val="18"/>
        </w:rPr>
        <w:t> </w:t>
      </w:r>
      <w:r>
        <w:rPr>
          <w:color w:val="111111"/>
          <w:sz w:val="18"/>
        </w:rPr>
        <w:t>Film</w:t>
      </w:r>
      <w:r>
        <w:rPr>
          <w:color w:val="111111"/>
          <w:spacing w:val="-6"/>
          <w:sz w:val="18"/>
        </w:rPr>
        <w:t> </w:t>
      </w:r>
      <w:r>
        <w:rPr>
          <w:color w:val="111111"/>
          <w:sz w:val="18"/>
        </w:rPr>
        <w:t>Studios. To fund future Hertsmere local elections and by-elections.</w:t>
      </w:r>
    </w:p>
    <w:p>
      <w:pPr>
        <w:spacing w:before="3" w:line="328" w:lineRule="auto"/>
        <w:ind w:left="238" w:right="1322" w:hanging="6"/>
        <w:jc w:val="left"/>
        <w:rPr>
          <w:sz w:val="18"/>
        </w:rPr>
      </w:pPr>
      <w:r>
        <w:rPr>
          <w:color w:val="111111"/>
          <w:sz w:val="18"/>
        </w:rPr>
        <w:t>For acquiring land</w:t>
      </w:r>
      <w:r>
        <w:rPr>
          <w:color w:val="111111"/>
          <w:spacing w:val="-9"/>
          <w:sz w:val="18"/>
        </w:rPr>
        <w:t> </w:t>
      </w:r>
      <w:r>
        <w:rPr>
          <w:color w:val="111111"/>
          <w:sz w:val="18"/>
        </w:rPr>
        <w:t>or</w:t>
      </w:r>
      <w:r>
        <w:rPr>
          <w:color w:val="111111"/>
          <w:spacing w:val="-7"/>
          <w:sz w:val="18"/>
        </w:rPr>
        <w:t> </w:t>
      </w:r>
      <w:r>
        <w:rPr>
          <w:color w:val="111111"/>
          <w:sz w:val="18"/>
        </w:rPr>
        <w:t>property to</w:t>
      </w:r>
      <w:r>
        <w:rPr>
          <w:color w:val="111111"/>
          <w:spacing w:val="-1"/>
          <w:sz w:val="18"/>
        </w:rPr>
        <w:t> </w:t>
      </w:r>
      <w:r>
        <w:rPr>
          <w:color w:val="111111"/>
          <w:sz w:val="18"/>
        </w:rPr>
        <w:t>secure assets for</w:t>
      </w:r>
      <w:r>
        <w:rPr>
          <w:color w:val="111111"/>
          <w:spacing w:val="-6"/>
          <w:sz w:val="18"/>
        </w:rPr>
        <w:t> </w:t>
      </w:r>
      <w:r>
        <w:rPr>
          <w:color w:val="111111"/>
          <w:sz w:val="18"/>
        </w:rPr>
        <w:t>the</w:t>
      </w:r>
      <w:r>
        <w:rPr>
          <w:color w:val="111111"/>
          <w:spacing w:val="-13"/>
          <w:sz w:val="18"/>
        </w:rPr>
        <w:t> </w:t>
      </w:r>
      <w:r>
        <w:rPr>
          <w:color w:val="111111"/>
          <w:sz w:val="18"/>
        </w:rPr>
        <w:t>benefit of</w:t>
      </w:r>
      <w:r>
        <w:rPr>
          <w:color w:val="111111"/>
          <w:spacing w:val="-8"/>
          <w:sz w:val="18"/>
        </w:rPr>
        <w:t> </w:t>
      </w:r>
      <w:r>
        <w:rPr>
          <w:color w:val="111111"/>
          <w:sz w:val="18"/>
        </w:rPr>
        <w:t>the</w:t>
      </w:r>
      <w:r>
        <w:rPr>
          <w:color w:val="111111"/>
          <w:spacing w:val="-3"/>
          <w:sz w:val="18"/>
        </w:rPr>
        <w:t> </w:t>
      </w:r>
      <w:r>
        <w:rPr>
          <w:color w:val="111111"/>
          <w:sz w:val="18"/>
        </w:rPr>
        <w:t>Council Government funding to deliver the Elstree Way Corridor housing zone.</w:t>
      </w:r>
    </w:p>
    <w:p>
      <w:pPr>
        <w:spacing w:before="0" w:line="202" w:lineRule="exact"/>
        <w:ind w:left="234" w:right="0" w:firstLine="0"/>
        <w:jc w:val="left"/>
        <w:rPr>
          <w:sz w:val="18"/>
        </w:rPr>
      </w:pPr>
      <w:r>
        <w:rPr>
          <w:color w:val="111111"/>
          <w:sz w:val="18"/>
        </w:rPr>
        <w:t>Developer</w:t>
      </w:r>
      <w:r>
        <w:rPr>
          <w:color w:val="111111"/>
          <w:spacing w:val="1"/>
          <w:sz w:val="18"/>
        </w:rPr>
        <w:t> </w:t>
      </w:r>
      <w:r>
        <w:rPr>
          <w:color w:val="111111"/>
          <w:sz w:val="18"/>
        </w:rPr>
        <w:t>contributions</w:t>
      </w:r>
      <w:r>
        <w:rPr>
          <w:color w:val="111111"/>
          <w:spacing w:val="8"/>
          <w:sz w:val="18"/>
        </w:rPr>
        <w:t> </w:t>
      </w:r>
      <w:r>
        <w:rPr>
          <w:color w:val="111111"/>
          <w:sz w:val="18"/>
        </w:rPr>
        <w:t>for</w:t>
      </w:r>
      <w:r>
        <w:rPr>
          <w:color w:val="111111"/>
          <w:spacing w:val="-7"/>
          <w:sz w:val="18"/>
        </w:rPr>
        <w:t> </w:t>
      </w:r>
      <w:r>
        <w:rPr>
          <w:color w:val="111111"/>
          <w:sz w:val="18"/>
        </w:rPr>
        <w:t>the</w:t>
      </w:r>
      <w:r>
        <w:rPr>
          <w:color w:val="111111"/>
          <w:spacing w:val="-11"/>
          <w:sz w:val="18"/>
        </w:rPr>
        <w:t> </w:t>
      </w:r>
      <w:r>
        <w:rPr>
          <w:color w:val="111111"/>
          <w:sz w:val="18"/>
        </w:rPr>
        <w:t>maintenance</w:t>
      </w:r>
      <w:r>
        <w:rPr>
          <w:color w:val="111111"/>
          <w:spacing w:val="8"/>
          <w:sz w:val="18"/>
        </w:rPr>
        <w:t> </w:t>
      </w:r>
      <w:r>
        <w:rPr>
          <w:color w:val="111111"/>
          <w:sz w:val="18"/>
        </w:rPr>
        <w:t>and</w:t>
      </w:r>
      <w:r>
        <w:rPr>
          <w:color w:val="111111"/>
          <w:spacing w:val="-6"/>
          <w:sz w:val="18"/>
        </w:rPr>
        <w:t> </w:t>
      </w:r>
      <w:r>
        <w:rPr>
          <w:color w:val="111111"/>
          <w:sz w:val="18"/>
        </w:rPr>
        <w:t>upkeep</w:t>
      </w:r>
      <w:r>
        <w:rPr>
          <w:color w:val="111111"/>
          <w:spacing w:val="2"/>
          <w:sz w:val="18"/>
        </w:rPr>
        <w:t> </w:t>
      </w:r>
      <w:r>
        <w:rPr>
          <w:color w:val="111111"/>
          <w:sz w:val="18"/>
        </w:rPr>
        <w:t>of</w:t>
      </w:r>
      <w:r>
        <w:rPr>
          <w:color w:val="111111"/>
          <w:spacing w:val="-12"/>
          <w:sz w:val="18"/>
        </w:rPr>
        <w:t> </w:t>
      </w:r>
      <w:r>
        <w:rPr>
          <w:color w:val="111111"/>
          <w:sz w:val="18"/>
        </w:rPr>
        <w:t>new</w:t>
      </w:r>
      <w:r>
        <w:rPr>
          <w:color w:val="111111"/>
          <w:spacing w:val="-10"/>
          <w:sz w:val="18"/>
        </w:rPr>
        <w:t> </w:t>
      </w:r>
      <w:r>
        <w:rPr>
          <w:color w:val="111111"/>
          <w:sz w:val="18"/>
        </w:rPr>
        <w:t>play</w:t>
      </w:r>
      <w:r>
        <w:rPr>
          <w:color w:val="111111"/>
          <w:spacing w:val="-1"/>
          <w:sz w:val="18"/>
        </w:rPr>
        <w:t> </w:t>
      </w:r>
      <w:r>
        <w:rPr>
          <w:color w:val="111111"/>
          <w:spacing w:val="-2"/>
          <w:sz w:val="18"/>
        </w:rPr>
        <w:t>areas.</w:t>
      </w:r>
    </w:p>
    <w:p>
      <w:pPr>
        <w:spacing w:before="95" w:line="235" w:lineRule="auto"/>
        <w:ind w:left="236" w:right="306" w:hanging="4"/>
        <w:jc w:val="left"/>
        <w:rPr>
          <w:sz w:val="18"/>
        </w:rPr>
      </w:pPr>
      <w:r>
        <w:rPr>
          <w:color w:val="111111"/>
          <w:sz w:val="18"/>
        </w:rPr>
        <w:t>Funds ring</w:t>
      </w:r>
      <w:r>
        <w:rPr>
          <w:color w:val="111111"/>
          <w:spacing w:val="-10"/>
          <w:sz w:val="18"/>
        </w:rPr>
        <w:t> </w:t>
      </w:r>
      <w:r>
        <w:rPr>
          <w:color w:val="111111"/>
          <w:sz w:val="18"/>
        </w:rPr>
        <w:t>fenced</w:t>
      </w:r>
      <w:r>
        <w:rPr>
          <w:color w:val="111111"/>
          <w:spacing w:val="-3"/>
          <w:sz w:val="18"/>
        </w:rPr>
        <w:t> </w:t>
      </w:r>
      <w:r>
        <w:rPr>
          <w:color w:val="111111"/>
          <w:sz w:val="18"/>
        </w:rPr>
        <w:t>for</w:t>
      </w:r>
      <w:r>
        <w:rPr>
          <w:color w:val="111111"/>
          <w:spacing w:val="-7"/>
          <w:sz w:val="18"/>
        </w:rPr>
        <w:t> </w:t>
      </w:r>
      <w:r>
        <w:rPr>
          <w:color w:val="111111"/>
          <w:sz w:val="18"/>
        </w:rPr>
        <w:t>three</w:t>
      </w:r>
      <w:r>
        <w:rPr>
          <w:color w:val="111111"/>
          <w:spacing w:val="-3"/>
          <w:sz w:val="18"/>
        </w:rPr>
        <w:t> </w:t>
      </w:r>
      <w:r>
        <w:rPr>
          <w:color w:val="111111"/>
          <w:sz w:val="18"/>
        </w:rPr>
        <w:t>years to</w:t>
      </w:r>
      <w:r>
        <w:rPr>
          <w:color w:val="111111"/>
          <w:spacing w:val="-6"/>
          <w:sz w:val="18"/>
        </w:rPr>
        <w:t> </w:t>
      </w:r>
      <w:r>
        <w:rPr>
          <w:color w:val="111111"/>
          <w:sz w:val="18"/>
        </w:rPr>
        <w:t>support increased homeless prevention as</w:t>
      </w:r>
      <w:r>
        <w:rPr>
          <w:color w:val="111111"/>
          <w:spacing w:val="-6"/>
          <w:sz w:val="18"/>
        </w:rPr>
        <w:t> </w:t>
      </w:r>
      <w:r>
        <w:rPr>
          <w:color w:val="111111"/>
          <w:sz w:val="18"/>
        </w:rPr>
        <w:t>defined by Homeless </w:t>
      </w:r>
      <w:r>
        <w:rPr>
          <w:color w:val="282828"/>
          <w:sz w:val="18"/>
        </w:rPr>
        <w:t>Reduction Act.</w:t>
      </w:r>
    </w:p>
    <w:p>
      <w:pPr>
        <w:spacing w:before="13"/>
        <w:ind w:left="234" w:right="0" w:firstLine="0"/>
        <w:jc w:val="left"/>
        <w:rPr>
          <w:sz w:val="18"/>
        </w:rPr>
      </w:pPr>
      <w:r>
        <w:rPr>
          <w:color w:val="111111"/>
          <w:sz w:val="18"/>
        </w:rPr>
        <w:t>To</w:t>
      </w:r>
      <w:r>
        <w:rPr>
          <w:color w:val="111111"/>
          <w:spacing w:val="-12"/>
          <w:sz w:val="18"/>
        </w:rPr>
        <w:t> </w:t>
      </w:r>
      <w:r>
        <w:rPr>
          <w:color w:val="111111"/>
          <w:sz w:val="18"/>
        </w:rPr>
        <w:t>fund</w:t>
      </w:r>
      <w:r>
        <w:rPr>
          <w:color w:val="111111"/>
          <w:spacing w:val="-1"/>
          <w:sz w:val="18"/>
        </w:rPr>
        <w:t> </w:t>
      </w:r>
      <w:r>
        <w:rPr>
          <w:color w:val="111111"/>
          <w:sz w:val="18"/>
        </w:rPr>
        <w:t>any</w:t>
      </w:r>
      <w:r>
        <w:rPr>
          <w:color w:val="111111"/>
          <w:spacing w:val="-5"/>
          <w:sz w:val="18"/>
        </w:rPr>
        <w:t> </w:t>
      </w:r>
      <w:r>
        <w:rPr>
          <w:color w:val="111111"/>
          <w:sz w:val="18"/>
        </w:rPr>
        <w:t>shortfall</w:t>
      </w:r>
      <w:r>
        <w:rPr>
          <w:color w:val="111111"/>
          <w:spacing w:val="-13"/>
          <w:sz w:val="18"/>
        </w:rPr>
        <w:t> </w:t>
      </w:r>
      <w:r>
        <w:rPr>
          <w:color w:val="4D4D4D"/>
          <w:sz w:val="18"/>
        </w:rPr>
        <w:t>In</w:t>
      </w:r>
      <w:r>
        <w:rPr>
          <w:color w:val="4D4D4D"/>
          <w:spacing w:val="-9"/>
          <w:sz w:val="18"/>
        </w:rPr>
        <w:t> </w:t>
      </w:r>
      <w:r>
        <w:rPr>
          <w:color w:val="282828"/>
          <w:sz w:val="18"/>
        </w:rPr>
        <w:t>government</w:t>
      </w:r>
      <w:r>
        <w:rPr>
          <w:color w:val="282828"/>
          <w:spacing w:val="6"/>
          <w:sz w:val="18"/>
        </w:rPr>
        <w:t> </w:t>
      </w:r>
      <w:r>
        <w:rPr>
          <w:color w:val="111111"/>
          <w:sz w:val="18"/>
        </w:rPr>
        <w:t>grant</w:t>
      </w:r>
      <w:r>
        <w:rPr>
          <w:color w:val="111111"/>
          <w:spacing w:val="-1"/>
          <w:sz w:val="18"/>
        </w:rPr>
        <w:t> </w:t>
      </w:r>
      <w:r>
        <w:rPr>
          <w:color w:val="111111"/>
          <w:sz w:val="18"/>
        </w:rPr>
        <w:t>for</w:t>
      </w:r>
      <w:r>
        <w:rPr>
          <w:color w:val="111111"/>
          <w:spacing w:val="-7"/>
          <w:sz w:val="18"/>
        </w:rPr>
        <w:t> </w:t>
      </w:r>
      <w:r>
        <w:rPr>
          <w:color w:val="111111"/>
          <w:spacing w:val="-2"/>
          <w:sz w:val="18"/>
        </w:rPr>
        <w:t>benefits.</w:t>
      </w:r>
    </w:p>
    <w:p>
      <w:pPr>
        <w:pStyle w:val="BodyText"/>
        <w:spacing w:before="9"/>
        <w:rPr>
          <w:sz w:val="18"/>
        </w:rPr>
      </w:pPr>
    </w:p>
    <w:p>
      <w:pPr>
        <w:spacing w:before="0" w:line="328" w:lineRule="auto"/>
        <w:ind w:left="233" w:right="2207" w:firstLine="1"/>
        <w:jc w:val="left"/>
        <w:rPr>
          <w:sz w:val="18"/>
        </w:rPr>
      </w:pPr>
      <w:r>
        <w:rPr>
          <w:color w:val="111111"/>
          <w:sz w:val="18"/>
        </w:rPr>
        <w:t>To</w:t>
      </w:r>
      <w:r>
        <w:rPr>
          <w:color w:val="111111"/>
          <w:spacing w:val="-13"/>
          <w:sz w:val="18"/>
        </w:rPr>
        <w:t> </w:t>
      </w:r>
      <w:r>
        <w:rPr>
          <w:color w:val="111111"/>
          <w:sz w:val="18"/>
        </w:rPr>
        <w:t>fund</w:t>
      </w:r>
      <w:r>
        <w:rPr>
          <w:color w:val="111111"/>
          <w:spacing w:val="-12"/>
          <w:sz w:val="18"/>
        </w:rPr>
        <w:t> </w:t>
      </w:r>
      <w:r>
        <w:rPr>
          <w:color w:val="111111"/>
          <w:sz w:val="18"/>
        </w:rPr>
        <w:t>redundancy</w:t>
      </w:r>
      <w:r>
        <w:rPr>
          <w:color w:val="111111"/>
          <w:spacing w:val="11"/>
          <w:sz w:val="18"/>
        </w:rPr>
        <w:t> </w:t>
      </w:r>
      <w:r>
        <w:rPr>
          <w:color w:val="111111"/>
          <w:sz w:val="18"/>
        </w:rPr>
        <w:t>payments or</w:t>
      </w:r>
      <w:r>
        <w:rPr>
          <w:color w:val="111111"/>
          <w:spacing w:val="-6"/>
          <w:sz w:val="18"/>
        </w:rPr>
        <w:t> </w:t>
      </w:r>
      <w:r>
        <w:rPr>
          <w:color w:val="111111"/>
          <w:sz w:val="18"/>
        </w:rPr>
        <w:t>any</w:t>
      </w:r>
      <w:r>
        <w:rPr>
          <w:color w:val="111111"/>
          <w:spacing w:val="-7"/>
          <w:sz w:val="18"/>
        </w:rPr>
        <w:t> </w:t>
      </w:r>
      <w:r>
        <w:rPr>
          <w:color w:val="111111"/>
          <w:sz w:val="18"/>
        </w:rPr>
        <w:t>unusual</w:t>
      </w:r>
      <w:r>
        <w:rPr>
          <w:color w:val="111111"/>
          <w:spacing w:val="-1"/>
          <w:sz w:val="18"/>
        </w:rPr>
        <w:t> </w:t>
      </w:r>
      <w:r>
        <w:rPr>
          <w:color w:val="111111"/>
          <w:sz w:val="18"/>
        </w:rPr>
        <w:t>staffing</w:t>
      </w:r>
      <w:r>
        <w:rPr>
          <w:color w:val="111111"/>
          <w:spacing w:val="-7"/>
          <w:sz w:val="18"/>
        </w:rPr>
        <w:t> </w:t>
      </w:r>
      <w:r>
        <w:rPr>
          <w:color w:val="111111"/>
          <w:sz w:val="18"/>
        </w:rPr>
        <w:t>costs. Funds major Information Technology infrastructure</w:t>
      </w:r>
      <w:r>
        <w:rPr>
          <w:color w:val="111111"/>
          <w:spacing w:val="-12"/>
          <w:sz w:val="18"/>
        </w:rPr>
        <w:t> </w:t>
      </w:r>
      <w:r>
        <w:rPr>
          <w:color w:val="111111"/>
          <w:sz w:val="18"/>
        </w:rPr>
        <w:t>projects.</w:t>
      </w:r>
    </w:p>
    <w:p>
      <w:pPr>
        <w:spacing w:before="140"/>
        <w:ind w:left="239" w:right="0" w:firstLine="0"/>
        <w:jc w:val="left"/>
        <w:rPr>
          <w:sz w:val="18"/>
        </w:rPr>
      </w:pPr>
      <w:r>
        <w:rPr>
          <w:color w:val="111111"/>
          <w:sz w:val="18"/>
        </w:rPr>
        <w:t>To</w:t>
      </w:r>
      <w:r>
        <w:rPr>
          <w:color w:val="111111"/>
          <w:spacing w:val="-2"/>
          <w:sz w:val="18"/>
        </w:rPr>
        <w:t> </w:t>
      </w:r>
      <w:r>
        <w:rPr>
          <w:color w:val="111111"/>
          <w:sz w:val="18"/>
        </w:rPr>
        <w:t>fund</w:t>
      </w:r>
      <w:r>
        <w:rPr>
          <w:color w:val="111111"/>
          <w:spacing w:val="-6"/>
          <w:sz w:val="18"/>
        </w:rPr>
        <w:t> </w:t>
      </w:r>
      <w:r>
        <w:rPr>
          <w:color w:val="111111"/>
          <w:sz w:val="18"/>
        </w:rPr>
        <w:t>invest</w:t>
      </w:r>
      <w:r>
        <w:rPr>
          <w:color w:val="111111"/>
          <w:spacing w:val="7"/>
          <w:sz w:val="18"/>
        </w:rPr>
        <w:t> </w:t>
      </w:r>
      <w:r>
        <w:rPr>
          <w:color w:val="111111"/>
          <w:sz w:val="18"/>
        </w:rPr>
        <w:t>to</w:t>
      </w:r>
      <w:r>
        <w:rPr>
          <w:color w:val="111111"/>
          <w:spacing w:val="-9"/>
          <w:sz w:val="18"/>
        </w:rPr>
        <w:t> </w:t>
      </w:r>
      <w:r>
        <w:rPr>
          <w:color w:val="111111"/>
          <w:sz w:val="18"/>
        </w:rPr>
        <w:t>save</w:t>
      </w:r>
      <w:r>
        <w:rPr>
          <w:color w:val="111111"/>
          <w:spacing w:val="-9"/>
          <w:sz w:val="18"/>
        </w:rPr>
        <w:t> </w:t>
      </w:r>
      <w:r>
        <w:rPr>
          <w:color w:val="111111"/>
          <w:spacing w:val="-2"/>
          <w:sz w:val="18"/>
        </w:rPr>
        <w:t>projects.</w:t>
      </w:r>
    </w:p>
    <w:p>
      <w:pPr>
        <w:spacing w:before="76"/>
        <w:ind w:left="234" w:right="0" w:firstLine="0"/>
        <w:jc w:val="left"/>
        <w:rPr>
          <w:sz w:val="18"/>
        </w:rPr>
      </w:pPr>
      <w:r>
        <w:rPr>
          <w:color w:val="111111"/>
          <w:sz w:val="18"/>
        </w:rPr>
        <w:t>To</w:t>
      </w:r>
      <w:r>
        <w:rPr>
          <w:color w:val="111111"/>
          <w:spacing w:val="-8"/>
          <w:sz w:val="18"/>
        </w:rPr>
        <w:t> </w:t>
      </w:r>
      <w:r>
        <w:rPr>
          <w:color w:val="111111"/>
          <w:sz w:val="18"/>
        </w:rPr>
        <w:t>fund</w:t>
      </w:r>
      <w:r>
        <w:rPr>
          <w:color w:val="111111"/>
          <w:spacing w:val="-6"/>
          <w:sz w:val="18"/>
        </w:rPr>
        <w:t> </w:t>
      </w:r>
      <w:r>
        <w:rPr>
          <w:color w:val="111111"/>
          <w:sz w:val="18"/>
        </w:rPr>
        <w:t>land</w:t>
      </w:r>
      <w:r>
        <w:rPr>
          <w:color w:val="111111"/>
          <w:spacing w:val="4"/>
          <w:sz w:val="18"/>
        </w:rPr>
        <w:t> </w:t>
      </w:r>
      <w:r>
        <w:rPr>
          <w:color w:val="111111"/>
          <w:sz w:val="18"/>
        </w:rPr>
        <w:t>drainage</w:t>
      </w:r>
      <w:r>
        <w:rPr>
          <w:color w:val="111111"/>
          <w:spacing w:val="3"/>
          <w:sz w:val="18"/>
        </w:rPr>
        <w:t> </w:t>
      </w:r>
      <w:r>
        <w:rPr>
          <w:color w:val="111111"/>
          <w:sz w:val="18"/>
        </w:rPr>
        <w:t>and</w:t>
      </w:r>
      <w:r>
        <w:rPr>
          <w:color w:val="111111"/>
          <w:spacing w:val="-11"/>
          <w:sz w:val="18"/>
        </w:rPr>
        <w:t> </w:t>
      </w:r>
      <w:r>
        <w:rPr>
          <w:color w:val="111111"/>
          <w:sz w:val="18"/>
        </w:rPr>
        <w:t>flood</w:t>
      </w:r>
      <w:r>
        <w:rPr>
          <w:color w:val="111111"/>
          <w:spacing w:val="-8"/>
          <w:sz w:val="18"/>
        </w:rPr>
        <w:t> </w:t>
      </w:r>
      <w:r>
        <w:rPr>
          <w:color w:val="111111"/>
          <w:sz w:val="18"/>
        </w:rPr>
        <w:t>related</w:t>
      </w:r>
      <w:r>
        <w:rPr>
          <w:color w:val="111111"/>
          <w:spacing w:val="-1"/>
          <w:sz w:val="18"/>
        </w:rPr>
        <w:t> </w:t>
      </w:r>
      <w:r>
        <w:rPr>
          <w:color w:val="111111"/>
          <w:spacing w:val="-2"/>
          <w:sz w:val="18"/>
        </w:rPr>
        <w:t>costs.</w:t>
      </w:r>
    </w:p>
    <w:p>
      <w:pPr>
        <w:spacing w:before="86"/>
        <w:ind w:left="241" w:right="306" w:hanging="8"/>
        <w:jc w:val="left"/>
        <w:rPr>
          <w:sz w:val="18"/>
        </w:rPr>
      </w:pPr>
      <w:r>
        <w:rPr>
          <w:color w:val="111111"/>
          <w:sz w:val="18"/>
        </w:rPr>
        <w:t>To</w:t>
      </w:r>
      <w:r>
        <w:rPr>
          <w:color w:val="111111"/>
          <w:spacing w:val="-3"/>
          <w:sz w:val="18"/>
        </w:rPr>
        <w:t> </w:t>
      </w:r>
      <w:r>
        <w:rPr>
          <w:color w:val="111111"/>
          <w:sz w:val="18"/>
        </w:rPr>
        <w:t>fund</w:t>
      </w:r>
      <w:r>
        <w:rPr>
          <w:color w:val="111111"/>
          <w:spacing w:val="-3"/>
          <w:sz w:val="18"/>
        </w:rPr>
        <w:t> </w:t>
      </w:r>
      <w:r>
        <w:rPr>
          <w:color w:val="111111"/>
          <w:sz w:val="18"/>
        </w:rPr>
        <w:t>the</w:t>
      </w:r>
      <w:r>
        <w:rPr>
          <w:color w:val="111111"/>
          <w:spacing w:val="-4"/>
          <w:sz w:val="18"/>
        </w:rPr>
        <w:t> </w:t>
      </w:r>
      <w:r>
        <w:rPr>
          <w:color w:val="111111"/>
          <w:sz w:val="18"/>
        </w:rPr>
        <w:t>costs associated with</w:t>
      </w:r>
      <w:r>
        <w:rPr>
          <w:color w:val="111111"/>
          <w:spacing w:val="-3"/>
          <w:sz w:val="18"/>
        </w:rPr>
        <w:t> </w:t>
      </w:r>
      <w:r>
        <w:rPr>
          <w:color w:val="111111"/>
          <w:sz w:val="18"/>
        </w:rPr>
        <w:t>bringing the</w:t>
      </w:r>
      <w:r>
        <w:rPr>
          <w:color w:val="111111"/>
          <w:spacing w:val="-5"/>
          <w:sz w:val="18"/>
        </w:rPr>
        <w:t> </w:t>
      </w:r>
      <w:r>
        <w:rPr>
          <w:color w:val="111111"/>
          <w:sz w:val="18"/>
        </w:rPr>
        <w:t>Local Development Plan</w:t>
      </w:r>
      <w:r>
        <w:rPr>
          <w:color w:val="111111"/>
          <w:spacing w:val="-3"/>
          <w:sz w:val="18"/>
        </w:rPr>
        <w:t> </w:t>
      </w:r>
      <w:r>
        <w:rPr>
          <w:color w:val="111111"/>
          <w:sz w:val="18"/>
        </w:rPr>
        <w:t>forward</w:t>
      </w:r>
      <w:r>
        <w:rPr>
          <w:color w:val="111111"/>
          <w:spacing w:val="-5"/>
          <w:sz w:val="18"/>
        </w:rPr>
        <w:t> </w:t>
      </w:r>
      <w:r>
        <w:rPr>
          <w:color w:val="111111"/>
          <w:sz w:val="18"/>
        </w:rPr>
        <w:t>for </w:t>
      </w:r>
      <w:r>
        <w:rPr>
          <w:color w:val="282828"/>
          <w:spacing w:val="-2"/>
          <w:sz w:val="18"/>
        </w:rPr>
        <w:t>adoption.</w:t>
      </w:r>
    </w:p>
    <w:p>
      <w:pPr>
        <w:spacing w:before="14"/>
        <w:ind w:left="243" w:right="0" w:firstLine="0"/>
        <w:jc w:val="left"/>
        <w:rPr>
          <w:sz w:val="18"/>
        </w:rPr>
      </w:pPr>
      <w:r>
        <w:rPr>
          <w:color w:val="282828"/>
          <w:sz w:val="18"/>
        </w:rPr>
        <w:t>A</w:t>
      </w:r>
      <w:r>
        <w:rPr>
          <w:color w:val="282828"/>
          <w:spacing w:val="-2"/>
          <w:sz w:val="18"/>
        </w:rPr>
        <w:t> </w:t>
      </w:r>
      <w:r>
        <w:rPr>
          <w:color w:val="282828"/>
          <w:sz w:val="18"/>
        </w:rPr>
        <w:t>miscellany</w:t>
      </w:r>
      <w:r>
        <w:rPr>
          <w:color w:val="282828"/>
          <w:spacing w:val="10"/>
          <w:sz w:val="18"/>
        </w:rPr>
        <w:t> </w:t>
      </w:r>
      <w:r>
        <w:rPr>
          <w:color w:val="111111"/>
          <w:sz w:val="18"/>
        </w:rPr>
        <w:t>of</w:t>
      </w:r>
      <w:r>
        <w:rPr>
          <w:color w:val="111111"/>
          <w:spacing w:val="-9"/>
          <w:sz w:val="18"/>
        </w:rPr>
        <w:t> </w:t>
      </w:r>
      <w:r>
        <w:rPr>
          <w:color w:val="111111"/>
          <w:sz w:val="18"/>
        </w:rPr>
        <w:t>grants</w:t>
      </w:r>
      <w:r>
        <w:rPr>
          <w:color w:val="111111"/>
          <w:spacing w:val="-1"/>
          <w:sz w:val="18"/>
        </w:rPr>
        <w:t> </w:t>
      </w:r>
      <w:r>
        <w:rPr>
          <w:color w:val="111111"/>
          <w:sz w:val="18"/>
        </w:rPr>
        <w:t>to</w:t>
      </w:r>
      <w:r>
        <w:rPr>
          <w:color w:val="111111"/>
          <w:spacing w:val="-8"/>
          <w:sz w:val="18"/>
        </w:rPr>
        <w:t> </w:t>
      </w:r>
      <w:r>
        <w:rPr>
          <w:color w:val="111111"/>
          <w:sz w:val="18"/>
        </w:rPr>
        <w:t>fund</w:t>
      </w:r>
      <w:r>
        <w:rPr>
          <w:color w:val="111111"/>
          <w:spacing w:val="-6"/>
          <w:sz w:val="18"/>
        </w:rPr>
        <w:t> </w:t>
      </w:r>
      <w:r>
        <w:rPr>
          <w:color w:val="111111"/>
          <w:sz w:val="18"/>
        </w:rPr>
        <w:t>minor</w:t>
      </w:r>
      <w:r>
        <w:rPr>
          <w:color w:val="111111"/>
          <w:spacing w:val="3"/>
          <w:sz w:val="18"/>
        </w:rPr>
        <w:t> </w:t>
      </w:r>
      <w:r>
        <w:rPr>
          <w:color w:val="111111"/>
          <w:spacing w:val="-2"/>
          <w:sz w:val="18"/>
        </w:rPr>
        <w:t>projects.</w:t>
      </w:r>
    </w:p>
    <w:p>
      <w:pPr>
        <w:spacing w:before="115"/>
        <w:ind w:left="234" w:right="0" w:firstLine="0"/>
        <w:jc w:val="left"/>
        <w:rPr>
          <w:sz w:val="18"/>
        </w:rPr>
      </w:pPr>
      <w:r>
        <w:rPr>
          <w:color w:val="111111"/>
          <w:sz w:val="18"/>
        </w:rPr>
        <w:t>To</w:t>
      </w:r>
      <w:r>
        <w:rPr>
          <w:color w:val="111111"/>
          <w:spacing w:val="-9"/>
          <w:sz w:val="18"/>
        </w:rPr>
        <w:t> </w:t>
      </w:r>
      <w:r>
        <w:rPr>
          <w:color w:val="111111"/>
          <w:sz w:val="18"/>
        </w:rPr>
        <w:t>guard</w:t>
      </w:r>
      <w:r>
        <w:rPr>
          <w:color w:val="111111"/>
          <w:spacing w:val="-11"/>
          <w:sz w:val="18"/>
        </w:rPr>
        <w:t> </w:t>
      </w:r>
      <w:r>
        <w:rPr>
          <w:color w:val="111111"/>
          <w:sz w:val="18"/>
        </w:rPr>
        <w:t>the</w:t>
      </w:r>
      <w:r>
        <w:rPr>
          <w:color w:val="111111"/>
          <w:spacing w:val="-9"/>
          <w:sz w:val="18"/>
        </w:rPr>
        <w:t> </w:t>
      </w:r>
      <w:r>
        <w:rPr>
          <w:color w:val="111111"/>
          <w:sz w:val="18"/>
        </w:rPr>
        <w:t>revenue</w:t>
      </w:r>
      <w:r>
        <w:rPr>
          <w:color w:val="111111"/>
          <w:spacing w:val="-1"/>
          <w:sz w:val="18"/>
        </w:rPr>
        <w:t> </w:t>
      </w:r>
      <w:r>
        <w:rPr>
          <w:color w:val="111111"/>
          <w:sz w:val="18"/>
        </w:rPr>
        <w:t>budget</w:t>
      </w:r>
      <w:r>
        <w:rPr>
          <w:color w:val="111111"/>
          <w:spacing w:val="-2"/>
          <w:sz w:val="18"/>
        </w:rPr>
        <w:t> </w:t>
      </w:r>
      <w:r>
        <w:rPr>
          <w:color w:val="111111"/>
          <w:sz w:val="18"/>
        </w:rPr>
        <w:t>against</w:t>
      </w:r>
      <w:r>
        <w:rPr>
          <w:color w:val="111111"/>
          <w:spacing w:val="-3"/>
          <w:sz w:val="18"/>
        </w:rPr>
        <w:t> </w:t>
      </w:r>
      <w:r>
        <w:rPr>
          <w:color w:val="111111"/>
          <w:sz w:val="18"/>
        </w:rPr>
        <w:t>declining</w:t>
      </w:r>
      <w:r>
        <w:rPr>
          <w:color w:val="111111"/>
          <w:spacing w:val="-3"/>
          <w:sz w:val="18"/>
        </w:rPr>
        <w:t> </w:t>
      </w:r>
      <w:r>
        <w:rPr>
          <w:color w:val="111111"/>
          <w:sz w:val="18"/>
        </w:rPr>
        <w:t>government</w:t>
      </w:r>
      <w:r>
        <w:rPr>
          <w:color w:val="111111"/>
          <w:spacing w:val="3"/>
          <w:sz w:val="18"/>
        </w:rPr>
        <w:t> </w:t>
      </w:r>
      <w:r>
        <w:rPr>
          <w:color w:val="111111"/>
          <w:spacing w:val="-2"/>
          <w:sz w:val="18"/>
        </w:rPr>
        <w:t>grants</w:t>
      </w:r>
    </w:p>
    <w:p>
      <w:pPr>
        <w:pStyle w:val="BodyText"/>
        <w:spacing w:before="110"/>
        <w:rPr>
          <w:sz w:val="18"/>
        </w:rPr>
      </w:pPr>
    </w:p>
    <w:p>
      <w:pPr>
        <w:spacing w:before="0"/>
        <w:ind w:left="238" w:right="0" w:firstLine="0"/>
        <w:jc w:val="left"/>
        <w:rPr>
          <w:sz w:val="18"/>
        </w:rPr>
      </w:pPr>
      <w:r>
        <w:rPr>
          <w:color w:val="111111"/>
          <w:sz w:val="18"/>
        </w:rPr>
        <w:t>Used</w:t>
      </w:r>
      <w:r>
        <w:rPr>
          <w:color w:val="111111"/>
          <w:spacing w:val="-3"/>
          <w:sz w:val="18"/>
        </w:rPr>
        <w:t> </w:t>
      </w:r>
      <w:r>
        <w:rPr>
          <w:color w:val="111111"/>
          <w:sz w:val="18"/>
        </w:rPr>
        <w:t>to</w:t>
      </w:r>
      <w:r>
        <w:rPr>
          <w:color w:val="111111"/>
          <w:spacing w:val="2"/>
          <w:sz w:val="18"/>
        </w:rPr>
        <w:t> </w:t>
      </w:r>
      <w:r>
        <w:rPr>
          <w:color w:val="111111"/>
          <w:sz w:val="18"/>
        </w:rPr>
        <w:t>fund</w:t>
      </w:r>
      <w:r>
        <w:rPr>
          <w:color w:val="111111"/>
          <w:spacing w:val="-1"/>
          <w:sz w:val="18"/>
        </w:rPr>
        <w:t> </w:t>
      </w:r>
      <w:r>
        <w:rPr>
          <w:color w:val="111111"/>
          <w:sz w:val="18"/>
        </w:rPr>
        <w:t>schemes</w:t>
      </w:r>
      <w:r>
        <w:rPr>
          <w:color w:val="111111"/>
          <w:spacing w:val="9"/>
          <w:sz w:val="18"/>
        </w:rPr>
        <w:t> </w:t>
      </w:r>
      <w:r>
        <w:rPr>
          <w:color w:val="111111"/>
          <w:sz w:val="18"/>
        </w:rPr>
        <w:t>such</w:t>
      </w:r>
      <w:r>
        <w:rPr>
          <w:color w:val="111111"/>
          <w:spacing w:val="-8"/>
          <w:sz w:val="18"/>
        </w:rPr>
        <w:t> </w:t>
      </w:r>
      <w:r>
        <w:rPr>
          <w:color w:val="111111"/>
          <w:sz w:val="18"/>
        </w:rPr>
        <w:t>as</w:t>
      </w:r>
      <w:r>
        <w:rPr>
          <w:color w:val="111111"/>
          <w:spacing w:val="-6"/>
          <w:sz w:val="18"/>
        </w:rPr>
        <w:t> </w:t>
      </w:r>
      <w:r>
        <w:rPr>
          <w:color w:val="282828"/>
          <w:sz w:val="18"/>
        </w:rPr>
        <w:t>DFG</w:t>
      </w:r>
      <w:r>
        <w:rPr>
          <w:color w:val="282828"/>
          <w:spacing w:val="-3"/>
          <w:sz w:val="18"/>
        </w:rPr>
        <w:t> </w:t>
      </w:r>
      <w:r>
        <w:rPr>
          <w:color w:val="111111"/>
          <w:spacing w:val="-2"/>
          <w:sz w:val="18"/>
        </w:rPr>
        <w:t>grants</w:t>
      </w:r>
      <w:r>
        <w:rPr>
          <w:color w:val="4D4D4D"/>
          <w:spacing w:val="-2"/>
          <w:sz w:val="18"/>
        </w:rPr>
        <w:t>.</w:t>
      </w:r>
    </w:p>
    <w:p>
      <w:pPr>
        <w:spacing w:before="62"/>
        <w:ind w:left="239" w:right="0" w:firstLine="0"/>
        <w:jc w:val="left"/>
        <w:rPr>
          <w:sz w:val="18"/>
        </w:rPr>
      </w:pPr>
      <w:r>
        <w:rPr>
          <w:color w:val="111111"/>
          <w:sz w:val="18"/>
        </w:rPr>
        <w:t>Covers</w:t>
      </w:r>
      <w:r>
        <w:rPr>
          <w:color w:val="111111"/>
          <w:spacing w:val="2"/>
          <w:sz w:val="18"/>
        </w:rPr>
        <w:t> </w:t>
      </w:r>
      <w:r>
        <w:rPr>
          <w:color w:val="111111"/>
          <w:sz w:val="18"/>
        </w:rPr>
        <w:t>the</w:t>
      </w:r>
      <w:r>
        <w:rPr>
          <w:color w:val="111111"/>
          <w:spacing w:val="-11"/>
          <w:sz w:val="18"/>
        </w:rPr>
        <w:t> </w:t>
      </w:r>
      <w:r>
        <w:rPr>
          <w:color w:val="111111"/>
          <w:sz w:val="18"/>
        </w:rPr>
        <w:t>cost</w:t>
      </w:r>
      <w:r>
        <w:rPr>
          <w:color w:val="111111"/>
          <w:spacing w:val="3"/>
          <w:sz w:val="18"/>
        </w:rPr>
        <w:t> </w:t>
      </w:r>
      <w:r>
        <w:rPr>
          <w:color w:val="111111"/>
          <w:sz w:val="18"/>
        </w:rPr>
        <w:t>of</w:t>
      </w:r>
      <w:r>
        <w:rPr>
          <w:color w:val="111111"/>
          <w:spacing w:val="-12"/>
          <w:sz w:val="18"/>
        </w:rPr>
        <w:t> </w:t>
      </w:r>
      <w:r>
        <w:rPr>
          <w:color w:val="111111"/>
          <w:sz w:val="18"/>
        </w:rPr>
        <w:t>car</w:t>
      </w:r>
      <w:r>
        <w:rPr>
          <w:color w:val="111111"/>
          <w:spacing w:val="-6"/>
          <w:sz w:val="18"/>
        </w:rPr>
        <w:t> </w:t>
      </w:r>
      <w:r>
        <w:rPr>
          <w:color w:val="111111"/>
          <w:sz w:val="18"/>
        </w:rPr>
        <w:t>park</w:t>
      </w:r>
      <w:r>
        <w:rPr>
          <w:color w:val="111111"/>
          <w:spacing w:val="-1"/>
          <w:sz w:val="18"/>
        </w:rPr>
        <w:t> </w:t>
      </w:r>
      <w:r>
        <w:rPr>
          <w:color w:val="111111"/>
          <w:sz w:val="18"/>
        </w:rPr>
        <w:t>resurfacing,</w:t>
      </w:r>
      <w:r>
        <w:rPr>
          <w:color w:val="111111"/>
          <w:spacing w:val="9"/>
          <w:sz w:val="18"/>
        </w:rPr>
        <w:t> </w:t>
      </w:r>
      <w:r>
        <w:rPr>
          <w:color w:val="111111"/>
          <w:sz w:val="18"/>
        </w:rPr>
        <w:t>machines</w:t>
      </w:r>
      <w:r>
        <w:rPr>
          <w:color w:val="111111"/>
          <w:spacing w:val="1"/>
          <w:sz w:val="18"/>
        </w:rPr>
        <w:t> </w:t>
      </w:r>
      <w:r>
        <w:rPr>
          <w:color w:val="111111"/>
          <w:sz w:val="18"/>
        </w:rPr>
        <w:t>and</w:t>
      </w:r>
      <w:r>
        <w:rPr>
          <w:color w:val="111111"/>
          <w:spacing w:val="-10"/>
          <w:sz w:val="18"/>
        </w:rPr>
        <w:t> </w:t>
      </w:r>
      <w:r>
        <w:rPr>
          <w:color w:val="111111"/>
          <w:sz w:val="18"/>
        </w:rPr>
        <w:t>equipment</w:t>
      </w:r>
      <w:r>
        <w:rPr>
          <w:color w:val="111111"/>
          <w:spacing w:val="6"/>
          <w:sz w:val="18"/>
        </w:rPr>
        <w:t> </w:t>
      </w:r>
      <w:r>
        <w:rPr>
          <w:color w:val="111111"/>
          <w:spacing w:val="-2"/>
          <w:sz w:val="18"/>
        </w:rPr>
        <w:t>replacement.</w:t>
      </w:r>
    </w:p>
    <w:p>
      <w:pPr>
        <w:spacing w:before="149"/>
        <w:ind w:left="239" w:right="0" w:firstLine="0"/>
        <w:jc w:val="left"/>
        <w:rPr>
          <w:sz w:val="18"/>
        </w:rPr>
      </w:pPr>
      <w:r>
        <w:rPr>
          <w:color w:val="111111"/>
          <w:sz w:val="18"/>
        </w:rPr>
        <w:t>To</w:t>
      </w:r>
      <w:r>
        <w:rPr>
          <w:color w:val="111111"/>
          <w:spacing w:val="-3"/>
          <w:sz w:val="18"/>
        </w:rPr>
        <w:t> </w:t>
      </w:r>
      <w:r>
        <w:rPr>
          <w:color w:val="282828"/>
          <w:sz w:val="18"/>
        </w:rPr>
        <w:t>cover</w:t>
      </w:r>
      <w:r>
        <w:rPr>
          <w:color w:val="282828"/>
          <w:spacing w:val="-7"/>
          <w:sz w:val="18"/>
        </w:rPr>
        <w:t> </w:t>
      </w:r>
      <w:r>
        <w:rPr>
          <w:color w:val="111111"/>
          <w:sz w:val="18"/>
        </w:rPr>
        <w:t>the</w:t>
      </w:r>
      <w:r>
        <w:rPr>
          <w:color w:val="111111"/>
          <w:spacing w:val="-5"/>
          <w:sz w:val="18"/>
        </w:rPr>
        <w:t> </w:t>
      </w:r>
      <w:r>
        <w:rPr>
          <w:color w:val="282828"/>
          <w:sz w:val="18"/>
        </w:rPr>
        <w:t>cost</w:t>
      </w:r>
      <w:r>
        <w:rPr>
          <w:color w:val="282828"/>
          <w:spacing w:val="2"/>
          <w:sz w:val="18"/>
        </w:rPr>
        <w:t> </w:t>
      </w:r>
      <w:r>
        <w:rPr>
          <w:color w:val="111111"/>
          <w:sz w:val="18"/>
        </w:rPr>
        <w:t>of</w:t>
      </w:r>
      <w:r>
        <w:rPr>
          <w:color w:val="111111"/>
          <w:spacing w:val="2"/>
          <w:sz w:val="18"/>
        </w:rPr>
        <w:t> </w:t>
      </w:r>
      <w:r>
        <w:rPr>
          <w:color w:val="363636"/>
          <w:sz w:val="18"/>
        </w:rPr>
        <w:t>the</w:t>
      </w:r>
      <w:r>
        <w:rPr>
          <w:color w:val="363636"/>
          <w:spacing w:val="-12"/>
          <w:sz w:val="18"/>
        </w:rPr>
        <w:t> </w:t>
      </w:r>
      <w:r>
        <w:rPr>
          <w:color w:val="111111"/>
          <w:sz w:val="18"/>
        </w:rPr>
        <w:t>replacement</w:t>
      </w:r>
      <w:r>
        <w:rPr>
          <w:color w:val="111111"/>
          <w:spacing w:val="15"/>
          <w:sz w:val="18"/>
        </w:rPr>
        <w:t> </w:t>
      </w:r>
      <w:r>
        <w:rPr>
          <w:color w:val="111111"/>
          <w:sz w:val="18"/>
        </w:rPr>
        <w:t>of</w:t>
      </w:r>
      <w:r>
        <w:rPr>
          <w:color w:val="111111"/>
          <w:spacing w:val="-11"/>
          <w:sz w:val="18"/>
        </w:rPr>
        <w:t> </w:t>
      </w:r>
      <w:r>
        <w:rPr>
          <w:color w:val="111111"/>
          <w:sz w:val="18"/>
        </w:rPr>
        <w:t>play</w:t>
      </w:r>
      <w:r>
        <w:rPr>
          <w:color w:val="111111"/>
          <w:spacing w:val="3"/>
          <w:sz w:val="18"/>
        </w:rPr>
        <w:t> </w:t>
      </w:r>
      <w:r>
        <w:rPr>
          <w:color w:val="111111"/>
          <w:spacing w:val="-2"/>
          <w:sz w:val="18"/>
        </w:rPr>
        <w:t>equipment.</w:t>
      </w:r>
    </w:p>
    <w:p>
      <w:pPr>
        <w:spacing w:before="66" w:line="345" w:lineRule="auto"/>
        <w:ind w:left="239" w:right="691" w:hanging="1"/>
        <w:jc w:val="left"/>
        <w:rPr>
          <w:sz w:val="18"/>
        </w:rPr>
      </w:pPr>
      <w:r>
        <w:rPr>
          <w:color w:val="111111"/>
          <w:sz w:val="18"/>
        </w:rPr>
        <w:t>Reserve to</w:t>
      </w:r>
      <w:r>
        <w:rPr>
          <w:color w:val="111111"/>
          <w:spacing w:val="-3"/>
          <w:sz w:val="18"/>
        </w:rPr>
        <w:t> </w:t>
      </w:r>
      <w:r>
        <w:rPr>
          <w:color w:val="363636"/>
          <w:sz w:val="18"/>
        </w:rPr>
        <w:t>fund</w:t>
      </w:r>
      <w:r>
        <w:rPr>
          <w:color w:val="363636"/>
          <w:spacing w:val="-4"/>
          <w:sz w:val="18"/>
        </w:rPr>
        <w:t> </w:t>
      </w:r>
      <w:r>
        <w:rPr>
          <w:color w:val="111111"/>
          <w:sz w:val="18"/>
        </w:rPr>
        <w:t>recycling initiatives such as</w:t>
      </w:r>
      <w:r>
        <w:rPr>
          <w:color w:val="111111"/>
          <w:spacing w:val="-3"/>
          <w:sz w:val="18"/>
        </w:rPr>
        <w:t> </w:t>
      </w:r>
      <w:r>
        <w:rPr>
          <w:color w:val="111111"/>
          <w:sz w:val="18"/>
        </w:rPr>
        <w:t>the</w:t>
      </w:r>
      <w:r>
        <w:rPr>
          <w:color w:val="111111"/>
          <w:spacing w:val="-7"/>
          <w:sz w:val="18"/>
        </w:rPr>
        <w:t> </w:t>
      </w:r>
      <w:r>
        <w:rPr>
          <w:color w:val="111111"/>
          <w:sz w:val="18"/>
        </w:rPr>
        <w:t>introduction of</w:t>
      </w:r>
      <w:r>
        <w:rPr>
          <w:color w:val="111111"/>
          <w:spacing w:val="-3"/>
          <w:sz w:val="18"/>
        </w:rPr>
        <w:t> </w:t>
      </w:r>
      <w:r>
        <w:rPr>
          <w:color w:val="111111"/>
          <w:sz w:val="18"/>
        </w:rPr>
        <w:t>recycling into</w:t>
      </w:r>
      <w:r>
        <w:rPr>
          <w:color w:val="111111"/>
          <w:spacing w:val="-5"/>
          <w:sz w:val="18"/>
        </w:rPr>
        <w:t> </w:t>
      </w:r>
      <w:r>
        <w:rPr>
          <w:color w:val="111111"/>
          <w:sz w:val="18"/>
        </w:rPr>
        <w:t>flats</w:t>
      </w:r>
      <w:r>
        <w:rPr>
          <w:color w:val="4D4D4D"/>
          <w:sz w:val="18"/>
        </w:rPr>
        <w:t>. </w:t>
      </w:r>
      <w:r>
        <w:rPr>
          <w:color w:val="111111"/>
          <w:sz w:val="18"/>
        </w:rPr>
        <w:t>To fund uninsured losses related to Council owned garages.</w:t>
      </w:r>
    </w:p>
    <w:p>
      <w:pPr>
        <w:pStyle w:val="BodyText"/>
        <w:spacing w:before="24"/>
        <w:rPr>
          <w:sz w:val="18"/>
        </w:rPr>
      </w:pPr>
    </w:p>
    <w:p>
      <w:pPr>
        <w:spacing w:before="0"/>
        <w:ind w:left="239" w:right="0" w:firstLine="0"/>
        <w:jc w:val="left"/>
        <w:rPr>
          <w:sz w:val="18"/>
        </w:rPr>
      </w:pPr>
      <w:r>
        <w:rPr>
          <w:color w:val="111111"/>
          <w:sz w:val="18"/>
        </w:rPr>
        <w:t>To</w:t>
      </w:r>
      <w:r>
        <w:rPr>
          <w:color w:val="111111"/>
          <w:spacing w:val="-10"/>
          <w:sz w:val="18"/>
        </w:rPr>
        <w:t> </w:t>
      </w:r>
      <w:r>
        <w:rPr>
          <w:color w:val="111111"/>
          <w:sz w:val="18"/>
        </w:rPr>
        <w:t>fund</w:t>
      </w:r>
      <w:r>
        <w:rPr>
          <w:color w:val="111111"/>
          <w:spacing w:val="-2"/>
          <w:sz w:val="18"/>
        </w:rPr>
        <w:t> </w:t>
      </w:r>
      <w:r>
        <w:rPr>
          <w:color w:val="111111"/>
          <w:sz w:val="18"/>
        </w:rPr>
        <w:t>any</w:t>
      </w:r>
      <w:r>
        <w:rPr>
          <w:color w:val="111111"/>
          <w:spacing w:val="2"/>
          <w:sz w:val="18"/>
        </w:rPr>
        <w:t> </w:t>
      </w:r>
      <w:r>
        <w:rPr>
          <w:color w:val="111111"/>
          <w:sz w:val="18"/>
        </w:rPr>
        <w:t>uninsured</w:t>
      </w:r>
      <w:r>
        <w:rPr>
          <w:color w:val="111111"/>
          <w:spacing w:val="1"/>
          <w:sz w:val="18"/>
        </w:rPr>
        <w:t> </w:t>
      </w:r>
      <w:r>
        <w:rPr>
          <w:color w:val="111111"/>
          <w:sz w:val="18"/>
        </w:rPr>
        <w:t>losses</w:t>
      </w:r>
      <w:r>
        <w:rPr>
          <w:color w:val="111111"/>
          <w:spacing w:val="-6"/>
          <w:sz w:val="18"/>
        </w:rPr>
        <w:t> </w:t>
      </w:r>
      <w:r>
        <w:rPr>
          <w:color w:val="282828"/>
          <w:sz w:val="18"/>
        </w:rPr>
        <w:t>incurred</w:t>
      </w:r>
      <w:r>
        <w:rPr>
          <w:color w:val="282828"/>
          <w:spacing w:val="-1"/>
          <w:sz w:val="18"/>
        </w:rPr>
        <w:t> </w:t>
      </w:r>
      <w:r>
        <w:rPr>
          <w:color w:val="111111"/>
          <w:sz w:val="18"/>
        </w:rPr>
        <w:t>by the</w:t>
      </w:r>
      <w:r>
        <w:rPr>
          <w:color w:val="111111"/>
          <w:spacing w:val="-2"/>
          <w:sz w:val="18"/>
        </w:rPr>
        <w:t> Council.</w:t>
      </w:r>
    </w:p>
    <w:p>
      <w:pPr>
        <w:spacing w:before="110"/>
        <w:ind w:left="243" w:right="0" w:firstLine="0"/>
        <w:jc w:val="left"/>
        <w:rPr>
          <w:sz w:val="18"/>
        </w:rPr>
      </w:pPr>
      <w:r>
        <w:rPr>
          <w:color w:val="111111"/>
          <w:sz w:val="18"/>
        </w:rPr>
        <w:t>Used</w:t>
      </w:r>
      <w:r>
        <w:rPr>
          <w:color w:val="111111"/>
          <w:spacing w:val="-1"/>
          <w:sz w:val="18"/>
        </w:rPr>
        <w:t> </w:t>
      </w:r>
      <w:r>
        <w:rPr>
          <w:color w:val="111111"/>
          <w:sz w:val="18"/>
        </w:rPr>
        <w:t>to</w:t>
      </w:r>
      <w:r>
        <w:rPr>
          <w:color w:val="111111"/>
          <w:spacing w:val="-7"/>
          <w:sz w:val="18"/>
        </w:rPr>
        <w:t> </w:t>
      </w:r>
      <w:r>
        <w:rPr>
          <w:color w:val="111111"/>
          <w:sz w:val="18"/>
        </w:rPr>
        <w:t>fund</w:t>
      </w:r>
      <w:r>
        <w:rPr>
          <w:color w:val="111111"/>
          <w:spacing w:val="-6"/>
          <w:sz w:val="18"/>
        </w:rPr>
        <w:t> </w:t>
      </w:r>
      <w:r>
        <w:rPr>
          <w:color w:val="111111"/>
          <w:sz w:val="18"/>
        </w:rPr>
        <w:t>the</w:t>
      </w:r>
      <w:r>
        <w:rPr>
          <w:color w:val="111111"/>
          <w:spacing w:val="-9"/>
          <w:sz w:val="18"/>
        </w:rPr>
        <w:t> </w:t>
      </w:r>
      <w:r>
        <w:rPr>
          <w:color w:val="111111"/>
          <w:sz w:val="18"/>
        </w:rPr>
        <w:t>replacement</w:t>
      </w:r>
      <w:r>
        <w:rPr>
          <w:color w:val="111111"/>
          <w:spacing w:val="9"/>
          <w:sz w:val="18"/>
        </w:rPr>
        <w:t> </w:t>
      </w:r>
      <w:r>
        <w:rPr>
          <w:color w:val="111111"/>
          <w:sz w:val="18"/>
        </w:rPr>
        <w:t>of</w:t>
      </w:r>
      <w:r>
        <w:rPr>
          <w:color w:val="111111"/>
          <w:spacing w:val="-7"/>
          <w:sz w:val="18"/>
        </w:rPr>
        <w:t> </w:t>
      </w:r>
      <w:r>
        <w:rPr>
          <w:color w:val="111111"/>
          <w:sz w:val="18"/>
        </w:rPr>
        <w:t>the</w:t>
      </w:r>
      <w:r>
        <w:rPr>
          <w:color w:val="111111"/>
          <w:spacing w:val="-7"/>
          <w:sz w:val="18"/>
        </w:rPr>
        <w:t> </w:t>
      </w:r>
      <w:r>
        <w:rPr>
          <w:color w:val="111111"/>
          <w:sz w:val="18"/>
        </w:rPr>
        <w:t>Street</w:t>
      </w:r>
      <w:r>
        <w:rPr>
          <w:color w:val="111111"/>
          <w:spacing w:val="1"/>
          <w:sz w:val="18"/>
        </w:rPr>
        <w:t> </w:t>
      </w:r>
      <w:r>
        <w:rPr>
          <w:color w:val="111111"/>
          <w:sz w:val="18"/>
        </w:rPr>
        <w:t>Scene</w:t>
      </w:r>
      <w:r>
        <w:rPr>
          <w:color w:val="111111"/>
          <w:spacing w:val="1"/>
          <w:sz w:val="18"/>
        </w:rPr>
        <w:t> </w:t>
      </w:r>
      <w:r>
        <w:rPr>
          <w:color w:val="111111"/>
          <w:sz w:val="18"/>
        </w:rPr>
        <w:t>service</w:t>
      </w:r>
      <w:r>
        <w:rPr>
          <w:color w:val="111111"/>
          <w:spacing w:val="-1"/>
          <w:sz w:val="18"/>
        </w:rPr>
        <w:t> </w:t>
      </w:r>
      <w:r>
        <w:rPr>
          <w:color w:val="111111"/>
          <w:spacing w:val="-2"/>
          <w:sz w:val="18"/>
        </w:rPr>
        <w:t>vehicles.</w:t>
      </w:r>
    </w:p>
    <w:p>
      <w:pPr>
        <w:spacing w:after="0"/>
        <w:jc w:val="left"/>
        <w:rPr>
          <w:sz w:val="18"/>
        </w:rPr>
        <w:sectPr>
          <w:type w:val="continuous"/>
          <w:pgSz w:w="11910" w:h="16830"/>
          <w:pgMar w:top="1940" w:right="300" w:bottom="280" w:left="0" w:header="0" w:footer="0"/>
          <w:cols w:equalWidth="0" w:num="2">
            <w:col w:w="3972" w:space="40"/>
            <w:col w:w="7598"/>
          </w:cols>
        </w:sectPr>
      </w:pPr>
    </w:p>
    <w:p>
      <w:pPr>
        <w:spacing w:before="72"/>
        <w:ind w:left="827" w:right="0" w:firstLine="0"/>
        <w:jc w:val="left"/>
        <w:rPr>
          <w:i/>
          <w:sz w:val="12"/>
        </w:rPr>
      </w:pPr>
      <w:r>
        <w:rPr>
          <w:color w:val="A1A1A1"/>
          <w:w w:val="140"/>
          <w:sz w:val="14"/>
        </w:rPr>
        <w:t>i</w:t>
      </w:r>
      <w:r>
        <w:rPr>
          <w:color w:val="A1A1A1"/>
          <w:spacing w:val="-9"/>
          <w:w w:val="140"/>
          <w:sz w:val="14"/>
        </w:rPr>
        <w:t> </w:t>
      </w:r>
      <w:r>
        <w:rPr>
          <w:color w:val="A1A1A1"/>
          <w:w w:val="140"/>
          <w:sz w:val="14"/>
        </w:rPr>
        <w:t>(n</w:t>
      </w:r>
      <w:r>
        <w:rPr>
          <w:color w:val="A1A1A1"/>
          <w:spacing w:val="-36"/>
          <w:w w:val="140"/>
          <w:sz w:val="14"/>
        </w:rPr>
        <w:t> </w:t>
      </w:r>
      <w:r>
        <w:rPr>
          <w:rFonts w:ascii="Times New Roman"/>
          <w:color w:val="A1A1A1"/>
          <w:w w:val="110"/>
          <w:sz w:val="16"/>
        </w:rPr>
        <w:t>f:_;</w:t>
      </w:r>
      <w:r>
        <w:rPr>
          <w:rFonts w:ascii="Times New Roman"/>
          <w:color w:val="A1A1A1"/>
          <w:spacing w:val="24"/>
          <w:w w:val="110"/>
          <w:sz w:val="16"/>
        </w:rPr>
        <w:t> </w:t>
      </w:r>
      <w:r>
        <w:rPr>
          <w:color w:val="A1A1A1"/>
          <w:w w:val="110"/>
          <w:sz w:val="13"/>
        </w:rPr>
        <w:t>I</w:t>
      </w:r>
      <w:r>
        <w:rPr>
          <w:color w:val="A1A1A1"/>
          <w:spacing w:val="-9"/>
          <w:w w:val="110"/>
          <w:sz w:val="13"/>
        </w:rPr>
        <w:t> </w:t>
      </w:r>
      <w:r>
        <w:rPr>
          <w:color w:val="B1B1B1"/>
          <w:w w:val="110"/>
          <w:sz w:val="14"/>
        </w:rPr>
        <w:t>U</w:t>
      </w:r>
      <w:r>
        <w:rPr>
          <w:color w:val="B1B1B1"/>
          <w:spacing w:val="44"/>
          <w:w w:val="110"/>
          <w:sz w:val="14"/>
        </w:rPr>
        <w:t> </w:t>
      </w:r>
      <w:r>
        <w:rPr>
          <w:color w:val="A1A1A1"/>
          <w:w w:val="110"/>
          <w:sz w:val="13"/>
        </w:rPr>
        <w:t>I</w:t>
      </w:r>
      <w:r>
        <w:rPr>
          <w:color w:val="A1A1A1"/>
          <w:spacing w:val="-10"/>
          <w:w w:val="110"/>
          <w:sz w:val="13"/>
        </w:rPr>
        <w:t> </w:t>
      </w:r>
      <w:r>
        <w:rPr>
          <w:color w:val="A1A1A1"/>
          <w:w w:val="110"/>
          <w:sz w:val="13"/>
        </w:rPr>
        <w:t>Ht</w:t>
      </w:r>
      <w:r>
        <w:rPr>
          <w:color w:val="A1A1A1"/>
          <w:spacing w:val="79"/>
          <w:w w:val="150"/>
          <w:sz w:val="13"/>
        </w:rPr>
        <w:t> </w:t>
      </w:r>
      <w:r>
        <w:rPr>
          <w:color w:val="B1B1B1"/>
          <w:w w:val="110"/>
          <w:sz w:val="13"/>
        </w:rPr>
        <w:t>A,</w:t>
      </w:r>
      <w:r>
        <w:rPr>
          <w:color w:val="B1B1B1"/>
          <w:spacing w:val="51"/>
          <w:w w:val="110"/>
          <w:sz w:val="13"/>
        </w:rPr>
        <w:t> </w:t>
      </w:r>
      <w:r>
        <w:rPr>
          <w:color w:val="B1B1B1"/>
          <w:w w:val="110"/>
          <w:sz w:val="13"/>
        </w:rPr>
        <w:t>'-:(</w:t>
      </w:r>
      <w:r>
        <w:rPr>
          <w:color w:val="B1B1B1"/>
          <w:spacing w:val="-7"/>
          <w:w w:val="110"/>
          <w:sz w:val="13"/>
        </w:rPr>
        <w:t> </w:t>
      </w:r>
      <w:r>
        <w:rPr>
          <w:color w:val="B1B1B1"/>
          <w:w w:val="110"/>
          <w:sz w:val="13"/>
        </w:rPr>
        <w:t>&gt;l!/\:</w:t>
      </w:r>
      <w:r>
        <w:rPr>
          <w:color w:val="B1B1B1"/>
          <w:spacing w:val="-15"/>
          <w:w w:val="110"/>
          <w:sz w:val="13"/>
        </w:rPr>
        <w:t> </w:t>
      </w:r>
      <w:r>
        <w:rPr>
          <w:color w:val="B1B1B1"/>
          <w:w w:val="110"/>
          <w:sz w:val="12"/>
        </w:rPr>
        <w:t>i</w:t>
      </w:r>
      <w:r>
        <w:rPr>
          <w:color w:val="B1B1B1"/>
          <w:spacing w:val="-7"/>
          <w:w w:val="110"/>
          <w:sz w:val="12"/>
        </w:rPr>
        <w:t> </w:t>
      </w:r>
      <w:r>
        <w:rPr>
          <w:i/>
          <w:color w:val="B1B1B1"/>
          <w:spacing w:val="-5"/>
          <w:w w:val="110"/>
          <w:sz w:val="12"/>
        </w:rPr>
        <w:t>':-</w:t>
      </w:r>
    </w:p>
    <w:p>
      <w:pPr>
        <w:pStyle w:val="BodyText"/>
        <w:rPr>
          <w:i/>
          <w:sz w:val="13"/>
        </w:rPr>
      </w:pPr>
    </w:p>
    <w:p>
      <w:pPr>
        <w:pStyle w:val="BodyText"/>
        <w:spacing w:before="69"/>
        <w:rPr>
          <w:i/>
          <w:sz w:val="13"/>
        </w:rPr>
      </w:pPr>
    </w:p>
    <w:p>
      <w:pPr>
        <w:pStyle w:val="BodyText"/>
        <w:spacing w:line="163" w:lineRule="auto"/>
        <w:ind w:left="107" w:hanging="2"/>
      </w:pPr>
      <w:r>
        <w:rPr>
          <w:color w:val="0F0F0F"/>
        </w:rPr>
        <w:t>The table</w:t>
      </w:r>
      <w:r>
        <w:rPr>
          <w:color w:val="0F0F0F"/>
          <w:spacing w:val="13"/>
        </w:rPr>
        <w:t> </w:t>
      </w:r>
      <w:r>
        <w:rPr>
          <w:color w:val="0F0F0F"/>
        </w:rPr>
        <w:t>below</w:t>
      </w:r>
      <w:r>
        <w:rPr>
          <w:color w:val="0F0F0F"/>
          <w:spacing w:val="17"/>
        </w:rPr>
        <w:t> </w:t>
      </w:r>
      <w:r>
        <w:rPr>
          <w:color w:val="0F0F0F"/>
        </w:rPr>
        <w:t>shows</w:t>
      </w:r>
      <w:r>
        <w:rPr>
          <w:color w:val="0F0F0F"/>
          <w:spacing w:val="19"/>
        </w:rPr>
        <w:t> </w:t>
      </w:r>
      <w:r>
        <w:rPr>
          <w:color w:val="0F0F0F"/>
        </w:rPr>
        <w:t>the</w:t>
      </w:r>
      <w:r>
        <w:rPr>
          <w:color w:val="0F0F0F"/>
          <w:spacing w:val="12"/>
        </w:rPr>
        <w:t> </w:t>
      </w:r>
      <w:r>
        <w:rPr>
          <w:color w:val="0F0F0F"/>
        </w:rPr>
        <w:t>reserve</w:t>
      </w:r>
      <w:r>
        <w:rPr>
          <w:color w:val="0F0F0F"/>
          <w:spacing w:val="15"/>
        </w:rPr>
        <w:t> </w:t>
      </w:r>
      <w:r>
        <w:rPr>
          <w:color w:val="0F0F0F"/>
        </w:rPr>
        <w:t>balances</w:t>
      </w:r>
      <w:r>
        <w:rPr>
          <w:color w:val="0F0F0F"/>
          <w:spacing w:val="18"/>
        </w:rPr>
        <w:t> </w:t>
      </w:r>
      <w:r>
        <w:rPr>
          <w:color w:val="0F0F0F"/>
        </w:rPr>
        <w:t>held</w:t>
      </w:r>
      <w:r>
        <w:rPr>
          <w:color w:val="0F0F0F"/>
          <w:spacing w:val="15"/>
        </w:rPr>
        <w:t> </w:t>
      </w:r>
      <w:r>
        <w:rPr>
          <w:color w:val="0F0F0F"/>
        </w:rPr>
        <w:t>at </w:t>
      </w:r>
      <w:r>
        <w:rPr>
          <w:b/>
          <w:color w:val="0F0F0F"/>
        </w:rPr>
        <w:t>31 March</w:t>
      </w:r>
      <w:r>
        <w:rPr>
          <w:b/>
          <w:color w:val="0F0F0F"/>
          <w:spacing w:val="17"/>
        </w:rPr>
        <w:t> </w:t>
      </w:r>
      <w:r>
        <w:rPr>
          <w:b/>
          <w:color w:val="0F0F0F"/>
        </w:rPr>
        <w:t>2023</w:t>
      </w:r>
      <w:r>
        <w:rPr>
          <w:b/>
          <w:color w:val="0F0F0F"/>
          <w:spacing w:val="14"/>
        </w:rPr>
        <w:t> </w:t>
      </w:r>
      <w:r>
        <w:rPr>
          <w:color w:val="0F0F0F"/>
        </w:rPr>
        <w:t>and the amounts</w:t>
      </w:r>
      <w:r>
        <w:rPr>
          <w:color w:val="0F0F0F"/>
          <w:spacing w:val="16"/>
        </w:rPr>
        <w:t> </w:t>
      </w:r>
      <w:r>
        <w:rPr>
          <w:color w:val="0F0F0F"/>
        </w:rPr>
        <w:t>transferred</w:t>
      </w:r>
      <w:r>
        <w:rPr>
          <w:color w:val="0F0F0F"/>
          <w:spacing w:val="21"/>
        </w:rPr>
        <w:t> </w:t>
      </w:r>
      <w:r>
        <w:rPr>
          <w:color w:val="0F0F0F"/>
        </w:rPr>
        <w:t>from</w:t>
      </w:r>
      <w:r>
        <w:rPr>
          <w:color w:val="0F0F0F"/>
          <w:spacing w:val="-2"/>
        </w:rPr>
        <w:t> </w:t>
      </w:r>
      <w:r>
        <w:rPr>
          <w:i/>
          <w:color w:val="0F0F0F"/>
        </w:rPr>
        <w:t>I</w:t>
      </w:r>
      <w:r>
        <w:rPr>
          <w:i/>
          <w:color w:val="0F0F0F"/>
          <w:spacing w:val="17"/>
        </w:rPr>
        <w:t> </w:t>
      </w:r>
      <w:r>
        <w:rPr>
          <w:color w:val="0F0F0F"/>
        </w:rPr>
        <w:t>to the General Fund in order to</w:t>
      </w:r>
      <w:r>
        <w:rPr>
          <w:color w:val="0F0F0F"/>
          <w:spacing w:val="-2"/>
        </w:rPr>
        <w:t> </w:t>
      </w:r>
      <w:r>
        <w:rPr>
          <w:color w:val="0F0F0F"/>
        </w:rPr>
        <w:t>meet future/</w:t>
      </w:r>
      <w:r>
        <w:rPr>
          <w:color w:val="0F0F0F"/>
          <w:spacing w:val="79"/>
          <w:w w:val="150"/>
        </w:rPr>
        <w:t> </w:t>
      </w:r>
      <w:r>
        <w:rPr>
          <w:color w:val="0F0F0F"/>
        </w:rPr>
        <w:t>current </w:t>
      </w:r>
      <w:r>
        <w:rPr>
          <w:color w:val="0F0F0F"/>
          <w:spacing w:val="-2"/>
        </w:rPr>
        <w:t>expenditure.</w:t>
      </w:r>
    </w:p>
    <w:p>
      <w:pPr>
        <w:pStyle w:val="BodyText"/>
        <w:spacing w:before="72"/>
        <w:rPr>
          <w:sz w:val="20"/>
        </w:rPr>
      </w:pPr>
    </w:p>
    <w:p>
      <w:pPr>
        <w:spacing w:after="0"/>
        <w:rPr>
          <w:sz w:val="20"/>
        </w:rPr>
        <w:sectPr>
          <w:headerReference w:type="even" r:id="rId212"/>
          <w:footerReference w:type="even" r:id="rId213"/>
          <w:pgSz w:w="16830" w:h="11910" w:orient="landscape"/>
          <w:pgMar w:top="860" w:right="240" w:bottom="280" w:left="500" w:header="0" w:footer="0"/>
        </w:sectPr>
      </w:pPr>
    </w:p>
    <w:p>
      <w:pPr>
        <w:tabs>
          <w:tab w:val="left" w:leader="none" w:pos="7802"/>
        </w:tabs>
        <w:spacing w:before="94" w:line="224" w:lineRule="exact"/>
        <w:ind w:left="6383" w:right="0" w:firstLine="0"/>
        <w:jc w:val="center"/>
        <w:rPr>
          <w:b/>
          <w:sz w:val="18"/>
        </w:rPr>
      </w:pPr>
      <w:r>
        <w:rPr>
          <w:b/>
          <w:color w:val="0F0F0F"/>
          <w:position w:val="2"/>
          <w:sz w:val="18"/>
        </w:rPr>
        <w:t>Balance</w:t>
      </w:r>
      <w:r>
        <w:rPr>
          <w:b/>
          <w:color w:val="0F0F0F"/>
          <w:spacing w:val="1"/>
          <w:position w:val="2"/>
          <w:sz w:val="18"/>
        </w:rPr>
        <w:t> </w:t>
      </w:r>
      <w:r>
        <w:rPr>
          <w:b/>
          <w:color w:val="0F0F0F"/>
          <w:position w:val="2"/>
          <w:sz w:val="18"/>
        </w:rPr>
        <w:t>at</w:t>
      </w:r>
      <w:r>
        <w:rPr>
          <w:b/>
          <w:color w:val="0F0F0F"/>
          <w:spacing w:val="-7"/>
          <w:position w:val="2"/>
          <w:sz w:val="18"/>
        </w:rPr>
        <w:t> </w:t>
      </w:r>
      <w:r>
        <w:rPr>
          <w:b/>
          <w:color w:val="0F0F0F"/>
          <w:spacing w:val="-5"/>
          <w:position w:val="2"/>
          <w:sz w:val="18"/>
        </w:rPr>
        <w:t>31</w:t>
      </w:r>
      <w:r>
        <w:rPr>
          <w:b/>
          <w:color w:val="0F0F0F"/>
          <w:position w:val="2"/>
          <w:sz w:val="18"/>
        </w:rPr>
        <w:tab/>
      </w:r>
      <w:r>
        <w:rPr>
          <w:b/>
          <w:color w:val="0F0F0F"/>
          <w:sz w:val="18"/>
        </w:rPr>
        <w:t>Transfers</w:t>
      </w:r>
      <w:r>
        <w:rPr>
          <w:b/>
          <w:color w:val="0F0F0F"/>
          <w:spacing w:val="-5"/>
          <w:sz w:val="18"/>
        </w:rPr>
        <w:t> </w:t>
      </w:r>
      <w:r>
        <w:rPr>
          <w:b/>
          <w:color w:val="0F0F0F"/>
          <w:spacing w:val="-5"/>
          <w:sz w:val="18"/>
        </w:rPr>
        <w:t>Out</w:t>
      </w:r>
    </w:p>
    <w:p>
      <w:pPr>
        <w:tabs>
          <w:tab w:val="right" w:leader="none" w:pos="8463"/>
        </w:tabs>
        <w:spacing w:before="0" w:line="214" w:lineRule="exact"/>
        <w:ind w:left="6407" w:right="0" w:firstLine="0"/>
        <w:jc w:val="center"/>
        <w:rPr>
          <w:b/>
          <w:sz w:val="18"/>
        </w:rPr>
      </w:pPr>
      <w:r>
        <w:rPr>
          <w:color w:val="0F0F0F"/>
          <w:position w:val="1"/>
          <w:sz w:val="18"/>
        </w:rPr>
        <w:t>Mar</w:t>
      </w:r>
      <w:r>
        <w:rPr>
          <w:color w:val="0F0F0F"/>
          <w:spacing w:val="17"/>
          <w:position w:val="1"/>
          <w:sz w:val="18"/>
        </w:rPr>
        <w:t> </w:t>
      </w:r>
      <w:r>
        <w:rPr>
          <w:color w:val="0F0F0F"/>
          <w:spacing w:val="-5"/>
          <w:position w:val="1"/>
          <w:sz w:val="18"/>
        </w:rPr>
        <w:t>21</w:t>
      </w:r>
      <w:r>
        <w:rPr>
          <w:color w:val="0F0F0F"/>
          <w:position w:val="1"/>
          <w:sz w:val="18"/>
        </w:rPr>
        <w:tab/>
      </w:r>
      <w:r>
        <w:rPr>
          <w:b/>
          <w:color w:val="0F0F0F"/>
          <w:spacing w:val="-2"/>
          <w:sz w:val="18"/>
        </w:rPr>
        <w:t>2021-22</w:t>
      </w:r>
    </w:p>
    <w:p>
      <w:pPr>
        <w:spacing w:before="34"/>
        <w:ind w:left="7808" w:right="0" w:firstLine="0"/>
        <w:jc w:val="center"/>
        <w:rPr>
          <w:b/>
          <w:sz w:val="18"/>
        </w:rPr>
      </w:pPr>
      <w:r>
        <w:rPr/>
        <ve:AlternateContent>
          <ve:Choice Requires="wps">
            <w:drawing>
              <wp:anchor distT="0" distB="0" distL="0" distR="0" simplePos="0" relativeHeight="15849472" behindDoc="0" locked="0" layoutInCell="1" allowOverlap="1">
                <wp:simplePos x="0" y="0"/>
                <wp:positionH relativeFrom="page">
                  <wp:posOffset>538542</wp:posOffset>
                </wp:positionH>
                <wp:positionV relativeFrom="paragraph">
                  <wp:posOffset>15987</wp:posOffset>
                </wp:positionV>
                <wp:extent cx="4973955" cy="4459605"/>
                <wp:effectExtent l="0" t="0" r="0" b="0"/>
                <wp:wrapNone/>
                <wp:docPr id="555" name="Textbox 555"/>
                <wp:cNvGraphicFramePr>
                  <a:graphicFrameLocks/>
                </wp:cNvGraphicFramePr>
                <a:graphic>
                  <a:graphicData uri="http://schemas.microsoft.com/office/word/2010/wordprocessingShape">
                    <wps:wsp>
                      <wps:cNvPr id="555" name="Textbox 555"/>
                      <wps:cNvSpPr txBox="1"/>
                      <wps:spPr>
                        <a:xfrm>
                          <a:off x="0" y="0"/>
                          <a:ext cx="4973955" cy="445960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5825"/>
                              <w:gridCol w:w="1886"/>
                            </w:tblGrid>
                            <w:tr>
                              <w:trPr>
                                <w:trHeight w:val="575" w:hRule="atLeast"/>
                              </w:trPr>
                              <w:tc>
                                <w:tcPr>
                                  <w:tcW w:w="5825" w:type="dxa"/>
                                </w:tcPr>
                                <w:p>
                                  <w:pPr>
                                    <w:pStyle w:val="TableParagraph"/>
                                    <w:spacing w:before="135" w:line="210" w:lineRule="atLeast"/>
                                    <w:ind w:left="61" w:right="3770" w:hanging="5"/>
                                    <w:rPr>
                                      <w:sz w:val="17"/>
                                    </w:rPr>
                                  </w:pPr>
                                  <w:r>
                                    <w:rPr>
                                      <w:color w:val="0F0F0F"/>
                                      <w:w w:val="105"/>
                                      <w:sz w:val="17"/>
                                    </w:rPr>
                                    <w:t>3</w:t>
                                  </w:r>
                                  <w:r>
                                    <w:rPr>
                                      <w:color w:val="0F0F0F"/>
                                      <w:spacing w:val="-5"/>
                                      <w:w w:val="105"/>
                                      <w:sz w:val="17"/>
                                    </w:rPr>
                                    <w:t> </w:t>
                                  </w:r>
                                  <w:r>
                                    <w:rPr>
                                      <w:color w:val="0F0F0F"/>
                                      <w:w w:val="105"/>
                                      <w:sz w:val="17"/>
                                    </w:rPr>
                                    <w:t>Valleys</w:t>
                                  </w:r>
                                  <w:r>
                                    <w:rPr>
                                      <w:color w:val="0F0F0F"/>
                                      <w:spacing w:val="-11"/>
                                      <w:w w:val="105"/>
                                      <w:sz w:val="17"/>
                                    </w:rPr>
                                    <w:t> </w:t>
                                  </w:r>
                                  <w:r>
                                    <w:rPr>
                                      <w:color w:val="0F0F0F"/>
                                      <w:w w:val="105"/>
                                      <w:sz w:val="17"/>
                                    </w:rPr>
                                    <w:t>Way</w:t>
                                  </w:r>
                                  <w:r>
                                    <w:rPr>
                                      <w:color w:val="0F0F0F"/>
                                      <w:spacing w:val="-12"/>
                                      <w:w w:val="105"/>
                                      <w:sz w:val="17"/>
                                    </w:rPr>
                                    <w:t> </w:t>
                                  </w:r>
                                  <w:r>
                                    <w:rPr>
                                      <w:color w:val="0F0F0F"/>
                                      <w:w w:val="105"/>
                                      <w:sz w:val="17"/>
                                    </w:rPr>
                                    <w:t>Play</w:t>
                                  </w:r>
                                  <w:r>
                                    <w:rPr>
                                      <w:color w:val="0F0F0F"/>
                                      <w:spacing w:val="-7"/>
                                      <w:w w:val="105"/>
                                      <w:sz w:val="17"/>
                                    </w:rPr>
                                    <w:t> </w:t>
                                  </w:r>
                                  <w:r>
                                    <w:rPr>
                                      <w:color w:val="0F0F0F"/>
                                      <w:w w:val="105"/>
                                      <w:sz w:val="17"/>
                                    </w:rPr>
                                    <w:t>Are</w:t>
                                  </w:r>
                                  <w:r>
                                    <w:rPr>
                                      <w:color w:val="0F0F0F"/>
                                      <w:w w:val="105"/>
                                      <w:sz w:val="17"/>
                                    </w:rPr>
                                    <w:t>a</w:t>
                                  </w:r>
                                  <w:r>
                                    <w:rPr>
                                      <w:color w:val="0F0F0F"/>
                                      <w:w w:val="105"/>
                                      <w:sz w:val="17"/>
                                    </w:rPr>
                                    <w:t> 3 Valleys Way Swale</w:t>
                                  </w:r>
                                </w:p>
                              </w:tc>
                              <w:tc>
                                <w:tcPr>
                                  <w:tcW w:w="1886" w:type="dxa"/>
                                </w:tcPr>
                                <w:p>
                                  <w:pPr>
                                    <w:pStyle w:val="TableParagraph"/>
                                    <w:spacing w:line="201" w:lineRule="exact"/>
                                    <w:ind w:left="528"/>
                                    <w:rPr>
                                      <w:b/>
                                      <w:sz w:val="18"/>
                                    </w:rPr>
                                  </w:pPr>
                                  <w:r>
                                    <w:rPr>
                                      <w:b/>
                                      <w:color w:val="0F0F0F"/>
                                      <w:spacing w:val="-4"/>
                                      <w:sz w:val="18"/>
                                    </w:rPr>
                                    <w:t>£000</w:t>
                                  </w:r>
                                </w:p>
                                <w:p>
                                  <w:pPr>
                                    <w:pStyle w:val="TableParagraph"/>
                                    <w:spacing w:line="168" w:lineRule="exact"/>
                                    <w:ind w:left="904"/>
                                    <w:rPr>
                                      <w:b/>
                                      <w:sz w:val="18"/>
                                    </w:rPr>
                                  </w:pPr>
                                  <w:r>
                                    <w:rPr>
                                      <w:b/>
                                      <w:color w:val="0F0F0F"/>
                                      <w:spacing w:val="-2"/>
                                      <w:sz w:val="18"/>
                                    </w:rPr>
                                    <w:t>(102)</w:t>
                                  </w:r>
                                </w:p>
                                <w:p>
                                  <w:pPr>
                                    <w:pStyle w:val="TableParagraph"/>
                                    <w:spacing w:line="187" w:lineRule="exact"/>
                                    <w:ind w:right="544"/>
                                    <w:jc w:val="right"/>
                                    <w:rPr>
                                      <w:sz w:val="32"/>
                                    </w:rPr>
                                  </w:pPr>
                                  <w:r>
                                    <w:rPr>
                                      <w:color w:val="383838"/>
                                      <w:spacing w:val="-10"/>
                                      <w:w w:val="80"/>
                                      <w:sz w:val="32"/>
                                    </w:rPr>
                                    <w:t>-</w:t>
                                  </w:r>
                                </w:p>
                              </w:tc>
                            </w:tr>
                            <w:tr>
                              <w:trPr>
                                <w:trHeight w:val="216" w:hRule="atLeast"/>
                              </w:trPr>
                              <w:tc>
                                <w:tcPr>
                                  <w:tcW w:w="5825" w:type="dxa"/>
                                </w:tcPr>
                                <w:p>
                                  <w:pPr>
                                    <w:pStyle w:val="TableParagraph"/>
                                    <w:spacing w:before="5" w:line="191" w:lineRule="exact"/>
                                    <w:ind w:left="55"/>
                                    <w:rPr>
                                      <w:sz w:val="17"/>
                                    </w:rPr>
                                  </w:pPr>
                                  <w:r>
                                    <w:rPr>
                                      <w:color w:val="0F0F0F"/>
                                      <w:w w:val="105"/>
                                      <w:sz w:val="17"/>
                                    </w:rPr>
                                    <w:t>Building</w:t>
                                  </w:r>
                                  <w:r>
                                    <w:rPr>
                                      <w:color w:val="0F0F0F"/>
                                      <w:spacing w:val="-2"/>
                                      <w:w w:val="105"/>
                                      <w:sz w:val="17"/>
                                    </w:rPr>
                                    <w:t> Reserve</w:t>
                                  </w:r>
                                </w:p>
                              </w:tc>
                              <w:tc>
                                <w:tcPr>
                                  <w:tcW w:w="1886" w:type="dxa"/>
                                </w:tcPr>
                                <w:p>
                                  <w:pPr>
                                    <w:pStyle w:val="TableParagraph"/>
                                    <w:spacing w:before="3" w:line="193" w:lineRule="exact"/>
                                    <w:ind w:right="542"/>
                                    <w:jc w:val="right"/>
                                    <w:rPr>
                                      <w:sz w:val="27"/>
                                    </w:rPr>
                                  </w:pPr>
                                  <w:r>
                                    <w:rPr>
                                      <w:color w:val="0F0F0F"/>
                                      <w:spacing w:val="-10"/>
                                      <w:w w:val="95"/>
                                      <w:sz w:val="27"/>
                                    </w:rPr>
                                    <w:t>-</w:t>
                                  </w:r>
                                </w:p>
                              </w:tc>
                            </w:tr>
                            <w:tr>
                              <w:trPr>
                                <w:trHeight w:val="243" w:hRule="atLeast"/>
                              </w:trPr>
                              <w:tc>
                                <w:tcPr>
                                  <w:tcW w:w="5825" w:type="dxa"/>
                                </w:tcPr>
                                <w:p>
                                  <w:pPr>
                                    <w:pStyle w:val="TableParagraph"/>
                                    <w:spacing w:before="10"/>
                                    <w:ind w:left="55"/>
                                    <w:rPr>
                                      <w:sz w:val="17"/>
                                    </w:rPr>
                                  </w:pPr>
                                  <w:r>
                                    <w:rPr>
                                      <w:color w:val="0F0F0F"/>
                                      <w:w w:val="105"/>
                                      <w:sz w:val="17"/>
                                    </w:rPr>
                                    <w:t>Business</w:t>
                                  </w:r>
                                  <w:r>
                                    <w:rPr>
                                      <w:color w:val="0F0F0F"/>
                                      <w:spacing w:val="4"/>
                                      <w:w w:val="105"/>
                                      <w:sz w:val="17"/>
                                    </w:rPr>
                                    <w:t> </w:t>
                                  </w:r>
                                  <w:r>
                                    <w:rPr>
                                      <w:color w:val="0F0F0F"/>
                                      <w:w w:val="105"/>
                                      <w:sz w:val="17"/>
                                    </w:rPr>
                                    <w:t>rates</w:t>
                                  </w:r>
                                  <w:r>
                                    <w:rPr>
                                      <w:color w:val="0F0F0F"/>
                                      <w:spacing w:val="-5"/>
                                      <w:w w:val="105"/>
                                      <w:sz w:val="17"/>
                                    </w:rPr>
                                    <w:t> </w:t>
                                  </w:r>
                                  <w:r>
                                    <w:rPr>
                                      <w:color w:val="0F0F0F"/>
                                      <w:spacing w:val="-2"/>
                                      <w:w w:val="105"/>
                                      <w:sz w:val="17"/>
                                    </w:rPr>
                                    <w:t>equalisation</w:t>
                                  </w:r>
                                </w:p>
                              </w:tc>
                              <w:tc>
                                <w:tcPr>
                                  <w:tcW w:w="1886" w:type="dxa"/>
                                </w:tcPr>
                                <w:p>
                                  <w:pPr>
                                    <w:pStyle w:val="TableParagraph"/>
                                    <w:spacing w:before="53" w:line="170" w:lineRule="exact"/>
                                    <w:ind w:right="561"/>
                                    <w:jc w:val="right"/>
                                    <w:rPr>
                                      <w:b/>
                                      <w:sz w:val="18"/>
                                    </w:rPr>
                                  </w:pPr>
                                  <w:r>
                                    <w:rPr>
                                      <w:b/>
                                      <w:color w:val="0F0F0F"/>
                                      <w:spacing w:val="-2"/>
                                      <w:sz w:val="18"/>
                                    </w:rPr>
                                    <w:t>(6,858)</w:t>
                                  </w:r>
                                </w:p>
                              </w:tc>
                            </w:tr>
                            <w:tr>
                              <w:trPr>
                                <w:trHeight w:val="209" w:hRule="atLeast"/>
                              </w:trPr>
                              <w:tc>
                                <w:tcPr>
                                  <w:tcW w:w="5825" w:type="dxa"/>
                                </w:tcPr>
                                <w:p>
                                  <w:pPr>
                                    <w:pStyle w:val="TableParagraph"/>
                                    <w:spacing w:line="173" w:lineRule="exact"/>
                                    <w:ind w:left="54"/>
                                    <w:rPr>
                                      <w:sz w:val="17"/>
                                    </w:rPr>
                                  </w:pPr>
                                  <w:r>
                                    <w:rPr>
                                      <w:color w:val="0F0F0F"/>
                                      <w:w w:val="105"/>
                                      <w:sz w:val="17"/>
                                    </w:rPr>
                                    <w:t>Collection</w:t>
                                  </w:r>
                                  <w:r>
                                    <w:rPr>
                                      <w:color w:val="0F0F0F"/>
                                      <w:spacing w:val="1"/>
                                      <w:w w:val="105"/>
                                      <w:sz w:val="17"/>
                                    </w:rPr>
                                    <w:t> </w:t>
                                  </w:r>
                                  <w:r>
                                    <w:rPr>
                                      <w:color w:val="0F0F0F"/>
                                      <w:w w:val="105"/>
                                      <w:sz w:val="17"/>
                                    </w:rPr>
                                    <w:t>fund</w:t>
                                  </w:r>
                                  <w:r>
                                    <w:rPr>
                                      <w:color w:val="0F0F0F"/>
                                      <w:spacing w:val="-12"/>
                                      <w:w w:val="105"/>
                                      <w:sz w:val="17"/>
                                    </w:rPr>
                                    <w:t> </w:t>
                                  </w:r>
                                  <w:r>
                                    <w:rPr>
                                      <w:color w:val="0F0F0F"/>
                                      <w:spacing w:val="-2"/>
                                      <w:w w:val="105"/>
                                      <w:sz w:val="17"/>
                                    </w:rPr>
                                    <w:t>deficit</w:t>
                                  </w:r>
                                </w:p>
                              </w:tc>
                              <w:tc>
                                <w:tcPr>
                                  <w:tcW w:w="1886" w:type="dxa"/>
                                </w:tcPr>
                                <w:p>
                                  <w:pPr>
                                    <w:pStyle w:val="TableParagraph"/>
                                    <w:spacing w:before="16" w:line="173" w:lineRule="exact"/>
                                    <w:ind w:right="561"/>
                                    <w:jc w:val="right"/>
                                    <w:rPr>
                                      <w:b/>
                                      <w:sz w:val="18"/>
                                    </w:rPr>
                                  </w:pPr>
                                  <w:r>
                                    <w:rPr>
                                      <w:b/>
                                      <w:color w:val="0F0F0F"/>
                                      <w:spacing w:val="-2"/>
                                      <w:sz w:val="18"/>
                                    </w:rPr>
                                    <w:t>(9,685)</w:t>
                                  </w:r>
                                </w:p>
                              </w:tc>
                            </w:tr>
                            <w:tr>
                              <w:trPr>
                                <w:trHeight w:val="216" w:hRule="atLeast"/>
                              </w:trPr>
                              <w:tc>
                                <w:tcPr>
                                  <w:tcW w:w="5825" w:type="dxa"/>
                                </w:tcPr>
                                <w:p>
                                  <w:pPr>
                                    <w:pStyle w:val="TableParagraph"/>
                                    <w:spacing w:line="176" w:lineRule="exact"/>
                                    <w:ind w:left="54"/>
                                    <w:rPr>
                                      <w:sz w:val="17"/>
                                    </w:rPr>
                                  </w:pPr>
                                  <w:r>
                                    <w:rPr>
                                      <w:color w:val="0F0F0F"/>
                                      <w:w w:val="105"/>
                                      <w:sz w:val="17"/>
                                    </w:rPr>
                                    <w:t>CCTV</w:t>
                                  </w:r>
                                  <w:r>
                                    <w:rPr>
                                      <w:color w:val="0F0F0F"/>
                                      <w:spacing w:val="-6"/>
                                      <w:w w:val="105"/>
                                      <w:sz w:val="17"/>
                                    </w:rPr>
                                    <w:t> </w:t>
                                  </w:r>
                                  <w:r>
                                    <w:rPr>
                                      <w:color w:val="0F0F0F"/>
                                      <w:spacing w:val="-2"/>
                                      <w:w w:val="105"/>
                                      <w:sz w:val="17"/>
                                    </w:rPr>
                                    <w:t>Reserve</w:t>
                                  </w:r>
                                </w:p>
                              </w:tc>
                              <w:tc>
                                <w:tcPr>
                                  <w:tcW w:w="1886" w:type="dxa"/>
                                </w:tcPr>
                                <w:p>
                                  <w:pPr>
                                    <w:pStyle w:val="TableParagraph"/>
                                    <w:spacing w:before="19" w:line="177" w:lineRule="exact"/>
                                    <w:ind w:right="558"/>
                                    <w:jc w:val="right"/>
                                    <w:rPr>
                                      <w:b/>
                                      <w:sz w:val="18"/>
                                    </w:rPr>
                                  </w:pPr>
                                  <w:r>
                                    <w:rPr>
                                      <w:b/>
                                      <w:color w:val="0F0F0F"/>
                                      <w:spacing w:val="-2"/>
                                      <w:sz w:val="18"/>
                                    </w:rPr>
                                    <w:t>(114)</w:t>
                                  </w:r>
                                </w:p>
                              </w:tc>
                            </w:tr>
                            <w:tr>
                              <w:trPr>
                                <w:trHeight w:val="213" w:hRule="atLeast"/>
                              </w:trPr>
                              <w:tc>
                                <w:tcPr>
                                  <w:tcW w:w="5825" w:type="dxa"/>
                                </w:tcPr>
                                <w:p>
                                  <w:pPr>
                                    <w:pStyle w:val="TableParagraph"/>
                                    <w:spacing w:line="181" w:lineRule="exact"/>
                                    <w:ind w:left="54"/>
                                    <w:rPr>
                                      <w:sz w:val="17"/>
                                    </w:rPr>
                                  </w:pPr>
                                  <w:r>
                                    <w:rPr>
                                      <w:color w:val="0F0F0F"/>
                                      <w:w w:val="105"/>
                                      <w:sz w:val="17"/>
                                    </w:rPr>
                                    <w:t>Civic</w:t>
                                  </w:r>
                                  <w:r>
                                    <w:rPr>
                                      <w:color w:val="0F0F0F"/>
                                      <w:spacing w:val="-5"/>
                                      <w:w w:val="105"/>
                                      <w:sz w:val="17"/>
                                    </w:rPr>
                                    <w:t> </w:t>
                                  </w:r>
                                  <w:r>
                                    <w:rPr>
                                      <w:color w:val="0F0F0F"/>
                                      <w:w w:val="105"/>
                                      <w:sz w:val="17"/>
                                    </w:rPr>
                                    <w:t>Offices</w:t>
                                  </w:r>
                                  <w:r>
                                    <w:rPr>
                                      <w:color w:val="0F0F0F"/>
                                      <w:spacing w:val="3"/>
                                      <w:w w:val="105"/>
                                      <w:sz w:val="17"/>
                                    </w:rPr>
                                    <w:t> </w:t>
                                  </w:r>
                                  <w:r>
                                    <w:rPr>
                                      <w:color w:val="0F0F0F"/>
                                      <w:w w:val="105"/>
                                      <w:sz w:val="17"/>
                                    </w:rPr>
                                    <w:t>Sinking</w:t>
                                  </w:r>
                                  <w:r>
                                    <w:rPr>
                                      <w:color w:val="0F0F0F"/>
                                      <w:spacing w:val="-2"/>
                                      <w:w w:val="105"/>
                                      <w:sz w:val="17"/>
                                    </w:rPr>
                                    <w:t> </w:t>
                                  </w:r>
                                  <w:r>
                                    <w:rPr>
                                      <w:color w:val="0F0F0F"/>
                                      <w:spacing w:val="-4"/>
                                      <w:w w:val="105"/>
                                      <w:sz w:val="17"/>
                                    </w:rPr>
                                    <w:t>Fund</w:t>
                                  </w:r>
                                </w:p>
                              </w:tc>
                              <w:tc>
                                <w:tcPr>
                                  <w:tcW w:w="1886" w:type="dxa"/>
                                </w:tcPr>
                                <w:p>
                                  <w:pPr>
                                    <w:pStyle w:val="TableParagraph"/>
                                    <w:spacing w:before="19" w:line="175" w:lineRule="exact"/>
                                    <w:ind w:right="558"/>
                                    <w:jc w:val="right"/>
                                    <w:rPr>
                                      <w:b/>
                                      <w:sz w:val="18"/>
                                    </w:rPr>
                                  </w:pPr>
                                  <w:r>
                                    <w:rPr>
                                      <w:b/>
                                      <w:color w:val="0F0F0F"/>
                                      <w:spacing w:val="-2"/>
                                      <w:sz w:val="18"/>
                                    </w:rPr>
                                    <w:t>(347)</w:t>
                                  </w:r>
                                </w:p>
                              </w:tc>
                            </w:tr>
                            <w:tr>
                              <w:trPr>
                                <w:trHeight w:val="218" w:hRule="atLeast"/>
                              </w:trPr>
                              <w:tc>
                                <w:tcPr>
                                  <w:tcW w:w="5825" w:type="dxa"/>
                                </w:tcPr>
                                <w:p>
                                  <w:pPr>
                                    <w:pStyle w:val="TableParagraph"/>
                                    <w:spacing w:line="178" w:lineRule="exact"/>
                                    <w:ind w:left="54"/>
                                    <w:rPr>
                                      <w:sz w:val="17"/>
                                    </w:rPr>
                                  </w:pPr>
                                  <w:r>
                                    <w:rPr>
                                      <w:color w:val="0F0F0F"/>
                                      <w:w w:val="105"/>
                                      <w:sz w:val="17"/>
                                    </w:rPr>
                                    <w:t>Corporate</w:t>
                                  </w:r>
                                  <w:r>
                                    <w:rPr>
                                      <w:color w:val="0F0F0F"/>
                                      <w:spacing w:val="-7"/>
                                      <w:w w:val="105"/>
                                      <w:sz w:val="17"/>
                                    </w:rPr>
                                    <w:t> </w:t>
                                  </w:r>
                                  <w:r>
                                    <w:rPr>
                                      <w:color w:val="0F0F0F"/>
                                      <w:spacing w:val="-2"/>
                                      <w:w w:val="105"/>
                                      <w:sz w:val="17"/>
                                    </w:rPr>
                                    <w:t>Consultation</w:t>
                                  </w:r>
                                </w:p>
                              </w:tc>
                              <w:tc>
                                <w:tcPr>
                                  <w:tcW w:w="1886" w:type="dxa"/>
                                </w:tcPr>
                                <w:p>
                                  <w:pPr>
                                    <w:pStyle w:val="TableParagraph"/>
                                    <w:spacing w:before="21" w:line="177" w:lineRule="exact"/>
                                    <w:ind w:right="558"/>
                                    <w:jc w:val="right"/>
                                    <w:rPr>
                                      <w:b/>
                                      <w:sz w:val="18"/>
                                    </w:rPr>
                                  </w:pPr>
                                  <w:r>
                                    <w:rPr>
                                      <w:b/>
                                      <w:color w:val="0F0F0F"/>
                                      <w:spacing w:val="-2"/>
                                      <w:sz w:val="18"/>
                                    </w:rPr>
                                    <w:t>(202)</w:t>
                                  </w:r>
                                </w:p>
                              </w:tc>
                            </w:tr>
                            <w:tr>
                              <w:trPr>
                                <w:trHeight w:val="211" w:hRule="atLeast"/>
                              </w:trPr>
                              <w:tc>
                                <w:tcPr>
                                  <w:tcW w:w="5825" w:type="dxa"/>
                                </w:tcPr>
                                <w:p>
                                  <w:pPr>
                                    <w:pStyle w:val="TableParagraph"/>
                                    <w:spacing w:line="181" w:lineRule="exact"/>
                                    <w:ind w:left="54"/>
                                    <w:rPr>
                                      <w:sz w:val="17"/>
                                    </w:rPr>
                                  </w:pPr>
                                  <w:r>
                                    <w:rPr>
                                      <w:color w:val="0F0F0F"/>
                                      <w:w w:val="105"/>
                                      <w:sz w:val="17"/>
                                    </w:rPr>
                                    <w:t>Council</w:t>
                                  </w:r>
                                  <w:r>
                                    <w:rPr>
                                      <w:color w:val="0F0F0F"/>
                                      <w:spacing w:val="-3"/>
                                      <w:w w:val="105"/>
                                      <w:sz w:val="17"/>
                                    </w:rPr>
                                    <w:t> </w:t>
                                  </w:r>
                                  <w:r>
                                    <w:rPr>
                                      <w:color w:val="0F0F0F"/>
                                      <w:w w:val="105"/>
                                      <w:sz w:val="17"/>
                                    </w:rPr>
                                    <w:t>Contribution to</w:t>
                                  </w:r>
                                  <w:r>
                                    <w:rPr>
                                      <w:color w:val="0F0F0F"/>
                                      <w:spacing w:val="-10"/>
                                      <w:w w:val="105"/>
                                      <w:sz w:val="17"/>
                                    </w:rPr>
                                    <w:t> </w:t>
                                  </w:r>
                                  <w:r>
                                    <w:rPr>
                                      <w:color w:val="0F0F0F"/>
                                      <w:w w:val="105"/>
                                      <w:sz w:val="17"/>
                                    </w:rPr>
                                    <w:t>Pension</w:t>
                                  </w:r>
                                  <w:r>
                                    <w:rPr>
                                      <w:color w:val="0F0F0F"/>
                                      <w:spacing w:val="-6"/>
                                      <w:w w:val="105"/>
                                      <w:sz w:val="17"/>
                                    </w:rPr>
                                    <w:t> </w:t>
                                  </w:r>
                                  <w:r>
                                    <w:rPr>
                                      <w:color w:val="0F0F0F"/>
                                      <w:spacing w:val="-4"/>
                                      <w:w w:val="105"/>
                                      <w:sz w:val="17"/>
                                    </w:rPr>
                                    <w:t>Fund</w:t>
                                  </w:r>
                                </w:p>
                              </w:tc>
                              <w:tc>
                                <w:tcPr>
                                  <w:tcW w:w="1886" w:type="dxa"/>
                                </w:tcPr>
                                <w:p>
                                  <w:pPr>
                                    <w:pStyle w:val="TableParagraph"/>
                                    <w:spacing w:before="19" w:line="173" w:lineRule="exact"/>
                                    <w:ind w:right="558"/>
                                    <w:jc w:val="right"/>
                                    <w:rPr>
                                      <w:b/>
                                      <w:sz w:val="18"/>
                                    </w:rPr>
                                  </w:pPr>
                                  <w:r>
                                    <w:rPr>
                                      <w:b/>
                                      <w:color w:val="0F0F0F"/>
                                      <w:spacing w:val="-2"/>
                                      <w:sz w:val="18"/>
                                    </w:rPr>
                                    <w:t>(345)</w:t>
                                  </w:r>
                                </w:p>
                              </w:tc>
                            </w:tr>
                            <w:tr>
                              <w:trPr>
                                <w:trHeight w:val="405" w:hRule="atLeast"/>
                              </w:trPr>
                              <w:tc>
                                <w:tcPr>
                                  <w:tcW w:w="5825" w:type="dxa"/>
                                </w:tcPr>
                                <w:p>
                                  <w:pPr>
                                    <w:pStyle w:val="TableParagraph"/>
                                    <w:spacing w:line="176" w:lineRule="exact"/>
                                    <w:ind w:left="54"/>
                                    <w:rPr>
                                      <w:sz w:val="17"/>
                                    </w:rPr>
                                  </w:pPr>
                                  <w:r>
                                    <w:rPr>
                                      <w:color w:val="0F0F0F"/>
                                      <w:sz w:val="17"/>
                                    </w:rPr>
                                    <w:t>Covid-</w:t>
                                  </w:r>
                                  <w:r>
                                    <w:rPr>
                                      <w:color w:val="0F0F0F"/>
                                      <w:spacing w:val="-5"/>
                                      <w:sz w:val="17"/>
                                    </w:rPr>
                                    <w:t>19</w:t>
                                  </w:r>
                                </w:p>
                                <w:p>
                                  <w:pPr>
                                    <w:pStyle w:val="TableParagraph"/>
                                    <w:spacing w:before="21" w:line="189" w:lineRule="exact"/>
                                    <w:ind w:left="50"/>
                                    <w:rPr>
                                      <w:sz w:val="17"/>
                                    </w:rPr>
                                  </w:pPr>
                                  <w:r>
                                    <w:rPr>
                                      <w:color w:val="0F0F0F"/>
                                      <w:w w:val="105"/>
                                      <w:sz w:val="17"/>
                                    </w:rPr>
                                    <w:t>EFS</w:t>
                                  </w:r>
                                  <w:r>
                                    <w:rPr>
                                      <w:color w:val="0F0F0F"/>
                                      <w:spacing w:val="-3"/>
                                      <w:w w:val="105"/>
                                      <w:sz w:val="17"/>
                                    </w:rPr>
                                    <w:t> </w:t>
                                  </w:r>
                                  <w:r>
                                    <w:rPr>
                                      <w:color w:val="0F0F0F"/>
                                      <w:w w:val="105"/>
                                      <w:sz w:val="17"/>
                                    </w:rPr>
                                    <w:t>Sinking</w:t>
                                  </w:r>
                                  <w:r>
                                    <w:rPr>
                                      <w:color w:val="0F0F0F"/>
                                      <w:spacing w:val="-1"/>
                                      <w:w w:val="105"/>
                                      <w:sz w:val="17"/>
                                    </w:rPr>
                                    <w:t> </w:t>
                                  </w:r>
                                  <w:r>
                                    <w:rPr>
                                      <w:color w:val="0F0F0F"/>
                                      <w:spacing w:val="-4"/>
                                      <w:w w:val="105"/>
                                      <w:sz w:val="17"/>
                                    </w:rPr>
                                    <w:t>Fund</w:t>
                                  </w:r>
                                </w:p>
                              </w:tc>
                              <w:tc>
                                <w:tcPr>
                                  <w:tcW w:w="1886" w:type="dxa"/>
                                </w:tcPr>
                                <w:p>
                                  <w:pPr>
                                    <w:pStyle w:val="TableParagraph"/>
                                    <w:spacing w:before="23"/>
                                    <w:ind w:right="558"/>
                                    <w:jc w:val="right"/>
                                    <w:rPr>
                                      <w:b/>
                                      <w:sz w:val="18"/>
                                    </w:rPr>
                                  </w:pPr>
                                  <w:r>
                                    <w:rPr>
                                      <w:b/>
                                      <w:color w:val="0F0F0F"/>
                                      <w:spacing w:val="-2"/>
                                      <w:sz w:val="18"/>
                                    </w:rPr>
                                    <w:t>(590)</w:t>
                                  </w:r>
                                </w:p>
                              </w:tc>
                            </w:tr>
                            <w:tr>
                              <w:trPr>
                                <w:trHeight w:val="241" w:hRule="atLeast"/>
                              </w:trPr>
                              <w:tc>
                                <w:tcPr>
                                  <w:tcW w:w="5825" w:type="dxa"/>
                                </w:tcPr>
                                <w:p>
                                  <w:pPr>
                                    <w:pStyle w:val="TableParagraph"/>
                                    <w:spacing w:before="7"/>
                                    <w:ind w:left="50"/>
                                    <w:rPr>
                                      <w:sz w:val="17"/>
                                    </w:rPr>
                                  </w:pPr>
                                  <w:r>
                                    <w:rPr>
                                      <w:color w:val="0F0F0F"/>
                                      <w:w w:val="105"/>
                                      <w:sz w:val="17"/>
                                    </w:rPr>
                                    <w:t>Elections</w:t>
                                  </w:r>
                                  <w:r>
                                    <w:rPr>
                                      <w:color w:val="0F0F0F"/>
                                      <w:spacing w:val="3"/>
                                      <w:w w:val="105"/>
                                      <w:sz w:val="17"/>
                                    </w:rPr>
                                    <w:t> </w:t>
                                  </w:r>
                                  <w:r>
                                    <w:rPr>
                                      <w:color w:val="0F0F0F"/>
                                      <w:spacing w:val="-2"/>
                                      <w:w w:val="105"/>
                                      <w:sz w:val="17"/>
                                    </w:rPr>
                                    <w:t>Reserve</w:t>
                                  </w:r>
                                </w:p>
                              </w:tc>
                              <w:tc>
                                <w:tcPr>
                                  <w:tcW w:w="1886" w:type="dxa"/>
                                </w:tcPr>
                                <w:p>
                                  <w:pPr>
                                    <w:pStyle w:val="TableParagraph"/>
                                    <w:spacing w:before="46" w:line="175" w:lineRule="exact"/>
                                    <w:ind w:right="555"/>
                                    <w:jc w:val="right"/>
                                    <w:rPr>
                                      <w:b/>
                                      <w:sz w:val="18"/>
                                    </w:rPr>
                                  </w:pPr>
                                  <w:r>
                                    <w:rPr>
                                      <w:b/>
                                      <w:color w:val="0F0F0F"/>
                                      <w:spacing w:val="-4"/>
                                      <w:sz w:val="18"/>
                                    </w:rPr>
                                    <w:t>(36)</w:t>
                                  </w:r>
                                </w:p>
                              </w:tc>
                            </w:tr>
                            <w:tr>
                              <w:trPr>
                                <w:trHeight w:val="213" w:hRule="atLeast"/>
                              </w:trPr>
                              <w:tc>
                                <w:tcPr>
                                  <w:tcW w:w="5825" w:type="dxa"/>
                                </w:tcPr>
                                <w:p>
                                  <w:pPr>
                                    <w:pStyle w:val="TableParagraph"/>
                                    <w:spacing w:line="178" w:lineRule="exact"/>
                                    <w:ind w:left="54"/>
                                    <w:rPr>
                                      <w:sz w:val="17"/>
                                    </w:rPr>
                                  </w:pPr>
                                  <w:r>
                                    <w:rPr>
                                      <w:color w:val="0F0F0F"/>
                                      <w:w w:val="105"/>
                                      <w:sz w:val="17"/>
                                    </w:rPr>
                                    <w:t>Emergency</w:t>
                                  </w:r>
                                  <w:r>
                                    <w:rPr>
                                      <w:color w:val="0F0F0F"/>
                                      <w:spacing w:val="2"/>
                                      <w:w w:val="105"/>
                                      <w:sz w:val="17"/>
                                    </w:rPr>
                                    <w:t> </w:t>
                                  </w:r>
                                  <w:r>
                                    <w:rPr>
                                      <w:color w:val="0F0F0F"/>
                                      <w:spacing w:val="-2"/>
                                      <w:w w:val="105"/>
                                      <w:sz w:val="17"/>
                                    </w:rPr>
                                    <w:t>Funding</w:t>
                                  </w:r>
                                </w:p>
                              </w:tc>
                              <w:tc>
                                <w:tcPr>
                                  <w:tcW w:w="1886" w:type="dxa"/>
                                </w:tcPr>
                                <w:p>
                                  <w:pPr>
                                    <w:pStyle w:val="TableParagraph"/>
                                    <w:spacing w:before="16" w:line="177" w:lineRule="exact"/>
                                    <w:ind w:right="561"/>
                                    <w:jc w:val="right"/>
                                    <w:rPr>
                                      <w:b/>
                                      <w:sz w:val="18"/>
                                    </w:rPr>
                                  </w:pPr>
                                  <w:r>
                                    <w:rPr>
                                      <w:b/>
                                      <w:color w:val="0F0F0F"/>
                                      <w:spacing w:val="-2"/>
                                      <w:sz w:val="18"/>
                                    </w:rPr>
                                    <w:t>(1,496)</w:t>
                                  </w:r>
                                </w:p>
                              </w:tc>
                            </w:tr>
                            <w:tr>
                              <w:trPr>
                                <w:trHeight w:val="218" w:hRule="atLeast"/>
                              </w:trPr>
                              <w:tc>
                                <w:tcPr>
                                  <w:tcW w:w="5825" w:type="dxa"/>
                                </w:tcPr>
                                <w:p>
                                  <w:pPr>
                                    <w:pStyle w:val="TableParagraph"/>
                                    <w:spacing w:line="181" w:lineRule="exact"/>
                                    <w:ind w:left="54"/>
                                    <w:rPr>
                                      <w:sz w:val="17"/>
                                    </w:rPr>
                                  </w:pPr>
                                  <w:r>
                                    <w:rPr>
                                      <w:color w:val="0F0F0F"/>
                                      <w:w w:val="105"/>
                                      <w:sz w:val="17"/>
                                    </w:rPr>
                                    <w:t>EWC</w:t>
                                  </w:r>
                                  <w:r>
                                    <w:rPr>
                                      <w:color w:val="0F0F0F"/>
                                      <w:spacing w:val="-4"/>
                                      <w:w w:val="105"/>
                                      <w:sz w:val="17"/>
                                    </w:rPr>
                                    <w:t> </w:t>
                                  </w:r>
                                  <w:r>
                                    <w:rPr>
                                      <w:color w:val="0F0F0F"/>
                                      <w:w w:val="105"/>
                                      <w:sz w:val="17"/>
                                    </w:rPr>
                                    <w:t>Housing</w:t>
                                  </w:r>
                                  <w:r>
                                    <w:rPr>
                                      <w:color w:val="0F0F0F"/>
                                      <w:spacing w:val="-4"/>
                                      <w:w w:val="105"/>
                                      <w:sz w:val="17"/>
                                    </w:rPr>
                                    <w:t> Zone</w:t>
                                  </w:r>
                                </w:p>
                              </w:tc>
                              <w:tc>
                                <w:tcPr>
                                  <w:tcW w:w="1886" w:type="dxa"/>
                                </w:tcPr>
                                <w:p>
                                  <w:pPr>
                                    <w:pStyle w:val="TableParagraph"/>
                                    <w:spacing w:before="23" w:line="175" w:lineRule="exact"/>
                                    <w:ind w:right="558"/>
                                    <w:jc w:val="right"/>
                                    <w:rPr>
                                      <w:b/>
                                      <w:sz w:val="18"/>
                                    </w:rPr>
                                  </w:pPr>
                                  <w:r>
                                    <w:rPr>
                                      <w:b/>
                                      <w:color w:val="0F0F0F"/>
                                      <w:spacing w:val="-2"/>
                                      <w:sz w:val="18"/>
                                    </w:rPr>
                                    <w:t>(155)</w:t>
                                  </w:r>
                                </w:p>
                              </w:tc>
                            </w:tr>
                            <w:tr>
                              <w:trPr>
                                <w:trHeight w:val="209" w:hRule="atLeast"/>
                              </w:trPr>
                              <w:tc>
                                <w:tcPr>
                                  <w:tcW w:w="5825" w:type="dxa"/>
                                </w:tcPr>
                                <w:p>
                                  <w:pPr>
                                    <w:pStyle w:val="TableParagraph"/>
                                    <w:spacing w:line="178" w:lineRule="exact"/>
                                    <w:ind w:left="54"/>
                                    <w:rPr>
                                      <w:sz w:val="17"/>
                                    </w:rPr>
                                  </w:pPr>
                                  <w:r>
                                    <w:rPr>
                                      <w:color w:val="0F0F0F"/>
                                      <w:w w:val="105"/>
                                      <w:sz w:val="17"/>
                                    </w:rPr>
                                    <w:t>Fishers</w:t>
                                  </w:r>
                                  <w:r>
                                    <w:rPr>
                                      <w:color w:val="0F0F0F"/>
                                      <w:spacing w:val="3"/>
                                      <w:w w:val="105"/>
                                      <w:sz w:val="17"/>
                                    </w:rPr>
                                    <w:t> </w:t>
                                  </w:r>
                                  <w:r>
                                    <w:rPr>
                                      <w:color w:val="0F0F0F"/>
                                      <w:w w:val="105"/>
                                      <w:sz w:val="17"/>
                                    </w:rPr>
                                    <w:t>Park Play</w:t>
                                  </w:r>
                                  <w:r>
                                    <w:rPr>
                                      <w:color w:val="0F0F0F"/>
                                      <w:spacing w:val="-4"/>
                                      <w:w w:val="105"/>
                                      <w:sz w:val="17"/>
                                    </w:rPr>
                                    <w:t> Area</w:t>
                                  </w:r>
                                </w:p>
                              </w:tc>
                              <w:tc>
                                <w:tcPr>
                                  <w:tcW w:w="1886" w:type="dxa"/>
                                </w:tcPr>
                                <w:p>
                                  <w:pPr>
                                    <w:pStyle w:val="TableParagraph"/>
                                    <w:spacing w:before="11" w:line="177" w:lineRule="exact"/>
                                    <w:ind w:right="558"/>
                                    <w:jc w:val="right"/>
                                    <w:rPr>
                                      <w:b/>
                                      <w:sz w:val="18"/>
                                    </w:rPr>
                                  </w:pPr>
                                  <w:r>
                                    <w:rPr>
                                      <w:b/>
                                      <w:color w:val="0F0F0F"/>
                                      <w:spacing w:val="-2"/>
                                      <w:sz w:val="18"/>
                                    </w:rPr>
                                    <w:t>(103)</w:t>
                                  </w:r>
                                </w:p>
                              </w:tc>
                            </w:tr>
                            <w:tr>
                              <w:trPr>
                                <w:trHeight w:val="216" w:hRule="atLeast"/>
                              </w:trPr>
                              <w:tc>
                                <w:tcPr>
                                  <w:tcW w:w="5825" w:type="dxa"/>
                                </w:tcPr>
                                <w:p>
                                  <w:pPr>
                                    <w:pStyle w:val="TableParagraph"/>
                                    <w:spacing w:line="181" w:lineRule="exact"/>
                                    <w:ind w:left="54"/>
                                    <w:rPr>
                                      <w:sz w:val="17"/>
                                    </w:rPr>
                                  </w:pPr>
                                  <w:r>
                                    <w:rPr>
                                      <w:color w:val="0F0F0F"/>
                                      <w:w w:val="105"/>
                                      <w:sz w:val="17"/>
                                    </w:rPr>
                                    <w:t>Flexible</w:t>
                                  </w:r>
                                  <w:r>
                                    <w:rPr>
                                      <w:color w:val="0F0F0F"/>
                                      <w:spacing w:val="-4"/>
                                      <w:w w:val="105"/>
                                      <w:sz w:val="17"/>
                                    </w:rPr>
                                    <w:t> </w:t>
                                  </w:r>
                                  <w:r>
                                    <w:rPr>
                                      <w:color w:val="0F0F0F"/>
                                      <w:w w:val="105"/>
                                      <w:sz w:val="17"/>
                                    </w:rPr>
                                    <w:t>Homeless</w:t>
                                  </w:r>
                                  <w:r>
                                    <w:rPr>
                                      <w:color w:val="0F0F0F"/>
                                      <w:spacing w:val="6"/>
                                      <w:w w:val="105"/>
                                      <w:sz w:val="17"/>
                                    </w:rPr>
                                    <w:t> </w:t>
                                  </w:r>
                                  <w:r>
                                    <w:rPr>
                                      <w:color w:val="0F0F0F"/>
                                      <w:spacing w:val="-2"/>
                                      <w:w w:val="105"/>
                                      <w:sz w:val="17"/>
                                    </w:rPr>
                                    <w:t>Support</w:t>
                                  </w:r>
                                </w:p>
                              </w:tc>
                              <w:tc>
                                <w:tcPr>
                                  <w:tcW w:w="1886" w:type="dxa"/>
                                </w:tcPr>
                                <w:p>
                                  <w:pPr>
                                    <w:pStyle w:val="TableParagraph"/>
                                    <w:spacing w:before="14" w:line="182" w:lineRule="exact"/>
                                    <w:ind w:right="558"/>
                                    <w:jc w:val="right"/>
                                    <w:rPr>
                                      <w:b/>
                                      <w:sz w:val="18"/>
                                    </w:rPr>
                                  </w:pPr>
                                  <w:r>
                                    <w:rPr>
                                      <w:b/>
                                      <w:color w:val="0F0F0F"/>
                                      <w:spacing w:val="-2"/>
                                      <w:sz w:val="18"/>
                                    </w:rPr>
                                    <w:t>(114)</w:t>
                                  </w:r>
                                </w:p>
                              </w:tc>
                            </w:tr>
                            <w:tr>
                              <w:trPr>
                                <w:trHeight w:val="209" w:hRule="atLeast"/>
                              </w:trPr>
                              <w:tc>
                                <w:tcPr>
                                  <w:tcW w:w="5825" w:type="dxa"/>
                                </w:tcPr>
                                <w:p>
                                  <w:pPr>
                                    <w:pStyle w:val="TableParagraph"/>
                                    <w:spacing w:line="185" w:lineRule="exact"/>
                                    <w:ind w:left="54"/>
                                    <w:rPr>
                                      <w:sz w:val="17"/>
                                    </w:rPr>
                                  </w:pPr>
                                  <w:r>
                                    <w:rPr>
                                      <w:color w:val="0F0F0F"/>
                                      <w:w w:val="105"/>
                                      <w:sz w:val="17"/>
                                    </w:rPr>
                                    <w:t>Housing</w:t>
                                  </w:r>
                                  <w:r>
                                    <w:rPr>
                                      <w:color w:val="0F0F0F"/>
                                      <w:spacing w:val="-1"/>
                                      <w:w w:val="105"/>
                                      <w:sz w:val="17"/>
                                    </w:rPr>
                                    <w:t> </w:t>
                                  </w:r>
                                  <w:r>
                                    <w:rPr>
                                      <w:color w:val="0F0F0F"/>
                                      <w:w w:val="105"/>
                                      <w:sz w:val="17"/>
                                    </w:rPr>
                                    <w:t>&amp;</w:t>
                                  </w:r>
                                  <w:r>
                                    <w:rPr>
                                      <w:color w:val="0F0F0F"/>
                                      <w:spacing w:val="-6"/>
                                      <w:w w:val="105"/>
                                      <w:sz w:val="17"/>
                                    </w:rPr>
                                    <w:t> </w:t>
                                  </w:r>
                                  <w:r>
                                    <w:rPr>
                                      <w:color w:val="0F0F0F"/>
                                      <w:w w:val="105"/>
                                      <w:sz w:val="17"/>
                                    </w:rPr>
                                    <w:t>Council</w:t>
                                  </w:r>
                                  <w:r>
                                    <w:rPr>
                                      <w:color w:val="0F0F0F"/>
                                      <w:spacing w:val="-5"/>
                                      <w:w w:val="105"/>
                                      <w:sz w:val="17"/>
                                    </w:rPr>
                                    <w:t> </w:t>
                                  </w:r>
                                  <w:r>
                                    <w:rPr>
                                      <w:color w:val="0F0F0F"/>
                                      <w:w w:val="105"/>
                                      <w:sz w:val="17"/>
                                    </w:rPr>
                                    <w:t>Tax</w:t>
                                  </w:r>
                                  <w:r>
                                    <w:rPr>
                                      <w:color w:val="0F0F0F"/>
                                      <w:spacing w:val="-9"/>
                                      <w:w w:val="105"/>
                                      <w:sz w:val="17"/>
                                    </w:rPr>
                                    <w:t> </w:t>
                                  </w:r>
                                  <w:r>
                                    <w:rPr>
                                      <w:color w:val="0F0F0F"/>
                                      <w:w w:val="105"/>
                                      <w:sz w:val="17"/>
                                    </w:rPr>
                                    <w:t>Benefit</w:t>
                                  </w:r>
                                  <w:r>
                                    <w:rPr>
                                      <w:color w:val="0F0F0F"/>
                                      <w:spacing w:val="1"/>
                                      <w:w w:val="105"/>
                                      <w:sz w:val="17"/>
                                    </w:rPr>
                                    <w:t> </w:t>
                                  </w:r>
                                  <w:r>
                                    <w:rPr>
                                      <w:color w:val="0F0F0F"/>
                                      <w:w w:val="105"/>
                                      <w:sz w:val="17"/>
                                    </w:rPr>
                                    <w:t>Equalisation</w:t>
                                  </w:r>
                                  <w:r>
                                    <w:rPr>
                                      <w:color w:val="0F0F0F"/>
                                      <w:spacing w:val="5"/>
                                      <w:w w:val="105"/>
                                      <w:sz w:val="17"/>
                                    </w:rPr>
                                    <w:t> </w:t>
                                  </w:r>
                                  <w:r>
                                    <w:rPr>
                                      <w:color w:val="0F0F0F"/>
                                      <w:spacing w:val="-2"/>
                                      <w:w w:val="105"/>
                                      <w:sz w:val="17"/>
                                    </w:rPr>
                                    <w:t>Account</w:t>
                                  </w:r>
                                </w:p>
                              </w:tc>
                              <w:tc>
                                <w:tcPr>
                                  <w:tcW w:w="1886" w:type="dxa"/>
                                </w:tcPr>
                                <w:p>
                                  <w:pPr>
                                    <w:pStyle w:val="TableParagraph"/>
                                    <w:spacing w:before="9" w:line="180" w:lineRule="exact"/>
                                    <w:ind w:right="561"/>
                                    <w:jc w:val="right"/>
                                    <w:rPr>
                                      <w:b/>
                                      <w:sz w:val="18"/>
                                    </w:rPr>
                                  </w:pPr>
                                  <w:r>
                                    <w:rPr>
                                      <w:b/>
                                      <w:color w:val="0F0F0F"/>
                                      <w:spacing w:val="-2"/>
                                      <w:sz w:val="18"/>
                                    </w:rPr>
                                    <w:t>(1,957)</w:t>
                                  </w:r>
                                </w:p>
                              </w:tc>
                            </w:tr>
                            <w:tr>
                              <w:trPr>
                                <w:trHeight w:val="221" w:hRule="atLeast"/>
                              </w:trPr>
                              <w:tc>
                                <w:tcPr>
                                  <w:tcW w:w="5825" w:type="dxa"/>
                                </w:tcPr>
                                <w:p>
                                  <w:pPr>
                                    <w:pStyle w:val="TableParagraph"/>
                                    <w:spacing w:line="183" w:lineRule="exact"/>
                                    <w:ind w:left="54"/>
                                    <w:rPr>
                                      <w:sz w:val="17"/>
                                    </w:rPr>
                                  </w:pPr>
                                  <w:r>
                                    <w:rPr>
                                      <w:color w:val="0F0F0F"/>
                                      <w:w w:val="105"/>
                                      <w:sz w:val="17"/>
                                    </w:rPr>
                                    <w:t>Human</w:t>
                                  </w:r>
                                  <w:r>
                                    <w:rPr>
                                      <w:color w:val="0F0F0F"/>
                                      <w:spacing w:val="-8"/>
                                      <w:w w:val="105"/>
                                      <w:sz w:val="17"/>
                                    </w:rPr>
                                    <w:t> </w:t>
                                  </w:r>
                                  <w:r>
                                    <w:rPr>
                                      <w:color w:val="0F0F0F"/>
                                      <w:w w:val="105"/>
                                      <w:sz w:val="17"/>
                                    </w:rPr>
                                    <w:t>Resources</w:t>
                                  </w:r>
                                  <w:r>
                                    <w:rPr>
                                      <w:color w:val="0F0F0F"/>
                                      <w:spacing w:val="5"/>
                                      <w:w w:val="105"/>
                                      <w:sz w:val="17"/>
                                    </w:rPr>
                                    <w:t> </w:t>
                                  </w:r>
                                  <w:r>
                                    <w:rPr>
                                      <w:color w:val="0F0F0F"/>
                                      <w:spacing w:val="-2"/>
                                      <w:w w:val="105"/>
                                      <w:sz w:val="17"/>
                                    </w:rPr>
                                    <w:t>strategy</w:t>
                                  </w:r>
                                </w:p>
                              </w:tc>
                              <w:tc>
                                <w:tcPr>
                                  <w:tcW w:w="1886" w:type="dxa"/>
                                </w:tcPr>
                                <w:p>
                                  <w:pPr>
                                    <w:pStyle w:val="TableParagraph"/>
                                    <w:spacing w:before="16" w:line="185" w:lineRule="exact"/>
                                    <w:ind w:right="558"/>
                                    <w:jc w:val="right"/>
                                    <w:rPr>
                                      <w:b/>
                                      <w:sz w:val="18"/>
                                    </w:rPr>
                                  </w:pPr>
                                  <w:r>
                                    <w:rPr>
                                      <w:b/>
                                      <w:color w:val="0F0F0F"/>
                                      <w:spacing w:val="-2"/>
                                      <w:sz w:val="18"/>
                                    </w:rPr>
                                    <w:t>(181)</w:t>
                                  </w:r>
                                </w:p>
                              </w:tc>
                            </w:tr>
                            <w:tr>
                              <w:trPr>
                                <w:trHeight w:val="211" w:hRule="atLeast"/>
                              </w:trPr>
                              <w:tc>
                                <w:tcPr>
                                  <w:tcW w:w="5825" w:type="dxa"/>
                                </w:tcPr>
                                <w:p>
                                  <w:pPr>
                                    <w:pStyle w:val="TableParagraph"/>
                                    <w:spacing w:line="188" w:lineRule="exact"/>
                                    <w:ind w:left="57"/>
                                    <w:rPr>
                                      <w:sz w:val="17"/>
                                    </w:rPr>
                                  </w:pPr>
                                  <w:r>
                                    <w:rPr>
                                      <w:color w:val="0F0F0F"/>
                                      <w:w w:val="105"/>
                                      <w:sz w:val="17"/>
                                    </w:rPr>
                                    <w:t>Information</w:t>
                                  </w:r>
                                  <w:r>
                                    <w:rPr>
                                      <w:color w:val="0F0F0F"/>
                                      <w:spacing w:val="2"/>
                                      <w:w w:val="105"/>
                                      <w:sz w:val="17"/>
                                    </w:rPr>
                                    <w:t> </w:t>
                                  </w:r>
                                  <w:r>
                                    <w:rPr>
                                      <w:color w:val="0F0F0F"/>
                                      <w:w w:val="105"/>
                                      <w:sz w:val="17"/>
                                    </w:rPr>
                                    <w:t>Services</w:t>
                                  </w:r>
                                  <w:r>
                                    <w:rPr>
                                      <w:color w:val="0F0F0F"/>
                                      <w:spacing w:val="-1"/>
                                      <w:w w:val="105"/>
                                      <w:sz w:val="17"/>
                                    </w:rPr>
                                    <w:t> </w:t>
                                  </w:r>
                                  <w:r>
                                    <w:rPr>
                                      <w:color w:val="0F0F0F"/>
                                      <w:w w:val="105"/>
                                      <w:sz w:val="17"/>
                                    </w:rPr>
                                    <w:t>-</w:t>
                                  </w:r>
                                  <w:r>
                                    <w:rPr>
                                      <w:color w:val="0F0F0F"/>
                                      <w:spacing w:val="-5"/>
                                      <w:w w:val="105"/>
                                      <w:sz w:val="17"/>
                                    </w:rPr>
                                    <w:t> </w:t>
                                  </w:r>
                                  <w:r>
                                    <w:rPr>
                                      <w:color w:val="0F0F0F"/>
                                      <w:w w:val="105"/>
                                      <w:sz w:val="17"/>
                                    </w:rPr>
                                    <w:t>Infrastructure</w:t>
                                  </w:r>
                                  <w:r>
                                    <w:rPr>
                                      <w:color w:val="0F0F0F"/>
                                      <w:spacing w:val="-16"/>
                                      <w:w w:val="105"/>
                                      <w:sz w:val="17"/>
                                    </w:rPr>
                                    <w:t> </w:t>
                                  </w:r>
                                  <w:r>
                                    <w:rPr>
                                      <w:color w:val="0F0F0F"/>
                                      <w:spacing w:val="-2"/>
                                      <w:w w:val="105"/>
                                      <w:sz w:val="17"/>
                                    </w:rPr>
                                    <w:t>Replacement</w:t>
                                  </w:r>
                                </w:p>
                              </w:tc>
                              <w:tc>
                                <w:tcPr>
                                  <w:tcW w:w="1886" w:type="dxa"/>
                                </w:tcPr>
                                <w:p>
                                  <w:pPr>
                                    <w:pStyle w:val="TableParagraph"/>
                                    <w:spacing w:before="11" w:line="180" w:lineRule="exact"/>
                                    <w:ind w:right="553"/>
                                    <w:jc w:val="right"/>
                                    <w:rPr>
                                      <w:b/>
                                      <w:sz w:val="18"/>
                                    </w:rPr>
                                  </w:pPr>
                                  <w:r>
                                    <w:rPr>
                                      <w:b/>
                                      <w:color w:val="0F0F0F"/>
                                      <w:spacing w:val="-2"/>
                                      <w:sz w:val="18"/>
                                    </w:rPr>
                                    <w:t>(317)</w:t>
                                  </w:r>
                                </w:p>
                              </w:tc>
                            </w:tr>
                            <w:tr>
                              <w:trPr>
                                <w:trHeight w:val="211" w:hRule="atLeast"/>
                              </w:trPr>
                              <w:tc>
                                <w:tcPr>
                                  <w:tcW w:w="5825" w:type="dxa"/>
                                </w:tcPr>
                                <w:p>
                                  <w:pPr>
                                    <w:pStyle w:val="TableParagraph"/>
                                    <w:spacing w:line="183" w:lineRule="exact"/>
                                    <w:ind w:left="57"/>
                                    <w:rPr>
                                      <w:sz w:val="17"/>
                                    </w:rPr>
                                  </w:pPr>
                                  <w:r>
                                    <w:rPr>
                                      <w:color w:val="0F0F0F"/>
                                      <w:w w:val="105"/>
                                      <w:sz w:val="17"/>
                                    </w:rPr>
                                    <w:t>Innovation</w:t>
                                  </w:r>
                                  <w:r>
                                    <w:rPr>
                                      <w:color w:val="0F0F0F"/>
                                      <w:spacing w:val="-3"/>
                                      <w:w w:val="105"/>
                                      <w:sz w:val="17"/>
                                    </w:rPr>
                                    <w:t> </w:t>
                                  </w:r>
                                  <w:r>
                                    <w:rPr>
                                      <w:color w:val="0F0F0F"/>
                                      <w:w w:val="105"/>
                                      <w:sz w:val="17"/>
                                    </w:rPr>
                                    <w:t>and</w:t>
                                  </w:r>
                                  <w:r>
                                    <w:rPr>
                                      <w:color w:val="0F0F0F"/>
                                      <w:spacing w:val="-13"/>
                                      <w:w w:val="105"/>
                                      <w:sz w:val="17"/>
                                    </w:rPr>
                                    <w:t> </w:t>
                                  </w:r>
                                  <w:r>
                                    <w:rPr>
                                      <w:color w:val="0F0F0F"/>
                                      <w:w w:val="105"/>
                                      <w:sz w:val="17"/>
                                    </w:rPr>
                                    <w:t>Investment</w:t>
                                  </w:r>
                                  <w:r>
                                    <w:rPr>
                                      <w:color w:val="0F0F0F"/>
                                      <w:spacing w:val="-3"/>
                                      <w:w w:val="105"/>
                                      <w:sz w:val="17"/>
                                    </w:rPr>
                                    <w:t> </w:t>
                                  </w:r>
                                  <w:r>
                                    <w:rPr>
                                      <w:color w:val="0F0F0F"/>
                                      <w:spacing w:val="-4"/>
                                      <w:w w:val="105"/>
                                      <w:sz w:val="17"/>
                                    </w:rPr>
                                    <w:t>fund</w:t>
                                  </w:r>
                                </w:p>
                              </w:tc>
                              <w:tc>
                                <w:tcPr>
                                  <w:tcW w:w="1886" w:type="dxa"/>
                                </w:tcPr>
                                <w:p>
                                  <w:pPr>
                                    <w:pStyle w:val="TableParagraph"/>
                                    <w:spacing w:before="16" w:line="175" w:lineRule="exact"/>
                                    <w:ind w:right="561"/>
                                    <w:jc w:val="right"/>
                                    <w:rPr>
                                      <w:b/>
                                      <w:sz w:val="18"/>
                                    </w:rPr>
                                  </w:pPr>
                                  <w:r>
                                    <w:rPr>
                                      <w:b/>
                                      <w:color w:val="0F0F0F"/>
                                      <w:spacing w:val="-2"/>
                                      <w:sz w:val="18"/>
                                    </w:rPr>
                                    <w:t>(1,754)</w:t>
                                  </w:r>
                                </w:p>
                              </w:tc>
                            </w:tr>
                            <w:tr>
                              <w:trPr>
                                <w:trHeight w:val="410" w:hRule="atLeast"/>
                              </w:trPr>
                              <w:tc>
                                <w:tcPr>
                                  <w:tcW w:w="5825" w:type="dxa"/>
                                </w:tcPr>
                                <w:p>
                                  <w:pPr>
                                    <w:pStyle w:val="TableParagraph"/>
                                    <w:spacing w:line="178" w:lineRule="exact"/>
                                    <w:ind w:left="55"/>
                                    <w:rPr>
                                      <w:sz w:val="17"/>
                                    </w:rPr>
                                  </w:pPr>
                                  <w:r>
                                    <w:rPr>
                                      <w:color w:val="0F0F0F"/>
                                      <w:w w:val="105"/>
                                      <w:sz w:val="17"/>
                                    </w:rPr>
                                    <w:t>Land </w:t>
                                  </w:r>
                                  <w:r>
                                    <w:rPr>
                                      <w:color w:val="0F0F0F"/>
                                      <w:spacing w:val="-2"/>
                                      <w:w w:val="105"/>
                                      <w:sz w:val="17"/>
                                    </w:rPr>
                                    <w:t>Drainage</w:t>
                                  </w:r>
                                </w:p>
                                <w:p>
                                  <w:pPr>
                                    <w:pStyle w:val="TableParagraph"/>
                                    <w:spacing w:before="21" w:line="191" w:lineRule="exact"/>
                                    <w:ind w:left="60"/>
                                    <w:rPr>
                                      <w:sz w:val="17"/>
                                    </w:rPr>
                                  </w:pPr>
                                  <w:r>
                                    <w:rPr>
                                      <w:color w:val="0F0F0F"/>
                                      <w:w w:val="105"/>
                                      <w:sz w:val="17"/>
                                    </w:rPr>
                                    <w:t>LDS</w:t>
                                  </w:r>
                                  <w:r>
                                    <w:rPr>
                                      <w:color w:val="0F0F0F"/>
                                      <w:spacing w:val="-9"/>
                                      <w:w w:val="105"/>
                                      <w:sz w:val="17"/>
                                    </w:rPr>
                                    <w:t> </w:t>
                                  </w:r>
                                  <w:r>
                                    <w:rPr>
                                      <w:color w:val="0F0F0F"/>
                                      <w:spacing w:val="-2"/>
                                      <w:w w:val="105"/>
                                      <w:sz w:val="17"/>
                                    </w:rPr>
                                    <w:t>reserve</w:t>
                                  </w:r>
                                </w:p>
                              </w:tc>
                              <w:tc>
                                <w:tcPr>
                                  <w:tcW w:w="1886" w:type="dxa"/>
                                </w:tcPr>
                                <w:p>
                                  <w:pPr>
                                    <w:pStyle w:val="TableParagraph"/>
                                    <w:spacing w:before="16"/>
                                    <w:ind w:right="558"/>
                                    <w:jc w:val="right"/>
                                    <w:rPr>
                                      <w:b/>
                                      <w:sz w:val="18"/>
                                    </w:rPr>
                                  </w:pPr>
                                  <w:r>
                                    <w:rPr>
                                      <w:b/>
                                      <w:color w:val="0F0F0F"/>
                                      <w:spacing w:val="-2"/>
                                      <w:sz w:val="18"/>
                                    </w:rPr>
                                    <w:t>(308)</w:t>
                                  </w:r>
                                </w:p>
                              </w:tc>
                            </w:tr>
                            <w:tr>
                              <w:trPr>
                                <w:trHeight w:val="236" w:hRule="atLeast"/>
                              </w:trPr>
                              <w:tc>
                                <w:tcPr>
                                  <w:tcW w:w="5825" w:type="dxa"/>
                                </w:tcPr>
                                <w:p>
                                  <w:pPr>
                                    <w:pStyle w:val="TableParagraph"/>
                                    <w:spacing w:before="10"/>
                                    <w:ind w:left="55"/>
                                    <w:rPr>
                                      <w:sz w:val="17"/>
                                    </w:rPr>
                                  </w:pPr>
                                  <w:r>
                                    <w:rPr>
                                      <w:color w:val="0F0F0F"/>
                                      <w:w w:val="105"/>
                                      <w:sz w:val="17"/>
                                    </w:rPr>
                                    <w:t>Minor</w:t>
                                  </w:r>
                                  <w:r>
                                    <w:rPr>
                                      <w:color w:val="0F0F0F"/>
                                      <w:spacing w:val="-4"/>
                                      <w:w w:val="105"/>
                                      <w:sz w:val="17"/>
                                    </w:rPr>
                                    <w:t> </w:t>
                                  </w:r>
                                  <w:r>
                                    <w:rPr>
                                      <w:color w:val="0F0F0F"/>
                                      <w:w w:val="105"/>
                                      <w:sz w:val="17"/>
                                    </w:rPr>
                                    <w:t>revenue</w:t>
                                  </w:r>
                                  <w:r>
                                    <w:rPr>
                                      <w:color w:val="0F0F0F"/>
                                      <w:spacing w:val="4"/>
                                      <w:w w:val="105"/>
                                      <w:sz w:val="17"/>
                                    </w:rPr>
                                    <w:t> </w:t>
                                  </w:r>
                                  <w:r>
                                    <w:rPr>
                                      <w:color w:val="0F0F0F"/>
                                      <w:spacing w:val="-2"/>
                                      <w:w w:val="105"/>
                                      <w:sz w:val="17"/>
                                    </w:rPr>
                                    <w:t>grants</w:t>
                                  </w:r>
                                </w:p>
                              </w:tc>
                              <w:tc>
                                <w:tcPr>
                                  <w:tcW w:w="1886" w:type="dxa"/>
                                </w:tcPr>
                                <w:p>
                                  <w:pPr>
                                    <w:pStyle w:val="TableParagraph"/>
                                    <w:spacing w:before="34" w:line="182" w:lineRule="exact"/>
                                    <w:ind w:right="561"/>
                                    <w:jc w:val="right"/>
                                    <w:rPr>
                                      <w:b/>
                                      <w:sz w:val="18"/>
                                    </w:rPr>
                                  </w:pPr>
                                  <w:r>
                                    <w:rPr>
                                      <w:b/>
                                      <w:color w:val="0F0F0F"/>
                                      <w:spacing w:val="-2"/>
                                      <w:sz w:val="18"/>
                                    </w:rPr>
                                    <w:t>(1,970)</w:t>
                                  </w:r>
                                </w:p>
                              </w:tc>
                            </w:tr>
                            <w:tr>
                              <w:trPr>
                                <w:trHeight w:val="209" w:hRule="atLeast"/>
                              </w:trPr>
                              <w:tc>
                                <w:tcPr>
                                  <w:tcW w:w="5825" w:type="dxa"/>
                                </w:tcPr>
                                <w:p>
                                  <w:pPr>
                                    <w:pStyle w:val="TableParagraph"/>
                                    <w:spacing w:line="185" w:lineRule="exact"/>
                                    <w:ind w:left="55"/>
                                    <w:rPr>
                                      <w:sz w:val="17"/>
                                    </w:rPr>
                                  </w:pPr>
                                  <w:r>
                                    <w:rPr>
                                      <w:color w:val="0F0F0F"/>
                                      <w:w w:val="105"/>
                                      <w:sz w:val="17"/>
                                    </w:rPr>
                                    <w:t>New</w:t>
                                  </w:r>
                                  <w:r>
                                    <w:rPr>
                                      <w:color w:val="0F0F0F"/>
                                      <w:spacing w:val="-8"/>
                                      <w:w w:val="105"/>
                                      <w:sz w:val="17"/>
                                    </w:rPr>
                                    <w:t> </w:t>
                                  </w:r>
                                  <w:r>
                                    <w:rPr>
                                      <w:color w:val="0F0F0F"/>
                                      <w:w w:val="105"/>
                                      <w:sz w:val="17"/>
                                    </w:rPr>
                                    <w:t>Homes</w:t>
                                  </w:r>
                                  <w:r>
                                    <w:rPr>
                                      <w:color w:val="0F0F0F"/>
                                      <w:spacing w:val="1"/>
                                      <w:w w:val="105"/>
                                      <w:sz w:val="17"/>
                                    </w:rPr>
                                    <w:t> </w:t>
                                  </w:r>
                                  <w:r>
                                    <w:rPr>
                                      <w:color w:val="0F0F0F"/>
                                      <w:w w:val="105"/>
                                      <w:sz w:val="17"/>
                                    </w:rPr>
                                    <w:t>Bonus</w:t>
                                  </w:r>
                                  <w:r>
                                    <w:rPr>
                                      <w:color w:val="0F0F0F"/>
                                      <w:spacing w:val="-5"/>
                                      <w:w w:val="105"/>
                                      <w:sz w:val="17"/>
                                    </w:rPr>
                                    <w:t> </w:t>
                                  </w:r>
                                  <w:r>
                                    <w:rPr>
                                      <w:color w:val="0F0F0F"/>
                                      <w:w w:val="105"/>
                                      <w:sz w:val="17"/>
                                    </w:rPr>
                                    <w:t>Equalisation</w:t>
                                  </w:r>
                                  <w:r>
                                    <w:rPr>
                                      <w:color w:val="0F0F0F"/>
                                      <w:spacing w:val="9"/>
                                      <w:w w:val="105"/>
                                      <w:sz w:val="17"/>
                                    </w:rPr>
                                    <w:t> </w:t>
                                  </w:r>
                                  <w:r>
                                    <w:rPr>
                                      <w:color w:val="0F0F0F"/>
                                      <w:spacing w:val="-2"/>
                                      <w:w w:val="105"/>
                                      <w:sz w:val="17"/>
                                    </w:rPr>
                                    <w:t>Reserve</w:t>
                                  </w:r>
                                </w:p>
                              </w:tc>
                              <w:tc>
                                <w:tcPr>
                                  <w:tcW w:w="1886" w:type="dxa"/>
                                </w:tcPr>
                                <w:p>
                                  <w:pPr>
                                    <w:pStyle w:val="TableParagraph"/>
                                    <w:spacing w:before="9" w:line="180" w:lineRule="exact"/>
                                    <w:ind w:right="561"/>
                                    <w:jc w:val="right"/>
                                    <w:rPr>
                                      <w:b/>
                                      <w:sz w:val="18"/>
                                    </w:rPr>
                                  </w:pPr>
                                  <w:r>
                                    <w:rPr>
                                      <w:b/>
                                      <w:color w:val="0F0F0F"/>
                                      <w:spacing w:val="-2"/>
                                      <w:sz w:val="18"/>
                                    </w:rPr>
                                    <w:t>(3,414)</w:t>
                                  </w:r>
                                </w:p>
                              </w:tc>
                            </w:tr>
                            <w:tr>
                              <w:trPr>
                                <w:trHeight w:val="213" w:hRule="atLeast"/>
                              </w:trPr>
                              <w:tc>
                                <w:tcPr>
                                  <w:tcW w:w="5825" w:type="dxa"/>
                                </w:tcPr>
                                <w:p>
                                  <w:pPr>
                                    <w:pStyle w:val="TableParagraph"/>
                                    <w:spacing w:line="183" w:lineRule="exact"/>
                                    <w:ind w:left="55"/>
                                    <w:rPr>
                                      <w:sz w:val="17"/>
                                    </w:rPr>
                                  </w:pPr>
                                  <w:r>
                                    <w:rPr>
                                      <w:color w:val="0F0F0F"/>
                                      <w:spacing w:val="-2"/>
                                      <w:w w:val="105"/>
                                      <w:sz w:val="17"/>
                                    </w:rPr>
                                    <w:t>Non-recurring</w:t>
                                  </w:r>
                                  <w:r>
                                    <w:rPr>
                                      <w:color w:val="0F0F0F"/>
                                      <w:spacing w:val="17"/>
                                      <w:w w:val="105"/>
                                      <w:sz w:val="17"/>
                                    </w:rPr>
                                    <w:t> </w:t>
                                  </w:r>
                                  <w:r>
                                    <w:rPr>
                                      <w:color w:val="0F0F0F"/>
                                      <w:spacing w:val="-2"/>
                                      <w:w w:val="105"/>
                                      <w:sz w:val="17"/>
                                    </w:rPr>
                                    <w:t>Items</w:t>
                                  </w:r>
                                </w:p>
                              </w:tc>
                              <w:tc>
                                <w:tcPr>
                                  <w:tcW w:w="1886" w:type="dxa"/>
                                </w:tcPr>
                                <w:p>
                                  <w:pPr>
                                    <w:pStyle w:val="TableParagraph"/>
                                    <w:spacing w:before="11" w:line="182" w:lineRule="exact"/>
                                    <w:ind w:right="561"/>
                                    <w:jc w:val="right"/>
                                    <w:rPr>
                                      <w:b/>
                                      <w:sz w:val="18"/>
                                    </w:rPr>
                                  </w:pPr>
                                  <w:r>
                                    <w:rPr>
                                      <w:b/>
                                      <w:color w:val="0F0F0F"/>
                                      <w:spacing w:val="-2"/>
                                      <w:sz w:val="18"/>
                                    </w:rPr>
                                    <w:t>(1,014)</w:t>
                                  </w:r>
                                </w:p>
                              </w:tc>
                            </w:tr>
                            <w:tr>
                              <w:trPr>
                                <w:trHeight w:val="218" w:hRule="atLeast"/>
                              </w:trPr>
                              <w:tc>
                                <w:tcPr>
                                  <w:tcW w:w="5825" w:type="dxa"/>
                                </w:tcPr>
                                <w:p>
                                  <w:pPr>
                                    <w:pStyle w:val="TableParagraph"/>
                                    <w:spacing w:line="185" w:lineRule="exact"/>
                                    <w:ind w:left="59"/>
                                    <w:rPr>
                                      <w:sz w:val="17"/>
                                    </w:rPr>
                                  </w:pPr>
                                  <w:r>
                                    <w:rPr>
                                      <w:color w:val="0F0F0F"/>
                                      <w:w w:val="105"/>
                                      <w:sz w:val="17"/>
                                    </w:rPr>
                                    <w:t>Parking</w:t>
                                  </w:r>
                                  <w:r>
                                    <w:rPr>
                                      <w:color w:val="0F0F0F"/>
                                      <w:spacing w:val="-1"/>
                                      <w:w w:val="105"/>
                                      <w:sz w:val="17"/>
                                    </w:rPr>
                                    <w:t> </w:t>
                                  </w:r>
                                  <w:r>
                                    <w:rPr>
                                      <w:color w:val="0F0F0F"/>
                                      <w:w w:val="105"/>
                                      <w:sz w:val="17"/>
                                    </w:rPr>
                                    <w:t>Repairs &amp;</w:t>
                                  </w:r>
                                  <w:r>
                                    <w:rPr>
                                      <w:color w:val="0F0F0F"/>
                                      <w:spacing w:val="-6"/>
                                      <w:w w:val="105"/>
                                      <w:sz w:val="17"/>
                                    </w:rPr>
                                    <w:t> </w:t>
                                  </w:r>
                                  <w:r>
                                    <w:rPr>
                                      <w:color w:val="0F0F0F"/>
                                      <w:spacing w:val="-2"/>
                                      <w:w w:val="105"/>
                                      <w:sz w:val="17"/>
                                    </w:rPr>
                                    <w:t>Renewals</w:t>
                                  </w:r>
                                </w:p>
                              </w:tc>
                              <w:tc>
                                <w:tcPr>
                                  <w:tcW w:w="1886" w:type="dxa"/>
                                </w:tcPr>
                                <w:p>
                                  <w:pPr>
                                    <w:pStyle w:val="TableParagraph"/>
                                    <w:spacing w:before="19" w:line="180" w:lineRule="exact"/>
                                    <w:ind w:right="553"/>
                                    <w:jc w:val="right"/>
                                    <w:rPr>
                                      <w:b/>
                                      <w:sz w:val="18"/>
                                    </w:rPr>
                                  </w:pPr>
                                  <w:r>
                                    <w:rPr>
                                      <w:b/>
                                      <w:color w:val="0F0F0F"/>
                                      <w:spacing w:val="-2"/>
                                      <w:sz w:val="18"/>
                                    </w:rPr>
                                    <w:t>(879)</w:t>
                                  </w:r>
                                </w:p>
                              </w:tc>
                            </w:tr>
                            <w:tr>
                              <w:trPr>
                                <w:trHeight w:val="213" w:hRule="atLeast"/>
                              </w:trPr>
                              <w:tc>
                                <w:tcPr>
                                  <w:tcW w:w="5825" w:type="dxa"/>
                                </w:tcPr>
                                <w:p>
                                  <w:pPr>
                                    <w:pStyle w:val="TableParagraph"/>
                                    <w:spacing w:line="183" w:lineRule="exact"/>
                                    <w:ind w:left="55"/>
                                    <w:rPr>
                                      <w:sz w:val="17"/>
                                    </w:rPr>
                                  </w:pPr>
                                  <w:r>
                                    <w:rPr>
                                      <w:color w:val="0F0F0F"/>
                                      <w:w w:val="105"/>
                                      <w:sz w:val="17"/>
                                    </w:rPr>
                                    <w:t>Parks</w:t>
                                  </w:r>
                                  <w:r>
                                    <w:rPr>
                                      <w:color w:val="0F0F0F"/>
                                      <w:spacing w:val="-1"/>
                                      <w:w w:val="105"/>
                                      <w:sz w:val="17"/>
                                    </w:rPr>
                                    <w:t> </w:t>
                                  </w:r>
                                  <w:r>
                                    <w:rPr>
                                      <w:color w:val="0F0F0F"/>
                                      <w:w w:val="105"/>
                                      <w:sz w:val="17"/>
                                    </w:rPr>
                                    <w:t>Play</w:t>
                                  </w:r>
                                  <w:r>
                                    <w:rPr>
                                      <w:color w:val="0F0F0F"/>
                                      <w:spacing w:val="5"/>
                                      <w:w w:val="105"/>
                                      <w:sz w:val="17"/>
                                    </w:rPr>
                                    <w:t> </w:t>
                                  </w:r>
                                  <w:r>
                                    <w:rPr>
                                      <w:color w:val="0F0F0F"/>
                                      <w:spacing w:val="-2"/>
                                      <w:w w:val="105"/>
                                      <w:sz w:val="17"/>
                                    </w:rPr>
                                    <w:t>Equipment</w:t>
                                  </w:r>
                                </w:p>
                              </w:tc>
                              <w:tc>
                                <w:tcPr>
                                  <w:tcW w:w="1886" w:type="dxa"/>
                                </w:tcPr>
                                <w:p>
                                  <w:pPr>
                                    <w:pStyle w:val="TableParagraph"/>
                                    <w:spacing w:before="11" w:line="182" w:lineRule="exact"/>
                                    <w:ind w:right="558"/>
                                    <w:jc w:val="right"/>
                                    <w:rPr>
                                      <w:b/>
                                      <w:sz w:val="18"/>
                                    </w:rPr>
                                  </w:pPr>
                                  <w:r>
                                    <w:rPr>
                                      <w:b/>
                                      <w:color w:val="0F0F0F"/>
                                      <w:spacing w:val="-2"/>
                                      <w:sz w:val="18"/>
                                    </w:rPr>
                                    <w:t>(306)</w:t>
                                  </w:r>
                                </w:p>
                              </w:tc>
                            </w:tr>
                            <w:tr>
                              <w:trPr>
                                <w:trHeight w:val="412" w:hRule="atLeast"/>
                              </w:trPr>
                              <w:tc>
                                <w:tcPr>
                                  <w:tcW w:w="5825" w:type="dxa"/>
                                </w:tcPr>
                                <w:p>
                                  <w:pPr>
                                    <w:pStyle w:val="TableParagraph"/>
                                    <w:spacing w:line="185" w:lineRule="exact"/>
                                    <w:ind w:left="54"/>
                                    <w:rPr>
                                      <w:sz w:val="17"/>
                                    </w:rPr>
                                  </w:pPr>
                                  <w:r>
                                    <w:rPr>
                                      <w:color w:val="0F0F0F"/>
                                      <w:w w:val="105"/>
                                      <w:sz w:val="17"/>
                                    </w:rPr>
                                    <w:t>Recycling</w:t>
                                  </w:r>
                                  <w:r>
                                    <w:rPr>
                                      <w:color w:val="0F0F0F"/>
                                      <w:spacing w:val="-4"/>
                                      <w:w w:val="105"/>
                                      <w:sz w:val="17"/>
                                    </w:rPr>
                                    <w:t> </w:t>
                                  </w:r>
                                  <w:r>
                                    <w:rPr>
                                      <w:color w:val="0F0F0F"/>
                                      <w:spacing w:val="-2"/>
                                      <w:w w:val="105"/>
                                      <w:sz w:val="17"/>
                                    </w:rPr>
                                    <w:t>Initiatives</w:t>
                                  </w:r>
                                </w:p>
                                <w:p>
                                  <w:pPr>
                                    <w:pStyle w:val="TableParagraph"/>
                                    <w:spacing w:before="21" w:line="186" w:lineRule="exact"/>
                                    <w:ind w:left="59"/>
                                    <w:rPr>
                                      <w:sz w:val="17"/>
                                    </w:rPr>
                                  </w:pPr>
                                  <w:r>
                                    <w:rPr>
                                      <w:color w:val="0F0F0F"/>
                                      <w:w w:val="105"/>
                                      <w:sz w:val="17"/>
                                    </w:rPr>
                                    <w:t>Uninsured Losses</w:t>
                                  </w:r>
                                  <w:r>
                                    <w:rPr>
                                      <w:color w:val="0F0F0F"/>
                                      <w:spacing w:val="-2"/>
                                      <w:w w:val="105"/>
                                      <w:sz w:val="17"/>
                                    </w:rPr>
                                    <w:t> </w:t>
                                  </w:r>
                                  <w:r>
                                    <w:rPr>
                                      <w:color w:val="0F0F0F"/>
                                      <w:w w:val="105"/>
                                      <w:sz w:val="17"/>
                                    </w:rPr>
                                    <w:t>Garages</w:t>
                                  </w:r>
                                  <w:r>
                                    <w:rPr>
                                      <w:color w:val="0F0F0F"/>
                                      <w:spacing w:val="-2"/>
                                      <w:w w:val="105"/>
                                      <w:sz w:val="17"/>
                                    </w:rPr>
                                    <w:t> Reserve</w:t>
                                  </w:r>
                                </w:p>
                              </w:tc>
                              <w:tc>
                                <w:tcPr>
                                  <w:tcW w:w="1886" w:type="dxa"/>
                                </w:tcPr>
                                <w:p>
                                  <w:pPr>
                                    <w:pStyle w:val="TableParagraph"/>
                                    <w:spacing w:before="14"/>
                                    <w:ind w:right="558"/>
                                    <w:jc w:val="right"/>
                                    <w:rPr>
                                      <w:b/>
                                      <w:sz w:val="18"/>
                                    </w:rPr>
                                  </w:pPr>
                                  <w:r>
                                    <w:rPr>
                                      <w:b/>
                                      <w:color w:val="0F0F0F"/>
                                      <w:spacing w:val="-2"/>
                                      <w:sz w:val="18"/>
                                    </w:rPr>
                                    <w:t>(747)</w:t>
                                  </w:r>
                                </w:p>
                              </w:tc>
                            </w:tr>
                            <w:tr>
                              <w:trPr>
                                <w:trHeight w:val="234" w:hRule="atLeast"/>
                              </w:trPr>
                              <w:tc>
                                <w:tcPr>
                                  <w:tcW w:w="5825" w:type="dxa"/>
                                </w:tcPr>
                                <w:p>
                                  <w:pPr>
                                    <w:pStyle w:val="TableParagraph"/>
                                    <w:spacing w:before="5"/>
                                    <w:ind w:left="59"/>
                                    <w:rPr>
                                      <w:sz w:val="17"/>
                                    </w:rPr>
                                  </w:pPr>
                                  <w:r>
                                    <w:rPr>
                                      <w:color w:val="0F0F0F"/>
                                      <w:w w:val="105"/>
                                      <w:sz w:val="17"/>
                                    </w:rPr>
                                    <w:t>Uninsured</w:t>
                                  </w:r>
                                  <w:r>
                                    <w:rPr>
                                      <w:color w:val="0F0F0F"/>
                                      <w:spacing w:val="-2"/>
                                      <w:w w:val="105"/>
                                      <w:sz w:val="17"/>
                                    </w:rPr>
                                    <w:t> </w:t>
                                  </w:r>
                                  <w:r>
                                    <w:rPr>
                                      <w:color w:val="0F0F0F"/>
                                      <w:w w:val="105"/>
                                      <w:sz w:val="17"/>
                                    </w:rPr>
                                    <w:t>Losses</w:t>
                                  </w:r>
                                  <w:r>
                                    <w:rPr>
                                      <w:color w:val="0F0F0F"/>
                                      <w:spacing w:val="-6"/>
                                      <w:w w:val="105"/>
                                      <w:sz w:val="17"/>
                                    </w:rPr>
                                    <w:t> </w:t>
                                  </w:r>
                                  <w:r>
                                    <w:rPr>
                                      <w:color w:val="0F0F0F"/>
                                      <w:spacing w:val="-2"/>
                                      <w:w w:val="105"/>
                                      <w:sz w:val="17"/>
                                    </w:rPr>
                                    <w:t>Reserve</w:t>
                                  </w:r>
                                </w:p>
                              </w:tc>
                              <w:tc>
                                <w:tcPr>
                                  <w:tcW w:w="1886" w:type="dxa"/>
                                </w:tcPr>
                                <w:p>
                                  <w:pPr>
                                    <w:pStyle w:val="TableParagraph"/>
                                    <w:spacing w:before="29" w:line="185" w:lineRule="exact"/>
                                    <w:ind w:right="553"/>
                                    <w:jc w:val="right"/>
                                    <w:rPr>
                                      <w:b/>
                                      <w:sz w:val="18"/>
                                    </w:rPr>
                                  </w:pPr>
                                  <w:r>
                                    <w:rPr>
                                      <w:b/>
                                      <w:color w:val="0F0F0F"/>
                                      <w:spacing w:val="-2"/>
                                      <w:sz w:val="18"/>
                                    </w:rPr>
                                    <w:t>(229)</w:t>
                                  </w:r>
                                </w:p>
                              </w:tc>
                            </w:tr>
                            <w:tr>
                              <w:trPr>
                                <w:trHeight w:val="209" w:hRule="atLeast"/>
                              </w:trPr>
                              <w:tc>
                                <w:tcPr>
                                  <w:tcW w:w="5825" w:type="dxa"/>
                                </w:tcPr>
                                <w:p>
                                  <w:pPr>
                                    <w:pStyle w:val="TableParagraph"/>
                                    <w:spacing w:line="188" w:lineRule="exact"/>
                                    <w:ind w:left="61"/>
                                    <w:rPr>
                                      <w:sz w:val="17"/>
                                    </w:rPr>
                                  </w:pPr>
                                  <w:r>
                                    <w:rPr>
                                      <w:color w:val="0F0F0F"/>
                                      <w:w w:val="105"/>
                                      <w:sz w:val="17"/>
                                    </w:rPr>
                                    <w:t>Waste</w:t>
                                  </w:r>
                                  <w:r>
                                    <w:rPr>
                                      <w:color w:val="0F0F0F"/>
                                      <w:spacing w:val="-9"/>
                                      <w:w w:val="105"/>
                                      <w:sz w:val="17"/>
                                    </w:rPr>
                                    <w:t> </w:t>
                                  </w:r>
                                  <w:r>
                                    <w:rPr>
                                      <w:color w:val="0F0F0F"/>
                                      <w:w w:val="105"/>
                                      <w:sz w:val="17"/>
                                    </w:rPr>
                                    <w:t>Services</w:t>
                                  </w:r>
                                  <w:r>
                                    <w:rPr>
                                      <w:color w:val="0F0F0F"/>
                                      <w:spacing w:val="7"/>
                                      <w:w w:val="105"/>
                                      <w:sz w:val="17"/>
                                    </w:rPr>
                                    <w:t> </w:t>
                                  </w:r>
                                  <w:r>
                                    <w:rPr>
                                      <w:color w:val="0F0F0F"/>
                                      <w:w w:val="105"/>
                                      <w:sz w:val="17"/>
                                    </w:rPr>
                                    <w:t>Vehicles</w:t>
                                  </w:r>
                                  <w:r>
                                    <w:rPr>
                                      <w:color w:val="0F0F0F"/>
                                      <w:spacing w:val="-4"/>
                                      <w:w w:val="105"/>
                                      <w:sz w:val="17"/>
                                    </w:rPr>
                                    <w:t> </w:t>
                                  </w:r>
                                  <w:r>
                                    <w:rPr>
                                      <w:color w:val="0F0F0F"/>
                                      <w:spacing w:val="-2"/>
                                      <w:w w:val="105"/>
                                      <w:sz w:val="17"/>
                                    </w:rPr>
                                    <w:t>Replacement</w:t>
                                  </w:r>
                                </w:p>
                              </w:tc>
                              <w:tc>
                                <w:tcPr>
                                  <w:tcW w:w="1886" w:type="dxa"/>
                                </w:tcPr>
                                <w:p>
                                  <w:pPr>
                                    <w:pStyle w:val="TableParagraph"/>
                                    <w:spacing w:before="7" w:line="182" w:lineRule="exact"/>
                                    <w:ind w:right="555"/>
                                    <w:jc w:val="right"/>
                                    <w:rPr>
                                      <w:b/>
                                      <w:sz w:val="18"/>
                                    </w:rPr>
                                  </w:pPr>
                                  <w:r>
                                    <w:rPr>
                                      <w:b/>
                                      <w:color w:val="0F0F0F"/>
                                      <w:spacing w:val="-2"/>
                                      <w:sz w:val="18"/>
                                    </w:rPr>
                                    <w:t>(1,587)</w:t>
                                  </w:r>
                                </w:p>
                              </w:tc>
                            </w:tr>
                            <w:tr>
                              <w:trPr>
                                <w:trHeight w:val="214" w:hRule="atLeast"/>
                              </w:trPr>
                              <w:tc>
                                <w:tcPr>
                                  <w:tcW w:w="5825" w:type="dxa"/>
                                </w:tcPr>
                                <w:p>
                                  <w:pPr>
                                    <w:pStyle w:val="TableParagraph"/>
                                    <w:spacing w:line="186" w:lineRule="exact"/>
                                    <w:ind w:left="60"/>
                                    <w:rPr>
                                      <w:sz w:val="17"/>
                                    </w:rPr>
                                  </w:pPr>
                                  <w:r>
                                    <w:rPr>
                                      <w:color w:val="0F0F0F"/>
                                      <w:w w:val="105"/>
                                      <w:sz w:val="17"/>
                                    </w:rPr>
                                    <w:t>Other</w:t>
                                  </w:r>
                                  <w:r>
                                    <w:rPr>
                                      <w:color w:val="0F0F0F"/>
                                      <w:spacing w:val="8"/>
                                      <w:w w:val="105"/>
                                      <w:sz w:val="17"/>
                                    </w:rPr>
                                    <w:t> </w:t>
                                  </w:r>
                                  <w:r>
                                    <w:rPr>
                                      <w:rFonts w:ascii="Times New Roman" w:hAnsi="Times New Roman"/>
                                      <w:color w:val="0F0F0F"/>
                                      <w:w w:val="105"/>
                                      <w:sz w:val="17"/>
                                    </w:rPr>
                                    <w:t>&lt;</w:t>
                                  </w:r>
                                  <w:r>
                                    <w:rPr>
                                      <w:rFonts w:ascii="Times New Roman" w:hAnsi="Times New Roman"/>
                                      <w:color w:val="0F0F0F"/>
                                      <w:spacing w:val="3"/>
                                      <w:w w:val="105"/>
                                      <w:sz w:val="17"/>
                                    </w:rPr>
                                    <w:t> </w:t>
                                  </w:r>
                                  <w:r>
                                    <w:rPr>
                                      <w:color w:val="0F0F0F"/>
                                      <w:spacing w:val="-2"/>
                                      <w:w w:val="105"/>
                                      <w:sz w:val="17"/>
                                    </w:rPr>
                                    <w:t>£100k</w:t>
                                  </w:r>
                                </w:p>
                              </w:tc>
                              <w:tc>
                                <w:tcPr>
                                  <w:tcW w:w="1886" w:type="dxa"/>
                                </w:tcPr>
                                <w:p>
                                  <w:pPr>
                                    <w:pStyle w:val="TableParagraph"/>
                                    <w:spacing w:before="23" w:line="170" w:lineRule="exact"/>
                                    <w:ind w:right="548"/>
                                    <w:jc w:val="right"/>
                                    <w:rPr>
                                      <w:b/>
                                      <w:sz w:val="18"/>
                                    </w:rPr>
                                  </w:pPr>
                                  <w:r>
                                    <w:rPr>
                                      <w:b/>
                                      <w:color w:val="0F0F0F"/>
                                      <w:spacing w:val="-2"/>
                                      <w:sz w:val="18"/>
                                    </w:rPr>
                                    <w:t>(813)</w:t>
                                  </w:r>
                                </w:p>
                              </w:tc>
                            </w:tr>
                          </w:tbl>
                          <w:p>
                            <w:pPr>
                              <w:pStyle w:val="BodyText"/>
                            </w:pPr>
                          </w:p>
                        </w:txbxContent>
                      </wps:txbx>
                      <wps:bodyPr wrap="square" lIns="0" tIns="0" rIns="0" bIns="0" rtlCol="0">
                        <a:noAutofit/>
                      </wps:bodyPr>
                    </wps:wsp>
                  </a:graphicData>
                </a:graphic>
              </wp:anchor>
            </w:drawing>
          </ve:Choice>
          <ve:Fallback>
            <w:pict>
              <v:shape id="docshape366" style="position:absolute;margin-left:42.404888pt;margin-top:1.258859pt;width:391.65pt;height:351.15pt;mso-position-horizontal-relative:page;mso-position-vertical-relative:paragraph;z-index:15849472"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5825"/>
                        <w:gridCol w:w="1886"/>
                      </w:tblGrid>
                      <w:tr>
                        <w:trPr>
                          <w:trHeight w:val="575" w:hRule="atLeast"/>
                        </w:trPr>
                        <w:tc>
                          <w:tcPr>
                            <w:tcW w:w="5825" w:type="dxa"/>
                          </w:tcPr>
                          <w:p>
                            <w:pPr>
                              <w:pStyle w:val="TableParagraph"/>
                              <w:spacing w:before="135" w:line="210" w:lineRule="atLeast"/>
                              <w:ind w:left="61" w:right="3770" w:hanging="5"/>
                              <w:rPr>
                                <w:sz w:val="17"/>
                              </w:rPr>
                            </w:pPr>
                            <w:r>
                              <w:rPr>
                                <w:color w:val="0F0F0F"/>
                                <w:w w:val="105"/>
                                <w:sz w:val="17"/>
                              </w:rPr>
                              <w:t>3</w:t>
                            </w:r>
                            <w:r>
                              <w:rPr>
                                <w:color w:val="0F0F0F"/>
                                <w:spacing w:val="-5"/>
                                <w:w w:val="105"/>
                                <w:sz w:val="17"/>
                              </w:rPr>
                              <w:t> </w:t>
                            </w:r>
                            <w:r>
                              <w:rPr>
                                <w:color w:val="0F0F0F"/>
                                <w:w w:val="105"/>
                                <w:sz w:val="17"/>
                              </w:rPr>
                              <w:t>Valleys</w:t>
                            </w:r>
                            <w:r>
                              <w:rPr>
                                <w:color w:val="0F0F0F"/>
                                <w:spacing w:val="-11"/>
                                <w:w w:val="105"/>
                                <w:sz w:val="17"/>
                              </w:rPr>
                              <w:t> </w:t>
                            </w:r>
                            <w:r>
                              <w:rPr>
                                <w:color w:val="0F0F0F"/>
                                <w:w w:val="105"/>
                                <w:sz w:val="17"/>
                              </w:rPr>
                              <w:t>Way</w:t>
                            </w:r>
                            <w:r>
                              <w:rPr>
                                <w:color w:val="0F0F0F"/>
                                <w:spacing w:val="-12"/>
                                <w:w w:val="105"/>
                                <w:sz w:val="17"/>
                              </w:rPr>
                              <w:t> </w:t>
                            </w:r>
                            <w:r>
                              <w:rPr>
                                <w:color w:val="0F0F0F"/>
                                <w:w w:val="105"/>
                                <w:sz w:val="17"/>
                              </w:rPr>
                              <w:t>Play</w:t>
                            </w:r>
                            <w:r>
                              <w:rPr>
                                <w:color w:val="0F0F0F"/>
                                <w:spacing w:val="-7"/>
                                <w:w w:val="105"/>
                                <w:sz w:val="17"/>
                              </w:rPr>
                              <w:t> </w:t>
                            </w:r>
                            <w:r>
                              <w:rPr>
                                <w:color w:val="0F0F0F"/>
                                <w:w w:val="105"/>
                                <w:sz w:val="17"/>
                              </w:rPr>
                              <w:t>Are</w:t>
                            </w:r>
                            <w:r>
                              <w:rPr>
                                <w:color w:val="0F0F0F"/>
                                <w:w w:val="105"/>
                                <w:sz w:val="17"/>
                              </w:rPr>
                              <w:t>a</w:t>
                            </w:r>
                            <w:r>
                              <w:rPr>
                                <w:color w:val="0F0F0F"/>
                                <w:w w:val="105"/>
                                <w:sz w:val="17"/>
                              </w:rPr>
                              <w:t> 3 Valleys Way Swale</w:t>
                            </w:r>
                          </w:p>
                        </w:tc>
                        <w:tc>
                          <w:tcPr>
                            <w:tcW w:w="1886" w:type="dxa"/>
                          </w:tcPr>
                          <w:p>
                            <w:pPr>
                              <w:pStyle w:val="TableParagraph"/>
                              <w:spacing w:line="201" w:lineRule="exact"/>
                              <w:ind w:left="528"/>
                              <w:rPr>
                                <w:b/>
                                <w:sz w:val="18"/>
                              </w:rPr>
                            </w:pPr>
                            <w:r>
                              <w:rPr>
                                <w:b/>
                                <w:color w:val="0F0F0F"/>
                                <w:spacing w:val="-4"/>
                                <w:sz w:val="18"/>
                              </w:rPr>
                              <w:t>£000</w:t>
                            </w:r>
                          </w:p>
                          <w:p>
                            <w:pPr>
                              <w:pStyle w:val="TableParagraph"/>
                              <w:spacing w:line="168" w:lineRule="exact"/>
                              <w:ind w:left="904"/>
                              <w:rPr>
                                <w:b/>
                                <w:sz w:val="18"/>
                              </w:rPr>
                            </w:pPr>
                            <w:r>
                              <w:rPr>
                                <w:b/>
                                <w:color w:val="0F0F0F"/>
                                <w:spacing w:val="-2"/>
                                <w:sz w:val="18"/>
                              </w:rPr>
                              <w:t>(102)</w:t>
                            </w:r>
                          </w:p>
                          <w:p>
                            <w:pPr>
                              <w:pStyle w:val="TableParagraph"/>
                              <w:spacing w:line="187" w:lineRule="exact"/>
                              <w:ind w:right="544"/>
                              <w:jc w:val="right"/>
                              <w:rPr>
                                <w:sz w:val="32"/>
                              </w:rPr>
                            </w:pPr>
                            <w:r>
                              <w:rPr>
                                <w:color w:val="383838"/>
                                <w:spacing w:val="-10"/>
                                <w:w w:val="80"/>
                                <w:sz w:val="32"/>
                              </w:rPr>
                              <w:t>-</w:t>
                            </w:r>
                          </w:p>
                        </w:tc>
                      </w:tr>
                      <w:tr>
                        <w:trPr>
                          <w:trHeight w:val="216" w:hRule="atLeast"/>
                        </w:trPr>
                        <w:tc>
                          <w:tcPr>
                            <w:tcW w:w="5825" w:type="dxa"/>
                          </w:tcPr>
                          <w:p>
                            <w:pPr>
                              <w:pStyle w:val="TableParagraph"/>
                              <w:spacing w:before="5" w:line="191" w:lineRule="exact"/>
                              <w:ind w:left="55"/>
                              <w:rPr>
                                <w:sz w:val="17"/>
                              </w:rPr>
                            </w:pPr>
                            <w:r>
                              <w:rPr>
                                <w:color w:val="0F0F0F"/>
                                <w:w w:val="105"/>
                                <w:sz w:val="17"/>
                              </w:rPr>
                              <w:t>Building</w:t>
                            </w:r>
                            <w:r>
                              <w:rPr>
                                <w:color w:val="0F0F0F"/>
                                <w:spacing w:val="-2"/>
                                <w:w w:val="105"/>
                                <w:sz w:val="17"/>
                              </w:rPr>
                              <w:t> Reserve</w:t>
                            </w:r>
                          </w:p>
                        </w:tc>
                        <w:tc>
                          <w:tcPr>
                            <w:tcW w:w="1886" w:type="dxa"/>
                          </w:tcPr>
                          <w:p>
                            <w:pPr>
                              <w:pStyle w:val="TableParagraph"/>
                              <w:spacing w:before="3" w:line="193" w:lineRule="exact"/>
                              <w:ind w:right="542"/>
                              <w:jc w:val="right"/>
                              <w:rPr>
                                <w:sz w:val="27"/>
                              </w:rPr>
                            </w:pPr>
                            <w:r>
                              <w:rPr>
                                <w:color w:val="0F0F0F"/>
                                <w:spacing w:val="-10"/>
                                <w:w w:val="95"/>
                                <w:sz w:val="27"/>
                              </w:rPr>
                              <w:t>-</w:t>
                            </w:r>
                          </w:p>
                        </w:tc>
                      </w:tr>
                      <w:tr>
                        <w:trPr>
                          <w:trHeight w:val="243" w:hRule="atLeast"/>
                        </w:trPr>
                        <w:tc>
                          <w:tcPr>
                            <w:tcW w:w="5825" w:type="dxa"/>
                          </w:tcPr>
                          <w:p>
                            <w:pPr>
                              <w:pStyle w:val="TableParagraph"/>
                              <w:spacing w:before="10"/>
                              <w:ind w:left="55"/>
                              <w:rPr>
                                <w:sz w:val="17"/>
                              </w:rPr>
                            </w:pPr>
                            <w:r>
                              <w:rPr>
                                <w:color w:val="0F0F0F"/>
                                <w:w w:val="105"/>
                                <w:sz w:val="17"/>
                              </w:rPr>
                              <w:t>Business</w:t>
                            </w:r>
                            <w:r>
                              <w:rPr>
                                <w:color w:val="0F0F0F"/>
                                <w:spacing w:val="4"/>
                                <w:w w:val="105"/>
                                <w:sz w:val="17"/>
                              </w:rPr>
                              <w:t> </w:t>
                            </w:r>
                            <w:r>
                              <w:rPr>
                                <w:color w:val="0F0F0F"/>
                                <w:w w:val="105"/>
                                <w:sz w:val="17"/>
                              </w:rPr>
                              <w:t>rates</w:t>
                            </w:r>
                            <w:r>
                              <w:rPr>
                                <w:color w:val="0F0F0F"/>
                                <w:spacing w:val="-5"/>
                                <w:w w:val="105"/>
                                <w:sz w:val="17"/>
                              </w:rPr>
                              <w:t> </w:t>
                            </w:r>
                            <w:r>
                              <w:rPr>
                                <w:color w:val="0F0F0F"/>
                                <w:spacing w:val="-2"/>
                                <w:w w:val="105"/>
                                <w:sz w:val="17"/>
                              </w:rPr>
                              <w:t>equalisation</w:t>
                            </w:r>
                          </w:p>
                        </w:tc>
                        <w:tc>
                          <w:tcPr>
                            <w:tcW w:w="1886" w:type="dxa"/>
                          </w:tcPr>
                          <w:p>
                            <w:pPr>
                              <w:pStyle w:val="TableParagraph"/>
                              <w:spacing w:before="53" w:line="170" w:lineRule="exact"/>
                              <w:ind w:right="561"/>
                              <w:jc w:val="right"/>
                              <w:rPr>
                                <w:b/>
                                <w:sz w:val="18"/>
                              </w:rPr>
                            </w:pPr>
                            <w:r>
                              <w:rPr>
                                <w:b/>
                                <w:color w:val="0F0F0F"/>
                                <w:spacing w:val="-2"/>
                                <w:sz w:val="18"/>
                              </w:rPr>
                              <w:t>(6,858)</w:t>
                            </w:r>
                          </w:p>
                        </w:tc>
                      </w:tr>
                      <w:tr>
                        <w:trPr>
                          <w:trHeight w:val="209" w:hRule="atLeast"/>
                        </w:trPr>
                        <w:tc>
                          <w:tcPr>
                            <w:tcW w:w="5825" w:type="dxa"/>
                          </w:tcPr>
                          <w:p>
                            <w:pPr>
                              <w:pStyle w:val="TableParagraph"/>
                              <w:spacing w:line="173" w:lineRule="exact"/>
                              <w:ind w:left="54"/>
                              <w:rPr>
                                <w:sz w:val="17"/>
                              </w:rPr>
                            </w:pPr>
                            <w:r>
                              <w:rPr>
                                <w:color w:val="0F0F0F"/>
                                <w:w w:val="105"/>
                                <w:sz w:val="17"/>
                              </w:rPr>
                              <w:t>Collection</w:t>
                            </w:r>
                            <w:r>
                              <w:rPr>
                                <w:color w:val="0F0F0F"/>
                                <w:spacing w:val="1"/>
                                <w:w w:val="105"/>
                                <w:sz w:val="17"/>
                              </w:rPr>
                              <w:t> </w:t>
                            </w:r>
                            <w:r>
                              <w:rPr>
                                <w:color w:val="0F0F0F"/>
                                <w:w w:val="105"/>
                                <w:sz w:val="17"/>
                              </w:rPr>
                              <w:t>fund</w:t>
                            </w:r>
                            <w:r>
                              <w:rPr>
                                <w:color w:val="0F0F0F"/>
                                <w:spacing w:val="-12"/>
                                <w:w w:val="105"/>
                                <w:sz w:val="17"/>
                              </w:rPr>
                              <w:t> </w:t>
                            </w:r>
                            <w:r>
                              <w:rPr>
                                <w:color w:val="0F0F0F"/>
                                <w:spacing w:val="-2"/>
                                <w:w w:val="105"/>
                                <w:sz w:val="17"/>
                              </w:rPr>
                              <w:t>deficit</w:t>
                            </w:r>
                          </w:p>
                        </w:tc>
                        <w:tc>
                          <w:tcPr>
                            <w:tcW w:w="1886" w:type="dxa"/>
                          </w:tcPr>
                          <w:p>
                            <w:pPr>
                              <w:pStyle w:val="TableParagraph"/>
                              <w:spacing w:before="16" w:line="173" w:lineRule="exact"/>
                              <w:ind w:right="561"/>
                              <w:jc w:val="right"/>
                              <w:rPr>
                                <w:b/>
                                <w:sz w:val="18"/>
                              </w:rPr>
                            </w:pPr>
                            <w:r>
                              <w:rPr>
                                <w:b/>
                                <w:color w:val="0F0F0F"/>
                                <w:spacing w:val="-2"/>
                                <w:sz w:val="18"/>
                              </w:rPr>
                              <w:t>(9,685)</w:t>
                            </w:r>
                          </w:p>
                        </w:tc>
                      </w:tr>
                      <w:tr>
                        <w:trPr>
                          <w:trHeight w:val="216" w:hRule="atLeast"/>
                        </w:trPr>
                        <w:tc>
                          <w:tcPr>
                            <w:tcW w:w="5825" w:type="dxa"/>
                          </w:tcPr>
                          <w:p>
                            <w:pPr>
                              <w:pStyle w:val="TableParagraph"/>
                              <w:spacing w:line="176" w:lineRule="exact"/>
                              <w:ind w:left="54"/>
                              <w:rPr>
                                <w:sz w:val="17"/>
                              </w:rPr>
                            </w:pPr>
                            <w:r>
                              <w:rPr>
                                <w:color w:val="0F0F0F"/>
                                <w:w w:val="105"/>
                                <w:sz w:val="17"/>
                              </w:rPr>
                              <w:t>CCTV</w:t>
                            </w:r>
                            <w:r>
                              <w:rPr>
                                <w:color w:val="0F0F0F"/>
                                <w:spacing w:val="-6"/>
                                <w:w w:val="105"/>
                                <w:sz w:val="17"/>
                              </w:rPr>
                              <w:t> </w:t>
                            </w:r>
                            <w:r>
                              <w:rPr>
                                <w:color w:val="0F0F0F"/>
                                <w:spacing w:val="-2"/>
                                <w:w w:val="105"/>
                                <w:sz w:val="17"/>
                              </w:rPr>
                              <w:t>Reserve</w:t>
                            </w:r>
                          </w:p>
                        </w:tc>
                        <w:tc>
                          <w:tcPr>
                            <w:tcW w:w="1886" w:type="dxa"/>
                          </w:tcPr>
                          <w:p>
                            <w:pPr>
                              <w:pStyle w:val="TableParagraph"/>
                              <w:spacing w:before="19" w:line="177" w:lineRule="exact"/>
                              <w:ind w:right="558"/>
                              <w:jc w:val="right"/>
                              <w:rPr>
                                <w:b/>
                                <w:sz w:val="18"/>
                              </w:rPr>
                            </w:pPr>
                            <w:r>
                              <w:rPr>
                                <w:b/>
                                <w:color w:val="0F0F0F"/>
                                <w:spacing w:val="-2"/>
                                <w:sz w:val="18"/>
                              </w:rPr>
                              <w:t>(114)</w:t>
                            </w:r>
                          </w:p>
                        </w:tc>
                      </w:tr>
                      <w:tr>
                        <w:trPr>
                          <w:trHeight w:val="213" w:hRule="atLeast"/>
                        </w:trPr>
                        <w:tc>
                          <w:tcPr>
                            <w:tcW w:w="5825" w:type="dxa"/>
                          </w:tcPr>
                          <w:p>
                            <w:pPr>
                              <w:pStyle w:val="TableParagraph"/>
                              <w:spacing w:line="181" w:lineRule="exact"/>
                              <w:ind w:left="54"/>
                              <w:rPr>
                                <w:sz w:val="17"/>
                              </w:rPr>
                            </w:pPr>
                            <w:r>
                              <w:rPr>
                                <w:color w:val="0F0F0F"/>
                                <w:w w:val="105"/>
                                <w:sz w:val="17"/>
                              </w:rPr>
                              <w:t>Civic</w:t>
                            </w:r>
                            <w:r>
                              <w:rPr>
                                <w:color w:val="0F0F0F"/>
                                <w:spacing w:val="-5"/>
                                <w:w w:val="105"/>
                                <w:sz w:val="17"/>
                              </w:rPr>
                              <w:t> </w:t>
                            </w:r>
                            <w:r>
                              <w:rPr>
                                <w:color w:val="0F0F0F"/>
                                <w:w w:val="105"/>
                                <w:sz w:val="17"/>
                              </w:rPr>
                              <w:t>Offices</w:t>
                            </w:r>
                            <w:r>
                              <w:rPr>
                                <w:color w:val="0F0F0F"/>
                                <w:spacing w:val="3"/>
                                <w:w w:val="105"/>
                                <w:sz w:val="17"/>
                              </w:rPr>
                              <w:t> </w:t>
                            </w:r>
                            <w:r>
                              <w:rPr>
                                <w:color w:val="0F0F0F"/>
                                <w:w w:val="105"/>
                                <w:sz w:val="17"/>
                              </w:rPr>
                              <w:t>Sinking</w:t>
                            </w:r>
                            <w:r>
                              <w:rPr>
                                <w:color w:val="0F0F0F"/>
                                <w:spacing w:val="-2"/>
                                <w:w w:val="105"/>
                                <w:sz w:val="17"/>
                              </w:rPr>
                              <w:t> </w:t>
                            </w:r>
                            <w:r>
                              <w:rPr>
                                <w:color w:val="0F0F0F"/>
                                <w:spacing w:val="-4"/>
                                <w:w w:val="105"/>
                                <w:sz w:val="17"/>
                              </w:rPr>
                              <w:t>Fund</w:t>
                            </w:r>
                          </w:p>
                        </w:tc>
                        <w:tc>
                          <w:tcPr>
                            <w:tcW w:w="1886" w:type="dxa"/>
                          </w:tcPr>
                          <w:p>
                            <w:pPr>
                              <w:pStyle w:val="TableParagraph"/>
                              <w:spacing w:before="19" w:line="175" w:lineRule="exact"/>
                              <w:ind w:right="558"/>
                              <w:jc w:val="right"/>
                              <w:rPr>
                                <w:b/>
                                <w:sz w:val="18"/>
                              </w:rPr>
                            </w:pPr>
                            <w:r>
                              <w:rPr>
                                <w:b/>
                                <w:color w:val="0F0F0F"/>
                                <w:spacing w:val="-2"/>
                                <w:sz w:val="18"/>
                              </w:rPr>
                              <w:t>(347)</w:t>
                            </w:r>
                          </w:p>
                        </w:tc>
                      </w:tr>
                      <w:tr>
                        <w:trPr>
                          <w:trHeight w:val="218" w:hRule="atLeast"/>
                        </w:trPr>
                        <w:tc>
                          <w:tcPr>
                            <w:tcW w:w="5825" w:type="dxa"/>
                          </w:tcPr>
                          <w:p>
                            <w:pPr>
                              <w:pStyle w:val="TableParagraph"/>
                              <w:spacing w:line="178" w:lineRule="exact"/>
                              <w:ind w:left="54"/>
                              <w:rPr>
                                <w:sz w:val="17"/>
                              </w:rPr>
                            </w:pPr>
                            <w:r>
                              <w:rPr>
                                <w:color w:val="0F0F0F"/>
                                <w:w w:val="105"/>
                                <w:sz w:val="17"/>
                              </w:rPr>
                              <w:t>Corporate</w:t>
                            </w:r>
                            <w:r>
                              <w:rPr>
                                <w:color w:val="0F0F0F"/>
                                <w:spacing w:val="-7"/>
                                <w:w w:val="105"/>
                                <w:sz w:val="17"/>
                              </w:rPr>
                              <w:t> </w:t>
                            </w:r>
                            <w:r>
                              <w:rPr>
                                <w:color w:val="0F0F0F"/>
                                <w:spacing w:val="-2"/>
                                <w:w w:val="105"/>
                                <w:sz w:val="17"/>
                              </w:rPr>
                              <w:t>Consultation</w:t>
                            </w:r>
                          </w:p>
                        </w:tc>
                        <w:tc>
                          <w:tcPr>
                            <w:tcW w:w="1886" w:type="dxa"/>
                          </w:tcPr>
                          <w:p>
                            <w:pPr>
                              <w:pStyle w:val="TableParagraph"/>
                              <w:spacing w:before="21" w:line="177" w:lineRule="exact"/>
                              <w:ind w:right="558"/>
                              <w:jc w:val="right"/>
                              <w:rPr>
                                <w:b/>
                                <w:sz w:val="18"/>
                              </w:rPr>
                            </w:pPr>
                            <w:r>
                              <w:rPr>
                                <w:b/>
                                <w:color w:val="0F0F0F"/>
                                <w:spacing w:val="-2"/>
                                <w:sz w:val="18"/>
                              </w:rPr>
                              <w:t>(202)</w:t>
                            </w:r>
                          </w:p>
                        </w:tc>
                      </w:tr>
                      <w:tr>
                        <w:trPr>
                          <w:trHeight w:val="211" w:hRule="atLeast"/>
                        </w:trPr>
                        <w:tc>
                          <w:tcPr>
                            <w:tcW w:w="5825" w:type="dxa"/>
                          </w:tcPr>
                          <w:p>
                            <w:pPr>
                              <w:pStyle w:val="TableParagraph"/>
                              <w:spacing w:line="181" w:lineRule="exact"/>
                              <w:ind w:left="54"/>
                              <w:rPr>
                                <w:sz w:val="17"/>
                              </w:rPr>
                            </w:pPr>
                            <w:r>
                              <w:rPr>
                                <w:color w:val="0F0F0F"/>
                                <w:w w:val="105"/>
                                <w:sz w:val="17"/>
                              </w:rPr>
                              <w:t>Council</w:t>
                            </w:r>
                            <w:r>
                              <w:rPr>
                                <w:color w:val="0F0F0F"/>
                                <w:spacing w:val="-3"/>
                                <w:w w:val="105"/>
                                <w:sz w:val="17"/>
                              </w:rPr>
                              <w:t> </w:t>
                            </w:r>
                            <w:r>
                              <w:rPr>
                                <w:color w:val="0F0F0F"/>
                                <w:w w:val="105"/>
                                <w:sz w:val="17"/>
                              </w:rPr>
                              <w:t>Contribution to</w:t>
                            </w:r>
                            <w:r>
                              <w:rPr>
                                <w:color w:val="0F0F0F"/>
                                <w:spacing w:val="-10"/>
                                <w:w w:val="105"/>
                                <w:sz w:val="17"/>
                              </w:rPr>
                              <w:t> </w:t>
                            </w:r>
                            <w:r>
                              <w:rPr>
                                <w:color w:val="0F0F0F"/>
                                <w:w w:val="105"/>
                                <w:sz w:val="17"/>
                              </w:rPr>
                              <w:t>Pension</w:t>
                            </w:r>
                            <w:r>
                              <w:rPr>
                                <w:color w:val="0F0F0F"/>
                                <w:spacing w:val="-6"/>
                                <w:w w:val="105"/>
                                <w:sz w:val="17"/>
                              </w:rPr>
                              <w:t> </w:t>
                            </w:r>
                            <w:r>
                              <w:rPr>
                                <w:color w:val="0F0F0F"/>
                                <w:spacing w:val="-4"/>
                                <w:w w:val="105"/>
                                <w:sz w:val="17"/>
                              </w:rPr>
                              <w:t>Fund</w:t>
                            </w:r>
                          </w:p>
                        </w:tc>
                        <w:tc>
                          <w:tcPr>
                            <w:tcW w:w="1886" w:type="dxa"/>
                          </w:tcPr>
                          <w:p>
                            <w:pPr>
                              <w:pStyle w:val="TableParagraph"/>
                              <w:spacing w:before="19" w:line="173" w:lineRule="exact"/>
                              <w:ind w:right="558"/>
                              <w:jc w:val="right"/>
                              <w:rPr>
                                <w:b/>
                                <w:sz w:val="18"/>
                              </w:rPr>
                            </w:pPr>
                            <w:r>
                              <w:rPr>
                                <w:b/>
                                <w:color w:val="0F0F0F"/>
                                <w:spacing w:val="-2"/>
                                <w:sz w:val="18"/>
                              </w:rPr>
                              <w:t>(345)</w:t>
                            </w:r>
                          </w:p>
                        </w:tc>
                      </w:tr>
                      <w:tr>
                        <w:trPr>
                          <w:trHeight w:val="405" w:hRule="atLeast"/>
                        </w:trPr>
                        <w:tc>
                          <w:tcPr>
                            <w:tcW w:w="5825" w:type="dxa"/>
                          </w:tcPr>
                          <w:p>
                            <w:pPr>
                              <w:pStyle w:val="TableParagraph"/>
                              <w:spacing w:line="176" w:lineRule="exact"/>
                              <w:ind w:left="54"/>
                              <w:rPr>
                                <w:sz w:val="17"/>
                              </w:rPr>
                            </w:pPr>
                            <w:r>
                              <w:rPr>
                                <w:color w:val="0F0F0F"/>
                                <w:sz w:val="17"/>
                              </w:rPr>
                              <w:t>Covid-</w:t>
                            </w:r>
                            <w:r>
                              <w:rPr>
                                <w:color w:val="0F0F0F"/>
                                <w:spacing w:val="-5"/>
                                <w:sz w:val="17"/>
                              </w:rPr>
                              <w:t>19</w:t>
                            </w:r>
                          </w:p>
                          <w:p>
                            <w:pPr>
                              <w:pStyle w:val="TableParagraph"/>
                              <w:spacing w:before="21" w:line="189" w:lineRule="exact"/>
                              <w:ind w:left="50"/>
                              <w:rPr>
                                <w:sz w:val="17"/>
                              </w:rPr>
                            </w:pPr>
                            <w:r>
                              <w:rPr>
                                <w:color w:val="0F0F0F"/>
                                <w:w w:val="105"/>
                                <w:sz w:val="17"/>
                              </w:rPr>
                              <w:t>EFS</w:t>
                            </w:r>
                            <w:r>
                              <w:rPr>
                                <w:color w:val="0F0F0F"/>
                                <w:spacing w:val="-3"/>
                                <w:w w:val="105"/>
                                <w:sz w:val="17"/>
                              </w:rPr>
                              <w:t> </w:t>
                            </w:r>
                            <w:r>
                              <w:rPr>
                                <w:color w:val="0F0F0F"/>
                                <w:w w:val="105"/>
                                <w:sz w:val="17"/>
                              </w:rPr>
                              <w:t>Sinking</w:t>
                            </w:r>
                            <w:r>
                              <w:rPr>
                                <w:color w:val="0F0F0F"/>
                                <w:spacing w:val="-1"/>
                                <w:w w:val="105"/>
                                <w:sz w:val="17"/>
                              </w:rPr>
                              <w:t> </w:t>
                            </w:r>
                            <w:r>
                              <w:rPr>
                                <w:color w:val="0F0F0F"/>
                                <w:spacing w:val="-4"/>
                                <w:w w:val="105"/>
                                <w:sz w:val="17"/>
                              </w:rPr>
                              <w:t>Fund</w:t>
                            </w:r>
                          </w:p>
                        </w:tc>
                        <w:tc>
                          <w:tcPr>
                            <w:tcW w:w="1886" w:type="dxa"/>
                          </w:tcPr>
                          <w:p>
                            <w:pPr>
                              <w:pStyle w:val="TableParagraph"/>
                              <w:spacing w:before="23"/>
                              <w:ind w:right="558"/>
                              <w:jc w:val="right"/>
                              <w:rPr>
                                <w:b/>
                                <w:sz w:val="18"/>
                              </w:rPr>
                            </w:pPr>
                            <w:r>
                              <w:rPr>
                                <w:b/>
                                <w:color w:val="0F0F0F"/>
                                <w:spacing w:val="-2"/>
                                <w:sz w:val="18"/>
                              </w:rPr>
                              <w:t>(590)</w:t>
                            </w:r>
                          </w:p>
                        </w:tc>
                      </w:tr>
                      <w:tr>
                        <w:trPr>
                          <w:trHeight w:val="241" w:hRule="atLeast"/>
                        </w:trPr>
                        <w:tc>
                          <w:tcPr>
                            <w:tcW w:w="5825" w:type="dxa"/>
                          </w:tcPr>
                          <w:p>
                            <w:pPr>
                              <w:pStyle w:val="TableParagraph"/>
                              <w:spacing w:before="7"/>
                              <w:ind w:left="50"/>
                              <w:rPr>
                                <w:sz w:val="17"/>
                              </w:rPr>
                            </w:pPr>
                            <w:r>
                              <w:rPr>
                                <w:color w:val="0F0F0F"/>
                                <w:w w:val="105"/>
                                <w:sz w:val="17"/>
                              </w:rPr>
                              <w:t>Elections</w:t>
                            </w:r>
                            <w:r>
                              <w:rPr>
                                <w:color w:val="0F0F0F"/>
                                <w:spacing w:val="3"/>
                                <w:w w:val="105"/>
                                <w:sz w:val="17"/>
                              </w:rPr>
                              <w:t> </w:t>
                            </w:r>
                            <w:r>
                              <w:rPr>
                                <w:color w:val="0F0F0F"/>
                                <w:spacing w:val="-2"/>
                                <w:w w:val="105"/>
                                <w:sz w:val="17"/>
                              </w:rPr>
                              <w:t>Reserve</w:t>
                            </w:r>
                          </w:p>
                        </w:tc>
                        <w:tc>
                          <w:tcPr>
                            <w:tcW w:w="1886" w:type="dxa"/>
                          </w:tcPr>
                          <w:p>
                            <w:pPr>
                              <w:pStyle w:val="TableParagraph"/>
                              <w:spacing w:before="46" w:line="175" w:lineRule="exact"/>
                              <w:ind w:right="555"/>
                              <w:jc w:val="right"/>
                              <w:rPr>
                                <w:b/>
                                <w:sz w:val="18"/>
                              </w:rPr>
                            </w:pPr>
                            <w:r>
                              <w:rPr>
                                <w:b/>
                                <w:color w:val="0F0F0F"/>
                                <w:spacing w:val="-4"/>
                                <w:sz w:val="18"/>
                              </w:rPr>
                              <w:t>(36)</w:t>
                            </w:r>
                          </w:p>
                        </w:tc>
                      </w:tr>
                      <w:tr>
                        <w:trPr>
                          <w:trHeight w:val="213" w:hRule="atLeast"/>
                        </w:trPr>
                        <w:tc>
                          <w:tcPr>
                            <w:tcW w:w="5825" w:type="dxa"/>
                          </w:tcPr>
                          <w:p>
                            <w:pPr>
                              <w:pStyle w:val="TableParagraph"/>
                              <w:spacing w:line="178" w:lineRule="exact"/>
                              <w:ind w:left="54"/>
                              <w:rPr>
                                <w:sz w:val="17"/>
                              </w:rPr>
                            </w:pPr>
                            <w:r>
                              <w:rPr>
                                <w:color w:val="0F0F0F"/>
                                <w:w w:val="105"/>
                                <w:sz w:val="17"/>
                              </w:rPr>
                              <w:t>Emergency</w:t>
                            </w:r>
                            <w:r>
                              <w:rPr>
                                <w:color w:val="0F0F0F"/>
                                <w:spacing w:val="2"/>
                                <w:w w:val="105"/>
                                <w:sz w:val="17"/>
                              </w:rPr>
                              <w:t> </w:t>
                            </w:r>
                            <w:r>
                              <w:rPr>
                                <w:color w:val="0F0F0F"/>
                                <w:spacing w:val="-2"/>
                                <w:w w:val="105"/>
                                <w:sz w:val="17"/>
                              </w:rPr>
                              <w:t>Funding</w:t>
                            </w:r>
                          </w:p>
                        </w:tc>
                        <w:tc>
                          <w:tcPr>
                            <w:tcW w:w="1886" w:type="dxa"/>
                          </w:tcPr>
                          <w:p>
                            <w:pPr>
                              <w:pStyle w:val="TableParagraph"/>
                              <w:spacing w:before="16" w:line="177" w:lineRule="exact"/>
                              <w:ind w:right="561"/>
                              <w:jc w:val="right"/>
                              <w:rPr>
                                <w:b/>
                                <w:sz w:val="18"/>
                              </w:rPr>
                            </w:pPr>
                            <w:r>
                              <w:rPr>
                                <w:b/>
                                <w:color w:val="0F0F0F"/>
                                <w:spacing w:val="-2"/>
                                <w:sz w:val="18"/>
                              </w:rPr>
                              <w:t>(1,496)</w:t>
                            </w:r>
                          </w:p>
                        </w:tc>
                      </w:tr>
                      <w:tr>
                        <w:trPr>
                          <w:trHeight w:val="218" w:hRule="atLeast"/>
                        </w:trPr>
                        <w:tc>
                          <w:tcPr>
                            <w:tcW w:w="5825" w:type="dxa"/>
                          </w:tcPr>
                          <w:p>
                            <w:pPr>
                              <w:pStyle w:val="TableParagraph"/>
                              <w:spacing w:line="181" w:lineRule="exact"/>
                              <w:ind w:left="54"/>
                              <w:rPr>
                                <w:sz w:val="17"/>
                              </w:rPr>
                            </w:pPr>
                            <w:r>
                              <w:rPr>
                                <w:color w:val="0F0F0F"/>
                                <w:w w:val="105"/>
                                <w:sz w:val="17"/>
                              </w:rPr>
                              <w:t>EWC</w:t>
                            </w:r>
                            <w:r>
                              <w:rPr>
                                <w:color w:val="0F0F0F"/>
                                <w:spacing w:val="-4"/>
                                <w:w w:val="105"/>
                                <w:sz w:val="17"/>
                              </w:rPr>
                              <w:t> </w:t>
                            </w:r>
                            <w:r>
                              <w:rPr>
                                <w:color w:val="0F0F0F"/>
                                <w:w w:val="105"/>
                                <w:sz w:val="17"/>
                              </w:rPr>
                              <w:t>Housing</w:t>
                            </w:r>
                            <w:r>
                              <w:rPr>
                                <w:color w:val="0F0F0F"/>
                                <w:spacing w:val="-4"/>
                                <w:w w:val="105"/>
                                <w:sz w:val="17"/>
                              </w:rPr>
                              <w:t> Zone</w:t>
                            </w:r>
                          </w:p>
                        </w:tc>
                        <w:tc>
                          <w:tcPr>
                            <w:tcW w:w="1886" w:type="dxa"/>
                          </w:tcPr>
                          <w:p>
                            <w:pPr>
                              <w:pStyle w:val="TableParagraph"/>
                              <w:spacing w:before="23" w:line="175" w:lineRule="exact"/>
                              <w:ind w:right="558"/>
                              <w:jc w:val="right"/>
                              <w:rPr>
                                <w:b/>
                                <w:sz w:val="18"/>
                              </w:rPr>
                            </w:pPr>
                            <w:r>
                              <w:rPr>
                                <w:b/>
                                <w:color w:val="0F0F0F"/>
                                <w:spacing w:val="-2"/>
                                <w:sz w:val="18"/>
                              </w:rPr>
                              <w:t>(155)</w:t>
                            </w:r>
                          </w:p>
                        </w:tc>
                      </w:tr>
                      <w:tr>
                        <w:trPr>
                          <w:trHeight w:val="209" w:hRule="atLeast"/>
                        </w:trPr>
                        <w:tc>
                          <w:tcPr>
                            <w:tcW w:w="5825" w:type="dxa"/>
                          </w:tcPr>
                          <w:p>
                            <w:pPr>
                              <w:pStyle w:val="TableParagraph"/>
                              <w:spacing w:line="178" w:lineRule="exact"/>
                              <w:ind w:left="54"/>
                              <w:rPr>
                                <w:sz w:val="17"/>
                              </w:rPr>
                            </w:pPr>
                            <w:r>
                              <w:rPr>
                                <w:color w:val="0F0F0F"/>
                                <w:w w:val="105"/>
                                <w:sz w:val="17"/>
                              </w:rPr>
                              <w:t>Fishers</w:t>
                            </w:r>
                            <w:r>
                              <w:rPr>
                                <w:color w:val="0F0F0F"/>
                                <w:spacing w:val="3"/>
                                <w:w w:val="105"/>
                                <w:sz w:val="17"/>
                              </w:rPr>
                              <w:t> </w:t>
                            </w:r>
                            <w:r>
                              <w:rPr>
                                <w:color w:val="0F0F0F"/>
                                <w:w w:val="105"/>
                                <w:sz w:val="17"/>
                              </w:rPr>
                              <w:t>Park Play</w:t>
                            </w:r>
                            <w:r>
                              <w:rPr>
                                <w:color w:val="0F0F0F"/>
                                <w:spacing w:val="-4"/>
                                <w:w w:val="105"/>
                                <w:sz w:val="17"/>
                              </w:rPr>
                              <w:t> Area</w:t>
                            </w:r>
                          </w:p>
                        </w:tc>
                        <w:tc>
                          <w:tcPr>
                            <w:tcW w:w="1886" w:type="dxa"/>
                          </w:tcPr>
                          <w:p>
                            <w:pPr>
                              <w:pStyle w:val="TableParagraph"/>
                              <w:spacing w:before="11" w:line="177" w:lineRule="exact"/>
                              <w:ind w:right="558"/>
                              <w:jc w:val="right"/>
                              <w:rPr>
                                <w:b/>
                                <w:sz w:val="18"/>
                              </w:rPr>
                            </w:pPr>
                            <w:r>
                              <w:rPr>
                                <w:b/>
                                <w:color w:val="0F0F0F"/>
                                <w:spacing w:val="-2"/>
                                <w:sz w:val="18"/>
                              </w:rPr>
                              <w:t>(103)</w:t>
                            </w:r>
                          </w:p>
                        </w:tc>
                      </w:tr>
                      <w:tr>
                        <w:trPr>
                          <w:trHeight w:val="216" w:hRule="atLeast"/>
                        </w:trPr>
                        <w:tc>
                          <w:tcPr>
                            <w:tcW w:w="5825" w:type="dxa"/>
                          </w:tcPr>
                          <w:p>
                            <w:pPr>
                              <w:pStyle w:val="TableParagraph"/>
                              <w:spacing w:line="181" w:lineRule="exact"/>
                              <w:ind w:left="54"/>
                              <w:rPr>
                                <w:sz w:val="17"/>
                              </w:rPr>
                            </w:pPr>
                            <w:r>
                              <w:rPr>
                                <w:color w:val="0F0F0F"/>
                                <w:w w:val="105"/>
                                <w:sz w:val="17"/>
                              </w:rPr>
                              <w:t>Flexible</w:t>
                            </w:r>
                            <w:r>
                              <w:rPr>
                                <w:color w:val="0F0F0F"/>
                                <w:spacing w:val="-4"/>
                                <w:w w:val="105"/>
                                <w:sz w:val="17"/>
                              </w:rPr>
                              <w:t> </w:t>
                            </w:r>
                            <w:r>
                              <w:rPr>
                                <w:color w:val="0F0F0F"/>
                                <w:w w:val="105"/>
                                <w:sz w:val="17"/>
                              </w:rPr>
                              <w:t>Homeless</w:t>
                            </w:r>
                            <w:r>
                              <w:rPr>
                                <w:color w:val="0F0F0F"/>
                                <w:spacing w:val="6"/>
                                <w:w w:val="105"/>
                                <w:sz w:val="17"/>
                              </w:rPr>
                              <w:t> </w:t>
                            </w:r>
                            <w:r>
                              <w:rPr>
                                <w:color w:val="0F0F0F"/>
                                <w:spacing w:val="-2"/>
                                <w:w w:val="105"/>
                                <w:sz w:val="17"/>
                              </w:rPr>
                              <w:t>Support</w:t>
                            </w:r>
                          </w:p>
                        </w:tc>
                        <w:tc>
                          <w:tcPr>
                            <w:tcW w:w="1886" w:type="dxa"/>
                          </w:tcPr>
                          <w:p>
                            <w:pPr>
                              <w:pStyle w:val="TableParagraph"/>
                              <w:spacing w:before="14" w:line="182" w:lineRule="exact"/>
                              <w:ind w:right="558"/>
                              <w:jc w:val="right"/>
                              <w:rPr>
                                <w:b/>
                                <w:sz w:val="18"/>
                              </w:rPr>
                            </w:pPr>
                            <w:r>
                              <w:rPr>
                                <w:b/>
                                <w:color w:val="0F0F0F"/>
                                <w:spacing w:val="-2"/>
                                <w:sz w:val="18"/>
                              </w:rPr>
                              <w:t>(114)</w:t>
                            </w:r>
                          </w:p>
                        </w:tc>
                      </w:tr>
                      <w:tr>
                        <w:trPr>
                          <w:trHeight w:val="209" w:hRule="atLeast"/>
                        </w:trPr>
                        <w:tc>
                          <w:tcPr>
                            <w:tcW w:w="5825" w:type="dxa"/>
                          </w:tcPr>
                          <w:p>
                            <w:pPr>
                              <w:pStyle w:val="TableParagraph"/>
                              <w:spacing w:line="185" w:lineRule="exact"/>
                              <w:ind w:left="54"/>
                              <w:rPr>
                                <w:sz w:val="17"/>
                              </w:rPr>
                            </w:pPr>
                            <w:r>
                              <w:rPr>
                                <w:color w:val="0F0F0F"/>
                                <w:w w:val="105"/>
                                <w:sz w:val="17"/>
                              </w:rPr>
                              <w:t>Housing</w:t>
                            </w:r>
                            <w:r>
                              <w:rPr>
                                <w:color w:val="0F0F0F"/>
                                <w:spacing w:val="-1"/>
                                <w:w w:val="105"/>
                                <w:sz w:val="17"/>
                              </w:rPr>
                              <w:t> </w:t>
                            </w:r>
                            <w:r>
                              <w:rPr>
                                <w:color w:val="0F0F0F"/>
                                <w:w w:val="105"/>
                                <w:sz w:val="17"/>
                              </w:rPr>
                              <w:t>&amp;</w:t>
                            </w:r>
                            <w:r>
                              <w:rPr>
                                <w:color w:val="0F0F0F"/>
                                <w:spacing w:val="-6"/>
                                <w:w w:val="105"/>
                                <w:sz w:val="17"/>
                              </w:rPr>
                              <w:t> </w:t>
                            </w:r>
                            <w:r>
                              <w:rPr>
                                <w:color w:val="0F0F0F"/>
                                <w:w w:val="105"/>
                                <w:sz w:val="17"/>
                              </w:rPr>
                              <w:t>Council</w:t>
                            </w:r>
                            <w:r>
                              <w:rPr>
                                <w:color w:val="0F0F0F"/>
                                <w:spacing w:val="-5"/>
                                <w:w w:val="105"/>
                                <w:sz w:val="17"/>
                              </w:rPr>
                              <w:t> </w:t>
                            </w:r>
                            <w:r>
                              <w:rPr>
                                <w:color w:val="0F0F0F"/>
                                <w:w w:val="105"/>
                                <w:sz w:val="17"/>
                              </w:rPr>
                              <w:t>Tax</w:t>
                            </w:r>
                            <w:r>
                              <w:rPr>
                                <w:color w:val="0F0F0F"/>
                                <w:spacing w:val="-9"/>
                                <w:w w:val="105"/>
                                <w:sz w:val="17"/>
                              </w:rPr>
                              <w:t> </w:t>
                            </w:r>
                            <w:r>
                              <w:rPr>
                                <w:color w:val="0F0F0F"/>
                                <w:w w:val="105"/>
                                <w:sz w:val="17"/>
                              </w:rPr>
                              <w:t>Benefit</w:t>
                            </w:r>
                            <w:r>
                              <w:rPr>
                                <w:color w:val="0F0F0F"/>
                                <w:spacing w:val="1"/>
                                <w:w w:val="105"/>
                                <w:sz w:val="17"/>
                              </w:rPr>
                              <w:t> </w:t>
                            </w:r>
                            <w:r>
                              <w:rPr>
                                <w:color w:val="0F0F0F"/>
                                <w:w w:val="105"/>
                                <w:sz w:val="17"/>
                              </w:rPr>
                              <w:t>Equalisation</w:t>
                            </w:r>
                            <w:r>
                              <w:rPr>
                                <w:color w:val="0F0F0F"/>
                                <w:spacing w:val="5"/>
                                <w:w w:val="105"/>
                                <w:sz w:val="17"/>
                              </w:rPr>
                              <w:t> </w:t>
                            </w:r>
                            <w:r>
                              <w:rPr>
                                <w:color w:val="0F0F0F"/>
                                <w:spacing w:val="-2"/>
                                <w:w w:val="105"/>
                                <w:sz w:val="17"/>
                              </w:rPr>
                              <w:t>Account</w:t>
                            </w:r>
                          </w:p>
                        </w:tc>
                        <w:tc>
                          <w:tcPr>
                            <w:tcW w:w="1886" w:type="dxa"/>
                          </w:tcPr>
                          <w:p>
                            <w:pPr>
                              <w:pStyle w:val="TableParagraph"/>
                              <w:spacing w:before="9" w:line="180" w:lineRule="exact"/>
                              <w:ind w:right="561"/>
                              <w:jc w:val="right"/>
                              <w:rPr>
                                <w:b/>
                                <w:sz w:val="18"/>
                              </w:rPr>
                            </w:pPr>
                            <w:r>
                              <w:rPr>
                                <w:b/>
                                <w:color w:val="0F0F0F"/>
                                <w:spacing w:val="-2"/>
                                <w:sz w:val="18"/>
                              </w:rPr>
                              <w:t>(1,957)</w:t>
                            </w:r>
                          </w:p>
                        </w:tc>
                      </w:tr>
                      <w:tr>
                        <w:trPr>
                          <w:trHeight w:val="221" w:hRule="atLeast"/>
                        </w:trPr>
                        <w:tc>
                          <w:tcPr>
                            <w:tcW w:w="5825" w:type="dxa"/>
                          </w:tcPr>
                          <w:p>
                            <w:pPr>
                              <w:pStyle w:val="TableParagraph"/>
                              <w:spacing w:line="183" w:lineRule="exact"/>
                              <w:ind w:left="54"/>
                              <w:rPr>
                                <w:sz w:val="17"/>
                              </w:rPr>
                            </w:pPr>
                            <w:r>
                              <w:rPr>
                                <w:color w:val="0F0F0F"/>
                                <w:w w:val="105"/>
                                <w:sz w:val="17"/>
                              </w:rPr>
                              <w:t>Human</w:t>
                            </w:r>
                            <w:r>
                              <w:rPr>
                                <w:color w:val="0F0F0F"/>
                                <w:spacing w:val="-8"/>
                                <w:w w:val="105"/>
                                <w:sz w:val="17"/>
                              </w:rPr>
                              <w:t> </w:t>
                            </w:r>
                            <w:r>
                              <w:rPr>
                                <w:color w:val="0F0F0F"/>
                                <w:w w:val="105"/>
                                <w:sz w:val="17"/>
                              </w:rPr>
                              <w:t>Resources</w:t>
                            </w:r>
                            <w:r>
                              <w:rPr>
                                <w:color w:val="0F0F0F"/>
                                <w:spacing w:val="5"/>
                                <w:w w:val="105"/>
                                <w:sz w:val="17"/>
                              </w:rPr>
                              <w:t> </w:t>
                            </w:r>
                            <w:r>
                              <w:rPr>
                                <w:color w:val="0F0F0F"/>
                                <w:spacing w:val="-2"/>
                                <w:w w:val="105"/>
                                <w:sz w:val="17"/>
                              </w:rPr>
                              <w:t>strategy</w:t>
                            </w:r>
                          </w:p>
                        </w:tc>
                        <w:tc>
                          <w:tcPr>
                            <w:tcW w:w="1886" w:type="dxa"/>
                          </w:tcPr>
                          <w:p>
                            <w:pPr>
                              <w:pStyle w:val="TableParagraph"/>
                              <w:spacing w:before="16" w:line="185" w:lineRule="exact"/>
                              <w:ind w:right="558"/>
                              <w:jc w:val="right"/>
                              <w:rPr>
                                <w:b/>
                                <w:sz w:val="18"/>
                              </w:rPr>
                            </w:pPr>
                            <w:r>
                              <w:rPr>
                                <w:b/>
                                <w:color w:val="0F0F0F"/>
                                <w:spacing w:val="-2"/>
                                <w:sz w:val="18"/>
                              </w:rPr>
                              <w:t>(181)</w:t>
                            </w:r>
                          </w:p>
                        </w:tc>
                      </w:tr>
                      <w:tr>
                        <w:trPr>
                          <w:trHeight w:val="211" w:hRule="atLeast"/>
                        </w:trPr>
                        <w:tc>
                          <w:tcPr>
                            <w:tcW w:w="5825" w:type="dxa"/>
                          </w:tcPr>
                          <w:p>
                            <w:pPr>
                              <w:pStyle w:val="TableParagraph"/>
                              <w:spacing w:line="188" w:lineRule="exact"/>
                              <w:ind w:left="57"/>
                              <w:rPr>
                                <w:sz w:val="17"/>
                              </w:rPr>
                            </w:pPr>
                            <w:r>
                              <w:rPr>
                                <w:color w:val="0F0F0F"/>
                                <w:w w:val="105"/>
                                <w:sz w:val="17"/>
                              </w:rPr>
                              <w:t>Information</w:t>
                            </w:r>
                            <w:r>
                              <w:rPr>
                                <w:color w:val="0F0F0F"/>
                                <w:spacing w:val="2"/>
                                <w:w w:val="105"/>
                                <w:sz w:val="17"/>
                              </w:rPr>
                              <w:t> </w:t>
                            </w:r>
                            <w:r>
                              <w:rPr>
                                <w:color w:val="0F0F0F"/>
                                <w:w w:val="105"/>
                                <w:sz w:val="17"/>
                              </w:rPr>
                              <w:t>Services</w:t>
                            </w:r>
                            <w:r>
                              <w:rPr>
                                <w:color w:val="0F0F0F"/>
                                <w:spacing w:val="-1"/>
                                <w:w w:val="105"/>
                                <w:sz w:val="17"/>
                              </w:rPr>
                              <w:t> </w:t>
                            </w:r>
                            <w:r>
                              <w:rPr>
                                <w:color w:val="0F0F0F"/>
                                <w:w w:val="105"/>
                                <w:sz w:val="17"/>
                              </w:rPr>
                              <w:t>-</w:t>
                            </w:r>
                            <w:r>
                              <w:rPr>
                                <w:color w:val="0F0F0F"/>
                                <w:spacing w:val="-5"/>
                                <w:w w:val="105"/>
                                <w:sz w:val="17"/>
                              </w:rPr>
                              <w:t> </w:t>
                            </w:r>
                            <w:r>
                              <w:rPr>
                                <w:color w:val="0F0F0F"/>
                                <w:w w:val="105"/>
                                <w:sz w:val="17"/>
                              </w:rPr>
                              <w:t>Infrastructure</w:t>
                            </w:r>
                            <w:r>
                              <w:rPr>
                                <w:color w:val="0F0F0F"/>
                                <w:spacing w:val="-16"/>
                                <w:w w:val="105"/>
                                <w:sz w:val="17"/>
                              </w:rPr>
                              <w:t> </w:t>
                            </w:r>
                            <w:r>
                              <w:rPr>
                                <w:color w:val="0F0F0F"/>
                                <w:spacing w:val="-2"/>
                                <w:w w:val="105"/>
                                <w:sz w:val="17"/>
                              </w:rPr>
                              <w:t>Replacement</w:t>
                            </w:r>
                          </w:p>
                        </w:tc>
                        <w:tc>
                          <w:tcPr>
                            <w:tcW w:w="1886" w:type="dxa"/>
                          </w:tcPr>
                          <w:p>
                            <w:pPr>
                              <w:pStyle w:val="TableParagraph"/>
                              <w:spacing w:before="11" w:line="180" w:lineRule="exact"/>
                              <w:ind w:right="553"/>
                              <w:jc w:val="right"/>
                              <w:rPr>
                                <w:b/>
                                <w:sz w:val="18"/>
                              </w:rPr>
                            </w:pPr>
                            <w:r>
                              <w:rPr>
                                <w:b/>
                                <w:color w:val="0F0F0F"/>
                                <w:spacing w:val="-2"/>
                                <w:sz w:val="18"/>
                              </w:rPr>
                              <w:t>(317)</w:t>
                            </w:r>
                          </w:p>
                        </w:tc>
                      </w:tr>
                      <w:tr>
                        <w:trPr>
                          <w:trHeight w:val="211" w:hRule="atLeast"/>
                        </w:trPr>
                        <w:tc>
                          <w:tcPr>
                            <w:tcW w:w="5825" w:type="dxa"/>
                          </w:tcPr>
                          <w:p>
                            <w:pPr>
                              <w:pStyle w:val="TableParagraph"/>
                              <w:spacing w:line="183" w:lineRule="exact"/>
                              <w:ind w:left="57"/>
                              <w:rPr>
                                <w:sz w:val="17"/>
                              </w:rPr>
                            </w:pPr>
                            <w:r>
                              <w:rPr>
                                <w:color w:val="0F0F0F"/>
                                <w:w w:val="105"/>
                                <w:sz w:val="17"/>
                              </w:rPr>
                              <w:t>Innovation</w:t>
                            </w:r>
                            <w:r>
                              <w:rPr>
                                <w:color w:val="0F0F0F"/>
                                <w:spacing w:val="-3"/>
                                <w:w w:val="105"/>
                                <w:sz w:val="17"/>
                              </w:rPr>
                              <w:t> </w:t>
                            </w:r>
                            <w:r>
                              <w:rPr>
                                <w:color w:val="0F0F0F"/>
                                <w:w w:val="105"/>
                                <w:sz w:val="17"/>
                              </w:rPr>
                              <w:t>and</w:t>
                            </w:r>
                            <w:r>
                              <w:rPr>
                                <w:color w:val="0F0F0F"/>
                                <w:spacing w:val="-13"/>
                                <w:w w:val="105"/>
                                <w:sz w:val="17"/>
                              </w:rPr>
                              <w:t> </w:t>
                            </w:r>
                            <w:r>
                              <w:rPr>
                                <w:color w:val="0F0F0F"/>
                                <w:w w:val="105"/>
                                <w:sz w:val="17"/>
                              </w:rPr>
                              <w:t>Investment</w:t>
                            </w:r>
                            <w:r>
                              <w:rPr>
                                <w:color w:val="0F0F0F"/>
                                <w:spacing w:val="-3"/>
                                <w:w w:val="105"/>
                                <w:sz w:val="17"/>
                              </w:rPr>
                              <w:t> </w:t>
                            </w:r>
                            <w:r>
                              <w:rPr>
                                <w:color w:val="0F0F0F"/>
                                <w:spacing w:val="-4"/>
                                <w:w w:val="105"/>
                                <w:sz w:val="17"/>
                              </w:rPr>
                              <w:t>fund</w:t>
                            </w:r>
                          </w:p>
                        </w:tc>
                        <w:tc>
                          <w:tcPr>
                            <w:tcW w:w="1886" w:type="dxa"/>
                          </w:tcPr>
                          <w:p>
                            <w:pPr>
                              <w:pStyle w:val="TableParagraph"/>
                              <w:spacing w:before="16" w:line="175" w:lineRule="exact"/>
                              <w:ind w:right="561"/>
                              <w:jc w:val="right"/>
                              <w:rPr>
                                <w:b/>
                                <w:sz w:val="18"/>
                              </w:rPr>
                            </w:pPr>
                            <w:r>
                              <w:rPr>
                                <w:b/>
                                <w:color w:val="0F0F0F"/>
                                <w:spacing w:val="-2"/>
                                <w:sz w:val="18"/>
                              </w:rPr>
                              <w:t>(1,754)</w:t>
                            </w:r>
                          </w:p>
                        </w:tc>
                      </w:tr>
                      <w:tr>
                        <w:trPr>
                          <w:trHeight w:val="410" w:hRule="atLeast"/>
                        </w:trPr>
                        <w:tc>
                          <w:tcPr>
                            <w:tcW w:w="5825" w:type="dxa"/>
                          </w:tcPr>
                          <w:p>
                            <w:pPr>
                              <w:pStyle w:val="TableParagraph"/>
                              <w:spacing w:line="178" w:lineRule="exact"/>
                              <w:ind w:left="55"/>
                              <w:rPr>
                                <w:sz w:val="17"/>
                              </w:rPr>
                            </w:pPr>
                            <w:r>
                              <w:rPr>
                                <w:color w:val="0F0F0F"/>
                                <w:w w:val="105"/>
                                <w:sz w:val="17"/>
                              </w:rPr>
                              <w:t>Land </w:t>
                            </w:r>
                            <w:r>
                              <w:rPr>
                                <w:color w:val="0F0F0F"/>
                                <w:spacing w:val="-2"/>
                                <w:w w:val="105"/>
                                <w:sz w:val="17"/>
                              </w:rPr>
                              <w:t>Drainage</w:t>
                            </w:r>
                          </w:p>
                          <w:p>
                            <w:pPr>
                              <w:pStyle w:val="TableParagraph"/>
                              <w:spacing w:before="21" w:line="191" w:lineRule="exact"/>
                              <w:ind w:left="60"/>
                              <w:rPr>
                                <w:sz w:val="17"/>
                              </w:rPr>
                            </w:pPr>
                            <w:r>
                              <w:rPr>
                                <w:color w:val="0F0F0F"/>
                                <w:w w:val="105"/>
                                <w:sz w:val="17"/>
                              </w:rPr>
                              <w:t>LDS</w:t>
                            </w:r>
                            <w:r>
                              <w:rPr>
                                <w:color w:val="0F0F0F"/>
                                <w:spacing w:val="-9"/>
                                <w:w w:val="105"/>
                                <w:sz w:val="17"/>
                              </w:rPr>
                              <w:t> </w:t>
                            </w:r>
                            <w:r>
                              <w:rPr>
                                <w:color w:val="0F0F0F"/>
                                <w:spacing w:val="-2"/>
                                <w:w w:val="105"/>
                                <w:sz w:val="17"/>
                              </w:rPr>
                              <w:t>reserve</w:t>
                            </w:r>
                          </w:p>
                        </w:tc>
                        <w:tc>
                          <w:tcPr>
                            <w:tcW w:w="1886" w:type="dxa"/>
                          </w:tcPr>
                          <w:p>
                            <w:pPr>
                              <w:pStyle w:val="TableParagraph"/>
                              <w:spacing w:before="16"/>
                              <w:ind w:right="558"/>
                              <w:jc w:val="right"/>
                              <w:rPr>
                                <w:b/>
                                <w:sz w:val="18"/>
                              </w:rPr>
                            </w:pPr>
                            <w:r>
                              <w:rPr>
                                <w:b/>
                                <w:color w:val="0F0F0F"/>
                                <w:spacing w:val="-2"/>
                                <w:sz w:val="18"/>
                              </w:rPr>
                              <w:t>(308)</w:t>
                            </w:r>
                          </w:p>
                        </w:tc>
                      </w:tr>
                      <w:tr>
                        <w:trPr>
                          <w:trHeight w:val="236" w:hRule="atLeast"/>
                        </w:trPr>
                        <w:tc>
                          <w:tcPr>
                            <w:tcW w:w="5825" w:type="dxa"/>
                          </w:tcPr>
                          <w:p>
                            <w:pPr>
                              <w:pStyle w:val="TableParagraph"/>
                              <w:spacing w:before="10"/>
                              <w:ind w:left="55"/>
                              <w:rPr>
                                <w:sz w:val="17"/>
                              </w:rPr>
                            </w:pPr>
                            <w:r>
                              <w:rPr>
                                <w:color w:val="0F0F0F"/>
                                <w:w w:val="105"/>
                                <w:sz w:val="17"/>
                              </w:rPr>
                              <w:t>Minor</w:t>
                            </w:r>
                            <w:r>
                              <w:rPr>
                                <w:color w:val="0F0F0F"/>
                                <w:spacing w:val="-4"/>
                                <w:w w:val="105"/>
                                <w:sz w:val="17"/>
                              </w:rPr>
                              <w:t> </w:t>
                            </w:r>
                            <w:r>
                              <w:rPr>
                                <w:color w:val="0F0F0F"/>
                                <w:w w:val="105"/>
                                <w:sz w:val="17"/>
                              </w:rPr>
                              <w:t>revenue</w:t>
                            </w:r>
                            <w:r>
                              <w:rPr>
                                <w:color w:val="0F0F0F"/>
                                <w:spacing w:val="4"/>
                                <w:w w:val="105"/>
                                <w:sz w:val="17"/>
                              </w:rPr>
                              <w:t> </w:t>
                            </w:r>
                            <w:r>
                              <w:rPr>
                                <w:color w:val="0F0F0F"/>
                                <w:spacing w:val="-2"/>
                                <w:w w:val="105"/>
                                <w:sz w:val="17"/>
                              </w:rPr>
                              <w:t>grants</w:t>
                            </w:r>
                          </w:p>
                        </w:tc>
                        <w:tc>
                          <w:tcPr>
                            <w:tcW w:w="1886" w:type="dxa"/>
                          </w:tcPr>
                          <w:p>
                            <w:pPr>
                              <w:pStyle w:val="TableParagraph"/>
                              <w:spacing w:before="34" w:line="182" w:lineRule="exact"/>
                              <w:ind w:right="561"/>
                              <w:jc w:val="right"/>
                              <w:rPr>
                                <w:b/>
                                <w:sz w:val="18"/>
                              </w:rPr>
                            </w:pPr>
                            <w:r>
                              <w:rPr>
                                <w:b/>
                                <w:color w:val="0F0F0F"/>
                                <w:spacing w:val="-2"/>
                                <w:sz w:val="18"/>
                              </w:rPr>
                              <w:t>(1,970)</w:t>
                            </w:r>
                          </w:p>
                        </w:tc>
                      </w:tr>
                      <w:tr>
                        <w:trPr>
                          <w:trHeight w:val="209" w:hRule="atLeast"/>
                        </w:trPr>
                        <w:tc>
                          <w:tcPr>
                            <w:tcW w:w="5825" w:type="dxa"/>
                          </w:tcPr>
                          <w:p>
                            <w:pPr>
                              <w:pStyle w:val="TableParagraph"/>
                              <w:spacing w:line="185" w:lineRule="exact"/>
                              <w:ind w:left="55"/>
                              <w:rPr>
                                <w:sz w:val="17"/>
                              </w:rPr>
                            </w:pPr>
                            <w:r>
                              <w:rPr>
                                <w:color w:val="0F0F0F"/>
                                <w:w w:val="105"/>
                                <w:sz w:val="17"/>
                              </w:rPr>
                              <w:t>New</w:t>
                            </w:r>
                            <w:r>
                              <w:rPr>
                                <w:color w:val="0F0F0F"/>
                                <w:spacing w:val="-8"/>
                                <w:w w:val="105"/>
                                <w:sz w:val="17"/>
                              </w:rPr>
                              <w:t> </w:t>
                            </w:r>
                            <w:r>
                              <w:rPr>
                                <w:color w:val="0F0F0F"/>
                                <w:w w:val="105"/>
                                <w:sz w:val="17"/>
                              </w:rPr>
                              <w:t>Homes</w:t>
                            </w:r>
                            <w:r>
                              <w:rPr>
                                <w:color w:val="0F0F0F"/>
                                <w:spacing w:val="1"/>
                                <w:w w:val="105"/>
                                <w:sz w:val="17"/>
                              </w:rPr>
                              <w:t> </w:t>
                            </w:r>
                            <w:r>
                              <w:rPr>
                                <w:color w:val="0F0F0F"/>
                                <w:w w:val="105"/>
                                <w:sz w:val="17"/>
                              </w:rPr>
                              <w:t>Bonus</w:t>
                            </w:r>
                            <w:r>
                              <w:rPr>
                                <w:color w:val="0F0F0F"/>
                                <w:spacing w:val="-5"/>
                                <w:w w:val="105"/>
                                <w:sz w:val="17"/>
                              </w:rPr>
                              <w:t> </w:t>
                            </w:r>
                            <w:r>
                              <w:rPr>
                                <w:color w:val="0F0F0F"/>
                                <w:w w:val="105"/>
                                <w:sz w:val="17"/>
                              </w:rPr>
                              <w:t>Equalisation</w:t>
                            </w:r>
                            <w:r>
                              <w:rPr>
                                <w:color w:val="0F0F0F"/>
                                <w:spacing w:val="9"/>
                                <w:w w:val="105"/>
                                <w:sz w:val="17"/>
                              </w:rPr>
                              <w:t> </w:t>
                            </w:r>
                            <w:r>
                              <w:rPr>
                                <w:color w:val="0F0F0F"/>
                                <w:spacing w:val="-2"/>
                                <w:w w:val="105"/>
                                <w:sz w:val="17"/>
                              </w:rPr>
                              <w:t>Reserve</w:t>
                            </w:r>
                          </w:p>
                        </w:tc>
                        <w:tc>
                          <w:tcPr>
                            <w:tcW w:w="1886" w:type="dxa"/>
                          </w:tcPr>
                          <w:p>
                            <w:pPr>
                              <w:pStyle w:val="TableParagraph"/>
                              <w:spacing w:before="9" w:line="180" w:lineRule="exact"/>
                              <w:ind w:right="561"/>
                              <w:jc w:val="right"/>
                              <w:rPr>
                                <w:b/>
                                <w:sz w:val="18"/>
                              </w:rPr>
                            </w:pPr>
                            <w:r>
                              <w:rPr>
                                <w:b/>
                                <w:color w:val="0F0F0F"/>
                                <w:spacing w:val="-2"/>
                                <w:sz w:val="18"/>
                              </w:rPr>
                              <w:t>(3,414)</w:t>
                            </w:r>
                          </w:p>
                        </w:tc>
                      </w:tr>
                      <w:tr>
                        <w:trPr>
                          <w:trHeight w:val="213" w:hRule="atLeast"/>
                        </w:trPr>
                        <w:tc>
                          <w:tcPr>
                            <w:tcW w:w="5825" w:type="dxa"/>
                          </w:tcPr>
                          <w:p>
                            <w:pPr>
                              <w:pStyle w:val="TableParagraph"/>
                              <w:spacing w:line="183" w:lineRule="exact"/>
                              <w:ind w:left="55"/>
                              <w:rPr>
                                <w:sz w:val="17"/>
                              </w:rPr>
                            </w:pPr>
                            <w:r>
                              <w:rPr>
                                <w:color w:val="0F0F0F"/>
                                <w:spacing w:val="-2"/>
                                <w:w w:val="105"/>
                                <w:sz w:val="17"/>
                              </w:rPr>
                              <w:t>Non-recurring</w:t>
                            </w:r>
                            <w:r>
                              <w:rPr>
                                <w:color w:val="0F0F0F"/>
                                <w:spacing w:val="17"/>
                                <w:w w:val="105"/>
                                <w:sz w:val="17"/>
                              </w:rPr>
                              <w:t> </w:t>
                            </w:r>
                            <w:r>
                              <w:rPr>
                                <w:color w:val="0F0F0F"/>
                                <w:spacing w:val="-2"/>
                                <w:w w:val="105"/>
                                <w:sz w:val="17"/>
                              </w:rPr>
                              <w:t>Items</w:t>
                            </w:r>
                          </w:p>
                        </w:tc>
                        <w:tc>
                          <w:tcPr>
                            <w:tcW w:w="1886" w:type="dxa"/>
                          </w:tcPr>
                          <w:p>
                            <w:pPr>
                              <w:pStyle w:val="TableParagraph"/>
                              <w:spacing w:before="11" w:line="182" w:lineRule="exact"/>
                              <w:ind w:right="561"/>
                              <w:jc w:val="right"/>
                              <w:rPr>
                                <w:b/>
                                <w:sz w:val="18"/>
                              </w:rPr>
                            </w:pPr>
                            <w:r>
                              <w:rPr>
                                <w:b/>
                                <w:color w:val="0F0F0F"/>
                                <w:spacing w:val="-2"/>
                                <w:sz w:val="18"/>
                              </w:rPr>
                              <w:t>(1,014)</w:t>
                            </w:r>
                          </w:p>
                        </w:tc>
                      </w:tr>
                      <w:tr>
                        <w:trPr>
                          <w:trHeight w:val="218" w:hRule="atLeast"/>
                        </w:trPr>
                        <w:tc>
                          <w:tcPr>
                            <w:tcW w:w="5825" w:type="dxa"/>
                          </w:tcPr>
                          <w:p>
                            <w:pPr>
                              <w:pStyle w:val="TableParagraph"/>
                              <w:spacing w:line="185" w:lineRule="exact"/>
                              <w:ind w:left="59"/>
                              <w:rPr>
                                <w:sz w:val="17"/>
                              </w:rPr>
                            </w:pPr>
                            <w:r>
                              <w:rPr>
                                <w:color w:val="0F0F0F"/>
                                <w:w w:val="105"/>
                                <w:sz w:val="17"/>
                              </w:rPr>
                              <w:t>Parking</w:t>
                            </w:r>
                            <w:r>
                              <w:rPr>
                                <w:color w:val="0F0F0F"/>
                                <w:spacing w:val="-1"/>
                                <w:w w:val="105"/>
                                <w:sz w:val="17"/>
                              </w:rPr>
                              <w:t> </w:t>
                            </w:r>
                            <w:r>
                              <w:rPr>
                                <w:color w:val="0F0F0F"/>
                                <w:w w:val="105"/>
                                <w:sz w:val="17"/>
                              </w:rPr>
                              <w:t>Repairs &amp;</w:t>
                            </w:r>
                            <w:r>
                              <w:rPr>
                                <w:color w:val="0F0F0F"/>
                                <w:spacing w:val="-6"/>
                                <w:w w:val="105"/>
                                <w:sz w:val="17"/>
                              </w:rPr>
                              <w:t> </w:t>
                            </w:r>
                            <w:r>
                              <w:rPr>
                                <w:color w:val="0F0F0F"/>
                                <w:spacing w:val="-2"/>
                                <w:w w:val="105"/>
                                <w:sz w:val="17"/>
                              </w:rPr>
                              <w:t>Renewals</w:t>
                            </w:r>
                          </w:p>
                        </w:tc>
                        <w:tc>
                          <w:tcPr>
                            <w:tcW w:w="1886" w:type="dxa"/>
                          </w:tcPr>
                          <w:p>
                            <w:pPr>
                              <w:pStyle w:val="TableParagraph"/>
                              <w:spacing w:before="19" w:line="180" w:lineRule="exact"/>
                              <w:ind w:right="553"/>
                              <w:jc w:val="right"/>
                              <w:rPr>
                                <w:b/>
                                <w:sz w:val="18"/>
                              </w:rPr>
                            </w:pPr>
                            <w:r>
                              <w:rPr>
                                <w:b/>
                                <w:color w:val="0F0F0F"/>
                                <w:spacing w:val="-2"/>
                                <w:sz w:val="18"/>
                              </w:rPr>
                              <w:t>(879)</w:t>
                            </w:r>
                          </w:p>
                        </w:tc>
                      </w:tr>
                      <w:tr>
                        <w:trPr>
                          <w:trHeight w:val="213" w:hRule="atLeast"/>
                        </w:trPr>
                        <w:tc>
                          <w:tcPr>
                            <w:tcW w:w="5825" w:type="dxa"/>
                          </w:tcPr>
                          <w:p>
                            <w:pPr>
                              <w:pStyle w:val="TableParagraph"/>
                              <w:spacing w:line="183" w:lineRule="exact"/>
                              <w:ind w:left="55"/>
                              <w:rPr>
                                <w:sz w:val="17"/>
                              </w:rPr>
                            </w:pPr>
                            <w:r>
                              <w:rPr>
                                <w:color w:val="0F0F0F"/>
                                <w:w w:val="105"/>
                                <w:sz w:val="17"/>
                              </w:rPr>
                              <w:t>Parks</w:t>
                            </w:r>
                            <w:r>
                              <w:rPr>
                                <w:color w:val="0F0F0F"/>
                                <w:spacing w:val="-1"/>
                                <w:w w:val="105"/>
                                <w:sz w:val="17"/>
                              </w:rPr>
                              <w:t> </w:t>
                            </w:r>
                            <w:r>
                              <w:rPr>
                                <w:color w:val="0F0F0F"/>
                                <w:w w:val="105"/>
                                <w:sz w:val="17"/>
                              </w:rPr>
                              <w:t>Play</w:t>
                            </w:r>
                            <w:r>
                              <w:rPr>
                                <w:color w:val="0F0F0F"/>
                                <w:spacing w:val="5"/>
                                <w:w w:val="105"/>
                                <w:sz w:val="17"/>
                              </w:rPr>
                              <w:t> </w:t>
                            </w:r>
                            <w:r>
                              <w:rPr>
                                <w:color w:val="0F0F0F"/>
                                <w:spacing w:val="-2"/>
                                <w:w w:val="105"/>
                                <w:sz w:val="17"/>
                              </w:rPr>
                              <w:t>Equipment</w:t>
                            </w:r>
                          </w:p>
                        </w:tc>
                        <w:tc>
                          <w:tcPr>
                            <w:tcW w:w="1886" w:type="dxa"/>
                          </w:tcPr>
                          <w:p>
                            <w:pPr>
                              <w:pStyle w:val="TableParagraph"/>
                              <w:spacing w:before="11" w:line="182" w:lineRule="exact"/>
                              <w:ind w:right="558"/>
                              <w:jc w:val="right"/>
                              <w:rPr>
                                <w:b/>
                                <w:sz w:val="18"/>
                              </w:rPr>
                            </w:pPr>
                            <w:r>
                              <w:rPr>
                                <w:b/>
                                <w:color w:val="0F0F0F"/>
                                <w:spacing w:val="-2"/>
                                <w:sz w:val="18"/>
                              </w:rPr>
                              <w:t>(306)</w:t>
                            </w:r>
                          </w:p>
                        </w:tc>
                      </w:tr>
                      <w:tr>
                        <w:trPr>
                          <w:trHeight w:val="412" w:hRule="atLeast"/>
                        </w:trPr>
                        <w:tc>
                          <w:tcPr>
                            <w:tcW w:w="5825" w:type="dxa"/>
                          </w:tcPr>
                          <w:p>
                            <w:pPr>
                              <w:pStyle w:val="TableParagraph"/>
                              <w:spacing w:line="185" w:lineRule="exact"/>
                              <w:ind w:left="54"/>
                              <w:rPr>
                                <w:sz w:val="17"/>
                              </w:rPr>
                            </w:pPr>
                            <w:r>
                              <w:rPr>
                                <w:color w:val="0F0F0F"/>
                                <w:w w:val="105"/>
                                <w:sz w:val="17"/>
                              </w:rPr>
                              <w:t>Recycling</w:t>
                            </w:r>
                            <w:r>
                              <w:rPr>
                                <w:color w:val="0F0F0F"/>
                                <w:spacing w:val="-4"/>
                                <w:w w:val="105"/>
                                <w:sz w:val="17"/>
                              </w:rPr>
                              <w:t> </w:t>
                            </w:r>
                            <w:r>
                              <w:rPr>
                                <w:color w:val="0F0F0F"/>
                                <w:spacing w:val="-2"/>
                                <w:w w:val="105"/>
                                <w:sz w:val="17"/>
                              </w:rPr>
                              <w:t>Initiatives</w:t>
                            </w:r>
                          </w:p>
                          <w:p>
                            <w:pPr>
                              <w:pStyle w:val="TableParagraph"/>
                              <w:spacing w:before="21" w:line="186" w:lineRule="exact"/>
                              <w:ind w:left="59"/>
                              <w:rPr>
                                <w:sz w:val="17"/>
                              </w:rPr>
                            </w:pPr>
                            <w:r>
                              <w:rPr>
                                <w:color w:val="0F0F0F"/>
                                <w:w w:val="105"/>
                                <w:sz w:val="17"/>
                              </w:rPr>
                              <w:t>Uninsured Losses</w:t>
                            </w:r>
                            <w:r>
                              <w:rPr>
                                <w:color w:val="0F0F0F"/>
                                <w:spacing w:val="-2"/>
                                <w:w w:val="105"/>
                                <w:sz w:val="17"/>
                              </w:rPr>
                              <w:t> </w:t>
                            </w:r>
                            <w:r>
                              <w:rPr>
                                <w:color w:val="0F0F0F"/>
                                <w:w w:val="105"/>
                                <w:sz w:val="17"/>
                              </w:rPr>
                              <w:t>Garages</w:t>
                            </w:r>
                            <w:r>
                              <w:rPr>
                                <w:color w:val="0F0F0F"/>
                                <w:spacing w:val="-2"/>
                                <w:w w:val="105"/>
                                <w:sz w:val="17"/>
                              </w:rPr>
                              <w:t> Reserve</w:t>
                            </w:r>
                          </w:p>
                        </w:tc>
                        <w:tc>
                          <w:tcPr>
                            <w:tcW w:w="1886" w:type="dxa"/>
                          </w:tcPr>
                          <w:p>
                            <w:pPr>
                              <w:pStyle w:val="TableParagraph"/>
                              <w:spacing w:before="14"/>
                              <w:ind w:right="558"/>
                              <w:jc w:val="right"/>
                              <w:rPr>
                                <w:b/>
                                <w:sz w:val="18"/>
                              </w:rPr>
                            </w:pPr>
                            <w:r>
                              <w:rPr>
                                <w:b/>
                                <w:color w:val="0F0F0F"/>
                                <w:spacing w:val="-2"/>
                                <w:sz w:val="18"/>
                              </w:rPr>
                              <w:t>(747)</w:t>
                            </w:r>
                          </w:p>
                        </w:tc>
                      </w:tr>
                      <w:tr>
                        <w:trPr>
                          <w:trHeight w:val="234" w:hRule="atLeast"/>
                        </w:trPr>
                        <w:tc>
                          <w:tcPr>
                            <w:tcW w:w="5825" w:type="dxa"/>
                          </w:tcPr>
                          <w:p>
                            <w:pPr>
                              <w:pStyle w:val="TableParagraph"/>
                              <w:spacing w:before="5"/>
                              <w:ind w:left="59"/>
                              <w:rPr>
                                <w:sz w:val="17"/>
                              </w:rPr>
                            </w:pPr>
                            <w:r>
                              <w:rPr>
                                <w:color w:val="0F0F0F"/>
                                <w:w w:val="105"/>
                                <w:sz w:val="17"/>
                              </w:rPr>
                              <w:t>Uninsured</w:t>
                            </w:r>
                            <w:r>
                              <w:rPr>
                                <w:color w:val="0F0F0F"/>
                                <w:spacing w:val="-2"/>
                                <w:w w:val="105"/>
                                <w:sz w:val="17"/>
                              </w:rPr>
                              <w:t> </w:t>
                            </w:r>
                            <w:r>
                              <w:rPr>
                                <w:color w:val="0F0F0F"/>
                                <w:w w:val="105"/>
                                <w:sz w:val="17"/>
                              </w:rPr>
                              <w:t>Losses</w:t>
                            </w:r>
                            <w:r>
                              <w:rPr>
                                <w:color w:val="0F0F0F"/>
                                <w:spacing w:val="-6"/>
                                <w:w w:val="105"/>
                                <w:sz w:val="17"/>
                              </w:rPr>
                              <w:t> </w:t>
                            </w:r>
                            <w:r>
                              <w:rPr>
                                <w:color w:val="0F0F0F"/>
                                <w:spacing w:val="-2"/>
                                <w:w w:val="105"/>
                                <w:sz w:val="17"/>
                              </w:rPr>
                              <w:t>Reserve</w:t>
                            </w:r>
                          </w:p>
                        </w:tc>
                        <w:tc>
                          <w:tcPr>
                            <w:tcW w:w="1886" w:type="dxa"/>
                          </w:tcPr>
                          <w:p>
                            <w:pPr>
                              <w:pStyle w:val="TableParagraph"/>
                              <w:spacing w:before="29" w:line="185" w:lineRule="exact"/>
                              <w:ind w:right="553"/>
                              <w:jc w:val="right"/>
                              <w:rPr>
                                <w:b/>
                                <w:sz w:val="18"/>
                              </w:rPr>
                            </w:pPr>
                            <w:r>
                              <w:rPr>
                                <w:b/>
                                <w:color w:val="0F0F0F"/>
                                <w:spacing w:val="-2"/>
                                <w:sz w:val="18"/>
                              </w:rPr>
                              <w:t>(229)</w:t>
                            </w:r>
                          </w:p>
                        </w:tc>
                      </w:tr>
                      <w:tr>
                        <w:trPr>
                          <w:trHeight w:val="209" w:hRule="atLeast"/>
                        </w:trPr>
                        <w:tc>
                          <w:tcPr>
                            <w:tcW w:w="5825" w:type="dxa"/>
                          </w:tcPr>
                          <w:p>
                            <w:pPr>
                              <w:pStyle w:val="TableParagraph"/>
                              <w:spacing w:line="188" w:lineRule="exact"/>
                              <w:ind w:left="61"/>
                              <w:rPr>
                                <w:sz w:val="17"/>
                              </w:rPr>
                            </w:pPr>
                            <w:r>
                              <w:rPr>
                                <w:color w:val="0F0F0F"/>
                                <w:w w:val="105"/>
                                <w:sz w:val="17"/>
                              </w:rPr>
                              <w:t>Waste</w:t>
                            </w:r>
                            <w:r>
                              <w:rPr>
                                <w:color w:val="0F0F0F"/>
                                <w:spacing w:val="-9"/>
                                <w:w w:val="105"/>
                                <w:sz w:val="17"/>
                              </w:rPr>
                              <w:t> </w:t>
                            </w:r>
                            <w:r>
                              <w:rPr>
                                <w:color w:val="0F0F0F"/>
                                <w:w w:val="105"/>
                                <w:sz w:val="17"/>
                              </w:rPr>
                              <w:t>Services</w:t>
                            </w:r>
                            <w:r>
                              <w:rPr>
                                <w:color w:val="0F0F0F"/>
                                <w:spacing w:val="7"/>
                                <w:w w:val="105"/>
                                <w:sz w:val="17"/>
                              </w:rPr>
                              <w:t> </w:t>
                            </w:r>
                            <w:r>
                              <w:rPr>
                                <w:color w:val="0F0F0F"/>
                                <w:w w:val="105"/>
                                <w:sz w:val="17"/>
                              </w:rPr>
                              <w:t>Vehicles</w:t>
                            </w:r>
                            <w:r>
                              <w:rPr>
                                <w:color w:val="0F0F0F"/>
                                <w:spacing w:val="-4"/>
                                <w:w w:val="105"/>
                                <w:sz w:val="17"/>
                              </w:rPr>
                              <w:t> </w:t>
                            </w:r>
                            <w:r>
                              <w:rPr>
                                <w:color w:val="0F0F0F"/>
                                <w:spacing w:val="-2"/>
                                <w:w w:val="105"/>
                                <w:sz w:val="17"/>
                              </w:rPr>
                              <w:t>Replacement</w:t>
                            </w:r>
                          </w:p>
                        </w:tc>
                        <w:tc>
                          <w:tcPr>
                            <w:tcW w:w="1886" w:type="dxa"/>
                          </w:tcPr>
                          <w:p>
                            <w:pPr>
                              <w:pStyle w:val="TableParagraph"/>
                              <w:spacing w:before="7" w:line="182" w:lineRule="exact"/>
                              <w:ind w:right="555"/>
                              <w:jc w:val="right"/>
                              <w:rPr>
                                <w:b/>
                                <w:sz w:val="18"/>
                              </w:rPr>
                            </w:pPr>
                            <w:r>
                              <w:rPr>
                                <w:b/>
                                <w:color w:val="0F0F0F"/>
                                <w:spacing w:val="-2"/>
                                <w:sz w:val="18"/>
                              </w:rPr>
                              <w:t>(1,587)</w:t>
                            </w:r>
                          </w:p>
                        </w:tc>
                      </w:tr>
                      <w:tr>
                        <w:trPr>
                          <w:trHeight w:val="214" w:hRule="atLeast"/>
                        </w:trPr>
                        <w:tc>
                          <w:tcPr>
                            <w:tcW w:w="5825" w:type="dxa"/>
                          </w:tcPr>
                          <w:p>
                            <w:pPr>
                              <w:pStyle w:val="TableParagraph"/>
                              <w:spacing w:line="186" w:lineRule="exact"/>
                              <w:ind w:left="60"/>
                              <w:rPr>
                                <w:sz w:val="17"/>
                              </w:rPr>
                            </w:pPr>
                            <w:r>
                              <w:rPr>
                                <w:color w:val="0F0F0F"/>
                                <w:w w:val="105"/>
                                <w:sz w:val="17"/>
                              </w:rPr>
                              <w:t>Other</w:t>
                            </w:r>
                            <w:r>
                              <w:rPr>
                                <w:color w:val="0F0F0F"/>
                                <w:spacing w:val="8"/>
                                <w:w w:val="105"/>
                                <w:sz w:val="17"/>
                              </w:rPr>
                              <w:t> </w:t>
                            </w:r>
                            <w:r>
                              <w:rPr>
                                <w:rFonts w:ascii="Times New Roman" w:hAnsi="Times New Roman"/>
                                <w:color w:val="0F0F0F"/>
                                <w:w w:val="105"/>
                                <w:sz w:val="17"/>
                              </w:rPr>
                              <w:t>&lt;</w:t>
                            </w:r>
                            <w:r>
                              <w:rPr>
                                <w:rFonts w:ascii="Times New Roman" w:hAnsi="Times New Roman"/>
                                <w:color w:val="0F0F0F"/>
                                <w:spacing w:val="3"/>
                                <w:w w:val="105"/>
                                <w:sz w:val="17"/>
                              </w:rPr>
                              <w:t> </w:t>
                            </w:r>
                            <w:r>
                              <w:rPr>
                                <w:color w:val="0F0F0F"/>
                                <w:spacing w:val="-2"/>
                                <w:w w:val="105"/>
                                <w:sz w:val="17"/>
                              </w:rPr>
                              <w:t>£100k</w:t>
                            </w:r>
                          </w:p>
                        </w:tc>
                        <w:tc>
                          <w:tcPr>
                            <w:tcW w:w="1886" w:type="dxa"/>
                          </w:tcPr>
                          <w:p>
                            <w:pPr>
                              <w:pStyle w:val="TableParagraph"/>
                              <w:spacing w:before="23" w:line="170" w:lineRule="exact"/>
                              <w:ind w:right="548"/>
                              <w:jc w:val="right"/>
                              <w:rPr>
                                <w:b/>
                                <w:sz w:val="18"/>
                              </w:rPr>
                            </w:pPr>
                            <w:r>
                              <w:rPr>
                                <w:b/>
                                <w:color w:val="0F0F0F"/>
                                <w:spacing w:val="-2"/>
                                <w:sz w:val="18"/>
                              </w:rPr>
                              <w:t>(813)</w:t>
                            </w:r>
                          </w:p>
                        </w:tc>
                      </w:tr>
                    </w:tbl>
                    <w:p>
                      <w:pPr>
                        <w:pStyle w:val="BodyText"/>
                      </w:pPr>
                    </w:p>
                  </w:txbxContent>
                </v:textbox>
                <w10:wrap type="none"/>
              </v:shape>
            </w:pict>
          </ve:Fallback>
        </ve:AlternateContent>
      </w:r>
      <w:r>
        <w:rPr>
          <w:b/>
          <w:color w:val="0F0F0F"/>
          <w:spacing w:val="-4"/>
          <w:sz w:val="18"/>
        </w:rPr>
        <w:t>£000</w:t>
      </w:r>
    </w:p>
    <w:p>
      <w:pPr>
        <w:spacing w:before="196" w:line="244" w:lineRule="auto"/>
        <w:ind w:left="5595" w:right="308" w:firstLine="0"/>
        <w:jc w:val="center"/>
        <w:rPr>
          <w:b/>
          <w:sz w:val="18"/>
        </w:rPr>
      </w:pPr>
      <w:r>
        <w:rPr/>
        <w:br w:type="column"/>
      </w:r>
      <w:r>
        <w:rPr>
          <w:b/>
          <w:color w:val="0F0F0F"/>
          <w:sz w:val="18"/>
        </w:rPr>
        <w:t>Balance</w:t>
      </w:r>
      <w:r>
        <w:rPr>
          <w:b/>
          <w:color w:val="0F0F0F"/>
          <w:spacing w:val="-15"/>
          <w:sz w:val="18"/>
        </w:rPr>
        <w:t> </w:t>
      </w:r>
      <w:r>
        <w:rPr>
          <w:b/>
          <w:color w:val="0F0F0F"/>
          <w:sz w:val="18"/>
        </w:rPr>
        <w:t>at</w:t>
      </w:r>
      <w:r>
        <w:rPr>
          <w:b/>
          <w:color w:val="0F0F0F"/>
          <w:spacing w:val="-12"/>
          <w:sz w:val="18"/>
        </w:rPr>
        <w:t> </w:t>
      </w:r>
      <w:r>
        <w:rPr>
          <w:b/>
          <w:color w:val="0F0F0F"/>
          <w:sz w:val="18"/>
        </w:rPr>
        <w:t>31 </w:t>
      </w:r>
      <w:r>
        <w:rPr>
          <w:b/>
          <w:color w:val="0F0F0F"/>
          <w:spacing w:val="-2"/>
          <w:sz w:val="18"/>
        </w:rPr>
        <w:t>Mar23</w:t>
      </w:r>
    </w:p>
    <w:p>
      <w:pPr>
        <w:spacing w:before="20" w:line="164" w:lineRule="exact"/>
        <w:ind w:left="5286" w:right="0" w:firstLine="0"/>
        <w:jc w:val="center"/>
        <w:rPr>
          <w:b/>
          <w:sz w:val="18"/>
        </w:rPr>
      </w:pPr>
      <w:r>
        <w:rPr/>
        <ve:AlternateContent>
          <ve:Choice Requires="wps">
            <w:drawing>
              <wp:anchor distT="0" distB="0" distL="0" distR="0" simplePos="0" relativeHeight="15848960" behindDoc="0" locked="0" layoutInCell="1" allowOverlap="1">
                <wp:simplePos x="0" y="0"/>
                <wp:positionH relativeFrom="page">
                  <wp:posOffset>6145870</wp:posOffset>
                </wp:positionH>
                <wp:positionV relativeFrom="paragraph">
                  <wp:posOffset>-328513</wp:posOffset>
                </wp:positionV>
                <wp:extent cx="3312160" cy="443865"/>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a:off x="0" y="0"/>
                          <a:ext cx="3312160" cy="44386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31"/>
                              <w:gridCol w:w="1447"/>
                              <w:gridCol w:w="1332"/>
                              <w:gridCol w:w="1088"/>
                            </w:tblGrid>
                            <w:tr>
                              <w:trPr>
                                <w:trHeight w:val="232" w:hRule="atLeast"/>
                              </w:trPr>
                              <w:tc>
                                <w:tcPr>
                                  <w:tcW w:w="1231" w:type="dxa"/>
                                </w:tcPr>
                                <w:p>
                                  <w:pPr>
                                    <w:pStyle w:val="TableParagraph"/>
                                    <w:spacing w:before="28" w:line="185" w:lineRule="exact"/>
                                    <w:ind w:left="8" w:right="93"/>
                                    <w:jc w:val="center"/>
                                    <w:rPr>
                                      <w:b/>
                                      <w:sz w:val="18"/>
                                    </w:rPr>
                                  </w:pPr>
                                  <w:r>
                                    <w:rPr>
                                      <w:b/>
                                      <w:color w:val="0F0F0F"/>
                                      <w:sz w:val="18"/>
                                    </w:rPr>
                                    <w:t>Transfers</w:t>
                                  </w:r>
                                  <w:r>
                                    <w:rPr>
                                      <w:b/>
                                      <w:color w:val="0F0F0F"/>
                                      <w:spacing w:val="-4"/>
                                      <w:sz w:val="18"/>
                                    </w:rPr>
                                    <w:t> </w:t>
                                  </w:r>
                                  <w:r>
                                    <w:rPr>
                                      <w:b/>
                                      <w:color w:val="0F0F0F"/>
                                      <w:spacing w:val="-5"/>
                                      <w:sz w:val="18"/>
                                    </w:rPr>
                                    <w:t>In</w:t>
                                  </w:r>
                                </w:p>
                              </w:tc>
                              <w:tc>
                                <w:tcPr>
                                  <w:tcW w:w="1447" w:type="dxa"/>
                                </w:tcPr>
                                <w:p>
                                  <w:pPr>
                                    <w:pStyle w:val="TableParagraph"/>
                                    <w:spacing w:before="47" w:line="166" w:lineRule="exact"/>
                                    <w:ind w:left="3" w:right="14"/>
                                    <w:jc w:val="center"/>
                                    <w:rPr>
                                      <w:b/>
                                      <w:sz w:val="18"/>
                                    </w:rPr>
                                  </w:pPr>
                                  <w:r>
                                    <w:rPr>
                                      <w:b/>
                                      <w:color w:val="0F0F0F"/>
                                      <w:sz w:val="18"/>
                                    </w:rPr>
                                    <w:t>Balance</w:t>
                                  </w:r>
                                  <w:r>
                                    <w:rPr>
                                      <w:b/>
                                      <w:color w:val="0F0F0F"/>
                                      <w:spacing w:val="1"/>
                                      <w:sz w:val="18"/>
                                    </w:rPr>
                                    <w:t> </w:t>
                                  </w:r>
                                  <w:r>
                                    <w:rPr>
                                      <w:b/>
                                      <w:color w:val="0F0F0F"/>
                                      <w:sz w:val="18"/>
                                    </w:rPr>
                                    <w:t>at</w:t>
                                  </w:r>
                                  <w:r>
                                    <w:rPr>
                                      <w:b/>
                                      <w:color w:val="0F0F0F"/>
                                      <w:spacing w:val="-2"/>
                                      <w:sz w:val="18"/>
                                    </w:rPr>
                                    <w:t> </w:t>
                                  </w:r>
                                  <w:r>
                                    <w:rPr>
                                      <w:b/>
                                      <w:color w:val="0F0F0F"/>
                                      <w:spacing w:val="-5"/>
                                      <w:sz w:val="18"/>
                                    </w:rPr>
                                    <w:t>31</w:t>
                                  </w:r>
                                </w:p>
                              </w:tc>
                              <w:tc>
                                <w:tcPr>
                                  <w:tcW w:w="1332" w:type="dxa"/>
                                </w:tcPr>
                                <w:p>
                                  <w:pPr>
                                    <w:pStyle w:val="TableParagraph"/>
                                    <w:spacing w:before="61" w:line="151" w:lineRule="exact"/>
                                    <w:ind w:left="26" w:right="36"/>
                                    <w:jc w:val="center"/>
                                    <w:rPr>
                                      <w:b/>
                                      <w:sz w:val="18"/>
                                    </w:rPr>
                                  </w:pPr>
                                  <w:r>
                                    <w:rPr>
                                      <w:b/>
                                      <w:color w:val="0F0F0F"/>
                                      <w:spacing w:val="-2"/>
                                      <w:sz w:val="18"/>
                                    </w:rPr>
                                    <w:t>Transfers</w:t>
                                  </w:r>
                                </w:p>
                              </w:tc>
                              <w:tc>
                                <w:tcPr>
                                  <w:tcW w:w="1088" w:type="dxa"/>
                                </w:tcPr>
                                <w:p>
                                  <w:pPr>
                                    <w:pStyle w:val="TableParagraph"/>
                                    <w:spacing w:before="76" w:line="137" w:lineRule="exact"/>
                                    <w:ind w:left="133" w:right="17"/>
                                    <w:jc w:val="center"/>
                                    <w:rPr>
                                      <w:b/>
                                      <w:sz w:val="18"/>
                                    </w:rPr>
                                  </w:pPr>
                                  <w:r>
                                    <w:rPr>
                                      <w:b/>
                                      <w:color w:val="0F0F0F"/>
                                      <w:spacing w:val="-2"/>
                                      <w:sz w:val="18"/>
                                    </w:rPr>
                                    <w:t>Transfers</w:t>
                                  </w:r>
                                </w:p>
                              </w:tc>
                            </w:tr>
                            <w:tr>
                              <w:trPr>
                                <w:trHeight w:val="225" w:hRule="atLeast"/>
                              </w:trPr>
                              <w:tc>
                                <w:tcPr>
                                  <w:tcW w:w="1231" w:type="dxa"/>
                                </w:tcPr>
                                <w:p>
                                  <w:pPr>
                                    <w:pStyle w:val="TableParagraph"/>
                                    <w:spacing w:before="11" w:line="194" w:lineRule="exact"/>
                                    <w:ind w:right="93"/>
                                    <w:jc w:val="center"/>
                                    <w:rPr>
                                      <w:b/>
                                      <w:sz w:val="18"/>
                                    </w:rPr>
                                  </w:pPr>
                                  <w:r>
                                    <w:rPr>
                                      <w:b/>
                                      <w:color w:val="0F0F0F"/>
                                      <w:spacing w:val="-2"/>
                                      <w:sz w:val="18"/>
                                    </w:rPr>
                                    <w:t>2021-</w:t>
                                  </w:r>
                                  <w:r>
                                    <w:rPr>
                                      <w:b/>
                                      <w:color w:val="0F0F0F"/>
                                      <w:spacing w:val="-5"/>
                                      <w:sz w:val="18"/>
                                    </w:rPr>
                                    <w:t>22</w:t>
                                  </w:r>
                                </w:p>
                              </w:tc>
                              <w:tc>
                                <w:tcPr>
                                  <w:tcW w:w="1447" w:type="dxa"/>
                                </w:tcPr>
                                <w:p>
                                  <w:pPr>
                                    <w:pStyle w:val="TableParagraph"/>
                                    <w:spacing w:before="30" w:line="175" w:lineRule="exact"/>
                                    <w:ind w:right="14"/>
                                    <w:jc w:val="center"/>
                                    <w:rPr>
                                      <w:b/>
                                      <w:sz w:val="18"/>
                                    </w:rPr>
                                  </w:pPr>
                                  <w:r>
                                    <w:rPr>
                                      <w:b/>
                                      <w:color w:val="0F0F0F"/>
                                      <w:spacing w:val="-4"/>
                                      <w:w w:val="110"/>
                                      <w:sz w:val="18"/>
                                    </w:rPr>
                                    <w:t>Mar22</w:t>
                                  </w:r>
                                </w:p>
                              </w:tc>
                              <w:tc>
                                <w:tcPr>
                                  <w:tcW w:w="1332" w:type="dxa"/>
                                </w:tcPr>
                                <w:p>
                                  <w:pPr>
                                    <w:pStyle w:val="TableParagraph"/>
                                    <w:spacing w:before="45" w:line="161" w:lineRule="exact"/>
                                    <w:ind w:left="26" w:right="42"/>
                                    <w:jc w:val="center"/>
                                    <w:rPr>
                                      <w:b/>
                                      <w:sz w:val="18"/>
                                    </w:rPr>
                                  </w:pPr>
                                  <w:r>
                                    <w:rPr>
                                      <w:b/>
                                      <w:color w:val="0F0F0F"/>
                                      <w:sz w:val="18"/>
                                    </w:rPr>
                                    <w:t>Out</w:t>
                                  </w:r>
                                  <w:r>
                                    <w:rPr>
                                      <w:b/>
                                      <w:color w:val="0F0F0F"/>
                                      <w:spacing w:val="-8"/>
                                      <w:sz w:val="18"/>
                                    </w:rPr>
                                    <w:t> </w:t>
                                  </w:r>
                                  <w:r>
                                    <w:rPr>
                                      <w:b/>
                                      <w:color w:val="0F0F0F"/>
                                      <w:sz w:val="18"/>
                                    </w:rPr>
                                    <w:t>2022-</w:t>
                                  </w:r>
                                  <w:r>
                                    <w:rPr>
                                      <w:b/>
                                      <w:color w:val="0F0F0F"/>
                                      <w:spacing w:val="-5"/>
                                      <w:sz w:val="18"/>
                                    </w:rPr>
                                    <w:t>23</w:t>
                                  </w:r>
                                </w:p>
                              </w:tc>
                              <w:tc>
                                <w:tcPr>
                                  <w:tcW w:w="1088" w:type="dxa"/>
                                </w:tcPr>
                                <w:p>
                                  <w:pPr>
                                    <w:pStyle w:val="TableParagraph"/>
                                    <w:spacing w:before="59" w:line="146" w:lineRule="exact"/>
                                    <w:ind w:left="133" w:right="22"/>
                                    <w:jc w:val="center"/>
                                    <w:rPr>
                                      <w:b/>
                                      <w:sz w:val="18"/>
                                    </w:rPr>
                                  </w:pPr>
                                  <w:r>
                                    <w:rPr>
                                      <w:color w:val="0F0F0F"/>
                                      <w:sz w:val="18"/>
                                    </w:rPr>
                                    <w:t>In</w:t>
                                  </w:r>
                                  <w:r>
                                    <w:rPr>
                                      <w:color w:val="0F0F0F"/>
                                      <w:spacing w:val="7"/>
                                      <w:sz w:val="18"/>
                                    </w:rPr>
                                    <w:t> </w:t>
                                  </w:r>
                                  <w:r>
                                    <w:rPr>
                                      <w:b/>
                                      <w:color w:val="0F0F0F"/>
                                      <w:sz w:val="18"/>
                                    </w:rPr>
                                    <w:t>2022-</w:t>
                                  </w:r>
                                  <w:r>
                                    <w:rPr>
                                      <w:b/>
                                      <w:color w:val="0F0F0F"/>
                                      <w:spacing w:val="-5"/>
                                      <w:sz w:val="18"/>
                                    </w:rPr>
                                    <w:t>23</w:t>
                                  </w:r>
                                </w:p>
                              </w:tc>
                            </w:tr>
                            <w:tr>
                              <w:trPr>
                                <w:trHeight w:val="242" w:hRule="atLeast"/>
                              </w:trPr>
                              <w:tc>
                                <w:tcPr>
                                  <w:tcW w:w="1231" w:type="dxa"/>
                                </w:tcPr>
                                <w:p>
                                  <w:pPr>
                                    <w:pStyle w:val="TableParagraph"/>
                                    <w:spacing w:before="21" w:line="201" w:lineRule="exact"/>
                                    <w:ind w:left="6" w:right="93"/>
                                    <w:jc w:val="center"/>
                                    <w:rPr>
                                      <w:b/>
                                      <w:sz w:val="18"/>
                                    </w:rPr>
                                  </w:pPr>
                                  <w:r>
                                    <w:rPr>
                                      <w:b/>
                                      <w:color w:val="0F0F0F"/>
                                      <w:spacing w:val="-4"/>
                                      <w:sz w:val="18"/>
                                    </w:rPr>
                                    <w:t>£000</w:t>
                                  </w:r>
                                </w:p>
                              </w:tc>
                              <w:tc>
                                <w:tcPr>
                                  <w:tcW w:w="1447" w:type="dxa"/>
                                </w:tcPr>
                                <w:p>
                                  <w:pPr>
                                    <w:pStyle w:val="TableParagraph"/>
                                    <w:spacing w:before="35" w:line="187" w:lineRule="exact"/>
                                    <w:ind w:left="10" w:right="14"/>
                                    <w:jc w:val="center"/>
                                    <w:rPr>
                                      <w:b/>
                                      <w:sz w:val="18"/>
                                    </w:rPr>
                                  </w:pPr>
                                  <w:r>
                                    <w:rPr>
                                      <w:b/>
                                      <w:color w:val="0F0F0F"/>
                                      <w:spacing w:val="-4"/>
                                      <w:sz w:val="18"/>
                                    </w:rPr>
                                    <w:t>£000</w:t>
                                  </w:r>
                                </w:p>
                              </w:tc>
                              <w:tc>
                                <w:tcPr>
                                  <w:tcW w:w="1332" w:type="dxa"/>
                                </w:tcPr>
                                <w:p>
                                  <w:pPr>
                                    <w:pStyle w:val="TableParagraph"/>
                                    <w:spacing w:before="54" w:line="168" w:lineRule="exact"/>
                                    <w:ind w:left="26" w:right="22"/>
                                    <w:jc w:val="center"/>
                                    <w:rPr>
                                      <w:b/>
                                      <w:sz w:val="18"/>
                                    </w:rPr>
                                  </w:pPr>
                                  <w:r>
                                    <w:rPr>
                                      <w:b/>
                                      <w:color w:val="0F0F0F"/>
                                      <w:spacing w:val="-4"/>
                                      <w:sz w:val="18"/>
                                    </w:rPr>
                                    <w:t>£000</w:t>
                                  </w:r>
                                </w:p>
                              </w:tc>
                              <w:tc>
                                <w:tcPr>
                                  <w:tcW w:w="1088" w:type="dxa"/>
                                </w:tcPr>
                                <w:p>
                                  <w:pPr>
                                    <w:pStyle w:val="TableParagraph"/>
                                    <w:spacing w:before="69" w:line="153" w:lineRule="exact"/>
                                    <w:ind w:left="133"/>
                                    <w:jc w:val="center"/>
                                    <w:rPr>
                                      <w:b/>
                                      <w:sz w:val="18"/>
                                    </w:rPr>
                                  </w:pPr>
                                  <w:r>
                                    <w:rPr>
                                      <w:b/>
                                      <w:color w:val="0F0F0F"/>
                                      <w:spacing w:val="-4"/>
                                      <w:sz w:val="18"/>
                                    </w:rPr>
                                    <w:t>£000</w:t>
                                  </w:r>
                                </w:p>
                              </w:tc>
                            </w:tr>
                          </w:tbl>
                          <w:p>
                            <w:pPr>
                              <w:pStyle w:val="BodyText"/>
                            </w:pPr>
                          </w:p>
                        </w:txbxContent>
                      </wps:txbx>
                      <wps:bodyPr wrap="square" lIns="0" tIns="0" rIns="0" bIns="0" rtlCol="0">
                        <a:noAutofit/>
                      </wps:bodyPr>
                    </wps:wsp>
                  </a:graphicData>
                </a:graphic>
              </wp:anchor>
            </w:drawing>
          </ve:Choice>
          <ve:Fallback>
            <w:pict>
              <v:shape id="docshape367" style="position:absolute;margin-left:483.926788pt;margin-top:-25.867212pt;width:260.8pt;height:34.950pt;mso-position-horizontal-relative:page;mso-position-vertical-relative:paragraph;z-index:15848960"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31"/>
                        <w:gridCol w:w="1447"/>
                        <w:gridCol w:w="1332"/>
                        <w:gridCol w:w="1088"/>
                      </w:tblGrid>
                      <w:tr>
                        <w:trPr>
                          <w:trHeight w:val="232" w:hRule="atLeast"/>
                        </w:trPr>
                        <w:tc>
                          <w:tcPr>
                            <w:tcW w:w="1231" w:type="dxa"/>
                          </w:tcPr>
                          <w:p>
                            <w:pPr>
                              <w:pStyle w:val="TableParagraph"/>
                              <w:spacing w:before="28" w:line="185" w:lineRule="exact"/>
                              <w:ind w:left="8" w:right="93"/>
                              <w:jc w:val="center"/>
                              <w:rPr>
                                <w:b/>
                                <w:sz w:val="18"/>
                              </w:rPr>
                            </w:pPr>
                            <w:r>
                              <w:rPr>
                                <w:b/>
                                <w:color w:val="0F0F0F"/>
                                <w:sz w:val="18"/>
                              </w:rPr>
                              <w:t>Transfers</w:t>
                            </w:r>
                            <w:r>
                              <w:rPr>
                                <w:b/>
                                <w:color w:val="0F0F0F"/>
                                <w:spacing w:val="-4"/>
                                <w:sz w:val="18"/>
                              </w:rPr>
                              <w:t> </w:t>
                            </w:r>
                            <w:r>
                              <w:rPr>
                                <w:b/>
                                <w:color w:val="0F0F0F"/>
                                <w:spacing w:val="-5"/>
                                <w:sz w:val="18"/>
                              </w:rPr>
                              <w:t>In</w:t>
                            </w:r>
                          </w:p>
                        </w:tc>
                        <w:tc>
                          <w:tcPr>
                            <w:tcW w:w="1447" w:type="dxa"/>
                          </w:tcPr>
                          <w:p>
                            <w:pPr>
                              <w:pStyle w:val="TableParagraph"/>
                              <w:spacing w:before="47" w:line="166" w:lineRule="exact"/>
                              <w:ind w:left="3" w:right="14"/>
                              <w:jc w:val="center"/>
                              <w:rPr>
                                <w:b/>
                                <w:sz w:val="18"/>
                              </w:rPr>
                            </w:pPr>
                            <w:r>
                              <w:rPr>
                                <w:b/>
                                <w:color w:val="0F0F0F"/>
                                <w:sz w:val="18"/>
                              </w:rPr>
                              <w:t>Balance</w:t>
                            </w:r>
                            <w:r>
                              <w:rPr>
                                <w:b/>
                                <w:color w:val="0F0F0F"/>
                                <w:spacing w:val="1"/>
                                <w:sz w:val="18"/>
                              </w:rPr>
                              <w:t> </w:t>
                            </w:r>
                            <w:r>
                              <w:rPr>
                                <w:b/>
                                <w:color w:val="0F0F0F"/>
                                <w:sz w:val="18"/>
                              </w:rPr>
                              <w:t>at</w:t>
                            </w:r>
                            <w:r>
                              <w:rPr>
                                <w:b/>
                                <w:color w:val="0F0F0F"/>
                                <w:spacing w:val="-2"/>
                                <w:sz w:val="18"/>
                              </w:rPr>
                              <w:t> </w:t>
                            </w:r>
                            <w:r>
                              <w:rPr>
                                <w:b/>
                                <w:color w:val="0F0F0F"/>
                                <w:spacing w:val="-5"/>
                                <w:sz w:val="18"/>
                              </w:rPr>
                              <w:t>31</w:t>
                            </w:r>
                          </w:p>
                        </w:tc>
                        <w:tc>
                          <w:tcPr>
                            <w:tcW w:w="1332" w:type="dxa"/>
                          </w:tcPr>
                          <w:p>
                            <w:pPr>
                              <w:pStyle w:val="TableParagraph"/>
                              <w:spacing w:before="61" w:line="151" w:lineRule="exact"/>
                              <w:ind w:left="26" w:right="36"/>
                              <w:jc w:val="center"/>
                              <w:rPr>
                                <w:b/>
                                <w:sz w:val="18"/>
                              </w:rPr>
                            </w:pPr>
                            <w:r>
                              <w:rPr>
                                <w:b/>
                                <w:color w:val="0F0F0F"/>
                                <w:spacing w:val="-2"/>
                                <w:sz w:val="18"/>
                              </w:rPr>
                              <w:t>Transfers</w:t>
                            </w:r>
                          </w:p>
                        </w:tc>
                        <w:tc>
                          <w:tcPr>
                            <w:tcW w:w="1088" w:type="dxa"/>
                          </w:tcPr>
                          <w:p>
                            <w:pPr>
                              <w:pStyle w:val="TableParagraph"/>
                              <w:spacing w:before="76" w:line="137" w:lineRule="exact"/>
                              <w:ind w:left="133" w:right="17"/>
                              <w:jc w:val="center"/>
                              <w:rPr>
                                <w:b/>
                                <w:sz w:val="18"/>
                              </w:rPr>
                            </w:pPr>
                            <w:r>
                              <w:rPr>
                                <w:b/>
                                <w:color w:val="0F0F0F"/>
                                <w:spacing w:val="-2"/>
                                <w:sz w:val="18"/>
                              </w:rPr>
                              <w:t>Transfers</w:t>
                            </w:r>
                          </w:p>
                        </w:tc>
                      </w:tr>
                      <w:tr>
                        <w:trPr>
                          <w:trHeight w:val="225" w:hRule="atLeast"/>
                        </w:trPr>
                        <w:tc>
                          <w:tcPr>
                            <w:tcW w:w="1231" w:type="dxa"/>
                          </w:tcPr>
                          <w:p>
                            <w:pPr>
                              <w:pStyle w:val="TableParagraph"/>
                              <w:spacing w:before="11" w:line="194" w:lineRule="exact"/>
                              <w:ind w:right="93"/>
                              <w:jc w:val="center"/>
                              <w:rPr>
                                <w:b/>
                                <w:sz w:val="18"/>
                              </w:rPr>
                            </w:pPr>
                            <w:r>
                              <w:rPr>
                                <w:b/>
                                <w:color w:val="0F0F0F"/>
                                <w:spacing w:val="-2"/>
                                <w:sz w:val="18"/>
                              </w:rPr>
                              <w:t>2021-</w:t>
                            </w:r>
                            <w:r>
                              <w:rPr>
                                <w:b/>
                                <w:color w:val="0F0F0F"/>
                                <w:spacing w:val="-5"/>
                                <w:sz w:val="18"/>
                              </w:rPr>
                              <w:t>22</w:t>
                            </w:r>
                          </w:p>
                        </w:tc>
                        <w:tc>
                          <w:tcPr>
                            <w:tcW w:w="1447" w:type="dxa"/>
                          </w:tcPr>
                          <w:p>
                            <w:pPr>
                              <w:pStyle w:val="TableParagraph"/>
                              <w:spacing w:before="30" w:line="175" w:lineRule="exact"/>
                              <w:ind w:right="14"/>
                              <w:jc w:val="center"/>
                              <w:rPr>
                                <w:b/>
                                <w:sz w:val="18"/>
                              </w:rPr>
                            </w:pPr>
                            <w:r>
                              <w:rPr>
                                <w:b/>
                                <w:color w:val="0F0F0F"/>
                                <w:spacing w:val="-4"/>
                                <w:w w:val="110"/>
                                <w:sz w:val="18"/>
                              </w:rPr>
                              <w:t>Mar22</w:t>
                            </w:r>
                          </w:p>
                        </w:tc>
                        <w:tc>
                          <w:tcPr>
                            <w:tcW w:w="1332" w:type="dxa"/>
                          </w:tcPr>
                          <w:p>
                            <w:pPr>
                              <w:pStyle w:val="TableParagraph"/>
                              <w:spacing w:before="45" w:line="161" w:lineRule="exact"/>
                              <w:ind w:left="26" w:right="42"/>
                              <w:jc w:val="center"/>
                              <w:rPr>
                                <w:b/>
                                <w:sz w:val="18"/>
                              </w:rPr>
                            </w:pPr>
                            <w:r>
                              <w:rPr>
                                <w:b/>
                                <w:color w:val="0F0F0F"/>
                                <w:sz w:val="18"/>
                              </w:rPr>
                              <w:t>Out</w:t>
                            </w:r>
                            <w:r>
                              <w:rPr>
                                <w:b/>
                                <w:color w:val="0F0F0F"/>
                                <w:spacing w:val="-8"/>
                                <w:sz w:val="18"/>
                              </w:rPr>
                              <w:t> </w:t>
                            </w:r>
                            <w:r>
                              <w:rPr>
                                <w:b/>
                                <w:color w:val="0F0F0F"/>
                                <w:sz w:val="18"/>
                              </w:rPr>
                              <w:t>2022-</w:t>
                            </w:r>
                            <w:r>
                              <w:rPr>
                                <w:b/>
                                <w:color w:val="0F0F0F"/>
                                <w:spacing w:val="-5"/>
                                <w:sz w:val="18"/>
                              </w:rPr>
                              <w:t>23</w:t>
                            </w:r>
                          </w:p>
                        </w:tc>
                        <w:tc>
                          <w:tcPr>
                            <w:tcW w:w="1088" w:type="dxa"/>
                          </w:tcPr>
                          <w:p>
                            <w:pPr>
                              <w:pStyle w:val="TableParagraph"/>
                              <w:spacing w:before="59" w:line="146" w:lineRule="exact"/>
                              <w:ind w:left="133" w:right="22"/>
                              <w:jc w:val="center"/>
                              <w:rPr>
                                <w:b/>
                                <w:sz w:val="18"/>
                              </w:rPr>
                            </w:pPr>
                            <w:r>
                              <w:rPr>
                                <w:color w:val="0F0F0F"/>
                                <w:sz w:val="18"/>
                              </w:rPr>
                              <w:t>In</w:t>
                            </w:r>
                            <w:r>
                              <w:rPr>
                                <w:color w:val="0F0F0F"/>
                                <w:spacing w:val="7"/>
                                <w:sz w:val="18"/>
                              </w:rPr>
                              <w:t> </w:t>
                            </w:r>
                            <w:r>
                              <w:rPr>
                                <w:b/>
                                <w:color w:val="0F0F0F"/>
                                <w:sz w:val="18"/>
                              </w:rPr>
                              <w:t>2022-</w:t>
                            </w:r>
                            <w:r>
                              <w:rPr>
                                <w:b/>
                                <w:color w:val="0F0F0F"/>
                                <w:spacing w:val="-5"/>
                                <w:sz w:val="18"/>
                              </w:rPr>
                              <w:t>23</w:t>
                            </w:r>
                          </w:p>
                        </w:tc>
                      </w:tr>
                      <w:tr>
                        <w:trPr>
                          <w:trHeight w:val="242" w:hRule="atLeast"/>
                        </w:trPr>
                        <w:tc>
                          <w:tcPr>
                            <w:tcW w:w="1231" w:type="dxa"/>
                          </w:tcPr>
                          <w:p>
                            <w:pPr>
                              <w:pStyle w:val="TableParagraph"/>
                              <w:spacing w:before="21" w:line="201" w:lineRule="exact"/>
                              <w:ind w:left="6" w:right="93"/>
                              <w:jc w:val="center"/>
                              <w:rPr>
                                <w:b/>
                                <w:sz w:val="18"/>
                              </w:rPr>
                            </w:pPr>
                            <w:r>
                              <w:rPr>
                                <w:b/>
                                <w:color w:val="0F0F0F"/>
                                <w:spacing w:val="-4"/>
                                <w:sz w:val="18"/>
                              </w:rPr>
                              <w:t>£000</w:t>
                            </w:r>
                          </w:p>
                        </w:tc>
                        <w:tc>
                          <w:tcPr>
                            <w:tcW w:w="1447" w:type="dxa"/>
                          </w:tcPr>
                          <w:p>
                            <w:pPr>
                              <w:pStyle w:val="TableParagraph"/>
                              <w:spacing w:before="35" w:line="187" w:lineRule="exact"/>
                              <w:ind w:left="10" w:right="14"/>
                              <w:jc w:val="center"/>
                              <w:rPr>
                                <w:b/>
                                <w:sz w:val="18"/>
                              </w:rPr>
                            </w:pPr>
                            <w:r>
                              <w:rPr>
                                <w:b/>
                                <w:color w:val="0F0F0F"/>
                                <w:spacing w:val="-4"/>
                                <w:sz w:val="18"/>
                              </w:rPr>
                              <w:t>£000</w:t>
                            </w:r>
                          </w:p>
                        </w:tc>
                        <w:tc>
                          <w:tcPr>
                            <w:tcW w:w="1332" w:type="dxa"/>
                          </w:tcPr>
                          <w:p>
                            <w:pPr>
                              <w:pStyle w:val="TableParagraph"/>
                              <w:spacing w:before="54" w:line="168" w:lineRule="exact"/>
                              <w:ind w:left="26" w:right="22"/>
                              <w:jc w:val="center"/>
                              <w:rPr>
                                <w:b/>
                                <w:sz w:val="18"/>
                              </w:rPr>
                            </w:pPr>
                            <w:r>
                              <w:rPr>
                                <w:b/>
                                <w:color w:val="0F0F0F"/>
                                <w:spacing w:val="-4"/>
                                <w:sz w:val="18"/>
                              </w:rPr>
                              <w:t>£000</w:t>
                            </w:r>
                          </w:p>
                        </w:tc>
                        <w:tc>
                          <w:tcPr>
                            <w:tcW w:w="1088" w:type="dxa"/>
                          </w:tcPr>
                          <w:p>
                            <w:pPr>
                              <w:pStyle w:val="TableParagraph"/>
                              <w:spacing w:before="69" w:line="153" w:lineRule="exact"/>
                              <w:ind w:left="133"/>
                              <w:jc w:val="center"/>
                              <w:rPr>
                                <w:b/>
                                <w:sz w:val="18"/>
                              </w:rPr>
                            </w:pPr>
                            <w:r>
                              <w:rPr>
                                <w:b/>
                                <w:color w:val="0F0F0F"/>
                                <w:spacing w:val="-4"/>
                                <w:sz w:val="18"/>
                              </w:rPr>
                              <w:t>£000</w:t>
                            </w:r>
                          </w:p>
                        </w:tc>
                      </w:tr>
                    </w:tbl>
                    <w:p>
                      <w:pPr>
                        <w:pStyle w:val="BodyText"/>
                      </w:pPr>
                    </w:p>
                  </w:txbxContent>
                </v:textbox>
                <w10:wrap type="none"/>
              </v:shape>
            </w:pict>
          </ve:Fallback>
        </ve:AlternateContent>
      </w:r>
      <w:r>
        <w:rPr>
          <w:b/>
          <w:color w:val="0F0F0F"/>
          <w:spacing w:val="-4"/>
          <w:sz w:val="18"/>
        </w:rPr>
        <w:t>£000</w:t>
      </w:r>
    </w:p>
    <w:p>
      <w:pPr>
        <w:spacing w:after="0" w:line="164" w:lineRule="exact"/>
        <w:jc w:val="center"/>
        <w:rPr>
          <w:sz w:val="18"/>
        </w:rPr>
        <w:sectPr>
          <w:type w:val="continuous"/>
          <w:pgSz w:w="16830" w:h="11910" w:orient="landscape"/>
          <w:pgMar w:top="1940" w:right="240" w:bottom="280" w:left="500" w:header="0" w:footer="0"/>
          <w:cols w:equalWidth="0" w:num="2">
            <w:col w:w="8993" w:space="40"/>
            <w:col w:w="7057"/>
          </w:cols>
        </w:sectPr>
      </w:pPr>
    </w:p>
    <w:p>
      <w:pPr>
        <w:tabs>
          <w:tab w:val="left" w:leader="none" w:pos="1037"/>
          <w:tab w:val="left" w:leader="none" w:pos="2442"/>
          <w:tab w:val="left" w:leader="none" w:pos="6521"/>
        </w:tabs>
        <w:spacing w:before="0" w:line="224" w:lineRule="exact"/>
        <w:ind w:left="0" w:right="226" w:firstLine="0"/>
        <w:jc w:val="right"/>
        <w:rPr>
          <w:b/>
          <w:sz w:val="18"/>
        </w:rPr>
      </w:pPr>
      <w:r>
        <w:rPr/>
        <ve:AlternateContent>
          <ve:Choice Requires="wps">
            <w:drawing>
              <wp:anchor distT="0" distB="0" distL="0" distR="0" simplePos="0" relativeHeight="15851520" behindDoc="0" locked="0" layoutInCell="1" allowOverlap="1">
                <wp:simplePos x="0" y="0"/>
                <wp:positionH relativeFrom="page">
                  <wp:posOffset>5688778</wp:posOffset>
                </wp:positionH>
                <wp:positionV relativeFrom="paragraph">
                  <wp:posOffset>132874</wp:posOffset>
                </wp:positionV>
                <wp:extent cx="3060700" cy="547369"/>
                <wp:effectExtent l="0" t="0" r="0" b="0"/>
                <wp:wrapNone/>
                <wp:docPr id="557" name="Textbox 557"/>
                <wp:cNvGraphicFramePr>
                  <a:graphicFrameLocks/>
                </wp:cNvGraphicFramePr>
                <a:graphic>
                  <a:graphicData uri="http://schemas.microsoft.com/office/word/2010/wordprocessingShape">
                    <wps:wsp>
                      <wps:cNvPr id="557" name="Textbox 557"/>
                      <wps:cNvSpPr txBox="1"/>
                      <wps:spPr>
                        <a:xfrm>
                          <a:off x="0" y="0"/>
                          <a:ext cx="3060700" cy="547369"/>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971"/>
                              <w:gridCol w:w="1298"/>
                              <w:gridCol w:w="1458"/>
                              <w:gridCol w:w="973"/>
                            </w:tblGrid>
                            <w:tr>
                              <w:trPr>
                                <w:trHeight w:val="333" w:hRule="atLeast"/>
                              </w:trPr>
                              <w:tc>
                                <w:tcPr>
                                  <w:tcW w:w="971" w:type="dxa"/>
                                </w:tcPr>
                                <w:p>
                                  <w:pPr>
                                    <w:pStyle w:val="TableParagraph"/>
                                    <w:spacing w:before="2" w:line="182" w:lineRule="exact"/>
                                    <w:ind w:right="100"/>
                                    <w:jc w:val="center"/>
                                    <w:rPr>
                                      <w:sz w:val="17"/>
                                    </w:rPr>
                                  </w:pPr>
                                  <w:r>
                                    <w:rPr>
                                      <w:color w:val="0F0F0F"/>
                                      <w:spacing w:val="-10"/>
                                      <w:w w:val="80"/>
                                      <w:sz w:val="17"/>
                                    </w:rPr>
                                    <w:t>8</w:t>
                                  </w:r>
                                </w:p>
                                <w:p>
                                  <w:pPr>
                                    <w:pStyle w:val="TableParagraph"/>
                                    <w:spacing w:line="129" w:lineRule="exact"/>
                                    <w:ind w:left="96" w:right="100"/>
                                    <w:jc w:val="center"/>
                                    <w:rPr>
                                      <w:sz w:val="22"/>
                                    </w:rPr>
                                  </w:pPr>
                                  <w:r>
                                    <w:rPr>
                                      <w:color w:val="4D4D4D"/>
                                      <w:spacing w:val="-10"/>
                                      <w:sz w:val="22"/>
                                    </w:rPr>
                                    <w:t>-</w:t>
                                  </w:r>
                                </w:p>
                              </w:tc>
                              <w:tc>
                                <w:tcPr>
                                  <w:tcW w:w="1298" w:type="dxa"/>
                                </w:tcPr>
                                <w:p>
                                  <w:pPr>
                                    <w:pStyle w:val="TableParagraph"/>
                                    <w:spacing w:before="7"/>
                                    <w:ind w:left="465"/>
                                    <w:rPr>
                                      <w:sz w:val="17"/>
                                    </w:rPr>
                                  </w:pPr>
                                  <w:r>
                                    <w:rPr>
                                      <w:color w:val="0F0F0F"/>
                                      <w:spacing w:val="-4"/>
                                      <w:w w:val="105"/>
                                      <w:sz w:val="17"/>
                                    </w:rPr>
                                    <w:t>(150)</w:t>
                                  </w:r>
                                </w:p>
                              </w:tc>
                              <w:tc>
                                <w:tcPr>
                                  <w:tcW w:w="1458" w:type="dxa"/>
                                </w:tcPr>
                                <w:p>
                                  <w:pPr>
                                    <w:pStyle w:val="TableParagraph"/>
                                    <w:spacing w:before="7"/>
                                    <w:ind w:right="461"/>
                                    <w:jc w:val="right"/>
                                    <w:rPr>
                                      <w:b/>
                                      <w:sz w:val="18"/>
                                    </w:rPr>
                                  </w:pPr>
                                  <w:r>
                                    <w:rPr>
                                      <w:b/>
                                      <w:color w:val="0F0F0F"/>
                                      <w:spacing w:val="-2"/>
                                      <w:sz w:val="18"/>
                                    </w:rPr>
                                    <w:t>(142)</w:t>
                                  </w:r>
                                </w:p>
                              </w:tc>
                              <w:tc>
                                <w:tcPr>
                                  <w:tcW w:w="973" w:type="dxa"/>
                                </w:tcPr>
                                <w:p>
                                  <w:pPr>
                                    <w:pStyle w:val="TableParagraph"/>
                                    <w:spacing w:before="45"/>
                                    <w:ind w:right="50"/>
                                    <w:jc w:val="right"/>
                                    <w:rPr>
                                      <w:sz w:val="17"/>
                                    </w:rPr>
                                  </w:pPr>
                                  <w:r>
                                    <w:rPr>
                                      <w:color w:val="0F0F0F"/>
                                      <w:spacing w:val="-5"/>
                                      <w:w w:val="110"/>
                                      <w:sz w:val="17"/>
                                    </w:rPr>
                                    <w:t>10</w:t>
                                  </w:r>
                                </w:p>
                              </w:tc>
                            </w:tr>
                            <w:tr>
                              <w:trPr>
                                <w:trHeight w:val="309" w:hRule="atLeast"/>
                              </w:trPr>
                              <w:tc>
                                <w:tcPr>
                                  <w:tcW w:w="971" w:type="dxa"/>
                                </w:tcPr>
                                <w:p>
                                  <w:pPr>
                                    <w:pStyle w:val="TableParagraph"/>
                                    <w:spacing w:before="92"/>
                                    <w:ind w:right="459"/>
                                    <w:jc w:val="right"/>
                                    <w:rPr>
                                      <w:sz w:val="17"/>
                                    </w:rPr>
                                  </w:pPr>
                                  <w:r>
                                    <w:rPr>
                                      <w:color w:val="0F0F0F"/>
                                      <w:spacing w:val="-5"/>
                                      <w:w w:val="110"/>
                                      <w:sz w:val="17"/>
                                    </w:rPr>
                                    <w:t>105</w:t>
                                  </w:r>
                                </w:p>
                              </w:tc>
                              <w:tc>
                                <w:tcPr>
                                  <w:tcW w:w="1298" w:type="dxa"/>
                                </w:tcPr>
                                <w:p>
                                  <w:pPr>
                                    <w:pStyle w:val="TableParagraph"/>
                                    <w:rPr>
                                      <w:rFonts w:ascii="Times New Roman"/>
                                      <w:sz w:val="16"/>
                                    </w:rPr>
                                  </w:pPr>
                                </w:p>
                              </w:tc>
                              <w:tc>
                                <w:tcPr>
                                  <w:tcW w:w="1458" w:type="dxa"/>
                                </w:tcPr>
                                <w:p>
                                  <w:pPr>
                                    <w:pStyle w:val="TableParagraph"/>
                                    <w:spacing w:before="102" w:line="188" w:lineRule="exact"/>
                                    <w:ind w:right="465"/>
                                    <w:jc w:val="right"/>
                                    <w:rPr>
                                      <w:b/>
                                      <w:sz w:val="18"/>
                                    </w:rPr>
                                  </w:pPr>
                                  <w:r>
                                    <w:rPr>
                                      <w:b/>
                                      <w:color w:val="0F0F0F"/>
                                      <w:spacing w:val="-2"/>
                                      <w:sz w:val="18"/>
                                    </w:rPr>
                                    <w:t>(6,753)</w:t>
                                  </w:r>
                                </w:p>
                              </w:tc>
                              <w:tc>
                                <w:tcPr>
                                  <w:tcW w:w="973" w:type="dxa"/>
                                </w:tcPr>
                                <w:p>
                                  <w:pPr>
                                    <w:pStyle w:val="TableParagraph"/>
                                    <w:spacing w:before="135" w:line="155" w:lineRule="exact"/>
                                    <w:ind w:right="48"/>
                                    <w:jc w:val="right"/>
                                    <w:rPr>
                                      <w:sz w:val="17"/>
                                    </w:rPr>
                                  </w:pPr>
                                  <w:r>
                                    <w:rPr>
                                      <w:color w:val="0F0F0F"/>
                                      <w:spacing w:val="-5"/>
                                      <w:w w:val="110"/>
                                      <w:sz w:val="17"/>
                                    </w:rPr>
                                    <w:t>366</w:t>
                                  </w:r>
                                </w:p>
                              </w:tc>
                            </w:tr>
                            <w:tr>
                              <w:trPr>
                                <w:trHeight w:val="220" w:hRule="atLeast"/>
                              </w:trPr>
                              <w:tc>
                                <w:tcPr>
                                  <w:tcW w:w="971" w:type="dxa"/>
                                </w:tcPr>
                                <w:p>
                                  <w:pPr>
                                    <w:pStyle w:val="TableParagraph"/>
                                    <w:spacing w:line="184" w:lineRule="exact"/>
                                    <w:ind w:right="463"/>
                                    <w:jc w:val="right"/>
                                    <w:rPr>
                                      <w:sz w:val="17"/>
                                    </w:rPr>
                                  </w:pPr>
                                  <w:r>
                                    <w:rPr>
                                      <w:color w:val="0F0F0F"/>
                                      <w:spacing w:val="-4"/>
                                      <w:w w:val="105"/>
                                      <w:sz w:val="17"/>
                                    </w:rPr>
                                    <w:t>3,294</w:t>
                                  </w:r>
                                </w:p>
                              </w:tc>
                              <w:tc>
                                <w:tcPr>
                                  <w:tcW w:w="1298" w:type="dxa"/>
                                </w:tcPr>
                                <w:p>
                                  <w:pPr>
                                    <w:pStyle w:val="TableParagraph"/>
                                    <w:rPr>
                                      <w:rFonts w:ascii="Times New Roman"/>
                                      <w:sz w:val="14"/>
                                    </w:rPr>
                                  </w:pPr>
                                </w:p>
                              </w:tc>
                              <w:tc>
                                <w:tcPr>
                                  <w:tcW w:w="1458" w:type="dxa"/>
                                </w:tcPr>
                                <w:p>
                                  <w:pPr>
                                    <w:pStyle w:val="TableParagraph"/>
                                    <w:spacing w:line="200" w:lineRule="exact"/>
                                    <w:ind w:right="465"/>
                                    <w:jc w:val="right"/>
                                    <w:rPr>
                                      <w:b/>
                                      <w:sz w:val="18"/>
                                    </w:rPr>
                                  </w:pPr>
                                  <w:r>
                                    <w:rPr>
                                      <w:b/>
                                      <w:color w:val="0F0F0F"/>
                                      <w:spacing w:val="-2"/>
                                      <w:sz w:val="18"/>
                                    </w:rPr>
                                    <w:t>(6,391)</w:t>
                                  </w:r>
                                </w:p>
                              </w:tc>
                              <w:tc>
                                <w:tcPr>
                                  <w:tcW w:w="973" w:type="dxa"/>
                                </w:tcPr>
                                <w:p>
                                  <w:pPr>
                                    <w:pStyle w:val="TableParagraph"/>
                                    <w:spacing w:before="32" w:line="168" w:lineRule="exact"/>
                                    <w:ind w:right="55"/>
                                    <w:jc w:val="right"/>
                                    <w:rPr>
                                      <w:sz w:val="17"/>
                                    </w:rPr>
                                  </w:pPr>
                                  <w:r>
                                    <w:rPr>
                                      <w:color w:val="0F0F0F"/>
                                      <w:spacing w:val="-4"/>
                                      <w:w w:val="105"/>
                                      <w:sz w:val="17"/>
                                    </w:rPr>
                                    <w:t>5,942</w:t>
                                  </w:r>
                                </w:p>
                              </w:tc>
                            </w:tr>
                          </w:tbl>
                          <w:p>
                            <w:pPr>
                              <w:pStyle w:val="BodyText"/>
                            </w:pPr>
                          </w:p>
                        </w:txbxContent>
                      </wps:txbx>
                      <wps:bodyPr wrap="square" lIns="0" tIns="0" rIns="0" bIns="0" rtlCol="0">
                        <a:noAutofit/>
                      </wps:bodyPr>
                    </wps:wsp>
                  </a:graphicData>
                </a:graphic>
              </wp:anchor>
            </w:drawing>
          </ve:Choice>
          <ve:Fallback>
            <w:pict>
              <v:shape id="docshape368" style="position:absolute;margin-left:447.935303pt;margin-top:10.462535pt;width:241pt;height:43.1pt;mso-position-horizontal-relative:page;mso-position-vertical-relative:paragraph;z-index:15851520"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971"/>
                        <w:gridCol w:w="1298"/>
                        <w:gridCol w:w="1458"/>
                        <w:gridCol w:w="973"/>
                      </w:tblGrid>
                      <w:tr>
                        <w:trPr>
                          <w:trHeight w:val="333" w:hRule="atLeast"/>
                        </w:trPr>
                        <w:tc>
                          <w:tcPr>
                            <w:tcW w:w="971" w:type="dxa"/>
                          </w:tcPr>
                          <w:p>
                            <w:pPr>
                              <w:pStyle w:val="TableParagraph"/>
                              <w:spacing w:before="2" w:line="182" w:lineRule="exact"/>
                              <w:ind w:right="100"/>
                              <w:jc w:val="center"/>
                              <w:rPr>
                                <w:sz w:val="17"/>
                              </w:rPr>
                            </w:pPr>
                            <w:r>
                              <w:rPr>
                                <w:color w:val="0F0F0F"/>
                                <w:spacing w:val="-10"/>
                                <w:w w:val="80"/>
                                <w:sz w:val="17"/>
                              </w:rPr>
                              <w:t>8</w:t>
                            </w:r>
                          </w:p>
                          <w:p>
                            <w:pPr>
                              <w:pStyle w:val="TableParagraph"/>
                              <w:spacing w:line="129" w:lineRule="exact"/>
                              <w:ind w:left="96" w:right="100"/>
                              <w:jc w:val="center"/>
                              <w:rPr>
                                <w:sz w:val="22"/>
                              </w:rPr>
                            </w:pPr>
                            <w:r>
                              <w:rPr>
                                <w:color w:val="4D4D4D"/>
                                <w:spacing w:val="-10"/>
                                <w:sz w:val="22"/>
                              </w:rPr>
                              <w:t>-</w:t>
                            </w:r>
                          </w:p>
                        </w:tc>
                        <w:tc>
                          <w:tcPr>
                            <w:tcW w:w="1298" w:type="dxa"/>
                          </w:tcPr>
                          <w:p>
                            <w:pPr>
                              <w:pStyle w:val="TableParagraph"/>
                              <w:spacing w:before="7"/>
                              <w:ind w:left="465"/>
                              <w:rPr>
                                <w:sz w:val="17"/>
                              </w:rPr>
                            </w:pPr>
                            <w:r>
                              <w:rPr>
                                <w:color w:val="0F0F0F"/>
                                <w:spacing w:val="-4"/>
                                <w:w w:val="105"/>
                                <w:sz w:val="17"/>
                              </w:rPr>
                              <w:t>(150)</w:t>
                            </w:r>
                          </w:p>
                        </w:tc>
                        <w:tc>
                          <w:tcPr>
                            <w:tcW w:w="1458" w:type="dxa"/>
                          </w:tcPr>
                          <w:p>
                            <w:pPr>
                              <w:pStyle w:val="TableParagraph"/>
                              <w:spacing w:before="7"/>
                              <w:ind w:right="461"/>
                              <w:jc w:val="right"/>
                              <w:rPr>
                                <w:b/>
                                <w:sz w:val="18"/>
                              </w:rPr>
                            </w:pPr>
                            <w:r>
                              <w:rPr>
                                <w:b/>
                                <w:color w:val="0F0F0F"/>
                                <w:spacing w:val="-2"/>
                                <w:sz w:val="18"/>
                              </w:rPr>
                              <w:t>(142)</w:t>
                            </w:r>
                          </w:p>
                        </w:tc>
                        <w:tc>
                          <w:tcPr>
                            <w:tcW w:w="973" w:type="dxa"/>
                          </w:tcPr>
                          <w:p>
                            <w:pPr>
                              <w:pStyle w:val="TableParagraph"/>
                              <w:spacing w:before="45"/>
                              <w:ind w:right="50"/>
                              <w:jc w:val="right"/>
                              <w:rPr>
                                <w:sz w:val="17"/>
                              </w:rPr>
                            </w:pPr>
                            <w:r>
                              <w:rPr>
                                <w:color w:val="0F0F0F"/>
                                <w:spacing w:val="-5"/>
                                <w:w w:val="110"/>
                                <w:sz w:val="17"/>
                              </w:rPr>
                              <w:t>10</w:t>
                            </w:r>
                          </w:p>
                        </w:tc>
                      </w:tr>
                      <w:tr>
                        <w:trPr>
                          <w:trHeight w:val="309" w:hRule="atLeast"/>
                        </w:trPr>
                        <w:tc>
                          <w:tcPr>
                            <w:tcW w:w="971" w:type="dxa"/>
                          </w:tcPr>
                          <w:p>
                            <w:pPr>
                              <w:pStyle w:val="TableParagraph"/>
                              <w:spacing w:before="92"/>
                              <w:ind w:right="459"/>
                              <w:jc w:val="right"/>
                              <w:rPr>
                                <w:sz w:val="17"/>
                              </w:rPr>
                            </w:pPr>
                            <w:r>
                              <w:rPr>
                                <w:color w:val="0F0F0F"/>
                                <w:spacing w:val="-5"/>
                                <w:w w:val="110"/>
                                <w:sz w:val="17"/>
                              </w:rPr>
                              <w:t>105</w:t>
                            </w:r>
                          </w:p>
                        </w:tc>
                        <w:tc>
                          <w:tcPr>
                            <w:tcW w:w="1298" w:type="dxa"/>
                          </w:tcPr>
                          <w:p>
                            <w:pPr>
                              <w:pStyle w:val="TableParagraph"/>
                              <w:rPr>
                                <w:rFonts w:ascii="Times New Roman"/>
                                <w:sz w:val="16"/>
                              </w:rPr>
                            </w:pPr>
                          </w:p>
                        </w:tc>
                        <w:tc>
                          <w:tcPr>
                            <w:tcW w:w="1458" w:type="dxa"/>
                          </w:tcPr>
                          <w:p>
                            <w:pPr>
                              <w:pStyle w:val="TableParagraph"/>
                              <w:spacing w:before="102" w:line="188" w:lineRule="exact"/>
                              <w:ind w:right="465"/>
                              <w:jc w:val="right"/>
                              <w:rPr>
                                <w:b/>
                                <w:sz w:val="18"/>
                              </w:rPr>
                            </w:pPr>
                            <w:r>
                              <w:rPr>
                                <w:b/>
                                <w:color w:val="0F0F0F"/>
                                <w:spacing w:val="-2"/>
                                <w:sz w:val="18"/>
                              </w:rPr>
                              <w:t>(6,753)</w:t>
                            </w:r>
                          </w:p>
                        </w:tc>
                        <w:tc>
                          <w:tcPr>
                            <w:tcW w:w="973" w:type="dxa"/>
                          </w:tcPr>
                          <w:p>
                            <w:pPr>
                              <w:pStyle w:val="TableParagraph"/>
                              <w:spacing w:before="135" w:line="155" w:lineRule="exact"/>
                              <w:ind w:right="48"/>
                              <w:jc w:val="right"/>
                              <w:rPr>
                                <w:sz w:val="17"/>
                              </w:rPr>
                            </w:pPr>
                            <w:r>
                              <w:rPr>
                                <w:color w:val="0F0F0F"/>
                                <w:spacing w:val="-5"/>
                                <w:w w:val="110"/>
                                <w:sz w:val="17"/>
                              </w:rPr>
                              <w:t>366</w:t>
                            </w:r>
                          </w:p>
                        </w:tc>
                      </w:tr>
                      <w:tr>
                        <w:trPr>
                          <w:trHeight w:val="220" w:hRule="atLeast"/>
                        </w:trPr>
                        <w:tc>
                          <w:tcPr>
                            <w:tcW w:w="971" w:type="dxa"/>
                          </w:tcPr>
                          <w:p>
                            <w:pPr>
                              <w:pStyle w:val="TableParagraph"/>
                              <w:spacing w:line="184" w:lineRule="exact"/>
                              <w:ind w:right="463"/>
                              <w:jc w:val="right"/>
                              <w:rPr>
                                <w:sz w:val="17"/>
                              </w:rPr>
                            </w:pPr>
                            <w:r>
                              <w:rPr>
                                <w:color w:val="0F0F0F"/>
                                <w:spacing w:val="-4"/>
                                <w:w w:val="105"/>
                                <w:sz w:val="17"/>
                              </w:rPr>
                              <w:t>3,294</w:t>
                            </w:r>
                          </w:p>
                        </w:tc>
                        <w:tc>
                          <w:tcPr>
                            <w:tcW w:w="1298" w:type="dxa"/>
                          </w:tcPr>
                          <w:p>
                            <w:pPr>
                              <w:pStyle w:val="TableParagraph"/>
                              <w:rPr>
                                <w:rFonts w:ascii="Times New Roman"/>
                                <w:sz w:val="14"/>
                              </w:rPr>
                            </w:pPr>
                          </w:p>
                        </w:tc>
                        <w:tc>
                          <w:tcPr>
                            <w:tcW w:w="1458" w:type="dxa"/>
                          </w:tcPr>
                          <w:p>
                            <w:pPr>
                              <w:pStyle w:val="TableParagraph"/>
                              <w:spacing w:line="200" w:lineRule="exact"/>
                              <w:ind w:right="465"/>
                              <w:jc w:val="right"/>
                              <w:rPr>
                                <w:b/>
                                <w:sz w:val="18"/>
                              </w:rPr>
                            </w:pPr>
                            <w:r>
                              <w:rPr>
                                <w:b/>
                                <w:color w:val="0F0F0F"/>
                                <w:spacing w:val="-2"/>
                                <w:sz w:val="18"/>
                              </w:rPr>
                              <w:t>(6,391)</w:t>
                            </w:r>
                          </w:p>
                        </w:tc>
                        <w:tc>
                          <w:tcPr>
                            <w:tcW w:w="973" w:type="dxa"/>
                          </w:tcPr>
                          <w:p>
                            <w:pPr>
                              <w:pStyle w:val="TableParagraph"/>
                              <w:spacing w:before="32" w:line="168" w:lineRule="exact"/>
                              <w:ind w:right="55"/>
                              <w:jc w:val="right"/>
                              <w:rPr>
                                <w:sz w:val="17"/>
                              </w:rPr>
                            </w:pPr>
                            <w:r>
                              <w:rPr>
                                <w:color w:val="0F0F0F"/>
                                <w:spacing w:val="-4"/>
                                <w:w w:val="105"/>
                                <w:sz w:val="17"/>
                              </w:rPr>
                              <w:t>5,942</w:t>
                            </w:r>
                          </w:p>
                        </w:tc>
                      </w:tr>
                    </w:tbl>
                    <w:p>
                      <w:pPr>
                        <w:pStyle w:val="BodyText"/>
                      </w:pPr>
                    </w:p>
                  </w:txbxContent>
                </v:textbox>
                <w10:wrap type="none"/>
              </v:shape>
            </w:pict>
          </ve:Fallback>
        </ve:AlternateContent>
      </w:r>
      <w:r>
        <w:rPr>
          <w:color w:val="0F0F0F"/>
          <w:spacing w:val="-10"/>
          <w:position w:val="2"/>
          <w:sz w:val="17"/>
        </w:rPr>
        <w:t>1</w:t>
      </w:r>
      <w:r>
        <w:rPr>
          <w:color w:val="0F0F0F"/>
          <w:position w:val="2"/>
          <w:sz w:val="17"/>
        </w:rPr>
        <w:tab/>
      </w:r>
      <w:r>
        <w:rPr>
          <w:color w:val="0F0F0F"/>
          <w:spacing w:val="-4"/>
          <w:position w:val="1"/>
          <w:sz w:val="17"/>
        </w:rPr>
        <w:t>(100)</w:t>
      </w:r>
      <w:r>
        <w:rPr>
          <w:color w:val="0F0F0F"/>
          <w:position w:val="1"/>
          <w:sz w:val="17"/>
        </w:rPr>
        <w:tab/>
      </w:r>
      <w:r>
        <w:rPr>
          <w:b/>
          <w:color w:val="0F0F0F"/>
          <w:spacing w:val="-2"/>
          <w:sz w:val="18"/>
        </w:rPr>
        <w:t>(201)</w:t>
      </w:r>
      <w:r>
        <w:rPr>
          <w:b/>
          <w:color w:val="0F0F0F"/>
          <w:sz w:val="18"/>
        </w:rPr>
        <w:tab/>
      </w:r>
      <w:r>
        <w:rPr>
          <w:b/>
          <w:color w:val="0F0F0F"/>
          <w:spacing w:val="-2"/>
          <w:position w:val="-3"/>
          <w:sz w:val="18"/>
        </w:rPr>
        <w:t>(201)</w:t>
      </w:r>
    </w:p>
    <w:p>
      <w:pPr>
        <w:tabs>
          <w:tab w:val="left" w:leader="none" w:pos="1167"/>
        </w:tabs>
        <w:spacing w:before="0" w:line="267" w:lineRule="exact"/>
        <w:ind w:left="0" w:right="234" w:firstLine="0"/>
        <w:jc w:val="right"/>
        <w:rPr>
          <w:b/>
          <w:sz w:val="18"/>
        </w:rPr>
      </w:pPr>
      <w:r>
        <w:rPr>
          <w:color w:val="4D4D4D"/>
          <w:spacing w:val="-10"/>
          <w:position w:val="-1"/>
          <w:sz w:val="27"/>
        </w:rPr>
        <w:t>-</w:t>
      </w:r>
      <w:r>
        <w:rPr>
          <w:color w:val="4D4D4D"/>
          <w:position w:val="-1"/>
          <w:sz w:val="27"/>
        </w:rPr>
        <w:tab/>
      </w:r>
      <w:r>
        <w:rPr>
          <w:b/>
          <w:color w:val="0F0F0F"/>
          <w:spacing w:val="-4"/>
          <w:sz w:val="18"/>
        </w:rPr>
        <w:t>(132)</w:t>
      </w:r>
    </w:p>
    <w:p>
      <w:pPr>
        <w:tabs>
          <w:tab w:val="left" w:leader="none" w:pos="1525"/>
        </w:tabs>
        <w:spacing w:before="0" w:line="192" w:lineRule="exact"/>
        <w:ind w:left="0" w:right="226" w:firstLine="0"/>
        <w:jc w:val="right"/>
        <w:rPr>
          <w:b/>
          <w:sz w:val="18"/>
        </w:rPr>
      </w:pPr>
      <w:r>
        <w:rPr>
          <w:color w:val="0F0F0F"/>
          <w:spacing w:val="-4"/>
          <w:w w:val="105"/>
          <w:position w:val="1"/>
          <w:sz w:val="17"/>
        </w:rPr>
        <w:t>(200)</w:t>
      </w:r>
      <w:r>
        <w:rPr>
          <w:color w:val="0F0F0F"/>
          <w:position w:val="1"/>
          <w:sz w:val="17"/>
        </w:rPr>
        <w:tab/>
      </w:r>
      <w:r>
        <w:rPr>
          <w:b/>
          <w:color w:val="0F0F0F"/>
          <w:spacing w:val="-2"/>
          <w:w w:val="105"/>
          <w:sz w:val="18"/>
        </w:rPr>
        <w:t>(200)</w:t>
      </w:r>
    </w:p>
    <w:p>
      <w:pPr>
        <w:tabs>
          <w:tab w:val="left" w:leader="none" w:pos="1525"/>
        </w:tabs>
        <w:spacing w:before="0" w:line="207" w:lineRule="exact"/>
        <w:ind w:left="0" w:right="235" w:firstLine="0"/>
        <w:jc w:val="right"/>
        <w:rPr>
          <w:b/>
          <w:sz w:val="18"/>
        </w:rPr>
      </w:pPr>
      <w:r>
        <w:rPr>
          <w:color w:val="0F0F0F"/>
          <w:spacing w:val="-2"/>
          <w:position w:val="1"/>
          <w:sz w:val="17"/>
        </w:rPr>
        <w:t>(1,861)</w:t>
      </w:r>
      <w:r>
        <w:rPr>
          <w:color w:val="0F0F0F"/>
          <w:position w:val="1"/>
          <w:sz w:val="17"/>
        </w:rPr>
        <w:tab/>
      </w:r>
      <w:r>
        <w:rPr>
          <w:b/>
          <w:color w:val="0F0F0F"/>
          <w:spacing w:val="-2"/>
          <w:sz w:val="18"/>
        </w:rPr>
        <w:t>(8,248)</w:t>
      </w:r>
    </w:p>
    <w:p>
      <w:pPr>
        <w:spacing w:before="4" w:line="178" w:lineRule="exact"/>
        <w:ind w:left="0" w:right="231" w:firstLine="0"/>
        <w:jc w:val="right"/>
        <w:rPr>
          <w:b/>
          <w:sz w:val="18"/>
        </w:rPr>
      </w:pPr>
      <w:r>
        <w:rPr/>
        <ve:AlternateContent>
          <ve:Choice Requires="wps">
            <w:drawing>
              <wp:anchor distT="0" distB="0" distL="0" distR="0" simplePos="0" relativeHeight="15851008" behindDoc="0" locked="0" layoutInCell="1" allowOverlap="1">
                <wp:simplePos x="0" y="0"/>
                <wp:positionH relativeFrom="page">
                  <wp:posOffset>7458769</wp:posOffset>
                </wp:positionH>
                <wp:positionV relativeFrom="paragraph">
                  <wp:posOffset>116386</wp:posOffset>
                </wp:positionV>
                <wp:extent cx="2999740" cy="680719"/>
                <wp:effectExtent l="0" t="0" r="0" b="0"/>
                <wp:wrapNone/>
                <wp:docPr id="558" name="Textbox 558"/>
                <wp:cNvGraphicFramePr>
                  <a:graphicFrameLocks/>
                </wp:cNvGraphicFramePr>
                <a:graphic>
                  <a:graphicData uri="http://schemas.microsoft.com/office/word/2010/wordprocessingShape">
                    <wps:wsp>
                      <wps:cNvPr id="558" name="Textbox 558"/>
                      <wps:cNvSpPr txBox="1"/>
                      <wps:spPr>
                        <a:xfrm>
                          <a:off x="0" y="0"/>
                          <a:ext cx="2999740" cy="680719"/>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015"/>
                              <w:gridCol w:w="1271"/>
                              <w:gridCol w:w="1290"/>
                              <w:gridCol w:w="1028"/>
                            </w:tblGrid>
                            <w:tr>
                              <w:trPr>
                                <w:trHeight w:val="225" w:hRule="atLeast"/>
                              </w:trPr>
                              <w:tc>
                                <w:tcPr>
                                  <w:tcW w:w="1015" w:type="dxa"/>
                                </w:tcPr>
                                <w:p>
                                  <w:pPr>
                                    <w:pStyle w:val="TableParagraph"/>
                                    <w:spacing w:line="201" w:lineRule="exact"/>
                                    <w:ind w:left="50"/>
                                    <w:rPr>
                                      <w:b/>
                                      <w:sz w:val="18"/>
                                    </w:rPr>
                                  </w:pPr>
                                  <w:r>
                                    <w:rPr>
                                      <w:b/>
                                      <w:color w:val="0F0F0F"/>
                                      <w:spacing w:val="-2"/>
                                      <w:sz w:val="18"/>
                                    </w:rPr>
                                    <w:t>(129)</w:t>
                                  </w:r>
                                </w:p>
                              </w:tc>
                              <w:tc>
                                <w:tcPr>
                                  <w:tcW w:w="1271" w:type="dxa"/>
                                </w:tcPr>
                                <w:p>
                                  <w:pPr>
                                    <w:pStyle w:val="TableParagraph"/>
                                    <w:rPr>
                                      <w:rFonts w:ascii="Times New Roman"/>
                                      <w:sz w:val="16"/>
                                    </w:rPr>
                                  </w:pPr>
                                </w:p>
                              </w:tc>
                              <w:tc>
                                <w:tcPr>
                                  <w:tcW w:w="1290" w:type="dxa"/>
                                </w:tcPr>
                                <w:p>
                                  <w:pPr>
                                    <w:pStyle w:val="TableParagraph"/>
                                    <w:rPr>
                                      <w:rFonts w:ascii="Times New Roman"/>
                                      <w:sz w:val="16"/>
                                    </w:rPr>
                                  </w:pPr>
                                </w:p>
                              </w:tc>
                              <w:tc>
                                <w:tcPr>
                                  <w:tcW w:w="1028" w:type="dxa"/>
                                </w:tcPr>
                                <w:p>
                                  <w:pPr>
                                    <w:pStyle w:val="TableParagraph"/>
                                    <w:spacing w:before="33" w:line="173" w:lineRule="exact"/>
                                    <w:ind w:right="48"/>
                                    <w:jc w:val="right"/>
                                    <w:rPr>
                                      <w:b/>
                                      <w:sz w:val="18"/>
                                    </w:rPr>
                                  </w:pPr>
                                  <w:r>
                                    <w:rPr>
                                      <w:b/>
                                      <w:color w:val="0F0F0F"/>
                                      <w:spacing w:val="-2"/>
                                      <w:sz w:val="18"/>
                                    </w:rPr>
                                    <w:t>(129)</w:t>
                                  </w:r>
                                </w:p>
                              </w:tc>
                            </w:tr>
                            <w:tr>
                              <w:trPr>
                                <w:trHeight w:val="209" w:hRule="atLeast"/>
                              </w:trPr>
                              <w:tc>
                                <w:tcPr>
                                  <w:tcW w:w="1015" w:type="dxa"/>
                                </w:tcPr>
                                <w:p>
                                  <w:pPr>
                                    <w:pStyle w:val="TableParagraph"/>
                                    <w:spacing w:line="187" w:lineRule="exact"/>
                                    <w:ind w:left="54"/>
                                    <w:rPr>
                                      <w:b/>
                                      <w:sz w:val="18"/>
                                    </w:rPr>
                                  </w:pPr>
                                  <w:r>
                                    <w:rPr>
                                      <w:b/>
                                      <w:color w:val="0F0F0F"/>
                                      <w:spacing w:val="-2"/>
                                      <w:sz w:val="18"/>
                                    </w:rPr>
                                    <w:t>(402)</w:t>
                                  </w:r>
                                </w:p>
                              </w:tc>
                              <w:tc>
                                <w:tcPr>
                                  <w:tcW w:w="1271" w:type="dxa"/>
                                </w:tcPr>
                                <w:p>
                                  <w:pPr>
                                    <w:pStyle w:val="TableParagraph"/>
                                    <w:spacing w:before="9" w:line="180" w:lineRule="exact"/>
                                    <w:ind w:right="426"/>
                                    <w:jc w:val="right"/>
                                    <w:rPr>
                                      <w:sz w:val="17"/>
                                    </w:rPr>
                                  </w:pPr>
                                  <w:r>
                                    <w:rPr>
                                      <w:color w:val="0F0F0F"/>
                                      <w:spacing w:val="-5"/>
                                      <w:w w:val="105"/>
                                      <w:sz w:val="17"/>
                                    </w:rPr>
                                    <w:t>457</w:t>
                                  </w:r>
                                </w:p>
                              </w:tc>
                              <w:tc>
                                <w:tcPr>
                                  <w:tcW w:w="1290" w:type="dxa"/>
                                </w:tcPr>
                                <w:p>
                                  <w:pPr>
                                    <w:pStyle w:val="TableParagraph"/>
                                    <w:spacing w:before="23" w:line="166" w:lineRule="exact"/>
                                    <w:ind w:left="422"/>
                                    <w:rPr>
                                      <w:sz w:val="17"/>
                                    </w:rPr>
                                  </w:pPr>
                                  <w:r>
                                    <w:rPr>
                                      <w:color w:val="0F0F0F"/>
                                      <w:spacing w:val="-4"/>
                                      <w:w w:val="105"/>
                                      <w:sz w:val="17"/>
                                    </w:rPr>
                                    <w:t>(55)</w:t>
                                  </w:r>
                                </w:p>
                              </w:tc>
                              <w:tc>
                                <w:tcPr>
                                  <w:tcW w:w="1028" w:type="dxa"/>
                                </w:tcPr>
                                <w:p>
                                  <w:pPr>
                                    <w:pStyle w:val="TableParagraph"/>
                                    <w:rPr>
                                      <w:rFonts w:ascii="Times New Roman"/>
                                      <w:sz w:val="14"/>
                                    </w:rPr>
                                  </w:pPr>
                                </w:p>
                              </w:tc>
                            </w:tr>
                            <w:tr>
                              <w:trPr>
                                <w:trHeight w:val="222" w:hRule="atLeast"/>
                              </w:trPr>
                              <w:tc>
                                <w:tcPr>
                                  <w:tcW w:w="1015" w:type="dxa"/>
                                </w:tcPr>
                                <w:p>
                                  <w:pPr>
                                    <w:pStyle w:val="TableParagraph"/>
                                    <w:spacing w:line="194" w:lineRule="exact"/>
                                    <w:ind w:left="54"/>
                                    <w:rPr>
                                      <w:b/>
                                      <w:sz w:val="18"/>
                                    </w:rPr>
                                  </w:pPr>
                                  <w:r>
                                    <w:rPr>
                                      <w:b/>
                                      <w:color w:val="0F0F0F"/>
                                      <w:spacing w:val="-2"/>
                                      <w:sz w:val="18"/>
                                    </w:rPr>
                                    <w:t>(202)</w:t>
                                  </w:r>
                                </w:p>
                              </w:tc>
                              <w:tc>
                                <w:tcPr>
                                  <w:tcW w:w="1271" w:type="dxa"/>
                                </w:tcPr>
                                <w:p>
                                  <w:pPr>
                                    <w:pStyle w:val="TableParagraph"/>
                                    <w:spacing w:line="203" w:lineRule="exact"/>
                                    <w:ind w:right="415"/>
                                    <w:jc w:val="right"/>
                                    <w:rPr>
                                      <w:sz w:val="22"/>
                                    </w:rPr>
                                  </w:pPr>
                                  <w:r>
                                    <w:rPr>
                                      <w:color w:val="4D4D4D"/>
                                      <w:spacing w:val="-10"/>
                                      <w:sz w:val="22"/>
                                    </w:rPr>
                                    <w:t>-</w:t>
                                  </w:r>
                                </w:p>
                              </w:tc>
                              <w:tc>
                                <w:tcPr>
                                  <w:tcW w:w="1290" w:type="dxa"/>
                                </w:tcPr>
                                <w:p>
                                  <w:pPr>
                                    <w:pStyle w:val="TableParagraph"/>
                                    <w:rPr>
                                      <w:rFonts w:ascii="Times New Roman"/>
                                      <w:sz w:val="14"/>
                                    </w:rPr>
                                  </w:pPr>
                                </w:p>
                              </w:tc>
                              <w:tc>
                                <w:tcPr>
                                  <w:tcW w:w="1028" w:type="dxa"/>
                                </w:tcPr>
                                <w:p>
                                  <w:pPr>
                                    <w:pStyle w:val="TableParagraph"/>
                                    <w:spacing w:before="26" w:line="177" w:lineRule="exact"/>
                                    <w:ind w:right="52"/>
                                    <w:jc w:val="right"/>
                                    <w:rPr>
                                      <w:b/>
                                      <w:sz w:val="18"/>
                                    </w:rPr>
                                  </w:pPr>
                                  <w:r>
                                    <w:rPr>
                                      <w:b/>
                                      <w:color w:val="0F0F0F"/>
                                      <w:spacing w:val="-2"/>
                                      <w:sz w:val="18"/>
                                    </w:rPr>
                                    <w:t>(202)</w:t>
                                  </w:r>
                                </w:p>
                              </w:tc>
                            </w:tr>
                            <w:tr>
                              <w:trPr>
                                <w:trHeight w:val="212" w:hRule="atLeast"/>
                              </w:trPr>
                              <w:tc>
                                <w:tcPr>
                                  <w:tcW w:w="1015" w:type="dxa"/>
                                </w:tcPr>
                                <w:p>
                                  <w:pPr>
                                    <w:pStyle w:val="TableParagraph"/>
                                    <w:spacing w:line="188" w:lineRule="exact"/>
                                    <w:ind w:left="50"/>
                                    <w:rPr>
                                      <w:b/>
                                      <w:sz w:val="18"/>
                                    </w:rPr>
                                  </w:pPr>
                                  <w:r>
                                    <w:rPr>
                                      <w:b/>
                                      <w:color w:val="0F0F0F"/>
                                      <w:spacing w:val="-2"/>
                                      <w:sz w:val="18"/>
                                    </w:rPr>
                                    <w:t>(212)</w:t>
                                  </w:r>
                                </w:p>
                              </w:tc>
                              <w:tc>
                                <w:tcPr>
                                  <w:tcW w:w="1271" w:type="dxa"/>
                                </w:tcPr>
                                <w:p>
                                  <w:pPr>
                                    <w:pStyle w:val="TableParagraph"/>
                                    <w:spacing w:before="9" w:line="183" w:lineRule="exact"/>
                                    <w:ind w:right="420"/>
                                    <w:jc w:val="right"/>
                                    <w:rPr>
                                      <w:sz w:val="17"/>
                                    </w:rPr>
                                  </w:pPr>
                                  <w:r>
                                    <w:rPr>
                                      <w:color w:val="0F0F0F"/>
                                      <w:spacing w:val="-5"/>
                                      <w:w w:val="110"/>
                                      <w:sz w:val="17"/>
                                    </w:rPr>
                                    <w:t>117</w:t>
                                  </w:r>
                                </w:p>
                              </w:tc>
                              <w:tc>
                                <w:tcPr>
                                  <w:tcW w:w="1290" w:type="dxa"/>
                                </w:tcPr>
                                <w:p>
                                  <w:pPr>
                                    <w:pStyle w:val="TableParagraph"/>
                                    <w:spacing w:before="19" w:line="173" w:lineRule="exact"/>
                                    <w:ind w:left="417"/>
                                    <w:rPr>
                                      <w:sz w:val="17"/>
                                    </w:rPr>
                                  </w:pPr>
                                  <w:r>
                                    <w:rPr>
                                      <w:color w:val="0F0F0F"/>
                                      <w:spacing w:val="-4"/>
                                      <w:w w:val="105"/>
                                      <w:sz w:val="17"/>
                                    </w:rPr>
                                    <w:t>(50)</w:t>
                                  </w:r>
                                </w:p>
                              </w:tc>
                              <w:tc>
                                <w:tcPr>
                                  <w:tcW w:w="1028" w:type="dxa"/>
                                </w:tcPr>
                                <w:p>
                                  <w:pPr>
                                    <w:pStyle w:val="TableParagraph"/>
                                    <w:spacing w:before="19" w:line="173" w:lineRule="exact"/>
                                    <w:ind w:right="52"/>
                                    <w:jc w:val="right"/>
                                    <w:rPr>
                                      <w:b/>
                                      <w:sz w:val="18"/>
                                    </w:rPr>
                                  </w:pPr>
                                  <w:r>
                                    <w:rPr>
                                      <w:b/>
                                      <w:color w:val="0F0F0F"/>
                                      <w:spacing w:val="-2"/>
                                      <w:sz w:val="18"/>
                                    </w:rPr>
                                    <w:t>(145)</w:t>
                                  </w:r>
                                </w:p>
                              </w:tc>
                            </w:tr>
                            <w:tr>
                              <w:trPr>
                                <w:trHeight w:val="204" w:hRule="atLeast"/>
                              </w:trPr>
                              <w:tc>
                                <w:tcPr>
                                  <w:tcW w:w="1015" w:type="dxa"/>
                                </w:tcPr>
                                <w:p>
                                  <w:pPr>
                                    <w:pStyle w:val="TableParagraph"/>
                                    <w:spacing w:line="184" w:lineRule="exact"/>
                                    <w:ind w:left="54"/>
                                    <w:rPr>
                                      <w:b/>
                                      <w:sz w:val="18"/>
                                    </w:rPr>
                                  </w:pPr>
                                  <w:r>
                                    <w:rPr>
                                      <w:b/>
                                      <w:color w:val="0F0F0F"/>
                                      <w:spacing w:val="-2"/>
                                      <w:sz w:val="18"/>
                                    </w:rPr>
                                    <w:t>(467)</w:t>
                                  </w:r>
                                </w:p>
                              </w:tc>
                              <w:tc>
                                <w:tcPr>
                                  <w:tcW w:w="1271" w:type="dxa"/>
                                </w:tcPr>
                                <w:p>
                                  <w:pPr>
                                    <w:pStyle w:val="TableParagraph"/>
                                    <w:spacing w:before="9" w:line="176" w:lineRule="exact"/>
                                    <w:ind w:right="426"/>
                                    <w:jc w:val="right"/>
                                    <w:rPr>
                                      <w:sz w:val="17"/>
                                    </w:rPr>
                                  </w:pPr>
                                  <w:r>
                                    <w:rPr>
                                      <w:color w:val="0F0F0F"/>
                                      <w:spacing w:val="-5"/>
                                      <w:w w:val="105"/>
                                      <w:sz w:val="17"/>
                                    </w:rPr>
                                    <w:t>467</w:t>
                                  </w:r>
                                </w:p>
                              </w:tc>
                              <w:tc>
                                <w:tcPr>
                                  <w:tcW w:w="1290" w:type="dxa"/>
                                </w:tcPr>
                                <w:p>
                                  <w:pPr>
                                    <w:pStyle w:val="TableParagraph"/>
                                    <w:rPr>
                                      <w:rFonts w:ascii="Times New Roman"/>
                                      <w:sz w:val="14"/>
                                    </w:rPr>
                                  </w:pPr>
                                </w:p>
                              </w:tc>
                              <w:tc>
                                <w:tcPr>
                                  <w:tcW w:w="1028" w:type="dxa"/>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ve:Choice>
          <ve:Fallback>
            <w:pict>
              <v:shape id="docshape369" style="position:absolute;margin-left:587.304688pt;margin-top:9.164284pt;width:236.2pt;height:53.6pt;mso-position-horizontal-relative:page;mso-position-vertical-relative:paragraph;z-index:15851008"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015"/>
                        <w:gridCol w:w="1271"/>
                        <w:gridCol w:w="1290"/>
                        <w:gridCol w:w="1028"/>
                      </w:tblGrid>
                      <w:tr>
                        <w:trPr>
                          <w:trHeight w:val="225" w:hRule="atLeast"/>
                        </w:trPr>
                        <w:tc>
                          <w:tcPr>
                            <w:tcW w:w="1015" w:type="dxa"/>
                          </w:tcPr>
                          <w:p>
                            <w:pPr>
                              <w:pStyle w:val="TableParagraph"/>
                              <w:spacing w:line="201" w:lineRule="exact"/>
                              <w:ind w:left="50"/>
                              <w:rPr>
                                <w:b/>
                                <w:sz w:val="18"/>
                              </w:rPr>
                            </w:pPr>
                            <w:r>
                              <w:rPr>
                                <w:b/>
                                <w:color w:val="0F0F0F"/>
                                <w:spacing w:val="-2"/>
                                <w:sz w:val="18"/>
                              </w:rPr>
                              <w:t>(129)</w:t>
                            </w:r>
                          </w:p>
                        </w:tc>
                        <w:tc>
                          <w:tcPr>
                            <w:tcW w:w="1271" w:type="dxa"/>
                          </w:tcPr>
                          <w:p>
                            <w:pPr>
                              <w:pStyle w:val="TableParagraph"/>
                              <w:rPr>
                                <w:rFonts w:ascii="Times New Roman"/>
                                <w:sz w:val="16"/>
                              </w:rPr>
                            </w:pPr>
                          </w:p>
                        </w:tc>
                        <w:tc>
                          <w:tcPr>
                            <w:tcW w:w="1290" w:type="dxa"/>
                          </w:tcPr>
                          <w:p>
                            <w:pPr>
                              <w:pStyle w:val="TableParagraph"/>
                              <w:rPr>
                                <w:rFonts w:ascii="Times New Roman"/>
                                <w:sz w:val="16"/>
                              </w:rPr>
                            </w:pPr>
                          </w:p>
                        </w:tc>
                        <w:tc>
                          <w:tcPr>
                            <w:tcW w:w="1028" w:type="dxa"/>
                          </w:tcPr>
                          <w:p>
                            <w:pPr>
                              <w:pStyle w:val="TableParagraph"/>
                              <w:spacing w:before="33" w:line="173" w:lineRule="exact"/>
                              <w:ind w:right="48"/>
                              <w:jc w:val="right"/>
                              <w:rPr>
                                <w:b/>
                                <w:sz w:val="18"/>
                              </w:rPr>
                            </w:pPr>
                            <w:r>
                              <w:rPr>
                                <w:b/>
                                <w:color w:val="0F0F0F"/>
                                <w:spacing w:val="-2"/>
                                <w:sz w:val="18"/>
                              </w:rPr>
                              <w:t>(129)</w:t>
                            </w:r>
                          </w:p>
                        </w:tc>
                      </w:tr>
                      <w:tr>
                        <w:trPr>
                          <w:trHeight w:val="209" w:hRule="atLeast"/>
                        </w:trPr>
                        <w:tc>
                          <w:tcPr>
                            <w:tcW w:w="1015" w:type="dxa"/>
                          </w:tcPr>
                          <w:p>
                            <w:pPr>
                              <w:pStyle w:val="TableParagraph"/>
                              <w:spacing w:line="187" w:lineRule="exact"/>
                              <w:ind w:left="54"/>
                              <w:rPr>
                                <w:b/>
                                <w:sz w:val="18"/>
                              </w:rPr>
                            </w:pPr>
                            <w:r>
                              <w:rPr>
                                <w:b/>
                                <w:color w:val="0F0F0F"/>
                                <w:spacing w:val="-2"/>
                                <w:sz w:val="18"/>
                              </w:rPr>
                              <w:t>(402)</w:t>
                            </w:r>
                          </w:p>
                        </w:tc>
                        <w:tc>
                          <w:tcPr>
                            <w:tcW w:w="1271" w:type="dxa"/>
                          </w:tcPr>
                          <w:p>
                            <w:pPr>
                              <w:pStyle w:val="TableParagraph"/>
                              <w:spacing w:before="9" w:line="180" w:lineRule="exact"/>
                              <w:ind w:right="426"/>
                              <w:jc w:val="right"/>
                              <w:rPr>
                                <w:sz w:val="17"/>
                              </w:rPr>
                            </w:pPr>
                            <w:r>
                              <w:rPr>
                                <w:color w:val="0F0F0F"/>
                                <w:spacing w:val="-5"/>
                                <w:w w:val="105"/>
                                <w:sz w:val="17"/>
                              </w:rPr>
                              <w:t>457</w:t>
                            </w:r>
                          </w:p>
                        </w:tc>
                        <w:tc>
                          <w:tcPr>
                            <w:tcW w:w="1290" w:type="dxa"/>
                          </w:tcPr>
                          <w:p>
                            <w:pPr>
                              <w:pStyle w:val="TableParagraph"/>
                              <w:spacing w:before="23" w:line="166" w:lineRule="exact"/>
                              <w:ind w:left="422"/>
                              <w:rPr>
                                <w:sz w:val="17"/>
                              </w:rPr>
                            </w:pPr>
                            <w:r>
                              <w:rPr>
                                <w:color w:val="0F0F0F"/>
                                <w:spacing w:val="-4"/>
                                <w:w w:val="105"/>
                                <w:sz w:val="17"/>
                              </w:rPr>
                              <w:t>(55)</w:t>
                            </w:r>
                          </w:p>
                        </w:tc>
                        <w:tc>
                          <w:tcPr>
                            <w:tcW w:w="1028" w:type="dxa"/>
                          </w:tcPr>
                          <w:p>
                            <w:pPr>
                              <w:pStyle w:val="TableParagraph"/>
                              <w:rPr>
                                <w:rFonts w:ascii="Times New Roman"/>
                                <w:sz w:val="14"/>
                              </w:rPr>
                            </w:pPr>
                          </w:p>
                        </w:tc>
                      </w:tr>
                      <w:tr>
                        <w:trPr>
                          <w:trHeight w:val="222" w:hRule="atLeast"/>
                        </w:trPr>
                        <w:tc>
                          <w:tcPr>
                            <w:tcW w:w="1015" w:type="dxa"/>
                          </w:tcPr>
                          <w:p>
                            <w:pPr>
                              <w:pStyle w:val="TableParagraph"/>
                              <w:spacing w:line="194" w:lineRule="exact"/>
                              <w:ind w:left="54"/>
                              <w:rPr>
                                <w:b/>
                                <w:sz w:val="18"/>
                              </w:rPr>
                            </w:pPr>
                            <w:r>
                              <w:rPr>
                                <w:b/>
                                <w:color w:val="0F0F0F"/>
                                <w:spacing w:val="-2"/>
                                <w:sz w:val="18"/>
                              </w:rPr>
                              <w:t>(202)</w:t>
                            </w:r>
                          </w:p>
                        </w:tc>
                        <w:tc>
                          <w:tcPr>
                            <w:tcW w:w="1271" w:type="dxa"/>
                          </w:tcPr>
                          <w:p>
                            <w:pPr>
                              <w:pStyle w:val="TableParagraph"/>
                              <w:spacing w:line="203" w:lineRule="exact"/>
                              <w:ind w:right="415"/>
                              <w:jc w:val="right"/>
                              <w:rPr>
                                <w:sz w:val="22"/>
                              </w:rPr>
                            </w:pPr>
                            <w:r>
                              <w:rPr>
                                <w:color w:val="4D4D4D"/>
                                <w:spacing w:val="-10"/>
                                <w:sz w:val="22"/>
                              </w:rPr>
                              <w:t>-</w:t>
                            </w:r>
                          </w:p>
                        </w:tc>
                        <w:tc>
                          <w:tcPr>
                            <w:tcW w:w="1290" w:type="dxa"/>
                          </w:tcPr>
                          <w:p>
                            <w:pPr>
                              <w:pStyle w:val="TableParagraph"/>
                              <w:rPr>
                                <w:rFonts w:ascii="Times New Roman"/>
                                <w:sz w:val="14"/>
                              </w:rPr>
                            </w:pPr>
                          </w:p>
                        </w:tc>
                        <w:tc>
                          <w:tcPr>
                            <w:tcW w:w="1028" w:type="dxa"/>
                          </w:tcPr>
                          <w:p>
                            <w:pPr>
                              <w:pStyle w:val="TableParagraph"/>
                              <w:spacing w:before="26" w:line="177" w:lineRule="exact"/>
                              <w:ind w:right="52"/>
                              <w:jc w:val="right"/>
                              <w:rPr>
                                <w:b/>
                                <w:sz w:val="18"/>
                              </w:rPr>
                            </w:pPr>
                            <w:r>
                              <w:rPr>
                                <w:b/>
                                <w:color w:val="0F0F0F"/>
                                <w:spacing w:val="-2"/>
                                <w:sz w:val="18"/>
                              </w:rPr>
                              <w:t>(202)</w:t>
                            </w:r>
                          </w:p>
                        </w:tc>
                      </w:tr>
                      <w:tr>
                        <w:trPr>
                          <w:trHeight w:val="212" w:hRule="atLeast"/>
                        </w:trPr>
                        <w:tc>
                          <w:tcPr>
                            <w:tcW w:w="1015" w:type="dxa"/>
                          </w:tcPr>
                          <w:p>
                            <w:pPr>
                              <w:pStyle w:val="TableParagraph"/>
                              <w:spacing w:line="188" w:lineRule="exact"/>
                              <w:ind w:left="50"/>
                              <w:rPr>
                                <w:b/>
                                <w:sz w:val="18"/>
                              </w:rPr>
                            </w:pPr>
                            <w:r>
                              <w:rPr>
                                <w:b/>
                                <w:color w:val="0F0F0F"/>
                                <w:spacing w:val="-2"/>
                                <w:sz w:val="18"/>
                              </w:rPr>
                              <w:t>(212)</w:t>
                            </w:r>
                          </w:p>
                        </w:tc>
                        <w:tc>
                          <w:tcPr>
                            <w:tcW w:w="1271" w:type="dxa"/>
                          </w:tcPr>
                          <w:p>
                            <w:pPr>
                              <w:pStyle w:val="TableParagraph"/>
                              <w:spacing w:before="9" w:line="183" w:lineRule="exact"/>
                              <w:ind w:right="420"/>
                              <w:jc w:val="right"/>
                              <w:rPr>
                                <w:sz w:val="17"/>
                              </w:rPr>
                            </w:pPr>
                            <w:r>
                              <w:rPr>
                                <w:color w:val="0F0F0F"/>
                                <w:spacing w:val="-5"/>
                                <w:w w:val="110"/>
                                <w:sz w:val="17"/>
                              </w:rPr>
                              <w:t>117</w:t>
                            </w:r>
                          </w:p>
                        </w:tc>
                        <w:tc>
                          <w:tcPr>
                            <w:tcW w:w="1290" w:type="dxa"/>
                          </w:tcPr>
                          <w:p>
                            <w:pPr>
                              <w:pStyle w:val="TableParagraph"/>
                              <w:spacing w:before="19" w:line="173" w:lineRule="exact"/>
                              <w:ind w:left="417"/>
                              <w:rPr>
                                <w:sz w:val="17"/>
                              </w:rPr>
                            </w:pPr>
                            <w:r>
                              <w:rPr>
                                <w:color w:val="0F0F0F"/>
                                <w:spacing w:val="-4"/>
                                <w:w w:val="105"/>
                                <w:sz w:val="17"/>
                              </w:rPr>
                              <w:t>(50)</w:t>
                            </w:r>
                          </w:p>
                        </w:tc>
                        <w:tc>
                          <w:tcPr>
                            <w:tcW w:w="1028" w:type="dxa"/>
                          </w:tcPr>
                          <w:p>
                            <w:pPr>
                              <w:pStyle w:val="TableParagraph"/>
                              <w:spacing w:before="19" w:line="173" w:lineRule="exact"/>
                              <w:ind w:right="52"/>
                              <w:jc w:val="right"/>
                              <w:rPr>
                                <w:b/>
                                <w:sz w:val="18"/>
                              </w:rPr>
                            </w:pPr>
                            <w:r>
                              <w:rPr>
                                <w:b/>
                                <w:color w:val="0F0F0F"/>
                                <w:spacing w:val="-2"/>
                                <w:sz w:val="18"/>
                              </w:rPr>
                              <w:t>(145)</w:t>
                            </w:r>
                          </w:p>
                        </w:tc>
                      </w:tr>
                      <w:tr>
                        <w:trPr>
                          <w:trHeight w:val="204" w:hRule="atLeast"/>
                        </w:trPr>
                        <w:tc>
                          <w:tcPr>
                            <w:tcW w:w="1015" w:type="dxa"/>
                          </w:tcPr>
                          <w:p>
                            <w:pPr>
                              <w:pStyle w:val="TableParagraph"/>
                              <w:spacing w:line="184" w:lineRule="exact"/>
                              <w:ind w:left="54"/>
                              <w:rPr>
                                <w:b/>
                                <w:sz w:val="18"/>
                              </w:rPr>
                            </w:pPr>
                            <w:r>
                              <w:rPr>
                                <w:b/>
                                <w:color w:val="0F0F0F"/>
                                <w:spacing w:val="-2"/>
                                <w:sz w:val="18"/>
                              </w:rPr>
                              <w:t>(467)</w:t>
                            </w:r>
                          </w:p>
                        </w:tc>
                        <w:tc>
                          <w:tcPr>
                            <w:tcW w:w="1271" w:type="dxa"/>
                          </w:tcPr>
                          <w:p>
                            <w:pPr>
                              <w:pStyle w:val="TableParagraph"/>
                              <w:spacing w:before="9" w:line="176" w:lineRule="exact"/>
                              <w:ind w:right="426"/>
                              <w:jc w:val="right"/>
                              <w:rPr>
                                <w:sz w:val="17"/>
                              </w:rPr>
                            </w:pPr>
                            <w:r>
                              <w:rPr>
                                <w:color w:val="0F0F0F"/>
                                <w:spacing w:val="-5"/>
                                <w:w w:val="105"/>
                                <w:sz w:val="17"/>
                              </w:rPr>
                              <w:t>467</w:t>
                            </w:r>
                          </w:p>
                        </w:tc>
                        <w:tc>
                          <w:tcPr>
                            <w:tcW w:w="1290" w:type="dxa"/>
                          </w:tcPr>
                          <w:p>
                            <w:pPr>
                              <w:pStyle w:val="TableParagraph"/>
                              <w:rPr>
                                <w:rFonts w:ascii="Times New Roman"/>
                                <w:sz w:val="14"/>
                              </w:rPr>
                            </w:pPr>
                          </w:p>
                        </w:tc>
                        <w:tc>
                          <w:tcPr>
                            <w:tcW w:w="1028" w:type="dxa"/>
                          </w:tcPr>
                          <w:p>
                            <w:pPr>
                              <w:pStyle w:val="TableParagraph"/>
                              <w:rPr>
                                <w:rFonts w:ascii="Times New Roman"/>
                                <w:sz w:val="14"/>
                              </w:rPr>
                            </w:pPr>
                          </w:p>
                        </w:tc>
                      </w:tr>
                    </w:tbl>
                    <w:p>
                      <w:pPr>
                        <w:pStyle w:val="BodyText"/>
                      </w:pPr>
                    </w:p>
                  </w:txbxContent>
                </v:textbox>
                <w10:wrap type="none"/>
              </v:shape>
            </w:pict>
          </ve:Fallback>
        </ve:AlternateContent>
      </w:r>
      <w:r>
        <w:rPr>
          <w:b/>
          <w:color w:val="0F0F0F"/>
          <w:spacing w:val="-2"/>
          <w:sz w:val="18"/>
        </w:rPr>
        <w:t>(449)</w:t>
      </w:r>
    </w:p>
    <w:p>
      <w:pPr>
        <w:spacing w:after="0" w:line="178" w:lineRule="exact"/>
        <w:jc w:val="right"/>
        <w:rPr>
          <w:sz w:val="18"/>
        </w:rPr>
        <w:sectPr>
          <w:type w:val="continuous"/>
          <w:pgSz w:w="16830" w:h="11910" w:orient="landscape"/>
          <w:pgMar w:top="1940" w:right="240" w:bottom="280" w:left="500" w:header="0" w:footer="0"/>
        </w:sect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107"/>
        <w:rPr>
          <w:b/>
          <w:sz w:val="18"/>
        </w:rPr>
      </w:pPr>
    </w:p>
    <w:p>
      <w:pPr>
        <w:tabs>
          <w:tab w:val="left" w:leader="none" w:pos="6896"/>
        </w:tabs>
        <w:spacing w:before="0"/>
        <w:ind w:left="467" w:right="0" w:firstLine="0"/>
        <w:jc w:val="left"/>
        <w:rPr>
          <w:b/>
          <w:sz w:val="18"/>
        </w:rPr>
      </w:pPr>
      <w:r>
        <w:rPr>
          <w:b/>
          <w:color w:val="0F0F0F"/>
          <w:spacing w:val="-2"/>
          <w:position w:val="5"/>
          <w:sz w:val="18"/>
        </w:rPr>
        <w:t>Total</w:t>
      </w:r>
      <w:r>
        <w:rPr>
          <w:b/>
          <w:color w:val="0F0F0F"/>
          <w:position w:val="5"/>
          <w:sz w:val="18"/>
        </w:rPr>
        <w:tab/>
      </w:r>
      <w:r>
        <w:rPr>
          <w:b/>
          <w:color w:val="0F0F0F"/>
          <w:spacing w:val="-2"/>
          <w:sz w:val="18"/>
        </w:rPr>
        <w:t>{35</w:t>
      </w:r>
      <w:r>
        <w:rPr>
          <w:b/>
          <w:color w:val="383838"/>
          <w:spacing w:val="-2"/>
          <w:sz w:val="18"/>
        </w:rPr>
        <w:t>,</w:t>
      </w:r>
      <w:r>
        <w:rPr>
          <w:b/>
          <w:color w:val="0F0F0F"/>
          <w:spacing w:val="-2"/>
          <w:sz w:val="18"/>
        </w:rPr>
        <w:t>623)</w:t>
      </w:r>
    </w:p>
    <w:p>
      <w:pPr>
        <w:spacing w:before="0" w:line="178" w:lineRule="exact"/>
        <w:ind w:left="1998" w:right="0" w:firstLine="0"/>
        <w:jc w:val="left"/>
        <w:rPr>
          <w:sz w:val="17"/>
        </w:rPr>
      </w:pPr>
      <w:r>
        <w:rPr/>
        <w:br w:type="column"/>
      </w:r>
      <w:r>
        <w:rPr>
          <w:color w:val="0F0F0F"/>
          <w:spacing w:val="-4"/>
          <w:w w:val="105"/>
          <w:sz w:val="17"/>
        </w:rPr>
        <w:t>(15)</w:t>
      </w:r>
    </w:p>
    <w:p>
      <w:pPr>
        <w:tabs>
          <w:tab w:val="left" w:leader="none" w:pos="2003"/>
        </w:tabs>
        <w:spacing w:before="0" w:line="240" w:lineRule="exact"/>
        <w:ind w:left="905" w:right="0" w:firstLine="0"/>
        <w:jc w:val="left"/>
        <w:rPr>
          <w:sz w:val="17"/>
        </w:rPr>
      </w:pPr>
      <w:r>
        <w:rPr>
          <w:color w:val="4D4D4D"/>
          <w:spacing w:val="-10"/>
          <w:w w:val="105"/>
          <w:sz w:val="22"/>
        </w:rPr>
        <w:t>-</w:t>
      </w:r>
      <w:r>
        <w:rPr>
          <w:color w:val="4D4D4D"/>
          <w:sz w:val="22"/>
        </w:rPr>
        <w:tab/>
      </w:r>
      <w:r>
        <w:rPr>
          <w:color w:val="0F0F0F"/>
          <w:spacing w:val="-4"/>
          <w:w w:val="105"/>
          <w:sz w:val="17"/>
        </w:rPr>
        <w:t>(55)</w:t>
      </w:r>
    </w:p>
    <w:p>
      <w:pPr>
        <w:pStyle w:val="BodyText"/>
        <w:spacing w:before="11"/>
        <w:rPr>
          <w:sz w:val="17"/>
        </w:rPr>
      </w:pPr>
    </w:p>
    <w:p>
      <w:pPr>
        <w:spacing w:before="1" w:line="192" w:lineRule="exact"/>
        <w:ind w:left="667" w:right="0" w:firstLine="0"/>
        <w:jc w:val="left"/>
        <w:rPr>
          <w:sz w:val="17"/>
        </w:rPr>
      </w:pPr>
      <w:r>
        <w:rPr>
          <w:color w:val="0F0F0F"/>
          <w:spacing w:val="-5"/>
          <w:w w:val="105"/>
          <w:sz w:val="17"/>
        </w:rPr>
        <w:t>133</w:t>
      </w:r>
    </w:p>
    <w:p>
      <w:pPr>
        <w:tabs>
          <w:tab w:val="left" w:leader="none" w:pos="2261"/>
        </w:tabs>
        <w:spacing w:before="0" w:line="217" w:lineRule="exact"/>
        <w:ind w:left="667" w:right="0" w:firstLine="0"/>
        <w:jc w:val="left"/>
        <w:rPr>
          <w:sz w:val="22"/>
        </w:rPr>
      </w:pPr>
      <w:r>
        <w:rPr>
          <w:color w:val="0F0F0F"/>
          <w:spacing w:val="-5"/>
          <w:w w:val="105"/>
          <w:sz w:val="17"/>
        </w:rPr>
        <w:t>123</w:t>
      </w:r>
      <w:r>
        <w:rPr>
          <w:color w:val="0F0F0F"/>
          <w:sz w:val="17"/>
        </w:rPr>
        <w:tab/>
      </w:r>
      <w:r>
        <w:rPr>
          <w:color w:val="4D4D4D"/>
          <w:spacing w:val="-10"/>
          <w:w w:val="105"/>
          <w:position w:val="-1"/>
          <w:sz w:val="22"/>
        </w:rPr>
        <w:t>-</w:t>
      </w:r>
    </w:p>
    <w:p>
      <w:pPr>
        <w:tabs>
          <w:tab w:val="left" w:leader="none" w:pos="5860"/>
          <w:tab w:val="left" w:leader="none" w:pos="7381"/>
        </w:tabs>
        <w:spacing w:before="0" w:line="278" w:lineRule="exact"/>
        <w:ind w:left="2255" w:right="0" w:firstLine="0"/>
        <w:jc w:val="left"/>
        <w:rPr>
          <w:b/>
          <w:sz w:val="18"/>
        </w:rPr>
      </w:pPr>
      <w:r>
        <w:rPr/>
        <ve:AlternateContent>
          <ve:Choice Requires="wps">
            <w:drawing>
              <wp:anchor distT="0" distB="0" distL="0" distR="0" simplePos="0" relativeHeight="15849984" behindDoc="0" locked="0" layoutInCell="1" allowOverlap="1">
                <wp:simplePos x="0" y="0"/>
                <wp:positionH relativeFrom="page">
                  <wp:posOffset>5785481</wp:posOffset>
                </wp:positionH>
                <wp:positionV relativeFrom="paragraph">
                  <wp:posOffset>152399</wp:posOffset>
                </wp:positionV>
                <wp:extent cx="3704590" cy="824229"/>
                <wp:effectExtent l="0" t="0" r="0" b="0"/>
                <wp:wrapNone/>
                <wp:docPr id="559" name="Textbox 559"/>
                <wp:cNvGraphicFramePr>
                  <a:graphicFrameLocks/>
                </wp:cNvGraphicFramePr>
                <a:graphic>
                  <a:graphicData uri="http://schemas.microsoft.com/office/word/2010/wordprocessingShape">
                    <wps:wsp>
                      <wps:cNvPr id="559" name="Textbox 559"/>
                      <wps:cNvSpPr txBox="1"/>
                      <wps:spPr>
                        <a:xfrm>
                          <a:off x="0" y="0"/>
                          <a:ext cx="3704590" cy="824229"/>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21"/>
                              <w:gridCol w:w="1298"/>
                              <w:gridCol w:w="1532"/>
                              <w:gridCol w:w="1217"/>
                              <w:gridCol w:w="843"/>
                            </w:tblGrid>
                            <w:tr>
                              <w:trPr>
                                <w:trHeight w:val="237" w:hRule="atLeast"/>
                              </w:trPr>
                              <w:tc>
                                <w:tcPr>
                                  <w:tcW w:w="821" w:type="dxa"/>
                                </w:tcPr>
                                <w:p>
                                  <w:pPr>
                                    <w:pStyle w:val="TableParagraph"/>
                                    <w:spacing w:line="190" w:lineRule="exact"/>
                                    <w:ind w:right="464"/>
                                    <w:jc w:val="right"/>
                                    <w:rPr>
                                      <w:sz w:val="17"/>
                                    </w:rPr>
                                  </w:pPr>
                                  <w:r>
                                    <w:rPr>
                                      <w:color w:val="0F0F0F"/>
                                      <w:spacing w:val="-5"/>
                                      <w:w w:val="105"/>
                                      <w:sz w:val="17"/>
                                    </w:rPr>
                                    <w:t>181</w:t>
                                  </w:r>
                                </w:p>
                              </w:tc>
                              <w:tc>
                                <w:tcPr>
                                  <w:tcW w:w="1298" w:type="dxa"/>
                                </w:tcPr>
                                <w:p>
                                  <w:pPr>
                                    <w:pStyle w:val="TableParagraph"/>
                                    <w:spacing w:before="9"/>
                                    <w:ind w:right="419"/>
                                    <w:jc w:val="right"/>
                                    <w:rPr>
                                      <w:sz w:val="17"/>
                                    </w:rPr>
                                  </w:pPr>
                                  <w:r>
                                    <w:rPr>
                                      <w:color w:val="0F0F0F"/>
                                      <w:spacing w:val="-4"/>
                                      <w:w w:val="105"/>
                                      <w:sz w:val="17"/>
                                    </w:rPr>
                                    <w:t>(254)</w:t>
                                  </w:r>
                                </w:p>
                              </w:tc>
                              <w:tc>
                                <w:tcPr>
                                  <w:tcW w:w="1532" w:type="dxa"/>
                                </w:tcPr>
                                <w:p>
                                  <w:pPr>
                                    <w:pStyle w:val="TableParagraph"/>
                                    <w:spacing w:before="4"/>
                                    <w:ind w:right="538"/>
                                    <w:jc w:val="right"/>
                                    <w:rPr>
                                      <w:b/>
                                      <w:sz w:val="18"/>
                                    </w:rPr>
                                  </w:pPr>
                                  <w:r>
                                    <w:rPr>
                                      <w:b/>
                                      <w:color w:val="0F0F0F"/>
                                      <w:spacing w:val="-2"/>
                                      <w:sz w:val="18"/>
                                    </w:rPr>
                                    <w:t>(109)</w:t>
                                  </w:r>
                                </w:p>
                              </w:tc>
                              <w:tc>
                                <w:tcPr>
                                  <w:tcW w:w="1217" w:type="dxa"/>
                                </w:tcPr>
                                <w:p>
                                  <w:pPr>
                                    <w:pStyle w:val="TableParagraph"/>
                                    <w:spacing w:line="217" w:lineRule="exact"/>
                                    <w:ind w:right="367"/>
                                    <w:jc w:val="right"/>
                                    <w:rPr>
                                      <w:sz w:val="22"/>
                                    </w:rPr>
                                  </w:pPr>
                                  <w:r>
                                    <w:rPr>
                                      <w:color w:val="4D4D4D"/>
                                      <w:spacing w:val="-10"/>
                                      <w:sz w:val="22"/>
                                    </w:rPr>
                                    <w:t>-</w:t>
                                  </w:r>
                                </w:p>
                              </w:tc>
                              <w:tc>
                                <w:tcPr>
                                  <w:tcW w:w="843" w:type="dxa"/>
                                </w:tcPr>
                                <w:p>
                                  <w:pPr>
                                    <w:pStyle w:val="TableParagraph"/>
                                    <w:spacing w:before="47" w:line="170" w:lineRule="exact"/>
                                    <w:ind w:right="54"/>
                                    <w:jc w:val="right"/>
                                    <w:rPr>
                                      <w:sz w:val="17"/>
                                    </w:rPr>
                                  </w:pPr>
                                  <w:r>
                                    <w:rPr>
                                      <w:color w:val="0F0F0F"/>
                                      <w:spacing w:val="-4"/>
                                      <w:w w:val="105"/>
                                      <w:sz w:val="17"/>
                                    </w:rPr>
                                    <w:t>(43)</w:t>
                                  </w:r>
                                </w:p>
                              </w:tc>
                            </w:tr>
                            <w:tr>
                              <w:trPr>
                                <w:trHeight w:val="190" w:hRule="atLeast"/>
                              </w:trPr>
                              <w:tc>
                                <w:tcPr>
                                  <w:tcW w:w="821" w:type="dxa"/>
                                </w:tcPr>
                                <w:p>
                                  <w:pPr>
                                    <w:pStyle w:val="TableParagraph"/>
                                    <w:spacing w:line="171" w:lineRule="exact"/>
                                    <w:ind w:right="476"/>
                                    <w:jc w:val="right"/>
                                    <w:rPr>
                                      <w:sz w:val="17"/>
                                    </w:rPr>
                                  </w:pPr>
                                  <w:r>
                                    <w:rPr>
                                      <w:color w:val="0F0F0F"/>
                                      <w:spacing w:val="-10"/>
                                      <w:sz w:val="17"/>
                                    </w:rPr>
                                    <w:t>7</w:t>
                                  </w:r>
                                </w:p>
                              </w:tc>
                              <w:tc>
                                <w:tcPr>
                                  <w:tcW w:w="1298" w:type="dxa"/>
                                </w:tcPr>
                                <w:p>
                                  <w:pPr>
                                    <w:pStyle w:val="TableParagraph"/>
                                    <w:spacing w:line="171" w:lineRule="exact"/>
                                    <w:ind w:right="414"/>
                                    <w:jc w:val="right"/>
                                    <w:rPr>
                                      <w:sz w:val="17"/>
                                    </w:rPr>
                                  </w:pPr>
                                  <w:r>
                                    <w:rPr>
                                      <w:color w:val="0F0F0F"/>
                                      <w:spacing w:val="-5"/>
                                      <w:w w:val="105"/>
                                      <w:sz w:val="17"/>
                                    </w:rPr>
                                    <w:t>(7)</w:t>
                                  </w:r>
                                </w:p>
                              </w:tc>
                              <w:tc>
                                <w:tcPr>
                                  <w:tcW w:w="1532" w:type="dxa"/>
                                </w:tcPr>
                                <w:p>
                                  <w:pPr>
                                    <w:pStyle w:val="TableParagraph"/>
                                    <w:spacing w:line="171" w:lineRule="exact"/>
                                    <w:ind w:right="535"/>
                                    <w:jc w:val="right"/>
                                    <w:rPr>
                                      <w:b/>
                                      <w:sz w:val="18"/>
                                    </w:rPr>
                                  </w:pPr>
                                  <w:r>
                                    <w:rPr>
                                      <w:b/>
                                      <w:color w:val="0F0F0F"/>
                                      <w:spacing w:val="-2"/>
                                      <w:sz w:val="18"/>
                                    </w:rPr>
                                    <w:t>(1,496)</w:t>
                                  </w:r>
                                </w:p>
                              </w:tc>
                              <w:tc>
                                <w:tcPr>
                                  <w:tcW w:w="1217" w:type="dxa"/>
                                </w:tcPr>
                                <w:p>
                                  <w:pPr>
                                    <w:pStyle w:val="TableParagraph"/>
                                    <w:rPr>
                                      <w:rFonts w:ascii="Times New Roman"/>
                                      <w:sz w:val="12"/>
                                    </w:rPr>
                                  </w:pPr>
                                </w:p>
                              </w:tc>
                              <w:tc>
                                <w:tcPr>
                                  <w:tcW w:w="843" w:type="dxa"/>
                                </w:tcPr>
                                <w:p>
                                  <w:pPr>
                                    <w:pStyle w:val="TableParagraph"/>
                                    <w:rPr>
                                      <w:rFonts w:ascii="Times New Roman"/>
                                      <w:sz w:val="12"/>
                                    </w:rPr>
                                  </w:pPr>
                                </w:p>
                              </w:tc>
                            </w:tr>
                            <w:tr>
                              <w:trPr>
                                <w:trHeight w:val="425" w:hRule="atLeast"/>
                              </w:trPr>
                              <w:tc>
                                <w:tcPr>
                                  <w:tcW w:w="821" w:type="dxa"/>
                                </w:tcPr>
                                <w:p>
                                  <w:pPr>
                                    <w:pStyle w:val="TableParagraph"/>
                                    <w:spacing w:before="173" w:line="232" w:lineRule="exact"/>
                                    <w:ind w:right="456"/>
                                    <w:jc w:val="right"/>
                                    <w:rPr>
                                      <w:sz w:val="22"/>
                                    </w:rPr>
                                  </w:pPr>
                                  <w:r>
                                    <w:rPr>
                                      <w:color w:val="4D4D4D"/>
                                      <w:spacing w:val="-10"/>
                                      <w:sz w:val="22"/>
                                    </w:rPr>
                                    <w:t>-</w:t>
                                  </w:r>
                                </w:p>
                              </w:tc>
                              <w:tc>
                                <w:tcPr>
                                  <w:tcW w:w="1298" w:type="dxa"/>
                                </w:tcPr>
                                <w:p>
                                  <w:pPr>
                                    <w:pStyle w:val="TableParagraph"/>
                                    <w:rPr>
                                      <w:rFonts w:ascii="Times New Roman"/>
                                      <w:sz w:val="16"/>
                                    </w:rPr>
                                  </w:pPr>
                                </w:p>
                              </w:tc>
                              <w:tc>
                                <w:tcPr>
                                  <w:tcW w:w="1532" w:type="dxa"/>
                                </w:tcPr>
                                <w:p>
                                  <w:pPr>
                                    <w:pStyle w:val="TableParagraph"/>
                                    <w:spacing w:before="9"/>
                                    <w:ind w:left="30"/>
                                    <w:jc w:val="center"/>
                                    <w:rPr>
                                      <w:b/>
                                      <w:sz w:val="18"/>
                                    </w:rPr>
                                  </w:pPr>
                                  <w:r>
                                    <w:rPr>
                                      <w:b/>
                                      <w:color w:val="0F0F0F"/>
                                      <w:spacing w:val="-2"/>
                                      <w:sz w:val="18"/>
                                    </w:rPr>
                                    <w:t>(155)</w:t>
                                  </w:r>
                                </w:p>
                                <w:p>
                                  <w:pPr>
                                    <w:pStyle w:val="TableParagraph"/>
                                    <w:spacing w:before="5" w:line="185" w:lineRule="exact"/>
                                    <w:ind w:left="30"/>
                                    <w:jc w:val="center"/>
                                    <w:rPr>
                                      <w:b/>
                                      <w:sz w:val="18"/>
                                    </w:rPr>
                                  </w:pPr>
                                  <w:r>
                                    <w:rPr>
                                      <w:b/>
                                      <w:color w:val="0F0F0F"/>
                                      <w:spacing w:val="-2"/>
                                      <w:sz w:val="18"/>
                                    </w:rPr>
                                    <w:t>(103)</w:t>
                                  </w:r>
                                </w:p>
                              </w:tc>
                              <w:tc>
                                <w:tcPr>
                                  <w:tcW w:w="1217" w:type="dxa"/>
                                </w:tcPr>
                                <w:p>
                                  <w:pPr>
                                    <w:pStyle w:val="TableParagraph"/>
                                    <w:rPr>
                                      <w:rFonts w:ascii="Times New Roman"/>
                                      <w:sz w:val="16"/>
                                    </w:rPr>
                                  </w:pPr>
                                </w:p>
                              </w:tc>
                              <w:tc>
                                <w:tcPr>
                                  <w:tcW w:w="843" w:type="dxa"/>
                                </w:tcPr>
                                <w:p>
                                  <w:pPr>
                                    <w:pStyle w:val="TableParagraph"/>
                                    <w:rPr>
                                      <w:rFonts w:ascii="Times New Roman"/>
                                      <w:sz w:val="16"/>
                                    </w:rPr>
                                  </w:pPr>
                                </w:p>
                              </w:tc>
                            </w:tr>
                            <w:tr>
                              <w:trPr>
                                <w:trHeight w:val="224" w:hRule="atLeast"/>
                              </w:trPr>
                              <w:tc>
                                <w:tcPr>
                                  <w:tcW w:w="821" w:type="dxa"/>
                                </w:tcPr>
                                <w:p>
                                  <w:pPr>
                                    <w:pStyle w:val="TableParagraph"/>
                                    <w:spacing w:line="188" w:lineRule="exact"/>
                                    <w:ind w:right="460"/>
                                    <w:jc w:val="right"/>
                                    <w:rPr>
                                      <w:sz w:val="17"/>
                                    </w:rPr>
                                  </w:pPr>
                                  <w:r>
                                    <w:rPr>
                                      <w:color w:val="0F0F0F"/>
                                      <w:spacing w:val="-5"/>
                                      <w:w w:val="110"/>
                                      <w:sz w:val="17"/>
                                    </w:rPr>
                                    <w:t>541</w:t>
                                  </w:r>
                                </w:p>
                              </w:tc>
                              <w:tc>
                                <w:tcPr>
                                  <w:tcW w:w="1298" w:type="dxa"/>
                                </w:tcPr>
                                <w:p>
                                  <w:pPr>
                                    <w:pStyle w:val="TableParagraph"/>
                                    <w:spacing w:before="6"/>
                                    <w:ind w:right="415"/>
                                    <w:jc w:val="right"/>
                                    <w:rPr>
                                      <w:sz w:val="17"/>
                                    </w:rPr>
                                  </w:pPr>
                                  <w:r>
                                    <w:rPr>
                                      <w:color w:val="0F0F0F"/>
                                      <w:spacing w:val="-4"/>
                                      <w:w w:val="105"/>
                                      <w:sz w:val="17"/>
                                    </w:rPr>
                                    <w:t>(537)</w:t>
                                  </w:r>
                                </w:p>
                              </w:tc>
                              <w:tc>
                                <w:tcPr>
                                  <w:tcW w:w="1532" w:type="dxa"/>
                                </w:tcPr>
                                <w:p>
                                  <w:pPr>
                                    <w:pStyle w:val="TableParagraph"/>
                                    <w:spacing w:before="2" w:line="203" w:lineRule="exact"/>
                                    <w:ind w:right="533"/>
                                    <w:jc w:val="right"/>
                                    <w:rPr>
                                      <w:b/>
                                      <w:sz w:val="18"/>
                                    </w:rPr>
                                  </w:pPr>
                                  <w:r>
                                    <w:rPr>
                                      <w:b/>
                                      <w:color w:val="0F0F0F"/>
                                      <w:spacing w:val="-2"/>
                                      <w:sz w:val="18"/>
                                    </w:rPr>
                                    <w:t>(110)</w:t>
                                  </w:r>
                                </w:p>
                              </w:tc>
                              <w:tc>
                                <w:tcPr>
                                  <w:tcW w:w="1217" w:type="dxa"/>
                                </w:tcPr>
                                <w:p>
                                  <w:pPr>
                                    <w:pStyle w:val="TableParagraph"/>
                                    <w:spacing w:before="35" w:line="169" w:lineRule="exact"/>
                                    <w:ind w:right="365"/>
                                    <w:jc w:val="right"/>
                                    <w:rPr>
                                      <w:sz w:val="17"/>
                                    </w:rPr>
                                  </w:pPr>
                                  <w:r>
                                    <w:rPr>
                                      <w:color w:val="0F0F0F"/>
                                      <w:spacing w:val="-5"/>
                                      <w:w w:val="110"/>
                                      <w:sz w:val="17"/>
                                    </w:rPr>
                                    <w:t>321</w:t>
                                  </w:r>
                                </w:p>
                              </w:tc>
                              <w:tc>
                                <w:tcPr>
                                  <w:tcW w:w="843" w:type="dxa"/>
                                </w:tcPr>
                                <w:p>
                                  <w:pPr>
                                    <w:pStyle w:val="TableParagraph"/>
                                    <w:spacing w:before="40" w:line="165" w:lineRule="exact"/>
                                    <w:ind w:right="45"/>
                                    <w:jc w:val="right"/>
                                    <w:rPr>
                                      <w:sz w:val="17"/>
                                    </w:rPr>
                                  </w:pPr>
                                  <w:r>
                                    <w:rPr>
                                      <w:color w:val="0F0F0F"/>
                                      <w:spacing w:val="-4"/>
                                      <w:w w:val="105"/>
                                      <w:sz w:val="17"/>
                                    </w:rPr>
                                    <w:t>(454)</w:t>
                                  </w:r>
                                </w:p>
                              </w:tc>
                            </w:tr>
                            <w:tr>
                              <w:trPr>
                                <w:trHeight w:val="222" w:hRule="atLeast"/>
                              </w:trPr>
                              <w:tc>
                                <w:tcPr>
                                  <w:tcW w:w="821" w:type="dxa"/>
                                </w:tcPr>
                                <w:p>
                                  <w:pPr>
                                    <w:pStyle w:val="TableParagraph"/>
                                    <w:spacing w:line="179" w:lineRule="exact"/>
                                    <w:ind w:right="463"/>
                                    <w:jc w:val="right"/>
                                    <w:rPr>
                                      <w:sz w:val="17"/>
                                    </w:rPr>
                                  </w:pPr>
                                  <w:r>
                                    <w:rPr>
                                      <w:color w:val="0F0F0F"/>
                                      <w:spacing w:val="-5"/>
                                      <w:w w:val="105"/>
                                      <w:sz w:val="17"/>
                                    </w:rPr>
                                    <w:t>514</w:t>
                                  </w:r>
                                </w:p>
                              </w:tc>
                              <w:tc>
                                <w:tcPr>
                                  <w:tcW w:w="1298" w:type="dxa"/>
                                </w:tcPr>
                                <w:p>
                                  <w:pPr>
                                    <w:pStyle w:val="TableParagraph"/>
                                    <w:spacing w:line="189" w:lineRule="exact"/>
                                    <w:ind w:right="419"/>
                                    <w:jc w:val="right"/>
                                    <w:rPr>
                                      <w:sz w:val="17"/>
                                    </w:rPr>
                                  </w:pPr>
                                  <w:r>
                                    <w:rPr>
                                      <w:color w:val="0F0F0F"/>
                                      <w:spacing w:val="-4"/>
                                      <w:w w:val="105"/>
                                      <w:sz w:val="17"/>
                                    </w:rPr>
                                    <w:t>(360)</w:t>
                                  </w:r>
                                </w:p>
                              </w:tc>
                              <w:tc>
                                <w:tcPr>
                                  <w:tcW w:w="1532" w:type="dxa"/>
                                </w:tcPr>
                                <w:p>
                                  <w:pPr>
                                    <w:pStyle w:val="TableParagraph"/>
                                    <w:spacing w:line="196" w:lineRule="exact"/>
                                    <w:ind w:right="535"/>
                                    <w:jc w:val="right"/>
                                    <w:rPr>
                                      <w:b/>
                                      <w:sz w:val="18"/>
                                    </w:rPr>
                                  </w:pPr>
                                  <w:r>
                                    <w:rPr>
                                      <w:b/>
                                      <w:color w:val="0F0F0F"/>
                                      <w:spacing w:val="-2"/>
                                      <w:sz w:val="18"/>
                                    </w:rPr>
                                    <w:t>(1,803)</w:t>
                                  </w:r>
                                </w:p>
                              </w:tc>
                              <w:tc>
                                <w:tcPr>
                                  <w:tcW w:w="1217" w:type="dxa"/>
                                </w:tcPr>
                                <w:p>
                                  <w:pPr>
                                    <w:pStyle w:val="TableParagraph"/>
                                    <w:spacing w:before="22" w:line="180" w:lineRule="exact"/>
                                    <w:ind w:right="369"/>
                                    <w:jc w:val="right"/>
                                    <w:rPr>
                                      <w:sz w:val="17"/>
                                    </w:rPr>
                                  </w:pPr>
                                  <w:r>
                                    <w:rPr>
                                      <w:color w:val="0F0F0F"/>
                                      <w:spacing w:val="-5"/>
                                      <w:w w:val="105"/>
                                      <w:sz w:val="17"/>
                                    </w:rPr>
                                    <w:t>349</w:t>
                                  </w:r>
                                </w:p>
                              </w:tc>
                              <w:tc>
                                <w:tcPr>
                                  <w:tcW w:w="843" w:type="dxa"/>
                                </w:tcPr>
                                <w:p>
                                  <w:pPr>
                                    <w:pStyle w:val="TableParagraph"/>
                                    <w:spacing w:before="27" w:line="176" w:lineRule="exact"/>
                                    <w:ind w:right="52"/>
                                    <w:jc w:val="right"/>
                                    <w:rPr>
                                      <w:sz w:val="17"/>
                                    </w:rPr>
                                  </w:pPr>
                                  <w:r>
                                    <w:rPr>
                                      <w:color w:val="0F0F0F"/>
                                      <w:spacing w:val="-4"/>
                                      <w:w w:val="105"/>
                                      <w:sz w:val="17"/>
                                    </w:rPr>
                                    <w:t>(295)</w:t>
                                  </w:r>
                                </w:p>
                              </w:tc>
                            </w:tr>
                          </w:tbl>
                          <w:p>
                            <w:pPr>
                              <w:pStyle w:val="BodyText"/>
                            </w:pPr>
                          </w:p>
                        </w:txbxContent>
                      </wps:txbx>
                      <wps:bodyPr wrap="square" lIns="0" tIns="0" rIns="0" bIns="0" rtlCol="0">
                        <a:noAutofit/>
                      </wps:bodyPr>
                    </wps:wsp>
                  </a:graphicData>
                </a:graphic>
              </wp:anchor>
            </w:drawing>
          </ve:Choice>
          <ve:Fallback>
            <w:pict>
              <v:shape id="docshape370" style="position:absolute;margin-left:455.549713pt;margin-top:11.999983pt;width:291.7pt;height:64.9pt;mso-position-horizontal-relative:page;mso-position-vertical-relative:paragraph;z-index:15849984"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21"/>
                        <w:gridCol w:w="1298"/>
                        <w:gridCol w:w="1532"/>
                        <w:gridCol w:w="1217"/>
                        <w:gridCol w:w="843"/>
                      </w:tblGrid>
                      <w:tr>
                        <w:trPr>
                          <w:trHeight w:val="237" w:hRule="atLeast"/>
                        </w:trPr>
                        <w:tc>
                          <w:tcPr>
                            <w:tcW w:w="821" w:type="dxa"/>
                          </w:tcPr>
                          <w:p>
                            <w:pPr>
                              <w:pStyle w:val="TableParagraph"/>
                              <w:spacing w:line="190" w:lineRule="exact"/>
                              <w:ind w:right="464"/>
                              <w:jc w:val="right"/>
                              <w:rPr>
                                <w:sz w:val="17"/>
                              </w:rPr>
                            </w:pPr>
                            <w:r>
                              <w:rPr>
                                <w:color w:val="0F0F0F"/>
                                <w:spacing w:val="-5"/>
                                <w:w w:val="105"/>
                                <w:sz w:val="17"/>
                              </w:rPr>
                              <w:t>181</w:t>
                            </w:r>
                          </w:p>
                        </w:tc>
                        <w:tc>
                          <w:tcPr>
                            <w:tcW w:w="1298" w:type="dxa"/>
                          </w:tcPr>
                          <w:p>
                            <w:pPr>
                              <w:pStyle w:val="TableParagraph"/>
                              <w:spacing w:before="9"/>
                              <w:ind w:right="419"/>
                              <w:jc w:val="right"/>
                              <w:rPr>
                                <w:sz w:val="17"/>
                              </w:rPr>
                            </w:pPr>
                            <w:r>
                              <w:rPr>
                                <w:color w:val="0F0F0F"/>
                                <w:spacing w:val="-4"/>
                                <w:w w:val="105"/>
                                <w:sz w:val="17"/>
                              </w:rPr>
                              <w:t>(254)</w:t>
                            </w:r>
                          </w:p>
                        </w:tc>
                        <w:tc>
                          <w:tcPr>
                            <w:tcW w:w="1532" w:type="dxa"/>
                          </w:tcPr>
                          <w:p>
                            <w:pPr>
                              <w:pStyle w:val="TableParagraph"/>
                              <w:spacing w:before="4"/>
                              <w:ind w:right="538"/>
                              <w:jc w:val="right"/>
                              <w:rPr>
                                <w:b/>
                                <w:sz w:val="18"/>
                              </w:rPr>
                            </w:pPr>
                            <w:r>
                              <w:rPr>
                                <w:b/>
                                <w:color w:val="0F0F0F"/>
                                <w:spacing w:val="-2"/>
                                <w:sz w:val="18"/>
                              </w:rPr>
                              <w:t>(109)</w:t>
                            </w:r>
                          </w:p>
                        </w:tc>
                        <w:tc>
                          <w:tcPr>
                            <w:tcW w:w="1217" w:type="dxa"/>
                          </w:tcPr>
                          <w:p>
                            <w:pPr>
                              <w:pStyle w:val="TableParagraph"/>
                              <w:spacing w:line="217" w:lineRule="exact"/>
                              <w:ind w:right="367"/>
                              <w:jc w:val="right"/>
                              <w:rPr>
                                <w:sz w:val="22"/>
                              </w:rPr>
                            </w:pPr>
                            <w:r>
                              <w:rPr>
                                <w:color w:val="4D4D4D"/>
                                <w:spacing w:val="-10"/>
                                <w:sz w:val="22"/>
                              </w:rPr>
                              <w:t>-</w:t>
                            </w:r>
                          </w:p>
                        </w:tc>
                        <w:tc>
                          <w:tcPr>
                            <w:tcW w:w="843" w:type="dxa"/>
                          </w:tcPr>
                          <w:p>
                            <w:pPr>
                              <w:pStyle w:val="TableParagraph"/>
                              <w:spacing w:before="47" w:line="170" w:lineRule="exact"/>
                              <w:ind w:right="54"/>
                              <w:jc w:val="right"/>
                              <w:rPr>
                                <w:sz w:val="17"/>
                              </w:rPr>
                            </w:pPr>
                            <w:r>
                              <w:rPr>
                                <w:color w:val="0F0F0F"/>
                                <w:spacing w:val="-4"/>
                                <w:w w:val="105"/>
                                <w:sz w:val="17"/>
                              </w:rPr>
                              <w:t>(43)</w:t>
                            </w:r>
                          </w:p>
                        </w:tc>
                      </w:tr>
                      <w:tr>
                        <w:trPr>
                          <w:trHeight w:val="190" w:hRule="atLeast"/>
                        </w:trPr>
                        <w:tc>
                          <w:tcPr>
                            <w:tcW w:w="821" w:type="dxa"/>
                          </w:tcPr>
                          <w:p>
                            <w:pPr>
                              <w:pStyle w:val="TableParagraph"/>
                              <w:spacing w:line="171" w:lineRule="exact"/>
                              <w:ind w:right="476"/>
                              <w:jc w:val="right"/>
                              <w:rPr>
                                <w:sz w:val="17"/>
                              </w:rPr>
                            </w:pPr>
                            <w:r>
                              <w:rPr>
                                <w:color w:val="0F0F0F"/>
                                <w:spacing w:val="-10"/>
                                <w:sz w:val="17"/>
                              </w:rPr>
                              <w:t>7</w:t>
                            </w:r>
                          </w:p>
                        </w:tc>
                        <w:tc>
                          <w:tcPr>
                            <w:tcW w:w="1298" w:type="dxa"/>
                          </w:tcPr>
                          <w:p>
                            <w:pPr>
                              <w:pStyle w:val="TableParagraph"/>
                              <w:spacing w:line="171" w:lineRule="exact"/>
                              <w:ind w:right="414"/>
                              <w:jc w:val="right"/>
                              <w:rPr>
                                <w:sz w:val="17"/>
                              </w:rPr>
                            </w:pPr>
                            <w:r>
                              <w:rPr>
                                <w:color w:val="0F0F0F"/>
                                <w:spacing w:val="-5"/>
                                <w:w w:val="105"/>
                                <w:sz w:val="17"/>
                              </w:rPr>
                              <w:t>(7)</w:t>
                            </w:r>
                          </w:p>
                        </w:tc>
                        <w:tc>
                          <w:tcPr>
                            <w:tcW w:w="1532" w:type="dxa"/>
                          </w:tcPr>
                          <w:p>
                            <w:pPr>
                              <w:pStyle w:val="TableParagraph"/>
                              <w:spacing w:line="171" w:lineRule="exact"/>
                              <w:ind w:right="535"/>
                              <w:jc w:val="right"/>
                              <w:rPr>
                                <w:b/>
                                <w:sz w:val="18"/>
                              </w:rPr>
                            </w:pPr>
                            <w:r>
                              <w:rPr>
                                <w:b/>
                                <w:color w:val="0F0F0F"/>
                                <w:spacing w:val="-2"/>
                                <w:sz w:val="18"/>
                              </w:rPr>
                              <w:t>(1,496)</w:t>
                            </w:r>
                          </w:p>
                        </w:tc>
                        <w:tc>
                          <w:tcPr>
                            <w:tcW w:w="1217" w:type="dxa"/>
                          </w:tcPr>
                          <w:p>
                            <w:pPr>
                              <w:pStyle w:val="TableParagraph"/>
                              <w:rPr>
                                <w:rFonts w:ascii="Times New Roman"/>
                                <w:sz w:val="12"/>
                              </w:rPr>
                            </w:pPr>
                          </w:p>
                        </w:tc>
                        <w:tc>
                          <w:tcPr>
                            <w:tcW w:w="843" w:type="dxa"/>
                          </w:tcPr>
                          <w:p>
                            <w:pPr>
                              <w:pStyle w:val="TableParagraph"/>
                              <w:rPr>
                                <w:rFonts w:ascii="Times New Roman"/>
                                <w:sz w:val="12"/>
                              </w:rPr>
                            </w:pPr>
                          </w:p>
                        </w:tc>
                      </w:tr>
                      <w:tr>
                        <w:trPr>
                          <w:trHeight w:val="425" w:hRule="atLeast"/>
                        </w:trPr>
                        <w:tc>
                          <w:tcPr>
                            <w:tcW w:w="821" w:type="dxa"/>
                          </w:tcPr>
                          <w:p>
                            <w:pPr>
                              <w:pStyle w:val="TableParagraph"/>
                              <w:spacing w:before="173" w:line="232" w:lineRule="exact"/>
                              <w:ind w:right="456"/>
                              <w:jc w:val="right"/>
                              <w:rPr>
                                <w:sz w:val="22"/>
                              </w:rPr>
                            </w:pPr>
                            <w:r>
                              <w:rPr>
                                <w:color w:val="4D4D4D"/>
                                <w:spacing w:val="-10"/>
                                <w:sz w:val="22"/>
                              </w:rPr>
                              <w:t>-</w:t>
                            </w:r>
                          </w:p>
                        </w:tc>
                        <w:tc>
                          <w:tcPr>
                            <w:tcW w:w="1298" w:type="dxa"/>
                          </w:tcPr>
                          <w:p>
                            <w:pPr>
                              <w:pStyle w:val="TableParagraph"/>
                              <w:rPr>
                                <w:rFonts w:ascii="Times New Roman"/>
                                <w:sz w:val="16"/>
                              </w:rPr>
                            </w:pPr>
                          </w:p>
                        </w:tc>
                        <w:tc>
                          <w:tcPr>
                            <w:tcW w:w="1532" w:type="dxa"/>
                          </w:tcPr>
                          <w:p>
                            <w:pPr>
                              <w:pStyle w:val="TableParagraph"/>
                              <w:spacing w:before="9"/>
                              <w:ind w:left="30"/>
                              <w:jc w:val="center"/>
                              <w:rPr>
                                <w:b/>
                                <w:sz w:val="18"/>
                              </w:rPr>
                            </w:pPr>
                            <w:r>
                              <w:rPr>
                                <w:b/>
                                <w:color w:val="0F0F0F"/>
                                <w:spacing w:val="-2"/>
                                <w:sz w:val="18"/>
                              </w:rPr>
                              <w:t>(155)</w:t>
                            </w:r>
                          </w:p>
                          <w:p>
                            <w:pPr>
                              <w:pStyle w:val="TableParagraph"/>
                              <w:spacing w:before="5" w:line="185" w:lineRule="exact"/>
                              <w:ind w:left="30"/>
                              <w:jc w:val="center"/>
                              <w:rPr>
                                <w:b/>
                                <w:sz w:val="18"/>
                              </w:rPr>
                            </w:pPr>
                            <w:r>
                              <w:rPr>
                                <w:b/>
                                <w:color w:val="0F0F0F"/>
                                <w:spacing w:val="-2"/>
                                <w:sz w:val="18"/>
                              </w:rPr>
                              <w:t>(103)</w:t>
                            </w:r>
                          </w:p>
                        </w:tc>
                        <w:tc>
                          <w:tcPr>
                            <w:tcW w:w="1217" w:type="dxa"/>
                          </w:tcPr>
                          <w:p>
                            <w:pPr>
                              <w:pStyle w:val="TableParagraph"/>
                              <w:rPr>
                                <w:rFonts w:ascii="Times New Roman"/>
                                <w:sz w:val="16"/>
                              </w:rPr>
                            </w:pPr>
                          </w:p>
                        </w:tc>
                        <w:tc>
                          <w:tcPr>
                            <w:tcW w:w="843" w:type="dxa"/>
                          </w:tcPr>
                          <w:p>
                            <w:pPr>
                              <w:pStyle w:val="TableParagraph"/>
                              <w:rPr>
                                <w:rFonts w:ascii="Times New Roman"/>
                                <w:sz w:val="16"/>
                              </w:rPr>
                            </w:pPr>
                          </w:p>
                        </w:tc>
                      </w:tr>
                      <w:tr>
                        <w:trPr>
                          <w:trHeight w:val="224" w:hRule="atLeast"/>
                        </w:trPr>
                        <w:tc>
                          <w:tcPr>
                            <w:tcW w:w="821" w:type="dxa"/>
                          </w:tcPr>
                          <w:p>
                            <w:pPr>
                              <w:pStyle w:val="TableParagraph"/>
                              <w:spacing w:line="188" w:lineRule="exact"/>
                              <w:ind w:right="460"/>
                              <w:jc w:val="right"/>
                              <w:rPr>
                                <w:sz w:val="17"/>
                              </w:rPr>
                            </w:pPr>
                            <w:r>
                              <w:rPr>
                                <w:color w:val="0F0F0F"/>
                                <w:spacing w:val="-5"/>
                                <w:w w:val="110"/>
                                <w:sz w:val="17"/>
                              </w:rPr>
                              <w:t>541</w:t>
                            </w:r>
                          </w:p>
                        </w:tc>
                        <w:tc>
                          <w:tcPr>
                            <w:tcW w:w="1298" w:type="dxa"/>
                          </w:tcPr>
                          <w:p>
                            <w:pPr>
                              <w:pStyle w:val="TableParagraph"/>
                              <w:spacing w:before="6"/>
                              <w:ind w:right="415"/>
                              <w:jc w:val="right"/>
                              <w:rPr>
                                <w:sz w:val="17"/>
                              </w:rPr>
                            </w:pPr>
                            <w:r>
                              <w:rPr>
                                <w:color w:val="0F0F0F"/>
                                <w:spacing w:val="-4"/>
                                <w:w w:val="105"/>
                                <w:sz w:val="17"/>
                              </w:rPr>
                              <w:t>(537)</w:t>
                            </w:r>
                          </w:p>
                        </w:tc>
                        <w:tc>
                          <w:tcPr>
                            <w:tcW w:w="1532" w:type="dxa"/>
                          </w:tcPr>
                          <w:p>
                            <w:pPr>
                              <w:pStyle w:val="TableParagraph"/>
                              <w:spacing w:before="2" w:line="203" w:lineRule="exact"/>
                              <w:ind w:right="533"/>
                              <w:jc w:val="right"/>
                              <w:rPr>
                                <w:b/>
                                <w:sz w:val="18"/>
                              </w:rPr>
                            </w:pPr>
                            <w:r>
                              <w:rPr>
                                <w:b/>
                                <w:color w:val="0F0F0F"/>
                                <w:spacing w:val="-2"/>
                                <w:sz w:val="18"/>
                              </w:rPr>
                              <w:t>(110)</w:t>
                            </w:r>
                          </w:p>
                        </w:tc>
                        <w:tc>
                          <w:tcPr>
                            <w:tcW w:w="1217" w:type="dxa"/>
                          </w:tcPr>
                          <w:p>
                            <w:pPr>
                              <w:pStyle w:val="TableParagraph"/>
                              <w:spacing w:before="35" w:line="169" w:lineRule="exact"/>
                              <w:ind w:right="365"/>
                              <w:jc w:val="right"/>
                              <w:rPr>
                                <w:sz w:val="17"/>
                              </w:rPr>
                            </w:pPr>
                            <w:r>
                              <w:rPr>
                                <w:color w:val="0F0F0F"/>
                                <w:spacing w:val="-5"/>
                                <w:w w:val="110"/>
                                <w:sz w:val="17"/>
                              </w:rPr>
                              <w:t>321</w:t>
                            </w:r>
                          </w:p>
                        </w:tc>
                        <w:tc>
                          <w:tcPr>
                            <w:tcW w:w="843" w:type="dxa"/>
                          </w:tcPr>
                          <w:p>
                            <w:pPr>
                              <w:pStyle w:val="TableParagraph"/>
                              <w:spacing w:before="40" w:line="165" w:lineRule="exact"/>
                              <w:ind w:right="45"/>
                              <w:jc w:val="right"/>
                              <w:rPr>
                                <w:sz w:val="17"/>
                              </w:rPr>
                            </w:pPr>
                            <w:r>
                              <w:rPr>
                                <w:color w:val="0F0F0F"/>
                                <w:spacing w:val="-4"/>
                                <w:w w:val="105"/>
                                <w:sz w:val="17"/>
                              </w:rPr>
                              <w:t>(454)</w:t>
                            </w:r>
                          </w:p>
                        </w:tc>
                      </w:tr>
                      <w:tr>
                        <w:trPr>
                          <w:trHeight w:val="222" w:hRule="atLeast"/>
                        </w:trPr>
                        <w:tc>
                          <w:tcPr>
                            <w:tcW w:w="821" w:type="dxa"/>
                          </w:tcPr>
                          <w:p>
                            <w:pPr>
                              <w:pStyle w:val="TableParagraph"/>
                              <w:spacing w:line="179" w:lineRule="exact"/>
                              <w:ind w:right="463"/>
                              <w:jc w:val="right"/>
                              <w:rPr>
                                <w:sz w:val="17"/>
                              </w:rPr>
                            </w:pPr>
                            <w:r>
                              <w:rPr>
                                <w:color w:val="0F0F0F"/>
                                <w:spacing w:val="-5"/>
                                <w:w w:val="105"/>
                                <w:sz w:val="17"/>
                              </w:rPr>
                              <w:t>514</w:t>
                            </w:r>
                          </w:p>
                        </w:tc>
                        <w:tc>
                          <w:tcPr>
                            <w:tcW w:w="1298" w:type="dxa"/>
                          </w:tcPr>
                          <w:p>
                            <w:pPr>
                              <w:pStyle w:val="TableParagraph"/>
                              <w:spacing w:line="189" w:lineRule="exact"/>
                              <w:ind w:right="419"/>
                              <w:jc w:val="right"/>
                              <w:rPr>
                                <w:sz w:val="17"/>
                              </w:rPr>
                            </w:pPr>
                            <w:r>
                              <w:rPr>
                                <w:color w:val="0F0F0F"/>
                                <w:spacing w:val="-4"/>
                                <w:w w:val="105"/>
                                <w:sz w:val="17"/>
                              </w:rPr>
                              <w:t>(360)</w:t>
                            </w:r>
                          </w:p>
                        </w:tc>
                        <w:tc>
                          <w:tcPr>
                            <w:tcW w:w="1532" w:type="dxa"/>
                          </w:tcPr>
                          <w:p>
                            <w:pPr>
                              <w:pStyle w:val="TableParagraph"/>
                              <w:spacing w:line="196" w:lineRule="exact"/>
                              <w:ind w:right="535"/>
                              <w:jc w:val="right"/>
                              <w:rPr>
                                <w:b/>
                                <w:sz w:val="18"/>
                              </w:rPr>
                            </w:pPr>
                            <w:r>
                              <w:rPr>
                                <w:b/>
                                <w:color w:val="0F0F0F"/>
                                <w:spacing w:val="-2"/>
                                <w:sz w:val="18"/>
                              </w:rPr>
                              <w:t>(1,803)</w:t>
                            </w:r>
                          </w:p>
                        </w:tc>
                        <w:tc>
                          <w:tcPr>
                            <w:tcW w:w="1217" w:type="dxa"/>
                          </w:tcPr>
                          <w:p>
                            <w:pPr>
                              <w:pStyle w:val="TableParagraph"/>
                              <w:spacing w:before="22" w:line="180" w:lineRule="exact"/>
                              <w:ind w:right="369"/>
                              <w:jc w:val="right"/>
                              <w:rPr>
                                <w:sz w:val="17"/>
                              </w:rPr>
                            </w:pPr>
                            <w:r>
                              <w:rPr>
                                <w:color w:val="0F0F0F"/>
                                <w:spacing w:val="-5"/>
                                <w:w w:val="105"/>
                                <w:sz w:val="17"/>
                              </w:rPr>
                              <w:t>349</w:t>
                            </w:r>
                          </w:p>
                        </w:tc>
                        <w:tc>
                          <w:tcPr>
                            <w:tcW w:w="843" w:type="dxa"/>
                          </w:tcPr>
                          <w:p>
                            <w:pPr>
                              <w:pStyle w:val="TableParagraph"/>
                              <w:spacing w:before="27" w:line="176" w:lineRule="exact"/>
                              <w:ind w:right="52"/>
                              <w:jc w:val="right"/>
                              <w:rPr>
                                <w:sz w:val="17"/>
                              </w:rPr>
                            </w:pPr>
                            <w:r>
                              <w:rPr>
                                <w:color w:val="0F0F0F"/>
                                <w:spacing w:val="-4"/>
                                <w:w w:val="105"/>
                                <w:sz w:val="17"/>
                              </w:rPr>
                              <w:t>(295)</w:t>
                            </w:r>
                          </w:p>
                        </w:tc>
                      </w:tr>
                    </w:tbl>
                    <w:p>
                      <w:pPr>
                        <w:pStyle w:val="BodyText"/>
                      </w:pPr>
                    </w:p>
                  </w:txbxContent>
                </v:textbox>
                <w10:wrap type="none"/>
              </v:shape>
            </w:pict>
          </ve:Fallback>
        </ve:AlternateContent>
      </w:r>
      <w:r>
        <w:rPr>
          <w:color w:val="4D4D4D"/>
          <w:spacing w:val="-10"/>
          <w:position w:val="2"/>
          <w:sz w:val="27"/>
        </w:rPr>
        <w:t>-</w:t>
      </w:r>
      <w:r>
        <w:rPr>
          <w:color w:val="4D4D4D"/>
          <w:position w:val="2"/>
          <w:sz w:val="27"/>
        </w:rPr>
        <w:tab/>
      </w:r>
      <w:r>
        <w:rPr>
          <w:color w:val="0F0F0F"/>
          <w:spacing w:val="-2"/>
          <w:position w:val="1"/>
          <w:sz w:val="17"/>
        </w:rPr>
        <w:t>(200)</w:t>
      </w:r>
      <w:r>
        <w:rPr>
          <w:color w:val="0F0F0F"/>
          <w:position w:val="1"/>
          <w:sz w:val="17"/>
        </w:rPr>
        <w:tab/>
      </w:r>
      <w:r>
        <w:rPr>
          <w:b/>
          <w:color w:val="0F0F0F"/>
          <w:spacing w:val="-2"/>
          <w:sz w:val="18"/>
        </w:rPr>
        <w:t>(200)</w:t>
      </w:r>
    </w:p>
    <w:p>
      <w:pPr>
        <w:spacing w:before="4"/>
        <w:ind w:left="0" w:right="231" w:firstLine="0"/>
        <w:jc w:val="right"/>
        <w:rPr>
          <w:b/>
          <w:sz w:val="18"/>
        </w:rPr>
      </w:pPr>
      <w:r>
        <w:rPr>
          <w:b/>
          <w:color w:val="0F0F0F"/>
          <w:spacing w:val="-2"/>
          <w:sz w:val="18"/>
        </w:rPr>
        <w:t>(152)</w:t>
      </w:r>
    </w:p>
    <w:p>
      <w:pPr>
        <w:spacing w:before="10"/>
        <w:ind w:left="0" w:right="228" w:firstLine="0"/>
        <w:jc w:val="right"/>
        <w:rPr>
          <w:b/>
          <w:sz w:val="18"/>
        </w:rPr>
      </w:pPr>
      <w:r>
        <w:rPr>
          <w:b/>
          <w:color w:val="0F0F0F"/>
          <w:spacing w:val="-2"/>
          <w:sz w:val="18"/>
        </w:rPr>
        <w:t>(1,496)</w:t>
      </w:r>
    </w:p>
    <w:p>
      <w:pPr>
        <w:spacing w:before="4"/>
        <w:ind w:left="0" w:right="234" w:firstLine="0"/>
        <w:jc w:val="right"/>
        <w:rPr>
          <w:b/>
          <w:sz w:val="18"/>
        </w:rPr>
      </w:pPr>
      <w:r>
        <w:rPr>
          <w:b/>
          <w:color w:val="0F0F0F"/>
          <w:spacing w:val="-2"/>
          <w:sz w:val="18"/>
        </w:rPr>
        <w:t>(155)</w:t>
      </w:r>
    </w:p>
    <w:p>
      <w:pPr>
        <w:spacing w:before="5"/>
        <w:ind w:left="0" w:right="231" w:firstLine="0"/>
        <w:jc w:val="right"/>
        <w:rPr>
          <w:b/>
          <w:sz w:val="18"/>
        </w:rPr>
      </w:pPr>
      <w:r>
        <w:rPr>
          <w:b/>
          <w:color w:val="0F0F0F"/>
          <w:spacing w:val="-2"/>
          <w:sz w:val="18"/>
        </w:rPr>
        <w:t>(103)</w:t>
      </w:r>
    </w:p>
    <w:p>
      <w:pPr>
        <w:spacing w:before="4" w:line="207" w:lineRule="exact"/>
        <w:ind w:left="0" w:right="226" w:firstLine="0"/>
        <w:jc w:val="right"/>
        <w:rPr>
          <w:b/>
          <w:sz w:val="18"/>
        </w:rPr>
      </w:pPr>
      <w:r>
        <w:rPr>
          <w:b/>
          <w:color w:val="0F0F0F"/>
          <w:spacing w:val="-2"/>
          <w:sz w:val="18"/>
        </w:rPr>
        <w:t>(243)</w:t>
      </w:r>
    </w:p>
    <w:p>
      <w:pPr>
        <w:spacing w:before="0" w:line="197" w:lineRule="exact"/>
        <w:ind w:left="0" w:right="229" w:firstLine="0"/>
        <w:jc w:val="right"/>
        <w:rPr>
          <w:b/>
          <w:sz w:val="18"/>
        </w:rPr>
      </w:pPr>
      <w:r>
        <w:rPr>
          <w:b/>
          <w:color w:val="0F0F0F"/>
          <w:spacing w:val="-2"/>
          <w:sz w:val="18"/>
        </w:rPr>
        <w:t>(1,749)</w:t>
      </w:r>
    </w:p>
    <w:p>
      <w:pPr>
        <w:tabs>
          <w:tab w:val="left" w:leader="none" w:pos="1599"/>
          <w:tab w:val="left" w:leader="none" w:pos="2552"/>
          <w:tab w:val="left" w:leader="none" w:pos="4078"/>
        </w:tabs>
        <w:spacing w:before="0" w:line="227" w:lineRule="exact"/>
        <w:ind w:left="0" w:right="234" w:firstLine="0"/>
        <w:jc w:val="right"/>
        <w:rPr>
          <w:b/>
          <w:sz w:val="18"/>
        </w:rPr>
      </w:pPr>
      <w:r>
        <w:rPr>
          <w:b/>
          <w:color w:val="0F0F0F"/>
          <w:spacing w:val="-2"/>
          <w:w w:val="105"/>
          <w:position w:val="3"/>
          <w:sz w:val="18"/>
        </w:rPr>
        <w:t>(181)</w:t>
      </w:r>
      <w:r>
        <w:rPr>
          <w:b/>
          <w:color w:val="0F0F0F"/>
          <w:position w:val="3"/>
          <w:sz w:val="18"/>
        </w:rPr>
        <w:tab/>
      </w:r>
      <w:r>
        <w:rPr>
          <w:color w:val="0F0F0F"/>
          <w:spacing w:val="-7"/>
          <w:w w:val="105"/>
          <w:position w:val="1"/>
          <w:sz w:val="17"/>
        </w:rPr>
        <w:t>65</w:t>
      </w:r>
      <w:r>
        <w:rPr>
          <w:color w:val="0F0F0F"/>
          <w:position w:val="1"/>
          <w:sz w:val="17"/>
        </w:rPr>
        <w:tab/>
      </w:r>
      <w:r>
        <w:rPr>
          <w:color w:val="0F0F0F"/>
          <w:spacing w:val="-2"/>
          <w:w w:val="105"/>
          <w:sz w:val="17"/>
        </w:rPr>
        <w:t>(200)</w:t>
      </w:r>
      <w:r>
        <w:rPr>
          <w:color w:val="0F0F0F"/>
          <w:sz w:val="17"/>
        </w:rPr>
        <w:tab/>
      </w:r>
      <w:r>
        <w:rPr>
          <w:b/>
          <w:color w:val="0F0F0F"/>
          <w:spacing w:val="-2"/>
          <w:w w:val="105"/>
          <w:sz w:val="18"/>
        </w:rPr>
        <w:t>(316)</w:t>
      </w:r>
    </w:p>
    <w:tbl>
      <w:tblPr>
        <w:tblW w:w="0" w:type="auto"/>
        <w:jc w:val="left"/>
        <w:tblInd w:w="6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20"/>
        <w:gridCol w:w="1299"/>
        <w:gridCol w:w="1534"/>
        <w:gridCol w:w="1149"/>
        <w:gridCol w:w="1337"/>
        <w:gridCol w:w="1103"/>
      </w:tblGrid>
      <w:tr>
        <w:trPr>
          <w:trHeight w:val="228" w:hRule="atLeast"/>
        </w:trPr>
        <w:tc>
          <w:tcPr>
            <w:tcW w:w="820" w:type="dxa"/>
          </w:tcPr>
          <w:p>
            <w:pPr>
              <w:pStyle w:val="TableParagraph"/>
              <w:spacing w:line="162" w:lineRule="exact"/>
              <w:ind w:right="480"/>
              <w:jc w:val="right"/>
              <w:rPr>
                <w:sz w:val="17"/>
              </w:rPr>
            </w:pPr>
            <w:r>
              <w:rPr>
                <w:color w:val="0F0F0F"/>
                <w:spacing w:val="-5"/>
                <w:sz w:val="17"/>
              </w:rPr>
              <w:t>31</w:t>
            </w:r>
          </w:p>
        </w:tc>
        <w:tc>
          <w:tcPr>
            <w:tcW w:w="1299" w:type="dxa"/>
          </w:tcPr>
          <w:p>
            <w:pPr>
              <w:pStyle w:val="TableParagraph"/>
              <w:spacing w:line="172" w:lineRule="exact"/>
              <w:ind w:right="415"/>
              <w:jc w:val="right"/>
              <w:rPr>
                <w:sz w:val="17"/>
              </w:rPr>
            </w:pPr>
            <w:r>
              <w:rPr>
                <w:color w:val="0F0F0F"/>
                <w:spacing w:val="-4"/>
                <w:w w:val="105"/>
                <w:sz w:val="17"/>
              </w:rPr>
              <w:t>(15)</w:t>
            </w:r>
          </w:p>
        </w:tc>
        <w:tc>
          <w:tcPr>
            <w:tcW w:w="1534" w:type="dxa"/>
          </w:tcPr>
          <w:p>
            <w:pPr>
              <w:pStyle w:val="TableParagraph"/>
              <w:spacing w:line="183" w:lineRule="exact"/>
              <w:ind w:right="538"/>
              <w:jc w:val="right"/>
              <w:rPr>
                <w:b/>
                <w:sz w:val="18"/>
              </w:rPr>
            </w:pPr>
            <w:r>
              <w:rPr>
                <w:b/>
                <w:color w:val="0F0F0F"/>
                <w:spacing w:val="-2"/>
                <w:sz w:val="18"/>
              </w:rPr>
              <w:t>(301)</w:t>
            </w:r>
          </w:p>
        </w:tc>
        <w:tc>
          <w:tcPr>
            <w:tcW w:w="1149" w:type="dxa"/>
          </w:tcPr>
          <w:p>
            <w:pPr>
              <w:pStyle w:val="TableParagraph"/>
              <w:spacing w:before="5" w:line="195" w:lineRule="exact"/>
              <w:ind w:right="300"/>
              <w:jc w:val="right"/>
              <w:rPr>
                <w:sz w:val="17"/>
              </w:rPr>
            </w:pPr>
            <w:r>
              <w:rPr>
                <w:color w:val="0F0F0F"/>
                <w:spacing w:val="-5"/>
                <w:w w:val="110"/>
                <w:sz w:val="17"/>
              </w:rPr>
              <w:t>121</w:t>
            </w:r>
          </w:p>
        </w:tc>
        <w:tc>
          <w:tcPr>
            <w:tcW w:w="1337" w:type="dxa"/>
          </w:tcPr>
          <w:p>
            <w:pPr>
              <w:pStyle w:val="TableParagraph"/>
              <w:rPr>
                <w:rFonts w:ascii="Times New Roman"/>
                <w:sz w:val="16"/>
              </w:rPr>
            </w:pPr>
          </w:p>
        </w:tc>
        <w:tc>
          <w:tcPr>
            <w:tcW w:w="1103" w:type="dxa"/>
          </w:tcPr>
          <w:p>
            <w:pPr>
              <w:pStyle w:val="TableParagraph"/>
              <w:spacing w:before="5" w:line="195" w:lineRule="exact"/>
              <w:ind w:right="52"/>
              <w:jc w:val="right"/>
              <w:rPr>
                <w:b/>
                <w:sz w:val="18"/>
              </w:rPr>
            </w:pPr>
            <w:r>
              <w:rPr>
                <w:b/>
                <w:color w:val="0F0F0F"/>
                <w:spacing w:val="-2"/>
                <w:sz w:val="18"/>
              </w:rPr>
              <w:t>(180)</w:t>
            </w:r>
          </w:p>
        </w:tc>
      </w:tr>
      <w:tr>
        <w:trPr>
          <w:trHeight w:val="211" w:hRule="atLeast"/>
        </w:trPr>
        <w:tc>
          <w:tcPr>
            <w:tcW w:w="820" w:type="dxa"/>
          </w:tcPr>
          <w:p>
            <w:pPr>
              <w:pStyle w:val="TableParagraph"/>
              <w:spacing w:line="150" w:lineRule="exact"/>
              <w:ind w:right="462"/>
              <w:jc w:val="right"/>
              <w:rPr>
                <w:sz w:val="17"/>
              </w:rPr>
            </w:pPr>
            <w:r>
              <w:rPr>
                <w:color w:val="0F0F0F"/>
                <w:spacing w:val="-5"/>
                <w:w w:val="110"/>
                <w:sz w:val="17"/>
              </w:rPr>
              <w:t>89</w:t>
            </w:r>
          </w:p>
        </w:tc>
        <w:tc>
          <w:tcPr>
            <w:tcW w:w="1299" w:type="dxa"/>
          </w:tcPr>
          <w:p>
            <w:pPr>
              <w:pStyle w:val="TableParagraph"/>
              <w:spacing w:line="160" w:lineRule="exact"/>
              <w:ind w:right="415"/>
              <w:jc w:val="right"/>
              <w:rPr>
                <w:sz w:val="17"/>
              </w:rPr>
            </w:pPr>
            <w:r>
              <w:rPr>
                <w:color w:val="0F0F0F"/>
                <w:spacing w:val="-4"/>
                <w:w w:val="105"/>
                <w:sz w:val="17"/>
              </w:rPr>
              <w:t>(56)</w:t>
            </w:r>
          </w:p>
        </w:tc>
        <w:tc>
          <w:tcPr>
            <w:tcW w:w="1534" w:type="dxa"/>
          </w:tcPr>
          <w:p>
            <w:pPr>
              <w:pStyle w:val="TableParagraph"/>
              <w:spacing w:line="167" w:lineRule="exact"/>
              <w:ind w:right="540"/>
              <w:jc w:val="right"/>
              <w:rPr>
                <w:b/>
                <w:sz w:val="18"/>
              </w:rPr>
            </w:pPr>
            <w:r>
              <w:rPr>
                <w:b/>
                <w:color w:val="0F0F0F"/>
                <w:spacing w:val="-2"/>
                <w:sz w:val="18"/>
              </w:rPr>
              <w:t>(1,721)</w:t>
            </w:r>
          </w:p>
        </w:tc>
        <w:tc>
          <w:tcPr>
            <w:tcW w:w="1149" w:type="dxa"/>
          </w:tcPr>
          <w:p>
            <w:pPr>
              <w:pStyle w:val="TableParagraph"/>
              <w:spacing w:line="183" w:lineRule="exact"/>
              <w:ind w:right="304"/>
              <w:jc w:val="right"/>
              <w:rPr>
                <w:sz w:val="17"/>
              </w:rPr>
            </w:pPr>
            <w:r>
              <w:rPr>
                <w:color w:val="0F0F0F"/>
                <w:spacing w:val="-5"/>
                <w:w w:val="110"/>
                <w:sz w:val="17"/>
              </w:rPr>
              <w:t>206</w:t>
            </w:r>
          </w:p>
        </w:tc>
        <w:tc>
          <w:tcPr>
            <w:tcW w:w="1337" w:type="dxa"/>
          </w:tcPr>
          <w:p>
            <w:pPr>
              <w:pStyle w:val="TableParagraph"/>
              <w:rPr>
                <w:rFonts w:ascii="Times New Roman"/>
                <w:sz w:val="14"/>
              </w:rPr>
            </w:pPr>
          </w:p>
        </w:tc>
        <w:tc>
          <w:tcPr>
            <w:tcW w:w="1103" w:type="dxa"/>
          </w:tcPr>
          <w:p>
            <w:pPr>
              <w:pStyle w:val="TableParagraph"/>
              <w:spacing w:line="183" w:lineRule="exact"/>
              <w:ind w:right="55"/>
              <w:jc w:val="right"/>
              <w:rPr>
                <w:b/>
                <w:sz w:val="18"/>
              </w:rPr>
            </w:pPr>
            <w:r>
              <w:rPr>
                <w:b/>
                <w:color w:val="0F0F0F"/>
                <w:spacing w:val="-2"/>
                <w:sz w:val="18"/>
              </w:rPr>
              <w:t>(1,515)</w:t>
            </w:r>
          </w:p>
        </w:tc>
      </w:tr>
      <w:tr>
        <w:trPr>
          <w:trHeight w:val="228" w:hRule="atLeast"/>
        </w:trPr>
        <w:tc>
          <w:tcPr>
            <w:tcW w:w="820" w:type="dxa"/>
          </w:tcPr>
          <w:p>
            <w:pPr>
              <w:pStyle w:val="TableParagraph"/>
              <w:spacing w:line="145" w:lineRule="exact"/>
              <w:ind w:right="461"/>
              <w:jc w:val="right"/>
              <w:rPr>
                <w:sz w:val="17"/>
              </w:rPr>
            </w:pPr>
            <w:r>
              <w:rPr>
                <w:color w:val="0F0F0F"/>
                <w:spacing w:val="-5"/>
                <w:w w:val="110"/>
                <w:sz w:val="17"/>
              </w:rPr>
              <w:t>73</w:t>
            </w:r>
          </w:p>
        </w:tc>
        <w:tc>
          <w:tcPr>
            <w:tcW w:w="1299" w:type="dxa"/>
          </w:tcPr>
          <w:p>
            <w:pPr>
              <w:pStyle w:val="TableParagraph"/>
              <w:spacing w:line="160" w:lineRule="exact"/>
              <w:ind w:right="418"/>
              <w:jc w:val="right"/>
              <w:rPr>
                <w:sz w:val="17"/>
              </w:rPr>
            </w:pPr>
            <w:r>
              <w:rPr>
                <w:color w:val="0F0F0F"/>
                <w:spacing w:val="-4"/>
                <w:w w:val="105"/>
                <w:sz w:val="17"/>
              </w:rPr>
              <w:t>(15)</w:t>
            </w:r>
          </w:p>
        </w:tc>
        <w:tc>
          <w:tcPr>
            <w:tcW w:w="1534" w:type="dxa"/>
          </w:tcPr>
          <w:p>
            <w:pPr>
              <w:pStyle w:val="TableParagraph"/>
              <w:spacing w:line="167" w:lineRule="exact"/>
              <w:ind w:right="541"/>
              <w:jc w:val="right"/>
              <w:rPr>
                <w:b/>
                <w:sz w:val="18"/>
              </w:rPr>
            </w:pPr>
            <w:r>
              <w:rPr>
                <w:b/>
                <w:color w:val="0F0F0F"/>
                <w:spacing w:val="-2"/>
                <w:sz w:val="18"/>
              </w:rPr>
              <w:t>(250)</w:t>
            </w:r>
          </w:p>
        </w:tc>
        <w:tc>
          <w:tcPr>
            <w:tcW w:w="1149" w:type="dxa"/>
          </w:tcPr>
          <w:p>
            <w:pPr>
              <w:pStyle w:val="TableParagraph"/>
              <w:spacing w:line="184" w:lineRule="exact"/>
              <w:ind w:right="304"/>
              <w:jc w:val="right"/>
              <w:rPr>
                <w:sz w:val="17"/>
              </w:rPr>
            </w:pPr>
            <w:r>
              <w:rPr>
                <w:color w:val="0F0F0F"/>
                <w:spacing w:val="-5"/>
                <w:w w:val="110"/>
                <w:sz w:val="17"/>
              </w:rPr>
              <w:t>11</w:t>
            </w:r>
          </w:p>
        </w:tc>
        <w:tc>
          <w:tcPr>
            <w:tcW w:w="1337" w:type="dxa"/>
          </w:tcPr>
          <w:p>
            <w:pPr>
              <w:pStyle w:val="TableParagraph"/>
              <w:spacing w:line="188" w:lineRule="exact"/>
              <w:ind w:right="479"/>
              <w:jc w:val="right"/>
              <w:rPr>
                <w:sz w:val="17"/>
              </w:rPr>
            </w:pPr>
            <w:r>
              <w:rPr>
                <w:color w:val="0F0F0F"/>
                <w:spacing w:val="-4"/>
                <w:w w:val="105"/>
                <w:sz w:val="17"/>
              </w:rPr>
              <w:t>(10)</w:t>
            </w:r>
          </w:p>
        </w:tc>
        <w:tc>
          <w:tcPr>
            <w:tcW w:w="1103" w:type="dxa"/>
          </w:tcPr>
          <w:p>
            <w:pPr>
              <w:pStyle w:val="TableParagraph"/>
              <w:spacing w:line="200" w:lineRule="exact"/>
              <w:ind w:right="56"/>
              <w:jc w:val="right"/>
              <w:rPr>
                <w:b/>
                <w:sz w:val="18"/>
              </w:rPr>
            </w:pPr>
            <w:r>
              <w:rPr>
                <w:b/>
                <w:color w:val="0F0F0F"/>
                <w:spacing w:val="-2"/>
                <w:sz w:val="18"/>
              </w:rPr>
              <w:t>(249)</w:t>
            </w:r>
          </w:p>
        </w:tc>
      </w:tr>
      <w:tr>
        <w:trPr>
          <w:trHeight w:val="411" w:hRule="atLeast"/>
        </w:trPr>
        <w:tc>
          <w:tcPr>
            <w:tcW w:w="820" w:type="dxa"/>
          </w:tcPr>
          <w:p>
            <w:pPr>
              <w:pStyle w:val="TableParagraph"/>
              <w:spacing w:before="154"/>
              <w:ind w:right="463"/>
              <w:jc w:val="right"/>
              <w:rPr>
                <w:sz w:val="17"/>
              </w:rPr>
            </w:pPr>
            <w:r>
              <w:rPr>
                <w:color w:val="0F0F0F"/>
                <w:spacing w:val="-5"/>
                <w:w w:val="105"/>
                <w:sz w:val="17"/>
              </w:rPr>
              <w:t>970</w:t>
            </w:r>
          </w:p>
        </w:tc>
        <w:tc>
          <w:tcPr>
            <w:tcW w:w="1299" w:type="dxa"/>
          </w:tcPr>
          <w:p>
            <w:pPr>
              <w:pStyle w:val="TableParagraph"/>
              <w:spacing w:line="181" w:lineRule="exact"/>
              <w:ind w:left="820"/>
              <w:rPr>
                <w:sz w:val="27"/>
              </w:rPr>
            </w:pPr>
            <w:r>
              <w:rPr>
                <w:color w:val="4D4D4D"/>
                <w:spacing w:val="-10"/>
                <w:w w:val="95"/>
                <w:sz w:val="27"/>
              </w:rPr>
              <w:t>-</w:t>
            </w:r>
          </w:p>
          <w:p>
            <w:pPr>
              <w:pStyle w:val="TableParagraph"/>
              <w:spacing w:line="179" w:lineRule="exact"/>
              <w:ind w:left="462"/>
              <w:rPr>
                <w:sz w:val="17"/>
              </w:rPr>
            </w:pPr>
            <w:r>
              <w:rPr>
                <w:color w:val="0F0F0F"/>
                <w:spacing w:val="-4"/>
                <w:w w:val="105"/>
                <w:sz w:val="17"/>
              </w:rPr>
              <w:t>(878)</w:t>
            </w:r>
          </w:p>
        </w:tc>
        <w:tc>
          <w:tcPr>
            <w:tcW w:w="1534" w:type="dxa"/>
          </w:tcPr>
          <w:p>
            <w:pPr>
              <w:pStyle w:val="TableParagraph"/>
              <w:spacing w:line="181" w:lineRule="exact"/>
              <w:ind w:left="306"/>
              <w:jc w:val="center"/>
              <w:rPr>
                <w:sz w:val="27"/>
              </w:rPr>
            </w:pPr>
            <w:r>
              <w:rPr>
                <w:color w:val="0F0F0F"/>
                <w:spacing w:val="-10"/>
                <w:w w:val="95"/>
                <w:sz w:val="27"/>
              </w:rPr>
              <w:t>-</w:t>
            </w:r>
          </w:p>
          <w:p>
            <w:pPr>
              <w:pStyle w:val="TableParagraph"/>
              <w:spacing w:line="185" w:lineRule="exact"/>
              <w:ind w:left="420"/>
              <w:rPr>
                <w:b/>
                <w:sz w:val="18"/>
              </w:rPr>
            </w:pPr>
            <w:r>
              <w:rPr>
                <w:b/>
                <w:color w:val="0F0F0F"/>
                <w:spacing w:val="-2"/>
                <w:sz w:val="18"/>
              </w:rPr>
              <w:t>(1,878)</w:t>
            </w:r>
          </w:p>
        </w:tc>
        <w:tc>
          <w:tcPr>
            <w:tcW w:w="1149" w:type="dxa"/>
          </w:tcPr>
          <w:p>
            <w:pPr>
              <w:pStyle w:val="TableParagraph"/>
              <w:spacing w:line="172" w:lineRule="exact"/>
              <w:ind w:left="630"/>
              <w:rPr>
                <w:sz w:val="17"/>
              </w:rPr>
            </w:pPr>
            <w:r>
              <w:rPr>
                <w:color w:val="0F0F0F"/>
                <w:spacing w:val="-5"/>
                <w:w w:val="95"/>
                <w:sz w:val="17"/>
              </w:rPr>
              <w:t>60</w:t>
            </w:r>
          </w:p>
          <w:p>
            <w:pPr>
              <w:pStyle w:val="TableParagraph"/>
              <w:spacing w:before="16" w:line="195" w:lineRule="exact"/>
              <w:ind w:left="538"/>
              <w:rPr>
                <w:sz w:val="17"/>
              </w:rPr>
            </w:pPr>
            <w:r>
              <w:rPr>
                <w:color w:val="0F0F0F"/>
                <w:spacing w:val="-5"/>
                <w:w w:val="105"/>
                <w:sz w:val="17"/>
              </w:rPr>
              <w:t>374</w:t>
            </w:r>
          </w:p>
        </w:tc>
        <w:tc>
          <w:tcPr>
            <w:tcW w:w="1337" w:type="dxa"/>
          </w:tcPr>
          <w:p>
            <w:pPr>
              <w:pStyle w:val="TableParagraph"/>
              <w:spacing w:line="176" w:lineRule="exact"/>
              <w:ind w:left="439"/>
              <w:rPr>
                <w:sz w:val="17"/>
              </w:rPr>
            </w:pPr>
            <w:r>
              <w:rPr>
                <w:color w:val="0F0F0F"/>
                <w:spacing w:val="-4"/>
                <w:w w:val="105"/>
                <w:sz w:val="17"/>
              </w:rPr>
              <w:t>(515)</w:t>
            </w:r>
          </w:p>
          <w:p>
            <w:pPr>
              <w:pStyle w:val="TableParagraph"/>
              <w:spacing w:before="21" w:line="186" w:lineRule="exact"/>
              <w:ind w:left="439"/>
              <w:rPr>
                <w:sz w:val="17"/>
              </w:rPr>
            </w:pPr>
            <w:r>
              <w:rPr>
                <w:color w:val="0F0F0F"/>
                <w:spacing w:val="-4"/>
                <w:w w:val="105"/>
                <w:sz w:val="17"/>
              </w:rPr>
              <w:t>(783)</w:t>
            </w:r>
          </w:p>
        </w:tc>
        <w:tc>
          <w:tcPr>
            <w:tcW w:w="1103" w:type="dxa"/>
          </w:tcPr>
          <w:p>
            <w:pPr>
              <w:pStyle w:val="TableParagraph"/>
              <w:spacing w:line="183" w:lineRule="exact"/>
              <w:ind w:right="56"/>
              <w:jc w:val="right"/>
              <w:rPr>
                <w:b/>
                <w:sz w:val="18"/>
              </w:rPr>
            </w:pPr>
            <w:r>
              <w:rPr>
                <w:b/>
                <w:color w:val="0F0F0F"/>
                <w:spacing w:val="-2"/>
                <w:sz w:val="18"/>
              </w:rPr>
              <w:t>(455)</w:t>
            </w:r>
          </w:p>
          <w:p>
            <w:pPr>
              <w:pStyle w:val="TableParagraph"/>
              <w:spacing w:before="4" w:line="195" w:lineRule="exact"/>
              <w:ind w:right="55"/>
              <w:jc w:val="right"/>
              <w:rPr>
                <w:b/>
                <w:sz w:val="18"/>
              </w:rPr>
            </w:pPr>
            <w:r>
              <w:rPr>
                <w:b/>
                <w:color w:val="0F0F0F"/>
                <w:spacing w:val="-2"/>
                <w:sz w:val="18"/>
              </w:rPr>
              <w:t>(2,287)</w:t>
            </w:r>
          </w:p>
        </w:tc>
      </w:tr>
      <w:tr>
        <w:trPr>
          <w:trHeight w:val="218" w:hRule="atLeast"/>
        </w:trPr>
        <w:tc>
          <w:tcPr>
            <w:tcW w:w="820" w:type="dxa"/>
          </w:tcPr>
          <w:p>
            <w:pPr>
              <w:pStyle w:val="TableParagraph"/>
              <w:spacing w:line="150" w:lineRule="exact"/>
              <w:ind w:right="462"/>
              <w:jc w:val="right"/>
              <w:rPr>
                <w:sz w:val="17"/>
              </w:rPr>
            </w:pPr>
            <w:r>
              <w:rPr>
                <w:color w:val="0F0F0F"/>
                <w:spacing w:val="-5"/>
                <w:w w:val="110"/>
                <w:sz w:val="17"/>
              </w:rPr>
              <w:t>15</w:t>
            </w:r>
          </w:p>
        </w:tc>
        <w:tc>
          <w:tcPr>
            <w:tcW w:w="1299" w:type="dxa"/>
          </w:tcPr>
          <w:p>
            <w:pPr>
              <w:pStyle w:val="TableParagraph"/>
              <w:spacing w:line="160" w:lineRule="exact"/>
              <w:ind w:right="416"/>
              <w:jc w:val="right"/>
              <w:rPr>
                <w:sz w:val="17"/>
              </w:rPr>
            </w:pPr>
            <w:r>
              <w:rPr>
                <w:color w:val="0F0F0F"/>
                <w:spacing w:val="-4"/>
                <w:w w:val="105"/>
                <w:sz w:val="17"/>
              </w:rPr>
              <w:t>(475)</w:t>
            </w:r>
          </w:p>
        </w:tc>
        <w:tc>
          <w:tcPr>
            <w:tcW w:w="1534" w:type="dxa"/>
          </w:tcPr>
          <w:p>
            <w:pPr>
              <w:pStyle w:val="TableParagraph"/>
              <w:spacing w:line="171" w:lineRule="exact"/>
              <w:ind w:right="539"/>
              <w:jc w:val="right"/>
              <w:rPr>
                <w:b/>
                <w:sz w:val="18"/>
              </w:rPr>
            </w:pPr>
            <w:r>
              <w:rPr>
                <w:b/>
                <w:color w:val="0F0F0F"/>
                <w:spacing w:val="-2"/>
                <w:sz w:val="18"/>
              </w:rPr>
              <w:t>(3,874)</w:t>
            </w:r>
          </w:p>
        </w:tc>
        <w:tc>
          <w:tcPr>
            <w:tcW w:w="1149" w:type="dxa"/>
          </w:tcPr>
          <w:p>
            <w:pPr>
              <w:pStyle w:val="TableParagraph"/>
              <w:spacing w:line="184" w:lineRule="exact"/>
              <w:ind w:right="304"/>
              <w:jc w:val="right"/>
              <w:rPr>
                <w:sz w:val="17"/>
              </w:rPr>
            </w:pPr>
            <w:r>
              <w:rPr>
                <w:color w:val="0F0F0F"/>
                <w:spacing w:val="-5"/>
                <w:w w:val="105"/>
                <w:sz w:val="17"/>
              </w:rPr>
              <w:t>515</w:t>
            </w:r>
          </w:p>
        </w:tc>
        <w:tc>
          <w:tcPr>
            <w:tcW w:w="1337" w:type="dxa"/>
          </w:tcPr>
          <w:p>
            <w:pPr>
              <w:pStyle w:val="TableParagraph"/>
              <w:spacing w:line="191" w:lineRule="exact"/>
              <w:ind w:right="482"/>
              <w:jc w:val="right"/>
              <w:rPr>
                <w:sz w:val="17"/>
              </w:rPr>
            </w:pPr>
            <w:r>
              <w:rPr>
                <w:color w:val="0F0F0F"/>
                <w:spacing w:val="-4"/>
                <w:w w:val="105"/>
                <w:sz w:val="17"/>
              </w:rPr>
              <w:t>(475)</w:t>
            </w:r>
          </w:p>
        </w:tc>
        <w:tc>
          <w:tcPr>
            <w:tcW w:w="1103" w:type="dxa"/>
          </w:tcPr>
          <w:p>
            <w:pPr>
              <w:pStyle w:val="TableParagraph"/>
              <w:spacing w:line="191" w:lineRule="exact"/>
              <w:ind w:right="56"/>
              <w:jc w:val="right"/>
              <w:rPr>
                <w:b/>
                <w:sz w:val="18"/>
              </w:rPr>
            </w:pPr>
            <w:r>
              <w:rPr>
                <w:b/>
                <w:color w:val="0F0F0F"/>
                <w:spacing w:val="-2"/>
                <w:sz w:val="18"/>
              </w:rPr>
              <w:t>(3,834)</w:t>
            </w:r>
          </w:p>
        </w:tc>
      </w:tr>
      <w:tr>
        <w:trPr>
          <w:trHeight w:val="211" w:hRule="atLeast"/>
        </w:trPr>
        <w:tc>
          <w:tcPr>
            <w:tcW w:w="820" w:type="dxa"/>
          </w:tcPr>
          <w:p>
            <w:pPr>
              <w:pStyle w:val="TableParagraph"/>
              <w:rPr>
                <w:rFonts w:ascii="Times New Roman"/>
                <w:sz w:val="14"/>
              </w:rPr>
            </w:pPr>
          </w:p>
        </w:tc>
        <w:tc>
          <w:tcPr>
            <w:tcW w:w="1299" w:type="dxa"/>
          </w:tcPr>
          <w:p>
            <w:pPr>
              <w:pStyle w:val="TableParagraph"/>
              <w:spacing w:line="152" w:lineRule="exact"/>
              <w:ind w:right="416"/>
              <w:jc w:val="right"/>
              <w:rPr>
                <w:sz w:val="17"/>
              </w:rPr>
            </w:pPr>
            <w:r>
              <w:rPr>
                <w:color w:val="0F0F0F"/>
                <w:spacing w:val="-5"/>
                <w:w w:val="105"/>
                <w:sz w:val="17"/>
              </w:rPr>
              <w:t>(6)</w:t>
            </w:r>
          </w:p>
        </w:tc>
        <w:tc>
          <w:tcPr>
            <w:tcW w:w="1534" w:type="dxa"/>
          </w:tcPr>
          <w:p>
            <w:pPr>
              <w:pStyle w:val="TableParagraph"/>
              <w:spacing w:line="164" w:lineRule="exact"/>
              <w:ind w:right="545"/>
              <w:jc w:val="right"/>
              <w:rPr>
                <w:b/>
                <w:sz w:val="18"/>
              </w:rPr>
            </w:pPr>
            <w:r>
              <w:rPr>
                <w:b/>
                <w:color w:val="0F0F0F"/>
                <w:spacing w:val="-2"/>
                <w:sz w:val="18"/>
              </w:rPr>
              <w:t>(1,020)</w:t>
            </w:r>
          </w:p>
        </w:tc>
        <w:tc>
          <w:tcPr>
            <w:tcW w:w="1149" w:type="dxa"/>
          </w:tcPr>
          <w:p>
            <w:pPr>
              <w:pStyle w:val="TableParagraph"/>
              <w:rPr>
                <w:rFonts w:ascii="Times New Roman"/>
                <w:sz w:val="14"/>
              </w:rPr>
            </w:pPr>
          </w:p>
        </w:tc>
        <w:tc>
          <w:tcPr>
            <w:tcW w:w="1337" w:type="dxa"/>
          </w:tcPr>
          <w:p>
            <w:pPr>
              <w:pStyle w:val="TableParagraph"/>
              <w:spacing w:line="184" w:lineRule="exact"/>
              <w:ind w:right="479"/>
              <w:jc w:val="right"/>
              <w:rPr>
                <w:sz w:val="17"/>
              </w:rPr>
            </w:pPr>
            <w:r>
              <w:rPr>
                <w:color w:val="0F0F0F"/>
                <w:spacing w:val="-4"/>
                <w:w w:val="105"/>
                <w:sz w:val="17"/>
              </w:rPr>
              <w:t>(18)</w:t>
            </w:r>
          </w:p>
        </w:tc>
        <w:tc>
          <w:tcPr>
            <w:tcW w:w="1103" w:type="dxa"/>
          </w:tcPr>
          <w:p>
            <w:pPr>
              <w:pStyle w:val="TableParagraph"/>
              <w:spacing w:line="184" w:lineRule="exact"/>
              <w:ind w:right="61"/>
              <w:jc w:val="right"/>
              <w:rPr>
                <w:b/>
                <w:sz w:val="18"/>
              </w:rPr>
            </w:pPr>
            <w:r>
              <w:rPr>
                <w:b/>
                <w:color w:val="0F0F0F"/>
                <w:spacing w:val="-2"/>
                <w:sz w:val="18"/>
              </w:rPr>
              <w:t>(1,038)</w:t>
            </w:r>
          </w:p>
        </w:tc>
      </w:tr>
      <w:tr>
        <w:trPr>
          <w:trHeight w:val="213" w:hRule="atLeast"/>
        </w:trPr>
        <w:tc>
          <w:tcPr>
            <w:tcW w:w="820" w:type="dxa"/>
          </w:tcPr>
          <w:p>
            <w:pPr>
              <w:pStyle w:val="TableParagraph"/>
              <w:rPr>
                <w:rFonts w:ascii="Times New Roman"/>
                <w:sz w:val="14"/>
              </w:rPr>
            </w:pPr>
          </w:p>
        </w:tc>
        <w:tc>
          <w:tcPr>
            <w:tcW w:w="1299" w:type="dxa"/>
          </w:tcPr>
          <w:p>
            <w:pPr>
              <w:pStyle w:val="TableParagraph"/>
              <w:spacing w:line="157" w:lineRule="exact"/>
              <w:ind w:right="416"/>
              <w:jc w:val="right"/>
              <w:rPr>
                <w:sz w:val="17"/>
              </w:rPr>
            </w:pPr>
            <w:r>
              <w:rPr>
                <w:color w:val="0F0F0F"/>
                <w:spacing w:val="-4"/>
                <w:w w:val="105"/>
                <w:sz w:val="17"/>
              </w:rPr>
              <w:t>(100)</w:t>
            </w:r>
          </w:p>
        </w:tc>
        <w:tc>
          <w:tcPr>
            <w:tcW w:w="1534" w:type="dxa"/>
          </w:tcPr>
          <w:p>
            <w:pPr>
              <w:pStyle w:val="TableParagraph"/>
              <w:spacing w:line="164" w:lineRule="exact"/>
              <w:ind w:right="537"/>
              <w:jc w:val="right"/>
              <w:rPr>
                <w:b/>
                <w:sz w:val="18"/>
              </w:rPr>
            </w:pPr>
            <w:r>
              <w:rPr>
                <w:b/>
                <w:color w:val="0F0F0F"/>
                <w:spacing w:val="-2"/>
                <w:sz w:val="18"/>
              </w:rPr>
              <w:t>(979)</w:t>
            </w:r>
          </w:p>
        </w:tc>
        <w:tc>
          <w:tcPr>
            <w:tcW w:w="1149" w:type="dxa"/>
          </w:tcPr>
          <w:p>
            <w:pPr>
              <w:pStyle w:val="TableParagraph"/>
              <w:spacing w:line="181" w:lineRule="exact"/>
              <w:ind w:right="318"/>
              <w:jc w:val="right"/>
              <w:rPr>
                <w:sz w:val="17"/>
              </w:rPr>
            </w:pPr>
            <w:r>
              <w:rPr>
                <w:color w:val="0F0F0F"/>
                <w:spacing w:val="-5"/>
                <w:sz w:val="17"/>
              </w:rPr>
              <w:t>11</w:t>
            </w:r>
          </w:p>
        </w:tc>
        <w:tc>
          <w:tcPr>
            <w:tcW w:w="1337" w:type="dxa"/>
          </w:tcPr>
          <w:p>
            <w:pPr>
              <w:pStyle w:val="TableParagraph"/>
              <w:spacing w:line="186" w:lineRule="exact"/>
              <w:ind w:right="478"/>
              <w:jc w:val="right"/>
              <w:rPr>
                <w:sz w:val="17"/>
              </w:rPr>
            </w:pPr>
            <w:r>
              <w:rPr>
                <w:color w:val="0F0F0F"/>
                <w:spacing w:val="-4"/>
                <w:w w:val="105"/>
                <w:sz w:val="17"/>
              </w:rPr>
              <w:t>(100)</w:t>
            </w:r>
          </w:p>
        </w:tc>
        <w:tc>
          <w:tcPr>
            <w:tcW w:w="1103" w:type="dxa"/>
          </w:tcPr>
          <w:p>
            <w:pPr>
              <w:pStyle w:val="TableParagraph"/>
              <w:spacing w:line="186" w:lineRule="exact"/>
              <w:ind w:right="55"/>
              <w:jc w:val="right"/>
              <w:rPr>
                <w:b/>
                <w:sz w:val="18"/>
              </w:rPr>
            </w:pPr>
            <w:r>
              <w:rPr>
                <w:b/>
                <w:color w:val="0F0F0F"/>
                <w:spacing w:val="-2"/>
                <w:sz w:val="18"/>
              </w:rPr>
              <w:t>(1,068)</w:t>
            </w:r>
          </w:p>
        </w:tc>
      </w:tr>
      <w:tr>
        <w:trPr>
          <w:trHeight w:val="213" w:hRule="atLeast"/>
        </w:trPr>
        <w:tc>
          <w:tcPr>
            <w:tcW w:w="820" w:type="dxa"/>
          </w:tcPr>
          <w:p>
            <w:pPr>
              <w:pStyle w:val="TableParagraph"/>
              <w:rPr>
                <w:rFonts w:ascii="Times New Roman"/>
                <w:sz w:val="14"/>
              </w:rPr>
            </w:pPr>
          </w:p>
        </w:tc>
        <w:tc>
          <w:tcPr>
            <w:tcW w:w="1299" w:type="dxa"/>
          </w:tcPr>
          <w:p>
            <w:pPr>
              <w:pStyle w:val="TableParagraph"/>
              <w:spacing w:line="155" w:lineRule="exact"/>
              <w:ind w:right="415"/>
              <w:jc w:val="right"/>
              <w:rPr>
                <w:sz w:val="17"/>
              </w:rPr>
            </w:pPr>
            <w:r>
              <w:rPr>
                <w:color w:val="0F0F0F"/>
                <w:spacing w:val="-4"/>
                <w:w w:val="105"/>
                <w:sz w:val="17"/>
              </w:rPr>
              <w:t>(10)</w:t>
            </w:r>
          </w:p>
        </w:tc>
        <w:tc>
          <w:tcPr>
            <w:tcW w:w="1534" w:type="dxa"/>
          </w:tcPr>
          <w:p>
            <w:pPr>
              <w:pStyle w:val="TableParagraph"/>
              <w:spacing w:line="167" w:lineRule="exact"/>
              <w:ind w:right="537"/>
              <w:jc w:val="right"/>
              <w:rPr>
                <w:b/>
                <w:sz w:val="18"/>
              </w:rPr>
            </w:pPr>
            <w:r>
              <w:rPr>
                <w:b/>
                <w:color w:val="0F0F0F"/>
                <w:spacing w:val="-2"/>
                <w:sz w:val="18"/>
              </w:rPr>
              <w:t>(316)</w:t>
            </w:r>
          </w:p>
        </w:tc>
        <w:tc>
          <w:tcPr>
            <w:tcW w:w="1149" w:type="dxa"/>
          </w:tcPr>
          <w:p>
            <w:pPr>
              <w:pStyle w:val="TableParagraph"/>
              <w:spacing w:line="179" w:lineRule="exact"/>
              <w:ind w:right="303"/>
              <w:jc w:val="right"/>
              <w:rPr>
                <w:sz w:val="17"/>
              </w:rPr>
            </w:pPr>
            <w:r>
              <w:rPr>
                <w:color w:val="0F0F0F"/>
                <w:spacing w:val="-5"/>
                <w:w w:val="110"/>
                <w:sz w:val="17"/>
              </w:rPr>
              <w:t>160</w:t>
            </w:r>
          </w:p>
        </w:tc>
        <w:tc>
          <w:tcPr>
            <w:tcW w:w="1337" w:type="dxa"/>
          </w:tcPr>
          <w:p>
            <w:pPr>
              <w:pStyle w:val="TableParagraph"/>
              <w:spacing w:line="186" w:lineRule="exact"/>
              <w:ind w:right="479"/>
              <w:jc w:val="right"/>
              <w:rPr>
                <w:sz w:val="17"/>
              </w:rPr>
            </w:pPr>
            <w:r>
              <w:rPr>
                <w:color w:val="0F0F0F"/>
                <w:spacing w:val="-4"/>
                <w:w w:val="105"/>
                <w:sz w:val="17"/>
              </w:rPr>
              <w:t>(10)</w:t>
            </w:r>
          </w:p>
        </w:tc>
        <w:tc>
          <w:tcPr>
            <w:tcW w:w="1103" w:type="dxa"/>
          </w:tcPr>
          <w:p>
            <w:pPr>
              <w:pStyle w:val="TableParagraph"/>
              <w:spacing w:line="186" w:lineRule="exact"/>
              <w:ind w:right="52"/>
              <w:jc w:val="right"/>
              <w:rPr>
                <w:b/>
                <w:sz w:val="18"/>
              </w:rPr>
            </w:pPr>
            <w:r>
              <w:rPr>
                <w:b/>
                <w:color w:val="0F0F0F"/>
                <w:spacing w:val="-2"/>
                <w:sz w:val="18"/>
              </w:rPr>
              <w:t>(166)</w:t>
            </w:r>
          </w:p>
        </w:tc>
      </w:tr>
      <w:tr>
        <w:trPr>
          <w:trHeight w:val="221" w:hRule="atLeast"/>
        </w:trPr>
        <w:tc>
          <w:tcPr>
            <w:tcW w:w="820" w:type="dxa"/>
          </w:tcPr>
          <w:p>
            <w:pPr>
              <w:pStyle w:val="TableParagraph"/>
              <w:spacing w:line="152" w:lineRule="exact"/>
              <w:ind w:right="480"/>
              <w:jc w:val="right"/>
              <w:rPr>
                <w:sz w:val="17"/>
              </w:rPr>
            </w:pPr>
            <w:r>
              <w:rPr>
                <w:color w:val="0F0F0F"/>
                <w:spacing w:val="-10"/>
                <w:sz w:val="17"/>
              </w:rPr>
              <w:t>6</w:t>
            </w:r>
          </w:p>
        </w:tc>
        <w:tc>
          <w:tcPr>
            <w:tcW w:w="1299" w:type="dxa"/>
          </w:tcPr>
          <w:p>
            <w:pPr>
              <w:pStyle w:val="TableParagraph"/>
              <w:rPr>
                <w:rFonts w:ascii="Times New Roman"/>
                <w:sz w:val="14"/>
              </w:rPr>
            </w:pPr>
          </w:p>
        </w:tc>
        <w:tc>
          <w:tcPr>
            <w:tcW w:w="1534" w:type="dxa"/>
          </w:tcPr>
          <w:p>
            <w:pPr>
              <w:pStyle w:val="TableParagraph"/>
              <w:spacing w:line="164" w:lineRule="exact"/>
              <w:ind w:right="537"/>
              <w:jc w:val="right"/>
              <w:rPr>
                <w:b/>
                <w:sz w:val="18"/>
              </w:rPr>
            </w:pPr>
            <w:r>
              <w:rPr>
                <w:b/>
                <w:color w:val="0F0F0F"/>
                <w:spacing w:val="-2"/>
                <w:sz w:val="18"/>
              </w:rPr>
              <w:t>(741)</w:t>
            </w:r>
          </w:p>
        </w:tc>
        <w:tc>
          <w:tcPr>
            <w:tcW w:w="1149" w:type="dxa"/>
          </w:tcPr>
          <w:p>
            <w:pPr>
              <w:pStyle w:val="TableParagraph"/>
              <w:spacing w:line="188" w:lineRule="exact"/>
              <w:ind w:right="306"/>
              <w:jc w:val="right"/>
              <w:rPr>
                <w:rFonts w:ascii="Times New Roman"/>
                <w:sz w:val="20"/>
              </w:rPr>
            </w:pPr>
            <w:r>
              <w:rPr>
                <w:rFonts w:ascii="Times New Roman"/>
                <w:color w:val="4D4D4D"/>
                <w:spacing w:val="-10"/>
                <w:sz w:val="20"/>
              </w:rPr>
              <w:t>-</w:t>
            </w:r>
          </w:p>
        </w:tc>
        <w:tc>
          <w:tcPr>
            <w:tcW w:w="1337" w:type="dxa"/>
          </w:tcPr>
          <w:p>
            <w:pPr>
              <w:pStyle w:val="TableParagraph"/>
              <w:spacing w:line="186" w:lineRule="exact"/>
              <w:ind w:right="482"/>
              <w:jc w:val="right"/>
              <w:rPr>
                <w:sz w:val="17"/>
              </w:rPr>
            </w:pPr>
            <w:r>
              <w:rPr>
                <w:color w:val="0F0F0F"/>
                <w:spacing w:val="-4"/>
                <w:w w:val="105"/>
                <w:sz w:val="17"/>
              </w:rPr>
              <w:t>(153)</w:t>
            </w:r>
          </w:p>
        </w:tc>
        <w:tc>
          <w:tcPr>
            <w:tcW w:w="1103" w:type="dxa"/>
          </w:tcPr>
          <w:p>
            <w:pPr>
              <w:pStyle w:val="TableParagraph"/>
              <w:spacing w:line="193" w:lineRule="exact"/>
              <w:ind w:right="52"/>
              <w:jc w:val="right"/>
              <w:rPr>
                <w:b/>
                <w:sz w:val="18"/>
              </w:rPr>
            </w:pPr>
            <w:r>
              <w:rPr>
                <w:b/>
                <w:color w:val="0F0F0F"/>
                <w:spacing w:val="-2"/>
                <w:sz w:val="18"/>
              </w:rPr>
              <w:t>(894)</w:t>
            </w:r>
          </w:p>
        </w:tc>
      </w:tr>
      <w:tr>
        <w:trPr>
          <w:trHeight w:val="200" w:hRule="atLeast"/>
        </w:trPr>
        <w:tc>
          <w:tcPr>
            <w:tcW w:w="3653" w:type="dxa"/>
            <w:gridSpan w:val="3"/>
          </w:tcPr>
          <w:p>
            <w:pPr>
              <w:pStyle w:val="TableParagraph"/>
              <w:rPr>
                <w:rFonts w:ascii="Times New Roman"/>
                <w:sz w:val="12"/>
              </w:rPr>
            </w:pPr>
          </w:p>
        </w:tc>
        <w:tc>
          <w:tcPr>
            <w:tcW w:w="1149" w:type="dxa"/>
          </w:tcPr>
          <w:p>
            <w:pPr>
              <w:pStyle w:val="TableParagraph"/>
              <w:rPr>
                <w:rFonts w:ascii="Times New Roman"/>
                <w:sz w:val="12"/>
              </w:rPr>
            </w:pPr>
          </w:p>
        </w:tc>
        <w:tc>
          <w:tcPr>
            <w:tcW w:w="1337" w:type="dxa"/>
          </w:tcPr>
          <w:p>
            <w:pPr>
              <w:pStyle w:val="TableParagraph"/>
              <w:spacing w:line="163" w:lineRule="exact"/>
              <w:ind w:right="478"/>
              <w:jc w:val="right"/>
              <w:rPr>
                <w:sz w:val="17"/>
              </w:rPr>
            </w:pPr>
            <w:r>
              <w:rPr>
                <w:color w:val="0F0F0F"/>
                <w:spacing w:val="-4"/>
                <w:w w:val="105"/>
                <w:sz w:val="17"/>
              </w:rPr>
              <w:t>(189)</w:t>
            </w:r>
          </w:p>
        </w:tc>
        <w:tc>
          <w:tcPr>
            <w:tcW w:w="1103" w:type="dxa"/>
          </w:tcPr>
          <w:p>
            <w:pPr>
              <w:pStyle w:val="TableParagraph"/>
              <w:spacing w:line="163" w:lineRule="exact"/>
              <w:ind w:right="52"/>
              <w:jc w:val="right"/>
              <w:rPr>
                <w:b/>
                <w:sz w:val="18"/>
              </w:rPr>
            </w:pPr>
            <w:r>
              <w:rPr>
                <w:b/>
                <w:color w:val="0F0F0F"/>
                <w:spacing w:val="-2"/>
                <w:sz w:val="18"/>
              </w:rPr>
              <w:t>(189)</w:t>
            </w:r>
          </w:p>
        </w:tc>
      </w:tr>
      <w:tr>
        <w:trPr>
          <w:trHeight w:val="235" w:hRule="atLeast"/>
        </w:trPr>
        <w:tc>
          <w:tcPr>
            <w:tcW w:w="3653" w:type="dxa"/>
            <w:gridSpan w:val="3"/>
          </w:tcPr>
          <w:p>
            <w:pPr>
              <w:pStyle w:val="TableParagraph"/>
              <w:spacing w:line="170" w:lineRule="exact"/>
              <w:ind w:right="537"/>
              <w:jc w:val="right"/>
              <w:rPr>
                <w:b/>
                <w:sz w:val="18"/>
              </w:rPr>
            </w:pPr>
            <w:r>
              <w:rPr>
                <w:b/>
                <w:color w:val="0F0F0F"/>
                <w:spacing w:val="-2"/>
                <w:sz w:val="18"/>
              </w:rPr>
              <w:t>(229)</w:t>
            </w:r>
          </w:p>
        </w:tc>
        <w:tc>
          <w:tcPr>
            <w:tcW w:w="1149" w:type="dxa"/>
          </w:tcPr>
          <w:p>
            <w:pPr>
              <w:pStyle w:val="TableParagraph"/>
              <w:spacing w:line="207" w:lineRule="exact"/>
              <w:ind w:right="293"/>
              <w:jc w:val="right"/>
              <w:rPr>
                <w:sz w:val="22"/>
              </w:rPr>
            </w:pPr>
            <w:r>
              <w:rPr>
                <w:color w:val="383838"/>
                <w:spacing w:val="-10"/>
                <w:sz w:val="22"/>
              </w:rPr>
              <w:t>-</w:t>
            </w:r>
          </w:p>
        </w:tc>
        <w:tc>
          <w:tcPr>
            <w:tcW w:w="1337" w:type="dxa"/>
          </w:tcPr>
          <w:p>
            <w:pPr>
              <w:pStyle w:val="TableParagraph"/>
              <w:spacing w:line="192" w:lineRule="exact"/>
              <w:ind w:right="478"/>
              <w:jc w:val="right"/>
              <w:rPr>
                <w:sz w:val="17"/>
              </w:rPr>
            </w:pPr>
            <w:r>
              <w:rPr>
                <w:color w:val="0F0F0F"/>
                <w:spacing w:val="-2"/>
                <w:w w:val="105"/>
                <w:sz w:val="17"/>
              </w:rPr>
              <w:t>(6,995)</w:t>
            </w:r>
          </w:p>
        </w:tc>
        <w:tc>
          <w:tcPr>
            <w:tcW w:w="1103" w:type="dxa"/>
          </w:tcPr>
          <w:p>
            <w:pPr>
              <w:pStyle w:val="TableParagraph"/>
              <w:spacing w:line="194" w:lineRule="exact"/>
              <w:ind w:right="56"/>
              <w:jc w:val="right"/>
              <w:rPr>
                <w:b/>
                <w:sz w:val="18"/>
              </w:rPr>
            </w:pPr>
            <w:r>
              <w:rPr>
                <w:b/>
                <w:color w:val="0F0F0F"/>
                <w:spacing w:val="-2"/>
                <w:sz w:val="18"/>
              </w:rPr>
              <w:t>(7,224)</w:t>
            </w:r>
          </w:p>
        </w:tc>
      </w:tr>
    </w:tbl>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50"/>
        <w:rPr>
          <w:b/>
          <w:sz w:val="18"/>
        </w:rPr>
      </w:pPr>
    </w:p>
    <w:p>
      <w:pPr>
        <w:spacing w:before="1"/>
        <w:ind w:left="0" w:right="392" w:firstLine="0"/>
        <w:jc w:val="right"/>
        <w:rPr>
          <w:rFonts w:ascii="Courier New"/>
          <w:sz w:val="23"/>
        </w:rPr>
      </w:pPr>
      <w:r>
        <w:rPr/>
        <ve:AlternateContent>
          <ve:Choice Requires="wps">
            <w:drawing>
              <wp:anchor distT="0" distB="0" distL="0" distR="0" simplePos="0" relativeHeight="15847936" behindDoc="0" locked="0" layoutInCell="1" allowOverlap="1">
                <wp:simplePos x="0" y="0"/>
                <wp:positionH relativeFrom="page">
                  <wp:posOffset>4275802</wp:posOffset>
                </wp:positionH>
                <wp:positionV relativeFrom="paragraph">
                  <wp:posOffset>-561746</wp:posOffset>
                </wp:positionV>
                <wp:extent cx="6194425" cy="1270"/>
                <wp:effectExtent l="0" t="0" r="0" b="0"/>
                <wp:wrapNone/>
                <wp:docPr id="560" name="Graphic 560"/>
                <wp:cNvGraphicFramePr>
                  <a:graphicFrameLocks/>
                </wp:cNvGraphicFramePr>
                <a:graphic>
                  <a:graphicData uri="http://schemas.microsoft.com/office/word/2010/wordprocessingShape">
                    <wps:wsp>
                      <wps:cNvPr id="560" name="Graphic 560"/>
                      <wps:cNvSpPr/>
                      <wps:spPr>
                        <a:xfrm>
                          <a:off x="0" y="0"/>
                          <a:ext cx="6194425" cy="1270"/>
                        </a:xfrm>
                        <a:custGeom>
                          <a:avLst/>
                          <a:gdLst/>
                          <a:ahLst/>
                          <a:cxnLst/>
                          <a:rect l="l" t="t" r="r" b="b"/>
                          <a:pathLst>
                            <a:path w="6194425" h="0">
                              <a:moveTo>
                                <a:pt x="0" y="0"/>
                              </a:moveTo>
                              <a:lnTo>
                                <a:pt x="6193805" y="0"/>
                              </a:lnTo>
                            </a:path>
                          </a:pathLst>
                        </a:custGeom>
                        <a:ln w="12212">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47936" stroked="true" strokecolor="#000000" strokeweight=".961643pt" from="336.677368pt,-44.232025pt" to="824.378571pt,-44.232025pt">
                <v:stroke dashstyle="solid"/>
                <w10:wrap type="none"/>
              </v:line>
            </w:pict>
          </ve:Fallback>
        </ve:AlternateContent>
      </w:r>
      <w:r>
        <w:rPr/>
        <ve:AlternateContent>
          <ve:Choice Requires="wps">
            <w:drawing>
              <wp:anchor distT="0" distB="0" distL="0" distR="0" simplePos="0" relativeHeight="475959808" behindDoc="1" locked="0" layoutInCell="1" allowOverlap="1">
                <wp:simplePos x="0" y="0"/>
                <wp:positionH relativeFrom="page">
                  <wp:posOffset>3808518</wp:posOffset>
                </wp:positionH>
                <wp:positionV relativeFrom="paragraph">
                  <wp:posOffset>-683875</wp:posOffset>
                </wp:positionV>
                <wp:extent cx="6581775" cy="1270"/>
                <wp:effectExtent l="0" t="0" r="0" b="0"/>
                <wp:wrapNone/>
                <wp:docPr id="561" name="Graphic 561"/>
                <wp:cNvGraphicFramePr>
                  <a:graphicFrameLocks/>
                </wp:cNvGraphicFramePr>
                <a:graphic>
                  <a:graphicData uri="http://schemas.microsoft.com/office/word/2010/wordprocessingShape">
                    <wps:wsp>
                      <wps:cNvPr id="561" name="Graphic 561"/>
                      <wps:cNvSpPr/>
                      <wps:spPr>
                        <a:xfrm>
                          <a:off x="0" y="0"/>
                          <a:ext cx="6581775" cy="1270"/>
                        </a:xfrm>
                        <a:custGeom>
                          <a:avLst/>
                          <a:gdLst/>
                          <a:ahLst/>
                          <a:cxnLst/>
                          <a:rect l="l" t="t" r="r" b="b"/>
                          <a:pathLst>
                            <a:path w="6581775" h="0">
                              <a:moveTo>
                                <a:pt x="0" y="0"/>
                              </a:moveTo>
                              <a:lnTo>
                                <a:pt x="6581681"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27356672" stroked="true" strokecolor="#000000" strokeweight=".721232pt" from="299.883331pt,-53.84845pt" to="818.12598pt,-53.84845pt">
                <v:stroke dashstyle="solid"/>
                <w10:wrap type="none"/>
              </v:line>
            </w:pict>
          </ve:Fallback>
        </ve:AlternateContent>
      </w:r>
      <w:r>
        <w:rPr/>
        <ve:AlternateContent>
          <ve:Choice Requires="wps">
            <w:drawing>
              <wp:anchor distT="0" distB="0" distL="0" distR="0" simplePos="0" relativeHeight="15850496" behindDoc="0" locked="0" layoutInCell="1" allowOverlap="1">
                <wp:simplePos x="0" y="0"/>
                <wp:positionH relativeFrom="page">
                  <wp:posOffset>5690172</wp:posOffset>
                </wp:positionH>
                <wp:positionV relativeFrom="paragraph">
                  <wp:posOffset>-983276</wp:posOffset>
                </wp:positionV>
                <wp:extent cx="4810760" cy="426720"/>
                <wp:effectExtent l="0" t="0" r="0" b="0"/>
                <wp:wrapNone/>
                <wp:docPr id="562" name="Textbox 562"/>
                <wp:cNvGraphicFramePr>
                  <a:graphicFrameLocks/>
                </wp:cNvGraphicFramePr>
                <a:graphic>
                  <a:graphicData uri="http://schemas.microsoft.com/office/word/2010/wordprocessingShape">
                    <wps:wsp>
                      <wps:cNvPr id="562" name="Textbox 562"/>
                      <wps:cNvSpPr txBox="1"/>
                      <wps:spPr>
                        <a:xfrm>
                          <a:off x="0" y="0"/>
                          <a:ext cx="4810760" cy="426720"/>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901"/>
                              <w:gridCol w:w="1332"/>
                              <w:gridCol w:w="1451"/>
                              <w:gridCol w:w="1220"/>
                              <w:gridCol w:w="1352"/>
                              <w:gridCol w:w="1204"/>
                            </w:tblGrid>
                            <w:tr>
                              <w:trPr>
                                <w:trHeight w:val="221" w:hRule="atLeast"/>
                              </w:trPr>
                              <w:tc>
                                <w:tcPr>
                                  <w:tcW w:w="901" w:type="dxa"/>
                                </w:tcPr>
                                <w:p>
                                  <w:pPr>
                                    <w:pStyle w:val="TableParagraph"/>
                                    <w:spacing w:line="190" w:lineRule="exact"/>
                                    <w:ind w:right="393"/>
                                    <w:jc w:val="right"/>
                                    <w:rPr>
                                      <w:sz w:val="17"/>
                                    </w:rPr>
                                  </w:pPr>
                                  <w:r>
                                    <w:rPr>
                                      <w:color w:val="0F0F0F"/>
                                      <w:spacing w:val="-5"/>
                                      <w:w w:val="105"/>
                                      <w:sz w:val="17"/>
                                    </w:rPr>
                                    <w:t>980</w:t>
                                  </w:r>
                                </w:p>
                              </w:tc>
                              <w:tc>
                                <w:tcPr>
                                  <w:tcW w:w="1332" w:type="dxa"/>
                                </w:tcPr>
                                <w:p>
                                  <w:pPr>
                                    <w:pStyle w:val="TableParagraph"/>
                                    <w:spacing w:line="195" w:lineRule="exact"/>
                                    <w:ind w:left="171" w:right="19"/>
                                    <w:jc w:val="center"/>
                                    <w:rPr>
                                      <w:sz w:val="17"/>
                                    </w:rPr>
                                  </w:pPr>
                                  <w:r>
                                    <w:rPr>
                                      <w:color w:val="0F0F0F"/>
                                      <w:spacing w:val="-4"/>
                                      <w:w w:val="105"/>
                                      <w:sz w:val="17"/>
                                    </w:rPr>
                                    <w:t>(513)</w:t>
                                  </w:r>
                                </w:p>
                              </w:tc>
                              <w:tc>
                                <w:tcPr>
                                  <w:tcW w:w="1451" w:type="dxa"/>
                                </w:tcPr>
                                <w:p>
                                  <w:pPr>
                                    <w:pStyle w:val="TableParagraph"/>
                                    <w:spacing w:line="201" w:lineRule="exact"/>
                                    <w:ind w:right="419"/>
                                    <w:jc w:val="right"/>
                                    <w:rPr>
                                      <w:b/>
                                      <w:sz w:val="18"/>
                                    </w:rPr>
                                  </w:pPr>
                                  <w:r>
                                    <w:rPr>
                                      <w:b/>
                                      <w:color w:val="0F0F0F"/>
                                      <w:spacing w:val="-2"/>
                                      <w:sz w:val="18"/>
                                    </w:rPr>
                                    <w:t>(1,120)</w:t>
                                  </w:r>
                                </w:p>
                              </w:tc>
                              <w:tc>
                                <w:tcPr>
                                  <w:tcW w:w="1220" w:type="dxa"/>
                                </w:tcPr>
                                <w:p>
                                  <w:pPr>
                                    <w:pStyle w:val="TableParagraph"/>
                                    <w:spacing w:before="23" w:line="178" w:lineRule="exact"/>
                                    <w:ind w:right="252"/>
                                    <w:jc w:val="right"/>
                                    <w:rPr>
                                      <w:sz w:val="17"/>
                                    </w:rPr>
                                  </w:pPr>
                                  <w:r>
                                    <w:rPr>
                                      <w:color w:val="0F0F0F"/>
                                      <w:spacing w:val="-5"/>
                                      <w:w w:val="110"/>
                                      <w:sz w:val="17"/>
                                    </w:rPr>
                                    <w:t>931</w:t>
                                  </w:r>
                                </w:p>
                              </w:tc>
                              <w:tc>
                                <w:tcPr>
                                  <w:tcW w:w="1352" w:type="dxa"/>
                                </w:tcPr>
                                <w:p>
                                  <w:pPr>
                                    <w:pStyle w:val="TableParagraph"/>
                                    <w:spacing w:before="28" w:line="173" w:lineRule="exact"/>
                                    <w:ind w:right="443"/>
                                    <w:jc w:val="right"/>
                                    <w:rPr>
                                      <w:sz w:val="17"/>
                                    </w:rPr>
                                  </w:pPr>
                                  <w:r>
                                    <w:rPr>
                                      <w:color w:val="0F0F0F"/>
                                      <w:spacing w:val="-4"/>
                                      <w:w w:val="105"/>
                                      <w:sz w:val="17"/>
                                    </w:rPr>
                                    <w:t>(350)</w:t>
                                  </w:r>
                                </w:p>
                              </w:tc>
                              <w:tc>
                                <w:tcPr>
                                  <w:tcW w:w="1204" w:type="dxa"/>
                                </w:tcPr>
                                <w:p>
                                  <w:pPr>
                                    <w:pStyle w:val="TableParagraph"/>
                                    <w:spacing w:before="23" w:line="177" w:lineRule="exact"/>
                                    <w:ind w:right="118"/>
                                    <w:jc w:val="right"/>
                                    <w:rPr>
                                      <w:b/>
                                      <w:sz w:val="18"/>
                                    </w:rPr>
                                  </w:pPr>
                                  <w:r>
                                    <w:rPr>
                                      <w:b/>
                                      <w:color w:val="0F0F0F"/>
                                      <w:spacing w:val="-2"/>
                                      <w:sz w:val="18"/>
                                    </w:rPr>
                                    <w:t>(539)</w:t>
                                  </w:r>
                                </w:p>
                              </w:tc>
                            </w:tr>
                            <w:tr>
                              <w:trPr>
                                <w:trHeight w:val="211" w:hRule="atLeast"/>
                              </w:trPr>
                              <w:tc>
                                <w:tcPr>
                                  <w:tcW w:w="901" w:type="dxa"/>
                                </w:tcPr>
                                <w:p>
                                  <w:pPr>
                                    <w:pStyle w:val="TableParagraph"/>
                                    <w:spacing w:line="181" w:lineRule="exact"/>
                                    <w:ind w:right="388"/>
                                    <w:jc w:val="right"/>
                                    <w:rPr>
                                      <w:sz w:val="17"/>
                                    </w:rPr>
                                  </w:pPr>
                                  <w:r>
                                    <w:rPr>
                                      <w:color w:val="0F0F0F"/>
                                      <w:spacing w:val="-5"/>
                                      <w:w w:val="110"/>
                                      <w:sz w:val="17"/>
                                    </w:rPr>
                                    <w:t>630</w:t>
                                  </w:r>
                                </w:p>
                              </w:tc>
                              <w:tc>
                                <w:tcPr>
                                  <w:tcW w:w="1332" w:type="dxa"/>
                                </w:tcPr>
                                <w:p>
                                  <w:pPr>
                                    <w:pStyle w:val="TableParagraph"/>
                                    <w:spacing w:line="192" w:lineRule="exact"/>
                                    <w:ind w:left="187" w:right="16"/>
                                    <w:jc w:val="center"/>
                                    <w:rPr>
                                      <w:sz w:val="17"/>
                                    </w:rPr>
                                  </w:pPr>
                                  <w:r>
                                    <w:rPr>
                                      <w:color w:val="383838"/>
                                      <w:spacing w:val="-2"/>
                                      <w:w w:val="105"/>
                                      <w:sz w:val="17"/>
                                    </w:rPr>
                                    <w:t>{3</w:t>
                                  </w:r>
                                  <w:r>
                                    <w:rPr>
                                      <w:color w:val="0F0F0F"/>
                                      <w:spacing w:val="-2"/>
                                      <w:w w:val="105"/>
                                      <w:sz w:val="17"/>
                                    </w:rPr>
                                    <w:t>74)</w:t>
                                  </w:r>
                                </w:p>
                              </w:tc>
                              <w:tc>
                                <w:tcPr>
                                  <w:tcW w:w="1451" w:type="dxa"/>
                                </w:tcPr>
                                <w:p>
                                  <w:pPr>
                                    <w:pStyle w:val="TableParagraph"/>
                                    <w:spacing w:line="192" w:lineRule="exact"/>
                                    <w:ind w:right="411"/>
                                    <w:jc w:val="right"/>
                                    <w:rPr>
                                      <w:b/>
                                      <w:sz w:val="18"/>
                                    </w:rPr>
                                  </w:pPr>
                                  <w:r>
                                    <w:rPr>
                                      <w:b/>
                                      <w:color w:val="0F0F0F"/>
                                      <w:spacing w:val="-2"/>
                                      <w:sz w:val="18"/>
                                    </w:rPr>
                                    <w:t>(557)</w:t>
                                  </w:r>
                                </w:p>
                              </w:tc>
                              <w:tc>
                                <w:tcPr>
                                  <w:tcW w:w="1220" w:type="dxa"/>
                                </w:tcPr>
                                <w:p>
                                  <w:pPr>
                                    <w:pStyle w:val="TableParagraph"/>
                                    <w:spacing w:before="14" w:line="178" w:lineRule="exact"/>
                                    <w:ind w:right="249"/>
                                    <w:jc w:val="right"/>
                                    <w:rPr>
                                      <w:sz w:val="17"/>
                                    </w:rPr>
                                  </w:pPr>
                                  <w:r>
                                    <w:rPr>
                                      <w:color w:val="0F0F0F"/>
                                      <w:spacing w:val="-5"/>
                                      <w:w w:val="110"/>
                                      <w:sz w:val="17"/>
                                    </w:rPr>
                                    <w:t>167</w:t>
                                  </w:r>
                                </w:p>
                              </w:tc>
                              <w:tc>
                                <w:tcPr>
                                  <w:tcW w:w="1352" w:type="dxa"/>
                                </w:tcPr>
                                <w:p>
                                  <w:pPr>
                                    <w:pStyle w:val="TableParagraph"/>
                                    <w:spacing w:before="28" w:line="163" w:lineRule="exact"/>
                                    <w:ind w:right="437"/>
                                    <w:jc w:val="right"/>
                                    <w:rPr>
                                      <w:sz w:val="17"/>
                                    </w:rPr>
                                  </w:pPr>
                                  <w:r>
                                    <w:rPr>
                                      <w:color w:val="383838"/>
                                      <w:spacing w:val="-4"/>
                                      <w:w w:val="105"/>
                                      <w:sz w:val="17"/>
                                    </w:rPr>
                                    <w:t>{67)</w:t>
                                  </w:r>
                                </w:p>
                              </w:tc>
                              <w:tc>
                                <w:tcPr>
                                  <w:tcW w:w="1204" w:type="dxa"/>
                                </w:tcPr>
                                <w:p>
                                  <w:pPr>
                                    <w:pStyle w:val="TableParagraph"/>
                                    <w:spacing w:before="19" w:line="173" w:lineRule="exact"/>
                                    <w:ind w:right="113"/>
                                    <w:jc w:val="right"/>
                                    <w:rPr>
                                      <w:b/>
                                      <w:sz w:val="18"/>
                                    </w:rPr>
                                  </w:pPr>
                                  <w:r>
                                    <w:rPr>
                                      <w:b/>
                                      <w:color w:val="0F0F0F"/>
                                      <w:spacing w:val="-2"/>
                                      <w:sz w:val="18"/>
                                    </w:rPr>
                                    <w:t>(457)</w:t>
                                  </w:r>
                                </w:p>
                              </w:tc>
                            </w:tr>
                            <w:tr>
                              <w:trPr>
                                <w:trHeight w:val="240" w:hRule="atLeast"/>
                              </w:trPr>
                              <w:tc>
                                <w:tcPr>
                                  <w:tcW w:w="901" w:type="dxa"/>
                                </w:tcPr>
                                <w:p>
                                  <w:pPr>
                                    <w:pStyle w:val="TableParagraph"/>
                                    <w:spacing w:line="187" w:lineRule="exact"/>
                                    <w:ind w:right="395"/>
                                    <w:jc w:val="right"/>
                                    <w:rPr>
                                      <w:b/>
                                      <w:sz w:val="18"/>
                                    </w:rPr>
                                  </w:pPr>
                                  <w:r>
                                    <w:rPr>
                                      <w:b/>
                                      <w:color w:val="0F0F0F"/>
                                      <w:spacing w:val="-2"/>
                                      <w:sz w:val="18"/>
                                    </w:rPr>
                                    <w:t>7,701</w:t>
                                  </w:r>
                                </w:p>
                              </w:tc>
                              <w:tc>
                                <w:tcPr>
                                  <w:tcW w:w="1332" w:type="dxa"/>
                                </w:tcPr>
                                <w:p>
                                  <w:pPr>
                                    <w:pStyle w:val="TableParagraph"/>
                                    <w:spacing w:line="202" w:lineRule="exact"/>
                                    <w:ind w:left="42" w:right="16"/>
                                    <w:jc w:val="center"/>
                                    <w:rPr>
                                      <w:b/>
                                      <w:sz w:val="18"/>
                                    </w:rPr>
                                  </w:pPr>
                                  <w:r>
                                    <w:rPr>
                                      <w:b/>
                                      <w:color w:val="0F0F0F"/>
                                      <w:spacing w:val="-2"/>
                                      <w:sz w:val="18"/>
                                    </w:rPr>
                                    <w:t>(3</w:t>
                                  </w:r>
                                  <w:r>
                                    <w:rPr>
                                      <w:b/>
                                      <w:color w:val="4D4D4D"/>
                                      <w:spacing w:val="-2"/>
                                      <w:sz w:val="18"/>
                                    </w:rPr>
                                    <w:t>,</w:t>
                                  </w:r>
                                  <w:r>
                                    <w:rPr>
                                      <w:b/>
                                      <w:color w:val="0F0F0F"/>
                                      <w:spacing w:val="-2"/>
                                      <w:sz w:val="18"/>
                                    </w:rPr>
                                    <w:t>920)</w:t>
                                  </w:r>
                                </w:p>
                              </w:tc>
                              <w:tc>
                                <w:tcPr>
                                  <w:tcW w:w="1451" w:type="dxa"/>
                                </w:tcPr>
                                <w:p>
                                  <w:pPr>
                                    <w:pStyle w:val="TableParagraph"/>
                                    <w:spacing w:before="4"/>
                                    <w:ind w:right="408"/>
                                    <w:jc w:val="right"/>
                                    <w:rPr>
                                      <w:b/>
                                      <w:sz w:val="18"/>
                                    </w:rPr>
                                  </w:pPr>
                                  <w:r>
                                    <w:rPr>
                                      <w:b/>
                                      <w:color w:val="0F0F0F"/>
                                      <w:spacing w:val="-2"/>
                                      <w:sz w:val="18"/>
                                    </w:rPr>
                                    <w:t>(31</w:t>
                                  </w:r>
                                  <w:r>
                                    <w:rPr>
                                      <w:b/>
                                      <w:color w:val="383838"/>
                                      <w:spacing w:val="-2"/>
                                      <w:sz w:val="18"/>
                                    </w:rPr>
                                    <w:t>,</w:t>
                                  </w:r>
                                  <w:r>
                                    <w:rPr>
                                      <w:b/>
                                      <w:color w:val="0F0F0F"/>
                                      <w:spacing w:val="-2"/>
                                      <w:sz w:val="18"/>
                                    </w:rPr>
                                    <w:t>842)</w:t>
                                  </w:r>
                                </w:p>
                              </w:tc>
                              <w:tc>
                                <w:tcPr>
                                  <w:tcW w:w="1220" w:type="dxa"/>
                                </w:tcPr>
                                <w:p>
                                  <w:pPr>
                                    <w:pStyle w:val="TableParagraph"/>
                                    <w:spacing w:before="9"/>
                                    <w:ind w:right="260"/>
                                    <w:jc w:val="right"/>
                                    <w:rPr>
                                      <w:b/>
                                      <w:sz w:val="18"/>
                                    </w:rPr>
                                  </w:pPr>
                                  <w:r>
                                    <w:rPr>
                                      <w:b/>
                                      <w:color w:val="0F0F0F"/>
                                      <w:spacing w:val="-2"/>
                                      <w:sz w:val="18"/>
                                    </w:rPr>
                                    <w:t>10,650</w:t>
                                  </w:r>
                                </w:p>
                              </w:tc>
                              <w:tc>
                                <w:tcPr>
                                  <w:tcW w:w="1352" w:type="dxa"/>
                                </w:tcPr>
                                <w:p>
                                  <w:pPr>
                                    <w:pStyle w:val="TableParagraph"/>
                                    <w:spacing w:before="23" w:line="197" w:lineRule="exact"/>
                                    <w:ind w:right="426"/>
                                    <w:jc w:val="right"/>
                                    <w:rPr>
                                      <w:b/>
                                      <w:sz w:val="18"/>
                                    </w:rPr>
                                  </w:pPr>
                                  <w:r>
                                    <w:rPr>
                                      <w:b/>
                                      <w:color w:val="0F0F0F"/>
                                      <w:spacing w:val="-2"/>
                                      <w:w w:val="95"/>
                                      <w:sz w:val="18"/>
                                    </w:rPr>
                                    <w:t>_(13</w:t>
                                  </w:r>
                                  <w:r>
                                    <w:rPr>
                                      <w:b/>
                                      <w:color w:val="4D4D4D"/>
                                      <w:spacing w:val="-2"/>
                                      <w:w w:val="95"/>
                                      <w:sz w:val="18"/>
                                    </w:rPr>
                                    <w:t>,</w:t>
                                  </w:r>
                                  <w:r>
                                    <w:rPr>
                                      <w:b/>
                                      <w:color w:val="0F0F0F"/>
                                      <w:spacing w:val="-2"/>
                                      <w:w w:val="95"/>
                                      <w:sz w:val="18"/>
                                    </w:rPr>
                                    <w:t>023)</w:t>
                                  </w:r>
                                </w:p>
                              </w:tc>
                              <w:tc>
                                <w:tcPr>
                                  <w:tcW w:w="1204" w:type="dxa"/>
                                </w:tcPr>
                                <w:p>
                                  <w:pPr>
                                    <w:pStyle w:val="TableParagraph"/>
                                    <w:spacing w:before="23" w:line="197" w:lineRule="exact"/>
                                    <w:ind w:right="114"/>
                                    <w:jc w:val="right"/>
                                    <w:rPr>
                                      <w:b/>
                                      <w:sz w:val="18"/>
                                    </w:rPr>
                                  </w:pPr>
                                  <w:r>
                                    <w:rPr>
                                      <w:b/>
                                      <w:color w:val="0F0F0F"/>
                                      <w:spacing w:val="-2"/>
                                      <w:sz w:val="18"/>
                                    </w:rPr>
                                    <w:t>(34,215)</w:t>
                                  </w:r>
                                </w:p>
                              </w:tc>
                            </w:tr>
                          </w:tbl>
                          <w:p>
                            <w:pPr>
                              <w:pStyle w:val="BodyText"/>
                            </w:pPr>
                          </w:p>
                        </w:txbxContent>
                      </wps:txbx>
                      <wps:bodyPr wrap="square" lIns="0" tIns="0" rIns="0" bIns="0" rtlCol="0">
                        <a:noAutofit/>
                      </wps:bodyPr>
                    </wps:wsp>
                  </a:graphicData>
                </a:graphic>
              </wp:anchor>
            </w:drawing>
          </ve:Choice>
          <ve:Fallback>
            <w:pict>
              <v:shape id="docshape371" style="position:absolute;margin-left:448.045044pt;margin-top:-77.423317pt;width:378.8pt;height:33.6pt;mso-position-horizontal-relative:page;mso-position-vertical-relative:paragraph;z-index:15850496"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901"/>
                        <w:gridCol w:w="1332"/>
                        <w:gridCol w:w="1451"/>
                        <w:gridCol w:w="1220"/>
                        <w:gridCol w:w="1352"/>
                        <w:gridCol w:w="1204"/>
                      </w:tblGrid>
                      <w:tr>
                        <w:trPr>
                          <w:trHeight w:val="221" w:hRule="atLeast"/>
                        </w:trPr>
                        <w:tc>
                          <w:tcPr>
                            <w:tcW w:w="901" w:type="dxa"/>
                          </w:tcPr>
                          <w:p>
                            <w:pPr>
                              <w:pStyle w:val="TableParagraph"/>
                              <w:spacing w:line="190" w:lineRule="exact"/>
                              <w:ind w:right="393"/>
                              <w:jc w:val="right"/>
                              <w:rPr>
                                <w:sz w:val="17"/>
                              </w:rPr>
                            </w:pPr>
                            <w:r>
                              <w:rPr>
                                <w:color w:val="0F0F0F"/>
                                <w:spacing w:val="-5"/>
                                <w:w w:val="105"/>
                                <w:sz w:val="17"/>
                              </w:rPr>
                              <w:t>980</w:t>
                            </w:r>
                          </w:p>
                        </w:tc>
                        <w:tc>
                          <w:tcPr>
                            <w:tcW w:w="1332" w:type="dxa"/>
                          </w:tcPr>
                          <w:p>
                            <w:pPr>
                              <w:pStyle w:val="TableParagraph"/>
                              <w:spacing w:line="195" w:lineRule="exact"/>
                              <w:ind w:left="171" w:right="19"/>
                              <w:jc w:val="center"/>
                              <w:rPr>
                                <w:sz w:val="17"/>
                              </w:rPr>
                            </w:pPr>
                            <w:r>
                              <w:rPr>
                                <w:color w:val="0F0F0F"/>
                                <w:spacing w:val="-4"/>
                                <w:w w:val="105"/>
                                <w:sz w:val="17"/>
                              </w:rPr>
                              <w:t>(513)</w:t>
                            </w:r>
                          </w:p>
                        </w:tc>
                        <w:tc>
                          <w:tcPr>
                            <w:tcW w:w="1451" w:type="dxa"/>
                          </w:tcPr>
                          <w:p>
                            <w:pPr>
                              <w:pStyle w:val="TableParagraph"/>
                              <w:spacing w:line="201" w:lineRule="exact"/>
                              <w:ind w:right="419"/>
                              <w:jc w:val="right"/>
                              <w:rPr>
                                <w:b/>
                                <w:sz w:val="18"/>
                              </w:rPr>
                            </w:pPr>
                            <w:r>
                              <w:rPr>
                                <w:b/>
                                <w:color w:val="0F0F0F"/>
                                <w:spacing w:val="-2"/>
                                <w:sz w:val="18"/>
                              </w:rPr>
                              <w:t>(1,120)</w:t>
                            </w:r>
                          </w:p>
                        </w:tc>
                        <w:tc>
                          <w:tcPr>
                            <w:tcW w:w="1220" w:type="dxa"/>
                          </w:tcPr>
                          <w:p>
                            <w:pPr>
                              <w:pStyle w:val="TableParagraph"/>
                              <w:spacing w:before="23" w:line="178" w:lineRule="exact"/>
                              <w:ind w:right="252"/>
                              <w:jc w:val="right"/>
                              <w:rPr>
                                <w:sz w:val="17"/>
                              </w:rPr>
                            </w:pPr>
                            <w:r>
                              <w:rPr>
                                <w:color w:val="0F0F0F"/>
                                <w:spacing w:val="-5"/>
                                <w:w w:val="110"/>
                                <w:sz w:val="17"/>
                              </w:rPr>
                              <w:t>931</w:t>
                            </w:r>
                          </w:p>
                        </w:tc>
                        <w:tc>
                          <w:tcPr>
                            <w:tcW w:w="1352" w:type="dxa"/>
                          </w:tcPr>
                          <w:p>
                            <w:pPr>
                              <w:pStyle w:val="TableParagraph"/>
                              <w:spacing w:before="28" w:line="173" w:lineRule="exact"/>
                              <w:ind w:right="443"/>
                              <w:jc w:val="right"/>
                              <w:rPr>
                                <w:sz w:val="17"/>
                              </w:rPr>
                            </w:pPr>
                            <w:r>
                              <w:rPr>
                                <w:color w:val="0F0F0F"/>
                                <w:spacing w:val="-4"/>
                                <w:w w:val="105"/>
                                <w:sz w:val="17"/>
                              </w:rPr>
                              <w:t>(350)</w:t>
                            </w:r>
                          </w:p>
                        </w:tc>
                        <w:tc>
                          <w:tcPr>
                            <w:tcW w:w="1204" w:type="dxa"/>
                          </w:tcPr>
                          <w:p>
                            <w:pPr>
                              <w:pStyle w:val="TableParagraph"/>
                              <w:spacing w:before="23" w:line="177" w:lineRule="exact"/>
                              <w:ind w:right="118"/>
                              <w:jc w:val="right"/>
                              <w:rPr>
                                <w:b/>
                                <w:sz w:val="18"/>
                              </w:rPr>
                            </w:pPr>
                            <w:r>
                              <w:rPr>
                                <w:b/>
                                <w:color w:val="0F0F0F"/>
                                <w:spacing w:val="-2"/>
                                <w:sz w:val="18"/>
                              </w:rPr>
                              <w:t>(539)</w:t>
                            </w:r>
                          </w:p>
                        </w:tc>
                      </w:tr>
                      <w:tr>
                        <w:trPr>
                          <w:trHeight w:val="211" w:hRule="atLeast"/>
                        </w:trPr>
                        <w:tc>
                          <w:tcPr>
                            <w:tcW w:w="901" w:type="dxa"/>
                          </w:tcPr>
                          <w:p>
                            <w:pPr>
                              <w:pStyle w:val="TableParagraph"/>
                              <w:spacing w:line="181" w:lineRule="exact"/>
                              <w:ind w:right="388"/>
                              <w:jc w:val="right"/>
                              <w:rPr>
                                <w:sz w:val="17"/>
                              </w:rPr>
                            </w:pPr>
                            <w:r>
                              <w:rPr>
                                <w:color w:val="0F0F0F"/>
                                <w:spacing w:val="-5"/>
                                <w:w w:val="110"/>
                                <w:sz w:val="17"/>
                              </w:rPr>
                              <w:t>630</w:t>
                            </w:r>
                          </w:p>
                        </w:tc>
                        <w:tc>
                          <w:tcPr>
                            <w:tcW w:w="1332" w:type="dxa"/>
                          </w:tcPr>
                          <w:p>
                            <w:pPr>
                              <w:pStyle w:val="TableParagraph"/>
                              <w:spacing w:line="192" w:lineRule="exact"/>
                              <w:ind w:left="187" w:right="16"/>
                              <w:jc w:val="center"/>
                              <w:rPr>
                                <w:sz w:val="17"/>
                              </w:rPr>
                            </w:pPr>
                            <w:r>
                              <w:rPr>
                                <w:color w:val="383838"/>
                                <w:spacing w:val="-2"/>
                                <w:w w:val="105"/>
                                <w:sz w:val="17"/>
                              </w:rPr>
                              <w:t>{3</w:t>
                            </w:r>
                            <w:r>
                              <w:rPr>
                                <w:color w:val="0F0F0F"/>
                                <w:spacing w:val="-2"/>
                                <w:w w:val="105"/>
                                <w:sz w:val="17"/>
                              </w:rPr>
                              <w:t>74)</w:t>
                            </w:r>
                          </w:p>
                        </w:tc>
                        <w:tc>
                          <w:tcPr>
                            <w:tcW w:w="1451" w:type="dxa"/>
                          </w:tcPr>
                          <w:p>
                            <w:pPr>
                              <w:pStyle w:val="TableParagraph"/>
                              <w:spacing w:line="192" w:lineRule="exact"/>
                              <w:ind w:right="411"/>
                              <w:jc w:val="right"/>
                              <w:rPr>
                                <w:b/>
                                <w:sz w:val="18"/>
                              </w:rPr>
                            </w:pPr>
                            <w:r>
                              <w:rPr>
                                <w:b/>
                                <w:color w:val="0F0F0F"/>
                                <w:spacing w:val="-2"/>
                                <w:sz w:val="18"/>
                              </w:rPr>
                              <w:t>(557)</w:t>
                            </w:r>
                          </w:p>
                        </w:tc>
                        <w:tc>
                          <w:tcPr>
                            <w:tcW w:w="1220" w:type="dxa"/>
                          </w:tcPr>
                          <w:p>
                            <w:pPr>
                              <w:pStyle w:val="TableParagraph"/>
                              <w:spacing w:before="14" w:line="178" w:lineRule="exact"/>
                              <w:ind w:right="249"/>
                              <w:jc w:val="right"/>
                              <w:rPr>
                                <w:sz w:val="17"/>
                              </w:rPr>
                            </w:pPr>
                            <w:r>
                              <w:rPr>
                                <w:color w:val="0F0F0F"/>
                                <w:spacing w:val="-5"/>
                                <w:w w:val="110"/>
                                <w:sz w:val="17"/>
                              </w:rPr>
                              <w:t>167</w:t>
                            </w:r>
                          </w:p>
                        </w:tc>
                        <w:tc>
                          <w:tcPr>
                            <w:tcW w:w="1352" w:type="dxa"/>
                          </w:tcPr>
                          <w:p>
                            <w:pPr>
                              <w:pStyle w:val="TableParagraph"/>
                              <w:spacing w:before="28" w:line="163" w:lineRule="exact"/>
                              <w:ind w:right="437"/>
                              <w:jc w:val="right"/>
                              <w:rPr>
                                <w:sz w:val="17"/>
                              </w:rPr>
                            </w:pPr>
                            <w:r>
                              <w:rPr>
                                <w:color w:val="383838"/>
                                <w:spacing w:val="-4"/>
                                <w:w w:val="105"/>
                                <w:sz w:val="17"/>
                              </w:rPr>
                              <w:t>{67)</w:t>
                            </w:r>
                          </w:p>
                        </w:tc>
                        <w:tc>
                          <w:tcPr>
                            <w:tcW w:w="1204" w:type="dxa"/>
                          </w:tcPr>
                          <w:p>
                            <w:pPr>
                              <w:pStyle w:val="TableParagraph"/>
                              <w:spacing w:before="19" w:line="173" w:lineRule="exact"/>
                              <w:ind w:right="113"/>
                              <w:jc w:val="right"/>
                              <w:rPr>
                                <w:b/>
                                <w:sz w:val="18"/>
                              </w:rPr>
                            </w:pPr>
                            <w:r>
                              <w:rPr>
                                <w:b/>
                                <w:color w:val="0F0F0F"/>
                                <w:spacing w:val="-2"/>
                                <w:sz w:val="18"/>
                              </w:rPr>
                              <w:t>(457)</w:t>
                            </w:r>
                          </w:p>
                        </w:tc>
                      </w:tr>
                      <w:tr>
                        <w:trPr>
                          <w:trHeight w:val="240" w:hRule="atLeast"/>
                        </w:trPr>
                        <w:tc>
                          <w:tcPr>
                            <w:tcW w:w="901" w:type="dxa"/>
                          </w:tcPr>
                          <w:p>
                            <w:pPr>
                              <w:pStyle w:val="TableParagraph"/>
                              <w:spacing w:line="187" w:lineRule="exact"/>
                              <w:ind w:right="395"/>
                              <w:jc w:val="right"/>
                              <w:rPr>
                                <w:b/>
                                <w:sz w:val="18"/>
                              </w:rPr>
                            </w:pPr>
                            <w:r>
                              <w:rPr>
                                <w:b/>
                                <w:color w:val="0F0F0F"/>
                                <w:spacing w:val="-2"/>
                                <w:sz w:val="18"/>
                              </w:rPr>
                              <w:t>7,701</w:t>
                            </w:r>
                          </w:p>
                        </w:tc>
                        <w:tc>
                          <w:tcPr>
                            <w:tcW w:w="1332" w:type="dxa"/>
                          </w:tcPr>
                          <w:p>
                            <w:pPr>
                              <w:pStyle w:val="TableParagraph"/>
                              <w:spacing w:line="202" w:lineRule="exact"/>
                              <w:ind w:left="42" w:right="16"/>
                              <w:jc w:val="center"/>
                              <w:rPr>
                                <w:b/>
                                <w:sz w:val="18"/>
                              </w:rPr>
                            </w:pPr>
                            <w:r>
                              <w:rPr>
                                <w:b/>
                                <w:color w:val="0F0F0F"/>
                                <w:spacing w:val="-2"/>
                                <w:sz w:val="18"/>
                              </w:rPr>
                              <w:t>(3</w:t>
                            </w:r>
                            <w:r>
                              <w:rPr>
                                <w:b/>
                                <w:color w:val="4D4D4D"/>
                                <w:spacing w:val="-2"/>
                                <w:sz w:val="18"/>
                              </w:rPr>
                              <w:t>,</w:t>
                            </w:r>
                            <w:r>
                              <w:rPr>
                                <w:b/>
                                <w:color w:val="0F0F0F"/>
                                <w:spacing w:val="-2"/>
                                <w:sz w:val="18"/>
                              </w:rPr>
                              <w:t>920)</w:t>
                            </w:r>
                          </w:p>
                        </w:tc>
                        <w:tc>
                          <w:tcPr>
                            <w:tcW w:w="1451" w:type="dxa"/>
                          </w:tcPr>
                          <w:p>
                            <w:pPr>
                              <w:pStyle w:val="TableParagraph"/>
                              <w:spacing w:before="4"/>
                              <w:ind w:right="408"/>
                              <w:jc w:val="right"/>
                              <w:rPr>
                                <w:b/>
                                <w:sz w:val="18"/>
                              </w:rPr>
                            </w:pPr>
                            <w:r>
                              <w:rPr>
                                <w:b/>
                                <w:color w:val="0F0F0F"/>
                                <w:spacing w:val="-2"/>
                                <w:sz w:val="18"/>
                              </w:rPr>
                              <w:t>(31</w:t>
                            </w:r>
                            <w:r>
                              <w:rPr>
                                <w:b/>
                                <w:color w:val="383838"/>
                                <w:spacing w:val="-2"/>
                                <w:sz w:val="18"/>
                              </w:rPr>
                              <w:t>,</w:t>
                            </w:r>
                            <w:r>
                              <w:rPr>
                                <w:b/>
                                <w:color w:val="0F0F0F"/>
                                <w:spacing w:val="-2"/>
                                <w:sz w:val="18"/>
                              </w:rPr>
                              <w:t>842)</w:t>
                            </w:r>
                          </w:p>
                        </w:tc>
                        <w:tc>
                          <w:tcPr>
                            <w:tcW w:w="1220" w:type="dxa"/>
                          </w:tcPr>
                          <w:p>
                            <w:pPr>
                              <w:pStyle w:val="TableParagraph"/>
                              <w:spacing w:before="9"/>
                              <w:ind w:right="260"/>
                              <w:jc w:val="right"/>
                              <w:rPr>
                                <w:b/>
                                <w:sz w:val="18"/>
                              </w:rPr>
                            </w:pPr>
                            <w:r>
                              <w:rPr>
                                <w:b/>
                                <w:color w:val="0F0F0F"/>
                                <w:spacing w:val="-2"/>
                                <w:sz w:val="18"/>
                              </w:rPr>
                              <w:t>10,650</w:t>
                            </w:r>
                          </w:p>
                        </w:tc>
                        <w:tc>
                          <w:tcPr>
                            <w:tcW w:w="1352" w:type="dxa"/>
                          </w:tcPr>
                          <w:p>
                            <w:pPr>
                              <w:pStyle w:val="TableParagraph"/>
                              <w:spacing w:before="23" w:line="197" w:lineRule="exact"/>
                              <w:ind w:right="426"/>
                              <w:jc w:val="right"/>
                              <w:rPr>
                                <w:b/>
                                <w:sz w:val="18"/>
                              </w:rPr>
                            </w:pPr>
                            <w:r>
                              <w:rPr>
                                <w:b/>
                                <w:color w:val="0F0F0F"/>
                                <w:spacing w:val="-2"/>
                                <w:w w:val="95"/>
                                <w:sz w:val="18"/>
                              </w:rPr>
                              <w:t>_(13</w:t>
                            </w:r>
                            <w:r>
                              <w:rPr>
                                <w:b/>
                                <w:color w:val="4D4D4D"/>
                                <w:spacing w:val="-2"/>
                                <w:w w:val="95"/>
                                <w:sz w:val="18"/>
                              </w:rPr>
                              <w:t>,</w:t>
                            </w:r>
                            <w:r>
                              <w:rPr>
                                <w:b/>
                                <w:color w:val="0F0F0F"/>
                                <w:spacing w:val="-2"/>
                                <w:w w:val="95"/>
                                <w:sz w:val="18"/>
                              </w:rPr>
                              <w:t>023)</w:t>
                            </w:r>
                          </w:p>
                        </w:tc>
                        <w:tc>
                          <w:tcPr>
                            <w:tcW w:w="1204" w:type="dxa"/>
                          </w:tcPr>
                          <w:p>
                            <w:pPr>
                              <w:pStyle w:val="TableParagraph"/>
                              <w:spacing w:before="23" w:line="197" w:lineRule="exact"/>
                              <w:ind w:right="114"/>
                              <w:jc w:val="right"/>
                              <w:rPr>
                                <w:b/>
                                <w:sz w:val="18"/>
                              </w:rPr>
                            </w:pPr>
                            <w:r>
                              <w:rPr>
                                <w:b/>
                                <w:color w:val="0F0F0F"/>
                                <w:spacing w:val="-2"/>
                                <w:sz w:val="18"/>
                              </w:rPr>
                              <w:t>(34,215)</w:t>
                            </w:r>
                          </w:p>
                        </w:tc>
                      </w:tr>
                    </w:tbl>
                    <w:p>
                      <w:pPr>
                        <w:pStyle w:val="BodyText"/>
                      </w:pPr>
                    </w:p>
                  </w:txbxContent>
                </v:textbox>
                <w10:wrap type="none"/>
              </v:shape>
            </w:pict>
          </ve:Fallback>
        </ve:AlternateContent>
      </w:r>
      <w:r>
        <w:rPr>
          <w:rFonts w:ascii="Courier New"/>
          <w:color w:val="0F0F0F"/>
          <w:spacing w:val="-5"/>
          <w:w w:val="95"/>
          <w:sz w:val="23"/>
        </w:rPr>
        <w:t>100</w:t>
      </w:r>
    </w:p>
    <w:p>
      <w:pPr>
        <w:spacing w:after="0"/>
        <w:jc w:val="right"/>
        <w:rPr>
          <w:rFonts w:ascii="Courier New"/>
          <w:sz w:val="23"/>
        </w:rPr>
        <w:sectPr>
          <w:type w:val="continuous"/>
          <w:pgSz w:w="16830" w:h="11910" w:orient="landscape"/>
          <w:pgMar w:top="1940" w:right="240" w:bottom="280" w:left="500" w:header="0" w:footer="0"/>
          <w:cols w:equalWidth="0" w:num="2">
            <w:col w:w="7612" w:space="441"/>
            <w:col w:w="8037"/>
          </w:cols>
        </w:sectPr>
      </w:pPr>
    </w:p>
    <w:p>
      <w:pPr>
        <w:tabs>
          <w:tab w:val="left" w:leader="none" w:pos="1714"/>
        </w:tabs>
        <w:spacing w:before="85"/>
        <w:ind w:left="1003" w:right="0" w:firstLine="0"/>
        <w:jc w:val="left"/>
        <w:rPr>
          <w:sz w:val="15"/>
        </w:rPr>
      </w:pPr>
      <w:r>
        <w:rPr>
          <w:color w:val="232323"/>
          <w:spacing w:val="-10"/>
          <w:sz w:val="15"/>
        </w:rPr>
        <w:t>5</w:t>
      </w:r>
      <w:r>
        <w:rPr>
          <w:color w:val="232323"/>
          <w:sz w:val="15"/>
        </w:rPr>
        <w:tab/>
        <w:t>NOTES</w:t>
      </w:r>
      <w:r>
        <w:rPr>
          <w:color w:val="232323"/>
          <w:spacing w:val="36"/>
          <w:sz w:val="15"/>
        </w:rPr>
        <w:t> </w:t>
      </w:r>
      <w:r>
        <w:rPr>
          <w:color w:val="232323"/>
          <w:sz w:val="15"/>
        </w:rPr>
        <w:t>TO</w:t>
      </w:r>
      <w:r>
        <w:rPr>
          <w:color w:val="232323"/>
          <w:spacing w:val="17"/>
          <w:sz w:val="15"/>
        </w:rPr>
        <w:t> </w:t>
      </w:r>
      <w:r>
        <w:rPr>
          <w:color w:val="232323"/>
          <w:sz w:val="15"/>
        </w:rPr>
        <w:t>THE</w:t>
      </w:r>
      <w:r>
        <w:rPr>
          <w:color w:val="232323"/>
          <w:spacing w:val="24"/>
          <w:sz w:val="15"/>
        </w:rPr>
        <w:t> </w:t>
      </w:r>
      <w:r>
        <w:rPr>
          <w:color w:val="363636"/>
          <w:spacing w:val="-2"/>
          <w:sz w:val="15"/>
        </w:rPr>
        <w:t>ACCOUNTS</w:t>
      </w:r>
    </w:p>
    <w:p>
      <w:pPr>
        <w:pStyle w:val="BodyText"/>
        <w:spacing w:before="74"/>
        <w:rPr>
          <w:sz w:val="15"/>
        </w:rPr>
      </w:pPr>
    </w:p>
    <w:p>
      <w:pPr>
        <w:pStyle w:val="ListParagraph"/>
        <w:numPr>
          <w:ilvl w:val="2"/>
          <w:numId w:val="21"/>
        </w:numPr>
        <w:tabs>
          <w:tab w:val="left" w:leader="none" w:pos="1831"/>
        </w:tabs>
        <w:spacing w:before="0" w:after="0" w:line="240" w:lineRule="auto"/>
        <w:ind w:left="1831" w:right="0" w:hanging="841"/>
        <w:jc w:val="left"/>
        <w:rPr>
          <w:b/>
          <w:color w:val="232323"/>
          <w:sz w:val="21"/>
        </w:rPr>
      </w:pPr>
      <w:r>
        <w:rPr>
          <w:b/>
          <w:color w:val="232323"/>
          <w:w w:val="105"/>
          <w:sz w:val="21"/>
        </w:rPr>
        <w:t>Capital</w:t>
      </w:r>
      <w:r>
        <w:rPr>
          <w:b/>
          <w:color w:val="232323"/>
          <w:spacing w:val="-14"/>
          <w:w w:val="105"/>
          <w:sz w:val="21"/>
        </w:rPr>
        <w:t> </w:t>
      </w:r>
      <w:r>
        <w:rPr>
          <w:b/>
          <w:color w:val="232323"/>
          <w:w w:val="105"/>
          <w:sz w:val="21"/>
        </w:rPr>
        <w:t>Receipts</w:t>
      </w:r>
      <w:r>
        <w:rPr>
          <w:b/>
          <w:color w:val="232323"/>
          <w:spacing w:val="-6"/>
          <w:w w:val="105"/>
          <w:sz w:val="21"/>
        </w:rPr>
        <w:t> </w:t>
      </w:r>
      <w:r>
        <w:rPr>
          <w:b/>
          <w:color w:val="232323"/>
          <w:spacing w:val="-2"/>
          <w:w w:val="105"/>
          <w:sz w:val="21"/>
        </w:rPr>
        <w:t>Reserve</w:t>
      </w:r>
    </w:p>
    <w:p>
      <w:pPr>
        <w:pStyle w:val="BodyText"/>
        <w:spacing w:before="3"/>
        <w:rPr>
          <w:b/>
          <w:sz w:val="21"/>
        </w:rPr>
      </w:pPr>
    </w:p>
    <w:p>
      <w:pPr>
        <w:spacing w:before="0" w:line="252" w:lineRule="auto"/>
        <w:ind w:left="991" w:right="1100" w:hanging="2"/>
        <w:jc w:val="both"/>
        <w:rPr>
          <w:sz w:val="21"/>
        </w:rPr>
      </w:pPr>
      <w:r>
        <w:rPr>
          <w:color w:val="232323"/>
          <w:w w:val="105"/>
          <w:sz w:val="21"/>
        </w:rPr>
        <w:t>The</w:t>
      </w:r>
      <w:r>
        <w:rPr>
          <w:color w:val="232323"/>
          <w:spacing w:val="-16"/>
          <w:w w:val="105"/>
          <w:sz w:val="21"/>
        </w:rPr>
        <w:t> </w:t>
      </w:r>
      <w:r>
        <w:rPr>
          <w:color w:val="232323"/>
          <w:w w:val="105"/>
          <w:sz w:val="21"/>
        </w:rPr>
        <w:t>Capital</w:t>
      </w:r>
      <w:r>
        <w:rPr>
          <w:color w:val="232323"/>
          <w:spacing w:val="-15"/>
          <w:w w:val="105"/>
          <w:sz w:val="21"/>
        </w:rPr>
        <w:t> </w:t>
      </w:r>
      <w:r>
        <w:rPr>
          <w:color w:val="232323"/>
          <w:w w:val="105"/>
          <w:sz w:val="21"/>
        </w:rPr>
        <w:t>Receipts</w:t>
      </w:r>
      <w:r>
        <w:rPr>
          <w:color w:val="232323"/>
          <w:spacing w:val="-15"/>
          <w:w w:val="105"/>
          <w:sz w:val="21"/>
        </w:rPr>
        <w:t> </w:t>
      </w:r>
      <w:r>
        <w:rPr>
          <w:color w:val="232323"/>
          <w:w w:val="105"/>
          <w:sz w:val="21"/>
        </w:rPr>
        <w:t>Reserve</w:t>
      </w:r>
      <w:r>
        <w:rPr>
          <w:color w:val="232323"/>
          <w:spacing w:val="-16"/>
          <w:w w:val="105"/>
          <w:sz w:val="21"/>
        </w:rPr>
        <w:t> </w:t>
      </w:r>
      <w:r>
        <w:rPr>
          <w:color w:val="232323"/>
          <w:w w:val="105"/>
          <w:sz w:val="21"/>
        </w:rPr>
        <w:t>represents</w:t>
      </w:r>
      <w:r>
        <w:rPr>
          <w:color w:val="232323"/>
          <w:spacing w:val="-15"/>
          <w:w w:val="105"/>
          <w:sz w:val="21"/>
        </w:rPr>
        <w:t> </w:t>
      </w:r>
      <w:r>
        <w:rPr>
          <w:color w:val="232323"/>
          <w:w w:val="105"/>
          <w:sz w:val="21"/>
        </w:rPr>
        <w:t>proceeds</w:t>
      </w:r>
      <w:r>
        <w:rPr>
          <w:color w:val="232323"/>
          <w:spacing w:val="-15"/>
          <w:w w:val="105"/>
          <w:sz w:val="21"/>
        </w:rPr>
        <w:t> </w:t>
      </w:r>
      <w:r>
        <w:rPr>
          <w:color w:val="232323"/>
          <w:w w:val="105"/>
          <w:sz w:val="21"/>
        </w:rPr>
        <w:t>from</w:t>
      </w:r>
      <w:r>
        <w:rPr>
          <w:color w:val="232323"/>
          <w:spacing w:val="-16"/>
          <w:w w:val="105"/>
          <w:sz w:val="21"/>
        </w:rPr>
        <w:t> </w:t>
      </w:r>
      <w:r>
        <w:rPr>
          <w:color w:val="232323"/>
          <w:w w:val="105"/>
          <w:sz w:val="21"/>
        </w:rPr>
        <w:t>the</w:t>
      </w:r>
      <w:r>
        <w:rPr>
          <w:color w:val="232323"/>
          <w:spacing w:val="-15"/>
          <w:w w:val="105"/>
          <w:sz w:val="21"/>
        </w:rPr>
        <w:t> </w:t>
      </w:r>
      <w:r>
        <w:rPr>
          <w:color w:val="232323"/>
          <w:w w:val="105"/>
          <w:sz w:val="21"/>
        </w:rPr>
        <w:t>sale</w:t>
      </w:r>
      <w:r>
        <w:rPr>
          <w:color w:val="232323"/>
          <w:spacing w:val="-15"/>
          <w:w w:val="105"/>
          <w:sz w:val="21"/>
        </w:rPr>
        <w:t> </w:t>
      </w:r>
      <w:r>
        <w:rPr>
          <w:color w:val="232323"/>
          <w:w w:val="105"/>
          <w:sz w:val="21"/>
        </w:rPr>
        <w:t>of</w:t>
      </w:r>
      <w:r>
        <w:rPr>
          <w:color w:val="232323"/>
          <w:spacing w:val="-16"/>
          <w:w w:val="105"/>
          <w:sz w:val="21"/>
        </w:rPr>
        <w:t> </w:t>
      </w:r>
      <w:r>
        <w:rPr>
          <w:color w:val="232323"/>
          <w:w w:val="105"/>
          <w:sz w:val="21"/>
        </w:rPr>
        <w:t>property,</w:t>
      </w:r>
      <w:r>
        <w:rPr>
          <w:color w:val="232323"/>
          <w:spacing w:val="-10"/>
          <w:w w:val="105"/>
          <w:sz w:val="21"/>
        </w:rPr>
        <w:t> </w:t>
      </w:r>
      <w:r>
        <w:rPr>
          <w:color w:val="232323"/>
          <w:w w:val="105"/>
          <w:sz w:val="21"/>
        </w:rPr>
        <w:t>plant</w:t>
      </w:r>
      <w:r>
        <w:rPr>
          <w:color w:val="232323"/>
          <w:spacing w:val="-14"/>
          <w:w w:val="105"/>
          <w:sz w:val="21"/>
        </w:rPr>
        <w:t> </w:t>
      </w:r>
      <w:r>
        <w:rPr>
          <w:color w:val="232323"/>
          <w:w w:val="105"/>
          <w:sz w:val="21"/>
        </w:rPr>
        <w:t>and</w:t>
      </w:r>
      <w:r>
        <w:rPr>
          <w:color w:val="232323"/>
          <w:spacing w:val="-16"/>
          <w:w w:val="105"/>
          <w:sz w:val="21"/>
        </w:rPr>
        <w:t> </w:t>
      </w:r>
      <w:r>
        <w:rPr>
          <w:color w:val="232323"/>
          <w:w w:val="105"/>
          <w:sz w:val="21"/>
        </w:rPr>
        <w:t>equipment, which are restricted </w:t>
      </w:r>
      <w:r>
        <w:rPr>
          <w:color w:val="363636"/>
          <w:w w:val="105"/>
          <w:sz w:val="21"/>
        </w:rPr>
        <w:t>in</w:t>
      </w:r>
      <w:r>
        <w:rPr>
          <w:color w:val="363636"/>
          <w:spacing w:val="-2"/>
          <w:w w:val="105"/>
          <w:sz w:val="21"/>
        </w:rPr>
        <w:t> </w:t>
      </w:r>
      <w:r>
        <w:rPr>
          <w:color w:val="232323"/>
          <w:w w:val="105"/>
          <w:sz w:val="21"/>
        </w:rPr>
        <w:t>order to</w:t>
      </w:r>
      <w:r>
        <w:rPr>
          <w:color w:val="232323"/>
          <w:spacing w:val="-8"/>
          <w:w w:val="105"/>
          <w:sz w:val="21"/>
        </w:rPr>
        <w:t> </w:t>
      </w:r>
      <w:r>
        <w:rPr>
          <w:color w:val="232323"/>
          <w:w w:val="105"/>
          <w:sz w:val="21"/>
        </w:rPr>
        <w:t>finance</w:t>
      </w:r>
      <w:r>
        <w:rPr>
          <w:color w:val="232323"/>
          <w:spacing w:val="-1"/>
          <w:w w:val="105"/>
          <w:sz w:val="21"/>
        </w:rPr>
        <w:t> </w:t>
      </w:r>
      <w:r>
        <w:rPr>
          <w:color w:val="232323"/>
          <w:w w:val="105"/>
          <w:sz w:val="21"/>
        </w:rPr>
        <w:t>future capital investment. A summary</w:t>
      </w:r>
      <w:r>
        <w:rPr>
          <w:color w:val="232323"/>
          <w:spacing w:val="27"/>
          <w:w w:val="105"/>
          <w:sz w:val="21"/>
        </w:rPr>
        <w:t> </w:t>
      </w:r>
      <w:r>
        <w:rPr>
          <w:color w:val="232323"/>
          <w:w w:val="105"/>
          <w:sz w:val="21"/>
        </w:rPr>
        <w:t>of</w:t>
      </w:r>
      <w:r>
        <w:rPr>
          <w:color w:val="232323"/>
          <w:spacing w:val="-3"/>
          <w:w w:val="105"/>
          <w:sz w:val="21"/>
        </w:rPr>
        <w:t> </w:t>
      </w:r>
      <w:r>
        <w:rPr>
          <w:color w:val="232323"/>
          <w:w w:val="105"/>
          <w:sz w:val="21"/>
        </w:rPr>
        <w:t>the</w:t>
      </w:r>
      <w:r>
        <w:rPr>
          <w:color w:val="232323"/>
          <w:spacing w:val="-9"/>
          <w:w w:val="105"/>
          <w:sz w:val="21"/>
        </w:rPr>
        <w:t> </w:t>
      </w:r>
      <w:r>
        <w:rPr>
          <w:color w:val="232323"/>
          <w:w w:val="105"/>
          <w:sz w:val="21"/>
        </w:rPr>
        <w:t>movement in the reserve during the year </w:t>
      </w:r>
      <w:r>
        <w:rPr>
          <w:color w:val="363636"/>
          <w:w w:val="105"/>
          <w:sz w:val="21"/>
        </w:rPr>
        <w:t>is </w:t>
      </w:r>
      <w:r>
        <w:rPr>
          <w:color w:val="232323"/>
          <w:w w:val="105"/>
          <w:sz w:val="21"/>
        </w:rPr>
        <w:t>as follows:</w:t>
      </w:r>
    </w:p>
    <w:p>
      <w:pPr>
        <w:pStyle w:val="BodyText"/>
        <w:rPr>
          <w:sz w:val="20"/>
        </w:rPr>
      </w:pPr>
    </w:p>
    <w:p>
      <w:pPr>
        <w:pStyle w:val="BodyText"/>
        <w:spacing w:before="218"/>
        <w:rPr>
          <w:sz w:val="20"/>
        </w:rPr>
      </w:pPr>
    </w:p>
    <w:tbl>
      <w:tblPr>
        <w:tblW w:w="0" w:type="auto"/>
        <w:jc w:val="left"/>
        <w:tblInd w:w="1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88"/>
        <w:gridCol w:w="7077"/>
        <w:gridCol w:w="1308"/>
      </w:tblGrid>
      <w:tr>
        <w:trPr>
          <w:trHeight w:val="244" w:hRule="atLeast"/>
        </w:trPr>
        <w:tc>
          <w:tcPr>
            <w:tcW w:w="1288" w:type="dxa"/>
          </w:tcPr>
          <w:p>
            <w:pPr>
              <w:pStyle w:val="TableParagraph"/>
              <w:spacing w:line="225" w:lineRule="exact"/>
              <w:ind w:left="235"/>
              <w:rPr>
                <w:b/>
                <w:sz w:val="21"/>
              </w:rPr>
            </w:pPr>
            <w:r>
              <w:rPr>
                <w:b/>
                <w:color w:val="0C0C0C"/>
                <w:sz w:val="21"/>
              </w:rPr>
              <w:t>2021-</w:t>
            </w:r>
            <w:r>
              <w:rPr>
                <w:b/>
                <w:color w:val="0C0C0C"/>
                <w:spacing w:val="-5"/>
                <w:sz w:val="21"/>
              </w:rPr>
              <w:t>22</w:t>
            </w:r>
          </w:p>
        </w:tc>
        <w:tc>
          <w:tcPr>
            <w:tcW w:w="8385" w:type="dxa"/>
            <w:gridSpan w:val="2"/>
          </w:tcPr>
          <w:p>
            <w:pPr>
              <w:pStyle w:val="TableParagraph"/>
              <w:spacing w:line="225" w:lineRule="exact"/>
              <w:ind w:right="278"/>
              <w:jc w:val="right"/>
              <w:rPr>
                <w:b/>
                <w:sz w:val="21"/>
              </w:rPr>
            </w:pPr>
            <w:r>
              <w:rPr>
                <w:b/>
                <w:color w:val="0C0C0C"/>
                <w:sz w:val="21"/>
              </w:rPr>
              <w:t>2022-</w:t>
            </w:r>
            <w:r>
              <w:rPr>
                <w:b/>
                <w:color w:val="0C0C0C"/>
                <w:spacing w:val="-5"/>
                <w:sz w:val="21"/>
              </w:rPr>
              <w:t>23</w:t>
            </w:r>
          </w:p>
        </w:tc>
      </w:tr>
      <w:tr>
        <w:trPr>
          <w:trHeight w:val="244" w:hRule="atLeast"/>
        </w:trPr>
        <w:tc>
          <w:tcPr>
            <w:tcW w:w="1288" w:type="dxa"/>
          </w:tcPr>
          <w:p>
            <w:pPr>
              <w:pStyle w:val="TableParagraph"/>
              <w:spacing w:before="3" w:line="222" w:lineRule="exact"/>
              <w:ind w:left="383"/>
              <w:rPr>
                <w:b/>
                <w:sz w:val="21"/>
              </w:rPr>
            </w:pPr>
            <w:r>
              <w:rPr>
                <w:b/>
                <w:color w:val="0C0C0C"/>
                <w:spacing w:val="-4"/>
                <w:w w:val="105"/>
                <w:sz w:val="21"/>
              </w:rPr>
              <w:t>£000</w:t>
            </w:r>
          </w:p>
        </w:tc>
        <w:tc>
          <w:tcPr>
            <w:tcW w:w="8385" w:type="dxa"/>
            <w:gridSpan w:val="2"/>
          </w:tcPr>
          <w:p>
            <w:pPr>
              <w:pStyle w:val="TableParagraph"/>
              <w:spacing w:before="3" w:line="222" w:lineRule="exact"/>
              <w:ind w:right="426"/>
              <w:jc w:val="right"/>
              <w:rPr>
                <w:b/>
                <w:sz w:val="21"/>
              </w:rPr>
            </w:pPr>
            <w:r>
              <w:rPr>
                <w:b/>
                <w:color w:val="0C0C0C"/>
                <w:spacing w:val="-4"/>
                <w:w w:val="105"/>
                <w:sz w:val="21"/>
              </w:rPr>
              <w:t>£000</w:t>
            </w:r>
          </w:p>
        </w:tc>
      </w:tr>
      <w:tr>
        <w:trPr>
          <w:trHeight w:val="610" w:hRule="atLeast"/>
        </w:trPr>
        <w:tc>
          <w:tcPr>
            <w:tcW w:w="1288" w:type="dxa"/>
          </w:tcPr>
          <w:p>
            <w:pPr>
              <w:pStyle w:val="TableParagraph"/>
              <w:spacing w:before="93"/>
              <w:rPr>
                <w:sz w:val="21"/>
              </w:rPr>
            </w:pPr>
          </w:p>
          <w:p>
            <w:pPr>
              <w:pStyle w:val="TableParagraph"/>
              <w:ind w:right="129"/>
              <w:jc w:val="right"/>
              <w:rPr>
                <w:b/>
                <w:sz w:val="21"/>
              </w:rPr>
            </w:pPr>
            <w:r>
              <w:rPr>
                <w:b/>
                <w:color w:val="0C0C0C"/>
                <w:spacing w:val="-2"/>
                <w:w w:val="105"/>
                <w:sz w:val="21"/>
              </w:rPr>
              <w:t>(5,656)</w:t>
            </w:r>
          </w:p>
        </w:tc>
        <w:tc>
          <w:tcPr>
            <w:tcW w:w="7077" w:type="dxa"/>
          </w:tcPr>
          <w:p>
            <w:pPr>
              <w:pStyle w:val="TableParagraph"/>
              <w:spacing w:before="93"/>
              <w:rPr>
                <w:sz w:val="21"/>
              </w:rPr>
            </w:pPr>
          </w:p>
          <w:p>
            <w:pPr>
              <w:pStyle w:val="TableParagraph"/>
              <w:ind w:left="413"/>
              <w:rPr>
                <w:b/>
                <w:sz w:val="21"/>
              </w:rPr>
            </w:pPr>
            <w:r>
              <w:rPr>
                <w:b/>
                <w:color w:val="0C0C0C"/>
                <w:w w:val="105"/>
                <w:sz w:val="21"/>
              </w:rPr>
              <w:t>Balance</w:t>
            </w:r>
            <w:r>
              <w:rPr>
                <w:b/>
                <w:color w:val="0C0C0C"/>
                <w:spacing w:val="-1"/>
                <w:w w:val="105"/>
                <w:sz w:val="21"/>
              </w:rPr>
              <w:t> </w:t>
            </w:r>
            <w:r>
              <w:rPr>
                <w:b/>
                <w:color w:val="0C0C0C"/>
                <w:w w:val="105"/>
                <w:sz w:val="21"/>
              </w:rPr>
              <w:t>as</w:t>
            </w:r>
            <w:r>
              <w:rPr>
                <w:b/>
                <w:color w:val="0C0C0C"/>
                <w:spacing w:val="-4"/>
                <w:w w:val="105"/>
                <w:sz w:val="21"/>
              </w:rPr>
              <w:t> </w:t>
            </w:r>
            <w:r>
              <w:rPr>
                <w:b/>
                <w:color w:val="0C0C0C"/>
                <w:w w:val="105"/>
                <w:sz w:val="21"/>
              </w:rPr>
              <w:t>at</w:t>
            </w:r>
            <w:r>
              <w:rPr>
                <w:b/>
                <w:color w:val="0C0C0C"/>
                <w:spacing w:val="-8"/>
                <w:w w:val="105"/>
                <w:sz w:val="21"/>
              </w:rPr>
              <w:t> </w:t>
            </w:r>
            <w:r>
              <w:rPr>
                <w:b/>
                <w:color w:val="0C0C0C"/>
                <w:w w:val="105"/>
                <w:sz w:val="21"/>
              </w:rPr>
              <w:t>1</w:t>
            </w:r>
            <w:r>
              <w:rPr>
                <w:b/>
                <w:color w:val="0C0C0C"/>
                <w:spacing w:val="2"/>
                <w:w w:val="105"/>
                <w:sz w:val="21"/>
              </w:rPr>
              <w:t> </w:t>
            </w:r>
            <w:r>
              <w:rPr>
                <w:b/>
                <w:color w:val="0C0C0C"/>
                <w:spacing w:val="-2"/>
                <w:w w:val="105"/>
                <w:sz w:val="21"/>
              </w:rPr>
              <w:t>April</w:t>
            </w:r>
          </w:p>
        </w:tc>
        <w:tc>
          <w:tcPr>
            <w:tcW w:w="1308" w:type="dxa"/>
          </w:tcPr>
          <w:p>
            <w:pPr>
              <w:pStyle w:val="TableParagraph"/>
              <w:spacing w:before="93"/>
              <w:rPr>
                <w:sz w:val="21"/>
              </w:rPr>
            </w:pPr>
          </w:p>
          <w:p>
            <w:pPr>
              <w:pStyle w:val="TableParagraph"/>
              <w:ind w:right="136"/>
              <w:jc w:val="right"/>
              <w:rPr>
                <w:b/>
                <w:sz w:val="21"/>
              </w:rPr>
            </w:pPr>
            <w:r>
              <w:rPr>
                <w:b/>
                <w:color w:val="0C0C0C"/>
                <w:spacing w:val="-2"/>
                <w:w w:val="105"/>
                <w:sz w:val="21"/>
              </w:rPr>
              <w:t>(5,086)</w:t>
            </w:r>
          </w:p>
        </w:tc>
      </w:tr>
      <w:tr>
        <w:trPr>
          <w:trHeight w:val="302" w:hRule="atLeast"/>
        </w:trPr>
        <w:tc>
          <w:tcPr>
            <w:tcW w:w="1288" w:type="dxa"/>
          </w:tcPr>
          <w:p>
            <w:pPr>
              <w:pStyle w:val="TableParagraph"/>
              <w:spacing w:before="27"/>
              <w:ind w:right="129"/>
              <w:jc w:val="right"/>
              <w:rPr>
                <w:sz w:val="21"/>
              </w:rPr>
            </w:pPr>
            <w:r>
              <w:rPr>
                <w:color w:val="0C0C0C"/>
                <w:spacing w:val="-4"/>
                <w:w w:val="105"/>
                <w:sz w:val="21"/>
              </w:rPr>
              <w:t>(22)</w:t>
            </w:r>
          </w:p>
        </w:tc>
        <w:tc>
          <w:tcPr>
            <w:tcW w:w="7077" w:type="dxa"/>
          </w:tcPr>
          <w:p>
            <w:pPr>
              <w:pStyle w:val="TableParagraph"/>
              <w:spacing w:before="27"/>
              <w:ind w:left="411"/>
              <w:rPr>
                <w:sz w:val="21"/>
              </w:rPr>
            </w:pPr>
            <w:r>
              <w:rPr>
                <w:color w:val="0C0C0C"/>
                <w:w w:val="105"/>
                <w:sz w:val="21"/>
              </w:rPr>
              <w:t>Receipts</w:t>
            </w:r>
            <w:r>
              <w:rPr>
                <w:color w:val="0C0C0C"/>
                <w:spacing w:val="4"/>
                <w:w w:val="105"/>
                <w:sz w:val="21"/>
              </w:rPr>
              <w:t> </w:t>
            </w:r>
            <w:r>
              <w:rPr>
                <w:color w:val="0C0C0C"/>
                <w:w w:val="105"/>
                <w:sz w:val="21"/>
              </w:rPr>
              <w:t>in</w:t>
            </w:r>
            <w:r>
              <w:rPr>
                <w:color w:val="0C0C0C"/>
                <w:spacing w:val="-8"/>
                <w:w w:val="105"/>
                <w:sz w:val="21"/>
              </w:rPr>
              <w:t> </w:t>
            </w:r>
            <w:r>
              <w:rPr>
                <w:color w:val="0C0C0C"/>
                <w:spacing w:val="-4"/>
                <w:w w:val="105"/>
                <w:sz w:val="21"/>
              </w:rPr>
              <w:t>year</w:t>
            </w:r>
          </w:p>
        </w:tc>
        <w:tc>
          <w:tcPr>
            <w:tcW w:w="1308" w:type="dxa"/>
          </w:tcPr>
          <w:p>
            <w:pPr>
              <w:pStyle w:val="TableParagraph"/>
              <w:spacing w:before="27"/>
              <w:ind w:right="144"/>
              <w:jc w:val="right"/>
              <w:rPr>
                <w:sz w:val="21"/>
              </w:rPr>
            </w:pPr>
            <w:r>
              <w:rPr>
                <w:color w:val="0C0C0C"/>
                <w:spacing w:val="-2"/>
                <w:sz w:val="21"/>
              </w:rPr>
              <w:t>(269)</w:t>
            </w:r>
          </w:p>
        </w:tc>
      </w:tr>
      <w:tr>
        <w:trPr>
          <w:trHeight w:val="300" w:hRule="atLeast"/>
        </w:trPr>
        <w:tc>
          <w:tcPr>
            <w:tcW w:w="1288" w:type="dxa"/>
          </w:tcPr>
          <w:p>
            <w:pPr>
              <w:pStyle w:val="TableParagraph"/>
              <w:rPr>
                <w:rFonts w:ascii="Times New Roman"/>
                <w:sz w:val="20"/>
              </w:rPr>
            </w:pPr>
          </w:p>
        </w:tc>
        <w:tc>
          <w:tcPr>
            <w:tcW w:w="7077" w:type="dxa"/>
          </w:tcPr>
          <w:p>
            <w:pPr>
              <w:pStyle w:val="TableParagraph"/>
              <w:spacing w:before="27"/>
              <w:ind w:left="411"/>
              <w:rPr>
                <w:sz w:val="21"/>
              </w:rPr>
            </w:pPr>
            <w:r>
              <w:rPr>
                <w:color w:val="0C0C0C"/>
                <w:w w:val="105"/>
                <w:sz w:val="21"/>
              </w:rPr>
              <w:t>Realisation</w:t>
            </w:r>
            <w:r>
              <w:rPr>
                <w:color w:val="0C0C0C"/>
                <w:spacing w:val="-2"/>
                <w:w w:val="105"/>
                <w:sz w:val="21"/>
              </w:rPr>
              <w:t> </w:t>
            </w:r>
            <w:r>
              <w:rPr>
                <w:color w:val="0C0C0C"/>
                <w:w w:val="105"/>
                <w:sz w:val="21"/>
              </w:rPr>
              <w:t>of</w:t>
            </w:r>
            <w:r>
              <w:rPr>
                <w:color w:val="0C0C0C"/>
                <w:spacing w:val="-14"/>
                <w:w w:val="105"/>
                <w:sz w:val="21"/>
              </w:rPr>
              <w:t> </w:t>
            </w:r>
            <w:r>
              <w:rPr>
                <w:color w:val="0C0C0C"/>
                <w:w w:val="105"/>
                <w:sz w:val="21"/>
              </w:rPr>
              <w:t>deferred</w:t>
            </w:r>
            <w:r>
              <w:rPr>
                <w:color w:val="0C0C0C"/>
                <w:spacing w:val="-8"/>
                <w:w w:val="105"/>
                <w:sz w:val="21"/>
              </w:rPr>
              <w:t> </w:t>
            </w:r>
            <w:r>
              <w:rPr>
                <w:color w:val="0C0C0C"/>
                <w:w w:val="105"/>
                <w:sz w:val="21"/>
              </w:rPr>
              <w:t>capital</w:t>
            </w:r>
            <w:r>
              <w:rPr>
                <w:color w:val="0C0C0C"/>
                <w:spacing w:val="-15"/>
                <w:w w:val="105"/>
                <w:sz w:val="21"/>
              </w:rPr>
              <w:t> </w:t>
            </w:r>
            <w:r>
              <w:rPr>
                <w:color w:val="0C0C0C"/>
                <w:spacing w:val="-2"/>
                <w:w w:val="105"/>
                <w:sz w:val="21"/>
              </w:rPr>
              <w:t>receipts</w:t>
            </w:r>
          </w:p>
        </w:tc>
        <w:tc>
          <w:tcPr>
            <w:tcW w:w="1308" w:type="dxa"/>
          </w:tcPr>
          <w:p>
            <w:pPr>
              <w:pStyle w:val="TableParagraph"/>
              <w:spacing w:before="27"/>
              <w:ind w:right="135"/>
              <w:jc w:val="right"/>
              <w:rPr>
                <w:sz w:val="21"/>
              </w:rPr>
            </w:pPr>
            <w:r>
              <w:rPr>
                <w:color w:val="0C0C0C"/>
                <w:spacing w:val="-4"/>
                <w:w w:val="105"/>
                <w:sz w:val="21"/>
              </w:rPr>
              <w:t>(50)</w:t>
            </w:r>
          </w:p>
        </w:tc>
      </w:tr>
      <w:tr>
        <w:trPr>
          <w:trHeight w:val="281" w:hRule="atLeast"/>
        </w:trPr>
        <w:tc>
          <w:tcPr>
            <w:tcW w:w="1288" w:type="dxa"/>
            <w:tcBorders>
              <w:bottom w:val="single" w:color="000000" w:sz="6" w:space="0"/>
            </w:tcBorders>
          </w:tcPr>
          <w:p>
            <w:pPr>
              <w:pStyle w:val="TableParagraph"/>
              <w:spacing w:before="29" w:line="237" w:lineRule="exact"/>
              <w:ind w:right="184"/>
              <w:jc w:val="right"/>
              <w:rPr>
                <w:sz w:val="21"/>
              </w:rPr>
            </w:pPr>
            <w:r>
              <w:rPr>
                <w:color w:val="0C0C0C"/>
                <w:spacing w:val="-5"/>
                <w:w w:val="105"/>
                <w:sz w:val="21"/>
              </w:rPr>
              <w:t>592</w:t>
            </w:r>
          </w:p>
        </w:tc>
        <w:tc>
          <w:tcPr>
            <w:tcW w:w="7077" w:type="dxa"/>
          </w:tcPr>
          <w:p>
            <w:pPr>
              <w:pStyle w:val="TableParagraph"/>
              <w:spacing w:before="29" w:line="232" w:lineRule="exact"/>
              <w:ind w:left="414"/>
              <w:rPr>
                <w:sz w:val="21"/>
              </w:rPr>
            </w:pPr>
            <w:r>
              <w:rPr>
                <w:color w:val="0C0C0C"/>
                <w:w w:val="105"/>
                <w:sz w:val="21"/>
              </w:rPr>
              <w:t>Applied</w:t>
            </w:r>
            <w:r>
              <w:rPr>
                <w:color w:val="0C0C0C"/>
                <w:spacing w:val="-7"/>
                <w:w w:val="105"/>
                <w:sz w:val="21"/>
              </w:rPr>
              <w:t> </w:t>
            </w:r>
            <w:r>
              <w:rPr>
                <w:color w:val="0C0C0C"/>
                <w:w w:val="105"/>
                <w:sz w:val="21"/>
              </w:rPr>
              <w:t>during</w:t>
            </w:r>
            <w:r>
              <w:rPr>
                <w:color w:val="0C0C0C"/>
                <w:spacing w:val="-9"/>
                <w:w w:val="105"/>
                <w:sz w:val="21"/>
              </w:rPr>
              <w:t> </w:t>
            </w:r>
            <w:r>
              <w:rPr>
                <w:color w:val="0C0C0C"/>
                <w:w w:val="105"/>
                <w:sz w:val="21"/>
              </w:rPr>
              <w:t>the</w:t>
            </w:r>
            <w:r>
              <w:rPr>
                <w:color w:val="0C0C0C"/>
                <w:spacing w:val="-3"/>
                <w:w w:val="105"/>
                <w:sz w:val="21"/>
              </w:rPr>
              <w:t> </w:t>
            </w:r>
            <w:r>
              <w:rPr>
                <w:color w:val="0C0C0C"/>
                <w:spacing w:val="-4"/>
                <w:w w:val="105"/>
                <w:sz w:val="21"/>
              </w:rPr>
              <w:t>year</w:t>
            </w:r>
          </w:p>
        </w:tc>
        <w:tc>
          <w:tcPr>
            <w:tcW w:w="1308" w:type="dxa"/>
            <w:tcBorders>
              <w:bottom w:val="single" w:color="000000" w:sz="6" w:space="0"/>
            </w:tcBorders>
          </w:tcPr>
          <w:p>
            <w:pPr>
              <w:pStyle w:val="TableParagraph"/>
              <w:spacing w:before="25" w:line="237" w:lineRule="exact"/>
              <w:ind w:right="191"/>
              <w:jc w:val="right"/>
              <w:rPr>
                <w:sz w:val="21"/>
              </w:rPr>
            </w:pPr>
            <w:r>
              <w:rPr>
                <w:color w:val="0C0C0C"/>
                <w:spacing w:val="-5"/>
                <w:w w:val="105"/>
                <w:sz w:val="21"/>
              </w:rPr>
              <w:t>267</w:t>
            </w:r>
          </w:p>
        </w:tc>
      </w:tr>
      <w:tr>
        <w:trPr>
          <w:trHeight w:val="297" w:hRule="atLeast"/>
        </w:trPr>
        <w:tc>
          <w:tcPr>
            <w:tcW w:w="1288" w:type="dxa"/>
            <w:tcBorders>
              <w:top w:val="single" w:color="000000" w:sz="6" w:space="0"/>
            </w:tcBorders>
          </w:tcPr>
          <w:p>
            <w:pPr>
              <w:pStyle w:val="TableParagraph"/>
              <w:spacing w:before="35" w:line="237" w:lineRule="exact"/>
              <w:ind w:right="123"/>
              <w:jc w:val="right"/>
              <w:rPr>
                <w:b/>
                <w:sz w:val="21"/>
              </w:rPr>
            </w:pPr>
            <w:r>
              <w:rPr/>
              <ve:AlternateContent>
                <ve:Choice Requires="wps">
                  <w:drawing>
                    <wp:anchor distT="0" distB="0" distL="0" distR="0" simplePos="0" relativeHeight="15852032" behindDoc="0" locked="0" layoutInCell="1" allowOverlap="1">
                      <wp:simplePos x="0" y="0"/>
                      <wp:positionH relativeFrom="column">
                        <wp:posOffset>-12211</wp:posOffset>
                      </wp:positionH>
                      <wp:positionV relativeFrom="paragraph">
                        <wp:posOffset>185447</wp:posOffset>
                      </wp:positionV>
                      <wp:extent cx="830580" cy="9525"/>
                      <wp:effectExtent l="0" t="0" r="0" b="0"/>
                      <wp:wrapNone/>
                      <wp:docPr id="567" name="Group 567"/>
                      <wp:cNvGraphicFramePr>
                        <a:graphicFrameLocks/>
                      </wp:cNvGraphicFramePr>
                      <a:graphic>
                        <a:graphicData uri="http://schemas.microsoft.com/office/word/2010/wordprocessingGroup">
                          <wpg:wgp>
                            <wpg:cNvPr id="567" name="Group 567"/>
                            <wpg:cNvGrpSpPr/>
                            <wpg:grpSpPr>
                              <a:xfrm>
                                <a:off x="0" y="0"/>
                                <a:ext cx="830580" cy="9525"/>
                                <a:chExt cx="830580" cy="9525"/>
                              </a:xfrm>
                            </wpg:grpSpPr>
                            <wps:wsp>
                              <wps:cNvPr id="568" name="Graphic 568"/>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74" style="position:absolute;margin-left:-.961549pt;margin-top:14.602181pt;width:65.4pt;height:.75pt;mso-position-horizontal-relative:column;mso-position-vertical-relative:paragraph;z-index:15852032" coordsize="1308,15" coordorigin="-19,292">
                      <v:line style="position:absolute" stroked="true" strokecolor="#000000" strokeweight=".720821pt" from="-19,299" to="1288,299">
                        <v:stroke dashstyle="solid"/>
                      </v:line>
                      <w10:wrap type="none"/>
                    </v:group>
                  </w:pict>
                </ve:Fallback>
              </ve:AlternateContent>
            </w:r>
            <w:r>
              <w:rPr>
                <w:b/>
                <w:color w:val="0C0C0C"/>
                <w:spacing w:val="-2"/>
                <w:w w:val="105"/>
                <w:sz w:val="21"/>
              </w:rPr>
              <w:t>(5,086)</w:t>
            </w:r>
          </w:p>
        </w:tc>
        <w:tc>
          <w:tcPr>
            <w:tcW w:w="7077" w:type="dxa"/>
          </w:tcPr>
          <w:p>
            <w:pPr>
              <w:pStyle w:val="TableParagraph"/>
              <w:spacing w:before="35"/>
              <w:ind w:left="413"/>
              <w:rPr>
                <w:b/>
                <w:sz w:val="21"/>
              </w:rPr>
            </w:pPr>
            <w:r>
              <w:rPr>
                <w:b/>
                <w:color w:val="0C0C0C"/>
                <w:w w:val="105"/>
                <w:sz w:val="21"/>
              </w:rPr>
              <w:t>Balance</w:t>
            </w:r>
            <w:r>
              <w:rPr>
                <w:b/>
                <w:color w:val="0C0C0C"/>
                <w:spacing w:val="4"/>
                <w:w w:val="105"/>
                <w:sz w:val="21"/>
              </w:rPr>
              <w:t> </w:t>
            </w:r>
            <w:r>
              <w:rPr>
                <w:b/>
                <w:color w:val="0C0C0C"/>
                <w:w w:val="105"/>
                <w:sz w:val="21"/>
              </w:rPr>
              <w:t>as</w:t>
            </w:r>
            <w:r>
              <w:rPr>
                <w:b/>
                <w:color w:val="0C0C0C"/>
                <w:spacing w:val="-5"/>
                <w:w w:val="105"/>
                <w:sz w:val="21"/>
              </w:rPr>
              <w:t> </w:t>
            </w:r>
            <w:r>
              <w:rPr>
                <w:b/>
                <w:color w:val="0C0C0C"/>
                <w:w w:val="105"/>
                <w:sz w:val="21"/>
              </w:rPr>
              <w:t>at</w:t>
            </w:r>
            <w:r>
              <w:rPr>
                <w:b/>
                <w:color w:val="0C0C0C"/>
                <w:spacing w:val="-9"/>
                <w:w w:val="105"/>
                <w:sz w:val="21"/>
              </w:rPr>
              <w:t> </w:t>
            </w:r>
            <w:r>
              <w:rPr>
                <w:b/>
                <w:color w:val="0C0C0C"/>
                <w:w w:val="105"/>
                <w:sz w:val="21"/>
              </w:rPr>
              <w:t>31</w:t>
            </w:r>
            <w:r>
              <w:rPr>
                <w:b/>
                <w:color w:val="0C0C0C"/>
                <w:spacing w:val="-10"/>
                <w:w w:val="105"/>
                <w:sz w:val="21"/>
              </w:rPr>
              <w:t> </w:t>
            </w:r>
            <w:r>
              <w:rPr>
                <w:b/>
                <w:color w:val="0C0C0C"/>
                <w:spacing w:val="-2"/>
                <w:w w:val="105"/>
                <w:sz w:val="21"/>
              </w:rPr>
              <w:t>March</w:t>
            </w:r>
          </w:p>
        </w:tc>
        <w:tc>
          <w:tcPr>
            <w:tcW w:w="1308" w:type="dxa"/>
            <w:tcBorders>
              <w:top w:val="single" w:color="000000" w:sz="6" w:space="0"/>
              <w:bottom w:val="single" w:color="000000" w:sz="6" w:space="0"/>
            </w:tcBorders>
          </w:tcPr>
          <w:p>
            <w:pPr>
              <w:pStyle w:val="TableParagraph"/>
              <w:spacing w:before="35"/>
              <w:ind w:right="126"/>
              <w:jc w:val="right"/>
              <w:rPr>
                <w:b/>
                <w:sz w:val="21"/>
              </w:rPr>
            </w:pPr>
            <w:r>
              <w:rPr>
                <w:b/>
                <w:color w:val="0C0C0C"/>
                <w:spacing w:val="-2"/>
                <w:w w:val="105"/>
                <w:sz w:val="21"/>
              </w:rPr>
              <w:t>(5,138)</w:t>
            </w:r>
          </w:p>
        </w:tc>
      </w:tr>
    </w:tbl>
    <w:p>
      <w:pPr>
        <w:pStyle w:val="BodyText"/>
        <w:rPr>
          <w:sz w:val="21"/>
        </w:rPr>
      </w:pPr>
    </w:p>
    <w:p>
      <w:pPr>
        <w:pStyle w:val="BodyText"/>
        <w:rPr>
          <w:sz w:val="21"/>
        </w:rPr>
      </w:pPr>
    </w:p>
    <w:p>
      <w:pPr>
        <w:pStyle w:val="BodyText"/>
        <w:rPr>
          <w:sz w:val="21"/>
        </w:rPr>
      </w:pPr>
    </w:p>
    <w:p>
      <w:pPr>
        <w:pStyle w:val="BodyText"/>
        <w:spacing w:before="35"/>
        <w:rPr>
          <w:sz w:val="21"/>
        </w:rPr>
      </w:pPr>
    </w:p>
    <w:p>
      <w:pPr>
        <w:pStyle w:val="ListParagraph"/>
        <w:numPr>
          <w:ilvl w:val="2"/>
          <w:numId w:val="21"/>
        </w:numPr>
        <w:tabs>
          <w:tab w:val="left" w:leader="none" w:pos="1836"/>
        </w:tabs>
        <w:spacing w:before="0" w:after="0" w:line="240" w:lineRule="auto"/>
        <w:ind w:left="1836" w:right="0" w:hanging="836"/>
        <w:jc w:val="left"/>
        <w:rPr>
          <w:b/>
          <w:color w:val="0C0C0C"/>
          <w:sz w:val="21"/>
        </w:rPr>
      </w:pPr>
      <w:r>
        <w:rPr>
          <w:b/>
          <w:color w:val="0C0C0C"/>
          <w:w w:val="105"/>
          <w:sz w:val="21"/>
        </w:rPr>
        <w:t>Capital</w:t>
      </w:r>
      <w:r>
        <w:rPr>
          <w:b/>
          <w:color w:val="0C0C0C"/>
          <w:spacing w:val="-11"/>
          <w:w w:val="105"/>
          <w:sz w:val="21"/>
        </w:rPr>
        <w:t> </w:t>
      </w:r>
      <w:r>
        <w:rPr>
          <w:b/>
          <w:color w:val="0C0C0C"/>
          <w:w w:val="105"/>
          <w:sz w:val="21"/>
        </w:rPr>
        <w:t>Grants</w:t>
      </w:r>
      <w:r>
        <w:rPr>
          <w:b/>
          <w:color w:val="0C0C0C"/>
          <w:spacing w:val="-9"/>
          <w:w w:val="105"/>
          <w:sz w:val="21"/>
        </w:rPr>
        <w:t> </w:t>
      </w:r>
      <w:r>
        <w:rPr>
          <w:b/>
          <w:color w:val="0C0C0C"/>
          <w:w w:val="105"/>
          <w:sz w:val="21"/>
        </w:rPr>
        <w:t>Unapplied </w:t>
      </w:r>
      <w:r>
        <w:rPr>
          <w:b/>
          <w:color w:val="0C0C0C"/>
          <w:spacing w:val="-2"/>
          <w:w w:val="105"/>
          <w:sz w:val="21"/>
        </w:rPr>
        <w:t>Account</w:t>
      </w:r>
    </w:p>
    <w:p>
      <w:pPr>
        <w:pStyle w:val="BodyText"/>
        <w:spacing w:before="7"/>
        <w:rPr>
          <w:b/>
          <w:sz w:val="21"/>
        </w:rPr>
      </w:pPr>
    </w:p>
    <w:p>
      <w:pPr>
        <w:spacing w:before="0" w:line="252" w:lineRule="auto"/>
        <w:ind w:left="995" w:right="1083" w:hanging="1"/>
        <w:jc w:val="both"/>
        <w:rPr>
          <w:sz w:val="21"/>
        </w:rPr>
      </w:pPr>
      <w:r>
        <w:rPr>
          <w:color w:val="0C0C0C"/>
          <w:w w:val="105"/>
          <w:sz w:val="21"/>
        </w:rPr>
        <w:t>The</w:t>
      </w:r>
      <w:r>
        <w:rPr>
          <w:color w:val="0C0C0C"/>
          <w:w w:val="105"/>
          <w:sz w:val="21"/>
        </w:rPr>
        <w:t> </w:t>
      </w:r>
      <w:r>
        <w:rPr>
          <w:color w:val="232323"/>
          <w:w w:val="105"/>
          <w:sz w:val="21"/>
        </w:rPr>
        <w:t>balance</w:t>
      </w:r>
      <w:r>
        <w:rPr>
          <w:color w:val="232323"/>
          <w:w w:val="105"/>
          <w:sz w:val="21"/>
        </w:rPr>
        <w:t> </w:t>
      </w:r>
      <w:r>
        <w:rPr>
          <w:color w:val="0C0C0C"/>
          <w:w w:val="105"/>
          <w:sz w:val="21"/>
        </w:rPr>
        <w:t>on</w:t>
      </w:r>
      <w:r>
        <w:rPr>
          <w:color w:val="0C0C0C"/>
          <w:w w:val="105"/>
          <w:sz w:val="21"/>
        </w:rPr>
        <w:t> the</w:t>
      </w:r>
      <w:r>
        <w:rPr>
          <w:color w:val="0C0C0C"/>
          <w:w w:val="105"/>
          <w:sz w:val="21"/>
        </w:rPr>
        <w:t> Capital</w:t>
      </w:r>
      <w:r>
        <w:rPr>
          <w:color w:val="0C0C0C"/>
          <w:w w:val="105"/>
          <w:sz w:val="21"/>
        </w:rPr>
        <w:t> Grants</w:t>
      </w:r>
      <w:r>
        <w:rPr>
          <w:color w:val="0C0C0C"/>
          <w:w w:val="105"/>
          <w:sz w:val="21"/>
        </w:rPr>
        <w:t> Unapplied</w:t>
      </w:r>
      <w:r>
        <w:rPr>
          <w:color w:val="0C0C0C"/>
          <w:w w:val="105"/>
          <w:sz w:val="21"/>
        </w:rPr>
        <w:t> Account</w:t>
      </w:r>
      <w:r>
        <w:rPr>
          <w:color w:val="0C0C0C"/>
          <w:w w:val="105"/>
          <w:sz w:val="21"/>
        </w:rPr>
        <w:t> </w:t>
      </w:r>
      <w:r>
        <w:rPr>
          <w:color w:val="232323"/>
          <w:w w:val="105"/>
          <w:sz w:val="21"/>
        </w:rPr>
        <w:t>represents</w:t>
      </w:r>
      <w:r>
        <w:rPr>
          <w:color w:val="232323"/>
          <w:w w:val="105"/>
          <w:sz w:val="21"/>
        </w:rPr>
        <w:t> </w:t>
      </w:r>
      <w:r>
        <w:rPr>
          <w:color w:val="0C0C0C"/>
          <w:w w:val="105"/>
          <w:sz w:val="21"/>
        </w:rPr>
        <w:t>grants</w:t>
      </w:r>
      <w:r>
        <w:rPr>
          <w:color w:val="0C0C0C"/>
          <w:w w:val="105"/>
          <w:sz w:val="21"/>
        </w:rPr>
        <w:t> and</w:t>
      </w:r>
      <w:r>
        <w:rPr>
          <w:color w:val="0C0C0C"/>
          <w:w w:val="105"/>
          <w:sz w:val="21"/>
        </w:rPr>
        <w:t> contributions received by the Council for the</w:t>
      </w:r>
      <w:r>
        <w:rPr>
          <w:color w:val="0C0C0C"/>
          <w:w w:val="105"/>
          <w:sz w:val="21"/>
        </w:rPr>
        <w:t> </w:t>
      </w:r>
      <w:r>
        <w:rPr>
          <w:color w:val="232323"/>
          <w:w w:val="105"/>
          <w:sz w:val="21"/>
        </w:rPr>
        <w:t>purpose</w:t>
      </w:r>
      <w:r>
        <w:rPr>
          <w:color w:val="232323"/>
          <w:w w:val="105"/>
          <w:sz w:val="21"/>
        </w:rPr>
        <w:t> </w:t>
      </w:r>
      <w:r>
        <w:rPr>
          <w:color w:val="0C0C0C"/>
          <w:w w:val="105"/>
          <w:sz w:val="21"/>
        </w:rPr>
        <w:t>of funding</w:t>
      </w:r>
      <w:r>
        <w:rPr>
          <w:color w:val="0C0C0C"/>
          <w:w w:val="105"/>
          <w:sz w:val="21"/>
        </w:rPr>
        <w:t> </w:t>
      </w:r>
      <w:r>
        <w:rPr>
          <w:color w:val="232323"/>
          <w:w w:val="105"/>
          <w:sz w:val="21"/>
        </w:rPr>
        <w:t>capital</w:t>
      </w:r>
      <w:r>
        <w:rPr>
          <w:color w:val="232323"/>
          <w:w w:val="105"/>
          <w:sz w:val="21"/>
        </w:rPr>
        <w:t> expenditure</w:t>
      </w:r>
      <w:r>
        <w:rPr>
          <w:color w:val="232323"/>
          <w:w w:val="105"/>
          <w:sz w:val="21"/>
        </w:rPr>
        <w:t> </w:t>
      </w:r>
      <w:r>
        <w:rPr>
          <w:color w:val="0C0C0C"/>
          <w:w w:val="105"/>
          <w:sz w:val="21"/>
        </w:rPr>
        <w:t>but not yet utilised</w:t>
      </w:r>
      <w:r>
        <w:rPr>
          <w:color w:val="494949"/>
          <w:w w:val="105"/>
          <w:sz w:val="21"/>
        </w:rPr>
        <w:t>. </w:t>
      </w:r>
      <w:r>
        <w:rPr>
          <w:color w:val="0C0C0C"/>
          <w:w w:val="105"/>
          <w:sz w:val="21"/>
        </w:rPr>
        <w:t>The </w:t>
      </w:r>
      <w:r>
        <w:rPr>
          <w:color w:val="232323"/>
          <w:w w:val="105"/>
          <w:sz w:val="21"/>
        </w:rPr>
        <w:t>grants </w:t>
      </w:r>
      <w:r>
        <w:rPr>
          <w:color w:val="0C0C0C"/>
          <w:w w:val="105"/>
          <w:sz w:val="21"/>
        </w:rPr>
        <w:t>in</w:t>
      </w:r>
      <w:r>
        <w:rPr>
          <w:color w:val="0C0C0C"/>
          <w:spacing w:val="-1"/>
          <w:w w:val="105"/>
          <w:sz w:val="21"/>
        </w:rPr>
        <w:t> </w:t>
      </w:r>
      <w:r>
        <w:rPr>
          <w:color w:val="232323"/>
          <w:w w:val="105"/>
          <w:sz w:val="21"/>
        </w:rPr>
        <w:t>question </w:t>
      </w:r>
      <w:r>
        <w:rPr>
          <w:color w:val="0C0C0C"/>
          <w:w w:val="105"/>
          <w:sz w:val="21"/>
        </w:rPr>
        <w:t>have </w:t>
      </w:r>
      <w:r>
        <w:rPr>
          <w:color w:val="232323"/>
          <w:w w:val="105"/>
          <w:sz w:val="21"/>
        </w:rPr>
        <w:t>been </w:t>
      </w:r>
      <w:r>
        <w:rPr>
          <w:color w:val="0C0C0C"/>
          <w:w w:val="105"/>
          <w:sz w:val="21"/>
        </w:rPr>
        <w:t>recognised </w:t>
      </w:r>
      <w:r>
        <w:rPr>
          <w:color w:val="232323"/>
          <w:w w:val="105"/>
          <w:sz w:val="21"/>
        </w:rPr>
        <w:t>as</w:t>
      </w:r>
      <w:r>
        <w:rPr>
          <w:color w:val="232323"/>
          <w:spacing w:val="-3"/>
          <w:w w:val="105"/>
          <w:sz w:val="21"/>
        </w:rPr>
        <w:t> </w:t>
      </w:r>
      <w:r>
        <w:rPr>
          <w:color w:val="363636"/>
          <w:w w:val="105"/>
          <w:sz w:val="21"/>
        </w:rPr>
        <w:t>income </w:t>
      </w:r>
      <w:r>
        <w:rPr>
          <w:color w:val="0C0C0C"/>
          <w:w w:val="105"/>
          <w:sz w:val="21"/>
        </w:rPr>
        <w:t>as</w:t>
      </w:r>
      <w:r>
        <w:rPr>
          <w:color w:val="0C0C0C"/>
          <w:spacing w:val="-6"/>
          <w:w w:val="105"/>
          <w:sz w:val="21"/>
        </w:rPr>
        <w:t> </w:t>
      </w:r>
      <w:r>
        <w:rPr>
          <w:color w:val="0C0C0C"/>
          <w:w w:val="105"/>
          <w:sz w:val="21"/>
        </w:rPr>
        <w:t>they have</w:t>
      </w:r>
      <w:r>
        <w:rPr>
          <w:color w:val="0C0C0C"/>
          <w:spacing w:val="-1"/>
          <w:w w:val="105"/>
          <w:sz w:val="21"/>
        </w:rPr>
        <w:t> </w:t>
      </w:r>
      <w:r>
        <w:rPr>
          <w:color w:val="0C0C0C"/>
          <w:w w:val="105"/>
          <w:sz w:val="21"/>
        </w:rPr>
        <w:t>no conditions attached to</w:t>
      </w:r>
      <w:r>
        <w:rPr>
          <w:color w:val="0C0C0C"/>
          <w:spacing w:val="-7"/>
          <w:w w:val="105"/>
          <w:sz w:val="21"/>
        </w:rPr>
        <w:t> </w:t>
      </w:r>
      <w:r>
        <w:rPr>
          <w:color w:val="0C0C0C"/>
          <w:w w:val="105"/>
          <w:sz w:val="21"/>
        </w:rPr>
        <w:t>them </w:t>
      </w:r>
      <w:r>
        <w:rPr>
          <w:color w:val="232323"/>
          <w:w w:val="105"/>
          <w:sz w:val="21"/>
        </w:rPr>
        <w:t>that</w:t>
      </w:r>
      <w:r>
        <w:rPr>
          <w:color w:val="232323"/>
          <w:spacing w:val="-16"/>
          <w:w w:val="105"/>
          <w:sz w:val="21"/>
        </w:rPr>
        <w:t> </w:t>
      </w:r>
      <w:r>
        <w:rPr>
          <w:color w:val="232323"/>
          <w:w w:val="105"/>
          <w:sz w:val="21"/>
        </w:rPr>
        <w:t>may</w:t>
      </w:r>
      <w:r>
        <w:rPr>
          <w:color w:val="232323"/>
          <w:spacing w:val="-15"/>
          <w:w w:val="105"/>
          <w:sz w:val="21"/>
        </w:rPr>
        <w:t> </w:t>
      </w:r>
      <w:r>
        <w:rPr>
          <w:color w:val="232323"/>
          <w:w w:val="105"/>
          <w:sz w:val="21"/>
        </w:rPr>
        <w:t>require</w:t>
      </w:r>
      <w:r>
        <w:rPr>
          <w:color w:val="232323"/>
          <w:spacing w:val="-15"/>
          <w:w w:val="105"/>
          <w:sz w:val="21"/>
        </w:rPr>
        <w:t> </w:t>
      </w:r>
      <w:r>
        <w:rPr>
          <w:color w:val="232323"/>
          <w:w w:val="105"/>
          <w:sz w:val="21"/>
        </w:rPr>
        <w:t>the</w:t>
      </w:r>
      <w:r>
        <w:rPr>
          <w:color w:val="232323"/>
          <w:spacing w:val="-16"/>
          <w:w w:val="105"/>
          <w:sz w:val="21"/>
        </w:rPr>
        <w:t> </w:t>
      </w:r>
      <w:r>
        <w:rPr>
          <w:color w:val="0C0C0C"/>
          <w:w w:val="105"/>
          <w:sz w:val="21"/>
        </w:rPr>
        <w:t>mon</w:t>
      </w:r>
      <w:r>
        <w:rPr>
          <w:color w:val="363636"/>
          <w:w w:val="105"/>
          <w:sz w:val="21"/>
        </w:rPr>
        <w:t>ies</w:t>
      </w:r>
      <w:r>
        <w:rPr>
          <w:color w:val="363636"/>
          <w:spacing w:val="-15"/>
          <w:w w:val="105"/>
          <w:sz w:val="21"/>
        </w:rPr>
        <w:t> </w:t>
      </w:r>
      <w:r>
        <w:rPr>
          <w:color w:val="0C0C0C"/>
          <w:w w:val="105"/>
          <w:sz w:val="21"/>
        </w:rPr>
        <w:t>to</w:t>
      </w:r>
      <w:r>
        <w:rPr>
          <w:color w:val="0C0C0C"/>
          <w:spacing w:val="-15"/>
          <w:w w:val="105"/>
          <w:sz w:val="21"/>
        </w:rPr>
        <w:t> </w:t>
      </w:r>
      <w:r>
        <w:rPr>
          <w:color w:val="0C0C0C"/>
          <w:w w:val="105"/>
          <w:sz w:val="21"/>
        </w:rPr>
        <w:t>be</w:t>
      </w:r>
      <w:r>
        <w:rPr>
          <w:color w:val="0C0C0C"/>
          <w:spacing w:val="-16"/>
          <w:w w:val="105"/>
          <w:sz w:val="21"/>
        </w:rPr>
        <w:t> </w:t>
      </w:r>
      <w:r>
        <w:rPr>
          <w:color w:val="0C0C0C"/>
          <w:w w:val="105"/>
          <w:sz w:val="21"/>
        </w:rPr>
        <w:t>returned</w:t>
      </w:r>
      <w:r>
        <w:rPr>
          <w:color w:val="0C0C0C"/>
          <w:spacing w:val="-15"/>
          <w:w w:val="105"/>
          <w:sz w:val="21"/>
        </w:rPr>
        <w:t> </w:t>
      </w:r>
      <w:r>
        <w:rPr>
          <w:color w:val="232323"/>
          <w:w w:val="105"/>
          <w:sz w:val="21"/>
        </w:rPr>
        <w:t>to</w:t>
      </w:r>
      <w:r>
        <w:rPr>
          <w:color w:val="232323"/>
          <w:spacing w:val="-15"/>
          <w:w w:val="105"/>
          <w:sz w:val="21"/>
        </w:rPr>
        <w:t> </w:t>
      </w:r>
      <w:r>
        <w:rPr>
          <w:color w:val="232323"/>
          <w:w w:val="105"/>
          <w:sz w:val="21"/>
        </w:rPr>
        <w:t>the</w:t>
      </w:r>
      <w:r>
        <w:rPr>
          <w:color w:val="232323"/>
          <w:spacing w:val="-16"/>
          <w:w w:val="105"/>
          <w:sz w:val="21"/>
        </w:rPr>
        <w:t> </w:t>
      </w:r>
      <w:r>
        <w:rPr>
          <w:color w:val="232323"/>
          <w:w w:val="105"/>
          <w:sz w:val="21"/>
        </w:rPr>
        <w:t>giver.</w:t>
      </w:r>
      <w:r>
        <w:rPr>
          <w:color w:val="232323"/>
          <w:spacing w:val="-15"/>
          <w:w w:val="105"/>
          <w:sz w:val="21"/>
        </w:rPr>
        <w:t> </w:t>
      </w:r>
      <w:r>
        <w:rPr>
          <w:color w:val="0C0C0C"/>
          <w:w w:val="105"/>
          <w:sz w:val="21"/>
        </w:rPr>
        <w:t>A</w:t>
      </w:r>
      <w:r>
        <w:rPr>
          <w:color w:val="0C0C0C"/>
          <w:spacing w:val="-15"/>
          <w:w w:val="105"/>
          <w:sz w:val="21"/>
        </w:rPr>
        <w:t> </w:t>
      </w:r>
      <w:r>
        <w:rPr>
          <w:color w:val="0C0C0C"/>
          <w:w w:val="105"/>
          <w:sz w:val="21"/>
        </w:rPr>
        <w:t>summary</w:t>
      </w:r>
      <w:r>
        <w:rPr>
          <w:color w:val="0C0C0C"/>
          <w:spacing w:val="-1"/>
          <w:w w:val="105"/>
          <w:sz w:val="21"/>
        </w:rPr>
        <w:t> </w:t>
      </w:r>
      <w:r>
        <w:rPr>
          <w:color w:val="0C0C0C"/>
          <w:w w:val="105"/>
          <w:sz w:val="21"/>
        </w:rPr>
        <w:t>of</w:t>
      </w:r>
      <w:r>
        <w:rPr>
          <w:color w:val="0C0C0C"/>
          <w:spacing w:val="-16"/>
          <w:w w:val="105"/>
          <w:sz w:val="21"/>
        </w:rPr>
        <w:t> </w:t>
      </w:r>
      <w:r>
        <w:rPr>
          <w:color w:val="0C0C0C"/>
          <w:w w:val="105"/>
          <w:sz w:val="21"/>
        </w:rPr>
        <w:t>the</w:t>
      </w:r>
      <w:r>
        <w:rPr>
          <w:color w:val="0C0C0C"/>
          <w:spacing w:val="-15"/>
          <w:w w:val="105"/>
          <w:sz w:val="21"/>
        </w:rPr>
        <w:t> </w:t>
      </w:r>
      <w:r>
        <w:rPr>
          <w:color w:val="0C0C0C"/>
          <w:w w:val="105"/>
          <w:sz w:val="21"/>
        </w:rPr>
        <w:t>movement in</w:t>
      </w:r>
      <w:r>
        <w:rPr>
          <w:color w:val="0C0C0C"/>
          <w:spacing w:val="-14"/>
          <w:w w:val="105"/>
          <w:sz w:val="21"/>
        </w:rPr>
        <w:t> </w:t>
      </w:r>
      <w:r>
        <w:rPr>
          <w:color w:val="0C0C0C"/>
          <w:w w:val="105"/>
          <w:sz w:val="21"/>
        </w:rPr>
        <w:t>the</w:t>
      </w:r>
      <w:r>
        <w:rPr>
          <w:color w:val="0C0C0C"/>
          <w:spacing w:val="-15"/>
          <w:w w:val="105"/>
          <w:sz w:val="21"/>
        </w:rPr>
        <w:t> </w:t>
      </w:r>
      <w:r>
        <w:rPr>
          <w:color w:val="0C0C0C"/>
          <w:w w:val="105"/>
          <w:sz w:val="21"/>
        </w:rPr>
        <w:t>account during </w:t>
      </w:r>
      <w:r>
        <w:rPr>
          <w:color w:val="232323"/>
          <w:w w:val="105"/>
          <w:sz w:val="21"/>
        </w:rPr>
        <w:t>the </w:t>
      </w:r>
      <w:r>
        <w:rPr>
          <w:color w:val="0C0C0C"/>
          <w:w w:val="105"/>
          <w:sz w:val="21"/>
        </w:rPr>
        <w:t>year is as follows:</w:t>
      </w:r>
    </w:p>
    <w:p>
      <w:pPr>
        <w:pStyle w:val="BodyText"/>
        <w:rPr>
          <w:sz w:val="20"/>
        </w:rPr>
      </w:pPr>
    </w:p>
    <w:p>
      <w:pPr>
        <w:pStyle w:val="BodyText"/>
        <w:rPr>
          <w:sz w:val="20"/>
        </w:rPr>
      </w:pPr>
    </w:p>
    <w:p>
      <w:pPr>
        <w:pStyle w:val="BodyText"/>
        <w:spacing w:before="67"/>
        <w:rPr>
          <w:sz w:val="20"/>
        </w:rPr>
      </w:pPr>
    </w:p>
    <w:tbl>
      <w:tblPr>
        <w:tblW w:w="0" w:type="auto"/>
        <w:jc w:val="left"/>
        <w:tblInd w:w="1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88"/>
        <w:gridCol w:w="7096"/>
        <w:gridCol w:w="1307"/>
      </w:tblGrid>
      <w:tr>
        <w:trPr>
          <w:trHeight w:val="247" w:hRule="atLeast"/>
        </w:trPr>
        <w:tc>
          <w:tcPr>
            <w:tcW w:w="1288" w:type="dxa"/>
          </w:tcPr>
          <w:p>
            <w:pPr>
              <w:pStyle w:val="TableParagraph"/>
              <w:spacing w:line="227" w:lineRule="exact"/>
              <w:ind w:left="235"/>
              <w:rPr>
                <w:b/>
                <w:sz w:val="21"/>
              </w:rPr>
            </w:pPr>
            <w:r>
              <w:rPr>
                <w:b/>
                <w:color w:val="0C0C0C"/>
                <w:sz w:val="21"/>
              </w:rPr>
              <w:t>2021-</w:t>
            </w:r>
            <w:r>
              <w:rPr>
                <w:b/>
                <w:color w:val="0C0C0C"/>
                <w:spacing w:val="-5"/>
                <w:sz w:val="21"/>
              </w:rPr>
              <w:t>22</w:t>
            </w:r>
          </w:p>
        </w:tc>
        <w:tc>
          <w:tcPr>
            <w:tcW w:w="8403" w:type="dxa"/>
            <w:gridSpan w:val="2"/>
          </w:tcPr>
          <w:p>
            <w:pPr>
              <w:pStyle w:val="TableParagraph"/>
              <w:spacing w:line="227" w:lineRule="exact"/>
              <w:ind w:right="269"/>
              <w:jc w:val="right"/>
              <w:rPr>
                <w:b/>
                <w:sz w:val="21"/>
              </w:rPr>
            </w:pPr>
            <w:r>
              <w:rPr>
                <w:b/>
                <w:color w:val="0C0C0C"/>
                <w:sz w:val="21"/>
              </w:rPr>
              <w:t>2022-</w:t>
            </w:r>
            <w:r>
              <w:rPr>
                <w:b/>
                <w:color w:val="0C0C0C"/>
                <w:spacing w:val="-5"/>
                <w:sz w:val="21"/>
              </w:rPr>
              <w:t>23</w:t>
            </w:r>
          </w:p>
        </w:tc>
      </w:tr>
      <w:tr>
        <w:trPr>
          <w:trHeight w:val="247" w:hRule="atLeast"/>
        </w:trPr>
        <w:tc>
          <w:tcPr>
            <w:tcW w:w="1288" w:type="dxa"/>
          </w:tcPr>
          <w:p>
            <w:pPr>
              <w:pStyle w:val="TableParagraph"/>
              <w:spacing w:before="5" w:line="222" w:lineRule="exact"/>
              <w:ind w:left="392"/>
              <w:rPr>
                <w:b/>
                <w:sz w:val="21"/>
              </w:rPr>
            </w:pPr>
            <w:r>
              <w:rPr>
                <w:b/>
                <w:color w:val="0C0C0C"/>
                <w:spacing w:val="-4"/>
                <w:w w:val="105"/>
                <w:sz w:val="21"/>
              </w:rPr>
              <w:t>£000</w:t>
            </w:r>
          </w:p>
        </w:tc>
        <w:tc>
          <w:tcPr>
            <w:tcW w:w="8403" w:type="dxa"/>
            <w:gridSpan w:val="2"/>
          </w:tcPr>
          <w:p>
            <w:pPr>
              <w:pStyle w:val="TableParagraph"/>
              <w:spacing w:before="1" w:line="226" w:lineRule="exact"/>
              <w:ind w:right="424"/>
              <w:jc w:val="right"/>
              <w:rPr>
                <w:b/>
                <w:sz w:val="21"/>
              </w:rPr>
            </w:pPr>
            <w:r>
              <w:rPr>
                <w:b/>
                <w:color w:val="0C0C0C"/>
                <w:spacing w:val="-4"/>
                <w:w w:val="105"/>
                <w:sz w:val="21"/>
              </w:rPr>
              <w:t>£000</w:t>
            </w:r>
          </w:p>
        </w:tc>
      </w:tr>
      <w:tr>
        <w:trPr>
          <w:trHeight w:val="584" w:hRule="atLeast"/>
        </w:trPr>
        <w:tc>
          <w:tcPr>
            <w:tcW w:w="1288" w:type="dxa"/>
          </w:tcPr>
          <w:p>
            <w:pPr>
              <w:pStyle w:val="TableParagraph"/>
              <w:spacing w:before="69"/>
              <w:rPr>
                <w:sz w:val="21"/>
              </w:rPr>
            </w:pPr>
          </w:p>
          <w:p>
            <w:pPr>
              <w:pStyle w:val="TableParagraph"/>
              <w:ind w:right="129"/>
              <w:jc w:val="right"/>
              <w:rPr>
                <w:b/>
                <w:sz w:val="21"/>
              </w:rPr>
            </w:pPr>
            <w:r>
              <w:rPr>
                <w:b/>
                <w:color w:val="0C0C0C"/>
                <w:spacing w:val="-2"/>
                <w:w w:val="105"/>
                <w:sz w:val="21"/>
              </w:rPr>
              <w:t>(14,557)</w:t>
            </w:r>
          </w:p>
        </w:tc>
        <w:tc>
          <w:tcPr>
            <w:tcW w:w="7096" w:type="dxa"/>
          </w:tcPr>
          <w:p>
            <w:pPr>
              <w:pStyle w:val="TableParagraph"/>
              <w:spacing w:before="64"/>
              <w:rPr>
                <w:sz w:val="21"/>
              </w:rPr>
            </w:pPr>
          </w:p>
          <w:p>
            <w:pPr>
              <w:pStyle w:val="TableParagraph"/>
              <w:spacing w:before="1"/>
              <w:ind w:left="413"/>
              <w:rPr>
                <w:b/>
                <w:sz w:val="21"/>
              </w:rPr>
            </w:pPr>
            <w:r>
              <w:rPr>
                <w:b/>
                <w:color w:val="0C0C0C"/>
                <w:w w:val="105"/>
                <w:sz w:val="21"/>
              </w:rPr>
              <w:t>Balance</w:t>
            </w:r>
            <w:r>
              <w:rPr>
                <w:b/>
                <w:color w:val="0C0C0C"/>
                <w:spacing w:val="11"/>
                <w:w w:val="105"/>
                <w:sz w:val="21"/>
              </w:rPr>
              <w:t> </w:t>
            </w:r>
            <w:r>
              <w:rPr>
                <w:b/>
                <w:color w:val="0C0C0C"/>
                <w:w w:val="105"/>
                <w:sz w:val="21"/>
              </w:rPr>
              <w:t>as</w:t>
            </w:r>
            <w:r>
              <w:rPr>
                <w:b/>
                <w:color w:val="0C0C0C"/>
                <w:spacing w:val="-5"/>
                <w:w w:val="105"/>
                <w:sz w:val="21"/>
              </w:rPr>
              <w:t> </w:t>
            </w:r>
            <w:r>
              <w:rPr>
                <w:b/>
                <w:color w:val="0C0C0C"/>
                <w:w w:val="105"/>
                <w:sz w:val="21"/>
              </w:rPr>
              <w:t>at</w:t>
            </w:r>
            <w:r>
              <w:rPr>
                <w:b/>
                <w:color w:val="0C0C0C"/>
                <w:spacing w:val="-7"/>
                <w:w w:val="105"/>
                <w:sz w:val="21"/>
              </w:rPr>
              <w:t> </w:t>
            </w:r>
            <w:r>
              <w:rPr>
                <w:b/>
                <w:color w:val="0C0C0C"/>
                <w:w w:val="105"/>
                <w:sz w:val="21"/>
              </w:rPr>
              <w:t>1</w:t>
            </w:r>
            <w:r>
              <w:rPr>
                <w:b/>
                <w:color w:val="0C0C0C"/>
                <w:spacing w:val="-6"/>
                <w:w w:val="105"/>
                <w:sz w:val="21"/>
              </w:rPr>
              <w:t> </w:t>
            </w:r>
            <w:r>
              <w:rPr>
                <w:b/>
                <w:color w:val="0C0C0C"/>
                <w:spacing w:val="-2"/>
                <w:w w:val="105"/>
                <w:sz w:val="21"/>
              </w:rPr>
              <w:t>April</w:t>
            </w:r>
          </w:p>
        </w:tc>
        <w:tc>
          <w:tcPr>
            <w:tcW w:w="1307" w:type="dxa"/>
          </w:tcPr>
          <w:p>
            <w:pPr>
              <w:pStyle w:val="TableParagraph"/>
              <w:spacing w:before="64"/>
              <w:rPr>
                <w:sz w:val="21"/>
              </w:rPr>
            </w:pPr>
          </w:p>
          <w:p>
            <w:pPr>
              <w:pStyle w:val="TableParagraph"/>
              <w:spacing w:before="1"/>
              <w:ind w:right="135"/>
              <w:jc w:val="right"/>
              <w:rPr>
                <w:b/>
                <w:sz w:val="21"/>
              </w:rPr>
            </w:pPr>
            <w:r>
              <w:rPr>
                <w:b/>
                <w:color w:val="0C0C0C"/>
                <w:spacing w:val="-2"/>
                <w:w w:val="105"/>
                <w:sz w:val="21"/>
              </w:rPr>
              <w:t>(18,325)</w:t>
            </w:r>
          </w:p>
        </w:tc>
      </w:tr>
      <w:tr>
        <w:trPr>
          <w:trHeight w:val="588" w:hRule="atLeast"/>
        </w:trPr>
        <w:tc>
          <w:tcPr>
            <w:tcW w:w="1288" w:type="dxa"/>
          </w:tcPr>
          <w:p>
            <w:pPr>
              <w:pStyle w:val="TableParagraph"/>
              <w:spacing w:before="25"/>
              <w:ind w:right="126"/>
              <w:jc w:val="right"/>
              <w:rPr>
                <w:sz w:val="21"/>
              </w:rPr>
            </w:pPr>
            <w:r>
              <w:rPr>
                <w:color w:val="0C0C0C"/>
                <w:spacing w:val="-2"/>
                <w:w w:val="105"/>
                <w:sz w:val="21"/>
              </w:rPr>
              <w:t>(4,298)</w:t>
            </w:r>
          </w:p>
        </w:tc>
        <w:tc>
          <w:tcPr>
            <w:tcW w:w="7096" w:type="dxa"/>
          </w:tcPr>
          <w:p>
            <w:pPr>
              <w:pStyle w:val="TableParagraph"/>
              <w:spacing w:before="25" w:line="252" w:lineRule="auto"/>
              <w:ind w:left="413"/>
              <w:rPr>
                <w:sz w:val="21"/>
              </w:rPr>
            </w:pPr>
            <w:r>
              <w:rPr>
                <w:color w:val="0C0C0C"/>
                <w:w w:val="105"/>
                <w:sz w:val="21"/>
              </w:rPr>
              <w:t>Capital</w:t>
            </w:r>
            <w:r>
              <w:rPr>
                <w:color w:val="0C0C0C"/>
                <w:spacing w:val="-8"/>
                <w:w w:val="105"/>
                <w:sz w:val="21"/>
              </w:rPr>
              <w:t> </w:t>
            </w:r>
            <w:r>
              <w:rPr>
                <w:color w:val="232323"/>
                <w:w w:val="105"/>
                <w:sz w:val="21"/>
              </w:rPr>
              <w:t>grants</w:t>
            </w:r>
            <w:r>
              <w:rPr>
                <w:color w:val="232323"/>
                <w:spacing w:val="-5"/>
                <w:w w:val="105"/>
                <w:sz w:val="21"/>
              </w:rPr>
              <w:t> </w:t>
            </w:r>
            <w:r>
              <w:rPr>
                <w:color w:val="0C0C0C"/>
                <w:w w:val="105"/>
                <w:sz w:val="21"/>
              </w:rPr>
              <w:t>and</w:t>
            </w:r>
            <w:r>
              <w:rPr>
                <w:color w:val="0C0C0C"/>
                <w:spacing w:val="-9"/>
                <w:w w:val="105"/>
                <w:sz w:val="21"/>
              </w:rPr>
              <w:t> </w:t>
            </w:r>
            <w:r>
              <w:rPr>
                <w:color w:val="0C0C0C"/>
                <w:w w:val="105"/>
                <w:sz w:val="21"/>
              </w:rPr>
              <w:t>contributions </w:t>
            </w:r>
            <w:r>
              <w:rPr>
                <w:color w:val="232323"/>
                <w:w w:val="105"/>
                <w:sz w:val="21"/>
              </w:rPr>
              <w:t>unapplied credited</w:t>
            </w:r>
            <w:r>
              <w:rPr>
                <w:color w:val="232323"/>
                <w:spacing w:val="-9"/>
                <w:w w:val="105"/>
                <w:sz w:val="21"/>
              </w:rPr>
              <w:t> </w:t>
            </w:r>
            <w:r>
              <w:rPr>
                <w:color w:val="0C0C0C"/>
                <w:w w:val="105"/>
                <w:sz w:val="21"/>
              </w:rPr>
              <w:t>to</w:t>
            </w:r>
            <w:r>
              <w:rPr>
                <w:color w:val="0C0C0C"/>
                <w:spacing w:val="-13"/>
                <w:w w:val="105"/>
                <w:sz w:val="21"/>
              </w:rPr>
              <w:t> </w:t>
            </w:r>
            <w:r>
              <w:rPr>
                <w:color w:val="0C0C0C"/>
                <w:w w:val="105"/>
                <w:sz w:val="21"/>
              </w:rPr>
              <w:t>the Comp</w:t>
            </w:r>
            <w:r>
              <w:rPr>
                <w:color w:val="363636"/>
                <w:w w:val="105"/>
                <w:sz w:val="21"/>
              </w:rPr>
              <w:t>rehens</w:t>
            </w:r>
            <w:r>
              <w:rPr>
                <w:color w:val="0C0C0C"/>
                <w:w w:val="105"/>
                <w:sz w:val="21"/>
              </w:rPr>
              <w:t>ive Income and </w:t>
            </w:r>
            <w:r>
              <w:rPr>
                <w:color w:val="232323"/>
                <w:w w:val="105"/>
                <w:sz w:val="21"/>
              </w:rPr>
              <w:t>Expenditure Account</w:t>
            </w:r>
          </w:p>
        </w:tc>
        <w:tc>
          <w:tcPr>
            <w:tcW w:w="1307" w:type="dxa"/>
          </w:tcPr>
          <w:p>
            <w:pPr>
              <w:pStyle w:val="TableParagraph"/>
              <w:spacing w:before="25"/>
              <w:ind w:right="135"/>
              <w:jc w:val="right"/>
              <w:rPr>
                <w:sz w:val="21"/>
              </w:rPr>
            </w:pPr>
            <w:r>
              <w:rPr>
                <w:color w:val="0C0C0C"/>
                <w:spacing w:val="-2"/>
                <w:w w:val="105"/>
                <w:sz w:val="21"/>
              </w:rPr>
              <w:t>(3,112)</w:t>
            </w:r>
          </w:p>
        </w:tc>
      </w:tr>
      <w:tr>
        <w:trPr>
          <w:trHeight w:val="668" w:hRule="atLeast"/>
        </w:trPr>
        <w:tc>
          <w:tcPr>
            <w:tcW w:w="1288" w:type="dxa"/>
            <w:tcBorders>
              <w:bottom w:val="single" w:color="000000" w:sz="6" w:space="0"/>
            </w:tcBorders>
          </w:tcPr>
          <w:p>
            <w:pPr>
              <w:pStyle w:val="TableParagraph"/>
              <w:spacing w:before="65"/>
              <w:ind w:right="179"/>
              <w:jc w:val="right"/>
              <w:rPr>
                <w:sz w:val="21"/>
              </w:rPr>
            </w:pPr>
            <w:r>
              <w:rPr>
                <w:color w:val="0C0C0C"/>
                <w:spacing w:val="-5"/>
                <w:w w:val="105"/>
                <w:sz w:val="21"/>
              </w:rPr>
              <w:t>530</w:t>
            </w:r>
          </w:p>
        </w:tc>
        <w:tc>
          <w:tcPr>
            <w:tcW w:w="7096" w:type="dxa"/>
          </w:tcPr>
          <w:p>
            <w:pPr>
              <w:pStyle w:val="TableParagraph"/>
              <w:spacing w:before="61" w:line="252" w:lineRule="auto"/>
              <w:ind w:left="414"/>
              <w:rPr>
                <w:sz w:val="21"/>
              </w:rPr>
            </w:pPr>
            <w:r>
              <w:rPr>
                <w:color w:val="0C0C0C"/>
                <w:w w:val="105"/>
                <w:sz w:val="21"/>
              </w:rPr>
              <w:t>Application </w:t>
            </w:r>
            <w:r>
              <w:rPr>
                <w:color w:val="232323"/>
                <w:w w:val="105"/>
                <w:sz w:val="21"/>
              </w:rPr>
              <w:t>of grants</w:t>
            </w:r>
            <w:r>
              <w:rPr>
                <w:color w:val="232323"/>
                <w:spacing w:val="-2"/>
                <w:w w:val="105"/>
                <w:sz w:val="21"/>
              </w:rPr>
              <w:t> </w:t>
            </w:r>
            <w:r>
              <w:rPr>
                <w:color w:val="232323"/>
                <w:w w:val="105"/>
                <w:sz w:val="21"/>
              </w:rPr>
              <w:t>to</w:t>
            </w:r>
            <w:r>
              <w:rPr>
                <w:color w:val="232323"/>
                <w:spacing w:val="-8"/>
                <w:w w:val="105"/>
                <w:sz w:val="21"/>
              </w:rPr>
              <w:t> </w:t>
            </w:r>
            <w:r>
              <w:rPr>
                <w:color w:val="0C0C0C"/>
                <w:w w:val="105"/>
                <w:sz w:val="21"/>
              </w:rPr>
              <w:t>capital</w:t>
            </w:r>
            <w:r>
              <w:rPr>
                <w:color w:val="0C0C0C"/>
                <w:spacing w:val="-11"/>
                <w:w w:val="105"/>
                <w:sz w:val="21"/>
              </w:rPr>
              <w:t> </w:t>
            </w:r>
            <w:r>
              <w:rPr>
                <w:color w:val="0C0C0C"/>
                <w:w w:val="105"/>
                <w:sz w:val="21"/>
              </w:rPr>
              <w:t>financing</w:t>
            </w:r>
            <w:r>
              <w:rPr>
                <w:color w:val="0C0C0C"/>
                <w:spacing w:val="-1"/>
                <w:w w:val="105"/>
                <w:sz w:val="21"/>
              </w:rPr>
              <w:t> </w:t>
            </w:r>
            <w:r>
              <w:rPr>
                <w:color w:val="0C0C0C"/>
                <w:w w:val="105"/>
                <w:sz w:val="21"/>
              </w:rPr>
              <w:t>transferred to</w:t>
            </w:r>
            <w:r>
              <w:rPr>
                <w:color w:val="0C0C0C"/>
                <w:spacing w:val="-12"/>
                <w:w w:val="105"/>
                <w:sz w:val="21"/>
              </w:rPr>
              <w:t> </w:t>
            </w:r>
            <w:r>
              <w:rPr>
                <w:color w:val="0C0C0C"/>
                <w:w w:val="105"/>
                <w:sz w:val="21"/>
              </w:rPr>
              <w:t>the</w:t>
            </w:r>
            <w:r>
              <w:rPr>
                <w:color w:val="0C0C0C"/>
                <w:spacing w:val="-15"/>
                <w:w w:val="105"/>
                <w:sz w:val="21"/>
              </w:rPr>
              <w:t> </w:t>
            </w:r>
            <w:r>
              <w:rPr>
                <w:color w:val="0C0C0C"/>
                <w:w w:val="105"/>
                <w:sz w:val="21"/>
              </w:rPr>
              <w:t>Capital Adjustment</w:t>
            </w:r>
            <w:r>
              <w:rPr>
                <w:color w:val="0C0C0C"/>
                <w:w w:val="105"/>
                <w:sz w:val="21"/>
              </w:rPr>
              <w:t> </w:t>
            </w:r>
            <w:r>
              <w:rPr>
                <w:color w:val="232323"/>
                <w:w w:val="105"/>
                <w:sz w:val="21"/>
              </w:rPr>
              <w:t>Account</w:t>
            </w:r>
          </w:p>
        </w:tc>
        <w:tc>
          <w:tcPr>
            <w:tcW w:w="1307" w:type="dxa"/>
            <w:tcBorders>
              <w:bottom w:val="single" w:color="000000" w:sz="6" w:space="0"/>
            </w:tcBorders>
          </w:tcPr>
          <w:p>
            <w:pPr>
              <w:pStyle w:val="TableParagraph"/>
              <w:spacing w:before="61"/>
              <w:ind w:right="188"/>
              <w:jc w:val="right"/>
              <w:rPr>
                <w:sz w:val="21"/>
              </w:rPr>
            </w:pPr>
            <w:r>
              <w:rPr>
                <w:color w:val="0C0C0C"/>
                <w:spacing w:val="-4"/>
                <w:w w:val="105"/>
                <w:sz w:val="21"/>
              </w:rPr>
              <w:t>1,483</w:t>
            </w:r>
          </w:p>
        </w:tc>
      </w:tr>
      <w:tr>
        <w:trPr>
          <w:trHeight w:val="253" w:hRule="atLeast"/>
        </w:trPr>
        <w:tc>
          <w:tcPr>
            <w:tcW w:w="1288" w:type="dxa"/>
            <w:tcBorders>
              <w:top w:val="single" w:color="000000" w:sz="6" w:space="0"/>
            </w:tcBorders>
          </w:tcPr>
          <w:p>
            <w:pPr>
              <w:pStyle w:val="TableParagraph"/>
              <w:spacing w:before="11" w:line="222" w:lineRule="exact"/>
              <w:ind w:right="129"/>
              <w:jc w:val="right"/>
              <w:rPr>
                <w:b/>
                <w:sz w:val="21"/>
              </w:rPr>
            </w:pPr>
            <w:r>
              <w:rPr>
                <w:b/>
                <w:color w:val="0C0C0C"/>
                <w:spacing w:val="-2"/>
                <w:w w:val="105"/>
                <w:sz w:val="21"/>
                <w:u w:val="thick" w:color="0C0C0C"/>
              </w:rPr>
              <w:t>(18,325)</w:t>
            </w:r>
          </w:p>
        </w:tc>
        <w:tc>
          <w:tcPr>
            <w:tcW w:w="7096" w:type="dxa"/>
          </w:tcPr>
          <w:p>
            <w:pPr>
              <w:pStyle w:val="TableParagraph"/>
              <w:spacing w:before="11" w:line="222" w:lineRule="exact"/>
              <w:ind w:left="417"/>
              <w:rPr>
                <w:b/>
                <w:sz w:val="21"/>
              </w:rPr>
            </w:pPr>
            <w:r>
              <w:rPr>
                <w:b/>
                <w:color w:val="0C0C0C"/>
                <w:w w:val="105"/>
                <w:sz w:val="21"/>
              </w:rPr>
              <w:t>Balance</w:t>
            </w:r>
            <w:r>
              <w:rPr>
                <w:b/>
                <w:color w:val="0C0C0C"/>
                <w:spacing w:val="1"/>
                <w:w w:val="105"/>
                <w:sz w:val="21"/>
              </w:rPr>
              <w:t> </w:t>
            </w:r>
            <w:r>
              <w:rPr>
                <w:b/>
                <w:color w:val="0C0C0C"/>
                <w:w w:val="105"/>
                <w:sz w:val="21"/>
              </w:rPr>
              <w:t>as</w:t>
            </w:r>
            <w:r>
              <w:rPr>
                <w:b/>
                <w:color w:val="0C0C0C"/>
                <w:spacing w:val="-4"/>
                <w:w w:val="105"/>
                <w:sz w:val="21"/>
              </w:rPr>
              <w:t> </w:t>
            </w:r>
            <w:r>
              <w:rPr>
                <w:b/>
                <w:color w:val="0C0C0C"/>
                <w:w w:val="105"/>
                <w:sz w:val="21"/>
              </w:rPr>
              <w:t>at</w:t>
            </w:r>
            <w:r>
              <w:rPr>
                <w:b/>
                <w:color w:val="0C0C0C"/>
                <w:spacing w:val="-8"/>
                <w:w w:val="105"/>
                <w:sz w:val="21"/>
              </w:rPr>
              <w:t> </w:t>
            </w:r>
            <w:r>
              <w:rPr>
                <w:b/>
                <w:color w:val="0C0C0C"/>
                <w:w w:val="105"/>
                <w:sz w:val="21"/>
              </w:rPr>
              <w:t>31</w:t>
            </w:r>
            <w:r>
              <w:rPr>
                <w:b/>
                <w:color w:val="0C0C0C"/>
                <w:spacing w:val="-4"/>
                <w:w w:val="105"/>
                <w:sz w:val="21"/>
              </w:rPr>
              <w:t> </w:t>
            </w:r>
            <w:r>
              <w:rPr>
                <w:b/>
                <w:color w:val="0C0C0C"/>
                <w:spacing w:val="-2"/>
                <w:w w:val="105"/>
                <w:sz w:val="21"/>
              </w:rPr>
              <w:t>March</w:t>
            </w:r>
          </w:p>
        </w:tc>
        <w:tc>
          <w:tcPr>
            <w:tcW w:w="1307" w:type="dxa"/>
            <w:tcBorders>
              <w:top w:val="single" w:color="000000" w:sz="6" w:space="0"/>
            </w:tcBorders>
          </w:tcPr>
          <w:p>
            <w:pPr>
              <w:pStyle w:val="TableParagraph"/>
              <w:spacing w:before="11" w:line="222" w:lineRule="exact"/>
              <w:ind w:right="122"/>
              <w:jc w:val="right"/>
              <w:rPr>
                <w:b/>
                <w:sz w:val="21"/>
              </w:rPr>
            </w:pPr>
            <w:r>
              <w:rPr>
                <w:b/>
                <w:color w:val="0C0C0C"/>
                <w:spacing w:val="-2"/>
                <w:w w:val="105"/>
                <w:sz w:val="21"/>
                <w:u w:val="thick" w:color="0C0C0C"/>
              </w:rPr>
              <w:t>(19,954)</w:t>
            </w:r>
          </w:p>
        </w:tc>
      </w:tr>
    </w:tbl>
    <w:p>
      <w:pPr>
        <w:pStyle w:val="BodyText"/>
        <w:spacing w:before="86"/>
        <w:rPr>
          <w:sz w:val="21"/>
        </w:rPr>
      </w:pPr>
    </w:p>
    <w:p>
      <w:pPr>
        <w:spacing w:before="0"/>
        <w:ind w:left="999" w:right="0" w:firstLine="0"/>
        <w:jc w:val="left"/>
        <w:rPr>
          <w:sz w:val="21"/>
        </w:rPr>
      </w:pPr>
      <w:r>
        <w:rPr>
          <w:color w:val="0C0C0C"/>
          <w:w w:val="105"/>
          <w:sz w:val="21"/>
        </w:rPr>
        <w:t>The</w:t>
      </w:r>
      <w:r>
        <w:rPr>
          <w:color w:val="0C0C0C"/>
          <w:spacing w:val="-16"/>
          <w:w w:val="105"/>
          <w:sz w:val="21"/>
        </w:rPr>
        <w:t> </w:t>
      </w:r>
      <w:r>
        <w:rPr>
          <w:color w:val="0C0C0C"/>
          <w:w w:val="105"/>
          <w:sz w:val="21"/>
        </w:rPr>
        <w:t>balance</w:t>
      </w:r>
      <w:r>
        <w:rPr>
          <w:color w:val="0C0C0C"/>
          <w:spacing w:val="-2"/>
          <w:w w:val="105"/>
          <w:sz w:val="21"/>
        </w:rPr>
        <w:t> </w:t>
      </w:r>
      <w:r>
        <w:rPr>
          <w:color w:val="0C0C0C"/>
          <w:w w:val="105"/>
          <w:sz w:val="21"/>
        </w:rPr>
        <w:t>above</w:t>
      </w:r>
      <w:r>
        <w:rPr>
          <w:color w:val="0C0C0C"/>
          <w:spacing w:val="-6"/>
          <w:w w:val="105"/>
          <w:sz w:val="21"/>
        </w:rPr>
        <w:t> </w:t>
      </w:r>
      <w:r>
        <w:rPr>
          <w:color w:val="232323"/>
          <w:w w:val="105"/>
          <w:sz w:val="21"/>
        </w:rPr>
        <w:t>includes</w:t>
      </w:r>
      <w:r>
        <w:rPr>
          <w:color w:val="232323"/>
          <w:spacing w:val="1"/>
          <w:w w:val="105"/>
          <w:sz w:val="21"/>
        </w:rPr>
        <w:t> </w:t>
      </w:r>
      <w:r>
        <w:rPr>
          <w:color w:val="0C0C0C"/>
          <w:w w:val="105"/>
          <w:sz w:val="21"/>
        </w:rPr>
        <w:t>Community</w:t>
      </w:r>
      <w:r>
        <w:rPr>
          <w:color w:val="0C0C0C"/>
          <w:spacing w:val="3"/>
          <w:w w:val="105"/>
          <w:sz w:val="21"/>
        </w:rPr>
        <w:t> </w:t>
      </w:r>
      <w:r>
        <w:rPr>
          <w:color w:val="0C0C0C"/>
          <w:w w:val="105"/>
          <w:sz w:val="21"/>
        </w:rPr>
        <w:t>Infrastructure</w:t>
      </w:r>
      <w:r>
        <w:rPr>
          <w:color w:val="0C0C0C"/>
          <w:spacing w:val="-15"/>
          <w:w w:val="105"/>
          <w:sz w:val="21"/>
        </w:rPr>
        <w:t> </w:t>
      </w:r>
      <w:r>
        <w:rPr>
          <w:color w:val="0C0C0C"/>
          <w:w w:val="105"/>
          <w:sz w:val="21"/>
        </w:rPr>
        <w:t>Levy</w:t>
      </w:r>
      <w:r>
        <w:rPr>
          <w:color w:val="0C0C0C"/>
          <w:spacing w:val="-8"/>
          <w:w w:val="105"/>
          <w:sz w:val="21"/>
        </w:rPr>
        <w:t> </w:t>
      </w:r>
      <w:r>
        <w:rPr>
          <w:color w:val="0C0C0C"/>
          <w:w w:val="105"/>
          <w:sz w:val="21"/>
        </w:rPr>
        <w:t>(CIL)</w:t>
      </w:r>
      <w:r>
        <w:rPr>
          <w:color w:val="0C0C0C"/>
          <w:spacing w:val="-1"/>
          <w:w w:val="105"/>
          <w:sz w:val="21"/>
        </w:rPr>
        <w:t> </w:t>
      </w:r>
      <w:r>
        <w:rPr>
          <w:color w:val="0C0C0C"/>
          <w:w w:val="105"/>
          <w:sz w:val="21"/>
        </w:rPr>
        <w:t>funding</w:t>
      </w:r>
      <w:r>
        <w:rPr>
          <w:color w:val="0C0C0C"/>
          <w:spacing w:val="-6"/>
          <w:w w:val="105"/>
          <w:sz w:val="21"/>
        </w:rPr>
        <w:t> </w:t>
      </w:r>
      <w:r>
        <w:rPr>
          <w:color w:val="0C0C0C"/>
          <w:w w:val="105"/>
          <w:sz w:val="21"/>
        </w:rPr>
        <w:t>of</w:t>
      </w:r>
      <w:r>
        <w:rPr>
          <w:color w:val="0C0C0C"/>
          <w:spacing w:val="-7"/>
          <w:w w:val="105"/>
          <w:sz w:val="21"/>
        </w:rPr>
        <w:t> </w:t>
      </w:r>
      <w:r>
        <w:rPr>
          <w:color w:val="0C0C0C"/>
          <w:w w:val="105"/>
          <w:sz w:val="21"/>
        </w:rPr>
        <w:t>£19,384k</w:t>
      </w:r>
      <w:r>
        <w:rPr>
          <w:color w:val="0C0C0C"/>
          <w:spacing w:val="9"/>
          <w:w w:val="105"/>
          <w:sz w:val="21"/>
        </w:rPr>
        <w:t> </w:t>
      </w:r>
      <w:r>
        <w:rPr>
          <w:color w:val="0C0C0C"/>
          <w:spacing w:val="-2"/>
          <w:w w:val="105"/>
          <w:sz w:val="21"/>
        </w:rPr>
        <w:t>(2021/22</w:t>
      </w:r>
    </w:p>
    <w:p>
      <w:pPr>
        <w:spacing w:before="51"/>
        <w:ind w:left="1002" w:right="0" w:firstLine="0"/>
        <w:jc w:val="left"/>
        <w:rPr>
          <w:sz w:val="21"/>
        </w:rPr>
      </w:pPr>
      <w:r>
        <w:rPr>
          <w:color w:val="0C0C0C"/>
          <w:spacing w:val="-2"/>
          <w:w w:val="105"/>
          <w:sz w:val="21"/>
        </w:rPr>
        <w:t>£17,326k).</w:t>
      </w:r>
    </w:p>
    <w:p>
      <w:pPr>
        <w:spacing w:after="0"/>
        <w:jc w:val="left"/>
        <w:rPr>
          <w:sz w:val="21"/>
        </w:rPr>
        <w:sectPr>
          <w:headerReference w:type="default" r:id="rId214"/>
          <w:footerReference w:type="default" r:id="rId215"/>
          <w:footerReference w:type="even" r:id="rId216"/>
          <w:pgSz w:w="11910" w:h="16830"/>
          <w:pgMar w:top="640" w:right="340" w:bottom="1360" w:left="0" w:header="0" w:footer="1166"/>
          <w:pgNumType w:start="101"/>
        </w:sectPr>
      </w:pPr>
    </w:p>
    <w:p>
      <w:pPr>
        <w:pStyle w:val="BodyText"/>
        <w:spacing w:line="134" w:lineRule="exact"/>
        <w:ind w:left="1745"/>
        <w:rPr>
          <w:sz w:val="13"/>
        </w:rPr>
      </w:pPr>
      <w:r>
        <w:rPr>
          <w:position w:val="-2"/>
          <w:sz w:val="13"/>
        </w:rPr>
        <w:drawing>
          <wp:inline distT="0" distB="0" distL="0" distR="0">
            <wp:extent cx="1338703" cy="85344"/>
            <wp:effectExtent l="0" t="0" r="0" b="0"/>
            <wp:docPr id="569" name="Image 569"/>
            <wp:cNvGraphicFramePr>
              <a:graphicFrameLocks/>
            </wp:cNvGraphicFramePr>
            <a:graphic>
              <a:graphicData uri="http://schemas.openxmlformats.org/drawingml/2006/picture">
                <pic:pic>
                  <pic:nvPicPr>
                    <pic:cNvPr id="569" name="Image 569"/>
                    <pic:cNvPicPr/>
                  </pic:nvPicPr>
                  <pic:blipFill>
                    <a:blip r:embed="rId218" cstate="print"/>
                    <a:stretch>
                      <a:fillRect/>
                    </a:stretch>
                  </pic:blipFill>
                  <pic:spPr>
                    <a:xfrm>
                      <a:off x="0" y="0"/>
                      <a:ext cx="1338703" cy="85344"/>
                    </a:xfrm>
                    <a:prstGeom prst="rect">
                      <a:avLst/>
                    </a:prstGeom>
                  </pic:spPr>
                </pic:pic>
              </a:graphicData>
            </a:graphic>
          </wp:inline>
        </w:drawing>
      </w:r>
      <w:r>
        <w:rPr>
          <w:position w:val="-2"/>
          <w:sz w:val="13"/>
        </w:rPr>
      </w:r>
    </w:p>
    <w:p>
      <w:pPr>
        <w:pStyle w:val="BodyText"/>
        <w:spacing w:before="11"/>
      </w:pPr>
    </w:p>
    <w:p>
      <w:pPr>
        <w:pStyle w:val="Heading3"/>
        <w:numPr>
          <w:ilvl w:val="1"/>
          <w:numId w:val="21"/>
        </w:numPr>
        <w:tabs>
          <w:tab w:val="left" w:leader="none" w:pos="2065"/>
        </w:tabs>
        <w:spacing w:before="0" w:after="0" w:line="240" w:lineRule="auto"/>
        <w:ind w:left="2065" w:right="0" w:hanging="859"/>
        <w:jc w:val="left"/>
        <w:rPr>
          <w:color w:val="595959"/>
        </w:rPr>
      </w:pPr>
      <w:r>
        <w:rPr>
          <w:color w:val="595959"/>
        </w:rPr>
        <w:t>Unusable</w:t>
      </w:r>
      <w:r>
        <w:rPr>
          <w:color w:val="595959"/>
          <w:spacing w:val="-7"/>
        </w:rPr>
        <w:t> </w:t>
      </w:r>
      <w:r>
        <w:rPr>
          <w:color w:val="595959"/>
          <w:spacing w:val="-2"/>
        </w:rPr>
        <w:t>Reserves</w:t>
      </w:r>
    </w:p>
    <w:p>
      <w:pPr>
        <w:pStyle w:val="BodyText"/>
        <w:spacing w:before="233" w:after="4" w:line="276" w:lineRule="auto"/>
        <w:ind w:left="1194" w:right="872" w:firstLine="4"/>
        <w:jc w:val="both"/>
      </w:pPr>
      <w:r>
        <w:rPr>
          <w:color w:val="0C0C0C"/>
        </w:rPr>
        <w:t>Unusable Reserves are those reserves that the council cannot use to provide services. This category of reserves includes reserves that hold unrealised gains and losses (e.g. Revaluation Reserve)</w:t>
      </w:r>
      <w:r>
        <w:rPr>
          <w:color w:val="0C0C0C"/>
          <w:spacing w:val="39"/>
        </w:rPr>
        <w:t> </w:t>
      </w:r>
      <w:r>
        <w:rPr>
          <w:color w:val="0C0C0C"/>
        </w:rPr>
        <w:t>where</w:t>
      </w:r>
      <w:r>
        <w:rPr>
          <w:color w:val="0C0C0C"/>
          <w:spacing w:val="23"/>
        </w:rPr>
        <w:t> </w:t>
      </w:r>
      <w:r>
        <w:rPr>
          <w:color w:val="0C0C0C"/>
        </w:rPr>
        <w:t>the</w:t>
      </w:r>
      <w:r>
        <w:rPr>
          <w:color w:val="0C0C0C"/>
          <w:spacing w:val="20"/>
        </w:rPr>
        <w:t> </w:t>
      </w:r>
      <w:r>
        <w:rPr>
          <w:color w:val="0C0C0C"/>
        </w:rPr>
        <w:t>amounts</w:t>
      </w:r>
      <w:r>
        <w:rPr>
          <w:color w:val="0C0C0C"/>
          <w:spacing w:val="35"/>
        </w:rPr>
        <w:t> </w:t>
      </w:r>
      <w:r>
        <w:rPr>
          <w:color w:val="0C0C0C"/>
        </w:rPr>
        <w:t>would</w:t>
      </w:r>
      <w:r>
        <w:rPr>
          <w:color w:val="0C0C0C"/>
          <w:spacing w:val="29"/>
        </w:rPr>
        <w:t> </w:t>
      </w:r>
      <w:r>
        <w:rPr>
          <w:color w:val="0C0C0C"/>
        </w:rPr>
        <w:t>only</w:t>
      </w:r>
      <w:r>
        <w:rPr>
          <w:color w:val="0C0C0C"/>
          <w:spacing w:val="25"/>
        </w:rPr>
        <w:t> </w:t>
      </w:r>
      <w:r>
        <w:rPr>
          <w:color w:val="0C0C0C"/>
        </w:rPr>
        <w:t>become</w:t>
      </w:r>
      <w:r>
        <w:rPr>
          <w:color w:val="0C0C0C"/>
          <w:spacing w:val="34"/>
        </w:rPr>
        <w:t> </w:t>
      </w:r>
      <w:r>
        <w:rPr>
          <w:color w:val="0C0C0C"/>
        </w:rPr>
        <w:t>available</w:t>
      </w:r>
      <w:r>
        <w:rPr>
          <w:color w:val="0C0C0C"/>
          <w:spacing w:val="33"/>
        </w:rPr>
        <w:t> </w:t>
      </w:r>
      <w:r>
        <w:rPr>
          <w:color w:val="0C0C0C"/>
        </w:rPr>
        <w:t>for</w:t>
      </w:r>
      <w:r>
        <w:rPr>
          <w:color w:val="0C0C0C"/>
          <w:spacing w:val="18"/>
        </w:rPr>
        <w:t> </w:t>
      </w:r>
      <w:r>
        <w:rPr>
          <w:color w:val="0C0C0C"/>
        </w:rPr>
        <w:t>use</w:t>
      </w:r>
      <w:r>
        <w:rPr>
          <w:color w:val="0C0C0C"/>
          <w:spacing w:val="19"/>
        </w:rPr>
        <w:t> </w:t>
      </w:r>
      <w:r>
        <w:rPr>
          <w:color w:val="0C0C0C"/>
        </w:rPr>
        <w:t>when</w:t>
      </w:r>
      <w:r>
        <w:rPr>
          <w:color w:val="0C0C0C"/>
          <w:spacing w:val="29"/>
        </w:rPr>
        <w:t> </w:t>
      </w:r>
      <w:r>
        <w:rPr>
          <w:color w:val="0C0C0C"/>
        </w:rPr>
        <w:t>assets</w:t>
      </w:r>
      <w:r>
        <w:rPr>
          <w:color w:val="0C0C0C"/>
          <w:spacing w:val="29"/>
        </w:rPr>
        <w:t> </w:t>
      </w:r>
      <w:r>
        <w:rPr>
          <w:color w:val="0C0C0C"/>
        </w:rPr>
        <w:t>are</w:t>
      </w:r>
      <w:r>
        <w:rPr>
          <w:color w:val="0C0C0C"/>
          <w:spacing w:val="20"/>
        </w:rPr>
        <w:t> </w:t>
      </w:r>
      <w:r>
        <w:rPr>
          <w:color w:val="0C0C0C"/>
        </w:rPr>
        <w:t>sold;</w:t>
      </w:r>
      <w:r>
        <w:rPr>
          <w:color w:val="0C0C0C"/>
          <w:spacing w:val="24"/>
        </w:rPr>
        <w:t> </w:t>
      </w:r>
      <w:r>
        <w:rPr>
          <w:color w:val="0C0C0C"/>
          <w:spacing w:val="-5"/>
        </w:rPr>
        <w:t>and</w:t>
      </w:r>
    </w:p>
    <w:tbl>
      <w:tblPr>
        <w:tblW w:w="0" w:type="auto"/>
        <w:jc w:val="left"/>
        <w:tblInd w:w="114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038"/>
        <w:gridCol w:w="1737"/>
      </w:tblGrid>
      <w:tr>
        <w:trPr>
          <w:trHeight w:val="788" w:hRule="atLeast"/>
        </w:trPr>
        <w:tc>
          <w:tcPr>
            <w:tcW w:w="8038" w:type="dxa"/>
          </w:tcPr>
          <w:p>
            <w:pPr>
              <w:pStyle w:val="TableParagraph"/>
              <w:spacing w:line="283" w:lineRule="auto"/>
              <w:ind w:left="47" w:firstLine="5"/>
              <w:rPr>
                <w:sz w:val="22"/>
              </w:rPr>
            </w:pPr>
            <w:r>
              <w:rPr>
                <w:color w:val="0C0C0C"/>
                <w:sz w:val="22"/>
              </w:rPr>
              <w:t>reserves</w:t>
            </w:r>
            <w:r>
              <w:rPr>
                <w:color w:val="0C0C0C"/>
                <w:spacing w:val="74"/>
                <w:sz w:val="22"/>
              </w:rPr>
              <w:t> </w:t>
            </w:r>
            <w:r>
              <w:rPr>
                <w:color w:val="0C0C0C"/>
                <w:sz w:val="22"/>
              </w:rPr>
              <w:t>that</w:t>
            </w:r>
            <w:r>
              <w:rPr>
                <w:color w:val="0C0C0C"/>
                <w:spacing w:val="40"/>
                <w:sz w:val="22"/>
              </w:rPr>
              <w:t> </w:t>
            </w:r>
            <w:r>
              <w:rPr>
                <w:color w:val="0C0C0C"/>
                <w:sz w:val="22"/>
              </w:rPr>
              <w:t>hold</w:t>
            </w:r>
            <w:r>
              <w:rPr>
                <w:color w:val="0C0C0C"/>
                <w:spacing w:val="40"/>
                <w:sz w:val="22"/>
              </w:rPr>
              <w:t> </w:t>
            </w:r>
            <w:r>
              <w:rPr>
                <w:color w:val="0C0C0C"/>
                <w:sz w:val="22"/>
              </w:rPr>
              <w:t>timing</w:t>
            </w:r>
            <w:r>
              <w:rPr>
                <w:color w:val="0C0C0C"/>
                <w:spacing w:val="73"/>
                <w:sz w:val="22"/>
              </w:rPr>
              <w:t> </w:t>
            </w:r>
            <w:r>
              <w:rPr>
                <w:color w:val="0C0C0C"/>
                <w:sz w:val="22"/>
              </w:rPr>
              <w:t>differences</w:t>
            </w:r>
            <w:r>
              <w:rPr>
                <w:color w:val="0C0C0C"/>
                <w:spacing w:val="77"/>
                <w:sz w:val="22"/>
              </w:rPr>
              <w:t> </w:t>
            </w:r>
            <w:r>
              <w:rPr>
                <w:color w:val="0C0C0C"/>
                <w:sz w:val="22"/>
              </w:rPr>
              <w:t>shown</w:t>
            </w:r>
            <w:r>
              <w:rPr>
                <w:color w:val="0C0C0C"/>
                <w:spacing w:val="73"/>
                <w:sz w:val="22"/>
              </w:rPr>
              <w:t> </w:t>
            </w:r>
            <w:r>
              <w:rPr>
                <w:color w:val="0C0C0C"/>
                <w:sz w:val="22"/>
              </w:rPr>
              <w:t>in</w:t>
            </w:r>
            <w:r>
              <w:rPr>
                <w:color w:val="0C0C0C"/>
                <w:spacing w:val="40"/>
                <w:sz w:val="22"/>
              </w:rPr>
              <w:t> </w:t>
            </w:r>
            <w:r>
              <w:rPr>
                <w:color w:val="0C0C0C"/>
                <w:sz w:val="22"/>
              </w:rPr>
              <w:t>the</w:t>
            </w:r>
            <w:r>
              <w:rPr>
                <w:color w:val="0C0C0C"/>
                <w:spacing w:val="40"/>
                <w:sz w:val="22"/>
              </w:rPr>
              <w:t> </w:t>
            </w:r>
            <w:r>
              <w:rPr>
                <w:color w:val="0C0C0C"/>
                <w:sz w:val="22"/>
              </w:rPr>
              <w:t>Movement</w:t>
            </w:r>
            <w:r>
              <w:rPr>
                <w:color w:val="0C0C0C"/>
                <w:spacing w:val="80"/>
                <w:sz w:val="22"/>
              </w:rPr>
              <w:t> </w:t>
            </w:r>
            <w:r>
              <w:rPr>
                <w:color w:val="0C0C0C"/>
                <w:sz w:val="22"/>
              </w:rPr>
              <w:t>in</w:t>
            </w:r>
            <w:r>
              <w:rPr>
                <w:color w:val="0C0C0C"/>
                <w:spacing w:val="40"/>
                <w:sz w:val="22"/>
              </w:rPr>
              <w:t> </w:t>
            </w:r>
            <w:r>
              <w:rPr>
                <w:color w:val="0C0C0C"/>
                <w:sz w:val="22"/>
              </w:rPr>
              <w:t>Reserves "Adjustments between accounting and</w:t>
            </w:r>
            <w:r>
              <w:rPr>
                <w:color w:val="0C0C0C"/>
                <w:spacing w:val="-7"/>
                <w:sz w:val="22"/>
              </w:rPr>
              <w:t> </w:t>
            </w:r>
            <w:r>
              <w:rPr>
                <w:color w:val="0C0C0C"/>
                <w:sz w:val="22"/>
              </w:rPr>
              <w:t>funding basis under regulations".</w:t>
            </w:r>
          </w:p>
        </w:tc>
        <w:tc>
          <w:tcPr>
            <w:tcW w:w="1737" w:type="dxa"/>
          </w:tcPr>
          <w:p>
            <w:pPr>
              <w:pStyle w:val="TableParagraph"/>
              <w:spacing w:line="246" w:lineRule="exact"/>
              <w:ind w:left="33"/>
              <w:rPr>
                <w:sz w:val="22"/>
              </w:rPr>
            </w:pPr>
            <w:r>
              <w:rPr>
                <w:color w:val="0C0C0C"/>
                <w:sz w:val="22"/>
              </w:rPr>
              <w:t>Statement</w:t>
            </w:r>
            <w:r>
              <w:rPr>
                <w:color w:val="0C0C0C"/>
                <w:spacing w:val="52"/>
                <w:sz w:val="22"/>
              </w:rPr>
              <w:t> </w:t>
            </w:r>
            <w:r>
              <w:rPr>
                <w:color w:val="0C0C0C"/>
                <w:spacing w:val="-4"/>
                <w:sz w:val="22"/>
              </w:rPr>
              <w:t>line</w:t>
            </w:r>
          </w:p>
        </w:tc>
      </w:tr>
      <w:tr>
        <w:trPr>
          <w:trHeight w:val="494" w:hRule="atLeast"/>
        </w:trPr>
        <w:tc>
          <w:tcPr>
            <w:tcW w:w="8038" w:type="dxa"/>
          </w:tcPr>
          <w:p>
            <w:pPr>
              <w:pStyle w:val="TableParagraph"/>
              <w:spacing w:before="242" w:line="233" w:lineRule="exact"/>
              <w:ind w:left="299"/>
              <w:rPr>
                <w:b/>
                <w:sz w:val="22"/>
              </w:rPr>
            </w:pPr>
            <w:r>
              <w:rPr>
                <w:b/>
                <w:color w:val="0C0C0C"/>
                <w:sz w:val="22"/>
              </w:rPr>
              <w:t>31</w:t>
            </w:r>
            <w:r>
              <w:rPr>
                <w:b/>
                <w:color w:val="0C0C0C"/>
                <w:spacing w:val="-3"/>
                <w:sz w:val="22"/>
              </w:rPr>
              <w:t> </w:t>
            </w:r>
            <w:r>
              <w:rPr>
                <w:b/>
                <w:color w:val="0C0C0C"/>
                <w:spacing w:val="-2"/>
                <w:sz w:val="22"/>
              </w:rPr>
              <w:t>March</w:t>
            </w:r>
          </w:p>
        </w:tc>
        <w:tc>
          <w:tcPr>
            <w:tcW w:w="1737" w:type="dxa"/>
          </w:tcPr>
          <w:p>
            <w:pPr>
              <w:pStyle w:val="TableParagraph"/>
              <w:spacing w:before="237" w:line="237" w:lineRule="exact"/>
              <w:ind w:right="50"/>
              <w:jc w:val="right"/>
              <w:rPr>
                <w:b/>
                <w:sz w:val="22"/>
              </w:rPr>
            </w:pPr>
            <w:r>
              <w:rPr>
                <w:b/>
                <w:color w:val="0C0C0C"/>
                <w:sz w:val="22"/>
              </w:rPr>
              <w:t>31</w:t>
            </w:r>
            <w:r>
              <w:rPr>
                <w:b/>
                <w:color w:val="0C0C0C"/>
                <w:spacing w:val="-3"/>
                <w:sz w:val="22"/>
              </w:rPr>
              <w:t> </w:t>
            </w:r>
            <w:r>
              <w:rPr>
                <w:b/>
                <w:color w:val="0C0C0C"/>
                <w:spacing w:val="-2"/>
                <w:sz w:val="22"/>
              </w:rPr>
              <w:t>March</w:t>
            </w:r>
          </w:p>
        </w:tc>
      </w:tr>
      <w:tr>
        <w:trPr>
          <w:trHeight w:val="336" w:hRule="atLeast"/>
        </w:trPr>
        <w:tc>
          <w:tcPr>
            <w:tcW w:w="8038" w:type="dxa"/>
          </w:tcPr>
          <w:p>
            <w:pPr>
              <w:pStyle w:val="TableParagraph"/>
              <w:tabs>
                <w:tab w:val="left" w:leader="none" w:pos="6931"/>
              </w:tabs>
              <w:spacing w:line="250" w:lineRule="exact"/>
              <w:ind w:right="81"/>
              <w:jc w:val="right"/>
              <w:rPr>
                <w:b/>
                <w:sz w:val="22"/>
              </w:rPr>
            </w:pPr>
            <w:r>
              <w:rPr>
                <w:b/>
                <w:color w:val="0C0C0C"/>
                <w:spacing w:val="-4"/>
                <w:sz w:val="22"/>
              </w:rPr>
              <w:t>2022</w:t>
            </w:r>
            <w:r>
              <w:rPr>
                <w:b/>
                <w:color w:val="0C0C0C"/>
                <w:sz w:val="22"/>
              </w:rPr>
              <w:tab/>
            </w:r>
            <w:r>
              <w:rPr>
                <w:b/>
                <w:color w:val="0C0C0C"/>
                <w:spacing w:val="-4"/>
                <w:sz w:val="22"/>
              </w:rPr>
              <w:t>Note</w:t>
            </w:r>
          </w:p>
        </w:tc>
        <w:tc>
          <w:tcPr>
            <w:tcW w:w="1737" w:type="dxa"/>
          </w:tcPr>
          <w:p>
            <w:pPr>
              <w:pStyle w:val="TableParagraph"/>
              <w:spacing w:line="246" w:lineRule="exact"/>
              <w:ind w:left="971"/>
              <w:rPr>
                <w:b/>
                <w:sz w:val="22"/>
              </w:rPr>
            </w:pPr>
            <w:r>
              <w:rPr>
                <w:b/>
                <w:color w:val="0C0C0C"/>
                <w:spacing w:val="-4"/>
                <w:sz w:val="22"/>
              </w:rPr>
              <w:t>2023</w:t>
            </w:r>
          </w:p>
        </w:tc>
      </w:tr>
      <w:tr>
        <w:trPr>
          <w:trHeight w:val="360" w:hRule="atLeast"/>
        </w:trPr>
        <w:tc>
          <w:tcPr>
            <w:tcW w:w="8038" w:type="dxa"/>
          </w:tcPr>
          <w:p>
            <w:pPr>
              <w:pStyle w:val="TableParagraph"/>
              <w:spacing w:before="84"/>
              <w:ind w:left="522"/>
              <w:rPr>
                <w:b/>
                <w:sz w:val="22"/>
              </w:rPr>
            </w:pPr>
            <w:r>
              <w:rPr>
                <w:b/>
                <w:color w:val="0C0C0C"/>
                <w:spacing w:val="-4"/>
                <w:sz w:val="22"/>
              </w:rPr>
              <w:t>£000</w:t>
            </w:r>
          </w:p>
        </w:tc>
        <w:tc>
          <w:tcPr>
            <w:tcW w:w="1737" w:type="dxa"/>
          </w:tcPr>
          <w:p>
            <w:pPr>
              <w:pStyle w:val="TableParagraph"/>
              <w:spacing w:before="79"/>
              <w:ind w:left="965"/>
              <w:rPr>
                <w:b/>
                <w:sz w:val="22"/>
              </w:rPr>
            </w:pPr>
            <w:r>
              <w:rPr>
                <w:b/>
                <w:color w:val="0C0C0C"/>
                <w:spacing w:val="-4"/>
                <w:sz w:val="22"/>
              </w:rPr>
              <w:t>£000</w:t>
            </w:r>
          </w:p>
        </w:tc>
      </w:tr>
      <w:tr>
        <w:trPr>
          <w:trHeight w:val="317" w:hRule="atLeast"/>
        </w:trPr>
        <w:tc>
          <w:tcPr>
            <w:tcW w:w="8038" w:type="dxa"/>
          </w:tcPr>
          <w:p>
            <w:pPr>
              <w:pStyle w:val="TableParagraph"/>
              <w:tabs>
                <w:tab w:val="left" w:leader="none" w:pos="1510"/>
                <w:tab w:val="right" w:leader="none" w:pos="7526"/>
              </w:tabs>
              <w:spacing w:before="21"/>
              <w:ind w:right="32"/>
              <w:jc w:val="right"/>
              <w:rPr>
                <w:sz w:val="20"/>
              </w:rPr>
            </w:pPr>
            <w:r>
              <w:rPr>
                <w:color w:val="0C0C0C"/>
                <w:spacing w:val="-2"/>
                <w:sz w:val="22"/>
              </w:rPr>
              <w:t>(86,214)</w:t>
            </w:r>
            <w:r>
              <w:rPr>
                <w:color w:val="0C0C0C"/>
                <w:sz w:val="22"/>
              </w:rPr>
              <w:tab/>
              <w:t>Revaluation</w:t>
            </w:r>
            <w:r>
              <w:rPr>
                <w:color w:val="0C0C0C"/>
                <w:spacing w:val="-14"/>
                <w:sz w:val="22"/>
              </w:rPr>
              <w:t> </w:t>
            </w:r>
            <w:r>
              <w:rPr>
                <w:color w:val="0C0C0C"/>
                <w:spacing w:val="-2"/>
                <w:sz w:val="22"/>
              </w:rPr>
              <w:t>Reserve</w:t>
            </w:r>
            <w:r>
              <w:rPr>
                <w:color w:val="0C0C0C"/>
                <w:sz w:val="22"/>
              </w:rPr>
              <w:tab/>
            </w:r>
            <w:r>
              <w:rPr>
                <w:color w:val="0C0C0C"/>
                <w:spacing w:val="-2"/>
                <w:position w:val="1"/>
                <w:sz w:val="20"/>
              </w:rPr>
              <w:t>5</w:t>
            </w:r>
            <w:r>
              <w:rPr>
                <w:color w:val="242424"/>
                <w:spacing w:val="-2"/>
                <w:position w:val="1"/>
                <w:sz w:val="20"/>
              </w:rPr>
              <w:t>.</w:t>
            </w:r>
            <w:r>
              <w:rPr>
                <w:color w:val="0C0C0C"/>
                <w:spacing w:val="-2"/>
                <w:position w:val="1"/>
                <w:sz w:val="20"/>
              </w:rPr>
              <w:t>31</w:t>
            </w:r>
            <w:r>
              <w:rPr>
                <w:color w:val="595959"/>
                <w:spacing w:val="-2"/>
                <w:position w:val="1"/>
                <w:sz w:val="20"/>
              </w:rPr>
              <w:t>.</w:t>
            </w:r>
            <w:r>
              <w:rPr>
                <w:color w:val="0C0C0C"/>
                <w:spacing w:val="-2"/>
                <w:position w:val="1"/>
                <w:sz w:val="20"/>
              </w:rPr>
              <w:t>1</w:t>
            </w:r>
          </w:p>
        </w:tc>
        <w:tc>
          <w:tcPr>
            <w:tcW w:w="1737" w:type="dxa"/>
          </w:tcPr>
          <w:p>
            <w:pPr>
              <w:pStyle w:val="TableParagraph"/>
              <w:spacing w:before="16"/>
              <w:ind w:right="6"/>
              <w:jc w:val="right"/>
              <w:rPr>
                <w:sz w:val="22"/>
              </w:rPr>
            </w:pPr>
            <w:r>
              <w:rPr>
                <w:color w:val="0C0C0C"/>
                <w:spacing w:val="-2"/>
                <w:sz w:val="22"/>
              </w:rPr>
              <w:t>(102,946)</w:t>
            </w:r>
          </w:p>
        </w:tc>
      </w:tr>
      <w:tr>
        <w:trPr>
          <w:trHeight w:val="336" w:hRule="atLeast"/>
        </w:trPr>
        <w:tc>
          <w:tcPr>
            <w:tcW w:w="8038" w:type="dxa"/>
          </w:tcPr>
          <w:p>
            <w:pPr>
              <w:pStyle w:val="TableParagraph"/>
              <w:tabs>
                <w:tab w:val="left" w:leader="none" w:pos="1511"/>
                <w:tab w:val="right" w:leader="none" w:pos="7506"/>
              </w:tabs>
              <w:spacing w:before="40"/>
              <w:ind w:right="57"/>
              <w:jc w:val="right"/>
              <w:rPr>
                <w:sz w:val="20"/>
              </w:rPr>
            </w:pPr>
            <w:r>
              <w:rPr>
                <w:color w:val="0C0C0C"/>
                <w:spacing w:val="-2"/>
                <w:sz w:val="22"/>
              </w:rPr>
              <w:t>(74,385)</w:t>
            </w:r>
            <w:r>
              <w:rPr>
                <w:color w:val="0C0C0C"/>
                <w:sz w:val="22"/>
              </w:rPr>
              <w:tab/>
              <w:t>Capital</w:t>
            </w:r>
            <w:r>
              <w:rPr>
                <w:color w:val="0C0C0C"/>
                <w:spacing w:val="-13"/>
                <w:sz w:val="22"/>
              </w:rPr>
              <w:t> </w:t>
            </w:r>
            <w:r>
              <w:rPr>
                <w:color w:val="0C0C0C"/>
                <w:sz w:val="22"/>
              </w:rPr>
              <w:t>Adjustment</w:t>
            </w:r>
            <w:r>
              <w:rPr>
                <w:color w:val="0C0C0C"/>
                <w:spacing w:val="4"/>
                <w:sz w:val="22"/>
              </w:rPr>
              <w:t> </w:t>
            </w:r>
            <w:r>
              <w:rPr>
                <w:color w:val="0C0C0C"/>
                <w:spacing w:val="-2"/>
                <w:sz w:val="22"/>
              </w:rPr>
              <w:t>Account</w:t>
            </w:r>
            <w:r>
              <w:rPr>
                <w:color w:val="0C0C0C"/>
                <w:sz w:val="22"/>
              </w:rPr>
              <w:tab/>
            </w:r>
            <w:r>
              <w:rPr>
                <w:color w:val="0C0C0C"/>
                <w:spacing w:val="-2"/>
                <w:position w:val="1"/>
                <w:sz w:val="20"/>
              </w:rPr>
              <w:t>5</w:t>
            </w:r>
            <w:r>
              <w:rPr>
                <w:color w:val="363636"/>
                <w:spacing w:val="-2"/>
                <w:position w:val="1"/>
                <w:sz w:val="20"/>
              </w:rPr>
              <w:t>.</w:t>
            </w:r>
            <w:r>
              <w:rPr>
                <w:color w:val="0C0C0C"/>
                <w:spacing w:val="-2"/>
                <w:position w:val="1"/>
                <w:sz w:val="20"/>
              </w:rPr>
              <w:t>31</w:t>
            </w:r>
            <w:r>
              <w:rPr>
                <w:color w:val="595959"/>
                <w:spacing w:val="-2"/>
                <w:position w:val="1"/>
                <w:sz w:val="20"/>
              </w:rPr>
              <w:t>.</w:t>
            </w:r>
            <w:r>
              <w:rPr>
                <w:color w:val="0C0C0C"/>
                <w:spacing w:val="-2"/>
                <w:position w:val="1"/>
                <w:sz w:val="20"/>
              </w:rPr>
              <w:t>2</w:t>
            </w:r>
          </w:p>
        </w:tc>
        <w:tc>
          <w:tcPr>
            <w:tcW w:w="1737" w:type="dxa"/>
          </w:tcPr>
          <w:p>
            <w:pPr>
              <w:pStyle w:val="TableParagraph"/>
              <w:spacing w:before="35"/>
              <w:ind w:right="6"/>
              <w:jc w:val="right"/>
              <w:rPr>
                <w:sz w:val="22"/>
              </w:rPr>
            </w:pPr>
            <w:r>
              <w:rPr>
                <w:color w:val="0C0C0C"/>
                <w:spacing w:val="-2"/>
                <w:sz w:val="22"/>
              </w:rPr>
              <w:t>(77,265)</w:t>
            </w:r>
          </w:p>
        </w:tc>
      </w:tr>
      <w:tr>
        <w:trPr>
          <w:trHeight w:val="336" w:hRule="atLeast"/>
        </w:trPr>
        <w:tc>
          <w:tcPr>
            <w:tcW w:w="8038" w:type="dxa"/>
          </w:tcPr>
          <w:p>
            <w:pPr>
              <w:pStyle w:val="TableParagraph"/>
              <w:tabs>
                <w:tab w:val="left" w:leader="none" w:pos="1385"/>
                <w:tab w:val="right" w:leader="none" w:pos="7396"/>
              </w:tabs>
              <w:spacing w:before="40"/>
              <w:ind w:right="47"/>
              <w:jc w:val="right"/>
              <w:rPr>
                <w:sz w:val="20"/>
              </w:rPr>
            </w:pPr>
            <w:r>
              <w:rPr>
                <w:color w:val="0C0C0C"/>
                <w:spacing w:val="-2"/>
                <w:sz w:val="22"/>
              </w:rPr>
              <w:t>(2,269)</w:t>
            </w:r>
            <w:r>
              <w:rPr>
                <w:color w:val="0C0C0C"/>
                <w:sz w:val="22"/>
              </w:rPr>
              <w:tab/>
              <w:t>Deferred</w:t>
            </w:r>
            <w:r>
              <w:rPr>
                <w:color w:val="0C0C0C"/>
                <w:spacing w:val="-3"/>
                <w:sz w:val="22"/>
              </w:rPr>
              <w:t> </w:t>
            </w:r>
            <w:r>
              <w:rPr>
                <w:color w:val="0C0C0C"/>
                <w:sz w:val="22"/>
              </w:rPr>
              <w:t>Capital</w:t>
            </w:r>
            <w:r>
              <w:rPr>
                <w:color w:val="0C0C0C"/>
                <w:spacing w:val="-4"/>
                <w:sz w:val="22"/>
              </w:rPr>
              <w:t> </w:t>
            </w:r>
            <w:r>
              <w:rPr>
                <w:color w:val="0C0C0C"/>
                <w:spacing w:val="-2"/>
                <w:sz w:val="22"/>
              </w:rPr>
              <w:t>Receipts</w:t>
            </w:r>
            <w:r>
              <w:rPr>
                <w:color w:val="0C0C0C"/>
                <w:sz w:val="22"/>
              </w:rPr>
              <w:tab/>
            </w:r>
            <w:r>
              <w:rPr>
                <w:color w:val="0C0C0C"/>
                <w:spacing w:val="-2"/>
                <w:position w:val="1"/>
                <w:sz w:val="20"/>
              </w:rPr>
              <w:t>5</w:t>
            </w:r>
            <w:r>
              <w:rPr>
                <w:color w:val="595959"/>
                <w:spacing w:val="-2"/>
                <w:position w:val="1"/>
                <w:sz w:val="20"/>
              </w:rPr>
              <w:t>.</w:t>
            </w:r>
            <w:r>
              <w:rPr>
                <w:color w:val="0C0C0C"/>
                <w:spacing w:val="-2"/>
                <w:position w:val="1"/>
                <w:sz w:val="20"/>
              </w:rPr>
              <w:t>31</w:t>
            </w:r>
            <w:r>
              <w:rPr>
                <w:color w:val="595959"/>
                <w:spacing w:val="-2"/>
                <w:position w:val="1"/>
                <w:sz w:val="20"/>
              </w:rPr>
              <w:t>.</w:t>
            </w:r>
            <w:r>
              <w:rPr>
                <w:color w:val="0C0C0C"/>
                <w:spacing w:val="-2"/>
                <w:position w:val="1"/>
                <w:sz w:val="20"/>
              </w:rPr>
              <w:t>3</w:t>
            </w:r>
          </w:p>
        </w:tc>
        <w:tc>
          <w:tcPr>
            <w:tcW w:w="1737" w:type="dxa"/>
          </w:tcPr>
          <w:p>
            <w:pPr>
              <w:pStyle w:val="TableParagraph"/>
              <w:spacing w:before="35"/>
              <w:ind w:right="6"/>
              <w:jc w:val="right"/>
              <w:rPr>
                <w:sz w:val="22"/>
              </w:rPr>
            </w:pPr>
            <w:r>
              <w:rPr>
                <w:color w:val="0C0C0C"/>
                <w:spacing w:val="-2"/>
                <w:sz w:val="22"/>
              </w:rPr>
              <w:t>(2,378)</w:t>
            </w:r>
          </w:p>
        </w:tc>
      </w:tr>
      <w:tr>
        <w:trPr>
          <w:trHeight w:val="336" w:hRule="atLeast"/>
        </w:trPr>
        <w:tc>
          <w:tcPr>
            <w:tcW w:w="8038" w:type="dxa"/>
          </w:tcPr>
          <w:p>
            <w:pPr>
              <w:pStyle w:val="TableParagraph"/>
              <w:tabs>
                <w:tab w:val="left" w:leader="none" w:pos="1238"/>
                <w:tab w:val="right" w:leader="none" w:pos="7248"/>
              </w:tabs>
              <w:spacing w:before="40"/>
              <w:ind w:right="51"/>
              <w:jc w:val="right"/>
              <w:rPr>
                <w:sz w:val="20"/>
              </w:rPr>
            </w:pPr>
            <w:r>
              <w:rPr>
                <w:color w:val="0C0C0C"/>
                <w:spacing w:val="-2"/>
                <w:sz w:val="22"/>
              </w:rPr>
              <w:t>5,135</w:t>
            </w:r>
            <w:r>
              <w:rPr>
                <w:color w:val="0C0C0C"/>
                <w:sz w:val="22"/>
              </w:rPr>
              <w:tab/>
              <w:t>Collection</w:t>
            </w:r>
            <w:r>
              <w:rPr>
                <w:color w:val="0C0C0C"/>
                <w:spacing w:val="-4"/>
                <w:sz w:val="22"/>
              </w:rPr>
              <w:t> </w:t>
            </w:r>
            <w:r>
              <w:rPr>
                <w:color w:val="0C0C0C"/>
                <w:sz w:val="22"/>
              </w:rPr>
              <w:t>Fund</w:t>
            </w:r>
            <w:r>
              <w:rPr>
                <w:color w:val="0C0C0C"/>
                <w:spacing w:val="-12"/>
                <w:sz w:val="22"/>
              </w:rPr>
              <w:t> </w:t>
            </w:r>
            <w:r>
              <w:rPr>
                <w:color w:val="0C0C0C"/>
                <w:sz w:val="22"/>
              </w:rPr>
              <w:t>Adjustment</w:t>
            </w:r>
            <w:r>
              <w:rPr>
                <w:color w:val="0C0C0C"/>
                <w:spacing w:val="5"/>
                <w:sz w:val="22"/>
              </w:rPr>
              <w:t> </w:t>
            </w:r>
            <w:r>
              <w:rPr>
                <w:color w:val="0C0C0C"/>
                <w:spacing w:val="-2"/>
                <w:sz w:val="22"/>
              </w:rPr>
              <w:t>Account</w:t>
            </w:r>
            <w:r>
              <w:rPr>
                <w:color w:val="0C0C0C"/>
                <w:sz w:val="22"/>
              </w:rPr>
              <w:tab/>
            </w:r>
            <w:r>
              <w:rPr>
                <w:color w:val="0C0C0C"/>
                <w:spacing w:val="-2"/>
                <w:position w:val="1"/>
                <w:sz w:val="20"/>
              </w:rPr>
              <w:t>5</w:t>
            </w:r>
            <w:r>
              <w:rPr>
                <w:color w:val="4B4B4B"/>
                <w:spacing w:val="-2"/>
                <w:position w:val="1"/>
                <w:sz w:val="20"/>
              </w:rPr>
              <w:t>.</w:t>
            </w:r>
            <w:r>
              <w:rPr>
                <w:color w:val="0C0C0C"/>
                <w:spacing w:val="-2"/>
                <w:position w:val="1"/>
                <w:sz w:val="20"/>
              </w:rPr>
              <w:t>31.4</w:t>
            </w:r>
          </w:p>
        </w:tc>
        <w:tc>
          <w:tcPr>
            <w:tcW w:w="1737" w:type="dxa"/>
          </w:tcPr>
          <w:p>
            <w:pPr>
              <w:pStyle w:val="TableParagraph"/>
              <w:spacing w:before="35"/>
              <w:ind w:right="10"/>
              <w:jc w:val="right"/>
              <w:rPr>
                <w:sz w:val="22"/>
              </w:rPr>
            </w:pPr>
            <w:r>
              <w:rPr>
                <w:color w:val="0C0C0C"/>
                <w:spacing w:val="-2"/>
                <w:sz w:val="22"/>
              </w:rPr>
              <w:t>(1,834)</w:t>
            </w:r>
          </w:p>
        </w:tc>
      </w:tr>
      <w:tr>
        <w:trPr>
          <w:trHeight w:val="336" w:hRule="atLeast"/>
        </w:trPr>
        <w:tc>
          <w:tcPr>
            <w:tcW w:w="8038" w:type="dxa"/>
          </w:tcPr>
          <w:p>
            <w:pPr>
              <w:pStyle w:val="TableParagraph"/>
              <w:tabs>
                <w:tab w:val="left" w:leader="none" w:pos="1365"/>
                <w:tab w:val="right" w:leader="none" w:pos="7375"/>
              </w:tabs>
              <w:spacing w:before="40"/>
              <w:ind w:right="52"/>
              <w:jc w:val="right"/>
              <w:rPr>
                <w:sz w:val="20"/>
              </w:rPr>
            </w:pPr>
            <w:r>
              <w:rPr>
                <w:color w:val="0C0C0C"/>
                <w:spacing w:val="-2"/>
                <w:sz w:val="22"/>
              </w:rPr>
              <w:t>40,326</w:t>
            </w:r>
            <w:r>
              <w:rPr>
                <w:color w:val="0C0C0C"/>
                <w:sz w:val="22"/>
              </w:rPr>
              <w:tab/>
              <w:t>Pension</w:t>
            </w:r>
            <w:r>
              <w:rPr>
                <w:color w:val="0C0C0C"/>
                <w:spacing w:val="-8"/>
                <w:sz w:val="22"/>
              </w:rPr>
              <w:t> </w:t>
            </w:r>
            <w:r>
              <w:rPr>
                <w:color w:val="0C0C0C"/>
                <w:spacing w:val="-2"/>
                <w:sz w:val="22"/>
              </w:rPr>
              <w:t>Reserve</w:t>
            </w:r>
            <w:r>
              <w:rPr>
                <w:color w:val="0C0C0C"/>
                <w:sz w:val="22"/>
              </w:rPr>
              <w:tab/>
            </w:r>
            <w:r>
              <w:rPr>
                <w:color w:val="0C0C0C"/>
                <w:spacing w:val="-2"/>
                <w:position w:val="1"/>
                <w:sz w:val="20"/>
              </w:rPr>
              <w:t>5</w:t>
            </w:r>
            <w:r>
              <w:rPr>
                <w:color w:val="4B4B4B"/>
                <w:spacing w:val="-2"/>
                <w:position w:val="1"/>
                <w:sz w:val="20"/>
              </w:rPr>
              <w:t>.</w:t>
            </w:r>
            <w:r>
              <w:rPr>
                <w:color w:val="0C0C0C"/>
                <w:spacing w:val="-2"/>
                <w:position w:val="1"/>
                <w:sz w:val="20"/>
              </w:rPr>
              <w:t>31</w:t>
            </w:r>
            <w:r>
              <w:rPr>
                <w:color w:val="4B4B4B"/>
                <w:spacing w:val="-2"/>
                <w:position w:val="1"/>
                <w:sz w:val="20"/>
              </w:rPr>
              <w:t>.</w:t>
            </w:r>
            <w:r>
              <w:rPr>
                <w:color w:val="0C0C0C"/>
                <w:spacing w:val="-2"/>
                <w:position w:val="1"/>
                <w:sz w:val="20"/>
              </w:rPr>
              <w:t>5</w:t>
            </w:r>
          </w:p>
        </w:tc>
        <w:tc>
          <w:tcPr>
            <w:tcW w:w="1737" w:type="dxa"/>
          </w:tcPr>
          <w:p>
            <w:pPr>
              <w:pStyle w:val="TableParagraph"/>
              <w:spacing w:before="35"/>
              <w:ind w:right="67"/>
              <w:jc w:val="right"/>
              <w:rPr>
                <w:sz w:val="22"/>
              </w:rPr>
            </w:pPr>
            <w:r>
              <w:rPr>
                <w:color w:val="0C0C0C"/>
                <w:spacing w:val="-2"/>
                <w:sz w:val="22"/>
              </w:rPr>
              <w:t>10,637</w:t>
            </w:r>
          </w:p>
        </w:tc>
      </w:tr>
      <w:tr>
        <w:trPr>
          <w:trHeight w:val="319" w:hRule="atLeast"/>
        </w:trPr>
        <w:tc>
          <w:tcPr>
            <w:tcW w:w="8038" w:type="dxa"/>
          </w:tcPr>
          <w:p>
            <w:pPr>
              <w:pStyle w:val="TableParagraph"/>
              <w:tabs>
                <w:tab w:val="left" w:leader="none" w:pos="1048"/>
                <w:tab w:val="right" w:leader="none" w:pos="7047"/>
              </w:tabs>
              <w:spacing w:before="40"/>
              <w:ind w:right="69"/>
              <w:jc w:val="right"/>
              <w:rPr>
                <w:sz w:val="20"/>
              </w:rPr>
            </w:pPr>
            <w:r>
              <w:rPr>
                <w:color w:val="0C0C0C"/>
                <w:spacing w:val="-5"/>
                <w:sz w:val="22"/>
              </w:rPr>
              <w:t>128</w:t>
            </w:r>
            <w:r>
              <w:rPr>
                <w:color w:val="0C0C0C"/>
                <w:sz w:val="22"/>
              </w:rPr>
              <w:tab/>
              <w:t>Accumulated</w:t>
            </w:r>
            <w:r>
              <w:rPr>
                <w:color w:val="0C0C0C"/>
                <w:spacing w:val="-5"/>
                <w:sz w:val="22"/>
              </w:rPr>
              <w:t> </w:t>
            </w:r>
            <w:r>
              <w:rPr>
                <w:color w:val="0C0C0C"/>
                <w:sz w:val="22"/>
              </w:rPr>
              <w:t>Absence</w:t>
            </w:r>
            <w:r>
              <w:rPr>
                <w:color w:val="0C0C0C"/>
                <w:spacing w:val="-6"/>
                <w:sz w:val="22"/>
              </w:rPr>
              <w:t> </w:t>
            </w:r>
            <w:r>
              <w:rPr>
                <w:color w:val="0C0C0C"/>
                <w:spacing w:val="-2"/>
                <w:sz w:val="22"/>
              </w:rPr>
              <w:t>Account</w:t>
            </w:r>
            <w:r>
              <w:rPr>
                <w:color w:val="0C0C0C"/>
                <w:sz w:val="22"/>
              </w:rPr>
              <w:tab/>
            </w:r>
            <w:r>
              <w:rPr>
                <w:color w:val="0C0C0C"/>
                <w:spacing w:val="-2"/>
                <w:position w:val="1"/>
                <w:sz w:val="20"/>
              </w:rPr>
              <w:t>5.31.6</w:t>
            </w:r>
          </w:p>
        </w:tc>
        <w:tc>
          <w:tcPr>
            <w:tcW w:w="1737" w:type="dxa"/>
          </w:tcPr>
          <w:p>
            <w:pPr>
              <w:pStyle w:val="TableParagraph"/>
              <w:spacing w:before="35"/>
              <w:ind w:right="63"/>
              <w:jc w:val="right"/>
              <w:rPr>
                <w:sz w:val="22"/>
              </w:rPr>
            </w:pPr>
            <w:r>
              <w:rPr>
                <w:color w:val="0C0C0C"/>
                <w:spacing w:val="-5"/>
                <w:sz w:val="22"/>
              </w:rPr>
              <w:t>133</w:t>
            </w:r>
          </w:p>
        </w:tc>
      </w:tr>
      <w:tr>
        <w:trPr>
          <w:trHeight w:val="350" w:hRule="atLeast"/>
        </w:trPr>
        <w:tc>
          <w:tcPr>
            <w:tcW w:w="8038" w:type="dxa"/>
          </w:tcPr>
          <w:p>
            <w:pPr>
              <w:pStyle w:val="TableParagraph"/>
              <w:spacing w:line="20" w:lineRule="exact"/>
              <w:ind w:left="9"/>
              <w:rPr>
                <w:sz w:val="2"/>
              </w:rPr>
            </w:pPr>
            <w:r>
              <w:rPr>
                <w:sz w:val="2"/>
              </w:rPr>
              <ve:AlternateContent>
                <ve:Choice Requires="wps">
                  <w:drawing>
                    <wp:inline distT="0" distB="0" distL="0" distR="0">
                      <wp:extent cx="1029335" cy="9525"/>
                      <wp:effectExtent l="9525" t="0" r="0" b="0"/>
                      <wp:docPr id="570" name="Group 570"/>
                      <wp:cNvGraphicFramePr>
                        <a:graphicFrameLocks/>
                      </wp:cNvGraphicFramePr>
                      <a:graphic>
                        <a:graphicData uri="http://schemas.microsoft.com/office/word/2010/wordprocessingGroup">
                          <wpg:wgp>
                            <wpg:cNvPr id="570" name="Group 570"/>
                            <wpg:cNvGrpSpPr/>
                            <wpg:grpSpPr>
                              <a:xfrm>
                                <a:off x="0" y="0"/>
                                <a:ext cx="1029335" cy="9525"/>
                                <a:chExt cx="1029335" cy="9525"/>
                              </a:xfrm>
                            </wpg:grpSpPr>
                            <wps:wsp>
                              <wps:cNvPr id="571" name="Graphic 571"/>
                              <wps:cNvSpPr/>
                              <wps:spPr>
                                <a:xfrm>
                                  <a:off x="0" y="4577"/>
                                  <a:ext cx="1029335" cy="1270"/>
                                </a:xfrm>
                                <a:custGeom>
                                  <a:avLst/>
                                  <a:gdLst/>
                                  <a:ahLst/>
                                  <a:cxnLst/>
                                  <a:rect l="l" t="t" r="r" b="b"/>
                                  <a:pathLst>
                                    <a:path w="1029335" h="0">
                                      <a:moveTo>
                                        <a:pt x="0" y="0"/>
                                      </a:moveTo>
                                      <a:lnTo>
                                        <a:pt x="1028832"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75" style="width:81.05pt;height:.75pt;mso-position-horizontal-relative:char;mso-position-vertical-relative:line" coordsize="1621,15" coordorigin="0,0">
                      <v:line style="position:absolute" stroked="true" strokecolor="#000000" strokeweight=".720821pt" from="0,7" to="1620,7">
                        <v:stroke dashstyle="solid"/>
                      </v:line>
                    </v:group>
                  </w:pict>
                </ve:Fallback>
              </ve:AlternateContent>
            </w:r>
            <w:r>
              <w:rPr>
                <w:sz w:val="2"/>
              </w:rPr>
            </w:r>
          </w:p>
          <w:p>
            <w:pPr>
              <w:pStyle w:val="TableParagraph"/>
              <w:tabs>
                <w:tab w:val="left" w:leader="none" w:pos="1966"/>
              </w:tabs>
              <w:spacing w:before="42"/>
              <w:ind w:left="325"/>
              <w:rPr>
                <w:b/>
                <w:sz w:val="22"/>
              </w:rPr>
            </w:pPr>
            <w:r>
              <w:rPr>
                <w:b/>
                <w:color w:val="0C0C0C"/>
                <w:spacing w:val="-2"/>
                <w:sz w:val="22"/>
              </w:rPr>
              <w:t>(117,279)</w:t>
            </w:r>
            <w:r>
              <w:rPr>
                <w:b/>
                <w:color w:val="0C0C0C"/>
                <w:sz w:val="22"/>
              </w:rPr>
              <w:tab/>
            </w:r>
            <w:r>
              <w:rPr>
                <w:b/>
                <w:color w:val="0C0C0C"/>
                <w:spacing w:val="-2"/>
                <w:sz w:val="22"/>
              </w:rPr>
              <w:t>Total</w:t>
            </w:r>
          </w:p>
        </w:tc>
        <w:tc>
          <w:tcPr>
            <w:tcW w:w="1737" w:type="dxa"/>
          </w:tcPr>
          <w:p>
            <w:pPr>
              <w:pStyle w:val="TableParagraph"/>
              <w:spacing w:line="20" w:lineRule="exact"/>
              <w:ind w:left="337" w:right="-58"/>
              <w:rPr>
                <w:sz w:val="2"/>
              </w:rPr>
            </w:pPr>
            <w:r>
              <w:rPr>
                <w:sz w:val="2"/>
              </w:rPr>
              <ve:AlternateContent>
                <ve:Choice Requires="wps">
                  <w:drawing>
                    <wp:inline distT="0" distB="0" distL="0" distR="0">
                      <wp:extent cx="889000" cy="9525"/>
                      <wp:effectExtent l="9525" t="0" r="0" b="0"/>
                      <wp:docPr id="572" name="Group 572"/>
                      <wp:cNvGraphicFramePr>
                        <a:graphicFrameLocks/>
                      </wp:cNvGraphicFramePr>
                      <a:graphic>
                        <a:graphicData uri="http://schemas.microsoft.com/office/word/2010/wordprocessingGroup">
                          <wpg:wgp>
                            <wpg:cNvPr id="572" name="Group 572"/>
                            <wpg:cNvGrpSpPr/>
                            <wpg:grpSpPr>
                              <a:xfrm>
                                <a:off x="0" y="0"/>
                                <a:ext cx="889000" cy="9525"/>
                                <a:chExt cx="889000" cy="9525"/>
                              </a:xfrm>
                            </wpg:grpSpPr>
                            <wps:wsp>
                              <wps:cNvPr id="573" name="Graphic 573"/>
                              <wps:cNvSpPr/>
                              <wps:spPr>
                                <a:xfrm>
                                  <a:off x="0" y="4577"/>
                                  <a:ext cx="889000" cy="1270"/>
                                </a:xfrm>
                                <a:custGeom>
                                  <a:avLst/>
                                  <a:gdLst/>
                                  <a:ahLst/>
                                  <a:cxnLst/>
                                  <a:rect l="l" t="t" r="r" b="b"/>
                                  <a:pathLst>
                                    <a:path w="889000" h="0">
                                      <a:moveTo>
                                        <a:pt x="0" y="0"/>
                                      </a:moveTo>
                                      <a:lnTo>
                                        <a:pt x="888398"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76" style="width:70pt;height:.75pt;mso-position-horizontal-relative:char;mso-position-vertical-relative:line" coordsize="1400,15" coordorigin="0,0">
                      <v:line style="position:absolute" stroked="true" strokecolor="#000000" strokeweight=".720821pt" from="0,7" to="1399,7">
                        <v:stroke dashstyle="solid"/>
                      </v:line>
                    </v:group>
                  </w:pict>
                </ve:Fallback>
              </ve:AlternateContent>
            </w:r>
            <w:r>
              <w:rPr>
                <w:sz w:val="2"/>
              </w:rPr>
            </w:r>
          </w:p>
          <w:p>
            <w:pPr>
              <w:pStyle w:val="TableParagraph"/>
              <w:spacing w:before="38"/>
              <w:ind w:right="14"/>
              <w:jc w:val="right"/>
              <w:rPr>
                <w:b/>
                <w:sz w:val="22"/>
              </w:rPr>
            </w:pPr>
            <w:r>
              <w:rPr>
                <w:b/>
                <w:color w:val="0C0C0C"/>
                <w:spacing w:val="-2"/>
                <w:sz w:val="22"/>
              </w:rPr>
              <w:t>(173,653)</w:t>
            </w:r>
          </w:p>
        </w:tc>
      </w:tr>
      <w:tr>
        <w:trPr>
          <w:trHeight w:val="536" w:hRule="atLeast"/>
        </w:trPr>
        <w:tc>
          <w:tcPr>
            <w:tcW w:w="8038" w:type="dxa"/>
          </w:tcPr>
          <w:p>
            <w:pPr>
              <w:pStyle w:val="TableParagraph"/>
              <w:spacing w:line="20" w:lineRule="exact"/>
              <w:ind w:left="9"/>
              <w:rPr>
                <w:sz w:val="2"/>
              </w:rPr>
            </w:pPr>
            <w:r>
              <w:rPr>
                <w:sz w:val="2"/>
              </w:rPr>
              <ve:AlternateContent>
                <ve:Choice Requires="wps">
                  <w:drawing>
                    <wp:inline distT="0" distB="0" distL="0" distR="0">
                      <wp:extent cx="1029335" cy="9525"/>
                      <wp:effectExtent l="9525" t="0" r="0" b="0"/>
                      <wp:docPr id="574" name="Group 574"/>
                      <wp:cNvGraphicFramePr>
                        <a:graphicFrameLocks/>
                      </wp:cNvGraphicFramePr>
                      <a:graphic>
                        <a:graphicData uri="http://schemas.microsoft.com/office/word/2010/wordprocessingGroup">
                          <wpg:wgp>
                            <wpg:cNvPr id="574" name="Group 574"/>
                            <wpg:cNvGrpSpPr/>
                            <wpg:grpSpPr>
                              <a:xfrm>
                                <a:off x="0" y="0"/>
                                <a:ext cx="1029335" cy="9525"/>
                                <a:chExt cx="1029335" cy="9525"/>
                              </a:xfrm>
                            </wpg:grpSpPr>
                            <wps:wsp>
                              <wps:cNvPr id="575" name="Graphic 575"/>
                              <wps:cNvSpPr/>
                              <wps:spPr>
                                <a:xfrm>
                                  <a:off x="0" y="4577"/>
                                  <a:ext cx="1029335" cy="1270"/>
                                </a:xfrm>
                                <a:custGeom>
                                  <a:avLst/>
                                  <a:gdLst/>
                                  <a:ahLst/>
                                  <a:cxnLst/>
                                  <a:rect l="l" t="t" r="r" b="b"/>
                                  <a:pathLst>
                                    <a:path w="1029335" h="0">
                                      <a:moveTo>
                                        <a:pt x="0" y="0"/>
                                      </a:moveTo>
                                      <a:lnTo>
                                        <a:pt x="1028832"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77" style="width:81.05pt;height:.75pt;mso-position-horizontal-relative:char;mso-position-vertical-relative:line" coordsize="1621,15" coordorigin="0,0">
                      <v:line style="position:absolute" stroked="true" strokecolor="#000000" strokeweight=".720821pt" from="0,7" to="1620,7">
                        <v:stroke dashstyle="solid"/>
                      </v:line>
                    </v:group>
                  </w:pict>
                </ve:Fallback>
              </ve:AlternateContent>
            </w:r>
            <w:r>
              <w:rPr>
                <w:sz w:val="2"/>
              </w:rPr>
            </w:r>
          </w:p>
          <w:p>
            <w:pPr>
              <w:pStyle w:val="TableParagraph"/>
              <w:spacing w:before="10"/>
              <w:rPr>
                <w:sz w:val="22"/>
              </w:rPr>
            </w:pPr>
          </w:p>
          <w:p>
            <w:pPr>
              <w:pStyle w:val="TableParagraph"/>
              <w:tabs>
                <w:tab w:val="left" w:leader="none" w:pos="854"/>
              </w:tabs>
              <w:spacing w:before="1" w:line="233" w:lineRule="exact"/>
              <w:rPr>
                <w:b/>
                <w:sz w:val="22"/>
              </w:rPr>
            </w:pPr>
            <w:r>
              <w:rPr>
                <w:b/>
                <w:color w:val="0C0C0C"/>
                <w:spacing w:val="-2"/>
                <w:sz w:val="22"/>
              </w:rPr>
              <w:t>5.31.1</w:t>
            </w:r>
            <w:r>
              <w:rPr>
                <w:b/>
                <w:color w:val="0C0C0C"/>
                <w:sz w:val="22"/>
              </w:rPr>
              <w:tab/>
              <w:t>Revaluation</w:t>
            </w:r>
            <w:r>
              <w:rPr>
                <w:b/>
                <w:color w:val="0C0C0C"/>
                <w:spacing w:val="-1"/>
                <w:sz w:val="22"/>
              </w:rPr>
              <w:t> </w:t>
            </w:r>
            <w:r>
              <w:rPr>
                <w:b/>
                <w:color w:val="0C0C0C"/>
                <w:spacing w:val="-2"/>
                <w:sz w:val="22"/>
              </w:rPr>
              <w:t>Reserve</w:t>
            </w:r>
          </w:p>
        </w:tc>
        <w:tc>
          <w:tcPr>
            <w:tcW w:w="1737" w:type="dxa"/>
          </w:tcPr>
          <w:p>
            <w:pPr>
              <w:pStyle w:val="TableParagraph"/>
              <w:spacing w:line="20" w:lineRule="exact"/>
              <w:ind w:left="337" w:right="-58"/>
              <w:rPr>
                <w:sz w:val="2"/>
              </w:rPr>
            </w:pPr>
            <w:r>
              <w:rPr>
                <w:sz w:val="2"/>
              </w:rPr>
              <ve:AlternateContent>
                <ve:Choice Requires="wps">
                  <w:drawing>
                    <wp:inline distT="0" distB="0" distL="0" distR="0">
                      <wp:extent cx="889000" cy="9525"/>
                      <wp:effectExtent l="9525" t="0" r="0" b="0"/>
                      <wp:docPr id="576" name="Group 576"/>
                      <wp:cNvGraphicFramePr>
                        <a:graphicFrameLocks/>
                      </wp:cNvGraphicFramePr>
                      <a:graphic>
                        <a:graphicData uri="http://schemas.microsoft.com/office/word/2010/wordprocessingGroup">
                          <wpg:wgp>
                            <wpg:cNvPr id="576" name="Group 576"/>
                            <wpg:cNvGrpSpPr/>
                            <wpg:grpSpPr>
                              <a:xfrm>
                                <a:off x="0" y="0"/>
                                <a:ext cx="889000" cy="9525"/>
                                <a:chExt cx="889000" cy="9525"/>
                              </a:xfrm>
                            </wpg:grpSpPr>
                            <wps:wsp>
                              <wps:cNvPr id="577" name="Graphic 577"/>
                              <wps:cNvSpPr/>
                              <wps:spPr>
                                <a:xfrm>
                                  <a:off x="0" y="4577"/>
                                  <a:ext cx="889000" cy="1270"/>
                                </a:xfrm>
                                <a:custGeom>
                                  <a:avLst/>
                                  <a:gdLst/>
                                  <a:ahLst/>
                                  <a:cxnLst/>
                                  <a:rect l="l" t="t" r="r" b="b"/>
                                  <a:pathLst>
                                    <a:path w="889000" h="0">
                                      <a:moveTo>
                                        <a:pt x="0" y="0"/>
                                      </a:moveTo>
                                      <a:lnTo>
                                        <a:pt x="888398"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78" style="width:70pt;height:.75pt;mso-position-horizontal-relative:char;mso-position-vertical-relative:line" coordsize="1400,15" coordorigin="0,0">
                      <v:line style="position:absolute" stroked="true" strokecolor="#000000" strokeweight=".720821pt" from="0,7" to="1399,7">
                        <v:stroke dashstyle="solid"/>
                      </v:line>
                    </v:group>
                  </w:pict>
                </ve:Fallback>
              </ve:AlternateContent>
            </w:r>
            <w:r>
              <w:rPr>
                <w:sz w:val="2"/>
              </w:rPr>
            </w:r>
          </w:p>
        </w:tc>
      </w:tr>
    </w:tbl>
    <w:p>
      <w:pPr>
        <w:pStyle w:val="BodyText"/>
        <w:spacing w:before="243"/>
        <w:ind w:left="1126" w:right="913" w:firstLine="2"/>
        <w:jc w:val="both"/>
      </w:pPr>
      <w:r>
        <w:rPr>
          <w:color w:val="0C0C0C"/>
        </w:rPr>
        <w:t>The</w:t>
      </w:r>
      <w:r>
        <w:rPr>
          <w:color w:val="0C0C0C"/>
          <w:spacing w:val="-7"/>
        </w:rPr>
        <w:t> </w:t>
      </w:r>
      <w:r>
        <w:rPr>
          <w:color w:val="0C0C0C"/>
        </w:rPr>
        <w:t>revaluation reserve</w:t>
      </w:r>
      <w:r>
        <w:rPr>
          <w:color w:val="0C0C0C"/>
          <w:spacing w:val="-1"/>
        </w:rPr>
        <w:t> </w:t>
      </w:r>
      <w:r>
        <w:rPr>
          <w:color w:val="0C0C0C"/>
        </w:rPr>
        <w:t>records</w:t>
      </w:r>
      <w:r>
        <w:rPr>
          <w:color w:val="0C0C0C"/>
          <w:spacing w:val="-1"/>
        </w:rPr>
        <w:t> </w:t>
      </w:r>
      <w:r>
        <w:rPr>
          <w:color w:val="0C0C0C"/>
        </w:rPr>
        <w:t>the</w:t>
      </w:r>
      <w:r>
        <w:rPr>
          <w:color w:val="0C0C0C"/>
          <w:spacing w:val="-10"/>
        </w:rPr>
        <w:t> </w:t>
      </w:r>
      <w:r>
        <w:rPr>
          <w:color w:val="0C0C0C"/>
        </w:rPr>
        <w:t>gains</w:t>
      </w:r>
      <w:r>
        <w:rPr>
          <w:color w:val="0C0C0C"/>
          <w:spacing w:val="-1"/>
        </w:rPr>
        <w:t> </w:t>
      </w:r>
      <w:r>
        <w:rPr>
          <w:color w:val="0C0C0C"/>
        </w:rPr>
        <w:t>made</w:t>
      </w:r>
      <w:r>
        <w:rPr>
          <w:color w:val="0C0C0C"/>
          <w:spacing w:val="-8"/>
        </w:rPr>
        <w:t> </w:t>
      </w:r>
      <w:r>
        <w:rPr>
          <w:color w:val="0C0C0C"/>
        </w:rPr>
        <w:t>by</w:t>
      </w:r>
      <w:r>
        <w:rPr>
          <w:color w:val="0C0C0C"/>
          <w:spacing w:val="-6"/>
        </w:rPr>
        <w:t> </w:t>
      </w:r>
      <w:r>
        <w:rPr>
          <w:color w:val="0C0C0C"/>
        </w:rPr>
        <w:t>the</w:t>
      </w:r>
      <w:r>
        <w:rPr>
          <w:color w:val="0C0C0C"/>
          <w:spacing w:val="-6"/>
        </w:rPr>
        <w:t> </w:t>
      </w:r>
      <w:r>
        <w:rPr>
          <w:color w:val="0C0C0C"/>
        </w:rPr>
        <w:t>Council arising</w:t>
      </w:r>
      <w:r>
        <w:rPr>
          <w:color w:val="0C0C0C"/>
          <w:spacing w:val="-7"/>
        </w:rPr>
        <w:t> </w:t>
      </w:r>
      <w:r>
        <w:rPr>
          <w:color w:val="0C0C0C"/>
        </w:rPr>
        <w:t>from</w:t>
      </w:r>
      <w:r>
        <w:rPr>
          <w:color w:val="0C0C0C"/>
          <w:spacing w:val="-1"/>
        </w:rPr>
        <w:t> </w:t>
      </w:r>
      <w:r>
        <w:rPr>
          <w:color w:val="0C0C0C"/>
        </w:rPr>
        <w:t>increases in</w:t>
      </w:r>
      <w:r>
        <w:rPr>
          <w:color w:val="0C0C0C"/>
          <w:spacing w:val="-12"/>
        </w:rPr>
        <w:t> </w:t>
      </w:r>
      <w:r>
        <w:rPr>
          <w:color w:val="0C0C0C"/>
        </w:rPr>
        <w:t>the</w:t>
      </w:r>
      <w:r>
        <w:rPr>
          <w:color w:val="0C0C0C"/>
          <w:spacing w:val="-1"/>
        </w:rPr>
        <w:t> </w:t>
      </w:r>
      <w:r>
        <w:rPr>
          <w:color w:val="0C0C0C"/>
        </w:rPr>
        <w:t>value of</w:t>
      </w:r>
      <w:r>
        <w:rPr>
          <w:color w:val="0C0C0C"/>
          <w:spacing w:val="-16"/>
        </w:rPr>
        <w:t> </w:t>
      </w:r>
      <w:r>
        <w:rPr>
          <w:color w:val="0C0C0C"/>
        </w:rPr>
        <w:t>its</w:t>
      </w:r>
      <w:r>
        <w:rPr>
          <w:color w:val="0C0C0C"/>
          <w:spacing w:val="-11"/>
        </w:rPr>
        <w:t> </w:t>
      </w:r>
      <w:r>
        <w:rPr>
          <w:color w:val="0C0C0C"/>
        </w:rPr>
        <w:t>Property, Plant</w:t>
      </w:r>
      <w:r>
        <w:rPr>
          <w:color w:val="0C0C0C"/>
          <w:spacing w:val="-10"/>
        </w:rPr>
        <w:t> </w:t>
      </w:r>
      <w:r>
        <w:rPr>
          <w:color w:val="0C0C0C"/>
        </w:rPr>
        <w:t>and</w:t>
      </w:r>
      <w:r>
        <w:rPr>
          <w:color w:val="0C0C0C"/>
          <w:spacing w:val="-16"/>
        </w:rPr>
        <w:t> </w:t>
      </w:r>
      <w:r>
        <w:rPr>
          <w:color w:val="0C0C0C"/>
        </w:rPr>
        <w:t>Equipment.</w:t>
      </w:r>
      <w:r>
        <w:rPr>
          <w:color w:val="0C0C0C"/>
          <w:spacing w:val="40"/>
        </w:rPr>
        <w:t> </w:t>
      </w:r>
      <w:r>
        <w:rPr>
          <w:color w:val="0C0C0C"/>
        </w:rPr>
        <w:t>The</w:t>
      </w:r>
      <w:r>
        <w:rPr>
          <w:color w:val="0C0C0C"/>
          <w:spacing w:val="-10"/>
        </w:rPr>
        <w:t> </w:t>
      </w:r>
      <w:r>
        <w:rPr>
          <w:color w:val="242424"/>
        </w:rPr>
        <w:t>balance</w:t>
      </w:r>
      <w:r>
        <w:rPr>
          <w:color w:val="242424"/>
          <w:spacing w:val="-10"/>
        </w:rPr>
        <w:t> </w:t>
      </w:r>
      <w:r>
        <w:rPr>
          <w:color w:val="0C0C0C"/>
        </w:rPr>
        <w:t>is</w:t>
      </w:r>
      <w:r>
        <w:rPr>
          <w:color w:val="0C0C0C"/>
          <w:spacing w:val="-12"/>
        </w:rPr>
        <w:t> </w:t>
      </w:r>
      <w:r>
        <w:rPr>
          <w:color w:val="0C0C0C"/>
        </w:rPr>
        <w:t>reduced</w:t>
      </w:r>
      <w:r>
        <w:rPr>
          <w:color w:val="0C0C0C"/>
          <w:spacing w:val="-10"/>
        </w:rPr>
        <w:t> </w:t>
      </w:r>
      <w:r>
        <w:rPr>
          <w:color w:val="0C0C0C"/>
        </w:rPr>
        <w:t>when</w:t>
      </w:r>
      <w:r>
        <w:rPr>
          <w:color w:val="0C0C0C"/>
          <w:spacing w:val="-7"/>
        </w:rPr>
        <w:t> </w:t>
      </w:r>
      <w:r>
        <w:rPr>
          <w:color w:val="0C0C0C"/>
        </w:rPr>
        <w:t>assets</w:t>
      </w:r>
      <w:r>
        <w:rPr>
          <w:color w:val="0C0C0C"/>
          <w:spacing w:val="-16"/>
        </w:rPr>
        <w:t> </w:t>
      </w:r>
      <w:r>
        <w:rPr>
          <w:color w:val="0C0C0C"/>
        </w:rPr>
        <w:t>with</w:t>
      </w:r>
      <w:r>
        <w:rPr>
          <w:color w:val="0C0C0C"/>
          <w:spacing w:val="-10"/>
        </w:rPr>
        <w:t> </w:t>
      </w:r>
      <w:r>
        <w:rPr>
          <w:color w:val="0C0C0C"/>
        </w:rPr>
        <w:t>accumulated gains </w:t>
      </w:r>
      <w:r>
        <w:rPr>
          <w:color w:val="0C0C0C"/>
          <w:spacing w:val="-4"/>
        </w:rPr>
        <w:t>are:</w:t>
      </w:r>
    </w:p>
    <w:p>
      <w:pPr>
        <w:pStyle w:val="BodyText"/>
        <w:spacing w:before="21"/>
      </w:pPr>
    </w:p>
    <w:p>
      <w:pPr>
        <w:pStyle w:val="ListParagraph"/>
        <w:numPr>
          <w:ilvl w:val="0"/>
          <w:numId w:val="22"/>
        </w:numPr>
        <w:tabs>
          <w:tab w:val="left" w:leader="none" w:pos="2572"/>
        </w:tabs>
        <w:spacing w:before="0" w:after="0" w:line="240" w:lineRule="auto"/>
        <w:ind w:left="2572" w:right="0" w:hanging="358"/>
        <w:jc w:val="left"/>
        <w:rPr>
          <w:sz w:val="22"/>
        </w:rPr>
      </w:pPr>
      <w:r>
        <w:rPr>
          <w:color w:val="0C0C0C"/>
          <w:sz w:val="22"/>
        </w:rPr>
        <w:t>revalued</w:t>
      </w:r>
      <w:r>
        <w:rPr>
          <w:color w:val="0C0C0C"/>
          <w:spacing w:val="5"/>
          <w:sz w:val="22"/>
        </w:rPr>
        <w:t> </w:t>
      </w:r>
      <w:r>
        <w:rPr>
          <w:color w:val="0C0C0C"/>
          <w:sz w:val="22"/>
        </w:rPr>
        <w:t>downwards</w:t>
      </w:r>
      <w:r>
        <w:rPr>
          <w:color w:val="0C0C0C"/>
          <w:spacing w:val="13"/>
          <w:sz w:val="22"/>
        </w:rPr>
        <w:t> </w:t>
      </w:r>
      <w:r>
        <w:rPr>
          <w:color w:val="0C0C0C"/>
          <w:sz w:val="22"/>
        </w:rPr>
        <w:t>or</w:t>
      </w:r>
      <w:r>
        <w:rPr>
          <w:color w:val="0C0C0C"/>
          <w:spacing w:val="-5"/>
          <w:sz w:val="22"/>
        </w:rPr>
        <w:t> </w:t>
      </w:r>
      <w:r>
        <w:rPr>
          <w:color w:val="0C0C0C"/>
          <w:sz w:val="22"/>
        </w:rPr>
        <w:t>impaired</w:t>
      </w:r>
      <w:r>
        <w:rPr>
          <w:color w:val="0C0C0C"/>
          <w:spacing w:val="5"/>
          <w:sz w:val="22"/>
        </w:rPr>
        <w:t> </w:t>
      </w:r>
      <w:r>
        <w:rPr>
          <w:color w:val="0C0C0C"/>
          <w:sz w:val="22"/>
        </w:rPr>
        <w:t>and</w:t>
      </w:r>
      <w:r>
        <w:rPr>
          <w:color w:val="0C0C0C"/>
          <w:spacing w:val="-12"/>
          <w:sz w:val="22"/>
        </w:rPr>
        <w:t> </w:t>
      </w:r>
      <w:r>
        <w:rPr>
          <w:color w:val="0C0C0C"/>
          <w:sz w:val="22"/>
        </w:rPr>
        <w:t>the</w:t>
      </w:r>
      <w:r>
        <w:rPr>
          <w:color w:val="0C0C0C"/>
          <w:spacing w:val="-2"/>
          <w:sz w:val="22"/>
        </w:rPr>
        <w:t> </w:t>
      </w:r>
      <w:r>
        <w:rPr>
          <w:color w:val="0C0C0C"/>
          <w:sz w:val="22"/>
        </w:rPr>
        <w:t>gains</w:t>
      </w:r>
      <w:r>
        <w:rPr>
          <w:color w:val="0C0C0C"/>
          <w:spacing w:val="-2"/>
          <w:sz w:val="22"/>
        </w:rPr>
        <w:t> </w:t>
      </w:r>
      <w:r>
        <w:rPr>
          <w:color w:val="0C0C0C"/>
          <w:sz w:val="22"/>
        </w:rPr>
        <w:t>are</w:t>
      </w:r>
      <w:r>
        <w:rPr>
          <w:color w:val="0C0C0C"/>
          <w:spacing w:val="-5"/>
          <w:sz w:val="22"/>
        </w:rPr>
        <w:t> </w:t>
      </w:r>
      <w:r>
        <w:rPr>
          <w:color w:val="0C0C0C"/>
          <w:spacing w:val="-4"/>
          <w:sz w:val="22"/>
        </w:rPr>
        <w:t>lost</w:t>
      </w:r>
    </w:p>
    <w:p>
      <w:pPr>
        <w:pStyle w:val="ListParagraph"/>
        <w:numPr>
          <w:ilvl w:val="0"/>
          <w:numId w:val="22"/>
        </w:numPr>
        <w:tabs>
          <w:tab w:val="left" w:leader="none" w:pos="2569"/>
          <w:tab w:val="left" w:leader="none" w:pos="2572"/>
        </w:tabs>
        <w:spacing w:before="18" w:after="0" w:line="237" w:lineRule="auto"/>
        <w:ind w:left="2569" w:right="2183" w:hanging="356"/>
        <w:jc w:val="left"/>
        <w:rPr>
          <w:sz w:val="22"/>
        </w:rPr>
      </w:pPr>
      <w:r>
        <w:rPr>
          <w:color w:val="0C0C0C"/>
          <w:sz w:val="22"/>
        </w:rPr>
        <w:tab/>
        <w:t>used in</w:t>
      </w:r>
      <w:r>
        <w:rPr>
          <w:color w:val="0C0C0C"/>
          <w:spacing w:val="-9"/>
          <w:sz w:val="22"/>
        </w:rPr>
        <w:t> </w:t>
      </w:r>
      <w:r>
        <w:rPr>
          <w:color w:val="0C0C0C"/>
          <w:sz w:val="22"/>
        </w:rPr>
        <w:t>the</w:t>
      </w:r>
      <w:r>
        <w:rPr>
          <w:color w:val="0C0C0C"/>
          <w:spacing w:val="-3"/>
          <w:sz w:val="22"/>
        </w:rPr>
        <w:t> </w:t>
      </w:r>
      <w:r>
        <w:rPr>
          <w:color w:val="0C0C0C"/>
          <w:sz w:val="22"/>
        </w:rPr>
        <w:t>provision of</w:t>
      </w:r>
      <w:r>
        <w:rPr>
          <w:color w:val="0C0C0C"/>
          <w:spacing w:val="-4"/>
          <w:sz w:val="22"/>
        </w:rPr>
        <w:t> </w:t>
      </w:r>
      <w:r>
        <w:rPr>
          <w:color w:val="0C0C0C"/>
          <w:sz w:val="22"/>
        </w:rPr>
        <w:t>services and</w:t>
      </w:r>
      <w:r>
        <w:rPr>
          <w:color w:val="0C0C0C"/>
          <w:spacing w:val="-8"/>
          <w:sz w:val="22"/>
        </w:rPr>
        <w:t> </w:t>
      </w:r>
      <w:r>
        <w:rPr>
          <w:color w:val="0C0C0C"/>
          <w:sz w:val="22"/>
        </w:rPr>
        <w:t>the</w:t>
      </w:r>
      <w:r>
        <w:rPr>
          <w:color w:val="0C0C0C"/>
          <w:spacing w:val="-8"/>
          <w:sz w:val="22"/>
        </w:rPr>
        <w:t> </w:t>
      </w:r>
      <w:r>
        <w:rPr>
          <w:color w:val="0C0C0C"/>
          <w:sz w:val="22"/>
        </w:rPr>
        <w:t>gains are consumed through </w:t>
      </w:r>
      <w:r>
        <w:rPr>
          <w:color w:val="0C0C0C"/>
          <w:spacing w:val="-2"/>
          <w:sz w:val="22"/>
        </w:rPr>
        <w:t>depreciation</w:t>
      </w:r>
    </w:p>
    <w:p>
      <w:pPr>
        <w:pStyle w:val="ListParagraph"/>
        <w:numPr>
          <w:ilvl w:val="0"/>
          <w:numId w:val="22"/>
        </w:numPr>
        <w:tabs>
          <w:tab w:val="left" w:leader="none" w:pos="2564"/>
        </w:tabs>
        <w:spacing w:before="21" w:after="0" w:line="240" w:lineRule="auto"/>
        <w:ind w:left="2564" w:right="0" w:hanging="365"/>
        <w:jc w:val="left"/>
        <w:rPr>
          <w:sz w:val="22"/>
        </w:rPr>
      </w:pPr>
      <w:r>
        <w:rPr>
          <w:color w:val="0C0C0C"/>
          <w:sz w:val="22"/>
        </w:rPr>
        <w:t>disposed</w:t>
      </w:r>
      <w:r>
        <w:rPr>
          <w:color w:val="0C0C0C"/>
          <w:spacing w:val="8"/>
          <w:sz w:val="22"/>
        </w:rPr>
        <w:t> </w:t>
      </w:r>
      <w:r>
        <w:rPr>
          <w:color w:val="0C0C0C"/>
          <w:sz w:val="22"/>
        </w:rPr>
        <w:t>of</w:t>
      </w:r>
      <w:r>
        <w:rPr>
          <w:color w:val="0C0C0C"/>
          <w:spacing w:val="-6"/>
          <w:sz w:val="22"/>
        </w:rPr>
        <w:t> </w:t>
      </w:r>
      <w:r>
        <w:rPr>
          <w:color w:val="0C0C0C"/>
          <w:sz w:val="22"/>
        </w:rPr>
        <w:t>and</w:t>
      </w:r>
      <w:r>
        <w:rPr>
          <w:color w:val="0C0C0C"/>
          <w:spacing w:val="-12"/>
          <w:sz w:val="22"/>
        </w:rPr>
        <w:t> </w:t>
      </w:r>
      <w:r>
        <w:rPr>
          <w:color w:val="0C0C0C"/>
          <w:sz w:val="22"/>
        </w:rPr>
        <w:t>the</w:t>
      </w:r>
      <w:r>
        <w:rPr>
          <w:color w:val="0C0C0C"/>
          <w:spacing w:val="1"/>
          <w:sz w:val="22"/>
        </w:rPr>
        <w:t> </w:t>
      </w:r>
      <w:r>
        <w:rPr>
          <w:color w:val="0C0C0C"/>
          <w:sz w:val="22"/>
        </w:rPr>
        <w:t>gains</w:t>
      </w:r>
      <w:r>
        <w:rPr>
          <w:color w:val="0C0C0C"/>
          <w:spacing w:val="8"/>
          <w:sz w:val="22"/>
        </w:rPr>
        <w:t> </w:t>
      </w:r>
      <w:r>
        <w:rPr>
          <w:color w:val="0C0C0C"/>
          <w:sz w:val="22"/>
        </w:rPr>
        <w:t>are</w:t>
      </w:r>
      <w:r>
        <w:rPr>
          <w:color w:val="0C0C0C"/>
          <w:spacing w:val="-3"/>
          <w:sz w:val="22"/>
        </w:rPr>
        <w:t> </w:t>
      </w:r>
      <w:r>
        <w:rPr>
          <w:color w:val="0C0C0C"/>
          <w:spacing w:val="-2"/>
          <w:sz w:val="22"/>
        </w:rPr>
        <w:t>realised</w:t>
      </w:r>
    </w:p>
    <w:p>
      <w:pPr>
        <w:pStyle w:val="BodyText"/>
        <w:spacing w:before="247"/>
        <w:ind w:left="1093" w:right="920" w:firstLine="7"/>
        <w:jc w:val="both"/>
      </w:pPr>
      <w:r>
        <w:rPr>
          <w:color w:val="0C0C0C"/>
        </w:rPr>
        <w:t>The reserve contains only revaluation gains accumulated since 1 April 2007, the date that the reserve was</w:t>
      </w:r>
      <w:r>
        <w:rPr>
          <w:color w:val="0C0C0C"/>
          <w:spacing w:val="-7"/>
        </w:rPr>
        <w:t> </w:t>
      </w:r>
      <w:r>
        <w:rPr>
          <w:color w:val="0C0C0C"/>
        </w:rPr>
        <w:t>created. Accumulated gains</w:t>
      </w:r>
      <w:r>
        <w:rPr>
          <w:color w:val="0C0C0C"/>
          <w:spacing w:val="-5"/>
        </w:rPr>
        <w:t> </w:t>
      </w:r>
      <w:r>
        <w:rPr>
          <w:color w:val="0C0C0C"/>
        </w:rPr>
        <w:t>arising</w:t>
      </w:r>
      <w:r>
        <w:rPr>
          <w:color w:val="0C0C0C"/>
          <w:spacing w:val="-3"/>
        </w:rPr>
        <w:t> </w:t>
      </w:r>
      <w:r>
        <w:rPr>
          <w:color w:val="0C0C0C"/>
        </w:rPr>
        <w:t>before</w:t>
      </w:r>
      <w:r>
        <w:rPr>
          <w:color w:val="0C0C0C"/>
          <w:spacing w:val="-9"/>
        </w:rPr>
        <w:t> </w:t>
      </w:r>
      <w:r>
        <w:rPr>
          <w:color w:val="0C0C0C"/>
        </w:rPr>
        <w:t>that</w:t>
      </w:r>
      <w:r>
        <w:rPr>
          <w:color w:val="0C0C0C"/>
          <w:spacing w:val="-2"/>
        </w:rPr>
        <w:t> </w:t>
      </w:r>
      <w:r>
        <w:rPr>
          <w:color w:val="0C0C0C"/>
        </w:rPr>
        <w:t>date</w:t>
      </w:r>
      <w:r>
        <w:rPr>
          <w:color w:val="0C0C0C"/>
          <w:spacing w:val="-4"/>
        </w:rPr>
        <w:t> </w:t>
      </w:r>
      <w:r>
        <w:rPr>
          <w:color w:val="0C0C0C"/>
        </w:rPr>
        <w:t>are</w:t>
      </w:r>
      <w:r>
        <w:rPr>
          <w:color w:val="0C0C0C"/>
          <w:spacing w:val="-13"/>
        </w:rPr>
        <w:t> </w:t>
      </w:r>
      <w:r>
        <w:rPr>
          <w:color w:val="0C0C0C"/>
        </w:rPr>
        <w:t>consolidated into</w:t>
      </w:r>
      <w:r>
        <w:rPr>
          <w:color w:val="0C0C0C"/>
          <w:spacing w:val="-7"/>
        </w:rPr>
        <w:t> </w:t>
      </w:r>
      <w:r>
        <w:rPr>
          <w:color w:val="0C0C0C"/>
        </w:rPr>
        <w:t>the</w:t>
      </w:r>
      <w:r>
        <w:rPr>
          <w:color w:val="0C0C0C"/>
          <w:spacing w:val="-16"/>
        </w:rPr>
        <w:t> </w:t>
      </w:r>
      <w:r>
        <w:rPr>
          <w:color w:val="0C0C0C"/>
        </w:rPr>
        <w:t>balance on</w:t>
      </w:r>
      <w:r>
        <w:rPr>
          <w:color w:val="0C0C0C"/>
          <w:spacing w:val="-6"/>
        </w:rPr>
        <w:t> </w:t>
      </w:r>
      <w:r>
        <w:rPr>
          <w:color w:val="0C0C0C"/>
        </w:rPr>
        <w:t>the Capital Adjustment Account. A summary of the</w:t>
      </w:r>
      <w:r>
        <w:rPr>
          <w:color w:val="0C0C0C"/>
          <w:spacing w:val="-8"/>
        </w:rPr>
        <w:t> </w:t>
      </w:r>
      <w:r>
        <w:rPr>
          <w:color w:val="0C0C0C"/>
        </w:rPr>
        <w:t>movement in</w:t>
      </w:r>
      <w:r>
        <w:rPr>
          <w:color w:val="0C0C0C"/>
          <w:spacing w:val="-9"/>
        </w:rPr>
        <w:t> </w:t>
      </w:r>
      <w:r>
        <w:rPr>
          <w:color w:val="0C0C0C"/>
        </w:rPr>
        <w:t>the</w:t>
      </w:r>
      <w:r>
        <w:rPr>
          <w:color w:val="0C0C0C"/>
          <w:spacing w:val="-8"/>
        </w:rPr>
        <w:t> </w:t>
      </w:r>
      <w:r>
        <w:rPr>
          <w:color w:val="0C0C0C"/>
        </w:rPr>
        <w:t>reserve during the year is as follows:</w:t>
      </w:r>
    </w:p>
    <w:p>
      <w:pPr>
        <w:pStyle w:val="BodyText"/>
        <w:spacing w:before="96"/>
        <w:rPr>
          <w:sz w:val="20"/>
        </w:rPr>
      </w:pPr>
    </w:p>
    <w:tbl>
      <w:tblPr>
        <w:tblW w:w="0" w:type="auto"/>
        <w:jc w:val="left"/>
        <w:tblInd w:w="11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08"/>
        <w:gridCol w:w="6866"/>
        <w:gridCol w:w="1308"/>
      </w:tblGrid>
      <w:tr>
        <w:trPr>
          <w:trHeight w:val="252" w:hRule="atLeast"/>
        </w:trPr>
        <w:tc>
          <w:tcPr>
            <w:tcW w:w="1308" w:type="dxa"/>
          </w:tcPr>
          <w:p>
            <w:pPr>
              <w:pStyle w:val="TableParagraph"/>
              <w:spacing w:line="233" w:lineRule="exact"/>
              <w:ind w:left="268"/>
              <w:rPr>
                <w:b/>
                <w:sz w:val="22"/>
              </w:rPr>
            </w:pPr>
            <w:r>
              <w:rPr>
                <w:b/>
                <w:color w:val="0C0C0C"/>
                <w:sz w:val="22"/>
              </w:rPr>
              <w:t>2021-</w:t>
            </w:r>
            <w:r>
              <w:rPr>
                <w:b/>
                <w:color w:val="0C0C0C"/>
                <w:spacing w:val="-5"/>
                <w:sz w:val="22"/>
              </w:rPr>
              <w:t>22</w:t>
            </w:r>
          </w:p>
        </w:tc>
        <w:tc>
          <w:tcPr>
            <w:tcW w:w="8174" w:type="dxa"/>
            <w:gridSpan w:val="2"/>
          </w:tcPr>
          <w:p>
            <w:pPr>
              <w:pStyle w:val="TableParagraph"/>
              <w:spacing w:line="233" w:lineRule="exact"/>
              <w:ind w:right="260"/>
              <w:jc w:val="right"/>
              <w:rPr>
                <w:b/>
                <w:sz w:val="22"/>
              </w:rPr>
            </w:pPr>
            <w:r>
              <w:rPr>
                <w:b/>
                <w:color w:val="0C0C0C"/>
                <w:spacing w:val="-5"/>
                <w:sz w:val="22"/>
              </w:rPr>
              <w:t>2022-23</w:t>
            </w:r>
          </w:p>
        </w:tc>
      </w:tr>
      <w:tr>
        <w:trPr>
          <w:trHeight w:val="252" w:hRule="atLeast"/>
        </w:trPr>
        <w:tc>
          <w:tcPr>
            <w:tcW w:w="1308" w:type="dxa"/>
          </w:tcPr>
          <w:p>
            <w:pPr>
              <w:pStyle w:val="TableParagraph"/>
              <w:spacing w:line="233" w:lineRule="exact"/>
              <w:ind w:left="421"/>
              <w:rPr>
                <w:b/>
                <w:sz w:val="22"/>
              </w:rPr>
            </w:pPr>
            <w:r>
              <w:rPr>
                <w:b/>
                <w:color w:val="0C0C0C"/>
                <w:spacing w:val="-4"/>
                <w:sz w:val="22"/>
              </w:rPr>
              <w:t>£000</w:t>
            </w:r>
          </w:p>
        </w:tc>
        <w:tc>
          <w:tcPr>
            <w:tcW w:w="8174" w:type="dxa"/>
            <w:gridSpan w:val="2"/>
          </w:tcPr>
          <w:p>
            <w:pPr>
              <w:pStyle w:val="TableParagraph"/>
              <w:spacing w:line="233" w:lineRule="exact"/>
              <w:ind w:right="409"/>
              <w:jc w:val="right"/>
              <w:rPr>
                <w:b/>
                <w:sz w:val="22"/>
              </w:rPr>
            </w:pPr>
            <w:r>
              <w:rPr>
                <w:b/>
                <w:color w:val="0C0C0C"/>
                <w:spacing w:val="-4"/>
                <w:sz w:val="22"/>
              </w:rPr>
              <w:t>£000</w:t>
            </w:r>
          </w:p>
        </w:tc>
      </w:tr>
      <w:tr>
        <w:trPr>
          <w:trHeight w:val="727" w:hRule="atLeast"/>
        </w:trPr>
        <w:tc>
          <w:tcPr>
            <w:tcW w:w="1308" w:type="dxa"/>
          </w:tcPr>
          <w:p>
            <w:pPr>
              <w:pStyle w:val="TableParagraph"/>
              <w:spacing w:before="147"/>
              <w:rPr>
                <w:sz w:val="22"/>
              </w:rPr>
            </w:pPr>
          </w:p>
          <w:p>
            <w:pPr>
              <w:pStyle w:val="TableParagraph"/>
              <w:ind w:right="100"/>
              <w:jc w:val="right"/>
              <w:rPr>
                <w:b/>
                <w:sz w:val="22"/>
              </w:rPr>
            </w:pPr>
            <w:r>
              <w:rPr>
                <w:b/>
                <w:color w:val="0C0C0C"/>
                <w:spacing w:val="-2"/>
                <w:sz w:val="22"/>
              </w:rPr>
              <w:t>(79,853)</w:t>
            </w:r>
          </w:p>
        </w:tc>
        <w:tc>
          <w:tcPr>
            <w:tcW w:w="6866" w:type="dxa"/>
          </w:tcPr>
          <w:p>
            <w:pPr>
              <w:pStyle w:val="TableParagraph"/>
              <w:spacing w:before="147"/>
              <w:rPr>
                <w:sz w:val="22"/>
              </w:rPr>
            </w:pPr>
          </w:p>
          <w:p>
            <w:pPr>
              <w:pStyle w:val="TableParagraph"/>
              <w:ind w:left="445"/>
              <w:rPr>
                <w:b/>
                <w:sz w:val="22"/>
              </w:rPr>
            </w:pPr>
            <w:r>
              <w:rPr>
                <w:b/>
                <w:color w:val="0C0C0C"/>
                <w:sz w:val="22"/>
              </w:rPr>
              <w:t>Balance</w:t>
            </w:r>
            <w:r>
              <w:rPr>
                <w:b/>
                <w:color w:val="0C0C0C"/>
                <w:spacing w:val="12"/>
                <w:sz w:val="22"/>
              </w:rPr>
              <w:t> </w:t>
            </w:r>
            <w:r>
              <w:rPr>
                <w:b/>
                <w:color w:val="0C0C0C"/>
                <w:sz w:val="22"/>
              </w:rPr>
              <w:t>as at</w:t>
            </w:r>
            <w:r>
              <w:rPr>
                <w:b/>
                <w:color w:val="0C0C0C"/>
                <w:spacing w:val="-3"/>
                <w:sz w:val="22"/>
              </w:rPr>
              <w:t> </w:t>
            </w:r>
            <w:r>
              <w:rPr>
                <w:b/>
                <w:color w:val="0C0C0C"/>
                <w:sz w:val="22"/>
              </w:rPr>
              <w:t>1</w:t>
            </w:r>
            <w:r>
              <w:rPr>
                <w:b/>
                <w:color w:val="0C0C0C"/>
                <w:spacing w:val="-2"/>
                <w:sz w:val="22"/>
              </w:rPr>
              <w:t> April</w:t>
            </w:r>
          </w:p>
        </w:tc>
        <w:tc>
          <w:tcPr>
            <w:tcW w:w="1308" w:type="dxa"/>
          </w:tcPr>
          <w:p>
            <w:pPr>
              <w:pStyle w:val="TableParagraph"/>
              <w:spacing w:before="142"/>
              <w:rPr>
                <w:sz w:val="22"/>
              </w:rPr>
            </w:pPr>
          </w:p>
          <w:p>
            <w:pPr>
              <w:pStyle w:val="TableParagraph"/>
              <w:ind w:right="130"/>
              <w:jc w:val="right"/>
              <w:rPr>
                <w:b/>
                <w:sz w:val="22"/>
              </w:rPr>
            </w:pPr>
            <w:r>
              <w:rPr>
                <w:b/>
                <w:color w:val="0C0C0C"/>
                <w:spacing w:val="-2"/>
                <w:sz w:val="22"/>
              </w:rPr>
              <w:t>(86,214)</w:t>
            </w:r>
          </w:p>
        </w:tc>
      </w:tr>
      <w:tr>
        <w:trPr>
          <w:trHeight w:val="396" w:hRule="atLeast"/>
        </w:trPr>
        <w:tc>
          <w:tcPr>
            <w:tcW w:w="1308" w:type="dxa"/>
          </w:tcPr>
          <w:p>
            <w:pPr>
              <w:pStyle w:val="TableParagraph"/>
              <w:spacing w:before="67"/>
              <w:ind w:right="116"/>
              <w:jc w:val="right"/>
              <w:rPr>
                <w:sz w:val="22"/>
              </w:rPr>
            </w:pPr>
            <w:r>
              <w:rPr>
                <w:color w:val="0C0C0C"/>
                <w:spacing w:val="-2"/>
                <w:sz w:val="22"/>
              </w:rPr>
              <w:t>(7,451)</w:t>
            </w:r>
          </w:p>
        </w:tc>
        <w:tc>
          <w:tcPr>
            <w:tcW w:w="6866" w:type="dxa"/>
          </w:tcPr>
          <w:p>
            <w:pPr>
              <w:pStyle w:val="TableParagraph"/>
              <w:spacing w:before="72"/>
              <w:ind w:left="439"/>
              <w:rPr>
                <w:sz w:val="22"/>
              </w:rPr>
            </w:pPr>
            <w:r>
              <w:rPr>
                <w:color w:val="0C0C0C"/>
                <w:sz w:val="22"/>
              </w:rPr>
              <w:t>Upward</w:t>
            </w:r>
            <w:r>
              <w:rPr>
                <w:color w:val="0C0C0C"/>
                <w:spacing w:val="-7"/>
                <w:sz w:val="22"/>
              </w:rPr>
              <w:t> </w:t>
            </w:r>
            <w:r>
              <w:rPr>
                <w:color w:val="0C0C0C"/>
                <w:sz w:val="22"/>
              </w:rPr>
              <w:t>revaluation</w:t>
            </w:r>
            <w:r>
              <w:rPr>
                <w:color w:val="0C0C0C"/>
                <w:spacing w:val="5"/>
                <w:sz w:val="22"/>
              </w:rPr>
              <w:t> </w:t>
            </w:r>
            <w:r>
              <w:rPr>
                <w:color w:val="0C0C0C"/>
                <w:sz w:val="22"/>
              </w:rPr>
              <w:t>of</w:t>
            </w:r>
            <w:r>
              <w:rPr>
                <w:color w:val="0C0C0C"/>
                <w:spacing w:val="-13"/>
                <w:sz w:val="22"/>
              </w:rPr>
              <w:t> </w:t>
            </w:r>
            <w:r>
              <w:rPr>
                <w:color w:val="0C0C0C"/>
                <w:sz w:val="22"/>
              </w:rPr>
              <w:t>non-current</w:t>
            </w:r>
            <w:r>
              <w:rPr>
                <w:color w:val="0C0C0C"/>
                <w:spacing w:val="15"/>
                <w:sz w:val="22"/>
              </w:rPr>
              <w:t> </w:t>
            </w:r>
            <w:r>
              <w:rPr>
                <w:color w:val="0C0C0C"/>
                <w:spacing w:val="-2"/>
                <w:sz w:val="22"/>
              </w:rPr>
              <w:t>assets</w:t>
            </w:r>
          </w:p>
        </w:tc>
        <w:tc>
          <w:tcPr>
            <w:tcW w:w="1308" w:type="dxa"/>
          </w:tcPr>
          <w:p>
            <w:pPr>
              <w:pStyle w:val="TableParagraph"/>
              <w:spacing w:before="67"/>
              <w:ind w:right="141"/>
              <w:jc w:val="right"/>
              <w:rPr>
                <w:sz w:val="22"/>
              </w:rPr>
            </w:pPr>
            <w:r>
              <w:rPr>
                <w:color w:val="0C0C0C"/>
                <w:spacing w:val="-2"/>
                <w:sz w:val="22"/>
              </w:rPr>
              <w:t>(18,708)</w:t>
            </w:r>
          </w:p>
        </w:tc>
      </w:tr>
      <w:tr>
        <w:trPr>
          <w:trHeight w:val="345" w:hRule="atLeast"/>
        </w:trPr>
        <w:tc>
          <w:tcPr>
            <w:tcW w:w="1308" w:type="dxa"/>
          </w:tcPr>
          <w:p>
            <w:pPr>
              <w:pStyle w:val="TableParagraph"/>
              <w:rPr>
                <w:rFonts w:ascii="Times New Roman"/>
                <w:sz w:val="20"/>
              </w:rPr>
            </w:pPr>
          </w:p>
        </w:tc>
        <w:tc>
          <w:tcPr>
            <w:tcW w:w="6866" w:type="dxa"/>
          </w:tcPr>
          <w:p>
            <w:pPr>
              <w:pStyle w:val="TableParagraph"/>
              <w:spacing w:before="69"/>
              <w:ind w:left="437"/>
              <w:rPr>
                <w:sz w:val="22"/>
              </w:rPr>
            </w:pPr>
            <w:r>
              <w:rPr>
                <w:color w:val="0C0C0C"/>
                <w:sz w:val="22"/>
              </w:rPr>
              <w:t>Accumulated</w:t>
            </w:r>
            <w:r>
              <w:rPr>
                <w:color w:val="0C0C0C"/>
                <w:spacing w:val="-1"/>
                <w:sz w:val="22"/>
              </w:rPr>
              <w:t> </w:t>
            </w:r>
            <w:r>
              <w:rPr>
                <w:color w:val="0C0C0C"/>
                <w:sz w:val="22"/>
              </w:rPr>
              <w:t>gains</w:t>
            </w:r>
            <w:r>
              <w:rPr>
                <w:color w:val="0C0C0C"/>
                <w:spacing w:val="7"/>
                <w:sz w:val="22"/>
              </w:rPr>
              <w:t> </w:t>
            </w:r>
            <w:r>
              <w:rPr>
                <w:color w:val="0C0C0C"/>
                <w:sz w:val="22"/>
              </w:rPr>
              <w:t>on</w:t>
            </w:r>
            <w:r>
              <w:rPr>
                <w:color w:val="0C0C0C"/>
                <w:spacing w:val="-14"/>
                <w:sz w:val="22"/>
              </w:rPr>
              <w:t> </w:t>
            </w:r>
            <w:r>
              <w:rPr>
                <w:color w:val="0C0C0C"/>
                <w:sz w:val="22"/>
              </w:rPr>
              <w:t>non-current</w:t>
            </w:r>
            <w:r>
              <w:rPr>
                <w:color w:val="0C0C0C"/>
                <w:spacing w:val="12"/>
                <w:sz w:val="22"/>
              </w:rPr>
              <w:t> </w:t>
            </w:r>
            <w:r>
              <w:rPr>
                <w:color w:val="0C0C0C"/>
                <w:sz w:val="22"/>
              </w:rPr>
              <w:t>assets</w:t>
            </w:r>
            <w:r>
              <w:rPr>
                <w:color w:val="0C0C0C"/>
                <w:spacing w:val="1"/>
                <w:sz w:val="22"/>
              </w:rPr>
              <w:t> </w:t>
            </w:r>
            <w:r>
              <w:rPr>
                <w:color w:val="0C0C0C"/>
                <w:spacing w:val="-2"/>
                <w:sz w:val="22"/>
              </w:rPr>
              <w:t>disposed</w:t>
            </w:r>
          </w:p>
        </w:tc>
        <w:tc>
          <w:tcPr>
            <w:tcW w:w="1308" w:type="dxa"/>
          </w:tcPr>
          <w:p>
            <w:pPr>
              <w:pStyle w:val="TableParagraph"/>
              <w:spacing w:before="64"/>
              <w:ind w:right="187"/>
              <w:jc w:val="right"/>
              <w:rPr>
                <w:sz w:val="22"/>
              </w:rPr>
            </w:pPr>
            <w:r>
              <w:rPr>
                <w:color w:val="0C0C0C"/>
                <w:spacing w:val="-2"/>
                <w:sz w:val="22"/>
              </w:rPr>
              <w:t>1,004</w:t>
            </w:r>
          </w:p>
        </w:tc>
      </w:tr>
      <w:tr>
        <w:trPr>
          <w:trHeight w:val="652" w:hRule="atLeast"/>
        </w:trPr>
        <w:tc>
          <w:tcPr>
            <w:tcW w:w="1308" w:type="dxa"/>
            <w:tcBorders>
              <w:bottom w:val="single" w:color="000000" w:sz="6" w:space="0"/>
            </w:tcBorders>
          </w:tcPr>
          <w:p>
            <w:pPr>
              <w:pStyle w:val="TableParagraph"/>
              <w:spacing w:before="21"/>
              <w:ind w:right="108"/>
              <w:jc w:val="right"/>
              <w:rPr>
                <w:sz w:val="22"/>
              </w:rPr>
            </w:pPr>
            <w:r>
              <w:rPr>
                <w:color w:val="0C0C0C"/>
                <w:spacing w:val="-2"/>
                <w:sz w:val="22"/>
              </w:rPr>
              <w:t>1,090</w:t>
            </w:r>
          </w:p>
        </w:tc>
        <w:tc>
          <w:tcPr>
            <w:tcW w:w="6866" w:type="dxa"/>
          </w:tcPr>
          <w:p>
            <w:pPr>
              <w:pStyle w:val="TableParagraph"/>
              <w:spacing w:before="21"/>
              <w:ind w:left="433" w:right="221" w:hanging="4"/>
              <w:rPr>
                <w:sz w:val="22"/>
              </w:rPr>
            </w:pPr>
            <w:r>
              <w:rPr>
                <w:color w:val="0C0C0C"/>
                <w:sz w:val="22"/>
              </w:rPr>
              <w:t>Difference between current value</w:t>
            </w:r>
            <w:r>
              <w:rPr>
                <w:color w:val="0C0C0C"/>
                <w:spacing w:val="-4"/>
                <w:sz w:val="22"/>
              </w:rPr>
              <w:t> </w:t>
            </w:r>
            <w:r>
              <w:rPr>
                <w:color w:val="0C0C0C"/>
                <w:sz w:val="22"/>
              </w:rPr>
              <w:t>depreciation and</w:t>
            </w:r>
            <w:r>
              <w:rPr>
                <w:color w:val="0C0C0C"/>
                <w:spacing w:val="-10"/>
                <w:sz w:val="22"/>
              </w:rPr>
              <w:t> </w:t>
            </w:r>
            <w:r>
              <w:rPr>
                <w:color w:val="0C0C0C"/>
                <w:sz w:val="22"/>
              </w:rPr>
              <w:t>historical cost depreciation</w:t>
            </w:r>
          </w:p>
        </w:tc>
        <w:tc>
          <w:tcPr>
            <w:tcW w:w="1308" w:type="dxa"/>
            <w:tcBorders>
              <w:bottom w:val="single" w:color="000000" w:sz="6" w:space="0"/>
            </w:tcBorders>
          </w:tcPr>
          <w:p>
            <w:pPr>
              <w:pStyle w:val="TableParagraph"/>
              <w:spacing w:before="16"/>
              <w:ind w:right="192"/>
              <w:jc w:val="right"/>
              <w:rPr>
                <w:sz w:val="22"/>
              </w:rPr>
            </w:pPr>
            <w:r>
              <w:rPr>
                <w:color w:val="0C0C0C"/>
                <w:spacing w:val="-5"/>
                <w:sz w:val="22"/>
              </w:rPr>
              <w:t>972</w:t>
            </w:r>
          </w:p>
        </w:tc>
      </w:tr>
      <w:tr>
        <w:trPr>
          <w:trHeight w:val="265" w:hRule="atLeast"/>
        </w:trPr>
        <w:tc>
          <w:tcPr>
            <w:tcW w:w="1308" w:type="dxa"/>
            <w:tcBorders>
              <w:top w:val="single" w:color="000000" w:sz="6" w:space="0"/>
            </w:tcBorders>
          </w:tcPr>
          <w:p>
            <w:pPr>
              <w:pStyle w:val="TableParagraph"/>
              <w:spacing w:before="2" w:line="238" w:lineRule="exact"/>
              <w:ind w:right="119"/>
              <w:jc w:val="right"/>
              <w:rPr>
                <w:b/>
                <w:sz w:val="22"/>
              </w:rPr>
            </w:pPr>
            <w:r>
              <w:rPr>
                <w:b/>
                <w:color w:val="0C0C0C"/>
                <w:spacing w:val="-2"/>
                <w:sz w:val="22"/>
              </w:rPr>
              <w:t>(86,214)</w:t>
            </w:r>
          </w:p>
        </w:tc>
        <w:tc>
          <w:tcPr>
            <w:tcW w:w="6866" w:type="dxa"/>
          </w:tcPr>
          <w:p>
            <w:pPr>
              <w:pStyle w:val="TableParagraph"/>
              <w:spacing w:before="12" w:line="233" w:lineRule="exact"/>
              <w:ind w:left="425"/>
              <w:rPr>
                <w:b/>
                <w:sz w:val="22"/>
              </w:rPr>
            </w:pPr>
            <w:r>
              <w:rPr>
                <w:b/>
                <w:color w:val="0C0C0C"/>
                <w:sz w:val="22"/>
              </w:rPr>
              <w:t>Balance</w:t>
            </w:r>
            <w:r>
              <w:rPr>
                <w:b/>
                <w:color w:val="0C0C0C"/>
                <w:spacing w:val="8"/>
                <w:sz w:val="22"/>
              </w:rPr>
              <w:t> </w:t>
            </w:r>
            <w:r>
              <w:rPr>
                <w:b/>
                <w:color w:val="0C0C0C"/>
                <w:sz w:val="22"/>
              </w:rPr>
              <w:t>as</w:t>
            </w:r>
            <w:r>
              <w:rPr>
                <w:b/>
                <w:color w:val="0C0C0C"/>
                <w:spacing w:val="-1"/>
                <w:sz w:val="22"/>
              </w:rPr>
              <w:t> </w:t>
            </w:r>
            <w:r>
              <w:rPr>
                <w:b/>
                <w:color w:val="0C0C0C"/>
                <w:sz w:val="22"/>
              </w:rPr>
              <w:t>at</w:t>
            </w:r>
            <w:r>
              <w:rPr>
                <w:b/>
                <w:color w:val="0C0C0C"/>
                <w:spacing w:val="2"/>
                <w:sz w:val="22"/>
              </w:rPr>
              <w:t> </w:t>
            </w:r>
            <w:r>
              <w:rPr>
                <w:b/>
                <w:color w:val="0C0C0C"/>
                <w:sz w:val="22"/>
              </w:rPr>
              <w:t>31</w:t>
            </w:r>
            <w:r>
              <w:rPr>
                <w:b/>
                <w:color w:val="0C0C0C"/>
                <w:spacing w:val="-6"/>
                <w:sz w:val="22"/>
              </w:rPr>
              <w:t> </w:t>
            </w:r>
            <w:r>
              <w:rPr>
                <w:b/>
                <w:color w:val="0C0C0C"/>
                <w:spacing w:val="-2"/>
                <w:sz w:val="22"/>
              </w:rPr>
              <w:t>March</w:t>
            </w:r>
          </w:p>
        </w:tc>
        <w:tc>
          <w:tcPr>
            <w:tcW w:w="1308" w:type="dxa"/>
            <w:tcBorders>
              <w:top w:val="single" w:color="000000" w:sz="6" w:space="0"/>
            </w:tcBorders>
          </w:tcPr>
          <w:p>
            <w:pPr>
              <w:pStyle w:val="TableParagraph"/>
              <w:spacing w:before="2" w:line="243" w:lineRule="exact"/>
              <w:ind w:right="144"/>
              <w:jc w:val="right"/>
              <w:rPr>
                <w:b/>
                <w:sz w:val="22"/>
              </w:rPr>
            </w:pPr>
            <w:r>
              <w:rPr>
                <w:b/>
                <w:color w:val="0C0C0C"/>
                <w:spacing w:val="-2"/>
                <w:sz w:val="22"/>
              </w:rPr>
              <w:t>(102,946)</w:t>
            </w:r>
          </w:p>
        </w:tc>
      </w:tr>
    </w:tbl>
    <w:p>
      <w:pPr>
        <w:spacing w:after="0" w:line="243" w:lineRule="exact"/>
        <w:jc w:val="right"/>
        <w:rPr>
          <w:sz w:val="22"/>
        </w:rPr>
        <w:sectPr>
          <w:headerReference w:type="even" r:id="rId217"/>
          <w:pgSz w:w="11910" w:h="16830"/>
          <w:pgMar w:top="900" w:right="340" w:bottom="2360" w:left="0" w:header="0" w:footer="0"/>
        </w:sectPr>
      </w:pPr>
    </w:p>
    <w:p>
      <w:pPr>
        <w:tabs>
          <w:tab w:val="left" w:leader="none" w:pos="1705"/>
        </w:tabs>
        <w:spacing w:before="84"/>
        <w:ind w:left="1003" w:right="0" w:firstLine="0"/>
        <w:jc w:val="both"/>
        <w:rPr>
          <w:sz w:val="14"/>
        </w:rPr>
      </w:pPr>
      <w:r>
        <w:rPr>
          <w:color w:val="AAAAAA"/>
          <w:spacing w:val="-10"/>
          <w:w w:val="105"/>
          <w:sz w:val="14"/>
        </w:rPr>
        <w:t>S</w:t>
      </w:r>
      <w:r>
        <w:rPr>
          <w:color w:val="AAAAAA"/>
          <w:sz w:val="14"/>
        </w:rPr>
        <w:tab/>
      </w:r>
      <w:r>
        <w:rPr>
          <w:color w:val="AAAAAA"/>
          <w:w w:val="105"/>
          <w:sz w:val="14"/>
        </w:rPr>
        <w:t>NOTES</w:t>
      </w:r>
      <w:r>
        <w:rPr>
          <w:color w:val="AAAAAA"/>
          <w:spacing w:val="37"/>
          <w:w w:val="105"/>
          <w:sz w:val="14"/>
        </w:rPr>
        <w:t> </w:t>
      </w:r>
      <w:r>
        <w:rPr>
          <w:color w:val="AAAAAA"/>
          <w:w w:val="105"/>
          <w:sz w:val="14"/>
        </w:rPr>
        <w:t>TO</w:t>
      </w:r>
      <w:r>
        <w:rPr>
          <w:color w:val="AAAAAA"/>
          <w:spacing w:val="29"/>
          <w:w w:val="105"/>
          <w:sz w:val="14"/>
        </w:rPr>
        <w:t> </w:t>
      </w:r>
      <w:r>
        <w:rPr>
          <w:color w:val="AAAAAA"/>
          <w:w w:val="105"/>
          <w:sz w:val="14"/>
        </w:rPr>
        <w:t>THE</w:t>
      </w:r>
      <w:r>
        <w:rPr>
          <w:color w:val="AAAAAA"/>
          <w:spacing w:val="32"/>
          <w:w w:val="105"/>
          <w:sz w:val="14"/>
        </w:rPr>
        <w:t> </w:t>
      </w:r>
      <w:r>
        <w:rPr>
          <w:color w:val="AAAAAA"/>
          <w:spacing w:val="-2"/>
          <w:w w:val="105"/>
          <w:sz w:val="14"/>
        </w:rPr>
        <w:t>ACCOUNTS</w:t>
      </w:r>
    </w:p>
    <w:p>
      <w:pPr>
        <w:pStyle w:val="BodyText"/>
        <w:spacing w:before="88"/>
        <w:rPr>
          <w:sz w:val="14"/>
        </w:rPr>
      </w:pPr>
    </w:p>
    <w:p>
      <w:pPr>
        <w:pStyle w:val="ListParagraph"/>
        <w:numPr>
          <w:ilvl w:val="2"/>
          <w:numId w:val="23"/>
        </w:numPr>
        <w:tabs>
          <w:tab w:val="left" w:leader="none" w:pos="1821"/>
        </w:tabs>
        <w:spacing w:before="0" w:after="0" w:line="240" w:lineRule="auto"/>
        <w:ind w:left="1821" w:right="0" w:hanging="836"/>
        <w:jc w:val="left"/>
        <w:rPr>
          <w:b/>
          <w:color w:val="0A0A0A"/>
          <w:sz w:val="21"/>
        </w:rPr>
      </w:pPr>
      <w:r>
        <w:rPr>
          <w:b/>
          <w:color w:val="0A0A0A"/>
          <w:w w:val="105"/>
          <w:sz w:val="21"/>
        </w:rPr>
        <w:t>Capital</w:t>
      </w:r>
      <w:r>
        <w:rPr>
          <w:b/>
          <w:color w:val="0A0A0A"/>
          <w:spacing w:val="-9"/>
          <w:w w:val="105"/>
          <w:sz w:val="21"/>
        </w:rPr>
        <w:t> </w:t>
      </w:r>
      <w:r>
        <w:rPr>
          <w:b/>
          <w:color w:val="0A0A0A"/>
          <w:w w:val="105"/>
          <w:sz w:val="21"/>
        </w:rPr>
        <w:t>Adjustment</w:t>
      </w:r>
      <w:r>
        <w:rPr>
          <w:b/>
          <w:color w:val="0A0A0A"/>
          <w:spacing w:val="2"/>
          <w:w w:val="105"/>
          <w:sz w:val="21"/>
        </w:rPr>
        <w:t> </w:t>
      </w:r>
      <w:r>
        <w:rPr>
          <w:b/>
          <w:color w:val="0A0A0A"/>
          <w:spacing w:val="-2"/>
          <w:w w:val="105"/>
          <w:sz w:val="21"/>
        </w:rPr>
        <w:t>Account</w:t>
      </w:r>
    </w:p>
    <w:p>
      <w:pPr>
        <w:pStyle w:val="BodyText"/>
        <w:spacing w:before="7"/>
        <w:rPr>
          <w:b/>
          <w:sz w:val="21"/>
        </w:rPr>
      </w:pPr>
    </w:p>
    <w:p>
      <w:pPr>
        <w:spacing w:before="0" w:line="249" w:lineRule="auto"/>
        <w:ind w:left="987" w:right="1117" w:hanging="3"/>
        <w:jc w:val="both"/>
        <w:rPr>
          <w:sz w:val="21"/>
        </w:rPr>
      </w:pPr>
      <w:r>
        <w:rPr>
          <w:color w:val="0A0A0A"/>
          <w:w w:val="105"/>
          <w:sz w:val="21"/>
        </w:rPr>
        <w:t>The Capital Adjustment</w:t>
      </w:r>
      <w:r>
        <w:rPr>
          <w:color w:val="0A0A0A"/>
          <w:w w:val="105"/>
          <w:sz w:val="21"/>
        </w:rPr>
        <w:t> Account</w:t>
      </w:r>
      <w:r>
        <w:rPr>
          <w:color w:val="0A0A0A"/>
          <w:w w:val="105"/>
          <w:sz w:val="21"/>
        </w:rPr>
        <w:t> (CAA)</w:t>
      </w:r>
      <w:r>
        <w:rPr>
          <w:color w:val="0A0A0A"/>
          <w:w w:val="105"/>
          <w:sz w:val="21"/>
        </w:rPr>
        <w:t> absorbs</w:t>
      </w:r>
      <w:r>
        <w:rPr>
          <w:color w:val="0A0A0A"/>
          <w:w w:val="105"/>
          <w:sz w:val="21"/>
        </w:rPr>
        <w:t> the timing differences</w:t>
      </w:r>
      <w:r>
        <w:rPr>
          <w:color w:val="0A0A0A"/>
          <w:w w:val="105"/>
          <w:sz w:val="21"/>
        </w:rPr>
        <w:t> arising from the different arrangements</w:t>
      </w:r>
      <w:r>
        <w:rPr>
          <w:color w:val="0A0A0A"/>
          <w:w w:val="105"/>
          <w:sz w:val="21"/>
        </w:rPr>
        <w:t> for</w:t>
      </w:r>
      <w:r>
        <w:rPr>
          <w:color w:val="0A0A0A"/>
          <w:w w:val="105"/>
          <w:sz w:val="21"/>
        </w:rPr>
        <w:t> accounting for</w:t>
      </w:r>
      <w:r>
        <w:rPr>
          <w:color w:val="0A0A0A"/>
          <w:w w:val="105"/>
          <w:sz w:val="21"/>
        </w:rPr>
        <w:t> the</w:t>
      </w:r>
      <w:r>
        <w:rPr>
          <w:color w:val="0A0A0A"/>
          <w:w w:val="105"/>
          <w:sz w:val="21"/>
        </w:rPr>
        <w:t> consumption</w:t>
      </w:r>
      <w:r>
        <w:rPr>
          <w:color w:val="0A0A0A"/>
          <w:w w:val="105"/>
          <w:sz w:val="21"/>
        </w:rPr>
        <w:t> of</w:t>
      </w:r>
      <w:r>
        <w:rPr>
          <w:color w:val="0A0A0A"/>
          <w:w w:val="105"/>
          <w:sz w:val="21"/>
        </w:rPr>
        <w:t> non-current</w:t>
      </w:r>
      <w:r>
        <w:rPr>
          <w:color w:val="0A0A0A"/>
          <w:w w:val="105"/>
          <w:sz w:val="21"/>
        </w:rPr>
        <w:t> assets</w:t>
      </w:r>
      <w:r>
        <w:rPr>
          <w:color w:val="0A0A0A"/>
          <w:w w:val="105"/>
          <w:sz w:val="21"/>
        </w:rPr>
        <w:t> and</w:t>
      </w:r>
      <w:r>
        <w:rPr>
          <w:color w:val="0A0A0A"/>
          <w:w w:val="105"/>
          <w:sz w:val="21"/>
        </w:rPr>
        <w:t> for</w:t>
      </w:r>
      <w:r>
        <w:rPr>
          <w:color w:val="0A0A0A"/>
          <w:w w:val="105"/>
          <w:sz w:val="21"/>
        </w:rPr>
        <w:t> financing</w:t>
      </w:r>
      <w:r>
        <w:rPr>
          <w:color w:val="0A0A0A"/>
          <w:w w:val="105"/>
          <w:sz w:val="21"/>
        </w:rPr>
        <w:t> the acquisition</w:t>
      </w:r>
      <w:r>
        <w:rPr>
          <w:color w:val="3A3A3A"/>
          <w:w w:val="105"/>
          <w:sz w:val="21"/>
        </w:rPr>
        <w:t>,</w:t>
      </w:r>
      <w:r>
        <w:rPr>
          <w:color w:val="3A3A3A"/>
          <w:spacing w:val="-21"/>
          <w:w w:val="105"/>
          <w:sz w:val="21"/>
        </w:rPr>
        <w:t> </w:t>
      </w:r>
      <w:r>
        <w:rPr>
          <w:color w:val="1C1C1C"/>
          <w:w w:val="105"/>
          <w:sz w:val="21"/>
        </w:rPr>
        <w:t>construction </w:t>
      </w:r>
      <w:r>
        <w:rPr>
          <w:color w:val="0A0A0A"/>
          <w:w w:val="105"/>
          <w:sz w:val="21"/>
        </w:rPr>
        <w:t>or enhancement</w:t>
      </w:r>
      <w:r>
        <w:rPr>
          <w:color w:val="0A0A0A"/>
          <w:spacing w:val="30"/>
          <w:w w:val="105"/>
          <w:sz w:val="21"/>
        </w:rPr>
        <w:t> </w:t>
      </w:r>
      <w:r>
        <w:rPr>
          <w:color w:val="1C1C1C"/>
          <w:w w:val="105"/>
          <w:sz w:val="21"/>
        </w:rPr>
        <w:t>of</w:t>
      </w:r>
      <w:r>
        <w:rPr>
          <w:color w:val="1C1C1C"/>
          <w:spacing w:val="-5"/>
          <w:w w:val="105"/>
          <w:sz w:val="21"/>
        </w:rPr>
        <w:t> </w:t>
      </w:r>
      <w:r>
        <w:rPr>
          <w:color w:val="1C1C1C"/>
          <w:w w:val="105"/>
          <w:sz w:val="21"/>
        </w:rPr>
        <w:t>those </w:t>
      </w:r>
      <w:r>
        <w:rPr>
          <w:color w:val="0A0A0A"/>
          <w:w w:val="105"/>
          <w:sz w:val="21"/>
        </w:rPr>
        <w:t>assets under statutory provisions.</w:t>
      </w:r>
    </w:p>
    <w:p>
      <w:pPr>
        <w:pStyle w:val="BodyText"/>
        <w:spacing w:before="19"/>
        <w:rPr>
          <w:sz w:val="21"/>
        </w:rPr>
      </w:pPr>
    </w:p>
    <w:p>
      <w:pPr>
        <w:spacing w:before="0" w:line="252" w:lineRule="auto"/>
        <w:ind w:left="985" w:right="1109" w:firstLine="0"/>
        <w:jc w:val="both"/>
        <w:rPr>
          <w:sz w:val="21"/>
        </w:rPr>
      </w:pPr>
      <w:r>
        <w:rPr>
          <w:color w:val="0A0A0A"/>
          <w:w w:val="105"/>
          <w:sz w:val="21"/>
        </w:rPr>
        <w:t>The</w:t>
      </w:r>
      <w:r>
        <w:rPr>
          <w:color w:val="0A0A0A"/>
          <w:spacing w:val="-6"/>
          <w:w w:val="105"/>
          <w:sz w:val="21"/>
        </w:rPr>
        <w:t> </w:t>
      </w:r>
      <w:r>
        <w:rPr>
          <w:color w:val="0A0A0A"/>
          <w:w w:val="105"/>
          <w:sz w:val="21"/>
        </w:rPr>
        <w:t>account is</w:t>
      </w:r>
      <w:r>
        <w:rPr>
          <w:color w:val="0A0A0A"/>
          <w:spacing w:val="-8"/>
          <w:w w:val="105"/>
          <w:sz w:val="21"/>
        </w:rPr>
        <w:t> </w:t>
      </w:r>
      <w:r>
        <w:rPr>
          <w:color w:val="0A0A0A"/>
          <w:w w:val="105"/>
          <w:sz w:val="21"/>
        </w:rPr>
        <w:t>debited with</w:t>
      </w:r>
      <w:r>
        <w:rPr>
          <w:color w:val="0A0A0A"/>
          <w:spacing w:val="-6"/>
          <w:w w:val="105"/>
          <w:sz w:val="21"/>
        </w:rPr>
        <w:t> </w:t>
      </w:r>
      <w:r>
        <w:rPr>
          <w:color w:val="0A0A0A"/>
          <w:w w:val="105"/>
          <w:sz w:val="21"/>
        </w:rPr>
        <w:t>the</w:t>
      </w:r>
      <w:r>
        <w:rPr>
          <w:color w:val="0A0A0A"/>
          <w:spacing w:val="-1"/>
          <w:w w:val="105"/>
          <w:sz w:val="21"/>
        </w:rPr>
        <w:t> </w:t>
      </w:r>
      <w:r>
        <w:rPr>
          <w:color w:val="0A0A0A"/>
          <w:w w:val="105"/>
          <w:sz w:val="21"/>
        </w:rPr>
        <w:t>cost</w:t>
      </w:r>
      <w:r>
        <w:rPr>
          <w:color w:val="0A0A0A"/>
          <w:spacing w:val="-2"/>
          <w:w w:val="105"/>
          <w:sz w:val="21"/>
        </w:rPr>
        <w:t> </w:t>
      </w:r>
      <w:r>
        <w:rPr>
          <w:color w:val="0A0A0A"/>
          <w:w w:val="105"/>
          <w:sz w:val="21"/>
        </w:rPr>
        <w:t>of</w:t>
      </w:r>
      <w:r>
        <w:rPr>
          <w:color w:val="0A0A0A"/>
          <w:spacing w:val="-1"/>
          <w:w w:val="105"/>
          <w:sz w:val="21"/>
        </w:rPr>
        <w:t> </w:t>
      </w:r>
      <w:r>
        <w:rPr>
          <w:color w:val="0A0A0A"/>
          <w:w w:val="105"/>
          <w:sz w:val="21"/>
        </w:rPr>
        <w:t>acquisition, construction or</w:t>
      </w:r>
      <w:r>
        <w:rPr>
          <w:color w:val="0A0A0A"/>
          <w:spacing w:val="-6"/>
          <w:w w:val="105"/>
          <w:sz w:val="21"/>
        </w:rPr>
        <w:t> </w:t>
      </w:r>
      <w:r>
        <w:rPr>
          <w:color w:val="0A0A0A"/>
          <w:w w:val="105"/>
          <w:sz w:val="21"/>
        </w:rPr>
        <w:t>enhancement</w:t>
      </w:r>
      <w:r>
        <w:rPr>
          <w:color w:val="0A0A0A"/>
          <w:w w:val="105"/>
          <w:sz w:val="21"/>
        </w:rPr>
        <w:t> as</w:t>
      </w:r>
      <w:r>
        <w:rPr>
          <w:color w:val="0A0A0A"/>
          <w:spacing w:val="-6"/>
          <w:w w:val="105"/>
          <w:sz w:val="21"/>
        </w:rPr>
        <w:t> </w:t>
      </w:r>
      <w:r>
        <w:rPr>
          <w:color w:val="0A0A0A"/>
          <w:w w:val="105"/>
          <w:sz w:val="21"/>
        </w:rPr>
        <w:t>depreciation, </w:t>
      </w:r>
      <w:r>
        <w:rPr>
          <w:color w:val="3A3A3A"/>
          <w:w w:val="105"/>
          <w:sz w:val="21"/>
        </w:rPr>
        <w:t>impairment </w:t>
      </w:r>
      <w:r>
        <w:rPr>
          <w:color w:val="0A0A0A"/>
          <w:w w:val="105"/>
          <w:sz w:val="21"/>
        </w:rPr>
        <w:t>losses</w:t>
      </w:r>
      <w:r>
        <w:rPr>
          <w:color w:val="0A0A0A"/>
          <w:spacing w:val="-2"/>
          <w:w w:val="105"/>
          <w:sz w:val="21"/>
        </w:rPr>
        <w:t> </w:t>
      </w:r>
      <w:r>
        <w:rPr>
          <w:color w:val="0A0A0A"/>
          <w:w w:val="105"/>
          <w:sz w:val="21"/>
        </w:rPr>
        <w:t>and</w:t>
      </w:r>
      <w:r>
        <w:rPr>
          <w:color w:val="0A0A0A"/>
          <w:spacing w:val="-6"/>
          <w:w w:val="105"/>
          <w:sz w:val="21"/>
        </w:rPr>
        <w:t> </w:t>
      </w:r>
      <w:r>
        <w:rPr>
          <w:color w:val="0A0A0A"/>
          <w:w w:val="105"/>
          <w:sz w:val="21"/>
        </w:rPr>
        <w:t>amort</w:t>
      </w:r>
      <w:r>
        <w:rPr>
          <w:color w:val="3A3A3A"/>
          <w:w w:val="105"/>
          <w:sz w:val="21"/>
        </w:rPr>
        <w:t>i</w:t>
      </w:r>
      <w:r>
        <w:rPr>
          <w:color w:val="1C1C1C"/>
          <w:w w:val="105"/>
          <w:sz w:val="21"/>
        </w:rPr>
        <w:t>sations</w:t>
      </w:r>
      <w:r>
        <w:rPr>
          <w:color w:val="1C1C1C"/>
          <w:spacing w:val="-12"/>
          <w:w w:val="105"/>
          <w:sz w:val="21"/>
        </w:rPr>
        <w:t> </w:t>
      </w:r>
      <w:r>
        <w:rPr>
          <w:color w:val="0A0A0A"/>
          <w:w w:val="105"/>
          <w:sz w:val="21"/>
        </w:rPr>
        <w:t>are</w:t>
      </w:r>
      <w:r>
        <w:rPr>
          <w:color w:val="0A0A0A"/>
          <w:spacing w:val="-5"/>
          <w:w w:val="105"/>
          <w:sz w:val="21"/>
        </w:rPr>
        <w:t> </w:t>
      </w:r>
      <w:r>
        <w:rPr>
          <w:color w:val="0A0A0A"/>
          <w:w w:val="105"/>
          <w:sz w:val="21"/>
        </w:rPr>
        <w:t>charged</w:t>
      </w:r>
      <w:r>
        <w:rPr>
          <w:color w:val="0A0A0A"/>
          <w:spacing w:val="-9"/>
          <w:w w:val="105"/>
          <w:sz w:val="21"/>
        </w:rPr>
        <w:t> </w:t>
      </w:r>
      <w:r>
        <w:rPr>
          <w:color w:val="0A0A0A"/>
          <w:w w:val="105"/>
          <w:sz w:val="21"/>
        </w:rPr>
        <w:t>to</w:t>
      </w:r>
      <w:r>
        <w:rPr>
          <w:color w:val="0A0A0A"/>
          <w:spacing w:val="-11"/>
          <w:w w:val="105"/>
          <w:sz w:val="21"/>
        </w:rPr>
        <w:t> </w:t>
      </w:r>
      <w:r>
        <w:rPr>
          <w:color w:val="0A0A0A"/>
          <w:w w:val="105"/>
          <w:sz w:val="21"/>
        </w:rPr>
        <w:t>the</w:t>
      </w:r>
      <w:r>
        <w:rPr>
          <w:color w:val="0A0A0A"/>
          <w:spacing w:val="-12"/>
          <w:w w:val="105"/>
          <w:sz w:val="21"/>
        </w:rPr>
        <w:t> </w:t>
      </w:r>
      <w:r>
        <w:rPr>
          <w:color w:val="0A0A0A"/>
          <w:w w:val="105"/>
          <w:sz w:val="21"/>
        </w:rPr>
        <w:t>Comprehensive Income and</w:t>
      </w:r>
      <w:r>
        <w:rPr>
          <w:color w:val="0A0A0A"/>
          <w:spacing w:val="-14"/>
          <w:w w:val="105"/>
          <w:sz w:val="21"/>
        </w:rPr>
        <w:t> </w:t>
      </w:r>
      <w:r>
        <w:rPr>
          <w:color w:val="0A0A0A"/>
          <w:w w:val="105"/>
          <w:sz w:val="21"/>
        </w:rPr>
        <w:t>Expenditure </w:t>
      </w:r>
      <w:r>
        <w:rPr>
          <w:color w:val="1C1C1C"/>
          <w:w w:val="105"/>
          <w:sz w:val="21"/>
        </w:rPr>
        <w:t>Statement</w:t>
      </w:r>
      <w:r>
        <w:rPr>
          <w:color w:val="1C1C1C"/>
          <w:spacing w:val="-16"/>
          <w:w w:val="105"/>
          <w:sz w:val="21"/>
        </w:rPr>
        <w:t> </w:t>
      </w:r>
      <w:r>
        <w:rPr>
          <w:color w:val="0A0A0A"/>
          <w:w w:val="105"/>
          <w:sz w:val="21"/>
        </w:rPr>
        <w:t>(with</w:t>
      </w:r>
      <w:r>
        <w:rPr>
          <w:color w:val="0A0A0A"/>
          <w:spacing w:val="-15"/>
          <w:w w:val="105"/>
          <w:sz w:val="21"/>
        </w:rPr>
        <w:t> </w:t>
      </w:r>
      <w:r>
        <w:rPr>
          <w:color w:val="0A0A0A"/>
          <w:w w:val="105"/>
          <w:sz w:val="21"/>
        </w:rPr>
        <w:t>reconciling</w:t>
      </w:r>
      <w:r>
        <w:rPr>
          <w:color w:val="0A0A0A"/>
          <w:spacing w:val="-15"/>
          <w:w w:val="105"/>
          <w:sz w:val="21"/>
        </w:rPr>
        <w:t> </w:t>
      </w:r>
      <w:r>
        <w:rPr>
          <w:color w:val="1C1C1C"/>
          <w:w w:val="105"/>
          <w:sz w:val="21"/>
        </w:rPr>
        <w:t>postings</w:t>
      </w:r>
      <w:r>
        <w:rPr>
          <w:color w:val="1C1C1C"/>
          <w:spacing w:val="-16"/>
          <w:w w:val="105"/>
          <w:sz w:val="21"/>
        </w:rPr>
        <w:t> </w:t>
      </w:r>
      <w:r>
        <w:rPr>
          <w:color w:val="0A0A0A"/>
          <w:w w:val="105"/>
          <w:sz w:val="21"/>
        </w:rPr>
        <w:t>from</w:t>
      </w:r>
      <w:r>
        <w:rPr>
          <w:color w:val="0A0A0A"/>
          <w:spacing w:val="-15"/>
          <w:w w:val="105"/>
          <w:sz w:val="21"/>
        </w:rPr>
        <w:t> </w:t>
      </w:r>
      <w:r>
        <w:rPr>
          <w:color w:val="0A0A0A"/>
          <w:w w:val="105"/>
          <w:sz w:val="21"/>
        </w:rPr>
        <w:t>the</w:t>
      </w:r>
      <w:r>
        <w:rPr>
          <w:color w:val="0A0A0A"/>
          <w:spacing w:val="-15"/>
          <w:w w:val="105"/>
          <w:sz w:val="21"/>
        </w:rPr>
        <w:t> </w:t>
      </w:r>
      <w:r>
        <w:rPr>
          <w:color w:val="0A0A0A"/>
          <w:w w:val="105"/>
          <w:sz w:val="21"/>
        </w:rPr>
        <w:t>Revaluation</w:t>
      </w:r>
      <w:r>
        <w:rPr>
          <w:color w:val="0A0A0A"/>
          <w:spacing w:val="-14"/>
          <w:w w:val="105"/>
          <w:sz w:val="21"/>
        </w:rPr>
        <w:t> </w:t>
      </w:r>
      <w:r>
        <w:rPr>
          <w:color w:val="0A0A0A"/>
          <w:w w:val="105"/>
          <w:sz w:val="21"/>
        </w:rPr>
        <w:t>Reserve</w:t>
      </w:r>
      <w:r>
        <w:rPr>
          <w:color w:val="0A0A0A"/>
          <w:spacing w:val="-12"/>
          <w:w w:val="105"/>
          <w:sz w:val="21"/>
        </w:rPr>
        <w:t> </w:t>
      </w:r>
      <w:r>
        <w:rPr>
          <w:color w:val="0A0A0A"/>
          <w:w w:val="105"/>
          <w:sz w:val="21"/>
        </w:rPr>
        <w:t>to</w:t>
      </w:r>
      <w:r>
        <w:rPr>
          <w:color w:val="0A0A0A"/>
          <w:spacing w:val="-16"/>
          <w:w w:val="105"/>
          <w:sz w:val="21"/>
        </w:rPr>
        <w:t> </w:t>
      </w:r>
      <w:r>
        <w:rPr>
          <w:color w:val="0A0A0A"/>
          <w:w w:val="105"/>
          <w:sz w:val="21"/>
        </w:rPr>
        <w:t>convert</w:t>
      </w:r>
      <w:r>
        <w:rPr>
          <w:color w:val="0A0A0A"/>
          <w:spacing w:val="-6"/>
          <w:w w:val="105"/>
          <w:sz w:val="21"/>
        </w:rPr>
        <w:t> </w:t>
      </w:r>
      <w:r>
        <w:rPr>
          <w:color w:val="0A0A0A"/>
          <w:w w:val="105"/>
          <w:sz w:val="21"/>
        </w:rPr>
        <w:t>current</w:t>
      </w:r>
      <w:r>
        <w:rPr>
          <w:color w:val="0A0A0A"/>
          <w:spacing w:val="-7"/>
          <w:w w:val="105"/>
          <w:sz w:val="21"/>
        </w:rPr>
        <w:t> </w:t>
      </w:r>
      <w:r>
        <w:rPr>
          <w:color w:val="0A0A0A"/>
          <w:w w:val="105"/>
          <w:sz w:val="21"/>
        </w:rPr>
        <w:t>value</w:t>
      </w:r>
      <w:r>
        <w:rPr>
          <w:color w:val="0A0A0A"/>
          <w:spacing w:val="-16"/>
          <w:w w:val="105"/>
          <w:sz w:val="21"/>
        </w:rPr>
        <w:t> </w:t>
      </w:r>
      <w:r>
        <w:rPr>
          <w:color w:val="0A0A0A"/>
          <w:w w:val="105"/>
          <w:sz w:val="21"/>
        </w:rPr>
        <w:t>figures to</w:t>
      </w:r>
      <w:r>
        <w:rPr>
          <w:color w:val="0A0A0A"/>
          <w:spacing w:val="-16"/>
          <w:w w:val="105"/>
          <w:sz w:val="21"/>
        </w:rPr>
        <w:t> </w:t>
      </w:r>
      <w:r>
        <w:rPr>
          <w:color w:val="0A0A0A"/>
          <w:w w:val="105"/>
          <w:sz w:val="21"/>
        </w:rPr>
        <w:t>a</w:t>
      </w:r>
      <w:r>
        <w:rPr>
          <w:color w:val="0A0A0A"/>
          <w:spacing w:val="-15"/>
          <w:w w:val="105"/>
          <w:sz w:val="21"/>
        </w:rPr>
        <w:t> </w:t>
      </w:r>
      <w:r>
        <w:rPr>
          <w:color w:val="0A0A0A"/>
          <w:w w:val="105"/>
          <w:sz w:val="21"/>
        </w:rPr>
        <w:t>historical</w:t>
      </w:r>
      <w:r>
        <w:rPr>
          <w:color w:val="0A0A0A"/>
          <w:spacing w:val="-15"/>
          <w:w w:val="105"/>
          <w:sz w:val="21"/>
        </w:rPr>
        <w:t> </w:t>
      </w:r>
      <w:r>
        <w:rPr>
          <w:color w:val="0A0A0A"/>
          <w:w w:val="105"/>
          <w:sz w:val="21"/>
        </w:rPr>
        <w:t>cost</w:t>
      </w:r>
      <w:r>
        <w:rPr>
          <w:color w:val="0A0A0A"/>
          <w:spacing w:val="-16"/>
          <w:w w:val="105"/>
          <w:sz w:val="21"/>
        </w:rPr>
        <w:t> </w:t>
      </w:r>
      <w:r>
        <w:rPr>
          <w:color w:val="0A0A0A"/>
          <w:w w:val="105"/>
          <w:sz w:val="21"/>
        </w:rPr>
        <w:t>basis).</w:t>
      </w:r>
      <w:r>
        <w:rPr>
          <w:color w:val="0A0A0A"/>
          <w:spacing w:val="27"/>
          <w:w w:val="105"/>
          <w:sz w:val="21"/>
        </w:rPr>
        <w:t> </w:t>
      </w:r>
      <w:r>
        <w:rPr>
          <w:color w:val="0A0A0A"/>
          <w:w w:val="105"/>
          <w:sz w:val="21"/>
        </w:rPr>
        <w:t>During</w:t>
      </w:r>
      <w:r>
        <w:rPr>
          <w:color w:val="0A0A0A"/>
          <w:spacing w:val="-14"/>
          <w:w w:val="105"/>
          <w:sz w:val="21"/>
        </w:rPr>
        <w:t> </w:t>
      </w:r>
      <w:r>
        <w:rPr>
          <w:color w:val="0A0A0A"/>
          <w:w w:val="105"/>
          <w:sz w:val="21"/>
        </w:rPr>
        <w:t>the</w:t>
      </w:r>
      <w:r>
        <w:rPr>
          <w:color w:val="0A0A0A"/>
          <w:spacing w:val="-16"/>
          <w:w w:val="105"/>
          <w:sz w:val="21"/>
        </w:rPr>
        <w:t> </w:t>
      </w:r>
      <w:r>
        <w:rPr>
          <w:color w:val="0A0A0A"/>
          <w:w w:val="105"/>
          <w:sz w:val="21"/>
        </w:rPr>
        <w:t>year</w:t>
      </w:r>
      <w:r>
        <w:rPr>
          <w:color w:val="0A0A0A"/>
          <w:spacing w:val="-9"/>
          <w:w w:val="105"/>
          <w:sz w:val="21"/>
        </w:rPr>
        <w:t> </w:t>
      </w:r>
      <w:r>
        <w:rPr>
          <w:color w:val="0A0A0A"/>
          <w:w w:val="105"/>
          <w:sz w:val="21"/>
        </w:rPr>
        <w:t>a</w:t>
      </w:r>
      <w:r>
        <w:rPr>
          <w:color w:val="0A0A0A"/>
          <w:spacing w:val="-16"/>
          <w:w w:val="105"/>
          <w:sz w:val="21"/>
        </w:rPr>
        <w:t> </w:t>
      </w:r>
      <w:r>
        <w:rPr>
          <w:color w:val="0A0A0A"/>
          <w:w w:val="105"/>
          <w:sz w:val="21"/>
        </w:rPr>
        <w:t>minimum</w:t>
      </w:r>
      <w:r>
        <w:rPr>
          <w:color w:val="0A0A0A"/>
          <w:spacing w:val="-5"/>
          <w:w w:val="105"/>
          <w:sz w:val="21"/>
        </w:rPr>
        <w:t> </w:t>
      </w:r>
      <w:r>
        <w:rPr>
          <w:color w:val="1C1C1C"/>
          <w:w w:val="105"/>
          <w:sz w:val="21"/>
        </w:rPr>
        <w:t>revenue</w:t>
      </w:r>
      <w:r>
        <w:rPr>
          <w:color w:val="1C1C1C"/>
          <w:spacing w:val="-5"/>
          <w:w w:val="105"/>
          <w:sz w:val="21"/>
        </w:rPr>
        <w:t> </w:t>
      </w:r>
      <w:r>
        <w:rPr>
          <w:color w:val="1C1C1C"/>
          <w:w w:val="105"/>
          <w:sz w:val="21"/>
        </w:rPr>
        <w:t>provision</w:t>
      </w:r>
      <w:r>
        <w:rPr>
          <w:color w:val="1C1C1C"/>
          <w:spacing w:val="-3"/>
          <w:w w:val="105"/>
          <w:sz w:val="21"/>
        </w:rPr>
        <w:t> </w:t>
      </w:r>
      <w:r>
        <w:rPr>
          <w:color w:val="0A0A0A"/>
          <w:w w:val="105"/>
          <w:sz w:val="21"/>
        </w:rPr>
        <w:t>of</w:t>
      </w:r>
      <w:r>
        <w:rPr>
          <w:color w:val="0A0A0A"/>
          <w:spacing w:val="-13"/>
          <w:w w:val="105"/>
          <w:sz w:val="21"/>
        </w:rPr>
        <w:t> </w:t>
      </w:r>
      <w:r>
        <w:rPr>
          <w:color w:val="0A0A0A"/>
          <w:w w:val="105"/>
          <w:sz w:val="21"/>
        </w:rPr>
        <w:t>£482k</w:t>
      </w:r>
      <w:r>
        <w:rPr>
          <w:color w:val="0A0A0A"/>
          <w:spacing w:val="-3"/>
          <w:w w:val="105"/>
          <w:sz w:val="21"/>
        </w:rPr>
        <w:t> </w:t>
      </w:r>
      <w:r>
        <w:rPr>
          <w:color w:val="1C1C1C"/>
          <w:w w:val="105"/>
          <w:sz w:val="21"/>
        </w:rPr>
        <w:t>(2021/22</w:t>
      </w:r>
      <w:r>
        <w:rPr>
          <w:color w:val="1C1C1C"/>
          <w:spacing w:val="-9"/>
          <w:w w:val="105"/>
          <w:sz w:val="21"/>
        </w:rPr>
        <w:t> </w:t>
      </w:r>
      <w:r>
        <w:rPr>
          <w:color w:val="1C1C1C"/>
          <w:w w:val="105"/>
          <w:sz w:val="21"/>
        </w:rPr>
        <w:t>£242k) </w:t>
      </w:r>
      <w:r>
        <w:rPr>
          <w:color w:val="0A0A0A"/>
          <w:w w:val="105"/>
          <w:sz w:val="21"/>
        </w:rPr>
        <w:t>was</w:t>
      </w:r>
      <w:r>
        <w:rPr>
          <w:color w:val="0A0A0A"/>
          <w:spacing w:val="-8"/>
          <w:w w:val="105"/>
          <w:sz w:val="21"/>
        </w:rPr>
        <w:t> </w:t>
      </w:r>
      <w:r>
        <w:rPr>
          <w:color w:val="1C1C1C"/>
          <w:w w:val="105"/>
          <w:sz w:val="21"/>
        </w:rPr>
        <w:t>made</w:t>
      </w:r>
      <w:r>
        <w:rPr>
          <w:color w:val="1C1C1C"/>
          <w:spacing w:val="-4"/>
          <w:w w:val="105"/>
          <w:sz w:val="21"/>
        </w:rPr>
        <w:t> </w:t>
      </w:r>
      <w:r>
        <w:rPr>
          <w:color w:val="0A0A0A"/>
          <w:w w:val="105"/>
          <w:sz w:val="21"/>
        </w:rPr>
        <w:t>towards reducing the</w:t>
      </w:r>
      <w:r>
        <w:rPr>
          <w:color w:val="0A0A0A"/>
          <w:spacing w:val="-9"/>
          <w:w w:val="105"/>
          <w:sz w:val="21"/>
        </w:rPr>
        <w:t> </w:t>
      </w:r>
      <w:r>
        <w:rPr>
          <w:color w:val="0A0A0A"/>
          <w:w w:val="105"/>
          <w:sz w:val="21"/>
        </w:rPr>
        <w:t>Council's capital</w:t>
      </w:r>
      <w:r>
        <w:rPr>
          <w:color w:val="0A0A0A"/>
          <w:spacing w:val="-6"/>
          <w:w w:val="105"/>
          <w:sz w:val="21"/>
        </w:rPr>
        <w:t> </w:t>
      </w:r>
      <w:r>
        <w:rPr>
          <w:color w:val="0A0A0A"/>
          <w:w w:val="105"/>
          <w:sz w:val="21"/>
        </w:rPr>
        <w:t>financing </w:t>
      </w:r>
      <w:r>
        <w:rPr>
          <w:color w:val="1C1C1C"/>
          <w:w w:val="105"/>
          <w:sz w:val="21"/>
        </w:rPr>
        <w:t>requirement </w:t>
      </w:r>
      <w:r>
        <w:rPr>
          <w:color w:val="0A0A0A"/>
          <w:w w:val="105"/>
          <w:sz w:val="21"/>
        </w:rPr>
        <w:t>which</w:t>
      </w:r>
      <w:r>
        <w:rPr>
          <w:color w:val="0A0A0A"/>
          <w:spacing w:val="-10"/>
          <w:w w:val="105"/>
          <w:sz w:val="21"/>
        </w:rPr>
        <w:t> </w:t>
      </w:r>
      <w:r>
        <w:rPr>
          <w:color w:val="0A0A0A"/>
          <w:w w:val="105"/>
          <w:sz w:val="21"/>
        </w:rPr>
        <w:t>is</w:t>
      </w:r>
      <w:r>
        <w:rPr>
          <w:color w:val="0A0A0A"/>
          <w:spacing w:val="-14"/>
          <w:w w:val="105"/>
          <w:sz w:val="21"/>
        </w:rPr>
        <w:t> </w:t>
      </w:r>
      <w:r>
        <w:rPr>
          <w:color w:val="1C1C1C"/>
          <w:w w:val="105"/>
          <w:sz w:val="21"/>
        </w:rPr>
        <w:t>further disclosed in note 5</w:t>
      </w:r>
      <w:r>
        <w:rPr>
          <w:color w:val="505050"/>
          <w:w w:val="105"/>
          <w:sz w:val="21"/>
        </w:rPr>
        <w:t>.</w:t>
      </w:r>
      <w:r>
        <w:rPr>
          <w:color w:val="0A0A0A"/>
          <w:w w:val="105"/>
          <w:sz w:val="21"/>
        </w:rPr>
        <w:t>17.</w:t>
      </w:r>
    </w:p>
    <w:p>
      <w:pPr>
        <w:pStyle w:val="BodyText"/>
        <w:spacing w:before="10"/>
        <w:rPr>
          <w:sz w:val="21"/>
        </w:rPr>
      </w:pPr>
    </w:p>
    <w:p>
      <w:pPr>
        <w:spacing w:before="1" w:line="252" w:lineRule="auto"/>
        <w:ind w:left="986" w:right="1098" w:firstLine="4"/>
        <w:jc w:val="both"/>
        <w:rPr>
          <w:sz w:val="21"/>
        </w:rPr>
      </w:pPr>
      <w:r>
        <w:rPr>
          <w:color w:val="0A0A0A"/>
          <w:w w:val="105"/>
          <w:sz w:val="21"/>
        </w:rPr>
        <w:t>The</w:t>
      </w:r>
      <w:r>
        <w:rPr>
          <w:color w:val="0A0A0A"/>
          <w:spacing w:val="-16"/>
          <w:w w:val="105"/>
          <w:sz w:val="21"/>
        </w:rPr>
        <w:t> </w:t>
      </w:r>
      <w:r>
        <w:rPr>
          <w:color w:val="0A0A0A"/>
          <w:w w:val="105"/>
          <w:sz w:val="21"/>
        </w:rPr>
        <w:t>account</w:t>
      </w:r>
      <w:r>
        <w:rPr>
          <w:color w:val="0A0A0A"/>
          <w:spacing w:val="-15"/>
          <w:w w:val="105"/>
          <w:sz w:val="21"/>
        </w:rPr>
        <w:t> </w:t>
      </w:r>
      <w:r>
        <w:rPr>
          <w:color w:val="0A0A0A"/>
          <w:w w:val="105"/>
          <w:sz w:val="21"/>
        </w:rPr>
        <w:t>contains</w:t>
      </w:r>
      <w:r>
        <w:rPr>
          <w:color w:val="0A0A0A"/>
          <w:spacing w:val="-4"/>
          <w:w w:val="105"/>
          <w:sz w:val="21"/>
        </w:rPr>
        <w:t> </w:t>
      </w:r>
      <w:r>
        <w:rPr>
          <w:color w:val="0A0A0A"/>
          <w:w w:val="105"/>
          <w:sz w:val="21"/>
        </w:rPr>
        <w:t>accumulated</w:t>
      </w:r>
      <w:r>
        <w:rPr>
          <w:color w:val="0A0A0A"/>
          <w:spacing w:val="-4"/>
          <w:w w:val="105"/>
          <w:sz w:val="21"/>
        </w:rPr>
        <w:t> </w:t>
      </w:r>
      <w:r>
        <w:rPr>
          <w:color w:val="0A0A0A"/>
          <w:w w:val="105"/>
          <w:sz w:val="21"/>
        </w:rPr>
        <w:t>gains</w:t>
      </w:r>
      <w:r>
        <w:rPr>
          <w:color w:val="0A0A0A"/>
          <w:spacing w:val="-11"/>
          <w:w w:val="105"/>
          <w:sz w:val="21"/>
        </w:rPr>
        <w:t> </w:t>
      </w:r>
      <w:r>
        <w:rPr>
          <w:color w:val="0A0A0A"/>
          <w:w w:val="105"/>
          <w:sz w:val="21"/>
        </w:rPr>
        <w:t>and</w:t>
      </w:r>
      <w:r>
        <w:rPr>
          <w:color w:val="0A0A0A"/>
          <w:spacing w:val="-16"/>
          <w:w w:val="105"/>
          <w:sz w:val="21"/>
        </w:rPr>
        <w:t> </w:t>
      </w:r>
      <w:r>
        <w:rPr>
          <w:color w:val="0A0A0A"/>
          <w:w w:val="105"/>
          <w:sz w:val="21"/>
        </w:rPr>
        <w:t>losses</w:t>
      </w:r>
      <w:r>
        <w:rPr>
          <w:color w:val="0A0A0A"/>
          <w:spacing w:val="-8"/>
          <w:w w:val="105"/>
          <w:sz w:val="21"/>
        </w:rPr>
        <w:t> </w:t>
      </w:r>
      <w:r>
        <w:rPr>
          <w:color w:val="0A0A0A"/>
          <w:w w:val="105"/>
          <w:sz w:val="21"/>
        </w:rPr>
        <w:t>on</w:t>
      </w:r>
      <w:r>
        <w:rPr>
          <w:color w:val="0A0A0A"/>
          <w:spacing w:val="-16"/>
          <w:w w:val="105"/>
          <w:sz w:val="21"/>
        </w:rPr>
        <w:t> </w:t>
      </w:r>
      <w:r>
        <w:rPr>
          <w:color w:val="0A0A0A"/>
          <w:w w:val="105"/>
          <w:sz w:val="21"/>
        </w:rPr>
        <w:t>investment</w:t>
      </w:r>
      <w:r>
        <w:rPr>
          <w:color w:val="0A0A0A"/>
          <w:spacing w:val="-8"/>
          <w:w w:val="105"/>
          <w:sz w:val="21"/>
        </w:rPr>
        <w:t> </w:t>
      </w:r>
      <w:r>
        <w:rPr>
          <w:color w:val="0A0A0A"/>
          <w:w w:val="105"/>
          <w:sz w:val="21"/>
        </w:rPr>
        <w:t>property</w:t>
      </w:r>
      <w:r>
        <w:rPr>
          <w:color w:val="0A0A0A"/>
          <w:spacing w:val="-9"/>
          <w:w w:val="105"/>
          <w:sz w:val="21"/>
        </w:rPr>
        <w:t> </w:t>
      </w:r>
      <w:r>
        <w:rPr>
          <w:color w:val="0A0A0A"/>
          <w:w w:val="105"/>
          <w:sz w:val="21"/>
        </w:rPr>
        <w:t>and</w:t>
      </w:r>
      <w:r>
        <w:rPr>
          <w:color w:val="0A0A0A"/>
          <w:spacing w:val="-16"/>
          <w:w w:val="105"/>
          <w:sz w:val="21"/>
        </w:rPr>
        <w:t> </w:t>
      </w:r>
      <w:r>
        <w:rPr>
          <w:color w:val="0A0A0A"/>
          <w:w w:val="105"/>
          <w:sz w:val="21"/>
        </w:rPr>
        <w:t>gains</w:t>
      </w:r>
      <w:r>
        <w:rPr>
          <w:color w:val="0A0A0A"/>
          <w:spacing w:val="-11"/>
          <w:w w:val="105"/>
          <w:sz w:val="21"/>
        </w:rPr>
        <w:t> </w:t>
      </w:r>
      <w:r>
        <w:rPr>
          <w:color w:val="1C1C1C"/>
          <w:w w:val="105"/>
          <w:sz w:val="21"/>
        </w:rPr>
        <w:t>recognised </w:t>
      </w:r>
      <w:r>
        <w:rPr>
          <w:color w:val="0A0A0A"/>
          <w:w w:val="105"/>
          <w:sz w:val="21"/>
        </w:rPr>
        <w:t>on</w:t>
      </w:r>
      <w:r>
        <w:rPr>
          <w:color w:val="0A0A0A"/>
          <w:w w:val="105"/>
          <w:sz w:val="21"/>
        </w:rPr>
        <w:t> donated</w:t>
      </w:r>
      <w:r>
        <w:rPr>
          <w:color w:val="0A0A0A"/>
          <w:w w:val="105"/>
          <w:sz w:val="21"/>
        </w:rPr>
        <w:t> assets</w:t>
      </w:r>
      <w:r>
        <w:rPr>
          <w:color w:val="0A0A0A"/>
          <w:w w:val="105"/>
          <w:sz w:val="21"/>
        </w:rPr>
        <w:t> that</w:t>
      </w:r>
      <w:r>
        <w:rPr>
          <w:color w:val="0A0A0A"/>
          <w:w w:val="105"/>
          <w:sz w:val="21"/>
        </w:rPr>
        <w:t> have</w:t>
      </w:r>
      <w:r>
        <w:rPr>
          <w:color w:val="0A0A0A"/>
          <w:w w:val="105"/>
          <w:sz w:val="21"/>
        </w:rPr>
        <w:t> yet</w:t>
      </w:r>
      <w:r>
        <w:rPr>
          <w:color w:val="0A0A0A"/>
          <w:w w:val="105"/>
          <w:sz w:val="21"/>
        </w:rPr>
        <w:t> to</w:t>
      </w:r>
      <w:r>
        <w:rPr>
          <w:color w:val="0A0A0A"/>
          <w:w w:val="105"/>
          <w:sz w:val="21"/>
        </w:rPr>
        <w:t> be</w:t>
      </w:r>
      <w:r>
        <w:rPr>
          <w:color w:val="0A0A0A"/>
          <w:w w:val="105"/>
          <w:sz w:val="21"/>
        </w:rPr>
        <w:t> consumed</w:t>
      </w:r>
      <w:r>
        <w:rPr>
          <w:color w:val="0A0A0A"/>
          <w:w w:val="105"/>
          <w:sz w:val="21"/>
        </w:rPr>
        <w:t> by</w:t>
      </w:r>
      <w:r>
        <w:rPr>
          <w:color w:val="0A0A0A"/>
          <w:w w:val="105"/>
          <w:sz w:val="21"/>
        </w:rPr>
        <w:t> </w:t>
      </w:r>
      <w:r>
        <w:rPr>
          <w:color w:val="1C1C1C"/>
          <w:w w:val="105"/>
          <w:sz w:val="21"/>
        </w:rPr>
        <w:t>the</w:t>
      </w:r>
      <w:r>
        <w:rPr>
          <w:color w:val="1C1C1C"/>
          <w:w w:val="105"/>
          <w:sz w:val="21"/>
        </w:rPr>
        <w:t> </w:t>
      </w:r>
      <w:r>
        <w:rPr>
          <w:color w:val="0A0A0A"/>
          <w:w w:val="105"/>
          <w:sz w:val="21"/>
        </w:rPr>
        <w:t>Council.</w:t>
      </w:r>
      <w:r>
        <w:rPr>
          <w:color w:val="0A0A0A"/>
          <w:w w:val="105"/>
          <w:sz w:val="21"/>
        </w:rPr>
        <w:t> The</w:t>
      </w:r>
      <w:r>
        <w:rPr>
          <w:color w:val="0A0A0A"/>
          <w:w w:val="105"/>
          <w:sz w:val="21"/>
        </w:rPr>
        <w:t> account</w:t>
      </w:r>
      <w:r>
        <w:rPr>
          <w:color w:val="0A0A0A"/>
          <w:w w:val="105"/>
          <w:sz w:val="21"/>
        </w:rPr>
        <w:t> </w:t>
      </w:r>
      <w:r>
        <w:rPr>
          <w:color w:val="1C1C1C"/>
          <w:w w:val="105"/>
          <w:sz w:val="21"/>
        </w:rPr>
        <w:t>also</w:t>
      </w:r>
      <w:r>
        <w:rPr>
          <w:color w:val="1C1C1C"/>
          <w:w w:val="105"/>
          <w:sz w:val="21"/>
        </w:rPr>
        <w:t> contains </w:t>
      </w:r>
      <w:r>
        <w:rPr>
          <w:color w:val="0A0A0A"/>
          <w:w w:val="105"/>
          <w:sz w:val="21"/>
        </w:rPr>
        <w:t>revaluation</w:t>
      </w:r>
      <w:r>
        <w:rPr>
          <w:color w:val="0A0A0A"/>
          <w:spacing w:val="60"/>
          <w:w w:val="105"/>
          <w:sz w:val="21"/>
        </w:rPr>
        <w:t>   </w:t>
      </w:r>
      <w:r>
        <w:rPr>
          <w:color w:val="0A0A0A"/>
          <w:w w:val="105"/>
          <w:sz w:val="21"/>
        </w:rPr>
        <w:t>gains</w:t>
      </w:r>
      <w:r>
        <w:rPr>
          <w:color w:val="0A0A0A"/>
          <w:spacing w:val="59"/>
          <w:w w:val="105"/>
          <w:sz w:val="21"/>
        </w:rPr>
        <w:t>   </w:t>
      </w:r>
      <w:r>
        <w:rPr>
          <w:color w:val="0A0A0A"/>
          <w:w w:val="105"/>
          <w:sz w:val="21"/>
        </w:rPr>
        <w:t>accumulated</w:t>
      </w:r>
      <w:r>
        <w:rPr>
          <w:color w:val="0A0A0A"/>
          <w:spacing w:val="61"/>
          <w:w w:val="105"/>
          <w:sz w:val="21"/>
        </w:rPr>
        <w:t>   </w:t>
      </w:r>
      <w:r>
        <w:rPr>
          <w:color w:val="0A0A0A"/>
          <w:w w:val="105"/>
          <w:sz w:val="21"/>
        </w:rPr>
        <w:t>on</w:t>
      </w:r>
      <w:r>
        <w:rPr>
          <w:color w:val="0A0A0A"/>
          <w:spacing w:val="80"/>
          <w:w w:val="150"/>
          <w:sz w:val="21"/>
        </w:rPr>
        <w:t>  </w:t>
      </w:r>
      <w:r>
        <w:rPr>
          <w:color w:val="0A0A0A"/>
          <w:w w:val="105"/>
          <w:sz w:val="21"/>
        </w:rPr>
        <w:t>Property,</w:t>
      </w:r>
      <w:r>
        <w:rPr>
          <w:color w:val="0A0A0A"/>
          <w:spacing w:val="61"/>
          <w:w w:val="105"/>
          <w:sz w:val="21"/>
        </w:rPr>
        <w:t>   </w:t>
      </w:r>
      <w:r>
        <w:rPr>
          <w:color w:val="0A0A0A"/>
          <w:w w:val="105"/>
          <w:sz w:val="21"/>
        </w:rPr>
        <w:t>Plant</w:t>
      </w:r>
      <w:r>
        <w:rPr>
          <w:color w:val="0A0A0A"/>
          <w:spacing w:val="59"/>
          <w:w w:val="105"/>
          <w:sz w:val="21"/>
        </w:rPr>
        <w:t>   </w:t>
      </w:r>
      <w:r>
        <w:rPr>
          <w:color w:val="0A0A0A"/>
          <w:w w:val="105"/>
          <w:sz w:val="21"/>
        </w:rPr>
        <w:t>and</w:t>
      </w:r>
      <w:r>
        <w:rPr>
          <w:color w:val="0A0A0A"/>
          <w:spacing w:val="80"/>
          <w:w w:val="150"/>
          <w:sz w:val="21"/>
        </w:rPr>
        <w:t>  </w:t>
      </w:r>
      <w:r>
        <w:rPr>
          <w:color w:val="0A0A0A"/>
          <w:w w:val="105"/>
          <w:sz w:val="21"/>
        </w:rPr>
        <w:t>Equipment</w:t>
      </w:r>
      <w:r>
        <w:rPr>
          <w:color w:val="0A0A0A"/>
          <w:spacing w:val="63"/>
          <w:w w:val="105"/>
          <w:sz w:val="21"/>
        </w:rPr>
        <w:t>   </w:t>
      </w:r>
      <w:r>
        <w:rPr>
          <w:color w:val="0A0A0A"/>
          <w:w w:val="105"/>
          <w:sz w:val="21"/>
        </w:rPr>
        <w:t>before 1 April 2007,</w:t>
      </w:r>
      <w:r>
        <w:rPr>
          <w:color w:val="0A0A0A"/>
          <w:w w:val="105"/>
          <w:sz w:val="21"/>
        </w:rPr>
        <w:t> the date that</w:t>
      </w:r>
      <w:r>
        <w:rPr>
          <w:color w:val="0A0A0A"/>
          <w:w w:val="105"/>
          <w:sz w:val="21"/>
        </w:rPr>
        <w:t> the Revaluation</w:t>
      </w:r>
      <w:r>
        <w:rPr>
          <w:color w:val="0A0A0A"/>
          <w:w w:val="105"/>
          <w:sz w:val="21"/>
        </w:rPr>
        <w:t> Reserve</w:t>
      </w:r>
      <w:r>
        <w:rPr>
          <w:color w:val="0A0A0A"/>
          <w:w w:val="105"/>
          <w:sz w:val="21"/>
        </w:rPr>
        <w:t> was created to hold such gains.</w:t>
      </w:r>
      <w:r>
        <w:rPr>
          <w:color w:val="0A0A0A"/>
          <w:w w:val="105"/>
          <w:sz w:val="21"/>
        </w:rPr>
        <w:t> Note 5.14 </w:t>
      </w:r>
      <w:r>
        <w:rPr>
          <w:color w:val="1C1C1C"/>
          <w:w w:val="105"/>
          <w:sz w:val="21"/>
        </w:rPr>
        <w:t>provides details of</w:t>
      </w:r>
      <w:r>
        <w:rPr>
          <w:color w:val="1C1C1C"/>
          <w:spacing w:val="-8"/>
          <w:w w:val="105"/>
          <w:sz w:val="21"/>
        </w:rPr>
        <w:t> </w:t>
      </w:r>
      <w:r>
        <w:rPr>
          <w:color w:val="1C1C1C"/>
          <w:w w:val="105"/>
          <w:sz w:val="21"/>
        </w:rPr>
        <w:t>the</w:t>
      </w:r>
      <w:r>
        <w:rPr>
          <w:color w:val="1C1C1C"/>
          <w:spacing w:val="-1"/>
          <w:w w:val="105"/>
          <w:sz w:val="21"/>
        </w:rPr>
        <w:t> </w:t>
      </w:r>
      <w:r>
        <w:rPr>
          <w:color w:val="1C1C1C"/>
          <w:w w:val="105"/>
          <w:sz w:val="21"/>
        </w:rPr>
        <w:t>source</w:t>
      </w:r>
      <w:r>
        <w:rPr>
          <w:color w:val="1C1C1C"/>
          <w:spacing w:val="-3"/>
          <w:w w:val="105"/>
          <w:sz w:val="21"/>
        </w:rPr>
        <w:t> </w:t>
      </w:r>
      <w:r>
        <w:rPr>
          <w:color w:val="0A0A0A"/>
          <w:w w:val="105"/>
          <w:sz w:val="21"/>
        </w:rPr>
        <w:t>of all</w:t>
      </w:r>
      <w:r>
        <w:rPr>
          <w:color w:val="0A0A0A"/>
          <w:spacing w:val="-15"/>
          <w:w w:val="105"/>
          <w:sz w:val="21"/>
        </w:rPr>
        <w:t> </w:t>
      </w:r>
      <w:r>
        <w:rPr>
          <w:color w:val="0A0A0A"/>
          <w:w w:val="105"/>
          <w:sz w:val="21"/>
        </w:rPr>
        <w:t>transactions </w:t>
      </w:r>
      <w:r>
        <w:rPr>
          <w:color w:val="1C1C1C"/>
          <w:w w:val="105"/>
          <w:sz w:val="21"/>
        </w:rPr>
        <w:t>posted</w:t>
      </w:r>
      <w:r>
        <w:rPr>
          <w:color w:val="1C1C1C"/>
          <w:spacing w:val="-9"/>
          <w:w w:val="105"/>
          <w:sz w:val="21"/>
        </w:rPr>
        <w:t> </w:t>
      </w:r>
      <w:r>
        <w:rPr>
          <w:color w:val="0A0A0A"/>
          <w:w w:val="105"/>
          <w:sz w:val="21"/>
        </w:rPr>
        <w:t>to</w:t>
      </w:r>
      <w:r>
        <w:rPr>
          <w:color w:val="0A0A0A"/>
          <w:spacing w:val="-9"/>
          <w:w w:val="105"/>
          <w:sz w:val="21"/>
        </w:rPr>
        <w:t> </w:t>
      </w:r>
      <w:r>
        <w:rPr>
          <w:color w:val="0A0A0A"/>
          <w:w w:val="105"/>
          <w:sz w:val="21"/>
        </w:rPr>
        <w:t>the</w:t>
      </w:r>
      <w:r>
        <w:rPr>
          <w:color w:val="0A0A0A"/>
          <w:spacing w:val="-3"/>
          <w:w w:val="105"/>
          <w:sz w:val="21"/>
        </w:rPr>
        <w:t> </w:t>
      </w:r>
      <w:r>
        <w:rPr>
          <w:color w:val="0A0A0A"/>
          <w:w w:val="105"/>
          <w:sz w:val="21"/>
        </w:rPr>
        <w:t>account,</w:t>
      </w:r>
      <w:r>
        <w:rPr>
          <w:color w:val="0A0A0A"/>
          <w:w w:val="105"/>
          <w:sz w:val="21"/>
        </w:rPr>
        <w:t> </w:t>
      </w:r>
      <w:r>
        <w:rPr>
          <w:color w:val="1C1C1C"/>
          <w:w w:val="105"/>
          <w:sz w:val="21"/>
        </w:rPr>
        <w:t>apart</w:t>
      </w:r>
      <w:r>
        <w:rPr>
          <w:color w:val="1C1C1C"/>
          <w:spacing w:val="-7"/>
          <w:w w:val="105"/>
          <w:sz w:val="21"/>
        </w:rPr>
        <w:t> </w:t>
      </w:r>
      <w:r>
        <w:rPr>
          <w:color w:val="0A0A0A"/>
          <w:w w:val="105"/>
          <w:sz w:val="21"/>
        </w:rPr>
        <w:t>from</w:t>
      </w:r>
      <w:r>
        <w:rPr>
          <w:color w:val="0A0A0A"/>
          <w:spacing w:val="-6"/>
          <w:w w:val="105"/>
          <w:sz w:val="21"/>
        </w:rPr>
        <w:t> </w:t>
      </w:r>
      <w:r>
        <w:rPr>
          <w:color w:val="0A0A0A"/>
          <w:w w:val="105"/>
          <w:sz w:val="21"/>
        </w:rPr>
        <w:t>those</w:t>
      </w:r>
      <w:r>
        <w:rPr>
          <w:color w:val="0A0A0A"/>
          <w:spacing w:val="-8"/>
          <w:w w:val="105"/>
          <w:sz w:val="21"/>
        </w:rPr>
        <w:t> </w:t>
      </w:r>
      <w:r>
        <w:rPr>
          <w:color w:val="1C1C1C"/>
          <w:w w:val="105"/>
          <w:sz w:val="21"/>
        </w:rPr>
        <w:t>involving the</w:t>
      </w:r>
      <w:r>
        <w:rPr>
          <w:color w:val="1C1C1C"/>
          <w:spacing w:val="-3"/>
          <w:w w:val="105"/>
          <w:sz w:val="21"/>
        </w:rPr>
        <w:t> </w:t>
      </w:r>
      <w:r>
        <w:rPr>
          <w:color w:val="1C1C1C"/>
          <w:w w:val="105"/>
          <w:sz w:val="21"/>
        </w:rPr>
        <w:t>Revaluation Reserve </w:t>
      </w:r>
      <w:r>
        <w:rPr>
          <w:color w:val="0A0A0A"/>
          <w:w w:val="105"/>
          <w:sz w:val="21"/>
        </w:rPr>
        <w:t>(above). A summary of</w:t>
      </w:r>
      <w:r>
        <w:rPr>
          <w:color w:val="0A0A0A"/>
          <w:spacing w:val="-8"/>
          <w:w w:val="105"/>
          <w:sz w:val="21"/>
        </w:rPr>
        <w:t> </w:t>
      </w:r>
      <w:r>
        <w:rPr>
          <w:color w:val="1C1C1C"/>
          <w:w w:val="105"/>
          <w:sz w:val="21"/>
        </w:rPr>
        <w:t>the</w:t>
      </w:r>
      <w:r>
        <w:rPr>
          <w:color w:val="1C1C1C"/>
          <w:spacing w:val="-5"/>
          <w:w w:val="105"/>
          <w:sz w:val="21"/>
        </w:rPr>
        <w:t> </w:t>
      </w:r>
      <w:r>
        <w:rPr>
          <w:color w:val="0A0A0A"/>
          <w:w w:val="105"/>
          <w:sz w:val="21"/>
        </w:rPr>
        <w:t>movement in</w:t>
      </w:r>
      <w:r>
        <w:rPr>
          <w:color w:val="0A0A0A"/>
          <w:spacing w:val="-4"/>
          <w:w w:val="105"/>
          <w:sz w:val="21"/>
        </w:rPr>
        <w:t> </w:t>
      </w:r>
      <w:r>
        <w:rPr>
          <w:color w:val="0A0A0A"/>
          <w:w w:val="105"/>
          <w:sz w:val="21"/>
        </w:rPr>
        <w:t>the </w:t>
      </w:r>
      <w:r>
        <w:rPr>
          <w:color w:val="1C1C1C"/>
          <w:w w:val="105"/>
          <w:sz w:val="21"/>
        </w:rPr>
        <w:t>account</w:t>
      </w:r>
      <w:r>
        <w:rPr>
          <w:color w:val="1C1C1C"/>
          <w:w w:val="105"/>
          <w:sz w:val="21"/>
        </w:rPr>
        <w:t> </w:t>
      </w:r>
      <w:r>
        <w:rPr>
          <w:color w:val="0A0A0A"/>
          <w:w w:val="105"/>
          <w:sz w:val="21"/>
        </w:rPr>
        <w:t>during the year is </w:t>
      </w:r>
      <w:r>
        <w:rPr>
          <w:color w:val="1C1C1C"/>
          <w:w w:val="105"/>
          <w:sz w:val="21"/>
        </w:rPr>
        <w:t>as follows</w:t>
      </w:r>
      <w:r>
        <w:rPr>
          <w:color w:val="505050"/>
          <w:w w:val="105"/>
          <w:sz w:val="21"/>
        </w:rPr>
        <w:t>:</w:t>
      </w:r>
    </w:p>
    <w:p>
      <w:pPr>
        <w:pStyle w:val="BodyText"/>
        <w:spacing w:before="82"/>
        <w:rPr>
          <w:sz w:val="20"/>
        </w:rPr>
      </w:pPr>
    </w:p>
    <w:tbl>
      <w:tblPr>
        <w:tblW w:w="0" w:type="auto"/>
        <w:jc w:val="left"/>
        <w:tblInd w:w="1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865"/>
        <w:gridCol w:w="6634"/>
        <w:gridCol w:w="1749"/>
      </w:tblGrid>
      <w:tr>
        <w:trPr>
          <w:trHeight w:val="278" w:hRule="atLeast"/>
        </w:trPr>
        <w:tc>
          <w:tcPr>
            <w:tcW w:w="1865" w:type="dxa"/>
          </w:tcPr>
          <w:p>
            <w:pPr>
              <w:pStyle w:val="TableParagraph"/>
              <w:spacing w:line="240" w:lineRule="exact"/>
              <w:ind w:left="518"/>
              <w:rPr>
                <w:b/>
                <w:sz w:val="21"/>
              </w:rPr>
            </w:pPr>
            <w:r>
              <w:rPr>
                <w:b/>
                <w:color w:val="0A0A0A"/>
                <w:spacing w:val="-2"/>
                <w:w w:val="105"/>
                <w:sz w:val="21"/>
              </w:rPr>
              <w:t>2021/22</w:t>
            </w:r>
          </w:p>
        </w:tc>
        <w:tc>
          <w:tcPr>
            <w:tcW w:w="6634" w:type="dxa"/>
          </w:tcPr>
          <w:p>
            <w:pPr>
              <w:pStyle w:val="TableParagraph"/>
              <w:rPr>
                <w:rFonts w:ascii="Times New Roman"/>
                <w:sz w:val="20"/>
              </w:rPr>
            </w:pPr>
          </w:p>
        </w:tc>
        <w:tc>
          <w:tcPr>
            <w:tcW w:w="1749" w:type="dxa"/>
          </w:tcPr>
          <w:p>
            <w:pPr>
              <w:pStyle w:val="TableParagraph"/>
              <w:spacing w:line="235" w:lineRule="exact"/>
              <w:ind w:left="438"/>
              <w:rPr>
                <w:b/>
                <w:sz w:val="21"/>
              </w:rPr>
            </w:pPr>
            <w:r>
              <w:rPr>
                <w:b/>
                <w:color w:val="0A0A0A"/>
                <w:spacing w:val="-2"/>
                <w:w w:val="105"/>
                <w:sz w:val="21"/>
              </w:rPr>
              <w:t>2022/23</w:t>
            </w:r>
          </w:p>
        </w:tc>
      </w:tr>
      <w:tr>
        <w:trPr>
          <w:trHeight w:val="309" w:hRule="atLeast"/>
        </w:trPr>
        <w:tc>
          <w:tcPr>
            <w:tcW w:w="1865" w:type="dxa"/>
          </w:tcPr>
          <w:p>
            <w:pPr>
              <w:pStyle w:val="TableParagraph"/>
              <w:spacing w:before="32"/>
              <w:ind w:right="47"/>
              <w:jc w:val="center"/>
              <w:rPr>
                <w:b/>
                <w:sz w:val="21"/>
              </w:rPr>
            </w:pPr>
            <w:r>
              <w:rPr>
                <w:b/>
                <w:color w:val="0A0A0A"/>
                <w:spacing w:val="-4"/>
                <w:w w:val="105"/>
                <w:sz w:val="21"/>
              </w:rPr>
              <w:t>£000</w:t>
            </w:r>
          </w:p>
        </w:tc>
        <w:tc>
          <w:tcPr>
            <w:tcW w:w="6634" w:type="dxa"/>
          </w:tcPr>
          <w:p>
            <w:pPr>
              <w:pStyle w:val="TableParagraph"/>
              <w:rPr>
                <w:rFonts w:ascii="Times New Roman"/>
                <w:sz w:val="20"/>
              </w:rPr>
            </w:pPr>
          </w:p>
        </w:tc>
        <w:tc>
          <w:tcPr>
            <w:tcW w:w="1749" w:type="dxa"/>
          </w:tcPr>
          <w:p>
            <w:pPr>
              <w:pStyle w:val="TableParagraph"/>
              <w:spacing w:before="32"/>
              <w:ind w:right="78"/>
              <w:jc w:val="center"/>
              <w:rPr>
                <w:b/>
                <w:sz w:val="21"/>
              </w:rPr>
            </w:pPr>
            <w:r>
              <w:rPr>
                <w:b/>
                <w:color w:val="0A0A0A"/>
                <w:spacing w:val="-4"/>
                <w:w w:val="105"/>
                <w:sz w:val="21"/>
              </w:rPr>
              <w:t>£000</w:t>
            </w:r>
          </w:p>
        </w:tc>
      </w:tr>
      <w:tr>
        <w:trPr>
          <w:trHeight w:val="454" w:hRule="atLeast"/>
        </w:trPr>
        <w:tc>
          <w:tcPr>
            <w:tcW w:w="1865" w:type="dxa"/>
          </w:tcPr>
          <w:p>
            <w:pPr>
              <w:pStyle w:val="TableParagraph"/>
              <w:spacing w:before="29"/>
              <w:ind w:right="133"/>
              <w:jc w:val="right"/>
              <w:rPr>
                <w:b/>
                <w:sz w:val="21"/>
              </w:rPr>
            </w:pPr>
            <w:r>
              <w:rPr>
                <w:b/>
                <w:color w:val="0A0A0A"/>
                <w:spacing w:val="-2"/>
                <w:w w:val="105"/>
                <w:sz w:val="21"/>
              </w:rPr>
              <w:t>(63,946)</w:t>
            </w:r>
          </w:p>
        </w:tc>
        <w:tc>
          <w:tcPr>
            <w:tcW w:w="6634" w:type="dxa"/>
          </w:tcPr>
          <w:p>
            <w:pPr>
              <w:pStyle w:val="TableParagraph"/>
              <w:spacing w:before="29"/>
              <w:ind w:left="582"/>
              <w:rPr>
                <w:b/>
                <w:sz w:val="21"/>
              </w:rPr>
            </w:pPr>
            <w:r>
              <w:rPr>
                <w:b/>
                <w:color w:val="0A0A0A"/>
                <w:w w:val="105"/>
                <w:sz w:val="21"/>
              </w:rPr>
              <w:t>As at</w:t>
            </w:r>
            <w:r>
              <w:rPr>
                <w:b/>
                <w:color w:val="0A0A0A"/>
                <w:spacing w:val="-8"/>
                <w:w w:val="105"/>
                <w:sz w:val="21"/>
              </w:rPr>
              <w:t> </w:t>
            </w:r>
            <w:r>
              <w:rPr>
                <w:b/>
                <w:color w:val="0A0A0A"/>
                <w:w w:val="105"/>
                <w:sz w:val="21"/>
              </w:rPr>
              <w:t>1</w:t>
            </w:r>
            <w:r>
              <w:rPr>
                <w:b/>
                <w:color w:val="0A0A0A"/>
                <w:spacing w:val="8"/>
                <w:w w:val="105"/>
                <w:sz w:val="21"/>
              </w:rPr>
              <w:t> </w:t>
            </w:r>
            <w:r>
              <w:rPr>
                <w:b/>
                <w:color w:val="0A0A0A"/>
                <w:spacing w:val="-4"/>
                <w:w w:val="105"/>
                <w:sz w:val="21"/>
              </w:rPr>
              <w:t>April</w:t>
            </w:r>
          </w:p>
        </w:tc>
        <w:tc>
          <w:tcPr>
            <w:tcW w:w="1749" w:type="dxa"/>
          </w:tcPr>
          <w:p>
            <w:pPr>
              <w:pStyle w:val="TableParagraph"/>
              <w:spacing w:before="29"/>
              <w:ind w:right="160"/>
              <w:jc w:val="right"/>
              <w:rPr>
                <w:b/>
                <w:sz w:val="21"/>
              </w:rPr>
            </w:pPr>
            <w:r>
              <w:rPr>
                <w:b/>
                <w:color w:val="0A0A0A"/>
                <w:spacing w:val="-2"/>
                <w:w w:val="105"/>
                <w:sz w:val="21"/>
              </w:rPr>
              <w:t>(74,385)</w:t>
            </w:r>
          </w:p>
        </w:tc>
      </w:tr>
      <w:tr>
        <w:trPr>
          <w:trHeight w:val="442" w:hRule="atLeast"/>
        </w:trPr>
        <w:tc>
          <w:tcPr>
            <w:tcW w:w="1865" w:type="dxa"/>
          </w:tcPr>
          <w:p>
            <w:pPr>
              <w:pStyle w:val="TableParagraph"/>
              <w:rPr>
                <w:rFonts w:ascii="Times New Roman"/>
                <w:sz w:val="20"/>
              </w:rPr>
            </w:pPr>
          </w:p>
        </w:tc>
        <w:tc>
          <w:tcPr>
            <w:tcW w:w="6634" w:type="dxa"/>
          </w:tcPr>
          <w:p>
            <w:pPr>
              <w:pStyle w:val="TableParagraph"/>
              <w:spacing w:before="176"/>
              <w:ind w:left="581"/>
              <w:rPr>
                <w:b/>
                <w:sz w:val="21"/>
              </w:rPr>
            </w:pPr>
            <w:r>
              <w:rPr>
                <w:b/>
                <w:color w:val="0A0A0A"/>
                <w:w w:val="105"/>
                <w:sz w:val="21"/>
              </w:rPr>
              <w:t>Reversal</w:t>
            </w:r>
            <w:r>
              <w:rPr>
                <w:b/>
                <w:color w:val="0A0A0A"/>
                <w:spacing w:val="3"/>
                <w:w w:val="105"/>
                <w:sz w:val="21"/>
              </w:rPr>
              <w:t> </w:t>
            </w:r>
            <w:r>
              <w:rPr>
                <w:b/>
                <w:color w:val="0A0A0A"/>
                <w:w w:val="105"/>
                <w:sz w:val="21"/>
              </w:rPr>
              <w:t>of</w:t>
            </w:r>
            <w:r>
              <w:rPr>
                <w:b/>
                <w:color w:val="0A0A0A"/>
                <w:spacing w:val="-13"/>
                <w:w w:val="105"/>
                <w:sz w:val="21"/>
              </w:rPr>
              <w:t> </w:t>
            </w:r>
            <w:r>
              <w:rPr>
                <w:b/>
                <w:color w:val="0A0A0A"/>
                <w:w w:val="105"/>
                <w:sz w:val="21"/>
              </w:rPr>
              <w:t>items</w:t>
            </w:r>
            <w:r>
              <w:rPr>
                <w:b/>
                <w:color w:val="0A0A0A"/>
                <w:spacing w:val="-1"/>
                <w:w w:val="105"/>
                <w:sz w:val="21"/>
              </w:rPr>
              <w:t> </w:t>
            </w:r>
            <w:r>
              <w:rPr>
                <w:b/>
                <w:color w:val="0A0A0A"/>
                <w:w w:val="105"/>
                <w:sz w:val="21"/>
              </w:rPr>
              <w:t>debited or</w:t>
            </w:r>
            <w:r>
              <w:rPr>
                <w:b/>
                <w:color w:val="0A0A0A"/>
                <w:spacing w:val="-10"/>
                <w:w w:val="105"/>
                <w:sz w:val="21"/>
              </w:rPr>
              <w:t> </w:t>
            </w:r>
            <w:r>
              <w:rPr>
                <w:b/>
                <w:color w:val="0A0A0A"/>
                <w:w w:val="105"/>
                <w:sz w:val="21"/>
              </w:rPr>
              <w:t>credited</w:t>
            </w:r>
            <w:r>
              <w:rPr>
                <w:b/>
                <w:color w:val="0A0A0A"/>
                <w:spacing w:val="-2"/>
                <w:w w:val="105"/>
                <w:sz w:val="21"/>
              </w:rPr>
              <w:t> </w:t>
            </w:r>
            <w:r>
              <w:rPr>
                <w:b/>
                <w:color w:val="0A0A0A"/>
                <w:w w:val="105"/>
                <w:sz w:val="21"/>
              </w:rPr>
              <w:t>to</w:t>
            </w:r>
            <w:r>
              <w:rPr>
                <w:b/>
                <w:color w:val="0A0A0A"/>
                <w:spacing w:val="-11"/>
                <w:w w:val="105"/>
                <w:sz w:val="21"/>
              </w:rPr>
              <w:t> </w:t>
            </w:r>
            <w:r>
              <w:rPr>
                <w:b/>
                <w:color w:val="0A0A0A"/>
                <w:w w:val="105"/>
                <w:sz w:val="21"/>
              </w:rPr>
              <w:t>the</w:t>
            </w:r>
            <w:r>
              <w:rPr>
                <w:b/>
                <w:color w:val="0A0A0A"/>
                <w:spacing w:val="-9"/>
                <w:w w:val="105"/>
                <w:sz w:val="21"/>
              </w:rPr>
              <w:t> </w:t>
            </w:r>
            <w:r>
              <w:rPr>
                <w:b/>
                <w:color w:val="0A0A0A"/>
                <w:spacing w:val="-4"/>
                <w:w w:val="105"/>
                <w:sz w:val="21"/>
              </w:rPr>
              <w:t>CIES</w:t>
            </w:r>
          </w:p>
        </w:tc>
        <w:tc>
          <w:tcPr>
            <w:tcW w:w="1749" w:type="dxa"/>
          </w:tcPr>
          <w:p>
            <w:pPr>
              <w:pStyle w:val="TableParagraph"/>
              <w:rPr>
                <w:rFonts w:ascii="Times New Roman"/>
                <w:sz w:val="20"/>
              </w:rPr>
            </w:pPr>
          </w:p>
        </w:tc>
      </w:tr>
      <w:tr>
        <w:trPr>
          <w:trHeight w:val="297" w:hRule="atLeast"/>
        </w:trPr>
        <w:tc>
          <w:tcPr>
            <w:tcW w:w="1865" w:type="dxa"/>
          </w:tcPr>
          <w:p>
            <w:pPr>
              <w:pStyle w:val="TableParagraph"/>
              <w:spacing w:before="17"/>
              <w:ind w:right="134"/>
              <w:jc w:val="right"/>
              <w:rPr>
                <w:sz w:val="21"/>
              </w:rPr>
            </w:pPr>
            <w:r>
              <w:rPr>
                <w:color w:val="0A0A0A"/>
                <w:spacing w:val="-4"/>
                <w:w w:val="105"/>
                <w:sz w:val="21"/>
              </w:rPr>
              <w:t>2,422</w:t>
            </w:r>
          </w:p>
        </w:tc>
        <w:tc>
          <w:tcPr>
            <w:tcW w:w="6634" w:type="dxa"/>
          </w:tcPr>
          <w:p>
            <w:pPr>
              <w:pStyle w:val="TableParagraph"/>
              <w:spacing w:before="17"/>
              <w:ind w:left="580"/>
              <w:rPr>
                <w:sz w:val="21"/>
              </w:rPr>
            </w:pPr>
            <w:r>
              <w:rPr>
                <w:color w:val="0A0A0A"/>
                <w:w w:val="105"/>
                <w:sz w:val="21"/>
              </w:rPr>
              <w:t>Depreciation,</w:t>
            </w:r>
            <w:r>
              <w:rPr>
                <w:color w:val="0A0A0A"/>
                <w:spacing w:val="-8"/>
                <w:w w:val="105"/>
                <w:sz w:val="21"/>
              </w:rPr>
              <w:t> </w:t>
            </w:r>
            <w:r>
              <w:rPr>
                <w:color w:val="0A0A0A"/>
                <w:w w:val="105"/>
                <w:sz w:val="21"/>
              </w:rPr>
              <w:t>impairment</w:t>
            </w:r>
            <w:r>
              <w:rPr>
                <w:color w:val="0A0A0A"/>
                <w:spacing w:val="-1"/>
                <w:w w:val="105"/>
                <w:sz w:val="21"/>
              </w:rPr>
              <w:t> </w:t>
            </w:r>
            <w:r>
              <w:rPr>
                <w:color w:val="0A0A0A"/>
                <w:w w:val="105"/>
                <w:sz w:val="21"/>
              </w:rPr>
              <w:t>and</w:t>
            </w:r>
            <w:r>
              <w:rPr>
                <w:color w:val="0A0A0A"/>
                <w:spacing w:val="-16"/>
                <w:w w:val="105"/>
                <w:sz w:val="21"/>
              </w:rPr>
              <w:t> </w:t>
            </w:r>
            <w:r>
              <w:rPr>
                <w:color w:val="0A0A0A"/>
                <w:spacing w:val="-2"/>
                <w:w w:val="105"/>
                <w:sz w:val="21"/>
              </w:rPr>
              <w:t>amortisation</w:t>
            </w:r>
          </w:p>
        </w:tc>
        <w:tc>
          <w:tcPr>
            <w:tcW w:w="1749" w:type="dxa"/>
          </w:tcPr>
          <w:p>
            <w:pPr>
              <w:pStyle w:val="TableParagraph"/>
              <w:spacing w:before="17"/>
              <w:ind w:right="223"/>
              <w:jc w:val="right"/>
              <w:rPr>
                <w:sz w:val="21"/>
              </w:rPr>
            </w:pPr>
            <w:r>
              <w:rPr>
                <w:color w:val="0A0A0A"/>
                <w:spacing w:val="-4"/>
                <w:w w:val="105"/>
                <w:sz w:val="21"/>
              </w:rPr>
              <w:t>2,346</w:t>
            </w:r>
          </w:p>
        </w:tc>
      </w:tr>
      <w:tr>
        <w:trPr>
          <w:trHeight w:val="312" w:hRule="atLeast"/>
        </w:trPr>
        <w:tc>
          <w:tcPr>
            <w:tcW w:w="1865" w:type="dxa"/>
          </w:tcPr>
          <w:p>
            <w:pPr>
              <w:pStyle w:val="TableParagraph"/>
              <w:spacing w:before="32"/>
              <w:ind w:right="139"/>
              <w:jc w:val="right"/>
              <w:rPr>
                <w:sz w:val="21"/>
              </w:rPr>
            </w:pPr>
            <w:r>
              <w:rPr>
                <w:color w:val="0A0A0A"/>
                <w:spacing w:val="-2"/>
                <w:w w:val="105"/>
                <w:sz w:val="21"/>
              </w:rPr>
              <w:t>(2,838)</w:t>
            </w:r>
          </w:p>
        </w:tc>
        <w:tc>
          <w:tcPr>
            <w:tcW w:w="6634" w:type="dxa"/>
          </w:tcPr>
          <w:p>
            <w:pPr>
              <w:pStyle w:val="TableParagraph"/>
              <w:spacing w:before="32"/>
              <w:ind w:left="577"/>
              <w:rPr>
                <w:sz w:val="21"/>
              </w:rPr>
            </w:pPr>
            <w:r>
              <w:rPr>
                <w:color w:val="0A0A0A"/>
                <w:w w:val="105"/>
                <w:sz w:val="21"/>
              </w:rPr>
              <w:t>Impairment/</w:t>
            </w:r>
            <w:r>
              <w:rPr>
                <w:color w:val="0A0A0A"/>
                <w:spacing w:val="17"/>
                <w:w w:val="105"/>
                <w:sz w:val="21"/>
              </w:rPr>
              <w:t> </w:t>
            </w:r>
            <w:r>
              <w:rPr>
                <w:color w:val="0A0A0A"/>
                <w:w w:val="105"/>
                <w:sz w:val="21"/>
              </w:rPr>
              <w:t>Revaluation</w:t>
            </w:r>
            <w:r>
              <w:rPr>
                <w:color w:val="0A0A0A"/>
                <w:spacing w:val="14"/>
                <w:w w:val="105"/>
                <w:sz w:val="21"/>
              </w:rPr>
              <w:t> </w:t>
            </w:r>
            <w:r>
              <w:rPr>
                <w:color w:val="0A0A0A"/>
                <w:w w:val="105"/>
                <w:sz w:val="21"/>
              </w:rPr>
              <w:t>charged</w:t>
            </w:r>
            <w:r>
              <w:rPr>
                <w:color w:val="0A0A0A"/>
                <w:spacing w:val="3"/>
                <w:w w:val="105"/>
                <w:sz w:val="21"/>
              </w:rPr>
              <w:t> </w:t>
            </w:r>
            <w:r>
              <w:rPr>
                <w:color w:val="0A0A0A"/>
                <w:w w:val="105"/>
                <w:sz w:val="21"/>
              </w:rPr>
              <w:t>to</w:t>
            </w:r>
            <w:r>
              <w:rPr>
                <w:color w:val="0A0A0A"/>
                <w:spacing w:val="-7"/>
                <w:w w:val="105"/>
                <w:sz w:val="21"/>
              </w:rPr>
              <w:t> </w:t>
            </w:r>
            <w:r>
              <w:rPr>
                <w:color w:val="0A0A0A"/>
                <w:w w:val="105"/>
                <w:sz w:val="21"/>
              </w:rPr>
              <w:t>the</w:t>
            </w:r>
            <w:r>
              <w:rPr>
                <w:color w:val="0A0A0A"/>
                <w:spacing w:val="-9"/>
                <w:w w:val="105"/>
                <w:sz w:val="21"/>
              </w:rPr>
              <w:t> </w:t>
            </w:r>
            <w:r>
              <w:rPr>
                <w:color w:val="0A0A0A"/>
                <w:spacing w:val="-4"/>
                <w:w w:val="105"/>
                <w:sz w:val="21"/>
              </w:rPr>
              <w:t>CIES</w:t>
            </w:r>
          </w:p>
        </w:tc>
        <w:tc>
          <w:tcPr>
            <w:tcW w:w="1749" w:type="dxa"/>
          </w:tcPr>
          <w:p>
            <w:pPr>
              <w:pStyle w:val="TableParagraph"/>
              <w:spacing w:before="32"/>
              <w:ind w:right="217"/>
              <w:jc w:val="right"/>
              <w:rPr>
                <w:sz w:val="21"/>
              </w:rPr>
            </w:pPr>
            <w:r>
              <w:rPr>
                <w:color w:val="0A0A0A"/>
                <w:spacing w:val="-4"/>
                <w:w w:val="105"/>
                <w:sz w:val="21"/>
              </w:rPr>
              <w:t>3,465</w:t>
            </w:r>
          </w:p>
        </w:tc>
      </w:tr>
      <w:tr>
        <w:trPr>
          <w:trHeight w:val="312" w:hRule="atLeast"/>
        </w:trPr>
        <w:tc>
          <w:tcPr>
            <w:tcW w:w="1865" w:type="dxa"/>
          </w:tcPr>
          <w:p>
            <w:pPr>
              <w:pStyle w:val="TableParagraph"/>
              <w:spacing w:before="32"/>
              <w:ind w:right="141"/>
              <w:jc w:val="right"/>
              <w:rPr>
                <w:sz w:val="21"/>
              </w:rPr>
            </w:pPr>
            <w:r>
              <w:rPr>
                <w:color w:val="0A0A0A"/>
                <w:spacing w:val="-2"/>
                <w:w w:val="105"/>
                <w:sz w:val="21"/>
              </w:rPr>
              <w:t>(1,183)</w:t>
            </w:r>
          </w:p>
        </w:tc>
        <w:tc>
          <w:tcPr>
            <w:tcW w:w="6634" w:type="dxa"/>
          </w:tcPr>
          <w:p>
            <w:pPr>
              <w:pStyle w:val="TableParagraph"/>
              <w:spacing w:before="32"/>
              <w:ind w:left="575"/>
              <w:rPr>
                <w:sz w:val="21"/>
              </w:rPr>
            </w:pPr>
            <w:r>
              <w:rPr>
                <w:color w:val="0A0A0A"/>
                <w:w w:val="105"/>
                <w:sz w:val="21"/>
              </w:rPr>
              <w:t>Movements</w:t>
            </w:r>
            <w:r>
              <w:rPr>
                <w:color w:val="0A0A0A"/>
                <w:spacing w:val="3"/>
                <w:w w:val="105"/>
                <w:sz w:val="21"/>
              </w:rPr>
              <w:t> </w:t>
            </w:r>
            <w:r>
              <w:rPr>
                <w:color w:val="1C1C1C"/>
                <w:w w:val="105"/>
                <w:sz w:val="21"/>
              </w:rPr>
              <w:t>in</w:t>
            </w:r>
            <w:r>
              <w:rPr>
                <w:color w:val="1C1C1C"/>
                <w:spacing w:val="-9"/>
                <w:w w:val="105"/>
                <w:sz w:val="21"/>
              </w:rPr>
              <w:t> </w:t>
            </w:r>
            <w:r>
              <w:rPr>
                <w:color w:val="0A0A0A"/>
                <w:w w:val="105"/>
                <w:sz w:val="21"/>
              </w:rPr>
              <w:t>the</w:t>
            </w:r>
            <w:r>
              <w:rPr>
                <w:color w:val="0A0A0A"/>
                <w:spacing w:val="-12"/>
                <w:w w:val="105"/>
                <w:sz w:val="21"/>
              </w:rPr>
              <w:t> </w:t>
            </w:r>
            <w:r>
              <w:rPr>
                <w:color w:val="0A0A0A"/>
                <w:w w:val="105"/>
                <w:sz w:val="21"/>
              </w:rPr>
              <w:t>market value</w:t>
            </w:r>
            <w:r>
              <w:rPr>
                <w:color w:val="0A0A0A"/>
                <w:spacing w:val="-4"/>
                <w:w w:val="105"/>
                <w:sz w:val="21"/>
              </w:rPr>
              <w:t> </w:t>
            </w:r>
            <w:r>
              <w:rPr>
                <w:color w:val="0A0A0A"/>
                <w:w w:val="105"/>
                <w:sz w:val="21"/>
              </w:rPr>
              <w:t>of</w:t>
            </w:r>
            <w:r>
              <w:rPr>
                <w:color w:val="0A0A0A"/>
                <w:spacing w:val="-8"/>
                <w:w w:val="105"/>
                <w:sz w:val="21"/>
              </w:rPr>
              <w:t> </w:t>
            </w:r>
            <w:r>
              <w:rPr>
                <w:color w:val="0A0A0A"/>
                <w:w w:val="105"/>
                <w:sz w:val="21"/>
              </w:rPr>
              <w:t>Investment</w:t>
            </w:r>
            <w:r>
              <w:rPr>
                <w:color w:val="0A0A0A"/>
                <w:spacing w:val="-4"/>
                <w:w w:val="105"/>
                <w:sz w:val="21"/>
              </w:rPr>
              <w:t> </w:t>
            </w:r>
            <w:r>
              <w:rPr>
                <w:color w:val="0A0A0A"/>
                <w:spacing w:val="-2"/>
                <w:w w:val="105"/>
                <w:sz w:val="21"/>
              </w:rPr>
              <w:t>Properties</w:t>
            </w:r>
          </w:p>
        </w:tc>
        <w:tc>
          <w:tcPr>
            <w:tcW w:w="1749" w:type="dxa"/>
          </w:tcPr>
          <w:p>
            <w:pPr>
              <w:pStyle w:val="TableParagraph"/>
              <w:spacing w:before="32"/>
              <w:ind w:right="161"/>
              <w:jc w:val="right"/>
              <w:rPr>
                <w:sz w:val="21"/>
              </w:rPr>
            </w:pPr>
            <w:r>
              <w:rPr>
                <w:color w:val="0A0A0A"/>
                <w:spacing w:val="-2"/>
                <w:w w:val="105"/>
                <w:sz w:val="21"/>
              </w:rPr>
              <w:t>(815)</w:t>
            </w:r>
          </w:p>
        </w:tc>
      </w:tr>
      <w:tr>
        <w:trPr>
          <w:trHeight w:val="312" w:hRule="atLeast"/>
        </w:trPr>
        <w:tc>
          <w:tcPr>
            <w:tcW w:w="1865" w:type="dxa"/>
          </w:tcPr>
          <w:p>
            <w:pPr>
              <w:pStyle w:val="TableParagraph"/>
              <w:spacing w:before="32"/>
              <w:ind w:right="136"/>
              <w:jc w:val="right"/>
              <w:rPr>
                <w:sz w:val="21"/>
              </w:rPr>
            </w:pPr>
            <w:r>
              <w:rPr>
                <w:color w:val="0A0A0A"/>
                <w:spacing w:val="-4"/>
                <w:w w:val="105"/>
                <w:sz w:val="21"/>
              </w:rPr>
              <w:t>1,232</w:t>
            </w:r>
          </w:p>
        </w:tc>
        <w:tc>
          <w:tcPr>
            <w:tcW w:w="6634" w:type="dxa"/>
          </w:tcPr>
          <w:p>
            <w:pPr>
              <w:pStyle w:val="TableParagraph"/>
              <w:spacing w:before="32"/>
              <w:ind w:left="579"/>
              <w:rPr>
                <w:sz w:val="21"/>
              </w:rPr>
            </w:pPr>
            <w:r>
              <w:rPr>
                <w:color w:val="0A0A0A"/>
                <w:w w:val="105"/>
                <w:sz w:val="21"/>
              </w:rPr>
              <w:t>Revenue</w:t>
            </w:r>
            <w:r>
              <w:rPr>
                <w:color w:val="0A0A0A"/>
                <w:spacing w:val="-5"/>
                <w:w w:val="105"/>
                <w:sz w:val="21"/>
              </w:rPr>
              <w:t> </w:t>
            </w:r>
            <w:r>
              <w:rPr>
                <w:color w:val="0A0A0A"/>
                <w:w w:val="105"/>
                <w:sz w:val="21"/>
              </w:rPr>
              <w:t>expenditure funded</w:t>
            </w:r>
            <w:r>
              <w:rPr>
                <w:color w:val="0A0A0A"/>
                <w:spacing w:val="-11"/>
                <w:w w:val="105"/>
                <w:sz w:val="21"/>
              </w:rPr>
              <w:t> </w:t>
            </w:r>
            <w:r>
              <w:rPr>
                <w:color w:val="0A0A0A"/>
                <w:w w:val="105"/>
                <w:sz w:val="21"/>
              </w:rPr>
              <w:t>from</w:t>
            </w:r>
            <w:r>
              <w:rPr>
                <w:color w:val="0A0A0A"/>
                <w:spacing w:val="-7"/>
                <w:w w:val="105"/>
                <w:sz w:val="21"/>
              </w:rPr>
              <w:t> </w:t>
            </w:r>
            <w:r>
              <w:rPr>
                <w:color w:val="0A0A0A"/>
                <w:w w:val="105"/>
                <w:sz w:val="21"/>
              </w:rPr>
              <w:t>capital</w:t>
            </w:r>
            <w:r>
              <w:rPr>
                <w:color w:val="0A0A0A"/>
                <w:spacing w:val="-9"/>
                <w:w w:val="105"/>
                <w:sz w:val="21"/>
              </w:rPr>
              <w:t> </w:t>
            </w:r>
            <w:r>
              <w:rPr>
                <w:color w:val="0A0A0A"/>
                <w:w w:val="105"/>
                <w:sz w:val="21"/>
              </w:rPr>
              <w:t>under</w:t>
            </w:r>
            <w:r>
              <w:rPr>
                <w:color w:val="0A0A0A"/>
                <w:spacing w:val="-6"/>
                <w:w w:val="105"/>
                <w:sz w:val="21"/>
              </w:rPr>
              <w:t> </w:t>
            </w:r>
            <w:r>
              <w:rPr>
                <w:color w:val="0A0A0A"/>
                <w:spacing w:val="-2"/>
                <w:w w:val="105"/>
                <w:sz w:val="21"/>
              </w:rPr>
              <w:t>statute</w:t>
            </w:r>
          </w:p>
        </w:tc>
        <w:tc>
          <w:tcPr>
            <w:tcW w:w="1749" w:type="dxa"/>
          </w:tcPr>
          <w:p>
            <w:pPr>
              <w:pStyle w:val="TableParagraph"/>
              <w:spacing w:before="32"/>
              <w:ind w:right="213"/>
              <w:jc w:val="right"/>
              <w:rPr>
                <w:sz w:val="21"/>
              </w:rPr>
            </w:pPr>
            <w:r>
              <w:rPr>
                <w:color w:val="0A0A0A"/>
                <w:spacing w:val="-4"/>
                <w:w w:val="105"/>
                <w:sz w:val="21"/>
              </w:rPr>
              <w:t>2,072</w:t>
            </w:r>
          </w:p>
        </w:tc>
      </w:tr>
      <w:tr>
        <w:trPr>
          <w:trHeight w:val="312" w:hRule="atLeast"/>
        </w:trPr>
        <w:tc>
          <w:tcPr>
            <w:tcW w:w="1865" w:type="dxa"/>
          </w:tcPr>
          <w:p>
            <w:pPr>
              <w:pStyle w:val="TableParagraph"/>
              <w:spacing w:before="32"/>
              <w:ind w:right="128"/>
              <w:jc w:val="right"/>
              <w:rPr>
                <w:sz w:val="21"/>
              </w:rPr>
            </w:pPr>
            <w:r>
              <w:rPr>
                <w:color w:val="0A0A0A"/>
                <w:spacing w:val="-10"/>
                <w:w w:val="105"/>
                <w:sz w:val="21"/>
              </w:rPr>
              <w:t>9</w:t>
            </w:r>
          </w:p>
        </w:tc>
        <w:tc>
          <w:tcPr>
            <w:tcW w:w="6634" w:type="dxa"/>
          </w:tcPr>
          <w:p>
            <w:pPr>
              <w:pStyle w:val="TableParagraph"/>
              <w:spacing w:before="32"/>
              <w:ind w:left="580"/>
              <w:rPr>
                <w:sz w:val="21"/>
              </w:rPr>
            </w:pPr>
            <w:r>
              <w:rPr>
                <w:color w:val="0A0A0A"/>
                <w:w w:val="105"/>
                <w:sz w:val="21"/>
              </w:rPr>
              <w:t>Non-current</w:t>
            </w:r>
            <w:r>
              <w:rPr>
                <w:color w:val="0A0A0A"/>
                <w:spacing w:val="3"/>
                <w:w w:val="105"/>
                <w:sz w:val="21"/>
              </w:rPr>
              <w:t> </w:t>
            </w:r>
            <w:r>
              <w:rPr>
                <w:color w:val="0A0A0A"/>
                <w:w w:val="105"/>
                <w:sz w:val="21"/>
              </w:rPr>
              <w:t>assets</w:t>
            </w:r>
            <w:r>
              <w:rPr>
                <w:color w:val="0A0A0A"/>
                <w:spacing w:val="-7"/>
                <w:w w:val="105"/>
                <w:sz w:val="21"/>
              </w:rPr>
              <w:t> </w:t>
            </w:r>
            <w:r>
              <w:rPr>
                <w:color w:val="0A0A0A"/>
                <w:w w:val="105"/>
                <w:sz w:val="21"/>
              </w:rPr>
              <w:t>written</w:t>
            </w:r>
            <w:r>
              <w:rPr>
                <w:color w:val="0A0A0A"/>
                <w:spacing w:val="-4"/>
                <w:w w:val="105"/>
                <w:sz w:val="21"/>
              </w:rPr>
              <w:t> </w:t>
            </w:r>
            <w:r>
              <w:rPr>
                <w:color w:val="0A0A0A"/>
                <w:w w:val="105"/>
                <w:sz w:val="21"/>
              </w:rPr>
              <w:t>out</w:t>
            </w:r>
            <w:r>
              <w:rPr>
                <w:color w:val="0A0A0A"/>
                <w:spacing w:val="-7"/>
                <w:w w:val="105"/>
                <w:sz w:val="21"/>
              </w:rPr>
              <w:t> </w:t>
            </w:r>
            <w:r>
              <w:rPr>
                <w:color w:val="0A0A0A"/>
                <w:w w:val="105"/>
                <w:sz w:val="21"/>
              </w:rPr>
              <w:t>on</w:t>
            </w:r>
            <w:r>
              <w:rPr>
                <w:color w:val="0A0A0A"/>
                <w:spacing w:val="-16"/>
                <w:w w:val="105"/>
                <w:sz w:val="21"/>
              </w:rPr>
              <w:t> </w:t>
            </w:r>
            <w:r>
              <w:rPr>
                <w:color w:val="0A0A0A"/>
                <w:spacing w:val="-2"/>
                <w:w w:val="105"/>
                <w:sz w:val="21"/>
              </w:rPr>
              <w:t>disposal</w:t>
            </w:r>
          </w:p>
        </w:tc>
        <w:tc>
          <w:tcPr>
            <w:tcW w:w="1749" w:type="dxa"/>
          </w:tcPr>
          <w:p>
            <w:pPr>
              <w:pStyle w:val="TableParagraph"/>
              <w:spacing w:before="32"/>
              <w:ind w:right="212"/>
              <w:jc w:val="right"/>
              <w:rPr>
                <w:sz w:val="21"/>
              </w:rPr>
            </w:pPr>
            <w:r>
              <w:rPr>
                <w:color w:val="0A0A0A"/>
                <w:spacing w:val="-5"/>
                <w:w w:val="105"/>
                <w:sz w:val="21"/>
              </w:rPr>
              <w:t>601</w:t>
            </w:r>
          </w:p>
        </w:tc>
      </w:tr>
      <w:tr>
        <w:trPr>
          <w:trHeight w:val="312" w:hRule="atLeast"/>
        </w:trPr>
        <w:tc>
          <w:tcPr>
            <w:tcW w:w="1865" w:type="dxa"/>
          </w:tcPr>
          <w:p>
            <w:pPr>
              <w:pStyle w:val="TableParagraph"/>
              <w:rPr>
                <w:rFonts w:ascii="Times New Roman"/>
                <w:sz w:val="20"/>
              </w:rPr>
            </w:pPr>
          </w:p>
        </w:tc>
        <w:tc>
          <w:tcPr>
            <w:tcW w:w="6634" w:type="dxa"/>
          </w:tcPr>
          <w:p>
            <w:pPr>
              <w:pStyle w:val="TableParagraph"/>
              <w:spacing w:before="32"/>
              <w:ind w:left="580"/>
              <w:rPr>
                <w:sz w:val="21"/>
              </w:rPr>
            </w:pPr>
            <w:r>
              <w:rPr>
                <w:color w:val="0A0A0A"/>
                <w:w w:val="105"/>
                <w:sz w:val="21"/>
              </w:rPr>
              <w:t>Donated</w:t>
            </w:r>
            <w:r>
              <w:rPr>
                <w:color w:val="0A0A0A"/>
                <w:spacing w:val="-6"/>
                <w:w w:val="105"/>
                <w:sz w:val="21"/>
              </w:rPr>
              <w:t> </w:t>
            </w:r>
            <w:r>
              <w:rPr>
                <w:color w:val="0A0A0A"/>
                <w:spacing w:val="-2"/>
                <w:w w:val="105"/>
                <w:sz w:val="21"/>
              </w:rPr>
              <w:t>Assets</w:t>
            </w:r>
          </w:p>
        </w:tc>
        <w:tc>
          <w:tcPr>
            <w:tcW w:w="1749" w:type="dxa"/>
          </w:tcPr>
          <w:p>
            <w:pPr>
              <w:pStyle w:val="TableParagraph"/>
              <w:rPr>
                <w:rFonts w:ascii="Times New Roman"/>
                <w:sz w:val="20"/>
              </w:rPr>
            </w:pPr>
          </w:p>
        </w:tc>
      </w:tr>
      <w:tr>
        <w:trPr>
          <w:trHeight w:val="468" w:hRule="atLeast"/>
        </w:trPr>
        <w:tc>
          <w:tcPr>
            <w:tcW w:w="1865" w:type="dxa"/>
          </w:tcPr>
          <w:p>
            <w:pPr>
              <w:pStyle w:val="TableParagraph"/>
              <w:rPr>
                <w:rFonts w:ascii="Times New Roman"/>
                <w:sz w:val="20"/>
              </w:rPr>
            </w:pPr>
          </w:p>
        </w:tc>
        <w:tc>
          <w:tcPr>
            <w:tcW w:w="6634" w:type="dxa"/>
          </w:tcPr>
          <w:p>
            <w:pPr>
              <w:pStyle w:val="TableParagraph"/>
              <w:spacing w:before="32"/>
              <w:ind w:left="579"/>
              <w:rPr>
                <w:sz w:val="21"/>
              </w:rPr>
            </w:pPr>
            <w:r>
              <w:rPr>
                <w:color w:val="0A0A0A"/>
                <w:w w:val="105"/>
                <w:sz w:val="21"/>
              </w:rPr>
              <w:t>Financial</w:t>
            </w:r>
            <w:r>
              <w:rPr>
                <w:color w:val="0A0A0A"/>
                <w:spacing w:val="-16"/>
                <w:w w:val="105"/>
                <w:sz w:val="21"/>
              </w:rPr>
              <w:t> </w:t>
            </w:r>
            <w:r>
              <w:rPr>
                <w:color w:val="0A0A0A"/>
                <w:w w:val="105"/>
                <w:sz w:val="21"/>
              </w:rPr>
              <w:t>Instrument</w:t>
            </w:r>
            <w:r>
              <w:rPr>
                <w:color w:val="0A0A0A"/>
                <w:spacing w:val="-7"/>
                <w:w w:val="105"/>
                <w:sz w:val="21"/>
              </w:rPr>
              <w:t> </w:t>
            </w:r>
            <w:r>
              <w:rPr>
                <w:color w:val="0A0A0A"/>
                <w:w w:val="105"/>
                <w:sz w:val="21"/>
              </w:rPr>
              <w:t>Impairment</w:t>
            </w:r>
            <w:r>
              <w:rPr>
                <w:color w:val="0A0A0A"/>
                <w:spacing w:val="-7"/>
                <w:w w:val="105"/>
                <w:sz w:val="21"/>
              </w:rPr>
              <w:t> </w:t>
            </w:r>
            <w:r>
              <w:rPr>
                <w:color w:val="0A0A0A"/>
                <w:spacing w:val="-2"/>
                <w:w w:val="105"/>
                <w:sz w:val="21"/>
              </w:rPr>
              <w:t>Allowance</w:t>
            </w:r>
          </w:p>
        </w:tc>
        <w:tc>
          <w:tcPr>
            <w:tcW w:w="1749" w:type="dxa"/>
          </w:tcPr>
          <w:p>
            <w:pPr>
              <w:pStyle w:val="TableParagraph"/>
              <w:spacing w:before="32"/>
              <w:ind w:right="149"/>
              <w:jc w:val="right"/>
              <w:rPr>
                <w:sz w:val="21"/>
              </w:rPr>
            </w:pPr>
            <w:r>
              <w:rPr>
                <w:color w:val="0A0A0A"/>
                <w:spacing w:val="-4"/>
                <w:w w:val="105"/>
                <w:sz w:val="21"/>
              </w:rPr>
              <w:t>(28)</w:t>
            </w:r>
          </w:p>
        </w:tc>
      </w:tr>
      <w:tr>
        <w:trPr>
          <w:trHeight w:val="468" w:hRule="atLeast"/>
        </w:trPr>
        <w:tc>
          <w:tcPr>
            <w:tcW w:w="1865" w:type="dxa"/>
          </w:tcPr>
          <w:p>
            <w:pPr>
              <w:pStyle w:val="TableParagraph"/>
              <w:rPr>
                <w:rFonts w:ascii="Times New Roman"/>
                <w:sz w:val="20"/>
              </w:rPr>
            </w:pPr>
          </w:p>
        </w:tc>
        <w:tc>
          <w:tcPr>
            <w:tcW w:w="6634" w:type="dxa"/>
          </w:tcPr>
          <w:p>
            <w:pPr>
              <w:pStyle w:val="TableParagraph"/>
              <w:spacing w:before="188"/>
              <w:ind w:left="582"/>
              <w:rPr>
                <w:b/>
                <w:sz w:val="21"/>
              </w:rPr>
            </w:pPr>
            <w:r>
              <w:rPr>
                <w:b/>
                <w:color w:val="0A0A0A"/>
                <w:w w:val="105"/>
                <w:sz w:val="21"/>
              </w:rPr>
              <w:t>Transfers</w:t>
            </w:r>
            <w:r>
              <w:rPr>
                <w:b/>
                <w:color w:val="0A0A0A"/>
                <w:spacing w:val="-2"/>
                <w:w w:val="105"/>
                <w:sz w:val="21"/>
              </w:rPr>
              <w:t> </w:t>
            </w:r>
            <w:r>
              <w:rPr>
                <w:b/>
                <w:color w:val="0A0A0A"/>
                <w:w w:val="105"/>
                <w:sz w:val="21"/>
              </w:rPr>
              <w:t>between</w:t>
            </w:r>
            <w:r>
              <w:rPr>
                <w:b/>
                <w:color w:val="0A0A0A"/>
                <w:spacing w:val="-5"/>
                <w:w w:val="105"/>
                <w:sz w:val="21"/>
              </w:rPr>
              <w:t> </w:t>
            </w:r>
            <w:r>
              <w:rPr>
                <w:b/>
                <w:color w:val="0A0A0A"/>
                <w:w w:val="105"/>
                <w:sz w:val="21"/>
              </w:rPr>
              <w:t>revenue</w:t>
            </w:r>
            <w:r>
              <w:rPr>
                <w:b/>
                <w:color w:val="0A0A0A"/>
                <w:spacing w:val="-6"/>
                <w:w w:val="105"/>
                <w:sz w:val="21"/>
              </w:rPr>
              <w:t> </w:t>
            </w:r>
            <w:r>
              <w:rPr>
                <w:b/>
                <w:color w:val="0A0A0A"/>
                <w:w w:val="105"/>
                <w:sz w:val="21"/>
              </w:rPr>
              <w:t>and</w:t>
            </w:r>
            <w:r>
              <w:rPr>
                <w:b/>
                <w:color w:val="0A0A0A"/>
                <w:spacing w:val="-13"/>
                <w:w w:val="105"/>
                <w:sz w:val="21"/>
              </w:rPr>
              <w:t> </w:t>
            </w:r>
            <w:r>
              <w:rPr>
                <w:b/>
                <w:color w:val="0A0A0A"/>
                <w:w w:val="105"/>
                <w:sz w:val="21"/>
              </w:rPr>
              <w:t>capital</w:t>
            </w:r>
            <w:r>
              <w:rPr>
                <w:b/>
                <w:color w:val="0A0A0A"/>
                <w:spacing w:val="-11"/>
                <w:w w:val="105"/>
                <w:sz w:val="21"/>
              </w:rPr>
              <w:t> </w:t>
            </w:r>
            <w:r>
              <w:rPr>
                <w:b/>
                <w:color w:val="0A0A0A"/>
                <w:spacing w:val="-2"/>
                <w:w w:val="105"/>
                <w:sz w:val="21"/>
              </w:rPr>
              <w:t>resources</w:t>
            </w:r>
          </w:p>
        </w:tc>
        <w:tc>
          <w:tcPr>
            <w:tcW w:w="1749" w:type="dxa"/>
          </w:tcPr>
          <w:p>
            <w:pPr>
              <w:pStyle w:val="TableParagraph"/>
              <w:rPr>
                <w:rFonts w:ascii="Times New Roman"/>
                <w:sz w:val="20"/>
              </w:rPr>
            </w:pPr>
          </w:p>
        </w:tc>
      </w:tr>
      <w:tr>
        <w:trPr>
          <w:trHeight w:val="312" w:hRule="atLeast"/>
        </w:trPr>
        <w:tc>
          <w:tcPr>
            <w:tcW w:w="1865" w:type="dxa"/>
          </w:tcPr>
          <w:p>
            <w:pPr>
              <w:pStyle w:val="TableParagraph"/>
              <w:spacing w:before="32"/>
              <w:ind w:right="134"/>
              <w:jc w:val="right"/>
              <w:rPr>
                <w:sz w:val="21"/>
              </w:rPr>
            </w:pPr>
            <w:r>
              <w:rPr>
                <w:color w:val="0A0A0A"/>
                <w:spacing w:val="-2"/>
                <w:w w:val="105"/>
                <w:sz w:val="21"/>
              </w:rPr>
              <w:t>(242)</w:t>
            </w:r>
          </w:p>
        </w:tc>
        <w:tc>
          <w:tcPr>
            <w:tcW w:w="6634" w:type="dxa"/>
          </w:tcPr>
          <w:p>
            <w:pPr>
              <w:pStyle w:val="TableParagraph"/>
              <w:spacing w:before="32"/>
              <w:ind w:left="575"/>
              <w:rPr>
                <w:sz w:val="21"/>
              </w:rPr>
            </w:pPr>
            <w:r>
              <w:rPr>
                <w:color w:val="0A0A0A"/>
                <w:w w:val="105"/>
                <w:sz w:val="21"/>
              </w:rPr>
              <w:t>Minimum</w:t>
            </w:r>
            <w:r>
              <w:rPr>
                <w:color w:val="0A0A0A"/>
                <w:spacing w:val="-5"/>
                <w:w w:val="105"/>
                <w:sz w:val="21"/>
              </w:rPr>
              <w:t> </w:t>
            </w:r>
            <w:r>
              <w:rPr>
                <w:color w:val="0A0A0A"/>
                <w:w w:val="105"/>
                <w:sz w:val="21"/>
              </w:rPr>
              <w:t>Revenue</w:t>
            </w:r>
            <w:r>
              <w:rPr>
                <w:color w:val="0A0A0A"/>
                <w:spacing w:val="-1"/>
                <w:w w:val="105"/>
                <w:sz w:val="21"/>
              </w:rPr>
              <w:t> </w:t>
            </w:r>
            <w:r>
              <w:rPr>
                <w:color w:val="0A0A0A"/>
                <w:spacing w:val="-2"/>
                <w:w w:val="105"/>
                <w:sz w:val="21"/>
              </w:rPr>
              <w:t>Provision</w:t>
            </w:r>
          </w:p>
        </w:tc>
        <w:tc>
          <w:tcPr>
            <w:tcW w:w="1749" w:type="dxa"/>
          </w:tcPr>
          <w:p>
            <w:pPr>
              <w:pStyle w:val="TableParagraph"/>
              <w:spacing w:before="32"/>
              <w:ind w:right="152"/>
              <w:jc w:val="right"/>
              <w:rPr>
                <w:sz w:val="21"/>
              </w:rPr>
            </w:pPr>
            <w:r>
              <w:rPr>
                <w:color w:val="0A0A0A"/>
                <w:spacing w:val="-2"/>
                <w:w w:val="105"/>
                <w:sz w:val="21"/>
              </w:rPr>
              <w:t>(482)</w:t>
            </w:r>
          </w:p>
        </w:tc>
      </w:tr>
      <w:tr>
        <w:trPr>
          <w:trHeight w:val="312" w:hRule="atLeast"/>
        </w:trPr>
        <w:tc>
          <w:tcPr>
            <w:tcW w:w="1865" w:type="dxa"/>
          </w:tcPr>
          <w:p>
            <w:pPr>
              <w:pStyle w:val="TableParagraph"/>
              <w:spacing w:before="32"/>
              <w:ind w:right="134"/>
              <w:jc w:val="right"/>
              <w:rPr>
                <w:sz w:val="21"/>
              </w:rPr>
            </w:pPr>
            <w:r>
              <w:rPr>
                <w:color w:val="0A0A0A"/>
                <w:spacing w:val="-2"/>
                <w:w w:val="105"/>
                <w:sz w:val="21"/>
              </w:rPr>
              <w:t>(946)</w:t>
            </w:r>
          </w:p>
        </w:tc>
        <w:tc>
          <w:tcPr>
            <w:tcW w:w="6634" w:type="dxa"/>
          </w:tcPr>
          <w:p>
            <w:pPr>
              <w:pStyle w:val="TableParagraph"/>
              <w:spacing w:before="32"/>
              <w:ind w:left="581"/>
              <w:rPr>
                <w:sz w:val="21"/>
              </w:rPr>
            </w:pPr>
            <w:r>
              <w:rPr>
                <w:color w:val="0A0A0A"/>
                <w:w w:val="105"/>
                <w:sz w:val="21"/>
              </w:rPr>
              <w:t>Capital</w:t>
            </w:r>
            <w:r>
              <w:rPr>
                <w:color w:val="0A0A0A"/>
                <w:spacing w:val="-9"/>
                <w:w w:val="105"/>
                <w:sz w:val="21"/>
              </w:rPr>
              <w:t> </w:t>
            </w:r>
            <w:r>
              <w:rPr>
                <w:color w:val="0A0A0A"/>
                <w:w w:val="105"/>
                <w:sz w:val="21"/>
              </w:rPr>
              <w:t>expenditure charged</w:t>
            </w:r>
            <w:r>
              <w:rPr>
                <w:color w:val="0A0A0A"/>
                <w:spacing w:val="-7"/>
                <w:w w:val="105"/>
                <w:sz w:val="21"/>
              </w:rPr>
              <w:t> </w:t>
            </w:r>
            <w:r>
              <w:rPr>
                <w:color w:val="0A0A0A"/>
                <w:w w:val="105"/>
                <w:sz w:val="21"/>
              </w:rPr>
              <w:t>against</w:t>
            </w:r>
            <w:r>
              <w:rPr>
                <w:color w:val="0A0A0A"/>
                <w:spacing w:val="-6"/>
                <w:w w:val="105"/>
                <w:sz w:val="21"/>
              </w:rPr>
              <w:t> </w:t>
            </w:r>
            <w:r>
              <w:rPr>
                <w:color w:val="0A0A0A"/>
                <w:w w:val="105"/>
                <w:sz w:val="21"/>
              </w:rPr>
              <w:t>the</w:t>
            </w:r>
            <w:r>
              <w:rPr>
                <w:color w:val="0A0A0A"/>
                <w:spacing w:val="-12"/>
                <w:w w:val="105"/>
                <w:sz w:val="21"/>
              </w:rPr>
              <w:t> </w:t>
            </w:r>
            <w:r>
              <w:rPr>
                <w:color w:val="0A0A0A"/>
                <w:w w:val="105"/>
                <w:sz w:val="21"/>
              </w:rPr>
              <w:t>General</w:t>
            </w:r>
            <w:r>
              <w:rPr>
                <w:color w:val="0A0A0A"/>
                <w:spacing w:val="-14"/>
                <w:w w:val="105"/>
                <w:sz w:val="21"/>
              </w:rPr>
              <w:t> </w:t>
            </w:r>
            <w:r>
              <w:rPr>
                <w:color w:val="0A0A0A"/>
                <w:spacing w:val="-4"/>
                <w:w w:val="105"/>
                <w:sz w:val="21"/>
              </w:rPr>
              <w:t>Fund</w:t>
            </w:r>
          </w:p>
        </w:tc>
        <w:tc>
          <w:tcPr>
            <w:tcW w:w="1749" w:type="dxa"/>
          </w:tcPr>
          <w:p>
            <w:pPr>
              <w:pStyle w:val="TableParagraph"/>
              <w:spacing w:before="32"/>
              <w:ind w:right="147"/>
              <w:jc w:val="right"/>
              <w:rPr>
                <w:sz w:val="21"/>
              </w:rPr>
            </w:pPr>
            <w:r>
              <w:rPr>
                <w:color w:val="0A0A0A"/>
                <w:spacing w:val="-2"/>
                <w:w w:val="105"/>
                <w:sz w:val="21"/>
              </w:rPr>
              <w:t>(1,977)</w:t>
            </w:r>
          </w:p>
        </w:tc>
      </w:tr>
      <w:tr>
        <w:trPr>
          <w:trHeight w:val="468" w:hRule="atLeast"/>
        </w:trPr>
        <w:tc>
          <w:tcPr>
            <w:tcW w:w="1865" w:type="dxa"/>
          </w:tcPr>
          <w:p>
            <w:pPr>
              <w:pStyle w:val="TableParagraph"/>
              <w:rPr>
                <w:rFonts w:ascii="Times New Roman"/>
                <w:sz w:val="20"/>
              </w:rPr>
            </w:pPr>
          </w:p>
        </w:tc>
        <w:tc>
          <w:tcPr>
            <w:tcW w:w="6634" w:type="dxa"/>
          </w:tcPr>
          <w:p>
            <w:pPr>
              <w:pStyle w:val="TableParagraph"/>
              <w:spacing w:before="32"/>
              <w:ind w:left="581"/>
              <w:rPr>
                <w:sz w:val="21"/>
              </w:rPr>
            </w:pPr>
            <w:r>
              <w:rPr>
                <w:color w:val="0A0A0A"/>
                <w:w w:val="105"/>
                <w:sz w:val="21"/>
              </w:rPr>
              <w:t>Investment</w:t>
            </w:r>
            <w:r>
              <w:rPr>
                <w:color w:val="0A0A0A"/>
                <w:spacing w:val="-5"/>
                <w:w w:val="105"/>
                <w:sz w:val="21"/>
              </w:rPr>
              <w:t> </w:t>
            </w:r>
            <w:r>
              <w:rPr>
                <w:color w:val="0A0A0A"/>
                <w:w w:val="105"/>
                <w:sz w:val="21"/>
              </w:rPr>
              <w:t>proceeds</w:t>
            </w:r>
            <w:r>
              <w:rPr>
                <w:color w:val="0A0A0A"/>
                <w:spacing w:val="-9"/>
                <w:w w:val="105"/>
                <w:sz w:val="21"/>
              </w:rPr>
              <w:t> </w:t>
            </w:r>
            <w:r>
              <w:rPr>
                <w:color w:val="0A0A0A"/>
                <w:spacing w:val="-2"/>
                <w:w w:val="105"/>
                <w:sz w:val="21"/>
              </w:rPr>
              <w:t>recognition</w:t>
            </w:r>
          </w:p>
        </w:tc>
        <w:tc>
          <w:tcPr>
            <w:tcW w:w="1749" w:type="dxa"/>
          </w:tcPr>
          <w:p>
            <w:pPr>
              <w:pStyle w:val="TableParagraph"/>
              <w:spacing w:before="32"/>
              <w:ind w:right="152"/>
              <w:jc w:val="right"/>
              <w:rPr>
                <w:sz w:val="21"/>
              </w:rPr>
            </w:pPr>
            <w:r>
              <w:rPr>
                <w:color w:val="0A0A0A"/>
                <w:spacing w:val="-2"/>
                <w:w w:val="105"/>
                <w:sz w:val="21"/>
              </w:rPr>
              <w:t>(491)</w:t>
            </w:r>
          </w:p>
        </w:tc>
      </w:tr>
      <w:tr>
        <w:trPr>
          <w:trHeight w:val="468" w:hRule="atLeast"/>
        </w:trPr>
        <w:tc>
          <w:tcPr>
            <w:tcW w:w="1865" w:type="dxa"/>
          </w:tcPr>
          <w:p>
            <w:pPr>
              <w:pStyle w:val="TableParagraph"/>
              <w:rPr>
                <w:rFonts w:ascii="Times New Roman"/>
                <w:sz w:val="20"/>
              </w:rPr>
            </w:pPr>
          </w:p>
        </w:tc>
        <w:tc>
          <w:tcPr>
            <w:tcW w:w="6634" w:type="dxa"/>
          </w:tcPr>
          <w:p>
            <w:pPr>
              <w:pStyle w:val="TableParagraph"/>
              <w:spacing w:before="188"/>
              <w:ind w:left="586"/>
              <w:rPr>
                <w:b/>
                <w:sz w:val="21"/>
              </w:rPr>
            </w:pPr>
            <w:r>
              <w:rPr>
                <w:b/>
                <w:color w:val="0A0A0A"/>
                <w:w w:val="105"/>
                <w:sz w:val="21"/>
              </w:rPr>
              <w:t>Adjustments</w:t>
            </w:r>
            <w:r>
              <w:rPr>
                <w:b/>
                <w:color w:val="0A0A0A"/>
                <w:spacing w:val="1"/>
                <w:w w:val="105"/>
                <w:sz w:val="21"/>
              </w:rPr>
              <w:t> </w:t>
            </w:r>
            <w:r>
              <w:rPr>
                <w:b/>
                <w:color w:val="0A0A0A"/>
                <w:w w:val="105"/>
                <w:sz w:val="21"/>
              </w:rPr>
              <w:t>to</w:t>
            </w:r>
            <w:r>
              <w:rPr>
                <w:b/>
                <w:color w:val="0A0A0A"/>
                <w:spacing w:val="-15"/>
                <w:w w:val="105"/>
                <w:sz w:val="21"/>
              </w:rPr>
              <w:t> </w:t>
            </w:r>
            <w:r>
              <w:rPr>
                <w:b/>
                <w:color w:val="0A0A0A"/>
                <w:w w:val="105"/>
                <w:sz w:val="21"/>
              </w:rPr>
              <w:t>capital</w:t>
            </w:r>
            <w:r>
              <w:rPr>
                <w:b/>
                <w:color w:val="0A0A0A"/>
                <w:spacing w:val="-8"/>
                <w:w w:val="105"/>
                <w:sz w:val="21"/>
              </w:rPr>
              <w:t> </w:t>
            </w:r>
            <w:r>
              <w:rPr>
                <w:b/>
                <w:color w:val="0A0A0A"/>
                <w:spacing w:val="-2"/>
                <w:w w:val="105"/>
                <w:sz w:val="21"/>
              </w:rPr>
              <w:t>resources</w:t>
            </w:r>
          </w:p>
        </w:tc>
        <w:tc>
          <w:tcPr>
            <w:tcW w:w="1749" w:type="dxa"/>
          </w:tcPr>
          <w:p>
            <w:pPr>
              <w:pStyle w:val="TableParagraph"/>
              <w:rPr>
                <w:rFonts w:ascii="Times New Roman"/>
                <w:sz w:val="20"/>
              </w:rPr>
            </w:pPr>
          </w:p>
        </w:tc>
      </w:tr>
      <w:tr>
        <w:trPr>
          <w:trHeight w:val="314" w:hRule="atLeast"/>
        </w:trPr>
        <w:tc>
          <w:tcPr>
            <w:tcW w:w="1865" w:type="dxa"/>
          </w:tcPr>
          <w:p>
            <w:pPr>
              <w:pStyle w:val="TableParagraph"/>
              <w:spacing w:before="32"/>
              <w:ind w:right="139"/>
              <w:jc w:val="right"/>
              <w:rPr>
                <w:sz w:val="21"/>
              </w:rPr>
            </w:pPr>
            <w:r>
              <w:rPr>
                <w:color w:val="0A0A0A"/>
                <w:spacing w:val="-2"/>
                <w:w w:val="105"/>
                <w:sz w:val="21"/>
              </w:rPr>
              <w:t>(592)</w:t>
            </w:r>
          </w:p>
        </w:tc>
        <w:tc>
          <w:tcPr>
            <w:tcW w:w="6634" w:type="dxa"/>
          </w:tcPr>
          <w:p>
            <w:pPr>
              <w:pStyle w:val="TableParagraph"/>
              <w:spacing w:before="32"/>
              <w:ind w:left="579"/>
              <w:rPr>
                <w:sz w:val="21"/>
              </w:rPr>
            </w:pPr>
            <w:r>
              <w:rPr>
                <w:color w:val="0A0A0A"/>
                <w:w w:val="105"/>
                <w:sz w:val="21"/>
              </w:rPr>
              <w:t>Use</w:t>
            </w:r>
            <w:r>
              <w:rPr>
                <w:color w:val="0A0A0A"/>
                <w:spacing w:val="-5"/>
                <w:w w:val="105"/>
                <w:sz w:val="21"/>
              </w:rPr>
              <w:t> </w:t>
            </w:r>
            <w:r>
              <w:rPr>
                <w:color w:val="0A0A0A"/>
                <w:w w:val="105"/>
                <w:sz w:val="21"/>
              </w:rPr>
              <w:t>of</w:t>
            </w:r>
            <w:r>
              <w:rPr>
                <w:color w:val="0A0A0A"/>
                <w:spacing w:val="-7"/>
                <w:w w:val="105"/>
                <w:sz w:val="21"/>
              </w:rPr>
              <w:t> </w:t>
            </w:r>
            <w:r>
              <w:rPr>
                <w:color w:val="0A0A0A"/>
                <w:w w:val="105"/>
                <w:sz w:val="21"/>
              </w:rPr>
              <w:t>Capital</w:t>
            </w:r>
            <w:r>
              <w:rPr>
                <w:color w:val="0A0A0A"/>
                <w:spacing w:val="-3"/>
                <w:w w:val="105"/>
                <w:sz w:val="21"/>
              </w:rPr>
              <w:t> </w:t>
            </w:r>
            <w:r>
              <w:rPr>
                <w:color w:val="0A0A0A"/>
                <w:w w:val="105"/>
                <w:sz w:val="21"/>
              </w:rPr>
              <w:t>Receipts</w:t>
            </w:r>
            <w:r>
              <w:rPr>
                <w:color w:val="0A0A0A"/>
                <w:spacing w:val="-2"/>
                <w:w w:val="105"/>
                <w:sz w:val="21"/>
              </w:rPr>
              <w:t> </w:t>
            </w:r>
            <w:r>
              <w:rPr>
                <w:color w:val="0A0A0A"/>
                <w:w w:val="105"/>
                <w:sz w:val="21"/>
              </w:rPr>
              <w:t>to</w:t>
            </w:r>
            <w:r>
              <w:rPr>
                <w:color w:val="0A0A0A"/>
                <w:spacing w:val="-9"/>
                <w:w w:val="105"/>
                <w:sz w:val="21"/>
              </w:rPr>
              <w:t> </w:t>
            </w:r>
            <w:r>
              <w:rPr>
                <w:color w:val="0A0A0A"/>
                <w:w w:val="105"/>
                <w:sz w:val="21"/>
              </w:rPr>
              <w:t>finance</w:t>
            </w:r>
            <w:r>
              <w:rPr>
                <w:color w:val="0A0A0A"/>
                <w:spacing w:val="1"/>
                <w:w w:val="105"/>
                <w:sz w:val="21"/>
              </w:rPr>
              <w:t> </w:t>
            </w:r>
            <w:r>
              <w:rPr>
                <w:color w:val="0A0A0A"/>
                <w:w w:val="105"/>
                <w:sz w:val="21"/>
              </w:rPr>
              <w:t>capital</w:t>
            </w:r>
            <w:r>
              <w:rPr>
                <w:color w:val="0A0A0A"/>
                <w:spacing w:val="-5"/>
                <w:w w:val="105"/>
                <w:sz w:val="21"/>
              </w:rPr>
              <w:t> </w:t>
            </w:r>
            <w:r>
              <w:rPr>
                <w:color w:val="0A0A0A"/>
                <w:spacing w:val="-2"/>
                <w:w w:val="105"/>
                <w:sz w:val="21"/>
              </w:rPr>
              <w:t>expenditure</w:t>
            </w:r>
          </w:p>
        </w:tc>
        <w:tc>
          <w:tcPr>
            <w:tcW w:w="1749" w:type="dxa"/>
          </w:tcPr>
          <w:p>
            <w:pPr>
              <w:pStyle w:val="TableParagraph"/>
              <w:spacing w:before="37"/>
              <w:ind w:right="142"/>
              <w:jc w:val="right"/>
              <w:rPr>
                <w:sz w:val="21"/>
              </w:rPr>
            </w:pPr>
            <w:r>
              <w:rPr>
                <w:color w:val="0A0A0A"/>
                <w:spacing w:val="-2"/>
                <w:w w:val="105"/>
                <w:sz w:val="21"/>
              </w:rPr>
              <w:t>(267)</w:t>
            </w:r>
          </w:p>
        </w:tc>
      </w:tr>
      <w:tr>
        <w:trPr>
          <w:trHeight w:val="689" w:hRule="atLeast"/>
        </w:trPr>
        <w:tc>
          <w:tcPr>
            <w:tcW w:w="1865" w:type="dxa"/>
          </w:tcPr>
          <w:p>
            <w:pPr>
              <w:pStyle w:val="TableParagraph"/>
              <w:spacing w:before="29"/>
              <w:ind w:right="141"/>
              <w:jc w:val="right"/>
              <w:rPr>
                <w:sz w:val="21"/>
              </w:rPr>
            </w:pPr>
            <w:r>
              <w:rPr>
                <w:color w:val="0A0A0A"/>
                <w:spacing w:val="-2"/>
                <w:w w:val="105"/>
                <w:sz w:val="21"/>
              </w:rPr>
              <w:t>(7,211)</w:t>
            </w:r>
          </w:p>
        </w:tc>
        <w:tc>
          <w:tcPr>
            <w:tcW w:w="6634" w:type="dxa"/>
          </w:tcPr>
          <w:p>
            <w:pPr>
              <w:pStyle w:val="TableParagraph"/>
              <w:spacing w:before="29" w:line="252" w:lineRule="auto"/>
              <w:ind w:left="585" w:right="158" w:hanging="3"/>
              <w:rPr>
                <w:sz w:val="21"/>
              </w:rPr>
            </w:pPr>
            <w:r>
              <w:rPr>
                <w:color w:val="0A0A0A"/>
                <w:w w:val="105"/>
                <w:sz w:val="21"/>
              </w:rPr>
              <w:t>Application of</w:t>
            </w:r>
            <w:r>
              <w:rPr>
                <w:color w:val="0A0A0A"/>
                <w:spacing w:val="-9"/>
                <w:w w:val="105"/>
                <w:sz w:val="21"/>
              </w:rPr>
              <w:t> </w:t>
            </w:r>
            <w:r>
              <w:rPr>
                <w:color w:val="0A0A0A"/>
                <w:w w:val="105"/>
                <w:sz w:val="21"/>
              </w:rPr>
              <w:t>capital</w:t>
            </w:r>
            <w:r>
              <w:rPr>
                <w:color w:val="0A0A0A"/>
                <w:spacing w:val="-11"/>
                <w:w w:val="105"/>
                <w:sz w:val="21"/>
              </w:rPr>
              <w:t> </w:t>
            </w:r>
            <w:r>
              <w:rPr>
                <w:color w:val="0A0A0A"/>
                <w:w w:val="105"/>
                <w:sz w:val="21"/>
              </w:rPr>
              <w:t>grants</w:t>
            </w:r>
            <w:r>
              <w:rPr>
                <w:color w:val="0A0A0A"/>
                <w:spacing w:val="-1"/>
                <w:w w:val="105"/>
                <w:sz w:val="21"/>
              </w:rPr>
              <w:t> </w:t>
            </w:r>
            <w:r>
              <w:rPr>
                <w:color w:val="0A0A0A"/>
                <w:w w:val="105"/>
                <w:sz w:val="21"/>
              </w:rPr>
              <w:t>and</w:t>
            </w:r>
            <w:r>
              <w:rPr>
                <w:color w:val="0A0A0A"/>
                <w:spacing w:val="-13"/>
                <w:w w:val="105"/>
                <w:sz w:val="21"/>
              </w:rPr>
              <w:t> </w:t>
            </w:r>
            <w:r>
              <w:rPr>
                <w:color w:val="0A0A0A"/>
                <w:w w:val="105"/>
                <w:sz w:val="21"/>
              </w:rPr>
              <w:t>other</w:t>
            </w:r>
            <w:r>
              <w:rPr>
                <w:color w:val="0A0A0A"/>
                <w:spacing w:val="-10"/>
                <w:w w:val="105"/>
                <w:sz w:val="21"/>
              </w:rPr>
              <w:t> </w:t>
            </w:r>
            <w:r>
              <w:rPr>
                <w:color w:val="0A0A0A"/>
                <w:w w:val="105"/>
                <w:sz w:val="21"/>
              </w:rPr>
              <w:t>contributions to finance capital expenditure</w:t>
            </w:r>
          </w:p>
        </w:tc>
        <w:tc>
          <w:tcPr>
            <w:tcW w:w="1749" w:type="dxa"/>
          </w:tcPr>
          <w:p>
            <w:pPr>
              <w:pStyle w:val="TableParagraph"/>
              <w:spacing w:before="29"/>
              <w:ind w:right="129"/>
              <w:jc w:val="right"/>
              <w:rPr>
                <w:sz w:val="21"/>
              </w:rPr>
            </w:pPr>
            <w:r>
              <w:rPr>
                <w:color w:val="0A0A0A"/>
                <w:spacing w:val="-2"/>
                <w:w w:val="105"/>
                <w:sz w:val="21"/>
              </w:rPr>
              <w:t>(5</w:t>
            </w:r>
            <w:r>
              <w:rPr>
                <w:color w:val="3A3A3A"/>
                <w:spacing w:val="-2"/>
                <w:w w:val="105"/>
                <w:sz w:val="21"/>
              </w:rPr>
              <w:t>,</w:t>
            </w:r>
            <w:r>
              <w:rPr>
                <w:color w:val="0A0A0A"/>
                <w:spacing w:val="-2"/>
                <w:w w:val="105"/>
                <w:sz w:val="21"/>
              </w:rPr>
              <w:t>328)</w:t>
            </w:r>
          </w:p>
        </w:tc>
      </w:tr>
      <w:tr>
        <w:trPr>
          <w:trHeight w:val="439" w:hRule="atLeast"/>
        </w:trPr>
        <w:tc>
          <w:tcPr>
            <w:tcW w:w="1865" w:type="dxa"/>
          </w:tcPr>
          <w:p>
            <w:pPr>
              <w:pStyle w:val="TableParagraph"/>
              <w:rPr>
                <w:rFonts w:ascii="Times New Roman"/>
                <w:sz w:val="20"/>
              </w:rPr>
            </w:pPr>
          </w:p>
        </w:tc>
        <w:tc>
          <w:tcPr>
            <w:tcW w:w="6634" w:type="dxa"/>
          </w:tcPr>
          <w:p>
            <w:pPr>
              <w:pStyle w:val="TableParagraph"/>
              <w:spacing w:before="157"/>
              <w:ind w:left="586"/>
              <w:rPr>
                <w:b/>
                <w:sz w:val="21"/>
              </w:rPr>
            </w:pPr>
            <w:r>
              <w:rPr>
                <w:b/>
                <w:color w:val="0A0A0A"/>
                <w:w w:val="105"/>
                <w:sz w:val="21"/>
              </w:rPr>
              <w:t>Adjustments</w:t>
            </w:r>
            <w:r>
              <w:rPr>
                <w:b/>
                <w:color w:val="0A0A0A"/>
                <w:spacing w:val="-4"/>
                <w:w w:val="105"/>
                <w:sz w:val="21"/>
              </w:rPr>
              <w:t> </w:t>
            </w:r>
            <w:r>
              <w:rPr>
                <w:b/>
                <w:color w:val="0A0A0A"/>
                <w:w w:val="105"/>
                <w:sz w:val="21"/>
              </w:rPr>
              <w:t>involving</w:t>
            </w:r>
            <w:r>
              <w:rPr>
                <w:b/>
                <w:color w:val="0A0A0A"/>
                <w:spacing w:val="-8"/>
                <w:w w:val="105"/>
                <w:sz w:val="21"/>
              </w:rPr>
              <w:t> </w:t>
            </w:r>
            <w:r>
              <w:rPr>
                <w:b/>
                <w:color w:val="0A0A0A"/>
                <w:w w:val="105"/>
                <w:sz w:val="21"/>
              </w:rPr>
              <w:t>the</w:t>
            </w:r>
            <w:r>
              <w:rPr>
                <w:b/>
                <w:color w:val="0A0A0A"/>
                <w:spacing w:val="-15"/>
                <w:w w:val="105"/>
                <w:sz w:val="21"/>
              </w:rPr>
              <w:t> </w:t>
            </w:r>
            <w:r>
              <w:rPr>
                <w:b/>
                <w:color w:val="0A0A0A"/>
                <w:w w:val="105"/>
                <w:sz w:val="21"/>
              </w:rPr>
              <w:t>Revaluation</w:t>
            </w:r>
            <w:r>
              <w:rPr>
                <w:b/>
                <w:color w:val="0A0A0A"/>
                <w:spacing w:val="-7"/>
                <w:w w:val="105"/>
                <w:sz w:val="21"/>
              </w:rPr>
              <w:t> </w:t>
            </w:r>
            <w:r>
              <w:rPr>
                <w:b/>
                <w:color w:val="0A0A0A"/>
                <w:spacing w:val="-2"/>
                <w:w w:val="105"/>
                <w:sz w:val="21"/>
              </w:rPr>
              <w:t>Reserve</w:t>
            </w:r>
          </w:p>
        </w:tc>
        <w:tc>
          <w:tcPr>
            <w:tcW w:w="1749" w:type="dxa"/>
          </w:tcPr>
          <w:p>
            <w:pPr>
              <w:pStyle w:val="TableParagraph"/>
              <w:rPr>
                <w:rFonts w:ascii="Times New Roman"/>
                <w:sz w:val="20"/>
              </w:rPr>
            </w:pPr>
          </w:p>
        </w:tc>
      </w:tr>
      <w:tr>
        <w:trPr>
          <w:trHeight w:val="312" w:hRule="atLeast"/>
        </w:trPr>
        <w:tc>
          <w:tcPr>
            <w:tcW w:w="1865" w:type="dxa"/>
          </w:tcPr>
          <w:p>
            <w:pPr>
              <w:pStyle w:val="TableParagraph"/>
              <w:rPr>
                <w:rFonts w:ascii="Times New Roman"/>
                <w:sz w:val="20"/>
              </w:rPr>
            </w:pPr>
          </w:p>
        </w:tc>
        <w:tc>
          <w:tcPr>
            <w:tcW w:w="6634" w:type="dxa"/>
          </w:tcPr>
          <w:p>
            <w:pPr>
              <w:pStyle w:val="TableParagraph"/>
              <w:spacing w:before="34"/>
              <w:ind w:left="582"/>
              <w:rPr>
                <w:sz w:val="21"/>
              </w:rPr>
            </w:pPr>
            <w:r>
              <w:rPr>
                <w:color w:val="0A0A0A"/>
                <w:w w:val="105"/>
                <w:sz w:val="21"/>
              </w:rPr>
              <w:t>Accumulated</w:t>
            </w:r>
            <w:r>
              <w:rPr>
                <w:color w:val="0A0A0A"/>
                <w:spacing w:val="-6"/>
                <w:w w:val="105"/>
                <w:sz w:val="21"/>
              </w:rPr>
              <w:t> </w:t>
            </w:r>
            <w:r>
              <w:rPr>
                <w:color w:val="0A0A0A"/>
                <w:w w:val="105"/>
                <w:sz w:val="21"/>
              </w:rPr>
              <w:t>gains</w:t>
            </w:r>
            <w:r>
              <w:rPr>
                <w:color w:val="0A0A0A"/>
                <w:spacing w:val="-3"/>
                <w:w w:val="105"/>
                <w:sz w:val="21"/>
              </w:rPr>
              <w:t> </w:t>
            </w:r>
            <w:r>
              <w:rPr>
                <w:color w:val="0A0A0A"/>
                <w:w w:val="105"/>
                <w:sz w:val="21"/>
              </w:rPr>
              <w:t>on</w:t>
            </w:r>
            <w:r>
              <w:rPr>
                <w:color w:val="0A0A0A"/>
                <w:spacing w:val="-15"/>
                <w:w w:val="105"/>
                <w:sz w:val="21"/>
              </w:rPr>
              <w:t> </w:t>
            </w:r>
            <w:r>
              <w:rPr>
                <w:color w:val="0A0A0A"/>
                <w:w w:val="105"/>
                <w:sz w:val="21"/>
              </w:rPr>
              <w:t>non-current</w:t>
            </w:r>
            <w:r>
              <w:rPr>
                <w:color w:val="0A0A0A"/>
                <w:spacing w:val="5"/>
                <w:w w:val="105"/>
                <w:sz w:val="21"/>
              </w:rPr>
              <w:t> </w:t>
            </w:r>
            <w:r>
              <w:rPr>
                <w:color w:val="0A0A0A"/>
                <w:w w:val="105"/>
                <w:sz w:val="21"/>
              </w:rPr>
              <w:t>assets</w:t>
            </w:r>
            <w:r>
              <w:rPr>
                <w:color w:val="0A0A0A"/>
                <w:spacing w:val="-4"/>
                <w:w w:val="105"/>
                <w:sz w:val="21"/>
              </w:rPr>
              <w:t> </w:t>
            </w:r>
            <w:r>
              <w:rPr>
                <w:color w:val="0A0A0A"/>
                <w:spacing w:val="-2"/>
                <w:w w:val="105"/>
                <w:sz w:val="21"/>
              </w:rPr>
              <w:t>disposed</w:t>
            </w:r>
          </w:p>
        </w:tc>
        <w:tc>
          <w:tcPr>
            <w:tcW w:w="1749" w:type="dxa"/>
          </w:tcPr>
          <w:p>
            <w:pPr>
              <w:pStyle w:val="TableParagraph"/>
              <w:spacing w:before="34"/>
              <w:ind w:right="137"/>
              <w:jc w:val="right"/>
              <w:rPr>
                <w:sz w:val="21"/>
              </w:rPr>
            </w:pPr>
            <w:r>
              <w:rPr>
                <w:color w:val="0A0A0A"/>
                <w:spacing w:val="-2"/>
                <w:w w:val="105"/>
                <w:sz w:val="21"/>
              </w:rPr>
              <w:t>(1,004)</w:t>
            </w:r>
          </w:p>
        </w:tc>
      </w:tr>
      <w:tr>
        <w:trPr>
          <w:trHeight w:val="517" w:hRule="atLeast"/>
        </w:trPr>
        <w:tc>
          <w:tcPr>
            <w:tcW w:w="1865" w:type="dxa"/>
            <w:tcBorders>
              <w:bottom w:val="single" w:color="000000" w:sz="6" w:space="0"/>
            </w:tcBorders>
          </w:tcPr>
          <w:p>
            <w:pPr>
              <w:pStyle w:val="TableParagraph"/>
              <w:spacing w:before="29"/>
              <w:ind w:right="136"/>
              <w:jc w:val="right"/>
              <w:rPr>
                <w:sz w:val="21"/>
              </w:rPr>
            </w:pPr>
            <w:r>
              <w:rPr>
                <w:color w:val="0A0A0A"/>
                <w:spacing w:val="-2"/>
                <w:w w:val="105"/>
                <w:sz w:val="21"/>
              </w:rPr>
              <w:t>(1,090)</w:t>
            </w:r>
          </w:p>
        </w:tc>
        <w:tc>
          <w:tcPr>
            <w:tcW w:w="6634" w:type="dxa"/>
          </w:tcPr>
          <w:p>
            <w:pPr>
              <w:pStyle w:val="TableParagraph"/>
              <w:spacing w:line="250" w:lineRule="atLeast"/>
              <w:ind w:left="583" w:firstLine="1"/>
              <w:rPr>
                <w:sz w:val="21"/>
              </w:rPr>
            </w:pPr>
            <w:r>
              <w:rPr>
                <w:color w:val="0A0A0A"/>
                <w:w w:val="105"/>
                <w:sz w:val="21"/>
              </w:rPr>
              <w:t>Difference</w:t>
            </w:r>
            <w:r>
              <w:rPr>
                <w:color w:val="0A0A0A"/>
                <w:spacing w:val="-13"/>
                <w:w w:val="105"/>
                <w:sz w:val="21"/>
              </w:rPr>
              <w:t> </w:t>
            </w:r>
            <w:r>
              <w:rPr>
                <w:color w:val="0A0A0A"/>
                <w:w w:val="105"/>
                <w:sz w:val="21"/>
              </w:rPr>
              <w:t>between</w:t>
            </w:r>
            <w:r>
              <w:rPr>
                <w:color w:val="0A0A0A"/>
                <w:spacing w:val="-8"/>
                <w:w w:val="105"/>
                <w:sz w:val="21"/>
              </w:rPr>
              <w:t> </w:t>
            </w:r>
            <w:r>
              <w:rPr>
                <w:color w:val="0A0A0A"/>
                <w:w w:val="105"/>
                <w:sz w:val="21"/>
              </w:rPr>
              <w:t>current</w:t>
            </w:r>
            <w:r>
              <w:rPr>
                <w:color w:val="0A0A0A"/>
                <w:spacing w:val="-2"/>
                <w:w w:val="105"/>
                <w:sz w:val="21"/>
              </w:rPr>
              <w:t> </w:t>
            </w:r>
            <w:r>
              <w:rPr>
                <w:color w:val="0A0A0A"/>
                <w:w w:val="105"/>
                <w:sz w:val="21"/>
              </w:rPr>
              <w:t>value</w:t>
            </w:r>
            <w:r>
              <w:rPr>
                <w:color w:val="0A0A0A"/>
                <w:spacing w:val="-8"/>
                <w:w w:val="105"/>
                <w:sz w:val="21"/>
              </w:rPr>
              <w:t> </w:t>
            </w:r>
            <w:r>
              <w:rPr>
                <w:color w:val="0A0A0A"/>
                <w:w w:val="105"/>
                <w:sz w:val="21"/>
              </w:rPr>
              <w:t>depreciation</w:t>
            </w:r>
            <w:r>
              <w:rPr>
                <w:color w:val="0A0A0A"/>
                <w:spacing w:val="-2"/>
                <w:w w:val="105"/>
                <w:sz w:val="21"/>
              </w:rPr>
              <w:t> </w:t>
            </w:r>
            <w:r>
              <w:rPr>
                <w:color w:val="0A0A0A"/>
                <w:w w:val="105"/>
                <w:sz w:val="21"/>
              </w:rPr>
              <w:t>over</w:t>
            </w:r>
            <w:r>
              <w:rPr>
                <w:color w:val="0A0A0A"/>
                <w:spacing w:val="-7"/>
                <w:w w:val="105"/>
                <w:sz w:val="21"/>
              </w:rPr>
              <w:t> </w:t>
            </w:r>
            <w:r>
              <w:rPr>
                <w:color w:val="0A0A0A"/>
                <w:w w:val="105"/>
                <w:sz w:val="21"/>
              </w:rPr>
              <w:t>historic cost depreciation</w:t>
            </w:r>
          </w:p>
        </w:tc>
        <w:tc>
          <w:tcPr>
            <w:tcW w:w="1749" w:type="dxa"/>
            <w:tcBorders>
              <w:bottom w:val="single" w:color="000000" w:sz="6" w:space="0"/>
            </w:tcBorders>
          </w:tcPr>
          <w:p>
            <w:pPr>
              <w:pStyle w:val="TableParagraph"/>
              <w:spacing w:before="29"/>
              <w:ind w:right="137"/>
              <w:jc w:val="right"/>
              <w:rPr>
                <w:sz w:val="21"/>
              </w:rPr>
            </w:pPr>
            <w:r>
              <w:rPr>
                <w:color w:val="0A0A0A"/>
                <w:spacing w:val="-2"/>
                <w:w w:val="105"/>
                <w:sz w:val="21"/>
              </w:rPr>
              <w:t>(972)</w:t>
            </w:r>
          </w:p>
        </w:tc>
      </w:tr>
      <w:tr>
        <w:trPr>
          <w:trHeight w:val="328" w:hRule="atLeast"/>
        </w:trPr>
        <w:tc>
          <w:tcPr>
            <w:tcW w:w="1865" w:type="dxa"/>
            <w:tcBorders>
              <w:top w:val="single" w:color="000000" w:sz="6" w:space="0"/>
            </w:tcBorders>
          </w:tcPr>
          <w:p>
            <w:pPr>
              <w:pStyle w:val="TableParagraph"/>
              <w:spacing w:before="11"/>
              <w:ind w:right="135"/>
              <w:jc w:val="right"/>
              <w:rPr>
                <w:b/>
                <w:sz w:val="21"/>
              </w:rPr>
            </w:pPr>
            <w:r>
              <w:rPr/>
              <ve:AlternateContent>
                <ve:Choice Requires="wps">
                  <w:drawing>
                    <wp:anchor distT="0" distB="0" distL="0" distR="0" simplePos="0" relativeHeight="15854592" behindDoc="0" locked="0" layoutInCell="1" allowOverlap="1">
                      <wp:simplePos x="0" y="0"/>
                      <wp:positionH relativeFrom="column">
                        <wp:posOffset>-12211</wp:posOffset>
                      </wp:positionH>
                      <wp:positionV relativeFrom="paragraph">
                        <wp:posOffset>196146</wp:posOffset>
                      </wp:positionV>
                      <wp:extent cx="1196975" cy="12700"/>
                      <wp:effectExtent l="0" t="0" r="0" b="0"/>
                      <wp:wrapNone/>
                      <wp:docPr id="580" name="Group 580"/>
                      <wp:cNvGraphicFramePr>
                        <a:graphicFrameLocks/>
                      </wp:cNvGraphicFramePr>
                      <a:graphic>
                        <a:graphicData uri="http://schemas.microsoft.com/office/word/2010/wordprocessingGroup">
                          <wpg:wgp>
                            <wpg:cNvPr id="580" name="Group 580"/>
                            <wpg:cNvGrpSpPr/>
                            <wpg:grpSpPr>
                              <a:xfrm>
                                <a:off x="0" y="0"/>
                                <a:ext cx="1196975" cy="12700"/>
                                <a:chExt cx="1196975" cy="12700"/>
                              </a:xfrm>
                            </wpg:grpSpPr>
                            <wps:wsp>
                              <wps:cNvPr id="581" name="Graphic 581"/>
                              <wps:cNvSpPr/>
                              <wps:spPr>
                                <a:xfrm>
                                  <a:off x="0" y="6102"/>
                                  <a:ext cx="1196975" cy="1270"/>
                                </a:xfrm>
                                <a:custGeom>
                                  <a:avLst/>
                                  <a:gdLst/>
                                  <a:ahLst/>
                                  <a:cxnLst/>
                                  <a:rect l="l" t="t" r="r" b="b"/>
                                  <a:pathLst>
                                    <a:path w="1196975" h="0">
                                      <a:moveTo>
                                        <a:pt x="0" y="0"/>
                                      </a:moveTo>
                                      <a:lnTo>
                                        <a:pt x="1196743"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81" style="position:absolute;margin-left:-.961549pt;margin-top:15.444619pt;width:94.25pt;height:1pt;mso-position-horizontal-relative:column;mso-position-vertical-relative:paragraph;z-index:15854592" coordsize="1885,20" coordorigin="-19,309">
                      <v:line style="position:absolute" stroked="true" strokecolor="#000000" strokeweight=".961095pt" from="-19,319" to="1865,319">
                        <v:stroke dashstyle="solid"/>
                      </v:line>
                      <w10:wrap type="none"/>
                    </v:group>
                  </w:pict>
                </ve:Fallback>
              </ve:AlternateContent>
            </w:r>
            <w:r>
              <w:rPr>
                <w:b/>
                <w:color w:val="0A0A0A"/>
                <w:spacing w:val="-2"/>
                <w:sz w:val="21"/>
              </w:rPr>
              <w:t>{74,385)</w:t>
            </w:r>
          </w:p>
        </w:tc>
        <w:tc>
          <w:tcPr>
            <w:tcW w:w="6634" w:type="dxa"/>
          </w:tcPr>
          <w:p>
            <w:pPr>
              <w:pStyle w:val="TableParagraph"/>
              <w:spacing w:before="69" w:line="239" w:lineRule="exact"/>
              <w:ind w:left="586"/>
              <w:rPr>
                <w:b/>
                <w:sz w:val="21"/>
              </w:rPr>
            </w:pPr>
            <w:r>
              <w:rPr>
                <w:b/>
                <w:color w:val="0A0A0A"/>
                <w:w w:val="105"/>
                <w:sz w:val="21"/>
              </w:rPr>
              <w:t>As</w:t>
            </w:r>
            <w:r>
              <w:rPr>
                <w:b/>
                <w:color w:val="0A0A0A"/>
                <w:spacing w:val="3"/>
                <w:w w:val="105"/>
                <w:sz w:val="21"/>
              </w:rPr>
              <w:t> </w:t>
            </w:r>
            <w:r>
              <w:rPr>
                <w:b/>
                <w:color w:val="0A0A0A"/>
                <w:w w:val="105"/>
                <w:sz w:val="21"/>
              </w:rPr>
              <w:t>at</w:t>
            </w:r>
            <w:r>
              <w:rPr>
                <w:b/>
                <w:color w:val="0A0A0A"/>
                <w:spacing w:val="-3"/>
                <w:w w:val="105"/>
                <w:sz w:val="21"/>
              </w:rPr>
              <w:t> </w:t>
            </w:r>
            <w:r>
              <w:rPr>
                <w:b/>
                <w:color w:val="0A0A0A"/>
                <w:w w:val="105"/>
                <w:sz w:val="21"/>
              </w:rPr>
              <w:t>31</w:t>
            </w:r>
            <w:r>
              <w:rPr>
                <w:b/>
                <w:color w:val="0A0A0A"/>
                <w:spacing w:val="-9"/>
                <w:w w:val="105"/>
                <w:sz w:val="21"/>
              </w:rPr>
              <w:t> </w:t>
            </w:r>
            <w:r>
              <w:rPr>
                <w:b/>
                <w:color w:val="0A0A0A"/>
                <w:spacing w:val="-2"/>
                <w:w w:val="105"/>
                <w:sz w:val="21"/>
              </w:rPr>
              <w:t>March</w:t>
            </w:r>
          </w:p>
        </w:tc>
        <w:tc>
          <w:tcPr>
            <w:tcW w:w="1749" w:type="dxa"/>
            <w:tcBorders>
              <w:top w:val="single" w:color="000000" w:sz="6" w:space="0"/>
            </w:tcBorders>
          </w:tcPr>
          <w:p>
            <w:pPr>
              <w:pStyle w:val="TableParagraph"/>
              <w:spacing w:before="11"/>
              <w:ind w:right="131"/>
              <w:jc w:val="right"/>
              <w:rPr>
                <w:b/>
                <w:sz w:val="21"/>
              </w:rPr>
            </w:pPr>
            <w:r>
              <w:rPr/>
              <ve:AlternateContent>
                <ve:Choice Requires="wps">
                  <w:drawing>
                    <wp:anchor distT="0" distB="0" distL="0" distR="0" simplePos="0" relativeHeight="15855104" behindDoc="0" locked="0" layoutInCell="1" allowOverlap="1">
                      <wp:simplePos x="0" y="0"/>
                      <wp:positionH relativeFrom="column">
                        <wp:posOffset>-12211</wp:posOffset>
                      </wp:positionH>
                      <wp:positionV relativeFrom="paragraph">
                        <wp:posOffset>196146</wp:posOffset>
                      </wp:positionV>
                      <wp:extent cx="1111885" cy="12700"/>
                      <wp:effectExtent l="0" t="0" r="0" b="0"/>
                      <wp:wrapNone/>
                      <wp:docPr id="582" name="Group 582"/>
                      <wp:cNvGraphicFramePr>
                        <a:graphicFrameLocks/>
                      </wp:cNvGraphicFramePr>
                      <a:graphic>
                        <a:graphicData uri="http://schemas.microsoft.com/office/word/2010/wordprocessingGroup">
                          <wpg:wgp>
                            <wpg:cNvPr id="582" name="Group 582"/>
                            <wpg:cNvGrpSpPr/>
                            <wpg:grpSpPr>
                              <a:xfrm>
                                <a:off x="0" y="0"/>
                                <a:ext cx="1111885" cy="12700"/>
                                <a:chExt cx="1111885" cy="12700"/>
                              </a:xfrm>
                            </wpg:grpSpPr>
                            <wps:wsp>
                              <wps:cNvPr id="583" name="Graphic 583"/>
                              <wps:cNvSpPr/>
                              <wps:spPr>
                                <a:xfrm>
                                  <a:off x="0" y="6102"/>
                                  <a:ext cx="1111885" cy="1270"/>
                                </a:xfrm>
                                <a:custGeom>
                                  <a:avLst/>
                                  <a:gdLst/>
                                  <a:ahLst/>
                                  <a:cxnLst/>
                                  <a:rect l="l" t="t" r="r" b="b"/>
                                  <a:pathLst>
                                    <a:path w="1111885" h="0">
                                      <a:moveTo>
                                        <a:pt x="0" y="0"/>
                                      </a:moveTo>
                                      <a:lnTo>
                                        <a:pt x="1111261"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82" style="position:absolute;margin-left:-.961549pt;margin-top:15.444619pt;width:87.55pt;height:1pt;mso-position-horizontal-relative:column;mso-position-vertical-relative:paragraph;z-index:15855104" coordsize="1751,20" coordorigin="-19,309">
                      <v:line style="position:absolute" stroked="true" strokecolor="#000000" strokeweight=".961095pt" from="-19,319" to="1731,319">
                        <v:stroke dashstyle="solid"/>
                      </v:line>
                      <w10:wrap type="none"/>
                    </v:group>
                  </w:pict>
                </ve:Fallback>
              </ve:AlternateContent>
            </w:r>
            <w:r>
              <w:rPr>
                <w:b/>
                <w:color w:val="0A0A0A"/>
                <w:spacing w:val="-2"/>
                <w:w w:val="105"/>
                <w:sz w:val="21"/>
              </w:rPr>
              <w:t>(77,265)</w:t>
            </w:r>
          </w:p>
        </w:tc>
      </w:tr>
    </w:tbl>
    <w:p>
      <w:pPr>
        <w:spacing w:after="0"/>
        <w:jc w:val="right"/>
        <w:rPr>
          <w:sz w:val="21"/>
        </w:rPr>
        <w:sectPr>
          <w:headerReference w:type="default" r:id="rId219"/>
          <w:footerReference w:type="default" r:id="rId220"/>
          <w:footerReference w:type="even" r:id="rId221"/>
          <w:pgSz w:w="11910" w:h="16830"/>
          <w:pgMar w:top="660" w:right="340" w:bottom="1340" w:left="0" w:header="0" w:footer="1150"/>
          <w:pgNumType w:start="103"/>
        </w:sectPr>
      </w:pPr>
    </w:p>
    <w:p>
      <w:pPr>
        <w:pStyle w:val="BodyText"/>
        <w:rPr>
          <w:sz w:val="15"/>
        </w:rPr>
      </w:pPr>
    </w:p>
    <w:p>
      <w:pPr>
        <w:pStyle w:val="BodyText"/>
        <w:spacing w:before="27"/>
        <w:rPr>
          <w:sz w:val="15"/>
        </w:rPr>
      </w:pPr>
    </w:p>
    <w:p>
      <w:pPr>
        <w:tabs>
          <w:tab w:val="left" w:leader="none" w:pos="1978"/>
        </w:tabs>
        <w:spacing w:before="1"/>
        <w:ind w:left="1262" w:right="0" w:firstLine="0"/>
        <w:jc w:val="left"/>
        <w:rPr>
          <w:sz w:val="15"/>
        </w:rPr>
      </w:pPr>
      <w:r>
        <w:rPr/>
        <ve:AlternateContent>
          <ve:Choice Requires="wps">
            <w:drawing>
              <wp:anchor distT="0" distB="0" distL="0" distR="0" simplePos="0" relativeHeight="15858688" behindDoc="0" locked="0" layoutInCell="1" allowOverlap="1">
                <wp:simplePos x="0" y="0"/>
                <wp:positionH relativeFrom="page">
                  <wp:posOffset>158751</wp:posOffset>
                </wp:positionH>
                <wp:positionV relativeFrom="paragraph">
                  <wp:posOffset>-230530</wp:posOffset>
                </wp:positionV>
                <wp:extent cx="1270" cy="659130"/>
                <wp:effectExtent l="0" t="0" r="0" b="0"/>
                <wp:wrapNone/>
                <wp:docPr id="584" name="Graphic 584"/>
                <wp:cNvGraphicFramePr>
                  <a:graphicFrameLocks/>
                </wp:cNvGraphicFramePr>
                <a:graphic>
                  <a:graphicData uri="http://schemas.microsoft.com/office/word/2010/wordprocessingShape">
                    <wps:wsp>
                      <wps:cNvPr id="584" name="Graphic 584"/>
                      <wps:cNvSpPr/>
                      <wps:spPr>
                        <a:xfrm>
                          <a:off x="0" y="0"/>
                          <a:ext cx="1270" cy="659130"/>
                        </a:xfrm>
                        <a:custGeom>
                          <a:avLst/>
                          <a:gdLst/>
                          <a:ahLst/>
                          <a:cxnLst/>
                          <a:rect l="l" t="t" r="r" b="b"/>
                          <a:pathLst>
                            <a:path w="0" h="659130">
                              <a:moveTo>
                                <a:pt x="0" y="659119"/>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58688" stroked="true" strokecolor="#000000" strokeweight=".961549pt" from="12.500131pt,33.74711pt" to="12.500131pt,-18.152037pt">
                <v:stroke dashstyle="solid"/>
                <w10:wrap type="none"/>
              </v:line>
            </w:pict>
          </ve:Fallback>
        </ve:AlternateContent>
      </w:r>
      <w:r>
        <w:rPr>
          <w:color w:val="A1A1A1"/>
          <w:spacing w:val="-10"/>
          <w:w w:val="105"/>
          <w:sz w:val="15"/>
        </w:rPr>
        <w:t>5</w:t>
      </w:r>
      <w:r>
        <w:rPr>
          <w:color w:val="A1A1A1"/>
          <w:sz w:val="15"/>
        </w:rPr>
        <w:tab/>
      </w:r>
      <w:r>
        <w:rPr>
          <w:color w:val="A1A1A1"/>
          <w:w w:val="105"/>
          <w:sz w:val="15"/>
        </w:rPr>
        <w:t>NOTES</w:t>
      </w:r>
      <w:r>
        <w:rPr>
          <w:color w:val="A1A1A1"/>
          <w:spacing w:val="14"/>
          <w:w w:val="105"/>
          <w:sz w:val="15"/>
        </w:rPr>
        <w:t> </w:t>
      </w:r>
      <w:r>
        <w:rPr>
          <w:color w:val="A1A1A1"/>
          <w:w w:val="105"/>
          <w:sz w:val="15"/>
        </w:rPr>
        <w:t>TO</w:t>
      </w:r>
      <w:r>
        <w:rPr>
          <w:color w:val="A1A1A1"/>
          <w:spacing w:val="5"/>
          <w:w w:val="105"/>
          <w:sz w:val="15"/>
        </w:rPr>
        <w:t> </w:t>
      </w:r>
      <w:r>
        <w:rPr>
          <w:color w:val="A1A1A1"/>
          <w:w w:val="105"/>
          <w:sz w:val="15"/>
        </w:rPr>
        <w:t>THE</w:t>
      </w:r>
      <w:r>
        <w:rPr>
          <w:color w:val="A1A1A1"/>
          <w:spacing w:val="61"/>
          <w:w w:val="105"/>
          <w:sz w:val="15"/>
        </w:rPr>
        <w:t> </w:t>
      </w:r>
      <w:r>
        <w:rPr>
          <w:color w:val="A1A1A1"/>
          <w:spacing w:val="-2"/>
          <w:w w:val="105"/>
          <w:sz w:val="15"/>
        </w:rPr>
        <w:t>CCOUNTS</w:t>
      </w:r>
    </w:p>
    <w:p>
      <w:pPr>
        <w:pStyle w:val="BodyText"/>
        <w:spacing w:before="60"/>
        <w:rPr>
          <w:sz w:val="15"/>
        </w:rPr>
      </w:pPr>
    </w:p>
    <w:p>
      <w:pPr>
        <w:pStyle w:val="Heading3"/>
        <w:numPr>
          <w:ilvl w:val="2"/>
          <w:numId w:val="23"/>
        </w:numPr>
        <w:tabs>
          <w:tab w:val="left" w:leader="none" w:pos="2229"/>
        </w:tabs>
        <w:spacing w:before="0" w:after="0" w:line="240" w:lineRule="auto"/>
        <w:ind w:left="2229" w:right="0" w:hanging="984"/>
        <w:jc w:val="left"/>
        <w:rPr>
          <w:color w:val="070707"/>
        </w:rPr>
      </w:pPr>
      <w:r>
        <w:rPr>
          <w:color w:val="070707"/>
        </w:rPr>
        <w:t>Deferred</w:t>
      </w:r>
      <w:r>
        <w:rPr>
          <w:color w:val="070707"/>
          <w:spacing w:val="-6"/>
        </w:rPr>
        <w:t> </w:t>
      </w:r>
      <w:r>
        <w:rPr>
          <w:color w:val="070707"/>
        </w:rPr>
        <w:t>Capital</w:t>
      </w:r>
      <w:r>
        <w:rPr>
          <w:color w:val="070707"/>
          <w:spacing w:val="-4"/>
        </w:rPr>
        <w:t> </w:t>
      </w:r>
      <w:r>
        <w:rPr>
          <w:color w:val="070707"/>
          <w:spacing w:val="-2"/>
        </w:rPr>
        <w:t>Receipts</w:t>
      </w:r>
    </w:p>
    <w:p>
      <w:pPr>
        <w:pStyle w:val="BodyText"/>
        <w:spacing w:before="247"/>
        <w:ind w:left="1238" w:right="838" w:firstLine="1"/>
        <w:jc w:val="both"/>
      </w:pPr>
      <w:r>
        <w:rPr/>
        <ve:AlternateContent>
          <ve:Choice Requires="wps">
            <w:drawing>
              <wp:anchor distT="0" distB="0" distL="0" distR="0" simplePos="0" relativeHeight="15857664" behindDoc="0" locked="0" layoutInCell="1" allowOverlap="1">
                <wp:simplePos x="0" y="0"/>
                <wp:positionH relativeFrom="page">
                  <wp:posOffset>134328</wp:posOffset>
                </wp:positionH>
                <wp:positionV relativeFrom="paragraph">
                  <wp:posOffset>1181922</wp:posOffset>
                </wp:positionV>
                <wp:extent cx="1270" cy="635000"/>
                <wp:effectExtent l="0" t="0" r="0" b="0"/>
                <wp:wrapNone/>
                <wp:docPr id="585" name="Graphic 585"/>
                <wp:cNvGraphicFramePr>
                  <a:graphicFrameLocks/>
                </wp:cNvGraphicFramePr>
                <a:graphic>
                  <a:graphicData uri="http://schemas.microsoft.com/office/word/2010/wordprocessingShape">
                    <wps:wsp>
                      <wps:cNvPr id="585" name="Graphic 585"/>
                      <wps:cNvSpPr/>
                      <wps:spPr>
                        <a:xfrm>
                          <a:off x="0" y="0"/>
                          <a:ext cx="1270" cy="635000"/>
                        </a:xfrm>
                        <a:custGeom>
                          <a:avLst/>
                          <a:gdLst/>
                          <a:ahLst/>
                          <a:cxnLst/>
                          <a:rect l="l" t="t" r="r" b="b"/>
                          <a:pathLst>
                            <a:path w="0" h="635000">
                              <a:moveTo>
                                <a:pt x="0" y="634707"/>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57664" stroked="true" strokecolor="#000000" strokeweight=".961549pt" from="10.577033pt,143.041753pt" to="10.577033pt,93.064796pt">
                <v:stroke dashstyle="solid"/>
                <w10:wrap type="none"/>
              </v:line>
            </w:pict>
          </ve:Fallback>
        </ve:AlternateContent>
      </w:r>
      <w:r>
        <w:rPr/>
        <ve:AlternateContent>
          <ve:Choice Requires="wps">
            <w:drawing>
              <wp:anchor distT="0" distB="0" distL="0" distR="0" simplePos="0" relativeHeight="15858176" behindDoc="0" locked="0" layoutInCell="1" allowOverlap="1">
                <wp:simplePos x="0" y="0"/>
                <wp:positionH relativeFrom="page">
                  <wp:posOffset>146539</wp:posOffset>
                </wp:positionH>
                <wp:positionV relativeFrom="paragraph">
                  <wp:posOffset>327509</wp:posOffset>
                </wp:positionV>
                <wp:extent cx="1270" cy="464184"/>
                <wp:effectExtent l="0" t="0" r="0" b="0"/>
                <wp:wrapNone/>
                <wp:docPr id="586" name="Graphic 586"/>
                <wp:cNvGraphicFramePr>
                  <a:graphicFrameLocks/>
                </wp:cNvGraphicFramePr>
                <a:graphic>
                  <a:graphicData uri="http://schemas.microsoft.com/office/word/2010/wordprocessingShape">
                    <wps:wsp>
                      <wps:cNvPr id="586" name="Graphic 586"/>
                      <wps:cNvSpPr/>
                      <wps:spPr>
                        <a:xfrm>
                          <a:off x="0" y="0"/>
                          <a:ext cx="1270" cy="464184"/>
                        </a:xfrm>
                        <a:custGeom>
                          <a:avLst/>
                          <a:gdLst/>
                          <a:ahLst/>
                          <a:cxnLst/>
                          <a:rect l="l" t="t" r="r" b="b"/>
                          <a:pathLst>
                            <a:path w="0" h="464184">
                              <a:moveTo>
                                <a:pt x="0" y="463824"/>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58176" stroked="true" strokecolor="#000000" strokeweight=".721161pt" from="11.538582pt,62.30975pt" to="11.538582pt,25.788128pt">
                <v:stroke dashstyle="solid"/>
                <w10:wrap type="none"/>
              </v:line>
            </w:pict>
          </ve:Fallback>
        </ve:AlternateContent>
      </w:r>
      <w:r>
        <w:rPr>
          <w:color w:val="1D1D1D"/>
        </w:rPr>
        <w:t>The Deferred Capital Receipts ReseNe represents proceeds yet to </w:t>
      </w:r>
      <w:r>
        <w:rPr>
          <w:color w:val="070707"/>
        </w:rPr>
        <w:t>be </w:t>
      </w:r>
      <w:r>
        <w:rPr>
          <w:color w:val="1D1D1D"/>
        </w:rPr>
        <w:t>realised from the sale of property</w:t>
      </w:r>
      <w:r>
        <w:rPr>
          <w:color w:val="4D4D4D"/>
        </w:rPr>
        <w:t>, </w:t>
      </w:r>
      <w:r>
        <w:rPr>
          <w:color w:val="1D1D1D"/>
        </w:rPr>
        <w:t>plant and equipment. When received</w:t>
      </w:r>
      <w:r>
        <w:rPr>
          <w:color w:val="4D4D4D"/>
        </w:rPr>
        <w:t>, </w:t>
      </w:r>
      <w:r>
        <w:rPr>
          <w:color w:val="1D1D1D"/>
        </w:rPr>
        <w:t>the proceeds will be transferred to the Usable Capital</w:t>
      </w:r>
      <w:r>
        <w:rPr>
          <w:color w:val="1D1D1D"/>
          <w:spacing w:val="-9"/>
        </w:rPr>
        <w:t> </w:t>
      </w:r>
      <w:r>
        <w:rPr>
          <w:color w:val="1D1D1D"/>
        </w:rPr>
        <w:t>Receipts</w:t>
      </w:r>
      <w:r>
        <w:rPr>
          <w:color w:val="1D1D1D"/>
          <w:spacing w:val="-3"/>
        </w:rPr>
        <w:t> </w:t>
      </w:r>
      <w:r>
        <w:rPr>
          <w:color w:val="1D1D1D"/>
        </w:rPr>
        <w:t>ReseNe</w:t>
      </w:r>
      <w:r>
        <w:rPr>
          <w:color w:val="4D4D4D"/>
        </w:rPr>
        <w:t>.</w:t>
      </w:r>
      <w:r>
        <w:rPr>
          <w:color w:val="4D4D4D"/>
          <w:spacing w:val="-25"/>
        </w:rPr>
        <w:t> </w:t>
      </w:r>
      <w:r>
        <w:rPr>
          <w:color w:val="1D1D1D"/>
        </w:rPr>
        <w:t>A</w:t>
      </w:r>
      <w:r>
        <w:rPr>
          <w:color w:val="1D1D1D"/>
          <w:spacing w:val="-9"/>
        </w:rPr>
        <w:t> </w:t>
      </w:r>
      <w:r>
        <w:rPr>
          <w:color w:val="1D1D1D"/>
        </w:rPr>
        <w:t>summary</w:t>
      </w:r>
      <w:r>
        <w:rPr>
          <w:color w:val="1D1D1D"/>
          <w:spacing w:val="10"/>
        </w:rPr>
        <w:t> </w:t>
      </w:r>
      <w:r>
        <w:rPr>
          <w:color w:val="1D1D1D"/>
        </w:rPr>
        <w:t>of</w:t>
      </w:r>
      <w:r>
        <w:rPr>
          <w:color w:val="1D1D1D"/>
          <w:spacing w:val="-16"/>
        </w:rPr>
        <w:t> </w:t>
      </w:r>
      <w:r>
        <w:rPr>
          <w:color w:val="1D1D1D"/>
        </w:rPr>
        <w:t>the</w:t>
      </w:r>
      <w:r>
        <w:rPr>
          <w:color w:val="1D1D1D"/>
          <w:spacing w:val="-17"/>
        </w:rPr>
        <w:t> </w:t>
      </w:r>
      <w:r>
        <w:rPr>
          <w:color w:val="1D1D1D"/>
        </w:rPr>
        <w:t>movement in</w:t>
      </w:r>
      <w:r>
        <w:rPr>
          <w:color w:val="1D1D1D"/>
          <w:spacing w:val="-23"/>
        </w:rPr>
        <w:t> </w:t>
      </w:r>
      <w:r>
        <w:rPr>
          <w:color w:val="1D1D1D"/>
        </w:rPr>
        <w:t>the</w:t>
      </w:r>
      <w:r>
        <w:rPr>
          <w:color w:val="1D1D1D"/>
          <w:spacing w:val="-18"/>
        </w:rPr>
        <w:t> </w:t>
      </w:r>
      <w:r>
        <w:rPr>
          <w:color w:val="1D1D1D"/>
        </w:rPr>
        <w:t>reserve</w:t>
      </w:r>
      <w:r>
        <w:rPr>
          <w:color w:val="1D1D1D"/>
          <w:spacing w:val="-9"/>
        </w:rPr>
        <w:t> </w:t>
      </w:r>
      <w:r>
        <w:rPr>
          <w:color w:val="070707"/>
        </w:rPr>
        <w:t>during</w:t>
      </w:r>
      <w:r>
        <w:rPr>
          <w:color w:val="070707"/>
          <w:spacing w:val="-9"/>
        </w:rPr>
        <w:t> </w:t>
      </w:r>
      <w:r>
        <w:rPr>
          <w:color w:val="1D1D1D"/>
        </w:rPr>
        <w:t>the</w:t>
      </w:r>
      <w:r>
        <w:rPr>
          <w:color w:val="1D1D1D"/>
          <w:spacing w:val="-16"/>
        </w:rPr>
        <w:t> </w:t>
      </w:r>
      <w:r>
        <w:rPr>
          <w:color w:val="1D1D1D"/>
        </w:rPr>
        <w:t>year</w:t>
      </w:r>
      <w:r>
        <w:rPr>
          <w:color w:val="1D1D1D"/>
          <w:spacing w:val="-7"/>
        </w:rPr>
        <w:t> </w:t>
      </w:r>
      <w:r>
        <w:rPr>
          <w:color w:val="1D1D1D"/>
        </w:rPr>
        <w:t>is</w:t>
      </w:r>
      <w:r>
        <w:rPr>
          <w:color w:val="1D1D1D"/>
          <w:spacing w:val="-15"/>
        </w:rPr>
        <w:t> </w:t>
      </w:r>
      <w:r>
        <w:rPr>
          <w:color w:val="1D1D1D"/>
        </w:rPr>
        <w:t>as</w:t>
      </w:r>
      <w:r>
        <w:rPr>
          <w:color w:val="1D1D1D"/>
          <w:spacing w:val="-11"/>
        </w:rPr>
        <w:t> </w:t>
      </w:r>
      <w:r>
        <w:rPr>
          <w:color w:val="1D1D1D"/>
        </w:rPr>
        <w:t>follows:</w:t>
      </w:r>
    </w:p>
    <w:p>
      <w:pPr>
        <w:pStyle w:val="BodyText"/>
        <w:rPr>
          <w:sz w:val="20"/>
        </w:rPr>
      </w:pPr>
    </w:p>
    <w:p>
      <w:pPr>
        <w:pStyle w:val="BodyText"/>
        <w:spacing w:before="191"/>
        <w:rPr>
          <w:sz w:val="20"/>
        </w:rPr>
      </w:pPr>
    </w:p>
    <w:tbl>
      <w:tblPr>
        <w:tblW w:w="0" w:type="auto"/>
        <w:jc w:val="left"/>
        <w:tblInd w:w="129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08"/>
        <w:gridCol w:w="6943"/>
        <w:gridCol w:w="1308"/>
      </w:tblGrid>
      <w:tr>
        <w:trPr>
          <w:trHeight w:val="252" w:hRule="atLeast"/>
        </w:trPr>
        <w:tc>
          <w:tcPr>
            <w:tcW w:w="1308" w:type="dxa"/>
          </w:tcPr>
          <w:p>
            <w:pPr>
              <w:pStyle w:val="TableParagraph"/>
              <w:spacing w:line="233" w:lineRule="exact"/>
              <w:ind w:left="273"/>
              <w:rPr>
                <w:b/>
                <w:sz w:val="22"/>
              </w:rPr>
            </w:pPr>
            <w:r>
              <w:rPr>
                <w:b/>
                <w:color w:val="070707"/>
                <w:spacing w:val="-4"/>
                <w:sz w:val="22"/>
              </w:rPr>
              <w:t>2021-</w:t>
            </w:r>
            <w:r>
              <w:rPr>
                <w:b/>
                <w:color w:val="070707"/>
                <w:spacing w:val="-5"/>
                <w:sz w:val="22"/>
              </w:rPr>
              <w:t>22</w:t>
            </w:r>
          </w:p>
        </w:tc>
        <w:tc>
          <w:tcPr>
            <w:tcW w:w="8251" w:type="dxa"/>
            <w:gridSpan w:val="2"/>
          </w:tcPr>
          <w:p>
            <w:pPr>
              <w:pStyle w:val="TableParagraph"/>
              <w:spacing w:line="233" w:lineRule="exact"/>
              <w:ind w:right="246"/>
              <w:jc w:val="right"/>
              <w:rPr>
                <w:b/>
                <w:sz w:val="22"/>
              </w:rPr>
            </w:pPr>
            <w:r>
              <w:rPr>
                <w:b/>
                <w:color w:val="070707"/>
                <w:spacing w:val="-5"/>
                <w:sz w:val="22"/>
              </w:rPr>
              <w:t>2022-23</w:t>
            </w:r>
          </w:p>
        </w:tc>
      </w:tr>
      <w:tr>
        <w:trPr>
          <w:trHeight w:val="252" w:hRule="atLeast"/>
        </w:trPr>
        <w:tc>
          <w:tcPr>
            <w:tcW w:w="1308" w:type="dxa"/>
          </w:tcPr>
          <w:p>
            <w:pPr>
              <w:pStyle w:val="TableParagraph"/>
              <w:spacing w:line="233" w:lineRule="exact"/>
              <w:ind w:left="426"/>
              <w:rPr>
                <w:b/>
                <w:sz w:val="22"/>
              </w:rPr>
            </w:pPr>
            <w:r>
              <w:rPr>
                <w:b/>
                <w:color w:val="070707"/>
                <w:spacing w:val="-4"/>
                <w:sz w:val="22"/>
              </w:rPr>
              <w:t>£000</w:t>
            </w:r>
          </w:p>
        </w:tc>
        <w:tc>
          <w:tcPr>
            <w:tcW w:w="8251" w:type="dxa"/>
            <w:gridSpan w:val="2"/>
          </w:tcPr>
          <w:p>
            <w:pPr>
              <w:pStyle w:val="TableParagraph"/>
              <w:spacing w:line="233" w:lineRule="exact"/>
              <w:ind w:right="399"/>
              <w:jc w:val="right"/>
              <w:rPr>
                <w:b/>
                <w:sz w:val="22"/>
              </w:rPr>
            </w:pPr>
            <w:r>
              <w:rPr>
                <w:b/>
                <w:color w:val="070707"/>
                <w:spacing w:val="-4"/>
                <w:sz w:val="22"/>
              </w:rPr>
              <w:t>£000</w:t>
            </w:r>
          </w:p>
        </w:tc>
      </w:tr>
      <w:tr>
        <w:trPr>
          <w:trHeight w:val="633" w:hRule="atLeast"/>
        </w:trPr>
        <w:tc>
          <w:tcPr>
            <w:tcW w:w="1308" w:type="dxa"/>
          </w:tcPr>
          <w:p>
            <w:pPr>
              <w:pStyle w:val="TableParagraph"/>
              <w:spacing w:before="80"/>
              <w:rPr>
                <w:sz w:val="22"/>
              </w:rPr>
            </w:pPr>
          </w:p>
          <w:p>
            <w:pPr>
              <w:pStyle w:val="TableParagraph"/>
              <w:ind w:right="107"/>
              <w:jc w:val="right"/>
              <w:rPr>
                <w:b/>
                <w:sz w:val="22"/>
              </w:rPr>
            </w:pPr>
            <w:r>
              <w:rPr>
                <w:b/>
                <w:color w:val="070707"/>
                <w:spacing w:val="-2"/>
                <w:sz w:val="22"/>
              </w:rPr>
              <w:t>(2,177)</w:t>
            </w:r>
          </w:p>
        </w:tc>
        <w:tc>
          <w:tcPr>
            <w:tcW w:w="6943" w:type="dxa"/>
          </w:tcPr>
          <w:p>
            <w:pPr>
              <w:pStyle w:val="TableParagraph"/>
              <w:spacing w:before="85"/>
              <w:rPr>
                <w:sz w:val="22"/>
              </w:rPr>
            </w:pPr>
          </w:p>
          <w:p>
            <w:pPr>
              <w:pStyle w:val="TableParagraph"/>
              <w:ind w:left="425"/>
              <w:rPr>
                <w:b/>
                <w:sz w:val="22"/>
              </w:rPr>
            </w:pPr>
            <w:r>
              <w:rPr>
                <w:b/>
                <w:color w:val="070707"/>
                <w:sz w:val="22"/>
              </w:rPr>
              <w:t>Balance</w:t>
            </w:r>
            <w:r>
              <w:rPr>
                <w:b/>
                <w:color w:val="070707"/>
                <w:spacing w:val="6"/>
                <w:sz w:val="22"/>
              </w:rPr>
              <w:t> </w:t>
            </w:r>
            <w:r>
              <w:rPr>
                <w:b/>
                <w:color w:val="070707"/>
                <w:sz w:val="22"/>
              </w:rPr>
              <w:t>as</w:t>
            </w:r>
            <w:r>
              <w:rPr>
                <w:b/>
                <w:color w:val="070707"/>
                <w:spacing w:val="-3"/>
                <w:sz w:val="22"/>
              </w:rPr>
              <w:t> </w:t>
            </w:r>
            <w:r>
              <w:rPr>
                <w:b/>
                <w:color w:val="070707"/>
                <w:sz w:val="22"/>
              </w:rPr>
              <w:t>at</w:t>
            </w:r>
            <w:r>
              <w:rPr>
                <w:b/>
                <w:color w:val="070707"/>
                <w:spacing w:val="-10"/>
                <w:sz w:val="22"/>
              </w:rPr>
              <w:t> </w:t>
            </w:r>
            <w:r>
              <w:rPr>
                <w:b/>
                <w:color w:val="070707"/>
                <w:sz w:val="22"/>
              </w:rPr>
              <w:t>1</w:t>
            </w:r>
            <w:r>
              <w:rPr>
                <w:b/>
                <w:color w:val="070707"/>
                <w:spacing w:val="10"/>
                <w:sz w:val="22"/>
              </w:rPr>
              <w:t> </w:t>
            </w:r>
            <w:r>
              <w:rPr>
                <w:b/>
                <w:color w:val="070707"/>
                <w:spacing w:val="-2"/>
                <w:sz w:val="22"/>
              </w:rPr>
              <w:t>April</w:t>
            </w:r>
          </w:p>
        </w:tc>
        <w:tc>
          <w:tcPr>
            <w:tcW w:w="1308" w:type="dxa"/>
          </w:tcPr>
          <w:p>
            <w:pPr>
              <w:pStyle w:val="TableParagraph"/>
              <w:spacing w:before="80"/>
              <w:rPr>
                <w:sz w:val="22"/>
              </w:rPr>
            </w:pPr>
          </w:p>
          <w:p>
            <w:pPr>
              <w:pStyle w:val="TableParagraph"/>
              <w:ind w:right="108"/>
              <w:jc w:val="right"/>
              <w:rPr>
                <w:b/>
                <w:sz w:val="22"/>
              </w:rPr>
            </w:pPr>
            <w:r>
              <w:rPr>
                <w:b/>
                <w:color w:val="070707"/>
                <w:spacing w:val="-2"/>
                <w:sz w:val="22"/>
              </w:rPr>
              <w:t>(2,269)</w:t>
            </w:r>
          </w:p>
        </w:tc>
      </w:tr>
      <w:tr>
        <w:trPr>
          <w:trHeight w:val="336" w:hRule="atLeast"/>
        </w:trPr>
        <w:tc>
          <w:tcPr>
            <w:tcW w:w="1308" w:type="dxa"/>
          </w:tcPr>
          <w:p>
            <w:pPr>
              <w:pStyle w:val="TableParagraph"/>
              <w:spacing w:before="40"/>
              <w:ind w:right="119"/>
              <w:jc w:val="right"/>
              <w:rPr>
                <w:sz w:val="22"/>
              </w:rPr>
            </w:pPr>
            <w:r>
              <w:rPr>
                <w:color w:val="070707"/>
                <w:spacing w:val="-4"/>
                <w:sz w:val="22"/>
              </w:rPr>
              <w:t>(92)</w:t>
            </w:r>
          </w:p>
        </w:tc>
        <w:tc>
          <w:tcPr>
            <w:tcW w:w="6943" w:type="dxa"/>
          </w:tcPr>
          <w:p>
            <w:pPr>
              <w:pStyle w:val="TableParagraph"/>
              <w:spacing w:before="40"/>
              <w:ind w:left="420"/>
              <w:rPr>
                <w:sz w:val="22"/>
              </w:rPr>
            </w:pPr>
            <w:r>
              <w:rPr>
                <w:color w:val="070707"/>
                <w:sz w:val="22"/>
              </w:rPr>
              <w:t>Deferred</w:t>
            </w:r>
            <w:r>
              <w:rPr>
                <w:color w:val="070707"/>
                <w:spacing w:val="-6"/>
                <w:sz w:val="22"/>
              </w:rPr>
              <w:t> </w:t>
            </w:r>
            <w:r>
              <w:rPr>
                <w:color w:val="070707"/>
                <w:sz w:val="22"/>
              </w:rPr>
              <w:t>receipts</w:t>
            </w:r>
            <w:r>
              <w:rPr>
                <w:color w:val="070707"/>
                <w:spacing w:val="-1"/>
                <w:sz w:val="22"/>
              </w:rPr>
              <w:t> </w:t>
            </w:r>
            <w:r>
              <w:rPr>
                <w:color w:val="1D1D1D"/>
                <w:sz w:val="22"/>
              </w:rPr>
              <w:t>-</w:t>
            </w:r>
            <w:r>
              <w:rPr>
                <w:color w:val="1D1D1D"/>
                <w:spacing w:val="-6"/>
                <w:sz w:val="22"/>
              </w:rPr>
              <w:t> </w:t>
            </w:r>
            <w:r>
              <w:rPr>
                <w:color w:val="070707"/>
                <w:sz w:val="22"/>
              </w:rPr>
              <w:t>recognition</w:t>
            </w:r>
            <w:r>
              <w:rPr>
                <w:color w:val="070707"/>
                <w:spacing w:val="7"/>
                <w:sz w:val="22"/>
              </w:rPr>
              <w:t> </w:t>
            </w:r>
            <w:r>
              <w:rPr>
                <w:color w:val="070707"/>
                <w:sz w:val="22"/>
              </w:rPr>
              <w:t>of</w:t>
            </w:r>
            <w:r>
              <w:rPr>
                <w:color w:val="070707"/>
                <w:spacing w:val="-4"/>
                <w:sz w:val="22"/>
              </w:rPr>
              <w:t> </w:t>
            </w:r>
            <w:r>
              <w:rPr>
                <w:color w:val="070707"/>
                <w:sz w:val="22"/>
              </w:rPr>
              <w:t>PPE</w:t>
            </w:r>
            <w:r>
              <w:rPr>
                <w:color w:val="070707"/>
                <w:spacing w:val="-8"/>
                <w:sz w:val="22"/>
              </w:rPr>
              <w:t> </w:t>
            </w:r>
            <w:r>
              <w:rPr>
                <w:color w:val="070707"/>
                <w:sz w:val="22"/>
              </w:rPr>
              <w:t>&amp;</w:t>
            </w:r>
            <w:r>
              <w:rPr>
                <w:color w:val="070707"/>
                <w:spacing w:val="-4"/>
                <w:sz w:val="22"/>
              </w:rPr>
              <w:t> </w:t>
            </w:r>
            <w:r>
              <w:rPr>
                <w:color w:val="070707"/>
                <w:sz w:val="22"/>
              </w:rPr>
              <w:t>donated</w:t>
            </w:r>
            <w:r>
              <w:rPr>
                <w:color w:val="070707"/>
                <w:spacing w:val="1"/>
                <w:sz w:val="22"/>
              </w:rPr>
              <w:t> </w:t>
            </w:r>
            <w:r>
              <w:rPr>
                <w:color w:val="070707"/>
                <w:spacing w:val="-2"/>
                <w:sz w:val="22"/>
              </w:rPr>
              <w:t>assets</w:t>
            </w:r>
          </w:p>
        </w:tc>
        <w:tc>
          <w:tcPr>
            <w:tcW w:w="1308" w:type="dxa"/>
          </w:tcPr>
          <w:p>
            <w:pPr>
              <w:pStyle w:val="TableParagraph"/>
              <w:spacing w:before="35"/>
              <w:ind w:right="124"/>
              <w:jc w:val="right"/>
              <w:rPr>
                <w:sz w:val="22"/>
              </w:rPr>
            </w:pPr>
            <w:r>
              <w:rPr>
                <w:color w:val="070707"/>
                <w:spacing w:val="-2"/>
                <w:sz w:val="22"/>
              </w:rPr>
              <w:t>(159)</w:t>
            </w:r>
          </w:p>
        </w:tc>
      </w:tr>
      <w:tr>
        <w:trPr>
          <w:trHeight w:val="364" w:hRule="atLeast"/>
        </w:trPr>
        <w:tc>
          <w:tcPr>
            <w:tcW w:w="1308" w:type="dxa"/>
            <w:tcBorders>
              <w:bottom w:val="single" w:color="000000" w:sz="6" w:space="0"/>
            </w:tcBorders>
          </w:tcPr>
          <w:p>
            <w:pPr>
              <w:pStyle w:val="TableParagraph"/>
              <w:rPr>
                <w:rFonts w:ascii="Times New Roman"/>
                <w:sz w:val="20"/>
              </w:rPr>
            </w:pPr>
          </w:p>
        </w:tc>
        <w:tc>
          <w:tcPr>
            <w:tcW w:w="6943" w:type="dxa"/>
          </w:tcPr>
          <w:p>
            <w:pPr>
              <w:pStyle w:val="TableParagraph"/>
              <w:spacing w:before="45"/>
              <w:ind w:left="414"/>
              <w:rPr>
                <w:sz w:val="22"/>
              </w:rPr>
            </w:pPr>
            <w:r>
              <w:rPr>
                <w:color w:val="070707"/>
                <w:sz w:val="22"/>
              </w:rPr>
              <w:t>Realised</w:t>
            </w:r>
            <w:r>
              <w:rPr>
                <w:color w:val="070707"/>
                <w:spacing w:val="5"/>
                <w:sz w:val="22"/>
              </w:rPr>
              <w:t> </w:t>
            </w:r>
            <w:r>
              <w:rPr>
                <w:color w:val="070707"/>
                <w:sz w:val="22"/>
              </w:rPr>
              <w:t>in</w:t>
            </w:r>
            <w:r>
              <w:rPr>
                <w:color w:val="070707"/>
                <w:spacing w:val="3"/>
                <w:sz w:val="22"/>
              </w:rPr>
              <w:t> </w:t>
            </w:r>
            <w:r>
              <w:rPr>
                <w:color w:val="070707"/>
                <w:spacing w:val="-4"/>
                <w:sz w:val="22"/>
              </w:rPr>
              <w:t>year</w:t>
            </w:r>
          </w:p>
        </w:tc>
        <w:tc>
          <w:tcPr>
            <w:tcW w:w="1308" w:type="dxa"/>
            <w:tcBorders>
              <w:bottom w:val="single" w:color="000000" w:sz="6" w:space="0"/>
            </w:tcBorders>
          </w:tcPr>
          <w:p>
            <w:pPr>
              <w:pStyle w:val="TableParagraph"/>
              <w:spacing w:before="35"/>
              <w:ind w:right="114"/>
              <w:jc w:val="right"/>
              <w:rPr>
                <w:sz w:val="22"/>
              </w:rPr>
            </w:pPr>
            <w:r>
              <w:rPr>
                <w:color w:val="070707"/>
                <w:spacing w:val="-5"/>
                <w:sz w:val="22"/>
              </w:rPr>
              <w:t>50</w:t>
            </w:r>
          </w:p>
        </w:tc>
      </w:tr>
      <w:tr>
        <w:trPr>
          <w:trHeight w:val="330" w:hRule="atLeast"/>
        </w:trPr>
        <w:tc>
          <w:tcPr>
            <w:tcW w:w="1308" w:type="dxa"/>
            <w:tcBorders>
              <w:top w:val="single" w:color="000000" w:sz="6" w:space="0"/>
            </w:tcBorders>
          </w:tcPr>
          <w:p>
            <w:pPr>
              <w:pStyle w:val="TableParagraph"/>
              <w:spacing w:before="2"/>
              <w:ind w:right="117"/>
              <w:jc w:val="right"/>
              <w:rPr>
                <w:b/>
                <w:sz w:val="22"/>
              </w:rPr>
            </w:pPr>
            <w:r>
              <w:rPr/>
              <ve:AlternateContent>
                <ve:Choice Requires="wps">
                  <w:drawing>
                    <wp:anchor distT="0" distB="0" distL="0" distR="0" simplePos="0" relativeHeight="15859200" behindDoc="0" locked="0" layoutInCell="1" allowOverlap="1">
                      <wp:simplePos x="0" y="0"/>
                      <wp:positionH relativeFrom="column">
                        <wp:posOffset>-12211</wp:posOffset>
                      </wp:positionH>
                      <wp:positionV relativeFrom="paragraph">
                        <wp:posOffset>210118</wp:posOffset>
                      </wp:positionV>
                      <wp:extent cx="842644" cy="9525"/>
                      <wp:effectExtent l="0" t="0" r="0" b="0"/>
                      <wp:wrapNone/>
                      <wp:docPr id="587" name="Group 587"/>
                      <wp:cNvGraphicFramePr>
                        <a:graphicFrameLocks/>
                      </wp:cNvGraphicFramePr>
                      <a:graphic>
                        <a:graphicData uri="http://schemas.microsoft.com/office/word/2010/wordprocessingGroup">
                          <wpg:wgp>
                            <wpg:cNvPr id="587" name="Group 587"/>
                            <wpg:cNvGrpSpPr/>
                            <wpg:grpSpPr>
                              <a:xfrm>
                                <a:off x="0" y="0"/>
                                <a:ext cx="842644" cy="9525"/>
                                <a:chExt cx="842644" cy="9525"/>
                              </a:xfrm>
                            </wpg:grpSpPr>
                            <wps:wsp>
                              <wps:cNvPr id="588" name="Graphic 588"/>
                              <wps:cNvSpPr/>
                              <wps:spPr>
                                <a:xfrm>
                                  <a:off x="0" y="4577"/>
                                  <a:ext cx="842644" cy="1270"/>
                                </a:xfrm>
                                <a:custGeom>
                                  <a:avLst/>
                                  <a:gdLst/>
                                  <a:ahLst/>
                                  <a:cxnLst/>
                                  <a:rect l="l" t="t" r="r" b="b"/>
                                  <a:pathLst>
                                    <a:path w="842644" h="0">
                                      <a:moveTo>
                                        <a:pt x="0" y="0"/>
                                      </a:moveTo>
                                      <a:lnTo>
                                        <a:pt x="842604"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83" style="position:absolute;margin-left:-.961549pt;margin-top:16.544798pt;width:66.350pt;height:.75pt;mso-position-horizontal-relative:column;mso-position-vertical-relative:paragraph;z-index:15859200" coordsize="1327,15" coordorigin="-19,331">
                      <v:line style="position:absolute" stroked="true" strokecolor="#000000" strokeweight=".720821pt" from="-19,338" to="1308,338">
                        <v:stroke dashstyle="solid"/>
                      </v:line>
                      <w10:wrap type="none"/>
                    </v:group>
                  </w:pict>
                </ve:Fallback>
              </ve:AlternateContent>
            </w:r>
            <w:r>
              <w:rPr>
                <w:b/>
                <w:color w:val="070707"/>
                <w:spacing w:val="-2"/>
                <w:sz w:val="22"/>
              </w:rPr>
              <w:t>(2,269)</w:t>
            </w:r>
          </w:p>
        </w:tc>
        <w:tc>
          <w:tcPr>
            <w:tcW w:w="6943" w:type="dxa"/>
          </w:tcPr>
          <w:p>
            <w:pPr>
              <w:pStyle w:val="TableParagraph"/>
              <w:spacing w:before="7"/>
              <w:ind w:left="416"/>
              <w:rPr>
                <w:b/>
                <w:sz w:val="22"/>
              </w:rPr>
            </w:pPr>
            <w:r>
              <w:rPr>
                <w:b/>
                <w:color w:val="070707"/>
                <w:sz w:val="22"/>
              </w:rPr>
              <w:t>Balance</w:t>
            </w:r>
            <w:r>
              <w:rPr>
                <w:b/>
                <w:color w:val="070707"/>
                <w:spacing w:val="7"/>
                <w:sz w:val="22"/>
              </w:rPr>
              <w:t> </w:t>
            </w:r>
            <w:r>
              <w:rPr>
                <w:b/>
                <w:color w:val="070707"/>
                <w:sz w:val="22"/>
              </w:rPr>
              <w:t>as</w:t>
            </w:r>
            <w:r>
              <w:rPr>
                <w:b/>
                <w:color w:val="070707"/>
                <w:spacing w:val="-2"/>
                <w:sz w:val="22"/>
              </w:rPr>
              <w:t> </w:t>
            </w:r>
            <w:r>
              <w:rPr>
                <w:b/>
                <w:color w:val="070707"/>
                <w:sz w:val="22"/>
              </w:rPr>
              <w:t>at</w:t>
            </w:r>
            <w:r>
              <w:rPr>
                <w:b/>
                <w:color w:val="070707"/>
                <w:spacing w:val="-5"/>
                <w:sz w:val="22"/>
              </w:rPr>
              <w:t> </w:t>
            </w:r>
            <w:r>
              <w:rPr>
                <w:b/>
                <w:color w:val="070707"/>
                <w:sz w:val="22"/>
              </w:rPr>
              <w:t>31</w:t>
            </w:r>
            <w:r>
              <w:rPr>
                <w:b/>
                <w:color w:val="070707"/>
                <w:spacing w:val="-7"/>
                <w:sz w:val="22"/>
              </w:rPr>
              <w:t> </w:t>
            </w:r>
            <w:r>
              <w:rPr>
                <w:b/>
                <w:color w:val="070707"/>
                <w:spacing w:val="-2"/>
                <w:sz w:val="22"/>
              </w:rPr>
              <w:t>March</w:t>
            </w:r>
          </w:p>
        </w:tc>
        <w:tc>
          <w:tcPr>
            <w:tcW w:w="1308" w:type="dxa"/>
            <w:tcBorders>
              <w:top w:val="single" w:color="000000" w:sz="6" w:space="0"/>
              <w:bottom w:val="single" w:color="000000" w:sz="6" w:space="0"/>
            </w:tcBorders>
          </w:tcPr>
          <w:p>
            <w:pPr>
              <w:pStyle w:val="TableParagraph"/>
              <w:spacing w:before="2"/>
              <w:ind w:right="122"/>
              <w:jc w:val="right"/>
              <w:rPr>
                <w:b/>
                <w:sz w:val="22"/>
              </w:rPr>
            </w:pPr>
            <w:r>
              <w:rPr>
                <w:b/>
                <w:color w:val="070707"/>
                <w:spacing w:val="-2"/>
                <w:sz w:val="22"/>
              </w:rPr>
              <w:t>(2,378)</w:t>
            </w:r>
          </w:p>
        </w:tc>
      </w:tr>
    </w:tbl>
    <w:p>
      <w:pPr>
        <w:pStyle w:val="BodyText"/>
      </w:pPr>
    </w:p>
    <w:p>
      <w:pPr>
        <w:pStyle w:val="BodyText"/>
      </w:pPr>
    </w:p>
    <w:p>
      <w:pPr>
        <w:pStyle w:val="BodyText"/>
        <w:spacing w:before="16"/>
      </w:pPr>
    </w:p>
    <w:p>
      <w:pPr>
        <w:pStyle w:val="Heading3"/>
        <w:numPr>
          <w:ilvl w:val="2"/>
          <w:numId w:val="23"/>
        </w:numPr>
        <w:tabs>
          <w:tab w:val="left" w:leader="none" w:pos="2109"/>
        </w:tabs>
        <w:spacing w:before="0" w:after="0" w:line="240" w:lineRule="auto"/>
        <w:ind w:left="2109" w:right="0" w:hanging="922"/>
        <w:jc w:val="left"/>
        <w:rPr>
          <w:color w:val="070707"/>
        </w:rPr>
      </w:pPr>
      <w:r>
        <w:rPr>
          <w:color w:val="070707"/>
        </w:rPr>
        <w:t>Collection</w:t>
      </w:r>
      <w:r>
        <w:rPr>
          <w:color w:val="070707"/>
          <w:spacing w:val="-3"/>
        </w:rPr>
        <w:t> </w:t>
      </w:r>
      <w:r>
        <w:rPr>
          <w:color w:val="070707"/>
        </w:rPr>
        <w:t>Fund</w:t>
      </w:r>
      <w:r>
        <w:rPr>
          <w:color w:val="070707"/>
          <w:spacing w:val="-3"/>
        </w:rPr>
        <w:t> </w:t>
      </w:r>
      <w:r>
        <w:rPr>
          <w:color w:val="070707"/>
        </w:rPr>
        <w:t>Adjustment</w:t>
      </w:r>
      <w:r>
        <w:rPr>
          <w:color w:val="070707"/>
          <w:spacing w:val="11"/>
        </w:rPr>
        <w:t> </w:t>
      </w:r>
      <w:r>
        <w:rPr>
          <w:color w:val="070707"/>
          <w:spacing w:val="-2"/>
        </w:rPr>
        <w:t>Account</w:t>
      </w:r>
    </w:p>
    <w:p>
      <w:pPr>
        <w:pStyle w:val="BodyText"/>
        <w:spacing w:before="247"/>
        <w:ind w:left="1175" w:right="865" w:firstLine="6"/>
        <w:jc w:val="both"/>
      </w:pPr>
      <w:r>
        <w:rPr>
          <w:color w:val="1D1D1D"/>
        </w:rPr>
        <w:t>The</w:t>
      </w:r>
      <w:r>
        <w:rPr>
          <w:color w:val="1D1D1D"/>
          <w:spacing w:val="-1"/>
        </w:rPr>
        <w:t> </w:t>
      </w:r>
      <w:r>
        <w:rPr>
          <w:color w:val="1D1D1D"/>
        </w:rPr>
        <w:t>Collection Fund</w:t>
      </w:r>
      <w:r>
        <w:rPr>
          <w:color w:val="1D1D1D"/>
          <w:spacing w:val="-6"/>
        </w:rPr>
        <w:t> </w:t>
      </w:r>
      <w:r>
        <w:rPr>
          <w:color w:val="1D1D1D"/>
        </w:rPr>
        <w:t>Adjustment Account manages the differences ar</w:t>
      </w:r>
      <w:r>
        <w:rPr>
          <w:color w:val="4D4D4D"/>
        </w:rPr>
        <w:t>i</w:t>
      </w:r>
      <w:r>
        <w:rPr>
          <w:color w:val="1D1D1D"/>
        </w:rPr>
        <w:t>sing</w:t>
      </w:r>
      <w:r>
        <w:rPr>
          <w:color w:val="1D1D1D"/>
          <w:spacing w:val="-4"/>
        </w:rPr>
        <w:t> </w:t>
      </w:r>
      <w:r>
        <w:rPr>
          <w:color w:val="1D1D1D"/>
        </w:rPr>
        <w:t>from the recognition of council tax and non-domestic rates income in the Comprehensive Income and Expenditure Statement as it falls due from council tax payers and business rates payers compared with the statutory arrangements for paying across amounts to</w:t>
      </w:r>
      <w:r>
        <w:rPr>
          <w:color w:val="1D1D1D"/>
          <w:spacing w:val="-7"/>
        </w:rPr>
        <w:t> </w:t>
      </w:r>
      <w:r>
        <w:rPr>
          <w:color w:val="333333"/>
        </w:rPr>
        <w:t>the</w:t>
      </w:r>
      <w:r>
        <w:rPr>
          <w:color w:val="333333"/>
          <w:spacing w:val="-8"/>
        </w:rPr>
        <w:t> </w:t>
      </w:r>
      <w:r>
        <w:rPr>
          <w:color w:val="1D1D1D"/>
        </w:rPr>
        <w:t>General Fund from the</w:t>
      </w:r>
      <w:r>
        <w:rPr>
          <w:color w:val="1D1D1D"/>
          <w:spacing w:val="-2"/>
        </w:rPr>
        <w:t> </w:t>
      </w:r>
      <w:r>
        <w:rPr>
          <w:color w:val="1D1D1D"/>
        </w:rPr>
        <w:t>Collection Fund.</w:t>
      </w:r>
    </w:p>
    <w:p>
      <w:pPr>
        <w:pStyle w:val="BodyText"/>
        <w:rPr>
          <w:sz w:val="20"/>
        </w:rPr>
      </w:pPr>
    </w:p>
    <w:p>
      <w:pPr>
        <w:pStyle w:val="BodyText"/>
        <w:rPr>
          <w:sz w:val="20"/>
        </w:rPr>
      </w:pPr>
    </w:p>
    <w:p>
      <w:pPr>
        <w:pStyle w:val="BodyText"/>
        <w:spacing w:before="11"/>
        <w:rPr>
          <w:sz w:val="20"/>
        </w:rPr>
      </w:pPr>
    </w:p>
    <w:tbl>
      <w:tblPr>
        <w:tblW w:w="0" w:type="auto"/>
        <w:jc w:val="left"/>
        <w:tblInd w:w="12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08"/>
        <w:gridCol w:w="6770"/>
        <w:gridCol w:w="1114"/>
      </w:tblGrid>
      <w:tr>
        <w:trPr>
          <w:trHeight w:val="255" w:hRule="atLeast"/>
        </w:trPr>
        <w:tc>
          <w:tcPr>
            <w:tcW w:w="1308" w:type="dxa"/>
          </w:tcPr>
          <w:p>
            <w:pPr>
              <w:pStyle w:val="TableParagraph"/>
              <w:spacing w:line="235" w:lineRule="exact"/>
              <w:ind w:left="263"/>
              <w:rPr>
                <w:b/>
                <w:sz w:val="22"/>
              </w:rPr>
            </w:pPr>
            <w:r>
              <w:rPr>
                <w:b/>
                <w:color w:val="070707"/>
                <w:spacing w:val="-4"/>
                <w:sz w:val="22"/>
              </w:rPr>
              <w:t>2021-</w:t>
            </w:r>
            <w:r>
              <w:rPr>
                <w:b/>
                <w:color w:val="070707"/>
                <w:spacing w:val="-5"/>
                <w:sz w:val="22"/>
              </w:rPr>
              <w:t>22</w:t>
            </w:r>
          </w:p>
        </w:tc>
        <w:tc>
          <w:tcPr>
            <w:tcW w:w="6770" w:type="dxa"/>
          </w:tcPr>
          <w:p>
            <w:pPr>
              <w:pStyle w:val="TableParagraph"/>
              <w:rPr>
                <w:rFonts w:ascii="Times New Roman"/>
                <w:sz w:val="18"/>
              </w:rPr>
            </w:pPr>
          </w:p>
        </w:tc>
        <w:tc>
          <w:tcPr>
            <w:tcW w:w="1114" w:type="dxa"/>
          </w:tcPr>
          <w:p>
            <w:pPr>
              <w:pStyle w:val="TableParagraph"/>
              <w:spacing w:line="235" w:lineRule="exact"/>
              <w:ind w:left="180"/>
              <w:rPr>
                <w:b/>
                <w:sz w:val="22"/>
              </w:rPr>
            </w:pPr>
            <w:r>
              <w:rPr>
                <w:b/>
                <w:color w:val="070707"/>
                <w:spacing w:val="-4"/>
                <w:sz w:val="22"/>
              </w:rPr>
              <w:t>2022-</w:t>
            </w:r>
            <w:r>
              <w:rPr>
                <w:b/>
                <w:color w:val="070707"/>
                <w:spacing w:val="-5"/>
                <w:sz w:val="22"/>
              </w:rPr>
              <w:t>23</w:t>
            </w:r>
          </w:p>
        </w:tc>
      </w:tr>
      <w:tr>
        <w:trPr>
          <w:trHeight w:val="266" w:hRule="atLeast"/>
        </w:trPr>
        <w:tc>
          <w:tcPr>
            <w:tcW w:w="1308" w:type="dxa"/>
          </w:tcPr>
          <w:p>
            <w:pPr>
              <w:pStyle w:val="TableParagraph"/>
              <w:spacing w:line="247" w:lineRule="exact"/>
              <w:ind w:left="416"/>
              <w:rPr>
                <w:b/>
                <w:sz w:val="22"/>
              </w:rPr>
            </w:pPr>
            <w:r>
              <w:rPr>
                <w:b/>
                <w:color w:val="070707"/>
                <w:spacing w:val="-4"/>
                <w:sz w:val="22"/>
              </w:rPr>
              <w:t>£000</w:t>
            </w:r>
          </w:p>
        </w:tc>
        <w:tc>
          <w:tcPr>
            <w:tcW w:w="6770" w:type="dxa"/>
          </w:tcPr>
          <w:p>
            <w:pPr>
              <w:pStyle w:val="TableParagraph"/>
              <w:rPr>
                <w:rFonts w:ascii="Times New Roman"/>
                <w:sz w:val="18"/>
              </w:rPr>
            </w:pPr>
          </w:p>
        </w:tc>
        <w:tc>
          <w:tcPr>
            <w:tcW w:w="1114" w:type="dxa"/>
          </w:tcPr>
          <w:p>
            <w:pPr>
              <w:pStyle w:val="TableParagraph"/>
              <w:spacing w:line="247" w:lineRule="exact"/>
              <w:ind w:left="334"/>
              <w:rPr>
                <w:b/>
                <w:sz w:val="22"/>
              </w:rPr>
            </w:pPr>
            <w:r>
              <w:rPr>
                <w:b/>
                <w:color w:val="070707"/>
                <w:spacing w:val="-4"/>
                <w:sz w:val="22"/>
              </w:rPr>
              <w:t>£000</w:t>
            </w:r>
          </w:p>
        </w:tc>
      </w:tr>
      <w:tr>
        <w:trPr>
          <w:trHeight w:val="273" w:hRule="atLeast"/>
        </w:trPr>
        <w:tc>
          <w:tcPr>
            <w:tcW w:w="1308" w:type="dxa"/>
          </w:tcPr>
          <w:p>
            <w:pPr>
              <w:pStyle w:val="TableParagraph"/>
              <w:rPr>
                <w:rFonts w:ascii="Times New Roman"/>
                <w:sz w:val="20"/>
              </w:rPr>
            </w:pPr>
          </w:p>
        </w:tc>
        <w:tc>
          <w:tcPr>
            <w:tcW w:w="6770" w:type="dxa"/>
          </w:tcPr>
          <w:p>
            <w:pPr>
              <w:pStyle w:val="TableParagraph"/>
              <w:spacing w:before="9" w:line="245" w:lineRule="exact"/>
              <w:ind w:left="426"/>
              <w:rPr>
                <w:b/>
                <w:sz w:val="22"/>
              </w:rPr>
            </w:pPr>
            <w:r>
              <w:rPr>
                <w:b/>
                <w:color w:val="070707"/>
                <w:sz w:val="22"/>
              </w:rPr>
              <w:t>COUNCIL</w:t>
            </w:r>
            <w:r>
              <w:rPr>
                <w:b/>
                <w:color w:val="070707"/>
                <w:spacing w:val="12"/>
                <w:sz w:val="22"/>
              </w:rPr>
              <w:t> </w:t>
            </w:r>
            <w:r>
              <w:rPr>
                <w:b/>
                <w:color w:val="070707"/>
                <w:spacing w:val="-5"/>
                <w:sz w:val="22"/>
              </w:rPr>
              <w:t>TAX</w:t>
            </w:r>
          </w:p>
        </w:tc>
        <w:tc>
          <w:tcPr>
            <w:tcW w:w="1114" w:type="dxa"/>
          </w:tcPr>
          <w:p>
            <w:pPr>
              <w:pStyle w:val="TableParagraph"/>
              <w:rPr>
                <w:rFonts w:ascii="Times New Roman"/>
                <w:sz w:val="20"/>
              </w:rPr>
            </w:pPr>
          </w:p>
        </w:tc>
      </w:tr>
      <w:tr>
        <w:trPr>
          <w:trHeight w:val="365" w:hRule="atLeast"/>
        </w:trPr>
        <w:tc>
          <w:tcPr>
            <w:tcW w:w="1308" w:type="dxa"/>
          </w:tcPr>
          <w:p>
            <w:pPr>
              <w:pStyle w:val="TableParagraph"/>
              <w:spacing w:before="9"/>
              <w:ind w:right="105"/>
              <w:jc w:val="right"/>
              <w:rPr>
                <w:b/>
                <w:sz w:val="22"/>
              </w:rPr>
            </w:pPr>
            <w:r>
              <w:rPr>
                <w:b/>
                <w:color w:val="070707"/>
                <w:spacing w:val="-4"/>
                <w:w w:val="105"/>
                <w:sz w:val="22"/>
              </w:rPr>
              <w:t>(127)</w:t>
            </w:r>
          </w:p>
        </w:tc>
        <w:tc>
          <w:tcPr>
            <w:tcW w:w="6770" w:type="dxa"/>
          </w:tcPr>
          <w:p>
            <w:pPr>
              <w:pStyle w:val="TableParagraph"/>
              <w:spacing w:before="14"/>
              <w:ind w:left="425"/>
              <w:rPr>
                <w:b/>
                <w:sz w:val="22"/>
              </w:rPr>
            </w:pPr>
            <w:r>
              <w:rPr>
                <w:b/>
                <w:color w:val="070707"/>
                <w:sz w:val="22"/>
              </w:rPr>
              <w:t>Balance</w:t>
            </w:r>
            <w:r>
              <w:rPr>
                <w:b/>
                <w:color w:val="070707"/>
                <w:spacing w:val="13"/>
                <w:sz w:val="22"/>
              </w:rPr>
              <w:t> </w:t>
            </w:r>
            <w:r>
              <w:rPr>
                <w:b/>
                <w:color w:val="070707"/>
                <w:sz w:val="22"/>
              </w:rPr>
              <w:t>as</w:t>
            </w:r>
            <w:r>
              <w:rPr>
                <w:b/>
                <w:color w:val="070707"/>
                <w:spacing w:val="5"/>
                <w:sz w:val="22"/>
              </w:rPr>
              <w:t> </w:t>
            </w:r>
            <w:r>
              <w:rPr>
                <w:b/>
                <w:color w:val="070707"/>
                <w:sz w:val="22"/>
              </w:rPr>
              <w:t>at</w:t>
            </w:r>
            <w:r>
              <w:rPr>
                <w:b/>
                <w:color w:val="070707"/>
                <w:spacing w:val="-4"/>
                <w:sz w:val="22"/>
              </w:rPr>
              <w:t> </w:t>
            </w:r>
            <w:r>
              <w:rPr>
                <w:b/>
                <w:color w:val="070707"/>
                <w:sz w:val="22"/>
              </w:rPr>
              <w:t>1</w:t>
            </w:r>
            <w:r>
              <w:rPr>
                <w:b/>
                <w:color w:val="070707"/>
                <w:spacing w:val="-8"/>
                <w:sz w:val="22"/>
              </w:rPr>
              <w:t> </w:t>
            </w:r>
            <w:r>
              <w:rPr>
                <w:b/>
                <w:color w:val="070707"/>
                <w:spacing w:val="-2"/>
                <w:sz w:val="22"/>
              </w:rPr>
              <w:t>April</w:t>
            </w:r>
          </w:p>
        </w:tc>
        <w:tc>
          <w:tcPr>
            <w:tcW w:w="1114" w:type="dxa"/>
          </w:tcPr>
          <w:p>
            <w:pPr>
              <w:pStyle w:val="TableParagraph"/>
              <w:spacing w:before="4"/>
              <w:ind w:right="1"/>
              <w:jc w:val="right"/>
              <w:rPr>
                <w:b/>
                <w:sz w:val="22"/>
              </w:rPr>
            </w:pPr>
            <w:r>
              <w:rPr>
                <w:b/>
                <w:color w:val="070707"/>
                <w:spacing w:val="-2"/>
                <w:sz w:val="22"/>
              </w:rPr>
              <w:t>(223)</w:t>
            </w:r>
          </w:p>
        </w:tc>
      </w:tr>
      <w:tr>
        <w:trPr>
          <w:trHeight w:val="473" w:hRule="atLeast"/>
        </w:trPr>
        <w:tc>
          <w:tcPr>
            <w:tcW w:w="1308" w:type="dxa"/>
          </w:tcPr>
          <w:p>
            <w:pPr>
              <w:pStyle w:val="TableParagraph"/>
              <w:rPr>
                <w:rFonts w:ascii="Times New Roman"/>
                <w:sz w:val="20"/>
              </w:rPr>
            </w:pPr>
          </w:p>
        </w:tc>
        <w:tc>
          <w:tcPr>
            <w:tcW w:w="6770" w:type="dxa"/>
          </w:tcPr>
          <w:p>
            <w:pPr>
              <w:pStyle w:val="TableParagraph"/>
              <w:spacing w:before="91"/>
              <w:ind w:left="413"/>
              <w:rPr>
                <w:sz w:val="22"/>
              </w:rPr>
            </w:pPr>
            <w:r>
              <w:rPr>
                <w:color w:val="1D1D1D"/>
                <w:sz w:val="22"/>
              </w:rPr>
              <w:t>Amount</w:t>
            </w:r>
            <w:r>
              <w:rPr>
                <w:color w:val="1D1D1D"/>
                <w:spacing w:val="6"/>
                <w:sz w:val="22"/>
              </w:rPr>
              <w:t> </w:t>
            </w:r>
            <w:r>
              <w:rPr>
                <w:color w:val="1D1D1D"/>
                <w:sz w:val="22"/>
              </w:rPr>
              <w:t>by</w:t>
            </w:r>
            <w:r>
              <w:rPr>
                <w:color w:val="1D1D1D"/>
                <w:spacing w:val="5"/>
                <w:sz w:val="22"/>
              </w:rPr>
              <w:t> </w:t>
            </w:r>
            <w:r>
              <w:rPr>
                <w:color w:val="1D1D1D"/>
                <w:sz w:val="22"/>
              </w:rPr>
              <w:t>which</w:t>
            </w:r>
            <w:r>
              <w:rPr>
                <w:color w:val="1D1D1D"/>
                <w:spacing w:val="5"/>
                <w:sz w:val="22"/>
              </w:rPr>
              <w:t> </w:t>
            </w:r>
            <w:r>
              <w:rPr>
                <w:color w:val="1D1D1D"/>
                <w:sz w:val="22"/>
              </w:rPr>
              <w:t>council</w:t>
            </w:r>
            <w:r>
              <w:rPr>
                <w:color w:val="1D1D1D"/>
                <w:spacing w:val="7"/>
                <w:sz w:val="22"/>
              </w:rPr>
              <w:t> </w:t>
            </w:r>
            <w:r>
              <w:rPr>
                <w:color w:val="1D1D1D"/>
                <w:sz w:val="22"/>
              </w:rPr>
              <w:t>tax</w:t>
            </w:r>
            <w:r>
              <w:rPr>
                <w:color w:val="1D1D1D"/>
                <w:spacing w:val="3"/>
                <w:sz w:val="22"/>
              </w:rPr>
              <w:t> </w:t>
            </w:r>
            <w:r>
              <w:rPr>
                <w:color w:val="1D1D1D"/>
                <w:sz w:val="22"/>
              </w:rPr>
              <w:t>credited</w:t>
            </w:r>
            <w:r>
              <w:rPr>
                <w:color w:val="1D1D1D"/>
                <w:spacing w:val="-4"/>
                <w:sz w:val="22"/>
              </w:rPr>
              <w:t> </w:t>
            </w:r>
            <w:r>
              <w:rPr>
                <w:color w:val="1D1D1D"/>
                <w:sz w:val="22"/>
              </w:rPr>
              <w:t>to</w:t>
            </w:r>
            <w:r>
              <w:rPr>
                <w:color w:val="1D1D1D"/>
                <w:spacing w:val="-6"/>
                <w:sz w:val="22"/>
              </w:rPr>
              <w:t> </w:t>
            </w:r>
            <w:r>
              <w:rPr>
                <w:color w:val="1D1D1D"/>
                <w:sz w:val="22"/>
              </w:rPr>
              <w:t>the</w:t>
            </w:r>
            <w:r>
              <w:rPr>
                <w:color w:val="1D1D1D"/>
                <w:spacing w:val="-7"/>
                <w:sz w:val="22"/>
              </w:rPr>
              <w:t> </w:t>
            </w:r>
            <w:r>
              <w:rPr>
                <w:color w:val="1D1D1D"/>
                <w:spacing w:val="-2"/>
                <w:sz w:val="22"/>
              </w:rPr>
              <w:t>Comprehensive</w:t>
            </w:r>
          </w:p>
        </w:tc>
        <w:tc>
          <w:tcPr>
            <w:tcW w:w="1114" w:type="dxa"/>
          </w:tcPr>
          <w:p>
            <w:pPr>
              <w:pStyle w:val="TableParagraph"/>
              <w:rPr>
                <w:rFonts w:ascii="Times New Roman"/>
                <w:sz w:val="20"/>
              </w:rPr>
            </w:pPr>
          </w:p>
        </w:tc>
      </w:tr>
      <w:tr>
        <w:trPr>
          <w:trHeight w:val="748" w:hRule="atLeast"/>
        </w:trPr>
        <w:tc>
          <w:tcPr>
            <w:tcW w:w="1308" w:type="dxa"/>
            <w:tcBorders>
              <w:bottom w:val="single" w:color="000000" w:sz="6" w:space="0"/>
            </w:tcBorders>
          </w:tcPr>
          <w:p>
            <w:pPr>
              <w:pStyle w:val="TableParagraph"/>
              <w:spacing w:before="2"/>
              <w:ind w:right="128"/>
              <w:jc w:val="right"/>
              <w:rPr>
                <w:sz w:val="22"/>
              </w:rPr>
            </w:pPr>
            <w:r>
              <w:rPr>
                <w:color w:val="070707"/>
                <w:spacing w:val="-4"/>
                <w:sz w:val="22"/>
              </w:rPr>
              <w:t>(96)</w:t>
            </w:r>
          </w:p>
        </w:tc>
        <w:tc>
          <w:tcPr>
            <w:tcW w:w="6770" w:type="dxa"/>
          </w:tcPr>
          <w:p>
            <w:pPr>
              <w:pStyle w:val="TableParagraph"/>
              <w:spacing w:line="121" w:lineRule="exact"/>
              <w:ind w:left="421"/>
              <w:rPr>
                <w:sz w:val="22"/>
              </w:rPr>
            </w:pPr>
            <w:r>
              <w:rPr>
                <w:color w:val="1D1D1D"/>
                <w:sz w:val="22"/>
              </w:rPr>
              <w:t>Income</w:t>
            </w:r>
            <w:r>
              <w:rPr>
                <w:color w:val="1D1D1D"/>
                <w:spacing w:val="-2"/>
                <w:sz w:val="22"/>
              </w:rPr>
              <w:t> </w:t>
            </w:r>
            <w:r>
              <w:rPr>
                <w:color w:val="1D1D1D"/>
                <w:sz w:val="22"/>
              </w:rPr>
              <w:t>and</w:t>
            </w:r>
            <w:r>
              <w:rPr>
                <w:color w:val="1D1D1D"/>
                <w:spacing w:val="-13"/>
                <w:sz w:val="22"/>
              </w:rPr>
              <w:t> </w:t>
            </w:r>
            <w:r>
              <w:rPr>
                <w:color w:val="1D1D1D"/>
                <w:sz w:val="22"/>
              </w:rPr>
              <w:t>Expenditure</w:t>
            </w:r>
            <w:r>
              <w:rPr>
                <w:color w:val="1D1D1D"/>
                <w:spacing w:val="6"/>
                <w:sz w:val="22"/>
              </w:rPr>
              <w:t> </w:t>
            </w:r>
            <w:r>
              <w:rPr>
                <w:color w:val="1D1D1D"/>
                <w:sz w:val="22"/>
              </w:rPr>
              <w:t>Statement</w:t>
            </w:r>
            <w:r>
              <w:rPr>
                <w:color w:val="1D1D1D"/>
                <w:spacing w:val="2"/>
                <w:sz w:val="22"/>
              </w:rPr>
              <w:t> </w:t>
            </w:r>
            <w:r>
              <w:rPr>
                <w:color w:val="1D1D1D"/>
                <w:sz w:val="22"/>
              </w:rPr>
              <w:t>is</w:t>
            </w:r>
            <w:r>
              <w:rPr>
                <w:color w:val="1D1D1D"/>
                <w:spacing w:val="-9"/>
                <w:sz w:val="22"/>
              </w:rPr>
              <w:t> </w:t>
            </w:r>
            <w:r>
              <w:rPr>
                <w:color w:val="1D1D1D"/>
                <w:sz w:val="22"/>
              </w:rPr>
              <w:t>different</w:t>
            </w:r>
            <w:r>
              <w:rPr>
                <w:color w:val="1D1D1D"/>
                <w:spacing w:val="6"/>
                <w:sz w:val="22"/>
              </w:rPr>
              <w:t> </w:t>
            </w:r>
            <w:r>
              <w:rPr>
                <w:color w:val="1D1D1D"/>
                <w:sz w:val="22"/>
              </w:rPr>
              <w:t>from</w:t>
            </w:r>
            <w:r>
              <w:rPr>
                <w:color w:val="1D1D1D"/>
                <w:spacing w:val="-1"/>
                <w:sz w:val="22"/>
              </w:rPr>
              <w:t> </w:t>
            </w:r>
            <w:r>
              <w:rPr>
                <w:color w:val="1D1D1D"/>
                <w:sz w:val="22"/>
              </w:rPr>
              <w:t>council</w:t>
            </w:r>
            <w:r>
              <w:rPr>
                <w:color w:val="1D1D1D"/>
                <w:spacing w:val="8"/>
                <w:sz w:val="22"/>
              </w:rPr>
              <w:t> </w:t>
            </w:r>
            <w:r>
              <w:rPr>
                <w:color w:val="1D1D1D"/>
                <w:spacing w:val="-5"/>
                <w:sz w:val="22"/>
              </w:rPr>
              <w:t>tax</w:t>
            </w:r>
          </w:p>
          <w:p>
            <w:pPr>
              <w:pStyle w:val="TableParagraph"/>
              <w:spacing w:before="1"/>
              <w:ind w:left="413" w:right="187" w:firstLine="10"/>
              <w:rPr>
                <w:sz w:val="22"/>
              </w:rPr>
            </w:pPr>
            <w:r>
              <w:rPr>
                <w:color w:val="1D1D1D"/>
                <w:sz w:val="22"/>
              </w:rPr>
              <w:t>calculated</w:t>
            </w:r>
            <w:r>
              <w:rPr>
                <w:color w:val="1D1D1D"/>
                <w:spacing w:val="-2"/>
                <w:sz w:val="22"/>
              </w:rPr>
              <w:t> </w:t>
            </w:r>
            <w:r>
              <w:rPr>
                <w:color w:val="1D1D1D"/>
                <w:sz w:val="22"/>
              </w:rPr>
              <w:t>for</w:t>
            </w:r>
            <w:r>
              <w:rPr>
                <w:color w:val="1D1D1D"/>
                <w:spacing w:val="-10"/>
                <w:sz w:val="22"/>
              </w:rPr>
              <w:t> </w:t>
            </w:r>
            <w:r>
              <w:rPr>
                <w:color w:val="1D1D1D"/>
                <w:sz w:val="22"/>
              </w:rPr>
              <w:t>the year</w:t>
            </w:r>
            <w:r>
              <w:rPr>
                <w:color w:val="1D1D1D"/>
                <w:spacing w:val="-5"/>
                <w:sz w:val="22"/>
              </w:rPr>
              <w:t> </w:t>
            </w:r>
            <w:r>
              <w:rPr>
                <w:color w:val="1D1D1D"/>
                <w:sz w:val="22"/>
              </w:rPr>
              <w:t>in</w:t>
            </w:r>
            <w:r>
              <w:rPr>
                <w:color w:val="1D1D1D"/>
                <w:spacing w:val="-13"/>
                <w:sz w:val="22"/>
              </w:rPr>
              <w:t> </w:t>
            </w:r>
            <w:r>
              <w:rPr>
                <w:color w:val="1D1D1D"/>
                <w:sz w:val="22"/>
              </w:rPr>
              <w:t>accordance with</w:t>
            </w:r>
            <w:r>
              <w:rPr>
                <w:color w:val="1D1D1D"/>
                <w:spacing w:val="-3"/>
                <w:sz w:val="22"/>
              </w:rPr>
              <w:t> </w:t>
            </w:r>
            <w:r>
              <w:rPr>
                <w:color w:val="1D1D1D"/>
                <w:sz w:val="22"/>
              </w:rPr>
              <w:t>statutory </w:t>
            </w:r>
            <w:r>
              <w:rPr>
                <w:color w:val="1D1D1D"/>
                <w:spacing w:val="-2"/>
                <w:sz w:val="22"/>
              </w:rPr>
              <w:t>requirements</w:t>
            </w:r>
          </w:p>
        </w:tc>
        <w:tc>
          <w:tcPr>
            <w:tcW w:w="1114" w:type="dxa"/>
            <w:tcBorders>
              <w:bottom w:val="single" w:color="000000" w:sz="6" w:space="0"/>
            </w:tcBorders>
          </w:tcPr>
          <w:p>
            <w:pPr>
              <w:pStyle w:val="TableParagraph"/>
              <w:spacing w:line="250" w:lineRule="exact"/>
              <w:ind w:right="63"/>
              <w:jc w:val="right"/>
              <w:rPr>
                <w:sz w:val="22"/>
              </w:rPr>
            </w:pPr>
            <w:r>
              <w:rPr>
                <w:color w:val="070707"/>
                <w:spacing w:val="-5"/>
                <w:sz w:val="22"/>
              </w:rPr>
              <w:t>181</w:t>
            </w:r>
          </w:p>
        </w:tc>
      </w:tr>
      <w:tr>
        <w:trPr>
          <w:trHeight w:val="463" w:hRule="atLeast"/>
        </w:trPr>
        <w:tc>
          <w:tcPr>
            <w:tcW w:w="1308" w:type="dxa"/>
            <w:tcBorders>
              <w:top w:val="single" w:color="000000" w:sz="6" w:space="0"/>
            </w:tcBorders>
          </w:tcPr>
          <w:p>
            <w:pPr>
              <w:pStyle w:val="TableParagraph"/>
              <w:spacing w:before="7"/>
              <w:ind w:right="129"/>
              <w:jc w:val="right"/>
              <w:rPr>
                <w:b/>
                <w:sz w:val="22"/>
              </w:rPr>
            </w:pPr>
            <w:r>
              <w:rPr>
                <w:b/>
                <w:color w:val="070707"/>
                <w:spacing w:val="-2"/>
                <w:sz w:val="22"/>
              </w:rPr>
              <w:t>(223)</w:t>
            </w:r>
          </w:p>
        </w:tc>
        <w:tc>
          <w:tcPr>
            <w:tcW w:w="6770" w:type="dxa"/>
          </w:tcPr>
          <w:p>
            <w:pPr>
              <w:pStyle w:val="TableParagraph"/>
              <w:spacing w:before="21"/>
              <w:ind w:left="406"/>
              <w:rPr>
                <w:b/>
                <w:sz w:val="22"/>
              </w:rPr>
            </w:pPr>
            <w:r>
              <w:rPr>
                <w:b/>
                <w:color w:val="070707"/>
                <w:sz w:val="22"/>
              </w:rPr>
              <w:t>Balance</w:t>
            </w:r>
            <w:r>
              <w:rPr>
                <w:b/>
                <w:color w:val="070707"/>
                <w:spacing w:val="15"/>
                <w:sz w:val="22"/>
              </w:rPr>
              <w:t> </w:t>
            </w:r>
            <w:r>
              <w:rPr>
                <w:b/>
                <w:color w:val="070707"/>
                <w:sz w:val="22"/>
              </w:rPr>
              <w:t>as at</w:t>
            </w:r>
            <w:r>
              <w:rPr>
                <w:b/>
                <w:color w:val="070707"/>
                <w:spacing w:val="-7"/>
                <w:sz w:val="22"/>
              </w:rPr>
              <w:t> </w:t>
            </w:r>
            <w:r>
              <w:rPr>
                <w:b/>
                <w:color w:val="070707"/>
                <w:sz w:val="22"/>
              </w:rPr>
              <w:t>31</w:t>
            </w:r>
            <w:r>
              <w:rPr>
                <w:b/>
                <w:color w:val="070707"/>
                <w:spacing w:val="-6"/>
                <w:sz w:val="22"/>
              </w:rPr>
              <w:t> </w:t>
            </w:r>
            <w:r>
              <w:rPr>
                <w:b/>
                <w:color w:val="070707"/>
                <w:spacing w:val="-2"/>
                <w:sz w:val="22"/>
              </w:rPr>
              <w:t>March</w:t>
            </w:r>
          </w:p>
        </w:tc>
        <w:tc>
          <w:tcPr>
            <w:tcW w:w="1114" w:type="dxa"/>
            <w:tcBorders>
              <w:top w:val="single" w:color="000000" w:sz="6" w:space="0"/>
            </w:tcBorders>
          </w:tcPr>
          <w:p>
            <w:pPr>
              <w:pStyle w:val="TableParagraph"/>
              <w:spacing w:before="12"/>
              <w:ind w:right="8"/>
              <w:jc w:val="right"/>
              <w:rPr>
                <w:b/>
                <w:sz w:val="22"/>
              </w:rPr>
            </w:pPr>
            <w:r>
              <w:rPr>
                <w:b/>
                <w:color w:val="070707"/>
                <w:spacing w:val="-4"/>
                <w:sz w:val="22"/>
              </w:rPr>
              <w:t>(42)</w:t>
            </w:r>
          </w:p>
        </w:tc>
      </w:tr>
      <w:tr>
        <w:trPr>
          <w:trHeight w:val="451" w:hRule="atLeast"/>
        </w:trPr>
        <w:tc>
          <w:tcPr>
            <w:tcW w:w="1308" w:type="dxa"/>
          </w:tcPr>
          <w:p>
            <w:pPr>
              <w:pStyle w:val="TableParagraph"/>
              <w:rPr>
                <w:rFonts w:ascii="Times New Roman"/>
                <w:sz w:val="20"/>
              </w:rPr>
            </w:pPr>
          </w:p>
        </w:tc>
        <w:tc>
          <w:tcPr>
            <w:tcW w:w="6770" w:type="dxa"/>
          </w:tcPr>
          <w:p>
            <w:pPr>
              <w:pStyle w:val="TableParagraph"/>
              <w:spacing w:before="182" w:line="249" w:lineRule="exact"/>
              <w:ind w:left="401"/>
              <w:rPr>
                <w:b/>
                <w:sz w:val="22"/>
              </w:rPr>
            </w:pPr>
            <w:r>
              <w:rPr>
                <w:b/>
                <w:color w:val="070707"/>
                <w:sz w:val="22"/>
              </w:rPr>
              <w:t>NON-DOMESTIC</w:t>
            </w:r>
            <w:r>
              <w:rPr>
                <w:b/>
                <w:color w:val="070707"/>
                <w:spacing w:val="4"/>
                <w:sz w:val="22"/>
              </w:rPr>
              <w:t> </w:t>
            </w:r>
            <w:r>
              <w:rPr>
                <w:b/>
                <w:color w:val="070707"/>
                <w:spacing w:val="-2"/>
                <w:sz w:val="22"/>
              </w:rPr>
              <w:t>RATES</w:t>
            </w:r>
          </w:p>
        </w:tc>
        <w:tc>
          <w:tcPr>
            <w:tcW w:w="1114" w:type="dxa"/>
          </w:tcPr>
          <w:p>
            <w:pPr>
              <w:pStyle w:val="TableParagraph"/>
              <w:rPr>
                <w:rFonts w:ascii="Times New Roman"/>
                <w:sz w:val="20"/>
              </w:rPr>
            </w:pPr>
          </w:p>
        </w:tc>
      </w:tr>
      <w:tr>
        <w:trPr>
          <w:trHeight w:val="365" w:hRule="atLeast"/>
        </w:trPr>
        <w:tc>
          <w:tcPr>
            <w:tcW w:w="1308" w:type="dxa"/>
          </w:tcPr>
          <w:p>
            <w:pPr>
              <w:pStyle w:val="TableParagraph"/>
              <w:spacing w:before="9"/>
              <w:ind w:right="144"/>
              <w:jc w:val="right"/>
              <w:rPr>
                <w:b/>
                <w:sz w:val="22"/>
              </w:rPr>
            </w:pPr>
            <w:r>
              <w:rPr>
                <w:b/>
                <w:color w:val="070707"/>
                <w:spacing w:val="-2"/>
                <w:sz w:val="22"/>
              </w:rPr>
              <w:t>8,843</w:t>
            </w:r>
          </w:p>
        </w:tc>
        <w:tc>
          <w:tcPr>
            <w:tcW w:w="6770" w:type="dxa"/>
          </w:tcPr>
          <w:p>
            <w:pPr>
              <w:pStyle w:val="TableParagraph"/>
              <w:spacing w:before="9"/>
              <w:ind w:left="401"/>
              <w:rPr>
                <w:b/>
                <w:sz w:val="22"/>
              </w:rPr>
            </w:pPr>
            <w:r>
              <w:rPr>
                <w:b/>
                <w:color w:val="070707"/>
                <w:sz w:val="22"/>
              </w:rPr>
              <w:t>Balance</w:t>
            </w:r>
            <w:r>
              <w:rPr>
                <w:b/>
                <w:color w:val="070707"/>
                <w:spacing w:val="11"/>
                <w:sz w:val="22"/>
              </w:rPr>
              <w:t> </w:t>
            </w:r>
            <w:r>
              <w:rPr>
                <w:b/>
                <w:color w:val="070707"/>
                <w:sz w:val="22"/>
              </w:rPr>
              <w:t>as</w:t>
            </w:r>
            <w:r>
              <w:rPr>
                <w:b/>
                <w:color w:val="070707"/>
                <w:spacing w:val="1"/>
                <w:sz w:val="22"/>
              </w:rPr>
              <w:t> </w:t>
            </w:r>
            <w:r>
              <w:rPr>
                <w:b/>
                <w:color w:val="070707"/>
                <w:sz w:val="22"/>
              </w:rPr>
              <w:t>at</w:t>
            </w:r>
            <w:r>
              <w:rPr>
                <w:b/>
                <w:color w:val="070707"/>
                <w:spacing w:val="-1"/>
                <w:sz w:val="22"/>
              </w:rPr>
              <w:t> </w:t>
            </w:r>
            <w:r>
              <w:rPr>
                <w:b/>
                <w:color w:val="070707"/>
                <w:sz w:val="22"/>
              </w:rPr>
              <w:t>1</w:t>
            </w:r>
            <w:r>
              <w:rPr>
                <w:b/>
                <w:color w:val="070707"/>
                <w:spacing w:val="-5"/>
                <w:sz w:val="22"/>
              </w:rPr>
              <w:t> </w:t>
            </w:r>
            <w:r>
              <w:rPr>
                <w:b/>
                <w:color w:val="070707"/>
                <w:spacing w:val="-2"/>
                <w:sz w:val="22"/>
              </w:rPr>
              <w:t>April</w:t>
            </w:r>
          </w:p>
        </w:tc>
        <w:tc>
          <w:tcPr>
            <w:tcW w:w="1114" w:type="dxa"/>
          </w:tcPr>
          <w:p>
            <w:pPr>
              <w:pStyle w:val="TableParagraph"/>
              <w:spacing w:before="23"/>
              <w:ind w:right="81"/>
              <w:jc w:val="right"/>
              <w:rPr>
                <w:b/>
                <w:sz w:val="22"/>
              </w:rPr>
            </w:pPr>
            <w:r>
              <w:rPr>
                <w:b/>
                <w:color w:val="070707"/>
                <w:spacing w:val="-2"/>
                <w:sz w:val="22"/>
              </w:rPr>
              <w:t>5,358</w:t>
            </w:r>
          </w:p>
        </w:tc>
      </w:tr>
      <w:tr>
        <w:trPr>
          <w:trHeight w:val="334" w:hRule="atLeast"/>
        </w:trPr>
        <w:tc>
          <w:tcPr>
            <w:tcW w:w="1308" w:type="dxa"/>
          </w:tcPr>
          <w:p>
            <w:pPr>
              <w:pStyle w:val="TableParagraph"/>
              <w:rPr>
                <w:rFonts w:ascii="Times New Roman"/>
                <w:sz w:val="20"/>
              </w:rPr>
            </w:pPr>
          </w:p>
        </w:tc>
        <w:tc>
          <w:tcPr>
            <w:tcW w:w="6770" w:type="dxa"/>
          </w:tcPr>
          <w:p>
            <w:pPr>
              <w:pStyle w:val="TableParagraph"/>
              <w:spacing w:before="81" w:line="233" w:lineRule="exact"/>
              <w:ind w:left="399"/>
              <w:rPr>
                <w:sz w:val="22"/>
              </w:rPr>
            </w:pPr>
            <w:r>
              <w:rPr>
                <w:color w:val="1D1D1D"/>
                <w:sz w:val="22"/>
              </w:rPr>
              <w:t>Amount</w:t>
            </w:r>
            <w:r>
              <w:rPr>
                <w:color w:val="1D1D1D"/>
                <w:spacing w:val="8"/>
                <w:sz w:val="22"/>
              </w:rPr>
              <w:t> </w:t>
            </w:r>
            <w:r>
              <w:rPr>
                <w:color w:val="1D1D1D"/>
                <w:sz w:val="22"/>
              </w:rPr>
              <w:t>by</w:t>
            </w:r>
            <w:r>
              <w:rPr>
                <w:color w:val="1D1D1D"/>
                <w:spacing w:val="1"/>
                <w:sz w:val="22"/>
              </w:rPr>
              <w:t> </w:t>
            </w:r>
            <w:r>
              <w:rPr>
                <w:color w:val="1D1D1D"/>
                <w:sz w:val="22"/>
              </w:rPr>
              <w:t>which</w:t>
            </w:r>
            <w:r>
              <w:rPr>
                <w:color w:val="1D1D1D"/>
                <w:spacing w:val="-6"/>
                <w:sz w:val="22"/>
              </w:rPr>
              <w:t> </w:t>
            </w:r>
            <w:r>
              <w:rPr>
                <w:color w:val="1D1D1D"/>
                <w:sz w:val="22"/>
              </w:rPr>
              <w:t>non-domestic</w:t>
            </w:r>
            <w:r>
              <w:rPr>
                <w:color w:val="1D1D1D"/>
                <w:spacing w:val="13"/>
                <w:sz w:val="22"/>
              </w:rPr>
              <w:t> </w:t>
            </w:r>
            <w:r>
              <w:rPr>
                <w:color w:val="1D1D1D"/>
                <w:sz w:val="22"/>
              </w:rPr>
              <w:t>rates</w:t>
            </w:r>
            <w:r>
              <w:rPr>
                <w:color w:val="1D1D1D"/>
                <w:spacing w:val="-1"/>
                <w:sz w:val="22"/>
              </w:rPr>
              <w:t> </w:t>
            </w:r>
            <w:r>
              <w:rPr>
                <w:color w:val="1D1D1D"/>
                <w:sz w:val="22"/>
              </w:rPr>
              <w:t>credited</w:t>
            </w:r>
            <w:r>
              <w:rPr>
                <w:color w:val="1D1D1D"/>
                <w:spacing w:val="4"/>
                <w:sz w:val="22"/>
              </w:rPr>
              <w:t> </w:t>
            </w:r>
            <w:r>
              <w:rPr>
                <w:color w:val="1D1D1D"/>
                <w:sz w:val="22"/>
              </w:rPr>
              <w:t>to</w:t>
            </w:r>
            <w:r>
              <w:rPr>
                <w:color w:val="1D1D1D"/>
                <w:spacing w:val="-9"/>
                <w:sz w:val="22"/>
              </w:rPr>
              <w:t> </w:t>
            </w:r>
            <w:r>
              <w:rPr>
                <w:color w:val="1D1D1D"/>
                <w:spacing w:val="-5"/>
                <w:sz w:val="22"/>
              </w:rPr>
              <w:t>the</w:t>
            </w:r>
          </w:p>
        </w:tc>
        <w:tc>
          <w:tcPr>
            <w:tcW w:w="1114" w:type="dxa"/>
          </w:tcPr>
          <w:p>
            <w:pPr>
              <w:pStyle w:val="TableParagraph"/>
              <w:rPr>
                <w:rFonts w:ascii="Times New Roman"/>
                <w:sz w:val="20"/>
              </w:rPr>
            </w:pPr>
          </w:p>
        </w:tc>
      </w:tr>
    </w:tbl>
    <w:p>
      <w:pPr>
        <w:pStyle w:val="BodyText"/>
        <w:tabs>
          <w:tab w:val="left" w:leader="none" w:pos="9702"/>
        </w:tabs>
        <w:spacing w:before="35" w:line="163" w:lineRule="auto"/>
        <w:ind w:left="2940" w:right="1174" w:hanging="5"/>
      </w:pPr>
      <w:r>
        <w:rPr/>
        <ve:AlternateContent>
          <ve:Choice Requires="wps">
            <w:drawing>
              <wp:anchor distT="0" distB="0" distL="0" distR="0" simplePos="0" relativeHeight="15859712" behindDoc="0" locked="0" layoutInCell="1" allowOverlap="1">
                <wp:simplePos x="0" y="0"/>
                <wp:positionH relativeFrom="page">
                  <wp:posOffset>1072196</wp:posOffset>
                </wp:positionH>
                <wp:positionV relativeFrom="paragraph">
                  <wp:posOffset>94448</wp:posOffset>
                </wp:positionV>
                <wp:extent cx="434975" cy="156845"/>
                <wp:effectExtent l="0" t="0" r="0" b="0"/>
                <wp:wrapNone/>
                <wp:docPr id="589" name="Textbox 589"/>
                <wp:cNvGraphicFramePr>
                  <a:graphicFrameLocks/>
                </wp:cNvGraphicFramePr>
                <a:graphic>
                  <a:graphicData uri="http://schemas.microsoft.com/office/word/2010/wordprocessingShape">
                    <wps:wsp>
                      <wps:cNvPr id="589" name="Textbox 589"/>
                      <wps:cNvSpPr txBox="1"/>
                      <wps:spPr>
                        <a:xfrm>
                          <a:off x="0" y="0"/>
                          <a:ext cx="434975" cy="156845"/>
                        </a:xfrm>
                        <a:prstGeom prst="rect">
                          <a:avLst/>
                        </a:prstGeom>
                      </wps:spPr>
                      <wps:txbx>
                        <w:txbxContent>
                          <w:p>
                            <w:pPr>
                              <w:pStyle w:val="BodyText"/>
                              <w:spacing w:line="246" w:lineRule="exact"/>
                            </w:pPr>
                            <w:r>
                              <w:rPr>
                                <w:color w:val="070707"/>
                                <w:spacing w:val="-5"/>
                              </w:rPr>
                              <w:t>(3,485)</w:t>
                            </w:r>
                          </w:p>
                        </w:txbxContent>
                      </wps:txbx>
                      <wps:bodyPr wrap="square" lIns="0" tIns="0" rIns="0" bIns="0" rtlCol="0">
                        <a:noAutofit/>
                      </wps:bodyPr>
                    </wps:wsp>
                  </a:graphicData>
                </a:graphic>
              </wp:anchor>
            </w:drawing>
          </ve:Choice>
          <ve:Fallback>
            <w:pict>
              <v:shape id="docshape384" style="position:absolute;margin-left:84.42495pt;margin-top:7.4369pt;width:34.25pt;height:12.35pt;mso-position-horizontal-relative:page;mso-position-vertical-relative:paragraph;z-index:15859712" filled="false" stroked="false" type="#_x0000_t202">
                <v:textbox inset="0,0,0,0">
                  <w:txbxContent>
                    <w:p>
                      <w:pPr>
                        <w:pStyle w:val="BodyText"/>
                        <w:spacing w:line="246" w:lineRule="exact"/>
                      </w:pPr>
                      <w:r>
                        <w:rPr>
                          <w:color w:val="070707"/>
                          <w:spacing w:val="-5"/>
                        </w:rPr>
                        <w:t>(3,485)</w:t>
                      </w:r>
                    </w:p>
                  </w:txbxContent>
                </v:textbox>
                <w10:wrap type="none"/>
              </v:shape>
            </w:pict>
          </ve:Fallback>
        </ve:AlternateContent>
      </w:r>
      <w:r>
        <w:rPr>
          <w:color w:val="1D1D1D"/>
        </w:rPr>
        <w:t>Comprehensive</w:t>
      </w:r>
      <w:r>
        <w:rPr>
          <w:color w:val="1D1D1D"/>
          <w:spacing w:val="40"/>
        </w:rPr>
        <w:t> </w:t>
      </w:r>
      <w:r>
        <w:rPr>
          <w:color w:val="1D1D1D"/>
        </w:rPr>
        <w:t>Income and Expenditure Statement is different</w:t>
        <w:tab/>
      </w:r>
      <w:r>
        <w:rPr>
          <w:color w:val="070707"/>
          <w:spacing w:val="-2"/>
          <w:position w:val="-11"/>
        </w:rPr>
        <w:t>(7,150) </w:t>
      </w:r>
      <w:r>
        <w:rPr>
          <w:color w:val="1D1D1D"/>
        </w:rPr>
        <w:t>from non-domestic rates calculated for the year </w:t>
      </w:r>
      <w:r>
        <w:rPr>
          <w:color w:val="333333"/>
        </w:rPr>
        <w:t>in </w:t>
      </w:r>
      <w:r>
        <w:rPr>
          <w:color w:val="1D1D1D"/>
        </w:rPr>
        <w:t>accordance</w:t>
      </w:r>
    </w:p>
    <w:p>
      <w:pPr>
        <w:pStyle w:val="BodyText"/>
        <w:spacing w:before="17"/>
        <w:ind w:left="2936"/>
      </w:pPr>
      <w:r>
        <w:rPr>
          <w:color w:val="1D1D1D"/>
        </w:rPr>
        <w:t>with</w:t>
      </w:r>
      <w:r>
        <w:rPr>
          <w:color w:val="1D1D1D"/>
          <w:spacing w:val="-8"/>
        </w:rPr>
        <w:t> </w:t>
      </w:r>
      <w:r>
        <w:rPr>
          <w:color w:val="1D1D1D"/>
        </w:rPr>
        <w:t>statutory</w:t>
      </w:r>
      <w:r>
        <w:rPr>
          <w:color w:val="1D1D1D"/>
          <w:spacing w:val="11"/>
        </w:rPr>
        <w:t> </w:t>
      </w:r>
      <w:r>
        <w:rPr>
          <w:color w:val="1D1D1D"/>
          <w:spacing w:val="-2"/>
        </w:rPr>
        <w:t>requirements</w:t>
      </w:r>
    </w:p>
    <w:p>
      <w:pPr>
        <w:pStyle w:val="BodyText"/>
        <w:spacing w:before="7"/>
        <w:rPr>
          <w:sz w:val="8"/>
        </w:rPr>
      </w:pPr>
      <w:r>
        <w:rPr/>
        <ve:AlternateContent>
          <ve:Choice Requires="wps">
            <w:drawing>
              <wp:anchor distT="0" distB="0" distL="0" distR="0" simplePos="0" relativeHeight="487714816" behindDoc="1" locked="0" layoutInCell="1" allowOverlap="1">
                <wp:simplePos x="0" y="0"/>
                <wp:positionH relativeFrom="page">
                  <wp:posOffset>744911</wp:posOffset>
                </wp:positionH>
                <wp:positionV relativeFrom="paragraph">
                  <wp:posOffset>83645</wp:posOffset>
                </wp:positionV>
                <wp:extent cx="955675" cy="6350"/>
                <wp:effectExtent l="0" t="0" r="0" b="0"/>
                <wp:wrapTopAndBottom/>
                <wp:docPr id="590" name="Graphic 590"/>
                <wp:cNvGraphicFramePr>
                  <a:graphicFrameLocks/>
                </wp:cNvGraphicFramePr>
                <a:graphic>
                  <a:graphicData uri="http://schemas.microsoft.com/office/word/2010/wordprocessingShape">
                    <wps:wsp>
                      <wps:cNvPr id="590" name="Graphic 590"/>
                      <wps:cNvSpPr/>
                      <wps:spPr>
                        <a:xfrm>
                          <a:off x="0" y="0"/>
                          <a:ext cx="955675" cy="6350"/>
                        </a:xfrm>
                        <a:custGeom>
                          <a:avLst/>
                          <a:gdLst/>
                          <a:ahLst/>
                          <a:cxnLst/>
                          <a:rect l="l" t="t" r="r" b="b"/>
                          <a:pathLst>
                            <a:path w="955675" h="6350">
                              <a:moveTo>
                                <a:pt x="0" y="6102"/>
                              </a:moveTo>
                              <a:lnTo>
                                <a:pt x="842604" y="6102"/>
                              </a:lnTo>
                            </a:path>
                            <a:path w="955675" h="6350">
                              <a:moveTo>
                                <a:pt x="207598" y="0"/>
                              </a:moveTo>
                              <a:lnTo>
                                <a:pt x="955562"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385" style="position:absolute;margin-left:58.654457pt;margin-top:6.586239pt;width:75.25pt;height:.5pt;mso-position-horizontal-relative:page;mso-position-vertical-relative:paragraph;z-index:-15601664;mso-wrap-distance-left:0;mso-wrap-distance-right:0" coordsize="1505,10" coordorigin="1173,132" filled="false" stroked="true" strokecolor="#000000" strokeweight=".720991pt" path="m1173,141l2500,141m1500,132l2678,132e">
                <v:path arrowok="t"/>
                <v:stroke dashstyle="solid"/>
                <w10:wrap type="topAndBottom"/>
              </v:shape>
            </w:pict>
          </ve:Fallback>
        </ve:AlternateContent>
      </w:r>
      <w:r>
        <w:rPr/>
        <ve:AlternateContent>
          <ve:Choice Requires="wps">
            <w:drawing>
              <wp:anchor distT="0" distB="0" distL="0" distR="0" simplePos="0" relativeHeight="487715328" behindDoc="1" locked="0" layoutInCell="1" allowOverlap="1">
                <wp:simplePos x="0" y="0"/>
                <wp:positionH relativeFrom="page">
                  <wp:posOffset>5910446</wp:posOffset>
                </wp:positionH>
                <wp:positionV relativeFrom="paragraph">
                  <wp:posOffset>83645</wp:posOffset>
                </wp:positionV>
                <wp:extent cx="702310" cy="1270"/>
                <wp:effectExtent l="0" t="0" r="0" b="0"/>
                <wp:wrapTopAndBottom/>
                <wp:docPr id="591" name="Graphic 591"/>
                <wp:cNvGraphicFramePr>
                  <a:graphicFrameLocks/>
                </wp:cNvGraphicFramePr>
                <a:graphic>
                  <a:graphicData uri="http://schemas.microsoft.com/office/word/2010/wordprocessingShape">
                    <wps:wsp>
                      <wps:cNvPr id="591" name="Graphic 591"/>
                      <wps:cNvSpPr/>
                      <wps:spPr>
                        <a:xfrm>
                          <a:off x="0" y="0"/>
                          <a:ext cx="702310" cy="1270"/>
                        </a:xfrm>
                        <a:custGeom>
                          <a:avLst/>
                          <a:gdLst/>
                          <a:ahLst/>
                          <a:cxnLst/>
                          <a:rect l="l" t="t" r="r" b="b"/>
                          <a:pathLst>
                            <a:path w="702310" h="0">
                              <a:moveTo>
                                <a:pt x="0" y="0"/>
                              </a:moveTo>
                              <a:lnTo>
                                <a:pt x="702170"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386" style="position:absolute;margin-left:465.389465pt;margin-top:6.586239pt;width:55.3pt;height:.1pt;mso-position-horizontal-relative:page;mso-position-vertical-relative:paragraph;z-index:-15601152;mso-wrap-distance-left:0;mso-wrap-distance-right:0" coordsize="1106,0" coordorigin="9308,132" filled="false" stroked="true" strokecolor="#000000" strokeweight=".720821pt" path="m9308,132l10414,132e">
                <v:path arrowok="t"/>
                <v:stroke dashstyle="solid"/>
                <w10:wrap type="topAndBottom"/>
              </v:shape>
            </w:pict>
          </ve:Fallback>
        </ve:AlternateContent>
      </w:r>
    </w:p>
    <w:p>
      <w:pPr>
        <w:pStyle w:val="Heading3"/>
        <w:tabs>
          <w:tab w:val="left" w:leader="none" w:pos="2921"/>
          <w:tab w:val="left" w:leader="none" w:pos="9695"/>
        </w:tabs>
        <w:ind w:left="1826"/>
      </w:pPr>
      <w:r>
        <w:rPr>
          <w:color w:val="070707"/>
          <w:spacing w:val="-2"/>
        </w:rPr>
        <w:t>5,358</w:t>
      </w:r>
      <w:r>
        <w:rPr>
          <w:color w:val="070707"/>
        </w:rPr>
        <w:tab/>
        <w:t>Balance</w:t>
      </w:r>
      <w:r>
        <w:rPr>
          <w:color w:val="070707"/>
          <w:spacing w:val="11"/>
        </w:rPr>
        <w:t> </w:t>
      </w:r>
      <w:r>
        <w:rPr>
          <w:color w:val="070707"/>
        </w:rPr>
        <w:t>as</w:t>
      </w:r>
      <w:r>
        <w:rPr>
          <w:color w:val="070707"/>
          <w:spacing w:val="6"/>
        </w:rPr>
        <w:t> </w:t>
      </w:r>
      <w:r>
        <w:rPr>
          <w:color w:val="070707"/>
        </w:rPr>
        <w:t>at</w:t>
      </w:r>
      <w:r>
        <w:rPr>
          <w:color w:val="070707"/>
          <w:spacing w:val="-4"/>
        </w:rPr>
        <w:t> </w:t>
      </w:r>
      <w:r>
        <w:rPr>
          <w:color w:val="070707"/>
        </w:rPr>
        <w:t>31</w:t>
      </w:r>
      <w:r>
        <w:rPr>
          <w:color w:val="070707"/>
          <w:spacing w:val="-5"/>
        </w:rPr>
        <w:t> </w:t>
      </w:r>
      <w:r>
        <w:rPr>
          <w:color w:val="070707"/>
          <w:spacing w:val="-2"/>
        </w:rPr>
        <w:t>March</w:t>
      </w:r>
      <w:r>
        <w:rPr>
          <w:color w:val="070707"/>
        </w:rPr>
        <w:tab/>
      </w:r>
      <w:r>
        <w:rPr>
          <w:color w:val="070707"/>
          <w:spacing w:val="-2"/>
          <w:position w:val="1"/>
        </w:rPr>
        <w:t>(1,792)</w:t>
      </w:r>
    </w:p>
    <w:p>
      <w:pPr>
        <w:pStyle w:val="BodyText"/>
        <w:rPr>
          <w:b/>
          <w:sz w:val="20"/>
        </w:rPr>
      </w:pPr>
    </w:p>
    <w:p>
      <w:pPr>
        <w:pStyle w:val="BodyText"/>
        <w:spacing w:before="77"/>
        <w:rPr>
          <w:b/>
          <w:sz w:val="20"/>
        </w:rPr>
      </w:pPr>
      <w:r>
        <w:rPr/>
        <ve:AlternateContent>
          <ve:Choice Requires="wps">
            <w:drawing>
              <wp:anchor distT="0" distB="0" distL="0" distR="0" simplePos="0" relativeHeight="487715840" behindDoc="1" locked="0" layoutInCell="1" allowOverlap="1">
                <wp:simplePos x="0" y="0"/>
                <wp:positionH relativeFrom="page">
                  <wp:posOffset>757123</wp:posOffset>
                </wp:positionH>
                <wp:positionV relativeFrom="paragraph">
                  <wp:posOffset>213350</wp:posOffset>
                </wp:positionV>
                <wp:extent cx="830580" cy="1270"/>
                <wp:effectExtent l="0" t="0" r="0" b="0"/>
                <wp:wrapTopAndBottom/>
                <wp:docPr id="592" name="Graphic 592"/>
                <wp:cNvGraphicFramePr>
                  <a:graphicFrameLocks/>
                </wp:cNvGraphicFramePr>
                <a:graphic>
                  <a:graphicData uri="http://schemas.microsoft.com/office/word/2010/wordprocessingShape">
                    <wps:wsp>
                      <wps:cNvPr id="592" name="Graphic 592"/>
                      <wps:cNvSpPr/>
                      <wps:spPr>
                        <a:xfrm>
                          <a:off x="0" y="0"/>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387" style="position:absolute;margin-left:59.616009pt;margin-top:16.799286pt;width:65.4pt;height:.1pt;mso-position-horizontal-relative:page;mso-position-vertical-relative:paragraph;z-index:-15600640;mso-wrap-distance-left:0;mso-wrap-distance-right:0" coordsize="1308,0" coordorigin="1192,336" filled="false" stroked="true" strokecolor="#000000" strokeweight=".720821pt" path="m1192,336l2500,336e">
                <v:path arrowok="t"/>
                <v:stroke dashstyle="solid"/>
                <w10:wrap type="topAndBottom"/>
              </v:shape>
            </w:pict>
          </ve:Fallback>
        </ve:AlternateContent>
      </w:r>
      <w:r>
        <w:rPr/>
        <ve:AlternateContent>
          <ve:Choice Requires="wps">
            <w:drawing>
              <wp:anchor distT="0" distB="0" distL="0" distR="0" simplePos="0" relativeHeight="487716352" behindDoc="1" locked="0" layoutInCell="1" allowOverlap="1">
                <wp:simplePos x="0" y="0"/>
                <wp:positionH relativeFrom="page">
                  <wp:posOffset>5849387</wp:posOffset>
                </wp:positionH>
                <wp:positionV relativeFrom="paragraph">
                  <wp:posOffset>210299</wp:posOffset>
                </wp:positionV>
                <wp:extent cx="830580" cy="1270"/>
                <wp:effectExtent l="0" t="0" r="0" b="0"/>
                <wp:wrapTopAndBottom/>
                <wp:docPr id="593" name="Graphic 593"/>
                <wp:cNvGraphicFramePr>
                  <a:graphicFrameLocks/>
                </wp:cNvGraphicFramePr>
                <a:graphic>
                  <a:graphicData uri="http://schemas.microsoft.com/office/word/2010/wordprocessingShape">
                    <wps:wsp>
                      <wps:cNvPr id="593" name="Graphic 593"/>
                      <wps:cNvSpPr/>
                      <wps:spPr>
                        <a:xfrm>
                          <a:off x="0" y="0"/>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388" style="position:absolute;margin-left:460.581726pt;margin-top:16.559011pt;width:65.4pt;height:.1pt;mso-position-horizontal-relative:page;mso-position-vertical-relative:paragraph;z-index:-15600128;mso-wrap-distance-left:0;mso-wrap-distance-right:0" coordsize="1308,0" coordorigin="9212,331" filled="false" stroked="true" strokecolor="#000000" strokeweight=".720821pt" path="m9212,331l10519,331e">
                <v:path arrowok="t"/>
                <v:stroke dashstyle="solid"/>
                <w10:wrap type="topAndBottom"/>
              </v:shape>
            </w:pict>
          </ve:Fallback>
        </ve:AlternateContent>
      </w:r>
    </w:p>
    <w:p>
      <w:pPr>
        <w:tabs>
          <w:tab w:val="left" w:leader="none" w:pos="1817"/>
          <w:tab w:val="left" w:leader="none" w:pos="2918"/>
          <w:tab w:val="left" w:leader="none" w:pos="9192"/>
          <w:tab w:val="left" w:leader="none" w:pos="9690"/>
        </w:tabs>
        <w:spacing w:before="31"/>
        <w:ind w:left="1173" w:right="0" w:firstLine="0"/>
        <w:jc w:val="left"/>
        <w:rPr>
          <w:b/>
          <w:sz w:val="22"/>
        </w:rPr>
      </w:pPr>
      <w:r>
        <w:rPr>
          <w:b/>
          <w:color w:val="070707"/>
          <w:sz w:val="22"/>
          <w:u w:val="single" w:color="000000"/>
        </w:rPr>
        <w:tab/>
        <w:t>5,135</w:t>
      </w:r>
      <w:r>
        <w:rPr>
          <w:b/>
          <w:color w:val="070707"/>
          <w:spacing w:val="40"/>
          <w:sz w:val="22"/>
          <w:u w:val="single" w:color="000000"/>
        </w:rPr>
        <w:t> </w:t>
      </w:r>
      <w:r>
        <w:rPr>
          <w:b/>
          <w:color w:val="070707"/>
          <w:sz w:val="22"/>
          <w:u w:val="none"/>
        </w:rPr>
        <w:tab/>
      </w:r>
      <w:r>
        <w:rPr>
          <w:b/>
          <w:color w:val="070707"/>
          <w:spacing w:val="-2"/>
          <w:sz w:val="22"/>
          <w:u w:val="none"/>
        </w:rPr>
        <w:t>Total</w:t>
      </w:r>
      <w:r>
        <w:rPr>
          <w:b/>
          <w:color w:val="070707"/>
          <w:sz w:val="22"/>
          <w:u w:val="none"/>
        </w:rPr>
        <w:tab/>
      </w:r>
      <w:r>
        <w:rPr>
          <w:b/>
          <w:color w:val="070707"/>
          <w:position w:val="1"/>
          <w:sz w:val="22"/>
          <w:u w:val="single" w:color="000000"/>
        </w:rPr>
        <w:tab/>
      </w:r>
      <w:r>
        <w:rPr>
          <w:b/>
          <w:color w:val="070707"/>
          <w:spacing w:val="-2"/>
          <w:position w:val="1"/>
          <w:sz w:val="22"/>
          <w:u w:val="single" w:color="000000"/>
        </w:rPr>
        <w:t>(1,834)</w:t>
      </w:r>
      <w:r>
        <w:rPr>
          <w:b/>
          <w:color w:val="070707"/>
          <w:spacing w:val="80"/>
          <w:position w:val="1"/>
          <w:sz w:val="22"/>
          <w:u w:val="single" w:color="000000"/>
        </w:rPr>
        <w:t> </w:t>
      </w:r>
    </w:p>
    <w:p>
      <w:pPr>
        <w:spacing w:after="0"/>
        <w:jc w:val="left"/>
        <w:rPr>
          <w:sz w:val="22"/>
        </w:rPr>
        <w:sectPr>
          <w:headerReference w:type="even" r:id="rId222"/>
          <w:pgSz w:w="11910" w:h="16830"/>
          <w:pgMar w:top="780" w:right="340" w:bottom="920" w:left="0" w:header="0" w:footer="0"/>
        </w:sectPr>
      </w:pPr>
    </w:p>
    <w:p>
      <w:pPr>
        <w:tabs>
          <w:tab w:val="left" w:leader="none" w:pos="1907"/>
        </w:tabs>
        <w:spacing w:before="80"/>
        <w:ind w:left="1196" w:right="0" w:firstLine="0"/>
        <w:jc w:val="left"/>
        <w:rPr>
          <w:sz w:val="14"/>
        </w:rPr>
      </w:pPr>
      <w:r>
        <w:rPr>
          <w:color w:val="6D6D6D"/>
          <w:spacing w:val="-10"/>
          <w:sz w:val="14"/>
        </w:rPr>
        <w:t>5</w:t>
      </w:r>
      <w:r>
        <w:rPr>
          <w:color w:val="6D6D6D"/>
          <w:sz w:val="14"/>
        </w:rPr>
        <w:tab/>
        <w:t>NOTES</w:t>
      </w:r>
      <w:r>
        <w:rPr>
          <w:color w:val="6D6D6D"/>
          <w:spacing w:val="73"/>
          <w:sz w:val="14"/>
        </w:rPr>
        <w:t> </w:t>
      </w:r>
      <w:r>
        <w:rPr>
          <w:color w:val="7C7C7C"/>
          <w:sz w:val="19"/>
        </w:rPr>
        <w:t>re</w:t>
      </w:r>
      <w:r>
        <w:rPr>
          <w:color w:val="7C7C7C"/>
          <w:spacing w:val="33"/>
          <w:sz w:val="19"/>
        </w:rPr>
        <w:t> </w:t>
      </w:r>
      <w:r>
        <w:rPr>
          <w:color w:val="6D6D6D"/>
          <w:sz w:val="14"/>
        </w:rPr>
        <w:t>THc</w:t>
      </w:r>
      <w:r>
        <w:rPr>
          <w:color w:val="6D6D6D"/>
          <w:spacing w:val="61"/>
          <w:w w:val="150"/>
          <w:sz w:val="14"/>
        </w:rPr>
        <w:t> </w:t>
      </w:r>
      <w:r>
        <w:rPr>
          <w:color w:val="6D6D6D"/>
          <w:spacing w:val="-2"/>
          <w:sz w:val="14"/>
        </w:rPr>
        <w:t>,;,,:::COU1'&lt;TS</w:t>
      </w:r>
    </w:p>
    <w:p>
      <w:pPr>
        <w:pStyle w:val="BodyText"/>
        <w:spacing w:before="68"/>
        <w:rPr>
          <w:sz w:val="14"/>
        </w:rPr>
      </w:pPr>
    </w:p>
    <w:p>
      <w:pPr>
        <w:pStyle w:val="Heading3"/>
        <w:numPr>
          <w:ilvl w:val="2"/>
          <w:numId w:val="23"/>
        </w:numPr>
        <w:tabs>
          <w:tab w:val="left" w:leader="none" w:pos="2094"/>
        </w:tabs>
        <w:spacing w:before="0" w:after="0" w:line="240" w:lineRule="auto"/>
        <w:ind w:left="2094" w:right="0" w:hanging="907"/>
        <w:jc w:val="left"/>
        <w:rPr>
          <w:color w:val="565656"/>
        </w:rPr>
      </w:pPr>
      <w:r>
        <w:rPr>
          <w:color w:val="565656"/>
        </w:rPr>
        <w:t>Pension</w:t>
      </w:r>
      <w:r>
        <w:rPr>
          <w:color w:val="565656"/>
          <w:spacing w:val="-6"/>
        </w:rPr>
        <w:t> </w:t>
      </w:r>
      <w:r>
        <w:rPr>
          <w:color w:val="565656"/>
          <w:spacing w:val="-2"/>
        </w:rPr>
        <w:t>Reserve</w:t>
      </w:r>
    </w:p>
    <w:p>
      <w:pPr>
        <w:pStyle w:val="BodyText"/>
        <w:spacing w:before="247"/>
        <w:ind w:left="1182" w:right="917" w:hanging="1"/>
        <w:jc w:val="both"/>
      </w:pPr>
      <w:r>
        <w:rPr>
          <w:color w:val="0C0C0C"/>
        </w:rPr>
        <w:t>The Pension Reserve absorbs the timing differences arising from the d</w:t>
      </w:r>
      <w:r>
        <w:rPr>
          <w:color w:val="363636"/>
        </w:rPr>
        <w:t>ifferent </w:t>
      </w:r>
      <w:r>
        <w:rPr>
          <w:color w:val="0C0C0C"/>
        </w:rPr>
        <w:t>arrangements for accounting for </w:t>
      </w:r>
      <w:r>
        <w:rPr>
          <w:color w:val="1F1F1F"/>
        </w:rPr>
        <w:t>post-employment </w:t>
      </w:r>
      <w:r>
        <w:rPr>
          <w:color w:val="0C0C0C"/>
        </w:rPr>
        <w:t>benefits and </w:t>
      </w:r>
      <w:r>
        <w:rPr>
          <w:color w:val="1F1F1F"/>
        </w:rPr>
        <w:t>for </w:t>
      </w:r>
      <w:r>
        <w:rPr>
          <w:color w:val="0C0C0C"/>
        </w:rPr>
        <w:t>funding benefits in accordance with </w:t>
      </w:r>
      <w:r>
        <w:rPr>
          <w:color w:val="1F1F1F"/>
        </w:rPr>
        <w:t>statutory </w:t>
      </w:r>
      <w:r>
        <w:rPr>
          <w:color w:val="0C0C0C"/>
          <w:spacing w:val="-2"/>
        </w:rPr>
        <w:t>provisions</w:t>
      </w:r>
      <w:r>
        <w:rPr>
          <w:color w:val="565656"/>
          <w:spacing w:val="-2"/>
        </w:rPr>
        <w:t>.</w:t>
      </w:r>
    </w:p>
    <w:p>
      <w:pPr>
        <w:pStyle w:val="BodyText"/>
        <w:spacing w:before="250" w:line="242" w:lineRule="auto"/>
        <w:ind w:left="1185" w:right="897" w:firstLine="1"/>
        <w:jc w:val="both"/>
      </w:pPr>
      <w:r>
        <w:rPr>
          <w:color w:val="1F1F1F"/>
        </w:rPr>
        <w:t>The</w:t>
      </w:r>
      <w:r>
        <w:rPr>
          <w:color w:val="1F1F1F"/>
          <w:spacing w:val="-16"/>
        </w:rPr>
        <w:t> </w:t>
      </w:r>
      <w:r>
        <w:rPr>
          <w:color w:val="1F1F1F"/>
        </w:rPr>
        <w:t>council</w:t>
      </w:r>
      <w:r>
        <w:rPr>
          <w:color w:val="1F1F1F"/>
          <w:spacing w:val="-15"/>
        </w:rPr>
        <w:t> </w:t>
      </w:r>
      <w:r>
        <w:rPr>
          <w:color w:val="1F1F1F"/>
        </w:rPr>
        <w:t>accounts</w:t>
      </w:r>
      <w:r>
        <w:rPr>
          <w:color w:val="1F1F1F"/>
          <w:spacing w:val="-15"/>
        </w:rPr>
        <w:t> </w:t>
      </w:r>
      <w:r>
        <w:rPr>
          <w:color w:val="1F1F1F"/>
        </w:rPr>
        <w:t>for</w:t>
      </w:r>
      <w:r>
        <w:rPr>
          <w:color w:val="1F1F1F"/>
          <w:spacing w:val="-16"/>
        </w:rPr>
        <w:t> </w:t>
      </w:r>
      <w:r>
        <w:rPr>
          <w:color w:val="1F1F1F"/>
        </w:rPr>
        <w:t>post-employment</w:t>
      </w:r>
      <w:r>
        <w:rPr>
          <w:color w:val="1F1F1F"/>
          <w:spacing w:val="-15"/>
        </w:rPr>
        <w:t> </w:t>
      </w:r>
      <w:r>
        <w:rPr>
          <w:color w:val="1F1F1F"/>
        </w:rPr>
        <w:t>benefits</w:t>
      </w:r>
      <w:r>
        <w:rPr>
          <w:color w:val="1F1F1F"/>
          <w:spacing w:val="-15"/>
        </w:rPr>
        <w:t> </w:t>
      </w:r>
      <w:r>
        <w:rPr>
          <w:color w:val="1F1F1F"/>
        </w:rPr>
        <w:t>in</w:t>
      </w:r>
      <w:r>
        <w:rPr>
          <w:color w:val="1F1F1F"/>
          <w:spacing w:val="-15"/>
        </w:rPr>
        <w:t> </w:t>
      </w:r>
      <w:r>
        <w:rPr>
          <w:color w:val="1F1F1F"/>
        </w:rPr>
        <w:t>the</w:t>
      </w:r>
      <w:r>
        <w:rPr>
          <w:color w:val="1F1F1F"/>
          <w:spacing w:val="-16"/>
        </w:rPr>
        <w:t> </w:t>
      </w:r>
      <w:r>
        <w:rPr>
          <w:color w:val="1F1F1F"/>
        </w:rPr>
        <w:t>Comprehensive</w:t>
      </w:r>
      <w:r>
        <w:rPr>
          <w:color w:val="1F1F1F"/>
          <w:spacing w:val="-15"/>
        </w:rPr>
        <w:t> </w:t>
      </w:r>
      <w:r>
        <w:rPr>
          <w:color w:val="1F1F1F"/>
        </w:rPr>
        <w:t>Income</w:t>
      </w:r>
      <w:r>
        <w:rPr>
          <w:color w:val="1F1F1F"/>
          <w:spacing w:val="-12"/>
        </w:rPr>
        <w:t> </w:t>
      </w:r>
      <w:r>
        <w:rPr>
          <w:color w:val="1F1F1F"/>
        </w:rPr>
        <w:t>and</w:t>
      </w:r>
      <w:r>
        <w:rPr>
          <w:color w:val="1F1F1F"/>
          <w:spacing w:val="-16"/>
        </w:rPr>
        <w:t> </w:t>
      </w:r>
      <w:r>
        <w:rPr>
          <w:color w:val="1F1F1F"/>
        </w:rPr>
        <w:t>Expenditure Statement as the benefits are earned by employees accruing years of service</w:t>
      </w:r>
      <w:r>
        <w:rPr>
          <w:color w:val="565656"/>
        </w:rPr>
        <w:t>, </w:t>
      </w:r>
      <w:r>
        <w:rPr>
          <w:color w:val="1F1F1F"/>
        </w:rPr>
        <w:t>updating the liabilities recognised to reflect </w:t>
      </w:r>
      <w:r>
        <w:rPr>
          <w:color w:val="363636"/>
        </w:rPr>
        <w:t>inflatio</w:t>
      </w:r>
      <w:r>
        <w:rPr>
          <w:color w:val="0C0C0C"/>
        </w:rPr>
        <w:t>n</w:t>
      </w:r>
      <w:r>
        <w:rPr>
          <w:color w:val="363636"/>
        </w:rPr>
        <w:t>, </w:t>
      </w:r>
      <w:r>
        <w:rPr>
          <w:color w:val="1F1F1F"/>
        </w:rPr>
        <w:t>changing assumptions, and investment returns on any resources set aside to</w:t>
      </w:r>
      <w:r>
        <w:rPr>
          <w:color w:val="1F1F1F"/>
          <w:spacing w:val="-3"/>
        </w:rPr>
        <w:t> </w:t>
      </w:r>
      <w:r>
        <w:rPr>
          <w:color w:val="1F1F1F"/>
        </w:rPr>
        <w:t>meet the</w:t>
      </w:r>
      <w:r>
        <w:rPr>
          <w:color w:val="1F1F1F"/>
          <w:spacing w:val="-7"/>
        </w:rPr>
        <w:t> </w:t>
      </w:r>
      <w:r>
        <w:rPr>
          <w:color w:val="1F1F1F"/>
        </w:rPr>
        <w:t>costs</w:t>
      </w:r>
      <w:r>
        <w:rPr>
          <w:color w:val="6D6D6D"/>
        </w:rPr>
        <w:t>.</w:t>
      </w:r>
      <w:r>
        <w:rPr>
          <w:color w:val="6D6D6D"/>
          <w:spacing w:val="40"/>
        </w:rPr>
        <w:t> </w:t>
      </w:r>
      <w:r>
        <w:rPr>
          <w:color w:val="1F1F1F"/>
        </w:rPr>
        <w:t>However</w:t>
      </w:r>
      <w:r>
        <w:rPr>
          <w:color w:val="565656"/>
        </w:rPr>
        <w:t>,</w:t>
      </w:r>
      <w:r>
        <w:rPr>
          <w:color w:val="565656"/>
          <w:spacing w:val="-12"/>
        </w:rPr>
        <w:t> </w:t>
      </w:r>
      <w:r>
        <w:rPr>
          <w:color w:val="1F1F1F"/>
        </w:rPr>
        <w:t>statutory arrangements require benefits earned to be financed as the Council makes employer</w:t>
      </w:r>
      <w:r>
        <w:rPr>
          <w:color w:val="565656"/>
        </w:rPr>
        <w:t>'</w:t>
      </w:r>
      <w:r>
        <w:rPr>
          <w:color w:val="1F1F1F"/>
        </w:rPr>
        <w:t>s contributions to the Hertfordshire Local </w:t>
      </w:r>
      <w:r>
        <w:rPr>
          <w:color w:val="0C0C0C"/>
        </w:rPr>
        <w:t>Government Pension Scheme.</w:t>
      </w:r>
    </w:p>
    <w:p>
      <w:pPr>
        <w:pStyle w:val="BodyText"/>
        <w:spacing w:before="245"/>
        <w:ind w:left="1192" w:right="872"/>
        <w:jc w:val="both"/>
      </w:pPr>
      <w:r>
        <w:rPr>
          <w:color w:val="1F1F1F"/>
        </w:rPr>
        <w:t>The debit balance </w:t>
      </w:r>
      <w:r>
        <w:rPr>
          <w:color w:val="0C0C0C"/>
        </w:rPr>
        <w:t>on</w:t>
      </w:r>
      <w:r>
        <w:rPr>
          <w:color w:val="0C0C0C"/>
          <w:spacing w:val="-12"/>
        </w:rPr>
        <w:t> </w:t>
      </w:r>
      <w:r>
        <w:rPr>
          <w:color w:val="1F1F1F"/>
        </w:rPr>
        <w:t>the</w:t>
      </w:r>
      <w:r>
        <w:rPr>
          <w:color w:val="1F1F1F"/>
          <w:spacing w:val="-7"/>
        </w:rPr>
        <w:t> </w:t>
      </w:r>
      <w:r>
        <w:rPr>
          <w:color w:val="1F1F1F"/>
        </w:rPr>
        <w:t>Pensions Reserve therefore shows a</w:t>
      </w:r>
      <w:r>
        <w:rPr>
          <w:color w:val="1F1F1F"/>
          <w:spacing w:val="-6"/>
        </w:rPr>
        <w:t> </w:t>
      </w:r>
      <w:r>
        <w:rPr>
          <w:color w:val="1F1F1F"/>
        </w:rPr>
        <w:t>substantial shortfall in</w:t>
      </w:r>
      <w:r>
        <w:rPr>
          <w:color w:val="1F1F1F"/>
          <w:spacing w:val="-10"/>
        </w:rPr>
        <w:t> </w:t>
      </w:r>
      <w:r>
        <w:rPr>
          <w:color w:val="1F1F1F"/>
        </w:rPr>
        <w:t>the</w:t>
      </w:r>
      <w:r>
        <w:rPr>
          <w:color w:val="1F1F1F"/>
          <w:spacing w:val="-9"/>
        </w:rPr>
        <w:t> </w:t>
      </w:r>
      <w:r>
        <w:rPr>
          <w:color w:val="1F1F1F"/>
        </w:rPr>
        <w:t>benefits earned by</w:t>
      </w:r>
      <w:r>
        <w:rPr>
          <w:color w:val="1F1F1F"/>
          <w:spacing w:val="-4"/>
        </w:rPr>
        <w:t> </w:t>
      </w:r>
      <w:r>
        <w:rPr>
          <w:color w:val="1F1F1F"/>
        </w:rPr>
        <w:t>past and</w:t>
      </w:r>
      <w:r>
        <w:rPr>
          <w:color w:val="1F1F1F"/>
          <w:spacing w:val="-10"/>
        </w:rPr>
        <w:t> </w:t>
      </w:r>
      <w:r>
        <w:rPr>
          <w:color w:val="1F1F1F"/>
        </w:rPr>
        <w:t>current employees and</w:t>
      </w:r>
      <w:r>
        <w:rPr>
          <w:color w:val="1F1F1F"/>
          <w:spacing w:val="-10"/>
        </w:rPr>
        <w:t> </w:t>
      </w:r>
      <w:r>
        <w:rPr>
          <w:color w:val="1F1F1F"/>
        </w:rPr>
        <w:t>the</w:t>
      </w:r>
      <w:r>
        <w:rPr>
          <w:color w:val="1F1F1F"/>
          <w:spacing w:val="-10"/>
        </w:rPr>
        <w:t> </w:t>
      </w:r>
      <w:r>
        <w:rPr>
          <w:color w:val="1F1F1F"/>
        </w:rPr>
        <w:t>resources</w:t>
      </w:r>
      <w:r>
        <w:rPr>
          <w:color w:val="1F1F1F"/>
          <w:spacing w:val="-2"/>
        </w:rPr>
        <w:t> </w:t>
      </w:r>
      <w:r>
        <w:rPr>
          <w:color w:val="1F1F1F"/>
        </w:rPr>
        <w:t>the</w:t>
      </w:r>
      <w:r>
        <w:rPr>
          <w:color w:val="1F1F1F"/>
          <w:spacing w:val="-2"/>
        </w:rPr>
        <w:t> </w:t>
      </w:r>
      <w:r>
        <w:rPr>
          <w:color w:val="1F1F1F"/>
        </w:rPr>
        <w:t>Council</w:t>
      </w:r>
      <w:r>
        <w:rPr>
          <w:color w:val="1F1F1F"/>
          <w:spacing w:val="-2"/>
        </w:rPr>
        <w:t> </w:t>
      </w:r>
      <w:r>
        <w:rPr>
          <w:color w:val="1F1F1F"/>
        </w:rPr>
        <w:t>has</w:t>
      </w:r>
      <w:r>
        <w:rPr>
          <w:color w:val="1F1F1F"/>
          <w:spacing w:val="-7"/>
        </w:rPr>
        <w:t> </w:t>
      </w:r>
      <w:r>
        <w:rPr>
          <w:color w:val="1F1F1F"/>
        </w:rPr>
        <w:t>set aside to</w:t>
      </w:r>
      <w:r>
        <w:rPr>
          <w:color w:val="1F1F1F"/>
          <w:spacing w:val="-11"/>
        </w:rPr>
        <w:t> </w:t>
      </w:r>
      <w:r>
        <w:rPr>
          <w:color w:val="1F1F1F"/>
        </w:rPr>
        <w:t>meet</w:t>
      </w:r>
      <w:r>
        <w:rPr>
          <w:color w:val="1F1F1F"/>
          <w:spacing w:val="-9"/>
        </w:rPr>
        <w:t> </w:t>
      </w:r>
      <w:r>
        <w:rPr>
          <w:color w:val="1F1F1F"/>
        </w:rPr>
        <w:t>them</w:t>
      </w:r>
      <w:r>
        <w:rPr>
          <w:color w:val="565656"/>
        </w:rPr>
        <w:t>. </w:t>
      </w:r>
      <w:r>
        <w:rPr>
          <w:color w:val="1F1F1F"/>
        </w:rPr>
        <w:t>The statutory arrangements will ensure that funding will have been set aside by the time the benefits</w:t>
      </w:r>
      <w:r>
        <w:rPr>
          <w:color w:val="1F1F1F"/>
          <w:spacing w:val="-1"/>
        </w:rPr>
        <w:t> </w:t>
      </w:r>
      <w:r>
        <w:rPr>
          <w:color w:val="1F1F1F"/>
        </w:rPr>
        <w:t>come</w:t>
      </w:r>
      <w:r>
        <w:rPr>
          <w:color w:val="1F1F1F"/>
          <w:spacing w:val="-6"/>
        </w:rPr>
        <w:t> </w:t>
      </w:r>
      <w:r>
        <w:rPr>
          <w:color w:val="1F1F1F"/>
        </w:rPr>
        <w:t>to</w:t>
      </w:r>
      <w:r>
        <w:rPr>
          <w:color w:val="1F1F1F"/>
          <w:spacing w:val="-10"/>
        </w:rPr>
        <w:t> </w:t>
      </w:r>
      <w:r>
        <w:rPr>
          <w:color w:val="1F1F1F"/>
        </w:rPr>
        <w:t>be</w:t>
      </w:r>
      <w:r>
        <w:rPr>
          <w:color w:val="1F1F1F"/>
          <w:spacing w:val="-11"/>
        </w:rPr>
        <w:t> </w:t>
      </w:r>
      <w:r>
        <w:rPr>
          <w:color w:val="1F1F1F"/>
        </w:rPr>
        <w:t>paid.</w:t>
      </w:r>
      <w:r>
        <w:rPr>
          <w:color w:val="1F1F1F"/>
          <w:spacing w:val="-2"/>
        </w:rPr>
        <w:t> </w:t>
      </w:r>
      <w:r>
        <w:rPr>
          <w:color w:val="1F1F1F"/>
        </w:rPr>
        <w:t>A</w:t>
      </w:r>
      <w:r>
        <w:rPr>
          <w:color w:val="1F1F1F"/>
          <w:spacing w:val="-5"/>
        </w:rPr>
        <w:t> </w:t>
      </w:r>
      <w:r>
        <w:rPr>
          <w:color w:val="1F1F1F"/>
        </w:rPr>
        <w:t>summary of</w:t>
      </w:r>
      <w:r>
        <w:rPr>
          <w:color w:val="1F1F1F"/>
          <w:spacing w:val="-8"/>
        </w:rPr>
        <w:t> </w:t>
      </w:r>
      <w:r>
        <w:rPr>
          <w:color w:val="1F1F1F"/>
        </w:rPr>
        <w:t>the</w:t>
      </w:r>
      <w:r>
        <w:rPr>
          <w:color w:val="1F1F1F"/>
          <w:spacing w:val="-14"/>
        </w:rPr>
        <w:t> </w:t>
      </w:r>
      <w:r>
        <w:rPr>
          <w:color w:val="1F1F1F"/>
        </w:rPr>
        <w:t>movement in</w:t>
      </w:r>
      <w:r>
        <w:rPr>
          <w:color w:val="1F1F1F"/>
          <w:spacing w:val="-18"/>
        </w:rPr>
        <w:t> </w:t>
      </w:r>
      <w:r>
        <w:rPr>
          <w:color w:val="1F1F1F"/>
        </w:rPr>
        <w:t>the</w:t>
      </w:r>
      <w:r>
        <w:rPr>
          <w:color w:val="1F1F1F"/>
          <w:spacing w:val="-14"/>
        </w:rPr>
        <w:t> </w:t>
      </w:r>
      <w:r>
        <w:rPr>
          <w:color w:val="1F1F1F"/>
        </w:rPr>
        <w:t>reserve</w:t>
      </w:r>
      <w:r>
        <w:rPr>
          <w:color w:val="1F1F1F"/>
          <w:spacing w:val="-3"/>
        </w:rPr>
        <w:t> </w:t>
      </w:r>
      <w:r>
        <w:rPr>
          <w:color w:val="1F1F1F"/>
        </w:rPr>
        <w:t>during</w:t>
      </w:r>
      <w:r>
        <w:rPr>
          <w:color w:val="1F1F1F"/>
          <w:spacing w:val="-3"/>
        </w:rPr>
        <w:t> </w:t>
      </w:r>
      <w:r>
        <w:rPr>
          <w:color w:val="1F1F1F"/>
        </w:rPr>
        <w:t>the</w:t>
      </w:r>
      <w:r>
        <w:rPr>
          <w:color w:val="1F1F1F"/>
          <w:spacing w:val="-8"/>
        </w:rPr>
        <w:t> </w:t>
      </w:r>
      <w:r>
        <w:rPr>
          <w:color w:val="1F1F1F"/>
        </w:rPr>
        <w:t>year </w:t>
      </w:r>
      <w:r>
        <w:rPr>
          <w:color w:val="363636"/>
        </w:rPr>
        <w:t>is</w:t>
      </w:r>
      <w:r>
        <w:rPr>
          <w:color w:val="363636"/>
          <w:spacing w:val="-9"/>
        </w:rPr>
        <w:t> </w:t>
      </w:r>
      <w:r>
        <w:rPr>
          <w:color w:val="1F1F1F"/>
        </w:rPr>
        <w:t>as</w:t>
      </w:r>
      <w:r>
        <w:rPr>
          <w:color w:val="1F1F1F"/>
          <w:spacing w:val="-7"/>
        </w:rPr>
        <w:t> </w:t>
      </w:r>
      <w:r>
        <w:rPr>
          <w:color w:val="1F1F1F"/>
        </w:rPr>
        <w:t>follows</w:t>
      </w:r>
      <w:r>
        <w:rPr>
          <w:color w:val="565656"/>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7"/>
      </w:pPr>
    </w:p>
    <w:p>
      <w:pPr>
        <w:pStyle w:val="BodyText"/>
        <w:ind w:left="3155"/>
      </w:pPr>
      <w:r>
        <w:rPr/>
        <ve:AlternateContent>
          <ve:Choice Requires="wps">
            <w:drawing>
              <wp:anchor distT="0" distB="0" distL="0" distR="0" simplePos="0" relativeHeight="15862272" behindDoc="0" locked="0" layoutInCell="1" allowOverlap="1">
                <wp:simplePos x="0" y="0"/>
                <wp:positionH relativeFrom="page">
                  <wp:posOffset>690275</wp:posOffset>
                </wp:positionH>
                <wp:positionV relativeFrom="paragraph">
                  <wp:posOffset>-1227941</wp:posOffset>
                </wp:positionV>
                <wp:extent cx="6333490" cy="2470150"/>
                <wp:effectExtent l="0" t="0" r="0" b="0"/>
                <wp:wrapNone/>
                <wp:docPr id="596" name="Textbox 596"/>
                <wp:cNvGraphicFramePr>
                  <a:graphicFrameLocks/>
                </wp:cNvGraphicFramePr>
                <a:graphic>
                  <a:graphicData uri="http://schemas.microsoft.com/office/word/2010/wordprocessingShape">
                    <wps:wsp>
                      <wps:cNvPr id="596" name="Textbox 596"/>
                      <wps:cNvSpPr txBox="1"/>
                      <wps:spPr>
                        <a:xfrm>
                          <a:off x="0" y="0"/>
                          <a:ext cx="6333490" cy="2470150"/>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517"/>
                              <w:gridCol w:w="1337"/>
                            </w:tblGrid>
                            <w:tr>
                              <w:trPr>
                                <w:trHeight w:val="257" w:hRule="atLeast"/>
                              </w:trPr>
                              <w:tc>
                                <w:tcPr>
                                  <w:tcW w:w="8517" w:type="dxa"/>
                                </w:tcPr>
                                <w:p>
                                  <w:pPr>
                                    <w:pStyle w:val="TableParagraph"/>
                                    <w:spacing w:before="2" w:line="235" w:lineRule="exact"/>
                                    <w:ind w:left="453"/>
                                    <w:rPr>
                                      <w:b/>
                                      <w:sz w:val="22"/>
                                    </w:rPr>
                                  </w:pPr>
                                  <w:r>
                                    <w:rPr>
                                      <w:b/>
                                      <w:color w:val="0C0C0C"/>
                                      <w:spacing w:val="-4"/>
                                      <w:sz w:val="22"/>
                                    </w:rPr>
                                    <w:t>2021-</w:t>
                                  </w:r>
                                  <w:r>
                                    <w:rPr>
                                      <w:b/>
                                      <w:color w:val="0C0C0C"/>
                                      <w:spacing w:val="-5"/>
                                      <w:sz w:val="22"/>
                                    </w:rPr>
                                    <w:t>22</w:t>
                                  </w:r>
                                </w:p>
                              </w:tc>
                              <w:tc>
                                <w:tcPr>
                                  <w:tcW w:w="1337" w:type="dxa"/>
                                </w:tcPr>
                                <w:p>
                                  <w:pPr>
                                    <w:pStyle w:val="TableParagraph"/>
                                    <w:spacing w:line="238" w:lineRule="exact"/>
                                    <w:ind w:left="244"/>
                                    <w:rPr>
                                      <w:b/>
                                      <w:sz w:val="22"/>
                                    </w:rPr>
                                  </w:pPr>
                                  <w:r>
                                    <w:rPr>
                                      <w:b/>
                                      <w:color w:val="0C0C0C"/>
                                      <w:spacing w:val="-4"/>
                                      <w:sz w:val="22"/>
                                    </w:rPr>
                                    <w:t>2022-</w:t>
                                  </w:r>
                                  <w:r>
                                    <w:rPr>
                                      <w:b/>
                                      <w:color w:val="0C0C0C"/>
                                      <w:spacing w:val="-5"/>
                                      <w:sz w:val="22"/>
                                    </w:rPr>
                                    <w:t>23</w:t>
                                  </w:r>
                                </w:p>
                              </w:tc>
                            </w:tr>
                            <w:tr>
                              <w:trPr>
                                <w:trHeight w:val="252" w:hRule="atLeast"/>
                              </w:trPr>
                              <w:tc>
                                <w:tcPr>
                                  <w:tcW w:w="8517" w:type="dxa"/>
                                </w:tcPr>
                                <w:p>
                                  <w:pPr>
                                    <w:pStyle w:val="TableParagraph"/>
                                    <w:spacing w:line="232" w:lineRule="exact"/>
                                    <w:ind w:left="606"/>
                                    <w:rPr>
                                      <w:b/>
                                      <w:sz w:val="22"/>
                                    </w:rPr>
                                  </w:pPr>
                                  <w:r>
                                    <w:rPr>
                                      <w:b/>
                                      <w:color w:val="0C0C0C"/>
                                      <w:spacing w:val="-4"/>
                                      <w:sz w:val="22"/>
                                    </w:rPr>
                                    <w:t>£000</w:t>
                                  </w:r>
                                </w:p>
                              </w:tc>
                              <w:tc>
                                <w:tcPr>
                                  <w:tcW w:w="1337" w:type="dxa"/>
                                </w:tcPr>
                                <w:p>
                                  <w:pPr>
                                    <w:pStyle w:val="TableParagraph"/>
                                    <w:spacing w:line="232" w:lineRule="exact"/>
                                    <w:ind w:left="402"/>
                                    <w:rPr>
                                      <w:b/>
                                      <w:sz w:val="22"/>
                                    </w:rPr>
                                  </w:pPr>
                                  <w:r>
                                    <w:rPr>
                                      <w:b/>
                                      <w:color w:val="0C0C0C"/>
                                      <w:spacing w:val="-4"/>
                                      <w:sz w:val="22"/>
                                    </w:rPr>
                                    <w:t>£000</w:t>
                                  </w:r>
                                </w:p>
                              </w:tc>
                            </w:tr>
                            <w:tr>
                              <w:trPr>
                                <w:trHeight w:val="348" w:hRule="atLeast"/>
                              </w:trPr>
                              <w:tc>
                                <w:tcPr>
                                  <w:tcW w:w="8517" w:type="dxa"/>
                                </w:tcPr>
                                <w:p>
                                  <w:pPr>
                                    <w:pStyle w:val="TableParagraph"/>
                                    <w:tabs>
                                      <w:tab w:val="left" w:leader="none" w:pos="1995"/>
                                    </w:tabs>
                                    <w:spacing w:line="250" w:lineRule="exact"/>
                                    <w:ind w:left="791"/>
                                    <w:rPr>
                                      <w:b/>
                                      <w:sz w:val="22"/>
                                    </w:rPr>
                                  </w:pPr>
                                  <w:r>
                                    <w:rPr>
                                      <w:b/>
                                      <w:color w:val="0C0C0C"/>
                                      <w:spacing w:val="-2"/>
                                      <w:sz w:val="22"/>
                                    </w:rPr>
                                    <w:t>42,943</w:t>
                                  </w:r>
                                  <w:r>
                                    <w:rPr>
                                      <w:b/>
                                      <w:color w:val="0C0C0C"/>
                                      <w:sz w:val="22"/>
                                    </w:rPr>
                                    <w:tab/>
                                    <w:t>Balance</w:t>
                                  </w:r>
                                  <w:r>
                                    <w:rPr>
                                      <w:b/>
                                      <w:color w:val="0C0C0C"/>
                                      <w:spacing w:val="13"/>
                                      <w:sz w:val="22"/>
                                    </w:rPr>
                                    <w:t> </w:t>
                                  </w:r>
                                  <w:r>
                                    <w:rPr>
                                      <w:b/>
                                      <w:color w:val="0C0C0C"/>
                                      <w:sz w:val="22"/>
                                    </w:rPr>
                                    <w:t>as</w:t>
                                  </w:r>
                                  <w:r>
                                    <w:rPr>
                                      <w:b/>
                                      <w:color w:val="0C0C0C"/>
                                      <w:spacing w:val="1"/>
                                      <w:sz w:val="22"/>
                                    </w:rPr>
                                    <w:t> </w:t>
                                  </w:r>
                                  <w:r>
                                    <w:rPr>
                                      <w:b/>
                                      <w:color w:val="0C0C0C"/>
                                      <w:sz w:val="22"/>
                                    </w:rPr>
                                    <w:t>at</w:t>
                                  </w:r>
                                  <w:r>
                                    <w:rPr>
                                      <w:b/>
                                      <w:color w:val="0C0C0C"/>
                                      <w:spacing w:val="-7"/>
                                      <w:sz w:val="22"/>
                                    </w:rPr>
                                    <w:t> </w:t>
                                  </w:r>
                                  <w:r>
                                    <w:rPr>
                                      <w:b/>
                                      <w:color w:val="0C0C0C"/>
                                      <w:sz w:val="22"/>
                                    </w:rPr>
                                    <w:t>1</w:t>
                                  </w:r>
                                  <w:r>
                                    <w:rPr>
                                      <w:b/>
                                      <w:color w:val="0C0C0C"/>
                                      <w:spacing w:val="-10"/>
                                      <w:sz w:val="22"/>
                                    </w:rPr>
                                    <w:t> </w:t>
                                  </w:r>
                                  <w:r>
                                    <w:rPr>
                                      <w:b/>
                                      <w:color w:val="0C0C0C"/>
                                      <w:spacing w:val="-2"/>
                                      <w:sz w:val="22"/>
                                    </w:rPr>
                                    <w:t>April</w:t>
                                  </w:r>
                                </w:p>
                              </w:tc>
                              <w:tc>
                                <w:tcPr>
                                  <w:tcW w:w="1337" w:type="dxa"/>
                                </w:tcPr>
                                <w:p>
                                  <w:pPr>
                                    <w:pStyle w:val="TableParagraph"/>
                                    <w:spacing w:line="246" w:lineRule="exact"/>
                                    <w:ind w:right="213"/>
                                    <w:jc w:val="right"/>
                                    <w:rPr>
                                      <w:b/>
                                      <w:sz w:val="22"/>
                                    </w:rPr>
                                  </w:pPr>
                                  <w:r>
                                    <w:rPr>
                                      <w:b/>
                                      <w:color w:val="0C0C0C"/>
                                      <w:spacing w:val="-2"/>
                                      <w:sz w:val="22"/>
                                    </w:rPr>
                                    <w:t>40,326</w:t>
                                  </w:r>
                                </w:p>
                              </w:tc>
                            </w:tr>
                            <w:tr>
                              <w:trPr>
                                <w:trHeight w:val="461" w:hRule="atLeast"/>
                              </w:trPr>
                              <w:tc>
                                <w:tcPr>
                                  <w:tcW w:w="8517" w:type="dxa"/>
                                </w:tcPr>
                                <w:p>
                                  <w:pPr>
                                    <w:pStyle w:val="TableParagraph"/>
                                    <w:tabs>
                                      <w:tab w:val="left" w:leader="none" w:pos="1994"/>
                                    </w:tabs>
                                    <w:spacing w:before="96"/>
                                    <w:ind w:left="762"/>
                                    <w:rPr>
                                      <w:sz w:val="22"/>
                                    </w:rPr>
                                  </w:pPr>
                                  <w:r>
                                    <w:rPr>
                                      <w:color w:val="0C0C0C"/>
                                      <w:spacing w:val="-2"/>
                                      <w:sz w:val="22"/>
                                    </w:rPr>
                                    <w:t>(5,136)</w:t>
                                  </w:r>
                                  <w:r>
                                    <w:rPr>
                                      <w:color w:val="0C0C0C"/>
                                      <w:sz w:val="22"/>
                                    </w:rPr>
                                    <w:tab/>
                                    <w:t>Re-measurement</w:t>
                                  </w:r>
                                  <w:r>
                                    <w:rPr>
                                      <w:color w:val="0C0C0C"/>
                                      <w:spacing w:val="-8"/>
                                      <w:sz w:val="22"/>
                                    </w:rPr>
                                    <w:t> </w:t>
                                  </w:r>
                                  <w:r>
                                    <w:rPr>
                                      <w:color w:val="0C0C0C"/>
                                      <w:sz w:val="22"/>
                                    </w:rPr>
                                    <w:t>of</w:t>
                                  </w:r>
                                  <w:r>
                                    <w:rPr>
                                      <w:color w:val="0C0C0C"/>
                                      <w:spacing w:val="-8"/>
                                      <w:sz w:val="22"/>
                                    </w:rPr>
                                    <w:t> </w:t>
                                  </w:r>
                                  <w:r>
                                    <w:rPr>
                                      <w:color w:val="0C0C0C"/>
                                      <w:sz w:val="22"/>
                                    </w:rPr>
                                    <w:t>the</w:t>
                                  </w:r>
                                  <w:r>
                                    <w:rPr>
                                      <w:color w:val="0C0C0C"/>
                                      <w:spacing w:val="-12"/>
                                      <w:sz w:val="22"/>
                                    </w:rPr>
                                    <w:t> </w:t>
                                  </w:r>
                                  <w:r>
                                    <w:rPr>
                                      <w:color w:val="0C0C0C"/>
                                      <w:sz w:val="22"/>
                                    </w:rPr>
                                    <w:t>net defined</w:t>
                                  </w:r>
                                  <w:r>
                                    <w:rPr>
                                      <w:color w:val="0C0C0C"/>
                                      <w:spacing w:val="-7"/>
                                      <w:sz w:val="22"/>
                                    </w:rPr>
                                    <w:t> </w:t>
                                  </w:r>
                                  <w:r>
                                    <w:rPr>
                                      <w:color w:val="0C0C0C"/>
                                      <w:sz w:val="22"/>
                                    </w:rPr>
                                    <w:t>pension</w:t>
                                  </w:r>
                                  <w:r>
                                    <w:rPr>
                                      <w:color w:val="0C0C0C"/>
                                      <w:spacing w:val="3"/>
                                      <w:sz w:val="22"/>
                                    </w:rPr>
                                    <w:t> </w:t>
                                  </w:r>
                                  <w:r>
                                    <w:rPr>
                                      <w:color w:val="0C0C0C"/>
                                      <w:sz w:val="22"/>
                                    </w:rPr>
                                    <w:t>liability</w:t>
                                  </w:r>
                                  <w:r>
                                    <w:rPr>
                                      <w:color w:val="0C0C0C"/>
                                      <w:spacing w:val="2"/>
                                      <w:sz w:val="22"/>
                                    </w:rPr>
                                    <w:t> </w:t>
                                  </w:r>
                                  <w:r>
                                    <w:rPr>
                                      <w:color w:val="0C0C0C"/>
                                      <w:sz w:val="22"/>
                                    </w:rPr>
                                    <w:t>(note</w:t>
                                  </w:r>
                                  <w:r>
                                    <w:rPr>
                                      <w:color w:val="0C0C0C"/>
                                      <w:spacing w:val="4"/>
                                      <w:sz w:val="22"/>
                                    </w:rPr>
                                    <w:t> </w:t>
                                  </w:r>
                                  <w:r>
                                    <w:rPr>
                                      <w:color w:val="0C0C0C"/>
                                      <w:spacing w:val="-2"/>
                                      <w:sz w:val="22"/>
                                    </w:rPr>
                                    <w:t>5.29.1)</w:t>
                                  </w:r>
                                </w:p>
                              </w:tc>
                              <w:tc>
                                <w:tcPr>
                                  <w:tcW w:w="1337" w:type="dxa"/>
                                </w:tcPr>
                                <w:p>
                                  <w:pPr>
                                    <w:pStyle w:val="TableParagraph"/>
                                    <w:spacing w:before="91"/>
                                    <w:ind w:right="156"/>
                                    <w:jc w:val="right"/>
                                    <w:rPr>
                                      <w:sz w:val="22"/>
                                    </w:rPr>
                                  </w:pPr>
                                  <w:r>
                                    <w:rPr>
                                      <w:color w:val="0C0C0C"/>
                                      <w:spacing w:val="-2"/>
                                      <w:sz w:val="22"/>
                                    </w:rPr>
                                    <w:t>(32,297)</w:t>
                                  </w:r>
                                </w:p>
                              </w:tc>
                            </w:tr>
                            <w:tr>
                              <w:trPr>
                                <w:trHeight w:val="490" w:hRule="atLeast"/>
                              </w:trPr>
                              <w:tc>
                                <w:tcPr>
                                  <w:tcW w:w="8517" w:type="dxa"/>
                                </w:tcPr>
                                <w:p>
                                  <w:pPr>
                                    <w:pStyle w:val="TableParagraph"/>
                                    <w:spacing w:before="105"/>
                                    <w:ind w:left="2008"/>
                                    <w:rPr>
                                      <w:sz w:val="22"/>
                                    </w:rPr>
                                  </w:pPr>
                                  <w:r>
                                    <w:rPr>
                                      <w:color w:val="1F1F1F"/>
                                      <w:sz w:val="22"/>
                                    </w:rPr>
                                    <w:t>Reversal</w:t>
                                  </w:r>
                                  <w:r>
                                    <w:rPr>
                                      <w:color w:val="1F1F1F"/>
                                      <w:spacing w:val="-3"/>
                                      <w:sz w:val="22"/>
                                    </w:rPr>
                                    <w:t> </w:t>
                                  </w:r>
                                  <w:r>
                                    <w:rPr>
                                      <w:color w:val="1F1F1F"/>
                                      <w:sz w:val="22"/>
                                    </w:rPr>
                                    <w:t>of</w:t>
                                  </w:r>
                                  <w:r>
                                    <w:rPr>
                                      <w:color w:val="1F1F1F"/>
                                      <w:spacing w:val="-9"/>
                                      <w:sz w:val="22"/>
                                    </w:rPr>
                                    <w:t> </w:t>
                                  </w:r>
                                  <w:r>
                                    <w:rPr>
                                      <w:color w:val="0C0C0C"/>
                                      <w:sz w:val="22"/>
                                    </w:rPr>
                                    <w:t>items</w:t>
                                  </w:r>
                                  <w:r>
                                    <w:rPr>
                                      <w:color w:val="0C0C0C"/>
                                      <w:spacing w:val="-5"/>
                                      <w:sz w:val="22"/>
                                    </w:rPr>
                                    <w:t> </w:t>
                                  </w:r>
                                  <w:r>
                                    <w:rPr>
                                      <w:color w:val="1F1F1F"/>
                                      <w:sz w:val="22"/>
                                    </w:rPr>
                                    <w:t>relating</w:t>
                                  </w:r>
                                  <w:r>
                                    <w:rPr>
                                      <w:color w:val="1F1F1F"/>
                                      <w:spacing w:val="-5"/>
                                      <w:sz w:val="22"/>
                                    </w:rPr>
                                    <w:t> </w:t>
                                  </w:r>
                                  <w:r>
                                    <w:rPr>
                                      <w:color w:val="1F1F1F"/>
                                      <w:sz w:val="22"/>
                                    </w:rPr>
                                    <w:t>to</w:t>
                                  </w:r>
                                  <w:r>
                                    <w:rPr>
                                      <w:color w:val="1F1F1F"/>
                                      <w:spacing w:val="-15"/>
                                      <w:sz w:val="22"/>
                                    </w:rPr>
                                    <w:t> </w:t>
                                  </w:r>
                                  <w:r>
                                    <w:rPr>
                                      <w:color w:val="363636"/>
                                      <w:sz w:val="22"/>
                                    </w:rPr>
                                    <w:t>retirement</w:t>
                                  </w:r>
                                  <w:r>
                                    <w:rPr>
                                      <w:color w:val="363636"/>
                                      <w:spacing w:val="7"/>
                                      <w:sz w:val="22"/>
                                    </w:rPr>
                                    <w:t> </w:t>
                                  </w:r>
                                  <w:r>
                                    <w:rPr>
                                      <w:color w:val="1F1F1F"/>
                                      <w:sz w:val="22"/>
                                    </w:rPr>
                                    <w:t>benefits</w:t>
                                  </w:r>
                                  <w:r>
                                    <w:rPr>
                                      <w:color w:val="1F1F1F"/>
                                      <w:spacing w:val="-5"/>
                                      <w:sz w:val="22"/>
                                    </w:rPr>
                                    <w:t> </w:t>
                                  </w:r>
                                  <w:r>
                                    <w:rPr>
                                      <w:color w:val="1F1F1F"/>
                                      <w:sz w:val="22"/>
                                    </w:rPr>
                                    <w:t>debited</w:t>
                                  </w:r>
                                  <w:r>
                                    <w:rPr>
                                      <w:color w:val="1F1F1F"/>
                                      <w:spacing w:val="-4"/>
                                      <w:sz w:val="22"/>
                                    </w:rPr>
                                    <w:t> </w:t>
                                  </w:r>
                                  <w:r>
                                    <w:rPr>
                                      <w:color w:val="1F1F1F"/>
                                      <w:spacing w:val="-5"/>
                                      <w:sz w:val="22"/>
                                    </w:rPr>
                                    <w:t>or</w:t>
                                  </w:r>
                                </w:p>
                              </w:tc>
                              <w:tc>
                                <w:tcPr>
                                  <w:tcW w:w="1337" w:type="dxa"/>
                                </w:tcPr>
                                <w:p>
                                  <w:pPr>
                                    <w:pStyle w:val="TableParagraph"/>
                                    <w:rPr>
                                      <w:rFonts w:ascii="Times New Roman"/>
                                      <w:sz w:val="20"/>
                                    </w:rPr>
                                  </w:pPr>
                                </w:p>
                              </w:tc>
                            </w:tr>
                            <w:tr>
                              <w:trPr>
                                <w:trHeight w:val="651" w:hRule="atLeast"/>
                              </w:trPr>
                              <w:tc>
                                <w:tcPr>
                                  <w:tcW w:w="8517" w:type="dxa"/>
                                </w:tcPr>
                                <w:p>
                                  <w:pPr>
                                    <w:pStyle w:val="TableParagraph"/>
                                    <w:tabs>
                                      <w:tab w:val="left" w:leader="none" w:pos="2007"/>
                                    </w:tabs>
                                    <w:spacing w:line="88" w:lineRule="auto"/>
                                    <w:ind w:left="915"/>
                                    <w:rPr>
                                      <w:sz w:val="22"/>
                                    </w:rPr>
                                  </w:pPr>
                                  <w:r>
                                    <w:rPr>
                                      <w:color w:val="0C0C0C"/>
                                      <w:spacing w:val="-2"/>
                                      <w:position w:val="-12"/>
                                      <w:sz w:val="22"/>
                                    </w:rPr>
                                    <w:t>5,217</w:t>
                                  </w:r>
                                  <w:r>
                                    <w:rPr>
                                      <w:color w:val="0C0C0C"/>
                                      <w:position w:val="-12"/>
                                      <w:sz w:val="22"/>
                                    </w:rPr>
                                    <w:tab/>
                                  </w:r>
                                  <w:r>
                                    <w:rPr>
                                      <w:color w:val="1F1F1F"/>
                                      <w:sz w:val="22"/>
                                    </w:rPr>
                                    <w:t>credited</w:t>
                                  </w:r>
                                  <w:r>
                                    <w:rPr>
                                      <w:color w:val="1F1F1F"/>
                                      <w:spacing w:val="8"/>
                                      <w:sz w:val="22"/>
                                    </w:rPr>
                                    <w:t> </w:t>
                                  </w:r>
                                  <w:r>
                                    <w:rPr>
                                      <w:color w:val="1F1F1F"/>
                                      <w:sz w:val="22"/>
                                    </w:rPr>
                                    <w:t>to</w:t>
                                  </w:r>
                                  <w:r>
                                    <w:rPr>
                                      <w:color w:val="1F1F1F"/>
                                      <w:spacing w:val="-9"/>
                                      <w:sz w:val="22"/>
                                    </w:rPr>
                                    <w:t> </w:t>
                                  </w:r>
                                  <w:r>
                                    <w:rPr>
                                      <w:color w:val="0C0C0C"/>
                                      <w:sz w:val="22"/>
                                    </w:rPr>
                                    <w:t>the</w:t>
                                  </w:r>
                                  <w:r>
                                    <w:rPr>
                                      <w:color w:val="0C0C0C"/>
                                      <w:spacing w:val="2"/>
                                      <w:sz w:val="22"/>
                                    </w:rPr>
                                    <w:t> </w:t>
                                  </w:r>
                                  <w:r>
                                    <w:rPr>
                                      <w:color w:val="1F1F1F"/>
                                      <w:sz w:val="22"/>
                                    </w:rPr>
                                    <w:t>Surplus/</w:t>
                                  </w:r>
                                  <w:r>
                                    <w:rPr>
                                      <w:color w:val="1F1F1F"/>
                                      <w:spacing w:val="11"/>
                                      <w:sz w:val="22"/>
                                    </w:rPr>
                                    <w:t> </w:t>
                                  </w:r>
                                  <w:r>
                                    <w:rPr>
                                      <w:color w:val="363636"/>
                                      <w:sz w:val="22"/>
                                    </w:rPr>
                                    <w:t>(deficit)</w:t>
                                  </w:r>
                                  <w:r>
                                    <w:rPr>
                                      <w:color w:val="363636"/>
                                      <w:spacing w:val="9"/>
                                      <w:sz w:val="22"/>
                                    </w:rPr>
                                    <w:t> </w:t>
                                  </w:r>
                                  <w:r>
                                    <w:rPr>
                                      <w:color w:val="1F1F1F"/>
                                      <w:sz w:val="22"/>
                                    </w:rPr>
                                    <w:t>on</w:t>
                                  </w:r>
                                  <w:r>
                                    <w:rPr>
                                      <w:color w:val="1F1F1F"/>
                                      <w:spacing w:val="-15"/>
                                      <w:sz w:val="22"/>
                                    </w:rPr>
                                    <w:t> </w:t>
                                  </w:r>
                                  <w:r>
                                    <w:rPr>
                                      <w:color w:val="1F1F1F"/>
                                      <w:sz w:val="22"/>
                                    </w:rPr>
                                    <w:t>the</w:t>
                                  </w:r>
                                  <w:r>
                                    <w:rPr>
                                      <w:color w:val="1F1F1F"/>
                                      <w:spacing w:val="-1"/>
                                      <w:sz w:val="22"/>
                                    </w:rPr>
                                    <w:t> </w:t>
                                  </w:r>
                                  <w:r>
                                    <w:rPr>
                                      <w:color w:val="1F1F1F"/>
                                      <w:sz w:val="22"/>
                                    </w:rPr>
                                    <w:t>Provision</w:t>
                                  </w:r>
                                  <w:r>
                                    <w:rPr>
                                      <w:color w:val="1F1F1F"/>
                                      <w:spacing w:val="8"/>
                                      <w:sz w:val="22"/>
                                    </w:rPr>
                                    <w:t> </w:t>
                                  </w:r>
                                  <w:r>
                                    <w:rPr>
                                      <w:color w:val="1F1F1F"/>
                                      <w:sz w:val="22"/>
                                    </w:rPr>
                                    <w:t>of</w:t>
                                  </w:r>
                                  <w:r>
                                    <w:rPr>
                                      <w:color w:val="1F1F1F"/>
                                      <w:spacing w:val="1"/>
                                      <w:sz w:val="22"/>
                                    </w:rPr>
                                    <w:t> </w:t>
                                  </w:r>
                                  <w:r>
                                    <w:rPr>
                                      <w:color w:val="1F1F1F"/>
                                      <w:sz w:val="22"/>
                                    </w:rPr>
                                    <w:t>Services</w:t>
                                  </w:r>
                                  <w:r>
                                    <w:rPr>
                                      <w:color w:val="1F1F1F"/>
                                      <w:spacing w:val="5"/>
                                      <w:sz w:val="22"/>
                                    </w:rPr>
                                    <w:t> </w:t>
                                  </w:r>
                                  <w:r>
                                    <w:rPr>
                                      <w:color w:val="1F1F1F"/>
                                      <w:spacing w:val="-5"/>
                                      <w:sz w:val="22"/>
                                    </w:rPr>
                                    <w:t>in</w:t>
                                  </w:r>
                                </w:p>
                                <w:p>
                                  <w:pPr>
                                    <w:pStyle w:val="TableParagraph"/>
                                    <w:spacing w:before="155" w:line="252" w:lineRule="exact"/>
                                    <w:ind w:left="2002"/>
                                    <w:rPr>
                                      <w:sz w:val="22"/>
                                    </w:rPr>
                                  </w:pPr>
                                  <w:r>
                                    <w:rPr>
                                      <w:color w:val="0C0C0C"/>
                                      <w:sz w:val="22"/>
                                    </w:rPr>
                                    <w:t>5.14</w:t>
                                  </w:r>
                                  <w:r>
                                    <w:rPr>
                                      <w:color w:val="0C0C0C"/>
                                      <w:spacing w:val="3"/>
                                      <w:sz w:val="22"/>
                                    </w:rPr>
                                    <w:t> </w:t>
                                  </w:r>
                                  <w:r>
                                    <w:rPr>
                                      <w:color w:val="1F1F1F"/>
                                      <w:sz w:val="22"/>
                                    </w:rPr>
                                    <w:t>&amp;</w:t>
                                  </w:r>
                                  <w:r>
                                    <w:rPr>
                                      <w:color w:val="1F1F1F"/>
                                      <w:spacing w:val="2"/>
                                      <w:sz w:val="22"/>
                                    </w:rPr>
                                    <w:t> </w:t>
                                  </w:r>
                                  <w:r>
                                    <w:rPr>
                                      <w:color w:val="1F1F1F"/>
                                      <w:spacing w:val="-2"/>
                                      <w:sz w:val="22"/>
                                    </w:rPr>
                                    <w:t>5.29</w:t>
                                  </w:r>
                                  <w:r>
                                    <w:rPr>
                                      <w:color w:val="6D6D6D"/>
                                      <w:spacing w:val="-2"/>
                                      <w:sz w:val="22"/>
                                    </w:rPr>
                                    <w:t>.</w:t>
                                  </w:r>
                                  <w:r>
                                    <w:rPr>
                                      <w:color w:val="1F1F1F"/>
                                      <w:spacing w:val="-2"/>
                                      <w:sz w:val="22"/>
                                    </w:rPr>
                                    <w:t>2)</w:t>
                                  </w:r>
                                </w:p>
                              </w:tc>
                              <w:tc>
                                <w:tcPr>
                                  <w:tcW w:w="1337" w:type="dxa"/>
                                </w:tcPr>
                                <w:p>
                                  <w:pPr>
                                    <w:pStyle w:val="TableParagraph"/>
                                    <w:spacing w:line="248" w:lineRule="exact"/>
                                    <w:ind w:right="201"/>
                                    <w:jc w:val="right"/>
                                    <w:rPr>
                                      <w:sz w:val="22"/>
                                    </w:rPr>
                                  </w:pPr>
                                  <w:r>
                                    <w:rPr>
                                      <w:color w:val="0C0C0C"/>
                                      <w:spacing w:val="-2"/>
                                      <w:sz w:val="22"/>
                                    </w:rPr>
                                    <w:t>5,454</w:t>
                                  </w:r>
                                </w:p>
                              </w:tc>
                            </w:tr>
                            <w:tr>
                              <w:trPr>
                                <w:trHeight w:val="446" w:hRule="atLeast"/>
                              </w:trPr>
                              <w:tc>
                                <w:tcPr>
                                  <w:tcW w:w="8517" w:type="dxa"/>
                                </w:tcPr>
                                <w:p>
                                  <w:pPr>
                                    <w:pStyle w:val="TableParagraph"/>
                                    <w:tabs>
                                      <w:tab w:val="left" w:leader="none" w:pos="1998"/>
                                    </w:tabs>
                                    <w:spacing w:before="21"/>
                                    <w:ind w:left="767"/>
                                    <w:rPr>
                                      <w:sz w:val="22"/>
                                    </w:rPr>
                                  </w:pPr>
                                  <w:r>
                                    <w:rPr>
                                      <w:color w:val="0C0C0C"/>
                                      <w:spacing w:val="-2"/>
                                      <w:sz w:val="22"/>
                                    </w:rPr>
                                    <w:t>(2,698)</w:t>
                                  </w:r>
                                  <w:r>
                                    <w:rPr>
                                      <w:color w:val="0C0C0C"/>
                                      <w:sz w:val="22"/>
                                    </w:rPr>
                                    <w:tab/>
                                    <w:t>Emp</w:t>
                                  </w:r>
                                  <w:r>
                                    <w:rPr>
                                      <w:color w:val="363636"/>
                                      <w:sz w:val="22"/>
                                    </w:rPr>
                                    <w:t>loyers</w:t>
                                  </w:r>
                                  <w:r>
                                    <w:rPr>
                                      <w:color w:val="363636"/>
                                      <w:spacing w:val="-11"/>
                                      <w:sz w:val="22"/>
                                    </w:rPr>
                                    <w:t> </w:t>
                                  </w:r>
                                  <w:r>
                                    <w:rPr>
                                      <w:color w:val="1F1F1F"/>
                                      <w:sz w:val="22"/>
                                    </w:rPr>
                                    <w:t>contribution</w:t>
                                  </w:r>
                                  <w:r>
                                    <w:rPr>
                                      <w:color w:val="1F1F1F"/>
                                      <w:spacing w:val="1"/>
                                      <w:sz w:val="22"/>
                                    </w:rPr>
                                    <w:t> </w:t>
                                  </w:r>
                                  <w:r>
                                    <w:rPr>
                                      <w:color w:val="0C0C0C"/>
                                      <w:sz w:val="22"/>
                                    </w:rPr>
                                    <w:t>payable</w:t>
                                  </w:r>
                                  <w:r>
                                    <w:rPr>
                                      <w:color w:val="0C0C0C"/>
                                      <w:spacing w:val="4"/>
                                      <w:sz w:val="22"/>
                                    </w:rPr>
                                    <w:t> </w:t>
                                  </w:r>
                                  <w:r>
                                    <w:rPr>
                                      <w:color w:val="0C0C0C"/>
                                      <w:sz w:val="22"/>
                                    </w:rPr>
                                    <w:t>to</w:t>
                                  </w:r>
                                  <w:r>
                                    <w:rPr>
                                      <w:color w:val="0C0C0C"/>
                                      <w:spacing w:val="-2"/>
                                      <w:sz w:val="22"/>
                                    </w:rPr>
                                    <w:t> </w:t>
                                  </w:r>
                                  <w:r>
                                    <w:rPr>
                                      <w:color w:val="0C0C0C"/>
                                      <w:sz w:val="22"/>
                                    </w:rPr>
                                    <w:t>scheme</w:t>
                                  </w:r>
                                  <w:r>
                                    <w:rPr>
                                      <w:color w:val="0C0C0C"/>
                                      <w:spacing w:val="-1"/>
                                      <w:sz w:val="22"/>
                                    </w:rPr>
                                    <w:t> </w:t>
                                  </w:r>
                                  <w:r>
                                    <w:rPr>
                                      <w:color w:val="0C0C0C"/>
                                      <w:sz w:val="22"/>
                                    </w:rPr>
                                    <w:t>(note</w:t>
                                  </w:r>
                                  <w:r>
                                    <w:rPr>
                                      <w:color w:val="0C0C0C"/>
                                      <w:spacing w:val="-3"/>
                                      <w:sz w:val="22"/>
                                    </w:rPr>
                                    <w:t> </w:t>
                                  </w:r>
                                  <w:r>
                                    <w:rPr>
                                      <w:color w:val="0C0C0C"/>
                                      <w:sz w:val="22"/>
                                    </w:rPr>
                                    <w:t>5</w:t>
                                  </w:r>
                                  <w:r>
                                    <w:rPr>
                                      <w:color w:val="363636"/>
                                      <w:sz w:val="22"/>
                                    </w:rPr>
                                    <w:t>.</w:t>
                                  </w:r>
                                  <w:r>
                                    <w:rPr>
                                      <w:color w:val="0C0C0C"/>
                                      <w:sz w:val="22"/>
                                    </w:rPr>
                                    <w:t>14</w:t>
                                  </w:r>
                                  <w:r>
                                    <w:rPr>
                                      <w:color w:val="0C0C0C"/>
                                      <w:spacing w:val="-8"/>
                                      <w:sz w:val="22"/>
                                    </w:rPr>
                                    <w:t> </w:t>
                                  </w:r>
                                  <w:r>
                                    <w:rPr>
                                      <w:color w:val="0C0C0C"/>
                                      <w:sz w:val="22"/>
                                    </w:rPr>
                                    <w:t>/</w:t>
                                  </w:r>
                                  <w:r>
                                    <w:rPr>
                                      <w:color w:val="0C0C0C"/>
                                      <w:spacing w:val="-4"/>
                                      <w:sz w:val="22"/>
                                    </w:rPr>
                                    <w:t> </w:t>
                                  </w:r>
                                  <w:r>
                                    <w:rPr>
                                      <w:color w:val="0C0C0C"/>
                                      <w:spacing w:val="-2"/>
                                      <w:sz w:val="22"/>
                                    </w:rPr>
                                    <w:t>5</w:t>
                                  </w:r>
                                  <w:r>
                                    <w:rPr>
                                      <w:color w:val="363636"/>
                                      <w:spacing w:val="-2"/>
                                      <w:sz w:val="22"/>
                                    </w:rPr>
                                    <w:t>.</w:t>
                                  </w:r>
                                  <w:r>
                                    <w:rPr>
                                      <w:color w:val="0C0C0C"/>
                                      <w:spacing w:val="-2"/>
                                      <w:sz w:val="22"/>
                                    </w:rPr>
                                    <w:t>29.2)</w:t>
                                  </w:r>
                                </w:p>
                              </w:tc>
                              <w:tc>
                                <w:tcPr>
                                  <w:tcW w:w="1337" w:type="dxa"/>
                                  <w:tcBorders>
                                    <w:bottom w:val="single" w:color="000000" w:sz="6" w:space="0"/>
                                  </w:tcBorders>
                                </w:tcPr>
                                <w:p>
                                  <w:pPr>
                                    <w:pStyle w:val="TableParagraph"/>
                                    <w:spacing w:before="11"/>
                                    <w:ind w:right="141"/>
                                    <w:jc w:val="right"/>
                                    <w:rPr>
                                      <w:sz w:val="22"/>
                                    </w:rPr>
                                  </w:pPr>
                                  <w:r>
                                    <w:rPr>
                                      <w:color w:val="0C0C0C"/>
                                      <w:spacing w:val="-2"/>
                                      <w:sz w:val="22"/>
                                    </w:rPr>
                                    <w:t>(2,846)</w:t>
                                  </w:r>
                                </w:p>
                              </w:tc>
                            </w:tr>
                            <w:tr>
                              <w:trPr>
                                <w:trHeight w:val="441" w:hRule="atLeast"/>
                              </w:trPr>
                              <w:tc>
                                <w:tcPr>
                                  <w:tcW w:w="8517" w:type="dxa"/>
                                </w:tcPr>
                                <w:p>
                                  <w:pPr>
                                    <w:pStyle w:val="TableParagraph"/>
                                    <w:tabs>
                                      <w:tab w:val="left" w:leader="none" w:pos="2000"/>
                                    </w:tabs>
                                    <w:spacing w:before="98"/>
                                    <w:ind w:left="791"/>
                                    <w:rPr>
                                      <w:b/>
                                      <w:sz w:val="22"/>
                                    </w:rPr>
                                  </w:pPr>
                                  <w:r>
                                    <w:rPr>
                                      <w:b/>
                                      <w:color w:val="0C0C0C"/>
                                      <w:spacing w:val="-2"/>
                                      <w:sz w:val="22"/>
                                    </w:rPr>
                                    <w:t>40,326</w:t>
                                  </w:r>
                                  <w:r>
                                    <w:rPr>
                                      <w:b/>
                                      <w:color w:val="0C0C0C"/>
                                      <w:sz w:val="22"/>
                                    </w:rPr>
                                    <w:tab/>
                                    <w:t>Balance</w:t>
                                  </w:r>
                                  <w:r>
                                    <w:rPr>
                                      <w:b/>
                                      <w:color w:val="0C0C0C"/>
                                      <w:spacing w:val="10"/>
                                      <w:sz w:val="22"/>
                                    </w:rPr>
                                    <w:t> </w:t>
                                  </w:r>
                                  <w:r>
                                    <w:rPr>
                                      <w:b/>
                                      <w:color w:val="0C0C0C"/>
                                      <w:sz w:val="22"/>
                                    </w:rPr>
                                    <w:t>as</w:t>
                                  </w:r>
                                  <w:r>
                                    <w:rPr>
                                      <w:b/>
                                      <w:color w:val="0C0C0C"/>
                                      <w:spacing w:val="-1"/>
                                      <w:sz w:val="22"/>
                                    </w:rPr>
                                    <w:t> </w:t>
                                  </w:r>
                                  <w:r>
                                    <w:rPr>
                                      <w:b/>
                                      <w:color w:val="0C0C0C"/>
                                      <w:sz w:val="22"/>
                                    </w:rPr>
                                    <w:t>at</w:t>
                                  </w:r>
                                  <w:r>
                                    <w:rPr>
                                      <w:b/>
                                      <w:color w:val="0C0C0C"/>
                                      <w:spacing w:val="-9"/>
                                      <w:sz w:val="22"/>
                                    </w:rPr>
                                    <w:t> </w:t>
                                  </w:r>
                                  <w:r>
                                    <w:rPr>
                                      <w:b/>
                                      <w:color w:val="0C0C0C"/>
                                      <w:sz w:val="22"/>
                                    </w:rPr>
                                    <w:t>31</w:t>
                                  </w:r>
                                  <w:r>
                                    <w:rPr>
                                      <w:b/>
                                      <w:color w:val="0C0C0C"/>
                                      <w:spacing w:val="-12"/>
                                      <w:sz w:val="22"/>
                                    </w:rPr>
                                    <w:t> </w:t>
                                  </w:r>
                                  <w:r>
                                    <w:rPr>
                                      <w:b/>
                                      <w:color w:val="0C0C0C"/>
                                      <w:spacing w:val="-2"/>
                                      <w:sz w:val="22"/>
                                    </w:rPr>
                                    <w:t>March</w:t>
                                  </w:r>
                                </w:p>
                              </w:tc>
                              <w:tc>
                                <w:tcPr>
                                  <w:tcW w:w="1337" w:type="dxa"/>
                                  <w:tcBorders>
                                    <w:top w:val="single" w:color="000000" w:sz="6" w:space="0"/>
                                    <w:bottom w:val="single" w:color="000000" w:sz="6" w:space="0"/>
                                  </w:tcBorders>
                                </w:tcPr>
                                <w:p>
                                  <w:pPr>
                                    <w:pStyle w:val="TableParagraph"/>
                                    <w:spacing w:before="98"/>
                                    <w:ind w:right="183"/>
                                    <w:jc w:val="right"/>
                                    <w:rPr>
                                      <w:b/>
                                      <w:sz w:val="22"/>
                                    </w:rPr>
                                  </w:pPr>
                                  <w:r>
                                    <w:rPr>
                                      <w:b/>
                                      <w:color w:val="0C0C0C"/>
                                      <w:spacing w:val="-2"/>
                                      <w:sz w:val="22"/>
                                    </w:rPr>
                                    <w:t>10,637</w:t>
                                  </w:r>
                                </w:p>
                              </w:tc>
                            </w:tr>
                            <w:tr>
                              <w:trPr>
                                <w:trHeight w:val="514" w:hRule="atLeast"/>
                              </w:trPr>
                              <w:tc>
                                <w:tcPr>
                                  <w:tcW w:w="8517" w:type="dxa"/>
                                </w:tcPr>
                                <w:p>
                                  <w:pPr>
                                    <w:pStyle w:val="TableParagraph"/>
                                    <w:spacing w:before="4"/>
                                    <w:rPr>
                                      <w:sz w:val="22"/>
                                    </w:rPr>
                                  </w:pPr>
                                </w:p>
                                <w:p>
                                  <w:pPr>
                                    <w:pStyle w:val="TableParagraph"/>
                                    <w:tabs>
                                      <w:tab w:val="left" w:leader="none" w:pos="973"/>
                                    </w:tabs>
                                    <w:spacing w:line="233" w:lineRule="exact"/>
                                    <w:ind w:left="50"/>
                                    <w:rPr>
                                      <w:b/>
                                      <w:sz w:val="22"/>
                                    </w:rPr>
                                  </w:pPr>
                                  <w:r>
                                    <w:rPr>
                                      <w:b/>
                                      <w:color w:val="0C0C0C"/>
                                      <w:spacing w:val="-2"/>
                                      <w:sz w:val="22"/>
                                    </w:rPr>
                                    <w:t>5.31.6</w:t>
                                  </w:r>
                                  <w:r>
                                    <w:rPr>
                                      <w:b/>
                                      <w:color w:val="0C0C0C"/>
                                      <w:sz w:val="22"/>
                                    </w:rPr>
                                    <w:tab/>
                                  </w:r>
                                  <w:r>
                                    <w:rPr>
                                      <w:b/>
                                      <w:color w:val="0C0C0C"/>
                                      <w:spacing w:val="-2"/>
                                      <w:sz w:val="22"/>
                                    </w:rPr>
                                    <w:t>Accumulated</w:t>
                                  </w:r>
                                  <w:r>
                                    <w:rPr>
                                      <w:b/>
                                      <w:color w:val="0C0C0C"/>
                                      <w:spacing w:val="3"/>
                                      <w:sz w:val="22"/>
                                    </w:rPr>
                                    <w:t> </w:t>
                                  </w:r>
                                  <w:r>
                                    <w:rPr>
                                      <w:b/>
                                      <w:color w:val="0C0C0C"/>
                                      <w:spacing w:val="-2"/>
                                      <w:sz w:val="22"/>
                                    </w:rPr>
                                    <w:t>Absences</w:t>
                                  </w:r>
                                  <w:r>
                                    <w:rPr>
                                      <w:b/>
                                      <w:color w:val="0C0C0C"/>
                                      <w:spacing w:val="10"/>
                                      <w:sz w:val="22"/>
                                    </w:rPr>
                                    <w:t> </w:t>
                                  </w:r>
                                  <w:r>
                                    <w:rPr>
                                      <w:b/>
                                      <w:color w:val="0C0C0C"/>
                                      <w:spacing w:val="-2"/>
                                      <w:sz w:val="22"/>
                                    </w:rPr>
                                    <w:t>Account</w:t>
                                  </w:r>
                                </w:p>
                              </w:tc>
                              <w:tc>
                                <w:tcPr>
                                  <w:tcW w:w="1337" w:type="dxa"/>
                                  <w:tcBorders>
                                    <w:top w:val="single" w:color="000000" w:sz="6" w:space="0"/>
                                  </w:tcBorders>
                                </w:tcPr>
                                <w:p>
                                  <w:pPr>
                                    <w:pStyle w:val="TableParagraph"/>
                                    <w:rPr>
                                      <w:rFonts w:ascii="Times New Roman"/>
                                      <w:sz w:val="20"/>
                                    </w:rPr>
                                  </w:pPr>
                                </w:p>
                              </w:tc>
                            </w:tr>
                          </w:tbl>
                          <w:p>
                            <w:pPr>
                              <w:pStyle w:val="BodyText"/>
                            </w:pPr>
                          </w:p>
                        </w:txbxContent>
                      </wps:txbx>
                      <wps:bodyPr wrap="square" lIns="0" tIns="0" rIns="0" bIns="0" rtlCol="0">
                        <a:noAutofit/>
                      </wps:bodyPr>
                    </wps:wsp>
                  </a:graphicData>
                </a:graphic>
              </wp:anchor>
            </w:drawing>
          </ve:Choice>
          <ve:Fallback>
            <w:pict>
              <v:shape id="docshape391" style="position:absolute;margin-left:54.352379pt;margin-top:-96.688309pt;width:498.7pt;height:194.5pt;mso-position-horizontal-relative:page;mso-position-vertical-relative:paragraph;z-index:15862272"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517"/>
                        <w:gridCol w:w="1337"/>
                      </w:tblGrid>
                      <w:tr>
                        <w:trPr>
                          <w:trHeight w:val="257" w:hRule="atLeast"/>
                        </w:trPr>
                        <w:tc>
                          <w:tcPr>
                            <w:tcW w:w="8517" w:type="dxa"/>
                          </w:tcPr>
                          <w:p>
                            <w:pPr>
                              <w:pStyle w:val="TableParagraph"/>
                              <w:spacing w:before="2" w:line="235" w:lineRule="exact"/>
                              <w:ind w:left="453"/>
                              <w:rPr>
                                <w:b/>
                                <w:sz w:val="22"/>
                              </w:rPr>
                            </w:pPr>
                            <w:r>
                              <w:rPr>
                                <w:b/>
                                <w:color w:val="0C0C0C"/>
                                <w:spacing w:val="-4"/>
                                <w:sz w:val="22"/>
                              </w:rPr>
                              <w:t>2021-</w:t>
                            </w:r>
                            <w:r>
                              <w:rPr>
                                <w:b/>
                                <w:color w:val="0C0C0C"/>
                                <w:spacing w:val="-5"/>
                                <w:sz w:val="22"/>
                              </w:rPr>
                              <w:t>22</w:t>
                            </w:r>
                          </w:p>
                        </w:tc>
                        <w:tc>
                          <w:tcPr>
                            <w:tcW w:w="1337" w:type="dxa"/>
                          </w:tcPr>
                          <w:p>
                            <w:pPr>
                              <w:pStyle w:val="TableParagraph"/>
                              <w:spacing w:line="238" w:lineRule="exact"/>
                              <w:ind w:left="244"/>
                              <w:rPr>
                                <w:b/>
                                <w:sz w:val="22"/>
                              </w:rPr>
                            </w:pPr>
                            <w:r>
                              <w:rPr>
                                <w:b/>
                                <w:color w:val="0C0C0C"/>
                                <w:spacing w:val="-4"/>
                                <w:sz w:val="22"/>
                              </w:rPr>
                              <w:t>2022-</w:t>
                            </w:r>
                            <w:r>
                              <w:rPr>
                                <w:b/>
                                <w:color w:val="0C0C0C"/>
                                <w:spacing w:val="-5"/>
                                <w:sz w:val="22"/>
                              </w:rPr>
                              <w:t>23</w:t>
                            </w:r>
                          </w:p>
                        </w:tc>
                      </w:tr>
                      <w:tr>
                        <w:trPr>
                          <w:trHeight w:val="252" w:hRule="atLeast"/>
                        </w:trPr>
                        <w:tc>
                          <w:tcPr>
                            <w:tcW w:w="8517" w:type="dxa"/>
                          </w:tcPr>
                          <w:p>
                            <w:pPr>
                              <w:pStyle w:val="TableParagraph"/>
                              <w:spacing w:line="232" w:lineRule="exact"/>
                              <w:ind w:left="606"/>
                              <w:rPr>
                                <w:b/>
                                <w:sz w:val="22"/>
                              </w:rPr>
                            </w:pPr>
                            <w:r>
                              <w:rPr>
                                <w:b/>
                                <w:color w:val="0C0C0C"/>
                                <w:spacing w:val="-4"/>
                                <w:sz w:val="22"/>
                              </w:rPr>
                              <w:t>£000</w:t>
                            </w:r>
                          </w:p>
                        </w:tc>
                        <w:tc>
                          <w:tcPr>
                            <w:tcW w:w="1337" w:type="dxa"/>
                          </w:tcPr>
                          <w:p>
                            <w:pPr>
                              <w:pStyle w:val="TableParagraph"/>
                              <w:spacing w:line="232" w:lineRule="exact"/>
                              <w:ind w:left="402"/>
                              <w:rPr>
                                <w:b/>
                                <w:sz w:val="22"/>
                              </w:rPr>
                            </w:pPr>
                            <w:r>
                              <w:rPr>
                                <w:b/>
                                <w:color w:val="0C0C0C"/>
                                <w:spacing w:val="-4"/>
                                <w:sz w:val="22"/>
                              </w:rPr>
                              <w:t>£000</w:t>
                            </w:r>
                          </w:p>
                        </w:tc>
                      </w:tr>
                      <w:tr>
                        <w:trPr>
                          <w:trHeight w:val="348" w:hRule="atLeast"/>
                        </w:trPr>
                        <w:tc>
                          <w:tcPr>
                            <w:tcW w:w="8517" w:type="dxa"/>
                          </w:tcPr>
                          <w:p>
                            <w:pPr>
                              <w:pStyle w:val="TableParagraph"/>
                              <w:tabs>
                                <w:tab w:val="left" w:leader="none" w:pos="1995"/>
                              </w:tabs>
                              <w:spacing w:line="250" w:lineRule="exact"/>
                              <w:ind w:left="791"/>
                              <w:rPr>
                                <w:b/>
                                <w:sz w:val="22"/>
                              </w:rPr>
                            </w:pPr>
                            <w:r>
                              <w:rPr>
                                <w:b/>
                                <w:color w:val="0C0C0C"/>
                                <w:spacing w:val="-2"/>
                                <w:sz w:val="22"/>
                              </w:rPr>
                              <w:t>42,943</w:t>
                            </w:r>
                            <w:r>
                              <w:rPr>
                                <w:b/>
                                <w:color w:val="0C0C0C"/>
                                <w:sz w:val="22"/>
                              </w:rPr>
                              <w:tab/>
                              <w:t>Balance</w:t>
                            </w:r>
                            <w:r>
                              <w:rPr>
                                <w:b/>
                                <w:color w:val="0C0C0C"/>
                                <w:spacing w:val="13"/>
                                <w:sz w:val="22"/>
                              </w:rPr>
                              <w:t> </w:t>
                            </w:r>
                            <w:r>
                              <w:rPr>
                                <w:b/>
                                <w:color w:val="0C0C0C"/>
                                <w:sz w:val="22"/>
                              </w:rPr>
                              <w:t>as</w:t>
                            </w:r>
                            <w:r>
                              <w:rPr>
                                <w:b/>
                                <w:color w:val="0C0C0C"/>
                                <w:spacing w:val="1"/>
                                <w:sz w:val="22"/>
                              </w:rPr>
                              <w:t> </w:t>
                            </w:r>
                            <w:r>
                              <w:rPr>
                                <w:b/>
                                <w:color w:val="0C0C0C"/>
                                <w:sz w:val="22"/>
                              </w:rPr>
                              <w:t>at</w:t>
                            </w:r>
                            <w:r>
                              <w:rPr>
                                <w:b/>
                                <w:color w:val="0C0C0C"/>
                                <w:spacing w:val="-7"/>
                                <w:sz w:val="22"/>
                              </w:rPr>
                              <w:t> </w:t>
                            </w:r>
                            <w:r>
                              <w:rPr>
                                <w:b/>
                                <w:color w:val="0C0C0C"/>
                                <w:sz w:val="22"/>
                              </w:rPr>
                              <w:t>1</w:t>
                            </w:r>
                            <w:r>
                              <w:rPr>
                                <w:b/>
                                <w:color w:val="0C0C0C"/>
                                <w:spacing w:val="-10"/>
                                <w:sz w:val="22"/>
                              </w:rPr>
                              <w:t> </w:t>
                            </w:r>
                            <w:r>
                              <w:rPr>
                                <w:b/>
                                <w:color w:val="0C0C0C"/>
                                <w:spacing w:val="-2"/>
                                <w:sz w:val="22"/>
                              </w:rPr>
                              <w:t>April</w:t>
                            </w:r>
                          </w:p>
                        </w:tc>
                        <w:tc>
                          <w:tcPr>
                            <w:tcW w:w="1337" w:type="dxa"/>
                          </w:tcPr>
                          <w:p>
                            <w:pPr>
                              <w:pStyle w:val="TableParagraph"/>
                              <w:spacing w:line="246" w:lineRule="exact"/>
                              <w:ind w:right="213"/>
                              <w:jc w:val="right"/>
                              <w:rPr>
                                <w:b/>
                                <w:sz w:val="22"/>
                              </w:rPr>
                            </w:pPr>
                            <w:r>
                              <w:rPr>
                                <w:b/>
                                <w:color w:val="0C0C0C"/>
                                <w:spacing w:val="-2"/>
                                <w:sz w:val="22"/>
                              </w:rPr>
                              <w:t>40,326</w:t>
                            </w:r>
                          </w:p>
                        </w:tc>
                      </w:tr>
                      <w:tr>
                        <w:trPr>
                          <w:trHeight w:val="461" w:hRule="atLeast"/>
                        </w:trPr>
                        <w:tc>
                          <w:tcPr>
                            <w:tcW w:w="8517" w:type="dxa"/>
                          </w:tcPr>
                          <w:p>
                            <w:pPr>
                              <w:pStyle w:val="TableParagraph"/>
                              <w:tabs>
                                <w:tab w:val="left" w:leader="none" w:pos="1994"/>
                              </w:tabs>
                              <w:spacing w:before="96"/>
                              <w:ind w:left="762"/>
                              <w:rPr>
                                <w:sz w:val="22"/>
                              </w:rPr>
                            </w:pPr>
                            <w:r>
                              <w:rPr>
                                <w:color w:val="0C0C0C"/>
                                <w:spacing w:val="-2"/>
                                <w:sz w:val="22"/>
                              </w:rPr>
                              <w:t>(5,136)</w:t>
                            </w:r>
                            <w:r>
                              <w:rPr>
                                <w:color w:val="0C0C0C"/>
                                <w:sz w:val="22"/>
                              </w:rPr>
                              <w:tab/>
                              <w:t>Re-measurement</w:t>
                            </w:r>
                            <w:r>
                              <w:rPr>
                                <w:color w:val="0C0C0C"/>
                                <w:spacing w:val="-8"/>
                                <w:sz w:val="22"/>
                              </w:rPr>
                              <w:t> </w:t>
                            </w:r>
                            <w:r>
                              <w:rPr>
                                <w:color w:val="0C0C0C"/>
                                <w:sz w:val="22"/>
                              </w:rPr>
                              <w:t>of</w:t>
                            </w:r>
                            <w:r>
                              <w:rPr>
                                <w:color w:val="0C0C0C"/>
                                <w:spacing w:val="-8"/>
                                <w:sz w:val="22"/>
                              </w:rPr>
                              <w:t> </w:t>
                            </w:r>
                            <w:r>
                              <w:rPr>
                                <w:color w:val="0C0C0C"/>
                                <w:sz w:val="22"/>
                              </w:rPr>
                              <w:t>the</w:t>
                            </w:r>
                            <w:r>
                              <w:rPr>
                                <w:color w:val="0C0C0C"/>
                                <w:spacing w:val="-12"/>
                                <w:sz w:val="22"/>
                              </w:rPr>
                              <w:t> </w:t>
                            </w:r>
                            <w:r>
                              <w:rPr>
                                <w:color w:val="0C0C0C"/>
                                <w:sz w:val="22"/>
                              </w:rPr>
                              <w:t>net defined</w:t>
                            </w:r>
                            <w:r>
                              <w:rPr>
                                <w:color w:val="0C0C0C"/>
                                <w:spacing w:val="-7"/>
                                <w:sz w:val="22"/>
                              </w:rPr>
                              <w:t> </w:t>
                            </w:r>
                            <w:r>
                              <w:rPr>
                                <w:color w:val="0C0C0C"/>
                                <w:sz w:val="22"/>
                              </w:rPr>
                              <w:t>pension</w:t>
                            </w:r>
                            <w:r>
                              <w:rPr>
                                <w:color w:val="0C0C0C"/>
                                <w:spacing w:val="3"/>
                                <w:sz w:val="22"/>
                              </w:rPr>
                              <w:t> </w:t>
                            </w:r>
                            <w:r>
                              <w:rPr>
                                <w:color w:val="0C0C0C"/>
                                <w:sz w:val="22"/>
                              </w:rPr>
                              <w:t>liability</w:t>
                            </w:r>
                            <w:r>
                              <w:rPr>
                                <w:color w:val="0C0C0C"/>
                                <w:spacing w:val="2"/>
                                <w:sz w:val="22"/>
                              </w:rPr>
                              <w:t> </w:t>
                            </w:r>
                            <w:r>
                              <w:rPr>
                                <w:color w:val="0C0C0C"/>
                                <w:sz w:val="22"/>
                              </w:rPr>
                              <w:t>(note</w:t>
                            </w:r>
                            <w:r>
                              <w:rPr>
                                <w:color w:val="0C0C0C"/>
                                <w:spacing w:val="4"/>
                                <w:sz w:val="22"/>
                              </w:rPr>
                              <w:t> </w:t>
                            </w:r>
                            <w:r>
                              <w:rPr>
                                <w:color w:val="0C0C0C"/>
                                <w:spacing w:val="-2"/>
                                <w:sz w:val="22"/>
                              </w:rPr>
                              <w:t>5.29.1)</w:t>
                            </w:r>
                          </w:p>
                        </w:tc>
                        <w:tc>
                          <w:tcPr>
                            <w:tcW w:w="1337" w:type="dxa"/>
                          </w:tcPr>
                          <w:p>
                            <w:pPr>
                              <w:pStyle w:val="TableParagraph"/>
                              <w:spacing w:before="91"/>
                              <w:ind w:right="156"/>
                              <w:jc w:val="right"/>
                              <w:rPr>
                                <w:sz w:val="22"/>
                              </w:rPr>
                            </w:pPr>
                            <w:r>
                              <w:rPr>
                                <w:color w:val="0C0C0C"/>
                                <w:spacing w:val="-2"/>
                                <w:sz w:val="22"/>
                              </w:rPr>
                              <w:t>(32,297)</w:t>
                            </w:r>
                          </w:p>
                        </w:tc>
                      </w:tr>
                      <w:tr>
                        <w:trPr>
                          <w:trHeight w:val="490" w:hRule="atLeast"/>
                        </w:trPr>
                        <w:tc>
                          <w:tcPr>
                            <w:tcW w:w="8517" w:type="dxa"/>
                          </w:tcPr>
                          <w:p>
                            <w:pPr>
                              <w:pStyle w:val="TableParagraph"/>
                              <w:spacing w:before="105"/>
                              <w:ind w:left="2008"/>
                              <w:rPr>
                                <w:sz w:val="22"/>
                              </w:rPr>
                            </w:pPr>
                            <w:r>
                              <w:rPr>
                                <w:color w:val="1F1F1F"/>
                                <w:sz w:val="22"/>
                              </w:rPr>
                              <w:t>Reversal</w:t>
                            </w:r>
                            <w:r>
                              <w:rPr>
                                <w:color w:val="1F1F1F"/>
                                <w:spacing w:val="-3"/>
                                <w:sz w:val="22"/>
                              </w:rPr>
                              <w:t> </w:t>
                            </w:r>
                            <w:r>
                              <w:rPr>
                                <w:color w:val="1F1F1F"/>
                                <w:sz w:val="22"/>
                              </w:rPr>
                              <w:t>of</w:t>
                            </w:r>
                            <w:r>
                              <w:rPr>
                                <w:color w:val="1F1F1F"/>
                                <w:spacing w:val="-9"/>
                                <w:sz w:val="22"/>
                              </w:rPr>
                              <w:t> </w:t>
                            </w:r>
                            <w:r>
                              <w:rPr>
                                <w:color w:val="0C0C0C"/>
                                <w:sz w:val="22"/>
                              </w:rPr>
                              <w:t>items</w:t>
                            </w:r>
                            <w:r>
                              <w:rPr>
                                <w:color w:val="0C0C0C"/>
                                <w:spacing w:val="-5"/>
                                <w:sz w:val="22"/>
                              </w:rPr>
                              <w:t> </w:t>
                            </w:r>
                            <w:r>
                              <w:rPr>
                                <w:color w:val="1F1F1F"/>
                                <w:sz w:val="22"/>
                              </w:rPr>
                              <w:t>relating</w:t>
                            </w:r>
                            <w:r>
                              <w:rPr>
                                <w:color w:val="1F1F1F"/>
                                <w:spacing w:val="-5"/>
                                <w:sz w:val="22"/>
                              </w:rPr>
                              <w:t> </w:t>
                            </w:r>
                            <w:r>
                              <w:rPr>
                                <w:color w:val="1F1F1F"/>
                                <w:sz w:val="22"/>
                              </w:rPr>
                              <w:t>to</w:t>
                            </w:r>
                            <w:r>
                              <w:rPr>
                                <w:color w:val="1F1F1F"/>
                                <w:spacing w:val="-15"/>
                                <w:sz w:val="22"/>
                              </w:rPr>
                              <w:t> </w:t>
                            </w:r>
                            <w:r>
                              <w:rPr>
                                <w:color w:val="363636"/>
                                <w:sz w:val="22"/>
                              </w:rPr>
                              <w:t>retirement</w:t>
                            </w:r>
                            <w:r>
                              <w:rPr>
                                <w:color w:val="363636"/>
                                <w:spacing w:val="7"/>
                                <w:sz w:val="22"/>
                              </w:rPr>
                              <w:t> </w:t>
                            </w:r>
                            <w:r>
                              <w:rPr>
                                <w:color w:val="1F1F1F"/>
                                <w:sz w:val="22"/>
                              </w:rPr>
                              <w:t>benefits</w:t>
                            </w:r>
                            <w:r>
                              <w:rPr>
                                <w:color w:val="1F1F1F"/>
                                <w:spacing w:val="-5"/>
                                <w:sz w:val="22"/>
                              </w:rPr>
                              <w:t> </w:t>
                            </w:r>
                            <w:r>
                              <w:rPr>
                                <w:color w:val="1F1F1F"/>
                                <w:sz w:val="22"/>
                              </w:rPr>
                              <w:t>debited</w:t>
                            </w:r>
                            <w:r>
                              <w:rPr>
                                <w:color w:val="1F1F1F"/>
                                <w:spacing w:val="-4"/>
                                <w:sz w:val="22"/>
                              </w:rPr>
                              <w:t> </w:t>
                            </w:r>
                            <w:r>
                              <w:rPr>
                                <w:color w:val="1F1F1F"/>
                                <w:spacing w:val="-5"/>
                                <w:sz w:val="22"/>
                              </w:rPr>
                              <w:t>or</w:t>
                            </w:r>
                          </w:p>
                        </w:tc>
                        <w:tc>
                          <w:tcPr>
                            <w:tcW w:w="1337" w:type="dxa"/>
                          </w:tcPr>
                          <w:p>
                            <w:pPr>
                              <w:pStyle w:val="TableParagraph"/>
                              <w:rPr>
                                <w:rFonts w:ascii="Times New Roman"/>
                                <w:sz w:val="20"/>
                              </w:rPr>
                            </w:pPr>
                          </w:p>
                        </w:tc>
                      </w:tr>
                      <w:tr>
                        <w:trPr>
                          <w:trHeight w:val="651" w:hRule="atLeast"/>
                        </w:trPr>
                        <w:tc>
                          <w:tcPr>
                            <w:tcW w:w="8517" w:type="dxa"/>
                          </w:tcPr>
                          <w:p>
                            <w:pPr>
                              <w:pStyle w:val="TableParagraph"/>
                              <w:tabs>
                                <w:tab w:val="left" w:leader="none" w:pos="2007"/>
                              </w:tabs>
                              <w:spacing w:line="88" w:lineRule="auto"/>
                              <w:ind w:left="915"/>
                              <w:rPr>
                                <w:sz w:val="22"/>
                              </w:rPr>
                            </w:pPr>
                            <w:r>
                              <w:rPr>
                                <w:color w:val="0C0C0C"/>
                                <w:spacing w:val="-2"/>
                                <w:position w:val="-12"/>
                                <w:sz w:val="22"/>
                              </w:rPr>
                              <w:t>5,217</w:t>
                            </w:r>
                            <w:r>
                              <w:rPr>
                                <w:color w:val="0C0C0C"/>
                                <w:position w:val="-12"/>
                                <w:sz w:val="22"/>
                              </w:rPr>
                              <w:tab/>
                            </w:r>
                            <w:r>
                              <w:rPr>
                                <w:color w:val="1F1F1F"/>
                                <w:sz w:val="22"/>
                              </w:rPr>
                              <w:t>credited</w:t>
                            </w:r>
                            <w:r>
                              <w:rPr>
                                <w:color w:val="1F1F1F"/>
                                <w:spacing w:val="8"/>
                                <w:sz w:val="22"/>
                              </w:rPr>
                              <w:t> </w:t>
                            </w:r>
                            <w:r>
                              <w:rPr>
                                <w:color w:val="1F1F1F"/>
                                <w:sz w:val="22"/>
                              </w:rPr>
                              <w:t>to</w:t>
                            </w:r>
                            <w:r>
                              <w:rPr>
                                <w:color w:val="1F1F1F"/>
                                <w:spacing w:val="-9"/>
                                <w:sz w:val="22"/>
                              </w:rPr>
                              <w:t> </w:t>
                            </w:r>
                            <w:r>
                              <w:rPr>
                                <w:color w:val="0C0C0C"/>
                                <w:sz w:val="22"/>
                              </w:rPr>
                              <w:t>the</w:t>
                            </w:r>
                            <w:r>
                              <w:rPr>
                                <w:color w:val="0C0C0C"/>
                                <w:spacing w:val="2"/>
                                <w:sz w:val="22"/>
                              </w:rPr>
                              <w:t> </w:t>
                            </w:r>
                            <w:r>
                              <w:rPr>
                                <w:color w:val="1F1F1F"/>
                                <w:sz w:val="22"/>
                              </w:rPr>
                              <w:t>Surplus/</w:t>
                            </w:r>
                            <w:r>
                              <w:rPr>
                                <w:color w:val="1F1F1F"/>
                                <w:spacing w:val="11"/>
                                <w:sz w:val="22"/>
                              </w:rPr>
                              <w:t> </w:t>
                            </w:r>
                            <w:r>
                              <w:rPr>
                                <w:color w:val="363636"/>
                                <w:sz w:val="22"/>
                              </w:rPr>
                              <w:t>(deficit)</w:t>
                            </w:r>
                            <w:r>
                              <w:rPr>
                                <w:color w:val="363636"/>
                                <w:spacing w:val="9"/>
                                <w:sz w:val="22"/>
                              </w:rPr>
                              <w:t> </w:t>
                            </w:r>
                            <w:r>
                              <w:rPr>
                                <w:color w:val="1F1F1F"/>
                                <w:sz w:val="22"/>
                              </w:rPr>
                              <w:t>on</w:t>
                            </w:r>
                            <w:r>
                              <w:rPr>
                                <w:color w:val="1F1F1F"/>
                                <w:spacing w:val="-15"/>
                                <w:sz w:val="22"/>
                              </w:rPr>
                              <w:t> </w:t>
                            </w:r>
                            <w:r>
                              <w:rPr>
                                <w:color w:val="1F1F1F"/>
                                <w:sz w:val="22"/>
                              </w:rPr>
                              <w:t>the</w:t>
                            </w:r>
                            <w:r>
                              <w:rPr>
                                <w:color w:val="1F1F1F"/>
                                <w:spacing w:val="-1"/>
                                <w:sz w:val="22"/>
                              </w:rPr>
                              <w:t> </w:t>
                            </w:r>
                            <w:r>
                              <w:rPr>
                                <w:color w:val="1F1F1F"/>
                                <w:sz w:val="22"/>
                              </w:rPr>
                              <w:t>Provision</w:t>
                            </w:r>
                            <w:r>
                              <w:rPr>
                                <w:color w:val="1F1F1F"/>
                                <w:spacing w:val="8"/>
                                <w:sz w:val="22"/>
                              </w:rPr>
                              <w:t> </w:t>
                            </w:r>
                            <w:r>
                              <w:rPr>
                                <w:color w:val="1F1F1F"/>
                                <w:sz w:val="22"/>
                              </w:rPr>
                              <w:t>of</w:t>
                            </w:r>
                            <w:r>
                              <w:rPr>
                                <w:color w:val="1F1F1F"/>
                                <w:spacing w:val="1"/>
                                <w:sz w:val="22"/>
                              </w:rPr>
                              <w:t> </w:t>
                            </w:r>
                            <w:r>
                              <w:rPr>
                                <w:color w:val="1F1F1F"/>
                                <w:sz w:val="22"/>
                              </w:rPr>
                              <w:t>Services</w:t>
                            </w:r>
                            <w:r>
                              <w:rPr>
                                <w:color w:val="1F1F1F"/>
                                <w:spacing w:val="5"/>
                                <w:sz w:val="22"/>
                              </w:rPr>
                              <w:t> </w:t>
                            </w:r>
                            <w:r>
                              <w:rPr>
                                <w:color w:val="1F1F1F"/>
                                <w:spacing w:val="-5"/>
                                <w:sz w:val="22"/>
                              </w:rPr>
                              <w:t>in</w:t>
                            </w:r>
                          </w:p>
                          <w:p>
                            <w:pPr>
                              <w:pStyle w:val="TableParagraph"/>
                              <w:spacing w:before="155" w:line="252" w:lineRule="exact"/>
                              <w:ind w:left="2002"/>
                              <w:rPr>
                                <w:sz w:val="22"/>
                              </w:rPr>
                            </w:pPr>
                            <w:r>
                              <w:rPr>
                                <w:color w:val="0C0C0C"/>
                                <w:sz w:val="22"/>
                              </w:rPr>
                              <w:t>5.14</w:t>
                            </w:r>
                            <w:r>
                              <w:rPr>
                                <w:color w:val="0C0C0C"/>
                                <w:spacing w:val="3"/>
                                <w:sz w:val="22"/>
                              </w:rPr>
                              <w:t> </w:t>
                            </w:r>
                            <w:r>
                              <w:rPr>
                                <w:color w:val="1F1F1F"/>
                                <w:sz w:val="22"/>
                              </w:rPr>
                              <w:t>&amp;</w:t>
                            </w:r>
                            <w:r>
                              <w:rPr>
                                <w:color w:val="1F1F1F"/>
                                <w:spacing w:val="2"/>
                                <w:sz w:val="22"/>
                              </w:rPr>
                              <w:t> </w:t>
                            </w:r>
                            <w:r>
                              <w:rPr>
                                <w:color w:val="1F1F1F"/>
                                <w:spacing w:val="-2"/>
                                <w:sz w:val="22"/>
                              </w:rPr>
                              <w:t>5.29</w:t>
                            </w:r>
                            <w:r>
                              <w:rPr>
                                <w:color w:val="6D6D6D"/>
                                <w:spacing w:val="-2"/>
                                <w:sz w:val="22"/>
                              </w:rPr>
                              <w:t>.</w:t>
                            </w:r>
                            <w:r>
                              <w:rPr>
                                <w:color w:val="1F1F1F"/>
                                <w:spacing w:val="-2"/>
                                <w:sz w:val="22"/>
                              </w:rPr>
                              <w:t>2)</w:t>
                            </w:r>
                          </w:p>
                        </w:tc>
                        <w:tc>
                          <w:tcPr>
                            <w:tcW w:w="1337" w:type="dxa"/>
                          </w:tcPr>
                          <w:p>
                            <w:pPr>
                              <w:pStyle w:val="TableParagraph"/>
                              <w:spacing w:line="248" w:lineRule="exact"/>
                              <w:ind w:right="201"/>
                              <w:jc w:val="right"/>
                              <w:rPr>
                                <w:sz w:val="22"/>
                              </w:rPr>
                            </w:pPr>
                            <w:r>
                              <w:rPr>
                                <w:color w:val="0C0C0C"/>
                                <w:spacing w:val="-2"/>
                                <w:sz w:val="22"/>
                              </w:rPr>
                              <w:t>5,454</w:t>
                            </w:r>
                          </w:p>
                        </w:tc>
                      </w:tr>
                      <w:tr>
                        <w:trPr>
                          <w:trHeight w:val="446" w:hRule="atLeast"/>
                        </w:trPr>
                        <w:tc>
                          <w:tcPr>
                            <w:tcW w:w="8517" w:type="dxa"/>
                          </w:tcPr>
                          <w:p>
                            <w:pPr>
                              <w:pStyle w:val="TableParagraph"/>
                              <w:tabs>
                                <w:tab w:val="left" w:leader="none" w:pos="1998"/>
                              </w:tabs>
                              <w:spacing w:before="21"/>
                              <w:ind w:left="767"/>
                              <w:rPr>
                                <w:sz w:val="22"/>
                              </w:rPr>
                            </w:pPr>
                            <w:r>
                              <w:rPr>
                                <w:color w:val="0C0C0C"/>
                                <w:spacing w:val="-2"/>
                                <w:sz w:val="22"/>
                              </w:rPr>
                              <w:t>(2,698)</w:t>
                            </w:r>
                            <w:r>
                              <w:rPr>
                                <w:color w:val="0C0C0C"/>
                                <w:sz w:val="22"/>
                              </w:rPr>
                              <w:tab/>
                              <w:t>Emp</w:t>
                            </w:r>
                            <w:r>
                              <w:rPr>
                                <w:color w:val="363636"/>
                                <w:sz w:val="22"/>
                              </w:rPr>
                              <w:t>loyers</w:t>
                            </w:r>
                            <w:r>
                              <w:rPr>
                                <w:color w:val="363636"/>
                                <w:spacing w:val="-11"/>
                                <w:sz w:val="22"/>
                              </w:rPr>
                              <w:t> </w:t>
                            </w:r>
                            <w:r>
                              <w:rPr>
                                <w:color w:val="1F1F1F"/>
                                <w:sz w:val="22"/>
                              </w:rPr>
                              <w:t>contribution</w:t>
                            </w:r>
                            <w:r>
                              <w:rPr>
                                <w:color w:val="1F1F1F"/>
                                <w:spacing w:val="1"/>
                                <w:sz w:val="22"/>
                              </w:rPr>
                              <w:t> </w:t>
                            </w:r>
                            <w:r>
                              <w:rPr>
                                <w:color w:val="0C0C0C"/>
                                <w:sz w:val="22"/>
                              </w:rPr>
                              <w:t>payable</w:t>
                            </w:r>
                            <w:r>
                              <w:rPr>
                                <w:color w:val="0C0C0C"/>
                                <w:spacing w:val="4"/>
                                <w:sz w:val="22"/>
                              </w:rPr>
                              <w:t> </w:t>
                            </w:r>
                            <w:r>
                              <w:rPr>
                                <w:color w:val="0C0C0C"/>
                                <w:sz w:val="22"/>
                              </w:rPr>
                              <w:t>to</w:t>
                            </w:r>
                            <w:r>
                              <w:rPr>
                                <w:color w:val="0C0C0C"/>
                                <w:spacing w:val="-2"/>
                                <w:sz w:val="22"/>
                              </w:rPr>
                              <w:t> </w:t>
                            </w:r>
                            <w:r>
                              <w:rPr>
                                <w:color w:val="0C0C0C"/>
                                <w:sz w:val="22"/>
                              </w:rPr>
                              <w:t>scheme</w:t>
                            </w:r>
                            <w:r>
                              <w:rPr>
                                <w:color w:val="0C0C0C"/>
                                <w:spacing w:val="-1"/>
                                <w:sz w:val="22"/>
                              </w:rPr>
                              <w:t> </w:t>
                            </w:r>
                            <w:r>
                              <w:rPr>
                                <w:color w:val="0C0C0C"/>
                                <w:sz w:val="22"/>
                              </w:rPr>
                              <w:t>(note</w:t>
                            </w:r>
                            <w:r>
                              <w:rPr>
                                <w:color w:val="0C0C0C"/>
                                <w:spacing w:val="-3"/>
                                <w:sz w:val="22"/>
                              </w:rPr>
                              <w:t> </w:t>
                            </w:r>
                            <w:r>
                              <w:rPr>
                                <w:color w:val="0C0C0C"/>
                                <w:sz w:val="22"/>
                              </w:rPr>
                              <w:t>5</w:t>
                            </w:r>
                            <w:r>
                              <w:rPr>
                                <w:color w:val="363636"/>
                                <w:sz w:val="22"/>
                              </w:rPr>
                              <w:t>.</w:t>
                            </w:r>
                            <w:r>
                              <w:rPr>
                                <w:color w:val="0C0C0C"/>
                                <w:sz w:val="22"/>
                              </w:rPr>
                              <w:t>14</w:t>
                            </w:r>
                            <w:r>
                              <w:rPr>
                                <w:color w:val="0C0C0C"/>
                                <w:spacing w:val="-8"/>
                                <w:sz w:val="22"/>
                              </w:rPr>
                              <w:t> </w:t>
                            </w:r>
                            <w:r>
                              <w:rPr>
                                <w:color w:val="0C0C0C"/>
                                <w:sz w:val="22"/>
                              </w:rPr>
                              <w:t>/</w:t>
                            </w:r>
                            <w:r>
                              <w:rPr>
                                <w:color w:val="0C0C0C"/>
                                <w:spacing w:val="-4"/>
                                <w:sz w:val="22"/>
                              </w:rPr>
                              <w:t> </w:t>
                            </w:r>
                            <w:r>
                              <w:rPr>
                                <w:color w:val="0C0C0C"/>
                                <w:spacing w:val="-2"/>
                                <w:sz w:val="22"/>
                              </w:rPr>
                              <w:t>5</w:t>
                            </w:r>
                            <w:r>
                              <w:rPr>
                                <w:color w:val="363636"/>
                                <w:spacing w:val="-2"/>
                                <w:sz w:val="22"/>
                              </w:rPr>
                              <w:t>.</w:t>
                            </w:r>
                            <w:r>
                              <w:rPr>
                                <w:color w:val="0C0C0C"/>
                                <w:spacing w:val="-2"/>
                                <w:sz w:val="22"/>
                              </w:rPr>
                              <w:t>29.2)</w:t>
                            </w:r>
                          </w:p>
                        </w:tc>
                        <w:tc>
                          <w:tcPr>
                            <w:tcW w:w="1337" w:type="dxa"/>
                            <w:tcBorders>
                              <w:bottom w:val="single" w:color="000000" w:sz="6" w:space="0"/>
                            </w:tcBorders>
                          </w:tcPr>
                          <w:p>
                            <w:pPr>
                              <w:pStyle w:val="TableParagraph"/>
                              <w:spacing w:before="11"/>
                              <w:ind w:right="141"/>
                              <w:jc w:val="right"/>
                              <w:rPr>
                                <w:sz w:val="22"/>
                              </w:rPr>
                            </w:pPr>
                            <w:r>
                              <w:rPr>
                                <w:color w:val="0C0C0C"/>
                                <w:spacing w:val="-2"/>
                                <w:sz w:val="22"/>
                              </w:rPr>
                              <w:t>(2,846)</w:t>
                            </w:r>
                          </w:p>
                        </w:tc>
                      </w:tr>
                      <w:tr>
                        <w:trPr>
                          <w:trHeight w:val="441" w:hRule="atLeast"/>
                        </w:trPr>
                        <w:tc>
                          <w:tcPr>
                            <w:tcW w:w="8517" w:type="dxa"/>
                          </w:tcPr>
                          <w:p>
                            <w:pPr>
                              <w:pStyle w:val="TableParagraph"/>
                              <w:tabs>
                                <w:tab w:val="left" w:leader="none" w:pos="2000"/>
                              </w:tabs>
                              <w:spacing w:before="98"/>
                              <w:ind w:left="791"/>
                              <w:rPr>
                                <w:b/>
                                <w:sz w:val="22"/>
                              </w:rPr>
                            </w:pPr>
                            <w:r>
                              <w:rPr>
                                <w:b/>
                                <w:color w:val="0C0C0C"/>
                                <w:spacing w:val="-2"/>
                                <w:sz w:val="22"/>
                              </w:rPr>
                              <w:t>40,326</w:t>
                            </w:r>
                            <w:r>
                              <w:rPr>
                                <w:b/>
                                <w:color w:val="0C0C0C"/>
                                <w:sz w:val="22"/>
                              </w:rPr>
                              <w:tab/>
                              <w:t>Balance</w:t>
                            </w:r>
                            <w:r>
                              <w:rPr>
                                <w:b/>
                                <w:color w:val="0C0C0C"/>
                                <w:spacing w:val="10"/>
                                <w:sz w:val="22"/>
                              </w:rPr>
                              <w:t> </w:t>
                            </w:r>
                            <w:r>
                              <w:rPr>
                                <w:b/>
                                <w:color w:val="0C0C0C"/>
                                <w:sz w:val="22"/>
                              </w:rPr>
                              <w:t>as</w:t>
                            </w:r>
                            <w:r>
                              <w:rPr>
                                <w:b/>
                                <w:color w:val="0C0C0C"/>
                                <w:spacing w:val="-1"/>
                                <w:sz w:val="22"/>
                              </w:rPr>
                              <w:t> </w:t>
                            </w:r>
                            <w:r>
                              <w:rPr>
                                <w:b/>
                                <w:color w:val="0C0C0C"/>
                                <w:sz w:val="22"/>
                              </w:rPr>
                              <w:t>at</w:t>
                            </w:r>
                            <w:r>
                              <w:rPr>
                                <w:b/>
                                <w:color w:val="0C0C0C"/>
                                <w:spacing w:val="-9"/>
                                <w:sz w:val="22"/>
                              </w:rPr>
                              <w:t> </w:t>
                            </w:r>
                            <w:r>
                              <w:rPr>
                                <w:b/>
                                <w:color w:val="0C0C0C"/>
                                <w:sz w:val="22"/>
                              </w:rPr>
                              <w:t>31</w:t>
                            </w:r>
                            <w:r>
                              <w:rPr>
                                <w:b/>
                                <w:color w:val="0C0C0C"/>
                                <w:spacing w:val="-12"/>
                                <w:sz w:val="22"/>
                              </w:rPr>
                              <w:t> </w:t>
                            </w:r>
                            <w:r>
                              <w:rPr>
                                <w:b/>
                                <w:color w:val="0C0C0C"/>
                                <w:spacing w:val="-2"/>
                                <w:sz w:val="22"/>
                              </w:rPr>
                              <w:t>March</w:t>
                            </w:r>
                          </w:p>
                        </w:tc>
                        <w:tc>
                          <w:tcPr>
                            <w:tcW w:w="1337" w:type="dxa"/>
                            <w:tcBorders>
                              <w:top w:val="single" w:color="000000" w:sz="6" w:space="0"/>
                              <w:bottom w:val="single" w:color="000000" w:sz="6" w:space="0"/>
                            </w:tcBorders>
                          </w:tcPr>
                          <w:p>
                            <w:pPr>
                              <w:pStyle w:val="TableParagraph"/>
                              <w:spacing w:before="98"/>
                              <w:ind w:right="183"/>
                              <w:jc w:val="right"/>
                              <w:rPr>
                                <w:b/>
                                <w:sz w:val="22"/>
                              </w:rPr>
                            </w:pPr>
                            <w:r>
                              <w:rPr>
                                <w:b/>
                                <w:color w:val="0C0C0C"/>
                                <w:spacing w:val="-2"/>
                                <w:sz w:val="22"/>
                              </w:rPr>
                              <w:t>10,637</w:t>
                            </w:r>
                          </w:p>
                        </w:tc>
                      </w:tr>
                      <w:tr>
                        <w:trPr>
                          <w:trHeight w:val="514" w:hRule="atLeast"/>
                        </w:trPr>
                        <w:tc>
                          <w:tcPr>
                            <w:tcW w:w="8517" w:type="dxa"/>
                          </w:tcPr>
                          <w:p>
                            <w:pPr>
                              <w:pStyle w:val="TableParagraph"/>
                              <w:spacing w:before="4"/>
                              <w:rPr>
                                <w:sz w:val="22"/>
                              </w:rPr>
                            </w:pPr>
                          </w:p>
                          <w:p>
                            <w:pPr>
                              <w:pStyle w:val="TableParagraph"/>
                              <w:tabs>
                                <w:tab w:val="left" w:leader="none" w:pos="973"/>
                              </w:tabs>
                              <w:spacing w:line="233" w:lineRule="exact"/>
                              <w:ind w:left="50"/>
                              <w:rPr>
                                <w:b/>
                                <w:sz w:val="22"/>
                              </w:rPr>
                            </w:pPr>
                            <w:r>
                              <w:rPr>
                                <w:b/>
                                <w:color w:val="0C0C0C"/>
                                <w:spacing w:val="-2"/>
                                <w:sz w:val="22"/>
                              </w:rPr>
                              <w:t>5.31.6</w:t>
                            </w:r>
                            <w:r>
                              <w:rPr>
                                <w:b/>
                                <w:color w:val="0C0C0C"/>
                                <w:sz w:val="22"/>
                              </w:rPr>
                              <w:tab/>
                            </w:r>
                            <w:r>
                              <w:rPr>
                                <w:b/>
                                <w:color w:val="0C0C0C"/>
                                <w:spacing w:val="-2"/>
                                <w:sz w:val="22"/>
                              </w:rPr>
                              <w:t>Accumulated</w:t>
                            </w:r>
                            <w:r>
                              <w:rPr>
                                <w:b/>
                                <w:color w:val="0C0C0C"/>
                                <w:spacing w:val="3"/>
                                <w:sz w:val="22"/>
                              </w:rPr>
                              <w:t> </w:t>
                            </w:r>
                            <w:r>
                              <w:rPr>
                                <w:b/>
                                <w:color w:val="0C0C0C"/>
                                <w:spacing w:val="-2"/>
                                <w:sz w:val="22"/>
                              </w:rPr>
                              <w:t>Absences</w:t>
                            </w:r>
                            <w:r>
                              <w:rPr>
                                <w:b/>
                                <w:color w:val="0C0C0C"/>
                                <w:spacing w:val="10"/>
                                <w:sz w:val="22"/>
                              </w:rPr>
                              <w:t> </w:t>
                            </w:r>
                            <w:r>
                              <w:rPr>
                                <w:b/>
                                <w:color w:val="0C0C0C"/>
                                <w:spacing w:val="-2"/>
                                <w:sz w:val="22"/>
                              </w:rPr>
                              <w:t>Account</w:t>
                            </w:r>
                          </w:p>
                        </w:tc>
                        <w:tc>
                          <w:tcPr>
                            <w:tcW w:w="1337" w:type="dxa"/>
                            <w:tcBorders>
                              <w:top w:val="single" w:color="000000" w:sz="6" w:space="0"/>
                            </w:tcBorders>
                          </w:tcPr>
                          <w:p>
                            <w:pPr>
                              <w:pStyle w:val="TableParagraph"/>
                              <w:rPr>
                                <w:rFonts w:ascii="Times New Roman"/>
                                <w:sz w:val="20"/>
                              </w:rPr>
                            </w:pPr>
                          </w:p>
                        </w:tc>
                      </w:tr>
                    </w:tbl>
                    <w:p>
                      <w:pPr>
                        <w:pStyle w:val="BodyText"/>
                      </w:pPr>
                    </w:p>
                  </w:txbxContent>
                </v:textbox>
                <w10:wrap type="none"/>
              </v:shape>
            </w:pict>
          </ve:Fallback>
        </ve:AlternateContent>
      </w:r>
      <w:r>
        <w:rPr>
          <w:color w:val="1F1F1F"/>
        </w:rPr>
        <w:t>the</w:t>
      </w:r>
      <w:r>
        <w:rPr>
          <w:color w:val="1F1F1F"/>
          <w:spacing w:val="-16"/>
        </w:rPr>
        <w:t> </w:t>
      </w:r>
      <w:r>
        <w:rPr>
          <w:color w:val="1F1F1F"/>
        </w:rPr>
        <w:t>Comprehensive</w:t>
      </w:r>
      <w:r>
        <w:rPr>
          <w:color w:val="1F1F1F"/>
          <w:spacing w:val="-3"/>
        </w:rPr>
        <w:t> </w:t>
      </w:r>
      <w:r>
        <w:rPr>
          <w:color w:val="1F1F1F"/>
        </w:rPr>
        <w:t>Income</w:t>
      </w:r>
      <w:r>
        <w:rPr>
          <w:color w:val="1F1F1F"/>
          <w:spacing w:val="-9"/>
        </w:rPr>
        <w:t> </w:t>
      </w:r>
      <w:r>
        <w:rPr>
          <w:color w:val="1F1F1F"/>
        </w:rPr>
        <w:t>and</w:t>
      </w:r>
      <w:r>
        <w:rPr>
          <w:color w:val="1F1F1F"/>
          <w:spacing w:val="-15"/>
        </w:rPr>
        <w:t> </w:t>
      </w:r>
      <w:r>
        <w:rPr>
          <w:color w:val="1F1F1F"/>
        </w:rPr>
        <w:t>Expenditure</w:t>
      </w:r>
      <w:r>
        <w:rPr>
          <w:color w:val="1F1F1F"/>
          <w:spacing w:val="5"/>
        </w:rPr>
        <w:t> </w:t>
      </w:r>
      <w:r>
        <w:rPr>
          <w:color w:val="1F1F1F"/>
        </w:rPr>
        <w:t>Statement</w:t>
      </w:r>
      <w:r>
        <w:rPr>
          <w:color w:val="1F1F1F"/>
          <w:spacing w:val="-3"/>
        </w:rPr>
        <w:t> </w:t>
      </w:r>
      <w:r>
        <w:rPr>
          <w:color w:val="363636"/>
          <w:spacing w:val="-2"/>
        </w:rPr>
        <w:t>(note</w:t>
      </w:r>
    </w:p>
    <w:p>
      <w:pPr>
        <w:pStyle w:val="BodyText"/>
        <w:rPr>
          <w:sz w:val="20"/>
        </w:rPr>
      </w:pPr>
    </w:p>
    <w:p>
      <w:pPr>
        <w:pStyle w:val="BodyText"/>
        <w:rPr>
          <w:sz w:val="20"/>
        </w:rPr>
      </w:pPr>
    </w:p>
    <w:p>
      <w:pPr>
        <w:pStyle w:val="BodyText"/>
        <w:spacing w:before="23"/>
        <w:rPr>
          <w:sz w:val="20"/>
        </w:rPr>
      </w:pPr>
      <w:r>
        <w:rPr/>
        <ve:AlternateContent>
          <ve:Choice Requires="wps">
            <w:drawing>
              <wp:anchor distT="0" distB="0" distL="0" distR="0" simplePos="0" relativeHeight="487719424" behindDoc="1" locked="0" layoutInCell="1" allowOverlap="1">
                <wp:simplePos x="0" y="0"/>
                <wp:positionH relativeFrom="page">
                  <wp:posOffset>818181</wp:posOffset>
                </wp:positionH>
                <wp:positionV relativeFrom="paragraph">
                  <wp:posOffset>176140</wp:posOffset>
                </wp:positionV>
                <wp:extent cx="928369" cy="1270"/>
                <wp:effectExtent l="0" t="0" r="0" b="0"/>
                <wp:wrapTopAndBottom/>
                <wp:docPr id="597" name="Graphic 597"/>
                <wp:cNvGraphicFramePr>
                  <a:graphicFrameLocks/>
                </wp:cNvGraphicFramePr>
                <a:graphic>
                  <a:graphicData uri="http://schemas.microsoft.com/office/word/2010/wordprocessingShape">
                    <wps:wsp>
                      <wps:cNvPr id="597" name="Graphic 597"/>
                      <wps:cNvSpPr/>
                      <wps:spPr>
                        <a:xfrm>
                          <a:off x="0" y="0"/>
                          <a:ext cx="928369" cy="1270"/>
                        </a:xfrm>
                        <a:custGeom>
                          <a:avLst/>
                          <a:gdLst/>
                          <a:ahLst/>
                          <a:cxnLst/>
                          <a:rect l="l" t="t" r="r" b="b"/>
                          <a:pathLst>
                            <a:path w="928369" h="0">
                              <a:moveTo>
                                <a:pt x="0" y="0"/>
                              </a:moveTo>
                              <a:lnTo>
                                <a:pt x="928086"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392" style="position:absolute;margin-left:64.423752pt;margin-top:13.869303pt;width:73.1pt;height:.1pt;mso-position-horizontal-relative:page;mso-position-vertical-relative:paragraph;z-index:-15597056;mso-wrap-distance-left:0;mso-wrap-distance-right:0" coordsize="1462,0" coordorigin="1288,277" filled="false" stroked="true" strokecolor="#000000" strokeweight=".720821pt" path="m1288,277l2750,277e">
                <v:path arrowok="t"/>
                <v:stroke dashstyle="solid"/>
                <w10:wrap type="topAndBottom"/>
              </v:shape>
            </w:pict>
          </ve:Fallback>
        </ve:AlternateContent>
      </w:r>
      <w:r>
        <w:rPr/>
        <ve:AlternateContent>
          <ve:Choice Requires="wps">
            <w:drawing>
              <wp:anchor distT="0" distB="0" distL="0" distR="0" simplePos="0" relativeHeight="487719936" behindDoc="1" locked="0" layoutInCell="1" allowOverlap="1">
                <wp:simplePos x="0" y="0"/>
                <wp:positionH relativeFrom="page">
                  <wp:posOffset>805969</wp:posOffset>
                </wp:positionH>
                <wp:positionV relativeFrom="paragraph">
                  <wp:posOffset>462979</wp:posOffset>
                </wp:positionV>
                <wp:extent cx="928369" cy="1270"/>
                <wp:effectExtent l="0" t="0" r="0" b="0"/>
                <wp:wrapTopAndBottom/>
                <wp:docPr id="598" name="Graphic 598"/>
                <wp:cNvGraphicFramePr>
                  <a:graphicFrameLocks/>
                </wp:cNvGraphicFramePr>
                <a:graphic>
                  <a:graphicData uri="http://schemas.microsoft.com/office/word/2010/wordprocessingShape">
                    <wps:wsp>
                      <wps:cNvPr id="598" name="Graphic 598"/>
                      <wps:cNvSpPr/>
                      <wps:spPr>
                        <a:xfrm>
                          <a:off x="0" y="0"/>
                          <a:ext cx="928369" cy="1270"/>
                        </a:xfrm>
                        <a:custGeom>
                          <a:avLst/>
                          <a:gdLst/>
                          <a:ahLst/>
                          <a:cxnLst/>
                          <a:rect l="l" t="t" r="r" b="b"/>
                          <a:pathLst>
                            <a:path w="928369" h="0">
                              <a:moveTo>
                                <a:pt x="0" y="0"/>
                              </a:moveTo>
                              <a:lnTo>
                                <a:pt x="928086"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393" style="position:absolute;margin-left:63.4622pt;margin-top:36.455044pt;width:73.1pt;height:.1pt;mso-position-horizontal-relative:page;mso-position-vertical-relative:paragraph;z-index:-15596544;mso-wrap-distance-left:0;mso-wrap-distance-right:0" coordsize="1462,0" coordorigin="1269,729" filled="false" stroked="true" strokecolor="#000000" strokeweight=".720821pt" path="m1269,729l2731,729e">
                <v:path arrowok="t"/>
                <v:stroke dashstyle="solid"/>
                <w10:wrap type="topAndBottom"/>
              </v:shape>
            </w:pict>
          </ve:Fallback>
        </ve:AlternateContent>
      </w:r>
    </w:p>
    <w:p>
      <w:pPr>
        <w:pStyle w:val="BodyText"/>
        <w:spacing w:before="190"/>
        <w:rPr>
          <w:sz w:val="20"/>
        </w:rPr>
      </w:pPr>
    </w:p>
    <w:p>
      <w:pPr>
        <w:pStyle w:val="BodyText"/>
      </w:pPr>
    </w:p>
    <w:p>
      <w:pPr>
        <w:pStyle w:val="BodyText"/>
      </w:pPr>
    </w:p>
    <w:p>
      <w:pPr>
        <w:pStyle w:val="BodyText"/>
        <w:spacing w:before="163"/>
      </w:pPr>
    </w:p>
    <w:p>
      <w:pPr>
        <w:pStyle w:val="BodyText"/>
        <w:spacing w:line="237" w:lineRule="auto"/>
        <w:ind w:left="1199" w:right="386" w:firstLine="1"/>
      </w:pPr>
      <w:r>
        <w:rPr>
          <w:color w:val="1F1F1F"/>
        </w:rPr>
        <w:t>The Accumulated Absences Account absorbs the differences that would </w:t>
      </w:r>
      <w:r>
        <w:rPr>
          <w:color w:val="0C0C0C"/>
        </w:rPr>
        <w:t>o</w:t>
      </w:r>
      <w:r>
        <w:rPr>
          <w:color w:val="363636"/>
        </w:rPr>
        <w:t>therwise </w:t>
      </w:r>
      <w:r>
        <w:rPr>
          <w:color w:val="1F1F1F"/>
        </w:rPr>
        <w:t>arise on the</w:t>
      </w:r>
      <w:r>
        <w:rPr>
          <w:color w:val="1F1F1F"/>
          <w:spacing w:val="40"/>
        </w:rPr>
        <w:t> </w:t>
      </w:r>
      <w:r>
        <w:rPr>
          <w:color w:val="1F1F1F"/>
        </w:rPr>
        <w:t>General</w:t>
      </w:r>
      <w:r>
        <w:rPr>
          <w:color w:val="1F1F1F"/>
          <w:spacing w:val="-4"/>
        </w:rPr>
        <w:t> </w:t>
      </w:r>
      <w:r>
        <w:rPr>
          <w:color w:val="1F1F1F"/>
        </w:rPr>
        <w:t>Fund</w:t>
      </w:r>
      <w:r>
        <w:rPr>
          <w:color w:val="1F1F1F"/>
          <w:spacing w:val="-15"/>
        </w:rPr>
        <w:t> </w:t>
      </w:r>
      <w:r>
        <w:rPr>
          <w:color w:val="1F1F1F"/>
        </w:rPr>
        <w:t>balance</w:t>
      </w:r>
      <w:r>
        <w:rPr>
          <w:color w:val="1F1F1F"/>
          <w:spacing w:val="1"/>
        </w:rPr>
        <w:t> </w:t>
      </w:r>
      <w:r>
        <w:rPr>
          <w:color w:val="1F1F1F"/>
        </w:rPr>
        <w:t>from</w:t>
      </w:r>
      <w:r>
        <w:rPr>
          <w:color w:val="1F1F1F"/>
          <w:spacing w:val="-3"/>
        </w:rPr>
        <w:t> </w:t>
      </w:r>
      <w:r>
        <w:rPr>
          <w:color w:val="1F1F1F"/>
        </w:rPr>
        <w:t>accruing</w:t>
      </w:r>
      <w:r>
        <w:rPr>
          <w:color w:val="1F1F1F"/>
          <w:spacing w:val="-3"/>
        </w:rPr>
        <w:t> </w:t>
      </w:r>
      <w:r>
        <w:rPr>
          <w:color w:val="1F1F1F"/>
        </w:rPr>
        <w:t>for</w:t>
      </w:r>
      <w:r>
        <w:rPr>
          <w:color w:val="1F1F1F"/>
          <w:spacing w:val="-7"/>
        </w:rPr>
        <w:t> </w:t>
      </w:r>
      <w:r>
        <w:rPr>
          <w:color w:val="1F1F1F"/>
        </w:rPr>
        <w:t>compensated</w:t>
      </w:r>
      <w:r>
        <w:rPr>
          <w:color w:val="1F1F1F"/>
          <w:spacing w:val="10"/>
        </w:rPr>
        <w:t> </w:t>
      </w:r>
      <w:r>
        <w:rPr>
          <w:color w:val="1F1F1F"/>
        </w:rPr>
        <w:t>absences</w:t>
      </w:r>
      <w:r>
        <w:rPr>
          <w:color w:val="1F1F1F"/>
          <w:spacing w:val="1"/>
        </w:rPr>
        <w:t> </w:t>
      </w:r>
      <w:r>
        <w:rPr>
          <w:color w:val="1F1F1F"/>
        </w:rPr>
        <w:t>earned</w:t>
      </w:r>
      <w:r>
        <w:rPr>
          <w:color w:val="1F1F1F"/>
          <w:spacing w:val="-12"/>
        </w:rPr>
        <w:t> </w:t>
      </w:r>
      <w:r>
        <w:rPr>
          <w:color w:val="1F1F1F"/>
        </w:rPr>
        <w:t>but</w:t>
      </w:r>
      <w:r>
        <w:rPr>
          <w:color w:val="1F1F1F"/>
          <w:spacing w:val="-3"/>
        </w:rPr>
        <w:t> </w:t>
      </w:r>
      <w:r>
        <w:rPr>
          <w:color w:val="1F1F1F"/>
        </w:rPr>
        <w:t>not</w:t>
      </w:r>
      <w:r>
        <w:rPr>
          <w:color w:val="1F1F1F"/>
          <w:spacing w:val="-7"/>
        </w:rPr>
        <w:t> </w:t>
      </w:r>
      <w:r>
        <w:rPr>
          <w:color w:val="1F1F1F"/>
        </w:rPr>
        <w:t>taken</w:t>
      </w:r>
      <w:r>
        <w:rPr>
          <w:color w:val="1F1F1F"/>
          <w:spacing w:val="-9"/>
        </w:rPr>
        <w:t> </w:t>
      </w:r>
      <w:r>
        <w:rPr>
          <w:color w:val="363636"/>
        </w:rPr>
        <w:t>in</w:t>
      </w:r>
      <w:r>
        <w:rPr>
          <w:color w:val="363636"/>
          <w:spacing w:val="-18"/>
        </w:rPr>
        <w:t> </w:t>
      </w:r>
      <w:r>
        <w:rPr>
          <w:color w:val="1F1F1F"/>
        </w:rPr>
        <w:t>the</w:t>
      </w:r>
      <w:r>
        <w:rPr>
          <w:color w:val="1F1F1F"/>
          <w:spacing w:val="1"/>
        </w:rPr>
        <w:t> </w:t>
      </w:r>
      <w:r>
        <w:rPr>
          <w:color w:val="1F1F1F"/>
          <w:spacing w:val="-2"/>
        </w:rPr>
        <w:t>year</w:t>
      </w:r>
      <w:r>
        <w:rPr>
          <w:color w:val="565656"/>
          <w:spacing w:val="-2"/>
        </w:rPr>
        <w:t>,</w:t>
      </w:r>
    </w:p>
    <w:p>
      <w:pPr>
        <w:pStyle w:val="BodyText"/>
        <w:spacing w:before="2"/>
        <w:ind w:left="1201" w:right="386" w:firstLine="1"/>
      </w:pPr>
      <w:r>
        <w:rPr>
          <w:color w:val="1F1F1F"/>
        </w:rPr>
        <w:t>e.g</w:t>
      </w:r>
      <w:r>
        <w:rPr>
          <w:color w:val="565656"/>
        </w:rPr>
        <w:t>.</w:t>
      </w:r>
      <w:r>
        <w:rPr>
          <w:color w:val="565656"/>
          <w:spacing w:val="-23"/>
        </w:rPr>
        <w:t> </w:t>
      </w:r>
      <w:r>
        <w:rPr>
          <w:color w:val="1F1F1F"/>
        </w:rPr>
        <w:t>annual</w:t>
      </w:r>
      <w:r>
        <w:rPr>
          <w:color w:val="1F1F1F"/>
          <w:spacing w:val="-16"/>
        </w:rPr>
        <w:t> </w:t>
      </w:r>
      <w:r>
        <w:rPr>
          <w:color w:val="1F1F1F"/>
        </w:rPr>
        <w:t>leave</w:t>
      </w:r>
      <w:r>
        <w:rPr>
          <w:color w:val="1F1F1F"/>
          <w:spacing w:val="-8"/>
        </w:rPr>
        <w:t> </w:t>
      </w:r>
      <w:r>
        <w:rPr>
          <w:color w:val="1F1F1F"/>
        </w:rPr>
        <w:t>entitlement carried</w:t>
      </w:r>
      <w:r>
        <w:rPr>
          <w:color w:val="1F1F1F"/>
          <w:spacing w:val="-11"/>
        </w:rPr>
        <w:t> </w:t>
      </w:r>
      <w:r>
        <w:rPr>
          <w:color w:val="1F1F1F"/>
        </w:rPr>
        <w:t>forward</w:t>
      </w:r>
      <w:r>
        <w:rPr>
          <w:color w:val="1F1F1F"/>
          <w:spacing w:val="-2"/>
        </w:rPr>
        <w:t> </w:t>
      </w:r>
      <w:r>
        <w:rPr>
          <w:color w:val="1F1F1F"/>
        </w:rPr>
        <w:t>at</w:t>
      </w:r>
      <w:r>
        <w:rPr>
          <w:color w:val="1F1F1F"/>
          <w:spacing w:val="-15"/>
        </w:rPr>
        <w:t> </w:t>
      </w:r>
      <w:r>
        <w:rPr>
          <w:color w:val="1F1F1F"/>
        </w:rPr>
        <w:t>31</w:t>
      </w:r>
      <w:r>
        <w:rPr>
          <w:color w:val="1F1F1F"/>
          <w:spacing w:val="-16"/>
        </w:rPr>
        <w:t> </w:t>
      </w:r>
      <w:r>
        <w:rPr>
          <w:color w:val="1F1F1F"/>
        </w:rPr>
        <w:t>March.</w:t>
      </w:r>
      <w:r>
        <w:rPr>
          <w:color w:val="1F1F1F"/>
          <w:spacing w:val="40"/>
        </w:rPr>
        <w:t> </w:t>
      </w:r>
      <w:r>
        <w:rPr>
          <w:color w:val="1F1F1F"/>
        </w:rPr>
        <w:t>Statutory arrangements</w:t>
      </w:r>
      <w:r>
        <w:rPr>
          <w:color w:val="1F1F1F"/>
          <w:spacing w:val="-1"/>
        </w:rPr>
        <w:t> </w:t>
      </w:r>
      <w:r>
        <w:rPr>
          <w:color w:val="1F1F1F"/>
        </w:rPr>
        <w:t>require</w:t>
      </w:r>
      <w:r>
        <w:rPr>
          <w:color w:val="1F1F1F"/>
          <w:spacing w:val="-10"/>
        </w:rPr>
        <w:t> </w:t>
      </w:r>
      <w:r>
        <w:rPr>
          <w:color w:val="1F1F1F"/>
        </w:rPr>
        <w:t>that</w:t>
      </w:r>
      <w:r>
        <w:rPr>
          <w:color w:val="1F1F1F"/>
          <w:spacing w:val="-10"/>
        </w:rPr>
        <w:t> </w:t>
      </w:r>
      <w:r>
        <w:rPr>
          <w:color w:val="1F1F1F"/>
        </w:rPr>
        <w:t>the </w:t>
      </w:r>
      <w:r>
        <w:rPr>
          <w:color w:val="363636"/>
        </w:rPr>
        <w:t>impact </w:t>
      </w:r>
      <w:r>
        <w:rPr>
          <w:color w:val="1F1F1F"/>
        </w:rPr>
        <w:t>on</w:t>
      </w:r>
      <w:r>
        <w:rPr>
          <w:color w:val="1F1F1F"/>
          <w:spacing w:val="-3"/>
        </w:rPr>
        <w:t> </w:t>
      </w:r>
      <w:r>
        <w:rPr>
          <w:color w:val="1F1F1F"/>
        </w:rPr>
        <w:t>the General </w:t>
      </w:r>
      <w:r>
        <w:rPr>
          <w:color w:val="0C0C0C"/>
        </w:rPr>
        <w:t>Fund </w:t>
      </w:r>
      <w:r>
        <w:rPr>
          <w:color w:val="1F1F1F"/>
        </w:rPr>
        <w:t>balance is neutralised by transfers to or from the account.</w:t>
      </w:r>
    </w:p>
    <w:p>
      <w:pPr>
        <w:pStyle w:val="BodyText"/>
        <w:rPr>
          <w:sz w:val="20"/>
        </w:rPr>
      </w:pPr>
    </w:p>
    <w:p>
      <w:pPr>
        <w:pStyle w:val="BodyText"/>
        <w:spacing w:before="228"/>
        <w:rPr>
          <w:sz w:val="20"/>
        </w:rPr>
      </w:pPr>
    </w:p>
    <w:tbl>
      <w:tblPr>
        <w:tblW w:w="0" w:type="auto"/>
        <w:jc w:val="left"/>
        <w:tblInd w:w="129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08"/>
        <w:gridCol w:w="7097"/>
        <w:gridCol w:w="1308"/>
      </w:tblGrid>
      <w:tr>
        <w:trPr>
          <w:trHeight w:val="257" w:hRule="atLeast"/>
        </w:trPr>
        <w:tc>
          <w:tcPr>
            <w:tcW w:w="1308" w:type="dxa"/>
          </w:tcPr>
          <w:p>
            <w:pPr>
              <w:pStyle w:val="TableParagraph"/>
              <w:spacing w:before="2" w:line="235" w:lineRule="exact"/>
              <w:ind w:left="244"/>
              <w:rPr>
                <w:b/>
                <w:sz w:val="22"/>
              </w:rPr>
            </w:pPr>
            <w:r>
              <w:rPr>
                <w:b/>
                <w:color w:val="0C0C0C"/>
                <w:spacing w:val="-4"/>
                <w:sz w:val="22"/>
              </w:rPr>
              <w:t>2021-</w:t>
            </w:r>
            <w:r>
              <w:rPr>
                <w:b/>
                <w:color w:val="0C0C0C"/>
                <w:spacing w:val="-5"/>
                <w:sz w:val="22"/>
              </w:rPr>
              <w:t>22</w:t>
            </w:r>
          </w:p>
        </w:tc>
        <w:tc>
          <w:tcPr>
            <w:tcW w:w="7097" w:type="dxa"/>
          </w:tcPr>
          <w:p>
            <w:pPr>
              <w:pStyle w:val="TableParagraph"/>
              <w:rPr>
                <w:rFonts w:ascii="Times New Roman"/>
                <w:sz w:val="18"/>
              </w:rPr>
            </w:pPr>
          </w:p>
        </w:tc>
        <w:tc>
          <w:tcPr>
            <w:tcW w:w="1308" w:type="dxa"/>
          </w:tcPr>
          <w:p>
            <w:pPr>
              <w:pStyle w:val="TableParagraph"/>
              <w:spacing w:line="238" w:lineRule="exact"/>
              <w:ind w:left="238"/>
              <w:rPr>
                <w:b/>
                <w:sz w:val="22"/>
              </w:rPr>
            </w:pPr>
            <w:r>
              <w:rPr>
                <w:b/>
                <w:color w:val="0C0C0C"/>
                <w:spacing w:val="-2"/>
                <w:sz w:val="22"/>
              </w:rPr>
              <w:t>2022-</w:t>
            </w:r>
            <w:r>
              <w:rPr>
                <w:b/>
                <w:color w:val="0C0C0C"/>
                <w:spacing w:val="-5"/>
                <w:sz w:val="22"/>
              </w:rPr>
              <w:t>23</w:t>
            </w:r>
          </w:p>
        </w:tc>
      </w:tr>
      <w:tr>
        <w:trPr>
          <w:trHeight w:val="252" w:hRule="atLeast"/>
        </w:trPr>
        <w:tc>
          <w:tcPr>
            <w:tcW w:w="1308" w:type="dxa"/>
          </w:tcPr>
          <w:p>
            <w:pPr>
              <w:pStyle w:val="TableParagraph"/>
              <w:spacing w:line="232" w:lineRule="exact"/>
              <w:ind w:left="397"/>
              <w:rPr>
                <w:b/>
                <w:sz w:val="22"/>
              </w:rPr>
            </w:pPr>
            <w:r>
              <w:rPr>
                <w:b/>
                <w:color w:val="0C0C0C"/>
                <w:spacing w:val="-4"/>
                <w:sz w:val="22"/>
              </w:rPr>
              <w:t>£000</w:t>
            </w:r>
          </w:p>
        </w:tc>
        <w:tc>
          <w:tcPr>
            <w:tcW w:w="7097" w:type="dxa"/>
          </w:tcPr>
          <w:p>
            <w:pPr>
              <w:pStyle w:val="TableParagraph"/>
              <w:rPr>
                <w:rFonts w:ascii="Times New Roman"/>
                <w:sz w:val="18"/>
              </w:rPr>
            </w:pPr>
          </w:p>
        </w:tc>
        <w:tc>
          <w:tcPr>
            <w:tcW w:w="1308" w:type="dxa"/>
          </w:tcPr>
          <w:p>
            <w:pPr>
              <w:pStyle w:val="TableParagraph"/>
              <w:spacing w:line="232" w:lineRule="exact"/>
              <w:ind w:left="396"/>
              <w:rPr>
                <w:b/>
                <w:sz w:val="22"/>
              </w:rPr>
            </w:pPr>
            <w:r>
              <w:rPr>
                <w:b/>
                <w:color w:val="0C0C0C"/>
                <w:spacing w:val="-4"/>
                <w:sz w:val="22"/>
              </w:rPr>
              <w:t>£000</w:t>
            </w:r>
          </w:p>
        </w:tc>
      </w:tr>
      <w:tr>
        <w:trPr>
          <w:trHeight w:val="348" w:hRule="atLeast"/>
        </w:trPr>
        <w:tc>
          <w:tcPr>
            <w:tcW w:w="1308" w:type="dxa"/>
          </w:tcPr>
          <w:p>
            <w:pPr>
              <w:pStyle w:val="TableParagraph"/>
              <w:spacing w:line="250" w:lineRule="exact"/>
              <w:ind w:right="130"/>
              <w:jc w:val="right"/>
              <w:rPr>
                <w:b/>
                <w:sz w:val="22"/>
              </w:rPr>
            </w:pPr>
            <w:r>
              <w:rPr>
                <w:b/>
                <w:color w:val="0C0C0C"/>
                <w:spacing w:val="-5"/>
                <w:sz w:val="22"/>
              </w:rPr>
              <w:t>106</w:t>
            </w:r>
          </w:p>
        </w:tc>
        <w:tc>
          <w:tcPr>
            <w:tcW w:w="7097" w:type="dxa"/>
          </w:tcPr>
          <w:p>
            <w:pPr>
              <w:pStyle w:val="TableParagraph"/>
              <w:spacing w:line="246" w:lineRule="exact"/>
              <w:ind w:left="401"/>
              <w:rPr>
                <w:b/>
                <w:sz w:val="22"/>
              </w:rPr>
            </w:pPr>
            <w:r>
              <w:rPr>
                <w:b/>
                <w:color w:val="0C0C0C"/>
                <w:sz w:val="22"/>
              </w:rPr>
              <w:t>Balance</w:t>
            </w:r>
            <w:r>
              <w:rPr>
                <w:b/>
                <w:color w:val="0C0C0C"/>
                <w:spacing w:val="11"/>
                <w:sz w:val="22"/>
              </w:rPr>
              <w:t> </w:t>
            </w:r>
            <w:r>
              <w:rPr>
                <w:b/>
                <w:color w:val="0C0C0C"/>
                <w:sz w:val="22"/>
              </w:rPr>
              <w:t>as</w:t>
            </w:r>
            <w:r>
              <w:rPr>
                <w:b/>
                <w:color w:val="0C0C0C"/>
                <w:spacing w:val="-1"/>
                <w:sz w:val="22"/>
              </w:rPr>
              <w:t> </w:t>
            </w:r>
            <w:r>
              <w:rPr>
                <w:b/>
                <w:color w:val="0C0C0C"/>
                <w:sz w:val="22"/>
              </w:rPr>
              <w:t>at</w:t>
            </w:r>
            <w:r>
              <w:rPr>
                <w:b/>
                <w:color w:val="0C0C0C"/>
                <w:spacing w:val="-13"/>
                <w:sz w:val="22"/>
              </w:rPr>
              <w:t> </w:t>
            </w:r>
            <w:r>
              <w:rPr>
                <w:b/>
                <w:color w:val="0C0C0C"/>
                <w:sz w:val="22"/>
              </w:rPr>
              <w:t>1</w:t>
            </w:r>
            <w:r>
              <w:rPr>
                <w:b/>
                <w:color w:val="0C0C0C"/>
                <w:spacing w:val="6"/>
                <w:sz w:val="22"/>
              </w:rPr>
              <w:t> </w:t>
            </w:r>
            <w:r>
              <w:rPr>
                <w:b/>
                <w:color w:val="0C0C0C"/>
                <w:spacing w:val="-2"/>
                <w:sz w:val="22"/>
              </w:rPr>
              <w:t>April</w:t>
            </w:r>
          </w:p>
        </w:tc>
        <w:tc>
          <w:tcPr>
            <w:tcW w:w="1308" w:type="dxa"/>
          </w:tcPr>
          <w:p>
            <w:pPr>
              <w:pStyle w:val="TableParagraph"/>
              <w:spacing w:line="246" w:lineRule="exact"/>
              <w:ind w:right="157"/>
              <w:jc w:val="right"/>
              <w:rPr>
                <w:b/>
                <w:sz w:val="22"/>
              </w:rPr>
            </w:pPr>
            <w:r>
              <w:rPr>
                <w:b/>
                <w:color w:val="0C0C0C"/>
                <w:spacing w:val="-5"/>
                <w:w w:val="105"/>
                <w:sz w:val="22"/>
              </w:rPr>
              <w:t>128</w:t>
            </w:r>
          </w:p>
        </w:tc>
      </w:tr>
      <w:tr>
        <w:trPr>
          <w:trHeight w:val="852" w:hRule="atLeast"/>
        </w:trPr>
        <w:tc>
          <w:tcPr>
            <w:tcW w:w="1308" w:type="dxa"/>
          </w:tcPr>
          <w:p>
            <w:pPr>
              <w:pStyle w:val="TableParagraph"/>
              <w:spacing w:before="96"/>
              <w:ind w:right="124"/>
              <w:jc w:val="right"/>
              <w:rPr>
                <w:sz w:val="22"/>
              </w:rPr>
            </w:pPr>
            <w:r>
              <w:rPr>
                <w:color w:val="0C0C0C"/>
                <w:spacing w:val="-5"/>
                <w:sz w:val="22"/>
              </w:rPr>
              <w:t>22</w:t>
            </w:r>
          </w:p>
        </w:tc>
        <w:tc>
          <w:tcPr>
            <w:tcW w:w="7097" w:type="dxa"/>
          </w:tcPr>
          <w:p>
            <w:pPr>
              <w:pStyle w:val="TableParagraph"/>
              <w:spacing w:before="91"/>
              <w:ind w:left="403"/>
              <w:rPr>
                <w:sz w:val="22"/>
              </w:rPr>
            </w:pPr>
            <w:r>
              <w:rPr>
                <w:color w:val="0C0C0C"/>
                <w:sz w:val="22"/>
              </w:rPr>
              <w:t>Amount by</w:t>
            </w:r>
            <w:r>
              <w:rPr>
                <w:color w:val="0C0C0C"/>
                <w:spacing w:val="-4"/>
                <w:sz w:val="22"/>
              </w:rPr>
              <w:t> </w:t>
            </w:r>
            <w:r>
              <w:rPr>
                <w:color w:val="0C0C0C"/>
                <w:sz w:val="22"/>
              </w:rPr>
              <w:t>which</w:t>
            </w:r>
            <w:r>
              <w:rPr>
                <w:color w:val="0C0C0C"/>
                <w:spacing w:val="-6"/>
                <w:sz w:val="22"/>
              </w:rPr>
              <w:t> </w:t>
            </w:r>
            <w:r>
              <w:rPr>
                <w:color w:val="0C0C0C"/>
                <w:sz w:val="22"/>
              </w:rPr>
              <w:t>remuneration</w:t>
            </w:r>
            <w:r>
              <w:rPr>
                <w:color w:val="0C0C0C"/>
                <w:spacing w:val="10"/>
                <w:sz w:val="22"/>
              </w:rPr>
              <w:t> </w:t>
            </w:r>
            <w:r>
              <w:rPr>
                <w:color w:val="0C0C0C"/>
                <w:sz w:val="22"/>
              </w:rPr>
              <w:t>charged</w:t>
            </w:r>
            <w:r>
              <w:rPr>
                <w:color w:val="0C0C0C"/>
                <w:spacing w:val="-5"/>
                <w:sz w:val="22"/>
              </w:rPr>
              <w:t> </w:t>
            </w:r>
            <w:r>
              <w:rPr>
                <w:color w:val="0C0C0C"/>
                <w:sz w:val="22"/>
              </w:rPr>
              <w:t>to</w:t>
            </w:r>
            <w:r>
              <w:rPr>
                <w:color w:val="0C0C0C"/>
                <w:spacing w:val="-14"/>
                <w:sz w:val="22"/>
              </w:rPr>
              <w:t> </w:t>
            </w:r>
            <w:r>
              <w:rPr>
                <w:color w:val="0C0C0C"/>
                <w:sz w:val="22"/>
              </w:rPr>
              <w:t>the</w:t>
            </w:r>
            <w:r>
              <w:rPr>
                <w:color w:val="0C0C0C"/>
                <w:spacing w:val="-10"/>
                <w:sz w:val="22"/>
              </w:rPr>
              <w:t> </w:t>
            </w:r>
            <w:r>
              <w:rPr>
                <w:color w:val="0C0C0C"/>
                <w:spacing w:val="-2"/>
                <w:sz w:val="22"/>
              </w:rPr>
              <w:t>Comprehensive</w:t>
            </w:r>
          </w:p>
          <w:p>
            <w:pPr>
              <w:pStyle w:val="TableParagraph"/>
              <w:spacing w:line="250" w:lineRule="exact"/>
              <w:ind w:left="411" w:hanging="9"/>
              <w:rPr>
                <w:sz w:val="22"/>
              </w:rPr>
            </w:pPr>
            <w:r>
              <w:rPr>
                <w:color w:val="0C0C0C"/>
                <w:sz w:val="22"/>
              </w:rPr>
              <w:t>Income and</w:t>
            </w:r>
            <w:r>
              <w:rPr>
                <w:color w:val="0C0C0C"/>
                <w:spacing w:val="-7"/>
                <w:sz w:val="22"/>
              </w:rPr>
              <w:t> </w:t>
            </w:r>
            <w:r>
              <w:rPr>
                <w:color w:val="0C0C0C"/>
                <w:sz w:val="22"/>
              </w:rPr>
              <w:t>Expenditure Statement on</w:t>
            </w:r>
            <w:r>
              <w:rPr>
                <w:color w:val="0C0C0C"/>
                <w:spacing w:val="-10"/>
                <w:sz w:val="22"/>
              </w:rPr>
              <w:t> </w:t>
            </w:r>
            <w:r>
              <w:rPr>
                <w:color w:val="0C0C0C"/>
                <w:sz w:val="22"/>
              </w:rPr>
              <w:t>an</w:t>
            </w:r>
            <w:r>
              <w:rPr>
                <w:color w:val="0C0C0C"/>
                <w:spacing w:val="-14"/>
                <w:sz w:val="22"/>
              </w:rPr>
              <w:t> </w:t>
            </w:r>
            <w:r>
              <w:rPr>
                <w:color w:val="0C0C0C"/>
                <w:sz w:val="22"/>
              </w:rPr>
              <w:t>accrual</w:t>
            </w:r>
            <w:r>
              <w:rPr>
                <w:color w:val="0C0C0C"/>
                <w:spacing w:val="-3"/>
                <w:sz w:val="22"/>
              </w:rPr>
              <w:t> </w:t>
            </w:r>
            <w:r>
              <w:rPr>
                <w:color w:val="0C0C0C"/>
                <w:sz w:val="22"/>
              </w:rPr>
              <w:t>basis</w:t>
            </w:r>
            <w:r>
              <w:rPr>
                <w:color w:val="0C0C0C"/>
                <w:spacing w:val="-6"/>
                <w:sz w:val="22"/>
              </w:rPr>
              <w:t> </w:t>
            </w:r>
            <w:r>
              <w:rPr>
                <w:color w:val="0C0C0C"/>
                <w:sz w:val="22"/>
              </w:rPr>
              <w:t>is</w:t>
            </w:r>
            <w:r>
              <w:rPr>
                <w:color w:val="0C0C0C"/>
                <w:spacing w:val="-8"/>
                <w:sz w:val="22"/>
              </w:rPr>
              <w:t> </w:t>
            </w:r>
            <w:r>
              <w:rPr>
                <w:color w:val="0C0C0C"/>
                <w:sz w:val="22"/>
              </w:rPr>
              <w:t>different from remuneration chargeable in accordance with statutory</w:t>
            </w:r>
          </w:p>
        </w:tc>
        <w:tc>
          <w:tcPr>
            <w:tcW w:w="1308" w:type="dxa"/>
          </w:tcPr>
          <w:p>
            <w:pPr>
              <w:pStyle w:val="TableParagraph"/>
              <w:spacing w:before="91"/>
              <w:ind w:right="150"/>
              <w:jc w:val="right"/>
              <w:rPr>
                <w:sz w:val="22"/>
              </w:rPr>
            </w:pPr>
            <w:r>
              <w:rPr>
                <w:color w:val="0C0C0C"/>
                <w:spacing w:val="-10"/>
                <w:w w:val="110"/>
                <w:sz w:val="22"/>
              </w:rPr>
              <w:t>5</w:t>
            </w:r>
          </w:p>
        </w:tc>
      </w:tr>
      <w:tr>
        <w:trPr>
          <w:trHeight w:val="470" w:hRule="atLeast"/>
        </w:trPr>
        <w:tc>
          <w:tcPr>
            <w:tcW w:w="1308" w:type="dxa"/>
            <w:tcBorders>
              <w:bottom w:val="single" w:color="000000" w:sz="6" w:space="0"/>
            </w:tcBorders>
          </w:tcPr>
          <w:p>
            <w:pPr>
              <w:pStyle w:val="TableParagraph"/>
              <w:rPr>
                <w:rFonts w:ascii="Times New Roman"/>
                <w:sz w:val="20"/>
              </w:rPr>
            </w:pPr>
          </w:p>
        </w:tc>
        <w:tc>
          <w:tcPr>
            <w:tcW w:w="7097" w:type="dxa"/>
          </w:tcPr>
          <w:p>
            <w:pPr>
              <w:pStyle w:val="TableParagraph"/>
              <w:spacing w:line="250" w:lineRule="exact"/>
              <w:ind w:left="403"/>
              <w:rPr>
                <w:sz w:val="22"/>
              </w:rPr>
            </w:pPr>
            <w:r>
              <w:rPr>
                <w:color w:val="0C0C0C"/>
                <w:spacing w:val="-2"/>
                <w:sz w:val="22"/>
              </w:rPr>
              <w:t>requirements</w:t>
            </w:r>
          </w:p>
        </w:tc>
        <w:tc>
          <w:tcPr>
            <w:tcW w:w="1308" w:type="dxa"/>
            <w:tcBorders>
              <w:bottom w:val="single" w:color="000000" w:sz="6" w:space="0"/>
            </w:tcBorders>
          </w:tcPr>
          <w:p>
            <w:pPr>
              <w:pStyle w:val="TableParagraph"/>
              <w:rPr>
                <w:rFonts w:ascii="Times New Roman"/>
                <w:sz w:val="20"/>
              </w:rPr>
            </w:pPr>
          </w:p>
        </w:tc>
      </w:tr>
      <w:tr>
        <w:trPr>
          <w:trHeight w:val="465" w:hRule="atLeast"/>
        </w:trPr>
        <w:tc>
          <w:tcPr>
            <w:tcW w:w="1308" w:type="dxa"/>
            <w:tcBorders>
              <w:top w:val="single" w:color="000000" w:sz="6" w:space="0"/>
            </w:tcBorders>
          </w:tcPr>
          <w:p>
            <w:pPr>
              <w:pStyle w:val="TableParagraph"/>
              <w:spacing w:before="93"/>
              <w:ind w:right="125"/>
              <w:jc w:val="right"/>
              <w:rPr>
                <w:b/>
                <w:sz w:val="22"/>
              </w:rPr>
            </w:pPr>
            <w:r>
              <w:rPr/>
              <ve:AlternateContent>
                <ve:Choice Requires="wps">
                  <w:drawing>
                    <wp:anchor distT="0" distB="0" distL="0" distR="0" simplePos="0" relativeHeight="15861760" behindDoc="0" locked="0" layoutInCell="1" allowOverlap="1">
                      <wp:simplePos x="0" y="0"/>
                      <wp:positionH relativeFrom="column">
                        <wp:posOffset>-12211</wp:posOffset>
                      </wp:positionH>
                      <wp:positionV relativeFrom="paragraph">
                        <wp:posOffset>280110</wp:posOffset>
                      </wp:positionV>
                      <wp:extent cx="842644" cy="9525"/>
                      <wp:effectExtent l="0" t="0" r="0" b="0"/>
                      <wp:wrapNone/>
                      <wp:docPr id="599" name="Group 599"/>
                      <wp:cNvGraphicFramePr>
                        <a:graphicFrameLocks/>
                      </wp:cNvGraphicFramePr>
                      <a:graphic>
                        <a:graphicData uri="http://schemas.microsoft.com/office/word/2010/wordprocessingGroup">
                          <wpg:wgp>
                            <wpg:cNvPr id="599" name="Group 599"/>
                            <wpg:cNvGrpSpPr/>
                            <wpg:grpSpPr>
                              <a:xfrm>
                                <a:off x="0" y="0"/>
                                <a:ext cx="842644" cy="9525"/>
                                <a:chExt cx="842644" cy="9525"/>
                              </a:xfrm>
                            </wpg:grpSpPr>
                            <wps:wsp>
                              <wps:cNvPr id="600" name="Graphic 600"/>
                              <wps:cNvSpPr/>
                              <wps:spPr>
                                <a:xfrm>
                                  <a:off x="0" y="4577"/>
                                  <a:ext cx="842644" cy="1270"/>
                                </a:xfrm>
                                <a:custGeom>
                                  <a:avLst/>
                                  <a:gdLst/>
                                  <a:ahLst/>
                                  <a:cxnLst/>
                                  <a:rect l="l" t="t" r="r" b="b"/>
                                  <a:pathLst>
                                    <a:path w="842644" h="0">
                                      <a:moveTo>
                                        <a:pt x="0" y="0"/>
                                      </a:moveTo>
                                      <a:lnTo>
                                        <a:pt x="842604"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94" style="position:absolute;margin-left:-.961549pt;margin-top:22.055939pt;width:66.350pt;height:.75pt;mso-position-horizontal-relative:column;mso-position-vertical-relative:paragraph;z-index:15861760" coordsize="1327,15" coordorigin="-19,441">
                      <v:line style="position:absolute" stroked="true" strokecolor="#000000" strokeweight=".720821pt" from="-19,448" to="1308,448">
                        <v:stroke dashstyle="solid"/>
                      </v:line>
                      <w10:wrap type="none"/>
                    </v:group>
                  </w:pict>
                </ve:Fallback>
              </ve:AlternateContent>
            </w:r>
            <w:r>
              <w:rPr>
                <w:b/>
                <w:color w:val="0C0C0C"/>
                <w:spacing w:val="-5"/>
                <w:sz w:val="22"/>
              </w:rPr>
              <w:t>128</w:t>
            </w:r>
          </w:p>
        </w:tc>
        <w:tc>
          <w:tcPr>
            <w:tcW w:w="7097" w:type="dxa"/>
          </w:tcPr>
          <w:p>
            <w:pPr>
              <w:pStyle w:val="TableParagraph"/>
              <w:spacing w:before="103"/>
              <w:ind w:left="406"/>
              <w:rPr>
                <w:b/>
                <w:sz w:val="22"/>
              </w:rPr>
            </w:pPr>
            <w:r>
              <w:rPr>
                <w:b/>
                <w:color w:val="0C0C0C"/>
                <w:sz w:val="22"/>
              </w:rPr>
              <w:t>Balance</w:t>
            </w:r>
            <w:r>
              <w:rPr>
                <w:b/>
                <w:color w:val="0C0C0C"/>
                <w:spacing w:val="12"/>
                <w:sz w:val="22"/>
              </w:rPr>
              <w:t> </w:t>
            </w:r>
            <w:r>
              <w:rPr>
                <w:b/>
                <w:color w:val="0C0C0C"/>
                <w:sz w:val="22"/>
              </w:rPr>
              <w:t>as</w:t>
            </w:r>
            <w:r>
              <w:rPr>
                <w:b/>
                <w:color w:val="0C0C0C"/>
                <w:spacing w:val="-5"/>
                <w:sz w:val="22"/>
              </w:rPr>
              <w:t> </w:t>
            </w:r>
            <w:r>
              <w:rPr>
                <w:b/>
                <w:color w:val="0C0C0C"/>
                <w:sz w:val="22"/>
              </w:rPr>
              <w:t>at</w:t>
            </w:r>
            <w:r>
              <w:rPr>
                <w:b/>
                <w:color w:val="0C0C0C"/>
                <w:spacing w:val="-8"/>
                <w:sz w:val="22"/>
              </w:rPr>
              <w:t> </w:t>
            </w:r>
            <w:r>
              <w:rPr>
                <w:b/>
                <w:color w:val="0C0C0C"/>
                <w:sz w:val="22"/>
              </w:rPr>
              <w:t>31</w:t>
            </w:r>
            <w:r>
              <w:rPr>
                <w:b/>
                <w:color w:val="0C0C0C"/>
                <w:spacing w:val="-6"/>
                <w:sz w:val="22"/>
              </w:rPr>
              <w:t> </w:t>
            </w:r>
            <w:r>
              <w:rPr>
                <w:b/>
                <w:color w:val="0C0C0C"/>
                <w:spacing w:val="-4"/>
                <w:sz w:val="22"/>
              </w:rPr>
              <w:t>March</w:t>
            </w:r>
          </w:p>
        </w:tc>
        <w:tc>
          <w:tcPr>
            <w:tcW w:w="1308" w:type="dxa"/>
            <w:tcBorders>
              <w:top w:val="single" w:color="000000" w:sz="6" w:space="0"/>
            </w:tcBorders>
          </w:tcPr>
          <w:p>
            <w:pPr>
              <w:pStyle w:val="TableParagraph"/>
              <w:spacing w:before="98"/>
              <w:ind w:right="105"/>
              <w:jc w:val="right"/>
              <w:rPr>
                <w:b/>
                <w:sz w:val="22"/>
              </w:rPr>
            </w:pPr>
            <w:r>
              <w:rPr/>
              <ve:AlternateContent>
                <ve:Choice Requires="wps">
                  <w:drawing>
                    <wp:anchor distT="0" distB="0" distL="0" distR="0" simplePos="0" relativeHeight="15861248" behindDoc="0" locked="0" layoutInCell="1" allowOverlap="1">
                      <wp:simplePos x="0" y="0"/>
                      <wp:positionH relativeFrom="column">
                        <wp:posOffset>-12211</wp:posOffset>
                      </wp:positionH>
                      <wp:positionV relativeFrom="paragraph">
                        <wp:posOffset>280233</wp:posOffset>
                      </wp:positionV>
                      <wp:extent cx="855344" cy="9525"/>
                      <wp:effectExtent l="0" t="0" r="0" b="0"/>
                      <wp:wrapNone/>
                      <wp:docPr id="601" name="Group 601"/>
                      <wp:cNvGraphicFramePr>
                        <a:graphicFrameLocks/>
                      </wp:cNvGraphicFramePr>
                      <a:graphic>
                        <a:graphicData uri="http://schemas.microsoft.com/office/word/2010/wordprocessingGroup">
                          <wpg:wgp>
                            <wpg:cNvPr id="601" name="Group 601"/>
                            <wpg:cNvGrpSpPr/>
                            <wpg:grpSpPr>
                              <a:xfrm>
                                <a:off x="0" y="0"/>
                                <a:ext cx="855344" cy="9525"/>
                                <a:chExt cx="855344" cy="9525"/>
                              </a:xfrm>
                            </wpg:grpSpPr>
                            <wps:wsp>
                              <wps:cNvPr id="602" name="Graphic 602"/>
                              <wps:cNvSpPr/>
                              <wps:spPr>
                                <a:xfrm>
                                  <a:off x="0" y="4577"/>
                                  <a:ext cx="855344" cy="1270"/>
                                </a:xfrm>
                                <a:custGeom>
                                  <a:avLst/>
                                  <a:gdLst/>
                                  <a:ahLst/>
                                  <a:cxnLst/>
                                  <a:rect l="l" t="t" r="r" b="b"/>
                                  <a:pathLst>
                                    <a:path w="855344" h="0">
                                      <a:moveTo>
                                        <a:pt x="0" y="0"/>
                                      </a:moveTo>
                                      <a:lnTo>
                                        <a:pt x="854816"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95" style="position:absolute;margin-left:-.961549pt;margin-top:22.065655pt;width:67.350pt;height:.75pt;mso-position-horizontal-relative:column;mso-position-vertical-relative:paragraph;z-index:15861248" coordsize="1347,15" coordorigin="-19,441">
                      <v:line style="position:absolute" stroked="true" strokecolor="#000000" strokeweight=".720821pt" from="-19,449" to="1327,449">
                        <v:stroke dashstyle="solid"/>
                      </v:line>
                      <w10:wrap type="none"/>
                    </v:group>
                  </w:pict>
                </ve:Fallback>
              </ve:AlternateContent>
            </w:r>
            <w:r>
              <w:rPr>
                <w:b/>
                <w:color w:val="0C0C0C"/>
                <w:spacing w:val="-5"/>
                <w:w w:val="105"/>
                <w:sz w:val="22"/>
              </w:rPr>
              <w:t>133</w:t>
            </w:r>
          </w:p>
        </w:tc>
      </w:tr>
    </w:tbl>
    <w:p>
      <w:pPr>
        <w:spacing w:after="0"/>
        <w:jc w:val="right"/>
        <w:rPr>
          <w:sz w:val="22"/>
        </w:rPr>
        <w:sectPr>
          <w:headerReference w:type="default" r:id="rId223"/>
          <w:footerReference w:type="default" r:id="rId224"/>
          <w:footerReference w:type="even" r:id="rId225"/>
          <w:pgSz w:w="11910" w:h="16830"/>
          <w:pgMar w:top="920" w:right="340" w:bottom="1040" w:left="0" w:header="0" w:footer="846"/>
        </w:sectPr>
      </w:pPr>
    </w:p>
    <w:p>
      <w:pPr>
        <w:pStyle w:val="ListParagraph"/>
        <w:numPr>
          <w:ilvl w:val="0"/>
          <w:numId w:val="24"/>
        </w:numPr>
        <w:tabs>
          <w:tab w:val="left" w:leader="none" w:pos="1978"/>
        </w:tabs>
        <w:spacing w:before="83" w:after="0" w:line="240" w:lineRule="auto"/>
        <w:ind w:left="1978" w:right="0" w:hanging="711"/>
        <w:jc w:val="left"/>
        <w:rPr>
          <w:color w:val="464646"/>
          <w:sz w:val="15"/>
        </w:rPr>
      </w:pPr>
      <w:r>
        <w:rPr/>
        <ve:AlternateContent>
          <ve:Choice Requires="wps">
            <w:drawing>
              <wp:anchor distT="0" distB="0" distL="0" distR="0" simplePos="0" relativeHeight="15862784" behindDoc="0" locked="0" layoutInCell="1" allowOverlap="1">
                <wp:simplePos x="0" y="0"/>
                <wp:positionH relativeFrom="page">
                  <wp:posOffset>15264</wp:posOffset>
                </wp:positionH>
                <wp:positionV relativeFrom="page">
                  <wp:posOffset>10027168</wp:posOffset>
                </wp:positionV>
                <wp:extent cx="1270" cy="561975"/>
                <wp:effectExtent l="0" t="0" r="0" b="0"/>
                <wp:wrapNone/>
                <wp:docPr id="603" name="Graphic 603"/>
                <wp:cNvGraphicFramePr>
                  <a:graphicFrameLocks/>
                </wp:cNvGraphicFramePr>
                <a:graphic>
                  <a:graphicData uri="http://schemas.microsoft.com/office/word/2010/wordprocessingShape">
                    <wps:wsp>
                      <wps:cNvPr id="603" name="Graphic 603"/>
                      <wps:cNvSpPr/>
                      <wps:spPr>
                        <a:xfrm>
                          <a:off x="0" y="0"/>
                          <a:ext cx="1270" cy="561975"/>
                        </a:xfrm>
                        <a:custGeom>
                          <a:avLst/>
                          <a:gdLst/>
                          <a:ahLst/>
                          <a:cxnLst/>
                          <a:rect l="l" t="t" r="r" b="b"/>
                          <a:pathLst>
                            <a:path w="0" h="561975">
                              <a:moveTo>
                                <a:pt x="0" y="561471"/>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62784" stroked="true" strokecolor="#000000" strokeweight=".961549pt" from="1.201936pt,833.751217pt" to="1.201936pt,789.540833pt">
                <v:stroke dashstyle="solid"/>
                <w10:wrap type="none"/>
              </v:line>
            </w:pict>
          </ve:Fallback>
        </ve:AlternateContent>
      </w:r>
      <w:r>
        <w:rPr>
          <w:color w:val="626262"/>
          <w:w w:val="105"/>
          <w:sz w:val="15"/>
        </w:rPr>
        <w:t>NOTES</w:t>
      </w:r>
      <w:r>
        <w:rPr>
          <w:color w:val="626262"/>
          <w:spacing w:val="18"/>
          <w:w w:val="105"/>
          <w:sz w:val="15"/>
        </w:rPr>
        <w:t> </w:t>
      </w:r>
      <w:r>
        <w:rPr>
          <w:color w:val="464646"/>
          <w:w w:val="105"/>
          <w:sz w:val="15"/>
        </w:rPr>
        <w:t>TO</w:t>
      </w:r>
      <w:r>
        <w:rPr>
          <w:color w:val="464646"/>
          <w:spacing w:val="13"/>
          <w:w w:val="105"/>
          <w:sz w:val="15"/>
        </w:rPr>
        <w:t> </w:t>
      </w:r>
      <w:r>
        <w:rPr>
          <w:color w:val="464646"/>
          <w:w w:val="105"/>
          <w:sz w:val="15"/>
        </w:rPr>
        <w:t>THE</w:t>
      </w:r>
      <w:r>
        <w:rPr>
          <w:color w:val="464646"/>
          <w:spacing w:val="-4"/>
          <w:w w:val="105"/>
          <w:sz w:val="15"/>
        </w:rPr>
        <w:t> </w:t>
      </w:r>
      <w:r>
        <w:rPr>
          <w:color w:val="939393"/>
          <w:w w:val="105"/>
          <w:sz w:val="15"/>
        </w:rPr>
        <w:t>,</w:t>
      </w:r>
      <w:r>
        <w:rPr>
          <w:color w:val="939393"/>
          <w:spacing w:val="-1"/>
          <w:w w:val="105"/>
          <w:sz w:val="15"/>
        </w:rPr>
        <w:t> </w:t>
      </w:r>
      <w:r>
        <w:rPr>
          <w:color w:val="464646"/>
          <w:w w:val="105"/>
          <w:sz w:val="15"/>
        </w:rPr>
        <w:t>C</w:t>
      </w:r>
      <w:r>
        <w:rPr>
          <w:color w:val="626262"/>
          <w:w w:val="105"/>
          <w:sz w:val="15"/>
        </w:rPr>
        <w:t>CO</w:t>
      </w:r>
      <w:r>
        <w:rPr>
          <w:color w:val="464646"/>
          <w:w w:val="105"/>
          <w:sz w:val="15"/>
        </w:rPr>
        <w:t>U</w:t>
      </w:r>
      <w:r>
        <w:rPr>
          <w:color w:val="464646"/>
          <w:spacing w:val="-2"/>
          <w:w w:val="105"/>
          <w:sz w:val="15"/>
        </w:rPr>
        <w:t> </w:t>
      </w:r>
      <w:r>
        <w:rPr>
          <w:color w:val="626262"/>
          <w:spacing w:val="-5"/>
          <w:w w:val="105"/>
          <w:sz w:val="15"/>
        </w:rPr>
        <w:t>JT</w:t>
      </w:r>
      <w:r>
        <w:rPr>
          <w:color w:val="464646"/>
          <w:spacing w:val="-5"/>
          <w:w w:val="105"/>
          <w:sz w:val="15"/>
        </w:rPr>
        <w:t>S</w:t>
      </w:r>
    </w:p>
    <w:p>
      <w:pPr>
        <w:pStyle w:val="BodyText"/>
        <w:spacing w:before="61"/>
        <w:rPr>
          <w:sz w:val="15"/>
        </w:rPr>
      </w:pPr>
    </w:p>
    <w:p>
      <w:pPr>
        <w:pStyle w:val="ListParagraph"/>
        <w:numPr>
          <w:ilvl w:val="1"/>
          <w:numId w:val="21"/>
        </w:numPr>
        <w:tabs>
          <w:tab w:val="left" w:leader="none" w:pos="2037"/>
        </w:tabs>
        <w:spacing w:before="0" w:after="0" w:line="240" w:lineRule="auto"/>
        <w:ind w:left="2037" w:right="0" w:hanging="792"/>
        <w:jc w:val="left"/>
        <w:rPr>
          <w:b/>
          <w:color w:val="464646"/>
          <w:sz w:val="22"/>
        </w:rPr>
      </w:pPr>
      <w:r>
        <w:rPr>
          <w:b/>
          <w:color w:val="464646"/>
          <w:sz w:val="22"/>
        </w:rPr>
        <w:t>Cash</w:t>
      </w:r>
      <w:r>
        <w:rPr>
          <w:b/>
          <w:color w:val="464646"/>
          <w:spacing w:val="-3"/>
          <w:sz w:val="22"/>
        </w:rPr>
        <w:t> </w:t>
      </w:r>
      <w:r>
        <w:rPr>
          <w:b/>
          <w:color w:val="464646"/>
          <w:sz w:val="22"/>
        </w:rPr>
        <w:t>Flow</w:t>
      </w:r>
      <w:r>
        <w:rPr>
          <w:b/>
          <w:color w:val="464646"/>
          <w:spacing w:val="-7"/>
          <w:sz w:val="22"/>
        </w:rPr>
        <w:t> </w:t>
      </w:r>
      <w:r>
        <w:rPr>
          <w:b/>
          <w:color w:val="464646"/>
          <w:sz w:val="22"/>
        </w:rPr>
        <w:t>Statement</w:t>
      </w:r>
      <w:r>
        <w:rPr>
          <w:b/>
          <w:color w:val="464646"/>
          <w:spacing w:val="-2"/>
          <w:sz w:val="22"/>
        </w:rPr>
        <w:t> </w:t>
      </w:r>
      <w:r>
        <w:rPr>
          <w:b/>
          <w:color w:val="464646"/>
          <w:sz w:val="22"/>
        </w:rPr>
        <w:t>-</w:t>
      </w:r>
      <w:r>
        <w:rPr>
          <w:b/>
          <w:color w:val="464646"/>
          <w:spacing w:val="-8"/>
          <w:sz w:val="22"/>
        </w:rPr>
        <w:t> </w:t>
      </w:r>
      <w:r>
        <w:rPr>
          <w:b/>
          <w:color w:val="464646"/>
          <w:sz w:val="22"/>
        </w:rPr>
        <w:t>Operating</w:t>
      </w:r>
      <w:r>
        <w:rPr>
          <w:b/>
          <w:color w:val="464646"/>
          <w:spacing w:val="8"/>
          <w:sz w:val="22"/>
        </w:rPr>
        <w:t> </w:t>
      </w:r>
      <w:r>
        <w:rPr>
          <w:b/>
          <w:color w:val="464646"/>
          <w:spacing w:val="-2"/>
          <w:sz w:val="22"/>
        </w:rPr>
        <w:t>Activities</w:t>
      </w:r>
    </w:p>
    <w:p>
      <w:pPr>
        <w:pStyle w:val="BodyText"/>
        <w:rPr>
          <w:b/>
          <w:sz w:val="20"/>
        </w:rPr>
      </w:pPr>
    </w:p>
    <w:p>
      <w:pPr>
        <w:pStyle w:val="BodyText"/>
        <w:spacing w:before="53"/>
        <w:rPr>
          <w:b/>
          <w:sz w:val="20"/>
        </w:rPr>
      </w:pPr>
    </w:p>
    <w:tbl>
      <w:tblPr>
        <w:tblW w:w="0" w:type="auto"/>
        <w:jc w:val="left"/>
        <w:tblInd w:w="116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574"/>
        <w:gridCol w:w="6947"/>
        <w:gridCol w:w="1465"/>
      </w:tblGrid>
      <w:tr>
        <w:trPr>
          <w:trHeight w:val="252" w:hRule="atLeast"/>
        </w:trPr>
        <w:tc>
          <w:tcPr>
            <w:tcW w:w="1574" w:type="dxa"/>
          </w:tcPr>
          <w:p>
            <w:pPr>
              <w:pStyle w:val="TableParagraph"/>
              <w:spacing w:line="233" w:lineRule="exact"/>
              <w:ind w:left="405"/>
              <w:rPr>
                <w:b/>
                <w:sz w:val="22"/>
              </w:rPr>
            </w:pPr>
            <w:r>
              <w:rPr>
                <w:b/>
                <w:color w:val="0F0F0F"/>
                <w:spacing w:val="-4"/>
                <w:sz w:val="22"/>
              </w:rPr>
              <w:t>2021-</w:t>
            </w:r>
            <w:r>
              <w:rPr>
                <w:b/>
                <w:color w:val="0F0F0F"/>
                <w:spacing w:val="-5"/>
                <w:sz w:val="22"/>
              </w:rPr>
              <w:t>22</w:t>
            </w:r>
          </w:p>
        </w:tc>
        <w:tc>
          <w:tcPr>
            <w:tcW w:w="6947" w:type="dxa"/>
          </w:tcPr>
          <w:p>
            <w:pPr>
              <w:pStyle w:val="TableParagraph"/>
              <w:rPr>
                <w:rFonts w:ascii="Times New Roman"/>
                <w:sz w:val="18"/>
              </w:rPr>
            </w:pPr>
          </w:p>
        </w:tc>
        <w:tc>
          <w:tcPr>
            <w:tcW w:w="1465" w:type="dxa"/>
          </w:tcPr>
          <w:p>
            <w:pPr>
              <w:pStyle w:val="TableParagraph"/>
              <w:spacing w:line="233" w:lineRule="exact"/>
              <w:ind w:left="408"/>
              <w:rPr>
                <w:b/>
                <w:sz w:val="22"/>
              </w:rPr>
            </w:pPr>
            <w:r>
              <w:rPr>
                <w:b/>
                <w:color w:val="0F0F0F"/>
                <w:spacing w:val="-5"/>
                <w:sz w:val="22"/>
              </w:rPr>
              <w:t>2022-23</w:t>
            </w:r>
          </w:p>
        </w:tc>
      </w:tr>
      <w:tr>
        <w:trPr>
          <w:trHeight w:val="410" w:hRule="atLeast"/>
        </w:trPr>
        <w:tc>
          <w:tcPr>
            <w:tcW w:w="1574" w:type="dxa"/>
          </w:tcPr>
          <w:p>
            <w:pPr>
              <w:pStyle w:val="TableParagraph"/>
              <w:spacing w:line="248" w:lineRule="exact"/>
              <w:ind w:left="32"/>
              <w:jc w:val="center"/>
              <w:rPr>
                <w:b/>
                <w:sz w:val="22"/>
              </w:rPr>
            </w:pPr>
            <w:r>
              <w:rPr>
                <w:b/>
                <w:color w:val="0F0F0F"/>
                <w:spacing w:val="-4"/>
                <w:sz w:val="22"/>
              </w:rPr>
              <w:t>£000</w:t>
            </w:r>
          </w:p>
        </w:tc>
        <w:tc>
          <w:tcPr>
            <w:tcW w:w="6947" w:type="dxa"/>
          </w:tcPr>
          <w:p>
            <w:pPr>
              <w:pStyle w:val="TableParagraph"/>
              <w:rPr>
                <w:rFonts w:ascii="Times New Roman"/>
                <w:sz w:val="20"/>
              </w:rPr>
            </w:pPr>
          </w:p>
        </w:tc>
        <w:tc>
          <w:tcPr>
            <w:tcW w:w="1465" w:type="dxa"/>
          </w:tcPr>
          <w:p>
            <w:pPr>
              <w:pStyle w:val="TableParagraph"/>
              <w:spacing w:line="253" w:lineRule="exact"/>
              <w:ind w:left="556"/>
              <w:rPr>
                <w:b/>
                <w:sz w:val="22"/>
              </w:rPr>
            </w:pPr>
            <w:r>
              <w:rPr>
                <w:b/>
                <w:color w:val="0F0F0F"/>
                <w:spacing w:val="-4"/>
                <w:sz w:val="22"/>
              </w:rPr>
              <w:t>£000</w:t>
            </w:r>
          </w:p>
        </w:tc>
      </w:tr>
      <w:tr>
        <w:trPr>
          <w:trHeight w:val="444" w:hRule="atLeast"/>
        </w:trPr>
        <w:tc>
          <w:tcPr>
            <w:tcW w:w="1574" w:type="dxa"/>
          </w:tcPr>
          <w:p>
            <w:pPr>
              <w:pStyle w:val="TableParagraph"/>
              <w:rPr>
                <w:rFonts w:ascii="Times New Roman"/>
                <w:sz w:val="20"/>
              </w:rPr>
            </w:pPr>
          </w:p>
        </w:tc>
        <w:tc>
          <w:tcPr>
            <w:tcW w:w="6947" w:type="dxa"/>
          </w:tcPr>
          <w:p>
            <w:pPr>
              <w:pStyle w:val="TableParagraph"/>
              <w:spacing w:before="151"/>
              <w:ind w:left="302"/>
              <w:rPr>
                <w:b/>
                <w:sz w:val="22"/>
              </w:rPr>
            </w:pPr>
            <w:r>
              <w:rPr>
                <w:b/>
                <w:color w:val="0F0F0F"/>
                <w:sz w:val="22"/>
              </w:rPr>
              <w:t>Adjustments</w:t>
            </w:r>
            <w:r>
              <w:rPr>
                <w:b/>
                <w:color w:val="0F0F0F"/>
                <w:spacing w:val="-5"/>
                <w:sz w:val="22"/>
              </w:rPr>
              <w:t> </w:t>
            </w:r>
            <w:r>
              <w:rPr>
                <w:b/>
                <w:color w:val="0F0F0F"/>
                <w:sz w:val="22"/>
              </w:rPr>
              <w:t>for</w:t>
            </w:r>
            <w:r>
              <w:rPr>
                <w:b/>
                <w:color w:val="0F0F0F"/>
                <w:spacing w:val="-15"/>
                <w:sz w:val="22"/>
              </w:rPr>
              <w:t> </w:t>
            </w:r>
            <w:r>
              <w:rPr>
                <w:b/>
                <w:color w:val="0F0F0F"/>
                <w:sz w:val="22"/>
              </w:rPr>
              <w:t>Non-cash</w:t>
            </w:r>
            <w:r>
              <w:rPr>
                <w:b/>
                <w:color w:val="0F0F0F"/>
                <w:spacing w:val="-10"/>
                <w:sz w:val="22"/>
              </w:rPr>
              <w:t> </w:t>
            </w:r>
            <w:r>
              <w:rPr>
                <w:b/>
                <w:color w:val="0F0F0F"/>
                <w:spacing w:val="-2"/>
                <w:sz w:val="22"/>
              </w:rPr>
              <w:t>movements:</w:t>
            </w:r>
          </w:p>
        </w:tc>
        <w:tc>
          <w:tcPr>
            <w:tcW w:w="1465" w:type="dxa"/>
          </w:tcPr>
          <w:p>
            <w:pPr>
              <w:pStyle w:val="TableParagraph"/>
              <w:rPr>
                <w:rFonts w:ascii="Times New Roman"/>
                <w:sz w:val="20"/>
              </w:rPr>
            </w:pPr>
          </w:p>
        </w:tc>
      </w:tr>
      <w:tr>
        <w:trPr>
          <w:trHeight w:val="282" w:hRule="atLeast"/>
        </w:trPr>
        <w:tc>
          <w:tcPr>
            <w:tcW w:w="1574" w:type="dxa"/>
          </w:tcPr>
          <w:p>
            <w:pPr>
              <w:pStyle w:val="TableParagraph"/>
              <w:rPr>
                <w:rFonts w:ascii="Times New Roman"/>
                <w:sz w:val="20"/>
              </w:rPr>
            </w:pPr>
          </w:p>
        </w:tc>
        <w:tc>
          <w:tcPr>
            <w:tcW w:w="6947" w:type="dxa"/>
          </w:tcPr>
          <w:p>
            <w:pPr>
              <w:pStyle w:val="TableParagraph"/>
              <w:spacing w:before="33" w:line="229" w:lineRule="exact"/>
              <w:ind w:left="293"/>
              <w:rPr>
                <w:i/>
                <w:sz w:val="21"/>
              </w:rPr>
            </w:pPr>
            <w:r>
              <w:rPr>
                <w:i/>
                <w:color w:val="0F0F0F"/>
                <w:w w:val="105"/>
                <w:sz w:val="21"/>
              </w:rPr>
              <w:t>Charges</w:t>
            </w:r>
            <w:r>
              <w:rPr>
                <w:i/>
                <w:color w:val="0F0F0F"/>
                <w:spacing w:val="-8"/>
                <w:w w:val="105"/>
                <w:sz w:val="21"/>
              </w:rPr>
              <w:t> </w:t>
            </w:r>
            <w:r>
              <w:rPr>
                <w:i/>
                <w:color w:val="0F0F0F"/>
                <w:w w:val="105"/>
                <w:sz w:val="21"/>
              </w:rPr>
              <w:t>for</w:t>
            </w:r>
            <w:r>
              <w:rPr>
                <w:i/>
                <w:color w:val="0F0F0F"/>
                <w:spacing w:val="-13"/>
                <w:w w:val="105"/>
                <w:sz w:val="21"/>
              </w:rPr>
              <w:t> </w:t>
            </w:r>
            <w:r>
              <w:rPr>
                <w:i/>
                <w:color w:val="0F0F0F"/>
                <w:w w:val="105"/>
                <w:sz w:val="21"/>
              </w:rPr>
              <w:t>depreciation,</w:t>
            </w:r>
            <w:r>
              <w:rPr>
                <w:i/>
                <w:color w:val="0F0F0F"/>
                <w:spacing w:val="5"/>
                <w:w w:val="105"/>
                <w:sz w:val="21"/>
              </w:rPr>
              <w:t> </w:t>
            </w:r>
            <w:r>
              <w:rPr>
                <w:i/>
                <w:color w:val="0F0F0F"/>
                <w:w w:val="105"/>
                <w:sz w:val="21"/>
              </w:rPr>
              <w:t>impairment</w:t>
            </w:r>
            <w:r>
              <w:rPr>
                <w:i/>
                <w:color w:val="0F0F0F"/>
                <w:spacing w:val="-1"/>
                <w:w w:val="105"/>
                <w:sz w:val="21"/>
              </w:rPr>
              <w:t> </w:t>
            </w:r>
            <w:r>
              <w:rPr>
                <w:i/>
                <w:color w:val="0F0F0F"/>
                <w:w w:val="105"/>
                <w:sz w:val="21"/>
              </w:rPr>
              <w:t>and</w:t>
            </w:r>
            <w:r>
              <w:rPr>
                <w:i/>
                <w:color w:val="0F0F0F"/>
                <w:spacing w:val="-14"/>
                <w:w w:val="105"/>
                <w:sz w:val="21"/>
              </w:rPr>
              <w:t> </w:t>
            </w:r>
            <w:r>
              <w:rPr>
                <w:i/>
                <w:color w:val="0F0F0F"/>
                <w:w w:val="105"/>
                <w:sz w:val="21"/>
              </w:rPr>
              <w:t>amortisation</w:t>
            </w:r>
            <w:r>
              <w:rPr>
                <w:i/>
                <w:color w:val="0F0F0F"/>
                <w:spacing w:val="-7"/>
                <w:w w:val="105"/>
                <w:sz w:val="21"/>
              </w:rPr>
              <w:t> </w:t>
            </w:r>
            <w:r>
              <w:rPr>
                <w:i/>
                <w:color w:val="0F0F0F"/>
                <w:w w:val="105"/>
                <w:sz w:val="21"/>
              </w:rPr>
              <w:t>of</w:t>
            </w:r>
            <w:r>
              <w:rPr>
                <w:i/>
                <w:color w:val="0F0F0F"/>
                <w:spacing w:val="-14"/>
                <w:w w:val="105"/>
                <w:sz w:val="21"/>
              </w:rPr>
              <w:t> </w:t>
            </w:r>
            <w:r>
              <w:rPr>
                <w:i/>
                <w:color w:val="0F0F0F"/>
                <w:spacing w:val="-4"/>
                <w:w w:val="105"/>
                <w:sz w:val="21"/>
              </w:rPr>
              <w:t>non­</w:t>
            </w:r>
          </w:p>
        </w:tc>
        <w:tc>
          <w:tcPr>
            <w:tcW w:w="1465" w:type="dxa"/>
          </w:tcPr>
          <w:p>
            <w:pPr>
              <w:pStyle w:val="TableParagraph"/>
              <w:rPr>
                <w:rFonts w:ascii="Times New Roman"/>
                <w:sz w:val="20"/>
              </w:rPr>
            </w:pPr>
          </w:p>
        </w:tc>
      </w:tr>
      <w:tr>
        <w:trPr>
          <w:trHeight w:val="326" w:hRule="atLeast"/>
        </w:trPr>
        <w:tc>
          <w:tcPr>
            <w:tcW w:w="1574" w:type="dxa"/>
          </w:tcPr>
          <w:p>
            <w:pPr>
              <w:pStyle w:val="TableParagraph"/>
              <w:rPr>
                <w:rFonts w:ascii="Times New Roman"/>
                <w:sz w:val="20"/>
              </w:rPr>
            </w:pPr>
          </w:p>
        </w:tc>
        <w:tc>
          <w:tcPr>
            <w:tcW w:w="6947" w:type="dxa"/>
          </w:tcPr>
          <w:p>
            <w:pPr>
              <w:pStyle w:val="TableParagraph"/>
              <w:spacing w:before="1"/>
              <w:ind w:left="291"/>
              <w:rPr>
                <w:i/>
                <w:sz w:val="21"/>
              </w:rPr>
            </w:pPr>
            <w:r>
              <w:rPr>
                <w:i/>
                <w:color w:val="0F0F0F"/>
                <w:w w:val="105"/>
                <w:sz w:val="21"/>
              </w:rPr>
              <w:t>current</w:t>
            </w:r>
            <w:r>
              <w:rPr>
                <w:i/>
                <w:color w:val="0F0F0F"/>
                <w:spacing w:val="-7"/>
                <w:w w:val="105"/>
                <w:sz w:val="21"/>
              </w:rPr>
              <w:t> </w:t>
            </w:r>
            <w:r>
              <w:rPr>
                <w:i/>
                <w:color w:val="0F0F0F"/>
                <w:spacing w:val="-2"/>
                <w:w w:val="105"/>
                <w:sz w:val="21"/>
              </w:rPr>
              <w:t>assets</w:t>
            </w:r>
            <w:r>
              <w:rPr>
                <w:i/>
                <w:color w:val="464646"/>
                <w:spacing w:val="-2"/>
                <w:w w:val="105"/>
                <w:sz w:val="21"/>
              </w:rPr>
              <w:t>:</w:t>
            </w:r>
          </w:p>
        </w:tc>
        <w:tc>
          <w:tcPr>
            <w:tcW w:w="1465" w:type="dxa"/>
          </w:tcPr>
          <w:p>
            <w:pPr>
              <w:pStyle w:val="TableParagraph"/>
              <w:rPr>
                <w:rFonts w:ascii="Times New Roman"/>
                <w:sz w:val="20"/>
              </w:rPr>
            </w:pPr>
          </w:p>
        </w:tc>
      </w:tr>
      <w:tr>
        <w:trPr>
          <w:trHeight w:val="391" w:hRule="atLeast"/>
        </w:trPr>
        <w:tc>
          <w:tcPr>
            <w:tcW w:w="1574" w:type="dxa"/>
          </w:tcPr>
          <w:p>
            <w:pPr>
              <w:pStyle w:val="TableParagraph"/>
              <w:spacing w:before="77"/>
              <w:ind w:right="253"/>
              <w:jc w:val="right"/>
              <w:rPr>
                <w:sz w:val="21"/>
              </w:rPr>
            </w:pPr>
            <w:r>
              <w:rPr>
                <w:color w:val="0F0F0F"/>
                <w:spacing w:val="-5"/>
                <w:w w:val="105"/>
                <w:sz w:val="21"/>
              </w:rPr>
              <w:t>557</w:t>
            </w:r>
          </w:p>
        </w:tc>
        <w:tc>
          <w:tcPr>
            <w:tcW w:w="6947" w:type="dxa"/>
          </w:tcPr>
          <w:p>
            <w:pPr>
              <w:pStyle w:val="TableParagraph"/>
              <w:spacing w:before="82"/>
              <w:ind w:left="286"/>
              <w:rPr>
                <w:sz w:val="21"/>
              </w:rPr>
            </w:pPr>
            <w:r>
              <w:rPr>
                <w:color w:val="0F0F0F"/>
                <w:w w:val="105"/>
                <w:sz w:val="21"/>
              </w:rPr>
              <w:t>Property,</w:t>
            </w:r>
            <w:r>
              <w:rPr>
                <w:color w:val="0F0F0F"/>
                <w:spacing w:val="4"/>
                <w:w w:val="105"/>
                <w:sz w:val="21"/>
              </w:rPr>
              <w:t> </w:t>
            </w:r>
            <w:r>
              <w:rPr>
                <w:color w:val="0F0F0F"/>
                <w:w w:val="105"/>
                <w:sz w:val="21"/>
              </w:rPr>
              <w:t>plant</w:t>
            </w:r>
            <w:r>
              <w:rPr>
                <w:color w:val="0F0F0F"/>
                <w:spacing w:val="-4"/>
                <w:w w:val="105"/>
                <w:sz w:val="21"/>
              </w:rPr>
              <w:t> </w:t>
            </w:r>
            <w:r>
              <w:rPr>
                <w:color w:val="0F0F0F"/>
                <w:w w:val="105"/>
                <w:sz w:val="21"/>
              </w:rPr>
              <w:t>and</w:t>
            </w:r>
            <w:r>
              <w:rPr>
                <w:color w:val="0F0F0F"/>
                <w:spacing w:val="-14"/>
                <w:w w:val="105"/>
                <w:sz w:val="21"/>
              </w:rPr>
              <w:t> </w:t>
            </w:r>
            <w:r>
              <w:rPr>
                <w:color w:val="0F0F0F"/>
                <w:spacing w:val="-2"/>
                <w:w w:val="105"/>
                <w:sz w:val="21"/>
              </w:rPr>
              <w:t>equipment</w:t>
            </w:r>
          </w:p>
        </w:tc>
        <w:tc>
          <w:tcPr>
            <w:tcW w:w="1465" w:type="dxa"/>
          </w:tcPr>
          <w:p>
            <w:pPr>
              <w:pStyle w:val="TableParagraph"/>
              <w:spacing w:before="82"/>
              <w:ind w:left="626"/>
              <w:rPr>
                <w:sz w:val="21"/>
              </w:rPr>
            </w:pPr>
            <w:r>
              <w:rPr>
                <w:color w:val="0F0F0F"/>
                <w:spacing w:val="-2"/>
                <w:w w:val="105"/>
                <w:sz w:val="21"/>
              </w:rPr>
              <w:t>(5,678)</w:t>
            </w:r>
          </w:p>
        </w:tc>
      </w:tr>
      <w:tr>
        <w:trPr>
          <w:trHeight w:val="372" w:hRule="atLeast"/>
        </w:trPr>
        <w:tc>
          <w:tcPr>
            <w:tcW w:w="1574" w:type="dxa"/>
          </w:tcPr>
          <w:p>
            <w:pPr>
              <w:pStyle w:val="TableParagraph"/>
              <w:spacing w:before="61"/>
              <w:ind w:right="261"/>
              <w:jc w:val="right"/>
              <w:rPr>
                <w:sz w:val="21"/>
              </w:rPr>
            </w:pPr>
            <w:r>
              <w:rPr>
                <w:color w:val="0F0F0F"/>
                <w:spacing w:val="-4"/>
                <w:w w:val="105"/>
                <w:sz w:val="21"/>
              </w:rPr>
              <w:t>(23)</w:t>
            </w:r>
          </w:p>
        </w:tc>
        <w:tc>
          <w:tcPr>
            <w:tcW w:w="6947" w:type="dxa"/>
          </w:tcPr>
          <w:p>
            <w:pPr>
              <w:pStyle w:val="TableParagraph"/>
              <w:spacing w:before="65"/>
              <w:ind w:left="281"/>
              <w:rPr>
                <w:sz w:val="21"/>
              </w:rPr>
            </w:pPr>
            <w:r>
              <w:rPr>
                <w:color w:val="0F0F0F"/>
                <w:w w:val="105"/>
                <w:sz w:val="21"/>
              </w:rPr>
              <w:t>Heritage</w:t>
            </w:r>
            <w:r>
              <w:rPr>
                <w:color w:val="0F0F0F"/>
                <w:spacing w:val="-5"/>
                <w:w w:val="105"/>
                <w:sz w:val="21"/>
              </w:rPr>
              <w:t> </w:t>
            </w:r>
            <w:r>
              <w:rPr>
                <w:color w:val="0F0F0F"/>
                <w:spacing w:val="-2"/>
                <w:w w:val="105"/>
                <w:sz w:val="21"/>
              </w:rPr>
              <w:t>assets</w:t>
            </w:r>
          </w:p>
        </w:tc>
        <w:tc>
          <w:tcPr>
            <w:tcW w:w="1465" w:type="dxa"/>
          </w:tcPr>
          <w:p>
            <w:pPr>
              <w:pStyle w:val="TableParagraph"/>
              <w:spacing w:before="65"/>
              <w:ind w:left="934"/>
              <w:rPr>
                <w:sz w:val="21"/>
              </w:rPr>
            </w:pPr>
            <w:r>
              <w:rPr>
                <w:color w:val="0F0F0F"/>
                <w:spacing w:val="-4"/>
                <w:w w:val="105"/>
                <w:sz w:val="21"/>
              </w:rPr>
              <w:t>(23)</w:t>
            </w:r>
          </w:p>
        </w:tc>
      </w:tr>
      <w:tr>
        <w:trPr>
          <w:trHeight w:val="372" w:hRule="atLeast"/>
        </w:trPr>
        <w:tc>
          <w:tcPr>
            <w:tcW w:w="1574" w:type="dxa"/>
          </w:tcPr>
          <w:p>
            <w:pPr>
              <w:pStyle w:val="TableParagraph"/>
              <w:spacing w:before="58"/>
              <w:ind w:right="264"/>
              <w:jc w:val="right"/>
              <w:rPr>
                <w:sz w:val="21"/>
              </w:rPr>
            </w:pPr>
            <w:r>
              <w:rPr>
                <w:color w:val="0F0F0F"/>
                <w:spacing w:val="-2"/>
                <w:w w:val="105"/>
                <w:sz w:val="21"/>
              </w:rPr>
              <w:t>(118)</w:t>
            </w:r>
          </w:p>
        </w:tc>
        <w:tc>
          <w:tcPr>
            <w:tcW w:w="6947" w:type="dxa"/>
          </w:tcPr>
          <w:p>
            <w:pPr>
              <w:pStyle w:val="TableParagraph"/>
              <w:spacing w:before="63"/>
              <w:ind w:left="273"/>
              <w:rPr>
                <w:sz w:val="21"/>
              </w:rPr>
            </w:pPr>
            <w:r>
              <w:rPr>
                <w:color w:val="0F0F0F"/>
                <w:w w:val="105"/>
                <w:sz w:val="21"/>
              </w:rPr>
              <w:t>Intangible</w:t>
            </w:r>
            <w:r>
              <w:rPr>
                <w:color w:val="0F0F0F"/>
                <w:spacing w:val="-3"/>
                <w:w w:val="105"/>
                <w:sz w:val="21"/>
              </w:rPr>
              <w:t> </w:t>
            </w:r>
            <w:r>
              <w:rPr>
                <w:color w:val="0F0F0F"/>
                <w:spacing w:val="-2"/>
                <w:w w:val="105"/>
                <w:sz w:val="21"/>
              </w:rPr>
              <w:t>assets</w:t>
            </w:r>
          </w:p>
        </w:tc>
        <w:tc>
          <w:tcPr>
            <w:tcW w:w="1465" w:type="dxa"/>
          </w:tcPr>
          <w:p>
            <w:pPr>
              <w:pStyle w:val="TableParagraph"/>
              <w:spacing w:before="63"/>
              <w:ind w:left="809"/>
              <w:rPr>
                <w:sz w:val="21"/>
              </w:rPr>
            </w:pPr>
            <w:r>
              <w:rPr>
                <w:color w:val="0F0F0F"/>
                <w:spacing w:val="-2"/>
                <w:w w:val="105"/>
                <w:sz w:val="21"/>
              </w:rPr>
              <w:t>(110)</w:t>
            </w:r>
          </w:p>
        </w:tc>
      </w:tr>
      <w:tr>
        <w:trPr>
          <w:trHeight w:val="372" w:hRule="atLeast"/>
        </w:trPr>
        <w:tc>
          <w:tcPr>
            <w:tcW w:w="1574" w:type="dxa"/>
          </w:tcPr>
          <w:p>
            <w:pPr>
              <w:pStyle w:val="TableParagraph"/>
              <w:spacing w:before="61"/>
              <w:ind w:right="266"/>
              <w:jc w:val="right"/>
              <w:rPr>
                <w:sz w:val="21"/>
              </w:rPr>
            </w:pPr>
            <w:r>
              <w:rPr>
                <w:color w:val="0F0F0F"/>
                <w:spacing w:val="-4"/>
                <w:w w:val="105"/>
                <w:sz w:val="21"/>
              </w:rPr>
              <w:t>1,183</w:t>
            </w:r>
          </w:p>
        </w:tc>
        <w:tc>
          <w:tcPr>
            <w:tcW w:w="6947" w:type="dxa"/>
          </w:tcPr>
          <w:p>
            <w:pPr>
              <w:pStyle w:val="TableParagraph"/>
              <w:spacing w:before="65"/>
              <w:ind w:left="267"/>
              <w:rPr>
                <w:sz w:val="21"/>
              </w:rPr>
            </w:pPr>
            <w:r>
              <w:rPr>
                <w:color w:val="0F0F0F"/>
                <w:w w:val="105"/>
                <w:sz w:val="21"/>
              </w:rPr>
              <w:t>Movements</w:t>
            </w:r>
            <w:r>
              <w:rPr>
                <w:color w:val="0F0F0F"/>
                <w:spacing w:val="3"/>
                <w:w w:val="105"/>
                <w:sz w:val="21"/>
              </w:rPr>
              <w:t> </w:t>
            </w:r>
            <w:r>
              <w:rPr>
                <w:color w:val="0F0F0F"/>
                <w:w w:val="105"/>
                <w:sz w:val="21"/>
              </w:rPr>
              <w:t>in</w:t>
            </w:r>
            <w:r>
              <w:rPr>
                <w:color w:val="0F0F0F"/>
                <w:spacing w:val="1"/>
                <w:w w:val="105"/>
                <w:sz w:val="21"/>
              </w:rPr>
              <w:t> </w:t>
            </w:r>
            <w:r>
              <w:rPr>
                <w:color w:val="0F0F0F"/>
                <w:w w:val="105"/>
                <w:sz w:val="21"/>
              </w:rPr>
              <w:t>the</w:t>
            </w:r>
            <w:r>
              <w:rPr>
                <w:color w:val="0F0F0F"/>
                <w:spacing w:val="-7"/>
                <w:w w:val="105"/>
                <w:sz w:val="21"/>
              </w:rPr>
              <w:t> </w:t>
            </w:r>
            <w:r>
              <w:rPr>
                <w:color w:val="0F0F0F"/>
                <w:w w:val="105"/>
                <w:sz w:val="21"/>
              </w:rPr>
              <w:t>value</w:t>
            </w:r>
            <w:r>
              <w:rPr>
                <w:color w:val="0F0F0F"/>
                <w:spacing w:val="-9"/>
                <w:w w:val="105"/>
                <w:sz w:val="21"/>
              </w:rPr>
              <w:t> </w:t>
            </w:r>
            <w:r>
              <w:rPr>
                <w:color w:val="0F0F0F"/>
                <w:w w:val="105"/>
                <w:sz w:val="21"/>
              </w:rPr>
              <w:t>of</w:t>
            </w:r>
            <w:r>
              <w:rPr>
                <w:color w:val="0F0F0F"/>
                <w:spacing w:val="-12"/>
                <w:w w:val="105"/>
                <w:sz w:val="21"/>
              </w:rPr>
              <w:t> </w:t>
            </w:r>
            <w:r>
              <w:rPr>
                <w:color w:val="0F0F0F"/>
                <w:w w:val="105"/>
                <w:sz w:val="21"/>
              </w:rPr>
              <w:t>investment</w:t>
            </w:r>
            <w:r>
              <w:rPr>
                <w:color w:val="0F0F0F"/>
                <w:spacing w:val="9"/>
                <w:w w:val="105"/>
                <w:sz w:val="21"/>
              </w:rPr>
              <w:t> </w:t>
            </w:r>
            <w:r>
              <w:rPr>
                <w:color w:val="0F0F0F"/>
                <w:spacing w:val="-2"/>
                <w:w w:val="105"/>
                <w:sz w:val="21"/>
              </w:rPr>
              <w:t>properties</w:t>
            </w:r>
          </w:p>
        </w:tc>
        <w:tc>
          <w:tcPr>
            <w:tcW w:w="1465" w:type="dxa"/>
          </w:tcPr>
          <w:p>
            <w:pPr>
              <w:pStyle w:val="TableParagraph"/>
              <w:spacing w:before="65"/>
              <w:ind w:left="953"/>
              <w:rPr>
                <w:sz w:val="21"/>
              </w:rPr>
            </w:pPr>
            <w:r>
              <w:rPr>
                <w:color w:val="0F0F0F"/>
                <w:spacing w:val="-5"/>
                <w:w w:val="105"/>
                <w:sz w:val="21"/>
              </w:rPr>
              <w:t>815</w:t>
            </w:r>
          </w:p>
        </w:tc>
      </w:tr>
      <w:tr>
        <w:trPr>
          <w:trHeight w:val="533" w:hRule="atLeast"/>
        </w:trPr>
        <w:tc>
          <w:tcPr>
            <w:tcW w:w="1574" w:type="dxa"/>
          </w:tcPr>
          <w:p>
            <w:pPr>
              <w:pStyle w:val="TableParagraph"/>
              <w:spacing w:before="58"/>
              <w:ind w:right="268"/>
              <w:jc w:val="right"/>
              <w:rPr>
                <w:sz w:val="21"/>
              </w:rPr>
            </w:pPr>
            <w:r>
              <w:rPr>
                <w:color w:val="0F0F0F"/>
                <w:spacing w:val="-5"/>
                <w:w w:val="105"/>
                <w:sz w:val="21"/>
              </w:rPr>
              <w:t>92</w:t>
            </w:r>
          </w:p>
        </w:tc>
        <w:tc>
          <w:tcPr>
            <w:tcW w:w="6947" w:type="dxa"/>
          </w:tcPr>
          <w:p>
            <w:pPr>
              <w:pStyle w:val="TableParagraph"/>
              <w:spacing w:before="63"/>
              <w:ind w:left="267"/>
              <w:rPr>
                <w:sz w:val="21"/>
              </w:rPr>
            </w:pPr>
            <w:r>
              <w:rPr>
                <w:color w:val="0F0F0F"/>
                <w:w w:val="105"/>
                <w:sz w:val="21"/>
              </w:rPr>
              <w:t>Donated</w:t>
            </w:r>
            <w:r>
              <w:rPr>
                <w:color w:val="0F0F0F"/>
                <w:spacing w:val="-5"/>
                <w:w w:val="105"/>
                <w:sz w:val="21"/>
              </w:rPr>
              <w:t> </w:t>
            </w:r>
            <w:r>
              <w:rPr>
                <w:color w:val="0F0F0F"/>
                <w:spacing w:val="-2"/>
                <w:w w:val="105"/>
                <w:sz w:val="21"/>
              </w:rPr>
              <w:t>assets</w:t>
            </w:r>
          </w:p>
        </w:tc>
        <w:tc>
          <w:tcPr>
            <w:tcW w:w="1465" w:type="dxa"/>
          </w:tcPr>
          <w:p>
            <w:pPr>
              <w:pStyle w:val="TableParagraph"/>
              <w:spacing w:before="68"/>
              <w:ind w:left="953"/>
              <w:rPr>
                <w:sz w:val="21"/>
              </w:rPr>
            </w:pPr>
            <w:r>
              <w:rPr>
                <w:color w:val="0F0F0F"/>
                <w:spacing w:val="-5"/>
                <w:w w:val="105"/>
                <w:sz w:val="21"/>
              </w:rPr>
              <w:t>159</w:t>
            </w:r>
          </w:p>
        </w:tc>
      </w:tr>
      <w:tr>
        <w:trPr>
          <w:trHeight w:val="776" w:hRule="atLeast"/>
        </w:trPr>
        <w:tc>
          <w:tcPr>
            <w:tcW w:w="1574" w:type="dxa"/>
          </w:tcPr>
          <w:p>
            <w:pPr>
              <w:pStyle w:val="TableParagraph"/>
              <w:spacing w:before="220"/>
              <w:rPr>
                <w:b/>
                <w:sz w:val="21"/>
              </w:rPr>
            </w:pPr>
          </w:p>
          <w:p>
            <w:pPr>
              <w:pStyle w:val="TableParagraph"/>
              <w:ind w:right="286"/>
              <w:jc w:val="right"/>
              <w:rPr>
                <w:sz w:val="21"/>
              </w:rPr>
            </w:pPr>
            <w:r>
              <w:rPr>
                <w:color w:val="0F0F0F"/>
                <w:spacing w:val="-5"/>
                <w:w w:val="105"/>
                <w:sz w:val="21"/>
              </w:rPr>
              <w:t>(9)</w:t>
            </w:r>
          </w:p>
        </w:tc>
        <w:tc>
          <w:tcPr>
            <w:tcW w:w="6947" w:type="dxa"/>
          </w:tcPr>
          <w:p>
            <w:pPr>
              <w:pStyle w:val="TableParagraph"/>
              <w:spacing w:before="217"/>
              <w:ind w:left="259"/>
              <w:rPr>
                <w:i/>
                <w:sz w:val="21"/>
              </w:rPr>
            </w:pPr>
            <w:r>
              <w:rPr>
                <w:i/>
                <w:color w:val="0F0F0F"/>
                <w:w w:val="105"/>
                <w:sz w:val="21"/>
              </w:rPr>
              <w:t>Carrying</w:t>
            </w:r>
            <w:r>
              <w:rPr>
                <w:i/>
                <w:color w:val="0F0F0F"/>
                <w:spacing w:val="-3"/>
                <w:w w:val="105"/>
                <w:sz w:val="21"/>
              </w:rPr>
              <w:t> </w:t>
            </w:r>
            <w:r>
              <w:rPr>
                <w:i/>
                <w:color w:val="0F0F0F"/>
                <w:w w:val="105"/>
                <w:sz w:val="21"/>
              </w:rPr>
              <w:t>amount</w:t>
            </w:r>
            <w:r>
              <w:rPr>
                <w:i/>
                <w:color w:val="0F0F0F"/>
                <w:spacing w:val="-6"/>
                <w:w w:val="105"/>
                <w:sz w:val="21"/>
              </w:rPr>
              <w:t> </w:t>
            </w:r>
            <w:r>
              <w:rPr>
                <w:i/>
                <w:color w:val="0F0F0F"/>
                <w:w w:val="105"/>
                <w:sz w:val="21"/>
              </w:rPr>
              <w:t>of</w:t>
            </w:r>
            <w:r>
              <w:rPr>
                <w:i/>
                <w:color w:val="0F0F0F"/>
                <w:spacing w:val="-14"/>
                <w:w w:val="105"/>
                <w:sz w:val="21"/>
              </w:rPr>
              <w:t> </w:t>
            </w:r>
            <w:r>
              <w:rPr>
                <w:i/>
                <w:color w:val="0F0F0F"/>
                <w:w w:val="105"/>
                <w:sz w:val="21"/>
              </w:rPr>
              <w:t>non-current</w:t>
            </w:r>
            <w:r>
              <w:rPr>
                <w:i/>
                <w:color w:val="0F0F0F"/>
                <w:spacing w:val="11"/>
                <w:w w:val="105"/>
                <w:sz w:val="21"/>
              </w:rPr>
              <w:t> </w:t>
            </w:r>
            <w:r>
              <w:rPr>
                <w:i/>
                <w:color w:val="0F0F0F"/>
                <w:w w:val="105"/>
                <w:sz w:val="21"/>
              </w:rPr>
              <w:t>assets</w:t>
            </w:r>
            <w:r>
              <w:rPr>
                <w:i/>
                <w:color w:val="0F0F0F"/>
                <w:spacing w:val="-8"/>
                <w:w w:val="105"/>
                <w:sz w:val="21"/>
              </w:rPr>
              <w:t> </w:t>
            </w:r>
            <w:r>
              <w:rPr>
                <w:i/>
                <w:color w:val="0F0F0F"/>
                <w:spacing w:val="-2"/>
                <w:w w:val="105"/>
                <w:sz w:val="21"/>
              </w:rPr>
              <w:t>sold:</w:t>
            </w:r>
          </w:p>
          <w:p>
            <w:pPr>
              <w:pStyle w:val="TableParagraph"/>
              <w:spacing w:before="8"/>
              <w:ind w:left="257"/>
              <w:rPr>
                <w:sz w:val="21"/>
              </w:rPr>
            </w:pPr>
            <w:r>
              <w:rPr>
                <w:color w:val="0F0F0F"/>
                <w:w w:val="105"/>
                <w:sz w:val="21"/>
              </w:rPr>
              <w:t>Property,</w:t>
            </w:r>
            <w:r>
              <w:rPr>
                <w:color w:val="0F0F0F"/>
                <w:spacing w:val="4"/>
                <w:w w:val="105"/>
                <w:sz w:val="21"/>
              </w:rPr>
              <w:t> </w:t>
            </w:r>
            <w:r>
              <w:rPr>
                <w:color w:val="0F0F0F"/>
                <w:w w:val="105"/>
                <w:sz w:val="21"/>
              </w:rPr>
              <w:t>plant</w:t>
            </w:r>
            <w:r>
              <w:rPr>
                <w:color w:val="0F0F0F"/>
                <w:spacing w:val="-2"/>
                <w:w w:val="105"/>
                <w:sz w:val="21"/>
              </w:rPr>
              <w:t> </w:t>
            </w:r>
            <w:r>
              <w:rPr>
                <w:color w:val="0F0F0F"/>
                <w:w w:val="105"/>
                <w:sz w:val="21"/>
              </w:rPr>
              <w:t>and</w:t>
            </w:r>
            <w:r>
              <w:rPr>
                <w:color w:val="0F0F0F"/>
                <w:spacing w:val="-16"/>
                <w:w w:val="105"/>
                <w:sz w:val="21"/>
              </w:rPr>
              <w:t> </w:t>
            </w:r>
            <w:r>
              <w:rPr>
                <w:color w:val="0F0F0F"/>
                <w:spacing w:val="-2"/>
                <w:w w:val="105"/>
                <w:sz w:val="21"/>
              </w:rPr>
              <w:t>equipment</w:t>
            </w:r>
          </w:p>
        </w:tc>
        <w:tc>
          <w:tcPr>
            <w:tcW w:w="1465" w:type="dxa"/>
          </w:tcPr>
          <w:p>
            <w:pPr>
              <w:pStyle w:val="TableParagraph"/>
              <w:spacing w:before="225"/>
              <w:rPr>
                <w:b/>
                <w:sz w:val="21"/>
              </w:rPr>
            </w:pPr>
          </w:p>
          <w:p>
            <w:pPr>
              <w:pStyle w:val="TableParagraph"/>
              <w:ind w:left="790"/>
              <w:rPr>
                <w:sz w:val="21"/>
              </w:rPr>
            </w:pPr>
            <w:r>
              <w:rPr>
                <w:color w:val="0F0F0F"/>
                <w:spacing w:val="-2"/>
                <w:w w:val="105"/>
                <w:sz w:val="21"/>
              </w:rPr>
              <w:t>(601)</w:t>
            </w:r>
          </w:p>
        </w:tc>
      </w:tr>
      <w:tr>
        <w:trPr>
          <w:trHeight w:val="374" w:hRule="atLeast"/>
        </w:trPr>
        <w:tc>
          <w:tcPr>
            <w:tcW w:w="1574" w:type="dxa"/>
          </w:tcPr>
          <w:p>
            <w:pPr>
              <w:pStyle w:val="TableParagraph"/>
              <w:spacing w:before="61"/>
              <w:ind w:left="580"/>
              <w:rPr>
                <w:sz w:val="21"/>
              </w:rPr>
            </w:pPr>
            <w:r>
              <w:rPr>
                <w:color w:val="0F0F0F"/>
                <w:spacing w:val="-2"/>
                <w:w w:val="105"/>
                <w:sz w:val="21"/>
              </w:rPr>
              <w:t>(2,519)</w:t>
            </w:r>
          </w:p>
        </w:tc>
        <w:tc>
          <w:tcPr>
            <w:tcW w:w="6947" w:type="dxa"/>
          </w:tcPr>
          <w:p>
            <w:pPr>
              <w:pStyle w:val="TableParagraph"/>
              <w:spacing w:before="65"/>
              <w:ind w:left="253"/>
              <w:rPr>
                <w:sz w:val="21"/>
              </w:rPr>
            </w:pPr>
            <w:r>
              <w:rPr>
                <w:color w:val="0F0F0F"/>
                <w:w w:val="105"/>
                <w:sz w:val="21"/>
              </w:rPr>
              <w:t>Non</w:t>
            </w:r>
            <w:r>
              <w:rPr>
                <w:color w:val="0F0F0F"/>
                <w:spacing w:val="-6"/>
                <w:w w:val="105"/>
                <w:sz w:val="21"/>
              </w:rPr>
              <w:t> </w:t>
            </w:r>
            <w:r>
              <w:rPr>
                <w:color w:val="0F0F0F"/>
                <w:w w:val="105"/>
                <w:sz w:val="21"/>
              </w:rPr>
              <w:t>cash</w:t>
            </w:r>
            <w:r>
              <w:rPr>
                <w:color w:val="0F0F0F"/>
                <w:spacing w:val="-4"/>
                <w:w w:val="105"/>
                <w:sz w:val="21"/>
              </w:rPr>
              <w:t> </w:t>
            </w:r>
            <w:r>
              <w:rPr>
                <w:color w:val="0F0F0F"/>
                <w:w w:val="105"/>
                <w:sz w:val="21"/>
              </w:rPr>
              <w:t>pension</w:t>
            </w:r>
            <w:r>
              <w:rPr>
                <w:color w:val="0F0F0F"/>
                <w:spacing w:val="-2"/>
                <w:w w:val="105"/>
                <w:sz w:val="21"/>
              </w:rPr>
              <w:t> costs</w:t>
            </w:r>
          </w:p>
        </w:tc>
        <w:tc>
          <w:tcPr>
            <w:tcW w:w="1465" w:type="dxa"/>
          </w:tcPr>
          <w:p>
            <w:pPr>
              <w:pStyle w:val="TableParagraph"/>
              <w:spacing w:before="65"/>
              <w:ind w:left="607"/>
              <w:rPr>
                <w:sz w:val="21"/>
              </w:rPr>
            </w:pPr>
            <w:r>
              <w:rPr>
                <w:color w:val="0F0F0F"/>
                <w:spacing w:val="-2"/>
                <w:w w:val="105"/>
                <w:sz w:val="21"/>
              </w:rPr>
              <w:t>(2,608)</w:t>
            </w:r>
          </w:p>
        </w:tc>
      </w:tr>
      <w:tr>
        <w:trPr>
          <w:trHeight w:val="372" w:hRule="atLeast"/>
        </w:trPr>
        <w:tc>
          <w:tcPr>
            <w:tcW w:w="1574" w:type="dxa"/>
          </w:tcPr>
          <w:p>
            <w:pPr>
              <w:pStyle w:val="TableParagraph"/>
              <w:spacing w:before="61"/>
              <w:ind w:right="294"/>
              <w:jc w:val="right"/>
              <w:rPr>
                <w:sz w:val="21"/>
              </w:rPr>
            </w:pPr>
            <w:r>
              <w:rPr>
                <w:color w:val="0F0F0F"/>
                <w:spacing w:val="-4"/>
                <w:w w:val="105"/>
                <w:sz w:val="21"/>
              </w:rPr>
              <w:t>(50)</w:t>
            </w:r>
          </w:p>
        </w:tc>
        <w:tc>
          <w:tcPr>
            <w:tcW w:w="6947" w:type="dxa"/>
          </w:tcPr>
          <w:p>
            <w:pPr>
              <w:pStyle w:val="TableParagraph"/>
              <w:spacing w:before="65"/>
              <w:ind w:left="243"/>
              <w:rPr>
                <w:sz w:val="21"/>
              </w:rPr>
            </w:pPr>
            <w:r>
              <w:rPr>
                <w:color w:val="0F0F0F"/>
                <w:w w:val="105"/>
                <w:sz w:val="21"/>
              </w:rPr>
              <w:t>Movement in respect</w:t>
            </w:r>
            <w:r>
              <w:rPr>
                <w:color w:val="0F0F0F"/>
                <w:spacing w:val="-3"/>
                <w:w w:val="105"/>
                <w:sz w:val="21"/>
              </w:rPr>
              <w:t> </w:t>
            </w:r>
            <w:r>
              <w:rPr>
                <w:color w:val="0F0F0F"/>
                <w:w w:val="105"/>
                <w:sz w:val="21"/>
              </w:rPr>
              <w:t>of</w:t>
            </w:r>
            <w:r>
              <w:rPr>
                <w:color w:val="0F0F0F"/>
                <w:spacing w:val="-11"/>
                <w:w w:val="105"/>
                <w:sz w:val="21"/>
              </w:rPr>
              <w:t> </w:t>
            </w:r>
            <w:r>
              <w:rPr>
                <w:color w:val="0F0F0F"/>
                <w:w w:val="105"/>
                <w:sz w:val="21"/>
              </w:rPr>
              <w:t>internal</w:t>
            </w:r>
            <w:r>
              <w:rPr>
                <w:color w:val="0F0F0F"/>
                <w:spacing w:val="-4"/>
                <w:w w:val="105"/>
                <w:sz w:val="21"/>
              </w:rPr>
              <w:t> </w:t>
            </w:r>
            <w:r>
              <w:rPr>
                <w:color w:val="0F0F0F"/>
                <w:spacing w:val="-2"/>
                <w:w w:val="105"/>
                <w:sz w:val="21"/>
              </w:rPr>
              <w:t>interest</w:t>
            </w:r>
          </w:p>
        </w:tc>
        <w:tc>
          <w:tcPr>
            <w:tcW w:w="1465" w:type="dxa"/>
          </w:tcPr>
          <w:p>
            <w:pPr>
              <w:pStyle w:val="TableParagraph"/>
              <w:spacing w:before="61"/>
              <w:ind w:left="790"/>
              <w:rPr>
                <w:sz w:val="21"/>
              </w:rPr>
            </w:pPr>
            <w:r>
              <w:rPr>
                <w:color w:val="0F0F0F"/>
                <w:spacing w:val="-2"/>
                <w:w w:val="105"/>
                <w:sz w:val="21"/>
              </w:rPr>
              <w:t>(192)</w:t>
            </w:r>
          </w:p>
        </w:tc>
      </w:tr>
      <w:tr>
        <w:trPr>
          <w:trHeight w:val="372" w:hRule="atLeast"/>
        </w:trPr>
        <w:tc>
          <w:tcPr>
            <w:tcW w:w="1574" w:type="dxa"/>
          </w:tcPr>
          <w:p>
            <w:pPr>
              <w:pStyle w:val="TableParagraph"/>
              <w:spacing w:before="58"/>
              <w:ind w:right="300"/>
              <w:jc w:val="right"/>
              <w:rPr>
                <w:sz w:val="21"/>
              </w:rPr>
            </w:pPr>
            <w:r>
              <w:rPr>
                <w:color w:val="0F0F0F"/>
                <w:spacing w:val="-4"/>
                <w:w w:val="105"/>
                <w:sz w:val="21"/>
              </w:rPr>
              <w:t>(10)</w:t>
            </w:r>
          </w:p>
        </w:tc>
        <w:tc>
          <w:tcPr>
            <w:tcW w:w="6947" w:type="dxa"/>
          </w:tcPr>
          <w:p>
            <w:pPr>
              <w:pStyle w:val="TableParagraph"/>
              <w:spacing w:before="63"/>
              <w:ind w:left="240"/>
              <w:rPr>
                <w:sz w:val="21"/>
              </w:rPr>
            </w:pPr>
            <w:r>
              <w:rPr>
                <w:color w:val="0F0F0F"/>
                <w:w w:val="105"/>
                <w:sz w:val="21"/>
              </w:rPr>
              <w:t>Increase/</w:t>
            </w:r>
            <w:r>
              <w:rPr>
                <w:color w:val="0F0F0F"/>
                <w:spacing w:val="12"/>
                <w:w w:val="105"/>
                <w:sz w:val="21"/>
              </w:rPr>
              <w:t> </w:t>
            </w:r>
            <w:r>
              <w:rPr>
                <w:color w:val="0F0F0F"/>
                <w:w w:val="105"/>
                <w:sz w:val="21"/>
              </w:rPr>
              <w:t>(decrease)</w:t>
            </w:r>
            <w:r>
              <w:rPr>
                <w:color w:val="0F0F0F"/>
                <w:spacing w:val="24"/>
                <w:w w:val="105"/>
                <w:sz w:val="21"/>
              </w:rPr>
              <w:t> </w:t>
            </w:r>
            <w:r>
              <w:rPr>
                <w:color w:val="0F0F0F"/>
                <w:w w:val="105"/>
                <w:sz w:val="21"/>
              </w:rPr>
              <w:t>in</w:t>
            </w:r>
            <w:r>
              <w:rPr>
                <w:color w:val="0F0F0F"/>
                <w:spacing w:val="9"/>
                <w:w w:val="105"/>
                <w:sz w:val="21"/>
              </w:rPr>
              <w:t> </w:t>
            </w:r>
            <w:r>
              <w:rPr>
                <w:color w:val="0F0F0F"/>
                <w:spacing w:val="-2"/>
                <w:w w:val="105"/>
                <w:sz w:val="21"/>
              </w:rPr>
              <w:t>inventories</w:t>
            </w:r>
          </w:p>
        </w:tc>
        <w:tc>
          <w:tcPr>
            <w:tcW w:w="1465" w:type="dxa"/>
          </w:tcPr>
          <w:p>
            <w:pPr>
              <w:pStyle w:val="TableParagraph"/>
              <w:spacing w:before="68"/>
              <w:ind w:right="156"/>
              <w:jc w:val="right"/>
              <w:rPr>
                <w:sz w:val="21"/>
              </w:rPr>
            </w:pPr>
            <w:r>
              <w:rPr>
                <w:color w:val="0F0F0F"/>
                <w:spacing w:val="-10"/>
                <w:w w:val="110"/>
                <w:sz w:val="21"/>
              </w:rPr>
              <w:t>5</w:t>
            </w:r>
          </w:p>
        </w:tc>
      </w:tr>
      <w:tr>
        <w:trPr>
          <w:trHeight w:val="372" w:hRule="atLeast"/>
        </w:trPr>
        <w:tc>
          <w:tcPr>
            <w:tcW w:w="1574" w:type="dxa"/>
          </w:tcPr>
          <w:p>
            <w:pPr>
              <w:pStyle w:val="TableParagraph"/>
              <w:spacing w:before="56"/>
              <w:ind w:right="312"/>
              <w:jc w:val="right"/>
              <w:rPr>
                <w:sz w:val="21"/>
              </w:rPr>
            </w:pPr>
            <w:r>
              <w:rPr>
                <w:color w:val="0F0F0F"/>
                <w:spacing w:val="-2"/>
                <w:w w:val="105"/>
                <w:sz w:val="21"/>
              </w:rPr>
              <w:t>(225)</w:t>
            </w:r>
          </w:p>
        </w:tc>
        <w:tc>
          <w:tcPr>
            <w:tcW w:w="6947" w:type="dxa"/>
          </w:tcPr>
          <w:p>
            <w:pPr>
              <w:pStyle w:val="TableParagraph"/>
              <w:spacing w:before="65"/>
              <w:ind w:left="235"/>
              <w:rPr>
                <w:sz w:val="21"/>
              </w:rPr>
            </w:pPr>
            <w:r>
              <w:rPr>
                <w:color w:val="0F0F0F"/>
                <w:w w:val="105"/>
                <w:sz w:val="21"/>
              </w:rPr>
              <w:t>Increase/</w:t>
            </w:r>
            <w:r>
              <w:rPr>
                <w:color w:val="0F0F0F"/>
                <w:spacing w:val="3"/>
                <w:w w:val="105"/>
                <w:sz w:val="21"/>
              </w:rPr>
              <w:t> </w:t>
            </w:r>
            <w:r>
              <w:rPr>
                <w:color w:val="0F0F0F"/>
                <w:w w:val="105"/>
                <w:sz w:val="21"/>
              </w:rPr>
              <w:t>(decrease)</w:t>
            </w:r>
            <w:r>
              <w:rPr>
                <w:color w:val="0F0F0F"/>
                <w:spacing w:val="24"/>
                <w:w w:val="105"/>
                <w:sz w:val="21"/>
              </w:rPr>
              <w:t> </w:t>
            </w:r>
            <w:r>
              <w:rPr>
                <w:color w:val="0F0F0F"/>
                <w:w w:val="105"/>
                <w:sz w:val="21"/>
              </w:rPr>
              <w:t>in</w:t>
            </w:r>
            <w:r>
              <w:rPr>
                <w:color w:val="0F0F0F"/>
                <w:spacing w:val="3"/>
                <w:w w:val="105"/>
                <w:sz w:val="21"/>
              </w:rPr>
              <w:t> </w:t>
            </w:r>
            <w:r>
              <w:rPr>
                <w:color w:val="0F0F0F"/>
                <w:w w:val="105"/>
                <w:sz w:val="21"/>
              </w:rPr>
              <w:t>revenue</w:t>
            </w:r>
            <w:r>
              <w:rPr>
                <w:color w:val="0F0F0F"/>
                <w:spacing w:val="11"/>
                <w:w w:val="105"/>
                <w:sz w:val="21"/>
              </w:rPr>
              <w:t> </w:t>
            </w:r>
            <w:r>
              <w:rPr>
                <w:color w:val="0F0F0F"/>
                <w:spacing w:val="-2"/>
                <w:w w:val="105"/>
                <w:sz w:val="21"/>
              </w:rPr>
              <w:t>debtors</w:t>
            </w:r>
          </w:p>
        </w:tc>
        <w:tc>
          <w:tcPr>
            <w:tcW w:w="1465" w:type="dxa"/>
          </w:tcPr>
          <w:p>
            <w:pPr>
              <w:pStyle w:val="TableParagraph"/>
              <w:spacing w:before="61"/>
              <w:ind w:left="621"/>
              <w:rPr>
                <w:sz w:val="21"/>
              </w:rPr>
            </w:pPr>
            <w:r>
              <w:rPr>
                <w:color w:val="0F0F0F"/>
                <w:spacing w:val="-2"/>
                <w:w w:val="105"/>
                <w:sz w:val="21"/>
              </w:rPr>
              <w:t>11,737</w:t>
            </w:r>
          </w:p>
        </w:tc>
      </w:tr>
      <w:tr>
        <w:trPr>
          <w:trHeight w:val="375" w:hRule="atLeast"/>
        </w:trPr>
        <w:tc>
          <w:tcPr>
            <w:tcW w:w="1574" w:type="dxa"/>
          </w:tcPr>
          <w:p>
            <w:pPr>
              <w:pStyle w:val="TableParagraph"/>
              <w:spacing w:before="58"/>
              <w:ind w:left="566"/>
              <w:rPr>
                <w:sz w:val="21"/>
              </w:rPr>
            </w:pPr>
            <w:r>
              <w:rPr>
                <w:color w:val="2D2D2D"/>
                <w:spacing w:val="-2"/>
                <w:w w:val="105"/>
                <w:sz w:val="21"/>
                <w:u w:val="double" w:color="2D2D2D"/>
              </w:rPr>
              <w:t>(2,071)</w:t>
            </w:r>
          </w:p>
        </w:tc>
        <w:tc>
          <w:tcPr>
            <w:tcW w:w="6947" w:type="dxa"/>
          </w:tcPr>
          <w:p>
            <w:pPr>
              <w:pStyle w:val="TableParagraph"/>
              <w:spacing w:before="63"/>
              <w:ind w:left="232"/>
              <w:rPr>
                <w:sz w:val="21"/>
              </w:rPr>
            </w:pPr>
            <w:r>
              <w:rPr>
                <w:color w:val="0F0F0F"/>
                <w:w w:val="105"/>
                <w:sz w:val="21"/>
              </w:rPr>
              <w:t>(Increase)</w:t>
            </w:r>
            <w:r>
              <w:rPr>
                <w:color w:val="0F0F0F"/>
                <w:spacing w:val="13"/>
                <w:w w:val="105"/>
                <w:sz w:val="21"/>
              </w:rPr>
              <w:t> </w:t>
            </w:r>
            <w:r>
              <w:rPr>
                <w:color w:val="0F0F0F"/>
                <w:w w:val="105"/>
                <w:sz w:val="21"/>
              </w:rPr>
              <w:t>/</w:t>
            </w:r>
            <w:r>
              <w:rPr>
                <w:color w:val="0F0F0F"/>
                <w:spacing w:val="-11"/>
                <w:w w:val="105"/>
                <w:sz w:val="21"/>
              </w:rPr>
              <w:t> </w:t>
            </w:r>
            <w:r>
              <w:rPr>
                <w:color w:val="0F0F0F"/>
                <w:w w:val="105"/>
                <w:sz w:val="21"/>
              </w:rPr>
              <w:t>decrease</w:t>
            </w:r>
            <w:r>
              <w:rPr>
                <w:color w:val="0F0F0F"/>
                <w:spacing w:val="3"/>
                <w:w w:val="105"/>
                <w:sz w:val="21"/>
              </w:rPr>
              <w:t> </w:t>
            </w:r>
            <w:r>
              <w:rPr>
                <w:color w:val="0F0F0F"/>
                <w:w w:val="105"/>
                <w:sz w:val="21"/>
              </w:rPr>
              <w:t>in</w:t>
            </w:r>
            <w:r>
              <w:rPr>
                <w:color w:val="0F0F0F"/>
                <w:spacing w:val="-14"/>
                <w:w w:val="105"/>
                <w:sz w:val="21"/>
              </w:rPr>
              <w:t> </w:t>
            </w:r>
            <w:r>
              <w:rPr>
                <w:color w:val="0F0F0F"/>
                <w:w w:val="105"/>
                <w:sz w:val="21"/>
              </w:rPr>
              <w:t>revenue creditors</w:t>
            </w:r>
            <w:r>
              <w:rPr>
                <w:color w:val="0F0F0F"/>
                <w:spacing w:val="3"/>
                <w:w w:val="105"/>
                <w:sz w:val="21"/>
              </w:rPr>
              <w:t> </w:t>
            </w:r>
            <w:r>
              <w:rPr>
                <w:color w:val="0F0F0F"/>
                <w:w w:val="105"/>
                <w:sz w:val="21"/>
              </w:rPr>
              <w:t>&amp;</w:t>
            </w:r>
            <w:r>
              <w:rPr>
                <w:color w:val="0F0F0F"/>
                <w:spacing w:val="-13"/>
                <w:w w:val="105"/>
                <w:sz w:val="21"/>
              </w:rPr>
              <w:t> </w:t>
            </w:r>
            <w:r>
              <w:rPr>
                <w:color w:val="0F0F0F"/>
                <w:spacing w:val="-2"/>
                <w:w w:val="105"/>
                <w:sz w:val="21"/>
              </w:rPr>
              <w:t>provisions</w:t>
            </w:r>
          </w:p>
        </w:tc>
        <w:tc>
          <w:tcPr>
            <w:tcW w:w="1465" w:type="dxa"/>
          </w:tcPr>
          <w:p>
            <w:pPr>
              <w:pStyle w:val="TableParagraph"/>
              <w:spacing w:before="68"/>
              <w:ind w:left="604"/>
              <w:rPr>
                <w:sz w:val="21"/>
              </w:rPr>
            </w:pPr>
            <w:r>
              <w:rPr>
                <w:color w:val="464646"/>
                <w:spacing w:val="-2"/>
                <w:w w:val="105"/>
                <w:sz w:val="21"/>
                <w:u w:val="thick" w:color="2D2D2D"/>
              </w:rPr>
              <w:t>{</w:t>
            </w:r>
            <w:r>
              <w:rPr>
                <w:color w:val="0F0F0F"/>
                <w:spacing w:val="-2"/>
                <w:w w:val="105"/>
                <w:sz w:val="21"/>
                <w:u w:val="thick" w:color="2D2D2D"/>
              </w:rPr>
              <w:t>4</w:t>
            </w:r>
            <w:r>
              <w:rPr>
                <w:color w:val="464646"/>
                <w:spacing w:val="-2"/>
                <w:w w:val="105"/>
                <w:sz w:val="21"/>
                <w:u w:val="thick" w:color="2D2D2D"/>
              </w:rPr>
              <w:t>,</w:t>
            </w:r>
            <w:r>
              <w:rPr>
                <w:color w:val="0F0F0F"/>
                <w:spacing w:val="-2"/>
                <w:w w:val="105"/>
                <w:sz w:val="21"/>
                <w:u w:val="thick" w:color="2D2D2D"/>
              </w:rPr>
              <w:t>201</w:t>
            </w:r>
            <w:r>
              <w:rPr>
                <w:color w:val="2D2D2D"/>
                <w:spacing w:val="-2"/>
                <w:w w:val="105"/>
                <w:sz w:val="21"/>
                <w:u w:val="thick" w:color="2D2D2D"/>
              </w:rPr>
              <w:t>)</w:t>
            </w:r>
          </w:p>
        </w:tc>
      </w:tr>
      <w:tr>
        <w:trPr>
          <w:trHeight w:val="630" w:hRule="atLeast"/>
        </w:trPr>
        <w:tc>
          <w:tcPr>
            <w:tcW w:w="1574" w:type="dxa"/>
          </w:tcPr>
          <w:p>
            <w:pPr>
              <w:pStyle w:val="TableParagraph"/>
              <w:spacing w:before="58"/>
              <w:ind w:left="557"/>
              <w:rPr>
                <w:b/>
                <w:sz w:val="22"/>
              </w:rPr>
            </w:pPr>
            <w:r>
              <w:rPr>
                <w:b/>
                <w:color w:val="0F0F0F"/>
                <w:spacing w:val="-2"/>
                <w:sz w:val="22"/>
                <w:u w:val="double" w:color="0F0F0F"/>
              </w:rPr>
              <w:t>(3,193)</w:t>
            </w:r>
          </w:p>
        </w:tc>
        <w:tc>
          <w:tcPr>
            <w:tcW w:w="6947" w:type="dxa"/>
          </w:tcPr>
          <w:p>
            <w:pPr>
              <w:pStyle w:val="TableParagraph"/>
              <w:rPr>
                <w:rFonts w:ascii="Times New Roman"/>
                <w:sz w:val="20"/>
              </w:rPr>
            </w:pPr>
          </w:p>
        </w:tc>
        <w:tc>
          <w:tcPr>
            <w:tcW w:w="1465" w:type="dxa"/>
          </w:tcPr>
          <w:p>
            <w:pPr>
              <w:pStyle w:val="TableParagraph"/>
              <w:spacing w:before="63"/>
              <w:ind w:left="772"/>
              <w:rPr>
                <w:b/>
                <w:sz w:val="22"/>
              </w:rPr>
            </w:pPr>
            <w:r>
              <w:rPr>
                <w:b/>
                <w:color w:val="0F0F0F"/>
                <w:spacing w:val="-2"/>
                <w:sz w:val="22"/>
                <w:u w:val="double" w:color="0F0F0F"/>
              </w:rPr>
              <w:t>(697)</w:t>
            </w:r>
          </w:p>
        </w:tc>
      </w:tr>
      <w:tr>
        <w:trPr>
          <w:trHeight w:val="626" w:hRule="atLeast"/>
        </w:trPr>
        <w:tc>
          <w:tcPr>
            <w:tcW w:w="1574" w:type="dxa"/>
          </w:tcPr>
          <w:p>
            <w:pPr>
              <w:pStyle w:val="TableParagraph"/>
              <w:rPr>
                <w:rFonts w:ascii="Times New Roman"/>
                <w:sz w:val="20"/>
              </w:rPr>
            </w:pPr>
          </w:p>
        </w:tc>
        <w:tc>
          <w:tcPr>
            <w:tcW w:w="6947" w:type="dxa"/>
          </w:tcPr>
          <w:p>
            <w:pPr>
              <w:pStyle w:val="TableParagraph"/>
              <w:spacing w:before="54"/>
              <w:rPr>
                <w:b/>
                <w:sz w:val="22"/>
              </w:rPr>
            </w:pPr>
          </w:p>
          <w:p>
            <w:pPr>
              <w:pStyle w:val="TableParagraph"/>
              <w:ind w:left="221"/>
              <w:rPr>
                <w:b/>
                <w:sz w:val="22"/>
              </w:rPr>
            </w:pPr>
            <w:r>
              <w:rPr>
                <w:b/>
                <w:color w:val="0F0F0F"/>
                <w:sz w:val="22"/>
              </w:rPr>
              <w:t>Adjustments</w:t>
            </w:r>
            <w:r>
              <w:rPr>
                <w:b/>
                <w:color w:val="0F0F0F"/>
                <w:spacing w:val="9"/>
                <w:sz w:val="22"/>
              </w:rPr>
              <w:t> </w:t>
            </w:r>
            <w:r>
              <w:rPr>
                <w:b/>
                <w:color w:val="0F0F0F"/>
                <w:sz w:val="22"/>
              </w:rPr>
              <w:t>for</w:t>
            </w:r>
            <w:r>
              <w:rPr>
                <w:b/>
                <w:color w:val="0F0F0F"/>
                <w:spacing w:val="-4"/>
                <w:sz w:val="22"/>
              </w:rPr>
              <w:t> </w:t>
            </w:r>
            <w:r>
              <w:rPr>
                <w:b/>
                <w:color w:val="0F0F0F"/>
                <w:sz w:val="22"/>
              </w:rPr>
              <w:t>items</w:t>
            </w:r>
            <w:r>
              <w:rPr>
                <w:b/>
                <w:color w:val="0F0F0F"/>
                <w:spacing w:val="-11"/>
                <w:sz w:val="22"/>
              </w:rPr>
              <w:t> </w:t>
            </w:r>
            <w:r>
              <w:rPr>
                <w:b/>
                <w:color w:val="0F0F0F"/>
                <w:sz w:val="22"/>
              </w:rPr>
              <w:t>that</w:t>
            </w:r>
            <w:r>
              <w:rPr>
                <w:b/>
                <w:color w:val="0F0F0F"/>
                <w:spacing w:val="-10"/>
                <w:sz w:val="22"/>
              </w:rPr>
              <w:t> </w:t>
            </w:r>
            <w:r>
              <w:rPr>
                <w:b/>
                <w:color w:val="0F0F0F"/>
                <w:sz w:val="22"/>
              </w:rPr>
              <w:t>are</w:t>
            </w:r>
            <w:r>
              <w:rPr>
                <w:b/>
                <w:color w:val="0F0F0F"/>
                <w:spacing w:val="-10"/>
                <w:sz w:val="22"/>
              </w:rPr>
              <w:t> </w:t>
            </w:r>
            <w:r>
              <w:rPr>
                <w:b/>
                <w:color w:val="0F0F0F"/>
                <w:sz w:val="22"/>
              </w:rPr>
              <w:t>investing</w:t>
            </w:r>
            <w:r>
              <w:rPr>
                <w:b/>
                <w:color w:val="0F0F0F"/>
                <w:spacing w:val="4"/>
                <w:sz w:val="22"/>
              </w:rPr>
              <w:t> </w:t>
            </w:r>
            <w:r>
              <w:rPr>
                <w:b/>
                <w:color w:val="0F0F0F"/>
                <w:sz w:val="22"/>
              </w:rPr>
              <w:t>or</w:t>
            </w:r>
            <w:r>
              <w:rPr>
                <w:b/>
                <w:color w:val="0F0F0F"/>
                <w:spacing w:val="-8"/>
                <w:sz w:val="22"/>
              </w:rPr>
              <w:t> </w:t>
            </w:r>
            <w:r>
              <w:rPr>
                <w:b/>
                <w:color w:val="0F0F0F"/>
                <w:sz w:val="22"/>
              </w:rPr>
              <w:t>financing</w:t>
            </w:r>
            <w:r>
              <w:rPr>
                <w:b/>
                <w:color w:val="0F0F0F"/>
                <w:spacing w:val="13"/>
                <w:sz w:val="22"/>
              </w:rPr>
              <w:t> </w:t>
            </w:r>
            <w:r>
              <w:rPr>
                <w:b/>
                <w:color w:val="0F0F0F"/>
                <w:spacing w:val="-2"/>
                <w:sz w:val="22"/>
              </w:rPr>
              <w:t>activities:</w:t>
            </w:r>
          </w:p>
        </w:tc>
        <w:tc>
          <w:tcPr>
            <w:tcW w:w="1465" w:type="dxa"/>
          </w:tcPr>
          <w:p>
            <w:pPr>
              <w:pStyle w:val="TableParagraph"/>
              <w:rPr>
                <w:rFonts w:ascii="Times New Roman"/>
                <w:sz w:val="20"/>
              </w:rPr>
            </w:pPr>
          </w:p>
        </w:tc>
      </w:tr>
      <w:tr>
        <w:trPr>
          <w:trHeight w:val="373" w:hRule="atLeast"/>
        </w:trPr>
        <w:tc>
          <w:tcPr>
            <w:tcW w:w="1574" w:type="dxa"/>
          </w:tcPr>
          <w:p>
            <w:pPr>
              <w:pStyle w:val="TableParagraph"/>
              <w:spacing w:before="60"/>
              <w:ind w:left="565"/>
              <w:rPr>
                <w:sz w:val="21"/>
              </w:rPr>
            </w:pPr>
            <w:r>
              <w:rPr>
                <w:color w:val="0F0F0F"/>
                <w:spacing w:val="-2"/>
                <w:w w:val="105"/>
                <w:sz w:val="21"/>
              </w:rPr>
              <w:t>10,979</w:t>
            </w:r>
          </w:p>
        </w:tc>
        <w:tc>
          <w:tcPr>
            <w:tcW w:w="6947" w:type="dxa"/>
          </w:tcPr>
          <w:p>
            <w:pPr>
              <w:pStyle w:val="TableParagraph"/>
              <w:spacing w:before="64"/>
              <w:ind w:left="210"/>
              <w:rPr>
                <w:sz w:val="21"/>
              </w:rPr>
            </w:pPr>
            <w:r>
              <w:rPr>
                <w:color w:val="0F0F0F"/>
                <w:w w:val="105"/>
                <w:sz w:val="21"/>
              </w:rPr>
              <w:t>Capital</w:t>
            </w:r>
            <w:r>
              <w:rPr>
                <w:color w:val="0F0F0F"/>
                <w:spacing w:val="1"/>
                <w:w w:val="105"/>
                <w:sz w:val="21"/>
              </w:rPr>
              <w:t> </w:t>
            </w:r>
            <w:r>
              <w:rPr>
                <w:color w:val="0F0F0F"/>
                <w:w w:val="105"/>
                <w:sz w:val="21"/>
              </w:rPr>
              <w:t>grants</w:t>
            </w:r>
            <w:r>
              <w:rPr>
                <w:color w:val="0F0F0F"/>
                <w:spacing w:val="1"/>
                <w:w w:val="105"/>
                <w:sz w:val="21"/>
              </w:rPr>
              <w:t> </w:t>
            </w:r>
            <w:r>
              <w:rPr>
                <w:color w:val="0F0F0F"/>
                <w:w w:val="105"/>
                <w:sz w:val="21"/>
              </w:rPr>
              <w:t>credited</w:t>
            </w:r>
            <w:r>
              <w:rPr>
                <w:color w:val="0F0F0F"/>
                <w:spacing w:val="-2"/>
                <w:w w:val="105"/>
                <w:sz w:val="21"/>
              </w:rPr>
              <w:t> </w:t>
            </w:r>
            <w:r>
              <w:rPr>
                <w:color w:val="0F0F0F"/>
                <w:w w:val="105"/>
                <w:sz w:val="21"/>
              </w:rPr>
              <w:t>to</w:t>
            </w:r>
            <w:r>
              <w:rPr>
                <w:color w:val="0F0F0F"/>
                <w:spacing w:val="-10"/>
                <w:w w:val="105"/>
                <w:sz w:val="21"/>
              </w:rPr>
              <w:t> </w:t>
            </w:r>
            <w:r>
              <w:rPr>
                <w:color w:val="0F0F0F"/>
                <w:w w:val="105"/>
                <w:sz w:val="21"/>
              </w:rPr>
              <w:t>deficit</w:t>
            </w:r>
            <w:r>
              <w:rPr>
                <w:color w:val="0F0F0F"/>
                <w:spacing w:val="3"/>
                <w:w w:val="105"/>
                <w:sz w:val="21"/>
              </w:rPr>
              <w:t> </w:t>
            </w:r>
            <w:r>
              <w:rPr>
                <w:color w:val="0F0F0F"/>
                <w:w w:val="105"/>
                <w:sz w:val="21"/>
              </w:rPr>
              <w:t>on</w:t>
            </w:r>
            <w:r>
              <w:rPr>
                <w:color w:val="0F0F0F"/>
                <w:spacing w:val="-12"/>
                <w:w w:val="105"/>
                <w:sz w:val="21"/>
              </w:rPr>
              <w:t> </w:t>
            </w:r>
            <w:r>
              <w:rPr>
                <w:color w:val="0F0F0F"/>
                <w:w w:val="105"/>
                <w:sz w:val="21"/>
              </w:rPr>
              <w:t>the</w:t>
            </w:r>
            <w:r>
              <w:rPr>
                <w:color w:val="0F0F0F"/>
                <w:spacing w:val="-7"/>
                <w:w w:val="105"/>
                <w:sz w:val="21"/>
              </w:rPr>
              <w:t> </w:t>
            </w:r>
            <w:r>
              <w:rPr>
                <w:color w:val="0F0F0F"/>
                <w:w w:val="105"/>
                <w:sz w:val="21"/>
              </w:rPr>
              <w:t>provision</w:t>
            </w:r>
            <w:r>
              <w:rPr>
                <w:color w:val="0F0F0F"/>
                <w:spacing w:val="3"/>
                <w:w w:val="105"/>
                <w:sz w:val="21"/>
              </w:rPr>
              <w:t> </w:t>
            </w:r>
            <w:r>
              <w:rPr>
                <w:color w:val="0F0F0F"/>
                <w:w w:val="105"/>
                <w:sz w:val="21"/>
              </w:rPr>
              <w:t>of</w:t>
            </w:r>
            <w:r>
              <w:rPr>
                <w:color w:val="0F0F0F"/>
                <w:spacing w:val="2"/>
                <w:w w:val="105"/>
                <w:sz w:val="21"/>
              </w:rPr>
              <w:t> </w:t>
            </w:r>
            <w:r>
              <w:rPr>
                <w:color w:val="0F0F0F"/>
                <w:spacing w:val="-2"/>
                <w:w w:val="105"/>
                <w:sz w:val="21"/>
              </w:rPr>
              <w:t>services</w:t>
            </w:r>
          </w:p>
        </w:tc>
        <w:tc>
          <w:tcPr>
            <w:tcW w:w="1465" w:type="dxa"/>
          </w:tcPr>
          <w:p>
            <w:pPr>
              <w:pStyle w:val="TableParagraph"/>
              <w:spacing w:before="64"/>
              <w:ind w:left="727"/>
              <w:rPr>
                <w:sz w:val="21"/>
              </w:rPr>
            </w:pPr>
            <w:r>
              <w:rPr>
                <w:color w:val="0F0F0F"/>
                <w:spacing w:val="-4"/>
                <w:w w:val="105"/>
                <w:sz w:val="21"/>
              </w:rPr>
              <w:t>6,957</w:t>
            </w:r>
          </w:p>
        </w:tc>
      </w:tr>
      <w:tr>
        <w:trPr>
          <w:trHeight w:val="370" w:hRule="atLeast"/>
        </w:trPr>
        <w:tc>
          <w:tcPr>
            <w:tcW w:w="1574" w:type="dxa"/>
          </w:tcPr>
          <w:p>
            <w:pPr>
              <w:pStyle w:val="TableParagraph"/>
              <w:tabs>
                <w:tab w:val="left" w:leader="none" w:pos="941"/>
              </w:tabs>
              <w:spacing w:before="61"/>
              <w:ind w:right="214"/>
              <w:jc w:val="right"/>
              <w:rPr>
                <w:sz w:val="21"/>
              </w:rPr>
            </w:pPr>
            <w:r>
              <w:rPr>
                <w:color w:val="0F0F0F"/>
                <w:sz w:val="21"/>
                <w:u w:val="single" w:color="000000"/>
              </w:rPr>
              <w:tab/>
            </w:r>
            <w:r>
              <w:rPr>
                <w:color w:val="0F0F0F"/>
                <w:spacing w:val="-7"/>
                <w:w w:val="105"/>
                <w:sz w:val="21"/>
                <w:u w:val="single" w:color="000000"/>
              </w:rPr>
              <w:t>22</w:t>
            </w:r>
            <w:r>
              <w:rPr>
                <w:color w:val="0F0F0F"/>
                <w:spacing w:val="80"/>
                <w:w w:val="105"/>
                <w:sz w:val="21"/>
                <w:u w:val="single" w:color="000000"/>
              </w:rPr>
              <w:t> </w:t>
            </w:r>
          </w:p>
        </w:tc>
        <w:tc>
          <w:tcPr>
            <w:tcW w:w="6947" w:type="dxa"/>
          </w:tcPr>
          <w:p>
            <w:pPr>
              <w:pStyle w:val="TableParagraph"/>
              <w:spacing w:before="65"/>
              <w:ind w:left="205"/>
              <w:rPr>
                <w:sz w:val="21"/>
              </w:rPr>
            </w:pPr>
            <w:r>
              <w:rPr>
                <w:color w:val="0F0F0F"/>
                <w:w w:val="105"/>
                <w:sz w:val="21"/>
              </w:rPr>
              <w:t>Proceeds</w:t>
            </w:r>
            <w:r>
              <w:rPr>
                <w:color w:val="0F0F0F"/>
                <w:spacing w:val="2"/>
                <w:w w:val="105"/>
                <w:sz w:val="21"/>
              </w:rPr>
              <w:t> </w:t>
            </w:r>
            <w:r>
              <w:rPr>
                <w:color w:val="0F0F0F"/>
                <w:w w:val="105"/>
                <w:sz w:val="21"/>
              </w:rPr>
              <w:t>from</w:t>
            </w:r>
            <w:r>
              <w:rPr>
                <w:color w:val="0F0F0F"/>
                <w:spacing w:val="-2"/>
                <w:w w:val="105"/>
                <w:sz w:val="21"/>
              </w:rPr>
              <w:t> </w:t>
            </w:r>
            <w:r>
              <w:rPr>
                <w:color w:val="0F0F0F"/>
                <w:w w:val="105"/>
                <w:sz w:val="21"/>
              </w:rPr>
              <w:t>the</w:t>
            </w:r>
            <w:r>
              <w:rPr>
                <w:color w:val="0F0F0F"/>
                <w:spacing w:val="-2"/>
                <w:w w:val="105"/>
                <w:sz w:val="21"/>
              </w:rPr>
              <w:t> </w:t>
            </w:r>
            <w:r>
              <w:rPr>
                <w:color w:val="0F0F0F"/>
                <w:w w:val="105"/>
                <w:sz w:val="21"/>
              </w:rPr>
              <w:t>sale</w:t>
            </w:r>
            <w:r>
              <w:rPr>
                <w:color w:val="0F0F0F"/>
                <w:spacing w:val="1"/>
                <w:w w:val="105"/>
                <w:sz w:val="21"/>
              </w:rPr>
              <w:t> </w:t>
            </w:r>
            <w:r>
              <w:rPr>
                <w:color w:val="0F0F0F"/>
                <w:w w:val="105"/>
                <w:sz w:val="21"/>
              </w:rPr>
              <w:t>of</w:t>
            </w:r>
            <w:r>
              <w:rPr>
                <w:color w:val="0F0F0F"/>
                <w:spacing w:val="-9"/>
                <w:w w:val="105"/>
                <w:sz w:val="21"/>
              </w:rPr>
              <w:t> </w:t>
            </w:r>
            <w:r>
              <w:rPr>
                <w:color w:val="0F0F0F"/>
                <w:w w:val="105"/>
                <w:sz w:val="21"/>
              </w:rPr>
              <w:t>non-current</w:t>
            </w:r>
            <w:r>
              <w:rPr>
                <w:color w:val="0F0F0F"/>
                <w:spacing w:val="11"/>
                <w:w w:val="105"/>
                <w:sz w:val="21"/>
              </w:rPr>
              <w:t> </w:t>
            </w:r>
            <w:r>
              <w:rPr>
                <w:color w:val="0F0F0F"/>
                <w:spacing w:val="-2"/>
                <w:w w:val="105"/>
                <w:sz w:val="21"/>
              </w:rPr>
              <w:t>assets:</w:t>
            </w:r>
          </w:p>
        </w:tc>
        <w:tc>
          <w:tcPr>
            <w:tcW w:w="1465" w:type="dxa"/>
          </w:tcPr>
          <w:p>
            <w:pPr>
              <w:pStyle w:val="TableParagraph"/>
              <w:tabs>
                <w:tab w:val="left" w:leader="none" w:pos="807"/>
              </w:tabs>
              <w:spacing w:before="65"/>
              <w:ind w:right="49"/>
              <w:jc w:val="right"/>
              <w:rPr>
                <w:sz w:val="21"/>
              </w:rPr>
            </w:pPr>
            <w:r>
              <w:rPr>
                <w:color w:val="0F0F0F"/>
                <w:sz w:val="21"/>
                <w:u w:val="single" w:color="000000"/>
              </w:rPr>
              <w:tab/>
            </w:r>
            <w:r>
              <w:rPr>
                <w:color w:val="0F0F0F"/>
                <w:spacing w:val="-5"/>
                <w:w w:val="105"/>
                <w:sz w:val="21"/>
                <w:u w:val="single" w:color="000000"/>
              </w:rPr>
              <w:t>760</w:t>
            </w:r>
            <w:r>
              <w:rPr>
                <w:color w:val="0F0F0F"/>
                <w:spacing w:val="80"/>
                <w:w w:val="105"/>
                <w:sz w:val="21"/>
                <w:u w:val="single" w:color="000000"/>
              </w:rPr>
              <w:t> </w:t>
            </w:r>
          </w:p>
        </w:tc>
      </w:tr>
      <w:tr>
        <w:trPr>
          <w:trHeight w:val="383" w:hRule="atLeast"/>
        </w:trPr>
        <w:tc>
          <w:tcPr>
            <w:tcW w:w="1574" w:type="dxa"/>
          </w:tcPr>
          <w:p>
            <w:pPr>
              <w:pStyle w:val="TableParagraph"/>
              <w:tabs>
                <w:tab w:val="left" w:leader="none" w:pos="501"/>
              </w:tabs>
              <w:spacing w:before="56"/>
              <w:ind w:right="195"/>
              <w:jc w:val="right"/>
              <w:rPr>
                <w:b/>
                <w:sz w:val="22"/>
              </w:rPr>
            </w:pPr>
            <w:r>
              <w:rPr>
                <w:b/>
                <w:color w:val="0F0F0F"/>
                <w:sz w:val="22"/>
                <w:u w:val="single" w:color="000000"/>
              </w:rPr>
              <w:tab/>
            </w:r>
            <w:r>
              <w:rPr>
                <w:b/>
                <w:color w:val="0F0F0F"/>
                <w:spacing w:val="-2"/>
                <w:sz w:val="22"/>
                <w:u w:val="single" w:color="000000"/>
              </w:rPr>
              <w:t>11,001</w:t>
            </w:r>
            <w:r>
              <w:rPr>
                <w:b/>
                <w:color w:val="0F0F0F"/>
                <w:spacing w:val="80"/>
                <w:sz w:val="22"/>
                <w:u w:val="single" w:color="000000"/>
              </w:rPr>
              <w:t> </w:t>
            </w:r>
          </w:p>
        </w:tc>
        <w:tc>
          <w:tcPr>
            <w:tcW w:w="6947" w:type="dxa"/>
          </w:tcPr>
          <w:p>
            <w:pPr>
              <w:pStyle w:val="TableParagraph"/>
              <w:rPr>
                <w:rFonts w:ascii="Times New Roman"/>
                <w:sz w:val="20"/>
              </w:rPr>
            </w:pPr>
          </w:p>
        </w:tc>
        <w:tc>
          <w:tcPr>
            <w:tcW w:w="1465" w:type="dxa"/>
          </w:tcPr>
          <w:p>
            <w:pPr>
              <w:pStyle w:val="TableParagraph"/>
              <w:tabs>
                <w:tab w:val="left" w:leader="none" w:pos="620"/>
              </w:tabs>
              <w:spacing w:before="61"/>
              <w:ind w:right="49"/>
              <w:jc w:val="right"/>
              <w:rPr>
                <w:b/>
                <w:sz w:val="22"/>
              </w:rPr>
            </w:pPr>
            <w:r>
              <w:rPr>
                <w:b/>
                <w:color w:val="0F0F0F"/>
                <w:sz w:val="22"/>
                <w:u w:val="single" w:color="000000"/>
              </w:rPr>
              <w:tab/>
            </w:r>
            <w:r>
              <w:rPr>
                <w:b/>
                <w:color w:val="0F0F0F"/>
                <w:spacing w:val="-2"/>
                <w:sz w:val="22"/>
                <w:u w:val="single" w:color="000000"/>
              </w:rPr>
              <w:t>7,717</w:t>
            </w:r>
            <w:r>
              <w:rPr>
                <w:b/>
                <w:color w:val="0F0F0F"/>
                <w:spacing w:val="80"/>
                <w:sz w:val="22"/>
                <w:u w:val="single" w:color="000000"/>
              </w:rPr>
              <w:t> </w:t>
            </w:r>
          </w:p>
        </w:tc>
      </w:tr>
      <w:tr>
        <w:trPr>
          <w:trHeight w:val="384" w:hRule="atLeast"/>
        </w:trPr>
        <w:tc>
          <w:tcPr>
            <w:tcW w:w="1574" w:type="dxa"/>
          </w:tcPr>
          <w:p>
            <w:pPr>
              <w:pStyle w:val="TableParagraph"/>
              <w:rPr>
                <w:rFonts w:ascii="Times New Roman"/>
                <w:sz w:val="20"/>
              </w:rPr>
            </w:pPr>
          </w:p>
        </w:tc>
        <w:tc>
          <w:tcPr>
            <w:tcW w:w="6947" w:type="dxa"/>
          </w:tcPr>
          <w:p>
            <w:pPr>
              <w:pStyle w:val="TableParagraph"/>
              <w:spacing w:before="62"/>
              <w:ind w:left="197"/>
              <w:rPr>
                <w:b/>
                <w:sz w:val="22"/>
              </w:rPr>
            </w:pPr>
            <w:r>
              <w:rPr>
                <w:b/>
                <w:color w:val="0F0F0F"/>
                <w:sz w:val="22"/>
              </w:rPr>
              <w:t>The</w:t>
            </w:r>
            <w:r>
              <w:rPr>
                <w:b/>
                <w:color w:val="0F0F0F"/>
                <w:spacing w:val="-6"/>
                <w:sz w:val="22"/>
              </w:rPr>
              <w:t> </w:t>
            </w:r>
            <w:r>
              <w:rPr>
                <w:b/>
                <w:color w:val="0F0F0F"/>
                <w:sz w:val="22"/>
              </w:rPr>
              <w:t>cash</w:t>
            </w:r>
            <w:r>
              <w:rPr>
                <w:b/>
                <w:color w:val="0F0F0F"/>
                <w:spacing w:val="-4"/>
                <w:sz w:val="22"/>
              </w:rPr>
              <w:t> </w:t>
            </w:r>
            <w:r>
              <w:rPr>
                <w:b/>
                <w:color w:val="0F0F0F"/>
                <w:sz w:val="22"/>
              </w:rPr>
              <w:t>flows</w:t>
            </w:r>
            <w:r>
              <w:rPr>
                <w:b/>
                <w:color w:val="0F0F0F"/>
                <w:spacing w:val="-1"/>
                <w:sz w:val="22"/>
              </w:rPr>
              <w:t> </w:t>
            </w:r>
            <w:r>
              <w:rPr>
                <w:b/>
                <w:color w:val="0F0F0F"/>
                <w:sz w:val="22"/>
              </w:rPr>
              <w:t>for</w:t>
            </w:r>
            <w:r>
              <w:rPr>
                <w:b/>
                <w:color w:val="0F0F0F"/>
                <w:spacing w:val="-4"/>
                <w:sz w:val="22"/>
              </w:rPr>
              <w:t> </w:t>
            </w:r>
            <w:r>
              <w:rPr>
                <w:b/>
                <w:color w:val="0F0F0F"/>
                <w:sz w:val="22"/>
              </w:rPr>
              <w:t>operating</w:t>
            </w:r>
            <w:r>
              <w:rPr>
                <w:b/>
                <w:color w:val="0F0F0F"/>
                <w:spacing w:val="8"/>
                <w:sz w:val="22"/>
              </w:rPr>
              <w:t> </w:t>
            </w:r>
            <w:r>
              <w:rPr>
                <w:b/>
                <w:color w:val="0F0F0F"/>
                <w:sz w:val="22"/>
              </w:rPr>
              <w:t>activities</w:t>
            </w:r>
            <w:r>
              <w:rPr>
                <w:b/>
                <w:color w:val="0F0F0F"/>
                <w:spacing w:val="1"/>
                <w:sz w:val="22"/>
              </w:rPr>
              <w:t> </w:t>
            </w:r>
            <w:r>
              <w:rPr>
                <w:b/>
                <w:color w:val="0F0F0F"/>
                <w:sz w:val="22"/>
              </w:rPr>
              <w:t>include the</w:t>
            </w:r>
            <w:r>
              <w:rPr>
                <w:b/>
                <w:color w:val="0F0F0F"/>
                <w:spacing w:val="-5"/>
                <w:sz w:val="22"/>
              </w:rPr>
              <w:t> </w:t>
            </w:r>
            <w:r>
              <w:rPr>
                <w:b/>
                <w:color w:val="0F0F0F"/>
                <w:spacing w:val="-2"/>
                <w:sz w:val="22"/>
              </w:rPr>
              <w:t>following:</w:t>
            </w:r>
          </w:p>
        </w:tc>
        <w:tc>
          <w:tcPr>
            <w:tcW w:w="1465" w:type="dxa"/>
          </w:tcPr>
          <w:p>
            <w:pPr>
              <w:pStyle w:val="TableParagraph"/>
              <w:rPr>
                <w:rFonts w:ascii="Times New Roman"/>
                <w:sz w:val="20"/>
              </w:rPr>
            </w:pPr>
          </w:p>
        </w:tc>
      </w:tr>
      <w:tr>
        <w:trPr>
          <w:trHeight w:val="313" w:hRule="atLeast"/>
        </w:trPr>
        <w:tc>
          <w:tcPr>
            <w:tcW w:w="1574" w:type="dxa"/>
          </w:tcPr>
          <w:p>
            <w:pPr>
              <w:pStyle w:val="TableParagraph"/>
              <w:spacing w:before="67" w:line="226" w:lineRule="exact"/>
              <w:ind w:right="355"/>
              <w:jc w:val="right"/>
              <w:rPr>
                <w:sz w:val="21"/>
              </w:rPr>
            </w:pPr>
            <w:r>
              <w:rPr>
                <w:color w:val="0F0F0F"/>
                <w:spacing w:val="-2"/>
                <w:w w:val="105"/>
                <w:sz w:val="21"/>
                <w:u w:val="double" w:color="0F0F0F"/>
              </w:rPr>
              <w:t>(372)</w:t>
            </w:r>
          </w:p>
        </w:tc>
        <w:tc>
          <w:tcPr>
            <w:tcW w:w="6947" w:type="dxa"/>
          </w:tcPr>
          <w:p>
            <w:pPr>
              <w:pStyle w:val="TableParagraph"/>
              <w:spacing w:before="62" w:line="231" w:lineRule="exact"/>
              <w:ind w:left="196"/>
              <w:rPr>
                <w:sz w:val="21"/>
              </w:rPr>
            </w:pPr>
            <w:r>
              <w:rPr>
                <w:color w:val="0F0F0F"/>
                <w:w w:val="105"/>
                <w:sz w:val="21"/>
              </w:rPr>
              <w:t>Interest </w:t>
            </w:r>
            <w:r>
              <w:rPr>
                <w:color w:val="0F0F0F"/>
                <w:spacing w:val="-2"/>
                <w:w w:val="105"/>
                <w:sz w:val="21"/>
              </w:rPr>
              <w:t>received</w:t>
            </w:r>
          </w:p>
        </w:tc>
        <w:tc>
          <w:tcPr>
            <w:tcW w:w="1465" w:type="dxa"/>
          </w:tcPr>
          <w:p>
            <w:pPr>
              <w:pStyle w:val="TableParagraph"/>
              <w:spacing w:before="72" w:line="222" w:lineRule="exact"/>
              <w:ind w:left="756"/>
              <w:rPr>
                <w:sz w:val="21"/>
              </w:rPr>
            </w:pPr>
            <w:r>
              <w:rPr>
                <w:color w:val="0F0F0F"/>
                <w:spacing w:val="-2"/>
                <w:w w:val="105"/>
                <w:sz w:val="21"/>
                <w:u w:val="double" w:color="0F0F0F"/>
              </w:rPr>
              <w:t>(982)</w:t>
            </w:r>
          </w:p>
        </w:tc>
      </w:tr>
    </w:tbl>
    <w:p>
      <w:pPr>
        <w:spacing w:after="0" w:line="222" w:lineRule="exact"/>
        <w:rPr>
          <w:sz w:val="21"/>
        </w:rPr>
        <w:sectPr>
          <w:headerReference w:type="even" r:id="rId226"/>
          <w:pgSz w:w="11910" w:h="16830"/>
          <w:pgMar w:top="800" w:right="340" w:bottom="1180" w:left="0" w:header="0" w:footer="0"/>
        </w:sectPr>
      </w:pPr>
    </w:p>
    <w:p>
      <w:pPr>
        <w:pStyle w:val="ListParagraph"/>
        <w:numPr>
          <w:ilvl w:val="1"/>
          <w:numId w:val="21"/>
        </w:numPr>
        <w:tabs>
          <w:tab w:val="left" w:leader="none" w:pos="1782"/>
        </w:tabs>
        <w:spacing w:before="232" w:after="0" w:line="240" w:lineRule="auto"/>
        <w:ind w:left="1782" w:right="0" w:hanging="787"/>
        <w:jc w:val="left"/>
        <w:rPr>
          <w:b/>
          <w:color w:val="0A0A0A"/>
          <w:sz w:val="22"/>
        </w:rPr>
      </w:pPr>
      <w:r>
        <w:rPr>
          <w:b/>
          <w:color w:val="0A0A0A"/>
          <w:sz w:val="22"/>
        </w:rPr>
        <w:t>Cash</w:t>
      </w:r>
      <w:r>
        <w:rPr>
          <w:b/>
          <w:color w:val="0A0A0A"/>
          <w:spacing w:val="-2"/>
          <w:sz w:val="22"/>
        </w:rPr>
        <w:t> </w:t>
      </w:r>
      <w:r>
        <w:rPr>
          <w:b/>
          <w:color w:val="0A0A0A"/>
          <w:sz w:val="22"/>
        </w:rPr>
        <w:t>Flow</w:t>
      </w:r>
      <w:r>
        <w:rPr>
          <w:b/>
          <w:color w:val="0A0A0A"/>
          <w:spacing w:val="-6"/>
          <w:sz w:val="22"/>
        </w:rPr>
        <w:t> </w:t>
      </w:r>
      <w:r>
        <w:rPr>
          <w:b/>
          <w:color w:val="0A0A0A"/>
          <w:sz w:val="22"/>
        </w:rPr>
        <w:t>Statement</w:t>
      </w:r>
      <w:r>
        <w:rPr>
          <w:b/>
          <w:color w:val="0A0A0A"/>
          <w:spacing w:val="3"/>
          <w:sz w:val="22"/>
        </w:rPr>
        <w:t> </w:t>
      </w:r>
      <w:r>
        <w:rPr>
          <w:color w:val="0A0A0A"/>
          <w:sz w:val="22"/>
        </w:rPr>
        <w:t>-</w:t>
      </w:r>
      <w:r>
        <w:rPr>
          <w:color w:val="0A0A0A"/>
          <w:spacing w:val="-8"/>
          <w:sz w:val="22"/>
        </w:rPr>
        <w:t> </w:t>
      </w:r>
      <w:r>
        <w:rPr>
          <w:b/>
          <w:color w:val="0A0A0A"/>
          <w:sz w:val="22"/>
        </w:rPr>
        <w:t>Investing </w:t>
      </w:r>
      <w:r>
        <w:rPr>
          <w:b/>
          <w:color w:val="0A0A0A"/>
          <w:spacing w:val="-2"/>
          <w:sz w:val="22"/>
        </w:rPr>
        <w:t>Activities</w:t>
      </w:r>
    </w:p>
    <w:p>
      <w:pPr>
        <w:pStyle w:val="BodyText"/>
        <w:rPr>
          <w:b/>
          <w:sz w:val="20"/>
        </w:rPr>
      </w:pPr>
    </w:p>
    <w:p>
      <w:pPr>
        <w:pStyle w:val="BodyText"/>
        <w:rPr>
          <w:b/>
          <w:sz w:val="20"/>
        </w:rPr>
      </w:pPr>
    </w:p>
    <w:p>
      <w:pPr>
        <w:pStyle w:val="BodyText"/>
        <w:spacing w:before="78"/>
        <w:rPr>
          <w:b/>
          <w:sz w:val="20"/>
        </w:rPr>
      </w:pPr>
    </w:p>
    <w:tbl>
      <w:tblPr>
        <w:tblW w:w="0" w:type="auto"/>
        <w:jc w:val="left"/>
        <w:tblInd w:w="9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521"/>
        <w:gridCol w:w="134"/>
        <w:gridCol w:w="1189"/>
        <w:gridCol w:w="137"/>
      </w:tblGrid>
      <w:tr>
        <w:trPr>
          <w:trHeight w:val="250" w:hRule="atLeast"/>
        </w:trPr>
        <w:tc>
          <w:tcPr>
            <w:tcW w:w="8521" w:type="dxa"/>
          </w:tcPr>
          <w:p>
            <w:pPr>
              <w:pStyle w:val="TableParagraph"/>
              <w:spacing w:line="230" w:lineRule="exact"/>
              <w:ind w:left="371"/>
              <w:rPr>
                <w:b/>
                <w:sz w:val="22"/>
              </w:rPr>
            </w:pPr>
            <w:r>
              <w:rPr>
                <w:b/>
                <w:color w:val="0A0A0A"/>
                <w:spacing w:val="-5"/>
                <w:sz w:val="22"/>
              </w:rPr>
              <w:t>2021-22</w:t>
            </w:r>
          </w:p>
        </w:tc>
        <w:tc>
          <w:tcPr>
            <w:tcW w:w="134" w:type="dxa"/>
          </w:tcPr>
          <w:p>
            <w:pPr>
              <w:pStyle w:val="TableParagraph"/>
              <w:rPr>
                <w:rFonts w:ascii="Times New Roman"/>
                <w:sz w:val="18"/>
              </w:rPr>
            </w:pPr>
          </w:p>
        </w:tc>
        <w:tc>
          <w:tcPr>
            <w:tcW w:w="1189" w:type="dxa"/>
          </w:tcPr>
          <w:p>
            <w:pPr>
              <w:pStyle w:val="TableParagraph"/>
              <w:spacing w:line="230" w:lineRule="exact"/>
              <w:ind w:left="226"/>
              <w:rPr>
                <w:b/>
                <w:sz w:val="22"/>
              </w:rPr>
            </w:pPr>
            <w:r>
              <w:rPr>
                <w:b/>
                <w:color w:val="0A0A0A"/>
                <w:spacing w:val="-4"/>
                <w:sz w:val="22"/>
              </w:rPr>
              <w:t>2022-</w:t>
            </w:r>
            <w:r>
              <w:rPr>
                <w:b/>
                <w:color w:val="0A0A0A"/>
                <w:spacing w:val="-5"/>
                <w:sz w:val="22"/>
              </w:rPr>
              <w:t>23</w:t>
            </w:r>
          </w:p>
        </w:tc>
        <w:tc>
          <w:tcPr>
            <w:tcW w:w="137" w:type="dxa"/>
          </w:tcPr>
          <w:p>
            <w:pPr>
              <w:pStyle w:val="TableParagraph"/>
              <w:rPr>
                <w:rFonts w:ascii="Times New Roman"/>
                <w:sz w:val="18"/>
              </w:rPr>
            </w:pPr>
          </w:p>
        </w:tc>
      </w:tr>
      <w:tr>
        <w:trPr>
          <w:trHeight w:val="274" w:hRule="atLeast"/>
        </w:trPr>
        <w:tc>
          <w:tcPr>
            <w:tcW w:w="8521" w:type="dxa"/>
          </w:tcPr>
          <w:p>
            <w:pPr>
              <w:pStyle w:val="TableParagraph"/>
              <w:spacing w:before="2" w:line="252" w:lineRule="exact"/>
              <w:ind w:left="524"/>
              <w:rPr>
                <w:b/>
                <w:sz w:val="22"/>
              </w:rPr>
            </w:pPr>
            <w:r>
              <w:rPr>
                <w:b/>
                <w:color w:val="0A0A0A"/>
                <w:spacing w:val="-4"/>
                <w:sz w:val="22"/>
              </w:rPr>
              <w:t>£000</w:t>
            </w:r>
          </w:p>
        </w:tc>
        <w:tc>
          <w:tcPr>
            <w:tcW w:w="134" w:type="dxa"/>
          </w:tcPr>
          <w:p>
            <w:pPr>
              <w:pStyle w:val="TableParagraph"/>
              <w:rPr>
                <w:rFonts w:ascii="Times New Roman"/>
                <w:sz w:val="20"/>
              </w:rPr>
            </w:pPr>
          </w:p>
        </w:tc>
        <w:tc>
          <w:tcPr>
            <w:tcW w:w="1189" w:type="dxa"/>
          </w:tcPr>
          <w:p>
            <w:pPr>
              <w:pStyle w:val="TableParagraph"/>
              <w:spacing w:line="246" w:lineRule="exact"/>
              <w:ind w:left="379"/>
              <w:rPr>
                <w:b/>
                <w:sz w:val="22"/>
              </w:rPr>
            </w:pPr>
            <w:r>
              <w:rPr>
                <w:b/>
                <w:color w:val="0A0A0A"/>
                <w:spacing w:val="-4"/>
                <w:sz w:val="22"/>
              </w:rPr>
              <w:t>£000</w:t>
            </w:r>
          </w:p>
        </w:tc>
        <w:tc>
          <w:tcPr>
            <w:tcW w:w="137" w:type="dxa"/>
          </w:tcPr>
          <w:p>
            <w:pPr>
              <w:pStyle w:val="TableParagraph"/>
              <w:rPr>
                <w:rFonts w:ascii="Times New Roman"/>
                <w:sz w:val="20"/>
              </w:rPr>
            </w:pPr>
          </w:p>
        </w:tc>
      </w:tr>
      <w:tr>
        <w:trPr>
          <w:trHeight w:val="288" w:hRule="atLeast"/>
        </w:trPr>
        <w:tc>
          <w:tcPr>
            <w:tcW w:w="8521" w:type="dxa"/>
          </w:tcPr>
          <w:p>
            <w:pPr>
              <w:pStyle w:val="TableParagraph"/>
              <w:spacing w:before="11" w:line="257" w:lineRule="exact"/>
              <w:ind w:left="1842"/>
              <w:rPr>
                <w:b/>
                <w:sz w:val="23"/>
              </w:rPr>
            </w:pPr>
            <w:r>
              <w:rPr>
                <w:b/>
                <w:color w:val="0A0A0A"/>
                <w:sz w:val="23"/>
              </w:rPr>
              <w:t>Investing</w:t>
            </w:r>
            <w:r>
              <w:rPr>
                <w:b/>
                <w:color w:val="0A0A0A"/>
                <w:spacing w:val="31"/>
                <w:sz w:val="23"/>
              </w:rPr>
              <w:t> </w:t>
            </w:r>
            <w:r>
              <w:rPr>
                <w:b/>
                <w:color w:val="0A0A0A"/>
                <w:spacing w:val="-2"/>
                <w:sz w:val="23"/>
              </w:rPr>
              <w:t>activities</w:t>
            </w:r>
          </w:p>
        </w:tc>
        <w:tc>
          <w:tcPr>
            <w:tcW w:w="134" w:type="dxa"/>
          </w:tcPr>
          <w:p>
            <w:pPr>
              <w:pStyle w:val="TableParagraph"/>
              <w:rPr>
                <w:rFonts w:ascii="Times New Roman"/>
                <w:sz w:val="20"/>
              </w:rPr>
            </w:pPr>
          </w:p>
        </w:tc>
        <w:tc>
          <w:tcPr>
            <w:tcW w:w="1189" w:type="dxa"/>
          </w:tcPr>
          <w:p>
            <w:pPr>
              <w:pStyle w:val="TableParagraph"/>
              <w:rPr>
                <w:rFonts w:ascii="Times New Roman"/>
                <w:sz w:val="20"/>
              </w:rPr>
            </w:pPr>
          </w:p>
        </w:tc>
        <w:tc>
          <w:tcPr>
            <w:tcW w:w="137" w:type="dxa"/>
          </w:tcPr>
          <w:p>
            <w:pPr>
              <w:pStyle w:val="TableParagraph"/>
              <w:rPr>
                <w:rFonts w:ascii="Times New Roman"/>
                <w:sz w:val="20"/>
              </w:rPr>
            </w:pPr>
          </w:p>
        </w:tc>
      </w:tr>
      <w:tr>
        <w:trPr>
          <w:trHeight w:val="286" w:hRule="atLeast"/>
        </w:trPr>
        <w:tc>
          <w:tcPr>
            <w:tcW w:w="8521" w:type="dxa"/>
          </w:tcPr>
          <w:p>
            <w:pPr>
              <w:pStyle w:val="TableParagraph"/>
              <w:tabs>
                <w:tab w:val="left" w:leader="none" w:pos="1839"/>
              </w:tabs>
              <w:spacing w:before="11" w:line="255" w:lineRule="exact"/>
              <w:ind w:left="565"/>
              <w:rPr>
                <w:sz w:val="23"/>
              </w:rPr>
            </w:pPr>
            <w:r>
              <w:rPr>
                <w:color w:val="0A0A0A"/>
                <w:spacing w:val="-2"/>
                <w:w w:val="105"/>
                <w:position w:val="1"/>
                <w:sz w:val="21"/>
              </w:rPr>
              <w:t>13,947</w:t>
            </w:r>
            <w:r>
              <w:rPr>
                <w:color w:val="0A0A0A"/>
                <w:position w:val="1"/>
                <w:sz w:val="21"/>
              </w:rPr>
              <w:tab/>
            </w:r>
            <w:r>
              <w:rPr>
                <w:color w:val="0A0A0A"/>
                <w:w w:val="105"/>
                <w:sz w:val="23"/>
              </w:rPr>
              <w:t>Purchase</w:t>
            </w:r>
            <w:r>
              <w:rPr>
                <w:color w:val="0A0A0A"/>
                <w:spacing w:val="-9"/>
                <w:w w:val="105"/>
                <w:sz w:val="23"/>
              </w:rPr>
              <w:t> </w:t>
            </w:r>
            <w:r>
              <w:rPr>
                <w:color w:val="0A0A0A"/>
                <w:w w:val="105"/>
                <w:sz w:val="23"/>
              </w:rPr>
              <w:t>of</w:t>
            </w:r>
            <w:r>
              <w:rPr>
                <w:color w:val="0A0A0A"/>
                <w:spacing w:val="-17"/>
                <w:w w:val="105"/>
                <w:sz w:val="23"/>
              </w:rPr>
              <w:t> </w:t>
            </w:r>
            <w:r>
              <w:rPr>
                <w:color w:val="0A0A0A"/>
                <w:w w:val="105"/>
                <w:sz w:val="23"/>
              </w:rPr>
              <w:t>property</w:t>
            </w:r>
            <w:r>
              <w:rPr>
                <w:color w:val="0A0A0A"/>
                <w:spacing w:val="-9"/>
                <w:w w:val="105"/>
                <w:sz w:val="23"/>
              </w:rPr>
              <w:t> </w:t>
            </w:r>
            <w:r>
              <w:rPr>
                <w:color w:val="0A0A0A"/>
                <w:w w:val="105"/>
                <w:sz w:val="23"/>
              </w:rPr>
              <w:t>plant</w:t>
            </w:r>
            <w:r>
              <w:rPr>
                <w:color w:val="0A0A0A"/>
                <w:spacing w:val="-15"/>
                <w:w w:val="105"/>
                <w:sz w:val="23"/>
              </w:rPr>
              <w:t> </w:t>
            </w:r>
            <w:r>
              <w:rPr>
                <w:color w:val="0A0A0A"/>
                <w:w w:val="105"/>
                <w:sz w:val="23"/>
              </w:rPr>
              <w:t>and</w:t>
            </w:r>
            <w:r>
              <w:rPr>
                <w:color w:val="0A0A0A"/>
                <w:spacing w:val="-15"/>
                <w:w w:val="105"/>
                <w:sz w:val="23"/>
              </w:rPr>
              <w:t> </w:t>
            </w:r>
            <w:r>
              <w:rPr>
                <w:color w:val="0A0A0A"/>
                <w:w w:val="105"/>
                <w:sz w:val="23"/>
              </w:rPr>
              <w:t>equipment,</w:t>
            </w:r>
            <w:r>
              <w:rPr>
                <w:color w:val="0A0A0A"/>
                <w:spacing w:val="3"/>
                <w:w w:val="105"/>
                <w:sz w:val="23"/>
              </w:rPr>
              <w:t> </w:t>
            </w:r>
            <w:r>
              <w:rPr>
                <w:color w:val="0A0A0A"/>
                <w:spacing w:val="-2"/>
                <w:w w:val="105"/>
                <w:sz w:val="23"/>
              </w:rPr>
              <w:t>investment</w:t>
            </w:r>
          </w:p>
        </w:tc>
        <w:tc>
          <w:tcPr>
            <w:tcW w:w="134" w:type="dxa"/>
          </w:tcPr>
          <w:p>
            <w:pPr>
              <w:pStyle w:val="TableParagraph"/>
              <w:rPr>
                <w:rFonts w:ascii="Times New Roman"/>
                <w:sz w:val="20"/>
              </w:rPr>
            </w:pPr>
          </w:p>
        </w:tc>
        <w:tc>
          <w:tcPr>
            <w:tcW w:w="1189" w:type="dxa"/>
          </w:tcPr>
          <w:p>
            <w:pPr>
              <w:pStyle w:val="TableParagraph"/>
              <w:spacing w:before="6"/>
              <w:ind w:right="23"/>
              <w:jc w:val="right"/>
              <w:rPr>
                <w:sz w:val="21"/>
              </w:rPr>
            </w:pPr>
            <w:r>
              <w:rPr>
                <w:color w:val="0A0A0A"/>
                <w:spacing w:val="-2"/>
                <w:w w:val="105"/>
                <w:sz w:val="21"/>
              </w:rPr>
              <w:t>12,428</w:t>
            </w:r>
          </w:p>
        </w:tc>
        <w:tc>
          <w:tcPr>
            <w:tcW w:w="137" w:type="dxa"/>
          </w:tcPr>
          <w:p>
            <w:pPr>
              <w:pStyle w:val="TableParagraph"/>
              <w:rPr>
                <w:rFonts w:ascii="Times New Roman"/>
                <w:sz w:val="20"/>
              </w:rPr>
            </w:pPr>
          </w:p>
        </w:tc>
      </w:tr>
      <w:tr>
        <w:trPr>
          <w:trHeight w:val="502" w:hRule="atLeast"/>
        </w:trPr>
        <w:tc>
          <w:tcPr>
            <w:tcW w:w="8521" w:type="dxa"/>
          </w:tcPr>
          <w:p>
            <w:pPr>
              <w:pStyle w:val="TableParagraph"/>
              <w:spacing w:before="3"/>
              <w:ind w:left="1837"/>
              <w:rPr>
                <w:sz w:val="23"/>
              </w:rPr>
            </w:pPr>
            <w:r>
              <w:rPr>
                <w:color w:val="0A0A0A"/>
                <w:w w:val="105"/>
                <w:sz w:val="23"/>
              </w:rPr>
              <w:t>property</w:t>
            </w:r>
            <w:r>
              <w:rPr>
                <w:color w:val="0A0A0A"/>
                <w:spacing w:val="-5"/>
                <w:w w:val="105"/>
                <w:sz w:val="23"/>
              </w:rPr>
              <w:t> </w:t>
            </w:r>
            <w:r>
              <w:rPr>
                <w:color w:val="0A0A0A"/>
                <w:w w:val="105"/>
                <w:sz w:val="23"/>
              </w:rPr>
              <w:t>and</w:t>
            </w:r>
            <w:r>
              <w:rPr>
                <w:color w:val="0A0A0A"/>
                <w:spacing w:val="-15"/>
                <w:w w:val="105"/>
                <w:sz w:val="23"/>
              </w:rPr>
              <w:t> </w:t>
            </w:r>
            <w:r>
              <w:rPr>
                <w:color w:val="0A0A0A"/>
                <w:w w:val="105"/>
                <w:sz w:val="23"/>
              </w:rPr>
              <w:t>intangible</w:t>
            </w:r>
            <w:r>
              <w:rPr>
                <w:color w:val="0A0A0A"/>
                <w:spacing w:val="-10"/>
                <w:w w:val="105"/>
                <w:sz w:val="23"/>
              </w:rPr>
              <w:t> </w:t>
            </w:r>
            <w:r>
              <w:rPr>
                <w:color w:val="0A0A0A"/>
                <w:spacing w:val="-2"/>
                <w:w w:val="105"/>
                <w:sz w:val="23"/>
              </w:rPr>
              <w:t>assets</w:t>
            </w:r>
          </w:p>
        </w:tc>
        <w:tc>
          <w:tcPr>
            <w:tcW w:w="134" w:type="dxa"/>
          </w:tcPr>
          <w:p>
            <w:pPr>
              <w:pStyle w:val="TableParagraph"/>
              <w:rPr>
                <w:rFonts w:ascii="Times New Roman"/>
                <w:sz w:val="22"/>
              </w:rPr>
            </w:pPr>
          </w:p>
        </w:tc>
        <w:tc>
          <w:tcPr>
            <w:tcW w:w="1189" w:type="dxa"/>
          </w:tcPr>
          <w:p>
            <w:pPr>
              <w:pStyle w:val="TableParagraph"/>
              <w:rPr>
                <w:rFonts w:ascii="Times New Roman"/>
                <w:sz w:val="22"/>
              </w:rPr>
            </w:pPr>
          </w:p>
        </w:tc>
        <w:tc>
          <w:tcPr>
            <w:tcW w:w="137" w:type="dxa"/>
          </w:tcPr>
          <w:p>
            <w:pPr>
              <w:pStyle w:val="TableParagraph"/>
              <w:rPr>
                <w:rFonts w:ascii="Times New Roman"/>
                <w:sz w:val="22"/>
              </w:rPr>
            </w:pPr>
          </w:p>
        </w:tc>
      </w:tr>
      <w:tr>
        <w:trPr>
          <w:trHeight w:val="585" w:hRule="atLeast"/>
        </w:trPr>
        <w:tc>
          <w:tcPr>
            <w:tcW w:w="8521" w:type="dxa"/>
          </w:tcPr>
          <w:p>
            <w:pPr>
              <w:pStyle w:val="TableParagraph"/>
              <w:tabs>
                <w:tab w:val="left" w:leader="none" w:pos="1839"/>
              </w:tabs>
              <w:spacing w:before="227"/>
              <w:ind w:left="757"/>
              <w:rPr>
                <w:sz w:val="23"/>
              </w:rPr>
            </w:pPr>
            <w:r>
              <w:rPr>
                <w:color w:val="0A0A0A"/>
                <w:spacing w:val="-4"/>
                <w:w w:val="105"/>
                <w:position w:val="1"/>
                <w:sz w:val="21"/>
              </w:rPr>
              <w:t>5,000</w:t>
            </w:r>
            <w:r>
              <w:rPr>
                <w:color w:val="0A0A0A"/>
                <w:position w:val="1"/>
                <w:sz w:val="21"/>
              </w:rPr>
              <w:tab/>
            </w:r>
            <w:r>
              <w:rPr>
                <w:color w:val="0A0A0A"/>
                <w:w w:val="105"/>
                <w:sz w:val="23"/>
              </w:rPr>
              <w:t>Purchase</w:t>
            </w:r>
            <w:r>
              <w:rPr>
                <w:color w:val="0A0A0A"/>
                <w:spacing w:val="-3"/>
                <w:w w:val="105"/>
                <w:sz w:val="23"/>
              </w:rPr>
              <w:t> </w:t>
            </w:r>
            <w:r>
              <w:rPr>
                <w:color w:val="0A0A0A"/>
                <w:w w:val="105"/>
                <w:sz w:val="23"/>
              </w:rPr>
              <w:t>of</w:t>
            </w:r>
            <w:r>
              <w:rPr>
                <w:color w:val="0A0A0A"/>
                <w:spacing w:val="-15"/>
                <w:w w:val="105"/>
                <w:sz w:val="23"/>
              </w:rPr>
              <w:t> </w:t>
            </w:r>
            <w:r>
              <w:rPr>
                <w:color w:val="0A0A0A"/>
                <w:w w:val="105"/>
                <w:sz w:val="23"/>
              </w:rPr>
              <w:t>long-term</w:t>
            </w:r>
            <w:r>
              <w:rPr>
                <w:color w:val="0A0A0A"/>
                <w:spacing w:val="-7"/>
                <w:w w:val="105"/>
                <w:sz w:val="23"/>
              </w:rPr>
              <w:t> </w:t>
            </w:r>
            <w:r>
              <w:rPr>
                <w:color w:val="0A0A0A"/>
                <w:spacing w:val="-2"/>
                <w:w w:val="105"/>
                <w:sz w:val="23"/>
              </w:rPr>
              <w:t>investments</w:t>
            </w:r>
          </w:p>
        </w:tc>
        <w:tc>
          <w:tcPr>
            <w:tcW w:w="134" w:type="dxa"/>
          </w:tcPr>
          <w:p>
            <w:pPr>
              <w:pStyle w:val="TableParagraph"/>
              <w:rPr>
                <w:rFonts w:ascii="Times New Roman"/>
                <w:sz w:val="22"/>
              </w:rPr>
            </w:pPr>
          </w:p>
        </w:tc>
        <w:tc>
          <w:tcPr>
            <w:tcW w:w="1189" w:type="dxa"/>
          </w:tcPr>
          <w:p>
            <w:pPr>
              <w:pStyle w:val="TableParagraph"/>
              <w:rPr>
                <w:rFonts w:ascii="Times New Roman"/>
                <w:sz w:val="22"/>
              </w:rPr>
            </w:pPr>
          </w:p>
        </w:tc>
        <w:tc>
          <w:tcPr>
            <w:tcW w:w="137" w:type="dxa"/>
          </w:tcPr>
          <w:p>
            <w:pPr>
              <w:pStyle w:val="TableParagraph"/>
              <w:rPr>
                <w:rFonts w:ascii="Times New Roman"/>
                <w:sz w:val="22"/>
              </w:rPr>
            </w:pPr>
          </w:p>
        </w:tc>
      </w:tr>
      <w:tr>
        <w:trPr>
          <w:trHeight w:val="446" w:hRule="atLeast"/>
        </w:trPr>
        <w:tc>
          <w:tcPr>
            <w:tcW w:w="8521" w:type="dxa"/>
          </w:tcPr>
          <w:p>
            <w:pPr>
              <w:pStyle w:val="TableParagraph"/>
              <w:tabs>
                <w:tab w:val="left" w:leader="none" w:pos="1844"/>
              </w:tabs>
              <w:spacing w:before="88"/>
              <w:ind w:left="640"/>
              <w:rPr>
                <w:sz w:val="23"/>
              </w:rPr>
            </w:pPr>
            <w:r>
              <w:rPr>
                <w:color w:val="0A0A0A"/>
                <w:spacing w:val="-2"/>
                <w:w w:val="105"/>
                <w:position w:val="1"/>
                <w:sz w:val="21"/>
              </w:rPr>
              <w:t>22,000</w:t>
            </w:r>
            <w:r>
              <w:rPr>
                <w:color w:val="0A0A0A"/>
                <w:position w:val="1"/>
                <w:sz w:val="21"/>
              </w:rPr>
              <w:tab/>
            </w:r>
            <w:r>
              <w:rPr>
                <w:color w:val="0A0A0A"/>
                <w:w w:val="105"/>
                <w:sz w:val="23"/>
              </w:rPr>
              <w:t>Purchase</w:t>
            </w:r>
            <w:r>
              <w:rPr>
                <w:color w:val="0A0A0A"/>
                <w:spacing w:val="-6"/>
                <w:w w:val="105"/>
                <w:sz w:val="23"/>
              </w:rPr>
              <w:t> </w:t>
            </w:r>
            <w:r>
              <w:rPr>
                <w:color w:val="0A0A0A"/>
                <w:w w:val="105"/>
                <w:sz w:val="23"/>
              </w:rPr>
              <w:t>of</w:t>
            </w:r>
            <w:r>
              <w:rPr>
                <w:color w:val="0A0A0A"/>
                <w:spacing w:val="-16"/>
                <w:w w:val="105"/>
                <w:sz w:val="23"/>
              </w:rPr>
              <w:t> </w:t>
            </w:r>
            <w:r>
              <w:rPr>
                <w:color w:val="0A0A0A"/>
                <w:w w:val="105"/>
                <w:sz w:val="23"/>
              </w:rPr>
              <w:t>short-term</w:t>
            </w:r>
            <w:r>
              <w:rPr>
                <w:color w:val="0A0A0A"/>
                <w:spacing w:val="-6"/>
                <w:w w:val="105"/>
                <w:sz w:val="23"/>
              </w:rPr>
              <w:t> </w:t>
            </w:r>
            <w:r>
              <w:rPr>
                <w:color w:val="0A0A0A"/>
                <w:spacing w:val="-2"/>
                <w:w w:val="105"/>
                <w:sz w:val="23"/>
              </w:rPr>
              <w:t>investments</w:t>
            </w:r>
          </w:p>
        </w:tc>
        <w:tc>
          <w:tcPr>
            <w:tcW w:w="134" w:type="dxa"/>
          </w:tcPr>
          <w:p>
            <w:pPr>
              <w:pStyle w:val="TableParagraph"/>
              <w:rPr>
                <w:rFonts w:ascii="Times New Roman"/>
                <w:sz w:val="22"/>
              </w:rPr>
            </w:pPr>
          </w:p>
        </w:tc>
        <w:tc>
          <w:tcPr>
            <w:tcW w:w="1189" w:type="dxa"/>
          </w:tcPr>
          <w:p>
            <w:pPr>
              <w:pStyle w:val="TableParagraph"/>
              <w:spacing w:before="87"/>
              <w:ind w:right="14"/>
              <w:jc w:val="right"/>
              <w:rPr>
                <w:sz w:val="21"/>
              </w:rPr>
            </w:pPr>
            <w:r>
              <w:rPr>
                <w:color w:val="0A0A0A"/>
                <w:spacing w:val="-2"/>
                <w:w w:val="105"/>
                <w:sz w:val="21"/>
              </w:rPr>
              <w:t>15,000</w:t>
            </w:r>
          </w:p>
        </w:tc>
        <w:tc>
          <w:tcPr>
            <w:tcW w:w="137" w:type="dxa"/>
          </w:tcPr>
          <w:p>
            <w:pPr>
              <w:pStyle w:val="TableParagraph"/>
              <w:rPr>
                <w:rFonts w:ascii="Times New Roman"/>
                <w:sz w:val="22"/>
              </w:rPr>
            </w:pPr>
          </w:p>
        </w:tc>
      </w:tr>
      <w:tr>
        <w:trPr>
          <w:trHeight w:val="601" w:hRule="atLeast"/>
        </w:trPr>
        <w:tc>
          <w:tcPr>
            <w:tcW w:w="8521" w:type="dxa"/>
          </w:tcPr>
          <w:p>
            <w:pPr>
              <w:pStyle w:val="TableParagraph"/>
              <w:tabs>
                <w:tab w:val="left" w:leader="none" w:pos="1841"/>
              </w:tabs>
              <w:spacing w:before="91"/>
              <w:ind w:left="943"/>
              <w:rPr>
                <w:sz w:val="23"/>
              </w:rPr>
            </w:pPr>
            <w:r>
              <w:rPr>
                <w:color w:val="0A0A0A"/>
                <w:spacing w:val="-5"/>
                <w:w w:val="105"/>
                <w:position w:val="2"/>
                <w:sz w:val="21"/>
              </w:rPr>
              <w:t>242</w:t>
            </w:r>
            <w:r>
              <w:rPr>
                <w:color w:val="0A0A0A"/>
                <w:position w:val="2"/>
                <w:sz w:val="21"/>
              </w:rPr>
              <w:tab/>
            </w:r>
            <w:r>
              <w:rPr>
                <w:color w:val="0A0A0A"/>
                <w:w w:val="105"/>
                <w:sz w:val="23"/>
              </w:rPr>
              <w:t>Other</w:t>
            </w:r>
            <w:r>
              <w:rPr>
                <w:color w:val="0A0A0A"/>
                <w:spacing w:val="-13"/>
                <w:w w:val="105"/>
                <w:sz w:val="23"/>
              </w:rPr>
              <w:t> </w:t>
            </w:r>
            <w:r>
              <w:rPr>
                <w:color w:val="0A0A0A"/>
                <w:w w:val="105"/>
                <w:sz w:val="23"/>
              </w:rPr>
              <w:t>payments</w:t>
            </w:r>
            <w:r>
              <w:rPr>
                <w:color w:val="0A0A0A"/>
                <w:spacing w:val="-5"/>
                <w:w w:val="105"/>
                <w:sz w:val="23"/>
              </w:rPr>
              <w:t> </w:t>
            </w:r>
            <w:r>
              <w:rPr>
                <w:color w:val="0A0A0A"/>
                <w:w w:val="105"/>
                <w:sz w:val="23"/>
              </w:rPr>
              <w:t>for</w:t>
            </w:r>
            <w:r>
              <w:rPr>
                <w:color w:val="0A0A0A"/>
                <w:spacing w:val="-9"/>
                <w:w w:val="105"/>
                <w:sz w:val="23"/>
              </w:rPr>
              <w:t> </w:t>
            </w:r>
            <w:r>
              <w:rPr>
                <w:color w:val="0A0A0A"/>
                <w:w w:val="105"/>
                <w:sz w:val="23"/>
              </w:rPr>
              <w:t>investing</w:t>
            </w:r>
            <w:r>
              <w:rPr>
                <w:color w:val="0A0A0A"/>
                <w:spacing w:val="-5"/>
                <w:w w:val="105"/>
                <w:sz w:val="23"/>
              </w:rPr>
              <w:t> </w:t>
            </w:r>
            <w:r>
              <w:rPr>
                <w:color w:val="0A0A0A"/>
                <w:spacing w:val="-2"/>
                <w:w w:val="105"/>
                <w:sz w:val="23"/>
              </w:rPr>
              <w:t>activities</w:t>
            </w:r>
          </w:p>
        </w:tc>
        <w:tc>
          <w:tcPr>
            <w:tcW w:w="134" w:type="dxa"/>
          </w:tcPr>
          <w:p>
            <w:pPr>
              <w:pStyle w:val="TableParagraph"/>
              <w:rPr>
                <w:rFonts w:ascii="Times New Roman"/>
                <w:sz w:val="22"/>
              </w:rPr>
            </w:pPr>
          </w:p>
        </w:tc>
        <w:tc>
          <w:tcPr>
            <w:tcW w:w="1189" w:type="dxa"/>
          </w:tcPr>
          <w:p>
            <w:pPr>
              <w:pStyle w:val="TableParagraph"/>
              <w:spacing w:before="87"/>
              <w:ind w:right="12"/>
              <w:jc w:val="right"/>
              <w:rPr>
                <w:sz w:val="21"/>
              </w:rPr>
            </w:pPr>
            <w:r>
              <w:rPr>
                <w:color w:val="0A0A0A"/>
                <w:spacing w:val="-4"/>
                <w:w w:val="105"/>
                <w:sz w:val="21"/>
              </w:rPr>
              <w:t>1,559</w:t>
            </w:r>
          </w:p>
        </w:tc>
        <w:tc>
          <w:tcPr>
            <w:tcW w:w="137" w:type="dxa"/>
          </w:tcPr>
          <w:p>
            <w:pPr>
              <w:pStyle w:val="TableParagraph"/>
              <w:rPr>
                <w:rFonts w:ascii="Times New Roman"/>
                <w:sz w:val="22"/>
              </w:rPr>
            </w:pPr>
          </w:p>
        </w:tc>
      </w:tr>
      <w:tr>
        <w:trPr>
          <w:trHeight w:val="554" w:hRule="atLeast"/>
        </w:trPr>
        <w:tc>
          <w:tcPr>
            <w:tcW w:w="8521" w:type="dxa"/>
          </w:tcPr>
          <w:p>
            <w:pPr>
              <w:pStyle w:val="TableParagraph"/>
              <w:spacing w:before="236"/>
              <w:ind w:left="311"/>
              <w:jc w:val="center"/>
              <w:rPr>
                <w:b/>
                <w:sz w:val="23"/>
              </w:rPr>
            </w:pPr>
            <w:r>
              <w:rPr>
                <w:b/>
                <w:color w:val="0A0A0A"/>
                <w:w w:val="105"/>
                <w:sz w:val="23"/>
              </w:rPr>
              <w:t>Proceeds</w:t>
            </w:r>
            <w:r>
              <w:rPr>
                <w:b/>
                <w:color w:val="0A0A0A"/>
                <w:spacing w:val="-2"/>
                <w:w w:val="105"/>
                <w:sz w:val="23"/>
              </w:rPr>
              <w:t> </w:t>
            </w:r>
            <w:r>
              <w:rPr>
                <w:b/>
                <w:color w:val="0A0A0A"/>
                <w:w w:val="105"/>
                <w:sz w:val="23"/>
              </w:rPr>
              <w:t>from</w:t>
            </w:r>
            <w:r>
              <w:rPr>
                <w:b/>
                <w:color w:val="0A0A0A"/>
                <w:spacing w:val="-8"/>
                <w:w w:val="105"/>
                <w:sz w:val="23"/>
              </w:rPr>
              <w:t> </w:t>
            </w:r>
            <w:r>
              <w:rPr>
                <w:b/>
                <w:color w:val="0A0A0A"/>
                <w:w w:val="105"/>
                <w:sz w:val="23"/>
              </w:rPr>
              <w:t>the</w:t>
            </w:r>
            <w:r>
              <w:rPr>
                <w:b/>
                <w:color w:val="0A0A0A"/>
                <w:spacing w:val="-16"/>
                <w:w w:val="105"/>
                <w:sz w:val="23"/>
              </w:rPr>
              <w:t> </w:t>
            </w:r>
            <w:r>
              <w:rPr>
                <w:b/>
                <w:color w:val="0A0A0A"/>
                <w:w w:val="105"/>
                <w:sz w:val="23"/>
              </w:rPr>
              <w:t>sale</w:t>
            </w:r>
            <w:r>
              <w:rPr>
                <w:b/>
                <w:color w:val="0A0A0A"/>
                <w:spacing w:val="-8"/>
                <w:w w:val="105"/>
                <w:sz w:val="23"/>
              </w:rPr>
              <w:t> </w:t>
            </w:r>
            <w:r>
              <w:rPr>
                <w:b/>
                <w:color w:val="0A0A0A"/>
                <w:w w:val="105"/>
                <w:sz w:val="23"/>
              </w:rPr>
              <w:t>of</w:t>
            </w:r>
            <w:r>
              <w:rPr>
                <w:b/>
                <w:color w:val="0A0A0A"/>
                <w:spacing w:val="-17"/>
                <w:w w:val="105"/>
                <w:sz w:val="23"/>
              </w:rPr>
              <w:t> </w:t>
            </w:r>
            <w:r>
              <w:rPr>
                <w:b/>
                <w:color w:val="0A0A0A"/>
                <w:w w:val="105"/>
                <w:sz w:val="23"/>
              </w:rPr>
              <w:t>non-current</w:t>
            </w:r>
            <w:r>
              <w:rPr>
                <w:b/>
                <w:color w:val="0A0A0A"/>
                <w:spacing w:val="-2"/>
                <w:w w:val="105"/>
                <w:sz w:val="23"/>
              </w:rPr>
              <w:t> assets</w:t>
            </w:r>
          </w:p>
        </w:tc>
        <w:tc>
          <w:tcPr>
            <w:tcW w:w="134" w:type="dxa"/>
          </w:tcPr>
          <w:p>
            <w:pPr>
              <w:pStyle w:val="TableParagraph"/>
              <w:rPr>
                <w:rFonts w:ascii="Times New Roman"/>
                <w:sz w:val="22"/>
              </w:rPr>
            </w:pPr>
          </w:p>
        </w:tc>
        <w:tc>
          <w:tcPr>
            <w:tcW w:w="1189" w:type="dxa"/>
          </w:tcPr>
          <w:p>
            <w:pPr>
              <w:pStyle w:val="TableParagraph"/>
              <w:rPr>
                <w:rFonts w:ascii="Times New Roman"/>
                <w:sz w:val="22"/>
              </w:rPr>
            </w:pPr>
          </w:p>
        </w:tc>
        <w:tc>
          <w:tcPr>
            <w:tcW w:w="137" w:type="dxa"/>
          </w:tcPr>
          <w:p>
            <w:pPr>
              <w:pStyle w:val="TableParagraph"/>
              <w:rPr>
                <w:rFonts w:ascii="Times New Roman"/>
                <w:sz w:val="22"/>
              </w:rPr>
            </w:pPr>
          </w:p>
        </w:tc>
      </w:tr>
      <w:tr>
        <w:trPr>
          <w:trHeight w:val="423" w:hRule="atLeast"/>
        </w:trPr>
        <w:tc>
          <w:tcPr>
            <w:tcW w:w="8521" w:type="dxa"/>
          </w:tcPr>
          <w:p>
            <w:pPr>
              <w:pStyle w:val="TableParagraph"/>
              <w:tabs>
                <w:tab w:val="left" w:leader="none" w:pos="1846"/>
              </w:tabs>
              <w:spacing w:before="56"/>
              <w:ind w:left="917"/>
              <w:rPr>
                <w:sz w:val="21"/>
              </w:rPr>
            </w:pPr>
            <w:r>
              <w:rPr>
                <w:color w:val="0A0A0A"/>
                <w:spacing w:val="-4"/>
                <w:w w:val="105"/>
                <w:sz w:val="21"/>
              </w:rPr>
              <w:t>(22)</w:t>
            </w:r>
            <w:r>
              <w:rPr>
                <w:color w:val="0A0A0A"/>
                <w:sz w:val="21"/>
              </w:rPr>
              <w:tab/>
            </w:r>
            <w:r>
              <w:rPr>
                <w:color w:val="0A0A0A"/>
                <w:w w:val="105"/>
                <w:sz w:val="21"/>
              </w:rPr>
              <w:t>Property</w:t>
            </w:r>
            <w:r>
              <w:rPr>
                <w:color w:val="0A0A0A"/>
                <w:spacing w:val="-1"/>
                <w:w w:val="105"/>
                <w:sz w:val="21"/>
              </w:rPr>
              <w:t> </w:t>
            </w:r>
            <w:r>
              <w:rPr>
                <w:color w:val="0A0A0A"/>
                <w:w w:val="105"/>
                <w:sz w:val="21"/>
              </w:rPr>
              <w:t>plant</w:t>
            </w:r>
            <w:r>
              <w:rPr>
                <w:color w:val="0A0A0A"/>
                <w:spacing w:val="-2"/>
                <w:w w:val="105"/>
                <w:sz w:val="21"/>
              </w:rPr>
              <w:t> </w:t>
            </w:r>
            <w:r>
              <w:rPr>
                <w:color w:val="0A0A0A"/>
                <w:w w:val="105"/>
                <w:sz w:val="21"/>
              </w:rPr>
              <w:t>and</w:t>
            </w:r>
            <w:r>
              <w:rPr>
                <w:color w:val="0A0A0A"/>
                <w:spacing w:val="-15"/>
                <w:w w:val="105"/>
                <w:sz w:val="21"/>
              </w:rPr>
              <w:t> </w:t>
            </w:r>
            <w:r>
              <w:rPr>
                <w:color w:val="0A0A0A"/>
                <w:spacing w:val="-2"/>
                <w:w w:val="105"/>
                <w:sz w:val="21"/>
              </w:rPr>
              <w:t>equipment</w:t>
            </w:r>
          </w:p>
        </w:tc>
        <w:tc>
          <w:tcPr>
            <w:tcW w:w="134" w:type="dxa"/>
          </w:tcPr>
          <w:p>
            <w:pPr>
              <w:pStyle w:val="TableParagraph"/>
              <w:rPr>
                <w:rFonts w:ascii="Times New Roman"/>
                <w:sz w:val="22"/>
              </w:rPr>
            </w:pPr>
          </w:p>
        </w:tc>
        <w:tc>
          <w:tcPr>
            <w:tcW w:w="1189" w:type="dxa"/>
          </w:tcPr>
          <w:p>
            <w:pPr>
              <w:pStyle w:val="TableParagraph"/>
              <w:spacing w:before="46"/>
              <w:ind w:right="10"/>
              <w:jc w:val="right"/>
              <w:rPr>
                <w:sz w:val="21"/>
              </w:rPr>
            </w:pPr>
            <w:r>
              <w:rPr>
                <w:color w:val="0A0A0A"/>
                <w:spacing w:val="-2"/>
                <w:w w:val="105"/>
                <w:sz w:val="21"/>
              </w:rPr>
              <w:t>(269)</w:t>
            </w:r>
          </w:p>
        </w:tc>
        <w:tc>
          <w:tcPr>
            <w:tcW w:w="137" w:type="dxa"/>
          </w:tcPr>
          <w:p>
            <w:pPr>
              <w:pStyle w:val="TableParagraph"/>
              <w:rPr>
                <w:rFonts w:ascii="Times New Roman"/>
                <w:sz w:val="22"/>
              </w:rPr>
            </w:pPr>
          </w:p>
        </w:tc>
      </w:tr>
      <w:tr>
        <w:trPr>
          <w:trHeight w:val="441" w:hRule="atLeast"/>
        </w:trPr>
        <w:tc>
          <w:tcPr>
            <w:tcW w:w="8521" w:type="dxa"/>
          </w:tcPr>
          <w:p>
            <w:pPr>
              <w:pStyle w:val="TableParagraph"/>
              <w:tabs>
                <w:tab w:val="left" w:leader="none" w:pos="1844"/>
              </w:tabs>
              <w:spacing w:before="124"/>
              <w:ind w:left="489"/>
              <w:rPr>
                <w:sz w:val="23"/>
              </w:rPr>
            </w:pPr>
            <w:r>
              <w:rPr>
                <w:color w:val="0A0A0A"/>
                <w:spacing w:val="-2"/>
                <w:w w:val="105"/>
                <w:position w:val="1"/>
                <w:sz w:val="21"/>
              </w:rPr>
              <w:t>(38,000)</w:t>
            </w:r>
            <w:r>
              <w:rPr>
                <w:color w:val="0A0A0A"/>
                <w:position w:val="1"/>
                <w:sz w:val="21"/>
              </w:rPr>
              <w:tab/>
            </w:r>
            <w:r>
              <w:rPr>
                <w:color w:val="0A0A0A"/>
                <w:w w:val="105"/>
                <w:sz w:val="23"/>
              </w:rPr>
              <w:t>Proceeds</w:t>
            </w:r>
            <w:r>
              <w:rPr>
                <w:color w:val="0A0A0A"/>
                <w:spacing w:val="-7"/>
                <w:w w:val="105"/>
                <w:sz w:val="23"/>
              </w:rPr>
              <w:t> </w:t>
            </w:r>
            <w:r>
              <w:rPr>
                <w:color w:val="0A0A0A"/>
                <w:w w:val="105"/>
                <w:sz w:val="23"/>
              </w:rPr>
              <w:t>from</w:t>
            </w:r>
            <w:r>
              <w:rPr>
                <w:color w:val="0A0A0A"/>
                <w:spacing w:val="-9"/>
                <w:w w:val="105"/>
                <w:sz w:val="23"/>
              </w:rPr>
              <w:t> </w:t>
            </w:r>
            <w:r>
              <w:rPr>
                <w:color w:val="0A0A0A"/>
                <w:w w:val="105"/>
                <w:sz w:val="23"/>
              </w:rPr>
              <w:t>the</w:t>
            </w:r>
            <w:r>
              <w:rPr>
                <w:color w:val="0A0A0A"/>
                <w:spacing w:val="-14"/>
                <w:w w:val="105"/>
                <w:sz w:val="23"/>
              </w:rPr>
              <w:t> </w:t>
            </w:r>
            <w:r>
              <w:rPr>
                <w:color w:val="0A0A0A"/>
                <w:w w:val="105"/>
                <w:sz w:val="23"/>
              </w:rPr>
              <w:t>redemption</w:t>
            </w:r>
            <w:r>
              <w:rPr>
                <w:color w:val="0A0A0A"/>
                <w:spacing w:val="-2"/>
                <w:w w:val="105"/>
                <w:sz w:val="23"/>
              </w:rPr>
              <w:t> </w:t>
            </w:r>
            <w:r>
              <w:rPr>
                <w:color w:val="0A0A0A"/>
                <w:w w:val="105"/>
                <w:sz w:val="23"/>
              </w:rPr>
              <w:t>of</w:t>
            </w:r>
            <w:r>
              <w:rPr>
                <w:color w:val="0A0A0A"/>
                <w:spacing w:val="-13"/>
                <w:w w:val="105"/>
                <w:sz w:val="23"/>
              </w:rPr>
              <w:t> </w:t>
            </w:r>
            <w:r>
              <w:rPr>
                <w:color w:val="0A0A0A"/>
                <w:w w:val="105"/>
                <w:sz w:val="23"/>
              </w:rPr>
              <w:t>short-term</w:t>
            </w:r>
            <w:r>
              <w:rPr>
                <w:color w:val="0A0A0A"/>
                <w:spacing w:val="-4"/>
                <w:w w:val="105"/>
                <w:sz w:val="23"/>
              </w:rPr>
              <w:t> </w:t>
            </w:r>
            <w:r>
              <w:rPr>
                <w:color w:val="0A0A0A"/>
                <w:spacing w:val="-2"/>
                <w:w w:val="105"/>
                <w:sz w:val="23"/>
              </w:rPr>
              <w:t>investments</w:t>
            </w:r>
          </w:p>
        </w:tc>
        <w:tc>
          <w:tcPr>
            <w:tcW w:w="134" w:type="dxa"/>
          </w:tcPr>
          <w:p>
            <w:pPr>
              <w:pStyle w:val="TableParagraph"/>
              <w:rPr>
                <w:rFonts w:ascii="Times New Roman"/>
                <w:sz w:val="22"/>
              </w:rPr>
            </w:pPr>
          </w:p>
        </w:tc>
        <w:tc>
          <w:tcPr>
            <w:tcW w:w="1189" w:type="dxa"/>
          </w:tcPr>
          <w:p>
            <w:pPr>
              <w:pStyle w:val="TableParagraph"/>
              <w:spacing w:before="118"/>
              <w:ind w:right="17"/>
              <w:jc w:val="right"/>
              <w:rPr>
                <w:sz w:val="21"/>
              </w:rPr>
            </w:pPr>
            <w:r>
              <w:rPr>
                <w:color w:val="0A0A0A"/>
                <w:spacing w:val="-2"/>
                <w:w w:val="105"/>
                <w:sz w:val="21"/>
              </w:rPr>
              <w:t>(24,000)</w:t>
            </w:r>
          </w:p>
        </w:tc>
        <w:tc>
          <w:tcPr>
            <w:tcW w:w="137" w:type="dxa"/>
          </w:tcPr>
          <w:p>
            <w:pPr>
              <w:pStyle w:val="TableParagraph"/>
              <w:rPr>
                <w:rFonts w:ascii="Times New Roman"/>
                <w:sz w:val="22"/>
              </w:rPr>
            </w:pPr>
          </w:p>
        </w:tc>
      </w:tr>
      <w:tr>
        <w:trPr>
          <w:trHeight w:val="327" w:hRule="atLeast"/>
        </w:trPr>
        <w:tc>
          <w:tcPr>
            <w:tcW w:w="8521" w:type="dxa"/>
          </w:tcPr>
          <w:p>
            <w:pPr>
              <w:pStyle w:val="TableParagraph"/>
              <w:tabs>
                <w:tab w:val="left" w:leader="none" w:pos="1850"/>
              </w:tabs>
              <w:spacing w:before="52" w:line="255" w:lineRule="exact"/>
              <w:ind w:left="493"/>
              <w:rPr>
                <w:sz w:val="23"/>
              </w:rPr>
            </w:pPr>
            <w:r>
              <w:rPr>
                <w:color w:val="0A0A0A"/>
                <w:spacing w:val="-2"/>
                <w:w w:val="105"/>
                <w:position w:val="1"/>
                <w:sz w:val="21"/>
              </w:rPr>
              <w:t>(12,428)</w:t>
            </w:r>
            <w:r>
              <w:rPr>
                <w:color w:val="0A0A0A"/>
                <w:position w:val="1"/>
                <w:sz w:val="21"/>
              </w:rPr>
              <w:tab/>
            </w:r>
            <w:r>
              <w:rPr>
                <w:color w:val="0A0A0A"/>
                <w:w w:val="105"/>
                <w:sz w:val="23"/>
              </w:rPr>
              <w:t>Grants</w:t>
            </w:r>
            <w:r>
              <w:rPr>
                <w:color w:val="0A0A0A"/>
                <w:spacing w:val="-14"/>
                <w:w w:val="105"/>
                <w:sz w:val="23"/>
              </w:rPr>
              <w:t> </w:t>
            </w:r>
            <w:r>
              <w:rPr>
                <w:color w:val="0A0A0A"/>
                <w:w w:val="105"/>
                <w:sz w:val="23"/>
              </w:rPr>
              <w:t>received</w:t>
            </w:r>
            <w:r>
              <w:rPr>
                <w:color w:val="0A0A0A"/>
                <w:spacing w:val="-2"/>
                <w:w w:val="105"/>
                <w:sz w:val="23"/>
              </w:rPr>
              <w:t> </w:t>
            </w:r>
            <w:r>
              <w:rPr>
                <w:color w:val="0A0A0A"/>
                <w:w w:val="105"/>
                <w:sz w:val="23"/>
              </w:rPr>
              <w:t>towards the</w:t>
            </w:r>
            <w:r>
              <w:rPr>
                <w:color w:val="0A0A0A"/>
                <w:spacing w:val="-13"/>
                <w:w w:val="105"/>
                <w:sz w:val="23"/>
              </w:rPr>
              <w:t> </w:t>
            </w:r>
            <w:r>
              <w:rPr>
                <w:color w:val="0A0A0A"/>
                <w:w w:val="105"/>
                <w:sz w:val="23"/>
              </w:rPr>
              <w:t>purchase</w:t>
            </w:r>
            <w:r>
              <w:rPr>
                <w:color w:val="0A0A0A"/>
                <w:spacing w:val="-6"/>
                <w:w w:val="105"/>
                <w:sz w:val="23"/>
              </w:rPr>
              <w:t> </w:t>
            </w:r>
            <w:r>
              <w:rPr>
                <w:color w:val="0A0A0A"/>
                <w:w w:val="105"/>
                <w:sz w:val="23"/>
              </w:rPr>
              <w:t>of</w:t>
            </w:r>
            <w:r>
              <w:rPr>
                <w:color w:val="0A0A0A"/>
                <w:spacing w:val="-17"/>
                <w:w w:val="105"/>
                <w:sz w:val="23"/>
              </w:rPr>
              <w:t> </w:t>
            </w:r>
            <w:r>
              <w:rPr>
                <w:color w:val="0A0A0A"/>
                <w:w w:val="105"/>
                <w:sz w:val="23"/>
              </w:rPr>
              <w:t>property</w:t>
            </w:r>
            <w:r>
              <w:rPr>
                <w:color w:val="0A0A0A"/>
                <w:spacing w:val="-7"/>
                <w:w w:val="105"/>
                <w:sz w:val="23"/>
              </w:rPr>
              <w:t> </w:t>
            </w:r>
            <w:r>
              <w:rPr>
                <w:color w:val="0A0A0A"/>
                <w:w w:val="105"/>
                <w:sz w:val="23"/>
              </w:rPr>
              <w:t>plant</w:t>
            </w:r>
            <w:r>
              <w:rPr>
                <w:color w:val="0A0A0A"/>
                <w:spacing w:val="-11"/>
                <w:w w:val="105"/>
                <w:sz w:val="23"/>
              </w:rPr>
              <w:t> </w:t>
            </w:r>
            <w:r>
              <w:rPr>
                <w:color w:val="0A0A0A"/>
                <w:spacing w:val="-5"/>
                <w:w w:val="105"/>
                <w:sz w:val="23"/>
              </w:rPr>
              <w:t>and</w:t>
            </w:r>
          </w:p>
        </w:tc>
        <w:tc>
          <w:tcPr>
            <w:tcW w:w="134" w:type="dxa"/>
          </w:tcPr>
          <w:p>
            <w:pPr>
              <w:pStyle w:val="TableParagraph"/>
              <w:rPr>
                <w:rFonts w:ascii="Times New Roman"/>
                <w:sz w:val="22"/>
              </w:rPr>
            </w:pPr>
          </w:p>
        </w:tc>
        <w:tc>
          <w:tcPr>
            <w:tcW w:w="1189" w:type="dxa"/>
          </w:tcPr>
          <w:p>
            <w:pPr>
              <w:pStyle w:val="TableParagraph"/>
              <w:spacing w:before="46"/>
              <w:ind w:right="12"/>
              <w:jc w:val="right"/>
              <w:rPr>
                <w:sz w:val="21"/>
              </w:rPr>
            </w:pPr>
            <w:r>
              <w:rPr>
                <w:color w:val="0A0A0A"/>
                <w:spacing w:val="-2"/>
                <w:w w:val="105"/>
                <w:sz w:val="21"/>
              </w:rPr>
              <w:t>(4,068)</w:t>
            </w:r>
          </w:p>
        </w:tc>
        <w:tc>
          <w:tcPr>
            <w:tcW w:w="137" w:type="dxa"/>
          </w:tcPr>
          <w:p>
            <w:pPr>
              <w:pStyle w:val="TableParagraph"/>
              <w:rPr>
                <w:rFonts w:ascii="Times New Roman"/>
                <w:sz w:val="22"/>
              </w:rPr>
            </w:pPr>
          </w:p>
        </w:tc>
      </w:tr>
      <w:tr>
        <w:trPr>
          <w:trHeight w:val="617" w:hRule="atLeast"/>
        </w:trPr>
        <w:tc>
          <w:tcPr>
            <w:tcW w:w="8521" w:type="dxa"/>
          </w:tcPr>
          <w:p>
            <w:pPr>
              <w:pStyle w:val="TableParagraph"/>
              <w:spacing w:before="3"/>
              <w:ind w:left="1844"/>
              <w:rPr>
                <w:sz w:val="23"/>
              </w:rPr>
            </w:pPr>
            <w:r>
              <w:rPr>
                <w:color w:val="0A0A0A"/>
                <w:spacing w:val="-2"/>
                <w:w w:val="105"/>
                <w:sz w:val="23"/>
              </w:rPr>
              <w:t>equipment</w:t>
            </w:r>
          </w:p>
          <w:p>
            <w:pPr>
              <w:pStyle w:val="TableParagraph"/>
              <w:spacing w:before="10"/>
              <w:ind w:left="1846"/>
              <w:rPr>
                <w:sz w:val="23"/>
              </w:rPr>
            </w:pPr>
            <w:r>
              <w:rPr>
                <w:color w:val="0A0A0A"/>
                <w:w w:val="105"/>
                <w:sz w:val="23"/>
              </w:rPr>
              <w:t>Other</w:t>
            </w:r>
            <w:r>
              <w:rPr>
                <w:color w:val="0A0A0A"/>
                <w:spacing w:val="-8"/>
                <w:w w:val="105"/>
                <w:sz w:val="23"/>
              </w:rPr>
              <w:t> </w:t>
            </w:r>
            <w:r>
              <w:rPr>
                <w:color w:val="0A0A0A"/>
                <w:w w:val="105"/>
                <w:sz w:val="23"/>
              </w:rPr>
              <w:t>receipts</w:t>
            </w:r>
            <w:r>
              <w:rPr>
                <w:color w:val="0A0A0A"/>
                <w:spacing w:val="-3"/>
                <w:w w:val="105"/>
                <w:sz w:val="23"/>
              </w:rPr>
              <w:t> </w:t>
            </w:r>
            <w:r>
              <w:rPr>
                <w:color w:val="0A0A0A"/>
                <w:w w:val="105"/>
                <w:sz w:val="23"/>
              </w:rPr>
              <w:t>from</w:t>
            </w:r>
            <w:r>
              <w:rPr>
                <w:color w:val="0A0A0A"/>
                <w:spacing w:val="-13"/>
                <w:w w:val="105"/>
                <w:sz w:val="23"/>
              </w:rPr>
              <w:t> </w:t>
            </w:r>
            <w:r>
              <w:rPr>
                <w:color w:val="0A0A0A"/>
                <w:w w:val="105"/>
                <w:sz w:val="23"/>
              </w:rPr>
              <w:t>investing</w:t>
            </w:r>
            <w:r>
              <w:rPr>
                <w:color w:val="0A0A0A"/>
                <w:spacing w:val="-7"/>
                <w:w w:val="105"/>
                <w:sz w:val="23"/>
              </w:rPr>
              <w:t> </w:t>
            </w:r>
            <w:r>
              <w:rPr>
                <w:color w:val="0A0A0A"/>
                <w:spacing w:val="-2"/>
                <w:w w:val="105"/>
                <w:sz w:val="23"/>
              </w:rPr>
              <w:t>activities</w:t>
            </w:r>
          </w:p>
        </w:tc>
        <w:tc>
          <w:tcPr>
            <w:tcW w:w="134" w:type="dxa"/>
            <w:tcBorders>
              <w:bottom w:val="single" w:color="000000" w:sz="4" w:space="0"/>
            </w:tcBorders>
          </w:tcPr>
          <w:p>
            <w:pPr>
              <w:pStyle w:val="TableParagraph"/>
              <w:rPr>
                <w:rFonts w:ascii="Times New Roman"/>
                <w:sz w:val="22"/>
              </w:rPr>
            </w:pPr>
          </w:p>
        </w:tc>
        <w:tc>
          <w:tcPr>
            <w:tcW w:w="1189" w:type="dxa"/>
            <w:tcBorders>
              <w:bottom w:val="single" w:color="000000" w:sz="4" w:space="0"/>
            </w:tcBorders>
          </w:tcPr>
          <w:p>
            <w:pPr>
              <w:pStyle w:val="TableParagraph"/>
              <w:spacing w:before="30"/>
              <w:rPr>
                <w:b/>
                <w:sz w:val="21"/>
              </w:rPr>
            </w:pPr>
          </w:p>
          <w:p>
            <w:pPr>
              <w:pStyle w:val="TableParagraph"/>
              <w:ind w:right="5"/>
              <w:jc w:val="right"/>
              <w:rPr>
                <w:sz w:val="21"/>
              </w:rPr>
            </w:pPr>
            <w:r>
              <w:rPr>
                <w:color w:val="0A0A0A"/>
                <w:spacing w:val="-2"/>
                <w:w w:val="105"/>
                <w:sz w:val="21"/>
              </w:rPr>
              <w:t>(484)</w:t>
            </w:r>
          </w:p>
        </w:tc>
        <w:tc>
          <w:tcPr>
            <w:tcW w:w="137" w:type="dxa"/>
          </w:tcPr>
          <w:p>
            <w:pPr>
              <w:pStyle w:val="TableParagraph"/>
              <w:rPr>
                <w:rFonts w:ascii="Times New Roman"/>
                <w:sz w:val="22"/>
              </w:rPr>
            </w:pPr>
          </w:p>
        </w:tc>
      </w:tr>
      <w:tr>
        <w:trPr>
          <w:trHeight w:val="319" w:hRule="atLeast"/>
        </w:trPr>
        <w:tc>
          <w:tcPr>
            <w:tcW w:w="8521" w:type="dxa"/>
          </w:tcPr>
          <w:p>
            <w:pPr>
              <w:pStyle w:val="TableParagraph"/>
              <w:spacing w:line="20" w:lineRule="exact"/>
              <w:ind w:left="377"/>
              <w:rPr>
                <w:sz w:val="2"/>
              </w:rPr>
            </w:pPr>
            <w:r>
              <w:rPr>
                <w:sz w:val="2"/>
              </w:rPr>
              <ve:AlternateContent>
                <ve:Choice Requires="wps">
                  <w:drawing>
                    <wp:inline distT="0" distB="0" distL="0" distR="0">
                      <wp:extent cx="760730" cy="6350"/>
                      <wp:effectExtent l="9525" t="0" r="1270" b="3175"/>
                      <wp:docPr id="608" name="Group 608"/>
                      <wp:cNvGraphicFramePr>
                        <a:graphicFrameLocks/>
                      </wp:cNvGraphicFramePr>
                      <a:graphic>
                        <a:graphicData uri="http://schemas.microsoft.com/office/word/2010/wordprocessingGroup">
                          <wpg:wgp>
                            <wpg:cNvPr id="608" name="Group 608"/>
                            <wpg:cNvGrpSpPr/>
                            <wpg:grpSpPr>
                              <a:xfrm>
                                <a:off x="0" y="0"/>
                                <a:ext cx="760730" cy="6350"/>
                                <a:chExt cx="760730" cy="6350"/>
                              </a:xfrm>
                            </wpg:grpSpPr>
                            <wps:wsp>
                              <wps:cNvPr id="609" name="Graphic 609"/>
                              <wps:cNvSpPr/>
                              <wps:spPr>
                                <a:xfrm>
                                  <a:off x="0" y="3051"/>
                                  <a:ext cx="760730" cy="1270"/>
                                </a:xfrm>
                                <a:custGeom>
                                  <a:avLst/>
                                  <a:gdLst/>
                                  <a:ahLst/>
                                  <a:cxnLst/>
                                  <a:rect l="l" t="t" r="r" b="b"/>
                                  <a:pathLst>
                                    <a:path w="760730" h="0">
                                      <a:moveTo>
                                        <a:pt x="0" y="0"/>
                                      </a:moveTo>
                                      <a:lnTo>
                                        <a:pt x="760176" y="0"/>
                                      </a:lnTo>
                                    </a:path>
                                  </a:pathLst>
                                </a:custGeom>
                                <a:ln w="6102">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00" style="width:59.9pt;height:.5pt;mso-position-horizontal-relative:char;mso-position-vertical-relative:line" coordsize="1198,10" coordorigin="0,0">
                      <v:line style="position:absolute" stroked="true" strokecolor="#000000" strokeweight=".480548pt" from="0,5" to="1197,5">
                        <v:stroke dashstyle="solid"/>
                      </v:line>
                    </v:group>
                  </w:pict>
                </ve:Fallback>
              </ve:AlternateContent>
            </w:r>
            <w:r>
              <w:rPr>
                <w:sz w:val="2"/>
              </w:rPr>
            </w:r>
          </w:p>
          <w:p>
            <w:pPr>
              <w:pStyle w:val="TableParagraph"/>
              <w:tabs>
                <w:tab w:val="left" w:leader="none" w:pos="1845"/>
              </w:tabs>
              <w:spacing w:before="8"/>
              <w:ind w:left="553"/>
              <w:rPr>
                <w:b/>
                <w:sz w:val="23"/>
              </w:rPr>
            </w:pPr>
            <w:r>
              <w:rPr>
                <w:b/>
                <w:color w:val="0A0A0A"/>
                <w:spacing w:val="-2"/>
                <w:w w:val="105"/>
                <w:position w:val="1"/>
                <w:sz w:val="22"/>
              </w:rPr>
              <w:t>{9,261)</w:t>
            </w:r>
            <w:r>
              <w:rPr>
                <w:b/>
                <w:color w:val="0A0A0A"/>
                <w:position w:val="1"/>
                <w:sz w:val="22"/>
              </w:rPr>
              <w:tab/>
            </w:r>
            <w:r>
              <w:rPr>
                <w:b/>
                <w:color w:val="0A0A0A"/>
                <w:w w:val="105"/>
                <w:sz w:val="23"/>
              </w:rPr>
              <w:t>Net</w:t>
            </w:r>
            <w:r>
              <w:rPr>
                <w:b/>
                <w:color w:val="0A0A0A"/>
                <w:spacing w:val="-17"/>
                <w:w w:val="105"/>
                <w:sz w:val="23"/>
              </w:rPr>
              <w:t> </w:t>
            </w:r>
            <w:r>
              <w:rPr>
                <w:b/>
                <w:color w:val="0A0A0A"/>
                <w:w w:val="105"/>
                <w:sz w:val="23"/>
              </w:rPr>
              <w:t>cash</w:t>
            </w:r>
            <w:r>
              <w:rPr>
                <w:b/>
                <w:color w:val="0A0A0A"/>
                <w:spacing w:val="-13"/>
                <w:w w:val="105"/>
                <w:sz w:val="23"/>
              </w:rPr>
              <w:t> </w:t>
            </w:r>
            <w:r>
              <w:rPr>
                <w:b/>
                <w:color w:val="0A0A0A"/>
                <w:w w:val="105"/>
                <w:sz w:val="23"/>
              </w:rPr>
              <w:t>(inflow)</w:t>
            </w:r>
            <w:r>
              <w:rPr>
                <w:b/>
                <w:color w:val="0A0A0A"/>
                <w:spacing w:val="-1"/>
                <w:w w:val="105"/>
                <w:sz w:val="23"/>
              </w:rPr>
              <w:t> </w:t>
            </w:r>
            <w:r>
              <w:rPr>
                <w:color w:val="0A0A0A"/>
                <w:w w:val="105"/>
                <w:sz w:val="23"/>
              </w:rPr>
              <w:t>/</w:t>
            </w:r>
            <w:r>
              <w:rPr>
                <w:color w:val="0A0A0A"/>
                <w:spacing w:val="-15"/>
                <w:w w:val="105"/>
                <w:sz w:val="23"/>
              </w:rPr>
              <w:t> </w:t>
            </w:r>
            <w:r>
              <w:rPr>
                <w:b/>
                <w:color w:val="0A0A0A"/>
                <w:w w:val="105"/>
                <w:sz w:val="23"/>
              </w:rPr>
              <w:t>outflow</w:t>
            </w:r>
            <w:r>
              <w:rPr>
                <w:b/>
                <w:color w:val="0A0A0A"/>
                <w:spacing w:val="1"/>
                <w:w w:val="105"/>
                <w:sz w:val="23"/>
              </w:rPr>
              <w:t> </w:t>
            </w:r>
            <w:r>
              <w:rPr>
                <w:b/>
                <w:color w:val="0A0A0A"/>
                <w:w w:val="105"/>
                <w:sz w:val="23"/>
              </w:rPr>
              <w:t>from</w:t>
            </w:r>
            <w:r>
              <w:rPr>
                <w:b/>
                <w:color w:val="0A0A0A"/>
                <w:spacing w:val="-11"/>
                <w:w w:val="105"/>
                <w:sz w:val="23"/>
              </w:rPr>
              <w:t> </w:t>
            </w:r>
            <w:r>
              <w:rPr>
                <w:b/>
                <w:color w:val="0A0A0A"/>
                <w:w w:val="105"/>
                <w:sz w:val="23"/>
              </w:rPr>
              <w:t>investing</w:t>
            </w:r>
            <w:r>
              <w:rPr>
                <w:b/>
                <w:color w:val="0A0A0A"/>
                <w:spacing w:val="-2"/>
                <w:w w:val="105"/>
                <w:sz w:val="23"/>
              </w:rPr>
              <w:t> activities</w:t>
            </w:r>
          </w:p>
        </w:tc>
        <w:tc>
          <w:tcPr>
            <w:tcW w:w="134" w:type="dxa"/>
            <w:tcBorders>
              <w:top w:val="single" w:color="000000" w:sz="4" w:space="0"/>
            </w:tcBorders>
          </w:tcPr>
          <w:p>
            <w:pPr>
              <w:pStyle w:val="TableParagraph"/>
              <w:rPr>
                <w:rFonts w:ascii="Times New Roman"/>
                <w:sz w:val="22"/>
              </w:rPr>
            </w:pPr>
          </w:p>
        </w:tc>
        <w:tc>
          <w:tcPr>
            <w:tcW w:w="1189" w:type="dxa"/>
            <w:tcBorders>
              <w:top w:val="single" w:color="000000" w:sz="4" w:space="0"/>
              <w:bottom w:val="single" w:color="000000" w:sz="6" w:space="0"/>
            </w:tcBorders>
          </w:tcPr>
          <w:p>
            <w:pPr>
              <w:pStyle w:val="TableParagraph"/>
              <w:spacing w:before="14"/>
              <w:ind w:right="-15"/>
              <w:jc w:val="right"/>
              <w:rPr>
                <w:b/>
                <w:sz w:val="22"/>
              </w:rPr>
            </w:pPr>
            <w:r>
              <w:rPr>
                <w:b/>
                <w:color w:val="0A0A0A"/>
                <w:spacing w:val="-5"/>
                <w:sz w:val="22"/>
              </w:rPr>
              <w:t>166</w:t>
            </w:r>
          </w:p>
        </w:tc>
        <w:tc>
          <w:tcPr>
            <w:tcW w:w="137" w:type="dxa"/>
            <w:tcBorders>
              <w:bottom w:val="single" w:color="000000" w:sz="6" w:space="0"/>
            </w:tcBorders>
          </w:tcPr>
          <w:p>
            <w:pPr>
              <w:pStyle w:val="TableParagraph"/>
              <w:rPr>
                <w:rFonts w:ascii="Times New Roman"/>
                <w:sz w:val="22"/>
              </w:rPr>
            </w:pPr>
          </w:p>
        </w:tc>
      </w:tr>
      <w:tr>
        <w:trPr>
          <w:trHeight w:val="1091" w:hRule="atLeast"/>
        </w:trPr>
        <w:tc>
          <w:tcPr>
            <w:tcW w:w="8521" w:type="dxa"/>
          </w:tcPr>
          <w:p>
            <w:pPr>
              <w:pStyle w:val="TableParagraph"/>
              <w:spacing w:line="20" w:lineRule="exact"/>
              <w:ind w:left="136"/>
              <w:rPr>
                <w:sz w:val="2"/>
              </w:rPr>
            </w:pPr>
            <w:r>
              <w:rPr>
                <w:sz w:val="2"/>
              </w:rPr>
              <ve:AlternateContent>
                <ve:Choice Requires="wps">
                  <w:drawing>
                    <wp:inline distT="0" distB="0" distL="0" distR="0">
                      <wp:extent cx="818515" cy="9525"/>
                      <wp:effectExtent l="9525" t="0" r="634" b="0"/>
                      <wp:docPr id="610" name="Group 610"/>
                      <wp:cNvGraphicFramePr>
                        <a:graphicFrameLocks/>
                      </wp:cNvGraphicFramePr>
                      <a:graphic>
                        <a:graphicData uri="http://schemas.microsoft.com/office/word/2010/wordprocessingGroup">
                          <wpg:wgp>
                            <wpg:cNvPr id="610" name="Group 610"/>
                            <wpg:cNvGrpSpPr/>
                            <wpg:grpSpPr>
                              <a:xfrm>
                                <a:off x="0" y="0"/>
                                <a:ext cx="818515" cy="9525"/>
                                <a:chExt cx="818515" cy="9525"/>
                              </a:xfrm>
                            </wpg:grpSpPr>
                            <wps:wsp>
                              <wps:cNvPr id="611" name="Graphic 611"/>
                              <wps:cNvSpPr/>
                              <wps:spPr>
                                <a:xfrm>
                                  <a:off x="0" y="4577"/>
                                  <a:ext cx="818515" cy="1270"/>
                                </a:xfrm>
                                <a:custGeom>
                                  <a:avLst/>
                                  <a:gdLst/>
                                  <a:ahLst/>
                                  <a:cxnLst/>
                                  <a:rect l="l" t="t" r="r" b="b"/>
                                  <a:pathLst>
                                    <a:path w="818515" h="0">
                                      <a:moveTo>
                                        <a:pt x="0" y="0"/>
                                      </a:moveTo>
                                      <a:lnTo>
                                        <a:pt x="818181"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01" style="width:64.45pt;height:.75pt;mso-position-horizontal-relative:char;mso-position-vertical-relative:line" coordsize="1289,15" coordorigin="0,0">
                      <v:line style="position:absolute" stroked="true" strokecolor="#000000" strokeweight=".720821pt" from="0,7" to="1288,7">
                        <v:stroke dashstyle="solid"/>
                      </v:line>
                    </v:group>
                  </w:pict>
                </ve:Fallback>
              </ve:AlternateContent>
            </w:r>
            <w:r>
              <w:rPr>
                <w:sz w:val="2"/>
              </w:rPr>
            </w:r>
          </w:p>
          <w:p>
            <w:pPr>
              <w:pStyle w:val="TableParagraph"/>
              <w:rPr>
                <w:b/>
                <w:sz w:val="22"/>
              </w:rPr>
            </w:pPr>
          </w:p>
          <w:p>
            <w:pPr>
              <w:pStyle w:val="TableParagraph"/>
              <w:rPr>
                <w:b/>
                <w:sz w:val="22"/>
              </w:rPr>
            </w:pPr>
          </w:p>
          <w:p>
            <w:pPr>
              <w:pStyle w:val="TableParagraph"/>
              <w:spacing w:before="50"/>
              <w:rPr>
                <w:b/>
                <w:sz w:val="22"/>
              </w:rPr>
            </w:pPr>
          </w:p>
          <w:p>
            <w:pPr>
              <w:pStyle w:val="TableParagraph"/>
              <w:tabs>
                <w:tab w:val="left" w:leader="none" w:pos="837"/>
              </w:tabs>
              <w:spacing w:line="233" w:lineRule="exact"/>
              <w:ind w:left="50"/>
              <w:rPr>
                <w:b/>
                <w:sz w:val="22"/>
              </w:rPr>
            </w:pPr>
            <w:r>
              <w:rPr>
                <w:b/>
                <w:color w:val="0A0A0A"/>
                <w:spacing w:val="-4"/>
                <w:sz w:val="22"/>
              </w:rPr>
              <w:t>5.34</w:t>
            </w:r>
            <w:r>
              <w:rPr>
                <w:b/>
                <w:color w:val="0A0A0A"/>
                <w:sz w:val="22"/>
              </w:rPr>
              <w:tab/>
              <w:t>Cash</w:t>
            </w:r>
            <w:r>
              <w:rPr>
                <w:b/>
                <w:color w:val="0A0A0A"/>
                <w:spacing w:val="-12"/>
                <w:sz w:val="22"/>
              </w:rPr>
              <w:t> </w:t>
            </w:r>
            <w:r>
              <w:rPr>
                <w:b/>
                <w:color w:val="0A0A0A"/>
                <w:sz w:val="22"/>
              </w:rPr>
              <w:t>Flow Statement</w:t>
            </w:r>
            <w:r>
              <w:rPr>
                <w:b/>
                <w:color w:val="0A0A0A"/>
                <w:spacing w:val="11"/>
                <w:sz w:val="22"/>
              </w:rPr>
              <w:t> </w:t>
            </w:r>
            <w:r>
              <w:rPr>
                <w:color w:val="0A0A0A"/>
                <w:sz w:val="22"/>
              </w:rPr>
              <w:t>-</w:t>
            </w:r>
            <w:r>
              <w:rPr>
                <w:color w:val="0A0A0A"/>
                <w:spacing w:val="-17"/>
                <w:sz w:val="22"/>
              </w:rPr>
              <w:t> </w:t>
            </w:r>
            <w:r>
              <w:rPr>
                <w:b/>
                <w:color w:val="0A0A0A"/>
                <w:sz w:val="22"/>
              </w:rPr>
              <w:t>Financing</w:t>
            </w:r>
            <w:r>
              <w:rPr>
                <w:b/>
                <w:color w:val="0A0A0A"/>
                <w:spacing w:val="13"/>
                <w:sz w:val="22"/>
              </w:rPr>
              <w:t> </w:t>
            </w:r>
            <w:r>
              <w:rPr>
                <w:b/>
                <w:color w:val="0A0A0A"/>
                <w:spacing w:val="-2"/>
                <w:sz w:val="22"/>
              </w:rPr>
              <w:t>Activities</w:t>
            </w:r>
          </w:p>
        </w:tc>
        <w:tc>
          <w:tcPr>
            <w:tcW w:w="134" w:type="dxa"/>
          </w:tcPr>
          <w:p>
            <w:pPr>
              <w:pStyle w:val="TableParagraph"/>
              <w:rPr>
                <w:rFonts w:ascii="Times New Roman"/>
                <w:sz w:val="22"/>
              </w:rPr>
            </w:pPr>
          </w:p>
        </w:tc>
        <w:tc>
          <w:tcPr>
            <w:tcW w:w="1189" w:type="dxa"/>
            <w:tcBorders>
              <w:top w:val="single" w:color="000000" w:sz="6" w:space="0"/>
            </w:tcBorders>
          </w:tcPr>
          <w:p>
            <w:pPr>
              <w:pStyle w:val="TableParagraph"/>
              <w:rPr>
                <w:rFonts w:ascii="Times New Roman"/>
                <w:sz w:val="22"/>
              </w:rPr>
            </w:pPr>
          </w:p>
        </w:tc>
        <w:tc>
          <w:tcPr>
            <w:tcW w:w="137" w:type="dxa"/>
            <w:tcBorders>
              <w:top w:val="single" w:color="000000" w:sz="6" w:space="0"/>
            </w:tcBorders>
          </w:tcPr>
          <w:p>
            <w:pPr>
              <w:pStyle w:val="TableParagraph"/>
              <w:rPr>
                <w:rFonts w:ascii="Times New Roman"/>
                <w:sz w:val="22"/>
              </w:rPr>
            </w:pPr>
          </w:p>
        </w:tc>
      </w:tr>
    </w:tbl>
    <w:p>
      <w:pPr>
        <w:pStyle w:val="BodyText"/>
        <w:rPr>
          <w:b/>
          <w:sz w:val="20"/>
        </w:rPr>
      </w:pPr>
    </w:p>
    <w:p>
      <w:pPr>
        <w:pStyle w:val="BodyText"/>
        <w:spacing w:before="215"/>
        <w:rPr>
          <w:b/>
          <w:sz w:val="20"/>
        </w:rPr>
      </w:pPr>
    </w:p>
    <w:p>
      <w:pPr>
        <w:spacing w:after="0"/>
        <w:rPr>
          <w:sz w:val="20"/>
        </w:rPr>
        <w:sectPr>
          <w:headerReference w:type="default" r:id="rId227"/>
          <w:footerReference w:type="default" r:id="rId228"/>
          <w:footerReference w:type="even" r:id="rId229"/>
          <w:pgSz w:w="11910" w:h="16830"/>
          <w:pgMar w:top="920" w:right="340" w:bottom="1340" w:left="0" w:header="726" w:footer="1149"/>
        </w:sectPr>
      </w:pPr>
    </w:p>
    <w:p>
      <w:pPr>
        <w:spacing w:before="102"/>
        <w:ind w:left="1210" w:right="0" w:firstLine="0"/>
        <w:jc w:val="center"/>
        <w:rPr>
          <w:b/>
          <w:sz w:val="22"/>
        </w:rPr>
      </w:pPr>
      <w:r>
        <w:rPr>
          <w:b/>
          <w:color w:val="0A0A0A"/>
          <w:spacing w:val="-5"/>
          <w:sz w:val="22"/>
        </w:rPr>
        <w:t>2021-22</w:t>
      </w:r>
    </w:p>
    <w:p>
      <w:pPr>
        <w:spacing w:before="7"/>
        <w:ind w:left="1210" w:right="1" w:firstLine="0"/>
        <w:jc w:val="center"/>
        <w:rPr>
          <w:b/>
          <w:sz w:val="22"/>
        </w:rPr>
      </w:pPr>
      <w:r>
        <w:rPr>
          <w:b/>
          <w:color w:val="0A0A0A"/>
          <w:spacing w:val="-4"/>
          <w:sz w:val="22"/>
        </w:rPr>
        <w:t>£000</w:t>
      </w:r>
    </w:p>
    <w:p>
      <w:pPr>
        <w:pStyle w:val="BodyText"/>
        <w:spacing w:before="65"/>
        <w:rPr>
          <w:b/>
        </w:rPr>
      </w:pPr>
    </w:p>
    <w:p>
      <w:pPr>
        <w:spacing w:before="1"/>
        <w:ind w:left="1583" w:right="0" w:firstLine="0"/>
        <w:jc w:val="left"/>
        <w:rPr>
          <w:sz w:val="21"/>
        </w:rPr>
      </w:pPr>
      <w:r>
        <w:rPr>
          <w:color w:val="0A0A0A"/>
          <w:spacing w:val="-2"/>
          <w:sz w:val="21"/>
        </w:rPr>
        <w:t>(1,838)</w:t>
      </w:r>
    </w:p>
    <w:p>
      <w:pPr>
        <w:pStyle w:val="BodyText"/>
        <w:spacing w:before="69"/>
        <w:rPr>
          <w:sz w:val="21"/>
        </w:rPr>
      </w:pPr>
    </w:p>
    <w:p>
      <w:pPr>
        <w:pStyle w:val="Heading3"/>
        <w:spacing w:before="1"/>
        <w:ind w:left="1575"/>
      </w:pPr>
      <w:r>
        <w:rPr/>
        <ve:AlternateContent>
          <ve:Choice Requires="wps">
            <w:drawing>
              <wp:anchor distT="0" distB="0" distL="0" distR="0" simplePos="0" relativeHeight="15865856" behindDoc="0" locked="0" layoutInCell="1" allowOverlap="1">
                <wp:simplePos x="0" y="0"/>
                <wp:positionH relativeFrom="page">
                  <wp:posOffset>696064</wp:posOffset>
                </wp:positionH>
                <wp:positionV relativeFrom="paragraph">
                  <wp:posOffset>-5735</wp:posOffset>
                </wp:positionV>
                <wp:extent cx="830580" cy="1270"/>
                <wp:effectExtent l="0" t="0" r="0" b="0"/>
                <wp:wrapNone/>
                <wp:docPr id="612" name="Graphic 612"/>
                <wp:cNvGraphicFramePr>
                  <a:graphicFrameLocks/>
                </wp:cNvGraphicFramePr>
                <a:graphic>
                  <a:graphicData uri="http://schemas.microsoft.com/office/word/2010/wordprocessingShape">
                    <wps:wsp>
                      <wps:cNvPr id="612" name="Graphic 612"/>
                      <wps:cNvSpPr/>
                      <wps:spPr>
                        <a:xfrm>
                          <a:off x="0" y="0"/>
                          <a:ext cx="830580" cy="1270"/>
                        </a:xfrm>
                        <a:custGeom>
                          <a:avLst/>
                          <a:gdLst/>
                          <a:ahLst/>
                          <a:cxnLst/>
                          <a:rect l="l" t="t" r="r" b="b"/>
                          <a:pathLst>
                            <a:path w="830580" h="0">
                              <a:moveTo>
                                <a:pt x="0" y="0"/>
                              </a:moveTo>
                              <a:lnTo>
                                <a:pt x="830393"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65856" stroked="true" strokecolor="#000000" strokeweight=".480548pt" from="54.808266pt,-.45163pt" to="120.193564pt,-.45163pt">
                <v:stroke dashstyle="solid"/>
                <w10:wrap type="none"/>
              </v:line>
            </w:pict>
          </ve:Fallback>
        </ve:AlternateContent>
      </w:r>
      <w:r>
        <w:rPr>
          <w:color w:val="0A0A0A"/>
          <w:spacing w:val="-2"/>
        </w:rPr>
        <w:t>(1,838)</w:t>
      </w:r>
    </w:p>
    <w:p>
      <w:pPr>
        <w:spacing w:before="0" w:line="240" w:lineRule="auto"/>
        <w:rPr>
          <w:b/>
          <w:sz w:val="23"/>
        </w:rPr>
      </w:pPr>
      <w:r>
        <w:rPr/>
        <w:br w:type="column"/>
      </w:r>
      <w:r>
        <w:rPr>
          <w:b/>
          <w:sz w:val="23"/>
        </w:rPr>
      </w:r>
    </w:p>
    <w:p>
      <w:pPr>
        <w:pStyle w:val="BodyText"/>
        <w:spacing w:before="112"/>
        <w:rPr>
          <w:b/>
          <w:sz w:val="23"/>
        </w:rPr>
      </w:pPr>
    </w:p>
    <w:p>
      <w:pPr>
        <w:spacing w:before="0"/>
        <w:ind w:left="497" w:right="0" w:firstLine="0"/>
        <w:jc w:val="left"/>
        <w:rPr>
          <w:b/>
          <w:sz w:val="23"/>
        </w:rPr>
      </w:pPr>
      <w:r>
        <w:rPr>
          <w:b/>
          <w:color w:val="0A0A0A"/>
          <w:spacing w:val="-2"/>
          <w:w w:val="105"/>
          <w:sz w:val="23"/>
        </w:rPr>
        <w:t>Financing</w:t>
      </w:r>
      <w:r>
        <w:rPr>
          <w:b/>
          <w:color w:val="0A0A0A"/>
          <w:spacing w:val="3"/>
          <w:w w:val="105"/>
          <w:sz w:val="23"/>
        </w:rPr>
        <w:t> </w:t>
      </w:r>
      <w:r>
        <w:rPr>
          <w:b/>
          <w:color w:val="0A0A0A"/>
          <w:spacing w:val="-2"/>
          <w:w w:val="105"/>
          <w:sz w:val="23"/>
        </w:rPr>
        <w:t>activities</w:t>
      </w:r>
    </w:p>
    <w:p>
      <w:pPr>
        <w:spacing w:before="29" w:line="249" w:lineRule="auto"/>
        <w:ind w:left="501" w:right="0" w:firstLine="1"/>
        <w:jc w:val="left"/>
        <w:rPr>
          <w:sz w:val="23"/>
        </w:rPr>
      </w:pPr>
      <w:r>
        <w:rPr>
          <w:color w:val="0A0A0A"/>
          <w:w w:val="105"/>
          <w:sz w:val="23"/>
        </w:rPr>
        <w:t>Cash</w:t>
      </w:r>
      <w:r>
        <w:rPr>
          <w:color w:val="0A0A0A"/>
          <w:spacing w:val="-13"/>
          <w:w w:val="105"/>
          <w:sz w:val="23"/>
        </w:rPr>
        <w:t> </w:t>
      </w:r>
      <w:r>
        <w:rPr>
          <w:color w:val="0A0A0A"/>
          <w:w w:val="105"/>
          <w:sz w:val="23"/>
        </w:rPr>
        <w:t>inflow</w:t>
      </w:r>
      <w:r>
        <w:rPr>
          <w:color w:val="0A0A0A"/>
          <w:spacing w:val="-10"/>
          <w:w w:val="105"/>
          <w:sz w:val="23"/>
        </w:rPr>
        <w:t> </w:t>
      </w:r>
      <w:r>
        <w:rPr>
          <w:color w:val="0A0A0A"/>
          <w:w w:val="105"/>
          <w:sz w:val="23"/>
        </w:rPr>
        <w:t>from</w:t>
      </w:r>
      <w:r>
        <w:rPr>
          <w:color w:val="0A0A0A"/>
          <w:spacing w:val="-9"/>
          <w:w w:val="105"/>
          <w:sz w:val="23"/>
        </w:rPr>
        <w:t> </w:t>
      </w:r>
      <w:r>
        <w:rPr>
          <w:color w:val="0A0A0A"/>
          <w:w w:val="105"/>
          <w:sz w:val="23"/>
        </w:rPr>
        <w:t>agency</w:t>
      </w:r>
      <w:r>
        <w:rPr>
          <w:color w:val="0A0A0A"/>
          <w:spacing w:val="-5"/>
          <w:w w:val="105"/>
          <w:sz w:val="23"/>
        </w:rPr>
        <w:t> </w:t>
      </w:r>
      <w:r>
        <w:rPr>
          <w:color w:val="0A0A0A"/>
          <w:w w:val="105"/>
          <w:sz w:val="23"/>
        </w:rPr>
        <w:t>arrangements</w:t>
      </w:r>
      <w:r>
        <w:rPr>
          <w:color w:val="0A0A0A"/>
          <w:spacing w:val="-2"/>
          <w:w w:val="105"/>
          <w:sz w:val="23"/>
        </w:rPr>
        <w:t> </w:t>
      </w:r>
      <w:r>
        <w:rPr>
          <w:color w:val="0A0A0A"/>
          <w:w w:val="105"/>
          <w:sz w:val="23"/>
        </w:rPr>
        <w:t>for</w:t>
      </w:r>
      <w:r>
        <w:rPr>
          <w:color w:val="0A0A0A"/>
          <w:spacing w:val="-17"/>
          <w:w w:val="105"/>
          <w:sz w:val="23"/>
        </w:rPr>
        <w:t> </w:t>
      </w:r>
      <w:r>
        <w:rPr>
          <w:color w:val="0A0A0A"/>
          <w:w w:val="105"/>
          <w:sz w:val="23"/>
        </w:rPr>
        <w:t>the</w:t>
      </w:r>
      <w:r>
        <w:rPr>
          <w:color w:val="0A0A0A"/>
          <w:spacing w:val="-12"/>
          <w:w w:val="105"/>
          <w:sz w:val="23"/>
        </w:rPr>
        <w:t> </w:t>
      </w:r>
      <w:r>
        <w:rPr>
          <w:color w:val="0A0A0A"/>
          <w:w w:val="105"/>
          <w:sz w:val="23"/>
        </w:rPr>
        <w:t>collection</w:t>
      </w:r>
      <w:r>
        <w:rPr>
          <w:color w:val="0A0A0A"/>
          <w:spacing w:val="-2"/>
          <w:w w:val="105"/>
          <w:sz w:val="23"/>
        </w:rPr>
        <w:t> </w:t>
      </w:r>
      <w:r>
        <w:rPr>
          <w:color w:val="0A0A0A"/>
          <w:w w:val="105"/>
          <w:sz w:val="23"/>
        </w:rPr>
        <w:t>of NNDR and council tax</w:t>
      </w:r>
    </w:p>
    <w:p>
      <w:pPr>
        <w:spacing w:before="60"/>
        <w:ind w:left="497" w:right="0" w:firstLine="0"/>
        <w:jc w:val="left"/>
        <w:rPr>
          <w:b/>
          <w:sz w:val="23"/>
        </w:rPr>
      </w:pPr>
      <w:r>
        <w:rPr>
          <w:b/>
          <w:color w:val="0A0A0A"/>
          <w:w w:val="105"/>
          <w:sz w:val="23"/>
        </w:rPr>
        <w:t>Net</w:t>
      </w:r>
      <w:r>
        <w:rPr>
          <w:b/>
          <w:color w:val="0A0A0A"/>
          <w:spacing w:val="-14"/>
          <w:w w:val="105"/>
          <w:sz w:val="23"/>
        </w:rPr>
        <w:t> </w:t>
      </w:r>
      <w:r>
        <w:rPr>
          <w:b/>
          <w:color w:val="0A0A0A"/>
          <w:w w:val="105"/>
          <w:sz w:val="23"/>
        </w:rPr>
        <w:t>cash</w:t>
      </w:r>
      <w:r>
        <w:rPr>
          <w:b/>
          <w:color w:val="0A0A0A"/>
          <w:spacing w:val="-12"/>
          <w:w w:val="105"/>
          <w:sz w:val="23"/>
        </w:rPr>
        <w:t> </w:t>
      </w:r>
      <w:r>
        <w:rPr>
          <w:b/>
          <w:color w:val="0A0A0A"/>
          <w:w w:val="105"/>
          <w:sz w:val="23"/>
        </w:rPr>
        <w:t>(inflow)</w:t>
      </w:r>
      <w:r>
        <w:rPr>
          <w:b/>
          <w:color w:val="0A0A0A"/>
          <w:spacing w:val="-5"/>
          <w:w w:val="105"/>
          <w:sz w:val="23"/>
        </w:rPr>
        <w:t> </w:t>
      </w:r>
      <w:r>
        <w:rPr>
          <w:color w:val="0A0A0A"/>
          <w:w w:val="105"/>
          <w:sz w:val="23"/>
        </w:rPr>
        <w:t>/</w:t>
      </w:r>
      <w:r>
        <w:rPr>
          <w:color w:val="0A0A0A"/>
          <w:spacing w:val="-15"/>
          <w:w w:val="105"/>
          <w:sz w:val="23"/>
        </w:rPr>
        <w:t> </w:t>
      </w:r>
      <w:r>
        <w:rPr>
          <w:b/>
          <w:color w:val="0A0A0A"/>
          <w:w w:val="105"/>
          <w:sz w:val="23"/>
        </w:rPr>
        <w:t>outflow</w:t>
      </w:r>
      <w:r>
        <w:rPr>
          <w:b/>
          <w:color w:val="0A0A0A"/>
          <w:spacing w:val="1"/>
          <w:w w:val="105"/>
          <w:sz w:val="23"/>
        </w:rPr>
        <w:t> </w:t>
      </w:r>
      <w:r>
        <w:rPr>
          <w:b/>
          <w:color w:val="0A0A0A"/>
          <w:w w:val="105"/>
          <w:sz w:val="23"/>
        </w:rPr>
        <w:t>from</w:t>
      </w:r>
      <w:r>
        <w:rPr>
          <w:b/>
          <w:color w:val="0A0A0A"/>
          <w:spacing w:val="-2"/>
          <w:w w:val="105"/>
          <w:sz w:val="23"/>
        </w:rPr>
        <w:t> </w:t>
      </w:r>
      <w:r>
        <w:rPr>
          <w:b/>
          <w:color w:val="0A0A0A"/>
          <w:w w:val="105"/>
          <w:sz w:val="23"/>
        </w:rPr>
        <w:t>financing</w:t>
      </w:r>
      <w:r>
        <w:rPr>
          <w:b/>
          <w:color w:val="0A0A0A"/>
          <w:spacing w:val="-5"/>
          <w:w w:val="105"/>
          <w:sz w:val="23"/>
        </w:rPr>
        <w:t> </w:t>
      </w:r>
      <w:r>
        <w:rPr>
          <w:b/>
          <w:color w:val="0A0A0A"/>
          <w:spacing w:val="-2"/>
          <w:w w:val="105"/>
          <w:sz w:val="23"/>
        </w:rPr>
        <w:t>activities</w:t>
      </w:r>
    </w:p>
    <w:p>
      <w:pPr>
        <w:pStyle w:val="Heading3"/>
        <w:spacing w:before="93"/>
        <w:ind w:right="126"/>
        <w:jc w:val="center"/>
      </w:pPr>
      <w:r>
        <w:rPr>
          <w:b w:val="0"/>
        </w:rPr>
        <w:br w:type="column"/>
      </w:r>
      <w:r>
        <w:rPr>
          <w:color w:val="0A0A0A"/>
          <w:spacing w:val="-4"/>
        </w:rPr>
        <w:t>2022-</w:t>
      </w:r>
      <w:r>
        <w:rPr>
          <w:color w:val="0A0A0A"/>
          <w:spacing w:val="-5"/>
        </w:rPr>
        <w:t>23</w:t>
      </w:r>
    </w:p>
    <w:p>
      <w:pPr>
        <w:spacing w:before="6"/>
        <w:ind w:left="1" w:right="126" w:firstLine="0"/>
        <w:jc w:val="center"/>
        <w:rPr>
          <w:b/>
          <w:sz w:val="22"/>
        </w:rPr>
      </w:pPr>
      <w:r>
        <w:rPr>
          <w:b/>
          <w:color w:val="0A0A0A"/>
          <w:spacing w:val="-4"/>
          <w:sz w:val="22"/>
        </w:rPr>
        <w:t>£000</w:t>
      </w:r>
    </w:p>
    <w:p>
      <w:pPr>
        <w:pStyle w:val="BodyText"/>
        <w:spacing w:before="71"/>
        <w:rPr>
          <w:b/>
        </w:rPr>
      </w:pPr>
    </w:p>
    <w:p>
      <w:pPr>
        <w:spacing w:before="0"/>
        <w:ind w:left="1144" w:right="0" w:firstLine="0"/>
        <w:jc w:val="left"/>
        <w:rPr>
          <w:sz w:val="21"/>
        </w:rPr>
      </w:pPr>
      <w:r>
        <w:rPr>
          <w:color w:val="0A0A0A"/>
          <w:spacing w:val="-4"/>
          <w:w w:val="105"/>
          <w:sz w:val="21"/>
        </w:rPr>
        <w:t>2,325</w:t>
      </w:r>
    </w:p>
    <w:p>
      <w:pPr>
        <w:pStyle w:val="BodyText"/>
        <w:spacing w:before="42"/>
        <w:rPr>
          <w:sz w:val="20"/>
        </w:rPr>
      </w:pPr>
      <w:r>
        <w:rPr/>
        <ve:AlternateContent>
          <ve:Choice Requires="wps">
            <w:drawing>
              <wp:anchor distT="0" distB="0" distL="0" distR="0" simplePos="0" relativeHeight="487723520" behindDoc="1" locked="0" layoutInCell="1" allowOverlap="1">
                <wp:simplePos x="0" y="0"/>
                <wp:positionH relativeFrom="page">
                  <wp:posOffset>6118044</wp:posOffset>
                </wp:positionH>
                <wp:positionV relativeFrom="paragraph">
                  <wp:posOffset>188490</wp:posOffset>
                </wp:positionV>
                <wp:extent cx="830580" cy="1270"/>
                <wp:effectExtent l="0" t="0" r="0" b="0"/>
                <wp:wrapTopAndBottom/>
                <wp:docPr id="613" name="Graphic 613"/>
                <wp:cNvGraphicFramePr>
                  <a:graphicFrameLocks/>
                </wp:cNvGraphicFramePr>
                <a:graphic>
                  <a:graphicData uri="http://schemas.microsoft.com/office/word/2010/wordprocessingShape">
                    <wps:wsp>
                      <wps:cNvPr id="613" name="Graphic 613"/>
                      <wps:cNvSpPr/>
                      <wps:spPr>
                        <a:xfrm>
                          <a:off x="0" y="0"/>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02" style="position:absolute;margin-left:481.735809pt;margin-top:14.841797pt;width:65.4pt;height:.1pt;mso-position-horizontal-relative:page;mso-position-vertical-relative:paragraph;z-index:-15592960;mso-wrap-distance-left:0;mso-wrap-distance-right:0" coordsize="1308,0" coordorigin="9635,297" filled="false" stroked="true" strokecolor="#000000" strokeweight=".720821pt" path="m9635,297l10942,297e">
                <v:path arrowok="t"/>
                <v:stroke dashstyle="solid"/>
                <w10:wrap type="topAndBottom"/>
              </v:shape>
            </w:pict>
          </ve:Fallback>
        </ve:AlternateContent>
      </w:r>
    </w:p>
    <w:p>
      <w:pPr>
        <w:pStyle w:val="Heading3"/>
        <w:spacing w:before="2"/>
        <w:ind w:left="1150"/>
      </w:pPr>
      <w:r>
        <w:rPr>
          <w:color w:val="0A0A0A"/>
          <w:spacing w:val="-2"/>
        </w:rPr>
        <w:t>2,325</w:t>
      </w:r>
    </w:p>
    <w:p>
      <w:pPr>
        <w:spacing w:after="0"/>
        <w:sectPr>
          <w:type w:val="continuous"/>
          <w:pgSz w:w="11910" w:h="16830"/>
          <w:pgMar w:top="1940" w:right="340" w:bottom="280" w:left="0" w:header="726" w:footer="1149"/>
          <w:cols w:equalWidth="0" w:num="3">
            <w:col w:w="2274" w:space="40"/>
            <w:col w:w="6771" w:space="39"/>
            <w:col w:w="2446"/>
          </w:cols>
        </w:sectPr>
      </w:pPr>
    </w:p>
    <w:p>
      <w:pPr>
        <w:pStyle w:val="BodyText"/>
        <w:spacing w:before="8"/>
        <w:rPr>
          <w:b/>
          <w:sz w:val="3"/>
        </w:rPr>
      </w:pPr>
    </w:p>
    <w:p>
      <w:pPr>
        <w:tabs>
          <w:tab w:val="left" w:leader="none" w:pos="9634"/>
        </w:tabs>
        <w:spacing w:line="20" w:lineRule="exact"/>
        <w:ind w:left="1115" w:right="0" w:firstLine="0"/>
        <w:rPr>
          <w:sz w:val="2"/>
        </w:rPr>
      </w:pPr>
      <w:r>
        <w:rPr>
          <w:sz w:val="2"/>
        </w:rPr>
        <ve:AlternateContent>
          <ve:Choice Requires="wps">
            <w:drawing>
              <wp:inline distT="0" distB="0" distL="0" distR="0">
                <wp:extent cx="818515" cy="9525"/>
                <wp:effectExtent l="9525" t="0" r="634" b="0"/>
                <wp:docPr id="614" name="Group 614"/>
                <wp:cNvGraphicFramePr>
                  <a:graphicFrameLocks/>
                </wp:cNvGraphicFramePr>
                <a:graphic>
                  <a:graphicData uri="http://schemas.microsoft.com/office/word/2010/wordprocessingGroup">
                    <wpg:wgp>
                      <wpg:cNvPr id="614" name="Group 614"/>
                      <wpg:cNvGrpSpPr/>
                      <wpg:grpSpPr>
                        <a:xfrm>
                          <a:off x="0" y="0"/>
                          <a:ext cx="818515" cy="9525"/>
                          <a:chExt cx="818515" cy="9525"/>
                        </a:xfrm>
                      </wpg:grpSpPr>
                      <wps:wsp>
                        <wps:cNvPr id="615" name="Graphic 615"/>
                        <wps:cNvSpPr/>
                        <wps:spPr>
                          <a:xfrm>
                            <a:off x="0" y="4577"/>
                            <a:ext cx="818515" cy="1270"/>
                          </a:xfrm>
                          <a:custGeom>
                            <a:avLst/>
                            <a:gdLst/>
                            <a:ahLst/>
                            <a:cxnLst/>
                            <a:rect l="l" t="t" r="r" b="b"/>
                            <a:pathLst>
                              <a:path w="818515" h="0">
                                <a:moveTo>
                                  <a:pt x="0" y="0"/>
                                </a:moveTo>
                                <a:lnTo>
                                  <a:pt x="818181"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03" style="width:64.45pt;height:.75pt;mso-position-horizontal-relative:char;mso-position-vertical-relative:line" coordsize="1289,15" coordorigin="0,0">
                <v:line style="position:absolute" stroked="true" strokecolor="#000000" strokeweight=".720821pt" from="0,7" to="1288,7">
                  <v:stroke dashstyle="solid"/>
                </v:line>
              </v:group>
            </w:pict>
          </ve:Fallback>
        </ve:AlternateContent>
      </w:r>
      <w:r>
        <w:rPr>
          <w:sz w:val="2"/>
        </w:rPr>
      </w:r>
      <w:r>
        <w:rPr>
          <w:sz w:val="2"/>
        </w:rPr>
        <w:tab/>
      </w:r>
      <w:r>
        <w:rPr>
          <w:sz w:val="2"/>
        </w:rPr>
        <ve:AlternateContent>
          <ve:Choice Requires="wps">
            <w:drawing>
              <wp:inline distT="0" distB="0" distL="0" distR="0">
                <wp:extent cx="830580" cy="9525"/>
                <wp:effectExtent l="9525" t="0" r="0" b="0"/>
                <wp:docPr id="616" name="Group 616"/>
                <wp:cNvGraphicFramePr>
                  <a:graphicFrameLocks/>
                </wp:cNvGraphicFramePr>
                <a:graphic>
                  <a:graphicData uri="http://schemas.microsoft.com/office/word/2010/wordprocessingGroup">
                    <wpg:wgp>
                      <wpg:cNvPr id="616" name="Group 616"/>
                      <wpg:cNvGrpSpPr/>
                      <wpg:grpSpPr>
                        <a:xfrm>
                          <a:off x="0" y="0"/>
                          <a:ext cx="830580" cy="9525"/>
                          <a:chExt cx="830580" cy="9525"/>
                        </a:xfrm>
                      </wpg:grpSpPr>
                      <wps:wsp>
                        <wps:cNvPr id="617" name="Graphic 617"/>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04" style="width:65.4pt;height:.75pt;mso-position-horizontal-relative:char;mso-position-vertical-relative:line" coordsize="1308,15" coordorigin="0,0">
                <v:line style="position:absolute" stroked="true" strokecolor="#000000" strokeweight=".720821pt" from="0,7" to="1308,7">
                  <v:stroke dashstyle="solid"/>
                </v:line>
              </v:group>
            </w:pict>
          </ve:Fallback>
        </ve:AlternateContent>
      </w:r>
      <w:r>
        <w:rPr>
          <w:sz w:val="2"/>
        </w:rPr>
      </w:r>
    </w:p>
    <w:p>
      <w:pPr>
        <w:spacing w:after="0" w:line="20" w:lineRule="exact"/>
        <w:rPr>
          <w:sz w:val="2"/>
        </w:rPr>
        <w:sectPr>
          <w:type w:val="continuous"/>
          <w:pgSz w:w="11910" w:h="16830"/>
          <w:pgMar w:top="1940" w:right="340" w:bottom="280" w:left="0" w:header="726" w:footer="1149"/>
        </w:sectPr>
      </w:pPr>
    </w:p>
    <w:p>
      <w:pPr>
        <w:pStyle w:val="BodyText"/>
        <w:rPr>
          <w:b/>
          <w:sz w:val="15"/>
        </w:rPr>
      </w:pPr>
    </w:p>
    <w:p>
      <w:pPr>
        <w:pStyle w:val="BodyText"/>
        <w:rPr>
          <w:b/>
          <w:sz w:val="15"/>
        </w:rPr>
      </w:pPr>
    </w:p>
    <w:p>
      <w:pPr>
        <w:pStyle w:val="BodyText"/>
        <w:spacing w:before="112"/>
        <w:rPr>
          <w:b/>
          <w:sz w:val="15"/>
        </w:rPr>
      </w:pPr>
    </w:p>
    <w:p>
      <w:pPr>
        <w:tabs>
          <w:tab w:val="left" w:leader="none" w:pos="1969"/>
        </w:tabs>
        <w:spacing w:before="0"/>
        <w:ind w:left="1257" w:right="0" w:firstLine="0"/>
        <w:jc w:val="left"/>
        <w:rPr>
          <w:sz w:val="15"/>
        </w:rPr>
      </w:pPr>
      <w:r>
        <w:rPr/>
        <ve:AlternateContent>
          <ve:Choice Requires="wps">
            <w:drawing>
              <wp:anchor distT="0" distB="0" distL="0" distR="0" simplePos="0" relativeHeight="15866880" behindDoc="0" locked="0" layoutInCell="1" allowOverlap="1">
                <wp:simplePos x="0" y="0"/>
                <wp:positionH relativeFrom="page">
                  <wp:posOffset>143487</wp:posOffset>
                </wp:positionH>
                <wp:positionV relativeFrom="paragraph">
                  <wp:posOffset>-398828</wp:posOffset>
                </wp:positionV>
                <wp:extent cx="1270" cy="561975"/>
                <wp:effectExtent l="0" t="0" r="0" b="0"/>
                <wp:wrapNone/>
                <wp:docPr id="618" name="Graphic 618"/>
                <wp:cNvGraphicFramePr>
                  <a:graphicFrameLocks/>
                </wp:cNvGraphicFramePr>
                <a:graphic>
                  <a:graphicData uri="http://schemas.microsoft.com/office/word/2010/wordprocessingShape">
                    <wps:wsp>
                      <wps:cNvPr id="618" name="Graphic 618"/>
                      <wps:cNvSpPr/>
                      <wps:spPr>
                        <a:xfrm>
                          <a:off x="0" y="0"/>
                          <a:ext cx="1270" cy="561975"/>
                        </a:xfrm>
                        <a:custGeom>
                          <a:avLst/>
                          <a:gdLst/>
                          <a:ahLst/>
                          <a:cxnLst/>
                          <a:rect l="l" t="t" r="r" b="b"/>
                          <a:pathLst>
                            <a:path w="0" h="561975">
                              <a:moveTo>
                                <a:pt x="0" y="561471"/>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66880" stroked="true" strokecolor="#000000" strokeweight=".721161pt" from="11.298195pt,12.806555pt" to="11.298195pt,-31.40383pt">
                <v:stroke dashstyle="solid"/>
                <w10:wrap type="none"/>
              </v:line>
            </w:pict>
          </ve:Fallback>
        </ve:AlternateContent>
      </w:r>
      <w:r>
        <w:rPr>
          <w:color w:val="ACACAC"/>
          <w:spacing w:val="-10"/>
          <w:sz w:val="15"/>
        </w:rPr>
        <w:t>S</w:t>
      </w:r>
      <w:r>
        <w:rPr>
          <w:color w:val="ACACAC"/>
          <w:sz w:val="15"/>
        </w:rPr>
        <w:tab/>
      </w:r>
      <w:r>
        <w:rPr>
          <w:color w:val="9C9C9C"/>
          <w:sz w:val="15"/>
        </w:rPr>
        <w:t>NOTES</w:t>
      </w:r>
      <w:r>
        <w:rPr>
          <w:color w:val="9C9C9C"/>
          <w:spacing w:val="27"/>
          <w:sz w:val="15"/>
        </w:rPr>
        <w:t> </w:t>
      </w:r>
      <w:r>
        <w:rPr>
          <w:color w:val="9C9C9C"/>
          <w:sz w:val="15"/>
        </w:rPr>
        <w:t>TO</w:t>
      </w:r>
      <w:r>
        <w:rPr>
          <w:color w:val="9C9C9C"/>
          <w:spacing w:val="28"/>
          <w:sz w:val="15"/>
        </w:rPr>
        <w:t> </w:t>
      </w:r>
      <w:r>
        <w:rPr>
          <w:color w:val="9C9C9C"/>
          <w:sz w:val="15"/>
        </w:rPr>
        <w:t>THE</w:t>
      </w:r>
      <w:r>
        <w:rPr>
          <w:color w:val="9C9C9C"/>
          <w:spacing w:val="17"/>
          <w:sz w:val="15"/>
        </w:rPr>
        <w:t> </w:t>
      </w:r>
      <w:r>
        <w:rPr>
          <w:color w:val="9C9C9C"/>
          <w:spacing w:val="-2"/>
          <w:sz w:val="15"/>
        </w:rPr>
        <w:t>ACCOUNTS</w:t>
      </w:r>
    </w:p>
    <w:p>
      <w:pPr>
        <w:pStyle w:val="BodyText"/>
        <w:spacing w:before="60"/>
        <w:rPr>
          <w:sz w:val="15"/>
        </w:rPr>
      </w:pPr>
    </w:p>
    <w:p>
      <w:pPr>
        <w:pStyle w:val="Heading3"/>
        <w:numPr>
          <w:ilvl w:val="1"/>
          <w:numId w:val="25"/>
        </w:numPr>
        <w:tabs>
          <w:tab w:val="left" w:leader="none" w:pos="2037"/>
        </w:tabs>
        <w:spacing w:before="0" w:after="0" w:line="240" w:lineRule="auto"/>
        <w:ind w:left="2037" w:right="0" w:hanging="802"/>
        <w:jc w:val="left"/>
        <w:rPr>
          <w:color w:val="0F0F0F"/>
        </w:rPr>
      </w:pPr>
      <w:r>
        <w:rPr>
          <w:color w:val="0F0F0F"/>
        </w:rPr>
        <w:t>Contingent</w:t>
      </w:r>
      <w:r>
        <w:rPr>
          <w:color w:val="0F0F0F"/>
          <w:spacing w:val="-3"/>
        </w:rPr>
        <w:t> </w:t>
      </w:r>
      <w:r>
        <w:rPr>
          <w:color w:val="0F0F0F"/>
          <w:spacing w:val="-2"/>
        </w:rPr>
        <w:t>Assets</w:t>
      </w:r>
    </w:p>
    <w:p>
      <w:pPr>
        <w:pStyle w:val="BodyText"/>
        <w:spacing w:before="252"/>
        <w:ind w:left="1228"/>
      </w:pPr>
      <w:r>
        <w:rPr>
          <w:color w:val="0F0F0F"/>
        </w:rPr>
        <w:t>Proceeds</w:t>
      </w:r>
      <w:r>
        <w:rPr>
          <w:color w:val="0F0F0F"/>
          <w:spacing w:val="12"/>
        </w:rPr>
        <w:t> </w:t>
      </w:r>
      <w:r>
        <w:rPr>
          <w:color w:val="0F0F0F"/>
        </w:rPr>
        <w:t>of</w:t>
      </w:r>
      <w:r>
        <w:rPr>
          <w:color w:val="0F0F0F"/>
          <w:spacing w:val="-13"/>
        </w:rPr>
        <w:t> </w:t>
      </w:r>
      <w:r>
        <w:rPr>
          <w:color w:val="0F0F0F"/>
        </w:rPr>
        <w:t>Right</w:t>
      </w:r>
      <w:r>
        <w:rPr>
          <w:color w:val="0F0F0F"/>
          <w:spacing w:val="2"/>
        </w:rPr>
        <w:t> </w:t>
      </w:r>
      <w:r>
        <w:rPr>
          <w:color w:val="0F0F0F"/>
        </w:rPr>
        <w:t>to</w:t>
      </w:r>
      <w:r>
        <w:rPr>
          <w:color w:val="0F0F0F"/>
          <w:spacing w:val="-8"/>
        </w:rPr>
        <w:t> </w:t>
      </w:r>
      <w:r>
        <w:rPr>
          <w:color w:val="0F0F0F"/>
          <w:spacing w:val="-5"/>
        </w:rPr>
        <w:t>Buy</w:t>
      </w:r>
    </w:p>
    <w:p>
      <w:pPr>
        <w:pStyle w:val="BodyText"/>
        <w:spacing w:before="251"/>
        <w:ind w:left="1208" w:right="852" w:firstLine="16"/>
        <w:jc w:val="both"/>
      </w:pPr>
      <w:r>
        <w:rPr/>
        <ve:AlternateContent>
          <ve:Choice Requires="wps">
            <w:drawing>
              <wp:anchor distT="0" distB="0" distL="0" distR="0" simplePos="0" relativeHeight="15866368" behindDoc="0" locked="0" layoutInCell="1" allowOverlap="1">
                <wp:simplePos x="0" y="0"/>
                <wp:positionH relativeFrom="page">
                  <wp:posOffset>106852</wp:posOffset>
                </wp:positionH>
                <wp:positionV relativeFrom="paragraph">
                  <wp:posOffset>1255070</wp:posOffset>
                </wp:positionV>
                <wp:extent cx="1270" cy="781685"/>
                <wp:effectExtent l="0" t="0" r="0" b="0"/>
                <wp:wrapNone/>
                <wp:docPr id="619" name="Graphic 619"/>
                <wp:cNvGraphicFramePr>
                  <a:graphicFrameLocks/>
                </wp:cNvGraphicFramePr>
                <a:graphic>
                  <a:graphicData uri="http://schemas.microsoft.com/office/word/2010/wordprocessingShape">
                    <wps:wsp>
                      <wps:cNvPr id="619" name="Graphic 619"/>
                      <wps:cNvSpPr/>
                      <wps:spPr>
                        <a:xfrm>
                          <a:off x="0" y="0"/>
                          <a:ext cx="1270" cy="781685"/>
                        </a:xfrm>
                        <a:custGeom>
                          <a:avLst/>
                          <a:gdLst/>
                          <a:ahLst/>
                          <a:cxnLst/>
                          <a:rect l="l" t="t" r="r" b="b"/>
                          <a:pathLst>
                            <a:path w="0" h="781685">
                              <a:moveTo>
                                <a:pt x="0" y="781178"/>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66368" stroked="true" strokecolor="#000000" strokeweight="1.201936pt" from="8.413549pt,160.334563pt" to="8.413549pt,98.824463pt">
                <v:stroke dashstyle="solid"/>
                <w10:wrap type="none"/>
              </v:line>
            </w:pict>
          </ve:Fallback>
        </ve:AlternateContent>
      </w:r>
      <w:r>
        <w:rPr>
          <w:color w:val="1F1F1F"/>
        </w:rPr>
        <w:t>In</w:t>
      </w:r>
      <w:r>
        <w:rPr>
          <w:color w:val="1F1F1F"/>
          <w:spacing w:val="-13"/>
        </w:rPr>
        <w:t> </w:t>
      </w:r>
      <w:r>
        <w:rPr>
          <w:color w:val="1F1F1F"/>
        </w:rPr>
        <w:t>1994</w:t>
      </w:r>
      <w:r>
        <w:rPr>
          <w:color w:val="4D4D4D"/>
        </w:rPr>
        <w:t>,</w:t>
      </w:r>
      <w:r>
        <w:rPr>
          <w:color w:val="4D4D4D"/>
          <w:spacing w:val="-16"/>
        </w:rPr>
        <w:t> </w:t>
      </w:r>
      <w:r>
        <w:rPr>
          <w:color w:val="1F1F1F"/>
        </w:rPr>
        <w:t>the</w:t>
      </w:r>
      <w:r>
        <w:rPr>
          <w:color w:val="1F1F1F"/>
          <w:spacing w:val="-4"/>
        </w:rPr>
        <w:t> </w:t>
      </w:r>
      <w:r>
        <w:rPr>
          <w:color w:val="0F0F0F"/>
        </w:rPr>
        <w:t>Council </w:t>
      </w:r>
      <w:r>
        <w:rPr>
          <w:color w:val="1F1F1F"/>
        </w:rPr>
        <w:t>sold</w:t>
      </w:r>
      <w:r>
        <w:rPr>
          <w:color w:val="1F1F1F"/>
          <w:spacing w:val="-8"/>
        </w:rPr>
        <w:t> </w:t>
      </w:r>
      <w:r>
        <w:rPr>
          <w:color w:val="1F1F1F"/>
        </w:rPr>
        <w:t>its</w:t>
      </w:r>
      <w:r>
        <w:rPr>
          <w:color w:val="1F1F1F"/>
          <w:spacing w:val="-7"/>
        </w:rPr>
        <w:t> </w:t>
      </w:r>
      <w:r>
        <w:rPr>
          <w:color w:val="1F1F1F"/>
        </w:rPr>
        <w:t>housing stock to</w:t>
      </w:r>
      <w:r>
        <w:rPr>
          <w:color w:val="1F1F1F"/>
          <w:spacing w:val="-9"/>
        </w:rPr>
        <w:t> </w:t>
      </w:r>
      <w:r>
        <w:rPr>
          <w:color w:val="1F1F1F"/>
        </w:rPr>
        <w:t>two</w:t>
      </w:r>
      <w:r>
        <w:rPr>
          <w:color w:val="1F1F1F"/>
          <w:spacing w:val="-6"/>
        </w:rPr>
        <w:t> </w:t>
      </w:r>
      <w:r>
        <w:rPr>
          <w:color w:val="0F0F0F"/>
        </w:rPr>
        <w:t>Housing Associations</w:t>
      </w:r>
      <w:r>
        <w:rPr>
          <w:color w:val="0F0F0F"/>
          <w:spacing w:val="18"/>
        </w:rPr>
        <w:t> </w:t>
      </w:r>
      <w:r>
        <w:rPr>
          <w:color w:val="0F0F0F"/>
        </w:rPr>
        <w:t>at</w:t>
      </w:r>
      <w:r>
        <w:rPr>
          <w:color w:val="0F0F0F"/>
          <w:spacing w:val="-10"/>
        </w:rPr>
        <w:t> </w:t>
      </w:r>
      <w:r>
        <w:rPr>
          <w:color w:val="0F0F0F"/>
        </w:rPr>
        <w:t>below the</w:t>
      </w:r>
      <w:r>
        <w:rPr>
          <w:color w:val="0F0F0F"/>
          <w:spacing w:val="-15"/>
        </w:rPr>
        <w:t> </w:t>
      </w:r>
      <w:r>
        <w:rPr>
          <w:color w:val="0F0F0F"/>
        </w:rPr>
        <w:t>market value </w:t>
      </w:r>
      <w:r>
        <w:rPr>
          <w:color w:val="1F1F1F"/>
        </w:rPr>
        <w:t>as tenants were still </w:t>
      </w:r>
      <w:r>
        <w:rPr>
          <w:color w:val="0F0F0F"/>
        </w:rPr>
        <w:t>occupying </w:t>
      </w:r>
      <w:r>
        <w:rPr>
          <w:color w:val="1F1F1F"/>
        </w:rPr>
        <w:t>the homes</w:t>
      </w:r>
      <w:r>
        <w:rPr>
          <w:color w:val="5D5D5D"/>
        </w:rPr>
        <w:t>.</w:t>
      </w:r>
      <w:r>
        <w:rPr>
          <w:color w:val="5D5D5D"/>
          <w:spacing w:val="-5"/>
        </w:rPr>
        <w:t> </w:t>
      </w:r>
      <w:r>
        <w:rPr>
          <w:color w:val="1F1F1F"/>
        </w:rPr>
        <w:t>The </w:t>
      </w:r>
      <w:r>
        <w:rPr>
          <w:color w:val="0F0F0F"/>
        </w:rPr>
        <w:t>agreement </w:t>
      </w:r>
      <w:r>
        <w:rPr>
          <w:color w:val="1F1F1F"/>
        </w:rPr>
        <w:t>signed between the Council and </w:t>
      </w:r>
      <w:r>
        <w:rPr>
          <w:color w:val="0F0F0F"/>
        </w:rPr>
        <w:t>the </w:t>
      </w:r>
      <w:r>
        <w:rPr>
          <w:color w:val="1F1F1F"/>
        </w:rPr>
        <w:t>Housing</w:t>
      </w:r>
      <w:r>
        <w:rPr>
          <w:color w:val="1F1F1F"/>
          <w:spacing w:val="-13"/>
        </w:rPr>
        <w:t> </w:t>
      </w:r>
      <w:r>
        <w:rPr>
          <w:color w:val="1F1F1F"/>
        </w:rPr>
        <w:t>Associations</w:t>
      </w:r>
      <w:r>
        <w:rPr>
          <w:color w:val="1F1F1F"/>
          <w:spacing w:val="12"/>
        </w:rPr>
        <w:t> </w:t>
      </w:r>
      <w:r>
        <w:rPr>
          <w:color w:val="0F0F0F"/>
        </w:rPr>
        <w:t>stipulates</w:t>
      </w:r>
      <w:r>
        <w:rPr>
          <w:color w:val="0F0F0F"/>
          <w:spacing w:val="-3"/>
        </w:rPr>
        <w:t> </w:t>
      </w:r>
      <w:r>
        <w:rPr>
          <w:color w:val="1F1F1F"/>
        </w:rPr>
        <w:t>that</w:t>
      </w:r>
      <w:r>
        <w:rPr>
          <w:color w:val="1F1F1F"/>
          <w:spacing w:val="-10"/>
        </w:rPr>
        <w:t> </w:t>
      </w:r>
      <w:r>
        <w:rPr>
          <w:color w:val="1F1F1F"/>
        </w:rPr>
        <w:t>any sale</w:t>
      </w:r>
      <w:r>
        <w:rPr>
          <w:color w:val="1F1F1F"/>
          <w:spacing w:val="-16"/>
        </w:rPr>
        <w:t> </w:t>
      </w:r>
      <w:r>
        <w:rPr>
          <w:color w:val="0F0F0F"/>
        </w:rPr>
        <w:t>of</w:t>
      </w:r>
      <w:r>
        <w:rPr>
          <w:color w:val="0F0F0F"/>
          <w:spacing w:val="-9"/>
        </w:rPr>
        <w:t> </w:t>
      </w:r>
      <w:r>
        <w:rPr>
          <w:color w:val="1F1F1F"/>
        </w:rPr>
        <w:t>these</w:t>
      </w:r>
      <w:r>
        <w:rPr>
          <w:color w:val="1F1F1F"/>
          <w:spacing w:val="-10"/>
        </w:rPr>
        <w:t> </w:t>
      </w:r>
      <w:r>
        <w:rPr>
          <w:color w:val="1F1F1F"/>
        </w:rPr>
        <w:t>properties (right</w:t>
      </w:r>
      <w:r>
        <w:rPr>
          <w:color w:val="1F1F1F"/>
          <w:spacing w:val="-9"/>
        </w:rPr>
        <w:t> </w:t>
      </w:r>
      <w:r>
        <w:rPr>
          <w:color w:val="1F1F1F"/>
        </w:rPr>
        <w:t>to</w:t>
      </w:r>
      <w:r>
        <w:rPr>
          <w:color w:val="1F1F1F"/>
          <w:spacing w:val="-16"/>
        </w:rPr>
        <w:t> </w:t>
      </w:r>
      <w:r>
        <w:rPr>
          <w:color w:val="0F0F0F"/>
        </w:rPr>
        <w:t>buy) </w:t>
      </w:r>
      <w:r>
        <w:rPr>
          <w:color w:val="1F1F1F"/>
        </w:rPr>
        <w:t>results</w:t>
      </w:r>
      <w:r>
        <w:rPr>
          <w:color w:val="1F1F1F"/>
          <w:spacing w:val="-6"/>
        </w:rPr>
        <w:t> </w:t>
      </w:r>
      <w:r>
        <w:rPr>
          <w:color w:val="1F1F1F"/>
        </w:rPr>
        <w:t>in</w:t>
      </w:r>
      <w:r>
        <w:rPr>
          <w:color w:val="1F1F1F"/>
          <w:spacing w:val="-15"/>
        </w:rPr>
        <w:t> </w:t>
      </w:r>
      <w:r>
        <w:rPr>
          <w:color w:val="1F1F1F"/>
        </w:rPr>
        <w:t>part</w:t>
      </w:r>
      <w:r>
        <w:rPr>
          <w:color w:val="1F1F1F"/>
          <w:spacing w:val="-5"/>
        </w:rPr>
        <w:t> </w:t>
      </w:r>
      <w:r>
        <w:rPr>
          <w:color w:val="1F1F1F"/>
        </w:rPr>
        <w:t>of</w:t>
      </w:r>
      <w:r>
        <w:rPr>
          <w:color w:val="1F1F1F"/>
          <w:spacing w:val="-16"/>
        </w:rPr>
        <w:t> </w:t>
      </w:r>
      <w:r>
        <w:rPr>
          <w:color w:val="0F0F0F"/>
        </w:rPr>
        <w:t>the </w:t>
      </w:r>
      <w:r>
        <w:rPr>
          <w:color w:val="1F1F1F"/>
        </w:rPr>
        <w:t>proceeds reverting to </w:t>
      </w:r>
      <w:r>
        <w:rPr>
          <w:color w:val="0F0F0F"/>
        </w:rPr>
        <w:t>the </w:t>
      </w:r>
      <w:r>
        <w:rPr>
          <w:color w:val="1F1F1F"/>
        </w:rPr>
        <w:t>Council. However, the quantum of any future revenue cannot </w:t>
      </w:r>
      <w:r>
        <w:rPr>
          <w:color w:val="0F0F0F"/>
        </w:rPr>
        <w:t>be </w:t>
      </w:r>
      <w:r>
        <w:rPr>
          <w:color w:val="1F1F1F"/>
        </w:rPr>
        <w:t>reasonably determined as the</w:t>
      </w:r>
      <w:r>
        <w:rPr>
          <w:color w:val="1F1F1F"/>
          <w:spacing w:val="-6"/>
        </w:rPr>
        <w:t> </w:t>
      </w:r>
      <w:r>
        <w:rPr>
          <w:color w:val="1F1F1F"/>
        </w:rPr>
        <w:t>Council </w:t>
      </w:r>
      <w:r>
        <w:rPr>
          <w:color w:val="343434"/>
        </w:rPr>
        <w:t>is</w:t>
      </w:r>
      <w:r>
        <w:rPr>
          <w:color w:val="343434"/>
          <w:spacing w:val="-14"/>
        </w:rPr>
        <w:t> </w:t>
      </w:r>
      <w:r>
        <w:rPr>
          <w:color w:val="1F1F1F"/>
        </w:rPr>
        <w:t>not</w:t>
      </w:r>
      <w:r>
        <w:rPr>
          <w:color w:val="1F1F1F"/>
          <w:spacing w:val="-2"/>
        </w:rPr>
        <w:t> </w:t>
      </w:r>
      <w:r>
        <w:rPr>
          <w:color w:val="1F1F1F"/>
        </w:rPr>
        <w:t>aware </w:t>
      </w:r>
      <w:r>
        <w:rPr>
          <w:color w:val="0F0F0F"/>
        </w:rPr>
        <w:t>of</w:t>
      </w:r>
      <w:r>
        <w:rPr>
          <w:color w:val="0F0F0F"/>
          <w:spacing w:val="-9"/>
        </w:rPr>
        <w:t> </w:t>
      </w:r>
      <w:r>
        <w:rPr>
          <w:color w:val="0F0F0F"/>
        </w:rPr>
        <w:t>the</w:t>
      </w:r>
      <w:r>
        <w:rPr>
          <w:color w:val="0F0F0F"/>
          <w:spacing w:val="-6"/>
        </w:rPr>
        <w:t> </w:t>
      </w:r>
      <w:r>
        <w:rPr>
          <w:color w:val="0F0F0F"/>
        </w:rPr>
        <w:t>number of properties that will</w:t>
      </w:r>
      <w:r>
        <w:rPr>
          <w:color w:val="0F0F0F"/>
          <w:spacing w:val="-6"/>
        </w:rPr>
        <w:t> </w:t>
      </w:r>
      <w:r>
        <w:rPr>
          <w:color w:val="0F0F0F"/>
        </w:rPr>
        <w:t>be sold</w:t>
      </w:r>
      <w:r>
        <w:rPr>
          <w:color w:val="0F0F0F"/>
          <w:spacing w:val="-5"/>
        </w:rPr>
        <w:t> </w:t>
      </w:r>
      <w:r>
        <w:rPr>
          <w:color w:val="0F0F0F"/>
        </w:rPr>
        <w:t>in </w:t>
      </w:r>
      <w:r>
        <w:rPr>
          <w:color w:val="1F1F1F"/>
        </w:rPr>
        <w:t>the future</w:t>
      </w:r>
      <w:r>
        <w:rPr>
          <w:color w:val="5D5D5D"/>
        </w:rPr>
        <w:t>.</w:t>
      </w:r>
    </w:p>
    <w:p>
      <w:pPr>
        <w:pStyle w:val="BodyText"/>
        <w:spacing w:before="252"/>
      </w:pPr>
    </w:p>
    <w:p>
      <w:pPr>
        <w:pStyle w:val="BodyText"/>
        <w:spacing w:before="1"/>
        <w:ind w:left="1196"/>
      </w:pPr>
      <w:r>
        <w:rPr>
          <w:color w:val="0F0F0F"/>
        </w:rPr>
        <w:t>Truck</w:t>
      </w:r>
      <w:r>
        <w:rPr>
          <w:color w:val="0F0F0F"/>
          <w:spacing w:val="4"/>
        </w:rPr>
        <w:t> </w:t>
      </w:r>
      <w:r>
        <w:rPr>
          <w:color w:val="0F0F0F"/>
        </w:rPr>
        <w:t>Cartel</w:t>
      </w:r>
      <w:r>
        <w:rPr>
          <w:color w:val="0F0F0F"/>
          <w:spacing w:val="-7"/>
        </w:rPr>
        <w:t> </w:t>
      </w:r>
      <w:r>
        <w:rPr>
          <w:color w:val="0F0F0F"/>
          <w:spacing w:val="-4"/>
        </w:rPr>
        <w:t>Case</w:t>
      </w:r>
    </w:p>
    <w:p>
      <w:pPr>
        <w:pStyle w:val="BodyText"/>
        <w:spacing w:before="8"/>
      </w:pPr>
    </w:p>
    <w:p>
      <w:pPr>
        <w:pStyle w:val="BodyText"/>
        <w:ind w:left="1185" w:right="882" w:firstLine="3"/>
        <w:jc w:val="both"/>
      </w:pPr>
      <w:r>
        <w:rPr>
          <w:color w:val="0F0F0F"/>
        </w:rPr>
        <w:t>Hertsmere Council are</w:t>
      </w:r>
      <w:r>
        <w:rPr>
          <w:color w:val="0F0F0F"/>
          <w:spacing w:val="-10"/>
        </w:rPr>
        <w:t> </w:t>
      </w:r>
      <w:r>
        <w:rPr>
          <w:color w:val="0F0F0F"/>
        </w:rPr>
        <w:t>part of a</w:t>
      </w:r>
      <w:r>
        <w:rPr>
          <w:color w:val="0F0F0F"/>
          <w:spacing w:val="-1"/>
        </w:rPr>
        <w:t> </w:t>
      </w:r>
      <w:r>
        <w:rPr>
          <w:color w:val="0F0F0F"/>
        </w:rPr>
        <w:t>class action taken by</w:t>
      </w:r>
      <w:r>
        <w:rPr>
          <w:color w:val="0F0F0F"/>
          <w:spacing w:val="-1"/>
        </w:rPr>
        <w:t> </w:t>
      </w:r>
      <w:r>
        <w:rPr>
          <w:color w:val="0F0F0F"/>
        </w:rPr>
        <w:t>the</w:t>
      </w:r>
      <w:r>
        <w:rPr>
          <w:color w:val="0F0F0F"/>
          <w:spacing w:val="-5"/>
        </w:rPr>
        <w:t> </w:t>
      </w:r>
      <w:r>
        <w:rPr>
          <w:color w:val="0F0F0F"/>
        </w:rPr>
        <w:t>Local</w:t>
      </w:r>
      <w:r>
        <w:rPr>
          <w:color w:val="0F0F0F"/>
          <w:spacing w:val="-8"/>
        </w:rPr>
        <w:t> </w:t>
      </w:r>
      <w:r>
        <w:rPr>
          <w:color w:val="0F0F0F"/>
        </w:rPr>
        <w:t>Government Association, against vehicle companies which it </w:t>
      </w:r>
      <w:r>
        <w:rPr>
          <w:color w:val="1F1F1F"/>
        </w:rPr>
        <w:t>is </w:t>
      </w:r>
      <w:r>
        <w:rPr>
          <w:color w:val="0F0F0F"/>
        </w:rPr>
        <w:t>claims indulged in price fixing. The Council buys all of its vehicles outright, we cannot yet quantify the</w:t>
      </w:r>
      <w:r>
        <w:rPr>
          <w:color w:val="0F0F0F"/>
          <w:spacing w:val="-2"/>
        </w:rPr>
        <w:t> </w:t>
      </w:r>
      <w:r>
        <w:rPr>
          <w:color w:val="0F0F0F"/>
        </w:rPr>
        <w:t>likely potential gain or</w:t>
      </w:r>
      <w:r>
        <w:rPr>
          <w:color w:val="0F0F0F"/>
          <w:spacing w:val="-2"/>
        </w:rPr>
        <w:t> </w:t>
      </w:r>
      <w:r>
        <w:rPr>
          <w:color w:val="0F0F0F"/>
        </w:rPr>
        <w:t>likelihood of success.</w:t>
      </w:r>
    </w:p>
    <w:p>
      <w:pPr>
        <w:pStyle w:val="BodyText"/>
        <w:spacing w:before="247"/>
      </w:pPr>
    </w:p>
    <w:p>
      <w:pPr>
        <w:pStyle w:val="Heading3"/>
        <w:numPr>
          <w:ilvl w:val="1"/>
          <w:numId w:val="25"/>
        </w:numPr>
        <w:tabs>
          <w:tab w:val="left" w:leader="none" w:pos="1975"/>
        </w:tabs>
        <w:spacing w:before="0" w:after="0" w:line="240" w:lineRule="auto"/>
        <w:ind w:left="1975" w:right="0" w:hanging="798"/>
        <w:jc w:val="left"/>
        <w:rPr>
          <w:color w:val="0F0F0F"/>
        </w:rPr>
      </w:pPr>
      <w:r>
        <w:rPr>
          <w:color w:val="0F0F0F"/>
        </w:rPr>
        <w:t>Contingent </w:t>
      </w:r>
      <w:r>
        <w:rPr>
          <w:color w:val="0F0F0F"/>
          <w:spacing w:val="-2"/>
        </w:rPr>
        <w:t>Liabilities</w:t>
      </w:r>
    </w:p>
    <w:p>
      <w:pPr>
        <w:pStyle w:val="BodyText"/>
        <w:spacing w:before="3"/>
        <w:rPr>
          <w:b/>
        </w:rPr>
      </w:pPr>
    </w:p>
    <w:p>
      <w:pPr>
        <w:pStyle w:val="BodyText"/>
        <w:ind w:left="1164"/>
      </w:pPr>
      <w:r>
        <w:rPr>
          <w:color w:val="0F0F0F"/>
        </w:rPr>
        <w:t>Financial</w:t>
      </w:r>
      <w:r>
        <w:rPr>
          <w:color w:val="0F0F0F"/>
          <w:spacing w:val="-2"/>
        </w:rPr>
        <w:t> Guarantees</w:t>
      </w:r>
    </w:p>
    <w:p>
      <w:pPr>
        <w:pStyle w:val="BodyText"/>
        <w:spacing w:before="4"/>
      </w:pPr>
    </w:p>
    <w:p>
      <w:pPr>
        <w:pStyle w:val="BodyText"/>
        <w:ind w:left="1158" w:right="386"/>
      </w:pPr>
      <w:r>
        <w:rPr>
          <w:color w:val="0F0F0F"/>
        </w:rPr>
        <w:t>The Council</w:t>
      </w:r>
      <w:r>
        <w:rPr>
          <w:color w:val="0F0F0F"/>
          <w:spacing w:val="31"/>
        </w:rPr>
        <w:t> </w:t>
      </w:r>
      <w:r>
        <w:rPr>
          <w:color w:val="0F0F0F"/>
        </w:rPr>
        <w:t>has</w:t>
      </w:r>
      <w:r>
        <w:rPr>
          <w:color w:val="0F0F0F"/>
          <w:spacing w:val="33"/>
        </w:rPr>
        <w:t> </w:t>
      </w:r>
      <w:r>
        <w:rPr>
          <w:color w:val="0F0F0F"/>
        </w:rPr>
        <w:t>committed</w:t>
      </w:r>
      <w:r>
        <w:rPr>
          <w:color w:val="0F0F0F"/>
          <w:spacing w:val="35"/>
        </w:rPr>
        <w:t> </w:t>
      </w:r>
      <w:r>
        <w:rPr>
          <w:color w:val="1F1F1F"/>
        </w:rPr>
        <w:t>itself </w:t>
      </w:r>
      <w:r>
        <w:rPr>
          <w:color w:val="0F0F0F"/>
        </w:rPr>
        <w:t>to providing</w:t>
      </w:r>
      <w:r>
        <w:rPr>
          <w:color w:val="0F0F0F"/>
          <w:spacing w:val="38"/>
        </w:rPr>
        <w:t> </w:t>
      </w:r>
      <w:r>
        <w:rPr>
          <w:color w:val="0F0F0F"/>
        </w:rPr>
        <w:t>lending</w:t>
      </w:r>
      <w:r>
        <w:rPr>
          <w:color w:val="0F0F0F"/>
          <w:spacing w:val="35"/>
        </w:rPr>
        <w:t> </w:t>
      </w:r>
      <w:r>
        <w:rPr>
          <w:color w:val="0F0F0F"/>
        </w:rPr>
        <w:t>to its wholly-owned</w:t>
      </w:r>
      <w:r>
        <w:rPr>
          <w:color w:val="0F0F0F"/>
          <w:spacing w:val="40"/>
        </w:rPr>
        <w:t> </w:t>
      </w:r>
      <w:r>
        <w:rPr>
          <w:color w:val="0F0F0F"/>
        </w:rPr>
        <w:t>subsidiaries,</w:t>
      </w:r>
      <w:r>
        <w:rPr>
          <w:color w:val="0F0F0F"/>
          <w:spacing w:val="40"/>
        </w:rPr>
        <w:t> </w:t>
      </w:r>
      <w:r>
        <w:rPr>
          <w:color w:val="0F0F0F"/>
        </w:rPr>
        <w:t>Elstree Studios Limited and Hertsmere Developments</w:t>
      </w:r>
      <w:r>
        <w:rPr>
          <w:color w:val="0F0F0F"/>
          <w:spacing w:val="40"/>
        </w:rPr>
        <w:t> </w:t>
      </w:r>
      <w:r>
        <w:rPr>
          <w:color w:val="0F0F0F"/>
        </w:rPr>
        <w:t>Limited, if required.</w:t>
      </w:r>
    </w:p>
    <w:p>
      <w:pPr>
        <w:spacing w:after="0"/>
        <w:sectPr>
          <w:headerReference w:type="even" r:id="rId230"/>
          <w:pgSz w:w="11910" w:h="16830"/>
          <w:pgMar w:top="480" w:right="340" w:bottom="960" w:left="0" w:header="0" w:footer="0"/>
        </w:sectPr>
      </w:pPr>
    </w:p>
    <w:p>
      <w:pPr>
        <w:pStyle w:val="BodyText"/>
        <w:spacing w:before="5"/>
        <w:rPr>
          <w:sz w:val="21"/>
        </w:rPr>
      </w:pPr>
    </w:p>
    <w:p>
      <w:pPr>
        <w:pStyle w:val="ListParagraph"/>
        <w:numPr>
          <w:ilvl w:val="1"/>
          <w:numId w:val="25"/>
        </w:numPr>
        <w:tabs>
          <w:tab w:val="left" w:leader="none" w:pos="1854"/>
        </w:tabs>
        <w:spacing w:before="0" w:after="0" w:line="240" w:lineRule="auto"/>
        <w:ind w:left="1854" w:right="0" w:hanging="734"/>
        <w:jc w:val="left"/>
        <w:rPr>
          <w:b/>
          <w:color w:val="4F4F4F"/>
          <w:sz w:val="21"/>
        </w:rPr>
      </w:pPr>
      <w:r>
        <w:rPr>
          <w:b/>
          <w:color w:val="4F4F4F"/>
          <w:w w:val="105"/>
          <w:sz w:val="21"/>
        </w:rPr>
        <w:t>Related</w:t>
      </w:r>
      <w:r>
        <w:rPr>
          <w:b/>
          <w:color w:val="4F4F4F"/>
          <w:spacing w:val="-12"/>
          <w:w w:val="105"/>
          <w:sz w:val="21"/>
        </w:rPr>
        <w:t> </w:t>
      </w:r>
      <w:r>
        <w:rPr>
          <w:b/>
          <w:color w:val="4F4F4F"/>
          <w:w w:val="105"/>
          <w:sz w:val="21"/>
        </w:rPr>
        <w:t>Party</w:t>
      </w:r>
      <w:r>
        <w:rPr>
          <w:b/>
          <w:color w:val="4F4F4F"/>
          <w:spacing w:val="-8"/>
          <w:w w:val="105"/>
          <w:sz w:val="21"/>
        </w:rPr>
        <w:t> </w:t>
      </w:r>
      <w:r>
        <w:rPr>
          <w:b/>
          <w:color w:val="4F4F4F"/>
          <w:spacing w:val="-2"/>
          <w:w w:val="105"/>
          <w:sz w:val="21"/>
        </w:rPr>
        <w:t>Transactions</w:t>
      </w:r>
    </w:p>
    <w:p>
      <w:pPr>
        <w:pStyle w:val="BodyText"/>
        <w:rPr>
          <w:b/>
          <w:sz w:val="21"/>
        </w:rPr>
      </w:pPr>
    </w:p>
    <w:p>
      <w:pPr>
        <w:pStyle w:val="BodyText"/>
        <w:spacing w:before="16"/>
        <w:rPr>
          <w:b/>
          <w:sz w:val="21"/>
        </w:rPr>
      </w:pPr>
    </w:p>
    <w:p>
      <w:pPr>
        <w:spacing w:before="0" w:line="290" w:lineRule="auto"/>
        <w:ind w:left="1124" w:right="386" w:hanging="5"/>
        <w:jc w:val="left"/>
        <w:rPr>
          <w:sz w:val="21"/>
        </w:rPr>
      </w:pPr>
      <w:r>
        <w:rPr>
          <w:color w:val="0E0E0E"/>
          <w:w w:val="105"/>
          <w:sz w:val="21"/>
        </w:rPr>
        <w:t>The</w:t>
      </w:r>
      <w:r>
        <w:rPr>
          <w:color w:val="0E0E0E"/>
          <w:spacing w:val="32"/>
          <w:w w:val="105"/>
          <w:sz w:val="21"/>
        </w:rPr>
        <w:t> </w:t>
      </w:r>
      <w:r>
        <w:rPr>
          <w:color w:val="0E0E0E"/>
          <w:w w:val="105"/>
          <w:sz w:val="21"/>
        </w:rPr>
        <w:t>Council</w:t>
      </w:r>
      <w:r>
        <w:rPr>
          <w:color w:val="0E0E0E"/>
          <w:spacing w:val="40"/>
          <w:w w:val="105"/>
          <w:sz w:val="21"/>
        </w:rPr>
        <w:t> </w:t>
      </w:r>
      <w:r>
        <w:rPr>
          <w:color w:val="0E0E0E"/>
          <w:w w:val="105"/>
          <w:sz w:val="21"/>
        </w:rPr>
        <w:t>is</w:t>
      </w:r>
      <w:r>
        <w:rPr>
          <w:color w:val="0E0E0E"/>
          <w:spacing w:val="27"/>
          <w:w w:val="105"/>
          <w:sz w:val="21"/>
        </w:rPr>
        <w:t> </w:t>
      </w:r>
      <w:r>
        <w:rPr>
          <w:color w:val="0E0E0E"/>
          <w:w w:val="105"/>
          <w:sz w:val="21"/>
        </w:rPr>
        <w:t>required</w:t>
      </w:r>
      <w:r>
        <w:rPr>
          <w:color w:val="0E0E0E"/>
          <w:spacing w:val="34"/>
          <w:w w:val="105"/>
          <w:sz w:val="21"/>
        </w:rPr>
        <w:t> </w:t>
      </w:r>
      <w:r>
        <w:rPr>
          <w:color w:val="0E0E0E"/>
          <w:w w:val="105"/>
          <w:sz w:val="21"/>
        </w:rPr>
        <w:t>to</w:t>
      </w:r>
      <w:r>
        <w:rPr>
          <w:color w:val="0E0E0E"/>
          <w:spacing w:val="36"/>
          <w:w w:val="105"/>
          <w:sz w:val="21"/>
        </w:rPr>
        <w:t> </w:t>
      </w:r>
      <w:r>
        <w:rPr>
          <w:color w:val="0E0E0E"/>
          <w:w w:val="105"/>
          <w:sz w:val="21"/>
        </w:rPr>
        <w:t>disclose</w:t>
      </w:r>
      <w:r>
        <w:rPr>
          <w:color w:val="0E0E0E"/>
          <w:spacing w:val="40"/>
          <w:w w:val="105"/>
          <w:sz w:val="21"/>
        </w:rPr>
        <w:t> </w:t>
      </w:r>
      <w:r>
        <w:rPr>
          <w:color w:val="0E0E0E"/>
          <w:w w:val="105"/>
          <w:sz w:val="21"/>
        </w:rPr>
        <w:t>all</w:t>
      </w:r>
      <w:r>
        <w:rPr>
          <w:color w:val="0E0E0E"/>
          <w:spacing w:val="32"/>
          <w:w w:val="105"/>
          <w:sz w:val="21"/>
        </w:rPr>
        <w:t> </w:t>
      </w:r>
      <w:r>
        <w:rPr>
          <w:color w:val="0E0E0E"/>
          <w:w w:val="105"/>
          <w:sz w:val="21"/>
        </w:rPr>
        <w:t>material</w:t>
      </w:r>
      <w:r>
        <w:rPr>
          <w:color w:val="0E0E0E"/>
          <w:spacing w:val="34"/>
          <w:w w:val="105"/>
          <w:sz w:val="21"/>
        </w:rPr>
        <w:t> </w:t>
      </w:r>
      <w:r>
        <w:rPr>
          <w:color w:val="0E0E0E"/>
          <w:w w:val="105"/>
          <w:sz w:val="21"/>
        </w:rPr>
        <w:t>related</w:t>
      </w:r>
      <w:r>
        <w:rPr>
          <w:color w:val="0E0E0E"/>
          <w:spacing w:val="32"/>
          <w:w w:val="105"/>
          <w:sz w:val="21"/>
        </w:rPr>
        <w:t> </w:t>
      </w:r>
      <w:r>
        <w:rPr>
          <w:color w:val="0E0E0E"/>
          <w:w w:val="105"/>
          <w:sz w:val="21"/>
        </w:rPr>
        <w:t>party</w:t>
      </w:r>
      <w:r>
        <w:rPr>
          <w:color w:val="0E0E0E"/>
          <w:spacing w:val="40"/>
          <w:w w:val="105"/>
          <w:sz w:val="21"/>
        </w:rPr>
        <w:t> </w:t>
      </w:r>
      <w:r>
        <w:rPr>
          <w:color w:val="0E0E0E"/>
          <w:w w:val="105"/>
          <w:sz w:val="21"/>
        </w:rPr>
        <w:t>transactions</w:t>
      </w:r>
      <w:r>
        <w:rPr>
          <w:color w:val="0E0E0E"/>
          <w:spacing w:val="40"/>
          <w:w w:val="105"/>
          <w:sz w:val="21"/>
        </w:rPr>
        <w:t> </w:t>
      </w:r>
      <w:r>
        <w:rPr>
          <w:color w:val="0E0E0E"/>
          <w:w w:val="105"/>
          <w:sz w:val="21"/>
        </w:rPr>
        <w:t>included</w:t>
      </w:r>
      <w:r>
        <w:rPr>
          <w:color w:val="0E0E0E"/>
          <w:spacing w:val="39"/>
          <w:w w:val="105"/>
          <w:sz w:val="21"/>
        </w:rPr>
        <w:t> </w:t>
      </w:r>
      <w:r>
        <w:rPr>
          <w:color w:val="0E0E0E"/>
          <w:w w:val="105"/>
          <w:sz w:val="21"/>
        </w:rPr>
        <w:t>within</w:t>
      </w:r>
      <w:r>
        <w:rPr>
          <w:color w:val="0E0E0E"/>
          <w:spacing w:val="33"/>
          <w:w w:val="105"/>
          <w:sz w:val="21"/>
        </w:rPr>
        <w:t> </w:t>
      </w:r>
      <w:r>
        <w:rPr>
          <w:color w:val="0E0E0E"/>
          <w:w w:val="105"/>
          <w:sz w:val="21"/>
        </w:rPr>
        <w:t>this Statement of</w:t>
      </w:r>
      <w:r>
        <w:rPr>
          <w:color w:val="0E0E0E"/>
          <w:spacing w:val="-3"/>
          <w:w w:val="105"/>
          <w:sz w:val="21"/>
        </w:rPr>
        <w:t> </w:t>
      </w:r>
      <w:r>
        <w:rPr>
          <w:color w:val="0E0E0E"/>
          <w:w w:val="105"/>
          <w:sz w:val="21"/>
        </w:rPr>
        <w:t>Accounts.</w:t>
      </w:r>
      <w:r>
        <w:rPr>
          <w:color w:val="0E0E0E"/>
          <w:spacing w:val="40"/>
          <w:w w:val="105"/>
          <w:sz w:val="21"/>
        </w:rPr>
        <w:t> </w:t>
      </w:r>
      <w:r>
        <w:rPr>
          <w:color w:val="0E0E0E"/>
          <w:w w:val="105"/>
          <w:sz w:val="21"/>
        </w:rPr>
        <w:t>Related parties of</w:t>
      </w:r>
      <w:r>
        <w:rPr>
          <w:color w:val="0E0E0E"/>
          <w:spacing w:val="-1"/>
          <w:w w:val="105"/>
          <w:sz w:val="21"/>
        </w:rPr>
        <w:t> </w:t>
      </w:r>
      <w:r>
        <w:rPr>
          <w:color w:val="0E0E0E"/>
          <w:w w:val="105"/>
          <w:sz w:val="21"/>
        </w:rPr>
        <w:t>the Council include:</w:t>
      </w:r>
    </w:p>
    <w:p>
      <w:pPr>
        <w:pStyle w:val="ListParagraph"/>
        <w:numPr>
          <w:ilvl w:val="2"/>
          <w:numId w:val="25"/>
        </w:numPr>
        <w:tabs>
          <w:tab w:val="left" w:leader="none" w:pos="1825"/>
        </w:tabs>
        <w:spacing w:before="0" w:after="0" w:line="239" w:lineRule="exact"/>
        <w:ind w:left="1825" w:right="0" w:hanging="692"/>
        <w:jc w:val="left"/>
        <w:rPr>
          <w:color w:val="1F1F1F"/>
          <w:sz w:val="21"/>
        </w:rPr>
      </w:pPr>
      <w:r>
        <w:rPr>
          <w:color w:val="0E0E0E"/>
          <w:w w:val="105"/>
          <w:sz w:val="21"/>
        </w:rPr>
        <w:t>Central</w:t>
      </w:r>
      <w:r>
        <w:rPr>
          <w:color w:val="0E0E0E"/>
          <w:spacing w:val="-6"/>
          <w:w w:val="105"/>
          <w:sz w:val="21"/>
        </w:rPr>
        <w:t> </w:t>
      </w:r>
      <w:r>
        <w:rPr>
          <w:color w:val="0E0E0E"/>
          <w:spacing w:val="-2"/>
          <w:w w:val="105"/>
          <w:sz w:val="21"/>
        </w:rPr>
        <w:t>Government</w:t>
      </w:r>
    </w:p>
    <w:p>
      <w:pPr>
        <w:pStyle w:val="ListParagraph"/>
        <w:numPr>
          <w:ilvl w:val="2"/>
          <w:numId w:val="25"/>
        </w:numPr>
        <w:tabs>
          <w:tab w:val="left" w:leader="none" w:pos="1831"/>
        </w:tabs>
        <w:spacing w:before="51" w:after="0" w:line="240" w:lineRule="auto"/>
        <w:ind w:left="1831" w:right="0" w:hanging="698"/>
        <w:jc w:val="left"/>
        <w:rPr>
          <w:color w:val="1F1F1F"/>
          <w:sz w:val="21"/>
        </w:rPr>
      </w:pPr>
      <w:r>
        <w:rPr>
          <w:color w:val="0E0E0E"/>
          <w:w w:val="105"/>
          <w:sz w:val="21"/>
        </w:rPr>
        <w:t>Other</w:t>
      </w:r>
      <w:r>
        <w:rPr>
          <w:color w:val="0E0E0E"/>
          <w:spacing w:val="-9"/>
          <w:w w:val="105"/>
          <w:sz w:val="21"/>
        </w:rPr>
        <w:t> </w:t>
      </w:r>
      <w:r>
        <w:rPr>
          <w:color w:val="0E0E0E"/>
          <w:w w:val="105"/>
          <w:sz w:val="21"/>
        </w:rPr>
        <w:t>Local</w:t>
      </w:r>
      <w:r>
        <w:rPr>
          <w:color w:val="0E0E0E"/>
          <w:spacing w:val="-16"/>
          <w:w w:val="105"/>
          <w:sz w:val="21"/>
        </w:rPr>
        <w:t> </w:t>
      </w:r>
      <w:r>
        <w:rPr>
          <w:color w:val="0E0E0E"/>
          <w:w w:val="105"/>
          <w:sz w:val="21"/>
        </w:rPr>
        <w:t>Authorities</w:t>
      </w:r>
      <w:r>
        <w:rPr>
          <w:color w:val="0E0E0E"/>
          <w:spacing w:val="10"/>
          <w:w w:val="105"/>
          <w:sz w:val="21"/>
        </w:rPr>
        <w:t> </w:t>
      </w:r>
      <w:r>
        <w:rPr>
          <w:color w:val="0E0E0E"/>
          <w:w w:val="105"/>
          <w:sz w:val="21"/>
        </w:rPr>
        <w:t>and</w:t>
      </w:r>
      <w:r>
        <w:rPr>
          <w:color w:val="0E0E0E"/>
          <w:spacing w:val="-13"/>
          <w:w w:val="105"/>
          <w:sz w:val="21"/>
        </w:rPr>
        <w:t> </w:t>
      </w:r>
      <w:r>
        <w:rPr>
          <w:color w:val="0E0E0E"/>
          <w:w w:val="105"/>
          <w:sz w:val="21"/>
        </w:rPr>
        <w:t>other</w:t>
      </w:r>
      <w:r>
        <w:rPr>
          <w:color w:val="0E0E0E"/>
          <w:spacing w:val="-5"/>
          <w:w w:val="105"/>
          <w:sz w:val="21"/>
        </w:rPr>
        <w:t> </w:t>
      </w:r>
      <w:r>
        <w:rPr>
          <w:color w:val="0E0E0E"/>
          <w:w w:val="105"/>
          <w:sz w:val="21"/>
        </w:rPr>
        <w:t>bodies</w:t>
      </w:r>
      <w:r>
        <w:rPr>
          <w:color w:val="0E0E0E"/>
          <w:spacing w:val="-5"/>
          <w:w w:val="105"/>
          <w:sz w:val="21"/>
        </w:rPr>
        <w:t> </w:t>
      </w:r>
      <w:r>
        <w:rPr>
          <w:color w:val="0E0E0E"/>
          <w:w w:val="105"/>
          <w:sz w:val="21"/>
        </w:rPr>
        <w:t>precepting or</w:t>
      </w:r>
      <w:r>
        <w:rPr>
          <w:color w:val="0E0E0E"/>
          <w:spacing w:val="-11"/>
          <w:w w:val="105"/>
          <w:sz w:val="21"/>
        </w:rPr>
        <w:t> </w:t>
      </w:r>
      <w:r>
        <w:rPr>
          <w:color w:val="0E0E0E"/>
          <w:w w:val="105"/>
          <w:sz w:val="21"/>
        </w:rPr>
        <w:t>levying</w:t>
      </w:r>
      <w:r>
        <w:rPr>
          <w:color w:val="0E0E0E"/>
          <w:spacing w:val="-6"/>
          <w:w w:val="105"/>
          <w:sz w:val="21"/>
        </w:rPr>
        <w:t> </w:t>
      </w:r>
      <w:r>
        <w:rPr>
          <w:color w:val="0E0E0E"/>
          <w:w w:val="105"/>
          <w:sz w:val="21"/>
        </w:rPr>
        <w:t>demands</w:t>
      </w:r>
      <w:r>
        <w:rPr>
          <w:color w:val="0E0E0E"/>
          <w:spacing w:val="6"/>
          <w:w w:val="105"/>
          <w:sz w:val="21"/>
        </w:rPr>
        <w:t> </w:t>
      </w:r>
      <w:r>
        <w:rPr>
          <w:color w:val="0E0E0E"/>
          <w:w w:val="105"/>
          <w:sz w:val="21"/>
        </w:rPr>
        <w:t>on</w:t>
      </w:r>
      <w:r>
        <w:rPr>
          <w:color w:val="0E0E0E"/>
          <w:spacing w:val="-13"/>
          <w:w w:val="105"/>
          <w:sz w:val="21"/>
        </w:rPr>
        <w:t> </w:t>
      </w:r>
      <w:r>
        <w:rPr>
          <w:color w:val="0E0E0E"/>
          <w:w w:val="105"/>
          <w:sz w:val="21"/>
        </w:rPr>
        <w:t>council</w:t>
      </w:r>
      <w:r>
        <w:rPr>
          <w:color w:val="0E0E0E"/>
          <w:spacing w:val="-7"/>
          <w:w w:val="105"/>
          <w:sz w:val="21"/>
        </w:rPr>
        <w:t> </w:t>
      </w:r>
      <w:r>
        <w:rPr>
          <w:color w:val="0E0E0E"/>
          <w:spacing w:val="-5"/>
          <w:w w:val="105"/>
          <w:sz w:val="21"/>
        </w:rPr>
        <w:t>tax</w:t>
      </w:r>
    </w:p>
    <w:p>
      <w:pPr>
        <w:pStyle w:val="ListParagraph"/>
        <w:numPr>
          <w:ilvl w:val="2"/>
          <w:numId w:val="25"/>
        </w:numPr>
        <w:tabs>
          <w:tab w:val="left" w:leader="none" w:pos="1826"/>
        </w:tabs>
        <w:spacing w:before="52" w:after="0" w:line="240" w:lineRule="auto"/>
        <w:ind w:left="1826" w:right="0" w:hanging="689"/>
        <w:jc w:val="left"/>
        <w:rPr>
          <w:color w:val="0E0E0E"/>
          <w:sz w:val="21"/>
        </w:rPr>
      </w:pPr>
      <w:r>
        <w:rPr>
          <w:color w:val="0E0E0E"/>
          <w:w w:val="105"/>
          <w:sz w:val="21"/>
        </w:rPr>
        <w:t>The</w:t>
      </w:r>
      <w:r>
        <w:rPr>
          <w:color w:val="0E0E0E"/>
          <w:spacing w:val="-9"/>
          <w:w w:val="105"/>
          <w:sz w:val="21"/>
        </w:rPr>
        <w:t> </w:t>
      </w:r>
      <w:r>
        <w:rPr>
          <w:color w:val="0E0E0E"/>
          <w:w w:val="105"/>
          <w:sz w:val="21"/>
        </w:rPr>
        <w:t>Council's</w:t>
      </w:r>
      <w:r>
        <w:rPr>
          <w:color w:val="0E0E0E"/>
          <w:spacing w:val="-1"/>
          <w:w w:val="105"/>
          <w:sz w:val="21"/>
        </w:rPr>
        <w:t> </w:t>
      </w:r>
      <w:r>
        <w:rPr>
          <w:color w:val="0E0E0E"/>
          <w:w w:val="105"/>
          <w:sz w:val="21"/>
        </w:rPr>
        <w:t>Members</w:t>
      </w:r>
      <w:r>
        <w:rPr>
          <w:color w:val="0E0E0E"/>
          <w:spacing w:val="8"/>
          <w:w w:val="105"/>
          <w:sz w:val="21"/>
        </w:rPr>
        <w:t> </w:t>
      </w:r>
      <w:r>
        <w:rPr>
          <w:color w:val="0E0E0E"/>
          <w:w w:val="105"/>
          <w:sz w:val="21"/>
        </w:rPr>
        <w:t>and</w:t>
      </w:r>
      <w:r>
        <w:rPr>
          <w:color w:val="0E0E0E"/>
          <w:spacing w:val="-13"/>
          <w:w w:val="105"/>
          <w:sz w:val="21"/>
        </w:rPr>
        <w:t> </w:t>
      </w:r>
      <w:r>
        <w:rPr>
          <w:color w:val="0E0E0E"/>
          <w:w w:val="105"/>
          <w:sz w:val="21"/>
        </w:rPr>
        <w:t>Chief </w:t>
      </w:r>
      <w:r>
        <w:rPr>
          <w:color w:val="0E0E0E"/>
          <w:spacing w:val="-2"/>
          <w:w w:val="105"/>
          <w:sz w:val="21"/>
        </w:rPr>
        <w:t>Officers</w:t>
      </w:r>
    </w:p>
    <w:p>
      <w:pPr>
        <w:pStyle w:val="ListParagraph"/>
        <w:numPr>
          <w:ilvl w:val="2"/>
          <w:numId w:val="25"/>
        </w:numPr>
        <w:tabs>
          <w:tab w:val="left" w:leader="none" w:pos="1831"/>
        </w:tabs>
        <w:spacing w:before="52" w:after="0" w:line="240" w:lineRule="auto"/>
        <w:ind w:left="1831" w:right="0" w:hanging="694"/>
        <w:jc w:val="left"/>
        <w:rPr>
          <w:color w:val="1F1F1F"/>
          <w:sz w:val="21"/>
        </w:rPr>
      </w:pPr>
      <w:r>
        <w:rPr>
          <w:color w:val="0E0E0E"/>
          <w:w w:val="105"/>
          <w:sz w:val="21"/>
        </w:rPr>
        <w:t>Subsidiary</w:t>
      </w:r>
      <w:r>
        <w:rPr>
          <w:color w:val="0E0E0E"/>
          <w:spacing w:val="-4"/>
          <w:w w:val="105"/>
          <w:sz w:val="21"/>
        </w:rPr>
        <w:t> </w:t>
      </w:r>
      <w:r>
        <w:rPr>
          <w:color w:val="0E0E0E"/>
          <w:w w:val="105"/>
          <w:sz w:val="21"/>
        </w:rPr>
        <w:t>and</w:t>
      </w:r>
      <w:r>
        <w:rPr>
          <w:color w:val="0E0E0E"/>
          <w:spacing w:val="-15"/>
          <w:w w:val="105"/>
          <w:sz w:val="21"/>
        </w:rPr>
        <w:t> </w:t>
      </w:r>
      <w:r>
        <w:rPr>
          <w:color w:val="0E0E0E"/>
          <w:w w:val="105"/>
          <w:sz w:val="21"/>
        </w:rPr>
        <w:t>associated</w:t>
      </w:r>
      <w:r>
        <w:rPr>
          <w:color w:val="0E0E0E"/>
          <w:spacing w:val="-2"/>
          <w:w w:val="105"/>
          <w:sz w:val="21"/>
        </w:rPr>
        <w:t> companies</w:t>
      </w:r>
    </w:p>
    <w:p>
      <w:pPr>
        <w:pStyle w:val="ListParagraph"/>
        <w:numPr>
          <w:ilvl w:val="2"/>
          <w:numId w:val="25"/>
        </w:numPr>
        <w:tabs>
          <w:tab w:val="left" w:leader="none" w:pos="1826"/>
        </w:tabs>
        <w:spacing w:before="47" w:after="0" w:line="240" w:lineRule="auto"/>
        <w:ind w:left="1826" w:right="0" w:hanging="689"/>
        <w:jc w:val="left"/>
        <w:rPr>
          <w:color w:val="1F1F1F"/>
          <w:sz w:val="21"/>
        </w:rPr>
      </w:pPr>
      <w:r>
        <w:rPr>
          <w:color w:val="0E0E0E"/>
          <w:w w:val="105"/>
          <w:sz w:val="21"/>
        </w:rPr>
        <w:t>Other</w:t>
      </w:r>
      <w:r>
        <w:rPr>
          <w:color w:val="0E0E0E"/>
          <w:spacing w:val="-11"/>
          <w:w w:val="105"/>
          <w:sz w:val="21"/>
        </w:rPr>
        <w:t> </w:t>
      </w:r>
      <w:r>
        <w:rPr>
          <w:color w:val="0E0E0E"/>
          <w:w w:val="105"/>
          <w:sz w:val="21"/>
        </w:rPr>
        <w:t>entities</w:t>
      </w:r>
      <w:r>
        <w:rPr>
          <w:color w:val="0E0E0E"/>
          <w:spacing w:val="4"/>
          <w:w w:val="105"/>
          <w:sz w:val="21"/>
        </w:rPr>
        <w:t> </w:t>
      </w:r>
      <w:r>
        <w:rPr>
          <w:color w:val="0E0E0E"/>
          <w:w w:val="105"/>
          <w:sz w:val="21"/>
        </w:rPr>
        <w:t>with</w:t>
      </w:r>
      <w:r>
        <w:rPr>
          <w:color w:val="0E0E0E"/>
          <w:spacing w:val="-7"/>
          <w:w w:val="105"/>
          <w:sz w:val="21"/>
        </w:rPr>
        <w:t> </w:t>
      </w:r>
      <w:r>
        <w:rPr>
          <w:color w:val="0E0E0E"/>
          <w:w w:val="105"/>
          <w:sz w:val="21"/>
        </w:rPr>
        <w:t>which</w:t>
      </w:r>
      <w:r>
        <w:rPr>
          <w:color w:val="0E0E0E"/>
          <w:spacing w:val="-7"/>
          <w:w w:val="105"/>
          <w:sz w:val="21"/>
        </w:rPr>
        <w:t> </w:t>
      </w:r>
      <w:r>
        <w:rPr>
          <w:color w:val="0E0E0E"/>
          <w:w w:val="105"/>
          <w:sz w:val="21"/>
        </w:rPr>
        <w:t>the</w:t>
      </w:r>
      <w:r>
        <w:rPr>
          <w:color w:val="0E0E0E"/>
          <w:spacing w:val="-12"/>
          <w:w w:val="105"/>
          <w:sz w:val="21"/>
        </w:rPr>
        <w:t> </w:t>
      </w:r>
      <w:r>
        <w:rPr>
          <w:color w:val="0E0E0E"/>
          <w:w w:val="105"/>
          <w:sz w:val="21"/>
        </w:rPr>
        <w:t>Council carries</w:t>
      </w:r>
      <w:r>
        <w:rPr>
          <w:color w:val="0E0E0E"/>
          <w:spacing w:val="-5"/>
          <w:w w:val="105"/>
          <w:sz w:val="21"/>
        </w:rPr>
        <w:t> </w:t>
      </w:r>
      <w:r>
        <w:rPr>
          <w:color w:val="0E0E0E"/>
          <w:w w:val="105"/>
          <w:sz w:val="21"/>
        </w:rPr>
        <w:t>on</w:t>
      </w:r>
      <w:r>
        <w:rPr>
          <w:color w:val="0E0E0E"/>
          <w:spacing w:val="-13"/>
          <w:w w:val="105"/>
          <w:sz w:val="21"/>
        </w:rPr>
        <w:t> </w:t>
      </w:r>
      <w:r>
        <w:rPr>
          <w:color w:val="0E0E0E"/>
          <w:w w:val="105"/>
          <w:sz w:val="21"/>
        </w:rPr>
        <w:t>any</w:t>
      </w:r>
      <w:r>
        <w:rPr>
          <w:color w:val="0E0E0E"/>
          <w:spacing w:val="-4"/>
          <w:w w:val="105"/>
          <w:sz w:val="21"/>
        </w:rPr>
        <w:t> </w:t>
      </w:r>
      <w:r>
        <w:rPr>
          <w:color w:val="0E0E0E"/>
          <w:w w:val="105"/>
          <w:sz w:val="21"/>
        </w:rPr>
        <w:t>form</w:t>
      </w:r>
      <w:r>
        <w:rPr>
          <w:color w:val="0E0E0E"/>
          <w:spacing w:val="-4"/>
          <w:w w:val="105"/>
          <w:sz w:val="21"/>
        </w:rPr>
        <w:t> </w:t>
      </w:r>
      <w:r>
        <w:rPr>
          <w:color w:val="0E0E0E"/>
          <w:w w:val="105"/>
          <w:sz w:val="21"/>
        </w:rPr>
        <w:t>of</w:t>
      </w:r>
      <w:r>
        <w:rPr>
          <w:color w:val="0E0E0E"/>
          <w:spacing w:val="-6"/>
          <w:w w:val="105"/>
          <w:sz w:val="21"/>
        </w:rPr>
        <w:t> </w:t>
      </w:r>
      <w:r>
        <w:rPr>
          <w:color w:val="0E0E0E"/>
          <w:w w:val="105"/>
          <w:sz w:val="21"/>
        </w:rPr>
        <w:t>collaborative</w:t>
      </w:r>
      <w:r>
        <w:rPr>
          <w:color w:val="0E0E0E"/>
          <w:spacing w:val="6"/>
          <w:w w:val="105"/>
          <w:sz w:val="21"/>
        </w:rPr>
        <w:t> </w:t>
      </w:r>
      <w:r>
        <w:rPr>
          <w:color w:val="0E0E0E"/>
          <w:spacing w:val="-2"/>
          <w:w w:val="105"/>
          <w:sz w:val="21"/>
        </w:rPr>
        <w:t>venture</w:t>
      </w:r>
    </w:p>
    <w:p>
      <w:pPr>
        <w:pStyle w:val="BodyText"/>
        <w:spacing w:before="1"/>
        <w:rPr>
          <w:sz w:val="18"/>
        </w:rPr>
      </w:pPr>
    </w:p>
    <w:p>
      <w:pPr>
        <w:spacing w:after="0"/>
        <w:rPr>
          <w:sz w:val="18"/>
        </w:rPr>
        <w:sectPr>
          <w:headerReference w:type="default" r:id="rId231"/>
          <w:footerReference w:type="default" r:id="rId232"/>
          <w:footerReference w:type="even" r:id="rId233"/>
          <w:pgSz w:w="11910" w:h="16830"/>
          <w:pgMar w:top="1180" w:right="340" w:bottom="1060" w:left="0" w:header="990" w:footer="861"/>
          <w:pgNumType w:start="109"/>
        </w:sectPr>
      </w:pPr>
    </w:p>
    <w:p>
      <w:pPr>
        <w:spacing w:before="98"/>
        <w:ind w:left="1240" w:right="0" w:firstLine="0"/>
        <w:jc w:val="left"/>
        <w:rPr>
          <w:b/>
          <w:sz w:val="21"/>
        </w:rPr>
      </w:pPr>
      <w:r>
        <w:rPr>
          <w:b/>
          <w:color w:val="0E0E0E"/>
          <w:sz w:val="21"/>
        </w:rPr>
        <w:t>Central</w:t>
      </w:r>
      <w:r>
        <w:rPr>
          <w:b/>
          <w:color w:val="0E0E0E"/>
          <w:spacing w:val="-11"/>
          <w:sz w:val="21"/>
        </w:rPr>
        <w:t> </w:t>
      </w:r>
      <w:r>
        <w:rPr>
          <w:b/>
          <w:color w:val="0E0E0E"/>
          <w:spacing w:val="-2"/>
          <w:sz w:val="21"/>
        </w:rPr>
        <w:t>Government</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5"/>
        <w:rPr>
          <w:b/>
          <w:sz w:val="21"/>
        </w:rPr>
      </w:pPr>
    </w:p>
    <w:p>
      <w:pPr>
        <w:spacing w:before="1"/>
        <w:ind w:left="1241" w:right="0" w:hanging="1"/>
        <w:jc w:val="left"/>
        <w:rPr>
          <w:b/>
          <w:sz w:val="21"/>
        </w:rPr>
      </w:pPr>
      <w:r>
        <w:rPr>
          <w:b/>
          <w:color w:val="0E0E0E"/>
          <w:sz w:val="21"/>
        </w:rPr>
        <w:t>Other</w:t>
      </w:r>
      <w:r>
        <w:rPr>
          <w:b/>
          <w:color w:val="0E0E0E"/>
          <w:spacing w:val="-15"/>
          <w:sz w:val="21"/>
        </w:rPr>
        <w:t> </w:t>
      </w:r>
      <w:r>
        <w:rPr>
          <w:b/>
          <w:color w:val="0E0E0E"/>
          <w:sz w:val="21"/>
        </w:rPr>
        <w:t>local</w:t>
      </w:r>
      <w:r>
        <w:rPr>
          <w:b/>
          <w:color w:val="0E0E0E"/>
          <w:spacing w:val="-15"/>
          <w:sz w:val="21"/>
        </w:rPr>
        <w:t> </w:t>
      </w:r>
      <w:r>
        <w:rPr>
          <w:b/>
          <w:color w:val="0E0E0E"/>
          <w:sz w:val="21"/>
        </w:rPr>
        <w:t>authorities</w:t>
      </w:r>
      <w:r>
        <w:rPr>
          <w:b/>
          <w:color w:val="0E0E0E"/>
          <w:spacing w:val="-11"/>
          <w:sz w:val="21"/>
        </w:rPr>
        <w:t> </w:t>
      </w:r>
      <w:r>
        <w:rPr>
          <w:b/>
          <w:color w:val="0E0E0E"/>
          <w:sz w:val="21"/>
        </w:rPr>
        <w:t>and other bodies</w:t>
      </w:r>
    </w:p>
    <w:p>
      <w:pPr>
        <w:spacing w:before="40"/>
        <w:ind w:left="1235" w:right="0" w:firstLine="0"/>
        <w:jc w:val="left"/>
        <w:rPr>
          <w:b/>
          <w:sz w:val="21"/>
        </w:rPr>
      </w:pPr>
      <w:r>
        <w:rPr>
          <w:b/>
          <w:color w:val="0E0E0E"/>
          <w:spacing w:val="-2"/>
          <w:sz w:val="21"/>
        </w:rPr>
        <w:t>Members</w:t>
      </w:r>
    </w:p>
    <w:p>
      <w:pPr>
        <w:spacing w:before="93" w:line="240" w:lineRule="auto"/>
        <w:ind w:left="239" w:right="628" w:hanging="2"/>
        <w:jc w:val="both"/>
        <w:rPr>
          <w:sz w:val="21"/>
        </w:rPr>
      </w:pPr>
      <w:r>
        <w:rPr/>
        <w:br w:type="column"/>
      </w:r>
      <w:r>
        <w:rPr>
          <w:color w:val="0E0E0E"/>
          <w:sz w:val="21"/>
        </w:rPr>
        <w:t>Central</w:t>
      </w:r>
      <w:r>
        <w:rPr>
          <w:color w:val="0E0E0E"/>
          <w:spacing w:val="-3"/>
          <w:sz w:val="21"/>
        </w:rPr>
        <w:t> </w:t>
      </w:r>
      <w:r>
        <w:rPr>
          <w:color w:val="1F1F1F"/>
          <w:sz w:val="21"/>
        </w:rPr>
        <w:t>Government</w:t>
      </w:r>
      <w:r>
        <w:rPr>
          <w:color w:val="1F1F1F"/>
          <w:spacing w:val="11"/>
          <w:sz w:val="21"/>
        </w:rPr>
        <w:t> </w:t>
      </w:r>
      <w:r>
        <w:rPr>
          <w:color w:val="1F1F1F"/>
          <w:sz w:val="21"/>
        </w:rPr>
        <w:t>has</w:t>
      </w:r>
      <w:r>
        <w:rPr>
          <w:color w:val="1F1F1F"/>
          <w:spacing w:val="-12"/>
          <w:sz w:val="21"/>
        </w:rPr>
        <w:t> </w:t>
      </w:r>
      <w:r>
        <w:rPr>
          <w:color w:val="1F1F1F"/>
          <w:sz w:val="21"/>
        </w:rPr>
        <w:t>the</w:t>
      </w:r>
      <w:r>
        <w:rPr>
          <w:color w:val="1F1F1F"/>
          <w:spacing w:val="-15"/>
          <w:sz w:val="21"/>
        </w:rPr>
        <w:t> </w:t>
      </w:r>
      <w:r>
        <w:rPr>
          <w:color w:val="1F1F1F"/>
          <w:sz w:val="21"/>
        </w:rPr>
        <w:t>effective</w:t>
      </w:r>
      <w:r>
        <w:rPr>
          <w:color w:val="1F1F1F"/>
          <w:spacing w:val="-3"/>
          <w:sz w:val="21"/>
        </w:rPr>
        <w:t> </w:t>
      </w:r>
      <w:r>
        <w:rPr>
          <w:color w:val="1F1F1F"/>
          <w:sz w:val="21"/>
        </w:rPr>
        <w:t>control</w:t>
      </w:r>
      <w:r>
        <w:rPr>
          <w:color w:val="1F1F1F"/>
          <w:spacing w:val="-11"/>
          <w:sz w:val="21"/>
        </w:rPr>
        <w:t> </w:t>
      </w:r>
      <w:r>
        <w:rPr>
          <w:color w:val="1F1F1F"/>
          <w:sz w:val="21"/>
        </w:rPr>
        <w:t>over</w:t>
      </w:r>
      <w:r>
        <w:rPr>
          <w:color w:val="1F1F1F"/>
          <w:spacing w:val="-9"/>
          <w:sz w:val="21"/>
        </w:rPr>
        <w:t> </w:t>
      </w:r>
      <w:r>
        <w:rPr>
          <w:color w:val="1F1F1F"/>
          <w:sz w:val="21"/>
        </w:rPr>
        <w:t>the</w:t>
      </w:r>
      <w:r>
        <w:rPr>
          <w:color w:val="1F1F1F"/>
          <w:spacing w:val="-15"/>
          <w:sz w:val="21"/>
        </w:rPr>
        <w:t> </w:t>
      </w:r>
      <w:r>
        <w:rPr>
          <w:color w:val="1F1F1F"/>
          <w:sz w:val="21"/>
        </w:rPr>
        <w:t>general</w:t>
      </w:r>
      <w:r>
        <w:rPr>
          <w:color w:val="1F1F1F"/>
          <w:spacing w:val="-4"/>
          <w:sz w:val="21"/>
        </w:rPr>
        <w:t> </w:t>
      </w:r>
      <w:r>
        <w:rPr>
          <w:color w:val="1F1F1F"/>
          <w:sz w:val="21"/>
        </w:rPr>
        <w:t>operations </w:t>
      </w:r>
      <w:r>
        <w:rPr>
          <w:color w:val="0E0E0E"/>
          <w:sz w:val="21"/>
        </w:rPr>
        <w:t>of the </w:t>
      </w:r>
      <w:r>
        <w:rPr>
          <w:color w:val="1F1F1F"/>
          <w:sz w:val="21"/>
        </w:rPr>
        <w:t>Council. </w:t>
      </w:r>
      <w:r>
        <w:rPr>
          <w:color w:val="0E0E0E"/>
          <w:sz w:val="21"/>
        </w:rPr>
        <w:t>It </w:t>
      </w:r>
      <w:r>
        <w:rPr>
          <w:color w:val="1F1F1F"/>
          <w:sz w:val="21"/>
        </w:rPr>
        <w:t>is responsible for providing the statutory framework </w:t>
      </w:r>
      <w:r>
        <w:rPr>
          <w:color w:val="0E0E0E"/>
          <w:sz w:val="21"/>
        </w:rPr>
        <w:t>within which the Council </w:t>
      </w:r>
      <w:r>
        <w:rPr>
          <w:color w:val="1F1F1F"/>
          <w:sz w:val="21"/>
        </w:rPr>
        <w:t>operates</w:t>
      </w:r>
      <w:r>
        <w:rPr>
          <w:color w:val="4F4F4F"/>
          <w:sz w:val="21"/>
        </w:rPr>
        <w:t>, </w:t>
      </w:r>
      <w:r>
        <w:rPr>
          <w:color w:val="1F1F1F"/>
          <w:sz w:val="21"/>
        </w:rPr>
        <w:t>provides a major proportion of its </w:t>
      </w:r>
      <w:r>
        <w:rPr>
          <w:color w:val="0E0E0E"/>
          <w:sz w:val="21"/>
        </w:rPr>
        <w:t>funding in the form </w:t>
      </w:r>
      <w:r>
        <w:rPr>
          <w:color w:val="1F1F1F"/>
          <w:sz w:val="21"/>
        </w:rPr>
        <w:t>of grants</w:t>
      </w:r>
      <w:r>
        <w:rPr>
          <w:color w:val="646464"/>
          <w:sz w:val="21"/>
        </w:rPr>
        <w:t>, </w:t>
      </w:r>
      <w:r>
        <w:rPr>
          <w:color w:val="1F1F1F"/>
          <w:sz w:val="21"/>
        </w:rPr>
        <w:t>and prescribes the terms of many of the </w:t>
      </w:r>
      <w:r>
        <w:rPr>
          <w:color w:val="0E0E0E"/>
          <w:sz w:val="21"/>
        </w:rPr>
        <w:t>transactions that the </w:t>
      </w:r>
      <w:r>
        <w:rPr>
          <w:color w:val="1F1F1F"/>
          <w:sz w:val="21"/>
        </w:rPr>
        <w:t>Council has with other parties (e</w:t>
      </w:r>
      <w:r>
        <w:rPr>
          <w:color w:val="4F4F4F"/>
          <w:sz w:val="21"/>
        </w:rPr>
        <w:t>.</w:t>
      </w:r>
      <w:r>
        <w:rPr>
          <w:color w:val="1F1F1F"/>
          <w:sz w:val="21"/>
        </w:rPr>
        <w:t>g</w:t>
      </w:r>
      <w:r>
        <w:rPr>
          <w:color w:val="646464"/>
          <w:sz w:val="21"/>
        </w:rPr>
        <w:t>. </w:t>
      </w:r>
      <w:r>
        <w:rPr>
          <w:color w:val="1F1F1F"/>
          <w:sz w:val="21"/>
        </w:rPr>
        <w:t>housing </w:t>
      </w:r>
      <w:r>
        <w:rPr>
          <w:color w:val="0E0E0E"/>
          <w:sz w:val="21"/>
        </w:rPr>
        <w:t>benefits). Details of </w:t>
      </w:r>
      <w:r>
        <w:rPr>
          <w:color w:val="1F1F1F"/>
          <w:sz w:val="21"/>
        </w:rPr>
        <w:t>principal transactions with</w:t>
      </w:r>
      <w:r>
        <w:rPr>
          <w:color w:val="1F1F1F"/>
          <w:spacing w:val="-1"/>
          <w:sz w:val="21"/>
        </w:rPr>
        <w:t> </w:t>
      </w:r>
      <w:r>
        <w:rPr>
          <w:color w:val="1F1F1F"/>
          <w:sz w:val="21"/>
        </w:rPr>
        <w:t>government departments </w:t>
      </w:r>
      <w:r>
        <w:rPr>
          <w:color w:val="0E0E0E"/>
          <w:sz w:val="21"/>
        </w:rPr>
        <w:t>are </w:t>
      </w:r>
      <w:r>
        <w:rPr>
          <w:color w:val="1F1F1F"/>
          <w:sz w:val="21"/>
        </w:rPr>
        <w:t>set </w:t>
      </w:r>
      <w:r>
        <w:rPr>
          <w:color w:val="0E0E0E"/>
          <w:sz w:val="21"/>
        </w:rPr>
        <w:t>out in note 5.9.</w:t>
      </w:r>
    </w:p>
    <w:p>
      <w:pPr>
        <w:spacing w:before="24" w:line="235" w:lineRule="auto"/>
        <w:ind w:left="244" w:right="631" w:hanging="8"/>
        <w:jc w:val="both"/>
        <w:rPr>
          <w:sz w:val="21"/>
        </w:rPr>
      </w:pPr>
      <w:r>
        <w:rPr>
          <w:color w:val="0E0E0E"/>
          <w:sz w:val="21"/>
        </w:rPr>
        <w:t>Details of the amounts precepted and demanded are set out </w:t>
      </w:r>
      <w:r>
        <w:rPr>
          <w:color w:val="1F1F1F"/>
          <w:sz w:val="21"/>
        </w:rPr>
        <w:t>in </w:t>
      </w:r>
      <w:r>
        <w:rPr>
          <w:color w:val="0E0E0E"/>
          <w:sz w:val="21"/>
        </w:rPr>
        <w:t>the </w:t>
      </w:r>
      <w:r>
        <w:rPr>
          <w:color w:val="1F1F1F"/>
          <w:sz w:val="21"/>
        </w:rPr>
        <w:t>council's Collection Fund Statement.</w:t>
      </w:r>
    </w:p>
    <w:p>
      <w:pPr>
        <w:spacing w:before="37" w:line="240" w:lineRule="auto"/>
        <w:ind w:left="238" w:right="630" w:firstLine="2"/>
        <w:jc w:val="both"/>
        <w:rPr>
          <w:sz w:val="21"/>
        </w:rPr>
      </w:pPr>
      <w:r>
        <w:rPr>
          <w:color w:val="1F1F1F"/>
          <w:sz w:val="21"/>
        </w:rPr>
        <w:t>Members of the council have direct control </w:t>
      </w:r>
      <w:r>
        <w:rPr>
          <w:color w:val="0E0E0E"/>
          <w:sz w:val="21"/>
        </w:rPr>
        <w:t>over </w:t>
      </w:r>
      <w:r>
        <w:rPr>
          <w:color w:val="1F1F1F"/>
          <w:sz w:val="21"/>
        </w:rPr>
        <w:t>the </w:t>
      </w:r>
      <w:r>
        <w:rPr>
          <w:color w:val="0E0E0E"/>
          <w:sz w:val="21"/>
        </w:rPr>
        <w:t>Council's </w:t>
      </w:r>
      <w:r>
        <w:rPr>
          <w:color w:val="1F1F1F"/>
          <w:sz w:val="21"/>
        </w:rPr>
        <w:t>financial and</w:t>
      </w:r>
      <w:r>
        <w:rPr>
          <w:color w:val="1F1F1F"/>
          <w:spacing w:val="-15"/>
          <w:sz w:val="21"/>
        </w:rPr>
        <w:t> </w:t>
      </w:r>
      <w:r>
        <w:rPr>
          <w:color w:val="1F1F1F"/>
          <w:sz w:val="21"/>
        </w:rPr>
        <w:t>operating policies</w:t>
      </w:r>
      <w:r>
        <w:rPr>
          <w:color w:val="646464"/>
          <w:sz w:val="21"/>
        </w:rPr>
        <w:t>.</w:t>
      </w:r>
      <w:r>
        <w:rPr>
          <w:color w:val="646464"/>
          <w:spacing w:val="25"/>
          <w:sz w:val="21"/>
        </w:rPr>
        <w:t> </w:t>
      </w:r>
      <w:r>
        <w:rPr>
          <w:color w:val="0E0E0E"/>
          <w:sz w:val="21"/>
        </w:rPr>
        <w:t>The</w:t>
      </w:r>
      <w:r>
        <w:rPr>
          <w:color w:val="0E0E0E"/>
          <w:spacing w:val="-4"/>
          <w:sz w:val="21"/>
        </w:rPr>
        <w:t> </w:t>
      </w:r>
      <w:r>
        <w:rPr>
          <w:color w:val="1F1F1F"/>
          <w:sz w:val="21"/>
        </w:rPr>
        <w:t>total</w:t>
      </w:r>
      <w:r>
        <w:rPr>
          <w:color w:val="1F1F1F"/>
          <w:spacing w:val="-15"/>
          <w:sz w:val="21"/>
        </w:rPr>
        <w:t> </w:t>
      </w:r>
      <w:r>
        <w:rPr>
          <w:color w:val="1F1F1F"/>
          <w:sz w:val="21"/>
        </w:rPr>
        <w:t>of</w:t>
      </w:r>
      <w:r>
        <w:rPr>
          <w:color w:val="1F1F1F"/>
          <w:spacing w:val="-8"/>
          <w:sz w:val="21"/>
        </w:rPr>
        <w:t> </w:t>
      </w:r>
      <w:r>
        <w:rPr>
          <w:color w:val="1F1F1F"/>
          <w:sz w:val="21"/>
        </w:rPr>
        <w:t>members </w:t>
      </w:r>
      <w:r>
        <w:rPr>
          <w:color w:val="0E0E0E"/>
          <w:sz w:val="21"/>
        </w:rPr>
        <w:t>allowances paid</w:t>
      </w:r>
      <w:r>
        <w:rPr>
          <w:color w:val="0E0E0E"/>
          <w:spacing w:val="-15"/>
          <w:sz w:val="21"/>
        </w:rPr>
        <w:t> </w:t>
      </w:r>
      <w:r>
        <w:rPr>
          <w:color w:val="0E0E0E"/>
          <w:sz w:val="21"/>
        </w:rPr>
        <w:t>in</w:t>
      </w:r>
      <w:r>
        <w:rPr>
          <w:color w:val="0E0E0E"/>
          <w:spacing w:val="-6"/>
          <w:sz w:val="21"/>
        </w:rPr>
        <w:t> </w:t>
      </w:r>
      <w:r>
        <w:rPr>
          <w:color w:val="1F1F1F"/>
          <w:sz w:val="21"/>
        </w:rPr>
        <w:t>2022/23 is </w:t>
      </w:r>
      <w:r>
        <w:rPr>
          <w:color w:val="0E0E0E"/>
          <w:sz w:val="21"/>
        </w:rPr>
        <w:t>shown in note 5.10.</w:t>
      </w:r>
    </w:p>
    <w:p>
      <w:pPr>
        <w:pStyle w:val="BodyText"/>
        <w:spacing w:before="5"/>
        <w:rPr>
          <w:sz w:val="21"/>
        </w:rPr>
      </w:pPr>
    </w:p>
    <w:p>
      <w:pPr>
        <w:spacing w:before="0" w:line="240" w:lineRule="auto"/>
        <w:ind w:left="244" w:right="617" w:hanging="2"/>
        <w:jc w:val="both"/>
        <w:rPr>
          <w:sz w:val="21"/>
        </w:rPr>
      </w:pPr>
      <w:r>
        <w:rPr>
          <w:color w:val="1F1F1F"/>
          <w:sz w:val="21"/>
        </w:rPr>
        <w:t>Twenty-seven members represent the Council on the governing bodies of voluntary and community organisations</w:t>
      </w:r>
      <w:r>
        <w:rPr>
          <w:color w:val="4F4F4F"/>
          <w:sz w:val="21"/>
        </w:rPr>
        <w:t>.</w:t>
      </w:r>
      <w:r>
        <w:rPr>
          <w:color w:val="4F4F4F"/>
          <w:spacing w:val="40"/>
          <w:sz w:val="21"/>
        </w:rPr>
        <w:t> </w:t>
      </w:r>
      <w:r>
        <w:rPr>
          <w:color w:val="1F1F1F"/>
          <w:sz w:val="21"/>
        </w:rPr>
        <w:t>Grants totalling £436k </w:t>
      </w:r>
      <w:r>
        <w:rPr>
          <w:color w:val="343434"/>
          <w:sz w:val="21"/>
        </w:rPr>
        <w:t>(2021/22: </w:t>
      </w:r>
      <w:r>
        <w:rPr>
          <w:color w:val="1F1F1F"/>
          <w:sz w:val="21"/>
        </w:rPr>
        <w:t>£448k) were made</w:t>
      </w:r>
      <w:r>
        <w:rPr>
          <w:color w:val="1F1F1F"/>
          <w:spacing w:val="-2"/>
          <w:sz w:val="21"/>
        </w:rPr>
        <w:t> </w:t>
      </w:r>
      <w:r>
        <w:rPr>
          <w:color w:val="1F1F1F"/>
          <w:sz w:val="21"/>
        </w:rPr>
        <w:t>to</w:t>
      </w:r>
      <w:r>
        <w:rPr>
          <w:color w:val="1F1F1F"/>
          <w:spacing w:val="-8"/>
          <w:sz w:val="21"/>
        </w:rPr>
        <w:t> </w:t>
      </w:r>
      <w:r>
        <w:rPr>
          <w:color w:val="1F1F1F"/>
          <w:sz w:val="21"/>
        </w:rPr>
        <w:t>voluntary organisations by the</w:t>
      </w:r>
      <w:r>
        <w:rPr>
          <w:color w:val="1F1F1F"/>
          <w:spacing w:val="-4"/>
          <w:sz w:val="21"/>
        </w:rPr>
        <w:t> </w:t>
      </w:r>
      <w:r>
        <w:rPr>
          <w:color w:val="1F1F1F"/>
          <w:sz w:val="21"/>
        </w:rPr>
        <w:t>council in the</w:t>
      </w:r>
      <w:r>
        <w:rPr>
          <w:color w:val="1F1F1F"/>
          <w:spacing w:val="-5"/>
          <w:sz w:val="21"/>
        </w:rPr>
        <w:t> </w:t>
      </w:r>
      <w:r>
        <w:rPr>
          <w:color w:val="1F1F1F"/>
          <w:sz w:val="21"/>
        </w:rPr>
        <w:t>year</w:t>
      </w:r>
      <w:r>
        <w:rPr>
          <w:color w:val="4F4F4F"/>
          <w:sz w:val="21"/>
        </w:rPr>
        <w:t>.</w:t>
      </w:r>
      <w:r>
        <w:rPr>
          <w:color w:val="4F4F4F"/>
          <w:spacing w:val="-15"/>
          <w:sz w:val="21"/>
        </w:rPr>
        <w:t> </w:t>
      </w:r>
      <w:r>
        <w:rPr>
          <w:color w:val="1F1F1F"/>
          <w:sz w:val="21"/>
        </w:rPr>
        <w:t>A</w:t>
      </w:r>
      <w:r>
        <w:rPr>
          <w:color w:val="1F1F1F"/>
          <w:spacing w:val="-1"/>
          <w:sz w:val="21"/>
        </w:rPr>
        <w:t> </w:t>
      </w:r>
      <w:r>
        <w:rPr>
          <w:color w:val="1F1F1F"/>
          <w:sz w:val="21"/>
        </w:rPr>
        <w:t>further £102k of</w:t>
      </w:r>
      <w:r>
        <w:rPr>
          <w:color w:val="1F1F1F"/>
          <w:spacing w:val="-3"/>
          <w:sz w:val="21"/>
        </w:rPr>
        <w:t> </w:t>
      </w:r>
      <w:r>
        <w:rPr>
          <w:color w:val="1F1F1F"/>
          <w:sz w:val="21"/>
        </w:rPr>
        <w:t>support</w:t>
      </w:r>
      <w:r>
        <w:rPr>
          <w:color w:val="1F1F1F"/>
          <w:spacing w:val="-2"/>
          <w:sz w:val="21"/>
        </w:rPr>
        <w:t> </w:t>
      </w:r>
      <w:r>
        <w:rPr>
          <w:color w:val="1F1F1F"/>
          <w:sz w:val="21"/>
        </w:rPr>
        <w:t>has</w:t>
      </w:r>
      <w:r>
        <w:rPr>
          <w:color w:val="1F1F1F"/>
          <w:spacing w:val="-10"/>
          <w:sz w:val="21"/>
        </w:rPr>
        <w:t> </w:t>
      </w:r>
      <w:r>
        <w:rPr>
          <w:color w:val="1F1F1F"/>
          <w:sz w:val="21"/>
        </w:rPr>
        <w:t>been</w:t>
      </w:r>
      <w:r>
        <w:rPr>
          <w:color w:val="1F1F1F"/>
          <w:spacing w:val="-3"/>
          <w:sz w:val="21"/>
        </w:rPr>
        <w:t> </w:t>
      </w:r>
      <w:r>
        <w:rPr>
          <w:color w:val="1F1F1F"/>
          <w:sz w:val="21"/>
        </w:rPr>
        <w:t>distributed to</w:t>
      </w:r>
      <w:r>
        <w:rPr>
          <w:color w:val="1F1F1F"/>
          <w:spacing w:val="-6"/>
          <w:sz w:val="21"/>
        </w:rPr>
        <w:t> </w:t>
      </w:r>
      <w:r>
        <w:rPr>
          <w:color w:val="1F1F1F"/>
          <w:sz w:val="21"/>
        </w:rPr>
        <w:t>foodbanks </w:t>
      </w:r>
      <w:r>
        <w:rPr>
          <w:color w:val="343434"/>
          <w:sz w:val="21"/>
        </w:rPr>
        <w:t>to </w:t>
      </w:r>
      <w:r>
        <w:rPr>
          <w:color w:val="1F1F1F"/>
          <w:sz w:val="21"/>
        </w:rPr>
        <w:t>support the community utilising the Household Support </w:t>
      </w:r>
      <w:r>
        <w:rPr>
          <w:color w:val="343434"/>
          <w:sz w:val="21"/>
        </w:rPr>
        <w:t>Fund.</w:t>
      </w:r>
    </w:p>
    <w:p>
      <w:pPr>
        <w:spacing w:before="0" w:line="240" w:lineRule="auto"/>
        <w:ind w:left="243" w:right="616" w:firstLine="2"/>
        <w:jc w:val="both"/>
        <w:rPr>
          <w:sz w:val="21"/>
        </w:rPr>
      </w:pPr>
      <w:r>
        <w:rPr>
          <w:color w:val="1F1F1F"/>
          <w:sz w:val="21"/>
        </w:rPr>
        <w:t>Details of the interests of members in external organisations are maintained</w:t>
      </w:r>
      <w:r>
        <w:rPr>
          <w:color w:val="1F1F1F"/>
          <w:spacing w:val="-11"/>
          <w:sz w:val="21"/>
        </w:rPr>
        <w:t> </w:t>
      </w:r>
      <w:r>
        <w:rPr>
          <w:color w:val="1F1F1F"/>
          <w:sz w:val="21"/>
        </w:rPr>
        <w:t>in</w:t>
      </w:r>
      <w:r>
        <w:rPr>
          <w:color w:val="1F1F1F"/>
          <w:spacing w:val="-14"/>
          <w:sz w:val="21"/>
        </w:rPr>
        <w:t> </w:t>
      </w:r>
      <w:r>
        <w:rPr>
          <w:color w:val="1F1F1F"/>
          <w:sz w:val="21"/>
        </w:rPr>
        <w:t>the</w:t>
      </w:r>
      <w:r>
        <w:rPr>
          <w:color w:val="1F1F1F"/>
          <w:spacing w:val="-15"/>
          <w:sz w:val="21"/>
        </w:rPr>
        <w:t> </w:t>
      </w:r>
      <w:r>
        <w:rPr>
          <w:color w:val="1F1F1F"/>
          <w:sz w:val="21"/>
        </w:rPr>
        <w:t>Register of</w:t>
      </w:r>
      <w:r>
        <w:rPr>
          <w:color w:val="1F1F1F"/>
          <w:spacing w:val="-7"/>
          <w:sz w:val="21"/>
        </w:rPr>
        <w:t> </w:t>
      </w:r>
      <w:r>
        <w:rPr>
          <w:color w:val="1F1F1F"/>
          <w:sz w:val="21"/>
        </w:rPr>
        <w:t>Members</w:t>
      </w:r>
      <w:r>
        <w:rPr>
          <w:color w:val="4F4F4F"/>
          <w:sz w:val="21"/>
        </w:rPr>
        <w:t>'</w:t>
      </w:r>
      <w:r>
        <w:rPr>
          <w:color w:val="4F4F4F"/>
          <w:spacing w:val="-9"/>
          <w:sz w:val="21"/>
        </w:rPr>
        <w:t> </w:t>
      </w:r>
      <w:r>
        <w:rPr>
          <w:color w:val="1F1F1F"/>
          <w:sz w:val="21"/>
        </w:rPr>
        <w:t>Interests</w:t>
      </w:r>
      <w:r>
        <w:rPr>
          <w:color w:val="646464"/>
          <w:sz w:val="21"/>
        </w:rPr>
        <w:t>.</w:t>
      </w:r>
      <w:r>
        <w:rPr>
          <w:color w:val="646464"/>
          <w:spacing w:val="-15"/>
          <w:sz w:val="21"/>
        </w:rPr>
        <w:t> </w:t>
      </w:r>
      <w:r>
        <w:rPr>
          <w:color w:val="1F1F1F"/>
          <w:sz w:val="21"/>
        </w:rPr>
        <w:t>CIL</w:t>
      </w:r>
      <w:r>
        <w:rPr>
          <w:color w:val="1F1F1F"/>
          <w:spacing w:val="-13"/>
          <w:sz w:val="21"/>
        </w:rPr>
        <w:t> </w:t>
      </w:r>
      <w:r>
        <w:rPr>
          <w:color w:val="1F1F1F"/>
          <w:sz w:val="21"/>
        </w:rPr>
        <w:t>payments </w:t>
      </w:r>
      <w:r>
        <w:rPr>
          <w:color w:val="343434"/>
          <w:sz w:val="21"/>
        </w:rPr>
        <w:t>to</w:t>
      </w:r>
      <w:r>
        <w:rPr>
          <w:color w:val="343434"/>
          <w:spacing w:val="-5"/>
          <w:sz w:val="21"/>
        </w:rPr>
        <w:t> </w:t>
      </w:r>
      <w:r>
        <w:rPr>
          <w:color w:val="1F1F1F"/>
          <w:sz w:val="21"/>
        </w:rPr>
        <w:t>Parish Councils totalled £240k</w:t>
      </w:r>
      <w:r>
        <w:rPr>
          <w:color w:val="646464"/>
          <w:sz w:val="21"/>
        </w:rPr>
        <w:t>. </w:t>
      </w:r>
      <w:r>
        <w:rPr>
          <w:color w:val="1F1F1F"/>
          <w:sz w:val="21"/>
        </w:rPr>
        <w:t>(2021/22</w:t>
      </w:r>
      <w:r>
        <w:rPr>
          <w:color w:val="646464"/>
          <w:sz w:val="21"/>
        </w:rPr>
        <w:t>: </w:t>
      </w:r>
      <w:r>
        <w:rPr>
          <w:color w:val="1F1F1F"/>
          <w:sz w:val="21"/>
        </w:rPr>
        <w:t>£190k).</w:t>
      </w:r>
    </w:p>
    <w:p>
      <w:pPr>
        <w:spacing w:before="240" w:line="242" w:lineRule="auto"/>
        <w:ind w:left="245" w:right="606" w:firstLine="2"/>
        <w:jc w:val="both"/>
        <w:rPr>
          <w:sz w:val="21"/>
        </w:rPr>
      </w:pPr>
      <w:r>
        <w:rPr>
          <w:color w:val="1F1F1F"/>
          <w:sz w:val="21"/>
        </w:rPr>
        <w:t>The following members hold </w:t>
      </w:r>
      <w:r>
        <w:rPr>
          <w:color w:val="0E0E0E"/>
          <w:sz w:val="21"/>
        </w:rPr>
        <w:t>Director </w:t>
      </w:r>
      <w:r>
        <w:rPr>
          <w:color w:val="1F1F1F"/>
          <w:sz w:val="21"/>
        </w:rPr>
        <w:t>positions on </w:t>
      </w:r>
      <w:r>
        <w:rPr>
          <w:color w:val="0E0E0E"/>
          <w:sz w:val="21"/>
        </w:rPr>
        <w:t>Hertsmere </w:t>
      </w:r>
      <w:r>
        <w:rPr>
          <w:color w:val="1F1F1F"/>
          <w:sz w:val="21"/>
        </w:rPr>
        <w:t>Developments Ltd, the Council</w:t>
      </w:r>
      <w:r>
        <w:rPr>
          <w:color w:val="4F4F4F"/>
          <w:sz w:val="21"/>
        </w:rPr>
        <w:t>'</w:t>
      </w:r>
      <w:r>
        <w:rPr>
          <w:color w:val="1F1F1F"/>
          <w:sz w:val="21"/>
        </w:rPr>
        <w:t>s </w:t>
      </w:r>
      <w:r>
        <w:rPr>
          <w:color w:val="0E0E0E"/>
          <w:sz w:val="21"/>
        </w:rPr>
        <w:t>wholly </w:t>
      </w:r>
      <w:r>
        <w:rPr>
          <w:color w:val="1F1F1F"/>
          <w:sz w:val="21"/>
        </w:rPr>
        <w:t>owned subsidiary: Cllrs DJ Carter</w:t>
      </w:r>
      <w:r>
        <w:rPr>
          <w:color w:val="646464"/>
          <w:sz w:val="21"/>
        </w:rPr>
        <w:t>, </w:t>
      </w:r>
      <w:r>
        <w:rPr>
          <w:color w:val="1F1F1F"/>
          <w:sz w:val="21"/>
        </w:rPr>
        <w:t>HS Cohen and PJ Hodgson</w:t>
      </w:r>
      <w:r>
        <w:rPr>
          <w:color w:val="4F4F4F"/>
          <w:sz w:val="21"/>
        </w:rPr>
        <w:t>-</w:t>
      </w:r>
      <w:r>
        <w:rPr>
          <w:color w:val="1F1F1F"/>
          <w:sz w:val="21"/>
        </w:rPr>
        <w:t>Jones. Details of </w:t>
      </w:r>
      <w:r>
        <w:rPr>
          <w:color w:val="0E0E0E"/>
          <w:sz w:val="21"/>
        </w:rPr>
        <w:t>relationship described below.</w:t>
      </w:r>
    </w:p>
    <w:p>
      <w:pPr>
        <w:spacing w:before="236" w:line="240" w:lineRule="auto"/>
        <w:ind w:left="248" w:right="591" w:hanging="1"/>
        <w:jc w:val="both"/>
        <w:rPr>
          <w:sz w:val="21"/>
        </w:rPr>
      </w:pPr>
      <w:r>
        <w:rPr/>
        <ve:AlternateContent>
          <ve:Choice Requires="wps">
            <w:drawing>
              <wp:anchor distT="0" distB="0" distL="0" distR="0" simplePos="0" relativeHeight="15867392" behindDoc="0" locked="0" layoutInCell="1" allowOverlap="1">
                <wp:simplePos x="0" y="0"/>
                <wp:positionH relativeFrom="page">
                  <wp:posOffset>85481</wp:posOffset>
                </wp:positionH>
                <wp:positionV relativeFrom="paragraph">
                  <wp:posOffset>1257607</wp:posOffset>
                </wp:positionV>
                <wp:extent cx="1270" cy="464184"/>
                <wp:effectExtent l="0" t="0" r="0" b="0"/>
                <wp:wrapNone/>
                <wp:docPr id="624" name="Graphic 624"/>
                <wp:cNvGraphicFramePr>
                  <a:graphicFrameLocks/>
                </wp:cNvGraphicFramePr>
                <a:graphic>
                  <a:graphicData uri="http://schemas.microsoft.com/office/word/2010/wordprocessingShape">
                    <wps:wsp>
                      <wps:cNvPr id="624" name="Graphic 624"/>
                      <wps:cNvSpPr/>
                      <wps:spPr>
                        <a:xfrm>
                          <a:off x="0" y="0"/>
                          <a:ext cx="1270" cy="464184"/>
                        </a:xfrm>
                        <a:custGeom>
                          <a:avLst/>
                          <a:gdLst/>
                          <a:ahLst/>
                          <a:cxnLst/>
                          <a:rect l="l" t="t" r="r" b="b"/>
                          <a:pathLst>
                            <a:path w="0" h="464184">
                              <a:moveTo>
                                <a:pt x="0" y="463824"/>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67392" stroked="true" strokecolor="#000000" strokeweight=".961549pt" from="6.73084pt,135.54583pt" to="6.73084pt,99.024208pt">
                <v:stroke dashstyle="solid"/>
                <w10:wrap type="none"/>
              </v:line>
            </w:pict>
          </ve:Fallback>
        </ve:AlternateContent>
      </w:r>
      <w:r>
        <w:rPr>
          <w:color w:val="1F1F1F"/>
          <w:sz w:val="21"/>
        </w:rPr>
        <w:t>The</w:t>
      </w:r>
      <w:r>
        <w:rPr>
          <w:color w:val="1F1F1F"/>
          <w:spacing w:val="-14"/>
          <w:sz w:val="21"/>
        </w:rPr>
        <w:t> </w:t>
      </w:r>
      <w:r>
        <w:rPr>
          <w:color w:val="1F1F1F"/>
          <w:sz w:val="21"/>
        </w:rPr>
        <w:t>following</w:t>
      </w:r>
      <w:r>
        <w:rPr>
          <w:color w:val="1F1F1F"/>
          <w:spacing w:val="-1"/>
          <w:sz w:val="21"/>
        </w:rPr>
        <w:t> </w:t>
      </w:r>
      <w:r>
        <w:rPr>
          <w:color w:val="1F1F1F"/>
          <w:sz w:val="21"/>
        </w:rPr>
        <w:t>members hold</w:t>
      </w:r>
      <w:r>
        <w:rPr>
          <w:color w:val="1F1F1F"/>
          <w:spacing w:val="-15"/>
          <w:sz w:val="21"/>
        </w:rPr>
        <w:t> </w:t>
      </w:r>
      <w:r>
        <w:rPr>
          <w:color w:val="1F1F1F"/>
          <w:sz w:val="21"/>
        </w:rPr>
        <w:t>positions</w:t>
      </w:r>
      <w:r>
        <w:rPr>
          <w:color w:val="1F1F1F"/>
          <w:spacing w:val="-6"/>
          <w:sz w:val="21"/>
        </w:rPr>
        <w:t> </w:t>
      </w:r>
      <w:r>
        <w:rPr>
          <w:color w:val="0E0E0E"/>
          <w:sz w:val="21"/>
        </w:rPr>
        <w:t>of</w:t>
      </w:r>
      <w:r>
        <w:rPr>
          <w:color w:val="0E0E0E"/>
          <w:spacing w:val="-12"/>
          <w:sz w:val="21"/>
        </w:rPr>
        <w:t> </w:t>
      </w:r>
      <w:r>
        <w:rPr>
          <w:color w:val="1F1F1F"/>
          <w:sz w:val="21"/>
        </w:rPr>
        <w:t>Director on</w:t>
      </w:r>
      <w:r>
        <w:rPr>
          <w:color w:val="1F1F1F"/>
          <w:spacing w:val="-15"/>
          <w:sz w:val="21"/>
        </w:rPr>
        <w:t> </w:t>
      </w:r>
      <w:r>
        <w:rPr>
          <w:color w:val="1F1F1F"/>
          <w:sz w:val="21"/>
        </w:rPr>
        <w:t>Elstree</w:t>
      </w:r>
      <w:r>
        <w:rPr>
          <w:color w:val="1F1F1F"/>
          <w:spacing w:val="-1"/>
          <w:sz w:val="21"/>
        </w:rPr>
        <w:t> </w:t>
      </w:r>
      <w:r>
        <w:rPr>
          <w:color w:val="1F1F1F"/>
          <w:sz w:val="21"/>
        </w:rPr>
        <w:t>Film</w:t>
      </w:r>
      <w:r>
        <w:rPr>
          <w:color w:val="1F1F1F"/>
          <w:spacing w:val="-6"/>
          <w:sz w:val="21"/>
        </w:rPr>
        <w:t> </w:t>
      </w:r>
      <w:r>
        <w:rPr>
          <w:color w:val="1F1F1F"/>
          <w:sz w:val="21"/>
        </w:rPr>
        <w:t>Studios</w:t>
      </w:r>
      <w:r>
        <w:rPr>
          <w:color w:val="4F4F4F"/>
          <w:sz w:val="21"/>
        </w:rPr>
        <w:t>, </w:t>
      </w:r>
      <w:r>
        <w:rPr>
          <w:color w:val="1F1F1F"/>
          <w:sz w:val="21"/>
        </w:rPr>
        <w:t>the Council</w:t>
      </w:r>
      <w:r>
        <w:rPr>
          <w:color w:val="4F4F4F"/>
          <w:sz w:val="21"/>
        </w:rPr>
        <w:t>'</w:t>
      </w:r>
      <w:r>
        <w:rPr>
          <w:color w:val="1F1F1F"/>
          <w:sz w:val="21"/>
        </w:rPr>
        <w:t>s 100% owned subsidiary</w:t>
      </w:r>
      <w:r>
        <w:rPr>
          <w:color w:val="4F4F4F"/>
          <w:sz w:val="21"/>
        </w:rPr>
        <w:t>: </w:t>
      </w:r>
      <w:r>
        <w:rPr>
          <w:color w:val="1F1F1F"/>
          <w:sz w:val="21"/>
        </w:rPr>
        <w:t>Cllrs M Bright</w:t>
      </w:r>
      <w:r>
        <w:rPr>
          <w:color w:val="4F4F4F"/>
          <w:sz w:val="21"/>
        </w:rPr>
        <w:t>, </w:t>
      </w:r>
      <w:r>
        <w:rPr>
          <w:color w:val="1F1F1F"/>
          <w:sz w:val="21"/>
        </w:rPr>
        <w:t>CS Clapper</w:t>
      </w:r>
      <w:r>
        <w:rPr>
          <w:color w:val="4F4F4F"/>
          <w:sz w:val="21"/>
        </w:rPr>
        <w:t>, </w:t>
      </w:r>
      <w:r>
        <w:rPr>
          <w:color w:val="1F1F1F"/>
          <w:sz w:val="21"/>
        </w:rPr>
        <w:t>PJ Hodgson-Jones</w:t>
      </w:r>
      <w:r>
        <w:rPr>
          <w:color w:val="4F4F4F"/>
          <w:sz w:val="21"/>
        </w:rPr>
        <w:t>,</w:t>
      </w:r>
      <w:r>
        <w:rPr>
          <w:color w:val="4F4F4F"/>
          <w:spacing w:val="-13"/>
          <w:sz w:val="21"/>
        </w:rPr>
        <w:t> </w:t>
      </w:r>
      <w:r>
        <w:rPr>
          <w:color w:val="1F1F1F"/>
          <w:sz w:val="21"/>
        </w:rPr>
        <w:t>PB Morris</w:t>
      </w:r>
      <w:r>
        <w:rPr>
          <w:color w:val="646464"/>
          <w:sz w:val="21"/>
        </w:rPr>
        <w:t>,</w:t>
      </w:r>
      <w:r>
        <w:rPr>
          <w:color w:val="646464"/>
          <w:spacing w:val="-7"/>
          <w:sz w:val="21"/>
        </w:rPr>
        <w:t> </w:t>
      </w:r>
      <w:r>
        <w:rPr>
          <w:color w:val="1F1F1F"/>
          <w:sz w:val="21"/>
        </w:rPr>
        <w:t>MP Reeve, PD Rutledge</w:t>
      </w:r>
      <w:r>
        <w:rPr>
          <w:color w:val="646464"/>
          <w:sz w:val="21"/>
        </w:rPr>
        <w:t>,</w:t>
      </w:r>
      <w:r>
        <w:rPr>
          <w:color w:val="646464"/>
          <w:spacing w:val="-13"/>
          <w:sz w:val="21"/>
        </w:rPr>
        <w:t> </w:t>
      </w:r>
      <w:r>
        <w:rPr>
          <w:color w:val="1F1F1F"/>
          <w:sz w:val="21"/>
        </w:rPr>
        <w:t>L</w:t>
      </w:r>
      <w:r>
        <w:rPr>
          <w:color w:val="1F1F1F"/>
          <w:spacing w:val="-5"/>
          <w:sz w:val="21"/>
        </w:rPr>
        <w:t> </w:t>
      </w:r>
      <w:r>
        <w:rPr>
          <w:color w:val="1F1F1F"/>
          <w:sz w:val="21"/>
        </w:rPr>
        <w:t>Selby</w:t>
      </w:r>
      <w:r>
        <w:rPr>
          <w:color w:val="646464"/>
          <w:sz w:val="21"/>
        </w:rPr>
        <w:t>.</w:t>
      </w:r>
      <w:r>
        <w:rPr>
          <w:color w:val="646464"/>
          <w:spacing w:val="-9"/>
          <w:sz w:val="21"/>
        </w:rPr>
        <w:t> </w:t>
      </w:r>
      <w:r>
        <w:rPr>
          <w:color w:val="1F1F1F"/>
          <w:sz w:val="21"/>
        </w:rPr>
        <w:t>Details of </w:t>
      </w:r>
      <w:r>
        <w:rPr>
          <w:color w:val="343434"/>
          <w:sz w:val="21"/>
        </w:rPr>
        <w:t>relationship </w:t>
      </w:r>
      <w:r>
        <w:rPr>
          <w:color w:val="1F1F1F"/>
          <w:sz w:val="21"/>
        </w:rPr>
        <w:t>described below.</w:t>
      </w:r>
    </w:p>
    <w:p>
      <w:pPr>
        <w:spacing w:after="0" w:line="240" w:lineRule="auto"/>
        <w:jc w:val="both"/>
        <w:rPr>
          <w:sz w:val="21"/>
        </w:rPr>
        <w:sectPr>
          <w:type w:val="continuous"/>
          <w:pgSz w:w="11910" w:h="16830"/>
          <w:pgMar w:top="1940" w:right="340" w:bottom="280" w:left="0" w:header="990" w:footer="861"/>
          <w:cols w:equalWidth="0" w:num="2">
            <w:col w:w="3900" w:space="40"/>
            <w:col w:w="7630"/>
          </w:cols>
        </w:sectPr>
      </w:pPr>
    </w:p>
    <w:p>
      <w:pPr>
        <w:spacing w:after="0" w:line="240" w:lineRule="auto"/>
        <w:jc w:val="both"/>
        <w:rPr>
          <w:sz w:val="21"/>
        </w:rPr>
        <w:sectPr>
          <w:type w:val="continuous"/>
          <w:pgSz w:w="11910" w:h="16830"/>
          <w:pgMar w:top="1940" w:right="340" w:bottom="280" w:left="0" w:header="990" w:footer="861"/>
        </w:sectPr>
      </w:pPr>
    </w:p>
    <w:p>
      <w:pPr>
        <w:pStyle w:val="BodyText"/>
        <w:spacing w:line="134" w:lineRule="exact"/>
        <w:ind w:left="1961"/>
        <w:rPr>
          <w:sz w:val="13"/>
        </w:rPr>
      </w:pPr>
      <w:r>
        <w:rPr>
          <w:position w:val="-2"/>
          <w:sz w:val="13"/>
        </w:rPr>
        <w:drawing>
          <wp:inline distT="0" distB="0" distL="0" distR="0">
            <wp:extent cx="1250269" cy="85344"/>
            <wp:effectExtent l="0" t="0" r="0" b="0"/>
            <wp:docPr id="625" name="Image 625"/>
            <wp:cNvGraphicFramePr>
              <a:graphicFrameLocks/>
            </wp:cNvGraphicFramePr>
            <a:graphic>
              <a:graphicData uri="http://schemas.openxmlformats.org/drawingml/2006/picture">
                <pic:pic>
                  <pic:nvPicPr>
                    <pic:cNvPr id="625" name="Image 625"/>
                    <pic:cNvPicPr/>
                  </pic:nvPicPr>
                  <pic:blipFill>
                    <a:blip r:embed="rId235" cstate="print"/>
                    <a:stretch>
                      <a:fillRect/>
                    </a:stretch>
                  </pic:blipFill>
                  <pic:spPr>
                    <a:xfrm>
                      <a:off x="0" y="0"/>
                      <a:ext cx="1250269" cy="85344"/>
                    </a:xfrm>
                    <a:prstGeom prst="rect">
                      <a:avLst/>
                    </a:prstGeom>
                  </pic:spPr>
                </pic:pic>
              </a:graphicData>
            </a:graphic>
          </wp:inline>
        </w:drawing>
      </w:r>
      <w:r>
        <w:rPr>
          <w:position w:val="-2"/>
          <w:sz w:val="13"/>
        </w:rPr>
      </w:r>
    </w:p>
    <w:p>
      <w:pPr>
        <w:pStyle w:val="BodyText"/>
        <w:spacing w:before="10"/>
        <w:rPr>
          <w:sz w:val="14"/>
        </w:rPr>
      </w:pPr>
    </w:p>
    <w:p>
      <w:pPr>
        <w:spacing w:after="0"/>
        <w:rPr>
          <w:sz w:val="14"/>
        </w:rPr>
        <w:sectPr>
          <w:headerReference w:type="even" r:id="rId234"/>
          <w:pgSz w:w="11910" w:h="16830"/>
          <w:pgMar w:top="880" w:right="340" w:bottom="1220" w:left="0" w:header="0" w:footer="0"/>
        </w:sectPr>
      </w:pPr>
    </w:p>
    <w:p>
      <w:pPr>
        <w:spacing w:before="103"/>
        <w:ind w:left="1346" w:right="0" w:firstLine="0"/>
        <w:jc w:val="left"/>
        <w:rPr>
          <w:b/>
          <w:sz w:val="20"/>
        </w:rPr>
      </w:pPr>
      <w:r>
        <w:rPr>
          <w:b/>
          <w:color w:val="6D6D6D"/>
          <w:w w:val="105"/>
          <w:sz w:val="20"/>
        </w:rPr>
        <w:t>Chief</w:t>
      </w:r>
      <w:r>
        <w:rPr>
          <w:b/>
          <w:color w:val="6D6D6D"/>
          <w:spacing w:val="-2"/>
          <w:w w:val="105"/>
          <w:sz w:val="20"/>
        </w:rPr>
        <w:t> Officers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6"/>
        <w:rPr>
          <w:b/>
          <w:sz w:val="20"/>
        </w:rPr>
      </w:pPr>
    </w:p>
    <w:p>
      <w:pPr>
        <w:spacing w:before="0"/>
        <w:ind w:left="1273" w:right="0" w:firstLine="0"/>
        <w:jc w:val="left"/>
        <w:rPr>
          <w:b/>
          <w:sz w:val="20"/>
        </w:rPr>
      </w:pPr>
      <w:r>
        <w:rPr>
          <w:b/>
          <w:color w:val="0E0E0E"/>
          <w:w w:val="105"/>
          <w:sz w:val="20"/>
        </w:rPr>
        <w:t>Pension</w:t>
      </w:r>
      <w:r>
        <w:rPr>
          <w:b/>
          <w:color w:val="0E0E0E"/>
          <w:spacing w:val="-7"/>
          <w:w w:val="105"/>
          <w:sz w:val="20"/>
        </w:rPr>
        <w:t> </w:t>
      </w:r>
      <w:r>
        <w:rPr>
          <w:b/>
          <w:color w:val="0E0E0E"/>
          <w:spacing w:val="-4"/>
          <w:w w:val="105"/>
          <w:sz w:val="20"/>
        </w:rPr>
        <w:t>Fund</w:t>
      </w:r>
    </w:p>
    <w:p>
      <w:pPr>
        <w:pStyle w:val="BodyText"/>
        <w:spacing w:before="83"/>
        <w:rPr>
          <w:b/>
          <w:sz w:val="20"/>
        </w:rPr>
      </w:pPr>
    </w:p>
    <w:p>
      <w:pPr>
        <w:spacing w:before="0" w:line="256" w:lineRule="auto"/>
        <w:ind w:left="1268" w:right="0" w:firstLine="0"/>
        <w:jc w:val="left"/>
        <w:rPr>
          <w:b/>
          <w:sz w:val="20"/>
        </w:rPr>
      </w:pPr>
      <w:r>
        <w:rPr>
          <w:b/>
          <w:color w:val="0E0E0E"/>
          <w:w w:val="105"/>
          <w:sz w:val="20"/>
        </w:rPr>
        <w:t>Elstree</w:t>
      </w:r>
      <w:r>
        <w:rPr>
          <w:b/>
          <w:color w:val="0E0E0E"/>
          <w:spacing w:val="-15"/>
          <w:w w:val="105"/>
          <w:sz w:val="20"/>
        </w:rPr>
        <w:t> </w:t>
      </w:r>
      <w:r>
        <w:rPr>
          <w:b/>
          <w:color w:val="0E0E0E"/>
          <w:w w:val="105"/>
          <w:sz w:val="20"/>
        </w:rPr>
        <w:t>Film</w:t>
      </w:r>
      <w:r>
        <w:rPr>
          <w:b/>
          <w:color w:val="0E0E0E"/>
          <w:spacing w:val="-15"/>
          <w:w w:val="105"/>
          <w:sz w:val="20"/>
        </w:rPr>
        <w:t> </w:t>
      </w:r>
      <w:r>
        <w:rPr>
          <w:b/>
          <w:color w:val="0E0E0E"/>
          <w:w w:val="105"/>
          <w:sz w:val="20"/>
        </w:rPr>
        <w:t>Studios </w:t>
      </w:r>
      <w:r>
        <w:rPr>
          <w:b/>
          <w:color w:val="0E0E0E"/>
          <w:spacing w:val="-2"/>
          <w:w w:val="105"/>
          <w:sz w:val="20"/>
        </w:rPr>
        <w:t>Limited</w:t>
      </w:r>
    </w:p>
    <w:p>
      <w:pPr>
        <w:spacing w:before="94"/>
        <w:ind w:left="321" w:right="519" w:firstLine="7"/>
        <w:jc w:val="both"/>
        <w:rPr>
          <w:sz w:val="21"/>
        </w:rPr>
      </w:pPr>
      <w:r>
        <w:rPr/>
        <w:br w:type="column"/>
      </w:r>
      <w:r>
        <w:rPr>
          <w:color w:val="212121"/>
          <w:sz w:val="21"/>
        </w:rPr>
        <w:t>Chief Officers are entitled to receive car loans from the Council. During the year no loans were made to chief officers (2021/22: £30k)</w:t>
      </w:r>
      <w:r>
        <w:rPr>
          <w:color w:val="565656"/>
          <w:sz w:val="21"/>
        </w:rPr>
        <w:t>, </w:t>
      </w:r>
      <w:r>
        <w:rPr>
          <w:color w:val="212121"/>
          <w:sz w:val="21"/>
        </w:rPr>
        <w:t>repayments of £12</w:t>
      </w:r>
      <w:r>
        <w:rPr>
          <w:color w:val="6D6D6D"/>
          <w:sz w:val="21"/>
        </w:rPr>
        <w:t>.</w:t>
      </w:r>
      <w:r>
        <w:rPr>
          <w:color w:val="212121"/>
          <w:sz w:val="21"/>
        </w:rPr>
        <w:t>0k (2021/22</w:t>
      </w:r>
      <w:r>
        <w:rPr>
          <w:color w:val="6D6D6D"/>
          <w:sz w:val="21"/>
        </w:rPr>
        <w:t>: </w:t>
      </w:r>
      <w:r>
        <w:rPr>
          <w:color w:val="212121"/>
          <w:sz w:val="21"/>
        </w:rPr>
        <w:t>£7</w:t>
      </w:r>
      <w:r>
        <w:rPr>
          <w:color w:val="565656"/>
          <w:sz w:val="21"/>
        </w:rPr>
        <w:t>.</w:t>
      </w:r>
      <w:r>
        <w:rPr>
          <w:color w:val="212121"/>
          <w:sz w:val="21"/>
        </w:rPr>
        <w:t>Sk) were received and £19</w:t>
      </w:r>
      <w:r>
        <w:rPr>
          <w:color w:val="565656"/>
          <w:sz w:val="21"/>
        </w:rPr>
        <w:t>.</w:t>
      </w:r>
      <w:r>
        <w:rPr>
          <w:color w:val="212121"/>
          <w:sz w:val="21"/>
        </w:rPr>
        <w:t>3k was receivable at 31 March 2023 (2022: £31</w:t>
      </w:r>
      <w:r>
        <w:rPr>
          <w:color w:val="6D6D6D"/>
          <w:sz w:val="21"/>
        </w:rPr>
        <w:t>.</w:t>
      </w:r>
      <w:r>
        <w:rPr>
          <w:color w:val="212121"/>
          <w:sz w:val="21"/>
        </w:rPr>
        <w:t>3k).</w:t>
      </w:r>
    </w:p>
    <w:p>
      <w:pPr>
        <w:spacing w:before="235" w:line="240" w:lineRule="auto"/>
        <w:ind w:left="306" w:right="533" w:firstLine="13"/>
        <w:jc w:val="both"/>
        <w:rPr>
          <w:sz w:val="21"/>
        </w:rPr>
      </w:pPr>
      <w:r>
        <w:rPr>
          <w:color w:val="212121"/>
          <w:sz w:val="21"/>
        </w:rPr>
        <w:t>The following Senior </w:t>
      </w:r>
      <w:r>
        <w:rPr>
          <w:color w:val="0E0E0E"/>
          <w:sz w:val="21"/>
        </w:rPr>
        <w:t>Officers </w:t>
      </w:r>
      <w:r>
        <w:rPr>
          <w:color w:val="212121"/>
          <w:sz w:val="21"/>
        </w:rPr>
        <w:t>of the Council hold positions of</w:t>
      </w:r>
      <w:r>
        <w:rPr>
          <w:color w:val="212121"/>
          <w:spacing w:val="-6"/>
          <w:sz w:val="21"/>
        </w:rPr>
        <w:t> </w:t>
      </w:r>
      <w:r>
        <w:rPr>
          <w:color w:val="212121"/>
          <w:sz w:val="21"/>
        </w:rPr>
        <w:t>Director in Hertsmere Developments Ltd (HDL)</w:t>
      </w:r>
      <w:r>
        <w:rPr>
          <w:color w:val="565656"/>
          <w:sz w:val="21"/>
        </w:rPr>
        <w:t>: </w:t>
      </w:r>
      <w:r>
        <w:rPr>
          <w:color w:val="212121"/>
          <w:sz w:val="21"/>
        </w:rPr>
        <w:t>P Geraghty</w:t>
      </w:r>
      <w:r>
        <w:rPr>
          <w:color w:val="565656"/>
          <w:sz w:val="21"/>
        </w:rPr>
        <w:t>, </w:t>
      </w:r>
      <w:r>
        <w:rPr>
          <w:color w:val="212121"/>
          <w:sz w:val="21"/>
        </w:rPr>
        <w:t>ML Bunyon, and HJ Shade. The</w:t>
      </w:r>
      <w:r>
        <w:rPr>
          <w:color w:val="212121"/>
          <w:spacing w:val="-4"/>
          <w:sz w:val="21"/>
        </w:rPr>
        <w:t> </w:t>
      </w:r>
      <w:r>
        <w:rPr>
          <w:color w:val="212121"/>
          <w:sz w:val="21"/>
        </w:rPr>
        <w:t>Council</w:t>
      </w:r>
      <w:r>
        <w:rPr>
          <w:color w:val="565656"/>
          <w:sz w:val="21"/>
        </w:rPr>
        <w:t>'</w:t>
      </w:r>
      <w:r>
        <w:rPr>
          <w:color w:val="212121"/>
          <w:sz w:val="21"/>
        </w:rPr>
        <w:t>s</w:t>
      </w:r>
      <w:r>
        <w:rPr>
          <w:color w:val="212121"/>
          <w:spacing w:val="-15"/>
          <w:sz w:val="21"/>
        </w:rPr>
        <w:t> </w:t>
      </w:r>
      <w:r>
        <w:rPr>
          <w:color w:val="212121"/>
          <w:sz w:val="21"/>
        </w:rPr>
        <w:t>dormant company</w:t>
      </w:r>
      <w:r>
        <w:rPr>
          <w:color w:val="565656"/>
          <w:sz w:val="21"/>
        </w:rPr>
        <w:t>,</w:t>
      </w:r>
      <w:r>
        <w:rPr>
          <w:color w:val="565656"/>
          <w:spacing w:val="-15"/>
          <w:sz w:val="21"/>
        </w:rPr>
        <w:t> </w:t>
      </w:r>
      <w:r>
        <w:rPr>
          <w:color w:val="212121"/>
          <w:sz w:val="21"/>
        </w:rPr>
        <w:t>Hertsmere Homes Ltd</w:t>
      </w:r>
      <w:r>
        <w:rPr>
          <w:color w:val="212121"/>
          <w:spacing w:val="-6"/>
          <w:sz w:val="21"/>
        </w:rPr>
        <w:t> </w:t>
      </w:r>
      <w:r>
        <w:rPr>
          <w:color w:val="212121"/>
          <w:sz w:val="21"/>
        </w:rPr>
        <w:t>(HHL) is represented by</w:t>
      </w:r>
      <w:r>
        <w:rPr>
          <w:color w:val="212121"/>
          <w:spacing w:val="-3"/>
          <w:sz w:val="21"/>
        </w:rPr>
        <w:t> </w:t>
      </w:r>
      <w:r>
        <w:rPr>
          <w:color w:val="212121"/>
          <w:sz w:val="21"/>
        </w:rPr>
        <w:t>ML</w:t>
      </w:r>
      <w:r>
        <w:rPr>
          <w:color w:val="212121"/>
          <w:spacing w:val="-8"/>
          <w:sz w:val="21"/>
        </w:rPr>
        <w:t> </w:t>
      </w:r>
      <w:r>
        <w:rPr>
          <w:color w:val="212121"/>
          <w:sz w:val="21"/>
        </w:rPr>
        <w:t>Bunyon.</w:t>
      </w:r>
      <w:r>
        <w:rPr>
          <w:color w:val="212121"/>
          <w:spacing w:val="-3"/>
          <w:sz w:val="21"/>
        </w:rPr>
        <w:t> </w:t>
      </w:r>
      <w:r>
        <w:rPr>
          <w:color w:val="212121"/>
          <w:sz w:val="21"/>
        </w:rPr>
        <w:t>RJH</w:t>
      </w:r>
      <w:r>
        <w:rPr>
          <w:color w:val="212121"/>
          <w:spacing w:val="-8"/>
          <w:sz w:val="21"/>
        </w:rPr>
        <w:t> </w:t>
      </w:r>
      <w:r>
        <w:rPr>
          <w:color w:val="212121"/>
          <w:sz w:val="21"/>
        </w:rPr>
        <w:t>Patterson was</w:t>
      </w:r>
      <w:r>
        <w:rPr>
          <w:color w:val="212121"/>
          <w:spacing w:val="-3"/>
          <w:sz w:val="21"/>
        </w:rPr>
        <w:t> </w:t>
      </w:r>
      <w:r>
        <w:rPr>
          <w:color w:val="212121"/>
          <w:sz w:val="21"/>
        </w:rPr>
        <w:t>appointed the</w:t>
      </w:r>
      <w:r>
        <w:rPr>
          <w:color w:val="212121"/>
          <w:spacing w:val="-9"/>
          <w:sz w:val="21"/>
        </w:rPr>
        <w:t> </w:t>
      </w:r>
      <w:r>
        <w:rPr>
          <w:color w:val="212121"/>
          <w:sz w:val="21"/>
        </w:rPr>
        <w:t>Company Secretary of </w:t>
      </w:r>
      <w:r>
        <w:rPr>
          <w:color w:val="0E0E0E"/>
          <w:sz w:val="21"/>
        </w:rPr>
        <w:t>HDL </w:t>
      </w:r>
      <w:r>
        <w:rPr>
          <w:color w:val="212121"/>
          <w:sz w:val="21"/>
        </w:rPr>
        <w:t>and HHL. Details </w:t>
      </w:r>
      <w:r>
        <w:rPr>
          <w:color w:val="0E0E0E"/>
          <w:sz w:val="21"/>
        </w:rPr>
        <w:t>of </w:t>
      </w:r>
      <w:r>
        <w:rPr>
          <w:color w:val="212121"/>
          <w:sz w:val="21"/>
        </w:rPr>
        <w:t>relationship described below</w:t>
      </w:r>
      <w:r>
        <w:rPr>
          <w:color w:val="565656"/>
          <w:sz w:val="21"/>
        </w:rPr>
        <w:t>.</w:t>
      </w:r>
    </w:p>
    <w:p>
      <w:pPr>
        <w:pStyle w:val="BodyText"/>
        <w:spacing w:before="2"/>
        <w:rPr>
          <w:sz w:val="21"/>
        </w:rPr>
      </w:pPr>
    </w:p>
    <w:p>
      <w:pPr>
        <w:spacing w:before="1" w:line="242" w:lineRule="auto"/>
        <w:ind w:left="282" w:right="548" w:firstLine="18"/>
        <w:jc w:val="both"/>
        <w:rPr>
          <w:sz w:val="21"/>
        </w:rPr>
      </w:pPr>
      <w:r>
        <w:rPr>
          <w:color w:val="212121"/>
          <w:sz w:val="21"/>
        </w:rPr>
        <w:t>Additionally,</w:t>
      </w:r>
      <w:r>
        <w:rPr>
          <w:color w:val="212121"/>
          <w:spacing w:val="-15"/>
          <w:sz w:val="21"/>
        </w:rPr>
        <w:t> </w:t>
      </w:r>
      <w:r>
        <w:rPr>
          <w:color w:val="212121"/>
          <w:sz w:val="21"/>
        </w:rPr>
        <w:t>Senior</w:t>
      </w:r>
      <w:r>
        <w:rPr>
          <w:color w:val="212121"/>
          <w:spacing w:val="-15"/>
          <w:sz w:val="21"/>
        </w:rPr>
        <w:t> </w:t>
      </w:r>
      <w:r>
        <w:rPr>
          <w:color w:val="212121"/>
          <w:sz w:val="21"/>
        </w:rPr>
        <w:t>Officer</w:t>
      </w:r>
      <w:r>
        <w:rPr>
          <w:color w:val="212121"/>
          <w:spacing w:val="-14"/>
          <w:sz w:val="21"/>
        </w:rPr>
        <w:t> </w:t>
      </w:r>
      <w:r>
        <w:rPr>
          <w:color w:val="212121"/>
          <w:sz w:val="21"/>
        </w:rPr>
        <w:t>ML</w:t>
      </w:r>
      <w:r>
        <w:rPr>
          <w:color w:val="212121"/>
          <w:spacing w:val="-15"/>
          <w:sz w:val="21"/>
        </w:rPr>
        <w:t> </w:t>
      </w:r>
      <w:r>
        <w:rPr>
          <w:color w:val="212121"/>
          <w:sz w:val="21"/>
        </w:rPr>
        <w:t>Bunyon</w:t>
      </w:r>
      <w:r>
        <w:rPr>
          <w:color w:val="212121"/>
          <w:spacing w:val="-14"/>
          <w:sz w:val="21"/>
        </w:rPr>
        <w:t> </w:t>
      </w:r>
      <w:r>
        <w:rPr>
          <w:color w:val="212121"/>
          <w:sz w:val="21"/>
        </w:rPr>
        <w:t>holds</w:t>
      </w:r>
      <w:r>
        <w:rPr>
          <w:color w:val="212121"/>
          <w:spacing w:val="-15"/>
          <w:sz w:val="21"/>
        </w:rPr>
        <w:t> </w:t>
      </w:r>
      <w:r>
        <w:rPr>
          <w:color w:val="212121"/>
          <w:sz w:val="21"/>
        </w:rPr>
        <w:t>position</w:t>
      </w:r>
      <w:r>
        <w:rPr>
          <w:color w:val="212121"/>
          <w:spacing w:val="-14"/>
          <w:sz w:val="21"/>
        </w:rPr>
        <w:t> </w:t>
      </w:r>
      <w:r>
        <w:rPr>
          <w:color w:val="212121"/>
          <w:sz w:val="21"/>
        </w:rPr>
        <w:t>of</w:t>
      </w:r>
      <w:r>
        <w:rPr>
          <w:color w:val="212121"/>
          <w:spacing w:val="-14"/>
          <w:sz w:val="21"/>
        </w:rPr>
        <w:t> </w:t>
      </w:r>
      <w:r>
        <w:rPr>
          <w:color w:val="212121"/>
          <w:sz w:val="21"/>
        </w:rPr>
        <w:t>Director</w:t>
      </w:r>
      <w:r>
        <w:rPr>
          <w:color w:val="212121"/>
          <w:spacing w:val="-13"/>
          <w:sz w:val="21"/>
        </w:rPr>
        <w:t> </w:t>
      </w:r>
      <w:r>
        <w:rPr>
          <w:color w:val="444444"/>
          <w:sz w:val="21"/>
        </w:rPr>
        <w:t>in</w:t>
      </w:r>
      <w:r>
        <w:rPr>
          <w:color w:val="444444"/>
          <w:spacing w:val="-15"/>
          <w:sz w:val="21"/>
        </w:rPr>
        <w:t> </w:t>
      </w:r>
      <w:r>
        <w:rPr>
          <w:color w:val="212121"/>
          <w:sz w:val="21"/>
        </w:rPr>
        <w:t>Broste Rivers Limited and its two subsidiaries Hertfordshire Building Control Limited</w:t>
      </w:r>
      <w:r>
        <w:rPr>
          <w:color w:val="212121"/>
          <w:spacing w:val="-15"/>
          <w:sz w:val="21"/>
        </w:rPr>
        <w:t> </w:t>
      </w:r>
      <w:r>
        <w:rPr>
          <w:color w:val="212121"/>
          <w:sz w:val="21"/>
        </w:rPr>
        <w:t>and</w:t>
      </w:r>
      <w:r>
        <w:rPr>
          <w:color w:val="212121"/>
          <w:spacing w:val="-15"/>
          <w:sz w:val="21"/>
        </w:rPr>
        <w:t> </w:t>
      </w:r>
      <w:r>
        <w:rPr>
          <w:color w:val="212121"/>
          <w:sz w:val="21"/>
        </w:rPr>
        <w:t>The</w:t>
      </w:r>
      <w:r>
        <w:rPr>
          <w:color w:val="212121"/>
          <w:spacing w:val="-12"/>
          <w:sz w:val="21"/>
        </w:rPr>
        <w:t> </w:t>
      </w:r>
      <w:r>
        <w:rPr>
          <w:color w:val="212121"/>
          <w:sz w:val="21"/>
        </w:rPr>
        <w:t>Building</w:t>
      </w:r>
      <w:r>
        <w:rPr>
          <w:color w:val="212121"/>
          <w:spacing w:val="-2"/>
          <w:sz w:val="21"/>
        </w:rPr>
        <w:t> </w:t>
      </w:r>
      <w:r>
        <w:rPr>
          <w:color w:val="212121"/>
          <w:sz w:val="21"/>
        </w:rPr>
        <w:t>Control</w:t>
      </w:r>
      <w:r>
        <w:rPr>
          <w:color w:val="212121"/>
          <w:spacing w:val="-9"/>
          <w:sz w:val="21"/>
        </w:rPr>
        <w:t> </w:t>
      </w:r>
      <w:r>
        <w:rPr>
          <w:color w:val="212121"/>
          <w:sz w:val="21"/>
        </w:rPr>
        <w:t>(Hertfordshire)</w:t>
      </w:r>
      <w:r>
        <w:rPr>
          <w:color w:val="212121"/>
          <w:spacing w:val="-11"/>
          <w:sz w:val="21"/>
        </w:rPr>
        <w:t> </w:t>
      </w:r>
      <w:r>
        <w:rPr>
          <w:color w:val="212121"/>
          <w:sz w:val="21"/>
        </w:rPr>
        <w:t>Limited</w:t>
      </w:r>
      <w:r>
        <w:rPr>
          <w:color w:val="565656"/>
          <w:sz w:val="21"/>
        </w:rPr>
        <w:t>.</w:t>
      </w:r>
      <w:r>
        <w:rPr>
          <w:color w:val="565656"/>
          <w:spacing w:val="-15"/>
          <w:sz w:val="21"/>
        </w:rPr>
        <w:t> </w:t>
      </w:r>
      <w:r>
        <w:rPr>
          <w:color w:val="212121"/>
          <w:sz w:val="21"/>
        </w:rPr>
        <w:t>The</w:t>
      </w:r>
      <w:r>
        <w:rPr>
          <w:color w:val="212121"/>
          <w:spacing w:val="-11"/>
          <w:sz w:val="21"/>
        </w:rPr>
        <w:t> </w:t>
      </w:r>
      <w:r>
        <w:rPr>
          <w:color w:val="212121"/>
          <w:sz w:val="21"/>
        </w:rPr>
        <w:t>Council</w:t>
      </w:r>
      <w:r>
        <w:rPr>
          <w:color w:val="212121"/>
          <w:spacing w:val="-14"/>
          <w:sz w:val="21"/>
        </w:rPr>
        <w:t> </w:t>
      </w:r>
      <w:r>
        <w:rPr>
          <w:color w:val="212121"/>
          <w:sz w:val="21"/>
        </w:rPr>
        <w:t>has shared ownership of one-seventh of Broste Rivers Limited. Details of </w:t>
      </w:r>
      <w:r>
        <w:rPr>
          <w:color w:val="0E0E0E"/>
          <w:sz w:val="21"/>
        </w:rPr>
        <w:t>relationship described below.</w:t>
      </w:r>
    </w:p>
    <w:p>
      <w:pPr>
        <w:spacing w:before="231"/>
        <w:ind w:left="275" w:right="557" w:firstLine="11"/>
        <w:jc w:val="both"/>
        <w:rPr>
          <w:sz w:val="21"/>
        </w:rPr>
      </w:pPr>
      <w:r>
        <w:rPr>
          <w:color w:val="212121"/>
          <w:sz w:val="21"/>
        </w:rPr>
        <w:t>The following Senior Officers </w:t>
      </w:r>
      <w:r>
        <w:rPr>
          <w:color w:val="0E0E0E"/>
          <w:sz w:val="21"/>
        </w:rPr>
        <w:t>of the </w:t>
      </w:r>
      <w:r>
        <w:rPr>
          <w:color w:val="212121"/>
          <w:sz w:val="21"/>
        </w:rPr>
        <w:t>Council </w:t>
      </w:r>
      <w:r>
        <w:rPr>
          <w:color w:val="0E0E0E"/>
          <w:sz w:val="21"/>
        </w:rPr>
        <w:t>hold </w:t>
      </w:r>
      <w:r>
        <w:rPr>
          <w:color w:val="212121"/>
          <w:sz w:val="21"/>
        </w:rPr>
        <w:t>positions </w:t>
      </w:r>
      <w:r>
        <w:rPr>
          <w:color w:val="0E0E0E"/>
          <w:sz w:val="21"/>
        </w:rPr>
        <w:t>of</w:t>
      </w:r>
      <w:r>
        <w:rPr>
          <w:color w:val="0E0E0E"/>
          <w:spacing w:val="-3"/>
          <w:sz w:val="21"/>
        </w:rPr>
        <w:t> </w:t>
      </w:r>
      <w:r>
        <w:rPr>
          <w:color w:val="0E0E0E"/>
          <w:sz w:val="21"/>
        </w:rPr>
        <w:t>Director in </w:t>
      </w:r>
      <w:r>
        <w:rPr>
          <w:color w:val="212121"/>
          <w:sz w:val="21"/>
        </w:rPr>
        <w:t>Hertsmere Living Ltd</w:t>
      </w:r>
      <w:r>
        <w:rPr>
          <w:color w:val="565656"/>
          <w:sz w:val="21"/>
        </w:rPr>
        <w:t>: </w:t>
      </w:r>
      <w:r>
        <w:rPr>
          <w:color w:val="212121"/>
          <w:sz w:val="21"/>
        </w:rPr>
        <w:t>Sajida Bijle </w:t>
      </w:r>
      <w:r>
        <w:rPr>
          <w:color w:val="0E0E0E"/>
          <w:sz w:val="21"/>
        </w:rPr>
        <w:t>and </w:t>
      </w:r>
      <w:r>
        <w:rPr>
          <w:color w:val="212121"/>
          <w:sz w:val="21"/>
        </w:rPr>
        <w:t>Emily Dillon the latter </w:t>
      </w:r>
      <w:r>
        <w:rPr>
          <w:color w:val="0E0E0E"/>
          <w:sz w:val="21"/>
        </w:rPr>
        <w:t>with effect </w:t>
      </w:r>
      <w:r>
        <w:rPr>
          <w:color w:val="212121"/>
          <w:sz w:val="21"/>
        </w:rPr>
        <w:t>from 2</w:t>
      </w:r>
      <w:r>
        <w:rPr>
          <w:color w:val="565656"/>
          <w:position w:val="7"/>
          <w:sz w:val="14"/>
        </w:rPr>
        <w:t>nd </w:t>
      </w:r>
      <w:r>
        <w:rPr>
          <w:color w:val="212121"/>
          <w:sz w:val="21"/>
        </w:rPr>
        <w:t>May 2023</w:t>
      </w:r>
      <w:r>
        <w:rPr>
          <w:color w:val="565656"/>
          <w:sz w:val="21"/>
        </w:rPr>
        <w:t>.</w:t>
      </w:r>
      <w:r>
        <w:rPr>
          <w:color w:val="565656"/>
          <w:spacing w:val="-3"/>
          <w:sz w:val="21"/>
        </w:rPr>
        <w:t> </w:t>
      </w:r>
      <w:r>
        <w:rPr>
          <w:color w:val="212121"/>
          <w:sz w:val="21"/>
        </w:rPr>
        <w:t>Details </w:t>
      </w:r>
      <w:r>
        <w:rPr>
          <w:color w:val="0E0E0E"/>
          <w:sz w:val="21"/>
        </w:rPr>
        <w:t>of </w:t>
      </w:r>
      <w:r>
        <w:rPr>
          <w:color w:val="212121"/>
          <w:sz w:val="21"/>
        </w:rPr>
        <w:t>relationship described below</w:t>
      </w:r>
      <w:r>
        <w:rPr>
          <w:color w:val="6D6D6D"/>
          <w:sz w:val="21"/>
        </w:rPr>
        <w:t>.</w:t>
      </w:r>
    </w:p>
    <w:p>
      <w:pPr>
        <w:pStyle w:val="BodyText"/>
        <w:spacing w:before="1"/>
        <w:rPr>
          <w:sz w:val="21"/>
        </w:rPr>
      </w:pPr>
    </w:p>
    <w:p>
      <w:pPr>
        <w:spacing w:before="0" w:line="242" w:lineRule="auto"/>
        <w:ind w:left="268" w:right="568" w:hanging="4"/>
        <w:jc w:val="both"/>
        <w:rPr>
          <w:sz w:val="21"/>
        </w:rPr>
      </w:pPr>
      <w:r>
        <w:rPr>
          <w:color w:val="0E0E0E"/>
          <w:sz w:val="21"/>
        </w:rPr>
        <w:t>HJ Shade represents the Council on the CCTV partnership. Details of relationship described below.</w:t>
      </w:r>
    </w:p>
    <w:p>
      <w:pPr>
        <w:pStyle w:val="BodyText"/>
        <w:spacing w:before="6"/>
        <w:rPr>
          <w:sz w:val="21"/>
        </w:rPr>
      </w:pPr>
    </w:p>
    <w:p>
      <w:pPr>
        <w:spacing w:before="0" w:line="242" w:lineRule="auto"/>
        <w:ind w:left="262" w:right="582" w:firstLine="0"/>
        <w:jc w:val="both"/>
        <w:rPr>
          <w:sz w:val="21"/>
        </w:rPr>
      </w:pPr>
      <w:r>
        <w:rPr>
          <w:color w:val="0E0E0E"/>
          <w:sz w:val="21"/>
        </w:rPr>
        <w:t>Transactions</w:t>
      </w:r>
      <w:r>
        <w:rPr>
          <w:color w:val="0E0E0E"/>
          <w:spacing w:val="-15"/>
          <w:sz w:val="21"/>
        </w:rPr>
        <w:t> </w:t>
      </w:r>
      <w:r>
        <w:rPr>
          <w:color w:val="0E0E0E"/>
          <w:sz w:val="21"/>
        </w:rPr>
        <w:t>and</w:t>
      </w:r>
      <w:r>
        <w:rPr>
          <w:color w:val="0E0E0E"/>
          <w:spacing w:val="-15"/>
          <w:sz w:val="21"/>
        </w:rPr>
        <w:t> </w:t>
      </w:r>
      <w:r>
        <w:rPr>
          <w:color w:val="0E0E0E"/>
          <w:sz w:val="21"/>
        </w:rPr>
        <w:t>balances</w:t>
      </w:r>
      <w:r>
        <w:rPr>
          <w:color w:val="0E0E0E"/>
          <w:spacing w:val="-14"/>
          <w:sz w:val="21"/>
        </w:rPr>
        <w:t> </w:t>
      </w:r>
      <w:r>
        <w:rPr>
          <w:color w:val="0E0E0E"/>
          <w:sz w:val="21"/>
        </w:rPr>
        <w:t>with</w:t>
      </w:r>
      <w:r>
        <w:rPr>
          <w:color w:val="0E0E0E"/>
          <w:spacing w:val="-15"/>
          <w:sz w:val="21"/>
        </w:rPr>
        <w:t> </w:t>
      </w:r>
      <w:r>
        <w:rPr>
          <w:color w:val="0E0E0E"/>
          <w:sz w:val="21"/>
        </w:rPr>
        <w:t>Hertfordshire</w:t>
      </w:r>
      <w:r>
        <w:rPr>
          <w:color w:val="0E0E0E"/>
          <w:spacing w:val="-14"/>
          <w:sz w:val="21"/>
        </w:rPr>
        <w:t> </w:t>
      </w:r>
      <w:r>
        <w:rPr>
          <w:color w:val="0E0E0E"/>
          <w:sz w:val="21"/>
        </w:rPr>
        <w:t>Local</w:t>
      </w:r>
      <w:r>
        <w:rPr>
          <w:color w:val="0E0E0E"/>
          <w:spacing w:val="-15"/>
          <w:sz w:val="21"/>
        </w:rPr>
        <w:t> </w:t>
      </w:r>
      <w:r>
        <w:rPr>
          <w:color w:val="0E0E0E"/>
          <w:sz w:val="21"/>
        </w:rPr>
        <w:t>Government</w:t>
      </w:r>
      <w:r>
        <w:rPr>
          <w:color w:val="0E0E0E"/>
          <w:spacing w:val="-5"/>
          <w:sz w:val="21"/>
        </w:rPr>
        <w:t> </w:t>
      </w:r>
      <w:r>
        <w:rPr>
          <w:color w:val="0E0E0E"/>
          <w:sz w:val="21"/>
        </w:rPr>
        <w:t>Pension Scheme have been disclosed in note 5.29.</w:t>
      </w:r>
    </w:p>
    <w:p>
      <w:pPr>
        <w:spacing w:before="50" w:line="240" w:lineRule="auto"/>
        <w:ind w:left="254" w:right="576" w:firstLine="6"/>
        <w:jc w:val="both"/>
        <w:rPr>
          <w:sz w:val="21"/>
        </w:rPr>
      </w:pPr>
      <w:r>
        <w:rPr>
          <w:color w:val="212121"/>
          <w:sz w:val="21"/>
        </w:rPr>
        <w:t>Elstree Film Studios Limited (EFS) is a wholly owned subsidiary of the Council</w:t>
      </w:r>
      <w:r>
        <w:rPr>
          <w:color w:val="212121"/>
          <w:spacing w:val="40"/>
          <w:sz w:val="21"/>
        </w:rPr>
        <w:t> </w:t>
      </w:r>
      <w:r>
        <w:rPr>
          <w:color w:val="212121"/>
          <w:sz w:val="21"/>
        </w:rPr>
        <w:t>incorporated on 25 November 2003</w:t>
      </w:r>
      <w:r>
        <w:rPr>
          <w:color w:val="565656"/>
          <w:sz w:val="21"/>
        </w:rPr>
        <w:t>.</w:t>
      </w:r>
      <w:r>
        <w:rPr>
          <w:color w:val="565656"/>
          <w:spacing w:val="-7"/>
          <w:sz w:val="21"/>
        </w:rPr>
        <w:t> </w:t>
      </w:r>
      <w:r>
        <w:rPr>
          <w:color w:val="212121"/>
          <w:sz w:val="21"/>
        </w:rPr>
        <w:t>The accounts for EFS are consolidated</w:t>
      </w:r>
      <w:r>
        <w:rPr>
          <w:color w:val="212121"/>
          <w:spacing w:val="30"/>
          <w:sz w:val="21"/>
        </w:rPr>
        <w:t> </w:t>
      </w:r>
      <w:r>
        <w:rPr>
          <w:color w:val="212121"/>
          <w:sz w:val="21"/>
        </w:rPr>
        <w:t>with</w:t>
      </w:r>
      <w:r>
        <w:rPr>
          <w:color w:val="212121"/>
          <w:spacing w:val="-6"/>
          <w:sz w:val="21"/>
        </w:rPr>
        <w:t> </w:t>
      </w:r>
      <w:r>
        <w:rPr>
          <w:color w:val="212121"/>
          <w:sz w:val="21"/>
        </w:rPr>
        <w:t>the</w:t>
      </w:r>
      <w:r>
        <w:rPr>
          <w:color w:val="212121"/>
          <w:spacing w:val="-7"/>
          <w:sz w:val="21"/>
        </w:rPr>
        <w:t> </w:t>
      </w:r>
      <w:r>
        <w:rPr>
          <w:color w:val="212121"/>
          <w:sz w:val="21"/>
        </w:rPr>
        <w:t>Council's accounts </w:t>
      </w:r>
      <w:r>
        <w:rPr>
          <w:color w:val="444444"/>
          <w:sz w:val="21"/>
        </w:rPr>
        <w:t>in</w:t>
      </w:r>
      <w:r>
        <w:rPr>
          <w:color w:val="444444"/>
          <w:spacing w:val="-12"/>
          <w:sz w:val="21"/>
        </w:rPr>
        <w:t> </w:t>
      </w:r>
      <w:r>
        <w:rPr>
          <w:color w:val="212121"/>
          <w:sz w:val="21"/>
        </w:rPr>
        <w:t>the</w:t>
      </w:r>
      <w:r>
        <w:rPr>
          <w:color w:val="212121"/>
          <w:spacing w:val="-4"/>
          <w:sz w:val="21"/>
        </w:rPr>
        <w:t> </w:t>
      </w:r>
      <w:r>
        <w:rPr>
          <w:color w:val="212121"/>
          <w:sz w:val="21"/>
        </w:rPr>
        <w:t>Group Accounts section.</w:t>
      </w:r>
    </w:p>
    <w:p>
      <w:pPr>
        <w:pStyle w:val="BodyText"/>
        <w:rPr>
          <w:sz w:val="21"/>
        </w:rPr>
      </w:pPr>
    </w:p>
    <w:p>
      <w:pPr>
        <w:spacing w:before="0" w:line="240" w:lineRule="auto"/>
        <w:ind w:left="239" w:right="583" w:firstLine="13"/>
        <w:jc w:val="both"/>
        <w:rPr>
          <w:sz w:val="21"/>
        </w:rPr>
      </w:pPr>
      <w:r>
        <w:rPr>
          <w:color w:val="212121"/>
          <w:sz w:val="21"/>
        </w:rPr>
        <w:t>Since August 2018 the company has operated the premises owned by the Council and </w:t>
      </w:r>
      <w:r>
        <w:rPr>
          <w:color w:val="444444"/>
          <w:sz w:val="21"/>
        </w:rPr>
        <w:t>included </w:t>
      </w:r>
      <w:r>
        <w:rPr>
          <w:color w:val="212121"/>
          <w:sz w:val="21"/>
        </w:rPr>
        <w:t>in the Council</w:t>
      </w:r>
      <w:r>
        <w:rPr>
          <w:color w:val="565656"/>
          <w:sz w:val="21"/>
        </w:rPr>
        <w:t>'</w:t>
      </w:r>
      <w:r>
        <w:rPr>
          <w:color w:val="0E0E0E"/>
          <w:sz w:val="21"/>
        </w:rPr>
        <w:t>s </w:t>
      </w:r>
      <w:r>
        <w:rPr>
          <w:color w:val="212121"/>
          <w:sz w:val="21"/>
        </w:rPr>
        <w:t>balance sheet at a net book </w:t>
      </w:r>
      <w:r>
        <w:rPr>
          <w:color w:val="0E0E0E"/>
          <w:sz w:val="21"/>
        </w:rPr>
        <w:t>value </w:t>
      </w:r>
      <w:r>
        <w:rPr>
          <w:color w:val="212121"/>
          <w:sz w:val="21"/>
        </w:rPr>
        <w:t>of £50</w:t>
      </w:r>
      <w:r>
        <w:rPr>
          <w:color w:val="565656"/>
          <w:sz w:val="21"/>
        </w:rPr>
        <w:t>.</w:t>
      </w:r>
      <w:r>
        <w:rPr>
          <w:color w:val="212121"/>
          <w:sz w:val="21"/>
        </w:rPr>
        <w:t>2 million (2022</w:t>
      </w:r>
      <w:r>
        <w:rPr>
          <w:color w:val="6D6D6D"/>
          <w:sz w:val="21"/>
        </w:rPr>
        <w:t>: </w:t>
      </w:r>
      <w:r>
        <w:rPr>
          <w:color w:val="212121"/>
          <w:sz w:val="21"/>
        </w:rPr>
        <w:t>£18.9 million) under a 30 year lease</w:t>
      </w:r>
      <w:r>
        <w:rPr>
          <w:color w:val="565656"/>
          <w:sz w:val="21"/>
        </w:rPr>
        <w:t>. </w:t>
      </w:r>
      <w:r>
        <w:rPr>
          <w:color w:val="212121"/>
          <w:sz w:val="21"/>
        </w:rPr>
        <w:t>The company pays the</w:t>
      </w:r>
      <w:r>
        <w:rPr>
          <w:color w:val="212121"/>
          <w:spacing w:val="-6"/>
          <w:sz w:val="21"/>
        </w:rPr>
        <w:t> </w:t>
      </w:r>
      <w:r>
        <w:rPr>
          <w:color w:val="212121"/>
          <w:sz w:val="21"/>
        </w:rPr>
        <w:t>Council an annual rental based on</w:t>
      </w:r>
      <w:r>
        <w:rPr>
          <w:color w:val="212121"/>
          <w:spacing w:val="-3"/>
          <w:sz w:val="21"/>
        </w:rPr>
        <w:t> </w:t>
      </w:r>
      <w:r>
        <w:rPr>
          <w:color w:val="212121"/>
          <w:sz w:val="21"/>
        </w:rPr>
        <w:t>its</w:t>
      </w:r>
      <w:r>
        <w:rPr>
          <w:color w:val="212121"/>
          <w:spacing w:val="-6"/>
          <w:sz w:val="21"/>
        </w:rPr>
        <w:t> </w:t>
      </w:r>
      <w:r>
        <w:rPr>
          <w:color w:val="212121"/>
          <w:sz w:val="21"/>
        </w:rPr>
        <w:t>turnover, with a minimum</w:t>
      </w:r>
      <w:r>
        <w:rPr>
          <w:color w:val="212121"/>
          <w:spacing w:val="-9"/>
          <w:sz w:val="21"/>
        </w:rPr>
        <w:t> </w:t>
      </w:r>
      <w:r>
        <w:rPr>
          <w:color w:val="212121"/>
          <w:sz w:val="21"/>
        </w:rPr>
        <w:t>rent</w:t>
      </w:r>
      <w:r>
        <w:rPr>
          <w:color w:val="212121"/>
          <w:spacing w:val="-5"/>
          <w:sz w:val="21"/>
        </w:rPr>
        <w:t> </w:t>
      </w:r>
      <w:r>
        <w:rPr>
          <w:color w:val="0E0E0E"/>
          <w:sz w:val="21"/>
        </w:rPr>
        <w:t>of</w:t>
      </w:r>
      <w:r>
        <w:rPr>
          <w:color w:val="0E0E0E"/>
          <w:spacing w:val="-4"/>
          <w:sz w:val="21"/>
        </w:rPr>
        <w:t> </w:t>
      </w:r>
      <w:r>
        <w:rPr>
          <w:color w:val="212121"/>
          <w:sz w:val="21"/>
        </w:rPr>
        <w:t>£1,200k (clause</w:t>
      </w:r>
      <w:r>
        <w:rPr>
          <w:color w:val="212121"/>
          <w:spacing w:val="-5"/>
          <w:sz w:val="21"/>
        </w:rPr>
        <w:t> </w:t>
      </w:r>
      <w:r>
        <w:rPr>
          <w:color w:val="212121"/>
          <w:sz w:val="21"/>
        </w:rPr>
        <w:t>6</w:t>
      </w:r>
      <w:r>
        <w:rPr>
          <w:color w:val="6D6D6D"/>
          <w:sz w:val="21"/>
        </w:rPr>
        <w:t>.</w:t>
      </w:r>
      <w:r>
        <w:rPr>
          <w:color w:val="212121"/>
          <w:sz w:val="21"/>
        </w:rPr>
        <w:t>4.1)</w:t>
      </w:r>
      <w:r>
        <w:rPr>
          <w:color w:val="6D6D6D"/>
          <w:sz w:val="21"/>
        </w:rPr>
        <w:t>.</w:t>
      </w:r>
      <w:r>
        <w:rPr>
          <w:color w:val="6D6D6D"/>
          <w:spacing w:val="-15"/>
          <w:sz w:val="21"/>
        </w:rPr>
        <w:t> </w:t>
      </w:r>
      <w:r>
        <w:rPr>
          <w:color w:val="212121"/>
          <w:sz w:val="21"/>
        </w:rPr>
        <w:t>For</w:t>
      </w:r>
      <w:r>
        <w:rPr>
          <w:color w:val="212121"/>
          <w:spacing w:val="-3"/>
          <w:sz w:val="21"/>
        </w:rPr>
        <w:t> </w:t>
      </w:r>
      <w:r>
        <w:rPr>
          <w:color w:val="212121"/>
          <w:sz w:val="21"/>
        </w:rPr>
        <w:t>2022-23</w:t>
      </w:r>
      <w:r>
        <w:rPr>
          <w:color w:val="212121"/>
          <w:spacing w:val="-4"/>
          <w:sz w:val="21"/>
        </w:rPr>
        <w:t> </w:t>
      </w:r>
      <w:r>
        <w:rPr>
          <w:color w:val="212121"/>
          <w:sz w:val="21"/>
        </w:rPr>
        <w:t>the</w:t>
      </w:r>
      <w:r>
        <w:rPr>
          <w:color w:val="212121"/>
          <w:spacing w:val="-9"/>
          <w:sz w:val="21"/>
        </w:rPr>
        <w:t> </w:t>
      </w:r>
      <w:r>
        <w:rPr>
          <w:color w:val="212121"/>
          <w:sz w:val="21"/>
        </w:rPr>
        <w:t>annual</w:t>
      </w:r>
      <w:r>
        <w:rPr>
          <w:color w:val="212121"/>
          <w:spacing w:val="-4"/>
          <w:sz w:val="21"/>
        </w:rPr>
        <w:t> </w:t>
      </w:r>
      <w:r>
        <w:rPr>
          <w:color w:val="212121"/>
          <w:sz w:val="21"/>
        </w:rPr>
        <w:t>rent</w:t>
      </w:r>
      <w:r>
        <w:rPr>
          <w:color w:val="212121"/>
          <w:spacing w:val="-13"/>
          <w:sz w:val="21"/>
        </w:rPr>
        <w:t> </w:t>
      </w:r>
      <w:r>
        <w:rPr>
          <w:color w:val="212121"/>
          <w:sz w:val="21"/>
        </w:rPr>
        <w:t>was agreed</w:t>
      </w:r>
      <w:r>
        <w:rPr>
          <w:color w:val="212121"/>
          <w:spacing w:val="30"/>
          <w:sz w:val="21"/>
        </w:rPr>
        <w:t> </w:t>
      </w:r>
      <w:r>
        <w:rPr>
          <w:color w:val="212121"/>
          <w:sz w:val="21"/>
        </w:rPr>
        <w:t>at</w:t>
      </w:r>
      <w:r>
        <w:rPr>
          <w:color w:val="212121"/>
          <w:spacing w:val="27"/>
          <w:sz w:val="21"/>
        </w:rPr>
        <w:t> </w:t>
      </w:r>
      <w:r>
        <w:rPr>
          <w:color w:val="212121"/>
          <w:sz w:val="21"/>
        </w:rPr>
        <w:t>£1,700k</w:t>
      </w:r>
      <w:r>
        <w:rPr>
          <w:color w:val="212121"/>
          <w:spacing w:val="36"/>
          <w:sz w:val="21"/>
        </w:rPr>
        <w:t> </w:t>
      </w:r>
      <w:r>
        <w:rPr>
          <w:color w:val="212121"/>
          <w:sz w:val="21"/>
        </w:rPr>
        <w:t>net</w:t>
      </w:r>
      <w:r>
        <w:rPr>
          <w:color w:val="212121"/>
          <w:spacing w:val="29"/>
          <w:sz w:val="21"/>
        </w:rPr>
        <w:t> </w:t>
      </w:r>
      <w:r>
        <w:rPr>
          <w:color w:val="212121"/>
          <w:sz w:val="21"/>
        </w:rPr>
        <w:t>of</w:t>
      </w:r>
      <w:r>
        <w:rPr>
          <w:color w:val="212121"/>
          <w:spacing w:val="27"/>
          <w:sz w:val="21"/>
        </w:rPr>
        <w:t> </w:t>
      </w:r>
      <w:r>
        <w:rPr>
          <w:color w:val="212121"/>
          <w:sz w:val="21"/>
        </w:rPr>
        <w:t>VAT</w:t>
      </w:r>
      <w:r>
        <w:rPr>
          <w:color w:val="212121"/>
          <w:spacing w:val="27"/>
          <w:sz w:val="21"/>
        </w:rPr>
        <w:t> </w:t>
      </w:r>
      <w:r>
        <w:rPr>
          <w:color w:val="212121"/>
          <w:sz w:val="21"/>
        </w:rPr>
        <w:t>in</w:t>
      </w:r>
      <w:r>
        <w:rPr>
          <w:color w:val="212121"/>
          <w:spacing w:val="20"/>
          <w:sz w:val="21"/>
        </w:rPr>
        <w:t> </w:t>
      </w:r>
      <w:r>
        <w:rPr>
          <w:color w:val="212121"/>
          <w:sz w:val="21"/>
        </w:rPr>
        <w:t>accordance</w:t>
      </w:r>
      <w:r>
        <w:rPr>
          <w:color w:val="212121"/>
          <w:spacing w:val="33"/>
          <w:sz w:val="21"/>
        </w:rPr>
        <w:t> </w:t>
      </w:r>
      <w:r>
        <w:rPr>
          <w:color w:val="212121"/>
          <w:sz w:val="21"/>
        </w:rPr>
        <w:t>with</w:t>
      </w:r>
      <w:r>
        <w:rPr>
          <w:color w:val="212121"/>
          <w:spacing w:val="26"/>
          <w:sz w:val="21"/>
        </w:rPr>
        <w:t> </w:t>
      </w:r>
      <w:r>
        <w:rPr>
          <w:color w:val="212121"/>
          <w:sz w:val="21"/>
        </w:rPr>
        <w:t>clause </w:t>
      </w:r>
      <w:r>
        <w:rPr>
          <w:color w:val="0E0E0E"/>
          <w:sz w:val="21"/>
        </w:rPr>
        <w:t>6.4</w:t>
      </w:r>
      <w:r>
        <w:rPr>
          <w:color w:val="0E0E0E"/>
          <w:spacing w:val="20"/>
          <w:sz w:val="21"/>
        </w:rPr>
        <w:t> </w:t>
      </w:r>
      <w:r>
        <w:rPr>
          <w:color w:val="212121"/>
          <w:sz w:val="21"/>
        </w:rPr>
        <w:t>(2021/22</w:t>
      </w:r>
    </w:p>
    <w:p>
      <w:pPr>
        <w:spacing w:before="7" w:line="241" w:lineRule="exact"/>
        <w:ind w:left="236" w:right="0" w:firstLine="0"/>
        <w:jc w:val="left"/>
        <w:rPr>
          <w:sz w:val="21"/>
        </w:rPr>
      </w:pPr>
      <w:r>
        <w:rPr>
          <w:color w:val="212121"/>
          <w:spacing w:val="-2"/>
          <w:sz w:val="21"/>
        </w:rPr>
        <w:t>£1</w:t>
      </w:r>
      <w:r>
        <w:rPr>
          <w:color w:val="565656"/>
          <w:spacing w:val="-2"/>
          <w:sz w:val="21"/>
        </w:rPr>
        <w:t>,</w:t>
      </w:r>
      <w:r>
        <w:rPr>
          <w:color w:val="212121"/>
          <w:spacing w:val="-2"/>
          <w:sz w:val="21"/>
        </w:rPr>
        <w:t>650k)</w:t>
      </w:r>
      <w:r>
        <w:rPr>
          <w:color w:val="444444"/>
          <w:spacing w:val="-2"/>
          <w:sz w:val="21"/>
        </w:rPr>
        <w:t>.</w:t>
      </w:r>
    </w:p>
    <w:p>
      <w:pPr>
        <w:spacing w:before="0" w:line="240" w:lineRule="auto"/>
        <w:ind w:left="212" w:right="594" w:firstLine="21"/>
        <w:jc w:val="both"/>
        <w:rPr>
          <w:sz w:val="21"/>
        </w:rPr>
      </w:pPr>
      <w:r>
        <w:rPr>
          <w:color w:val="212121"/>
          <w:sz w:val="21"/>
        </w:rPr>
        <w:t>In August 2022</w:t>
      </w:r>
      <w:r>
        <w:rPr>
          <w:color w:val="565656"/>
          <w:sz w:val="21"/>
        </w:rPr>
        <w:t>,</w:t>
      </w:r>
      <w:r>
        <w:rPr>
          <w:color w:val="565656"/>
          <w:spacing w:val="-7"/>
          <w:sz w:val="21"/>
        </w:rPr>
        <w:t> </w:t>
      </w:r>
      <w:r>
        <w:rPr>
          <w:color w:val="212121"/>
          <w:sz w:val="21"/>
        </w:rPr>
        <w:t>during planned maintenance</w:t>
      </w:r>
      <w:r>
        <w:rPr>
          <w:color w:val="565656"/>
          <w:sz w:val="21"/>
        </w:rPr>
        <w:t>,</w:t>
      </w:r>
      <w:r>
        <w:rPr>
          <w:color w:val="565656"/>
          <w:spacing w:val="-3"/>
          <w:sz w:val="21"/>
        </w:rPr>
        <w:t> </w:t>
      </w:r>
      <w:r>
        <w:rPr>
          <w:color w:val="212121"/>
          <w:sz w:val="21"/>
        </w:rPr>
        <w:t>asbestos was discovered in three stages and some ancillary buildings, which were immediately closed to allow clean up and remediation works to be undertaken</w:t>
      </w:r>
      <w:r>
        <w:rPr>
          <w:color w:val="565656"/>
          <w:sz w:val="21"/>
        </w:rPr>
        <w:t>.</w:t>
      </w:r>
      <w:r>
        <w:rPr>
          <w:color w:val="565656"/>
          <w:spacing w:val="-11"/>
          <w:sz w:val="21"/>
        </w:rPr>
        <w:t> </w:t>
      </w:r>
      <w:r>
        <w:rPr>
          <w:color w:val="212121"/>
          <w:sz w:val="21"/>
        </w:rPr>
        <w:t>As at the</w:t>
      </w:r>
      <w:r>
        <w:rPr>
          <w:color w:val="212121"/>
          <w:spacing w:val="-15"/>
          <w:sz w:val="21"/>
        </w:rPr>
        <w:t> </w:t>
      </w:r>
      <w:r>
        <w:rPr>
          <w:color w:val="212121"/>
          <w:sz w:val="21"/>
        </w:rPr>
        <w:t>31</w:t>
      </w:r>
      <w:r>
        <w:rPr>
          <w:color w:val="212121"/>
          <w:spacing w:val="-15"/>
          <w:sz w:val="21"/>
        </w:rPr>
        <w:t> </w:t>
      </w:r>
      <w:r>
        <w:rPr>
          <w:color w:val="212121"/>
          <w:sz w:val="21"/>
        </w:rPr>
        <w:t>March</w:t>
      </w:r>
      <w:r>
        <w:rPr>
          <w:color w:val="212121"/>
          <w:spacing w:val="-8"/>
          <w:sz w:val="21"/>
        </w:rPr>
        <w:t> </w:t>
      </w:r>
      <w:r>
        <w:rPr>
          <w:color w:val="0E0E0E"/>
          <w:sz w:val="21"/>
        </w:rPr>
        <w:t>2023</w:t>
      </w:r>
      <w:r>
        <w:rPr>
          <w:color w:val="0E0E0E"/>
          <w:spacing w:val="-10"/>
          <w:sz w:val="21"/>
        </w:rPr>
        <w:t> </w:t>
      </w:r>
      <w:r>
        <w:rPr>
          <w:color w:val="212121"/>
          <w:sz w:val="21"/>
        </w:rPr>
        <w:t>these</w:t>
      </w:r>
      <w:r>
        <w:rPr>
          <w:color w:val="212121"/>
          <w:spacing w:val="-5"/>
          <w:sz w:val="21"/>
        </w:rPr>
        <w:t> </w:t>
      </w:r>
      <w:r>
        <w:rPr>
          <w:color w:val="212121"/>
          <w:sz w:val="21"/>
        </w:rPr>
        <w:t>stages</w:t>
      </w:r>
      <w:r>
        <w:rPr>
          <w:color w:val="212121"/>
          <w:spacing w:val="-10"/>
          <w:sz w:val="21"/>
        </w:rPr>
        <w:t> </w:t>
      </w:r>
      <w:r>
        <w:rPr>
          <w:color w:val="212121"/>
          <w:sz w:val="21"/>
        </w:rPr>
        <w:t>and</w:t>
      </w:r>
      <w:r>
        <w:rPr>
          <w:color w:val="212121"/>
          <w:spacing w:val="-15"/>
          <w:sz w:val="21"/>
        </w:rPr>
        <w:t> </w:t>
      </w:r>
      <w:r>
        <w:rPr>
          <w:color w:val="212121"/>
          <w:sz w:val="21"/>
        </w:rPr>
        <w:t>ancillary</w:t>
      </w:r>
      <w:r>
        <w:rPr>
          <w:color w:val="212121"/>
          <w:spacing w:val="-7"/>
          <w:sz w:val="21"/>
        </w:rPr>
        <w:t> </w:t>
      </w:r>
      <w:r>
        <w:rPr>
          <w:color w:val="212121"/>
          <w:sz w:val="21"/>
        </w:rPr>
        <w:t>space</w:t>
      </w:r>
      <w:r>
        <w:rPr>
          <w:color w:val="212121"/>
          <w:spacing w:val="-12"/>
          <w:sz w:val="21"/>
        </w:rPr>
        <w:t> </w:t>
      </w:r>
      <w:r>
        <w:rPr>
          <w:color w:val="212121"/>
          <w:sz w:val="21"/>
        </w:rPr>
        <w:t>remained</w:t>
      </w:r>
      <w:r>
        <w:rPr>
          <w:color w:val="212121"/>
          <w:spacing w:val="-7"/>
          <w:sz w:val="21"/>
        </w:rPr>
        <w:t> </w:t>
      </w:r>
      <w:r>
        <w:rPr>
          <w:color w:val="212121"/>
          <w:sz w:val="21"/>
        </w:rPr>
        <w:t>closed</w:t>
      </w:r>
      <w:r>
        <w:rPr>
          <w:color w:val="212121"/>
          <w:spacing w:val="-11"/>
          <w:sz w:val="21"/>
        </w:rPr>
        <w:t> </w:t>
      </w:r>
      <w:r>
        <w:rPr>
          <w:color w:val="212121"/>
          <w:sz w:val="21"/>
        </w:rPr>
        <w:t>and this is reflected in the asset value accordingly</w:t>
      </w:r>
      <w:r>
        <w:rPr>
          <w:color w:val="565656"/>
          <w:sz w:val="21"/>
        </w:rPr>
        <w:t>.</w:t>
      </w:r>
      <w:r>
        <w:rPr>
          <w:color w:val="565656"/>
          <w:spacing w:val="-8"/>
          <w:sz w:val="21"/>
        </w:rPr>
        <w:t> </w:t>
      </w:r>
      <w:r>
        <w:rPr>
          <w:color w:val="212121"/>
          <w:sz w:val="21"/>
        </w:rPr>
        <w:t>The Council have initially funded the clean up and </w:t>
      </w:r>
      <w:r>
        <w:rPr>
          <w:color w:val="444444"/>
          <w:sz w:val="21"/>
        </w:rPr>
        <w:t>remediation </w:t>
      </w:r>
      <w:r>
        <w:rPr>
          <w:color w:val="212121"/>
          <w:sz w:val="21"/>
        </w:rPr>
        <w:t>works and have agreed to provide financial support to EFS whilst </w:t>
      </w:r>
      <w:r>
        <w:rPr>
          <w:color w:val="0E0E0E"/>
          <w:sz w:val="21"/>
        </w:rPr>
        <w:t>these </w:t>
      </w:r>
      <w:r>
        <w:rPr>
          <w:color w:val="212121"/>
          <w:sz w:val="21"/>
        </w:rPr>
        <w:t>works are undertaken</w:t>
      </w:r>
      <w:r>
        <w:rPr>
          <w:color w:val="6D6D6D"/>
          <w:sz w:val="21"/>
        </w:rPr>
        <w:t>. </w:t>
      </w:r>
      <w:r>
        <w:rPr>
          <w:color w:val="212121"/>
          <w:sz w:val="21"/>
        </w:rPr>
        <w:t>The apportionment</w:t>
      </w:r>
      <w:r>
        <w:rPr>
          <w:color w:val="212121"/>
          <w:spacing w:val="-15"/>
          <w:sz w:val="21"/>
        </w:rPr>
        <w:t> </w:t>
      </w:r>
      <w:r>
        <w:rPr>
          <w:color w:val="212121"/>
          <w:sz w:val="21"/>
        </w:rPr>
        <w:t>of</w:t>
      </w:r>
      <w:r>
        <w:rPr>
          <w:color w:val="212121"/>
          <w:spacing w:val="-15"/>
          <w:sz w:val="21"/>
        </w:rPr>
        <w:t> </w:t>
      </w:r>
      <w:r>
        <w:rPr>
          <w:color w:val="212121"/>
          <w:sz w:val="21"/>
        </w:rPr>
        <w:t>these</w:t>
      </w:r>
      <w:r>
        <w:rPr>
          <w:color w:val="212121"/>
          <w:spacing w:val="-7"/>
          <w:sz w:val="21"/>
        </w:rPr>
        <w:t> </w:t>
      </w:r>
      <w:r>
        <w:rPr>
          <w:color w:val="212121"/>
          <w:sz w:val="21"/>
        </w:rPr>
        <w:t>costs</w:t>
      </w:r>
      <w:r>
        <w:rPr>
          <w:color w:val="212121"/>
          <w:spacing w:val="-8"/>
          <w:sz w:val="21"/>
        </w:rPr>
        <w:t> </w:t>
      </w:r>
      <w:r>
        <w:rPr>
          <w:color w:val="212121"/>
          <w:sz w:val="21"/>
        </w:rPr>
        <w:t>will</w:t>
      </w:r>
      <w:r>
        <w:rPr>
          <w:color w:val="212121"/>
          <w:spacing w:val="-15"/>
          <w:sz w:val="21"/>
        </w:rPr>
        <w:t> </w:t>
      </w:r>
      <w:r>
        <w:rPr>
          <w:color w:val="212121"/>
          <w:sz w:val="21"/>
        </w:rPr>
        <w:t>be</w:t>
      </w:r>
      <w:r>
        <w:rPr>
          <w:color w:val="212121"/>
          <w:spacing w:val="-15"/>
          <w:sz w:val="21"/>
        </w:rPr>
        <w:t> </w:t>
      </w:r>
      <w:r>
        <w:rPr>
          <w:color w:val="212121"/>
          <w:sz w:val="21"/>
        </w:rPr>
        <w:t>agreed</w:t>
      </w:r>
      <w:r>
        <w:rPr>
          <w:color w:val="212121"/>
          <w:spacing w:val="-12"/>
          <w:sz w:val="21"/>
        </w:rPr>
        <w:t> </w:t>
      </w:r>
      <w:r>
        <w:rPr>
          <w:color w:val="212121"/>
          <w:sz w:val="21"/>
        </w:rPr>
        <w:t>between</w:t>
      </w:r>
      <w:r>
        <w:rPr>
          <w:color w:val="212121"/>
          <w:spacing w:val="-12"/>
          <w:sz w:val="21"/>
        </w:rPr>
        <w:t> </w:t>
      </w:r>
      <w:r>
        <w:rPr>
          <w:color w:val="212121"/>
          <w:sz w:val="21"/>
        </w:rPr>
        <w:t>the</w:t>
      </w:r>
      <w:r>
        <w:rPr>
          <w:color w:val="212121"/>
          <w:spacing w:val="-15"/>
          <w:sz w:val="21"/>
        </w:rPr>
        <w:t> </w:t>
      </w:r>
      <w:r>
        <w:rPr>
          <w:color w:val="212121"/>
          <w:sz w:val="21"/>
        </w:rPr>
        <w:t>Council</w:t>
      </w:r>
      <w:r>
        <w:rPr>
          <w:color w:val="212121"/>
          <w:spacing w:val="-11"/>
          <w:sz w:val="21"/>
        </w:rPr>
        <w:t> </w:t>
      </w:r>
      <w:r>
        <w:rPr>
          <w:color w:val="212121"/>
          <w:sz w:val="21"/>
        </w:rPr>
        <w:t>and</w:t>
      </w:r>
      <w:r>
        <w:rPr>
          <w:color w:val="212121"/>
          <w:spacing w:val="-15"/>
          <w:sz w:val="21"/>
        </w:rPr>
        <w:t> </w:t>
      </w:r>
      <w:r>
        <w:rPr>
          <w:color w:val="212121"/>
          <w:sz w:val="21"/>
        </w:rPr>
        <w:t>EFS </w:t>
      </w:r>
      <w:r>
        <w:rPr>
          <w:color w:val="0E0E0E"/>
          <w:sz w:val="21"/>
        </w:rPr>
        <w:t>once the final cost position is known.</w:t>
      </w:r>
    </w:p>
    <w:p>
      <w:pPr>
        <w:spacing w:after="0" w:line="240" w:lineRule="auto"/>
        <w:jc w:val="both"/>
        <w:rPr>
          <w:sz w:val="21"/>
        </w:rPr>
        <w:sectPr>
          <w:type w:val="continuous"/>
          <w:pgSz w:w="11910" w:h="16830"/>
          <w:pgMar w:top="1940" w:right="340" w:bottom="280" w:left="0" w:header="0" w:footer="0"/>
          <w:cols w:equalWidth="0" w:num="2">
            <w:col w:w="3933" w:space="40"/>
            <w:col w:w="7597"/>
          </w:cols>
        </w:sectPr>
      </w:pPr>
    </w:p>
    <w:p>
      <w:pPr>
        <w:pStyle w:val="BodyText"/>
        <w:spacing w:before="180"/>
        <w:rPr>
          <w:sz w:val="20"/>
        </w:rPr>
      </w:pPr>
    </w:p>
    <w:p>
      <w:pPr>
        <w:spacing w:after="0"/>
        <w:rPr>
          <w:sz w:val="20"/>
        </w:rPr>
        <w:sectPr>
          <w:type w:val="continuous"/>
          <w:pgSz w:w="11910" w:h="16830"/>
          <w:pgMar w:top="1940" w:right="340" w:bottom="280" w:left="0" w:header="0" w:footer="0"/>
        </w:sectPr>
      </w:pPr>
    </w:p>
    <w:p>
      <w:pPr>
        <w:spacing w:before="98" w:line="256" w:lineRule="auto"/>
        <w:ind w:left="1205" w:right="0" w:firstLine="5"/>
        <w:jc w:val="left"/>
        <w:rPr>
          <w:b/>
          <w:sz w:val="20"/>
        </w:rPr>
      </w:pPr>
      <w:r>
        <w:rPr/>
        <ve:AlternateContent>
          <ve:Choice Requires="wps">
            <w:drawing>
              <wp:anchor distT="0" distB="0" distL="0" distR="0" simplePos="0" relativeHeight="15867904" behindDoc="0" locked="0" layoutInCell="1" allowOverlap="1">
                <wp:simplePos x="0" y="0"/>
                <wp:positionH relativeFrom="page">
                  <wp:posOffset>24423</wp:posOffset>
                </wp:positionH>
                <wp:positionV relativeFrom="paragraph">
                  <wp:posOffset>1359284</wp:posOffset>
                </wp:positionV>
                <wp:extent cx="1270" cy="464184"/>
                <wp:effectExtent l="0" t="0" r="0" b="0"/>
                <wp:wrapNone/>
                <wp:docPr id="626" name="Graphic 626"/>
                <wp:cNvGraphicFramePr>
                  <a:graphicFrameLocks/>
                </wp:cNvGraphicFramePr>
                <a:graphic>
                  <a:graphicData uri="http://schemas.microsoft.com/office/word/2010/wordprocessingShape">
                    <wps:wsp>
                      <wps:cNvPr id="626" name="Graphic 626"/>
                      <wps:cNvSpPr/>
                      <wps:spPr>
                        <a:xfrm>
                          <a:off x="0" y="0"/>
                          <a:ext cx="1270" cy="464184"/>
                        </a:xfrm>
                        <a:custGeom>
                          <a:avLst/>
                          <a:gdLst/>
                          <a:ahLst/>
                          <a:cxnLst/>
                          <a:rect l="l" t="t" r="r" b="b"/>
                          <a:pathLst>
                            <a:path w="0" h="464184">
                              <a:moveTo>
                                <a:pt x="0" y="463824"/>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67904" stroked="true" strokecolor="#000000" strokeweight=".721161pt" from="1.923097pt,143.551865pt" to="1.923097pt,107.030243pt">
                <v:stroke dashstyle="solid"/>
                <w10:wrap type="none"/>
              </v:line>
            </w:pict>
          </ve:Fallback>
        </ve:AlternateContent>
      </w:r>
      <w:r>
        <w:rPr>
          <w:b/>
          <w:color w:val="0E0E0E"/>
          <w:w w:val="105"/>
          <w:sz w:val="20"/>
        </w:rPr>
        <w:t>Hertsmere</w:t>
      </w:r>
      <w:r>
        <w:rPr>
          <w:b/>
          <w:color w:val="0E0E0E"/>
          <w:spacing w:val="-15"/>
          <w:w w:val="105"/>
          <w:sz w:val="20"/>
        </w:rPr>
        <w:t> </w:t>
      </w:r>
      <w:r>
        <w:rPr>
          <w:b/>
          <w:color w:val="0E0E0E"/>
          <w:w w:val="105"/>
          <w:sz w:val="20"/>
        </w:rPr>
        <w:t>Developments </w:t>
      </w:r>
      <w:r>
        <w:rPr>
          <w:b/>
          <w:color w:val="0E0E0E"/>
          <w:spacing w:val="-2"/>
          <w:w w:val="105"/>
          <w:sz w:val="20"/>
        </w:rPr>
        <w:t>Limited</w:t>
      </w:r>
    </w:p>
    <w:p>
      <w:pPr>
        <w:spacing w:before="93" w:line="240" w:lineRule="auto"/>
        <w:ind w:left="372" w:right="610" w:firstLine="17"/>
        <w:jc w:val="both"/>
        <w:rPr>
          <w:sz w:val="21"/>
        </w:rPr>
      </w:pPr>
      <w:r>
        <w:rPr/>
        <w:br w:type="column"/>
      </w:r>
      <w:r>
        <w:rPr>
          <w:color w:val="0E0E0E"/>
          <w:sz w:val="21"/>
        </w:rPr>
        <w:t>Hertsmere Developments Limited has been established as a general commercial company limited by shares. The registered office is the council's civic offices. The</w:t>
      </w:r>
      <w:r>
        <w:rPr>
          <w:color w:val="0E0E0E"/>
          <w:spacing w:val="-3"/>
          <w:sz w:val="21"/>
        </w:rPr>
        <w:t> </w:t>
      </w:r>
      <w:r>
        <w:rPr>
          <w:color w:val="0E0E0E"/>
          <w:sz w:val="21"/>
        </w:rPr>
        <w:t>company has issued share capital of 491,100 shares with</w:t>
      </w:r>
      <w:r>
        <w:rPr>
          <w:color w:val="0E0E0E"/>
          <w:spacing w:val="-2"/>
          <w:sz w:val="21"/>
        </w:rPr>
        <w:t> </w:t>
      </w:r>
      <w:r>
        <w:rPr>
          <w:color w:val="0E0E0E"/>
          <w:sz w:val="21"/>
        </w:rPr>
        <w:t>a</w:t>
      </w:r>
      <w:r>
        <w:rPr>
          <w:color w:val="0E0E0E"/>
          <w:spacing w:val="-9"/>
          <w:sz w:val="21"/>
        </w:rPr>
        <w:t> </w:t>
      </w:r>
      <w:r>
        <w:rPr>
          <w:color w:val="0E0E0E"/>
          <w:sz w:val="21"/>
        </w:rPr>
        <w:t>face</w:t>
      </w:r>
      <w:r>
        <w:rPr>
          <w:color w:val="0E0E0E"/>
          <w:spacing w:val="-3"/>
          <w:sz w:val="21"/>
        </w:rPr>
        <w:t> </w:t>
      </w:r>
      <w:r>
        <w:rPr>
          <w:color w:val="0E0E0E"/>
          <w:sz w:val="21"/>
        </w:rPr>
        <w:t>value</w:t>
      </w:r>
      <w:r>
        <w:rPr>
          <w:color w:val="0E0E0E"/>
          <w:spacing w:val="-4"/>
          <w:sz w:val="21"/>
        </w:rPr>
        <w:t> </w:t>
      </w:r>
      <w:r>
        <w:rPr>
          <w:color w:val="0E0E0E"/>
          <w:sz w:val="21"/>
        </w:rPr>
        <w:t>of</w:t>
      </w:r>
      <w:r>
        <w:rPr>
          <w:color w:val="0E0E0E"/>
          <w:spacing w:val="-7"/>
          <w:sz w:val="21"/>
        </w:rPr>
        <w:t> </w:t>
      </w:r>
      <w:r>
        <w:rPr>
          <w:color w:val="0E0E0E"/>
          <w:sz w:val="21"/>
        </w:rPr>
        <w:t>£1</w:t>
      </w:r>
      <w:r>
        <w:rPr>
          <w:color w:val="0E0E0E"/>
          <w:spacing w:val="-10"/>
          <w:sz w:val="21"/>
        </w:rPr>
        <w:t> </w:t>
      </w:r>
      <w:r>
        <w:rPr>
          <w:color w:val="0E0E0E"/>
          <w:sz w:val="21"/>
        </w:rPr>
        <w:t>each, all</w:t>
      </w:r>
      <w:r>
        <w:rPr>
          <w:color w:val="0E0E0E"/>
          <w:spacing w:val="-4"/>
          <w:sz w:val="21"/>
        </w:rPr>
        <w:t> </w:t>
      </w:r>
      <w:r>
        <w:rPr>
          <w:color w:val="0E0E0E"/>
          <w:sz w:val="21"/>
        </w:rPr>
        <w:t>of</w:t>
      </w:r>
      <w:r>
        <w:rPr>
          <w:color w:val="0E0E0E"/>
          <w:spacing w:val="-5"/>
          <w:sz w:val="21"/>
        </w:rPr>
        <w:t> </w:t>
      </w:r>
      <w:r>
        <w:rPr>
          <w:color w:val="0E0E0E"/>
          <w:sz w:val="21"/>
        </w:rPr>
        <w:t>which are</w:t>
      </w:r>
      <w:r>
        <w:rPr>
          <w:color w:val="0E0E0E"/>
          <w:spacing w:val="-8"/>
          <w:sz w:val="21"/>
        </w:rPr>
        <w:t> </w:t>
      </w:r>
      <w:r>
        <w:rPr>
          <w:color w:val="0E0E0E"/>
          <w:sz w:val="21"/>
        </w:rPr>
        <w:t>owned</w:t>
      </w:r>
      <w:r>
        <w:rPr>
          <w:color w:val="0E0E0E"/>
          <w:spacing w:val="-1"/>
          <w:sz w:val="21"/>
        </w:rPr>
        <w:t> </w:t>
      </w:r>
      <w:r>
        <w:rPr>
          <w:color w:val="0E0E0E"/>
          <w:sz w:val="21"/>
        </w:rPr>
        <w:t>by</w:t>
      </w:r>
      <w:r>
        <w:rPr>
          <w:color w:val="0E0E0E"/>
          <w:spacing w:val="-6"/>
          <w:sz w:val="21"/>
        </w:rPr>
        <w:t> </w:t>
      </w:r>
      <w:r>
        <w:rPr>
          <w:color w:val="0E0E0E"/>
          <w:sz w:val="21"/>
        </w:rPr>
        <w:t>Hertsmere Borough Council. The company will take forward development of land within the borough with a view</w:t>
      </w:r>
      <w:r>
        <w:rPr>
          <w:color w:val="0E0E0E"/>
          <w:spacing w:val="-3"/>
          <w:sz w:val="21"/>
        </w:rPr>
        <w:t> </w:t>
      </w:r>
      <w:r>
        <w:rPr>
          <w:color w:val="0E0E0E"/>
          <w:sz w:val="21"/>
        </w:rPr>
        <w:t>to generating future income streams. The accounts for</w:t>
      </w:r>
      <w:r>
        <w:rPr>
          <w:color w:val="0E0E0E"/>
          <w:spacing w:val="-1"/>
          <w:sz w:val="21"/>
        </w:rPr>
        <w:t> </w:t>
      </w:r>
      <w:r>
        <w:rPr>
          <w:color w:val="0E0E0E"/>
          <w:sz w:val="21"/>
        </w:rPr>
        <w:t>Hertsmere Developments Limited are</w:t>
      </w:r>
      <w:r>
        <w:rPr>
          <w:color w:val="0E0E0E"/>
          <w:spacing w:val="-4"/>
          <w:sz w:val="21"/>
        </w:rPr>
        <w:t> </w:t>
      </w:r>
      <w:r>
        <w:rPr>
          <w:color w:val="0E0E0E"/>
          <w:sz w:val="21"/>
        </w:rPr>
        <w:t>consolidated with the Council's accounts in the Group Accounts section.</w:t>
      </w:r>
    </w:p>
    <w:p>
      <w:pPr>
        <w:spacing w:after="0" w:line="240" w:lineRule="auto"/>
        <w:jc w:val="both"/>
        <w:rPr>
          <w:sz w:val="21"/>
        </w:rPr>
        <w:sectPr>
          <w:type w:val="continuous"/>
          <w:pgSz w:w="11910" w:h="16830"/>
          <w:pgMar w:top="1940" w:right="340" w:bottom="280" w:left="0" w:header="0" w:footer="0"/>
          <w:cols w:equalWidth="0" w:num="2">
            <w:col w:w="3745" w:space="40"/>
            <w:col w:w="7785"/>
          </w:cols>
        </w:sectPr>
      </w:pPr>
    </w:p>
    <w:p>
      <w:pPr>
        <w:pStyle w:val="BodyText"/>
        <w:spacing w:line="73" w:lineRule="exact"/>
        <w:ind w:left="971"/>
        <w:rPr>
          <w:sz w:val="7"/>
        </w:rPr>
      </w:pPr>
      <w:r>
        <w:rPr>
          <w:position w:val="0"/>
          <w:sz w:val="7"/>
        </w:rPr>
        <w:drawing>
          <wp:inline distT="0" distB="0" distL="0" distR="0">
            <wp:extent cx="1825734" cy="46958"/>
            <wp:effectExtent l="0" t="0" r="0" b="0"/>
            <wp:docPr id="629" name="Image 629"/>
            <wp:cNvGraphicFramePr>
              <a:graphicFrameLocks/>
            </wp:cNvGraphicFramePr>
            <a:graphic>
              <a:graphicData uri="http://schemas.openxmlformats.org/drawingml/2006/picture">
                <pic:pic>
                  <pic:nvPicPr>
                    <pic:cNvPr id="629" name="Image 629"/>
                    <pic:cNvPicPr/>
                  </pic:nvPicPr>
                  <pic:blipFill>
                    <a:blip r:embed="rId239" cstate="print"/>
                    <a:stretch>
                      <a:fillRect/>
                    </a:stretch>
                  </pic:blipFill>
                  <pic:spPr>
                    <a:xfrm>
                      <a:off x="0" y="0"/>
                      <a:ext cx="1825734" cy="46958"/>
                    </a:xfrm>
                    <a:prstGeom prst="rect">
                      <a:avLst/>
                    </a:prstGeom>
                  </pic:spPr>
                </pic:pic>
              </a:graphicData>
            </a:graphic>
          </wp:inline>
        </w:drawing>
      </w:r>
      <w:r>
        <w:rPr>
          <w:position w:val="0"/>
          <w:sz w:val="7"/>
        </w:rPr>
      </w:r>
    </w:p>
    <w:p>
      <w:pPr>
        <w:pStyle w:val="BodyText"/>
        <w:spacing w:before="5"/>
        <w:rPr>
          <w:sz w:val="19"/>
        </w:rPr>
      </w:pPr>
    </w:p>
    <w:p>
      <w:pPr>
        <w:spacing w:after="0"/>
        <w:rPr>
          <w:sz w:val="19"/>
        </w:rPr>
        <w:sectPr>
          <w:headerReference w:type="default" r:id="rId236"/>
          <w:footerReference w:type="default" r:id="rId237"/>
          <w:footerReference w:type="even" r:id="rId238"/>
          <w:pgSz w:w="11910" w:h="16830"/>
          <w:pgMar w:top="740" w:right="340" w:bottom="1340" w:left="0" w:header="0" w:footer="1159"/>
          <w:pgNumType w:start="111"/>
        </w:sectPr>
      </w:pPr>
    </w:p>
    <w:p>
      <w:pPr>
        <w:spacing w:before="108"/>
        <w:ind w:left="1071" w:right="0" w:firstLine="0"/>
        <w:jc w:val="left"/>
        <w:rPr>
          <w:b/>
          <w:sz w:val="20"/>
        </w:rPr>
      </w:pPr>
      <w:r>
        <w:rPr>
          <w:b/>
          <w:color w:val="595959"/>
          <w:w w:val="105"/>
          <w:sz w:val="20"/>
        </w:rPr>
        <w:t>Hertsmere</w:t>
      </w:r>
      <w:r>
        <w:rPr>
          <w:b/>
          <w:color w:val="595959"/>
          <w:spacing w:val="-6"/>
          <w:w w:val="105"/>
          <w:sz w:val="20"/>
        </w:rPr>
        <w:t> </w:t>
      </w:r>
      <w:r>
        <w:rPr>
          <w:b/>
          <w:color w:val="595959"/>
          <w:w w:val="105"/>
          <w:sz w:val="20"/>
        </w:rPr>
        <w:t>Living</w:t>
      </w:r>
      <w:r>
        <w:rPr>
          <w:b/>
          <w:color w:val="595959"/>
          <w:spacing w:val="-11"/>
          <w:w w:val="105"/>
          <w:sz w:val="20"/>
        </w:rPr>
        <w:t> </w:t>
      </w:r>
      <w:r>
        <w:rPr>
          <w:b/>
          <w:color w:val="595959"/>
          <w:spacing w:val="-2"/>
          <w:w w:val="105"/>
          <w:sz w:val="20"/>
        </w:rPr>
        <w:t>Limited</w:t>
      </w:r>
    </w:p>
    <w:p>
      <w:pPr>
        <w:pStyle w:val="BodyText"/>
        <w:rPr>
          <w:b/>
          <w:sz w:val="20"/>
        </w:rPr>
      </w:pPr>
    </w:p>
    <w:p>
      <w:pPr>
        <w:pStyle w:val="BodyText"/>
        <w:rPr>
          <w:b/>
          <w:sz w:val="20"/>
        </w:rPr>
      </w:pPr>
    </w:p>
    <w:p>
      <w:pPr>
        <w:pStyle w:val="BodyText"/>
        <w:spacing w:before="2"/>
        <w:rPr>
          <w:b/>
          <w:sz w:val="20"/>
        </w:rPr>
      </w:pPr>
    </w:p>
    <w:p>
      <w:pPr>
        <w:spacing w:before="0" w:line="244" w:lineRule="auto"/>
        <w:ind w:left="1076" w:right="557" w:firstLine="0"/>
        <w:jc w:val="left"/>
        <w:rPr>
          <w:b/>
          <w:sz w:val="20"/>
        </w:rPr>
      </w:pPr>
      <w:r>
        <w:rPr>
          <w:b/>
          <w:color w:val="0C0C0C"/>
          <w:w w:val="105"/>
          <w:sz w:val="20"/>
        </w:rPr>
        <w:t>lnspireAII</w:t>
      </w:r>
      <w:r>
        <w:rPr>
          <w:b/>
          <w:color w:val="0C0C0C"/>
          <w:spacing w:val="-14"/>
          <w:w w:val="105"/>
          <w:sz w:val="20"/>
        </w:rPr>
        <w:t> </w:t>
      </w:r>
      <w:r>
        <w:rPr>
          <w:b/>
          <w:color w:val="0C0C0C"/>
          <w:w w:val="105"/>
          <w:sz w:val="20"/>
        </w:rPr>
        <w:t>(a</w:t>
      </w:r>
      <w:r>
        <w:rPr>
          <w:b/>
          <w:color w:val="0C0C0C"/>
          <w:spacing w:val="-14"/>
          <w:w w:val="105"/>
          <w:sz w:val="20"/>
        </w:rPr>
        <w:t> </w:t>
      </w:r>
      <w:r>
        <w:rPr>
          <w:b/>
          <w:color w:val="0C0C0C"/>
          <w:w w:val="105"/>
          <w:sz w:val="20"/>
        </w:rPr>
        <w:t>company limited by guarantee)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6"/>
        <w:rPr>
          <w:b/>
          <w:sz w:val="20"/>
        </w:rPr>
      </w:pPr>
    </w:p>
    <w:p>
      <w:pPr>
        <w:spacing w:before="0"/>
        <w:ind w:left="1085" w:right="0" w:firstLine="0"/>
        <w:jc w:val="left"/>
        <w:rPr>
          <w:b/>
          <w:sz w:val="20"/>
        </w:rPr>
      </w:pPr>
      <w:r>
        <w:rPr>
          <w:b/>
          <w:color w:val="0C0C0C"/>
          <w:w w:val="105"/>
          <w:sz w:val="20"/>
        </w:rPr>
        <w:t>West</w:t>
      </w:r>
      <w:r>
        <w:rPr>
          <w:b/>
          <w:color w:val="0C0C0C"/>
          <w:spacing w:val="-8"/>
          <w:w w:val="105"/>
          <w:sz w:val="20"/>
        </w:rPr>
        <w:t> </w:t>
      </w:r>
      <w:r>
        <w:rPr>
          <w:b/>
          <w:color w:val="0C0C0C"/>
          <w:w w:val="105"/>
          <w:sz w:val="20"/>
        </w:rPr>
        <w:t>Herts </w:t>
      </w:r>
      <w:r>
        <w:rPr>
          <w:b/>
          <w:color w:val="0C0C0C"/>
          <w:spacing w:val="-2"/>
          <w:w w:val="105"/>
          <w:sz w:val="20"/>
        </w:rPr>
        <w:t>Crematorium</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7"/>
        <w:rPr>
          <w:b/>
          <w:sz w:val="20"/>
        </w:rPr>
      </w:pPr>
    </w:p>
    <w:p>
      <w:pPr>
        <w:spacing w:before="0" w:line="249" w:lineRule="auto"/>
        <w:ind w:left="1091" w:right="755" w:hanging="5"/>
        <w:jc w:val="left"/>
        <w:rPr>
          <w:b/>
          <w:sz w:val="20"/>
        </w:rPr>
      </w:pPr>
      <w:r>
        <w:rPr>
          <w:b/>
          <w:color w:val="0C0C0C"/>
          <w:w w:val="105"/>
          <w:sz w:val="20"/>
        </w:rPr>
        <w:t>Hertfordshire</w:t>
      </w:r>
      <w:r>
        <w:rPr>
          <w:b/>
          <w:color w:val="0C0C0C"/>
          <w:spacing w:val="-14"/>
          <w:w w:val="105"/>
          <w:sz w:val="20"/>
        </w:rPr>
        <w:t> </w:t>
      </w:r>
      <w:r>
        <w:rPr>
          <w:b/>
          <w:color w:val="0C0C0C"/>
          <w:w w:val="105"/>
          <w:sz w:val="20"/>
        </w:rPr>
        <w:t>CCTV </w:t>
      </w:r>
      <w:r>
        <w:rPr>
          <w:b/>
          <w:color w:val="0C0C0C"/>
          <w:spacing w:val="-2"/>
          <w:w w:val="105"/>
          <w:sz w:val="20"/>
        </w:rPr>
        <w:t>Partnership</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8"/>
        <w:rPr>
          <w:b/>
          <w:sz w:val="20"/>
        </w:rPr>
      </w:pPr>
    </w:p>
    <w:p>
      <w:pPr>
        <w:spacing w:before="0" w:line="254" w:lineRule="auto"/>
        <w:ind w:left="1095" w:right="482" w:hanging="4"/>
        <w:jc w:val="both"/>
        <w:rPr>
          <w:b/>
          <w:sz w:val="20"/>
        </w:rPr>
      </w:pPr>
      <w:r>
        <w:rPr>
          <w:b/>
          <w:color w:val="0C0C0C"/>
          <w:w w:val="105"/>
          <w:sz w:val="20"/>
        </w:rPr>
        <w:t>Hertfordshire</w:t>
      </w:r>
      <w:r>
        <w:rPr>
          <w:b/>
          <w:color w:val="0C0C0C"/>
          <w:spacing w:val="-15"/>
          <w:w w:val="105"/>
          <w:sz w:val="20"/>
        </w:rPr>
        <w:t> </w:t>
      </w:r>
      <w:r>
        <w:rPr>
          <w:b/>
          <w:color w:val="0C0C0C"/>
          <w:w w:val="105"/>
          <w:sz w:val="20"/>
        </w:rPr>
        <w:t>Building Control</w:t>
      </w:r>
      <w:r>
        <w:rPr>
          <w:b/>
          <w:color w:val="0C0C0C"/>
          <w:spacing w:val="-15"/>
          <w:w w:val="105"/>
          <w:sz w:val="20"/>
        </w:rPr>
        <w:t> </w:t>
      </w:r>
      <w:r>
        <w:rPr>
          <w:b/>
          <w:color w:val="0C0C0C"/>
          <w:w w:val="105"/>
          <w:sz w:val="20"/>
        </w:rPr>
        <w:t>(Broste</w:t>
      </w:r>
      <w:r>
        <w:rPr>
          <w:b/>
          <w:color w:val="0C0C0C"/>
          <w:spacing w:val="-15"/>
          <w:w w:val="105"/>
          <w:sz w:val="20"/>
        </w:rPr>
        <w:t> </w:t>
      </w:r>
      <w:r>
        <w:rPr>
          <w:b/>
          <w:color w:val="0C0C0C"/>
          <w:w w:val="105"/>
          <w:sz w:val="20"/>
        </w:rPr>
        <w:t>Rivers </w:t>
      </w:r>
      <w:r>
        <w:rPr>
          <w:b/>
          <w:color w:val="0C0C0C"/>
          <w:spacing w:val="-2"/>
          <w:w w:val="105"/>
          <w:sz w:val="20"/>
        </w:rPr>
        <w:t>Limited)</w:t>
      </w:r>
    </w:p>
    <w:p>
      <w:pPr>
        <w:spacing w:before="93" w:line="240" w:lineRule="auto"/>
        <w:ind w:left="158" w:right="827" w:firstLine="0"/>
        <w:jc w:val="both"/>
        <w:rPr>
          <w:sz w:val="21"/>
        </w:rPr>
      </w:pPr>
      <w:r>
        <w:rPr/>
        <w:br w:type="column"/>
      </w:r>
      <w:r>
        <w:rPr>
          <w:color w:val="0C0C0C"/>
          <w:sz w:val="21"/>
        </w:rPr>
        <w:t>Hertsmere Living Limited was incorporated on 21 December 2022 with the Council holding 50% of share capital. There have been no transactions during 2022/23.</w:t>
      </w:r>
    </w:p>
    <w:p>
      <w:pPr>
        <w:spacing w:before="194" w:line="240" w:lineRule="auto"/>
        <w:ind w:left="165" w:right="805" w:firstLine="1"/>
        <w:jc w:val="both"/>
        <w:rPr>
          <w:sz w:val="21"/>
        </w:rPr>
      </w:pPr>
      <w:r>
        <w:rPr>
          <w:color w:val="0C0C0C"/>
          <w:sz w:val="21"/>
        </w:rPr>
        <w:t>lnspireAII was the successful bidder when the contract to manage the Council's</w:t>
      </w:r>
      <w:r>
        <w:rPr>
          <w:color w:val="0C0C0C"/>
          <w:spacing w:val="-15"/>
          <w:sz w:val="21"/>
        </w:rPr>
        <w:t> </w:t>
      </w:r>
      <w:r>
        <w:rPr>
          <w:color w:val="0C0C0C"/>
          <w:sz w:val="21"/>
        </w:rPr>
        <w:t>leisure</w:t>
      </w:r>
      <w:r>
        <w:rPr>
          <w:color w:val="0C0C0C"/>
          <w:spacing w:val="-15"/>
          <w:sz w:val="21"/>
        </w:rPr>
        <w:t> </w:t>
      </w:r>
      <w:r>
        <w:rPr>
          <w:color w:val="0C0C0C"/>
          <w:sz w:val="21"/>
        </w:rPr>
        <w:t>services</w:t>
      </w:r>
      <w:r>
        <w:rPr>
          <w:color w:val="0C0C0C"/>
          <w:spacing w:val="-7"/>
          <w:sz w:val="21"/>
        </w:rPr>
        <w:t> </w:t>
      </w:r>
      <w:r>
        <w:rPr>
          <w:color w:val="0C0C0C"/>
          <w:sz w:val="21"/>
        </w:rPr>
        <w:t>was</w:t>
      </w:r>
      <w:r>
        <w:rPr>
          <w:color w:val="0C0C0C"/>
          <w:spacing w:val="-15"/>
          <w:sz w:val="21"/>
        </w:rPr>
        <w:t> </w:t>
      </w:r>
      <w:r>
        <w:rPr>
          <w:color w:val="0C0C0C"/>
          <w:sz w:val="21"/>
        </w:rPr>
        <w:t>re-awarded</w:t>
      </w:r>
      <w:r>
        <w:rPr>
          <w:color w:val="0C0C0C"/>
          <w:spacing w:val="-5"/>
          <w:sz w:val="21"/>
        </w:rPr>
        <w:t> </w:t>
      </w:r>
      <w:r>
        <w:rPr>
          <w:color w:val="0C0C0C"/>
          <w:sz w:val="21"/>
        </w:rPr>
        <w:t>in</w:t>
      </w:r>
      <w:r>
        <w:rPr>
          <w:color w:val="0C0C0C"/>
          <w:spacing w:val="-15"/>
          <w:sz w:val="21"/>
        </w:rPr>
        <w:t> </w:t>
      </w:r>
      <w:r>
        <w:rPr>
          <w:color w:val="0C0C0C"/>
          <w:sz w:val="21"/>
        </w:rPr>
        <w:t>2011.</w:t>
      </w:r>
      <w:r>
        <w:rPr>
          <w:color w:val="0C0C0C"/>
          <w:spacing w:val="31"/>
          <w:sz w:val="21"/>
        </w:rPr>
        <w:t> </w:t>
      </w:r>
      <w:r>
        <w:rPr>
          <w:color w:val="0C0C0C"/>
          <w:sz w:val="21"/>
        </w:rPr>
        <w:t>The</w:t>
      </w:r>
      <w:r>
        <w:rPr>
          <w:color w:val="0C0C0C"/>
          <w:spacing w:val="-15"/>
          <w:sz w:val="21"/>
        </w:rPr>
        <w:t> </w:t>
      </w:r>
      <w:r>
        <w:rPr>
          <w:color w:val="0C0C0C"/>
          <w:sz w:val="21"/>
        </w:rPr>
        <w:t>contract</w:t>
      </w:r>
      <w:r>
        <w:rPr>
          <w:color w:val="0C0C0C"/>
          <w:spacing w:val="-9"/>
          <w:sz w:val="21"/>
        </w:rPr>
        <w:t> </w:t>
      </w:r>
      <w:r>
        <w:rPr>
          <w:color w:val="0C0C0C"/>
          <w:sz w:val="21"/>
        </w:rPr>
        <w:t>included management of</w:t>
      </w:r>
      <w:r>
        <w:rPr>
          <w:color w:val="0C0C0C"/>
          <w:spacing w:val="-3"/>
          <w:sz w:val="21"/>
        </w:rPr>
        <w:t> </w:t>
      </w:r>
      <w:r>
        <w:rPr>
          <w:color w:val="0C0C0C"/>
          <w:sz w:val="21"/>
        </w:rPr>
        <w:t>leisure centres and</w:t>
      </w:r>
      <w:r>
        <w:rPr>
          <w:color w:val="0C0C0C"/>
          <w:spacing w:val="-4"/>
          <w:sz w:val="21"/>
        </w:rPr>
        <w:t> </w:t>
      </w:r>
      <w:r>
        <w:rPr>
          <w:color w:val="0C0C0C"/>
          <w:sz w:val="21"/>
        </w:rPr>
        <w:t>community centres as</w:t>
      </w:r>
      <w:r>
        <w:rPr>
          <w:color w:val="0C0C0C"/>
          <w:spacing w:val="-8"/>
          <w:sz w:val="21"/>
        </w:rPr>
        <w:t> </w:t>
      </w:r>
      <w:r>
        <w:rPr>
          <w:color w:val="0C0C0C"/>
          <w:sz w:val="21"/>
        </w:rPr>
        <w:t>before and</w:t>
      </w:r>
      <w:r>
        <w:rPr>
          <w:color w:val="0C0C0C"/>
          <w:spacing w:val="-8"/>
          <w:sz w:val="21"/>
        </w:rPr>
        <w:t> </w:t>
      </w:r>
      <w:r>
        <w:rPr>
          <w:color w:val="0C0C0C"/>
          <w:sz w:val="21"/>
        </w:rPr>
        <w:t>in addition took over the activities previously managed by the Council's subsidiary Bushey</w:t>
      </w:r>
      <w:r>
        <w:rPr>
          <w:color w:val="0C0C0C"/>
          <w:spacing w:val="-5"/>
          <w:sz w:val="21"/>
        </w:rPr>
        <w:t> </w:t>
      </w:r>
      <w:r>
        <w:rPr>
          <w:color w:val="0C0C0C"/>
          <w:sz w:val="21"/>
        </w:rPr>
        <w:t>Country</w:t>
      </w:r>
      <w:r>
        <w:rPr>
          <w:color w:val="0C0C0C"/>
          <w:spacing w:val="-3"/>
          <w:sz w:val="21"/>
        </w:rPr>
        <w:t> </w:t>
      </w:r>
      <w:r>
        <w:rPr>
          <w:color w:val="0C0C0C"/>
          <w:sz w:val="21"/>
        </w:rPr>
        <w:t>Club</w:t>
      </w:r>
      <w:r>
        <w:rPr>
          <w:color w:val="0C0C0C"/>
          <w:spacing w:val="-15"/>
          <w:sz w:val="21"/>
        </w:rPr>
        <w:t> </w:t>
      </w:r>
      <w:r>
        <w:rPr>
          <w:color w:val="0C0C0C"/>
          <w:sz w:val="21"/>
        </w:rPr>
        <w:t>Limited,</w:t>
      </w:r>
      <w:r>
        <w:rPr>
          <w:color w:val="0C0C0C"/>
          <w:spacing w:val="-2"/>
          <w:sz w:val="21"/>
        </w:rPr>
        <w:t> </w:t>
      </w:r>
      <w:r>
        <w:rPr>
          <w:color w:val="0C0C0C"/>
          <w:sz w:val="21"/>
        </w:rPr>
        <w:t>together with</w:t>
      </w:r>
      <w:r>
        <w:rPr>
          <w:color w:val="0C0C0C"/>
          <w:spacing w:val="-9"/>
          <w:sz w:val="21"/>
        </w:rPr>
        <w:t> </w:t>
      </w:r>
      <w:r>
        <w:rPr>
          <w:color w:val="0C0C0C"/>
          <w:sz w:val="21"/>
        </w:rPr>
        <w:t>the</w:t>
      </w:r>
      <w:r>
        <w:rPr>
          <w:color w:val="0C0C0C"/>
          <w:spacing w:val="-12"/>
          <w:sz w:val="21"/>
        </w:rPr>
        <w:t> </w:t>
      </w:r>
      <w:r>
        <w:rPr>
          <w:color w:val="0C0C0C"/>
          <w:sz w:val="21"/>
        </w:rPr>
        <w:t>delivery of</w:t>
      </w:r>
      <w:r>
        <w:rPr>
          <w:color w:val="0C0C0C"/>
          <w:spacing w:val="-13"/>
          <w:sz w:val="21"/>
        </w:rPr>
        <w:t> </w:t>
      </w:r>
      <w:r>
        <w:rPr>
          <w:color w:val="0C0C0C"/>
          <w:sz w:val="21"/>
        </w:rPr>
        <w:t>the play, 50 plus and parks events programmes previously provided by the Council itself. The Bushey Golf and Country Club was returned to the Council on 1 April 2018, with its future uses being out to consultation.</w:t>
      </w:r>
      <w:r>
        <w:rPr>
          <w:color w:val="0C0C0C"/>
          <w:spacing w:val="27"/>
          <w:sz w:val="21"/>
        </w:rPr>
        <w:t> </w:t>
      </w:r>
      <w:r>
        <w:rPr>
          <w:color w:val="0C0C0C"/>
          <w:sz w:val="21"/>
        </w:rPr>
        <w:t>It is</w:t>
      </w:r>
      <w:r>
        <w:rPr>
          <w:color w:val="0C0C0C"/>
          <w:spacing w:val="-15"/>
          <w:sz w:val="21"/>
        </w:rPr>
        <w:t> </w:t>
      </w:r>
      <w:r>
        <w:rPr>
          <w:color w:val="0C0C0C"/>
          <w:sz w:val="21"/>
        </w:rPr>
        <w:t>currently</w:t>
      </w:r>
      <w:r>
        <w:rPr>
          <w:color w:val="0C0C0C"/>
          <w:spacing w:val="-15"/>
          <w:sz w:val="21"/>
        </w:rPr>
        <w:t> </w:t>
      </w:r>
      <w:r>
        <w:rPr>
          <w:color w:val="0C0C0C"/>
          <w:sz w:val="21"/>
        </w:rPr>
        <w:t>on</w:t>
      </w:r>
      <w:r>
        <w:rPr>
          <w:color w:val="0C0C0C"/>
          <w:spacing w:val="-14"/>
          <w:sz w:val="21"/>
        </w:rPr>
        <w:t> </w:t>
      </w:r>
      <w:r>
        <w:rPr>
          <w:color w:val="0C0C0C"/>
          <w:sz w:val="21"/>
        </w:rPr>
        <w:t>a</w:t>
      </w:r>
      <w:r>
        <w:rPr>
          <w:color w:val="0C0C0C"/>
          <w:spacing w:val="-15"/>
          <w:sz w:val="21"/>
        </w:rPr>
        <w:t> </w:t>
      </w:r>
      <w:r>
        <w:rPr>
          <w:color w:val="0C0C0C"/>
          <w:sz w:val="21"/>
        </w:rPr>
        <w:t>short</w:t>
      </w:r>
      <w:r>
        <w:rPr>
          <w:color w:val="0C0C0C"/>
          <w:spacing w:val="-14"/>
          <w:sz w:val="21"/>
        </w:rPr>
        <w:t> </w:t>
      </w:r>
      <w:r>
        <w:rPr>
          <w:color w:val="0C0C0C"/>
          <w:sz w:val="21"/>
        </w:rPr>
        <w:t>lease</w:t>
      </w:r>
      <w:r>
        <w:rPr>
          <w:color w:val="0C0C0C"/>
          <w:spacing w:val="-15"/>
          <w:sz w:val="21"/>
        </w:rPr>
        <w:t> </w:t>
      </w:r>
      <w:r>
        <w:rPr>
          <w:color w:val="0C0C0C"/>
          <w:sz w:val="21"/>
        </w:rPr>
        <w:t>(five</w:t>
      </w:r>
      <w:r>
        <w:rPr>
          <w:color w:val="0C0C0C"/>
          <w:spacing w:val="-15"/>
          <w:sz w:val="21"/>
        </w:rPr>
        <w:t> </w:t>
      </w:r>
      <w:r>
        <w:rPr>
          <w:color w:val="0C0C0C"/>
          <w:sz w:val="21"/>
        </w:rPr>
        <w:t>years</w:t>
      </w:r>
      <w:r>
        <w:rPr>
          <w:color w:val="0C0C0C"/>
          <w:spacing w:val="-12"/>
          <w:sz w:val="21"/>
        </w:rPr>
        <w:t> </w:t>
      </w:r>
      <w:r>
        <w:rPr>
          <w:color w:val="0C0C0C"/>
          <w:sz w:val="21"/>
        </w:rPr>
        <w:t>with</w:t>
      </w:r>
      <w:r>
        <w:rPr>
          <w:color w:val="0C0C0C"/>
          <w:spacing w:val="-15"/>
          <w:sz w:val="21"/>
        </w:rPr>
        <w:t> </w:t>
      </w:r>
      <w:r>
        <w:rPr>
          <w:color w:val="0C0C0C"/>
          <w:sz w:val="21"/>
        </w:rPr>
        <w:t>a</w:t>
      </w:r>
      <w:r>
        <w:rPr>
          <w:color w:val="0C0C0C"/>
          <w:spacing w:val="-15"/>
          <w:sz w:val="21"/>
        </w:rPr>
        <w:t> </w:t>
      </w:r>
      <w:r>
        <w:rPr>
          <w:color w:val="0C0C0C"/>
          <w:sz w:val="21"/>
        </w:rPr>
        <w:t>two</w:t>
      </w:r>
      <w:r>
        <w:rPr>
          <w:color w:val="0C0C0C"/>
          <w:spacing w:val="-9"/>
          <w:sz w:val="21"/>
        </w:rPr>
        <w:t> </w:t>
      </w:r>
      <w:r>
        <w:rPr>
          <w:color w:val="0C0C0C"/>
          <w:sz w:val="21"/>
        </w:rPr>
        <w:t>year</w:t>
      </w:r>
      <w:r>
        <w:rPr>
          <w:color w:val="0C0C0C"/>
          <w:spacing w:val="-15"/>
          <w:sz w:val="21"/>
        </w:rPr>
        <w:t> </w:t>
      </w:r>
      <w:r>
        <w:rPr>
          <w:color w:val="0C0C0C"/>
          <w:sz w:val="21"/>
        </w:rPr>
        <w:t>break)</w:t>
      </w:r>
      <w:r>
        <w:rPr>
          <w:color w:val="0C0C0C"/>
          <w:spacing w:val="-1"/>
          <w:sz w:val="21"/>
        </w:rPr>
        <w:t> </w:t>
      </w:r>
      <w:r>
        <w:rPr>
          <w:color w:val="0C0C0C"/>
          <w:sz w:val="21"/>
        </w:rPr>
        <w:t>to</w:t>
      </w:r>
      <w:r>
        <w:rPr>
          <w:color w:val="0C0C0C"/>
          <w:spacing w:val="-15"/>
          <w:sz w:val="21"/>
        </w:rPr>
        <w:t> </w:t>
      </w:r>
      <w:r>
        <w:rPr>
          <w:color w:val="0C0C0C"/>
          <w:sz w:val="21"/>
        </w:rPr>
        <w:t>an</w:t>
      </w:r>
      <w:r>
        <w:rPr>
          <w:color w:val="0C0C0C"/>
          <w:spacing w:val="-15"/>
          <w:sz w:val="21"/>
        </w:rPr>
        <w:t> </w:t>
      </w:r>
      <w:r>
        <w:rPr>
          <w:color w:val="0C0C0C"/>
          <w:sz w:val="21"/>
        </w:rPr>
        <w:t>events management company.</w:t>
      </w:r>
    </w:p>
    <w:p>
      <w:pPr>
        <w:pStyle w:val="BodyText"/>
        <w:spacing w:before="10"/>
        <w:rPr>
          <w:sz w:val="21"/>
        </w:rPr>
      </w:pPr>
    </w:p>
    <w:p>
      <w:pPr>
        <w:spacing w:before="1" w:line="240" w:lineRule="auto"/>
        <w:ind w:left="173" w:right="802" w:hanging="3"/>
        <w:jc w:val="both"/>
        <w:rPr>
          <w:sz w:val="21"/>
        </w:rPr>
      </w:pPr>
      <w:r>
        <w:rPr>
          <w:color w:val="0C0C0C"/>
          <w:sz w:val="21"/>
        </w:rPr>
        <w:t>The lnspireAII contract was for an initial 10 years from 1 February 2012 and</w:t>
      </w:r>
      <w:r>
        <w:rPr>
          <w:color w:val="0C0C0C"/>
          <w:spacing w:val="-15"/>
          <w:sz w:val="21"/>
        </w:rPr>
        <w:t> </w:t>
      </w:r>
      <w:r>
        <w:rPr>
          <w:color w:val="0C0C0C"/>
          <w:sz w:val="21"/>
        </w:rPr>
        <w:t>was</w:t>
      </w:r>
      <w:r>
        <w:rPr>
          <w:color w:val="0C0C0C"/>
          <w:spacing w:val="-7"/>
          <w:sz w:val="21"/>
        </w:rPr>
        <w:t> </w:t>
      </w:r>
      <w:r>
        <w:rPr>
          <w:color w:val="0C0C0C"/>
          <w:sz w:val="21"/>
        </w:rPr>
        <w:t>subsequently extended to</w:t>
      </w:r>
      <w:r>
        <w:rPr>
          <w:color w:val="0C0C0C"/>
          <w:spacing w:val="-7"/>
          <w:sz w:val="21"/>
        </w:rPr>
        <w:t> </w:t>
      </w:r>
      <w:r>
        <w:rPr>
          <w:color w:val="0C0C0C"/>
          <w:sz w:val="21"/>
        </w:rPr>
        <w:t>2032</w:t>
      </w:r>
      <w:r>
        <w:rPr>
          <w:color w:val="444444"/>
          <w:sz w:val="21"/>
        </w:rPr>
        <w:t>.</w:t>
      </w:r>
      <w:r>
        <w:rPr>
          <w:color w:val="444444"/>
          <w:spacing w:val="-15"/>
          <w:sz w:val="21"/>
        </w:rPr>
        <w:t> </w:t>
      </w:r>
      <w:r>
        <w:rPr>
          <w:color w:val="0C0C0C"/>
          <w:sz w:val="21"/>
        </w:rPr>
        <w:t>The</w:t>
      </w:r>
      <w:r>
        <w:rPr>
          <w:color w:val="0C0C0C"/>
          <w:spacing w:val="-5"/>
          <w:sz w:val="21"/>
        </w:rPr>
        <w:t> </w:t>
      </w:r>
      <w:r>
        <w:rPr>
          <w:color w:val="0C0C0C"/>
          <w:sz w:val="21"/>
        </w:rPr>
        <w:t>contract stipulates</w:t>
      </w:r>
      <w:r>
        <w:rPr>
          <w:color w:val="0C0C0C"/>
          <w:spacing w:val="-2"/>
          <w:sz w:val="21"/>
        </w:rPr>
        <w:t> </w:t>
      </w:r>
      <w:r>
        <w:rPr>
          <w:color w:val="0C0C0C"/>
          <w:sz w:val="21"/>
        </w:rPr>
        <w:t>that</w:t>
      </w:r>
      <w:r>
        <w:rPr>
          <w:color w:val="0C0C0C"/>
          <w:spacing w:val="-11"/>
          <w:sz w:val="21"/>
        </w:rPr>
        <w:t> </w:t>
      </w:r>
      <w:r>
        <w:rPr>
          <w:color w:val="0C0C0C"/>
          <w:sz w:val="21"/>
        </w:rPr>
        <w:t>the Council should receive an annual management</w:t>
      </w:r>
      <w:r>
        <w:rPr>
          <w:color w:val="0C0C0C"/>
          <w:spacing w:val="31"/>
          <w:sz w:val="21"/>
        </w:rPr>
        <w:t> </w:t>
      </w:r>
      <w:r>
        <w:rPr>
          <w:color w:val="0C0C0C"/>
          <w:sz w:val="21"/>
        </w:rPr>
        <w:t>fee which amounted to</w:t>
      </w:r>
    </w:p>
    <w:p>
      <w:pPr>
        <w:spacing w:before="0" w:line="242" w:lineRule="auto"/>
        <w:ind w:left="172" w:right="799" w:firstLine="1"/>
        <w:jc w:val="both"/>
        <w:rPr>
          <w:sz w:val="21"/>
        </w:rPr>
      </w:pPr>
      <w:r>
        <w:rPr>
          <w:color w:val="0C0C0C"/>
          <w:sz w:val="21"/>
        </w:rPr>
        <w:t>£343k in</w:t>
      </w:r>
      <w:r>
        <w:rPr>
          <w:color w:val="0C0C0C"/>
          <w:spacing w:val="-2"/>
          <w:sz w:val="21"/>
        </w:rPr>
        <w:t> </w:t>
      </w:r>
      <w:r>
        <w:rPr>
          <w:color w:val="0C0C0C"/>
          <w:sz w:val="21"/>
        </w:rPr>
        <w:t>2022/23. The</w:t>
      </w:r>
      <w:r>
        <w:rPr>
          <w:color w:val="0C0C0C"/>
          <w:spacing w:val="-7"/>
          <w:sz w:val="21"/>
        </w:rPr>
        <w:t> </w:t>
      </w:r>
      <w:r>
        <w:rPr>
          <w:color w:val="0C0C0C"/>
          <w:sz w:val="21"/>
        </w:rPr>
        <w:t>leisure contract has generated significant budget savings for the Council and is regarded as a contract which will deliver value</w:t>
      </w:r>
      <w:r>
        <w:rPr>
          <w:color w:val="0C0C0C"/>
          <w:spacing w:val="-10"/>
          <w:sz w:val="21"/>
        </w:rPr>
        <w:t> </w:t>
      </w:r>
      <w:r>
        <w:rPr>
          <w:color w:val="0C0C0C"/>
          <w:sz w:val="21"/>
        </w:rPr>
        <w:t>for</w:t>
      </w:r>
      <w:r>
        <w:rPr>
          <w:color w:val="0C0C0C"/>
          <w:spacing w:val="-3"/>
          <w:sz w:val="21"/>
        </w:rPr>
        <w:t> </w:t>
      </w:r>
      <w:r>
        <w:rPr>
          <w:color w:val="0C0C0C"/>
          <w:sz w:val="21"/>
        </w:rPr>
        <w:t>money</w:t>
      </w:r>
      <w:r>
        <w:rPr>
          <w:color w:val="0C0C0C"/>
          <w:spacing w:val="-1"/>
          <w:sz w:val="21"/>
        </w:rPr>
        <w:t> </w:t>
      </w:r>
      <w:r>
        <w:rPr>
          <w:color w:val="0C0C0C"/>
          <w:sz w:val="21"/>
        </w:rPr>
        <w:t>for</w:t>
      </w:r>
      <w:r>
        <w:rPr>
          <w:color w:val="0C0C0C"/>
          <w:spacing w:val="-11"/>
          <w:sz w:val="21"/>
        </w:rPr>
        <w:t> </w:t>
      </w:r>
      <w:r>
        <w:rPr>
          <w:color w:val="0C0C0C"/>
          <w:sz w:val="21"/>
        </w:rPr>
        <w:t>Hertsmere's residents. At</w:t>
      </w:r>
      <w:r>
        <w:rPr>
          <w:color w:val="0C0C0C"/>
          <w:spacing w:val="-14"/>
          <w:sz w:val="21"/>
        </w:rPr>
        <w:t> </w:t>
      </w:r>
      <w:r>
        <w:rPr>
          <w:color w:val="0C0C0C"/>
          <w:sz w:val="21"/>
        </w:rPr>
        <w:t>the</w:t>
      </w:r>
      <w:r>
        <w:rPr>
          <w:color w:val="0C0C0C"/>
          <w:spacing w:val="-11"/>
          <w:sz w:val="21"/>
        </w:rPr>
        <w:t> </w:t>
      </w:r>
      <w:r>
        <w:rPr>
          <w:color w:val="0C0C0C"/>
          <w:sz w:val="21"/>
        </w:rPr>
        <w:t>end</w:t>
      </w:r>
      <w:r>
        <w:rPr>
          <w:color w:val="0C0C0C"/>
          <w:spacing w:val="-6"/>
          <w:sz w:val="21"/>
        </w:rPr>
        <w:t> </w:t>
      </w:r>
      <w:r>
        <w:rPr>
          <w:color w:val="0C0C0C"/>
          <w:sz w:val="21"/>
        </w:rPr>
        <w:t>of</w:t>
      </w:r>
      <w:r>
        <w:rPr>
          <w:color w:val="0C0C0C"/>
          <w:spacing w:val="-10"/>
          <w:sz w:val="21"/>
        </w:rPr>
        <w:t> </w:t>
      </w:r>
      <w:r>
        <w:rPr>
          <w:color w:val="0C0C0C"/>
          <w:sz w:val="21"/>
        </w:rPr>
        <w:t>the</w:t>
      </w:r>
      <w:r>
        <w:rPr>
          <w:color w:val="0C0C0C"/>
          <w:spacing w:val="-11"/>
          <w:sz w:val="21"/>
        </w:rPr>
        <w:t> </w:t>
      </w:r>
      <w:r>
        <w:rPr>
          <w:color w:val="0C0C0C"/>
          <w:sz w:val="21"/>
        </w:rPr>
        <w:t>contract, the premises,</w:t>
      </w:r>
      <w:r>
        <w:rPr>
          <w:color w:val="0C0C0C"/>
          <w:spacing w:val="-13"/>
          <w:sz w:val="21"/>
        </w:rPr>
        <w:t> </w:t>
      </w:r>
      <w:r>
        <w:rPr>
          <w:color w:val="0C0C0C"/>
          <w:sz w:val="21"/>
        </w:rPr>
        <w:t>plant</w:t>
      </w:r>
      <w:r>
        <w:rPr>
          <w:color w:val="0C0C0C"/>
          <w:spacing w:val="-5"/>
          <w:sz w:val="21"/>
        </w:rPr>
        <w:t> </w:t>
      </w:r>
      <w:r>
        <w:rPr>
          <w:color w:val="0C0C0C"/>
          <w:sz w:val="21"/>
        </w:rPr>
        <w:t>and</w:t>
      </w:r>
      <w:r>
        <w:rPr>
          <w:color w:val="0C0C0C"/>
          <w:spacing w:val="-15"/>
          <w:sz w:val="21"/>
        </w:rPr>
        <w:t> </w:t>
      </w:r>
      <w:r>
        <w:rPr>
          <w:color w:val="0C0C0C"/>
          <w:sz w:val="21"/>
        </w:rPr>
        <w:t>machinery</w:t>
      </w:r>
      <w:r>
        <w:rPr>
          <w:color w:val="0C0C0C"/>
          <w:spacing w:val="6"/>
          <w:sz w:val="21"/>
        </w:rPr>
        <w:t> </w:t>
      </w:r>
      <w:r>
        <w:rPr>
          <w:color w:val="0C0C0C"/>
          <w:sz w:val="21"/>
        </w:rPr>
        <w:t>will</w:t>
      </w:r>
      <w:r>
        <w:rPr>
          <w:color w:val="0C0C0C"/>
          <w:spacing w:val="-15"/>
          <w:sz w:val="21"/>
        </w:rPr>
        <w:t> </w:t>
      </w:r>
      <w:r>
        <w:rPr>
          <w:color w:val="0C0C0C"/>
          <w:sz w:val="21"/>
        </w:rPr>
        <w:t>be</w:t>
      </w:r>
      <w:r>
        <w:rPr>
          <w:color w:val="0C0C0C"/>
          <w:spacing w:val="-12"/>
          <w:sz w:val="21"/>
        </w:rPr>
        <w:t> </w:t>
      </w:r>
      <w:r>
        <w:rPr>
          <w:color w:val="0C0C0C"/>
          <w:sz w:val="21"/>
        </w:rPr>
        <w:t>returned</w:t>
      </w:r>
      <w:r>
        <w:rPr>
          <w:color w:val="0C0C0C"/>
          <w:spacing w:val="-4"/>
          <w:sz w:val="21"/>
        </w:rPr>
        <w:t> </w:t>
      </w:r>
      <w:r>
        <w:rPr>
          <w:color w:val="0C0C0C"/>
          <w:sz w:val="21"/>
        </w:rPr>
        <w:t>to</w:t>
      </w:r>
      <w:r>
        <w:rPr>
          <w:color w:val="0C0C0C"/>
          <w:spacing w:val="-15"/>
          <w:sz w:val="21"/>
        </w:rPr>
        <w:t> </w:t>
      </w:r>
      <w:r>
        <w:rPr>
          <w:color w:val="0C0C0C"/>
          <w:sz w:val="21"/>
        </w:rPr>
        <w:t>the</w:t>
      </w:r>
      <w:r>
        <w:rPr>
          <w:color w:val="0C0C0C"/>
          <w:spacing w:val="-15"/>
          <w:sz w:val="21"/>
        </w:rPr>
        <w:t> </w:t>
      </w:r>
      <w:r>
        <w:rPr>
          <w:color w:val="0C0C0C"/>
          <w:sz w:val="21"/>
        </w:rPr>
        <w:t>Council</w:t>
      </w:r>
      <w:r>
        <w:rPr>
          <w:color w:val="0C0C0C"/>
          <w:spacing w:val="-10"/>
          <w:sz w:val="21"/>
        </w:rPr>
        <w:t> </w:t>
      </w:r>
      <w:r>
        <w:rPr>
          <w:color w:val="0C0C0C"/>
          <w:sz w:val="21"/>
        </w:rPr>
        <w:t>in</w:t>
      </w:r>
      <w:r>
        <w:rPr>
          <w:color w:val="0C0C0C"/>
          <w:spacing w:val="-15"/>
          <w:sz w:val="21"/>
        </w:rPr>
        <w:t> </w:t>
      </w:r>
      <w:r>
        <w:rPr>
          <w:color w:val="0C0C0C"/>
          <w:sz w:val="21"/>
        </w:rPr>
        <w:t>the</w:t>
      </w:r>
      <w:r>
        <w:rPr>
          <w:color w:val="0C0C0C"/>
          <w:spacing w:val="-8"/>
          <w:sz w:val="21"/>
        </w:rPr>
        <w:t> </w:t>
      </w:r>
      <w:r>
        <w:rPr>
          <w:color w:val="0C0C0C"/>
          <w:sz w:val="21"/>
        </w:rPr>
        <w:t>same condition. This</w:t>
      </w:r>
      <w:r>
        <w:rPr>
          <w:color w:val="0C0C0C"/>
          <w:spacing w:val="-7"/>
          <w:sz w:val="21"/>
        </w:rPr>
        <w:t> </w:t>
      </w:r>
      <w:r>
        <w:rPr>
          <w:color w:val="0C0C0C"/>
          <w:sz w:val="21"/>
        </w:rPr>
        <w:t>ensures that</w:t>
      </w:r>
      <w:r>
        <w:rPr>
          <w:color w:val="0C0C0C"/>
          <w:spacing w:val="-10"/>
          <w:sz w:val="21"/>
        </w:rPr>
        <w:t> </w:t>
      </w:r>
      <w:r>
        <w:rPr>
          <w:color w:val="0C0C0C"/>
          <w:sz w:val="21"/>
        </w:rPr>
        <w:t>the</w:t>
      </w:r>
      <w:r>
        <w:rPr>
          <w:color w:val="0C0C0C"/>
          <w:spacing w:val="-11"/>
          <w:sz w:val="21"/>
        </w:rPr>
        <w:t> </w:t>
      </w:r>
      <w:r>
        <w:rPr>
          <w:color w:val="0C0C0C"/>
          <w:sz w:val="21"/>
        </w:rPr>
        <w:t>service delivery capability of</w:t>
      </w:r>
      <w:r>
        <w:rPr>
          <w:color w:val="0C0C0C"/>
          <w:spacing w:val="-13"/>
          <w:sz w:val="21"/>
        </w:rPr>
        <w:t> </w:t>
      </w:r>
      <w:r>
        <w:rPr>
          <w:color w:val="0C0C0C"/>
          <w:sz w:val="21"/>
        </w:rPr>
        <w:t>the</w:t>
      </w:r>
      <w:r>
        <w:rPr>
          <w:color w:val="0C0C0C"/>
          <w:spacing w:val="-11"/>
          <w:sz w:val="21"/>
        </w:rPr>
        <w:t> </w:t>
      </w:r>
      <w:r>
        <w:rPr>
          <w:color w:val="0C0C0C"/>
          <w:sz w:val="21"/>
        </w:rPr>
        <w:t>facilities is maintained and enhanced.</w:t>
      </w:r>
    </w:p>
    <w:p>
      <w:pPr>
        <w:spacing w:before="224" w:line="240" w:lineRule="auto"/>
        <w:ind w:left="181" w:right="773" w:hanging="1"/>
        <w:jc w:val="both"/>
        <w:rPr>
          <w:sz w:val="21"/>
        </w:rPr>
      </w:pPr>
      <w:r>
        <w:rPr>
          <w:color w:val="1F1F1F"/>
          <w:sz w:val="21"/>
        </w:rPr>
        <w:t>In 2019 the Council provided a loan </w:t>
      </w:r>
      <w:r>
        <w:rPr>
          <w:color w:val="313131"/>
          <w:sz w:val="21"/>
        </w:rPr>
        <w:t>facility </w:t>
      </w:r>
      <w:r>
        <w:rPr>
          <w:color w:val="1F1F1F"/>
          <w:sz w:val="21"/>
        </w:rPr>
        <w:t>of £5 million </w:t>
      </w:r>
      <w:r>
        <w:rPr>
          <w:color w:val="313131"/>
          <w:sz w:val="21"/>
        </w:rPr>
        <w:t>to lnspireAII </w:t>
      </w:r>
      <w:r>
        <w:rPr>
          <w:color w:val="1F1F1F"/>
          <w:sz w:val="21"/>
        </w:rPr>
        <w:t>to invest</w:t>
      </w:r>
      <w:r>
        <w:rPr>
          <w:color w:val="1F1F1F"/>
          <w:spacing w:val="-15"/>
          <w:sz w:val="21"/>
        </w:rPr>
        <w:t> </w:t>
      </w:r>
      <w:r>
        <w:rPr>
          <w:color w:val="1F1F1F"/>
          <w:sz w:val="21"/>
        </w:rPr>
        <w:t>in</w:t>
      </w:r>
      <w:r>
        <w:rPr>
          <w:color w:val="1F1F1F"/>
          <w:spacing w:val="-15"/>
          <w:sz w:val="21"/>
        </w:rPr>
        <w:t> </w:t>
      </w:r>
      <w:r>
        <w:rPr>
          <w:color w:val="1F1F1F"/>
          <w:sz w:val="21"/>
        </w:rPr>
        <w:t>the</w:t>
      </w:r>
      <w:r>
        <w:rPr>
          <w:color w:val="1F1F1F"/>
          <w:spacing w:val="-14"/>
          <w:sz w:val="21"/>
        </w:rPr>
        <w:t> </w:t>
      </w:r>
      <w:r>
        <w:rPr>
          <w:color w:val="1F1F1F"/>
          <w:sz w:val="21"/>
        </w:rPr>
        <w:t>Council's</w:t>
      </w:r>
      <w:r>
        <w:rPr>
          <w:color w:val="1F1F1F"/>
          <w:spacing w:val="-15"/>
          <w:sz w:val="21"/>
        </w:rPr>
        <w:t> </w:t>
      </w:r>
      <w:r>
        <w:rPr>
          <w:color w:val="1F1F1F"/>
          <w:sz w:val="21"/>
        </w:rPr>
        <w:t>assets,</w:t>
      </w:r>
      <w:r>
        <w:rPr>
          <w:color w:val="1F1F1F"/>
          <w:spacing w:val="-10"/>
          <w:sz w:val="21"/>
        </w:rPr>
        <w:t> </w:t>
      </w:r>
      <w:r>
        <w:rPr>
          <w:color w:val="1F1F1F"/>
          <w:sz w:val="21"/>
        </w:rPr>
        <w:t>the</w:t>
      </w:r>
      <w:r>
        <w:rPr>
          <w:color w:val="1F1F1F"/>
          <w:spacing w:val="-15"/>
          <w:sz w:val="21"/>
        </w:rPr>
        <w:t> </w:t>
      </w:r>
      <w:r>
        <w:rPr>
          <w:color w:val="1F1F1F"/>
          <w:sz w:val="21"/>
        </w:rPr>
        <w:t>loan</w:t>
      </w:r>
      <w:r>
        <w:rPr>
          <w:color w:val="1F1F1F"/>
          <w:spacing w:val="-10"/>
          <w:sz w:val="21"/>
        </w:rPr>
        <w:t> </w:t>
      </w:r>
      <w:r>
        <w:rPr>
          <w:color w:val="1F1F1F"/>
          <w:sz w:val="21"/>
        </w:rPr>
        <w:t>to</w:t>
      </w:r>
      <w:r>
        <w:rPr>
          <w:color w:val="1F1F1F"/>
          <w:spacing w:val="-14"/>
          <w:sz w:val="21"/>
        </w:rPr>
        <w:t> </w:t>
      </w:r>
      <w:r>
        <w:rPr>
          <w:color w:val="1F1F1F"/>
          <w:sz w:val="21"/>
        </w:rPr>
        <w:t>be</w:t>
      </w:r>
      <w:r>
        <w:rPr>
          <w:color w:val="1F1F1F"/>
          <w:spacing w:val="-12"/>
          <w:sz w:val="21"/>
        </w:rPr>
        <w:t> </w:t>
      </w:r>
      <w:r>
        <w:rPr>
          <w:color w:val="313131"/>
          <w:sz w:val="21"/>
        </w:rPr>
        <w:t>repaid</w:t>
      </w:r>
      <w:r>
        <w:rPr>
          <w:color w:val="313131"/>
          <w:spacing w:val="-10"/>
          <w:sz w:val="21"/>
        </w:rPr>
        <w:t> </w:t>
      </w:r>
      <w:r>
        <w:rPr>
          <w:color w:val="1F1F1F"/>
          <w:sz w:val="21"/>
        </w:rPr>
        <w:t>over</w:t>
      </w:r>
      <w:r>
        <w:rPr>
          <w:color w:val="1F1F1F"/>
          <w:spacing w:val="-7"/>
          <w:sz w:val="21"/>
        </w:rPr>
        <w:t> </w:t>
      </w:r>
      <w:r>
        <w:rPr>
          <w:color w:val="1F1F1F"/>
          <w:sz w:val="21"/>
        </w:rPr>
        <w:t>the</w:t>
      </w:r>
      <w:r>
        <w:rPr>
          <w:color w:val="1F1F1F"/>
          <w:spacing w:val="-15"/>
          <w:sz w:val="21"/>
        </w:rPr>
        <w:t> </w:t>
      </w:r>
      <w:r>
        <w:rPr>
          <w:color w:val="1F1F1F"/>
          <w:sz w:val="21"/>
        </w:rPr>
        <w:t>contract</w:t>
      </w:r>
      <w:r>
        <w:rPr>
          <w:color w:val="1F1F1F"/>
          <w:spacing w:val="-4"/>
          <w:sz w:val="21"/>
        </w:rPr>
        <w:t> </w:t>
      </w:r>
      <w:r>
        <w:rPr>
          <w:color w:val="1F1F1F"/>
          <w:sz w:val="21"/>
        </w:rPr>
        <w:t>term</w:t>
      </w:r>
      <w:r>
        <w:rPr>
          <w:color w:val="7E7E7E"/>
          <w:sz w:val="21"/>
        </w:rPr>
        <w:t>. </w:t>
      </w:r>
      <w:r>
        <w:rPr>
          <w:color w:val="1F1F1F"/>
          <w:sz w:val="21"/>
        </w:rPr>
        <w:t>The loan balance at the end of 2022/23 </w:t>
      </w:r>
      <w:r>
        <w:rPr>
          <w:color w:val="313131"/>
          <w:sz w:val="21"/>
        </w:rPr>
        <w:t>is </w:t>
      </w:r>
      <w:r>
        <w:rPr>
          <w:color w:val="1F1F1F"/>
          <w:sz w:val="21"/>
        </w:rPr>
        <w:t>£4</w:t>
      </w:r>
      <w:r>
        <w:rPr>
          <w:color w:val="595959"/>
          <w:sz w:val="21"/>
        </w:rPr>
        <w:t>.</w:t>
      </w:r>
      <w:r>
        <w:rPr>
          <w:color w:val="1F1F1F"/>
          <w:sz w:val="21"/>
        </w:rPr>
        <w:t>363 million.</w:t>
      </w:r>
    </w:p>
    <w:p>
      <w:pPr>
        <w:spacing w:before="11" w:line="240" w:lineRule="auto"/>
        <w:ind w:left="181" w:right="764" w:hanging="6"/>
        <w:jc w:val="both"/>
        <w:rPr>
          <w:sz w:val="21"/>
        </w:rPr>
      </w:pPr>
      <w:r>
        <w:rPr>
          <w:color w:val="313131"/>
          <w:sz w:val="21"/>
        </w:rPr>
        <w:t>The </w:t>
      </w:r>
      <w:r>
        <w:rPr>
          <w:color w:val="1F1F1F"/>
          <w:sz w:val="21"/>
        </w:rPr>
        <w:t>Council </w:t>
      </w:r>
      <w:r>
        <w:rPr>
          <w:color w:val="313131"/>
          <w:sz w:val="21"/>
        </w:rPr>
        <w:t>is </w:t>
      </w:r>
      <w:r>
        <w:rPr>
          <w:color w:val="1F1F1F"/>
          <w:sz w:val="21"/>
        </w:rPr>
        <w:t>represented</w:t>
      </w:r>
      <w:r>
        <w:rPr>
          <w:color w:val="1F1F1F"/>
          <w:spacing w:val="32"/>
          <w:sz w:val="21"/>
        </w:rPr>
        <w:t> </w:t>
      </w:r>
      <w:r>
        <w:rPr>
          <w:color w:val="1F1F1F"/>
          <w:sz w:val="21"/>
        </w:rPr>
        <w:t>on </w:t>
      </w:r>
      <w:r>
        <w:rPr>
          <w:color w:val="313131"/>
          <w:sz w:val="21"/>
        </w:rPr>
        <w:t>the </w:t>
      </w:r>
      <w:r>
        <w:rPr>
          <w:color w:val="1F1F1F"/>
          <w:sz w:val="21"/>
        </w:rPr>
        <w:t>Joint Committee</w:t>
      </w:r>
      <w:r>
        <w:rPr>
          <w:color w:val="595959"/>
          <w:sz w:val="21"/>
        </w:rPr>
        <w:t>,</w:t>
      </w:r>
      <w:r>
        <w:rPr>
          <w:color w:val="595959"/>
          <w:spacing w:val="-2"/>
          <w:sz w:val="21"/>
        </w:rPr>
        <w:t> </w:t>
      </w:r>
      <w:r>
        <w:rPr>
          <w:color w:val="1F1F1F"/>
          <w:sz w:val="21"/>
        </w:rPr>
        <w:t>or governing body</w:t>
      </w:r>
      <w:r>
        <w:rPr>
          <w:color w:val="595959"/>
          <w:sz w:val="21"/>
        </w:rPr>
        <w:t>, </w:t>
      </w:r>
      <w:r>
        <w:rPr>
          <w:color w:val="1F1F1F"/>
          <w:sz w:val="21"/>
        </w:rPr>
        <w:t>of West Herts Crematorium.</w:t>
      </w:r>
      <w:r>
        <w:rPr>
          <w:color w:val="1F1F1F"/>
          <w:spacing w:val="40"/>
          <w:sz w:val="21"/>
        </w:rPr>
        <w:t> </w:t>
      </w:r>
      <w:r>
        <w:rPr>
          <w:color w:val="1F1F1F"/>
          <w:sz w:val="21"/>
        </w:rPr>
        <w:t>Each of </w:t>
      </w:r>
      <w:r>
        <w:rPr>
          <w:color w:val="313131"/>
          <w:sz w:val="21"/>
        </w:rPr>
        <w:t>the </w:t>
      </w:r>
      <w:r>
        <w:rPr>
          <w:color w:val="1F1F1F"/>
          <w:sz w:val="21"/>
        </w:rPr>
        <w:t>four Hertfordshire boroughs represented is required to contribute to any deficit </w:t>
      </w:r>
      <w:r>
        <w:rPr>
          <w:color w:val="313131"/>
          <w:sz w:val="21"/>
        </w:rPr>
        <w:t>incurred </w:t>
      </w:r>
      <w:r>
        <w:rPr>
          <w:color w:val="1F1F1F"/>
          <w:sz w:val="21"/>
        </w:rPr>
        <w:t>by the operations of </w:t>
      </w:r>
      <w:r>
        <w:rPr>
          <w:color w:val="313131"/>
          <w:sz w:val="21"/>
        </w:rPr>
        <w:t>the </w:t>
      </w:r>
      <w:r>
        <w:rPr>
          <w:color w:val="1F1F1F"/>
          <w:sz w:val="21"/>
        </w:rPr>
        <w:t>crematorium.</w:t>
      </w:r>
      <w:r>
        <w:rPr>
          <w:color w:val="1F1F1F"/>
          <w:spacing w:val="80"/>
          <w:sz w:val="21"/>
        </w:rPr>
        <w:t> </w:t>
      </w:r>
      <w:r>
        <w:rPr>
          <w:color w:val="1F1F1F"/>
          <w:sz w:val="21"/>
        </w:rPr>
        <w:t>The Council made </w:t>
      </w:r>
      <w:r>
        <w:rPr>
          <w:color w:val="313131"/>
          <w:sz w:val="21"/>
        </w:rPr>
        <w:t>no </w:t>
      </w:r>
      <w:r>
        <w:rPr>
          <w:color w:val="1F1F1F"/>
          <w:sz w:val="21"/>
        </w:rPr>
        <w:t>such contribution </w:t>
      </w:r>
      <w:r>
        <w:rPr>
          <w:color w:val="313131"/>
          <w:sz w:val="21"/>
        </w:rPr>
        <w:t>in</w:t>
      </w:r>
      <w:r>
        <w:rPr>
          <w:color w:val="313131"/>
          <w:spacing w:val="-1"/>
          <w:sz w:val="21"/>
        </w:rPr>
        <w:t> </w:t>
      </w:r>
      <w:r>
        <w:rPr>
          <w:color w:val="1F1F1F"/>
          <w:sz w:val="21"/>
        </w:rPr>
        <w:t>the year (2022</w:t>
      </w:r>
      <w:r>
        <w:rPr>
          <w:color w:val="595959"/>
          <w:sz w:val="21"/>
        </w:rPr>
        <w:t>:</w:t>
      </w:r>
      <w:r>
        <w:rPr>
          <w:color w:val="595959"/>
          <w:spacing w:val="-15"/>
          <w:sz w:val="21"/>
        </w:rPr>
        <w:t> </w:t>
      </w:r>
      <w:r>
        <w:rPr>
          <w:color w:val="1F1F1F"/>
          <w:sz w:val="21"/>
        </w:rPr>
        <w:t>£nil).</w:t>
      </w:r>
      <w:r>
        <w:rPr>
          <w:color w:val="1F1F1F"/>
          <w:spacing w:val="40"/>
          <w:sz w:val="21"/>
        </w:rPr>
        <w:t> </w:t>
      </w:r>
      <w:r>
        <w:rPr>
          <w:color w:val="313131"/>
          <w:sz w:val="21"/>
        </w:rPr>
        <w:t>The </w:t>
      </w:r>
      <w:r>
        <w:rPr>
          <w:color w:val="1F1F1F"/>
          <w:sz w:val="21"/>
        </w:rPr>
        <w:t>Joint Committee </w:t>
      </w:r>
      <w:r>
        <w:rPr>
          <w:color w:val="444444"/>
          <w:sz w:val="21"/>
        </w:rPr>
        <w:t>is </w:t>
      </w:r>
      <w:r>
        <w:rPr>
          <w:color w:val="1F1F1F"/>
          <w:sz w:val="21"/>
        </w:rPr>
        <w:t>required to return to the councils any surpluses arising </w:t>
      </w:r>
      <w:r>
        <w:rPr>
          <w:color w:val="0C0C0C"/>
          <w:sz w:val="21"/>
        </w:rPr>
        <w:t>after </w:t>
      </w:r>
      <w:r>
        <w:rPr>
          <w:color w:val="1F1F1F"/>
          <w:sz w:val="21"/>
        </w:rPr>
        <w:t>financing of capital expenditure</w:t>
      </w:r>
      <w:r>
        <w:rPr>
          <w:color w:val="595959"/>
          <w:sz w:val="21"/>
        </w:rPr>
        <w:t>, </w:t>
      </w:r>
      <w:r>
        <w:rPr>
          <w:color w:val="1F1F1F"/>
          <w:sz w:val="21"/>
        </w:rPr>
        <w:t>repayment</w:t>
      </w:r>
      <w:r>
        <w:rPr>
          <w:color w:val="1F1F1F"/>
          <w:spacing w:val="-11"/>
          <w:sz w:val="21"/>
        </w:rPr>
        <w:t> </w:t>
      </w:r>
      <w:r>
        <w:rPr>
          <w:color w:val="1F1F1F"/>
          <w:sz w:val="21"/>
        </w:rPr>
        <w:t>of</w:t>
      </w:r>
      <w:r>
        <w:rPr>
          <w:color w:val="1F1F1F"/>
          <w:spacing w:val="-14"/>
          <w:sz w:val="21"/>
        </w:rPr>
        <w:t> </w:t>
      </w:r>
      <w:r>
        <w:rPr>
          <w:color w:val="1F1F1F"/>
          <w:sz w:val="21"/>
        </w:rPr>
        <w:t>debt</w:t>
      </w:r>
      <w:r>
        <w:rPr>
          <w:color w:val="1F1F1F"/>
          <w:spacing w:val="-5"/>
          <w:sz w:val="21"/>
        </w:rPr>
        <w:t> </w:t>
      </w:r>
      <w:r>
        <w:rPr>
          <w:color w:val="1F1F1F"/>
          <w:sz w:val="21"/>
        </w:rPr>
        <w:t>and</w:t>
      </w:r>
      <w:r>
        <w:rPr>
          <w:color w:val="1F1F1F"/>
          <w:spacing w:val="-11"/>
          <w:sz w:val="21"/>
        </w:rPr>
        <w:t> </w:t>
      </w:r>
      <w:r>
        <w:rPr>
          <w:color w:val="1F1F1F"/>
          <w:sz w:val="21"/>
        </w:rPr>
        <w:t>transfers</w:t>
      </w:r>
      <w:r>
        <w:rPr>
          <w:color w:val="1F1F1F"/>
          <w:spacing w:val="-2"/>
          <w:sz w:val="21"/>
        </w:rPr>
        <w:t> </w:t>
      </w:r>
      <w:r>
        <w:rPr>
          <w:color w:val="1F1F1F"/>
          <w:sz w:val="21"/>
        </w:rPr>
        <w:t>to</w:t>
      </w:r>
      <w:r>
        <w:rPr>
          <w:color w:val="1F1F1F"/>
          <w:spacing w:val="-9"/>
          <w:sz w:val="21"/>
        </w:rPr>
        <w:t> </w:t>
      </w:r>
      <w:r>
        <w:rPr>
          <w:color w:val="1F1F1F"/>
          <w:sz w:val="21"/>
        </w:rPr>
        <w:t>reserves</w:t>
      </w:r>
      <w:r>
        <w:rPr>
          <w:color w:val="696969"/>
          <w:sz w:val="21"/>
        </w:rPr>
        <w:t>.</w:t>
      </w:r>
      <w:r>
        <w:rPr>
          <w:color w:val="696969"/>
          <w:spacing w:val="25"/>
          <w:sz w:val="21"/>
        </w:rPr>
        <w:t> </w:t>
      </w:r>
      <w:r>
        <w:rPr>
          <w:color w:val="1F1F1F"/>
          <w:sz w:val="21"/>
        </w:rPr>
        <w:t>During </w:t>
      </w:r>
      <w:r>
        <w:rPr>
          <w:color w:val="313131"/>
          <w:sz w:val="21"/>
        </w:rPr>
        <w:t>the</w:t>
      </w:r>
      <w:r>
        <w:rPr>
          <w:color w:val="313131"/>
          <w:spacing w:val="-10"/>
          <w:sz w:val="21"/>
        </w:rPr>
        <w:t> </w:t>
      </w:r>
      <w:r>
        <w:rPr>
          <w:color w:val="1F1F1F"/>
          <w:sz w:val="21"/>
        </w:rPr>
        <w:t>year</w:t>
      </w:r>
      <w:r>
        <w:rPr>
          <w:color w:val="595959"/>
          <w:sz w:val="21"/>
        </w:rPr>
        <w:t>,</w:t>
      </w:r>
      <w:r>
        <w:rPr>
          <w:color w:val="595959"/>
          <w:spacing w:val="-15"/>
          <w:sz w:val="21"/>
        </w:rPr>
        <w:t> </w:t>
      </w:r>
      <w:r>
        <w:rPr>
          <w:color w:val="1F1F1F"/>
          <w:sz w:val="21"/>
        </w:rPr>
        <w:t>the</w:t>
      </w:r>
      <w:r>
        <w:rPr>
          <w:color w:val="1F1F1F"/>
          <w:spacing w:val="-9"/>
          <w:sz w:val="21"/>
        </w:rPr>
        <w:t> </w:t>
      </w:r>
      <w:r>
        <w:rPr>
          <w:color w:val="1F1F1F"/>
          <w:sz w:val="21"/>
        </w:rPr>
        <w:t>Council received a share of such surpluses in</w:t>
      </w:r>
      <w:r>
        <w:rPr>
          <w:color w:val="1F1F1F"/>
          <w:spacing w:val="-5"/>
          <w:sz w:val="21"/>
        </w:rPr>
        <w:t> </w:t>
      </w:r>
      <w:r>
        <w:rPr>
          <w:color w:val="1F1F1F"/>
          <w:sz w:val="21"/>
        </w:rPr>
        <w:t>the sum of</w:t>
      </w:r>
      <w:r>
        <w:rPr>
          <w:color w:val="1F1F1F"/>
          <w:spacing w:val="-2"/>
          <w:sz w:val="21"/>
        </w:rPr>
        <w:t> </w:t>
      </w:r>
      <w:r>
        <w:rPr>
          <w:color w:val="1F1F1F"/>
          <w:sz w:val="21"/>
        </w:rPr>
        <w:t>£50k (2022: £50k).</w:t>
      </w:r>
    </w:p>
    <w:p>
      <w:pPr>
        <w:pStyle w:val="BodyText"/>
        <w:spacing w:before="13"/>
        <w:rPr>
          <w:sz w:val="21"/>
        </w:rPr>
      </w:pPr>
    </w:p>
    <w:p>
      <w:pPr>
        <w:spacing w:before="0" w:line="240" w:lineRule="auto"/>
        <w:ind w:left="186" w:right="754" w:firstLine="4"/>
        <w:jc w:val="both"/>
        <w:rPr>
          <w:sz w:val="21"/>
        </w:rPr>
      </w:pPr>
      <w:r>
        <w:rPr>
          <w:color w:val="313131"/>
          <w:sz w:val="21"/>
        </w:rPr>
        <w:t>The </w:t>
      </w:r>
      <w:r>
        <w:rPr>
          <w:color w:val="1F1F1F"/>
          <w:sz w:val="21"/>
        </w:rPr>
        <w:t>Council participates in the Hertfordshire CCTV Partnership </w:t>
      </w:r>
      <w:r>
        <w:rPr>
          <w:color w:val="313131"/>
          <w:sz w:val="21"/>
        </w:rPr>
        <w:t>in </w:t>
      </w:r>
      <w:r>
        <w:rPr>
          <w:color w:val="1F1F1F"/>
          <w:sz w:val="21"/>
        </w:rPr>
        <w:t>conjunction with three other boroughs</w:t>
      </w:r>
      <w:r>
        <w:rPr>
          <w:color w:val="595959"/>
          <w:sz w:val="21"/>
        </w:rPr>
        <w:t>.</w:t>
      </w:r>
      <w:r>
        <w:rPr>
          <w:color w:val="595959"/>
          <w:spacing w:val="40"/>
          <w:sz w:val="21"/>
        </w:rPr>
        <w:t> </w:t>
      </w:r>
      <w:r>
        <w:rPr>
          <w:color w:val="1F1F1F"/>
          <w:sz w:val="21"/>
        </w:rPr>
        <w:t>The </w:t>
      </w:r>
      <w:r>
        <w:rPr>
          <w:color w:val="313131"/>
          <w:sz w:val="21"/>
        </w:rPr>
        <w:t>lead </w:t>
      </w:r>
      <w:r>
        <w:rPr>
          <w:color w:val="1F1F1F"/>
          <w:sz w:val="21"/>
        </w:rPr>
        <w:t>partner </w:t>
      </w:r>
      <w:r>
        <w:rPr>
          <w:color w:val="313131"/>
          <w:sz w:val="21"/>
        </w:rPr>
        <w:t>is </w:t>
      </w:r>
      <w:r>
        <w:rPr>
          <w:color w:val="1F1F1F"/>
          <w:sz w:val="21"/>
        </w:rPr>
        <w:t>Stevenage Borough Council</w:t>
      </w:r>
      <w:r>
        <w:rPr>
          <w:color w:val="595959"/>
          <w:sz w:val="21"/>
        </w:rPr>
        <w:t>,</w:t>
      </w:r>
      <w:r>
        <w:rPr>
          <w:color w:val="595959"/>
          <w:spacing w:val="-11"/>
          <w:sz w:val="21"/>
        </w:rPr>
        <w:t> </w:t>
      </w:r>
      <w:r>
        <w:rPr>
          <w:color w:val="1F1F1F"/>
          <w:sz w:val="21"/>
        </w:rPr>
        <w:t>on</w:t>
      </w:r>
      <w:r>
        <w:rPr>
          <w:color w:val="1F1F1F"/>
          <w:spacing w:val="-2"/>
          <w:sz w:val="21"/>
        </w:rPr>
        <w:t> </w:t>
      </w:r>
      <w:r>
        <w:rPr>
          <w:color w:val="1F1F1F"/>
          <w:sz w:val="21"/>
        </w:rPr>
        <w:t>whose premises the</w:t>
      </w:r>
      <w:r>
        <w:rPr>
          <w:color w:val="1F1F1F"/>
          <w:spacing w:val="-8"/>
          <w:sz w:val="21"/>
        </w:rPr>
        <w:t> </w:t>
      </w:r>
      <w:r>
        <w:rPr>
          <w:color w:val="1F1F1F"/>
          <w:sz w:val="21"/>
        </w:rPr>
        <w:t>control and monitoring room</w:t>
      </w:r>
      <w:r>
        <w:rPr>
          <w:color w:val="1F1F1F"/>
          <w:spacing w:val="-4"/>
          <w:sz w:val="21"/>
        </w:rPr>
        <w:t> </w:t>
      </w:r>
      <w:r>
        <w:rPr>
          <w:color w:val="1F1F1F"/>
          <w:sz w:val="21"/>
        </w:rPr>
        <w:t>is located</w:t>
      </w:r>
      <w:r>
        <w:rPr>
          <w:color w:val="595959"/>
          <w:sz w:val="21"/>
        </w:rPr>
        <w:t>.</w:t>
      </w:r>
      <w:r>
        <w:rPr>
          <w:color w:val="595959"/>
          <w:spacing w:val="40"/>
          <w:sz w:val="21"/>
        </w:rPr>
        <w:t> </w:t>
      </w:r>
      <w:r>
        <w:rPr>
          <w:color w:val="1F1F1F"/>
          <w:sz w:val="21"/>
        </w:rPr>
        <w:t>A limited company (Hertfordshire CCTV Partnership Limited</w:t>
      </w:r>
      <w:r>
        <w:rPr>
          <w:color w:val="595959"/>
          <w:sz w:val="21"/>
        </w:rPr>
        <w:t>, </w:t>
      </w:r>
      <w:r>
        <w:rPr>
          <w:color w:val="313131"/>
          <w:sz w:val="21"/>
        </w:rPr>
        <w:t>registration </w:t>
      </w:r>
      <w:r>
        <w:rPr>
          <w:color w:val="1F1F1F"/>
          <w:sz w:val="21"/>
        </w:rPr>
        <w:t>number 09295528) was formed in November 2014; the Council holds 14% of the share capital (£14) and </w:t>
      </w:r>
      <w:r>
        <w:rPr>
          <w:color w:val="313131"/>
          <w:sz w:val="21"/>
        </w:rPr>
        <w:t>is </w:t>
      </w:r>
      <w:r>
        <w:rPr>
          <w:color w:val="1F1F1F"/>
          <w:sz w:val="21"/>
        </w:rPr>
        <w:t>represented </w:t>
      </w:r>
      <w:r>
        <w:rPr>
          <w:color w:val="0C0C0C"/>
          <w:sz w:val="21"/>
        </w:rPr>
        <w:t>on </w:t>
      </w:r>
      <w:r>
        <w:rPr>
          <w:color w:val="1F1F1F"/>
          <w:sz w:val="21"/>
        </w:rPr>
        <w:t>the board. The</w:t>
      </w:r>
      <w:r>
        <w:rPr>
          <w:color w:val="1F1F1F"/>
          <w:spacing w:val="-1"/>
          <w:sz w:val="21"/>
        </w:rPr>
        <w:t> </w:t>
      </w:r>
      <w:r>
        <w:rPr>
          <w:color w:val="1F1F1F"/>
          <w:sz w:val="21"/>
        </w:rPr>
        <w:t>company commenced trading on</w:t>
      </w:r>
      <w:r>
        <w:rPr>
          <w:color w:val="1F1F1F"/>
          <w:spacing w:val="-5"/>
          <w:sz w:val="21"/>
        </w:rPr>
        <w:t> </w:t>
      </w:r>
      <w:r>
        <w:rPr>
          <w:color w:val="1F1F1F"/>
          <w:sz w:val="21"/>
        </w:rPr>
        <w:t>1 April 2015</w:t>
      </w:r>
      <w:r>
        <w:rPr>
          <w:color w:val="595959"/>
          <w:sz w:val="21"/>
        </w:rPr>
        <w:t>.</w:t>
      </w:r>
      <w:r>
        <w:rPr>
          <w:color w:val="595959"/>
          <w:spacing w:val="39"/>
          <w:sz w:val="21"/>
        </w:rPr>
        <w:t> </w:t>
      </w:r>
      <w:r>
        <w:rPr>
          <w:color w:val="1F1F1F"/>
          <w:sz w:val="21"/>
        </w:rPr>
        <w:t>Its</w:t>
      </w:r>
      <w:r>
        <w:rPr>
          <w:color w:val="1F1F1F"/>
          <w:spacing w:val="-5"/>
          <w:sz w:val="21"/>
        </w:rPr>
        <w:t> </w:t>
      </w:r>
      <w:r>
        <w:rPr>
          <w:color w:val="1F1F1F"/>
          <w:sz w:val="21"/>
        </w:rPr>
        <w:t>purpose </w:t>
      </w:r>
      <w:r>
        <w:rPr>
          <w:color w:val="313131"/>
          <w:sz w:val="21"/>
        </w:rPr>
        <w:t>is </w:t>
      </w:r>
      <w:r>
        <w:rPr>
          <w:color w:val="1F1F1F"/>
          <w:sz w:val="21"/>
        </w:rPr>
        <w:t>to enable </w:t>
      </w:r>
      <w:r>
        <w:rPr>
          <w:color w:val="313131"/>
          <w:sz w:val="21"/>
        </w:rPr>
        <w:t>the </w:t>
      </w:r>
      <w:r>
        <w:rPr>
          <w:color w:val="1F1F1F"/>
          <w:sz w:val="21"/>
        </w:rPr>
        <w:t>partnership to pursue commercial trading by providing services to third parties</w:t>
      </w:r>
      <w:r>
        <w:rPr>
          <w:color w:val="595959"/>
          <w:sz w:val="21"/>
        </w:rPr>
        <w:t>.</w:t>
      </w:r>
    </w:p>
    <w:p>
      <w:pPr>
        <w:pStyle w:val="BodyText"/>
        <w:spacing w:before="17"/>
        <w:rPr>
          <w:sz w:val="21"/>
        </w:rPr>
      </w:pPr>
    </w:p>
    <w:p>
      <w:pPr>
        <w:spacing w:before="0" w:line="240" w:lineRule="auto"/>
        <w:ind w:left="187" w:right="735" w:hanging="7"/>
        <w:jc w:val="both"/>
        <w:rPr>
          <w:sz w:val="21"/>
        </w:rPr>
      </w:pPr>
      <w:r>
        <w:rPr>
          <w:color w:val="0C0C0C"/>
          <w:sz w:val="21"/>
        </w:rPr>
        <w:t>The Council partnered with six local authorities across Hertfordshire to create a fully integrated Building Control service which was launched in </w:t>
      </w:r>
      <w:r>
        <w:rPr>
          <w:color w:val="1F1F1F"/>
          <w:sz w:val="21"/>
        </w:rPr>
        <w:t>August 2016</w:t>
      </w:r>
      <w:r>
        <w:rPr>
          <w:color w:val="696969"/>
          <w:sz w:val="21"/>
        </w:rPr>
        <w:t>. </w:t>
      </w:r>
      <w:r>
        <w:rPr>
          <w:color w:val="1F1F1F"/>
          <w:sz w:val="21"/>
        </w:rPr>
        <w:t>During 2019/20, an additional local authority </w:t>
      </w:r>
      <w:r>
        <w:rPr>
          <w:color w:val="313131"/>
          <w:sz w:val="21"/>
        </w:rPr>
        <w:t>joined </w:t>
      </w:r>
      <w:r>
        <w:rPr>
          <w:color w:val="1F1F1F"/>
          <w:sz w:val="21"/>
        </w:rPr>
        <w:t>the partnership to make a total of eight local authority partners. The Council holds 12</w:t>
      </w:r>
      <w:r>
        <w:rPr>
          <w:color w:val="696969"/>
          <w:sz w:val="21"/>
        </w:rPr>
        <w:t>.</w:t>
      </w:r>
      <w:r>
        <w:rPr>
          <w:color w:val="1F1F1F"/>
          <w:sz w:val="21"/>
        </w:rPr>
        <w:t>5% of the share capital (£8) and </w:t>
      </w:r>
      <w:r>
        <w:rPr>
          <w:color w:val="313131"/>
          <w:sz w:val="21"/>
        </w:rPr>
        <w:t>is </w:t>
      </w:r>
      <w:r>
        <w:rPr>
          <w:color w:val="1F1F1F"/>
          <w:sz w:val="21"/>
        </w:rPr>
        <w:t>represented on the board</w:t>
      </w:r>
      <w:r>
        <w:rPr>
          <w:color w:val="595959"/>
          <w:sz w:val="21"/>
        </w:rPr>
        <w:t>. </w:t>
      </w:r>
      <w:r>
        <w:rPr>
          <w:color w:val="1F1F1F"/>
          <w:sz w:val="21"/>
        </w:rPr>
        <w:t>Control is shared equally among the eight partners</w:t>
      </w:r>
      <w:r>
        <w:rPr>
          <w:color w:val="595959"/>
          <w:sz w:val="21"/>
        </w:rPr>
        <w:t>.</w:t>
      </w:r>
    </w:p>
    <w:p>
      <w:pPr>
        <w:spacing w:before="238"/>
        <w:ind w:left="192" w:right="758" w:firstLine="3"/>
        <w:jc w:val="both"/>
        <w:rPr>
          <w:sz w:val="21"/>
        </w:rPr>
      </w:pPr>
      <w:r>
        <w:rPr>
          <w:color w:val="313131"/>
          <w:sz w:val="21"/>
        </w:rPr>
        <w:t>In</w:t>
      </w:r>
      <w:r>
        <w:rPr>
          <w:color w:val="313131"/>
          <w:spacing w:val="-15"/>
          <w:sz w:val="21"/>
        </w:rPr>
        <w:t> </w:t>
      </w:r>
      <w:r>
        <w:rPr>
          <w:color w:val="1F1F1F"/>
          <w:sz w:val="21"/>
        </w:rPr>
        <w:t>2022/23</w:t>
      </w:r>
      <w:r>
        <w:rPr>
          <w:color w:val="1F1F1F"/>
          <w:spacing w:val="-15"/>
          <w:sz w:val="21"/>
        </w:rPr>
        <w:t> </w:t>
      </w:r>
      <w:r>
        <w:rPr>
          <w:color w:val="1F1F1F"/>
          <w:sz w:val="21"/>
        </w:rPr>
        <w:t>the</w:t>
      </w:r>
      <w:r>
        <w:rPr>
          <w:color w:val="1F1F1F"/>
          <w:spacing w:val="-14"/>
          <w:sz w:val="21"/>
        </w:rPr>
        <w:t> </w:t>
      </w:r>
      <w:r>
        <w:rPr>
          <w:color w:val="1F1F1F"/>
          <w:sz w:val="21"/>
        </w:rPr>
        <w:t>Council</w:t>
      </w:r>
      <w:r>
        <w:rPr>
          <w:color w:val="595959"/>
          <w:sz w:val="21"/>
        </w:rPr>
        <w:t>,</w:t>
      </w:r>
      <w:r>
        <w:rPr>
          <w:color w:val="595959"/>
          <w:spacing w:val="-15"/>
          <w:sz w:val="21"/>
        </w:rPr>
        <w:t> </w:t>
      </w:r>
      <w:r>
        <w:rPr>
          <w:color w:val="1F1F1F"/>
          <w:sz w:val="21"/>
        </w:rPr>
        <w:t>having</w:t>
      </w:r>
      <w:r>
        <w:rPr>
          <w:color w:val="1F1F1F"/>
          <w:spacing w:val="-14"/>
          <w:sz w:val="21"/>
        </w:rPr>
        <w:t> </w:t>
      </w:r>
      <w:r>
        <w:rPr>
          <w:color w:val="1F1F1F"/>
          <w:sz w:val="21"/>
        </w:rPr>
        <w:t>reviewed</w:t>
      </w:r>
      <w:r>
        <w:rPr>
          <w:color w:val="1F1F1F"/>
          <w:spacing w:val="-15"/>
          <w:sz w:val="21"/>
        </w:rPr>
        <w:t> </w:t>
      </w:r>
      <w:r>
        <w:rPr>
          <w:color w:val="1F1F1F"/>
          <w:sz w:val="21"/>
        </w:rPr>
        <w:t>the</w:t>
      </w:r>
      <w:r>
        <w:rPr>
          <w:color w:val="1F1F1F"/>
          <w:spacing w:val="-14"/>
          <w:sz w:val="21"/>
        </w:rPr>
        <w:t> </w:t>
      </w:r>
      <w:r>
        <w:rPr>
          <w:color w:val="1F1F1F"/>
          <w:sz w:val="21"/>
        </w:rPr>
        <w:t>position</w:t>
      </w:r>
      <w:r>
        <w:rPr>
          <w:color w:val="595959"/>
          <w:sz w:val="21"/>
        </w:rPr>
        <w:t>,</w:t>
      </w:r>
      <w:r>
        <w:rPr>
          <w:color w:val="595959"/>
          <w:spacing w:val="-15"/>
          <w:sz w:val="21"/>
        </w:rPr>
        <w:t> </w:t>
      </w:r>
      <w:r>
        <w:rPr>
          <w:color w:val="1F1F1F"/>
          <w:sz w:val="21"/>
        </w:rPr>
        <w:t>released</w:t>
      </w:r>
      <w:r>
        <w:rPr>
          <w:color w:val="1F1F1F"/>
          <w:spacing w:val="-9"/>
          <w:sz w:val="21"/>
        </w:rPr>
        <w:t> </w:t>
      </w:r>
      <w:r>
        <w:rPr>
          <w:color w:val="1F1F1F"/>
          <w:sz w:val="21"/>
        </w:rPr>
        <w:t>a</w:t>
      </w:r>
      <w:r>
        <w:rPr>
          <w:color w:val="1F1F1F"/>
          <w:spacing w:val="-10"/>
          <w:sz w:val="21"/>
        </w:rPr>
        <w:t> </w:t>
      </w:r>
      <w:r>
        <w:rPr>
          <w:color w:val="1F1F1F"/>
          <w:sz w:val="21"/>
        </w:rPr>
        <w:t>provision (£134k) for a potential share of earlier estimated </w:t>
      </w:r>
      <w:r>
        <w:rPr>
          <w:color w:val="313131"/>
          <w:sz w:val="21"/>
        </w:rPr>
        <w:t>l</w:t>
      </w:r>
      <w:r>
        <w:rPr>
          <w:color w:val="0C0C0C"/>
          <w:sz w:val="21"/>
        </w:rPr>
        <w:t>osses</w:t>
      </w:r>
      <w:r>
        <w:rPr>
          <w:color w:val="696969"/>
          <w:sz w:val="21"/>
        </w:rPr>
        <w:t>.</w:t>
      </w:r>
      <w:r>
        <w:rPr>
          <w:color w:val="696969"/>
          <w:spacing w:val="-11"/>
          <w:sz w:val="21"/>
        </w:rPr>
        <w:t> </w:t>
      </w:r>
      <w:r>
        <w:rPr>
          <w:color w:val="1F1F1F"/>
          <w:sz w:val="21"/>
        </w:rPr>
        <w:t>In August 2016 the Council made a loan of £107k to </w:t>
      </w:r>
      <w:r>
        <w:rPr>
          <w:color w:val="313131"/>
          <w:sz w:val="21"/>
        </w:rPr>
        <w:t>the </w:t>
      </w:r>
      <w:r>
        <w:rPr>
          <w:color w:val="1F1F1F"/>
          <w:sz w:val="21"/>
        </w:rPr>
        <w:t>company which </w:t>
      </w:r>
      <w:r>
        <w:rPr>
          <w:color w:val="313131"/>
          <w:sz w:val="21"/>
        </w:rPr>
        <w:t>is </w:t>
      </w:r>
      <w:r>
        <w:rPr>
          <w:color w:val="1F1F1F"/>
          <w:sz w:val="21"/>
        </w:rPr>
        <w:t>held </w:t>
      </w:r>
      <w:r>
        <w:rPr>
          <w:color w:val="444444"/>
          <w:sz w:val="21"/>
        </w:rPr>
        <w:t>in </w:t>
      </w:r>
      <w:r>
        <w:rPr>
          <w:color w:val="1F1F1F"/>
          <w:sz w:val="21"/>
        </w:rPr>
        <w:t>Long Term Debtors on the balance sheet.</w:t>
      </w:r>
    </w:p>
    <w:p>
      <w:pPr>
        <w:spacing w:after="0"/>
        <w:jc w:val="both"/>
        <w:rPr>
          <w:sz w:val="21"/>
        </w:rPr>
        <w:sectPr>
          <w:type w:val="continuous"/>
          <w:pgSz w:w="11910" w:h="16830"/>
          <w:pgMar w:top="1940" w:right="340" w:bottom="280" w:left="0" w:header="0" w:footer="1159"/>
          <w:cols w:equalWidth="0" w:num="2">
            <w:col w:w="3808" w:space="40"/>
            <w:col w:w="7722"/>
          </w:cols>
        </w:sectPr>
      </w:pPr>
    </w:p>
    <w:p>
      <w:pPr>
        <w:tabs>
          <w:tab w:val="left" w:leader="none" w:pos="1977"/>
        </w:tabs>
        <w:spacing w:before="83"/>
        <w:ind w:left="1252" w:right="0" w:firstLine="0"/>
        <w:jc w:val="left"/>
        <w:rPr>
          <w:sz w:val="15"/>
        </w:rPr>
      </w:pPr>
      <w:r>
        <w:rPr/>
        <ve:AlternateContent>
          <ve:Choice Requires="wps">
            <w:drawing>
              <wp:anchor distT="0" distB="0" distL="0" distR="0" simplePos="0" relativeHeight="15868928" behindDoc="0" locked="0" layoutInCell="1" allowOverlap="1">
                <wp:simplePos x="0" y="0"/>
                <wp:positionH relativeFrom="page">
                  <wp:posOffset>15264</wp:posOffset>
                </wp:positionH>
                <wp:positionV relativeFrom="page">
                  <wp:posOffset>10112609</wp:posOffset>
                </wp:positionV>
                <wp:extent cx="1270" cy="464184"/>
                <wp:effectExtent l="0" t="0" r="0" b="0"/>
                <wp:wrapNone/>
                <wp:docPr id="630" name="Graphic 630"/>
                <wp:cNvGraphicFramePr>
                  <a:graphicFrameLocks/>
                </wp:cNvGraphicFramePr>
                <a:graphic>
                  <a:graphicData uri="http://schemas.microsoft.com/office/word/2010/wordprocessingShape">
                    <wps:wsp>
                      <wps:cNvPr id="630" name="Graphic 630"/>
                      <wps:cNvSpPr/>
                      <wps:spPr>
                        <a:xfrm>
                          <a:off x="0" y="0"/>
                          <a:ext cx="1270" cy="464184"/>
                        </a:xfrm>
                        <a:custGeom>
                          <a:avLst/>
                          <a:gdLst/>
                          <a:ahLst/>
                          <a:cxnLst/>
                          <a:rect l="l" t="t" r="r" b="b"/>
                          <a:pathLst>
                            <a:path w="0" h="464184">
                              <a:moveTo>
                                <a:pt x="0" y="463824"/>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68928" stroked="true" strokecolor="#000000" strokeweight="1.201936pt" from="1.201936pt,832.790116pt" to="1.201936pt,796.268494pt">
                <v:stroke dashstyle="solid"/>
                <w10:wrap type="none"/>
              </v:line>
            </w:pict>
          </ve:Fallback>
        </ve:AlternateContent>
      </w:r>
      <w:r>
        <w:rPr>
          <w:color w:val="494949"/>
          <w:spacing w:val="-5"/>
          <w:sz w:val="14"/>
        </w:rPr>
        <w:t>•3</w:t>
      </w:r>
      <w:r>
        <w:rPr>
          <w:color w:val="494949"/>
          <w:sz w:val="14"/>
        </w:rPr>
        <w:tab/>
      </w:r>
      <w:r>
        <w:rPr>
          <w:color w:val="5D5D5D"/>
          <w:w w:val="110"/>
          <w:sz w:val="15"/>
        </w:rPr>
        <w:t>CCL'</w:t>
      </w:r>
      <w:r>
        <w:rPr>
          <w:color w:val="5D5D5D"/>
          <w:spacing w:val="-9"/>
          <w:w w:val="110"/>
          <w:sz w:val="15"/>
        </w:rPr>
        <w:t> </w:t>
      </w:r>
      <w:r>
        <w:rPr>
          <w:color w:val="5D5D5D"/>
          <w:w w:val="110"/>
          <w:sz w:val="15"/>
        </w:rPr>
        <w:t>ECT!ON</w:t>
      </w:r>
      <w:r>
        <w:rPr>
          <w:color w:val="5D5D5D"/>
          <w:spacing w:val="6"/>
          <w:w w:val="110"/>
          <w:sz w:val="15"/>
        </w:rPr>
        <w:t> </w:t>
      </w:r>
      <w:r>
        <w:rPr>
          <w:color w:val="494949"/>
          <w:spacing w:val="-4"/>
          <w:w w:val="110"/>
          <w:sz w:val="15"/>
        </w:rPr>
        <w:t>ruNo</w:t>
      </w:r>
    </w:p>
    <w:p>
      <w:pPr>
        <w:pStyle w:val="BodyText"/>
        <w:spacing w:before="75"/>
        <w:rPr>
          <w:sz w:val="15"/>
        </w:rPr>
      </w:pPr>
    </w:p>
    <w:p>
      <w:pPr>
        <w:tabs>
          <w:tab w:val="left" w:leader="none" w:pos="1923"/>
        </w:tabs>
        <w:spacing w:before="0"/>
        <w:ind w:left="1241" w:right="0" w:firstLine="0"/>
        <w:jc w:val="left"/>
        <w:rPr>
          <w:b/>
          <w:sz w:val="21"/>
        </w:rPr>
      </w:pPr>
      <w:r>
        <w:rPr>
          <w:b/>
          <w:color w:val="313131"/>
          <w:spacing w:val="-5"/>
          <w:w w:val="105"/>
          <w:sz w:val="21"/>
        </w:rPr>
        <w:t>6.0</w:t>
      </w:r>
      <w:r>
        <w:rPr>
          <w:b/>
          <w:color w:val="313131"/>
          <w:sz w:val="21"/>
        </w:rPr>
        <w:tab/>
      </w:r>
      <w:r>
        <w:rPr>
          <w:b/>
          <w:color w:val="313131"/>
          <w:w w:val="105"/>
          <w:sz w:val="21"/>
        </w:rPr>
        <w:t>The</w:t>
      </w:r>
      <w:r>
        <w:rPr>
          <w:b/>
          <w:color w:val="313131"/>
          <w:spacing w:val="-11"/>
          <w:w w:val="105"/>
          <w:sz w:val="21"/>
        </w:rPr>
        <w:t> </w:t>
      </w:r>
      <w:r>
        <w:rPr>
          <w:b/>
          <w:color w:val="313131"/>
          <w:w w:val="105"/>
          <w:sz w:val="21"/>
        </w:rPr>
        <w:t>Collection</w:t>
      </w:r>
      <w:r>
        <w:rPr>
          <w:b/>
          <w:color w:val="313131"/>
          <w:spacing w:val="-4"/>
          <w:w w:val="105"/>
          <w:sz w:val="21"/>
        </w:rPr>
        <w:t> </w:t>
      </w:r>
      <w:r>
        <w:rPr>
          <w:b/>
          <w:color w:val="313131"/>
          <w:w w:val="105"/>
          <w:sz w:val="21"/>
        </w:rPr>
        <w:t>Fund</w:t>
      </w:r>
      <w:r>
        <w:rPr>
          <w:b/>
          <w:color w:val="313131"/>
          <w:spacing w:val="-12"/>
          <w:w w:val="105"/>
          <w:sz w:val="21"/>
        </w:rPr>
        <w:t> </w:t>
      </w:r>
      <w:r>
        <w:rPr>
          <w:b/>
          <w:color w:val="313131"/>
          <w:spacing w:val="-2"/>
          <w:w w:val="105"/>
          <w:sz w:val="21"/>
        </w:rPr>
        <w:t>Statement</w:t>
      </w:r>
    </w:p>
    <w:p>
      <w:pPr>
        <w:pStyle w:val="BodyText"/>
        <w:spacing w:before="35"/>
        <w:rPr>
          <w:b/>
          <w:sz w:val="20"/>
        </w:rPr>
      </w:pPr>
    </w:p>
    <w:tbl>
      <w:tblPr>
        <w:tblW w:w="0" w:type="auto"/>
        <w:jc w:val="left"/>
        <w:tblInd w:w="1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5359"/>
        <w:gridCol w:w="1694"/>
        <w:gridCol w:w="1401"/>
        <w:gridCol w:w="1027"/>
      </w:tblGrid>
      <w:tr>
        <w:trPr>
          <w:trHeight w:val="321" w:hRule="atLeast"/>
        </w:trPr>
        <w:tc>
          <w:tcPr>
            <w:tcW w:w="5359" w:type="dxa"/>
          </w:tcPr>
          <w:p>
            <w:pPr>
              <w:pStyle w:val="TableParagraph"/>
              <w:spacing w:line="235" w:lineRule="exact"/>
              <w:ind w:left="89"/>
              <w:rPr>
                <w:b/>
                <w:sz w:val="21"/>
              </w:rPr>
            </w:pPr>
            <w:r>
              <w:rPr>
                <w:b/>
                <w:color w:val="313131"/>
                <w:w w:val="105"/>
                <w:sz w:val="21"/>
              </w:rPr>
              <w:t>COLLECTION</w:t>
            </w:r>
            <w:r>
              <w:rPr>
                <w:b/>
                <w:color w:val="313131"/>
                <w:spacing w:val="-13"/>
                <w:w w:val="105"/>
                <w:sz w:val="21"/>
              </w:rPr>
              <w:t> </w:t>
            </w:r>
            <w:r>
              <w:rPr>
                <w:b/>
                <w:color w:val="313131"/>
                <w:w w:val="105"/>
                <w:sz w:val="21"/>
              </w:rPr>
              <w:t>FUND</w:t>
            </w:r>
            <w:r>
              <w:rPr>
                <w:b/>
                <w:color w:val="313131"/>
                <w:spacing w:val="-15"/>
                <w:w w:val="105"/>
                <w:sz w:val="21"/>
              </w:rPr>
              <w:t> </w:t>
            </w:r>
            <w:r>
              <w:rPr>
                <w:b/>
                <w:color w:val="313131"/>
                <w:w w:val="105"/>
                <w:sz w:val="21"/>
              </w:rPr>
              <w:t>2021-</w:t>
            </w:r>
            <w:r>
              <w:rPr>
                <w:b/>
                <w:color w:val="313131"/>
                <w:spacing w:val="-5"/>
                <w:w w:val="105"/>
                <w:sz w:val="21"/>
              </w:rPr>
              <w:t>22</w:t>
            </w:r>
          </w:p>
        </w:tc>
        <w:tc>
          <w:tcPr>
            <w:tcW w:w="4122" w:type="dxa"/>
            <w:gridSpan w:val="3"/>
          </w:tcPr>
          <w:p>
            <w:pPr>
              <w:pStyle w:val="TableParagraph"/>
              <w:rPr>
                <w:rFonts w:ascii="Times New Roman"/>
                <w:sz w:val="20"/>
              </w:rPr>
            </w:pPr>
          </w:p>
        </w:tc>
      </w:tr>
      <w:tr>
        <w:trPr>
          <w:trHeight w:val="569" w:hRule="atLeast"/>
        </w:trPr>
        <w:tc>
          <w:tcPr>
            <w:tcW w:w="5359" w:type="dxa"/>
          </w:tcPr>
          <w:p>
            <w:pPr>
              <w:pStyle w:val="TableParagraph"/>
              <w:rPr>
                <w:rFonts w:ascii="Times New Roman"/>
                <w:sz w:val="20"/>
              </w:rPr>
            </w:pPr>
          </w:p>
        </w:tc>
        <w:tc>
          <w:tcPr>
            <w:tcW w:w="1694" w:type="dxa"/>
          </w:tcPr>
          <w:p>
            <w:pPr>
              <w:pStyle w:val="TableParagraph"/>
              <w:spacing w:before="89" w:line="230" w:lineRule="exact"/>
              <w:ind w:left="691" w:right="282" w:hanging="169"/>
              <w:rPr>
                <w:b/>
                <w:sz w:val="21"/>
              </w:rPr>
            </w:pPr>
            <w:r>
              <w:rPr>
                <w:b/>
                <w:color w:val="080808"/>
                <w:spacing w:val="-8"/>
                <w:sz w:val="21"/>
              </w:rPr>
              <w:t>Business </w:t>
            </w:r>
            <w:r>
              <w:rPr>
                <w:b/>
                <w:color w:val="080808"/>
                <w:spacing w:val="-2"/>
                <w:sz w:val="21"/>
              </w:rPr>
              <w:t>Rates</w:t>
            </w:r>
          </w:p>
        </w:tc>
        <w:tc>
          <w:tcPr>
            <w:tcW w:w="1401" w:type="dxa"/>
          </w:tcPr>
          <w:p>
            <w:pPr>
              <w:pStyle w:val="TableParagraph"/>
              <w:spacing w:before="69"/>
              <w:rPr>
                <w:b/>
                <w:sz w:val="21"/>
              </w:rPr>
            </w:pPr>
          </w:p>
          <w:p>
            <w:pPr>
              <w:pStyle w:val="TableParagraph"/>
              <w:spacing w:line="239" w:lineRule="exact"/>
              <w:ind w:right="137"/>
              <w:jc w:val="right"/>
              <w:rPr>
                <w:b/>
                <w:sz w:val="21"/>
              </w:rPr>
            </w:pPr>
            <w:r>
              <w:rPr>
                <w:b/>
                <w:color w:val="080808"/>
                <w:spacing w:val="-6"/>
                <w:sz w:val="21"/>
              </w:rPr>
              <w:t>Council</w:t>
            </w:r>
            <w:r>
              <w:rPr>
                <w:b/>
                <w:color w:val="080808"/>
                <w:spacing w:val="-5"/>
                <w:sz w:val="21"/>
              </w:rPr>
              <w:t> Tax</w:t>
            </w:r>
          </w:p>
        </w:tc>
        <w:tc>
          <w:tcPr>
            <w:tcW w:w="1027" w:type="dxa"/>
          </w:tcPr>
          <w:p>
            <w:pPr>
              <w:pStyle w:val="TableParagraph"/>
              <w:spacing w:before="64"/>
              <w:rPr>
                <w:b/>
                <w:sz w:val="21"/>
              </w:rPr>
            </w:pPr>
          </w:p>
          <w:p>
            <w:pPr>
              <w:pStyle w:val="TableParagraph"/>
              <w:ind w:left="327"/>
              <w:rPr>
                <w:b/>
                <w:sz w:val="21"/>
              </w:rPr>
            </w:pPr>
            <w:r>
              <w:rPr>
                <w:b/>
                <w:color w:val="080808"/>
                <w:spacing w:val="-2"/>
                <w:sz w:val="21"/>
              </w:rPr>
              <w:t>Total</w:t>
            </w:r>
          </w:p>
        </w:tc>
      </w:tr>
      <w:tr>
        <w:trPr>
          <w:trHeight w:val="307" w:hRule="atLeast"/>
        </w:trPr>
        <w:tc>
          <w:tcPr>
            <w:tcW w:w="5359" w:type="dxa"/>
          </w:tcPr>
          <w:p>
            <w:pPr>
              <w:pStyle w:val="TableParagraph"/>
              <w:spacing w:before="10"/>
              <w:ind w:left="75"/>
              <w:rPr>
                <w:b/>
                <w:sz w:val="21"/>
              </w:rPr>
            </w:pPr>
            <w:r>
              <w:rPr>
                <w:b/>
                <w:color w:val="080808"/>
                <w:spacing w:val="-2"/>
                <w:sz w:val="21"/>
              </w:rPr>
              <w:t>INCOME</w:t>
            </w:r>
          </w:p>
        </w:tc>
        <w:tc>
          <w:tcPr>
            <w:tcW w:w="1694" w:type="dxa"/>
          </w:tcPr>
          <w:p>
            <w:pPr>
              <w:pStyle w:val="TableParagraph"/>
              <w:spacing w:before="49" w:line="239" w:lineRule="exact"/>
              <w:ind w:left="743"/>
              <w:rPr>
                <w:b/>
                <w:sz w:val="21"/>
              </w:rPr>
            </w:pPr>
            <w:r>
              <w:rPr>
                <w:b/>
                <w:color w:val="080808"/>
                <w:spacing w:val="-4"/>
                <w:sz w:val="21"/>
              </w:rPr>
              <w:t>£000</w:t>
            </w:r>
          </w:p>
        </w:tc>
        <w:tc>
          <w:tcPr>
            <w:tcW w:w="1401" w:type="dxa"/>
          </w:tcPr>
          <w:p>
            <w:pPr>
              <w:pStyle w:val="TableParagraph"/>
              <w:spacing w:before="49" w:line="239" w:lineRule="exact"/>
              <w:ind w:left="70" w:right="74"/>
              <w:jc w:val="center"/>
              <w:rPr>
                <w:b/>
                <w:sz w:val="21"/>
              </w:rPr>
            </w:pPr>
            <w:r>
              <w:rPr>
                <w:b/>
                <w:color w:val="080808"/>
                <w:spacing w:val="-4"/>
                <w:sz w:val="21"/>
              </w:rPr>
              <w:t>£000</w:t>
            </w:r>
          </w:p>
        </w:tc>
        <w:tc>
          <w:tcPr>
            <w:tcW w:w="1027" w:type="dxa"/>
          </w:tcPr>
          <w:p>
            <w:pPr>
              <w:pStyle w:val="TableParagraph"/>
              <w:spacing w:before="49" w:line="239" w:lineRule="exact"/>
              <w:ind w:left="345"/>
              <w:rPr>
                <w:b/>
                <w:sz w:val="21"/>
              </w:rPr>
            </w:pPr>
            <w:r>
              <w:rPr>
                <w:b/>
                <w:color w:val="080808"/>
                <w:spacing w:val="-4"/>
                <w:sz w:val="21"/>
              </w:rPr>
              <w:t>£000</w:t>
            </w:r>
          </w:p>
        </w:tc>
      </w:tr>
      <w:tr>
        <w:trPr>
          <w:trHeight w:val="293" w:hRule="atLeast"/>
        </w:trPr>
        <w:tc>
          <w:tcPr>
            <w:tcW w:w="5359" w:type="dxa"/>
          </w:tcPr>
          <w:p>
            <w:pPr>
              <w:pStyle w:val="TableParagraph"/>
              <w:spacing w:before="10"/>
              <w:ind w:left="367"/>
              <w:rPr>
                <w:sz w:val="21"/>
              </w:rPr>
            </w:pPr>
            <w:r>
              <w:rPr>
                <w:color w:val="080808"/>
                <w:sz w:val="21"/>
              </w:rPr>
              <w:t>Council</w:t>
            </w:r>
            <w:r>
              <w:rPr>
                <w:color w:val="080808"/>
                <w:spacing w:val="-4"/>
                <w:sz w:val="21"/>
              </w:rPr>
              <w:t> </w:t>
            </w:r>
            <w:r>
              <w:rPr>
                <w:color w:val="080808"/>
                <w:sz w:val="21"/>
              </w:rPr>
              <w:t>Tax</w:t>
            </w:r>
            <w:r>
              <w:rPr>
                <w:color w:val="080808"/>
                <w:spacing w:val="-5"/>
                <w:sz w:val="21"/>
              </w:rPr>
              <w:t> </w:t>
            </w:r>
            <w:r>
              <w:rPr>
                <w:color w:val="080808"/>
                <w:spacing w:val="-2"/>
                <w:sz w:val="21"/>
              </w:rPr>
              <w:t>Receivable</w:t>
            </w:r>
          </w:p>
        </w:tc>
        <w:tc>
          <w:tcPr>
            <w:tcW w:w="1694" w:type="dxa"/>
          </w:tcPr>
          <w:p>
            <w:pPr>
              <w:pStyle w:val="TableParagraph"/>
              <w:rPr>
                <w:rFonts w:ascii="Times New Roman"/>
                <w:sz w:val="20"/>
              </w:rPr>
            </w:pPr>
          </w:p>
        </w:tc>
        <w:tc>
          <w:tcPr>
            <w:tcW w:w="1401" w:type="dxa"/>
          </w:tcPr>
          <w:p>
            <w:pPr>
              <w:pStyle w:val="TableParagraph"/>
              <w:spacing w:before="15"/>
              <w:ind w:right="99"/>
              <w:jc w:val="right"/>
              <w:rPr>
                <w:sz w:val="21"/>
              </w:rPr>
            </w:pPr>
            <w:r>
              <w:rPr>
                <w:color w:val="080808"/>
                <w:spacing w:val="-2"/>
                <w:sz w:val="21"/>
              </w:rPr>
              <w:t>81,921</w:t>
            </w:r>
          </w:p>
        </w:tc>
        <w:tc>
          <w:tcPr>
            <w:tcW w:w="1027" w:type="dxa"/>
          </w:tcPr>
          <w:p>
            <w:pPr>
              <w:pStyle w:val="TableParagraph"/>
              <w:spacing w:before="15"/>
              <w:jc w:val="right"/>
              <w:rPr>
                <w:sz w:val="21"/>
              </w:rPr>
            </w:pPr>
            <w:r>
              <w:rPr>
                <w:color w:val="080808"/>
                <w:spacing w:val="-2"/>
                <w:sz w:val="21"/>
              </w:rPr>
              <w:t>81,921</w:t>
            </w:r>
          </w:p>
        </w:tc>
      </w:tr>
      <w:tr>
        <w:trPr>
          <w:trHeight w:val="309" w:hRule="atLeast"/>
        </w:trPr>
        <w:tc>
          <w:tcPr>
            <w:tcW w:w="5359" w:type="dxa"/>
          </w:tcPr>
          <w:p>
            <w:pPr>
              <w:pStyle w:val="TableParagraph"/>
              <w:spacing w:before="29"/>
              <w:ind w:left="357"/>
              <w:rPr>
                <w:sz w:val="21"/>
              </w:rPr>
            </w:pPr>
            <w:r>
              <w:rPr>
                <w:color w:val="080808"/>
                <w:sz w:val="21"/>
              </w:rPr>
              <w:t>Business Rates</w:t>
            </w:r>
            <w:r>
              <w:rPr>
                <w:color w:val="080808"/>
                <w:spacing w:val="1"/>
                <w:sz w:val="21"/>
              </w:rPr>
              <w:t> </w:t>
            </w:r>
            <w:r>
              <w:rPr>
                <w:color w:val="080808"/>
                <w:spacing w:val="-2"/>
                <w:sz w:val="21"/>
              </w:rPr>
              <w:t>Receivable</w:t>
            </w:r>
          </w:p>
        </w:tc>
        <w:tc>
          <w:tcPr>
            <w:tcW w:w="1694" w:type="dxa"/>
          </w:tcPr>
          <w:p>
            <w:pPr>
              <w:pStyle w:val="TableParagraph"/>
              <w:spacing w:before="34"/>
              <w:ind w:left="923"/>
              <w:rPr>
                <w:sz w:val="21"/>
              </w:rPr>
            </w:pPr>
            <w:r>
              <w:rPr>
                <w:color w:val="080808"/>
                <w:spacing w:val="-2"/>
                <w:sz w:val="21"/>
              </w:rPr>
              <w:t>34,822</w:t>
            </w:r>
          </w:p>
        </w:tc>
        <w:tc>
          <w:tcPr>
            <w:tcW w:w="1401" w:type="dxa"/>
          </w:tcPr>
          <w:p>
            <w:pPr>
              <w:pStyle w:val="TableParagraph"/>
              <w:rPr>
                <w:rFonts w:ascii="Times New Roman"/>
                <w:sz w:val="20"/>
              </w:rPr>
            </w:pPr>
          </w:p>
        </w:tc>
        <w:tc>
          <w:tcPr>
            <w:tcW w:w="1027" w:type="dxa"/>
          </w:tcPr>
          <w:p>
            <w:pPr>
              <w:pStyle w:val="TableParagraph"/>
              <w:spacing w:before="29"/>
              <w:jc w:val="right"/>
              <w:rPr>
                <w:sz w:val="21"/>
              </w:rPr>
            </w:pPr>
            <w:r>
              <w:rPr>
                <w:color w:val="080808"/>
                <w:spacing w:val="-2"/>
                <w:sz w:val="21"/>
              </w:rPr>
              <w:t>34,822</w:t>
            </w:r>
          </w:p>
        </w:tc>
      </w:tr>
      <w:tr>
        <w:trPr>
          <w:trHeight w:val="293" w:hRule="atLeast"/>
        </w:trPr>
        <w:tc>
          <w:tcPr>
            <w:tcW w:w="5359" w:type="dxa"/>
          </w:tcPr>
          <w:p>
            <w:pPr>
              <w:pStyle w:val="TableParagraph"/>
              <w:spacing w:before="27"/>
              <w:ind w:left="358"/>
              <w:rPr>
                <w:sz w:val="21"/>
              </w:rPr>
            </w:pPr>
            <w:r>
              <w:rPr>
                <w:color w:val="080808"/>
                <w:sz w:val="21"/>
              </w:rPr>
              <w:t>Transitional</w:t>
            </w:r>
            <w:r>
              <w:rPr>
                <w:color w:val="080808"/>
                <w:spacing w:val="-8"/>
                <w:sz w:val="21"/>
              </w:rPr>
              <w:t> </w:t>
            </w:r>
            <w:r>
              <w:rPr>
                <w:color w:val="080808"/>
                <w:sz w:val="21"/>
              </w:rPr>
              <w:t>Protection</w:t>
            </w:r>
            <w:r>
              <w:rPr>
                <w:color w:val="080808"/>
                <w:spacing w:val="-6"/>
                <w:sz w:val="21"/>
              </w:rPr>
              <w:t> </w:t>
            </w:r>
            <w:r>
              <w:rPr>
                <w:color w:val="080808"/>
                <w:spacing w:val="-2"/>
                <w:sz w:val="21"/>
              </w:rPr>
              <w:t>Payments</w:t>
            </w:r>
          </w:p>
        </w:tc>
        <w:tc>
          <w:tcPr>
            <w:tcW w:w="1694" w:type="dxa"/>
            <w:tcBorders>
              <w:bottom w:val="single" w:color="000000" w:sz="6" w:space="0"/>
            </w:tcBorders>
          </w:tcPr>
          <w:p>
            <w:pPr>
              <w:pStyle w:val="TableParagraph"/>
              <w:spacing w:before="32"/>
              <w:ind w:left="1068"/>
              <w:rPr>
                <w:sz w:val="21"/>
              </w:rPr>
            </w:pPr>
            <w:r>
              <w:rPr>
                <w:color w:val="080808"/>
                <w:spacing w:val="-2"/>
                <w:sz w:val="21"/>
              </w:rPr>
              <w:t>(571)</w:t>
            </w:r>
          </w:p>
        </w:tc>
        <w:tc>
          <w:tcPr>
            <w:tcW w:w="1401" w:type="dxa"/>
            <w:tcBorders>
              <w:bottom w:val="single" w:color="000000" w:sz="6" w:space="0"/>
            </w:tcBorders>
          </w:tcPr>
          <w:p>
            <w:pPr>
              <w:pStyle w:val="TableParagraph"/>
              <w:spacing w:before="27"/>
              <w:ind w:right="104"/>
              <w:jc w:val="right"/>
              <w:rPr>
                <w:sz w:val="21"/>
              </w:rPr>
            </w:pPr>
            <w:r>
              <w:rPr>
                <w:color w:val="080808"/>
                <w:spacing w:val="-5"/>
                <w:sz w:val="21"/>
              </w:rPr>
              <w:t>(1)</w:t>
            </w:r>
          </w:p>
        </w:tc>
        <w:tc>
          <w:tcPr>
            <w:tcW w:w="1027" w:type="dxa"/>
            <w:tcBorders>
              <w:bottom w:val="single" w:color="000000" w:sz="6" w:space="0"/>
            </w:tcBorders>
          </w:tcPr>
          <w:p>
            <w:pPr>
              <w:pStyle w:val="TableParagraph"/>
              <w:spacing w:before="27"/>
              <w:ind w:right="7"/>
              <w:jc w:val="right"/>
              <w:rPr>
                <w:sz w:val="21"/>
              </w:rPr>
            </w:pPr>
            <w:r>
              <w:rPr>
                <w:color w:val="080808"/>
                <w:spacing w:val="-2"/>
                <w:sz w:val="21"/>
              </w:rPr>
              <w:t>(572)</w:t>
            </w:r>
          </w:p>
        </w:tc>
      </w:tr>
      <w:tr>
        <w:trPr>
          <w:trHeight w:val="306" w:hRule="atLeast"/>
        </w:trPr>
        <w:tc>
          <w:tcPr>
            <w:tcW w:w="5359" w:type="dxa"/>
          </w:tcPr>
          <w:p>
            <w:pPr>
              <w:pStyle w:val="TableParagraph"/>
              <w:rPr>
                <w:rFonts w:ascii="Times New Roman"/>
                <w:sz w:val="20"/>
              </w:rPr>
            </w:pPr>
          </w:p>
        </w:tc>
        <w:tc>
          <w:tcPr>
            <w:tcW w:w="1694" w:type="dxa"/>
            <w:tcBorders>
              <w:top w:val="single" w:color="000000" w:sz="6" w:space="0"/>
              <w:bottom w:val="single" w:color="000000" w:sz="6" w:space="0"/>
            </w:tcBorders>
          </w:tcPr>
          <w:p>
            <w:pPr>
              <w:pStyle w:val="TableParagraph"/>
              <w:spacing w:before="40"/>
              <w:ind w:left="914"/>
              <w:rPr>
                <w:b/>
                <w:sz w:val="21"/>
              </w:rPr>
            </w:pPr>
            <w:r>
              <w:rPr>
                <w:b/>
                <w:color w:val="080808"/>
                <w:spacing w:val="-2"/>
                <w:sz w:val="21"/>
              </w:rPr>
              <w:t>34,251</w:t>
            </w:r>
          </w:p>
        </w:tc>
        <w:tc>
          <w:tcPr>
            <w:tcW w:w="1401" w:type="dxa"/>
            <w:tcBorders>
              <w:top w:val="single" w:color="000000" w:sz="6" w:space="0"/>
              <w:bottom w:val="single" w:color="000000" w:sz="6" w:space="0"/>
            </w:tcBorders>
          </w:tcPr>
          <w:p>
            <w:pPr>
              <w:pStyle w:val="TableParagraph"/>
              <w:spacing w:before="40"/>
              <w:ind w:right="109"/>
              <w:jc w:val="right"/>
              <w:rPr>
                <w:b/>
                <w:sz w:val="21"/>
              </w:rPr>
            </w:pPr>
            <w:r>
              <w:rPr>
                <w:b/>
                <w:color w:val="080808"/>
                <w:spacing w:val="-2"/>
                <w:sz w:val="21"/>
              </w:rPr>
              <w:t>81,920</w:t>
            </w:r>
          </w:p>
        </w:tc>
        <w:tc>
          <w:tcPr>
            <w:tcW w:w="1027" w:type="dxa"/>
            <w:tcBorders>
              <w:top w:val="single" w:color="000000" w:sz="6" w:space="0"/>
              <w:bottom w:val="single" w:color="000000" w:sz="6" w:space="0"/>
            </w:tcBorders>
          </w:tcPr>
          <w:p>
            <w:pPr>
              <w:pStyle w:val="TableParagraph"/>
              <w:spacing w:before="40"/>
              <w:ind w:right="6"/>
              <w:jc w:val="right"/>
              <w:rPr>
                <w:b/>
                <w:sz w:val="21"/>
              </w:rPr>
            </w:pPr>
            <w:r>
              <w:rPr>
                <w:b/>
                <w:color w:val="080808"/>
                <w:spacing w:val="-2"/>
                <w:sz w:val="21"/>
              </w:rPr>
              <w:t>116,171</w:t>
            </w:r>
          </w:p>
        </w:tc>
      </w:tr>
      <w:tr>
        <w:trPr>
          <w:trHeight w:val="320" w:hRule="atLeast"/>
        </w:trPr>
        <w:tc>
          <w:tcPr>
            <w:tcW w:w="5359" w:type="dxa"/>
          </w:tcPr>
          <w:p>
            <w:pPr>
              <w:pStyle w:val="TableParagraph"/>
              <w:spacing w:before="40"/>
              <w:ind w:left="50"/>
              <w:rPr>
                <w:b/>
                <w:sz w:val="21"/>
              </w:rPr>
            </w:pPr>
            <w:r>
              <w:rPr>
                <w:b/>
                <w:color w:val="080808"/>
                <w:spacing w:val="-2"/>
                <w:sz w:val="21"/>
              </w:rPr>
              <w:t>EXPENDITURE</w:t>
            </w:r>
          </w:p>
        </w:tc>
        <w:tc>
          <w:tcPr>
            <w:tcW w:w="1694" w:type="dxa"/>
            <w:tcBorders>
              <w:top w:val="single" w:color="000000" w:sz="6" w:space="0"/>
            </w:tcBorders>
          </w:tcPr>
          <w:p>
            <w:pPr>
              <w:pStyle w:val="TableParagraph"/>
              <w:rPr>
                <w:rFonts w:ascii="Times New Roman"/>
                <w:sz w:val="20"/>
              </w:rPr>
            </w:pPr>
          </w:p>
        </w:tc>
        <w:tc>
          <w:tcPr>
            <w:tcW w:w="1401" w:type="dxa"/>
            <w:tcBorders>
              <w:top w:val="single" w:color="000000" w:sz="6" w:space="0"/>
            </w:tcBorders>
          </w:tcPr>
          <w:p>
            <w:pPr>
              <w:pStyle w:val="TableParagraph"/>
              <w:rPr>
                <w:rFonts w:ascii="Times New Roman"/>
                <w:sz w:val="20"/>
              </w:rPr>
            </w:pPr>
          </w:p>
        </w:tc>
        <w:tc>
          <w:tcPr>
            <w:tcW w:w="1027" w:type="dxa"/>
            <w:tcBorders>
              <w:top w:val="single" w:color="000000" w:sz="6" w:space="0"/>
            </w:tcBorders>
          </w:tcPr>
          <w:p>
            <w:pPr>
              <w:pStyle w:val="TableParagraph"/>
              <w:rPr>
                <w:rFonts w:ascii="Times New Roman"/>
                <w:sz w:val="20"/>
              </w:rPr>
            </w:pPr>
          </w:p>
        </w:tc>
      </w:tr>
      <w:tr>
        <w:trPr>
          <w:trHeight w:val="309" w:hRule="atLeast"/>
        </w:trPr>
        <w:tc>
          <w:tcPr>
            <w:tcW w:w="5359" w:type="dxa"/>
          </w:tcPr>
          <w:p>
            <w:pPr>
              <w:pStyle w:val="TableParagraph"/>
              <w:spacing w:before="32"/>
              <w:ind w:left="50"/>
              <w:rPr>
                <w:b/>
                <w:sz w:val="21"/>
              </w:rPr>
            </w:pPr>
            <w:r>
              <w:rPr>
                <w:b/>
                <w:color w:val="080808"/>
                <w:sz w:val="21"/>
              </w:rPr>
              <w:t>Precepts,</w:t>
            </w:r>
            <w:r>
              <w:rPr>
                <w:b/>
                <w:color w:val="080808"/>
                <w:spacing w:val="6"/>
                <w:sz w:val="21"/>
              </w:rPr>
              <w:t> </w:t>
            </w:r>
            <w:r>
              <w:rPr>
                <w:b/>
                <w:color w:val="080808"/>
                <w:sz w:val="21"/>
              </w:rPr>
              <w:t>Demands</w:t>
            </w:r>
            <w:r>
              <w:rPr>
                <w:b/>
                <w:color w:val="080808"/>
                <w:spacing w:val="-1"/>
                <w:sz w:val="21"/>
              </w:rPr>
              <w:t> </w:t>
            </w:r>
            <w:r>
              <w:rPr>
                <w:b/>
                <w:color w:val="080808"/>
                <w:sz w:val="21"/>
              </w:rPr>
              <w:t>and</w:t>
            </w:r>
            <w:r>
              <w:rPr>
                <w:b/>
                <w:color w:val="080808"/>
                <w:spacing w:val="-8"/>
                <w:sz w:val="21"/>
              </w:rPr>
              <w:t> </w:t>
            </w:r>
            <w:r>
              <w:rPr>
                <w:b/>
                <w:color w:val="080808"/>
                <w:spacing w:val="-2"/>
                <w:sz w:val="21"/>
              </w:rPr>
              <w:t>Shares</w:t>
            </w:r>
          </w:p>
        </w:tc>
        <w:tc>
          <w:tcPr>
            <w:tcW w:w="1694" w:type="dxa"/>
          </w:tcPr>
          <w:p>
            <w:pPr>
              <w:pStyle w:val="TableParagraph"/>
              <w:rPr>
                <w:rFonts w:ascii="Times New Roman"/>
                <w:sz w:val="20"/>
              </w:rPr>
            </w:pPr>
          </w:p>
        </w:tc>
        <w:tc>
          <w:tcPr>
            <w:tcW w:w="1401" w:type="dxa"/>
          </w:tcPr>
          <w:p>
            <w:pPr>
              <w:pStyle w:val="TableParagraph"/>
              <w:rPr>
                <w:rFonts w:ascii="Times New Roman"/>
                <w:sz w:val="20"/>
              </w:rPr>
            </w:pPr>
          </w:p>
        </w:tc>
        <w:tc>
          <w:tcPr>
            <w:tcW w:w="1027" w:type="dxa"/>
          </w:tcPr>
          <w:p>
            <w:pPr>
              <w:pStyle w:val="TableParagraph"/>
              <w:rPr>
                <w:rFonts w:ascii="Times New Roman"/>
                <w:sz w:val="20"/>
              </w:rPr>
            </w:pPr>
          </w:p>
        </w:tc>
      </w:tr>
      <w:tr>
        <w:trPr>
          <w:trHeight w:val="309" w:hRule="atLeast"/>
        </w:trPr>
        <w:tc>
          <w:tcPr>
            <w:tcW w:w="5359" w:type="dxa"/>
          </w:tcPr>
          <w:p>
            <w:pPr>
              <w:pStyle w:val="TableParagraph"/>
              <w:spacing w:before="29"/>
              <w:ind w:left="342"/>
              <w:rPr>
                <w:sz w:val="21"/>
              </w:rPr>
            </w:pPr>
            <w:r>
              <w:rPr>
                <w:color w:val="080808"/>
                <w:spacing w:val="-2"/>
                <w:sz w:val="21"/>
              </w:rPr>
              <w:t>MHCLG</w:t>
            </w:r>
          </w:p>
        </w:tc>
        <w:tc>
          <w:tcPr>
            <w:tcW w:w="1694" w:type="dxa"/>
          </w:tcPr>
          <w:p>
            <w:pPr>
              <w:pStyle w:val="TableParagraph"/>
              <w:spacing w:before="29"/>
              <w:ind w:left="765"/>
              <w:rPr>
                <w:sz w:val="21"/>
              </w:rPr>
            </w:pPr>
            <w:r>
              <w:rPr>
                <w:color w:val="080808"/>
                <w:spacing w:val="-2"/>
                <w:sz w:val="21"/>
              </w:rPr>
              <w:t>(24,259)</w:t>
            </w:r>
          </w:p>
        </w:tc>
        <w:tc>
          <w:tcPr>
            <w:tcW w:w="1401" w:type="dxa"/>
          </w:tcPr>
          <w:p>
            <w:pPr>
              <w:pStyle w:val="TableParagraph"/>
              <w:rPr>
                <w:rFonts w:ascii="Times New Roman"/>
                <w:sz w:val="20"/>
              </w:rPr>
            </w:pPr>
          </w:p>
        </w:tc>
        <w:tc>
          <w:tcPr>
            <w:tcW w:w="1027" w:type="dxa"/>
          </w:tcPr>
          <w:p>
            <w:pPr>
              <w:pStyle w:val="TableParagraph"/>
              <w:spacing w:before="29"/>
              <w:ind w:right="25"/>
              <w:jc w:val="right"/>
              <w:rPr>
                <w:sz w:val="21"/>
              </w:rPr>
            </w:pPr>
            <w:r>
              <w:rPr>
                <w:color w:val="080808"/>
                <w:spacing w:val="-2"/>
                <w:sz w:val="21"/>
              </w:rPr>
              <w:t>(24,259)</w:t>
            </w:r>
          </w:p>
        </w:tc>
      </w:tr>
      <w:tr>
        <w:trPr>
          <w:trHeight w:val="309" w:hRule="atLeast"/>
        </w:trPr>
        <w:tc>
          <w:tcPr>
            <w:tcW w:w="5359" w:type="dxa"/>
          </w:tcPr>
          <w:p>
            <w:pPr>
              <w:pStyle w:val="TableParagraph"/>
              <w:spacing w:before="32"/>
              <w:ind w:left="336"/>
              <w:rPr>
                <w:sz w:val="21"/>
              </w:rPr>
            </w:pPr>
            <w:r>
              <w:rPr>
                <w:color w:val="080808"/>
                <w:sz w:val="21"/>
              </w:rPr>
              <w:t>Hertsmere</w:t>
            </w:r>
            <w:r>
              <w:rPr>
                <w:color w:val="080808"/>
                <w:spacing w:val="-6"/>
                <w:sz w:val="21"/>
              </w:rPr>
              <w:t> </w:t>
            </w:r>
            <w:r>
              <w:rPr>
                <w:color w:val="080808"/>
                <w:sz w:val="21"/>
              </w:rPr>
              <w:t>Borough</w:t>
            </w:r>
            <w:r>
              <w:rPr>
                <w:color w:val="080808"/>
                <w:spacing w:val="-1"/>
                <w:sz w:val="21"/>
              </w:rPr>
              <w:t> </w:t>
            </w:r>
            <w:r>
              <w:rPr>
                <w:color w:val="080808"/>
                <w:spacing w:val="-2"/>
                <w:sz w:val="21"/>
              </w:rPr>
              <w:t>Council</w:t>
            </w:r>
          </w:p>
        </w:tc>
        <w:tc>
          <w:tcPr>
            <w:tcW w:w="1694" w:type="dxa"/>
          </w:tcPr>
          <w:p>
            <w:pPr>
              <w:pStyle w:val="TableParagraph"/>
              <w:spacing w:before="32"/>
              <w:ind w:left="765"/>
              <w:rPr>
                <w:sz w:val="21"/>
              </w:rPr>
            </w:pPr>
            <w:r>
              <w:rPr>
                <w:color w:val="080808"/>
                <w:spacing w:val="-2"/>
                <w:sz w:val="21"/>
              </w:rPr>
              <w:t>(19,407)</w:t>
            </w:r>
          </w:p>
        </w:tc>
        <w:tc>
          <w:tcPr>
            <w:tcW w:w="1401" w:type="dxa"/>
          </w:tcPr>
          <w:p>
            <w:pPr>
              <w:pStyle w:val="TableParagraph"/>
              <w:spacing w:before="32"/>
              <w:ind w:right="119"/>
              <w:jc w:val="right"/>
              <w:rPr>
                <w:sz w:val="21"/>
              </w:rPr>
            </w:pPr>
            <w:r>
              <w:rPr>
                <w:color w:val="080808"/>
                <w:spacing w:val="-2"/>
                <w:sz w:val="21"/>
              </w:rPr>
              <w:t>(9,072)</w:t>
            </w:r>
          </w:p>
        </w:tc>
        <w:tc>
          <w:tcPr>
            <w:tcW w:w="1027" w:type="dxa"/>
          </w:tcPr>
          <w:p>
            <w:pPr>
              <w:pStyle w:val="TableParagraph"/>
              <w:spacing w:before="32"/>
              <w:ind w:right="25"/>
              <w:jc w:val="right"/>
              <w:rPr>
                <w:sz w:val="21"/>
              </w:rPr>
            </w:pPr>
            <w:r>
              <w:rPr>
                <w:color w:val="080808"/>
                <w:spacing w:val="-2"/>
                <w:sz w:val="21"/>
              </w:rPr>
              <w:t>(28,479)</w:t>
            </w:r>
          </w:p>
        </w:tc>
      </w:tr>
      <w:tr>
        <w:trPr>
          <w:trHeight w:val="312" w:hRule="atLeast"/>
        </w:trPr>
        <w:tc>
          <w:tcPr>
            <w:tcW w:w="5359" w:type="dxa"/>
          </w:tcPr>
          <w:p>
            <w:pPr>
              <w:pStyle w:val="TableParagraph"/>
              <w:spacing w:before="29"/>
              <w:ind w:left="331"/>
              <w:rPr>
                <w:sz w:val="21"/>
              </w:rPr>
            </w:pPr>
            <w:r>
              <w:rPr>
                <w:color w:val="080808"/>
                <w:sz w:val="21"/>
              </w:rPr>
              <w:t>Hertfordshire</w:t>
            </w:r>
            <w:r>
              <w:rPr>
                <w:color w:val="080808"/>
                <w:spacing w:val="2"/>
                <w:sz w:val="21"/>
              </w:rPr>
              <w:t> </w:t>
            </w:r>
            <w:r>
              <w:rPr>
                <w:color w:val="080808"/>
                <w:sz w:val="21"/>
              </w:rPr>
              <w:t>County</w:t>
            </w:r>
            <w:r>
              <w:rPr>
                <w:color w:val="080808"/>
                <w:spacing w:val="-7"/>
                <w:sz w:val="21"/>
              </w:rPr>
              <w:t> </w:t>
            </w:r>
            <w:r>
              <w:rPr>
                <w:color w:val="080808"/>
                <w:spacing w:val="-2"/>
                <w:sz w:val="21"/>
              </w:rPr>
              <w:t>Council</w:t>
            </w:r>
          </w:p>
        </w:tc>
        <w:tc>
          <w:tcPr>
            <w:tcW w:w="1694" w:type="dxa"/>
          </w:tcPr>
          <w:p>
            <w:pPr>
              <w:pStyle w:val="TableParagraph"/>
              <w:spacing w:before="34"/>
              <w:ind w:left="881"/>
              <w:rPr>
                <w:sz w:val="21"/>
              </w:rPr>
            </w:pPr>
            <w:r>
              <w:rPr>
                <w:color w:val="080808"/>
                <w:spacing w:val="-2"/>
                <w:sz w:val="21"/>
              </w:rPr>
              <w:t>(4,852)</w:t>
            </w:r>
          </w:p>
        </w:tc>
        <w:tc>
          <w:tcPr>
            <w:tcW w:w="1401" w:type="dxa"/>
          </w:tcPr>
          <w:p>
            <w:pPr>
              <w:pStyle w:val="TableParagraph"/>
              <w:spacing w:before="29"/>
              <w:ind w:right="125"/>
              <w:jc w:val="right"/>
              <w:rPr>
                <w:sz w:val="21"/>
              </w:rPr>
            </w:pPr>
            <w:r>
              <w:rPr>
                <w:color w:val="080808"/>
                <w:spacing w:val="-2"/>
                <w:sz w:val="21"/>
              </w:rPr>
              <w:t>(61,600)</w:t>
            </w:r>
          </w:p>
        </w:tc>
        <w:tc>
          <w:tcPr>
            <w:tcW w:w="1027" w:type="dxa"/>
          </w:tcPr>
          <w:p>
            <w:pPr>
              <w:pStyle w:val="TableParagraph"/>
              <w:spacing w:before="29"/>
              <w:ind w:right="25"/>
              <w:jc w:val="right"/>
              <w:rPr>
                <w:sz w:val="21"/>
              </w:rPr>
            </w:pPr>
            <w:r>
              <w:rPr>
                <w:color w:val="080808"/>
                <w:spacing w:val="-2"/>
                <w:sz w:val="21"/>
              </w:rPr>
              <w:t>(66,452)</w:t>
            </w:r>
          </w:p>
        </w:tc>
      </w:tr>
      <w:tr>
        <w:trPr>
          <w:trHeight w:val="291" w:hRule="atLeast"/>
        </w:trPr>
        <w:tc>
          <w:tcPr>
            <w:tcW w:w="5359" w:type="dxa"/>
          </w:tcPr>
          <w:p>
            <w:pPr>
              <w:pStyle w:val="TableParagraph"/>
              <w:spacing w:before="34" w:line="237" w:lineRule="exact"/>
              <w:ind w:left="327"/>
              <w:rPr>
                <w:sz w:val="21"/>
              </w:rPr>
            </w:pPr>
            <w:r>
              <w:rPr>
                <w:color w:val="080808"/>
                <w:sz w:val="21"/>
              </w:rPr>
              <w:t>Hertfordshire</w:t>
            </w:r>
            <w:r>
              <w:rPr>
                <w:color w:val="080808"/>
                <w:spacing w:val="7"/>
                <w:sz w:val="21"/>
              </w:rPr>
              <w:t> </w:t>
            </w:r>
            <w:r>
              <w:rPr>
                <w:color w:val="080808"/>
                <w:sz w:val="21"/>
              </w:rPr>
              <w:t>Police</w:t>
            </w:r>
            <w:r>
              <w:rPr>
                <w:color w:val="080808"/>
                <w:spacing w:val="-6"/>
                <w:sz w:val="21"/>
              </w:rPr>
              <w:t> </w:t>
            </w:r>
            <w:r>
              <w:rPr>
                <w:color w:val="080808"/>
                <w:sz w:val="21"/>
              </w:rPr>
              <w:t>&amp;</w:t>
            </w:r>
            <w:r>
              <w:rPr>
                <w:color w:val="080808"/>
                <w:spacing w:val="-5"/>
                <w:sz w:val="21"/>
              </w:rPr>
              <w:t> </w:t>
            </w:r>
            <w:r>
              <w:rPr>
                <w:color w:val="080808"/>
                <w:sz w:val="21"/>
              </w:rPr>
              <w:t>Crime</w:t>
            </w:r>
            <w:r>
              <w:rPr>
                <w:color w:val="080808"/>
                <w:spacing w:val="-4"/>
                <w:sz w:val="21"/>
              </w:rPr>
              <w:t> </w:t>
            </w:r>
            <w:r>
              <w:rPr>
                <w:color w:val="080808"/>
                <w:spacing w:val="-2"/>
                <w:sz w:val="21"/>
              </w:rPr>
              <w:t>Commissioner</w:t>
            </w:r>
          </w:p>
        </w:tc>
        <w:tc>
          <w:tcPr>
            <w:tcW w:w="1694" w:type="dxa"/>
            <w:tcBorders>
              <w:bottom w:val="single" w:color="000000" w:sz="6" w:space="0"/>
            </w:tcBorders>
          </w:tcPr>
          <w:p>
            <w:pPr>
              <w:pStyle w:val="TableParagraph"/>
              <w:rPr>
                <w:rFonts w:ascii="Times New Roman"/>
                <w:sz w:val="20"/>
              </w:rPr>
            </w:pPr>
          </w:p>
        </w:tc>
        <w:tc>
          <w:tcPr>
            <w:tcW w:w="1401" w:type="dxa"/>
            <w:tcBorders>
              <w:bottom w:val="single" w:color="000000" w:sz="6" w:space="0"/>
            </w:tcBorders>
          </w:tcPr>
          <w:p>
            <w:pPr>
              <w:pStyle w:val="TableParagraph"/>
              <w:spacing w:before="29"/>
              <w:ind w:right="124"/>
              <w:jc w:val="right"/>
              <w:rPr>
                <w:sz w:val="21"/>
              </w:rPr>
            </w:pPr>
            <w:r>
              <w:rPr>
                <w:color w:val="080808"/>
                <w:spacing w:val="-2"/>
                <w:sz w:val="21"/>
              </w:rPr>
              <w:t>(8,922)</w:t>
            </w:r>
          </w:p>
        </w:tc>
        <w:tc>
          <w:tcPr>
            <w:tcW w:w="1027" w:type="dxa"/>
            <w:tcBorders>
              <w:bottom w:val="single" w:color="000000" w:sz="6" w:space="0"/>
            </w:tcBorders>
          </w:tcPr>
          <w:p>
            <w:pPr>
              <w:pStyle w:val="TableParagraph"/>
              <w:spacing w:before="29"/>
              <w:ind w:right="26"/>
              <w:jc w:val="right"/>
              <w:rPr>
                <w:sz w:val="21"/>
              </w:rPr>
            </w:pPr>
            <w:r>
              <w:rPr>
                <w:color w:val="080808"/>
                <w:spacing w:val="-2"/>
                <w:sz w:val="21"/>
              </w:rPr>
              <w:t>(8,922)</w:t>
            </w:r>
          </w:p>
        </w:tc>
      </w:tr>
      <w:tr>
        <w:trPr>
          <w:trHeight w:val="306" w:hRule="atLeast"/>
        </w:trPr>
        <w:tc>
          <w:tcPr>
            <w:tcW w:w="5359" w:type="dxa"/>
          </w:tcPr>
          <w:p>
            <w:pPr>
              <w:pStyle w:val="TableParagraph"/>
              <w:rPr>
                <w:rFonts w:ascii="Times New Roman"/>
                <w:sz w:val="20"/>
              </w:rPr>
            </w:pPr>
          </w:p>
        </w:tc>
        <w:tc>
          <w:tcPr>
            <w:tcW w:w="1694" w:type="dxa"/>
            <w:tcBorders>
              <w:top w:val="single" w:color="000000" w:sz="6" w:space="0"/>
              <w:bottom w:val="single" w:color="000000" w:sz="6" w:space="0"/>
            </w:tcBorders>
          </w:tcPr>
          <w:p>
            <w:pPr>
              <w:pStyle w:val="TableParagraph"/>
              <w:spacing w:before="45"/>
              <w:ind w:left="757"/>
              <w:rPr>
                <w:b/>
                <w:sz w:val="21"/>
              </w:rPr>
            </w:pPr>
            <w:r>
              <w:rPr>
                <w:b/>
                <w:color w:val="080808"/>
                <w:spacing w:val="-2"/>
                <w:sz w:val="21"/>
              </w:rPr>
              <w:t>(48,518)</w:t>
            </w:r>
          </w:p>
        </w:tc>
        <w:tc>
          <w:tcPr>
            <w:tcW w:w="1401" w:type="dxa"/>
            <w:tcBorders>
              <w:top w:val="single" w:color="000000" w:sz="6" w:space="0"/>
              <w:bottom w:val="single" w:color="000000" w:sz="6" w:space="0"/>
            </w:tcBorders>
          </w:tcPr>
          <w:p>
            <w:pPr>
              <w:pStyle w:val="TableParagraph"/>
              <w:spacing w:before="45"/>
              <w:ind w:right="126"/>
              <w:jc w:val="right"/>
              <w:rPr>
                <w:b/>
                <w:sz w:val="21"/>
              </w:rPr>
            </w:pPr>
            <w:r>
              <w:rPr>
                <w:b/>
                <w:color w:val="080808"/>
                <w:spacing w:val="-2"/>
                <w:sz w:val="21"/>
              </w:rPr>
              <w:t>(79,594)</w:t>
            </w:r>
          </w:p>
        </w:tc>
        <w:tc>
          <w:tcPr>
            <w:tcW w:w="1027" w:type="dxa"/>
            <w:tcBorders>
              <w:top w:val="single" w:color="000000" w:sz="6" w:space="0"/>
              <w:bottom w:val="single" w:color="000000" w:sz="6" w:space="0"/>
            </w:tcBorders>
          </w:tcPr>
          <w:p>
            <w:pPr>
              <w:pStyle w:val="TableParagraph"/>
              <w:spacing w:before="45"/>
              <w:ind w:right="24"/>
              <w:jc w:val="right"/>
              <w:rPr>
                <w:b/>
                <w:sz w:val="21"/>
              </w:rPr>
            </w:pPr>
            <w:r>
              <w:rPr>
                <w:b/>
                <w:color w:val="080808"/>
                <w:spacing w:val="-2"/>
                <w:sz w:val="21"/>
              </w:rPr>
              <w:t>(128,112)</w:t>
            </w:r>
          </w:p>
        </w:tc>
      </w:tr>
      <w:tr>
        <w:trPr>
          <w:trHeight w:val="282" w:hRule="atLeast"/>
        </w:trPr>
        <w:tc>
          <w:tcPr>
            <w:tcW w:w="5359" w:type="dxa"/>
          </w:tcPr>
          <w:p>
            <w:pPr>
              <w:pStyle w:val="TableParagraph"/>
              <w:spacing w:before="40" w:line="222" w:lineRule="exact"/>
              <w:ind w:left="26"/>
              <w:rPr>
                <w:b/>
                <w:sz w:val="21"/>
              </w:rPr>
            </w:pPr>
            <w:r>
              <w:rPr>
                <w:b/>
                <w:color w:val="080808"/>
                <w:sz w:val="21"/>
              </w:rPr>
              <w:t>Charges</w:t>
            </w:r>
            <w:r>
              <w:rPr>
                <w:b/>
                <w:color w:val="080808"/>
                <w:spacing w:val="5"/>
                <w:sz w:val="21"/>
              </w:rPr>
              <w:t> </w:t>
            </w:r>
            <w:r>
              <w:rPr>
                <w:b/>
                <w:color w:val="080808"/>
                <w:sz w:val="21"/>
              </w:rPr>
              <w:t>to</w:t>
            </w:r>
            <w:r>
              <w:rPr>
                <w:b/>
                <w:color w:val="080808"/>
                <w:spacing w:val="-13"/>
                <w:sz w:val="21"/>
              </w:rPr>
              <w:t> </w:t>
            </w:r>
            <w:r>
              <w:rPr>
                <w:b/>
                <w:color w:val="080808"/>
                <w:sz w:val="21"/>
              </w:rPr>
              <w:t>Collection</w:t>
            </w:r>
            <w:r>
              <w:rPr>
                <w:b/>
                <w:color w:val="080808"/>
                <w:spacing w:val="1"/>
                <w:sz w:val="21"/>
              </w:rPr>
              <w:t> </w:t>
            </w:r>
            <w:r>
              <w:rPr>
                <w:b/>
                <w:color w:val="080808"/>
                <w:spacing w:val="-4"/>
                <w:sz w:val="21"/>
              </w:rPr>
              <w:t>Fund</w:t>
            </w:r>
          </w:p>
        </w:tc>
        <w:tc>
          <w:tcPr>
            <w:tcW w:w="1694" w:type="dxa"/>
          </w:tcPr>
          <w:p>
            <w:pPr>
              <w:pStyle w:val="TableParagraph"/>
              <w:rPr>
                <w:rFonts w:ascii="Times New Roman"/>
                <w:sz w:val="20"/>
              </w:rPr>
            </w:pPr>
          </w:p>
        </w:tc>
        <w:tc>
          <w:tcPr>
            <w:tcW w:w="1401" w:type="dxa"/>
          </w:tcPr>
          <w:p>
            <w:pPr>
              <w:pStyle w:val="TableParagraph"/>
              <w:rPr>
                <w:rFonts w:ascii="Times New Roman"/>
                <w:sz w:val="20"/>
              </w:rPr>
            </w:pPr>
          </w:p>
        </w:tc>
        <w:tc>
          <w:tcPr>
            <w:tcW w:w="1027" w:type="dxa"/>
          </w:tcPr>
          <w:p>
            <w:pPr>
              <w:pStyle w:val="TableParagraph"/>
              <w:rPr>
                <w:rFonts w:ascii="Times New Roman"/>
                <w:sz w:val="20"/>
              </w:rPr>
            </w:pPr>
          </w:p>
        </w:tc>
      </w:tr>
    </w:tbl>
    <w:p>
      <w:pPr>
        <w:pStyle w:val="BodyText"/>
        <w:spacing w:before="6"/>
        <w:rPr>
          <w:b/>
          <w:sz w:val="7"/>
        </w:rPr>
      </w:pPr>
    </w:p>
    <w:tbl>
      <w:tblPr>
        <w:tblW w:w="0" w:type="auto"/>
        <w:jc w:val="left"/>
        <w:tblInd w:w="124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5479"/>
        <w:gridCol w:w="154"/>
        <w:gridCol w:w="1809"/>
        <w:gridCol w:w="1153"/>
        <w:gridCol w:w="1000"/>
        <w:gridCol w:w="58"/>
      </w:tblGrid>
      <w:tr>
        <w:trPr>
          <w:trHeight w:val="275" w:hRule="atLeast"/>
        </w:trPr>
        <w:tc>
          <w:tcPr>
            <w:tcW w:w="5479" w:type="dxa"/>
          </w:tcPr>
          <w:p>
            <w:pPr>
              <w:pStyle w:val="TableParagraph"/>
              <w:spacing w:line="235" w:lineRule="exact"/>
              <w:ind w:left="437"/>
              <w:rPr>
                <w:sz w:val="21"/>
              </w:rPr>
            </w:pPr>
            <w:r>
              <w:rPr>
                <w:color w:val="080808"/>
                <w:sz w:val="21"/>
              </w:rPr>
              <w:t>Write</w:t>
            </w:r>
            <w:r>
              <w:rPr>
                <w:color w:val="080808"/>
                <w:spacing w:val="-5"/>
                <w:sz w:val="21"/>
              </w:rPr>
              <w:t> </w:t>
            </w:r>
            <w:r>
              <w:rPr>
                <w:color w:val="080808"/>
                <w:sz w:val="21"/>
              </w:rPr>
              <w:t>offs</w:t>
            </w:r>
            <w:r>
              <w:rPr>
                <w:color w:val="080808"/>
                <w:spacing w:val="-4"/>
                <w:sz w:val="21"/>
              </w:rPr>
              <w:t> </w:t>
            </w:r>
            <w:r>
              <w:rPr>
                <w:color w:val="080808"/>
                <w:sz w:val="21"/>
              </w:rPr>
              <w:t>charged</w:t>
            </w:r>
            <w:r>
              <w:rPr>
                <w:color w:val="080808"/>
                <w:spacing w:val="1"/>
                <w:sz w:val="21"/>
              </w:rPr>
              <w:t> </w:t>
            </w:r>
            <w:r>
              <w:rPr>
                <w:color w:val="080808"/>
                <w:sz w:val="21"/>
              </w:rPr>
              <w:t>to</w:t>
            </w:r>
            <w:r>
              <w:rPr>
                <w:color w:val="080808"/>
                <w:spacing w:val="-8"/>
                <w:sz w:val="21"/>
              </w:rPr>
              <w:t> </w:t>
            </w:r>
            <w:r>
              <w:rPr>
                <w:color w:val="080808"/>
                <w:sz w:val="21"/>
              </w:rPr>
              <w:t>collection</w:t>
            </w:r>
            <w:r>
              <w:rPr>
                <w:color w:val="080808"/>
                <w:spacing w:val="9"/>
                <w:sz w:val="21"/>
              </w:rPr>
              <w:t> </w:t>
            </w:r>
            <w:r>
              <w:rPr>
                <w:color w:val="080808"/>
                <w:spacing w:val="-4"/>
                <w:sz w:val="21"/>
              </w:rPr>
              <w:t>fund</w:t>
            </w:r>
          </w:p>
        </w:tc>
        <w:tc>
          <w:tcPr>
            <w:tcW w:w="154" w:type="dxa"/>
          </w:tcPr>
          <w:p>
            <w:pPr>
              <w:pStyle w:val="TableParagraph"/>
              <w:rPr>
                <w:rFonts w:ascii="Times New Roman"/>
                <w:sz w:val="20"/>
              </w:rPr>
            </w:pPr>
          </w:p>
        </w:tc>
        <w:tc>
          <w:tcPr>
            <w:tcW w:w="1809" w:type="dxa"/>
          </w:tcPr>
          <w:p>
            <w:pPr>
              <w:pStyle w:val="TableParagraph"/>
              <w:spacing w:before="27" w:line="229" w:lineRule="exact"/>
              <w:ind w:right="427"/>
              <w:jc w:val="right"/>
              <w:rPr>
                <w:sz w:val="21"/>
              </w:rPr>
            </w:pPr>
            <w:r>
              <w:rPr>
                <w:color w:val="080808"/>
                <w:spacing w:val="-4"/>
                <w:sz w:val="21"/>
              </w:rPr>
              <w:t>(87)</w:t>
            </w:r>
          </w:p>
        </w:tc>
        <w:tc>
          <w:tcPr>
            <w:tcW w:w="1153" w:type="dxa"/>
          </w:tcPr>
          <w:p>
            <w:pPr>
              <w:pStyle w:val="TableParagraph"/>
              <w:spacing w:before="27" w:line="229" w:lineRule="exact"/>
              <w:ind w:right="151"/>
              <w:jc w:val="right"/>
              <w:rPr>
                <w:sz w:val="21"/>
              </w:rPr>
            </w:pPr>
            <w:r>
              <w:rPr>
                <w:color w:val="080808"/>
                <w:spacing w:val="-4"/>
                <w:sz w:val="21"/>
              </w:rPr>
              <w:t>(43)</w:t>
            </w:r>
          </w:p>
        </w:tc>
        <w:tc>
          <w:tcPr>
            <w:tcW w:w="1000" w:type="dxa"/>
          </w:tcPr>
          <w:p>
            <w:pPr>
              <w:pStyle w:val="TableParagraph"/>
              <w:spacing w:before="27" w:line="229" w:lineRule="exact"/>
              <w:ind w:right="20"/>
              <w:jc w:val="right"/>
              <w:rPr>
                <w:sz w:val="21"/>
              </w:rPr>
            </w:pPr>
            <w:r>
              <w:rPr>
                <w:color w:val="080808"/>
                <w:spacing w:val="-2"/>
                <w:sz w:val="21"/>
              </w:rPr>
              <w:t>(130)</w:t>
            </w:r>
          </w:p>
        </w:tc>
        <w:tc>
          <w:tcPr>
            <w:tcW w:w="58" w:type="dxa"/>
            <w:vMerge w:val="restart"/>
            <w:tcBorders>
              <w:bottom w:val="single" w:color="000000" w:sz="6" w:space="0"/>
            </w:tcBorders>
          </w:tcPr>
          <w:p>
            <w:pPr>
              <w:pStyle w:val="TableParagraph"/>
              <w:rPr>
                <w:rFonts w:ascii="Times New Roman"/>
                <w:sz w:val="20"/>
              </w:rPr>
            </w:pPr>
          </w:p>
        </w:tc>
      </w:tr>
      <w:tr>
        <w:trPr>
          <w:trHeight w:val="288" w:hRule="atLeast"/>
        </w:trPr>
        <w:tc>
          <w:tcPr>
            <w:tcW w:w="5479" w:type="dxa"/>
          </w:tcPr>
          <w:p>
            <w:pPr>
              <w:pStyle w:val="TableParagraph"/>
              <w:spacing w:line="262" w:lineRule="exact"/>
              <w:ind w:left="430"/>
              <w:rPr>
                <w:sz w:val="21"/>
              </w:rPr>
            </w:pPr>
            <w:r>
              <w:rPr>
                <w:color w:val="080808"/>
                <w:sz w:val="21"/>
              </w:rPr>
              <w:t>Increase(-)</w:t>
            </w:r>
            <w:r>
              <w:rPr>
                <w:color w:val="080808"/>
                <w:spacing w:val="24"/>
                <w:sz w:val="21"/>
              </w:rPr>
              <w:t> </w:t>
            </w:r>
            <w:r>
              <w:rPr>
                <w:rFonts w:ascii="Times New Roman"/>
                <w:i/>
                <w:color w:val="080808"/>
                <w:sz w:val="23"/>
              </w:rPr>
              <w:t>I</w:t>
            </w:r>
            <w:r>
              <w:rPr>
                <w:rFonts w:ascii="Times New Roman"/>
                <w:i/>
                <w:color w:val="080808"/>
                <w:spacing w:val="-3"/>
                <w:sz w:val="23"/>
              </w:rPr>
              <w:t> </w:t>
            </w:r>
            <w:r>
              <w:rPr>
                <w:color w:val="080808"/>
                <w:sz w:val="21"/>
              </w:rPr>
              <w:t>Decrease</w:t>
            </w:r>
            <w:r>
              <w:rPr>
                <w:color w:val="080808"/>
                <w:spacing w:val="-1"/>
                <w:sz w:val="21"/>
              </w:rPr>
              <w:t> </w:t>
            </w:r>
            <w:r>
              <w:rPr>
                <w:color w:val="080808"/>
                <w:sz w:val="21"/>
              </w:rPr>
              <w:t>in</w:t>
            </w:r>
            <w:r>
              <w:rPr>
                <w:color w:val="080808"/>
                <w:spacing w:val="-9"/>
                <w:sz w:val="21"/>
              </w:rPr>
              <w:t> </w:t>
            </w:r>
            <w:r>
              <w:rPr>
                <w:color w:val="080808"/>
                <w:sz w:val="21"/>
              </w:rPr>
              <w:t>Impairment</w:t>
            </w:r>
            <w:r>
              <w:rPr>
                <w:color w:val="080808"/>
                <w:spacing w:val="11"/>
                <w:sz w:val="21"/>
              </w:rPr>
              <w:t> </w:t>
            </w:r>
            <w:r>
              <w:rPr>
                <w:color w:val="080808"/>
                <w:spacing w:val="-2"/>
                <w:sz w:val="21"/>
              </w:rPr>
              <w:t>Allowance</w:t>
            </w:r>
          </w:p>
        </w:tc>
        <w:tc>
          <w:tcPr>
            <w:tcW w:w="154" w:type="dxa"/>
          </w:tcPr>
          <w:p>
            <w:pPr>
              <w:pStyle w:val="TableParagraph"/>
              <w:rPr>
                <w:rFonts w:ascii="Times New Roman"/>
                <w:sz w:val="20"/>
              </w:rPr>
            </w:pPr>
          </w:p>
        </w:tc>
        <w:tc>
          <w:tcPr>
            <w:tcW w:w="1809" w:type="dxa"/>
          </w:tcPr>
          <w:p>
            <w:pPr>
              <w:pStyle w:val="TableParagraph"/>
              <w:spacing w:before="15"/>
              <w:ind w:right="435"/>
              <w:jc w:val="right"/>
              <w:rPr>
                <w:sz w:val="21"/>
              </w:rPr>
            </w:pPr>
            <w:r>
              <w:rPr>
                <w:color w:val="080808"/>
                <w:spacing w:val="-2"/>
                <w:sz w:val="21"/>
              </w:rPr>
              <w:t>(808)</w:t>
            </w:r>
          </w:p>
        </w:tc>
        <w:tc>
          <w:tcPr>
            <w:tcW w:w="1153" w:type="dxa"/>
          </w:tcPr>
          <w:p>
            <w:pPr>
              <w:pStyle w:val="TableParagraph"/>
              <w:spacing w:before="10"/>
              <w:ind w:right="155"/>
              <w:jc w:val="right"/>
              <w:rPr>
                <w:sz w:val="21"/>
              </w:rPr>
            </w:pPr>
            <w:r>
              <w:rPr>
                <w:color w:val="080808"/>
                <w:spacing w:val="-2"/>
                <w:sz w:val="21"/>
              </w:rPr>
              <w:t>(808)</w:t>
            </w:r>
          </w:p>
        </w:tc>
        <w:tc>
          <w:tcPr>
            <w:tcW w:w="1000" w:type="dxa"/>
          </w:tcPr>
          <w:p>
            <w:pPr>
              <w:pStyle w:val="TableParagraph"/>
              <w:spacing w:before="15"/>
              <w:ind w:right="23"/>
              <w:jc w:val="right"/>
              <w:rPr>
                <w:sz w:val="21"/>
              </w:rPr>
            </w:pPr>
            <w:r>
              <w:rPr>
                <w:color w:val="080808"/>
                <w:spacing w:val="-2"/>
                <w:sz w:val="21"/>
              </w:rPr>
              <w:t>(1,616)</w:t>
            </w:r>
          </w:p>
        </w:tc>
        <w:tc>
          <w:tcPr>
            <w:tcW w:w="58" w:type="dxa"/>
            <w:vMerge/>
            <w:tcBorders>
              <w:top w:val="nil"/>
              <w:bottom w:val="single" w:color="000000" w:sz="6" w:space="0"/>
            </w:tcBorders>
          </w:tcPr>
          <w:p>
            <w:pPr>
              <w:rPr>
                <w:sz w:val="2"/>
                <w:szCs w:val="2"/>
              </w:rPr>
            </w:pPr>
          </w:p>
        </w:tc>
      </w:tr>
      <w:tr>
        <w:trPr>
          <w:trHeight w:val="292" w:hRule="atLeast"/>
        </w:trPr>
        <w:tc>
          <w:tcPr>
            <w:tcW w:w="5479" w:type="dxa"/>
          </w:tcPr>
          <w:p>
            <w:pPr>
              <w:pStyle w:val="TableParagraph"/>
              <w:spacing w:before="19"/>
              <w:ind w:left="425"/>
              <w:rPr>
                <w:sz w:val="21"/>
              </w:rPr>
            </w:pPr>
            <w:r>
              <w:rPr>
                <w:color w:val="080808"/>
                <w:sz w:val="21"/>
              </w:rPr>
              <w:t>Increase(-)</w:t>
            </w:r>
            <w:r>
              <w:rPr>
                <w:color w:val="080808"/>
                <w:spacing w:val="15"/>
                <w:sz w:val="21"/>
              </w:rPr>
              <w:t> </w:t>
            </w:r>
            <w:r>
              <w:rPr>
                <w:i/>
                <w:color w:val="080808"/>
                <w:sz w:val="21"/>
              </w:rPr>
              <w:t>I</w:t>
            </w:r>
            <w:r>
              <w:rPr>
                <w:i/>
                <w:color w:val="080808"/>
                <w:spacing w:val="9"/>
                <w:sz w:val="21"/>
              </w:rPr>
              <w:t> </w:t>
            </w:r>
            <w:r>
              <w:rPr>
                <w:color w:val="080808"/>
                <w:sz w:val="21"/>
              </w:rPr>
              <w:t>Decrease</w:t>
            </w:r>
            <w:r>
              <w:rPr>
                <w:color w:val="080808"/>
                <w:spacing w:val="10"/>
                <w:sz w:val="21"/>
              </w:rPr>
              <w:t> </w:t>
            </w:r>
            <w:r>
              <w:rPr>
                <w:color w:val="080808"/>
                <w:sz w:val="21"/>
              </w:rPr>
              <w:t>in</w:t>
            </w:r>
            <w:r>
              <w:rPr>
                <w:color w:val="080808"/>
                <w:spacing w:val="-6"/>
                <w:sz w:val="21"/>
              </w:rPr>
              <w:t> </w:t>
            </w:r>
            <w:r>
              <w:rPr>
                <w:color w:val="080808"/>
                <w:sz w:val="21"/>
              </w:rPr>
              <w:t>Provision</w:t>
            </w:r>
            <w:r>
              <w:rPr>
                <w:color w:val="080808"/>
                <w:spacing w:val="13"/>
                <w:sz w:val="21"/>
              </w:rPr>
              <w:t> </w:t>
            </w:r>
            <w:r>
              <w:rPr>
                <w:color w:val="080808"/>
                <w:sz w:val="21"/>
              </w:rPr>
              <w:t>for</w:t>
            </w:r>
            <w:r>
              <w:rPr>
                <w:color w:val="080808"/>
                <w:spacing w:val="2"/>
                <w:sz w:val="21"/>
              </w:rPr>
              <w:t> </w:t>
            </w:r>
            <w:r>
              <w:rPr>
                <w:color w:val="080808"/>
                <w:spacing w:val="-2"/>
                <w:sz w:val="21"/>
              </w:rPr>
              <w:t>Appeals</w:t>
            </w:r>
          </w:p>
        </w:tc>
        <w:tc>
          <w:tcPr>
            <w:tcW w:w="154" w:type="dxa"/>
          </w:tcPr>
          <w:p>
            <w:pPr>
              <w:pStyle w:val="TableParagraph"/>
              <w:rPr>
                <w:rFonts w:ascii="Times New Roman"/>
                <w:sz w:val="20"/>
              </w:rPr>
            </w:pPr>
          </w:p>
        </w:tc>
        <w:tc>
          <w:tcPr>
            <w:tcW w:w="1809" w:type="dxa"/>
          </w:tcPr>
          <w:p>
            <w:pPr>
              <w:pStyle w:val="TableParagraph"/>
              <w:spacing w:before="24"/>
              <w:ind w:right="434"/>
              <w:jc w:val="right"/>
              <w:rPr>
                <w:sz w:val="21"/>
              </w:rPr>
            </w:pPr>
            <w:r>
              <w:rPr>
                <w:color w:val="080808"/>
                <w:spacing w:val="-2"/>
                <w:sz w:val="21"/>
              </w:rPr>
              <w:t>3,128</w:t>
            </w:r>
          </w:p>
        </w:tc>
        <w:tc>
          <w:tcPr>
            <w:tcW w:w="1153" w:type="dxa"/>
          </w:tcPr>
          <w:p>
            <w:pPr>
              <w:pStyle w:val="TableParagraph"/>
              <w:rPr>
                <w:rFonts w:ascii="Times New Roman"/>
                <w:sz w:val="20"/>
              </w:rPr>
            </w:pPr>
          </w:p>
        </w:tc>
        <w:tc>
          <w:tcPr>
            <w:tcW w:w="1000" w:type="dxa"/>
          </w:tcPr>
          <w:p>
            <w:pPr>
              <w:pStyle w:val="TableParagraph"/>
              <w:spacing w:before="19"/>
              <w:ind w:right="24"/>
              <w:jc w:val="right"/>
              <w:rPr>
                <w:sz w:val="21"/>
              </w:rPr>
            </w:pPr>
            <w:r>
              <w:rPr>
                <w:color w:val="080808"/>
                <w:spacing w:val="-2"/>
                <w:sz w:val="21"/>
              </w:rPr>
              <w:t>3,128</w:t>
            </w:r>
          </w:p>
        </w:tc>
        <w:tc>
          <w:tcPr>
            <w:tcW w:w="58" w:type="dxa"/>
            <w:vMerge/>
            <w:tcBorders>
              <w:top w:val="nil"/>
              <w:bottom w:val="single" w:color="000000" w:sz="6" w:space="0"/>
            </w:tcBorders>
          </w:tcPr>
          <w:p>
            <w:pPr>
              <w:rPr>
                <w:sz w:val="2"/>
                <w:szCs w:val="2"/>
              </w:rPr>
            </w:pPr>
          </w:p>
        </w:tc>
      </w:tr>
      <w:tr>
        <w:trPr>
          <w:trHeight w:val="286" w:hRule="atLeast"/>
        </w:trPr>
        <w:tc>
          <w:tcPr>
            <w:tcW w:w="5479" w:type="dxa"/>
          </w:tcPr>
          <w:p>
            <w:pPr>
              <w:pStyle w:val="TableParagraph"/>
              <w:spacing w:before="19"/>
              <w:ind w:left="424"/>
              <w:rPr>
                <w:sz w:val="21"/>
              </w:rPr>
            </w:pPr>
            <w:r>
              <w:rPr>
                <w:color w:val="080808"/>
                <w:sz w:val="21"/>
              </w:rPr>
              <w:t>Cost</w:t>
            </w:r>
            <w:r>
              <w:rPr>
                <w:color w:val="080808"/>
                <w:spacing w:val="3"/>
                <w:sz w:val="21"/>
              </w:rPr>
              <w:t> </w:t>
            </w:r>
            <w:r>
              <w:rPr>
                <w:color w:val="080808"/>
                <w:sz w:val="21"/>
              </w:rPr>
              <w:t>of</w:t>
            </w:r>
            <w:r>
              <w:rPr>
                <w:color w:val="080808"/>
                <w:spacing w:val="-6"/>
                <w:sz w:val="21"/>
              </w:rPr>
              <w:t> </w:t>
            </w:r>
            <w:r>
              <w:rPr>
                <w:color w:val="080808"/>
                <w:spacing w:val="-2"/>
                <w:sz w:val="21"/>
              </w:rPr>
              <w:t>Collection</w:t>
            </w:r>
          </w:p>
        </w:tc>
        <w:tc>
          <w:tcPr>
            <w:tcW w:w="154" w:type="dxa"/>
            <w:tcBorders>
              <w:bottom w:val="single" w:color="000000" w:sz="6" w:space="0"/>
            </w:tcBorders>
          </w:tcPr>
          <w:p>
            <w:pPr>
              <w:pStyle w:val="TableParagraph"/>
              <w:rPr>
                <w:rFonts w:ascii="Times New Roman"/>
                <w:sz w:val="20"/>
              </w:rPr>
            </w:pPr>
          </w:p>
        </w:tc>
        <w:tc>
          <w:tcPr>
            <w:tcW w:w="1809" w:type="dxa"/>
            <w:tcBorders>
              <w:bottom w:val="single" w:color="000000" w:sz="6" w:space="0"/>
            </w:tcBorders>
          </w:tcPr>
          <w:p>
            <w:pPr>
              <w:pStyle w:val="TableParagraph"/>
              <w:spacing w:before="24"/>
              <w:ind w:right="440"/>
              <w:jc w:val="right"/>
              <w:rPr>
                <w:sz w:val="21"/>
              </w:rPr>
            </w:pPr>
            <w:r>
              <w:rPr>
                <w:color w:val="080808"/>
                <w:spacing w:val="-2"/>
                <w:sz w:val="21"/>
              </w:rPr>
              <w:t>(142)</w:t>
            </w:r>
          </w:p>
        </w:tc>
        <w:tc>
          <w:tcPr>
            <w:tcW w:w="1153" w:type="dxa"/>
            <w:tcBorders>
              <w:bottom w:val="single" w:color="000000" w:sz="6" w:space="0"/>
            </w:tcBorders>
          </w:tcPr>
          <w:p>
            <w:pPr>
              <w:pStyle w:val="TableParagraph"/>
              <w:rPr>
                <w:rFonts w:ascii="Times New Roman"/>
                <w:sz w:val="20"/>
              </w:rPr>
            </w:pPr>
          </w:p>
        </w:tc>
        <w:tc>
          <w:tcPr>
            <w:tcW w:w="1000" w:type="dxa"/>
            <w:tcBorders>
              <w:bottom w:val="single" w:color="000000" w:sz="6" w:space="0"/>
            </w:tcBorders>
          </w:tcPr>
          <w:p>
            <w:pPr>
              <w:pStyle w:val="TableParagraph"/>
              <w:spacing w:before="24"/>
              <w:ind w:right="25"/>
              <w:jc w:val="right"/>
              <w:rPr>
                <w:sz w:val="21"/>
              </w:rPr>
            </w:pPr>
            <w:r>
              <w:rPr>
                <w:color w:val="080808"/>
                <w:spacing w:val="-2"/>
                <w:sz w:val="21"/>
              </w:rPr>
              <w:t>(142)</w:t>
            </w:r>
          </w:p>
        </w:tc>
        <w:tc>
          <w:tcPr>
            <w:tcW w:w="58" w:type="dxa"/>
            <w:vMerge/>
            <w:tcBorders>
              <w:top w:val="nil"/>
              <w:bottom w:val="single" w:color="000000" w:sz="6" w:space="0"/>
            </w:tcBorders>
          </w:tcPr>
          <w:p>
            <w:pPr>
              <w:rPr>
                <w:sz w:val="2"/>
                <w:szCs w:val="2"/>
              </w:rPr>
            </w:pPr>
          </w:p>
        </w:tc>
      </w:tr>
      <w:tr>
        <w:trPr>
          <w:trHeight w:val="306" w:hRule="atLeast"/>
        </w:trPr>
        <w:tc>
          <w:tcPr>
            <w:tcW w:w="5479" w:type="dxa"/>
          </w:tcPr>
          <w:p>
            <w:pPr>
              <w:pStyle w:val="TableParagraph"/>
              <w:rPr>
                <w:rFonts w:ascii="Times New Roman"/>
                <w:sz w:val="20"/>
              </w:rPr>
            </w:pPr>
          </w:p>
        </w:tc>
        <w:tc>
          <w:tcPr>
            <w:tcW w:w="154" w:type="dxa"/>
            <w:tcBorders>
              <w:top w:val="single" w:color="000000" w:sz="6" w:space="0"/>
              <w:bottom w:val="single" w:color="000000" w:sz="6" w:space="0"/>
            </w:tcBorders>
          </w:tcPr>
          <w:p>
            <w:pPr>
              <w:pStyle w:val="TableParagraph"/>
              <w:rPr>
                <w:rFonts w:ascii="Times New Roman"/>
                <w:sz w:val="20"/>
              </w:rPr>
            </w:pPr>
          </w:p>
        </w:tc>
        <w:tc>
          <w:tcPr>
            <w:tcW w:w="1809" w:type="dxa"/>
            <w:tcBorders>
              <w:top w:val="single" w:color="000000" w:sz="6" w:space="0"/>
              <w:bottom w:val="single" w:color="000000" w:sz="6" w:space="0"/>
            </w:tcBorders>
          </w:tcPr>
          <w:p>
            <w:pPr>
              <w:pStyle w:val="TableParagraph"/>
              <w:spacing w:before="45"/>
              <w:ind w:right="435"/>
              <w:jc w:val="right"/>
              <w:rPr>
                <w:b/>
                <w:sz w:val="21"/>
              </w:rPr>
            </w:pPr>
            <w:r>
              <w:rPr>
                <w:b/>
                <w:color w:val="080808"/>
                <w:spacing w:val="-2"/>
                <w:sz w:val="21"/>
              </w:rPr>
              <w:t>2,091</w:t>
            </w:r>
          </w:p>
        </w:tc>
        <w:tc>
          <w:tcPr>
            <w:tcW w:w="1153" w:type="dxa"/>
            <w:tcBorders>
              <w:top w:val="single" w:color="000000" w:sz="6" w:space="0"/>
              <w:bottom w:val="single" w:color="000000" w:sz="6" w:space="0"/>
            </w:tcBorders>
          </w:tcPr>
          <w:p>
            <w:pPr>
              <w:pStyle w:val="TableParagraph"/>
              <w:spacing w:before="40"/>
              <w:ind w:right="153"/>
              <w:jc w:val="right"/>
              <w:rPr>
                <w:b/>
                <w:sz w:val="21"/>
              </w:rPr>
            </w:pPr>
            <w:r>
              <w:rPr>
                <w:b/>
                <w:color w:val="080808"/>
                <w:spacing w:val="-2"/>
                <w:sz w:val="21"/>
              </w:rPr>
              <w:t>(851)</w:t>
            </w:r>
          </w:p>
        </w:tc>
        <w:tc>
          <w:tcPr>
            <w:tcW w:w="1000" w:type="dxa"/>
            <w:tcBorders>
              <w:top w:val="single" w:color="000000" w:sz="6" w:space="0"/>
              <w:bottom w:val="single" w:color="000000" w:sz="6" w:space="0"/>
            </w:tcBorders>
          </w:tcPr>
          <w:p>
            <w:pPr>
              <w:pStyle w:val="TableParagraph"/>
              <w:spacing w:before="40"/>
              <w:ind w:right="22"/>
              <w:jc w:val="right"/>
              <w:rPr>
                <w:b/>
                <w:sz w:val="21"/>
              </w:rPr>
            </w:pPr>
            <w:r>
              <w:rPr>
                <w:b/>
                <w:color w:val="080808"/>
                <w:spacing w:val="-2"/>
                <w:sz w:val="21"/>
              </w:rPr>
              <w:t>1,240</w:t>
            </w:r>
          </w:p>
        </w:tc>
        <w:tc>
          <w:tcPr>
            <w:tcW w:w="58" w:type="dxa"/>
            <w:vMerge/>
            <w:tcBorders>
              <w:top w:val="nil"/>
              <w:bottom w:val="single" w:color="000000" w:sz="6" w:space="0"/>
            </w:tcBorders>
          </w:tcPr>
          <w:p>
            <w:pPr>
              <w:rPr>
                <w:sz w:val="2"/>
                <w:szCs w:val="2"/>
              </w:rPr>
            </w:pPr>
          </w:p>
        </w:tc>
      </w:tr>
      <w:tr>
        <w:trPr>
          <w:trHeight w:val="302" w:hRule="atLeast"/>
        </w:trPr>
        <w:tc>
          <w:tcPr>
            <w:tcW w:w="5479" w:type="dxa"/>
          </w:tcPr>
          <w:p>
            <w:pPr>
              <w:pStyle w:val="TableParagraph"/>
              <w:rPr>
                <w:rFonts w:ascii="Times New Roman"/>
                <w:sz w:val="20"/>
              </w:rPr>
            </w:pPr>
          </w:p>
        </w:tc>
        <w:tc>
          <w:tcPr>
            <w:tcW w:w="154" w:type="dxa"/>
            <w:tcBorders>
              <w:top w:val="single" w:color="000000" w:sz="6" w:space="0"/>
              <w:bottom w:val="single" w:color="000000" w:sz="6" w:space="0"/>
            </w:tcBorders>
          </w:tcPr>
          <w:p>
            <w:pPr>
              <w:pStyle w:val="TableParagraph"/>
              <w:rPr>
                <w:rFonts w:ascii="Times New Roman"/>
                <w:sz w:val="20"/>
              </w:rPr>
            </w:pPr>
          </w:p>
        </w:tc>
        <w:tc>
          <w:tcPr>
            <w:tcW w:w="1809" w:type="dxa"/>
            <w:tcBorders>
              <w:top w:val="single" w:color="000000" w:sz="6" w:space="0"/>
              <w:bottom w:val="single" w:color="000000" w:sz="6" w:space="0"/>
            </w:tcBorders>
          </w:tcPr>
          <w:p>
            <w:pPr>
              <w:pStyle w:val="TableParagraph"/>
              <w:rPr>
                <w:rFonts w:ascii="Times New Roman"/>
                <w:sz w:val="20"/>
              </w:rPr>
            </w:pPr>
          </w:p>
        </w:tc>
        <w:tc>
          <w:tcPr>
            <w:tcW w:w="1153" w:type="dxa"/>
            <w:tcBorders>
              <w:top w:val="single" w:color="000000" w:sz="6" w:space="0"/>
              <w:bottom w:val="single" w:color="000000" w:sz="6" w:space="0"/>
            </w:tcBorders>
          </w:tcPr>
          <w:p>
            <w:pPr>
              <w:pStyle w:val="TableParagraph"/>
              <w:rPr>
                <w:rFonts w:ascii="Times New Roman"/>
                <w:sz w:val="20"/>
              </w:rPr>
            </w:pPr>
          </w:p>
        </w:tc>
        <w:tc>
          <w:tcPr>
            <w:tcW w:w="1000" w:type="dxa"/>
            <w:tcBorders>
              <w:top w:val="single" w:color="000000" w:sz="6" w:space="0"/>
              <w:bottom w:val="single" w:color="000000" w:sz="6" w:space="0"/>
            </w:tcBorders>
          </w:tcPr>
          <w:p>
            <w:pPr>
              <w:pStyle w:val="TableParagraph"/>
              <w:rPr>
                <w:rFonts w:ascii="Times New Roman"/>
                <w:sz w:val="20"/>
              </w:rPr>
            </w:pPr>
          </w:p>
        </w:tc>
        <w:tc>
          <w:tcPr>
            <w:tcW w:w="58" w:type="dxa"/>
            <w:vMerge/>
            <w:tcBorders>
              <w:top w:val="nil"/>
              <w:bottom w:val="single" w:color="000000" w:sz="6" w:space="0"/>
            </w:tcBorders>
          </w:tcPr>
          <w:p>
            <w:pPr>
              <w:rPr>
                <w:sz w:val="2"/>
                <w:szCs w:val="2"/>
              </w:rPr>
            </w:pPr>
          </w:p>
        </w:tc>
      </w:tr>
      <w:tr>
        <w:trPr>
          <w:trHeight w:val="306" w:hRule="atLeast"/>
        </w:trPr>
        <w:tc>
          <w:tcPr>
            <w:tcW w:w="5479" w:type="dxa"/>
          </w:tcPr>
          <w:p>
            <w:pPr>
              <w:pStyle w:val="TableParagraph"/>
              <w:spacing w:before="45"/>
              <w:ind w:left="120"/>
              <w:rPr>
                <w:b/>
                <w:sz w:val="21"/>
              </w:rPr>
            </w:pPr>
            <w:r>
              <w:rPr>
                <w:b/>
                <w:color w:val="080808"/>
                <w:w w:val="105"/>
                <w:sz w:val="21"/>
              </w:rPr>
              <w:t>Surplus/</w:t>
            </w:r>
            <w:r>
              <w:rPr>
                <w:b/>
                <w:color w:val="080808"/>
                <w:spacing w:val="1"/>
                <w:w w:val="105"/>
                <w:sz w:val="21"/>
              </w:rPr>
              <w:t> </w:t>
            </w:r>
            <w:r>
              <w:rPr>
                <w:b/>
                <w:color w:val="080808"/>
                <w:w w:val="105"/>
                <w:sz w:val="21"/>
              </w:rPr>
              <w:t>Deficit(-)</w:t>
            </w:r>
            <w:r>
              <w:rPr>
                <w:b/>
                <w:color w:val="080808"/>
                <w:spacing w:val="4"/>
                <w:w w:val="105"/>
                <w:sz w:val="21"/>
              </w:rPr>
              <w:t> </w:t>
            </w:r>
            <w:r>
              <w:rPr>
                <w:b/>
                <w:color w:val="080808"/>
                <w:w w:val="105"/>
                <w:sz w:val="21"/>
              </w:rPr>
              <w:t>for</w:t>
            </w:r>
            <w:r>
              <w:rPr>
                <w:b/>
                <w:color w:val="080808"/>
                <w:spacing w:val="-10"/>
                <w:w w:val="105"/>
                <w:sz w:val="21"/>
              </w:rPr>
              <w:t> </w:t>
            </w:r>
            <w:r>
              <w:rPr>
                <w:b/>
                <w:color w:val="080808"/>
                <w:w w:val="105"/>
                <w:sz w:val="21"/>
              </w:rPr>
              <w:t>the</w:t>
            </w:r>
            <w:r>
              <w:rPr>
                <w:b/>
                <w:color w:val="080808"/>
                <w:spacing w:val="3"/>
                <w:w w:val="105"/>
                <w:sz w:val="21"/>
              </w:rPr>
              <w:t> </w:t>
            </w:r>
            <w:r>
              <w:rPr>
                <w:b/>
                <w:color w:val="080808"/>
                <w:spacing w:val="-4"/>
                <w:w w:val="105"/>
                <w:sz w:val="21"/>
              </w:rPr>
              <w:t>year</w:t>
            </w:r>
          </w:p>
        </w:tc>
        <w:tc>
          <w:tcPr>
            <w:tcW w:w="154" w:type="dxa"/>
            <w:tcBorders>
              <w:top w:val="single" w:color="000000" w:sz="6" w:space="0"/>
              <w:bottom w:val="single" w:color="000000" w:sz="6" w:space="0"/>
            </w:tcBorders>
          </w:tcPr>
          <w:p>
            <w:pPr>
              <w:pStyle w:val="TableParagraph"/>
              <w:rPr>
                <w:rFonts w:ascii="Times New Roman"/>
                <w:sz w:val="20"/>
              </w:rPr>
            </w:pPr>
          </w:p>
        </w:tc>
        <w:tc>
          <w:tcPr>
            <w:tcW w:w="1809" w:type="dxa"/>
            <w:tcBorders>
              <w:top w:val="single" w:color="000000" w:sz="6" w:space="0"/>
              <w:bottom w:val="single" w:color="000000" w:sz="6" w:space="0"/>
            </w:tcBorders>
          </w:tcPr>
          <w:p>
            <w:pPr>
              <w:pStyle w:val="TableParagraph"/>
              <w:spacing w:before="45"/>
              <w:ind w:left="579"/>
              <w:rPr>
                <w:b/>
                <w:sz w:val="21"/>
              </w:rPr>
            </w:pPr>
            <w:r>
              <w:rPr>
                <w:b/>
                <w:color w:val="080808"/>
                <w:spacing w:val="-2"/>
                <w:sz w:val="21"/>
              </w:rPr>
              <w:t>(12,176)</w:t>
            </w:r>
          </w:p>
        </w:tc>
        <w:tc>
          <w:tcPr>
            <w:tcW w:w="1153" w:type="dxa"/>
            <w:tcBorders>
              <w:top w:val="single" w:color="000000" w:sz="6" w:space="0"/>
              <w:bottom w:val="single" w:color="000000" w:sz="6" w:space="0"/>
            </w:tcBorders>
          </w:tcPr>
          <w:p>
            <w:pPr>
              <w:pStyle w:val="TableParagraph"/>
              <w:spacing w:before="45"/>
              <w:ind w:right="162"/>
              <w:jc w:val="right"/>
              <w:rPr>
                <w:b/>
                <w:sz w:val="21"/>
              </w:rPr>
            </w:pPr>
            <w:r>
              <w:rPr>
                <w:b/>
                <w:color w:val="080808"/>
                <w:spacing w:val="-2"/>
                <w:sz w:val="21"/>
              </w:rPr>
              <w:t>1,475</w:t>
            </w:r>
          </w:p>
        </w:tc>
        <w:tc>
          <w:tcPr>
            <w:tcW w:w="1000" w:type="dxa"/>
            <w:tcBorders>
              <w:top w:val="single" w:color="000000" w:sz="6" w:space="0"/>
              <w:bottom w:val="single" w:color="000000" w:sz="6" w:space="0"/>
            </w:tcBorders>
          </w:tcPr>
          <w:p>
            <w:pPr>
              <w:pStyle w:val="TableParagraph"/>
              <w:spacing w:before="45"/>
              <w:ind w:right="34"/>
              <w:jc w:val="right"/>
              <w:rPr>
                <w:b/>
                <w:sz w:val="21"/>
              </w:rPr>
            </w:pPr>
            <w:r>
              <w:rPr>
                <w:b/>
                <w:color w:val="080808"/>
                <w:spacing w:val="-2"/>
                <w:sz w:val="21"/>
              </w:rPr>
              <w:t>(10,701)</w:t>
            </w:r>
          </w:p>
        </w:tc>
        <w:tc>
          <w:tcPr>
            <w:tcW w:w="58" w:type="dxa"/>
            <w:vMerge/>
            <w:tcBorders>
              <w:top w:val="nil"/>
              <w:bottom w:val="single" w:color="000000" w:sz="6" w:space="0"/>
            </w:tcBorders>
          </w:tcPr>
          <w:p>
            <w:pPr>
              <w:rPr>
                <w:sz w:val="2"/>
                <w:szCs w:val="2"/>
              </w:rPr>
            </w:pPr>
          </w:p>
        </w:tc>
      </w:tr>
      <w:tr>
        <w:trPr>
          <w:trHeight w:val="625" w:hRule="atLeast"/>
        </w:trPr>
        <w:tc>
          <w:tcPr>
            <w:tcW w:w="5479" w:type="dxa"/>
          </w:tcPr>
          <w:p>
            <w:pPr>
              <w:pStyle w:val="TableParagraph"/>
              <w:spacing w:before="111"/>
              <w:rPr>
                <w:b/>
                <w:sz w:val="21"/>
              </w:rPr>
            </w:pPr>
          </w:p>
          <w:p>
            <w:pPr>
              <w:pStyle w:val="TableParagraph"/>
              <w:ind w:left="113"/>
              <w:rPr>
                <w:b/>
                <w:sz w:val="21"/>
              </w:rPr>
            </w:pPr>
            <w:r>
              <w:rPr>
                <w:b/>
                <w:color w:val="080808"/>
                <w:sz w:val="21"/>
              </w:rPr>
              <w:t>Apportionment</w:t>
            </w:r>
            <w:r>
              <w:rPr>
                <w:b/>
                <w:color w:val="080808"/>
                <w:spacing w:val="14"/>
                <w:sz w:val="21"/>
              </w:rPr>
              <w:t> </w:t>
            </w:r>
            <w:r>
              <w:rPr>
                <w:b/>
                <w:color w:val="080808"/>
                <w:sz w:val="21"/>
              </w:rPr>
              <w:t>of</w:t>
            </w:r>
            <w:r>
              <w:rPr>
                <w:b/>
                <w:color w:val="080808"/>
                <w:spacing w:val="-11"/>
                <w:sz w:val="21"/>
              </w:rPr>
              <w:t> </w:t>
            </w:r>
            <w:r>
              <w:rPr>
                <w:b/>
                <w:color w:val="080808"/>
                <w:sz w:val="21"/>
              </w:rPr>
              <w:t>Previous</w:t>
            </w:r>
            <w:r>
              <w:rPr>
                <w:b/>
                <w:color w:val="080808"/>
                <w:spacing w:val="9"/>
                <w:sz w:val="21"/>
              </w:rPr>
              <w:t> </w:t>
            </w:r>
            <w:r>
              <w:rPr>
                <w:b/>
                <w:color w:val="080808"/>
                <w:sz w:val="21"/>
              </w:rPr>
              <w:t>Year</w:t>
            </w:r>
            <w:r>
              <w:rPr>
                <w:b/>
                <w:color w:val="080808"/>
                <w:spacing w:val="-8"/>
                <w:sz w:val="21"/>
              </w:rPr>
              <w:t> </w:t>
            </w:r>
            <w:r>
              <w:rPr>
                <w:b/>
                <w:color w:val="080808"/>
                <w:spacing w:val="-2"/>
                <w:sz w:val="21"/>
              </w:rPr>
              <w:t>Surplus</w:t>
            </w:r>
          </w:p>
        </w:tc>
        <w:tc>
          <w:tcPr>
            <w:tcW w:w="154" w:type="dxa"/>
            <w:tcBorders>
              <w:top w:val="single" w:color="000000" w:sz="6" w:space="0"/>
            </w:tcBorders>
          </w:tcPr>
          <w:p>
            <w:pPr>
              <w:pStyle w:val="TableParagraph"/>
              <w:rPr>
                <w:rFonts w:ascii="Times New Roman"/>
                <w:sz w:val="20"/>
              </w:rPr>
            </w:pPr>
          </w:p>
        </w:tc>
        <w:tc>
          <w:tcPr>
            <w:tcW w:w="1809" w:type="dxa"/>
            <w:tcBorders>
              <w:top w:val="single" w:color="000000" w:sz="6" w:space="0"/>
            </w:tcBorders>
          </w:tcPr>
          <w:p>
            <w:pPr>
              <w:pStyle w:val="TableParagraph"/>
              <w:rPr>
                <w:rFonts w:ascii="Times New Roman"/>
                <w:sz w:val="20"/>
              </w:rPr>
            </w:pPr>
          </w:p>
        </w:tc>
        <w:tc>
          <w:tcPr>
            <w:tcW w:w="1153" w:type="dxa"/>
            <w:tcBorders>
              <w:top w:val="single" w:color="000000" w:sz="6" w:space="0"/>
            </w:tcBorders>
          </w:tcPr>
          <w:p>
            <w:pPr>
              <w:pStyle w:val="TableParagraph"/>
              <w:rPr>
                <w:rFonts w:ascii="Times New Roman"/>
                <w:sz w:val="20"/>
              </w:rPr>
            </w:pPr>
          </w:p>
        </w:tc>
        <w:tc>
          <w:tcPr>
            <w:tcW w:w="1000" w:type="dxa"/>
            <w:tcBorders>
              <w:top w:val="single" w:color="000000" w:sz="6" w:space="0"/>
            </w:tcBorders>
          </w:tcPr>
          <w:p>
            <w:pPr>
              <w:pStyle w:val="TableParagraph"/>
              <w:rPr>
                <w:rFonts w:ascii="Times New Roman"/>
                <w:sz w:val="20"/>
              </w:rPr>
            </w:pPr>
          </w:p>
        </w:tc>
        <w:tc>
          <w:tcPr>
            <w:tcW w:w="58" w:type="dxa"/>
            <w:vMerge/>
            <w:tcBorders>
              <w:top w:val="nil"/>
              <w:bottom w:val="single" w:color="000000" w:sz="6" w:space="0"/>
            </w:tcBorders>
          </w:tcPr>
          <w:p>
            <w:pPr>
              <w:rPr>
                <w:sz w:val="2"/>
                <w:szCs w:val="2"/>
              </w:rPr>
            </w:pPr>
          </w:p>
        </w:tc>
      </w:tr>
      <w:tr>
        <w:trPr>
          <w:trHeight w:val="297" w:hRule="atLeast"/>
        </w:trPr>
        <w:tc>
          <w:tcPr>
            <w:tcW w:w="5479" w:type="dxa"/>
          </w:tcPr>
          <w:p>
            <w:pPr>
              <w:pStyle w:val="TableParagraph"/>
              <w:spacing w:before="24"/>
              <w:ind w:left="405"/>
              <w:rPr>
                <w:sz w:val="21"/>
              </w:rPr>
            </w:pPr>
            <w:r>
              <w:rPr>
                <w:color w:val="080808"/>
                <w:spacing w:val="-2"/>
                <w:sz w:val="21"/>
              </w:rPr>
              <w:t>MHCLG</w:t>
            </w:r>
          </w:p>
        </w:tc>
        <w:tc>
          <w:tcPr>
            <w:tcW w:w="154" w:type="dxa"/>
          </w:tcPr>
          <w:p>
            <w:pPr>
              <w:pStyle w:val="TableParagraph"/>
              <w:rPr>
                <w:rFonts w:ascii="Times New Roman"/>
                <w:sz w:val="20"/>
              </w:rPr>
            </w:pPr>
          </w:p>
        </w:tc>
        <w:tc>
          <w:tcPr>
            <w:tcW w:w="1809" w:type="dxa"/>
          </w:tcPr>
          <w:p>
            <w:pPr>
              <w:pStyle w:val="TableParagraph"/>
              <w:spacing w:before="29"/>
              <w:ind w:left="712"/>
              <w:rPr>
                <w:sz w:val="21"/>
              </w:rPr>
            </w:pPr>
            <w:r>
              <w:rPr>
                <w:color w:val="080808"/>
                <w:spacing w:val="-2"/>
                <w:sz w:val="21"/>
              </w:rPr>
              <w:t>10,856</w:t>
            </w:r>
          </w:p>
        </w:tc>
        <w:tc>
          <w:tcPr>
            <w:tcW w:w="1153" w:type="dxa"/>
          </w:tcPr>
          <w:p>
            <w:pPr>
              <w:pStyle w:val="TableParagraph"/>
              <w:rPr>
                <w:rFonts w:ascii="Times New Roman"/>
                <w:sz w:val="20"/>
              </w:rPr>
            </w:pPr>
          </w:p>
        </w:tc>
        <w:tc>
          <w:tcPr>
            <w:tcW w:w="1000" w:type="dxa"/>
          </w:tcPr>
          <w:p>
            <w:pPr>
              <w:pStyle w:val="TableParagraph"/>
              <w:spacing w:before="24"/>
              <w:ind w:right="35"/>
              <w:jc w:val="right"/>
              <w:rPr>
                <w:sz w:val="21"/>
              </w:rPr>
            </w:pPr>
            <w:r>
              <w:rPr>
                <w:color w:val="080808"/>
                <w:spacing w:val="-2"/>
                <w:sz w:val="21"/>
              </w:rPr>
              <w:t>10,856</w:t>
            </w:r>
          </w:p>
        </w:tc>
        <w:tc>
          <w:tcPr>
            <w:tcW w:w="58" w:type="dxa"/>
            <w:vMerge/>
            <w:tcBorders>
              <w:top w:val="nil"/>
              <w:bottom w:val="single" w:color="000000" w:sz="6" w:space="0"/>
            </w:tcBorders>
          </w:tcPr>
          <w:p>
            <w:pPr>
              <w:rPr>
                <w:sz w:val="2"/>
                <w:szCs w:val="2"/>
              </w:rPr>
            </w:pPr>
          </w:p>
        </w:tc>
      </w:tr>
      <w:tr>
        <w:trPr>
          <w:trHeight w:val="297" w:hRule="atLeast"/>
        </w:trPr>
        <w:tc>
          <w:tcPr>
            <w:tcW w:w="5479" w:type="dxa"/>
          </w:tcPr>
          <w:p>
            <w:pPr>
              <w:pStyle w:val="TableParagraph"/>
              <w:spacing w:before="24"/>
              <w:ind w:left="399"/>
              <w:rPr>
                <w:sz w:val="21"/>
              </w:rPr>
            </w:pPr>
            <w:r>
              <w:rPr>
                <w:color w:val="080808"/>
                <w:sz w:val="21"/>
              </w:rPr>
              <w:t>Hertsmere</w:t>
            </w:r>
            <w:r>
              <w:rPr>
                <w:color w:val="080808"/>
                <w:spacing w:val="-3"/>
                <w:sz w:val="21"/>
              </w:rPr>
              <w:t> </w:t>
            </w:r>
            <w:r>
              <w:rPr>
                <w:color w:val="080808"/>
                <w:sz w:val="21"/>
              </w:rPr>
              <w:t>Borough</w:t>
            </w:r>
            <w:r>
              <w:rPr>
                <w:color w:val="080808"/>
                <w:spacing w:val="-5"/>
                <w:sz w:val="21"/>
              </w:rPr>
              <w:t> </w:t>
            </w:r>
            <w:r>
              <w:rPr>
                <w:color w:val="080808"/>
                <w:spacing w:val="-2"/>
                <w:sz w:val="21"/>
              </w:rPr>
              <w:t>Council</w:t>
            </w:r>
          </w:p>
        </w:tc>
        <w:tc>
          <w:tcPr>
            <w:tcW w:w="154" w:type="dxa"/>
          </w:tcPr>
          <w:p>
            <w:pPr>
              <w:pStyle w:val="TableParagraph"/>
              <w:rPr>
                <w:rFonts w:ascii="Times New Roman"/>
                <w:sz w:val="20"/>
              </w:rPr>
            </w:pPr>
          </w:p>
        </w:tc>
        <w:tc>
          <w:tcPr>
            <w:tcW w:w="1809" w:type="dxa"/>
          </w:tcPr>
          <w:p>
            <w:pPr>
              <w:pStyle w:val="TableParagraph"/>
              <w:spacing w:before="29"/>
              <w:ind w:right="447"/>
              <w:jc w:val="right"/>
              <w:rPr>
                <w:sz w:val="21"/>
              </w:rPr>
            </w:pPr>
            <w:r>
              <w:rPr>
                <w:color w:val="080808"/>
                <w:spacing w:val="-4"/>
                <w:sz w:val="21"/>
              </w:rPr>
              <w:t>8</w:t>
            </w:r>
            <w:r>
              <w:rPr>
                <w:color w:val="313131"/>
                <w:spacing w:val="-4"/>
                <w:sz w:val="21"/>
              </w:rPr>
              <w:t>,</w:t>
            </w:r>
            <w:r>
              <w:rPr>
                <w:color w:val="080808"/>
                <w:spacing w:val="-4"/>
                <w:sz w:val="21"/>
              </w:rPr>
              <w:t>356</w:t>
            </w:r>
          </w:p>
        </w:tc>
        <w:tc>
          <w:tcPr>
            <w:tcW w:w="1153" w:type="dxa"/>
          </w:tcPr>
          <w:p>
            <w:pPr>
              <w:pStyle w:val="TableParagraph"/>
              <w:spacing w:before="19"/>
              <w:ind w:right="172"/>
              <w:jc w:val="right"/>
              <w:rPr>
                <w:sz w:val="21"/>
              </w:rPr>
            </w:pPr>
            <w:r>
              <w:rPr>
                <w:color w:val="080808"/>
                <w:spacing w:val="-4"/>
                <w:sz w:val="21"/>
              </w:rPr>
              <w:t>(67)</w:t>
            </w:r>
          </w:p>
        </w:tc>
        <w:tc>
          <w:tcPr>
            <w:tcW w:w="1000" w:type="dxa"/>
          </w:tcPr>
          <w:p>
            <w:pPr>
              <w:pStyle w:val="TableParagraph"/>
              <w:spacing w:before="24"/>
              <w:ind w:right="28"/>
              <w:jc w:val="right"/>
              <w:rPr>
                <w:sz w:val="21"/>
              </w:rPr>
            </w:pPr>
            <w:r>
              <w:rPr>
                <w:color w:val="080808"/>
                <w:spacing w:val="-4"/>
                <w:sz w:val="21"/>
              </w:rPr>
              <w:t>8</w:t>
            </w:r>
            <w:r>
              <w:rPr>
                <w:color w:val="313131"/>
                <w:spacing w:val="-4"/>
                <w:sz w:val="21"/>
              </w:rPr>
              <w:t>,</w:t>
            </w:r>
            <w:r>
              <w:rPr>
                <w:color w:val="080808"/>
                <w:spacing w:val="-4"/>
                <w:sz w:val="21"/>
              </w:rPr>
              <w:t>289</w:t>
            </w:r>
          </w:p>
        </w:tc>
        <w:tc>
          <w:tcPr>
            <w:tcW w:w="58" w:type="dxa"/>
            <w:vMerge/>
            <w:tcBorders>
              <w:top w:val="nil"/>
              <w:bottom w:val="single" w:color="000000" w:sz="6" w:space="0"/>
            </w:tcBorders>
          </w:tcPr>
          <w:p>
            <w:pPr>
              <w:rPr>
                <w:sz w:val="2"/>
                <w:szCs w:val="2"/>
              </w:rPr>
            </w:pPr>
          </w:p>
        </w:tc>
      </w:tr>
      <w:tr>
        <w:trPr>
          <w:trHeight w:val="294" w:hRule="atLeast"/>
        </w:trPr>
        <w:tc>
          <w:tcPr>
            <w:tcW w:w="5479" w:type="dxa"/>
          </w:tcPr>
          <w:p>
            <w:pPr>
              <w:pStyle w:val="TableParagraph"/>
              <w:spacing w:before="19"/>
              <w:ind w:left="394"/>
              <w:rPr>
                <w:sz w:val="21"/>
              </w:rPr>
            </w:pPr>
            <w:r>
              <w:rPr>
                <w:color w:val="080808"/>
                <w:sz w:val="21"/>
              </w:rPr>
              <w:t>Hertfordshire</w:t>
            </w:r>
            <w:r>
              <w:rPr>
                <w:color w:val="080808"/>
                <w:spacing w:val="2"/>
                <w:sz w:val="21"/>
              </w:rPr>
              <w:t> </w:t>
            </w:r>
            <w:r>
              <w:rPr>
                <w:color w:val="080808"/>
                <w:sz w:val="21"/>
              </w:rPr>
              <w:t>County</w:t>
            </w:r>
            <w:r>
              <w:rPr>
                <w:color w:val="080808"/>
                <w:spacing w:val="-7"/>
                <w:sz w:val="21"/>
              </w:rPr>
              <w:t> </w:t>
            </w:r>
            <w:r>
              <w:rPr>
                <w:color w:val="080808"/>
                <w:spacing w:val="-2"/>
                <w:sz w:val="21"/>
              </w:rPr>
              <w:t>Council</w:t>
            </w:r>
          </w:p>
        </w:tc>
        <w:tc>
          <w:tcPr>
            <w:tcW w:w="154" w:type="dxa"/>
          </w:tcPr>
          <w:p>
            <w:pPr>
              <w:pStyle w:val="TableParagraph"/>
              <w:rPr>
                <w:rFonts w:ascii="Times New Roman"/>
                <w:sz w:val="20"/>
              </w:rPr>
            </w:pPr>
          </w:p>
        </w:tc>
        <w:tc>
          <w:tcPr>
            <w:tcW w:w="1809" w:type="dxa"/>
          </w:tcPr>
          <w:p>
            <w:pPr>
              <w:pStyle w:val="TableParagraph"/>
              <w:spacing w:before="24"/>
              <w:ind w:right="443"/>
              <w:jc w:val="right"/>
              <w:rPr>
                <w:sz w:val="21"/>
              </w:rPr>
            </w:pPr>
            <w:r>
              <w:rPr>
                <w:color w:val="080808"/>
                <w:spacing w:val="-2"/>
                <w:sz w:val="21"/>
              </w:rPr>
              <w:t>1</w:t>
            </w:r>
            <w:r>
              <w:rPr>
                <w:color w:val="313131"/>
                <w:spacing w:val="-2"/>
                <w:sz w:val="21"/>
              </w:rPr>
              <w:t>,</w:t>
            </w:r>
            <w:r>
              <w:rPr>
                <w:color w:val="080808"/>
                <w:spacing w:val="-2"/>
                <w:sz w:val="21"/>
              </w:rPr>
              <w:t>403</w:t>
            </w:r>
          </w:p>
        </w:tc>
        <w:tc>
          <w:tcPr>
            <w:tcW w:w="1153" w:type="dxa"/>
          </w:tcPr>
          <w:p>
            <w:pPr>
              <w:pStyle w:val="TableParagraph"/>
              <w:spacing w:before="19"/>
              <w:ind w:right="174"/>
              <w:jc w:val="right"/>
              <w:rPr>
                <w:sz w:val="21"/>
              </w:rPr>
            </w:pPr>
            <w:r>
              <w:rPr>
                <w:color w:val="080808"/>
                <w:spacing w:val="-2"/>
                <w:sz w:val="21"/>
              </w:rPr>
              <w:t>(477)</w:t>
            </w:r>
          </w:p>
        </w:tc>
        <w:tc>
          <w:tcPr>
            <w:tcW w:w="1000" w:type="dxa"/>
          </w:tcPr>
          <w:p>
            <w:pPr>
              <w:pStyle w:val="TableParagraph"/>
              <w:spacing w:before="24"/>
              <w:ind w:right="33"/>
              <w:jc w:val="right"/>
              <w:rPr>
                <w:sz w:val="21"/>
              </w:rPr>
            </w:pPr>
            <w:r>
              <w:rPr>
                <w:color w:val="080808"/>
                <w:spacing w:val="-5"/>
                <w:sz w:val="21"/>
              </w:rPr>
              <w:t>926</w:t>
            </w:r>
          </w:p>
        </w:tc>
        <w:tc>
          <w:tcPr>
            <w:tcW w:w="58" w:type="dxa"/>
            <w:vMerge/>
            <w:tcBorders>
              <w:top w:val="nil"/>
              <w:bottom w:val="single" w:color="000000" w:sz="6" w:space="0"/>
            </w:tcBorders>
          </w:tcPr>
          <w:p>
            <w:pPr>
              <w:rPr>
                <w:sz w:val="2"/>
                <w:szCs w:val="2"/>
              </w:rPr>
            </w:pPr>
          </w:p>
        </w:tc>
      </w:tr>
      <w:tr>
        <w:trPr>
          <w:trHeight w:val="283" w:hRule="atLeast"/>
        </w:trPr>
        <w:tc>
          <w:tcPr>
            <w:tcW w:w="5479" w:type="dxa"/>
          </w:tcPr>
          <w:p>
            <w:pPr>
              <w:pStyle w:val="TableParagraph"/>
              <w:spacing w:before="22"/>
              <w:ind w:left="389"/>
              <w:rPr>
                <w:sz w:val="21"/>
              </w:rPr>
            </w:pPr>
            <w:r>
              <w:rPr>
                <w:color w:val="080808"/>
                <w:sz w:val="21"/>
              </w:rPr>
              <w:t>Hertfordshire</w:t>
            </w:r>
            <w:r>
              <w:rPr>
                <w:color w:val="080808"/>
                <w:spacing w:val="4"/>
                <w:sz w:val="21"/>
              </w:rPr>
              <w:t> </w:t>
            </w:r>
            <w:r>
              <w:rPr>
                <w:color w:val="080808"/>
                <w:sz w:val="21"/>
              </w:rPr>
              <w:t>Police &amp;</w:t>
            </w:r>
            <w:r>
              <w:rPr>
                <w:color w:val="080808"/>
                <w:spacing w:val="-9"/>
                <w:sz w:val="21"/>
              </w:rPr>
              <w:t> </w:t>
            </w:r>
            <w:r>
              <w:rPr>
                <w:color w:val="080808"/>
                <w:sz w:val="21"/>
              </w:rPr>
              <w:t>Crime </w:t>
            </w:r>
            <w:r>
              <w:rPr>
                <w:color w:val="080808"/>
                <w:spacing w:val="-2"/>
                <w:sz w:val="21"/>
              </w:rPr>
              <w:t>Commissioner</w:t>
            </w:r>
          </w:p>
        </w:tc>
        <w:tc>
          <w:tcPr>
            <w:tcW w:w="154" w:type="dxa"/>
            <w:tcBorders>
              <w:bottom w:val="single" w:color="000000" w:sz="6" w:space="0"/>
            </w:tcBorders>
          </w:tcPr>
          <w:p>
            <w:pPr>
              <w:pStyle w:val="TableParagraph"/>
              <w:rPr>
                <w:rFonts w:ascii="Times New Roman"/>
                <w:sz w:val="20"/>
              </w:rPr>
            </w:pPr>
          </w:p>
        </w:tc>
        <w:tc>
          <w:tcPr>
            <w:tcW w:w="1809" w:type="dxa"/>
            <w:tcBorders>
              <w:bottom w:val="single" w:color="000000" w:sz="6" w:space="0"/>
            </w:tcBorders>
          </w:tcPr>
          <w:p>
            <w:pPr>
              <w:pStyle w:val="TableParagraph"/>
              <w:rPr>
                <w:rFonts w:ascii="Times New Roman"/>
                <w:sz w:val="20"/>
              </w:rPr>
            </w:pPr>
          </w:p>
        </w:tc>
        <w:tc>
          <w:tcPr>
            <w:tcW w:w="1153" w:type="dxa"/>
            <w:tcBorders>
              <w:bottom w:val="single" w:color="000000" w:sz="6" w:space="0"/>
            </w:tcBorders>
          </w:tcPr>
          <w:p>
            <w:pPr>
              <w:pStyle w:val="TableParagraph"/>
              <w:spacing w:before="22"/>
              <w:ind w:right="176"/>
              <w:jc w:val="right"/>
              <w:rPr>
                <w:sz w:val="21"/>
              </w:rPr>
            </w:pPr>
            <w:r>
              <w:rPr>
                <w:color w:val="080808"/>
                <w:spacing w:val="-4"/>
                <w:sz w:val="21"/>
              </w:rPr>
              <w:t>(69)</w:t>
            </w:r>
          </w:p>
        </w:tc>
        <w:tc>
          <w:tcPr>
            <w:tcW w:w="1000" w:type="dxa"/>
            <w:tcBorders>
              <w:bottom w:val="single" w:color="000000" w:sz="6" w:space="0"/>
            </w:tcBorders>
          </w:tcPr>
          <w:p>
            <w:pPr>
              <w:pStyle w:val="TableParagraph"/>
              <w:spacing w:before="22"/>
              <w:ind w:right="41"/>
              <w:jc w:val="right"/>
              <w:rPr>
                <w:sz w:val="21"/>
              </w:rPr>
            </w:pPr>
            <w:r>
              <w:rPr>
                <w:color w:val="080808"/>
                <w:spacing w:val="-4"/>
                <w:sz w:val="21"/>
              </w:rPr>
              <w:t>(69)</w:t>
            </w:r>
          </w:p>
        </w:tc>
        <w:tc>
          <w:tcPr>
            <w:tcW w:w="58" w:type="dxa"/>
            <w:vMerge/>
            <w:tcBorders>
              <w:top w:val="nil"/>
              <w:bottom w:val="single" w:color="000000" w:sz="6" w:space="0"/>
            </w:tcBorders>
          </w:tcPr>
          <w:p>
            <w:pPr>
              <w:rPr>
                <w:sz w:val="2"/>
                <w:szCs w:val="2"/>
              </w:rPr>
            </w:pPr>
          </w:p>
        </w:tc>
      </w:tr>
      <w:tr>
        <w:trPr>
          <w:trHeight w:val="302" w:hRule="atLeast"/>
        </w:trPr>
        <w:tc>
          <w:tcPr>
            <w:tcW w:w="5479" w:type="dxa"/>
          </w:tcPr>
          <w:p>
            <w:pPr>
              <w:pStyle w:val="TableParagraph"/>
              <w:rPr>
                <w:rFonts w:ascii="Times New Roman"/>
                <w:sz w:val="20"/>
              </w:rPr>
            </w:pPr>
          </w:p>
        </w:tc>
        <w:tc>
          <w:tcPr>
            <w:tcW w:w="154" w:type="dxa"/>
            <w:tcBorders>
              <w:top w:val="single" w:color="000000" w:sz="6" w:space="0"/>
              <w:bottom w:val="single" w:color="000000" w:sz="6" w:space="0"/>
            </w:tcBorders>
          </w:tcPr>
          <w:p>
            <w:pPr>
              <w:pStyle w:val="TableParagraph"/>
              <w:rPr>
                <w:rFonts w:ascii="Times New Roman"/>
                <w:sz w:val="20"/>
              </w:rPr>
            </w:pPr>
          </w:p>
        </w:tc>
        <w:tc>
          <w:tcPr>
            <w:tcW w:w="1809" w:type="dxa"/>
            <w:tcBorders>
              <w:top w:val="single" w:color="000000" w:sz="6" w:space="0"/>
              <w:bottom w:val="single" w:color="000000" w:sz="6" w:space="0"/>
            </w:tcBorders>
          </w:tcPr>
          <w:p>
            <w:pPr>
              <w:pStyle w:val="TableParagraph"/>
              <w:spacing w:before="45" w:line="237" w:lineRule="exact"/>
              <w:ind w:left="705"/>
              <w:rPr>
                <w:b/>
                <w:sz w:val="21"/>
              </w:rPr>
            </w:pPr>
            <w:r>
              <w:rPr>
                <w:b/>
                <w:color w:val="080808"/>
                <w:spacing w:val="-2"/>
                <w:sz w:val="21"/>
              </w:rPr>
              <w:t>20,615</w:t>
            </w:r>
          </w:p>
        </w:tc>
        <w:tc>
          <w:tcPr>
            <w:tcW w:w="1153" w:type="dxa"/>
            <w:tcBorders>
              <w:top w:val="single" w:color="000000" w:sz="6" w:space="0"/>
              <w:bottom w:val="single" w:color="000000" w:sz="6" w:space="0"/>
            </w:tcBorders>
          </w:tcPr>
          <w:p>
            <w:pPr>
              <w:pStyle w:val="TableParagraph"/>
              <w:spacing w:before="40"/>
              <w:ind w:right="167"/>
              <w:jc w:val="right"/>
              <w:rPr>
                <w:b/>
                <w:sz w:val="21"/>
              </w:rPr>
            </w:pPr>
            <w:r>
              <w:rPr>
                <w:b/>
                <w:color w:val="080808"/>
                <w:spacing w:val="-2"/>
                <w:sz w:val="21"/>
              </w:rPr>
              <w:t>(613)</w:t>
            </w:r>
          </w:p>
        </w:tc>
        <w:tc>
          <w:tcPr>
            <w:tcW w:w="1000" w:type="dxa"/>
            <w:tcBorders>
              <w:top w:val="single" w:color="000000" w:sz="6" w:space="0"/>
              <w:bottom w:val="single" w:color="000000" w:sz="6" w:space="0"/>
            </w:tcBorders>
          </w:tcPr>
          <w:p>
            <w:pPr>
              <w:pStyle w:val="TableParagraph"/>
              <w:spacing w:before="45" w:line="237" w:lineRule="exact"/>
              <w:ind w:right="43"/>
              <w:jc w:val="right"/>
              <w:rPr>
                <w:b/>
                <w:sz w:val="21"/>
              </w:rPr>
            </w:pPr>
            <w:r>
              <w:rPr>
                <w:b/>
                <w:color w:val="080808"/>
                <w:spacing w:val="-2"/>
                <w:sz w:val="21"/>
              </w:rPr>
              <w:t>20,002</w:t>
            </w:r>
          </w:p>
        </w:tc>
        <w:tc>
          <w:tcPr>
            <w:tcW w:w="58" w:type="dxa"/>
            <w:vMerge/>
            <w:tcBorders>
              <w:top w:val="nil"/>
              <w:bottom w:val="single" w:color="000000" w:sz="6" w:space="0"/>
            </w:tcBorders>
          </w:tcPr>
          <w:p>
            <w:pPr>
              <w:rPr>
                <w:sz w:val="2"/>
                <w:szCs w:val="2"/>
              </w:rPr>
            </w:pPr>
          </w:p>
        </w:tc>
      </w:tr>
      <w:tr>
        <w:trPr>
          <w:trHeight w:val="311" w:hRule="atLeast"/>
        </w:trPr>
        <w:tc>
          <w:tcPr>
            <w:tcW w:w="5479" w:type="dxa"/>
          </w:tcPr>
          <w:p>
            <w:pPr>
              <w:pStyle w:val="TableParagraph"/>
              <w:rPr>
                <w:rFonts w:ascii="Times New Roman"/>
                <w:sz w:val="20"/>
              </w:rPr>
            </w:pPr>
          </w:p>
        </w:tc>
        <w:tc>
          <w:tcPr>
            <w:tcW w:w="154" w:type="dxa"/>
            <w:tcBorders>
              <w:top w:val="single" w:color="000000" w:sz="6" w:space="0"/>
              <w:bottom w:val="single" w:color="000000" w:sz="6" w:space="0"/>
            </w:tcBorders>
          </w:tcPr>
          <w:p>
            <w:pPr>
              <w:pStyle w:val="TableParagraph"/>
              <w:rPr>
                <w:rFonts w:ascii="Times New Roman"/>
                <w:sz w:val="20"/>
              </w:rPr>
            </w:pPr>
          </w:p>
        </w:tc>
        <w:tc>
          <w:tcPr>
            <w:tcW w:w="1809" w:type="dxa"/>
            <w:tcBorders>
              <w:top w:val="single" w:color="000000" w:sz="6" w:space="0"/>
              <w:bottom w:val="single" w:color="000000" w:sz="6" w:space="0"/>
            </w:tcBorders>
          </w:tcPr>
          <w:p>
            <w:pPr>
              <w:pStyle w:val="TableParagraph"/>
              <w:rPr>
                <w:rFonts w:ascii="Times New Roman"/>
                <w:sz w:val="20"/>
              </w:rPr>
            </w:pPr>
          </w:p>
        </w:tc>
        <w:tc>
          <w:tcPr>
            <w:tcW w:w="1153" w:type="dxa"/>
            <w:tcBorders>
              <w:top w:val="single" w:color="000000" w:sz="6" w:space="0"/>
              <w:bottom w:val="single" w:color="000000" w:sz="6" w:space="0"/>
            </w:tcBorders>
          </w:tcPr>
          <w:p>
            <w:pPr>
              <w:pStyle w:val="TableParagraph"/>
              <w:rPr>
                <w:rFonts w:ascii="Times New Roman"/>
                <w:sz w:val="20"/>
              </w:rPr>
            </w:pPr>
          </w:p>
        </w:tc>
        <w:tc>
          <w:tcPr>
            <w:tcW w:w="1000" w:type="dxa"/>
            <w:tcBorders>
              <w:top w:val="single" w:color="000000" w:sz="6" w:space="0"/>
              <w:bottom w:val="single" w:color="000000" w:sz="6" w:space="0"/>
            </w:tcBorders>
          </w:tcPr>
          <w:p>
            <w:pPr>
              <w:pStyle w:val="TableParagraph"/>
              <w:rPr>
                <w:rFonts w:ascii="Times New Roman"/>
                <w:sz w:val="20"/>
              </w:rPr>
            </w:pPr>
          </w:p>
        </w:tc>
        <w:tc>
          <w:tcPr>
            <w:tcW w:w="58" w:type="dxa"/>
            <w:vMerge/>
            <w:tcBorders>
              <w:top w:val="nil"/>
              <w:bottom w:val="single" w:color="000000" w:sz="6" w:space="0"/>
            </w:tcBorders>
          </w:tcPr>
          <w:p>
            <w:pPr>
              <w:rPr>
                <w:sz w:val="2"/>
                <w:szCs w:val="2"/>
              </w:rPr>
            </w:pPr>
          </w:p>
        </w:tc>
      </w:tr>
      <w:tr>
        <w:trPr>
          <w:trHeight w:val="302" w:hRule="atLeast"/>
        </w:trPr>
        <w:tc>
          <w:tcPr>
            <w:tcW w:w="5479" w:type="dxa"/>
          </w:tcPr>
          <w:p>
            <w:pPr>
              <w:pStyle w:val="TableParagraph"/>
              <w:spacing w:before="40"/>
              <w:ind w:left="86"/>
              <w:rPr>
                <w:b/>
                <w:sz w:val="21"/>
              </w:rPr>
            </w:pPr>
            <w:r>
              <w:rPr>
                <w:b/>
                <w:color w:val="080808"/>
                <w:sz w:val="21"/>
              </w:rPr>
              <w:t>Surplus</w:t>
            </w:r>
            <w:r>
              <w:rPr>
                <w:b/>
                <w:color w:val="080808"/>
                <w:spacing w:val="7"/>
                <w:sz w:val="21"/>
              </w:rPr>
              <w:t> </w:t>
            </w:r>
            <w:r>
              <w:rPr>
                <w:i/>
                <w:color w:val="080808"/>
                <w:sz w:val="20"/>
              </w:rPr>
              <w:t>I</w:t>
            </w:r>
            <w:r>
              <w:rPr>
                <w:i/>
                <w:color w:val="080808"/>
                <w:spacing w:val="18"/>
                <w:sz w:val="20"/>
              </w:rPr>
              <w:t> </w:t>
            </w:r>
            <w:r>
              <w:rPr>
                <w:b/>
                <w:color w:val="080808"/>
                <w:sz w:val="21"/>
              </w:rPr>
              <w:t>Deficit(-)</w:t>
            </w:r>
            <w:r>
              <w:rPr>
                <w:b/>
                <w:color w:val="080808"/>
                <w:spacing w:val="11"/>
                <w:sz w:val="21"/>
              </w:rPr>
              <w:t> </w:t>
            </w:r>
            <w:r>
              <w:rPr>
                <w:b/>
                <w:color w:val="080808"/>
                <w:sz w:val="21"/>
              </w:rPr>
              <w:t>arising</w:t>
            </w:r>
            <w:r>
              <w:rPr>
                <w:b/>
                <w:color w:val="080808"/>
                <w:spacing w:val="12"/>
                <w:sz w:val="21"/>
              </w:rPr>
              <w:t> </w:t>
            </w:r>
            <w:r>
              <w:rPr>
                <w:b/>
                <w:color w:val="080808"/>
                <w:sz w:val="21"/>
              </w:rPr>
              <w:t>during</w:t>
            </w:r>
            <w:r>
              <w:rPr>
                <w:b/>
                <w:color w:val="080808"/>
                <w:spacing w:val="16"/>
                <w:sz w:val="21"/>
              </w:rPr>
              <w:t> </w:t>
            </w:r>
            <w:r>
              <w:rPr>
                <w:b/>
                <w:color w:val="080808"/>
                <w:sz w:val="21"/>
              </w:rPr>
              <w:t>the</w:t>
            </w:r>
            <w:r>
              <w:rPr>
                <w:b/>
                <w:color w:val="080808"/>
                <w:spacing w:val="3"/>
                <w:sz w:val="21"/>
              </w:rPr>
              <w:t> </w:t>
            </w:r>
            <w:r>
              <w:rPr>
                <w:b/>
                <w:color w:val="080808"/>
                <w:spacing w:val="-4"/>
                <w:sz w:val="21"/>
              </w:rPr>
              <w:t>year</w:t>
            </w:r>
          </w:p>
        </w:tc>
        <w:tc>
          <w:tcPr>
            <w:tcW w:w="154" w:type="dxa"/>
            <w:tcBorders>
              <w:top w:val="single" w:color="000000" w:sz="6" w:space="0"/>
              <w:bottom w:val="single" w:color="000000" w:sz="6" w:space="0"/>
            </w:tcBorders>
          </w:tcPr>
          <w:p>
            <w:pPr>
              <w:pStyle w:val="TableParagraph"/>
              <w:rPr>
                <w:rFonts w:ascii="Times New Roman"/>
                <w:sz w:val="20"/>
              </w:rPr>
            </w:pPr>
          </w:p>
        </w:tc>
        <w:tc>
          <w:tcPr>
            <w:tcW w:w="1809" w:type="dxa"/>
            <w:tcBorders>
              <w:top w:val="single" w:color="000000" w:sz="6" w:space="0"/>
              <w:bottom w:val="single" w:color="000000" w:sz="6" w:space="0"/>
            </w:tcBorders>
          </w:tcPr>
          <w:p>
            <w:pPr>
              <w:pStyle w:val="TableParagraph"/>
              <w:spacing w:before="40"/>
              <w:ind w:right="462"/>
              <w:jc w:val="right"/>
              <w:rPr>
                <w:b/>
                <w:sz w:val="21"/>
              </w:rPr>
            </w:pPr>
            <w:r>
              <w:rPr>
                <w:b/>
                <w:color w:val="080808"/>
                <w:spacing w:val="-2"/>
                <w:sz w:val="21"/>
              </w:rPr>
              <w:t>8,439</w:t>
            </w:r>
          </w:p>
        </w:tc>
        <w:tc>
          <w:tcPr>
            <w:tcW w:w="1153" w:type="dxa"/>
            <w:tcBorders>
              <w:top w:val="single" w:color="000000" w:sz="6" w:space="0"/>
              <w:bottom w:val="single" w:color="000000" w:sz="6" w:space="0"/>
            </w:tcBorders>
          </w:tcPr>
          <w:p>
            <w:pPr>
              <w:pStyle w:val="TableParagraph"/>
              <w:spacing w:before="40"/>
              <w:ind w:right="173"/>
              <w:jc w:val="right"/>
              <w:rPr>
                <w:b/>
                <w:sz w:val="21"/>
              </w:rPr>
            </w:pPr>
            <w:r>
              <w:rPr>
                <w:b/>
                <w:color w:val="080808"/>
                <w:spacing w:val="-5"/>
                <w:sz w:val="21"/>
              </w:rPr>
              <w:t>862</w:t>
            </w:r>
          </w:p>
        </w:tc>
        <w:tc>
          <w:tcPr>
            <w:tcW w:w="1000" w:type="dxa"/>
            <w:tcBorders>
              <w:top w:val="single" w:color="000000" w:sz="6" w:space="0"/>
              <w:bottom w:val="single" w:color="000000" w:sz="6" w:space="0"/>
            </w:tcBorders>
          </w:tcPr>
          <w:p>
            <w:pPr>
              <w:pStyle w:val="TableParagraph"/>
              <w:spacing w:before="40"/>
              <w:ind w:right="41"/>
              <w:jc w:val="right"/>
              <w:rPr>
                <w:b/>
                <w:sz w:val="21"/>
              </w:rPr>
            </w:pPr>
            <w:r>
              <w:rPr>
                <w:b/>
                <w:color w:val="080808"/>
                <w:spacing w:val="-2"/>
                <w:sz w:val="21"/>
              </w:rPr>
              <w:t>9,301</w:t>
            </w:r>
          </w:p>
        </w:tc>
        <w:tc>
          <w:tcPr>
            <w:tcW w:w="58" w:type="dxa"/>
            <w:vMerge/>
            <w:tcBorders>
              <w:top w:val="nil"/>
              <w:bottom w:val="single" w:color="000000" w:sz="6" w:space="0"/>
            </w:tcBorders>
          </w:tcPr>
          <w:p>
            <w:pPr>
              <w:rPr>
                <w:sz w:val="2"/>
                <w:szCs w:val="2"/>
              </w:rPr>
            </w:pPr>
          </w:p>
        </w:tc>
      </w:tr>
      <w:tr>
        <w:trPr>
          <w:trHeight w:val="926" w:hRule="atLeast"/>
        </w:trPr>
        <w:tc>
          <w:tcPr>
            <w:tcW w:w="5479" w:type="dxa"/>
          </w:tcPr>
          <w:p>
            <w:pPr>
              <w:pStyle w:val="TableParagraph"/>
              <w:spacing w:before="116"/>
              <w:rPr>
                <w:b/>
                <w:sz w:val="21"/>
              </w:rPr>
            </w:pPr>
          </w:p>
          <w:p>
            <w:pPr>
              <w:pStyle w:val="TableParagraph"/>
              <w:ind w:left="77"/>
              <w:rPr>
                <w:b/>
                <w:sz w:val="21"/>
              </w:rPr>
            </w:pPr>
            <w:r>
              <w:rPr>
                <w:b/>
                <w:color w:val="080808"/>
                <w:w w:val="105"/>
                <w:sz w:val="21"/>
              </w:rPr>
              <w:t>Surplus/</w:t>
            </w:r>
            <w:r>
              <w:rPr>
                <w:b/>
                <w:color w:val="080808"/>
                <w:spacing w:val="-10"/>
                <w:w w:val="105"/>
                <w:sz w:val="21"/>
              </w:rPr>
              <w:t> </w:t>
            </w:r>
            <w:r>
              <w:rPr>
                <w:b/>
                <w:color w:val="080808"/>
                <w:w w:val="105"/>
                <w:sz w:val="21"/>
              </w:rPr>
              <w:t>Deficit(-)</w:t>
            </w:r>
            <w:r>
              <w:rPr>
                <w:b/>
                <w:color w:val="080808"/>
                <w:spacing w:val="-7"/>
                <w:w w:val="105"/>
                <w:sz w:val="21"/>
              </w:rPr>
              <w:t> </w:t>
            </w:r>
            <w:r>
              <w:rPr>
                <w:b/>
                <w:color w:val="080808"/>
                <w:w w:val="105"/>
                <w:sz w:val="21"/>
              </w:rPr>
              <w:t>brought</w:t>
            </w:r>
            <w:r>
              <w:rPr>
                <w:b/>
                <w:color w:val="080808"/>
                <w:spacing w:val="-14"/>
                <w:w w:val="105"/>
                <w:sz w:val="21"/>
              </w:rPr>
              <w:t> </w:t>
            </w:r>
            <w:r>
              <w:rPr>
                <w:b/>
                <w:color w:val="080808"/>
                <w:w w:val="105"/>
                <w:sz w:val="21"/>
              </w:rPr>
              <w:t>forward</w:t>
            </w:r>
            <w:r>
              <w:rPr>
                <w:b/>
                <w:color w:val="080808"/>
                <w:spacing w:val="-13"/>
                <w:w w:val="105"/>
                <w:sz w:val="21"/>
              </w:rPr>
              <w:t> </w:t>
            </w:r>
            <w:r>
              <w:rPr>
                <w:b/>
                <w:color w:val="080808"/>
                <w:w w:val="105"/>
                <w:sz w:val="21"/>
              </w:rPr>
              <w:t>1st</w:t>
            </w:r>
            <w:r>
              <w:rPr>
                <w:b/>
                <w:color w:val="080808"/>
                <w:spacing w:val="-15"/>
                <w:w w:val="105"/>
                <w:sz w:val="21"/>
              </w:rPr>
              <w:t> </w:t>
            </w:r>
            <w:r>
              <w:rPr>
                <w:b/>
                <w:color w:val="080808"/>
                <w:spacing w:val="-2"/>
                <w:w w:val="105"/>
                <w:sz w:val="21"/>
              </w:rPr>
              <w:t>April</w:t>
            </w:r>
          </w:p>
        </w:tc>
        <w:tc>
          <w:tcPr>
            <w:tcW w:w="154" w:type="dxa"/>
            <w:tcBorders>
              <w:top w:val="single" w:color="000000" w:sz="6" w:space="0"/>
              <w:bottom w:val="single" w:color="000000" w:sz="6" w:space="0"/>
            </w:tcBorders>
          </w:tcPr>
          <w:p>
            <w:pPr>
              <w:pStyle w:val="TableParagraph"/>
              <w:rPr>
                <w:rFonts w:ascii="Times New Roman"/>
                <w:sz w:val="20"/>
              </w:rPr>
            </w:pPr>
          </w:p>
        </w:tc>
        <w:tc>
          <w:tcPr>
            <w:tcW w:w="1809" w:type="dxa"/>
            <w:tcBorders>
              <w:top w:val="single" w:color="000000" w:sz="6" w:space="0"/>
              <w:bottom w:val="single" w:color="000000" w:sz="6" w:space="0"/>
            </w:tcBorders>
          </w:tcPr>
          <w:p>
            <w:pPr>
              <w:pStyle w:val="TableParagraph"/>
              <w:spacing w:before="116"/>
              <w:rPr>
                <w:b/>
                <w:sz w:val="21"/>
              </w:rPr>
            </w:pPr>
          </w:p>
          <w:p>
            <w:pPr>
              <w:pStyle w:val="TableParagraph"/>
              <w:ind w:left="551"/>
              <w:rPr>
                <w:b/>
                <w:sz w:val="21"/>
              </w:rPr>
            </w:pPr>
            <w:r>
              <w:rPr>
                <w:b/>
                <w:color w:val="080808"/>
                <w:spacing w:val="-2"/>
                <w:sz w:val="21"/>
              </w:rPr>
              <w:t>(21,830)</w:t>
            </w:r>
          </w:p>
        </w:tc>
        <w:tc>
          <w:tcPr>
            <w:tcW w:w="1153" w:type="dxa"/>
            <w:tcBorders>
              <w:top w:val="single" w:color="000000" w:sz="6" w:space="0"/>
              <w:bottom w:val="single" w:color="000000" w:sz="6" w:space="0"/>
            </w:tcBorders>
          </w:tcPr>
          <w:p>
            <w:pPr>
              <w:pStyle w:val="TableParagraph"/>
              <w:spacing w:before="111"/>
              <w:rPr>
                <w:b/>
                <w:sz w:val="21"/>
              </w:rPr>
            </w:pPr>
          </w:p>
          <w:p>
            <w:pPr>
              <w:pStyle w:val="TableParagraph"/>
              <w:ind w:right="186"/>
              <w:jc w:val="right"/>
              <w:rPr>
                <w:b/>
                <w:sz w:val="21"/>
              </w:rPr>
            </w:pPr>
            <w:r>
              <w:rPr>
                <w:b/>
                <w:color w:val="080808"/>
                <w:spacing w:val="-2"/>
                <w:sz w:val="21"/>
              </w:rPr>
              <w:t>1,103</w:t>
            </w:r>
          </w:p>
        </w:tc>
        <w:tc>
          <w:tcPr>
            <w:tcW w:w="1000" w:type="dxa"/>
            <w:tcBorders>
              <w:top w:val="single" w:color="000000" w:sz="6" w:space="0"/>
              <w:bottom w:val="single" w:color="000000" w:sz="6" w:space="0"/>
            </w:tcBorders>
          </w:tcPr>
          <w:p>
            <w:pPr>
              <w:pStyle w:val="TableParagraph"/>
              <w:spacing w:before="116"/>
              <w:rPr>
                <w:b/>
                <w:sz w:val="21"/>
              </w:rPr>
            </w:pPr>
          </w:p>
          <w:p>
            <w:pPr>
              <w:pStyle w:val="TableParagraph"/>
              <w:ind w:right="50"/>
              <w:jc w:val="right"/>
              <w:rPr>
                <w:b/>
                <w:sz w:val="21"/>
              </w:rPr>
            </w:pPr>
            <w:r>
              <w:rPr>
                <w:b/>
                <w:color w:val="080808"/>
                <w:spacing w:val="-2"/>
                <w:sz w:val="21"/>
              </w:rPr>
              <w:t>(20,727)</w:t>
            </w:r>
          </w:p>
        </w:tc>
        <w:tc>
          <w:tcPr>
            <w:tcW w:w="58" w:type="dxa"/>
            <w:vMerge/>
            <w:tcBorders>
              <w:top w:val="nil"/>
              <w:bottom w:val="single" w:color="000000" w:sz="6" w:space="0"/>
            </w:tcBorders>
          </w:tcPr>
          <w:p>
            <w:pPr>
              <w:rPr>
                <w:sz w:val="2"/>
                <w:szCs w:val="2"/>
              </w:rPr>
            </w:pPr>
          </w:p>
        </w:tc>
      </w:tr>
      <w:tr>
        <w:trPr>
          <w:trHeight w:val="311" w:hRule="atLeast"/>
        </w:trPr>
        <w:tc>
          <w:tcPr>
            <w:tcW w:w="5479" w:type="dxa"/>
          </w:tcPr>
          <w:p>
            <w:pPr>
              <w:pStyle w:val="TableParagraph"/>
              <w:spacing w:before="45"/>
              <w:ind w:left="72"/>
              <w:rPr>
                <w:b/>
                <w:sz w:val="21"/>
              </w:rPr>
            </w:pPr>
            <w:r>
              <w:rPr>
                <w:b/>
                <w:color w:val="080808"/>
                <w:sz w:val="21"/>
              </w:rPr>
              <w:t>Surplus</w:t>
            </w:r>
            <w:r>
              <w:rPr>
                <w:b/>
                <w:color w:val="080808"/>
                <w:spacing w:val="6"/>
                <w:sz w:val="21"/>
              </w:rPr>
              <w:t> </w:t>
            </w:r>
            <w:r>
              <w:rPr>
                <w:i/>
                <w:color w:val="080808"/>
                <w:sz w:val="20"/>
              </w:rPr>
              <w:t>I</w:t>
            </w:r>
            <w:r>
              <w:rPr>
                <w:i/>
                <w:color w:val="080808"/>
                <w:spacing w:val="17"/>
                <w:sz w:val="20"/>
              </w:rPr>
              <w:t> </w:t>
            </w:r>
            <w:r>
              <w:rPr>
                <w:b/>
                <w:color w:val="080808"/>
                <w:sz w:val="21"/>
              </w:rPr>
              <w:t>Deficit(-)</w:t>
            </w:r>
            <w:r>
              <w:rPr>
                <w:b/>
                <w:color w:val="080808"/>
                <w:spacing w:val="8"/>
                <w:sz w:val="21"/>
              </w:rPr>
              <w:t> </w:t>
            </w:r>
            <w:r>
              <w:rPr>
                <w:b/>
                <w:color w:val="080808"/>
                <w:sz w:val="21"/>
              </w:rPr>
              <w:t>carried</w:t>
            </w:r>
            <w:r>
              <w:rPr>
                <w:b/>
                <w:color w:val="080808"/>
                <w:spacing w:val="16"/>
                <w:sz w:val="21"/>
              </w:rPr>
              <w:t> </w:t>
            </w:r>
            <w:r>
              <w:rPr>
                <w:b/>
                <w:color w:val="080808"/>
                <w:sz w:val="21"/>
              </w:rPr>
              <w:t>forward</w:t>
            </w:r>
            <w:r>
              <w:rPr>
                <w:b/>
                <w:color w:val="080808"/>
                <w:spacing w:val="23"/>
                <w:sz w:val="21"/>
              </w:rPr>
              <w:t> </w:t>
            </w:r>
            <w:r>
              <w:rPr>
                <w:b/>
                <w:color w:val="080808"/>
                <w:sz w:val="21"/>
              </w:rPr>
              <w:t>31st</w:t>
            </w:r>
            <w:r>
              <w:rPr>
                <w:b/>
                <w:color w:val="080808"/>
                <w:spacing w:val="-6"/>
                <w:sz w:val="21"/>
              </w:rPr>
              <w:t> </w:t>
            </w:r>
            <w:r>
              <w:rPr>
                <w:b/>
                <w:color w:val="080808"/>
                <w:spacing w:val="-2"/>
                <w:sz w:val="21"/>
              </w:rPr>
              <w:t>March</w:t>
            </w:r>
          </w:p>
        </w:tc>
        <w:tc>
          <w:tcPr>
            <w:tcW w:w="154" w:type="dxa"/>
            <w:tcBorders>
              <w:top w:val="single" w:color="000000" w:sz="6" w:space="0"/>
            </w:tcBorders>
          </w:tcPr>
          <w:p>
            <w:pPr>
              <w:pStyle w:val="TableParagraph"/>
              <w:rPr>
                <w:rFonts w:ascii="Times New Roman"/>
                <w:sz w:val="20"/>
              </w:rPr>
            </w:pPr>
          </w:p>
        </w:tc>
        <w:tc>
          <w:tcPr>
            <w:tcW w:w="1809" w:type="dxa"/>
            <w:tcBorders>
              <w:top w:val="single" w:color="000000" w:sz="6" w:space="0"/>
              <w:bottom w:val="single" w:color="000000" w:sz="6" w:space="0"/>
            </w:tcBorders>
          </w:tcPr>
          <w:p>
            <w:pPr>
              <w:pStyle w:val="TableParagraph"/>
              <w:spacing w:before="45"/>
              <w:ind w:left="546"/>
              <w:rPr>
                <w:b/>
                <w:sz w:val="21"/>
              </w:rPr>
            </w:pPr>
            <w:r>
              <w:rPr>
                <w:b/>
                <w:color w:val="080808"/>
                <w:spacing w:val="-2"/>
                <w:sz w:val="21"/>
              </w:rPr>
              <w:t>(13,391)</w:t>
            </w:r>
          </w:p>
        </w:tc>
        <w:tc>
          <w:tcPr>
            <w:tcW w:w="1153" w:type="dxa"/>
            <w:tcBorders>
              <w:top w:val="single" w:color="000000" w:sz="6" w:space="0"/>
              <w:bottom w:val="single" w:color="000000" w:sz="6" w:space="0"/>
            </w:tcBorders>
          </w:tcPr>
          <w:p>
            <w:pPr>
              <w:pStyle w:val="TableParagraph"/>
              <w:spacing w:before="45"/>
              <w:ind w:right="191"/>
              <w:jc w:val="right"/>
              <w:rPr>
                <w:b/>
                <w:sz w:val="21"/>
              </w:rPr>
            </w:pPr>
            <w:r>
              <w:rPr>
                <w:b/>
                <w:color w:val="080808"/>
                <w:spacing w:val="-2"/>
                <w:sz w:val="21"/>
              </w:rPr>
              <w:t>1,965</w:t>
            </w:r>
          </w:p>
        </w:tc>
        <w:tc>
          <w:tcPr>
            <w:tcW w:w="1000" w:type="dxa"/>
            <w:tcBorders>
              <w:top w:val="single" w:color="000000" w:sz="6" w:space="0"/>
              <w:bottom w:val="single" w:color="000000" w:sz="6" w:space="0"/>
            </w:tcBorders>
          </w:tcPr>
          <w:p>
            <w:pPr>
              <w:pStyle w:val="TableParagraph"/>
              <w:spacing w:before="45"/>
              <w:ind w:right="55"/>
              <w:jc w:val="right"/>
              <w:rPr>
                <w:b/>
                <w:sz w:val="21"/>
              </w:rPr>
            </w:pPr>
            <w:r>
              <w:rPr>
                <w:b/>
                <w:color w:val="080808"/>
                <w:spacing w:val="-2"/>
                <w:sz w:val="21"/>
              </w:rPr>
              <w:t>(11,426)</w:t>
            </w:r>
          </w:p>
        </w:tc>
        <w:tc>
          <w:tcPr>
            <w:tcW w:w="58" w:type="dxa"/>
            <w:vMerge/>
            <w:tcBorders>
              <w:top w:val="nil"/>
              <w:bottom w:val="single" w:color="000000" w:sz="6" w:space="0"/>
            </w:tcBorders>
          </w:tcPr>
          <w:p>
            <w:pPr>
              <w:rPr>
                <w:sz w:val="2"/>
                <w:szCs w:val="2"/>
              </w:rPr>
            </w:pPr>
          </w:p>
        </w:tc>
      </w:tr>
      <w:tr>
        <w:trPr>
          <w:trHeight w:val="1034" w:hRule="atLeast"/>
        </w:trPr>
        <w:tc>
          <w:tcPr>
            <w:tcW w:w="5479" w:type="dxa"/>
          </w:tcPr>
          <w:p>
            <w:pPr>
              <w:pStyle w:val="TableParagraph"/>
              <w:rPr>
                <w:b/>
                <w:sz w:val="21"/>
              </w:rPr>
            </w:pPr>
          </w:p>
          <w:p>
            <w:pPr>
              <w:pStyle w:val="TableParagraph"/>
              <w:spacing w:before="211"/>
              <w:rPr>
                <w:b/>
                <w:sz w:val="21"/>
              </w:rPr>
            </w:pPr>
          </w:p>
          <w:p>
            <w:pPr>
              <w:pStyle w:val="TableParagraph"/>
              <w:ind w:left="57"/>
              <w:rPr>
                <w:i/>
                <w:sz w:val="20"/>
              </w:rPr>
            </w:pPr>
            <w:r>
              <w:rPr>
                <w:color w:val="080808"/>
                <w:sz w:val="21"/>
              </w:rPr>
              <w:t>Hertsmere</w:t>
            </w:r>
            <w:r>
              <w:rPr>
                <w:color w:val="080808"/>
                <w:spacing w:val="16"/>
                <w:sz w:val="21"/>
              </w:rPr>
              <w:t> </w:t>
            </w:r>
            <w:r>
              <w:rPr>
                <w:color w:val="080808"/>
                <w:sz w:val="21"/>
              </w:rPr>
              <w:t>Borough</w:t>
            </w:r>
            <w:r>
              <w:rPr>
                <w:color w:val="080808"/>
                <w:spacing w:val="5"/>
                <w:sz w:val="21"/>
              </w:rPr>
              <w:t> </w:t>
            </w:r>
            <w:r>
              <w:rPr>
                <w:color w:val="080808"/>
                <w:sz w:val="21"/>
              </w:rPr>
              <w:t>Council</w:t>
            </w:r>
            <w:r>
              <w:rPr>
                <w:color w:val="080808"/>
                <w:spacing w:val="7"/>
                <w:sz w:val="21"/>
              </w:rPr>
              <w:t> </w:t>
            </w:r>
            <w:r>
              <w:rPr>
                <w:i/>
                <w:color w:val="080808"/>
                <w:sz w:val="20"/>
              </w:rPr>
              <w:t>(included</w:t>
            </w:r>
            <w:r>
              <w:rPr>
                <w:i/>
                <w:color w:val="080808"/>
                <w:spacing w:val="21"/>
                <w:sz w:val="20"/>
              </w:rPr>
              <w:t> </w:t>
            </w:r>
            <w:r>
              <w:rPr>
                <w:i/>
                <w:color w:val="080808"/>
                <w:sz w:val="20"/>
              </w:rPr>
              <w:t>in</w:t>
            </w:r>
            <w:r>
              <w:rPr>
                <w:i/>
                <w:color w:val="080808"/>
                <w:spacing w:val="5"/>
                <w:sz w:val="20"/>
              </w:rPr>
              <w:t> </w:t>
            </w:r>
            <w:r>
              <w:rPr>
                <w:i/>
                <w:color w:val="080808"/>
                <w:spacing w:val="-2"/>
                <w:sz w:val="20"/>
              </w:rPr>
              <w:t>reserves)</w:t>
            </w:r>
          </w:p>
        </w:tc>
        <w:tc>
          <w:tcPr>
            <w:tcW w:w="154" w:type="dxa"/>
          </w:tcPr>
          <w:p>
            <w:pPr>
              <w:pStyle w:val="TableParagraph"/>
              <w:rPr>
                <w:rFonts w:ascii="Times New Roman"/>
                <w:sz w:val="20"/>
              </w:rPr>
            </w:pPr>
          </w:p>
        </w:tc>
        <w:tc>
          <w:tcPr>
            <w:tcW w:w="1809" w:type="dxa"/>
            <w:tcBorders>
              <w:top w:val="single" w:color="000000" w:sz="6" w:space="0"/>
            </w:tcBorders>
          </w:tcPr>
          <w:p>
            <w:pPr>
              <w:pStyle w:val="TableParagraph"/>
              <w:rPr>
                <w:b/>
                <w:sz w:val="21"/>
              </w:rPr>
            </w:pPr>
          </w:p>
          <w:p>
            <w:pPr>
              <w:pStyle w:val="TableParagraph"/>
              <w:spacing w:before="211"/>
              <w:rPr>
                <w:b/>
                <w:sz w:val="21"/>
              </w:rPr>
            </w:pPr>
          </w:p>
          <w:p>
            <w:pPr>
              <w:pStyle w:val="TableParagraph"/>
              <w:ind w:left="659"/>
              <w:rPr>
                <w:sz w:val="21"/>
              </w:rPr>
            </w:pPr>
            <w:r>
              <w:rPr>
                <w:color w:val="080808"/>
                <w:spacing w:val="-2"/>
                <w:sz w:val="21"/>
              </w:rPr>
              <w:t>(5,358)</w:t>
            </w:r>
          </w:p>
        </w:tc>
        <w:tc>
          <w:tcPr>
            <w:tcW w:w="1153" w:type="dxa"/>
            <w:tcBorders>
              <w:top w:val="single" w:color="000000" w:sz="6" w:space="0"/>
            </w:tcBorders>
          </w:tcPr>
          <w:p>
            <w:pPr>
              <w:pStyle w:val="TableParagraph"/>
              <w:rPr>
                <w:b/>
                <w:sz w:val="21"/>
              </w:rPr>
            </w:pPr>
          </w:p>
          <w:p>
            <w:pPr>
              <w:pStyle w:val="TableParagraph"/>
              <w:spacing w:before="211"/>
              <w:rPr>
                <w:b/>
                <w:sz w:val="21"/>
              </w:rPr>
            </w:pPr>
          </w:p>
          <w:p>
            <w:pPr>
              <w:pStyle w:val="TableParagraph"/>
              <w:ind w:right="192"/>
              <w:jc w:val="right"/>
              <w:rPr>
                <w:sz w:val="21"/>
              </w:rPr>
            </w:pPr>
            <w:r>
              <w:rPr>
                <w:color w:val="080808"/>
                <w:spacing w:val="-5"/>
                <w:sz w:val="21"/>
              </w:rPr>
              <w:t>223</w:t>
            </w:r>
          </w:p>
        </w:tc>
        <w:tc>
          <w:tcPr>
            <w:tcW w:w="1000" w:type="dxa"/>
            <w:tcBorders>
              <w:top w:val="single" w:color="000000" w:sz="6" w:space="0"/>
            </w:tcBorders>
          </w:tcPr>
          <w:p>
            <w:pPr>
              <w:pStyle w:val="TableParagraph"/>
              <w:rPr>
                <w:b/>
                <w:sz w:val="21"/>
              </w:rPr>
            </w:pPr>
          </w:p>
          <w:p>
            <w:pPr>
              <w:pStyle w:val="TableParagraph"/>
              <w:spacing w:before="206"/>
              <w:rPr>
                <w:b/>
                <w:sz w:val="21"/>
              </w:rPr>
            </w:pPr>
          </w:p>
          <w:p>
            <w:pPr>
              <w:pStyle w:val="TableParagraph"/>
              <w:ind w:left="265"/>
              <w:rPr>
                <w:sz w:val="21"/>
              </w:rPr>
            </w:pPr>
            <w:r>
              <w:rPr>
                <w:color w:val="080808"/>
                <w:spacing w:val="-2"/>
                <w:sz w:val="21"/>
              </w:rPr>
              <w:t>(5,135)</w:t>
            </w:r>
          </w:p>
        </w:tc>
        <w:tc>
          <w:tcPr>
            <w:tcW w:w="58" w:type="dxa"/>
            <w:tcBorders>
              <w:top w:val="single" w:color="000000" w:sz="6" w:space="0"/>
            </w:tcBorders>
          </w:tcPr>
          <w:p>
            <w:pPr>
              <w:pStyle w:val="TableParagraph"/>
              <w:rPr>
                <w:rFonts w:ascii="Times New Roman"/>
                <w:sz w:val="20"/>
              </w:rPr>
            </w:pPr>
          </w:p>
        </w:tc>
      </w:tr>
      <w:tr>
        <w:trPr>
          <w:trHeight w:val="694" w:hRule="atLeast"/>
        </w:trPr>
        <w:tc>
          <w:tcPr>
            <w:tcW w:w="5479" w:type="dxa"/>
          </w:tcPr>
          <w:p>
            <w:pPr>
              <w:pStyle w:val="TableParagraph"/>
              <w:spacing w:before="92" w:line="247" w:lineRule="auto"/>
              <w:ind w:left="50" w:firstLine="3"/>
              <w:rPr>
                <w:i/>
                <w:sz w:val="20"/>
              </w:rPr>
            </w:pPr>
            <w:r>
              <w:rPr>
                <w:color w:val="080808"/>
                <w:w w:val="105"/>
                <w:sz w:val="21"/>
              </w:rPr>
              <w:t>Precepting</w:t>
            </w:r>
            <w:r>
              <w:rPr>
                <w:color w:val="080808"/>
                <w:spacing w:val="-16"/>
                <w:w w:val="105"/>
                <w:sz w:val="21"/>
              </w:rPr>
              <w:t> </w:t>
            </w:r>
            <w:r>
              <w:rPr>
                <w:color w:val="080808"/>
                <w:w w:val="105"/>
                <w:sz w:val="21"/>
              </w:rPr>
              <w:t>authorities</w:t>
            </w:r>
            <w:r>
              <w:rPr>
                <w:color w:val="080808"/>
                <w:spacing w:val="-14"/>
                <w:w w:val="105"/>
                <w:sz w:val="21"/>
              </w:rPr>
              <w:t> </w:t>
            </w:r>
            <w:r>
              <w:rPr>
                <w:i/>
                <w:color w:val="080808"/>
                <w:w w:val="105"/>
                <w:sz w:val="20"/>
              </w:rPr>
              <w:t>(included</w:t>
            </w:r>
            <w:r>
              <w:rPr>
                <w:i/>
                <w:color w:val="080808"/>
                <w:spacing w:val="-15"/>
                <w:w w:val="105"/>
                <w:sz w:val="20"/>
              </w:rPr>
              <w:t> </w:t>
            </w:r>
            <w:r>
              <w:rPr>
                <w:i/>
                <w:color w:val="080808"/>
                <w:w w:val="105"/>
                <w:sz w:val="20"/>
              </w:rPr>
              <w:t>in</w:t>
            </w:r>
            <w:r>
              <w:rPr>
                <w:i/>
                <w:color w:val="080808"/>
                <w:spacing w:val="-14"/>
                <w:w w:val="105"/>
                <w:sz w:val="20"/>
              </w:rPr>
              <w:t> </w:t>
            </w:r>
            <w:r>
              <w:rPr>
                <w:i/>
                <w:color w:val="080808"/>
                <w:w w:val="105"/>
                <w:sz w:val="20"/>
              </w:rPr>
              <w:t>current</w:t>
            </w:r>
            <w:r>
              <w:rPr>
                <w:i/>
                <w:color w:val="080808"/>
                <w:spacing w:val="-15"/>
                <w:w w:val="105"/>
                <w:sz w:val="20"/>
              </w:rPr>
              <w:t> </w:t>
            </w:r>
            <w:r>
              <w:rPr>
                <w:i/>
                <w:color w:val="080808"/>
                <w:w w:val="105"/>
                <w:sz w:val="20"/>
              </w:rPr>
              <w:t>assets</w:t>
            </w:r>
            <w:r>
              <w:rPr>
                <w:i/>
                <w:color w:val="080808"/>
                <w:spacing w:val="-14"/>
                <w:w w:val="105"/>
                <w:sz w:val="20"/>
              </w:rPr>
              <w:t> </w:t>
            </w:r>
            <w:r>
              <w:rPr>
                <w:i/>
                <w:color w:val="080808"/>
                <w:w w:val="105"/>
                <w:sz w:val="20"/>
              </w:rPr>
              <w:t>or</w:t>
            </w:r>
            <w:r>
              <w:rPr>
                <w:i/>
                <w:color w:val="080808"/>
                <w:w w:val="105"/>
                <w:sz w:val="20"/>
              </w:rPr>
              <w:t> </w:t>
            </w:r>
            <w:r>
              <w:rPr>
                <w:i/>
                <w:color w:val="080808"/>
                <w:spacing w:val="-2"/>
                <w:w w:val="105"/>
                <w:sz w:val="20"/>
              </w:rPr>
              <w:t>liabilities)</w:t>
            </w:r>
          </w:p>
        </w:tc>
        <w:tc>
          <w:tcPr>
            <w:tcW w:w="154" w:type="dxa"/>
          </w:tcPr>
          <w:p>
            <w:pPr>
              <w:pStyle w:val="TableParagraph"/>
              <w:rPr>
                <w:rFonts w:ascii="Times New Roman"/>
                <w:sz w:val="20"/>
              </w:rPr>
            </w:pPr>
          </w:p>
        </w:tc>
        <w:tc>
          <w:tcPr>
            <w:tcW w:w="1809" w:type="dxa"/>
            <w:tcBorders>
              <w:bottom w:val="single" w:color="000000" w:sz="6" w:space="0"/>
            </w:tcBorders>
          </w:tcPr>
          <w:p>
            <w:pPr>
              <w:pStyle w:val="TableParagraph"/>
              <w:spacing w:before="217"/>
              <w:ind w:left="650"/>
              <w:rPr>
                <w:sz w:val="21"/>
              </w:rPr>
            </w:pPr>
            <w:r>
              <w:rPr>
                <w:color w:val="080808"/>
                <w:spacing w:val="-2"/>
                <w:sz w:val="21"/>
              </w:rPr>
              <w:t>(8,033)</w:t>
            </w:r>
          </w:p>
        </w:tc>
        <w:tc>
          <w:tcPr>
            <w:tcW w:w="1153" w:type="dxa"/>
            <w:tcBorders>
              <w:bottom w:val="single" w:color="000000" w:sz="6" w:space="0"/>
            </w:tcBorders>
          </w:tcPr>
          <w:p>
            <w:pPr>
              <w:pStyle w:val="TableParagraph"/>
              <w:spacing w:before="217"/>
              <w:ind w:right="197"/>
              <w:jc w:val="right"/>
              <w:rPr>
                <w:sz w:val="21"/>
              </w:rPr>
            </w:pPr>
            <w:r>
              <w:rPr>
                <w:color w:val="080808"/>
                <w:spacing w:val="-2"/>
                <w:sz w:val="21"/>
              </w:rPr>
              <w:t>1,742</w:t>
            </w:r>
          </w:p>
        </w:tc>
        <w:tc>
          <w:tcPr>
            <w:tcW w:w="1000" w:type="dxa"/>
            <w:tcBorders>
              <w:bottom w:val="single" w:color="000000" w:sz="6" w:space="0"/>
            </w:tcBorders>
          </w:tcPr>
          <w:p>
            <w:pPr>
              <w:pStyle w:val="TableParagraph"/>
              <w:spacing w:before="212"/>
              <w:ind w:right="55"/>
              <w:jc w:val="right"/>
              <w:rPr>
                <w:sz w:val="21"/>
              </w:rPr>
            </w:pPr>
            <w:r>
              <w:rPr>
                <w:color w:val="080808"/>
                <w:spacing w:val="-2"/>
                <w:sz w:val="21"/>
              </w:rPr>
              <w:t>(6</w:t>
            </w:r>
            <w:r>
              <w:rPr>
                <w:color w:val="313131"/>
                <w:spacing w:val="-2"/>
                <w:sz w:val="21"/>
              </w:rPr>
              <w:t>,</w:t>
            </w:r>
            <w:r>
              <w:rPr>
                <w:color w:val="080808"/>
                <w:spacing w:val="-2"/>
                <w:sz w:val="21"/>
              </w:rPr>
              <w:t>291)</w:t>
            </w:r>
          </w:p>
        </w:tc>
        <w:tc>
          <w:tcPr>
            <w:tcW w:w="58" w:type="dxa"/>
            <w:tcBorders>
              <w:bottom w:val="single" w:color="000000" w:sz="6" w:space="0"/>
            </w:tcBorders>
          </w:tcPr>
          <w:p>
            <w:pPr>
              <w:pStyle w:val="TableParagraph"/>
              <w:rPr>
                <w:rFonts w:ascii="Times New Roman"/>
                <w:sz w:val="20"/>
              </w:rPr>
            </w:pPr>
          </w:p>
        </w:tc>
      </w:tr>
    </w:tbl>
    <w:p>
      <w:pPr>
        <w:tabs>
          <w:tab w:val="left" w:leader="none" w:pos="9098"/>
          <w:tab w:val="left" w:leader="none" w:pos="9969"/>
        </w:tabs>
        <w:spacing w:before="46"/>
        <w:ind w:left="7397" w:right="0" w:firstLine="0"/>
        <w:jc w:val="left"/>
        <w:rPr>
          <w:b/>
          <w:sz w:val="21"/>
        </w:rPr>
      </w:pPr>
      <w:r>
        <w:rPr/>
        <ve:AlternateContent>
          <ve:Choice Requires="wps">
            <w:drawing>
              <wp:anchor distT="0" distB="0" distL="0" distR="0" simplePos="0" relativeHeight="487727616" behindDoc="1" locked="0" layoutInCell="1" allowOverlap="1">
                <wp:simplePos x="0" y="0"/>
                <wp:positionH relativeFrom="page">
                  <wp:posOffset>4335141</wp:posOffset>
                </wp:positionH>
                <wp:positionV relativeFrom="paragraph">
                  <wp:posOffset>198372</wp:posOffset>
                </wp:positionV>
                <wp:extent cx="2576830" cy="1270"/>
                <wp:effectExtent l="0" t="0" r="0" b="0"/>
                <wp:wrapTopAndBottom/>
                <wp:docPr id="631" name="Graphic 631"/>
                <wp:cNvGraphicFramePr>
                  <a:graphicFrameLocks/>
                </wp:cNvGraphicFramePr>
                <a:graphic>
                  <a:graphicData uri="http://schemas.microsoft.com/office/word/2010/wordprocessingShape">
                    <wps:wsp>
                      <wps:cNvPr id="631" name="Graphic 631"/>
                      <wps:cNvSpPr/>
                      <wps:spPr>
                        <a:xfrm>
                          <a:off x="0" y="0"/>
                          <a:ext cx="2576830" cy="1270"/>
                        </a:xfrm>
                        <a:custGeom>
                          <a:avLst/>
                          <a:gdLst/>
                          <a:ahLst/>
                          <a:cxnLst/>
                          <a:rect l="l" t="t" r="r" b="b"/>
                          <a:pathLst>
                            <a:path w="2576830" h="0">
                              <a:moveTo>
                                <a:pt x="0" y="0"/>
                              </a:moveTo>
                              <a:lnTo>
                                <a:pt x="2576661"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11" style="position:absolute;margin-left:341.349731pt;margin-top:15.619908pt;width:202.9pt;height:.1pt;mso-position-horizontal-relative:page;mso-position-vertical-relative:paragraph;z-index:-15588864;mso-wrap-distance-left:0;mso-wrap-distance-right:0" coordsize="4058,0" coordorigin="6827,312" filled="false" stroked="true" strokecolor="#000000" strokeweight=".720821pt" path="m6827,312l10885,312e">
                <v:path arrowok="t"/>
                <v:stroke dashstyle="solid"/>
                <w10:wrap type="topAndBottom"/>
              </v:shape>
            </w:pict>
          </ve:Fallback>
        </ve:AlternateContent>
      </w:r>
      <w:r>
        <w:rPr>
          <w:b/>
          <w:color w:val="080808"/>
          <w:spacing w:val="-2"/>
          <w:sz w:val="21"/>
        </w:rPr>
        <w:t>(13,391)</w:t>
      </w:r>
      <w:r>
        <w:rPr>
          <w:b/>
          <w:color w:val="080808"/>
          <w:sz w:val="21"/>
        </w:rPr>
        <w:tab/>
      </w:r>
      <w:r>
        <w:rPr>
          <w:b/>
          <w:color w:val="080808"/>
          <w:spacing w:val="-2"/>
          <w:sz w:val="21"/>
        </w:rPr>
        <w:t>1,965</w:t>
      </w:r>
      <w:r>
        <w:rPr>
          <w:b/>
          <w:color w:val="080808"/>
          <w:sz w:val="21"/>
        </w:rPr>
        <w:tab/>
      </w:r>
      <w:r>
        <w:rPr>
          <w:b/>
          <w:color w:val="080808"/>
          <w:spacing w:val="-2"/>
          <w:sz w:val="21"/>
        </w:rPr>
        <w:t>(11,426)</w:t>
      </w:r>
    </w:p>
    <w:p>
      <w:pPr>
        <w:spacing w:after="0"/>
        <w:jc w:val="left"/>
        <w:rPr>
          <w:sz w:val="21"/>
        </w:rPr>
        <w:sectPr>
          <w:headerReference w:type="even" r:id="rId240"/>
          <w:pgSz w:w="11910" w:h="16830"/>
          <w:pgMar w:top="800" w:right="340" w:bottom="1220" w:left="0" w:header="0" w:footer="0"/>
        </w:sectPr>
      </w:pPr>
    </w:p>
    <w:p>
      <w:pPr>
        <w:pStyle w:val="BodyText"/>
        <w:spacing w:before="5"/>
        <w:rPr>
          <w:b/>
          <w:sz w:val="2"/>
        </w:rPr>
      </w:pPr>
    </w:p>
    <w:tbl>
      <w:tblPr>
        <w:tblW w:w="0" w:type="auto"/>
        <w:jc w:val="left"/>
        <w:tblInd w:w="9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69"/>
        <w:gridCol w:w="5344"/>
        <w:gridCol w:w="1666"/>
        <w:gridCol w:w="1986"/>
        <w:gridCol w:w="1259"/>
      </w:tblGrid>
      <w:tr>
        <w:trPr>
          <w:trHeight w:val="290" w:hRule="atLeast"/>
        </w:trPr>
        <w:tc>
          <w:tcPr>
            <w:tcW w:w="169" w:type="dxa"/>
          </w:tcPr>
          <w:p>
            <w:pPr>
              <w:pStyle w:val="TableParagraph"/>
              <w:spacing w:line="134" w:lineRule="exact"/>
              <w:ind w:left="50"/>
              <w:rPr>
                <w:sz w:val="12"/>
              </w:rPr>
            </w:pPr>
            <w:r>
              <w:rPr>
                <w:color w:val="B5B5B5"/>
                <w:spacing w:val="-5"/>
                <w:w w:val="95"/>
                <w:sz w:val="12"/>
              </w:rPr>
              <w:t>')</w:t>
            </w:r>
          </w:p>
        </w:tc>
        <w:tc>
          <w:tcPr>
            <w:tcW w:w="5344" w:type="dxa"/>
          </w:tcPr>
          <w:p>
            <w:pPr>
              <w:pStyle w:val="TableParagraph"/>
              <w:spacing w:line="158" w:lineRule="exact"/>
              <w:ind w:left="590"/>
              <w:rPr>
                <w:sz w:val="14"/>
              </w:rPr>
            </w:pPr>
            <w:r>
              <w:rPr>
                <w:color w:val="646464"/>
                <w:w w:val="110"/>
                <w:sz w:val="14"/>
              </w:rPr>
              <w:t>COLLECTION</w:t>
            </w:r>
            <w:r>
              <w:rPr>
                <w:color w:val="646464"/>
                <w:spacing w:val="47"/>
                <w:w w:val="110"/>
                <w:sz w:val="14"/>
              </w:rPr>
              <w:t> </w:t>
            </w:r>
            <w:r>
              <w:rPr>
                <w:color w:val="646464"/>
                <w:spacing w:val="-4"/>
                <w:w w:val="110"/>
                <w:sz w:val="14"/>
              </w:rPr>
              <w:t>FUND</w:t>
            </w:r>
          </w:p>
        </w:tc>
        <w:tc>
          <w:tcPr>
            <w:tcW w:w="4911" w:type="dxa"/>
            <w:gridSpan w:val="3"/>
            <w:vMerge w:val="restart"/>
          </w:tcPr>
          <w:p>
            <w:pPr>
              <w:pStyle w:val="TableParagraph"/>
              <w:rPr>
                <w:rFonts w:ascii="Times New Roman"/>
                <w:sz w:val="18"/>
              </w:rPr>
            </w:pPr>
          </w:p>
        </w:tc>
      </w:tr>
      <w:tr>
        <w:trPr>
          <w:trHeight w:val="448" w:hRule="atLeast"/>
        </w:trPr>
        <w:tc>
          <w:tcPr>
            <w:tcW w:w="169" w:type="dxa"/>
          </w:tcPr>
          <w:p>
            <w:pPr>
              <w:pStyle w:val="TableParagraph"/>
              <w:rPr>
                <w:rFonts w:ascii="Times New Roman"/>
                <w:sz w:val="18"/>
              </w:rPr>
            </w:pPr>
          </w:p>
        </w:tc>
        <w:tc>
          <w:tcPr>
            <w:tcW w:w="5344" w:type="dxa"/>
          </w:tcPr>
          <w:p>
            <w:pPr>
              <w:pStyle w:val="TableParagraph"/>
              <w:spacing w:before="126"/>
              <w:ind w:left="69"/>
              <w:rPr>
                <w:b/>
                <w:sz w:val="20"/>
              </w:rPr>
            </w:pPr>
            <w:r>
              <w:rPr>
                <w:b/>
                <w:color w:val="4D4D4D"/>
                <w:spacing w:val="-2"/>
                <w:w w:val="110"/>
                <w:sz w:val="20"/>
              </w:rPr>
              <w:t>COLLECTION</w:t>
            </w:r>
            <w:r>
              <w:rPr>
                <w:b/>
                <w:color w:val="4D4D4D"/>
                <w:spacing w:val="3"/>
                <w:w w:val="110"/>
                <w:sz w:val="20"/>
              </w:rPr>
              <w:t> </w:t>
            </w:r>
            <w:r>
              <w:rPr>
                <w:b/>
                <w:color w:val="4D4D4D"/>
                <w:spacing w:val="-2"/>
                <w:w w:val="110"/>
                <w:sz w:val="20"/>
              </w:rPr>
              <w:t>FUND 2022-</w:t>
            </w:r>
            <w:r>
              <w:rPr>
                <w:b/>
                <w:color w:val="4D4D4D"/>
                <w:spacing w:val="-5"/>
                <w:w w:val="110"/>
                <w:sz w:val="20"/>
              </w:rPr>
              <w:t>23</w:t>
            </w:r>
          </w:p>
        </w:tc>
        <w:tc>
          <w:tcPr>
            <w:tcW w:w="4911" w:type="dxa"/>
            <w:gridSpan w:val="3"/>
            <w:vMerge/>
            <w:tcBorders>
              <w:top w:val="nil"/>
            </w:tcBorders>
          </w:tcPr>
          <w:p>
            <w:pPr>
              <w:rPr>
                <w:sz w:val="2"/>
                <w:szCs w:val="2"/>
              </w:rPr>
            </w:pPr>
          </w:p>
        </w:tc>
      </w:tr>
      <w:tr>
        <w:trPr>
          <w:trHeight w:val="567" w:hRule="atLeast"/>
        </w:trPr>
        <w:tc>
          <w:tcPr>
            <w:tcW w:w="169" w:type="dxa"/>
          </w:tcPr>
          <w:p>
            <w:pPr>
              <w:pStyle w:val="TableParagraph"/>
              <w:rPr>
                <w:rFonts w:ascii="Times New Roman"/>
                <w:sz w:val="18"/>
              </w:rPr>
            </w:pPr>
          </w:p>
        </w:tc>
        <w:tc>
          <w:tcPr>
            <w:tcW w:w="5344" w:type="dxa"/>
          </w:tcPr>
          <w:p>
            <w:pPr>
              <w:pStyle w:val="TableParagraph"/>
              <w:rPr>
                <w:rFonts w:ascii="Times New Roman"/>
                <w:sz w:val="18"/>
              </w:rPr>
            </w:pPr>
          </w:p>
        </w:tc>
        <w:tc>
          <w:tcPr>
            <w:tcW w:w="1666" w:type="dxa"/>
          </w:tcPr>
          <w:p>
            <w:pPr>
              <w:pStyle w:val="TableParagraph"/>
              <w:spacing w:before="86"/>
              <w:ind w:left="667" w:right="290" w:hanging="169"/>
              <w:rPr>
                <w:b/>
                <w:sz w:val="20"/>
              </w:rPr>
            </w:pPr>
            <w:r>
              <w:rPr>
                <w:b/>
                <w:color w:val="0F0F0F"/>
                <w:spacing w:val="-4"/>
                <w:sz w:val="20"/>
              </w:rPr>
              <w:t>Business </w:t>
            </w:r>
            <w:r>
              <w:rPr>
                <w:b/>
                <w:color w:val="0F0F0F"/>
                <w:spacing w:val="-2"/>
                <w:sz w:val="20"/>
              </w:rPr>
              <w:t>Rates</w:t>
            </w:r>
          </w:p>
        </w:tc>
        <w:tc>
          <w:tcPr>
            <w:tcW w:w="1986" w:type="dxa"/>
          </w:tcPr>
          <w:p>
            <w:pPr>
              <w:pStyle w:val="TableParagraph"/>
              <w:spacing w:before="81"/>
              <w:rPr>
                <w:b/>
                <w:sz w:val="20"/>
              </w:rPr>
            </w:pPr>
          </w:p>
          <w:p>
            <w:pPr>
              <w:pStyle w:val="TableParagraph"/>
              <w:spacing w:before="1"/>
              <w:ind w:left="314"/>
              <w:rPr>
                <w:b/>
                <w:sz w:val="20"/>
              </w:rPr>
            </w:pPr>
            <w:r>
              <w:rPr>
                <w:b/>
                <w:color w:val="0F0F0F"/>
                <w:spacing w:val="-2"/>
                <w:sz w:val="20"/>
              </w:rPr>
              <w:t>Council</w:t>
            </w:r>
            <w:r>
              <w:rPr>
                <w:b/>
                <w:color w:val="0F0F0F"/>
                <w:spacing w:val="-3"/>
                <w:sz w:val="20"/>
              </w:rPr>
              <w:t> </w:t>
            </w:r>
            <w:r>
              <w:rPr>
                <w:b/>
                <w:color w:val="0F0F0F"/>
                <w:spacing w:val="-5"/>
                <w:sz w:val="20"/>
              </w:rPr>
              <w:t>Tax</w:t>
            </w:r>
          </w:p>
        </w:tc>
        <w:tc>
          <w:tcPr>
            <w:tcW w:w="1259" w:type="dxa"/>
          </w:tcPr>
          <w:p>
            <w:pPr>
              <w:pStyle w:val="TableParagraph"/>
              <w:spacing w:before="86"/>
              <w:rPr>
                <w:b/>
                <w:sz w:val="20"/>
              </w:rPr>
            </w:pPr>
          </w:p>
          <w:p>
            <w:pPr>
              <w:pStyle w:val="TableParagraph"/>
              <w:ind w:left="299"/>
              <w:rPr>
                <w:b/>
                <w:sz w:val="20"/>
              </w:rPr>
            </w:pPr>
            <w:r>
              <w:rPr>
                <w:b/>
                <w:color w:val="0F0F0F"/>
                <w:spacing w:val="-2"/>
                <w:sz w:val="20"/>
              </w:rPr>
              <w:t>Total</w:t>
            </w:r>
          </w:p>
        </w:tc>
      </w:tr>
      <w:tr>
        <w:trPr>
          <w:trHeight w:val="309" w:hRule="atLeast"/>
        </w:trPr>
        <w:tc>
          <w:tcPr>
            <w:tcW w:w="169" w:type="dxa"/>
          </w:tcPr>
          <w:p>
            <w:pPr>
              <w:pStyle w:val="TableParagraph"/>
              <w:rPr>
                <w:rFonts w:ascii="Times New Roman"/>
                <w:sz w:val="18"/>
              </w:rPr>
            </w:pPr>
          </w:p>
        </w:tc>
        <w:tc>
          <w:tcPr>
            <w:tcW w:w="5344" w:type="dxa"/>
          </w:tcPr>
          <w:p>
            <w:pPr>
              <w:pStyle w:val="TableParagraph"/>
              <w:spacing w:before="14"/>
              <w:ind w:left="65"/>
              <w:rPr>
                <w:b/>
                <w:sz w:val="20"/>
              </w:rPr>
            </w:pPr>
            <w:r>
              <w:rPr>
                <w:b/>
                <w:color w:val="0F0F0F"/>
                <w:spacing w:val="-2"/>
                <w:w w:val="105"/>
                <w:sz w:val="20"/>
              </w:rPr>
              <w:t>INCOME</w:t>
            </w:r>
          </w:p>
        </w:tc>
        <w:tc>
          <w:tcPr>
            <w:tcW w:w="1666" w:type="dxa"/>
          </w:tcPr>
          <w:p>
            <w:pPr>
              <w:pStyle w:val="TableParagraph"/>
              <w:spacing w:before="57"/>
              <w:ind w:left="719"/>
              <w:rPr>
                <w:b/>
                <w:sz w:val="20"/>
              </w:rPr>
            </w:pPr>
            <w:r>
              <w:rPr>
                <w:b/>
                <w:color w:val="0F0F0F"/>
                <w:spacing w:val="-4"/>
                <w:sz w:val="20"/>
              </w:rPr>
              <w:t>£000</w:t>
            </w:r>
          </w:p>
        </w:tc>
        <w:tc>
          <w:tcPr>
            <w:tcW w:w="1986" w:type="dxa"/>
          </w:tcPr>
          <w:p>
            <w:pPr>
              <w:pStyle w:val="TableParagraph"/>
              <w:spacing w:before="57"/>
              <w:ind w:left="654"/>
              <w:rPr>
                <w:b/>
                <w:sz w:val="20"/>
              </w:rPr>
            </w:pPr>
            <w:r>
              <w:rPr>
                <w:b/>
                <w:color w:val="0F0F0F"/>
                <w:spacing w:val="-4"/>
                <w:sz w:val="20"/>
              </w:rPr>
              <w:t>£000</w:t>
            </w:r>
          </w:p>
        </w:tc>
        <w:tc>
          <w:tcPr>
            <w:tcW w:w="1259" w:type="dxa"/>
          </w:tcPr>
          <w:p>
            <w:pPr>
              <w:pStyle w:val="TableParagraph"/>
              <w:spacing w:before="57"/>
              <w:ind w:left="317"/>
              <w:rPr>
                <w:b/>
                <w:sz w:val="20"/>
              </w:rPr>
            </w:pPr>
            <w:r>
              <w:rPr>
                <w:b/>
                <w:color w:val="0F0F0F"/>
                <w:spacing w:val="-4"/>
                <w:sz w:val="20"/>
              </w:rPr>
              <w:t>£000</w:t>
            </w:r>
          </w:p>
        </w:tc>
      </w:tr>
      <w:tr>
        <w:trPr>
          <w:trHeight w:val="309" w:hRule="atLeast"/>
        </w:trPr>
        <w:tc>
          <w:tcPr>
            <w:tcW w:w="169" w:type="dxa"/>
          </w:tcPr>
          <w:p>
            <w:pPr>
              <w:pStyle w:val="TableParagraph"/>
              <w:rPr>
                <w:rFonts w:ascii="Times New Roman"/>
                <w:sz w:val="18"/>
              </w:rPr>
            </w:pPr>
          </w:p>
        </w:tc>
        <w:tc>
          <w:tcPr>
            <w:tcW w:w="5344" w:type="dxa"/>
          </w:tcPr>
          <w:p>
            <w:pPr>
              <w:pStyle w:val="TableParagraph"/>
              <w:spacing w:before="16"/>
              <w:ind w:left="357"/>
              <w:rPr>
                <w:sz w:val="20"/>
              </w:rPr>
            </w:pPr>
            <w:r>
              <w:rPr>
                <w:color w:val="0F0F0F"/>
                <w:w w:val="105"/>
                <w:sz w:val="20"/>
              </w:rPr>
              <w:t>Council</w:t>
            </w:r>
            <w:r>
              <w:rPr>
                <w:color w:val="0F0F0F"/>
                <w:spacing w:val="-5"/>
                <w:w w:val="105"/>
                <w:sz w:val="20"/>
              </w:rPr>
              <w:t> </w:t>
            </w:r>
            <w:r>
              <w:rPr>
                <w:color w:val="0F0F0F"/>
                <w:w w:val="105"/>
                <w:sz w:val="20"/>
              </w:rPr>
              <w:t>Tax</w:t>
            </w:r>
            <w:r>
              <w:rPr>
                <w:color w:val="0F0F0F"/>
                <w:spacing w:val="-8"/>
                <w:w w:val="105"/>
                <w:sz w:val="20"/>
              </w:rPr>
              <w:t> </w:t>
            </w:r>
            <w:r>
              <w:rPr>
                <w:color w:val="0F0F0F"/>
                <w:spacing w:val="-2"/>
                <w:w w:val="105"/>
                <w:sz w:val="20"/>
              </w:rPr>
              <w:t>Receivable</w:t>
            </w:r>
          </w:p>
        </w:tc>
        <w:tc>
          <w:tcPr>
            <w:tcW w:w="1666" w:type="dxa"/>
          </w:tcPr>
          <w:p>
            <w:pPr>
              <w:pStyle w:val="TableParagraph"/>
              <w:rPr>
                <w:rFonts w:ascii="Times New Roman"/>
                <w:sz w:val="18"/>
              </w:rPr>
            </w:pPr>
          </w:p>
        </w:tc>
        <w:tc>
          <w:tcPr>
            <w:tcW w:w="1986" w:type="dxa"/>
          </w:tcPr>
          <w:p>
            <w:pPr>
              <w:pStyle w:val="TableParagraph"/>
              <w:spacing w:before="55"/>
              <w:ind w:right="323"/>
              <w:jc w:val="right"/>
              <w:rPr>
                <w:sz w:val="20"/>
              </w:rPr>
            </w:pPr>
            <w:r>
              <w:rPr>
                <w:color w:val="0F0F0F"/>
                <w:spacing w:val="-2"/>
                <w:w w:val="105"/>
                <w:sz w:val="20"/>
              </w:rPr>
              <w:t>85,924</w:t>
            </w:r>
          </w:p>
        </w:tc>
        <w:tc>
          <w:tcPr>
            <w:tcW w:w="1259" w:type="dxa"/>
          </w:tcPr>
          <w:p>
            <w:pPr>
              <w:pStyle w:val="TableParagraph"/>
              <w:spacing w:before="55"/>
              <w:ind w:right="83"/>
              <w:jc w:val="right"/>
              <w:rPr>
                <w:sz w:val="20"/>
              </w:rPr>
            </w:pPr>
            <w:r>
              <w:rPr>
                <w:color w:val="0F0F0F"/>
                <w:spacing w:val="-2"/>
                <w:w w:val="105"/>
                <w:sz w:val="20"/>
              </w:rPr>
              <w:t>85,924</w:t>
            </w:r>
          </w:p>
        </w:tc>
      </w:tr>
      <w:tr>
        <w:trPr>
          <w:trHeight w:val="307" w:hRule="atLeast"/>
        </w:trPr>
        <w:tc>
          <w:tcPr>
            <w:tcW w:w="169" w:type="dxa"/>
          </w:tcPr>
          <w:p>
            <w:pPr>
              <w:pStyle w:val="TableParagraph"/>
              <w:rPr>
                <w:rFonts w:ascii="Times New Roman"/>
                <w:sz w:val="18"/>
              </w:rPr>
            </w:pPr>
          </w:p>
        </w:tc>
        <w:tc>
          <w:tcPr>
            <w:tcW w:w="5344" w:type="dxa"/>
          </w:tcPr>
          <w:p>
            <w:pPr>
              <w:pStyle w:val="TableParagraph"/>
              <w:spacing w:before="18"/>
              <w:ind w:left="357"/>
              <w:rPr>
                <w:sz w:val="20"/>
              </w:rPr>
            </w:pPr>
            <w:r>
              <w:rPr>
                <w:color w:val="0F0F0F"/>
                <w:w w:val="105"/>
                <w:sz w:val="20"/>
              </w:rPr>
              <w:t>Business</w:t>
            </w:r>
            <w:r>
              <w:rPr>
                <w:color w:val="0F0F0F"/>
                <w:spacing w:val="1"/>
                <w:w w:val="105"/>
                <w:sz w:val="20"/>
              </w:rPr>
              <w:t> </w:t>
            </w:r>
            <w:r>
              <w:rPr>
                <w:color w:val="0F0F0F"/>
                <w:w w:val="105"/>
                <w:sz w:val="20"/>
              </w:rPr>
              <w:t>Rates</w:t>
            </w:r>
            <w:r>
              <w:rPr>
                <w:color w:val="0F0F0F"/>
                <w:spacing w:val="-9"/>
                <w:w w:val="105"/>
                <w:sz w:val="20"/>
              </w:rPr>
              <w:t> </w:t>
            </w:r>
            <w:r>
              <w:rPr>
                <w:color w:val="0F0F0F"/>
                <w:spacing w:val="-2"/>
                <w:w w:val="105"/>
                <w:sz w:val="20"/>
              </w:rPr>
              <w:t>Receivable</w:t>
            </w:r>
          </w:p>
        </w:tc>
        <w:tc>
          <w:tcPr>
            <w:tcW w:w="1666" w:type="dxa"/>
          </w:tcPr>
          <w:p>
            <w:pPr>
              <w:pStyle w:val="TableParagraph"/>
              <w:spacing w:before="52"/>
              <w:ind w:right="121"/>
              <w:jc w:val="right"/>
              <w:rPr>
                <w:sz w:val="20"/>
              </w:rPr>
            </w:pPr>
            <w:r>
              <w:rPr>
                <w:color w:val="0F0F0F"/>
                <w:spacing w:val="-2"/>
                <w:w w:val="105"/>
                <w:sz w:val="20"/>
              </w:rPr>
              <w:t>42,173</w:t>
            </w:r>
          </w:p>
        </w:tc>
        <w:tc>
          <w:tcPr>
            <w:tcW w:w="1986" w:type="dxa"/>
          </w:tcPr>
          <w:p>
            <w:pPr>
              <w:pStyle w:val="TableParagraph"/>
              <w:rPr>
                <w:rFonts w:ascii="Times New Roman"/>
                <w:sz w:val="18"/>
              </w:rPr>
            </w:pPr>
          </w:p>
        </w:tc>
        <w:tc>
          <w:tcPr>
            <w:tcW w:w="1259" w:type="dxa"/>
          </w:tcPr>
          <w:p>
            <w:pPr>
              <w:pStyle w:val="TableParagraph"/>
              <w:spacing w:before="52"/>
              <w:ind w:right="82"/>
              <w:jc w:val="right"/>
              <w:rPr>
                <w:sz w:val="20"/>
              </w:rPr>
            </w:pPr>
            <w:r>
              <w:rPr>
                <w:color w:val="0F0F0F"/>
                <w:spacing w:val="-2"/>
                <w:w w:val="105"/>
                <w:sz w:val="20"/>
              </w:rPr>
              <w:t>42,173</w:t>
            </w:r>
          </w:p>
        </w:tc>
      </w:tr>
      <w:tr>
        <w:trPr>
          <w:trHeight w:val="324" w:hRule="atLeast"/>
        </w:trPr>
        <w:tc>
          <w:tcPr>
            <w:tcW w:w="169" w:type="dxa"/>
          </w:tcPr>
          <w:p>
            <w:pPr>
              <w:pStyle w:val="TableParagraph"/>
              <w:rPr>
                <w:rFonts w:ascii="Times New Roman"/>
                <w:sz w:val="18"/>
              </w:rPr>
            </w:pPr>
          </w:p>
        </w:tc>
        <w:tc>
          <w:tcPr>
            <w:tcW w:w="5344" w:type="dxa"/>
          </w:tcPr>
          <w:p>
            <w:pPr>
              <w:pStyle w:val="TableParagraph"/>
              <w:spacing w:before="18"/>
              <w:ind w:left="357"/>
              <w:rPr>
                <w:sz w:val="20"/>
              </w:rPr>
            </w:pPr>
            <w:r>
              <w:rPr>
                <w:color w:val="0F0F0F"/>
                <w:w w:val="105"/>
                <w:sz w:val="20"/>
              </w:rPr>
              <w:t>Transitional</w:t>
            </w:r>
            <w:r>
              <w:rPr>
                <w:color w:val="0F0F0F"/>
                <w:spacing w:val="-15"/>
                <w:w w:val="105"/>
                <w:sz w:val="20"/>
              </w:rPr>
              <w:t> </w:t>
            </w:r>
            <w:r>
              <w:rPr>
                <w:color w:val="0F0F0F"/>
                <w:w w:val="105"/>
                <w:sz w:val="20"/>
              </w:rPr>
              <w:t>Protection</w:t>
            </w:r>
            <w:r>
              <w:rPr>
                <w:color w:val="0F0F0F"/>
                <w:spacing w:val="-14"/>
                <w:w w:val="105"/>
                <w:sz w:val="20"/>
              </w:rPr>
              <w:t> </w:t>
            </w:r>
            <w:r>
              <w:rPr>
                <w:color w:val="0F0F0F"/>
                <w:spacing w:val="-2"/>
                <w:w w:val="105"/>
                <w:sz w:val="20"/>
              </w:rPr>
              <w:t>Payments</w:t>
            </w:r>
          </w:p>
        </w:tc>
        <w:tc>
          <w:tcPr>
            <w:tcW w:w="1666" w:type="dxa"/>
            <w:tcBorders>
              <w:bottom w:val="single" w:color="000000" w:sz="2" w:space="0"/>
            </w:tcBorders>
          </w:tcPr>
          <w:p>
            <w:pPr>
              <w:pStyle w:val="TableParagraph"/>
              <w:spacing w:before="57"/>
              <w:ind w:right="118"/>
              <w:jc w:val="right"/>
              <w:rPr>
                <w:sz w:val="20"/>
              </w:rPr>
            </w:pPr>
            <w:r>
              <w:rPr>
                <w:color w:val="262626"/>
                <w:spacing w:val="-2"/>
                <w:w w:val="105"/>
                <w:sz w:val="20"/>
              </w:rPr>
              <w:t>(175)</w:t>
            </w:r>
          </w:p>
        </w:tc>
        <w:tc>
          <w:tcPr>
            <w:tcW w:w="1986" w:type="dxa"/>
            <w:tcBorders>
              <w:bottom w:val="single" w:color="000000" w:sz="2" w:space="0"/>
            </w:tcBorders>
          </w:tcPr>
          <w:p>
            <w:pPr>
              <w:pStyle w:val="TableParagraph"/>
              <w:rPr>
                <w:rFonts w:ascii="Times New Roman"/>
                <w:sz w:val="18"/>
              </w:rPr>
            </w:pPr>
          </w:p>
        </w:tc>
        <w:tc>
          <w:tcPr>
            <w:tcW w:w="1259" w:type="dxa"/>
            <w:tcBorders>
              <w:bottom w:val="single" w:color="000000" w:sz="2" w:space="0"/>
            </w:tcBorders>
          </w:tcPr>
          <w:p>
            <w:pPr>
              <w:pStyle w:val="TableParagraph"/>
              <w:spacing w:before="57"/>
              <w:ind w:right="80"/>
              <w:jc w:val="right"/>
              <w:rPr>
                <w:sz w:val="20"/>
              </w:rPr>
            </w:pPr>
            <w:r>
              <w:rPr>
                <w:color w:val="0F0F0F"/>
                <w:spacing w:val="-2"/>
                <w:w w:val="105"/>
                <w:sz w:val="20"/>
              </w:rPr>
              <w:t>(175}</w:t>
            </w:r>
          </w:p>
        </w:tc>
      </w:tr>
      <w:tr>
        <w:trPr>
          <w:trHeight w:val="272" w:hRule="atLeast"/>
        </w:trPr>
        <w:tc>
          <w:tcPr>
            <w:tcW w:w="169" w:type="dxa"/>
          </w:tcPr>
          <w:p>
            <w:pPr>
              <w:pStyle w:val="TableParagraph"/>
              <w:rPr>
                <w:rFonts w:ascii="Times New Roman"/>
                <w:sz w:val="18"/>
              </w:rPr>
            </w:pPr>
          </w:p>
        </w:tc>
        <w:tc>
          <w:tcPr>
            <w:tcW w:w="5344" w:type="dxa"/>
          </w:tcPr>
          <w:p>
            <w:pPr>
              <w:pStyle w:val="TableParagraph"/>
              <w:rPr>
                <w:rFonts w:ascii="Times New Roman"/>
                <w:sz w:val="18"/>
              </w:rPr>
            </w:pPr>
          </w:p>
        </w:tc>
        <w:tc>
          <w:tcPr>
            <w:tcW w:w="1666" w:type="dxa"/>
            <w:tcBorders>
              <w:top w:val="single" w:color="000000" w:sz="2" w:space="0"/>
              <w:bottom w:val="single" w:color="000000" w:sz="2" w:space="0"/>
            </w:tcBorders>
          </w:tcPr>
          <w:p>
            <w:pPr>
              <w:pStyle w:val="TableParagraph"/>
              <w:spacing w:before="50" w:line="165" w:lineRule="exact"/>
              <w:ind w:right="116"/>
              <w:jc w:val="right"/>
              <w:rPr>
                <w:b/>
                <w:sz w:val="20"/>
              </w:rPr>
            </w:pPr>
            <w:r>
              <w:rPr>
                <w:b/>
                <w:color w:val="0F0F0F"/>
                <w:spacing w:val="-2"/>
                <w:w w:val="105"/>
                <w:sz w:val="20"/>
              </w:rPr>
              <w:t>41,998</w:t>
            </w:r>
          </w:p>
        </w:tc>
        <w:tc>
          <w:tcPr>
            <w:tcW w:w="1986" w:type="dxa"/>
            <w:tcBorders>
              <w:top w:val="single" w:color="000000" w:sz="2" w:space="0"/>
              <w:bottom w:val="single" w:color="000000" w:sz="6" w:space="0"/>
            </w:tcBorders>
          </w:tcPr>
          <w:p>
            <w:pPr>
              <w:pStyle w:val="TableParagraph"/>
              <w:spacing w:before="50" w:line="165" w:lineRule="exact"/>
              <w:ind w:right="323"/>
              <w:jc w:val="right"/>
              <w:rPr>
                <w:b/>
                <w:sz w:val="20"/>
              </w:rPr>
            </w:pPr>
            <w:r>
              <w:rPr>
                <w:b/>
                <w:color w:val="0F0F0F"/>
                <w:spacing w:val="-2"/>
                <w:w w:val="105"/>
                <w:sz w:val="20"/>
              </w:rPr>
              <w:t>85,924</w:t>
            </w:r>
          </w:p>
        </w:tc>
        <w:tc>
          <w:tcPr>
            <w:tcW w:w="1259" w:type="dxa"/>
            <w:tcBorders>
              <w:top w:val="single" w:color="000000" w:sz="2" w:space="0"/>
              <w:bottom w:val="single" w:color="000000" w:sz="6" w:space="0"/>
            </w:tcBorders>
          </w:tcPr>
          <w:p>
            <w:pPr>
              <w:pStyle w:val="TableParagraph"/>
              <w:spacing w:before="50" w:line="165" w:lineRule="exact"/>
              <w:ind w:right="76"/>
              <w:jc w:val="right"/>
              <w:rPr>
                <w:b/>
                <w:sz w:val="20"/>
              </w:rPr>
            </w:pPr>
            <w:r>
              <w:rPr>
                <w:b/>
                <w:color w:val="0F0F0F"/>
                <w:spacing w:val="-2"/>
                <w:w w:val="105"/>
                <w:sz w:val="20"/>
              </w:rPr>
              <w:t>127,922</w:t>
            </w:r>
          </w:p>
        </w:tc>
      </w:tr>
      <w:tr>
        <w:trPr>
          <w:trHeight w:val="320" w:hRule="atLeast"/>
        </w:trPr>
        <w:tc>
          <w:tcPr>
            <w:tcW w:w="169" w:type="dxa"/>
          </w:tcPr>
          <w:p>
            <w:pPr>
              <w:pStyle w:val="TableParagraph"/>
              <w:rPr>
                <w:rFonts w:ascii="Times New Roman"/>
                <w:sz w:val="18"/>
              </w:rPr>
            </w:pPr>
          </w:p>
        </w:tc>
        <w:tc>
          <w:tcPr>
            <w:tcW w:w="5344" w:type="dxa"/>
          </w:tcPr>
          <w:p>
            <w:pPr>
              <w:pStyle w:val="TableParagraph"/>
              <w:spacing w:before="46"/>
              <w:ind w:left="68"/>
              <w:rPr>
                <w:b/>
                <w:sz w:val="20"/>
              </w:rPr>
            </w:pPr>
            <w:r>
              <w:rPr>
                <w:b/>
                <w:color w:val="0F0F0F"/>
                <w:spacing w:val="-2"/>
                <w:w w:val="105"/>
                <w:sz w:val="20"/>
              </w:rPr>
              <w:t>EXPENDITURE</w:t>
            </w:r>
          </w:p>
        </w:tc>
        <w:tc>
          <w:tcPr>
            <w:tcW w:w="1666" w:type="dxa"/>
            <w:tcBorders>
              <w:top w:val="single" w:color="000000" w:sz="2" w:space="0"/>
            </w:tcBorders>
          </w:tcPr>
          <w:p>
            <w:pPr>
              <w:pStyle w:val="TableParagraph"/>
              <w:rPr>
                <w:rFonts w:ascii="Times New Roman"/>
                <w:sz w:val="18"/>
              </w:rPr>
            </w:pPr>
          </w:p>
        </w:tc>
        <w:tc>
          <w:tcPr>
            <w:tcW w:w="1986" w:type="dxa"/>
            <w:tcBorders>
              <w:top w:val="single" w:color="000000" w:sz="6" w:space="0"/>
            </w:tcBorders>
          </w:tcPr>
          <w:p>
            <w:pPr>
              <w:pStyle w:val="TableParagraph"/>
              <w:rPr>
                <w:rFonts w:ascii="Times New Roman"/>
                <w:sz w:val="18"/>
              </w:rPr>
            </w:pPr>
          </w:p>
        </w:tc>
        <w:tc>
          <w:tcPr>
            <w:tcW w:w="1259" w:type="dxa"/>
            <w:tcBorders>
              <w:top w:val="single" w:color="000000" w:sz="6" w:space="0"/>
            </w:tcBorders>
          </w:tcPr>
          <w:p>
            <w:pPr>
              <w:pStyle w:val="TableParagraph"/>
              <w:rPr>
                <w:rFonts w:ascii="Times New Roman"/>
                <w:sz w:val="18"/>
              </w:rPr>
            </w:pPr>
          </w:p>
        </w:tc>
      </w:tr>
      <w:tr>
        <w:trPr>
          <w:trHeight w:val="309" w:hRule="atLeast"/>
        </w:trPr>
        <w:tc>
          <w:tcPr>
            <w:tcW w:w="169" w:type="dxa"/>
          </w:tcPr>
          <w:p>
            <w:pPr>
              <w:pStyle w:val="TableParagraph"/>
              <w:rPr>
                <w:rFonts w:ascii="Times New Roman"/>
                <w:sz w:val="18"/>
              </w:rPr>
            </w:pPr>
          </w:p>
        </w:tc>
        <w:tc>
          <w:tcPr>
            <w:tcW w:w="5344" w:type="dxa"/>
          </w:tcPr>
          <w:p>
            <w:pPr>
              <w:pStyle w:val="TableParagraph"/>
              <w:spacing w:before="38"/>
              <w:ind w:left="64"/>
              <w:rPr>
                <w:b/>
                <w:sz w:val="20"/>
              </w:rPr>
            </w:pPr>
            <w:r>
              <w:rPr>
                <w:b/>
                <w:color w:val="0F0F0F"/>
                <w:w w:val="105"/>
                <w:sz w:val="20"/>
              </w:rPr>
              <w:t>Precepts,</w:t>
            </w:r>
            <w:r>
              <w:rPr>
                <w:b/>
                <w:color w:val="0F0F0F"/>
                <w:spacing w:val="-7"/>
                <w:w w:val="105"/>
                <w:sz w:val="20"/>
              </w:rPr>
              <w:t> </w:t>
            </w:r>
            <w:r>
              <w:rPr>
                <w:b/>
                <w:color w:val="0F0F0F"/>
                <w:w w:val="105"/>
                <w:sz w:val="20"/>
              </w:rPr>
              <w:t>Demands</w:t>
            </w:r>
            <w:r>
              <w:rPr>
                <w:b/>
                <w:color w:val="0F0F0F"/>
                <w:spacing w:val="-2"/>
                <w:w w:val="105"/>
                <w:sz w:val="20"/>
              </w:rPr>
              <w:t> </w:t>
            </w:r>
            <w:r>
              <w:rPr>
                <w:b/>
                <w:color w:val="0F0F0F"/>
                <w:w w:val="105"/>
                <w:sz w:val="20"/>
              </w:rPr>
              <w:t>and</w:t>
            </w:r>
            <w:r>
              <w:rPr>
                <w:b/>
                <w:color w:val="0F0F0F"/>
                <w:spacing w:val="-10"/>
                <w:w w:val="105"/>
                <w:sz w:val="20"/>
              </w:rPr>
              <w:t> </w:t>
            </w:r>
            <w:r>
              <w:rPr>
                <w:b/>
                <w:color w:val="0F0F0F"/>
                <w:spacing w:val="-2"/>
                <w:w w:val="105"/>
                <w:sz w:val="20"/>
              </w:rPr>
              <w:t>Shares</w:t>
            </w:r>
          </w:p>
        </w:tc>
        <w:tc>
          <w:tcPr>
            <w:tcW w:w="1666" w:type="dxa"/>
          </w:tcPr>
          <w:p>
            <w:pPr>
              <w:pStyle w:val="TableParagraph"/>
              <w:rPr>
                <w:rFonts w:ascii="Times New Roman"/>
                <w:sz w:val="18"/>
              </w:rPr>
            </w:pPr>
          </w:p>
        </w:tc>
        <w:tc>
          <w:tcPr>
            <w:tcW w:w="1986" w:type="dxa"/>
          </w:tcPr>
          <w:p>
            <w:pPr>
              <w:pStyle w:val="TableParagraph"/>
              <w:rPr>
                <w:rFonts w:ascii="Times New Roman"/>
                <w:sz w:val="18"/>
              </w:rPr>
            </w:pPr>
          </w:p>
        </w:tc>
        <w:tc>
          <w:tcPr>
            <w:tcW w:w="1259" w:type="dxa"/>
          </w:tcPr>
          <w:p>
            <w:pPr>
              <w:pStyle w:val="TableParagraph"/>
              <w:rPr>
                <w:rFonts w:ascii="Times New Roman"/>
                <w:sz w:val="18"/>
              </w:rPr>
            </w:pPr>
          </w:p>
        </w:tc>
      </w:tr>
      <w:tr>
        <w:trPr>
          <w:trHeight w:val="329" w:hRule="atLeast"/>
        </w:trPr>
        <w:tc>
          <w:tcPr>
            <w:tcW w:w="169" w:type="dxa"/>
          </w:tcPr>
          <w:p>
            <w:pPr>
              <w:pStyle w:val="TableParagraph"/>
              <w:rPr>
                <w:rFonts w:ascii="Times New Roman"/>
                <w:sz w:val="18"/>
              </w:rPr>
            </w:pPr>
          </w:p>
        </w:tc>
        <w:tc>
          <w:tcPr>
            <w:tcW w:w="5344" w:type="dxa"/>
          </w:tcPr>
          <w:p>
            <w:pPr>
              <w:pStyle w:val="TableParagraph"/>
              <w:spacing w:before="35"/>
              <w:ind w:left="356"/>
              <w:rPr>
                <w:sz w:val="20"/>
              </w:rPr>
            </w:pPr>
            <w:r>
              <w:rPr>
                <w:color w:val="0F0F0F"/>
                <w:spacing w:val="-2"/>
                <w:w w:val="105"/>
                <w:sz w:val="20"/>
              </w:rPr>
              <w:t>DLUHC</w:t>
            </w:r>
          </w:p>
        </w:tc>
        <w:tc>
          <w:tcPr>
            <w:tcW w:w="1666" w:type="dxa"/>
          </w:tcPr>
          <w:p>
            <w:pPr>
              <w:pStyle w:val="TableParagraph"/>
              <w:spacing w:before="74"/>
              <w:ind w:right="117"/>
              <w:jc w:val="right"/>
              <w:rPr>
                <w:sz w:val="20"/>
              </w:rPr>
            </w:pPr>
            <w:r>
              <w:rPr>
                <w:color w:val="0F0F0F"/>
                <w:spacing w:val="-2"/>
                <w:w w:val="105"/>
                <w:sz w:val="20"/>
              </w:rPr>
              <w:t>(19,157)</w:t>
            </w:r>
          </w:p>
        </w:tc>
        <w:tc>
          <w:tcPr>
            <w:tcW w:w="1986" w:type="dxa"/>
          </w:tcPr>
          <w:p>
            <w:pPr>
              <w:pStyle w:val="TableParagraph"/>
              <w:rPr>
                <w:rFonts w:ascii="Times New Roman"/>
                <w:sz w:val="18"/>
              </w:rPr>
            </w:pPr>
          </w:p>
        </w:tc>
        <w:tc>
          <w:tcPr>
            <w:tcW w:w="1259" w:type="dxa"/>
          </w:tcPr>
          <w:p>
            <w:pPr>
              <w:pStyle w:val="TableParagraph"/>
              <w:spacing w:before="74"/>
              <w:ind w:right="81"/>
              <w:jc w:val="right"/>
              <w:rPr>
                <w:sz w:val="20"/>
              </w:rPr>
            </w:pPr>
            <w:r>
              <w:rPr>
                <w:color w:val="0F0F0F"/>
                <w:spacing w:val="-2"/>
                <w:w w:val="105"/>
                <w:sz w:val="20"/>
              </w:rPr>
              <w:t>(19,157)</w:t>
            </w:r>
          </w:p>
        </w:tc>
      </w:tr>
      <w:tr>
        <w:trPr>
          <w:trHeight w:val="312" w:hRule="atLeast"/>
        </w:trPr>
        <w:tc>
          <w:tcPr>
            <w:tcW w:w="169" w:type="dxa"/>
          </w:tcPr>
          <w:p>
            <w:pPr>
              <w:pStyle w:val="TableParagraph"/>
              <w:rPr>
                <w:rFonts w:ascii="Times New Roman"/>
                <w:sz w:val="18"/>
              </w:rPr>
            </w:pPr>
          </w:p>
        </w:tc>
        <w:tc>
          <w:tcPr>
            <w:tcW w:w="5344" w:type="dxa"/>
          </w:tcPr>
          <w:p>
            <w:pPr>
              <w:pStyle w:val="TableParagraph"/>
              <w:spacing w:before="18"/>
              <w:ind w:left="355"/>
              <w:rPr>
                <w:sz w:val="20"/>
              </w:rPr>
            </w:pPr>
            <w:r>
              <w:rPr>
                <w:color w:val="0F0F0F"/>
                <w:w w:val="105"/>
                <w:sz w:val="20"/>
              </w:rPr>
              <w:t>Hertsmere</w:t>
            </w:r>
            <w:r>
              <w:rPr>
                <w:color w:val="0F0F0F"/>
                <w:spacing w:val="-7"/>
                <w:w w:val="105"/>
                <w:sz w:val="20"/>
              </w:rPr>
              <w:t> </w:t>
            </w:r>
            <w:r>
              <w:rPr>
                <w:color w:val="0F0F0F"/>
                <w:w w:val="105"/>
                <w:sz w:val="20"/>
              </w:rPr>
              <w:t>Borough</w:t>
            </w:r>
            <w:r>
              <w:rPr>
                <w:color w:val="0F0F0F"/>
                <w:spacing w:val="-11"/>
                <w:w w:val="105"/>
                <w:sz w:val="20"/>
              </w:rPr>
              <w:t> </w:t>
            </w:r>
            <w:r>
              <w:rPr>
                <w:color w:val="0F0F0F"/>
                <w:spacing w:val="-2"/>
                <w:w w:val="105"/>
                <w:sz w:val="20"/>
              </w:rPr>
              <w:t>Council</w:t>
            </w:r>
          </w:p>
        </w:tc>
        <w:tc>
          <w:tcPr>
            <w:tcW w:w="1666" w:type="dxa"/>
          </w:tcPr>
          <w:p>
            <w:pPr>
              <w:pStyle w:val="TableParagraph"/>
              <w:spacing w:before="57"/>
              <w:ind w:right="114"/>
              <w:jc w:val="right"/>
              <w:rPr>
                <w:sz w:val="20"/>
              </w:rPr>
            </w:pPr>
            <w:r>
              <w:rPr>
                <w:color w:val="0F0F0F"/>
                <w:spacing w:val="-2"/>
                <w:w w:val="105"/>
                <w:sz w:val="20"/>
              </w:rPr>
              <w:t>(15,326)</w:t>
            </w:r>
          </w:p>
        </w:tc>
        <w:tc>
          <w:tcPr>
            <w:tcW w:w="1986" w:type="dxa"/>
          </w:tcPr>
          <w:p>
            <w:pPr>
              <w:pStyle w:val="TableParagraph"/>
              <w:spacing w:before="57"/>
              <w:ind w:right="318"/>
              <w:jc w:val="right"/>
              <w:rPr>
                <w:sz w:val="20"/>
              </w:rPr>
            </w:pPr>
            <w:r>
              <w:rPr>
                <w:color w:val="0F0F0F"/>
                <w:spacing w:val="-2"/>
                <w:w w:val="105"/>
                <w:sz w:val="20"/>
              </w:rPr>
              <w:t>(9,546)</w:t>
            </w:r>
          </w:p>
        </w:tc>
        <w:tc>
          <w:tcPr>
            <w:tcW w:w="1259" w:type="dxa"/>
          </w:tcPr>
          <w:p>
            <w:pPr>
              <w:pStyle w:val="TableParagraph"/>
              <w:spacing w:before="57"/>
              <w:ind w:right="74"/>
              <w:jc w:val="right"/>
              <w:rPr>
                <w:sz w:val="20"/>
              </w:rPr>
            </w:pPr>
            <w:r>
              <w:rPr>
                <w:color w:val="0F0F0F"/>
                <w:spacing w:val="-2"/>
                <w:w w:val="105"/>
                <w:sz w:val="20"/>
              </w:rPr>
              <w:t>(24,872)</w:t>
            </w:r>
          </w:p>
        </w:tc>
      </w:tr>
      <w:tr>
        <w:trPr>
          <w:trHeight w:val="309" w:hRule="atLeast"/>
        </w:trPr>
        <w:tc>
          <w:tcPr>
            <w:tcW w:w="169" w:type="dxa"/>
          </w:tcPr>
          <w:p>
            <w:pPr>
              <w:pStyle w:val="TableParagraph"/>
              <w:rPr>
                <w:rFonts w:ascii="Times New Roman"/>
                <w:sz w:val="18"/>
              </w:rPr>
            </w:pPr>
          </w:p>
        </w:tc>
        <w:tc>
          <w:tcPr>
            <w:tcW w:w="5344" w:type="dxa"/>
          </w:tcPr>
          <w:p>
            <w:pPr>
              <w:pStyle w:val="TableParagraph"/>
              <w:spacing w:before="18"/>
              <w:ind w:left="355"/>
              <w:rPr>
                <w:sz w:val="20"/>
              </w:rPr>
            </w:pPr>
            <w:r>
              <w:rPr>
                <w:color w:val="0F0F0F"/>
                <w:w w:val="105"/>
                <w:sz w:val="20"/>
              </w:rPr>
              <w:t>Hertfordshire</w:t>
            </w:r>
            <w:r>
              <w:rPr>
                <w:color w:val="0F0F0F"/>
                <w:spacing w:val="-8"/>
                <w:w w:val="105"/>
                <w:sz w:val="20"/>
              </w:rPr>
              <w:t> </w:t>
            </w:r>
            <w:r>
              <w:rPr>
                <w:color w:val="0F0F0F"/>
                <w:w w:val="105"/>
                <w:sz w:val="20"/>
              </w:rPr>
              <w:t>County</w:t>
            </w:r>
            <w:r>
              <w:rPr>
                <w:color w:val="0F0F0F"/>
                <w:spacing w:val="-12"/>
                <w:w w:val="105"/>
                <w:sz w:val="20"/>
              </w:rPr>
              <w:t> </w:t>
            </w:r>
            <w:r>
              <w:rPr>
                <w:color w:val="0F0F0F"/>
                <w:spacing w:val="-2"/>
                <w:w w:val="105"/>
                <w:sz w:val="20"/>
              </w:rPr>
              <w:t>Council</w:t>
            </w:r>
          </w:p>
        </w:tc>
        <w:tc>
          <w:tcPr>
            <w:tcW w:w="1666" w:type="dxa"/>
          </w:tcPr>
          <w:p>
            <w:pPr>
              <w:pStyle w:val="TableParagraph"/>
              <w:spacing w:before="52"/>
              <w:ind w:right="118"/>
              <w:jc w:val="right"/>
              <w:rPr>
                <w:sz w:val="20"/>
              </w:rPr>
            </w:pPr>
            <w:r>
              <w:rPr>
                <w:color w:val="0F0F0F"/>
                <w:spacing w:val="-2"/>
                <w:w w:val="105"/>
                <w:sz w:val="20"/>
              </w:rPr>
              <w:t>(3,831)</w:t>
            </w:r>
          </w:p>
        </w:tc>
        <w:tc>
          <w:tcPr>
            <w:tcW w:w="1986" w:type="dxa"/>
          </w:tcPr>
          <w:p>
            <w:pPr>
              <w:pStyle w:val="TableParagraph"/>
              <w:spacing w:before="52"/>
              <w:ind w:right="324"/>
              <w:jc w:val="right"/>
              <w:rPr>
                <w:sz w:val="20"/>
              </w:rPr>
            </w:pPr>
            <w:r>
              <w:rPr>
                <w:color w:val="0F0F0F"/>
                <w:spacing w:val="-2"/>
                <w:w w:val="105"/>
                <w:sz w:val="20"/>
              </w:rPr>
              <w:t>(65,455)</w:t>
            </w:r>
          </w:p>
        </w:tc>
        <w:tc>
          <w:tcPr>
            <w:tcW w:w="1259" w:type="dxa"/>
          </w:tcPr>
          <w:p>
            <w:pPr>
              <w:pStyle w:val="TableParagraph"/>
              <w:spacing w:before="52"/>
              <w:ind w:right="81"/>
              <w:jc w:val="right"/>
              <w:rPr>
                <w:sz w:val="20"/>
              </w:rPr>
            </w:pPr>
            <w:r>
              <w:rPr>
                <w:color w:val="0F0F0F"/>
                <w:spacing w:val="-2"/>
                <w:w w:val="105"/>
                <w:sz w:val="20"/>
              </w:rPr>
              <w:t>(69,286)</w:t>
            </w:r>
          </w:p>
        </w:tc>
      </w:tr>
      <w:tr>
        <w:trPr>
          <w:trHeight w:val="321" w:hRule="atLeast"/>
        </w:trPr>
        <w:tc>
          <w:tcPr>
            <w:tcW w:w="169" w:type="dxa"/>
          </w:tcPr>
          <w:p>
            <w:pPr>
              <w:pStyle w:val="TableParagraph"/>
              <w:rPr>
                <w:rFonts w:ascii="Times New Roman"/>
                <w:sz w:val="18"/>
              </w:rPr>
            </w:pPr>
          </w:p>
        </w:tc>
        <w:tc>
          <w:tcPr>
            <w:tcW w:w="5344" w:type="dxa"/>
          </w:tcPr>
          <w:p>
            <w:pPr>
              <w:pStyle w:val="TableParagraph"/>
              <w:spacing w:before="21"/>
              <w:ind w:left="355"/>
              <w:rPr>
                <w:sz w:val="20"/>
              </w:rPr>
            </w:pPr>
            <w:r>
              <w:rPr>
                <w:color w:val="0F0F0F"/>
                <w:w w:val="105"/>
                <w:sz w:val="20"/>
              </w:rPr>
              <w:t>Hertfordshire</w:t>
            </w:r>
            <w:r>
              <w:rPr>
                <w:color w:val="0F0F0F"/>
                <w:spacing w:val="-2"/>
                <w:w w:val="105"/>
                <w:sz w:val="20"/>
              </w:rPr>
              <w:t> </w:t>
            </w:r>
            <w:r>
              <w:rPr>
                <w:color w:val="0F0F0F"/>
                <w:w w:val="105"/>
                <w:sz w:val="20"/>
              </w:rPr>
              <w:t>Police</w:t>
            </w:r>
            <w:r>
              <w:rPr>
                <w:color w:val="0F0F0F"/>
                <w:spacing w:val="-8"/>
                <w:w w:val="105"/>
                <w:sz w:val="20"/>
              </w:rPr>
              <w:t> </w:t>
            </w:r>
            <w:r>
              <w:rPr>
                <w:color w:val="0F0F0F"/>
                <w:w w:val="105"/>
                <w:sz w:val="20"/>
              </w:rPr>
              <w:t>&amp;</w:t>
            </w:r>
            <w:r>
              <w:rPr>
                <w:color w:val="0F0F0F"/>
                <w:spacing w:val="-12"/>
                <w:w w:val="105"/>
                <w:sz w:val="20"/>
              </w:rPr>
              <w:t> </w:t>
            </w:r>
            <w:r>
              <w:rPr>
                <w:color w:val="0F0F0F"/>
                <w:w w:val="105"/>
                <w:sz w:val="20"/>
              </w:rPr>
              <w:t>Crime</w:t>
            </w:r>
            <w:r>
              <w:rPr>
                <w:color w:val="0F0F0F"/>
                <w:spacing w:val="-7"/>
                <w:w w:val="105"/>
                <w:sz w:val="20"/>
              </w:rPr>
              <w:t> </w:t>
            </w:r>
            <w:r>
              <w:rPr>
                <w:color w:val="0F0F0F"/>
                <w:spacing w:val="-2"/>
                <w:w w:val="105"/>
                <w:sz w:val="20"/>
              </w:rPr>
              <w:t>Commissioner</w:t>
            </w:r>
          </w:p>
        </w:tc>
        <w:tc>
          <w:tcPr>
            <w:tcW w:w="1666" w:type="dxa"/>
            <w:tcBorders>
              <w:bottom w:val="single" w:color="000000" w:sz="2" w:space="0"/>
            </w:tcBorders>
          </w:tcPr>
          <w:p>
            <w:pPr>
              <w:pStyle w:val="TableParagraph"/>
              <w:rPr>
                <w:rFonts w:ascii="Times New Roman"/>
                <w:sz w:val="18"/>
              </w:rPr>
            </w:pPr>
          </w:p>
        </w:tc>
        <w:tc>
          <w:tcPr>
            <w:tcW w:w="1986" w:type="dxa"/>
            <w:tcBorders>
              <w:bottom w:val="single" w:color="000000" w:sz="2" w:space="0"/>
            </w:tcBorders>
          </w:tcPr>
          <w:p>
            <w:pPr>
              <w:pStyle w:val="TableParagraph"/>
              <w:spacing w:before="55"/>
              <w:ind w:right="320"/>
              <w:jc w:val="right"/>
              <w:rPr>
                <w:sz w:val="20"/>
              </w:rPr>
            </w:pPr>
            <w:r>
              <w:rPr>
                <w:color w:val="0F0F0F"/>
                <w:spacing w:val="-2"/>
                <w:w w:val="105"/>
                <w:sz w:val="20"/>
              </w:rPr>
              <w:t>(9,544)</w:t>
            </w:r>
          </w:p>
        </w:tc>
        <w:tc>
          <w:tcPr>
            <w:tcW w:w="1259" w:type="dxa"/>
            <w:tcBorders>
              <w:bottom w:val="single" w:color="000000" w:sz="2" w:space="0"/>
            </w:tcBorders>
          </w:tcPr>
          <w:p>
            <w:pPr>
              <w:pStyle w:val="TableParagraph"/>
              <w:spacing w:before="59"/>
              <w:ind w:right="76"/>
              <w:jc w:val="right"/>
              <w:rPr>
                <w:sz w:val="20"/>
              </w:rPr>
            </w:pPr>
            <w:r>
              <w:rPr>
                <w:color w:val="0F0F0F"/>
                <w:spacing w:val="-2"/>
                <w:w w:val="105"/>
                <w:sz w:val="20"/>
              </w:rPr>
              <w:t>(9,544)</w:t>
            </w:r>
          </w:p>
        </w:tc>
      </w:tr>
      <w:tr>
        <w:trPr>
          <w:trHeight w:val="321" w:hRule="atLeast"/>
        </w:trPr>
        <w:tc>
          <w:tcPr>
            <w:tcW w:w="169" w:type="dxa"/>
          </w:tcPr>
          <w:p>
            <w:pPr>
              <w:pStyle w:val="TableParagraph"/>
              <w:rPr>
                <w:rFonts w:ascii="Times New Roman"/>
                <w:sz w:val="18"/>
              </w:rPr>
            </w:pPr>
          </w:p>
        </w:tc>
        <w:tc>
          <w:tcPr>
            <w:tcW w:w="5344" w:type="dxa"/>
          </w:tcPr>
          <w:p>
            <w:pPr>
              <w:pStyle w:val="TableParagraph"/>
              <w:rPr>
                <w:rFonts w:ascii="Times New Roman"/>
                <w:sz w:val="18"/>
              </w:rPr>
            </w:pPr>
          </w:p>
        </w:tc>
        <w:tc>
          <w:tcPr>
            <w:tcW w:w="1666" w:type="dxa"/>
            <w:tcBorders>
              <w:top w:val="single" w:color="000000" w:sz="2" w:space="0"/>
              <w:bottom w:val="single" w:color="000000" w:sz="2" w:space="0"/>
            </w:tcBorders>
          </w:tcPr>
          <w:p>
            <w:pPr>
              <w:pStyle w:val="TableParagraph"/>
              <w:spacing w:before="50"/>
              <w:ind w:right="118"/>
              <w:jc w:val="right"/>
              <w:rPr>
                <w:b/>
                <w:sz w:val="20"/>
              </w:rPr>
            </w:pPr>
            <w:r>
              <w:rPr>
                <w:b/>
                <w:color w:val="0F0F0F"/>
                <w:spacing w:val="-2"/>
                <w:sz w:val="20"/>
              </w:rPr>
              <w:t>{38,314}</w:t>
            </w:r>
          </w:p>
        </w:tc>
        <w:tc>
          <w:tcPr>
            <w:tcW w:w="1986" w:type="dxa"/>
            <w:tcBorders>
              <w:top w:val="single" w:color="000000" w:sz="2" w:space="0"/>
              <w:bottom w:val="single" w:color="000000" w:sz="2" w:space="0"/>
            </w:tcBorders>
          </w:tcPr>
          <w:p>
            <w:pPr>
              <w:pStyle w:val="TableParagraph"/>
              <w:spacing w:before="45"/>
              <w:ind w:right="315"/>
              <w:jc w:val="right"/>
              <w:rPr>
                <w:b/>
                <w:sz w:val="20"/>
              </w:rPr>
            </w:pPr>
            <w:r>
              <w:rPr>
                <w:b/>
                <w:color w:val="0F0F0F"/>
                <w:spacing w:val="-2"/>
                <w:w w:val="105"/>
                <w:sz w:val="20"/>
              </w:rPr>
              <w:t>(84,545)</w:t>
            </w:r>
          </w:p>
        </w:tc>
        <w:tc>
          <w:tcPr>
            <w:tcW w:w="1259" w:type="dxa"/>
            <w:tcBorders>
              <w:top w:val="single" w:color="000000" w:sz="2" w:space="0"/>
              <w:bottom w:val="single" w:color="000000" w:sz="2" w:space="0"/>
            </w:tcBorders>
          </w:tcPr>
          <w:p>
            <w:pPr>
              <w:pStyle w:val="TableParagraph"/>
              <w:spacing w:before="45"/>
              <w:ind w:right="71"/>
              <w:jc w:val="right"/>
              <w:rPr>
                <w:b/>
                <w:sz w:val="20"/>
              </w:rPr>
            </w:pPr>
            <w:r>
              <w:rPr>
                <w:b/>
                <w:color w:val="0F0F0F"/>
                <w:spacing w:val="-2"/>
                <w:w w:val="105"/>
                <w:sz w:val="20"/>
              </w:rPr>
              <w:t>(122,859)</w:t>
            </w:r>
          </w:p>
        </w:tc>
      </w:tr>
      <w:tr>
        <w:trPr>
          <w:trHeight w:val="236" w:hRule="atLeast"/>
        </w:trPr>
        <w:tc>
          <w:tcPr>
            <w:tcW w:w="169" w:type="dxa"/>
          </w:tcPr>
          <w:p>
            <w:pPr>
              <w:pStyle w:val="TableParagraph"/>
              <w:rPr>
                <w:rFonts w:ascii="Times New Roman"/>
                <w:sz w:val="16"/>
              </w:rPr>
            </w:pPr>
          </w:p>
        </w:tc>
        <w:tc>
          <w:tcPr>
            <w:tcW w:w="5344" w:type="dxa"/>
          </w:tcPr>
          <w:p>
            <w:pPr>
              <w:pStyle w:val="TableParagraph"/>
              <w:spacing w:before="7" w:line="210" w:lineRule="exact"/>
              <w:ind w:left="64"/>
              <w:rPr>
                <w:b/>
                <w:sz w:val="20"/>
              </w:rPr>
            </w:pPr>
            <w:r>
              <w:rPr>
                <w:b/>
                <w:color w:val="0F0F0F"/>
                <w:w w:val="105"/>
                <w:sz w:val="20"/>
              </w:rPr>
              <w:t>Charges</w:t>
            </w:r>
            <w:r>
              <w:rPr>
                <w:b/>
                <w:color w:val="0F0F0F"/>
                <w:spacing w:val="-4"/>
                <w:w w:val="105"/>
                <w:sz w:val="20"/>
              </w:rPr>
              <w:t> </w:t>
            </w:r>
            <w:r>
              <w:rPr>
                <w:b/>
                <w:color w:val="0F0F0F"/>
                <w:w w:val="105"/>
                <w:sz w:val="20"/>
              </w:rPr>
              <w:t>to</w:t>
            </w:r>
            <w:r>
              <w:rPr>
                <w:b/>
                <w:color w:val="0F0F0F"/>
                <w:spacing w:val="-15"/>
                <w:w w:val="105"/>
                <w:sz w:val="20"/>
              </w:rPr>
              <w:t> </w:t>
            </w:r>
            <w:r>
              <w:rPr>
                <w:b/>
                <w:color w:val="0F0F0F"/>
                <w:w w:val="105"/>
                <w:sz w:val="20"/>
              </w:rPr>
              <w:t>Collection</w:t>
            </w:r>
            <w:r>
              <w:rPr>
                <w:b/>
                <w:color w:val="0F0F0F"/>
                <w:spacing w:val="-4"/>
                <w:w w:val="105"/>
                <w:sz w:val="20"/>
              </w:rPr>
              <w:t> Fund</w:t>
            </w:r>
          </w:p>
        </w:tc>
        <w:tc>
          <w:tcPr>
            <w:tcW w:w="1666" w:type="dxa"/>
          </w:tcPr>
          <w:p>
            <w:pPr>
              <w:pStyle w:val="TableParagraph"/>
              <w:rPr>
                <w:rFonts w:ascii="Times New Roman"/>
                <w:sz w:val="16"/>
              </w:rPr>
            </w:pPr>
          </w:p>
        </w:tc>
        <w:tc>
          <w:tcPr>
            <w:tcW w:w="1986" w:type="dxa"/>
          </w:tcPr>
          <w:p>
            <w:pPr>
              <w:pStyle w:val="TableParagraph"/>
              <w:rPr>
                <w:rFonts w:ascii="Times New Roman"/>
                <w:sz w:val="16"/>
              </w:rPr>
            </w:pPr>
          </w:p>
        </w:tc>
        <w:tc>
          <w:tcPr>
            <w:tcW w:w="1259" w:type="dxa"/>
          </w:tcPr>
          <w:p>
            <w:pPr>
              <w:pStyle w:val="TableParagraph"/>
              <w:rPr>
                <w:rFonts w:ascii="Times New Roman"/>
                <w:sz w:val="16"/>
              </w:rPr>
            </w:pPr>
          </w:p>
        </w:tc>
      </w:tr>
      <w:tr>
        <w:trPr>
          <w:trHeight w:val="373" w:hRule="atLeast"/>
        </w:trPr>
        <w:tc>
          <w:tcPr>
            <w:tcW w:w="5513" w:type="dxa"/>
            <w:gridSpan w:val="2"/>
          </w:tcPr>
          <w:p>
            <w:pPr>
              <w:pStyle w:val="TableParagraph"/>
              <w:spacing w:before="82"/>
              <w:ind w:left="524"/>
              <w:rPr>
                <w:sz w:val="20"/>
              </w:rPr>
            </w:pPr>
            <w:r>
              <w:rPr>
                <w:color w:val="0F0F0F"/>
                <w:w w:val="105"/>
                <w:sz w:val="20"/>
              </w:rPr>
              <w:t>Write</w:t>
            </w:r>
            <w:r>
              <w:rPr>
                <w:color w:val="0F0F0F"/>
                <w:spacing w:val="-9"/>
                <w:w w:val="105"/>
                <w:sz w:val="20"/>
              </w:rPr>
              <w:t> </w:t>
            </w:r>
            <w:r>
              <w:rPr>
                <w:color w:val="0F0F0F"/>
                <w:w w:val="105"/>
                <w:sz w:val="20"/>
              </w:rPr>
              <w:t>offs</w:t>
            </w:r>
            <w:r>
              <w:rPr>
                <w:color w:val="0F0F0F"/>
                <w:spacing w:val="-9"/>
                <w:w w:val="105"/>
                <w:sz w:val="20"/>
              </w:rPr>
              <w:t> </w:t>
            </w:r>
            <w:r>
              <w:rPr>
                <w:color w:val="0F0F0F"/>
                <w:w w:val="105"/>
                <w:sz w:val="20"/>
              </w:rPr>
              <w:t>charged</w:t>
            </w:r>
            <w:r>
              <w:rPr>
                <w:color w:val="0F0F0F"/>
                <w:spacing w:val="-3"/>
                <w:w w:val="105"/>
                <w:sz w:val="20"/>
              </w:rPr>
              <w:t> </w:t>
            </w:r>
            <w:r>
              <w:rPr>
                <w:color w:val="0F0F0F"/>
                <w:w w:val="105"/>
                <w:sz w:val="20"/>
              </w:rPr>
              <w:t>to</w:t>
            </w:r>
            <w:r>
              <w:rPr>
                <w:color w:val="0F0F0F"/>
                <w:spacing w:val="-8"/>
                <w:w w:val="105"/>
                <w:sz w:val="20"/>
              </w:rPr>
              <w:t> </w:t>
            </w:r>
            <w:r>
              <w:rPr>
                <w:color w:val="0F0F0F"/>
                <w:w w:val="105"/>
                <w:sz w:val="20"/>
              </w:rPr>
              <w:t>collection</w:t>
            </w:r>
            <w:r>
              <w:rPr>
                <w:color w:val="0F0F0F"/>
                <w:spacing w:val="1"/>
                <w:w w:val="105"/>
                <w:sz w:val="20"/>
              </w:rPr>
              <w:t> </w:t>
            </w:r>
            <w:r>
              <w:rPr>
                <w:color w:val="0F0F0F"/>
                <w:spacing w:val="-4"/>
                <w:w w:val="105"/>
                <w:sz w:val="20"/>
              </w:rPr>
              <w:t>fund</w:t>
            </w:r>
          </w:p>
        </w:tc>
        <w:tc>
          <w:tcPr>
            <w:tcW w:w="1666" w:type="dxa"/>
          </w:tcPr>
          <w:p>
            <w:pPr>
              <w:pStyle w:val="TableParagraph"/>
              <w:rPr>
                <w:rFonts w:ascii="Times New Roman"/>
                <w:sz w:val="18"/>
              </w:rPr>
            </w:pPr>
          </w:p>
        </w:tc>
        <w:tc>
          <w:tcPr>
            <w:tcW w:w="1986" w:type="dxa"/>
          </w:tcPr>
          <w:p>
            <w:pPr>
              <w:pStyle w:val="TableParagraph"/>
              <w:spacing w:before="120"/>
              <w:ind w:right="315"/>
              <w:jc w:val="right"/>
              <w:rPr>
                <w:sz w:val="20"/>
              </w:rPr>
            </w:pPr>
            <w:r>
              <w:rPr>
                <w:color w:val="0F0F0F"/>
                <w:spacing w:val="-4"/>
                <w:sz w:val="20"/>
              </w:rPr>
              <w:t>(33)</w:t>
            </w:r>
          </w:p>
        </w:tc>
        <w:tc>
          <w:tcPr>
            <w:tcW w:w="1259" w:type="dxa"/>
          </w:tcPr>
          <w:p>
            <w:pPr>
              <w:pStyle w:val="TableParagraph"/>
              <w:spacing w:before="120"/>
              <w:ind w:right="68"/>
              <w:jc w:val="right"/>
              <w:rPr>
                <w:sz w:val="20"/>
              </w:rPr>
            </w:pPr>
            <w:r>
              <w:rPr>
                <w:color w:val="0F0F0F"/>
                <w:spacing w:val="-4"/>
                <w:sz w:val="20"/>
              </w:rPr>
              <w:t>(33)</w:t>
            </w:r>
          </w:p>
        </w:tc>
      </w:tr>
      <w:tr>
        <w:trPr>
          <w:trHeight w:val="309" w:hRule="atLeast"/>
        </w:trPr>
        <w:tc>
          <w:tcPr>
            <w:tcW w:w="5513" w:type="dxa"/>
            <w:gridSpan w:val="2"/>
          </w:tcPr>
          <w:p>
            <w:pPr>
              <w:pStyle w:val="TableParagraph"/>
              <w:spacing w:before="16"/>
              <w:ind w:left="522"/>
              <w:rPr>
                <w:sz w:val="20"/>
              </w:rPr>
            </w:pPr>
            <w:r>
              <w:rPr>
                <w:color w:val="0F0F0F"/>
                <w:spacing w:val="-2"/>
                <w:w w:val="110"/>
                <w:sz w:val="20"/>
              </w:rPr>
              <w:t>Increase(-)/</w:t>
            </w:r>
            <w:r>
              <w:rPr>
                <w:color w:val="0F0F0F"/>
                <w:spacing w:val="-5"/>
                <w:w w:val="110"/>
                <w:sz w:val="20"/>
              </w:rPr>
              <w:t> </w:t>
            </w:r>
            <w:r>
              <w:rPr>
                <w:color w:val="0F0F0F"/>
                <w:spacing w:val="-2"/>
                <w:w w:val="110"/>
                <w:sz w:val="20"/>
              </w:rPr>
              <w:t>Decrease</w:t>
            </w:r>
            <w:r>
              <w:rPr>
                <w:color w:val="0F0F0F"/>
                <w:spacing w:val="1"/>
                <w:w w:val="110"/>
                <w:sz w:val="20"/>
              </w:rPr>
              <w:t> </w:t>
            </w:r>
            <w:r>
              <w:rPr>
                <w:color w:val="0F0F0F"/>
                <w:spacing w:val="-2"/>
                <w:w w:val="110"/>
                <w:sz w:val="20"/>
              </w:rPr>
              <w:t>in</w:t>
            </w:r>
            <w:r>
              <w:rPr>
                <w:color w:val="0F0F0F"/>
                <w:spacing w:val="-10"/>
                <w:w w:val="110"/>
                <w:sz w:val="20"/>
              </w:rPr>
              <w:t> </w:t>
            </w:r>
            <w:r>
              <w:rPr>
                <w:color w:val="0F0F0F"/>
                <w:spacing w:val="-2"/>
                <w:w w:val="110"/>
                <w:sz w:val="20"/>
              </w:rPr>
              <w:t>Impairment</w:t>
            </w:r>
            <w:r>
              <w:rPr>
                <w:color w:val="0F0F0F"/>
                <w:spacing w:val="8"/>
                <w:w w:val="110"/>
                <w:sz w:val="20"/>
              </w:rPr>
              <w:t> </w:t>
            </w:r>
            <w:r>
              <w:rPr>
                <w:color w:val="0F0F0F"/>
                <w:spacing w:val="-2"/>
                <w:w w:val="110"/>
                <w:sz w:val="20"/>
              </w:rPr>
              <w:t>Allowance</w:t>
            </w:r>
          </w:p>
        </w:tc>
        <w:tc>
          <w:tcPr>
            <w:tcW w:w="1666" w:type="dxa"/>
          </w:tcPr>
          <w:p>
            <w:pPr>
              <w:pStyle w:val="TableParagraph"/>
              <w:spacing w:before="59"/>
              <w:ind w:right="113"/>
              <w:jc w:val="right"/>
              <w:rPr>
                <w:sz w:val="20"/>
              </w:rPr>
            </w:pPr>
            <w:r>
              <w:rPr>
                <w:color w:val="0F0F0F"/>
                <w:spacing w:val="-2"/>
                <w:sz w:val="20"/>
              </w:rPr>
              <w:t>(730)</w:t>
            </w:r>
          </w:p>
        </w:tc>
        <w:tc>
          <w:tcPr>
            <w:tcW w:w="1986" w:type="dxa"/>
          </w:tcPr>
          <w:p>
            <w:pPr>
              <w:pStyle w:val="TableParagraph"/>
              <w:spacing w:before="55"/>
              <w:ind w:right="318"/>
              <w:jc w:val="right"/>
              <w:rPr>
                <w:sz w:val="20"/>
              </w:rPr>
            </w:pPr>
            <w:r>
              <w:rPr>
                <w:color w:val="0F0F0F"/>
                <w:spacing w:val="-2"/>
                <w:sz w:val="20"/>
              </w:rPr>
              <w:t>(1,441)</w:t>
            </w:r>
          </w:p>
        </w:tc>
        <w:tc>
          <w:tcPr>
            <w:tcW w:w="1259" w:type="dxa"/>
          </w:tcPr>
          <w:p>
            <w:pPr>
              <w:pStyle w:val="TableParagraph"/>
              <w:spacing w:before="59"/>
              <w:ind w:right="75"/>
              <w:jc w:val="right"/>
              <w:rPr>
                <w:sz w:val="20"/>
              </w:rPr>
            </w:pPr>
            <w:r>
              <w:rPr>
                <w:color w:val="0F0F0F"/>
                <w:spacing w:val="-2"/>
                <w:sz w:val="20"/>
              </w:rPr>
              <w:t>(2,171)</w:t>
            </w:r>
          </w:p>
        </w:tc>
      </w:tr>
      <w:tr>
        <w:trPr>
          <w:trHeight w:val="307" w:hRule="atLeast"/>
        </w:trPr>
        <w:tc>
          <w:tcPr>
            <w:tcW w:w="5513" w:type="dxa"/>
            <w:gridSpan w:val="2"/>
          </w:tcPr>
          <w:p>
            <w:pPr>
              <w:pStyle w:val="TableParagraph"/>
              <w:spacing w:before="14"/>
              <w:ind w:left="522"/>
              <w:rPr>
                <w:sz w:val="20"/>
              </w:rPr>
            </w:pPr>
            <w:r>
              <w:rPr>
                <w:color w:val="0F0F0F"/>
                <w:w w:val="105"/>
                <w:sz w:val="20"/>
              </w:rPr>
              <w:t>Increase(-)/</w:t>
            </w:r>
            <w:r>
              <w:rPr>
                <w:color w:val="0F0F0F"/>
                <w:spacing w:val="30"/>
                <w:w w:val="105"/>
                <w:sz w:val="20"/>
              </w:rPr>
              <w:t> </w:t>
            </w:r>
            <w:r>
              <w:rPr>
                <w:color w:val="0F0F0F"/>
                <w:w w:val="105"/>
                <w:sz w:val="20"/>
              </w:rPr>
              <w:t>Decrease</w:t>
            </w:r>
            <w:r>
              <w:rPr>
                <w:color w:val="0F0F0F"/>
                <w:spacing w:val="9"/>
                <w:w w:val="105"/>
                <w:sz w:val="20"/>
              </w:rPr>
              <w:t> </w:t>
            </w:r>
            <w:r>
              <w:rPr>
                <w:color w:val="0F0F0F"/>
                <w:w w:val="105"/>
                <w:sz w:val="20"/>
              </w:rPr>
              <w:t>in</w:t>
            </w:r>
            <w:r>
              <w:rPr>
                <w:color w:val="0F0F0F"/>
                <w:spacing w:val="16"/>
                <w:w w:val="105"/>
                <w:sz w:val="20"/>
              </w:rPr>
              <w:t> </w:t>
            </w:r>
            <w:r>
              <w:rPr>
                <w:color w:val="0F0F0F"/>
                <w:w w:val="105"/>
                <w:sz w:val="20"/>
              </w:rPr>
              <w:t>Provision</w:t>
            </w:r>
            <w:r>
              <w:rPr>
                <w:color w:val="0F0F0F"/>
                <w:spacing w:val="20"/>
                <w:w w:val="105"/>
                <w:sz w:val="20"/>
              </w:rPr>
              <w:t> </w:t>
            </w:r>
            <w:r>
              <w:rPr>
                <w:color w:val="0F0F0F"/>
                <w:w w:val="105"/>
                <w:sz w:val="20"/>
              </w:rPr>
              <w:t>for</w:t>
            </w:r>
            <w:r>
              <w:rPr>
                <w:color w:val="0F0F0F"/>
                <w:spacing w:val="15"/>
                <w:w w:val="105"/>
                <w:sz w:val="20"/>
              </w:rPr>
              <w:t> </w:t>
            </w:r>
            <w:r>
              <w:rPr>
                <w:color w:val="0F0F0F"/>
                <w:spacing w:val="-2"/>
                <w:w w:val="105"/>
                <w:sz w:val="20"/>
              </w:rPr>
              <w:t>Appeals</w:t>
            </w:r>
          </w:p>
        </w:tc>
        <w:tc>
          <w:tcPr>
            <w:tcW w:w="1666" w:type="dxa"/>
          </w:tcPr>
          <w:p>
            <w:pPr>
              <w:pStyle w:val="TableParagraph"/>
              <w:spacing w:before="52"/>
              <w:ind w:right="105"/>
              <w:jc w:val="right"/>
              <w:rPr>
                <w:sz w:val="20"/>
              </w:rPr>
            </w:pPr>
            <w:r>
              <w:rPr>
                <w:color w:val="0F0F0F"/>
                <w:spacing w:val="-2"/>
                <w:w w:val="105"/>
                <w:sz w:val="20"/>
              </w:rPr>
              <w:t>2,361</w:t>
            </w:r>
          </w:p>
        </w:tc>
        <w:tc>
          <w:tcPr>
            <w:tcW w:w="1986" w:type="dxa"/>
          </w:tcPr>
          <w:p>
            <w:pPr>
              <w:pStyle w:val="TableParagraph"/>
              <w:rPr>
                <w:rFonts w:ascii="Times New Roman"/>
                <w:sz w:val="18"/>
              </w:rPr>
            </w:pPr>
          </w:p>
        </w:tc>
        <w:tc>
          <w:tcPr>
            <w:tcW w:w="1259" w:type="dxa"/>
          </w:tcPr>
          <w:p>
            <w:pPr>
              <w:pStyle w:val="TableParagraph"/>
              <w:spacing w:before="52"/>
              <w:ind w:right="57"/>
              <w:jc w:val="right"/>
              <w:rPr>
                <w:sz w:val="20"/>
              </w:rPr>
            </w:pPr>
            <w:r>
              <w:rPr>
                <w:color w:val="0F0F0F"/>
                <w:spacing w:val="-2"/>
                <w:w w:val="105"/>
                <w:sz w:val="20"/>
              </w:rPr>
              <w:t>2,361</w:t>
            </w:r>
          </w:p>
        </w:tc>
      </w:tr>
      <w:tr>
        <w:trPr>
          <w:trHeight w:val="340" w:hRule="atLeast"/>
        </w:trPr>
        <w:tc>
          <w:tcPr>
            <w:tcW w:w="5513" w:type="dxa"/>
            <w:gridSpan w:val="2"/>
          </w:tcPr>
          <w:p>
            <w:pPr>
              <w:pStyle w:val="TableParagraph"/>
              <w:spacing w:before="18"/>
              <w:ind w:left="521"/>
              <w:rPr>
                <w:sz w:val="20"/>
              </w:rPr>
            </w:pPr>
            <w:r>
              <w:rPr>
                <w:color w:val="0F0F0F"/>
                <w:w w:val="105"/>
                <w:sz w:val="20"/>
              </w:rPr>
              <w:t>Cost</w:t>
            </w:r>
            <w:r>
              <w:rPr>
                <w:color w:val="0F0F0F"/>
                <w:spacing w:val="2"/>
                <w:w w:val="105"/>
                <w:sz w:val="20"/>
              </w:rPr>
              <w:t> </w:t>
            </w:r>
            <w:r>
              <w:rPr>
                <w:color w:val="0F0F0F"/>
                <w:w w:val="105"/>
                <w:sz w:val="20"/>
              </w:rPr>
              <w:t>of</w:t>
            </w:r>
            <w:r>
              <w:rPr>
                <w:color w:val="0F0F0F"/>
                <w:spacing w:val="-6"/>
                <w:w w:val="105"/>
                <w:sz w:val="20"/>
              </w:rPr>
              <w:t> </w:t>
            </w:r>
            <w:r>
              <w:rPr>
                <w:color w:val="0F0F0F"/>
                <w:spacing w:val="-2"/>
                <w:w w:val="105"/>
                <w:sz w:val="20"/>
              </w:rPr>
              <w:t>Collection</w:t>
            </w:r>
          </w:p>
        </w:tc>
        <w:tc>
          <w:tcPr>
            <w:tcW w:w="1666" w:type="dxa"/>
          </w:tcPr>
          <w:p>
            <w:pPr>
              <w:pStyle w:val="TableParagraph"/>
              <w:spacing w:before="57"/>
              <w:ind w:right="109"/>
              <w:jc w:val="right"/>
              <w:rPr>
                <w:sz w:val="20"/>
              </w:rPr>
            </w:pPr>
            <w:r>
              <w:rPr>
                <w:color w:val="0F0F0F"/>
                <w:spacing w:val="-2"/>
                <w:w w:val="105"/>
                <w:sz w:val="20"/>
              </w:rPr>
              <w:t>(143}</w:t>
            </w:r>
          </w:p>
        </w:tc>
        <w:tc>
          <w:tcPr>
            <w:tcW w:w="1986" w:type="dxa"/>
          </w:tcPr>
          <w:p>
            <w:pPr>
              <w:pStyle w:val="TableParagraph"/>
              <w:rPr>
                <w:rFonts w:ascii="Times New Roman"/>
                <w:sz w:val="18"/>
              </w:rPr>
            </w:pPr>
          </w:p>
        </w:tc>
        <w:tc>
          <w:tcPr>
            <w:tcW w:w="1259" w:type="dxa"/>
          </w:tcPr>
          <w:p>
            <w:pPr>
              <w:pStyle w:val="TableParagraph"/>
              <w:spacing w:before="57"/>
              <w:ind w:right="65"/>
              <w:jc w:val="right"/>
              <w:rPr>
                <w:sz w:val="20"/>
              </w:rPr>
            </w:pPr>
            <w:r>
              <w:rPr>
                <w:color w:val="0F0F0F"/>
                <w:spacing w:val="-2"/>
                <w:w w:val="105"/>
                <w:sz w:val="20"/>
              </w:rPr>
              <w:t>(143}</w:t>
            </w:r>
          </w:p>
        </w:tc>
      </w:tr>
      <w:tr>
        <w:trPr>
          <w:trHeight w:val="549" w:hRule="atLeast"/>
        </w:trPr>
        <w:tc>
          <w:tcPr>
            <w:tcW w:w="7179" w:type="dxa"/>
            <w:gridSpan w:val="3"/>
          </w:tcPr>
          <w:p>
            <w:pPr>
              <w:pStyle w:val="TableParagraph"/>
              <w:spacing w:before="35"/>
              <w:ind w:right="111"/>
              <w:jc w:val="right"/>
              <w:rPr>
                <w:b/>
                <w:sz w:val="20"/>
              </w:rPr>
            </w:pPr>
            <w:r>
              <w:rPr>
                <w:b/>
                <w:color w:val="0F0F0F"/>
                <w:spacing w:val="-2"/>
                <w:w w:val="105"/>
                <w:sz w:val="20"/>
              </w:rPr>
              <w:t>1,488</w:t>
            </w:r>
          </w:p>
        </w:tc>
        <w:tc>
          <w:tcPr>
            <w:tcW w:w="3245" w:type="dxa"/>
            <w:gridSpan w:val="2"/>
            <w:tcBorders>
              <w:top w:val="single" w:color="000000" w:sz="2" w:space="0"/>
            </w:tcBorders>
          </w:tcPr>
          <w:p>
            <w:pPr>
              <w:pStyle w:val="TableParagraph"/>
              <w:tabs>
                <w:tab w:val="left" w:leader="none" w:pos="1076"/>
                <w:tab w:val="left" w:leader="none" w:pos="2947"/>
              </w:tabs>
              <w:spacing w:before="35"/>
              <w:ind w:left="97"/>
              <w:rPr>
                <w:b/>
                <w:sz w:val="20"/>
              </w:rPr>
            </w:pPr>
            <w:r>
              <w:rPr>
                <w:b/>
                <w:color w:val="0F0F0F"/>
                <w:sz w:val="20"/>
                <w:u w:val="single" w:color="000000"/>
              </w:rPr>
              <w:tab/>
            </w:r>
            <w:r>
              <w:rPr>
                <w:b/>
                <w:color w:val="0F0F0F"/>
                <w:spacing w:val="-4"/>
                <w:w w:val="110"/>
                <w:sz w:val="20"/>
                <w:u w:val="single" w:color="000000"/>
              </w:rPr>
              <w:t>1,474</w:t>
            </w:r>
            <w:r>
              <w:rPr>
                <w:b/>
                <w:color w:val="0F0F0F"/>
                <w:sz w:val="20"/>
                <w:u w:val="single" w:color="000000"/>
              </w:rPr>
              <w:tab/>
            </w:r>
            <w:r>
              <w:rPr>
                <w:b/>
                <w:color w:val="0F0F0F"/>
                <w:spacing w:val="-5"/>
                <w:w w:val="110"/>
                <w:sz w:val="20"/>
                <w:u w:val="single" w:color="000000"/>
              </w:rPr>
              <w:t>14</w:t>
            </w:r>
          </w:p>
        </w:tc>
      </w:tr>
      <w:tr>
        <w:trPr>
          <w:trHeight w:val="330" w:hRule="atLeast"/>
        </w:trPr>
        <w:tc>
          <w:tcPr>
            <w:tcW w:w="5513" w:type="dxa"/>
            <w:gridSpan w:val="2"/>
          </w:tcPr>
          <w:p>
            <w:pPr>
              <w:pStyle w:val="TableParagraph"/>
              <w:spacing w:before="69"/>
              <w:ind w:left="235"/>
              <w:rPr>
                <w:b/>
                <w:sz w:val="20"/>
              </w:rPr>
            </w:pPr>
            <w:r>
              <w:rPr>
                <w:b/>
                <w:color w:val="0F0F0F"/>
                <w:w w:val="105"/>
                <w:sz w:val="20"/>
              </w:rPr>
              <w:t>Surplus</w:t>
            </w:r>
            <w:r>
              <w:rPr>
                <w:b/>
                <w:color w:val="0F0F0F"/>
                <w:spacing w:val="-4"/>
                <w:w w:val="105"/>
                <w:sz w:val="20"/>
              </w:rPr>
              <w:t> </w:t>
            </w:r>
            <w:r>
              <w:rPr>
                <w:i/>
                <w:color w:val="0F0F0F"/>
                <w:w w:val="105"/>
                <w:sz w:val="20"/>
              </w:rPr>
              <w:t>I</w:t>
            </w:r>
            <w:r>
              <w:rPr>
                <w:i/>
                <w:color w:val="0F0F0F"/>
                <w:spacing w:val="-2"/>
                <w:w w:val="105"/>
                <w:sz w:val="20"/>
              </w:rPr>
              <w:t> </w:t>
            </w:r>
            <w:r>
              <w:rPr>
                <w:b/>
                <w:color w:val="0F0F0F"/>
                <w:w w:val="105"/>
                <w:sz w:val="20"/>
              </w:rPr>
              <w:t>Deficit</w:t>
            </w:r>
            <w:r>
              <w:rPr>
                <w:b/>
                <w:color w:val="0F0F0F"/>
                <w:spacing w:val="-5"/>
                <w:w w:val="105"/>
                <w:sz w:val="20"/>
              </w:rPr>
              <w:t> </w:t>
            </w:r>
            <w:r>
              <w:rPr>
                <w:color w:val="0F0F0F"/>
                <w:w w:val="105"/>
                <w:sz w:val="20"/>
              </w:rPr>
              <w:t>(-}</w:t>
            </w:r>
            <w:r>
              <w:rPr>
                <w:color w:val="0F0F0F"/>
                <w:spacing w:val="-4"/>
                <w:w w:val="105"/>
                <w:sz w:val="20"/>
              </w:rPr>
              <w:t> </w:t>
            </w:r>
            <w:r>
              <w:rPr>
                <w:b/>
                <w:color w:val="0F0F0F"/>
                <w:w w:val="105"/>
                <w:sz w:val="20"/>
              </w:rPr>
              <w:t>for</w:t>
            </w:r>
            <w:r>
              <w:rPr>
                <w:b/>
                <w:color w:val="0F0F0F"/>
                <w:spacing w:val="-2"/>
                <w:w w:val="105"/>
                <w:sz w:val="20"/>
              </w:rPr>
              <w:t> </w:t>
            </w:r>
            <w:r>
              <w:rPr>
                <w:b/>
                <w:color w:val="0F0F0F"/>
                <w:w w:val="105"/>
                <w:sz w:val="20"/>
              </w:rPr>
              <w:t>the</w:t>
            </w:r>
            <w:r>
              <w:rPr>
                <w:b/>
                <w:color w:val="0F0F0F"/>
                <w:spacing w:val="-3"/>
                <w:w w:val="105"/>
                <w:sz w:val="20"/>
              </w:rPr>
              <w:t> </w:t>
            </w:r>
            <w:r>
              <w:rPr>
                <w:b/>
                <w:color w:val="0F0F0F"/>
                <w:spacing w:val="-4"/>
                <w:w w:val="105"/>
                <w:sz w:val="20"/>
              </w:rPr>
              <w:t>year</w:t>
            </w:r>
          </w:p>
        </w:tc>
        <w:tc>
          <w:tcPr>
            <w:tcW w:w="1666" w:type="dxa"/>
            <w:tcBorders>
              <w:top w:val="single" w:color="000000" w:sz="2" w:space="0"/>
              <w:bottom w:val="single" w:color="000000" w:sz="2" w:space="0"/>
            </w:tcBorders>
          </w:tcPr>
          <w:p>
            <w:pPr>
              <w:pStyle w:val="TableParagraph"/>
              <w:spacing w:before="103" w:line="179" w:lineRule="exact"/>
              <w:ind w:right="104"/>
              <w:jc w:val="right"/>
              <w:rPr>
                <w:b/>
                <w:sz w:val="20"/>
              </w:rPr>
            </w:pPr>
            <w:r>
              <w:rPr>
                <w:b/>
                <w:color w:val="0F0F0F"/>
                <w:spacing w:val="-2"/>
                <w:w w:val="105"/>
                <w:sz w:val="20"/>
              </w:rPr>
              <w:t>5,172</w:t>
            </w:r>
          </w:p>
        </w:tc>
        <w:tc>
          <w:tcPr>
            <w:tcW w:w="1986" w:type="dxa"/>
            <w:tcBorders>
              <w:top w:val="single" w:color="000000" w:sz="6" w:space="0"/>
              <w:bottom w:val="single" w:color="000000" w:sz="6" w:space="0"/>
            </w:tcBorders>
          </w:tcPr>
          <w:p>
            <w:pPr>
              <w:pStyle w:val="TableParagraph"/>
              <w:spacing w:before="107" w:line="175" w:lineRule="exact"/>
              <w:ind w:right="368"/>
              <w:jc w:val="right"/>
              <w:rPr>
                <w:b/>
                <w:sz w:val="20"/>
              </w:rPr>
            </w:pPr>
            <w:r>
              <w:rPr>
                <w:b/>
                <w:color w:val="0F0F0F"/>
                <w:spacing w:val="-5"/>
                <w:w w:val="110"/>
                <w:sz w:val="20"/>
              </w:rPr>
              <w:t>95</w:t>
            </w:r>
          </w:p>
        </w:tc>
        <w:tc>
          <w:tcPr>
            <w:tcW w:w="1259" w:type="dxa"/>
            <w:tcBorders>
              <w:top w:val="single" w:color="000000" w:sz="6" w:space="0"/>
              <w:bottom w:val="single" w:color="000000" w:sz="6" w:space="0"/>
            </w:tcBorders>
          </w:tcPr>
          <w:p>
            <w:pPr>
              <w:pStyle w:val="TableParagraph"/>
              <w:spacing w:before="103" w:line="179" w:lineRule="exact"/>
              <w:ind w:right="60"/>
              <w:jc w:val="right"/>
              <w:rPr>
                <w:b/>
                <w:sz w:val="20"/>
              </w:rPr>
            </w:pPr>
            <w:r>
              <w:rPr>
                <w:b/>
                <w:color w:val="0F0F0F"/>
                <w:spacing w:val="-2"/>
                <w:w w:val="105"/>
                <w:sz w:val="20"/>
              </w:rPr>
              <w:t>5,077</w:t>
            </w:r>
          </w:p>
        </w:tc>
      </w:tr>
      <w:tr>
        <w:trPr>
          <w:trHeight w:val="627" w:hRule="atLeast"/>
        </w:trPr>
        <w:tc>
          <w:tcPr>
            <w:tcW w:w="5513" w:type="dxa"/>
            <w:gridSpan w:val="2"/>
          </w:tcPr>
          <w:p>
            <w:pPr>
              <w:pStyle w:val="TableParagraph"/>
              <w:spacing w:before="123"/>
              <w:rPr>
                <w:b/>
                <w:sz w:val="20"/>
              </w:rPr>
            </w:pPr>
          </w:p>
          <w:p>
            <w:pPr>
              <w:pStyle w:val="TableParagraph"/>
              <w:ind w:left="233"/>
              <w:rPr>
                <w:b/>
                <w:sz w:val="20"/>
              </w:rPr>
            </w:pPr>
            <w:r>
              <w:rPr>
                <w:b/>
                <w:color w:val="0F0F0F"/>
                <w:w w:val="105"/>
                <w:sz w:val="20"/>
              </w:rPr>
              <w:t>Apportionment</w:t>
            </w:r>
            <w:r>
              <w:rPr>
                <w:b/>
                <w:color w:val="0F0F0F"/>
                <w:spacing w:val="9"/>
                <w:w w:val="105"/>
                <w:sz w:val="20"/>
              </w:rPr>
              <w:t> </w:t>
            </w:r>
            <w:r>
              <w:rPr>
                <w:b/>
                <w:color w:val="0F0F0F"/>
                <w:w w:val="105"/>
                <w:sz w:val="20"/>
              </w:rPr>
              <w:t>of</w:t>
            </w:r>
            <w:r>
              <w:rPr>
                <w:b/>
                <w:color w:val="0F0F0F"/>
                <w:spacing w:val="-15"/>
                <w:w w:val="105"/>
                <w:sz w:val="20"/>
              </w:rPr>
              <w:t> </w:t>
            </w:r>
            <w:r>
              <w:rPr>
                <w:b/>
                <w:color w:val="0F0F0F"/>
                <w:w w:val="105"/>
                <w:sz w:val="20"/>
              </w:rPr>
              <w:t>Previous</w:t>
            </w:r>
            <w:r>
              <w:rPr>
                <w:b/>
                <w:color w:val="0F0F0F"/>
                <w:spacing w:val="-3"/>
                <w:w w:val="105"/>
                <w:sz w:val="20"/>
              </w:rPr>
              <w:t> </w:t>
            </w:r>
            <w:r>
              <w:rPr>
                <w:b/>
                <w:color w:val="0F0F0F"/>
                <w:w w:val="105"/>
                <w:sz w:val="20"/>
              </w:rPr>
              <w:t>Year</w:t>
            </w:r>
            <w:r>
              <w:rPr>
                <w:b/>
                <w:color w:val="0F0F0F"/>
                <w:spacing w:val="-10"/>
                <w:w w:val="105"/>
                <w:sz w:val="20"/>
              </w:rPr>
              <w:t> </w:t>
            </w:r>
            <w:r>
              <w:rPr>
                <w:b/>
                <w:color w:val="0F0F0F"/>
                <w:spacing w:val="-2"/>
                <w:w w:val="105"/>
                <w:sz w:val="20"/>
              </w:rPr>
              <w:t>Surplus</w:t>
            </w:r>
          </w:p>
        </w:tc>
        <w:tc>
          <w:tcPr>
            <w:tcW w:w="1666" w:type="dxa"/>
            <w:tcBorders>
              <w:top w:val="single" w:color="000000" w:sz="2" w:space="0"/>
            </w:tcBorders>
          </w:tcPr>
          <w:p>
            <w:pPr>
              <w:pStyle w:val="TableParagraph"/>
              <w:rPr>
                <w:rFonts w:ascii="Times New Roman"/>
                <w:sz w:val="18"/>
              </w:rPr>
            </w:pPr>
          </w:p>
        </w:tc>
        <w:tc>
          <w:tcPr>
            <w:tcW w:w="1986" w:type="dxa"/>
            <w:tcBorders>
              <w:top w:val="single" w:color="000000" w:sz="6" w:space="0"/>
            </w:tcBorders>
          </w:tcPr>
          <w:p>
            <w:pPr>
              <w:pStyle w:val="TableParagraph"/>
              <w:rPr>
                <w:rFonts w:ascii="Times New Roman"/>
                <w:sz w:val="18"/>
              </w:rPr>
            </w:pPr>
          </w:p>
        </w:tc>
        <w:tc>
          <w:tcPr>
            <w:tcW w:w="1259" w:type="dxa"/>
            <w:tcBorders>
              <w:top w:val="single" w:color="000000" w:sz="6" w:space="0"/>
            </w:tcBorders>
          </w:tcPr>
          <w:p>
            <w:pPr>
              <w:pStyle w:val="TableParagraph"/>
              <w:rPr>
                <w:rFonts w:ascii="Times New Roman"/>
                <w:sz w:val="18"/>
              </w:rPr>
            </w:pPr>
          </w:p>
        </w:tc>
      </w:tr>
      <w:tr>
        <w:trPr>
          <w:trHeight w:val="326" w:hRule="atLeast"/>
        </w:trPr>
        <w:tc>
          <w:tcPr>
            <w:tcW w:w="5513" w:type="dxa"/>
            <w:gridSpan w:val="2"/>
          </w:tcPr>
          <w:p>
            <w:pPr>
              <w:pStyle w:val="TableParagraph"/>
              <w:spacing w:before="38"/>
              <w:ind w:left="525"/>
              <w:rPr>
                <w:sz w:val="20"/>
              </w:rPr>
            </w:pPr>
            <w:r>
              <w:rPr>
                <w:color w:val="0F0F0F"/>
                <w:spacing w:val="-2"/>
                <w:w w:val="105"/>
                <w:sz w:val="20"/>
              </w:rPr>
              <w:t>DLUHC</w:t>
            </w:r>
          </w:p>
        </w:tc>
        <w:tc>
          <w:tcPr>
            <w:tcW w:w="1666" w:type="dxa"/>
          </w:tcPr>
          <w:p>
            <w:pPr>
              <w:pStyle w:val="TableParagraph"/>
              <w:spacing w:before="71"/>
              <w:ind w:right="107"/>
              <w:jc w:val="right"/>
              <w:rPr>
                <w:sz w:val="20"/>
              </w:rPr>
            </w:pPr>
            <w:r>
              <w:rPr>
                <w:color w:val="0F0F0F"/>
                <w:spacing w:val="-2"/>
                <w:w w:val="105"/>
                <w:sz w:val="20"/>
              </w:rPr>
              <w:t>6,351</w:t>
            </w:r>
          </w:p>
        </w:tc>
        <w:tc>
          <w:tcPr>
            <w:tcW w:w="1986" w:type="dxa"/>
          </w:tcPr>
          <w:p>
            <w:pPr>
              <w:pStyle w:val="TableParagraph"/>
              <w:rPr>
                <w:rFonts w:ascii="Times New Roman"/>
                <w:sz w:val="18"/>
              </w:rPr>
            </w:pPr>
          </w:p>
        </w:tc>
        <w:tc>
          <w:tcPr>
            <w:tcW w:w="1259" w:type="dxa"/>
          </w:tcPr>
          <w:p>
            <w:pPr>
              <w:pStyle w:val="TableParagraph"/>
              <w:spacing w:before="71"/>
              <w:ind w:right="54"/>
              <w:jc w:val="right"/>
              <w:rPr>
                <w:sz w:val="20"/>
              </w:rPr>
            </w:pPr>
            <w:r>
              <w:rPr>
                <w:color w:val="0F0F0F"/>
                <w:spacing w:val="-2"/>
                <w:w w:val="105"/>
                <w:sz w:val="20"/>
              </w:rPr>
              <w:t>6,351</w:t>
            </w:r>
          </w:p>
        </w:tc>
      </w:tr>
      <w:tr>
        <w:trPr>
          <w:trHeight w:val="312" w:hRule="atLeast"/>
        </w:trPr>
        <w:tc>
          <w:tcPr>
            <w:tcW w:w="5513" w:type="dxa"/>
            <w:gridSpan w:val="2"/>
          </w:tcPr>
          <w:p>
            <w:pPr>
              <w:pStyle w:val="TableParagraph"/>
              <w:spacing w:before="18"/>
              <w:ind w:left="519"/>
              <w:rPr>
                <w:sz w:val="20"/>
              </w:rPr>
            </w:pPr>
            <w:r>
              <w:rPr>
                <w:color w:val="0F0F0F"/>
                <w:w w:val="105"/>
                <w:sz w:val="20"/>
              </w:rPr>
              <w:t>Hertsmere</w:t>
            </w:r>
            <w:r>
              <w:rPr>
                <w:color w:val="0F0F0F"/>
                <w:spacing w:val="-10"/>
                <w:w w:val="105"/>
                <w:sz w:val="20"/>
              </w:rPr>
              <w:t> </w:t>
            </w:r>
            <w:r>
              <w:rPr>
                <w:color w:val="0F0F0F"/>
                <w:w w:val="105"/>
                <w:sz w:val="20"/>
              </w:rPr>
              <w:t>Borough</w:t>
            </w:r>
            <w:r>
              <w:rPr>
                <w:color w:val="0F0F0F"/>
                <w:spacing w:val="-3"/>
                <w:w w:val="105"/>
                <w:sz w:val="20"/>
              </w:rPr>
              <w:t> </w:t>
            </w:r>
            <w:r>
              <w:rPr>
                <w:color w:val="0F0F0F"/>
                <w:spacing w:val="-2"/>
                <w:w w:val="105"/>
                <w:sz w:val="20"/>
              </w:rPr>
              <w:t>Council</w:t>
            </w:r>
          </w:p>
        </w:tc>
        <w:tc>
          <w:tcPr>
            <w:tcW w:w="1666" w:type="dxa"/>
          </w:tcPr>
          <w:p>
            <w:pPr>
              <w:pStyle w:val="TableParagraph"/>
              <w:spacing w:before="57"/>
              <w:ind w:right="98"/>
              <w:jc w:val="right"/>
              <w:rPr>
                <w:sz w:val="20"/>
              </w:rPr>
            </w:pPr>
            <w:r>
              <w:rPr>
                <w:color w:val="0F0F0F"/>
                <w:spacing w:val="-2"/>
                <w:w w:val="105"/>
                <w:sz w:val="20"/>
              </w:rPr>
              <w:t>5,080</w:t>
            </w:r>
          </w:p>
        </w:tc>
        <w:tc>
          <w:tcPr>
            <w:tcW w:w="1986" w:type="dxa"/>
          </w:tcPr>
          <w:p>
            <w:pPr>
              <w:pStyle w:val="TableParagraph"/>
              <w:spacing w:before="52"/>
              <w:ind w:right="306"/>
              <w:jc w:val="right"/>
              <w:rPr>
                <w:sz w:val="20"/>
              </w:rPr>
            </w:pPr>
            <w:r>
              <w:rPr>
                <w:color w:val="0F0F0F"/>
                <w:spacing w:val="-2"/>
                <w:w w:val="105"/>
                <w:sz w:val="20"/>
              </w:rPr>
              <w:t>(169)</w:t>
            </w:r>
          </w:p>
        </w:tc>
        <w:tc>
          <w:tcPr>
            <w:tcW w:w="1259" w:type="dxa"/>
          </w:tcPr>
          <w:p>
            <w:pPr>
              <w:pStyle w:val="TableParagraph"/>
              <w:spacing w:before="57"/>
              <w:ind w:right="54"/>
              <w:jc w:val="right"/>
              <w:rPr>
                <w:sz w:val="20"/>
              </w:rPr>
            </w:pPr>
            <w:r>
              <w:rPr>
                <w:color w:val="0F0F0F"/>
                <w:spacing w:val="-2"/>
                <w:w w:val="105"/>
                <w:sz w:val="20"/>
              </w:rPr>
              <w:t>4,911</w:t>
            </w:r>
          </w:p>
        </w:tc>
      </w:tr>
      <w:tr>
        <w:trPr>
          <w:trHeight w:val="307" w:hRule="atLeast"/>
        </w:trPr>
        <w:tc>
          <w:tcPr>
            <w:tcW w:w="5513" w:type="dxa"/>
            <w:gridSpan w:val="2"/>
          </w:tcPr>
          <w:p>
            <w:pPr>
              <w:pStyle w:val="TableParagraph"/>
              <w:spacing w:before="18"/>
              <w:ind w:left="519"/>
              <w:rPr>
                <w:sz w:val="20"/>
              </w:rPr>
            </w:pPr>
            <w:r>
              <w:rPr>
                <w:color w:val="0F0F0F"/>
                <w:w w:val="105"/>
                <w:sz w:val="20"/>
              </w:rPr>
              <w:t>Hertfordshire</w:t>
            </w:r>
            <w:r>
              <w:rPr>
                <w:color w:val="0F0F0F"/>
                <w:spacing w:val="-3"/>
                <w:w w:val="105"/>
                <w:sz w:val="20"/>
              </w:rPr>
              <w:t> </w:t>
            </w:r>
            <w:r>
              <w:rPr>
                <w:color w:val="0F0F0F"/>
                <w:w w:val="105"/>
                <w:sz w:val="20"/>
              </w:rPr>
              <w:t>County</w:t>
            </w:r>
            <w:r>
              <w:rPr>
                <w:color w:val="0F0F0F"/>
                <w:spacing w:val="-12"/>
                <w:w w:val="105"/>
                <w:sz w:val="20"/>
              </w:rPr>
              <w:t> </w:t>
            </w:r>
            <w:r>
              <w:rPr>
                <w:color w:val="0F0F0F"/>
                <w:spacing w:val="-2"/>
                <w:w w:val="105"/>
                <w:sz w:val="20"/>
              </w:rPr>
              <w:t>Council</w:t>
            </w:r>
          </w:p>
        </w:tc>
        <w:tc>
          <w:tcPr>
            <w:tcW w:w="1666" w:type="dxa"/>
          </w:tcPr>
          <w:p>
            <w:pPr>
              <w:pStyle w:val="TableParagraph"/>
              <w:spacing w:before="52"/>
              <w:ind w:right="102"/>
              <w:jc w:val="right"/>
              <w:rPr>
                <w:sz w:val="20"/>
              </w:rPr>
            </w:pPr>
            <w:r>
              <w:rPr>
                <w:color w:val="0F0F0F"/>
                <w:spacing w:val="-2"/>
                <w:w w:val="105"/>
                <w:sz w:val="20"/>
              </w:rPr>
              <w:t>1,270</w:t>
            </w:r>
          </w:p>
        </w:tc>
        <w:tc>
          <w:tcPr>
            <w:tcW w:w="1986" w:type="dxa"/>
          </w:tcPr>
          <w:p>
            <w:pPr>
              <w:pStyle w:val="TableParagraph"/>
              <w:spacing w:before="52"/>
              <w:ind w:right="310"/>
              <w:jc w:val="right"/>
              <w:rPr>
                <w:sz w:val="20"/>
              </w:rPr>
            </w:pPr>
            <w:r>
              <w:rPr>
                <w:color w:val="0F0F0F"/>
                <w:spacing w:val="-2"/>
                <w:w w:val="105"/>
                <w:sz w:val="20"/>
              </w:rPr>
              <w:t>(1,152)</w:t>
            </w:r>
          </w:p>
        </w:tc>
        <w:tc>
          <w:tcPr>
            <w:tcW w:w="1259" w:type="dxa"/>
          </w:tcPr>
          <w:p>
            <w:pPr>
              <w:pStyle w:val="TableParagraph"/>
              <w:spacing w:before="52"/>
              <w:ind w:right="43"/>
              <w:jc w:val="right"/>
              <w:rPr>
                <w:sz w:val="20"/>
              </w:rPr>
            </w:pPr>
            <w:r>
              <w:rPr>
                <w:color w:val="0F0F0F"/>
                <w:spacing w:val="-5"/>
                <w:w w:val="105"/>
                <w:sz w:val="20"/>
              </w:rPr>
              <w:t>118</w:t>
            </w:r>
          </w:p>
        </w:tc>
      </w:tr>
      <w:tr>
        <w:trPr>
          <w:trHeight w:val="338" w:hRule="atLeast"/>
        </w:trPr>
        <w:tc>
          <w:tcPr>
            <w:tcW w:w="5513" w:type="dxa"/>
            <w:gridSpan w:val="2"/>
          </w:tcPr>
          <w:p>
            <w:pPr>
              <w:pStyle w:val="TableParagraph"/>
              <w:spacing w:before="18"/>
              <w:ind w:left="519"/>
              <w:rPr>
                <w:sz w:val="20"/>
              </w:rPr>
            </w:pPr>
            <w:r>
              <w:rPr>
                <w:color w:val="0F0F0F"/>
                <w:w w:val="105"/>
                <w:sz w:val="20"/>
              </w:rPr>
              <w:t>Hertfordshire</w:t>
            </w:r>
            <w:r>
              <w:rPr>
                <w:color w:val="0F0F0F"/>
                <w:spacing w:val="1"/>
                <w:w w:val="105"/>
                <w:sz w:val="20"/>
              </w:rPr>
              <w:t> </w:t>
            </w:r>
            <w:r>
              <w:rPr>
                <w:color w:val="0F0F0F"/>
                <w:w w:val="105"/>
                <w:sz w:val="20"/>
              </w:rPr>
              <w:t>Police</w:t>
            </w:r>
            <w:r>
              <w:rPr>
                <w:color w:val="0F0F0F"/>
                <w:spacing w:val="-8"/>
                <w:w w:val="105"/>
                <w:sz w:val="20"/>
              </w:rPr>
              <w:t> </w:t>
            </w:r>
            <w:r>
              <w:rPr>
                <w:color w:val="0F0F0F"/>
                <w:w w:val="105"/>
                <w:sz w:val="20"/>
              </w:rPr>
              <w:t>&amp;</w:t>
            </w:r>
            <w:r>
              <w:rPr>
                <w:color w:val="0F0F0F"/>
                <w:spacing w:val="-13"/>
                <w:w w:val="105"/>
                <w:sz w:val="20"/>
              </w:rPr>
              <w:t> </w:t>
            </w:r>
            <w:r>
              <w:rPr>
                <w:color w:val="0F0F0F"/>
                <w:w w:val="105"/>
                <w:sz w:val="20"/>
              </w:rPr>
              <w:t>Crime</w:t>
            </w:r>
            <w:r>
              <w:rPr>
                <w:color w:val="0F0F0F"/>
                <w:spacing w:val="-3"/>
                <w:w w:val="105"/>
                <w:sz w:val="20"/>
              </w:rPr>
              <w:t> </w:t>
            </w:r>
            <w:r>
              <w:rPr>
                <w:color w:val="0F0F0F"/>
                <w:spacing w:val="-2"/>
                <w:w w:val="105"/>
                <w:sz w:val="20"/>
              </w:rPr>
              <w:t>Commissioner</w:t>
            </w:r>
          </w:p>
        </w:tc>
        <w:tc>
          <w:tcPr>
            <w:tcW w:w="1666" w:type="dxa"/>
            <w:tcBorders>
              <w:bottom w:val="single" w:color="000000" w:sz="2" w:space="0"/>
            </w:tcBorders>
          </w:tcPr>
          <w:p>
            <w:pPr>
              <w:pStyle w:val="TableParagraph"/>
              <w:rPr>
                <w:rFonts w:ascii="Times New Roman"/>
                <w:sz w:val="18"/>
              </w:rPr>
            </w:pPr>
          </w:p>
        </w:tc>
        <w:tc>
          <w:tcPr>
            <w:tcW w:w="1986" w:type="dxa"/>
            <w:tcBorders>
              <w:bottom w:val="single" w:color="000000" w:sz="2" w:space="0"/>
            </w:tcBorders>
          </w:tcPr>
          <w:p>
            <w:pPr>
              <w:pStyle w:val="TableParagraph"/>
              <w:spacing w:before="57"/>
              <w:ind w:right="302"/>
              <w:jc w:val="right"/>
              <w:rPr>
                <w:sz w:val="20"/>
              </w:rPr>
            </w:pPr>
            <w:r>
              <w:rPr>
                <w:color w:val="0F0F0F"/>
                <w:spacing w:val="-2"/>
                <w:w w:val="105"/>
                <w:sz w:val="20"/>
              </w:rPr>
              <w:t>(168}</w:t>
            </w:r>
          </w:p>
        </w:tc>
        <w:tc>
          <w:tcPr>
            <w:tcW w:w="1259" w:type="dxa"/>
            <w:tcBorders>
              <w:bottom w:val="single" w:color="000000" w:sz="2" w:space="0"/>
            </w:tcBorders>
          </w:tcPr>
          <w:p>
            <w:pPr>
              <w:pStyle w:val="TableParagraph"/>
              <w:spacing w:before="62"/>
              <w:ind w:right="54"/>
              <w:jc w:val="right"/>
              <w:rPr>
                <w:sz w:val="20"/>
              </w:rPr>
            </w:pPr>
            <w:r>
              <w:rPr>
                <w:color w:val="0F0F0F"/>
                <w:spacing w:val="-2"/>
                <w:w w:val="105"/>
                <w:sz w:val="20"/>
              </w:rPr>
              <w:t>{168}</w:t>
            </w:r>
          </w:p>
        </w:tc>
      </w:tr>
      <w:tr>
        <w:trPr>
          <w:trHeight w:val="239" w:hRule="atLeast"/>
        </w:trPr>
        <w:tc>
          <w:tcPr>
            <w:tcW w:w="5513" w:type="dxa"/>
            <w:gridSpan w:val="2"/>
          </w:tcPr>
          <w:p>
            <w:pPr>
              <w:pStyle w:val="TableParagraph"/>
              <w:rPr>
                <w:rFonts w:ascii="Times New Roman"/>
                <w:sz w:val="16"/>
              </w:rPr>
            </w:pPr>
          </w:p>
        </w:tc>
        <w:tc>
          <w:tcPr>
            <w:tcW w:w="1666" w:type="dxa"/>
            <w:tcBorders>
              <w:top w:val="single" w:color="000000" w:sz="2" w:space="0"/>
              <w:bottom w:val="single" w:color="000000" w:sz="2" w:space="0"/>
            </w:tcBorders>
          </w:tcPr>
          <w:p>
            <w:pPr>
              <w:pStyle w:val="TableParagraph"/>
              <w:spacing w:before="35" w:line="184" w:lineRule="exact"/>
              <w:ind w:right="104"/>
              <w:jc w:val="right"/>
              <w:rPr>
                <w:b/>
                <w:sz w:val="20"/>
              </w:rPr>
            </w:pPr>
            <w:r>
              <w:rPr>
                <w:b/>
                <w:color w:val="0F0F0F"/>
                <w:spacing w:val="-2"/>
                <w:w w:val="105"/>
                <w:sz w:val="20"/>
              </w:rPr>
              <w:t>12,701</w:t>
            </w:r>
          </w:p>
        </w:tc>
        <w:tc>
          <w:tcPr>
            <w:tcW w:w="1986" w:type="dxa"/>
            <w:tcBorders>
              <w:top w:val="single" w:color="000000" w:sz="2" w:space="0"/>
              <w:bottom w:val="single" w:color="000000" w:sz="6" w:space="0"/>
            </w:tcBorders>
          </w:tcPr>
          <w:p>
            <w:pPr>
              <w:pStyle w:val="TableParagraph"/>
              <w:spacing w:before="35" w:line="184" w:lineRule="exact"/>
              <w:ind w:right="371"/>
              <w:jc w:val="right"/>
              <w:rPr>
                <w:b/>
                <w:sz w:val="20"/>
              </w:rPr>
            </w:pPr>
            <w:r>
              <w:rPr>
                <w:b/>
                <w:color w:val="0F0F0F"/>
                <w:spacing w:val="-2"/>
                <w:w w:val="105"/>
                <w:sz w:val="20"/>
              </w:rPr>
              <w:t>1,489</w:t>
            </w:r>
          </w:p>
        </w:tc>
        <w:tc>
          <w:tcPr>
            <w:tcW w:w="1259" w:type="dxa"/>
            <w:tcBorders>
              <w:top w:val="single" w:color="000000" w:sz="2" w:space="0"/>
              <w:bottom w:val="single" w:color="000000" w:sz="6" w:space="0"/>
            </w:tcBorders>
          </w:tcPr>
          <w:p>
            <w:pPr>
              <w:pStyle w:val="TableParagraph"/>
              <w:spacing w:before="35" w:line="184" w:lineRule="exact"/>
              <w:ind w:right="51"/>
              <w:jc w:val="right"/>
              <w:rPr>
                <w:b/>
                <w:sz w:val="20"/>
              </w:rPr>
            </w:pPr>
            <w:r>
              <w:rPr>
                <w:b/>
                <w:color w:val="0F0F0F"/>
                <w:spacing w:val="-2"/>
                <w:w w:val="105"/>
                <w:sz w:val="20"/>
              </w:rPr>
              <w:t>11,212</w:t>
            </w:r>
          </w:p>
        </w:tc>
      </w:tr>
      <w:tr>
        <w:trPr>
          <w:trHeight w:val="306" w:hRule="atLeast"/>
        </w:trPr>
        <w:tc>
          <w:tcPr>
            <w:tcW w:w="5513" w:type="dxa"/>
            <w:gridSpan w:val="2"/>
          </w:tcPr>
          <w:p>
            <w:pPr>
              <w:pStyle w:val="TableParagraph"/>
              <w:rPr>
                <w:rFonts w:ascii="Times New Roman"/>
                <w:sz w:val="18"/>
              </w:rPr>
            </w:pPr>
          </w:p>
        </w:tc>
        <w:tc>
          <w:tcPr>
            <w:tcW w:w="1666" w:type="dxa"/>
            <w:tcBorders>
              <w:top w:val="single" w:color="000000" w:sz="2" w:space="0"/>
              <w:bottom w:val="single" w:color="000000" w:sz="2" w:space="0"/>
            </w:tcBorders>
          </w:tcPr>
          <w:p>
            <w:pPr>
              <w:pStyle w:val="TableParagraph"/>
              <w:rPr>
                <w:rFonts w:ascii="Times New Roman"/>
                <w:sz w:val="18"/>
              </w:rPr>
            </w:pPr>
          </w:p>
        </w:tc>
        <w:tc>
          <w:tcPr>
            <w:tcW w:w="1986" w:type="dxa"/>
            <w:tcBorders>
              <w:top w:val="single" w:color="000000" w:sz="6" w:space="0"/>
              <w:bottom w:val="single" w:color="000000" w:sz="6" w:space="0"/>
            </w:tcBorders>
          </w:tcPr>
          <w:p>
            <w:pPr>
              <w:pStyle w:val="TableParagraph"/>
              <w:rPr>
                <w:rFonts w:ascii="Times New Roman"/>
                <w:sz w:val="18"/>
              </w:rPr>
            </w:pPr>
          </w:p>
        </w:tc>
        <w:tc>
          <w:tcPr>
            <w:tcW w:w="1259" w:type="dxa"/>
            <w:tcBorders>
              <w:top w:val="single" w:color="000000" w:sz="6" w:space="0"/>
              <w:bottom w:val="single" w:color="000000" w:sz="6" w:space="0"/>
            </w:tcBorders>
          </w:tcPr>
          <w:p>
            <w:pPr>
              <w:pStyle w:val="TableParagraph"/>
              <w:rPr>
                <w:rFonts w:ascii="Times New Roman"/>
                <w:sz w:val="18"/>
              </w:rPr>
            </w:pPr>
          </w:p>
        </w:tc>
      </w:tr>
      <w:tr>
        <w:trPr>
          <w:trHeight w:val="511" w:hRule="atLeast"/>
        </w:trPr>
        <w:tc>
          <w:tcPr>
            <w:tcW w:w="5513" w:type="dxa"/>
            <w:gridSpan w:val="2"/>
          </w:tcPr>
          <w:p>
            <w:pPr>
              <w:pStyle w:val="TableParagraph"/>
              <w:spacing w:before="59"/>
              <w:ind w:left="235"/>
              <w:rPr>
                <w:b/>
                <w:sz w:val="20"/>
              </w:rPr>
            </w:pPr>
            <w:r>
              <w:rPr>
                <w:b/>
                <w:color w:val="0F0F0F"/>
                <w:w w:val="105"/>
                <w:sz w:val="20"/>
              </w:rPr>
              <w:t>Surplus</w:t>
            </w:r>
            <w:r>
              <w:rPr>
                <w:b/>
                <w:color w:val="0F0F0F"/>
                <w:spacing w:val="-5"/>
                <w:w w:val="105"/>
                <w:sz w:val="20"/>
              </w:rPr>
              <w:t> </w:t>
            </w:r>
            <w:r>
              <w:rPr>
                <w:i/>
                <w:color w:val="0F0F0F"/>
                <w:w w:val="105"/>
                <w:sz w:val="20"/>
              </w:rPr>
              <w:t>I</w:t>
            </w:r>
            <w:r>
              <w:rPr>
                <w:i/>
                <w:color w:val="0F0F0F"/>
                <w:spacing w:val="-3"/>
                <w:w w:val="105"/>
                <w:sz w:val="20"/>
              </w:rPr>
              <w:t> </w:t>
            </w:r>
            <w:r>
              <w:rPr>
                <w:b/>
                <w:color w:val="0F0F0F"/>
                <w:w w:val="105"/>
                <w:sz w:val="20"/>
              </w:rPr>
              <w:t>Deficit</w:t>
            </w:r>
            <w:r>
              <w:rPr>
                <w:b/>
                <w:color w:val="0F0F0F"/>
                <w:spacing w:val="-6"/>
                <w:w w:val="105"/>
                <w:sz w:val="20"/>
              </w:rPr>
              <w:t> </w:t>
            </w:r>
            <w:r>
              <w:rPr>
                <w:color w:val="0F0F0F"/>
                <w:w w:val="105"/>
                <w:sz w:val="20"/>
              </w:rPr>
              <w:t>(-}</w:t>
            </w:r>
            <w:r>
              <w:rPr>
                <w:color w:val="0F0F0F"/>
                <w:spacing w:val="-4"/>
                <w:w w:val="105"/>
                <w:sz w:val="20"/>
              </w:rPr>
              <w:t> </w:t>
            </w:r>
            <w:r>
              <w:rPr>
                <w:b/>
                <w:color w:val="0F0F0F"/>
                <w:w w:val="105"/>
                <w:sz w:val="20"/>
              </w:rPr>
              <w:t>arising</w:t>
            </w:r>
            <w:r>
              <w:rPr>
                <w:b/>
                <w:color w:val="0F0F0F"/>
                <w:spacing w:val="-1"/>
                <w:w w:val="105"/>
                <w:sz w:val="20"/>
              </w:rPr>
              <w:t> </w:t>
            </w:r>
            <w:r>
              <w:rPr>
                <w:b/>
                <w:color w:val="0F0F0F"/>
                <w:w w:val="105"/>
                <w:sz w:val="20"/>
              </w:rPr>
              <w:t>during</w:t>
            </w:r>
            <w:r>
              <w:rPr>
                <w:b/>
                <w:color w:val="0F0F0F"/>
                <w:spacing w:val="-1"/>
                <w:w w:val="105"/>
                <w:sz w:val="20"/>
              </w:rPr>
              <w:t> </w:t>
            </w:r>
            <w:r>
              <w:rPr>
                <w:b/>
                <w:color w:val="0F0F0F"/>
                <w:w w:val="105"/>
                <w:sz w:val="20"/>
              </w:rPr>
              <w:t>the</w:t>
            </w:r>
            <w:r>
              <w:rPr>
                <w:b/>
                <w:color w:val="0F0F0F"/>
                <w:spacing w:val="-4"/>
                <w:w w:val="105"/>
                <w:sz w:val="20"/>
              </w:rPr>
              <w:t> year</w:t>
            </w:r>
          </w:p>
        </w:tc>
        <w:tc>
          <w:tcPr>
            <w:tcW w:w="1666" w:type="dxa"/>
            <w:tcBorders>
              <w:top w:val="single" w:color="000000" w:sz="2" w:space="0"/>
            </w:tcBorders>
          </w:tcPr>
          <w:p>
            <w:pPr>
              <w:pStyle w:val="TableParagraph"/>
              <w:spacing w:before="103"/>
              <w:ind w:right="106"/>
              <w:jc w:val="right"/>
              <w:rPr>
                <w:b/>
                <w:sz w:val="20"/>
              </w:rPr>
            </w:pPr>
            <w:r>
              <w:rPr>
                <w:b/>
                <w:color w:val="0F0F0F"/>
                <w:spacing w:val="-2"/>
                <w:w w:val="105"/>
                <w:sz w:val="20"/>
              </w:rPr>
              <w:t>17,873</w:t>
            </w:r>
          </w:p>
        </w:tc>
        <w:tc>
          <w:tcPr>
            <w:tcW w:w="1986" w:type="dxa"/>
            <w:tcBorders>
              <w:top w:val="single" w:color="000000" w:sz="6" w:space="0"/>
            </w:tcBorders>
          </w:tcPr>
          <w:p>
            <w:pPr>
              <w:pStyle w:val="TableParagraph"/>
              <w:spacing w:before="98"/>
              <w:ind w:right="296"/>
              <w:jc w:val="right"/>
              <w:rPr>
                <w:b/>
                <w:sz w:val="20"/>
              </w:rPr>
            </w:pPr>
            <w:r>
              <w:rPr>
                <w:b/>
                <w:color w:val="0F0F0F"/>
                <w:spacing w:val="-2"/>
                <w:w w:val="105"/>
                <w:sz w:val="20"/>
              </w:rPr>
              <w:t>(1,584)</w:t>
            </w:r>
          </w:p>
        </w:tc>
        <w:tc>
          <w:tcPr>
            <w:tcW w:w="1259" w:type="dxa"/>
            <w:tcBorders>
              <w:top w:val="single" w:color="000000" w:sz="6" w:space="0"/>
            </w:tcBorders>
          </w:tcPr>
          <w:p>
            <w:pPr>
              <w:pStyle w:val="TableParagraph"/>
              <w:spacing w:before="103"/>
              <w:ind w:right="46"/>
              <w:jc w:val="right"/>
              <w:rPr>
                <w:b/>
                <w:sz w:val="20"/>
              </w:rPr>
            </w:pPr>
            <w:r>
              <w:rPr>
                <w:b/>
                <w:color w:val="0F0F0F"/>
                <w:spacing w:val="-2"/>
                <w:w w:val="105"/>
                <w:sz w:val="20"/>
              </w:rPr>
              <w:t>16,289</w:t>
            </w:r>
          </w:p>
        </w:tc>
      </w:tr>
      <w:tr>
        <w:trPr>
          <w:trHeight w:val="436" w:hRule="atLeast"/>
        </w:trPr>
        <w:tc>
          <w:tcPr>
            <w:tcW w:w="5513" w:type="dxa"/>
            <w:gridSpan w:val="2"/>
          </w:tcPr>
          <w:p>
            <w:pPr>
              <w:pStyle w:val="TableParagraph"/>
              <w:spacing w:before="172"/>
              <w:ind w:left="235"/>
              <w:rPr>
                <w:b/>
                <w:sz w:val="20"/>
              </w:rPr>
            </w:pPr>
            <w:r>
              <w:rPr>
                <w:b/>
                <w:color w:val="0F0F0F"/>
                <w:w w:val="105"/>
                <w:sz w:val="20"/>
              </w:rPr>
              <w:t>Surplus/</w:t>
            </w:r>
            <w:r>
              <w:rPr>
                <w:b/>
                <w:color w:val="0F0F0F"/>
                <w:spacing w:val="20"/>
                <w:w w:val="105"/>
                <w:sz w:val="20"/>
              </w:rPr>
              <w:t> </w:t>
            </w:r>
            <w:r>
              <w:rPr>
                <w:b/>
                <w:color w:val="0F0F0F"/>
                <w:w w:val="105"/>
                <w:sz w:val="20"/>
              </w:rPr>
              <w:t>Deficit(-}</w:t>
            </w:r>
            <w:r>
              <w:rPr>
                <w:b/>
                <w:color w:val="0F0F0F"/>
                <w:spacing w:val="25"/>
                <w:w w:val="105"/>
                <w:sz w:val="20"/>
              </w:rPr>
              <w:t> </w:t>
            </w:r>
            <w:r>
              <w:rPr>
                <w:b/>
                <w:color w:val="0F0F0F"/>
                <w:w w:val="105"/>
                <w:sz w:val="20"/>
              </w:rPr>
              <w:t>brought</w:t>
            </w:r>
            <w:r>
              <w:rPr>
                <w:b/>
                <w:color w:val="0F0F0F"/>
                <w:spacing w:val="10"/>
                <w:w w:val="105"/>
                <w:sz w:val="20"/>
              </w:rPr>
              <w:t> </w:t>
            </w:r>
            <w:r>
              <w:rPr>
                <w:b/>
                <w:color w:val="0F0F0F"/>
                <w:w w:val="105"/>
                <w:sz w:val="20"/>
              </w:rPr>
              <w:t>forward</w:t>
            </w:r>
            <w:r>
              <w:rPr>
                <w:b/>
                <w:color w:val="0F0F0F"/>
                <w:spacing w:val="25"/>
                <w:w w:val="105"/>
                <w:sz w:val="20"/>
              </w:rPr>
              <w:t> </w:t>
            </w:r>
            <w:r>
              <w:rPr>
                <w:b/>
                <w:color w:val="0F0F0F"/>
                <w:w w:val="105"/>
                <w:sz w:val="20"/>
              </w:rPr>
              <w:t>1st</w:t>
            </w:r>
            <w:r>
              <w:rPr>
                <w:b/>
                <w:color w:val="0F0F0F"/>
                <w:spacing w:val="7"/>
                <w:w w:val="105"/>
                <w:sz w:val="20"/>
              </w:rPr>
              <w:t> </w:t>
            </w:r>
            <w:r>
              <w:rPr>
                <w:b/>
                <w:color w:val="0F0F0F"/>
                <w:spacing w:val="-2"/>
                <w:w w:val="105"/>
                <w:sz w:val="20"/>
              </w:rPr>
              <w:t>April</w:t>
            </w:r>
          </w:p>
        </w:tc>
        <w:tc>
          <w:tcPr>
            <w:tcW w:w="1666" w:type="dxa"/>
          </w:tcPr>
          <w:p>
            <w:pPr>
              <w:pStyle w:val="TableParagraph"/>
              <w:spacing w:before="206" w:line="210" w:lineRule="exact"/>
              <w:ind w:right="106"/>
              <w:jc w:val="right"/>
              <w:rPr>
                <w:b/>
                <w:sz w:val="20"/>
              </w:rPr>
            </w:pPr>
            <w:r>
              <w:rPr>
                <w:b/>
                <w:color w:val="0F0F0F"/>
                <w:spacing w:val="-2"/>
                <w:w w:val="105"/>
                <w:sz w:val="20"/>
              </w:rPr>
              <w:t>(13,391}</w:t>
            </w:r>
          </w:p>
        </w:tc>
        <w:tc>
          <w:tcPr>
            <w:tcW w:w="1986" w:type="dxa"/>
          </w:tcPr>
          <w:p>
            <w:pPr>
              <w:pStyle w:val="TableParagraph"/>
              <w:spacing w:before="206" w:line="210" w:lineRule="exact"/>
              <w:ind w:right="299"/>
              <w:jc w:val="right"/>
              <w:rPr>
                <w:b/>
                <w:sz w:val="20"/>
              </w:rPr>
            </w:pPr>
            <w:r>
              <w:rPr>
                <w:b/>
                <w:color w:val="0F0F0F"/>
                <w:spacing w:val="-2"/>
                <w:w w:val="105"/>
                <w:sz w:val="20"/>
              </w:rPr>
              <w:t>1,965</w:t>
            </w:r>
          </w:p>
        </w:tc>
        <w:tc>
          <w:tcPr>
            <w:tcW w:w="1259" w:type="dxa"/>
          </w:tcPr>
          <w:p>
            <w:pPr>
              <w:pStyle w:val="TableParagraph"/>
              <w:spacing w:before="206" w:line="210" w:lineRule="exact"/>
              <w:ind w:right="45"/>
              <w:jc w:val="right"/>
              <w:rPr>
                <w:b/>
                <w:sz w:val="20"/>
              </w:rPr>
            </w:pPr>
            <w:r>
              <w:rPr>
                <w:b/>
                <w:color w:val="0F0F0F"/>
                <w:spacing w:val="-2"/>
                <w:w w:val="105"/>
                <w:sz w:val="20"/>
              </w:rPr>
              <w:t>(11,426)</w:t>
            </w:r>
          </w:p>
        </w:tc>
      </w:tr>
    </w:tbl>
    <w:p>
      <w:pPr>
        <w:pStyle w:val="BodyText"/>
        <w:spacing w:before="55"/>
        <w:rPr>
          <w:b/>
          <w:sz w:val="20"/>
        </w:rPr>
      </w:pPr>
      <w:r>
        <w:rPr/>
        <ve:AlternateContent>
          <ve:Choice Requires="wps">
            <w:drawing>
              <wp:anchor distT="0" distB="0" distL="0" distR="0" simplePos="0" relativeHeight="487728640" behindDoc="1" locked="0" layoutInCell="1" allowOverlap="1">
                <wp:simplePos x="0" y="0"/>
                <wp:positionH relativeFrom="page">
                  <wp:posOffset>4097013</wp:posOffset>
                </wp:positionH>
                <wp:positionV relativeFrom="paragraph">
                  <wp:posOffset>197068</wp:posOffset>
                </wp:positionV>
                <wp:extent cx="3089910" cy="9525"/>
                <wp:effectExtent l="0" t="0" r="0" b="0"/>
                <wp:wrapTopAndBottom/>
                <wp:docPr id="634" name="Group 634"/>
                <wp:cNvGraphicFramePr>
                  <a:graphicFrameLocks/>
                </wp:cNvGraphicFramePr>
                <a:graphic>
                  <a:graphicData uri="http://schemas.microsoft.com/office/word/2010/wordprocessingGroup">
                    <wpg:wgp>
                      <wpg:cNvPr id="634" name="Group 634"/>
                      <wpg:cNvGrpSpPr/>
                      <wpg:grpSpPr>
                        <a:xfrm>
                          <a:off x="0" y="0"/>
                          <a:ext cx="3089910" cy="9525"/>
                          <a:chExt cx="3089910" cy="9525"/>
                        </a:xfrm>
                      </wpg:grpSpPr>
                      <wps:wsp>
                        <wps:cNvPr id="635" name="Graphic 635"/>
                        <wps:cNvSpPr/>
                        <wps:spPr>
                          <a:xfrm>
                            <a:off x="0" y="4577"/>
                            <a:ext cx="1120775" cy="1270"/>
                          </a:xfrm>
                          <a:custGeom>
                            <a:avLst/>
                            <a:gdLst/>
                            <a:ahLst/>
                            <a:cxnLst/>
                            <a:rect l="l" t="t" r="r" b="b"/>
                            <a:pathLst>
                              <a:path w="1120775" h="0">
                                <a:moveTo>
                                  <a:pt x="0" y="0"/>
                                </a:moveTo>
                                <a:lnTo>
                                  <a:pt x="1120420" y="0"/>
                                </a:lnTo>
                              </a:path>
                            </a:pathLst>
                          </a:custGeom>
                          <a:ln w="3051">
                            <a:solidFill>
                              <a:srgbClr val="000000"/>
                            </a:solidFill>
                            <a:prstDash val="solid"/>
                          </a:ln>
                        </wps:spPr>
                        <wps:bodyPr wrap="square" lIns="0" tIns="0" rIns="0" bIns="0" rtlCol="0">
                          <a:prstTxWarp prst="textNoShape">
                            <a:avLst/>
                          </a:prstTxWarp>
                          <a:noAutofit/>
                        </wps:bodyPr>
                      </wps:wsp>
                      <wps:wsp>
                        <wps:cNvPr id="636" name="Graphic 636"/>
                        <wps:cNvSpPr/>
                        <wps:spPr>
                          <a:xfrm>
                            <a:off x="1120420" y="4577"/>
                            <a:ext cx="1191260" cy="1270"/>
                          </a:xfrm>
                          <a:custGeom>
                            <a:avLst/>
                            <a:gdLst/>
                            <a:ahLst/>
                            <a:cxnLst/>
                            <a:rect l="l" t="t" r="r" b="b"/>
                            <a:pathLst>
                              <a:path w="1191260" h="0">
                                <a:moveTo>
                                  <a:pt x="0" y="0"/>
                                </a:moveTo>
                                <a:lnTo>
                                  <a:pt x="1190637" y="0"/>
                                </a:lnTo>
                              </a:path>
                            </a:pathLst>
                          </a:custGeom>
                          <a:ln w="9154">
                            <a:solidFill>
                              <a:srgbClr val="000000"/>
                            </a:solidFill>
                            <a:prstDash val="solid"/>
                          </a:ln>
                        </wps:spPr>
                        <wps:bodyPr wrap="square" lIns="0" tIns="0" rIns="0" bIns="0" rtlCol="0">
                          <a:prstTxWarp prst="textNoShape">
                            <a:avLst/>
                          </a:prstTxWarp>
                          <a:noAutofit/>
                        </wps:bodyPr>
                      </wps:wsp>
                      <wps:wsp>
                        <wps:cNvPr id="637" name="Graphic 637"/>
                        <wps:cNvSpPr/>
                        <wps:spPr>
                          <a:xfrm>
                            <a:off x="2311057" y="4577"/>
                            <a:ext cx="778510" cy="1270"/>
                          </a:xfrm>
                          <a:custGeom>
                            <a:avLst/>
                            <a:gdLst/>
                            <a:ahLst/>
                            <a:cxnLst/>
                            <a:rect l="l" t="t" r="r" b="b"/>
                            <a:pathLst>
                              <a:path w="778510" h="0">
                                <a:moveTo>
                                  <a:pt x="0" y="0"/>
                                </a:moveTo>
                                <a:lnTo>
                                  <a:pt x="778493" y="0"/>
                                </a:lnTo>
                              </a:path>
                            </a:pathLst>
                          </a:custGeom>
                          <a:ln w="3051">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14" style="position:absolute;margin-left:322.599518pt;margin-top:15.517218pt;width:243.3pt;height:.75pt;mso-position-horizontal-relative:page;mso-position-vertical-relative:paragraph;z-index:-15587840;mso-wrap-distance-left:0;mso-wrap-distance-right:0" coordsize="4866,15" coordorigin="6452,310">
                <v:line style="position:absolute" stroked="true" strokecolor="#000000" strokeweight=".240274pt" from="6452,318" to="8216,318">
                  <v:stroke dashstyle="solid"/>
                </v:line>
                <v:line style="position:absolute" stroked="true" strokecolor="#000000" strokeweight=".720821pt" from="8216,318" to="10091,318">
                  <v:stroke dashstyle="solid"/>
                </v:line>
                <v:line style="position:absolute" stroked="true" strokecolor="#000000" strokeweight=".240274pt" from="10091,318" to="11317,318">
                  <v:stroke dashstyle="solid"/>
                </v:line>
                <w10:wrap type="topAndBottom"/>
              </v:group>
            </w:pict>
          </ve:Fallback>
        </ve:AlternateContent>
      </w:r>
    </w:p>
    <w:p>
      <w:pPr>
        <w:tabs>
          <w:tab w:val="left" w:leader="none" w:pos="6692"/>
          <w:tab w:val="left" w:leader="none" w:pos="7491"/>
          <w:tab w:val="left" w:leader="none" w:pos="9458"/>
          <w:tab w:val="left" w:leader="none" w:pos="10794"/>
        </w:tabs>
        <w:spacing w:before="60"/>
        <w:ind w:left="1175" w:right="0" w:firstLine="0"/>
        <w:jc w:val="left"/>
        <w:rPr>
          <w:b/>
          <w:sz w:val="20"/>
        </w:rPr>
      </w:pPr>
      <w:r>
        <w:rPr>
          <w:b/>
          <w:color w:val="0F0F0F"/>
          <w:w w:val="105"/>
          <w:sz w:val="20"/>
        </w:rPr>
        <w:t>Surplus</w:t>
      </w:r>
      <w:r>
        <w:rPr>
          <w:b/>
          <w:color w:val="0F0F0F"/>
          <w:spacing w:val="-2"/>
          <w:w w:val="105"/>
          <w:sz w:val="20"/>
        </w:rPr>
        <w:t> </w:t>
      </w:r>
      <w:r>
        <w:rPr>
          <w:i/>
          <w:color w:val="0F0F0F"/>
          <w:w w:val="105"/>
          <w:sz w:val="20"/>
        </w:rPr>
        <w:t>I </w:t>
      </w:r>
      <w:r>
        <w:rPr>
          <w:b/>
          <w:color w:val="0F0F0F"/>
          <w:w w:val="105"/>
          <w:sz w:val="20"/>
        </w:rPr>
        <w:t>Deficit(-}</w:t>
      </w:r>
      <w:r>
        <w:rPr>
          <w:b/>
          <w:color w:val="0F0F0F"/>
          <w:spacing w:val="8"/>
          <w:w w:val="105"/>
          <w:sz w:val="20"/>
        </w:rPr>
        <w:t> </w:t>
      </w:r>
      <w:r>
        <w:rPr>
          <w:b/>
          <w:color w:val="0F0F0F"/>
          <w:w w:val="105"/>
          <w:sz w:val="20"/>
        </w:rPr>
        <w:t>carried</w:t>
      </w:r>
      <w:r>
        <w:rPr>
          <w:b/>
          <w:color w:val="0F0F0F"/>
          <w:spacing w:val="8"/>
          <w:w w:val="105"/>
          <w:sz w:val="20"/>
        </w:rPr>
        <w:t> </w:t>
      </w:r>
      <w:r>
        <w:rPr>
          <w:b/>
          <w:color w:val="0F0F0F"/>
          <w:w w:val="105"/>
          <w:sz w:val="20"/>
        </w:rPr>
        <w:t>forward</w:t>
      </w:r>
      <w:r>
        <w:rPr>
          <w:b/>
          <w:color w:val="0F0F0F"/>
          <w:spacing w:val="10"/>
          <w:w w:val="105"/>
          <w:sz w:val="20"/>
        </w:rPr>
        <w:t> </w:t>
      </w:r>
      <w:r>
        <w:rPr>
          <w:b/>
          <w:color w:val="0F0F0F"/>
          <w:w w:val="105"/>
          <w:sz w:val="20"/>
        </w:rPr>
        <w:t>31st</w:t>
      </w:r>
      <w:r>
        <w:rPr>
          <w:b/>
          <w:color w:val="0F0F0F"/>
          <w:spacing w:val="-11"/>
          <w:w w:val="105"/>
          <w:sz w:val="20"/>
        </w:rPr>
        <w:t> </w:t>
      </w:r>
      <w:r>
        <w:rPr>
          <w:b/>
          <w:color w:val="0F0F0F"/>
          <w:spacing w:val="-2"/>
          <w:w w:val="105"/>
          <w:sz w:val="20"/>
        </w:rPr>
        <w:t>March</w:t>
      </w:r>
      <w:r>
        <w:rPr>
          <w:b/>
          <w:color w:val="0F0F0F"/>
          <w:sz w:val="20"/>
        </w:rPr>
        <w:tab/>
      </w:r>
      <w:r>
        <w:rPr>
          <w:b/>
          <w:color w:val="0F0F0F"/>
          <w:position w:val="-2"/>
          <w:sz w:val="20"/>
          <w:u w:val="single" w:color="000000"/>
        </w:rPr>
        <w:tab/>
      </w:r>
      <w:r>
        <w:rPr>
          <w:b/>
          <w:color w:val="0F0F0F"/>
          <w:spacing w:val="-2"/>
          <w:w w:val="105"/>
          <w:position w:val="-2"/>
          <w:sz w:val="20"/>
          <w:u w:val="single" w:color="000000"/>
        </w:rPr>
        <w:t>4,482</w:t>
      </w:r>
      <w:r>
        <w:rPr>
          <w:b/>
          <w:color w:val="0F0F0F"/>
          <w:position w:val="-2"/>
          <w:sz w:val="20"/>
          <w:u w:val="single" w:color="000000"/>
        </w:rPr>
        <w:tab/>
      </w:r>
      <w:r>
        <w:rPr>
          <w:b/>
          <w:color w:val="0F0F0F"/>
          <w:spacing w:val="-5"/>
          <w:w w:val="105"/>
          <w:position w:val="-3"/>
          <w:sz w:val="20"/>
          <w:u w:val="single" w:color="000000"/>
        </w:rPr>
        <w:t>381</w:t>
      </w:r>
      <w:r>
        <w:rPr>
          <w:b/>
          <w:color w:val="0F0F0F"/>
          <w:position w:val="-3"/>
          <w:sz w:val="20"/>
          <w:u w:val="single" w:color="000000"/>
        </w:rPr>
        <w:tab/>
      </w:r>
      <w:r>
        <w:rPr>
          <w:b/>
          <w:color w:val="0F0F0F"/>
          <w:spacing w:val="-2"/>
          <w:w w:val="105"/>
          <w:position w:val="-3"/>
          <w:sz w:val="20"/>
          <w:u w:val="single" w:color="000000"/>
        </w:rPr>
        <w:t>4,863</w:t>
      </w:r>
      <w:r>
        <w:rPr>
          <w:b/>
          <w:color w:val="0F0F0F"/>
          <w:spacing w:val="80"/>
          <w:w w:val="105"/>
          <w:position w:val="-3"/>
          <w:sz w:val="20"/>
          <w:u w:val="single" w:color="000000"/>
        </w:rPr>
        <w:t> </w:t>
      </w:r>
    </w:p>
    <w:p>
      <w:pPr>
        <w:pStyle w:val="BodyText"/>
        <w:rPr>
          <w:b/>
          <w:sz w:val="20"/>
        </w:rPr>
      </w:pPr>
    </w:p>
    <w:p>
      <w:pPr>
        <w:pStyle w:val="BodyText"/>
        <w:rPr>
          <w:b/>
          <w:sz w:val="20"/>
        </w:rPr>
      </w:pPr>
    </w:p>
    <w:p>
      <w:pPr>
        <w:pStyle w:val="BodyText"/>
        <w:spacing w:before="15"/>
        <w:rPr>
          <w:b/>
          <w:sz w:val="20"/>
        </w:rPr>
      </w:pPr>
    </w:p>
    <w:p>
      <w:pPr>
        <w:spacing w:before="0"/>
        <w:ind w:left="1176" w:right="0" w:firstLine="0"/>
        <w:jc w:val="left"/>
        <w:rPr>
          <w:i/>
          <w:sz w:val="20"/>
        </w:rPr>
      </w:pPr>
      <w:r>
        <w:rPr/>
        <ve:AlternateContent>
          <ve:Choice Requires="wps">
            <w:drawing>
              <wp:anchor distT="0" distB="0" distL="0" distR="0" simplePos="0" relativeHeight="15870464" behindDoc="0" locked="0" layoutInCell="1" allowOverlap="1">
                <wp:simplePos x="0" y="0"/>
                <wp:positionH relativeFrom="page">
                  <wp:posOffset>4688120</wp:posOffset>
                </wp:positionH>
                <wp:positionV relativeFrom="paragraph">
                  <wp:posOffset>50097</wp:posOffset>
                </wp:positionV>
                <wp:extent cx="2576830" cy="455295"/>
                <wp:effectExtent l="0" t="0" r="0" b="0"/>
                <wp:wrapNone/>
                <wp:docPr id="638" name="Textbox 638"/>
                <wp:cNvGraphicFramePr>
                  <a:graphicFrameLocks/>
                </wp:cNvGraphicFramePr>
                <a:graphic>
                  <a:graphicData uri="http://schemas.microsoft.com/office/word/2010/wordprocessingShape">
                    <wps:wsp>
                      <wps:cNvPr id="638" name="Textbox 638"/>
                      <wps:cNvSpPr txBox="1"/>
                      <wps:spPr>
                        <a:xfrm>
                          <a:off x="0" y="0"/>
                          <a:ext cx="2576830" cy="45529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99"/>
                              <w:gridCol w:w="1569"/>
                              <w:gridCol w:w="1070"/>
                            </w:tblGrid>
                            <w:tr>
                              <w:trPr>
                                <w:trHeight w:val="356" w:hRule="atLeast"/>
                              </w:trPr>
                              <w:tc>
                                <w:tcPr>
                                  <w:tcW w:w="1299" w:type="dxa"/>
                                </w:tcPr>
                                <w:p>
                                  <w:pPr>
                                    <w:pStyle w:val="TableParagraph"/>
                                    <w:spacing w:line="224" w:lineRule="exact"/>
                                    <w:ind w:left="50"/>
                                    <w:rPr>
                                      <w:sz w:val="20"/>
                                    </w:rPr>
                                  </w:pPr>
                                  <w:r>
                                    <w:rPr>
                                      <w:color w:val="0F0F0F"/>
                                      <w:spacing w:val="-2"/>
                                      <w:w w:val="105"/>
                                      <w:sz w:val="20"/>
                                    </w:rPr>
                                    <w:t>1,792</w:t>
                                  </w:r>
                                </w:p>
                              </w:tc>
                              <w:tc>
                                <w:tcPr>
                                  <w:tcW w:w="1569" w:type="dxa"/>
                                </w:tcPr>
                                <w:p>
                                  <w:pPr>
                                    <w:pStyle w:val="TableParagraph"/>
                                    <w:spacing w:line="224" w:lineRule="exact"/>
                                    <w:ind w:right="489"/>
                                    <w:jc w:val="right"/>
                                    <w:rPr>
                                      <w:sz w:val="20"/>
                                    </w:rPr>
                                  </w:pPr>
                                  <w:r>
                                    <w:rPr>
                                      <w:color w:val="0F0F0F"/>
                                      <w:spacing w:val="-5"/>
                                      <w:w w:val="110"/>
                                      <w:sz w:val="20"/>
                                    </w:rPr>
                                    <w:t>42</w:t>
                                  </w:r>
                                </w:p>
                              </w:tc>
                              <w:tc>
                                <w:tcPr>
                                  <w:tcW w:w="1070" w:type="dxa"/>
                                </w:tcPr>
                                <w:p>
                                  <w:pPr>
                                    <w:pStyle w:val="TableParagraph"/>
                                    <w:spacing w:line="224" w:lineRule="exact"/>
                                    <w:ind w:right="57"/>
                                    <w:jc w:val="right"/>
                                    <w:rPr>
                                      <w:sz w:val="20"/>
                                    </w:rPr>
                                  </w:pPr>
                                  <w:r>
                                    <w:rPr>
                                      <w:color w:val="0F0F0F"/>
                                      <w:spacing w:val="-2"/>
                                      <w:w w:val="105"/>
                                      <w:sz w:val="20"/>
                                    </w:rPr>
                                    <w:t>1,834</w:t>
                                  </w:r>
                                </w:p>
                              </w:tc>
                            </w:tr>
                            <w:tr>
                              <w:trPr>
                                <w:trHeight w:val="361" w:hRule="atLeast"/>
                              </w:trPr>
                              <w:tc>
                                <w:tcPr>
                                  <w:tcW w:w="1299" w:type="dxa"/>
                                </w:tcPr>
                                <w:p>
                                  <w:pPr>
                                    <w:pStyle w:val="TableParagraph"/>
                                    <w:spacing w:before="127" w:line="215" w:lineRule="exact"/>
                                    <w:ind w:left="51"/>
                                    <w:rPr>
                                      <w:sz w:val="20"/>
                                    </w:rPr>
                                  </w:pPr>
                                  <w:r>
                                    <w:rPr>
                                      <w:color w:val="0F0F0F"/>
                                      <w:spacing w:val="-2"/>
                                      <w:w w:val="105"/>
                                      <w:sz w:val="20"/>
                                    </w:rPr>
                                    <w:t>2,690</w:t>
                                  </w:r>
                                </w:p>
                              </w:tc>
                              <w:tc>
                                <w:tcPr>
                                  <w:tcW w:w="1569" w:type="dxa"/>
                                </w:tcPr>
                                <w:p>
                                  <w:pPr>
                                    <w:pStyle w:val="TableParagraph"/>
                                    <w:spacing w:before="131" w:line="210" w:lineRule="exact"/>
                                    <w:ind w:right="488"/>
                                    <w:jc w:val="right"/>
                                    <w:rPr>
                                      <w:sz w:val="20"/>
                                    </w:rPr>
                                  </w:pPr>
                                  <w:r>
                                    <w:rPr>
                                      <w:color w:val="0F0F0F"/>
                                      <w:spacing w:val="-5"/>
                                      <w:w w:val="105"/>
                                      <w:sz w:val="20"/>
                                    </w:rPr>
                                    <w:t>339</w:t>
                                  </w:r>
                                </w:p>
                              </w:tc>
                              <w:tc>
                                <w:tcPr>
                                  <w:tcW w:w="1070" w:type="dxa"/>
                                </w:tcPr>
                                <w:p>
                                  <w:pPr>
                                    <w:pStyle w:val="TableParagraph"/>
                                    <w:spacing w:before="127" w:line="215" w:lineRule="exact"/>
                                    <w:ind w:right="48"/>
                                    <w:jc w:val="right"/>
                                    <w:rPr>
                                      <w:sz w:val="20"/>
                                    </w:rPr>
                                  </w:pPr>
                                  <w:r>
                                    <w:rPr>
                                      <w:color w:val="0F0F0F"/>
                                      <w:spacing w:val="-2"/>
                                      <w:w w:val="105"/>
                                      <w:sz w:val="20"/>
                                    </w:rPr>
                                    <w:t>3,029</w:t>
                                  </w:r>
                                </w:p>
                              </w:tc>
                            </w:tr>
                          </w:tbl>
                          <w:p>
                            <w:pPr>
                              <w:pStyle w:val="BodyText"/>
                            </w:pPr>
                          </w:p>
                        </w:txbxContent>
                      </wps:txbx>
                      <wps:bodyPr wrap="square" lIns="0" tIns="0" rIns="0" bIns="0" rtlCol="0">
                        <a:noAutofit/>
                      </wps:bodyPr>
                    </wps:wsp>
                  </a:graphicData>
                </a:graphic>
              </wp:anchor>
            </w:drawing>
          </ve:Choice>
          <ve:Fallback>
            <w:pict>
              <v:shape id="docshape415" style="position:absolute;margin-left:369.143311pt;margin-top:3.944701pt;width:202.9pt;height:35.85pt;mso-position-horizontal-relative:page;mso-position-vertical-relative:paragraph;z-index:15870464"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99"/>
                        <w:gridCol w:w="1569"/>
                        <w:gridCol w:w="1070"/>
                      </w:tblGrid>
                      <w:tr>
                        <w:trPr>
                          <w:trHeight w:val="356" w:hRule="atLeast"/>
                        </w:trPr>
                        <w:tc>
                          <w:tcPr>
                            <w:tcW w:w="1299" w:type="dxa"/>
                          </w:tcPr>
                          <w:p>
                            <w:pPr>
                              <w:pStyle w:val="TableParagraph"/>
                              <w:spacing w:line="224" w:lineRule="exact"/>
                              <w:ind w:left="50"/>
                              <w:rPr>
                                <w:sz w:val="20"/>
                              </w:rPr>
                            </w:pPr>
                            <w:r>
                              <w:rPr>
                                <w:color w:val="0F0F0F"/>
                                <w:spacing w:val="-2"/>
                                <w:w w:val="105"/>
                                <w:sz w:val="20"/>
                              </w:rPr>
                              <w:t>1,792</w:t>
                            </w:r>
                          </w:p>
                        </w:tc>
                        <w:tc>
                          <w:tcPr>
                            <w:tcW w:w="1569" w:type="dxa"/>
                          </w:tcPr>
                          <w:p>
                            <w:pPr>
                              <w:pStyle w:val="TableParagraph"/>
                              <w:spacing w:line="224" w:lineRule="exact"/>
                              <w:ind w:right="489"/>
                              <w:jc w:val="right"/>
                              <w:rPr>
                                <w:sz w:val="20"/>
                              </w:rPr>
                            </w:pPr>
                            <w:r>
                              <w:rPr>
                                <w:color w:val="0F0F0F"/>
                                <w:spacing w:val="-5"/>
                                <w:w w:val="110"/>
                                <w:sz w:val="20"/>
                              </w:rPr>
                              <w:t>42</w:t>
                            </w:r>
                          </w:p>
                        </w:tc>
                        <w:tc>
                          <w:tcPr>
                            <w:tcW w:w="1070" w:type="dxa"/>
                          </w:tcPr>
                          <w:p>
                            <w:pPr>
                              <w:pStyle w:val="TableParagraph"/>
                              <w:spacing w:line="224" w:lineRule="exact"/>
                              <w:ind w:right="57"/>
                              <w:jc w:val="right"/>
                              <w:rPr>
                                <w:sz w:val="20"/>
                              </w:rPr>
                            </w:pPr>
                            <w:r>
                              <w:rPr>
                                <w:color w:val="0F0F0F"/>
                                <w:spacing w:val="-2"/>
                                <w:w w:val="105"/>
                                <w:sz w:val="20"/>
                              </w:rPr>
                              <w:t>1,834</w:t>
                            </w:r>
                          </w:p>
                        </w:tc>
                      </w:tr>
                      <w:tr>
                        <w:trPr>
                          <w:trHeight w:val="361" w:hRule="atLeast"/>
                        </w:trPr>
                        <w:tc>
                          <w:tcPr>
                            <w:tcW w:w="1299" w:type="dxa"/>
                          </w:tcPr>
                          <w:p>
                            <w:pPr>
                              <w:pStyle w:val="TableParagraph"/>
                              <w:spacing w:before="127" w:line="215" w:lineRule="exact"/>
                              <w:ind w:left="51"/>
                              <w:rPr>
                                <w:sz w:val="20"/>
                              </w:rPr>
                            </w:pPr>
                            <w:r>
                              <w:rPr>
                                <w:color w:val="0F0F0F"/>
                                <w:spacing w:val="-2"/>
                                <w:w w:val="105"/>
                                <w:sz w:val="20"/>
                              </w:rPr>
                              <w:t>2,690</w:t>
                            </w:r>
                          </w:p>
                        </w:tc>
                        <w:tc>
                          <w:tcPr>
                            <w:tcW w:w="1569" w:type="dxa"/>
                          </w:tcPr>
                          <w:p>
                            <w:pPr>
                              <w:pStyle w:val="TableParagraph"/>
                              <w:spacing w:before="131" w:line="210" w:lineRule="exact"/>
                              <w:ind w:right="488"/>
                              <w:jc w:val="right"/>
                              <w:rPr>
                                <w:sz w:val="20"/>
                              </w:rPr>
                            </w:pPr>
                            <w:r>
                              <w:rPr>
                                <w:color w:val="0F0F0F"/>
                                <w:spacing w:val="-5"/>
                                <w:w w:val="105"/>
                                <w:sz w:val="20"/>
                              </w:rPr>
                              <w:t>339</w:t>
                            </w:r>
                          </w:p>
                        </w:tc>
                        <w:tc>
                          <w:tcPr>
                            <w:tcW w:w="1070" w:type="dxa"/>
                          </w:tcPr>
                          <w:p>
                            <w:pPr>
                              <w:pStyle w:val="TableParagraph"/>
                              <w:spacing w:before="127" w:line="215" w:lineRule="exact"/>
                              <w:ind w:right="48"/>
                              <w:jc w:val="right"/>
                              <w:rPr>
                                <w:sz w:val="20"/>
                              </w:rPr>
                            </w:pPr>
                            <w:r>
                              <w:rPr>
                                <w:color w:val="0F0F0F"/>
                                <w:spacing w:val="-2"/>
                                <w:w w:val="105"/>
                                <w:sz w:val="20"/>
                              </w:rPr>
                              <w:t>3,029</w:t>
                            </w:r>
                          </w:p>
                        </w:tc>
                      </w:tr>
                    </w:tbl>
                    <w:p>
                      <w:pPr>
                        <w:pStyle w:val="BodyText"/>
                      </w:pPr>
                    </w:p>
                  </w:txbxContent>
                </v:textbox>
                <w10:wrap type="none"/>
              </v:shape>
            </w:pict>
          </ve:Fallback>
        </ve:AlternateContent>
      </w:r>
      <w:r>
        <w:rPr>
          <w:color w:val="0F0F0F"/>
          <w:w w:val="105"/>
          <w:sz w:val="20"/>
        </w:rPr>
        <w:t>Hertsmere</w:t>
      </w:r>
      <w:r>
        <w:rPr>
          <w:color w:val="0F0F0F"/>
          <w:spacing w:val="-8"/>
          <w:w w:val="105"/>
          <w:sz w:val="20"/>
        </w:rPr>
        <w:t> </w:t>
      </w:r>
      <w:r>
        <w:rPr>
          <w:color w:val="0F0F0F"/>
          <w:w w:val="105"/>
          <w:sz w:val="20"/>
        </w:rPr>
        <w:t>Borough</w:t>
      </w:r>
      <w:r>
        <w:rPr>
          <w:color w:val="0F0F0F"/>
          <w:spacing w:val="-8"/>
          <w:w w:val="105"/>
          <w:sz w:val="20"/>
        </w:rPr>
        <w:t> </w:t>
      </w:r>
      <w:r>
        <w:rPr>
          <w:color w:val="0F0F0F"/>
          <w:w w:val="105"/>
          <w:sz w:val="20"/>
        </w:rPr>
        <w:t>Council</w:t>
      </w:r>
      <w:r>
        <w:rPr>
          <w:color w:val="0F0F0F"/>
          <w:spacing w:val="-9"/>
          <w:w w:val="105"/>
          <w:sz w:val="20"/>
        </w:rPr>
        <w:t> </w:t>
      </w:r>
      <w:r>
        <w:rPr>
          <w:i/>
          <w:color w:val="0F0F0F"/>
          <w:w w:val="105"/>
          <w:sz w:val="20"/>
        </w:rPr>
        <w:t>(included</w:t>
      </w:r>
      <w:r>
        <w:rPr>
          <w:i/>
          <w:color w:val="0F0F0F"/>
          <w:spacing w:val="-3"/>
          <w:w w:val="105"/>
          <w:sz w:val="20"/>
        </w:rPr>
        <w:t> </w:t>
      </w:r>
      <w:r>
        <w:rPr>
          <w:i/>
          <w:color w:val="0F0F0F"/>
          <w:w w:val="105"/>
          <w:sz w:val="20"/>
        </w:rPr>
        <w:t>in</w:t>
      </w:r>
      <w:r>
        <w:rPr>
          <w:i/>
          <w:color w:val="0F0F0F"/>
          <w:spacing w:val="-12"/>
          <w:w w:val="105"/>
          <w:sz w:val="20"/>
        </w:rPr>
        <w:t> </w:t>
      </w:r>
      <w:r>
        <w:rPr>
          <w:i/>
          <w:color w:val="0F0F0F"/>
          <w:spacing w:val="-2"/>
          <w:w w:val="105"/>
          <w:sz w:val="20"/>
        </w:rPr>
        <w:t>reserves)</w:t>
      </w:r>
    </w:p>
    <w:p>
      <w:pPr>
        <w:spacing w:before="207" w:line="249" w:lineRule="auto"/>
        <w:ind w:left="1177" w:right="4812" w:hanging="1"/>
        <w:jc w:val="left"/>
        <w:rPr>
          <w:i/>
          <w:sz w:val="20"/>
        </w:rPr>
      </w:pPr>
      <w:r>
        <w:rPr>
          <w:color w:val="0F0F0F"/>
          <w:w w:val="105"/>
          <w:sz w:val="20"/>
        </w:rPr>
        <w:t>Precepting authorities</w:t>
      </w:r>
      <w:r>
        <w:rPr>
          <w:color w:val="0F0F0F"/>
          <w:spacing w:val="-1"/>
          <w:w w:val="105"/>
          <w:sz w:val="20"/>
        </w:rPr>
        <w:t> </w:t>
      </w:r>
      <w:r>
        <w:rPr>
          <w:i/>
          <w:color w:val="0F0F0F"/>
          <w:w w:val="105"/>
          <w:sz w:val="20"/>
        </w:rPr>
        <w:t>(included</w:t>
      </w:r>
      <w:r>
        <w:rPr>
          <w:i/>
          <w:color w:val="0F0F0F"/>
          <w:spacing w:val="-3"/>
          <w:w w:val="105"/>
          <w:sz w:val="20"/>
        </w:rPr>
        <w:t> </w:t>
      </w:r>
      <w:r>
        <w:rPr>
          <w:i/>
          <w:color w:val="0F0F0F"/>
          <w:w w:val="105"/>
          <w:sz w:val="20"/>
        </w:rPr>
        <w:t>in</w:t>
      </w:r>
      <w:r>
        <w:rPr>
          <w:i/>
          <w:color w:val="0F0F0F"/>
          <w:spacing w:val="-15"/>
          <w:w w:val="105"/>
          <w:sz w:val="20"/>
        </w:rPr>
        <w:t> </w:t>
      </w:r>
      <w:r>
        <w:rPr>
          <w:i/>
          <w:color w:val="0F0F0F"/>
          <w:w w:val="105"/>
          <w:sz w:val="20"/>
        </w:rPr>
        <w:t>current</w:t>
      </w:r>
      <w:r>
        <w:rPr>
          <w:i/>
          <w:color w:val="0F0F0F"/>
          <w:spacing w:val="-4"/>
          <w:w w:val="105"/>
          <w:sz w:val="20"/>
        </w:rPr>
        <w:t> </w:t>
      </w:r>
      <w:r>
        <w:rPr>
          <w:i/>
          <w:color w:val="0F0F0F"/>
          <w:w w:val="105"/>
          <w:sz w:val="20"/>
        </w:rPr>
        <w:t>assets</w:t>
      </w:r>
      <w:r>
        <w:rPr>
          <w:i/>
          <w:color w:val="0F0F0F"/>
          <w:spacing w:val="-1"/>
          <w:w w:val="105"/>
          <w:sz w:val="20"/>
        </w:rPr>
        <w:t> </w:t>
      </w:r>
      <w:r>
        <w:rPr>
          <w:i/>
          <w:color w:val="0F0F0F"/>
          <w:w w:val="105"/>
          <w:sz w:val="20"/>
        </w:rPr>
        <w:t>or</w:t>
      </w:r>
      <w:r>
        <w:rPr>
          <w:i/>
          <w:color w:val="0F0F0F"/>
          <w:w w:val="105"/>
          <w:sz w:val="20"/>
        </w:rPr>
        <w:t> </w:t>
      </w:r>
      <w:r>
        <w:rPr>
          <w:i/>
          <w:color w:val="0F0F0F"/>
          <w:spacing w:val="-2"/>
          <w:w w:val="105"/>
          <w:sz w:val="20"/>
        </w:rPr>
        <w:t>liabilities)</w:t>
      </w:r>
    </w:p>
    <w:p>
      <w:pPr>
        <w:pStyle w:val="BodyText"/>
        <w:spacing w:before="7"/>
        <w:rPr>
          <w:i/>
          <w:sz w:val="8"/>
        </w:rPr>
      </w:pPr>
      <w:r>
        <w:rPr/>
        <ve:AlternateContent>
          <ve:Choice Requires="wps">
            <w:drawing>
              <wp:anchor distT="0" distB="0" distL="0" distR="0" simplePos="0" relativeHeight="487729152" behindDoc="1" locked="0" layoutInCell="1" allowOverlap="1">
                <wp:simplePos x="0" y="0"/>
                <wp:positionH relativeFrom="page">
                  <wp:posOffset>4249659</wp:posOffset>
                </wp:positionH>
                <wp:positionV relativeFrom="paragraph">
                  <wp:posOffset>78296</wp:posOffset>
                </wp:positionV>
                <wp:extent cx="3019425" cy="1270"/>
                <wp:effectExtent l="0" t="0" r="0" b="0"/>
                <wp:wrapTopAndBottom/>
                <wp:docPr id="639" name="Graphic 639"/>
                <wp:cNvGraphicFramePr>
                  <a:graphicFrameLocks/>
                </wp:cNvGraphicFramePr>
                <a:graphic>
                  <a:graphicData uri="http://schemas.microsoft.com/office/word/2010/wordprocessingShape">
                    <wps:wsp>
                      <wps:cNvPr id="639" name="Graphic 639"/>
                      <wps:cNvSpPr/>
                      <wps:spPr>
                        <a:xfrm>
                          <a:off x="0" y="0"/>
                          <a:ext cx="3019425" cy="1270"/>
                        </a:xfrm>
                        <a:custGeom>
                          <a:avLst/>
                          <a:gdLst/>
                          <a:ahLst/>
                          <a:cxnLst/>
                          <a:rect l="l" t="t" r="r" b="b"/>
                          <a:pathLst>
                            <a:path w="3019425" h="0">
                              <a:moveTo>
                                <a:pt x="0" y="0"/>
                              </a:moveTo>
                              <a:lnTo>
                                <a:pt x="3019334"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16" style="position:absolute;margin-left:334.618866pt;margin-top:6.165071pt;width:237.75pt;height:.1pt;mso-position-horizontal-relative:page;mso-position-vertical-relative:paragraph;z-index:-15587328;mso-wrap-distance-left:0;mso-wrap-distance-right:0" coordsize="4755,0" coordorigin="6692,123" filled="false" stroked="true" strokecolor="#000000" strokeweight=".720821pt" path="m6692,123l11447,123e">
                <v:path arrowok="t"/>
                <v:stroke dashstyle="solid"/>
                <w10:wrap type="topAndBottom"/>
              </v:shape>
            </w:pict>
          </ve:Fallback>
        </ve:AlternateContent>
      </w:r>
    </w:p>
    <w:p>
      <w:pPr>
        <w:tabs>
          <w:tab w:val="left" w:leader="none" w:pos="7491"/>
          <w:tab w:val="left" w:leader="none" w:pos="9463"/>
          <w:tab w:val="left" w:leader="none" w:pos="10803"/>
        </w:tabs>
        <w:spacing w:before="84"/>
        <w:ind w:left="6673" w:right="0" w:firstLine="0"/>
        <w:jc w:val="left"/>
        <w:rPr>
          <w:b/>
          <w:sz w:val="20"/>
        </w:rPr>
      </w:pPr>
      <w:r>
        <w:rPr>
          <w:b/>
          <w:color w:val="0F0F0F"/>
          <w:sz w:val="20"/>
          <w:u w:val="single" w:color="000000"/>
        </w:rPr>
        <w:tab/>
      </w:r>
      <w:r>
        <w:rPr>
          <w:b/>
          <w:color w:val="0F0F0F"/>
          <w:spacing w:val="-2"/>
          <w:w w:val="105"/>
          <w:sz w:val="20"/>
          <w:u w:val="single" w:color="000000"/>
        </w:rPr>
        <w:t>4,482</w:t>
      </w:r>
      <w:r>
        <w:rPr>
          <w:b/>
          <w:color w:val="0F0F0F"/>
          <w:sz w:val="20"/>
          <w:u w:val="single" w:color="000000"/>
        </w:rPr>
        <w:tab/>
      </w:r>
      <w:r>
        <w:rPr>
          <w:b/>
          <w:color w:val="0F0F0F"/>
          <w:spacing w:val="-5"/>
          <w:w w:val="105"/>
          <w:sz w:val="20"/>
          <w:u w:val="single" w:color="000000"/>
        </w:rPr>
        <w:t>381</w:t>
      </w:r>
      <w:r>
        <w:rPr>
          <w:b/>
          <w:color w:val="0F0F0F"/>
          <w:sz w:val="20"/>
          <w:u w:val="single" w:color="000000"/>
        </w:rPr>
        <w:tab/>
      </w:r>
      <w:r>
        <w:rPr>
          <w:b/>
          <w:color w:val="0F0F0F"/>
          <w:spacing w:val="-2"/>
          <w:w w:val="105"/>
          <w:sz w:val="20"/>
          <w:u w:val="single" w:color="000000"/>
        </w:rPr>
        <w:t>4,863</w:t>
      </w:r>
      <w:r>
        <w:rPr>
          <w:b/>
          <w:color w:val="0F0F0F"/>
          <w:spacing w:val="80"/>
          <w:w w:val="105"/>
          <w:sz w:val="20"/>
          <w:u w:val="single" w:color="000000"/>
        </w:rPr>
        <w:t> </w:t>
      </w:r>
    </w:p>
    <w:p>
      <w:pPr>
        <w:spacing w:after="0"/>
        <w:jc w:val="left"/>
        <w:rPr>
          <w:sz w:val="20"/>
        </w:rPr>
        <w:sectPr>
          <w:headerReference w:type="default" r:id="rId241"/>
          <w:footerReference w:type="default" r:id="rId242"/>
          <w:footerReference w:type="even" r:id="rId243"/>
          <w:pgSz w:w="11910" w:h="16830"/>
          <w:pgMar w:top="700" w:right="340" w:bottom="1360" w:left="0" w:header="0" w:footer="1161"/>
          <w:pgNumType w:start="113"/>
        </w:sectPr>
      </w:pPr>
    </w:p>
    <w:p>
      <w:pPr>
        <w:pStyle w:val="BodyText"/>
        <w:rPr>
          <w:b/>
          <w:sz w:val="15"/>
        </w:rPr>
      </w:pPr>
    </w:p>
    <w:p>
      <w:pPr>
        <w:pStyle w:val="BodyText"/>
        <w:rPr>
          <w:b/>
          <w:sz w:val="15"/>
        </w:rPr>
      </w:pPr>
    </w:p>
    <w:p>
      <w:pPr>
        <w:pStyle w:val="BodyText"/>
        <w:rPr>
          <w:b/>
          <w:sz w:val="15"/>
        </w:rPr>
      </w:pPr>
    </w:p>
    <w:p>
      <w:pPr>
        <w:pStyle w:val="BodyText"/>
        <w:rPr>
          <w:b/>
          <w:sz w:val="15"/>
        </w:rPr>
      </w:pPr>
    </w:p>
    <w:p>
      <w:pPr>
        <w:pStyle w:val="BodyText"/>
        <w:spacing w:before="44"/>
        <w:rPr>
          <w:b/>
          <w:sz w:val="15"/>
        </w:rPr>
      </w:pPr>
    </w:p>
    <w:p>
      <w:pPr>
        <w:pStyle w:val="ListParagraph"/>
        <w:numPr>
          <w:ilvl w:val="0"/>
          <w:numId w:val="24"/>
        </w:numPr>
        <w:tabs>
          <w:tab w:val="left" w:leader="none" w:pos="1973"/>
        </w:tabs>
        <w:spacing w:before="0" w:after="0" w:line="240" w:lineRule="auto"/>
        <w:ind w:left="1973" w:right="0" w:hanging="710"/>
        <w:jc w:val="left"/>
        <w:rPr>
          <w:color w:val="4F4F4F"/>
          <w:sz w:val="15"/>
        </w:rPr>
      </w:pPr>
      <w:r>
        <w:rPr/>
        <ve:AlternateContent>
          <ve:Choice Requires="wps">
            <w:drawing>
              <wp:anchor distT="0" distB="0" distL="0" distR="0" simplePos="0" relativeHeight="15871488" behindDoc="0" locked="0" layoutInCell="1" allowOverlap="1">
                <wp:simplePos x="0" y="0"/>
                <wp:positionH relativeFrom="page">
                  <wp:posOffset>158751</wp:posOffset>
                </wp:positionH>
                <wp:positionV relativeFrom="paragraph">
                  <wp:posOffset>-581475</wp:posOffset>
                </wp:positionV>
                <wp:extent cx="1270" cy="598170"/>
                <wp:effectExtent l="0" t="0" r="0" b="0"/>
                <wp:wrapNone/>
                <wp:docPr id="640" name="Graphic 640"/>
                <wp:cNvGraphicFramePr>
                  <a:graphicFrameLocks/>
                </wp:cNvGraphicFramePr>
                <a:graphic>
                  <a:graphicData uri="http://schemas.microsoft.com/office/word/2010/wordprocessingShape">
                    <wps:wsp>
                      <wps:cNvPr id="640" name="Graphic 640"/>
                      <wps:cNvSpPr/>
                      <wps:spPr>
                        <a:xfrm>
                          <a:off x="0" y="0"/>
                          <a:ext cx="1270" cy="598170"/>
                        </a:xfrm>
                        <a:custGeom>
                          <a:avLst/>
                          <a:gdLst/>
                          <a:ahLst/>
                          <a:cxnLst/>
                          <a:rect l="l" t="t" r="r" b="b"/>
                          <a:pathLst>
                            <a:path w="0" h="598170">
                              <a:moveTo>
                                <a:pt x="0" y="598089"/>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71488" stroked="true" strokecolor="#000000" strokeweight=".961549pt" from="12.500131pt,1.308163pt" to="12.500131pt,-45.785507pt">
                <v:stroke dashstyle="solid"/>
                <w10:wrap type="none"/>
              </v:line>
            </w:pict>
          </ve:Fallback>
        </ve:AlternateContent>
      </w:r>
      <w:r>
        <w:rPr>
          <w:color w:val="414141"/>
          <w:w w:val="105"/>
          <w:sz w:val="15"/>
        </w:rPr>
        <w:t>COLLECTION</w:t>
      </w:r>
      <w:r>
        <w:rPr>
          <w:color w:val="414141"/>
          <w:spacing w:val="19"/>
          <w:w w:val="105"/>
          <w:sz w:val="15"/>
        </w:rPr>
        <w:t> </w:t>
      </w:r>
      <w:r>
        <w:rPr>
          <w:color w:val="4F4F4F"/>
          <w:spacing w:val="-4"/>
          <w:w w:val="105"/>
          <w:sz w:val="15"/>
        </w:rPr>
        <w:t>FUND</w:t>
      </w:r>
    </w:p>
    <w:p>
      <w:pPr>
        <w:pStyle w:val="BodyText"/>
        <w:spacing w:before="61"/>
        <w:rPr>
          <w:sz w:val="15"/>
        </w:rPr>
      </w:pPr>
    </w:p>
    <w:p>
      <w:pPr>
        <w:pStyle w:val="Heading3"/>
        <w:numPr>
          <w:ilvl w:val="1"/>
          <w:numId w:val="24"/>
        </w:numPr>
        <w:tabs>
          <w:tab w:val="left" w:leader="none" w:pos="1922"/>
        </w:tabs>
        <w:spacing w:before="0" w:after="0" w:line="240" w:lineRule="auto"/>
        <w:ind w:left="1922" w:right="0" w:hanging="672"/>
        <w:jc w:val="left"/>
        <w:rPr>
          <w:color w:val="414141"/>
        </w:rPr>
      </w:pPr>
      <w:r>
        <w:rPr>
          <w:color w:val="414141"/>
        </w:rPr>
        <w:t>The</w:t>
      </w:r>
      <w:r>
        <w:rPr>
          <w:color w:val="414141"/>
          <w:spacing w:val="-11"/>
        </w:rPr>
        <w:t> </w:t>
      </w:r>
      <w:r>
        <w:rPr>
          <w:color w:val="414141"/>
        </w:rPr>
        <w:t>Collection</w:t>
      </w:r>
      <w:r>
        <w:rPr>
          <w:color w:val="414141"/>
          <w:spacing w:val="-3"/>
        </w:rPr>
        <w:t> </w:t>
      </w:r>
      <w:r>
        <w:rPr>
          <w:color w:val="414141"/>
          <w:spacing w:val="-4"/>
        </w:rPr>
        <w:t>Fund</w:t>
      </w:r>
    </w:p>
    <w:p>
      <w:pPr>
        <w:pStyle w:val="BodyText"/>
        <w:spacing w:before="8"/>
        <w:rPr>
          <w:b/>
        </w:rPr>
      </w:pPr>
    </w:p>
    <w:p>
      <w:pPr>
        <w:pStyle w:val="ListParagraph"/>
        <w:numPr>
          <w:ilvl w:val="2"/>
          <w:numId w:val="24"/>
        </w:numPr>
        <w:tabs>
          <w:tab w:val="left" w:leader="none" w:pos="1789"/>
        </w:tabs>
        <w:spacing w:before="0" w:after="0" w:line="240" w:lineRule="auto"/>
        <w:ind w:left="1789" w:right="0" w:hanging="547"/>
        <w:jc w:val="left"/>
        <w:rPr>
          <w:i/>
          <w:color w:val="414141"/>
          <w:sz w:val="21"/>
        </w:rPr>
      </w:pPr>
      <w:r>
        <w:rPr>
          <w:i/>
          <w:color w:val="414141"/>
          <w:spacing w:val="-2"/>
          <w:sz w:val="21"/>
        </w:rPr>
        <w:t>General</w:t>
      </w:r>
    </w:p>
    <w:p>
      <w:pPr>
        <w:pStyle w:val="BodyText"/>
        <w:spacing w:before="12"/>
        <w:rPr>
          <w:i/>
          <w:sz w:val="21"/>
        </w:rPr>
      </w:pPr>
    </w:p>
    <w:p>
      <w:pPr>
        <w:pStyle w:val="BodyText"/>
        <w:ind w:left="1227" w:right="846" w:firstLine="13"/>
        <w:jc w:val="both"/>
      </w:pPr>
      <w:r>
        <w:rPr/>
        <ve:AlternateContent>
          <ve:Choice Requires="wps">
            <w:drawing>
              <wp:anchor distT="0" distB="0" distL="0" distR="0" simplePos="0" relativeHeight="15870976" behindDoc="0" locked="0" layoutInCell="1" allowOverlap="1">
                <wp:simplePos x="0" y="0"/>
                <wp:positionH relativeFrom="page">
                  <wp:posOffset>119063</wp:posOffset>
                </wp:positionH>
                <wp:positionV relativeFrom="paragraph">
                  <wp:posOffset>949047</wp:posOffset>
                </wp:positionV>
                <wp:extent cx="1270" cy="635000"/>
                <wp:effectExtent l="0" t="0" r="0" b="0"/>
                <wp:wrapNone/>
                <wp:docPr id="641" name="Graphic 641"/>
                <wp:cNvGraphicFramePr>
                  <a:graphicFrameLocks/>
                </wp:cNvGraphicFramePr>
                <a:graphic>
                  <a:graphicData uri="http://schemas.microsoft.com/office/word/2010/wordprocessingShape">
                    <wps:wsp>
                      <wps:cNvPr id="641" name="Graphic 641"/>
                      <wps:cNvSpPr/>
                      <wps:spPr>
                        <a:xfrm>
                          <a:off x="0" y="0"/>
                          <a:ext cx="1270" cy="635000"/>
                        </a:xfrm>
                        <a:custGeom>
                          <a:avLst/>
                          <a:gdLst/>
                          <a:ahLst/>
                          <a:cxnLst/>
                          <a:rect l="l" t="t" r="r" b="b"/>
                          <a:pathLst>
                            <a:path w="0" h="635000">
                              <a:moveTo>
                                <a:pt x="0" y="634707"/>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70976" stroked="true" strokecolor="#000000" strokeweight="1.201936pt" from="9.375098pt,124.705083pt" to="9.375098pt,74.728127pt">
                <v:stroke dashstyle="solid"/>
                <w10:wrap type="none"/>
              </v:line>
            </w:pict>
          </ve:Fallback>
        </ve:AlternateContent>
      </w:r>
      <w:r>
        <w:rPr>
          <w:color w:val="0F0F0F"/>
        </w:rPr>
        <w:t>This account reflects the statutory requirement for billing authorities to maintain a separate Collection Fund. It</w:t>
      </w:r>
      <w:r>
        <w:rPr>
          <w:color w:val="0F0F0F"/>
          <w:spacing w:val="-1"/>
        </w:rPr>
        <w:t> </w:t>
      </w:r>
      <w:r>
        <w:rPr>
          <w:color w:val="1F1F1F"/>
        </w:rPr>
        <w:t>shows</w:t>
      </w:r>
      <w:r>
        <w:rPr>
          <w:color w:val="1F1F1F"/>
          <w:spacing w:val="-2"/>
        </w:rPr>
        <w:t> </w:t>
      </w:r>
      <w:r>
        <w:rPr>
          <w:color w:val="0F0F0F"/>
        </w:rPr>
        <w:t>the</w:t>
      </w:r>
      <w:r>
        <w:rPr>
          <w:color w:val="0F0F0F"/>
          <w:spacing w:val="-3"/>
        </w:rPr>
        <w:t> </w:t>
      </w:r>
      <w:r>
        <w:rPr>
          <w:color w:val="0F0F0F"/>
        </w:rPr>
        <w:t>transactions of</w:t>
      </w:r>
      <w:r>
        <w:rPr>
          <w:color w:val="0F0F0F"/>
          <w:spacing w:val="-9"/>
        </w:rPr>
        <w:t> </w:t>
      </w:r>
      <w:r>
        <w:rPr>
          <w:color w:val="0F0F0F"/>
        </w:rPr>
        <w:t>the</w:t>
      </w:r>
      <w:r>
        <w:rPr>
          <w:color w:val="0F0F0F"/>
          <w:spacing w:val="-5"/>
        </w:rPr>
        <w:t> </w:t>
      </w:r>
      <w:r>
        <w:rPr>
          <w:color w:val="0F0F0F"/>
        </w:rPr>
        <w:t>Council in</w:t>
      </w:r>
      <w:r>
        <w:rPr>
          <w:color w:val="0F0F0F"/>
          <w:spacing w:val="-14"/>
        </w:rPr>
        <w:t> </w:t>
      </w:r>
      <w:r>
        <w:rPr>
          <w:color w:val="0F0F0F"/>
        </w:rPr>
        <w:t>relation</w:t>
      </w:r>
      <w:r>
        <w:rPr>
          <w:color w:val="0F0F0F"/>
          <w:spacing w:val="-4"/>
        </w:rPr>
        <w:t> </w:t>
      </w:r>
      <w:r>
        <w:rPr>
          <w:color w:val="0F0F0F"/>
        </w:rPr>
        <w:t>to</w:t>
      </w:r>
      <w:r>
        <w:rPr>
          <w:color w:val="0F0F0F"/>
          <w:spacing w:val="-6"/>
        </w:rPr>
        <w:t> </w:t>
      </w:r>
      <w:r>
        <w:rPr>
          <w:color w:val="0F0F0F"/>
        </w:rPr>
        <w:t>non-domestic rates and</w:t>
      </w:r>
      <w:r>
        <w:rPr>
          <w:color w:val="0F0F0F"/>
          <w:spacing w:val="-16"/>
        </w:rPr>
        <w:t> </w:t>
      </w:r>
      <w:r>
        <w:rPr>
          <w:color w:val="0F0F0F"/>
        </w:rPr>
        <w:t>the </w:t>
      </w:r>
      <w:r>
        <w:rPr>
          <w:color w:val="1F1F1F"/>
        </w:rPr>
        <w:t>council tax</w:t>
      </w:r>
      <w:r>
        <w:rPr>
          <w:color w:val="4F4F4F"/>
        </w:rPr>
        <w:t>, </w:t>
      </w:r>
      <w:r>
        <w:rPr>
          <w:color w:val="1F1F1F"/>
        </w:rPr>
        <w:t>which the council collects </w:t>
      </w:r>
      <w:r>
        <w:rPr>
          <w:color w:val="0F0F0F"/>
        </w:rPr>
        <w:t>as </w:t>
      </w:r>
      <w:r>
        <w:rPr>
          <w:color w:val="1F1F1F"/>
        </w:rPr>
        <w:t>agents for </w:t>
      </w:r>
      <w:r>
        <w:rPr>
          <w:color w:val="0F0F0F"/>
        </w:rPr>
        <w:t>its </w:t>
      </w:r>
      <w:r>
        <w:rPr>
          <w:color w:val="1F1F1F"/>
        </w:rPr>
        <w:t>preceptors </w:t>
      </w:r>
      <w:r>
        <w:rPr>
          <w:color w:val="0F0F0F"/>
        </w:rPr>
        <w:t>(note 6.0 </w:t>
      </w:r>
      <w:r>
        <w:rPr>
          <w:color w:val="1F1F1F"/>
        </w:rPr>
        <w:t>above). </w:t>
      </w:r>
      <w:r>
        <w:rPr>
          <w:color w:val="0F0F0F"/>
        </w:rPr>
        <w:t>It illustrates </w:t>
      </w:r>
      <w:r>
        <w:rPr>
          <w:color w:val="1F1F1F"/>
        </w:rPr>
        <w:t>the way</w:t>
      </w:r>
      <w:r>
        <w:rPr>
          <w:color w:val="1F1F1F"/>
          <w:spacing w:val="-2"/>
        </w:rPr>
        <w:t> </w:t>
      </w:r>
      <w:r>
        <w:rPr>
          <w:color w:val="1F1F1F"/>
        </w:rPr>
        <w:t>in which </w:t>
      </w:r>
      <w:r>
        <w:rPr>
          <w:color w:val="313131"/>
        </w:rPr>
        <w:t>these </w:t>
      </w:r>
      <w:r>
        <w:rPr>
          <w:color w:val="1F1F1F"/>
        </w:rPr>
        <w:t>sums have</w:t>
      </w:r>
      <w:r>
        <w:rPr>
          <w:color w:val="1F1F1F"/>
          <w:spacing w:val="-7"/>
        </w:rPr>
        <w:t> </w:t>
      </w:r>
      <w:r>
        <w:rPr>
          <w:color w:val="0F0F0F"/>
        </w:rPr>
        <w:t>been distributed to</w:t>
      </w:r>
      <w:r>
        <w:rPr>
          <w:color w:val="0F0F0F"/>
          <w:spacing w:val="-6"/>
        </w:rPr>
        <w:t> </w:t>
      </w:r>
      <w:r>
        <w:rPr>
          <w:color w:val="0F0F0F"/>
        </w:rPr>
        <w:t>preceptors and</w:t>
      </w:r>
      <w:r>
        <w:rPr>
          <w:color w:val="0F0F0F"/>
          <w:spacing w:val="-11"/>
        </w:rPr>
        <w:t> </w:t>
      </w:r>
      <w:r>
        <w:rPr>
          <w:color w:val="0F0F0F"/>
        </w:rPr>
        <w:t>the</w:t>
      </w:r>
      <w:r>
        <w:rPr>
          <w:color w:val="0F0F0F"/>
          <w:spacing w:val="-5"/>
        </w:rPr>
        <w:t> </w:t>
      </w:r>
      <w:r>
        <w:rPr>
          <w:color w:val="0F0F0F"/>
        </w:rPr>
        <w:t>Council. The</w:t>
      </w:r>
      <w:r>
        <w:rPr>
          <w:color w:val="0F0F0F"/>
          <w:spacing w:val="-5"/>
        </w:rPr>
        <w:t> </w:t>
      </w:r>
      <w:r>
        <w:rPr>
          <w:color w:val="0F0F0F"/>
        </w:rPr>
        <w:t>Collection </w:t>
      </w:r>
      <w:r>
        <w:rPr>
          <w:color w:val="1F1F1F"/>
        </w:rPr>
        <w:t>Fund is consolidated with </w:t>
      </w:r>
      <w:r>
        <w:rPr>
          <w:color w:val="0F0F0F"/>
        </w:rPr>
        <w:t>other </w:t>
      </w:r>
      <w:r>
        <w:rPr>
          <w:color w:val="1F1F1F"/>
        </w:rPr>
        <w:t>accounts </w:t>
      </w:r>
      <w:r>
        <w:rPr>
          <w:color w:val="0F0F0F"/>
        </w:rPr>
        <w:t>of</w:t>
      </w:r>
      <w:r>
        <w:rPr>
          <w:color w:val="0F0F0F"/>
          <w:spacing w:val="-2"/>
        </w:rPr>
        <w:t> </w:t>
      </w:r>
      <w:r>
        <w:rPr>
          <w:color w:val="0F0F0F"/>
        </w:rPr>
        <w:t>the</w:t>
      </w:r>
      <w:r>
        <w:rPr>
          <w:color w:val="0F0F0F"/>
          <w:spacing w:val="-7"/>
        </w:rPr>
        <w:t> </w:t>
      </w:r>
      <w:r>
        <w:rPr>
          <w:color w:val="0F0F0F"/>
        </w:rPr>
        <w:t>Council and is</w:t>
      </w:r>
      <w:r>
        <w:rPr>
          <w:color w:val="0F0F0F"/>
          <w:spacing w:val="-7"/>
        </w:rPr>
        <w:t> </w:t>
      </w:r>
      <w:r>
        <w:rPr>
          <w:color w:val="0F0F0F"/>
        </w:rPr>
        <w:t>prepared on an accruals basis.</w:t>
      </w:r>
    </w:p>
    <w:p>
      <w:pPr>
        <w:pStyle w:val="BodyText"/>
      </w:pPr>
    </w:p>
    <w:p>
      <w:pPr>
        <w:pStyle w:val="BodyText"/>
        <w:spacing w:before="12"/>
      </w:pPr>
    </w:p>
    <w:p>
      <w:pPr>
        <w:pStyle w:val="ListParagraph"/>
        <w:numPr>
          <w:ilvl w:val="2"/>
          <w:numId w:val="24"/>
        </w:numPr>
        <w:tabs>
          <w:tab w:val="left" w:leader="none" w:pos="1766"/>
        </w:tabs>
        <w:spacing w:before="0" w:after="0" w:line="240" w:lineRule="auto"/>
        <w:ind w:left="1766" w:right="0" w:hanging="548"/>
        <w:jc w:val="left"/>
        <w:rPr>
          <w:i/>
          <w:color w:val="0F0F0F"/>
          <w:sz w:val="21"/>
        </w:rPr>
      </w:pPr>
      <w:r>
        <w:rPr>
          <w:i/>
          <w:color w:val="0F0F0F"/>
          <w:w w:val="105"/>
          <w:sz w:val="21"/>
        </w:rPr>
        <w:t>Provision</w:t>
      </w:r>
      <w:r>
        <w:rPr>
          <w:i/>
          <w:color w:val="0F0F0F"/>
          <w:spacing w:val="-15"/>
          <w:w w:val="105"/>
          <w:sz w:val="21"/>
        </w:rPr>
        <w:t> </w:t>
      </w:r>
      <w:r>
        <w:rPr>
          <w:i/>
          <w:color w:val="0F0F0F"/>
          <w:w w:val="105"/>
          <w:sz w:val="21"/>
        </w:rPr>
        <w:t>for</w:t>
      </w:r>
      <w:r>
        <w:rPr>
          <w:i/>
          <w:color w:val="0F0F0F"/>
          <w:spacing w:val="-15"/>
          <w:w w:val="105"/>
          <w:sz w:val="21"/>
        </w:rPr>
        <w:t> </w:t>
      </w:r>
      <w:r>
        <w:rPr>
          <w:i/>
          <w:color w:val="0F0F0F"/>
          <w:w w:val="105"/>
          <w:sz w:val="21"/>
        </w:rPr>
        <w:t>Irrecoverable </w:t>
      </w:r>
      <w:r>
        <w:rPr>
          <w:i/>
          <w:color w:val="0F0F0F"/>
          <w:spacing w:val="-2"/>
          <w:w w:val="105"/>
          <w:sz w:val="21"/>
        </w:rPr>
        <w:t>Debts</w:t>
      </w:r>
    </w:p>
    <w:p>
      <w:pPr>
        <w:pStyle w:val="BodyText"/>
        <w:spacing w:before="12"/>
        <w:rPr>
          <w:i/>
          <w:sz w:val="21"/>
        </w:rPr>
      </w:pPr>
    </w:p>
    <w:p>
      <w:pPr>
        <w:pStyle w:val="BodyText"/>
        <w:ind w:left="1201" w:right="876" w:firstLine="7"/>
        <w:jc w:val="both"/>
      </w:pPr>
      <w:r>
        <w:rPr>
          <w:color w:val="0F0F0F"/>
        </w:rPr>
        <w:t>During </w:t>
      </w:r>
      <w:r>
        <w:rPr>
          <w:color w:val="1F1F1F"/>
        </w:rPr>
        <w:t>the </w:t>
      </w:r>
      <w:r>
        <w:rPr>
          <w:color w:val="0F0F0F"/>
        </w:rPr>
        <w:t>year the </w:t>
      </w:r>
      <w:r>
        <w:rPr>
          <w:color w:val="1F1F1F"/>
        </w:rPr>
        <w:t>provision </w:t>
      </w:r>
      <w:r>
        <w:rPr>
          <w:color w:val="0F0F0F"/>
        </w:rPr>
        <w:t>for irrecoverable council tax was increased by £1,441k (2021/22: increase</w:t>
      </w:r>
      <w:r>
        <w:rPr>
          <w:color w:val="0F0F0F"/>
          <w:spacing w:val="-16"/>
        </w:rPr>
        <w:t> </w:t>
      </w:r>
      <w:r>
        <w:rPr>
          <w:color w:val="1F1F1F"/>
        </w:rPr>
        <w:t>£808k).</w:t>
      </w:r>
      <w:r>
        <w:rPr>
          <w:color w:val="1F1F1F"/>
          <w:spacing w:val="-15"/>
        </w:rPr>
        <w:t> </w:t>
      </w:r>
      <w:r>
        <w:rPr>
          <w:color w:val="0F0F0F"/>
        </w:rPr>
        <w:t>The</w:t>
      </w:r>
      <w:r>
        <w:rPr>
          <w:color w:val="0F0F0F"/>
          <w:spacing w:val="-15"/>
        </w:rPr>
        <w:t> </w:t>
      </w:r>
      <w:r>
        <w:rPr>
          <w:color w:val="1F1F1F"/>
        </w:rPr>
        <w:t>provision</w:t>
      </w:r>
      <w:r>
        <w:rPr>
          <w:color w:val="1F1F1F"/>
          <w:spacing w:val="-16"/>
        </w:rPr>
        <w:t> </w:t>
      </w:r>
      <w:r>
        <w:rPr>
          <w:color w:val="0F0F0F"/>
        </w:rPr>
        <w:t>for</w:t>
      </w:r>
      <w:r>
        <w:rPr>
          <w:color w:val="0F0F0F"/>
          <w:spacing w:val="-15"/>
        </w:rPr>
        <w:t> </w:t>
      </w:r>
      <w:r>
        <w:rPr>
          <w:color w:val="0F0F0F"/>
        </w:rPr>
        <w:t>irrecoverable</w:t>
      </w:r>
      <w:r>
        <w:rPr>
          <w:color w:val="0F0F0F"/>
          <w:spacing w:val="-7"/>
        </w:rPr>
        <w:t> </w:t>
      </w:r>
      <w:r>
        <w:rPr>
          <w:color w:val="0F0F0F"/>
        </w:rPr>
        <w:t>business</w:t>
      </w:r>
      <w:r>
        <w:rPr>
          <w:color w:val="0F0F0F"/>
          <w:spacing w:val="-5"/>
        </w:rPr>
        <w:t> </w:t>
      </w:r>
      <w:r>
        <w:rPr>
          <w:color w:val="0F0F0F"/>
        </w:rPr>
        <w:t>rates</w:t>
      </w:r>
      <w:r>
        <w:rPr>
          <w:color w:val="0F0F0F"/>
          <w:spacing w:val="-8"/>
        </w:rPr>
        <w:t> </w:t>
      </w:r>
      <w:r>
        <w:rPr>
          <w:color w:val="0F0F0F"/>
        </w:rPr>
        <w:t>was</w:t>
      </w:r>
      <w:r>
        <w:rPr>
          <w:color w:val="0F0F0F"/>
          <w:spacing w:val="-12"/>
        </w:rPr>
        <w:t> </w:t>
      </w:r>
      <w:r>
        <w:rPr>
          <w:color w:val="0F0F0F"/>
        </w:rPr>
        <w:t>increased</w:t>
      </w:r>
      <w:r>
        <w:rPr>
          <w:color w:val="0F0F0F"/>
          <w:spacing w:val="-10"/>
        </w:rPr>
        <w:t> </w:t>
      </w:r>
      <w:r>
        <w:rPr>
          <w:color w:val="0F0F0F"/>
        </w:rPr>
        <w:t>by</w:t>
      </w:r>
      <w:r>
        <w:rPr>
          <w:color w:val="0F0F0F"/>
          <w:spacing w:val="-12"/>
        </w:rPr>
        <w:t> </w:t>
      </w:r>
      <w:r>
        <w:rPr>
          <w:color w:val="0F0F0F"/>
        </w:rPr>
        <w:t>£730</w:t>
      </w:r>
      <w:r>
        <w:rPr>
          <w:color w:val="0F0F0F"/>
          <w:spacing w:val="-16"/>
        </w:rPr>
        <w:t> </w:t>
      </w:r>
      <w:r>
        <w:rPr>
          <w:color w:val="0F0F0F"/>
        </w:rPr>
        <w:t>k</w:t>
      </w:r>
      <w:r>
        <w:rPr>
          <w:color w:val="0F0F0F"/>
          <w:spacing w:val="-15"/>
        </w:rPr>
        <w:t> </w:t>
      </w:r>
      <w:r>
        <w:rPr>
          <w:color w:val="0F0F0F"/>
        </w:rPr>
        <w:t>(2021/22: increase </w:t>
      </w:r>
      <w:r>
        <w:rPr>
          <w:color w:val="1F1F1F"/>
        </w:rPr>
        <w:t>£808k).</w:t>
      </w:r>
    </w:p>
    <w:p>
      <w:pPr>
        <w:pStyle w:val="BodyText"/>
      </w:pPr>
    </w:p>
    <w:p>
      <w:pPr>
        <w:pStyle w:val="BodyText"/>
        <w:spacing w:before="13"/>
      </w:pPr>
    </w:p>
    <w:p>
      <w:pPr>
        <w:pStyle w:val="ListParagraph"/>
        <w:numPr>
          <w:ilvl w:val="2"/>
          <w:numId w:val="24"/>
        </w:numPr>
        <w:tabs>
          <w:tab w:val="left" w:leader="none" w:pos="1748"/>
        </w:tabs>
        <w:spacing w:before="0" w:after="0" w:line="240" w:lineRule="auto"/>
        <w:ind w:left="1748" w:right="0" w:hanging="554"/>
        <w:jc w:val="left"/>
        <w:rPr>
          <w:i/>
          <w:color w:val="0F0F0F"/>
          <w:sz w:val="21"/>
        </w:rPr>
      </w:pPr>
      <w:r>
        <w:rPr>
          <w:i/>
          <w:color w:val="0F0F0F"/>
          <w:w w:val="105"/>
          <w:sz w:val="21"/>
        </w:rPr>
        <w:t>Income</w:t>
      </w:r>
      <w:r>
        <w:rPr>
          <w:i/>
          <w:color w:val="0F0F0F"/>
          <w:spacing w:val="-2"/>
          <w:w w:val="105"/>
          <w:sz w:val="21"/>
        </w:rPr>
        <w:t> </w:t>
      </w:r>
      <w:r>
        <w:rPr>
          <w:i/>
          <w:color w:val="0F0F0F"/>
          <w:w w:val="105"/>
          <w:sz w:val="21"/>
        </w:rPr>
        <w:t>from</w:t>
      </w:r>
      <w:r>
        <w:rPr>
          <w:i/>
          <w:color w:val="0F0F0F"/>
          <w:spacing w:val="-7"/>
          <w:w w:val="105"/>
          <w:sz w:val="21"/>
        </w:rPr>
        <w:t> </w:t>
      </w:r>
      <w:r>
        <w:rPr>
          <w:i/>
          <w:color w:val="0F0F0F"/>
          <w:w w:val="105"/>
          <w:sz w:val="21"/>
        </w:rPr>
        <w:t>Business</w:t>
      </w:r>
      <w:r>
        <w:rPr>
          <w:i/>
          <w:color w:val="0F0F0F"/>
          <w:spacing w:val="-2"/>
          <w:w w:val="105"/>
          <w:sz w:val="21"/>
        </w:rPr>
        <w:t> Rates</w:t>
      </w:r>
    </w:p>
    <w:p>
      <w:pPr>
        <w:pStyle w:val="BodyText"/>
        <w:spacing w:before="12"/>
        <w:rPr>
          <w:i/>
          <w:sz w:val="21"/>
        </w:rPr>
      </w:pPr>
    </w:p>
    <w:p>
      <w:pPr>
        <w:pStyle w:val="BodyText"/>
        <w:ind w:left="1170" w:right="873" w:firstLine="26"/>
        <w:jc w:val="both"/>
      </w:pPr>
      <w:r>
        <w:rPr>
          <w:color w:val="0F0F0F"/>
        </w:rPr>
        <w:t>The Council </w:t>
      </w:r>
      <w:r>
        <w:rPr>
          <w:color w:val="1F1F1F"/>
        </w:rPr>
        <w:t>collects non-domestic rates for its area, which are based on local rateable values multiplied by a uniform rate</w:t>
      </w:r>
      <w:r>
        <w:rPr>
          <w:color w:val="606060"/>
        </w:rPr>
        <w:t>. </w:t>
      </w:r>
      <w:r>
        <w:rPr>
          <w:color w:val="1F1F1F"/>
        </w:rPr>
        <w:t>During the year the rate with Small Business Relief was 49.9p (2021/22: 49</w:t>
      </w:r>
      <w:r>
        <w:rPr>
          <w:color w:val="4F4F4F"/>
        </w:rPr>
        <w:t>.</w:t>
      </w:r>
      <w:r>
        <w:rPr>
          <w:color w:val="1F1F1F"/>
        </w:rPr>
        <w:t>9p) and 51.2p (2021/22: 51</w:t>
      </w:r>
      <w:r>
        <w:rPr>
          <w:color w:val="606060"/>
        </w:rPr>
        <w:t>.</w:t>
      </w:r>
      <w:r>
        <w:rPr>
          <w:color w:val="1F1F1F"/>
        </w:rPr>
        <w:t>2p) with no relief. The total rateable value of properties for</w:t>
      </w:r>
      <w:r>
        <w:rPr>
          <w:color w:val="1F1F1F"/>
          <w:spacing w:val="-16"/>
        </w:rPr>
        <w:t> </w:t>
      </w:r>
      <w:r>
        <w:rPr>
          <w:color w:val="1F1F1F"/>
        </w:rPr>
        <w:t>2022/23</w:t>
      </w:r>
      <w:r>
        <w:rPr>
          <w:color w:val="1F1F1F"/>
          <w:spacing w:val="-8"/>
        </w:rPr>
        <w:t> </w:t>
      </w:r>
      <w:r>
        <w:rPr>
          <w:color w:val="1F1F1F"/>
        </w:rPr>
        <w:t>amounted</w:t>
      </w:r>
      <w:r>
        <w:rPr>
          <w:color w:val="1F1F1F"/>
          <w:spacing w:val="-7"/>
        </w:rPr>
        <w:t> </w:t>
      </w:r>
      <w:r>
        <w:rPr>
          <w:color w:val="1F1F1F"/>
        </w:rPr>
        <w:t>to</w:t>
      </w:r>
      <w:r>
        <w:rPr>
          <w:color w:val="1F1F1F"/>
          <w:spacing w:val="-10"/>
        </w:rPr>
        <w:t> </w:t>
      </w:r>
      <w:r>
        <w:rPr>
          <w:color w:val="1F1F1F"/>
        </w:rPr>
        <w:t>£114m</w:t>
      </w:r>
      <w:r>
        <w:rPr>
          <w:color w:val="1F1F1F"/>
          <w:spacing w:val="-3"/>
        </w:rPr>
        <w:t> </w:t>
      </w:r>
      <w:r>
        <w:rPr>
          <w:color w:val="313131"/>
        </w:rPr>
        <w:t>(2021/22: </w:t>
      </w:r>
      <w:r>
        <w:rPr>
          <w:color w:val="1F1F1F"/>
        </w:rPr>
        <w:t>£116m)</w:t>
      </w:r>
      <w:r>
        <w:rPr>
          <w:color w:val="606060"/>
        </w:rPr>
        <w:t>.</w:t>
      </w:r>
      <w:r>
        <w:rPr>
          <w:color w:val="606060"/>
          <w:spacing w:val="28"/>
        </w:rPr>
        <w:t> </w:t>
      </w:r>
      <w:r>
        <w:rPr>
          <w:color w:val="1F1F1F"/>
        </w:rPr>
        <w:t>The</w:t>
      </w:r>
      <w:r>
        <w:rPr>
          <w:color w:val="1F1F1F"/>
          <w:spacing w:val="-10"/>
        </w:rPr>
        <w:t> </w:t>
      </w:r>
      <w:r>
        <w:rPr>
          <w:color w:val="1F1F1F"/>
        </w:rPr>
        <w:t>total</w:t>
      </w:r>
      <w:r>
        <w:rPr>
          <w:color w:val="1F1F1F"/>
          <w:spacing w:val="-15"/>
        </w:rPr>
        <w:t> </w:t>
      </w:r>
      <w:r>
        <w:rPr>
          <w:color w:val="0F0F0F"/>
        </w:rPr>
        <w:t>amount</w:t>
      </w:r>
      <w:r>
        <w:rPr>
          <w:color w:val="4F4F4F"/>
        </w:rPr>
        <w:t>,</w:t>
      </w:r>
      <w:r>
        <w:rPr>
          <w:color w:val="4F4F4F"/>
          <w:spacing w:val="-16"/>
        </w:rPr>
        <w:t> </w:t>
      </w:r>
      <w:r>
        <w:rPr>
          <w:color w:val="1F1F1F"/>
        </w:rPr>
        <w:t>less</w:t>
      </w:r>
      <w:r>
        <w:rPr>
          <w:color w:val="1F1F1F"/>
          <w:spacing w:val="-14"/>
        </w:rPr>
        <w:t> </w:t>
      </w:r>
      <w:r>
        <w:rPr>
          <w:color w:val="1F1F1F"/>
        </w:rPr>
        <w:t>certain</w:t>
      </w:r>
      <w:r>
        <w:rPr>
          <w:color w:val="1F1F1F"/>
          <w:spacing w:val="-7"/>
        </w:rPr>
        <w:t> </w:t>
      </w:r>
      <w:r>
        <w:rPr>
          <w:color w:val="1F1F1F"/>
        </w:rPr>
        <w:t>reliefs</w:t>
      </w:r>
      <w:r>
        <w:rPr>
          <w:color w:val="1F1F1F"/>
          <w:spacing w:val="-8"/>
        </w:rPr>
        <w:t> </w:t>
      </w:r>
      <w:r>
        <w:rPr>
          <w:color w:val="1F1F1F"/>
        </w:rPr>
        <w:t>and</w:t>
      </w:r>
      <w:r>
        <w:rPr>
          <w:color w:val="1F1F1F"/>
          <w:spacing w:val="-13"/>
        </w:rPr>
        <w:t> </w:t>
      </w:r>
      <w:r>
        <w:rPr>
          <w:color w:val="1F1F1F"/>
        </w:rPr>
        <w:t>other deductions, is allocated amongst the Council</w:t>
      </w:r>
      <w:r>
        <w:rPr>
          <w:color w:val="4F4F4F"/>
        </w:rPr>
        <w:t>, </w:t>
      </w:r>
      <w:r>
        <w:rPr>
          <w:color w:val="1F1F1F"/>
        </w:rPr>
        <w:t>Hertfordshire County Council as a preceptor and </w:t>
      </w:r>
      <w:r>
        <w:rPr>
          <w:color w:val="0F0F0F"/>
        </w:rPr>
        <w:t>DLUHC</w:t>
      </w:r>
      <w:r>
        <w:rPr>
          <w:color w:val="808080"/>
        </w:rPr>
        <w:t>. </w:t>
      </w:r>
      <w:r>
        <w:rPr>
          <w:color w:val="1F1F1F"/>
        </w:rPr>
        <w:t>The Council</w:t>
      </w:r>
      <w:r>
        <w:rPr>
          <w:color w:val="4F4F4F"/>
        </w:rPr>
        <w:t>'</w:t>
      </w:r>
      <w:r>
        <w:rPr>
          <w:color w:val="1F1F1F"/>
        </w:rPr>
        <w:t>s share </w:t>
      </w:r>
      <w:r>
        <w:rPr>
          <w:color w:val="313131"/>
        </w:rPr>
        <w:t>is </w:t>
      </w:r>
      <w:r>
        <w:rPr>
          <w:color w:val="1F1F1F"/>
        </w:rPr>
        <w:t>paid </w:t>
      </w:r>
      <w:r>
        <w:rPr>
          <w:color w:val="313131"/>
        </w:rPr>
        <w:t>into </w:t>
      </w:r>
      <w:r>
        <w:rPr>
          <w:color w:val="1F1F1F"/>
        </w:rPr>
        <w:t>the General Fund</w:t>
      </w:r>
      <w:r>
        <w:rPr>
          <w:color w:val="4F4F4F"/>
        </w:rPr>
        <w:t>.</w:t>
      </w:r>
    </w:p>
    <w:p>
      <w:pPr>
        <w:spacing w:after="0"/>
        <w:jc w:val="both"/>
        <w:sectPr>
          <w:headerReference w:type="even" r:id="rId244"/>
          <w:pgSz w:w="11910" w:h="16830"/>
          <w:pgMar w:top="260" w:right="340" w:bottom="920" w:left="0" w:header="0" w:footer="0"/>
        </w:sectPr>
      </w:pPr>
    </w:p>
    <w:p>
      <w:pPr>
        <w:spacing w:before="82"/>
        <w:ind w:left="1896" w:right="0" w:firstLine="0"/>
        <w:jc w:val="left"/>
        <w:rPr>
          <w:sz w:val="15"/>
        </w:rPr>
      </w:pPr>
      <w:r>
        <w:rPr>
          <w:color w:val="A5A5A5"/>
          <w:w w:val="105"/>
          <w:sz w:val="15"/>
        </w:rPr>
        <w:t>COLLECTION</w:t>
      </w:r>
      <w:r>
        <w:rPr>
          <w:color w:val="A5A5A5"/>
          <w:spacing w:val="19"/>
          <w:w w:val="105"/>
          <w:sz w:val="15"/>
        </w:rPr>
        <w:t> </w:t>
      </w:r>
      <w:r>
        <w:rPr>
          <w:color w:val="A5A5A5"/>
          <w:spacing w:val="-4"/>
          <w:w w:val="105"/>
          <w:sz w:val="15"/>
        </w:rPr>
        <w:t>FUND</w:t>
      </w:r>
    </w:p>
    <w:p>
      <w:pPr>
        <w:pStyle w:val="BodyText"/>
        <w:spacing w:before="60"/>
        <w:rPr>
          <w:sz w:val="15"/>
        </w:rPr>
      </w:pPr>
    </w:p>
    <w:p>
      <w:pPr>
        <w:pStyle w:val="Heading3"/>
        <w:numPr>
          <w:ilvl w:val="1"/>
          <w:numId w:val="24"/>
        </w:numPr>
        <w:tabs>
          <w:tab w:val="left" w:leader="none" w:pos="1844"/>
        </w:tabs>
        <w:spacing w:before="0" w:after="0" w:line="240" w:lineRule="auto"/>
        <w:ind w:left="1844" w:right="0" w:hanging="671"/>
        <w:jc w:val="left"/>
        <w:rPr>
          <w:color w:val="0F0F0F"/>
        </w:rPr>
      </w:pPr>
      <w:r>
        <w:rPr>
          <w:color w:val="0F0F0F"/>
        </w:rPr>
        <w:t>Precepts</w:t>
      </w:r>
      <w:r>
        <w:rPr>
          <w:color w:val="0F0F0F"/>
          <w:spacing w:val="-7"/>
        </w:rPr>
        <w:t> </w:t>
      </w:r>
      <w:r>
        <w:rPr>
          <w:color w:val="0F0F0F"/>
        </w:rPr>
        <w:t>and</w:t>
      </w:r>
      <w:r>
        <w:rPr>
          <w:color w:val="0F0F0F"/>
          <w:spacing w:val="-11"/>
        </w:rPr>
        <w:t> </w:t>
      </w:r>
      <w:r>
        <w:rPr>
          <w:color w:val="0F0F0F"/>
          <w:spacing w:val="-2"/>
        </w:rPr>
        <w:t>Demands</w:t>
      </w:r>
    </w:p>
    <w:p>
      <w:pPr>
        <w:pStyle w:val="BodyText"/>
        <w:spacing w:before="8"/>
        <w:rPr>
          <w:b/>
        </w:rPr>
      </w:pPr>
    </w:p>
    <w:p>
      <w:pPr>
        <w:spacing w:before="0" w:line="252" w:lineRule="auto"/>
        <w:ind w:left="1172" w:right="386" w:hanging="1"/>
        <w:jc w:val="left"/>
        <w:rPr>
          <w:sz w:val="21"/>
        </w:rPr>
      </w:pPr>
      <w:r>
        <w:rPr>
          <w:color w:val="0F0F0F"/>
          <w:w w:val="105"/>
          <w:sz w:val="21"/>
        </w:rPr>
        <w:t>During</w:t>
      </w:r>
      <w:r>
        <w:rPr>
          <w:color w:val="0F0F0F"/>
          <w:spacing w:val="-7"/>
          <w:w w:val="105"/>
          <w:sz w:val="21"/>
        </w:rPr>
        <w:t> </w:t>
      </w:r>
      <w:r>
        <w:rPr>
          <w:color w:val="0F0F0F"/>
          <w:w w:val="105"/>
          <w:sz w:val="21"/>
        </w:rPr>
        <w:t>the</w:t>
      </w:r>
      <w:r>
        <w:rPr>
          <w:color w:val="0F0F0F"/>
          <w:spacing w:val="-3"/>
          <w:w w:val="105"/>
          <w:sz w:val="21"/>
        </w:rPr>
        <w:t> </w:t>
      </w:r>
      <w:r>
        <w:rPr>
          <w:color w:val="0F0F0F"/>
          <w:w w:val="105"/>
          <w:sz w:val="21"/>
        </w:rPr>
        <w:t>year</w:t>
      </w:r>
      <w:r>
        <w:rPr>
          <w:color w:val="0F0F0F"/>
          <w:spacing w:val="-9"/>
          <w:w w:val="105"/>
          <w:sz w:val="21"/>
        </w:rPr>
        <w:t> </w:t>
      </w:r>
      <w:r>
        <w:rPr>
          <w:color w:val="0F0F0F"/>
          <w:w w:val="105"/>
          <w:sz w:val="21"/>
        </w:rPr>
        <w:t>the</w:t>
      </w:r>
      <w:r>
        <w:rPr>
          <w:color w:val="0F0F0F"/>
          <w:spacing w:val="-11"/>
          <w:w w:val="105"/>
          <w:sz w:val="21"/>
        </w:rPr>
        <w:t> </w:t>
      </w:r>
      <w:r>
        <w:rPr>
          <w:color w:val="0F0F0F"/>
          <w:w w:val="105"/>
          <w:sz w:val="21"/>
        </w:rPr>
        <w:t>following</w:t>
      </w:r>
      <w:r>
        <w:rPr>
          <w:color w:val="0F0F0F"/>
          <w:spacing w:val="-1"/>
          <w:w w:val="105"/>
          <w:sz w:val="21"/>
        </w:rPr>
        <w:t> </w:t>
      </w:r>
      <w:r>
        <w:rPr>
          <w:color w:val="0F0F0F"/>
          <w:w w:val="105"/>
          <w:sz w:val="21"/>
        </w:rPr>
        <w:t>authorities made</w:t>
      </w:r>
      <w:r>
        <w:rPr>
          <w:color w:val="0F0F0F"/>
          <w:spacing w:val="-10"/>
          <w:w w:val="105"/>
          <w:sz w:val="21"/>
        </w:rPr>
        <w:t> </w:t>
      </w:r>
      <w:r>
        <w:rPr>
          <w:color w:val="0F0F0F"/>
          <w:w w:val="105"/>
          <w:sz w:val="21"/>
        </w:rPr>
        <w:t>precepts or</w:t>
      </w:r>
      <w:r>
        <w:rPr>
          <w:color w:val="0F0F0F"/>
          <w:spacing w:val="-6"/>
          <w:w w:val="105"/>
          <w:sz w:val="21"/>
        </w:rPr>
        <w:t> </w:t>
      </w:r>
      <w:r>
        <w:rPr>
          <w:color w:val="0F0F0F"/>
          <w:w w:val="105"/>
          <w:sz w:val="21"/>
        </w:rPr>
        <w:t>demands on</w:t>
      </w:r>
      <w:r>
        <w:rPr>
          <w:color w:val="0F0F0F"/>
          <w:spacing w:val="-13"/>
          <w:w w:val="105"/>
          <w:sz w:val="21"/>
        </w:rPr>
        <w:t> </w:t>
      </w:r>
      <w:r>
        <w:rPr>
          <w:color w:val="0F0F0F"/>
          <w:w w:val="105"/>
          <w:sz w:val="21"/>
        </w:rPr>
        <w:t>the</w:t>
      </w:r>
      <w:r>
        <w:rPr>
          <w:color w:val="0F0F0F"/>
          <w:spacing w:val="-4"/>
          <w:w w:val="105"/>
          <w:sz w:val="21"/>
        </w:rPr>
        <w:t> </w:t>
      </w:r>
      <w:r>
        <w:rPr>
          <w:color w:val="0F0F0F"/>
          <w:w w:val="105"/>
          <w:sz w:val="21"/>
        </w:rPr>
        <w:t>Collection Fund</w:t>
      </w:r>
      <w:r>
        <w:rPr>
          <w:color w:val="0F0F0F"/>
          <w:spacing w:val="-12"/>
          <w:w w:val="105"/>
          <w:sz w:val="21"/>
        </w:rPr>
        <w:t> </w:t>
      </w:r>
      <w:r>
        <w:rPr>
          <w:color w:val="0F0F0F"/>
          <w:w w:val="105"/>
          <w:sz w:val="21"/>
        </w:rPr>
        <w:t>of</w:t>
      </w:r>
      <w:r>
        <w:rPr>
          <w:color w:val="0F0F0F"/>
          <w:spacing w:val="-11"/>
          <w:w w:val="105"/>
          <w:sz w:val="21"/>
        </w:rPr>
        <w:t> </w:t>
      </w:r>
      <w:r>
        <w:rPr>
          <w:color w:val="0F0F0F"/>
          <w:w w:val="105"/>
          <w:sz w:val="21"/>
        </w:rPr>
        <w:t>the </w:t>
      </w:r>
      <w:r>
        <w:rPr>
          <w:color w:val="0F0F0F"/>
          <w:spacing w:val="-2"/>
          <w:w w:val="105"/>
          <w:sz w:val="21"/>
        </w:rPr>
        <w:t>Council</w:t>
      </w:r>
      <w:r>
        <w:rPr>
          <w:color w:val="6B6B6B"/>
          <w:spacing w:val="-2"/>
          <w:w w:val="105"/>
          <w:sz w:val="21"/>
        </w:rPr>
        <w:t>.</w:t>
      </w:r>
    </w:p>
    <w:p>
      <w:pPr>
        <w:pStyle w:val="BodyText"/>
        <w:rPr>
          <w:sz w:val="20"/>
        </w:rPr>
      </w:pPr>
    </w:p>
    <w:p>
      <w:pPr>
        <w:pStyle w:val="BodyText"/>
        <w:spacing w:before="40"/>
        <w:rPr>
          <w:sz w:val="20"/>
        </w:rPr>
      </w:pPr>
    </w:p>
    <w:tbl>
      <w:tblPr>
        <w:tblW w:w="0" w:type="auto"/>
        <w:jc w:val="left"/>
        <w:tblInd w:w="13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5624"/>
        <w:gridCol w:w="1666"/>
        <w:gridCol w:w="1248"/>
        <w:gridCol w:w="1123"/>
      </w:tblGrid>
      <w:tr>
        <w:trPr>
          <w:trHeight w:val="783" w:hRule="atLeast"/>
        </w:trPr>
        <w:tc>
          <w:tcPr>
            <w:tcW w:w="5624" w:type="dxa"/>
          </w:tcPr>
          <w:p>
            <w:pPr>
              <w:pStyle w:val="TableParagraph"/>
              <w:spacing w:line="246" w:lineRule="exact"/>
              <w:ind w:left="50"/>
              <w:rPr>
                <w:b/>
                <w:sz w:val="22"/>
              </w:rPr>
            </w:pPr>
            <w:r>
              <w:rPr>
                <w:b/>
                <w:color w:val="0F0F0F"/>
                <w:sz w:val="22"/>
              </w:rPr>
              <w:t>Precepts,</w:t>
            </w:r>
            <w:r>
              <w:rPr>
                <w:b/>
                <w:color w:val="0F0F0F"/>
                <w:spacing w:val="-3"/>
                <w:sz w:val="22"/>
              </w:rPr>
              <w:t> </w:t>
            </w:r>
            <w:r>
              <w:rPr>
                <w:b/>
                <w:color w:val="0F0F0F"/>
                <w:sz w:val="22"/>
              </w:rPr>
              <w:t>Demands</w:t>
            </w:r>
            <w:r>
              <w:rPr>
                <w:b/>
                <w:color w:val="0F0F0F"/>
                <w:spacing w:val="-6"/>
                <w:sz w:val="22"/>
              </w:rPr>
              <w:t> </w:t>
            </w:r>
            <w:r>
              <w:rPr>
                <w:b/>
                <w:color w:val="0F0F0F"/>
                <w:sz w:val="22"/>
              </w:rPr>
              <w:t>and</w:t>
            </w:r>
            <w:r>
              <w:rPr>
                <w:b/>
                <w:color w:val="0F0F0F"/>
                <w:spacing w:val="-9"/>
                <w:sz w:val="22"/>
              </w:rPr>
              <w:t> </w:t>
            </w:r>
            <w:r>
              <w:rPr>
                <w:b/>
                <w:color w:val="0F0F0F"/>
                <w:spacing w:val="-2"/>
                <w:sz w:val="22"/>
              </w:rPr>
              <w:t>Shares</w:t>
            </w:r>
          </w:p>
        </w:tc>
        <w:tc>
          <w:tcPr>
            <w:tcW w:w="1666" w:type="dxa"/>
          </w:tcPr>
          <w:p>
            <w:pPr>
              <w:pStyle w:val="TableParagraph"/>
              <w:spacing w:before="247"/>
              <w:ind w:right="220"/>
              <w:jc w:val="right"/>
              <w:rPr>
                <w:b/>
                <w:sz w:val="22"/>
              </w:rPr>
            </w:pPr>
            <w:r>
              <w:rPr>
                <w:b/>
                <w:color w:val="0F0F0F"/>
                <w:spacing w:val="-2"/>
                <w:sz w:val="22"/>
              </w:rPr>
              <w:t>Business</w:t>
            </w:r>
          </w:p>
          <w:p>
            <w:pPr>
              <w:pStyle w:val="TableParagraph"/>
              <w:spacing w:before="2"/>
              <w:ind w:right="216"/>
              <w:jc w:val="right"/>
              <w:rPr>
                <w:b/>
                <w:sz w:val="22"/>
              </w:rPr>
            </w:pPr>
            <w:r>
              <w:rPr>
                <w:b/>
                <w:color w:val="0F0F0F"/>
                <w:spacing w:val="-2"/>
                <w:sz w:val="22"/>
              </w:rPr>
              <w:t>Rates</w:t>
            </w:r>
          </w:p>
        </w:tc>
        <w:tc>
          <w:tcPr>
            <w:tcW w:w="1248" w:type="dxa"/>
          </w:tcPr>
          <w:p>
            <w:pPr>
              <w:pStyle w:val="TableParagraph"/>
              <w:spacing w:before="247"/>
              <w:ind w:left="208"/>
              <w:rPr>
                <w:b/>
                <w:sz w:val="22"/>
              </w:rPr>
            </w:pPr>
            <w:r>
              <w:rPr>
                <w:b/>
                <w:color w:val="0F0F0F"/>
                <w:spacing w:val="-2"/>
                <w:sz w:val="22"/>
              </w:rPr>
              <w:t>Council</w:t>
            </w:r>
          </w:p>
          <w:p>
            <w:pPr>
              <w:pStyle w:val="TableParagraph"/>
              <w:spacing w:before="2"/>
              <w:ind w:left="641"/>
              <w:rPr>
                <w:b/>
                <w:sz w:val="22"/>
              </w:rPr>
            </w:pPr>
            <w:r>
              <w:rPr>
                <w:b/>
                <w:color w:val="0F0F0F"/>
                <w:spacing w:val="-5"/>
                <w:sz w:val="22"/>
              </w:rPr>
              <w:t>Tax</w:t>
            </w:r>
          </w:p>
        </w:tc>
        <w:tc>
          <w:tcPr>
            <w:tcW w:w="1123" w:type="dxa"/>
          </w:tcPr>
          <w:p>
            <w:pPr>
              <w:pStyle w:val="TableParagraph"/>
              <w:spacing w:before="249"/>
              <w:rPr>
                <w:sz w:val="22"/>
              </w:rPr>
            </w:pPr>
          </w:p>
          <w:p>
            <w:pPr>
              <w:pStyle w:val="TableParagraph"/>
              <w:ind w:right="114"/>
              <w:jc w:val="right"/>
              <w:rPr>
                <w:b/>
                <w:sz w:val="22"/>
              </w:rPr>
            </w:pPr>
            <w:r>
              <w:rPr>
                <w:b/>
                <w:color w:val="0F0F0F"/>
                <w:spacing w:val="-2"/>
                <w:sz w:val="22"/>
              </w:rPr>
              <w:t>Total</w:t>
            </w:r>
          </w:p>
        </w:tc>
      </w:tr>
      <w:tr>
        <w:trPr>
          <w:trHeight w:val="276" w:hRule="atLeast"/>
        </w:trPr>
        <w:tc>
          <w:tcPr>
            <w:tcW w:w="5624" w:type="dxa"/>
          </w:tcPr>
          <w:p>
            <w:pPr>
              <w:pStyle w:val="TableParagraph"/>
              <w:rPr>
                <w:rFonts w:ascii="Times New Roman"/>
                <w:sz w:val="20"/>
              </w:rPr>
            </w:pPr>
          </w:p>
        </w:tc>
        <w:tc>
          <w:tcPr>
            <w:tcW w:w="1666" w:type="dxa"/>
          </w:tcPr>
          <w:p>
            <w:pPr>
              <w:pStyle w:val="TableParagraph"/>
              <w:spacing w:before="21" w:line="235" w:lineRule="exact"/>
              <w:ind w:right="209"/>
              <w:jc w:val="right"/>
              <w:rPr>
                <w:b/>
                <w:sz w:val="22"/>
              </w:rPr>
            </w:pPr>
            <w:r>
              <w:rPr>
                <w:b/>
                <w:color w:val="0F0F0F"/>
                <w:spacing w:val="-4"/>
                <w:sz w:val="22"/>
              </w:rPr>
              <w:t>£000</w:t>
            </w:r>
          </w:p>
        </w:tc>
        <w:tc>
          <w:tcPr>
            <w:tcW w:w="1248" w:type="dxa"/>
          </w:tcPr>
          <w:p>
            <w:pPr>
              <w:pStyle w:val="TableParagraph"/>
              <w:spacing w:before="21" w:line="235" w:lineRule="exact"/>
              <w:ind w:right="221"/>
              <w:jc w:val="right"/>
              <w:rPr>
                <w:b/>
                <w:sz w:val="22"/>
              </w:rPr>
            </w:pPr>
            <w:r>
              <w:rPr>
                <w:b/>
                <w:color w:val="0F0F0F"/>
                <w:spacing w:val="-4"/>
                <w:sz w:val="22"/>
              </w:rPr>
              <w:t>£000</w:t>
            </w:r>
          </w:p>
        </w:tc>
        <w:tc>
          <w:tcPr>
            <w:tcW w:w="1123" w:type="dxa"/>
          </w:tcPr>
          <w:p>
            <w:pPr>
              <w:pStyle w:val="TableParagraph"/>
              <w:spacing w:before="21" w:line="235" w:lineRule="exact"/>
              <w:ind w:right="118"/>
              <w:jc w:val="right"/>
              <w:rPr>
                <w:b/>
                <w:sz w:val="22"/>
              </w:rPr>
            </w:pPr>
            <w:r>
              <w:rPr>
                <w:b/>
                <w:color w:val="0F0F0F"/>
                <w:spacing w:val="-4"/>
                <w:sz w:val="22"/>
              </w:rPr>
              <w:t>£000</w:t>
            </w:r>
          </w:p>
        </w:tc>
      </w:tr>
      <w:tr>
        <w:trPr>
          <w:trHeight w:val="301" w:hRule="atLeast"/>
        </w:trPr>
        <w:tc>
          <w:tcPr>
            <w:tcW w:w="5624" w:type="dxa"/>
          </w:tcPr>
          <w:p>
            <w:pPr>
              <w:pStyle w:val="TableParagraph"/>
              <w:spacing w:before="28"/>
              <w:ind w:left="54"/>
              <w:rPr>
                <w:sz w:val="21"/>
              </w:rPr>
            </w:pPr>
            <w:r>
              <w:rPr>
                <w:color w:val="0F0F0F"/>
                <w:spacing w:val="-2"/>
                <w:w w:val="105"/>
                <w:sz w:val="21"/>
              </w:rPr>
              <w:t>DLUHC</w:t>
            </w:r>
          </w:p>
        </w:tc>
        <w:tc>
          <w:tcPr>
            <w:tcW w:w="1666" w:type="dxa"/>
          </w:tcPr>
          <w:p>
            <w:pPr>
              <w:pStyle w:val="TableParagraph"/>
              <w:spacing w:before="57" w:line="225" w:lineRule="exact"/>
              <w:ind w:right="207"/>
              <w:jc w:val="right"/>
              <w:rPr>
                <w:sz w:val="21"/>
              </w:rPr>
            </w:pPr>
            <w:r>
              <w:rPr>
                <w:color w:val="0F0F0F"/>
                <w:spacing w:val="-2"/>
                <w:sz w:val="21"/>
              </w:rPr>
              <w:t>19,157</w:t>
            </w:r>
          </w:p>
        </w:tc>
        <w:tc>
          <w:tcPr>
            <w:tcW w:w="1248" w:type="dxa"/>
          </w:tcPr>
          <w:p>
            <w:pPr>
              <w:pStyle w:val="TableParagraph"/>
              <w:rPr>
                <w:rFonts w:ascii="Times New Roman"/>
                <w:sz w:val="20"/>
              </w:rPr>
            </w:pPr>
          </w:p>
        </w:tc>
        <w:tc>
          <w:tcPr>
            <w:tcW w:w="1123" w:type="dxa"/>
          </w:tcPr>
          <w:p>
            <w:pPr>
              <w:pStyle w:val="TableParagraph"/>
              <w:spacing w:line="248" w:lineRule="exact"/>
              <w:ind w:right="119"/>
              <w:jc w:val="right"/>
              <w:rPr>
                <w:b/>
                <w:sz w:val="22"/>
              </w:rPr>
            </w:pPr>
            <w:r>
              <w:rPr>
                <w:b/>
                <w:color w:val="0F0F0F"/>
                <w:spacing w:val="-2"/>
                <w:sz w:val="22"/>
              </w:rPr>
              <w:t>19,157</w:t>
            </w:r>
          </w:p>
        </w:tc>
      </w:tr>
      <w:tr>
        <w:trPr>
          <w:trHeight w:val="302" w:hRule="atLeast"/>
        </w:trPr>
        <w:tc>
          <w:tcPr>
            <w:tcW w:w="5624" w:type="dxa"/>
          </w:tcPr>
          <w:p>
            <w:pPr>
              <w:pStyle w:val="TableParagraph"/>
              <w:spacing w:before="29"/>
              <w:ind w:left="53"/>
              <w:rPr>
                <w:sz w:val="21"/>
              </w:rPr>
            </w:pPr>
            <w:r>
              <w:rPr>
                <w:color w:val="0F0F0F"/>
                <w:w w:val="105"/>
                <w:sz w:val="21"/>
              </w:rPr>
              <w:t>Hertsmere</w:t>
            </w:r>
            <w:r>
              <w:rPr>
                <w:color w:val="0F0F0F"/>
                <w:spacing w:val="-10"/>
                <w:w w:val="105"/>
                <w:sz w:val="21"/>
              </w:rPr>
              <w:t> </w:t>
            </w:r>
            <w:r>
              <w:rPr>
                <w:color w:val="0F0F0F"/>
                <w:w w:val="105"/>
                <w:sz w:val="21"/>
              </w:rPr>
              <w:t>Borough</w:t>
            </w:r>
            <w:r>
              <w:rPr>
                <w:color w:val="0F0F0F"/>
                <w:spacing w:val="-10"/>
                <w:w w:val="105"/>
                <w:sz w:val="21"/>
              </w:rPr>
              <w:t> </w:t>
            </w:r>
            <w:r>
              <w:rPr>
                <w:color w:val="0F0F0F"/>
                <w:spacing w:val="-2"/>
                <w:w w:val="105"/>
                <w:sz w:val="21"/>
              </w:rPr>
              <w:t>Council</w:t>
            </w:r>
          </w:p>
        </w:tc>
        <w:tc>
          <w:tcPr>
            <w:tcW w:w="1666" w:type="dxa"/>
          </w:tcPr>
          <w:p>
            <w:pPr>
              <w:pStyle w:val="TableParagraph"/>
              <w:spacing w:before="58" w:line="225" w:lineRule="exact"/>
              <w:ind w:right="213"/>
              <w:jc w:val="right"/>
              <w:rPr>
                <w:sz w:val="21"/>
              </w:rPr>
            </w:pPr>
            <w:r>
              <w:rPr>
                <w:color w:val="0F0F0F"/>
                <w:spacing w:val="-2"/>
                <w:sz w:val="21"/>
              </w:rPr>
              <w:t>15,326</w:t>
            </w:r>
          </w:p>
        </w:tc>
        <w:tc>
          <w:tcPr>
            <w:tcW w:w="1248" w:type="dxa"/>
          </w:tcPr>
          <w:p>
            <w:pPr>
              <w:pStyle w:val="TableParagraph"/>
              <w:spacing w:before="10"/>
              <w:ind w:right="221"/>
              <w:jc w:val="right"/>
              <w:rPr>
                <w:sz w:val="21"/>
              </w:rPr>
            </w:pPr>
            <w:r>
              <w:rPr>
                <w:color w:val="0F0F0F"/>
                <w:spacing w:val="-2"/>
                <w:w w:val="105"/>
                <w:sz w:val="21"/>
              </w:rPr>
              <w:t>8</w:t>
            </w:r>
            <w:r>
              <w:rPr>
                <w:color w:val="444444"/>
                <w:spacing w:val="-2"/>
                <w:w w:val="105"/>
                <w:sz w:val="21"/>
              </w:rPr>
              <w:t>,</w:t>
            </w:r>
            <w:r>
              <w:rPr>
                <w:color w:val="0F0F0F"/>
                <w:spacing w:val="-2"/>
                <w:w w:val="105"/>
                <w:sz w:val="21"/>
              </w:rPr>
              <w:t>232</w:t>
            </w:r>
          </w:p>
        </w:tc>
        <w:tc>
          <w:tcPr>
            <w:tcW w:w="1123" w:type="dxa"/>
          </w:tcPr>
          <w:p>
            <w:pPr>
              <w:pStyle w:val="TableParagraph"/>
              <w:spacing w:line="249" w:lineRule="exact"/>
              <w:ind w:right="118"/>
              <w:jc w:val="right"/>
              <w:rPr>
                <w:b/>
                <w:sz w:val="22"/>
              </w:rPr>
            </w:pPr>
            <w:r>
              <w:rPr>
                <w:b/>
                <w:color w:val="0F0F0F"/>
                <w:spacing w:val="-2"/>
                <w:sz w:val="22"/>
              </w:rPr>
              <w:t>23,558</w:t>
            </w:r>
          </w:p>
        </w:tc>
      </w:tr>
      <w:tr>
        <w:trPr>
          <w:trHeight w:val="297" w:hRule="atLeast"/>
        </w:trPr>
        <w:tc>
          <w:tcPr>
            <w:tcW w:w="5624" w:type="dxa"/>
          </w:tcPr>
          <w:p>
            <w:pPr>
              <w:pStyle w:val="TableParagraph"/>
              <w:spacing w:before="29"/>
              <w:ind w:left="53"/>
              <w:rPr>
                <w:sz w:val="21"/>
              </w:rPr>
            </w:pPr>
            <w:r>
              <w:rPr>
                <w:color w:val="0F0F0F"/>
                <w:w w:val="105"/>
                <w:sz w:val="21"/>
              </w:rPr>
              <w:t>Hertfordshire</w:t>
            </w:r>
            <w:r>
              <w:rPr>
                <w:color w:val="0F0F0F"/>
                <w:spacing w:val="-11"/>
                <w:w w:val="105"/>
                <w:sz w:val="21"/>
              </w:rPr>
              <w:t> </w:t>
            </w:r>
            <w:r>
              <w:rPr>
                <w:color w:val="0F0F0F"/>
                <w:w w:val="105"/>
                <w:sz w:val="21"/>
              </w:rPr>
              <w:t>County</w:t>
            </w:r>
            <w:r>
              <w:rPr>
                <w:color w:val="0F0F0F"/>
                <w:spacing w:val="-12"/>
                <w:w w:val="105"/>
                <w:sz w:val="21"/>
              </w:rPr>
              <w:t> </w:t>
            </w:r>
            <w:r>
              <w:rPr>
                <w:color w:val="0F0F0F"/>
                <w:spacing w:val="-2"/>
                <w:w w:val="105"/>
                <w:sz w:val="21"/>
              </w:rPr>
              <w:t>Council</w:t>
            </w:r>
          </w:p>
        </w:tc>
        <w:tc>
          <w:tcPr>
            <w:tcW w:w="1666" w:type="dxa"/>
          </w:tcPr>
          <w:p>
            <w:pPr>
              <w:pStyle w:val="TableParagraph"/>
              <w:spacing w:before="53" w:line="225" w:lineRule="exact"/>
              <w:ind w:right="209"/>
              <w:jc w:val="right"/>
              <w:rPr>
                <w:sz w:val="21"/>
              </w:rPr>
            </w:pPr>
            <w:r>
              <w:rPr>
                <w:color w:val="0F0F0F"/>
                <w:spacing w:val="-2"/>
                <w:sz w:val="21"/>
              </w:rPr>
              <w:t>3,831</w:t>
            </w:r>
          </w:p>
        </w:tc>
        <w:tc>
          <w:tcPr>
            <w:tcW w:w="1248" w:type="dxa"/>
          </w:tcPr>
          <w:p>
            <w:pPr>
              <w:pStyle w:val="TableParagraph"/>
              <w:spacing w:before="53" w:line="225" w:lineRule="exact"/>
              <w:ind w:right="211"/>
              <w:jc w:val="right"/>
              <w:rPr>
                <w:sz w:val="21"/>
              </w:rPr>
            </w:pPr>
            <w:r>
              <w:rPr>
                <w:color w:val="0F0F0F"/>
                <w:spacing w:val="-2"/>
                <w:sz w:val="21"/>
              </w:rPr>
              <w:t>65</w:t>
            </w:r>
            <w:r>
              <w:rPr>
                <w:color w:val="444444"/>
                <w:spacing w:val="-2"/>
                <w:sz w:val="21"/>
              </w:rPr>
              <w:t>,</w:t>
            </w:r>
            <w:r>
              <w:rPr>
                <w:color w:val="0F0F0F"/>
                <w:spacing w:val="-2"/>
                <w:sz w:val="21"/>
              </w:rPr>
              <w:t>455</w:t>
            </w:r>
          </w:p>
        </w:tc>
        <w:tc>
          <w:tcPr>
            <w:tcW w:w="1123" w:type="dxa"/>
          </w:tcPr>
          <w:p>
            <w:pPr>
              <w:pStyle w:val="TableParagraph"/>
              <w:spacing w:line="249" w:lineRule="exact"/>
              <w:ind w:right="122"/>
              <w:jc w:val="right"/>
              <w:rPr>
                <w:b/>
                <w:sz w:val="22"/>
              </w:rPr>
            </w:pPr>
            <w:r>
              <w:rPr>
                <w:b/>
                <w:color w:val="0F0F0F"/>
                <w:spacing w:val="-2"/>
                <w:sz w:val="22"/>
              </w:rPr>
              <w:t>69,286</w:t>
            </w:r>
          </w:p>
        </w:tc>
      </w:tr>
      <w:tr>
        <w:trPr>
          <w:trHeight w:val="302" w:hRule="atLeast"/>
        </w:trPr>
        <w:tc>
          <w:tcPr>
            <w:tcW w:w="5624" w:type="dxa"/>
          </w:tcPr>
          <w:p>
            <w:pPr>
              <w:pStyle w:val="TableParagraph"/>
              <w:spacing w:before="29"/>
              <w:ind w:left="53"/>
              <w:rPr>
                <w:sz w:val="21"/>
              </w:rPr>
            </w:pPr>
            <w:r>
              <w:rPr>
                <w:color w:val="0F0F0F"/>
                <w:spacing w:val="-2"/>
                <w:w w:val="105"/>
                <w:sz w:val="21"/>
              </w:rPr>
              <w:t>Hertfordshire</w:t>
            </w:r>
            <w:r>
              <w:rPr>
                <w:color w:val="0F0F0F"/>
                <w:spacing w:val="8"/>
                <w:w w:val="105"/>
                <w:sz w:val="21"/>
              </w:rPr>
              <w:t> </w:t>
            </w:r>
            <w:r>
              <w:rPr>
                <w:color w:val="0F0F0F"/>
                <w:spacing w:val="-5"/>
                <w:w w:val="105"/>
                <w:sz w:val="21"/>
              </w:rPr>
              <w:t>PCC</w:t>
            </w:r>
          </w:p>
        </w:tc>
        <w:tc>
          <w:tcPr>
            <w:tcW w:w="1666" w:type="dxa"/>
          </w:tcPr>
          <w:p>
            <w:pPr>
              <w:pStyle w:val="TableParagraph"/>
              <w:rPr>
                <w:rFonts w:ascii="Times New Roman"/>
                <w:sz w:val="20"/>
              </w:rPr>
            </w:pPr>
          </w:p>
        </w:tc>
        <w:tc>
          <w:tcPr>
            <w:tcW w:w="1248" w:type="dxa"/>
          </w:tcPr>
          <w:p>
            <w:pPr>
              <w:pStyle w:val="TableParagraph"/>
              <w:spacing w:before="58" w:line="225" w:lineRule="exact"/>
              <w:ind w:right="221"/>
              <w:jc w:val="right"/>
              <w:rPr>
                <w:sz w:val="21"/>
              </w:rPr>
            </w:pPr>
            <w:r>
              <w:rPr>
                <w:color w:val="0F0F0F"/>
                <w:spacing w:val="-2"/>
                <w:sz w:val="21"/>
              </w:rPr>
              <w:t>9,544</w:t>
            </w:r>
          </w:p>
        </w:tc>
        <w:tc>
          <w:tcPr>
            <w:tcW w:w="1123" w:type="dxa"/>
          </w:tcPr>
          <w:p>
            <w:pPr>
              <w:pStyle w:val="TableParagraph"/>
              <w:spacing w:line="249" w:lineRule="exact"/>
              <w:ind w:right="111"/>
              <w:jc w:val="right"/>
              <w:rPr>
                <w:b/>
                <w:sz w:val="22"/>
              </w:rPr>
            </w:pPr>
            <w:r>
              <w:rPr>
                <w:b/>
                <w:color w:val="0F0F0F"/>
                <w:spacing w:val="-2"/>
                <w:sz w:val="22"/>
              </w:rPr>
              <w:t>9,544</w:t>
            </w:r>
          </w:p>
        </w:tc>
      </w:tr>
      <w:tr>
        <w:trPr>
          <w:trHeight w:val="288" w:hRule="atLeast"/>
        </w:trPr>
        <w:tc>
          <w:tcPr>
            <w:tcW w:w="5624" w:type="dxa"/>
          </w:tcPr>
          <w:p>
            <w:pPr>
              <w:pStyle w:val="TableParagraph"/>
              <w:spacing w:before="29" w:line="239" w:lineRule="exact"/>
              <w:ind w:left="56"/>
              <w:rPr>
                <w:sz w:val="21"/>
              </w:rPr>
            </w:pPr>
            <w:r>
              <w:rPr>
                <w:color w:val="0F0F0F"/>
                <w:w w:val="105"/>
                <w:sz w:val="21"/>
              </w:rPr>
              <w:t>Aldenham</w:t>
            </w:r>
            <w:r>
              <w:rPr>
                <w:color w:val="0F0F0F"/>
                <w:spacing w:val="-4"/>
                <w:w w:val="105"/>
                <w:sz w:val="21"/>
              </w:rPr>
              <w:t> </w:t>
            </w:r>
            <w:r>
              <w:rPr>
                <w:color w:val="0F0F0F"/>
                <w:w w:val="105"/>
                <w:sz w:val="21"/>
              </w:rPr>
              <w:t>Parish</w:t>
            </w:r>
            <w:r>
              <w:rPr>
                <w:color w:val="0F0F0F"/>
                <w:spacing w:val="-10"/>
                <w:w w:val="105"/>
                <w:sz w:val="21"/>
              </w:rPr>
              <w:t> </w:t>
            </w:r>
            <w:r>
              <w:rPr>
                <w:color w:val="0F0F0F"/>
                <w:spacing w:val="-2"/>
                <w:w w:val="105"/>
                <w:sz w:val="21"/>
              </w:rPr>
              <w:t>Council</w:t>
            </w:r>
          </w:p>
        </w:tc>
        <w:tc>
          <w:tcPr>
            <w:tcW w:w="1666" w:type="dxa"/>
          </w:tcPr>
          <w:p>
            <w:pPr>
              <w:pStyle w:val="TableParagraph"/>
              <w:rPr>
                <w:rFonts w:ascii="Times New Roman"/>
                <w:sz w:val="20"/>
              </w:rPr>
            </w:pPr>
          </w:p>
        </w:tc>
        <w:tc>
          <w:tcPr>
            <w:tcW w:w="1248" w:type="dxa"/>
          </w:tcPr>
          <w:p>
            <w:pPr>
              <w:pStyle w:val="TableParagraph"/>
              <w:spacing w:before="10"/>
              <w:ind w:right="220"/>
              <w:jc w:val="right"/>
              <w:rPr>
                <w:sz w:val="21"/>
              </w:rPr>
            </w:pPr>
            <w:r>
              <w:rPr>
                <w:color w:val="0F0F0F"/>
                <w:spacing w:val="-5"/>
                <w:w w:val="105"/>
                <w:sz w:val="21"/>
              </w:rPr>
              <w:t>662</w:t>
            </w:r>
          </w:p>
        </w:tc>
        <w:tc>
          <w:tcPr>
            <w:tcW w:w="1123" w:type="dxa"/>
          </w:tcPr>
          <w:p>
            <w:pPr>
              <w:pStyle w:val="TableParagraph"/>
              <w:spacing w:line="249" w:lineRule="exact"/>
              <w:ind w:right="109"/>
              <w:jc w:val="right"/>
              <w:rPr>
                <w:b/>
                <w:sz w:val="22"/>
              </w:rPr>
            </w:pPr>
            <w:r>
              <w:rPr>
                <w:b/>
                <w:color w:val="0F0F0F"/>
                <w:spacing w:val="-5"/>
                <w:sz w:val="22"/>
              </w:rPr>
              <w:t>662</w:t>
            </w:r>
          </w:p>
        </w:tc>
      </w:tr>
      <w:tr>
        <w:trPr>
          <w:trHeight w:val="300" w:hRule="atLeast"/>
        </w:trPr>
        <w:tc>
          <w:tcPr>
            <w:tcW w:w="5624" w:type="dxa"/>
          </w:tcPr>
          <w:p>
            <w:pPr>
              <w:pStyle w:val="TableParagraph"/>
              <w:spacing w:before="39"/>
              <w:ind w:left="54"/>
              <w:rPr>
                <w:sz w:val="21"/>
              </w:rPr>
            </w:pPr>
            <w:r>
              <w:rPr>
                <w:color w:val="0F0F0F"/>
                <w:w w:val="105"/>
                <w:sz w:val="21"/>
              </w:rPr>
              <w:t>Elstree</w:t>
            </w:r>
            <w:r>
              <w:rPr>
                <w:color w:val="0F0F0F"/>
                <w:spacing w:val="-8"/>
                <w:w w:val="105"/>
                <w:sz w:val="21"/>
              </w:rPr>
              <w:t> </w:t>
            </w:r>
            <w:r>
              <w:rPr>
                <w:color w:val="0F0F0F"/>
                <w:w w:val="105"/>
                <w:sz w:val="21"/>
              </w:rPr>
              <w:t>&amp;</w:t>
            </w:r>
            <w:r>
              <w:rPr>
                <w:color w:val="0F0F0F"/>
                <w:spacing w:val="-15"/>
                <w:w w:val="105"/>
                <w:sz w:val="21"/>
              </w:rPr>
              <w:t> </w:t>
            </w:r>
            <w:r>
              <w:rPr>
                <w:color w:val="0F0F0F"/>
                <w:w w:val="105"/>
                <w:sz w:val="21"/>
              </w:rPr>
              <w:t>Borehamwood</w:t>
            </w:r>
            <w:r>
              <w:rPr>
                <w:color w:val="0F0F0F"/>
                <w:spacing w:val="-2"/>
                <w:w w:val="105"/>
                <w:sz w:val="21"/>
              </w:rPr>
              <w:t> </w:t>
            </w:r>
            <w:r>
              <w:rPr>
                <w:color w:val="0F0F0F"/>
                <w:w w:val="105"/>
                <w:sz w:val="21"/>
              </w:rPr>
              <w:t>Town</w:t>
            </w:r>
            <w:r>
              <w:rPr>
                <w:color w:val="0F0F0F"/>
                <w:spacing w:val="-14"/>
                <w:w w:val="105"/>
                <w:sz w:val="21"/>
              </w:rPr>
              <w:t> </w:t>
            </w:r>
            <w:r>
              <w:rPr>
                <w:color w:val="0F0F0F"/>
                <w:spacing w:val="-2"/>
                <w:w w:val="105"/>
                <w:sz w:val="21"/>
              </w:rPr>
              <w:t>Council</w:t>
            </w:r>
          </w:p>
        </w:tc>
        <w:tc>
          <w:tcPr>
            <w:tcW w:w="1666" w:type="dxa"/>
          </w:tcPr>
          <w:p>
            <w:pPr>
              <w:pStyle w:val="TableParagraph"/>
              <w:rPr>
                <w:rFonts w:ascii="Times New Roman"/>
                <w:sz w:val="20"/>
              </w:rPr>
            </w:pPr>
          </w:p>
        </w:tc>
        <w:tc>
          <w:tcPr>
            <w:tcW w:w="1248" w:type="dxa"/>
          </w:tcPr>
          <w:p>
            <w:pPr>
              <w:pStyle w:val="TableParagraph"/>
              <w:spacing w:before="19"/>
              <w:ind w:right="216"/>
              <w:jc w:val="right"/>
              <w:rPr>
                <w:sz w:val="21"/>
              </w:rPr>
            </w:pPr>
            <w:r>
              <w:rPr>
                <w:color w:val="0F0F0F"/>
                <w:spacing w:val="-5"/>
                <w:w w:val="105"/>
                <w:sz w:val="21"/>
              </w:rPr>
              <w:t>550</w:t>
            </w:r>
          </w:p>
        </w:tc>
        <w:tc>
          <w:tcPr>
            <w:tcW w:w="1123" w:type="dxa"/>
          </w:tcPr>
          <w:p>
            <w:pPr>
              <w:pStyle w:val="TableParagraph"/>
              <w:spacing w:before="10"/>
              <w:ind w:right="106"/>
              <w:jc w:val="right"/>
              <w:rPr>
                <w:b/>
                <w:sz w:val="22"/>
              </w:rPr>
            </w:pPr>
            <w:r>
              <w:rPr>
                <w:b/>
                <w:color w:val="0F0F0F"/>
                <w:spacing w:val="-5"/>
                <w:sz w:val="22"/>
              </w:rPr>
              <w:t>550</w:t>
            </w:r>
          </w:p>
        </w:tc>
      </w:tr>
      <w:tr>
        <w:trPr>
          <w:trHeight w:val="300" w:hRule="atLeast"/>
        </w:trPr>
        <w:tc>
          <w:tcPr>
            <w:tcW w:w="5624" w:type="dxa"/>
          </w:tcPr>
          <w:p>
            <w:pPr>
              <w:pStyle w:val="TableParagraph"/>
              <w:spacing w:before="41" w:line="239" w:lineRule="exact"/>
              <w:ind w:left="56"/>
              <w:rPr>
                <w:sz w:val="21"/>
              </w:rPr>
            </w:pPr>
            <w:r>
              <w:rPr>
                <w:color w:val="0F0F0F"/>
                <w:w w:val="105"/>
                <w:sz w:val="21"/>
              </w:rPr>
              <w:t>Shenley</w:t>
            </w:r>
            <w:r>
              <w:rPr>
                <w:color w:val="0F0F0F"/>
                <w:spacing w:val="-3"/>
                <w:w w:val="105"/>
                <w:sz w:val="21"/>
              </w:rPr>
              <w:t> </w:t>
            </w:r>
            <w:r>
              <w:rPr>
                <w:color w:val="0F0F0F"/>
                <w:w w:val="105"/>
                <w:sz w:val="21"/>
              </w:rPr>
              <w:t>Parish</w:t>
            </w:r>
            <w:r>
              <w:rPr>
                <w:color w:val="0F0F0F"/>
                <w:spacing w:val="-12"/>
                <w:w w:val="105"/>
                <w:sz w:val="21"/>
              </w:rPr>
              <w:t> </w:t>
            </w:r>
            <w:r>
              <w:rPr>
                <w:color w:val="0F0F0F"/>
                <w:spacing w:val="-2"/>
                <w:w w:val="105"/>
                <w:sz w:val="21"/>
              </w:rPr>
              <w:t>Council</w:t>
            </w:r>
          </w:p>
        </w:tc>
        <w:tc>
          <w:tcPr>
            <w:tcW w:w="1666" w:type="dxa"/>
          </w:tcPr>
          <w:p>
            <w:pPr>
              <w:pStyle w:val="TableParagraph"/>
              <w:rPr>
                <w:rFonts w:ascii="Times New Roman"/>
                <w:sz w:val="20"/>
              </w:rPr>
            </w:pPr>
          </w:p>
        </w:tc>
        <w:tc>
          <w:tcPr>
            <w:tcW w:w="1248" w:type="dxa"/>
          </w:tcPr>
          <w:p>
            <w:pPr>
              <w:pStyle w:val="TableParagraph"/>
              <w:spacing w:before="22"/>
              <w:ind w:right="213"/>
              <w:jc w:val="right"/>
              <w:rPr>
                <w:sz w:val="21"/>
              </w:rPr>
            </w:pPr>
            <w:r>
              <w:rPr>
                <w:color w:val="0F0F0F"/>
                <w:spacing w:val="-5"/>
                <w:w w:val="105"/>
                <w:sz w:val="21"/>
              </w:rPr>
              <w:t>83</w:t>
            </w:r>
          </w:p>
        </w:tc>
        <w:tc>
          <w:tcPr>
            <w:tcW w:w="1123" w:type="dxa"/>
          </w:tcPr>
          <w:p>
            <w:pPr>
              <w:pStyle w:val="TableParagraph"/>
              <w:spacing w:before="13"/>
              <w:ind w:right="106"/>
              <w:jc w:val="right"/>
              <w:rPr>
                <w:b/>
                <w:sz w:val="22"/>
              </w:rPr>
            </w:pPr>
            <w:r>
              <w:rPr>
                <w:b/>
                <w:color w:val="0F0F0F"/>
                <w:spacing w:val="-5"/>
                <w:sz w:val="22"/>
              </w:rPr>
              <w:t>83</w:t>
            </w:r>
          </w:p>
        </w:tc>
      </w:tr>
      <w:tr>
        <w:trPr>
          <w:trHeight w:val="300" w:hRule="atLeast"/>
        </w:trPr>
        <w:tc>
          <w:tcPr>
            <w:tcW w:w="5624" w:type="dxa"/>
          </w:tcPr>
          <w:p>
            <w:pPr>
              <w:pStyle w:val="TableParagraph"/>
              <w:spacing w:before="44" w:line="237" w:lineRule="exact"/>
              <w:ind w:left="56"/>
              <w:rPr>
                <w:sz w:val="21"/>
              </w:rPr>
            </w:pPr>
            <w:r>
              <w:rPr>
                <w:color w:val="0F0F0F"/>
                <w:w w:val="105"/>
                <w:sz w:val="21"/>
              </w:rPr>
              <w:t>South</w:t>
            </w:r>
            <w:r>
              <w:rPr>
                <w:color w:val="0F0F0F"/>
                <w:spacing w:val="-15"/>
                <w:w w:val="105"/>
                <w:sz w:val="21"/>
              </w:rPr>
              <w:t> </w:t>
            </w:r>
            <w:r>
              <w:rPr>
                <w:color w:val="0F0F0F"/>
                <w:spacing w:val="-4"/>
                <w:w w:val="105"/>
                <w:sz w:val="21"/>
              </w:rPr>
              <w:t>Mimms</w:t>
            </w:r>
          </w:p>
        </w:tc>
        <w:tc>
          <w:tcPr>
            <w:tcW w:w="1666" w:type="dxa"/>
            <w:tcBorders>
              <w:bottom w:val="single" w:color="000000" w:sz="6" w:space="0"/>
            </w:tcBorders>
          </w:tcPr>
          <w:p>
            <w:pPr>
              <w:pStyle w:val="TableParagraph"/>
              <w:rPr>
                <w:rFonts w:ascii="Times New Roman"/>
                <w:sz w:val="20"/>
              </w:rPr>
            </w:pPr>
          </w:p>
        </w:tc>
        <w:tc>
          <w:tcPr>
            <w:tcW w:w="1248" w:type="dxa"/>
            <w:tcBorders>
              <w:bottom w:val="single" w:color="000000" w:sz="6" w:space="0"/>
            </w:tcBorders>
          </w:tcPr>
          <w:p>
            <w:pPr>
              <w:pStyle w:val="TableParagraph"/>
              <w:spacing w:before="19"/>
              <w:ind w:right="213"/>
              <w:jc w:val="right"/>
              <w:rPr>
                <w:sz w:val="21"/>
              </w:rPr>
            </w:pPr>
            <w:r>
              <w:rPr>
                <w:color w:val="0F0F0F"/>
                <w:spacing w:val="-5"/>
                <w:w w:val="105"/>
                <w:sz w:val="21"/>
              </w:rPr>
              <w:t>19</w:t>
            </w:r>
          </w:p>
        </w:tc>
        <w:tc>
          <w:tcPr>
            <w:tcW w:w="1123" w:type="dxa"/>
          </w:tcPr>
          <w:p>
            <w:pPr>
              <w:pStyle w:val="TableParagraph"/>
              <w:spacing w:before="10"/>
              <w:ind w:right="100"/>
              <w:jc w:val="right"/>
              <w:rPr>
                <w:b/>
                <w:sz w:val="22"/>
              </w:rPr>
            </w:pPr>
            <w:r>
              <w:rPr>
                <w:b/>
                <w:color w:val="0F0F0F"/>
                <w:spacing w:val="-5"/>
                <w:w w:val="105"/>
                <w:sz w:val="22"/>
              </w:rPr>
              <w:t>19</w:t>
            </w:r>
          </w:p>
        </w:tc>
      </w:tr>
      <w:tr>
        <w:trPr>
          <w:trHeight w:val="307" w:hRule="atLeast"/>
        </w:trPr>
        <w:tc>
          <w:tcPr>
            <w:tcW w:w="5624" w:type="dxa"/>
          </w:tcPr>
          <w:p>
            <w:pPr>
              <w:pStyle w:val="TableParagraph"/>
              <w:spacing w:before="21"/>
              <w:ind w:left="56"/>
              <w:rPr>
                <w:b/>
                <w:sz w:val="22"/>
              </w:rPr>
            </w:pPr>
            <w:r>
              <w:rPr>
                <w:b/>
                <w:color w:val="0F0F0F"/>
                <w:spacing w:val="-2"/>
                <w:sz w:val="22"/>
              </w:rPr>
              <w:t>Total</w:t>
            </w:r>
          </w:p>
        </w:tc>
        <w:tc>
          <w:tcPr>
            <w:tcW w:w="1666" w:type="dxa"/>
            <w:tcBorders>
              <w:top w:val="single" w:color="000000" w:sz="6" w:space="0"/>
            </w:tcBorders>
          </w:tcPr>
          <w:p>
            <w:pPr>
              <w:pStyle w:val="TableParagraph"/>
              <w:spacing w:before="2"/>
              <w:ind w:right="207"/>
              <w:jc w:val="right"/>
              <w:rPr>
                <w:b/>
                <w:sz w:val="22"/>
              </w:rPr>
            </w:pPr>
            <w:r>
              <w:rPr/>
              <ve:AlternateContent>
                <ve:Choice Requires="wps">
                  <w:drawing>
                    <wp:anchor distT="0" distB="0" distL="0" distR="0" simplePos="0" relativeHeight="15872000" behindDoc="0" locked="0" layoutInCell="1" allowOverlap="1">
                      <wp:simplePos x="0" y="0"/>
                      <wp:positionH relativeFrom="column">
                        <wp:posOffset>-12211</wp:posOffset>
                      </wp:positionH>
                      <wp:positionV relativeFrom="paragraph">
                        <wp:posOffset>185707</wp:posOffset>
                      </wp:positionV>
                      <wp:extent cx="2576830" cy="9525"/>
                      <wp:effectExtent l="0" t="0" r="0" b="0"/>
                      <wp:wrapNone/>
                      <wp:docPr id="644" name="Group 644"/>
                      <wp:cNvGraphicFramePr>
                        <a:graphicFrameLocks/>
                      </wp:cNvGraphicFramePr>
                      <a:graphic>
                        <a:graphicData uri="http://schemas.microsoft.com/office/word/2010/wordprocessingGroup">
                          <wpg:wgp>
                            <wpg:cNvPr id="644" name="Group 644"/>
                            <wpg:cNvGrpSpPr/>
                            <wpg:grpSpPr>
                              <a:xfrm>
                                <a:off x="0" y="0"/>
                                <a:ext cx="2576830" cy="9525"/>
                                <a:chExt cx="2576830" cy="9525"/>
                              </a:xfrm>
                            </wpg:grpSpPr>
                            <wps:wsp>
                              <wps:cNvPr id="645" name="Graphic 645"/>
                              <wps:cNvSpPr/>
                              <wps:spPr>
                                <a:xfrm>
                                  <a:off x="0" y="4577"/>
                                  <a:ext cx="2576830" cy="1270"/>
                                </a:xfrm>
                                <a:custGeom>
                                  <a:avLst/>
                                  <a:gdLst/>
                                  <a:ahLst/>
                                  <a:cxnLst/>
                                  <a:rect l="l" t="t" r="r" b="b"/>
                                  <a:pathLst>
                                    <a:path w="2576830" h="0">
                                      <a:moveTo>
                                        <a:pt x="0" y="0"/>
                                      </a:moveTo>
                                      <a:lnTo>
                                        <a:pt x="2576661"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19" style="position:absolute;margin-left:-.961549pt;margin-top:14.622657pt;width:202.9pt;height:.75pt;mso-position-horizontal-relative:column;mso-position-vertical-relative:paragraph;z-index:15872000" coordsize="4058,15" coordorigin="-19,292">
                      <v:line style="position:absolute" stroked="true" strokecolor="#000000" strokeweight=".720821pt" from="-19,300" to="4039,300">
                        <v:stroke dashstyle="solid"/>
                      </v:line>
                      <w10:wrap type="none"/>
                    </v:group>
                  </w:pict>
                </ve:Fallback>
              </ve:AlternateContent>
            </w:r>
            <w:r>
              <w:rPr>
                <w:b/>
                <w:color w:val="0F0F0F"/>
                <w:spacing w:val="-2"/>
                <w:sz w:val="22"/>
              </w:rPr>
              <w:t>38,314</w:t>
            </w:r>
          </w:p>
        </w:tc>
        <w:tc>
          <w:tcPr>
            <w:tcW w:w="1248" w:type="dxa"/>
            <w:tcBorders>
              <w:top w:val="single" w:color="000000" w:sz="6" w:space="0"/>
            </w:tcBorders>
          </w:tcPr>
          <w:p>
            <w:pPr>
              <w:pStyle w:val="TableParagraph"/>
              <w:spacing w:before="2"/>
              <w:ind w:right="213"/>
              <w:jc w:val="right"/>
              <w:rPr>
                <w:b/>
                <w:sz w:val="22"/>
              </w:rPr>
            </w:pPr>
            <w:r>
              <w:rPr>
                <w:b/>
                <w:color w:val="0F0F0F"/>
                <w:spacing w:val="-2"/>
                <w:sz w:val="22"/>
              </w:rPr>
              <w:t>84,545</w:t>
            </w:r>
          </w:p>
        </w:tc>
        <w:tc>
          <w:tcPr>
            <w:tcW w:w="1123" w:type="dxa"/>
          </w:tcPr>
          <w:p>
            <w:pPr>
              <w:pStyle w:val="TableParagraph"/>
              <w:spacing w:before="2"/>
              <w:ind w:right="112"/>
              <w:jc w:val="right"/>
              <w:rPr>
                <w:b/>
                <w:sz w:val="22"/>
              </w:rPr>
            </w:pPr>
            <w:r>
              <w:rPr>
                <w:b/>
                <w:color w:val="0F0F0F"/>
                <w:spacing w:val="-2"/>
                <w:sz w:val="22"/>
              </w:rPr>
              <w:t>122,859</w:t>
            </w:r>
          </w:p>
        </w:tc>
      </w:tr>
    </w:tbl>
    <w:p>
      <w:pPr>
        <w:spacing w:after="0"/>
        <w:jc w:val="right"/>
        <w:rPr>
          <w:sz w:val="22"/>
        </w:rPr>
        <w:sectPr>
          <w:headerReference w:type="default" r:id="rId245"/>
          <w:footerReference w:type="default" r:id="rId246"/>
          <w:footerReference w:type="even" r:id="rId247"/>
          <w:pgSz w:w="11910" w:h="16830"/>
          <w:pgMar w:top="960" w:right="340" w:bottom="1040" w:left="0" w:header="0" w:footer="843"/>
          <w:pgNumType w:start="115"/>
        </w:sectPr>
      </w:pPr>
    </w:p>
    <w:p>
      <w:pPr>
        <w:pStyle w:val="BodyText"/>
        <w:spacing w:line="134" w:lineRule="exact"/>
        <w:ind w:left="1735"/>
        <w:rPr>
          <w:sz w:val="13"/>
        </w:rPr>
      </w:pPr>
      <w:r>
        <w:rPr/>
        <ve:AlternateContent>
          <ve:Choice Requires="wps">
            <w:drawing>
              <wp:anchor distT="0" distB="0" distL="0" distR="0" simplePos="0" relativeHeight="15872512" behindDoc="0" locked="0" layoutInCell="1" allowOverlap="1">
                <wp:simplePos x="0" y="0"/>
                <wp:positionH relativeFrom="page">
                  <wp:posOffset>33582</wp:posOffset>
                </wp:positionH>
                <wp:positionV relativeFrom="page">
                  <wp:posOffset>9123931</wp:posOffset>
                </wp:positionV>
                <wp:extent cx="1270" cy="513080"/>
                <wp:effectExtent l="0" t="0" r="0" b="0"/>
                <wp:wrapNone/>
                <wp:docPr id="646" name="Graphic 646"/>
                <wp:cNvGraphicFramePr>
                  <a:graphicFrameLocks/>
                </wp:cNvGraphicFramePr>
                <a:graphic>
                  <a:graphicData uri="http://schemas.microsoft.com/office/word/2010/wordprocessingShape">
                    <wps:wsp>
                      <wps:cNvPr id="646" name="Graphic 646"/>
                      <wps:cNvSpPr/>
                      <wps:spPr>
                        <a:xfrm>
                          <a:off x="0" y="0"/>
                          <a:ext cx="1270" cy="513080"/>
                        </a:xfrm>
                        <a:custGeom>
                          <a:avLst/>
                          <a:gdLst/>
                          <a:ahLst/>
                          <a:cxnLst/>
                          <a:rect l="l" t="t" r="r" b="b"/>
                          <a:pathLst>
                            <a:path w="0" h="513080">
                              <a:moveTo>
                                <a:pt x="0" y="512648"/>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72512" stroked="true" strokecolor="#000000" strokeweight=".961549pt" from="2.644258pt,758.785803pt" to="2.644258pt,718.4198pt">
                <v:stroke dashstyle="solid"/>
                <w10:wrap type="none"/>
              </v:line>
            </w:pict>
          </ve:Fallback>
        </ve:AlternateContent>
      </w:r>
      <w:r>
        <w:rPr>
          <w:position w:val="-2"/>
          <w:sz w:val="13"/>
        </w:rPr>
        <w:drawing>
          <wp:inline distT="0" distB="0" distL="0" distR="0">
            <wp:extent cx="1003265" cy="85344"/>
            <wp:effectExtent l="0" t="0" r="0" b="0"/>
            <wp:docPr id="647" name="Image 647"/>
            <wp:cNvGraphicFramePr>
              <a:graphicFrameLocks/>
            </wp:cNvGraphicFramePr>
            <a:graphic>
              <a:graphicData uri="http://schemas.openxmlformats.org/drawingml/2006/picture">
                <pic:pic>
                  <pic:nvPicPr>
                    <pic:cNvPr id="647" name="Image 647"/>
                    <pic:cNvPicPr/>
                  </pic:nvPicPr>
                  <pic:blipFill>
                    <a:blip r:embed="rId249" cstate="print"/>
                    <a:stretch>
                      <a:fillRect/>
                    </a:stretch>
                  </pic:blipFill>
                  <pic:spPr>
                    <a:xfrm>
                      <a:off x="0" y="0"/>
                      <a:ext cx="1003265" cy="85344"/>
                    </a:xfrm>
                    <a:prstGeom prst="rect">
                      <a:avLst/>
                    </a:prstGeom>
                  </pic:spPr>
                </pic:pic>
              </a:graphicData>
            </a:graphic>
          </wp:inline>
        </w:drawing>
      </w:r>
      <w:r>
        <w:rPr>
          <w:position w:val="-2"/>
          <w:sz w:val="13"/>
        </w:rPr>
      </w:r>
    </w:p>
    <w:p>
      <w:pPr>
        <w:pStyle w:val="BodyText"/>
        <w:spacing w:before="31"/>
        <w:rPr>
          <w:sz w:val="21"/>
        </w:rPr>
      </w:pPr>
    </w:p>
    <w:p>
      <w:pPr>
        <w:pStyle w:val="ListParagraph"/>
        <w:numPr>
          <w:ilvl w:val="1"/>
          <w:numId w:val="24"/>
        </w:numPr>
        <w:tabs>
          <w:tab w:val="left" w:leader="none" w:pos="1913"/>
        </w:tabs>
        <w:spacing w:before="0" w:after="0" w:line="240" w:lineRule="auto"/>
        <w:ind w:left="1913" w:right="0" w:hanging="668"/>
        <w:jc w:val="left"/>
        <w:rPr>
          <w:b/>
          <w:color w:val="080808"/>
          <w:sz w:val="21"/>
        </w:rPr>
      </w:pPr>
      <w:r>
        <w:rPr>
          <w:b/>
          <w:color w:val="646464"/>
          <w:w w:val="105"/>
          <w:sz w:val="21"/>
        </w:rPr>
        <w:t>Council</w:t>
      </w:r>
      <w:r>
        <w:rPr>
          <w:b/>
          <w:color w:val="646464"/>
          <w:spacing w:val="-6"/>
          <w:w w:val="105"/>
          <w:sz w:val="21"/>
        </w:rPr>
        <w:t> </w:t>
      </w:r>
      <w:r>
        <w:rPr>
          <w:b/>
          <w:color w:val="646464"/>
          <w:spacing w:val="-5"/>
          <w:w w:val="105"/>
          <w:sz w:val="21"/>
        </w:rPr>
        <w:t>Tax</w:t>
      </w:r>
    </w:p>
    <w:p>
      <w:pPr>
        <w:pStyle w:val="BodyText"/>
        <w:spacing w:before="41"/>
        <w:rPr>
          <w:b/>
          <w:sz w:val="21"/>
        </w:rPr>
      </w:pPr>
    </w:p>
    <w:p>
      <w:pPr>
        <w:spacing w:before="0" w:line="252" w:lineRule="auto"/>
        <w:ind w:left="1231" w:right="866" w:firstLine="9"/>
        <w:jc w:val="both"/>
        <w:rPr>
          <w:sz w:val="21"/>
        </w:rPr>
      </w:pPr>
      <w:r>
        <w:rPr>
          <w:color w:val="080808"/>
          <w:spacing w:val="-2"/>
          <w:w w:val="105"/>
          <w:sz w:val="21"/>
        </w:rPr>
        <w:t>This</w:t>
      </w:r>
      <w:r>
        <w:rPr>
          <w:color w:val="080808"/>
          <w:spacing w:val="-14"/>
          <w:w w:val="105"/>
          <w:sz w:val="21"/>
        </w:rPr>
        <w:t> </w:t>
      </w:r>
      <w:r>
        <w:rPr>
          <w:color w:val="1F1F1F"/>
          <w:spacing w:val="-2"/>
          <w:w w:val="105"/>
          <w:sz w:val="21"/>
        </w:rPr>
        <w:t>tax</w:t>
      </w:r>
      <w:r>
        <w:rPr>
          <w:color w:val="1F1F1F"/>
          <w:spacing w:val="-13"/>
          <w:w w:val="105"/>
          <w:sz w:val="21"/>
        </w:rPr>
        <w:t> </w:t>
      </w:r>
      <w:r>
        <w:rPr>
          <w:color w:val="080808"/>
          <w:spacing w:val="-2"/>
          <w:w w:val="105"/>
          <w:sz w:val="21"/>
        </w:rPr>
        <w:t>is</w:t>
      </w:r>
      <w:r>
        <w:rPr>
          <w:color w:val="080808"/>
          <w:spacing w:val="-13"/>
          <w:w w:val="105"/>
          <w:sz w:val="21"/>
        </w:rPr>
        <w:t> </w:t>
      </w:r>
      <w:r>
        <w:rPr>
          <w:color w:val="080808"/>
          <w:spacing w:val="-2"/>
          <w:w w:val="105"/>
          <w:sz w:val="21"/>
        </w:rPr>
        <w:t>a</w:t>
      </w:r>
      <w:r>
        <w:rPr>
          <w:color w:val="080808"/>
          <w:spacing w:val="-14"/>
          <w:w w:val="105"/>
          <w:sz w:val="21"/>
        </w:rPr>
        <w:t> </w:t>
      </w:r>
      <w:r>
        <w:rPr>
          <w:color w:val="080808"/>
          <w:spacing w:val="-2"/>
          <w:w w:val="105"/>
          <w:sz w:val="21"/>
        </w:rPr>
        <w:t>property-based</w:t>
      </w:r>
      <w:r>
        <w:rPr>
          <w:color w:val="080808"/>
          <w:spacing w:val="-13"/>
          <w:w w:val="105"/>
          <w:sz w:val="21"/>
        </w:rPr>
        <w:t> </w:t>
      </w:r>
      <w:r>
        <w:rPr>
          <w:color w:val="1F1F1F"/>
          <w:spacing w:val="-2"/>
          <w:w w:val="105"/>
          <w:sz w:val="21"/>
        </w:rPr>
        <w:t>tax</w:t>
      </w:r>
      <w:r>
        <w:rPr>
          <w:color w:val="1F1F1F"/>
          <w:spacing w:val="-13"/>
          <w:w w:val="105"/>
          <w:sz w:val="21"/>
        </w:rPr>
        <w:t> </w:t>
      </w:r>
      <w:r>
        <w:rPr>
          <w:color w:val="080808"/>
          <w:spacing w:val="-2"/>
          <w:w w:val="105"/>
          <w:sz w:val="21"/>
        </w:rPr>
        <w:t>and</w:t>
      </w:r>
      <w:r>
        <w:rPr>
          <w:color w:val="080808"/>
          <w:spacing w:val="-8"/>
          <w:w w:val="105"/>
          <w:sz w:val="21"/>
        </w:rPr>
        <w:t> </w:t>
      </w:r>
      <w:r>
        <w:rPr>
          <w:color w:val="080808"/>
          <w:spacing w:val="-2"/>
          <w:w w:val="105"/>
          <w:sz w:val="21"/>
        </w:rPr>
        <w:t>assumes that</w:t>
      </w:r>
      <w:r>
        <w:rPr>
          <w:color w:val="080808"/>
          <w:spacing w:val="-6"/>
          <w:w w:val="105"/>
          <w:sz w:val="21"/>
        </w:rPr>
        <w:t> </w:t>
      </w:r>
      <w:r>
        <w:rPr>
          <w:color w:val="080808"/>
          <w:spacing w:val="-2"/>
          <w:w w:val="105"/>
          <w:sz w:val="21"/>
        </w:rPr>
        <w:t>two </w:t>
      </w:r>
      <w:r>
        <w:rPr>
          <w:color w:val="1F1F1F"/>
          <w:spacing w:val="-2"/>
          <w:w w:val="105"/>
          <w:sz w:val="21"/>
        </w:rPr>
        <w:t>adults</w:t>
      </w:r>
      <w:r>
        <w:rPr>
          <w:color w:val="1F1F1F"/>
          <w:spacing w:val="-6"/>
          <w:w w:val="105"/>
          <w:sz w:val="21"/>
        </w:rPr>
        <w:t> </w:t>
      </w:r>
      <w:r>
        <w:rPr>
          <w:color w:val="080808"/>
          <w:spacing w:val="-2"/>
          <w:w w:val="105"/>
          <w:sz w:val="21"/>
        </w:rPr>
        <w:t>are</w:t>
      </w:r>
      <w:r>
        <w:rPr>
          <w:color w:val="080808"/>
          <w:spacing w:val="-13"/>
          <w:w w:val="105"/>
          <w:sz w:val="21"/>
        </w:rPr>
        <w:t> </w:t>
      </w:r>
      <w:r>
        <w:rPr>
          <w:color w:val="080808"/>
          <w:spacing w:val="-2"/>
          <w:w w:val="105"/>
          <w:sz w:val="21"/>
        </w:rPr>
        <w:t>resident</w:t>
      </w:r>
      <w:r>
        <w:rPr>
          <w:color w:val="080808"/>
          <w:spacing w:val="10"/>
          <w:w w:val="105"/>
          <w:sz w:val="21"/>
        </w:rPr>
        <w:t> </w:t>
      </w:r>
      <w:r>
        <w:rPr>
          <w:color w:val="080808"/>
          <w:spacing w:val="-2"/>
          <w:w w:val="105"/>
          <w:sz w:val="21"/>
        </w:rPr>
        <w:t>in</w:t>
      </w:r>
      <w:r>
        <w:rPr>
          <w:color w:val="080808"/>
          <w:spacing w:val="-14"/>
          <w:w w:val="105"/>
          <w:sz w:val="21"/>
        </w:rPr>
        <w:t> </w:t>
      </w:r>
      <w:r>
        <w:rPr>
          <w:color w:val="080808"/>
          <w:spacing w:val="-2"/>
          <w:w w:val="105"/>
          <w:sz w:val="21"/>
        </w:rPr>
        <w:t>the</w:t>
      </w:r>
      <w:r>
        <w:rPr>
          <w:color w:val="080808"/>
          <w:spacing w:val="-5"/>
          <w:w w:val="105"/>
          <w:sz w:val="21"/>
        </w:rPr>
        <w:t> </w:t>
      </w:r>
      <w:r>
        <w:rPr>
          <w:color w:val="080808"/>
          <w:spacing w:val="-2"/>
          <w:w w:val="105"/>
          <w:sz w:val="21"/>
        </w:rPr>
        <w:t>property</w:t>
      </w:r>
      <w:r>
        <w:rPr>
          <w:color w:val="646464"/>
          <w:spacing w:val="-2"/>
          <w:w w:val="105"/>
          <w:sz w:val="21"/>
        </w:rPr>
        <w:t>.</w:t>
      </w:r>
      <w:r>
        <w:rPr>
          <w:color w:val="646464"/>
          <w:spacing w:val="-14"/>
          <w:w w:val="105"/>
          <w:sz w:val="21"/>
        </w:rPr>
        <w:t> </w:t>
      </w:r>
      <w:r>
        <w:rPr>
          <w:color w:val="080808"/>
          <w:spacing w:val="-2"/>
          <w:w w:val="105"/>
          <w:sz w:val="21"/>
        </w:rPr>
        <w:t>Discounts </w:t>
      </w:r>
      <w:r>
        <w:rPr>
          <w:color w:val="080808"/>
          <w:w w:val="105"/>
          <w:sz w:val="21"/>
        </w:rPr>
        <w:t>are</w:t>
      </w:r>
      <w:r>
        <w:rPr>
          <w:color w:val="080808"/>
          <w:spacing w:val="-7"/>
          <w:w w:val="105"/>
          <w:sz w:val="21"/>
        </w:rPr>
        <w:t> </w:t>
      </w:r>
      <w:r>
        <w:rPr>
          <w:color w:val="1F1F1F"/>
          <w:w w:val="105"/>
          <w:sz w:val="21"/>
        </w:rPr>
        <w:t>available </w:t>
      </w:r>
      <w:r>
        <w:rPr>
          <w:color w:val="080808"/>
          <w:w w:val="105"/>
          <w:sz w:val="21"/>
        </w:rPr>
        <w:t>for</w:t>
      </w:r>
      <w:r>
        <w:rPr>
          <w:color w:val="080808"/>
          <w:spacing w:val="-4"/>
          <w:w w:val="105"/>
          <w:sz w:val="21"/>
        </w:rPr>
        <w:t> </w:t>
      </w:r>
      <w:r>
        <w:rPr>
          <w:color w:val="080808"/>
          <w:w w:val="105"/>
          <w:sz w:val="21"/>
        </w:rPr>
        <w:t>single</w:t>
      </w:r>
      <w:r>
        <w:rPr>
          <w:color w:val="080808"/>
          <w:spacing w:val="-7"/>
          <w:w w:val="105"/>
          <w:sz w:val="21"/>
        </w:rPr>
        <w:t> </w:t>
      </w:r>
      <w:r>
        <w:rPr>
          <w:color w:val="1F1F1F"/>
          <w:w w:val="105"/>
          <w:sz w:val="21"/>
        </w:rPr>
        <w:t>residents. </w:t>
      </w:r>
      <w:r>
        <w:rPr>
          <w:color w:val="080808"/>
          <w:w w:val="105"/>
          <w:sz w:val="21"/>
        </w:rPr>
        <w:t>The</w:t>
      </w:r>
      <w:r>
        <w:rPr>
          <w:color w:val="080808"/>
          <w:spacing w:val="-12"/>
          <w:w w:val="105"/>
          <w:sz w:val="21"/>
        </w:rPr>
        <w:t> </w:t>
      </w:r>
      <w:r>
        <w:rPr>
          <w:color w:val="080808"/>
          <w:w w:val="105"/>
          <w:sz w:val="21"/>
        </w:rPr>
        <w:t>discount for</w:t>
      </w:r>
      <w:r>
        <w:rPr>
          <w:color w:val="080808"/>
          <w:spacing w:val="-4"/>
          <w:w w:val="105"/>
          <w:sz w:val="21"/>
        </w:rPr>
        <w:t> </w:t>
      </w:r>
      <w:r>
        <w:rPr>
          <w:color w:val="080808"/>
          <w:w w:val="105"/>
          <w:sz w:val="21"/>
        </w:rPr>
        <w:t>second</w:t>
      </w:r>
      <w:r>
        <w:rPr>
          <w:color w:val="080808"/>
          <w:spacing w:val="-10"/>
          <w:w w:val="105"/>
          <w:sz w:val="21"/>
        </w:rPr>
        <w:t> </w:t>
      </w:r>
      <w:r>
        <w:rPr>
          <w:color w:val="080808"/>
          <w:w w:val="105"/>
          <w:sz w:val="21"/>
        </w:rPr>
        <w:t>properties is</w:t>
      </w:r>
      <w:r>
        <w:rPr>
          <w:color w:val="080808"/>
          <w:spacing w:val="-11"/>
          <w:w w:val="105"/>
          <w:sz w:val="21"/>
        </w:rPr>
        <w:t> </w:t>
      </w:r>
      <w:r>
        <w:rPr>
          <w:color w:val="080808"/>
          <w:w w:val="105"/>
          <w:sz w:val="21"/>
        </w:rPr>
        <w:t>10% and</w:t>
      </w:r>
      <w:r>
        <w:rPr>
          <w:color w:val="080808"/>
          <w:spacing w:val="-11"/>
          <w:w w:val="105"/>
          <w:sz w:val="21"/>
        </w:rPr>
        <w:t> </w:t>
      </w:r>
      <w:r>
        <w:rPr>
          <w:color w:val="080808"/>
          <w:w w:val="105"/>
          <w:sz w:val="21"/>
        </w:rPr>
        <w:t>long</w:t>
      </w:r>
      <w:r>
        <w:rPr>
          <w:color w:val="383838"/>
          <w:w w:val="105"/>
          <w:sz w:val="21"/>
        </w:rPr>
        <w:t>-</w:t>
      </w:r>
      <w:r>
        <w:rPr>
          <w:color w:val="1F1F1F"/>
          <w:w w:val="105"/>
          <w:sz w:val="21"/>
        </w:rPr>
        <w:t>term</w:t>
      </w:r>
      <w:r>
        <w:rPr>
          <w:color w:val="1F1F1F"/>
          <w:spacing w:val="-16"/>
          <w:w w:val="105"/>
          <w:sz w:val="21"/>
        </w:rPr>
        <w:t> </w:t>
      </w:r>
      <w:r>
        <w:rPr>
          <w:color w:val="080808"/>
          <w:w w:val="105"/>
          <w:sz w:val="21"/>
        </w:rPr>
        <w:t>empty properties are subject to up to 300% charge.</w:t>
      </w:r>
    </w:p>
    <w:p>
      <w:pPr>
        <w:pStyle w:val="BodyText"/>
        <w:spacing w:before="12"/>
        <w:rPr>
          <w:sz w:val="21"/>
        </w:rPr>
      </w:pPr>
    </w:p>
    <w:p>
      <w:pPr>
        <w:spacing w:before="0" w:line="252" w:lineRule="auto"/>
        <w:ind w:left="1216" w:right="858" w:firstLine="12"/>
        <w:jc w:val="both"/>
        <w:rPr>
          <w:sz w:val="21"/>
        </w:rPr>
      </w:pPr>
      <w:r>
        <w:rPr>
          <w:color w:val="080808"/>
          <w:w w:val="105"/>
          <w:sz w:val="21"/>
        </w:rPr>
        <w:t>Properties are </w:t>
      </w:r>
      <w:r>
        <w:rPr>
          <w:color w:val="1F1F1F"/>
          <w:w w:val="105"/>
          <w:sz w:val="21"/>
        </w:rPr>
        <w:t>placed into one </w:t>
      </w:r>
      <w:r>
        <w:rPr>
          <w:color w:val="080808"/>
          <w:w w:val="105"/>
          <w:sz w:val="21"/>
        </w:rPr>
        <w:t>of </w:t>
      </w:r>
      <w:r>
        <w:rPr>
          <w:color w:val="1F1F1F"/>
          <w:w w:val="105"/>
          <w:sz w:val="21"/>
        </w:rPr>
        <w:t>eight </w:t>
      </w:r>
      <w:r>
        <w:rPr>
          <w:color w:val="080808"/>
          <w:w w:val="105"/>
          <w:sz w:val="21"/>
        </w:rPr>
        <w:t>valuation </w:t>
      </w:r>
      <w:r>
        <w:rPr>
          <w:color w:val="1F1F1F"/>
          <w:w w:val="105"/>
          <w:sz w:val="21"/>
        </w:rPr>
        <w:t>bands. </w:t>
      </w:r>
      <w:r>
        <w:rPr>
          <w:color w:val="080808"/>
          <w:w w:val="105"/>
          <w:sz w:val="21"/>
        </w:rPr>
        <w:t>The base, upon which the council </w:t>
      </w:r>
      <w:r>
        <w:rPr>
          <w:color w:val="1F1F1F"/>
          <w:w w:val="105"/>
          <w:sz w:val="21"/>
        </w:rPr>
        <w:t>tax is </w:t>
      </w:r>
      <w:r>
        <w:rPr>
          <w:color w:val="080808"/>
          <w:w w:val="105"/>
          <w:sz w:val="21"/>
        </w:rPr>
        <w:t>calculated,</w:t>
      </w:r>
      <w:r>
        <w:rPr>
          <w:color w:val="080808"/>
          <w:w w:val="105"/>
          <w:sz w:val="21"/>
        </w:rPr>
        <w:t> is the</w:t>
      </w:r>
      <w:r>
        <w:rPr>
          <w:color w:val="080808"/>
          <w:spacing w:val="-3"/>
          <w:w w:val="105"/>
          <w:sz w:val="21"/>
        </w:rPr>
        <w:t> </w:t>
      </w:r>
      <w:r>
        <w:rPr>
          <w:color w:val="1F1F1F"/>
          <w:w w:val="105"/>
          <w:sz w:val="21"/>
        </w:rPr>
        <w:t>total number </w:t>
      </w:r>
      <w:r>
        <w:rPr>
          <w:color w:val="080808"/>
          <w:w w:val="105"/>
          <w:sz w:val="21"/>
        </w:rPr>
        <w:t>of </w:t>
      </w:r>
      <w:r>
        <w:rPr>
          <w:color w:val="1F1F1F"/>
          <w:w w:val="105"/>
          <w:sz w:val="21"/>
        </w:rPr>
        <w:t>dwellings </w:t>
      </w:r>
      <w:r>
        <w:rPr>
          <w:color w:val="080808"/>
          <w:w w:val="105"/>
          <w:sz w:val="21"/>
        </w:rPr>
        <w:t>in each </w:t>
      </w:r>
      <w:r>
        <w:rPr>
          <w:color w:val="1F1F1F"/>
          <w:w w:val="105"/>
          <w:sz w:val="21"/>
        </w:rPr>
        <w:t>valuation </w:t>
      </w:r>
      <w:r>
        <w:rPr>
          <w:color w:val="080808"/>
          <w:w w:val="105"/>
          <w:sz w:val="21"/>
        </w:rPr>
        <w:t>band (after adjusting for discounted dwellings) converted</w:t>
      </w:r>
      <w:r>
        <w:rPr>
          <w:color w:val="080808"/>
          <w:spacing w:val="-3"/>
          <w:w w:val="105"/>
          <w:sz w:val="21"/>
        </w:rPr>
        <w:t> </w:t>
      </w:r>
      <w:r>
        <w:rPr>
          <w:color w:val="1F1F1F"/>
          <w:w w:val="105"/>
          <w:sz w:val="21"/>
        </w:rPr>
        <w:t>to</w:t>
      </w:r>
      <w:r>
        <w:rPr>
          <w:color w:val="1F1F1F"/>
          <w:spacing w:val="-11"/>
          <w:w w:val="105"/>
          <w:sz w:val="21"/>
        </w:rPr>
        <w:t> </w:t>
      </w:r>
      <w:r>
        <w:rPr>
          <w:color w:val="1F1F1F"/>
          <w:w w:val="105"/>
          <w:sz w:val="21"/>
        </w:rPr>
        <w:t>an</w:t>
      </w:r>
      <w:r>
        <w:rPr>
          <w:color w:val="1F1F1F"/>
          <w:spacing w:val="-16"/>
          <w:w w:val="105"/>
          <w:sz w:val="21"/>
        </w:rPr>
        <w:t> </w:t>
      </w:r>
      <w:r>
        <w:rPr>
          <w:color w:val="1F1F1F"/>
          <w:w w:val="105"/>
          <w:sz w:val="21"/>
        </w:rPr>
        <w:t>equivalent </w:t>
      </w:r>
      <w:r>
        <w:rPr>
          <w:color w:val="080808"/>
          <w:w w:val="105"/>
          <w:sz w:val="21"/>
        </w:rPr>
        <w:t>number of</w:t>
      </w:r>
      <w:r>
        <w:rPr>
          <w:color w:val="080808"/>
          <w:spacing w:val="-12"/>
          <w:w w:val="105"/>
          <w:sz w:val="21"/>
        </w:rPr>
        <w:t> </w:t>
      </w:r>
      <w:r>
        <w:rPr>
          <w:color w:val="080808"/>
          <w:w w:val="105"/>
          <w:sz w:val="21"/>
        </w:rPr>
        <w:t>Band</w:t>
      </w:r>
      <w:r>
        <w:rPr>
          <w:color w:val="080808"/>
          <w:spacing w:val="-14"/>
          <w:w w:val="105"/>
          <w:sz w:val="21"/>
        </w:rPr>
        <w:t> </w:t>
      </w:r>
      <w:r>
        <w:rPr>
          <w:color w:val="080808"/>
          <w:w w:val="105"/>
          <w:sz w:val="21"/>
        </w:rPr>
        <w:t>D</w:t>
      </w:r>
      <w:r>
        <w:rPr>
          <w:color w:val="080808"/>
          <w:spacing w:val="-6"/>
          <w:w w:val="105"/>
          <w:sz w:val="21"/>
        </w:rPr>
        <w:t> </w:t>
      </w:r>
      <w:r>
        <w:rPr>
          <w:color w:val="080808"/>
          <w:w w:val="105"/>
          <w:sz w:val="21"/>
        </w:rPr>
        <w:t>dwellings</w:t>
      </w:r>
      <w:r>
        <w:rPr>
          <w:color w:val="080808"/>
          <w:spacing w:val="-3"/>
          <w:w w:val="105"/>
          <w:sz w:val="21"/>
        </w:rPr>
        <w:t> </w:t>
      </w:r>
      <w:r>
        <w:rPr>
          <w:color w:val="080808"/>
          <w:w w:val="105"/>
          <w:sz w:val="21"/>
        </w:rPr>
        <w:t>(excluding dwellings</w:t>
      </w:r>
      <w:r>
        <w:rPr>
          <w:color w:val="080808"/>
          <w:spacing w:val="-1"/>
          <w:w w:val="105"/>
          <w:sz w:val="21"/>
        </w:rPr>
        <w:t> </w:t>
      </w:r>
      <w:r>
        <w:rPr>
          <w:color w:val="080808"/>
          <w:w w:val="105"/>
          <w:sz w:val="21"/>
        </w:rPr>
        <w:t>where</w:t>
      </w:r>
      <w:r>
        <w:rPr>
          <w:color w:val="080808"/>
          <w:spacing w:val="-9"/>
          <w:w w:val="105"/>
          <w:sz w:val="21"/>
        </w:rPr>
        <w:t> </w:t>
      </w:r>
      <w:r>
        <w:rPr>
          <w:color w:val="080808"/>
          <w:w w:val="105"/>
          <w:sz w:val="21"/>
        </w:rPr>
        <w:t>the househo</w:t>
      </w:r>
      <w:r>
        <w:rPr>
          <w:color w:val="383838"/>
          <w:w w:val="105"/>
          <w:sz w:val="21"/>
        </w:rPr>
        <w:t>l</w:t>
      </w:r>
      <w:r>
        <w:rPr>
          <w:color w:val="080808"/>
          <w:w w:val="105"/>
          <w:sz w:val="21"/>
        </w:rPr>
        <w:t>der </w:t>
      </w:r>
      <w:r>
        <w:rPr>
          <w:color w:val="1F1F1F"/>
          <w:w w:val="105"/>
          <w:sz w:val="21"/>
        </w:rPr>
        <w:t>receives </w:t>
      </w:r>
      <w:r>
        <w:rPr>
          <w:color w:val="080808"/>
          <w:w w:val="105"/>
          <w:sz w:val="21"/>
        </w:rPr>
        <w:t>support </w:t>
      </w:r>
      <w:r>
        <w:rPr>
          <w:color w:val="1F1F1F"/>
          <w:w w:val="105"/>
          <w:sz w:val="21"/>
        </w:rPr>
        <w:t>under </w:t>
      </w:r>
      <w:r>
        <w:rPr>
          <w:color w:val="080808"/>
          <w:w w:val="105"/>
          <w:sz w:val="21"/>
        </w:rPr>
        <w:t>the Council's own support scheme).</w:t>
      </w:r>
    </w:p>
    <w:p>
      <w:pPr>
        <w:pStyle w:val="BodyText"/>
        <w:spacing w:before="8"/>
        <w:rPr>
          <w:sz w:val="21"/>
        </w:rPr>
      </w:pPr>
    </w:p>
    <w:p>
      <w:pPr>
        <w:spacing w:before="0" w:line="252" w:lineRule="auto"/>
        <w:ind w:left="1209" w:right="865" w:firstLine="3"/>
        <w:jc w:val="both"/>
        <w:rPr>
          <w:sz w:val="21"/>
        </w:rPr>
      </w:pPr>
      <w:r>
        <w:rPr>
          <w:color w:val="080808"/>
          <w:w w:val="105"/>
          <w:sz w:val="21"/>
        </w:rPr>
        <w:t>For</w:t>
      </w:r>
      <w:r>
        <w:rPr>
          <w:color w:val="080808"/>
          <w:spacing w:val="-2"/>
          <w:w w:val="105"/>
          <w:sz w:val="21"/>
        </w:rPr>
        <w:t> </w:t>
      </w:r>
      <w:r>
        <w:rPr>
          <w:color w:val="080808"/>
          <w:w w:val="105"/>
          <w:sz w:val="21"/>
        </w:rPr>
        <w:t>2022/23</w:t>
      </w:r>
      <w:r>
        <w:rPr>
          <w:color w:val="080808"/>
          <w:spacing w:val="-1"/>
          <w:w w:val="105"/>
          <w:sz w:val="21"/>
        </w:rPr>
        <w:t> </w:t>
      </w:r>
      <w:r>
        <w:rPr>
          <w:color w:val="080808"/>
          <w:w w:val="105"/>
          <w:sz w:val="21"/>
        </w:rPr>
        <w:t>the</w:t>
      </w:r>
      <w:r>
        <w:rPr>
          <w:color w:val="080808"/>
          <w:spacing w:val="-3"/>
          <w:w w:val="105"/>
          <w:sz w:val="21"/>
        </w:rPr>
        <w:t> </w:t>
      </w:r>
      <w:r>
        <w:rPr>
          <w:color w:val="080808"/>
          <w:w w:val="105"/>
          <w:sz w:val="21"/>
        </w:rPr>
        <w:t>numbers as</w:t>
      </w:r>
      <w:r>
        <w:rPr>
          <w:color w:val="080808"/>
          <w:spacing w:val="-2"/>
          <w:w w:val="105"/>
          <w:sz w:val="21"/>
        </w:rPr>
        <w:t> </w:t>
      </w:r>
      <w:r>
        <w:rPr>
          <w:color w:val="080808"/>
          <w:w w:val="105"/>
          <w:sz w:val="21"/>
        </w:rPr>
        <w:t>approved by</w:t>
      </w:r>
      <w:r>
        <w:rPr>
          <w:color w:val="080808"/>
          <w:spacing w:val="-5"/>
          <w:w w:val="105"/>
          <w:sz w:val="21"/>
        </w:rPr>
        <w:t> </w:t>
      </w:r>
      <w:r>
        <w:rPr>
          <w:color w:val="080808"/>
          <w:w w:val="105"/>
          <w:sz w:val="21"/>
        </w:rPr>
        <w:t>full</w:t>
      </w:r>
      <w:r>
        <w:rPr>
          <w:color w:val="080808"/>
          <w:spacing w:val="-7"/>
          <w:w w:val="105"/>
          <w:sz w:val="21"/>
        </w:rPr>
        <w:t> </w:t>
      </w:r>
      <w:r>
        <w:rPr>
          <w:color w:val="080808"/>
          <w:w w:val="105"/>
          <w:sz w:val="21"/>
        </w:rPr>
        <w:t>Council</w:t>
      </w:r>
      <w:r>
        <w:rPr>
          <w:color w:val="080808"/>
          <w:spacing w:val="-1"/>
          <w:w w:val="105"/>
          <w:sz w:val="21"/>
        </w:rPr>
        <w:t> </w:t>
      </w:r>
      <w:r>
        <w:rPr>
          <w:color w:val="080808"/>
          <w:w w:val="105"/>
          <w:sz w:val="21"/>
        </w:rPr>
        <w:t>on</w:t>
      </w:r>
      <w:r>
        <w:rPr>
          <w:color w:val="080808"/>
          <w:spacing w:val="-4"/>
          <w:w w:val="105"/>
          <w:sz w:val="21"/>
        </w:rPr>
        <w:t> </w:t>
      </w:r>
      <w:r>
        <w:rPr>
          <w:color w:val="080808"/>
          <w:w w:val="105"/>
          <w:sz w:val="21"/>
        </w:rPr>
        <w:t>26</w:t>
      </w:r>
      <w:r>
        <w:rPr>
          <w:color w:val="080808"/>
          <w:spacing w:val="-11"/>
          <w:w w:val="105"/>
          <w:sz w:val="21"/>
        </w:rPr>
        <w:t> </w:t>
      </w:r>
      <w:r>
        <w:rPr>
          <w:color w:val="080808"/>
          <w:w w:val="105"/>
          <w:sz w:val="21"/>
        </w:rPr>
        <w:t>January 2022</w:t>
      </w:r>
      <w:r>
        <w:rPr>
          <w:color w:val="080808"/>
          <w:spacing w:val="-2"/>
          <w:w w:val="105"/>
          <w:sz w:val="21"/>
        </w:rPr>
        <w:t> </w:t>
      </w:r>
      <w:r>
        <w:rPr>
          <w:color w:val="080808"/>
          <w:w w:val="105"/>
          <w:sz w:val="21"/>
        </w:rPr>
        <w:t>(Ref:</w:t>
      </w:r>
      <w:r>
        <w:rPr>
          <w:color w:val="080808"/>
          <w:spacing w:val="-9"/>
          <w:w w:val="105"/>
          <w:sz w:val="21"/>
        </w:rPr>
        <w:t> </w:t>
      </w:r>
      <w:r>
        <w:rPr>
          <w:color w:val="080808"/>
          <w:w w:val="105"/>
          <w:sz w:val="21"/>
        </w:rPr>
        <w:t>C/22/02) were</w:t>
      </w:r>
      <w:r>
        <w:rPr>
          <w:color w:val="080808"/>
          <w:spacing w:val="-5"/>
          <w:w w:val="105"/>
          <w:sz w:val="21"/>
        </w:rPr>
        <w:t> </w:t>
      </w:r>
      <w:r>
        <w:rPr>
          <w:color w:val="080808"/>
          <w:w w:val="105"/>
          <w:sz w:val="21"/>
        </w:rPr>
        <w:t>as </w:t>
      </w:r>
      <w:r>
        <w:rPr>
          <w:color w:val="080808"/>
          <w:spacing w:val="-2"/>
          <w:w w:val="105"/>
          <w:sz w:val="21"/>
        </w:rPr>
        <w:t>follows:</w:t>
      </w:r>
    </w:p>
    <w:p>
      <w:pPr>
        <w:pStyle w:val="BodyText"/>
        <w:spacing w:before="7"/>
        <w:rPr>
          <w:sz w:val="19"/>
        </w:rPr>
      </w:pPr>
    </w:p>
    <w:tbl>
      <w:tblPr>
        <w:tblW w:w="0" w:type="auto"/>
        <w:jc w:val="left"/>
        <w:tblInd w:w="126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016"/>
        <w:gridCol w:w="1039"/>
        <w:gridCol w:w="1057"/>
        <w:gridCol w:w="974"/>
        <w:gridCol w:w="1352"/>
        <w:gridCol w:w="1463"/>
        <w:gridCol w:w="2779"/>
      </w:tblGrid>
      <w:tr>
        <w:trPr>
          <w:trHeight w:val="1657" w:hRule="atLeast"/>
        </w:trPr>
        <w:tc>
          <w:tcPr>
            <w:tcW w:w="1016" w:type="dxa"/>
            <w:tcBorders>
              <w:top w:val="single" w:color="000000" w:sz="6" w:space="0"/>
              <w:left w:val="single" w:color="000000" w:sz="2" w:space="0"/>
              <w:bottom w:val="single" w:color="000000" w:sz="6" w:space="0"/>
            </w:tcBorders>
          </w:tcPr>
          <w:p>
            <w:pPr>
              <w:pStyle w:val="TableParagraph"/>
              <w:rPr>
                <w:sz w:val="21"/>
              </w:rPr>
            </w:pPr>
          </w:p>
          <w:p>
            <w:pPr>
              <w:pStyle w:val="TableParagraph"/>
              <w:rPr>
                <w:sz w:val="21"/>
              </w:rPr>
            </w:pPr>
          </w:p>
          <w:p>
            <w:pPr>
              <w:pStyle w:val="TableParagraph"/>
              <w:rPr>
                <w:sz w:val="21"/>
              </w:rPr>
            </w:pPr>
          </w:p>
          <w:p>
            <w:pPr>
              <w:pStyle w:val="TableParagraph"/>
              <w:spacing w:before="184"/>
              <w:rPr>
                <w:sz w:val="21"/>
              </w:rPr>
            </w:pPr>
          </w:p>
          <w:p>
            <w:pPr>
              <w:pStyle w:val="TableParagraph"/>
              <w:ind w:left="131"/>
              <w:jc w:val="center"/>
              <w:rPr>
                <w:b/>
                <w:sz w:val="21"/>
              </w:rPr>
            </w:pPr>
            <w:r>
              <w:rPr>
                <w:b/>
                <w:color w:val="080808"/>
                <w:spacing w:val="-4"/>
                <w:w w:val="105"/>
                <w:sz w:val="21"/>
              </w:rPr>
              <w:t>Band</w:t>
            </w:r>
          </w:p>
        </w:tc>
        <w:tc>
          <w:tcPr>
            <w:tcW w:w="1039" w:type="dxa"/>
            <w:tcBorders>
              <w:top w:val="single" w:color="000000" w:sz="6" w:space="0"/>
              <w:bottom w:val="single" w:color="000000" w:sz="6" w:space="0"/>
            </w:tcBorders>
          </w:tcPr>
          <w:p>
            <w:pPr>
              <w:pStyle w:val="TableParagraph"/>
              <w:rPr>
                <w:rFonts w:ascii="Times New Roman"/>
                <w:sz w:val="20"/>
              </w:rPr>
            </w:pPr>
          </w:p>
        </w:tc>
        <w:tc>
          <w:tcPr>
            <w:tcW w:w="1057" w:type="dxa"/>
            <w:tcBorders>
              <w:top w:val="single" w:color="000000" w:sz="6" w:space="0"/>
              <w:bottom w:val="single" w:color="000000" w:sz="6" w:space="0"/>
            </w:tcBorders>
          </w:tcPr>
          <w:p>
            <w:pPr>
              <w:pStyle w:val="TableParagraph"/>
              <w:rPr>
                <w:sz w:val="21"/>
              </w:rPr>
            </w:pPr>
          </w:p>
          <w:p>
            <w:pPr>
              <w:pStyle w:val="TableParagraph"/>
              <w:rPr>
                <w:sz w:val="21"/>
              </w:rPr>
            </w:pPr>
          </w:p>
          <w:p>
            <w:pPr>
              <w:pStyle w:val="TableParagraph"/>
              <w:rPr>
                <w:sz w:val="21"/>
              </w:rPr>
            </w:pPr>
          </w:p>
          <w:p>
            <w:pPr>
              <w:pStyle w:val="TableParagraph"/>
              <w:spacing w:before="189"/>
              <w:rPr>
                <w:sz w:val="21"/>
              </w:rPr>
            </w:pPr>
          </w:p>
          <w:p>
            <w:pPr>
              <w:pStyle w:val="TableParagraph"/>
              <w:ind w:left="26" w:right="4"/>
              <w:jc w:val="center"/>
              <w:rPr>
                <w:b/>
                <w:sz w:val="21"/>
              </w:rPr>
            </w:pPr>
            <w:r>
              <w:rPr>
                <w:b/>
                <w:color w:val="080808"/>
                <w:spacing w:val="-2"/>
                <w:w w:val="105"/>
                <w:sz w:val="21"/>
              </w:rPr>
              <w:t>Valuation</w:t>
            </w:r>
          </w:p>
          <w:p>
            <w:pPr>
              <w:pStyle w:val="TableParagraph"/>
              <w:spacing w:before="37" w:line="203" w:lineRule="exact"/>
              <w:ind w:left="41" w:right="4"/>
              <w:jc w:val="center"/>
              <w:rPr>
                <w:sz w:val="21"/>
              </w:rPr>
            </w:pPr>
            <w:r>
              <w:rPr>
                <w:color w:val="080808"/>
                <w:spacing w:val="-10"/>
                <w:w w:val="110"/>
                <w:sz w:val="21"/>
              </w:rPr>
              <w:t>£</w:t>
            </w:r>
          </w:p>
        </w:tc>
        <w:tc>
          <w:tcPr>
            <w:tcW w:w="974" w:type="dxa"/>
            <w:tcBorders>
              <w:top w:val="single" w:color="000000" w:sz="6" w:space="0"/>
              <w:bottom w:val="single" w:color="000000" w:sz="6" w:space="0"/>
            </w:tcBorders>
          </w:tcPr>
          <w:p>
            <w:pPr>
              <w:pStyle w:val="TableParagraph"/>
              <w:rPr>
                <w:rFonts w:ascii="Times New Roman"/>
                <w:sz w:val="20"/>
              </w:rPr>
            </w:pPr>
          </w:p>
        </w:tc>
        <w:tc>
          <w:tcPr>
            <w:tcW w:w="2815" w:type="dxa"/>
            <w:gridSpan w:val="2"/>
            <w:tcBorders>
              <w:top w:val="single" w:color="000000" w:sz="6" w:space="0"/>
              <w:bottom w:val="single" w:color="000000" w:sz="6" w:space="0"/>
            </w:tcBorders>
          </w:tcPr>
          <w:p>
            <w:pPr>
              <w:pStyle w:val="TableParagraph"/>
              <w:spacing w:before="141" w:line="252" w:lineRule="auto"/>
              <w:ind w:left="138" w:right="173" w:firstLine="3"/>
              <w:jc w:val="center"/>
              <w:rPr>
                <w:sz w:val="21"/>
              </w:rPr>
            </w:pPr>
            <w:r>
              <w:rPr>
                <w:b/>
                <w:color w:val="080808"/>
                <w:w w:val="105"/>
                <w:sz w:val="21"/>
              </w:rPr>
              <w:t>Number of dwellings equivalents </w:t>
            </w:r>
            <w:r>
              <w:rPr>
                <w:color w:val="080808"/>
                <w:w w:val="105"/>
                <w:sz w:val="21"/>
              </w:rPr>
              <w:t>(after applying discounts and premiums</w:t>
            </w:r>
            <w:r>
              <w:rPr>
                <w:color w:val="080808"/>
                <w:spacing w:val="-9"/>
                <w:w w:val="105"/>
                <w:sz w:val="21"/>
              </w:rPr>
              <w:t> </w:t>
            </w:r>
            <w:r>
              <w:rPr>
                <w:color w:val="080808"/>
                <w:w w:val="105"/>
                <w:sz w:val="21"/>
              </w:rPr>
              <w:t>to</w:t>
            </w:r>
            <w:r>
              <w:rPr>
                <w:color w:val="080808"/>
                <w:spacing w:val="-16"/>
                <w:w w:val="105"/>
                <w:sz w:val="21"/>
              </w:rPr>
              <w:t> </w:t>
            </w:r>
            <w:r>
              <w:rPr>
                <w:color w:val="080808"/>
                <w:w w:val="105"/>
                <w:sz w:val="21"/>
              </w:rPr>
              <w:t>calculate</w:t>
            </w:r>
            <w:r>
              <w:rPr>
                <w:color w:val="080808"/>
                <w:spacing w:val="-13"/>
                <w:w w:val="105"/>
                <w:sz w:val="21"/>
              </w:rPr>
              <w:t> </w:t>
            </w:r>
            <w:r>
              <w:rPr>
                <w:color w:val="080808"/>
                <w:w w:val="105"/>
                <w:sz w:val="21"/>
              </w:rPr>
              <w:t>tax </w:t>
            </w:r>
            <w:r>
              <w:rPr>
                <w:color w:val="080808"/>
                <w:spacing w:val="-2"/>
                <w:w w:val="105"/>
                <w:sz w:val="21"/>
              </w:rPr>
              <w:t>base)</w:t>
            </w:r>
          </w:p>
          <w:p>
            <w:pPr>
              <w:pStyle w:val="TableParagraph"/>
              <w:spacing w:before="20" w:line="208" w:lineRule="exact"/>
              <w:ind w:right="33"/>
              <w:jc w:val="center"/>
              <w:rPr>
                <w:b/>
                <w:sz w:val="21"/>
              </w:rPr>
            </w:pPr>
            <w:r>
              <w:rPr>
                <w:b/>
                <w:color w:val="080808"/>
                <w:spacing w:val="-5"/>
                <w:w w:val="105"/>
                <w:sz w:val="21"/>
              </w:rPr>
              <w:t>No.</w:t>
            </w:r>
          </w:p>
        </w:tc>
        <w:tc>
          <w:tcPr>
            <w:tcW w:w="2779" w:type="dxa"/>
            <w:tcBorders>
              <w:top w:val="single" w:color="000000" w:sz="6" w:space="0"/>
              <w:bottom w:val="single" w:color="000000" w:sz="6" w:space="0"/>
              <w:right w:val="single" w:color="000000" w:sz="6" w:space="0"/>
            </w:tcBorders>
          </w:tcPr>
          <w:p>
            <w:pPr>
              <w:pStyle w:val="TableParagraph"/>
              <w:spacing w:before="145"/>
              <w:rPr>
                <w:sz w:val="21"/>
              </w:rPr>
            </w:pPr>
          </w:p>
          <w:p>
            <w:pPr>
              <w:pStyle w:val="TableParagraph"/>
              <w:spacing w:line="252" w:lineRule="auto"/>
              <w:ind w:left="30" w:right="11"/>
              <w:jc w:val="center"/>
              <w:rPr>
                <w:sz w:val="21"/>
              </w:rPr>
            </w:pPr>
            <w:r>
              <w:rPr>
                <w:b/>
                <w:color w:val="080808"/>
                <w:w w:val="105"/>
                <w:sz w:val="21"/>
              </w:rPr>
              <w:t>Total</w:t>
            </w:r>
            <w:r>
              <w:rPr>
                <w:b/>
                <w:color w:val="080808"/>
                <w:spacing w:val="-14"/>
                <w:w w:val="105"/>
                <w:sz w:val="21"/>
              </w:rPr>
              <w:t> </w:t>
            </w:r>
            <w:r>
              <w:rPr>
                <w:b/>
                <w:color w:val="080808"/>
                <w:w w:val="105"/>
                <w:sz w:val="21"/>
              </w:rPr>
              <w:t>number</w:t>
            </w:r>
            <w:r>
              <w:rPr>
                <w:b/>
                <w:color w:val="080808"/>
                <w:spacing w:val="-5"/>
                <w:w w:val="105"/>
                <w:sz w:val="21"/>
              </w:rPr>
              <w:t> </w:t>
            </w:r>
            <w:r>
              <w:rPr>
                <w:b/>
                <w:color w:val="080808"/>
                <w:w w:val="105"/>
                <w:sz w:val="21"/>
              </w:rPr>
              <w:t>of</w:t>
            </w:r>
            <w:r>
              <w:rPr>
                <w:b/>
                <w:color w:val="080808"/>
                <w:spacing w:val="-14"/>
                <w:w w:val="105"/>
                <w:sz w:val="21"/>
              </w:rPr>
              <w:t> </w:t>
            </w:r>
            <w:r>
              <w:rPr>
                <w:b/>
                <w:color w:val="080808"/>
                <w:w w:val="105"/>
                <w:sz w:val="21"/>
              </w:rPr>
              <w:t>band</w:t>
            </w:r>
            <w:r>
              <w:rPr>
                <w:b/>
                <w:color w:val="080808"/>
                <w:spacing w:val="-11"/>
                <w:w w:val="105"/>
                <w:sz w:val="21"/>
              </w:rPr>
              <w:t> </w:t>
            </w:r>
            <w:r>
              <w:rPr>
                <w:b/>
                <w:color w:val="080808"/>
                <w:w w:val="105"/>
                <w:sz w:val="21"/>
              </w:rPr>
              <w:t>D equivalents </w:t>
            </w:r>
            <w:r>
              <w:rPr>
                <w:color w:val="080808"/>
                <w:w w:val="105"/>
                <w:sz w:val="21"/>
              </w:rPr>
              <w:t>(after allowance for council tax </w:t>
            </w:r>
            <w:r>
              <w:rPr>
                <w:color w:val="080808"/>
                <w:spacing w:val="-2"/>
                <w:w w:val="105"/>
                <w:sz w:val="21"/>
              </w:rPr>
              <w:t>support)</w:t>
            </w:r>
          </w:p>
          <w:p>
            <w:pPr>
              <w:pStyle w:val="TableParagraph"/>
              <w:spacing w:before="24" w:line="213" w:lineRule="exact"/>
              <w:ind w:left="30" w:right="28"/>
              <w:jc w:val="center"/>
              <w:rPr>
                <w:b/>
                <w:sz w:val="21"/>
              </w:rPr>
            </w:pPr>
            <w:r>
              <w:rPr>
                <w:b/>
                <w:color w:val="080808"/>
                <w:spacing w:val="-5"/>
                <w:w w:val="105"/>
                <w:sz w:val="21"/>
              </w:rPr>
              <w:t>No.</w:t>
            </w:r>
          </w:p>
        </w:tc>
      </w:tr>
      <w:tr>
        <w:trPr>
          <w:trHeight w:val="568" w:hRule="atLeast"/>
        </w:trPr>
        <w:tc>
          <w:tcPr>
            <w:tcW w:w="1016" w:type="dxa"/>
            <w:tcBorders>
              <w:top w:val="single" w:color="000000" w:sz="6" w:space="0"/>
              <w:left w:val="single" w:color="000000" w:sz="2" w:space="0"/>
            </w:tcBorders>
          </w:tcPr>
          <w:p>
            <w:pPr>
              <w:pStyle w:val="TableParagraph"/>
              <w:spacing w:before="68"/>
              <w:rPr>
                <w:sz w:val="21"/>
              </w:rPr>
            </w:pPr>
          </w:p>
          <w:p>
            <w:pPr>
              <w:pStyle w:val="TableParagraph"/>
              <w:spacing w:line="239" w:lineRule="exact"/>
              <w:ind w:left="131" w:right="18"/>
              <w:jc w:val="center"/>
              <w:rPr>
                <w:sz w:val="21"/>
              </w:rPr>
            </w:pPr>
            <w:r>
              <w:rPr>
                <w:color w:val="080808"/>
                <w:spacing w:val="-10"/>
                <w:w w:val="105"/>
                <w:sz w:val="21"/>
              </w:rPr>
              <w:t>A</w:t>
            </w:r>
          </w:p>
        </w:tc>
        <w:tc>
          <w:tcPr>
            <w:tcW w:w="1039" w:type="dxa"/>
            <w:tcBorders>
              <w:top w:val="single" w:color="000000" w:sz="6" w:space="0"/>
            </w:tcBorders>
          </w:tcPr>
          <w:p>
            <w:pPr>
              <w:pStyle w:val="TableParagraph"/>
              <w:spacing w:before="68"/>
              <w:rPr>
                <w:sz w:val="21"/>
              </w:rPr>
            </w:pPr>
          </w:p>
          <w:p>
            <w:pPr>
              <w:pStyle w:val="TableParagraph"/>
              <w:spacing w:line="239" w:lineRule="exact"/>
              <w:ind w:right="32"/>
              <w:jc w:val="right"/>
              <w:rPr>
                <w:sz w:val="21"/>
              </w:rPr>
            </w:pPr>
            <w:r>
              <w:rPr>
                <w:color w:val="080808"/>
                <w:spacing w:val="-5"/>
                <w:w w:val="105"/>
                <w:sz w:val="21"/>
              </w:rPr>
              <w:t>Up</w:t>
            </w:r>
          </w:p>
        </w:tc>
        <w:tc>
          <w:tcPr>
            <w:tcW w:w="1057" w:type="dxa"/>
            <w:tcBorders>
              <w:top w:val="single" w:color="000000" w:sz="6" w:space="0"/>
            </w:tcBorders>
          </w:tcPr>
          <w:p>
            <w:pPr>
              <w:pStyle w:val="TableParagraph"/>
              <w:spacing w:before="68"/>
              <w:rPr>
                <w:sz w:val="21"/>
              </w:rPr>
            </w:pPr>
          </w:p>
          <w:p>
            <w:pPr>
              <w:pStyle w:val="TableParagraph"/>
              <w:spacing w:line="239" w:lineRule="exact"/>
              <w:ind w:left="22" w:right="5"/>
              <w:jc w:val="center"/>
              <w:rPr>
                <w:sz w:val="21"/>
              </w:rPr>
            </w:pPr>
            <w:r>
              <w:rPr>
                <w:color w:val="080808"/>
                <w:spacing w:val="-5"/>
                <w:w w:val="105"/>
                <w:sz w:val="21"/>
              </w:rPr>
              <w:t>to</w:t>
            </w:r>
          </w:p>
        </w:tc>
        <w:tc>
          <w:tcPr>
            <w:tcW w:w="2326" w:type="dxa"/>
            <w:gridSpan w:val="2"/>
            <w:tcBorders>
              <w:top w:val="single" w:color="000000" w:sz="6" w:space="0"/>
            </w:tcBorders>
          </w:tcPr>
          <w:p>
            <w:pPr>
              <w:pStyle w:val="TableParagraph"/>
              <w:spacing w:before="68"/>
              <w:rPr>
                <w:sz w:val="21"/>
              </w:rPr>
            </w:pPr>
          </w:p>
          <w:p>
            <w:pPr>
              <w:pStyle w:val="TableParagraph"/>
              <w:spacing w:line="239" w:lineRule="exact"/>
              <w:ind w:left="176"/>
              <w:rPr>
                <w:sz w:val="21"/>
              </w:rPr>
            </w:pPr>
            <w:r>
              <w:rPr>
                <w:color w:val="080808"/>
                <w:spacing w:val="-2"/>
                <w:w w:val="105"/>
                <w:sz w:val="21"/>
              </w:rPr>
              <w:t>40,000</w:t>
            </w:r>
          </w:p>
        </w:tc>
        <w:tc>
          <w:tcPr>
            <w:tcW w:w="1463" w:type="dxa"/>
            <w:tcBorders>
              <w:top w:val="single" w:color="000000" w:sz="6" w:space="0"/>
            </w:tcBorders>
          </w:tcPr>
          <w:p>
            <w:pPr>
              <w:pStyle w:val="TableParagraph"/>
              <w:spacing w:before="68"/>
              <w:rPr>
                <w:sz w:val="21"/>
              </w:rPr>
            </w:pPr>
          </w:p>
          <w:p>
            <w:pPr>
              <w:pStyle w:val="TableParagraph"/>
              <w:spacing w:line="239" w:lineRule="exact"/>
              <w:ind w:right="139"/>
              <w:jc w:val="right"/>
              <w:rPr>
                <w:sz w:val="21"/>
              </w:rPr>
            </w:pPr>
            <w:r>
              <w:rPr>
                <w:color w:val="080808"/>
                <w:spacing w:val="-5"/>
                <w:w w:val="105"/>
                <w:sz w:val="21"/>
              </w:rPr>
              <w:t>505</w:t>
            </w:r>
          </w:p>
        </w:tc>
        <w:tc>
          <w:tcPr>
            <w:tcW w:w="2779" w:type="dxa"/>
            <w:tcBorders>
              <w:top w:val="single" w:color="000000" w:sz="6" w:space="0"/>
              <w:right w:val="single" w:color="000000" w:sz="6" w:space="0"/>
            </w:tcBorders>
          </w:tcPr>
          <w:p>
            <w:pPr>
              <w:pStyle w:val="TableParagraph"/>
              <w:spacing w:before="63"/>
              <w:rPr>
                <w:sz w:val="21"/>
              </w:rPr>
            </w:pPr>
          </w:p>
          <w:p>
            <w:pPr>
              <w:pStyle w:val="TableParagraph"/>
              <w:ind w:right="72"/>
              <w:jc w:val="right"/>
              <w:rPr>
                <w:sz w:val="21"/>
              </w:rPr>
            </w:pPr>
            <w:r>
              <w:rPr>
                <w:color w:val="080808"/>
                <w:spacing w:val="-5"/>
                <w:w w:val="105"/>
                <w:sz w:val="21"/>
              </w:rPr>
              <w:t>337</w:t>
            </w:r>
          </w:p>
        </w:tc>
      </w:tr>
      <w:tr>
        <w:trPr>
          <w:trHeight w:val="278" w:hRule="atLeast"/>
        </w:trPr>
        <w:tc>
          <w:tcPr>
            <w:tcW w:w="1016" w:type="dxa"/>
            <w:tcBorders>
              <w:left w:val="single" w:color="000000" w:sz="6" w:space="0"/>
            </w:tcBorders>
          </w:tcPr>
          <w:p>
            <w:pPr>
              <w:pStyle w:val="TableParagraph"/>
              <w:spacing w:before="15"/>
              <w:ind w:left="111"/>
              <w:jc w:val="center"/>
              <w:rPr>
                <w:sz w:val="21"/>
              </w:rPr>
            </w:pPr>
            <w:r>
              <w:rPr>
                <w:color w:val="080808"/>
                <w:spacing w:val="-10"/>
                <w:w w:val="110"/>
                <w:sz w:val="21"/>
              </w:rPr>
              <w:t>B</w:t>
            </w:r>
          </w:p>
        </w:tc>
        <w:tc>
          <w:tcPr>
            <w:tcW w:w="1039" w:type="dxa"/>
          </w:tcPr>
          <w:p>
            <w:pPr>
              <w:pStyle w:val="TableParagraph"/>
              <w:spacing w:before="20" w:line="239" w:lineRule="exact"/>
              <w:ind w:right="34"/>
              <w:jc w:val="right"/>
              <w:rPr>
                <w:sz w:val="21"/>
              </w:rPr>
            </w:pPr>
            <w:r>
              <w:rPr>
                <w:color w:val="080808"/>
                <w:spacing w:val="-2"/>
                <w:w w:val="105"/>
                <w:sz w:val="21"/>
              </w:rPr>
              <w:t>40,001</w:t>
            </w:r>
          </w:p>
        </w:tc>
        <w:tc>
          <w:tcPr>
            <w:tcW w:w="1057" w:type="dxa"/>
          </w:tcPr>
          <w:p>
            <w:pPr>
              <w:pStyle w:val="TableParagraph"/>
              <w:spacing w:before="20" w:line="239" w:lineRule="exact"/>
              <w:ind w:left="22" w:right="5"/>
              <w:jc w:val="center"/>
              <w:rPr>
                <w:sz w:val="21"/>
              </w:rPr>
            </w:pPr>
            <w:r>
              <w:rPr>
                <w:color w:val="080808"/>
                <w:spacing w:val="-5"/>
                <w:w w:val="105"/>
                <w:sz w:val="21"/>
              </w:rPr>
              <w:t>to</w:t>
            </w:r>
          </w:p>
        </w:tc>
        <w:tc>
          <w:tcPr>
            <w:tcW w:w="2326" w:type="dxa"/>
            <w:gridSpan w:val="2"/>
          </w:tcPr>
          <w:p>
            <w:pPr>
              <w:pStyle w:val="TableParagraph"/>
              <w:spacing w:before="20" w:line="239" w:lineRule="exact"/>
              <w:ind w:left="174"/>
              <w:rPr>
                <w:sz w:val="21"/>
              </w:rPr>
            </w:pPr>
            <w:r>
              <w:rPr>
                <w:color w:val="080808"/>
                <w:spacing w:val="-2"/>
                <w:w w:val="105"/>
                <w:sz w:val="21"/>
              </w:rPr>
              <w:t>52,000</w:t>
            </w:r>
          </w:p>
        </w:tc>
        <w:tc>
          <w:tcPr>
            <w:tcW w:w="1463" w:type="dxa"/>
          </w:tcPr>
          <w:p>
            <w:pPr>
              <w:pStyle w:val="TableParagraph"/>
              <w:spacing w:before="15"/>
              <w:ind w:right="141"/>
              <w:jc w:val="right"/>
              <w:rPr>
                <w:sz w:val="21"/>
              </w:rPr>
            </w:pPr>
            <w:r>
              <w:rPr>
                <w:color w:val="080808"/>
                <w:spacing w:val="-4"/>
                <w:w w:val="105"/>
                <w:sz w:val="21"/>
              </w:rPr>
              <w:t>1,814</w:t>
            </w:r>
          </w:p>
        </w:tc>
        <w:tc>
          <w:tcPr>
            <w:tcW w:w="2779" w:type="dxa"/>
            <w:tcBorders>
              <w:right w:val="single" w:color="000000" w:sz="6" w:space="0"/>
            </w:tcBorders>
          </w:tcPr>
          <w:p>
            <w:pPr>
              <w:pStyle w:val="TableParagraph"/>
              <w:spacing w:before="10"/>
              <w:ind w:right="70"/>
              <w:jc w:val="right"/>
              <w:rPr>
                <w:sz w:val="21"/>
              </w:rPr>
            </w:pPr>
            <w:r>
              <w:rPr>
                <w:color w:val="080808"/>
                <w:spacing w:val="-4"/>
                <w:w w:val="105"/>
                <w:sz w:val="21"/>
              </w:rPr>
              <w:t>1,411</w:t>
            </w:r>
          </w:p>
        </w:tc>
      </w:tr>
      <w:tr>
        <w:trPr>
          <w:trHeight w:val="273" w:hRule="atLeast"/>
        </w:trPr>
        <w:tc>
          <w:tcPr>
            <w:tcW w:w="1016" w:type="dxa"/>
            <w:tcBorders>
              <w:left w:val="single" w:color="000000" w:sz="6" w:space="0"/>
            </w:tcBorders>
          </w:tcPr>
          <w:p>
            <w:pPr>
              <w:pStyle w:val="TableParagraph"/>
              <w:spacing w:before="15" w:line="239" w:lineRule="exact"/>
              <w:ind w:left="111" w:right="19"/>
              <w:jc w:val="center"/>
              <w:rPr>
                <w:sz w:val="21"/>
              </w:rPr>
            </w:pPr>
            <w:r>
              <w:rPr>
                <w:color w:val="080808"/>
                <w:spacing w:val="-10"/>
                <w:w w:val="105"/>
                <w:sz w:val="21"/>
              </w:rPr>
              <w:t>C</w:t>
            </w:r>
          </w:p>
        </w:tc>
        <w:tc>
          <w:tcPr>
            <w:tcW w:w="1039" w:type="dxa"/>
          </w:tcPr>
          <w:p>
            <w:pPr>
              <w:pStyle w:val="TableParagraph"/>
              <w:spacing w:before="15" w:line="239" w:lineRule="exact"/>
              <w:ind w:right="42"/>
              <w:jc w:val="right"/>
              <w:rPr>
                <w:sz w:val="21"/>
              </w:rPr>
            </w:pPr>
            <w:r>
              <w:rPr>
                <w:color w:val="080808"/>
                <w:spacing w:val="-2"/>
                <w:w w:val="105"/>
                <w:sz w:val="21"/>
              </w:rPr>
              <w:t>52,001</w:t>
            </w:r>
          </w:p>
        </w:tc>
        <w:tc>
          <w:tcPr>
            <w:tcW w:w="1057" w:type="dxa"/>
          </w:tcPr>
          <w:p>
            <w:pPr>
              <w:pStyle w:val="TableParagraph"/>
              <w:spacing w:before="15" w:line="239" w:lineRule="exact"/>
              <w:ind w:left="22" w:right="10"/>
              <w:jc w:val="center"/>
              <w:rPr>
                <w:sz w:val="21"/>
              </w:rPr>
            </w:pPr>
            <w:r>
              <w:rPr>
                <w:color w:val="080808"/>
                <w:spacing w:val="-5"/>
                <w:w w:val="110"/>
                <w:sz w:val="21"/>
              </w:rPr>
              <w:t>to</w:t>
            </w:r>
          </w:p>
        </w:tc>
        <w:tc>
          <w:tcPr>
            <w:tcW w:w="2326" w:type="dxa"/>
            <w:gridSpan w:val="2"/>
          </w:tcPr>
          <w:p>
            <w:pPr>
              <w:pStyle w:val="TableParagraph"/>
              <w:spacing w:before="15" w:line="239" w:lineRule="exact"/>
              <w:ind w:left="170"/>
              <w:rPr>
                <w:sz w:val="21"/>
              </w:rPr>
            </w:pPr>
            <w:r>
              <w:rPr>
                <w:color w:val="080808"/>
                <w:spacing w:val="-2"/>
                <w:w w:val="105"/>
                <w:sz w:val="21"/>
              </w:rPr>
              <w:t>68,000</w:t>
            </w:r>
          </w:p>
        </w:tc>
        <w:tc>
          <w:tcPr>
            <w:tcW w:w="1463" w:type="dxa"/>
          </w:tcPr>
          <w:p>
            <w:pPr>
              <w:pStyle w:val="TableParagraph"/>
              <w:spacing w:before="15" w:line="239" w:lineRule="exact"/>
              <w:ind w:right="146"/>
              <w:jc w:val="right"/>
              <w:rPr>
                <w:sz w:val="21"/>
              </w:rPr>
            </w:pPr>
            <w:r>
              <w:rPr>
                <w:color w:val="080808"/>
                <w:spacing w:val="-4"/>
                <w:w w:val="105"/>
                <w:sz w:val="21"/>
              </w:rPr>
              <w:t>5,011</w:t>
            </w:r>
          </w:p>
        </w:tc>
        <w:tc>
          <w:tcPr>
            <w:tcW w:w="2779" w:type="dxa"/>
            <w:tcBorders>
              <w:right w:val="single" w:color="000000" w:sz="6" w:space="0"/>
            </w:tcBorders>
          </w:tcPr>
          <w:p>
            <w:pPr>
              <w:pStyle w:val="TableParagraph"/>
              <w:spacing w:before="10"/>
              <w:ind w:right="74"/>
              <w:jc w:val="right"/>
              <w:rPr>
                <w:sz w:val="21"/>
              </w:rPr>
            </w:pPr>
            <w:r>
              <w:rPr>
                <w:color w:val="080808"/>
                <w:spacing w:val="-4"/>
                <w:w w:val="105"/>
                <w:sz w:val="21"/>
              </w:rPr>
              <w:t>4,454</w:t>
            </w:r>
          </w:p>
        </w:tc>
      </w:tr>
      <w:tr>
        <w:trPr>
          <w:trHeight w:val="278" w:hRule="atLeast"/>
        </w:trPr>
        <w:tc>
          <w:tcPr>
            <w:tcW w:w="1016" w:type="dxa"/>
            <w:tcBorders>
              <w:left w:val="single" w:color="000000" w:sz="6" w:space="0"/>
            </w:tcBorders>
          </w:tcPr>
          <w:p>
            <w:pPr>
              <w:pStyle w:val="TableParagraph"/>
              <w:spacing w:before="15"/>
              <w:ind w:left="111" w:right="21"/>
              <w:jc w:val="center"/>
              <w:rPr>
                <w:sz w:val="21"/>
              </w:rPr>
            </w:pPr>
            <w:r>
              <w:rPr>
                <w:color w:val="080808"/>
                <w:spacing w:val="-10"/>
                <w:w w:val="105"/>
                <w:sz w:val="21"/>
              </w:rPr>
              <w:t>D</w:t>
            </w:r>
          </w:p>
        </w:tc>
        <w:tc>
          <w:tcPr>
            <w:tcW w:w="1039" w:type="dxa"/>
          </w:tcPr>
          <w:p>
            <w:pPr>
              <w:pStyle w:val="TableParagraph"/>
              <w:spacing w:before="15"/>
              <w:ind w:right="48"/>
              <w:jc w:val="right"/>
              <w:rPr>
                <w:sz w:val="21"/>
              </w:rPr>
            </w:pPr>
            <w:r>
              <w:rPr>
                <w:color w:val="080808"/>
                <w:spacing w:val="-2"/>
                <w:w w:val="105"/>
                <w:sz w:val="21"/>
              </w:rPr>
              <w:t>68,001</w:t>
            </w:r>
          </w:p>
        </w:tc>
        <w:tc>
          <w:tcPr>
            <w:tcW w:w="1057" w:type="dxa"/>
          </w:tcPr>
          <w:p>
            <w:pPr>
              <w:pStyle w:val="TableParagraph"/>
              <w:spacing w:before="20" w:line="239" w:lineRule="exact"/>
              <w:ind w:left="7"/>
              <w:jc w:val="center"/>
              <w:rPr>
                <w:sz w:val="21"/>
              </w:rPr>
            </w:pPr>
            <w:r>
              <w:rPr>
                <w:color w:val="080808"/>
                <w:spacing w:val="-5"/>
                <w:w w:val="105"/>
                <w:sz w:val="21"/>
              </w:rPr>
              <w:t>to</w:t>
            </w:r>
          </w:p>
        </w:tc>
        <w:tc>
          <w:tcPr>
            <w:tcW w:w="2326" w:type="dxa"/>
            <w:gridSpan w:val="2"/>
          </w:tcPr>
          <w:p>
            <w:pPr>
              <w:pStyle w:val="TableParagraph"/>
              <w:spacing w:before="20" w:line="239" w:lineRule="exact"/>
              <w:ind w:left="170"/>
              <w:rPr>
                <w:sz w:val="21"/>
              </w:rPr>
            </w:pPr>
            <w:r>
              <w:rPr>
                <w:color w:val="080808"/>
                <w:spacing w:val="-2"/>
                <w:w w:val="105"/>
                <w:sz w:val="21"/>
              </w:rPr>
              <w:t>88,000</w:t>
            </w:r>
          </w:p>
        </w:tc>
        <w:tc>
          <w:tcPr>
            <w:tcW w:w="1463" w:type="dxa"/>
          </w:tcPr>
          <w:p>
            <w:pPr>
              <w:pStyle w:val="TableParagraph"/>
              <w:spacing w:before="15"/>
              <w:ind w:right="155"/>
              <w:jc w:val="right"/>
              <w:rPr>
                <w:sz w:val="21"/>
              </w:rPr>
            </w:pPr>
            <w:r>
              <w:rPr>
                <w:color w:val="080808"/>
                <w:spacing w:val="-2"/>
                <w:w w:val="105"/>
                <w:sz w:val="21"/>
              </w:rPr>
              <w:t>11,983</w:t>
            </w:r>
          </w:p>
        </w:tc>
        <w:tc>
          <w:tcPr>
            <w:tcW w:w="2779" w:type="dxa"/>
            <w:tcBorders>
              <w:right w:val="single" w:color="000000" w:sz="6" w:space="0"/>
            </w:tcBorders>
          </w:tcPr>
          <w:p>
            <w:pPr>
              <w:pStyle w:val="TableParagraph"/>
              <w:spacing w:before="10"/>
              <w:ind w:right="82"/>
              <w:jc w:val="right"/>
              <w:rPr>
                <w:sz w:val="21"/>
              </w:rPr>
            </w:pPr>
            <w:r>
              <w:rPr>
                <w:color w:val="080808"/>
                <w:spacing w:val="-2"/>
                <w:w w:val="105"/>
                <w:sz w:val="21"/>
              </w:rPr>
              <w:t>11,983</w:t>
            </w:r>
          </w:p>
        </w:tc>
      </w:tr>
      <w:tr>
        <w:trPr>
          <w:trHeight w:val="273" w:hRule="atLeast"/>
        </w:trPr>
        <w:tc>
          <w:tcPr>
            <w:tcW w:w="1016" w:type="dxa"/>
            <w:tcBorders>
              <w:left w:val="single" w:color="000000" w:sz="6" w:space="0"/>
            </w:tcBorders>
          </w:tcPr>
          <w:p>
            <w:pPr>
              <w:pStyle w:val="TableParagraph"/>
              <w:spacing w:before="15" w:line="239" w:lineRule="exact"/>
              <w:ind w:left="111" w:right="35"/>
              <w:jc w:val="center"/>
              <w:rPr>
                <w:sz w:val="21"/>
              </w:rPr>
            </w:pPr>
            <w:r>
              <w:rPr>
                <w:color w:val="080808"/>
                <w:spacing w:val="-10"/>
                <w:w w:val="105"/>
                <w:sz w:val="21"/>
              </w:rPr>
              <w:t>E</w:t>
            </w:r>
          </w:p>
        </w:tc>
        <w:tc>
          <w:tcPr>
            <w:tcW w:w="1039" w:type="dxa"/>
          </w:tcPr>
          <w:p>
            <w:pPr>
              <w:pStyle w:val="TableParagraph"/>
              <w:spacing w:before="15" w:line="239" w:lineRule="exact"/>
              <w:ind w:right="47"/>
              <w:jc w:val="right"/>
              <w:rPr>
                <w:sz w:val="21"/>
              </w:rPr>
            </w:pPr>
            <w:r>
              <w:rPr>
                <w:color w:val="080808"/>
                <w:spacing w:val="-2"/>
                <w:w w:val="105"/>
                <w:sz w:val="21"/>
              </w:rPr>
              <w:t>88,001</w:t>
            </w:r>
          </w:p>
        </w:tc>
        <w:tc>
          <w:tcPr>
            <w:tcW w:w="1057" w:type="dxa"/>
          </w:tcPr>
          <w:p>
            <w:pPr>
              <w:pStyle w:val="TableParagraph"/>
              <w:spacing w:before="15" w:line="239" w:lineRule="exact"/>
              <w:jc w:val="center"/>
              <w:rPr>
                <w:sz w:val="21"/>
              </w:rPr>
            </w:pPr>
            <w:r>
              <w:rPr>
                <w:color w:val="080808"/>
                <w:spacing w:val="-5"/>
                <w:w w:val="105"/>
                <w:sz w:val="21"/>
              </w:rPr>
              <w:t>to</w:t>
            </w:r>
          </w:p>
        </w:tc>
        <w:tc>
          <w:tcPr>
            <w:tcW w:w="2326" w:type="dxa"/>
            <w:gridSpan w:val="2"/>
          </w:tcPr>
          <w:p>
            <w:pPr>
              <w:pStyle w:val="TableParagraph"/>
              <w:spacing w:before="15" w:line="239" w:lineRule="exact"/>
              <w:ind w:left="45"/>
              <w:rPr>
                <w:sz w:val="21"/>
              </w:rPr>
            </w:pPr>
            <w:r>
              <w:rPr>
                <w:color w:val="080808"/>
                <w:spacing w:val="-2"/>
                <w:w w:val="105"/>
                <w:sz w:val="21"/>
              </w:rPr>
              <w:t>120,000</w:t>
            </w:r>
          </w:p>
        </w:tc>
        <w:tc>
          <w:tcPr>
            <w:tcW w:w="1463" w:type="dxa"/>
          </w:tcPr>
          <w:p>
            <w:pPr>
              <w:pStyle w:val="TableParagraph"/>
              <w:spacing w:before="15" w:line="239" w:lineRule="exact"/>
              <w:ind w:right="152"/>
              <w:jc w:val="right"/>
              <w:rPr>
                <w:sz w:val="21"/>
              </w:rPr>
            </w:pPr>
            <w:r>
              <w:rPr>
                <w:color w:val="080808"/>
                <w:spacing w:val="-4"/>
                <w:w w:val="105"/>
                <w:sz w:val="21"/>
              </w:rPr>
              <w:t>7,943</w:t>
            </w:r>
          </w:p>
        </w:tc>
        <w:tc>
          <w:tcPr>
            <w:tcW w:w="2779" w:type="dxa"/>
            <w:tcBorders>
              <w:right w:val="single" w:color="000000" w:sz="6" w:space="0"/>
            </w:tcBorders>
          </w:tcPr>
          <w:p>
            <w:pPr>
              <w:pStyle w:val="TableParagraph"/>
              <w:spacing w:before="10"/>
              <w:ind w:right="80"/>
              <w:jc w:val="right"/>
              <w:rPr>
                <w:sz w:val="21"/>
              </w:rPr>
            </w:pPr>
            <w:r>
              <w:rPr>
                <w:color w:val="080808"/>
                <w:spacing w:val="-4"/>
                <w:w w:val="105"/>
                <w:sz w:val="21"/>
              </w:rPr>
              <w:t>9,708</w:t>
            </w:r>
          </w:p>
        </w:tc>
      </w:tr>
      <w:tr>
        <w:trPr>
          <w:trHeight w:val="278" w:hRule="atLeast"/>
        </w:trPr>
        <w:tc>
          <w:tcPr>
            <w:tcW w:w="1016" w:type="dxa"/>
            <w:tcBorders>
              <w:left w:val="single" w:color="000000" w:sz="6" w:space="0"/>
            </w:tcBorders>
          </w:tcPr>
          <w:p>
            <w:pPr>
              <w:pStyle w:val="TableParagraph"/>
              <w:spacing w:before="20" w:line="239" w:lineRule="exact"/>
              <w:ind w:left="111" w:right="28"/>
              <w:jc w:val="center"/>
              <w:rPr>
                <w:sz w:val="21"/>
              </w:rPr>
            </w:pPr>
            <w:r>
              <w:rPr>
                <w:color w:val="080808"/>
                <w:spacing w:val="-10"/>
                <w:w w:val="105"/>
                <w:sz w:val="21"/>
              </w:rPr>
              <w:t>F</w:t>
            </w:r>
          </w:p>
        </w:tc>
        <w:tc>
          <w:tcPr>
            <w:tcW w:w="1039" w:type="dxa"/>
          </w:tcPr>
          <w:p>
            <w:pPr>
              <w:pStyle w:val="TableParagraph"/>
              <w:spacing w:before="15"/>
              <w:ind w:right="49"/>
              <w:jc w:val="right"/>
              <w:rPr>
                <w:sz w:val="21"/>
              </w:rPr>
            </w:pPr>
            <w:r>
              <w:rPr>
                <w:color w:val="080808"/>
                <w:spacing w:val="-2"/>
                <w:w w:val="105"/>
                <w:sz w:val="21"/>
              </w:rPr>
              <w:t>120,001</w:t>
            </w:r>
          </w:p>
        </w:tc>
        <w:tc>
          <w:tcPr>
            <w:tcW w:w="1057" w:type="dxa"/>
          </w:tcPr>
          <w:p>
            <w:pPr>
              <w:pStyle w:val="TableParagraph"/>
              <w:spacing w:before="20" w:line="239" w:lineRule="exact"/>
              <w:ind w:right="4"/>
              <w:jc w:val="center"/>
              <w:rPr>
                <w:sz w:val="21"/>
              </w:rPr>
            </w:pPr>
            <w:r>
              <w:rPr>
                <w:color w:val="080808"/>
                <w:spacing w:val="-5"/>
                <w:w w:val="110"/>
                <w:sz w:val="21"/>
              </w:rPr>
              <w:t>to</w:t>
            </w:r>
          </w:p>
        </w:tc>
        <w:tc>
          <w:tcPr>
            <w:tcW w:w="2326" w:type="dxa"/>
            <w:gridSpan w:val="2"/>
          </w:tcPr>
          <w:p>
            <w:pPr>
              <w:pStyle w:val="TableParagraph"/>
              <w:spacing w:before="20" w:line="239" w:lineRule="exact"/>
              <w:ind w:left="40"/>
              <w:rPr>
                <w:sz w:val="21"/>
              </w:rPr>
            </w:pPr>
            <w:r>
              <w:rPr>
                <w:color w:val="080808"/>
                <w:spacing w:val="-2"/>
                <w:w w:val="105"/>
                <w:sz w:val="21"/>
              </w:rPr>
              <w:t>160,000</w:t>
            </w:r>
          </w:p>
        </w:tc>
        <w:tc>
          <w:tcPr>
            <w:tcW w:w="1463" w:type="dxa"/>
          </w:tcPr>
          <w:p>
            <w:pPr>
              <w:pStyle w:val="TableParagraph"/>
              <w:spacing w:before="15"/>
              <w:ind w:right="154"/>
              <w:jc w:val="right"/>
              <w:rPr>
                <w:sz w:val="21"/>
              </w:rPr>
            </w:pPr>
            <w:r>
              <w:rPr>
                <w:color w:val="080808"/>
                <w:spacing w:val="-4"/>
                <w:w w:val="105"/>
                <w:sz w:val="21"/>
              </w:rPr>
              <w:t>4,030</w:t>
            </w:r>
          </w:p>
        </w:tc>
        <w:tc>
          <w:tcPr>
            <w:tcW w:w="2779" w:type="dxa"/>
            <w:tcBorders>
              <w:right w:val="single" w:color="000000" w:sz="6" w:space="0"/>
            </w:tcBorders>
          </w:tcPr>
          <w:p>
            <w:pPr>
              <w:pStyle w:val="TableParagraph"/>
              <w:spacing w:before="10"/>
              <w:ind w:right="75"/>
              <w:jc w:val="right"/>
              <w:rPr>
                <w:sz w:val="21"/>
              </w:rPr>
            </w:pPr>
            <w:r>
              <w:rPr>
                <w:color w:val="080808"/>
                <w:spacing w:val="-4"/>
                <w:w w:val="105"/>
                <w:sz w:val="21"/>
              </w:rPr>
              <w:t>5,821</w:t>
            </w:r>
          </w:p>
        </w:tc>
      </w:tr>
      <w:tr>
        <w:trPr>
          <w:trHeight w:val="276" w:hRule="atLeast"/>
        </w:trPr>
        <w:tc>
          <w:tcPr>
            <w:tcW w:w="1016" w:type="dxa"/>
            <w:tcBorders>
              <w:left w:val="single" w:color="000000" w:sz="6" w:space="0"/>
            </w:tcBorders>
          </w:tcPr>
          <w:p>
            <w:pPr>
              <w:pStyle w:val="TableParagraph"/>
              <w:spacing w:before="15" w:line="241" w:lineRule="exact"/>
              <w:ind w:left="111" w:right="33"/>
              <w:jc w:val="center"/>
              <w:rPr>
                <w:sz w:val="21"/>
              </w:rPr>
            </w:pPr>
            <w:r>
              <w:rPr>
                <w:color w:val="080808"/>
                <w:spacing w:val="-10"/>
                <w:w w:val="110"/>
                <w:sz w:val="21"/>
              </w:rPr>
              <w:t>G</w:t>
            </w:r>
          </w:p>
        </w:tc>
        <w:tc>
          <w:tcPr>
            <w:tcW w:w="1039" w:type="dxa"/>
          </w:tcPr>
          <w:p>
            <w:pPr>
              <w:pStyle w:val="TableParagraph"/>
              <w:spacing w:before="15" w:line="241" w:lineRule="exact"/>
              <w:ind w:right="54"/>
              <w:jc w:val="right"/>
              <w:rPr>
                <w:sz w:val="21"/>
              </w:rPr>
            </w:pPr>
            <w:r>
              <w:rPr>
                <w:color w:val="080808"/>
                <w:spacing w:val="-2"/>
                <w:w w:val="105"/>
                <w:sz w:val="21"/>
              </w:rPr>
              <w:t>160,001</w:t>
            </w:r>
          </w:p>
        </w:tc>
        <w:tc>
          <w:tcPr>
            <w:tcW w:w="1057" w:type="dxa"/>
          </w:tcPr>
          <w:p>
            <w:pPr>
              <w:pStyle w:val="TableParagraph"/>
              <w:spacing w:before="20" w:line="236" w:lineRule="exact"/>
              <w:ind w:left="22" w:right="36"/>
              <w:jc w:val="center"/>
              <w:rPr>
                <w:sz w:val="21"/>
              </w:rPr>
            </w:pPr>
            <w:r>
              <w:rPr>
                <w:color w:val="080808"/>
                <w:spacing w:val="-5"/>
                <w:w w:val="110"/>
                <w:sz w:val="21"/>
              </w:rPr>
              <w:t>to</w:t>
            </w:r>
          </w:p>
        </w:tc>
        <w:tc>
          <w:tcPr>
            <w:tcW w:w="2326" w:type="dxa"/>
            <w:gridSpan w:val="2"/>
          </w:tcPr>
          <w:p>
            <w:pPr>
              <w:pStyle w:val="TableParagraph"/>
              <w:spacing w:before="15" w:line="241" w:lineRule="exact"/>
              <w:ind w:left="40"/>
              <w:rPr>
                <w:sz w:val="21"/>
              </w:rPr>
            </w:pPr>
            <w:r>
              <w:rPr>
                <w:color w:val="080808"/>
                <w:spacing w:val="-2"/>
                <w:w w:val="105"/>
                <w:sz w:val="21"/>
              </w:rPr>
              <w:t>320,000</w:t>
            </w:r>
          </w:p>
        </w:tc>
        <w:tc>
          <w:tcPr>
            <w:tcW w:w="1463" w:type="dxa"/>
          </w:tcPr>
          <w:p>
            <w:pPr>
              <w:pStyle w:val="TableParagraph"/>
              <w:spacing w:before="15" w:line="241" w:lineRule="exact"/>
              <w:ind w:right="159"/>
              <w:jc w:val="right"/>
              <w:rPr>
                <w:sz w:val="21"/>
              </w:rPr>
            </w:pPr>
            <w:r>
              <w:rPr>
                <w:color w:val="080808"/>
                <w:spacing w:val="-4"/>
                <w:w w:val="105"/>
                <w:sz w:val="21"/>
              </w:rPr>
              <w:t>4,362</w:t>
            </w:r>
          </w:p>
        </w:tc>
        <w:tc>
          <w:tcPr>
            <w:tcW w:w="2779" w:type="dxa"/>
            <w:tcBorders>
              <w:right w:val="single" w:color="000000" w:sz="6" w:space="0"/>
            </w:tcBorders>
          </w:tcPr>
          <w:p>
            <w:pPr>
              <w:pStyle w:val="TableParagraph"/>
              <w:spacing w:before="10"/>
              <w:ind w:right="86"/>
              <w:jc w:val="right"/>
              <w:rPr>
                <w:sz w:val="21"/>
              </w:rPr>
            </w:pPr>
            <w:r>
              <w:rPr>
                <w:color w:val="080808"/>
                <w:spacing w:val="-4"/>
                <w:w w:val="105"/>
                <w:sz w:val="21"/>
              </w:rPr>
              <w:t>7,270</w:t>
            </w:r>
          </w:p>
        </w:tc>
      </w:tr>
      <w:tr>
        <w:trPr>
          <w:trHeight w:val="273" w:hRule="atLeast"/>
        </w:trPr>
        <w:tc>
          <w:tcPr>
            <w:tcW w:w="1016" w:type="dxa"/>
            <w:tcBorders>
              <w:left w:val="single" w:color="000000" w:sz="6" w:space="0"/>
            </w:tcBorders>
          </w:tcPr>
          <w:p>
            <w:pPr>
              <w:pStyle w:val="TableParagraph"/>
              <w:spacing w:before="17" w:line="236" w:lineRule="exact"/>
              <w:ind w:left="111" w:right="39"/>
              <w:jc w:val="center"/>
              <w:rPr>
                <w:sz w:val="21"/>
              </w:rPr>
            </w:pPr>
            <w:r>
              <w:rPr>
                <w:color w:val="080808"/>
                <w:spacing w:val="-10"/>
                <w:w w:val="110"/>
                <w:sz w:val="21"/>
              </w:rPr>
              <w:t>H</w:t>
            </w:r>
          </w:p>
        </w:tc>
        <w:tc>
          <w:tcPr>
            <w:tcW w:w="1039" w:type="dxa"/>
          </w:tcPr>
          <w:p>
            <w:pPr>
              <w:pStyle w:val="TableParagraph"/>
              <w:rPr>
                <w:rFonts w:ascii="Times New Roman"/>
                <w:sz w:val="20"/>
              </w:rPr>
            </w:pPr>
          </w:p>
        </w:tc>
        <w:tc>
          <w:tcPr>
            <w:tcW w:w="1057" w:type="dxa"/>
          </w:tcPr>
          <w:p>
            <w:pPr>
              <w:pStyle w:val="TableParagraph"/>
              <w:spacing w:before="17" w:line="236" w:lineRule="exact"/>
              <w:ind w:left="370"/>
              <w:rPr>
                <w:sz w:val="21"/>
              </w:rPr>
            </w:pPr>
            <w:r>
              <w:rPr>
                <w:color w:val="080808"/>
                <w:spacing w:val="-4"/>
                <w:w w:val="105"/>
                <w:sz w:val="21"/>
              </w:rPr>
              <w:t>Over</w:t>
            </w:r>
          </w:p>
        </w:tc>
        <w:tc>
          <w:tcPr>
            <w:tcW w:w="2326" w:type="dxa"/>
            <w:gridSpan w:val="2"/>
          </w:tcPr>
          <w:p>
            <w:pPr>
              <w:pStyle w:val="TableParagraph"/>
              <w:spacing w:before="17" w:line="236" w:lineRule="exact"/>
              <w:ind w:left="40"/>
              <w:rPr>
                <w:sz w:val="21"/>
              </w:rPr>
            </w:pPr>
            <w:r>
              <w:rPr>
                <w:color w:val="080808"/>
                <w:spacing w:val="-2"/>
                <w:w w:val="105"/>
                <w:sz w:val="21"/>
              </w:rPr>
              <w:t>320,000</w:t>
            </w:r>
          </w:p>
        </w:tc>
        <w:tc>
          <w:tcPr>
            <w:tcW w:w="1463" w:type="dxa"/>
          </w:tcPr>
          <w:p>
            <w:pPr>
              <w:pStyle w:val="TableParagraph"/>
              <w:spacing w:before="13" w:line="241" w:lineRule="exact"/>
              <w:ind w:right="160"/>
              <w:jc w:val="right"/>
              <w:rPr>
                <w:sz w:val="21"/>
              </w:rPr>
            </w:pPr>
            <w:r>
              <w:rPr>
                <w:color w:val="080808"/>
                <w:spacing w:val="-4"/>
                <w:w w:val="105"/>
                <w:sz w:val="21"/>
              </w:rPr>
              <w:t>1,092</w:t>
            </w:r>
          </w:p>
        </w:tc>
        <w:tc>
          <w:tcPr>
            <w:tcW w:w="2779" w:type="dxa"/>
            <w:tcBorders>
              <w:right w:val="single" w:color="000000" w:sz="6" w:space="0"/>
            </w:tcBorders>
          </w:tcPr>
          <w:p>
            <w:pPr>
              <w:pStyle w:val="TableParagraph"/>
              <w:spacing w:before="8"/>
              <w:ind w:right="87"/>
              <w:jc w:val="right"/>
              <w:rPr>
                <w:sz w:val="21"/>
              </w:rPr>
            </w:pPr>
            <w:r>
              <w:rPr>
                <w:color w:val="080808"/>
                <w:spacing w:val="-4"/>
                <w:w w:val="105"/>
                <w:sz w:val="21"/>
              </w:rPr>
              <w:t>2,185</w:t>
            </w:r>
          </w:p>
        </w:tc>
      </w:tr>
      <w:tr>
        <w:trPr>
          <w:trHeight w:val="529" w:hRule="atLeast"/>
        </w:trPr>
        <w:tc>
          <w:tcPr>
            <w:tcW w:w="5438" w:type="dxa"/>
            <w:gridSpan w:val="5"/>
            <w:tcBorders>
              <w:left w:val="single" w:color="000000" w:sz="6" w:space="0"/>
              <w:bottom w:val="single" w:color="000000" w:sz="6" w:space="0"/>
            </w:tcBorders>
          </w:tcPr>
          <w:p>
            <w:pPr>
              <w:pStyle w:val="TableParagraph"/>
              <w:spacing w:before="8"/>
              <w:ind w:left="103"/>
              <w:rPr>
                <w:sz w:val="21"/>
              </w:rPr>
            </w:pPr>
            <w:r>
              <w:rPr>
                <w:color w:val="080808"/>
                <w:w w:val="105"/>
                <w:sz w:val="21"/>
              </w:rPr>
              <w:t>Removal of</w:t>
            </w:r>
            <w:r>
              <w:rPr>
                <w:color w:val="080808"/>
                <w:spacing w:val="-9"/>
                <w:w w:val="105"/>
                <w:sz w:val="21"/>
              </w:rPr>
              <w:t> </w:t>
            </w:r>
            <w:r>
              <w:rPr>
                <w:color w:val="080808"/>
                <w:w w:val="105"/>
                <w:sz w:val="21"/>
              </w:rPr>
              <w:t>Empty</w:t>
            </w:r>
            <w:r>
              <w:rPr>
                <w:color w:val="080808"/>
                <w:spacing w:val="-4"/>
                <w:w w:val="105"/>
                <w:sz w:val="21"/>
              </w:rPr>
              <w:t> </w:t>
            </w:r>
            <w:r>
              <w:rPr>
                <w:color w:val="080808"/>
                <w:w w:val="105"/>
                <w:sz w:val="21"/>
              </w:rPr>
              <w:t>Property</w:t>
            </w:r>
            <w:r>
              <w:rPr>
                <w:color w:val="080808"/>
                <w:spacing w:val="6"/>
                <w:w w:val="105"/>
                <w:sz w:val="21"/>
              </w:rPr>
              <w:t> </w:t>
            </w:r>
            <w:r>
              <w:rPr>
                <w:color w:val="080808"/>
                <w:spacing w:val="-2"/>
                <w:w w:val="105"/>
                <w:sz w:val="21"/>
              </w:rPr>
              <w:t>Discount</w:t>
            </w:r>
          </w:p>
        </w:tc>
        <w:tc>
          <w:tcPr>
            <w:tcW w:w="1463" w:type="dxa"/>
            <w:tcBorders>
              <w:bottom w:val="single" w:color="000000" w:sz="6" w:space="0"/>
            </w:tcBorders>
          </w:tcPr>
          <w:p>
            <w:pPr>
              <w:pStyle w:val="TableParagraph"/>
              <w:rPr>
                <w:rFonts w:ascii="Times New Roman"/>
                <w:sz w:val="20"/>
              </w:rPr>
            </w:pPr>
          </w:p>
        </w:tc>
        <w:tc>
          <w:tcPr>
            <w:tcW w:w="2779" w:type="dxa"/>
            <w:tcBorders>
              <w:bottom w:val="single" w:color="000000" w:sz="6" w:space="0"/>
              <w:right w:val="single" w:color="000000" w:sz="6" w:space="0"/>
            </w:tcBorders>
          </w:tcPr>
          <w:p>
            <w:pPr>
              <w:pStyle w:val="TableParagraph"/>
              <w:spacing w:before="13"/>
              <w:ind w:right="82"/>
              <w:jc w:val="right"/>
              <w:rPr>
                <w:sz w:val="21"/>
              </w:rPr>
            </w:pPr>
            <w:r>
              <w:rPr>
                <w:color w:val="080808"/>
                <w:spacing w:val="-5"/>
                <w:w w:val="105"/>
                <w:sz w:val="21"/>
              </w:rPr>
              <w:t>200</w:t>
            </w:r>
          </w:p>
        </w:tc>
      </w:tr>
      <w:tr>
        <w:trPr>
          <w:trHeight w:val="825" w:hRule="atLeast"/>
        </w:trPr>
        <w:tc>
          <w:tcPr>
            <w:tcW w:w="5438" w:type="dxa"/>
            <w:gridSpan w:val="5"/>
            <w:tcBorders>
              <w:top w:val="single" w:color="000000" w:sz="6" w:space="0"/>
              <w:left w:val="single" w:color="000000" w:sz="6" w:space="0"/>
              <w:bottom w:val="single" w:color="000000" w:sz="6" w:space="0"/>
            </w:tcBorders>
          </w:tcPr>
          <w:p>
            <w:pPr>
              <w:pStyle w:val="TableParagraph"/>
              <w:spacing w:before="68"/>
              <w:rPr>
                <w:sz w:val="21"/>
              </w:rPr>
            </w:pPr>
          </w:p>
          <w:p>
            <w:pPr>
              <w:pStyle w:val="TableParagraph"/>
              <w:ind w:left="96"/>
              <w:rPr>
                <w:b/>
                <w:sz w:val="21"/>
              </w:rPr>
            </w:pPr>
            <w:r>
              <w:rPr>
                <w:b/>
                <w:color w:val="080808"/>
                <w:w w:val="105"/>
                <w:sz w:val="21"/>
              </w:rPr>
              <w:t>Total</w:t>
            </w:r>
            <w:r>
              <w:rPr>
                <w:b/>
                <w:color w:val="080808"/>
                <w:spacing w:val="-7"/>
                <w:w w:val="105"/>
                <w:sz w:val="21"/>
              </w:rPr>
              <w:t> </w:t>
            </w:r>
            <w:r>
              <w:rPr>
                <w:b/>
                <w:color w:val="080808"/>
                <w:w w:val="105"/>
                <w:sz w:val="21"/>
              </w:rPr>
              <w:t>number</w:t>
            </w:r>
            <w:r>
              <w:rPr>
                <w:b/>
                <w:color w:val="080808"/>
                <w:spacing w:val="4"/>
                <w:w w:val="105"/>
                <w:sz w:val="21"/>
              </w:rPr>
              <w:t> </w:t>
            </w:r>
            <w:r>
              <w:rPr>
                <w:b/>
                <w:color w:val="080808"/>
                <w:w w:val="105"/>
                <w:sz w:val="21"/>
              </w:rPr>
              <w:t>of</w:t>
            </w:r>
            <w:r>
              <w:rPr>
                <w:b/>
                <w:color w:val="080808"/>
                <w:spacing w:val="-9"/>
                <w:w w:val="105"/>
                <w:sz w:val="21"/>
              </w:rPr>
              <w:t> </w:t>
            </w:r>
            <w:r>
              <w:rPr>
                <w:b/>
                <w:color w:val="080808"/>
                <w:w w:val="105"/>
                <w:sz w:val="21"/>
              </w:rPr>
              <w:t>equivalent</w:t>
            </w:r>
            <w:r>
              <w:rPr>
                <w:b/>
                <w:color w:val="080808"/>
                <w:spacing w:val="9"/>
                <w:w w:val="105"/>
                <w:sz w:val="21"/>
              </w:rPr>
              <w:t> </w:t>
            </w:r>
            <w:r>
              <w:rPr>
                <w:b/>
                <w:color w:val="080808"/>
                <w:w w:val="105"/>
                <w:sz w:val="21"/>
              </w:rPr>
              <w:t>band</w:t>
            </w:r>
            <w:r>
              <w:rPr>
                <w:b/>
                <w:color w:val="080808"/>
                <w:spacing w:val="-3"/>
                <w:w w:val="105"/>
                <w:sz w:val="21"/>
              </w:rPr>
              <w:t> </w:t>
            </w:r>
            <w:r>
              <w:rPr>
                <w:b/>
                <w:color w:val="080808"/>
                <w:w w:val="105"/>
                <w:sz w:val="21"/>
              </w:rPr>
              <w:t>D</w:t>
            </w:r>
            <w:r>
              <w:rPr>
                <w:b/>
                <w:color w:val="080808"/>
                <w:spacing w:val="-2"/>
                <w:w w:val="105"/>
                <w:sz w:val="21"/>
              </w:rPr>
              <w:t> dwellings</w:t>
            </w:r>
          </w:p>
        </w:tc>
        <w:tc>
          <w:tcPr>
            <w:tcW w:w="1463" w:type="dxa"/>
            <w:tcBorders>
              <w:top w:val="single" w:color="000000" w:sz="6" w:space="0"/>
              <w:bottom w:val="single" w:color="000000" w:sz="6" w:space="0"/>
            </w:tcBorders>
          </w:tcPr>
          <w:p>
            <w:pPr>
              <w:pStyle w:val="TableParagraph"/>
              <w:rPr>
                <w:rFonts w:ascii="Times New Roman"/>
                <w:sz w:val="20"/>
              </w:rPr>
            </w:pPr>
          </w:p>
        </w:tc>
        <w:tc>
          <w:tcPr>
            <w:tcW w:w="2779" w:type="dxa"/>
            <w:tcBorders>
              <w:top w:val="single" w:color="000000" w:sz="6" w:space="0"/>
              <w:bottom w:val="single" w:color="000000" w:sz="6" w:space="0"/>
              <w:right w:val="single" w:color="000000" w:sz="6" w:space="0"/>
            </w:tcBorders>
          </w:tcPr>
          <w:p>
            <w:pPr>
              <w:pStyle w:val="TableParagraph"/>
              <w:spacing w:before="63"/>
              <w:rPr>
                <w:sz w:val="21"/>
              </w:rPr>
            </w:pPr>
          </w:p>
          <w:p>
            <w:pPr>
              <w:pStyle w:val="TableParagraph"/>
              <w:ind w:right="92"/>
              <w:jc w:val="right"/>
              <w:rPr>
                <w:b/>
                <w:sz w:val="21"/>
              </w:rPr>
            </w:pPr>
            <w:r>
              <w:rPr>
                <w:b/>
                <w:color w:val="080808"/>
                <w:spacing w:val="-2"/>
                <w:w w:val="105"/>
                <w:sz w:val="21"/>
              </w:rPr>
              <w:t>43,369</w:t>
            </w:r>
          </w:p>
        </w:tc>
      </w:tr>
      <w:tr>
        <w:trPr>
          <w:trHeight w:val="1099" w:hRule="atLeast"/>
        </w:trPr>
        <w:tc>
          <w:tcPr>
            <w:tcW w:w="5438" w:type="dxa"/>
            <w:gridSpan w:val="5"/>
            <w:tcBorders>
              <w:top w:val="single" w:color="000000" w:sz="6" w:space="0"/>
              <w:left w:val="single" w:color="000000" w:sz="6" w:space="0"/>
              <w:bottom w:val="single" w:color="000000" w:sz="6" w:space="0"/>
            </w:tcBorders>
          </w:tcPr>
          <w:p>
            <w:pPr>
              <w:pStyle w:val="TableParagraph"/>
              <w:spacing w:before="73"/>
              <w:rPr>
                <w:sz w:val="21"/>
              </w:rPr>
            </w:pPr>
          </w:p>
          <w:p>
            <w:pPr>
              <w:pStyle w:val="TableParagraph"/>
              <w:ind w:left="81"/>
              <w:rPr>
                <w:sz w:val="21"/>
              </w:rPr>
            </w:pPr>
            <w:r>
              <w:rPr>
                <w:color w:val="080808"/>
                <w:w w:val="105"/>
                <w:sz w:val="21"/>
              </w:rPr>
              <w:t>Assumption of</w:t>
            </w:r>
            <w:r>
              <w:rPr>
                <w:color w:val="080808"/>
                <w:spacing w:val="-8"/>
                <w:w w:val="105"/>
                <w:sz w:val="21"/>
              </w:rPr>
              <w:t> </w:t>
            </w:r>
            <w:r>
              <w:rPr>
                <w:color w:val="080808"/>
                <w:w w:val="105"/>
                <w:sz w:val="21"/>
              </w:rPr>
              <w:t>98.0%</w:t>
            </w:r>
            <w:r>
              <w:rPr>
                <w:color w:val="080808"/>
                <w:spacing w:val="-1"/>
                <w:w w:val="105"/>
                <w:sz w:val="21"/>
              </w:rPr>
              <w:t> </w:t>
            </w:r>
            <w:r>
              <w:rPr>
                <w:color w:val="080808"/>
                <w:spacing w:val="-2"/>
                <w:w w:val="105"/>
                <w:sz w:val="21"/>
              </w:rPr>
              <w:t>collection</w:t>
            </w:r>
          </w:p>
          <w:p>
            <w:pPr>
              <w:pStyle w:val="TableParagraph"/>
              <w:spacing w:before="32"/>
              <w:ind w:left="79"/>
              <w:rPr>
                <w:sz w:val="21"/>
              </w:rPr>
            </w:pPr>
            <w:r>
              <w:rPr>
                <w:color w:val="080808"/>
                <w:w w:val="105"/>
                <w:sz w:val="21"/>
              </w:rPr>
              <w:t>Number</w:t>
            </w:r>
            <w:r>
              <w:rPr>
                <w:color w:val="080808"/>
                <w:spacing w:val="3"/>
                <w:w w:val="105"/>
                <w:sz w:val="21"/>
              </w:rPr>
              <w:t> </w:t>
            </w:r>
            <w:r>
              <w:rPr>
                <w:color w:val="080808"/>
                <w:w w:val="105"/>
                <w:sz w:val="21"/>
              </w:rPr>
              <w:t>of</w:t>
            </w:r>
            <w:r>
              <w:rPr>
                <w:color w:val="080808"/>
                <w:spacing w:val="-11"/>
                <w:w w:val="105"/>
                <w:sz w:val="21"/>
              </w:rPr>
              <w:t> </w:t>
            </w:r>
            <w:r>
              <w:rPr>
                <w:color w:val="080808"/>
                <w:w w:val="105"/>
                <w:sz w:val="21"/>
              </w:rPr>
              <w:t>equivalent</w:t>
            </w:r>
            <w:r>
              <w:rPr>
                <w:color w:val="080808"/>
                <w:spacing w:val="6"/>
                <w:w w:val="105"/>
                <w:sz w:val="21"/>
              </w:rPr>
              <w:t> </w:t>
            </w:r>
            <w:r>
              <w:rPr>
                <w:color w:val="080808"/>
                <w:w w:val="105"/>
                <w:sz w:val="21"/>
              </w:rPr>
              <w:t>band</w:t>
            </w:r>
            <w:r>
              <w:rPr>
                <w:color w:val="080808"/>
                <w:spacing w:val="-4"/>
                <w:w w:val="105"/>
                <w:sz w:val="21"/>
              </w:rPr>
              <w:t> </w:t>
            </w:r>
            <w:r>
              <w:rPr>
                <w:color w:val="080808"/>
                <w:w w:val="105"/>
                <w:sz w:val="21"/>
              </w:rPr>
              <w:t>D</w:t>
            </w:r>
            <w:r>
              <w:rPr>
                <w:color w:val="080808"/>
                <w:spacing w:val="-11"/>
                <w:w w:val="105"/>
                <w:sz w:val="21"/>
              </w:rPr>
              <w:t> </w:t>
            </w:r>
            <w:r>
              <w:rPr>
                <w:color w:val="080808"/>
                <w:w w:val="105"/>
                <w:sz w:val="21"/>
              </w:rPr>
              <w:t>contribution</w:t>
            </w:r>
            <w:r>
              <w:rPr>
                <w:color w:val="080808"/>
                <w:spacing w:val="12"/>
                <w:w w:val="105"/>
                <w:sz w:val="21"/>
              </w:rPr>
              <w:t> </w:t>
            </w:r>
            <w:r>
              <w:rPr>
                <w:color w:val="080808"/>
                <w:w w:val="105"/>
                <w:sz w:val="21"/>
              </w:rPr>
              <w:t>in</w:t>
            </w:r>
            <w:r>
              <w:rPr>
                <w:color w:val="080808"/>
                <w:spacing w:val="-13"/>
                <w:w w:val="105"/>
                <w:sz w:val="21"/>
              </w:rPr>
              <w:t> </w:t>
            </w:r>
            <w:r>
              <w:rPr>
                <w:color w:val="080808"/>
                <w:spacing w:val="-4"/>
                <w:w w:val="105"/>
                <w:sz w:val="21"/>
              </w:rPr>
              <w:t>lieu</w:t>
            </w:r>
          </w:p>
        </w:tc>
        <w:tc>
          <w:tcPr>
            <w:tcW w:w="1463" w:type="dxa"/>
            <w:tcBorders>
              <w:top w:val="single" w:color="000000" w:sz="6" w:space="0"/>
              <w:bottom w:val="single" w:color="000000" w:sz="6" w:space="0"/>
            </w:tcBorders>
          </w:tcPr>
          <w:p>
            <w:pPr>
              <w:pStyle w:val="TableParagraph"/>
              <w:rPr>
                <w:rFonts w:ascii="Times New Roman"/>
                <w:sz w:val="20"/>
              </w:rPr>
            </w:pPr>
          </w:p>
        </w:tc>
        <w:tc>
          <w:tcPr>
            <w:tcW w:w="2779" w:type="dxa"/>
            <w:tcBorders>
              <w:top w:val="single" w:color="000000" w:sz="6" w:space="0"/>
              <w:bottom w:val="single" w:color="000000" w:sz="6" w:space="0"/>
              <w:right w:val="single" w:color="000000" w:sz="6" w:space="0"/>
            </w:tcBorders>
          </w:tcPr>
          <w:p>
            <w:pPr>
              <w:pStyle w:val="TableParagraph"/>
              <w:spacing w:before="63"/>
              <w:rPr>
                <w:sz w:val="21"/>
              </w:rPr>
            </w:pPr>
          </w:p>
          <w:p>
            <w:pPr>
              <w:pStyle w:val="TableParagraph"/>
              <w:ind w:right="94"/>
              <w:jc w:val="right"/>
              <w:rPr>
                <w:sz w:val="21"/>
              </w:rPr>
            </w:pPr>
            <w:r>
              <w:rPr>
                <w:color w:val="080808"/>
                <w:spacing w:val="-2"/>
                <w:w w:val="105"/>
                <w:sz w:val="21"/>
              </w:rPr>
              <w:t>42,502</w:t>
            </w:r>
          </w:p>
          <w:p>
            <w:pPr>
              <w:pStyle w:val="TableParagraph"/>
              <w:spacing w:before="37"/>
              <w:ind w:right="98"/>
              <w:jc w:val="right"/>
              <w:rPr>
                <w:sz w:val="21"/>
              </w:rPr>
            </w:pPr>
            <w:r>
              <w:rPr>
                <w:color w:val="080808"/>
                <w:spacing w:val="-5"/>
                <w:w w:val="105"/>
                <w:sz w:val="21"/>
              </w:rPr>
              <w:t>298</w:t>
            </w:r>
          </w:p>
        </w:tc>
      </w:tr>
      <w:tr>
        <w:trPr>
          <w:trHeight w:val="825" w:hRule="atLeast"/>
        </w:trPr>
        <w:tc>
          <w:tcPr>
            <w:tcW w:w="5438" w:type="dxa"/>
            <w:gridSpan w:val="5"/>
            <w:tcBorders>
              <w:top w:val="single" w:color="000000" w:sz="6" w:space="0"/>
              <w:left w:val="single" w:color="000000" w:sz="2" w:space="0"/>
              <w:bottom w:val="single" w:color="000000" w:sz="6" w:space="0"/>
            </w:tcBorders>
          </w:tcPr>
          <w:p>
            <w:pPr>
              <w:pStyle w:val="TableParagraph"/>
              <w:spacing w:before="68"/>
              <w:rPr>
                <w:sz w:val="21"/>
              </w:rPr>
            </w:pPr>
          </w:p>
          <w:p>
            <w:pPr>
              <w:pStyle w:val="TableParagraph"/>
              <w:ind w:left="77"/>
              <w:rPr>
                <w:b/>
                <w:sz w:val="21"/>
              </w:rPr>
            </w:pPr>
            <w:r>
              <w:rPr>
                <w:b/>
                <w:color w:val="080808"/>
                <w:w w:val="105"/>
                <w:sz w:val="21"/>
              </w:rPr>
              <w:t>Total</w:t>
            </w:r>
            <w:r>
              <w:rPr>
                <w:b/>
                <w:color w:val="080808"/>
                <w:spacing w:val="-6"/>
                <w:w w:val="105"/>
                <w:sz w:val="21"/>
              </w:rPr>
              <w:t> </w:t>
            </w:r>
            <w:r>
              <w:rPr>
                <w:b/>
                <w:color w:val="080808"/>
                <w:w w:val="105"/>
                <w:sz w:val="21"/>
              </w:rPr>
              <w:t>tax</w:t>
            </w:r>
            <w:r>
              <w:rPr>
                <w:b/>
                <w:color w:val="080808"/>
                <w:spacing w:val="-3"/>
                <w:w w:val="105"/>
                <w:sz w:val="21"/>
              </w:rPr>
              <w:t> </w:t>
            </w:r>
            <w:r>
              <w:rPr>
                <w:b/>
                <w:color w:val="080808"/>
                <w:spacing w:val="-4"/>
                <w:w w:val="105"/>
                <w:sz w:val="21"/>
              </w:rPr>
              <w:t>base</w:t>
            </w:r>
          </w:p>
        </w:tc>
        <w:tc>
          <w:tcPr>
            <w:tcW w:w="1463" w:type="dxa"/>
            <w:tcBorders>
              <w:top w:val="single" w:color="000000" w:sz="6" w:space="0"/>
              <w:bottom w:val="single" w:color="000000" w:sz="6" w:space="0"/>
            </w:tcBorders>
          </w:tcPr>
          <w:p>
            <w:pPr>
              <w:pStyle w:val="TableParagraph"/>
              <w:rPr>
                <w:rFonts w:ascii="Times New Roman"/>
                <w:sz w:val="20"/>
              </w:rPr>
            </w:pPr>
          </w:p>
        </w:tc>
        <w:tc>
          <w:tcPr>
            <w:tcW w:w="2779" w:type="dxa"/>
            <w:tcBorders>
              <w:top w:val="single" w:color="000000" w:sz="6" w:space="0"/>
              <w:bottom w:val="single" w:color="000000" w:sz="6" w:space="0"/>
              <w:right w:val="single" w:color="000000" w:sz="6" w:space="0"/>
            </w:tcBorders>
          </w:tcPr>
          <w:p>
            <w:pPr>
              <w:pStyle w:val="TableParagraph"/>
              <w:spacing w:before="63"/>
              <w:rPr>
                <w:sz w:val="21"/>
              </w:rPr>
            </w:pPr>
          </w:p>
          <w:p>
            <w:pPr>
              <w:pStyle w:val="TableParagraph"/>
              <w:ind w:right="100"/>
              <w:jc w:val="right"/>
              <w:rPr>
                <w:b/>
                <w:sz w:val="21"/>
              </w:rPr>
            </w:pPr>
            <w:r>
              <w:rPr>
                <w:b/>
                <w:color w:val="080808"/>
                <w:spacing w:val="-2"/>
                <w:w w:val="105"/>
                <w:sz w:val="21"/>
              </w:rPr>
              <w:t>42,800</w:t>
            </w:r>
          </w:p>
        </w:tc>
      </w:tr>
    </w:tbl>
    <w:p>
      <w:pPr>
        <w:spacing w:after="0"/>
        <w:jc w:val="right"/>
        <w:rPr>
          <w:sz w:val="21"/>
        </w:rPr>
        <w:sectPr>
          <w:headerReference w:type="even" r:id="rId248"/>
          <w:pgSz w:w="11910" w:h="16830"/>
          <w:pgMar w:top="920" w:right="340" w:bottom="1180" w:left="0" w:header="0" w:footer="0"/>
        </w:sectPr>
      </w:pPr>
    </w:p>
    <w:p>
      <w:pPr>
        <w:pStyle w:val="ListParagraph"/>
        <w:numPr>
          <w:ilvl w:val="0"/>
          <w:numId w:val="24"/>
        </w:numPr>
        <w:tabs>
          <w:tab w:val="left" w:leader="none" w:pos="2434"/>
        </w:tabs>
        <w:spacing w:before="78" w:after="0" w:line="240" w:lineRule="auto"/>
        <w:ind w:left="2434" w:right="0" w:hanging="710"/>
        <w:jc w:val="left"/>
        <w:rPr>
          <w:color w:val="4B4B4B"/>
          <w:sz w:val="14"/>
        </w:rPr>
      </w:pPr>
      <w:r>
        <w:rPr>
          <w:color w:val="4B4B4B"/>
          <w:w w:val="110"/>
          <w:sz w:val="14"/>
        </w:rPr>
        <w:t>GROUP</w:t>
      </w:r>
      <w:r>
        <w:rPr>
          <w:color w:val="4B4B4B"/>
          <w:spacing w:val="34"/>
          <w:w w:val="110"/>
          <w:sz w:val="14"/>
        </w:rPr>
        <w:t> </w:t>
      </w:r>
      <w:r>
        <w:rPr>
          <w:color w:val="4B4B4B"/>
          <w:spacing w:val="-2"/>
          <w:w w:val="110"/>
          <w:sz w:val="14"/>
        </w:rPr>
        <w:t>ACCOUNTS</w:t>
      </w:r>
    </w:p>
    <w:p>
      <w:pPr>
        <w:pStyle w:val="BodyText"/>
        <w:spacing w:before="88"/>
        <w:rPr>
          <w:sz w:val="14"/>
        </w:rPr>
      </w:pPr>
    </w:p>
    <w:p>
      <w:pPr>
        <w:spacing w:before="0"/>
        <w:ind w:left="999" w:right="0" w:firstLine="0"/>
        <w:jc w:val="left"/>
        <w:rPr>
          <w:b/>
          <w:sz w:val="21"/>
        </w:rPr>
      </w:pPr>
      <w:r>
        <w:rPr>
          <w:b/>
          <w:color w:val="3A3A3A"/>
          <w:sz w:val="21"/>
        </w:rPr>
        <w:t>GROUP</w:t>
      </w:r>
      <w:r>
        <w:rPr>
          <w:b/>
          <w:color w:val="3A3A3A"/>
          <w:spacing w:val="39"/>
          <w:sz w:val="21"/>
        </w:rPr>
        <w:t> </w:t>
      </w:r>
      <w:r>
        <w:rPr>
          <w:b/>
          <w:color w:val="3A3A3A"/>
          <w:sz w:val="21"/>
        </w:rPr>
        <w:t>ACCOUNTS</w:t>
      </w:r>
      <w:r>
        <w:rPr>
          <w:b/>
          <w:color w:val="3A3A3A"/>
          <w:spacing w:val="55"/>
          <w:sz w:val="21"/>
        </w:rPr>
        <w:t> </w:t>
      </w:r>
      <w:r>
        <w:rPr>
          <w:b/>
          <w:color w:val="3A3A3A"/>
          <w:sz w:val="21"/>
        </w:rPr>
        <w:t>2022-</w:t>
      </w:r>
      <w:r>
        <w:rPr>
          <w:b/>
          <w:color w:val="3A3A3A"/>
          <w:spacing w:val="-5"/>
          <w:sz w:val="21"/>
        </w:rPr>
        <w:t>23</w:t>
      </w:r>
    </w:p>
    <w:p>
      <w:pPr>
        <w:pStyle w:val="BodyText"/>
        <w:spacing w:before="7"/>
        <w:rPr>
          <w:b/>
          <w:sz w:val="21"/>
        </w:rPr>
      </w:pPr>
    </w:p>
    <w:p>
      <w:pPr>
        <w:spacing w:before="1"/>
        <w:ind w:left="1000" w:right="0" w:firstLine="0"/>
        <w:jc w:val="left"/>
        <w:rPr>
          <w:b/>
          <w:sz w:val="21"/>
        </w:rPr>
      </w:pPr>
      <w:r>
        <w:rPr>
          <w:b/>
          <w:color w:val="3A3A3A"/>
          <w:spacing w:val="-2"/>
          <w:w w:val="105"/>
          <w:sz w:val="21"/>
        </w:rPr>
        <w:t>Introduction</w:t>
      </w:r>
    </w:p>
    <w:p>
      <w:pPr>
        <w:pStyle w:val="BodyText"/>
        <w:spacing w:before="234" w:line="242" w:lineRule="auto"/>
        <w:ind w:left="1001" w:right="1099" w:hanging="3"/>
        <w:jc w:val="both"/>
      </w:pPr>
      <w:r>
        <w:rPr>
          <w:color w:val="0C0C0C"/>
        </w:rPr>
        <w:t>In order to provide a full picture of the economic and financial activities of the Council and its exposure</w:t>
      </w:r>
      <w:r>
        <w:rPr>
          <w:color w:val="0C0C0C"/>
          <w:spacing w:val="-16"/>
        </w:rPr>
        <w:t> </w:t>
      </w:r>
      <w:r>
        <w:rPr>
          <w:color w:val="0C0C0C"/>
        </w:rPr>
        <w:t>to</w:t>
      </w:r>
      <w:r>
        <w:rPr>
          <w:color w:val="0C0C0C"/>
          <w:spacing w:val="-15"/>
        </w:rPr>
        <w:t> </w:t>
      </w:r>
      <w:r>
        <w:rPr>
          <w:color w:val="0C0C0C"/>
        </w:rPr>
        <w:t>risk,</w:t>
      </w:r>
      <w:r>
        <w:rPr>
          <w:color w:val="0C0C0C"/>
          <w:spacing w:val="-14"/>
        </w:rPr>
        <w:t> </w:t>
      </w:r>
      <w:r>
        <w:rPr>
          <w:color w:val="0C0C0C"/>
        </w:rPr>
        <w:t>the</w:t>
      </w:r>
      <w:r>
        <w:rPr>
          <w:color w:val="0C0C0C"/>
          <w:spacing w:val="-13"/>
        </w:rPr>
        <w:t> </w:t>
      </w:r>
      <w:r>
        <w:rPr>
          <w:color w:val="0C0C0C"/>
        </w:rPr>
        <w:t>accounting</w:t>
      </w:r>
      <w:r>
        <w:rPr>
          <w:color w:val="0C0C0C"/>
          <w:spacing w:val="-8"/>
        </w:rPr>
        <w:t> </w:t>
      </w:r>
      <w:r>
        <w:rPr>
          <w:color w:val="0C0C0C"/>
        </w:rPr>
        <w:t>statements</w:t>
      </w:r>
      <w:r>
        <w:rPr>
          <w:color w:val="0C0C0C"/>
          <w:spacing w:val="-4"/>
        </w:rPr>
        <w:t> </w:t>
      </w:r>
      <w:r>
        <w:rPr>
          <w:color w:val="0C0C0C"/>
        </w:rPr>
        <w:t>of</w:t>
      </w:r>
      <w:r>
        <w:rPr>
          <w:color w:val="0C0C0C"/>
          <w:spacing w:val="-13"/>
        </w:rPr>
        <w:t> </w:t>
      </w:r>
      <w:r>
        <w:rPr>
          <w:color w:val="0C0C0C"/>
        </w:rPr>
        <w:t>all</w:t>
      </w:r>
      <w:r>
        <w:rPr>
          <w:color w:val="0C0C0C"/>
          <w:spacing w:val="-16"/>
        </w:rPr>
        <w:t> </w:t>
      </w:r>
      <w:r>
        <w:rPr>
          <w:color w:val="0C0C0C"/>
        </w:rPr>
        <w:t>material</w:t>
      </w:r>
      <w:r>
        <w:rPr>
          <w:color w:val="0C0C0C"/>
          <w:spacing w:val="-7"/>
        </w:rPr>
        <w:t> </w:t>
      </w:r>
      <w:r>
        <w:rPr>
          <w:color w:val="0C0C0C"/>
        </w:rPr>
        <w:t>subsidiaries</w:t>
      </w:r>
      <w:r>
        <w:rPr>
          <w:color w:val="0C0C0C"/>
          <w:spacing w:val="-1"/>
        </w:rPr>
        <w:t> </w:t>
      </w:r>
      <w:r>
        <w:rPr>
          <w:color w:val="0C0C0C"/>
        </w:rPr>
        <w:t>are</w:t>
      </w:r>
      <w:r>
        <w:rPr>
          <w:color w:val="0C0C0C"/>
          <w:spacing w:val="-16"/>
        </w:rPr>
        <w:t> </w:t>
      </w:r>
      <w:r>
        <w:rPr>
          <w:color w:val="0C0C0C"/>
        </w:rPr>
        <w:t>consolidated</w:t>
      </w:r>
      <w:r>
        <w:rPr>
          <w:color w:val="0C0C0C"/>
          <w:spacing w:val="-1"/>
        </w:rPr>
        <w:t> </w:t>
      </w:r>
      <w:r>
        <w:rPr>
          <w:color w:val="0C0C0C"/>
        </w:rPr>
        <w:t>with</w:t>
      </w:r>
      <w:r>
        <w:rPr>
          <w:color w:val="0C0C0C"/>
          <w:spacing w:val="-13"/>
        </w:rPr>
        <w:t> </w:t>
      </w:r>
      <w:r>
        <w:rPr>
          <w:color w:val="0C0C0C"/>
        </w:rPr>
        <w:t>those of</w:t>
      </w:r>
      <w:r>
        <w:rPr>
          <w:color w:val="0C0C0C"/>
          <w:spacing w:val="-16"/>
        </w:rPr>
        <w:t> </w:t>
      </w:r>
      <w:r>
        <w:rPr>
          <w:color w:val="0C0C0C"/>
        </w:rPr>
        <w:t>the</w:t>
      </w:r>
      <w:r>
        <w:rPr>
          <w:color w:val="0C0C0C"/>
          <w:spacing w:val="-15"/>
        </w:rPr>
        <w:t> </w:t>
      </w:r>
      <w:r>
        <w:rPr>
          <w:color w:val="0C0C0C"/>
        </w:rPr>
        <w:t>Council.</w:t>
      </w:r>
      <w:r>
        <w:rPr>
          <w:color w:val="0C0C0C"/>
          <w:spacing w:val="-15"/>
        </w:rPr>
        <w:t> </w:t>
      </w:r>
      <w:r>
        <w:rPr>
          <w:color w:val="0C0C0C"/>
        </w:rPr>
        <w:t>The</w:t>
      </w:r>
      <w:r>
        <w:rPr>
          <w:color w:val="0C0C0C"/>
          <w:spacing w:val="-16"/>
        </w:rPr>
        <w:t> </w:t>
      </w:r>
      <w:r>
        <w:rPr>
          <w:color w:val="0C0C0C"/>
        </w:rPr>
        <w:t>resulting</w:t>
      </w:r>
      <w:r>
        <w:rPr>
          <w:color w:val="0C0C0C"/>
          <w:spacing w:val="-15"/>
        </w:rPr>
        <w:t> </w:t>
      </w:r>
      <w:r>
        <w:rPr>
          <w:color w:val="0C0C0C"/>
        </w:rPr>
        <w:t>Group</w:t>
      </w:r>
      <w:r>
        <w:rPr>
          <w:color w:val="0C0C0C"/>
          <w:spacing w:val="-15"/>
        </w:rPr>
        <w:t> </w:t>
      </w:r>
      <w:r>
        <w:rPr>
          <w:color w:val="0C0C0C"/>
        </w:rPr>
        <w:t>Accounts</w:t>
      </w:r>
      <w:r>
        <w:rPr>
          <w:color w:val="0C0C0C"/>
          <w:spacing w:val="-15"/>
        </w:rPr>
        <w:t> </w:t>
      </w:r>
      <w:r>
        <w:rPr>
          <w:color w:val="0C0C0C"/>
        </w:rPr>
        <w:t>are</w:t>
      </w:r>
      <w:r>
        <w:rPr>
          <w:color w:val="0C0C0C"/>
          <w:spacing w:val="-16"/>
        </w:rPr>
        <w:t> </w:t>
      </w:r>
      <w:r>
        <w:rPr>
          <w:color w:val="0C0C0C"/>
        </w:rPr>
        <w:t>presented</w:t>
      </w:r>
      <w:r>
        <w:rPr>
          <w:color w:val="0C0C0C"/>
          <w:spacing w:val="-15"/>
        </w:rPr>
        <w:t> </w:t>
      </w:r>
      <w:r>
        <w:rPr>
          <w:color w:val="0C0C0C"/>
        </w:rPr>
        <w:t>in</w:t>
      </w:r>
      <w:r>
        <w:rPr>
          <w:color w:val="0C0C0C"/>
          <w:spacing w:val="-15"/>
        </w:rPr>
        <w:t> </w:t>
      </w:r>
      <w:r>
        <w:rPr>
          <w:color w:val="0C0C0C"/>
        </w:rPr>
        <w:t>addition</w:t>
      </w:r>
      <w:r>
        <w:rPr>
          <w:color w:val="0C0C0C"/>
          <w:spacing w:val="-16"/>
        </w:rPr>
        <w:t> </w:t>
      </w:r>
      <w:r>
        <w:rPr>
          <w:color w:val="0C0C0C"/>
        </w:rPr>
        <w:t>to</w:t>
      </w:r>
      <w:r>
        <w:rPr>
          <w:color w:val="0C0C0C"/>
          <w:spacing w:val="-15"/>
        </w:rPr>
        <w:t> </w:t>
      </w:r>
      <w:r>
        <w:rPr>
          <w:color w:val="0C0C0C"/>
        </w:rPr>
        <w:t>the</w:t>
      </w:r>
      <w:r>
        <w:rPr>
          <w:color w:val="0C0C0C"/>
          <w:spacing w:val="-15"/>
        </w:rPr>
        <w:t> </w:t>
      </w:r>
      <w:r>
        <w:rPr>
          <w:color w:val="0C0C0C"/>
        </w:rPr>
        <w:t>Council's</w:t>
      </w:r>
      <w:r>
        <w:rPr>
          <w:color w:val="0C0C0C"/>
          <w:spacing w:val="-5"/>
        </w:rPr>
        <w:t> </w:t>
      </w:r>
      <w:r>
        <w:rPr>
          <w:color w:val="0C0C0C"/>
        </w:rPr>
        <w:t>single</w:t>
      </w:r>
      <w:r>
        <w:rPr>
          <w:color w:val="0C0C0C"/>
          <w:spacing w:val="-9"/>
        </w:rPr>
        <w:t> </w:t>
      </w:r>
      <w:r>
        <w:rPr>
          <w:color w:val="0C0C0C"/>
        </w:rPr>
        <w:t>entity </w:t>
      </w:r>
      <w:r>
        <w:rPr>
          <w:color w:val="0C0C0C"/>
          <w:spacing w:val="-2"/>
        </w:rPr>
        <w:t>accounts.</w:t>
      </w:r>
    </w:p>
    <w:p>
      <w:pPr>
        <w:pStyle w:val="BodyText"/>
        <w:spacing w:before="247"/>
        <w:ind w:left="1001" w:right="1094" w:hanging="2"/>
        <w:jc w:val="both"/>
      </w:pPr>
      <w:r>
        <w:rPr>
          <w:color w:val="0C0C0C"/>
        </w:rPr>
        <w:t>They</w:t>
      </w:r>
      <w:r>
        <w:rPr>
          <w:color w:val="0C0C0C"/>
          <w:spacing w:val="-7"/>
        </w:rPr>
        <w:t> </w:t>
      </w:r>
      <w:r>
        <w:rPr>
          <w:color w:val="1F1F1F"/>
        </w:rPr>
        <w:t>include</w:t>
      </w:r>
      <w:r>
        <w:rPr>
          <w:color w:val="1F1F1F"/>
          <w:spacing w:val="-2"/>
        </w:rPr>
        <w:t> </w:t>
      </w:r>
      <w:r>
        <w:rPr>
          <w:color w:val="0C0C0C"/>
        </w:rPr>
        <w:t>the</w:t>
      </w:r>
      <w:r>
        <w:rPr>
          <w:color w:val="0C0C0C"/>
          <w:spacing w:val="-9"/>
        </w:rPr>
        <w:t> </w:t>
      </w:r>
      <w:r>
        <w:rPr>
          <w:color w:val="0C0C0C"/>
        </w:rPr>
        <w:t>core</w:t>
      </w:r>
      <w:r>
        <w:rPr>
          <w:color w:val="0C0C0C"/>
          <w:spacing w:val="-7"/>
        </w:rPr>
        <w:t> </w:t>
      </w:r>
      <w:r>
        <w:rPr>
          <w:color w:val="0C0C0C"/>
        </w:rPr>
        <w:t>accounting statements,</w:t>
      </w:r>
      <w:r>
        <w:rPr>
          <w:color w:val="0C0C0C"/>
          <w:spacing w:val="17"/>
        </w:rPr>
        <w:t> </w:t>
      </w:r>
      <w:r>
        <w:rPr>
          <w:color w:val="0C0C0C"/>
        </w:rPr>
        <w:t>similar in</w:t>
      </w:r>
      <w:r>
        <w:rPr>
          <w:color w:val="0C0C0C"/>
          <w:spacing w:val="-16"/>
        </w:rPr>
        <w:t> </w:t>
      </w:r>
      <w:r>
        <w:rPr>
          <w:color w:val="0C0C0C"/>
        </w:rPr>
        <w:t>presentation and</w:t>
      </w:r>
      <w:r>
        <w:rPr>
          <w:color w:val="0C0C0C"/>
          <w:spacing w:val="-10"/>
        </w:rPr>
        <w:t> </w:t>
      </w:r>
      <w:r>
        <w:rPr>
          <w:color w:val="0C0C0C"/>
        </w:rPr>
        <w:t>purpose to</w:t>
      </w:r>
      <w:r>
        <w:rPr>
          <w:color w:val="0C0C0C"/>
          <w:spacing w:val="-10"/>
        </w:rPr>
        <w:t> </w:t>
      </w:r>
      <w:r>
        <w:rPr>
          <w:color w:val="0C0C0C"/>
        </w:rPr>
        <w:t>the</w:t>
      </w:r>
      <w:r>
        <w:rPr>
          <w:color w:val="0C0C0C"/>
          <w:spacing w:val="-10"/>
        </w:rPr>
        <w:t> </w:t>
      </w:r>
      <w:r>
        <w:rPr>
          <w:color w:val="0C0C0C"/>
        </w:rPr>
        <w:t>Council's accounts, and any explanatory notes considered necessary to</w:t>
      </w:r>
      <w:r>
        <w:rPr>
          <w:color w:val="0C0C0C"/>
          <w:spacing w:val="-3"/>
        </w:rPr>
        <w:t> </w:t>
      </w:r>
      <w:r>
        <w:rPr>
          <w:color w:val="0C0C0C"/>
        </w:rPr>
        <w:t>explain material movements from the single entity accounts.</w:t>
      </w:r>
    </w:p>
    <w:p>
      <w:pPr>
        <w:pStyle w:val="BodyText"/>
        <w:spacing w:before="1"/>
      </w:pPr>
    </w:p>
    <w:p>
      <w:pPr>
        <w:pStyle w:val="BodyText"/>
        <w:spacing w:before="1" w:line="247" w:lineRule="auto"/>
        <w:ind w:left="1001" w:right="1096"/>
        <w:jc w:val="both"/>
      </w:pPr>
      <w:r>
        <w:rPr>
          <w:color w:val="0C0C0C"/>
        </w:rPr>
        <w:t>Where no notes are given, users of the accounts should refer to the notes in the single entity </w:t>
      </w:r>
      <w:r>
        <w:rPr>
          <w:color w:val="0C0C0C"/>
          <w:spacing w:val="-2"/>
        </w:rPr>
        <w:t>accounts</w:t>
      </w:r>
      <w:r>
        <w:rPr>
          <w:color w:val="4B4B4B"/>
          <w:spacing w:val="-2"/>
        </w:rPr>
        <w:t>.</w:t>
      </w:r>
    </w:p>
    <w:p>
      <w:pPr>
        <w:pStyle w:val="BodyText"/>
        <w:spacing w:before="243"/>
        <w:ind w:left="1001" w:right="1084" w:firstLine="1"/>
        <w:jc w:val="both"/>
      </w:pPr>
      <w:r>
        <w:rPr>
          <w:color w:val="0C0C0C"/>
        </w:rPr>
        <w:t>Group accounts have been prepared under the requirements of the Code of Practice on Local Authority Accounting 2022/23, </w:t>
      </w:r>
      <w:r>
        <w:rPr>
          <w:color w:val="1F1F1F"/>
        </w:rPr>
        <w:t>consolidating </w:t>
      </w:r>
      <w:r>
        <w:rPr>
          <w:color w:val="0C0C0C"/>
        </w:rPr>
        <w:t>any material subsidiary, associate or joint venture entities over</w:t>
      </w:r>
      <w:r>
        <w:rPr>
          <w:color w:val="0C0C0C"/>
          <w:spacing w:val="-4"/>
        </w:rPr>
        <w:t> </w:t>
      </w:r>
      <w:r>
        <w:rPr>
          <w:color w:val="0C0C0C"/>
        </w:rPr>
        <w:t>which</w:t>
      </w:r>
      <w:r>
        <w:rPr>
          <w:color w:val="0C0C0C"/>
          <w:spacing w:val="-11"/>
        </w:rPr>
        <w:t> </w:t>
      </w:r>
      <w:r>
        <w:rPr>
          <w:color w:val="0C0C0C"/>
        </w:rPr>
        <w:t>the</w:t>
      </w:r>
      <w:r>
        <w:rPr>
          <w:color w:val="0C0C0C"/>
          <w:spacing w:val="-12"/>
        </w:rPr>
        <w:t> </w:t>
      </w:r>
      <w:r>
        <w:rPr>
          <w:color w:val="0C0C0C"/>
        </w:rPr>
        <w:t>Council </w:t>
      </w:r>
      <w:r>
        <w:rPr>
          <w:color w:val="1F1F1F"/>
        </w:rPr>
        <w:t>exercises </w:t>
      </w:r>
      <w:r>
        <w:rPr>
          <w:color w:val="0C0C0C"/>
        </w:rPr>
        <w:t>control</w:t>
      </w:r>
      <w:r>
        <w:rPr>
          <w:color w:val="0C0C0C"/>
          <w:spacing w:val="-8"/>
        </w:rPr>
        <w:t> </w:t>
      </w:r>
      <w:r>
        <w:rPr>
          <w:color w:val="0C0C0C"/>
        </w:rPr>
        <w:t>or</w:t>
      </w:r>
      <w:r>
        <w:rPr>
          <w:color w:val="0C0C0C"/>
          <w:spacing w:val="-11"/>
        </w:rPr>
        <w:t> </w:t>
      </w:r>
      <w:r>
        <w:rPr>
          <w:color w:val="0C0C0C"/>
        </w:rPr>
        <w:t>influence. Prior</w:t>
      </w:r>
      <w:r>
        <w:rPr>
          <w:color w:val="0C0C0C"/>
          <w:spacing w:val="-1"/>
        </w:rPr>
        <w:t> </w:t>
      </w:r>
      <w:r>
        <w:rPr>
          <w:color w:val="0C0C0C"/>
        </w:rPr>
        <w:t>year</w:t>
      </w:r>
      <w:r>
        <w:rPr>
          <w:color w:val="0C0C0C"/>
          <w:spacing w:val="-7"/>
        </w:rPr>
        <w:t> </w:t>
      </w:r>
      <w:r>
        <w:rPr>
          <w:color w:val="0C0C0C"/>
        </w:rPr>
        <w:t>comparative figures</w:t>
      </w:r>
      <w:r>
        <w:rPr>
          <w:color w:val="0C0C0C"/>
          <w:spacing w:val="-7"/>
        </w:rPr>
        <w:t> </w:t>
      </w:r>
      <w:r>
        <w:rPr>
          <w:color w:val="0C0C0C"/>
        </w:rPr>
        <w:t>have been restated to</w:t>
      </w:r>
      <w:r>
        <w:rPr>
          <w:color w:val="0C0C0C"/>
          <w:spacing w:val="-1"/>
        </w:rPr>
        <w:t> </w:t>
      </w:r>
      <w:r>
        <w:rPr>
          <w:color w:val="0C0C0C"/>
        </w:rPr>
        <w:t>reflect the</w:t>
      </w:r>
      <w:r>
        <w:rPr>
          <w:color w:val="0C0C0C"/>
          <w:spacing w:val="-1"/>
        </w:rPr>
        <w:t> </w:t>
      </w:r>
      <w:r>
        <w:rPr>
          <w:color w:val="1F1F1F"/>
        </w:rPr>
        <w:t>inclusion </w:t>
      </w:r>
      <w:r>
        <w:rPr>
          <w:color w:val="0C0C0C"/>
        </w:rPr>
        <w:t>of Hertsmere Developments</w:t>
      </w:r>
      <w:r>
        <w:rPr>
          <w:color w:val="0C0C0C"/>
          <w:spacing w:val="29"/>
        </w:rPr>
        <w:t> </w:t>
      </w:r>
      <w:r>
        <w:rPr>
          <w:color w:val="0C0C0C"/>
        </w:rPr>
        <w:t>Limited </w:t>
      </w:r>
      <w:r>
        <w:rPr>
          <w:color w:val="1F1F1F"/>
        </w:rPr>
        <w:t>in</w:t>
      </w:r>
      <w:r>
        <w:rPr>
          <w:color w:val="1F1F1F"/>
          <w:spacing w:val="-11"/>
        </w:rPr>
        <w:t> </w:t>
      </w:r>
      <w:r>
        <w:rPr>
          <w:color w:val="0C0C0C"/>
        </w:rPr>
        <w:t>the</w:t>
      </w:r>
      <w:r>
        <w:rPr>
          <w:color w:val="0C0C0C"/>
          <w:spacing w:val="-1"/>
        </w:rPr>
        <w:t> </w:t>
      </w:r>
      <w:r>
        <w:rPr>
          <w:color w:val="0C0C0C"/>
        </w:rPr>
        <w:t>group accounts.</w:t>
      </w:r>
    </w:p>
    <w:p>
      <w:pPr>
        <w:pStyle w:val="BodyText"/>
        <w:spacing w:before="3"/>
      </w:pPr>
    </w:p>
    <w:p>
      <w:pPr>
        <w:pStyle w:val="BodyText"/>
        <w:ind w:left="1002"/>
        <w:jc w:val="both"/>
      </w:pPr>
      <w:r>
        <w:rPr>
          <w:color w:val="0C0C0C"/>
        </w:rPr>
        <w:t>Group</w:t>
      </w:r>
      <w:r>
        <w:rPr>
          <w:color w:val="0C0C0C"/>
          <w:spacing w:val="-16"/>
        </w:rPr>
        <w:t> </w:t>
      </w:r>
      <w:r>
        <w:rPr>
          <w:color w:val="0C0C0C"/>
        </w:rPr>
        <w:t>companies</w:t>
      </w:r>
      <w:r>
        <w:rPr>
          <w:color w:val="0C0C0C"/>
          <w:spacing w:val="4"/>
        </w:rPr>
        <w:t> </w:t>
      </w:r>
      <w:r>
        <w:rPr>
          <w:color w:val="0C0C0C"/>
        </w:rPr>
        <w:t>consolidated</w:t>
      </w:r>
      <w:r>
        <w:rPr>
          <w:color w:val="0C0C0C"/>
          <w:spacing w:val="7"/>
        </w:rPr>
        <w:t> </w:t>
      </w:r>
      <w:r>
        <w:rPr>
          <w:color w:val="0C0C0C"/>
        </w:rPr>
        <w:t>in</w:t>
      </w:r>
      <w:r>
        <w:rPr>
          <w:color w:val="0C0C0C"/>
          <w:spacing w:val="-16"/>
        </w:rPr>
        <w:t> </w:t>
      </w:r>
      <w:r>
        <w:rPr>
          <w:color w:val="0C0C0C"/>
        </w:rPr>
        <w:t>these</w:t>
      </w:r>
      <w:r>
        <w:rPr>
          <w:color w:val="0C0C0C"/>
          <w:spacing w:val="-4"/>
        </w:rPr>
        <w:t> </w:t>
      </w:r>
      <w:r>
        <w:rPr>
          <w:color w:val="0C0C0C"/>
        </w:rPr>
        <w:t>group</w:t>
      </w:r>
      <w:r>
        <w:rPr>
          <w:color w:val="0C0C0C"/>
          <w:spacing w:val="-6"/>
        </w:rPr>
        <w:t> </w:t>
      </w:r>
      <w:r>
        <w:rPr>
          <w:color w:val="0C0C0C"/>
          <w:spacing w:val="-2"/>
        </w:rPr>
        <w:t>accounts:-</w:t>
      </w:r>
    </w:p>
    <w:p>
      <w:pPr>
        <w:pStyle w:val="BodyText"/>
        <w:spacing w:before="13"/>
      </w:pPr>
    </w:p>
    <w:p>
      <w:pPr>
        <w:pStyle w:val="ListParagraph"/>
        <w:numPr>
          <w:ilvl w:val="0"/>
          <w:numId w:val="26"/>
        </w:numPr>
        <w:tabs>
          <w:tab w:val="left" w:leader="none" w:pos="1716"/>
          <w:tab w:val="left" w:leader="none" w:pos="1719"/>
        </w:tabs>
        <w:spacing w:before="0" w:after="0" w:line="240" w:lineRule="auto"/>
        <w:ind w:left="1719" w:right="1072" w:hanging="352"/>
        <w:jc w:val="both"/>
        <w:rPr>
          <w:sz w:val="22"/>
        </w:rPr>
      </w:pPr>
      <w:r>
        <w:rPr>
          <w:color w:val="0C0C0C"/>
          <w:sz w:val="22"/>
        </w:rPr>
        <w:t>Elstree Film Studios Ltd (EFS), is a company formed in November 2003, since when the Council</w:t>
      </w:r>
      <w:r>
        <w:rPr>
          <w:color w:val="0C0C0C"/>
          <w:spacing w:val="-16"/>
          <w:sz w:val="22"/>
        </w:rPr>
        <w:t> </w:t>
      </w:r>
      <w:r>
        <w:rPr>
          <w:color w:val="0C0C0C"/>
          <w:sz w:val="22"/>
        </w:rPr>
        <w:t>has</w:t>
      </w:r>
      <w:r>
        <w:rPr>
          <w:color w:val="0C0C0C"/>
          <w:spacing w:val="-10"/>
          <w:sz w:val="22"/>
        </w:rPr>
        <w:t> </w:t>
      </w:r>
      <w:r>
        <w:rPr>
          <w:color w:val="0C0C0C"/>
          <w:sz w:val="22"/>
        </w:rPr>
        <w:t>owned</w:t>
      </w:r>
      <w:r>
        <w:rPr>
          <w:color w:val="0C0C0C"/>
          <w:spacing w:val="-9"/>
          <w:sz w:val="22"/>
        </w:rPr>
        <w:t> </w:t>
      </w:r>
      <w:r>
        <w:rPr>
          <w:color w:val="0C0C0C"/>
          <w:sz w:val="22"/>
        </w:rPr>
        <w:t>100%</w:t>
      </w:r>
      <w:r>
        <w:rPr>
          <w:color w:val="0C0C0C"/>
          <w:spacing w:val="-2"/>
          <w:sz w:val="22"/>
        </w:rPr>
        <w:t> </w:t>
      </w:r>
      <w:r>
        <w:rPr>
          <w:color w:val="0C0C0C"/>
          <w:sz w:val="22"/>
        </w:rPr>
        <w:t>of</w:t>
      </w:r>
      <w:r>
        <w:rPr>
          <w:color w:val="0C0C0C"/>
          <w:spacing w:val="-9"/>
          <w:sz w:val="22"/>
        </w:rPr>
        <w:t> </w:t>
      </w:r>
      <w:r>
        <w:rPr>
          <w:color w:val="0C0C0C"/>
          <w:sz w:val="22"/>
        </w:rPr>
        <w:t>shares</w:t>
      </w:r>
      <w:r>
        <w:rPr>
          <w:color w:val="0C0C0C"/>
          <w:spacing w:val="-1"/>
          <w:sz w:val="22"/>
        </w:rPr>
        <w:t> </w:t>
      </w:r>
      <w:r>
        <w:rPr>
          <w:color w:val="0C0C0C"/>
          <w:sz w:val="22"/>
        </w:rPr>
        <w:t>purchased</w:t>
      </w:r>
      <w:r>
        <w:rPr>
          <w:color w:val="0C0C0C"/>
          <w:spacing w:val="-5"/>
          <w:sz w:val="22"/>
        </w:rPr>
        <w:t> </w:t>
      </w:r>
      <w:r>
        <w:rPr>
          <w:color w:val="0C0C0C"/>
          <w:sz w:val="22"/>
        </w:rPr>
        <w:t>for</w:t>
      </w:r>
      <w:r>
        <w:rPr>
          <w:color w:val="0C0C0C"/>
          <w:spacing w:val="-8"/>
          <w:sz w:val="22"/>
        </w:rPr>
        <w:t> </w:t>
      </w:r>
      <w:r>
        <w:rPr>
          <w:color w:val="1F1F1F"/>
          <w:sz w:val="22"/>
        </w:rPr>
        <w:t>a</w:t>
      </w:r>
      <w:r>
        <w:rPr>
          <w:color w:val="1F1F1F"/>
          <w:spacing w:val="-15"/>
          <w:sz w:val="22"/>
        </w:rPr>
        <w:t> </w:t>
      </w:r>
      <w:r>
        <w:rPr>
          <w:color w:val="1F1F1F"/>
          <w:sz w:val="22"/>
        </w:rPr>
        <w:t>cash</w:t>
      </w:r>
      <w:r>
        <w:rPr>
          <w:color w:val="1F1F1F"/>
          <w:spacing w:val="-13"/>
          <w:sz w:val="22"/>
        </w:rPr>
        <w:t> </w:t>
      </w:r>
      <w:r>
        <w:rPr>
          <w:color w:val="0C0C0C"/>
          <w:sz w:val="22"/>
        </w:rPr>
        <w:t>cons</w:t>
      </w:r>
      <w:r>
        <w:rPr>
          <w:color w:val="4B4B4B"/>
          <w:sz w:val="22"/>
        </w:rPr>
        <w:t>i</w:t>
      </w:r>
      <w:r>
        <w:rPr>
          <w:color w:val="1F1F1F"/>
          <w:sz w:val="22"/>
        </w:rPr>
        <w:t>deration</w:t>
      </w:r>
      <w:r>
        <w:rPr>
          <w:color w:val="1F1F1F"/>
          <w:spacing w:val="-16"/>
          <w:sz w:val="22"/>
        </w:rPr>
        <w:t> </w:t>
      </w:r>
      <w:r>
        <w:rPr>
          <w:color w:val="0C0C0C"/>
          <w:sz w:val="22"/>
        </w:rPr>
        <w:t>of</w:t>
      </w:r>
      <w:r>
        <w:rPr>
          <w:color w:val="0C0C0C"/>
          <w:spacing w:val="-9"/>
          <w:sz w:val="22"/>
        </w:rPr>
        <w:t> </w:t>
      </w:r>
      <w:r>
        <w:rPr>
          <w:color w:val="0C0C0C"/>
          <w:sz w:val="22"/>
        </w:rPr>
        <w:t>£1.Since </w:t>
      </w:r>
      <w:r>
        <w:rPr>
          <w:color w:val="1F1F1F"/>
          <w:sz w:val="22"/>
        </w:rPr>
        <w:t>August </w:t>
      </w:r>
      <w:r>
        <w:rPr>
          <w:color w:val="0C0C0C"/>
          <w:sz w:val="22"/>
        </w:rPr>
        <w:t>2018 the arrangement</w:t>
      </w:r>
      <w:r>
        <w:rPr>
          <w:color w:val="0C0C0C"/>
          <w:spacing w:val="27"/>
          <w:sz w:val="22"/>
        </w:rPr>
        <w:t> </w:t>
      </w:r>
      <w:r>
        <w:rPr>
          <w:color w:val="0C0C0C"/>
          <w:sz w:val="22"/>
        </w:rPr>
        <w:t>with EFS consists </w:t>
      </w:r>
      <w:r>
        <w:rPr>
          <w:color w:val="1F1F1F"/>
          <w:sz w:val="22"/>
        </w:rPr>
        <w:t>of a </w:t>
      </w:r>
      <w:r>
        <w:rPr>
          <w:color w:val="0C0C0C"/>
          <w:sz w:val="22"/>
        </w:rPr>
        <w:t>30 </w:t>
      </w:r>
      <w:r>
        <w:rPr>
          <w:color w:val="1F1F1F"/>
          <w:sz w:val="22"/>
        </w:rPr>
        <w:t>year lease with </w:t>
      </w:r>
      <w:r>
        <w:rPr>
          <w:color w:val="0C0C0C"/>
          <w:sz w:val="22"/>
        </w:rPr>
        <w:t>an annual rental, </w:t>
      </w:r>
      <w:r>
        <w:rPr>
          <w:color w:val="1F1F1F"/>
          <w:sz w:val="22"/>
        </w:rPr>
        <w:t>based </w:t>
      </w:r>
      <w:r>
        <w:rPr>
          <w:color w:val="0C0C0C"/>
          <w:sz w:val="22"/>
        </w:rPr>
        <w:t>on</w:t>
      </w:r>
      <w:r>
        <w:rPr>
          <w:color w:val="0C0C0C"/>
          <w:spacing w:val="-16"/>
          <w:sz w:val="22"/>
        </w:rPr>
        <w:t> </w:t>
      </w:r>
      <w:r>
        <w:rPr>
          <w:color w:val="0C0C0C"/>
          <w:sz w:val="22"/>
        </w:rPr>
        <w:t>turnover,</w:t>
      </w:r>
      <w:r>
        <w:rPr>
          <w:color w:val="0C0C0C"/>
          <w:spacing w:val="-7"/>
          <w:sz w:val="22"/>
        </w:rPr>
        <w:t> </w:t>
      </w:r>
      <w:r>
        <w:rPr>
          <w:color w:val="0C0C0C"/>
          <w:sz w:val="22"/>
        </w:rPr>
        <w:t>payable to</w:t>
      </w:r>
      <w:r>
        <w:rPr>
          <w:color w:val="0C0C0C"/>
          <w:spacing w:val="-14"/>
          <w:sz w:val="22"/>
        </w:rPr>
        <w:t> </w:t>
      </w:r>
      <w:r>
        <w:rPr>
          <w:color w:val="0C0C0C"/>
          <w:sz w:val="22"/>
        </w:rPr>
        <w:t>the</w:t>
      </w:r>
      <w:r>
        <w:rPr>
          <w:color w:val="0C0C0C"/>
          <w:spacing w:val="-7"/>
          <w:sz w:val="22"/>
        </w:rPr>
        <w:t> </w:t>
      </w:r>
      <w:r>
        <w:rPr>
          <w:color w:val="0C0C0C"/>
          <w:sz w:val="22"/>
        </w:rPr>
        <w:t>Council</w:t>
      </w:r>
      <w:r>
        <w:rPr>
          <w:color w:val="0C0C0C"/>
          <w:spacing w:val="-1"/>
          <w:sz w:val="22"/>
        </w:rPr>
        <w:t> </w:t>
      </w:r>
      <w:r>
        <w:rPr>
          <w:color w:val="0C0C0C"/>
          <w:sz w:val="22"/>
        </w:rPr>
        <w:t>by</w:t>
      </w:r>
      <w:r>
        <w:rPr>
          <w:color w:val="0C0C0C"/>
          <w:spacing w:val="-7"/>
          <w:sz w:val="22"/>
        </w:rPr>
        <w:t> </w:t>
      </w:r>
      <w:r>
        <w:rPr>
          <w:color w:val="0C0C0C"/>
          <w:sz w:val="22"/>
        </w:rPr>
        <w:t>the</w:t>
      </w:r>
      <w:r>
        <w:rPr>
          <w:color w:val="0C0C0C"/>
          <w:spacing w:val="-8"/>
          <w:sz w:val="22"/>
        </w:rPr>
        <w:t> </w:t>
      </w:r>
      <w:r>
        <w:rPr>
          <w:color w:val="0C0C0C"/>
          <w:sz w:val="22"/>
        </w:rPr>
        <w:t>company for</w:t>
      </w:r>
      <w:r>
        <w:rPr>
          <w:color w:val="0C0C0C"/>
          <w:spacing w:val="-10"/>
          <w:sz w:val="22"/>
        </w:rPr>
        <w:t> </w:t>
      </w:r>
      <w:r>
        <w:rPr>
          <w:color w:val="0C0C0C"/>
          <w:sz w:val="22"/>
        </w:rPr>
        <w:t>the</w:t>
      </w:r>
      <w:r>
        <w:rPr>
          <w:color w:val="0C0C0C"/>
          <w:spacing w:val="-9"/>
          <w:sz w:val="22"/>
        </w:rPr>
        <w:t> </w:t>
      </w:r>
      <w:r>
        <w:rPr>
          <w:color w:val="0C0C0C"/>
          <w:sz w:val="22"/>
        </w:rPr>
        <w:t>use</w:t>
      </w:r>
      <w:r>
        <w:rPr>
          <w:color w:val="0C0C0C"/>
          <w:spacing w:val="-5"/>
          <w:sz w:val="22"/>
        </w:rPr>
        <w:t> </w:t>
      </w:r>
      <w:r>
        <w:rPr>
          <w:color w:val="0C0C0C"/>
          <w:sz w:val="22"/>
        </w:rPr>
        <w:t>of</w:t>
      </w:r>
      <w:r>
        <w:rPr>
          <w:color w:val="0C0C0C"/>
          <w:spacing w:val="-13"/>
          <w:sz w:val="22"/>
        </w:rPr>
        <w:t> </w:t>
      </w:r>
      <w:r>
        <w:rPr>
          <w:color w:val="0C0C0C"/>
          <w:sz w:val="22"/>
        </w:rPr>
        <w:t>the</w:t>
      </w:r>
      <w:r>
        <w:rPr>
          <w:color w:val="0C0C0C"/>
          <w:spacing w:val="-6"/>
          <w:sz w:val="22"/>
        </w:rPr>
        <w:t> </w:t>
      </w:r>
      <w:r>
        <w:rPr>
          <w:color w:val="0C0C0C"/>
          <w:sz w:val="22"/>
        </w:rPr>
        <w:t>site</w:t>
      </w:r>
      <w:r>
        <w:rPr>
          <w:color w:val="4B4B4B"/>
          <w:sz w:val="22"/>
        </w:rPr>
        <w:t>.</w:t>
      </w:r>
      <w:r>
        <w:rPr>
          <w:color w:val="4B4B4B"/>
          <w:spacing w:val="-16"/>
          <w:sz w:val="22"/>
        </w:rPr>
        <w:t> </w:t>
      </w:r>
      <w:r>
        <w:rPr>
          <w:color w:val="0C0C0C"/>
          <w:sz w:val="22"/>
        </w:rPr>
        <w:t>For</w:t>
      </w:r>
      <w:r>
        <w:rPr>
          <w:color w:val="0C0C0C"/>
          <w:spacing w:val="-3"/>
          <w:sz w:val="22"/>
        </w:rPr>
        <w:t> </w:t>
      </w:r>
      <w:r>
        <w:rPr>
          <w:color w:val="0C0C0C"/>
          <w:sz w:val="22"/>
        </w:rPr>
        <w:t>2022/23</w:t>
      </w:r>
      <w:r>
        <w:rPr>
          <w:color w:val="0C0C0C"/>
          <w:spacing w:val="-3"/>
          <w:sz w:val="22"/>
        </w:rPr>
        <w:t> </w:t>
      </w:r>
      <w:r>
        <w:rPr>
          <w:color w:val="0C0C0C"/>
          <w:sz w:val="22"/>
        </w:rPr>
        <w:t>this rental was £1.7 million.</w:t>
      </w:r>
    </w:p>
    <w:p>
      <w:pPr>
        <w:pStyle w:val="BodyText"/>
        <w:spacing w:before="1" w:line="237" w:lineRule="auto"/>
        <w:ind w:left="1724" w:right="1076" w:hanging="6"/>
        <w:jc w:val="both"/>
      </w:pPr>
      <w:r>
        <w:rPr>
          <w:color w:val="0C0C0C"/>
        </w:rPr>
        <w:t>EFS provide </w:t>
      </w:r>
      <w:r>
        <w:rPr>
          <w:color w:val="1F1F1F"/>
        </w:rPr>
        <w:t>film and</w:t>
      </w:r>
      <w:r>
        <w:rPr>
          <w:color w:val="1F1F1F"/>
          <w:spacing w:val="-6"/>
        </w:rPr>
        <w:t> </w:t>
      </w:r>
      <w:r>
        <w:rPr>
          <w:color w:val="1F1F1F"/>
        </w:rPr>
        <w:t>television </w:t>
      </w:r>
      <w:r>
        <w:rPr>
          <w:color w:val="0C0C0C"/>
        </w:rPr>
        <w:t>studio space and related production and</w:t>
      </w:r>
      <w:r>
        <w:rPr>
          <w:color w:val="0C0C0C"/>
          <w:spacing w:val="-2"/>
        </w:rPr>
        <w:t> </w:t>
      </w:r>
      <w:r>
        <w:rPr>
          <w:color w:val="0C0C0C"/>
        </w:rPr>
        <w:t>back office units for hire </w:t>
      </w:r>
      <w:r>
        <w:rPr>
          <w:color w:val="1F1F1F"/>
        </w:rPr>
        <w:t>within </w:t>
      </w:r>
      <w:r>
        <w:rPr>
          <w:color w:val="0C0C0C"/>
        </w:rPr>
        <w:t>the </w:t>
      </w:r>
      <w:r>
        <w:rPr>
          <w:color w:val="1F1F1F"/>
        </w:rPr>
        <w:t>media industry</w:t>
      </w:r>
      <w:r>
        <w:rPr>
          <w:color w:val="4B4B4B"/>
        </w:rPr>
        <w:t>.</w:t>
      </w:r>
    </w:p>
    <w:p>
      <w:pPr>
        <w:pStyle w:val="BodyText"/>
        <w:spacing w:before="18"/>
      </w:pPr>
    </w:p>
    <w:p>
      <w:pPr>
        <w:pStyle w:val="ListParagraph"/>
        <w:numPr>
          <w:ilvl w:val="0"/>
          <w:numId w:val="26"/>
        </w:numPr>
        <w:tabs>
          <w:tab w:val="left" w:leader="none" w:pos="1720"/>
          <w:tab w:val="left" w:leader="none" w:pos="1722"/>
        </w:tabs>
        <w:spacing w:before="0" w:after="0" w:line="240" w:lineRule="auto"/>
        <w:ind w:left="1722" w:right="1061" w:hanging="355"/>
        <w:jc w:val="both"/>
        <w:rPr>
          <w:sz w:val="22"/>
        </w:rPr>
      </w:pPr>
      <w:r>
        <w:rPr>
          <w:color w:val="1F1F1F"/>
          <w:sz w:val="22"/>
        </w:rPr>
        <w:t>Hertsmere Developments </w:t>
      </w:r>
      <w:r>
        <w:rPr>
          <w:color w:val="0C0C0C"/>
          <w:sz w:val="22"/>
        </w:rPr>
        <w:t>Limited </w:t>
      </w:r>
      <w:r>
        <w:rPr>
          <w:color w:val="1F1F1F"/>
          <w:sz w:val="22"/>
        </w:rPr>
        <w:t>(HDL) </w:t>
      </w:r>
      <w:r>
        <w:rPr>
          <w:color w:val="0C0C0C"/>
          <w:sz w:val="22"/>
        </w:rPr>
        <w:t>a </w:t>
      </w:r>
      <w:r>
        <w:rPr>
          <w:color w:val="1F1F1F"/>
          <w:sz w:val="22"/>
        </w:rPr>
        <w:t>wholly-owned </w:t>
      </w:r>
      <w:r>
        <w:rPr>
          <w:color w:val="0C0C0C"/>
          <w:sz w:val="22"/>
        </w:rPr>
        <w:t>local authority property </w:t>
      </w:r>
      <w:r>
        <w:rPr>
          <w:color w:val="1F1F1F"/>
          <w:sz w:val="22"/>
        </w:rPr>
        <w:t>development company </w:t>
      </w:r>
      <w:r>
        <w:rPr>
          <w:color w:val="0C0C0C"/>
          <w:sz w:val="22"/>
        </w:rPr>
        <w:t>(491,100 shares </w:t>
      </w:r>
      <w:r>
        <w:rPr>
          <w:color w:val="1F1F1F"/>
          <w:sz w:val="22"/>
        </w:rPr>
        <w:t>of </w:t>
      </w:r>
      <w:r>
        <w:rPr>
          <w:color w:val="0C0C0C"/>
          <w:sz w:val="22"/>
        </w:rPr>
        <w:t>£1 </w:t>
      </w:r>
      <w:r>
        <w:rPr>
          <w:color w:val="1F1F1F"/>
          <w:sz w:val="22"/>
        </w:rPr>
        <w:t>each). </w:t>
      </w:r>
      <w:r>
        <w:rPr>
          <w:color w:val="0C0C0C"/>
          <w:sz w:val="22"/>
        </w:rPr>
        <w:t>The principal activity of HDL </w:t>
      </w:r>
      <w:r>
        <w:rPr>
          <w:color w:val="1F1F1F"/>
          <w:sz w:val="22"/>
        </w:rPr>
        <w:t>is </w:t>
      </w:r>
      <w:r>
        <w:rPr>
          <w:color w:val="0C0C0C"/>
          <w:sz w:val="22"/>
        </w:rPr>
        <w:t>to explore</w:t>
      </w:r>
      <w:r>
        <w:rPr>
          <w:color w:val="0C0C0C"/>
          <w:spacing w:val="-16"/>
          <w:sz w:val="22"/>
        </w:rPr>
        <w:t> </w:t>
      </w:r>
      <w:r>
        <w:rPr>
          <w:color w:val="0C0C0C"/>
          <w:sz w:val="22"/>
        </w:rPr>
        <w:t>property</w:t>
      </w:r>
      <w:r>
        <w:rPr>
          <w:color w:val="0C0C0C"/>
          <w:spacing w:val="-15"/>
          <w:sz w:val="22"/>
        </w:rPr>
        <w:t> </w:t>
      </w:r>
      <w:r>
        <w:rPr>
          <w:color w:val="0C0C0C"/>
          <w:sz w:val="22"/>
        </w:rPr>
        <w:t>development</w:t>
      </w:r>
      <w:r>
        <w:rPr>
          <w:color w:val="0C0C0C"/>
          <w:spacing w:val="-15"/>
          <w:sz w:val="22"/>
        </w:rPr>
        <w:t> </w:t>
      </w:r>
      <w:r>
        <w:rPr>
          <w:color w:val="0C0C0C"/>
          <w:sz w:val="22"/>
        </w:rPr>
        <w:t>opportunities and</w:t>
      </w:r>
      <w:r>
        <w:rPr>
          <w:color w:val="0C0C0C"/>
          <w:spacing w:val="-16"/>
          <w:sz w:val="22"/>
        </w:rPr>
        <w:t> </w:t>
      </w:r>
      <w:r>
        <w:rPr>
          <w:color w:val="0C0C0C"/>
          <w:sz w:val="22"/>
        </w:rPr>
        <w:t>maximise</w:t>
      </w:r>
      <w:r>
        <w:rPr>
          <w:color w:val="0C0C0C"/>
          <w:spacing w:val="-6"/>
          <w:sz w:val="22"/>
        </w:rPr>
        <w:t> </w:t>
      </w:r>
      <w:r>
        <w:rPr>
          <w:color w:val="0C0C0C"/>
          <w:sz w:val="22"/>
        </w:rPr>
        <w:t>its</w:t>
      </w:r>
      <w:r>
        <w:rPr>
          <w:color w:val="0C0C0C"/>
          <w:spacing w:val="-16"/>
          <w:sz w:val="22"/>
        </w:rPr>
        <w:t> </w:t>
      </w:r>
      <w:r>
        <w:rPr>
          <w:color w:val="0C0C0C"/>
          <w:sz w:val="22"/>
        </w:rPr>
        <w:t>income</w:t>
      </w:r>
      <w:r>
        <w:rPr>
          <w:color w:val="0C0C0C"/>
          <w:spacing w:val="-12"/>
          <w:sz w:val="22"/>
        </w:rPr>
        <w:t> </w:t>
      </w:r>
      <w:r>
        <w:rPr>
          <w:color w:val="0C0C0C"/>
          <w:sz w:val="22"/>
        </w:rPr>
        <w:t>stream.</w:t>
      </w:r>
      <w:r>
        <w:rPr>
          <w:color w:val="0C0C0C"/>
          <w:spacing w:val="-10"/>
          <w:sz w:val="22"/>
        </w:rPr>
        <w:t> </w:t>
      </w:r>
      <w:r>
        <w:rPr>
          <w:color w:val="0C0C0C"/>
          <w:sz w:val="22"/>
        </w:rPr>
        <w:t>It</w:t>
      </w:r>
      <w:r>
        <w:rPr>
          <w:color w:val="0C0C0C"/>
          <w:spacing w:val="-16"/>
          <w:sz w:val="22"/>
        </w:rPr>
        <w:t> </w:t>
      </w:r>
      <w:r>
        <w:rPr>
          <w:color w:val="0C0C0C"/>
          <w:sz w:val="22"/>
        </w:rPr>
        <w:t>was</w:t>
      </w:r>
      <w:r>
        <w:rPr>
          <w:color w:val="0C0C0C"/>
          <w:spacing w:val="-15"/>
          <w:sz w:val="22"/>
        </w:rPr>
        <w:t> </w:t>
      </w:r>
      <w:r>
        <w:rPr>
          <w:color w:val="0C0C0C"/>
          <w:sz w:val="22"/>
        </w:rPr>
        <w:t>formed to assist the Council to deliver its regeneration, housing, financial and commercial </w:t>
      </w:r>
      <w:r>
        <w:rPr>
          <w:color w:val="0C0C0C"/>
          <w:spacing w:val="-2"/>
          <w:sz w:val="22"/>
        </w:rPr>
        <w:t>objectives.</w:t>
      </w:r>
    </w:p>
    <w:p>
      <w:pPr>
        <w:pStyle w:val="BodyText"/>
        <w:spacing w:before="10"/>
      </w:pPr>
    </w:p>
    <w:p>
      <w:pPr>
        <w:spacing w:before="0"/>
        <w:ind w:left="1009" w:right="0" w:firstLine="0"/>
        <w:jc w:val="both"/>
        <w:rPr>
          <w:b/>
          <w:sz w:val="21"/>
        </w:rPr>
      </w:pPr>
      <w:r>
        <w:rPr>
          <w:b/>
          <w:color w:val="0C0C0C"/>
          <w:spacing w:val="-2"/>
          <w:w w:val="105"/>
          <w:sz w:val="21"/>
        </w:rPr>
        <w:t>Accounting</w:t>
      </w:r>
      <w:r>
        <w:rPr>
          <w:b/>
          <w:color w:val="0C0C0C"/>
          <w:spacing w:val="4"/>
          <w:w w:val="105"/>
          <w:sz w:val="21"/>
        </w:rPr>
        <w:t> </w:t>
      </w:r>
      <w:r>
        <w:rPr>
          <w:b/>
          <w:color w:val="0C0C0C"/>
          <w:spacing w:val="-2"/>
          <w:w w:val="105"/>
          <w:sz w:val="21"/>
        </w:rPr>
        <w:t>Policies</w:t>
      </w:r>
    </w:p>
    <w:p>
      <w:pPr>
        <w:pStyle w:val="BodyText"/>
        <w:spacing w:before="17"/>
        <w:rPr>
          <w:b/>
          <w:sz w:val="21"/>
        </w:rPr>
      </w:pPr>
    </w:p>
    <w:p>
      <w:pPr>
        <w:pStyle w:val="BodyText"/>
        <w:ind w:left="1004" w:right="1050" w:hanging="2"/>
        <w:jc w:val="both"/>
      </w:pPr>
      <w:r>
        <w:rPr>
          <w:color w:val="0C0C0C"/>
        </w:rPr>
        <w:t>Both</w:t>
      </w:r>
      <w:r>
        <w:rPr>
          <w:color w:val="0C0C0C"/>
          <w:spacing w:val="-16"/>
        </w:rPr>
        <w:t> </w:t>
      </w:r>
      <w:r>
        <w:rPr>
          <w:color w:val="0C0C0C"/>
        </w:rPr>
        <w:t>subsidiaries</w:t>
      </w:r>
      <w:r>
        <w:rPr>
          <w:color w:val="0C0C0C"/>
          <w:spacing w:val="-13"/>
        </w:rPr>
        <w:t> </w:t>
      </w:r>
      <w:r>
        <w:rPr>
          <w:color w:val="0C0C0C"/>
        </w:rPr>
        <w:t>have</w:t>
      </w:r>
      <w:r>
        <w:rPr>
          <w:color w:val="0C0C0C"/>
          <w:spacing w:val="-14"/>
        </w:rPr>
        <w:t> </w:t>
      </w:r>
      <w:r>
        <w:rPr>
          <w:color w:val="0C0C0C"/>
        </w:rPr>
        <w:t>prepared</w:t>
      </w:r>
      <w:r>
        <w:rPr>
          <w:color w:val="0C0C0C"/>
          <w:spacing w:val="-10"/>
        </w:rPr>
        <w:t> </w:t>
      </w:r>
      <w:r>
        <w:rPr>
          <w:color w:val="0C0C0C"/>
        </w:rPr>
        <w:t>their</w:t>
      </w:r>
      <w:r>
        <w:rPr>
          <w:color w:val="0C0C0C"/>
          <w:spacing w:val="-13"/>
        </w:rPr>
        <w:t> </w:t>
      </w:r>
      <w:r>
        <w:rPr>
          <w:color w:val="0C0C0C"/>
        </w:rPr>
        <w:t>financial</w:t>
      </w:r>
      <w:r>
        <w:rPr>
          <w:color w:val="0C0C0C"/>
          <w:spacing w:val="-5"/>
        </w:rPr>
        <w:t> </w:t>
      </w:r>
      <w:r>
        <w:rPr>
          <w:color w:val="0C0C0C"/>
        </w:rPr>
        <w:t>statements</w:t>
      </w:r>
      <w:r>
        <w:rPr>
          <w:color w:val="0C0C0C"/>
          <w:spacing w:val="-1"/>
        </w:rPr>
        <w:t> </w:t>
      </w:r>
      <w:r>
        <w:rPr>
          <w:color w:val="0C0C0C"/>
        </w:rPr>
        <w:t>under</w:t>
      </w:r>
      <w:r>
        <w:rPr>
          <w:color w:val="0C0C0C"/>
          <w:spacing w:val="-14"/>
        </w:rPr>
        <w:t> </w:t>
      </w:r>
      <w:r>
        <w:rPr>
          <w:color w:val="0C0C0C"/>
        </w:rPr>
        <w:t>the</w:t>
      </w:r>
      <w:r>
        <w:rPr>
          <w:color w:val="0C0C0C"/>
          <w:spacing w:val="-16"/>
        </w:rPr>
        <w:t> </w:t>
      </w:r>
      <w:r>
        <w:rPr>
          <w:color w:val="0C0C0C"/>
        </w:rPr>
        <w:t>historical</w:t>
      </w:r>
      <w:r>
        <w:rPr>
          <w:color w:val="0C0C0C"/>
          <w:spacing w:val="-3"/>
        </w:rPr>
        <w:t> </w:t>
      </w:r>
      <w:r>
        <w:rPr>
          <w:color w:val="0C0C0C"/>
        </w:rPr>
        <w:t>cost</w:t>
      </w:r>
      <w:r>
        <w:rPr>
          <w:color w:val="0C0C0C"/>
          <w:spacing w:val="-9"/>
        </w:rPr>
        <w:t> </w:t>
      </w:r>
      <w:r>
        <w:rPr>
          <w:color w:val="0C0C0C"/>
        </w:rPr>
        <w:t>convention</w:t>
      </w:r>
      <w:r>
        <w:rPr>
          <w:color w:val="0C0C0C"/>
          <w:spacing w:val="-2"/>
        </w:rPr>
        <w:t> </w:t>
      </w:r>
      <w:r>
        <w:rPr>
          <w:color w:val="0C0C0C"/>
        </w:rPr>
        <w:t>and in</w:t>
      </w:r>
      <w:r>
        <w:rPr>
          <w:color w:val="0C0C0C"/>
          <w:spacing w:val="-14"/>
        </w:rPr>
        <w:t> </w:t>
      </w:r>
      <w:r>
        <w:rPr>
          <w:color w:val="0C0C0C"/>
        </w:rPr>
        <w:t>accordance with</w:t>
      </w:r>
      <w:r>
        <w:rPr>
          <w:color w:val="0C0C0C"/>
          <w:spacing w:val="-13"/>
        </w:rPr>
        <w:t> </w:t>
      </w:r>
      <w:r>
        <w:rPr>
          <w:color w:val="0C0C0C"/>
        </w:rPr>
        <w:t>Financial</w:t>
      </w:r>
      <w:r>
        <w:rPr>
          <w:color w:val="0C0C0C"/>
          <w:spacing w:val="-6"/>
        </w:rPr>
        <w:t> </w:t>
      </w:r>
      <w:r>
        <w:rPr>
          <w:color w:val="0C0C0C"/>
        </w:rPr>
        <w:t>Reporting</w:t>
      </w:r>
      <w:r>
        <w:rPr>
          <w:color w:val="0C0C0C"/>
          <w:spacing w:val="-9"/>
        </w:rPr>
        <w:t> </w:t>
      </w:r>
      <w:r>
        <w:rPr>
          <w:color w:val="0C0C0C"/>
        </w:rPr>
        <w:t>Standard</w:t>
      </w:r>
      <w:r>
        <w:rPr>
          <w:color w:val="0C0C0C"/>
          <w:spacing w:val="-4"/>
        </w:rPr>
        <w:t> </w:t>
      </w:r>
      <w:r>
        <w:rPr>
          <w:color w:val="0C0C0C"/>
        </w:rPr>
        <w:t>102,</w:t>
      </w:r>
      <w:r>
        <w:rPr>
          <w:color w:val="0C0C0C"/>
          <w:spacing w:val="-12"/>
        </w:rPr>
        <w:t> </w:t>
      </w:r>
      <w:r>
        <w:rPr>
          <w:color w:val="0C0C0C"/>
        </w:rPr>
        <w:t>the</w:t>
      </w:r>
      <w:r>
        <w:rPr>
          <w:color w:val="0C0C0C"/>
          <w:spacing w:val="-11"/>
        </w:rPr>
        <w:t> </w:t>
      </w:r>
      <w:r>
        <w:rPr>
          <w:color w:val="0C0C0C"/>
        </w:rPr>
        <w:t>Financial</w:t>
      </w:r>
      <w:r>
        <w:rPr>
          <w:color w:val="0C0C0C"/>
          <w:spacing w:val="-6"/>
        </w:rPr>
        <w:t> </w:t>
      </w:r>
      <w:r>
        <w:rPr>
          <w:color w:val="0C0C0C"/>
        </w:rPr>
        <w:t>Report</w:t>
      </w:r>
      <w:r>
        <w:rPr>
          <w:color w:val="3A3A3A"/>
        </w:rPr>
        <w:t>i</w:t>
      </w:r>
      <w:r>
        <w:rPr>
          <w:color w:val="1F1F1F"/>
        </w:rPr>
        <w:t>ng</w:t>
      </w:r>
      <w:r>
        <w:rPr>
          <w:color w:val="1F1F1F"/>
          <w:spacing w:val="-13"/>
        </w:rPr>
        <w:t> </w:t>
      </w:r>
      <w:r>
        <w:rPr>
          <w:color w:val="1F1F1F"/>
        </w:rPr>
        <w:t>Standard applicable </w:t>
      </w:r>
      <w:r>
        <w:rPr>
          <w:color w:val="0C0C0C"/>
        </w:rPr>
        <w:t>in the UK and the Republic of Ireland and the Companies Act 2006. </w:t>
      </w:r>
      <w:r>
        <w:rPr>
          <w:color w:val="1F1F1F"/>
        </w:rPr>
        <w:t>These draft </w:t>
      </w:r>
      <w:r>
        <w:rPr>
          <w:color w:val="0C0C0C"/>
        </w:rPr>
        <w:t>accounts are </w:t>
      </w:r>
      <w:r>
        <w:rPr>
          <w:color w:val="1F1F1F"/>
        </w:rPr>
        <w:t>subject to </w:t>
      </w:r>
      <w:r>
        <w:rPr>
          <w:color w:val="0C0C0C"/>
        </w:rPr>
        <w:t>sign off </w:t>
      </w:r>
      <w:r>
        <w:rPr>
          <w:color w:val="1F1F1F"/>
        </w:rPr>
        <w:t>by </w:t>
      </w:r>
      <w:r>
        <w:rPr>
          <w:color w:val="0C0C0C"/>
        </w:rPr>
        <w:t>their </w:t>
      </w:r>
      <w:r>
        <w:rPr>
          <w:color w:val="1F1F1F"/>
        </w:rPr>
        <w:t>auditors BKL Audit LLP</w:t>
      </w:r>
      <w:r>
        <w:rPr>
          <w:color w:val="606060"/>
        </w:rPr>
        <w:t>. </w:t>
      </w:r>
      <w:r>
        <w:rPr>
          <w:color w:val="1F1F1F"/>
        </w:rPr>
        <w:t>The </w:t>
      </w:r>
      <w:r>
        <w:rPr>
          <w:color w:val="0C0C0C"/>
        </w:rPr>
        <w:t>Council has reviewed the </w:t>
      </w:r>
      <w:r>
        <w:rPr>
          <w:color w:val="1F1F1F"/>
        </w:rPr>
        <w:t>accounting policies </w:t>
      </w:r>
      <w:r>
        <w:rPr>
          <w:color w:val="0C0C0C"/>
        </w:rPr>
        <w:t>applied by </w:t>
      </w:r>
      <w:r>
        <w:rPr>
          <w:color w:val="1F1F1F"/>
        </w:rPr>
        <w:t>both subsidiaries and has concluded that </w:t>
      </w:r>
      <w:r>
        <w:rPr>
          <w:color w:val="0C0C0C"/>
        </w:rPr>
        <w:t>there are no material adjustments </w:t>
      </w:r>
      <w:r>
        <w:rPr>
          <w:color w:val="1F1F1F"/>
        </w:rPr>
        <w:t>required </w:t>
      </w:r>
      <w:r>
        <w:rPr>
          <w:color w:val="0C0C0C"/>
        </w:rPr>
        <w:t>to a</w:t>
      </w:r>
      <w:r>
        <w:rPr>
          <w:color w:val="3A3A3A"/>
        </w:rPr>
        <w:t>l</w:t>
      </w:r>
      <w:r>
        <w:rPr>
          <w:color w:val="1F1F1F"/>
        </w:rPr>
        <w:t>ign</w:t>
      </w:r>
      <w:r>
        <w:rPr>
          <w:color w:val="1F1F1F"/>
          <w:spacing w:val="-2"/>
        </w:rPr>
        <w:t> </w:t>
      </w:r>
      <w:r>
        <w:rPr>
          <w:color w:val="0C0C0C"/>
        </w:rPr>
        <w:t>accounting </w:t>
      </w:r>
      <w:r>
        <w:rPr>
          <w:color w:val="1F1F1F"/>
        </w:rPr>
        <w:t>policies</w:t>
      </w:r>
      <w:r>
        <w:rPr>
          <w:color w:val="4B4B4B"/>
        </w:rPr>
        <w:t>.</w:t>
      </w:r>
      <w:r>
        <w:rPr>
          <w:color w:val="4B4B4B"/>
          <w:spacing w:val="-7"/>
        </w:rPr>
        <w:t> </w:t>
      </w:r>
      <w:r>
        <w:rPr>
          <w:color w:val="1F1F1F"/>
        </w:rPr>
        <w:t>All</w:t>
      </w:r>
      <w:r>
        <w:rPr>
          <w:color w:val="1F1F1F"/>
          <w:spacing w:val="-1"/>
        </w:rPr>
        <w:t> </w:t>
      </w:r>
      <w:r>
        <w:rPr>
          <w:color w:val="0C0C0C"/>
        </w:rPr>
        <w:t>entit</w:t>
      </w:r>
      <w:r>
        <w:rPr>
          <w:color w:val="3A3A3A"/>
        </w:rPr>
        <w:t>i</w:t>
      </w:r>
      <w:r>
        <w:rPr>
          <w:color w:val="1F1F1F"/>
        </w:rPr>
        <w:t>es have </w:t>
      </w:r>
      <w:r>
        <w:rPr>
          <w:color w:val="0C0C0C"/>
        </w:rPr>
        <w:t>a year end of 31 March.</w:t>
      </w:r>
    </w:p>
    <w:p>
      <w:pPr>
        <w:pStyle w:val="BodyText"/>
        <w:spacing w:before="251"/>
        <w:ind w:left="1009" w:right="1026"/>
        <w:jc w:val="both"/>
      </w:pPr>
      <w:r>
        <w:rPr>
          <w:color w:val="1F1F1F"/>
        </w:rPr>
        <w:t>The</w:t>
      </w:r>
      <w:r>
        <w:rPr>
          <w:color w:val="1F1F1F"/>
          <w:spacing w:val="-1"/>
        </w:rPr>
        <w:t> </w:t>
      </w:r>
      <w:r>
        <w:rPr>
          <w:color w:val="1F1F1F"/>
        </w:rPr>
        <w:t>subsidiary accounts have</w:t>
      </w:r>
      <w:r>
        <w:rPr>
          <w:color w:val="1F1F1F"/>
          <w:spacing w:val="-2"/>
        </w:rPr>
        <w:t> </w:t>
      </w:r>
      <w:r>
        <w:rPr>
          <w:color w:val="1F1F1F"/>
        </w:rPr>
        <w:t>been consolidated with</w:t>
      </w:r>
      <w:r>
        <w:rPr>
          <w:color w:val="1F1F1F"/>
          <w:spacing w:val="-1"/>
        </w:rPr>
        <w:t> </w:t>
      </w:r>
      <w:r>
        <w:rPr>
          <w:color w:val="1F1F1F"/>
        </w:rPr>
        <w:t>those of the Counc</w:t>
      </w:r>
      <w:r>
        <w:rPr>
          <w:color w:val="4B4B4B"/>
        </w:rPr>
        <w:t>il</w:t>
      </w:r>
      <w:r>
        <w:rPr>
          <w:color w:val="4B4B4B"/>
          <w:spacing w:val="-2"/>
        </w:rPr>
        <w:t> </w:t>
      </w:r>
      <w:r>
        <w:rPr>
          <w:color w:val="1F1F1F"/>
        </w:rPr>
        <w:t>on</w:t>
      </w:r>
      <w:r>
        <w:rPr>
          <w:color w:val="1F1F1F"/>
          <w:spacing w:val="-1"/>
        </w:rPr>
        <w:t> </w:t>
      </w:r>
      <w:r>
        <w:rPr>
          <w:color w:val="1F1F1F"/>
        </w:rPr>
        <w:t>a</w:t>
      </w:r>
      <w:r>
        <w:rPr>
          <w:color w:val="1F1F1F"/>
          <w:spacing w:val="-8"/>
        </w:rPr>
        <w:t> </w:t>
      </w:r>
      <w:r>
        <w:rPr>
          <w:color w:val="1F1F1F"/>
        </w:rPr>
        <w:t>line</w:t>
      </w:r>
      <w:r>
        <w:rPr>
          <w:color w:val="1F1F1F"/>
          <w:spacing w:val="-2"/>
        </w:rPr>
        <w:t> </w:t>
      </w:r>
      <w:r>
        <w:rPr>
          <w:color w:val="0C0C0C"/>
        </w:rPr>
        <w:t>by </w:t>
      </w:r>
      <w:r>
        <w:rPr>
          <w:color w:val="3A3A3A"/>
        </w:rPr>
        <w:t>line </w:t>
      </w:r>
      <w:r>
        <w:rPr>
          <w:color w:val="1F1F1F"/>
        </w:rPr>
        <w:t>bas</w:t>
      </w:r>
      <w:r>
        <w:rPr>
          <w:color w:val="3A3A3A"/>
        </w:rPr>
        <w:t>i</w:t>
      </w:r>
      <w:r>
        <w:rPr>
          <w:color w:val="1F1F1F"/>
        </w:rPr>
        <w:t>s</w:t>
      </w:r>
      <w:r>
        <w:rPr>
          <w:color w:val="4B4B4B"/>
        </w:rPr>
        <w:t>, </w:t>
      </w:r>
      <w:r>
        <w:rPr>
          <w:color w:val="1F1F1F"/>
        </w:rPr>
        <w:t>and any balances and transactions between the parties have been eliminated </w:t>
      </w:r>
      <w:r>
        <w:rPr>
          <w:color w:val="0C0C0C"/>
        </w:rPr>
        <w:t>in </w:t>
      </w:r>
      <w:r>
        <w:rPr>
          <w:color w:val="1F1F1F"/>
        </w:rPr>
        <w:t>full</w:t>
      </w:r>
      <w:r>
        <w:rPr>
          <w:color w:val="606060"/>
        </w:rPr>
        <w:t>. </w:t>
      </w:r>
      <w:r>
        <w:rPr>
          <w:color w:val="1F1F1F"/>
        </w:rPr>
        <w:t>Both subsidiary</w:t>
      </w:r>
      <w:r>
        <w:rPr>
          <w:color w:val="4B4B4B"/>
        </w:rPr>
        <w:t>'</w:t>
      </w:r>
      <w:r>
        <w:rPr>
          <w:color w:val="1F1F1F"/>
        </w:rPr>
        <w:t>s expenditure and income</w:t>
      </w:r>
      <w:r>
        <w:rPr>
          <w:color w:val="606060"/>
        </w:rPr>
        <w:t>, </w:t>
      </w:r>
      <w:r>
        <w:rPr>
          <w:color w:val="1F1F1F"/>
        </w:rPr>
        <w:t>adjusted for transactions with the Council, are included as discrete service lines in the Comprehensive </w:t>
      </w:r>
      <w:r>
        <w:rPr>
          <w:color w:val="3A3A3A"/>
        </w:rPr>
        <w:t>Income </w:t>
      </w:r>
      <w:r>
        <w:rPr>
          <w:color w:val="1F1F1F"/>
        </w:rPr>
        <w:t>and Expenditure Statement </w:t>
      </w:r>
      <w:r>
        <w:rPr>
          <w:color w:val="0C0C0C"/>
        </w:rPr>
        <w:t>and </w:t>
      </w:r>
      <w:r>
        <w:rPr>
          <w:color w:val="1F1F1F"/>
        </w:rPr>
        <w:t>Balance </w:t>
      </w:r>
      <w:r>
        <w:rPr>
          <w:color w:val="0C0C0C"/>
        </w:rPr>
        <w:t>Sheet values are</w:t>
      </w:r>
      <w:r>
        <w:rPr>
          <w:color w:val="0C0C0C"/>
          <w:spacing w:val="-3"/>
        </w:rPr>
        <w:t> </w:t>
      </w:r>
      <w:r>
        <w:rPr>
          <w:color w:val="0C0C0C"/>
        </w:rPr>
        <w:t>similarly incorporated into</w:t>
      </w:r>
      <w:r>
        <w:rPr>
          <w:color w:val="0C0C0C"/>
          <w:spacing w:val="-13"/>
        </w:rPr>
        <w:t> </w:t>
      </w:r>
      <w:r>
        <w:rPr>
          <w:color w:val="0C0C0C"/>
        </w:rPr>
        <w:t>the</w:t>
      </w:r>
      <w:r>
        <w:rPr>
          <w:color w:val="0C0C0C"/>
          <w:spacing w:val="-11"/>
        </w:rPr>
        <w:t> </w:t>
      </w:r>
      <w:r>
        <w:rPr>
          <w:color w:val="0C0C0C"/>
        </w:rPr>
        <w:t>relevant headings of</w:t>
      </w:r>
      <w:r>
        <w:rPr>
          <w:color w:val="0C0C0C"/>
          <w:spacing w:val="-8"/>
        </w:rPr>
        <w:t> </w:t>
      </w:r>
      <w:r>
        <w:rPr>
          <w:color w:val="0C0C0C"/>
        </w:rPr>
        <w:t>the</w:t>
      </w:r>
      <w:r>
        <w:rPr>
          <w:color w:val="0C0C0C"/>
          <w:spacing w:val="-8"/>
        </w:rPr>
        <w:t> </w:t>
      </w:r>
      <w:r>
        <w:rPr>
          <w:color w:val="0C0C0C"/>
        </w:rPr>
        <w:t>Balance Sheet, removing balances owed between the parties</w:t>
      </w:r>
      <w:r>
        <w:rPr>
          <w:color w:val="3A3A3A"/>
        </w:rPr>
        <w:t>.</w:t>
      </w:r>
    </w:p>
    <w:p>
      <w:pPr>
        <w:spacing w:after="0"/>
        <w:jc w:val="both"/>
        <w:sectPr>
          <w:headerReference w:type="default" r:id="rId250"/>
          <w:footerReference w:type="default" r:id="rId251"/>
          <w:footerReference w:type="even" r:id="rId252"/>
          <w:pgSz w:w="11910" w:h="16830"/>
          <w:pgMar w:top="680" w:right="340" w:bottom="1340" w:left="0" w:header="0" w:footer="1141"/>
          <w:pgNumType w:start="117"/>
        </w:sectPr>
      </w:pPr>
    </w:p>
    <w:p>
      <w:pPr>
        <w:spacing w:before="72"/>
        <w:ind w:left="2713" w:right="0" w:firstLine="0"/>
        <w:jc w:val="left"/>
        <w:rPr>
          <w:sz w:val="14"/>
        </w:rPr>
      </w:pPr>
      <w:r>
        <w:rPr/>
        <ve:AlternateContent>
          <ve:Choice Requires="wps">
            <w:drawing>
              <wp:anchor distT="0" distB="0" distL="0" distR="0" simplePos="0" relativeHeight="15873536" behindDoc="0" locked="0" layoutInCell="1" allowOverlap="1">
                <wp:simplePos x="0" y="0"/>
                <wp:positionH relativeFrom="page">
                  <wp:posOffset>33582</wp:posOffset>
                </wp:positionH>
                <wp:positionV relativeFrom="page">
                  <wp:posOffset>10075992</wp:posOffset>
                </wp:positionV>
                <wp:extent cx="1270" cy="501015"/>
                <wp:effectExtent l="0" t="0" r="0" b="0"/>
                <wp:wrapNone/>
                <wp:docPr id="650" name="Graphic 650"/>
                <wp:cNvGraphicFramePr>
                  <a:graphicFrameLocks/>
                </wp:cNvGraphicFramePr>
                <a:graphic>
                  <a:graphicData uri="http://schemas.microsoft.com/office/word/2010/wordprocessingShape">
                    <wps:wsp>
                      <wps:cNvPr id="650" name="Graphic 650"/>
                      <wps:cNvSpPr/>
                      <wps:spPr>
                        <a:xfrm>
                          <a:off x="0" y="0"/>
                          <a:ext cx="1270" cy="501015"/>
                        </a:xfrm>
                        <a:custGeom>
                          <a:avLst/>
                          <a:gdLst/>
                          <a:ahLst/>
                          <a:cxnLst/>
                          <a:rect l="l" t="t" r="r" b="b"/>
                          <a:pathLst>
                            <a:path w="0" h="501015">
                              <a:moveTo>
                                <a:pt x="0" y="500442"/>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73536" stroked="true" strokecolor="#000000" strokeweight=".961549pt" from="2.644258pt,832.790162pt" to="2.644258pt,793.385254pt">
                <v:stroke dashstyle="solid"/>
                <w10:wrap type="none"/>
              </v:line>
            </w:pict>
          </ve:Fallback>
        </ve:AlternateContent>
      </w:r>
      <w:r>
        <w:rPr>
          <w:color w:val="777777"/>
          <w:w w:val="115"/>
          <w:sz w:val="14"/>
        </w:rPr>
        <w:t>GROUP</w:t>
      </w:r>
      <w:r>
        <w:rPr>
          <w:color w:val="777777"/>
          <w:spacing w:val="10"/>
          <w:w w:val="115"/>
          <w:sz w:val="14"/>
        </w:rPr>
        <w:t> </w:t>
      </w:r>
      <w:r>
        <w:rPr>
          <w:color w:val="777777"/>
          <w:spacing w:val="-2"/>
          <w:w w:val="115"/>
          <w:sz w:val="14"/>
        </w:rPr>
        <w:t>ACCOUNTS</w:t>
      </w:r>
    </w:p>
    <w:p>
      <w:pPr>
        <w:pStyle w:val="BodyText"/>
        <w:spacing w:before="83"/>
        <w:rPr>
          <w:sz w:val="14"/>
        </w:rPr>
      </w:pPr>
    </w:p>
    <w:p>
      <w:pPr>
        <w:spacing w:before="0"/>
        <w:ind w:left="1273" w:right="0" w:firstLine="0"/>
        <w:jc w:val="both"/>
        <w:rPr>
          <w:b/>
          <w:sz w:val="21"/>
        </w:rPr>
      </w:pPr>
      <w:r>
        <w:rPr>
          <w:b/>
          <w:color w:val="5D5D5D"/>
          <w:w w:val="105"/>
          <w:sz w:val="21"/>
        </w:rPr>
        <w:t>Going</w:t>
      </w:r>
      <w:r>
        <w:rPr>
          <w:b/>
          <w:color w:val="5D5D5D"/>
          <w:spacing w:val="-1"/>
          <w:w w:val="105"/>
          <w:sz w:val="21"/>
        </w:rPr>
        <w:t> </w:t>
      </w:r>
      <w:r>
        <w:rPr>
          <w:b/>
          <w:color w:val="5D5D5D"/>
          <w:spacing w:val="-2"/>
          <w:w w:val="105"/>
          <w:sz w:val="21"/>
        </w:rPr>
        <w:t>Concern</w:t>
      </w:r>
    </w:p>
    <w:p>
      <w:pPr>
        <w:pStyle w:val="BodyText"/>
        <w:spacing w:before="12"/>
        <w:rPr>
          <w:b/>
          <w:sz w:val="21"/>
        </w:rPr>
      </w:pPr>
    </w:p>
    <w:p>
      <w:pPr>
        <w:pStyle w:val="BodyText"/>
        <w:spacing w:before="1"/>
        <w:ind w:left="1256" w:right="804" w:firstLine="8"/>
        <w:jc w:val="both"/>
      </w:pPr>
      <w:r>
        <w:rPr>
          <w:color w:val="0C0C0C"/>
        </w:rPr>
        <w:t>The E</w:t>
      </w:r>
      <w:r>
        <w:rPr>
          <w:color w:val="444444"/>
        </w:rPr>
        <w:t>l</w:t>
      </w:r>
      <w:r>
        <w:rPr>
          <w:color w:val="1F1F1F"/>
        </w:rPr>
        <w:t>stree Film </w:t>
      </w:r>
      <w:r>
        <w:rPr>
          <w:color w:val="0C0C0C"/>
        </w:rPr>
        <w:t>Studios financial statements have been prepared on the </w:t>
      </w:r>
      <w:r>
        <w:rPr>
          <w:color w:val="1F1F1F"/>
        </w:rPr>
        <w:t>going </w:t>
      </w:r>
      <w:r>
        <w:rPr>
          <w:color w:val="0C0C0C"/>
        </w:rPr>
        <w:t>concern </w:t>
      </w:r>
      <w:r>
        <w:rPr>
          <w:color w:val="1F1F1F"/>
        </w:rPr>
        <w:t>basis</w:t>
      </w:r>
      <w:r>
        <w:rPr>
          <w:color w:val="5D5D5D"/>
        </w:rPr>
        <w:t>, </w:t>
      </w:r>
      <w:r>
        <w:rPr>
          <w:color w:val="0C0C0C"/>
        </w:rPr>
        <w:t>which </w:t>
      </w:r>
      <w:r>
        <w:rPr>
          <w:color w:val="1F1F1F"/>
        </w:rPr>
        <w:t>assumes </w:t>
      </w:r>
      <w:r>
        <w:rPr>
          <w:color w:val="0C0C0C"/>
        </w:rPr>
        <w:t>that</w:t>
      </w:r>
      <w:r>
        <w:rPr>
          <w:color w:val="0C0C0C"/>
          <w:spacing w:val="-1"/>
        </w:rPr>
        <w:t> </w:t>
      </w:r>
      <w:r>
        <w:rPr>
          <w:color w:val="0C0C0C"/>
        </w:rPr>
        <w:t>the</w:t>
      </w:r>
      <w:r>
        <w:rPr>
          <w:color w:val="0C0C0C"/>
          <w:spacing w:val="-2"/>
        </w:rPr>
        <w:t> </w:t>
      </w:r>
      <w:r>
        <w:rPr>
          <w:color w:val="0C0C0C"/>
        </w:rPr>
        <w:t>Company will</w:t>
      </w:r>
      <w:r>
        <w:rPr>
          <w:color w:val="0C0C0C"/>
          <w:spacing w:val="-2"/>
        </w:rPr>
        <w:t> </w:t>
      </w:r>
      <w:r>
        <w:rPr>
          <w:color w:val="0C0C0C"/>
        </w:rPr>
        <w:t>continue to</w:t>
      </w:r>
      <w:r>
        <w:rPr>
          <w:color w:val="0C0C0C"/>
          <w:spacing w:val="-6"/>
        </w:rPr>
        <w:t> </w:t>
      </w:r>
      <w:r>
        <w:rPr>
          <w:color w:val="0C0C0C"/>
        </w:rPr>
        <w:t>trade for</w:t>
      </w:r>
      <w:r>
        <w:rPr>
          <w:color w:val="0C0C0C"/>
          <w:spacing w:val="-1"/>
        </w:rPr>
        <w:t> </w:t>
      </w:r>
      <w:r>
        <w:rPr>
          <w:color w:val="0C0C0C"/>
        </w:rPr>
        <w:t>the</w:t>
      </w:r>
      <w:r>
        <w:rPr>
          <w:color w:val="0C0C0C"/>
          <w:spacing w:val="-8"/>
        </w:rPr>
        <w:t> </w:t>
      </w:r>
      <w:r>
        <w:rPr>
          <w:color w:val="1F1F1F"/>
        </w:rPr>
        <w:t>foreseeable</w:t>
      </w:r>
      <w:r>
        <w:rPr>
          <w:color w:val="1F1F1F"/>
          <w:spacing w:val="26"/>
        </w:rPr>
        <w:t> </w:t>
      </w:r>
      <w:r>
        <w:rPr>
          <w:color w:val="1F1F1F"/>
        </w:rPr>
        <w:t>future, </w:t>
      </w:r>
      <w:r>
        <w:rPr>
          <w:color w:val="0C0C0C"/>
        </w:rPr>
        <w:t>being a </w:t>
      </w:r>
      <w:r>
        <w:rPr>
          <w:color w:val="1F1F1F"/>
        </w:rPr>
        <w:t>period </w:t>
      </w:r>
      <w:r>
        <w:rPr>
          <w:color w:val="0C0C0C"/>
        </w:rPr>
        <w:t>of at least twelve months from the</w:t>
      </w:r>
      <w:r>
        <w:rPr>
          <w:color w:val="0C0C0C"/>
          <w:spacing w:val="-4"/>
        </w:rPr>
        <w:t> </w:t>
      </w:r>
      <w:r>
        <w:rPr>
          <w:color w:val="0C0C0C"/>
        </w:rPr>
        <w:t>date of approval of</w:t>
      </w:r>
      <w:r>
        <w:rPr>
          <w:color w:val="0C0C0C"/>
          <w:spacing w:val="-10"/>
        </w:rPr>
        <w:t> </w:t>
      </w:r>
      <w:r>
        <w:rPr>
          <w:color w:val="0C0C0C"/>
        </w:rPr>
        <w:t>these financial statements,</w:t>
      </w:r>
      <w:r>
        <w:rPr>
          <w:color w:val="0C0C0C"/>
          <w:spacing w:val="21"/>
        </w:rPr>
        <w:t> </w:t>
      </w:r>
      <w:r>
        <w:rPr>
          <w:color w:val="0C0C0C"/>
        </w:rPr>
        <w:t>and</w:t>
      </w:r>
      <w:r>
        <w:rPr>
          <w:color w:val="0C0C0C"/>
          <w:spacing w:val="-2"/>
        </w:rPr>
        <w:t> </w:t>
      </w:r>
      <w:r>
        <w:rPr>
          <w:color w:val="0C0C0C"/>
        </w:rPr>
        <w:t>will</w:t>
      </w:r>
      <w:r>
        <w:rPr>
          <w:color w:val="0C0C0C"/>
          <w:spacing w:val="-6"/>
        </w:rPr>
        <w:t> </w:t>
      </w:r>
      <w:r>
        <w:rPr>
          <w:color w:val="0C0C0C"/>
        </w:rPr>
        <w:t>be able to meet its debts as they fall due.</w:t>
      </w:r>
    </w:p>
    <w:p>
      <w:pPr>
        <w:pStyle w:val="BodyText"/>
        <w:spacing w:before="247" w:line="242" w:lineRule="auto"/>
        <w:ind w:left="1235" w:right="827" w:firstLine="17"/>
        <w:jc w:val="both"/>
      </w:pPr>
      <w:r>
        <w:rPr>
          <w:color w:val="1F1F1F"/>
        </w:rPr>
        <w:t>Much of</w:t>
      </w:r>
      <w:r>
        <w:rPr>
          <w:color w:val="1F1F1F"/>
          <w:spacing w:val="-2"/>
        </w:rPr>
        <w:t> </w:t>
      </w:r>
      <w:r>
        <w:rPr>
          <w:color w:val="1F1F1F"/>
        </w:rPr>
        <w:t>the</w:t>
      </w:r>
      <w:r>
        <w:rPr>
          <w:color w:val="1F1F1F"/>
          <w:spacing w:val="-1"/>
        </w:rPr>
        <w:t> </w:t>
      </w:r>
      <w:r>
        <w:rPr>
          <w:color w:val="1F1F1F"/>
        </w:rPr>
        <w:t>2022/23 </w:t>
      </w:r>
      <w:r>
        <w:rPr>
          <w:color w:val="444444"/>
        </w:rPr>
        <w:t>income </w:t>
      </w:r>
      <w:r>
        <w:rPr>
          <w:color w:val="1F1F1F"/>
        </w:rPr>
        <w:t>was generated from already contracted major productions and</w:t>
      </w:r>
      <w:r>
        <w:rPr>
          <w:color w:val="1F1F1F"/>
          <w:spacing w:val="-5"/>
        </w:rPr>
        <w:t> </w:t>
      </w:r>
      <w:r>
        <w:rPr>
          <w:color w:val="1F1F1F"/>
        </w:rPr>
        <w:t>new tenant</w:t>
      </w:r>
      <w:r>
        <w:rPr>
          <w:color w:val="1F1F1F"/>
          <w:spacing w:val="-5"/>
        </w:rPr>
        <w:t> </w:t>
      </w:r>
      <w:r>
        <w:rPr>
          <w:color w:val="1F1F1F"/>
        </w:rPr>
        <w:t>licences</w:t>
      </w:r>
      <w:r>
        <w:rPr>
          <w:color w:val="5D5D5D"/>
        </w:rPr>
        <w:t>.</w:t>
      </w:r>
      <w:r>
        <w:rPr>
          <w:color w:val="5D5D5D"/>
          <w:spacing w:val="-16"/>
        </w:rPr>
        <w:t> </w:t>
      </w:r>
      <w:r>
        <w:rPr>
          <w:color w:val="1F1F1F"/>
        </w:rPr>
        <w:t>However in</w:t>
      </w:r>
      <w:r>
        <w:rPr>
          <w:color w:val="1F1F1F"/>
          <w:spacing w:val="-16"/>
        </w:rPr>
        <w:t> </w:t>
      </w:r>
      <w:r>
        <w:rPr>
          <w:color w:val="1F1F1F"/>
        </w:rPr>
        <w:t>August 2022, during</w:t>
      </w:r>
      <w:r>
        <w:rPr>
          <w:color w:val="1F1F1F"/>
          <w:spacing w:val="-7"/>
        </w:rPr>
        <w:t> </w:t>
      </w:r>
      <w:r>
        <w:rPr>
          <w:color w:val="1F1F1F"/>
        </w:rPr>
        <w:t>planned</w:t>
      </w:r>
      <w:r>
        <w:rPr>
          <w:color w:val="1F1F1F"/>
          <w:spacing w:val="-4"/>
        </w:rPr>
        <w:t> </w:t>
      </w:r>
      <w:r>
        <w:rPr>
          <w:color w:val="1F1F1F"/>
        </w:rPr>
        <w:t>maintenance,</w:t>
      </w:r>
      <w:r>
        <w:rPr>
          <w:color w:val="1F1F1F"/>
          <w:spacing w:val="23"/>
        </w:rPr>
        <w:t> </w:t>
      </w:r>
      <w:r>
        <w:rPr>
          <w:color w:val="1F1F1F"/>
        </w:rPr>
        <w:t>asbestos was</w:t>
      </w:r>
      <w:r>
        <w:rPr>
          <w:color w:val="1F1F1F"/>
          <w:spacing w:val="-5"/>
        </w:rPr>
        <w:t> </w:t>
      </w:r>
      <w:r>
        <w:rPr>
          <w:color w:val="1F1F1F"/>
        </w:rPr>
        <w:t>discovered in</w:t>
      </w:r>
      <w:r>
        <w:rPr>
          <w:color w:val="1F1F1F"/>
          <w:spacing w:val="-16"/>
        </w:rPr>
        <w:t> </w:t>
      </w:r>
      <w:r>
        <w:rPr>
          <w:color w:val="1F1F1F"/>
        </w:rPr>
        <w:t>three</w:t>
      </w:r>
      <w:r>
        <w:rPr>
          <w:color w:val="1F1F1F"/>
          <w:spacing w:val="-14"/>
        </w:rPr>
        <w:t> </w:t>
      </w:r>
      <w:r>
        <w:rPr>
          <w:color w:val="1F1F1F"/>
        </w:rPr>
        <w:t>stages and</w:t>
      </w:r>
      <w:r>
        <w:rPr>
          <w:color w:val="1F1F1F"/>
          <w:spacing w:val="-10"/>
        </w:rPr>
        <w:t> </w:t>
      </w:r>
      <w:r>
        <w:rPr>
          <w:color w:val="1F1F1F"/>
        </w:rPr>
        <w:t>some</w:t>
      </w:r>
      <w:r>
        <w:rPr>
          <w:color w:val="1F1F1F"/>
          <w:spacing w:val="-1"/>
        </w:rPr>
        <w:t> </w:t>
      </w:r>
      <w:r>
        <w:rPr>
          <w:color w:val="1F1F1F"/>
        </w:rPr>
        <w:t>ancillary</w:t>
      </w:r>
      <w:r>
        <w:rPr>
          <w:color w:val="1F1F1F"/>
          <w:spacing w:val="-1"/>
        </w:rPr>
        <w:t> </w:t>
      </w:r>
      <w:r>
        <w:rPr>
          <w:color w:val="1F1F1F"/>
        </w:rPr>
        <w:t>buildings, which</w:t>
      </w:r>
      <w:r>
        <w:rPr>
          <w:color w:val="1F1F1F"/>
          <w:spacing w:val="-5"/>
        </w:rPr>
        <w:t> </w:t>
      </w:r>
      <w:r>
        <w:rPr>
          <w:color w:val="1F1F1F"/>
        </w:rPr>
        <w:t>were</w:t>
      </w:r>
      <w:r>
        <w:rPr>
          <w:color w:val="1F1F1F"/>
          <w:spacing w:val="-14"/>
        </w:rPr>
        <w:t> </w:t>
      </w:r>
      <w:r>
        <w:rPr>
          <w:color w:val="1F1F1F"/>
        </w:rPr>
        <w:t>immediately closed</w:t>
      </w:r>
      <w:r>
        <w:rPr>
          <w:color w:val="1F1F1F"/>
          <w:spacing w:val="-4"/>
        </w:rPr>
        <w:t> </w:t>
      </w:r>
      <w:r>
        <w:rPr>
          <w:color w:val="1F1F1F"/>
        </w:rPr>
        <w:t>to</w:t>
      </w:r>
      <w:r>
        <w:rPr>
          <w:color w:val="1F1F1F"/>
          <w:spacing w:val="-16"/>
        </w:rPr>
        <w:t> </w:t>
      </w:r>
      <w:r>
        <w:rPr>
          <w:color w:val="1F1F1F"/>
        </w:rPr>
        <w:t>allow</w:t>
      </w:r>
      <w:r>
        <w:rPr>
          <w:color w:val="1F1F1F"/>
          <w:spacing w:val="-15"/>
        </w:rPr>
        <w:t> </w:t>
      </w:r>
      <w:r>
        <w:rPr>
          <w:color w:val="1F1F1F"/>
        </w:rPr>
        <w:t>clean</w:t>
      </w:r>
      <w:r>
        <w:rPr>
          <w:color w:val="1F1F1F"/>
          <w:spacing w:val="-7"/>
        </w:rPr>
        <w:t> </w:t>
      </w:r>
      <w:r>
        <w:rPr>
          <w:color w:val="1F1F1F"/>
        </w:rPr>
        <w:t>up</w:t>
      </w:r>
      <w:r>
        <w:rPr>
          <w:color w:val="1F1F1F"/>
          <w:spacing w:val="-8"/>
        </w:rPr>
        <w:t> </w:t>
      </w:r>
      <w:r>
        <w:rPr>
          <w:color w:val="1F1F1F"/>
        </w:rPr>
        <w:t>and remediation works to be undertaken. As at the 31 </w:t>
      </w:r>
      <w:r>
        <w:rPr>
          <w:color w:val="0C0C0C"/>
        </w:rPr>
        <w:t>March 2023 these stages and ancillary space remained closed and this is</w:t>
      </w:r>
      <w:r>
        <w:rPr>
          <w:color w:val="0C0C0C"/>
          <w:spacing w:val="-2"/>
        </w:rPr>
        <w:t> </w:t>
      </w:r>
      <w:r>
        <w:rPr>
          <w:color w:val="0C0C0C"/>
        </w:rPr>
        <w:t>reflected in the asset value accordingly.</w:t>
      </w:r>
    </w:p>
    <w:p>
      <w:pPr>
        <w:pStyle w:val="BodyText"/>
        <w:spacing w:before="245"/>
        <w:ind w:left="1229" w:right="847" w:firstLine="5"/>
        <w:jc w:val="both"/>
      </w:pPr>
      <w:r>
        <w:rPr>
          <w:color w:val="1F1F1F"/>
        </w:rPr>
        <w:t>Subsequently, in September 2023, the full Council received an options report </w:t>
      </w:r>
      <w:r>
        <w:rPr>
          <w:color w:val="444444"/>
        </w:rPr>
        <w:t>in </w:t>
      </w:r>
      <w:r>
        <w:rPr>
          <w:color w:val="1F1F1F"/>
        </w:rPr>
        <w:t>relation </w:t>
      </w:r>
      <w:r>
        <w:rPr>
          <w:color w:val="0C0C0C"/>
        </w:rPr>
        <w:t>to the </w:t>
      </w:r>
      <w:r>
        <w:rPr>
          <w:color w:val="1F1F1F"/>
        </w:rPr>
        <w:t>affected</w:t>
      </w:r>
      <w:r>
        <w:rPr>
          <w:color w:val="1F1F1F"/>
          <w:spacing w:val="-16"/>
        </w:rPr>
        <w:t> </w:t>
      </w:r>
      <w:r>
        <w:rPr>
          <w:color w:val="1F1F1F"/>
        </w:rPr>
        <w:t>stages</w:t>
      </w:r>
      <w:r>
        <w:rPr>
          <w:color w:val="1F1F1F"/>
          <w:spacing w:val="-15"/>
        </w:rPr>
        <w:t> </w:t>
      </w:r>
      <w:r>
        <w:rPr>
          <w:color w:val="1F1F1F"/>
        </w:rPr>
        <w:t>and</w:t>
      </w:r>
      <w:r>
        <w:rPr>
          <w:color w:val="1F1F1F"/>
          <w:spacing w:val="-15"/>
        </w:rPr>
        <w:t> </w:t>
      </w:r>
      <w:r>
        <w:rPr>
          <w:color w:val="1F1F1F"/>
        </w:rPr>
        <w:t>ancillary</w:t>
      </w:r>
      <w:r>
        <w:rPr>
          <w:color w:val="1F1F1F"/>
          <w:spacing w:val="-14"/>
        </w:rPr>
        <w:t> </w:t>
      </w:r>
      <w:r>
        <w:rPr>
          <w:color w:val="1F1F1F"/>
        </w:rPr>
        <w:t>space</w:t>
      </w:r>
      <w:r>
        <w:rPr>
          <w:color w:val="1F1F1F"/>
          <w:spacing w:val="-3"/>
        </w:rPr>
        <w:t> </w:t>
      </w:r>
      <w:r>
        <w:rPr>
          <w:color w:val="1F1F1F"/>
        </w:rPr>
        <w:t>and</w:t>
      </w:r>
      <w:r>
        <w:rPr>
          <w:color w:val="1F1F1F"/>
          <w:spacing w:val="-16"/>
        </w:rPr>
        <w:t> </w:t>
      </w:r>
      <w:r>
        <w:rPr>
          <w:color w:val="1F1F1F"/>
        </w:rPr>
        <w:t>the</w:t>
      </w:r>
      <w:r>
        <w:rPr>
          <w:color w:val="1F1F1F"/>
          <w:spacing w:val="-15"/>
        </w:rPr>
        <w:t> </w:t>
      </w:r>
      <w:r>
        <w:rPr>
          <w:color w:val="1F1F1F"/>
        </w:rPr>
        <w:t>Council</w:t>
      </w:r>
      <w:r>
        <w:rPr>
          <w:color w:val="1F1F1F"/>
          <w:spacing w:val="-15"/>
        </w:rPr>
        <w:t> </w:t>
      </w:r>
      <w:r>
        <w:rPr>
          <w:color w:val="0C0C0C"/>
        </w:rPr>
        <w:t>approved</w:t>
      </w:r>
      <w:r>
        <w:rPr>
          <w:color w:val="0C0C0C"/>
          <w:spacing w:val="-10"/>
        </w:rPr>
        <w:t> </w:t>
      </w:r>
      <w:r>
        <w:rPr>
          <w:color w:val="0C0C0C"/>
        </w:rPr>
        <w:t>a</w:t>
      </w:r>
      <w:r>
        <w:rPr>
          <w:color w:val="0C0C0C"/>
          <w:spacing w:val="-16"/>
        </w:rPr>
        <w:t> </w:t>
      </w:r>
      <w:r>
        <w:rPr>
          <w:color w:val="1F1F1F"/>
        </w:rPr>
        <w:t>demolition</w:t>
      </w:r>
      <w:r>
        <w:rPr>
          <w:color w:val="1F1F1F"/>
          <w:spacing w:val="-5"/>
        </w:rPr>
        <w:t> </w:t>
      </w:r>
      <w:r>
        <w:rPr>
          <w:color w:val="1F1F1F"/>
        </w:rPr>
        <w:t>and</w:t>
      </w:r>
      <w:r>
        <w:rPr>
          <w:color w:val="1F1F1F"/>
          <w:spacing w:val="-16"/>
        </w:rPr>
        <w:t> </w:t>
      </w:r>
      <w:r>
        <w:rPr>
          <w:color w:val="0C0C0C"/>
        </w:rPr>
        <w:t>rebuild</w:t>
      </w:r>
      <w:r>
        <w:rPr>
          <w:color w:val="0C0C0C"/>
          <w:spacing w:val="-15"/>
        </w:rPr>
        <w:t> </w:t>
      </w:r>
      <w:r>
        <w:rPr>
          <w:color w:val="0C0C0C"/>
        </w:rPr>
        <w:t>project.</w:t>
      </w:r>
      <w:r>
        <w:rPr>
          <w:color w:val="0C0C0C"/>
          <w:spacing w:val="-3"/>
        </w:rPr>
        <w:t> </w:t>
      </w:r>
      <w:r>
        <w:rPr>
          <w:color w:val="0C0C0C"/>
        </w:rPr>
        <w:t>The </w:t>
      </w:r>
      <w:r>
        <w:rPr>
          <w:color w:val="1F1F1F"/>
        </w:rPr>
        <w:t>Council also agreed to provide a </w:t>
      </w:r>
      <w:r>
        <w:rPr>
          <w:color w:val="0C0C0C"/>
        </w:rPr>
        <w:t>letter </w:t>
      </w:r>
      <w:r>
        <w:rPr>
          <w:color w:val="1F1F1F"/>
        </w:rPr>
        <w:t>of financial support and a loan facility to</w:t>
      </w:r>
      <w:r>
        <w:rPr>
          <w:color w:val="1F1F1F"/>
          <w:spacing w:val="-1"/>
        </w:rPr>
        <w:t> </w:t>
      </w:r>
      <w:r>
        <w:rPr>
          <w:color w:val="0C0C0C"/>
        </w:rPr>
        <w:t>EFS</w:t>
      </w:r>
      <w:r>
        <w:rPr>
          <w:color w:val="444444"/>
        </w:rPr>
        <w:t>.</w:t>
      </w:r>
    </w:p>
    <w:p>
      <w:pPr>
        <w:pStyle w:val="BodyText"/>
        <w:spacing w:before="7"/>
      </w:pPr>
    </w:p>
    <w:p>
      <w:pPr>
        <w:pStyle w:val="BodyText"/>
        <w:ind w:left="1209" w:right="847" w:firstLine="7"/>
        <w:jc w:val="both"/>
      </w:pPr>
      <w:r>
        <w:rPr>
          <w:color w:val="0C0C0C"/>
        </w:rPr>
        <w:t>The Council have initially funded the clean up and remediation works and the apportionment</w:t>
      </w:r>
      <w:r>
        <w:rPr>
          <w:color w:val="0C0C0C"/>
          <w:spacing w:val="40"/>
        </w:rPr>
        <w:t> </w:t>
      </w:r>
      <w:r>
        <w:rPr>
          <w:color w:val="0C0C0C"/>
        </w:rPr>
        <w:t>of these</w:t>
      </w:r>
      <w:r>
        <w:rPr>
          <w:color w:val="0C0C0C"/>
          <w:spacing w:val="-4"/>
        </w:rPr>
        <w:t> </w:t>
      </w:r>
      <w:r>
        <w:rPr>
          <w:color w:val="0C0C0C"/>
        </w:rPr>
        <w:t>costs</w:t>
      </w:r>
      <w:r>
        <w:rPr>
          <w:color w:val="0C0C0C"/>
          <w:spacing w:val="-6"/>
        </w:rPr>
        <w:t> </w:t>
      </w:r>
      <w:r>
        <w:rPr>
          <w:color w:val="0C0C0C"/>
        </w:rPr>
        <w:t>will</w:t>
      </w:r>
      <w:r>
        <w:rPr>
          <w:color w:val="0C0C0C"/>
          <w:spacing w:val="-10"/>
        </w:rPr>
        <w:t> </w:t>
      </w:r>
      <w:r>
        <w:rPr>
          <w:color w:val="0C0C0C"/>
        </w:rPr>
        <w:t>be</w:t>
      </w:r>
      <w:r>
        <w:rPr>
          <w:color w:val="0C0C0C"/>
          <w:spacing w:val="-4"/>
        </w:rPr>
        <w:t> </w:t>
      </w:r>
      <w:r>
        <w:rPr>
          <w:color w:val="0C0C0C"/>
        </w:rPr>
        <w:t>agreed</w:t>
      </w:r>
      <w:r>
        <w:rPr>
          <w:color w:val="0C0C0C"/>
          <w:spacing w:val="-1"/>
        </w:rPr>
        <w:t> </w:t>
      </w:r>
      <w:r>
        <w:rPr>
          <w:color w:val="0C0C0C"/>
        </w:rPr>
        <w:t>between</w:t>
      </w:r>
      <w:r>
        <w:rPr>
          <w:color w:val="0C0C0C"/>
          <w:spacing w:val="-2"/>
        </w:rPr>
        <w:t> </w:t>
      </w:r>
      <w:r>
        <w:rPr>
          <w:color w:val="0C0C0C"/>
        </w:rPr>
        <w:t>the</w:t>
      </w:r>
      <w:r>
        <w:rPr>
          <w:color w:val="0C0C0C"/>
          <w:spacing w:val="-12"/>
        </w:rPr>
        <w:t> </w:t>
      </w:r>
      <w:r>
        <w:rPr>
          <w:color w:val="0C0C0C"/>
        </w:rPr>
        <w:t>Council</w:t>
      </w:r>
      <w:r>
        <w:rPr>
          <w:color w:val="0C0C0C"/>
          <w:spacing w:val="-4"/>
        </w:rPr>
        <w:t> </w:t>
      </w:r>
      <w:r>
        <w:rPr>
          <w:color w:val="0C0C0C"/>
        </w:rPr>
        <w:t>and</w:t>
      </w:r>
      <w:r>
        <w:rPr>
          <w:color w:val="0C0C0C"/>
          <w:spacing w:val="-15"/>
        </w:rPr>
        <w:t> </w:t>
      </w:r>
      <w:r>
        <w:rPr>
          <w:color w:val="0C0C0C"/>
        </w:rPr>
        <w:t>EFS</w:t>
      </w:r>
      <w:r>
        <w:rPr>
          <w:color w:val="0C0C0C"/>
          <w:spacing w:val="-1"/>
        </w:rPr>
        <w:t> </w:t>
      </w:r>
      <w:r>
        <w:rPr>
          <w:color w:val="0C0C0C"/>
        </w:rPr>
        <w:t>once</w:t>
      </w:r>
      <w:r>
        <w:rPr>
          <w:color w:val="0C0C0C"/>
          <w:spacing w:val="-9"/>
        </w:rPr>
        <w:t> </w:t>
      </w:r>
      <w:r>
        <w:rPr>
          <w:color w:val="0C0C0C"/>
        </w:rPr>
        <w:t>the</w:t>
      </w:r>
      <w:r>
        <w:rPr>
          <w:color w:val="0C0C0C"/>
          <w:spacing w:val="-6"/>
        </w:rPr>
        <w:t> </w:t>
      </w:r>
      <w:r>
        <w:rPr>
          <w:color w:val="0C0C0C"/>
        </w:rPr>
        <w:t>final</w:t>
      </w:r>
      <w:r>
        <w:rPr>
          <w:color w:val="0C0C0C"/>
          <w:spacing w:val="-12"/>
        </w:rPr>
        <w:t> </w:t>
      </w:r>
      <w:r>
        <w:rPr>
          <w:color w:val="0C0C0C"/>
        </w:rPr>
        <w:t>cost</w:t>
      </w:r>
      <w:r>
        <w:rPr>
          <w:color w:val="0C0C0C"/>
          <w:spacing w:val="-3"/>
        </w:rPr>
        <w:t> </w:t>
      </w:r>
      <w:r>
        <w:rPr>
          <w:color w:val="0C0C0C"/>
        </w:rPr>
        <w:t>position</w:t>
      </w:r>
      <w:r>
        <w:rPr>
          <w:color w:val="0C0C0C"/>
          <w:spacing w:val="-8"/>
        </w:rPr>
        <w:t> </w:t>
      </w:r>
      <w:r>
        <w:rPr>
          <w:color w:val="0C0C0C"/>
        </w:rPr>
        <w:t>is</w:t>
      </w:r>
      <w:r>
        <w:rPr>
          <w:color w:val="0C0C0C"/>
          <w:spacing w:val="-16"/>
        </w:rPr>
        <w:t> </w:t>
      </w:r>
      <w:r>
        <w:rPr>
          <w:color w:val="0C0C0C"/>
        </w:rPr>
        <w:t>known. The demolition and rebuild costs will be funded by the Council as the owner and landlord</w:t>
      </w:r>
      <w:r>
        <w:rPr>
          <w:color w:val="444444"/>
        </w:rPr>
        <w:t>.</w:t>
      </w:r>
    </w:p>
    <w:p>
      <w:pPr>
        <w:pStyle w:val="BodyText"/>
        <w:spacing w:before="251"/>
        <w:ind w:left="1197" w:right="855" w:firstLine="1"/>
        <w:jc w:val="both"/>
      </w:pPr>
      <w:r>
        <w:rPr>
          <w:color w:val="0C0C0C"/>
        </w:rPr>
        <w:t>Due to the Council's ongoing support the directors are confident of the Company's ability to continue trading as a going concern for the foreseeable future</w:t>
      </w:r>
      <w:r>
        <w:rPr>
          <w:color w:val="444444"/>
        </w:rPr>
        <w:t>.</w:t>
      </w:r>
    </w:p>
    <w:p>
      <w:pPr>
        <w:pStyle w:val="BodyText"/>
      </w:pPr>
    </w:p>
    <w:p>
      <w:pPr>
        <w:pStyle w:val="BodyText"/>
        <w:spacing w:line="276" w:lineRule="auto"/>
        <w:ind w:left="1172" w:right="870" w:firstLine="16"/>
        <w:jc w:val="both"/>
      </w:pPr>
      <w:r>
        <w:rPr>
          <w:color w:val="0C0C0C"/>
        </w:rPr>
        <w:t>Hertsmere Developments</w:t>
      </w:r>
      <w:r>
        <w:rPr>
          <w:color w:val="0C0C0C"/>
          <w:spacing w:val="27"/>
        </w:rPr>
        <w:t> </w:t>
      </w:r>
      <w:r>
        <w:rPr>
          <w:color w:val="0C0C0C"/>
        </w:rPr>
        <w:t>Limited</w:t>
      </w:r>
      <w:r>
        <w:rPr>
          <w:color w:val="0C0C0C"/>
          <w:spacing w:val="-2"/>
        </w:rPr>
        <w:t> </w:t>
      </w:r>
      <w:r>
        <w:rPr>
          <w:color w:val="0C0C0C"/>
        </w:rPr>
        <w:t>is</w:t>
      </w:r>
      <w:r>
        <w:rPr>
          <w:color w:val="0C0C0C"/>
          <w:spacing w:val="-8"/>
        </w:rPr>
        <w:t> </w:t>
      </w:r>
      <w:r>
        <w:rPr>
          <w:color w:val="0C0C0C"/>
        </w:rPr>
        <w:t>funded</w:t>
      </w:r>
      <w:r>
        <w:rPr>
          <w:color w:val="0C0C0C"/>
          <w:spacing w:val="-4"/>
        </w:rPr>
        <w:t> </w:t>
      </w:r>
      <w:r>
        <w:rPr>
          <w:color w:val="0C0C0C"/>
        </w:rPr>
        <w:t>by a</w:t>
      </w:r>
      <w:r>
        <w:rPr>
          <w:color w:val="0C0C0C"/>
          <w:spacing w:val="-1"/>
        </w:rPr>
        <w:t> </w:t>
      </w:r>
      <w:r>
        <w:rPr>
          <w:color w:val="0C0C0C"/>
        </w:rPr>
        <w:t>combination of</w:t>
      </w:r>
      <w:r>
        <w:rPr>
          <w:color w:val="0C0C0C"/>
          <w:spacing w:val="-2"/>
        </w:rPr>
        <w:t> </w:t>
      </w:r>
      <w:r>
        <w:rPr>
          <w:color w:val="0C0C0C"/>
        </w:rPr>
        <w:t>equity and</w:t>
      </w:r>
      <w:r>
        <w:rPr>
          <w:color w:val="0C0C0C"/>
          <w:spacing w:val="-4"/>
        </w:rPr>
        <w:t> </w:t>
      </w:r>
      <w:r>
        <w:rPr>
          <w:color w:val="0C0C0C"/>
        </w:rPr>
        <w:t>loan</w:t>
      </w:r>
      <w:r>
        <w:rPr>
          <w:color w:val="0C0C0C"/>
          <w:spacing w:val="-6"/>
        </w:rPr>
        <w:t> </w:t>
      </w:r>
      <w:r>
        <w:rPr>
          <w:color w:val="0C0C0C"/>
        </w:rPr>
        <w:t>funding provided by the Council. The company whilst operational is still</w:t>
      </w:r>
      <w:r>
        <w:rPr>
          <w:color w:val="0C0C0C"/>
          <w:spacing w:val="-5"/>
        </w:rPr>
        <w:t> </w:t>
      </w:r>
      <w:r>
        <w:rPr>
          <w:color w:val="0C0C0C"/>
        </w:rPr>
        <w:t>in</w:t>
      </w:r>
      <w:r>
        <w:rPr>
          <w:color w:val="0C0C0C"/>
          <w:spacing w:val="-7"/>
        </w:rPr>
        <w:t> </w:t>
      </w:r>
      <w:r>
        <w:rPr>
          <w:color w:val="0C0C0C"/>
        </w:rPr>
        <w:t>its</w:t>
      </w:r>
      <w:r>
        <w:rPr>
          <w:color w:val="0C0C0C"/>
          <w:spacing w:val="-2"/>
        </w:rPr>
        <w:t> </w:t>
      </w:r>
      <w:r>
        <w:rPr>
          <w:color w:val="0C0C0C"/>
        </w:rPr>
        <w:t>infancy with its first two development projects now underway and due to complete in 2023/24. The company's operational costs are funded via a flexible working capital loan facility and the two projects are funded by separate development loans which are repayable on sale of the completed units. The working capital loan will be repaid from development profits.</w:t>
      </w:r>
    </w:p>
    <w:p>
      <w:pPr>
        <w:pStyle w:val="BodyText"/>
        <w:spacing w:before="205" w:line="278" w:lineRule="auto"/>
        <w:ind w:left="1159" w:right="887"/>
        <w:jc w:val="both"/>
      </w:pPr>
      <w:r>
        <w:rPr>
          <w:color w:val="0C0C0C"/>
        </w:rPr>
        <w:t>Due to the Council's</w:t>
      </w:r>
      <w:r>
        <w:rPr>
          <w:color w:val="0C0C0C"/>
          <w:spacing w:val="21"/>
        </w:rPr>
        <w:t> </w:t>
      </w:r>
      <w:r>
        <w:rPr>
          <w:color w:val="0C0C0C"/>
        </w:rPr>
        <w:t>ongoing support the directors of HDL are confident</w:t>
      </w:r>
      <w:r>
        <w:rPr>
          <w:color w:val="0C0C0C"/>
          <w:spacing w:val="23"/>
        </w:rPr>
        <w:t> </w:t>
      </w:r>
      <w:r>
        <w:rPr>
          <w:color w:val="0C0C0C"/>
        </w:rPr>
        <w:t>of the Company's ability to continue trading as a going concern for the foreseeable future.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4"/>
        <w:rPr>
          <w:sz w:val="20"/>
        </w:rPr>
      </w:pPr>
      <w:r>
        <w:rPr/>
        <w:drawing>
          <wp:anchor distT="0" distB="0" distL="0" distR="0" simplePos="0" relativeHeight="487732224" behindDoc="1" locked="0" layoutInCell="1" allowOverlap="1">
            <wp:simplePos x="0" y="0"/>
            <wp:positionH relativeFrom="page">
              <wp:posOffset>36634</wp:posOffset>
            </wp:positionH>
            <wp:positionV relativeFrom="paragraph">
              <wp:posOffset>189217</wp:posOffset>
            </wp:positionV>
            <wp:extent cx="18296" cy="658368"/>
            <wp:effectExtent l="0" t="0" r="0" b="0"/>
            <wp:wrapTopAndBottom/>
            <wp:docPr id="651" name="Image 651"/>
            <wp:cNvGraphicFramePr>
              <a:graphicFrameLocks/>
            </wp:cNvGraphicFramePr>
            <a:graphic>
              <a:graphicData uri="http://schemas.openxmlformats.org/drawingml/2006/picture">
                <pic:pic>
                  <pic:nvPicPr>
                    <pic:cNvPr id="651" name="Image 651"/>
                    <pic:cNvPicPr/>
                  </pic:nvPicPr>
                  <pic:blipFill>
                    <a:blip r:embed="rId254" cstate="print"/>
                    <a:stretch>
                      <a:fillRect/>
                    </a:stretch>
                  </pic:blipFill>
                  <pic:spPr>
                    <a:xfrm>
                      <a:off x="0" y="0"/>
                      <a:ext cx="18296" cy="658368"/>
                    </a:xfrm>
                    <a:prstGeom prst="rect">
                      <a:avLst/>
                    </a:prstGeom>
                  </pic:spPr>
                </pic:pic>
              </a:graphicData>
            </a:graphic>
          </wp:anchor>
        </w:drawing>
      </w:r>
    </w:p>
    <w:p>
      <w:pPr>
        <w:spacing w:after="0"/>
        <w:rPr>
          <w:sz w:val="20"/>
        </w:rPr>
        <w:sectPr>
          <w:headerReference w:type="even" r:id="rId253"/>
          <w:pgSz w:w="11910" w:h="16830"/>
          <w:pgMar w:top="840" w:right="340" w:bottom="1180" w:left="0" w:header="0" w:footer="0"/>
        </w:sectPr>
      </w:pPr>
    </w:p>
    <w:p>
      <w:pPr>
        <w:pStyle w:val="ListParagraph"/>
        <w:numPr>
          <w:ilvl w:val="0"/>
          <w:numId w:val="27"/>
        </w:numPr>
        <w:tabs>
          <w:tab w:val="left" w:leader="none" w:pos="1858"/>
        </w:tabs>
        <w:spacing w:before="73" w:after="0" w:line="240" w:lineRule="auto"/>
        <w:ind w:left="1858" w:right="0" w:hanging="721"/>
        <w:jc w:val="left"/>
        <w:rPr>
          <w:rFonts w:ascii="Times New Roman"/>
          <w:color w:val="B3B3B3"/>
          <w:sz w:val="13"/>
        </w:rPr>
      </w:pPr>
      <w:r>
        <w:rPr>
          <w:rFonts w:ascii="Times New Roman"/>
          <w:color w:val="B3B3B3"/>
          <w:w w:val="115"/>
          <w:sz w:val="13"/>
        </w:rPr>
        <w:t>ul&lt;lil!F'</w:t>
      </w:r>
      <w:r>
        <w:rPr>
          <w:rFonts w:ascii="Times New Roman"/>
          <w:color w:val="B3B3B3"/>
          <w:spacing w:val="39"/>
          <w:w w:val="115"/>
          <w:sz w:val="13"/>
        </w:rPr>
        <w:t> </w:t>
      </w:r>
      <w:r>
        <w:rPr>
          <w:rFonts w:ascii="Times New Roman"/>
          <w:color w:val="B3B3B3"/>
          <w:w w:val="105"/>
          <w:sz w:val="13"/>
        </w:rPr>
        <w:t>AC:</w:t>
      </w:r>
      <w:r>
        <w:rPr>
          <w:rFonts w:ascii="Times New Roman"/>
          <w:color w:val="B3B3B3"/>
          <w:spacing w:val="-6"/>
          <w:w w:val="105"/>
          <w:sz w:val="13"/>
        </w:rPr>
        <w:t> </w:t>
      </w:r>
      <w:r>
        <w:rPr>
          <w:rFonts w:ascii="Times New Roman"/>
          <w:color w:val="B3B3B3"/>
          <w:w w:val="105"/>
          <w:sz w:val="13"/>
        </w:rPr>
        <w:t>L</w:t>
      </w:r>
      <w:r>
        <w:rPr>
          <w:rFonts w:ascii="Times New Roman"/>
          <w:color w:val="B3B3B3"/>
          <w:spacing w:val="26"/>
          <w:w w:val="115"/>
          <w:sz w:val="13"/>
        </w:rPr>
        <w:t> </w:t>
      </w:r>
      <w:r>
        <w:rPr>
          <w:rFonts w:ascii="Times New Roman"/>
          <w:color w:val="B3B3B3"/>
          <w:w w:val="115"/>
          <w:sz w:val="13"/>
        </w:rPr>
        <w:t>UliN</w:t>
      </w:r>
      <w:r>
        <w:rPr>
          <w:rFonts w:ascii="Times New Roman"/>
          <w:color w:val="B3B3B3"/>
          <w:spacing w:val="3"/>
          <w:w w:val="115"/>
          <w:sz w:val="13"/>
        </w:rPr>
        <w:t> </w:t>
      </w:r>
      <w:r>
        <w:rPr>
          <w:rFonts w:ascii="Times New Roman"/>
          <w:color w:val="B3B3B3"/>
          <w:w w:val="115"/>
          <w:sz w:val="13"/>
        </w:rPr>
        <w:t>l</w:t>
      </w:r>
      <w:r>
        <w:rPr>
          <w:rFonts w:ascii="Times New Roman"/>
          <w:color w:val="B3B3B3"/>
          <w:spacing w:val="-4"/>
          <w:w w:val="115"/>
          <w:sz w:val="13"/>
        </w:rPr>
        <w:t> </w:t>
      </w:r>
      <w:r>
        <w:rPr>
          <w:rFonts w:ascii="Times New Roman"/>
          <w:color w:val="C1C1C1"/>
          <w:w w:val="105"/>
          <w:sz w:val="13"/>
        </w:rPr>
        <w:t>:-</w:t>
      </w:r>
      <w:r>
        <w:rPr>
          <w:rFonts w:ascii="Times New Roman"/>
          <w:color w:val="C1C1C1"/>
          <w:spacing w:val="-10"/>
          <w:w w:val="105"/>
          <w:sz w:val="13"/>
        </w:rPr>
        <w:t>,</w:t>
      </w:r>
    </w:p>
    <w:p>
      <w:pPr>
        <w:pStyle w:val="BodyText"/>
        <w:spacing w:before="22"/>
        <w:rPr>
          <w:rFonts w:ascii="Times New Roman"/>
          <w:sz w:val="20"/>
        </w:rPr>
      </w:pPr>
    </w:p>
    <w:tbl>
      <w:tblPr>
        <w:tblW w:w="0" w:type="auto"/>
        <w:jc w:val="left"/>
        <w:tblInd w:w="36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919"/>
        <w:gridCol w:w="992"/>
        <w:gridCol w:w="1140"/>
        <w:gridCol w:w="1156"/>
        <w:gridCol w:w="1393"/>
        <w:gridCol w:w="1220"/>
        <w:gridCol w:w="1019"/>
        <w:gridCol w:w="1366"/>
        <w:gridCol w:w="1207"/>
        <w:gridCol w:w="873"/>
      </w:tblGrid>
      <w:tr>
        <w:trPr>
          <w:trHeight w:val="351" w:hRule="atLeast"/>
        </w:trPr>
        <w:tc>
          <w:tcPr>
            <w:tcW w:w="4919" w:type="dxa"/>
          </w:tcPr>
          <w:p>
            <w:pPr>
              <w:pStyle w:val="TableParagraph"/>
              <w:tabs>
                <w:tab w:val="left" w:leader="none" w:pos="659"/>
              </w:tabs>
              <w:spacing w:line="235" w:lineRule="exact"/>
              <w:ind w:left="50"/>
              <w:rPr>
                <w:b/>
                <w:sz w:val="21"/>
              </w:rPr>
            </w:pPr>
            <w:r>
              <w:rPr>
                <w:b/>
                <w:color w:val="111111"/>
                <w:spacing w:val="-5"/>
                <w:w w:val="105"/>
                <w:sz w:val="21"/>
              </w:rPr>
              <w:t>7.1</w:t>
            </w:r>
            <w:r>
              <w:rPr>
                <w:b/>
                <w:color w:val="111111"/>
                <w:sz w:val="21"/>
              </w:rPr>
              <w:tab/>
            </w:r>
            <w:r>
              <w:rPr>
                <w:b/>
                <w:color w:val="111111"/>
                <w:w w:val="105"/>
                <w:sz w:val="21"/>
              </w:rPr>
              <w:t>Group</w:t>
            </w:r>
            <w:r>
              <w:rPr>
                <w:b/>
                <w:color w:val="111111"/>
                <w:spacing w:val="-9"/>
                <w:w w:val="105"/>
                <w:sz w:val="21"/>
              </w:rPr>
              <w:t> </w:t>
            </w:r>
            <w:r>
              <w:rPr>
                <w:b/>
                <w:color w:val="111111"/>
                <w:w w:val="105"/>
                <w:sz w:val="21"/>
              </w:rPr>
              <w:t>Movement</w:t>
            </w:r>
            <w:r>
              <w:rPr>
                <w:b/>
                <w:color w:val="111111"/>
                <w:spacing w:val="-3"/>
                <w:w w:val="105"/>
                <w:sz w:val="21"/>
              </w:rPr>
              <w:t> </w:t>
            </w:r>
            <w:r>
              <w:rPr>
                <w:b/>
                <w:color w:val="111111"/>
                <w:w w:val="105"/>
                <w:sz w:val="21"/>
              </w:rPr>
              <w:t>in</w:t>
            </w:r>
            <w:r>
              <w:rPr>
                <w:b/>
                <w:color w:val="111111"/>
                <w:spacing w:val="-15"/>
                <w:w w:val="105"/>
                <w:sz w:val="21"/>
              </w:rPr>
              <w:t> </w:t>
            </w:r>
            <w:r>
              <w:rPr>
                <w:b/>
                <w:color w:val="111111"/>
                <w:w w:val="105"/>
                <w:sz w:val="21"/>
              </w:rPr>
              <w:t>Reserves</w:t>
            </w:r>
            <w:r>
              <w:rPr>
                <w:b/>
                <w:color w:val="111111"/>
                <w:spacing w:val="2"/>
                <w:w w:val="105"/>
                <w:sz w:val="21"/>
              </w:rPr>
              <w:t> </w:t>
            </w:r>
            <w:r>
              <w:rPr>
                <w:b/>
                <w:color w:val="111111"/>
                <w:spacing w:val="-2"/>
                <w:w w:val="105"/>
                <w:sz w:val="21"/>
              </w:rPr>
              <w:t>Statement</w:t>
            </w:r>
          </w:p>
        </w:tc>
        <w:tc>
          <w:tcPr>
            <w:tcW w:w="10366" w:type="dxa"/>
            <w:gridSpan w:val="9"/>
          </w:tcPr>
          <w:p>
            <w:pPr>
              <w:pStyle w:val="TableParagraph"/>
              <w:rPr>
                <w:rFonts w:ascii="Times New Roman"/>
                <w:sz w:val="16"/>
              </w:rPr>
            </w:pPr>
          </w:p>
        </w:tc>
      </w:tr>
      <w:tr>
        <w:trPr>
          <w:trHeight w:val="477" w:hRule="atLeast"/>
        </w:trPr>
        <w:tc>
          <w:tcPr>
            <w:tcW w:w="4919" w:type="dxa"/>
          </w:tcPr>
          <w:p>
            <w:pPr>
              <w:pStyle w:val="TableParagraph"/>
              <w:rPr>
                <w:rFonts w:ascii="Times New Roman"/>
                <w:sz w:val="16"/>
              </w:rPr>
            </w:pPr>
          </w:p>
        </w:tc>
        <w:tc>
          <w:tcPr>
            <w:tcW w:w="992" w:type="dxa"/>
          </w:tcPr>
          <w:p>
            <w:pPr>
              <w:pStyle w:val="TableParagraph"/>
              <w:spacing w:before="105"/>
              <w:rPr>
                <w:rFonts w:ascii="Times New Roman"/>
                <w:sz w:val="16"/>
              </w:rPr>
            </w:pPr>
          </w:p>
          <w:p>
            <w:pPr>
              <w:pStyle w:val="TableParagraph"/>
              <w:spacing w:line="168" w:lineRule="exact"/>
              <w:ind w:left="100"/>
              <w:rPr>
                <w:sz w:val="16"/>
              </w:rPr>
            </w:pPr>
            <w:r>
              <w:rPr>
                <w:color w:val="111111"/>
                <w:spacing w:val="-2"/>
                <w:w w:val="110"/>
                <w:sz w:val="16"/>
              </w:rPr>
              <w:t>Capital</w:t>
            </w:r>
          </w:p>
        </w:tc>
        <w:tc>
          <w:tcPr>
            <w:tcW w:w="1140" w:type="dxa"/>
          </w:tcPr>
          <w:p>
            <w:pPr>
              <w:pStyle w:val="TableParagraph"/>
              <w:spacing w:before="105"/>
              <w:rPr>
                <w:rFonts w:ascii="Times New Roman"/>
                <w:sz w:val="16"/>
              </w:rPr>
            </w:pPr>
          </w:p>
          <w:p>
            <w:pPr>
              <w:pStyle w:val="TableParagraph"/>
              <w:spacing w:line="168" w:lineRule="exact"/>
              <w:ind w:left="248"/>
              <w:rPr>
                <w:sz w:val="16"/>
              </w:rPr>
            </w:pPr>
            <w:r>
              <w:rPr>
                <w:color w:val="111111"/>
                <w:spacing w:val="-2"/>
                <w:w w:val="105"/>
                <w:sz w:val="16"/>
              </w:rPr>
              <w:t>Capital</w:t>
            </w:r>
          </w:p>
        </w:tc>
        <w:tc>
          <w:tcPr>
            <w:tcW w:w="1156" w:type="dxa"/>
          </w:tcPr>
          <w:p>
            <w:pPr>
              <w:pStyle w:val="TableParagraph"/>
              <w:spacing w:before="94" w:line="182" w:lineRule="exact"/>
              <w:ind w:left="248" w:firstLine="71"/>
              <w:rPr>
                <w:sz w:val="16"/>
              </w:rPr>
            </w:pPr>
            <w:r>
              <w:rPr>
                <w:color w:val="111111"/>
                <w:spacing w:val="-2"/>
                <w:w w:val="110"/>
                <w:sz w:val="16"/>
              </w:rPr>
              <w:t>Total </w:t>
            </w:r>
            <w:r>
              <w:rPr>
                <w:color w:val="111111"/>
                <w:spacing w:val="-2"/>
                <w:sz w:val="16"/>
              </w:rPr>
              <w:t>Usable</w:t>
            </w:r>
          </w:p>
        </w:tc>
        <w:tc>
          <w:tcPr>
            <w:tcW w:w="1393" w:type="dxa"/>
          </w:tcPr>
          <w:p>
            <w:pPr>
              <w:pStyle w:val="TableParagraph"/>
              <w:spacing w:before="110"/>
              <w:rPr>
                <w:rFonts w:ascii="Times New Roman"/>
                <w:sz w:val="16"/>
              </w:rPr>
            </w:pPr>
          </w:p>
          <w:p>
            <w:pPr>
              <w:pStyle w:val="TableParagraph"/>
              <w:spacing w:line="163" w:lineRule="exact"/>
              <w:ind w:left="174"/>
              <w:rPr>
                <w:sz w:val="16"/>
              </w:rPr>
            </w:pPr>
            <w:r>
              <w:rPr>
                <w:color w:val="111111"/>
                <w:spacing w:val="-2"/>
                <w:w w:val="110"/>
                <w:sz w:val="16"/>
              </w:rPr>
              <w:t>Subsidiaries</w:t>
            </w:r>
          </w:p>
        </w:tc>
        <w:tc>
          <w:tcPr>
            <w:tcW w:w="1220" w:type="dxa"/>
          </w:tcPr>
          <w:p>
            <w:pPr>
              <w:pStyle w:val="TableParagraph"/>
              <w:spacing w:before="110"/>
              <w:rPr>
                <w:rFonts w:ascii="Times New Roman"/>
                <w:sz w:val="16"/>
              </w:rPr>
            </w:pPr>
          </w:p>
          <w:p>
            <w:pPr>
              <w:pStyle w:val="TableParagraph"/>
              <w:spacing w:line="163" w:lineRule="exact"/>
              <w:ind w:right="142"/>
              <w:jc w:val="right"/>
              <w:rPr>
                <w:sz w:val="16"/>
              </w:rPr>
            </w:pPr>
            <w:r>
              <w:rPr>
                <w:color w:val="111111"/>
                <w:w w:val="105"/>
                <w:sz w:val="16"/>
              </w:rPr>
              <w:t>Total</w:t>
            </w:r>
            <w:r>
              <w:rPr>
                <w:color w:val="111111"/>
                <w:spacing w:val="3"/>
                <w:w w:val="105"/>
                <w:sz w:val="16"/>
              </w:rPr>
              <w:t> </w:t>
            </w:r>
            <w:r>
              <w:rPr>
                <w:color w:val="111111"/>
                <w:spacing w:val="-2"/>
                <w:w w:val="105"/>
                <w:sz w:val="16"/>
              </w:rPr>
              <w:t>Usable</w:t>
            </w:r>
          </w:p>
        </w:tc>
        <w:tc>
          <w:tcPr>
            <w:tcW w:w="1019" w:type="dxa"/>
          </w:tcPr>
          <w:p>
            <w:pPr>
              <w:pStyle w:val="TableParagraph"/>
              <w:spacing w:before="94" w:line="182" w:lineRule="exact"/>
              <w:ind w:left="120" w:firstLine="172"/>
              <w:rPr>
                <w:sz w:val="16"/>
              </w:rPr>
            </w:pPr>
            <w:r>
              <w:rPr>
                <w:color w:val="111111"/>
                <w:spacing w:val="-2"/>
                <w:w w:val="105"/>
                <w:sz w:val="16"/>
              </w:rPr>
              <w:t>Total Unusable</w:t>
            </w:r>
          </w:p>
        </w:tc>
        <w:tc>
          <w:tcPr>
            <w:tcW w:w="1366" w:type="dxa"/>
          </w:tcPr>
          <w:p>
            <w:pPr>
              <w:pStyle w:val="TableParagraph"/>
              <w:spacing w:before="110"/>
              <w:rPr>
                <w:rFonts w:ascii="Times New Roman"/>
                <w:sz w:val="16"/>
              </w:rPr>
            </w:pPr>
          </w:p>
          <w:p>
            <w:pPr>
              <w:pStyle w:val="TableParagraph"/>
              <w:spacing w:line="163" w:lineRule="exact"/>
              <w:ind w:left="135"/>
              <w:rPr>
                <w:sz w:val="16"/>
              </w:rPr>
            </w:pPr>
            <w:r>
              <w:rPr>
                <w:color w:val="111111"/>
                <w:spacing w:val="-2"/>
                <w:w w:val="110"/>
                <w:sz w:val="16"/>
              </w:rPr>
              <w:t>Subsidiaries</w:t>
            </w:r>
          </w:p>
        </w:tc>
        <w:tc>
          <w:tcPr>
            <w:tcW w:w="1207" w:type="dxa"/>
          </w:tcPr>
          <w:p>
            <w:pPr>
              <w:pStyle w:val="TableParagraph"/>
              <w:spacing w:before="94" w:line="182" w:lineRule="exact"/>
              <w:ind w:left="178" w:firstLine="172"/>
              <w:rPr>
                <w:sz w:val="16"/>
              </w:rPr>
            </w:pPr>
            <w:r>
              <w:rPr>
                <w:color w:val="111111"/>
                <w:spacing w:val="-2"/>
                <w:w w:val="110"/>
                <w:sz w:val="16"/>
              </w:rPr>
              <w:t>Total </w:t>
            </w:r>
            <w:r>
              <w:rPr>
                <w:color w:val="111111"/>
                <w:spacing w:val="-2"/>
                <w:sz w:val="16"/>
              </w:rPr>
              <w:t>Unusable</w:t>
            </w:r>
          </w:p>
        </w:tc>
        <w:tc>
          <w:tcPr>
            <w:tcW w:w="873" w:type="dxa"/>
          </w:tcPr>
          <w:p>
            <w:pPr>
              <w:pStyle w:val="TableParagraph"/>
              <w:spacing w:before="94" w:line="182" w:lineRule="exact"/>
              <w:ind w:left="119" w:firstLine="159"/>
              <w:rPr>
                <w:sz w:val="16"/>
              </w:rPr>
            </w:pPr>
            <w:r>
              <w:rPr>
                <w:color w:val="111111"/>
                <w:spacing w:val="-2"/>
                <w:w w:val="110"/>
                <w:sz w:val="16"/>
              </w:rPr>
              <w:t>Total </w:t>
            </w:r>
            <w:r>
              <w:rPr>
                <w:color w:val="111111"/>
                <w:spacing w:val="-2"/>
                <w:sz w:val="16"/>
              </w:rPr>
              <w:t>Authority</w:t>
            </w:r>
          </w:p>
        </w:tc>
      </w:tr>
      <w:tr>
        <w:trPr>
          <w:trHeight w:val="185" w:hRule="atLeast"/>
        </w:trPr>
        <w:tc>
          <w:tcPr>
            <w:tcW w:w="4919" w:type="dxa"/>
          </w:tcPr>
          <w:p>
            <w:pPr>
              <w:pStyle w:val="TableParagraph"/>
              <w:spacing w:line="165" w:lineRule="exact"/>
              <w:ind w:right="304"/>
              <w:jc w:val="right"/>
              <w:rPr>
                <w:sz w:val="16"/>
              </w:rPr>
            </w:pPr>
            <w:r>
              <w:rPr>
                <w:color w:val="111111"/>
                <w:w w:val="105"/>
                <w:sz w:val="16"/>
              </w:rPr>
              <w:t>General</w:t>
            </w:r>
            <w:r>
              <w:rPr>
                <w:color w:val="111111"/>
                <w:spacing w:val="-8"/>
                <w:w w:val="105"/>
                <w:sz w:val="16"/>
              </w:rPr>
              <w:t> </w:t>
            </w:r>
            <w:r>
              <w:rPr>
                <w:color w:val="111111"/>
                <w:spacing w:val="-4"/>
                <w:w w:val="110"/>
                <w:sz w:val="16"/>
              </w:rPr>
              <w:t>Fund</w:t>
            </w:r>
          </w:p>
        </w:tc>
        <w:tc>
          <w:tcPr>
            <w:tcW w:w="992" w:type="dxa"/>
          </w:tcPr>
          <w:p>
            <w:pPr>
              <w:pStyle w:val="TableParagraph"/>
              <w:spacing w:line="165" w:lineRule="exact"/>
              <w:ind w:left="33"/>
              <w:rPr>
                <w:sz w:val="16"/>
              </w:rPr>
            </w:pPr>
            <w:r>
              <w:rPr>
                <w:color w:val="111111"/>
                <w:spacing w:val="-2"/>
                <w:w w:val="110"/>
                <w:sz w:val="16"/>
              </w:rPr>
              <w:t>Receipts</w:t>
            </w:r>
          </w:p>
        </w:tc>
        <w:tc>
          <w:tcPr>
            <w:tcW w:w="1140" w:type="dxa"/>
          </w:tcPr>
          <w:p>
            <w:pPr>
              <w:pStyle w:val="TableParagraph"/>
              <w:spacing w:line="165" w:lineRule="exact"/>
              <w:ind w:left="257"/>
              <w:rPr>
                <w:sz w:val="16"/>
              </w:rPr>
            </w:pPr>
            <w:r>
              <w:rPr>
                <w:color w:val="111111"/>
                <w:spacing w:val="-2"/>
                <w:w w:val="105"/>
                <w:sz w:val="16"/>
              </w:rPr>
              <w:t>Grants</w:t>
            </w:r>
          </w:p>
        </w:tc>
        <w:tc>
          <w:tcPr>
            <w:tcW w:w="1156" w:type="dxa"/>
          </w:tcPr>
          <w:p>
            <w:pPr>
              <w:pStyle w:val="TableParagraph"/>
              <w:spacing w:line="165" w:lineRule="exact"/>
              <w:ind w:left="156"/>
              <w:rPr>
                <w:sz w:val="16"/>
              </w:rPr>
            </w:pPr>
            <w:r>
              <w:rPr>
                <w:color w:val="111111"/>
                <w:spacing w:val="-2"/>
                <w:w w:val="105"/>
                <w:sz w:val="16"/>
              </w:rPr>
              <w:t>Reserves</w:t>
            </w:r>
          </w:p>
        </w:tc>
        <w:tc>
          <w:tcPr>
            <w:tcW w:w="1393" w:type="dxa"/>
          </w:tcPr>
          <w:p>
            <w:pPr>
              <w:pStyle w:val="TableParagraph"/>
              <w:spacing w:line="165" w:lineRule="exact"/>
              <w:ind w:left="390"/>
              <w:rPr>
                <w:sz w:val="16"/>
              </w:rPr>
            </w:pPr>
            <w:r>
              <w:rPr>
                <w:color w:val="111111"/>
                <w:spacing w:val="-2"/>
                <w:w w:val="105"/>
                <w:sz w:val="16"/>
              </w:rPr>
              <w:t>Usable</w:t>
            </w:r>
          </w:p>
        </w:tc>
        <w:tc>
          <w:tcPr>
            <w:tcW w:w="1220" w:type="dxa"/>
          </w:tcPr>
          <w:p>
            <w:pPr>
              <w:pStyle w:val="TableParagraph"/>
              <w:spacing w:line="165" w:lineRule="exact"/>
              <w:ind w:left="233"/>
              <w:rPr>
                <w:sz w:val="16"/>
              </w:rPr>
            </w:pPr>
            <w:r>
              <w:rPr>
                <w:color w:val="111111"/>
                <w:spacing w:val="-2"/>
                <w:w w:val="105"/>
                <w:sz w:val="16"/>
              </w:rPr>
              <w:t>Reserves</w:t>
            </w:r>
          </w:p>
        </w:tc>
        <w:tc>
          <w:tcPr>
            <w:tcW w:w="1019" w:type="dxa"/>
          </w:tcPr>
          <w:p>
            <w:pPr>
              <w:pStyle w:val="TableParagraph"/>
              <w:spacing w:line="165" w:lineRule="exact"/>
              <w:ind w:left="34" w:right="90"/>
              <w:jc w:val="center"/>
              <w:rPr>
                <w:sz w:val="16"/>
              </w:rPr>
            </w:pPr>
            <w:r>
              <w:rPr>
                <w:color w:val="111111"/>
                <w:spacing w:val="-2"/>
                <w:w w:val="105"/>
                <w:sz w:val="16"/>
              </w:rPr>
              <w:t>Reserves</w:t>
            </w:r>
          </w:p>
        </w:tc>
        <w:tc>
          <w:tcPr>
            <w:tcW w:w="1366" w:type="dxa"/>
          </w:tcPr>
          <w:p>
            <w:pPr>
              <w:pStyle w:val="TableParagraph"/>
              <w:spacing w:line="165" w:lineRule="exact"/>
              <w:ind w:left="250"/>
              <w:rPr>
                <w:sz w:val="16"/>
              </w:rPr>
            </w:pPr>
            <w:r>
              <w:rPr>
                <w:color w:val="111111"/>
                <w:spacing w:val="-2"/>
                <w:w w:val="105"/>
                <w:sz w:val="16"/>
              </w:rPr>
              <w:t>Unusable</w:t>
            </w:r>
          </w:p>
        </w:tc>
        <w:tc>
          <w:tcPr>
            <w:tcW w:w="1207" w:type="dxa"/>
          </w:tcPr>
          <w:p>
            <w:pPr>
              <w:pStyle w:val="TableParagraph"/>
              <w:spacing w:line="165" w:lineRule="exact"/>
              <w:ind w:left="183"/>
              <w:rPr>
                <w:sz w:val="16"/>
              </w:rPr>
            </w:pPr>
            <w:r>
              <w:rPr>
                <w:color w:val="111111"/>
                <w:spacing w:val="-2"/>
                <w:w w:val="105"/>
                <w:sz w:val="16"/>
              </w:rPr>
              <w:t>Reserves</w:t>
            </w:r>
          </w:p>
        </w:tc>
        <w:tc>
          <w:tcPr>
            <w:tcW w:w="873" w:type="dxa"/>
          </w:tcPr>
          <w:p>
            <w:pPr>
              <w:pStyle w:val="TableParagraph"/>
              <w:spacing w:line="165" w:lineRule="exact"/>
              <w:ind w:right="48"/>
              <w:jc w:val="right"/>
              <w:rPr>
                <w:sz w:val="16"/>
              </w:rPr>
            </w:pPr>
            <w:r>
              <w:rPr>
                <w:color w:val="111111"/>
                <w:spacing w:val="-2"/>
                <w:w w:val="105"/>
                <w:sz w:val="16"/>
              </w:rPr>
              <w:t>Reserves</w:t>
            </w:r>
          </w:p>
        </w:tc>
      </w:tr>
      <w:tr>
        <w:trPr>
          <w:trHeight w:val="259" w:hRule="atLeast"/>
        </w:trPr>
        <w:tc>
          <w:tcPr>
            <w:tcW w:w="4919" w:type="dxa"/>
          </w:tcPr>
          <w:p>
            <w:pPr>
              <w:pStyle w:val="TableParagraph"/>
              <w:spacing w:line="181" w:lineRule="exact"/>
              <w:ind w:right="523"/>
              <w:jc w:val="right"/>
              <w:rPr>
                <w:sz w:val="16"/>
              </w:rPr>
            </w:pPr>
            <w:r>
              <w:rPr>
                <w:color w:val="111111"/>
                <w:spacing w:val="-2"/>
                <w:w w:val="105"/>
                <w:sz w:val="16"/>
              </w:rPr>
              <w:t>Balance</w:t>
            </w:r>
          </w:p>
        </w:tc>
        <w:tc>
          <w:tcPr>
            <w:tcW w:w="992" w:type="dxa"/>
          </w:tcPr>
          <w:p>
            <w:pPr>
              <w:pStyle w:val="TableParagraph"/>
              <w:spacing w:line="181" w:lineRule="exact"/>
              <w:ind w:left="57"/>
              <w:rPr>
                <w:sz w:val="16"/>
              </w:rPr>
            </w:pPr>
            <w:r>
              <w:rPr>
                <w:color w:val="111111"/>
                <w:spacing w:val="-2"/>
                <w:w w:val="105"/>
                <w:sz w:val="16"/>
              </w:rPr>
              <w:t>Reserve</w:t>
            </w:r>
          </w:p>
        </w:tc>
        <w:tc>
          <w:tcPr>
            <w:tcW w:w="1140" w:type="dxa"/>
          </w:tcPr>
          <w:p>
            <w:pPr>
              <w:pStyle w:val="TableParagraph"/>
              <w:spacing w:line="181" w:lineRule="exact"/>
              <w:ind w:right="232"/>
              <w:jc w:val="right"/>
              <w:rPr>
                <w:sz w:val="16"/>
              </w:rPr>
            </w:pPr>
            <w:r>
              <w:rPr>
                <w:color w:val="111111"/>
                <w:spacing w:val="-2"/>
                <w:w w:val="105"/>
                <w:sz w:val="16"/>
              </w:rPr>
              <w:t>Unapplied</w:t>
            </w:r>
          </w:p>
        </w:tc>
        <w:tc>
          <w:tcPr>
            <w:tcW w:w="1156" w:type="dxa"/>
          </w:tcPr>
          <w:p>
            <w:pPr>
              <w:pStyle w:val="TableParagraph"/>
              <w:spacing w:line="181" w:lineRule="exact"/>
              <w:ind w:left="339"/>
              <w:rPr>
                <w:sz w:val="16"/>
              </w:rPr>
            </w:pPr>
            <w:r>
              <w:rPr>
                <w:color w:val="111111"/>
                <w:spacing w:val="-5"/>
                <w:sz w:val="16"/>
              </w:rPr>
              <w:t>HBC</w:t>
            </w:r>
          </w:p>
        </w:tc>
        <w:tc>
          <w:tcPr>
            <w:tcW w:w="1393" w:type="dxa"/>
          </w:tcPr>
          <w:p>
            <w:pPr>
              <w:pStyle w:val="TableParagraph"/>
              <w:spacing w:line="181" w:lineRule="exact"/>
              <w:ind w:left="294"/>
              <w:rPr>
                <w:sz w:val="16"/>
              </w:rPr>
            </w:pPr>
            <w:r>
              <w:rPr>
                <w:color w:val="111111"/>
                <w:spacing w:val="-2"/>
                <w:w w:val="105"/>
                <w:sz w:val="16"/>
              </w:rPr>
              <w:t>Reserves</w:t>
            </w:r>
          </w:p>
        </w:tc>
        <w:tc>
          <w:tcPr>
            <w:tcW w:w="1220" w:type="dxa"/>
          </w:tcPr>
          <w:p>
            <w:pPr>
              <w:pStyle w:val="TableParagraph"/>
              <w:spacing w:line="181" w:lineRule="exact"/>
              <w:ind w:left="299"/>
              <w:rPr>
                <w:sz w:val="16"/>
              </w:rPr>
            </w:pPr>
            <w:r>
              <w:rPr>
                <w:color w:val="111111"/>
                <w:spacing w:val="-2"/>
                <w:w w:val="105"/>
                <w:sz w:val="16"/>
              </w:rPr>
              <w:t>(Group)</w:t>
            </w:r>
          </w:p>
        </w:tc>
        <w:tc>
          <w:tcPr>
            <w:tcW w:w="1019" w:type="dxa"/>
          </w:tcPr>
          <w:p>
            <w:pPr>
              <w:pStyle w:val="TableParagraph"/>
              <w:spacing w:line="181" w:lineRule="exact"/>
              <w:ind w:left="34" w:right="84"/>
              <w:jc w:val="center"/>
              <w:rPr>
                <w:sz w:val="16"/>
              </w:rPr>
            </w:pPr>
            <w:r>
              <w:rPr>
                <w:color w:val="111111"/>
                <w:spacing w:val="-5"/>
                <w:w w:val="105"/>
                <w:sz w:val="16"/>
              </w:rPr>
              <w:t>HBC</w:t>
            </w:r>
          </w:p>
        </w:tc>
        <w:tc>
          <w:tcPr>
            <w:tcW w:w="1366" w:type="dxa"/>
          </w:tcPr>
          <w:p>
            <w:pPr>
              <w:pStyle w:val="TableParagraph"/>
              <w:spacing w:line="181" w:lineRule="exact"/>
              <w:ind w:left="255"/>
              <w:rPr>
                <w:sz w:val="16"/>
              </w:rPr>
            </w:pPr>
            <w:r>
              <w:rPr>
                <w:color w:val="111111"/>
                <w:spacing w:val="-2"/>
                <w:w w:val="105"/>
                <w:sz w:val="16"/>
              </w:rPr>
              <w:t>Reserves</w:t>
            </w:r>
          </w:p>
        </w:tc>
        <w:tc>
          <w:tcPr>
            <w:tcW w:w="1207" w:type="dxa"/>
          </w:tcPr>
          <w:p>
            <w:pPr>
              <w:pStyle w:val="TableParagraph"/>
              <w:spacing w:line="181" w:lineRule="exact"/>
              <w:ind w:left="248"/>
              <w:rPr>
                <w:sz w:val="16"/>
              </w:rPr>
            </w:pPr>
            <w:r>
              <w:rPr>
                <w:color w:val="111111"/>
                <w:spacing w:val="-2"/>
                <w:w w:val="105"/>
                <w:sz w:val="16"/>
              </w:rPr>
              <w:t>(Group)</w:t>
            </w:r>
          </w:p>
        </w:tc>
        <w:tc>
          <w:tcPr>
            <w:tcW w:w="873" w:type="dxa"/>
          </w:tcPr>
          <w:p>
            <w:pPr>
              <w:pStyle w:val="TableParagraph"/>
              <w:spacing w:line="181" w:lineRule="exact"/>
              <w:ind w:left="176"/>
              <w:rPr>
                <w:sz w:val="16"/>
              </w:rPr>
            </w:pPr>
            <w:r>
              <w:rPr>
                <w:color w:val="111111"/>
                <w:spacing w:val="-2"/>
                <w:w w:val="105"/>
                <w:sz w:val="16"/>
              </w:rPr>
              <w:t>(Group)</w:t>
            </w:r>
          </w:p>
        </w:tc>
      </w:tr>
      <w:tr>
        <w:trPr>
          <w:trHeight w:val="377" w:hRule="atLeast"/>
        </w:trPr>
        <w:tc>
          <w:tcPr>
            <w:tcW w:w="4919" w:type="dxa"/>
          </w:tcPr>
          <w:p>
            <w:pPr>
              <w:pStyle w:val="TableParagraph"/>
              <w:spacing w:before="73"/>
              <w:ind w:right="654"/>
              <w:jc w:val="right"/>
              <w:rPr>
                <w:sz w:val="16"/>
              </w:rPr>
            </w:pPr>
            <w:r>
              <w:rPr>
                <w:color w:val="111111"/>
                <w:spacing w:val="-4"/>
                <w:sz w:val="16"/>
              </w:rPr>
              <w:t>£000</w:t>
            </w:r>
          </w:p>
        </w:tc>
        <w:tc>
          <w:tcPr>
            <w:tcW w:w="992" w:type="dxa"/>
          </w:tcPr>
          <w:p>
            <w:pPr>
              <w:pStyle w:val="TableParagraph"/>
              <w:spacing w:before="73"/>
              <w:ind w:left="192"/>
              <w:rPr>
                <w:sz w:val="16"/>
              </w:rPr>
            </w:pPr>
            <w:r>
              <w:rPr>
                <w:color w:val="111111"/>
                <w:spacing w:val="-4"/>
                <w:sz w:val="16"/>
              </w:rPr>
              <w:t>£000</w:t>
            </w:r>
          </w:p>
        </w:tc>
        <w:tc>
          <w:tcPr>
            <w:tcW w:w="1140" w:type="dxa"/>
          </w:tcPr>
          <w:p>
            <w:pPr>
              <w:pStyle w:val="TableParagraph"/>
              <w:spacing w:before="73"/>
              <w:ind w:left="340"/>
              <w:rPr>
                <w:sz w:val="16"/>
              </w:rPr>
            </w:pPr>
            <w:r>
              <w:rPr>
                <w:color w:val="111111"/>
                <w:spacing w:val="-4"/>
                <w:sz w:val="16"/>
              </w:rPr>
              <w:t>£000</w:t>
            </w:r>
          </w:p>
        </w:tc>
        <w:tc>
          <w:tcPr>
            <w:tcW w:w="1156" w:type="dxa"/>
          </w:tcPr>
          <w:p>
            <w:pPr>
              <w:pStyle w:val="TableParagraph"/>
              <w:spacing w:before="73"/>
              <w:ind w:left="335"/>
              <w:rPr>
                <w:sz w:val="16"/>
              </w:rPr>
            </w:pPr>
            <w:r>
              <w:rPr>
                <w:color w:val="111111"/>
                <w:spacing w:val="-4"/>
                <w:sz w:val="16"/>
              </w:rPr>
              <w:t>£000</w:t>
            </w:r>
          </w:p>
        </w:tc>
        <w:tc>
          <w:tcPr>
            <w:tcW w:w="1393" w:type="dxa"/>
          </w:tcPr>
          <w:p>
            <w:pPr>
              <w:pStyle w:val="TableParagraph"/>
              <w:spacing w:before="73"/>
              <w:ind w:right="83"/>
              <w:jc w:val="center"/>
              <w:rPr>
                <w:sz w:val="16"/>
              </w:rPr>
            </w:pPr>
            <w:r>
              <w:rPr>
                <w:color w:val="111111"/>
                <w:spacing w:val="-4"/>
                <w:sz w:val="16"/>
              </w:rPr>
              <w:t>£000</w:t>
            </w:r>
          </w:p>
        </w:tc>
        <w:tc>
          <w:tcPr>
            <w:tcW w:w="1220" w:type="dxa"/>
          </w:tcPr>
          <w:p>
            <w:pPr>
              <w:pStyle w:val="TableParagraph"/>
              <w:spacing w:before="73"/>
              <w:ind w:right="29"/>
              <w:jc w:val="center"/>
              <w:rPr>
                <w:sz w:val="16"/>
              </w:rPr>
            </w:pPr>
            <w:r>
              <w:rPr>
                <w:color w:val="111111"/>
                <w:spacing w:val="-4"/>
                <w:sz w:val="16"/>
              </w:rPr>
              <w:t>£000</w:t>
            </w:r>
          </w:p>
        </w:tc>
        <w:tc>
          <w:tcPr>
            <w:tcW w:w="1019" w:type="dxa"/>
          </w:tcPr>
          <w:p>
            <w:pPr>
              <w:pStyle w:val="TableParagraph"/>
              <w:spacing w:before="78"/>
              <w:ind w:left="34" w:right="82"/>
              <w:jc w:val="center"/>
              <w:rPr>
                <w:sz w:val="16"/>
              </w:rPr>
            </w:pPr>
            <w:r>
              <w:rPr>
                <w:color w:val="111111"/>
                <w:spacing w:val="-4"/>
                <w:sz w:val="16"/>
              </w:rPr>
              <w:t>£000</w:t>
            </w:r>
          </w:p>
        </w:tc>
        <w:tc>
          <w:tcPr>
            <w:tcW w:w="1366" w:type="dxa"/>
          </w:tcPr>
          <w:p>
            <w:pPr>
              <w:pStyle w:val="TableParagraph"/>
              <w:spacing w:before="73"/>
              <w:ind w:left="434"/>
              <w:rPr>
                <w:sz w:val="16"/>
              </w:rPr>
            </w:pPr>
            <w:r>
              <w:rPr>
                <w:color w:val="111111"/>
                <w:spacing w:val="-4"/>
                <w:sz w:val="16"/>
              </w:rPr>
              <w:t>£000</w:t>
            </w:r>
          </w:p>
        </w:tc>
        <w:tc>
          <w:tcPr>
            <w:tcW w:w="1207" w:type="dxa"/>
          </w:tcPr>
          <w:p>
            <w:pPr>
              <w:pStyle w:val="TableParagraph"/>
              <w:spacing w:before="73"/>
              <w:ind w:left="367"/>
              <w:rPr>
                <w:sz w:val="16"/>
              </w:rPr>
            </w:pPr>
            <w:r>
              <w:rPr>
                <w:color w:val="111111"/>
                <w:spacing w:val="-4"/>
                <w:sz w:val="16"/>
              </w:rPr>
              <w:t>£000</w:t>
            </w:r>
          </w:p>
        </w:tc>
        <w:tc>
          <w:tcPr>
            <w:tcW w:w="873" w:type="dxa"/>
          </w:tcPr>
          <w:p>
            <w:pPr>
              <w:pStyle w:val="TableParagraph"/>
              <w:spacing w:before="73"/>
              <w:ind w:left="290"/>
              <w:rPr>
                <w:sz w:val="16"/>
              </w:rPr>
            </w:pPr>
            <w:r>
              <w:rPr>
                <w:color w:val="111111"/>
                <w:spacing w:val="-4"/>
                <w:sz w:val="16"/>
              </w:rPr>
              <w:t>£000</w:t>
            </w:r>
          </w:p>
        </w:tc>
      </w:tr>
      <w:tr>
        <w:trPr>
          <w:trHeight w:val="338" w:hRule="atLeast"/>
        </w:trPr>
        <w:tc>
          <w:tcPr>
            <w:tcW w:w="4919" w:type="dxa"/>
          </w:tcPr>
          <w:p>
            <w:pPr>
              <w:pStyle w:val="TableParagraph"/>
              <w:tabs>
                <w:tab w:val="left" w:leader="none" w:pos="4016"/>
              </w:tabs>
              <w:spacing w:before="110"/>
              <w:ind w:left="249"/>
              <w:rPr>
                <w:sz w:val="16"/>
              </w:rPr>
            </w:pPr>
            <w:r>
              <w:rPr>
                <w:color w:val="111111"/>
                <w:w w:val="105"/>
                <w:sz w:val="16"/>
              </w:rPr>
              <w:t>Balance</w:t>
            </w:r>
            <w:r>
              <w:rPr>
                <w:color w:val="111111"/>
                <w:spacing w:val="-1"/>
                <w:w w:val="105"/>
                <w:sz w:val="16"/>
              </w:rPr>
              <w:t> </w:t>
            </w:r>
            <w:r>
              <w:rPr>
                <w:color w:val="111111"/>
                <w:w w:val="105"/>
                <w:sz w:val="16"/>
              </w:rPr>
              <w:t>at</w:t>
            </w:r>
            <w:r>
              <w:rPr>
                <w:color w:val="111111"/>
                <w:spacing w:val="-7"/>
                <w:w w:val="105"/>
                <w:sz w:val="16"/>
              </w:rPr>
              <w:t> </w:t>
            </w:r>
            <w:r>
              <w:rPr>
                <w:color w:val="111111"/>
                <w:w w:val="105"/>
                <w:sz w:val="16"/>
              </w:rPr>
              <w:t>31</w:t>
            </w:r>
            <w:r>
              <w:rPr>
                <w:color w:val="111111"/>
                <w:spacing w:val="-15"/>
                <w:w w:val="105"/>
                <w:sz w:val="16"/>
              </w:rPr>
              <w:t> </w:t>
            </w:r>
            <w:r>
              <w:rPr>
                <w:color w:val="111111"/>
                <w:w w:val="105"/>
                <w:sz w:val="16"/>
              </w:rPr>
              <w:t>March</w:t>
            </w:r>
            <w:r>
              <w:rPr>
                <w:color w:val="111111"/>
                <w:spacing w:val="1"/>
                <w:w w:val="105"/>
                <w:sz w:val="16"/>
              </w:rPr>
              <w:t> </w:t>
            </w:r>
            <w:r>
              <w:rPr>
                <w:color w:val="111111"/>
                <w:spacing w:val="-4"/>
                <w:w w:val="105"/>
                <w:sz w:val="16"/>
              </w:rPr>
              <w:t>2021</w:t>
            </w:r>
            <w:r>
              <w:rPr>
                <w:color w:val="111111"/>
                <w:sz w:val="16"/>
              </w:rPr>
              <w:tab/>
            </w:r>
            <w:r>
              <w:rPr>
                <w:color w:val="111111"/>
                <w:spacing w:val="-2"/>
                <w:w w:val="105"/>
                <w:sz w:val="16"/>
              </w:rPr>
              <w:t>(44,015)</w:t>
            </w:r>
          </w:p>
        </w:tc>
        <w:tc>
          <w:tcPr>
            <w:tcW w:w="992" w:type="dxa"/>
          </w:tcPr>
          <w:p>
            <w:pPr>
              <w:pStyle w:val="TableParagraph"/>
              <w:spacing w:before="110"/>
              <w:ind w:right="161"/>
              <w:jc w:val="right"/>
              <w:rPr>
                <w:b/>
                <w:sz w:val="16"/>
              </w:rPr>
            </w:pPr>
            <w:r>
              <w:rPr>
                <w:b/>
                <w:color w:val="111111"/>
                <w:spacing w:val="-2"/>
                <w:sz w:val="16"/>
              </w:rPr>
              <w:t>(5,656)</w:t>
            </w:r>
          </w:p>
        </w:tc>
        <w:tc>
          <w:tcPr>
            <w:tcW w:w="1140" w:type="dxa"/>
          </w:tcPr>
          <w:p>
            <w:pPr>
              <w:pStyle w:val="TableParagraph"/>
              <w:spacing w:before="110"/>
              <w:ind w:right="164"/>
              <w:jc w:val="right"/>
              <w:rPr>
                <w:sz w:val="16"/>
              </w:rPr>
            </w:pPr>
            <w:r>
              <w:rPr>
                <w:color w:val="111111"/>
                <w:spacing w:val="-2"/>
                <w:sz w:val="16"/>
              </w:rPr>
              <w:t>(14,557)</w:t>
            </w:r>
          </w:p>
        </w:tc>
        <w:tc>
          <w:tcPr>
            <w:tcW w:w="1156" w:type="dxa"/>
          </w:tcPr>
          <w:p>
            <w:pPr>
              <w:pStyle w:val="TableParagraph"/>
              <w:spacing w:before="110"/>
              <w:ind w:right="185"/>
              <w:jc w:val="right"/>
              <w:rPr>
                <w:sz w:val="16"/>
              </w:rPr>
            </w:pPr>
            <w:r>
              <w:rPr>
                <w:color w:val="111111"/>
                <w:spacing w:val="-2"/>
                <w:sz w:val="16"/>
              </w:rPr>
              <w:t>(64,228)</w:t>
            </w:r>
          </w:p>
        </w:tc>
        <w:tc>
          <w:tcPr>
            <w:tcW w:w="1393" w:type="dxa"/>
          </w:tcPr>
          <w:p>
            <w:pPr>
              <w:pStyle w:val="TableParagraph"/>
              <w:spacing w:before="110"/>
              <w:ind w:right="122"/>
              <w:jc w:val="right"/>
              <w:rPr>
                <w:sz w:val="16"/>
              </w:rPr>
            </w:pPr>
            <w:r>
              <w:rPr>
                <w:color w:val="111111"/>
                <w:spacing w:val="-2"/>
                <w:sz w:val="16"/>
              </w:rPr>
              <w:t>(514)</w:t>
            </w:r>
          </w:p>
        </w:tc>
        <w:tc>
          <w:tcPr>
            <w:tcW w:w="1220" w:type="dxa"/>
          </w:tcPr>
          <w:p>
            <w:pPr>
              <w:pStyle w:val="TableParagraph"/>
              <w:spacing w:before="110"/>
              <w:ind w:right="130"/>
              <w:jc w:val="right"/>
              <w:rPr>
                <w:sz w:val="16"/>
              </w:rPr>
            </w:pPr>
            <w:r>
              <w:rPr>
                <w:color w:val="111111"/>
                <w:spacing w:val="-2"/>
                <w:sz w:val="16"/>
              </w:rPr>
              <w:t>(64,742)</w:t>
            </w:r>
          </w:p>
        </w:tc>
        <w:tc>
          <w:tcPr>
            <w:tcW w:w="1019" w:type="dxa"/>
          </w:tcPr>
          <w:p>
            <w:pPr>
              <w:pStyle w:val="TableParagraph"/>
              <w:spacing w:before="110"/>
              <w:ind w:left="178" w:right="56"/>
              <w:jc w:val="center"/>
              <w:rPr>
                <w:sz w:val="16"/>
              </w:rPr>
            </w:pPr>
            <w:r>
              <w:rPr>
                <w:color w:val="111111"/>
                <w:spacing w:val="-2"/>
                <w:sz w:val="16"/>
              </w:rPr>
              <w:t>(94,211)</w:t>
            </w:r>
          </w:p>
        </w:tc>
        <w:tc>
          <w:tcPr>
            <w:tcW w:w="1366" w:type="dxa"/>
          </w:tcPr>
          <w:p>
            <w:pPr>
              <w:pStyle w:val="TableParagraph"/>
              <w:spacing w:before="110"/>
              <w:ind w:right="207"/>
              <w:jc w:val="right"/>
              <w:rPr>
                <w:sz w:val="16"/>
              </w:rPr>
            </w:pPr>
            <w:r>
              <w:rPr>
                <w:color w:val="111111"/>
                <w:spacing w:val="-2"/>
                <w:sz w:val="16"/>
              </w:rPr>
              <w:t>(107)</w:t>
            </w:r>
          </w:p>
        </w:tc>
        <w:tc>
          <w:tcPr>
            <w:tcW w:w="1207" w:type="dxa"/>
          </w:tcPr>
          <w:p>
            <w:pPr>
              <w:pStyle w:val="TableParagraph"/>
              <w:spacing w:before="110"/>
              <w:ind w:right="139"/>
              <w:jc w:val="right"/>
              <w:rPr>
                <w:sz w:val="16"/>
              </w:rPr>
            </w:pPr>
            <w:r>
              <w:rPr>
                <w:color w:val="111111"/>
                <w:spacing w:val="-2"/>
                <w:sz w:val="16"/>
              </w:rPr>
              <w:t>(94,318)</w:t>
            </w:r>
          </w:p>
        </w:tc>
        <w:tc>
          <w:tcPr>
            <w:tcW w:w="873" w:type="dxa"/>
          </w:tcPr>
          <w:p>
            <w:pPr>
              <w:pStyle w:val="TableParagraph"/>
              <w:spacing w:before="110"/>
              <w:ind w:right="26"/>
              <w:jc w:val="right"/>
              <w:rPr>
                <w:sz w:val="16"/>
              </w:rPr>
            </w:pPr>
            <w:r>
              <w:rPr>
                <w:color w:val="111111"/>
                <w:spacing w:val="-2"/>
                <w:sz w:val="16"/>
              </w:rPr>
              <w:t>(159,060)</w:t>
            </w:r>
          </w:p>
        </w:tc>
      </w:tr>
      <w:tr>
        <w:trPr>
          <w:trHeight w:val="385" w:hRule="atLeast"/>
        </w:trPr>
        <w:tc>
          <w:tcPr>
            <w:tcW w:w="4919" w:type="dxa"/>
            <w:tcBorders>
              <w:bottom w:val="single" w:color="000000" w:sz="2" w:space="0"/>
            </w:tcBorders>
          </w:tcPr>
          <w:p>
            <w:pPr>
              <w:pStyle w:val="TableParagraph"/>
              <w:spacing w:before="112"/>
              <w:ind w:left="247"/>
              <w:rPr>
                <w:sz w:val="16"/>
              </w:rPr>
            </w:pPr>
            <w:r>
              <w:rPr>
                <w:color w:val="111111"/>
                <w:sz w:val="16"/>
              </w:rPr>
              <w:t>Hertsmere</w:t>
            </w:r>
            <w:r>
              <w:rPr>
                <w:color w:val="111111"/>
                <w:spacing w:val="-9"/>
                <w:sz w:val="16"/>
              </w:rPr>
              <w:t> </w:t>
            </w:r>
            <w:r>
              <w:rPr>
                <w:color w:val="111111"/>
                <w:sz w:val="16"/>
              </w:rPr>
              <w:t>Developments</w:t>
            </w:r>
            <w:r>
              <w:rPr>
                <w:color w:val="111111"/>
                <w:spacing w:val="-4"/>
                <w:sz w:val="16"/>
              </w:rPr>
              <w:t> </w:t>
            </w:r>
            <w:r>
              <w:rPr>
                <w:color w:val="111111"/>
                <w:spacing w:val="-2"/>
                <w:sz w:val="16"/>
              </w:rPr>
              <w:t>Limited</w:t>
            </w:r>
          </w:p>
        </w:tc>
        <w:tc>
          <w:tcPr>
            <w:tcW w:w="992" w:type="dxa"/>
            <w:tcBorders>
              <w:bottom w:val="single" w:color="000000" w:sz="2" w:space="0"/>
            </w:tcBorders>
          </w:tcPr>
          <w:p>
            <w:pPr>
              <w:pStyle w:val="TableParagraph"/>
              <w:spacing w:before="34"/>
              <w:ind w:right="133"/>
              <w:jc w:val="right"/>
              <w:rPr>
                <w:rFonts w:ascii="Times New Roman"/>
                <w:sz w:val="26"/>
              </w:rPr>
            </w:pPr>
            <w:r>
              <w:rPr>
                <w:rFonts w:ascii="Times New Roman"/>
                <w:color w:val="4F4F4F"/>
                <w:spacing w:val="-10"/>
                <w:sz w:val="26"/>
              </w:rPr>
              <w:t>-</w:t>
            </w:r>
          </w:p>
        </w:tc>
        <w:tc>
          <w:tcPr>
            <w:tcW w:w="1140" w:type="dxa"/>
            <w:tcBorders>
              <w:bottom w:val="single" w:color="000000" w:sz="2" w:space="0"/>
            </w:tcBorders>
          </w:tcPr>
          <w:p>
            <w:pPr>
              <w:pStyle w:val="TableParagraph"/>
              <w:rPr>
                <w:rFonts w:ascii="Times New Roman"/>
                <w:sz w:val="16"/>
              </w:rPr>
            </w:pPr>
          </w:p>
        </w:tc>
        <w:tc>
          <w:tcPr>
            <w:tcW w:w="1156" w:type="dxa"/>
            <w:tcBorders>
              <w:bottom w:val="single" w:color="000000" w:sz="2" w:space="0"/>
            </w:tcBorders>
          </w:tcPr>
          <w:p>
            <w:pPr>
              <w:pStyle w:val="TableParagraph"/>
              <w:rPr>
                <w:rFonts w:ascii="Times New Roman"/>
                <w:sz w:val="16"/>
              </w:rPr>
            </w:pPr>
          </w:p>
        </w:tc>
        <w:tc>
          <w:tcPr>
            <w:tcW w:w="1393" w:type="dxa"/>
            <w:tcBorders>
              <w:bottom w:val="single" w:color="000000" w:sz="2" w:space="0"/>
            </w:tcBorders>
          </w:tcPr>
          <w:p>
            <w:pPr>
              <w:pStyle w:val="TableParagraph"/>
              <w:spacing w:before="107"/>
              <w:ind w:right="161"/>
              <w:jc w:val="right"/>
              <w:rPr>
                <w:sz w:val="16"/>
              </w:rPr>
            </w:pPr>
            <w:r>
              <w:rPr>
                <w:color w:val="111111"/>
                <w:spacing w:val="-5"/>
                <w:sz w:val="16"/>
              </w:rPr>
              <w:t>267</w:t>
            </w:r>
          </w:p>
        </w:tc>
        <w:tc>
          <w:tcPr>
            <w:tcW w:w="1220" w:type="dxa"/>
            <w:tcBorders>
              <w:bottom w:val="single" w:color="000000" w:sz="2" w:space="0"/>
            </w:tcBorders>
          </w:tcPr>
          <w:p>
            <w:pPr>
              <w:pStyle w:val="TableParagraph"/>
              <w:spacing w:before="112"/>
              <w:ind w:right="169"/>
              <w:jc w:val="right"/>
              <w:rPr>
                <w:sz w:val="16"/>
              </w:rPr>
            </w:pPr>
            <w:r>
              <w:rPr>
                <w:color w:val="111111"/>
                <w:spacing w:val="-5"/>
                <w:sz w:val="16"/>
              </w:rPr>
              <w:t>267</w:t>
            </w:r>
          </w:p>
        </w:tc>
        <w:tc>
          <w:tcPr>
            <w:tcW w:w="1019" w:type="dxa"/>
            <w:tcBorders>
              <w:bottom w:val="single" w:color="000000" w:sz="2" w:space="0"/>
            </w:tcBorders>
          </w:tcPr>
          <w:p>
            <w:pPr>
              <w:pStyle w:val="TableParagraph"/>
              <w:rPr>
                <w:rFonts w:ascii="Times New Roman"/>
                <w:sz w:val="16"/>
              </w:rPr>
            </w:pPr>
          </w:p>
        </w:tc>
        <w:tc>
          <w:tcPr>
            <w:tcW w:w="1366" w:type="dxa"/>
            <w:tcBorders>
              <w:bottom w:val="single" w:color="000000" w:sz="2" w:space="0"/>
            </w:tcBorders>
          </w:tcPr>
          <w:p>
            <w:pPr>
              <w:pStyle w:val="TableParagraph"/>
              <w:rPr>
                <w:rFonts w:ascii="Times New Roman"/>
                <w:sz w:val="16"/>
              </w:rPr>
            </w:pPr>
          </w:p>
        </w:tc>
        <w:tc>
          <w:tcPr>
            <w:tcW w:w="1207" w:type="dxa"/>
            <w:tcBorders>
              <w:bottom w:val="single" w:color="000000" w:sz="2" w:space="0"/>
            </w:tcBorders>
          </w:tcPr>
          <w:p>
            <w:pPr>
              <w:pStyle w:val="TableParagraph"/>
              <w:rPr>
                <w:rFonts w:ascii="Times New Roman"/>
                <w:sz w:val="16"/>
              </w:rPr>
            </w:pPr>
          </w:p>
        </w:tc>
        <w:tc>
          <w:tcPr>
            <w:tcW w:w="873" w:type="dxa"/>
            <w:tcBorders>
              <w:bottom w:val="single" w:color="000000" w:sz="2" w:space="0"/>
            </w:tcBorders>
          </w:tcPr>
          <w:p>
            <w:pPr>
              <w:pStyle w:val="TableParagraph"/>
              <w:spacing w:before="107"/>
              <w:ind w:right="55"/>
              <w:jc w:val="right"/>
              <w:rPr>
                <w:sz w:val="16"/>
              </w:rPr>
            </w:pPr>
            <w:r>
              <w:rPr>
                <w:color w:val="111111"/>
                <w:spacing w:val="-5"/>
                <w:sz w:val="16"/>
              </w:rPr>
              <w:t>267</w:t>
            </w:r>
          </w:p>
        </w:tc>
      </w:tr>
      <w:tr>
        <w:trPr>
          <w:trHeight w:val="252" w:hRule="atLeast"/>
        </w:trPr>
        <w:tc>
          <w:tcPr>
            <w:tcW w:w="4919" w:type="dxa"/>
            <w:tcBorders>
              <w:top w:val="single" w:color="000000" w:sz="2" w:space="0"/>
            </w:tcBorders>
          </w:tcPr>
          <w:p>
            <w:pPr>
              <w:pStyle w:val="TableParagraph"/>
              <w:tabs>
                <w:tab w:val="left" w:leader="none" w:pos="4016"/>
              </w:tabs>
              <w:spacing w:before="63" w:line="168" w:lineRule="exact"/>
              <w:ind w:left="248"/>
              <w:rPr>
                <w:sz w:val="16"/>
              </w:rPr>
            </w:pPr>
            <w:r>
              <w:rPr>
                <w:color w:val="111111"/>
                <w:w w:val="105"/>
                <w:sz w:val="16"/>
              </w:rPr>
              <w:t>Restated balance at</w:t>
            </w:r>
            <w:r>
              <w:rPr>
                <w:color w:val="111111"/>
                <w:spacing w:val="-5"/>
                <w:w w:val="105"/>
                <w:sz w:val="16"/>
              </w:rPr>
              <w:t> </w:t>
            </w:r>
            <w:r>
              <w:rPr>
                <w:color w:val="111111"/>
                <w:w w:val="105"/>
                <w:sz w:val="16"/>
              </w:rPr>
              <w:t>1</w:t>
            </w:r>
            <w:r>
              <w:rPr>
                <w:color w:val="111111"/>
                <w:spacing w:val="4"/>
                <w:w w:val="105"/>
                <w:sz w:val="16"/>
              </w:rPr>
              <w:t> </w:t>
            </w:r>
            <w:r>
              <w:rPr>
                <w:color w:val="111111"/>
                <w:w w:val="105"/>
                <w:sz w:val="16"/>
              </w:rPr>
              <w:t>April</w:t>
            </w:r>
            <w:r>
              <w:rPr>
                <w:color w:val="111111"/>
                <w:spacing w:val="3"/>
                <w:w w:val="105"/>
                <w:sz w:val="16"/>
              </w:rPr>
              <w:t> </w:t>
            </w:r>
            <w:r>
              <w:rPr>
                <w:color w:val="111111"/>
                <w:spacing w:val="-4"/>
                <w:w w:val="105"/>
                <w:sz w:val="16"/>
              </w:rPr>
              <w:t>2021</w:t>
            </w:r>
            <w:r>
              <w:rPr>
                <w:color w:val="111111"/>
                <w:sz w:val="16"/>
              </w:rPr>
              <w:tab/>
            </w:r>
            <w:r>
              <w:rPr>
                <w:color w:val="111111"/>
                <w:spacing w:val="-2"/>
                <w:w w:val="105"/>
                <w:sz w:val="16"/>
              </w:rPr>
              <w:t>(44,015)</w:t>
            </w:r>
          </w:p>
        </w:tc>
        <w:tc>
          <w:tcPr>
            <w:tcW w:w="992" w:type="dxa"/>
            <w:tcBorders>
              <w:top w:val="single" w:color="000000" w:sz="2" w:space="0"/>
            </w:tcBorders>
          </w:tcPr>
          <w:p>
            <w:pPr>
              <w:pStyle w:val="TableParagraph"/>
              <w:spacing w:before="59" w:line="173" w:lineRule="exact"/>
              <w:ind w:right="161"/>
              <w:jc w:val="right"/>
              <w:rPr>
                <w:b/>
                <w:sz w:val="16"/>
              </w:rPr>
            </w:pPr>
            <w:r>
              <w:rPr>
                <w:b/>
                <w:color w:val="111111"/>
                <w:spacing w:val="-2"/>
                <w:sz w:val="16"/>
              </w:rPr>
              <w:t>(5,656)</w:t>
            </w:r>
          </w:p>
        </w:tc>
        <w:tc>
          <w:tcPr>
            <w:tcW w:w="1140" w:type="dxa"/>
            <w:tcBorders>
              <w:top w:val="single" w:color="000000" w:sz="2" w:space="0"/>
            </w:tcBorders>
          </w:tcPr>
          <w:p>
            <w:pPr>
              <w:pStyle w:val="TableParagraph"/>
              <w:spacing w:before="63" w:line="168" w:lineRule="exact"/>
              <w:ind w:right="164"/>
              <w:jc w:val="right"/>
              <w:rPr>
                <w:sz w:val="16"/>
              </w:rPr>
            </w:pPr>
            <w:r>
              <w:rPr>
                <w:color w:val="111111"/>
                <w:spacing w:val="-2"/>
                <w:sz w:val="16"/>
              </w:rPr>
              <w:t>(14,557)</w:t>
            </w:r>
          </w:p>
        </w:tc>
        <w:tc>
          <w:tcPr>
            <w:tcW w:w="1156" w:type="dxa"/>
            <w:tcBorders>
              <w:top w:val="single" w:color="000000" w:sz="2" w:space="0"/>
            </w:tcBorders>
          </w:tcPr>
          <w:p>
            <w:pPr>
              <w:pStyle w:val="TableParagraph"/>
              <w:spacing w:before="63" w:line="168" w:lineRule="exact"/>
              <w:ind w:right="185"/>
              <w:jc w:val="right"/>
              <w:rPr>
                <w:sz w:val="16"/>
              </w:rPr>
            </w:pPr>
            <w:r>
              <w:rPr>
                <w:color w:val="111111"/>
                <w:spacing w:val="-2"/>
                <w:sz w:val="16"/>
              </w:rPr>
              <w:t>(64,228)</w:t>
            </w:r>
          </w:p>
        </w:tc>
        <w:tc>
          <w:tcPr>
            <w:tcW w:w="1393" w:type="dxa"/>
            <w:tcBorders>
              <w:top w:val="single" w:color="000000" w:sz="2" w:space="0"/>
            </w:tcBorders>
          </w:tcPr>
          <w:p>
            <w:pPr>
              <w:pStyle w:val="TableParagraph"/>
              <w:spacing w:before="63" w:line="168" w:lineRule="exact"/>
              <w:ind w:right="122"/>
              <w:jc w:val="right"/>
              <w:rPr>
                <w:sz w:val="16"/>
              </w:rPr>
            </w:pPr>
            <w:r>
              <w:rPr>
                <w:color w:val="111111"/>
                <w:spacing w:val="-2"/>
                <w:sz w:val="16"/>
              </w:rPr>
              <w:t>(247)</w:t>
            </w:r>
          </w:p>
        </w:tc>
        <w:tc>
          <w:tcPr>
            <w:tcW w:w="1220" w:type="dxa"/>
            <w:tcBorders>
              <w:top w:val="single" w:color="000000" w:sz="2" w:space="0"/>
            </w:tcBorders>
          </w:tcPr>
          <w:p>
            <w:pPr>
              <w:pStyle w:val="TableParagraph"/>
              <w:spacing w:before="63" w:line="168" w:lineRule="exact"/>
              <w:ind w:right="129"/>
              <w:jc w:val="right"/>
              <w:rPr>
                <w:sz w:val="16"/>
              </w:rPr>
            </w:pPr>
            <w:r>
              <w:rPr>
                <w:color w:val="111111"/>
                <w:spacing w:val="-2"/>
                <w:sz w:val="16"/>
              </w:rPr>
              <w:t>(64,475)</w:t>
            </w:r>
          </w:p>
        </w:tc>
        <w:tc>
          <w:tcPr>
            <w:tcW w:w="1019" w:type="dxa"/>
            <w:tcBorders>
              <w:top w:val="single" w:color="000000" w:sz="2" w:space="0"/>
            </w:tcBorders>
          </w:tcPr>
          <w:p>
            <w:pPr>
              <w:pStyle w:val="TableParagraph"/>
              <w:spacing w:before="63" w:line="168" w:lineRule="exact"/>
              <w:ind w:left="178" w:right="56"/>
              <w:jc w:val="center"/>
              <w:rPr>
                <w:sz w:val="16"/>
              </w:rPr>
            </w:pPr>
            <w:r>
              <w:rPr>
                <w:color w:val="111111"/>
                <w:spacing w:val="-2"/>
                <w:sz w:val="16"/>
              </w:rPr>
              <w:t>(94,211)</w:t>
            </w:r>
          </w:p>
        </w:tc>
        <w:tc>
          <w:tcPr>
            <w:tcW w:w="1366" w:type="dxa"/>
            <w:tcBorders>
              <w:top w:val="single" w:color="000000" w:sz="2" w:space="0"/>
            </w:tcBorders>
          </w:tcPr>
          <w:p>
            <w:pPr>
              <w:pStyle w:val="TableParagraph"/>
              <w:spacing w:before="63" w:line="168" w:lineRule="exact"/>
              <w:ind w:right="207"/>
              <w:jc w:val="right"/>
              <w:rPr>
                <w:sz w:val="16"/>
              </w:rPr>
            </w:pPr>
            <w:r>
              <w:rPr>
                <w:color w:val="111111"/>
                <w:spacing w:val="-2"/>
                <w:sz w:val="16"/>
              </w:rPr>
              <w:t>(107)</w:t>
            </w:r>
          </w:p>
        </w:tc>
        <w:tc>
          <w:tcPr>
            <w:tcW w:w="1207" w:type="dxa"/>
            <w:tcBorders>
              <w:top w:val="single" w:color="000000" w:sz="2" w:space="0"/>
            </w:tcBorders>
          </w:tcPr>
          <w:p>
            <w:pPr>
              <w:pStyle w:val="TableParagraph"/>
              <w:spacing w:before="63" w:line="168" w:lineRule="exact"/>
              <w:ind w:right="139"/>
              <w:jc w:val="right"/>
              <w:rPr>
                <w:sz w:val="16"/>
              </w:rPr>
            </w:pPr>
            <w:r>
              <w:rPr>
                <w:color w:val="111111"/>
                <w:spacing w:val="-2"/>
                <w:sz w:val="16"/>
              </w:rPr>
              <w:t>(94,318)</w:t>
            </w:r>
          </w:p>
        </w:tc>
        <w:tc>
          <w:tcPr>
            <w:tcW w:w="873" w:type="dxa"/>
            <w:tcBorders>
              <w:top w:val="single" w:color="000000" w:sz="2" w:space="0"/>
            </w:tcBorders>
          </w:tcPr>
          <w:p>
            <w:pPr>
              <w:pStyle w:val="TableParagraph"/>
              <w:spacing w:before="59" w:line="173" w:lineRule="exact"/>
              <w:ind w:right="26"/>
              <w:jc w:val="right"/>
              <w:rPr>
                <w:sz w:val="16"/>
              </w:rPr>
            </w:pPr>
            <w:r>
              <w:rPr>
                <w:color w:val="111111"/>
                <w:spacing w:val="-2"/>
                <w:sz w:val="16"/>
              </w:rPr>
              <w:t>(158,793)</w:t>
            </w:r>
          </w:p>
        </w:tc>
      </w:tr>
      <w:tr>
        <w:trPr>
          <w:trHeight w:val="372" w:hRule="atLeast"/>
        </w:trPr>
        <w:tc>
          <w:tcPr>
            <w:tcW w:w="4919" w:type="dxa"/>
          </w:tcPr>
          <w:p>
            <w:pPr>
              <w:pStyle w:val="TableParagraph"/>
              <w:spacing w:line="183" w:lineRule="exact"/>
              <w:ind w:left="247"/>
              <w:rPr>
                <w:sz w:val="16"/>
              </w:rPr>
            </w:pPr>
            <w:r>
              <w:rPr>
                <w:color w:val="111111"/>
                <w:sz w:val="16"/>
              </w:rPr>
              <w:t>Total</w:t>
            </w:r>
            <w:r>
              <w:rPr>
                <w:color w:val="111111"/>
                <w:spacing w:val="-12"/>
                <w:sz w:val="16"/>
              </w:rPr>
              <w:t> </w:t>
            </w:r>
            <w:r>
              <w:rPr>
                <w:color w:val="111111"/>
                <w:sz w:val="16"/>
              </w:rPr>
              <w:t>comprehensive</w:t>
            </w:r>
            <w:r>
              <w:rPr>
                <w:color w:val="111111"/>
                <w:spacing w:val="-6"/>
                <w:sz w:val="16"/>
              </w:rPr>
              <w:t> </w:t>
            </w:r>
            <w:r>
              <w:rPr>
                <w:color w:val="111111"/>
                <w:sz w:val="16"/>
              </w:rPr>
              <w:t>income</w:t>
            </w:r>
            <w:r>
              <w:rPr>
                <w:color w:val="111111"/>
                <w:spacing w:val="-3"/>
                <w:sz w:val="16"/>
              </w:rPr>
              <w:t> </w:t>
            </w:r>
            <w:r>
              <w:rPr>
                <w:color w:val="111111"/>
                <w:spacing w:val="-5"/>
                <w:sz w:val="16"/>
              </w:rPr>
              <w:t>and</w:t>
            </w:r>
          </w:p>
          <w:p>
            <w:pPr>
              <w:pStyle w:val="TableParagraph"/>
              <w:tabs>
                <w:tab w:val="left" w:leader="none" w:pos="4108"/>
              </w:tabs>
              <w:spacing w:line="170" w:lineRule="exact"/>
              <w:ind w:left="250"/>
              <w:rPr>
                <w:sz w:val="16"/>
              </w:rPr>
            </w:pPr>
            <w:r>
              <w:rPr>
                <w:color w:val="111111"/>
                <w:spacing w:val="-2"/>
                <w:sz w:val="16"/>
              </w:rPr>
              <w:t>expenditure</w:t>
            </w:r>
            <w:r>
              <w:rPr>
                <w:color w:val="111111"/>
                <w:sz w:val="16"/>
              </w:rPr>
              <w:tab/>
            </w:r>
            <w:r>
              <w:rPr>
                <w:color w:val="111111"/>
                <w:spacing w:val="-2"/>
                <w:sz w:val="16"/>
              </w:rPr>
              <w:t>(9,941)</w:t>
            </w:r>
          </w:p>
        </w:tc>
        <w:tc>
          <w:tcPr>
            <w:tcW w:w="992" w:type="dxa"/>
          </w:tcPr>
          <w:p>
            <w:pPr>
              <w:pStyle w:val="TableParagraph"/>
              <w:rPr>
                <w:rFonts w:ascii="Times New Roman"/>
                <w:sz w:val="16"/>
              </w:rPr>
            </w:pPr>
          </w:p>
        </w:tc>
        <w:tc>
          <w:tcPr>
            <w:tcW w:w="1140" w:type="dxa"/>
          </w:tcPr>
          <w:p>
            <w:pPr>
              <w:pStyle w:val="TableParagraph"/>
              <w:rPr>
                <w:rFonts w:ascii="Times New Roman"/>
                <w:sz w:val="16"/>
              </w:rPr>
            </w:pPr>
          </w:p>
        </w:tc>
        <w:tc>
          <w:tcPr>
            <w:tcW w:w="1156" w:type="dxa"/>
          </w:tcPr>
          <w:p>
            <w:pPr>
              <w:pStyle w:val="TableParagraph"/>
              <w:spacing w:before="182" w:line="171" w:lineRule="exact"/>
              <w:ind w:right="188"/>
              <w:jc w:val="right"/>
              <w:rPr>
                <w:sz w:val="16"/>
              </w:rPr>
            </w:pPr>
            <w:r>
              <w:rPr>
                <w:color w:val="111111"/>
                <w:spacing w:val="-2"/>
                <w:sz w:val="16"/>
              </w:rPr>
              <w:t>(9,941)</w:t>
            </w:r>
          </w:p>
        </w:tc>
        <w:tc>
          <w:tcPr>
            <w:tcW w:w="1393" w:type="dxa"/>
          </w:tcPr>
          <w:p>
            <w:pPr>
              <w:pStyle w:val="TableParagraph"/>
              <w:spacing w:before="2"/>
              <w:rPr>
                <w:rFonts w:ascii="Times New Roman"/>
                <w:sz w:val="16"/>
              </w:rPr>
            </w:pPr>
          </w:p>
          <w:p>
            <w:pPr>
              <w:pStyle w:val="TableParagraph"/>
              <w:spacing w:line="166" w:lineRule="exact"/>
              <w:ind w:right="164"/>
              <w:jc w:val="right"/>
              <w:rPr>
                <w:sz w:val="16"/>
              </w:rPr>
            </w:pPr>
            <w:r>
              <w:rPr>
                <w:color w:val="111111"/>
                <w:spacing w:val="-5"/>
                <w:sz w:val="16"/>
              </w:rPr>
              <w:t>72</w:t>
            </w:r>
          </w:p>
        </w:tc>
        <w:tc>
          <w:tcPr>
            <w:tcW w:w="1220" w:type="dxa"/>
          </w:tcPr>
          <w:p>
            <w:pPr>
              <w:pStyle w:val="TableParagraph"/>
              <w:spacing w:before="2"/>
              <w:rPr>
                <w:rFonts w:ascii="Times New Roman"/>
                <w:sz w:val="16"/>
              </w:rPr>
            </w:pPr>
          </w:p>
          <w:p>
            <w:pPr>
              <w:pStyle w:val="TableParagraph"/>
              <w:spacing w:line="166" w:lineRule="exact"/>
              <w:ind w:right="132"/>
              <w:jc w:val="right"/>
              <w:rPr>
                <w:sz w:val="16"/>
              </w:rPr>
            </w:pPr>
            <w:r>
              <w:rPr>
                <w:color w:val="111111"/>
                <w:spacing w:val="-2"/>
                <w:sz w:val="16"/>
              </w:rPr>
              <w:t>(9,869)</w:t>
            </w:r>
          </w:p>
        </w:tc>
        <w:tc>
          <w:tcPr>
            <w:tcW w:w="1019" w:type="dxa"/>
          </w:tcPr>
          <w:p>
            <w:pPr>
              <w:pStyle w:val="TableParagraph"/>
              <w:spacing w:before="2"/>
              <w:rPr>
                <w:rFonts w:ascii="Times New Roman"/>
                <w:sz w:val="16"/>
              </w:rPr>
            </w:pPr>
          </w:p>
          <w:p>
            <w:pPr>
              <w:pStyle w:val="TableParagraph"/>
              <w:spacing w:line="166" w:lineRule="exact"/>
              <w:ind w:left="172" w:right="56"/>
              <w:jc w:val="center"/>
              <w:rPr>
                <w:sz w:val="16"/>
              </w:rPr>
            </w:pPr>
            <w:r>
              <w:rPr>
                <w:color w:val="111111"/>
                <w:spacing w:val="-2"/>
                <w:sz w:val="16"/>
              </w:rPr>
              <w:t>(12,587)</w:t>
            </w:r>
          </w:p>
        </w:tc>
        <w:tc>
          <w:tcPr>
            <w:tcW w:w="1366" w:type="dxa"/>
          </w:tcPr>
          <w:p>
            <w:pPr>
              <w:pStyle w:val="TableParagraph"/>
              <w:spacing w:before="2"/>
              <w:rPr>
                <w:rFonts w:ascii="Times New Roman"/>
                <w:sz w:val="16"/>
              </w:rPr>
            </w:pPr>
          </w:p>
          <w:p>
            <w:pPr>
              <w:pStyle w:val="TableParagraph"/>
              <w:spacing w:line="166" w:lineRule="exact"/>
              <w:ind w:right="199"/>
              <w:jc w:val="right"/>
              <w:rPr>
                <w:sz w:val="16"/>
              </w:rPr>
            </w:pPr>
            <w:r>
              <w:rPr>
                <w:color w:val="111111"/>
                <w:spacing w:val="-5"/>
                <w:w w:val="105"/>
                <w:sz w:val="16"/>
              </w:rPr>
              <w:t>10</w:t>
            </w:r>
          </w:p>
        </w:tc>
        <w:tc>
          <w:tcPr>
            <w:tcW w:w="1207" w:type="dxa"/>
          </w:tcPr>
          <w:p>
            <w:pPr>
              <w:pStyle w:val="TableParagraph"/>
              <w:spacing w:before="182" w:line="171" w:lineRule="exact"/>
              <w:ind w:right="139"/>
              <w:jc w:val="right"/>
              <w:rPr>
                <w:sz w:val="16"/>
              </w:rPr>
            </w:pPr>
            <w:r>
              <w:rPr>
                <w:color w:val="111111"/>
                <w:spacing w:val="-2"/>
                <w:sz w:val="16"/>
              </w:rPr>
              <w:t>(12,577)</w:t>
            </w:r>
          </w:p>
        </w:tc>
        <w:tc>
          <w:tcPr>
            <w:tcW w:w="873" w:type="dxa"/>
          </w:tcPr>
          <w:p>
            <w:pPr>
              <w:pStyle w:val="TableParagraph"/>
              <w:spacing w:before="182" w:line="171" w:lineRule="exact"/>
              <w:ind w:right="27"/>
              <w:jc w:val="right"/>
              <w:rPr>
                <w:sz w:val="16"/>
              </w:rPr>
            </w:pPr>
            <w:r>
              <w:rPr>
                <w:color w:val="111111"/>
                <w:spacing w:val="-2"/>
                <w:sz w:val="16"/>
              </w:rPr>
              <w:t>(22,446)</w:t>
            </w:r>
          </w:p>
        </w:tc>
      </w:tr>
      <w:tr>
        <w:trPr>
          <w:trHeight w:val="360" w:hRule="atLeast"/>
        </w:trPr>
        <w:tc>
          <w:tcPr>
            <w:tcW w:w="4919" w:type="dxa"/>
            <w:tcBorders>
              <w:bottom w:val="single" w:color="000000" w:sz="6" w:space="0"/>
            </w:tcBorders>
          </w:tcPr>
          <w:p>
            <w:pPr>
              <w:pStyle w:val="TableParagraph"/>
              <w:spacing w:line="180" w:lineRule="exact"/>
              <w:ind w:left="256"/>
              <w:rPr>
                <w:sz w:val="16"/>
              </w:rPr>
            </w:pPr>
            <w:r>
              <w:rPr>
                <w:color w:val="111111"/>
                <w:sz w:val="16"/>
              </w:rPr>
              <w:t>Adjustments</w:t>
            </w:r>
            <w:r>
              <w:rPr>
                <w:color w:val="111111"/>
                <w:spacing w:val="-10"/>
                <w:sz w:val="16"/>
              </w:rPr>
              <w:t> </w:t>
            </w:r>
            <w:r>
              <w:rPr>
                <w:color w:val="111111"/>
                <w:sz w:val="16"/>
              </w:rPr>
              <w:t>between</w:t>
            </w:r>
            <w:r>
              <w:rPr>
                <w:color w:val="111111"/>
                <w:spacing w:val="-5"/>
                <w:sz w:val="16"/>
              </w:rPr>
              <w:t> </w:t>
            </w:r>
            <w:r>
              <w:rPr>
                <w:color w:val="111111"/>
                <w:sz w:val="16"/>
              </w:rPr>
              <w:t>accounting</w:t>
            </w:r>
            <w:r>
              <w:rPr>
                <w:color w:val="111111"/>
                <w:spacing w:val="-2"/>
                <w:sz w:val="16"/>
              </w:rPr>
              <w:t> </w:t>
            </w:r>
            <w:r>
              <w:rPr>
                <w:color w:val="111111"/>
                <w:sz w:val="16"/>
              </w:rPr>
              <w:t>&amp;</w:t>
            </w:r>
            <w:r>
              <w:rPr>
                <w:color w:val="111111"/>
                <w:spacing w:val="-11"/>
                <w:sz w:val="16"/>
              </w:rPr>
              <w:t> </w:t>
            </w:r>
            <w:r>
              <w:rPr>
                <w:color w:val="111111"/>
                <w:spacing w:val="-2"/>
                <w:sz w:val="16"/>
              </w:rPr>
              <w:t>funding</w:t>
            </w:r>
          </w:p>
          <w:p>
            <w:pPr>
              <w:pStyle w:val="TableParagraph"/>
              <w:tabs>
                <w:tab w:val="left" w:leader="none" w:pos="4124"/>
              </w:tabs>
              <w:spacing w:line="151" w:lineRule="exact"/>
              <w:ind w:left="255"/>
              <w:rPr>
                <w:sz w:val="16"/>
              </w:rPr>
            </w:pPr>
            <w:r>
              <w:rPr>
                <w:color w:val="111111"/>
                <w:sz w:val="16"/>
              </w:rPr>
              <w:t>basis</w:t>
            </w:r>
            <w:r>
              <w:rPr>
                <w:color w:val="111111"/>
                <w:spacing w:val="-6"/>
                <w:sz w:val="16"/>
              </w:rPr>
              <w:t> </w:t>
            </w:r>
            <w:r>
              <w:rPr>
                <w:color w:val="111111"/>
                <w:sz w:val="16"/>
              </w:rPr>
              <w:t>under</w:t>
            </w:r>
            <w:r>
              <w:rPr>
                <w:color w:val="111111"/>
                <w:spacing w:val="-3"/>
                <w:sz w:val="16"/>
              </w:rPr>
              <w:t> </w:t>
            </w:r>
            <w:r>
              <w:rPr>
                <w:color w:val="111111"/>
                <w:spacing w:val="-2"/>
                <w:sz w:val="16"/>
              </w:rPr>
              <w:t>reg</w:t>
            </w:r>
            <w:r>
              <w:rPr>
                <w:color w:val="313131"/>
                <w:spacing w:val="-2"/>
                <w:sz w:val="16"/>
              </w:rPr>
              <w:t>ulat</w:t>
            </w:r>
            <w:r>
              <w:rPr>
                <w:color w:val="4F4F4F"/>
                <w:spacing w:val="-2"/>
                <w:sz w:val="16"/>
              </w:rPr>
              <w:t>i</w:t>
            </w:r>
            <w:r>
              <w:rPr>
                <w:color w:val="111111"/>
                <w:spacing w:val="-2"/>
                <w:sz w:val="16"/>
              </w:rPr>
              <w:t>o</w:t>
            </w:r>
            <w:r>
              <w:rPr>
                <w:color w:val="313131"/>
                <w:spacing w:val="-2"/>
                <w:sz w:val="16"/>
              </w:rPr>
              <w:t>n</w:t>
            </w:r>
            <w:r>
              <w:rPr>
                <w:color w:val="111111"/>
                <w:spacing w:val="-2"/>
                <w:sz w:val="16"/>
              </w:rPr>
              <w:t>s</w:t>
            </w:r>
            <w:r>
              <w:rPr>
                <w:color w:val="111111"/>
                <w:sz w:val="16"/>
              </w:rPr>
              <w:tab/>
            </w:r>
            <w:r>
              <w:rPr>
                <w:color w:val="111111"/>
                <w:spacing w:val="-2"/>
                <w:sz w:val="16"/>
              </w:rPr>
              <w:t>13,679</w:t>
            </w:r>
          </w:p>
        </w:tc>
        <w:tc>
          <w:tcPr>
            <w:tcW w:w="992" w:type="dxa"/>
            <w:tcBorders>
              <w:bottom w:val="single" w:color="000000" w:sz="6" w:space="0"/>
            </w:tcBorders>
          </w:tcPr>
          <w:p>
            <w:pPr>
              <w:pStyle w:val="TableParagraph"/>
              <w:spacing w:before="179" w:line="151" w:lineRule="exact"/>
              <w:ind w:right="156"/>
              <w:jc w:val="right"/>
              <w:rPr>
                <w:sz w:val="16"/>
              </w:rPr>
            </w:pPr>
            <w:r>
              <w:rPr>
                <w:color w:val="111111"/>
                <w:spacing w:val="-5"/>
                <w:sz w:val="16"/>
              </w:rPr>
              <w:t>570</w:t>
            </w:r>
          </w:p>
        </w:tc>
        <w:tc>
          <w:tcPr>
            <w:tcW w:w="1140" w:type="dxa"/>
            <w:tcBorders>
              <w:bottom w:val="single" w:color="000000" w:sz="6" w:space="0"/>
            </w:tcBorders>
          </w:tcPr>
          <w:p>
            <w:pPr>
              <w:pStyle w:val="TableParagraph"/>
              <w:spacing w:before="174" w:line="156" w:lineRule="exact"/>
              <w:ind w:right="167"/>
              <w:jc w:val="right"/>
              <w:rPr>
                <w:sz w:val="16"/>
              </w:rPr>
            </w:pPr>
            <w:r>
              <w:rPr>
                <w:color w:val="111111"/>
                <w:spacing w:val="-2"/>
                <w:sz w:val="16"/>
              </w:rPr>
              <w:t>(3,768)</w:t>
            </w:r>
          </w:p>
        </w:tc>
        <w:tc>
          <w:tcPr>
            <w:tcW w:w="1156" w:type="dxa"/>
            <w:tcBorders>
              <w:bottom w:val="single" w:color="000000" w:sz="6" w:space="0"/>
            </w:tcBorders>
          </w:tcPr>
          <w:p>
            <w:pPr>
              <w:pStyle w:val="TableParagraph"/>
              <w:spacing w:before="179" w:line="151" w:lineRule="exact"/>
              <w:ind w:right="184"/>
              <w:jc w:val="right"/>
              <w:rPr>
                <w:sz w:val="16"/>
              </w:rPr>
            </w:pPr>
            <w:r>
              <w:rPr>
                <w:color w:val="111111"/>
                <w:spacing w:val="-2"/>
                <w:sz w:val="16"/>
              </w:rPr>
              <w:t>10.481</w:t>
            </w:r>
          </w:p>
        </w:tc>
        <w:tc>
          <w:tcPr>
            <w:tcW w:w="1393" w:type="dxa"/>
            <w:tcBorders>
              <w:bottom w:val="single" w:color="000000" w:sz="6" w:space="0"/>
            </w:tcBorders>
          </w:tcPr>
          <w:p>
            <w:pPr>
              <w:pStyle w:val="TableParagraph"/>
              <w:rPr>
                <w:rFonts w:ascii="Times New Roman"/>
                <w:sz w:val="16"/>
              </w:rPr>
            </w:pPr>
          </w:p>
        </w:tc>
        <w:tc>
          <w:tcPr>
            <w:tcW w:w="1220" w:type="dxa"/>
            <w:tcBorders>
              <w:bottom w:val="single" w:color="000000" w:sz="6" w:space="0"/>
            </w:tcBorders>
          </w:tcPr>
          <w:p>
            <w:pPr>
              <w:pStyle w:val="TableParagraph"/>
              <w:spacing w:before="174" w:line="156" w:lineRule="exact"/>
              <w:ind w:right="128"/>
              <w:jc w:val="right"/>
              <w:rPr>
                <w:sz w:val="16"/>
              </w:rPr>
            </w:pPr>
            <w:r>
              <w:rPr>
                <w:color w:val="111111"/>
                <w:spacing w:val="-2"/>
                <w:sz w:val="16"/>
              </w:rPr>
              <w:t>10,481</w:t>
            </w:r>
          </w:p>
        </w:tc>
        <w:tc>
          <w:tcPr>
            <w:tcW w:w="1019" w:type="dxa"/>
            <w:tcBorders>
              <w:bottom w:val="single" w:color="000000" w:sz="6" w:space="0"/>
            </w:tcBorders>
          </w:tcPr>
          <w:p>
            <w:pPr>
              <w:pStyle w:val="TableParagraph"/>
              <w:spacing w:before="174" w:line="156" w:lineRule="exact"/>
              <w:ind w:left="172" w:right="56"/>
              <w:jc w:val="center"/>
              <w:rPr>
                <w:sz w:val="16"/>
              </w:rPr>
            </w:pPr>
            <w:r>
              <w:rPr>
                <w:color w:val="313131"/>
                <w:spacing w:val="-2"/>
                <w:sz w:val="16"/>
              </w:rPr>
              <w:t>(10,481)</w:t>
            </w:r>
          </w:p>
        </w:tc>
        <w:tc>
          <w:tcPr>
            <w:tcW w:w="1366" w:type="dxa"/>
            <w:tcBorders>
              <w:bottom w:val="single" w:color="000000" w:sz="6" w:space="0"/>
            </w:tcBorders>
          </w:tcPr>
          <w:p>
            <w:pPr>
              <w:pStyle w:val="TableParagraph"/>
              <w:rPr>
                <w:rFonts w:ascii="Times New Roman"/>
                <w:sz w:val="16"/>
              </w:rPr>
            </w:pPr>
          </w:p>
        </w:tc>
        <w:tc>
          <w:tcPr>
            <w:tcW w:w="1207" w:type="dxa"/>
          </w:tcPr>
          <w:p>
            <w:pPr>
              <w:pStyle w:val="TableParagraph"/>
              <w:rPr>
                <w:rFonts w:ascii="Times New Roman"/>
                <w:sz w:val="16"/>
              </w:rPr>
            </w:pPr>
          </w:p>
          <w:p>
            <w:pPr>
              <w:pStyle w:val="TableParagraph"/>
              <w:spacing w:line="157" w:lineRule="exact"/>
              <w:ind w:right="145"/>
              <w:jc w:val="right"/>
              <w:rPr>
                <w:sz w:val="16"/>
              </w:rPr>
            </w:pPr>
            <w:r>
              <w:rPr>
                <w:color w:val="313131"/>
                <w:spacing w:val="-2"/>
                <w:sz w:val="16"/>
                <w:u w:val="thick" w:color="313131"/>
              </w:rPr>
              <w:t>(10,481)</w:t>
            </w:r>
          </w:p>
        </w:tc>
        <w:tc>
          <w:tcPr>
            <w:tcW w:w="873" w:type="dxa"/>
          </w:tcPr>
          <w:p>
            <w:pPr>
              <w:pStyle w:val="TableParagraph"/>
              <w:rPr>
                <w:rFonts w:ascii="Times New Roman"/>
                <w:sz w:val="16"/>
              </w:rPr>
            </w:pPr>
          </w:p>
        </w:tc>
      </w:tr>
      <w:tr>
        <w:trPr>
          <w:trHeight w:val="643" w:hRule="atLeast"/>
        </w:trPr>
        <w:tc>
          <w:tcPr>
            <w:tcW w:w="4919" w:type="dxa"/>
            <w:tcBorders>
              <w:top w:val="single" w:color="000000" w:sz="6" w:space="0"/>
              <w:bottom w:val="single" w:color="000000" w:sz="6" w:space="0"/>
            </w:tcBorders>
          </w:tcPr>
          <w:p>
            <w:pPr>
              <w:pStyle w:val="TableParagraph"/>
              <w:spacing w:before="100"/>
              <w:rPr>
                <w:rFonts w:ascii="Times New Roman"/>
                <w:sz w:val="16"/>
              </w:rPr>
            </w:pPr>
          </w:p>
          <w:p>
            <w:pPr>
              <w:pStyle w:val="TableParagraph"/>
              <w:ind w:left="247"/>
              <w:rPr>
                <w:sz w:val="16"/>
              </w:rPr>
            </w:pPr>
            <w:r>
              <w:rPr>
                <w:color w:val="111111"/>
                <w:spacing w:val="-2"/>
                <w:w w:val="110"/>
                <w:sz w:val="16"/>
              </w:rPr>
              <w:t>Total</w:t>
            </w:r>
            <w:r>
              <w:rPr>
                <w:color w:val="111111"/>
                <w:spacing w:val="-10"/>
                <w:w w:val="110"/>
                <w:sz w:val="16"/>
              </w:rPr>
              <w:t> </w:t>
            </w:r>
            <w:r>
              <w:rPr>
                <w:color w:val="111111"/>
                <w:spacing w:val="-2"/>
                <w:w w:val="110"/>
                <w:sz w:val="16"/>
              </w:rPr>
              <w:t>(increase)/</w:t>
            </w:r>
            <w:r>
              <w:rPr>
                <w:color w:val="111111"/>
                <w:spacing w:val="8"/>
                <w:w w:val="110"/>
                <w:sz w:val="16"/>
              </w:rPr>
              <w:t> </w:t>
            </w:r>
            <w:r>
              <w:rPr>
                <w:color w:val="111111"/>
                <w:spacing w:val="-2"/>
                <w:w w:val="110"/>
                <w:sz w:val="16"/>
              </w:rPr>
              <w:t>decrease during</w:t>
            </w:r>
            <w:r>
              <w:rPr>
                <w:color w:val="111111"/>
                <w:spacing w:val="-5"/>
                <w:w w:val="110"/>
                <w:sz w:val="16"/>
              </w:rPr>
              <w:t> the</w:t>
            </w:r>
          </w:p>
          <w:p>
            <w:pPr>
              <w:pStyle w:val="TableParagraph"/>
              <w:tabs>
                <w:tab w:val="left" w:leader="none" w:pos="4222"/>
              </w:tabs>
              <w:spacing w:before="4" w:line="180" w:lineRule="exact"/>
              <w:ind w:left="248"/>
              <w:rPr>
                <w:sz w:val="16"/>
              </w:rPr>
            </w:pPr>
            <w:r>
              <w:rPr>
                <w:color w:val="111111"/>
                <w:spacing w:val="-4"/>
                <w:w w:val="105"/>
                <w:sz w:val="16"/>
              </w:rPr>
              <w:t>year</w:t>
            </w:r>
            <w:r>
              <w:rPr>
                <w:color w:val="111111"/>
                <w:sz w:val="16"/>
              </w:rPr>
              <w:tab/>
            </w:r>
            <w:r>
              <w:rPr>
                <w:color w:val="313131"/>
                <w:spacing w:val="-2"/>
                <w:w w:val="105"/>
                <w:sz w:val="16"/>
              </w:rPr>
              <w:t>3</w:t>
            </w:r>
            <w:r>
              <w:rPr>
                <w:color w:val="727272"/>
                <w:spacing w:val="-2"/>
                <w:w w:val="105"/>
                <w:sz w:val="16"/>
              </w:rPr>
              <w:t>,</w:t>
            </w:r>
            <w:r>
              <w:rPr>
                <w:color w:val="313131"/>
                <w:spacing w:val="-2"/>
                <w:w w:val="105"/>
                <w:sz w:val="16"/>
              </w:rPr>
              <w:t>738</w:t>
            </w:r>
          </w:p>
        </w:tc>
        <w:tc>
          <w:tcPr>
            <w:tcW w:w="992" w:type="dxa"/>
            <w:tcBorders>
              <w:top w:val="single" w:color="000000" w:sz="6" w:space="0"/>
              <w:bottom w:val="single" w:color="000000" w:sz="6" w:space="0"/>
            </w:tcBorders>
          </w:tcPr>
          <w:p>
            <w:pPr>
              <w:pStyle w:val="TableParagraph"/>
              <w:rPr>
                <w:rFonts w:ascii="Times New Roman"/>
                <w:sz w:val="16"/>
              </w:rPr>
            </w:pPr>
          </w:p>
          <w:p>
            <w:pPr>
              <w:pStyle w:val="TableParagraph"/>
              <w:spacing w:before="104"/>
              <w:rPr>
                <w:rFonts w:ascii="Times New Roman"/>
                <w:sz w:val="16"/>
              </w:rPr>
            </w:pPr>
          </w:p>
          <w:p>
            <w:pPr>
              <w:pStyle w:val="TableParagraph"/>
              <w:spacing w:line="180" w:lineRule="exact"/>
              <w:ind w:right="152"/>
              <w:jc w:val="right"/>
              <w:rPr>
                <w:sz w:val="16"/>
              </w:rPr>
            </w:pPr>
            <w:r>
              <w:rPr>
                <w:color w:val="313131"/>
                <w:spacing w:val="-5"/>
                <w:sz w:val="16"/>
              </w:rPr>
              <w:t>570</w:t>
            </w:r>
          </w:p>
        </w:tc>
        <w:tc>
          <w:tcPr>
            <w:tcW w:w="1140" w:type="dxa"/>
            <w:tcBorders>
              <w:top w:val="single" w:color="000000" w:sz="6" w:space="0"/>
              <w:bottom w:val="single" w:color="000000" w:sz="6" w:space="0"/>
            </w:tcBorders>
          </w:tcPr>
          <w:p>
            <w:pPr>
              <w:pStyle w:val="TableParagraph"/>
              <w:rPr>
                <w:rFonts w:ascii="Times New Roman"/>
                <w:sz w:val="16"/>
              </w:rPr>
            </w:pPr>
          </w:p>
          <w:p>
            <w:pPr>
              <w:pStyle w:val="TableParagraph"/>
              <w:spacing w:before="109"/>
              <w:rPr>
                <w:rFonts w:ascii="Times New Roman"/>
                <w:sz w:val="16"/>
              </w:rPr>
            </w:pPr>
          </w:p>
          <w:p>
            <w:pPr>
              <w:pStyle w:val="TableParagraph"/>
              <w:spacing w:line="175" w:lineRule="exact"/>
              <w:ind w:right="162"/>
              <w:jc w:val="right"/>
              <w:rPr>
                <w:sz w:val="16"/>
              </w:rPr>
            </w:pPr>
            <w:r>
              <w:rPr>
                <w:color w:val="4F4F4F"/>
                <w:spacing w:val="-2"/>
                <w:sz w:val="16"/>
              </w:rPr>
              <w:t>(3,768)</w:t>
            </w:r>
          </w:p>
        </w:tc>
        <w:tc>
          <w:tcPr>
            <w:tcW w:w="1156" w:type="dxa"/>
            <w:tcBorders>
              <w:top w:val="single" w:color="000000" w:sz="6" w:space="0"/>
              <w:bottom w:val="single" w:color="000000" w:sz="6" w:space="0"/>
            </w:tcBorders>
          </w:tcPr>
          <w:p>
            <w:pPr>
              <w:pStyle w:val="TableParagraph"/>
              <w:rPr>
                <w:rFonts w:ascii="Times New Roman"/>
                <w:sz w:val="16"/>
              </w:rPr>
            </w:pPr>
          </w:p>
          <w:p>
            <w:pPr>
              <w:pStyle w:val="TableParagraph"/>
              <w:spacing w:before="99"/>
              <w:rPr>
                <w:rFonts w:ascii="Times New Roman"/>
                <w:sz w:val="16"/>
              </w:rPr>
            </w:pPr>
          </w:p>
          <w:p>
            <w:pPr>
              <w:pStyle w:val="TableParagraph"/>
              <w:ind w:right="177"/>
              <w:jc w:val="right"/>
              <w:rPr>
                <w:sz w:val="16"/>
              </w:rPr>
            </w:pPr>
            <w:r>
              <w:rPr>
                <w:color w:val="111111"/>
                <w:spacing w:val="-5"/>
                <w:sz w:val="16"/>
              </w:rPr>
              <w:t>540</w:t>
            </w:r>
          </w:p>
        </w:tc>
        <w:tc>
          <w:tcPr>
            <w:tcW w:w="1393" w:type="dxa"/>
            <w:tcBorders>
              <w:top w:val="single" w:color="000000" w:sz="6" w:space="0"/>
              <w:bottom w:val="single" w:color="000000" w:sz="6" w:space="0"/>
            </w:tcBorders>
          </w:tcPr>
          <w:p>
            <w:pPr>
              <w:pStyle w:val="TableParagraph"/>
              <w:rPr>
                <w:rFonts w:ascii="Times New Roman"/>
                <w:sz w:val="16"/>
              </w:rPr>
            </w:pPr>
          </w:p>
          <w:p>
            <w:pPr>
              <w:pStyle w:val="TableParagraph"/>
              <w:spacing w:before="99"/>
              <w:rPr>
                <w:rFonts w:ascii="Times New Roman"/>
                <w:sz w:val="16"/>
              </w:rPr>
            </w:pPr>
          </w:p>
          <w:p>
            <w:pPr>
              <w:pStyle w:val="TableParagraph"/>
              <w:ind w:right="163"/>
              <w:jc w:val="right"/>
              <w:rPr>
                <w:sz w:val="16"/>
              </w:rPr>
            </w:pPr>
            <w:r>
              <w:rPr>
                <w:color w:val="111111"/>
                <w:spacing w:val="-5"/>
                <w:sz w:val="16"/>
              </w:rPr>
              <w:t>72</w:t>
            </w:r>
          </w:p>
        </w:tc>
        <w:tc>
          <w:tcPr>
            <w:tcW w:w="1220" w:type="dxa"/>
            <w:tcBorders>
              <w:top w:val="single" w:color="000000" w:sz="6" w:space="0"/>
              <w:bottom w:val="single" w:color="000000" w:sz="6" w:space="0"/>
            </w:tcBorders>
          </w:tcPr>
          <w:p>
            <w:pPr>
              <w:pStyle w:val="TableParagraph"/>
              <w:rPr>
                <w:rFonts w:ascii="Times New Roman"/>
                <w:sz w:val="16"/>
              </w:rPr>
            </w:pPr>
          </w:p>
          <w:p>
            <w:pPr>
              <w:pStyle w:val="TableParagraph"/>
              <w:spacing w:before="99"/>
              <w:rPr>
                <w:rFonts w:ascii="Times New Roman"/>
                <w:sz w:val="16"/>
              </w:rPr>
            </w:pPr>
          </w:p>
          <w:p>
            <w:pPr>
              <w:pStyle w:val="TableParagraph"/>
              <w:ind w:right="125"/>
              <w:jc w:val="right"/>
              <w:rPr>
                <w:sz w:val="16"/>
              </w:rPr>
            </w:pPr>
            <w:r>
              <w:rPr>
                <w:color w:val="111111"/>
                <w:spacing w:val="-5"/>
                <w:sz w:val="16"/>
              </w:rPr>
              <w:t>612</w:t>
            </w:r>
          </w:p>
        </w:tc>
        <w:tc>
          <w:tcPr>
            <w:tcW w:w="1019" w:type="dxa"/>
            <w:tcBorders>
              <w:top w:val="single" w:color="000000" w:sz="6" w:space="0"/>
              <w:bottom w:val="single" w:color="000000" w:sz="6" w:space="0"/>
            </w:tcBorders>
          </w:tcPr>
          <w:p>
            <w:pPr>
              <w:pStyle w:val="TableParagraph"/>
              <w:rPr>
                <w:rFonts w:ascii="Times New Roman"/>
                <w:sz w:val="16"/>
              </w:rPr>
            </w:pPr>
          </w:p>
          <w:p>
            <w:pPr>
              <w:pStyle w:val="TableParagraph"/>
              <w:spacing w:before="104"/>
              <w:rPr>
                <w:rFonts w:ascii="Times New Roman"/>
                <w:sz w:val="16"/>
              </w:rPr>
            </w:pPr>
          </w:p>
          <w:p>
            <w:pPr>
              <w:pStyle w:val="TableParagraph"/>
              <w:spacing w:line="180" w:lineRule="exact"/>
              <w:ind w:left="187" w:right="56"/>
              <w:jc w:val="center"/>
              <w:rPr>
                <w:sz w:val="16"/>
              </w:rPr>
            </w:pPr>
            <w:r>
              <w:rPr>
                <w:color w:val="4F4F4F"/>
                <w:spacing w:val="-2"/>
                <w:sz w:val="16"/>
              </w:rPr>
              <w:t>(23,068)</w:t>
            </w:r>
          </w:p>
        </w:tc>
        <w:tc>
          <w:tcPr>
            <w:tcW w:w="1366" w:type="dxa"/>
            <w:tcBorders>
              <w:top w:val="single" w:color="000000" w:sz="6" w:space="0"/>
              <w:bottom w:val="single" w:color="000000" w:sz="6" w:space="0"/>
            </w:tcBorders>
          </w:tcPr>
          <w:p>
            <w:pPr>
              <w:pStyle w:val="TableParagraph"/>
              <w:rPr>
                <w:rFonts w:ascii="Times New Roman"/>
                <w:sz w:val="16"/>
              </w:rPr>
            </w:pPr>
          </w:p>
          <w:p>
            <w:pPr>
              <w:pStyle w:val="TableParagraph"/>
              <w:spacing w:before="104"/>
              <w:rPr>
                <w:rFonts w:ascii="Times New Roman"/>
                <w:sz w:val="16"/>
              </w:rPr>
            </w:pPr>
          </w:p>
          <w:p>
            <w:pPr>
              <w:pStyle w:val="TableParagraph"/>
              <w:spacing w:line="180" w:lineRule="exact"/>
              <w:ind w:right="189"/>
              <w:jc w:val="right"/>
              <w:rPr>
                <w:sz w:val="16"/>
              </w:rPr>
            </w:pPr>
            <w:r>
              <w:rPr>
                <w:color w:val="313131"/>
                <w:spacing w:val="-5"/>
                <w:w w:val="110"/>
                <w:sz w:val="16"/>
              </w:rPr>
              <w:t>10</w:t>
            </w:r>
          </w:p>
        </w:tc>
        <w:tc>
          <w:tcPr>
            <w:tcW w:w="1207" w:type="dxa"/>
            <w:tcBorders>
              <w:bottom w:val="single" w:color="000000" w:sz="6" w:space="0"/>
            </w:tcBorders>
          </w:tcPr>
          <w:p>
            <w:pPr>
              <w:pStyle w:val="TableParagraph"/>
              <w:rPr>
                <w:rFonts w:ascii="Times New Roman"/>
                <w:sz w:val="16"/>
              </w:rPr>
            </w:pPr>
          </w:p>
          <w:p>
            <w:pPr>
              <w:pStyle w:val="TableParagraph"/>
              <w:spacing w:before="94"/>
              <w:rPr>
                <w:rFonts w:ascii="Times New Roman"/>
                <w:sz w:val="16"/>
              </w:rPr>
            </w:pPr>
          </w:p>
          <w:p>
            <w:pPr>
              <w:pStyle w:val="TableParagraph"/>
              <w:spacing w:line="180" w:lineRule="exact"/>
              <w:ind w:right="140"/>
              <w:jc w:val="right"/>
              <w:rPr>
                <w:sz w:val="16"/>
              </w:rPr>
            </w:pPr>
            <w:r>
              <w:rPr>
                <w:color w:val="313131"/>
                <w:spacing w:val="-2"/>
                <w:sz w:val="16"/>
              </w:rPr>
              <w:t>(23,058)</w:t>
            </w:r>
          </w:p>
        </w:tc>
        <w:tc>
          <w:tcPr>
            <w:tcW w:w="873" w:type="dxa"/>
            <w:tcBorders>
              <w:bottom w:val="single" w:color="000000" w:sz="6" w:space="0"/>
            </w:tcBorders>
          </w:tcPr>
          <w:p>
            <w:pPr>
              <w:pStyle w:val="TableParagraph"/>
              <w:rPr>
                <w:rFonts w:ascii="Times New Roman"/>
                <w:sz w:val="16"/>
              </w:rPr>
            </w:pPr>
          </w:p>
          <w:p>
            <w:pPr>
              <w:pStyle w:val="TableParagraph"/>
              <w:spacing w:before="94"/>
              <w:rPr>
                <w:rFonts w:ascii="Times New Roman"/>
                <w:sz w:val="16"/>
              </w:rPr>
            </w:pPr>
          </w:p>
          <w:p>
            <w:pPr>
              <w:pStyle w:val="TableParagraph"/>
              <w:spacing w:line="180" w:lineRule="exact"/>
              <w:ind w:right="7"/>
              <w:jc w:val="right"/>
              <w:rPr>
                <w:sz w:val="16"/>
              </w:rPr>
            </w:pPr>
            <w:r>
              <w:rPr>
                <w:color w:val="4F4F4F"/>
                <w:spacing w:val="-2"/>
                <w:sz w:val="16"/>
              </w:rPr>
              <w:t>(</w:t>
            </w:r>
            <w:r>
              <w:rPr>
                <w:color w:val="313131"/>
                <w:spacing w:val="-2"/>
                <w:sz w:val="16"/>
              </w:rPr>
              <w:t>22</w:t>
            </w:r>
            <w:r>
              <w:rPr>
                <w:color w:val="727272"/>
                <w:spacing w:val="-2"/>
                <w:sz w:val="16"/>
              </w:rPr>
              <w:t>,</w:t>
            </w:r>
            <w:r>
              <w:rPr>
                <w:color w:val="313131"/>
                <w:spacing w:val="-2"/>
                <w:sz w:val="16"/>
              </w:rPr>
              <w:t>4</w:t>
            </w:r>
            <w:r>
              <w:rPr>
                <w:color w:val="111111"/>
                <w:spacing w:val="-2"/>
                <w:sz w:val="16"/>
              </w:rPr>
              <w:t>4</w:t>
            </w:r>
            <w:r>
              <w:rPr>
                <w:color w:val="313131"/>
                <w:spacing w:val="-2"/>
                <w:sz w:val="16"/>
              </w:rPr>
              <w:t>6</w:t>
            </w:r>
            <w:r>
              <w:rPr>
                <w:color w:val="4F4F4F"/>
                <w:spacing w:val="-2"/>
                <w:sz w:val="16"/>
              </w:rPr>
              <w:t>)</w:t>
            </w:r>
          </w:p>
        </w:tc>
      </w:tr>
      <w:tr>
        <w:trPr>
          <w:trHeight w:val="180" w:hRule="atLeast"/>
        </w:trPr>
        <w:tc>
          <w:tcPr>
            <w:tcW w:w="4919" w:type="dxa"/>
            <w:tcBorders>
              <w:top w:val="single" w:color="000000" w:sz="6" w:space="0"/>
            </w:tcBorders>
          </w:tcPr>
          <w:p>
            <w:pPr>
              <w:pStyle w:val="TableParagraph"/>
              <w:spacing w:line="141" w:lineRule="exact"/>
              <w:ind w:right="298"/>
              <w:jc w:val="right"/>
              <w:rPr>
                <w:sz w:val="16"/>
              </w:rPr>
            </w:pPr>
            <w:r>
              <w:rPr>
                <w:color w:val="111111"/>
                <w:spacing w:val="-2"/>
                <w:sz w:val="16"/>
              </w:rPr>
              <w:t>(40,277)</w:t>
            </w:r>
          </w:p>
        </w:tc>
        <w:tc>
          <w:tcPr>
            <w:tcW w:w="992" w:type="dxa"/>
            <w:tcBorders>
              <w:top w:val="single" w:color="000000" w:sz="6" w:space="0"/>
            </w:tcBorders>
          </w:tcPr>
          <w:p>
            <w:pPr>
              <w:pStyle w:val="TableParagraph"/>
              <w:spacing w:line="141" w:lineRule="exact"/>
              <w:ind w:right="157"/>
              <w:jc w:val="right"/>
              <w:rPr>
                <w:sz w:val="16"/>
              </w:rPr>
            </w:pPr>
            <w:r>
              <w:rPr>
                <w:color w:val="111111"/>
                <w:spacing w:val="-2"/>
                <w:sz w:val="16"/>
              </w:rPr>
              <w:t>(5,086)</w:t>
            </w:r>
          </w:p>
        </w:tc>
        <w:tc>
          <w:tcPr>
            <w:tcW w:w="1140" w:type="dxa"/>
            <w:tcBorders>
              <w:top w:val="single" w:color="000000" w:sz="6" w:space="0"/>
            </w:tcBorders>
          </w:tcPr>
          <w:p>
            <w:pPr>
              <w:pStyle w:val="TableParagraph"/>
              <w:spacing w:line="141" w:lineRule="exact"/>
              <w:ind w:right="158"/>
              <w:jc w:val="right"/>
              <w:rPr>
                <w:sz w:val="16"/>
              </w:rPr>
            </w:pPr>
            <w:r>
              <w:rPr>
                <w:color w:val="111111"/>
                <w:spacing w:val="-2"/>
                <w:sz w:val="16"/>
              </w:rPr>
              <w:t>(18,325)</w:t>
            </w:r>
          </w:p>
        </w:tc>
        <w:tc>
          <w:tcPr>
            <w:tcW w:w="1156" w:type="dxa"/>
            <w:tcBorders>
              <w:top w:val="single" w:color="000000" w:sz="6" w:space="0"/>
            </w:tcBorders>
          </w:tcPr>
          <w:p>
            <w:pPr>
              <w:pStyle w:val="TableParagraph"/>
              <w:spacing w:line="141" w:lineRule="exact"/>
              <w:ind w:right="184"/>
              <w:jc w:val="right"/>
              <w:rPr>
                <w:b/>
                <w:sz w:val="16"/>
              </w:rPr>
            </w:pPr>
            <w:r>
              <w:rPr>
                <w:b/>
                <w:color w:val="111111"/>
                <w:spacing w:val="-2"/>
                <w:sz w:val="16"/>
              </w:rPr>
              <w:t>(63,688)</w:t>
            </w:r>
          </w:p>
        </w:tc>
        <w:tc>
          <w:tcPr>
            <w:tcW w:w="1393" w:type="dxa"/>
            <w:tcBorders>
              <w:top w:val="single" w:color="000000" w:sz="6" w:space="0"/>
            </w:tcBorders>
          </w:tcPr>
          <w:p>
            <w:pPr>
              <w:pStyle w:val="TableParagraph"/>
              <w:spacing w:line="141" w:lineRule="exact"/>
              <w:ind w:right="121"/>
              <w:jc w:val="right"/>
              <w:rPr>
                <w:b/>
                <w:sz w:val="16"/>
              </w:rPr>
            </w:pPr>
            <w:r>
              <w:rPr>
                <w:b/>
                <w:color w:val="111111"/>
                <w:spacing w:val="-2"/>
                <w:sz w:val="16"/>
              </w:rPr>
              <w:t>(175)</w:t>
            </w:r>
          </w:p>
        </w:tc>
        <w:tc>
          <w:tcPr>
            <w:tcW w:w="1220" w:type="dxa"/>
            <w:tcBorders>
              <w:top w:val="single" w:color="000000" w:sz="6" w:space="0"/>
            </w:tcBorders>
          </w:tcPr>
          <w:p>
            <w:pPr>
              <w:pStyle w:val="TableParagraph"/>
              <w:spacing w:line="141" w:lineRule="exact"/>
              <w:ind w:right="127"/>
              <w:jc w:val="right"/>
              <w:rPr>
                <w:b/>
                <w:sz w:val="16"/>
              </w:rPr>
            </w:pPr>
            <w:r>
              <w:rPr>
                <w:b/>
                <w:color w:val="111111"/>
                <w:spacing w:val="-2"/>
                <w:sz w:val="16"/>
              </w:rPr>
              <w:t>(63,863)</w:t>
            </w:r>
          </w:p>
        </w:tc>
        <w:tc>
          <w:tcPr>
            <w:tcW w:w="1019" w:type="dxa"/>
            <w:tcBorders>
              <w:top w:val="single" w:color="000000" w:sz="6" w:space="0"/>
            </w:tcBorders>
          </w:tcPr>
          <w:p>
            <w:pPr>
              <w:pStyle w:val="TableParagraph"/>
              <w:spacing w:line="141" w:lineRule="exact"/>
              <w:ind w:left="90" w:right="56"/>
              <w:jc w:val="center"/>
              <w:rPr>
                <w:sz w:val="16"/>
              </w:rPr>
            </w:pPr>
            <w:r>
              <w:rPr>
                <w:color w:val="111111"/>
                <w:spacing w:val="-2"/>
                <w:sz w:val="16"/>
              </w:rPr>
              <w:t>(117,279)</w:t>
            </w:r>
          </w:p>
        </w:tc>
        <w:tc>
          <w:tcPr>
            <w:tcW w:w="1366" w:type="dxa"/>
            <w:tcBorders>
              <w:top w:val="single" w:color="000000" w:sz="6" w:space="0"/>
            </w:tcBorders>
          </w:tcPr>
          <w:p>
            <w:pPr>
              <w:pStyle w:val="TableParagraph"/>
              <w:spacing w:line="141" w:lineRule="exact"/>
              <w:ind w:right="199"/>
              <w:jc w:val="right"/>
              <w:rPr>
                <w:sz w:val="16"/>
              </w:rPr>
            </w:pPr>
            <w:r>
              <w:rPr>
                <w:color w:val="111111"/>
                <w:spacing w:val="-4"/>
                <w:sz w:val="16"/>
              </w:rPr>
              <w:t>(97)</w:t>
            </w:r>
          </w:p>
        </w:tc>
        <w:tc>
          <w:tcPr>
            <w:tcW w:w="1207" w:type="dxa"/>
            <w:tcBorders>
              <w:top w:val="single" w:color="000000" w:sz="6" w:space="0"/>
            </w:tcBorders>
          </w:tcPr>
          <w:p>
            <w:pPr>
              <w:pStyle w:val="TableParagraph"/>
              <w:spacing w:line="141" w:lineRule="exact"/>
              <w:ind w:right="125"/>
              <w:jc w:val="right"/>
              <w:rPr>
                <w:sz w:val="16"/>
              </w:rPr>
            </w:pPr>
            <w:r>
              <w:rPr>
                <w:color w:val="111111"/>
                <w:spacing w:val="-2"/>
                <w:sz w:val="16"/>
              </w:rPr>
              <w:t>(117</w:t>
            </w:r>
            <w:r>
              <w:rPr>
                <w:color w:val="4F4F4F"/>
                <w:spacing w:val="-2"/>
                <w:sz w:val="16"/>
              </w:rPr>
              <w:t>,</w:t>
            </w:r>
            <w:r>
              <w:rPr>
                <w:color w:val="111111"/>
                <w:spacing w:val="-2"/>
                <w:sz w:val="16"/>
              </w:rPr>
              <w:t>376)</w:t>
            </w:r>
          </w:p>
        </w:tc>
        <w:tc>
          <w:tcPr>
            <w:tcW w:w="873" w:type="dxa"/>
            <w:tcBorders>
              <w:top w:val="single" w:color="000000" w:sz="6" w:space="0"/>
            </w:tcBorders>
          </w:tcPr>
          <w:p>
            <w:pPr>
              <w:pStyle w:val="TableParagraph"/>
              <w:spacing w:line="141" w:lineRule="exact"/>
              <w:ind w:right="23"/>
              <w:jc w:val="right"/>
              <w:rPr>
                <w:b/>
                <w:sz w:val="16"/>
              </w:rPr>
            </w:pPr>
            <w:r>
              <w:rPr>
                <w:b/>
                <w:color w:val="111111"/>
                <w:spacing w:val="-2"/>
                <w:sz w:val="16"/>
              </w:rPr>
              <w:t>(181,239)</w:t>
            </w:r>
          </w:p>
        </w:tc>
      </w:tr>
    </w:tbl>
    <w:p>
      <w:pPr>
        <w:tabs>
          <w:tab w:val="left" w:leader="none" w:pos="3777"/>
          <w:tab w:val="left" w:leader="none" w:pos="15783"/>
        </w:tabs>
        <w:spacing w:before="48"/>
        <w:ind w:left="601" w:right="0" w:firstLine="0"/>
        <w:jc w:val="left"/>
        <w:rPr>
          <w:sz w:val="16"/>
        </w:rPr>
      </w:pPr>
      <w:r>
        <w:rPr>
          <w:color w:val="111111"/>
          <w:w w:val="105"/>
          <w:sz w:val="16"/>
        </w:rPr>
        <w:t>Balance</w:t>
      </w:r>
      <w:r>
        <w:rPr>
          <w:color w:val="111111"/>
          <w:spacing w:val="-3"/>
          <w:w w:val="105"/>
          <w:sz w:val="16"/>
        </w:rPr>
        <w:t> </w:t>
      </w:r>
      <w:r>
        <w:rPr>
          <w:color w:val="111111"/>
          <w:w w:val="105"/>
          <w:sz w:val="16"/>
        </w:rPr>
        <w:t>at</w:t>
      </w:r>
      <w:r>
        <w:rPr>
          <w:color w:val="111111"/>
          <w:spacing w:val="-3"/>
          <w:w w:val="105"/>
          <w:sz w:val="16"/>
        </w:rPr>
        <w:t> </w:t>
      </w:r>
      <w:r>
        <w:rPr>
          <w:color w:val="111111"/>
          <w:w w:val="105"/>
          <w:sz w:val="16"/>
        </w:rPr>
        <w:t>31</w:t>
      </w:r>
      <w:r>
        <w:rPr>
          <w:color w:val="111111"/>
          <w:spacing w:val="-11"/>
          <w:w w:val="105"/>
          <w:sz w:val="16"/>
        </w:rPr>
        <w:t> </w:t>
      </w:r>
      <w:r>
        <w:rPr>
          <w:color w:val="111111"/>
          <w:w w:val="105"/>
          <w:sz w:val="16"/>
        </w:rPr>
        <w:t>March</w:t>
      </w:r>
      <w:r>
        <w:rPr>
          <w:color w:val="111111"/>
          <w:spacing w:val="-3"/>
          <w:w w:val="105"/>
          <w:sz w:val="16"/>
        </w:rPr>
        <w:t> </w:t>
      </w:r>
      <w:r>
        <w:rPr>
          <w:color w:val="111111"/>
          <w:spacing w:val="-4"/>
          <w:w w:val="105"/>
          <w:sz w:val="16"/>
        </w:rPr>
        <w:t>2022</w:t>
      </w:r>
      <w:r>
        <w:rPr>
          <w:color w:val="111111"/>
          <w:sz w:val="16"/>
        </w:rPr>
        <w:tab/>
      </w:r>
      <w:r>
        <w:rPr>
          <w:color w:val="111111"/>
          <w:sz w:val="16"/>
          <w:u w:val="single" w:color="000000"/>
        </w:rPr>
        <w:tab/>
      </w:r>
    </w:p>
    <w:p>
      <w:pPr>
        <w:pStyle w:val="BodyText"/>
        <w:rPr>
          <w:sz w:val="20"/>
        </w:rPr>
      </w:pPr>
    </w:p>
    <w:p>
      <w:pPr>
        <w:pStyle w:val="BodyText"/>
        <w:spacing w:before="159"/>
        <w:rPr>
          <w:sz w:val="20"/>
        </w:rPr>
      </w:pPr>
    </w:p>
    <w:tbl>
      <w:tblPr>
        <w:tblW w:w="0" w:type="auto"/>
        <w:jc w:val="left"/>
        <w:tblInd w:w="55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235"/>
        <w:gridCol w:w="1358"/>
        <w:gridCol w:w="1109"/>
        <w:gridCol w:w="1152"/>
        <w:gridCol w:w="1148"/>
        <w:gridCol w:w="1389"/>
        <w:gridCol w:w="1262"/>
        <w:gridCol w:w="1024"/>
        <w:gridCol w:w="1407"/>
        <w:gridCol w:w="1231"/>
        <w:gridCol w:w="903"/>
        <w:gridCol w:w="111"/>
      </w:tblGrid>
      <w:tr>
        <w:trPr>
          <w:trHeight w:val="820" w:hRule="atLeast"/>
        </w:trPr>
        <w:tc>
          <w:tcPr>
            <w:tcW w:w="4593" w:type="dxa"/>
            <w:gridSpan w:val="2"/>
          </w:tcPr>
          <w:p>
            <w:pPr>
              <w:pStyle w:val="TableParagraph"/>
              <w:rPr>
                <w:sz w:val="16"/>
              </w:rPr>
            </w:pPr>
          </w:p>
          <w:p>
            <w:pPr>
              <w:pStyle w:val="TableParagraph"/>
              <w:spacing w:before="6"/>
              <w:rPr>
                <w:sz w:val="16"/>
              </w:rPr>
            </w:pPr>
          </w:p>
          <w:p>
            <w:pPr>
              <w:pStyle w:val="TableParagraph"/>
              <w:spacing w:before="1" w:line="244" w:lineRule="auto"/>
              <w:ind w:left="3579" w:hanging="209"/>
              <w:rPr>
                <w:sz w:val="16"/>
              </w:rPr>
            </w:pPr>
            <w:r>
              <w:rPr>
                <w:color w:val="111111"/>
                <w:w w:val="105"/>
                <w:sz w:val="16"/>
              </w:rPr>
              <w:t>General</w:t>
            </w:r>
            <w:r>
              <w:rPr>
                <w:color w:val="111111"/>
                <w:spacing w:val="-12"/>
                <w:w w:val="105"/>
                <w:sz w:val="16"/>
              </w:rPr>
              <w:t> </w:t>
            </w:r>
            <w:r>
              <w:rPr>
                <w:color w:val="111111"/>
                <w:w w:val="105"/>
                <w:sz w:val="16"/>
              </w:rPr>
              <w:t>Fund </w:t>
            </w:r>
            <w:r>
              <w:rPr>
                <w:color w:val="111111"/>
                <w:spacing w:val="-2"/>
                <w:w w:val="105"/>
                <w:sz w:val="16"/>
              </w:rPr>
              <w:t>Balance</w:t>
            </w:r>
          </w:p>
        </w:tc>
        <w:tc>
          <w:tcPr>
            <w:tcW w:w="1109" w:type="dxa"/>
          </w:tcPr>
          <w:p>
            <w:pPr>
              <w:pStyle w:val="TableParagraph"/>
              <w:spacing w:before="8"/>
              <w:rPr>
                <w:sz w:val="16"/>
              </w:rPr>
            </w:pPr>
          </w:p>
          <w:p>
            <w:pPr>
              <w:pStyle w:val="TableParagraph"/>
              <w:ind w:left="163" w:right="269" w:hanging="1"/>
              <w:jc w:val="center"/>
              <w:rPr>
                <w:sz w:val="16"/>
              </w:rPr>
            </w:pPr>
            <w:r>
              <w:rPr>
                <w:color w:val="111111"/>
                <w:spacing w:val="-2"/>
                <w:w w:val="105"/>
                <w:sz w:val="16"/>
              </w:rPr>
              <w:t>Capital Receipts Reserve</w:t>
            </w:r>
          </w:p>
        </w:tc>
        <w:tc>
          <w:tcPr>
            <w:tcW w:w="1152" w:type="dxa"/>
          </w:tcPr>
          <w:p>
            <w:pPr>
              <w:pStyle w:val="TableParagraph"/>
              <w:spacing w:before="3"/>
              <w:rPr>
                <w:sz w:val="16"/>
              </w:rPr>
            </w:pPr>
          </w:p>
          <w:p>
            <w:pPr>
              <w:pStyle w:val="TableParagraph"/>
              <w:spacing w:line="242" w:lineRule="auto"/>
              <w:ind w:left="141" w:right="228" w:hanging="6"/>
              <w:jc w:val="center"/>
              <w:rPr>
                <w:sz w:val="16"/>
              </w:rPr>
            </w:pPr>
            <w:r>
              <w:rPr>
                <w:color w:val="111111"/>
                <w:spacing w:val="-2"/>
                <w:w w:val="105"/>
                <w:sz w:val="16"/>
              </w:rPr>
              <w:t>Capital Grants Unapplied</w:t>
            </w:r>
          </w:p>
        </w:tc>
        <w:tc>
          <w:tcPr>
            <w:tcW w:w="1148" w:type="dxa"/>
          </w:tcPr>
          <w:p>
            <w:pPr>
              <w:pStyle w:val="TableParagraph"/>
              <w:spacing w:line="242" w:lineRule="auto"/>
              <w:ind w:left="158" w:right="276" w:firstLine="3"/>
              <w:jc w:val="center"/>
              <w:rPr>
                <w:sz w:val="16"/>
              </w:rPr>
            </w:pPr>
            <w:r>
              <w:rPr>
                <w:color w:val="111111"/>
                <w:spacing w:val="-2"/>
                <w:w w:val="105"/>
                <w:sz w:val="16"/>
              </w:rPr>
              <w:t>Total Usable Reserves </w:t>
            </w:r>
            <w:r>
              <w:rPr>
                <w:color w:val="111111"/>
                <w:spacing w:val="-4"/>
                <w:w w:val="105"/>
                <w:sz w:val="16"/>
              </w:rPr>
              <w:t>HBC</w:t>
            </w:r>
          </w:p>
        </w:tc>
        <w:tc>
          <w:tcPr>
            <w:tcW w:w="1389" w:type="dxa"/>
          </w:tcPr>
          <w:p>
            <w:pPr>
              <w:pStyle w:val="TableParagraph"/>
              <w:spacing w:before="182" w:line="244" w:lineRule="auto"/>
              <w:ind w:left="60" w:right="163"/>
              <w:jc w:val="center"/>
              <w:rPr>
                <w:sz w:val="16"/>
              </w:rPr>
            </w:pPr>
            <w:r>
              <w:rPr>
                <w:color w:val="111111"/>
                <w:spacing w:val="-2"/>
                <w:w w:val="105"/>
                <w:sz w:val="16"/>
              </w:rPr>
              <w:t>Subsidiaries Usable Reserves</w:t>
            </w:r>
          </w:p>
        </w:tc>
        <w:tc>
          <w:tcPr>
            <w:tcW w:w="1262" w:type="dxa"/>
          </w:tcPr>
          <w:p>
            <w:pPr>
              <w:pStyle w:val="TableParagraph"/>
              <w:spacing w:before="182" w:line="244" w:lineRule="auto"/>
              <w:ind w:left="2" w:right="46"/>
              <w:jc w:val="center"/>
              <w:rPr>
                <w:sz w:val="16"/>
              </w:rPr>
            </w:pPr>
            <w:r>
              <w:rPr>
                <w:color w:val="111111"/>
                <w:w w:val="105"/>
                <w:sz w:val="16"/>
              </w:rPr>
              <w:t>Total</w:t>
            </w:r>
            <w:r>
              <w:rPr>
                <w:color w:val="111111"/>
                <w:spacing w:val="-12"/>
                <w:w w:val="105"/>
                <w:sz w:val="16"/>
              </w:rPr>
              <w:t> </w:t>
            </w:r>
            <w:r>
              <w:rPr>
                <w:color w:val="111111"/>
                <w:w w:val="105"/>
                <w:sz w:val="16"/>
              </w:rPr>
              <w:t>Usable </w:t>
            </w:r>
            <w:r>
              <w:rPr>
                <w:color w:val="111111"/>
                <w:spacing w:val="-2"/>
                <w:w w:val="105"/>
                <w:sz w:val="16"/>
              </w:rPr>
              <w:t>Reserves (Group)</w:t>
            </w:r>
          </w:p>
        </w:tc>
        <w:tc>
          <w:tcPr>
            <w:tcW w:w="1024" w:type="dxa"/>
          </w:tcPr>
          <w:p>
            <w:pPr>
              <w:pStyle w:val="TableParagraph"/>
              <w:ind w:left="115" w:right="181" w:firstLine="8"/>
              <w:jc w:val="center"/>
              <w:rPr>
                <w:sz w:val="16"/>
              </w:rPr>
            </w:pPr>
            <w:r>
              <w:rPr>
                <w:color w:val="111111"/>
                <w:spacing w:val="-2"/>
                <w:w w:val="105"/>
                <w:sz w:val="16"/>
              </w:rPr>
              <w:t>Total Unusable Reserves </w:t>
            </w:r>
            <w:r>
              <w:rPr>
                <w:color w:val="111111"/>
                <w:spacing w:val="-4"/>
                <w:w w:val="105"/>
                <w:sz w:val="16"/>
              </w:rPr>
              <w:t>HBC</w:t>
            </w:r>
          </w:p>
        </w:tc>
        <w:tc>
          <w:tcPr>
            <w:tcW w:w="1407" w:type="dxa"/>
          </w:tcPr>
          <w:p>
            <w:pPr>
              <w:pStyle w:val="TableParagraph"/>
              <w:spacing w:before="182" w:line="242" w:lineRule="auto"/>
              <w:ind w:left="270" w:hanging="115"/>
              <w:rPr>
                <w:sz w:val="16"/>
              </w:rPr>
            </w:pPr>
            <w:r>
              <w:rPr>
                <w:color w:val="111111"/>
                <w:spacing w:val="-2"/>
                <w:w w:val="105"/>
                <w:sz w:val="16"/>
              </w:rPr>
              <w:t>Subsidiaries Unusable Reserves</w:t>
            </w:r>
          </w:p>
        </w:tc>
        <w:tc>
          <w:tcPr>
            <w:tcW w:w="1231" w:type="dxa"/>
          </w:tcPr>
          <w:p>
            <w:pPr>
              <w:pStyle w:val="TableParagraph"/>
              <w:spacing w:before="1" w:line="237" w:lineRule="auto"/>
              <w:ind w:left="195" w:right="308" w:firstLine="5"/>
              <w:jc w:val="center"/>
              <w:rPr>
                <w:sz w:val="16"/>
              </w:rPr>
            </w:pPr>
            <w:r>
              <w:rPr>
                <w:color w:val="111111"/>
                <w:spacing w:val="-2"/>
                <w:w w:val="105"/>
                <w:sz w:val="16"/>
              </w:rPr>
              <w:t>Total Unusable Reserves (Group)</w:t>
            </w:r>
          </w:p>
        </w:tc>
        <w:tc>
          <w:tcPr>
            <w:tcW w:w="1014" w:type="dxa"/>
            <w:gridSpan w:val="2"/>
          </w:tcPr>
          <w:p>
            <w:pPr>
              <w:pStyle w:val="TableParagraph"/>
              <w:spacing w:line="237" w:lineRule="auto"/>
              <w:ind w:left="133" w:right="167" w:firstLine="12"/>
              <w:jc w:val="center"/>
              <w:rPr>
                <w:sz w:val="16"/>
              </w:rPr>
            </w:pPr>
            <w:r>
              <w:rPr>
                <w:color w:val="111111"/>
                <w:spacing w:val="-2"/>
                <w:w w:val="105"/>
                <w:sz w:val="16"/>
              </w:rPr>
              <w:t>Total Authority Reserves (Group)</w:t>
            </w:r>
          </w:p>
        </w:tc>
      </w:tr>
      <w:tr>
        <w:trPr>
          <w:trHeight w:val="293" w:hRule="atLeast"/>
        </w:trPr>
        <w:tc>
          <w:tcPr>
            <w:tcW w:w="4593" w:type="dxa"/>
            <w:gridSpan w:val="2"/>
          </w:tcPr>
          <w:p>
            <w:pPr>
              <w:pStyle w:val="TableParagraph"/>
              <w:spacing w:before="83"/>
              <w:ind w:right="523"/>
              <w:jc w:val="right"/>
              <w:rPr>
                <w:sz w:val="16"/>
              </w:rPr>
            </w:pPr>
            <w:r>
              <w:rPr>
                <w:color w:val="111111"/>
                <w:spacing w:val="-4"/>
                <w:sz w:val="16"/>
              </w:rPr>
              <w:t>£000</w:t>
            </w:r>
          </w:p>
        </w:tc>
        <w:tc>
          <w:tcPr>
            <w:tcW w:w="1109" w:type="dxa"/>
          </w:tcPr>
          <w:p>
            <w:pPr>
              <w:pStyle w:val="TableParagraph"/>
              <w:spacing w:before="83"/>
              <w:ind w:left="323"/>
              <w:rPr>
                <w:sz w:val="16"/>
              </w:rPr>
            </w:pPr>
            <w:r>
              <w:rPr>
                <w:color w:val="111111"/>
                <w:spacing w:val="-4"/>
                <w:sz w:val="16"/>
              </w:rPr>
              <w:t>£000</w:t>
            </w:r>
          </w:p>
        </w:tc>
        <w:tc>
          <w:tcPr>
            <w:tcW w:w="1152" w:type="dxa"/>
          </w:tcPr>
          <w:p>
            <w:pPr>
              <w:pStyle w:val="TableParagraph"/>
              <w:spacing w:before="83"/>
              <w:ind w:left="354"/>
              <w:rPr>
                <w:sz w:val="16"/>
              </w:rPr>
            </w:pPr>
            <w:r>
              <w:rPr>
                <w:color w:val="111111"/>
                <w:spacing w:val="-4"/>
                <w:sz w:val="16"/>
              </w:rPr>
              <w:t>£000</w:t>
            </w:r>
          </w:p>
        </w:tc>
        <w:tc>
          <w:tcPr>
            <w:tcW w:w="1148" w:type="dxa"/>
          </w:tcPr>
          <w:p>
            <w:pPr>
              <w:pStyle w:val="TableParagraph"/>
              <w:spacing w:before="78"/>
              <w:ind w:left="337"/>
              <w:rPr>
                <w:sz w:val="16"/>
              </w:rPr>
            </w:pPr>
            <w:r>
              <w:rPr>
                <w:color w:val="111111"/>
                <w:spacing w:val="-4"/>
                <w:sz w:val="16"/>
              </w:rPr>
              <w:t>£000</w:t>
            </w:r>
          </w:p>
        </w:tc>
        <w:tc>
          <w:tcPr>
            <w:tcW w:w="1389" w:type="dxa"/>
          </w:tcPr>
          <w:p>
            <w:pPr>
              <w:pStyle w:val="TableParagraph"/>
              <w:spacing w:before="78"/>
              <w:ind w:left="67" w:right="163"/>
              <w:jc w:val="center"/>
              <w:rPr>
                <w:sz w:val="16"/>
              </w:rPr>
            </w:pPr>
            <w:r>
              <w:rPr>
                <w:color w:val="111111"/>
                <w:spacing w:val="-4"/>
                <w:sz w:val="16"/>
              </w:rPr>
              <w:t>£000</w:t>
            </w:r>
          </w:p>
        </w:tc>
        <w:tc>
          <w:tcPr>
            <w:tcW w:w="1262" w:type="dxa"/>
          </w:tcPr>
          <w:p>
            <w:pPr>
              <w:pStyle w:val="TableParagraph"/>
              <w:spacing w:before="78"/>
              <w:ind w:right="46"/>
              <w:jc w:val="center"/>
              <w:rPr>
                <w:sz w:val="16"/>
              </w:rPr>
            </w:pPr>
            <w:r>
              <w:rPr>
                <w:color w:val="111111"/>
                <w:spacing w:val="-4"/>
                <w:sz w:val="16"/>
              </w:rPr>
              <w:t>£000</w:t>
            </w:r>
          </w:p>
        </w:tc>
        <w:tc>
          <w:tcPr>
            <w:tcW w:w="1024" w:type="dxa"/>
          </w:tcPr>
          <w:p>
            <w:pPr>
              <w:pStyle w:val="TableParagraph"/>
              <w:spacing w:before="78"/>
              <w:ind w:left="304"/>
              <w:rPr>
                <w:sz w:val="16"/>
              </w:rPr>
            </w:pPr>
            <w:r>
              <w:rPr>
                <w:color w:val="111111"/>
                <w:spacing w:val="-4"/>
                <w:sz w:val="16"/>
              </w:rPr>
              <w:t>£000</w:t>
            </w:r>
          </w:p>
        </w:tc>
        <w:tc>
          <w:tcPr>
            <w:tcW w:w="1407" w:type="dxa"/>
          </w:tcPr>
          <w:p>
            <w:pPr>
              <w:pStyle w:val="TableParagraph"/>
              <w:spacing w:before="73"/>
              <w:ind w:left="458"/>
              <w:rPr>
                <w:sz w:val="16"/>
              </w:rPr>
            </w:pPr>
            <w:r>
              <w:rPr>
                <w:color w:val="111111"/>
                <w:spacing w:val="-4"/>
                <w:sz w:val="16"/>
              </w:rPr>
              <w:t>£000</w:t>
            </w:r>
          </w:p>
        </w:tc>
        <w:tc>
          <w:tcPr>
            <w:tcW w:w="1231" w:type="dxa"/>
          </w:tcPr>
          <w:p>
            <w:pPr>
              <w:pStyle w:val="TableParagraph"/>
              <w:spacing w:before="73"/>
              <w:ind w:left="379"/>
              <w:rPr>
                <w:sz w:val="16"/>
              </w:rPr>
            </w:pPr>
            <w:r>
              <w:rPr>
                <w:color w:val="111111"/>
                <w:spacing w:val="-4"/>
                <w:sz w:val="16"/>
              </w:rPr>
              <w:t>£000</w:t>
            </w:r>
          </w:p>
        </w:tc>
        <w:tc>
          <w:tcPr>
            <w:tcW w:w="1014" w:type="dxa"/>
            <w:gridSpan w:val="2"/>
          </w:tcPr>
          <w:p>
            <w:pPr>
              <w:pStyle w:val="TableParagraph"/>
              <w:spacing w:before="69"/>
              <w:ind w:left="312"/>
              <w:rPr>
                <w:sz w:val="16"/>
              </w:rPr>
            </w:pPr>
            <w:r>
              <w:rPr>
                <w:color w:val="111111"/>
                <w:spacing w:val="-4"/>
                <w:sz w:val="16"/>
              </w:rPr>
              <w:t>£000</w:t>
            </w:r>
          </w:p>
        </w:tc>
      </w:tr>
      <w:tr>
        <w:trPr>
          <w:trHeight w:val="250" w:hRule="atLeast"/>
        </w:trPr>
        <w:tc>
          <w:tcPr>
            <w:tcW w:w="4593" w:type="dxa"/>
            <w:gridSpan w:val="2"/>
          </w:tcPr>
          <w:p>
            <w:pPr>
              <w:pStyle w:val="TableParagraph"/>
              <w:spacing w:before="40"/>
              <w:ind w:right="172"/>
              <w:jc w:val="right"/>
              <w:rPr>
                <w:sz w:val="16"/>
              </w:rPr>
            </w:pPr>
            <w:r>
              <w:rPr>
                <w:color w:val="111111"/>
                <w:spacing w:val="-2"/>
                <w:sz w:val="16"/>
              </w:rPr>
              <w:t>(40,277)</w:t>
            </w:r>
          </w:p>
        </w:tc>
        <w:tc>
          <w:tcPr>
            <w:tcW w:w="1109" w:type="dxa"/>
          </w:tcPr>
          <w:p>
            <w:pPr>
              <w:pStyle w:val="TableParagraph"/>
              <w:spacing w:before="40"/>
              <w:ind w:right="148"/>
              <w:jc w:val="right"/>
              <w:rPr>
                <w:sz w:val="16"/>
              </w:rPr>
            </w:pPr>
            <w:r>
              <w:rPr>
                <w:color w:val="111111"/>
                <w:spacing w:val="-2"/>
                <w:sz w:val="16"/>
              </w:rPr>
              <w:t>(5,086)</w:t>
            </w:r>
          </w:p>
        </w:tc>
        <w:tc>
          <w:tcPr>
            <w:tcW w:w="1152" w:type="dxa"/>
          </w:tcPr>
          <w:p>
            <w:pPr>
              <w:pStyle w:val="TableParagraph"/>
              <w:spacing w:before="35"/>
              <w:ind w:right="164"/>
              <w:jc w:val="right"/>
              <w:rPr>
                <w:sz w:val="16"/>
              </w:rPr>
            </w:pPr>
            <w:r>
              <w:rPr>
                <w:color w:val="111111"/>
                <w:spacing w:val="-2"/>
                <w:sz w:val="16"/>
              </w:rPr>
              <w:t>(18,325)</w:t>
            </w:r>
          </w:p>
        </w:tc>
        <w:tc>
          <w:tcPr>
            <w:tcW w:w="1148" w:type="dxa"/>
          </w:tcPr>
          <w:p>
            <w:pPr>
              <w:pStyle w:val="TableParagraph"/>
              <w:spacing w:before="35"/>
              <w:ind w:right="177"/>
              <w:jc w:val="right"/>
              <w:rPr>
                <w:sz w:val="16"/>
              </w:rPr>
            </w:pPr>
            <w:r>
              <w:rPr>
                <w:color w:val="111111"/>
                <w:spacing w:val="-2"/>
                <w:sz w:val="16"/>
              </w:rPr>
              <w:t>(63,688)</w:t>
            </w:r>
          </w:p>
        </w:tc>
        <w:tc>
          <w:tcPr>
            <w:tcW w:w="1389" w:type="dxa"/>
          </w:tcPr>
          <w:p>
            <w:pPr>
              <w:pStyle w:val="TableParagraph"/>
              <w:spacing w:before="30"/>
              <w:ind w:right="142"/>
              <w:jc w:val="right"/>
              <w:rPr>
                <w:sz w:val="16"/>
              </w:rPr>
            </w:pPr>
            <w:r>
              <w:rPr>
                <w:color w:val="111111"/>
                <w:spacing w:val="-2"/>
                <w:sz w:val="16"/>
              </w:rPr>
              <w:t>(175)</w:t>
            </w:r>
          </w:p>
        </w:tc>
        <w:tc>
          <w:tcPr>
            <w:tcW w:w="1262" w:type="dxa"/>
          </w:tcPr>
          <w:p>
            <w:pPr>
              <w:pStyle w:val="TableParagraph"/>
              <w:spacing w:before="30"/>
              <w:ind w:right="129"/>
              <w:jc w:val="right"/>
              <w:rPr>
                <w:sz w:val="16"/>
              </w:rPr>
            </w:pPr>
            <w:r>
              <w:rPr>
                <w:color w:val="111111"/>
                <w:spacing w:val="-2"/>
                <w:sz w:val="16"/>
              </w:rPr>
              <w:t>(63,863)</w:t>
            </w:r>
          </w:p>
        </w:tc>
        <w:tc>
          <w:tcPr>
            <w:tcW w:w="1024" w:type="dxa"/>
          </w:tcPr>
          <w:p>
            <w:pPr>
              <w:pStyle w:val="TableParagraph"/>
              <w:spacing w:before="30"/>
              <w:ind w:right="154"/>
              <w:jc w:val="right"/>
              <w:rPr>
                <w:sz w:val="16"/>
              </w:rPr>
            </w:pPr>
            <w:r>
              <w:rPr>
                <w:color w:val="111111"/>
                <w:spacing w:val="-2"/>
                <w:sz w:val="16"/>
              </w:rPr>
              <w:t>(117,279)</w:t>
            </w:r>
          </w:p>
        </w:tc>
        <w:tc>
          <w:tcPr>
            <w:tcW w:w="1407" w:type="dxa"/>
          </w:tcPr>
          <w:p>
            <w:pPr>
              <w:pStyle w:val="TableParagraph"/>
              <w:spacing w:before="25"/>
              <w:ind w:right="196"/>
              <w:jc w:val="right"/>
              <w:rPr>
                <w:sz w:val="16"/>
              </w:rPr>
            </w:pPr>
            <w:r>
              <w:rPr>
                <w:color w:val="111111"/>
                <w:spacing w:val="-4"/>
                <w:sz w:val="16"/>
              </w:rPr>
              <w:t>(97)</w:t>
            </w:r>
          </w:p>
        </w:tc>
        <w:tc>
          <w:tcPr>
            <w:tcW w:w="1231" w:type="dxa"/>
          </w:tcPr>
          <w:p>
            <w:pPr>
              <w:pStyle w:val="TableParagraph"/>
              <w:spacing w:before="21"/>
              <w:ind w:right="134"/>
              <w:jc w:val="right"/>
              <w:rPr>
                <w:sz w:val="16"/>
              </w:rPr>
            </w:pPr>
            <w:r>
              <w:rPr>
                <w:color w:val="111111"/>
                <w:spacing w:val="-2"/>
                <w:sz w:val="16"/>
              </w:rPr>
              <w:t>(117,376)</w:t>
            </w:r>
          </w:p>
        </w:tc>
        <w:tc>
          <w:tcPr>
            <w:tcW w:w="1014" w:type="dxa"/>
            <w:gridSpan w:val="2"/>
          </w:tcPr>
          <w:p>
            <w:pPr>
              <w:pStyle w:val="TableParagraph"/>
              <w:spacing w:before="21"/>
              <w:ind w:left="213"/>
              <w:rPr>
                <w:sz w:val="16"/>
              </w:rPr>
            </w:pPr>
            <w:r>
              <w:rPr>
                <w:color w:val="111111"/>
                <w:spacing w:val="-2"/>
                <w:sz w:val="16"/>
              </w:rPr>
              <w:t>(181,239)</w:t>
            </w:r>
          </w:p>
        </w:tc>
      </w:tr>
      <w:tr>
        <w:trPr>
          <w:trHeight w:val="204" w:hRule="atLeast"/>
        </w:trPr>
        <w:tc>
          <w:tcPr>
            <w:tcW w:w="4593" w:type="dxa"/>
            <w:gridSpan w:val="2"/>
          </w:tcPr>
          <w:p>
            <w:pPr>
              <w:pStyle w:val="TableParagraph"/>
              <w:spacing w:before="21" w:line="164" w:lineRule="exact"/>
              <w:ind w:left="53"/>
              <w:rPr>
                <w:sz w:val="16"/>
              </w:rPr>
            </w:pPr>
            <w:r>
              <w:rPr>
                <w:color w:val="111111"/>
                <w:w w:val="105"/>
                <w:sz w:val="16"/>
              </w:rPr>
              <w:t>Balance</w:t>
            </w:r>
            <w:r>
              <w:rPr>
                <w:color w:val="111111"/>
                <w:spacing w:val="3"/>
                <w:w w:val="105"/>
                <w:sz w:val="16"/>
              </w:rPr>
              <w:t> </w:t>
            </w:r>
            <w:r>
              <w:rPr>
                <w:color w:val="111111"/>
                <w:w w:val="105"/>
                <w:sz w:val="16"/>
              </w:rPr>
              <w:t>at</w:t>
            </w:r>
            <w:r>
              <w:rPr>
                <w:color w:val="111111"/>
                <w:spacing w:val="-3"/>
                <w:w w:val="105"/>
                <w:sz w:val="16"/>
              </w:rPr>
              <w:t> </w:t>
            </w:r>
            <w:r>
              <w:rPr>
                <w:color w:val="111111"/>
                <w:w w:val="105"/>
                <w:sz w:val="16"/>
              </w:rPr>
              <w:t>1</w:t>
            </w:r>
            <w:r>
              <w:rPr>
                <w:color w:val="111111"/>
                <w:spacing w:val="11"/>
                <w:w w:val="105"/>
                <w:sz w:val="16"/>
              </w:rPr>
              <w:t> </w:t>
            </w:r>
            <w:r>
              <w:rPr>
                <w:color w:val="111111"/>
                <w:w w:val="105"/>
                <w:sz w:val="16"/>
              </w:rPr>
              <w:t>April</w:t>
            </w:r>
            <w:r>
              <w:rPr>
                <w:color w:val="111111"/>
                <w:spacing w:val="-2"/>
                <w:w w:val="105"/>
                <w:sz w:val="16"/>
              </w:rPr>
              <w:t> </w:t>
            </w:r>
            <w:r>
              <w:rPr>
                <w:color w:val="111111"/>
                <w:spacing w:val="-4"/>
                <w:w w:val="105"/>
                <w:sz w:val="16"/>
              </w:rPr>
              <w:t>2022</w:t>
            </w:r>
          </w:p>
        </w:tc>
        <w:tc>
          <w:tcPr>
            <w:tcW w:w="1109" w:type="dxa"/>
          </w:tcPr>
          <w:p>
            <w:pPr>
              <w:pStyle w:val="TableParagraph"/>
              <w:rPr>
                <w:rFonts w:ascii="Times New Roman"/>
                <w:sz w:val="14"/>
              </w:rPr>
            </w:pPr>
          </w:p>
        </w:tc>
        <w:tc>
          <w:tcPr>
            <w:tcW w:w="1152" w:type="dxa"/>
          </w:tcPr>
          <w:p>
            <w:pPr>
              <w:pStyle w:val="TableParagraph"/>
              <w:rPr>
                <w:rFonts w:ascii="Times New Roman"/>
                <w:sz w:val="14"/>
              </w:rPr>
            </w:pPr>
          </w:p>
        </w:tc>
        <w:tc>
          <w:tcPr>
            <w:tcW w:w="1148" w:type="dxa"/>
          </w:tcPr>
          <w:p>
            <w:pPr>
              <w:pStyle w:val="TableParagraph"/>
              <w:rPr>
                <w:rFonts w:ascii="Times New Roman"/>
                <w:sz w:val="14"/>
              </w:rPr>
            </w:pPr>
          </w:p>
        </w:tc>
        <w:tc>
          <w:tcPr>
            <w:tcW w:w="1389" w:type="dxa"/>
          </w:tcPr>
          <w:p>
            <w:pPr>
              <w:pStyle w:val="TableParagraph"/>
              <w:rPr>
                <w:rFonts w:ascii="Times New Roman"/>
                <w:sz w:val="14"/>
              </w:rPr>
            </w:pPr>
          </w:p>
        </w:tc>
        <w:tc>
          <w:tcPr>
            <w:tcW w:w="1262" w:type="dxa"/>
          </w:tcPr>
          <w:p>
            <w:pPr>
              <w:pStyle w:val="TableParagraph"/>
              <w:rPr>
                <w:rFonts w:ascii="Times New Roman"/>
                <w:sz w:val="14"/>
              </w:rPr>
            </w:pPr>
          </w:p>
        </w:tc>
        <w:tc>
          <w:tcPr>
            <w:tcW w:w="1024" w:type="dxa"/>
          </w:tcPr>
          <w:p>
            <w:pPr>
              <w:pStyle w:val="TableParagraph"/>
              <w:rPr>
                <w:rFonts w:ascii="Times New Roman"/>
                <w:sz w:val="14"/>
              </w:rPr>
            </w:pPr>
          </w:p>
        </w:tc>
        <w:tc>
          <w:tcPr>
            <w:tcW w:w="1407" w:type="dxa"/>
          </w:tcPr>
          <w:p>
            <w:pPr>
              <w:pStyle w:val="TableParagraph"/>
              <w:rPr>
                <w:rFonts w:ascii="Times New Roman"/>
                <w:sz w:val="14"/>
              </w:rPr>
            </w:pPr>
          </w:p>
        </w:tc>
        <w:tc>
          <w:tcPr>
            <w:tcW w:w="1231" w:type="dxa"/>
          </w:tcPr>
          <w:p>
            <w:pPr>
              <w:pStyle w:val="TableParagraph"/>
              <w:rPr>
                <w:rFonts w:ascii="Times New Roman"/>
                <w:sz w:val="14"/>
              </w:rPr>
            </w:pPr>
          </w:p>
        </w:tc>
        <w:tc>
          <w:tcPr>
            <w:tcW w:w="1014" w:type="dxa"/>
            <w:gridSpan w:val="2"/>
          </w:tcPr>
          <w:p>
            <w:pPr>
              <w:pStyle w:val="TableParagraph"/>
              <w:rPr>
                <w:rFonts w:ascii="Times New Roman"/>
                <w:sz w:val="14"/>
              </w:rPr>
            </w:pPr>
          </w:p>
        </w:tc>
      </w:tr>
      <w:tr>
        <w:trPr>
          <w:trHeight w:val="379" w:hRule="atLeast"/>
        </w:trPr>
        <w:tc>
          <w:tcPr>
            <w:tcW w:w="3235" w:type="dxa"/>
          </w:tcPr>
          <w:p>
            <w:pPr>
              <w:pStyle w:val="TableParagraph"/>
              <w:spacing w:line="179" w:lineRule="exact"/>
              <w:ind w:left="52"/>
              <w:rPr>
                <w:sz w:val="16"/>
              </w:rPr>
            </w:pPr>
            <w:r>
              <w:rPr>
                <w:color w:val="111111"/>
                <w:sz w:val="16"/>
              </w:rPr>
              <w:t>Total</w:t>
            </w:r>
            <w:r>
              <w:rPr>
                <w:color w:val="111111"/>
                <w:spacing w:val="-12"/>
                <w:sz w:val="16"/>
              </w:rPr>
              <w:t> </w:t>
            </w:r>
            <w:r>
              <w:rPr>
                <w:color w:val="111111"/>
                <w:sz w:val="16"/>
              </w:rPr>
              <w:t>comprehensive</w:t>
            </w:r>
            <w:r>
              <w:rPr>
                <w:color w:val="111111"/>
                <w:spacing w:val="-5"/>
                <w:sz w:val="16"/>
              </w:rPr>
              <w:t> </w:t>
            </w:r>
            <w:r>
              <w:rPr>
                <w:color w:val="111111"/>
                <w:sz w:val="16"/>
              </w:rPr>
              <w:t>income</w:t>
            </w:r>
            <w:r>
              <w:rPr>
                <w:color w:val="111111"/>
                <w:spacing w:val="-10"/>
                <w:sz w:val="16"/>
              </w:rPr>
              <w:t> </w:t>
            </w:r>
            <w:r>
              <w:rPr>
                <w:color w:val="111111"/>
                <w:spacing w:val="-5"/>
                <w:sz w:val="16"/>
              </w:rPr>
              <w:t>and</w:t>
            </w:r>
          </w:p>
          <w:p>
            <w:pPr>
              <w:pStyle w:val="TableParagraph"/>
              <w:spacing w:before="3" w:line="168" w:lineRule="exact"/>
              <w:ind w:left="50"/>
              <w:rPr>
                <w:sz w:val="16"/>
              </w:rPr>
            </w:pPr>
            <w:r>
              <w:rPr>
                <w:color w:val="111111"/>
                <w:spacing w:val="-2"/>
                <w:sz w:val="16"/>
              </w:rPr>
              <w:t>expenditure</w:t>
            </w:r>
          </w:p>
        </w:tc>
        <w:tc>
          <w:tcPr>
            <w:tcW w:w="1358" w:type="dxa"/>
          </w:tcPr>
          <w:p>
            <w:pPr>
              <w:pStyle w:val="TableParagraph"/>
              <w:spacing w:before="177" w:line="173" w:lineRule="exact"/>
              <w:ind w:right="170"/>
              <w:jc w:val="right"/>
              <w:rPr>
                <w:sz w:val="16"/>
              </w:rPr>
            </w:pPr>
            <w:r>
              <w:rPr>
                <w:color w:val="111111"/>
                <w:spacing w:val="-2"/>
                <w:sz w:val="16"/>
              </w:rPr>
              <w:t>(9,508)</w:t>
            </w:r>
          </w:p>
        </w:tc>
        <w:tc>
          <w:tcPr>
            <w:tcW w:w="1109" w:type="dxa"/>
          </w:tcPr>
          <w:p>
            <w:pPr>
              <w:pStyle w:val="TableParagraph"/>
              <w:rPr>
                <w:rFonts w:ascii="Times New Roman"/>
                <w:sz w:val="16"/>
              </w:rPr>
            </w:pPr>
          </w:p>
        </w:tc>
        <w:tc>
          <w:tcPr>
            <w:tcW w:w="1152" w:type="dxa"/>
          </w:tcPr>
          <w:p>
            <w:pPr>
              <w:pStyle w:val="TableParagraph"/>
              <w:rPr>
                <w:rFonts w:ascii="Times New Roman"/>
                <w:sz w:val="16"/>
              </w:rPr>
            </w:pPr>
          </w:p>
        </w:tc>
        <w:tc>
          <w:tcPr>
            <w:tcW w:w="1148" w:type="dxa"/>
          </w:tcPr>
          <w:p>
            <w:pPr>
              <w:pStyle w:val="TableParagraph"/>
              <w:spacing w:before="168" w:line="183" w:lineRule="exact"/>
              <w:ind w:right="173"/>
              <w:jc w:val="right"/>
              <w:rPr>
                <w:sz w:val="16"/>
              </w:rPr>
            </w:pPr>
            <w:r>
              <w:rPr>
                <w:color w:val="111111"/>
                <w:spacing w:val="-2"/>
                <w:sz w:val="16"/>
              </w:rPr>
              <w:t>(9,508)</w:t>
            </w:r>
          </w:p>
        </w:tc>
        <w:tc>
          <w:tcPr>
            <w:tcW w:w="1389" w:type="dxa"/>
          </w:tcPr>
          <w:p>
            <w:pPr>
              <w:pStyle w:val="TableParagraph"/>
              <w:spacing w:before="168" w:line="183" w:lineRule="exact"/>
              <w:ind w:right="141"/>
              <w:jc w:val="right"/>
              <w:rPr>
                <w:sz w:val="16"/>
              </w:rPr>
            </w:pPr>
            <w:r>
              <w:rPr>
                <w:color w:val="111111"/>
                <w:spacing w:val="-2"/>
                <w:sz w:val="16"/>
              </w:rPr>
              <w:t>8,503</w:t>
            </w:r>
          </w:p>
        </w:tc>
        <w:tc>
          <w:tcPr>
            <w:tcW w:w="1262" w:type="dxa"/>
          </w:tcPr>
          <w:p>
            <w:pPr>
              <w:pStyle w:val="TableParagraph"/>
              <w:spacing w:before="163"/>
              <w:ind w:right="126"/>
              <w:jc w:val="right"/>
              <w:rPr>
                <w:sz w:val="16"/>
              </w:rPr>
            </w:pPr>
            <w:r>
              <w:rPr>
                <w:color w:val="111111"/>
                <w:spacing w:val="-2"/>
                <w:sz w:val="16"/>
              </w:rPr>
              <w:t>(1,005)</w:t>
            </w:r>
          </w:p>
        </w:tc>
        <w:tc>
          <w:tcPr>
            <w:tcW w:w="1024" w:type="dxa"/>
          </w:tcPr>
          <w:p>
            <w:pPr>
              <w:pStyle w:val="TableParagraph"/>
              <w:spacing w:before="163"/>
              <w:ind w:right="158"/>
              <w:jc w:val="right"/>
              <w:rPr>
                <w:sz w:val="16"/>
              </w:rPr>
            </w:pPr>
            <w:r>
              <w:rPr>
                <w:color w:val="111111"/>
                <w:spacing w:val="-2"/>
                <w:sz w:val="16"/>
              </w:rPr>
              <w:t>(51,005)</w:t>
            </w:r>
          </w:p>
        </w:tc>
        <w:tc>
          <w:tcPr>
            <w:tcW w:w="1407" w:type="dxa"/>
          </w:tcPr>
          <w:p>
            <w:pPr>
              <w:pStyle w:val="TableParagraph"/>
              <w:spacing w:before="158"/>
              <w:ind w:right="198"/>
              <w:jc w:val="right"/>
              <w:rPr>
                <w:sz w:val="16"/>
              </w:rPr>
            </w:pPr>
            <w:r>
              <w:rPr>
                <w:color w:val="111111"/>
                <w:spacing w:val="-5"/>
                <w:sz w:val="16"/>
              </w:rPr>
              <w:t>97</w:t>
            </w:r>
          </w:p>
        </w:tc>
        <w:tc>
          <w:tcPr>
            <w:tcW w:w="1231" w:type="dxa"/>
          </w:tcPr>
          <w:p>
            <w:pPr>
              <w:pStyle w:val="TableParagraph"/>
              <w:spacing w:before="153"/>
              <w:ind w:right="137"/>
              <w:jc w:val="right"/>
              <w:rPr>
                <w:sz w:val="16"/>
              </w:rPr>
            </w:pPr>
            <w:r>
              <w:rPr>
                <w:color w:val="111111"/>
                <w:spacing w:val="-2"/>
                <w:sz w:val="16"/>
              </w:rPr>
              <w:t>(50,908)</w:t>
            </w:r>
          </w:p>
        </w:tc>
        <w:tc>
          <w:tcPr>
            <w:tcW w:w="903" w:type="dxa"/>
          </w:tcPr>
          <w:p>
            <w:pPr>
              <w:pStyle w:val="TableParagraph"/>
              <w:spacing w:before="153"/>
              <w:ind w:right="5"/>
              <w:jc w:val="right"/>
              <w:rPr>
                <w:sz w:val="16"/>
              </w:rPr>
            </w:pPr>
            <w:r>
              <w:rPr>
                <w:color w:val="111111"/>
                <w:spacing w:val="-2"/>
                <w:sz w:val="16"/>
              </w:rPr>
              <w:t>(51,913)</w:t>
            </w:r>
          </w:p>
        </w:tc>
        <w:tc>
          <w:tcPr>
            <w:tcW w:w="111" w:type="dxa"/>
          </w:tcPr>
          <w:p>
            <w:pPr>
              <w:pStyle w:val="TableParagraph"/>
              <w:rPr>
                <w:rFonts w:ascii="Times New Roman"/>
                <w:sz w:val="16"/>
              </w:rPr>
            </w:pPr>
          </w:p>
        </w:tc>
      </w:tr>
      <w:tr>
        <w:trPr>
          <w:trHeight w:val="371" w:hRule="atLeast"/>
        </w:trPr>
        <w:tc>
          <w:tcPr>
            <w:tcW w:w="3235" w:type="dxa"/>
          </w:tcPr>
          <w:p>
            <w:pPr>
              <w:pStyle w:val="TableParagraph"/>
              <w:spacing w:line="183" w:lineRule="exact"/>
              <w:ind w:left="60"/>
              <w:rPr>
                <w:sz w:val="16"/>
              </w:rPr>
            </w:pPr>
            <w:r>
              <w:rPr>
                <w:color w:val="111111"/>
                <w:sz w:val="16"/>
              </w:rPr>
              <w:t>Adjustments</w:t>
            </w:r>
            <w:r>
              <w:rPr>
                <w:color w:val="111111"/>
                <w:spacing w:val="-5"/>
                <w:sz w:val="16"/>
              </w:rPr>
              <w:t> </w:t>
            </w:r>
            <w:r>
              <w:rPr>
                <w:color w:val="111111"/>
                <w:sz w:val="16"/>
              </w:rPr>
              <w:t>between</w:t>
            </w:r>
            <w:r>
              <w:rPr>
                <w:color w:val="111111"/>
                <w:spacing w:val="-9"/>
                <w:sz w:val="16"/>
              </w:rPr>
              <w:t> </w:t>
            </w:r>
            <w:r>
              <w:rPr>
                <w:color w:val="111111"/>
                <w:sz w:val="16"/>
              </w:rPr>
              <w:t>accounting</w:t>
            </w:r>
            <w:r>
              <w:rPr>
                <w:color w:val="111111"/>
                <w:spacing w:val="-8"/>
                <w:sz w:val="16"/>
              </w:rPr>
              <w:t> </w:t>
            </w:r>
            <w:r>
              <w:rPr>
                <w:color w:val="111111"/>
                <w:sz w:val="16"/>
              </w:rPr>
              <w:t>&amp;</w:t>
            </w:r>
            <w:r>
              <w:rPr>
                <w:color w:val="111111"/>
                <w:spacing w:val="-11"/>
                <w:sz w:val="16"/>
              </w:rPr>
              <w:t> </w:t>
            </w:r>
            <w:r>
              <w:rPr>
                <w:color w:val="111111"/>
                <w:spacing w:val="-2"/>
                <w:sz w:val="16"/>
              </w:rPr>
              <w:t>funding</w:t>
            </w:r>
          </w:p>
          <w:p>
            <w:pPr>
              <w:pStyle w:val="TableParagraph"/>
              <w:spacing w:before="3" w:line="165" w:lineRule="exact"/>
              <w:ind w:left="55"/>
              <w:rPr>
                <w:sz w:val="16"/>
              </w:rPr>
            </w:pPr>
            <w:r>
              <w:rPr>
                <w:color w:val="313131"/>
                <w:sz w:val="16"/>
              </w:rPr>
              <w:t>basis</w:t>
            </w:r>
            <w:r>
              <w:rPr>
                <w:color w:val="313131"/>
                <w:spacing w:val="-11"/>
                <w:sz w:val="16"/>
              </w:rPr>
              <w:t> </w:t>
            </w:r>
            <w:r>
              <w:rPr>
                <w:color w:val="111111"/>
                <w:sz w:val="16"/>
              </w:rPr>
              <w:t>under</w:t>
            </w:r>
            <w:r>
              <w:rPr>
                <w:color w:val="111111"/>
                <w:spacing w:val="2"/>
                <w:sz w:val="16"/>
              </w:rPr>
              <w:t> </w:t>
            </w:r>
            <w:r>
              <w:rPr>
                <w:color w:val="111111"/>
                <w:spacing w:val="-2"/>
                <w:sz w:val="16"/>
              </w:rPr>
              <w:t>regulations</w:t>
            </w:r>
          </w:p>
        </w:tc>
        <w:tc>
          <w:tcPr>
            <w:tcW w:w="1358" w:type="dxa"/>
            <w:tcBorders>
              <w:bottom w:val="single" w:color="000000" w:sz="6" w:space="0"/>
            </w:tcBorders>
          </w:tcPr>
          <w:p>
            <w:pPr>
              <w:pStyle w:val="TableParagraph"/>
              <w:spacing w:before="182" w:line="180" w:lineRule="exact"/>
              <w:ind w:right="161"/>
              <w:jc w:val="right"/>
              <w:rPr>
                <w:sz w:val="16"/>
              </w:rPr>
            </w:pPr>
            <w:r>
              <w:rPr>
                <w:color w:val="111111"/>
                <w:spacing w:val="-4"/>
                <w:w w:val="105"/>
                <w:sz w:val="16"/>
              </w:rPr>
              <w:t>7,050</w:t>
            </w:r>
          </w:p>
        </w:tc>
        <w:tc>
          <w:tcPr>
            <w:tcW w:w="1109" w:type="dxa"/>
            <w:tcBorders>
              <w:bottom w:val="single" w:color="000000" w:sz="6" w:space="0"/>
            </w:tcBorders>
          </w:tcPr>
          <w:p>
            <w:pPr>
              <w:pStyle w:val="TableParagraph"/>
              <w:spacing w:before="2"/>
              <w:rPr>
                <w:sz w:val="16"/>
              </w:rPr>
            </w:pPr>
          </w:p>
          <w:p>
            <w:pPr>
              <w:pStyle w:val="TableParagraph"/>
              <w:spacing w:line="175" w:lineRule="exact"/>
              <w:ind w:right="145"/>
              <w:jc w:val="right"/>
              <w:rPr>
                <w:sz w:val="16"/>
              </w:rPr>
            </w:pPr>
            <w:r>
              <w:rPr>
                <w:color w:val="4F4F4F"/>
                <w:spacing w:val="-4"/>
                <w:sz w:val="16"/>
              </w:rPr>
              <w:t>(52)</w:t>
            </w:r>
          </w:p>
        </w:tc>
        <w:tc>
          <w:tcPr>
            <w:tcW w:w="1152" w:type="dxa"/>
            <w:tcBorders>
              <w:bottom w:val="single" w:color="000000" w:sz="6" w:space="0"/>
            </w:tcBorders>
          </w:tcPr>
          <w:p>
            <w:pPr>
              <w:pStyle w:val="TableParagraph"/>
              <w:spacing w:before="182" w:line="180" w:lineRule="exact"/>
              <w:ind w:right="156"/>
              <w:jc w:val="right"/>
              <w:rPr>
                <w:sz w:val="16"/>
              </w:rPr>
            </w:pPr>
            <w:r>
              <w:rPr>
                <w:color w:val="4F4F4F"/>
                <w:spacing w:val="-2"/>
                <w:sz w:val="16"/>
              </w:rPr>
              <w:t>(1,629)</w:t>
            </w:r>
          </w:p>
        </w:tc>
        <w:tc>
          <w:tcPr>
            <w:tcW w:w="1148" w:type="dxa"/>
            <w:tcBorders>
              <w:bottom w:val="single" w:color="000000" w:sz="6" w:space="0"/>
            </w:tcBorders>
          </w:tcPr>
          <w:p>
            <w:pPr>
              <w:pStyle w:val="TableParagraph"/>
              <w:spacing w:before="177"/>
              <w:ind w:right="166"/>
              <w:jc w:val="right"/>
              <w:rPr>
                <w:sz w:val="16"/>
              </w:rPr>
            </w:pPr>
            <w:r>
              <w:rPr>
                <w:color w:val="313131"/>
                <w:spacing w:val="-2"/>
                <w:sz w:val="16"/>
              </w:rPr>
              <w:t>5</w:t>
            </w:r>
            <w:r>
              <w:rPr>
                <w:color w:val="727272"/>
                <w:spacing w:val="-2"/>
                <w:sz w:val="16"/>
              </w:rPr>
              <w:t>,</w:t>
            </w:r>
            <w:r>
              <w:rPr>
                <w:color w:val="313131"/>
                <w:spacing w:val="-2"/>
                <w:sz w:val="16"/>
              </w:rPr>
              <w:t>369</w:t>
            </w:r>
          </w:p>
        </w:tc>
        <w:tc>
          <w:tcPr>
            <w:tcW w:w="1389" w:type="dxa"/>
            <w:tcBorders>
              <w:bottom w:val="single" w:color="000000" w:sz="6" w:space="0"/>
            </w:tcBorders>
          </w:tcPr>
          <w:p>
            <w:pPr>
              <w:pStyle w:val="TableParagraph"/>
              <w:rPr>
                <w:rFonts w:ascii="Times New Roman"/>
                <w:sz w:val="16"/>
              </w:rPr>
            </w:pPr>
          </w:p>
        </w:tc>
        <w:tc>
          <w:tcPr>
            <w:tcW w:w="1262" w:type="dxa"/>
            <w:tcBorders>
              <w:bottom w:val="single" w:color="000000" w:sz="6" w:space="0"/>
            </w:tcBorders>
          </w:tcPr>
          <w:p>
            <w:pPr>
              <w:pStyle w:val="TableParagraph"/>
              <w:spacing w:before="172"/>
              <w:ind w:right="114"/>
              <w:jc w:val="right"/>
              <w:rPr>
                <w:sz w:val="16"/>
              </w:rPr>
            </w:pPr>
            <w:r>
              <w:rPr>
                <w:color w:val="111111"/>
                <w:spacing w:val="-2"/>
                <w:sz w:val="16"/>
              </w:rPr>
              <w:t>5</w:t>
            </w:r>
            <w:r>
              <w:rPr>
                <w:color w:val="4F4F4F"/>
                <w:spacing w:val="-2"/>
                <w:sz w:val="16"/>
              </w:rPr>
              <w:t>,</w:t>
            </w:r>
            <w:r>
              <w:rPr>
                <w:color w:val="313131"/>
                <w:spacing w:val="-2"/>
                <w:sz w:val="16"/>
              </w:rPr>
              <w:t>3</w:t>
            </w:r>
            <w:r>
              <w:rPr>
                <w:color w:val="111111"/>
                <w:spacing w:val="-2"/>
                <w:sz w:val="16"/>
              </w:rPr>
              <w:t>6</w:t>
            </w:r>
            <w:r>
              <w:rPr>
                <w:color w:val="313131"/>
                <w:spacing w:val="-2"/>
                <w:sz w:val="16"/>
              </w:rPr>
              <w:t>9</w:t>
            </w:r>
          </w:p>
        </w:tc>
        <w:tc>
          <w:tcPr>
            <w:tcW w:w="1024" w:type="dxa"/>
            <w:tcBorders>
              <w:bottom w:val="single" w:color="000000" w:sz="6" w:space="0"/>
            </w:tcBorders>
          </w:tcPr>
          <w:p>
            <w:pPr>
              <w:pStyle w:val="TableParagraph"/>
              <w:spacing w:before="172"/>
              <w:ind w:right="150"/>
              <w:jc w:val="right"/>
              <w:rPr>
                <w:sz w:val="16"/>
              </w:rPr>
            </w:pPr>
            <w:r>
              <w:rPr>
                <w:color w:val="313131"/>
                <w:spacing w:val="-2"/>
                <w:sz w:val="16"/>
              </w:rPr>
              <w:t>(5,369)</w:t>
            </w:r>
          </w:p>
        </w:tc>
        <w:tc>
          <w:tcPr>
            <w:tcW w:w="1407" w:type="dxa"/>
            <w:tcBorders>
              <w:bottom w:val="single" w:color="000000" w:sz="6" w:space="0"/>
            </w:tcBorders>
          </w:tcPr>
          <w:p>
            <w:pPr>
              <w:pStyle w:val="TableParagraph"/>
              <w:rPr>
                <w:rFonts w:ascii="Times New Roman"/>
                <w:sz w:val="16"/>
              </w:rPr>
            </w:pPr>
          </w:p>
        </w:tc>
        <w:tc>
          <w:tcPr>
            <w:tcW w:w="1231" w:type="dxa"/>
            <w:tcBorders>
              <w:bottom w:val="single" w:color="000000" w:sz="6" w:space="0"/>
            </w:tcBorders>
          </w:tcPr>
          <w:p>
            <w:pPr>
              <w:pStyle w:val="TableParagraph"/>
              <w:spacing w:before="162"/>
              <w:ind w:right="117"/>
              <w:jc w:val="right"/>
              <w:rPr>
                <w:sz w:val="16"/>
              </w:rPr>
            </w:pPr>
            <w:r>
              <w:rPr>
                <w:color w:val="4F4F4F"/>
                <w:spacing w:val="-2"/>
                <w:sz w:val="16"/>
              </w:rPr>
              <w:t>(</w:t>
            </w:r>
            <w:r>
              <w:rPr>
                <w:color w:val="111111"/>
                <w:spacing w:val="-2"/>
                <w:sz w:val="16"/>
              </w:rPr>
              <w:t>5</w:t>
            </w:r>
            <w:r>
              <w:rPr>
                <w:color w:val="4F4F4F"/>
                <w:spacing w:val="-2"/>
                <w:sz w:val="16"/>
              </w:rPr>
              <w:t>,</w:t>
            </w:r>
            <w:r>
              <w:rPr>
                <w:color w:val="313131"/>
                <w:spacing w:val="-2"/>
                <w:sz w:val="16"/>
              </w:rPr>
              <w:t>369)</w:t>
            </w:r>
          </w:p>
        </w:tc>
        <w:tc>
          <w:tcPr>
            <w:tcW w:w="903" w:type="dxa"/>
          </w:tcPr>
          <w:p>
            <w:pPr>
              <w:pStyle w:val="TableParagraph"/>
              <w:rPr>
                <w:rFonts w:ascii="Times New Roman"/>
                <w:sz w:val="16"/>
              </w:rPr>
            </w:pPr>
          </w:p>
        </w:tc>
        <w:tc>
          <w:tcPr>
            <w:tcW w:w="111" w:type="dxa"/>
          </w:tcPr>
          <w:p>
            <w:pPr>
              <w:pStyle w:val="TableParagraph"/>
              <w:rPr>
                <w:rFonts w:ascii="Times New Roman"/>
                <w:sz w:val="16"/>
              </w:rPr>
            </w:pPr>
          </w:p>
        </w:tc>
      </w:tr>
      <w:tr>
        <w:trPr>
          <w:trHeight w:val="361" w:hRule="atLeast"/>
        </w:trPr>
        <w:tc>
          <w:tcPr>
            <w:tcW w:w="3235" w:type="dxa"/>
          </w:tcPr>
          <w:p>
            <w:pPr>
              <w:pStyle w:val="TableParagraph"/>
              <w:spacing w:line="171" w:lineRule="exact"/>
              <w:ind w:left="57"/>
              <w:rPr>
                <w:sz w:val="16"/>
              </w:rPr>
            </w:pPr>
            <w:r>
              <w:rPr>
                <w:color w:val="111111"/>
                <w:sz w:val="16"/>
              </w:rPr>
              <w:t>Total</w:t>
            </w:r>
            <w:r>
              <w:rPr>
                <w:color w:val="111111"/>
                <w:spacing w:val="23"/>
                <w:sz w:val="16"/>
              </w:rPr>
              <w:t> </w:t>
            </w:r>
            <w:r>
              <w:rPr>
                <w:color w:val="111111"/>
                <w:sz w:val="16"/>
              </w:rPr>
              <w:t>(increase)/</w:t>
            </w:r>
            <w:r>
              <w:rPr>
                <w:color w:val="111111"/>
                <w:spacing w:val="57"/>
                <w:sz w:val="16"/>
              </w:rPr>
              <w:t> </w:t>
            </w:r>
            <w:r>
              <w:rPr>
                <w:color w:val="111111"/>
                <w:sz w:val="16"/>
              </w:rPr>
              <w:t>decrease</w:t>
            </w:r>
            <w:r>
              <w:rPr>
                <w:color w:val="111111"/>
                <w:spacing w:val="50"/>
                <w:sz w:val="16"/>
              </w:rPr>
              <w:t> </w:t>
            </w:r>
            <w:r>
              <w:rPr>
                <w:color w:val="111111"/>
                <w:sz w:val="16"/>
              </w:rPr>
              <w:t>during</w:t>
            </w:r>
            <w:r>
              <w:rPr>
                <w:color w:val="111111"/>
                <w:spacing w:val="35"/>
                <w:sz w:val="16"/>
              </w:rPr>
              <w:t> </w:t>
            </w:r>
            <w:r>
              <w:rPr>
                <w:color w:val="111111"/>
                <w:spacing w:val="-5"/>
                <w:sz w:val="16"/>
              </w:rPr>
              <w:t>the</w:t>
            </w:r>
          </w:p>
          <w:p>
            <w:pPr>
              <w:pStyle w:val="TableParagraph"/>
              <w:spacing w:before="8" w:line="161" w:lineRule="exact"/>
              <w:ind w:left="58"/>
              <w:rPr>
                <w:sz w:val="16"/>
              </w:rPr>
            </w:pPr>
            <w:r>
              <w:rPr>
                <w:color w:val="111111"/>
                <w:spacing w:val="-4"/>
                <w:w w:val="105"/>
                <w:sz w:val="16"/>
              </w:rPr>
              <w:t>year</w:t>
            </w:r>
          </w:p>
        </w:tc>
        <w:tc>
          <w:tcPr>
            <w:tcW w:w="1358" w:type="dxa"/>
            <w:tcBorders>
              <w:top w:val="single" w:color="000000" w:sz="6" w:space="0"/>
              <w:bottom w:val="single" w:color="000000" w:sz="6" w:space="0"/>
            </w:tcBorders>
          </w:tcPr>
          <w:p>
            <w:pPr>
              <w:pStyle w:val="TableParagraph"/>
              <w:spacing w:before="174" w:line="171" w:lineRule="exact"/>
              <w:ind w:right="170"/>
              <w:jc w:val="right"/>
              <w:rPr>
                <w:sz w:val="16"/>
              </w:rPr>
            </w:pPr>
            <w:r>
              <w:rPr>
                <w:color w:val="4F4F4F"/>
                <w:spacing w:val="-2"/>
                <w:sz w:val="16"/>
              </w:rPr>
              <w:t>(2,458)</w:t>
            </w:r>
          </w:p>
        </w:tc>
        <w:tc>
          <w:tcPr>
            <w:tcW w:w="1109" w:type="dxa"/>
            <w:tcBorders>
              <w:top w:val="single" w:color="000000" w:sz="6" w:space="0"/>
              <w:bottom w:val="single" w:color="000000" w:sz="6" w:space="0"/>
            </w:tcBorders>
          </w:tcPr>
          <w:p>
            <w:pPr>
              <w:pStyle w:val="TableParagraph"/>
              <w:spacing w:before="164" w:line="180" w:lineRule="exact"/>
              <w:ind w:right="139"/>
              <w:jc w:val="right"/>
              <w:rPr>
                <w:sz w:val="16"/>
              </w:rPr>
            </w:pPr>
            <w:r>
              <w:rPr>
                <w:color w:val="313131"/>
                <w:spacing w:val="-4"/>
                <w:sz w:val="16"/>
              </w:rPr>
              <w:t>(52)</w:t>
            </w:r>
          </w:p>
        </w:tc>
        <w:tc>
          <w:tcPr>
            <w:tcW w:w="1152" w:type="dxa"/>
            <w:tcBorders>
              <w:top w:val="single" w:color="000000" w:sz="6" w:space="0"/>
              <w:bottom w:val="single" w:color="000000" w:sz="6" w:space="0"/>
            </w:tcBorders>
          </w:tcPr>
          <w:p>
            <w:pPr>
              <w:pStyle w:val="TableParagraph"/>
              <w:spacing w:before="164" w:line="180" w:lineRule="exact"/>
              <w:ind w:right="161"/>
              <w:jc w:val="right"/>
              <w:rPr>
                <w:sz w:val="16"/>
              </w:rPr>
            </w:pPr>
            <w:r>
              <w:rPr>
                <w:color w:val="4F4F4F"/>
                <w:spacing w:val="-2"/>
                <w:sz w:val="16"/>
              </w:rPr>
              <w:t>(1,629)</w:t>
            </w:r>
          </w:p>
        </w:tc>
        <w:tc>
          <w:tcPr>
            <w:tcW w:w="1148" w:type="dxa"/>
            <w:tcBorders>
              <w:top w:val="single" w:color="000000" w:sz="6" w:space="0"/>
              <w:bottom w:val="single" w:color="000000" w:sz="6" w:space="0"/>
            </w:tcBorders>
          </w:tcPr>
          <w:p>
            <w:pPr>
              <w:pStyle w:val="TableParagraph"/>
              <w:spacing w:before="159"/>
              <w:ind w:right="174"/>
              <w:jc w:val="right"/>
              <w:rPr>
                <w:sz w:val="16"/>
              </w:rPr>
            </w:pPr>
            <w:r>
              <w:rPr>
                <w:color w:val="4F4F4F"/>
                <w:spacing w:val="-2"/>
                <w:sz w:val="16"/>
              </w:rPr>
              <w:t>(4,139)</w:t>
            </w:r>
          </w:p>
        </w:tc>
        <w:tc>
          <w:tcPr>
            <w:tcW w:w="1389" w:type="dxa"/>
            <w:tcBorders>
              <w:top w:val="single" w:color="000000" w:sz="6" w:space="0"/>
              <w:bottom w:val="single" w:color="000000" w:sz="6" w:space="0"/>
            </w:tcBorders>
          </w:tcPr>
          <w:p>
            <w:pPr>
              <w:pStyle w:val="TableParagraph"/>
              <w:spacing w:before="155"/>
              <w:ind w:right="126"/>
              <w:jc w:val="right"/>
              <w:rPr>
                <w:sz w:val="16"/>
              </w:rPr>
            </w:pPr>
            <w:r>
              <w:rPr>
                <w:color w:val="313131"/>
                <w:spacing w:val="-2"/>
                <w:sz w:val="16"/>
              </w:rPr>
              <w:t>8</w:t>
            </w:r>
            <w:r>
              <w:rPr>
                <w:color w:val="858585"/>
                <w:spacing w:val="-2"/>
                <w:sz w:val="16"/>
              </w:rPr>
              <w:t>,</w:t>
            </w:r>
            <w:r>
              <w:rPr>
                <w:color w:val="313131"/>
                <w:spacing w:val="-2"/>
                <w:sz w:val="16"/>
              </w:rPr>
              <w:t>503</w:t>
            </w:r>
          </w:p>
        </w:tc>
        <w:tc>
          <w:tcPr>
            <w:tcW w:w="1262" w:type="dxa"/>
            <w:tcBorders>
              <w:top w:val="single" w:color="000000" w:sz="6" w:space="0"/>
              <w:bottom w:val="single" w:color="000000" w:sz="6" w:space="0"/>
            </w:tcBorders>
          </w:tcPr>
          <w:p>
            <w:pPr>
              <w:pStyle w:val="TableParagraph"/>
              <w:spacing w:before="150"/>
              <w:ind w:right="123"/>
              <w:jc w:val="right"/>
              <w:rPr>
                <w:sz w:val="16"/>
              </w:rPr>
            </w:pPr>
            <w:r>
              <w:rPr>
                <w:color w:val="111111"/>
                <w:spacing w:val="-2"/>
                <w:sz w:val="16"/>
              </w:rPr>
              <w:t>4,364</w:t>
            </w:r>
          </w:p>
        </w:tc>
        <w:tc>
          <w:tcPr>
            <w:tcW w:w="1024" w:type="dxa"/>
            <w:tcBorders>
              <w:top w:val="single" w:color="000000" w:sz="6" w:space="0"/>
              <w:bottom w:val="single" w:color="000000" w:sz="6" w:space="0"/>
            </w:tcBorders>
          </w:tcPr>
          <w:p>
            <w:pPr>
              <w:pStyle w:val="TableParagraph"/>
              <w:spacing w:before="155"/>
              <w:ind w:right="159"/>
              <w:jc w:val="right"/>
              <w:rPr>
                <w:sz w:val="16"/>
              </w:rPr>
            </w:pPr>
            <w:r>
              <w:rPr>
                <w:color w:val="313131"/>
                <w:spacing w:val="-2"/>
                <w:sz w:val="16"/>
              </w:rPr>
              <w:t>(56,374)</w:t>
            </w:r>
          </w:p>
        </w:tc>
        <w:tc>
          <w:tcPr>
            <w:tcW w:w="1407" w:type="dxa"/>
            <w:tcBorders>
              <w:top w:val="single" w:color="000000" w:sz="6" w:space="0"/>
              <w:bottom w:val="single" w:color="000000" w:sz="6" w:space="0"/>
            </w:tcBorders>
          </w:tcPr>
          <w:p>
            <w:pPr>
              <w:pStyle w:val="TableParagraph"/>
              <w:spacing w:before="145"/>
              <w:ind w:right="190"/>
              <w:jc w:val="right"/>
              <w:rPr>
                <w:sz w:val="16"/>
              </w:rPr>
            </w:pPr>
            <w:r>
              <w:rPr>
                <w:color w:val="313131"/>
                <w:spacing w:val="-5"/>
                <w:w w:val="105"/>
                <w:sz w:val="16"/>
              </w:rPr>
              <w:t>97</w:t>
            </w:r>
          </w:p>
        </w:tc>
        <w:tc>
          <w:tcPr>
            <w:tcW w:w="1231" w:type="dxa"/>
            <w:tcBorders>
              <w:top w:val="single" w:color="000000" w:sz="6" w:space="0"/>
              <w:bottom w:val="single" w:color="000000" w:sz="6" w:space="0"/>
            </w:tcBorders>
          </w:tcPr>
          <w:p>
            <w:pPr>
              <w:pStyle w:val="TableParagraph"/>
              <w:spacing w:before="145"/>
              <w:ind w:right="117"/>
              <w:jc w:val="right"/>
              <w:rPr>
                <w:sz w:val="16"/>
              </w:rPr>
            </w:pPr>
            <w:r>
              <w:rPr>
                <w:color w:val="4F4F4F"/>
                <w:spacing w:val="-2"/>
                <w:sz w:val="16"/>
              </w:rPr>
              <w:t>(</w:t>
            </w:r>
            <w:r>
              <w:rPr>
                <w:color w:val="313131"/>
                <w:spacing w:val="-2"/>
                <w:sz w:val="16"/>
              </w:rPr>
              <w:t>56</w:t>
            </w:r>
            <w:r>
              <w:rPr>
                <w:color w:val="727272"/>
                <w:spacing w:val="-2"/>
                <w:sz w:val="16"/>
              </w:rPr>
              <w:t>,</w:t>
            </w:r>
            <w:r>
              <w:rPr>
                <w:color w:val="111111"/>
                <w:spacing w:val="-2"/>
                <w:sz w:val="16"/>
              </w:rPr>
              <w:t>2</w:t>
            </w:r>
            <w:r>
              <w:rPr>
                <w:color w:val="313131"/>
                <w:spacing w:val="-2"/>
                <w:sz w:val="16"/>
              </w:rPr>
              <w:t>77</w:t>
            </w:r>
            <w:r>
              <w:rPr>
                <w:color w:val="4F4F4F"/>
                <w:spacing w:val="-2"/>
                <w:sz w:val="16"/>
              </w:rPr>
              <w:t>)</w:t>
            </w:r>
          </w:p>
        </w:tc>
        <w:tc>
          <w:tcPr>
            <w:tcW w:w="903" w:type="dxa"/>
            <w:tcBorders>
              <w:bottom w:val="single" w:color="000000" w:sz="6" w:space="0"/>
            </w:tcBorders>
          </w:tcPr>
          <w:p>
            <w:pPr>
              <w:pStyle w:val="TableParagraph"/>
              <w:spacing w:before="146"/>
              <w:ind w:right="-15"/>
              <w:jc w:val="right"/>
              <w:rPr>
                <w:sz w:val="16"/>
              </w:rPr>
            </w:pPr>
            <w:r>
              <w:rPr>
                <w:color w:val="313131"/>
                <w:spacing w:val="-2"/>
                <w:sz w:val="16"/>
              </w:rPr>
              <w:t>(51</w:t>
            </w:r>
            <w:r>
              <w:rPr>
                <w:color w:val="727272"/>
                <w:spacing w:val="-2"/>
                <w:sz w:val="16"/>
              </w:rPr>
              <w:t>,</w:t>
            </w:r>
            <w:r>
              <w:rPr>
                <w:color w:val="111111"/>
                <w:spacing w:val="-2"/>
                <w:sz w:val="16"/>
              </w:rPr>
              <w:t>91</w:t>
            </w:r>
            <w:r>
              <w:rPr>
                <w:color w:val="313131"/>
                <w:spacing w:val="-2"/>
                <w:sz w:val="16"/>
              </w:rPr>
              <w:t>3</w:t>
            </w:r>
            <w:r>
              <w:rPr>
                <w:color w:val="4F4F4F"/>
                <w:spacing w:val="-2"/>
                <w:sz w:val="16"/>
              </w:rPr>
              <w:t>)</w:t>
            </w:r>
          </w:p>
        </w:tc>
        <w:tc>
          <w:tcPr>
            <w:tcW w:w="111" w:type="dxa"/>
          </w:tcPr>
          <w:p>
            <w:pPr>
              <w:pStyle w:val="TableParagraph"/>
              <w:rPr>
                <w:rFonts w:ascii="Times New Roman"/>
                <w:sz w:val="16"/>
              </w:rPr>
            </w:pPr>
          </w:p>
        </w:tc>
      </w:tr>
      <w:tr>
        <w:trPr>
          <w:trHeight w:val="383" w:hRule="atLeast"/>
        </w:trPr>
        <w:tc>
          <w:tcPr>
            <w:tcW w:w="3235" w:type="dxa"/>
          </w:tcPr>
          <w:p>
            <w:pPr>
              <w:pStyle w:val="TableParagraph"/>
              <w:spacing w:before="106"/>
              <w:ind w:left="53"/>
              <w:rPr>
                <w:sz w:val="16"/>
              </w:rPr>
            </w:pPr>
            <w:r>
              <w:rPr>
                <w:color w:val="111111"/>
                <w:w w:val="105"/>
                <w:sz w:val="16"/>
              </w:rPr>
              <w:t>Balance</w:t>
            </w:r>
            <w:r>
              <w:rPr>
                <w:color w:val="111111"/>
                <w:spacing w:val="-1"/>
                <w:w w:val="105"/>
                <w:sz w:val="16"/>
              </w:rPr>
              <w:t> </w:t>
            </w:r>
            <w:r>
              <w:rPr>
                <w:color w:val="111111"/>
                <w:w w:val="105"/>
                <w:sz w:val="16"/>
              </w:rPr>
              <w:t>at</w:t>
            </w:r>
            <w:r>
              <w:rPr>
                <w:color w:val="111111"/>
                <w:spacing w:val="-4"/>
                <w:w w:val="105"/>
                <w:sz w:val="16"/>
              </w:rPr>
              <w:t> </w:t>
            </w:r>
            <w:r>
              <w:rPr>
                <w:color w:val="111111"/>
                <w:w w:val="105"/>
                <w:sz w:val="16"/>
              </w:rPr>
              <w:t>31</w:t>
            </w:r>
            <w:r>
              <w:rPr>
                <w:color w:val="111111"/>
                <w:spacing w:val="-15"/>
                <w:w w:val="105"/>
                <w:sz w:val="16"/>
              </w:rPr>
              <w:t> </w:t>
            </w:r>
            <w:r>
              <w:rPr>
                <w:color w:val="111111"/>
                <w:w w:val="105"/>
                <w:sz w:val="16"/>
              </w:rPr>
              <w:t>March </w:t>
            </w:r>
            <w:r>
              <w:rPr>
                <w:color w:val="111111"/>
                <w:spacing w:val="-4"/>
                <w:w w:val="105"/>
                <w:sz w:val="16"/>
              </w:rPr>
              <w:t>2023</w:t>
            </w:r>
          </w:p>
        </w:tc>
        <w:tc>
          <w:tcPr>
            <w:tcW w:w="1358" w:type="dxa"/>
            <w:tcBorders>
              <w:top w:val="single" w:color="000000" w:sz="6" w:space="0"/>
              <w:bottom w:val="single" w:color="000000" w:sz="6" w:space="0"/>
            </w:tcBorders>
          </w:tcPr>
          <w:p>
            <w:pPr>
              <w:pStyle w:val="TableParagraph"/>
              <w:spacing w:line="161" w:lineRule="exact"/>
              <w:ind w:right="179"/>
              <w:jc w:val="right"/>
              <w:rPr>
                <w:sz w:val="16"/>
              </w:rPr>
            </w:pPr>
            <w:r>
              <w:rPr>
                <w:color w:val="313131"/>
                <w:spacing w:val="-2"/>
                <w:sz w:val="16"/>
              </w:rPr>
              <w:t>(42,735)</w:t>
            </w:r>
          </w:p>
        </w:tc>
        <w:tc>
          <w:tcPr>
            <w:tcW w:w="1109" w:type="dxa"/>
            <w:tcBorders>
              <w:top w:val="single" w:color="000000" w:sz="6" w:space="0"/>
              <w:bottom w:val="single" w:color="000000" w:sz="6" w:space="0"/>
            </w:tcBorders>
          </w:tcPr>
          <w:p>
            <w:pPr>
              <w:pStyle w:val="TableParagraph"/>
              <w:spacing w:line="156" w:lineRule="exact"/>
              <w:ind w:right="143"/>
              <w:jc w:val="right"/>
              <w:rPr>
                <w:sz w:val="16"/>
              </w:rPr>
            </w:pPr>
            <w:r>
              <w:rPr>
                <w:color w:val="111111"/>
                <w:spacing w:val="-2"/>
                <w:sz w:val="16"/>
              </w:rPr>
              <w:t>(5,138)</w:t>
            </w:r>
          </w:p>
        </w:tc>
        <w:tc>
          <w:tcPr>
            <w:tcW w:w="1152" w:type="dxa"/>
            <w:tcBorders>
              <w:top w:val="single" w:color="000000" w:sz="6" w:space="0"/>
              <w:bottom w:val="single" w:color="000000" w:sz="6" w:space="0"/>
            </w:tcBorders>
          </w:tcPr>
          <w:p>
            <w:pPr>
              <w:pStyle w:val="TableParagraph"/>
              <w:spacing w:line="151" w:lineRule="exact"/>
              <w:ind w:right="163"/>
              <w:jc w:val="right"/>
              <w:rPr>
                <w:sz w:val="16"/>
              </w:rPr>
            </w:pPr>
            <w:r>
              <w:rPr>
                <w:color w:val="111111"/>
                <w:spacing w:val="-2"/>
                <w:sz w:val="16"/>
              </w:rPr>
              <w:t>(19,954)</w:t>
            </w:r>
          </w:p>
        </w:tc>
        <w:tc>
          <w:tcPr>
            <w:tcW w:w="1148" w:type="dxa"/>
            <w:tcBorders>
              <w:top w:val="single" w:color="000000" w:sz="6" w:space="0"/>
              <w:bottom w:val="single" w:color="000000" w:sz="6" w:space="0"/>
            </w:tcBorders>
          </w:tcPr>
          <w:p>
            <w:pPr>
              <w:pStyle w:val="TableParagraph"/>
              <w:spacing w:line="151" w:lineRule="exact"/>
              <w:ind w:right="181"/>
              <w:jc w:val="right"/>
              <w:rPr>
                <w:sz w:val="16"/>
              </w:rPr>
            </w:pPr>
            <w:r>
              <w:rPr>
                <w:color w:val="111111"/>
                <w:spacing w:val="-2"/>
                <w:sz w:val="16"/>
              </w:rPr>
              <w:t>(67,827)</w:t>
            </w:r>
          </w:p>
        </w:tc>
        <w:tc>
          <w:tcPr>
            <w:tcW w:w="1389" w:type="dxa"/>
            <w:tcBorders>
              <w:top w:val="single" w:color="000000" w:sz="6" w:space="0"/>
              <w:bottom w:val="single" w:color="000000" w:sz="6" w:space="0"/>
            </w:tcBorders>
          </w:tcPr>
          <w:p>
            <w:pPr>
              <w:pStyle w:val="TableParagraph"/>
              <w:spacing w:line="151" w:lineRule="exact"/>
              <w:ind w:right="131"/>
              <w:jc w:val="right"/>
              <w:rPr>
                <w:sz w:val="16"/>
              </w:rPr>
            </w:pPr>
            <w:r>
              <w:rPr>
                <w:color w:val="111111"/>
                <w:spacing w:val="-2"/>
                <w:sz w:val="16"/>
              </w:rPr>
              <w:t>8</w:t>
            </w:r>
            <w:r>
              <w:rPr>
                <w:color w:val="4F4F4F"/>
                <w:spacing w:val="-2"/>
                <w:sz w:val="16"/>
              </w:rPr>
              <w:t>,</w:t>
            </w:r>
            <w:r>
              <w:rPr>
                <w:color w:val="111111"/>
                <w:spacing w:val="-2"/>
                <w:sz w:val="16"/>
              </w:rPr>
              <w:t>328</w:t>
            </w:r>
          </w:p>
        </w:tc>
        <w:tc>
          <w:tcPr>
            <w:tcW w:w="1262" w:type="dxa"/>
            <w:tcBorders>
              <w:top w:val="single" w:color="000000" w:sz="6" w:space="0"/>
              <w:bottom w:val="single" w:color="000000" w:sz="6" w:space="0"/>
            </w:tcBorders>
          </w:tcPr>
          <w:p>
            <w:pPr>
              <w:pStyle w:val="TableParagraph"/>
              <w:spacing w:line="147" w:lineRule="exact"/>
              <w:ind w:right="110"/>
              <w:jc w:val="right"/>
              <w:rPr>
                <w:sz w:val="16"/>
              </w:rPr>
            </w:pPr>
            <w:r>
              <w:rPr>
                <w:color w:val="111111"/>
                <w:spacing w:val="-2"/>
                <w:sz w:val="16"/>
              </w:rPr>
              <w:t>(59</w:t>
            </w:r>
            <w:r>
              <w:rPr>
                <w:color w:val="4F4F4F"/>
                <w:spacing w:val="-2"/>
                <w:sz w:val="16"/>
              </w:rPr>
              <w:t>,</w:t>
            </w:r>
            <w:r>
              <w:rPr>
                <w:color w:val="111111"/>
                <w:spacing w:val="-2"/>
                <w:sz w:val="16"/>
              </w:rPr>
              <w:t>499)</w:t>
            </w:r>
          </w:p>
        </w:tc>
        <w:tc>
          <w:tcPr>
            <w:tcW w:w="1024" w:type="dxa"/>
            <w:tcBorders>
              <w:top w:val="single" w:color="000000" w:sz="6" w:space="0"/>
              <w:bottom w:val="single" w:color="000000" w:sz="6" w:space="0"/>
            </w:tcBorders>
          </w:tcPr>
          <w:p>
            <w:pPr>
              <w:pStyle w:val="TableParagraph"/>
              <w:spacing w:line="142" w:lineRule="exact"/>
              <w:ind w:right="161"/>
              <w:jc w:val="right"/>
              <w:rPr>
                <w:sz w:val="16"/>
              </w:rPr>
            </w:pPr>
            <w:r>
              <w:rPr>
                <w:color w:val="111111"/>
                <w:spacing w:val="-2"/>
                <w:sz w:val="16"/>
              </w:rPr>
              <w:t>(173,653)</w:t>
            </w:r>
          </w:p>
        </w:tc>
        <w:tc>
          <w:tcPr>
            <w:tcW w:w="1407" w:type="dxa"/>
            <w:tcBorders>
              <w:top w:val="single" w:color="000000" w:sz="6" w:space="0"/>
              <w:bottom w:val="single" w:color="000000" w:sz="6" w:space="0"/>
            </w:tcBorders>
          </w:tcPr>
          <w:p>
            <w:pPr>
              <w:pStyle w:val="TableParagraph"/>
              <w:rPr>
                <w:rFonts w:ascii="Times New Roman"/>
                <w:sz w:val="16"/>
              </w:rPr>
            </w:pPr>
          </w:p>
        </w:tc>
        <w:tc>
          <w:tcPr>
            <w:tcW w:w="1231" w:type="dxa"/>
            <w:tcBorders>
              <w:top w:val="single" w:color="000000" w:sz="6" w:space="0"/>
              <w:bottom w:val="single" w:color="000000" w:sz="6" w:space="0"/>
            </w:tcBorders>
          </w:tcPr>
          <w:p>
            <w:pPr>
              <w:pStyle w:val="TableParagraph"/>
              <w:spacing w:line="137" w:lineRule="exact"/>
              <w:ind w:right="134"/>
              <w:jc w:val="right"/>
              <w:rPr>
                <w:sz w:val="16"/>
              </w:rPr>
            </w:pPr>
            <w:r>
              <w:rPr>
                <w:color w:val="111111"/>
                <w:spacing w:val="-2"/>
                <w:sz w:val="16"/>
              </w:rPr>
              <w:t>(173,653)</w:t>
            </w:r>
          </w:p>
        </w:tc>
        <w:tc>
          <w:tcPr>
            <w:tcW w:w="903" w:type="dxa"/>
            <w:tcBorders>
              <w:top w:val="single" w:color="000000" w:sz="6" w:space="0"/>
              <w:bottom w:val="single" w:color="000000" w:sz="6" w:space="0"/>
            </w:tcBorders>
          </w:tcPr>
          <w:p>
            <w:pPr>
              <w:pStyle w:val="TableParagraph"/>
              <w:spacing w:line="127" w:lineRule="exact"/>
              <w:ind w:right="15"/>
              <w:jc w:val="right"/>
              <w:rPr>
                <w:sz w:val="16"/>
              </w:rPr>
            </w:pPr>
            <w:r>
              <w:rPr>
                <w:color w:val="111111"/>
                <w:spacing w:val="-2"/>
                <w:sz w:val="16"/>
              </w:rPr>
              <w:t>(233,152)</w:t>
            </w:r>
          </w:p>
        </w:tc>
        <w:tc>
          <w:tcPr>
            <w:tcW w:w="111" w:type="dxa"/>
            <w:tcBorders>
              <w:bottom w:val="single" w:color="000000" w:sz="6" w:space="0"/>
            </w:tcBorders>
          </w:tcPr>
          <w:p>
            <w:pPr>
              <w:pStyle w:val="TableParagraph"/>
              <w:rPr>
                <w:rFonts w:ascii="Times New Roman"/>
                <w:sz w:val="16"/>
              </w:rPr>
            </w:pPr>
          </w:p>
        </w:tc>
      </w:tr>
    </w:tbl>
    <w:p>
      <w:pPr>
        <w:pStyle w:val="BodyText"/>
        <w:rPr>
          <w:sz w:val="21"/>
        </w:rPr>
      </w:pPr>
    </w:p>
    <w:p>
      <w:pPr>
        <w:pStyle w:val="BodyText"/>
        <w:rPr>
          <w:sz w:val="21"/>
        </w:rPr>
      </w:pPr>
    </w:p>
    <w:p>
      <w:pPr>
        <w:pStyle w:val="BodyText"/>
        <w:rPr>
          <w:sz w:val="21"/>
        </w:rPr>
      </w:pPr>
    </w:p>
    <w:p>
      <w:pPr>
        <w:pStyle w:val="BodyText"/>
        <w:spacing w:before="204"/>
        <w:rPr>
          <w:sz w:val="21"/>
        </w:rPr>
      </w:pPr>
    </w:p>
    <w:p>
      <w:pPr>
        <w:spacing w:before="0"/>
        <w:ind w:left="0" w:right="104" w:firstLine="0"/>
        <w:jc w:val="right"/>
        <w:rPr>
          <w:rFonts w:ascii="Times New Roman"/>
          <w:sz w:val="21"/>
        </w:rPr>
      </w:pPr>
      <w:r>
        <w:rPr>
          <w:rFonts w:ascii="Times New Roman"/>
          <w:color w:val="111111"/>
          <w:spacing w:val="-5"/>
          <w:w w:val="110"/>
          <w:sz w:val="21"/>
        </w:rPr>
        <w:t>119</w:t>
      </w:r>
    </w:p>
    <w:p>
      <w:pPr>
        <w:spacing w:after="0"/>
        <w:jc w:val="right"/>
        <w:rPr>
          <w:rFonts w:ascii="Times New Roman"/>
          <w:sz w:val="21"/>
        </w:rPr>
        <w:sectPr>
          <w:headerReference w:type="default" r:id="rId255"/>
          <w:footerReference w:type="default" r:id="rId256"/>
          <w:pgSz w:w="16830" w:h="11910" w:orient="landscape"/>
          <w:pgMar w:top="820" w:right="420" w:bottom="280" w:left="320" w:header="0" w:footer="0"/>
        </w:sectPr>
      </w:pPr>
    </w:p>
    <w:p>
      <w:pPr>
        <w:pStyle w:val="BodyText"/>
        <w:spacing w:line="20" w:lineRule="exact"/>
        <w:ind w:left="11608"/>
        <w:rPr>
          <w:rFonts w:ascii="Times New Roman"/>
          <w:sz w:val="2"/>
        </w:rPr>
      </w:pPr>
      <w:r>
        <w:rPr>
          <w:rFonts w:ascii="Times New Roman"/>
          <w:sz w:val="2"/>
        </w:rPr>
        <ve:AlternateContent>
          <ve:Choice Requires="wps">
            <w:drawing>
              <wp:inline distT="0" distB="0" distL="0" distR="0">
                <wp:extent cx="941069" cy="6350"/>
                <wp:effectExtent l="9525" t="0" r="1905" b="3175"/>
                <wp:docPr id="652" name="Group 652"/>
                <wp:cNvGraphicFramePr>
                  <a:graphicFrameLocks/>
                </wp:cNvGraphicFramePr>
                <a:graphic>
                  <a:graphicData uri="http://schemas.microsoft.com/office/word/2010/wordprocessingGroup">
                    <wpg:wgp>
                      <wpg:cNvPr id="652" name="Group 652"/>
                      <wpg:cNvGrpSpPr/>
                      <wpg:grpSpPr>
                        <a:xfrm>
                          <a:off x="0" y="0"/>
                          <a:ext cx="941069" cy="6350"/>
                          <a:chExt cx="941069" cy="6350"/>
                        </a:xfrm>
                      </wpg:grpSpPr>
                      <wps:wsp>
                        <wps:cNvPr id="653" name="Graphic 653"/>
                        <wps:cNvSpPr/>
                        <wps:spPr>
                          <a:xfrm>
                            <a:off x="0" y="3053"/>
                            <a:ext cx="941069" cy="1270"/>
                          </a:xfrm>
                          <a:custGeom>
                            <a:avLst/>
                            <a:gdLst/>
                            <a:ahLst/>
                            <a:cxnLst/>
                            <a:rect l="l" t="t" r="r" b="b"/>
                            <a:pathLst>
                              <a:path w="941069" h="0">
                                <a:moveTo>
                                  <a:pt x="0" y="0"/>
                                </a:moveTo>
                                <a:lnTo>
                                  <a:pt x="940676" y="0"/>
                                </a:lnTo>
                              </a:path>
                            </a:pathLst>
                          </a:custGeom>
                          <a:ln w="6106">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22" style="width:74.1pt;height:.5pt;mso-position-horizontal-relative:char;mso-position-vertical-relative:line" coordsize="1482,10" coordorigin="0,0">
                <v:line style="position:absolute" stroked="true" strokecolor="#000000" strokeweight=".480821pt" from="0,5" to="1481,5">
                  <v:stroke dashstyle="solid"/>
                </v:line>
              </v:group>
            </w:pict>
          </ve:Fallback>
        </ve:AlternateContent>
      </w:r>
      <w:r>
        <w:rPr>
          <w:rFonts w:ascii="Times New Roman"/>
          <w:sz w:val="2"/>
        </w:rPr>
      </w:r>
    </w:p>
    <w:p>
      <w:pPr>
        <w:pStyle w:val="BodyText"/>
        <w:rPr>
          <w:rFonts w:ascii="Times New Roman"/>
          <w:sz w:val="15"/>
        </w:rPr>
      </w:pPr>
    </w:p>
    <w:p>
      <w:pPr>
        <w:pStyle w:val="BodyText"/>
        <w:rPr>
          <w:rFonts w:ascii="Times New Roman"/>
          <w:sz w:val="15"/>
        </w:rPr>
      </w:pPr>
    </w:p>
    <w:p>
      <w:pPr>
        <w:pStyle w:val="BodyText"/>
        <w:rPr>
          <w:rFonts w:ascii="Times New Roman"/>
          <w:sz w:val="15"/>
        </w:rPr>
      </w:pPr>
    </w:p>
    <w:p>
      <w:pPr>
        <w:pStyle w:val="BodyText"/>
        <w:rPr>
          <w:rFonts w:ascii="Times New Roman"/>
          <w:sz w:val="15"/>
        </w:rPr>
      </w:pPr>
    </w:p>
    <w:p>
      <w:pPr>
        <w:pStyle w:val="BodyText"/>
        <w:spacing w:before="3"/>
        <w:rPr>
          <w:rFonts w:ascii="Times New Roman"/>
          <w:sz w:val="15"/>
        </w:rPr>
      </w:pPr>
    </w:p>
    <w:p>
      <w:pPr>
        <w:spacing w:before="0"/>
        <w:ind w:left="1533" w:right="0" w:firstLine="0"/>
        <w:jc w:val="left"/>
        <w:rPr>
          <w:sz w:val="15"/>
        </w:rPr>
      </w:pPr>
      <w:r>
        <w:rPr>
          <w:color w:val="AEAEAE"/>
          <w:w w:val="125"/>
          <w:sz w:val="15"/>
        </w:rPr>
        <w:t>Cit</w:t>
      </w:r>
      <w:r>
        <w:rPr>
          <w:color w:val="AEAEAE"/>
          <w:spacing w:val="-14"/>
          <w:w w:val="125"/>
          <w:sz w:val="15"/>
        </w:rPr>
        <w:t> </w:t>
      </w:r>
      <w:r>
        <w:rPr>
          <w:color w:val="AEAEAE"/>
          <w:w w:val="125"/>
          <w:sz w:val="15"/>
        </w:rPr>
        <w:t>UUf'</w:t>
      </w:r>
      <w:r>
        <w:rPr>
          <w:color w:val="AEAEAE"/>
          <w:spacing w:val="-13"/>
          <w:w w:val="125"/>
          <w:sz w:val="15"/>
        </w:rPr>
        <w:t> </w:t>
      </w:r>
      <w:r>
        <w:rPr>
          <w:color w:val="AEAEAE"/>
          <w:w w:val="125"/>
          <w:sz w:val="15"/>
        </w:rPr>
        <w:t>,</w:t>
      </w:r>
      <w:r>
        <w:rPr>
          <w:color w:val="AEAEAE"/>
          <w:w w:val="125"/>
          <w:position w:val="2"/>
          <w:sz w:val="10"/>
        </w:rPr>
        <w:t>0</w:t>
      </w:r>
      <w:r>
        <w:rPr>
          <w:color w:val="AEAEAE"/>
          <w:w w:val="125"/>
          <w:sz w:val="15"/>
        </w:rPr>
        <w:t>.u:ouN</w:t>
      </w:r>
      <w:r>
        <w:rPr>
          <w:color w:val="AEAEAE"/>
          <w:spacing w:val="-33"/>
          <w:w w:val="125"/>
          <w:sz w:val="15"/>
        </w:rPr>
        <w:t> </w:t>
      </w:r>
      <w:r>
        <w:rPr>
          <w:color w:val="AEAEAE"/>
          <w:w w:val="125"/>
          <w:sz w:val="15"/>
        </w:rPr>
        <w:t>r</w:t>
      </w:r>
      <w:r>
        <w:rPr>
          <w:color w:val="AEAEAE"/>
          <w:spacing w:val="-10"/>
          <w:w w:val="125"/>
          <w:sz w:val="15"/>
        </w:rPr>
        <w:t> ,</w:t>
      </w:r>
    </w:p>
    <w:p>
      <w:pPr>
        <w:pStyle w:val="BodyText"/>
        <w:spacing w:before="74"/>
        <w:rPr>
          <w:sz w:val="15"/>
        </w:rPr>
      </w:pPr>
    </w:p>
    <w:p>
      <w:pPr>
        <w:pStyle w:val="ListParagraph"/>
        <w:numPr>
          <w:ilvl w:val="1"/>
          <w:numId w:val="28"/>
        </w:numPr>
        <w:tabs>
          <w:tab w:val="left" w:leader="none" w:pos="646"/>
        </w:tabs>
        <w:spacing w:before="0" w:after="0" w:line="251" w:lineRule="exact"/>
        <w:ind w:left="646" w:right="0" w:hanging="542"/>
        <w:jc w:val="left"/>
        <w:rPr>
          <w:b/>
          <w:color w:val="0F0F0F"/>
          <w:position w:val="1"/>
          <w:sz w:val="21"/>
        </w:rPr>
      </w:pPr>
      <w:r>
        <w:rPr>
          <w:b/>
          <w:color w:val="0F0F0F"/>
          <w:w w:val="105"/>
          <w:sz w:val="21"/>
        </w:rPr>
        <w:t>Group</w:t>
      </w:r>
      <w:r>
        <w:rPr>
          <w:b/>
          <w:color w:val="0F0F0F"/>
          <w:spacing w:val="-16"/>
          <w:w w:val="105"/>
          <w:sz w:val="21"/>
        </w:rPr>
        <w:t> </w:t>
      </w:r>
      <w:r>
        <w:rPr>
          <w:b/>
          <w:color w:val="0F0F0F"/>
          <w:w w:val="105"/>
          <w:sz w:val="21"/>
        </w:rPr>
        <w:t>Comprehensive</w:t>
      </w:r>
      <w:r>
        <w:rPr>
          <w:b/>
          <w:color w:val="0F0F0F"/>
          <w:spacing w:val="-5"/>
          <w:w w:val="105"/>
          <w:sz w:val="21"/>
        </w:rPr>
        <w:t> </w:t>
      </w:r>
      <w:r>
        <w:rPr>
          <w:b/>
          <w:color w:val="0F0F0F"/>
          <w:w w:val="105"/>
          <w:sz w:val="21"/>
        </w:rPr>
        <w:t>Income</w:t>
      </w:r>
      <w:r>
        <w:rPr>
          <w:b/>
          <w:color w:val="0F0F0F"/>
          <w:spacing w:val="-5"/>
          <w:w w:val="105"/>
          <w:sz w:val="21"/>
        </w:rPr>
        <w:t> </w:t>
      </w:r>
      <w:r>
        <w:rPr>
          <w:b/>
          <w:color w:val="0F0F0F"/>
          <w:w w:val="105"/>
          <w:sz w:val="21"/>
        </w:rPr>
        <w:t>and</w:t>
      </w:r>
      <w:r>
        <w:rPr>
          <w:b/>
          <w:color w:val="0F0F0F"/>
          <w:spacing w:val="-16"/>
          <w:w w:val="105"/>
          <w:sz w:val="21"/>
        </w:rPr>
        <w:t> </w:t>
      </w:r>
      <w:r>
        <w:rPr>
          <w:b/>
          <w:color w:val="0F0F0F"/>
          <w:w w:val="105"/>
          <w:sz w:val="21"/>
        </w:rPr>
        <w:t>Expenditure</w:t>
      </w:r>
      <w:r>
        <w:rPr>
          <w:b/>
          <w:color w:val="0F0F0F"/>
          <w:spacing w:val="-3"/>
          <w:w w:val="105"/>
          <w:sz w:val="21"/>
        </w:rPr>
        <w:t> </w:t>
      </w:r>
      <w:r>
        <w:rPr>
          <w:b/>
          <w:color w:val="0F0F0F"/>
          <w:spacing w:val="-2"/>
          <w:w w:val="105"/>
          <w:sz w:val="21"/>
        </w:rPr>
        <w:t>Statement</w:t>
      </w:r>
    </w:p>
    <w:p>
      <w:pPr>
        <w:tabs>
          <w:tab w:val="left" w:leader="none" w:pos="13406"/>
        </w:tabs>
        <w:spacing w:before="0" w:line="252" w:lineRule="exact"/>
        <w:ind w:left="4114" w:right="0" w:firstLine="0"/>
        <w:jc w:val="left"/>
        <w:rPr>
          <w:b/>
          <w:sz w:val="20"/>
        </w:rPr>
      </w:pPr>
      <w:r>
        <w:rPr>
          <w:b/>
          <w:color w:val="0F0F0F"/>
          <w:spacing w:val="-4"/>
          <w:sz w:val="20"/>
        </w:rPr>
        <w:t>2021-</w:t>
      </w:r>
      <w:r>
        <w:rPr>
          <w:b/>
          <w:color w:val="0F0F0F"/>
          <w:spacing w:val="-5"/>
          <w:sz w:val="20"/>
        </w:rPr>
        <w:t>22</w:t>
      </w:r>
      <w:r>
        <w:rPr>
          <w:b/>
          <w:color w:val="0F0F0F"/>
          <w:sz w:val="20"/>
        </w:rPr>
        <w:tab/>
      </w:r>
      <w:r>
        <w:rPr>
          <w:b/>
          <w:color w:val="0F0F0F"/>
          <w:spacing w:val="-6"/>
          <w:position w:val="-3"/>
          <w:sz w:val="20"/>
        </w:rPr>
        <w:t>2022-</w:t>
      </w:r>
      <w:r>
        <w:rPr>
          <w:b/>
          <w:color w:val="0F0F0F"/>
          <w:spacing w:val="-5"/>
          <w:position w:val="-3"/>
          <w:sz w:val="20"/>
        </w:rPr>
        <w:t>23</w:t>
      </w:r>
    </w:p>
    <w:p>
      <w:pPr>
        <w:tabs>
          <w:tab w:val="left" w:leader="none" w:pos="13608"/>
        </w:tabs>
        <w:spacing w:before="0" w:line="221" w:lineRule="exact"/>
        <w:ind w:left="4316" w:right="0" w:firstLine="0"/>
        <w:jc w:val="left"/>
        <w:rPr>
          <w:b/>
          <w:sz w:val="20"/>
        </w:rPr>
      </w:pPr>
      <w:r>
        <w:rPr>
          <w:b/>
          <w:color w:val="0F0F0F"/>
          <w:spacing w:val="-5"/>
          <w:sz w:val="20"/>
        </w:rPr>
        <w:t>Net</w:t>
      </w:r>
      <w:r>
        <w:rPr>
          <w:b/>
          <w:color w:val="0F0F0F"/>
          <w:sz w:val="20"/>
        </w:rPr>
        <w:tab/>
      </w:r>
      <w:r>
        <w:rPr>
          <w:b/>
          <w:color w:val="0F0F0F"/>
          <w:spacing w:val="-5"/>
          <w:position w:val="-2"/>
          <w:sz w:val="20"/>
        </w:rPr>
        <w:t>Net</w:t>
      </w:r>
    </w:p>
    <w:p>
      <w:pPr>
        <w:tabs>
          <w:tab w:val="left" w:leader="none" w:pos="2749"/>
          <w:tab w:val="left" w:leader="none" w:pos="2811"/>
          <w:tab w:val="left" w:leader="none" w:pos="3844"/>
          <w:tab w:val="left" w:leader="none" w:pos="4065"/>
          <w:tab w:val="left" w:leader="none" w:pos="10756"/>
          <w:tab w:val="left" w:leader="none" w:pos="11045"/>
          <w:tab w:val="left" w:leader="none" w:pos="12205"/>
          <w:tab w:val="left" w:leader="none" w:pos="12266"/>
          <w:tab w:val="left" w:leader="none" w:pos="13190"/>
          <w:tab w:val="left" w:leader="none" w:pos="13300"/>
        </w:tabs>
        <w:spacing w:before="2" w:line="201" w:lineRule="auto"/>
        <w:ind w:left="1194" w:right="1750" w:firstLine="288"/>
        <w:jc w:val="left"/>
        <w:rPr>
          <w:b/>
          <w:sz w:val="20"/>
        </w:rPr>
      </w:pPr>
      <w:r>
        <w:rPr>
          <w:b/>
          <w:color w:val="0F0F0F"/>
          <w:spacing w:val="-2"/>
          <w:position w:val="1"/>
          <w:sz w:val="20"/>
        </w:rPr>
        <w:t>Gross</w:t>
      </w:r>
      <w:r>
        <w:rPr>
          <w:b/>
          <w:color w:val="0F0F0F"/>
          <w:position w:val="1"/>
          <w:sz w:val="20"/>
        </w:rPr>
        <w:tab/>
        <w:tab/>
      </w:r>
      <w:r>
        <w:rPr>
          <w:b/>
          <w:color w:val="0F0F0F"/>
          <w:spacing w:val="-2"/>
          <w:sz w:val="20"/>
        </w:rPr>
        <w:t>Gross</w:t>
      </w:r>
      <w:r>
        <w:rPr>
          <w:b/>
          <w:color w:val="0F0F0F"/>
          <w:sz w:val="20"/>
        </w:rPr>
        <w:tab/>
        <w:t>Expenditure </w:t>
      </w:r>
      <w:r>
        <w:rPr>
          <w:color w:val="0F0F0F"/>
          <w:sz w:val="20"/>
        </w:rPr>
        <w:t>/</w:t>
        <w:tab/>
        <w:tab/>
      </w:r>
      <w:r>
        <w:rPr>
          <w:b/>
          <w:color w:val="0F0F0F"/>
          <w:spacing w:val="-2"/>
          <w:position w:val="-2"/>
          <w:sz w:val="20"/>
        </w:rPr>
        <w:t>Gross</w:t>
      </w:r>
      <w:r>
        <w:rPr>
          <w:b/>
          <w:color w:val="0F0F0F"/>
          <w:position w:val="-2"/>
          <w:sz w:val="20"/>
        </w:rPr>
        <w:tab/>
        <w:tab/>
      </w:r>
      <w:r>
        <w:rPr>
          <w:b/>
          <w:color w:val="0F0F0F"/>
          <w:spacing w:val="-2"/>
          <w:position w:val="-2"/>
          <w:sz w:val="20"/>
        </w:rPr>
        <w:t>Gross</w:t>
      </w:r>
      <w:r>
        <w:rPr>
          <w:b/>
          <w:color w:val="0F0F0F"/>
          <w:position w:val="-2"/>
          <w:sz w:val="20"/>
        </w:rPr>
        <w:tab/>
      </w:r>
      <w:r>
        <w:rPr>
          <w:b/>
          <w:color w:val="0F0F0F"/>
          <w:spacing w:val="-2"/>
          <w:position w:val="-3"/>
          <w:sz w:val="20"/>
        </w:rPr>
        <w:t>Expenditure </w:t>
      </w:r>
      <w:r>
        <w:rPr>
          <w:b/>
          <w:color w:val="0F0F0F"/>
          <w:spacing w:val="-2"/>
          <w:position w:val="5"/>
          <w:sz w:val="20"/>
        </w:rPr>
        <w:t>Expenditure</w:t>
      </w:r>
      <w:r>
        <w:rPr>
          <w:b/>
          <w:color w:val="0F0F0F"/>
          <w:position w:val="5"/>
          <w:sz w:val="20"/>
        </w:rPr>
        <w:tab/>
      </w:r>
      <w:r>
        <w:rPr>
          <w:b/>
          <w:color w:val="0F0F0F"/>
          <w:spacing w:val="-2"/>
          <w:position w:val="4"/>
          <w:sz w:val="20"/>
        </w:rPr>
        <w:t>Income</w:t>
      </w:r>
      <w:r>
        <w:rPr>
          <w:b/>
          <w:color w:val="0F0F0F"/>
          <w:position w:val="4"/>
          <w:sz w:val="20"/>
        </w:rPr>
        <w:tab/>
        <w:tab/>
      </w:r>
      <w:r>
        <w:rPr>
          <w:b/>
          <w:color w:val="0F0F0F"/>
          <w:spacing w:val="-2"/>
          <w:position w:val="4"/>
          <w:sz w:val="20"/>
        </w:rPr>
        <w:t>(Income)</w:t>
      </w:r>
      <w:r>
        <w:rPr>
          <w:b/>
          <w:color w:val="0F0F0F"/>
          <w:position w:val="4"/>
          <w:sz w:val="20"/>
        </w:rPr>
        <w:tab/>
      </w:r>
      <w:r>
        <w:rPr>
          <w:b/>
          <w:color w:val="0F0F0F"/>
          <w:spacing w:val="-2"/>
          <w:position w:val="1"/>
          <w:sz w:val="20"/>
        </w:rPr>
        <w:t>Expenditure</w:t>
      </w:r>
      <w:r>
        <w:rPr>
          <w:b/>
          <w:color w:val="0F0F0F"/>
          <w:position w:val="1"/>
          <w:sz w:val="20"/>
        </w:rPr>
        <w:tab/>
      </w:r>
      <w:r>
        <w:rPr>
          <w:b/>
          <w:color w:val="0F0F0F"/>
          <w:spacing w:val="-2"/>
          <w:sz w:val="20"/>
        </w:rPr>
        <w:t>Income</w:t>
      </w:r>
      <w:r>
        <w:rPr>
          <w:b/>
          <w:color w:val="0F0F0F"/>
          <w:sz w:val="20"/>
        </w:rPr>
        <w:tab/>
        <w:tab/>
      </w:r>
      <w:r>
        <w:rPr>
          <w:color w:val="0F0F0F"/>
          <w:sz w:val="20"/>
        </w:rPr>
        <w:t>/ </w:t>
      </w:r>
      <w:r>
        <w:rPr>
          <w:b/>
          <w:color w:val="0F0F0F"/>
          <w:sz w:val="20"/>
        </w:rPr>
        <w:t>(Income)</w:t>
      </w:r>
    </w:p>
    <w:p>
      <w:pPr>
        <w:tabs>
          <w:tab w:val="left" w:leader="none" w:pos="2881"/>
          <w:tab w:val="left" w:leader="none" w:pos="4267"/>
          <w:tab w:val="left" w:leader="none" w:pos="11116"/>
          <w:tab w:val="left" w:leader="none" w:pos="12332"/>
          <w:tab w:val="left" w:leader="none" w:pos="13549"/>
        </w:tabs>
        <w:spacing w:before="0" w:line="214" w:lineRule="exact"/>
        <w:ind w:left="1554" w:right="0" w:firstLine="0"/>
        <w:jc w:val="left"/>
        <w:rPr>
          <w:b/>
          <w:sz w:val="20"/>
        </w:rPr>
      </w:pPr>
      <w:r>
        <w:rPr>
          <w:b/>
          <w:color w:val="0F0F0F"/>
          <w:spacing w:val="-4"/>
          <w:position w:val="1"/>
          <w:sz w:val="20"/>
        </w:rPr>
        <w:t>£000</w:t>
      </w:r>
      <w:r>
        <w:rPr>
          <w:b/>
          <w:color w:val="0F0F0F"/>
          <w:position w:val="1"/>
          <w:sz w:val="20"/>
        </w:rPr>
        <w:tab/>
      </w:r>
      <w:r>
        <w:rPr>
          <w:b/>
          <w:color w:val="0F0F0F"/>
          <w:spacing w:val="-4"/>
          <w:sz w:val="20"/>
        </w:rPr>
        <w:t>£000</w:t>
      </w:r>
      <w:r>
        <w:rPr>
          <w:b/>
          <w:color w:val="0F0F0F"/>
          <w:sz w:val="20"/>
        </w:rPr>
        <w:tab/>
      </w:r>
      <w:r>
        <w:rPr>
          <w:b/>
          <w:color w:val="0F0F0F"/>
          <w:spacing w:val="-4"/>
          <w:sz w:val="20"/>
        </w:rPr>
        <w:t>£000</w:t>
      </w:r>
      <w:r>
        <w:rPr>
          <w:b/>
          <w:color w:val="0F0F0F"/>
          <w:sz w:val="20"/>
        </w:rPr>
        <w:tab/>
      </w:r>
      <w:r>
        <w:rPr>
          <w:b/>
          <w:color w:val="0F0F0F"/>
          <w:spacing w:val="-4"/>
          <w:position w:val="-1"/>
          <w:sz w:val="20"/>
        </w:rPr>
        <w:t>£000</w:t>
      </w:r>
      <w:r>
        <w:rPr>
          <w:b/>
          <w:color w:val="0F0F0F"/>
          <w:position w:val="-1"/>
          <w:sz w:val="20"/>
        </w:rPr>
        <w:tab/>
      </w:r>
      <w:r>
        <w:rPr>
          <w:b/>
          <w:color w:val="0F0F0F"/>
          <w:spacing w:val="-4"/>
          <w:position w:val="-1"/>
          <w:sz w:val="20"/>
        </w:rPr>
        <w:t>£000</w:t>
      </w:r>
      <w:r>
        <w:rPr>
          <w:b/>
          <w:color w:val="0F0F0F"/>
          <w:position w:val="-1"/>
          <w:sz w:val="20"/>
        </w:rPr>
        <w:tab/>
      </w:r>
      <w:r>
        <w:rPr>
          <w:b/>
          <w:color w:val="0F0F0F"/>
          <w:spacing w:val="-4"/>
          <w:position w:val="-2"/>
          <w:sz w:val="20"/>
        </w:rPr>
        <w:t>£000</w:t>
      </w:r>
    </w:p>
    <w:p>
      <w:pPr>
        <w:tabs>
          <w:tab w:val="left" w:leader="none" w:pos="2976"/>
          <w:tab w:val="left" w:leader="none" w:pos="4508"/>
          <w:tab w:val="left" w:leader="none" w:pos="5365"/>
          <w:tab w:val="left" w:leader="none" w:pos="11455"/>
          <w:tab w:val="left" w:leader="none" w:pos="12317"/>
          <w:tab w:val="left" w:leader="none" w:pos="13887"/>
        </w:tabs>
        <w:spacing w:before="0" w:line="231" w:lineRule="exact"/>
        <w:ind w:left="1885" w:right="0" w:firstLine="0"/>
        <w:jc w:val="left"/>
        <w:rPr>
          <w:b/>
          <w:sz w:val="20"/>
        </w:rPr>
      </w:pPr>
      <w:r>
        <w:rPr>
          <w:color w:val="0F0F0F"/>
          <w:spacing w:val="-2"/>
          <w:position w:val="1"/>
          <w:sz w:val="20"/>
        </w:rPr>
        <w:t>1,638</w:t>
      </w:r>
      <w:r>
        <w:rPr>
          <w:color w:val="0F0F0F"/>
          <w:position w:val="1"/>
          <w:sz w:val="20"/>
        </w:rPr>
        <w:tab/>
      </w:r>
      <w:r>
        <w:rPr>
          <w:color w:val="0F0F0F"/>
          <w:spacing w:val="-2"/>
          <w:sz w:val="20"/>
        </w:rPr>
        <w:t>(3,302)</w:t>
      </w:r>
      <w:r>
        <w:rPr>
          <w:color w:val="0F0F0F"/>
          <w:sz w:val="20"/>
        </w:rPr>
        <w:tab/>
      </w:r>
      <w:r>
        <w:rPr>
          <w:b/>
          <w:color w:val="0F0F0F"/>
          <w:spacing w:val="-2"/>
          <w:sz w:val="20"/>
        </w:rPr>
        <w:t>(1,664)</w:t>
      </w:r>
      <w:r>
        <w:rPr>
          <w:b/>
          <w:color w:val="0F0F0F"/>
          <w:sz w:val="20"/>
        </w:rPr>
        <w:tab/>
      </w:r>
      <w:r>
        <w:rPr>
          <w:color w:val="0F0F0F"/>
          <w:sz w:val="20"/>
        </w:rPr>
        <w:t>Asset</w:t>
      </w:r>
      <w:r>
        <w:rPr>
          <w:color w:val="0F0F0F"/>
          <w:spacing w:val="-10"/>
          <w:sz w:val="20"/>
        </w:rPr>
        <w:t> </w:t>
      </w:r>
      <w:r>
        <w:rPr>
          <w:color w:val="0F0F0F"/>
          <w:spacing w:val="-2"/>
          <w:sz w:val="20"/>
        </w:rPr>
        <w:t>Management</w:t>
      </w:r>
      <w:r>
        <w:rPr>
          <w:color w:val="0F0F0F"/>
          <w:sz w:val="20"/>
        </w:rPr>
        <w:tab/>
      </w:r>
      <w:r>
        <w:rPr>
          <w:color w:val="0F0F0F"/>
          <w:spacing w:val="-2"/>
          <w:position w:val="-1"/>
          <w:sz w:val="20"/>
        </w:rPr>
        <w:t>8,183</w:t>
      </w:r>
      <w:r>
        <w:rPr>
          <w:color w:val="0F0F0F"/>
          <w:position w:val="-1"/>
          <w:sz w:val="20"/>
        </w:rPr>
        <w:tab/>
      </w:r>
      <w:r>
        <w:rPr>
          <w:color w:val="0F0F0F"/>
          <w:spacing w:val="-2"/>
          <w:position w:val="-2"/>
          <w:sz w:val="20"/>
        </w:rPr>
        <w:t>(5,622)</w:t>
      </w:r>
      <w:r>
        <w:rPr>
          <w:color w:val="0F0F0F"/>
          <w:position w:val="-2"/>
          <w:sz w:val="20"/>
        </w:rPr>
        <w:tab/>
      </w:r>
      <w:r>
        <w:rPr>
          <w:b/>
          <w:color w:val="0F0F0F"/>
          <w:spacing w:val="-2"/>
          <w:position w:val="-2"/>
          <w:sz w:val="20"/>
        </w:rPr>
        <w:t>2,561</w:t>
      </w:r>
    </w:p>
    <w:p>
      <w:pPr>
        <w:tabs>
          <w:tab w:val="left" w:leader="none" w:pos="3549"/>
          <w:tab w:val="left" w:leader="none" w:pos="4810"/>
          <w:tab w:val="left" w:leader="none" w:pos="5365"/>
          <w:tab w:val="left" w:leader="none" w:pos="11624"/>
          <w:tab w:val="left" w:leader="none" w:pos="12890"/>
          <w:tab w:val="right" w:leader="none" w:pos="14382"/>
        </w:tabs>
        <w:spacing w:before="0" w:line="238" w:lineRule="exact"/>
        <w:ind w:left="2053" w:right="0" w:firstLine="0"/>
        <w:jc w:val="left"/>
        <w:rPr>
          <w:b/>
          <w:sz w:val="20"/>
        </w:rPr>
      </w:pPr>
      <w:r>
        <w:rPr>
          <w:color w:val="0F0F0F"/>
          <w:spacing w:val="-5"/>
          <w:position w:val="1"/>
          <w:sz w:val="20"/>
        </w:rPr>
        <w:t>189</w:t>
      </w:r>
      <w:r>
        <w:rPr>
          <w:color w:val="0F0F0F"/>
          <w:position w:val="1"/>
          <w:sz w:val="20"/>
        </w:rPr>
        <w:tab/>
      </w:r>
      <w:r>
        <w:rPr>
          <w:color w:val="343434"/>
          <w:spacing w:val="-10"/>
          <w:sz w:val="22"/>
        </w:rPr>
        <w:t>-</w:t>
      </w:r>
      <w:r>
        <w:rPr>
          <w:color w:val="343434"/>
          <w:sz w:val="22"/>
        </w:rPr>
        <w:tab/>
      </w:r>
      <w:r>
        <w:rPr>
          <w:b/>
          <w:color w:val="0F0F0F"/>
          <w:spacing w:val="-5"/>
          <w:sz w:val="20"/>
        </w:rPr>
        <w:t>189</w:t>
      </w:r>
      <w:r>
        <w:rPr>
          <w:b/>
          <w:color w:val="0F0F0F"/>
          <w:sz w:val="20"/>
        </w:rPr>
        <w:tab/>
      </w:r>
      <w:r>
        <w:rPr>
          <w:color w:val="0F0F0F"/>
          <w:sz w:val="20"/>
        </w:rPr>
        <w:t>Audit</w:t>
      </w:r>
      <w:r>
        <w:rPr>
          <w:color w:val="0F0F0F"/>
          <w:spacing w:val="2"/>
          <w:sz w:val="20"/>
        </w:rPr>
        <w:t> </w:t>
      </w:r>
      <w:r>
        <w:rPr>
          <w:color w:val="0F0F0F"/>
          <w:sz w:val="20"/>
        </w:rPr>
        <w:t>&amp;</w:t>
      </w:r>
      <w:r>
        <w:rPr>
          <w:color w:val="0F0F0F"/>
          <w:spacing w:val="-6"/>
          <w:sz w:val="20"/>
        </w:rPr>
        <w:t> </w:t>
      </w:r>
      <w:r>
        <w:rPr>
          <w:color w:val="0F0F0F"/>
          <w:spacing w:val="-2"/>
          <w:sz w:val="20"/>
        </w:rPr>
        <w:t>Assurance</w:t>
      </w:r>
      <w:r>
        <w:rPr>
          <w:color w:val="0F0F0F"/>
          <w:sz w:val="20"/>
        </w:rPr>
        <w:tab/>
      </w:r>
      <w:r>
        <w:rPr>
          <w:color w:val="0F0F0F"/>
          <w:spacing w:val="-5"/>
          <w:position w:val="-1"/>
          <w:sz w:val="20"/>
        </w:rPr>
        <w:t>195</w:t>
      </w:r>
      <w:r>
        <w:rPr>
          <w:color w:val="0F0F0F"/>
          <w:position w:val="-1"/>
          <w:sz w:val="20"/>
        </w:rPr>
        <w:tab/>
      </w:r>
      <w:r>
        <w:rPr>
          <w:color w:val="343434"/>
          <w:spacing w:val="-10"/>
          <w:position w:val="-2"/>
          <w:sz w:val="20"/>
        </w:rPr>
        <w:t>-</w:t>
      </w:r>
      <w:r>
        <w:rPr>
          <w:color w:val="343434"/>
          <w:position w:val="-2"/>
          <w:sz w:val="20"/>
        </w:rPr>
        <w:tab/>
      </w:r>
      <w:r>
        <w:rPr>
          <w:b/>
          <w:color w:val="0F0F0F"/>
          <w:spacing w:val="-5"/>
          <w:position w:val="-1"/>
          <w:sz w:val="20"/>
        </w:rPr>
        <w:t>195</w:t>
      </w:r>
    </w:p>
    <w:p>
      <w:pPr>
        <w:tabs>
          <w:tab w:val="left" w:leader="none" w:pos="3371"/>
          <w:tab w:val="left" w:leader="none" w:pos="4817"/>
          <w:tab w:val="left" w:leader="none" w:pos="5363"/>
          <w:tab w:val="left" w:leader="none" w:pos="11623"/>
          <w:tab w:val="right" w:leader="none" w:pos="14386"/>
        </w:tabs>
        <w:spacing w:before="0" w:line="228" w:lineRule="exact"/>
        <w:ind w:left="2061" w:right="0" w:firstLine="0"/>
        <w:jc w:val="left"/>
        <w:rPr>
          <w:b/>
          <w:sz w:val="20"/>
        </w:rPr>
      </w:pPr>
      <w:r>
        <w:rPr>
          <w:color w:val="0F0F0F"/>
          <w:spacing w:val="-5"/>
          <w:position w:val="1"/>
          <w:sz w:val="20"/>
        </w:rPr>
        <w:t>521</w:t>
      </w:r>
      <w:r>
        <w:rPr>
          <w:color w:val="0F0F0F"/>
          <w:position w:val="1"/>
          <w:sz w:val="20"/>
        </w:rPr>
        <w:tab/>
      </w:r>
      <w:r>
        <w:rPr>
          <w:color w:val="212121"/>
          <w:spacing w:val="-5"/>
          <w:sz w:val="20"/>
        </w:rPr>
        <w:t>(2)</w:t>
      </w:r>
      <w:r>
        <w:rPr>
          <w:color w:val="212121"/>
          <w:sz w:val="20"/>
        </w:rPr>
        <w:tab/>
      </w:r>
      <w:r>
        <w:rPr>
          <w:b/>
          <w:color w:val="0F0F0F"/>
          <w:spacing w:val="-5"/>
          <w:sz w:val="20"/>
        </w:rPr>
        <w:t>519</w:t>
      </w:r>
      <w:r>
        <w:rPr>
          <w:b/>
          <w:color w:val="0F0F0F"/>
          <w:sz w:val="20"/>
        </w:rPr>
        <w:tab/>
      </w:r>
      <w:r>
        <w:rPr>
          <w:color w:val="0F0F0F"/>
          <w:sz w:val="20"/>
        </w:rPr>
        <w:t>Executive</w:t>
      </w:r>
      <w:r>
        <w:rPr>
          <w:color w:val="0F0F0F"/>
          <w:spacing w:val="-9"/>
          <w:sz w:val="20"/>
        </w:rPr>
        <w:t> </w:t>
      </w:r>
      <w:r>
        <w:rPr>
          <w:color w:val="0F0F0F"/>
          <w:spacing w:val="-2"/>
          <w:sz w:val="20"/>
        </w:rPr>
        <w:t>Directors</w:t>
      </w:r>
      <w:r>
        <w:rPr>
          <w:color w:val="0F0F0F"/>
          <w:sz w:val="20"/>
        </w:rPr>
        <w:tab/>
      </w:r>
      <w:r>
        <w:rPr>
          <w:color w:val="0F0F0F"/>
          <w:spacing w:val="-5"/>
          <w:position w:val="-1"/>
          <w:sz w:val="20"/>
        </w:rPr>
        <w:t>558</w:t>
      </w:r>
      <w:r>
        <w:rPr>
          <w:color w:val="0F0F0F"/>
          <w:position w:val="-1"/>
          <w:sz w:val="20"/>
        </w:rPr>
        <w:tab/>
      </w:r>
      <w:r>
        <w:rPr>
          <w:b/>
          <w:color w:val="0F0F0F"/>
          <w:spacing w:val="-5"/>
          <w:position w:val="-1"/>
          <w:sz w:val="20"/>
        </w:rPr>
        <w:t>558</w:t>
      </w:r>
    </w:p>
    <w:p>
      <w:pPr>
        <w:tabs>
          <w:tab w:val="left" w:leader="none" w:pos="3149"/>
          <w:tab w:val="left" w:leader="none" w:pos="4812"/>
          <w:tab w:val="left" w:leader="none" w:pos="5363"/>
          <w:tab w:val="left" w:leader="none" w:pos="11619"/>
          <w:tab w:val="left" w:leader="none" w:pos="12596"/>
          <w:tab w:val="right" w:leader="none" w:pos="14386"/>
        </w:tabs>
        <w:spacing w:before="0" w:line="223" w:lineRule="exact"/>
        <w:ind w:left="2053" w:right="0" w:firstLine="0"/>
        <w:jc w:val="left"/>
        <w:rPr>
          <w:b/>
          <w:sz w:val="20"/>
        </w:rPr>
      </w:pPr>
      <w:r>
        <w:rPr>
          <w:color w:val="0F0F0F"/>
          <w:spacing w:val="-5"/>
          <w:sz w:val="20"/>
        </w:rPr>
        <w:t>607</w:t>
      </w:r>
      <w:r>
        <w:rPr>
          <w:color w:val="0F0F0F"/>
          <w:sz w:val="20"/>
        </w:rPr>
        <w:tab/>
      </w:r>
      <w:r>
        <w:rPr>
          <w:color w:val="0F0F0F"/>
          <w:spacing w:val="-2"/>
          <w:sz w:val="20"/>
        </w:rPr>
        <w:t>(180)</w:t>
      </w:r>
      <w:r>
        <w:rPr>
          <w:color w:val="0F0F0F"/>
          <w:sz w:val="20"/>
        </w:rPr>
        <w:tab/>
      </w:r>
      <w:r>
        <w:rPr>
          <w:b/>
          <w:color w:val="0F0F0F"/>
          <w:spacing w:val="-5"/>
          <w:sz w:val="20"/>
        </w:rPr>
        <w:t>427</w:t>
      </w:r>
      <w:r>
        <w:rPr>
          <w:b/>
          <w:color w:val="0F0F0F"/>
          <w:sz w:val="20"/>
        </w:rPr>
        <w:tab/>
      </w:r>
      <w:r>
        <w:rPr>
          <w:color w:val="0F0F0F"/>
          <w:sz w:val="20"/>
        </w:rPr>
        <w:t>Engineering</w:t>
      </w:r>
      <w:r>
        <w:rPr>
          <w:color w:val="0F0F0F"/>
          <w:spacing w:val="-8"/>
          <w:sz w:val="20"/>
        </w:rPr>
        <w:t> </w:t>
      </w:r>
      <w:r>
        <w:rPr>
          <w:color w:val="0F0F0F"/>
          <w:spacing w:val="-2"/>
          <w:sz w:val="20"/>
        </w:rPr>
        <w:t>Services</w:t>
      </w:r>
      <w:r>
        <w:rPr>
          <w:color w:val="0F0F0F"/>
          <w:sz w:val="20"/>
        </w:rPr>
        <w:tab/>
      </w:r>
      <w:r>
        <w:rPr>
          <w:color w:val="0F0F0F"/>
          <w:spacing w:val="-5"/>
          <w:position w:val="-1"/>
          <w:sz w:val="20"/>
        </w:rPr>
        <w:t>669</w:t>
      </w:r>
      <w:r>
        <w:rPr>
          <w:color w:val="0F0F0F"/>
          <w:position w:val="-1"/>
          <w:sz w:val="20"/>
        </w:rPr>
        <w:tab/>
      </w:r>
      <w:r>
        <w:rPr>
          <w:color w:val="0F0F0F"/>
          <w:spacing w:val="-4"/>
          <w:position w:val="-1"/>
          <w:sz w:val="20"/>
        </w:rPr>
        <w:t>(24)</w:t>
      </w:r>
      <w:r>
        <w:rPr>
          <w:color w:val="0F0F0F"/>
          <w:position w:val="-1"/>
          <w:sz w:val="20"/>
        </w:rPr>
        <w:tab/>
      </w:r>
      <w:r>
        <w:rPr>
          <w:b/>
          <w:color w:val="0F0F0F"/>
          <w:spacing w:val="-5"/>
          <w:position w:val="-1"/>
          <w:sz w:val="20"/>
        </w:rPr>
        <w:t>645</w:t>
      </w:r>
    </w:p>
    <w:p>
      <w:pPr>
        <w:tabs>
          <w:tab w:val="left" w:leader="none" w:pos="3149"/>
          <w:tab w:val="left" w:leader="none" w:pos="4646"/>
          <w:tab w:val="left" w:leader="none" w:pos="5368"/>
          <w:tab w:val="left" w:leader="none" w:pos="11456"/>
          <w:tab w:val="left" w:leader="none" w:pos="12490"/>
          <w:tab w:val="left" w:leader="none" w:pos="13891"/>
        </w:tabs>
        <w:spacing w:before="0" w:line="230" w:lineRule="exact"/>
        <w:ind w:left="1890" w:right="0" w:firstLine="0"/>
        <w:jc w:val="left"/>
        <w:rPr>
          <w:b/>
          <w:sz w:val="20"/>
        </w:rPr>
      </w:pPr>
      <w:r>
        <w:rPr>
          <w:color w:val="0F0F0F"/>
          <w:spacing w:val="-2"/>
          <w:position w:val="1"/>
          <w:sz w:val="20"/>
        </w:rPr>
        <w:t>1,645</w:t>
      </w:r>
      <w:r>
        <w:rPr>
          <w:color w:val="0F0F0F"/>
          <w:position w:val="1"/>
          <w:sz w:val="20"/>
        </w:rPr>
        <w:tab/>
      </w:r>
      <w:r>
        <w:rPr>
          <w:color w:val="0F0F0F"/>
          <w:spacing w:val="-4"/>
          <w:sz w:val="20"/>
        </w:rPr>
        <w:t>(323)</w:t>
      </w:r>
      <w:r>
        <w:rPr>
          <w:color w:val="0F0F0F"/>
          <w:sz w:val="20"/>
        </w:rPr>
        <w:tab/>
      </w:r>
      <w:r>
        <w:rPr>
          <w:b/>
          <w:color w:val="0F0F0F"/>
          <w:spacing w:val="-2"/>
          <w:sz w:val="20"/>
        </w:rPr>
        <w:t>1,322</w:t>
      </w:r>
      <w:r>
        <w:rPr>
          <w:b/>
          <w:color w:val="0F0F0F"/>
          <w:sz w:val="20"/>
        </w:rPr>
        <w:tab/>
      </w:r>
      <w:r>
        <w:rPr>
          <w:color w:val="0F0F0F"/>
          <w:spacing w:val="-2"/>
          <w:sz w:val="20"/>
        </w:rPr>
        <w:t>Environmental</w:t>
      </w:r>
      <w:r>
        <w:rPr>
          <w:color w:val="0F0F0F"/>
          <w:spacing w:val="9"/>
          <w:sz w:val="20"/>
        </w:rPr>
        <w:t> </w:t>
      </w:r>
      <w:r>
        <w:rPr>
          <w:color w:val="0F0F0F"/>
          <w:spacing w:val="-2"/>
          <w:sz w:val="20"/>
        </w:rPr>
        <w:t>Health</w:t>
      </w:r>
      <w:r>
        <w:rPr>
          <w:color w:val="0F0F0F"/>
          <w:sz w:val="20"/>
        </w:rPr>
        <w:tab/>
      </w:r>
      <w:r>
        <w:rPr>
          <w:color w:val="0F0F0F"/>
          <w:spacing w:val="-2"/>
          <w:position w:val="-1"/>
          <w:sz w:val="20"/>
        </w:rPr>
        <w:t>1,698</w:t>
      </w:r>
      <w:r>
        <w:rPr>
          <w:color w:val="0F0F0F"/>
          <w:position w:val="-1"/>
          <w:sz w:val="20"/>
        </w:rPr>
        <w:tab/>
      </w:r>
      <w:r>
        <w:rPr>
          <w:color w:val="212121"/>
          <w:spacing w:val="-2"/>
          <w:position w:val="-1"/>
          <w:sz w:val="20"/>
        </w:rPr>
        <w:t>(455)</w:t>
      </w:r>
      <w:r>
        <w:rPr>
          <w:color w:val="212121"/>
          <w:position w:val="-1"/>
          <w:sz w:val="20"/>
        </w:rPr>
        <w:tab/>
      </w:r>
      <w:r>
        <w:rPr>
          <w:b/>
          <w:color w:val="0F0F0F"/>
          <w:spacing w:val="-2"/>
          <w:position w:val="-1"/>
          <w:sz w:val="20"/>
        </w:rPr>
        <w:t>1,243</w:t>
      </w:r>
    </w:p>
    <w:p>
      <w:pPr>
        <w:tabs>
          <w:tab w:val="left" w:leader="none" w:pos="2875"/>
          <w:tab w:val="left" w:leader="none" w:pos="4652"/>
          <w:tab w:val="left" w:leader="none" w:pos="5367"/>
          <w:tab w:val="left" w:leader="none" w:pos="11342"/>
          <w:tab w:val="left" w:leader="none" w:pos="12211"/>
          <w:tab w:val="left" w:leader="none" w:pos="13889"/>
        </w:tabs>
        <w:spacing w:before="0" w:line="235" w:lineRule="exact"/>
        <w:ind w:left="1787" w:right="0" w:firstLine="0"/>
        <w:jc w:val="left"/>
        <w:rPr>
          <w:b/>
          <w:sz w:val="20"/>
        </w:rPr>
      </w:pPr>
      <w:r>
        <w:rPr>
          <w:color w:val="0F0F0F"/>
          <w:spacing w:val="-2"/>
          <w:position w:val="3"/>
          <w:sz w:val="20"/>
        </w:rPr>
        <w:t>30,738</w:t>
      </w:r>
      <w:r>
        <w:rPr>
          <w:color w:val="0F0F0F"/>
          <w:position w:val="3"/>
          <w:sz w:val="20"/>
        </w:rPr>
        <w:tab/>
      </w:r>
      <w:r>
        <w:rPr>
          <w:color w:val="0F0F0F"/>
          <w:spacing w:val="-2"/>
          <w:position w:val="2"/>
          <w:sz w:val="20"/>
        </w:rPr>
        <w:t>(27,866)</w:t>
      </w:r>
      <w:r>
        <w:rPr>
          <w:color w:val="0F0F0F"/>
          <w:position w:val="2"/>
          <w:sz w:val="20"/>
        </w:rPr>
        <w:tab/>
      </w:r>
      <w:r>
        <w:rPr>
          <w:b/>
          <w:color w:val="0F0F0F"/>
          <w:spacing w:val="-2"/>
          <w:position w:val="2"/>
          <w:sz w:val="20"/>
        </w:rPr>
        <w:t>2,872</w:t>
      </w:r>
      <w:r>
        <w:rPr>
          <w:b/>
          <w:color w:val="0F0F0F"/>
          <w:position w:val="2"/>
          <w:sz w:val="20"/>
        </w:rPr>
        <w:tab/>
      </w:r>
      <w:r>
        <w:rPr>
          <w:color w:val="0F0F0F"/>
          <w:position w:val="1"/>
          <w:sz w:val="20"/>
        </w:rPr>
        <w:t>Finance</w:t>
      </w:r>
      <w:r>
        <w:rPr>
          <w:color w:val="0F0F0F"/>
          <w:spacing w:val="2"/>
          <w:position w:val="1"/>
          <w:sz w:val="20"/>
        </w:rPr>
        <w:t> </w:t>
      </w:r>
      <w:r>
        <w:rPr>
          <w:color w:val="0F0F0F"/>
          <w:position w:val="1"/>
          <w:sz w:val="20"/>
        </w:rPr>
        <w:t>&amp;</w:t>
      </w:r>
      <w:r>
        <w:rPr>
          <w:color w:val="0F0F0F"/>
          <w:spacing w:val="-8"/>
          <w:position w:val="1"/>
          <w:sz w:val="20"/>
        </w:rPr>
        <w:t> </w:t>
      </w:r>
      <w:r>
        <w:rPr>
          <w:color w:val="0F0F0F"/>
          <w:position w:val="1"/>
          <w:sz w:val="20"/>
        </w:rPr>
        <w:t>Business</w:t>
      </w:r>
      <w:r>
        <w:rPr>
          <w:color w:val="0F0F0F"/>
          <w:spacing w:val="2"/>
          <w:position w:val="1"/>
          <w:sz w:val="20"/>
        </w:rPr>
        <w:t> </w:t>
      </w:r>
      <w:r>
        <w:rPr>
          <w:color w:val="0F0F0F"/>
          <w:spacing w:val="-2"/>
          <w:position w:val="1"/>
          <w:sz w:val="20"/>
        </w:rPr>
        <w:t>Services</w:t>
      </w:r>
      <w:r>
        <w:rPr>
          <w:color w:val="0F0F0F"/>
          <w:position w:val="1"/>
          <w:sz w:val="20"/>
        </w:rPr>
        <w:tab/>
      </w:r>
      <w:r>
        <w:rPr>
          <w:color w:val="0F0F0F"/>
          <w:spacing w:val="-2"/>
          <w:sz w:val="20"/>
        </w:rPr>
        <w:t>29,930</w:t>
      </w:r>
      <w:r>
        <w:rPr>
          <w:color w:val="0F0F0F"/>
          <w:sz w:val="20"/>
        </w:rPr>
        <w:tab/>
      </w:r>
      <w:r>
        <w:rPr>
          <w:color w:val="0F0F0F"/>
          <w:spacing w:val="-2"/>
          <w:sz w:val="20"/>
        </w:rPr>
        <w:t>(26,742)</w:t>
      </w:r>
      <w:r>
        <w:rPr>
          <w:color w:val="0F0F0F"/>
          <w:sz w:val="20"/>
        </w:rPr>
        <w:tab/>
      </w:r>
      <w:r>
        <w:rPr>
          <w:b/>
          <w:color w:val="0F0F0F"/>
          <w:spacing w:val="-2"/>
          <w:sz w:val="20"/>
        </w:rPr>
        <w:t>3,188</w:t>
      </w:r>
    </w:p>
    <w:p>
      <w:pPr>
        <w:tabs>
          <w:tab w:val="left" w:leader="none" w:pos="3265"/>
          <w:tab w:val="left" w:leader="none" w:pos="4817"/>
          <w:tab w:val="left" w:leader="none" w:pos="5368"/>
          <w:tab w:val="left" w:leader="none" w:pos="11628"/>
          <w:tab w:val="left" w:leader="none" w:pos="12600"/>
          <w:tab w:val="right" w:leader="none" w:pos="14389"/>
        </w:tabs>
        <w:spacing w:before="0" w:line="231" w:lineRule="exact"/>
        <w:ind w:left="2066" w:right="0" w:firstLine="0"/>
        <w:jc w:val="left"/>
        <w:rPr>
          <w:b/>
          <w:sz w:val="20"/>
        </w:rPr>
      </w:pPr>
      <w:r>
        <w:rPr>
          <w:color w:val="0F0F0F"/>
          <w:spacing w:val="-5"/>
          <w:position w:val="2"/>
          <w:sz w:val="20"/>
        </w:rPr>
        <w:t>505</w:t>
      </w:r>
      <w:r>
        <w:rPr>
          <w:color w:val="0F0F0F"/>
          <w:position w:val="2"/>
          <w:sz w:val="20"/>
        </w:rPr>
        <w:tab/>
      </w:r>
      <w:r>
        <w:rPr>
          <w:color w:val="0F0F0F"/>
          <w:spacing w:val="-4"/>
          <w:position w:val="2"/>
          <w:sz w:val="20"/>
        </w:rPr>
        <w:t>(81)</w:t>
      </w:r>
      <w:r>
        <w:rPr>
          <w:color w:val="0F0F0F"/>
          <w:position w:val="2"/>
          <w:sz w:val="20"/>
        </w:rPr>
        <w:tab/>
      </w:r>
      <w:r>
        <w:rPr>
          <w:b/>
          <w:color w:val="0F0F0F"/>
          <w:spacing w:val="-5"/>
          <w:position w:val="2"/>
          <w:sz w:val="20"/>
        </w:rPr>
        <w:t>424</w:t>
      </w:r>
      <w:r>
        <w:rPr>
          <w:b/>
          <w:color w:val="0F0F0F"/>
          <w:position w:val="2"/>
          <w:sz w:val="20"/>
        </w:rPr>
        <w:tab/>
      </w:r>
      <w:r>
        <w:rPr>
          <w:color w:val="0F0F0F"/>
          <w:position w:val="1"/>
          <w:sz w:val="20"/>
        </w:rPr>
        <w:t>General</w:t>
      </w:r>
      <w:r>
        <w:rPr>
          <w:color w:val="0F0F0F"/>
          <w:spacing w:val="-7"/>
          <w:position w:val="1"/>
          <w:sz w:val="20"/>
        </w:rPr>
        <w:t> </w:t>
      </w:r>
      <w:r>
        <w:rPr>
          <w:color w:val="0F0F0F"/>
          <w:spacing w:val="-2"/>
          <w:position w:val="1"/>
          <w:sz w:val="20"/>
        </w:rPr>
        <w:t>Expenses</w:t>
      </w:r>
      <w:r>
        <w:rPr>
          <w:color w:val="0F0F0F"/>
          <w:position w:val="1"/>
          <w:sz w:val="20"/>
        </w:rPr>
        <w:tab/>
      </w:r>
      <w:r>
        <w:rPr>
          <w:color w:val="0F0F0F"/>
          <w:spacing w:val="-5"/>
          <w:sz w:val="20"/>
        </w:rPr>
        <w:t>366</w:t>
      </w:r>
      <w:r>
        <w:rPr>
          <w:color w:val="0F0F0F"/>
          <w:sz w:val="20"/>
        </w:rPr>
        <w:tab/>
      </w:r>
      <w:r>
        <w:rPr>
          <w:color w:val="0F0F0F"/>
          <w:spacing w:val="-4"/>
          <w:sz w:val="20"/>
        </w:rPr>
        <w:t>(99)</w:t>
      </w:r>
      <w:r>
        <w:rPr>
          <w:color w:val="0F0F0F"/>
          <w:sz w:val="20"/>
        </w:rPr>
        <w:tab/>
      </w:r>
      <w:r>
        <w:rPr>
          <w:b/>
          <w:color w:val="0F0F0F"/>
          <w:spacing w:val="-5"/>
          <w:sz w:val="20"/>
        </w:rPr>
        <w:t>267</w:t>
      </w:r>
    </w:p>
    <w:p>
      <w:pPr>
        <w:tabs>
          <w:tab w:val="left" w:leader="none" w:pos="1286"/>
          <w:tab w:val="left" w:leader="none" w:pos="2951"/>
          <w:tab w:val="left" w:leader="none" w:pos="3667"/>
          <w:tab w:val="left" w:leader="none" w:pos="9759"/>
          <w:tab w:val="left" w:leader="none" w:pos="10626"/>
          <w:tab w:val="left" w:leader="none" w:pos="12196"/>
        </w:tabs>
        <w:spacing w:before="0" w:line="228" w:lineRule="exact"/>
        <w:ind w:left="198" w:right="0" w:firstLine="0"/>
        <w:jc w:val="center"/>
        <w:rPr>
          <w:b/>
          <w:sz w:val="20"/>
        </w:rPr>
      </w:pPr>
      <w:r>
        <w:rPr>
          <w:color w:val="0F0F0F"/>
          <w:spacing w:val="-2"/>
          <w:position w:val="2"/>
          <w:sz w:val="20"/>
        </w:rPr>
        <w:t>3,178</w:t>
      </w:r>
      <w:r>
        <w:rPr>
          <w:color w:val="0F0F0F"/>
          <w:position w:val="2"/>
          <w:sz w:val="20"/>
        </w:rPr>
        <w:tab/>
      </w:r>
      <w:r>
        <w:rPr>
          <w:color w:val="0F0F0F"/>
          <w:spacing w:val="-2"/>
          <w:position w:val="2"/>
          <w:sz w:val="20"/>
        </w:rPr>
        <w:t>(1,415)</w:t>
      </w:r>
      <w:r>
        <w:rPr>
          <w:color w:val="0F0F0F"/>
          <w:position w:val="2"/>
          <w:sz w:val="20"/>
        </w:rPr>
        <w:tab/>
      </w:r>
      <w:r>
        <w:rPr>
          <w:b/>
          <w:color w:val="0F0F0F"/>
          <w:spacing w:val="-2"/>
          <w:position w:val="2"/>
          <w:sz w:val="20"/>
        </w:rPr>
        <w:t>1,763</w:t>
      </w:r>
      <w:r>
        <w:rPr>
          <w:b/>
          <w:color w:val="0F0F0F"/>
          <w:position w:val="2"/>
          <w:sz w:val="20"/>
        </w:rPr>
        <w:tab/>
      </w:r>
      <w:r>
        <w:rPr>
          <w:color w:val="0F0F0F"/>
          <w:position w:val="1"/>
          <w:sz w:val="20"/>
        </w:rPr>
        <w:t>Housing</w:t>
      </w:r>
      <w:r>
        <w:rPr>
          <w:color w:val="0F0F0F"/>
          <w:spacing w:val="1"/>
          <w:position w:val="1"/>
          <w:sz w:val="20"/>
        </w:rPr>
        <w:t> </w:t>
      </w:r>
      <w:r>
        <w:rPr>
          <w:color w:val="0F0F0F"/>
          <w:spacing w:val="-2"/>
          <w:position w:val="1"/>
          <w:sz w:val="20"/>
        </w:rPr>
        <w:t>Services</w:t>
      </w:r>
      <w:r>
        <w:rPr>
          <w:color w:val="0F0F0F"/>
          <w:position w:val="1"/>
          <w:sz w:val="20"/>
        </w:rPr>
        <w:tab/>
      </w:r>
      <w:r>
        <w:rPr>
          <w:color w:val="0F0F0F"/>
          <w:spacing w:val="-2"/>
          <w:sz w:val="20"/>
        </w:rPr>
        <w:t>3,692</w:t>
      </w:r>
      <w:r>
        <w:rPr>
          <w:color w:val="0F0F0F"/>
          <w:sz w:val="20"/>
        </w:rPr>
        <w:tab/>
      </w:r>
      <w:r>
        <w:rPr>
          <w:color w:val="0F0F0F"/>
          <w:spacing w:val="-2"/>
          <w:sz w:val="20"/>
        </w:rPr>
        <w:t>(1,285)</w:t>
      </w:r>
      <w:r>
        <w:rPr>
          <w:color w:val="0F0F0F"/>
          <w:sz w:val="20"/>
        </w:rPr>
        <w:tab/>
      </w:r>
      <w:r>
        <w:rPr>
          <w:b/>
          <w:color w:val="0F0F0F"/>
          <w:spacing w:val="-2"/>
          <w:sz w:val="20"/>
        </w:rPr>
        <w:t>2,407</w:t>
      </w:r>
    </w:p>
    <w:p>
      <w:pPr>
        <w:tabs>
          <w:tab w:val="left" w:leader="none" w:pos="1573"/>
          <w:tab w:val="left" w:leader="none" w:pos="2960"/>
          <w:tab w:val="left" w:leader="none" w:pos="3676"/>
          <w:tab w:val="left" w:leader="none" w:pos="9764"/>
          <w:tab w:val="left" w:leader="none" w:pos="10909"/>
          <w:tab w:val="left" w:leader="none" w:pos="12199"/>
        </w:tabs>
        <w:spacing w:before="0" w:line="236" w:lineRule="exact"/>
        <w:ind w:left="203" w:right="0" w:firstLine="0"/>
        <w:jc w:val="center"/>
        <w:rPr>
          <w:b/>
          <w:sz w:val="20"/>
        </w:rPr>
      </w:pPr>
      <w:r>
        <w:rPr>
          <w:color w:val="0F0F0F"/>
          <w:spacing w:val="-2"/>
          <w:position w:val="3"/>
          <w:sz w:val="20"/>
        </w:rPr>
        <w:t>1,556</w:t>
      </w:r>
      <w:r>
        <w:rPr>
          <w:color w:val="0F0F0F"/>
          <w:position w:val="3"/>
          <w:sz w:val="20"/>
        </w:rPr>
        <w:tab/>
      </w:r>
      <w:r>
        <w:rPr>
          <w:color w:val="0F0F0F"/>
          <w:spacing w:val="-4"/>
          <w:position w:val="2"/>
          <w:sz w:val="20"/>
        </w:rPr>
        <w:t>(69)</w:t>
      </w:r>
      <w:r>
        <w:rPr>
          <w:color w:val="0F0F0F"/>
          <w:position w:val="2"/>
          <w:sz w:val="20"/>
        </w:rPr>
        <w:tab/>
      </w:r>
      <w:r>
        <w:rPr>
          <w:b/>
          <w:color w:val="0F0F0F"/>
          <w:spacing w:val="-2"/>
          <w:position w:val="2"/>
          <w:sz w:val="20"/>
        </w:rPr>
        <w:t>1,487</w:t>
      </w:r>
      <w:r>
        <w:rPr>
          <w:b/>
          <w:color w:val="0F0F0F"/>
          <w:position w:val="2"/>
          <w:sz w:val="20"/>
        </w:rPr>
        <w:tab/>
      </w:r>
      <w:r>
        <w:rPr>
          <w:color w:val="0F0F0F"/>
          <w:position w:val="1"/>
          <w:sz w:val="20"/>
        </w:rPr>
        <w:t>Human</w:t>
      </w:r>
      <w:r>
        <w:rPr>
          <w:color w:val="0F0F0F"/>
          <w:spacing w:val="1"/>
          <w:position w:val="1"/>
          <w:sz w:val="20"/>
        </w:rPr>
        <w:t> </w:t>
      </w:r>
      <w:r>
        <w:rPr>
          <w:color w:val="212121"/>
          <w:position w:val="1"/>
          <w:sz w:val="20"/>
        </w:rPr>
        <w:t>Resources</w:t>
      </w:r>
      <w:r>
        <w:rPr>
          <w:color w:val="212121"/>
          <w:spacing w:val="4"/>
          <w:position w:val="1"/>
          <w:sz w:val="20"/>
        </w:rPr>
        <w:t> </w:t>
      </w:r>
      <w:r>
        <w:rPr>
          <w:color w:val="212121"/>
          <w:position w:val="1"/>
          <w:sz w:val="20"/>
        </w:rPr>
        <w:t>&amp;</w:t>
      </w:r>
      <w:r>
        <w:rPr>
          <w:color w:val="212121"/>
          <w:spacing w:val="-4"/>
          <w:position w:val="1"/>
          <w:sz w:val="20"/>
        </w:rPr>
        <w:t> </w:t>
      </w:r>
      <w:r>
        <w:rPr>
          <w:color w:val="212121"/>
          <w:position w:val="1"/>
          <w:sz w:val="20"/>
        </w:rPr>
        <w:t>Customer</w:t>
      </w:r>
      <w:r>
        <w:rPr>
          <w:color w:val="212121"/>
          <w:spacing w:val="4"/>
          <w:position w:val="1"/>
          <w:sz w:val="20"/>
        </w:rPr>
        <w:t> </w:t>
      </w:r>
      <w:r>
        <w:rPr>
          <w:color w:val="0F0F0F"/>
          <w:spacing w:val="-2"/>
          <w:position w:val="1"/>
          <w:sz w:val="20"/>
        </w:rPr>
        <w:t>Services</w:t>
      </w:r>
      <w:r>
        <w:rPr>
          <w:color w:val="0F0F0F"/>
          <w:position w:val="1"/>
          <w:sz w:val="20"/>
        </w:rPr>
        <w:tab/>
      </w:r>
      <w:r>
        <w:rPr>
          <w:color w:val="0F0F0F"/>
          <w:spacing w:val="-2"/>
          <w:position w:val="1"/>
          <w:sz w:val="20"/>
        </w:rPr>
        <w:t>1,724</w:t>
      </w:r>
      <w:r>
        <w:rPr>
          <w:color w:val="0F0F0F"/>
          <w:position w:val="1"/>
          <w:sz w:val="20"/>
        </w:rPr>
        <w:tab/>
      </w:r>
      <w:r>
        <w:rPr>
          <w:color w:val="0F0F0F"/>
          <w:spacing w:val="-4"/>
          <w:sz w:val="20"/>
        </w:rPr>
        <w:t>(95)</w:t>
      </w:r>
      <w:r>
        <w:rPr>
          <w:color w:val="0F0F0F"/>
          <w:sz w:val="20"/>
        </w:rPr>
        <w:tab/>
      </w:r>
      <w:r>
        <w:rPr>
          <w:b/>
          <w:color w:val="0F0F0F"/>
          <w:spacing w:val="-2"/>
          <w:sz w:val="20"/>
        </w:rPr>
        <w:t>1,629</w:t>
      </w:r>
    </w:p>
    <w:p>
      <w:pPr>
        <w:tabs>
          <w:tab w:val="left" w:leader="none" w:pos="1463"/>
          <w:tab w:val="left" w:leader="none" w:pos="2960"/>
          <w:tab w:val="left" w:leader="none" w:pos="3677"/>
          <w:tab w:val="left" w:leader="none" w:pos="9764"/>
          <w:tab w:val="left" w:leader="none" w:pos="10798"/>
          <w:tab w:val="left" w:leader="none" w:pos="12199"/>
        </w:tabs>
        <w:spacing w:before="0" w:line="231" w:lineRule="exact"/>
        <w:ind w:left="204" w:right="0" w:firstLine="0"/>
        <w:jc w:val="center"/>
        <w:rPr>
          <w:b/>
          <w:sz w:val="20"/>
        </w:rPr>
      </w:pPr>
      <w:r>
        <w:rPr>
          <w:color w:val="0F0F0F"/>
          <w:spacing w:val="-2"/>
          <w:position w:val="2"/>
          <w:sz w:val="20"/>
        </w:rPr>
        <w:t>2,038</w:t>
      </w:r>
      <w:r>
        <w:rPr>
          <w:color w:val="0F0F0F"/>
          <w:position w:val="2"/>
          <w:sz w:val="20"/>
        </w:rPr>
        <w:tab/>
      </w:r>
      <w:r>
        <w:rPr>
          <w:color w:val="0F0F0F"/>
          <w:spacing w:val="-4"/>
          <w:position w:val="2"/>
          <w:sz w:val="20"/>
        </w:rPr>
        <w:t>(542)</w:t>
      </w:r>
      <w:r>
        <w:rPr>
          <w:color w:val="0F0F0F"/>
          <w:position w:val="2"/>
          <w:sz w:val="20"/>
        </w:rPr>
        <w:tab/>
      </w:r>
      <w:r>
        <w:rPr>
          <w:b/>
          <w:color w:val="0F0F0F"/>
          <w:spacing w:val="-2"/>
          <w:position w:val="2"/>
          <w:sz w:val="20"/>
        </w:rPr>
        <w:t>1,496</w:t>
      </w:r>
      <w:r>
        <w:rPr>
          <w:b/>
          <w:color w:val="0F0F0F"/>
          <w:position w:val="2"/>
          <w:sz w:val="20"/>
        </w:rPr>
        <w:tab/>
      </w:r>
      <w:r>
        <w:rPr>
          <w:color w:val="0F0F0F"/>
          <w:position w:val="1"/>
          <w:sz w:val="20"/>
        </w:rPr>
        <w:t>Legal</w:t>
      </w:r>
      <w:r>
        <w:rPr>
          <w:color w:val="0F0F0F"/>
          <w:spacing w:val="-3"/>
          <w:position w:val="1"/>
          <w:sz w:val="20"/>
        </w:rPr>
        <w:t> </w:t>
      </w:r>
      <w:r>
        <w:rPr>
          <w:color w:val="0F0F0F"/>
          <w:position w:val="1"/>
          <w:sz w:val="20"/>
        </w:rPr>
        <w:t>&amp;</w:t>
      </w:r>
      <w:r>
        <w:rPr>
          <w:color w:val="0F0F0F"/>
          <w:spacing w:val="-2"/>
          <w:position w:val="1"/>
          <w:sz w:val="20"/>
        </w:rPr>
        <w:t> </w:t>
      </w:r>
      <w:r>
        <w:rPr>
          <w:color w:val="212121"/>
          <w:position w:val="1"/>
          <w:sz w:val="20"/>
        </w:rPr>
        <w:t>Democratic</w:t>
      </w:r>
      <w:r>
        <w:rPr>
          <w:color w:val="212121"/>
          <w:spacing w:val="9"/>
          <w:position w:val="1"/>
          <w:sz w:val="20"/>
        </w:rPr>
        <w:t> </w:t>
      </w:r>
      <w:r>
        <w:rPr>
          <w:color w:val="212121"/>
          <w:spacing w:val="-2"/>
          <w:position w:val="1"/>
          <w:sz w:val="20"/>
        </w:rPr>
        <w:t>Services</w:t>
      </w:r>
      <w:r>
        <w:rPr>
          <w:color w:val="212121"/>
          <w:position w:val="1"/>
          <w:sz w:val="20"/>
        </w:rPr>
        <w:tab/>
      </w:r>
      <w:r>
        <w:rPr>
          <w:color w:val="0F0F0F"/>
          <w:spacing w:val="-2"/>
          <w:sz w:val="20"/>
        </w:rPr>
        <w:t>1,743</w:t>
      </w:r>
      <w:r>
        <w:rPr>
          <w:color w:val="0F0F0F"/>
          <w:sz w:val="20"/>
        </w:rPr>
        <w:tab/>
      </w:r>
      <w:r>
        <w:rPr>
          <w:color w:val="0F0F0F"/>
          <w:spacing w:val="-2"/>
          <w:sz w:val="20"/>
        </w:rPr>
        <w:t>(178)</w:t>
      </w:r>
      <w:r>
        <w:rPr>
          <w:color w:val="0F0F0F"/>
          <w:sz w:val="20"/>
        </w:rPr>
        <w:tab/>
      </w:r>
      <w:r>
        <w:rPr>
          <w:b/>
          <w:color w:val="0F0F0F"/>
          <w:spacing w:val="-2"/>
          <w:sz w:val="20"/>
        </w:rPr>
        <w:t>1,565</w:t>
      </w:r>
    </w:p>
    <w:p>
      <w:pPr>
        <w:tabs>
          <w:tab w:val="left" w:leader="none" w:pos="1463"/>
          <w:tab w:val="left" w:leader="none" w:pos="2960"/>
          <w:tab w:val="left" w:leader="none" w:pos="3681"/>
          <w:tab w:val="left" w:leader="none" w:pos="9766"/>
          <w:tab w:val="left" w:leader="none" w:pos="10803"/>
          <w:tab w:val="left" w:leader="none" w:pos="12199"/>
        </w:tabs>
        <w:spacing w:before="0" w:line="231" w:lineRule="exact"/>
        <w:ind w:left="209" w:right="0" w:firstLine="0"/>
        <w:jc w:val="center"/>
        <w:rPr>
          <w:b/>
          <w:sz w:val="20"/>
        </w:rPr>
      </w:pPr>
      <w:r>
        <w:rPr>
          <w:color w:val="0F0F0F"/>
          <w:spacing w:val="-2"/>
          <w:position w:val="2"/>
          <w:sz w:val="20"/>
        </w:rPr>
        <w:t>2,168</w:t>
      </w:r>
      <w:r>
        <w:rPr>
          <w:color w:val="0F0F0F"/>
          <w:position w:val="2"/>
          <w:sz w:val="20"/>
        </w:rPr>
        <w:tab/>
      </w:r>
      <w:r>
        <w:rPr>
          <w:color w:val="0F0F0F"/>
          <w:spacing w:val="-4"/>
          <w:position w:val="2"/>
          <w:sz w:val="20"/>
        </w:rPr>
        <w:t>(628)</w:t>
      </w:r>
      <w:r>
        <w:rPr>
          <w:color w:val="0F0F0F"/>
          <w:position w:val="2"/>
          <w:sz w:val="20"/>
        </w:rPr>
        <w:tab/>
      </w:r>
      <w:r>
        <w:rPr>
          <w:b/>
          <w:color w:val="0F0F0F"/>
          <w:spacing w:val="-2"/>
          <w:position w:val="2"/>
          <w:sz w:val="20"/>
        </w:rPr>
        <w:t>1,540</w:t>
      </w:r>
      <w:r>
        <w:rPr>
          <w:b/>
          <w:color w:val="0F0F0F"/>
          <w:position w:val="2"/>
          <w:sz w:val="20"/>
        </w:rPr>
        <w:tab/>
      </w:r>
      <w:r>
        <w:rPr>
          <w:color w:val="0F0F0F"/>
          <w:position w:val="1"/>
          <w:sz w:val="20"/>
        </w:rPr>
        <w:t>Partnership</w:t>
      </w:r>
      <w:r>
        <w:rPr>
          <w:color w:val="0F0F0F"/>
          <w:spacing w:val="-4"/>
          <w:position w:val="1"/>
          <w:sz w:val="20"/>
        </w:rPr>
        <w:t> </w:t>
      </w:r>
      <w:r>
        <w:rPr>
          <w:color w:val="212121"/>
          <w:position w:val="1"/>
          <w:sz w:val="20"/>
        </w:rPr>
        <w:t>&amp;</w:t>
      </w:r>
      <w:r>
        <w:rPr>
          <w:color w:val="212121"/>
          <w:spacing w:val="-11"/>
          <w:position w:val="1"/>
          <w:sz w:val="20"/>
        </w:rPr>
        <w:t> </w:t>
      </w:r>
      <w:r>
        <w:rPr>
          <w:color w:val="212121"/>
          <w:position w:val="1"/>
          <w:sz w:val="20"/>
        </w:rPr>
        <w:t>Community</w:t>
      </w:r>
      <w:r>
        <w:rPr>
          <w:color w:val="212121"/>
          <w:spacing w:val="6"/>
          <w:position w:val="1"/>
          <w:sz w:val="20"/>
        </w:rPr>
        <w:t> </w:t>
      </w:r>
      <w:r>
        <w:rPr>
          <w:color w:val="0F0F0F"/>
          <w:spacing w:val="-2"/>
          <w:position w:val="1"/>
          <w:sz w:val="20"/>
        </w:rPr>
        <w:t>Engagement</w:t>
      </w:r>
      <w:r>
        <w:rPr>
          <w:color w:val="0F0F0F"/>
          <w:position w:val="1"/>
          <w:sz w:val="20"/>
        </w:rPr>
        <w:tab/>
      </w:r>
      <w:r>
        <w:rPr>
          <w:color w:val="0F0F0F"/>
          <w:spacing w:val="-2"/>
          <w:sz w:val="20"/>
        </w:rPr>
        <w:t>2,020</w:t>
      </w:r>
      <w:r>
        <w:rPr>
          <w:color w:val="0F0F0F"/>
          <w:sz w:val="20"/>
        </w:rPr>
        <w:tab/>
      </w:r>
      <w:r>
        <w:rPr>
          <w:color w:val="0F0F0F"/>
          <w:spacing w:val="-2"/>
          <w:sz w:val="20"/>
        </w:rPr>
        <w:t>(923)</w:t>
      </w:r>
      <w:r>
        <w:rPr>
          <w:color w:val="0F0F0F"/>
          <w:sz w:val="20"/>
        </w:rPr>
        <w:tab/>
      </w:r>
      <w:r>
        <w:rPr>
          <w:b/>
          <w:color w:val="0F0F0F"/>
          <w:spacing w:val="-2"/>
          <w:sz w:val="20"/>
        </w:rPr>
        <w:t>1,097</w:t>
      </w:r>
    </w:p>
    <w:p>
      <w:pPr>
        <w:tabs>
          <w:tab w:val="left" w:leader="none" w:pos="1300"/>
          <w:tab w:val="left" w:leader="none" w:pos="2967"/>
          <w:tab w:val="left" w:leader="none" w:pos="3682"/>
          <w:tab w:val="left" w:leader="none" w:pos="9774"/>
          <w:tab w:val="left" w:leader="none" w:pos="10636"/>
          <w:tab w:val="left" w:leader="none" w:pos="12206"/>
        </w:tabs>
        <w:spacing w:before="0" w:line="231" w:lineRule="exact"/>
        <w:ind w:left="212" w:right="0" w:firstLine="0"/>
        <w:jc w:val="center"/>
        <w:rPr>
          <w:b/>
          <w:sz w:val="20"/>
        </w:rPr>
      </w:pPr>
      <w:r>
        <w:rPr>
          <w:color w:val="0F0F0F"/>
          <w:spacing w:val="-2"/>
          <w:position w:val="2"/>
          <w:sz w:val="20"/>
        </w:rPr>
        <w:t>3,549</w:t>
      </w:r>
      <w:r>
        <w:rPr>
          <w:color w:val="0F0F0F"/>
          <w:position w:val="2"/>
          <w:sz w:val="20"/>
        </w:rPr>
        <w:tab/>
      </w:r>
      <w:r>
        <w:rPr>
          <w:color w:val="0F0F0F"/>
          <w:spacing w:val="-2"/>
          <w:position w:val="1"/>
          <w:sz w:val="20"/>
        </w:rPr>
        <w:t>(1,316)</w:t>
      </w:r>
      <w:r>
        <w:rPr>
          <w:color w:val="0F0F0F"/>
          <w:position w:val="1"/>
          <w:sz w:val="20"/>
        </w:rPr>
        <w:tab/>
      </w:r>
      <w:r>
        <w:rPr>
          <w:b/>
          <w:color w:val="0F0F0F"/>
          <w:spacing w:val="-2"/>
          <w:position w:val="1"/>
          <w:sz w:val="20"/>
        </w:rPr>
        <w:t>2,233</w:t>
      </w:r>
      <w:r>
        <w:rPr>
          <w:b/>
          <w:color w:val="0F0F0F"/>
          <w:position w:val="1"/>
          <w:sz w:val="20"/>
        </w:rPr>
        <w:tab/>
      </w:r>
      <w:r>
        <w:rPr>
          <w:color w:val="0F0F0F"/>
          <w:position w:val="1"/>
          <w:sz w:val="20"/>
        </w:rPr>
        <w:t>Planning</w:t>
      </w:r>
      <w:r>
        <w:rPr>
          <w:color w:val="0F0F0F"/>
          <w:spacing w:val="6"/>
          <w:position w:val="1"/>
          <w:sz w:val="20"/>
        </w:rPr>
        <w:t> </w:t>
      </w:r>
      <w:r>
        <w:rPr>
          <w:color w:val="212121"/>
          <w:position w:val="1"/>
          <w:sz w:val="20"/>
        </w:rPr>
        <w:t>&amp;</w:t>
      </w:r>
      <w:r>
        <w:rPr>
          <w:color w:val="212121"/>
          <w:spacing w:val="-6"/>
          <w:position w:val="1"/>
          <w:sz w:val="20"/>
        </w:rPr>
        <w:t> </w:t>
      </w:r>
      <w:r>
        <w:rPr>
          <w:color w:val="212121"/>
          <w:position w:val="1"/>
          <w:sz w:val="20"/>
        </w:rPr>
        <w:t>Economic</w:t>
      </w:r>
      <w:r>
        <w:rPr>
          <w:color w:val="212121"/>
          <w:spacing w:val="-6"/>
          <w:position w:val="1"/>
          <w:sz w:val="20"/>
        </w:rPr>
        <w:t> </w:t>
      </w:r>
      <w:r>
        <w:rPr>
          <w:color w:val="0F0F0F"/>
          <w:spacing w:val="-2"/>
          <w:position w:val="1"/>
          <w:sz w:val="20"/>
        </w:rPr>
        <w:t>Development</w:t>
      </w:r>
      <w:r>
        <w:rPr>
          <w:color w:val="0F0F0F"/>
          <w:position w:val="1"/>
          <w:sz w:val="20"/>
        </w:rPr>
        <w:tab/>
      </w:r>
      <w:r>
        <w:rPr>
          <w:color w:val="0F0F0F"/>
          <w:spacing w:val="-2"/>
          <w:sz w:val="20"/>
        </w:rPr>
        <w:t>3,808</w:t>
      </w:r>
      <w:r>
        <w:rPr>
          <w:color w:val="0F0F0F"/>
          <w:sz w:val="20"/>
        </w:rPr>
        <w:tab/>
      </w:r>
      <w:r>
        <w:rPr>
          <w:color w:val="212121"/>
          <w:spacing w:val="-2"/>
          <w:sz w:val="20"/>
        </w:rPr>
        <w:t>(1,703)</w:t>
      </w:r>
      <w:r>
        <w:rPr>
          <w:color w:val="212121"/>
          <w:sz w:val="20"/>
        </w:rPr>
        <w:tab/>
      </w:r>
      <w:r>
        <w:rPr>
          <w:b/>
          <w:color w:val="0F0F0F"/>
          <w:spacing w:val="-2"/>
          <w:sz w:val="20"/>
        </w:rPr>
        <w:t>2,105</w:t>
      </w:r>
    </w:p>
    <w:p>
      <w:pPr>
        <w:tabs>
          <w:tab w:val="left" w:leader="none" w:pos="1301"/>
          <w:tab w:val="left" w:leader="none" w:pos="2964"/>
          <w:tab w:val="left" w:leader="none" w:pos="3685"/>
          <w:tab w:val="left" w:leader="none" w:pos="9775"/>
          <w:tab w:val="left" w:leader="none" w:pos="10637"/>
          <w:tab w:val="left" w:leader="none" w:pos="12203"/>
        </w:tabs>
        <w:spacing w:before="0" w:line="238" w:lineRule="exact"/>
        <w:ind w:left="212" w:right="0" w:firstLine="0"/>
        <w:jc w:val="center"/>
        <w:rPr>
          <w:b/>
          <w:sz w:val="20"/>
        </w:rPr>
      </w:pPr>
      <w:r>
        <w:rPr>
          <w:color w:val="0F0F0F"/>
          <w:spacing w:val="-2"/>
          <w:position w:val="2"/>
          <w:sz w:val="20"/>
        </w:rPr>
        <w:t>7,961</w:t>
      </w:r>
      <w:r>
        <w:rPr>
          <w:color w:val="0F0F0F"/>
          <w:position w:val="2"/>
          <w:sz w:val="20"/>
        </w:rPr>
        <w:tab/>
      </w:r>
      <w:r>
        <w:rPr>
          <w:color w:val="0F0F0F"/>
          <w:spacing w:val="-2"/>
          <w:position w:val="2"/>
          <w:sz w:val="20"/>
        </w:rPr>
        <w:t>(2,867)</w:t>
      </w:r>
      <w:r>
        <w:rPr>
          <w:color w:val="0F0F0F"/>
          <w:position w:val="2"/>
          <w:sz w:val="20"/>
        </w:rPr>
        <w:tab/>
      </w:r>
      <w:r>
        <w:rPr>
          <w:b/>
          <w:color w:val="0F0F0F"/>
          <w:spacing w:val="-2"/>
          <w:position w:val="2"/>
          <w:sz w:val="20"/>
        </w:rPr>
        <w:t>5,094</w:t>
      </w:r>
      <w:r>
        <w:rPr>
          <w:b/>
          <w:color w:val="0F0F0F"/>
          <w:position w:val="2"/>
          <w:sz w:val="20"/>
        </w:rPr>
        <w:tab/>
      </w:r>
      <w:r>
        <w:rPr>
          <w:color w:val="0F0F0F"/>
          <w:position w:val="1"/>
          <w:sz w:val="20"/>
        </w:rPr>
        <w:t>Street</w:t>
      </w:r>
      <w:r>
        <w:rPr>
          <w:color w:val="0F0F0F"/>
          <w:spacing w:val="-4"/>
          <w:position w:val="1"/>
          <w:sz w:val="20"/>
        </w:rPr>
        <w:t> </w:t>
      </w:r>
      <w:r>
        <w:rPr>
          <w:color w:val="212121"/>
          <w:position w:val="1"/>
          <w:sz w:val="20"/>
        </w:rPr>
        <w:t>Scene</w:t>
      </w:r>
      <w:r>
        <w:rPr>
          <w:color w:val="212121"/>
          <w:spacing w:val="7"/>
          <w:position w:val="1"/>
          <w:sz w:val="20"/>
        </w:rPr>
        <w:t> </w:t>
      </w:r>
      <w:r>
        <w:rPr>
          <w:color w:val="212121"/>
          <w:spacing w:val="-2"/>
          <w:position w:val="1"/>
          <w:sz w:val="20"/>
        </w:rPr>
        <w:t>Services</w:t>
      </w:r>
      <w:r>
        <w:rPr>
          <w:color w:val="212121"/>
          <w:position w:val="1"/>
          <w:sz w:val="20"/>
        </w:rPr>
        <w:tab/>
      </w:r>
      <w:r>
        <w:rPr>
          <w:color w:val="0F0F0F"/>
          <w:spacing w:val="-2"/>
          <w:sz w:val="20"/>
        </w:rPr>
        <w:t>9,067</w:t>
      </w:r>
      <w:r>
        <w:rPr>
          <w:color w:val="0F0F0F"/>
          <w:sz w:val="20"/>
        </w:rPr>
        <w:tab/>
      </w:r>
      <w:r>
        <w:rPr>
          <w:color w:val="0F0F0F"/>
          <w:spacing w:val="-2"/>
          <w:sz w:val="20"/>
        </w:rPr>
        <w:t>(3,510)</w:t>
      </w:r>
      <w:r>
        <w:rPr>
          <w:color w:val="0F0F0F"/>
          <w:sz w:val="20"/>
        </w:rPr>
        <w:tab/>
      </w:r>
      <w:r>
        <w:rPr>
          <w:b/>
          <w:color w:val="0F0F0F"/>
          <w:spacing w:val="-2"/>
          <w:sz w:val="20"/>
        </w:rPr>
        <w:t>5,557</w:t>
      </w:r>
    </w:p>
    <w:p>
      <w:pPr>
        <w:tabs>
          <w:tab w:val="left" w:leader="none" w:pos="3164"/>
          <w:tab w:val="left" w:leader="none" w:pos="4829"/>
          <w:tab w:val="left" w:leader="none" w:pos="5382"/>
        </w:tabs>
        <w:spacing w:before="0" w:line="208" w:lineRule="exact"/>
        <w:ind w:left="2076" w:right="0" w:firstLine="0"/>
        <w:jc w:val="left"/>
        <w:rPr>
          <w:sz w:val="20"/>
        </w:rPr>
      </w:pPr>
      <w:r>
        <w:rPr>
          <w:color w:val="0F0F0F"/>
          <w:spacing w:val="-5"/>
          <w:sz w:val="20"/>
        </w:rPr>
        <w:t>304</w:t>
      </w:r>
      <w:r>
        <w:rPr>
          <w:color w:val="0F0F0F"/>
          <w:sz w:val="20"/>
        </w:rPr>
        <w:tab/>
      </w:r>
      <w:r>
        <w:rPr>
          <w:color w:val="0F0F0F"/>
          <w:spacing w:val="-4"/>
          <w:sz w:val="20"/>
        </w:rPr>
        <w:t>(139)</w:t>
      </w:r>
      <w:r>
        <w:rPr>
          <w:color w:val="0F0F0F"/>
          <w:sz w:val="20"/>
        </w:rPr>
        <w:tab/>
      </w:r>
      <w:r>
        <w:rPr>
          <w:b/>
          <w:color w:val="0F0F0F"/>
          <w:spacing w:val="-5"/>
          <w:sz w:val="20"/>
        </w:rPr>
        <w:t>165</w:t>
      </w:r>
      <w:r>
        <w:rPr>
          <w:b/>
          <w:color w:val="0F0F0F"/>
          <w:sz w:val="20"/>
        </w:rPr>
        <w:tab/>
      </w:r>
      <w:r>
        <w:rPr>
          <w:color w:val="0F0F0F"/>
          <w:sz w:val="20"/>
        </w:rPr>
        <w:t>Exceptional</w:t>
      </w:r>
      <w:r>
        <w:rPr>
          <w:color w:val="0F0F0F"/>
          <w:spacing w:val="37"/>
          <w:sz w:val="20"/>
        </w:rPr>
        <w:t> </w:t>
      </w:r>
      <w:r>
        <w:rPr>
          <w:color w:val="0F0F0F"/>
          <w:sz w:val="20"/>
        </w:rPr>
        <w:t>Items</w:t>
      </w:r>
      <w:r>
        <w:rPr>
          <w:color w:val="0F0F0F"/>
          <w:spacing w:val="19"/>
          <w:sz w:val="20"/>
        </w:rPr>
        <w:t> </w:t>
      </w:r>
      <w:r>
        <w:rPr>
          <w:color w:val="0F0F0F"/>
          <w:sz w:val="20"/>
        </w:rPr>
        <w:t>-Covid-</w:t>
      </w:r>
      <w:r>
        <w:rPr>
          <w:color w:val="0F0F0F"/>
          <w:spacing w:val="-5"/>
          <w:sz w:val="20"/>
        </w:rPr>
        <w:t>19</w:t>
      </w:r>
    </w:p>
    <w:p>
      <w:pPr>
        <w:tabs>
          <w:tab w:val="left" w:leader="none" w:pos="3000"/>
          <w:tab w:val="left" w:leader="none" w:pos="5101"/>
          <w:tab w:val="left" w:leader="none" w:pos="5382"/>
        </w:tabs>
        <w:spacing w:before="0" w:line="240" w:lineRule="exact"/>
        <w:ind w:left="1909" w:right="0" w:firstLine="0"/>
        <w:jc w:val="left"/>
        <w:rPr>
          <w:sz w:val="20"/>
        </w:rPr>
      </w:pPr>
      <w:r>
        <w:rPr>
          <w:color w:val="0F0F0F"/>
          <w:spacing w:val="-2"/>
          <w:position w:val="-1"/>
          <w:sz w:val="20"/>
        </w:rPr>
        <w:t>1,642</w:t>
      </w:r>
      <w:r>
        <w:rPr>
          <w:color w:val="0F0F0F"/>
          <w:position w:val="-1"/>
          <w:sz w:val="20"/>
        </w:rPr>
        <w:tab/>
      </w:r>
      <w:r>
        <w:rPr>
          <w:color w:val="0F0F0F"/>
          <w:spacing w:val="-2"/>
          <w:position w:val="-1"/>
          <w:sz w:val="20"/>
        </w:rPr>
        <w:t>(1,642)</w:t>
      </w:r>
      <w:r>
        <w:rPr>
          <w:color w:val="0F0F0F"/>
          <w:position w:val="-1"/>
          <w:sz w:val="20"/>
        </w:rPr>
        <w:tab/>
      </w:r>
      <w:r>
        <w:rPr>
          <w:color w:val="0F0F0F"/>
          <w:spacing w:val="-10"/>
          <w:position w:val="-3"/>
          <w:sz w:val="27"/>
        </w:rPr>
        <w:t>-</w:t>
      </w:r>
      <w:r>
        <w:rPr>
          <w:color w:val="0F0F0F"/>
          <w:position w:val="-3"/>
          <w:sz w:val="27"/>
        </w:rPr>
        <w:tab/>
      </w:r>
      <w:r>
        <w:rPr>
          <w:color w:val="0F0F0F"/>
          <w:sz w:val="20"/>
        </w:rPr>
        <w:t>Exceptional</w:t>
      </w:r>
      <w:r>
        <w:rPr>
          <w:color w:val="0F0F0F"/>
          <w:spacing w:val="1"/>
          <w:sz w:val="20"/>
        </w:rPr>
        <w:t> </w:t>
      </w:r>
      <w:r>
        <w:rPr>
          <w:color w:val="0F0F0F"/>
          <w:sz w:val="20"/>
        </w:rPr>
        <w:t>Items</w:t>
      </w:r>
      <w:r>
        <w:rPr>
          <w:color w:val="0F0F0F"/>
          <w:spacing w:val="-9"/>
          <w:sz w:val="20"/>
        </w:rPr>
        <w:t> </w:t>
      </w:r>
      <w:r>
        <w:rPr>
          <w:color w:val="0F0F0F"/>
          <w:sz w:val="20"/>
        </w:rPr>
        <w:t>-</w:t>
      </w:r>
      <w:r>
        <w:rPr>
          <w:color w:val="0F0F0F"/>
          <w:spacing w:val="35"/>
          <w:sz w:val="20"/>
        </w:rPr>
        <w:t> </w:t>
      </w:r>
      <w:r>
        <w:rPr>
          <w:color w:val="0F0F0F"/>
          <w:sz w:val="20"/>
        </w:rPr>
        <w:t>Covid-19 Business</w:t>
      </w:r>
      <w:r>
        <w:rPr>
          <w:color w:val="0F0F0F"/>
          <w:spacing w:val="-3"/>
          <w:sz w:val="20"/>
        </w:rPr>
        <w:t> </w:t>
      </w:r>
      <w:r>
        <w:rPr>
          <w:color w:val="0F0F0F"/>
          <w:sz w:val="20"/>
        </w:rPr>
        <w:t>Support</w:t>
      </w:r>
      <w:r>
        <w:rPr>
          <w:color w:val="0F0F0F"/>
          <w:spacing w:val="-2"/>
          <w:sz w:val="20"/>
        </w:rPr>
        <w:t> Grant</w:t>
      </w:r>
    </w:p>
    <w:p>
      <w:pPr>
        <w:tabs>
          <w:tab w:val="left" w:leader="none" w:pos="3279"/>
          <w:tab w:val="left" w:leader="none" w:pos="5100"/>
        </w:tabs>
        <w:spacing w:before="0" w:line="274" w:lineRule="exact"/>
        <w:ind w:left="2183" w:right="0" w:firstLine="0"/>
        <w:jc w:val="left"/>
        <w:rPr>
          <w:sz w:val="20"/>
        </w:rPr>
      </w:pPr>
      <w:r>
        <w:rPr>
          <w:color w:val="0F0F0F"/>
          <w:spacing w:val="-5"/>
          <w:position w:val="-2"/>
          <w:sz w:val="20"/>
        </w:rPr>
        <w:t>67</w:t>
      </w:r>
      <w:r>
        <w:rPr>
          <w:color w:val="0F0F0F"/>
          <w:position w:val="-2"/>
          <w:sz w:val="20"/>
        </w:rPr>
        <w:tab/>
      </w:r>
      <w:r>
        <w:rPr>
          <w:color w:val="0F0F0F"/>
          <w:spacing w:val="-4"/>
          <w:position w:val="-2"/>
          <w:sz w:val="20"/>
        </w:rPr>
        <w:t>(67)</w:t>
      </w:r>
      <w:r>
        <w:rPr>
          <w:color w:val="0F0F0F"/>
          <w:position w:val="-2"/>
          <w:sz w:val="20"/>
        </w:rPr>
        <w:tab/>
      </w:r>
      <w:r>
        <w:rPr>
          <w:color w:val="0F0F0F"/>
          <w:position w:val="-5"/>
          <w:sz w:val="32"/>
        </w:rPr>
        <w:t>-</w:t>
      </w:r>
      <w:r>
        <w:rPr>
          <w:color w:val="0F0F0F"/>
          <w:spacing w:val="51"/>
          <w:w w:val="150"/>
          <w:position w:val="-5"/>
          <w:sz w:val="32"/>
        </w:rPr>
        <w:t> </w:t>
      </w:r>
      <w:r>
        <w:rPr>
          <w:color w:val="0F0F0F"/>
          <w:sz w:val="20"/>
        </w:rPr>
        <w:t>Exceptional</w:t>
      </w:r>
      <w:r>
        <w:rPr>
          <w:color w:val="0F0F0F"/>
          <w:spacing w:val="1"/>
          <w:sz w:val="20"/>
        </w:rPr>
        <w:t> </w:t>
      </w:r>
      <w:r>
        <w:rPr>
          <w:color w:val="0F0F0F"/>
          <w:sz w:val="20"/>
        </w:rPr>
        <w:t>Items</w:t>
      </w:r>
      <w:r>
        <w:rPr>
          <w:color w:val="0F0F0F"/>
          <w:spacing w:val="-11"/>
          <w:sz w:val="20"/>
        </w:rPr>
        <w:t> </w:t>
      </w:r>
      <w:r>
        <w:rPr>
          <w:color w:val="0F0F0F"/>
          <w:sz w:val="20"/>
        </w:rPr>
        <w:t>-</w:t>
      </w:r>
      <w:r>
        <w:rPr>
          <w:color w:val="0F0F0F"/>
          <w:spacing w:val="34"/>
          <w:sz w:val="20"/>
        </w:rPr>
        <w:t> </w:t>
      </w:r>
      <w:r>
        <w:rPr>
          <w:color w:val="0F0F0F"/>
          <w:sz w:val="20"/>
        </w:rPr>
        <w:t>Covid-19 Self</w:t>
      </w:r>
      <w:r>
        <w:rPr>
          <w:color w:val="0F0F0F"/>
          <w:spacing w:val="-2"/>
          <w:sz w:val="20"/>
        </w:rPr>
        <w:t> </w:t>
      </w:r>
      <w:r>
        <w:rPr>
          <w:color w:val="343434"/>
          <w:spacing w:val="-2"/>
          <w:sz w:val="20"/>
        </w:rPr>
        <w:t>isolation</w:t>
      </w:r>
    </w:p>
    <w:p>
      <w:pPr>
        <w:tabs>
          <w:tab w:val="left" w:leader="none" w:pos="3005"/>
          <w:tab w:val="left" w:leader="none" w:pos="4536"/>
          <w:tab w:val="left" w:leader="none" w:pos="5387"/>
          <w:tab w:val="left" w:leader="none" w:pos="11479"/>
          <w:tab w:val="left" w:leader="none" w:pos="12341"/>
          <w:tab w:val="left" w:leader="none" w:pos="14077"/>
        </w:tabs>
        <w:spacing w:before="0" w:line="217" w:lineRule="exact"/>
        <w:ind w:left="1917" w:right="0" w:firstLine="0"/>
        <w:jc w:val="left"/>
        <w:rPr>
          <w:b/>
          <w:sz w:val="20"/>
        </w:rPr>
      </w:pPr>
      <w:r>
        <w:rPr>
          <w:color w:val="0F0F0F"/>
          <w:spacing w:val="-2"/>
          <w:position w:val="1"/>
          <w:sz w:val="20"/>
        </w:rPr>
        <w:t>3,029</w:t>
      </w:r>
      <w:r>
        <w:rPr>
          <w:color w:val="0F0F0F"/>
          <w:position w:val="1"/>
          <w:sz w:val="20"/>
        </w:rPr>
        <w:tab/>
      </w:r>
      <w:r>
        <w:rPr>
          <w:color w:val="0F0F0F"/>
          <w:spacing w:val="-2"/>
          <w:position w:val="1"/>
          <w:sz w:val="20"/>
        </w:rPr>
        <w:t>(4,948)</w:t>
      </w:r>
      <w:r>
        <w:rPr>
          <w:color w:val="0F0F0F"/>
          <w:position w:val="1"/>
          <w:sz w:val="20"/>
        </w:rPr>
        <w:tab/>
      </w:r>
      <w:r>
        <w:rPr>
          <w:b/>
          <w:color w:val="0F0F0F"/>
          <w:spacing w:val="-2"/>
          <w:position w:val="1"/>
          <w:sz w:val="20"/>
        </w:rPr>
        <w:t>(1,919)</w:t>
      </w:r>
      <w:r>
        <w:rPr>
          <w:b/>
          <w:color w:val="0F0F0F"/>
          <w:position w:val="1"/>
          <w:sz w:val="20"/>
        </w:rPr>
        <w:tab/>
      </w:r>
      <w:r>
        <w:rPr>
          <w:color w:val="0F0F0F"/>
          <w:position w:val="5"/>
          <w:sz w:val="20"/>
        </w:rPr>
        <w:t>Elstree</w:t>
      </w:r>
      <w:r>
        <w:rPr>
          <w:color w:val="0F0F0F"/>
          <w:spacing w:val="-4"/>
          <w:position w:val="5"/>
          <w:sz w:val="20"/>
        </w:rPr>
        <w:t> </w:t>
      </w:r>
      <w:r>
        <w:rPr>
          <w:color w:val="0F0F0F"/>
          <w:position w:val="5"/>
          <w:sz w:val="20"/>
        </w:rPr>
        <w:t>Film</w:t>
      </w:r>
      <w:r>
        <w:rPr>
          <w:color w:val="0F0F0F"/>
          <w:spacing w:val="-4"/>
          <w:position w:val="5"/>
          <w:sz w:val="20"/>
        </w:rPr>
        <w:t> </w:t>
      </w:r>
      <w:r>
        <w:rPr>
          <w:color w:val="0F0F0F"/>
          <w:position w:val="5"/>
          <w:sz w:val="20"/>
        </w:rPr>
        <w:t>Studios</w:t>
      </w:r>
      <w:r>
        <w:rPr>
          <w:color w:val="0F0F0F"/>
          <w:spacing w:val="2"/>
          <w:position w:val="5"/>
          <w:sz w:val="20"/>
        </w:rPr>
        <w:t> </w:t>
      </w:r>
      <w:r>
        <w:rPr>
          <w:color w:val="0F0F0F"/>
          <w:spacing w:val="-5"/>
          <w:position w:val="5"/>
          <w:sz w:val="20"/>
        </w:rPr>
        <w:t>Ltd</w:t>
      </w:r>
      <w:r>
        <w:rPr>
          <w:color w:val="0F0F0F"/>
          <w:position w:val="5"/>
          <w:sz w:val="20"/>
        </w:rPr>
        <w:tab/>
      </w:r>
      <w:r>
        <w:rPr>
          <w:color w:val="0F0F0F"/>
          <w:spacing w:val="-2"/>
          <w:sz w:val="20"/>
        </w:rPr>
        <w:t>5,080</w:t>
      </w:r>
      <w:r>
        <w:rPr>
          <w:color w:val="0F0F0F"/>
          <w:sz w:val="20"/>
        </w:rPr>
        <w:tab/>
      </w:r>
      <w:r>
        <w:rPr>
          <w:color w:val="0F0F0F"/>
          <w:spacing w:val="-2"/>
          <w:sz w:val="20"/>
        </w:rPr>
        <w:t>(4,761)</w:t>
      </w:r>
      <w:r>
        <w:rPr>
          <w:color w:val="0F0F0F"/>
          <w:sz w:val="20"/>
        </w:rPr>
        <w:tab/>
      </w:r>
      <w:r>
        <w:rPr>
          <w:b/>
          <w:color w:val="0F0F0F"/>
          <w:spacing w:val="-5"/>
          <w:sz w:val="20"/>
        </w:rPr>
        <w:t>319</w:t>
      </w:r>
    </w:p>
    <w:p>
      <w:pPr>
        <w:tabs>
          <w:tab w:val="left" w:leader="none" w:pos="3572"/>
          <w:tab w:val="left" w:leader="none" w:pos="4781"/>
          <w:tab w:val="left" w:leader="none" w:pos="10482"/>
          <w:tab w:val="left" w:leader="none" w:pos="11643"/>
          <w:tab w:val="left" w:leader="none" w:pos="12912"/>
          <w:tab w:val="left" w:leader="none" w:pos="14017"/>
        </w:tabs>
        <w:spacing w:before="0" w:line="298" w:lineRule="exact"/>
        <w:ind w:left="2051" w:right="0" w:firstLine="0"/>
        <w:jc w:val="left"/>
        <w:rPr>
          <w:b/>
          <w:sz w:val="20"/>
        </w:rPr>
      </w:pPr>
      <w:r>
        <w:rPr/>
        <ve:AlternateContent>
          <ve:Choice Requires="wps">
            <w:drawing>
              <wp:anchor distT="0" distB="0" distL="0" distR="0" simplePos="0" relativeHeight="15874560" behindDoc="0" locked="0" layoutInCell="1" allowOverlap="1">
                <wp:simplePos x="0" y="0"/>
                <wp:positionH relativeFrom="page">
                  <wp:posOffset>1277791</wp:posOffset>
                </wp:positionH>
                <wp:positionV relativeFrom="paragraph">
                  <wp:posOffset>171752</wp:posOffset>
                </wp:positionV>
                <wp:extent cx="9002395" cy="2538095"/>
                <wp:effectExtent l="0" t="0" r="0" b="0"/>
                <wp:wrapNone/>
                <wp:docPr id="654" name="Textbox 654"/>
                <wp:cNvGraphicFramePr>
                  <a:graphicFrameLocks/>
                </wp:cNvGraphicFramePr>
                <a:graphic>
                  <a:graphicData uri="http://schemas.microsoft.com/office/word/2010/wordprocessingShape">
                    <wps:wsp>
                      <wps:cNvPr id="654" name="Textbox 654"/>
                      <wps:cNvSpPr txBox="1"/>
                      <wps:spPr>
                        <a:xfrm>
                          <a:off x="0" y="0"/>
                          <a:ext cx="9002395" cy="253809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910"/>
                              <w:gridCol w:w="1121"/>
                              <w:gridCol w:w="1501"/>
                              <w:gridCol w:w="5500"/>
                              <w:gridCol w:w="1331"/>
                              <w:gridCol w:w="980"/>
                              <w:gridCol w:w="1851"/>
                              <w:gridCol w:w="863"/>
                            </w:tblGrid>
                            <w:tr>
                              <w:trPr>
                                <w:trHeight w:val="349" w:hRule="atLeast"/>
                              </w:trPr>
                              <w:tc>
                                <w:tcPr>
                                  <w:tcW w:w="910" w:type="dxa"/>
                                </w:tcPr>
                                <w:p>
                                  <w:pPr>
                                    <w:pStyle w:val="TableParagraph"/>
                                    <w:spacing w:line="224" w:lineRule="exact"/>
                                    <w:ind w:right="251"/>
                                    <w:jc w:val="right"/>
                                    <w:rPr>
                                      <w:b/>
                                      <w:sz w:val="20"/>
                                    </w:rPr>
                                  </w:pPr>
                                  <w:r>
                                    <w:rPr>
                                      <w:b/>
                                      <w:color w:val="0F0F0F"/>
                                      <w:spacing w:val="-2"/>
                                      <w:sz w:val="20"/>
                                    </w:rPr>
                                    <w:t>61,513</w:t>
                                  </w:r>
                                </w:p>
                              </w:tc>
                              <w:tc>
                                <w:tcPr>
                                  <w:tcW w:w="1121" w:type="dxa"/>
                                </w:tcPr>
                                <w:p>
                                  <w:pPr>
                                    <w:pStyle w:val="TableParagraph"/>
                                    <w:spacing w:line="229" w:lineRule="exact"/>
                                    <w:ind w:left="234"/>
                                    <w:rPr>
                                      <w:b/>
                                      <w:sz w:val="20"/>
                                    </w:rPr>
                                  </w:pPr>
                                  <w:r>
                                    <w:rPr>
                                      <w:b/>
                                      <w:color w:val="0F0F0F"/>
                                      <w:spacing w:val="-2"/>
                                      <w:sz w:val="20"/>
                                    </w:rPr>
                                    <w:t>(45,387)</w:t>
                                  </w:r>
                                </w:p>
                              </w:tc>
                              <w:tc>
                                <w:tcPr>
                                  <w:tcW w:w="1501" w:type="dxa"/>
                                </w:tcPr>
                                <w:p>
                                  <w:pPr>
                                    <w:pStyle w:val="TableParagraph"/>
                                    <w:spacing w:line="224" w:lineRule="exact"/>
                                    <w:ind w:right="113"/>
                                    <w:jc w:val="right"/>
                                    <w:rPr>
                                      <w:b/>
                                      <w:sz w:val="20"/>
                                    </w:rPr>
                                  </w:pPr>
                                  <w:r>
                                    <w:rPr>
                                      <w:b/>
                                      <w:color w:val="0F0F0F"/>
                                      <w:spacing w:val="-2"/>
                                      <w:sz w:val="20"/>
                                    </w:rPr>
                                    <w:t>16,126</w:t>
                                  </w:r>
                                </w:p>
                              </w:tc>
                              <w:tc>
                                <w:tcPr>
                                  <w:tcW w:w="5500" w:type="dxa"/>
                                </w:tcPr>
                                <w:p>
                                  <w:pPr>
                                    <w:pStyle w:val="TableParagraph"/>
                                    <w:spacing w:line="229" w:lineRule="exact"/>
                                    <w:ind w:left="104"/>
                                    <w:rPr>
                                      <w:b/>
                                      <w:sz w:val="20"/>
                                    </w:rPr>
                                  </w:pPr>
                                  <w:r>
                                    <w:rPr>
                                      <w:b/>
                                      <w:color w:val="0F0F0F"/>
                                      <w:sz w:val="20"/>
                                    </w:rPr>
                                    <w:t>Net</w:t>
                                  </w:r>
                                  <w:r>
                                    <w:rPr>
                                      <w:b/>
                                      <w:color w:val="0F0F0F"/>
                                      <w:spacing w:val="-2"/>
                                      <w:sz w:val="20"/>
                                    </w:rPr>
                                    <w:t> </w:t>
                                  </w:r>
                                  <w:r>
                                    <w:rPr>
                                      <w:b/>
                                      <w:color w:val="0F0F0F"/>
                                      <w:sz w:val="20"/>
                                    </w:rPr>
                                    <w:t>Cost</w:t>
                                  </w:r>
                                  <w:r>
                                    <w:rPr>
                                      <w:b/>
                                      <w:color w:val="0F0F0F"/>
                                      <w:spacing w:val="-1"/>
                                      <w:sz w:val="20"/>
                                    </w:rPr>
                                    <w:t> </w:t>
                                  </w:r>
                                  <w:r>
                                    <w:rPr>
                                      <w:b/>
                                      <w:color w:val="0F0F0F"/>
                                      <w:sz w:val="20"/>
                                    </w:rPr>
                                    <w:t>of</w:t>
                                  </w:r>
                                  <w:r>
                                    <w:rPr>
                                      <w:b/>
                                      <w:color w:val="0F0F0F"/>
                                      <w:spacing w:val="10"/>
                                      <w:sz w:val="20"/>
                                    </w:rPr>
                                    <w:t> </w:t>
                                  </w:r>
                                  <w:r>
                                    <w:rPr>
                                      <w:b/>
                                      <w:color w:val="0F0F0F"/>
                                      <w:spacing w:val="-2"/>
                                      <w:sz w:val="20"/>
                                    </w:rPr>
                                    <w:t>Services</w:t>
                                  </w:r>
                                </w:p>
                              </w:tc>
                              <w:tc>
                                <w:tcPr>
                                  <w:tcW w:w="1331" w:type="dxa"/>
                                </w:tcPr>
                                <w:p>
                                  <w:pPr>
                                    <w:pStyle w:val="TableParagraph"/>
                                    <w:spacing w:before="3"/>
                                    <w:ind w:right="136"/>
                                    <w:jc w:val="right"/>
                                    <w:rPr>
                                      <w:b/>
                                      <w:sz w:val="20"/>
                                    </w:rPr>
                                  </w:pPr>
                                  <w:r>
                                    <w:rPr>
                                      <w:b/>
                                      <w:color w:val="0F0F0F"/>
                                      <w:spacing w:val="-2"/>
                                      <w:sz w:val="20"/>
                                    </w:rPr>
                                    <w:t>68,909</w:t>
                                  </w:r>
                                </w:p>
                              </w:tc>
                              <w:tc>
                                <w:tcPr>
                                  <w:tcW w:w="980" w:type="dxa"/>
                                </w:tcPr>
                                <w:p>
                                  <w:pPr>
                                    <w:pStyle w:val="TableParagraph"/>
                                    <w:spacing w:before="3"/>
                                    <w:ind w:right="114"/>
                                    <w:jc w:val="right"/>
                                    <w:rPr>
                                      <w:b/>
                                      <w:sz w:val="20"/>
                                    </w:rPr>
                                  </w:pPr>
                                  <w:r>
                                    <w:rPr>
                                      <w:b/>
                                      <w:color w:val="0F0F0F"/>
                                      <w:spacing w:val="-2"/>
                                      <w:sz w:val="20"/>
                                    </w:rPr>
                                    <w:t>(45,397)</w:t>
                                  </w:r>
                                </w:p>
                              </w:tc>
                              <w:tc>
                                <w:tcPr>
                                  <w:tcW w:w="1851" w:type="dxa"/>
                                </w:tcPr>
                                <w:p>
                                  <w:pPr>
                                    <w:pStyle w:val="TableParagraph"/>
                                    <w:spacing w:before="3"/>
                                    <w:ind w:right="531"/>
                                    <w:jc w:val="right"/>
                                    <w:rPr>
                                      <w:b/>
                                      <w:sz w:val="20"/>
                                    </w:rPr>
                                  </w:pPr>
                                  <w:r>
                                    <w:rPr>
                                      <w:b/>
                                      <w:color w:val="0F0F0F"/>
                                      <w:spacing w:val="-2"/>
                                      <w:sz w:val="20"/>
                                    </w:rPr>
                                    <w:t>23,512</w:t>
                                  </w:r>
                                </w:p>
                              </w:tc>
                              <w:tc>
                                <w:tcPr>
                                  <w:tcW w:w="863" w:type="dxa"/>
                                </w:tcPr>
                                <w:p>
                                  <w:pPr>
                                    <w:pStyle w:val="TableParagraph"/>
                                    <w:rPr>
                                      <w:rFonts w:ascii="Times New Roman"/>
                                      <w:sz w:val="20"/>
                                    </w:rPr>
                                  </w:pPr>
                                </w:p>
                              </w:tc>
                            </w:tr>
                            <w:tr>
                              <w:trPr>
                                <w:trHeight w:val="346" w:hRule="atLeast"/>
                              </w:trPr>
                              <w:tc>
                                <w:tcPr>
                                  <w:tcW w:w="910" w:type="dxa"/>
                                </w:tcPr>
                                <w:p>
                                  <w:pPr>
                                    <w:pStyle w:val="TableParagraph"/>
                                    <w:spacing w:before="110" w:line="216" w:lineRule="exact"/>
                                    <w:ind w:right="245"/>
                                    <w:jc w:val="right"/>
                                    <w:rPr>
                                      <w:sz w:val="20"/>
                                    </w:rPr>
                                  </w:pPr>
                                  <w:r>
                                    <w:rPr>
                                      <w:color w:val="0F0F0F"/>
                                      <w:spacing w:val="-2"/>
                                      <w:sz w:val="20"/>
                                    </w:rPr>
                                    <w:t>1,225</w:t>
                                  </w:r>
                                </w:p>
                              </w:tc>
                              <w:tc>
                                <w:tcPr>
                                  <w:tcW w:w="1121" w:type="dxa"/>
                                </w:tcPr>
                                <w:p>
                                  <w:pPr>
                                    <w:pStyle w:val="TableParagraph"/>
                                    <w:spacing w:before="110" w:line="216" w:lineRule="exact"/>
                                    <w:ind w:right="137"/>
                                    <w:jc w:val="right"/>
                                    <w:rPr>
                                      <w:sz w:val="20"/>
                                    </w:rPr>
                                  </w:pPr>
                                  <w:r>
                                    <w:rPr>
                                      <w:color w:val="212121"/>
                                      <w:spacing w:val="-4"/>
                                      <w:sz w:val="20"/>
                                    </w:rPr>
                                    <w:t>(13)</w:t>
                                  </w:r>
                                </w:p>
                              </w:tc>
                              <w:tc>
                                <w:tcPr>
                                  <w:tcW w:w="1501" w:type="dxa"/>
                                </w:tcPr>
                                <w:p>
                                  <w:pPr>
                                    <w:pStyle w:val="TableParagraph"/>
                                    <w:spacing w:before="110" w:line="216" w:lineRule="exact"/>
                                    <w:ind w:right="105"/>
                                    <w:jc w:val="right"/>
                                    <w:rPr>
                                      <w:b/>
                                      <w:sz w:val="20"/>
                                    </w:rPr>
                                  </w:pPr>
                                  <w:r>
                                    <w:rPr>
                                      <w:b/>
                                      <w:color w:val="0F0F0F"/>
                                      <w:spacing w:val="-2"/>
                                      <w:sz w:val="20"/>
                                    </w:rPr>
                                    <w:t>1,212</w:t>
                                  </w:r>
                                </w:p>
                              </w:tc>
                              <w:tc>
                                <w:tcPr>
                                  <w:tcW w:w="5500" w:type="dxa"/>
                                </w:tcPr>
                                <w:p>
                                  <w:pPr>
                                    <w:pStyle w:val="TableParagraph"/>
                                    <w:spacing w:before="115" w:line="211" w:lineRule="exact"/>
                                    <w:ind w:left="114"/>
                                    <w:rPr>
                                      <w:sz w:val="20"/>
                                    </w:rPr>
                                  </w:pPr>
                                  <w:r>
                                    <w:rPr>
                                      <w:color w:val="212121"/>
                                      <w:sz w:val="20"/>
                                    </w:rPr>
                                    <w:t>Other</w:t>
                                  </w:r>
                                  <w:r>
                                    <w:rPr>
                                      <w:color w:val="212121"/>
                                      <w:spacing w:val="-3"/>
                                      <w:sz w:val="20"/>
                                    </w:rPr>
                                    <w:t> </w:t>
                                  </w:r>
                                  <w:r>
                                    <w:rPr>
                                      <w:color w:val="212121"/>
                                      <w:sz w:val="20"/>
                                    </w:rPr>
                                    <w:t>Operating</w:t>
                                  </w:r>
                                  <w:r>
                                    <w:rPr>
                                      <w:color w:val="212121"/>
                                      <w:spacing w:val="-3"/>
                                      <w:sz w:val="20"/>
                                    </w:rPr>
                                    <w:t> </w:t>
                                  </w:r>
                                  <w:r>
                                    <w:rPr>
                                      <w:color w:val="212121"/>
                                      <w:spacing w:val="-2"/>
                                      <w:sz w:val="20"/>
                                    </w:rPr>
                                    <w:t>Expenditure</w:t>
                                  </w:r>
                                </w:p>
                              </w:tc>
                              <w:tc>
                                <w:tcPr>
                                  <w:tcW w:w="1331" w:type="dxa"/>
                                </w:tcPr>
                                <w:p>
                                  <w:pPr>
                                    <w:pStyle w:val="TableParagraph"/>
                                    <w:spacing w:before="115" w:line="211" w:lineRule="exact"/>
                                    <w:ind w:right="136"/>
                                    <w:jc w:val="right"/>
                                    <w:rPr>
                                      <w:sz w:val="20"/>
                                    </w:rPr>
                                  </w:pPr>
                                  <w:r>
                                    <w:rPr>
                                      <w:color w:val="0F0F0F"/>
                                      <w:spacing w:val="-2"/>
                                      <w:sz w:val="20"/>
                                    </w:rPr>
                                    <w:t>1,914</w:t>
                                  </w:r>
                                </w:p>
                              </w:tc>
                              <w:tc>
                                <w:tcPr>
                                  <w:tcW w:w="980" w:type="dxa"/>
                                </w:tcPr>
                                <w:p>
                                  <w:pPr>
                                    <w:pStyle w:val="TableParagraph"/>
                                    <w:spacing w:before="115" w:line="211" w:lineRule="exact"/>
                                    <w:ind w:right="115"/>
                                    <w:jc w:val="right"/>
                                    <w:rPr>
                                      <w:sz w:val="20"/>
                                    </w:rPr>
                                  </w:pPr>
                                  <w:r>
                                    <w:rPr>
                                      <w:color w:val="0F0F0F"/>
                                      <w:spacing w:val="-2"/>
                                      <w:sz w:val="20"/>
                                    </w:rPr>
                                    <w:t>(759)</w:t>
                                  </w:r>
                                </w:p>
                              </w:tc>
                              <w:tc>
                                <w:tcPr>
                                  <w:tcW w:w="1851" w:type="dxa"/>
                                </w:tcPr>
                                <w:p>
                                  <w:pPr>
                                    <w:pStyle w:val="TableParagraph"/>
                                    <w:spacing w:before="115" w:line="211" w:lineRule="exact"/>
                                    <w:ind w:right="537"/>
                                    <w:jc w:val="right"/>
                                    <w:rPr>
                                      <w:b/>
                                      <w:sz w:val="20"/>
                                    </w:rPr>
                                  </w:pPr>
                                  <w:r>
                                    <w:rPr>
                                      <w:b/>
                                      <w:color w:val="0F0F0F"/>
                                      <w:spacing w:val="-2"/>
                                      <w:sz w:val="20"/>
                                    </w:rPr>
                                    <w:t>1,155</w:t>
                                  </w:r>
                                </w:p>
                              </w:tc>
                              <w:tc>
                                <w:tcPr>
                                  <w:tcW w:w="863" w:type="dxa"/>
                                </w:tcPr>
                                <w:p>
                                  <w:pPr>
                                    <w:pStyle w:val="TableParagraph"/>
                                    <w:rPr>
                                      <w:rFonts w:ascii="Times New Roman"/>
                                      <w:sz w:val="20"/>
                                    </w:rPr>
                                  </w:pPr>
                                </w:p>
                              </w:tc>
                            </w:tr>
                            <w:tr>
                              <w:trPr>
                                <w:trHeight w:val="230" w:hRule="atLeast"/>
                              </w:trPr>
                              <w:tc>
                                <w:tcPr>
                                  <w:tcW w:w="910" w:type="dxa"/>
                                </w:tcPr>
                                <w:p>
                                  <w:pPr>
                                    <w:pStyle w:val="TableParagraph"/>
                                    <w:spacing w:line="211" w:lineRule="exact"/>
                                    <w:ind w:right="245"/>
                                    <w:jc w:val="right"/>
                                    <w:rPr>
                                      <w:sz w:val="20"/>
                                    </w:rPr>
                                  </w:pPr>
                                  <w:r>
                                    <w:rPr>
                                      <w:color w:val="0F0F0F"/>
                                      <w:spacing w:val="-2"/>
                                      <w:sz w:val="20"/>
                                    </w:rPr>
                                    <w:t>1,680</w:t>
                                  </w:r>
                                </w:p>
                              </w:tc>
                              <w:tc>
                                <w:tcPr>
                                  <w:tcW w:w="1121" w:type="dxa"/>
                                </w:tcPr>
                                <w:p>
                                  <w:pPr>
                                    <w:pStyle w:val="TableParagraph"/>
                                    <w:spacing w:line="211" w:lineRule="exact"/>
                                    <w:ind w:left="353"/>
                                    <w:rPr>
                                      <w:sz w:val="20"/>
                                    </w:rPr>
                                  </w:pPr>
                                  <w:r>
                                    <w:rPr>
                                      <w:color w:val="0F0F0F"/>
                                      <w:spacing w:val="-2"/>
                                      <w:sz w:val="20"/>
                                    </w:rPr>
                                    <w:t>(2,896)</w:t>
                                  </w:r>
                                </w:p>
                              </w:tc>
                              <w:tc>
                                <w:tcPr>
                                  <w:tcW w:w="1501" w:type="dxa"/>
                                </w:tcPr>
                                <w:p>
                                  <w:pPr>
                                    <w:pStyle w:val="TableParagraph"/>
                                    <w:spacing w:line="211" w:lineRule="exact"/>
                                    <w:ind w:right="105"/>
                                    <w:jc w:val="right"/>
                                    <w:rPr>
                                      <w:b/>
                                      <w:sz w:val="20"/>
                                    </w:rPr>
                                  </w:pPr>
                                  <w:r>
                                    <w:rPr>
                                      <w:b/>
                                      <w:color w:val="0F0F0F"/>
                                      <w:spacing w:val="-2"/>
                                      <w:sz w:val="20"/>
                                    </w:rPr>
                                    <w:t>(1,216)</w:t>
                                  </w:r>
                                </w:p>
                              </w:tc>
                              <w:tc>
                                <w:tcPr>
                                  <w:tcW w:w="5500" w:type="dxa"/>
                                </w:tcPr>
                                <w:p>
                                  <w:pPr>
                                    <w:pStyle w:val="TableParagraph"/>
                                    <w:spacing w:line="211" w:lineRule="exact"/>
                                    <w:ind w:left="117"/>
                                    <w:rPr>
                                      <w:sz w:val="20"/>
                                    </w:rPr>
                                  </w:pPr>
                                  <w:r>
                                    <w:rPr>
                                      <w:color w:val="212121"/>
                                      <w:sz w:val="20"/>
                                    </w:rPr>
                                    <w:t>Financing</w:t>
                                  </w:r>
                                  <w:r>
                                    <w:rPr>
                                      <w:color w:val="212121"/>
                                      <w:spacing w:val="-3"/>
                                      <w:sz w:val="20"/>
                                    </w:rPr>
                                    <w:t> </w:t>
                                  </w:r>
                                  <w:r>
                                    <w:rPr>
                                      <w:color w:val="212121"/>
                                      <w:sz w:val="20"/>
                                    </w:rPr>
                                    <w:t>and</w:t>
                                  </w:r>
                                  <w:r>
                                    <w:rPr>
                                      <w:color w:val="212121"/>
                                      <w:spacing w:val="-14"/>
                                      <w:sz w:val="20"/>
                                    </w:rPr>
                                    <w:t> </w:t>
                                  </w:r>
                                  <w:r>
                                    <w:rPr>
                                      <w:color w:val="212121"/>
                                      <w:sz w:val="20"/>
                                    </w:rPr>
                                    <w:t>Investment</w:t>
                                  </w:r>
                                  <w:r>
                                    <w:rPr>
                                      <w:color w:val="212121"/>
                                      <w:spacing w:val="-1"/>
                                      <w:sz w:val="20"/>
                                    </w:rPr>
                                    <w:t> </w:t>
                                  </w:r>
                                  <w:r>
                                    <w:rPr>
                                      <w:color w:val="212121"/>
                                      <w:sz w:val="20"/>
                                    </w:rPr>
                                    <w:t>Income</w:t>
                                  </w:r>
                                  <w:r>
                                    <w:rPr>
                                      <w:color w:val="212121"/>
                                      <w:spacing w:val="5"/>
                                      <w:sz w:val="20"/>
                                    </w:rPr>
                                    <w:t> </w:t>
                                  </w:r>
                                  <w:r>
                                    <w:rPr>
                                      <w:color w:val="212121"/>
                                      <w:sz w:val="20"/>
                                    </w:rPr>
                                    <w:t>and</w:t>
                                  </w:r>
                                  <w:r>
                                    <w:rPr>
                                      <w:color w:val="212121"/>
                                      <w:spacing w:val="-9"/>
                                      <w:sz w:val="20"/>
                                    </w:rPr>
                                    <w:t> </w:t>
                                  </w:r>
                                  <w:r>
                                    <w:rPr>
                                      <w:color w:val="212121"/>
                                      <w:spacing w:val="-2"/>
                                      <w:sz w:val="20"/>
                                    </w:rPr>
                                    <w:t>Expenditure</w:t>
                                  </w:r>
                                </w:p>
                              </w:tc>
                              <w:tc>
                                <w:tcPr>
                                  <w:tcW w:w="1331" w:type="dxa"/>
                                </w:tcPr>
                                <w:p>
                                  <w:pPr>
                                    <w:pStyle w:val="TableParagraph"/>
                                    <w:spacing w:line="211" w:lineRule="exact"/>
                                    <w:ind w:right="131"/>
                                    <w:jc w:val="right"/>
                                    <w:rPr>
                                      <w:sz w:val="20"/>
                                    </w:rPr>
                                  </w:pPr>
                                  <w:r>
                                    <w:rPr>
                                      <w:color w:val="0F0F0F"/>
                                      <w:spacing w:val="-2"/>
                                      <w:sz w:val="20"/>
                                    </w:rPr>
                                    <w:t>4,974</w:t>
                                  </w:r>
                                </w:p>
                              </w:tc>
                              <w:tc>
                                <w:tcPr>
                                  <w:tcW w:w="980" w:type="dxa"/>
                                </w:tcPr>
                                <w:p>
                                  <w:pPr>
                                    <w:pStyle w:val="TableParagraph"/>
                                    <w:spacing w:line="211" w:lineRule="exact"/>
                                    <w:ind w:right="113"/>
                                    <w:jc w:val="right"/>
                                    <w:rPr>
                                      <w:sz w:val="20"/>
                                    </w:rPr>
                                  </w:pPr>
                                  <w:r>
                                    <w:rPr>
                                      <w:color w:val="0F0F0F"/>
                                      <w:spacing w:val="-2"/>
                                      <w:sz w:val="20"/>
                                    </w:rPr>
                                    <w:t>(6,635)</w:t>
                                  </w:r>
                                </w:p>
                              </w:tc>
                              <w:tc>
                                <w:tcPr>
                                  <w:tcW w:w="1851" w:type="dxa"/>
                                </w:tcPr>
                                <w:p>
                                  <w:pPr>
                                    <w:pStyle w:val="TableParagraph"/>
                                    <w:spacing w:line="211" w:lineRule="exact"/>
                                    <w:ind w:right="529"/>
                                    <w:jc w:val="right"/>
                                    <w:rPr>
                                      <w:b/>
                                      <w:sz w:val="20"/>
                                    </w:rPr>
                                  </w:pPr>
                                  <w:r>
                                    <w:rPr>
                                      <w:b/>
                                      <w:color w:val="0F0F0F"/>
                                      <w:spacing w:val="-2"/>
                                      <w:sz w:val="20"/>
                                    </w:rPr>
                                    <w:t>(1,661)</w:t>
                                  </w:r>
                                </w:p>
                              </w:tc>
                              <w:tc>
                                <w:tcPr>
                                  <w:tcW w:w="863" w:type="dxa"/>
                                </w:tcPr>
                                <w:p>
                                  <w:pPr>
                                    <w:pStyle w:val="TableParagraph"/>
                                    <w:rPr>
                                      <w:rFonts w:ascii="Times New Roman"/>
                                      <w:sz w:val="16"/>
                                    </w:rPr>
                                  </w:pPr>
                                </w:p>
                              </w:tc>
                            </w:tr>
                            <w:tr>
                              <w:trPr>
                                <w:trHeight w:val="231" w:hRule="atLeast"/>
                              </w:trPr>
                              <w:tc>
                                <w:tcPr>
                                  <w:tcW w:w="910" w:type="dxa"/>
                                </w:tcPr>
                                <w:p>
                                  <w:pPr>
                                    <w:pStyle w:val="TableParagraph"/>
                                    <w:spacing w:line="211" w:lineRule="exact"/>
                                    <w:ind w:right="239"/>
                                    <w:jc w:val="right"/>
                                    <w:rPr>
                                      <w:sz w:val="20"/>
                                    </w:rPr>
                                  </w:pPr>
                                  <w:r>
                                    <w:rPr>
                                      <w:color w:val="0F0F0F"/>
                                      <w:spacing w:val="-2"/>
                                      <w:sz w:val="20"/>
                                    </w:rPr>
                                    <w:t>21,004</w:t>
                                  </w:r>
                                </w:p>
                              </w:tc>
                              <w:tc>
                                <w:tcPr>
                                  <w:tcW w:w="1121" w:type="dxa"/>
                                </w:tcPr>
                                <w:p>
                                  <w:pPr>
                                    <w:pStyle w:val="TableParagraph"/>
                                    <w:spacing w:line="211" w:lineRule="exact"/>
                                    <w:ind w:left="247"/>
                                    <w:rPr>
                                      <w:sz w:val="20"/>
                                    </w:rPr>
                                  </w:pPr>
                                  <w:r>
                                    <w:rPr>
                                      <w:color w:val="0F0F0F"/>
                                      <w:spacing w:val="-2"/>
                                      <w:sz w:val="20"/>
                                    </w:rPr>
                                    <w:t>(47,028)</w:t>
                                  </w:r>
                                </w:p>
                              </w:tc>
                              <w:tc>
                                <w:tcPr>
                                  <w:tcW w:w="1501" w:type="dxa"/>
                                </w:tcPr>
                                <w:p>
                                  <w:pPr>
                                    <w:pStyle w:val="TableParagraph"/>
                                    <w:spacing w:line="211" w:lineRule="exact"/>
                                    <w:ind w:right="107"/>
                                    <w:jc w:val="right"/>
                                    <w:rPr>
                                      <w:b/>
                                      <w:sz w:val="20"/>
                                    </w:rPr>
                                  </w:pPr>
                                  <w:r>
                                    <w:rPr>
                                      <w:b/>
                                      <w:color w:val="0F0F0F"/>
                                      <w:spacing w:val="-2"/>
                                      <w:sz w:val="20"/>
                                    </w:rPr>
                                    <w:t>(26,024)</w:t>
                                  </w:r>
                                </w:p>
                              </w:tc>
                              <w:tc>
                                <w:tcPr>
                                  <w:tcW w:w="5500" w:type="dxa"/>
                                </w:tcPr>
                                <w:p>
                                  <w:pPr>
                                    <w:pStyle w:val="TableParagraph"/>
                                    <w:spacing w:before="4" w:line="207" w:lineRule="exact"/>
                                    <w:ind w:left="119"/>
                                    <w:rPr>
                                      <w:sz w:val="20"/>
                                    </w:rPr>
                                  </w:pPr>
                                  <w:r>
                                    <w:rPr>
                                      <w:color w:val="212121"/>
                                      <w:sz w:val="20"/>
                                    </w:rPr>
                                    <w:t>Taxation</w:t>
                                  </w:r>
                                  <w:r>
                                    <w:rPr>
                                      <w:color w:val="212121"/>
                                      <w:spacing w:val="1"/>
                                      <w:sz w:val="20"/>
                                    </w:rPr>
                                    <w:t> </w:t>
                                  </w:r>
                                  <w:r>
                                    <w:rPr>
                                      <w:color w:val="212121"/>
                                      <w:sz w:val="20"/>
                                    </w:rPr>
                                    <w:t>and</w:t>
                                  </w:r>
                                  <w:r>
                                    <w:rPr>
                                      <w:color w:val="212121"/>
                                      <w:spacing w:val="-13"/>
                                      <w:sz w:val="20"/>
                                    </w:rPr>
                                    <w:t> </w:t>
                                  </w:r>
                                  <w:r>
                                    <w:rPr>
                                      <w:color w:val="212121"/>
                                      <w:sz w:val="20"/>
                                    </w:rPr>
                                    <w:t>Non-Specific</w:t>
                                  </w:r>
                                  <w:r>
                                    <w:rPr>
                                      <w:color w:val="212121"/>
                                      <w:spacing w:val="5"/>
                                      <w:sz w:val="20"/>
                                    </w:rPr>
                                    <w:t> </w:t>
                                  </w:r>
                                  <w:r>
                                    <w:rPr>
                                      <w:color w:val="212121"/>
                                      <w:sz w:val="20"/>
                                    </w:rPr>
                                    <w:t>Grant</w:t>
                                  </w:r>
                                  <w:r>
                                    <w:rPr>
                                      <w:color w:val="212121"/>
                                      <w:spacing w:val="-11"/>
                                      <w:sz w:val="20"/>
                                    </w:rPr>
                                    <w:t> </w:t>
                                  </w:r>
                                  <w:r>
                                    <w:rPr>
                                      <w:color w:val="0F0F0F"/>
                                      <w:spacing w:val="-2"/>
                                      <w:sz w:val="20"/>
                                    </w:rPr>
                                    <w:t>Income</w:t>
                                  </w:r>
                                </w:p>
                              </w:tc>
                              <w:tc>
                                <w:tcPr>
                                  <w:tcW w:w="1331" w:type="dxa"/>
                                </w:tcPr>
                                <w:p>
                                  <w:pPr>
                                    <w:pStyle w:val="TableParagraph"/>
                                    <w:spacing w:line="211" w:lineRule="exact"/>
                                    <w:ind w:right="136"/>
                                    <w:jc w:val="right"/>
                                    <w:rPr>
                                      <w:sz w:val="20"/>
                                    </w:rPr>
                                  </w:pPr>
                                  <w:r>
                                    <w:rPr>
                                      <w:color w:val="0F0F0F"/>
                                      <w:spacing w:val="-2"/>
                                      <w:sz w:val="20"/>
                                    </w:rPr>
                                    <w:t>16,967</w:t>
                                  </w:r>
                                </w:p>
                              </w:tc>
                              <w:tc>
                                <w:tcPr>
                                  <w:tcW w:w="980" w:type="dxa"/>
                                </w:tcPr>
                                <w:p>
                                  <w:pPr>
                                    <w:pStyle w:val="TableParagraph"/>
                                    <w:spacing w:line="211" w:lineRule="exact"/>
                                    <w:ind w:right="109"/>
                                    <w:jc w:val="right"/>
                                    <w:rPr>
                                      <w:sz w:val="20"/>
                                    </w:rPr>
                                  </w:pPr>
                                  <w:r>
                                    <w:rPr>
                                      <w:color w:val="0F0F0F"/>
                                      <w:spacing w:val="-2"/>
                                      <w:sz w:val="20"/>
                                    </w:rPr>
                                    <w:t>(40,940)</w:t>
                                  </w:r>
                                </w:p>
                              </w:tc>
                              <w:tc>
                                <w:tcPr>
                                  <w:tcW w:w="1851" w:type="dxa"/>
                                </w:tcPr>
                                <w:p>
                                  <w:pPr>
                                    <w:pStyle w:val="TableParagraph"/>
                                    <w:spacing w:line="211" w:lineRule="exact"/>
                                    <w:ind w:right="525"/>
                                    <w:jc w:val="right"/>
                                    <w:rPr>
                                      <w:b/>
                                      <w:sz w:val="20"/>
                                    </w:rPr>
                                  </w:pPr>
                                  <w:r>
                                    <w:rPr>
                                      <w:b/>
                                      <w:color w:val="0F0F0F"/>
                                      <w:spacing w:val="-2"/>
                                      <w:sz w:val="20"/>
                                    </w:rPr>
                                    <w:t>(23,973)</w:t>
                                  </w:r>
                                </w:p>
                              </w:tc>
                              <w:tc>
                                <w:tcPr>
                                  <w:tcW w:w="863" w:type="dxa"/>
                                </w:tcPr>
                                <w:p>
                                  <w:pPr>
                                    <w:pStyle w:val="TableParagraph"/>
                                    <w:rPr>
                                      <w:rFonts w:ascii="Times New Roman"/>
                                      <w:sz w:val="16"/>
                                    </w:rPr>
                                  </w:pPr>
                                </w:p>
                              </w:tc>
                            </w:tr>
                            <w:tr>
                              <w:trPr>
                                <w:trHeight w:val="354" w:hRule="atLeast"/>
                              </w:trPr>
                              <w:tc>
                                <w:tcPr>
                                  <w:tcW w:w="910" w:type="dxa"/>
                                </w:tcPr>
                                <w:p>
                                  <w:pPr>
                                    <w:pStyle w:val="TableParagraph"/>
                                    <w:spacing w:line="229" w:lineRule="exact"/>
                                    <w:ind w:right="233"/>
                                    <w:jc w:val="right"/>
                                    <w:rPr>
                                      <w:sz w:val="20"/>
                                    </w:rPr>
                                  </w:pPr>
                                  <w:r>
                                    <w:rPr>
                                      <w:color w:val="0F0F0F"/>
                                      <w:spacing w:val="-5"/>
                                      <w:sz w:val="20"/>
                                    </w:rPr>
                                    <w:t>33</w:t>
                                  </w:r>
                                </w:p>
                              </w:tc>
                              <w:tc>
                                <w:tcPr>
                                  <w:tcW w:w="1121" w:type="dxa"/>
                                </w:tcPr>
                                <w:p>
                                  <w:pPr>
                                    <w:pStyle w:val="TableParagraph"/>
                                    <w:spacing w:line="243" w:lineRule="exact"/>
                                    <w:ind w:right="112"/>
                                    <w:jc w:val="right"/>
                                    <w:rPr>
                                      <w:sz w:val="22"/>
                                    </w:rPr>
                                  </w:pPr>
                                  <w:r>
                                    <w:rPr>
                                      <w:color w:val="212121"/>
                                      <w:spacing w:val="-10"/>
                                      <w:w w:val="110"/>
                                      <w:sz w:val="22"/>
                                    </w:rPr>
                                    <w:t>-</w:t>
                                  </w:r>
                                </w:p>
                              </w:tc>
                              <w:tc>
                                <w:tcPr>
                                  <w:tcW w:w="1501" w:type="dxa"/>
                                </w:tcPr>
                                <w:p>
                                  <w:pPr>
                                    <w:pStyle w:val="TableParagraph"/>
                                    <w:spacing w:line="224" w:lineRule="exact"/>
                                    <w:ind w:right="100"/>
                                    <w:jc w:val="right"/>
                                    <w:rPr>
                                      <w:b/>
                                      <w:sz w:val="20"/>
                                    </w:rPr>
                                  </w:pPr>
                                  <w:r>
                                    <w:rPr>
                                      <w:b/>
                                      <w:color w:val="0F0F0F"/>
                                      <w:spacing w:val="-5"/>
                                      <w:sz w:val="20"/>
                                    </w:rPr>
                                    <w:t>33</w:t>
                                  </w:r>
                                </w:p>
                              </w:tc>
                              <w:tc>
                                <w:tcPr>
                                  <w:tcW w:w="5500" w:type="dxa"/>
                                </w:tcPr>
                                <w:p>
                                  <w:pPr>
                                    <w:pStyle w:val="TableParagraph"/>
                                    <w:spacing w:before="4"/>
                                    <w:ind w:left="124"/>
                                    <w:rPr>
                                      <w:sz w:val="20"/>
                                    </w:rPr>
                                  </w:pPr>
                                  <w:r>
                                    <w:rPr>
                                      <w:color w:val="212121"/>
                                      <w:sz w:val="20"/>
                                    </w:rPr>
                                    <w:t>Tax</w:t>
                                  </w:r>
                                  <w:r>
                                    <w:rPr>
                                      <w:color w:val="212121"/>
                                      <w:spacing w:val="-2"/>
                                      <w:sz w:val="20"/>
                                    </w:rPr>
                                    <w:t> </w:t>
                                  </w:r>
                                  <w:r>
                                    <w:rPr>
                                      <w:color w:val="212121"/>
                                      <w:sz w:val="20"/>
                                    </w:rPr>
                                    <w:t>expense</w:t>
                                  </w:r>
                                  <w:r>
                                    <w:rPr>
                                      <w:color w:val="212121"/>
                                      <w:spacing w:val="1"/>
                                      <w:sz w:val="20"/>
                                    </w:rPr>
                                    <w:t> </w:t>
                                  </w:r>
                                  <w:r>
                                    <w:rPr>
                                      <w:color w:val="212121"/>
                                      <w:sz w:val="20"/>
                                    </w:rPr>
                                    <w:t>of</w:t>
                                  </w:r>
                                  <w:r>
                                    <w:rPr>
                                      <w:color w:val="212121"/>
                                      <w:spacing w:val="-1"/>
                                      <w:sz w:val="20"/>
                                    </w:rPr>
                                    <w:t> </w:t>
                                  </w:r>
                                  <w:r>
                                    <w:rPr>
                                      <w:color w:val="212121"/>
                                      <w:spacing w:val="-2"/>
                                      <w:sz w:val="20"/>
                                    </w:rPr>
                                    <w:t>subsidiary</w:t>
                                  </w:r>
                                </w:p>
                              </w:tc>
                              <w:tc>
                                <w:tcPr>
                                  <w:tcW w:w="1331" w:type="dxa"/>
                                </w:tcPr>
                                <w:p>
                                  <w:pPr>
                                    <w:pStyle w:val="TableParagraph"/>
                                    <w:spacing w:line="243" w:lineRule="exact"/>
                                    <w:ind w:right="117"/>
                                    <w:jc w:val="right"/>
                                    <w:rPr>
                                      <w:sz w:val="22"/>
                                    </w:rPr>
                                  </w:pPr>
                                  <w:r>
                                    <w:rPr>
                                      <w:color w:val="343434"/>
                                      <w:spacing w:val="-10"/>
                                      <w:sz w:val="22"/>
                                    </w:rPr>
                                    <w:t>-</w:t>
                                  </w:r>
                                </w:p>
                              </w:tc>
                              <w:tc>
                                <w:tcPr>
                                  <w:tcW w:w="980" w:type="dxa"/>
                                </w:tcPr>
                                <w:p>
                                  <w:pPr>
                                    <w:pStyle w:val="TableParagraph"/>
                                    <w:spacing w:line="229" w:lineRule="exact"/>
                                    <w:ind w:right="105"/>
                                    <w:jc w:val="right"/>
                                    <w:rPr>
                                      <w:sz w:val="20"/>
                                    </w:rPr>
                                  </w:pPr>
                                  <w:r>
                                    <w:rPr>
                                      <w:color w:val="0F0F0F"/>
                                      <w:spacing w:val="-4"/>
                                      <w:sz w:val="20"/>
                                    </w:rPr>
                                    <w:t>(38)</w:t>
                                  </w:r>
                                </w:p>
                              </w:tc>
                              <w:tc>
                                <w:tcPr>
                                  <w:tcW w:w="1851" w:type="dxa"/>
                                </w:tcPr>
                                <w:p>
                                  <w:pPr>
                                    <w:pStyle w:val="TableParagraph"/>
                                    <w:spacing w:line="224" w:lineRule="exact"/>
                                    <w:ind w:right="518"/>
                                    <w:jc w:val="right"/>
                                    <w:rPr>
                                      <w:b/>
                                      <w:sz w:val="20"/>
                                    </w:rPr>
                                  </w:pPr>
                                  <w:r>
                                    <w:rPr>
                                      <w:b/>
                                      <w:color w:val="0F0F0F"/>
                                      <w:spacing w:val="-4"/>
                                      <w:sz w:val="20"/>
                                    </w:rPr>
                                    <w:t>(38)</w:t>
                                  </w:r>
                                </w:p>
                              </w:tc>
                              <w:tc>
                                <w:tcPr>
                                  <w:tcW w:w="863" w:type="dxa"/>
                                </w:tcPr>
                                <w:p>
                                  <w:pPr>
                                    <w:pStyle w:val="TableParagraph"/>
                                    <w:rPr>
                                      <w:rFonts w:ascii="Times New Roman"/>
                                      <w:sz w:val="20"/>
                                    </w:rPr>
                                  </w:pPr>
                                </w:p>
                              </w:tc>
                            </w:tr>
                            <w:tr>
                              <w:trPr>
                                <w:trHeight w:val="466" w:hRule="atLeast"/>
                              </w:trPr>
                              <w:tc>
                                <w:tcPr>
                                  <w:tcW w:w="910" w:type="dxa"/>
                                </w:tcPr>
                                <w:p>
                                  <w:pPr>
                                    <w:pStyle w:val="TableParagraph"/>
                                    <w:spacing w:before="110"/>
                                    <w:ind w:right="242"/>
                                    <w:jc w:val="right"/>
                                    <w:rPr>
                                      <w:b/>
                                      <w:sz w:val="20"/>
                                    </w:rPr>
                                  </w:pPr>
                                  <w:r>
                                    <w:rPr>
                                      <w:b/>
                                      <w:color w:val="0F0F0F"/>
                                      <w:spacing w:val="-2"/>
                                      <w:sz w:val="20"/>
                                    </w:rPr>
                                    <w:t>85,455</w:t>
                                  </w:r>
                                </w:p>
                              </w:tc>
                              <w:tc>
                                <w:tcPr>
                                  <w:tcW w:w="1121" w:type="dxa"/>
                                </w:tcPr>
                                <w:p>
                                  <w:pPr>
                                    <w:pStyle w:val="TableParagraph"/>
                                    <w:spacing w:before="120"/>
                                    <w:ind w:right="77"/>
                                    <w:jc w:val="right"/>
                                    <w:rPr>
                                      <w:b/>
                                      <w:sz w:val="20"/>
                                    </w:rPr>
                                  </w:pPr>
                                  <w:r>
                                    <w:rPr>
                                      <w:b/>
                                      <w:color w:val="212121"/>
                                      <w:spacing w:val="-2"/>
                                      <w:w w:val="115"/>
                                      <w:sz w:val="20"/>
                                    </w:rPr>
                                    <w:t>(95!_32</w:t>
                                  </w:r>
                                </w:p>
                              </w:tc>
                              <w:tc>
                                <w:tcPr>
                                  <w:tcW w:w="1501" w:type="dxa"/>
                                </w:tcPr>
                                <w:p>
                                  <w:pPr>
                                    <w:pStyle w:val="TableParagraph"/>
                                    <w:spacing w:before="110"/>
                                    <w:ind w:right="96"/>
                                    <w:jc w:val="right"/>
                                    <w:rPr>
                                      <w:b/>
                                      <w:sz w:val="20"/>
                                    </w:rPr>
                                  </w:pPr>
                                  <w:r>
                                    <w:rPr>
                                      <w:b/>
                                      <w:color w:val="0F0F0F"/>
                                      <w:spacing w:val="-2"/>
                                      <w:sz w:val="20"/>
                                    </w:rPr>
                                    <w:t>(9,869)</w:t>
                                  </w:r>
                                </w:p>
                              </w:tc>
                              <w:tc>
                                <w:tcPr>
                                  <w:tcW w:w="5500" w:type="dxa"/>
                                </w:tcPr>
                                <w:p>
                                  <w:pPr>
                                    <w:pStyle w:val="TableParagraph"/>
                                    <w:spacing w:before="105"/>
                                    <w:ind w:left="123"/>
                                    <w:rPr>
                                      <w:b/>
                                      <w:sz w:val="20"/>
                                    </w:rPr>
                                  </w:pPr>
                                  <w:r>
                                    <w:rPr>
                                      <w:b/>
                                      <w:color w:val="0F0F0F"/>
                                      <w:sz w:val="20"/>
                                    </w:rPr>
                                    <w:t>(Surplus)/</w:t>
                                  </w:r>
                                  <w:r>
                                    <w:rPr>
                                      <w:b/>
                                      <w:color w:val="0F0F0F"/>
                                      <w:spacing w:val="16"/>
                                      <w:sz w:val="20"/>
                                    </w:rPr>
                                    <w:t> </w:t>
                                  </w:r>
                                  <w:r>
                                    <w:rPr>
                                      <w:b/>
                                      <w:color w:val="0F0F0F"/>
                                      <w:sz w:val="20"/>
                                    </w:rPr>
                                    <w:t>Deficit</w:t>
                                  </w:r>
                                  <w:r>
                                    <w:rPr>
                                      <w:b/>
                                      <w:color w:val="0F0F0F"/>
                                      <w:spacing w:val="5"/>
                                      <w:sz w:val="20"/>
                                    </w:rPr>
                                    <w:t> </w:t>
                                  </w:r>
                                  <w:r>
                                    <w:rPr>
                                      <w:b/>
                                      <w:color w:val="0F0F0F"/>
                                      <w:sz w:val="20"/>
                                    </w:rPr>
                                    <w:t>on</w:t>
                                  </w:r>
                                  <w:r>
                                    <w:rPr>
                                      <w:b/>
                                      <w:color w:val="0F0F0F"/>
                                      <w:spacing w:val="2"/>
                                      <w:sz w:val="20"/>
                                    </w:rPr>
                                    <w:t> </w:t>
                                  </w:r>
                                  <w:r>
                                    <w:rPr>
                                      <w:b/>
                                      <w:color w:val="0F0F0F"/>
                                      <w:sz w:val="20"/>
                                    </w:rPr>
                                    <w:t>Provision</w:t>
                                  </w:r>
                                  <w:r>
                                    <w:rPr>
                                      <w:b/>
                                      <w:color w:val="0F0F0F"/>
                                      <w:spacing w:val="15"/>
                                      <w:sz w:val="20"/>
                                    </w:rPr>
                                    <w:t> </w:t>
                                  </w:r>
                                  <w:r>
                                    <w:rPr>
                                      <w:b/>
                                      <w:color w:val="0F0F0F"/>
                                      <w:sz w:val="20"/>
                                    </w:rPr>
                                    <w:t>of</w:t>
                                  </w:r>
                                  <w:r>
                                    <w:rPr>
                                      <w:b/>
                                      <w:color w:val="0F0F0F"/>
                                      <w:spacing w:val="8"/>
                                      <w:sz w:val="20"/>
                                    </w:rPr>
                                    <w:t> </w:t>
                                  </w:r>
                                  <w:r>
                                    <w:rPr>
                                      <w:b/>
                                      <w:color w:val="0F0F0F"/>
                                      <w:spacing w:val="-2"/>
                                      <w:sz w:val="20"/>
                                    </w:rPr>
                                    <w:t>Services</w:t>
                                  </w:r>
                                </w:p>
                              </w:tc>
                              <w:tc>
                                <w:tcPr>
                                  <w:tcW w:w="1331" w:type="dxa"/>
                                </w:tcPr>
                                <w:p>
                                  <w:pPr>
                                    <w:pStyle w:val="TableParagraph"/>
                                    <w:spacing w:before="110"/>
                                    <w:ind w:right="120"/>
                                    <w:jc w:val="right"/>
                                    <w:rPr>
                                      <w:b/>
                                      <w:sz w:val="20"/>
                                    </w:rPr>
                                  </w:pPr>
                                  <w:r>
                                    <w:rPr>
                                      <w:b/>
                                      <w:color w:val="0F0F0F"/>
                                      <w:spacing w:val="-2"/>
                                      <w:sz w:val="20"/>
                                    </w:rPr>
                                    <w:t>92,764</w:t>
                                  </w:r>
                                </w:p>
                              </w:tc>
                              <w:tc>
                                <w:tcPr>
                                  <w:tcW w:w="980" w:type="dxa"/>
                                </w:tcPr>
                                <w:p>
                                  <w:pPr>
                                    <w:pStyle w:val="TableParagraph"/>
                                    <w:spacing w:before="105"/>
                                    <w:ind w:right="102"/>
                                    <w:jc w:val="right"/>
                                    <w:rPr>
                                      <w:b/>
                                      <w:sz w:val="20"/>
                                    </w:rPr>
                                  </w:pPr>
                                  <w:r>
                                    <w:rPr>
                                      <w:b/>
                                      <w:color w:val="0F0F0F"/>
                                      <w:spacing w:val="-2"/>
                                      <w:sz w:val="20"/>
                                    </w:rPr>
                                    <w:t>(93,769)</w:t>
                                  </w:r>
                                </w:p>
                              </w:tc>
                              <w:tc>
                                <w:tcPr>
                                  <w:tcW w:w="1851" w:type="dxa"/>
                                </w:tcPr>
                                <w:p>
                                  <w:pPr>
                                    <w:pStyle w:val="TableParagraph"/>
                                    <w:spacing w:before="105"/>
                                    <w:ind w:right="526"/>
                                    <w:jc w:val="right"/>
                                    <w:rPr>
                                      <w:b/>
                                      <w:sz w:val="20"/>
                                    </w:rPr>
                                  </w:pPr>
                                  <w:r>
                                    <w:rPr>
                                      <w:b/>
                                      <w:color w:val="0F0F0F"/>
                                      <w:spacing w:val="-2"/>
                                      <w:sz w:val="20"/>
                                    </w:rPr>
                                    <w:t>(1,005)</w:t>
                                  </w:r>
                                </w:p>
                              </w:tc>
                              <w:tc>
                                <w:tcPr>
                                  <w:tcW w:w="863" w:type="dxa"/>
                                </w:tcPr>
                                <w:p>
                                  <w:pPr>
                                    <w:pStyle w:val="TableParagraph"/>
                                    <w:rPr>
                                      <w:rFonts w:ascii="Times New Roman"/>
                                      <w:sz w:val="20"/>
                                    </w:rPr>
                                  </w:pPr>
                                </w:p>
                              </w:tc>
                            </w:tr>
                            <w:tr>
                              <w:trPr>
                                <w:trHeight w:val="346" w:hRule="atLeast"/>
                              </w:trPr>
                              <w:tc>
                                <w:tcPr>
                                  <w:tcW w:w="910" w:type="dxa"/>
                                </w:tcPr>
                                <w:p>
                                  <w:pPr>
                                    <w:pStyle w:val="TableParagraph"/>
                                    <w:rPr>
                                      <w:rFonts w:ascii="Times New Roman"/>
                                      <w:sz w:val="20"/>
                                    </w:rPr>
                                  </w:pPr>
                                </w:p>
                              </w:tc>
                              <w:tc>
                                <w:tcPr>
                                  <w:tcW w:w="1121" w:type="dxa"/>
                                </w:tcPr>
                                <w:p>
                                  <w:pPr>
                                    <w:pStyle w:val="TableParagraph"/>
                                    <w:rPr>
                                      <w:rFonts w:ascii="Times New Roman"/>
                                      <w:sz w:val="20"/>
                                    </w:rPr>
                                  </w:pPr>
                                </w:p>
                              </w:tc>
                              <w:tc>
                                <w:tcPr>
                                  <w:tcW w:w="1501" w:type="dxa"/>
                                </w:tcPr>
                                <w:p>
                                  <w:pPr>
                                    <w:pStyle w:val="TableParagraph"/>
                                    <w:spacing w:before="115" w:line="211" w:lineRule="exact"/>
                                    <w:ind w:right="91"/>
                                    <w:jc w:val="right"/>
                                    <w:rPr>
                                      <w:b/>
                                      <w:sz w:val="20"/>
                                    </w:rPr>
                                  </w:pPr>
                                  <w:r>
                                    <w:rPr>
                                      <w:b/>
                                      <w:color w:val="0F0F0F"/>
                                      <w:spacing w:val="-2"/>
                                      <w:sz w:val="20"/>
                                    </w:rPr>
                                    <w:t>(7,451)</w:t>
                                  </w:r>
                                </w:p>
                              </w:tc>
                              <w:tc>
                                <w:tcPr>
                                  <w:tcW w:w="5500" w:type="dxa"/>
                                </w:tcPr>
                                <w:p>
                                  <w:pPr>
                                    <w:pStyle w:val="TableParagraph"/>
                                    <w:spacing w:before="115" w:line="211" w:lineRule="exact"/>
                                    <w:ind w:left="126"/>
                                    <w:rPr>
                                      <w:sz w:val="20"/>
                                    </w:rPr>
                                  </w:pPr>
                                  <w:r>
                                    <w:rPr>
                                      <w:color w:val="0F0F0F"/>
                                      <w:sz w:val="20"/>
                                    </w:rPr>
                                    <w:t>(Surplus)</w:t>
                                  </w:r>
                                  <w:r>
                                    <w:rPr>
                                      <w:color w:val="0F0F0F"/>
                                      <w:spacing w:val="3"/>
                                      <w:sz w:val="20"/>
                                    </w:rPr>
                                    <w:t> </w:t>
                                  </w:r>
                                  <w:r>
                                    <w:rPr>
                                      <w:color w:val="0F0F0F"/>
                                      <w:sz w:val="20"/>
                                    </w:rPr>
                                    <w:t>/</w:t>
                                  </w:r>
                                  <w:r>
                                    <w:rPr>
                                      <w:color w:val="0F0F0F"/>
                                      <w:spacing w:val="-5"/>
                                      <w:sz w:val="20"/>
                                    </w:rPr>
                                    <w:t> </w:t>
                                  </w:r>
                                  <w:r>
                                    <w:rPr>
                                      <w:color w:val="212121"/>
                                      <w:sz w:val="20"/>
                                    </w:rPr>
                                    <w:t>Deficit</w:t>
                                  </w:r>
                                  <w:r>
                                    <w:rPr>
                                      <w:color w:val="212121"/>
                                      <w:spacing w:val="-8"/>
                                      <w:sz w:val="20"/>
                                    </w:rPr>
                                    <w:t> </w:t>
                                  </w:r>
                                  <w:r>
                                    <w:rPr>
                                      <w:color w:val="0F0F0F"/>
                                      <w:sz w:val="20"/>
                                    </w:rPr>
                                    <w:t>on</w:t>
                                  </w:r>
                                  <w:r>
                                    <w:rPr>
                                      <w:color w:val="0F0F0F"/>
                                      <w:spacing w:val="-14"/>
                                      <w:sz w:val="20"/>
                                    </w:rPr>
                                    <w:t> </w:t>
                                  </w:r>
                                  <w:r>
                                    <w:rPr>
                                      <w:color w:val="0F0F0F"/>
                                      <w:sz w:val="20"/>
                                    </w:rPr>
                                    <w:t>revaluation</w:t>
                                  </w:r>
                                  <w:r>
                                    <w:rPr>
                                      <w:color w:val="0F0F0F"/>
                                      <w:spacing w:val="5"/>
                                      <w:sz w:val="20"/>
                                    </w:rPr>
                                    <w:t> </w:t>
                                  </w:r>
                                  <w:r>
                                    <w:rPr>
                                      <w:color w:val="0F0F0F"/>
                                      <w:sz w:val="20"/>
                                    </w:rPr>
                                    <w:t>of</w:t>
                                  </w:r>
                                  <w:r>
                                    <w:rPr>
                                      <w:color w:val="0F0F0F"/>
                                      <w:spacing w:val="-7"/>
                                      <w:sz w:val="20"/>
                                    </w:rPr>
                                    <w:t> </w:t>
                                  </w:r>
                                  <w:r>
                                    <w:rPr>
                                      <w:color w:val="0F0F0F"/>
                                      <w:sz w:val="20"/>
                                    </w:rPr>
                                    <w:t>non-current</w:t>
                                  </w:r>
                                  <w:r>
                                    <w:rPr>
                                      <w:color w:val="0F0F0F"/>
                                      <w:spacing w:val="6"/>
                                      <w:sz w:val="20"/>
                                    </w:rPr>
                                    <w:t> </w:t>
                                  </w:r>
                                  <w:r>
                                    <w:rPr>
                                      <w:color w:val="0F0F0F"/>
                                      <w:spacing w:val="-2"/>
                                      <w:sz w:val="20"/>
                                    </w:rPr>
                                    <w:t>assets</w:t>
                                  </w:r>
                                </w:p>
                              </w:tc>
                              <w:tc>
                                <w:tcPr>
                                  <w:tcW w:w="1331" w:type="dxa"/>
                                </w:tcPr>
                                <w:p>
                                  <w:pPr>
                                    <w:pStyle w:val="TableParagraph"/>
                                    <w:rPr>
                                      <w:rFonts w:ascii="Times New Roman"/>
                                      <w:sz w:val="20"/>
                                    </w:rPr>
                                  </w:pPr>
                                </w:p>
                              </w:tc>
                              <w:tc>
                                <w:tcPr>
                                  <w:tcW w:w="980" w:type="dxa"/>
                                </w:tcPr>
                                <w:p>
                                  <w:pPr>
                                    <w:pStyle w:val="TableParagraph"/>
                                    <w:rPr>
                                      <w:rFonts w:ascii="Times New Roman"/>
                                      <w:sz w:val="20"/>
                                    </w:rPr>
                                  </w:pPr>
                                </w:p>
                              </w:tc>
                              <w:tc>
                                <w:tcPr>
                                  <w:tcW w:w="1851" w:type="dxa"/>
                                </w:tcPr>
                                <w:p>
                                  <w:pPr>
                                    <w:pStyle w:val="TableParagraph"/>
                                    <w:spacing w:before="110" w:line="216" w:lineRule="exact"/>
                                    <w:ind w:right="520"/>
                                    <w:jc w:val="right"/>
                                    <w:rPr>
                                      <w:b/>
                                      <w:sz w:val="20"/>
                                    </w:rPr>
                                  </w:pPr>
                                  <w:r>
                                    <w:rPr>
                                      <w:b/>
                                      <w:color w:val="0F0F0F"/>
                                      <w:spacing w:val="-2"/>
                                      <w:sz w:val="20"/>
                                    </w:rPr>
                                    <w:t>(18,708)</w:t>
                                  </w:r>
                                </w:p>
                              </w:tc>
                              <w:tc>
                                <w:tcPr>
                                  <w:tcW w:w="863" w:type="dxa"/>
                                </w:tcPr>
                                <w:p>
                                  <w:pPr>
                                    <w:pStyle w:val="TableParagraph"/>
                                    <w:rPr>
                                      <w:rFonts w:ascii="Times New Roman"/>
                                      <w:sz w:val="20"/>
                                    </w:rPr>
                                  </w:pPr>
                                </w:p>
                              </w:tc>
                            </w:tr>
                            <w:tr>
                              <w:trPr>
                                <w:trHeight w:val="439" w:hRule="atLeast"/>
                              </w:trPr>
                              <w:tc>
                                <w:tcPr>
                                  <w:tcW w:w="910" w:type="dxa"/>
                                </w:tcPr>
                                <w:p>
                                  <w:pPr>
                                    <w:pStyle w:val="TableParagraph"/>
                                    <w:rPr>
                                      <w:rFonts w:ascii="Times New Roman"/>
                                      <w:sz w:val="20"/>
                                    </w:rPr>
                                  </w:pPr>
                                </w:p>
                              </w:tc>
                              <w:tc>
                                <w:tcPr>
                                  <w:tcW w:w="1121" w:type="dxa"/>
                                </w:tcPr>
                                <w:p>
                                  <w:pPr>
                                    <w:pStyle w:val="TableParagraph"/>
                                    <w:rPr>
                                      <w:rFonts w:ascii="Times New Roman"/>
                                      <w:sz w:val="20"/>
                                    </w:rPr>
                                  </w:pPr>
                                </w:p>
                              </w:tc>
                              <w:tc>
                                <w:tcPr>
                                  <w:tcW w:w="1501" w:type="dxa"/>
                                </w:tcPr>
                                <w:p>
                                  <w:pPr>
                                    <w:pStyle w:val="TableParagraph"/>
                                    <w:spacing w:line="230" w:lineRule="exact"/>
                                    <w:ind w:right="92"/>
                                    <w:jc w:val="right"/>
                                    <w:rPr>
                                      <w:b/>
                                      <w:sz w:val="20"/>
                                    </w:rPr>
                                  </w:pPr>
                                  <w:r>
                                    <w:rPr>
                                      <w:b/>
                                      <w:color w:val="0F0F0F"/>
                                      <w:spacing w:val="-2"/>
                                      <w:sz w:val="20"/>
                                    </w:rPr>
                                    <w:t>(5,126)</w:t>
                                  </w:r>
                                </w:p>
                              </w:tc>
                              <w:tc>
                                <w:tcPr>
                                  <w:tcW w:w="5500" w:type="dxa"/>
                                </w:tcPr>
                                <w:p>
                                  <w:pPr>
                                    <w:pStyle w:val="TableParagraph"/>
                                    <w:spacing w:line="230" w:lineRule="exact"/>
                                    <w:ind w:left="127"/>
                                    <w:rPr>
                                      <w:sz w:val="20"/>
                                    </w:rPr>
                                  </w:pPr>
                                  <w:r>
                                    <w:rPr>
                                      <w:color w:val="0F0F0F"/>
                                      <w:sz w:val="20"/>
                                    </w:rPr>
                                    <w:t>Re-measurements</w:t>
                                  </w:r>
                                  <w:r>
                                    <w:rPr>
                                      <w:color w:val="0F0F0F"/>
                                      <w:spacing w:val="-7"/>
                                      <w:sz w:val="20"/>
                                    </w:rPr>
                                    <w:t> </w:t>
                                  </w:r>
                                  <w:r>
                                    <w:rPr>
                                      <w:color w:val="0F0F0F"/>
                                      <w:sz w:val="20"/>
                                    </w:rPr>
                                    <w:t>of</w:t>
                                  </w:r>
                                  <w:r>
                                    <w:rPr>
                                      <w:color w:val="0F0F0F"/>
                                      <w:spacing w:val="1"/>
                                      <w:sz w:val="20"/>
                                    </w:rPr>
                                    <w:t> </w:t>
                                  </w:r>
                                  <w:r>
                                    <w:rPr>
                                      <w:color w:val="0F0F0F"/>
                                      <w:sz w:val="20"/>
                                    </w:rPr>
                                    <w:t>net</w:t>
                                  </w:r>
                                  <w:r>
                                    <w:rPr>
                                      <w:color w:val="0F0F0F"/>
                                      <w:spacing w:val="-5"/>
                                      <w:sz w:val="20"/>
                                    </w:rPr>
                                    <w:t> </w:t>
                                  </w:r>
                                  <w:r>
                                    <w:rPr>
                                      <w:color w:val="0F0F0F"/>
                                      <w:sz w:val="20"/>
                                    </w:rPr>
                                    <w:t>pension</w:t>
                                  </w:r>
                                  <w:r>
                                    <w:rPr>
                                      <w:color w:val="0F0F0F"/>
                                      <w:spacing w:val="5"/>
                                      <w:sz w:val="20"/>
                                    </w:rPr>
                                    <w:t> </w:t>
                                  </w:r>
                                  <w:r>
                                    <w:rPr>
                                      <w:color w:val="0F0F0F"/>
                                      <w:spacing w:val="-2"/>
                                      <w:sz w:val="20"/>
                                    </w:rPr>
                                    <w:t>liability</w:t>
                                  </w:r>
                                </w:p>
                              </w:tc>
                              <w:tc>
                                <w:tcPr>
                                  <w:tcW w:w="1331" w:type="dxa"/>
                                </w:tcPr>
                                <w:p>
                                  <w:pPr>
                                    <w:pStyle w:val="TableParagraph"/>
                                    <w:rPr>
                                      <w:rFonts w:ascii="Times New Roman"/>
                                      <w:sz w:val="20"/>
                                    </w:rPr>
                                  </w:pPr>
                                </w:p>
                              </w:tc>
                              <w:tc>
                                <w:tcPr>
                                  <w:tcW w:w="980" w:type="dxa"/>
                                </w:tcPr>
                                <w:p>
                                  <w:pPr>
                                    <w:pStyle w:val="TableParagraph"/>
                                    <w:rPr>
                                      <w:rFonts w:ascii="Times New Roman"/>
                                      <w:sz w:val="20"/>
                                    </w:rPr>
                                  </w:pPr>
                                </w:p>
                              </w:tc>
                              <w:tc>
                                <w:tcPr>
                                  <w:tcW w:w="1851" w:type="dxa"/>
                                  <w:tcBorders>
                                    <w:bottom w:val="single" w:color="000000" w:sz="6" w:space="0"/>
                                  </w:tcBorders>
                                </w:tcPr>
                                <w:p>
                                  <w:pPr>
                                    <w:pStyle w:val="TableParagraph"/>
                                    <w:spacing w:line="225" w:lineRule="exact"/>
                                    <w:ind w:right="515"/>
                                    <w:jc w:val="right"/>
                                    <w:rPr>
                                      <w:b/>
                                      <w:sz w:val="20"/>
                                    </w:rPr>
                                  </w:pPr>
                                  <w:r>
                                    <w:rPr>
                                      <w:b/>
                                      <w:color w:val="0F0F0F"/>
                                      <w:spacing w:val="-2"/>
                                      <w:sz w:val="20"/>
                                    </w:rPr>
                                    <w:t>(32,200)</w:t>
                                  </w:r>
                                </w:p>
                              </w:tc>
                              <w:tc>
                                <w:tcPr>
                                  <w:tcW w:w="863" w:type="dxa"/>
                                </w:tcPr>
                                <w:p>
                                  <w:pPr>
                                    <w:pStyle w:val="TableParagraph"/>
                                    <w:rPr>
                                      <w:rFonts w:ascii="Times New Roman"/>
                                      <w:sz w:val="20"/>
                                    </w:rPr>
                                  </w:pPr>
                                </w:p>
                              </w:tc>
                            </w:tr>
                            <w:tr>
                              <w:trPr>
                                <w:trHeight w:val="446" w:hRule="atLeast"/>
                              </w:trPr>
                              <w:tc>
                                <w:tcPr>
                                  <w:tcW w:w="910" w:type="dxa"/>
                                </w:tcPr>
                                <w:p>
                                  <w:pPr>
                                    <w:pStyle w:val="TableParagraph"/>
                                    <w:rPr>
                                      <w:rFonts w:ascii="Times New Roman"/>
                                      <w:sz w:val="20"/>
                                    </w:rPr>
                                  </w:pPr>
                                </w:p>
                              </w:tc>
                              <w:tc>
                                <w:tcPr>
                                  <w:tcW w:w="1121" w:type="dxa"/>
                                </w:tcPr>
                                <w:p>
                                  <w:pPr>
                                    <w:pStyle w:val="TableParagraph"/>
                                    <w:rPr>
                                      <w:rFonts w:ascii="Times New Roman"/>
                                      <w:sz w:val="20"/>
                                    </w:rPr>
                                  </w:pPr>
                                </w:p>
                              </w:tc>
                              <w:tc>
                                <w:tcPr>
                                  <w:tcW w:w="1501" w:type="dxa"/>
                                  <w:tcBorders>
                                    <w:bottom w:val="single" w:color="000000" w:sz="2" w:space="0"/>
                                  </w:tcBorders>
                                </w:tcPr>
                                <w:p>
                                  <w:pPr>
                                    <w:pStyle w:val="TableParagraph"/>
                                    <w:spacing w:before="21"/>
                                    <w:ind w:right="85"/>
                                    <w:jc w:val="right"/>
                                    <w:rPr>
                                      <w:b/>
                                      <w:sz w:val="20"/>
                                    </w:rPr>
                                  </w:pPr>
                                  <w:r>
                                    <w:rPr>
                                      <w:b/>
                                      <w:color w:val="0F0F0F"/>
                                      <w:spacing w:val="-2"/>
                                      <w:sz w:val="20"/>
                                    </w:rPr>
                                    <w:t>(12,577)</w:t>
                                  </w:r>
                                </w:p>
                              </w:tc>
                              <w:tc>
                                <w:tcPr>
                                  <w:tcW w:w="5500" w:type="dxa"/>
                                </w:tcPr>
                                <w:p>
                                  <w:pPr>
                                    <w:pStyle w:val="TableParagraph"/>
                                    <w:spacing w:before="16"/>
                                    <w:ind w:left="134"/>
                                    <w:rPr>
                                      <w:b/>
                                      <w:sz w:val="20"/>
                                    </w:rPr>
                                  </w:pPr>
                                  <w:r>
                                    <w:rPr>
                                      <w:b/>
                                      <w:color w:val="0F0F0F"/>
                                      <w:sz w:val="20"/>
                                    </w:rPr>
                                    <w:t>Other</w:t>
                                  </w:r>
                                  <w:r>
                                    <w:rPr>
                                      <w:b/>
                                      <w:color w:val="0F0F0F"/>
                                      <w:spacing w:val="-7"/>
                                      <w:sz w:val="20"/>
                                    </w:rPr>
                                    <w:t> </w:t>
                                  </w:r>
                                  <w:r>
                                    <w:rPr>
                                      <w:b/>
                                      <w:color w:val="0F0F0F"/>
                                      <w:sz w:val="20"/>
                                    </w:rPr>
                                    <w:t>Comprehensive</w:t>
                                  </w:r>
                                  <w:r>
                                    <w:rPr>
                                      <w:b/>
                                      <w:color w:val="0F0F0F"/>
                                      <w:spacing w:val="4"/>
                                      <w:sz w:val="20"/>
                                    </w:rPr>
                                    <w:t> </w:t>
                                  </w:r>
                                  <w:r>
                                    <w:rPr>
                                      <w:b/>
                                      <w:color w:val="0F0F0F"/>
                                      <w:sz w:val="20"/>
                                    </w:rPr>
                                    <w:t>(Income)</w:t>
                                  </w:r>
                                  <w:r>
                                    <w:rPr>
                                      <w:b/>
                                      <w:color w:val="0F0F0F"/>
                                      <w:spacing w:val="-9"/>
                                      <w:sz w:val="20"/>
                                    </w:rPr>
                                    <w:t> </w:t>
                                  </w:r>
                                  <w:r>
                                    <w:rPr>
                                      <w:b/>
                                      <w:color w:val="0F0F0F"/>
                                      <w:sz w:val="20"/>
                                    </w:rPr>
                                    <w:t>and</w:t>
                                  </w:r>
                                  <w:r>
                                    <w:rPr>
                                      <w:b/>
                                      <w:color w:val="0F0F0F"/>
                                      <w:spacing w:val="-14"/>
                                      <w:sz w:val="20"/>
                                    </w:rPr>
                                    <w:t> </w:t>
                                  </w:r>
                                  <w:r>
                                    <w:rPr>
                                      <w:b/>
                                      <w:color w:val="0F0F0F"/>
                                      <w:spacing w:val="-2"/>
                                      <w:sz w:val="20"/>
                                    </w:rPr>
                                    <w:t>Expenditure</w:t>
                                  </w:r>
                                </w:p>
                              </w:tc>
                              <w:tc>
                                <w:tcPr>
                                  <w:tcW w:w="1331" w:type="dxa"/>
                                </w:tcPr>
                                <w:p>
                                  <w:pPr>
                                    <w:pStyle w:val="TableParagraph"/>
                                    <w:rPr>
                                      <w:rFonts w:ascii="Times New Roman"/>
                                      <w:sz w:val="20"/>
                                    </w:rPr>
                                  </w:pPr>
                                </w:p>
                              </w:tc>
                              <w:tc>
                                <w:tcPr>
                                  <w:tcW w:w="980" w:type="dxa"/>
                                </w:tcPr>
                                <w:p>
                                  <w:pPr>
                                    <w:pStyle w:val="TableParagraph"/>
                                    <w:rPr>
                                      <w:rFonts w:ascii="Times New Roman"/>
                                      <w:sz w:val="20"/>
                                    </w:rPr>
                                  </w:pPr>
                                </w:p>
                              </w:tc>
                              <w:tc>
                                <w:tcPr>
                                  <w:tcW w:w="1851" w:type="dxa"/>
                                  <w:tcBorders>
                                    <w:top w:val="single" w:color="000000" w:sz="6" w:space="0"/>
                                    <w:bottom w:val="single" w:color="000000" w:sz="6" w:space="0"/>
                                  </w:tcBorders>
                                </w:tcPr>
                                <w:p>
                                  <w:pPr>
                                    <w:pStyle w:val="TableParagraph"/>
                                    <w:spacing w:before="11"/>
                                    <w:ind w:right="515"/>
                                    <w:jc w:val="right"/>
                                    <w:rPr>
                                      <w:b/>
                                      <w:sz w:val="20"/>
                                    </w:rPr>
                                  </w:pPr>
                                  <w:r>
                                    <w:rPr>
                                      <w:b/>
                                      <w:color w:val="0F0F0F"/>
                                      <w:spacing w:val="-2"/>
                                      <w:sz w:val="20"/>
                                    </w:rPr>
                                    <w:t>(50,908)</w:t>
                                  </w:r>
                                </w:p>
                              </w:tc>
                              <w:tc>
                                <w:tcPr>
                                  <w:tcW w:w="863" w:type="dxa"/>
                                </w:tcPr>
                                <w:p>
                                  <w:pPr>
                                    <w:pStyle w:val="TableParagraph"/>
                                    <w:rPr>
                                      <w:rFonts w:ascii="Times New Roman"/>
                                      <w:sz w:val="20"/>
                                    </w:rPr>
                                  </w:pPr>
                                </w:p>
                              </w:tc>
                            </w:tr>
                            <w:tr>
                              <w:trPr>
                                <w:trHeight w:val="401" w:hRule="atLeast"/>
                              </w:trPr>
                              <w:tc>
                                <w:tcPr>
                                  <w:tcW w:w="910" w:type="dxa"/>
                                </w:tcPr>
                                <w:p>
                                  <w:pPr>
                                    <w:pStyle w:val="TableParagraph"/>
                                    <w:rPr>
                                      <w:rFonts w:ascii="Times New Roman"/>
                                      <w:sz w:val="20"/>
                                    </w:rPr>
                                  </w:pPr>
                                </w:p>
                              </w:tc>
                              <w:tc>
                                <w:tcPr>
                                  <w:tcW w:w="1121" w:type="dxa"/>
                                </w:tcPr>
                                <w:p>
                                  <w:pPr>
                                    <w:pStyle w:val="TableParagraph"/>
                                    <w:rPr>
                                      <w:rFonts w:ascii="Times New Roman"/>
                                      <w:sz w:val="20"/>
                                    </w:rPr>
                                  </w:pPr>
                                </w:p>
                              </w:tc>
                              <w:tc>
                                <w:tcPr>
                                  <w:tcW w:w="1501" w:type="dxa"/>
                                  <w:tcBorders>
                                    <w:top w:val="single" w:color="000000" w:sz="2" w:space="0"/>
                                  </w:tcBorders>
                                </w:tcPr>
                                <w:p>
                                  <w:pPr>
                                    <w:pStyle w:val="TableParagraph"/>
                                    <w:spacing w:before="35"/>
                                    <w:ind w:right="78"/>
                                    <w:jc w:val="right"/>
                                    <w:rPr>
                                      <w:b/>
                                      <w:sz w:val="20"/>
                                    </w:rPr>
                                  </w:pPr>
                                  <w:r>
                                    <w:rPr>
                                      <w:b/>
                                      <w:color w:val="212121"/>
                                      <w:spacing w:val="-2"/>
                                      <w:sz w:val="20"/>
                                      <w:u w:val="thick" w:color="212121"/>
                                    </w:rPr>
                                    <w:t>(22,446)</w:t>
                                  </w:r>
                                </w:p>
                              </w:tc>
                              <w:tc>
                                <w:tcPr>
                                  <w:tcW w:w="5500" w:type="dxa"/>
                                </w:tcPr>
                                <w:p>
                                  <w:pPr>
                                    <w:pStyle w:val="TableParagraph"/>
                                    <w:spacing w:before="21"/>
                                    <w:ind w:left="138"/>
                                    <w:rPr>
                                      <w:b/>
                                      <w:sz w:val="20"/>
                                    </w:rPr>
                                  </w:pPr>
                                  <w:r>
                                    <w:rPr>
                                      <w:b/>
                                      <w:color w:val="0F0F0F"/>
                                      <w:sz w:val="20"/>
                                    </w:rPr>
                                    <w:t>Total</w:t>
                                  </w:r>
                                  <w:r>
                                    <w:rPr>
                                      <w:b/>
                                      <w:color w:val="0F0F0F"/>
                                      <w:spacing w:val="-9"/>
                                      <w:sz w:val="20"/>
                                    </w:rPr>
                                    <w:t> </w:t>
                                  </w:r>
                                  <w:r>
                                    <w:rPr>
                                      <w:b/>
                                      <w:color w:val="0F0F0F"/>
                                      <w:sz w:val="20"/>
                                    </w:rPr>
                                    <w:t>Comprehensive</w:t>
                                  </w:r>
                                  <w:r>
                                    <w:rPr>
                                      <w:b/>
                                      <w:color w:val="0F0F0F"/>
                                      <w:spacing w:val="3"/>
                                      <w:sz w:val="20"/>
                                    </w:rPr>
                                    <w:t> </w:t>
                                  </w:r>
                                  <w:r>
                                    <w:rPr>
                                      <w:b/>
                                      <w:color w:val="0F0F0F"/>
                                      <w:sz w:val="20"/>
                                    </w:rPr>
                                    <w:t>(Income)</w:t>
                                  </w:r>
                                  <w:r>
                                    <w:rPr>
                                      <w:b/>
                                      <w:color w:val="0F0F0F"/>
                                      <w:spacing w:val="-7"/>
                                      <w:sz w:val="20"/>
                                    </w:rPr>
                                    <w:t> </w:t>
                                  </w:r>
                                  <w:r>
                                    <w:rPr>
                                      <w:b/>
                                      <w:color w:val="0F0F0F"/>
                                      <w:sz w:val="20"/>
                                    </w:rPr>
                                    <w:t>and</w:t>
                                  </w:r>
                                  <w:r>
                                    <w:rPr>
                                      <w:b/>
                                      <w:color w:val="0F0F0F"/>
                                      <w:spacing w:val="-13"/>
                                      <w:sz w:val="20"/>
                                    </w:rPr>
                                    <w:t> </w:t>
                                  </w:r>
                                  <w:r>
                                    <w:rPr>
                                      <w:b/>
                                      <w:color w:val="0F0F0F"/>
                                      <w:spacing w:val="-2"/>
                                      <w:sz w:val="20"/>
                                    </w:rPr>
                                    <w:t>Expenditure</w:t>
                                  </w:r>
                                </w:p>
                              </w:tc>
                              <w:tc>
                                <w:tcPr>
                                  <w:tcW w:w="1331" w:type="dxa"/>
                                </w:tcPr>
                                <w:p>
                                  <w:pPr>
                                    <w:pStyle w:val="TableParagraph"/>
                                    <w:rPr>
                                      <w:rFonts w:ascii="Times New Roman"/>
                                      <w:sz w:val="20"/>
                                    </w:rPr>
                                  </w:pPr>
                                </w:p>
                              </w:tc>
                              <w:tc>
                                <w:tcPr>
                                  <w:tcW w:w="980" w:type="dxa"/>
                                </w:tcPr>
                                <w:p>
                                  <w:pPr>
                                    <w:pStyle w:val="TableParagraph"/>
                                    <w:rPr>
                                      <w:rFonts w:ascii="Times New Roman"/>
                                      <w:sz w:val="20"/>
                                    </w:rPr>
                                  </w:pPr>
                                </w:p>
                              </w:tc>
                              <w:tc>
                                <w:tcPr>
                                  <w:tcW w:w="1851" w:type="dxa"/>
                                  <w:tcBorders>
                                    <w:top w:val="single" w:color="000000" w:sz="6" w:space="0"/>
                                  </w:tcBorders>
                                </w:tcPr>
                                <w:p>
                                  <w:pPr>
                                    <w:pStyle w:val="TableParagraph"/>
                                    <w:spacing w:before="26"/>
                                    <w:ind w:right="506"/>
                                    <w:jc w:val="right"/>
                                    <w:rPr>
                                      <w:b/>
                                      <w:sz w:val="20"/>
                                    </w:rPr>
                                  </w:pPr>
                                  <w:r>
                                    <w:rPr>
                                      <w:b/>
                                      <w:color w:val="0F0F0F"/>
                                      <w:spacing w:val="-2"/>
                                      <w:sz w:val="20"/>
                                      <w:u w:val="thick" w:color="0F0F0F"/>
                                    </w:rPr>
                                    <w:t>(51,913)</w:t>
                                  </w:r>
                                </w:p>
                              </w:tc>
                              <w:tc>
                                <w:tcPr>
                                  <w:tcW w:w="863" w:type="dxa"/>
                                </w:tcPr>
                                <w:p>
                                  <w:pPr>
                                    <w:pStyle w:val="TableParagraph"/>
                                    <w:rPr>
                                      <w:rFonts w:ascii="Times New Roman"/>
                                      <w:sz w:val="20"/>
                                    </w:rPr>
                                  </w:pPr>
                                </w:p>
                              </w:tc>
                            </w:tr>
                            <w:tr>
                              <w:trPr>
                                <w:trHeight w:val="359" w:hRule="atLeast"/>
                              </w:trPr>
                              <w:tc>
                                <w:tcPr>
                                  <w:tcW w:w="910" w:type="dxa"/>
                                </w:tcPr>
                                <w:p>
                                  <w:pPr>
                                    <w:pStyle w:val="TableParagraph"/>
                                    <w:rPr>
                                      <w:rFonts w:ascii="Times New Roman"/>
                                      <w:sz w:val="20"/>
                                    </w:rPr>
                                  </w:pPr>
                                </w:p>
                              </w:tc>
                              <w:tc>
                                <w:tcPr>
                                  <w:tcW w:w="1121" w:type="dxa"/>
                                </w:tcPr>
                                <w:p>
                                  <w:pPr>
                                    <w:pStyle w:val="TableParagraph"/>
                                    <w:rPr>
                                      <w:rFonts w:ascii="Times New Roman"/>
                                      <w:sz w:val="20"/>
                                    </w:rPr>
                                  </w:pPr>
                                </w:p>
                              </w:tc>
                              <w:tc>
                                <w:tcPr>
                                  <w:tcW w:w="1501" w:type="dxa"/>
                                </w:tcPr>
                                <w:p>
                                  <w:pPr>
                                    <w:pStyle w:val="TableParagraph"/>
                                    <w:rPr>
                                      <w:rFonts w:ascii="Times New Roman"/>
                                      <w:sz w:val="20"/>
                                    </w:rPr>
                                  </w:pPr>
                                </w:p>
                              </w:tc>
                              <w:tc>
                                <w:tcPr>
                                  <w:tcW w:w="5500" w:type="dxa"/>
                                </w:tcPr>
                                <w:p>
                                  <w:pPr>
                                    <w:pStyle w:val="TableParagraph"/>
                                    <w:rPr>
                                      <w:rFonts w:ascii="Times New Roman"/>
                                      <w:sz w:val="20"/>
                                    </w:rPr>
                                  </w:pPr>
                                </w:p>
                              </w:tc>
                              <w:tc>
                                <w:tcPr>
                                  <w:tcW w:w="1331" w:type="dxa"/>
                                </w:tcPr>
                                <w:p>
                                  <w:pPr>
                                    <w:pStyle w:val="TableParagraph"/>
                                    <w:rPr>
                                      <w:rFonts w:ascii="Times New Roman"/>
                                      <w:sz w:val="20"/>
                                    </w:rPr>
                                  </w:pPr>
                                </w:p>
                              </w:tc>
                              <w:tc>
                                <w:tcPr>
                                  <w:tcW w:w="980" w:type="dxa"/>
                                </w:tcPr>
                                <w:p>
                                  <w:pPr>
                                    <w:pStyle w:val="TableParagraph"/>
                                    <w:rPr>
                                      <w:rFonts w:ascii="Times New Roman"/>
                                      <w:sz w:val="20"/>
                                    </w:rPr>
                                  </w:pPr>
                                </w:p>
                              </w:tc>
                              <w:tc>
                                <w:tcPr>
                                  <w:tcW w:w="1851" w:type="dxa"/>
                                </w:tcPr>
                                <w:p>
                                  <w:pPr>
                                    <w:pStyle w:val="TableParagraph"/>
                                    <w:rPr>
                                      <w:rFonts w:ascii="Times New Roman"/>
                                      <w:sz w:val="20"/>
                                    </w:rPr>
                                  </w:pPr>
                                </w:p>
                              </w:tc>
                              <w:tc>
                                <w:tcPr>
                                  <w:tcW w:w="863" w:type="dxa"/>
                                </w:tcPr>
                                <w:p>
                                  <w:pPr>
                                    <w:pStyle w:val="TableParagraph"/>
                                    <w:spacing w:before="129" w:line="210" w:lineRule="exact"/>
                                    <w:ind w:left="468"/>
                                    <w:rPr>
                                      <w:sz w:val="20"/>
                                    </w:rPr>
                                  </w:pPr>
                                  <w:r>
                                    <w:rPr>
                                      <w:color w:val="0F0F0F"/>
                                      <w:spacing w:val="-5"/>
                                      <w:w w:val="105"/>
                                      <w:sz w:val="20"/>
                                    </w:rPr>
                                    <w:t>120</w:t>
                                  </w:r>
                                </w:p>
                              </w:tc>
                            </w:tr>
                          </w:tbl>
                          <w:p>
                            <w:pPr>
                              <w:pStyle w:val="BodyText"/>
                            </w:pPr>
                          </w:p>
                        </w:txbxContent>
                      </wps:txbx>
                      <wps:bodyPr wrap="square" lIns="0" tIns="0" rIns="0" bIns="0" rtlCol="0">
                        <a:noAutofit/>
                      </wps:bodyPr>
                    </wps:wsp>
                  </a:graphicData>
                </a:graphic>
              </wp:anchor>
            </w:drawing>
          </ve:Choice>
          <ve:Fallback>
            <w:pict>
              <v:shape id="docshape423" style="position:absolute;margin-left:100.613503pt;margin-top:13.523819pt;width:708.85pt;height:199.85pt;mso-position-horizontal-relative:page;mso-position-vertical-relative:paragraph;z-index:15874560"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910"/>
                        <w:gridCol w:w="1121"/>
                        <w:gridCol w:w="1501"/>
                        <w:gridCol w:w="5500"/>
                        <w:gridCol w:w="1331"/>
                        <w:gridCol w:w="980"/>
                        <w:gridCol w:w="1851"/>
                        <w:gridCol w:w="863"/>
                      </w:tblGrid>
                      <w:tr>
                        <w:trPr>
                          <w:trHeight w:val="349" w:hRule="atLeast"/>
                        </w:trPr>
                        <w:tc>
                          <w:tcPr>
                            <w:tcW w:w="910" w:type="dxa"/>
                          </w:tcPr>
                          <w:p>
                            <w:pPr>
                              <w:pStyle w:val="TableParagraph"/>
                              <w:spacing w:line="224" w:lineRule="exact"/>
                              <w:ind w:right="251"/>
                              <w:jc w:val="right"/>
                              <w:rPr>
                                <w:b/>
                                <w:sz w:val="20"/>
                              </w:rPr>
                            </w:pPr>
                            <w:r>
                              <w:rPr>
                                <w:b/>
                                <w:color w:val="0F0F0F"/>
                                <w:spacing w:val="-2"/>
                                <w:sz w:val="20"/>
                              </w:rPr>
                              <w:t>61,513</w:t>
                            </w:r>
                          </w:p>
                        </w:tc>
                        <w:tc>
                          <w:tcPr>
                            <w:tcW w:w="1121" w:type="dxa"/>
                          </w:tcPr>
                          <w:p>
                            <w:pPr>
                              <w:pStyle w:val="TableParagraph"/>
                              <w:spacing w:line="229" w:lineRule="exact"/>
                              <w:ind w:left="234"/>
                              <w:rPr>
                                <w:b/>
                                <w:sz w:val="20"/>
                              </w:rPr>
                            </w:pPr>
                            <w:r>
                              <w:rPr>
                                <w:b/>
                                <w:color w:val="0F0F0F"/>
                                <w:spacing w:val="-2"/>
                                <w:sz w:val="20"/>
                              </w:rPr>
                              <w:t>(45,387)</w:t>
                            </w:r>
                          </w:p>
                        </w:tc>
                        <w:tc>
                          <w:tcPr>
                            <w:tcW w:w="1501" w:type="dxa"/>
                          </w:tcPr>
                          <w:p>
                            <w:pPr>
                              <w:pStyle w:val="TableParagraph"/>
                              <w:spacing w:line="224" w:lineRule="exact"/>
                              <w:ind w:right="113"/>
                              <w:jc w:val="right"/>
                              <w:rPr>
                                <w:b/>
                                <w:sz w:val="20"/>
                              </w:rPr>
                            </w:pPr>
                            <w:r>
                              <w:rPr>
                                <w:b/>
                                <w:color w:val="0F0F0F"/>
                                <w:spacing w:val="-2"/>
                                <w:sz w:val="20"/>
                              </w:rPr>
                              <w:t>16,126</w:t>
                            </w:r>
                          </w:p>
                        </w:tc>
                        <w:tc>
                          <w:tcPr>
                            <w:tcW w:w="5500" w:type="dxa"/>
                          </w:tcPr>
                          <w:p>
                            <w:pPr>
                              <w:pStyle w:val="TableParagraph"/>
                              <w:spacing w:line="229" w:lineRule="exact"/>
                              <w:ind w:left="104"/>
                              <w:rPr>
                                <w:b/>
                                <w:sz w:val="20"/>
                              </w:rPr>
                            </w:pPr>
                            <w:r>
                              <w:rPr>
                                <w:b/>
                                <w:color w:val="0F0F0F"/>
                                <w:sz w:val="20"/>
                              </w:rPr>
                              <w:t>Net</w:t>
                            </w:r>
                            <w:r>
                              <w:rPr>
                                <w:b/>
                                <w:color w:val="0F0F0F"/>
                                <w:spacing w:val="-2"/>
                                <w:sz w:val="20"/>
                              </w:rPr>
                              <w:t> </w:t>
                            </w:r>
                            <w:r>
                              <w:rPr>
                                <w:b/>
                                <w:color w:val="0F0F0F"/>
                                <w:sz w:val="20"/>
                              </w:rPr>
                              <w:t>Cost</w:t>
                            </w:r>
                            <w:r>
                              <w:rPr>
                                <w:b/>
                                <w:color w:val="0F0F0F"/>
                                <w:spacing w:val="-1"/>
                                <w:sz w:val="20"/>
                              </w:rPr>
                              <w:t> </w:t>
                            </w:r>
                            <w:r>
                              <w:rPr>
                                <w:b/>
                                <w:color w:val="0F0F0F"/>
                                <w:sz w:val="20"/>
                              </w:rPr>
                              <w:t>of</w:t>
                            </w:r>
                            <w:r>
                              <w:rPr>
                                <w:b/>
                                <w:color w:val="0F0F0F"/>
                                <w:spacing w:val="10"/>
                                <w:sz w:val="20"/>
                              </w:rPr>
                              <w:t> </w:t>
                            </w:r>
                            <w:r>
                              <w:rPr>
                                <w:b/>
                                <w:color w:val="0F0F0F"/>
                                <w:spacing w:val="-2"/>
                                <w:sz w:val="20"/>
                              </w:rPr>
                              <w:t>Services</w:t>
                            </w:r>
                          </w:p>
                        </w:tc>
                        <w:tc>
                          <w:tcPr>
                            <w:tcW w:w="1331" w:type="dxa"/>
                          </w:tcPr>
                          <w:p>
                            <w:pPr>
                              <w:pStyle w:val="TableParagraph"/>
                              <w:spacing w:before="3"/>
                              <w:ind w:right="136"/>
                              <w:jc w:val="right"/>
                              <w:rPr>
                                <w:b/>
                                <w:sz w:val="20"/>
                              </w:rPr>
                            </w:pPr>
                            <w:r>
                              <w:rPr>
                                <w:b/>
                                <w:color w:val="0F0F0F"/>
                                <w:spacing w:val="-2"/>
                                <w:sz w:val="20"/>
                              </w:rPr>
                              <w:t>68,909</w:t>
                            </w:r>
                          </w:p>
                        </w:tc>
                        <w:tc>
                          <w:tcPr>
                            <w:tcW w:w="980" w:type="dxa"/>
                          </w:tcPr>
                          <w:p>
                            <w:pPr>
                              <w:pStyle w:val="TableParagraph"/>
                              <w:spacing w:before="3"/>
                              <w:ind w:right="114"/>
                              <w:jc w:val="right"/>
                              <w:rPr>
                                <w:b/>
                                <w:sz w:val="20"/>
                              </w:rPr>
                            </w:pPr>
                            <w:r>
                              <w:rPr>
                                <w:b/>
                                <w:color w:val="0F0F0F"/>
                                <w:spacing w:val="-2"/>
                                <w:sz w:val="20"/>
                              </w:rPr>
                              <w:t>(45,397)</w:t>
                            </w:r>
                          </w:p>
                        </w:tc>
                        <w:tc>
                          <w:tcPr>
                            <w:tcW w:w="1851" w:type="dxa"/>
                          </w:tcPr>
                          <w:p>
                            <w:pPr>
                              <w:pStyle w:val="TableParagraph"/>
                              <w:spacing w:before="3"/>
                              <w:ind w:right="531"/>
                              <w:jc w:val="right"/>
                              <w:rPr>
                                <w:b/>
                                <w:sz w:val="20"/>
                              </w:rPr>
                            </w:pPr>
                            <w:r>
                              <w:rPr>
                                <w:b/>
                                <w:color w:val="0F0F0F"/>
                                <w:spacing w:val="-2"/>
                                <w:sz w:val="20"/>
                              </w:rPr>
                              <w:t>23,512</w:t>
                            </w:r>
                          </w:p>
                        </w:tc>
                        <w:tc>
                          <w:tcPr>
                            <w:tcW w:w="863" w:type="dxa"/>
                          </w:tcPr>
                          <w:p>
                            <w:pPr>
                              <w:pStyle w:val="TableParagraph"/>
                              <w:rPr>
                                <w:rFonts w:ascii="Times New Roman"/>
                                <w:sz w:val="20"/>
                              </w:rPr>
                            </w:pPr>
                          </w:p>
                        </w:tc>
                      </w:tr>
                      <w:tr>
                        <w:trPr>
                          <w:trHeight w:val="346" w:hRule="atLeast"/>
                        </w:trPr>
                        <w:tc>
                          <w:tcPr>
                            <w:tcW w:w="910" w:type="dxa"/>
                          </w:tcPr>
                          <w:p>
                            <w:pPr>
                              <w:pStyle w:val="TableParagraph"/>
                              <w:spacing w:before="110" w:line="216" w:lineRule="exact"/>
                              <w:ind w:right="245"/>
                              <w:jc w:val="right"/>
                              <w:rPr>
                                <w:sz w:val="20"/>
                              </w:rPr>
                            </w:pPr>
                            <w:r>
                              <w:rPr>
                                <w:color w:val="0F0F0F"/>
                                <w:spacing w:val="-2"/>
                                <w:sz w:val="20"/>
                              </w:rPr>
                              <w:t>1,225</w:t>
                            </w:r>
                          </w:p>
                        </w:tc>
                        <w:tc>
                          <w:tcPr>
                            <w:tcW w:w="1121" w:type="dxa"/>
                          </w:tcPr>
                          <w:p>
                            <w:pPr>
                              <w:pStyle w:val="TableParagraph"/>
                              <w:spacing w:before="110" w:line="216" w:lineRule="exact"/>
                              <w:ind w:right="137"/>
                              <w:jc w:val="right"/>
                              <w:rPr>
                                <w:sz w:val="20"/>
                              </w:rPr>
                            </w:pPr>
                            <w:r>
                              <w:rPr>
                                <w:color w:val="212121"/>
                                <w:spacing w:val="-4"/>
                                <w:sz w:val="20"/>
                              </w:rPr>
                              <w:t>(13)</w:t>
                            </w:r>
                          </w:p>
                        </w:tc>
                        <w:tc>
                          <w:tcPr>
                            <w:tcW w:w="1501" w:type="dxa"/>
                          </w:tcPr>
                          <w:p>
                            <w:pPr>
                              <w:pStyle w:val="TableParagraph"/>
                              <w:spacing w:before="110" w:line="216" w:lineRule="exact"/>
                              <w:ind w:right="105"/>
                              <w:jc w:val="right"/>
                              <w:rPr>
                                <w:b/>
                                <w:sz w:val="20"/>
                              </w:rPr>
                            </w:pPr>
                            <w:r>
                              <w:rPr>
                                <w:b/>
                                <w:color w:val="0F0F0F"/>
                                <w:spacing w:val="-2"/>
                                <w:sz w:val="20"/>
                              </w:rPr>
                              <w:t>1,212</w:t>
                            </w:r>
                          </w:p>
                        </w:tc>
                        <w:tc>
                          <w:tcPr>
                            <w:tcW w:w="5500" w:type="dxa"/>
                          </w:tcPr>
                          <w:p>
                            <w:pPr>
                              <w:pStyle w:val="TableParagraph"/>
                              <w:spacing w:before="115" w:line="211" w:lineRule="exact"/>
                              <w:ind w:left="114"/>
                              <w:rPr>
                                <w:sz w:val="20"/>
                              </w:rPr>
                            </w:pPr>
                            <w:r>
                              <w:rPr>
                                <w:color w:val="212121"/>
                                <w:sz w:val="20"/>
                              </w:rPr>
                              <w:t>Other</w:t>
                            </w:r>
                            <w:r>
                              <w:rPr>
                                <w:color w:val="212121"/>
                                <w:spacing w:val="-3"/>
                                <w:sz w:val="20"/>
                              </w:rPr>
                              <w:t> </w:t>
                            </w:r>
                            <w:r>
                              <w:rPr>
                                <w:color w:val="212121"/>
                                <w:sz w:val="20"/>
                              </w:rPr>
                              <w:t>Operating</w:t>
                            </w:r>
                            <w:r>
                              <w:rPr>
                                <w:color w:val="212121"/>
                                <w:spacing w:val="-3"/>
                                <w:sz w:val="20"/>
                              </w:rPr>
                              <w:t> </w:t>
                            </w:r>
                            <w:r>
                              <w:rPr>
                                <w:color w:val="212121"/>
                                <w:spacing w:val="-2"/>
                                <w:sz w:val="20"/>
                              </w:rPr>
                              <w:t>Expenditure</w:t>
                            </w:r>
                          </w:p>
                        </w:tc>
                        <w:tc>
                          <w:tcPr>
                            <w:tcW w:w="1331" w:type="dxa"/>
                          </w:tcPr>
                          <w:p>
                            <w:pPr>
                              <w:pStyle w:val="TableParagraph"/>
                              <w:spacing w:before="115" w:line="211" w:lineRule="exact"/>
                              <w:ind w:right="136"/>
                              <w:jc w:val="right"/>
                              <w:rPr>
                                <w:sz w:val="20"/>
                              </w:rPr>
                            </w:pPr>
                            <w:r>
                              <w:rPr>
                                <w:color w:val="0F0F0F"/>
                                <w:spacing w:val="-2"/>
                                <w:sz w:val="20"/>
                              </w:rPr>
                              <w:t>1,914</w:t>
                            </w:r>
                          </w:p>
                        </w:tc>
                        <w:tc>
                          <w:tcPr>
                            <w:tcW w:w="980" w:type="dxa"/>
                          </w:tcPr>
                          <w:p>
                            <w:pPr>
                              <w:pStyle w:val="TableParagraph"/>
                              <w:spacing w:before="115" w:line="211" w:lineRule="exact"/>
                              <w:ind w:right="115"/>
                              <w:jc w:val="right"/>
                              <w:rPr>
                                <w:sz w:val="20"/>
                              </w:rPr>
                            </w:pPr>
                            <w:r>
                              <w:rPr>
                                <w:color w:val="0F0F0F"/>
                                <w:spacing w:val="-2"/>
                                <w:sz w:val="20"/>
                              </w:rPr>
                              <w:t>(759)</w:t>
                            </w:r>
                          </w:p>
                        </w:tc>
                        <w:tc>
                          <w:tcPr>
                            <w:tcW w:w="1851" w:type="dxa"/>
                          </w:tcPr>
                          <w:p>
                            <w:pPr>
                              <w:pStyle w:val="TableParagraph"/>
                              <w:spacing w:before="115" w:line="211" w:lineRule="exact"/>
                              <w:ind w:right="537"/>
                              <w:jc w:val="right"/>
                              <w:rPr>
                                <w:b/>
                                <w:sz w:val="20"/>
                              </w:rPr>
                            </w:pPr>
                            <w:r>
                              <w:rPr>
                                <w:b/>
                                <w:color w:val="0F0F0F"/>
                                <w:spacing w:val="-2"/>
                                <w:sz w:val="20"/>
                              </w:rPr>
                              <w:t>1,155</w:t>
                            </w:r>
                          </w:p>
                        </w:tc>
                        <w:tc>
                          <w:tcPr>
                            <w:tcW w:w="863" w:type="dxa"/>
                          </w:tcPr>
                          <w:p>
                            <w:pPr>
                              <w:pStyle w:val="TableParagraph"/>
                              <w:rPr>
                                <w:rFonts w:ascii="Times New Roman"/>
                                <w:sz w:val="20"/>
                              </w:rPr>
                            </w:pPr>
                          </w:p>
                        </w:tc>
                      </w:tr>
                      <w:tr>
                        <w:trPr>
                          <w:trHeight w:val="230" w:hRule="atLeast"/>
                        </w:trPr>
                        <w:tc>
                          <w:tcPr>
                            <w:tcW w:w="910" w:type="dxa"/>
                          </w:tcPr>
                          <w:p>
                            <w:pPr>
                              <w:pStyle w:val="TableParagraph"/>
                              <w:spacing w:line="211" w:lineRule="exact"/>
                              <w:ind w:right="245"/>
                              <w:jc w:val="right"/>
                              <w:rPr>
                                <w:sz w:val="20"/>
                              </w:rPr>
                            </w:pPr>
                            <w:r>
                              <w:rPr>
                                <w:color w:val="0F0F0F"/>
                                <w:spacing w:val="-2"/>
                                <w:sz w:val="20"/>
                              </w:rPr>
                              <w:t>1,680</w:t>
                            </w:r>
                          </w:p>
                        </w:tc>
                        <w:tc>
                          <w:tcPr>
                            <w:tcW w:w="1121" w:type="dxa"/>
                          </w:tcPr>
                          <w:p>
                            <w:pPr>
                              <w:pStyle w:val="TableParagraph"/>
                              <w:spacing w:line="211" w:lineRule="exact"/>
                              <w:ind w:left="353"/>
                              <w:rPr>
                                <w:sz w:val="20"/>
                              </w:rPr>
                            </w:pPr>
                            <w:r>
                              <w:rPr>
                                <w:color w:val="0F0F0F"/>
                                <w:spacing w:val="-2"/>
                                <w:sz w:val="20"/>
                              </w:rPr>
                              <w:t>(2,896)</w:t>
                            </w:r>
                          </w:p>
                        </w:tc>
                        <w:tc>
                          <w:tcPr>
                            <w:tcW w:w="1501" w:type="dxa"/>
                          </w:tcPr>
                          <w:p>
                            <w:pPr>
                              <w:pStyle w:val="TableParagraph"/>
                              <w:spacing w:line="211" w:lineRule="exact"/>
                              <w:ind w:right="105"/>
                              <w:jc w:val="right"/>
                              <w:rPr>
                                <w:b/>
                                <w:sz w:val="20"/>
                              </w:rPr>
                            </w:pPr>
                            <w:r>
                              <w:rPr>
                                <w:b/>
                                <w:color w:val="0F0F0F"/>
                                <w:spacing w:val="-2"/>
                                <w:sz w:val="20"/>
                              </w:rPr>
                              <w:t>(1,216)</w:t>
                            </w:r>
                          </w:p>
                        </w:tc>
                        <w:tc>
                          <w:tcPr>
                            <w:tcW w:w="5500" w:type="dxa"/>
                          </w:tcPr>
                          <w:p>
                            <w:pPr>
                              <w:pStyle w:val="TableParagraph"/>
                              <w:spacing w:line="211" w:lineRule="exact"/>
                              <w:ind w:left="117"/>
                              <w:rPr>
                                <w:sz w:val="20"/>
                              </w:rPr>
                            </w:pPr>
                            <w:r>
                              <w:rPr>
                                <w:color w:val="212121"/>
                                <w:sz w:val="20"/>
                              </w:rPr>
                              <w:t>Financing</w:t>
                            </w:r>
                            <w:r>
                              <w:rPr>
                                <w:color w:val="212121"/>
                                <w:spacing w:val="-3"/>
                                <w:sz w:val="20"/>
                              </w:rPr>
                              <w:t> </w:t>
                            </w:r>
                            <w:r>
                              <w:rPr>
                                <w:color w:val="212121"/>
                                <w:sz w:val="20"/>
                              </w:rPr>
                              <w:t>and</w:t>
                            </w:r>
                            <w:r>
                              <w:rPr>
                                <w:color w:val="212121"/>
                                <w:spacing w:val="-14"/>
                                <w:sz w:val="20"/>
                              </w:rPr>
                              <w:t> </w:t>
                            </w:r>
                            <w:r>
                              <w:rPr>
                                <w:color w:val="212121"/>
                                <w:sz w:val="20"/>
                              </w:rPr>
                              <w:t>Investment</w:t>
                            </w:r>
                            <w:r>
                              <w:rPr>
                                <w:color w:val="212121"/>
                                <w:spacing w:val="-1"/>
                                <w:sz w:val="20"/>
                              </w:rPr>
                              <w:t> </w:t>
                            </w:r>
                            <w:r>
                              <w:rPr>
                                <w:color w:val="212121"/>
                                <w:sz w:val="20"/>
                              </w:rPr>
                              <w:t>Income</w:t>
                            </w:r>
                            <w:r>
                              <w:rPr>
                                <w:color w:val="212121"/>
                                <w:spacing w:val="5"/>
                                <w:sz w:val="20"/>
                              </w:rPr>
                              <w:t> </w:t>
                            </w:r>
                            <w:r>
                              <w:rPr>
                                <w:color w:val="212121"/>
                                <w:sz w:val="20"/>
                              </w:rPr>
                              <w:t>and</w:t>
                            </w:r>
                            <w:r>
                              <w:rPr>
                                <w:color w:val="212121"/>
                                <w:spacing w:val="-9"/>
                                <w:sz w:val="20"/>
                              </w:rPr>
                              <w:t> </w:t>
                            </w:r>
                            <w:r>
                              <w:rPr>
                                <w:color w:val="212121"/>
                                <w:spacing w:val="-2"/>
                                <w:sz w:val="20"/>
                              </w:rPr>
                              <w:t>Expenditure</w:t>
                            </w:r>
                          </w:p>
                        </w:tc>
                        <w:tc>
                          <w:tcPr>
                            <w:tcW w:w="1331" w:type="dxa"/>
                          </w:tcPr>
                          <w:p>
                            <w:pPr>
                              <w:pStyle w:val="TableParagraph"/>
                              <w:spacing w:line="211" w:lineRule="exact"/>
                              <w:ind w:right="131"/>
                              <w:jc w:val="right"/>
                              <w:rPr>
                                <w:sz w:val="20"/>
                              </w:rPr>
                            </w:pPr>
                            <w:r>
                              <w:rPr>
                                <w:color w:val="0F0F0F"/>
                                <w:spacing w:val="-2"/>
                                <w:sz w:val="20"/>
                              </w:rPr>
                              <w:t>4,974</w:t>
                            </w:r>
                          </w:p>
                        </w:tc>
                        <w:tc>
                          <w:tcPr>
                            <w:tcW w:w="980" w:type="dxa"/>
                          </w:tcPr>
                          <w:p>
                            <w:pPr>
                              <w:pStyle w:val="TableParagraph"/>
                              <w:spacing w:line="211" w:lineRule="exact"/>
                              <w:ind w:right="113"/>
                              <w:jc w:val="right"/>
                              <w:rPr>
                                <w:sz w:val="20"/>
                              </w:rPr>
                            </w:pPr>
                            <w:r>
                              <w:rPr>
                                <w:color w:val="0F0F0F"/>
                                <w:spacing w:val="-2"/>
                                <w:sz w:val="20"/>
                              </w:rPr>
                              <w:t>(6,635)</w:t>
                            </w:r>
                          </w:p>
                        </w:tc>
                        <w:tc>
                          <w:tcPr>
                            <w:tcW w:w="1851" w:type="dxa"/>
                          </w:tcPr>
                          <w:p>
                            <w:pPr>
                              <w:pStyle w:val="TableParagraph"/>
                              <w:spacing w:line="211" w:lineRule="exact"/>
                              <w:ind w:right="529"/>
                              <w:jc w:val="right"/>
                              <w:rPr>
                                <w:b/>
                                <w:sz w:val="20"/>
                              </w:rPr>
                            </w:pPr>
                            <w:r>
                              <w:rPr>
                                <w:b/>
                                <w:color w:val="0F0F0F"/>
                                <w:spacing w:val="-2"/>
                                <w:sz w:val="20"/>
                              </w:rPr>
                              <w:t>(1,661)</w:t>
                            </w:r>
                          </w:p>
                        </w:tc>
                        <w:tc>
                          <w:tcPr>
                            <w:tcW w:w="863" w:type="dxa"/>
                          </w:tcPr>
                          <w:p>
                            <w:pPr>
                              <w:pStyle w:val="TableParagraph"/>
                              <w:rPr>
                                <w:rFonts w:ascii="Times New Roman"/>
                                <w:sz w:val="16"/>
                              </w:rPr>
                            </w:pPr>
                          </w:p>
                        </w:tc>
                      </w:tr>
                      <w:tr>
                        <w:trPr>
                          <w:trHeight w:val="231" w:hRule="atLeast"/>
                        </w:trPr>
                        <w:tc>
                          <w:tcPr>
                            <w:tcW w:w="910" w:type="dxa"/>
                          </w:tcPr>
                          <w:p>
                            <w:pPr>
                              <w:pStyle w:val="TableParagraph"/>
                              <w:spacing w:line="211" w:lineRule="exact"/>
                              <w:ind w:right="239"/>
                              <w:jc w:val="right"/>
                              <w:rPr>
                                <w:sz w:val="20"/>
                              </w:rPr>
                            </w:pPr>
                            <w:r>
                              <w:rPr>
                                <w:color w:val="0F0F0F"/>
                                <w:spacing w:val="-2"/>
                                <w:sz w:val="20"/>
                              </w:rPr>
                              <w:t>21,004</w:t>
                            </w:r>
                          </w:p>
                        </w:tc>
                        <w:tc>
                          <w:tcPr>
                            <w:tcW w:w="1121" w:type="dxa"/>
                          </w:tcPr>
                          <w:p>
                            <w:pPr>
                              <w:pStyle w:val="TableParagraph"/>
                              <w:spacing w:line="211" w:lineRule="exact"/>
                              <w:ind w:left="247"/>
                              <w:rPr>
                                <w:sz w:val="20"/>
                              </w:rPr>
                            </w:pPr>
                            <w:r>
                              <w:rPr>
                                <w:color w:val="0F0F0F"/>
                                <w:spacing w:val="-2"/>
                                <w:sz w:val="20"/>
                              </w:rPr>
                              <w:t>(47,028)</w:t>
                            </w:r>
                          </w:p>
                        </w:tc>
                        <w:tc>
                          <w:tcPr>
                            <w:tcW w:w="1501" w:type="dxa"/>
                          </w:tcPr>
                          <w:p>
                            <w:pPr>
                              <w:pStyle w:val="TableParagraph"/>
                              <w:spacing w:line="211" w:lineRule="exact"/>
                              <w:ind w:right="107"/>
                              <w:jc w:val="right"/>
                              <w:rPr>
                                <w:b/>
                                <w:sz w:val="20"/>
                              </w:rPr>
                            </w:pPr>
                            <w:r>
                              <w:rPr>
                                <w:b/>
                                <w:color w:val="0F0F0F"/>
                                <w:spacing w:val="-2"/>
                                <w:sz w:val="20"/>
                              </w:rPr>
                              <w:t>(26,024)</w:t>
                            </w:r>
                          </w:p>
                        </w:tc>
                        <w:tc>
                          <w:tcPr>
                            <w:tcW w:w="5500" w:type="dxa"/>
                          </w:tcPr>
                          <w:p>
                            <w:pPr>
                              <w:pStyle w:val="TableParagraph"/>
                              <w:spacing w:before="4" w:line="207" w:lineRule="exact"/>
                              <w:ind w:left="119"/>
                              <w:rPr>
                                <w:sz w:val="20"/>
                              </w:rPr>
                            </w:pPr>
                            <w:r>
                              <w:rPr>
                                <w:color w:val="212121"/>
                                <w:sz w:val="20"/>
                              </w:rPr>
                              <w:t>Taxation</w:t>
                            </w:r>
                            <w:r>
                              <w:rPr>
                                <w:color w:val="212121"/>
                                <w:spacing w:val="1"/>
                                <w:sz w:val="20"/>
                              </w:rPr>
                              <w:t> </w:t>
                            </w:r>
                            <w:r>
                              <w:rPr>
                                <w:color w:val="212121"/>
                                <w:sz w:val="20"/>
                              </w:rPr>
                              <w:t>and</w:t>
                            </w:r>
                            <w:r>
                              <w:rPr>
                                <w:color w:val="212121"/>
                                <w:spacing w:val="-13"/>
                                <w:sz w:val="20"/>
                              </w:rPr>
                              <w:t> </w:t>
                            </w:r>
                            <w:r>
                              <w:rPr>
                                <w:color w:val="212121"/>
                                <w:sz w:val="20"/>
                              </w:rPr>
                              <w:t>Non-Specific</w:t>
                            </w:r>
                            <w:r>
                              <w:rPr>
                                <w:color w:val="212121"/>
                                <w:spacing w:val="5"/>
                                <w:sz w:val="20"/>
                              </w:rPr>
                              <w:t> </w:t>
                            </w:r>
                            <w:r>
                              <w:rPr>
                                <w:color w:val="212121"/>
                                <w:sz w:val="20"/>
                              </w:rPr>
                              <w:t>Grant</w:t>
                            </w:r>
                            <w:r>
                              <w:rPr>
                                <w:color w:val="212121"/>
                                <w:spacing w:val="-11"/>
                                <w:sz w:val="20"/>
                              </w:rPr>
                              <w:t> </w:t>
                            </w:r>
                            <w:r>
                              <w:rPr>
                                <w:color w:val="0F0F0F"/>
                                <w:spacing w:val="-2"/>
                                <w:sz w:val="20"/>
                              </w:rPr>
                              <w:t>Income</w:t>
                            </w:r>
                          </w:p>
                        </w:tc>
                        <w:tc>
                          <w:tcPr>
                            <w:tcW w:w="1331" w:type="dxa"/>
                          </w:tcPr>
                          <w:p>
                            <w:pPr>
                              <w:pStyle w:val="TableParagraph"/>
                              <w:spacing w:line="211" w:lineRule="exact"/>
                              <w:ind w:right="136"/>
                              <w:jc w:val="right"/>
                              <w:rPr>
                                <w:sz w:val="20"/>
                              </w:rPr>
                            </w:pPr>
                            <w:r>
                              <w:rPr>
                                <w:color w:val="0F0F0F"/>
                                <w:spacing w:val="-2"/>
                                <w:sz w:val="20"/>
                              </w:rPr>
                              <w:t>16,967</w:t>
                            </w:r>
                          </w:p>
                        </w:tc>
                        <w:tc>
                          <w:tcPr>
                            <w:tcW w:w="980" w:type="dxa"/>
                          </w:tcPr>
                          <w:p>
                            <w:pPr>
                              <w:pStyle w:val="TableParagraph"/>
                              <w:spacing w:line="211" w:lineRule="exact"/>
                              <w:ind w:right="109"/>
                              <w:jc w:val="right"/>
                              <w:rPr>
                                <w:sz w:val="20"/>
                              </w:rPr>
                            </w:pPr>
                            <w:r>
                              <w:rPr>
                                <w:color w:val="0F0F0F"/>
                                <w:spacing w:val="-2"/>
                                <w:sz w:val="20"/>
                              </w:rPr>
                              <w:t>(40,940)</w:t>
                            </w:r>
                          </w:p>
                        </w:tc>
                        <w:tc>
                          <w:tcPr>
                            <w:tcW w:w="1851" w:type="dxa"/>
                          </w:tcPr>
                          <w:p>
                            <w:pPr>
                              <w:pStyle w:val="TableParagraph"/>
                              <w:spacing w:line="211" w:lineRule="exact"/>
                              <w:ind w:right="525"/>
                              <w:jc w:val="right"/>
                              <w:rPr>
                                <w:b/>
                                <w:sz w:val="20"/>
                              </w:rPr>
                            </w:pPr>
                            <w:r>
                              <w:rPr>
                                <w:b/>
                                <w:color w:val="0F0F0F"/>
                                <w:spacing w:val="-2"/>
                                <w:sz w:val="20"/>
                              </w:rPr>
                              <w:t>(23,973)</w:t>
                            </w:r>
                          </w:p>
                        </w:tc>
                        <w:tc>
                          <w:tcPr>
                            <w:tcW w:w="863" w:type="dxa"/>
                          </w:tcPr>
                          <w:p>
                            <w:pPr>
                              <w:pStyle w:val="TableParagraph"/>
                              <w:rPr>
                                <w:rFonts w:ascii="Times New Roman"/>
                                <w:sz w:val="16"/>
                              </w:rPr>
                            </w:pPr>
                          </w:p>
                        </w:tc>
                      </w:tr>
                      <w:tr>
                        <w:trPr>
                          <w:trHeight w:val="354" w:hRule="atLeast"/>
                        </w:trPr>
                        <w:tc>
                          <w:tcPr>
                            <w:tcW w:w="910" w:type="dxa"/>
                          </w:tcPr>
                          <w:p>
                            <w:pPr>
                              <w:pStyle w:val="TableParagraph"/>
                              <w:spacing w:line="229" w:lineRule="exact"/>
                              <w:ind w:right="233"/>
                              <w:jc w:val="right"/>
                              <w:rPr>
                                <w:sz w:val="20"/>
                              </w:rPr>
                            </w:pPr>
                            <w:r>
                              <w:rPr>
                                <w:color w:val="0F0F0F"/>
                                <w:spacing w:val="-5"/>
                                <w:sz w:val="20"/>
                              </w:rPr>
                              <w:t>33</w:t>
                            </w:r>
                          </w:p>
                        </w:tc>
                        <w:tc>
                          <w:tcPr>
                            <w:tcW w:w="1121" w:type="dxa"/>
                          </w:tcPr>
                          <w:p>
                            <w:pPr>
                              <w:pStyle w:val="TableParagraph"/>
                              <w:spacing w:line="243" w:lineRule="exact"/>
                              <w:ind w:right="112"/>
                              <w:jc w:val="right"/>
                              <w:rPr>
                                <w:sz w:val="22"/>
                              </w:rPr>
                            </w:pPr>
                            <w:r>
                              <w:rPr>
                                <w:color w:val="212121"/>
                                <w:spacing w:val="-10"/>
                                <w:w w:val="110"/>
                                <w:sz w:val="22"/>
                              </w:rPr>
                              <w:t>-</w:t>
                            </w:r>
                          </w:p>
                        </w:tc>
                        <w:tc>
                          <w:tcPr>
                            <w:tcW w:w="1501" w:type="dxa"/>
                          </w:tcPr>
                          <w:p>
                            <w:pPr>
                              <w:pStyle w:val="TableParagraph"/>
                              <w:spacing w:line="224" w:lineRule="exact"/>
                              <w:ind w:right="100"/>
                              <w:jc w:val="right"/>
                              <w:rPr>
                                <w:b/>
                                <w:sz w:val="20"/>
                              </w:rPr>
                            </w:pPr>
                            <w:r>
                              <w:rPr>
                                <w:b/>
                                <w:color w:val="0F0F0F"/>
                                <w:spacing w:val="-5"/>
                                <w:sz w:val="20"/>
                              </w:rPr>
                              <w:t>33</w:t>
                            </w:r>
                          </w:p>
                        </w:tc>
                        <w:tc>
                          <w:tcPr>
                            <w:tcW w:w="5500" w:type="dxa"/>
                          </w:tcPr>
                          <w:p>
                            <w:pPr>
                              <w:pStyle w:val="TableParagraph"/>
                              <w:spacing w:before="4"/>
                              <w:ind w:left="124"/>
                              <w:rPr>
                                <w:sz w:val="20"/>
                              </w:rPr>
                            </w:pPr>
                            <w:r>
                              <w:rPr>
                                <w:color w:val="212121"/>
                                <w:sz w:val="20"/>
                              </w:rPr>
                              <w:t>Tax</w:t>
                            </w:r>
                            <w:r>
                              <w:rPr>
                                <w:color w:val="212121"/>
                                <w:spacing w:val="-2"/>
                                <w:sz w:val="20"/>
                              </w:rPr>
                              <w:t> </w:t>
                            </w:r>
                            <w:r>
                              <w:rPr>
                                <w:color w:val="212121"/>
                                <w:sz w:val="20"/>
                              </w:rPr>
                              <w:t>expense</w:t>
                            </w:r>
                            <w:r>
                              <w:rPr>
                                <w:color w:val="212121"/>
                                <w:spacing w:val="1"/>
                                <w:sz w:val="20"/>
                              </w:rPr>
                              <w:t> </w:t>
                            </w:r>
                            <w:r>
                              <w:rPr>
                                <w:color w:val="212121"/>
                                <w:sz w:val="20"/>
                              </w:rPr>
                              <w:t>of</w:t>
                            </w:r>
                            <w:r>
                              <w:rPr>
                                <w:color w:val="212121"/>
                                <w:spacing w:val="-1"/>
                                <w:sz w:val="20"/>
                              </w:rPr>
                              <w:t> </w:t>
                            </w:r>
                            <w:r>
                              <w:rPr>
                                <w:color w:val="212121"/>
                                <w:spacing w:val="-2"/>
                                <w:sz w:val="20"/>
                              </w:rPr>
                              <w:t>subsidiary</w:t>
                            </w:r>
                          </w:p>
                        </w:tc>
                        <w:tc>
                          <w:tcPr>
                            <w:tcW w:w="1331" w:type="dxa"/>
                          </w:tcPr>
                          <w:p>
                            <w:pPr>
                              <w:pStyle w:val="TableParagraph"/>
                              <w:spacing w:line="243" w:lineRule="exact"/>
                              <w:ind w:right="117"/>
                              <w:jc w:val="right"/>
                              <w:rPr>
                                <w:sz w:val="22"/>
                              </w:rPr>
                            </w:pPr>
                            <w:r>
                              <w:rPr>
                                <w:color w:val="343434"/>
                                <w:spacing w:val="-10"/>
                                <w:sz w:val="22"/>
                              </w:rPr>
                              <w:t>-</w:t>
                            </w:r>
                          </w:p>
                        </w:tc>
                        <w:tc>
                          <w:tcPr>
                            <w:tcW w:w="980" w:type="dxa"/>
                          </w:tcPr>
                          <w:p>
                            <w:pPr>
                              <w:pStyle w:val="TableParagraph"/>
                              <w:spacing w:line="229" w:lineRule="exact"/>
                              <w:ind w:right="105"/>
                              <w:jc w:val="right"/>
                              <w:rPr>
                                <w:sz w:val="20"/>
                              </w:rPr>
                            </w:pPr>
                            <w:r>
                              <w:rPr>
                                <w:color w:val="0F0F0F"/>
                                <w:spacing w:val="-4"/>
                                <w:sz w:val="20"/>
                              </w:rPr>
                              <w:t>(38)</w:t>
                            </w:r>
                          </w:p>
                        </w:tc>
                        <w:tc>
                          <w:tcPr>
                            <w:tcW w:w="1851" w:type="dxa"/>
                          </w:tcPr>
                          <w:p>
                            <w:pPr>
                              <w:pStyle w:val="TableParagraph"/>
                              <w:spacing w:line="224" w:lineRule="exact"/>
                              <w:ind w:right="518"/>
                              <w:jc w:val="right"/>
                              <w:rPr>
                                <w:b/>
                                <w:sz w:val="20"/>
                              </w:rPr>
                            </w:pPr>
                            <w:r>
                              <w:rPr>
                                <w:b/>
                                <w:color w:val="0F0F0F"/>
                                <w:spacing w:val="-4"/>
                                <w:sz w:val="20"/>
                              </w:rPr>
                              <w:t>(38)</w:t>
                            </w:r>
                          </w:p>
                        </w:tc>
                        <w:tc>
                          <w:tcPr>
                            <w:tcW w:w="863" w:type="dxa"/>
                          </w:tcPr>
                          <w:p>
                            <w:pPr>
                              <w:pStyle w:val="TableParagraph"/>
                              <w:rPr>
                                <w:rFonts w:ascii="Times New Roman"/>
                                <w:sz w:val="20"/>
                              </w:rPr>
                            </w:pPr>
                          </w:p>
                        </w:tc>
                      </w:tr>
                      <w:tr>
                        <w:trPr>
                          <w:trHeight w:val="466" w:hRule="atLeast"/>
                        </w:trPr>
                        <w:tc>
                          <w:tcPr>
                            <w:tcW w:w="910" w:type="dxa"/>
                          </w:tcPr>
                          <w:p>
                            <w:pPr>
                              <w:pStyle w:val="TableParagraph"/>
                              <w:spacing w:before="110"/>
                              <w:ind w:right="242"/>
                              <w:jc w:val="right"/>
                              <w:rPr>
                                <w:b/>
                                <w:sz w:val="20"/>
                              </w:rPr>
                            </w:pPr>
                            <w:r>
                              <w:rPr>
                                <w:b/>
                                <w:color w:val="0F0F0F"/>
                                <w:spacing w:val="-2"/>
                                <w:sz w:val="20"/>
                              </w:rPr>
                              <w:t>85,455</w:t>
                            </w:r>
                          </w:p>
                        </w:tc>
                        <w:tc>
                          <w:tcPr>
                            <w:tcW w:w="1121" w:type="dxa"/>
                          </w:tcPr>
                          <w:p>
                            <w:pPr>
                              <w:pStyle w:val="TableParagraph"/>
                              <w:spacing w:before="120"/>
                              <w:ind w:right="77"/>
                              <w:jc w:val="right"/>
                              <w:rPr>
                                <w:b/>
                                <w:sz w:val="20"/>
                              </w:rPr>
                            </w:pPr>
                            <w:r>
                              <w:rPr>
                                <w:b/>
                                <w:color w:val="212121"/>
                                <w:spacing w:val="-2"/>
                                <w:w w:val="115"/>
                                <w:sz w:val="20"/>
                              </w:rPr>
                              <w:t>(95!_32</w:t>
                            </w:r>
                          </w:p>
                        </w:tc>
                        <w:tc>
                          <w:tcPr>
                            <w:tcW w:w="1501" w:type="dxa"/>
                          </w:tcPr>
                          <w:p>
                            <w:pPr>
                              <w:pStyle w:val="TableParagraph"/>
                              <w:spacing w:before="110"/>
                              <w:ind w:right="96"/>
                              <w:jc w:val="right"/>
                              <w:rPr>
                                <w:b/>
                                <w:sz w:val="20"/>
                              </w:rPr>
                            </w:pPr>
                            <w:r>
                              <w:rPr>
                                <w:b/>
                                <w:color w:val="0F0F0F"/>
                                <w:spacing w:val="-2"/>
                                <w:sz w:val="20"/>
                              </w:rPr>
                              <w:t>(9,869)</w:t>
                            </w:r>
                          </w:p>
                        </w:tc>
                        <w:tc>
                          <w:tcPr>
                            <w:tcW w:w="5500" w:type="dxa"/>
                          </w:tcPr>
                          <w:p>
                            <w:pPr>
                              <w:pStyle w:val="TableParagraph"/>
                              <w:spacing w:before="105"/>
                              <w:ind w:left="123"/>
                              <w:rPr>
                                <w:b/>
                                <w:sz w:val="20"/>
                              </w:rPr>
                            </w:pPr>
                            <w:r>
                              <w:rPr>
                                <w:b/>
                                <w:color w:val="0F0F0F"/>
                                <w:sz w:val="20"/>
                              </w:rPr>
                              <w:t>(Surplus)/</w:t>
                            </w:r>
                            <w:r>
                              <w:rPr>
                                <w:b/>
                                <w:color w:val="0F0F0F"/>
                                <w:spacing w:val="16"/>
                                <w:sz w:val="20"/>
                              </w:rPr>
                              <w:t> </w:t>
                            </w:r>
                            <w:r>
                              <w:rPr>
                                <w:b/>
                                <w:color w:val="0F0F0F"/>
                                <w:sz w:val="20"/>
                              </w:rPr>
                              <w:t>Deficit</w:t>
                            </w:r>
                            <w:r>
                              <w:rPr>
                                <w:b/>
                                <w:color w:val="0F0F0F"/>
                                <w:spacing w:val="5"/>
                                <w:sz w:val="20"/>
                              </w:rPr>
                              <w:t> </w:t>
                            </w:r>
                            <w:r>
                              <w:rPr>
                                <w:b/>
                                <w:color w:val="0F0F0F"/>
                                <w:sz w:val="20"/>
                              </w:rPr>
                              <w:t>on</w:t>
                            </w:r>
                            <w:r>
                              <w:rPr>
                                <w:b/>
                                <w:color w:val="0F0F0F"/>
                                <w:spacing w:val="2"/>
                                <w:sz w:val="20"/>
                              </w:rPr>
                              <w:t> </w:t>
                            </w:r>
                            <w:r>
                              <w:rPr>
                                <w:b/>
                                <w:color w:val="0F0F0F"/>
                                <w:sz w:val="20"/>
                              </w:rPr>
                              <w:t>Provision</w:t>
                            </w:r>
                            <w:r>
                              <w:rPr>
                                <w:b/>
                                <w:color w:val="0F0F0F"/>
                                <w:spacing w:val="15"/>
                                <w:sz w:val="20"/>
                              </w:rPr>
                              <w:t> </w:t>
                            </w:r>
                            <w:r>
                              <w:rPr>
                                <w:b/>
                                <w:color w:val="0F0F0F"/>
                                <w:sz w:val="20"/>
                              </w:rPr>
                              <w:t>of</w:t>
                            </w:r>
                            <w:r>
                              <w:rPr>
                                <w:b/>
                                <w:color w:val="0F0F0F"/>
                                <w:spacing w:val="8"/>
                                <w:sz w:val="20"/>
                              </w:rPr>
                              <w:t> </w:t>
                            </w:r>
                            <w:r>
                              <w:rPr>
                                <w:b/>
                                <w:color w:val="0F0F0F"/>
                                <w:spacing w:val="-2"/>
                                <w:sz w:val="20"/>
                              </w:rPr>
                              <w:t>Services</w:t>
                            </w:r>
                          </w:p>
                        </w:tc>
                        <w:tc>
                          <w:tcPr>
                            <w:tcW w:w="1331" w:type="dxa"/>
                          </w:tcPr>
                          <w:p>
                            <w:pPr>
                              <w:pStyle w:val="TableParagraph"/>
                              <w:spacing w:before="110"/>
                              <w:ind w:right="120"/>
                              <w:jc w:val="right"/>
                              <w:rPr>
                                <w:b/>
                                <w:sz w:val="20"/>
                              </w:rPr>
                            </w:pPr>
                            <w:r>
                              <w:rPr>
                                <w:b/>
                                <w:color w:val="0F0F0F"/>
                                <w:spacing w:val="-2"/>
                                <w:sz w:val="20"/>
                              </w:rPr>
                              <w:t>92,764</w:t>
                            </w:r>
                          </w:p>
                        </w:tc>
                        <w:tc>
                          <w:tcPr>
                            <w:tcW w:w="980" w:type="dxa"/>
                          </w:tcPr>
                          <w:p>
                            <w:pPr>
                              <w:pStyle w:val="TableParagraph"/>
                              <w:spacing w:before="105"/>
                              <w:ind w:right="102"/>
                              <w:jc w:val="right"/>
                              <w:rPr>
                                <w:b/>
                                <w:sz w:val="20"/>
                              </w:rPr>
                            </w:pPr>
                            <w:r>
                              <w:rPr>
                                <w:b/>
                                <w:color w:val="0F0F0F"/>
                                <w:spacing w:val="-2"/>
                                <w:sz w:val="20"/>
                              </w:rPr>
                              <w:t>(93,769)</w:t>
                            </w:r>
                          </w:p>
                        </w:tc>
                        <w:tc>
                          <w:tcPr>
                            <w:tcW w:w="1851" w:type="dxa"/>
                          </w:tcPr>
                          <w:p>
                            <w:pPr>
                              <w:pStyle w:val="TableParagraph"/>
                              <w:spacing w:before="105"/>
                              <w:ind w:right="526"/>
                              <w:jc w:val="right"/>
                              <w:rPr>
                                <w:b/>
                                <w:sz w:val="20"/>
                              </w:rPr>
                            </w:pPr>
                            <w:r>
                              <w:rPr>
                                <w:b/>
                                <w:color w:val="0F0F0F"/>
                                <w:spacing w:val="-2"/>
                                <w:sz w:val="20"/>
                              </w:rPr>
                              <w:t>(1,005)</w:t>
                            </w:r>
                          </w:p>
                        </w:tc>
                        <w:tc>
                          <w:tcPr>
                            <w:tcW w:w="863" w:type="dxa"/>
                          </w:tcPr>
                          <w:p>
                            <w:pPr>
                              <w:pStyle w:val="TableParagraph"/>
                              <w:rPr>
                                <w:rFonts w:ascii="Times New Roman"/>
                                <w:sz w:val="20"/>
                              </w:rPr>
                            </w:pPr>
                          </w:p>
                        </w:tc>
                      </w:tr>
                      <w:tr>
                        <w:trPr>
                          <w:trHeight w:val="346" w:hRule="atLeast"/>
                        </w:trPr>
                        <w:tc>
                          <w:tcPr>
                            <w:tcW w:w="910" w:type="dxa"/>
                          </w:tcPr>
                          <w:p>
                            <w:pPr>
                              <w:pStyle w:val="TableParagraph"/>
                              <w:rPr>
                                <w:rFonts w:ascii="Times New Roman"/>
                                <w:sz w:val="20"/>
                              </w:rPr>
                            </w:pPr>
                          </w:p>
                        </w:tc>
                        <w:tc>
                          <w:tcPr>
                            <w:tcW w:w="1121" w:type="dxa"/>
                          </w:tcPr>
                          <w:p>
                            <w:pPr>
                              <w:pStyle w:val="TableParagraph"/>
                              <w:rPr>
                                <w:rFonts w:ascii="Times New Roman"/>
                                <w:sz w:val="20"/>
                              </w:rPr>
                            </w:pPr>
                          </w:p>
                        </w:tc>
                        <w:tc>
                          <w:tcPr>
                            <w:tcW w:w="1501" w:type="dxa"/>
                          </w:tcPr>
                          <w:p>
                            <w:pPr>
                              <w:pStyle w:val="TableParagraph"/>
                              <w:spacing w:before="115" w:line="211" w:lineRule="exact"/>
                              <w:ind w:right="91"/>
                              <w:jc w:val="right"/>
                              <w:rPr>
                                <w:b/>
                                <w:sz w:val="20"/>
                              </w:rPr>
                            </w:pPr>
                            <w:r>
                              <w:rPr>
                                <w:b/>
                                <w:color w:val="0F0F0F"/>
                                <w:spacing w:val="-2"/>
                                <w:sz w:val="20"/>
                              </w:rPr>
                              <w:t>(7,451)</w:t>
                            </w:r>
                          </w:p>
                        </w:tc>
                        <w:tc>
                          <w:tcPr>
                            <w:tcW w:w="5500" w:type="dxa"/>
                          </w:tcPr>
                          <w:p>
                            <w:pPr>
                              <w:pStyle w:val="TableParagraph"/>
                              <w:spacing w:before="115" w:line="211" w:lineRule="exact"/>
                              <w:ind w:left="126"/>
                              <w:rPr>
                                <w:sz w:val="20"/>
                              </w:rPr>
                            </w:pPr>
                            <w:r>
                              <w:rPr>
                                <w:color w:val="0F0F0F"/>
                                <w:sz w:val="20"/>
                              </w:rPr>
                              <w:t>(Surplus)</w:t>
                            </w:r>
                            <w:r>
                              <w:rPr>
                                <w:color w:val="0F0F0F"/>
                                <w:spacing w:val="3"/>
                                <w:sz w:val="20"/>
                              </w:rPr>
                              <w:t> </w:t>
                            </w:r>
                            <w:r>
                              <w:rPr>
                                <w:color w:val="0F0F0F"/>
                                <w:sz w:val="20"/>
                              </w:rPr>
                              <w:t>/</w:t>
                            </w:r>
                            <w:r>
                              <w:rPr>
                                <w:color w:val="0F0F0F"/>
                                <w:spacing w:val="-5"/>
                                <w:sz w:val="20"/>
                              </w:rPr>
                              <w:t> </w:t>
                            </w:r>
                            <w:r>
                              <w:rPr>
                                <w:color w:val="212121"/>
                                <w:sz w:val="20"/>
                              </w:rPr>
                              <w:t>Deficit</w:t>
                            </w:r>
                            <w:r>
                              <w:rPr>
                                <w:color w:val="212121"/>
                                <w:spacing w:val="-8"/>
                                <w:sz w:val="20"/>
                              </w:rPr>
                              <w:t> </w:t>
                            </w:r>
                            <w:r>
                              <w:rPr>
                                <w:color w:val="0F0F0F"/>
                                <w:sz w:val="20"/>
                              </w:rPr>
                              <w:t>on</w:t>
                            </w:r>
                            <w:r>
                              <w:rPr>
                                <w:color w:val="0F0F0F"/>
                                <w:spacing w:val="-14"/>
                                <w:sz w:val="20"/>
                              </w:rPr>
                              <w:t> </w:t>
                            </w:r>
                            <w:r>
                              <w:rPr>
                                <w:color w:val="0F0F0F"/>
                                <w:sz w:val="20"/>
                              </w:rPr>
                              <w:t>revaluation</w:t>
                            </w:r>
                            <w:r>
                              <w:rPr>
                                <w:color w:val="0F0F0F"/>
                                <w:spacing w:val="5"/>
                                <w:sz w:val="20"/>
                              </w:rPr>
                              <w:t> </w:t>
                            </w:r>
                            <w:r>
                              <w:rPr>
                                <w:color w:val="0F0F0F"/>
                                <w:sz w:val="20"/>
                              </w:rPr>
                              <w:t>of</w:t>
                            </w:r>
                            <w:r>
                              <w:rPr>
                                <w:color w:val="0F0F0F"/>
                                <w:spacing w:val="-7"/>
                                <w:sz w:val="20"/>
                              </w:rPr>
                              <w:t> </w:t>
                            </w:r>
                            <w:r>
                              <w:rPr>
                                <w:color w:val="0F0F0F"/>
                                <w:sz w:val="20"/>
                              </w:rPr>
                              <w:t>non-current</w:t>
                            </w:r>
                            <w:r>
                              <w:rPr>
                                <w:color w:val="0F0F0F"/>
                                <w:spacing w:val="6"/>
                                <w:sz w:val="20"/>
                              </w:rPr>
                              <w:t> </w:t>
                            </w:r>
                            <w:r>
                              <w:rPr>
                                <w:color w:val="0F0F0F"/>
                                <w:spacing w:val="-2"/>
                                <w:sz w:val="20"/>
                              </w:rPr>
                              <w:t>assets</w:t>
                            </w:r>
                          </w:p>
                        </w:tc>
                        <w:tc>
                          <w:tcPr>
                            <w:tcW w:w="1331" w:type="dxa"/>
                          </w:tcPr>
                          <w:p>
                            <w:pPr>
                              <w:pStyle w:val="TableParagraph"/>
                              <w:rPr>
                                <w:rFonts w:ascii="Times New Roman"/>
                                <w:sz w:val="20"/>
                              </w:rPr>
                            </w:pPr>
                          </w:p>
                        </w:tc>
                        <w:tc>
                          <w:tcPr>
                            <w:tcW w:w="980" w:type="dxa"/>
                          </w:tcPr>
                          <w:p>
                            <w:pPr>
                              <w:pStyle w:val="TableParagraph"/>
                              <w:rPr>
                                <w:rFonts w:ascii="Times New Roman"/>
                                <w:sz w:val="20"/>
                              </w:rPr>
                            </w:pPr>
                          </w:p>
                        </w:tc>
                        <w:tc>
                          <w:tcPr>
                            <w:tcW w:w="1851" w:type="dxa"/>
                          </w:tcPr>
                          <w:p>
                            <w:pPr>
                              <w:pStyle w:val="TableParagraph"/>
                              <w:spacing w:before="110" w:line="216" w:lineRule="exact"/>
                              <w:ind w:right="520"/>
                              <w:jc w:val="right"/>
                              <w:rPr>
                                <w:b/>
                                <w:sz w:val="20"/>
                              </w:rPr>
                            </w:pPr>
                            <w:r>
                              <w:rPr>
                                <w:b/>
                                <w:color w:val="0F0F0F"/>
                                <w:spacing w:val="-2"/>
                                <w:sz w:val="20"/>
                              </w:rPr>
                              <w:t>(18,708)</w:t>
                            </w:r>
                          </w:p>
                        </w:tc>
                        <w:tc>
                          <w:tcPr>
                            <w:tcW w:w="863" w:type="dxa"/>
                          </w:tcPr>
                          <w:p>
                            <w:pPr>
                              <w:pStyle w:val="TableParagraph"/>
                              <w:rPr>
                                <w:rFonts w:ascii="Times New Roman"/>
                                <w:sz w:val="20"/>
                              </w:rPr>
                            </w:pPr>
                          </w:p>
                        </w:tc>
                      </w:tr>
                      <w:tr>
                        <w:trPr>
                          <w:trHeight w:val="439" w:hRule="atLeast"/>
                        </w:trPr>
                        <w:tc>
                          <w:tcPr>
                            <w:tcW w:w="910" w:type="dxa"/>
                          </w:tcPr>
                          <w:p>
                            <w:pPr>
                              <w:pStyle w:val="TableParagraph"/>
                              <w:rPr>
                                <w:rFonts w:ascii="Times New Roman"/>
                                <w:sz w:val="20"/>
                              </w:rPr>
                            </w:pPr>
                          </w:p>
                        </w:tc>
                        <w:tc>
                          <w:tcPr>
                            <w:tcW w:w="1121" w:type="dxa"/>
                          </w:tcPr>
                          <w:p>
                            <w:pPr>
                              <w:pStyle w:val="TableParagraph"/>
                              <w:rPr>
                                <w:rFonts w:ascii="Times New Roman"/>
                                <w:sz w:val="20"/>
                              </w:rPr>
                            </w:pPr>
                          </w:p>
                        </w:tc>
                        <w:tc>
                          <w:tcPr>
                            <w:tcW w:w="1501" w:type="dxa"/>
                          </w:tcPr>
                          <w:p>
                            <w:pPr>
                              <w:pStyle w:val="TableParagraph"/>
                              <w:spacing w:line="230" w:lineRule="exact"/>
                              <w:ind w:right="92"/>
                              <w:jc w:val="right"/>
                              <w:rPr>
                                <w:b/>
                                <w:sz w:val="20"/>
                              </w:rPr>
                            </w:pPr>
                            <w:r>
                              <w:rPr>
                                <w:b/>
                                <w:color w:val="0F0F0F"/>
                                <w:spacing w:val="-2"/>
                                <w:sz w:val="20"/>
                              </w:rPr>
                              <w:t>(5,126)</w:t>
                            </w:r>
                          </w:p>
                        </w:tc>
                        <w:tc>
                          <w:tcPr>
                            <w:tcW w:w="5500" w:type="dxa"/>
                          </w:tcPr>
                          <w:p>
                            <w:pPr>
                              <w:pStyle w:val="TableParagraph"/>
                              <w:spacing w:line="230" w:lineRule="exact"/>
                              <w:ind w:left="127"/>
                              <w:rPr>
                                <w:sz w:val="20"/>
                              </w:rPr>
                            </w:pPr>
                            <w:r>
                              <w:rPr>
                                <w:color w:val="0F0F0F"/>
                                <w:sz w:val="20"/>
                              </w:rPr>
                              <w:t>Re-measurements</w:t>
                            </w:r>
                            <w:r>
                              <w:rPr>
                                <w:color w:val="0F0F0F"/>
                                <w:spacing w:val="-7"/>
                                <w:sz w:val="20"/>
                              </w:rPr>
                              <w:t> </w:t>
                            </w:r>
                            <w:r>
                              <w:rPr>
                                <w:color w:val="0F0F0F"/>
                                <w:sz w:val="20"/>
                              </w:rPr>
                              <w:t>of</w:t>
                            </w:r>
                            <w:r>
                              <w:rPr>
                                <w:color w:val="0F0F0F"/>
                                <w:spacing w:val="1"/>
                                <w:sz w:val="20"/>
                              </w:rPr>
                              <w:t> </w:t>
                            </w:r>
                            <w:r>
                              <w:rPr>
                                <w:color w:val="0F0F0F"/>
                                <w:sz w:val="20"/>
                              </w:rPr>
                              <w:t>net</w:t>
                            </w:r>
                            <w:r>
                              <w:rPr>
                                <w:color w:val="0F0F0F"/>
                                <w:spacing w:val="-5"/>
                                <w:sz w:val="20"/>
                              </w:rPr>
                              <w:t> </w:t>
                            </w:r>
                            <w:r>
                              <w:rPr>
                                <w:color w:val="0F0F0F"/>
                                <w:sz w:val="20"/>
                              </w:rPr>
                              <w:t>pension</w:t>
                            </w:r>
                            <w:r>
                              <w:rPr>
                                <w:color w:val="0F0F0F"/>
                                <w:spacing w:val="5"/>
                                <w:sz w:val="20"/>
                              </w:rPr>
                              <w:t> </w:t>
                            </w:r>
                            <w:r>
                              <w:rPr>
                                <w:color w:val="0F0F0F"/>
                                <w:spacing w:val="-2"/>
                                <w:sz w:val="20"/>
                              </w:rPr>
                              <w:t>liability</w:t>
                            </w:r>
                          </w:p>
                        </w:tc>
                        <w:tc>
                          <w:tcPr>
                            <w:tcW w:w="1331" w:type="dxa"/>
                          </w:tcPr>
                          <w:p>
                            <w:pPr>
                              <w:pStyle w:val="TableParagraph"/>
                              <w:rPr>
                                <w:rFonts w:ascii="Times New Roman"/>
                                <w:sz w:val="20"/>
                              </w:rPr>
                            </w:pPr>
                          </w:p>
                        </w:tc>
                        <w:tc>
                          <w:tcPr>
                            <w:tcW w:w="980" w:type="dxa"/>
                          </w:tcPr>
                          <w:p>
                            <w:pPr>
                              <w:pStyle w:val="TableParagraph"/>
                              <w:rPr>
                                <w:rFonts w:ascii="Times New Roman"/>
                                <w:sz w:val="20"/>
                              </w:rPr>
                            </w:pPr>
                          </w:p>
                        </w:tc>
                        <w:tc>
                          <w:tcPr>
                            <w:tcW w:w="1851" w:type="dxa"/>
                            <w:tcBorders>
                              <w:bottom w:val="single" w:color="000000" w:sz="6" w:space="0"/>
                            </w:tcBorders>
                          </w:tcPr>
                          <w:p>
                            <w:pPr>
                              <w:pStyle w:val="TableParagraph"/>
                              <w:spacing w:line="225" w:lineRule="exact"/>
                              <w:ind w:right="515"/>
                              <w:jc w:val="right"/>
                              <w:rPr>
                                <w:b/>
                                <w:sz w:val="20"/>
                              </w:rPr>
                            </w:pPr>
                            <w:r>
                              <w:rPr>
                                <w:b/>
                                <w:color w:val="0F0F0F"/>
                                <w:spacing w:val="-2"/>
                                <w:sz w:val="20"/>
                              </w:rPr>
                              <w:t>(32,200)</w:t>
                            </w:r>
                          </w:p>
                        </w:tc>
                        <w:tc>
                          <w:tcPr>
                            <w:tcW w:w="863" w:type="dxa"/>
                          </w:tcPr>
                          <w:p>
                            <w:pPr>
                              <w:pStyle w:val="TableParagraph"/>
                              <w:rPr>
                                <w:rFonts w:ascii="Times New Roman"/>
                                <w:sz w:val="20"/>
                              </w:rPr>
                            </w:pPr>
                          </w:p>
                        </w:tc>
                      </w:tr>
                      <w:tr>
                        <w:trPr>
                          <w:trHeight w:val="446" w:hRule="atLeast"/>
                        </w:trPr>
                        <w:tc>
                          <w:tcPr>
                            <w:tcW w:w="910" w:type="dxa"/>
                          </w:tcPr>
                          <w:p>
                            <w:pPr>
                              <w:pStyle w:val="TableParagraph"/>
                              <w:rPr>
                                <w:rFonts w:ascii="Times New Roman"/>
                                <w:sz w:val="20"/>
                              </w:rPr>
                            </w:pPr>
                          </w:p>
                        </w:tc>
                        <w:tc>
                          <w:tcPr>
                            <w:tcW w:w="1121" w:type="dxa"/>
                          </w:tcPr>
                          <w:p>
                            <w:pPr>
                              <w:pStyle w:val="TableParagraph"/>
                              <w:rPr>
                                <w:rFonts w:ascii="Times New Roman"/>
                                <w:sz w:val="20"/>
                              </w:rPr>
                            </w:pPr>
                          </w:p>
                        </w:tc>
                        <w:tc>
                          <w:tcPr>
                            <w:tcW w:w="1501" w:type="dxa"/>
                            <w:tcBorders>
                              <w:bottom w:val="single" w:color="000000" w:sz="2" w:space="0"/>
                            </w:tcBorders>
                          </w:tcPr>
                          <w:p>
                            <w:pPr>
                              <w:pStyle w:val="TableParagraph"/>
                              <w:spacing w:before="21"/>
                              <w:ind w:right="85"/>
                              <w:jc w:val="right"/>
                              <w:rPr>
                                <w:b/>
                                <w:sz w:val="20"/>
                              </w:rPr>
                            </w:pPr>
                            <w:r>
                              <w:rPr>
                                <w:b/>
                                <w:color w:val="0F0F0F"/>
                                <w:spacing w:val="-2"/>
                                <w:sz w:val="20"/>
                              </w:rPr>
                              <w:t>(12,577)</w:t>
                            </w:r>
                          </w:p>
                        </w:tc>
                        <w:tc>
                          <w:tcPr>
                            <w:tcW w:w="5500" w:type="dxa"/>
                          </w:tcPr>
                          <w:p>
                            <w:pPr>
                              <w:pStyle w:val="TableParagraph"/>
                              <w:spacing w:before="16"/>
                              <w:ind w:left="134"/>
                              <w:rPr>
                                <w:b/>
                                <w:sz w:val="20"/>
                              </w:rPr>
                            </w:pPr>
                            <w:r>
                              <w:rPr>
                                <w:b/>
                                <w:color w:val="0F0F0F"/>
                                <w:sz w:val="20"/>
                              </w:rPr>
                              <w:t>Other</w:t>
                            </w:r>
                            <w:r>
                              <w:rPr>
                                <w:b/>
                                <w:color w:val="0F0F0F"/>
                                <w:spacing w:val="-7"/>
                                <w:sz w:val="20"/>
                              </w:rPr>
                              <w:t> </w:t>
                            </w:r>
                            <w:r>
                              <w:rPr>
                                <w:b/>
                                <w:color w:val="0F0F0F"/>
                                <w:sz w:val="20"/>
                              </w:rPr>
                              <w:t>Comprehensive</w:t>
                            </w:r>
                            <w:r>
                              <w:rPr>
                                <w:b/>
                                <w:color w:val="0F0F0F"/>
                                <w:spacing w:val="4"/>
                                <w:sz w:val="20"/>
                              </w:rPr>
                              <w:t> </w:t>
                            </w:r>
                            <w:r>
                              <w:rPr>
                                <w:b/>
                                <w:color w:val="0F0F0F"/>
                                <w:sz w:val="20"/>
                              </w:rPr>
                              <w:t>(Income)</w:t>
                            </w:r>
                            <w:r>
                              <w:rPr>
                                <w:b/>
                                <w:color w:val="0F0F0F"/>
                                <w:spacing w:val="-9"/>
                                <w:sz w:val="20"/>
                              </w:rPr>
                              <w:t> </w:t>
                            </w:r>
                            <w:r>
                              <w:rPr>
                                <w:b/>
                                <w:color w:val="0F0F0F"/>
                                <w:sz w:val="20"/>
                              </w:rPr>
                              <w:t>and</w:t>
                            </w:r>
                            <w:r>
                              <w:rPr>
                                <w:b/>
                                <w:color w:val="0F0F0F"/>
                                <w:spacing w:val="-14"/>
                                <w:sz w:val="20"/>
                              </w:rPr>
                              <w:t> </w:t>
                            </w:r>
                            <w:r>
                              <w:rPr>
                                <w:b/>
                                <w:color w:val="0F0F0F"/>
                                <w:spacing w:val="-2"/>
                                <w:sz w:val="20"/>
                              </w:rPr>
                              <w:t>Expenditure</w:t>
                            </w:r>
                          </w:p>
                        </w:tc>
                        <w:tc>
                          <w:tcPr>
                            <w:tcW w:w="1331" w:type="dxa"/>
                          </w:tcPr>
                          <w:p>
                            <w:pPr>
                              <w:pStyle w:val="TableParagraph"/>
                              <w:rPr>
                                <w:rFonts w:ascii="Times New Roman"/>
                                <w:sz w:val="20"/>
                              </w:rPr>
                            </w:pPr>
                          </w:p>
                        </w:tc>
                        <w:tc>
                          <w:tcPr>
                            <w:tcW w:w="980" w:type="dxa"/>
                          </w:tcPr>
                          <w:p>
                            <w:pPr>
                              <w:pStyle w:val="TableParagraph"/>
                              <w:rPr>
                                <w:rFonts w:ascii="Times New Roman"/>
                                <w:sz w:val="20"/>
                              </w:rPr>
                            </w:pPr>
                          </w:p>
                        </w:tc>
                        <w:tc>
                          <w:tcPr>
                            <w:tcW w:w="1851" w:type="dxa"/>
                            <w:tcBorders>
                              <w:top w:val="single" w:color="000000" w:sz="6" w:space="0"/>
                              <w:bottom w:val="single" w:color="000000" w:sz="6" w:space="0"/>
                            </w:tcBorders>
                          </w:tcPr>
                          <w:p>
                            <w:pPr>
                              <w:pStyle w:val="TableParagraph"/>
                              <w:spacing w:before="11"/>
                              <w:ind w:right="515"/>
                              <w:jc w:val="right"/>
                              <w:rPr>
                                <w:b/>
                                <w:sz w:val="20"/>
                              </w:rPr>
                            </w:pPr>
                            <w:r>
                              <w:rPr>
                                <w:b/>
                                <w:color w:val="0F0F0F"/>
                                <w:spacing w:val="-2"/>
                                <w:sz w:val="20"/>
                              </w:rPr>
                              <w:t>(50,908)</w:t>
                            </w:r>
                          </w:p>
                        </w:tc>
                        <w:tc>
                          <w:tcPr>
                            <w:tcW w:w="863" w:type="dxa"/>
                          </w:tcPr>
                          <w:p>
                            <w:pPr>
                              <w:pStyle w:val="TableParagraph"/>
                              <w:rPr>
                                <w:rFonts w:ascii="Times New Roman"/>
                                <w:sz w:val="20"/>
                              </w:rPr>
                            </w:pPr>
                          </w:p>
                        </w:tc>
                      </w:tr>
                      <w:tr>
                        <w:trPr>
                          <w:trHeight w:val="401" w:hRule="atLeast"/>
                        </w:trPr>
                        <w:tc>
                          <w:tcPr>
                            <w:tcW w:w="910" w:type="dxa"/>
                          </w:tcPr>
                          <w:p>
                            <w:pPr>
                              <w:pStyle w:val="TableParagraph"/>
                              <w:rPr>
                                <w:rFonts w:ascii="Times New Roman"/>
                                <w:sz w:val="20"/>
                              </w:rPr>
                            </w:pPr>
                          </w:p>
                        </w:tc>
                        <w:tc>
                          <w:tcPr>
                            <w:tcW w:w="1121" w:type="dxa"/>
                          </w:tcPr>
                          <w:p>
                            <w:pPr>
                              <w:pStyle w:val="TableParagraph"/>
                              <w:rPr>
                                <w:rFonts w:ascii="Times New Roman"/>
                                <w:sz w:val="20"/>
                              </w:rPr>
                            </w:pPr>
                          </w:p>
                        </w:tc>
                        <w:tc>
                          <w:tcPr>
                            <w:tcW w:w="1501" w:type="dxa"/>
                            <w:tcBorders>
                              <w:top w:val="single" w:color="000000" w:sz="2" w:space="0"/>
                            </w:tcBorders>
                          </w:tcPr>
                          <w:p>
                            <w:pPr>
                              <w:pStyle w:val="TableParagraph"/>
                              <w:spacing w:before="35"/>
                              <w:ind w:right="78"/>
                              <w:jc w:val="right"/>
                              <w:rPr>
                                <w:b/>
                                <w:sz w:val="20"/>
                              </w:rPr>
                            </w:pPr>
                            <w:r>
                              <w:rPr>
                                <w:b/>
                                <w:color w:val="212121"/>
                                <w:spacing w:val="-2"/>
                                <w:sz w:val="20"/>
                                <w:u w:val="thick" w:color="212121"/>
                              </w:rPr>
                              <w:t>(22,446)</w:t>
                            </w:r>
                          </w:p>
                        </w:tc>
                        <w:tc>
                          <w:tcPr>
                            <w:tcW w:w="5500" w:type="dxa"/>
                          </w:tcPr>
                          <w:p>
                            <w:pPr>
                              <w:pStyle w:val="TableParagraph"/>
                              <w:spacing w:before="21"/>
                              <w:ind w:left="138"/>
                              <w:rPr>
                                <w:b/>
                                <w:sz w:val="20"/>
                              </w:rPr>
                            </w:pPr>
                            <w:r>
                              <w:rPr>
                                <w:b/>
                                <w:color w:val="0F0F0F"/>
                                <w:sz w:val="20"/>
                              </w:rPr>
                              <w:t>Total</w:t>
                            </w:r>
                            <w:r>
                              <w:rPr>
                                <w:b/>
                                <w:color w:val="0F0F0F"/>
                                <w:spacing w:val="-9"/>
                                <w:sz w:val="20"/>
                              </w:rPr>
                              <w:t> </w:t>
                            </w:r>
                            <w:r>
                              <w:rPr>
                                <w:b/>
                                <w:color w:val="0F0F0F"/>
                                <w:sz w:val="20"/>
                              </w:rPr>
                              <w:t>Comprehensive</w:t>
                            </w:r>
                            <w:r>
                              <w:rPr>
                                <w:b/>
                                <w:color w:val="0F0F0F"/>
                                <w:spacing w:val="3"/>
                                <w:sz w:val="20"/>
                              </w:rPr>
                              <w:t> </w:t>
                            </w:r>
                            <w:r>
                              <w:rPr>
                                <w:b/>
                                <w:color w:val="0F0F0F"/>
                                <w:sz w:val="20"/>
                              </w:rPr>
                              <w:t>(Income)</w:t>
                            </w:r>
                            <w:r>
                              <w:rPr>
                                <w:b/>
                                <w:color w:val="0F0F0F"/>
                                <w:spacing w:val="-7"/>
                                <w:sz w:val="20"/>
                              </w:rPr>
                              <w:t> </w:t>
                            </w:r>
                            <w:r>
                              <w:rPr>
                                <w:b/>
                                <w:color w:val="0F0F0F"/>
                                <w:sz w:val="20"/>
                              </w:rPr>
                              <w:t>and</w:t>
                            </w:r>
                            <w:r>
                              <w:rPr>
                                <w:b/>
                                <w:color w:val="0F0F0F"/>
                                <w:spacing w:val="-13"/>
                                <w:sz w:val="20"/>
                              </w:rPr>
                              <w:t> </w:t>
                            </w:r>
                            <w:r>
                              <w:rPr>
                                <w:b/>
                                <w:color w:val="0F0F0F"/>
                                <w:spacing w:val="-2"/>
                                <w:sz w:val="20"/>
                              </w:rPr>
                              <w:t>Expenditure</w:t>
                            </w:r>
                          </w:p>
                        </w:tc>
                        <w:tc>
                          <w:tcPr>
                            <w:tcW w:w="1331" w:type="dxa"/>
                          </w:tcPr>
                          <w:p>
                            <w:pPr>
                              <w:pStyle w:val="TableParagraph"/>
                              <w:rPr>
                                <w:rFonts w:ascii="Times New Roman"/>
                                <w:sz w:val="20"/>
                              </w:rPr>
                            </w:pPr>
                          </w:p>
                        </w:tc>
                        <w:tc>
                          <w:tcPr>
                            <w:tcW w:w="980" w:type="dxa"/>
                          </w:tcPr>
                          <w:p>
                            <w:pPr>
                              <w:pStyle w:val="TableParagraph"/>
                              <w:rPr>
                                <w:rFonts w:ascii="Times New Roman"/>
                                <w:sz w:val="20"/>
                              </w:rPr>
                            </w:pPr>
                          </w:p>
                        </w:tc>
                        <w:tc>
                          <w:tcPr>
                            <w:tcW w:w="1851" w:type="dxa"/>
                            <w:tcBorders>
                              <w:top w:val="single" w:color="000000" w:sz="6" w:space="0"/>
                            </w:tcBorders>
                          </w:tcPr>
                          <w:p>
                            <w:pPr>
                              <w:pStyle w:val="TableParagraph"/>
                              <w:spacing w:before="26"/>
                              <w:ind w:right="506"/>
                              <w:jc w:val="right"/>
                              <w:rPr>
                                <w:b/>
                                <w:sz w:val="20"/>
                              </w:rPr>
                            </w:pPr>
                            <w:r>
                              <w:rPr>
                                <w:b/>
                                <w:color w:val="0F0F0F"/>
                                <w:spacing w:val="-2"/>
                                <w:sz w:val="20"/>
                                <w:u w:val="thick" w:color="0F0F0F"/>
                              </w:rPr>
                              <w:t>(51,913)</w:t>
                            </w:r>
                          </w:p>
                        </w:tc>
                        <w:tc>
                          <w:tcPr>
                            <w:tcW w:w="863" w:type="dxa"/>
                          </w:tcPr>
                          <w:p>
                            <w:pPr>
                              <w:pStyle w:val="TableParagraph"/>
                              <w:rPr>
                                <w:rFonts w:ascii="Times New Roman"/>
                                <w:sz w:val="20"/>
                              </w:rPr>
                            </w:pPr>
                          </w:p>
                        </w:tc>
                      </w:tr>
                      <w:tr>
                        <w:trPr>
                          <w:trHeight w:val="359" w:hRule="atLeast"/>
                        </w:trPr>
                        <w:tc>
                          <w:tcPr>
                            <w:tcW w:w="910" w:type="dxa"/>
                          </w:tcPr>
                          <w:p>
                            <w:pPr>
                              <w:pStyle w:val="TableParagraph"/>
                              <w:rPr>
                                <w:rFonts w:ascii="Times New Roman"/>
                                <w:sz w:val="20"/>
                              </w:rPr>
                            </w:pPr>
                          </w:p>
                        </w:tc>
                        <w:tc>
                          <w:tcPr>
                            <w:tcW w:w="1121" w:type="dxa"/>
                          </w:tcPr>
                          <w:p>
                            <w:pPr>
                              <w:pStyle w:val="TableParagraph"/>
                              <w:rPr>
                                <w:rFonts w:ascii="Times New Roman"/>
                                <w:sz w:val="20"/>
                              </w:rPr>
                            </w:pPr>
                          </w:p>
                        </w:tc>
                        <w:tc>
                          <w:tcPr>
                            <w:tcW w:w="1501" w:type="dxa"/>
                          </w:tcPr>
                          <w:p>
                            <w:pPr>
                              <w:pStyle w:val="TableParagraph"/>
                              <w:rPr>
                                <w:rFonts w:ascii="Times New Roman"/>
                                <w:sz w:val="20"/>
                              </w:rPr>
                            </w:pPr>
                          </w:p>
                        </w:tc>
                        <w:tc>
                          <w:tcPr>
                            <w:tcW w:w="5500" w:type="dxa"/>
                          </w:tcPr>
                          <w:p>
                            <w:pPr>
                              <w:pStyle w:val="TableParagraph"/>
                              <w:rPr>
                                <w:rFonts w:ascii="Times New Roman"/>
                                <w:sz w:val="20"/>
                              </w:rPr>
                            </w:pPr>
                          </w:p>
                        </w:tc>
                        <w:tc>
                          <w:tcPr>
                            <w:tcW w:w="1331" w:type="dxa"/>
                          </w:tcPr>
                          <w:p>
                            <w:pPr>
                              <w:pStyle w:val="TableParagraph"/>
                              <w:rPr>
                                <w:rFonts w:ascii="Times New Roman"/>
                                <w:sz w:val="20"/>
                              </w:rPr>
                            </w:pPr>
                          </w:p>
                        </w:tc>
                        <w:tc>
                          <w:tcPr>
                            <w:tcW w:w="980" w:type="dxa"/>
                          </w:tcPr>
                          <w:p>
                            <w:pPr>
                              <w:pStyle w:val="TableParagraph"/>
                              <w:rPr>
                                <w:rFonts w:ascii="Times New Roman"/>
                                <w:sz w:val="20"/>
                              </w:rPr>
                            </w:pPr>
                          </w:p>
                        </w:tc>
                        <w:tc>
                          <w:tcPr>
                            <w:tcW w:w="1851" w:type="dxa"/>
                          </w:tcPr>
                          <w:p>
                            <w:pPr>
                              <w:pStyle w:val="TableParagraph"/>
                              <w:rPr>
                                <w:rFonts w:ascii="Times New Roman"/>
                                <w:sz w:val="20"/>
                              </w:rPr>
                            </w:pPr>
                          </w:p>
                        </w:tc>
                        <w:tc>
                          <w:tcPr>
                            <w:tcW w:w="863" w:type="dxa"/>
                          </w:tcPr>
                          <w:p>
                            <w:pPr>
                              <w:pStyle w:val="TableParagraph"/>
                              <w:spacing w:before="129" w:line="210" w:lineRule="exact"/>
                              <w:ind w:left="468"/>
                              <w:rPr>
                                <w:sz w:val="20"/>
                              </w:rPr>
                            </w:pPr>
                            <w:r>
                              <w:rPr>
                                <w:color w:val="0F0F0F"/>
                                <w:spacing w:val="-5"/>
                                <w:w w:val="105"/>
                                <w:sz w:val="20"/>
                              </w:rPr>
                              <w:t>120</w:t>
                            </w:r>
                          </w:p>
                        </w:tc>
                      </w:tr>
                    </w:tbl>
                    <w:p>
                      <w:pPr>
                        <w:pStyle w:val="BodyText"/>
                      </w:pPr>
                    </w:p>
                  </w:txbxContent>
                </v:textbox>
                <w10:wrap type="none"/>
              </v:shape>
            </w:pict>
          </ve:Fallback>
        </ve:AlternateContent>
      </w:r>
      <w:r>
        <w:rPr>
          <w:color w:val="0F0F0F"/>
          <w:spacing w:val="-5"/>
          <w:position w:val="1"/>
          <w:sz w:val="20"/>
          <w:u w:val="single" w:color="000000"/>
        </w:rPr>
        <w:t>178</w:t>
      </w:r>
      <w:r>
        <w:rPr>
          <w:color w:val="0F0F0F"/>
          <w:position w:val="1"/>
          <w:sz w:val="20"/>
          <w:u w:val="single" w:color="000000"/>
        </w:rPr>
        <w:tab/>
      </w:r>
      <w:r>
        <w:rPr>
          <w:color w:val="343434"/>
          <w:spacing w:val="-10"/>
          <w:position w:val="0"/>
          <w:sz w:val="27"/>
          <w:u w:val="single" w:color="000000"/>
        </w:rPr>
        <w:t>-</w:t>
      </w:r>
      <w:r>
        <w:rPr>
          <w:color w:val="343434"/>
          <w:position w:val="0"/>
          <w:sz w:val="27"/>
          <w:u w:val="single" w:color="000000"/>
        </w:rPr>
        <w:tab/>
      </w:r>
      <w:r>
        <w:rPr>
          <w:b/>
          <w:color w:val="0F0F0F"/>
          <w:position w:val="1"/>
          <w:sz w:val="20"/>
          <w:u w:val="single" w:color="000000"/>
        </w:rPr>
        <w:t>178</w:t>
      </w:r>
      <w:r>
        <w:rPr>
          <w:b/>
          <w:color w:val="0F0F0F"/>
          <w:spacing w:val="99"/>
          <w:position w:val="1"/>
          <w:sz w:val="20"/>
          <w:u w:val="single" w:color="000000"/>
        </w:rPr>
        <w:t> </w:t>
      </w:r>
      <w:r>
        <w:rPr>
          <w:b/>
          <w:color w:val="0F0F0F"/>
          <w:spacing w:val="38"/>
          <w:position w:val="1"/>
          <w:sz w:val="20"/>
          <w:u w:val="none"/>
        </w:rPr>
        <w:t> </w:t>
      </w:r>
      <w:r>
        <w:rPr>
          <w:color w:val="0F0F0F"/>
          <w:position w:val="2"/>
          <w:sz w:val="20"/>
          <w:u w:val="none"/>
        </w:rPr>
        <w:t>Hertsmere</w:t>
      </w:r>
      <w:r>
        <w:rPr>
          <w:color w:val="0F0F0F"/>
          <w:spacing w:val="9"/>
          <w:position w:val="2"/>
          <w:sz w:val="20"/>
          <w:u w:val="none"/>
        </w:rPr>
        <w:t> </w:t>
      </w:r>
      <w:r>
        <w:rPr>
          <w:color w:val="0F0F0F"/>
          <w:position w:val="2"/>
          <w:sz w:val="20"/>
          <w:u w:val="none"/>
        </w:rPr>
        <w:t>Developments</w:t>
      </w:r>
      <w:r>
        <w:rPr>
          <w:color w:val="0F0F0F"/>
          <w:spacing w:val="8"/>
          <w:position w:val="2"/>
          <w:sz w:val="20"/>
          <w:u w:val="none"/>
        </w:rPr>
        <w:t> </w:t>
      </w:r>
      <w:r>
        <w:rPr>
          <w:color w:val="0F0F0F"/>
          <w:spacing w:val="-2"/>
          <w:position w:val="2"/>
          <w:sz w:val="20"/>
          <w:u w:val="none"/>
        </w:rPr>
        <w:t>Limited</w:t>
      </w:r>
      <w:r>
        <w:rPr>
          <w:color w:val="0F0F0F"/>
          <w:position w:val="2"/>
          <w:sz w:val="20"/>
          <w:u w:val="none"/>
        </w:rPr>
        <w:tab/>
      </w:r>
      <w:r>
        <w:rPr>
          <w:color w:val="0F0F0F"/>
          <w:sz w:val="20"/>
          <w:u w:val="single" w:color="000000"/>
        </w:rPr>
        <w:tab/>
      </w:r>
      <w:r>
        <w:rPr>
          <w:color w:val="0F0F0F"/>
          <w:spacing w:val="-5"/>
          <w:sz w:val="20"/>
          <w:u w:val="single" w:color="000000"/>
        </w:rPr>
        <w:t>176</w:t>
      </w:r>
      <w:r>
        <w:rPr>
          <w:color w:val="0F0F0F"/>
          <w:sz w:val="20"/>
          <w:u w:val="single" w:color="000000"/>
        </w:rPr>
        <w:tab/>
      </w:r>
      <w:r>
        <w:rPr>
          <w:color w:val="343434"/>
          <w:spacing w:val="-10"/>
          <w:position w:val="-1"/>
          <w:sz w:val="27"/>
          <w:u w:val="single" w:color="000000"/>
        </w:rPr>
        <w:t>-</w:t>
      </w:r>
      <w:r>
        <w:rPr>
          <w:color w:val="343434"/>
          <w:position w:val="-1"/>
          <w:sz w:val="27"/>
          <w:u w:val="single" w:color="000000"/>
        </w:rPr>
        <w:tab/>
      </w:r>
      <w:r>
        <w:rPr>
          <w:color w:val="343434"/>
          <w:position w:val="-1"/>
          <w:sz w:val="27"/>
          <w:u w:val="none"/>
        </w:rPr>
        <w:t> </w:t>
      </w:r>
      <w:r>
        <w:rPr>
          <w:b/>
          <w:color w:val="0F0F0F"/>
          <w:sz w:val="20"/>
          <w:u w:val="none"/>
        </w:rPr>
        <w:t>176</w:t>
      </w:r>
    </w:p>
    <w:p>
      <w:pPr>
        <w:spacing w:after="0" w:line="298" w:lineRule="exact"/>
        <w:jc w:val="left"/>
        <w:rPr>
          <w:sz w:val="20"/>
        </w:rPr>
        <w:sectPr>
          <w:headerReference w:type="even" r:id="rId257"/>
          <w:footerReference w:type="even" r:id="rId258"/>
          <w:pgSz w:w="16830" w:h="11910" w:orient="landscape"/>
          <w:pgMar w:top="180" w:right="420" w:bottom="280" w:left="320" w:header="0" w:footer="0"/>
        </w:sectPr>
      </w:pPr>
    </w:p>
    <w:p>
      <w:pPr>
        <w:spacing w:before="83"/>
        <w:ind w:left="1691" w:right="0" w:firstLine="0"/>
        <w:jc w:val="left"/>
        <w:rPr>
          <w:sz w:val="15"/>
        </w:rPr>
      </w:pPr>
      <w:r>
        <w:rPr>
          <w:color w:val="A3A3A3"/>
          <w:w w:val="105"/>
          <w:sz w:val="15"/>
        </w:rPr>
        <w:t>GROUP</w:t>
      </w:r>
      <w:r>
        <w:rPr>
          <w:color w:val="A3A3A3"/>
          <w:spacing w:val="15"/>
          <w:w w:val="110"/>
          <w:sz w:val="15"/>
        </w:rPr>
        <w:t> </w:t>
      </w:r>
      <w:r>
        <w:rPr>
          <w:color w:val="A3A3A3"/>
          <w:spacing w:val="-2"/>
          <w:w w:val="110"/>
          <w:sz w:val="15"/>
        </w:rPr>
        <w:t>,.ccOUNTS</w:t>
      </w:r>
    </w:p>
    <w:p>
      <w:pPr>
        <w:pStyle w:val="BodyText"/>
        <w:spacing w:before="69"/>
        <w:rPr>
          <w:sz w:val="15"/>
        </w:rPr>
      </w:pPr>
    </w:p>
    <w:p>
      <w:pPr>
        <w:pStyle w:val="ListParagraph"/>
        <w:numPr>
          <w:ilvl w:val="1"/>
          <w:numId w:val="28"/>
        </w:numPr>
        <w:tabs>
          <w:tab w:val="left" w:leader="none" w:pos="862"/>
        </w:tabs>
        <w:spacing w:before="0" w:after="0" w:line="240" w:lineRule="auto"/>
        <w:ind w:left="862" w:right="0" w:hanging="605"/>
        <w:jc w:val="left"/>
        <w:rPr>
          <w:b/>
          <w:color w:val="0F0F0F"/>
          <w:sz w:val="21"/>
        </w:rPr>
      </w:pPr>
      <w:r>
        <w:rPr>
          <w:b/>
          <w:color w:val="0F0F0F"/>
          <w:w w:val="105"/>
          <w:sz w:val="21"/>
        </w:rPr>
        <w:t>Group</w:t>
      </w:r>
      <w:r>
        <w:rPr>
          <w:b/>
          <w:color w:val="0F0F0F"/>
          <w:spacing w:val="-10"/>
          <w:w w:val="105"/>
          <w:sz w:val="21"/>
        </w:rPr>
        <w:t> </w:t>
      </w:r>
      <w:r>
        <w:rPr>
          <w:b/>
          <w:color w:val="0F0F0F"/>
          <w:w w:val="105"/>
          <w:sz w:val="21"/>
        </w:rPr>
        <w:t>Balance</w:t>
      </w:r>
      <w:r>
        <w:rPr>
          <w:b/>
          <w:color w:val="0F0F0F"/>
          <w:spacing w:val="-10"/>
          <w:w w:val="105"/>
          <w:sz w:val="21"/>
        </w:rPr>
        <w:t> </w:t>
      </w:r>
      <w:r>
        <w:rPr>
          <w:b/>
          <w:color w:val="0F0F0F"/>
          <w:spacing w:val="-2"/>
          <w:w w:val="105"/>
          <w:sz w:val="21"/>
        </w:rPr>
        <w:t>Sheet</w:t>
      </w:r>
    </w:p>
    <w:p>
      <w:pPr>
        <w:pStyle w:val="BodyText"/>
        <w:spacing w:before="112"/>
        <w:rPr>
          <w:b/>
          <w:sz w:val="20"/>
        </w:rPr>
      </w:pPr>
    </w:p>
    <w:tbl>
      <w:tblPr>
        <w:tblW w:w="0" w:type="auto"/>
        <w:jc w:val="left"/>
        <w:tblInd w:w="6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646"/>
        <w:gridCol w:w="5817"/>
        <w:gridCol w:w="2136"/>
      </w:tblGrid>
      <w:tr>
        <w:trPr>
          <w:trHeight w:val="530" w:hRule="atLeast"/>
        </w:trPr>
        <w:tc>
          <w:tcPr>
            <w:tcW w:w="1646" w:type="dxa"/>
          </w:tcPr>
          <w:p>
            <w:pPr>
              <w:pStyle w:val="TableParagraph"/>
              <w:spacing w:line="235" w:lineRule="exact"/>
              <w:ind w:left="21" w:right="10"/>
              <w:jc w:val="center"/>
              <w:rPr>
                <w:b/>
                <w:sz w:val="21"/>
              </w:rPr>
            </w:pPr>
            <w:r>
              <w:rPr>
                <w:b/>
                <w:color w:val="0F0F0F"/>
                <w:w w:val="105"/>
                <w:sz w:val="21"/>
              </w:rPr>
              <w:t>31</w:t>
            </w:r>
            <w:r>
              <w:rPr>
                <w:b/>
                <w:color w:val="0F0F0F"/>
                <w:spacing w:val="-3"/>
                <w:w w:val="105"/>
                <w:sz w:val="21"/>
              </w:rPr>
              <w:t> </w:t>
            </w:r>
            <w:r>
              <w:rPr>
                <w:b/>
                <w:color w:val="0F0F0F"/>
                <w:spacing w:val="-2"/>
                <w:w w:val="105"/>
                <w:sz w:val="21"/>
              </w:rPr>
              <w:t>March</w:t>
            </w:r>
          </w:p>
          <w:p>
            <w:pPr>
              <w:pStyle w:val="TableParagraph"/>
              <w:spacing w:before="8"/>
              <w:ind w:left="21"/>
              <w:jc w:val="center"/>
              <w:rPr>
                <w:b/>
                <w:sz w:val="21"/>
              </w:rPr>
            </w:pPr>
            <w:r>
              <w:rPr>
                <w:b/>
                <w:color w:val="0F0F0F"/>
                <w:spacing w:val="-4"/>
                <w:w w:val="105"/>
                <w:sz w:val="21"/>
              </w:rPr>
              <w:t>2022</w:t>
            </w:r>
          </w:p>
        </w:tc>
        <w:tc>
          <w:tcPr>
            <w:tcW w:w="5817" w:type="dxa"/>
          </w:tcPr>
          <w:p>
            <w:pPr>
              <w:pStyle w:val="TableParagraph"/>
              <w:rPr>
                <w:rFonts w:ascii="Times New Roman"/>
                <w:sz w:val="20"/>
              </w:rPr>
            </w:pPr>
          </w:p>
        </w:tc>
        <w:tc>
          <w:tcPr>
            <w:tcW w:w="2136" w:type="dxa"/>
          </w:tcPr>
          <w:p>
            <w:pPr>
              <w:pStyle w:val="TableParagraph"/>
              <w:spacing w:line="235" w:lineRule="exact"/>
              <w:ind w:left="504" w:right="3"/>
              <w:jc w:val="center"/>
              <w:rPr>
                <w:b/>
                <w:sz w:val="21"/>
              </w:rPr>
            </w:pPr>
            <w:r>
              <w:rPr>
                <w:b/>
                <w:color w:val="0F0F0F"/>
                <w:w w:val="105"/>
                <w:sz w:val="21"/>
              </w:rPr>
              <w:t>31</w:t>
            </w:r>
            <w:r>
              <w:rPr>
                <w:b/>
                <w:color w:val="0F0F0F"/>
                <w:spacing w:val="-8"/>
                <w:w w:val="105"/>
                <w:sz w:val="21"/>
              </w:rPr>
              <w:t> </w:t>
            </w:r>
            <w:r>
              <w:rPr>
                <w:b/>
                <w:color w:val="0F0F0F"/>
                <w:spacing w:val="-2"/>
                <w:w w:val="105"/>
                <w:sz w:val="21"/>
              </w:rPr>
              <w:t>March</w:t>
            </w:r>
          </w:p>
          <w:p>
            <w:pPr>
              <w:pStyle w:val="TableParagraph"/>
              <w:spacing w:before="8"/>
              <w:ind w:left="504"/>
              <w:jc w:val="center"/>
              <w:rPr>
                <w:b/>
                <w:sz w:val="21"/>
              </w:rPr>
            </w:pPr>
            <w:r>
              <w:rPr>
                <w:b/>
                <w:color w:val="0F0F0F"/>
                <w:spacing w:val="-4"/>
                <w:w w:val="105"/>
                <w:sz w:val="21"/>
              </w:rPr>
              <w:t>2023</w:t>
            </w:r>
          </w:p>
        </w:tc>
      </w:tr>
      <w:tr>
        <w:trPr>
          <w:trHeight w:val="442" w:hRule="atLeast"/>
        </w:trPr>
        <w:tc>
          <w:tcPr>
            <w:tcW w:w="1646" w:type="dxa"/>
          </w:tcPr>
          <w:p>
            <w:pPr>
              <w:pStyle w:val="TableParagraph"/>
              <w:spacing w:before="39"/>
              <w:ind w:left="21" w:right="2"/>
              <w:jc w:val="center"/>
              <w:rPr>
                <w:b/>
                <w:sz w:val="21"/>
              </w:rPr>
            </w:pPr>
            <w:r>
              <w:rPr>
                <w:b/>
                <w:color w:val="0F0F0F"/>
                <w:spacing w:val="-4"/>
                <w:w w:val="105"/>
                <w:sz w:val="21"/>
              </w:rPr>
              <w:t>£000</w:t>
            </w:r>
          </w:p>
        </w:tc>
        <w:tc>
          <w:tcPr>
            <w:tcW w:w="5817" w:type="dxa"/>
          </w:tcPr>
          <w:p>
            <w:pPr>
              <w:pStyle w:val="TableParagraph"/>
              <w:rPr>
                <w:rFonts w:ascii="Times New Roman"/>
                <w:sz w:val="20"/>
              </w:rPr>
            </w:pPr>
          </w:p>
        </w:tc>
        <w:tc>
          <w:tcPr>
            <w:tcW w:w="2136" w:type="dxa"/>
          </w:tcPr>
          <w:p>
            <w:pPr>
              <w:pStyle w:val="TableParagraph"/>
              <w:spacing w:before="39"/>
              <w:ind w:left="1076"/>
              <w:rPr>
                <w:b/>
                <w:sz w:val="21"/>
              </w:rPr>
            </w:pPr>
            <w:r>
              <w:rPr>
                <w:b/>
                <w:color w:val="0F0F0F"/>
                <w:spacing w:val="-4"/>
                <w:w w:val="105"/>
                <w:sz w:val="21"/>
              </w:rPr>
              <w:t>£000</w:t>
            </w:r>
          </w:p>
        </w:tc>
      </w:tr>
      <w:tr>
        <w:trPr>
          <w:trHeight w:val="449" w:hRule="atLeast"/>
        </w:trPr>
        <w:tc>
          <w:tcPr>
            <w:tcW w:w="1646" w:type="dxa"/>
          </w:tcPr>
          <w:p>
            <w:pPr>
              <w:pStyle w:val="TableParagraph"/>
              <w:spacing w:before="154"/>
              <w:ind w:left="724"/>
              <w:rPr>
                <w:sz w:val="21"/>
              </w:rPr>
            </w:pPr>
            <w:r>
              <w:rPr>
                <w:color w:val="0F0F0F"/>
                <w:spacing w:val="-2"/>
                <w:w w:val="105"/>
                <w:sz w:val="21"/>
              </w:rPr>
              <w:t>162,537</w:t>
            </w:r>
          </w:p>
        </w:tc>
        <w:tc>
          <w:tcPr>
            <w:tcW w:w="5817" w:type="dxa"/>
          </w:tcPr>
          <w:p>
            <w:pPr>
              <w:pStyle w:val="TableParagraph"/>
              <w:spacing w:before="198" w:line="231" w:lineRule="exact"/>
              <w:ind w:left="80"/>
              <w:rPr>
                <w:sz w:val="21"/>
              </w:rPr>
            </w:pPr>
            <w:r>
              <w:rPr>
                <w:color w:val="0F0F0F"/>
                <w:w w:val="105"/>
                <w:sz w:val="21"/>
              </w:rPr>
              <w:t>Property Plant</w:t>
            </w:r>
            <w:r>
              <w:rPr>
                <w:color w:val="0F0F0F"/>
                <w:spacing w:val="2"/>
                <w:w w:val="105"/>
                <w:sz w:val="21"/>
              </w:rPr>
              <w:t> </w:t>
            </w:r>
            <w:r>
              <w:rPr>
                <w:color w:val="0F0F0F"/>
                <w:w w:val="105"/>
                <w:sz w:val="21"/>
              </w:rPr>
              <w:t>and</w:t>
            </w:r>
            <w:r>
              <w:rPr>
                <w:color w:val="0F0F0F"/>
                <w:spacing w:val="-14"/>
                <w:w w:val="105"/>
                <w:sz w:val="21"/>
              </w:rPr>
              <w:t> </w:t>
            </w:r>
            <w:r>
              <w:rPr>
                <w:color w:val="0F0F0F"/>
                <w:spacing w:val="-2"/>
                <w:w w:val="105"/>
                <w:sz w:val="21"/>
              </w:rPr>
              <w:t>Equipment</w:t>
            </w:r>
          </w:p>
        </w:tc>
        <w:tc>
          <w:tcPr>
            <w:tcW w:w="2136" w:type="dxa"/>
          </w:tcPr>
          <w:p>
            <w:pPr>
              <w:pStyle w:val="TableParagraph"/>
              <w:spacing w:before="198" w:line="231" w:lineRule="exact"/>
              <w:ind w:left="1126"/>
              <w:rPr>
                <w:sz w:val="21"/>
              </w:rPr>
            </w:pPr>
            <w:r>
              <w:rPr>
                <w:color w:val="0F0F0F"/>
                <w:spacing w:val="-2"/>
                <w:w w:val="105"/>
                <w:sz w:val="21"/>
              </w:rPr>
              <w:t>186,724</w:t>
            </w:r>
          </w:p>
        </w:tc>
      </w:tr>
      <w:tr>
        <w:trPr>
          <w:trHeight w:val="302" w:hRule="atLeast"/>
        </w:trPr>
        <w:tc>
          <w:tcPr>
            <w:tcW w:w="1646" w:type="dxa"/>
          </w:tcPr>
          <w:p>
            <w:pPr>
              <w:pStyle w:val="TableParagraph"/>
              <w:spacing w:before="3"/>
              <w:ind w:left="969"/>
              <w:rPr>
                <w:sz w:val="21"/>
              </w:rPr>
            </w:pPr>
            <w:r>
              <w:rPr>
                <w:color w:val="0F0F0F"/>
                <w:spacing w:val="-4"/>
                <w:w w:val="105"/>
                <w:sz w:val="21"/>
              </w:rPr>
              <w:t>1,222</w:t>
            </w:r>
          </w:p>
        </w:tc>
        <w:tc>
          <w:tcPr>
            <w:tcW w:w="5817" w:type="dxa"/>
          </w:tcPr>
          <w:p>
            <w:pPr>
              <w:pStyle w:val="TableParagraph"/>
              <w:spacing w:before="51" w:line="231" w:lineRule="exact"/>
              <w:ind w:left="79"/>
              <w:rPr>
                <w:sz w:val="21"/>
              </w:rPr>
            </w:pPr>
            <w:r>
              <w:rPr>
                <w:color w:val="0F0F0F"/>
                <w:w w:val="105"/>
                <w:sz w:val="21"/>
              </w:rPr>
              <w:t>Heritage</w:t>
            </w:r>
            <w:r>
              <w:rPr>
                <w:color w:val="0F0F0F"/>
                <w:spacing w:val="-6"/>
                <w:w w:val="105"/>
                <w:sz w:val="21"/>
              </w:rPr>
              <w:t> </w:t>
            </w:r>
            <w:r>
              <w:rPr>
                <w:color w:val="0F0F0F"/>
                <w:spacing w:val="-2"/>
                <w:w w:val="105"/>
                <w:sz w:val="21"/>
              </w:rPr>
              <w:t>Assets</w:t>
            </w:r>
          </w:p>
        </w:tc>
        <w:tc>
          <w:tcPr>
            <w:tcW w:w="2136" w:type="dxa"/>
          </w:tcPr>
          <w:p>
            <w:pPr>
              <w:pStyle w:val="TableParagraph"/>
              <w:spacing w:before="51" w:line="231" w:lineRule="exact"/>
              <w:ind w:left="1376"/>
              <w:rPr>
                <w:sz w:val="21"/>
              </w:rPr>
            </w:pPr>
            <w:r>
              <w:rPr>
                <w:color w:val="0F0F0F"/>
                <w:spacing w:val="-4"/>
                <w:w w:val="105"/>
                <w:sz w:val="21"/>
              </w:rPr>
              <w:t>1,199</w:t>
            </w:r>
          </w:p>
        </w:tc>
      </w:tr>
      <w:tr>
        <w:trPr>
          <w:trHeight w:val="300" w:hRule="atLeast"/>
        </w:trPr>
        <w:tc>
          <w:tcPr>
            <w:tcW w:w="1646" w:type="dxa"/>
          </w:tcPr>
          <w:p>
            <w:pPr>
              <w:pStyle w:val="TableParagraph"/>
              <w:spacing w:before="3"/>
              <w:ind w:left="969"/>
              <w:rPr>
                <w:sz w:val="21"/>
              </w:rPr>
            </w:pPr>
            <w:r>
              <w:rPr>
                <w:color w:val="0F0F0F"/>
                <w:spacing w:val="-4"/>
                <w:w w:val="105"/>
                <w:sz w:val="21"/>
              </w:rPr>
              <w:t>9,692</w:t>
            </w:r>
          </w:p>
        </w:tc>
        <w:tc>
          <w:tcPr>
            <w:tcW w:w="5817" w:type="dxa"/>
          </w:tcPr>
          <w:p>
            <w:pPr>
              <w:pStyle w:val="TableParagraph"/>
              <w:spacing w:before="46" w:line="234" w:lineRule="exact"/>
              <w:ind w:left="81"/>
              <w:rPr>
                <w:sz w:val="21"/>
              </w:rPr>
            </w:pPr>
            <w:r>
              <w:rPr>
                <w:color w:val="0F0F0F"/>
                <w:w w:val="105"/>
                <w:sz w:val="21"/>
              </w:rPr>
              <w:t>Investment</w:t>
            </w:r>
            <w:r>
              <w:rPr>
                <w:color w:val="0F0F0F"/>
                <w:spacing w:val="-7"/>
                <w:w w:val="105"/>
                <w:sz w:val="21"/>
              </w:rPr>
              <w:t> </w:t>
            </w:r>
            <w:r>
              <w:rPr>
                <w:color w:val="0F0F0F"/>
                <w:spacing w:val="-2"/>
                <w:w w:val="105"/>
                <w:sz w:val="21"/>
              </w:rPr>
              <w:t>Properties</w:t>
            </w:r>
          </w:p>
        </w:tc>
        <w:tc>
          <w:tcPr>
            <w:tcW w:w="2136" w:type="dxa"/>
          </w:tcPr>
          <w:p>
            <w:pPr>
              <w:pStyle w:val="TableParagraph"/>
              <w:spacing w:before="51" w:line="229" w:lineRule="exact"/>
              <w:ind w:left="1256"/>
              <w:rPr>
                <w:sz w:val="21"/>
              </w:rPr>
            </w:pPr>
            <w:r>
              <w:rPr>
                <w:color w:val="0F0F0F"/>
                <w:spacing w:val="-2"/>
                <w:w w:val="105"/>
                <w:sz w:val="21"/>
              </w:rPr>
              <w:t>10,076</w:t>
            </w:r>
          </w:p>
        </w:tc>
      </w:tr>
      <w:tr>
        <w:trPr>
          <w:trHeight w:val="302" w:hRule="atLeast"/>
        </w:trPr>
        <w:tc>
          <w:tcPr>
            <w:tcW w:w="1646" w:type="dxa"/>
          </w:tcPr>
          <w:p>
            <w:pPr>
              <w:pStyle w:val="TableParagraph"/>
              <w:spacing w:before="1"/>
              <w:ind w:right="122"/>
              <w:jc w:val="right"/>
              <w:rPr>
                <w:sz w:val="21"/>
              </w:rPr>
            </w:pPr>
            <w:r>
              <w:rPr>
                <w:color w:val="0F0F0F"/>
                <w:spacing w:val="-5"/>
                <w:w w:val="105"/>
                <w:sz w:val="21"/>
              </w:rPr>
              <w:t>404</w:t>
            </w:r>
          </w:p>
        </w:tc>
        <w:tc>
          <w:tcPr>
            <w:tcW w:w="5817" w:type="dxa"/>
          </w:tcPr>
          <w:p>
            <w:pPr>
              <w:pStyle w:val="TableParagraph"/>
              <w:spacing w:before="49" w:line="234" w:lineRule="exact"/>
              <w:ind w:left="81"/>
              <w:rPr>
                <w:sz w:val="21"/>
              </w:rPr>
            </w:pPr>
            <w:r>
              <w:rPr>
                <w:color w:val="0F0F0F"/>
                <w:w w:val="105"/>
                <w:sz w:val="21"/>
              </w:rPr>
              <w:t>Intangible</w:t>
            </w:r>
            <w:r>
              <w:rPr>
                <w:color w:val="0F0F0F"/>
                <w:spacing w:val="-9"/>
                <w:w w:val="105"/>
                <w:sz w:val="21"/>
              </w:rPr>
              <w:t> </w:t>
            </w:r>
            <w:r>
              <w:rPr>
                <w:color w:val="0F0F0F"/>
                <w:spacing w:val="-2"/>
                <w:w w:val="105"/>
                <w:sz w:val="21"/>
              </w:rPr>
              <w:t>Assets</w:t>
            </w:r>
          </w:p>
        </w:tc>
        <w:tc>
          <w:tcPr>
            <w:tcW w:w="2136" w:type="dxa"/>
          </w:tcPr>
          <w:p>
            <w:pPr>
              <w:pStyle w:val="TableParagraph"/>
              <w:spacing w:before="49" w:line="234" w:lineRule="exact"/>
              <w:ind w:right="200"/>
              <w:jc w:val="right"/>
              <w:rPr>
                <w:sz w:val="21"/>
              </w:rPr>
            </w:pPr>
            <w:r>
              <w:rPr>
                <w:color w:val="0F0F0F"/>
                <w:spacing w:val="-5"/>
                <w:w w:val="105"/>
                <w:sz w:val="21"/>
              </w:rPr>
              <w:t>372</w:t>
            </w:r>
          </w:p>
        </w:tc>
      </w:tr>
      <w:tr>
        <w:trPr>
          <w:trHeight w:val="300" w:hRule="atLeast"/>
        </w:trPr>
        <w:tc>
          <w:tcPr>
            <w:tcW w:w="1646" w:type="dxa"/>
          </w:tcPr>
          <w:p>
            <w:pPr>
              <w:pStyle w:val="TableParagraph"/>
              <w:spacing w:before="5"/>
              <w:ind w:left="969"/>
              <w:rPr>
                <w:sz w:val="21"/>
              </w:rPr>
            </w:pPr>
            <w:r>
              <w:rPr>
                <w:color w:val="0F0F0F"/>
                <w:spacing w:val="-4"/>
                <w:w w:val="105"/>
                <w:sz w:val="21"/>
              </w:rPr>
              <w:t>5,000</w:t>
            </w:r>
          </w:p>
        </w:tc>
        <w:tc>
          <w:tcPr>
            <w:tcW w:w="5817" w:type="dxa"/>
          </w:tcPr>
          <w:p>
            <w:pPr>
              <w:pStyle w:val="TableParagraph"/>
              <w:spacing w:before="49" w:line="231" w:lineRule="exact"/>
              <w:ind w:left="85"/>
              <w:rPr>
                <w:sz w:val="21"/>
              </w:rPr>
            </w:pPr>
            <w:r>
              <w:rPr>
                <w:color w:val="0F0F0F"/>
                <w:w w:val="105"/>
                <w:sz w:val="21"/>
              </w:rPr>
              <w:t>Long</w:t>
            </w:r>
            <w:r>
              <w:rPr>
                <w:color w:val="0F0F0F"/>
                <w:spacing w:val="-6"/>
                <w:w w:val="105"/>
                <w:sz w:val="21"/>
              </w:rPr>
              <w:t> </w:t>
            </w:r>
            <w:r>
              <w:rPr>
                <w:color w:val="0F0F0F"/>
                <w:w w:val="105"/>
                <w:sz w:val="21"/>
              </w:rPr>
              <w:t>Term</w:t>
            </w:r>
            <w:r>
              <w:rPr>
                <w:color w:val="0F0F0F"/>
                <w:spacing w:val="-6"/>
                <w:w w:val="105"/>
                <w:sz w:val="21"/>
              </w:rPr>
              <w:t> </w:t>
            </w:r>
            <w:r>
              <w:rPr>
                <w:color w:val="0F0F0F"/>
                <w:spacing w:val="-2"/>
                <w:w w:val="105"/>
                <w:sz w:val="21"/>
              </w:rPr>
              <w:t>Investments</w:t>
            </w:r>
          </w:p>
        </w:tc>
        <w:tc>
          <w:tcPr>
            <w:tcW w:w="2136" w:type="dxa"/>
          </w:tcPr>
          <w:p>
            <w:pPr>
              <w:pStyle w:val="TableParagraph"/>
              <w:spacing w:before="49" w:line="231" w:lineRule="exact"/>
              <w:ind w:left="1385"/>
              <w:rPr>
                <w:sz w:val="21"/>
              </w:rPr>
            </w:pPr>
            <w:r>
              <w:rPr>
                <w:color w:val="0F0F0F"/>
                <w:spacing w:val="-4"/>
                <w:w w:val="105"/>
                <w:sz w:val="21"/>
              </w:rPr>
              <w:t>5,000</w:t>
            </w:r>
          </w:p>
        </w:tc>
      </w:tr>
      <w:tr>
        <w:trPr>
          <w:trHeight w:val="315" w:hRule="atLeast"/>
        </w:trPr>
        <w:tc>
          <w:tcPr>
            <w:tcW w:w="1646" w:type="dxa"/>
          </w:tcPr>
          <w:p>
            <w:pPr>
              <w:pStyle w:val="TableParagraph"/>
              <w:spacing w:before="3"/>
              <w:ind w:left="968"/>
              <w:rPr>
                <w:sz w:val="21"/>
              </w:rPr>
            </w:pPr>
            <w:r>
              <w:rPr/>
              <ve:AlternateContent>
                <ve:Choice Requires="wps">
                  <w:drawing>
                    <wp:anchor distT="0" distB="0" distL="0" distR="0" simplePos="0" relativeHeight="475989504" behindDoc="1" locked="0" layoutInCell="1" allowOverlap="1">
                      <wp:simplePos x="0" y="0"/>
                      <wp:positionH relativeFrom="column">
                        <wp:posOffset>65332</wp:posOffset>
                      </wp:positionH>
                      <wp:positionV relativeFrom="paragraph">
                        <wp:posOffset>197169</wp:posOffset>
                      </wp:positionV>
                      <wp:extent cx="970915" cy="6350"/>
                      <wp:effectExtent l="0" t="0" r="0" b="0"/>
                      <wp:wrapNone/>
                      <wp:docPr id="657" name="Group 657"/>
                      <wp:cNvGraphicFramePr>
                        <a:graphicFrameLocks/>
                      </wp:cNvGraphicFramePr>
                      <a:graphic>
                        <a:graphicData uri="http://schemas.microsoft.com/office/word/2010/wordprocessingGroup">
                          <wpg:wgp>
                            <wpg:cNvPr id="657" name="Group 657"/>
                            <wpg:cNvGrpSpPr/>
                            <wpg:grpSpPr>
                              <a:xfrm>
                                <a:off x="0" y="0"/>
                                <a:ext cx="970915" cy="6350"/>
                                <a:chExt cx="970915" cy="6350"/>
                              </a:xfrm>
                            </wpg:grpSpPr>
                            <wps:wsp>
                              <wps:cNvPr id="658" name="Graphic 658"/>
                              <wps:cNvSpPr/>
                              <wps:spPr>
                                <a:xfrm>
                                  <a:off x="0" y="3051"/>
                                  <a:ext cx="970915" cy="1270"/>
                                </a:xfrm>
                                <a:custGeom>
                                  <a:avLst/>
                                  <a:gdLst/>
                                  <a:ahLst/>
                                  <a:cxnLst/>
                                  <a:rect l="l" t="t" r="r" b="b"/>
                                  <a:pathLst>
                                    <a:path w="970915" h="0">
                                      <a:moveTo>
                                        <a:pt x="0" y="0"/>
                                      </a:moveTo>
                                      <a:lnTo>
                                        <a:pt x="970827" y="0"/>
                                      </a:lnTo>
                                    </a:path>
                                  </a:pathLst>
                                </a:custGeom>
                                <a:ln w="6102">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26" style="position:absolute;margin-left:5.144258pt;margin-top:15.525153pt;width:76.45pt;height:.5pt;mso-position-horizontal-relative:column;mso-position-vertical-relative:paragraph;z-index:-27326976" coordsize="1529,10" coordorigin="103,311">
                      <v:line style="position:absolute" stroked="true" strokecolor="#000000" strokeweight=".480548pt" from="103,315" to="1632,315">
                        <v:stroke dashstyle="solid"/>
                      </v:line>
                      <w10:wrap type="none"/>
                    </v:group>
                  </w:pict>
                </ve:Fallback>
              </ve:AlternateContent>
            </w:r>
            <w:r>
              <w:rPr>
                <w:color w:val="0F0F0F"/>
                <w:spacing w:val="-4"/>
                <w:w w:val="105"/>
                <w:sz w:val="21"/>
              </w:rPr>
              <w:t>7</w:t>
            </w:r>
            <w:r>
              <w:rPr>
                <w:color w:val="4B4B4B"/>
                <w:spacing w:val="-4"/>
                <w:w w:val="105"/>
                <w:sz w:val="21"/>
              </w:rPr>
              <w:t>,</w:t>
            </w:r>
            <w:r>
              <w:rPr>
                <w:color w:val="0F0F0F"/>
                <w:spacing w:val="-4"/>
                <w:w w:val="105"/>
                <w:sz w:val="21"/>
              </w:rPr>
              <w:t>119</w:t>
            </w:r>
          </w:p>
        </w:tc>
        <w:tc>
          <w:tcPr>
            <w:tcW w:w="5817" w:type="dxa"/>
          </w:tcPr>
          <w:p>
            <w:pPr>
              <w:pStyle w:val="TableParagraph"/>
              <w:spacing w:before="46"/>
              <w:ind w:left="85"/>
              <w:rPr>
                <w:sz w:val="21"/>
              </w:rPr>
            </w:pPr>
            <w:r>
              <w:rPr>
                <w:color w:val="0F0F0F"/>
                <w:w w:val="105"/>
                <w:sz w:val="21"/>
              </w:rPr>
              <w:t>Long</w:t>
            </w:r>
            <w:r>
              <w:rPr>
                <w:color w:val="0F0F0F"/>
                <w:spacing w:val="-6"/>
                <w:w w:val="105"/>
                <w:sz w:val="21"/>
              </w:rPr>
              <w:t> </w:t>
            </w:r>
            <w:r>
              <w:rPr>
                <w:color w:val="0F0F0F"/>
                <w:w w:val="105"/>
                <w:sz w:val="21"/>
              </w:rPr>
              <w:t>Term</w:t>
            </w:r>
            <w:r>
              <w:rPr>
                <w:color w:val="0F0F0F"/>
                <w:spacing w:val="2"/>
                <w:w w:val="105"/>
                <w:sz w:val="21"/>
              </w:rPr>
              <w:t> </w:t>
            </w:r>
            <w:r>
              <w:rPr>
                <w:color w:val="0F0F0F"/>
                <w:spacing w:val="-2"/>
                <w:w w:val="105"/>
                <w:sz w:val="21"/>
              </w:rPr>
              <w:t>Debtors</w:t>
            </w:r>
          </w:p>
        </w:tc>
        <w:tc>
          <w:tcPr>
            <w:tcW w:w="2136" w:type="dxa"/>
          </w:tcPr>
          <w:p>
            <w:pPr>
              <w:pStyle w:val="TableParagraph"/>
              <w:spacing w:before="51"/>
              <w:ind w:left="1381"/>
              <w:rPr>
                <w:sz w:val="21"/>
              </w:rPr>
            </w:pPr>
            <w:r>
              <w:rPr>
                <w:color w:val="0F0F0F"/>
                <w:spacing w:val="-4"/>
                <w:w w:val="105"/>
                <w:sz w:val="21"/>
              </w:rPr>
              <w:t>6,178</w:t>
            </w:r>
          </w:p>
        </w:tc>
      </w:tr>
      <w:tr>
        <w:trPr>
          <w:trHeight w:val="446" w:hRule="atLeast"/>
        </w:trPr>
        <w:tc>
          <w:tcPr>
            <w:tcW w:w="1646" w:type="dxa"/>
          </w:tcPr>
          <w:p>
            <w:pPr>
              <w:pStyle w:val="TableParagraph"/>
              <w:spacing w:line="237" w:lineRule="exact"/>
              <w:ind w:left="720"/>
              <w:rPr>
                <w:b/>
                <w:sz w:val="21"/>
              </w:rPr>
            </w:pPr>
            <w:r>
              <w:rPr>
                <w:b/>
                <w:color w:val="0F0F0F"/>
                <w:spacing w:val="-2"/>
                <w:w w:val="105"/>
                <w:sz w:val="21"/>
              </w:rPr>
              <w:t>185,974</w:t>
            </w:r>
          </w:p>
        </w:tc>
        <w:tc>
          <w:tcPr>
            <w:tcW w:w="5817" w:type="dxa"/>
          </w:tcPr>
          <w:p>
            <w:pPr>
              <w:pStyle w:val="TableParagraph"/>
              <w:spacing w:before="43"/>
              <w:ind w:left="84"/>
              <w:rPr>
                <w:b/>
                <w:sz w:val="21"/>
              </w:rPr>
            </w:pPr>
            <w:r>
              <w:rPr>
                <w:b/>
                <w:color w:val="0F0F0F"/>
                <w:w w:val="105"/>
                <w:sz w:val="21"/>
              </w:rPr>
              <w:t>Long</w:t>
            </w:r>
            <w:r>
              <w:rPr>
                <w:b/>
                <w:color w:val="0F0F0F"/>
                <w:spacing w:val="-6"/>
                <w:w w:val="105"/>
                <w:sz w:val="21"/>
              </w:rPr>
              <w:t> </w:t>
            </w:r>
            <w:r>
              <w:rPr>
                <w:b/>
                <w:color w:val="0F0F0F"/>
                <w:w w:val="105"/>
                <w:sz w:val="21"/>
              </w:rPr>
              <w:t>Term</w:t>
            </w:r>
            <w:r>
              <w:rPr>
                <w:b/>
                <w:color w:val="0F0F0F"/>
                <w:spacing w:val="6"/>
                <w:w w:val="105"/>
                <w:sz w:val="21"/>
              </w:rPr>
              <w:t> </w:t>
            </w:r>
            <w:r>
              <w:rPr>
                <w:b/>
                <w:color w:val="0F0F0F"/>
                <w:spacing w:val="-2"/>
                <w:w w:val="105"/>
                <w:sz w:val="21"/>
              </w:rPr>
              <w:t>Assets</w:t>
            </w:r>
          </w:p>
        </w:tc>
        <w:tc>
          <w:tcPr>
            <w:tcW w:w="2136" w:type="dxa"/>
          </w:tcPr>
          <w:p>
            <w:pPr>
              <w:pStyle w:val="TableParagraph"/>
              <w:spacing w:line="20" w:lineRule="exact"/>
              <w:rPr>
                <w:sz w:val="2"/>
              </w:rPr>
            </w:pPr>
            <w:r>
              <w:rPr>
                <w:sz w:val="2"/>
              </w:rPr>
              <ve:AlternateContent>
                <ve:Choice Requires="wps">
                  <w:drawing>
                    <wp:inline distT="0" distB="0" distL="0" distR="0">
                      <wp:extent cx="1239520" cy="6350"/>
                      <wp:effectExtent l="9525" t="0" r="0" b="3175"/>
                      <wp:docPr id="659" name="Group 659"/>
                      <wp:cNvGraphicFramePr>
                        <a:graphicFrameLocks/>
                      </wp:cNvGraphicFramePr>
                      <a:graphic>
                        <a:graphicData uri="http://schemas.microsoft.com/office/word/2010/wordprocessingGroup">
                          <wpg:wgp>
                            <wpg:cNvPr id="659" name="Group 659"/>
                            <wpg:cNvGrpSpPr/>
                            <wpg:grpSpPr>
                              <a:xfrm>
                                <a:off x="0" y="0"/>
                                <a:ext cx="1239520" cy="6350"/>
                                <a:chExt cx="1239520" cy="6350"/>
                              </a:xfrm>
                            </wpg:grpSpPr>
                            <wps:wsp>
                              <wps:cNvPr id="660" name="Graphic 660"/>
                              <wps:cNvSpPr/>
                              <wps:spPr>
                                <a:xfrm>
                                  <a:off x="0" y="3051"/>
                                  <a:ext cx="1239520" cy="1270"/>
                                </a:xfrm>
                                <a:custGeom>
                                  <a:avLst/>
                                  <a:gdLst/>
                                  <a:ahLst/>
                                  <a:cxnLst/>
                                  <a:rect l="l" t="t" r="r" b="b"/>
                                  <a:pathLst>
                                    <a:path w="1239520" h="0">
                                      <a:moveTo>
                                        <a:pt x="0" y="0"/>
                                      </a:moveTo>
                                      <a:lnTo>
                                        <a:pt x="1239484" y="0"/>
                                      </a:lnTo>
                                    </a:path>
                                  </a:pathLst>
                                </a:custGeom>
                                <a:ln w="6102">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27" style="width:97.6pt;height:.5pt;mso-position-horizontal-relative:char;mso-position-vertical-relative:line" coordsize="1952,10" coordorigin="0,0">
                      <v:line style="position:absolute" stroked="true" strokecolor="#000000" strokeweight=".480548pt" from="0,5" to="1952,5">
                        <v:stroke dashstyle="solid"/>
                      </v:line>
                    </v:group>
                  </w:pict>
                </ve:Fallback>
              </ve:AlternateContent>
            </w:r>
            <w:r>
              <w:rPr>
                <w:sz w:val="2"/>
              </w:rPr>
            </w:r>
          </w:p>
          <w:p>
            <w:pPr>
              <w:pStyle w:val="TableParagraph"/>
              <w:spacing w:before="23"/>
              <w:ind w:left="1144"/>
              <w:rPr>
                <w:b/>
                <w:sz w:val="21"/>
              </w:rPr>
            </w:pPr>
            <w:r>
              <w:rPr>
                <w:b/>
                <w:color w:val="0F0F0F"/>
                <w:spacing w:val="-2"/>
                <w:w w:val="105"/>
                <w:sz w:val="21"/>
              </w:rPr>
              <w:t>209,549</w:t>
            </w:r>
          </w:p>
        </w:tc>
      </w:tr>
      <w:tr>
        <w:trPr>
          <w:trHeight w:val="451" w:hRule="atLeast"/>
        </w:trPr>
        <w:tc>
          <w:tcPr>
            <w:tcW w:w="1646" w:type="dxa"/>
          </w:tcPr>
          <w:p>
            <w:pPr>
              <w:pStyle w:val="TableParagraph"/>
              <w:spacing w:before="154"/>
              <w:ind w:left="845"/>
              <w:rPr>
                <w:sz w:val="21"/>
              </w:rPr>
            </w:pPr>
            <w:r>
              <w:rPr>
                <w:color w:val="0F0F0F"/>
                <w:spacing w:val="-2"/>
                <w:w w:val="105"/>
                <w:sz w:val="21"/>
              </w:rPr>
              <w:t>40,092</w:t>
            </w:r>
          </w:p>
        </w:tc>
        <w:tc>
          <w:tcPr>
            <w:tcW w:w="5817" w:type="dxa"/>
          </w:tcPr>
          <w:p>
            <w:pPr>
              <w:pStyle w:val="TableParagraph"/>
              <w:spacing w:before="198" w:line="234" w:lineRule="exact"/>
              <w:ind w:left="86"/>
              <w:rPr>
                <w:sz w:val="21"/>
              </w:rPr>
            </w:pPr>
            <w:r>
              <w:rPr>
                <w:color w:val="0F0F0F"/>
                <w:w w:val="105"/>
                <w:sz w:val="21"/>
              </w:rPr>
              <w:t>Short</w:t>
            </w:r>
            <w:r>
              <w:rPr>
                <w:color w:val="0F0F0F"/>
                <w:spacing w:val="-3"/>
                <w:w w:val="105"/>
                <w:sz w:val="21"/>
              </w:rPr>
              <w:t> </w:t>
            </w:r>
            <w:r>
              <w:rPr>
                <w:color w:val="0F0F0F"/>
                <w:w w:val="105"/>
                <w:sz w:val="21"/>
              </w:rPr>
              <w:t>Term</w:t>
            </w:r>
            <w:r>
              <w:rPr>
                <w:color w:val="0F0F0F"/>
                <w:spacing w:val="-9"/>
                <w:w w:val="105"/>
                <w:sz w:val="21"/>
              </w:rPr>
              <w:t> </w:t>
            </w:r>
            <w:r>
              <w:rPr>
                <w:color w:val="0F0F0F"/>
                <w:spacing w:val="-2"/>
                <w:w w:val="105"/>
                <w:sz w:val="21"/>
              </w:rPr>
              <w:t>Investments</w:t>
            </w:r>
          </w:p>
        </w:tc>
        <w:tc>
          <w:tcPr>
            <w:tcW w:w="2136" w:type="dxa"/>
          </w:tcPr>
          <w:p>
            <w:pPr>
              <w:pStyle w:val="TableParagraph"/>
              <w:spacing w:before="202" w:line="229" w:lineRule="exact"/>
              <w:ind w:left="1265"/>
              <w:rPr>
                <w:sz w:val="21"/>
              </w:rPr>
            </w:pPr>
            <w:r>
              <w:rPr>
                <w:color w:val="0F0F0F"/>
                <w:spacing w:val="-2"/>
                <w:w w:val="105"/>
                <w:sz w:val="21"/>
              </w:rPr>
              <w:t>31,371</w:t>
            </w:r>
          </w:p>
        </w:tc>
      </w:tr>
      <w:tr>
        <w:trPr>
          <w:trHeight w:val="302" w:hRule="atLeast"/>
        </w:trPr>
        <w:tc>
          <w:tcPr>
            <w:tcW w:w="1646" w:type="dxa"/>
          </w:tcPr>
          <w:p>
            <w:pPr>
              <w:pStyle w:val="TableParagraph"/>
              <w:spacing w:before="1"/>
              <w:ind w:left="970"/>
              <w:rPr>
                <w:sz w:val="21"/>
              </w:rPr>
            </w:pPr>
            <w:r>
              <w:rPr>
                <w:color w:val="0F0F0F"/>
                <w:spacing w:val="-4"/>
                <w:w w:val="105"/>
                <w:sz w:val="21"/>
              </w:rPr>
              <w:t>4,933</w:t>
            </w:r>
          </w:p>
        </w:tc>
        <w:tc>
          <w:tcPr>
            <w:tcW w:w="5817" w:type="dxa"/>
          </w:tcPr>
          <w:p>
            <w:pPr>
              <w:pStyle w:val="TableParagraph"/>
              <w:spacing w:before="49" w:line="234" w:lineRule="exact"/>
              <w:ind w:left="91"/>
              <w:rPr>
                <w:sz w:val="21"/>
              </w:rPr>
            </w:pPr>
            <w:r>
              <w:rPr>
                <w:color w:val="0F0F0F"/>
                <w:w w:val="105"/>
                <w:sz w:val="21"/>
              </w:rPr>
              <w:t>Short</w:t>
            </w:r>
            <w:r>
              <w:rPr>
                <w:color w:val="0F0F0F"/>
                <w:spacing w:val="-4"/>
                <w:w w:val="105"/>
                <w:sz w:val="21"/>
              </w:rPr>
              <w:t> </w:t>
            </w:r>
            <w:r>
              <w:rPr>
                <w:color w:val="0F0F0F"/>
                <w:w w:val="105"/>
                <w:sz w:val="21"/>
              </w:rPr>
              <w:t>Term</w:t>
            </w:r>
            <w:r>
              <w:rPr>
                <w:color w:val="0F0F0F"/>
                <w:spacing w:val="-4"/>
                <w:w w:val="105"/>
                <w:sz w:val="21"/>
              </w:rPr>
              <w:t> </w:t>
            </w:r>
            <w:r>
              <w:rPr>
                <w:color w:val="0F0F0F"/>
                <w:spacing w:val="-2"/>
                <w:w w:val="105"/>
                <w:sz w:val="21"/>
              </w:rPr>
              <w:t>Debtors</w:t>
            </w:r>
          </w:p>
        </w:tc>
        <w:tc>
          <w:tcPr>
            <w:tcW w:w="2136" w:type="dxa"/>
          </w:tcPr>
          <w:p>
            <w:pPr>
              <w:pStyle w:val="TableParagraph"/>
              <w:spacing w:before="53" w:line="229" w:lineRule="exact"/>
              <w:ind w:left="1266"/>
              <w:rPr>
                <w:sz w:val="21"/>
              </w:rPr>
            </w:pPr>
            <w:r>
              <w:rPr>
                <w:color w:val="0F0F0F"/>
                <w:spacing w:val="-2"/>
                <w:w w:val="105"/>
                <w:sz w:val="21"/>
              </w:rPr>
              <w:t>10,878</w:t>
            </w:r>
          </w:p>
        </w:tc>
      </w:tr>
      <w:tr>
        <w:trPr>
          <w:trHeight w:val="321" w:hRule="atLeast"/>
        </w:trPr>
        <w:tc>
          <w:tcPr>
            <w:tcW w:w="1646" w:type="dxa"/>
          </w:tcPr>
          <w:p>
            <w:pPr>
              <w:pStyle w:val="TableParagraph"/>
              <w:spacing w:before="1"/>
              <w:ind w:right="125"/>
              <w:jc w:val="right"/>
              <w:rPr>
                <w:sz w:val="21"/>
              </w:rPr>
            </w:pPr>
            <w:r>
              <w:rPr>
                <w:color w:val="0F0F0F"/>
                <w:spacing w:val="-5"/>
                <w:w w:val="105"/>
                <w:sz w:val="21"/>
              </w:rPr>
              <w:t>105</w:t>
            </w:r>
          </w:p>
        </w:tc>
        <w:tc>
          <w:tcPr>
            <w:tcW w:w="5817" w:type="dxa"/>
          </w:tcPr>
          <w:p>
            <w:pPr>
              <w:pStyle w:val="TableParagraph"/>
              <w:spacing w:before="49"/>
              <w:ind w:left="86"/>
              <w:rPr>
                <w:sz w:val="21"/>
              </w:rPr>
            </w:pPr>
            <w:r>
              <w:rPr>
                <w:color w:val="0F0F0F"/>
                <w:spacing w:val="-2"/>
                <w:w w:val="105"/>
                <w:sz w:val="21"/>
              </w:rPr>
              <w:t>Inventories</w:t>
            </w:r>
          </w:p>
        </w:tc>
        <w:tc>
          <w:tcPr>
            <w:tcW w:w="2136" w:type="dxa"/>
          </w:tcPr>
          <w:p>
            <w:pPr>
              <w:pStyle w:val="TableParagraph"/>
              <w:spacing w:before="49"/>
              <w:ind w:left="1393"/>
              <w:rPr>
                <w:sz w:val="21"/>
              </w:rPr>
            </w:pPr>
            <w:r>
              <w:rPr>
                <w:color w:val="0F0F0F"/>
                <w:spacing w:val="-4"/>
                <w:w w:val="105"/>
                <w:sz w:val="21"/>
              </w:rPr>
              <w:t>2,072</w:t>
            </w:r>
          </w:p>
        </w:tc>
      </w:tr>
      <w:tr>
        <w:trPr>
          <w:trHeight w:val="291" w:hRule="atLeast"/>
        </w:trPr>
        <w:tc>
          <w:tcPr>
            <w:tcW w:w="1646" w:type="dxa"/>
          </w:tcPr>
          <w:p>
            <w:pPr>
              <w:pStyle w:val="TableParagraph"/>
              <w:spacing w:before="25"/>
              <w:ind w:left="851"/>
              <w:rPr>
                <w:sz w:val="21"/>
              </w:rPr>
            </w:pPr>
            <w:r>
              <w:rPr/>
              <ve:AlternateContent>
                <ve:Choice Requires="wps">
                  <w:drawing>
                    <wp:anchor distT="0" distB="0" distL="0" distR="0" simplePos="0" relativeHeight="475990016" behindDoc="1" locked="0" layoutInCell="1" allowOverlap="1">
                      <wp:simplePos x="0" y="0"/>
                      <wp:positionH relativeFrom="column">
                        <wp:posOffset>65332</wp:posOffset>
                      </wp:positionH>
                      <wp:positionV relativeFrom="paragraph">
                        <wp:posOffset>183675</wp:posOffset>
                      </wp:positionV>
                      <wp:extent cx="970915" cy="6350"/>
                      <wp:effectExtent l="0" t="0" r="0" b="0"/>
                      <wp:wrapNone/>
                      <wp:docPr id="661" name="Group 661"/>
                      <wp:cNvGraphicFramePr>
                        <a:graphicFrameLocks/>
                      </wp:cNvGraphicFramePr>
                      <a:graphic>
                        <a:graphicData uri="http://schemas.microsoft.com/office/word/2010/wordprocessingGroup">
                          <wpg:wgp>
                            <wpg:cNvPr id="661" name="Group 661"/>
                            <wpg:cNvGrpSpPr/>
                            <wpg:grpSpPr>
                              <a:xfrm>
                                <a:off x="0" y="0"/>
                                <a:ext cx="970915" cy="6350"/>
                                <a:chExt cx="970915" cy="6350"/>
                              </a:xfrm>
                            </wpg:grpSpPr>
                            <wps:wsp>
                              <wps:cNvPr id="662" name="Graphic 662"/>
                              <wps:cNvSpPr/>
                              <wps:spPr>
                                <a:xfrm>
                                  <a:off x="0" y="3051"/>
                                  <a:ext cx="970915" cy="1270"/>
                                </a:xfrm>
                                <a:custGeom>
                                  <a:avLst/>
                                  <a:gdLst/>
                                  <a:ahLst/>
                                  <a:cxnLst/>
                                  <a:rect l="l" t="t" r="r" b="b"/>
                                  <a:pathLst>
                                    <a:path w="970915" h="0">
                                      <a:moveTo>
                                        <a:pt x="0" y="0"/>
                                      </a:moveTo>
                                      <a:lnTo>
                                        <a:pt x="970827" y="0"/>
                                      </a:lnTo>
                                    </a:path>
                                  </a:pathLst>
                                </a:custGeom>
                                <a:ln w="6102">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28" style="position:absolute;margin-left:5.144258pt;margin-top:14.462668pt;width:76.45pt;height:.5pt;mso-position-horizontal-relative:column;mso-position-vertical-relative:paragraph;z-index:-27326464" coordsize="1529,10" coordorigin="103,289">
                      <v:line style="position:absolute" stroked="true" strokecolor="#000000" strokeweight=".480548pt" from="103,294" to="1632,294">
                        <v:stroke dashstyle="solid"/>
                      </v:line>
                      <w10:wrap type="none"/>
                    </v:group>
                  </w:pict>
                </ve:Fallback>
              </ve:AlternateContent>
            </w:r>
            <w:r>
              <w:rPr>
                <w:color w:val="0F0F0F"/>
                <w:spacing w:val="-2"/>
                <w:w w:val="105"/>
                <w:sz w:val="21"/>
              </w:rPr>
              <w:t>29</w:t>
            </w:r>
            <w:r>
              <w:rPr>
                <w:color w:val="4B4B4B"/>
                <w:spacing w:val="-2"/>
                <w:w w:val="105"/>
                <w:sz w:val="21"/>
              </w:rPr>
              <w:t>,</w:t>
            </w:r>
            <w:r>
              <w:rPr>
                <w:color w:val="0F0F0F"/>
                <w:spacing w:val="-2"/>
                <w:w w:val="105"/>
                <w:sz w:val="21"/>
              </w:rPr>
              <w:t>547</w:t>
            </w:r>
          </w:p>
        </w:tc>
        <w:tc>
          <w:tcPr>
            <w:tcW w:w="5817" w:type="dxa"/>
          </w:tcPr>
          <w:p>
            <w:pPr>
              <w:pStyle w:val="TableParagraph"/>
              <w:spacing w:before="25"/>
              <w:ind w:left="85"/>
              <w:rPr>
                <w:sz w:val="21"/>
              </w:rPr>
            </w:pPr>
            <w:r>
              <w:rPr>
                <w:color w:val="0F0F0F"/>
                <w:w w:val="105"/>
                <w:sz w:val="21"/>
              </w:rPr>
              <w:t>Cash</w:t>
            </w:r>
            <w:r>
              <w:rPr>
                <w:color w:val="0F0F0F"/>
                <w:spacing w:val="2"/>
                <w:w w:val="105"/>
                <w:sz w:val="21"/>
              </w:rPr>
              <w:t> </w:t>
            </w:r>
            <w:r>
              <w:rPr>
                <w:color w:val="0F0F0F"/>
                <w:w w:val="105"/>
                <w:sz w:val="21"/>
              </w:rPr>
              <w:t>and</w:t>
            </w:r>
            <w:r>
              <w:rPr>
                <w:color w:val="0F0F0F"/>
                <w:spacing w:val="-10"/>
                <w:w w:val="105"/>
                <w:sz w:val="21"/>
              </w:rPr>
              <w:t> </w:t>
            </w:r>
            <w:r>
              <w:rPr>
                <w:color w:val="0F0F0F"/>
                <w:w w:val="105"/>
                <w:sz w:val="21"/>
              </w:rPr>
              <w:t>Cash</w:t>
            </w:r>
            <w:r>
              <w:rPr>
                <w:color w:val="0F0F0F"/>
                <w:spacing w:val="-6"/>
                <w:w w:val="105"/>
                <w:sz w:val="21"/>
              </w:rPr>
              <w:t> </w:t>
            </w:r>
            <w:r>
              <w:rPr>
                <w:color w:val="0F0F0F"/>
                <w:spacing w:val="-2"/>
                <w:w w:val="105"/>
                <w:sz w:val="21"/>
              </w:rPr>
              <w:t>Equivalents</w:t>
            </w:r>
          </w:p>
        </w:tc>
        <w:tc>
          <w:tcPr>
            <w:tcW w:w="2136" w:type="dxa"/>
          </w:tcPr>
          <w:p>
            <w:pPr>
              <w:pStyle w:val="TableParagraph"/>
              <w:spacing w:before="25"/>
              <w:ind w:left="1265"/>
              <w:rPr>
                <w:sz w:val="21"/>
              </w:rPr>
            </w:pPr>
            <w:r>
              <w:rPr>
                <w:color w:val="0F0F0F"/>
                <w:spacing w:val="-2"/>
                <w:w w:val="105"/>
                <w:sz w:val="21"/>
              </w:rPr>
              <w:t>30</w:t>
            </w:r>
            <w:r>
              <w:rPr>
                <w:color w:val="4B4B4B"/>
                <w:spacing w:val="-2"/>
                <w:w w:val="105"/>
                <w:sz w:val="21"/>
              </w:rPr>
              <w:t>,</w:t>
            </w:r>
            <w:r>
              <w:rPr>
                <w:color w:val="0F0F0F"/>
                <w:spacing w:val="-2"/>
                <w:w w:val="105"/>
                <w:sz w:val="21"/>
              </w:rPr>
              <w:t>816</w:t>
            </w:r>
          </w:p>
        </w:tc>
      </w:tr>
      <w:tr>
        <w:trPr>
          <w:trHeight w:val="446" w:hRule="atLeast"/>
        </w:trPr>
        <w:tc>
          <w:tcPr>
            <w:tcW w:w="1646" w:type="dxa"/>
          </w:tcPr>
          <w:p>
            <w:pPr>
              <w:pStyle w:val="TableParagraph"/>
              <w:spacing w:line="232" w:lineRule="exact"/>
              <w:ind w:left="848"/>
              <w:rPr>
                <w:b/>
                <w:sz w:val="21"/>
              </w:rPr>
            </w:pPr>
            <w:r>
              <w:rPr>
                <w:b/>
                <w:color w:val="0F0F0F"/>
                <w:spacing w:val="-2"/>
                <w:w w:val="105"/>
                <w:sz w:val="21"/>
              </w:rPr>
              <w:t>74,677</w:t>
            </w:r>
          </w:p>
        </w:tc>
        <w:tc>
          <w:tcPr>
            <w:tcW w:w="5817" w:type="dxa"/>
          </w:tcPr>
          <w:p>
            <w:pPr>
              <w:pStyle w:val="TableParagraph"/>
              <w:spacing w:before="41"/>
              <w:ind w:left="86"/>
              <w:rPr>
                <w:b/>
                <w:sz w:val="21"/>
              </w:rPr>
            </w:pPr>
            <w:r>
              <w:rPr>
                <w:b/>
                <w:color w:val="0F0F0F"/>
                <w:w w:val="105"/>
                <w:sz w:val="21"/>
              </w:rPr>
              <w:t>Current</w:t>
            </w:r>
            <w:r>
              <w:rPr>
                <w:b/>
                <w:color w:val="0F0F0F"/>
                <w:spacing w:val="6"/>
                <w:w w:val="105"/>
                <w:sz w:val="21"/>
              </w:rPr>
              <w:t> </w:t>
            </w:r>
            <w:r>
              <w:rPr>
                <w:b/>
                <w:color w:val="0F0F0F"/>
                <w:spacing w:val="-2"/>
                <w:w w:val="105"/>
                <w:sz w:val="21"/>
              </w:rPr>
              <w:t>Assets</w:t>
            </w:r>
          </w:p>
        </w:tc>
        <w:tc>
          <w:tcPr>
            <w:tcW w:w="2136" w:type="dxa"/>
          </w:tcPr>
          <w:p>
            <w:pPr>
              <w:pStyle w:val="TableParagraph"/>
              <w:spacing w:line="20" w:lineRule="exact"/>
              <w:rPr>
                <w:sz w:val="2"/>
              </w:rPr>
            </w:pPr>
            <w:r>
              <w:rPr>
                <w:sz w:val="2"/>
              </w:rPr>
              <ve:AlternateContent>
                <ve:Choice Requires="wps">
                  <w:drawing>
                    <wp:inline distT="0" distB="0" distL="0" distR="0">
                      <wp:extent cx="1239520" cy="6350"/>
                      <wp:effectExtent l="9525" t="0" r="0" b="3175"/>
                      <wp:docPr id="663" name="Group 663"/>
                      <wp:cNvGraphicFramePr>
                        <a:graphicFrameLocks/>
                      </wp:cNvGraphicFramePr>
                      <a:graphic>
                        <a:graphicData uri="http://schemas.microsoft.com/office/word/2010/wordprocessingGroup">
                          <wpg:wgp>
                            <wpg:cNvPr id="663" name="Group 663"/>
                            <wpg:cNvGrpSpPr/>
                            <wpg:grpSpPr>
                              <a:xfrm>
                                <a:off x="0" y="0"/>
                                <a:ext cx="1239520" cy="6350"/>
                                <a:chExt cx="1239520" cy="6350"/>
                              </a:xfrm>
                            </wpg:grpSpPr>
                            <wps:wsp>
                              <wps:cNvPr id="664" name="Graphic 664"/>
                              <wps:cNvSpPr/>
                              <wps:spPr>
                                <a:xfrm>
                                  <a:off x="0" y="3051"/>
                                  <a:ext cx="1239520" cy="1270"/>
                                </a:xfrm>
                                <a:custGeom>
                                  <a:avLst/>
                                  <a:gdLst/>
                                  <a:ahLst/>
                                  <a:cxnLst/>
                                  <a:rect l="l" t="t" r="r" b="b"/>
                                  <a:pathLst>
                                    <a:path w="1239520" h="0">
                                      <a:moveTo>
                                        <a:pt x="0" y="0"/>
                                      </a:moveTo>
                                      <a:lnTo>
                                        <a:pt x="1239484" y="0"/>
                                      </a:lnTo>
                                    </a:path>
                                  </a:pathLst>
                                </a:custGeom>
                                <a:ln w="6102">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29" style="width:97.6pt;height:.5pt;mso-position-horizontal-relative:char;mso-position-vertical-relative:line" coordsize="1952,10" coordorigin="0,0">
                      <v:line style="position:absolute" stroked="true" strokecolor="#000000" strokeweight=".480548pt" from="0,5" to="1952,5">
                        <v:stroke dashstyle="solid"/>
                      </v:line>
                    </v:group>
                  </w:pict>
                </ve:Fallback>
              </ve:AlternateContent>
            </w:r>
            <w:r>
              <w:rPr>
                <w:sz w:val="2"/>
              </w:rPr>
            </w:r>
          </w:p>
          <w:p>
            <w:pPr>
              <w:pStyle w:val="TableParagraph"/>
              <w:spacing w:before="23"/>
              <w:ind w:left="1265"/>
              <w:rPr>
                <w:b/>
                <w:sz w:val="21"/>
              </w:rPr>
            </w:pPr>
            <w:r>
              <w:rPr>
                <w:b/>
                <w:color w:val="0F0F0F"/>
                <w:spacing w:val="-2"/>
                <w:w w:val="105"/>
                <w:sz w:val="21"/>
              </w:rPr>
              <w:t>75,137</w:t>
            </w:r>
          </w:p>
        </w:tc>
      </w:tr>
      <w:tr>
        <w:trPr>
          <w:trHeight w:val="449" w:hRule="atLeast"/>
        </w:trPr>
        <w:tc>
          <w:tcPr>
            <w:tcW w:w="1646" w:type="dxa"/>
          </w:tcPr>
          <w:p>
            <w:pPr>
              <w:pStyle w:val="TableParagraph"/>
              <w:spacing w:before="152"/>
              <w:ind w:left="705"/>
              <w:rPr>
                <w:sz w:val="21"/>
              </w:rPr>
            </w:pPr>
            <w:r>
              <w:rPr>
                <w:color w:val="0F0F0F"/>
                <w:spacing w:val="-2"/>
                <w:w w:val="105"/>
                <w:sz w:val="21"/>
              </w:rPr>
              <w:t>(25,906)</w:t>
            </w:r>
          </w:p>
        </w:tc>
        <w:tc>
          <w:tcPr>
            <w:tcW w:w="5817" w:type="dxa"/>
          </w:tcPr>
          <w:p>
            <w:pPr>
              <w:pStyle w:val="TableParagraph"/>
              <w:spacing w:before="200" w:line="229" w:lineRule="exact"/>
              <w:ind w:left="86"/>
              <w:rPr>
                <w:sz w:val="21"/>
              </w:rPr>
            </w:pPr>
            <w:r>
              <w:rPr>
                <w:color w:val="0F0F0F"/>
                <w:w w:val="105"/>
                <w:sz w:val="21"/>
              </w:rPr>
              <w:t>Short</w:t>
            </w:r>
            <w:r>
              <w:rPr>
                <w:color w:val="0F0F0F"/>
                <w:spacing w:val="-1"/>
                <w:w w:val="105"/>
                <w:sz w:val="21"/>
              </w:rPr>
              <w:t> </w:t>
            </w:r>
            <w:r>
              <w:rPr>
                <w:color w:val="0F0F0F"/>
                <w:w w:val="105"/>
                <w:sz w:val="21"/>
              </w:rPr>
              <w:t>Term</w:t>
            </w:r>
            <w:r>
              <w:rPr>
                <w:color w:val="0F0F0F"/>
                <w:spacing w:val="-7"/>
                <w:w w:val="105"/>
                <w:sz w:val="21"/>
              </w:rPr>
              <w:t> </w:t>
            </w:r>
            <w:r>
              <w:rPr>
                <w:color w:val="0F0F0F"/>
                <w:spacing w:val="-2"/>
                <w:w w:val="105"/>
                <w:sz w:val="21"/>
              </w:rPr>
              <w:t>Creditors</w:t>
            </w:r>
          </w:p>
        </w:tc>
        <w:tc>
          <w:tcPr>
            <w:tcW w:w="2136" w:type="dxa"/>
          </w:tcPr>
          <w:p>
            <w:pPr>
              <w:pStyle w:val="TableParagraph"/>
              <w:spacing w:before="200" w:line="229" w:lineRule="exact"/>
              <w:ind w:left="1122"/>
              <w:rPr>
                <w:sz w:val="21"/>
              </w:rPr>
            </w:pPr>
            <w:r>
              <w:rPr>
                <w:color w:val="0F0F0F"/>
                <w:spacing w:val="-2"/>
                <w:w w:val="105"/>
                <w:sz w:val="21"/>
              </w:rPr>
              <w:t>(31,608)</w:t>
            </w:r>
          </w:p>
        </w:tc>
      </w:tr>
      <w:tr>
        <w:trPr>
          <w:trHeight w:val="315" w:hRule="atLeast"/>
        </w:trPr>
        <w:tc>
          <w:tcPr>
            <w:tcW w:w="1646" w:type="dxa"/>
          </w:tcPr>
          <w:p>
            <w:pPr>
              <w:pStyle w:val="TableParagraph"/>
              <w:spacing w:before="1"/>
              <w:ind w:left="825"/>
              <w:rPr>
                <w:sz w:val="21"/>
              </w:rPr>
            </w:pPr>
            <w:r>
              <w:rPr/>
              <ve:AlternateContent>
                <ve:Choice Requires="wps">
                  <w:drawing>
                    <wp:anchor distT="0" distB="0" distL="0" distR="0" simplePos="0" relativeHeight="475990528" behindDoc="1" locked="0" layoutInCell="1" allowOverlap="1">
                      <wp:simplePos x="0" y="0"/>
                      <wp:positionH relativeFrom="column">
                        <wp:posOffset>65332</wp:posOffset>
                      </wp:positionH>
                      <wp:positionV relativeFrom="paragraph">
                        <wp:posOffset>202002</wp:posOffset>
                      </wp:positionV>
                      <wp:extent cx="970915" cy="6350"/>
                      <wp:effectExtent l="0" t="0" r="0" b="0"/>
                      <wp:wrapNone/>
                      <wp:docPr id="665" name="Group 665"/>
                      <wp:cNvGraphicFramePr>
                        <a:graphicFrameLocks/>
                      </wp:cNvGraphicFramePr>
                      <a:graphic>
                        <a:graphicData uri="http://schemas.microsoft.com/office/word/2010/wordprocessingGroup">
                          <wpg:wgp>
                            <wpg:cNvPr id="665" name="Group 665"/>
                            <wpg:cNvGrpSpPr/>
                            <wpg:grpSpPr>
                              <a:xfrm>
                                <a:off x="0" y="0"/>
                                <a:ext cx="970915" cy="6350"/>
                                <a:chExt cx="970915" cy="6350"/>
                              </a:xfrm>
                            </wpg:grpSpPr>
                            <wps:wsp>
                              <wps:cNvPr id="666" name="Graphic 666"/>
                              <wps:cNvSpPr/>
                              <wps:spPr>
                                <a:xfrm>
                                  <a:off x="0" y="3051"/>
                                  <a:ext cx="970915" cy="1270"/>
                                </a:xfrm>
                                <a:custGeom>
                                  <a:avLst/>
                                  <a:gdLst/>
                                  <a:ahLst/>
                                  <a:cxnLst/>
                                  <a:rect l="l" t="t" r="r" b="b"/>
                                  <a:pathLst>
                                    <a:path w="970915" h="0">
                                      <a:moveTo>
                                        <a:pt x="0" y="0"/>
                                      </a:moveTo>
                                      <a:lnTo>
                                        <a:pt x="970827" y="0"/>
                                      </a:lnTo>
                                    </a:path>
                                  </a:pathLst>
                                </a:custGeom>
                                <a:ln w="6102">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30" style="position:absolute;margin-left:5.144258pt;margin-top:15.905737pt;width:76.45pt;height:.5pt;mso-position-horizontal-relative:column;mso-position-vertical-relative:paragraph;z-index:-27325952" coordsize="1529,10" coordorigin="103,318">
                      <v:line style="position:absolute" stroked="true" strokecolor="#000000" strokeweight=".480548pt" from="103,323" to="1632,323">
                        <v:stroke dashstyle="solid"/>
                      </v:line>
                      <w10:wrap type="none"/>
                    </v:group>
                  </w:pict>
                </ve:Fallback>
              </ve:AlternateContent>
            </w:r>
            <w:r>
              <w:rPr>
                <w:color w:val="0F0F0F"/>
                <w:spacing w:val="-2"/>
                <w:sz w:val="21"/>
              </w:rPr>
              <w:t>(1,373)</w:t>
            </w:r>
          </w:p>
        </w:tc>
        <w:tc>
          <w:tcPr>
            <w:tcW w:w="5817" w:type="dxa"/>
          </w:tcPr>
          <w:p>
            <w:pPr>
              <w:pStyle w:val="TableParagraph"/>
              <w:spacing w:before="49"/>
              <w:ind w:left="84"/>
              <w:rPr>
                <w:sz w:val="21"/>
              </w:rPr>
            </w:pPr>
            <w:r>
              <w:rPr>
                <w:color w:val="0F0F0F"/>
                <w:spacing w:val="-2"/>
                <w:w w:val="105"/>
                <w:sz w:val="21"/>
              </w:rPr>
              <w:t>Provisions</w:t>
            </w:r>
          </w:p>
        </w:tc>
        <w:tc>
          <w:tcPr>
            <w:tcW w:w="2136" w:type="dxa"/>
          </w:tcPr>
          <w:p>
            <w:pPr>
              <w:pStyle w:val="TableParagraph"/>
              <w:spacing w:before="53"/>
              <w:ind w:right="193"/>
              <w:jc w:val="right"/>
              <w:rPr>
                <w:sz w:val="21"/>
              </w:rPr>
            </w:pPr>
            <w:r>
              <w:rPr>
                <w:color w:val="0F0F0F"/>
                <w:spacing w:val="-2"/>
                <w:w w:val="105"/>
                <w:sz w:val="21"/>
              </w:rPr>
              <w:t>(420)</w:t>
            </w:r>
          </w:p>
        </w:tc>
      </w:tr>
      <w:tr>
        <w:trPr>
          <w:trHeight w:val="441" w:hRule="atLeast"/>
        </w:trPr>
        <w:tc>
          <w:tcPr>
            <w:tcW w:w="1646" w:type="dxa"/>
          </w:tcPr>
          <w:p>
            <w:pPr>
              <w:pStyle w:val="TableParagraph"/>
              <w:spacing w:line="227" w:lineRule="exact"/>
              <w:ind w:left="702"/>
              <w:rPr>
                <w:b/>
                <w:sz w:val="21"/>
              </w:rPr>
            </w:pPr>
            <w:r>
              <w:rPr>
                <w:b/>
                <w:color w:val="0F0F0F"/>
                <w:spacing w:val="-2"/>
                <w:w w:val="105"/>
                <w:sz w:val="21"/>
              </w:rPr>
              <w:t>(27,279)</w:t>
            </w:r>
          </w:p>
        </w:tc>
        <w:tc>
          <w:tcPr>
            <w:tcW w:w="5817" w:type="dxa"/>
          </w:tcPr>
          <w:p>
            <w:pPr>
              <w:pStyle w:val="TableParagraph"/>
              <w:spacing w:before="41"/>
              <w:ind w:left="86"/>
              <w:rPr>
                <w:b/>
                <w:sz w:val="21"/>
              </w:rPr>
            </w:pPr>
            <w:r>
              <w:rPr>
                <w:b/>
                <w:color w:val="0F0F0F"/>
                <w:w w:val="105"/>
                <w:sz w:val="21"/>
              </w:rPr>
              <w:t>Current</w:t>
            </w:r>
            <w:r>
              <w:rPr>
                <w:b/>
                <w:color w:val="0F0F0F"/>
                <w:spacing w:val="-1"/>
                <w:w w:val="105"/>
                <w:sz w:val="21"/>
              </w:rPr>
              <w:t> </w:t>
            </w:r>
            <w:r>
              <w:rPr>
                <w:b/>
                <w:color w:val="0F0F0F"/>
                <w:spacing w:val="-2"/>
                <w:w w:val="105"/>
                <w:sz w:val="21"/>
              </w:rPr>
              <w:t>Liabilities</w:t>
            </w:r>
          </w:p>
        </w:tc>
        <w:tc>
          <w:tcPr>
            <w:tcW w:w="2136" w:type="dxa"/>
          </w:tcPr>
          <w:p>
            <w:pPr>
              <w:pStyle w:val="TableParagraph"/>
              <w:spacing w:line="20" w:lineRule="exact"/>
              <w:rPr>
                <w:sz w:val="2"/>
              </w:rPr>
            </w:pPr>
            <w:r>
              <w:rPr>
                <w:sz w:val="2"/>
              </w:rPr>
              <ve:AlternateContent>
                <ve:Choice Requires="wps">
                  <w:drawing>
                    <wp:inline distT="0" distB="0" distL="0" distR="0">
                      <wp:extent cx="1239520" cy="6350"/>
                      <wp:effectExtent l="9525" t="0" r="0" b="3175"/>
                      <wp:docPr id="667" name="Group 667"/>
                      <wp:cNvGraphicFramePr>
                        <a:graphicFrameLocks/>
                      </wp:cNvGraphicFramePr>
                      <a:graphic>
                        <a:graphicData uri="http://schemas.microsoft.com/office/word/2010/wordprocessingGroup">
                          <wpg:wgp>
                            <wpg:cNvPr id="667" name="Group 667"/>
                            <wpg:cNvGrpSpPr/>
                            <wpg:grpSpPr>
                              <a:xfrm>
                                <a:off x="0" y="0"/>
                                <a:ext cx="1239520" cy="6350"/>
                                <a:chExt cx="1239520" cy="6350"/>
                              </a:xfrm>
                            </wpg:grpSpPr>
                            <wps:wsp>
                              <wps:cNvPr id="668" name="Graphic 668"/>
                              <wps:cNvSpPr/>
                              <wps:spPr>
                                <a:xfrm>
                                  <a:off x="0" y="3051"/>
                                  <a:ext cx="1239520" cy="1270"/>
                                </a:xfrm>
                                <a:custGeom>
                                  <a:avLst/>
                                  <a:gdLst/>
                                  <a:ahLst/>
                                  <a:cxnLst/>
                                  <a:rect l="l" t="t" r="r" b="b"/>
                                  <a:pathLst>
                                    <a:path w="1239520" h="0">
                                      <a:moveTo>
                                        <a:pt x="0" y="0"/>
                                      </a:moveTo>
                                      <a:lnTo>
                                        <a:pt x="1239484" y="0"/>
                                      </a:lnTo>
                                    </a:path>
                                  </a:pathLst>
                                </a:custGeom>
                                <a:ln w="6102">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31" style="width:97.6pt;height:.5pt;mso-position-horizontal-relative:char;mso-position-vertical-relative:line" coordsize="1952,10" coordorigin="0,0">
                      <v:line style="position:absolute" stroked="true" strokecolor="#000000" strokeweight=".480548pt" from="0,5" to="1952,5">
                        <v:stroke dashstyle="solid"/>
                      </v:line>
                    </v:group>
                  </w:pict>
                </ve:Fallback>
              </ve:AlternateContent>
            </w:r>
            <w:r>
              <w:rPr>
                <w:sz w:val="2"/>
              </w:rPr>
            </w:r>
          </w:p>
          <w:p>
            <w:pPr>
              <w:pStyle w:val="TableParagraph"/>
              <w:spacing w:before="13"/>
              <w:ind w:left="1124"/>
              <w:rPr>
                <w:b/>
                <w:sz w:val="21"/>
              </w:rPr>
            </w:pPr>
            <w:r>
              <w:rPr>
                <w:b/>
                <w:color w:val="0F0F0F"/>
                <w:spacing w:val="-2"/>
                <w:w w:val="105"/>
                <w:sz w:val="21"/>
              </w:rPr>
              <w:t>(32,028)</w:t>
            </w:r>
          </w:p>
        </w:tc>
      </w:tr>
      <w:tr>
        <w:trPr>
          <w:trHeight w:val="454" w:hRule="atLeast"/>
        </w:trPr>
        <w:tc>
          <w:tcPr>
            <w:tcW w:w="1646" w:type="dxa"/>
          </w:tcPr>
          <w:p>
            <w:pPr>
              <w:pStyle w:val="TableParagraph"/>
              <w:spacing w:before="152"/>
              <w:ind w:left="1008"/>
              <w:rPr>
                <w:sz w:val="21"/>
              </w:rPr>
            </w:pPr>
            <w:r>
              <w:rPr>
                <w:color w:val="0F0F0F"/>
                <w:spacing w:val="-2"/>
                <w:w w:val="105"/>
                <w:sz w:val="21"/>
              </w:rPr>
              <w:t>(182)</w:t>
            </w:r>
          </w:p>
        </w:tc>
        <w:tc>
          <w:tcPr>
            <w:tcW w:w="5817" w:type="dxa"/>
          </w:tcPr>
          <w:p>
            <w:pPr>
              <w:pStyle w:val="TableParagraph"/>
              <w:spacing w:before="200" w:line="234" w:lineRule="exact"/>
              <w:ind w:left="84"/>
              <w:rPr>
                <w:sz w:val="21"/>
              </w:rPr>
            </w:pPr>
            <w:r>
              <w:rPr>
                <w:color w:val="0F0F0F"/>
                <w:spacing w:val="-2"/>
                <w:w w:val="105"/>
                <w:sz w:val="21"/>
              </w:rPr>
              <w:t>Provisions</w:t>
            </w:r>
          </w:p>
        </w:tc>
        <w:tc>
          <w:tcPr>
            <w:tcW w:w="2136" w:type="dxa"/>
          </w:tcPr>
          <w:p>
            <w:pPr>
              <w:pStyle w:val="TableParagraph"/>
              <w:spacing w:before="205" w:line="229" w:lineRule="exact"/>
              <w:ind w:right="188"/>
              <w:jc w:val="right"/>
              <w:rPr>
                <w:sz w:val="21"/>
              </w:rPr>
            </w:pPr>
            <w:r>
              <w:rPr>
                <w:color w:val="0F0F0F"/>
                <w:spacing w:val="-4"/>
                <w:w w:val="105"/>
                <w:sz w:val="21"/>
              </w:rPr>
              <w:t>(56)</w:t>
            </w:r>
          </w:p>
        </w:tc>
      </w:tr>
      <w:tr>
        <w:trPr>
          <w:trHeight w:val="297" w:hRule="atLeast"/>
        </w:trPr>
        <w:tc>
          <w:tcPr>
            <w:tcW w:w="1646" w:type="dxa"/>
          </w:tcPr>
          <w:p>
            <w:pPr>
              <w:pStyle w:val="TableParagraph"/>
              <w:spacing w:before="1"/>
              <w:ind w:left="705"/>
              <w:rPr>
                <w:sz w:val="21"/>
              </w:rPr>
            </w:pPr>
            <w:r>
              <w:rPr>
                <w:color w:val="0F0F0F"/>
                <w:spacing w:val="-2"/>
                <w:w w:val="105"/>
                <w:sz w:val="21"/>
              </w:rPr>
              <w:t>(40,287)</w:t>
            </w:r>
          </w:p>
        </w:tc>
        <w:tc>
          <w:tcPr>
            <w:tcW w:w="5817" w:type="dxa"/>
          </w:tcPr>
          <w:p>
            <w:pPr>
              <w:pStyle w:val="TableParagraph"/>
              <w:spacing w:before="49" w:line="229" w:lineRule="exact"/>
              <w:ind w:left="90"/>
              <w:rPr>
                <w:sz w:val="21"/>
              </w:rPr>
            </w:pPr>
            <w:r>
              <w:rPr>
                <w:color w:val="0F0F0F"/>
                <w:w w:val="105"/>
                <w:sz w:val="21"/>
              </w:rPr>
              <w:t>Liability</w:t>
            </w:r>
            <w:r>
              <w:rPr>
                <w:color w:val="0F0F0F"/>
                <w:spacing w:val="-3"/>
                <w:w w:val="105"/>
                <w:sz w:val="21"/>
              </w:rPr>
              <w:t> </w:t>
            </w:r>
            <w:r>
              <w:rPr>
                <w:color w:val="0F0F0F"/>
                <w:w w:val="105"/>
                <w:sz w:val="21"/>
              </w:rPr>
              <w:t>related</w:t>
            </w:r>
            <w:r>
              <w:rPr>
                <w:color w:val="0F0F0F"/>
                <w:spacing w:val="-9"/>
                <w:w w:val="105"/>
                <w:sz w:val="21"/>
              </w:rPr>
              <w:t> </w:t>
            </w:r>
            <w:r>
              <w:rPr>
                <w:color w:val="0F0F0F"/>
                <w:w w:val="105"/>
                <w:sz w:val="21"/>
              </w:rPr>
              <w:t>to</w:t>
            </w:r>
            <w:r>
              <w:rPr>
                <w:color w:val="0F0F0F"/>
                <w:spacing w:val="-9"/>
                <w:w w:val="105"/>
                <w:sz w:val="21"/>
              </w:rPr>
              <w:t> </w:t>
            </w:r>
            <w:r>
              <w:rPr>
                <w:color w:val="0F0F0F"/>
                <w:w w:val="105"/>
                <w:sz w:val="21"/>
              </w:rPr>
              <w:t>defined</w:t>
            </w:r>
            <w:r>
              <w:rPr>
                <w:color w:val="0F0F0F"/>
                <w:spacing w:val="-6"/>
                <w:w w:val="105"/>
                <w:sz w:val="21"/>
              </w:rPr>
              <w:t> </w:t>
            </w:r>
            <w:r>
              <w:rPr>
                <w:color w:val="0F0F0F"/>
                <w:w w:val="105"/>
                <w:sz w:val="21"/>
              </w:rPr>
              <w:t>benefit</w:t>
            </w:r>
            <w:r>
              <w:rPr>
                <w:color w:val="0F0F0F"/>
                <w:spacing w:val="-1"/>
                <w:w w:val="105"/>
                <w:sz w:val="21"/>
              </w:rPr>
              <w:t> </w:t>
            </w:r>
            <w:r>
              <w:rPr>
                <w:color w:val="0F0F0F"/>
                <w:w w:val="105"/>
                <w:sz w:val="21"/>
              </w:rPr>
              <w:t>pension</w:t>
            </w:r>
            <w:r>
              <w:rPr>
                <w:color w:val="0F0F0F"/>
                <w:spacing w:val="-4"/>
                <w:w w:val="105"/>
                <w:sz w:val="21"/>
              </w:rPr>
              <w:t> </w:t>
            </w:r>
            <w:r>
              <w:rPr>
                <w:color w:val="0F0F0F"/>
                <w:spacing w:val="-2"/>
                <w:w w:val="105"/>
                <w:sz w:val="21"/>
              </w:rPr>
              <w:t>scheme</w:t>
            </w:r>
          </w:p>
        </w:tc>
        <w:tc>
          <w:tcPr>
            <w:tcW w:w="2136" w:type="dxa"/>
          </w:tcPr>
          <w:p>
            <w:pPr>
              <w:pStyle w:val="TableParagraph"/>
              <w:spacing w:before="49" w:line="229" w:lineRule="exact"/>
              <w:ind w:left="1131"/>
              <w:rPr>
                <w:sz w:val="21"/>
              </w:rPr>
            </w:pPr>
            <w:r>
              <w:rPr>
                <w:color w:val="0F0F0F"/>
                <w:spacing w:val="-2"/>
                <w:w w:val="105"/>
                <w:sz w:val="21"/>
              </w:rPr>
              <w:t>(10,637)</w:t>
            </w:r>
          </w:p>
        </w:tc>
      </w:tr>
      <w:tr>
        <w:trPr>
          <w:trHeight w:val="302" w:hRule="atLeast"/>
        </w:trPr>
        <w:tc>
          <w:tcPr>
            <w:tcW w:w="1646" w:type="dxa"/>
          </w:tcPr>
          <w:p>
            <w:pPr>
              <w:pStyle w:val="TableParagraph"/>
              <w:spacing w:before="1"/>
              <w:ind w:left="1008"/>
              <w:rPr>
                <w:sz w:val="21"/>
              </w:rPr>
            </w:pPr>
            <w:r>
              <w:rPr>
                <w:color w:val="0F0F0F"/>
                <w:spacing w:val="-2"/>
                <w:w w:val="105"/>
                <w:sz w:val="21"/>
              </w:rPr>
              <w:t>(148)</w:t>
            </w:r>
          </w:p>
        </w:tc>
        <w:tc>
          <w:tcPr>
            <w:tcW w:w="5817" w:type="dxa"/>
          </w:tcPr>
          <w:p>
            <w:pPr>
              <w:pStyle w:val="TableParagraph"/>
              <w:spacing w:before="49" w:line="234" w:lineRule="exact"/>
              <w:ind w:left="86"/>
              <w:rPr>
                <w:sz w:val="21"/>
              </w:rPr>
            </w:pPr>
            <w:r>
              <w:rPr>
                <w:color w:val="0F0F0F"/>
                <w:w w:val="105"/>
                <w:sz w:val="21"/>
              </w:rPr>
              <w:t>Other</w:t>
            </w:r>
            <w:r>
              <w:rPr>
                <w:color w:val="0F0F0F"/>
                <w:spacing w:val="-6"/>
                <w:w w:val="105"/>
                <w:sz w:val="21"/>
              </w:rPr>
              <w:t> </w:t>
            </w:r>
            <w:r>
              <w:rPr>
                <w:color w:val="0F0F0F"/>
                <w:w w:val="105"/>
                <w:sz w:val="21"/>
              </w:rPr>
              <w:t>Long Term</w:t>
            </w:r>
            <w:r>
              <w:rPr>
                <w:color w:val="0F0F0F"/>
                <w:spacing w:val="-2"/>
                <w:w w:val="105"/>
                <w:sz w:val="21"/>
              </w:rPr>
              <w:t> Liabilities</w:t>
            </w:r>
          </w:p>
        </w:tc>
        <w:tc>
          <w:tcPr>
            <w:tcW w:w="2136" w:type="dxa"/>
          </w:tcPr>
          <w:p>
            <w:pPr>
              <w:pStyle w:val="TableParagraph"/>
              <w:spacing w:before="53" w:line="229" w:lineRule="exact"/>
              <w:ind w:right="193"/>
              <w:jc w:val="right"/>
              <w:rPr>
                <w:sz w:val="21"/>
              </w:rPr>
            </w:pPr>
            <w:r>
              <w:rPr>
                <w:color w:val="0F0F0F"/>
                <w:spacing w:val="-2"/>
                <w:sz w:val="21"/>
              </w:rPr>
              <w:t>(203)</w:t>
            </w:r>
          </w:p>
        </w:tc>
      </w:tr>
      <w:tr>
        <w:trPr>
          <w:trHeight w:val="315" w:hRule="atLeast"/>
        </w:trPr>
        <w:tc>
          <w:tcPr>
            <w:tcW w:w="1646" w:type="dxa"/>
          </w:tcPr>
          <w:p>
            <w:pPr>
              <w:pStyle w:val="TableParagraph"/>
              <w:spacing w:before="1"/>
              <w:ind w:left="705"/>
              <w:rPr>
                <w:sz w:val="21"/>
              </w:rPr>
            </w:pPr>
            <w:r>
              <w:rPr/>
              <ve:AlternateContent>
                <ve:Choice Requires="wps">
                  <w:drawing>
                    <wp:anchor distT="0" distB="0" distL="0" distR="0" simplePos="0" relativeHeight="475991040" behindDoc="1" locked="0" layoutInCell="1" allowOverlap="1">
                      <wp:simplePos x="0" y="0"/>
                      <wp:positionH relativeFrom="column">
                        <wp:posOffset>65332</wp:posOffset>
                      </wp:positionH>
                      <wp:positionV relativeFrom="paragraph">
                        <wp:posOffset>202002</wp:posOffset>
                      </wp:positionV>
                      <wp:extent cx="970915" cy="6350"/>
                      <wp:effectExtent l="0" t="0" r="0" b="0"/>
                      <wp:wrapNone/>
                      <wp:docPr id="669" name="Group 669"/>
                      <wp:cNvGraphicFramePr>
                        <a:graphicFrameLocks/>
                      </wp:cNvGraphicFramePr>
                      <a:graphic>
                        <a:graphicData uri="http://schemas.microsoft.com/office/word/2010/wordprocessingGroup">
                          <wpg:wgp>
                            <wpg:cNvPr id="669" name="Group 669"/>
                            <wpg:cNvGrpSpPr/>
                            <wpg:grpSpPr>
                              <a:xfrm>
                                <a:off x="0" y="0"/>
                                <a:ext cx="970915" cy="6350"/>
                                <a:chExt cx="970915" cy="6350"/>
                              </a:xfrm>
                            </wpg:grpSpPr>
                            <wps:wsp>
                              <wps:cNvPr id="670" name="Graphic 670"/>
                              <wps:cNvSpPr/>
                              <wps:spPr>
                                <a:xfrm>
                                  <a:off x="0" y="3051"/>
                                  <a:ext cx="970915" cy="1270"/>
                                </a:xfrm>
                                <a:custGeom>
                                  <a:avLst/>
                                  <a:gdLst/>
                                  <a:ahLst/>
                                  <a:cxnLst/>
                                  <a:rect l="l" t="t" r="r" b="b"/>
                                  <a:pathLst>
                                    <a:path w="970915" h="0">
                                      <a:moveTo>
                                        <a:pt x="0" y="0"/>
                                      </a:moveTo>
                                      <a:lnTo>
                                        <a:pt x="970827" y="0"/>
                                      </a:lnTo>
                                    </a:path>
                                  </a:pathLst>
                                </a:custGeom>
                                <a:ln w="6102">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32" style="position:absolute;margin-left:5.144258pt;margin-top:15.905688pt;width:76.45pt;height:.5pt;mso-position-horizontal-relative:column;mso-position-vertical-relative:paragraph;z-index:-27325440" coordsize="1529,10" coordorigin="103,318">
                      <v:line style="position:absolute" stroked="true" strokecolor="#000000" strokeweight=".480548pt" from="103,323" to="1632,323">
                        <v:stroke dashstyle="solid"/>
                      </v:line>
                      <w10:wrap type="none"/>
                    </v:group>
                  </w:pict>
                </ve:Fallback>
              </ve:AlternateContent>
            </w:r>
            <w:r>
              <w:rPr>
                <w:color w:val="0F0F0F"/>
                <w:spacing w:val="-2"/>
                <w:w w:val="105"/>
                <w:sz w:val="21"/>
              </w:rPr>
              <w:t>(11,516)</w:t>
            </w:r>
          </w:p>
        </w:tc>
        <w:tc>
          <w:tcPr>
            <w:tcW w:w="5817" w:type="dxa"/>
          </w:tcPr>
          <w:p>
            <w:pPr>
              <w:pStyle w:val="TableParagraph"/>
              <w:spacing w:before="49"/>
              <w:ind w:left="85"/>
              <w:rPr>
                <w:sz w:val="21"/>
              </w:rPr>
            </w:pPr>
            <w:r>
              <w:rPr>
                <w:color w:val="0F0F0F"/>
                <w:w w:val="105"/>
                <w:sz w:val="21"/>
              </w:rPr>
              <w:t>Capital</w:t>
            </w:r>
            <w:r>
              <w:rPr>
                <w:color w:val="0F0F0F"/>
                <w:spacing w:val="-9"/>
                <w:w w:val="105"/>
                <w:sz w:val="21"/>
              </w:rPr>
              <w:t> </w:t>
            </w:r>
            <w:r>
              <w:rPr>
                <w:color w:val="0F0F0F"/>
                <w:w w:val="105"/>
                <w:sz w:val="21"/>
              </w:rPr>
              <w:t>Grants</w:t>
            </w:r>
            <w:r>
              <w:rPr>
                <w:color w:val="0F0F0F"/>
                <w:spacing w:val="-2"/>
                <w:w w:val="105"/>
                <w:sz w:val="21"/>
              </w:rPr>
              <w:t> </w:t>
            </w:r>
            <w:r>
              <w:rPr>
                <w:color w:val="0F0F0F"/>
                <w:w w:val="105"/>
                <w:sz w:val="21"/>
              </w:rPr>
              <w:t>Received In</w:t>
            </w:r>
            <w:r>
              <w:rPr>
                <w:color w:val="0F0F0F"/>
                <w:spacing w:val="-12"/>
                <w:w w:val="105"/>
                <w:sz w:val="21"/>
              </w:rPr>
              <w:t> </w:t>
            </w:r>
            <w:r>
              <w:rPr>
                <w:color w:val="0F0F0F"/>
                <w:spacing w:val="-2"/>
                <w:w w:val="105"/>
                <w:sz w:val="21"/>
              </w:rPr>
              <w:t>Advance</w:t>
            </w:r>
          </w:p>
        </w:tc>
        <w:tc>
          <w:tcPr>
            <w:tcW w:w="2136" w:type="dxa"/>
          </w:tcPr>
          <w:p>
            <w:pPr>
              <w:pStyle w:val="TableParagraph"/>
              <w:spacing w:before="53"/>
              <w:ind w:left="1268"/>
              <w:rPr>
                <w:sz w:val="21"/>
              </w:rPr>
            </w:pPr>
            <w:r>
              <w:rPr>
                <w:color w:val="2A2A2A"/>
                <w:spacing w:val="-2"/>
                <w:sz w:val="21"/>
              </w:rPr>
              <w:t>{8,610)</w:t>
            </w:r>
          </w:p>
        </w:tc>
      </w:tr>
      <w:tr>
        <w:trPr>
          <w:trHeight w:val="579" w:hRule="atLeast"/>
        </w:trPr>
        <w:tc>
          <w:tcPr>
            <w:tcW w:w="1646" w:type="dxa"/>
          </w:tcPr>
          <w:p>
            <w:pPr>
              <w:pStyle w:val="TableParagraph"/>
              <w:spacing w:line="227" w:lineRule="exact"/>
              <w:ind w:left="702"/>
              <w:rPr>
                <w:b/>
                <w:sz w:val="21"/>
              </w:rPr>
            </w:pPr>
            <w:r>
              <w:rPr>
                <w:b/>
                <w:color w:val="0F0F0F"/>
                <w:spacing w:val="-2"/>
                <w:w w:val="105"/>
                <w:sz w:val="21"/>
              </w:rPr>
              <w:t>(52,133)</w:t>
            </w:r>
          </w:p>
        </w:tc>
        <w:tc>
          <w:tcPr>
            <w:tcW w:w="5817" w:type="dxa"/>
          </w:tcPr>
          <w:p>
            <w:pPr>
              <w:pStyle w:val="TableParagraph"/>
              <w:spacing w:before="41"/>
              <w:ind w:left="89"/>
              <w:rPr>
                <w:b/>
                <w:sz w:val="21"/>
              </w:rPr>
            </w:pPr>
            <w:r>
              <w:rPr>
                <w:b/>
                <w:color w:val="0F0F0F"/>
                <w:w w:val="105"/>
                <w:sz w:val="21"/>
              </w:rPr>
              <w:t>Long</w:t>
            </w:r>
            <w:r>
              <w:rPr>
                <w:b/>
                <w:color w:val="0F0F0F"/>
                <w:spacing w:val="-6"/>
                <w:w w:val="105"/>
                <w:sz w:val="21"/>
              </w:rPr>
              <w:t> </w:t>
            </w:r>
            <w:r>
              <w:rPr>
                <w:b/>
                <w:color w:val="0F0F0F"/>
                <w:w w:val="105"/>
                <w:sz w:val="21"/>
              </w:rPr>
              <w:t>Term</w:t>
            </w:r>
            <w:r>
              <w:rPr>
                <w:b/>
                <w:color w:val="0F0F0F"/>
                <w:spacing w:val="-6"/>
                <w:w w:val="105"/>
                <w:sz w:val="21"/>
              </w:rPr>
              <w:t> </w:t>
            </w:r>
            <w:r>
              <w:rPr>
                <w:b/>
                <w:color w:val="0F0F0F"/>
                <w:spacing w:val="-2"/>
                <w:w w:val="105"/>
                <w:sz w:val="21"/>
              </w:rPr>
              <w:t>Liabilities</w:t>
            </w:r>
          </w:p>
        </w:tc>
        <w:tc>
          <w:tcPr>
            <w:tcW w:w="2136" w:type="dxa"/>
          </w:tcPr>
          <w:p>
            <w:pPr>
              <w:pStyle w:val="TableParagraph"/>
              <w:spacing w:line="20" w:lineRule="exact"/>
              <w:rPr>
                <w:sz w:val="2"/>
              </w:rPr>
            </w:pPr>
            <w:r>
              <w:rPr>
                <w:sz w:val="2"/>
              </w:rPr>
              <ve:AlternateContent>
                <ve:Choice Requires="wps">
                  <w:drawing>
                    <wp:inline distT="0" distB="0" distL="0" distR="0">
                      <wp:extent cx="1239520" cy="6350"/>
                      <wp:effectExtent l="9525" t="0" r="0" b="3175"/>
                      <wp:docPr id="671" name="Group 671"/>
                      <wp:cNvGraphicFramePr>
                        <a:graphicFrameLocks/>
                      </wp:cNvGraphicFramePr>
                      <a:graphic>
                        <a:graphicData uri="http://schemas.microsoft.com/office/word/2010/wordprocessingGroup">
                          <wpg:wgp>
                            <wpg:cNvPr id="671" name="Group 671"/>
                            <wpg:cNvGrpSpPr/>
                            <wpg:grpSpPr>
                              <a:xfrm>
                                <a:off x="0" y="0"/>
                                <a:ext cx="1239520" cy="6350"/>
                                <a:chExt cx="1239520" cy="6350"/>
                              </a:xfrm>
                            </wpg:grpSpPr>
                            <wps:wsp>
                              <wps:cNvPr id="672" name="Graphic 672"/>
                              <wps:cNvSpPr/>
                              <wps:spPr>
                                <a:xfrm>
                                  <a:off x="0" y="3051"/>
                                  <a:ext cx="1239520" cy="1270"/>
                                </a:xfrm>
                                <a:custGeom>
                                  <a:avLst/>
                                  <a:gdLst/>
                                  <a:ahLst/>
                                  <a:cxnLst/>
                                  <a:rect l="l" t="t" r="r" b="b"/>
                                  <a:pathLst>
                                    <a:path w="1239520" h="0">
                                      <a:moveTo>
                                        <a:pt x="0" y="0"/>
                                      </a:moveTo>
                                      <a:lnTo>
                                        <a:pt x="1239484" y="0"/>
                                      </a:lnTo>
                                    </a:path>
                                  </a:pathLst>
                                </a:custGeom>
                                <a:ln w="6102">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33" style="width:97.6pt;height:.5pt;mso-position-horizontal-relative:char;mso-position-vertical-relative:line" coordsize="1952,10" coordorigin="0,0">
                      <v:line style="position:absolute" stroked="true" strokecolor="#000000" strokeweight=".480548pt" from="0,5" to="1952,5">
                        <v:stroke dashstyle="solid"/>
                      </v:line>
                    </v:group>
                  </w:pict>
                </ve:Fallback>
              </ve:AlternateContent>
            </w:r>
            <w:r>
              <w:rPr>
                <w:sz w:val="2"/>
              </w:rPr>
            </w:r>
          </w:p>
          <w:p>
            <w:pPr>
              <w:pStyle w:val="TableParagraph"/>
              <w:spacing w:before="13"/>
              <w:ind w:left="1129"/>
              <w:rPr>
                <w:b/>
                <w:sz w:val="21"/>
              </w:rPr>
            </w:pPr>
            <w:r>
              <w:rPr>
                <w:b/>
                <w:color w:val="0F0F0F"/>
                <w:spacing w:val="-2"/>
                <w:w w:val="105"/>
                <w:sz w:val="21"/>
              </w:rPr>
              <w:t>(19,506)</w:t>
            </w:r>
          </w:p>
        </w:tc>
      </w:tr>
      <w:tr>
        <w:trPr>
          <w:trHeight w:val="659" w:hRule="atLeast"/>
        </w:trPr>
        <w:tc>
          <w:tcPr>
            <w:tcW w:w="1646" w:type="dxa"/>
          </w:tcPr>
          <w:p>
            <w:pPr>
              <w:pStyle w:val="TableParagraph"/>
              <w:spacing w:line="20" w:lineRule="exact"/>
              <w:ind w:left="102" w:right="-44"/>
              <w:rPr>
                <w:sz w:val="2"/>
              </w:rPr>
            </w:pPr>
            <w:r>
              <w:rPr>
                <w:sz w:val="2"/>
              </w:rPr>
              <ve:AlternateContent>
                <ve:Choice Requires="wps">
                  <w:drawing>
                    <wp:inline distT="0" distB="0" distL="0" distR="0">
                      <wp:extent cx="970915" cy="6350"/>
                      <wp:effectExtent l="9525" t="0" r="634" b="3175"/>
                      <wp:docPr id="673" name="Group 673"/>
                      <wp:cNvGraphicFramePr>
                        <a:graphicFrameLocks/>
                      </wp:cNvGraphicFramePr>
                      <a:graphic>
                        <a:graphicData uri="http://schemas.microsoft.com/office/word/2010/wordprocessingGroup">
                          <wpg:wgp>
                            <wpg:cNvPr id="673" name="Group 673"/>
                            <wpg:cNvGrpSpPr/>
                            <wpg:grpSpPr>
                              <a:xfrm>
                                <a:off x="0" y="0"/>
                                <a:ext cx="970915" cy="6350"/>
                                <a:chExt cx="970915" cy="6350"/>
                              </a:xfrm>
                            </wpg:grpSpPr>
                            <wps:wsp>
                              <wps:cNvPr id="674" name="Graphic 674"/>
                              <wps:cNvSpPr/>
                              <wps:spPr>
                                <a:xfrm>
                                  <a:off x="0" y="3051"/>
                                  <a:ext cx="970915" cy="1270"/>
                                </a:xfrm>
                                <a:custGeom>
                                  <a:avLst/>
                                  <a:gdLst/>
                                  <a:ahLst/>
                                  <a:cxnLst/>
                                  <a:rect l="l" t="t" r="r" b="b"/>
                                  <a:pathLst>
                                    <a:path w="970915" h="0">
                                      <a:moveTo>
                                        <a:pt x="0" y="0"/>
                                      </a:moveTo>
                                      <a:lnTo>
                                        <a:pt x="970827" y="0"/>
                                      </a:lnTo>
                                    </a:path>
                                  </a:pathLst>
                                </a:custGeom>
                                <a:ln w="6102">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34" style="width:76.45pt;height:.5pt;mso-position-horizontal-relative:char;mso-position-vertical-relative:line" coordsize="1529,10" coordorigin="0,0">
                      <v:line style="position:absolute" stroked="true" strokecolor="#000000" strokeweight=".480548pt" from="0,5" to="1529,5">
                        <v:stroke dashstyle="solid"/>
                      </v:line>
                    </v:group>
                  </w:pict>
                </ve:Fallback>
              </ve:AlternateContent>
            </w:r>
            <w:r>
              <w:rPr>
                <w:sz w:val="2"/>
              </w:rPr>
            </w:r>
          </w:p>
          <w:p>
            <w:pPr>
              <w:pStyle w:val="TableParagraph"/>
              <w:tabs>
                <w:tab w:val="left" w:leader="none" w:pos="730"/>
              </w:tabs>
              <w:spacing w:before="52"/>
              <w:ind w:left="50" w:right="-15"/>
              <w:rPr>
                <w:b/>
                <w:sz w:val="21"/>
              </w:rPr>
            </w:pPr>
            <w:r>
              <w:rPr>
                <w:b/>
                <w:color w:val="0F0F0F"/>
                <w:sz w:val="21"/>
                <w:u w:val="single" w:color="000000"/>
              </w:rPr>
              <w:tab/>
            </w:r>
            <w:r>
              <w:rPr>
                <w:b/>
                <w:color w:val="0F0F0F"/>
                <w:spacing w:val="-2"/>
                <w:w w:val="105"/>
                <w:sz w:val="21"/>
                <w:u w:val="single" w:color="000000"/>
              </w:rPr>
              <w:t>181,239</w:t>
            </w:r>
            <w:r>
              <w:rPr>
                <w:b/>
                <w:color w:val="0F0F0F"/>
                <w:spacing w:val="80"/>
                <w:w w:val="105"/>
                <w:sz w:val="21"/>
                <w:u w:val="single" w:color="000000"/>
              </w:rPr>
              <w:t> </w:t>
            </w:r>
          </w:p>
        </w:tc>
        <w:tc>
          <w:tcPr>
            <w:tcW w:w="5817" w:type="dxa"/>
          </w:tcPr>
          <w:p>
            <w:pPr>
              <w:pStyle w:val="TableParagraph"/>
              <w:spacing w:before="72"/>
              <w:ind w:left="90"/>
              <w:rPr>
                <w:b/>
                <w:sz w:val="21"/>
              </w:rPr>
            </w:pPr>
            <w:r>
              <w:rPr>
                <w:b/>
                <w:color w:val="0F0F0F"/>
                <w:w w:val="105"/>
                <w:sz w:val="21"/>
              </w:rPr>
              <w:t>Net</w:t>
            </w:r>
            <w:r>
              <w:rPr>
                <w:b/>
                <w:color w:val="0F0F0F"/>
                <w:spacing w:val="1"/>
                <w:w w:val="105"/>
                <w:sz w:val="21"/>
              </w:rPr>
              <w:t> </w:t>
            </w:r>
            <w:r>
              <w:rPr>
                <w:b/>
                <w:color w:val="0F0F0F"/>
                <w:spacing w:val="-2"/>
                <w:w w:val="105"/>
                <w:sz w:val="21"/>
              </w:rPr>
              <w:t>Assets</w:t>
            </w:r>
          </w:p>
        </w:tc>
        <w:tc>
          <w:tcPr>
            <w:tcW w:w="2136" w:type="dxa"/>
          </w:tcPr>
          <w:p>
            <w:pPr>
              <w:pStyle w:val="TableParagraph"/>
              <w:spacing w:line="20" w:lineRule="exact"/>
              <w:rPr>
                <w:sz w:val="2"/>
              </w:rPr>
            </w:pPr>
            <w:r>
              <w:rPr>
                <w:sz w:val="2"/>
              </w:rPr>
              <ve:AlternateContent>
                <ve:Choice Requires="wps">
                  <w:drawing>
                    <wp:inline distT="0" distB="0" distL="0" distR="0">
                      <wp:extent cx="1239520" cy="6350"/>
                      <wp:effectExtent l="9525" t="0" r="0" b="3175"/>
                      <wp:docPr id="675" name="Group 675"/>
                      <wp:cNvGraphicFramePr>
                        <a:graphicFrameLocks/>
                      </wp:cNvGraphicFramePr>
                      <a:graphic>
                        <a:graphicData uri="http://schemas.microsoft.com/office/word/2010/wordprocessingGroup">
                          <wpg:wgp>
                            <wpg:cNvPr id="675" name="Group 675"/>
                            <wpg:cNvGrpSpPr/>
                            <wpg:grpSpPr>
                              <a:xfrm>
                                <a:off x="0" y="0"/>
                                <a:ext cx="1239520" cy="6350"/>
                                <a:chExt cx="1239520" cy="6350"/>
                              </a:xfrm>
                            </wpg:grpSpPr>
                            <wps:wsp>
                              <wps:cNvPr id="676" name="Graphic 676"/>
                              <wps:cNvSpPr/>
                              <wps:spPr>
                                <a:xfrm>
                                  <a:off x="0" y="3051"/>
                                  <a:ext cx="1239520" cy="1270"/>
                                </a:xfrm>
                                <a:custGeom>
                                  <a:avLst/>
                                  <a:gdLst/>
                                  <a:ahLst/>
                                  <a:cxnLst/>
                                  <a:rect l="l" t="t" r="r" b="b"/>
                                  <a:pathLst>
                                    <a:path w="1239520" h="0">
                                      <a:moveTo>
                                        <a:pt x="0" y="0"/>
                                      </a:moveTo>
                                      <a:lnTo>
                                        <a:pt x="1239484" y="0"/>
                                      </a:lnTo>
                                    </a:path>
                                  </a:pathLst>
                                </a:custGeom>
                                <a:ln w="6102">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35" style="width:97.6pt;height:.5pt;mso-position-horizontal-relative:char;mso-position-vertical-relative:line" coordsize="1952,10" coordorigin="0,0">
                      <v:line style="position:absolute" stroked="true" strokecolor="#000000" strokeweight=".480548pt" from="0,5" to="1952,5">
                        <v:stroke dashstyle="solid"/>
                      </v:line>
                    </v:group>
                  </w:pict>
                </ve:Fallback>
              </ve:AlternateContent>
            </w:r>
            <w:r>
              <w:rPr>
                <w:sz w:val="2"/>
              </w:rPr>
            </w:r>
          </w:p>
          <w:p>
            <w:pPr>
              <w:pStyle w:val="TableParagraph"/>
              <w:tabs>
                <w:tab w:val="left" w:leader="none" w:pos="1163"/>
              </w:tabs>
              <w:spacing w:before="52"/>
              <w:ind w:left="644"/>
              <w:rPr>
                <w:b/>
                <w:sz w:val="21"/>
              </w:rPr>
            </w:pPr>
            <w:r>
              <w:rPr>
                <w:b/>
                <w:color w:val="0F0F0F"/>
                <w:sz w:val="21"/>
                <w:u w:val="single" w:color="000000"/>
              </w:rPr>
              <w:tab/>
            </w:r>
            <w:r>
              <w:rPr>
                <w:b/>
                <w:color w:val="0F0F0F"/>
                <w:spacing w:val="-2"/>
                <w:w w:val="105"/>
                <w:sz w:val="21"/>
                <w:u w:val="single" w:color="000000"/>
              </w:rPr>
              <w:t>233,152</w:t>
            </w:r>
            <w:r>
              <w:rPr>
                <w:b/>
                <w:color w:val="0F0F0F"/>
                <w:spacing w:val="80"/>
                <w:w w:val="105"/>
                <w:sz w:val="21"/>
                <w:u w:val="single" w:color="000000"/>
              </w:rPr>
              <w:t> </w:t>
            </w:r>
          </w:p>
        </w:tc>
      </w:tr>
      <w:tr>
        <w:trPr>
          <w:trHeight w:val="615" w:hRule="atLeast"/>
        </w:trPr>
        <w:tc>
          <w:tcPr>
            <w:tcW w:w="1646" w:type="dxa"/>
          </w:tcPr>
          <w:p>
            <w:pPr>
              <w:pStyle w:val="TableParagraph"/>
              <w:spacing w:before="98"/>
              <w:rPr>
                <w:b/>
                <w:sz w:val="21"/>
              </w:rPr>
            </w:pPr>
          </w:p>
          <w:p>
            <w:pPr>
              <w:pStyle w:val="TableParagraph"/>
              <w:ind w:left="710"/>
              <w:rPr>
                <w:sz w:val="21"/>
              </w:rPr>
            </w:pPr>
            <w:r>
              <w:rPr>
                <w:color w:val="0F0F0F"/>
                <w:spacing w:val="-2"/>
                <w:sz w:val="21"/>
              </w:rPr>
              <w:t>(63,863)</w:t>
            </w:r>
          </w:p>
        </w:tc>
        <w:tc>
          <w:tcPr>
            <w:tcW w:w="5817" w:type="dxa"/>
          </w:tcPr>
          <w:p>
            <w:pPr>
              <w:pStyle w:val="TableParagraph"/>
              <w:spacing w:before="98"/>
              <w:rPr>
                <w:b/>
                <w:sz w:val="21"/>
              </w:rPr>
            </w:pPr>
          </w:p>
          <w:p>
            <w:pPr>
              <w:pStyle w:val="TableParagraph"/>
              <w:ind w:left="89"/>
              <w:rPr>
                <w:sz w:val="21"/>
              </w:rPr>
            </w:pPr>
            <w:r>
              <w:rPr>
                <w:color w:val="0F0F0F"/>
                <w:w w:val="105"/>
                <w:sz w:val="21"/>
              </w:rPr>
              <w:t>Usable</w:t>
            </w:r>
            <w:r>
              <w:rPr>
                <w:color w:val="0F0F0F"/>
                <w:spacing w:val="-9"/>
                <w:w w:val="105"/>
                <w:sz w:val="21"/>
              </w:rPr>
              <w:t> </w:t>
            </w:r>
            <w:r>
              <w:rPr>
                <w:color w:val="0F0F0F"/>
                <w:spacing w:val="-2"/>
                <w:w w:val="105"/>
                <w:sz w:val="21"/>
              </w:rPr>
              <w:t>Reserves</w:t>
            </w:r>
          </w:p>
        </w:tc>
        <w:tc>
          <w:tcPr>
            <w:tcW w:w="2136" w:type="dxa"/>
          </w:tcPr>
          <w:p>
            <w:pPr>
              <w:pStyle w:val="TableParagraph"/>
              <w:spacing w:before="98"/>
              <w:rPr>
                <w:b/>
                <w:sz w:val="21"/>
              </w:rPr>
            </w:pPr>
          </w:p>
          <w:p>
            <w:pPr>
              <w:pStyle w:val="TableParagraph"/>
              <w:ind w:left="1141"/>
              <w:rPr>
                <w:sz w:val="21"/>
              </w:rPr>
            </w:pPr>
            <w:r>
              <w:rPr>
                <w:color w:val="0F0F0F"/>
                <w:spacing w:val="-2"/>
                <w:w w:val="105"/>
                <w:sz w:val="21"/>
              </w:rPr>
              <w:t>(59,499)</w:t>
            </w:r>
          </w:p>
        </w:tc>
      </w:tr>
      <w:tr>
        <w:trPr>
          <w:trHeight w:val="302" w:hRule="atLeast"/>
        </w:trPr>
        <w:tc>
          <w:tcPr>
            <w:tcW w:w="1646" w:type="dxa"/>
          </w:tcPr>
          <w:p>
            <w:pPr>
              <w:pStyle w:val="TableParagraph"/>
              <w:spacing w:before="27"/>
              <w:ind w:left="585"/>
              <w:rPr>
                <w:sz w:val="21"/>
              </w:rPr>
            </w:pPr>
            <w:r>
              <w:rPr>
                <w:color w:val="0F0F0F"/>
                <w:spacing w:val="-2"/>
                <w:w w:val="105"/>
                <w:sz w:val="21"/>
                <w:u w:val="thick" w:color="0F0F0F"/>
              </w:rPr>
              <w:t>(117,376)</w:t>
            </w:r>
          </w:p>
        </w:tc>
        <w:tc>
          <w:tcPr>
            <w:tcW w:w="5817" w:type="dxa"/>
          </w:tcPr>
          <w:p>
            <w:pPr>
              <w:pStyle w:val="TableParagraph"/>
              <w:spacing w:before="27"/>
              <w:ind w:left="89"/>
              <w:rPr>
                <w:sz w:val="21"/>
              </w:rPr>
            </w:pPr>
            <w:r>
              <w:rPr>
                <w:color w:val="0F0F0F"/>
                <w:w w:val="105"/>
                <w:sz w:val="21"/>
              </w:rPr>
              <w:t>Unusable</w:t>
            </w:r>
            <w:r>
              <w:rPr>
                <w:color w:val="0F0F0F"/>
                <w:spacing w:val="-11"/>
                <w:w w:val="105"/>
                <w:sz w:val="21"/>
              </w:rPr>
              <w:t> </w:t>
            </w:r>
            <w:r>
              <w:rPr>
                <w:color w:val="0F0F0F"/>
                <w:spacing w:val="-2"/>
                <w:w w:val="105"/>
                <w:sz w:val="21"/>
              </w:rPr>
              <w:t>Reserves</w:t>
            </w:r>
          </w:p>
        </w:tc>
        <w:tc>
          <w:tcPr>
            <w:tcW w:w="2136" w:type="dxa"/>
          </w:tcPr>
          <w:p>
            <w:pPr>
              <w:pStyle w:val="TableParagraph"/>
              <w:spacing w:before="27"/>
              <w:ind w:left="1023"/>
              <w:rPr>
                <w:sz w:val="21"/>
              </w:rPr>
            </w:pPr>
            <w:r>
              <w:rPr>
                <w:color w:val="2A2A2A"/>
                <w:spacing w:val="-2"/>
                <w:sz w:val="21"/>
                <w:u w:val="thick" w:color="2A2A2A"/>
              </w:rPr>
              <w:t>{173,653)</w:t>
            </w:r>
          </w:p>
        </w:tc>
      </w:tr>
      <w:tr>
        <w:trPr>
          <w:trHeight w:val="278" w:hRule="atLeast"/>
        </w:trPr>
        <w:tc>
          <w:tcPr>
            <w:tcW w:w="1646" w:type="dxa"/>
          </w:tcPr>
          <w:p>
            <w:pPr>
              <w:pStyle w:val="TableParagraph"/>
              <w:spacing w:before="27" w:line="231" w:lineRule="exact"/>
              <w:ind w:left="587"/>
              <w:rPr>
                <w:b/>
                <w:sz w:val="21"/>
              </w:rPr>
            </w:pPr>
            <w:r>
              <w:rPr>
                <w:b/>
                <w:color w:val="0F0F0F"/>
                <w:spacing w:val="-2"/>
                <w:w w:val="105"/>
                <w:sz w:val="21"/>
                <w:u w:val="thick" w:color="0F0F0F"/>
              </w:rPr>
              <w:t>(181,239)</w:t>
            </w:r>
          </w:p>
        </w:tc>
        <w:tc>
          <w:tcPr>
            <w:tcW w:w="5817" w:type="dxa"/>
          </w:tcPr>
          <w:p>
            <w:pPr>
              <w:pStyle w:val="TableParagraph"/>
              <w:spacing w:before="27" w:line="231" w:lineRule="exact"/>
              <w:ind w:left="91"/>
              <w:rPr>
                <w:b/>
                <w:sz w:val="21"/>
              </w:rPr>
            </w:pPr>
            <w:r>
              <w:rPr>
                <w:b/>
                <w:color w:val="0F0F0F"/>
                <w:w w:val="105"/>
                <w:sz w:val="21"/>
              </w:rPr>
              <w:t>Total</w:t>
            </w:r>
            <w:r>
              <w:rPr>
                <w:b/>
                <w:color w:val="0F0F0F"/>
                <w:spacing w:val="-2"/>
                <w:w w:val="105"/>
                <w:sz w:val="21"/>
              </w:rPr>
              <w:t> Reserves</w:t>
            </w:r>
          </w:p>
        </w:tc>
        <w:tc>
          <w:tcPr>
            <w:tcW w:w="2136" w:type="dxa"/>
          </w:tcPr>
          <w:p>
            <w:pPr>
              <w:pStyle w:val="TableParagraph"/>
              <w:spacing w:before="37" w:line="222" w:lineRule="exact"/>
              <w:ind w:left="1013"/>
              <w:rPr>
                <w:b/>
                <w:sz w:val="21"/>
              </w:rPr>
            </w:pPr>
            <w:r>
              <w:rPr>
                <w:b/>
                <w:color w:val="0F0F0F"/>
                <w:spacing w:val="-2"/>
                <w:w w:val="105"/>
                <w:sz w:val="21"/>
                <w:u w:val="thick" w:color="0F0F0F"/>
              </w:rPr>
              <w:t>(233,152)</w:t>
            </w:r>
          </w:p>
        </w:tc>
      </w:tr>
    </w:tbl>
    <w:p>
      <w:pPr>
        <w:spacing w:after="0" w:line="222" w:lineRule="exact"/>
        <w:rPr>
          <w:sz w:val="21"/>
        </w:rPr>
        <w:sectPr>
          <w:headerReference w:type="default" r:id="rId259"/>
          <w:footerReference w:type="default" r:id="rId260"/>
          <w:footerReference w:type="even" r:id="rId261"/>
          <w:pgSz w:w="11910" w:h="16830"/>
          <w:pgMar w:top="940" w:right="540" w:bottom="1060" w:left="440" w:header="0" w:footer="862"/>
          <w:pgNumType w:start="121"/>
        </w:sectPr>
      </w:pPr>
    </w:p>
    <w:p>
      <w:pPr>
        <w:spacing w:before="79"/>
        <w:ind w:left="1821" w:right="0" w:firstLine="0"/>
        <w:jc w:val="left"/>
        <w:rPr>
          <w:sz w:val="15"/>
        </w:rPr>
      </w:pPr>
      <w:r>
        <w:rPr/>
        <ve:AlternateContent>
          <ve:Choice Requires="wps">
            <w:drawing>
              <wp:anchor distT="0" distB="0" distL="0" distR="0" simplePos="0" relativeHeight="15880192" behindDoc="0" locked="0" layoutInCell="1" allowOverlap="1">
                <wp:simplePos x="0" y="0"/>
                <wp:positionH relativeFrom="page">
                  <wp:posOffset>24423</wp:posOffset>
                </wp:positionH>
                <wp:positionV relativeFrom="page">
                  <wp:posOffset>9587755</wp:posOffset>
                </wp:positionV>
                <wp:extent cx="1270" cy="415290"/>
                <wp:effectExtent l="0" t="0" r="0" b="0"/>
                <wp:wrapNone/>
                <wp:docPr id="677" name="Graphic 677"/>
                <wp:cNvGraphicFramePr>
                  <a:graphicFrameLocks/>
                </wp:cNvGraphicFramePr>
                <a:graphic>
                  <a:graphicData uri="http://schemas.microsoft.com/office/word/2010/wordprocessingShape">
                    <wps:wsp>
                      <wps:cNvPr id="677" name="Graphic 677"/>
                      <wps:cNvSpPr/>
                      <wps:spPr>
                        <a:xfrm>
                          <a:off x="0" y="0"/>
                          <a:ext cx="1270" cy="415290"/>
                        </a:xfrm>
                        <a:custGeom>
                          <a:avLst/>
                          <a:gdLst/>
                          <a:ahLst/>
                          <a:cxnLst/>
                          <a:rect l="l" t="t" r="r" b="b"/>
                          <a:pathLst>
                            <a:path w="0" h="415290">
                              <a:moveTo>
                                <a:pt x="0" y="415000"/>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80192" stroked="true" strokecolor="#000000" strokeweight=".721161pt" from="1.923097pt,787.618647pt" to="1.923097pt,754.941406pt">
                <v:stroke dashstyle="solid"/>
                <w10:wrap type="none"/>
              </v:line>
            </w:pict>
          </ve:Fallback>
        </ve:AlternateContent>
      </w:r>
      <w:r>
        <w:rPr>
          <w:color w:val="AEAEAE"/>
          <w:w w:val="105"/>
          <w:sz w:val="15"/>
        </w:rPr>
        <w:t>GROUP</w:t>
      </w:r>
      <w:r>
        <w:rPr>
          <w:color w:val="AEAEAE"/>
          <w:spacing w:val="6"/>
          <w:w w:val="105"/>
          <w:sz w:val="15"/>
        </w:rPr>
        <w:t> </w:t>
      </w:r>
      <w:r>
        <w:rPr>
          <w:color w:val="AEAEAE"/>
          <w:spacing w:val="-2"/>
          <w:w w:val="105"/>
          <w:sz w:val="15"/>
        </w:rPr>
        <w:t>ACC:JIJNTS</w:t>
      </w:r>
    </w:p>
    <w:p>
      <w:pPr>
        <w:pStyle w:val="BodyText"/>
        <w:spacing w:before="60"/>
        <w:rPr>
          <w:sz w:val="15"/>
        </w:rPr>
      </w:pPr>
    </w:p>
    <w:p>
      <w:pPr>
        <w:pStyle w:val="Heading3"/>
        <w:numPr>
          <w:ilvl w:val="1"/>
          <w:numId w:val="28"/>
        </w:numPr>
        <w:tabs>
          <w:tab w:val="left" w:leader="none" w:pos="986"/>
        </w:tabs>
        <w:spacing w:before="0" w:after="0" w:line="240" w:lineRule="auto"/>
        <w:ind w:left="986" w:right="0" w:hanging="623"/>
        <w:jc w:val="left"/>
        <w:rPr>
          <w:color w:val="0A0A0A"/>
        </w:rPr>
      </w:pPr>
      <w:r>
        <w:rPr>
          <w:color w:val="0A0A0A"/>
        </w:rPr>
        <w:t>Group</w:t>
      </w:r>
      <w:r>
        <w:rPr>
          <w:color w:val="0A0A0A"/>
          <w:spacing w:val="-8"/>
        </w:rPr>
        <w:t> </w:t>
      </w:r>
      <w:r>
        <w:rPr>
          <w:color w:val="0A0A0A"/>
        </w:rPr>
        <w:t>Cash</w:t>
      </w:r>
      <w:r>
        <w:rPr>
          <w:color w:val="0A0A0A"/>
          <w:spacing w:val="-3"/>
        </w:rPr>
        <w:t> </w:t>
      </w:r>
      <w:r>
        <w:rPr>
          <w:color w:val="0A0A0A"/>
        </w:rPr>
        <w:t>Flow</w:t>
      </w:r>
      <w:r>
        <w:rPr>
          <w:color w:val="0A0A0A"/>
          <w:spacing w:val="-1"/>
        </w:rPr>
        <w:t> </w:t>
      </w:r>
      <w:r>
        <w:rPr>
          <w:color w:val="0A0A0A"/>
          <w:spacing w:val="-2"/>
        </w:rPr>
        <w:t>Statement</w:t>
      </w:r>
    </w:p>
    <w:p>
      <w:pPr>
        <w:pStyle w:val="BodyText"/>
        <w:rPr>
          <w:b/>
          <w:sz w:val="20"/>
        </w:rPr>
      </w:pPr>
    </w:p>
    <w:p>
      <w:pPr>
        <w:pStyle w:val="BodyText"/>
        <w:spacing w:before="77"/>
        <w:rPr>
          <w:b/>
          <w:sz w:val="20"/>
        </w:rPr>
      </w:pPr>
    </w:p>
    <w:tbl>
      <w:tblPr>
        <w:tblW w:w="0" w:type="auto"/>
        <w:jc w:val="left"/>
        <w:tblInd w:w="3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65"/>
        <w:gridCol w:w="6798"/>
        <w:gridCol w:w="1442"/>
      </w:tblGrid>
      <w:tr>
        <w:trPr>
          <w:trHeight w:val="324" w:hRule="atLeast"/>
        </w:trPr>
        <w:tc>
          <w:tcPr>
            <w:tcW w:w="1365" w:type="dxa"/>
          </w:tcPr>
          <w:p>
            <w:pPr>
              <w:pStyle w:val="TableParagraph"/>
              <w:spacing w:line="246" w:lineRule="exact"/>
              <w:ind w:left="364"/>
              <w:rPr>
                <w:b/>
                <w:sz w:val="22"/>
              </w:rPr>
            </w:pPr>
            <w:r>
              <w:rPr>
                <w:b/>
                <w:color w:val="0A0A0A"/>
                <w:spacing w:val="-4"/>
                <w:sz w:val="22"/>
              </w:rPr>
              <w:t>2021-</w:t>
            </w:r>
            <w:r>
              <w:rPr>
                <w:b/>
                <w:color w:val="0A0A0A"/>
                <w:spacing w:val="-5"/>
                <w:sz w:val="22"/>
              </w:rPr>
              <w:t>22</w:t>
            </w:r>
          </w:p>
        </w:tc>
        <w:tc>
          <w:tcPr>
            <w:tcW w:w="6798" w:type="dxa"/>
          </w:tcPr>
          <w:p>
            <w:pPr>
              <w:pStyle w:val="TableParagraph"/>
              <w:rPr>
                <w:rFonts w:ascii="Times New Roman"/>
                <w:sz w:val="20"/>
              </w:rPr>
            </w:pPr>
          </w:p>
        </w:tc>
        <w:tc>
          <w:tcPr>
            <w:tcW w:w="1442" w:type="dxa"/>
          </w:tcPr>
          <w:p>
            <w:pPr>
              <w:pStyle w:val="TableParagraph"/>
              <w:spacing w:line="251" w:lineRule="exact"/>
              <w:ind w:left="360"/>
              <w:rPr>
                <w:b/>
                <w:sz w:val="22"/>
              </w:rPr>
            </w:pPr>
            <w:r>
              <w:rPr>
                <w:b/>
                <w:color w:val="0A0A0A"/>
                <w:spacing w:val="-4"/>
                <w:sz w:val="22"/>
              </w:rPr>
              <w:t>2022-</w:t>
            </w:r>
            <w:r>
              <w:rPr>
                <w:b/>
                <w:color w:val="0A0A0A"/>
                <w:spacing w:val="-5"/>
                <w:sz w:val="22"/>
              </w:rPr>
              <w:t>23</w:t>
            </w:r>
          </w:p>
        </w:tc>
      </w:tr>
      <w:tr>
        <w:trPr>
          <w:trHeight w:val="593" w:hRule="atLeast"/>
        </w:trPr>
        <w:tc>
          <w:tcPr>
            <w:tcW w:w="1365" w:type="dxa"/>
          </w:tcPr>
          <w:p>
            <w:pPr>
              <w:pStyle w:val="TableParagraph"/>
              <w:spacing w:before="67"/>
              <w:ind w:left="517"/>
              <w:rPr>
                <w:b/>
                <w:sz w:val="22"/>
              </w:rPr>
            </w:pPr>
            <w:r>
              <w:rPr>
                <w:b/>
                <w:color w:val="0A0A0A"/>
                <w:spacing w:val="-4"/>
                <w:sz w:val="22"/>
              </w:rPr>
              <w:t>£000</w:t>
            </w:r>
          </w:p>
        </w:tc>
        <w:tc>
          <w:tcPr>
            <w:tcW w:w="6798" w:type="dxa"/>
          </w:tcPr>
          <w:p>
            <w:pPr>
              <w:pStyle w:val="TableParagraph"/>
              <w:rPr>
                <w:rFonts w:ascii="Times New Roman"/>
                <w:sz w:val="20"/>
              </w:rPr>
            </w:pPr>
          </w:p>
        </w:tc>
        <w:tc>
          <w:tcPr>
            <w:tcW w:w="1442" w:type="dxa"/>
          </w:tcPr>
          <w:p>
            <w:pPr>
              <w:pStyle w:val="TableParagraph"/>
              <w:spacing w:before="67"/>
              <w:ind w:left="508"/>
              <w:rPr>
                <w:b/>
                <w:sz w:val="22"/>
              </w:rPr>
            </w:pPr>
            <w:r>
              <w:rPr>
                <w:b/>
                <w:color w:val="0A0A0A"/>
                <w:spacing w:val="-4"/>
                <w:sz w:val="22"/>
              </w:rPr>
              <w:t>£000</w:t>
            </w:r>
          </w:p>
        </w:tc>
      </w:tr>
      <w:tr>
        <w:trPr>
          <w:trHeight w:val="740" w:hRule="atLeast"/>
        </w:trPr>
        <w:tc>
          <w:tcPr>
            <w:tcW w:w="1365" w:type="dxa"/>
          </w:tcPr>
          <w:p>
            <w:pPr>
              <w:pStyle w:val="TableParagraph"/>
              <w:spacing w:before="13"/>
              <w:rPr>
                <w:b/>
                <w:sz w:val="22"/>
              </w:rPr>
            </w:pPr>
          </w:p>
          <w:p>
            <w:pPr>
              <w:pStyle w:val="TableParagraph"/>
              <w:ind w:right="53"/>
              <w:jc w:val="right"/>
              <w:rPr>
                <w:b/>
                <w:sz w:val="22"/>
              </w:rPr>
            </w:pPr>
            <w:r>
              <w:rPr>
                <w:b/>
                <w:color w:val="0A0A0A"/>
                <w:spacing w:val="-2"/>
                <w:sz w:val="22"/>
              </w:rPr>
              <w:t>(9,869)</w:t>
            </w:r>
          </w:p>
        </w:tc>
        <w:tc>
          <w:tcPr>
            <w:tcW w:w="6798" w:type="dxa"/>
          </w:tcPr>
          <w:p>
            <w:pPr>
              <w:pStyle w:val="TableParagraph"/>
              <w:spacing w:before="13"/>
              <w:rPr>
                <w:b/>
                <w:sz w:val="22"/>
              </w:rPr>
            </w:pPr>
          </w:p>
          <w:p>
            <w:pPr>
              <w:pStyle w:val="TableParagraph"/>
              <w:ind w:left="162"/>
              <w:rPr>
                <w:b/>
                <w:sz w:val="22"/>
              </w:rPr>
            </w:pPr>
            <w:r>
              <w:rPr>
                <w:b/>
                <w:color w:val="0A0A0A"/>
                <w:sz w:val="22"/>
              </w:rPr>
              <w:t>(Surplus)</w:t>
            </w:r>
            <w:r>
              <w:rPr>
                <w:b/>
                <w:color w:val="0A0A0A"/>
                <w:spacing w:val="5"/>
                <w:sz w:val="22"/>
              </w:rPr>
              <w:t> </w:t>
            </w:r>
            <w:r>
              <w:rPr>
                <w:b/>
                <w:color w:val="0A0A0A"/>
                <w:sz w:val="22"/>
              </w:rPr>
              <w:t>/</w:t>
            </w:r>
            <w:r>
              <w:rPr>
                <w:b/>
                <w:color w:val="0A0A0A"/>
                <w:spacing w:val="-5"/>
                <w:sz w:val="22"/>
              </w:rPr>
              <w:t> </w:t>
            </w:r>
            <w:r>
              <w:rPr>
                <w:b/>
                <w:color w:val="0A0A0A"/>
                <w:sz w:val="22"/>
              </w:rPr>
              <w:t>Deficit</w:t>
            </w:r>
            <w:r>
              <w:rPr>
                <w:b/>
                <w:color w:val="0A0A0A"/>
                <w:spacing w:val="-3"/>
                <w:sz w:val="22"/>
              </w:rPr>
              <w:t> </w:t>
            </w:r>
            <w:r>
              <w:rPr>
                <w:b/>
                <w:color w:val="0A0A0A"/>
                <w:sz w:val="22"/>
              </w:rPr>
              <w:t>on</w:t>
            </w:r>
            <w:r>
              <w:rPr>
                <w:b/>
                <w:color w:val="0A0A0A"/>
                <w:spacing w:val="-12"/>
                <w:sz w:val="22"/>
              </w:rPr>
              <w:t> </w:t>
            </w:r>
            <w:r>
              <w:rPr>
                <w:b/>
                <w:color w:val="0A0A0A"/>
                <w:sz w:val="22"/>
              </w:rPr>
              <w:t>Provision</w:t>
            </w:r>
            <w:r>
              <w:rPr>
                <w:b/>
                <w:color w:val="0A0A0A"/>
                <w:spacing w:val="9"/>
                <w:sz w:val="22"/>
              </w:rPr>
              <w:t> </w:t>
            </w:r>
            <w:r>
              <w:rPr>
                <w:b/>
                <w:color w:val="0A0A0A"/>
                <w:sz w:val="22"/>
              </w:rPr>
              <w:t>of</w:t>
            </w:r>
            <w:r>
              <w:rPr>
                <w:b/>
                <w:color w:val="0A0A0A"/>
                <w:spacing w:val="-14"/>
                <w:sz w:val="22"/>
              </w:rPr>
              <w:t> </w:t>
            </w:r>
            <w:r>
              <w:rPr>
                <w:b/>
                <w:color w:val="0A0A0A"/>
                <w:spacing w:val="-2"/>
                <w:sz w:val="22"/>
              </w:rPr>
              <w:t>Services</w:t>
            </w:r>
          </w:p>
        </w:tc>
        <w:tc>
          <w:tcPr>
            <w:tcW w:w="1442" w:type="dxa"/>
          </w:tcPr>
          <w:p>
            <w:pPr>
              <w:pStyle w:val="TableParagraph"/>
              <w:spacing w:before="13"/>
              <w:rPr>
                <w:b/>
                <w:sz w:val="22"/>
              </w:rPr>
            </w:pPr>
          </w:p>
          <w:p>
            <w:pPr>
              <w:pStyle w:val="TableParagraph"/>
              <w:ind w:left="628"/>
              <w:rPr>
                <w:b/>
                <w:sz w:val="22"/>
              </w:rPr>
            </w:pPr>
            <w:r>
              <w:rPr>
                <w:b/>
                <w:color w:val="0A0A0A"/>
                <w:spacing w:val="-2"/>
                <w:sz w:val="22"/>
              </w:rPr>
              <w:t>(1,005)</w:t>
            </w:r>
          </w:p>
        </w:tc>
      </w:tr>
      <w:tr>
        <w:trPr>
          <w:trHeight w:val="470" w:hRule="atLeast"/>
        </w:trPr>
        <w:tc>
          <w:tcPr>
            <w:tcW w:w="1365" w:type="dxa"/>
          </w:tcPr>
          <w:p>
            <w:pPr>
              <w:pStyle w:val="TableParagraph"/>
              <w:rPr>
                <w:rFonts w:ascii="Times New Roman"/>
                <w:sz w:val="20"/>
              </w:rPr>
            </w:pPr>
          </w:p>
        </w:tc>
        <w:tc>
          <w:tcPr>
            <w:tcW w:w="6798" w:type="dxa"/>
          </w:tcPr>
          <w:p>
            <w:pPr>
              <w:pStyle w:val="TableParagraph"/>
              <w:spacing w:before="213" w:line="237" w:lineRule="exact"/>
              <w:ind w:left="154"/>
              <w:rPr>
                <w:sz w:val="22"/>
              </w:rPr>
            </w:pPr>
            <w:r>
              <w:rPr>
                <w:color w:val="0A0A0A"/>
                <w:sz w:val="22"/>
              </w:rPr>
              <w:t>Adjustments</w:t>
            </w:r>
            <w:r>
              <w:rPr>
                <w:color w:val="0A0A0A"/>
                <w:spacing w:val="15"/>
                <w:sz w:val="22"/>
              </w:rPr>
              <w:t> </w:t>
            </w:r>
            <w:r>
              <w:rPr>
                <w:color w:val="0A0A0A"/>
                <w:sz w:val="22"/>
              </w:rPr>
              <w:t>to</w:t>
            </w:r>
            <w:r>
              <w:rPr>
                <w:color w:val="0A0A0A"/>
                <w:spacing w:val="-1"/>
                <w:sz w:val="22"/>
              </w:rPr>
              <w:t> </w:t>
            </w:r>
            <w:r>
              <w:rPr>
                <w:color w:val="0A0A0A"/>
                <w:sz w:val="22"/>
              </w:rPr>
              <w:t>net</w:t>
            </w:r>
            <w:r>
              <w:rPr>
                <w:color w:val="0A0A0A"/>
                <w:spacing w:val="-3"/>
                <w:sz w:val="22"/>
              </w:rPr>
              <w:t> </w:t>
            </w:r>
            <w:r>
              <w:rPr>
                <w:color w:val="0A0A0A"/>
                <w:sz w:val="22"/>
              </w:rPr>
              <w:t>(Surplus)/</w:t>
            </w:r>
            <w:r>
              <w:rPr>
                <w:color w:val="0A0A0A"/>
                <w:spacing w:val="6"/>
                <w:sz w:val="22"/>
              </w:rPr>
              <w:t> </w:t>
            </w:r>
            <w:r>
              <w:rPr>
                <w:color w:val="0A0A0A"/>
                <w:sz w:val="22"/>
              </w:rPr>
              <w:t>Deficit</w:t>
            </w:r>
            <w:r>
              <w:rPr>
                <w:color w:val="0A0A0A"/>
                <w:spacing w:val="8"/>
                <w:sz w:val="22"/>
              </w:rPr>
              <w:t> </w:t>
            </w:r>
            <w:r>
              <w:rPr>
                <w:color w:val="0A0A0A"/>
                <w:sz w:val="22"/>
              </w:rPr>
              <w:t>on</w:t>
            </w:r>
            <w:r>
              <w:rPr>
                <w:color w:val="0A0A0A"/>
                <w:spacing w:val="-8"/>
                <w:sz w:val="22"/>
              </w:rPr>
              <w:t> </w:t>
            </w:r>
            <w:r>
              <w:rPr>
                <w:color w:val="0A0A0A"/>
                <w:sz w:val="22"/>
              </w:rPr>
              <w:t>Provision</w:t>
            </w:r>
            <w:r>
              <w:rPr>
                <w:color w:val="0A0A0A"/>
                <w:spacing w:val="16"/>
                <w:sz w:val="22"/>
              </w:rPr>
              <w:t> </w:t>
            </w:r>
            <w:r>
              <w:rPr>
                <w:color w:val="0A0A0A"/>
                <w:sz w:val="22"/>
              </w:rPr>
              <w:t>of</w:t>
            </w:r>
            <w:r>
              <w:rPr>
                <w:color w:val="0A0A0A"/>
                <w:spacing w:val="-1"/>
                <w:sz w:val="22"/>
              </w:rPr>
              <w:t> </w:t>
            </w:r>
            <w:r>
              <w:rPr>
                <w:color w:val="0A0A0A"/>
                <w:sz w:val="22"/>
              </w:rPr>
              <w:t>Services</w:t>
            </w:r>
            <w:r>
              <w:rPr>
                <w:color w:val="0A0A0A"/>
                <w:spacing w:val="11"/>
                <w:sz w:val="22"/>
              </w:rPr>
              <w:t> </w:t>
            </w:r>
            <w:r>
              <w:rPr>
                <w:color w:val="0A0A0A"/>
                <w:spacing w:val="-5"/>
                <w:sz w:val="22"/>
              </w:rPr>
              <w:t>for</w:t>
            </w:r>
          </w:p>
        </w:tc>
        <w:tc>
          <w:tcPr>
            <w:tcW w:w="1442" w:type="dxa"/>
          </w:tcPr>
          <w:p>
            <w:pPr>
              <w:pStyle w:val="TableParagraph"/>
              <w:rPr>
                <w:rFonts w:ascii="Times New Roman"/>
                <w:sz w:val="20"/>
              </w:rPr>
            </w:pPr>
          </w:p>
        </w:tc>
      </w:tr>
      <w:tr>
        <w:trPr>
          <w:trHeight w:val="468" w:hRule="atLeast"/>
        </w:trPr>
        <w:tc>
          <w:tcPr>
            <w:tcW w:w="1365" w:type="dxa"/>
          </w:tcPr>
          <w:p>
            <w:pPr>
              <w:pStyle w:val="TableParagraph"/>
              <w:spacing w:line="250" w:lineRule="exact"/>
              <w:ind w:right="74"/>
              <w:jc w:val="right"/>
              <w:rPr>
                <w:sz w:val="22"/>
              </w:rPr>
            </w:pPr>
            <w:r>
              <w:rPr>
                <w:color w:val="0A0A0A"/>
                <w:spacing w:val="-2"/>
                <w:sz w:val="22"/>
              </w:rPr>
              <w:t>(3,355)</w:t>
            </w:r>
          </w:p>
        </w:tc>
        <w:tc>
          <w:tcPr>
            <w:tcW w:w="6798" w:type="dxa"/>
          </w:tcPr>
          <w:p>
            <w:pPr>
              <w:pStyle w:val="TableParagraph"/>
              <w:spacing w:line="250" w:lineRule="exact"/>
              <w:ind w:left="149"/>
              <w:rPr>
                <w:sz w:val="22"/>
              </w:rPr>
            </w:pPr>
            <w:r>
              <w:rPr>
                <w:color w:val="0A0A0A"/>
                <w:sz w:val="22"/>
              </w:rPr>
              <w:t>non-cash</w:t>
            </w:r>
            <w:r>
              <w:rPr>
                <w:color w:val="0A0A0A"/>
                <w:spacing w:val="-5"/>
                <w:sz w:val="22"/>
              </w:rPr>
              <w:t> </w:t>
            </w:r>
            <w:r>
              <w:rPr>
                <w:color w:val="0A0A0A"/>
                <w:spacing w:val="-2"/>
                <w:sz w:val="22"/>
              </w:rPr>
              <w:t>movements</w:t>
            </w:r>
          </w:p>
        </w:tc>
        <w:tc>
          <w:tcPr>
            <w:tcW w:w="1442" w:type="dxa"/>
          </w:tcPr>
          <w:p>
            <w:pPr>
              <w:pStyle w:val="TableParagraph"/>
              <w:spacing w:line="250" w:lineRule="exact"/>
              <w:ind w:left="506"/>
              <w:rPr>
                <w:sz w:val="22"/>
              </w:rPr>
            </w:pPr>
            <w:r>
              <w:rPr>
                <w:color w:val="0A0A0A"/>
                <w:spacing w:val="-2"/>
                <w:sz w:val="22"/>
              </w:rPr>
              <w:t>(10,881)</w:t>
            </w:r>
          </w:p>
        </w:tc>
      </w:tr>
      <w:tr>
        <w:trPr>
          <w:trHeight w:val="718" w:hRule="atLeast"/>
        </w:trPr>
        <w:tc>
          <w:tcPr>
            <w:tcW w:w="1365" w:type="dxa"/>
          </w:tcPr>
          <w:p>
            <w:pPr>
              <w:pStyle w:val="TableParagraph"/>
              <w:spacing w:before="212"/>
              <w:rPr>
                <w:b/>
                <w:sz w:val="22"/>
              </w:rPr>
            </w:pPr>
          </w:p>
          <w:p>
            <w:pPr>
              <w:pStyle w:val="TableParagraph"/>
              <w:spacing w:before="1" w:line="233" w:lineRule="exact"/>
              <w:ind w:right="46"/>
              <w:jc w:val="right"/>
              <w:rPr>
                <w:sz w:val="22"/>
              </w:rPr>
            </w:pPr>
            <w:r>
              <w:rPr>
                <w:color w:val="0A0A0A"/>
                <w:spacing w:val="-2"/>
                <w:w w:val="105"/>
                <w:sz w:val="22"/>
                <w:u w:val="thick" w:color="0A0A0A"/>
              </w:rPr>
              <w:t>11</w:t>
            </w:r>
            <w:r>
              <w:rPr>
                <w:color w:val="4B4B4B"/>
                <w:spacing w:val="-2"/>
                <w:w w:val="105"/>
                <w:sz w:val="22"/>
                <w:u w:val="thick" w:color="0A0A0A"/>
              </w:rPr>
              <w:t>,</w:t>
            </w:r>
            <w:r>
              <w:rPr>
                <w:color w:val="0A0A0A"/>
                <w:spacing w:val="-2"/>
                <w:w w:val="105"/>
                <w:sz w:val="22"/>
                <w:u w:val="thick" w:color="0A0A0A"/>
              </w:rPr>
              <w:t>001</w:t>
            </w:r>
          </w:p>
        </w:tc>
        <w:tc>
          <w:tcPr>
            <w:tcW w:w="6798" w:type="dxa"/>
          </w:tcPr>
          <w:p>
            <w:pPr>
              <w:pStyle w:val="TableParagraph"/>
              <w:spacing w:before="193" w:line="250" w:lineRule="atLeast"/>
              <w:ind w:left="142" w:firstLine="2"/>
              <w:rPr>
                <w:sz w:val="22"/>
              </w:rPr>
            </w:pPr>
            <w:r>
              <w:rPr>
                <w:color w:val="0A0A0A"/>
                <w:sz w:val="22"/>
              </w:rPr>
              <w:t>Adjustments </w:t>
            </w:r>
            <w:r>
              <w:rPr>
                <w:color w:val="1D1D1D"/>
                <w:sz w:val="22"/>
              </w:rPr>
              <w:t>for</w:t>
            </w:r>
            <w:r>
              <w:rPr>
                <w:color w:val="1D1D1D"/>
                <w:spacing w:val="-1"/>
                <w:sz w:val="22"/>
              </w:rPr>
              <w:t> </w:t>
            </w:r>
            <w:r>
              <w:rPr>
                <w:color w:val="1D1D1D"/>
                <w:sz w:val="22"/>
              </w:rPr>
              <w:t>items </w:t>
            </w:r>
            <w:r>
              <w:rPr>
                <w:color w:val="0A0A0A"/>
                <w:sz w:val="22"/>
              </w:rPr>
              <w:t>included in</w:t>
            </w:r>
            <w:r>
              <w:rPr>
                <w:color w:val="0A0A0A"/>
                <w:spacing w:val="-1"/>
                <w:sz w:val="22"/>
              </w:rPr>
              <w:t> </w:t>
            </w:r>
            <w:r>
              <w:rPr>
                <w:color w:val="1D1D1D"/>
                <w:sz w:val="22"/>
              </w:rPr>
              <w:t>the</w:t>
            </w:r>
            <w:r>
              <w:rPr>
                <w:color w:val="1D1D1D"/>
                <w:spacing w:val="-6"/>
                <w:sz w:val="22"/>
              </w:rPr>
              <w:t> </w:t>
            </w:r>
            <w:r>
              <w:rPr>
                <w:color w:val="0A0A0A"/>
                <w:sz w:val="22"/>
              </w:rPr>
              <w:t>net (Surplus)/ </w:t>
            </w:r>
            <w:r>
              <w:rPr>
                <w:color w:val="1D1D1D"/>
                <w:sz w:val="22"/>
              </w:rPr>
              <w:t>Deficit </w:t>
            </w:r>
            <w:r>
              <w:rPr>
                <w:color w:val="0A0A0A"/>
                <w:sz w:val="22"/>
              </w:rPr>
              <w:t>on Provision</w:t>
            </w:r>
            <w:r>
              <w:rPr>
                <w:color w:val="0A0A0A"/>
                <w:spacing w:val="5"/>
                <w:sz w:val="22"/>
              </w:rPr>
              <w:t> </w:t>
            </w:r>
            <w:r>
              <w:rPr>
                <w:color w:val="0A0A0A"/>
                <w:sz w:val="22"/>
              </w:rPr>
              <w:t>of</w:t>
            </w:r>
            <w:r>
              <w:rPr>
                <w:color w:val="0A0A0A"/>
                <w:spacing w:val="-1"/>
                <w:sz w:val="22"/>
              </w:rPr>
              <w:t> </w:t>
            </w:r>
            <w:r>
              <w:rPr>
                <w:color w:val="1D1D1D"/>
                <w:sz w:val="22"/>
              </w:rPr>
              <w:t>Services</w:t>
            </w:r>
            <w:r>
              <w:rPr>
                <w:color w:val="1D1D1D"/>
                <w:spacing w:val="4"/>
                <w:sz w:val="22"/>
              </w:rPr>
              <w:t> </w:t>
            </w:r>
            <w:r>
              <w:rPr>
                <w:color w:val="0A0A0A"/>
                <w:sz w:val="22"/>
              </w:rPr>
              <w:t>that</w:t>
            </w:r>
            <w:r>
              <w:rPr>
                <w:color w:val="0A0A0A"/>
                <w:spacing w:val="-4"/>
                <w:sz w:val="22"/>
              </w:rPr>
              <w:t> </w:t>
            </w:r>
            <w:r>
              <w:rPr>
                <w:color w:val="0A0A0A"/>
                <w:sz w:val="22"/>
              </w:rPr>
              <w:t>are</w:t>
            </w:r>
            <w:r>
              <w:rPr>
                <w:color w:val="0A0A0A"/>
                <w:spacing w:val="-11"/>
                <w:sz w:val="22"/>
              </w:rPr>
              <w:t> </w:t>
            </w:r>
            <w:r>
              <w:rPr>
                <w:color w:val="0A0A0A"/>
                <w:sz w:val="22"/>
              </w:rPr>
              <w:t>invest</w:t>
            </w:r>
            <w:r>
              <w:rPr>
                <w:color w:val="363636"/>
                <w:sz w:val="22"/>
              </w:rPr>
              <w:t>i</w:t>
            </w:r>
            <w:r>
              <w:rPr>
                <w:color w:val="1D1D1D"/>
                <w:sz w:val="22"/>
              </w:rPr>
              <w:t>ng</w:t>
            </w:r>
            <w:r>
              <w:rPr>
                <w:color w:val="1D1D1D"/>
                <w:spacing w:val="-3"/>
                <w:sz w:val="22"/>
              </w:rPr>
              <w:t> </w:t>
            </w:r>
            <w:r>
              <w:rPr>
                <w:color w:val="0A0A0A"/>
                <w:sz w:val="22"/>
              </w:rPr>
              <w:t>and</w:t>
            </w:r>
            <w:r>
              <w:rPr>
                <w:color w:val="0A0A0A"/>
                <w:spacing w:val="-11"/>
                <w:sz w:val="22"/>
              </w:rPr>
              <w:t> </w:t>
            </w:r>
            <w:r>
              <w:rPr>
                <w:color w:val="1D1D1D"/>
                <w:sz w:val="22"/>
              </w:rPr>
              <w:t>financing</w:t>
            </w:r>
            <w:r>
              <w:rPr>
                <w:color w:val="1D1D1D"/>
                <w:spacing w:val="4"/>
                <w:sz w:val="22"/>
              </w:rPr>
              <w:t> </w:t>
            </w:r>
            <w:r>
              <w:rPr>
                <w:color w:val="1D1D1D"/>
                <w:spacing w:val="-2"/>
                <w:sz w:val="22"/>
              </w:rPr>
              <w:t>activities</w:t>
            </w:r>
          </w:p>
        </w:tc>
        <w:tc>
          <w:tcPr>
            <w:tcW w:w="1442" w:type="dxa"/>
          </w:tcPr>
          <w:p>
            <w:pPr>
              <w:pStyle w:val="TableParagraph"/>
              <w:spacing w:before="208"/>
              <w:rPr>
                <w:b/>
                <w:sz w:val="22"/>
              </w:rPr>
            </w:pPr>
          </w:p>
          <w:p>
            <w:pPr>
              <w:pStyle w:val="TableParagraph"/>
              <w:tabs>
                <w:tab w:val="left" w:leader="none" w:pos="764"/>
              </w:tabs>
              <w:spacing w:line="238" w:lineRule="exact"/>
              <w:ind w:left="39" w:right="-15"/>
              <w:rPr>
                <w:sz w:val="22"/>
              </w:rPr>
            </w:pPr>
            <w:r>
              <w:rPr>
                <w:color w:val="0A0A0A"/>
                <w:sz w:val="22"/>
                <w:u w:val="single" w:color="000000"/>
              </w:rPr>
              <w:tab/>
            </w:r>
            <w:r>
              <w:rPr>
                <w:color w:val="0A0A0A"/>
                <w:spacing w:val="-2"/>
                <w:sz w:val="22"/>
                <w:u w:val="single" w:color="000000"/>
              </w:rPr>
              <w:t>7</w:t>
            </w:r>
            <w:r>
              <w:rPr>
                <w:color w:val="363636"/>
                <w:spacing w:val="-2"/>
                <w:sz w:val="22"/>
                <w:u w:val="single" w:color="000000"/>
              </w:rPr>
              <w:t>,</w:t>
            </w:r>
            <w:r>
              <w:rPr>
                <w:color w:val="0A0A0A"/>
                <w:spacing w:val="-2"/>
                <w:sz w:val="22"/>
                <w:u w:val="single" w:color="000000"/>
              </w:rPr>
              <w:t>717</w:t>
            </w:r>
            <w:r>
              <w:rPr>
                <w:color w:val="0A0A0A"/>
                <w:spacing w:val="80"/>
                <w:sz w:val="22"/>
                <w:u w:val="single" w:color="000000"/>
              </w:rPr>
              <w:t> </w:t>
            </w:r>
          </w:p>
        </w:tc>
      </w:tr>
      <w:tr>
        <w:trPr>
          <w:trHeight w:val="677" w:hRule="atLeast"/>
        </w:trPr>
        <w:tc>
          <w:tcPr>
            <w:tcW w:w="1365" w:type="dxa"/>
          </w:tcPr>
          <w:p>
            <w:pPr>
              <w:pStyle w:val="TableParagraph"/>
              <w:spacing w:before="150"/>
              <w:ind w:right="75"/>
              <w:jc w:val="right"/>
              <w:rPr>
                <w:b/>
                <w:sz w:val="22"/>
              </w:rPr>
            </w:pPr>
            <w:r>
              <w:rPr>
                <w:b/>
                <w:color w:val="0A0A0A"/>
                <w:spacing w:val="-2"/>
                <w:sz w:val="22"/>
              </w:rPr>
              <w:t>(2,223)</w:t>
            </w:r>
          </w:p>
        </w:tc>
        <w:tc>
          <w:tcPr>
            <w:tcW w:w="6798" w:type="dxa"/>
          </w:tcPr>
          <w:p>
            <w:pPr>
              <w:pStyle w:val="TableParagraph"/>
              <w:spacing w:before="150"/>
              <w:ind w:left="138"/>
              <w:rPr>
                <w:b/>
                <w:sz w:val="22"/>
              </w:rPr>
            </w:pPr>
            <w:r>
              <w:rPr>
                <w:b/>
                <w:color w:val="0A0A0A"/>
                <w:sz w:val="22"/>
              </w:rPr>
              <w:t>Net</w:t>
            </w:r>
            <w:r>
              <w:rPr>
                <w:b/>
                <w:color w:val="0A0A0A"/>
                <w:spacing w:val="-8"/>
                <w:sz w:val="22"/>
              </w:rPr>
              <w:t> </w:t>
            </w:r>
            <w:r>
              <w:rPr>
                <w:b/>
                <w:color w:val="0A0A0A"/>
                <w:sz w:val="22"/>
              </w:rPr>
              <w:t>cash</w:t>
            </w:r>
            <w:r>
              <w:rPr>
                <w:b/>
                <w:color w:val="0A0A0A"/>
                <w:spacing w:val="-5"/>
                <w:sz w:val="22"/>
              </w:rPr>
              <w:t> </w:t>
            </w:r>
            <w:r>
              <w:rPr>
                <w:b/>
                <w:color w:val="0A0A0A"/>
                <w:sz w:val="22"/>
              </w:rPr>
              <w:t>(inflow)</w:t>
            </w:r>
            <w:r>
              <w:rPr>
                <w:b/>
                <w:color w:val="0A0A0A"/>
                <w:spacing w:val="-3"/>
                <w:sz w:val="22"/>
              </w:rPr>
              <w:t> </w:t>
            </w:r>
            <w:r>
              <w:rPr>
                <w:b/>
                <w:color w:val="0A0A0A"/>
                <w:sz w:val="22"/>
              </w:rPr>
              <w:t>/</w:t>
            </w:r>
            <w:r>
              <w:rPr>
                <w:b/>
                <w:color w:val="0A0A0A"/>
                <w:spacing w:val="-8"/>
                <w:sz w:val="22"/>
              </w:rPr>
              <w:t> </w:t>
            </w:r>
            <w:r>
              <w:rPr>
                <w:b/>
                <w:color w:val="0A0A0A"/>
                <w:sz w:val="22"/>
              </w:rPr>
              <w:t>outflow</w:t>
            </w:r>
            <w:r>
              <w:rPr>
                <w:b/>
                <w:color w:val="0A0A0A"/>
                <w:spacing w:val="1"/>
                <w:sz w:val="22"/>
              </w:rPr>
              <w:t> </w:t>
            </w:r>
            <w:r>
              <w:rPr>
                <w:b/>
                <w:color w:val="0A0A0A"/>
                <w:sz w:val="22"/>
              </w:rPr>
              <w:t>from</w:t>
            </w:r>
            <w:r>
              <w:rPr>
                <w:b/>
                <w:color w:val="0A0A0A"/>
                <w:spacing w:val="-2"/>
                <w:sz w:val="22"/>
              </w:rPr>
              <w:t> </w:t>
            </w:r>
            <w:r>
              <w:rPr>
                <w:b/>
                <w:color w:val="0A0A0A"/>
                <w:sz w:val="22"/>
              </w:rPr>
              <w:t>Operating</w:t>
            </w:r>
            <w:r>
              <w:rPr>
                <w:b/>
                <w:color w:val="0A0A0A"/>
                <w:spacing w:val="10"/>
                <w:sz w:val="22"/>
              </w:rPr>
              <w:t> </w:t>
            </w:r>
            <w:r>
              <w:rPr>
                <w:b/>
                <w:color w:val="0A0A0A"/>
                <w:spacing w:val="-2"/>
                <w:sz w:val="22"/>
              </w:rPr>
              <w:t>Activities</w:t>
            </w:r>
          </w:p>
        </w:tc>
        <w:tc>
          <w:tcPr>
            <w:tcW w:w="1442" w:type="dxa"/>
          </w:tcPr>
          <w:p>
            <w:pPr>
              <w:pStyle w:val="TableParagraph"/>
              <w:spacing w:before="150"/>
              <w:ind w:left="614"/>
              <w:rPr>
                <w:b/>
                <w:sz w:val="22"/>
              </w:rPr>
            </w:pPr>
            <w:r>
              <w:rPr>
                <w:b/>
                <w:color w:val="0A0A0A"/>
                <w:spacing w:val="-2"/>
                <w:sz w:val="22"/>
              </w:rPr>
              <w:t>(4,169)</w:t>
            </w:r>
          </w:p>
        </w:tc>
      </w:tr>
      <w:tr>
        <w:trPr>
          <w:trHeight w:val="792" w:hRule="atLeast"/>
        </w:trPr>
        <w:tc>
          <w:tcPr>
            <w:tcW w:w="1365" w:type="dxa"/>
          </w:tcPr>
          <w:p>
            <w:pPr>
              <w:pStyle w:val="TableParagraph"/>
              <w:spacing w:before="13"/>
              <w:rPr>
                <w:b/>
                <w:sz w:val="22"/>
              </w:rPr>
            </w:pPr>
          </w:p>
          <w:p>
            <w:pPr>
              <w:pStyle w:val="TableParagraph"/>
              <w:ind w:right="94"/>
              <w:jc w:val="right"/>
              <w:rPr>
                <w:sz w:val="22"/>
              </w:rPr>
            </w:pPr>
            <w:r>
              <w:rPr>
                <w:color w:val="0A0A0A"/>
                <w:spacing w:val="-2"/>
                <w:sz w:val="22"/>
              </w:rPr>
              <w:t>(9,206)</w:t>
            </w:r>
          </w:p>
        </w:tc>
        <w:tc>
          <w:tcPr>
            <w:tcW w:w="6798" w:type="dxa"/>
          </w:tcPr>
          <w:p>
            <w:pPr>
              <w:pStyle w:val="TableParagraph"/>
              <w:spacing w:before="13"/>
              <w:rPr>
                <w:b/>
                <w:sz w:val="22"/>
              </w:rPr>
            </w:pPr>
          </w:p>
          <w:p>
            <w:pPr>
              <w:pStyle w:val="TableParagraph"/>
              <w:ind w:left="119"/>
              <w:rPr>
                <w:sz w:val="22"/>
              </w:rPr>
            </w:pPr>
            <w:r>
              <w:rPr>
                <w:color w:val="0A0A0A"/>
                <w:sz w:val="22"/>
              </w:rPr>
              <w:t>Investing</w:t>
            </w:r>
            <w:r>
              <w:rPr>
                <w:color w:val="0A0A0A"/>
                <w:spacing w:val="-3"/>
                <w:sz w:val="22"/>
              </w:rPr>
              <w:t> </w:t>
            </w:r>
            <w:r>
              <w:rPr>
                <w:color w:val="0A0A0A"/>
                <w:spacing w:val="-2"/>
                <w:sz w:val="22"/>
              </w:rPr>
              <w:t>Activities</w:t>
            </w:r>
          </w:p>
        </w:tc>
        <w:tc>
          <w:tcPr>
            <w:tcW w:w="1442" w:type="dxa"/>
          </w:tcPr>
          <w:p>
            <w:pPr>
              <w:pStyle w:val="TableParagraph"/>
              <w:spacing w:before="13"/>
              <w:rPr>
                <w:b/>
                <w:sz w:val="22"/>
              </w:rPr>
            </w:pPr>
          </w:p>
          <w:p>
            <w:pPr>
              <w:pStyle w:val="TableParagraph"/>
              <w:ind w:left="943"/>
              <w:rPr>
                <w:sz w:val="22"/>
              </w:rPr>
            </w:pPr>
            <w:r>
              <w:rPr>
                <w:color w:val="0A0A0A"/>
                <w:spacing w:val="-5"/>
                <w:sz w:val="22"/>
              </w:rPr>
              <w:t>575</w:t>
            </w:r>
          </w:p>
        </w:tc>
      </w:tr>
      <w:tr>
        <w:trPr>
          <w:trHeight w:val="907" w:hRule="atLeast"/>
        </w:trPr>
        <w:tc>
          <w:tcPr>
            <w:tcW w:w="1365" w:type="dxa"/>
            <w:tcBorders>
              <w:bottom w:val="single" w:color="000000" w:sz="6" w:space="0"/>
            </w:tcBorders>
          </w:tcPr>
          <w:p>
            <w:pPr>
              <w:pStyle w:val="TableParagraph"/>
              <w:spacing w:before="13"/>
              <w:rPr>
                <w:b/>
                <w:sz w:val="22"/>
              </w:rPr>
            </w:pPr>
          </w:p>
          <w:p>
            <w:pPr>
              <w:pStyle w:val="TableParagraph"/>
              <w:ind w:right="110"/>
              <w:jc w:val="right"/>
              <w:rPr>
                <w:sz w:val="22"/>
              </w:rPr>
            </w:pPr>
            <w:r>
              <w:rPr>
                <w:color w:val="0A0A0A"/>
                <w:spacing w:val="-2"/>
                <w:sz w:val="22"/>
              </w:rPr>
              <w:t>(1,838)</w:t>
            </w:r>
          </w:p>
        </w:tc>
        <w:tc>
          <w:tcPr>
            <w:tcW w:w="6798" w:type="dxa"/>
          </w:tcPr>
          <w:p>
            <w:pPr>
              <w:pStyle w:val="TableParagraph"/>
              <w:spacing w:before="13"/>
              <w:rPr>
                <w:b/>
                <w:sz w:val="22"/>
              </w:rPr>
            </w:pPr>
          </w:p>
          <w:p>
            <w:pPr>
              <w:pStyle w:val="TableParagraph"/>
              <w:ind w:left="112"/>
              <w:rPr>
                <w:sz w:val="22"/>
              </w:rPr>
            </w:pPr>
            <w:r>
              <w:rPr>
                <w:color w:val="0A0A0A"/>
                <w:sz w:val="22"/>
              </w:rPr>
              <w:t>Financing</w:t>
            </w:r>
            <w:r>
              <w:rPr>
                <w:color w:val="0A0A0A"/>
                <w:spacing w:val="-2"/>
                <w:sz w:val="22"/>
              </w:rPr>
              <w:t> Activities</w:t>
            </w:r>
          </w:p>
        </w:tc>
        <w:tc>
          <w:tcPr>
            <w:tcW w:w="1442" w:type="dxa"/>
            <w:tcBorders>
              <w:bottom w:val="single" w:color="000000" w:sz="6" w:space="0"/>
            </w:tcBorders>
          </w:tcPr>
          <w:p>
            <w:pPr>
              <w:pStyle w:val="TableParagraph"/>
              <w:spacing w:before="13"/>
              <w:rPr>
                <w:b/>
                <w:sz w:val="22"/>
              </w:rPr>
            </w:pPr>
          </w:p>
          <w:p>
            <w:pPr>
              <w:pStyle w:val="TableParagraph"/>
              <w:ind w:left="749"/>
              <w:rPr>
                <w:sz w:val="22"/>
              </w:rPr>
            </w:pPr>
            <w:r>
              <w:rPr>
                <w:color w:val="0A0A0A"/>
                <w:spacing w:val="-2"/>
                <w:sz w:val="22"/>
              </w:rPr>
              <w:t>2,325</w:t>
            </w:r>
          </w:p>
        </w:tc>
      </w:tr>
      <w:tr>
        <w:trPr>
          <w:trHeight w:val="908" w:hRule="atLeast"/>
        </w:trPr>
        <w:tc>
          <w:tcPr>
            <w:tcW w:w="1365" w:type="dxa"/>
            <w:tcBorders>
              <w:top w:val="single" w:color="000000" w:sz="6" w:space="0"/>
            </w:tcBorders>
          </w:tcPr>
          <w:p>
            <w:pPr>
              <w:pStyle w:val="TableParagraph"/>
              <w:spacing w:before="56"/>
              <w:rPr>
                <w:b/>
                <w:sz w:val="22"/>
              </w:rPr>
            </w:pPr>
          </w:p>
          <w:p>
            <w:pPr>
              <w:pStyle w:val="TableParagraph"/>
              <w:spacing w:before="1"/>
              <w:ind w:right="116"/>
              <w:jc w:val="right"/>
              <w:rPr>
                <w:b/>
                <w:sz w:val="22"/>
              </w:rPr>
            </w:pPr>
            <w:r>
              <w:rPr>
                <w:b/>
                <w:color w:val="0A0A0A"/>
                <w:spacing w:val="-2"/>
                <w:sz w:val="22"/>
              </w:rPr>
              <w:t>(13,267)</w:t>
            </w:r>
          </w:p>
        </w:tc>
        <w:tc>
          <w:tcPr>
            <w:tcW w:w="6798" w:type="dxa"/>
          </w:tcPr>
          <w:p>
            <w:pPr>
              <w:pStyle w:val="TableParagraph"/>
              <w:spacing w:before="56"/>
              <w:rPr>
                <w:b/>
                <w:sz w:val="22"/>
              </w:rPr>
            </w:pPr>
          </w:p>
          <w:p>
            <w:pPr>
              <w:pStyle w:val="TableParagraph"/>
              <w:spacing w:before="1"/>
              <w:ind w:left="99"/>
              <w:rPr>
                <w:b/>
                <w:sz w:val="22"/>
              </w:rPr>
            </w:pPr>
            <w:r>
              <w:rPr>
                <w:b/>
                <w:color w:val="0A0A0A"/>
                <w:sz w:val="22"/>
              </w:rPr>
              <w:t>Decrease</w:t>
            </w:r>
            <w:r>
              <w:rPr>
                <w:b/>
                <w:color w:val="0A0A0A"/>
                <w:spacing w:val="-2"/>
                <w:sz w:val="22"/>
              </w:rPr>
              <w:t> </w:t>
            </w:r>
            <w:r>
              <w:rPr>
                <w:b/>
                <w:i/>
                <w:color w:val="0A0A0A"/>
                <w:sz w:val="22"/>
              </w:rPr>
              <w:t>I</w:t>
            </w:r>
            <w:r>
              <w:rPr>
                <w:b/>
                <w:i/>
                <w:color w:val="0A0A0A"/>
                <w:spacing w:val="7"/>
                <w:sz w:val="22"/>
              </w:rPr>
              <w:t> </w:t>
            </w:r>
            <w:r>
              <w:rPr>
                <w:b/>
                <w:color w:val="0A0A0A"/>
                <w:sz w:val="22"/>
              </w:rPr>
              <w:t>(increase)</w:t>
            </w:r>
            <w:r>
              <w:rPr>
                <w:b/>
                <w:color w:val="0A0A0A"/>
                <w:spacing w:val="-3"/>
                <w:sz w:val="22"/>
              </w:rPr>
              <w:t> </w:t>
            </w:r>
            <w:r>
              <w:rPr>
                <w:b/>
                <w:color w:val="0A0A0A"/>
                <w:sz w:val="22"/>
              </w:rPr>
              <w:t>in</w:t>
            </w:r>
            <w:r>
              <w:rPr>
                <w:b/>
                <w:color w:val="0A0A0A"/>
                <w:spacing w:val="-3"/>
                <w:sz w:val="22"/>
              </w:rPr>
              <w:t> </w:t>
            </w:r>
            <w:r>
              <w:rPr>
                <w:b/>
                <w:color w:val="0A0A0A"/>
                <w:sz w:val="22"/>
              </w:rPr>
              <w:t>cash and</w:t>
            </w:r>
            <w:r>
              <w:rPr>
                <w:b/>
                <w:color w:val="0A0A0A"/>
                <w:spacing w:val="-2"/>
                <w:sz w:val="22"/>
              </w:rPr>
              <w:t> </w:t>
            </w:r>
            <w:r>
              <w:rPr>
                <w:b/>
                <w:color w:val="0A0A0A"/>
                <w:sz w:val="22"/>
              </w:rPr>
              <w:t>cash</w:t>
            </w:r>
            <w:r>
              <w:rPr>
                <w:b/>
                <w:color w:val="0A0A0A"/>
                <w:spacing w:val="-1"/>
                <w:sz w:val="22"/>
              </w:rPr>
              <w:t> </w:t>
            </w:r>
            <w:r>
              <w:rPr>
                <w:b/>
                <w:color w:val="0A0A0A"/>
                <w:spacing w:val="-2"/>
                <w:sz w:val="22"/>
              </w:rPr>
              <w:t>equivalents</w:t>
            </w:r>
          </w:p>
        </w:tc>
        <w:tc>
          <w:tcPr>
            <w:tcW w:w="1442" w:type="dxa"/>
            <w:tcBorders>
              <w:top w:val="single" w:color="000000" w:sz="6" w:space="0"/>
            </w:tcBorders>
          </w:tcPr>
          <w:p>
            <w:pPr>
              <w:pStyle w:val="TableParagraph"/>
              <w:spacing w:before="47"/>
              <w:rPr>
                <w:b/>
                <w:sz w:val="22"/>
              </w:rPr>
            </w:pPr>
          </w:p>
          <w:p>
            <w:pPr>
              <w:pStyle w:val="TableParagraph"/>
              <w:ind w:left="594"/>
              <w:rPr>
                <w:b/>
                <w:sz w:val="22"/>
              </w:rPr>
            </w:pPr>
            <w:r>
              <w:rPr>
                <w:b/>
                <w:color w:val="0A0A0A"/>
                <w:spacing w:val="-2"/>
                <w:sz w:val="22"/>
              </w:rPr>
              <w:t>(1,269)</w:t>
            </w:r>
          </w:p>
        </w:tc>
      </w:tr>
      <w:tr>
        <w:trPr>
          <w:trHeight w:val="979" w:hRule="atLeast"/>
        </w:trPr>
        <w:tc>
          <w:tcPr>
            <w:tcW w:w="1365" w:type="dxa"/>
            <w:tcBorders>
              <w:bottom w:val="single" w:color="000000" w:sz="6" w:space="0"/>
            </w:tcBorders>
          </w:tcPr>
          <w:p>
            <w:pPr>
              <w:pStyle w:val="TableParagraph"/>
              <w:spacing w:before="90"/>
              <w:rPr>
                <w:b/>
                <w:sz w:val="22"/>
              </w:rPr>
            </w:pPr>
          </w:p>
          <w:p>
            <w:pPr>
              <w:pStyle w:val="TableParagraph"/>
              <w:ind w:right="123"/>
              <w:jc w:val="right"/>
              <w:rPr>
                <w:sz w:val="22"/>
              </w:rPr>
            </w:pPr>
            <w:r>
              <w:rPr>
                <w:color w:val="0A0A0A"/>
                <w:spacing w:val="-2"/>
                <w:sz w:val="22"/>
              </w:rPr>
              <w:t>16,280</w:t>
            </w:r>
          </w:p>
        </w:tc>
        <w:tc>
          <w:tcPr>
            <w:tcW w:w="6798" w:type="dxa"/>
          </w:tcPr>
          <w:p>
            <w:pPr>
              <w:pStyle w:val="TableParagraph"/>
              <w:spacing w:before="90"/>
              <w:rPr>
                <w:b/>
                <w:sz w:val="22"/>
              </w:rPr>
            </w:pPr>
          </w:p>
          <w:p>
            <w:pPr>
              <w:pStyle w:val="TableParagraph"/>
              <w:ind w:left="90"/>
              <w:rPr>
                <w:sz w:val="22"/>
              </w:rPr>
            </w:pPr>
            <w:r>
              <w:rPr>
                <w:color w:val="0A0A0A"/>
                <w:sz w:val="22"/>
              </w:rPr>
              <w:t>Cash</w:t>
            </w:r>
            <w:r>
              <w:rPr>
                <w:color w:val="0A0A0A"/>
                <w:spacing w:val="-2"/>
                <w:sz w:val="22"/>
              </w:rPr>
              <w:t> </w:t>
            </w:r>
            <w:r>
              <w:rPr>
                <w:color w:val="0A0A0A"/>
                <w:sz w:val="22"/>
              </w:rPr>
              <w:t>and</w:t>
            </w:r>
            <w:r>
              <w:rPr>
                <w:color w:val="0A0A0A"/>
                <w:spacing w:val="-2"/>
                <w:sz w:val="22"/>
              </w:rPr>
              <w:t> </w:t>
            </w:r>
            <w:r>
              <w:rPr>
                <w:color w:val="0A0A0A"/>
                <w:sz w:val="22"/>
              </w:rPr>
              <w:t>cash</w:t>
            </w:r>
            <w:r>
              <w:rPr>
                <w:color w:val="0A0A0A"/>
                <w:spacing w:val="-4"/>
                <w:sz w:val="22"/>
              </w:rPr>
              <w:t> </w:t>
            </w:r>
            <w:r>
              <w:rPr>
                <w:color w:val="0A0A0A"/>
                <w:sz w:val="22"/>
              </w:rPr>
              <w:t>equivalents</w:t>
            </w:r>
            <w:r>
              <w:rPr>
                <w:color w:val="0A0A0A"/>
                <w:spacing w:val="11"/>
                <w:sz w:val="22"/>
              </w:rPr>
              <w:t> </w:t>
            </w:r>
            <w:r>
              <w:rPr>
                <w:color w:val="0A0A0A"/>
                <w:sz w:val="22"/>
              </w:rPr>
              <w:t>at</w:t>
            </w:r>
            <w:r>
              <w:rPr>
                <w:color w:val="0A0A0A"/>
                <w:spacing w:val="-7"/>
                <w:sz w:val="22"/>
              </w:rPr>
              <w:t> </w:t>
            </w:r>
            <w:r>
              <w:rPr>
                <w:color w:val="0A0A0A"/>
                <w:sz w:val="22"/>
              </w:rPr>
              <w:t>the</w:t>
            </w:r>
            <w:r>
              <w:rPr>
                <w:color w:val="0A0A0A"/>
                <w:spacing w:val="-2"/>
                <w:sz w:val="22"/>
              </w:rPr>
              <w:t> </w:t>
            </w:r>
            <w:r>
              <w:rPr>
                <w:color w:val="0A0A0A"/>
                <w:sz w:val="22"/>
              </w:rPr>
              <w:t>beginning</w:t>
            </w:r>
            <w:r>
              <w:rPr>
                <w:color w:val="0A0A0A"/>
                <w:spacing w:val="8"/>
                <w:sz w:val="22"/>
              </w:rPr>
              <w:t> </w:t>
            </w:r>
            <w:r>
              <w:rPr>
                <w:color w:val="0A0A0A"/>
                <w:sz w:val="22"/>
              </w:rPr>
              <w:t>of</w:t>
            </w:r>
            <w:r>
              <w:rPr>
                <w:color w:val="0A0A0A"/>
                <w:spacing w:val="-11"/>
                <w:sz w:val="22"/>
              </w:rPr>
              <w:t> </w:t>
            </w:r>
            <w:r>
              <w:rPr>
                <w:color w:val="0A0A0A"/>
                <w:sz w:val="22"/>
              </w:rPr>
              <w:t>the</w:t>
            </w:r>
            <w:r>
              <w:rPr>
                <w:color w:val="0A0A0A"/>
                <w:spacing w:val="-2"/>
                <w:sz w:val="22"/>
              </w:rPr>
              <w:t> </w:t>
            </w:r>
            <w:r>
              <w:rPr>
                <w:color w:val="0A0A0A"/>
                <w:sz w:val="22"/>
              </w:rPr>
              <w:t>reporting</w:t>
            </w:r>
            <w:r>
              <w:rPr>
                <w:color w:val="0A0A0A"/>
                <w:spacing w:val="8"/>
                <w:sz w:val="22"/>
              </w:rPr>
              <w:t> </w:t>
            </w:r>
            <w:r>
              <w:rPr>
                <w:color w:val="0A0A0A"/>
                <w:spacing w:val="-2"/>
                <w:sz w:val="22"/>
              </w:rPr>
              <w:t>period</w:t>
            </w:r>
          </w:p>
        </w:tc>
        <w:tc>
          <w:tcPr>
            <w:tcW w:w="1442" w:type="dxa"/>
            <w:tcBorders>
              <w:bottom w:val="single" w:color="000000" w:sz="6" w:space="0"/>
            </w:tcBorders>
          </w:tcPr>
          <w:p>
            <w:pPr>
              <w:pStyle w:val="TableParagraph"/>
              <w:spacing w:before="90"/>
              <w:rPr>
                <w:b/>
                <w:sz w:val="22"/>
              </w:rPr>
            </w:pPr>
          </w:p>
          <w:p>
            <w:pPr>
              <w:pStyle w:val="TableParagraph"/>
              <w:ind w:left="614"/>
              <w:rPr>
                <w:sz w:val="22"/>
              </w:rPr>
            </w:pPr>
            <w:r>
              <w:rPr>
                <w:color w:val="0A0A0A"/>
                <w:spacing w:val="-2"/>
                <w:sz w:val="22"/>
              </w:rPr>
              <w:t>29,547</w:t>
            </w:r>
          </w:p>
        </w:tc>
      </w:tr>
      <w:tr>
        <w:trPr>
          <w:trHeight w:val="702" w:hRule="atLeast"/>
        </w:trPr>
        <w:tc>
          <w:tcPr>
            <w:tcW w:w="1365" w:type="dxa"/>
            <w:tcBorders>
              <w:top w:val="single" w:color="000000" w:sz="6" w:space="0"/>
            </w:tcBorders>
          </w:tcPr>
          <w:p>
            <w:pPr>
              <w:pStyle w:val="TableParagraph"/>
              <w:spacing w:before="196"/>
              <w:rPr>
                <w:b/>
                <w:sz w:val="22"/>
              </w:rPr>
            </w:pPr>
          </w:p>
          <w:p>
            <w:pPr>
              <w:pStyle w:val="TableParagraph"/>
              <w:spacing w:line="233" w:lineRule="exact"/>
              <w:ind w:right="134"/>
              <w:jc w:val="right"/>
              <w:rPr>
                <w:b/>
                <w:sz w:val="22"/>
              </w:rPr>
            </w:pPr>
            <w:r>
              <w:rPr>
                <w:b/>
                <w:color w:val="0A0A0A"/>
                <w:spacing w:val="-2"/>
                <w:sz w:val="22"/>
                <w:u w:val="thick" w:color="0A0A0A"/>
              </w:rPr>
              <w:t>29,547</w:t>
            </w:r>
          </w:p>
        </w:tc>
        <w:tc>
          <w:tcPr>
            <w:tcW w:w="6798" w:type="dxa"/>
          </w:tcPr>
          <w:p>
            <w:pPr>
              <w:pStyle w:val="TableParagraph"/>
              <w:spacing w:before="196"/>
              <w:rPr>
                <w:b/>
                <w:sz w:val="22"/>
              </w:rPr>
            </w:pPr>
          </w:p>
          <w:p>
            <w:pPr>
              <w:pStyle w:val="TableParagraph"/>
              <w:spacing w:line="233" w:lineRule="exact"/>
              <w:ind w:left="81"/>
              <w:rPr>
                <w:b/>
                <w:sz w:val="22"/>
              </w:rPr>
            </w:pPr>
            <w:r>
              <w:rPr>
                <w:b/>
                <w:color w:val="0A0A0A"/>
                <w:sz w:val="22"/>
              </w:rPr>
              <w:t>Cash</w:t>
            </w:r>
            <w:r>
              <w:rPr>
                <w:b/>
                <w:color w:val="0A0A0A"/>
                <w:spacing w:val="-1"/>
                <w:sz w:val="22"/>
              </w:rPr>
              <w:t> </w:t>
            </w:r>
            <w:r>
              <w:rPr>
                <w:b/>
                <w:color w:val="0A0A0A"/>
                <w:sz w:val="22"/>
              </w:rPr>
              <w:t>and</w:t>
            </w:r>
            <w:r>
              <w:rPr>
                <w:b/>
                <w:color w:val="0A0A0A"/>
                <w:spacing w:val="2"/>
                <w:sz w:val="22"/>
              </w:rPr>
              <w:t> </w:t>
            </w:r>
            <w:r>
              <w:rPr>
                <w:b/>
                <w:color w:val="0A0A0A"/>
                <w:sz w:val="22"/>
              </w:rPr>
              <w:t>cash</w:t>
            </w:r>
            <w:r>
              <w:rPr>
                <w:b/>
                <w:color w:val="0A0A0A"/>
                <w:spacing w:val="-7"/>
                <w:sz w:val="22"/>
              </w:rPr>
              <w:t> </w:t>
            </w:r>
            <w:r>
              <w:rPr>
                <w:b/>
                <w:color w:val="0A0A0A"/>
                <w:sz w:val="22"/>
              </w:rPr>
              <w:t>equivalents</w:t>
            </w:r>
            <w:r>
              <w:rPr>
                <w:b/>
                <w:color w:val="0A0A0A"/>
                <w:spacing w:val="11"/>
                <w:sz w:val="22"/>
              </w:rPr>
              <w:t> </w:t>
            </w:r>
            <w:r>
              <w:rPr>
                <w:b/>
                <w:color w:val="0A0A0A"/>
                <w:sz w:val="22"/>
              </w:rPr>
              <w:t>at</w:t>
            </w:r>
            <w:r>
              <w:rPr>
                <w:b/>
                <w:color w:val="0A0A0A"/>
                <w:spacing w:val="-10"/>
                <w:sz w:val="22"/>
              </w:rPr>
              <w:t> </w:t>
            </w:r>
            <w:r>
              <w:rPr>
                <w:b/>
                <w:color w:val="0A0A0A"/>
                <w:sz w:val="22"/>
              </w:rPr>
              <w:t>the</w:t>
            </w:r>
            <w:r>
              <w:rPr>
                <w:b/>
                <w:color w:val="0A0A0A"/>
                <w:spacing w:val="-2"/>
                <w:sz w:val="22"/>
              </w:rPr>
              <w:t> </w:t>
            </w:r>
            <w:r>
              <w:rPr>
                <w:b/>
                <w:color w:val="0A0A0A"/>
                <w:sz w:val="22"/>
              </w:rPr>
              <w:t>end</w:t>
            </w:r>
            <w:r>
              <w:rPr>
                <w:b/>
                <w:color w:val="0A0A0A"/>
                <w:spacing w:val="-2"/>
                <w:sz w:val="22"/>
              </w:rPr>
              <w:t> </w:t>
            </w:r>
            <w:r>
              <w:rPr>
                <w:b/>
                <w:color w:val="0A0A0A"/>
                <w:sz w:val="22"/>
              </w:rPr>
              <w:t>of</w:t>
            </w:r>
            <w:r>
              <w:rPr>
                <w:b/>
                <w:color w:val="0A0A0A"/>
                <w:spacing w:val="-5"/>
                <w:sz w:val="22"/>
              </w:rPr>
              <w:t> </w:t>
            </w:r>
            <w:r>
              <w:rPr>
                <w:b/>
                <w:color w:val="0A0A0A"/>
                <w:sz w:val="22"/>
              </w:rPr>
              <w:t>the</w:t>
            </w:r>
            <w:r>
              <w:rPr>
                <w:b/>
                <w:color w:val="0A0A0A"/>
                <w:spacing w:val="-7"/>
                <w:sz w:val="22"/>
              </w:rPr>
              <w:t> </w:t>
            </w:r>
            <w:r>
              <w:rPr>
                <w:b/>
                <w:color w:val="0A0A0A"/>
                <w:sz w:val="22"/>
              </w:rPr>
              <w:t>reporting</w:t>
            </w:r>
            <w:r>
              <w:rPr>
                <w:b/>
                <w:color w:val="0A0A0A"/>
                <w:spacing w:val="12"/>
                <w:sz w:val="22"/>
              </w:rPr>
              <w:t> </w:t>
            </w:r>
            <w:r>
              <w:rPr>
                <w:b/>
                <w:color w:val="0A0A0A"/>
                <w:spacing w:val="-2"/>
                <w:sz w:val="22"/>
              </w:rPr>
              <w:t>period</w:t>
            </w:r>
          </w:p>
        </w:tc>
        <w:tc>
          <w:tcPr>
            <w:tcW w:w="1442" w:type="dxa"/>
            <w:tcBorders>
              <w:top w:val="single" w:color="000000" w:sz="6" w:space="0"/>
            </w:tcBorders>
          </w:tcPr>
          <w:p>
            <w:pPr>
              <w:pStyle w:val="TableParagraph"/>
              <w:spacing w:before="196"/>
              <w:rPr>
                <w:b/>
                <w:sz w:val="22"/>
              </w:rPr>
            </w:pPr>
          </w:p>
          <w:p>
            <w:pPr>
              <w:pStyle w:val="TableParagraph"/>
              <w:tabs>
                <w:tab w:val="left" w:leader="none" w:pos="610"/>
              </w:tabs>
              <w:spacing w:line="233" w:lineRule="exact"/>
              <w:rPr>
                <w:b/>
                <w:sz w:val="22"/>
              </w:rPr>
            </w:pPr>
            <w:r>
              <w:rPr>
                <w:b/>
                <w:color w:val="0A0A0A"/>
                <w:sz w:val="22"/>
                <w:u w:val="single" w:color="000000"/>
              </w:rPr>
              <w:tab/>
            </w:r>
            <w:r>
              <w:rPr>
                <w:b/>
                <w:color w:val="0A0A0A"/>
                <w:spacing w:val="-2"/>
                <w:sz w:val="22"/>
                <w:u w:val="single" w:color="000000"/>
              </w:rPr>
              <w:t>28,278</w:t>
            </w:r>
            <w:r>
              <w:rPr>
                <w:b/>
                <w:color w:val="0A0A0A"/>
                <w:spacing w:val="80"/>
                <w:sz w:val="22"/>
                <w:u w:val="single" w:color="000000"/>
              </w:rPr>
              <w:t> </w:t>
            </w:r>
          </w:p>
        </w:tc>
      </w:tr>
    </w:tbl>
    <w:p>
      <w:pPr>
        <w:spacing w:after="0" w:line="233" w:lineRule="exact"/>
        <w:rPr>
          <w:sz w:val="22"/>
        </w:rPr>
        <w:sectPr>
          <w:headerReference w:type="even" r:id="rId262"/>
          <w:pgSz w:w="11910" w:h="16830"/>
          <w:pgMar w:top="800" w:right="540" w:bottom="1220" w:left="440" w:header="0" w:footer="0"/>
        </w:sectPr>
      </w:pPr>
    </w:p>
    <w:p>
      <w:pPr>
        <w:tabs>
          <w:tab w:val="left" w:leader="none" w:pos="1343"/>
        </w:tabs>
        <w:spacing w:before="67"/>
        <w:ind w:left="775" w:right="0" w:firstLine="0"/>
        <w:jc w:val="left"/>
        <w:rPr>
          <w:sz w:val="15"/>
        </w:rPr>
      </w:pPr>
      <w:r>
        <w:rPr>
          <w:color w:val="A5A5A5"/>
          <w:spacing w:val="-5"/>
          <w:w w:val="105"/>
          <w:sz w:val="15"/>
        </w:rPr>
        <w:t>8.</w:t>
      </w:r>
      <w:r>
        <w:rPr>
          <w:color w:val="A5A5A5"/>
          <w:sz w:val="15"/>
        </w:rPr>
        <w:tab/>
      </w:r>
      <w:r>
        <w:rPr>
          <w:color w:val="A5A5A5"/>
          <w:w w:val="105"/>
          <w:sz w:val="15"/>
        </w:rPr>
        <w:t>ANNUAL</w:t>
      </w:r>
      <w:r>
        <w:rPr>
          <w:color w:val="A5A5A5"/>
          <w:spacing w:val="19"/>
          <w:w w:val="105"/>
          <w:sz w:val="15"/>
        </w:rPr>
        <w:t> </w:t>
      </w:r>
      <w:r>
        <w:rPr>
          <w:color w:val="A5A5A5"/>
          <w:w w:val="105"/>
          <w:sz w:val="15"/>
        </w:rPr>
        <w:t>GOVERNANCE</w:t>
      </w:r>
      <w:r>
        <w:rPr>
          <w:color w:val="A5A5A5"/>
          <w:spacing w:val="19"/>
          <w:w w:val="105"/>
          <w:sz w:val="15"/>
        </w:rPr>
        <w:t> </w:t>
      </w:r>
      <w:r>
        <w:rPr>
          <w:color w:val="A5A5A5"/>
          <w:spacing w:val="-2"/>
          <w:w w:val="105"/>
          <w:sz w:val="15"/>
        </w:rPr>
        <w:t>STATEMENT</w:t>
      </w:r>
    </w:p>
    <w:p>
      <w:pPr>
        <w:pStyle w:val="BodyText"/>
        <w:rPr>
          <w:sz w:val="20"/>
        </w:rPr>
      </w:pPr>
    </w:p>
    <w:p>
      <w:pPr>
        <w:pStyle w:val="BodyText"/>
        <w:rPr>
          <w:sz w:val="20"/>
        </w:rPr>
      </w:pPr>
    </w:p>
    <w:p>
      <w:pPr>
        <w:pStyle w:val="BodyText"/>
        <w:rPr>
          <w:sz w:val="20"/>
        </w:rPr>
      </w:pPr>
    </w:p>
    <w:p>
      <w:pPr>
        <w:pStyle w:val="BodyText"/>
        <w:spacing w:before="141"/>
        <w:rPr>
          <w:sz w:val="20"/>
        </w:rPr>
      </w:pPr>
      <w:r>
        <w:rPr/>
        <ve:AlternateContent>
          <ve:Choice Requires="wps">
            <w:drawing>
              <wp:anchor distT="0" distB="0" distL="0" distR="0" simplePos="0" relativeHeight="487739904" behindDoc="1" locked="0" layoutInCell="1" allowOverlap="1">
                <wp:simplePos x="0" y="0"/>
                <wp:positionH relativeFrom="page">
                  <wp:posOffset>3297149</wp:posOffset>
                </wp:positionH>
                <wp:positionV relativeFrom="paragraph">
                  <wp:posOffset>251122</wp:posOffset>
                </wp:positionV>
                <wp:extent cx="916305" cy="1222375"/>
                <wp:effectExtent l="0" t="0" r="0" b="0"/>
                <wp:wrapTopAndBottom/>
                <wp:docPr id="680" name="Group 680"/>
                <wp:cNvGraphicFramePr>
                  <a:graphicFrameLocks/>
                </wp:cNvGraphicFramePr>
                <a:graphic>
                  <a:graphicData uri="http://schemas.microsoft.com/office/word/2010/wordprocessingGroup">
                    <wpg:wgp>
                      <wpg:cNvPr id="680" name="Group 680"/>
                      <wpg:cNvGrpSpPr/>
                      <wpg:grpSpPr>
                        <a:xfrm>
                          <a:off x="0" y="0"/>
                          <a:ext cx="916305" cy="1222375"/>
                          <a:chExt cx="916305" cy="1222375"/>
                        </a:xfrm>
                      </wpg:grpSpPr>
                      <pic:pic>
                        <pic:nvPicPr>
                          <pic:cNvPr id="681" name="Image 681"/>
                          <pic:cNvPicPr/>
                        </pic:nvPicPr>
                        <pic:blipFill>
                          <a:blip r:embed="rId266" cstate="print"/>
                          <a:stretch>
                            <a:fillRect/>
                          </a:stretch>
                        </pic:blipFill>
                        <pic:spPr>
                          <a:xfrm>
                            <a:off x="0" y="346593"/>
                            <a:ext cx="915874" cy="875774"/>
                          </a:xfrm>
                          <a:prstGeom prst="rect">
                            <a:avLst/>
                          </a:prstGeom>
                        </pic:spPr>
                      </pic:pic>
                      <wps:wsp>
                        <wps:cNvPr id="682" name="Textbox 682"/>
                        <wps:cNvSpPr txBox="1"/>
                        <wps:spPr>
                          <a:xfrm>
                            <a:off x="0" y="0"/>
                            <a:ext cx="916305" cy="1222375"/>
                          </a:xfrm>
                          <a:prstGeom prst="rect">
                            <a:avLst/>
                          </a:prstGeom>
                        </wps:spPr>
                        <wps:txbx>
                          <w:txbxContent>
                            <w:p>
                              <w:pPr>
                                <w:spacing w:before="0" w:line="1610" w:lineRule="exact"/>
                                <w:ind w:left="731" w:right="0" w:firstLine="0"/>
                                <w:jc w:val="left"/>
                                <w:rPr>
                                  <w:sz w:val="144"/>
                                </w:rPr>
                              </w:pPr>
                              <w:r>
                                <w:rPr>
                                  <w:color w:val="111111"/>
                                  <w:spacing w:val="-10"/>
                                  <w:w w:val="105"/>
                                  <w:sz w:val="144"/>
                                </w:rPr>
                                <w:t>•</w:t>
                              </w:r>
                            </w:p>
                          </w:txbxContent>
                        </wps:txbx>
                        <wps:bodyPr wrap="square" lIns="0" tIns="0" rIns="0" bIns="0" rtlCol="0">
                          <a:noAutofit/>
                        </wps:bodyPr>
                      </wps:wsp>
                    </wpg:wgp>
                  </a:graphicData>
                </a:graphic>
              </wp:anchor>
            </w:drawing>
          </ve:Choice>
          <ve:Fallback>
            <w:pict>
              <v:group id="docshapegroup438" style="position:absolute;margin-left:259.618103pt;margin-top:19.773407pt;width:72.150pt;height:96.25pt;mso-position-horizontal-relative:page;mso-position-vertical-relative:paragraph;z-index:-15576576;mso-wrap-distance-left:0;mso-wrap-distance-right:0" coordsize="1443,1925" coordorigin="5192,395">
                <v:shape id="docshape439" style="position:absolute;left:5192;top:941;width:1443;height:1380" stroked="false" type="#_x0000_t75">
                  <v:imagedata o:title="" r:id="rId266"/>
                </v:shape>
                <v:shape id="docshape440" style="position:absolute;left:5192;top:395;width:1443;height:1925" filled="false" stroked="false" type="#_x0000_t202">
                  <v:textbox inset="0,0,0,0">
                    <w:txbxContent>
                      <w:p>
                        <w:pPr>
                          <w:spacing w:before="0" w:line="1610" w:lineRule="exact"/>
                          <w:ind w:left="731" w:right="0" w:firstLine="0"/>
                          <w:jc w:val="left"/>
                          <w:rPr>
                            <w:sz w:val="144"/>
                          </w:rPr>
                        </w:pPr>
                        <w:r>
                          <w:rPr>
                            <w:color w:val="111111"/>
                            <w:spacing w:val="-10"/>
                            <w:w w:val="105"/>
                            <w:sz w:val="144"/>
                          </w:rPr>
                          <w:t>•</w:t>
                        </w:r>
                      </w:p>
                    </w:txbxContent>
                  </v:textbox>
                  <w10:wrap type="none"/>
                </v:shape>
                <w10:wrap type="topAndBottom"/>
              </v:group>
            </w:pict>
          </ve:Fallback>
        </ve:AlternateContent>
      </w:r>
    </w:p>
    <w:p>
      <w:pPr>
        <w:pStyle w:val="BodyText"/>
        <w:rPr>
          <w:sz w:val="53"/>
        </w:rPr>
      </w:pPr>
    </w:p>
    <w:p>
      <w:pPr>
        <w:pStyle w:val="BodyText"/>
        <w:rPr>
          <w:sz w:val="53"/>
        </w:rPr>
      </w:pPr>
    </w:p>
    <w:p>
      <w:pPr>
        <w:pStyle w:val="BodyText"/>
        <w:rPr>
          <w:sz w:val="53"/>
        </w:rPr>
      </w:pPr>
    </w:p>
    <w:p>
      <w:pPr>
        <w:pStyle w:val="BodyText"/>
        <w:rPr>
          <w:sz w:val="53"/>
        </w:rPr>
      </w:pPr>
    </w:p>
    <w:p>
      <w:pPr>
        <w:pStyle w:val="BodyText"/>
        <w:spacing w:before="179"/>
        <w:rPr>
          <w:sz w:val="53"/>
        </w:rPr>
      </w:pPr>
    </w:p>
    <w:p>
      <w:pPr>
        <w:spacing w:before="1" w:line="595" w:lineRule="auto"/>
        <w:ind w:left="2127" w:right="2043" w:hanging="55"/>
        <w:jc w:val="center"/>
        <w:rPr>
          <w:b/>
          <w:sz w:val="53"/>
        </w:rPr>
      </w:pPr>
      <w:r>
        <w:rPr>
          <w:b/>
          <w:color w:val="4F4F4F"/>
          <w:sz w:val="53"/>
        </w:rPr>
        <w:t>ANNUAL GOVERNANCE STATEMENT FOR THE FINANCIAL</w:t>
      </w:r>
      <w:r>
        <w:rPr>
          <w:b/>
          <w:color w:val="4F4F4F"/>
          <w:spacing w:val="40"/>
          <w:sz w:val="53"/>
        </w:rPr>
        <w:t> </w:t>
      </w:r>
      <w:r>
        <w:rPr>
          <w:b/>
          <w:color w:val="4F4F4F"/>
          <w:sz w:val="53"/>
        </w:rPr>
        <w:t>YEAR 2022/23</w:t>
      </w:r>
    </w:p>
    <w:p>
      <w:pPr>
        <w:spacing w:after="0" w:line="595" w:lineRule="auto"/>
        <w:jc w:val="center"/>
        <w:rPr>
          <w:sz w:val="53"/>
        </w:rPr>
        <w:sectPr>
          <w:headerReference w:type="default" r:id="rId263"/>
          <w:footerReference w:type="default" r:id="rId264"/>
          <w:footerReference w:type="even" r:id="rId265"/>
          <w:pgSz w:w="11910" w:h="16830"/>
          <w:pgMar w:top="480" w:right="540" w:bottom="1340" w:left="440" w:header="0" w:footer="1156"/>
          <w:pgNumType w:start="123"/>
        </w:sectPr>
      </w:pPr>
    </w:p>
    <w:p>
      <w:pPr>
        <w:pStyle w:val="BodyText"/>
        <w:spacing w:line="153" w:lineRule="exact"/>
        <w:ind w:left="1569"/>
        <w:rPr>
          <w:sz w:val="15"/>
        </w:rPr>
      </w:pPr>
      <w:r>
        <w:rPr/>
        <ve:AlternateContent>
          <ve:Choice Requires="wps">
            <w:drawing>
              <wp:anchor distT="0" distB="0" distL="0" distR="0" simplePos="0" relativeHeight="15881216" behindDoc="0" locked="0" layoutInCell="1" allowOverlap="1">
                <wp:simplePos x="0" y="0"/>
                <wp:positionH relativeFrom="page">
                  <wp:posOffset>24423</wp:posOffset>
                </wp:positionH>
                <wp:positionV relativeFrom="page">
                  <wp:posOffset>9758638</wp:posOffset>
                </wp:positionV>
                <wp:extent cx="1270" cy="574040"/>
                <wp:effectExtent l="0" t="0" r="0" b="0"/>
                <wp:wrapNone/>
                <wp:docPr id="683" name="Graphic 683"/>
                <wp:cNvGraphicFramePr>
                  <a:graphicFrameLocks/>
                </wp:cNvGraphicFramePr>
                <a:graphic>
                  <a:graphicData uri="http://schemas.microsoft.com/office/word/2010/wordprocessingShape">
                    <wps:wsp>
                      <wps:cNvPr id="683" name="Graphic 683"/>
                      <wps:cNvSpPr/>
                      <wps:spPr>
                        <a:xfrm>
                          <a:off x="0" y="0"/>
                          <a:ext cx="1270" cy="574040"/>
                        </a:xfrm>
                        <a:custGeom>
                          <a:avLst/>
                          <a:gdLst/>
                          <a:ahLst/>
                          <a:cxnLst/>
                          <a:rect l="l" t="t" r="r" b="b"/>
                          <a:pathLst>
                            <a:path w="0" h="574040">
                              <a:moveTo>
                                <a:pt x="0" y="573677"/>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81216" stroked="true" strokecolor="#000000" strokeweight=".961549pt" from="1.923097pt,813.568208pt" to="1.923097pt,768.396729pt">
                <v:stroke dashstyle="solid"/>
                <w10:wrap type="none"/>
              </v:line>
            </w:pict>
          </ve:Fallback>
        </ve:AlternateContent>
      </w:r>
      <w:r>
        <w:rPr>
          <w:position w:val="-2"/>
          <w:sz w:val="15"/>
        </w:rPr>
        <w:drawing>
          <wp:inline distT="0" distB="0" distL="0" distR="0">
            <wp:extent cx="1854058" cy="97535"/>
            <wp:effectExtent l="0" t="0" r="0" b="0"/>
            <wp:docPr id="684" name="Image 684"/>
            <wp:cNvGraphicFramePr>
              <a:graphicFrameLocks/>
            </wp:cNvGraphicFramePr>
            <a:graphic>
              <a:graphicData uri="http://schemas.openxmlformats.org/drawingml/2006/picture">
                <pic:pic>
                  <pic:nvPicPr>
                    <pic:cNvPr id="684" name="Image 684"/>
                    <pic:cNvPicPr/>
                  </pic:nvPicPr>
                  <pic:blipFill>
                    <a:blip r:embed="rId268" cstate="print"/>
                    <a:stretch>
                      <a:fillRect/>
                    </a:stretch>
                  </pic:blipFill>
                  <pic:spPr>
                    <a:xfrm>
                      <a:off x="0" y="0"/>
                      <a:ext cx="1854058" cy="97535"/>
                    </a:xfrm>
                    <a:prstGeom prst="rect">
                      <a:avLst/>
                    </a:prstGeom>
                  </pic:spPr>
                </pic:pic>
              </a:graphicData>
            </a:graphic>
          </wp:inline>
        </w:drawing>
      </w:r>
      <w:r>
        <w:rPr>
          <w:position w:val="-2"/>
          <w:sz w:val="15"/>
        </w:rPr>
      </w:r>
    </w:p>
    <w:p>
      <w:pPr>
        <w:pStyle w:val="BodyText"/>
        <w:spacing w:before="3"/>
        <w:rPr>
          <w:b/>
        </w:rPr>
      </w:pPr>
    </w:p>
    <w:p>
      <w:pPr>
        <w:pStyle w:val="BodyText"/>
        <w:spacing w:line="273" w:lineRule="auto"/>
        <w:ind w:left="1085" w:firstLine="2"/>
      </w:pPr>
      <w:r>
        <w:rPr>
          <w:color w:val="1F1F1F"/>
        </w:rPr>
        <w:t>This</w:t>
      </w:r>
      <w:r>
        <w:rPr>
          <w:color w:val="1F1F1F"/>
          <w:spacing w:val="-5"/>
        </w:rPr>
        <w:t> </w:t>
      </w:r>
      <w:r>
        <w:rPr>
          <w:color w:val="1F1F1F"/>
        </w:rPr>
        <w:t>Annual</w:t>
      </w:r>
      <w:r>
        <w:rPr>
          <w:color w:val="1F1F1F"/>
          <w:spacing w:val="-5"/>
        </w:rPr>
        <w:t> </w:t>
      </w:r>
      <w:r>
        <w:rPr>
          <w:color w:val="1F1F1F"/>
        </w:rPr>
        <w:t>Governance Statement covers the</w:t>
      </w:r>
      <w:r>
        <w:rPr>
          <w:color w:val="1F1F1F"/>
          <w:spacing w:val="-7"/>
        </w:rPr>
        <w:t> </w:t>
      </w:r>
      <w:r>
        <w:rPr>
          <w:color w:val="1F1F1F"/>
        </w:rPr>
        <w:t>2022/23 financial year</w:t>
      </w:r>
      <w:r>
        <w:rPr>
          <w:color w:val="1F1F1F"/>
          <w:spacing w:val="-3"/>
        </w:rPr>
        <w:t> </w:t>
      </w:r>
      <w:r>
        <w:rPr>
          <w:color w:val="1F1F1F"/>
        </w:rPr>
        <w:t>and</w:t>
      </w:r>
      <w:r>
        <w:rPr>
          <w:color w:val="1F1F1F"/>
          <w:spacing w:val="-7"/>
        </w:rPr>
        <w:t> </w:t>
      </w:r>
      <w:r>
        <w:rPr>
          <w:color w:val="1F1F1F"/>
        </w:rPr>
        <w:t>up</w:t>
      </w:r>
      <w:r>
        <w:rPr>
          <w:color w:val="1F1F1F"/>
          <w:spacing w:val="-14"/>
        </w:rPr>
        <w:t> </w:t>
      </w:r>
      <w:r>
        <w:rPr>
          <w:color w:val="1F1F1F"/>
        </w:rPr>
        <w:t>to</w:t>
      </w:r>
      <w:r>
        <w:rPr>
          <w:color w:val="1F1F1F"/>
          <w:spacing w:val="-14"/>
        </w:rPr>
        <w:t> </w:t>
      </w:r>
      <w:r>
        <w:rPr>
          <w:color w:val="1F1F1F"/>
        </w:rPr>
        <w:t>the</w:t>
      </w:r>
      <w:r>
        <w:rPr>
          <w:color w:val="1F1F1F"/>
          <w:spacing w:val="-7"/>
        </w:rPr>
        <w:t> </w:t>
      </w:r>
      <w:r>
        <w:rPr>
          <w:color w:val="1F1F1F"/>
        </w:rPr>
        <w:t>date</w:t>
      </w:r>
      <w:r>
        <w:rPr>
          <w:color w:val="1F1F1F"/>
          <w:spacing w:val="-6"/>
        </w:rPr>
        <w:t> </w:t>
      </w:r>
      <w:r>
        <w:rPr>
          <w:color w:val="1F1F1F"/>
        </w:rPr>
        <w:t>of</w:t>
      </w:r>
      <w:r>
        <w:rPr>
          <w:color w:val="1F1F1F"/>
          <w:spacing w:val="-7"/>
        </w:rPr>
        <w:t> </w:t>
      </w:r>
      <w:r>
        <w:rPr>
          <w:color w:val="1F1F1F"/>
        </w:rPr>
        <w:t>the approval of the audited accounts.</w:t>
      </w:r>
    </w:p>
    <w:p>
      <w:pPr>
        <w:pStyle w:val="BodyText"/>
        <w:spacing w:before="137"/>
        <w:rPr>
          <w:sz w:val="26"/>
        </w:rPr>
      </w:pPr>
    </w:p>
    <w:p>
      <w:pPr>
        <w:spacing w:before="0"/>
        <w:ind w:left="1090" w:right="0" w:firstLine="0"/>
        <w:jc w:val="left"/>
        <w:rPr>
          <w:rFonts w:ascii="Courier New"/>
          <w:b/>
          <w:sz w:val="26"/>
        </w:rPr>
      </w:pPr>
      <w:r>
        <w:rPr>
          <w:rFonts w:ascii="Courier New"/>
          <w:b/>
          <w:color w:val="0A0A0A"/>
          <w:spacing w:val="-2"/>
          <w:sz w:val="26"/>
          <w:u w:val="thick" w:color="0A0A0A"/>
        </w:rPr>
        <w:t>BACKGROUND</w:t>
      </w:r>
    </w:p>
    <w:p>
      <w:pPr>
        <w:pStyle w:val="ListParagraph"/>
        <w:numPr>
          <w:ilvl w:val="0"/>
          <w:numId w:val="29"/>
        </w:numPr>
        <w:tabs>
          <w:tab w:val="left" w:leader="none" w:pos="1059"/>
        </w:tabs>
        <w:spacing w:before="230" w:after="0" w:line="240" w:lineRule="auto"/>
        <w:ind w:left="1059" w:right="0" w:hanging="720"/>
        <w:jc w:val="left"/>
        <w:rPr>
          <w:color w:val="0A0A0A"/>
          <w:sz w:val="22"/>
        </w:rPr>
      </w:pPr>
      <w:r>
        <w:rPr>
          <w:color w:val="0A0A0A"/>
          <w:sz w:val="22"/>
        </w:rPr>
        <w:t>The</w:t>
      </w:r>
      <w:r>
        <w:rPr>
          <w:color w:val="0A0A0A"/>
          <w:spacing w:val="-16"/>
          <w:sz w:val="22"/>
        </w:rPr>
        <w:t> </w:t>
      </w:r>
      <w:r>
        <w:rPr>
          <w:color w:val="0A0A0A"/>
          <w:sz w:val="22"/>
        </w:rPr>
        <w:t>Accounts</w:t>
      </w:r>
      <w:r>
        <w:rPr>
          <w:color w:val="0A0A0A"/>
          <w:spacing w:val="-3"/>
          <w:sz w:val="22"/>
        </w:rPr>
        <w:t> </w:t>
      </w:r>
      <w:r>
        <w:rPr>
          <w:color w:val="0A0A0A"/>
          <w:sz w:val="22"/>
        </w:rPr>
        <w:t>and</w:t>
      </w:r>
      <w:r>
        <w:rPr>
          <w:color w:val="0A0A0A"/>
          <w:spacing w:val="-16"/>
          <w:sz w:val="22"/>
        </w:rPr>
        <w:t> </w:t>
      </w:r>
      <w:r>
        <w:rPr>
          <w:color w:val="0A0A0A"/>
          <w:sz w:val="22"/>
        </w:rPr>
        <w:t>Audit</w:t>
      </w:r>
      <w:r>
        <w:rPr>
          <w:color w:val="0A0A0A"/>
          <w:spacing w:val="-2"/>
          <w:sz w:val="22"/>
        </w:rPr>
        <w:t> </w:t>
      </w:r>
      <w:r>
        <w:rPr>
          <w:color w:val="0A0A0A"/>
          <w:sz w:val="22"/>
        </w:rPr>
        <w:t>(England)</w:t>
      </w:r>
      <w:r>
        <w:rPr>
          <w:color w:val="0A0A0A"/>
          <w:spacing w:val="4"/>
          <w:sz w:val="22"/>
        </w:rPr>
        <w:t> </w:t>
      </w:r>
      <w:r>
        <w:rPr>
          <w:color w:val="0A0A0A"/>
          <w:sz w:val="22"/>
        </w:rPr>
        <w:t>Regulations</w:t>
      </w:r>
      <w:r>
        <w:rPr>
          <w:color w:val="0A0A0A"/>
          <w:spacing w:val="5"/>
          <w:sz w:val="22"/>
        </w:rPr>
        <w:t> </w:t>
      </w:r>
      <w:r>
        <w:rPr>
          <w:color w:val="0A0A0A"/>
          <w:sz w:val="22"/>
        </w:rPr>
        <w:t>2015</w:t>
      </w:r>
      <w:r>
        <w:rPr>
          <w:color w:val="0A0A0A"/>
          <w:spacing w:val="-5"/>
          <w:sz w:val="22"/>
        </w:rPr>
        <w:t> </w:t>
      </w:r>
      <w:r>
        <w:rPr>
          <w:color w:val="0A0A0A"/>
          <w:sz w:val="22"/>
        </w:rPr>
        <w:t>require</w:t>
      </w:r>
      <w:r>
        <w:rPr>
          <w:color w:val="0A0A0A"/>
          <w:spacing w:val="-3"/>
          <w:sz w:val="22"/>
        </w:rPr>
        <w:t> </w:t>
      </w:r>
      <w:r>
        <w:rPr>
          <w:color w:val="0A0A0A"/>
          <w:sz w:val="22"/>
        </w:rPr>
        <w:t>the</w:t>
      </w:r>
      <w:r>
        <w:rPr>
          <w:color w:val="0A0A0A"/>
          <w:spacing w:val="-12"/>
          <w:sz w:val="22"/>
        </w:rPr>
        <w:t> </w:t>
      </w:r>
      <w:r>
        <w:rPr>
          <w:color w:val="0A0A0A"/>
          <w:sz w:val="22"/>
        </w:rPr>
        <w:t>Council</w:t>
      </w:r>
      <w:r>
        <w:rPr>
          <w:color w:val="0A0A0A"/>
          <w:spacing w:val="-7"/>
          <w:sz w:val="22"/>
        </w:rPr>
        <w:t> </w:t>
      </w:r>
      <w:r>
        <w:rPr>
          <w:color w:val="0A0A0A"/>
          <w:spacing w:val="-5"/>
          <w:sz w:val="22"/>
        </w:rPr>
        <w:t>to:</w:t>
      </w:r>
    </w:p>
    <w:p>
      <w:pPr>
        <w:pStyle w:val="ListParagraph"/>
        <w:numPr>
          <w:ilvl w:val="1"/>
          <w:numId w:val="29"/>
        </w:numPr>
        <w:tabs>
          <w:tab w:val="left" w:leader="none" w:pos="1465"/>
        </w:tabs>
        <w:spacing w:before="252" w:after="0" w:line="240" w:lineRule="auto"/>
        <w:ind w:left="1465" w:right="0" w:hanging="413"/>
        <w:jc w:val="left"/>
        <w:rPr>
          <w:color w:val="0A0A0A"/>
          <w:sz w:val="22"/>
        </w:rPr>
      </w:pPr>
      <w:r>
        <w:rPr>
          <w:color w:val="0A0A0A"/>
          <w:sz w:val="22"/>
        </w:rPr>
        <w:t>Ensure</w:t>
      </w:r>
      <w:r>
        <w:rPr>
          <w:color w:val="0A0A0A"/>
          <w:spacing w:val="-2"/>
          <w:sz w:val="22"/>
        </w:rPr>
        <w:t> </w:t>
      </w:r>
      <w:r>
        <w:rPr>
          <w:color w:val="0A0A0A"/>
          <w:sz w:val="22"/>
        </w:rPr>
        <w:t>that</w:t>
      </w:r>
      <w:r>
        <w:rPr>
          <w:color w:val="0A0A0A"/>
          <w:spacing w:val="-5"/>
          <w:sz w:val="22"/>
        </w:rPr>
        <w:t> </w:t>
      </w:r>
      <w:r>
        <w:rPr>
          <w:color w:val="0A0A0A"/>
          <w:sz w:val="22"/>
        </w:rPr>
        <w:t>it</w:t>
      </w:r>
      <w:r>
        <w:rPr>
          <w:color w:val="0A0A0A"/>
          <w:spacing w:val="-12"/>
          <w:sz w:val="22"/>
        </w:rPr>
        <w:t> </w:t>
      </w:r>
      <w:r>
        <w:rPr>
          <w:color w:val="0A0A0A"/>
          <w:sz w:val="22"/>
        </w:rPr>
        <w:t>has</w:t>
      </w:r>
      <w:r>
        <w:rPr>
          <w:color w:val="0A0A0A"/>
          <w:spacing w:val="-3"/>
          <w:sz w:val="22"/>
        </w:rPr>
        <w:t> </w:t>
      </w:r>
      <w:r>
        <w:rPr>
          <w:color w:val="0A0A0A"/>
          <w:sz w:val="22"/>
        </w:rPr>
        <w:t>a</w:t>
      </w:r>
      <w:r>
        <w:rPr>
          <w:color w:val="0A0A0A"/>
          <w:spacing w:val="-10"/>
          <w:sz w:val="22"/>
        </w:rPr>
        <w:t> </w:t>
      </w:r>
      <w:r>
        <w:rPr>
          <w:color w:val="0A0A0A"/>
          <w:sz w:val="22"/>
        </w:rPr>
        <w:t>sound</w:t>
      </w:r>
      <w:r>
        <w:rPr>
          <w:color w:val="0A0A0A"/>
          <w:spacing w:val="-5"/>
          <w:sz w:val="22"/>
        </w:rPr>
        <w:t> </w:t>
      </w:r>
      <w:r>
        <w:rPr>
          <w:color w:val="0A0A0A"/>
          <w:sz w:val="22"/>
        </w:rPr>
        <w:t>system</w:t>
      </w:r>
      <w:r>
        <w:rPr>
          <w:color w:val="0A0A0A"/>
          <w:spacing w:val="5"/>
          <w:sz w:val="22"/>
        </w:rPr>
        <w:t> </w:t>
      </w:r>
      <w:r>
        <w:rPr>
          <w:color w:val="0A0A0A"/>
          <w:sz w:val="22"/>
        </w:rPr>
        <w:t>of</w:t>
      </w:r>
      <w:r>
        <w:rPr>
          <w:color w:val="0A0A0A"/>
          <w:spacing w:val="-4"/>
          <w:sz w:val="22"/>
        </w:rPr>
        <w:t> </w:t>
      </w:r>
      <w:r>
        <w:rPr>
          <w:color w:val="0A0A0A"/>
          <w:sz w:val="22"/>
        </w:rPr>
        <w:t>internal control</w:t>
      </w:r>
      <w:r>
        <w:rPr>
          <w:color w:val="0A0A0A"/>
          <w:spacing w:val="-3"/>
          <w:sz w:val="22"/>
        </w:rPr>
        <w:t> </w:t>
      </w:r>
      <w:r>
        <w:rPr>
          <w:color w:val="0A0A0A"/>
          <w:sz w:val="22"/>
        </w:rPr>
        <w:t>(Regulation</w:t>
      </w:r>
      <w:r>
        <w:rPr>
          <w:color w:val="0A0A0A"/>
          <w:spacing w:val="6"/>
          <w:sz w:val="22"/>
        </w:rPr>
        <w:t> </w:t>
      </w:r>
      <w:r>
        <w:rPr>
          <w:color w:val="0A0A0A"/>
          <w:spacing w:val="-5"/>
          <w:sz w:val="22"/>
        </w:rPr>
        <w:t>3),</w:t>
      </w:r>
    </w:p>
    <w:p>
      <w:pPr>
        <w:pStyle w:val="ListParagraph"/>
        <w:numPr>
          <w:ilvl w:val="1"/>
          <w:numId w:val="29"/>
        </w:numPr>
        <w:tabs>
          <w:tab w:val="left" w:leader="none" w:pos="1466"/>
        </w:tabs>
        <w:spacing w:before="59" w:after="0" w:line="242" w:lineRule="auto"/>
        <w:ind w:left="1466" w:right="208" w:hanging="421"/>
        <w:jc w:val="left"/>
        <w:rPr>
          <w:color w:val="0A0A0A"/>
          <w:sz w:val="22"/>
        </w:rPr>
      </w:pPr>
      <w:r>
        <w:rPr>
          <w:color w:val="1F1F1F"/>
          <w:sz w:val="22"/>
        </w:rPr>
        <w:t>Undertake an</w:t>
      </w:r>
      <w:r>
        <w:rPr>
          <w:color w:val="1F1F1F"/>
          <w:spacing w:val="-2"/>
          <w:sz w:val="22"/>
        </w:rPr>
        <w:t> </w:t>
      </w:r>
      <w:r>
        <w:rPr>
          <w:color w:val="1F1F1F"/>
          <w:sz w:val="22"/>
        </w:rPr>
        <w:t>effective internal </w:t>
      </w:r>
      <w:r>
        <w:rPr>
          <w:color w:val="0A0A0A"/>
          <w:sz w:val="22"/>
        </w:rPr>
        <w:t>audit to</w:t>
      </w:r>
      <w:r>
        <w:rPr>
          <w:color w:val="0A0A0A"/>
          <w:spacing w:val="-5"/>
          <w:sz w:val="22"/>
        </w:rPr>
        <w:t> </w:t>
      </w:r>
      <w:r>
        <w:rPr>
          <w:color w:val="0A0A0A"/>
          <w:sz w:val="22"/>
        </w:rPr>
        <w:t>evaluate the </w:t>
      </w:r>
      <w:r>
        <w:rPr>
          <w:color w:val="1F1F1F"/>
          <w:sz w:val="22"/>
        </w:rPr>
        <w:t>effectiveness</w:t>
      </w:r>
      <w:r>
        <w:rPr>
          <w:color w:val="1F1F1F"/>
          <w:spacing w:val="29"/>
          <w:sz w:val="22"/>
        </w:rPr>
        <w:t> </w:t>
      </w:r>
      <w:r>
        <w:rPr>
          <w:color w:val="0A0A0A"/>
          <w:sz w:val="22"/>
        </w:rPr>
        <w:t>of</w:t>
      </w:r>
      <w:r>
        <w:rPr>
          <w:color w:val="0A0A0A"/>
          <w:spacing w:val="-5"/>
          <w:sz w:val="22"/>
        </w:rPr>
        <w:t> </w:t>
      </w:r>
      <w:r>
        <w:rPr>
          <w:color w:val="0A0A0A"/>
          <w:sz w:val="22"/>
        </w:rPr>
        <w:t>its</w:t>
      </w:r>
      <w:r>
        <w:rPr>
          <w:color w:val="0A0A0A"/>
          <w:spacing w:val="-1"/>
          <w:sz w:val="22"/>
        </w:rPr>
        <w:t> </w:t>
      </w:r>
      <w:r>
        <w:rPr>
          <w:color w:val="0A0A0A"/>
          <w:sz w:val="22"/>
        </w:rPr>
        <w:t>risk </w:t>
      </w:r>
      <w:r>
        <w:rPr>
          <w:color w:val="1F1F1F"/>
          <w:sz w:val="22"/>
        </w:rPr>
        <w:t>management, control</w:t>
      </w:r>
      <w:r>
        <w:rPr>
          <w:color w:val="1F1F1F"/>
          <w:spacing w:val="-10"/>
          <w:sz w:val="22"/>
        </w:rPr>
        <w:t> </w:t>
      </w:r>
      <w:r>
        <w:rPr>
          <w:color w:val="0A0A0A"/>
          <w:sz w:val="22"/>
        </w:rPr>
        <w:t>and</w:t>
      </w:r>
      <w:r>
        <w:rPr>
          <w:color w:val="0A0A0A"/>
          <w:spacing w:val="-14"/>
          <w:sz w:val="22"/>
        </w:rPr>
        <w:t> </w:t>
      </w:r>
      <w:r>
        <w:rPr>
          <w:color w:val="1F1F1F"/>
          <w:sz w:val="22"/>
        </w:rPr>
        <w:t>governance </w:t>
      </w:r>
      <w:r>
        <w:rPr>
          <w:color w:val="0A0A0A"/>
          <w:sz w:val="22"/>
        </w:rPr>
        <w:t>processes, taking</w:t>
      </w:r>
      <w:r>
        <w:rPr>
          <w:color w:val="0A0A0A"/>
          <w:spacing w:val="-8"/>
          <w:sz w:val="22"/>
        </w:rPr>
        <w:t> </w:t>
      </w:r>
      <w:r>
        <w:rPr>
          <w:color w:val="0A0A0A"/>
          <w:sz w:val="22"/>
        </w:rPr>
        <w:t>into</w:t>
      </w:r>
      <w:r>
        <w:rPr>
          <w:color w:val="0A0A0A"/>
          <w:spacing w:val="-11"/>
          <w:sz w:val="22"/>
        </w:rPr>
        <w:t> </w:t>
      </w:r>
      <w:r>
        <w:rPr>
          <w:color w:val="0A0A0A"/>
          <w:sz w:val="22"/>
        </w:rPr>
        <w:t>account</w:t>
      </w:r>
      <w:r>
        <w:rPr>
          <w:color w:val="0A0A0A"/>
          <w:spacing w:val="-3"/>
          <w:sz w:val="22"/>
        </w:rPr>
        <w:t> </w:t>
      </w:r>
      <w:r>
        <w:rPr>
          <w:color w:val="1F1F1F"/>
          <w:sz w:val="22"/>
        </w:rPr>
        <w:t>public</w:t>
      </w:r>
      <w:r>
        <w:rPr>
          <w:color w:val="1F1F1F"/>
          <w:spacing w:val="-2"/>
          <w:sz w:val="22"/>
        </w:rPr>
        <w:t> </w:t>
      </w:r>
      <w:r>
        <w:rPr>
          <w:color w:val="0A0A0A"/>
          <w:sz w:val="22"/>
        </w:rPr>
        <w:t>sector</w:t>
      </w:r>
      <w:r>
        <w:rPr>
          <w:color w:val="0A0A0A"/>
          <w:spacing w:val="-9"/>
          <w:sz w:val="22"/>
        </w:rPr>
        <w:t> </w:t>
      </w:r>
      <w:r>
        <w:rPr>
          <w:color w:val="0A0A0A"/>
          <w:sz w:val="22"/>
        </w:rPr>
        <w:t>internal </w:t>
      </w:r>
      <w:r>
        <w:rPr>
          <w:color w:val="1F1F1F"/>
          <w:sz w:val="22"/>
        </w:rPr>
        <w:t>auditing</w:t>
      </w:r>
      <w:r>
        <w:rPr>
          <w:color w:val="1F1F1F"/>
          <w:spacing w:val="-1"/>
          <w:sz w:val="22"/>
        </w:rPr>
        <w:t> </w:t>
      </w:r>
      <w:r>
        <w:rPr>
          <w:color w:val="1F1F1F"/>
          <w:sz w:val="22"/>
        </w:rPr>
        <w:t>standards </w:t>
      </w:r>
      <w:r>
        <w:rPr>
          <w:color w:val="0A0A0A"/>
          <w:sz w:val="22"/>
        </w:rPr>
        <w:t>or guidance (Regulation 5),</w:t>
      </w:r>
    </w:p>
    <w:p>
      <w:pPr>
        <w:pStyle w:val="ListParagraph"/>
        <w:numPr>
          <w:ilvl w:val="1"/>
          <w:numId w:val="29"/>
        </w:numPr>
        <w:tabs>
          <w:tab w:val="left" w:leader="none" w:pos="1455"/>
          <w:tab w:val="left" w:leader="none" w:pos="1457"/>
        </w:tabs>
        <w:spacing w:before="57" w:after="0" w:line="237" w:lineRule="auto"/>
        <w:ind w:left="1455" w:right="677" w:hanging="419"/>
        <w:jc w:val="left"/>
        <w:rPr>
          <w:color w:val="0A0A0A"/>
          <w:sz w:val="22"/>
        </w:rPr>
      </w:pPr>
      <w:r>
        <w:rPr>
          <w:color w:val="0A0A0A"/>
          <w:sz w:val="22"/>
        </w:rPr>
        <w:tab/>
        <w:t>Conducts a</w:t>
      </w:r>
      <w:r>
        <w:rPr>
          <w:color w:val="0A0A0A"/>
          <w:spacing w:val="-12"/>
          <w:sz w:val="22"/>
        </w:rPr>
        <w:t> </w:t>
      </w:r>
      <w:r>
        <w:rPr>
          <w:color w:val="0A0A0A"/>
          <w:sz w:val="22"/>
        </w:rPr>
        <w:t>review at</w:t>
      </w:r>
      <w:r>
        <w:rPr>
          <w:color w:val="0A0A0A"/>
          <w:spacing w:val="-2"/>
          <w:sz w:val="22"/>
        </w:rPr>
        <w:t> </w:t>
      </w:r>
      <w:r>
        <w:rPr>
          <w:color w:val="0A0A0A"/>
          <w:sz w:val="22"/>
        </w:rPr>
        <w:t>least</w:t>
      </w:r>
      <w:r>
        <w:rPr>
          <w:color w:val="0A0A0A"/>
          <w:spacing w:val="-1"/>
          <w:sz w:val="22"/>
        </w:rPr>
        <w:t> </w:t>
      </w:r>
      <w:r>
        <w:rPr>
          <w:color w:val="0A0A0A"/>
          <w:sz w:val="22"/>
        </w:rPr>
        <w:t>once</w:t>
      </w:r>
      <w:r>
        <w:rPr>
          <w:color w:val="0A0A0A"/>
          <w:spacing w:val="-2"/>
          <w:sz w:val="22"/>
        </w:rPr>
        <w:t> </w:t>
      </w:r>
      <w:r>
        <w:rPr>
          <w:color w:val="0A0A0A"/>
          <w:sz w:val="22"/>
        </w:rPr>
        <w:t>a</w:t>
      </w:r>
      <w:r>
        <w:rPr>
          <w:color w:val="0A0A0A"/>
          <w:spacing w:val="-11"/>
          <w:sz w:val="22"/>
        </w:rPr>
        <w:t> </w:t>
      </w:r>
      <w:r>
        <w:rPr>
          <w:color w:val="0A0A0A"/>
          <w:sz w:val="22"/>
        </w:rPr>
        <w:t>year of</w:t>
      </w:r>
      <w:r>
        <w:rPr>
          <w:color w:val="0A0A0A"/>
          <w:spacing w:val="-11"/>
          <w:sz w:val="22"/>
        </w:rPr>
        <w:t> </w:t>
      </w:r>
      <w:r>
        <w:rPr>
          <w:color w:val="0A0A0A"/>
          <w:sz w:val="22"/>
        </w:rPr>
        <w:t>the</w:t>
      </w:r>
      <w:r>
        <w:rPr>
          <w:color w:val="0A0A0A"/>
          <w:spacing w:val="-6"/>
          <w:sz w:val="22"/>
        </w:rPr>
        <w:t> </w:t>
      </w:r>
      <w:r>
        <w:rPr>
          <w:color w:val="0A0A0A"/>
          <w:sz w:val="22"/>
        </w:rPr>
        <w:t>effectiveness of</w:t>
      </w:r>
      <w:r>
        <w:rPr>
          <w:color w:val="0A0A0A"/>
          <w:spacing w:val="-3"/>
          <w:sz w:val="22"/>
        </w:rPr>
        <w:t> </w:t>
      </w:r>
      <w:r>
        <w:rPr>
          <w:color w:val="0A0A0A"/>
          <w:sz w:val="22"/>
        </w:rPr>
        <w:t>its</w:t>
      </w:r>
      <w:r>
        <w:rPr>
          <w:color w:val="0A0A0A"/>
          <w:spacing w:val="-5"/>
          <w:sz w:val="22"/>
        </w:rPr>
        <w:t> </w:t>
      </w:r>
      <w:r>
        <w:rPr>
          <w:color w:val="0A0A0A"/>
          <w:sz w:val="22"/>
        </w:rPr>
        <w:t>system of</w:t>
      </w:r>
      <w:r>
        <w:rPr>
          <w:color w:val="0A0A0A"/>
          <w:spacing w:val="-2"/>
          <w:sz w:val="22"/>
        </w:rPr>
        <w:t> </w:t>
      </w:r>
      <w:r>
        <w:rPr>
          <w:color w:val="0A0A0A"/>
          <w:sz w:val="22"/>
        </w:rPr>
        <w:t>internal</w:t>
      </w:r>
      <w:r>
        <w:rPr>
          <w:color w:val="0A0A0A"/>
          <w:spacing w:val="-7"/>
          <w:sz w:val="22"/>
        </w:rPr>
        <w:t> </w:t>
      </w:r>
      <w:r>
        <w:rPr>
          <w:color w:val="0A0A0A"/>
          <w:sz w:val="22"/>
        </w:rPr>
        <w:t>control (Regulation 6),</w:t>
      </w:r>
    </w:p>
    <w:p>
      <w:pPr>
        <w:pStyle w:val="ListParagraph"/>
        <w:numPr>
          <w:ilvl w:val="1"/>
          <w:numId w:val="29"/>
        </w:numPr>
        <w:tabs>
          <w:tab w:val="left" w:leader="none" w:pos="1446"/>
        </w:tabs>
        <w:spacing w:before="64" w:after="0" w:line="240" w:lineRule="auto"/>
        <w:ind w:left="1446" w:right="0" w:hanging="418"/>
        <w:jc w:val="left"/>
        <w:rPr>
          <w:color w:val="0A0A0A"/>
          <w:sz w:val="22"/>
        </w:rPr>
      </w:pPr>
      <w:r>
        <w:rPr>
          <w:color w:val="0A0A0A"/>
          <w:sz w:val="22"/>
        </w:rPr>
        <w:t>Prepare</w:t>
      </w:r>
      <w:r>
        <w:rPr>
          <w:color w:val="0A0A0A"/>
          <w:spacing w:val="-3"/>
          <w:sz w:val="22"/>
        </w:rPr>
        <w:t> </w:t>
      </w:r>
      <w:r>
        <w:rPr>
          <w:color w:val="0A0A0A"/>
          <w:sz w:val="22"/>
        </w:rPr>
        <w:t>an</w:t>
      </w:r>
      <w:r>
        <w:rPr>
          <w:color w:val="0A0A0A"/>
          <w:spacing w:val="-12"/>
          <w:sz w:val="22"/>
        </w:rPr>
        <w:t> </w:t>
      </w:r>
      <w:r>
        <w:rPr>
          <w:color w:val="0A0A0A"/>
          <w:sz w:val="22"/>
        </w:rPr>
        <w:t>annual</w:t>
      </w:r>
      <w:r>
        <w:rPr>
          <w:color w:val="0A0A0A"/>
          <w:spacing w:val="-14"/>
          <w:sz w:val="22"/>
        </w:rPr>
        <w:t> </w:t>
      </w:r>
      <w:r>
        <w:rPr>
          <w:color w:val="0A0A0A"/>
          <w:sz w:val="22"/>
        </w:rPr>
        <w:t>governance</w:t>
      </w:r>
      <w:r>
        <w:rPr>
          <w:color w:val="0A0A0A"/>
          <w:spacing w:val="4"/>
          <w:sz w:val="22"/>
        </w:rPr>
        <w:t> </w:t>
      </w:r>
      <w:r>
        <w:rPr>
          <w:color w:val="0A0A0A"/>
          <w:sz w:val="22"/>
        </w:rPr>
        <w:t>statement</w:t>
      </w:r>
      <w:r>
        <w:rPr>
          <w:color w:val="0A0A0A"/>
          <w:spacing w:val="-6"/>
          <w:sz w:val="22"/>
        </w:rPr>
        <w:t> </w:t>
      </w:r>
      <w:r>
        <w:rPr>
          <w:color w:val="0A0A0A"/>
          <w:sz w:val="22"/>
        </w:rPr>
        <w:t>(Regulation</w:t>
      </w:r>
      <w:r>
        <w:rPr>
          <w:color w:val="0A0A0A"/>
          <w:spacing w:val="-4"/>
          <w:sz w:val="22"/>
        </w:rPr>
        <w:t> </w:t>
      </w:r>
      <w:r>
        <w:rPr>
          <w:color w:val="0A0A0A"/>
          <w:spacing w:val="-5"/>
          <w:sz w:val="22"/>
        </w:rPr>
        <w:t>6),</w:t>
      </w:r>
    </w:p>
    <w:p>
      <w:pPr>
        <w:pStyle w:val="ListParagraph"/>
        <w:numPr>
          <w:ilvl w:val="1"/>
          <w:numId w:val="29"/>
        </w:numPr>
        <w:tabs>
          <w:tab w:val="left" w:leader="none" w:pos="1441"/>
        </w:tabs>
        <w:spacing w:before="60" w:after="0" w:line="240" w:lineRule="auto"/>
        <w:ind w:left="1441" w:right="296" w:hanging="419"/>
        <w:jc w:val="both"/>
        <w:rPr>
          <w:color w:val="0A0A0A"/>
          <w:sz w:val="22"/>
        </w:rPr>
      </w:pPr>
      <w:r>
        <w:rPr>
          <w:color w:val="0A0A0A"/>
          <w:sz w:val="22"/>
        </w:rPr>
        <w:t>Consider the</w:t>
      </w:r>
      <w:r>
        <w:rPr>
          <w:color w:val="0A0A0A"/>
          <w:spacing w:val="-10"/>
          <w:sz w:val="22"/>
        </w:rPr>
        <w:t> </w:t>
      </w:r>
      <w:r>
        <w:rPr>
          <w:color w:val="1F1F1F"/>
          <w:sz w:val="22"/>
        </w:rPr>
        <w:t>findings of</w:t>
      </w:r>
      <w:r>
        <w:rPr>
          <w:color w:val="1F1F1F"/>
          <w:spacing w:val="-6"/>
          <w:sz w:val="22"/>
        </w:rPr>
        <w:t> </w:t>
      </w:r>
      <w:r>
        <w:rPr>
          <w:color w:val="1F1F1F"/>
          <w:sz w:val="22"/>
        </w:rPr>
        <w:t>the</w:t>
      </w:r>
      <w:r>
        <w:rPr>
          <w:color w:val="1F1F1F"/>
          <w:spacing w:val="-9"/>
          <w:sz w:val="22"/>
        </w:rPr>
        <w:t> </w:t>
      </w:r>
      <w:r>
        <w:rPr>
          <w:color w:val="1F1F1F"/>
          <w:sz w:val="22"/>
        </w:rPr>
        <w:t>review</w:t>
      </w:r>
      <w:r>
        <w:rPr>
          <w:color w:val="1F1F1F"/>
          <w:spacing w:val="-5"/>
          <w:sz w:val="22"/>
        </w:rPr>
        <w:t> </w:t>
      </w:r>
      <w:r>
        <w:rPr>
          <w:color w:val="1F1F1F"/>
          <w:sz w:val="22"/>
        </w:rPr>
        <w:t>(either</w:t>
      </w:r>
      <w:r>
        <w:rPr>
          <w:color w:val="1F1F1F"/>
          <w:spacing w:val="-4"/>
          <w:sz w:val="22"/>
        </w:rPr>
        <w:t> </w:t>
      </w:r>
      <w:r>
        <w:rPr>
          <w:color w:val="0A0A0A"/>
          <w:sz w:val="22"/>
        </w:rPr>
        <w:t>at</w:t>
      </w:r>
      <w:r>
        <w:rPr>
          <w:color w:val="0A0A0A"/>
          <w:spacing w:val="-6"/>
          <w:sz w:val="22"/>
        </w:rPr>
        <w:t> </w:t>
      </w:r>
      <w:r>
        <w:rPr>
          <w:color w:val="0A0A0A"/>
          <w:sz w:val="22"/>
        </w:rPr>
        <w:t>a</w:t>
      </w:r>
      <w:r>
        <w:rPr>
          <w:color w:val="0A0A0A"/>
          <w:spacing w:val="-11"/>
          <w:sz w:val="22"/>
        </w:rPr>
        <w:t> </w:t>
      </w:r>
      <w:r>
        <w:rPr>
          <w:color w:val="0A0A0A"/>
          <w:sz w:val="22"/>
        </w:rPr>
        <w:t>committee</w:t>
      </w:r>
      <w:r>
        <w:rPr>
          <w:color w:val="0A0A0A"/>
          <w:spacing w:val="-3"/>
          <w:sz w:val="22"/>
        </w:rPr>
        <w:t> </w:t>
      </w:r>
      <w:r>
        <w:rPr>
          <w:color w:val="0A0A0A"/>
          <w:sz w:val="22"/>
        </w:rPr>
        <w:t>meeting or</w:t>
      </w:r>
      <w:r>
        <w:rPr>
          <w:color w:val="0A0A0A"/>
          <w:spacing w:val="-10"/>
          <w:sz w:val="22"/>
        </w:rPr>
        <w:t> </w:t>
      </w:r>
      <w:r>
        <w:rPr>
          <w:color w:val="0A0A0A"/>
          <w:sz w:val="22"/>
        </w:rPr>
        <w:t>at</w:t>
      </w:r>
      <w:r>
        <w:rPr>
          <w:color w:val="0A0A0A"/>
          <w:spacing w:val="-4"/>
          <w:sz w:val="22"/>
        </w:rPr>
        <w:t> </w:t>
      </w:r>
      <w:r>
        <w:rPr>
          <w:color w:val="0A0A0A"/>
          <w:sz w:val="22"/>
        </w:rPr>
        <w:t>Council) and,</w:t>
      </w:r>
      <w:r>
        <w:rPr>
          <w:color w:val="0A0A0A"/>
          <w:spacing w:val="-4"/>
          <w:sz w:val="22"/>
        </w:rPr>
        <w:t> </w:t>
      </w:r>
      <w:r>
        <w:rPr>
          <w:color w:val="0A0A0A"/>
          <w:sz w:val="22"/>
        </w:rPr>
        <w:t>following that consideration</w:t>
      </w:r>
      <w:r>
        <w:rPr>
          <w:color w:val="3A3A3A"/>
          <w:sz w:val="22"/>
        </w:rPr>
        <w:t>,</w:t>
      </w:r>
      <w:r>
        <w:rPr>
          <w:color w:val="3A3A3A"/>
          <w:spacing w:val="-14"/>
          <w:sz w:val="22"/>
        </w:rPr>
        <w:t> </w:t>
      </w:r>
      <w:r>
        <w:rPr>
          <w:color w:val="0A0A0A"/>
          <w:sz w:val="22"/>
        </w:rPr>
        <w:t>approve </w:t>
      </w:r>
      <w:r>
        <w:rPr>
          <w:color w:val="1F1F1F"/>
          <w:sz w:val="22"/>
        </w:rPr>
        <w:t>an</w:t>
      </w:r>
      <w:r>
        <w:rPr>
          <w:color w:val="1F1F1F"/>
          <w:spacing w:val="-5"/>
          <w:sz w:val="22"/>
        </w:rPr>
        <w:t> </w:t>
      </w:r>
      <w:r>
        <w:rPr>
          <w:color w:val="1F1F1F"/>
          <w:sz w:val="22"/>
        </w:rPr>
        <w:t>AGS</w:t>
      </w:r>
      <w:r>
        <w:rPr>
          <w:color w:val="1F1F1F"/>
          <w:spacing w:val="-3"/>
          <w:sz w:val="22"/>
        </w:rPr>
        <w:t> </w:t>
      </w:r>
      <w:r>
        <w:rPr>
          <w:color w:val="0A0A0A"/>
          <w:sz w:val="22"/>
        </w:rPr>
        <w:t>prepared in</w:t>
      </w:r>
      <w:r>
        <w:rPr>
          <w:color w:val="0A0A0A"/>
          <w:spacing w:val="-1"/>
          <w:sz w:val="22"/>
        </w:rPr>
        <w:t> </w:t>
      </w:r>
      <w:r>
        <w:rPr>
          <w:color w:val="0A0A0A"/>
          <w:sz w:val="22"/>
        </w:rPr>
        <w:t>accordance with</w:t>
      </w:r>
      <w:r>
        <w:rPr>
          <w:color w:val="0A0A0A"/>
          <w:spacing w:val="-2"/>
          <w:sz w:val="22"/>
        </w:rPr>
        <w:t> </w:t>
      </w:r>
      <w:r>
        <w:rPr>
          <w:color w:val="0A0A0A"/>
          <w:sz w:val="22"/>
        </w:rPr>
        <w:t>proper practices (Regulation 6), and</w:t>
      </w:r>
    </w:p>
    <w:p>
      <w:pPr>
        <w:pStyle w:val="ListParagraph"/>
        <w:numPr>
          <w:ilvl w:val="1"/>
          <w:numId w:val="29"/>
        </w:numPr>
        <w:tabs>
          <w:tab w:val="left" w:leader="none" w:pos="1418"/>
          <w:tab w:val="left" w:leader="none" w:pos="1436"/>
        </w:tabs>
        <w:spacing w:before="58" w:after="0" w:line="240" w:lineRule="auto"/>
        <w:ind w:left="1436" w:right="254" w:hanging="422"/>
        <w:jc w:val="both"/>
        <w:rPr>
          <w:color w:val="0A0A0A"/>
          <w:sz w:val="22"/>
        </w:rPr>
      </w:pPr>
      <w:r>
        <w:rPr>
          <w:color w:val="0A0A0A"/>
          <w:sz w:val="22"/>
        </w:rPr>
        <w:t>Approve</w:t>
      </w:r>
      <w:r>
        <w:rPr>
          <w:color w:val="0A0A0A"/>
          <w:spacing w:val="-6"/>
          <w:sz w:val="22"/>
        </w:rPr>
        <w:t> </w:t>
      </w:r>
      <w:r>
        <w:rPr>
          <w:color w:val="0A0A0A"/>
          <w:sz w:val="22"/>
        </w:rPr>
        <w:t>the</w:t>
      </w:r>
      <w:r>
        <w:rPr>
          <w:color w:val="0A0A0A"/>
          <w:spacing w:val="-5"/>
          <w:sz w:val="22"/>
        </w:rPr>
        <w:t> </w:t>
      </w:r>
      <w:r>
        <w:rPr>
          <w:color w:val="0A0A0A"/>
          <w:sz w:val="22"/>
        </w:rPr>
        <w:t>annual</w:t>
      </w:r>
      <w:r>
        <w:rPr>
          <w:color w:val="0A0A0A"/>
          <w:spacing w:val="-9"/>
          <w:sz w:val="22"/>
        </w:rPr>
        <w:t> </w:t>
      </w:r>
      <w:r>
        <w:rPr>
          <w:color w:val="0A0A0A"/>
          <w:sz w:val="22"/>
        </w:rPr>
        <w:t>governance statement in</w:t>
      </w:r>
      <w:r>
        <w:rPr>
          <w:color w:val="0A0A0A"/>
          <w:spacing w:val="-9"/>
          <w:sz w:val="22"/>
        </w:rPr>
        <w:t> </w:t>
      </w:r>
      <w:r>
        <w:rPr>
          <w:color w:val="0A0A0A"/>
          <w:sz w:val="22"/>
        </w:rPr>
        <w:t>advance of</w:t>
      </w:r>
      <w:r>
        <w:rPr>
          <w:color w:val="0A0A0A"/>
          <w:spacing w:val="-5"/>
          <w:sz w:val="22"/>
        </w:rPr>
        <w:t> </w:t>
      </w:r>
      <w:r>
        <w:rPr>
          <w:color w:val="0A0A0A"/>
          <w:sz w:val="22"/>
        </w:rPr>
        <w:t>approval</w:t>
      </w:r>
      <w:r>
        <w:rPr>
          <w:color w:val="0A0A0A"/>
          <w:spacing w:val="-6"/>
          <w:sz w:val="22"/>
        </w:rPr>
        <w:t> </w:t>
      </w:r>
      <w:r>
        <w:rPr>
          <w:color w:val="0A0A0A"/>
          <w:sz w:val="22"/>
        </w:rPr>
        <w:t>of</w:t>
      </w:r>
      <w:r>
        <w:rPr>
          <w:color w:val="0A0A0A"/>
          <w:spacing w:val="-14"/>
          <w:sz w:val="22"/>
        </w:rPr>
        <w:t> </w:t>
      </w:r>
      <w:r>
        <w:rPr>
          <w:color w:val="0A0A0A"/>
          <w:sz w:val="22"/>
        </w:rPr>
        <w:t>the</w:t>
      </w:r>
      <w:r>
        <w:rPr>
          <w:color w:val="0A0A0A"/>
          <w:spacing w:val="-9"/>
          <w:sz w:val="22"/>
        </w:rPr>
        <w:t> </w:t>
      </w:r>
      <w:r>
        <w:rPr>
          <w:color w:val="0A0A0A"/>
          <w:sz w:val="22"/>
        </w:rPr>
        <w:t>statement of</w:t>
      </w:r>
      <w:r>
        <w:rPr>
          <w:color w:val="0A0A0A"/>
          <w:spacing w:val="-9"/>
          <w:sz w:val="22"/>
        </w:rPr>
        <w:t> </w:t>
      </w:r>
      <w:r>
        <w:rPr>
          <w:color w:val="0A0A0A"/>
          <w:sz w:val="22"/>
        </w:rPr>
        <w:t>accounts (Regulation 6).</w:t>
      </w:r>
    </w:p>
    <w:p>
      <w:pPr>
        <w:pStyle w:val="BodyText"/>
        <w:spacing w:before="62"/>
      </w:pPr>
    </w:p>
    <w:p>
      <w:pPr>
        <w:pStyle w:val="ListParagraph"/>
        <w:numPr>
          <w:ilvl w:val="0"/>
          <w:numId w:val="29"/>
        </w:numPr>
        <w:tabs>
          <w:tab w:val="left" w:leader="none" w:pos="996"/>
          <w:tab w:val="left" w:leader="none" w:pos="1002"/>
        </w:tabs>
        <w:spacing w:before="1" w:after="0" w:line="240" w:lineRule="auto"/>
        <w:ind w:left="996" w:right="157" w:hanging="717"/>
        <w:jc w:val="left"/>
        <w:rPr>
          <w:color w:val="0A0A0A"/>
          <w:sz w:val="22"/>
        </w:rPr>
      </w:pPr>
      <w:r>
        <w:rPr>
          <w:color w:val="606060"/>
          <w:sz w:val="22"/>
        </w:rPr>
        <w:tab/>
      </w:r>
      <w:r>
        <w:rPr>
          <w:color w:val="0A0A0A"/>
          <w:sz w:val="22"/>
        </w:rPr>
        <w:t>A local authority shall undertake a</w:t>
      </w:r>
      <w:r>
        <w:rPr>
          <w:color w:val="0A0A0A"/>
          <w:spacing w:val="-5"/>
          <w:sz w:val="22"/>
        </w:rPr>
        <w:t> </w:t>
      </w:r>
      <w:r>
        <w:rPr>
          <w:color w:val="0A0A0A"/>
          <w:sz w:val="22"/>
        </w:rPr>
        <w:t>review of its system of internal control in</w:t>
      </w:r>
      <w:r>
        <w:rPr>
          <w:color w:val="0A0A0A"/>
          <w:spacing w:val="-4"/>
          <w:sz w:val="22"/>
        </w:rPr>
        <w:t> </w:t>
      </w:r>
      <w:r>
        <w:rPr>
          <w:color w:val="0A0A0A"/>
          <w:sz w:val="22"/>
        </w:rPr>
        <w:t>accordance with best practice. </w:t>
      </w:r>
      <w:r>
        <w:rPr>
          <w:color w:val="1F1F1F"/>
          <w:sz w:val="22"/>
        </w:rPr>
        <w:t>Delivering </w:t>
      </w:r>
      <w:r>
        <w:rPr>
          <w:color w:val="0A0A0A"/>
          <w:sz w:val="22"/>
        </w:rPr>
        <w:t>Good Governance in Local </w:t>
      </w:r>
      <w:r>
        <w:rPr>
          <w:color w:val="1F1F1F"/>
          <w:sz w:val="22"/>
        </w:rPr>
        <w:t>Government: </w:t>
      </w:r>
      <w:r>
        <w:rPr>
          <w:color w:val="0A0A0A"/>
          <w:sz w:val="22"/>
        </w:rPr>
        <w:t>Framework (2016), published by</w:t>
      </w:r>
      <w:r>
        <w:rPr>
          <w:color w:val="0A0A0A"/>
          <w:spacing w:val="40"/>
          <w:sz w:val="22"/>
        </w:rPr>
        <w:t> </w:t>
      </w:r>
      <w:r>
        <w:rPr>
          <w:color w:val="0A0A0A"/>
          <w:sz w:val="22"/>
        </w:rPr>
        <w:t>CIPFA</w:t>
      </w:r>
      <w:r>
        <w:rPr>
          <w:color w:val="0A0A0A"/>
          <w:spacing w:val="-1"/>
          <w:sz w:val="22"/>
        </w:rPr>
        <w:t> </w:t>
      </w:r>
      <w:r>
        <w:rPr>
          <w:color w:val="0A0A0A"/>
          <w:sz w:val="22"/>
        </w:rPr>
        <w:t>and</w:t>
      </w:r>
      <w:r>
        <w:rPr>
          <w:color w:val="0A0A0A"/>
          <w:spacing w:val="-1"/>
          <w:sz w:val="22"/>
        </w:rPr>
        <w:t> </w:t>
      </w:r>
      <w:r>
        <w:rPr>
          <w:color w:val="1F1F1F"/>
          <w:sz w:val="22"/>
        </w:rPr>
        <w:t>SOLACE, </w:t>
      </w:r>
      <w:r>
        <w:rPr>
          <w:color w:val="0A0A0A"/>
          <w:sz w:val="22"/>
        </w:rPr>
        <w:t>recommends </w:t>
      </w:r>
      <w:r>
        <w:rPr>
          <w:color w:val="1F1F1F"/>
          <w:sz w:val="22"/>
        </w:rPr>
        <w:t>that</w:t>
      </w:r>
      <w:r>
        <w:rPr>
          <w:color w:val="1F1F1F"/>
          <w:spacing w:val="-11"/>
          <w:sz w:val="22"/>
        </w:rPr>
        <w:t> </w:t>
      </w:r>
      <w:r>
        <w:rPr>
          <w:color w:val="0A0A0A"/>
          <w:sz w:val="22"/>
        </w:rPr>
        <w:t>the</w:t>
      </w:r>
      <w:r>
        <w:rPr>
          <w:color w:val="0A0A0A"/>
          <w:spacing w:val="-8"/>
          <w:sz w:val="22"/>
        </w:rPr>
        <w:t> </w:t>
      </w:r>
      <w:r>
        <w:rPr>
          <w:color w:val="0A0A0A"/>
          <w:sz w:val="22"/>
        </w:rPr>
        <w:t>review</w:t>
      </w:r>
      <w:r>
        <w:rPr>
          <w:color w:val="0A0A0A"/>
          <w:spacing w:val="-1"/>
          <w:sz w:val="22"/>
        </w:rPr>
        <w:t> </w:t>
      </w:r>
      <w:r>
        <w:rPr>
          <w:color w:val="1F1F1F"/>
          <w:sz w:val="22"/>
        </w:rPr>
        <w:t>be</w:t>
      </w:r>
      <w:r>
        <w:rPr>
          <w:color w:val="1F1F1F"/>
          <w:spacing w:val="-9"/>
          <w:sz w:val="22"/>
        </w:rPr>
        <w:t> </w:t>
      </w:r>
      <w:r>
        <w:rPr>
          <w:color w:val="1F1F1F"/>
          <w:sz w:val="22"/>
        </w:rPr>
        <w:t>reported</w:t>
      </w:r>
      <w:r>
        <w:rPr>
          <w:color w:val="1F1F1F"/>
          <w:spacing w:val="-1"/>
          <w:sz w:val="22"/>
        </w:rPr>
        <w:t> </w:t>
      </w:r>
      <w:r>
        <w:rPr>
          <w:color w:val="1F1F1F"/>
          <w:sz w:val="22"/>
        </w:rPr>
        <w:t>in</w:t>
      </w:r>
      <w:r>
        <w:rPr>
          <w:color w:val="1F1F1F"/>
          <w:spacing w:val="-13"/>
          <w:sz w:val="22"/>
        </w:rPr>
        <w:t> </w:t>
      </w:r>
      <w:r>
        <w:rPr>
          <w:color w:val="1F1F1F"/>
          <w:sz w:val="22"/>
        </w:rPr>
        <w:t>an</w:t>
      </w:r>
      <w:r>
        <w:rPr>
          <w:color w:val="1F1F1F"/>
          <w:spacing w:val="-14"/>
          <w:sz w:val="22"/>
        </w:rPr>
        <w:t> </w:t>
      </w:r>
      <w:r>
        <w:rPr>
          <w:color w:val="1F1F1F"/>
          <w:sz w:val="22"/>
        </w:rPr>
        <w:t>Annual</w:t>
      </w:r>
      <w:r>
        <w:rPr>
          <w:color w:val="1F1F1F"/>
          <w:spacing w:val="-6"/>
          <w:sz w:val="22"/>
        </w:rPr>
        <w:t> </w:t>
      </w:r>
      <w:r>
        <w:rPr>
          <w:color w:val="0A0A0A"/>
          <w:sz w:val="22"/>
        </w:rPr>
        <w:t>Governance Statement.</w:t>
      </w:r>
    </w:p>
    <w:p>
      <w:pPr>
        <w:pStyle w:val="BodyText"/>
        <w:spacing w:before="2"/>
      </w:pPr>
    </w:p>
    <w:p>
      <w:pPr>
        <w:pStyle w:val="ListParagraph"/>
        <w:numPr>
          <w:ilvl w:val="0"/>
          <w:numId w:val="29"/>
        </w:numPr>
        <w:tabs>
          <w:tab w:val="left" w:leader="none" w:pos="962"/>
          <w:tab w:val="left" w:leader="none" w:pos="992"/>
        </w:tabs>
        <w:spacing w:before="0" w:after="0" w:line="240" w:lineRule="auto"/>
        <w:ind w:left="962" w:right="210" w:hanging="691"/>
        <w:jc w:val="left"/>
        <w:rPr>
          <w:color w:val="0A0A0A"/>
          <w:sz w:val="22"/>
        </w:rPr>
      </w:pPr>
      <w:r>
        <w:rPr>
          <w:color w:val="707070"/>
          <w:sz w:val="22"/>
        </w:rPr>
        <w:tab/>
      </w:r>
      <w:r>
        <w:rPr>
          <w:color w:val="0A0A0A"/>
          <w:sz w:val="22"/>
        </w:rPr>
        <w:t>The</w:t>
      </w:r>
      <w:r>
        <w:rPr>
          <w:color w:val="0A0A0A"/>
          <w:spacing w:val="-9"/>
          <w:sz w:val="22"/>
        </w:rPr>
        <w:t> </w:t>
      </w:r>
      <w:r>
        <w:rPr>
          <w:color w:val="0A0A0A"/>
          <w:sz w:val="22"/>
        </w:rPr>
        <w:t>preparation and</w:t>
      </w:r>
      <w:r>
        <w:rPr>
          <w:color w:val="0A0A0A"/>
          <w:spacing w:val="-8"/>
          <w:sz w:val="22"/>
        </w:rPr>
        <w:t> </w:t>
      </w:r>
      <w:r>
        <w:rPr>
          <w:color w:val="0A0A0A"/>
          <w:sz w:val="22"/>
        </w:rPr>
        <w:t>publication of an</w:t>
      </w:r>
      <w:r>
        <w:rPr>
          <w:color w:val="0A0A0A"/>
          <w:spacing w:val="-7"/>
          <w:sz w:val="22"/>
        </w:rPr>
        <w:t> </w:t>
      </w:r>
      <w:r>
        <w:rPr>
          <w:color w:val="0A0A0A"/>
          <w:sz w:val="22"/>
        </w:rPr>
        <w:t>Annual</w:t>
      </w:r>
      <w:r>
        <w:rPr>
          <w:color w:val="0A0A0A"/>
          <w:spacing w:val="-2"/>
          <w:sz w:val="22"/>
        </w:rPr>
        <w:t> </w:t>
      </w:r>
      <w:r>
        <w:rPr>
          <w:color w:val="0A0A0A"/>
          <w:sz w:val="22"/>
        </w:rPr>
        <w:t>Governance Statement </w:t>
      </w:r>
      <w:r>
        <w:rPr>
          <w:color w:val="1F1F1F"/>
          <w:sz w:val="22"/>
        </w:rPr>
        <w:t>in</w:t>
      </w:r>
      <w:r>
        <w:rPr>
          <w:color w:val="1F1F1F"/>
          <w:spacing w:val="-3"/>
          <w:sz w:val="22"/>
        </w:rPr>
        <w:t> </w:t>
      </w:r>
      <w:r>
        <w:rPr>
          <w:color w:val="0A0A0A"/>
          <w:sz w:val="22"/>
        </w:rPr>
        <w:t>accordance with</w:t>
      </w:r>
      <w:r>
        <w:rPr>
          <w:color w:val="0A0A0A"/>
          <w:spacing w:val="-1"/>
          <w:sz w:val="22"/>
        </w:rPr>
        <w:t> </w:t>
      </w:r>
      <w:r>
        <w:rPr>
          <w:color w:val="0A0A0A"/>
          <w:sz w:val="22"/>
        </w:rPr>
        <w:t>Delivering </w:t>
      </w:r>
      <w:r>
        <w:rPr>
          <w:color w:val="1F1F1F"/>
          <w:sz w:val="22"/>
        </w:rPr>
        <w:t>Good</w:t>
      </w:r>
      <w:r>
        <w:rPr>
          <w:color w:val="1F1F1F"/>
          <w:spacing w:val="-11"/>
          <w:sz w:val="22"/>
        </w:rPr>
        <w:t> </w:t>
      </w:r>
      <w:r>
        <w:rPr>
          <w:color w:val="0A0A0A"/>
          <w:sz w:val="22"/>
        </w:rPr>
        <w:t>Governance </w:t>
      </w:r>
      <w:r>
        <w:rPr>
          <w:color w:val="1F1F1F"/>
          <w:sz w:val="22"/>
        </w:rPr>
        <w:t>in</w:t>
      </w:r>
      <w:r>
        <w:rPr>
          <w:color w:val="1F1F1F"/>
          <w:spacing w:val="-4"/>
          <w:sz w:val="22"/>
        </w:rPr>
        <w:t> </w:t>
      </w:r>
      <w:r>
        <w:rPr>
          <w:color w:val="0A0A0A"/>
          <w:sz w:val="22"/>
        </w:rPr>
        <w:t>Local Government: Framework (2016) </w:t>
      </w:r>
      <w:r>
        <w:rPr>
          <w:color w:val="1F1F1F"/>
          <w:sz w:val="22"/>
        </w:rPr>
        <w:t>would fulfil</w:t>
      </w:r>
      <w:r>
        <w:rPr>
          <w:color w:val="1F1F1F"/>
          <w:spacing w:val="-8"/>
          <w:sz w:val="22"/>
        </w:rPr>
        <w:t> </w:t>
      </w:r>
      <w:r>
        <w:rPr>
          <w:color w:val="1F1F1F"/>
          <w:sz w:val="22"/>
        </w:rPr>
        <w:t>the statutory requirements across </w:t>
      </w:r>
      <w:r>
        <w:rPr>
          <w:color w:val="0A0A0A"/>
          <w:sz w:val="22"/>
        </w:rPr>
        <w:t>the Un</w:t>
      </w:r>
      <w:r>
        <w:rPr>
          <w:color w:val="3A3A3A"/>
          <w:sz w:val="22"/>
        </w:rPr>
        <w:t>i</w:t>
      </w:r>
      <w:r>
        <w:rPr>
          <w:color w:val="1F1F1F"/>
          <w:sz w:val="22"/>
        </w:rPr>
        <w:t>ted Kingdom </w:t>
      </w:r>
      <w:r>
        <w:rPr>
          <w:color w:val="0A0A0A"/>
          <w:sz w:val="22"/>
        </w:rPr>
        <w:t>for a </w:t>
      </w:r>
      <w:r>
        <w:rPr>
          <w:color w:val="1F1F1F"/>
          <w:sz w:val="22"/>
        </w:rPr>
        <w:t>local</w:t>
      </w:r>
      <w:r>
        <w:rPr>
          <w:color w:val="1F1F1F"/>
          <w:spacing w:val="-3"/>
          <w:sz w:val="22"/>
        </w:rPr>
        <w:t> </w:t>
      </w:r>
      <w:r>
        <w:rPr>
          <w:color w:val="0A0A0A"/>
          <w:sz w:val="22"/>
        </w:rPr>
        <w:t>authority </w:t>
      </w:r>
      <w:r>
        <w:rPr>
          <w:color w:val="1F1F1F"/>
          <w:sz w:val="22"/>
        </w:rPr>
        <w:t>to</w:t>
      </w:r>
      <w:r>
        <w:rPr>
          <w:color w:val="1F1F1F"/>
          <w:spacing w:val="-3"/>
          <w:sz w:val="22"/>
        </w:rPr>
        <w:t> </w:t>
      </w:r>
      <w:r>
        <w:rPr>
          <w:color w:val="0A0A0A"/>
          <w:sz w:val="22"/>
        </w:rPr>
        <w:t>conduct a </w:t>
      </w:r>
      <w:r>
        <w:rPr>
          <w:color w:val="1F1F1F"/>
          <w:sz w:val="22"/>
        </w:rPr>
        <w:t>review </w:t>
      </w:r>
      <w:r>
        <w:rPr>
          <w:color w:val="0A0A0A"/>
          <w:sz w:val="22"/>
        </w:rPr>
        <w:t>at </w:t>
      </w:r>
      <w:r>
        <w:rPr>
          <w:color w:val="1F1F1F"/>
          <w:sz w:val="22"/>
        </w:rPr>
        <w:t>least once </w:t>
      </w:r>
      <w:r>
        <w:rPr>
          <w:color w:val="0A0A0A"/>
          <w:sz w:val="22"/>
        </w:rPr>
        <w:t>in</w:t>
      </w:r>
      <w:r>
        <w:rPr>
          <w:color w:val="0A0A0A"/>
          <w:spacing w:val="-3"/>
          <w:sz w:val="22"/>
        </w:rPr>
        <w:t> </w:t>
      </w:r>
      <w:r>
        <w:rPr>
          <w:color w:val="0A0A0A"/>
          <w:sz w:val="22"/>
        </w:rPr>
        <w:t>each </w:t>
      </w:r>
      <w:r>
        <w:rPr>
          <w:color w:val="1F1F1F"/>
          <w:sz w:val="22"/>
        </w:rPr>
        <w:t>financial year </w:t>
      </w:r>
      <w:r>
        <w:rPr>
          <w:color w:val="0A0A0A"/>
          <w:sz w:val="22"/>
        </w:rPr>
        <w:t>of</w:t>
      </w:r>
      <w:r>
        <w:rPr>
          <w:color w:val="0A0A0A"/>
          <w:spacing w:val="-7"/>
          <w:sz w:val="22"/>
        </w:rPr>
        <w:t> </w:t>
      </w:r>
      <w:r>
        <w:rPr>
          <w:color w:val="0A0A0A"/>
          <w:sz w:val="22"/>
        </w:rPr>
        <w:t>the </w:t>
      </w:r>
      <w:r>
        <w:rPr>
          <w:color w:val="1F1F1F"/>
          <w:sz w:val="22"/>
        </w:rPr>
        <w:t>effectiveness </w:t>
      </w:r>
      <w:r>
        <w:rPr>
          <w:color w:val="0A0A0A"/>
          <w:sz w:val="22"/>
        </w:rPr>
        <w:t>of</w:t>
      </w:r>
      <w:r>
        <w:rPr>
          <w:color w:val="0A0A0A"/>
          <w:spacing w:val="-3"/>
          <w:sz w:val="22"/>
        </w:rPr>
        <w:t> </w:t>
      </w:r>
      <w:r>
        <w:rPr>
          <w:color w:val="0A0A0A"/>
          <w:sz w:val="22"/>
        </w:rPr>
        <w:t>its </w:t>
      </w:r>
      <w:r>
        <w:rPr>
          <w:color w:val="1F1F1F"/>
          <w:sz w:val="22"/>
        </w:rPr>
        <w:t>system </w:t>
      </w:r>
      <w:r>
        <w:rPr>
          <w:color w:val="0A0A0A"/>
          <w:sz w:val="22"/>
        </w:rPr>
        <w:t>of</w:t>
      </w:r>
      <w:r>
        <w:rPr>
          <w:color w:val="0A0A0A"/>
          <w:spacing w:val="-3"/>
          <w:sz w:val="22"/>
        </w:rPr>
        <w:t> </w:t>
      </w:r>
      <w:r>
        <w:rPr>
          <w:color w:val="0A0A0A"/>
          <w:sz w:val="22"/>
        </w:rPr>
        <w:t>internal </w:t>
      </w:r>
      <w:r>
        <w:rPr>
          <w:color w:val="1F1F1F"/>
          <w:sz w:val="22"/>
        </w:rPr>
        <w:t>control and</w:t>
      </w:r>
      <w:r>
        <w:rPr>
          <w:color w:val="1F1F1F"/>
          <w:spacing w:val="-14"/>
          <w:sz w:val="22"/>
        </w:rPr>
        <w:t> </w:t>
      </w:r>
      <w:r>
        <w:rPr>
          <w:color w:val="1F1F1F"/>
          <w:sz w:val="22"/>
        </w:rPr>
        <w:t>to</w:t>
      </w:r>
      <w:r>
        <w:rPr>
          <w:color w:val="1F1F1F"/>
          <w:spacing w:val="-11"/>
          <w:sz w:val="22"/>
        </w:rPr>
        <w:t> </w:t>
      </w:r>
      <w:r>
        <w:rPr>
          <w:color w:val="3A3A3A"/>
          <w:sz w:val="22"/>
        </w:rPr>
        <w:t>include </w:t>
      </w:r>
      <w:r>
        <w:rPr>
          <w:color w:val="1F1F1F"/>
          <w:sz w:val="22"/>
        </w:rPr>
        <w:t>a</w:t>
      </w:r>
      <w:r>
        <w:rPr>
          <w:color w:val="1F1F1F"/>
          <w:spacing w:val="-5"/>
          <w:sz w:val="22"/>
        </w:rPr>
        <w:t> </w:t>
      </w:r>
      <w:r>
        <w:rPr>
          <w:color w:val="1F1F1F"/>
          <w:sz w:val="22"/>
        </w:rPr>
        <w:t>statement </w:t>
      </w:r>
      <w:r>
        <w:rPr>
          <w:color w:val="3A3A3A"/>
          <w:sz w:val="22"/>
        </w:rPr>
        <w:t>reporting </w:t>
      </w:r>
      <w:r>
        <w:rPr>
          <w:color w:val="1F1F1F"/>
          <w:sz w:val="22"/>
        </w:rPr>
        <w:t>on</w:t>
      </w:r>
      <w:r>
        <w:rPr>
          <w:color w:val="1F1F1F"/>
          <w:spacing w:val="-6"/>
          <w:sz w:val="22"/>
        </w:rPr>
        <w:t> </w:t>
      </w:r>
      <w:r>
        <w:rPr>
          <w:color w:val="1F1F1F"/>
          <w:sz w:val="22"/>
        </w:rPr>
        <w:t>the review </w:t>
      </w:r>
      <w:r>
        <w:rPr>
          <w:color w:val="0A0A0A"/>
          <w:sz w:val="22"/>
        </w:rPr>
        <w:t>with </w:t>
      </w:r>
      <w:r>
        <w:rPr>
          <w:color w:val="1F1F1F"/>
          <w:sz w:val="22"/>
        </w:rPr>
        <w:t>its Statement </w:t>
      </w:r>
      <w:r>
        <w:rPr>
          <w:color w:val="0A0A0A"/>
          <w:sz w:val="22"/>
        </w:rPr>
        <w:t>of </w:t>
      </w:r>
      <w:r>
        <w:rPr>
          <w:color w:val="1F1F1F"/>
          <w:sz w:val="22"/>
        </w:rPr>
        <w:t>Accounts.</w:t>
      </w:r>
      <w:r>
        <w:rPr>
          <w:color w:val="1F1F1F"/>
          <w:spacing w:val="29"/>
          <w:sz w:val="22"/>
        </w:rPr>
        <w:t> </w:t>
      </w:r>
      <w:r>
        <w:rPr>
          <w:color w:val="0A0A0A"/>
          <w:sz w:val="22"/>
        </w:rPr>
        <w:t>In England</w:t>
      </w:r>
      <w:r>
        <w:rPr>
          <w:color w:val="505050"/>
          <w:sz w:val="22"/>
        </w:rPr>
        <w:t>,</w:t>
      </w:r>
      <w:r>
        <w:rPr>
          <w:color w:val="505050"/>
          <w:spacing w:val="-14"/>
          <w:sz w:val="22"/>
        </w:rPr>
        <w:t> </w:t>
      </w:r>
      <w:r>
        <w:rPr>
          <w:color w:val="1F1F1F"/>
          <w:sz w:val="22"/>
        </w:rPr>
        <w:t>the Accounts and</w:t>
      </w:r>
      <w:r>
        <w:rPr>
          <w:color w:val="1F1F1F"/>
          <w:spacing w:val="-4"/>
          <w:sz w:val="22"/>
        </w:rPr>
        <w:t> </w:t>
      </w:r>
      <w:r>
        <w:rPr>
          <w:color w:val="1F1F1F"/>
          <w:sz w:val="22"/>
        </w:rPr>
        <w:t>Audit Regulations 2015 stipulate that</w:t>
      </w:r>
      <w:r>
        <w:rPr>
          <w:color w:val="1F1F1F"/>
          <w:spacing w:val="-3"/>
          <w:sz w:val="22"/>
        </w:rPr>
        <w:t> </w:t>
      </w:r>
      <w:r>
        <w:rPr>
          <w:color w:val="0A0A0A"/>
          <w:sz w:val="22"/>
        </w:rPr>
        <w:t>the </w:t>
      </w:r>
      <w:r>
        <w:rPr>
          <w:color w:val="1F1F1F"/>
          <w:sz w:val="22"/>
        </w:rPr>
        <w:t>Annual Governance Statement must be </w:t>
      </w:r>
      <w:r>
        <w:rPr>
          <w:color w:val="3A3A3A"/>
          <w:sz w:val="22"/>
        </w:rPr>
        <w:t>"prepared </w:t>
      </w:r>
      <w:r>
        <w:rPr>
          <w:color w:val="1F1F1F"/>
          <w:sz w:val="22"/>
        </w:rPr>
        <w:t>in</w:t>
      </w:r>
      <w:r>
        <w:rPr>
          <w:color w:val="1F1F1F"/>
          <w:spacing w:val="-3"/>
          <w:sz w:val="22"/>
        </w:rPr>
        <w:t> </w:t>
      </w:r>
      <w:r>
        <w:rPr>
          <w:color w:val="1F1F1F"/>
          <w:sz w:val="22"/>
        </w:rPr>
        <w:t>accordance</w:t>
      </w:r>
      <w:r>
        <w:rPr>
          <w:color w:val="1F1F1F"/>
          <w:spacing w:val="29"/>
          <w:sz w:val="22"/>
        </w:rPr>
        <w:t> </w:t>
      </w:r>
      <w:r>
        <w:rPr>
          <w:color w:val="1F1F1F"/>
          <w:sz w:val="22"/>
        </w:rPr>
        <w:t>with</w:t>
      </w:r>
      <w:r>
        <w:rPr>
          <w:color w:val="1F1F1F"/>
          <w:spacing w:val="-1"/>
          <w:sz w:val="22"/>
        </w:rPr>
        <w:t> </w:t>
      </w:r>
      <w:r>
        <w:rPr>
          <w:color w:val="1F1F1F"/>
          <w:sz w:val="22"/>
        </w:rPr>
        <w:t>proper practices </w:t>
      </w:r>
      <w:r>
        <w:rPr>
          <w:color w:val="3A3A3A"/>
          <w:sz w:val="22"/>
        </w:rPr>
        <w:t>in</w:t>
      </w:r>
      <w:r>
        <w:rPr>
          <w:color w:val="3A3A3A"/>
          <w:spacing w:val="-9"/>
          <w:sz w:val="22"/>
        </w:rPr>
        <w:t> </w:t>
      </w:r>
      <w:r>
        <w:rPr>
          <w:color w:val="1F1F1F"/>
          <w:sz w:val="22"/>
        </w:rPr>
        <w:t>relation to</w:t>
      </w:r>
      <w:r>
        <w:rPr>
          <w:color w:val="1F1F1F"/>
          <w:spacing w:val="-2"/>
          <w:sz w:val="22"/>
        </w:rPr>
        <w:t> </w:t>
      </w:r>
      <w:r>
        <w:rPr>
          <w:color w:val="1F1F1F"/>
          <w:sz w:val="22"/>
        </w:rPr>
        <w:t>accounts</w:t>
      </w:r>
      <w:r>
        <w:rPr>
          <w:color w:val="505050"/>
          <w:sz w:val="22"/>
        </w:rPr>
        <w:t>".</w:t>
      </w:r>
      <w:r>
        <w:rPr>
          <w:color w:val="505050"/>
          <w:spacing w:val="-16"/>
          <w:sz w:val="22"/>
        </w:rPr>
        <w:t> </w:t>
      </w:r>
      <w:r>
        <w:rPr>
          <w:color w:val="1F1F1F"/>
          <w:sz w:val="22"/>
        </w:rPr>
        <w:t>Therefore</w:t>
      </w:r>
      <w:r>
        <w:rPr>
          <w:color w:val="606060"/>
          <w:sz w:val="22"/>
        </w:rPr>
        <w:t>,</w:t>
      </w:r>
      <w:r>
        <w:rPr>
          <w:color w:val="606060"/>
          <w:spacing w:val="-14"/>
          <w:sz w:val="22"/>
        </w:rPr>
        <w:t> </w:t>
      </w:r>
      <w:r>
        <w:rPr>
          <w:color w:val="0A0A0A"/>
          <w:sz w:val="22"/>
        </w:rPr>
        <w:t>a</w:t>
      </w:r>
      <w:r>
        <w:rPr>
          <w:color w:val="0A0A0A"/>
          <w:spacing w:val="-7"/>
          <w:sz w:val="22"/>
        </w:rPr>
        <w:t> </w:t>
      </w:r>
      <w:r>
        <w:rPr>
          <w:color w:val="0A0A0A"/>
          <w:sz w:val="22"/>
        </w:rPr>
        <w:t>local </w:t>
      </w:r>
      <w:r>
        <w:rPr>
          <w:color w:val="1F1F1F"/>
          <w:sz w:val="22"/>
        </w:rPr>
        <w:t>authority </w:t>
      </w:r>
      <w:r>
        <w:rPr>
          <w:color w:val="3A3A3A"/>
          <w:sz w:val="22"/>
        </w:rPr>
        <w:t>in</w:t>
      </w:r>
      <w:r>
        <w:rPr>
          <w:color w:val="3A3A3A"/>
          <w:spacing w:val="-13"/>
          <w:sz w:val="22"/>
        </w:rPr>
        <w:t> </w:t>
      </w:r>
      <w:r>
        <w:rPr>
          <w:color w:val="1F1F1F"/>
          <w:sz w:val="22"/>
        </w:rPr>
        <w:t>England </w:t>
      </w:r>
      <w:r>
        <w:rPr>
          <w:color w:val="0A0A0A"/>
          <w:sz w:val="22"/>
        </w:rPr>
        <w:t>shall</w:t>
      </w:r>
      <w:r>
        <w:rPr>
          <w:color w:val="0A0A0A"/>
          <w:spacing w:val="-4"/>
          <w:sz w:val="22"/>
        </w:rPr>
        <w:t> </w:t>
      </w:r>
      <w:r>
        <w:rPr>
          <w:color w:val="1F1F1F"/>
          <w:sz w:val="22"/>
        </w:rPr>
        <w:t>provide this statement in accordance with Delivering Good</w:t>
      </w:r>
      <w:r>
        <w:rPr>
          <w:color w:val="1F1F1F"/>
          <w:spacing w:val="-3"/>
          <w:sz w:val="22"/>
        </w:rPr>
        <w:t> </w:t>
      </w:r>
      <w:r>
        <w:rPr>
          <w:color w:val="1F1F1F"/>
          <w:sz w:val="22"/>
        </w:rPr>
        <w:t>Governance in</w:t>
      </w:r>
      <w:r>
        <w:rPr>
          <w:color w:val="1F1F1F"/>
          <w:spacing w:val="-2"/>
          <w:sz w:val="22"/>
        </w:rPr>
        <w:t> </w:t>
      </w:r>
      <w:r>
        <w:rPr>
          <w:color w:val="0A0A0A"/>
          <w:sz w:val="22"/>
        </w:rPr>
        <w:t>Local </w:t>
      </w:r>
      <w:r>
        <w:rPr>
          <w:color w:val="1F1F1F"/>
          <w:sz w:val="22"/>
        </w:rPr>
        <w:t>Government:</w:t>
      </w:r>
      <w:r>
        <w:rPr>
          <w:color w:val="1F1F1F"/>
          <w:spacing w:val="32"/>
          <w:sz w:val="22"/>
        </w:rPr>
        <w:t> </w:t>
      </w:r>
      <w:r>
        <w:rPr>
          <w:color w:val="1F1F1F"/>
          <w:sz w:val="22"/>
        </w:rPr>
        <w:t>Framework (2016) and the </w:t>
      </w:r>
      <w:r>
        <w:rPr>
          <w:color w:val="0A0A0A"/>
          <w:sz w:val="22"/>
        </w:rPr>
        <w:t>Code of Practice on Local Authority Accounting in the United Kingdom 2018/19.</w:t>
      </w:r>
    </w:p>
    <w:p>
      <w:pPr>
        <w:pStyle w:val="BodyText"/>
        <w:spacing w:before="2"/>
      </w:pPr>
    </w:p>
    <w:p>
      <w:pPr>
        <w:pStyle w:val="ListParagraph"/>
        <w:numPr>
          <w:ilvl w:val="0"/>
          <w:numId w:val="29"/>
        </w:numPr>
        <w:tabs>
          <w:tab w:val="left" w:leader="none" w:pos="943"/>
          <w:tab w:val="left" w:leader="none" w:pos="958"/>
        </w:tabs>
        <w:spacing w:before="0" w:after="0" w:line="240" w:lineRule="auto"/>
        <w:ind w:left="943" w:right="220" w:hanging="709"/>
        <w:jc w:val="left"/>
        <w:rPr>
          <w:color w:val="0A0A0A"/>
          <w:sz w:val="22"/>
        </w:rPr>
      </w:pPr>
      <w:r>
        <w:rPr>
          <w:color w:val="707070"/>
          <w:sz w:val="22"/>
        </w:rPr>
        <w:tab/>
      </w:r>
      <w:r>
        <w:rPr>
          <w:color w:val="0A0A0A"/>
          <w:sz w:val="22"/>
        </w:rPr>
        <w:t>The Code of Practice on</w:t>
      </w:r>
      <w:r>
        <w:rPr>
          <w:color w:val="0A0A0A"/>
          <w:spacing w:val="-6"/>
          <w:sz w:val="22"/>
        </w:rPr>
        <w:t> </w:t>
      </w:r>
      <w:r>
        <w:rPr>
          <w:color w:val="0A0A0A"/>
          <w:sz w:val="22"/>
        </w:rPr>
        <w:t>Local Authority Accounting </w:t>
      </w:r>
      <w:r>
        <w:rPr>
          <w:color w:val="1F1F1F"/>
          <w:sz w:val="22"/>
        </w:rPr>
        <w:t>in</w:t>
      </w:r>
      <w:r>
        <w:rPr>
          <w:color w:val="1F1F1F"/>
          <w:spacing w:val="-22"/>
          <w:sz w:val="22"/>
        </w:rPr>
        <w:t> </w:t>
      </w:r>
      <w:r>
        <w:rPr>
          <w:color w:val="1F1F1F"/>
          <w:sz w:val="22"/>
        </w:rPr>
        <w:t>the United Kingdom 2018/19 (CIPFA / LASAAC) states </w:t>
      </w:r>
      <w:r>
        <w:rPr>
          <w:color w:val="0A0A0A"/>
          <w:sz w:val="22"/>
        </w:rPr>
        <w:t>that the </w:t>
      </w:r>
      <w:r>
        <w:rPr>
          <w:color w:val="1F1F1F"/>
          <w:sz w:val="22"/>
        </w:rPr>
        <w:t>preparation </w:t>
      </w:r>
      <w:r>
        <w:rPr>
          <w:color w:val="0A0A0A"/>
          <w:sz w:val="22"/>
        </w:rPr>
        <w:t>of an</w:t>
      </w:r>
      <w:r>
        <w:rPr>
          <w:color w:val="0A0A0A"/>
          <w:spacing w:val="-4"/>
          <w:sz w:val="22"/>
        </w:rPr>
        <w:t> </w:t>
      </w:r>
      <w:r>
        <w:rPr>
          <w:color w:val="0A0A0A"/>
          <w:sz w:val="22"/>
        </w:rPr>
        <w:t>AGS </w:t>
      </w:r>
      <w:r>
        <w:rPr>
          <w:color w:val="1F1F1F"/>
          <w:sz w:val="22"/>
        </w:rPr>
        <w:t>fulfils the statutory requirement for a </w:t>
      </w:r>
      <w:r>
        <w:rPr>
          <w:color w:val="3A3A3A"/>
          <w:sz w:val="22"/>
        </w:rPr>
        <w:t>local </w:t>
      </w:r>
      <w:r>
        <w:rPr>
          <w:color w:val="1F1F1F"/>
          <w:sz w:val="22"/>
        </w:rPr>
        <w:t>authority to conduct a review </w:t>
      </w:r>
      <w:r>
        <w:rPr>
          <w:color w:val="0A0A0A"/>
          <w:sz w:val="22"/>
        </w:rPr>
        <w:t>at least </w:t>
      </w:r>
      <w:r>
        <w:rPr>
          <w:color w:val="1F1F1F"/>
          <w:sz w:val="22"/>
        </w:rPr>
        <w:t>once </w:t>
      </w:r>
      <w:r>
        <w:rPr>
          <w:color w:val="0A0A0A"/>
          <w:sz w:val="22"/>
        </w:rPr>
        <w:t>in each</w:t>
      </w:r>
      <w:r>
        <w:rPr>
          <w:color w:val="0A0A0A"/>
          <w:spacing w:val="-6"/>
          <w:sz w:val="22"/>
        </w:rPr>
        <w:t> </w:t>
      </w:r>
      <w:r>
        <w:rPr>
          <w:color w:val="0A0A0A"/>
          <w:sz w:val="22"/>
        </w:rPr>
        <w:t>financial </w:t>
      </w:r>
      <w:r>
        <w:rPr>
          <w:color w:val="1F1F1F"/>
          <w:sz w:val="22"/>
        </w:rPr>
        <w:t>year of the</w:t>
      </w:r>
      <w:r>
        <w:rPr>
          <w:color w:val="1F1F1F"/>
          <w:spacing w:val="-3"/>
          <w:sz w:val="22"/>
        </w:rPr>
        <w:t> </w:t>
      </w:r>
      <w:r>
        <w:rPr>
          <w:color w:val="1F1F1F"/>
          <w:sz w:val="22"/>
        </w:rPr>
        <w:t>effectiveness</w:t>
      </w:r>
      <w:r>
        <w:rPr>
          <w:color w:val="1F1F1F"/>
          <w:spacing w:val="31"/>
          <w:sz w:val="22"/>
        </w:rPr>
        <w:t> </w:t>
      </w:r>
      <w:r>
        <w:rPr>
          <w:color w:val="1F1F1F"/>
          <w:sz w:val="22"/>
        </w:rPr>
        <w:t>of</w:t>
      </w:r>
      <w:r>
        <w:rPr>
          <w:color w:val="1F1F1F"/>
          <w:spacing w:val="-4"/>
          <w:sz w:val="22"/>
        </w:rPr>
        <w:t> </w:t>
      </w:r>
      <w:r>
        <w:rPr>
          <w:color w:val="1F1F1F"/>
          <w:sz w:val="22"/>
        </w:rPr>
        <w:t>its system of internal </w:t>
      </w:r>
      <w:r>
        <w:rPr>
          <w:color w:val="0A0A0A"/>
          <w:sz w:val="22"/>
        </w:rPr>
        <w:t>control, and</w:t>
      </w:r>
      <w:r>
        <w:rPr>
          <w:color w:val="0A0A0A"/>
          <w:spacing w:val="-4"/>
          <w:sz w:val="22"/>
        </w:rPr>
        <w:t> </w:t>
      </w:r>
      <w:r>
        <w:rPr>
          <w:color w:val="0A0A0A"/>
          <w:sz w:val="22"/>
        </w:rPr>
        <w:t>that Council's</w:t>
      </w:r>
      <w:r>
        <w:rPr>
          <w:color w:val="0A0A0A"/>
          <w:spacing w:val="17"/>
          <w:sz w:val="22"/>
        </w:rPr>
        <w:t> </w:t>
      </w:r>
      <w:r>
        <w:rPr>
          <w:color w:val="0A0A0A"/>
          <w:sz w:val="22"/>
        </w:rPr>
        <w:t>should</w:t>
      </w:r>
      <w:r>
        <w:rPr>
          <w:color w:val="0A0A0A"/>
          <w:spacing w:val="-2"/>
          <w:sz w:val="22"/>
        </w:rPr>
        <w:t> </w:t>
      </w:r>
      <w:r>
        <w:rPr>
          <w:color w:val="0A0A0A"/>
          <w:sz w:val="22"/>
        </w:rPr>
        <w:t>include an</w:t>
      </w:r>
      <w:r>
        <w:rPr>
          <w:color w:val="0A0A0A"/>
          <w:spacing w:val="-10"/>
          <w:sz w:val="22"/>
        </w:rPr>
        <w:t> </w:t>
      </w:r>
      <w:r>
        <w:rPr>
          <w:color w:val="0A0A0A"/>
          <w:sz w:val="22"/>
        </w:rPr>
        <w:t>AGS </w:t>
      </w:r>
      <w:r>
        <w:rPr>
          <w:color w:val="1F1F1F"/>
          <w:sz w:val="22"/>
        </w:rPr>
        <w:t>report on</w:t>
      </w:r>
      <w:r>
        <w:rPr>
          <w:color w:val="1F1F1F"/>
          <w:spacing w:val="-5"/>
          <w:sz w:val="22"/>
        </w:rPr>
        <w:t> </w:t>
      </w:r>
      <w:r>
        <w:rPr>
          <w:color w:val="1F1F1F"/>
          <w:sz w:val="22"/>
        </w:rPr>
        <w:t>the review in</w:t>
      </w:r>
      <w:r>
        <w:rPr>
          <w:color w:val="1F1F1F"/>
          <w:spacing w:val="-14"/>
          <w:sz w:val="22"/>
        </w:rPr>
        <w:t> </w:t>
      </w:r>
      <w:r>
        <w:rPr>
          <w:color w:val="1F1F1F"/>
          <w:sz w:val="22"/>
        </w:rPr>
        <w:t>its Statement</w:t>
      </w:r>
      <w:r>
        <w:rPr>
          <w:color w:val="1F1F1F"/>
          <w:spacing w:val="20"/>
          <w:sz w:val="22"/>
        </w:rPr>
        <w:t> </w:t>
      </w:r>
      <w:r>
        <w:rPr>
          <w:color w:val="1F1F1F"/>
          <w:sz w:val="22"/>
        </w:rPr>
        <w:t>of Accounts</w:t>
      </w:r>
      <w:r>
        <w:rPr>
          <w:color w:val="606060"/>
          <w:sz w:val="22"/>
        </w:rPr>
        <w:t>. </w:t>
      </w:r>
      <w:r>
        <w:rPr>
          <w:color w:val="0A0A0A"/>
          <w:sz w:val="22"/>
        </w:rPr>
        <w:t>It also states that:</w:t>
      </w:r>
    </w:p>
    <w:p>
      <w:pPr>
        <w:pStyle w:val="BodyText"/>
        <w:spacing w:before="13"/>
      </w:pPr>
    </w:p>
    <w:p>
      <w:pPr>
        <w:pStyle w:val="ListParagraph"/>
        <w:numPr>
          <w:ilvl w:val="1"/>
          <w:numId w:val="29"/>
        </w:numPr>
        <w:tabs>
          <w:tab w:val="left" w:leader="none" w:pos="1368"/>
        </w:tabs>
        <w:spacing w:before="0" w:after="0" w:line="237" w:lineRule="auto"/>
        <w:ind w:left="1368" w:right="441" w:hanging="428"/>
        <w:jc w:val="left"/>
        <w:rPr>
          <w:color w:val="0A0A0A"/>
          <w:sz w:val="22"/>
        </w:rPr>
      </w:pPr>
      <w:r>
        <w:rPr>
          <w:color w:val="0A0A0A"/>
          <w:sz w:val="22"/>
        </w:rPr>
        <w:t>The</w:t>
      </w:r>
      <w:r>
        <w:rPr>
          <w:color w:val="0A0A0A"/>
          <w:spacing w:val="-2"/>
          <w:sz w:val="22"/>
        </w:rPr>
        <w:t> </w:t>
      </w:r>
      <w:r>
        <w:rPr>
          <w:color w:val="0A0A0A"/>
          <w:sz w:val="22"/>
        </w:rPr>
        <w:t>statement</w:t>
      </w:r>
      <w:r>
        <w:rPr>
          <w:color w:val="0A0A0A"/>
          <w:spacing w:val="19"/>
          <w:sz w:val="22"/>
        </w:rPr>
        <w:t> </w:t>
      </w:r>
      <w:r>
        <w:rPr>
          <w:color w:val="0A0A0A"/>
          <w:sz w:val="22"/>
        </w:rPr>
        <w:t>shall</w:t>
      </w:r>
      <w:r>
        <w:rPr>
          <w:color w:val="0A0A0A"/>
          <w:spacing w:val="-11"/>
          <w:sz w:val="22"/>
        </w:rPr>
        <w:t> </w:t>
      </w:r>
      <w:r>
        <w:rPr>
          <w:color w:val="0A0A0A"/>
          <w:sz w:val="22"/>
        </w:rPr>
        <w:t>relate to</w:t>
      </w:r>
      <w:r>
        <w:rPr>
          <w:color w:val="0A0A0A"/>
          <w:spacing w:val="-7"/>
          <w:sz w:val="22"/>
        </w:rPr>
        <w:t> </w:t>
      </w:r>
      <w:r>
        <w:rPr>
          <w:color w:val="1F1F1F"/>
          <w:sz w:val="22"/>
        </w:rPr>
        <w:t>the</w:t>
      </w:r>
      <w:r>
        <w:rPr>
          <w:color w:val="1F1F1F"/>
          <w:spacing w:val="-8"/>
          <w:sz w:val="22"/>
        </w:rPr>
        <w:t> </w:t>
      </w:r>
      <w:r>
        <w:rPr>
          <w:color w:val="0A0A0A"/>
          <w:sz w:val="22"/>
        </w:rPr>
        <w:t>governance</w:t>
      </w:r>
      <w:r>
        <w:rPr>
          <w:color w:val="0A0A0A"/>
          <w:spacing w:val="19"/>
          <w:sz w:val="22"/>
        </w:rPr>
        <w:t> </w:t>
      </w:r>
      <w:r>
        <w:rPr>
          <w:color w:val="0A0A0A"/>
          <w:sz w:val="22"/>
        </w:rPr>
        <w:t>system as</w:t>
      </w:r>
      <w:r>
        <w:rPr>
          <w:color w:val="0A0A0A"/>
          <w:spacing w:val="-7"/>
          <w:sz w:val="22"/>
        </w:rPr>
        <w:t> </w:t>
      </w:r>
      <w:r>
        <w:rPr>
          <w:color w:val="0A0A0A"/>
          <w:sz w:val="22"/>
        </w:rPr>
        <w:t>it applied</w:t>
      </w:r>
      <w:r>
        <w:rPr>
          <w:color w:val="0A0A0A"/>
          <w:spacing w:val="-6"/>
          <w:sz w:val="22"/>
        </w:rPr>
        <w:t> </w:t>
      </w:r>
      <w:r>
        <w:rPr>
          <w:color w:val="0A0A0A"/>
          <w:sz w:val="22"/>
        </w:rPr>
        <w:t>during the</w:t>
      </w:r>
      <w:r>
        <w:rPr>
          <w:color w:val="0A0A0A"/>
          <w:spacing w:val="-3"/>
          <w:sz w:val="22"/>
        </w:rPr>
        <w:t> </w:t>
      </w:r>
      <w:r>
        <w:rPr>
          <w:color w:val="0A0A0A"/>
          <w:sz w:val="22"/>
        </w:rPr>
        <w:t>financial year for the accounts that it accompanies;</w:t>
      </w:r>
    </w:p>
    <w:p>
      <w:pPr>
        <w:pStyle w:val="ListParagraph"/>
        <w:numPr>
          <w:ilvl w:val="1"/>
          <w:numId w:val="29"/>
        </w:numPr>
        <w:tabs>
          <w:tab w:val="left" w:leader="none" w:pos="1363"/>
          <w:tab w:val="left" w:leader="none" w:pos="1367"/>
        </w:tabs>
        <w:spacing w:before="59" w:after="0" w:line="240" w:lineRule="auto"/>
        <w:ind w:left="1363" w:right="443" w:hanging="433"/>
        <w:jc w:val="left"/>
        <w:rPr>
          <w:color w:val="0A0A0A"/>
          <w:sz w:val="22"/>
        </w:rPr>
      </w:pPr>
      <w:r>
        <w:rPr>
          <w:color w:val="0A0A0A"/>
          <w:sz w:val="22"/>
        </w:rPr>
        <w:tab/>
      </w:r>
      <w:r>
        <w:rPr>
          <w:color w:val="1F1F1F"/>
          <w:sz w:val="22"/>
        </w:rPr>
        <w:t>Significant events or</w:t>
      </w:r>
      <w:r>
        <w:rPr>
          <w:color w:val="1F1F1F"/>
          <w:spacing w:val="-12"/>
          <w:sz w:val="22"/>
        </w:rPr>
        <w:t> </w:t>
      </w:r>
      <w:r>
        <w:rPr>
          <w:color w:val="0A0A0A"/>
          <w:sz w:val="22"/>
        </w:rPr>
        <w:t>developments </w:t>
      </w:r>
      <w:r>
        <w:rPr>
          <w:color w:val="1F1F1F"/>
          <w:sz w:val="22"/>
        </w:rPr>
        <w:t>relating</w:t>
      </w:r>
      <w:r>
        <w:rPr>
          <w:color w:val="1F1F1F"/>
          <w:spacing w:val="-9"/>
          <w:sz w:val="22"/>
        </w:rPr>
        <w:t> </w:t>
      </w:r>
      <w:r>
        <w:rPr>
          <w:color w:val="0A0A0A"/>
          <w:sz w:val="22"/>
        </w:rPr>
        <w:t>to</w:t>
      </w:r>
      <w:r>
        <w:rPr>
          <w:color w:val="0A0A0A"/>
          <w:spacing w:val="-11"/>
          <w:sz w:val="22"/>
        </w:rPr>
        <w:t> </w:t>
      </w:r>
      <w:r>
        <w:rPr>
          <w:color w:val="0A0A0A"/>
          <w:sz w:val="22"/>
        </w:rPr>
        <w:t>the</w:t>
      </w:r>
      <w:r>
        <w:rPr>
          <w:color w:val="0A0A0A"/>
          <w:spacing w:val="-9"/>
          <w:sz w:val="22"/>
        </w:rPr>
        <w:t> </w:t>
      </w:r>
      <w:r>
        <w:rPr>
          <w:color w:val="1F1F1F"/>
          <w:sz w:val="22"/>
        </w:rPr>
        <w:t>governance </w:t>
      </w:r>
      <w:r>
        <w:rPr>
          <w:color w:val="0A0A0A"/>
          <w:sz w:val="22"/>
        </w:rPr>
        <w:t>system that </w:t>
      </w:r>
      <w:r>
        <w:rPr>
          <w:color w:val="1F1F1F"/>
          <w:sz w:val="22"/>
        </w:rPr>
        <w:t>occur</w:t>
      </w:r>
      <w:r>
        <w:rPr>
          <w:color w:val="1F1F1F"/>
          <w:spacing w:val="-4"/>
          <w:sz w:val="22"/>
        </w:rPr>
        <w:t> </w:t>
      </w:r>
      <w:r>
        <w:rPr>
          <w:color w:val="0A0A0A"/>
          <w:sz w:val="22"/>
        </w:rPr>
        <w:t>between</w:t>
      </w:r>
      <w:r>
        <w:rPr>
          <w:color w:val="0A0A0A"/>
          <w:spacing w:val="-2"/>
          <w:sz w:val="22"/>
        </w:rPr>
        <w:t> </w:t>
      </w:r>
      <w:r>
        <w:rPr>
          <w:color w:val="0A0A0A"/>
          <w:sz w:val="22"/>
        </w:rPr>
        <w:t>the </w:t>
      </w:r>
      <w:r>
        <w:rPr>
          <w:color w:val="1F1F1F"/>
          <w:sz w:val="22"/>
        </w:rPr>
        <w:t>reporting date and the date on which</w:t>
      </w:r>
      <w:r>
        <w:rPr>
          <w:color w:val="1F1F1F"/>
          <w:spacing w:val="-4"/>
          <w:sz w:val="22"/>
        </w:rPr>
        <w:t> </w:t>
      </w:r>
      <w:r>
        <w:rPr>
          <w:color w:val="1F1F1F"/>
          <w:sz w:val="22"/>
        </w:rPr>
        <w:t>the</w:t>
      </w:r>
      <w:r>
        <w:rPr>
          <w:color w:val="1F1F1F"/>
          <w:spacing w:val="-13"/>
          <w:sz w:val="22"/>
        </w:rPr>
        <w:t> </w:t>
      </w:r>
      <w:r>
        <w:rPr>
          <w:color w:val="1F1F1F"/>
          <w:sz w:val="22"/>
        </w:rPr>
        <w:t>Statement of Accounts </w:t>
      </w:r>
      <w:r>
        <w:rPr>
          <w:color w:val="0A0A0A"/>
          <w:sz w:val="22"/>
        </w:rPr>
        <w:t>is signed </w:t>
      </w:r>
      <w:r>
        <w:rPr>
          <w:color w:val="1F1F1F"/>
          <w:sz w:val="22"/>
        </w:rPr>
        <w:t>by the</w:t>
      </w:r>
      <w:r>
        <w:rPr>
          <w:color w:val="1F1F1F"/>
          <w:spacing w:val="-4"/>
          <w:sz w:val="22"/>
        </w:rPr>
        <w:t> </w:t>
      </w:r>
      <w:r>
        <w:rPr>
          <w:color w:val="0A0A0A"/>
          <w:sz w:val="22"/>
        </w:rPr>
        <w:t>responsible </w:t>
      </w:r>
      <w:r>
        <w:rPr>
          <w:color w:val="1F1F1F"/>
          <w:sz w:val="22"/>
        </w:rPr>
        <w:t>financial officer shall </w:t>
      </w:r>
      <w:r>
        <w:rPr>
          <w:color w:val="0A0A0A"/>
          <w:sz w:val="22"/>
        </w:rPr>
        <w:t>also </w:t>
      </w:r>
      <w:r>
        <w:rPr>
          <w:color w:val="1F1F1F"/>
          <w:sz w:val="22"/>
        </w:rPr>
        <w:t>be reported; and</w:t>
      </w:r>
    </w:p>
    <w:p>
      <w:pPr>
        <w:pStyle w:val="ListParagraph"/>
        <w:numPr>
          <w:ilvl w:val="1"/>
          <w:numId w:val="29"/>
        </w:numPr>
        <w:tabs>
          <w:tab w:val="left" w:leader="none" w:pos="1351"/>
          <w:tab w:val="left" w:leader="none" w:pos="1355"/>
        </w:tabs>
        <w:spacing w:before="58" w:after="0" w:line="240" w:lineRule="auto"/>
        <w:ind w:left="1351" w:right="674" w:hanging="426"/>
        <w:jc w:val="left"/>
        <w:rPr>
          <w:color w:val="0A0A0A"/>
          <w:sz w:val="22"/>
        </w:rPr>
      </w:pPr>
      <w:r>
        <w:rPr>
          <w:color w:val="0A0A0A"/>
          <w:sz w:val="22"/>
        </w:rPr>
        <w:tab/>
        <w:t>Where </w:t>
      </w:r>
      <w:r>
        <w:rPr>
          <w:color w:val="1F1F1F"/>
          <w:sz w:val="22"/>
        </w:rPr>
        <w:t>an authority </w:t>
      </w:r>
      <w:r>
        <w:rPr>
          <w:color w:val="0A0A0A"/>
          <w:sz w:val="22"/>
        </w:rPr>
        <w:t>is in</w:t>
      </w:r>
      <w:r>
        <w:rPr>
          <w:color w:val="0A0A0A"/>
          <w:spacing w:val="-6"/>
          <w:sz w:val="22"/>
        </w:rPr>
        <w:t> </w:t>
      </w:r>
      <w:r>
        <w:rPr>
          <w:color w:val="0A0A0A"/>
          <w:sz w:val="22"/>
        </w:rPr>
        <w:t>a group </w:t>
      </w:r>
      <w:r>
        <w:rPr>
          <w:color w:val="1F1F1F"/>
          <w:sz w:val="22"/>
        </w:rPr>
        <w:t>relationship with other </w:t>
      </w:r>
      <w:r>
        <w:rPr>
          <w:color w:val="0A0A0A"/>
          <w:sz w:val="22"/>
        </w:rPr>
        <w:t>entities and</w:t>
      </w:r>
      <w:r>
        <w:rPr>
          <w:color w:val="0A0A0A"/>
          <w:spacing w:val="-3"/>
          <w:sz w:val="22"/>
        </w:rPr>
        <w:t> </w:t>
      </w:r>
      <w:r>
        <w:rPr>
          <w:color w:val="0A0A0A"/>
          <w:sz w:val="22"/>
        </w:rPr>
        <w:t>undertakes </w:t>
      </w:r>
      <w:r>
        <w:rPr>
          <w:color w:val="1F1F1F"/>
          <w:sz w:val="22"/>
        </w:rPr>
        <w:t>significant </w:t>
      </w:r>
      <w:r>
        <w:rPr>
          <w:color w:val="0A0A0A"/>
          <w:sz w:val="22"/>
        </w:rPr>
        <w:t>activ</w:t>
      </w:r>
      <w:r>
        <w:rPr>
          <w:color w:val="3A3A3A"/>
          <w:sz w:val="22"/>
        </w:rPr>
        <w:t>i</w:t>
      </w:r>
      <w:r>
        <w:rPr>
          <w:color w:val="1F1F1F"/>
          <w:sz w:val="22"/>
        </w:rPr>
        <w:t>ties</w:t>
      </w:r>
      <w:r>
        <w:rPr>
          <w:color w:val="1F1F1F"/>
          <w:spacing w:val="-7"/>
          <w:sz w:val="22"/>
        </w:rPr>
        <w:t> </w:t>
      </w:r>
      <w:r>
        <w:rPr>
          <w:color w:val="0A0A0A"/>
          <w:sz w:val="22"/>
        </w:rPr>
        <w:t>through</w:t>
      </w:r>
      <w:r>
        <w:rPr>
          <w:color w:val="0A0A0A"/>
          <w:spacing w:val="-1"/>
          <w:sz w:val="22"/>
        </w:rPr>
        <w:t> </w:t>
      </w:r>
      <w:r>
        <w:rPr>
          <w:color w:val="0A0A0A"/>
          <w:sz w:val="22"/>
        </w:rPr>
        <w:t>the</w:t>
      </w:r>
      <w:r>
        <w:rPr>
          <w:color w:val="0A0A0A"/>
          <w:spacing w:val="-6"/>
          <w:sz w:val="22"/>
        </w:rPr>
        <w:t> </w:t>
      </w:r>
      <w:r>
        <w:rPr>
          <w:color w:val="0A0A0A"/>
          <w:sz w:val="22"/>
        </w:rPr>
        <w:t>group, the </w:t>
      </w:r>
      <w:r>
        <w:rPr>
          <w:color w:val="1F1F1F"/>
          <w:sz w:val="22"/>
        </w:rPr>
        <w:t>review </w:t>
      </w:r>
      <w:r>
        <w:rPr>
          <w:color w:val="0A0A0A"/>
          <w:sz w:val="22"/>
        </w:rPr>
        <w:t>of</w:t>
      </w:r>
      <w:r>
        <w:rPr>
          <w:color w:val="0A0A0A"/>
          <w:spacing w:val="-4"/>
          <w:sz w:val="22"/>
        </w:rPr>
        <w:t> </w:t>
      </w:r>
      <w:r>
        <w:rPr>
          <w:color w:val="0A0A0A"/>
          <w:sz w:val="22"/>
        </w:rPr>
        <w:t>the</w:t>
      </w:r>
      <w:r>
        <w:rPr>
          <w:color w:val="0A0A0A"/>
          <w:spacing w:val="-9"/>
          <w:sz w:val="22"/>
        </w:rPr>
        <w:t> </w:t>
      </w:r>
      <w:r>
        <w:rPr>
          <w:color w:val="1F1F1F"/>
          <w:sz w:val="22"/>
        </w:rPr>
        <w:t>effectiveness </w:t>
      </w:r>
      <w:r>
        <w:rPr>
          <w:color w:val="0A0A0A"/>
          <w:sz w:val="22"/>
        </w:rPr>
        <w:t>of</w:t>
      </w:r>
      <w:r>
        <w:rPr>
          <w:color w:val="0A0A0A"/>
          <w:spacing w:val="-3"/>
          <w:sz w:val="22"/>
        </w:rPr>
        <w:t> </w:t>
      </w:r>
      <w:r>
        <w:rPr>
          <w:color w:val="0A0A0A"/>
          <w:sz w:val="22"/>
        </w:rPr>
        <w:t>the</w:t>
      </w:r>
      <w:r>
        <w:rPr>
          <w:color w:val="0A0A0A"/>
          <w:spacing w:val="-1"/>
          <w:sz w:val="22"/>
        </w:rPr>
        <w:t> </w:t>
      </w:r>
      <w:r>
        <w:rPr>
          <w:color w:val="0A0A0A"/>
          <w:sz w:val="22"/>
        </w:rPr>
        <w:t>system </w:t>
      </w:r>
      <w:r>
        <w:rPr>
          <w:color w:val="1F1F1F"/>
          <w:sz w:val="22"/>
        </w:rPr>
        <w:t>of</w:t>
      </w:r>
      <w:r>
        <w:rPr>
          <w:color w:val="1F1F1F"/>
          <w:spacing w:val="-5"/>
          <w:sz w:val="22"/>
        </w:rPr>
        <w:t> </w:t>
      </w:r>
      <w:r>
        <w:rPr>
          <w:color w:val="1F1F1F"/>
          <w:sz w:val="22"/>
        </w:rPr>
        <w:t>internal control </w:t>
      </w:r>
      <w:r>
        <w:rPr>
          <w:color w:val="0A0A0A"/>
          <w:sz w:val="22"/>
        </w:rPr>
        <w:t>shall include its group activities.</w:t>
      </w:r>
    </w:p>
    <w:p>
      <w:pPr>
        <w:pStyle w:val="BodyText"/>
        <w:spacing w:before="55"/>
      </w:pPr>
    </w:p>
    <w:p>
      <w:pPr>
        <w:pStyle w:val="ListParagraph"/>
        <w:numPr>
          <w:ilvl w:val="0"/>
          <w:numId w:val="29"/>
        </w:numPr>
        <w:tabs>
          <w:tab w:val="left" w:leader="none" w:pos="911"/>
          <w:tab w:val="left" w:leader="none" w:pos="913"/>
        </w:tabs>
        <w:spacing w:before="0" w:after="0" w:line="240" w:lineRule="auto"/>
        <w:ind w:left="911" w:right="352" w:hanging="727"/>
        <w:jc w:val="left"/>
        <w:rPr>
          <w:color w:val="0A0A0A"/>
          <w:sz w:val="22"/>
        </w:rPr>
      </w:pPr>
      <w:r>
        <w:rPr>
          <w:color w:val="3A3A3A"/>
          <w:sz w:val="22"/>
        </w:rPr>
        <w:tab/>
      </w:r>
      <w:r>
        <w:rPr>
          <w:color w:val="1F1F1F"/>
          <w:sz w:val="22"/>
        </w:rPr>
        <w:t>Governance arrangements </w:t>
      </w:r>
      <w:r>
        <w:rPr>
          <w:color w:val="3A3A3A"/>
          <w:sz w:val="22"/>
        </w:rPr>
        <w:t>in</w:t>
      </w:r>
      <w:r>
        <w:rPr>
          <w:color w:val="3A3A3A"/>
          <w:spacing w:val="-11"/>
          <w:sz w:val="22"/>
        </w:rPr>
        <w:t> </w:t>
      </w:r>
      <w:r>
        <w:rPr>
          <w:color w:val="1F1F1F"/>
          <w:sz w:val="22"/>
        </w:rPr>
        <w:t>the</w:t>
      </w:r>
      <w:r>
        <w:rPr>
          <w:color w:val="1F1F1F"/>
          <w:spacing w:val="-1"/>
          <w:sz w:val="22"/>
        </w:rPr>
        <w:t> </w:t>
      </w:r>
      <w:r>
        <w:rPr>
          <w:color w:val="1F1F1F"/>
          <w:sz w:val="22"/>
        </w:rPr>
        <w:t>public services are keenly observed and</w:t>
      </w:r>
      <w:r>
        <w:rPr>
          <w:color w:val="1F1F1F"/>
          <w:spacing w:val="-4"/>
          <w:sz w:val="22"/>
        </w:rPr>
        <w:t> </w:t>
      </w:r>
      <w:r>
        <w:rPr>
          <w:color w:val="1F1F1F"/>
          <w:sz w:val="22"/>
        </w:rPr>
        <w:t>sometimes criticised. Significant governance failings attract huge attention -</w:t>
      </w:r>
      <w:r>
        <w:rPr>
          <w:color w:val="1F1F1F"/>
          <w:spacing w:val="40"/>
          <w:sz w:val="22"/>
        </w:rPr>
        <w:t> </w:t>
      </w:r>
      <w:r>
        <w:rPr>
          <w:color w:val="1F1F1F"/>
          <w:sz w:val="22"/>
        </w:rPr>
        <w:t>as</w:t>
      </w:r>
      <w:r>
        <w:rPr>
          <w:color w:val="1F1F1F"/>
          <w:spacing w:val="-4"/>
          <w:sz w:val="22"/>
        </w:rPr>
        <w:t> </w:t>
      </w:r>
      <w:r>
        <w:rPr>
          <w:color w:val="1F1F1F"/>
          <w:sz w:val="22"/>
        </w:rPr>
        <w:t>they should -</w:t>
      </w:r>
      <w:r>
        <w:rPr>
          <w:color w:val="1F1F1F"/>
          <w:spacing w:val="40"/>
          <w:sz w:val="22"/>
        </w:rPr>
        <w:t> </w:t>
      </w:r>
      <w:r>
        <w:rPr>
          <w:color w:val="1F1F1F"/>
          <w:sz w:val="22"/>
        </w:rPr>
        <w:t>and one significant failing can</w:t>
      </w:r>
      <w:r>
        <w:rPr>
          <w:color w:val="1F1F1F"/>
          <w:spacing w:val="-8"/>
          <w:sz w:val="22"/>
        </w:rPr>
        <w:t> </w:t>
      </w:r>
      <w:r>
        <w:rPr>
          <w:color w:val="1F1F1F"/>
          <w:sz w:val="22"/>
        </w:rPr>
        <w:t>taint </w:t>
      </w:r>
      <w:r>
        <w:rPr>
          <w:color w:val="0A0A0A"/>
          <w:sz w:val="22"/>
        </w:rPr>
        <w:t>a</w:t>
      </w:r>
      <w:r>
        <w:rPr>
          <w:color w:val="0A0A0A"/>
          <w:spacing w:val="-7"/>
          <w:sz w:val="22"/>
        </w:rPr>
        <w:t> </w:t>
      </w:r>
      <w:r>
        <w:rPr>
          <w:color w:val="1F1F1F"/>
          <w:sz w:val="22"/>
        </w:rPr>
        <w:t>whole sector. Local</w:t>
      </w:r>
      <w:r>
        <w:rPr>
          <w:color w:val="1F1F1F"/>
          <w:spacing w:val="-2"/>
          <w:sz w:val="22"/>
        </w:rPr>
        <w:t> </w:t>
      </w:r>
      <w:r>
        <w:rPr>
          <w:color w:val="1F1F1F"/>
          <w:sz w:val="22"/>
        </w:rPr>
        <w:t>government organisations are</w:t>
      </w:r>
      <w:r>
        <w:rPr>
          <w:color w:val="1F1F1F"/>
          <w:spacing w:val="-4"/>
          <w:sz w:val="22"/>
        </w:rPr>
        <w:t> </w:t>
      </w:r>
      <w:r>
        <w:rPr>
          <w:color w:val="1F1F1F"/>
          <w:sz w:val="22"/>
        </w:rPr>
        <w:t>big</w:t>
      </w:r>
      <w:r>
        <w:rPr>
          <w:color w:val="1F1F1F"/>
          <w:spacing w:val="-5"/>
          <w:sz w:val="22"/>
        </w:rPr>
        <w:t> </w:t>
      </w:r>
      <w:r>
        <w:rPr>
          <w:color w:val="1F1F1F"/>
          <w:sz w:val="22"/>
        </w:rPr>
        <w:t>business and</w:t>
      </w:r>
      <w:r>
        <w:rPr>
          <w:color w:val="1F1F1F"/>
          <w:spacing w:val="-8"/>
          <w:sz w:val="22"/>
        </w:rPr>
        <w:t> </w:t>
      </w:r>
      <w:r>
        <w:rPr>
          <w:color w:val="1F1F1F"/>
          <w:sz w:val="22"/>
        </w:rPr>
        <w:t>are vitally </w:t>
      </w:r>
      <w:r>
        <w:rPr>
          <w:color w:val="3A3A3A"/>
          <w:sz w:val="22"/>
        </w:rPr>
        <w:t>important</w:t>
      </w:r>
    </w:p>
    <w:p>
      <w:pPr>
        <w:spacing w:after="0" w:line="240" w:lineRule="auto"/>
        <w:jc w:val="left"/>
        <w:rPr>
          <w:sz w:val="22"/>
        </w:rPr>
        <w:sectPr>
          <w:headerReference w:type="even" r:id="rId267"/>
          <w:pgSz w:w="11910" w:h="16830"/>
          <w:pgMar w:top="880" w:right="540" w:bottom="1200" w:left="440" w:header="0" w:footer="0"/>
        </w:sectPr>
      </w:pPr>
    </w:p>
    <w:p>
      <w:pPr>
        <w:pStyle w:val="BodyText"/>
        <w:spacing w:before="7"/>
        <w:rPr>
          <w:sz w:val="21"/>
        </w:rPr>
      </w:pPr>
    </w:p>
    <w:p>
      <w:pPr>
        <w:spacing w:before="0" w:line="252" w:lineRule="auto"/>
        <w:ind w:left="808" w:right="0" w:hanging="2"/>
        <w:jc w:val="left"/>
        <w:rPr>
          <w:sz w:val="21"/>
        </w:rPr>
      </w:pPr>
      <w:r>
        <w:rPr>
          <w:color w:val="0C0C0C"/>
          <w:w w:val="105"/>
          <w:sz w:val="21"/>
        </w:rPr>
        <w:t>to</w:t>
      </w:r>
      <w:r>
        <w:rPr>
          <w:color w:val="0C0C0C"/>
          <w:spacing w:val="-10"/>
          <w:w w:val="105"/>
          <w:sz w:val="21"/>
        </w:rPr>
        <w:t> </w:t>
      </w:r>
      <w:r>
        <w:rPr>
          <w:color w:val="0C0C0C"/>
          <w:w w:val="105"/>
          <w:sz w:val="21"/>
        </w:rPr>
        <w:t>taxpayers and</w:t>
      </w:r>
      <w:r>
        <w:rPr>
          <w:color w:val="0C0C0C"/>
          <w:spacing w:val="-9"/>
          <w:w w:val="105"/>
          <w:sz w:val="21"/>
        </w:rPr>
        <w:t> </w:t>
      </w:r>
      <w:r>
        <w:rPr>
          <w:color w:val="0C0C0C"/>
          <w:w w:val="105"/>
          <w:sz w:val="21"/>
        </w:rPr>
        <w:t>service</w:t>
      </w:r>
      <w:r>
        <w:rPr>
          <w:color w:val="0C0C0C"/>
          <w:spacing w:val="-3"/>
          <w:w w:val="105"/>
          <w:sz w:val="21"/>
        </w:rPr>
        <w:t> </w:t>
      </w:r>
      <w:r>
        <w:rPr>
          <w:color w:val="0C0C0C"/>
          <w:w w:val="105"/>
          <w:sz w:val="21"/>
        </w:rPr>
        <w:t>users.</w:t>
      </w:r>
      <w:r>
        <w:rPr>
          <w:color w:val="0C0C0C"/>
          <w:spacing w:val="-7"/>
          <w:w w:val="105"/>
          <w:sz w:val="21"/>
        </w:rPr>
        <w:t> </w:t>
      </w:r>
      <w:r>
        <w:rPr>
          <w:color w:val="0C0C0C"/>
          <w:w w:val="105"/>
          <w:sz w:val="21"/>
        </w:rPr>
        <w:t>They</w:t>
      </w:r>
      <w:r>
        <w:rPr>
          <w:color w:val="0C0C0C"/>
          <w:spacing w:val="-3"/>
          <w:w w:val="105"/>
          <w:sz w:val="21"/>
        </w:rPr>
        <w:t> </w:t>
      </w:r>
      <w:r>
        <w:rPr>
          <w:color w:val="0C0C0C"/>
          <w:w w:val="105"/>
          <w:sz w:val="21"/>
        </w:rPr>
        <w:t>need</w:t>
      </w:r>
      <w:r>
        <w:rPr>
          <w:color w:val="0C0C0C"/>
          <w:spacing w:val="-11"/>
          <w:w w:val="105"/>
          <w:sz w:val="21"/>
        </w:rPr>
        <w:t> </w:t>
      </w:r>
      <w:r>
        <w:rPr>
          <w:color w:val="0C0C0C"/>
          <w:w w:val="105"/>
          <w:sz w:val="21"/>
        </w:rPr>
        <w:t>to</w:t>
      </w:r>
      <w:r>
        <w:rPr>
          <w:color w:val="0C0C0C"/>
          <w:spacing w:val="-10"/>
          <w:w w:val="105"/>
          <w:sz w:val="21"/>
        </w:rPr>
        <w:t> </w:t>
      </w:r>
      <w:r>
        <w:rPr>
          <w:color w:val="0C0C0C"/>
          <w:w w:val="105"/>
          <w:sz w:val="21"/>
        </w:rPr>
        <w:t>ensure</w:t>
      </w:r>
      <w:r>
        <w:rPr>
          <w:color w:val="0C0C0C"/>
          <w:spacing w:val="-3"/>
          <w:w w:val="105"/>
          <w:sz w:val="21"/>
        </w:rPr>
        <w:t> </w:t>
      </w:r>
      <w:r>
        <w:rPr>
          <w:color w:val="0C0C0C"/>
          <w:w w:val="105"/>
          <w:sz w:val="21"/>
        </w:rPr>
        <w:t>that</w:t>
      </w:r>
      <w:r>
        <w:rPr>
          <w:color w:val="0C0C0C"/>
          <w:spacing w:val="-6"/>
          <w:w w:val="105"/>
          <w:sz w:val="21"/>
        </w:rPr>
        <w:t> </w:t>
      </w:r>
      <w:r>
        <w:rPr>
          <w:color w:val="0C0C0C"/>
          <w:w w:val="105"/>
          <w:sz w:val="21"/>
        </w:rPr>
        <w:t>they</w:t>
      </w:r>
      <w:r>
        <w:rPr>
          <w:color w:val="0C0C0C"/>
          <w:spacing w:val="-4"/>
          <w:w w:val="105"/>
          <w:sz w:val="21"/>
        </w:rPr>
        <w:t> </w:t>
      </w:r>
      <w:r>
        <w:rPr>
          <w:color w:val="0C0C0C"/>
          <w:w w:val="105"/>
          <w:sz w:val="21"/>
        </w:rPr>
        <w:t>meet</w:t>
      </w:r>
      <w:r>
        <w:rPr>
          <w:color w:val="0C0C0C"/>
          <w:spacing w:val="-2"/>
          <w:w w:val="105"/>
          <w:sz w:val="21"/>
        </w:rPr>
        <w:t> </w:t>
      </w:r>
      <w:r>
        <w:rPr>
          <w:color w:val="0C0C0C"/>
          <w:w w:val="105"/>
          <w:sz w:val="21"/>
        </w:rPr>
        <w:t>the</w:t>
      </w:r>
      <w:r>
        <w:rPr>
          <w:color w:val="0C0C0C"/>
          <w:spacing w:val="-13"/>
          <w:w w:val="105"/>
          <w:sz w:val="21"/>
        </w:rPr>
        <w:t> </w:t>
      </w:r>
      <w:r>
        <w:rPr>
          <w:color w:val="0C0C0C"/>
          <w:w w:val="105"/>
          <w:sz w:val="21"/>
        </w:rPr>
        <w:t>highest standards, and</w:t>
      </w:r>
      <w:r>
        <w:rPr>
          <w:color w:val="0C0C0C"/>
          <w:spacing w:val="-15"/>
          <w:w w:val="105"/>
          <w:sz w:val="21"/>
        </w:rPr>
        <w:t> </w:t>
      </w:r>
      <w:r>
        <w:rPr>
          <w:color w:val="0C0C0C"/>
          <w:w w:val="105"/>
          <w:sz w:val="21"/>
        </w:rPr>
        <w:t>that governance arrangements are</w:t>
      </w:r>
      <w:r>
        <w:rPr>
          <w:color w:val="0C0C0C"/>
          <w:spacing w:val="-2"/>
          <w:w w:val="105"/>
          <w:sz w:val="21"/>
        </w:rPr>
        <w:t> </w:t>
      </w:r>
      <w:r>
        <w:rPr>
          <w:color w:val="0C0C0C"/>
          <w:w w:val="105"/>
          <w:sz w:val="21"/>
        </w:rPr>
        <w:t>not only sound but are seen to be</w:t>
      </w:r>
      <w:r>
        <w:rPr>
          <w:color w:val="0C0C0C"/>
          <w:spacing w:val="-3"/>
          <w:w w:val="105"/>
          <w:sz w:val="21"/>
        </w:rPr>
        <w:t> </w:t>
      </w:r>
      <w:r>
        <w:rPr>
          <w:color w:val="0C0C0C"/>
          <w:w w:val="105"/>
          <w:sz w:val="21"/>
        </w:rPr>
        <w:t>sound.</w:t>
      </w:r>
    </w:p>
    <w:p>
      <w:pPr>
        <w:pStyle w:val="BodyText"/>
        <w:spacing w:before="6"/>
        <w:rPr>
          <w:sz w:val="21"/>
        </w:rPr>
      </w:pPr>
    </w:p>
    <w:p>
      <w:pPr>
        <w:pStyle w:val="ListParagraph"/>
        <w:numPr>
          <w:ilvl w:val="0"/>
          <w:numId w:val="29"/>
        </w:numPr>
        <w:tabs>
          <w:tab w:val="left" w:leader="none" w:pos="814"/>
          <w:tab w:val="left" w:leader="none" w:pos="819"/>
        </w:tabs>
        <w:spacing w:before="0" w:after="0" w:line="252" w:lineRule="auto"/>
        <w:ind w:left="819" w:right="519" w:hanging="715"/>
        <w:jc w:val="left"/>
        <w:rPr>
          <w:color w:val="0C0C0C"/>
          <w:sz w:val="21"/>
        </w:rPr>
      </w:pPr>
      <w:r>
        <w:rPr>
          <w:color w:val="1C1C1C"/>
          <w:w w:val="105"/>
          <w:sz w:val="21"/>
        </w:rPr>
        <w:t>The</w:t>
      </w:r>
      <w:r>
        <w:rPr>
          <w:color w:val="1C1C1C"/>
          <w:spacing w:val="-3"/>
          <w:w w:val="105"/>
          <w:sz w:val="21"/>
        </w:rPr>
        <w:t> </w:t>
      </w:r>
      <w:r>
        <w:rPr>
          <w:color w:val="1C1C1C"/>
          <w:w w:val="105"/>
          <w:sz w:val="21"/>
        </w:rPr>
        <w:t>International Framework</w:t>
      </w:r>
      <w:r>
        <w:rPr>
          <w:color w:val="4F4F4F"/>
          <w:w w:val="105"/>
          <w:sz w:val="21"/>
        </w:rPr>
        <w:t>:</w:t>
      </w:r>
      <w:r>
        <w:rPr>
          <w:color w:val="4F4F4F"/>
          <w:spacing w:val="-10"/>
          <w:w w:val="105"/>
          <w:sz w:val="21"/>
        </w:rPr>
        <w:t> </w:t>
      </w:r>
      <w:r>
        <w:rPr>
          <w:color w:val="1C1C1C"/>
          <w:w w:val="105"/>
          <w:sz w:val="21"/>
        </w:rPr>
        <w:t>Good Governance </w:t>
      </w:r>
      <w:r>
        <w:rPr>
          <w:color w:val="333333"/>
          <w:w w:val="105"/>
          <w:sz w:val="21"/>
        </w:rPr>
        <w:t>in</w:t>
      </w:r>
      <w:r>
        <w:rPr>
          <w:color w:val="333333"/>
          <w:spacing w:val="-1"/>
          <w:w w:val="105"/>
          <w:sz w:val="21"/>
        </w:rPr>
        <w:t> </w:t>
      </w:r>
      <w:r>
        <w:rPr>
          <w:color w:val="0C0C0C"/>
          <w:w w:val="105"/>
          <w:sz w:val="21"/>
        </w:rPr>
        <w:t>the Public Sector (CIPFNIFAC,</w:t>
      </w:r>
      <w:r>
        <w:rPr>
          <w:color w:val="0C0C0C"/>
          <w:spacing w:val="34"/>
          <w:w w:val="105"/>
          <w:sz w:val="21"/>
        </w:rPr>
        <w:t> </w:t>
      </w:r>
      <w:r>
        <w:rPr>
          <w:color w:val="0C0C0C"/>
          <w:w w:val="105"/>
          <w:sz w:val="21"/>
        </w:rPr>
        <w:t>2014) (the </w:t>
      </w:r>
      <w:r>
        <w:rPr>
          <w:color w:val="4F4F4F"/>
          <w:w w:val="105"/>
          <w:sz w:val="21"/>
        </w:rPr>
        <w:t>'</w:t>
      </w:r>
      <w:r>
        <w:rPr>
          <w:color w:val="0C0C0C"/>
          <w:w w:val="105"/>
          <w:sz w:val="21"/>
        </w:rPr>
        <w:t>Interna</w:t>
      </w:r>
      <w:r>
        <w:rPr>
          <w:color w:val="333333"/>
          <w:w w:val="105"/>
          <w:sz w:val="21"/>
        </w:rPr>
        <w:t>tional</w:t>
      </w:r>
      <w:r>
        <w:rPr>
          <w:color w:val="333333"/>
          <w:spacing w:val="-16"/>
          <w:w w:val="105"/>
          <w:sz w:val="21"/>
        </w:rPr>
        <w:t> </w:t>
      </w:r>
      <w:r>
        <w:rPr>
          <w:color w:val="1C1C1C"/>
          <w:w w:val="105"/>
          <w:sz w:val="21"/>
        </w:rPr>
        <w:t>Framework</w:t>
      </w:r>
      <w:r>
        <w:rPr>
          <w:color w:val="4F4F4F"/>
          <w:w w:val="105"/>
          <w:sz w:val="21"/>
        </w:rPr>
        <w:t>'</w:t>
      </w:r>
      <w:r>
        <w:rPr>
          <w:color w:val="1C1C1C"/>
          <w:w w:val="105"/>
          <w:sz w:val="21"/>
        </w:rPr>
        <w:t>)</w:t>
      </w:r>
      <w:r>
        <w:rPr>
          <w:color w:val="1C1C1C"/>
          <w:spacing w:val="-15"/>
          <w:w w:val="105"/>
          <w:sz w:val="21"/>
        </w:rPr>
        <w:t> </w:t>
      </w:r>
      <w:r>
        <w:rPr>
          <w:color w:val="1C1C1C"/>
          <w:w w:val="105"/>
          <w:sz w:val="21"/>
        </w:rPr>
        <w:t>defines</w:t>
      </w:r>
      <w:r>
        <w:rPr>
          <w:color w:val="1C1C1C"/>
          <w:spacing w:val="-4"/>
          <w:w w:val="105"/>
          <w:sz w:val="21"/>
        </w:rPr>
        <w:t> </w:t>
      </w:r>
      <w:r>
        <w:rPr>
          <w:color w:val="1C1C1C"/>
          <w:w w:val="105"/>
          <w:sz w:val="21"/>
        </w:rPr>
        <w:t>governance as</w:t>
      </w:r>
      <w:r>
        <w:rPr>
          <w:color w:val="1C1C1C"/>
          <w:spacing w:val="-16"/>
          <w:w w:val="105"/>
          <w:sz w:val="21"/>
        </w:rPr>
        <w:t> </w:t>
      </w:r>
      <w:r>
        <w:rPr>
          <w:color w:val="1C1C1C"/>
          <w:w w:val="105"/>
          <w:sz w:val="21"/>
        </w:rPr>
        <w:t>"Governance </w:t>
      </w:r>
      <w:r>
        <w:rPr>
          <w:color w:val="0C0C0C"/>
          <w:w w:val="105"/>
          <w:sz w:val="21"/>
        </w:rPr>
        <w:t>comprises</w:t>
      </w:r>
      <w:r>
        <w:rPr>
          <w:color w:val="0C0C0C"/>
          <w:spacing w:val="-2"/>
          <w:w w:val="105"/>
          <w:sz w:val="21"/>
        </w:rPr>
        <w:t> </w:t>
      </w:r>
      <w:r>
        <w:rPr>
          <w:color w:val="333333"/>
          <w:w w:val="105"/>
          <w:sz w:val="21"/>
        </w:rPr>
        <w:t>the</w:t>
      </w:r>
      <w:r>
        <w:rPr>
          <w:color w:val="333333"/>
          <w:spacing w:val="-15"/>
          <w:w w:val="105"/>
          <w:sz w:val="21"/>
        </w:rPr>
        <w:t> </w:t>
      </w:r>
      <w:r>
        <w:rPr>
          <w:color w:val="0C0C0C"/>
          <w:w w:val="105"/>
          <w:sz w:val="21"/>
        </w:rPr>
        <w:t>arrangements put</w:t>
      </w:r>
      <w:r>
        <w:rPr>
          <w:color w:val="0C0C0C"/>
          <w:spacing w:val="-10"/>
          <w:w w:val="105"/>
          <w:sz w:val="21"/>
        </w:rPr>
        <w:t> </w:t>
      </w:r>
      <w:r>
        <w:rPr>
          <w:color w:val="0C0C0C"/>
          <w:w w:val="105"/>
          <w:sz w:val="21"/>
        </w:rPr>
        <w:t>in </w:t>
      </w:r>
      <w:r>
        <w:rPr>
          <w:color w:val="1C1C1C"/>
          <w:w w:val="105"/>
          <w:sz w:val="21"/>
        </w:rPr>
        <w:t>place to</w:t>
      </w:r>
      <w:r>
        <w:rPr>
          <w:color w:val="1C1C1C"/>
          <w:spacing w:val="-6"/>
          <w:w w:val="105"/>
          <w:sz w:val="21"/>
        </w:rPr>
        <w:t> </w:t>
      </w:r>
      <w:r>
        <w:rPr>
          <w:color w:val="1C1C1C"/>
          <w:w w:val="105"/>
          <w:sz w:val="21"/>
        </w:rPr>
        <w:t>ensure that the intended outcomes for</w:t>
      </w:r>
      <w:r>
        <w:rPr>
          <w:color w:val="1C1C1C"/>
          <w:spacing w:val="-6"/>
          <w:w w:val="105"/>
          <w:sz w:val="21"/>
        </w:rPr>
        <w:t> </w:t>
      </w:r>
      <w:r>
        <w:rPr>
          <w:color w:val="1C1C1C"/>
          <w:w w:val="105"/>
          <w:sz w:val="21"/>
        </w:rPr>
        <w:t>stakeholders </w:t>
      </w:r>
      <w:r>
        <w:rPr>
          <w:color w:val="0C0C0C"/>
          <w:w w:val="105"/>
          <w:sz w:val="21"/>
        </w:rPr>
        <w:t>are defined and</w:t>
      </w:r>
      <w:r>
        <w:rPr>
          <w:color w:val="0C0C0C"/>
          <w:spacing w:val="-1"/>
          <w:w w:val="105"/>
          <w:sz w:val="21"/>
        </w:rPr>
        <w:t> </w:t>
      </w:r>
      <w:r>
        <w:rPr>
          <w:color w:val="0C0C0C"/>
          <w:w w:val="105"/>
          <w:sz w:val="21"/>
        </w:rPr>
        <w:t>achieved."</w:t>
      </w:r>
    </w:p>
    <w:p>
      <w:pPr>
        <w:pStyle w:val="BodyText"/>
        <w:spacing w:before="12"/>
        <w:rPr>
          <w:sz w:val="21"/>
        </w:rPr>
      </w:pPr>
    </w:p>
    <w:p>
      <w:pPr>
        <w:pStyle w:val="ListParagraph"/>
        <w:numPr>
          <w:ilvl w:val="0"/>
          <w:numId w:val="29"/>
        </w:numPr>
        <w:tabs>
          <w:tab w:val="left" w:leader="none" w:pos="812"/>
          <w:tab w:val="left" w:leader="none" w:pos="814"/>
        </w:tabs>
        <w:spacing w:before="0" w:after="0" w:line="252" w:lineRule="auto"/>
        <w:ind w:left="812" w:right="455" w:hanging="706"/>
        <w:jc w:val="left"/>
        <w:rPr>
          <w:color w:val="0C0C0C"/>
          <w:sz w:val="21"/>
        </w:rPr>
      </w:pPr>
      <w:r>
        <w:rPr>
          <w:color w:val="4F4F4F"/>
          <w:sz w:val="21"/>
        </w:rPr>
        <w:tab/>
      </w:r>
      <w:r>
        <w:rPr>
          <w:color w:val="0C0C0C"/>
          <w:w w:val="105"/>
          <w:sz w:val="21"/>
        </w:rPr>
        <w:t>The</w:t>
      </w:r>
      <w:r>
        <w:rPr>
          <w:color w:val="0C0C0C"/>
          <w:spacing w:val="-14"/>
          <w:w w:val="105"/>
          <w:sz w:val="21"/>
        </w:rPr>
        <w:t> </w:t>
      </w:r>
      <w:r>
        <w:rPr>
          <w:color w:val="0C0C0C"/>
          <w:w w:val="105"/>
          <w:sz w:val="21"/>
        </w:rPr>
        <w:t>International Framework also</w:t>
      </w:r>
      <w:r>
        <w:rPr>
          <w:color w:val="0C0C0C"/>
          <w:spacing w:val="-3"/>
          <w:w w:val="105"/>
          <w:sz w:val="21"/>
        </w:rPr>
        <w:t> </w:t>
      </w:r>
      <w:r>
        <w:rPr>
          <w:color w:val="0C0C0C"/>
          <w:w w:val="105"/>
          <w:sz w:val="21"/>
        </w:rPr>
        <w:t>states</w:t>
      </w:r>
      <w:r>
        <w:rPr>
          <w:color w:val="0C0C0C"/>
          <w:spacing w:val="-6"/>
          <w:w w:val="105"/>
          <w:sz w:val="21"/>
        </w:rPr>
        <w:t> </w:t>
      </w:r>
      <w:r>
        <w:rPr>
          <w:color w:val="0C0C0C"/>
          <w:w w:val="105"/>
          <w:sz w:val="21"/>
        </w:rPr>
        <w:t>that</w:t>
      </w:r>
      <w:r>
        <w:rPr>
          <w:color w:val="0C0C0C"/>
          <w:spacing w:val="-8"/>
          <w:w w:val="105"/>
          <w:sz w:val="21"/>
        </w:rPr>
        <w:t> </w:t>
      </w:r>
      <w:r>
        <w:rPr>
          <w:color w:val="0C0C0C"/>
          <w:w w:val="105"/>
          <w:sz w:val="21"/>
        </w:rPr>
        <w:t>"To</w:t>
      </w:r>
      <w:r>
        <w:rPr>
          <w:color w:val="0C0C0C"/>
          <w:spacing w:val="-13"/>
          <w:w w:val="105"/>
          <w:sz w:val="21"/>
        </w:rPr>
        <w:t> </w:t>
      </w:r>
      <w:r>
        <w:rPr>
          <w:color w:val="0C0C0C"/>
          <w:w w:val="105"/>
          <w:sz w:val="21"/>
        </w:rPr>
        <w:t>deliver good</w:t>
      </w:r>
      <w:r>
        <w:rPr>
          <w:color w:val="0C0C0C"/>
          <w:spacing w:val="-16"/>
          <w:w w:val="105"/>
          <w:sz w:val="21"/>
        </w:rPr>
        <w:t> </w:t>
      </w:r>
      <w:r>
        <w:rPr>
          <w:color w:val="0C0C0C"/>
          <w:w w:val="105"/>
          <w:sz w:val="21"/>
        </w:rPr>
        <w:t>governance in</w:t>
      </w:r>
      <w:r>
        <w:rPr>
          <w:color w:val="0C0C0C"/>
          <w:spacing w:val="-9"/>
          <w:w w:val="105"/>
          <w:sz w:val="21"/>
        </w:rPr>
        <w:t> </w:t>
      </w:r>
      <w:r>
        <w:rPr>
          <w:color w:val="0C0C0C"/>
          <w:w w:val="105"/>
          <w:sz w:val="21"/>
        </w:rPr>
        <w:t>the</w:t>
      </w:r>
      <w:r>
        <w:rPr>
          <w:color w:val="0C0C0C"/>
          <w:spacing w:val="-8"/>
          <w:w w:val="105"/>
          <w:sz w:val="21"/>
        </w:rPr>
        <w:t> </w:t>
      </w:r>
      <w:r>
        <w:rPr>
          <w:color w:val="0C0C0C"/>
          <w:w w:val="105"/>
          <w:sz w:val="21"/>
        </w:rPr>
        <w:t>public</w:t>
      </w:r>
      <w:r>
        <w:rPr>
          <w:color w:val="0C0C0C"/>
          <w:spacing w:val="-2"/>
          <w:w w:val="105"/>
          <w:sz w:val="21"/>
        </w:rPr>
        <w:t> </w:t>
      </w:r>
      <w:r>
        <w:rPr>
          <w:color w:val="0C0C0C"/>
          <w:w w:val="105"/>
          <w:sz w:val="21"/>
        </w:rPr>
        <w:t>sector,</w:t>
      </w:r>
      <w:r>
        <w:rPr>
          <w:color w:val="0C0C0C"/>
          <w:spacing w:val="-7"/>
          <w:w w:val="105"/>
          <w:sz w:val="21"/>
        </w:rPr>
        <w:t> </w:t>
      </w:r>
      <w:r>
        <w:rPr>
          <w:color w:val="0C0C0C"/>
          <w:w w:val="105"/>
          <w:sz w:val="21"/>
        </w:rPr>
        <w:t>both governing </w:t>
      </w:r>
      <w:r>
        <w:rPr>
          <w:color w:val="1C1C1C"/>
          <w:w w:val="105"/>
          <w:sz w:val="21"/>
        </w:rPr>
        <w:t>bodies and</w:t>
      </w:r>
      <w:r>
        <w:rPr>
          <w:color w:val="1C1C1C"/>
          <w:spacing w:val="-12"/>
          <w:w w:val="105"/>
          <w:sz w:val="21"/>
        </w:rPr>
        <w:t> </w:t>
      </w:r>
      <w:r>
        <w:rPr>
          <w:color w:val="0C0C0C"/>
          <w:w w:val="105"/>
          <w:sz w:val="21"/>
        </w:rPr>
        <w:t>individuals working for</w:t>
      </w:r>
      <w:r>
        <w:rPr>
          <w:color w:val="0C0C0C"/>
          <w:spacing w:val="-4"/>
          <w:w w:val="105"/>
          <w:sz w:val="21"/>
        </w:rPr>
        <w:t> </w:t>
      </w:r>
      <w:r>
        <w:rPr>
          <w:color w:val="0C0C0C"/>
          <w:w w:val="105"/>
          <w:sz w:val="21"/>
        </w:rPr>
        <w:t>public </w:t>
      </w:r>
      <w:r>
        <w:rPr>
          <w:color w:val="1C1C1C"/>
          <w:w w:val="105"/>
          <w:sz w:val="21"/>
        </w:rPr>
        <w:t>sector entities must</w:t>
      </w:r>
      <w:r>
        <w:rPr>
          <w:color w:val="1C1C1C"/>
          <w:spacing w:val="-5"/>
          <w:w w:val="105"/>
          <w:sz w:val="21"/>
        </w:rPr>
        <w:t> </w:t>
      </w:r>
      <w:r>
        <w:rPr>
          <w:color w:val="1C1C1C"/>
          <w:w w:val="105"/>
          <w:sz w:val="21"/>
        </w:rPr>
        <w:t>try </w:t>
      </w:r>
      <w:r>
        <w:rPr>
          <w:color w:val="333333"/>
          <w:w w:val="105"/>
          <w:sz w:val="21"/>
        </w:rPr>
        <w:t>to</w:t>
      </w:r>
      <w:r>
        <w:rPr>
          <w:color w:val="333333"/>
          <w:spacing w:val="-1"/>
          <w:w w:val="105"/>
          <w:sz w:val="21"/>
        </w:rPr>
        <w:t> </w:t>
      </w:r>
      <w:r>
        <w:rPr>
          <w:color w:val="1C1C1C"/>
          <w:w w:val="105"/>
          <w:sz w:val="21"/>
        </w:rPr>
        <w:t>achieve their entity</w:t>
      </w:r>
      <w:r>
        <w:rPr>
          <w:color w:val="4F4F4F"/>
          <w:w w:val="105"/>
          <w:sz w:val="21"/>
        </w:rPr>
        <w:t>'</w:t>
      </w:r>
      <w:r>
        <w:rPr>
          <w:color w:val="1C1C1C"/>
          <w:w w:val="105"/>
          <w:sz w:val="21"/>
        </w:rPr>
        <w:t>s </w:t>
      </w:r>
      <w:r>
        <w:rPr>
          <w:color w:val="0C0C0C"/>
          <w:w w:val="105"/>
          <w:sz w:val="21"/>
        </w:rPr>
        <w:t>objectives </w:t>
      </w:r>
      <w:r>
        <w:rPr>
          <w:color w:val="1C1C1C"/>
          <w:w w:val="105"/>
          <w:sz w:val="21"/>
        </w:rPr>
        <w:t>while </w:t>
      </w:r>
      <w:r>
        <w:rPr>
          <w:color w:val="0C0C0C"/>
          <w:w w:val="105"/>
          <w:sz w:val="21"/>
        </w:rPr>
        <w:t>acting</w:t>
      </w:r>
      <w:r>
        <w:rPr>
          <w:color w:val="0C0C0C"/>
          <w:spacing w:val="-5"/>
          <w:w w:val="105"/>
          <w:sz w:val="21"/>
        </w:rPr>
        <w:t> </w:t>
      </w:r>
      <w:r>
        <w:rPr>
          <w:color w:val="0C0C0C"/>
          <w:w w:val="105"/>
          <w:sz w:val="21"/>
        </w:rPr>
        <w:t>in</w:t>
      </w:r>
      <w:r>
        <w:rPr>
          <w:color w:val="0C0C0C"/>
          <w:spacing w:val="-9"/>
          <w:w w:val="105"/>
          <w:sz w:val="21"/>
        </w:rPr>
        <w:t> </w:t>
      </w:r>
      <w:r>
        <w:rPr>
          <w:color w:val="0C0C0C"/>
          <w:w w:val="105"/>
          <w:sz w:val="21"/>
        </w:rPr>
        <w:t>the</w:t>
      </w:r>
      <w:r>
        <w:rPr>
          <w:color w:val="0C0C0C"/>
          <w:spacing w:val="-9"/>
          <w:w w:val="105"/>
          <w:sz w:val="21"/>
        </w:rPr>
        <w:t> </w:t>
      </w:r>
      <w:r>
        <w:rPr>
          <w:color w:val="0C0C0C"/>
          <w:w w:val="105"/>
          <w:sz w:val="21"/>
        </w:rPr>
        <w:t>public</w:t>
      </w:r>
      <w:r>
        <w:rPr>
          <w:color w:val="0C0C0C"/>
          <w:spacing w:val="-2"/>
          <w:w w:val="105"/>
          <w:sz w:val="21"/>
        </w:rPr>
        <w:t> </w:t>
      </w:r>
      <w:r>
        <w:rPr>
          <w:color w:val="0C0C0C"/>
          <w:w w:val="105"/>
          <w:sz w:val="21"/>
        </w:rPr>
        <w:t>interest at</w:t>
      </w:r>
      <w:r>
        <w:rPr>
          <w:color w:val="0C0C0C"/>
          <w:spacing w:val="-4"/>
          <w:w w:val="105"/>
          <w:sz w:val="21"/>
        </w:rPr>
        <w:t> </w:t>
      </w:r>
      <w:r>
        <w:rPr>
          <w:color w:val="0C0C0C"/>
          <w:w w:val="105"/>
          <w:sz w:val="21"/>
        </w:rPr>
        <w:t>all</w:t>
      </w:r>
      <w:r>
        <w:rPr>
          <w:color w:val="0C0C0C"/>
          <w:spacing w:val="-6"/>
          <w:w w:val="105"/>
          <w:sz w:val="21"/>
        </w:rPr>
        <w:t> </w:t>
      </w:r>
      <w:r>
        <w:rPr>
          <w:color w:val="1C1C1C"/>
          <w:w w:val="105"/>
          <w:sz w:val="21"/>
        </w:rPr>
        <w:t>times</w:t>
      </w:r>
      <w:r>
        <w:rPr>
          <w:color w:val="4F4F4F"/>
          <w:w w:val="105"/>
          <w:sz w:val="21"/>
        </w:rPr>
        <w:t>.</w:t>
      </w:r>
      <w:r>
        <w:rPr>
          <w:color w:val="4F4F4F"/>
          <w:spacing w:val="-15"/>
          <w:w w:val="105"/>
          <w:sz w:val="21"/>
        </w:rPr>
        <w:t> </w:t>
      </w:r>
      <w:r>
        <w:rPr>
          <w:color w:val="1C1C1C"/>
          <w:w w:val="105"/>
          <w:sz w:val="21"/>
        </w:rPr>
        <w:t>Acting in</w:t>
      </w:r>
      <w:r>
        <w:rPr>
          <w:color w:val="1C1C1C"/>
          <w:spacing w:val="-6"/>
          <w:w w:val="105"/>
          <w:sz w:val="21"/>
        </w:rPr>
        <w:t> </w:t>
      </w:r>
      <w:r>
        <w:rPr>
          <w:color w:val="1C1C1C"/>
          <w:w w:val="105"/>
          <w:sz w:val="21"/>
        </w:rPr>
        <w:t>the</w:t>
      </w:r>
      <w:r>
        <w:rPr>
          <w:color w:val="1C1C1C"/>
          <w:spacing w:val="-9"/>
          <w:w w:val="105"/>
          <w:sz w:val="21"/>
        </w:rPr>
        <w:t> </w:t>
      </w:r>
      <w:r>
        <w:rPr>
          <w:color w:val="1C1C1C"/>
          <w:w w:val="105"/>
          <w:sz w:val="21"/>
        </w:rPr>
        <w:t>public interest implies primary </w:t>
      </w:r>
      <w:r>
        <w:rPr>
          <w:color w:val="0C0C0C"/>
          <w:w w:val="105"/>
          <w:sz w:val="21"/>
        </w:rPr>
        <w:t>consideration of</w:t>
      </w:r>
      <w:r>
        <w:rPr>
          <w:color w:val="0C0C0C"/>
          <w:spacing w:val="-1"/>
          <w:w w:val="105"/>
          <w:sz w:val="21"/>
        </w:rPr>
        <w:t> </w:t>
      </w:r>
      <w:r>
        <w:rPr>
          <w:color w:val="0C0C0C"/>
          <w:w w:val="105"/>
          <w:sz w:val="21"/>
        </w:rPr>
        <w:t>the</w:t>
      </w:r>
      <w:r>
        <w:rPr>
          <w:color w:val="0C0C0C"/>
          <w:spacing w:val="-1"/>
          <w:w w:val="105"/>
          <w:sz w:val="21"/>
        </w:rPr>
        <w:t> </w:t>
      </w:r>
      <w:r>
        <w:rPr>
          <w:color w:val="0C0C0C"/>
          <w:w w:val="105"/>
          <w:sz w:val="21"/>
        </w:rPr>
        <w:t>benefits for</w:t>
      </w:r>
      <w:r>
        <w:rPr>
          <w:color w:val="0C0C0C"/>
          <w:spacing w:val="-2"/>
          <w:w w:val="105"/>
          <w:sz w:val="21"/>
        </w:rPr>
        <w:t> </w:t>
      </w:r>
      <w:r>
        <w:rPr>
          <w:color w:val="0C0C0C"/>
          <w:w w:val="105"/>
          <w:sz w:val="21"/>
        </w:rPr>
        <w:t>society, which should </w:t>
      </w:r>
      <w:r>
        <w:rPr>
          <w:color w:val="1C1C1C"/>
          <w:w w:val="105"/>
          <w:sz w:val="21"/>
        </w:rPr>
        <w:t>result</w:t>
      </w:r>
      <w:r>
        <w:rPr>
          <w:color w:val="1C1C1C"/>
          <w:spacing w:val="-5"/>
          <w:w w:val="105"/>
          <w:sz w:val="21"/>
        </w:rPr>
        <w:t> </w:t>
      </w:r>
      <w:r>
        <w:rPr>
          <w:color w:val="0C0C0C"/>
          <w:w w:val="105"/>
          <w:sz w:val="21"/>
        </w:rPr>
        <w:t>in </w:t>
      </w:r>
      <w:r>
        <w:rPr>
          <w:color w:val="1C1C1C"/>
          <w:w w:val="105"/>
          <w:sz w:val="21"/>
        </w:rPr>
        <w:t>positive outcomes for service users </w:t>
      </w:r>
      <w:r>
        <w:rPr>
          <w:color w:val="0C0C0C"/>
          <w:w w:val="105"/>
          <w:sz w:val="21"/>
        </w:rPr>
        <w:t>and other stakeholders."</w:t>
      </w:r>
    </w:p>
    <w:p>
      <w:pPr>
        <w:pStyle w:val="BodyText"/>
        <w:spacing w:before="14"/>
        <w:rPr>
          <w:sz w:val="21"/>
        </w:rPr>
      </w:pPr>
    </w:p>
    <w:p>
      <w:pPr>
        <w:pStyle w:val="ListParagraph"/>
        <w:numPr>
          <w:ilvl w:val="0"/>
          <w:numId w:val="29"/>
        </w:numPr>
        <w:tabs>
          <w:tab w:val="left" w:leader="none" w:pos="815"/>
          <w:tab w:val="left" w:leader="none" w:pos="818"/>
        </w:tabs>
        <w:spacing w:before="0" w:after="0" w:line="256" w:lineRule="auto"/>
        <w:ind w:left="815" w:right="393" w:hanging="702"/>
        <w:jc w:val="left"/>
        <w:rPr>
          <w:color w:val="0C0C0C"/>
          <w:sz w:val="21"/>
        </w:rPr>
      </w:pPr>
      <w:r>
        <w:rPr>
          <w:color w:val="4F4F4F"/>
          <w:sz w:val="21"/>
        </w:rPr>
        <w:tab/>
      </w:r>
      <w:r>
        <w:rPr>
          <w:color w:val="0C0C0C"/>
          <w:w w:val="105"/>
          <w:sz w:val="21"/>
        </w:rPr>
        <w:t>Local</w:t>
      </w:r>
      <w:r>
        <w:rPr>
          <w:color w:val="0C0C0C"/>
          <w:spacing w:val="-5"/>
          <w:w w:val="105"/>
          <w:sz w:val="21"/>
        </w:rPr>
        <w:t> </w:t>
      </w:r>
      <w:r>
        <w:rPr>
          <w:color w:val="0C0C0C"/>
          <w:w w:val="105"/>
          <w:sz w:val="21"/>
        </w:rPr>
        <w:t>authorities are</w:t>
      </w:r>
      <w:r>
        <w:rPr>
          <w:color w:val="0C0C0C"/>
          <w:spacing w:val="-6"/>
          <w:w w:val="105"/>
          <w:sz w:val="21"/>
        </w:rPr>
        <w:t> </w:t>
      </w:r>
      <w:r>
        <w:rPr>
          <w:color w:val="0C0C0C"/>
          <w:w w:val="105"/>
          <w:sz w:val="21"/>
        </w:rPr>
        <w:t>required to</w:t>
      </w:r>
      <w:r>
        <w:rPr>
          <w:color w:val="0C0C0C"/>
          <w:spacing w:val="-8"/>
          <w:w w:val="105"/>
          <w:sz w:val="21"/>
        </w:rPr>
        <w:t> </w:t>
      </w:r>
      <w:r>
        <w:rPr>
          <w:color w:val="0C0C0C"/>
          <w:w w:val="105"/>
          <w:sz w:val="21"/>
        </w:rPr>
        <w:t>prepare an</w:t>
      </w:r>
      <w:r>
        <w:rPr>
          <w:color w:val="0C0C0C"/>
          <w:spacing w:val="-5"/>
          <w:w w:val="105"/>
          <w:sz w:val="21"/>
        </w:rPr>
        <w:t> </w:t>
      </w:r>
      <w:r>
        <w:rPr>
          <w:color w:val="0C0C0C"/>
          <w:w w:val="105"/>
          <w:sz w:val="21"/>
        </w:rPr>
        <w:t>annual governance statement in</w:t>
      </w:r>
      <w:r>
        <w:rPr>
          <w:color w:val="0C0C0C"/>
          <w:spacing w:val="-6"/>
          <w:w w:val="105"/>
          <w:sz w:val="21"/>
        </w:rPr>
        <w:t> </w:t>
      </w:r>
      <w:r>
        <w:rPr>
          <w:color w:val="0C0C0C"/>
          <w:w w:val="105"/>
          <w:sz w:val="21"/>
        </w:rPr>
        <w:t>order</w:t>
      </w:r>
      <w:r>
        <w:rPr>
          <w:color w:val="0C0C0C"/>
          <w:spacing w:val="-2"/>
          <w:w w:val="105"/>
          <w:sz w:val="21"/>
        </w:rPr>
        <w:t> </w:t>
      </w:r>
      <w:r>
        <w:rPr>
          <w:color w:val="0C0C0C"/>
          <w:w w:val="105"/>
          <w:sz w:val="21"/>
        </w:rPr>
        <w:t>to</w:t>
      </w:r>
      <w:r>
        <w:rPr>
          <w:color w:val="0C0C0C"/>
          <w:spacing w:val="-8"/>
          <w:w w:val="105"/>
          <w:sz w:val="21"/>
        </w:rPr>
        <w:t> </w:t>
      </w:r>
      <w:r>
        <w:rPr>
          <w:color w:val="0C0C0C"/>
          <w:w w:val="105"/>
          <w:sz w:val="21"/>
        </w:rPr>
        <w:t>report publicly on</w:t>
      </w:r>
      <w:r>
        <w:rPr>
          <w:color w:val="0C0C0C"/>
          <w:spacing w:val="-6"/>
          <w:w w:val="105"/>
          <w:sz w:val="21"/>
        </w:rPr>
        <w:t> </w:t>
      </w:r>
      <w:r>
        <w:rPr>
          <w:color w:val="0C0C0C"/>
          <w:w w:val="105"/>
          <w:sz w:val="21"/>
        </w:rPr>
        <w:t>the</w:t>
      </w:r>
      <w:r>
        <w:rPr>
          <w:color w:val="0C0C0C"/>
          <w:spacing w:val="-5"/>
          <w:w w:val="105"/>
          <w:sz w:val="21"/>
        </w:rPr>
        <w:t> </w:t>
      </w:r>
      <w:r>
        <w:rPr>
          <w:color w:val="0C0C0C"/>
          <w:w w:val="105"/>
          <w:sz w:val="21"/>
        </w:rPr>
        <w:t>extent to</w:t>
      </w:r>
      <w:r>
        <w:rPr>
          <w:color w:val="0C0C0C"/>
          <w:spacing w:val="-2"/>
          <w:w w:val="105"/>
          <w:sz w:val="21"/>
        </w:rPr>
        <w:t> </w:t>
      </w:r>
      <w:r>
        <w:rPr>
          <w:color w:val="0C0C0C"/>
          <w:w w:val="105"/>
          <w:sz w:val="21"/>
        </w:rPr>
        <w:t>which they comply with their own local code of</w:t>
      </w:r>
      <w:r>
        <w:rPr>
          <w:color w:val="0C0C0C"/>
          <w:spacing w:val="-2"/>
          <w:w w:val="105"/>
          <w:sz w:val="21"/>
        </w:rPr>
        <w:t> </w:t>
      </w:r>
      <w:r>
        <w:rPr>
          <w:color w:val="0C0C0C"/>
          <w:w w:val="105"/>
          <w:sz w:val="21"/>
        </w:rPr>
        <w:t>governance ('local code' essentially refers to the governance structure), which </w:t>
      </w:r>
      <w:r>
        <w:rPr>
          <w:color w:val="1C1C1C"/>
          <w:w w:val="105"/>
          <w:sz w:val="21"/>
        </w:rPr>
        <w:t>in</w:t>
      </w:r>
      <w:r>
        <w:rPr>
          <w:color w:val="1C1C1C"/>
          <w:spacing w:val="-2"/>
          <w:w w:val="105"/>
          <w:sz w:val="21"/>
        </w:rPr>
        <w:t> </w:t>
      </w:r>
      <w:r>
        <w:rPr>
          <w:color w:val="0C0C0C"/>
          <w:w w:val="105"/>
          <w:sz w:val="21"/>
        </w:rPr>
        <w:t>turn</w:t>
      </w:r>
      <w:r>
        <w:rPr>
          <w:color w:val="0C0C0C"/>
          <w:spacing w:val="-6"/>
          <w:w w:val="105"/>
          <w:sz w:val="21"/>
        </w:rPr>
        <w:t> </w:t>
      </w:r>
      <w:r>
        <w:rPr>
          <w:color w:val="0C0C0C"/>
          <w:w w:val="105"/>
          <w:sz w:val="21"/>
        </w:rPr>
        <w:t>is consistent with</w:t>
      </w:r>
      <w:r>
        <w:rPr>
          <w:color w:val="0C0C0C"/>
          <w:spacing w:val="-4"/>
          <w:w w:val="105"/>
          <w:sz w:val="21"/>
        </w:rPr>
        <w:t> </w:t>
      </w:r>
      <w:r>
        <w:rPr>
          <w:color w:val="0C0C0C"/>
          <w:w w:val="105"/>
          <w:sz w:val="21"/>
        </w:rPr>
        <w:t>the</w:t>
      </w:r>
      <w:r>
        <w:rPr>
          <w:color w:val="0C0C0C"/>
          <w:spacing w:val="-3"/>
          <w:w w:val="105"/>
          <w:sz w:val="21"/>
        </w:rPr>
        <w:t> </w:t>
      </w:r>
      <w:r>
        <w:rPr>
          <w:color w:val="0C0C0C"/>
          <w:w w:val="105"/>
          <w:sz w:val="21"/>
        </w:rPr>
        <w:t>good</w:t>
      </w:r>
      <w:r>
        <w:rPr>
          <w:color w:val="0C0C0C"/>
          <w:spacing w:val="-3"/>
          <w:w w:val="105"/>
          <w:sz w:val="21"/>
        </w:rPr>
        <w:t> </w:t>
      </w:r>
      <w:r>
        <w:rPr>
          <w:color w:val="0C0C0C"/>
          <w:w w:val="105"/>
          <w:sz w:val="21"/>
        </w:rPr>
        <w:t>governance principles in</w:t>
      </w:r>
      <w:r>
        <w:rPr>
          <w:color w:val="0C0C0C"/>
          <w:spacing w:val="-5"/>
          <w:w w:val="105"/>
          <w:sz w:val="21"/>
        </w:rPr>
        <w:t> </w:t>
      </w:r>
      <w:r>
        <w:rPr>
          <w:color w:val="0C0C0C"/>
          <w:w w:val="105"/>
          <w:sz w:val="21"/>
        </w:rPr>
        <w:t>the Framework 2016. This </w:t>
      </w:r>
      <w:r>
        <w:rPr>
          <w:color w:val="1C1C1C"/>
          <w:w w:val="105"/>
          <w:sz w:val="21"/>
        </w:rPr>
        <w:t>includes </w:t>
      </w:r>
      <w:r>
        <w:rPr>
          <w:color w:val="0C0C0C"/>
          <w:w w:val="105"/>
          <w:sz w:val="21"/>
        </w:rPr>
        <w:t>how they </w:t>
      </w:r>
      <w:r>
        <w:rPr>
          <w:color w:val="1C1C1C"/>
          <w:w w:val="105"/>
          <w:sz w:val="21"/>
        </w:rPr>
        <w:t>have </w:t>
      </w:r>
      <w:r>
        <w:rPr>
          <w:color w:val="0C0C0C"/>
          <w:w w:val="105"/>
          <w:sz w:val="21"/>
        </w:rPr>
        <w:t>monitored</w:t>
      </w:r>
      <w:r>
        <w:rPr>
          <w:color w:val="0C0C0C"/>
          <w:spacing w:val="-2"/>
          <w:w w:val="105"/>
          <w:sz w:val="21"/>
        </w:rPr>
        <w:t> </w:t>
      </w:r>
      <w:r>
        <w:rPr>
          <w:color w:val="0C0C0C"/>
          <w:w w:val="105"/>
          <w:sz w:val="21"/>
        </w:rPr>
        <w:t>and</w:t>
      </w:r>
      <w:r>
        <w:rPr>
          <w:color w:val="0C0C0C"/>
          <w:spacing w:val="-1"/>
          <w:w w:val="105"/>
          <w:sz w:val="21"/>
        </w:rPr>
        <w:t> </w:t>
      </w:r>
      <w:r>
        <w:rPr>
          <w:color w:val="1C1C1C"/>
          <w:w w:val="105"/>
          <w:sz w:val="21"/>
        </w:rPr>
        <w:t>evaluated </w:t>
      </w:r>
      <w:r>
        <w:rPr>
          <w:color w:val="0C0C0C"/>
          <w:w w:val="105"/>
          <w:sz w:val="21"/>
        </w:rPr>
        <w:t>the effectiveness of their governance arrangements in</w:t>
      </w:r>
      <w:r>
        <w:rPr>
          <w:color w:val="0C0C0C"/>
          <w:spacing w:val="-4"/>
          <w:w w:val="105"/>
          <w:sz w:val="21"/>
        </w:rPr>
        <w:t> </w:t>
      </w:r>
      <w:r>
        <w:rPr>
          <w:color w:val="0C0C0C"/>
          <w:w w:val="105"/>
          <w:sz w:val="21"/>
        </w:rPr>
        <w:t>the</w:t>
      </w:r>
      <w:r>
        <w:rPr>
          <w:color w:val="0C0C0C"/>
          <w:spacing w:val="-3"/>
          <w:w w:val="105"/>
          <w:sz w:val="21"/>
        </w:rPr>
        <w:t> </w:t>
      </w:r>
      <w:r>
        <w:rPr>
          <w:color w:val="0C0C0C"/>
          <w:w w:val="105"/>
          <w:sz w:val="21"/>
        </w:rPr>
        <w:t>year, and </w:t>
      </w:r>
      <w:r>
        <w:rPr>
          <w:color w:val="1C1C1C"/>
          <w:w w:val="105"/>
          <w:sz w:val="21"/>
        </w:rPr>
        <w:t>on</w:t>
      </w:r>
      <w:r>
        <w:rPr>
          <w:color w:val="1C1C1C"/>
          <w:spacing w:val="-10"/>
          <w:w w:val="105"/>
          <w:sz w:val="21"/>
        </w:rPr>
        <w:t> </w:t>
      </w:r>
      <w:r>
        <w:rPr>
          <w:color w:val="1C1C1C"/>
          <w:w w:val="105"/>
          <w:sz w:val="21"/>
        </w:rPr>
        <w:t>any planned </w:t>
      </w:r>
      <w:r>
        <w:rPr>
          <w:color w:val="0C0C0C"/>
          <w:w w:val="105"/>
          <w:sz w:val="21"/>
        </w:rPr>
        <w:t>changes </w:t>
      </w:r>
      <w:r>
        <w:rPr>
          <w:color w:val="1C1C1C"/>
          <w:w w:val="105"/>
          <w:sz w:val="21"/>
        </w:rPr>
        <w:t>in</w:t>
      </w:r>
      <w:r>
        <w:rPr>
          <w:color w:val="1C1C1C"/>
          <w:spacing w:val="-2"/>
          <w:w w:val="105"/>
          <w:sz w:val="21"/>
        </w:rPr>
        <w:t> </w:t>
      </w:r>
      <w:r>
        <w:rPr>
          <w:color w:val="0C0C0C"/>
          <w:w w:val="105"/>
          <w:sz w:val="21"/>
        </w:rPr>
        <w:t>the</w:t>
      </w:r>
      <w:r>
        <w:rPr>
          <w:color w:val="0C0C0C"/>
          <w:spacing w:val="-2"/>
          <w:w w:val="105"/>
          <w:sz w:val="21"/>
        </w:rPr>
        <w:t> </w:t>
      </w:r>
      <w:r>
        <w:rPr>
          <w:color w:val="0C0C0C"/>
          <w:w w:val="105"/>
          <w:sz w:val="21"/>
        </w:rPr>
        <w:t>coming </w:t>
      </w:r>
      <w:r>
        <w:rPr>
          <w:color w:val="1C1C1C"/>
          <w:w w:val="105"/>
          <w:sz w:val="21"/>
        </w:rPr>
        <w:t>period</w:t>
      </w:r>
      <w:r>
        <w:rPr>
          <w:color w:val="4F4F4F"/>
          <w:w w:val="105"/>
          <w:sz w:val="21"/>
        </w:rPr>
        <w:t>.</w:t>
      </w:r>
      <w:r>
        <w:rPr>
          <w:color w:val="4F4F4F"/>
          <w:spacing w:val="-27"/>
          <w:w w:val="105"/>
          <w:sz w:val="21"/>
        </w:rPr>
        <w:t> </w:t>
      </w:r>
      <w:r>
        <w:rPr>
          <w:color w:val="0C0C0C"/>
          <w:w w:val="105"/>
          <w:sz w:val="21"/>
        </w:rPr>
        <w:t>The process of</w:t>
      </w:r>
      <w:r>
        <w:rPr>
          <w:color w:val="0C0C0C"/>
          <w:spacing w:val="-2"/>
          <w:w w:val="105"/>
          <w:sz w:val="21"/>
        </w:rPr>
        <w:t> </w:t>
      </w:r>
      <w:r>
        <w:rPr>
          <w:color w:val="0C0C0C"/>
          <w:w w:val="105"/>
          <w:sz w:val="21"/>
        </w:rPr>
        <w:t>preparing the</w:t>
      </w:r>
      <w:r>
        <w:rPr>
          <w:color w:val="0C0C0C"/>
          <w:spacing w:val="-4"/>
          <w:w w:val="105"/>
          <w:sz w:val="21"/>
        </w:rPr>
        <w:t> </w:t>
      </w:r>
      <w:r>
        <w:rPr>
          <w:color w:val="0C0C0C"/>
          <w:w w:val="105"/>
          <w:sz w:val="21"/>
        </w:rPr>
        <w:t>governance statement should itself add</w:t>
      </w:r>
      <w:r>
        <w:rPr>
          <w:color w:val="0C0C0C"/>
          <w:spacing w:val="-1"/>
          <w:w w:val="105"/>
          <w:sz w:val="21"/>
        </w:rPr>
        <w:t> </w:t>
      </w:r>
      <w:r>
        <w:rPr>
          <w:color w:val="0C0C0C"/>
          <w:w w:val="105"/>
          <w:sz w:val="21"/>
        </w:rPr>
        <w:t>value to</w:t>
      </w:r>
      <w:r>
        <w:rPr>
          <w:color w:val="0C0C0C"/>
          <w:spacing w:val="-2"/>
          <w:w w:val="105"/>
          <w:sz w:val="21"/>
        </w:rPr>
        <w:t> </w:t>
      </w:r>
      <w:r>
        <w:rPr>
          <w:color w:val="0C0C0C"/>
          <w:w w:val="105"/>
          <w:sz w:val="21"/>
        </w:rPr>
        <w:t>the effectiveness of</w:t>
      </w:r>
      <w:r>
        <w:rPr>
          <w:color w:val="0C0C0C"/>
          <w:spacing w:val="-5"/>
          <w:w w:val="105"/>
          <w:sz w:val="21"/>
        </w:rPr>
        <w:t> </w:t>
      </w:r>
      <w:r>
        <w:rPr>
          <w:color w:val="0C0C0C"/>
          <w:w w:val="105"/>
          <w:sz w:val="21"/>
        </w:rPr>
        <w:t>the governance and </w:t>
      </w:r>
      <w:r>
        <w:rPr>
          <w:color w:val="1C1C1C"/>
          <w:w w:val="105"/>
          <w:sz w:val="21"/>
        </w:rPr>
        <w:t>internal </w:t>
      </w:r>
      <w:r>
        <w:rPr>
          <w:color w:val="0C0C0C"/>
          <w:w w:val="105"/>
          <w:sz w:val="21"/>
        </w:rPr>
        <w:t>control framework.</w:t>
      </w:r>
    </w:p>
    <w:p>
      <w:pPr>
        <w:pStyle w:val="BodyText"/>
        <w:spacing w:before="21"/>
        <w:rPr>
          <w:sz w:val="21"/>
        </w:rPr>
      </w:pPr>
    </w:p>
    <w:p>
      <w:pPr>
        <w:pStyle w:val="ListParagraph"/>
        <w:numPr>
          <w:ilvl w:val="0"/>
          <w:numId w:val="29"/>
        </w:numPr>
        <w:tabs>
          <w:tab w:val="left" w:leader="none" w:pos="820"/>
        </w:tabs>
        <w:spacing w:before="0" w:after="0" w:line="252" w:lineRule="auto"/>
        <w:ind w:left="820" w:right="432" w:hanging="707"/>
        <w:jc w:val="left"/>
        <w:rPr>
          <w:color w:val="0C0C0C"/>
          <w:sz w:val="21"/>
        </w:rPr>
      </w:pPr>
      <w:r>
        <w:rPr>
          <w:color w:val="0C0C0C"/>
          <w:w w:val="105"/>
          <w:sz w:val="21"/>
        </w:rPr>
        <w:t>To achieve good</w:t>
      </w:r>
      <w:r>
        <w:rPr>
          <w:color w:val="0C0C0C"/>
          <w:spacing w:val="-7"/>
          <w:w w:val="105"/>
          <w:sz w:val="21"/>
        </w:rPr>
        <w:t> </w:t>
      </w:r>
      <w:r>
        <w:rPr>
          <w:color w:val="0C0C0C"/>
          <w:w w:val="105"/>
          <w:sz w:val="21"/>
        </w:rPr>
        <w:t>governance,</w:t>
      </w:r>
      <w:r>
        <w:rPr>
          <w:color w:val="0C0C0C"/>
          <w:spacing w:val="30"/>
          <w:w w:val="105"/>
          <w:sz w:val="21"/>
        </w:rPr>
        <w:t> </w:t>
      </w:r>
      <w:r>
        <w:rPr>
          <w:color w:val="0C0C0C"/>
          <w:w w:val="105"/>
          <w:sz w:val="21"/>
        </w:rPr>
        <w:t>each local authority should be able</w:t>
      </w:r>
      <w:r>
        <w:rPr>
          <w:color w:val="0C0C0C"/>
          <w:spacing w:val="-2"/>
          <w:w w:val="105"/>
          <w:sz w:val="21"/>
        </w:rPr>
        <w:t> </w:t>
      </w:r>
      <w:r>
        <w:rPr>
          <w:color w:val="0C0C0C"/>
          <w:w w:val="105"/>
          <w:sz w:val="21"/>
        </w:rPr>
        <w:t>to</w:t>
      </w:r>
      <w:r>
        <w:rPr>
          <w:color w:val="0C0C0C"/>
          <w:spacing w:val="-4"/>
          <w:w w:val="105"/>
          <w:sz w:val="21"/>
        </w:rPr>
        <w:t> </w:t>
      </w:r>
      <w:r>
        <w:rPr>
          <w:color w:val="0C0C0C"/>
          <w:w w:val="105"/>
          <w:sz w:val="21"/>
        </w:rPr>
        <w:t>demonstrate that its governance structures comply with</w:t>
      </w:r>
      <w:r>
        <w:rPr>
          <w:color w:val="0C0C0C"/>
          <w:spacing w:val="-9"/>
          <w:w w:val="105"/>
          <w:sz w:val="21"/>
        </w:rPr>
        <w:t> </w:t>
      </w:r>
      <w:r>
        <w:rPr>
          <w:color w:val="0C0C0C"/>
          <w:w w:val="105"/>
          <w:sz w:val="21"/>
        </w:rPr>
        <w:t>the</w:t>
      </w:r>
      <w:r>
        <w:rPr>
          <w:color w:val="0C0C0C"/>
          <w:spacing w:val="-8"/>
          <w:w w:val="105"/>
          <w:sz w:val="21"/>
        </w:rPr>
        <w:t> </w:t>
      </w:r>
      <w:r>
        <w:rPr>
          <w:color w:val="0C0C0C"/>
          <w:w w:val="105"/>
          <w:sz w:val="21"/>
        </w:rPr>
        <w:t>core</w:t>
      </w:r>
      <w:r>
        <w:rPr>
          <w:color w:val="0C0C0C"/>
          <w:spacing w:val="-7"/>
          <w:w w:val="105"/>
          <w:sz w:val="21"/>
        </w:rPr>
        <w:t> </w:t>
      </w:r>
      <w:r>
        <w:rPr>
          <w:color w:val="0C0C0C"/>
          <w:w w:val="105"/>
          <w:sz w:val="21"/>
        </w:rPr>
        <w:t>and</w:t>
      </w:r>
      <w:r>
        <w:rPr>
          <w:color w:val="0C0C0C"/>
          <w:spacing w:val="-13"/>
          <w:w w:val="105"/>
          <w:sz w:val="21"/>
        </w:rPr>
        <w:t> </w:t>
      </w:r>
      <w:r>
        <w:rPr>
          <w:color w:val="0C0C0C"/>
          <w:w w:val="105"/>
          <w:sz w:val="21"/>
        </w:rPr>
        <w:t>sub-principles</w:t>
      </w:r>
      <w:r>
        <w:rPr>
          <w:color w:val="0C0C0C"/>
          <w:spacing w:val="-6"/>
          <w:w w:val="105"/>
          <w:sz w:val="21"/>
        </w:rPr>
        <w:t> </w:t>
      </w:r>
      <w:r>
        <w:rPr>
          <w:color w:val="0C0C0C"/>
          <w:w w:val="105"/>
          <w:sz w:val="21"/>
        </w:rPr>
        <w:t>contained </w:t>
      </w:r>
      <w:r>
        <w:rPr>
          <w:color w:val="1C1C1C"/>
          <w:w w:val="105"/>
          <w:sz w:val="21"/>
        </w:rPr>
        <w:t>in</w:t>
      </w:r>
      <w:r>
        <w:rPr>
          <w:color w:val="1C1C1C"/>
          <w:spacing w:val="-14"/>
          <w:w w:val="105"/>
          <w:sz w:val="21"/>
        </w:rPr>
        <w:t> </w:t>
      </w:r>
      <w:r>
        <w:rPr>
          <w:color w:val="0C0C0C"/>
          <w:w w:val="105"/>
          <w:sz w:val="21"/>
        </w:rPr>
        <w:t>the</w:t>
      </w:r>
      <w:r>
        <w:rPr>
          <w:color w:val="0C0C0C"/>
          <w:spacing w:val="-8"/>
          <w:w w:val="105"/>
          <w:sz w:val="21"/>
        </w:rPr>
        <w:t> </w:t>
      </w:r>
      <w:r>
        <w:rPr>
          <w:color w:val="0C0C0C"/>
          <w:w w:val="105"/>
          <w:sz w:val="21"/>
        </w:rPr>
        <w:t>Framework 2016. It should therefore develop and</w:t>
      </w:r>
      <w:r>
        <w:rPr>
          <w:color w:val="0C0C0C"/>
          <w:spacing w:val="-2"/>
          <w:w w:val="105"/>
          <w:sz w:val="21"/>
        </w:rPr>
        <w:t> </w:t>
      </w:r>
      <w:r>
        <w:rPr>
          <w:color w:val="0C0C0C"/>
          <w:w w:val="105"/>
          <w:sz w:val="21"/>
        </w:rPr>
        <w:t>maintain a</w:t>
      </w:r>
      <w:r>
        <w:rPr>
          <w:color w:val="0C0C0C"/>
          <w:spacing w:val="-5"/>
          <w:w w:val="105"/>
          <w:sz w:val="21"/>
        </w:rPr>
        <w:t> </w:t>
      </w:r>
      <w:r>
        <w:rPr>
          <w:color w:val="0C0C0C"/>
          <w:w w:val="105"/>
          <w:sz w:val="21"/>
        </w:rPr>
        <w:t>local code of</w:t>
      </w:r>
      <w:r>
        <w:rPr>
          <w:color w:val="0C0C0C"/>
          <w:spacing w:val="-4"/>
          <w:w w:val="105"/>
          <w:sz w:val="21"/>
        </w:rPr>
        <w:t> </w:t>
      </w:r>
      <w:r>
        <w:rPr>
          <w:color w:val="0C0C0C"/>
          <w:w w:val="105"/>
          <w:sz w:val="21"/>
        </w:rPr>
        <w:t>governance /</w:t>
      </w:r>
      <w:r>
        <w:rPr>
          <w:color w:val="0C0C0C"/>
          <w:spacing w:val="-4"/>
          <w:w w:val="105"/>
          <w:sz w:val="21"/>
        </w:rPr>
        <w:t> </w:t>
      </w:r>
      <w:r>
        <w:rPr>
          <w:color w:val="0C0C0C"/>
          <w:w w:val="105"/>
          <w:sz w:val="21"/>
        </w:rPr>
        <w:t>governance arrangements reflecting the principles set out.</w:t>
      </w:r>
    </w:p>
    <w:p>
      <w:pPr>
        <w:pStyle w:val="BodyText"/>
        <w:spacing w:before="37"/>
        <w:rPr>
          <w:sz w:val="21"/>
        </w:rPr>
      </w:pPr>
    </w:p>
    <w:p>
      <w:pPr>
        <w:pStyle w:val="ListParagraph"/>
        <w:numPr>
          <w:ilvl w:val="0"/>
          <w:numId w:val="29"/>
        </w:numPr>
        <w:tabs>
          <w:tab w:val="left" w:leader="none" w:pos="819"/>
        </w:tabs>
        <w:spacing w:before="0" w:after="0" w:line="240" w:lineRule="auto"/>
        <w:ind w:left="819" w:right="0" w:hanging="705"/>
        <w:jc w:val="left"/>
        <w:rPr>
          <w:color w:val="0C0C0C"/>
          <w:sz w:val="21"/>
        </w:rPr>
      </w:pPr>
      <w:r>
        <w:rPr>
          <w:color w:val="0C0C0C"/>
          <w:w w:val="105"/>
          <w:sz w:val="21"/>
        </w:rPr>
        <w:t>The</w:t>
      </w:r>
      <w:r>
        <w:rPr>
          <w:color w:val="0C0C0C"/>
          <w:spacing w:val="-7"/>
          <w:w w:val="105"/>
          <w:sz w:val="21"/>
        </w:rPr>
        <w:t> </w:t>
      </w:r>
      <w:r>
        <w:rPr>
          <w:color w:val="0C0C0C"/>
          <w:w w:val="105"/>
          <w:sz w:val="21"/>
        </w:rPr>
        <w:t>seven</w:t>
      </w:r>
      <w:r>
        <w:rPr>
          <w:color w:val="0C0C0C"/>
          <w:spacing w:val="1"/>
          <w:w w:val="105"/>
          <w:sz w:val="21"/>
        </w:rPr>
        <w:t> </w:t>
      </w:r>
      <w:r>
        <w:rPr>
          <w:color w:val="0C0C0C"/>
          <w:w w:val="105"/>
          <w:sz w:val="21"/>
        </w:rPr>
        <w:t>core</w:t>
      </w:r>
      <w:r>
        <w:rPr>
          <w:color w:val="0C0C0C"/>
          <w:spacing w:val="-11"/>
          <w:w w:val="105"/>
          <w:sz w:val="21"/>
        </w:rPr>
        <w:t> </w:t>
      </w:r>
      <w:r>
        <w:rPr>
          <w:color w:val="0C0C0C"/>
          <w:w w:val="105"/>
          <w:sz w:val="21"/>
        </w:rPr>
        <w:t>principles</w:t>
      </w:r>
      <w:r>
        <w:rPr>
          <w:color w:val="0C0C0C"/>
          <w:spacing w:val="6"/>
          <w:w w:val="105"/>
          <w:sz w:val="21"/>
        </w:rPr>
        <w:t> </w:t>
      </w:r>
      <w:r>
        <w:rPr>
          <w:color w:val="0C0C0C"/>
          <w:w w:val="105"/>
          <w:sz w:val="21"/>
        </w:rPr>
        <w:t>in</w:t>
      </w:r>
      <w:r>
        <w:rPr>
          <w:color w:val="0C0C0C"/>
          <w:spacing w:val="-12"/>
          <w:w w:val="105"/>
          <w:sz w:val="21"/>
        </w:rPr>
        <w:t> </w:t>
      </w:r>
      <w:r>
        <w:rPr>
          <w:color w:val="0C0C0C"/>
          <w:w w:val="105"/>
          <w:sz w:val="21"/>
        </w:rPr>
        <w:t>the</w:t>
      </w:r>
      <w:r>
        <w:rPr>
          <w:color w:val="0C0C0C"/>
          <w:spacing w:val="-7"/>
          <w:w w:val="105"/>
          <w:sz w:val="21"/>
        </w:rPr>
        <w:t> </w:t>
      </w:r>
      <w:r>
        <w:rPr>
          <w:color w:val="0C0C0C"/>
          <w:w w:val="105"/>
          <w:sz w:val="21"/>
        </w:rPr>
        <w:t>Framework</w:t>
      </w:r>
      <w:r>
        <w:rPr>
          <w:color w:val="0C0C0C"/>
          <w:spacing w:val="3"/>
          <w:w w:val="105"/>
          <w:sz w:val="21"/>
        </w:rPr>
        <w:t> </w:t>
      </w:r>
      <w:r>
        <w:rPr>
          <w:color w:val="0C0C0C"/>
          <w:w w:val="105"/>
          <w:sz w:val="21"/>
        </w:rPr>
        <w:t>2016</w:t>
      </w:r>
      <w:r>
        <w:rPr>
          <w:color w:val="0C0C0C"/>
          <w:spacing w:val="-3"/>
          <w:w w:val="105"/>
          <w:sz w:val="21"/>
        </w:rPr>
        <w:t> </w:t>
      </w:r>
      <w:r>
        <w:rPr>
          <w:color w:val="0C0C0C"/>
          <w:w w:val="105"/>
          <w:sz w:val="21"/>
        </w:rPr>
        <w:t>are</w:t>
      </w:r>
      <w:r>
        <w:rPr>
          <w:color w:val="0C0C0C"/>
          <w:spacing w:val="-7"/>
          <w:w w:val="105"/>
          <w:sz w:val="21"/>
        </w:rPr>
        <w:t> </w:t>
      </w:r>
      <w:r>
        <w:rPr>
          <w:color w:val="0C0C0C"/>
          <w:w w:val="105"/>
          <w:sz w:val="21"/>
        </w:rPr>
        <w:t>as</w:t>
      </w:r>
      <w:r>
        <w:rPr>
          <w:color w:val="0C0C0C"/>
          <w:spacing w:val="-11"/>
          <w:w w:val="105"/>
          <w:sz w:val="21"/>
        </w:rPr>
        <w:t> </w:t>
      </w:r>
      <w:r>
        <w:rPr>
          <w:color w:val="0C0C0C"/>
          <w:spacing w:val="-2"/>
          <w:w w:val="105"/>
          <w:sz w:val="21"/>
        </w:rPr>
        <w:t>follows:</w:t>
      </w:r>
    </w:p>
    <w:p>
      <w:pPr>
        <w:pStyle w:val="BodyText"/>
        <w:spacing w:before="21"/>
        <w:rPr>
          <w:sz w:val="21"/>
        </w:rPr>
      </w:pPr>
    </w:p>
    <w:p>
      <w:pPr>
        <w:pStyle w:val="ListParagraph"/>
        <w:numPr>
          <w:ilvl w:val="1"/>
          <w:numId w:val="29"/>
        </w:numPr>
        <w:tabs>
          <w:tab w:val="left" w:leader="none" w:pos="1241"/>
          <w:tab w:val="left" w:leader="none" w:pos="1243"/>
        </w:tabs>
        <w:spacing w:before="1" w:after="0" w:line="252" w:lineRule="auto"/>
        <w:ind w:left="1243" w:right="440" w:hanging="422"/>
        <w:jc w:val="left"/>
        <w:rPr>
          <w:color w:val="0C0C0C"/>
          <w:sz w:val="21"/>
        </w:rPr>
      </w:pPr>
      <w:r>
        <w:rPr>
          <w:color w:val="0C0C0C"/>
          <w:w w:val="105"/>
          <w:sz w:val="21"/>
        </w:rPr>
        <w:t>Behaving</w:t>
      </w:r>
      <w:r>
        <w:rPr>
          <w:color w:val="0C0C0C"/>
          <w:spacing w:val="-6"/>
          <w:w w:val="105"/>
          <w:sz w:val="21"/>
        </w:rPr>
        <w:t> </w:t>
      </w:r>
      <w:r>
        <w:rPr>
          <w:color w:val="0C0C0C"/>
          <w:w w:val="105"/>
          <w:sz w:val="21"/>
        </w:rPr>
        <w:t>with</w:t>
      </w:r>
      <w:r>
        <w:rPr>
          <w:color w:val="0C0C0C"/>
          <w:spacing w:val="-14"/>
          <w:w w:val="105"/>
          <w:sz w:val="21"/>
        </w:rPr>
        <w:t> </w:t>
      </w:r>
      <w:r>
        <w:rPr>
          <w:color w:val="0C0C0C"/>
          <w:w w:val="105"/>
          <w:sz w:val="21"/>
        </w:rPr>
        <w:t>integrity,</w:t>
      </w:r>
      <w:r>
        <w:rPr>
          <w:color w:val="0C0C0C"/>
          <w:spacing w:val="-1"/>
          <w:w w:val="105"/>
          <w:sz w:val="21"/>
        </w:rPr>
        <w:t> </w:t>
      </w:r>
      <w:r>
        <w:rPr>
          <w:color w:val="0C0C0C"/>
          <w:w w:val="105"/>
          <w:sz w:val="21"/>
        </w:rPr>
        <w:t>demonstrating strong</w:t>
      </w:r>
      <w:r>
        <w:rPr>
          <w:color w:val="0C0C0C"/>
          <w:spacing w:val="-7"/>
          <w:w w:val="105"/>
          <w:sz w:val="21"/>
        </w:rPr>
        <w:t> </w:t>
      </w:r>
      <w:r>
        <w:rPr>
          <w:color w:val="0C0C0C"/>
          <w:w w:val="105"/>
          <w:sz w:val="21"/>
        </w:rPr>
        <w:t>commitment to</w:t>
      </w:r>
      <w:r>
        <w:rPr>
          <w:color w:val="0C0C0C"/>
          <w:spacing w:val="-11"/>
          <w:w w:val="105"/>
          <w:sz w:val="21"/>
        </w:rPr>
        <w:t> </w:t>
      </w:r>
      <w:r>
        <w:rPr>
          <w:color w:val="0C0C0C"/>
          <w:w w:val="105"/>
          <w:sz w:val="21"/>
        </w:rPr>
        <w:t>ethical</w:t>
      </w:r>
      <w:r>
        <w:rPr>
          <w:color w:val="0C0C0C"/>
          <w:spacing w:val="-4"/>
          <w:w w:val="105"/>
          <w:sz w:val="21"/>
        </w:rPr>
        <w:t> </w:t>
      </w:r>
      <w:r>
        <w:rPr>
          <w:color w:val="0C0C0C"/>
          <w:w w:val="105"/>
          <w:sz w:val="21"/>
        </w:rPr>
        <w:t>values, and</w:t>
      </w:r>
      <w:r>
        <w:rPr>
          <w:color w:val="0C0C0C"/>
          <w:spacing w:val="-15"/>
          <w:w w:val="105"/>
          <w:sz w:val="21"/>
        </w:rPr>
        <w:t> </w:t>
      </w:r>
      <w:r>
        <w:rPr>
          <w:color w:val="0C0C0C"/>
          <w:w w:val="105"/>
          <w:sz w:val="21"/>
        </w:rPr>
        <w:t>respecting</w:t>
      </w:r>
      <w:r>
        <w:rPr>
          <w:color w:val="0C0C0C"/>
          <w:spacing w:val="-3"/>
          <w:w w:val="105"/>
          <w:sz w:val="21"/>
        </w:rPr>
        <w:t> </w:t>
      </w:r>
      <w:r>
        <w:rPr>
          <w:color w:val="0C0C0C"/>
          <w:w w:val="105"/>
          <w:sz w:val="21"/>
        </w:rPr>
        <w:t>the rule of law,</w:t>
      </w:r>
    </w:p>
    <w:p>
      <w:pPr>
        <w:pStyle w:val="ListParagraph"/>
        <w:numPr>
          <w:ilvl w:val="1"/>
          <w:numId w:val="29"/>
        </w:numPr>
        <w:tabs>
          <w:tab w:val="left" w:leader="none" w:pos="1240"/>
        </w:tabs>
        <w:spacing w:before="60" w:after="0" w:line="240" w:lineRule="auto"/>
        <w:ind w:left="1240" w:right="0" w:hanging="420"/>
        <w:jc w:val="left"/>
        <w:rPr>
          <w:color w:val="0C0C0C"/>
          <w:sz w:val="21"/>
        </w:rPr>
      </w:pPr>
      <w:r>
        <w:rPr>
          <w:color w:val="0C0C0C"/>
          <w:w w:val="105"/>
          <w:sz w:val="21"/>
        </w:rPr>
        <w:t>Ensuring</w:t>
      </w:r>
      <w:r>
        <w:rPr>
          <w:color w:val="0C0C0C"/>
          <w:spacing w:val="-11"/>
          <w:w w:val="105"/>
          <w:sz w:val="21"/>
        </w:rPr>
        <w:t> </w:t>
      </w:r>
      <w:r>
        <w:rPr>
          <w:color w:val="0C0C0C"/>
          <w:w w:val="105"/>
          <w:sz w:val="21"/>
        </w:rPr>
        <w:t>openness</w:t>
      </w:r>
      <w:r>
        <w:rPr>
          <w:color w:val="0C0C0C"/>
          <w:spacing w:val="-5"/>
          <w:w w:val="105"/>
          <w:sz w:val="21"/>
        </w:rPr>
        <w:t> </w:t>
      </w:r>
      <w:r>
        <w:rPr>
          <w:color w:val="0C0C0C"/>
          <w:w w:val="105"/>
          <w:sz w:val="21"/>
        </w:rPr>
        <w:t>and</w:t>
      </w:r>
      <w:r>
        <w:rPr>
          <w:color w:val="0C0C0C"/>
          <w:spacing w:val="-16"/>
          <w:w w:val="105"/>
          <w:sz w:val="21"/>
        </w:rPr>
        <w:t> </w:t>
      </w:r>
      <w:r>
        <w:rPr>
          <w:color w:val="0C0C0C"/>
          <w:w w:val="105"/>
          <w:sz w:val="21"/>
        </w:rPr>
        <w:t>comprehensive</w:t>
      </w:r>
      <w:r>
        <w:rPr>
          <w:color w:val="0C0C0C"/>
          <w:spacing w:val="4"/>
          <w:w w:val="105"/>
          <w:sz w:val="21"/>
        </w:rPr>
        <w:t> </w:t>
      </w:r>
      <w:r>
        <w:rPr>
          <w:color w:val="0C0C0C"/>
          <w:w w:val="105"/>
          <w:sz w:val="21"/>
        </w:rPr>
        <w:t>stakeholder</w:t>
      </w:r>
      <w:r>
        <w:rPr>
          <w:color w:val="0C0C0C"/>
          <w:spacing w:val="-5"/>
          <w:w w:val="105"/>
          <w:sz w:val="21"/>
        </w:rPr>
        <w:t> </w:t>
      </w:r>
      <w:r>
        <w:rPr>
          <w:color w:val="0C0C0C"/>
          <w:spacing w:val="-2"/>
          <w:w w:val="105"/>
          <w:sz w:val="21"/>
        </w:rPr>
        <w:t>engagement,</w:t>
      </w:r>
    </w:p>
    <w:p>
      <w:pPr>
        <w:pStyle w:val="ListParagraph"/>
        <w:numPr>
          <w:ilvl w:val="1"/>
          <w:numId w:val="29"/>
        </w:numPr>
        <w:tabs>
          <w:tab w:val="left" w:leader="none" w:pos="1240"/>
        </w:tabs>
        <w:spacing w:before="70" w:after="0" w:line="240" w:lineRule="auto"/>
        <w:ind w:left="1240" w:right="0" w:hanging="420"/>
        <w:jc w:val="left"/>
        <w:rPr>
          <w:color w:val="0C0C0C"/>
          <w:sz w:val="21"/>
        </w:rPr>
      </w:pPr>
      <w:r>
        <w:rPr>
          <w:color w:val="0C0C0C"/>
          <w:w w:val="105"/>
          <w:sz w:val="21"/>
        </w:rPr>
        <w:t>Defining</w:t>
      </w:r>
      <w:r>
        <w:rPr>
          <w:color w:val="0C0C0C"/>
          <w:spacing w:val="-7"/>
          <w:w w:val="105"/>
          <w:sz w:val="21"/>
        </w:rPr>
        <w:t> </w:t>
      </w:r>
      <w:r>
        <w:rPr>
          <w:color w:val="0C0C0C"/>
          <w:w w:val="105"/>
          <w:sz w:val="21"/>
        </w:rPr>
        <w:t>outcomes</w:t>
      </w:r>
      <w:r>
        <w:rPr>
          <w:color w:val="0C0C0C"/>
          <w:spacing w:val="-7"/>
          <w:w w:val="105"/>
          <w:sz w:val="21"/>
        </w:rPr>
        <w:t> </w:t>
      </w:r>
      <w:r>
        <w:rPr>
          <w:color w:val="0C0C0C"/>
          <w:w w:val="105"/>
          <w:sz w:val="21"/>
        </w:rPr>
        <w:t>in</w:t>
      </w:r>
      <w:r>
        <w:rPr>
          <w:color w:val="0C0C0C"/>
          <w:spacing w:val="-11"/>
          <w:w w:val="105"/>
          <w:sz w:val="21"/>
        </w:rPr>
        <w:t> </w:t>
      </w:r>
      <w:r>
        <w:rPr>
          <w:color w:val="0C0C0C"/>
          <w:w w:val="105"/>
          <w:sz w:val="21"/>
        </w:rPr>
        <w:t>terms</w:t>
      </w:r>
      <w:r>
        <w:rPr>
          <w:color w:val="0C0C0C"/>
          <w:spacing w:val="-10"/>
          <w:w w:val="105"/>
          <w:sz w:val="21"/>
        </w:rPr>
        <w:t> </w:t>
      </w:r>
      <w:r>
        <w:rPr>
          <w:color w:val="0C0C0C"/>
          <w:w w:val="105"/>
          <w:sz w:val="21"/>
        </w:rPr>
        <w:t>of</w:t>
      </w:r>
      <w:r>
        <w:rPr>
          <w:color w:val="0C0C0C"/>
          <w:spacing w:val="-11"/>
          <w:w w:val="105"/>
          <w:sz w:val="21"/>
        </w:rPr>
        <w:t> </w:t>
      </w:r>
      <w:r>
        <w:rPr>
          <w:color w:val="0C0C0C"/>
          <w:w w:val="105"/>
          <w:sz w:val="21"/>
        </w:rPr>
        <w:t>sustainable economic,</w:t>
      </w:r>
      <w:r>
        <w:rPr>
          <w:color w:val="0C0C0C"/>
          <w:spacing w:val="1"/>
          <w:w w:val="105"/>
          <w:sz w:val="21"/>
        </w:rPr>
        <w:t> </w:t>
      </w:r>
      <w:r>
        <w:rPr>
          <w:color w:val="0C0C0C"/>
          <w:w w:val="105"/>
          <w:sz w:val="21"/>
        </w:rPr>
        <w:t>social,</w:t>
      </w:r>
      <w:r>
        <w:rPr>
          <w:color w:val="0C0C0C"/>
          <w:spacing w:val="3"/>
          <w:w w:val="105"/>
          <w:sz w:val="21"/>
        </w:rPr>
        <w:t> </w:t>
      </w:r>
      <w:r>
        <w:rPr>
          <w:color w:val="0C0C0C"/>
          <w:w w:val="105"/>
          <w:sz w:val="21"/>
        </w:rPr>
        <w:t>and</w:t>
      </w:r>
      <w:r>
        <w:rPr>
          <w:color w:val="0C0C0C"/>
          <w:spacing w:val="-15"/>
          <w:w w:val="105"/>
          <w:sz w:val="21"/>
        </w:rPr>
        <w:t> </w:t>
      </w:r>
      <w:r>
        <w:rPr>
          <w:color w:val="0C0C0C"/>
          <w:w w:val="105"/>
          <w:sz w:val="21"/>
        </w:rPr>
        <w:t>environmental</w:t>
      </w:r>
      <w:r>
        <w:rPr>
          <w:color w:val="0C0C0C"/>
          <w:spacing w:val="-6"/>
          <w:w w:val="105"/>
          <w:sz w:val="21"/>
        </w:rPr>
        <w:t> </w:t>
      </w:r>
      <w:r>
        <w:rPr>
          <w:color w:val="0C0C0C"/>
          <w:spacing w:val="-2"/>
          <w:w w:val="105"/>
          <w:sz w:val="21"/>
        </w:rPr>
        <w:t>benefits,</w:t>
      </w:r>
    </w:p>
    <w:p>
      <w:pPr>
        <w:pStyle w:val="ListParagraph"/>
        <w:numPr>
          <w:ilvl w:val="1"/>
          <w:numId w:val="29"/>
        </w:numPr>
        <w:tabs>
          <w:tab w:val="left" w:leader="none" w:pos="1245"/>
        </w:tabs>
        <w:spacing w:before="71" w:after="0" w:line="240" w:lineRule="auto"/>
        <w:ind w:left="1245" w:right="0" w:hanging="423"/>
        <w:jc w:val="left"/>
        <w:rPr>
          <w:color w:val="0C0C0C"/>
          <w:sz w:val="21"/>
        </w:rPr>
      </w:pPr>
      <w:r>
        <w:rPr>
          <w:color w:val="0C0C0C"/>
          <w:w w:val="105"/>
          <w:sz w:val="21"/>
        </w:rPr>
        <w:t>Determining</w:t>
      </w:r>
      <w:r>
        <w:rPr>
          <w:color w:val="0C0C0C"/>
          <w:spacing w:val="1"/>
          <w:w w:val="105"/>
          <w:sz w:val="21"/>
        </w:rPr>
        <w:t> </w:t>
      </w:r>
      <w:r>
        <w:rPr>
          <w:color w:val="0C0C0C"/>
          <w:w w:val="105"/>
          <w:sz w:val="21"/>
        </w:rPr>
        <w:t>the</w:t>
      </w:r>
      <w:r>
        <w:rPr>
          <w:color w:val="0C0C0C"/>
          <w:spacing w:val="-7"/>
          <w:w w:val="105"/>
          <w:sz w:val="21"/>
        </w:rPr>
        <w:t> </w:t>
      </w:r>
      <w:r>
        <w:rPr>
          <w:color w:val="0C0C0C"/>
          <w:w w:val="105"/>
          <w:sz w:val="21"/>
        </w:rPr>
        <w:t>interventions</w:t>
      </w:r>
      <w:r>
        <w:rPr>
          <w:color w:val="0C0C0C"/>
          <w:spacing w:val="5"/>
          <w:w w:val="105"/>
          <w:sz w:val="21"/>
        </w:rPr>
        <w:t> </w:t>
      </w:r>
      <w:r>
        <w:rPr>
          <w:color w:val="0C0C0C"/>
          <w:w w:val="105"/>
          <w:sz w:val="21"/>
        </w:rPr>
        <w:t>necessary</w:t>
      </w:r>
      <w:r>
        <w:rPr>
          <w:color w:val="0C0C0C"/>
          <w:spacing w:val="-2"/>
          <w:w w:val="105"/>
          <w:sz w:val="21"/>
        </w:rPr>
        <w:t> </w:t>
      </w:r>
      <w:r>
        <w:rPr>
          <w:color w:val="0C0C0C"/>
          <w:w w:val="105"/>
          <w:sz w:val="21"/>
        </w:rPr>
        <w:t>to</w:t>
      </w:r>
      <w:r>
        <w:rPr>
          <w:color w:val="0C0C0C"/>
          <w:spacing w:val="-12"/>
          <w:w w:val="105"/>
          <w:sz w:val="21"/>
        </w:rPr>
        <w:t> </w:t>
      </w:r>
      <w:r>
        <w:rPr>
          <w:color w:val="0C0C0C"/>
          <w:w w:val="105"/>
          <w:sz w:val="21"/>
        </w:rPr>
        <w:t>optimise</w:t>
      </w:r>
      <w:r>
        <w:rPr>
          <w:color w:val="0C0C0C"/>
          <w:spacing w:val="-8"/>
          <w:w w:val="105"/>
          <w:sz w:val="21"/>
        </w:rPr>
        <w:t> </w:t>
      </w:r>
      <w:r>
        <w:rPr>
          <w:color w:val="0C0C0C"/>
          <w:w w:val="105"/>
          <w:sz w:val="21"/>
        </w:rPr>
        <w:t>the</w:t>
      </w:r>
      <w:r>
        <w:rPr>
          <w:color w:val="0C0C0C"/>
          <w:spacing w:val="-11"/>
          <w:w w:val="105"/>
          <w:sz w:val="21"/>
        </w:rPr>
        <w:t> </w:t>
      </w:r>
      <w:r>
        <w:rPr>
          <w:color w:val="0C0C0C"/>
          <w:w w:val="105"/>
          <w:sz w:val="21"/>
        </w:rPr>
        <w:t>achievement</w:t>
      </w:r>
      <w:r>
        <w:rPr>
          <w:color w:val="0C0C0C"/>
          <w:spacing w:val="2"/>
          <w:w w:val="105"/>
          <w:sz w:val="21"/>
        </w:rPr>
        <w:t> </w:t>
      </w:r>
      <w:r>
        <w:rPr>
          <w:color w:val="0C0C0C"/>
          <w:w w:val="105"/>
          <w:sz w:val="21"/>
        </w:rPr>
        <w:t>of</w:t>
      </w:r>
      <w:r>
        <w:rPr>
          <w:color w:val="0C0C0C"/>
          <w:spacing w:val="-11"/>
          <w:w w:val="105"/>
          <w:sz w:val="21"/>
        </w:rPr>
        <w:t> </w:t>
      </w:r>
      <w:r>
        <w:rPr>
          <w:color w:val="0C0C0C"/>
          <w:w w:val="105"/>
          <w:sz w:val="21"/>
        </w:rPr>
        <w:t>the</w:t>
      </w:r>
      <w:r>
        <w:rPr>
          <w:color w:val="0C0C0C"/>
          <w:spacing w:val="-12"/>
          <w:w w:val="105"/>
          <w:sz w:val="21"/>
        </w:rPr>
        <w:t> </w:t>
      </w:r>
      <w:r>
        <w:rPr>
          <w:color w:val="0C0C0C"/>
          <w:w w:val="105"/>
          <w:sz w:val="21"/>
        </w:rPr>
        <w:t>intended</w:t>
      </w:r>
      <w:r>
        <w:rPr>
          <w:color w:val="0C0C0C"/>
          <w:spacing w:val="-4"/>
          <w:w w:val="105"/>
          <w:sz w:val="21"/>
        </w:rPr>
        <w:t> </w:t>
      </w:r>
      <w:r>
        <w:rPr>
          <w:color w:val="0C0C0C"/>
          <w:spacing w:val="-2"/>
          <w:w w:val="105"/>
          <w:sz w:val="21"/>
        </w:rPr>
        <w:t>outcomes,</w:t>
      </w:r>
    </w:p>
    <w:p>
      <w:pPr>
        <w:pStyle w:val="ListParagraph"/>
        <w:numPr>
          <w:ilvl w:val="1"/>
          <w:numId w:val="29"/>
        </w:numPr>
        <w:tabs>
          <w:tab w:val="left" w:leader="none" w:pos="1245"/>
          <w:tab w:val="left" w:leader="none" w:pos="1251"/>
        </w:tabs>
        <w:spacing w:before="71" w:after="0" w:line="252" w:lineRule="auto"/>
        <w:ind w:left="1251" w:right="777" w:hanging="431"/>
        <w:jc w:val="left"/>
        <w:rPr>
          <w:color w:val="0C0C0C"/>
          <w:sz w:val="21"/>
        </w:rPr>
      </w:pPr>
      <w:r>
        <w:rPr>
          <w:color w:val="0C0C0C"/>
          <w:w w:val="105"/>
          <w:sz w:val="21"/>
        </w:rPr>
        <w:t>Developing the</w:t>
      </w:r>
      <w:r>
        <w:rPr>
          <w:color w:val="0C0C0C"/>
          <w:spacing w:val="-10"/>
          <w:w w:val="105"/>
          <w:sz w:val="21"/>
        </w:rPr>
        <w:t> </w:t>
      </w:r>
      <w:r>
        <w:rPr>
          <w:color w:val="0C0C0C"/>
          <w:w w:val="105"/>
          <w:sz w:val="21"/>
        </w:rPr>
        <w:t>entity's</w:t>
      </w:r>
      <w:r>
        <w:rPr>
          <w:color w:val="0C0C0C"/>
          <w:spacing w:val="-2"/>
          <w:w w:val="105"/>
          <w:sz w:val="21"/>
        </w:rPr>
        <w:t> </w:t>
      </w:r>
      <w:r>
        <w:rPr>
          <w:color w:val="0C0C0C"/>
          <w:w w:val="105"/>
          <w:sz w:val="21"/>
        </w:rPr>
        <w:t>capacity, including</w:t>
      </w:r>
      <w:r>
        <w:rPr>
          <w:color w:val="0C0C0C"/>
          <w:spacing w:val="-6"/>
          <w:w w:val="105"/>
          <w:sz w:val="21"/>
        </w:rPr>
        <w:t> </w:t>
      </w:r>
      <w:r>
        <w:rPr>
          <w:color w:val="0C0C0C"/>
          <w:w w:val="105"/>
          <w:sz w:val="21"/>
        </w:rPr>
        <w:t>the</w:t>
      </w:r>
      <w:r>
        <w:rPr>
          <w:color w:val="0C0C0C"/>
          <w:spacing w:val="-11"/>
          <w:w w:val="105"/>
          <w:sz w:val="21"/>
        </w:rPr>
        <w:t> </w:t>
      </w:r>
      <w:r>
        <w:rPr>
          <w:color w:val="0C0C0C"/>
          <w:w w:val="105"/>
          <w:sz w:val="21"/>
        </w:rPr>
        <w:t>capability of</w:t>
      </w:r>
      <w:r>
        <w:rPr>
          <w:color w:val="0C0C0C"/>
          <w:spacing w:val="-12"/>
          <w:w w:val="105"/>
          <w:sz w:val="21"/>
        </w:rPr>
        <w:t> </w:t>
      </w:r>
      <w:r>
        <w:rPr>
          <w:color w:val="0C0C0C"/>
          <w:w w:val="105"/>
          <w:sz w:val="21"/>
        </w:rPr>
        <w:t>its</w:t>
      </w:r>
      <w:r>
        <w:rPr>
          <w:color w:val="0C0C0C"/>
          <w:spacing w:val="-9"/>
          <w:w w:val="105"/>
          <w:sz w:val="21"/>
        </w:rPr>
        <w:t> </w:t>
      </w:r>
      <w:r>
        <w:rPr>
          <w:color w:val="0C0C0C"/>
          <w:w w:val="105"/>
          <w:sz w:val="21"/>
        </w:rPr>
        <w:t>leadership and</w:t>
      </w:r>
      <w:r>
        <w:rPr>
          <w:color w:val="0C0C0C"/>
          <w:spacing w:val="-8"/>
          <w:w w:val="105"/>
          <w:sz w:val="21"/>
        </w:rPr>
        <w:t> </w:t>
      </w:r>
      <w:r>
        <w:rPr>
          <w:color w:val="0C0C0C"/>
          <w:w w:val="105"/>
          <w:sz w:val="21"/>
        </w:rPr>
        <w:t>the</w:t>
      </w:r>
      <w:r>
        <w:rPr>
          <w:color w:val="0C0C0C"/>
          <w:spacing w:val="-11"/>
          <w:w w:val="105"/>
          <w:sz w:val="21"/>
        </w:rPr>
        <w:t> </w:t>
      </w:r>
      <w:r>
        <w:rPr>
          <w:color w:val="0C0C0C"/>
          <w:w w:val="105"/>
          <w:sz w:val="21"/>
        </w:rPr>
        <w:t>individuals within it,</w:t>
      </w:r>
    </w:p>
    <w:p>
      <w:pPr>
        <w:pStyle w:val="ListParagraph"/>
        <w:numPr>
          <w:ilvl w:val="1"/>
          <w:numId w:val="29"/>
        </w:numPr>
        <w:tabs>
          <w:tab w:val="left" w:leader="none" w:pos="1226"/>
          <w:tab w:val="left" w:leader="none" w:pos="1248"/>
        </w:tabs>
        <w:spacing w:before="65" w:after="0" w:line="252" w:lineRule="auto"/>
        <w:ind w:left="1248" w:right="888" w:hanging="426"/>
        <w:jc w:val="left"/>
        <w:rPr>
          <w:color w:val="0C0C0C"/>
          <w:sz w:val="21"/>
        </w:rPr>
      </w:pPr>
      <w:r>
        <w:rPr>
          <w:color w:val="0C0C0C"/>
          <w:w w:val="105"/>
          <w:sz w:val="21"/>
        </w:rPr>
        <w:t>Managing risks and</w:t>
      </w:r>
      <w:r>
        <w:rPr>
          <w:color w:val="0C0C0C"/>
          <w:spacing w:val="-15"/>
          <w:w w:val="105"/>
          <w:sz w:val="21"/>
        </w:rPr>
        <w:t> </w:t>
      </w:r>
      <w:r>
        <w:rPr>
          <w:color w:val="0C0C0C"/>
          <w:w w:val="105"/>
          <w:sz w:val="21"/>
        </w:rPr>
        <w:t>performance through</w:t>
      </w:r>
      <w:r>
        <w:rPr>
          <w:color w:val="0C0C0C"/>
          <w:spacing w:val="-11"/>
          <w:w w:val="105"/>
          <w:sz w:val="21"/>
        </w:rPr>
        <w:t> </w:t>
      </w:r>
      <w:r>
        <w:rPr>
          <w:color w:val="0C0C0C"/>
          <w:w w:val="105"/>
          <w:sz w:val="21"/>
        </w:rPr>
        <w:t>robust</w:t>
      </w:r>
      <w:r>
        <w:rPr>
          <w:color w:val="0C0C0C"/>
          <w:spacing w:val="-4"/>
          <w:w w:val="105"/>
          <w:sz w:val="21"/>
        </w:rPr>
        <w:t> </w:t>
      </w:r>
      <w:r>
        <w:rPr>
          <w:color w:val="0C0C0C"/>
          <w:w w:val="105"/>
          <w:sz w:val="21"/>
        </w:rPr>
        <w:t>internal</w:t>
      </w:r>
      <w:r>
        <w:rPr>
          <w:color w:val="0C0C0C"/>
          <w:spacing w:val="-5"/>
          <w:w w:val="105"/>
          <w:sz w:val="21"/>
        </w:rPr>
        <w:t> </w:t>
      </w:r>
      <w:r>
        <w:rPr>
          <w:color w:val="0C0C0C"/>
          <w:w w:val="105"/>
          <w:sz w:val="21"/>
        </w:rPr>
        <w:t>control</w:t>
      </w:r>
      <w:r>
        <w:rPr>
          <w:color w:val="0C0C0C"/>
          <w:spacing w:val="-3"/>
          <w:w w:val="105"/>
          <w:sz w:val="21"/>
        </w:rPr>
        <w:t> </w:t>
      </w:r>
      <w:r>
        <w:rPr>
          <w:color w:val="0C0C0C"/>
          <w:w w:val="105"/>
          <w:sz w:val="21"/>
        </w:rPr>
        <w:t>and</w:t>
      </w:r>
      <w:r>
        <w:rPr>
          <w:color w:val="0C0C0C"/>
          <w:spacing w:val="-7"/>
          <w:w w:val="105"/>
          <w:sz w:val="21"/>
        </w:rPr>
        <w:t> </w:t>
      </w:r>
      <w:r>
        <w:rPr>
          <w:color w:val="0C0C0C"/>
          <w:w w:val="105"/>
          <w:sz w:val="21"/>
        </w:rPr>
        <w:t>strong</w:t>
      </w:r>
      <w:r>
        <w:rPr>
          <w:color w:val="0C0C0C"/>
          <w:spacing w:val="-6"/>
          <w:w w:val="105"/>
          <w:sz w:val="21"/>
        </w:rPr>
        <w:t> </w:t>
      </w:r>
      <w:r>
        <w:rPr>
          <w:color w:val="0C0C0C"/>
          <w:w w:val="105"/>
          <w:sz w:val="21"/>
        </w:rPr>
        <w:t>public financial management, and</w:t>
      </w:r>
    </w:p>
    <w:p>
      <w:pPr>
        <w:pStyle w:val="ListParagraph"/>
        <w:numPr>
          <w:ilvl w:val="1"/>
          <w:numId w:val="29"/>
        </w:numPr>
        <w:tabs>
          <w:tab w:val="left" w:leader="none" w:pos="1232"/>
          <w:tab w:val="left" w:leader="none" w:pos="1254"/>
        </w:tabs>
        <w:spacing w:before="74" w:after="0" w:line="256" w:lineRule="auto"/>
        <w:ind w:left="1254" w:right="1454" w:hanging="427"/>
        <w:jc w:val="left"/>
        <w:rPr>
          <w:color w:val="0C0C0C"/>
          <w:sz w:val="21"/>
        </w:rPr>
      </w:pPr>
      <w:r>
        <w:rPr>
          <w:color w:val="0C0C0C"/>
          <w:w w:val="105"/>
          <w:sz w:val="21"/>
        </w:rPr>
        <w:t>Implementing</w:t>
      </w:r>
      <w:r>
        <w:rPr>
          <w:color w:val="0C0C0C"/>
          <w:spacing w:val="-2"/>
          <w:w w:val="105"/>
          <w:sz w:val="21"/>
        </w:rPr>
        <w:t> </w:t>
      </w:r>
      <w:r>
        <w:rPr>
          <w:color w:val="0C0C0C"/>
          <w:w w:val="105"/>
          <w:sz w:val="21"/>
        </w:rPr>
        <w:t>good</w:t>
      </w:r>
      <w:r>
        <w:rPr>
          <w:color w:val="0C0C0C"/>
          <w:spacing w:val="-13"/>
          <w:w w:val="105"/>
          <w:sz w:val="21"/>
        </w:rPr>
        <w:t> </w:t>
      </w:r>
      <w:r>
        <w:rPr>
          <w:color w:val="0C0C0C"/>
          <w:w w:val="105"/>
          <w:sz w:val="21"/>
        </w:rPr>
        <w:t>practices</w:t>
      </w:r>
      <w:r>
        <w:rPr>
          <w:color w:val="0C0C0C"/>
          <w:spacing w:val="-2"/>
          <w:w w:val="105"/>
          <w:sz w:val="21"/>
        </w:rPr>
        <w:t> </w:t>
      </w:r>
      <w:r>
        <w:rPr>
          <w:color w:val="0C0C0C"/>
          <w:w w:val="105"/>
          <w:sz w:val="21"/>
        </w:rPr>
        <w:t>in</w:t>
      </w:r>
      <w:r>
        <w:rPr>
          <w:color w:val="0C0C0C"/>
          <w:spacing w:val="-16"/>
          <w:w w:val="105"/>
          <w:sz w:val="21"/>
        </w:rPr>
        <w:t> </w:t>
      </w:r>
      <w:r>
        <w:rPr>
          <w:color w:val="0C0C0C"/>
          <w:w w:val="105"/>
          <w:sz w:val="21"/>
        </w:rPr>
        <w:t>transparency,</w:t>
      </w:r>
      <w:r>
        <w:rPr>
          <w:color w:val="0C0C0C"/>
          <w:spacing w:val="12"/>
          <w:w w:val="105"/>
          <w:sz w:val="21"/>
        </w:rPr>
        <w:t> </w:t>
      </w:r>
      <w:r>
        <w:rPr>
          <w:color w:val="0C0C0C"/>
          <w:w w:val="105"/>
          <w:sz w:val="21"/>
        </w:rPr>
        <w:t>reporting, and</w:t>
      </w:r>
      <w:r>
        <w:rPr>
          <w:color w:val="0C0C0C"/>
          <w:spacing w:val="-10"/>
          <w:w w:val="105"/>
          <w:sz w:val="21"/>
        </w:rPr>
        <w:t> </w:t>
      </w:r>
      <w:r>
        <w:rPr>
          <w:color w:val="0C0C0C"/>
          <w:w w:val="105"/>
          <w:sz w:val="21"/>
        </w:rPr>
        <w:t>audit</w:t>
      </w:r>
      <w:r>
        <w:rPr>
          <w:color w:val="0C0C0C"/>
          <w:spacing w:val="-6"/>
          <w:w w:val="105"/>
          <w:sz w:val="21"/>
        </w:rPr>
        <w:t> </w:t>
      </w:r>
      <w:r>
        <w:rPr>
          <w:color w:val="0C0C0C"/>
          <w:w w:val="105"/>
          <w:sz w:val="21"/>
        </w:rPr>
        <w:t>to</w:t>
      </w:r>
      <w:r>
        <w:rPr>
          <w:color w:val="0C0C0C"/>
          <w:spacing w:val="-12"/>
          <w:w w:val="105"/>
          <w:sz w:val="21"/>
        </w:rPr>
        <w:t> </w:t>
      </w:r>
      <w:r>
        <w:rPr>
          <w:color w:val="0C0C0C"/>
          <w:w w:val="105"/>
          <w:sz w:val="21"/>
        </w:rPr>
        <w:t>deliver</w:t>
      </w:r>
      <w:r>
        <w:rPr>
          <w:color w:val="0C0C0C"/>
          <w:spacing w:val="-3"/>
          <w:w w:val="105"/>
          <w:sz w:val="21"/>
        </w:rPr>
        <w:t> </w:t>
      </w:r>
      <w:r>
        <w:rPr>
          <w:color w:val="0C0C0C"/>
          <w:w w:val="105"/>
          <w:sz w:val="21"/>
        </w:rPr>
        <w:t>effective </w:t>
      </w:r>
      <w:r>
        <w:rPr>
          <w:color w:val="0C0C0C"/>
          <w:spacing w:val="-2"/>
          <w:w w:val="105"/>
          <w:sz w:val="21"/>
        </w:rPr>
        <w:t>accountability.</w:t>
      </w:r>
    </w:p>
    <w:p>
      <w:pPr>
        <w:pStyle w:val="BodyText"/>
        <w:spacing w:before="64"/>
        <w:rPr>
          <w:sz w:val="21"/>
        </w:rPr>
      </w:pPr>
    </w:p>
    <w:p>
      <w:pPr>
        <w:pStyle w:val="ListParagraph"/>
        <w:numPr>
          <w:ilvl w:val="0"/>
          <w:numId w:val="29"/>
        </w:numPr>
        <w:tabs>
          <w:tab w:val="left" w:leader="none" w:pos="829"/>
        </w:tabs>
        <w:spacing w:before="0" w:after="0" w:line="240" w:lineRule="auto"/>
        <w:ind w:left="829" w:right="0" w:hanging="706"/>
        <w:jc w:val="left"/>
        <w:rPr>
          <w:color w:val="0C0C0C"/>
          <w:sz w:val="21"/>
        </w:rPr>
      </w:pPr>
      <w:r>
        <w:rPr>
          <w:color w:val="0C0C0C"/>
          <w:w w:val="105"/>
          <w:sz w:val="21"/>
        </w:rPr>
        <w:t>The</w:t>
      </w:r>
      <w:r>
        <w:rPr>
          <w:color w:val="0C0C0C"/>
          <w:spacing w:val="-13"/>
          <w:w w:val="105"/>
          <w:sz w:val="21"/>
        </w:rPr>
        <w:t> </w:t>
      </w:r>
      <w:r>
        <w:rPr>
          <w:color w:val="0C0C0C"/>
          <w:w w:val="105"/>
          <w:sz w:val="21"/>
        </w:rPr>
        <w:t>AGS</w:t>
      </w:r>
      <w:r>
        <w:rPr>
          <w:color w:val="0C0C0C"/>
          <w:spacing w:val="-9"/>
          <w:w w:val="105"/>
          <w:sz w:val="21"/>
        </w:rPr>
        <w:t> </w:t>
      </w:r>
      <w:r>
        <w:rPr>
          <w:color w:val="0C0C0C"/>
          <w:w w:val="105"/>
          <w:sz w:val="21"/>
        </w:rPr>
        <w:t>should</w:t>
      </w:r>
      <w:r>
        <w:rPr>
          <w:color w:val="0C0C0C"/>
          <w:spacing w:val="-9"/>
          <w:w w:val="105"/>
          <w:sz w:val="21"/>
        </w:rPr>
        <w:t> </w:t>
      </w:r>
      <w:r>
        <w:rPr>
          <w:color w:val="0C0C0C"/>
          <w:w w:val="105"/>
          <w:sz w:val="21"/>
        </w:rPr>
        <w:t>include</w:t>
      </w:r>
      <w:r>
        <w:rPr>
          <w:color w:val="0C0C0C"/>
          <w:spacing w:val="-6"/>
          <w:w w:val="105"/>
          <w:sz w:val="21"/>
        </w:rPr>
        <w:t> </w:t>
      </w:r>
      <w:r>
        <w:rPr>
          <w:color w:val="0C0C0C"/>
          <w:w w:val="105"/>
          <w:sz w:val="21"/>
        </w:rPr>
        <w:t>the</w:t>
      </w:r>
      <w:r>
        <w:rPr>
          <w:color w:val="0C0C0C"/>
          <w:spacing w:val="-6"/>
          <w:w w:val="105"/>
          <w:sz w:val="21"/>
        </w:rPr>
        <w:t> </w:t>
      </w:r>
      <w:r>
        <w:rPr>
          <w:color w:val="0C0C0C"/>
          <w:w w:val="105"/>
          <w:sz w:val="21"/>
        </w:rPr>
        <w:t>following</w:t>
      </w:r>
      <w:r>
        <w:rPr>
          <w:color w:val="0C0C0C"/>
          <w:spacing w:val="-3"/>
          <w:w w:val="105"/>
          <w:sz w:val="21"/>
        </w:rPr>
        <w:t> </w:t>
      </w:r>
      <w:r>
        <w:rPr>
          <w:color w:val="0C0C0C"/>
          <w:spacing w:val="-2"/>
          <w:w w:val="105"/>
          <w:sz w:val="21"/>
        </w:rPr>
        <w:t>information:</w:t>
      </w:r>
    </w:p>
    <w:p>
      <w:pPr>
        <w:pStyle w:val="BodyText"/>
        <w:spacing w:before="21"/>
        <w:rPr>
          <w:sz w:val="21"/>
        </w:rPr>
      </w:pPr>
    </w:p>
    <w:p>
      <w:pPr>
        <w:pStyle w:val="ListParagraph"/>
        <w:numPr>
          <w:ilvl w:val="1"/>
          <w:numId w:val="29"/>
        </w:numPr>
        <w:tabs>
          <w:tab w:val="left" w:leader="none" w:pos="1247"/>
          <w:tab w:val="left" w:leader="none" w:pos="1250"/>
        </w:tabs>
        <w:spacing w:before="0" w:after="0" w:line="252" w:lineRule="auto"/>
        <w:ind w:left="1250" w:right="490" w:hanging="420"/>
        <w:jc w:val="left"/>
        <w:rPr>
          <w:color w:val="0C0C0C"/>
          <w:sz w:val="21"/>
        </w:rPr>
      </w:pPr>
      <w:r>
        <w:rPr>
          <w:color w:val="0C0C0C"/>
          <w:w w:val="105"/>
          <w:sz w:val="21"/>
        </w:rPr>
        <w:t>An</w:t>
      </w:r>
      <w:r>
        <w:rPr>
          <w:color w:val="0C0C0C"/>
          <w:spacing w:val="-3"/>
          <w:w w:val="105"/>
          <w:sz w:val="21"/>
        </w:rPr>
        <w:t> </w:t>
      </w:r>
      <w:r>
        <w:rPr>
          <w:color w:val="0C0C0C"/>
          <w:w w:val="105"/>
          <w:sz w:val="21"/>
        </w:rPr>
        <w:t>acknowledgement</w:t>
      </w:r>
      <w:r>
        <w:rPr>
          <w:color w:val="0C0C0C"/>
          <w:spacing w:val="-11"/>
          <w:w w:val="105"/>
          <w:sz w:val="21"/>
        </w:rPr>
        <w:t> </w:t>
      </w:r>
      <w:r>
        <w:rPr>
          <w:color w:val="0C0C0C"/>
          <w:w w:val="105"/>
          <w:sz w:val="21"/>
        </w:rPr>
        <w:t>of</w:t>
      </w:r>
      <w:r>
        <w:rPr>
          <w:color w:val="0C0C0C"/>
          <w:spacing w:val="-7"/>
          <w:w w:val="105"/>
          <w:sz w:val="21"/>
        </w:rPr>
        <w:t> </w:t>
      </w:r>
      <w:r>
        <w:rPr>
          <w:color w:val="0C0C0C"/>
          <w:w w:val="105"/>
          <w:sz w:val="21"/>
        </w:rPr>
        <w:t>responsibility</w:t>
      </w:r>
      <w:r>
        <w:rPr>
          <w:color w:val="0C0C0C"/>
          <w:spacing w:val="-13"/>
          <w:w w:val="105"/>
          <w:sz w:val="21"/>
        </w:rPr>
        <w:t> </w:t>
      </w:r>
      <w:r>
        <w:rPr>
          <w:color w:val="0C0C0C"/>
          <w:w w:val="105"/>
          <w:sz w:val="21"/>
        </w:rPr>
        <w:t>for</w:t>
      </w:r>
      <w:r>
        <w:rPr>
          <w:color w:val="0C0C0C"/>
          <w:spacing w:val="-4"/>
          <w:w w:val="105"/>
          <w:sz w:val="21"/>
        </w:rPr>
        <w:t> </w:t>
      </w:r>
      <w:r>
        <w:rPr>
          <w:color w:val="0C0C0C"/>
          <w:w w:val="105"/>
          <w:sz w:val="21"/>
        </w:rPr>
        <w:t>ensuring that</w:t>
      </w:r>
      <w:r>
        <w:rPr>
          <w:color w:val="0C0C0C"/>
          <w:spacing w:val="-3"/>
          <w:w w:val="105"/>
          <w:sz w:val="21"/>
        </w:rPr>
        <w:t> </w:t>
      </w:r>
      <w:r>
        <w:rPr>
          <w:color w:val="0C0C0C"/>
          <w:w w:val="105"/>
          <w:sz w:val="21"/>
        </w:rPr>
        <w:t>there</w:t>
      </w:r>
      <w:r>
        <w:rPr>
          <w:color w:val="0C0C0C"/>
          <w:spacing w:val="-4"/>
          <w:w w:val="105"/>
          <w:sz w:val="21"/>
        </w:rPr>
        <w:t> </w:t>
      </w:r>
      <w:r>
        <w:rPr>
          <w:color w:val="0C0C0C"/>
          <w:w w:val="105"/>
          <w:sz w:val="21"/>
        </w:rPr>
        <w:t>is</w:t>
      </w:r>
      <w:r>
        <w:rPr>
          <w:color w:val="0C0C0C"/>
          <w:spacing w:val="-4"/>
          <w:w w:val="105"/>
          <w:sz w:val="21"/>
        </w:rPr>
        <w:t> </w:t>
      </w:r>
      <w:r>
        <w:rPr>
          <w:color w:val="0C0C0C"/>
          <w:w w:val="105"/>
          <w:sz w:val="21"/>
        </w:rPr>
        <w:t>a</w:t>
      </w:r>
      <w:r>
        <w:rPr>
          <w:color w:val="0C0C0C"/>
          <w:spacing w:val="-4"/>
          <w:w w:val="105"/>
          <w:sz w:val="21"/>
        </w:rPr>
        <w:t> </w:t>
      </w:r>
      <w:r>
        <w:rPr>
          <w:color w:val="0C0C0C"/>
          <w:w w:val="105"/>
          <w:sz w:val="21"/>
        </w:rPr>
        <w:t>sound system of</w:t>
      </w:r>
      <w:r>
        <w:rPr>
          <w:color w:val="0C0C0C"/>
          <w:spacing w:val="-5"/>
          <w:w w:val="105"/>
          <w:sz w:val="21"/>
        </w:rPr>
        <w:t> </w:t>
      </w:r>
      <w:r>
        <w:rPr>
          <w:color w:val="0C0C0C"/>
          <w:w w:val="105"/>
          <w:sz w:val="21"/>
        </w:rPr>
        <w:t>governance (incorporating</w:t>
      </w:r>
      <w:r>
        <w:rPr>
          <w:color w:val="0C0C0C"/>
          <w:spacing w:val="-9"/>
          <w:w w:val="105"/>
          <w:sz w:val="21"/>
        </w:rPr>
        <w:t> </w:t>
      </w:r>
      <w:r>
        <w:rPr>
          <w:color w:val="0C0C0C"/>
          <w:w w:val="105"/>
          <w:sz w:val="21"/>
        </w:rPr>
        <w:t>the system of internal control) and</w:t>
      </w:r>
      <w:r>
        <w:rPr>
          <w:color w:val="0C0C0C"/>
          <w:spacing w:val="-3"/>
          <w:w w:val="105"/>
          <w:sz w:val="21"/>
        </w:rPr>
        <w:t> </w:t>
      </w:r>
      <w:r>
        <w:rPr>
          <w:color w:val="0C0C0C"/>
          <w:w w:val="105"/>
          <w:sz w:val="21"/>
        </w:rPr>
        <w:t>reference to the authority's code of </w:t>
      </w:r>
      <w:r>
        <w:rPr>
          <w:color w:val="0C0C0C"/>
          <w:spacing w:val="-2"/>
          <w:w w:val="105"/>
          <w:sz w:val="21"/>
        </w:rPr>
        <w:t>governance,</w:t>
      </w:r>
    </w:p>
    <w:p>
      <w:pPr>
        <w:pStyle w:val="ListParagraph"/>
        <w:numPr>
          <w:ilvl w:val="1"/>
          <w:numId w:val="29"/>
        </w:numPr>
        <w:tabs>
          <w:tab w:val="left" w:leader="none" w:pos="1250"/>
        </w:tabs>
        <w:spacing w:before="62" w:after="0" w:line="252" w:lineRule="auto"/>
        <w:ind w:left="1250" w:right="767" w:hanging="431"/>
        <w:jc w:val="left"/>
        <w:rPr>
          <w:color w:val="0C0C0C"/>
          <w:sz w:val="21"/>
        </w:rPr>
      </w:pPr>
      <w:r>
        <w:rPr>
          <w:color w:val="0C0C0C"/>
          <w:w w:val="105"/>
          <w:sz w:val="21"/>
        </w:rPr>
        <w:t>Reference to and assessment of the effectiveness of key elements of the governance framework and</w:t>
      </w:r>
      <w:r>
        <w:rPr>
          <w:color w:val="0C0C0C"/>
          <w:spacing w:val="-1"/>
          <w:w w:val="105"/>
          <w:sz w:val="21"/>
        </w:rPr>
        <w:t> </w:t>
      </w:r>
      <w:r>
        <w:rPr>
          <w:color w:val="0C0C0C"/>
          <w:w w:val="105"/>
          <w:sz w:val="21"/>
        </w:rPr>
        <w:t>the role of</w:t>
      </w:r>
      <w:r>
        <w:rPr>
          <w:color w:val="0C0C0C"/>
          <w:spacing w:val="-3"/>
          <w:w w:val="105"/>
          <w:sz w:val="21"/>
        </w:rPr>
        <w:t> </w:t>
      </w:r>
      <w:r>
        <w:rPr>
          <w:color w:val="0C0C0C"/>
          <w:w w:val="105"/>
          <w:sz w:val="21"/>
        </w:rPr>
        <w:t>those responsible for</w:t>
      </w:r>
      <w:r>
        <w:rPr>
          <w:color w:val="0C0C0C"/>
          <w:spacing w:val="-1"/>
          <w:w w:val="105"/>
          <w:sz w:val="21"/>
        </w:rPr>
        <w:t> </w:t>
      </w:r>
      <w:r>
        <w:rPr>
          <w:color w:val="0C0C0C"/>
          <w:w w:val="105"/>
          <w:sz w:val="21"/>
        </w:rPr>
        <w:t>the development and maintenance</w:t>
      </w:r>
      <w:r>
        <w:rPr>
          <w:color w:val="0C0C0C"/>
          <w:spacing w:val="29"/>
          <w:w w:val="105"/>
          <w:sz w:val="21"/>
        </w:rPr>
        <w:t> </w:t>
      </w:r>
      <w:r>
        <w:rPr>
          <w:color w:val="0C0C0C"/>
          <w:w w:val="105"/>
          <w:sz w:val="21"/>
        </w:rPr>
        <w:t>of</w:t>
      </w:r>
      <w:r>
        <w:rPr>
          <w:color w:val="0C0C0C"/>
          <w:spacing w:val="-4"/>
          <w:w w:val="105"/>
          <w:sz w:val="21"/>
        </w:rPr>
        <w:t> </w:t>
      </w:r>
      <w:r>
        <w:rPr>
          <w:color w:val="0C0C0C"/>
          <w:w w:val="105"/>
          <w:sz w:val="21"/>
        </w:rPr>
        <w:t>the governance environment,</w:t>
      </w:r>
      <w:r>
        <w:rPr>
          <w:color w:val="0C0C0C"/>
          <w:spacing w:val="15"/>
          <w:w w:val="105"/>
          <w:sz w:val="21"/>
        </w:rPr>
        <w:t> </w:t>
      </w:r>
      <w:r>
        <w:rPr>
          <w:color w:val="0C0C0C"/>
          <w:w w:val="105"/>
          <w:sz w:val="21"/>
        </w:rPr>
        <w:t>such</w:t>
      </w:r>
      <w:r>
        <w:rPr>
          <w:color w:val="0C0C0C"/>
          <w:spacing w:val="-12"/>
          <w:w w:val="105"/>
          <w:sz w:val="21"/>
        </w:rPr>
        <w:t> </w:t>
      </w:r>
      <w:r>
        <w:rPr>
          <w:color w:val="0C0C0C"/>
          <w:w w:val="105"/>
          <w:sz w:val="21"/>
        </w:rPr>
        <w:t>as</w:t>
      </w:r>
      <w:r>
        <w:rPr>
          <w:color w:val="0C0C0C"/>
          <w:spacing w:val="-14"/>
          <w:w w:val="105"/>
          <w:sz w:val="21"/>
        </w:rPr>
        <w:t> </w:t>
      </w:r>
      <w:r>
        <w:rPr>
          <w:color w:val="0C0C0C"/>
          <w:w w:val="105"/>
          <w:sz w:val="21"/>
        </w:rPr>
        <w:t>the</w:t>
      </w:r>
      <w:r>
        <w:rPr>
          <w:color w:val="0C0C0C"/>
          <w:spacing w:val="-9"/>
          <w:w w:val="105"/>
          <w:sz w:val="21"/>
        </w:rPr>
        <w:t> </w:t>
      </w:r>
      <w:r>
        <w:rPr>
          <w:color w:val="0C0C0C"/>
          <w:w w:val="105"/>
          <w:sz w:val="21"/>
        </w:rPr>
        <w:t>authority,</w:t>
      </w:r>
      <w:r>
        <w:rPr>
          <w:color w:val="0C0C0C"/>
          <w:spacing w:val="-3"/>
          <w:w w:val="105"/>
          <w:sz w:val="21"/>
        </w:rPr>
        <w:t> </w:t>
      </w:r>
      <w:r>
        <w:rPr>
          <w:color w:val="0C0C0C"/>
          <w:w w:val="105"/>
          <w:sz w:val="21"/>
        </w:rPr>
        <w:t>the</w:t>
      </w:r>
      <w:r>
        <w:rPr>
          <w:color w:val="0C0C0C"/>
          <w:spacing w:val="-14"/>
          <w:w w:val="105"/>
          <w:sz w:val="21"/>
        </w:rPr>
        <w:t> </w:t>
      </w:r>
      <w:r>
        <w:rPr>
          <w:color w:val="0C0C0C"/>
          <w:w w:val="105"/>
          <w:sz w:val="21"/>
        </w:rPr>
        <w:t>executive, the</w:t>
      </w:r>
      <w:r>
        <w:rPr>
          <w:color w:val="0C0C0C"/>
          <w:spacing w:val="-5"/>
          <w:w w:val="105"/>
          <w:sz w:val="21"/>
        </w:rPr>
        <w:t> </w:t>
      </w:r>
      <w:r>
        <w:rPr>
          <w:color w:val="0C0C0C"/>
          <w:w w:val="105"/>
          <w:sz w:val="21"/>
        </w:rPr>
        <w:t>audit</w:t>
      </w:r>
      <w:r>
        <w:rPr>
          <w:color w:val="0C0C0C"/>
          <w:spacing w:val="-6"/>
          <w:w w:val="105"/>
          <w:sz w:val="21"/>
        </w:rPr>
        <w:t> </w:t>
      </w:r>
      <w:r>
        <w:rPr>
          <w:color w:val="0C0C0C"/>
          <w:w w:val="105"/>
          <w:sz w:val="21"/>
        </w:rPr>
        <w:t>committee, internal audit and others as appropriate,</w:t>
      </w:r>
    </w:p>
    <w:p>
      <w:pPr>
        <w:pStyle w:val="ListParagraph"/>
        <w:numPr>
          <w:ilvl w:val="1"/>
          <w:numId w:val="29"/>
        </w:numPr>
        <w:tabs>
          <w:tab w:val="left" w:leader="none" w:pos="1248"/>
          <w:tab w:val="left" w:leader="none" w:pos="1252"/>
        </w:tabs>
        <w:spacing w:before="52" w:after="0" w:line="252" w:lineRule="auto"/>
        <w:ind w:left="1248" w:right="379" w:hanging="414"/>
        <w:jc w:val="left"/>
        <w:rPr>
          <w:color w:val="0C0C0C"/>
          <w:sz w:val="21"/>
        </w:rPr>
      </w:pPr>
      <w:r>
        <w:rPr>
          <w:color w:val="0C0C0C"/>
          <w:sz w:val="21"/>
        </w:rPr>
        <w:tab/>
      </w:r>
      <w:r>
        <w:rPr>
          <w:color w:val="0C0C0C"/>
          <w:w w:val="105"/>
          <w:sz w:val="21"/>
        </w:rPr>
        <w:t>An opinion </w:t>
      </w:r>
      <w:r>
        <w:rPr>
          <w:color w:val="1C1C1C"/>
          <w:w w:val="105"/>
          <w:sz w:val="21"/>
        </w:rPr>
        <w:t>on the</w:t>
      </w:r>
      <w:r>
        <w:rPr>
          <w:color w:val="1C1C1C"/>
          <w:spacing w:val="-4"/>
          <w:w w:val="105"/>
          <w:sz w:val="21"/>
        </w:rPr>
        <w:t> </w:t>
      </w:r>
      <w:r>
        <w:rPr>
          <w:color w:val="333333"/>
          <w:w w:val="105"/>
          <w:sz w:val="21"/>
        </w:rPr>
        <w:t>level</w:t>
      </w:r>
      <w:r>
        <w:rPr>
          <w:color w:val="333333"/>
          <w:spacing w:val="-2"/>
          <w:w w:val="105"/>
          <w:sz w:val="21"/>
        </w:rPr>
        <w:t> </w:t>
      </w:r>
      <w:r>
        <w:rPr>
          <w:color w:val="0C0C0C"/>
          <w:w w:val="105"/>
          <w:sz w:val="21"/>
        </w:rPr>
        <w:t>of assurance that the governance</w:t>
      </w:r>
      <w:r>
        <w:rPr>
          <w:color w:val="0C0C0C"/>
          <w:spacing w:val="25"/>
          <w:w w:val="105"/>
          <w:sz w:val="21"/>
        </w:rPr>
        <w:t> </w:t>
      </w:r>
      <w:r>
        <w:rPr>
          <w:color w:val="0C0C0C"/>
          <w:w w:val="105"/>
          <w:sz w:val="21"/>
        </w:rPr>
        <w:t>arrangements</w:t>
      </w:r>
      <w:r>
        <w:rPr>
          <w:color w:val="0C0C0C"/>
          <w:spacing w:val="24"/>
          <w:w w:val="105"/>
          <w:sz w:val="21"/>
        </w:rPr>
        <w:t> </w:t>
      </w:r>
      <w:r>
        <w:rPr>
          <w:color w:val="0C0C0C"/>
          <w:w w:val="105"/>
          <w:sz w:val="21"/>
        </w:rPr>
        <w:t>can provide and that the</w:t>
      </w:r>
      <w:r>
        <w:rPr>
          <w:color w:val="0C0C0C"/>
          <w:spacing w:val="-4"/>
          <w:w w:val="105"/>
          <w:sz w:val="21"/>
        </w:rPr>
        <w:t> </w:t>
      </w:r>
      <w:r>
        <w:rPr>
          <w:color w:val="0C0C0C"/>
          <w:w w:val="105"/>
          <w:sz w:val="21"/>
        </w:rPr>
        <w:t>arrangements </w:t>
      </w:r>
      <w:r>
        <w:rPr>
          <w:color w:val="1C1C1C"/>
          <w:w w:val="105"/>
          <w:sz w:val="21"/>
        </w:rPr>
        <w:t>continue </w:t>
      </w:r>
      <w:r>
        <w:rPr>
          <w:color w:val="0C0C0C"/>
          <w:w w:val="105"/>
          <w:sz w:val="21"/>
        </w:rPr>
        <w:t>to</w:t>
      </w:r>
      <w:r>
        <w:rPr>
          <w:color w:val="0C0C0C"/>
          <w:spacing w:val="-1"/>
          <w:w w:val="105"/>
          <w:sz w:val="21"/>
        </w:rPr>
        <w:t> </w:t>
      </w:r>
      <w:r>
        <w:rPr>
          <w:color w:val="0C0C0C"/>
          <w:w w:val="105"/>
          <w:sz w:val="21"/>
        </w:rPr>
        <w:t>be</w:t>
      </w:r>
      <w:r>
        <w:rPr>
          <w:color w:val="0C0C0C"/>
          <w:spacing w:val="-8"/>
          <w:w w:val="105"/>
          <w:sz w:val="21"/>
        </w:rPr>
        <w:t> </w:t>
      </w:r>
      <w:r>
        <w:rPr>
          <w:color w:val="0C0C0C"/>
          <w:w w:val="105"/>
          <w:sz w:val="21"/>
        </w:rPr>
        <w:t>regarded as</w:t>
      </w:r>
      <w:r>
        <w:rPr>
          <w:color w:val="0C0C0C"/>
          <w:spacing w:val="-8"/>
          <w:w w:val="105"/>
          <w:sz w:val="21"/>
        </w:rPr>
        <w:t> </w:t>
      </w:r>
      <w:r>
        <w:rPr>
          <w:color w:val="0C0C0C"/>
          <w:w w:val="105"/>
          <w:sz w:val="21"/>
        </w:rPr>
        <w:t>fit</w:t>
      </w:r>
      <w:r>
        <w:rPr>
          <w:color w:val="0C0C0C"/>
          <w:spacing w:val="-12"/>
          <w:w w:val="105"/>
          <w:sz w:val="21"/>
        </w:rPr>
        <w:t> </w:t>
      </w:r>
      <w:r>
        <w:rPr>
          <w:color w:val="0C0C0C"/>
          <w:w w:val="105"/>
          <w:sz w:val="21"/>
        </w:rPr>
        <w:t>for </w:t>
      </w:r>
      <w:r>
        <w:rPr>
          <w:color w:val="1C1C1C"/>
          <w:w w:val="105"/>
          <w:sz w:val="21"/>
        </w:rPr>
        <w:t>purpose </w:t>
      </w:r>
      <w:r>
        <w:rPr>
          <w:color w:val="333333"/>
          <w:w w:val="105"/>
          <w:sz w:val="21"/>
        </w:rPr>
        <w:t>in</w:t>
      </w:r>
      <w:r>
        <w:rPr>
          <w:color w:val="333333"/>
          <w:spacing w:val="-9"/>
          <w:w w:val="105"/>
          <w:sz w:val="21"/>
        </w:rPr>
        <w:t> </w:t>
      </w:r>
      <w:r>
        <w:rPr>
          <w:color w:val="1C1C1C"/>
          <w:w w:val="105"/>
          <w:sz w:val="21"/>
        </w:rPr>
        <w:t>accordance </w:t>
      </w:r>
      <w:r>
        <w:rPr>
          <w:color w:val="0C0C0C"/>
          <w:w w:val="105"/>
          <w:sz w:val="21"/>
        </w:rPr>
        <w:t>with</w:t>
      </w:r>
      <w:r>
        <w:rPr>
          <w:color w:val="0C0C0C"/>
          <w:spacing w:val="-10"/>
          <w:w w:val="105"/>
          <w:sz w:val="21"/>
        </w:rPr>
        <w:t> </w:t>
      </w:r>
      <w:r>
        <w:rPr>
          <w:color w:val="0C0C0C"/>
          <w:w w:val="105"/>
          <w:sz w:val="21"/>
        </w:rPr>
        <w:t>the</w:t>
      </w:r>
      <w:r>
        <w:rPr>
          <w:color w:val="0C0C0C"/>
          <w:spacing w:val="-9"/>
          <w:w w:val="105"/>
          <w:sz w:val="21"/>
        </w:rPr>
        <w:t> </w:t>
      </w:r>
      <w:r>
        <w:rPr>
          <w:color w:val="0C0C0C"/>
          <w:w w:val="105"/>
          <w:sz w:val="21"/>
        </w:rPr>
        <w:t>governance </w:t>
      </w:r>
      <w:r>
        <w:rPr>
          <w:color w:val="0C0C0C"/>
          <w:spacing w:val="-2"/>
          <w:w w:val="105"/>
          <w:sz w:val="21"/>
        </w:rPr>
        <w:t>framework,</w:t>
      </w:r>
    </w:p>
    <w:p>
      <w:pPr>
        <w:spacing w:after="0" w:line="252" w:lineRule="auto"/>
        <w:jc w:val="left"/>
        <w:rPr>
          <w:sz w:val="21"/>
        </w:rPr>
        <w:sectPr>
          <w:headerReference w:type="default" r:id="rId269"/>
          <w:footerReference w:type="default" r:id="rId270"/>
          <w:footerReference w:type="even" r:id="rId271"/>
          <w:pgSz w:w="11910" w:h="16830"/>
          <w:pgMar w:top="900" w:right="540" w:bottom="1360" w:left="440" w:header="709" w:footer="1169"/>
          <w:pgNumType w:start="125"/>
        </w:sectPr>
      </w:pPr>
    </w:p>
    <w:p>
      <w:pPr>
        <w:pStyle w:val="BodyText"/>
        <w:spacing w:line="134" w:lineRule="exact"/>
        <w:ind w:left="1569"/>
        <w:rPr>
          <w:sz w:val="13"/>
        </w:rPr>
      </w:pPr>
      <w:r>
        <w:rPr>
          <w:position w:val="-2"/>
          <w:sz w:val="13"/>
        </w:rPr>
        <w:drawing>
          <wp:inline distT="0" distB="0" distL="0" distR="0">
            <wp:extent cx="1854058" cy="85344"/>
            <wp:effectExtent l="0" t="0" r="0" b="0"/>
            <wp:docPr id="689" name="Image 689"/>
            <wp:cNvGraphicFramePr>
              <a:graphicFrameLocks/>
            </wp:cNvGraphicFramePr>
            <a:graphic>
              <a:graphicData uri="http://schemas.openxmlformats.org/drawingml/2006/picture">
                <pic:pic>
                  <pic:nvPicPr>
                    <pic:cNvPr id="689" name="Image 689"/>
                    <pic:cNvPicPr/>
                  </pic:nvPicPr>
                  <pic:blipFill>
                    <a:blip r:embed="rId273" cstate="print"/>
                    <a:stretch>
                      <a:fillRect/>
                    </a:stretch>
                  </pic:blipFill>
                  <pic:spPr>
                    <a:xfrm>
                      <a:off x="0" y="0"/>
                      <a:ext cx="1854058" cy="85344"/>
                    </a:xfrm>
                    <a:prstGeom prst="rect">
                      <a:avLst/>
                    </a:prstGeom>
                  </pic:spPr>
                </pic:pic>
              </a:graphicData>
            </a:graphic>
          </wp:inline>
        </w:drawing>
      </w:r>
      <w:r>
        <w:rPr>
          <w:position w:val="-2"/>
          <w:sz w:val="13"/>
        </w:rPr>
      </w:r>
    </w:p>
    <w:p>
      <w:pPr>
        <w:pStyle w:val="BodyText"/>
        <w:spacing w:before="27"/>
        <w:rPr>
          <w:sz w:val="21"/>
        </w:rPr>
      </w:pPr>
    </w:p>
    <w:p>
      <w:pPr>
        <w:pStyle w:val="ListParagraph"/>
        <w:numPr>
          <w:ilvl w:val="1"/>
          <w:numId w:val="29"/>
        </w:numPr>
        <w:tabs>
          <w:tab w:val="left" w:leader="none" w:pos="1478"/>
          <w:tab w:val="left" w:leader="none" w:pos="1483"/>
        </w:tabs>
        <w:spacing w:before="0" w:after="0" w:line="247" w:lineRule="auto"/>
        <w:ind w:left="1478" w:right="308" w:hanging="421"/>
        <w:jc w:val="left"/>
        <w:rPr>
          <w:color w:val="0A0A0A"/>
          <w:sz w:val="21"/>
        </w:rPr>
      </w:pPr>
      <w:r>
        <w:rPr>
          <w:color w:val="0A0A0A"/>
          <w:sz w:val="21"/>
        </w:rPr>
        <w:tab/>
      </w:r>
      <w:r>
        <w:rPr>
          <w:color w:val="0A0A0A"/>
          <w:w w:val="105"/>
          <w:sz w:val="21"/>
        </w:rPr>
        <w:t>An</w:t>
      </w:r>
      <w:r>
        <w:rPr>
          <w:color w:val="0A0A0A"/>
          <w:spacing w:val="-8"/>
          <w:w w:val="105"/>
          <w:sz w:val="21"/>
        </w:rPr>
        <w:t> </w:t>
      </w:r>
      <w:r>
        <w:rPr>
          <w:color w:val="0A0A0A"/>
          <w:w w:val="105"/>
          <w:sz w:val="21"/>
        </w:rPr>
        <w:t>agreed</w:t>
      </w:r>
      <w:r>
        <w:rPr>
          <w:color w:val="0A0A0A"/>
          <w:spacing w:val="-5"/>
          <w:w w:val="105"/>
          <w:sz w:val="21"/>
        </w:rPr>
        <w:t> </w:t>
      </w:r>
      <w:r>
        <w:rPr>
          <w:color w:val="0A0A0A"/>
          <w:w w:val="105"/>
          <w:sz w:val="21"/>
        </w:rPr>
        <w:t>action</w:t>
      </w:r>
      <w:r>
        <w:rPr>
          <w:color w:val="0A0A0A"/>
          <w:spacing w:val="-7"/>
          <w:w w:val="105"/>
          <w:sz w:val="21"/>
        </w:rPr>
        <w:t> </w:t>
      </w:r>
      <w:r>
        <w:rPr>
          <w:color w:val="0A0A0A"/>
          <w:w w:val="105"/>
          <w:sz w:val="21"/>
        </w:rPr>
        <w:t>plan</w:t>
      </w:r>
      <w:r>
        <w:rPr>
          <w:color w:val="0A0A0A"/>
          <w:spacing w:val="-8"/>
          <w:w w:val="105"/>
          <w:sz w:val="21"/>
        </w:rPr>
        <w:t> </w:t>
      </w:r>
      <w:r>
        <w:rPr>
          <w:color w:val="0A0A0A"/>
          <w:w w:val="105"/>
          <w:sz w:val="21"/>
        </w:rPr>
        <w:t>showing</w:t>
      </w:r>
      <w:r>
        <w:rPr>
          <w:color w:val="0A0A0A"/>
          <w:spacing w:val="-1"/>
          <w:w w:val="105"/>
          <w:sz w:val="21"/>
        </w:rPr>
        <w:t> </w:t>
      </w:r>
      <w:r>
        <w:rPr>
          <w:color w:val="0A0A0A"/>
          <w:w w:val="105"/>
          <w:sz w:val="21"/>
        </w:rPr>
        <w:t>actions</w:t>
      </w:r>
      <w:r>
        <w:rPr>
          <w:color w:val="0A0A0A"/>
          <w:spacing w:val="-7"/>
          <w:w w:val="105"/>
          <w:sz w:val="21"/>
        </w:rPr>
        <w:t> </w:t>
      </w:r>
      <w:r>
        <w:rPr>
          <w:color w:val="0A0A0A"/>
          <w:w w:val="105"/>
          <w:sz w:val="21"/>
        </w:rPr>
        <w:t>taken,</w:t>
      </w:r>
      <w:r>
        <w:rPr>
          <w:color w:val="0A0A0A"/>
          <w:spacing w:val="-2"/>
          <w:w w:val="105"/>
          <w:sz w:val="21"/>
        </w:rPr>
        <w:t> </w:t>
      </w:r>
      <w:r>
        <w:rPr>
          <w:color w:val="0A0A0A"/>
          <w:w w:val="105"/>
          <w:sz w:val="21"/>
        </w:rPr>
        <w:t>or</w:t>
      </w:r>
      <w:r>
        <w:rPr>
          <w:color w:val="0A0A0A"/>
          <w:spacing w:val="-12"/>
          <w:w w:val="105"/>
          <w:sz w:val="21"/>
        </w:rPr>
        <w:t> </w:t>
      </w:r>
      <w:r>
        <w:rPr>
          <w:color w:val="0A0A0A"/>
          <w:w w:val="105"/>
          <w:sz w:val="21"/>
        </w:rPr>
        <w:t>proposed, to</w:t>
      </w:r>
      <w:r>
        <w:rPr>
          <w:color w:val="0A0A0A"/>
          <w:spacing w:val="-15"/>
          <w:w w:val="105"/>
          <w:sz w:val="21"/>
        </w:rPr>
        <w:t> </w:t>
      </w:r>
      <w:r>
        <w:rPr>
          <w:color w:val="0A0A0A"/>
          <w:w w:val="105"/>
          <w:sz w:val="21"/>
        </w:rPr>
        <w:t>deal</w:t>
      </w:r>
      <w:r>
        <w:rPr>
          <w:color w:val="0A0A0A"/>
          <w:spacing w:val="-15"/>
          <w:w w:val="105"/>
          <w:sz w:val="21"/>
        </w:rPr>
        <w:t> </w:t>
      </w:r>
      <w:r>
        <w:rPr>
          <w:color w:val="0A0A0A"/>
          <w:w w:val="105"/>
          <w:sz w:val="21"/>
        </w:rPr>
        <w:t>with</w:t>
      </w:r>
      <w:r>
        <w:rPr>
          <w:color w:val="0A0A0A"/>
          <w:spacing w:val="-5"/>
          <w:w w:val="105"/>
          <w:sz w:val="21"/>
        </w:rPr>
        <w:t> </w:t>
      </w:r>
      <w:r>
        <w:rPr>
          <w:color w:val="0A0A0A"/>
          <w:w w:val="105"/>
          <w:sz w:val="21"/>
        </w:rPr>
        <w:t>significant governance </w:t>
      </w:r>
      <w:r>
        <w:rPr>
          <w:color w:val="1C1C1C"/>
          <w:spacing w:val="-2"/>
          <w:w w:val="105"/>
          <w:sz w:val="21"/>
        </w:rPr>
        <w:t>issues,</w:t>
      </w:r>
    </w:p>
    <w:p>
      <w:pPr>
        <w:pStyle w:val="ListParagraph"/>
        <w:numPr>
          <w:ilvl w:val="1"/>
          <w:numId w:val="29"/>
        </w:numPr>
        <w:tabs>
          <w:tab w:val="left" w:leader="none" w:pos="1474"/>
          <w:tab w:val="left" w:leader="none" w:pos="1476"/>
        </w:tabs>
        <w:spacing w:before="65" w:after="0" w:line="247" w:lineRule="auto"/>
        <w:ind w:left="1474" w:right="187" w:hanging="427"/>
        <w:jc w:val="left"/>
        <w:rPr>
          <w:color w:val="0A0A0A"/>
          <w:sz w:val="21"/>
        </w:rPr>
      </w:pPr>
      <w:r>
        <w:rPr>
          <w:color w:val="0A0A0A"/>
          <w:sz w:val="21"/>
        </w:rPr>
        <w:tab/>
      </w:r>
      <w:r>
        <w:rPr>
          <w:color w:val="0A0A0A"/>
          <w:w w:val="105"/>
          <w:sz w:val="21"/>
        </w:rPr>
        <w:t>Reference to</w:t>
      </w:r>
      <w:r>
        <w:rPr>
          <w:color w:val="0A0A0A"/>
          <w:spacing w:val="-11"/>
          <w:w w:val="105"/>
          <w:sz w:val="21"/>
        </w:rPr>
        <w:t> </w:t>
      </w:r>
      <w:r>
        <w:rPr>
          <w:color w:val="0A0A0A"/>
          <w:w w:val="105"/>
          <w:sz w:val="21"/>
        </w:rPr>
        <w:t>how</w:t>
      </w:r>
      <w:r>
        <w:rPr>
          <w:color w:val="0A0A0A"/>
          <w:spacing w:val="-7"/>
          <w:w w:val="105"/>
          <w:sz w:val="21"/>
        </w:rPr>
        <w:t> </w:t>
      </w:r>
      <w:r>
        <w:rPr>
          <w:color w:val="0A0A0A"/>
          <w:w w:val="105"/>
          <w:sz w:val="21"/>
        </w:rPr>
        <w:t>issues </w:t>
      </w:r>
      <w:r>
        <w:rPr>
          <w:color w:val="1C1C1C"/>
          <w:w w:val="105"/>
          <w:sz w:val="21"/>
        </w:rPr>
        <w:t>raised</w:t>
      </w:r>
      <w:r>
        <w:rPr>
          <w:color w:val="1C1C1C"/>
          <w:spacing w:val="-14"/>
          <w:w w:val="105"/>
          <w:sz w:val="21"/>
        </w:rPr>
        <w:t> </w:t>
      </w:r>
      <w:r>
        <w:rPr>
          <w:color w:val="0A0A0A"/>
          <w:w w:val="105"/>
          <w:sz w:val="21"/>
        </w:rPr>
        <w:t>in</w:t>
      </w:r>
      <w:r>
        <w:rPr>
          <w:color w:val="0A0A0A"/>
          <w:spacing w:val="-15"/>
          <w:w w:val="105"/>
          <w:sz w:val="21"/>
        </w:rPr>
        <w:t> </w:t>
      </w:r>
      <w:r>
        <w:rPr>
          <w:color w:val="0A0A0A"/>
          <w:w w:val="105"/>
          <w:sz w:val="21"/>
        </w:rPr>
        <w:t>the</w:t>
      </w:r>
      <w:r>
        <w:rPr>
          <w:color w:val="0A0A0A"/>
          <w:spacing w:val="-14"/>
          <w:w w:val="105"/>
          <w:sz w:val="21"/>
        </w:rPr>
        <w:t> </w:t>
      </w:r>
      <w:r>
        <w:rPr>
          <w:color w:val="0A0A0A"/>
          <w:w w:val="105"/>
          <w:sz w:val="21"/>
        </w:rPr>
        <w:t>previous year's annual</w:t>
      </w:r>
      <w:r>
        <w:rPr>
          <w:color w:val="0A0A0A"/>
          <w:spacing w:val="-9"/>
          <w:w w:val="105"/>
          <w:sz w:val="21"/>
        </w:rPr>
        <w:t> </w:t>
      </w:r>
      <w:r>
        <w:rPr>
          <w:color w:val="0A0A0A"/>
          <w:w w:val="105"/>
          <w:sz w:val="21"/>
        </w:rPr>
        <w:t>governance statement have</w:t>
      </w:r>
      <w:r>
        <w:rPr>
          <w:color w:val="0A0A0A"/>
          <w:spacing w:val="-10"/>
          <w:w w:val="105"/>
          <w:sz w:val="21"/>
        </w:rPr>
        <w:t> </w:t>
      </w:r>
      <w:r>
        <w:rPr>
          <w:color w:val="0A0A0A"/>
          <w:w w:val="105"/>
          <w:sz w:val="21"/>
        </w:rPr>
        <w:t>been resolved, and</w:t>
      </w:r>
    </w:p>
    <w:p>
      <w:pPr>
        <w:pStyle w:val="ListParagraph"/>
        <w:numPr>
          <w:ilvl w:val="1"/>
          <w:numId w:val="29"/>
        </w:numPr>
        <w:tabs>
          <w:tab w:val="left" w:leader="none" w:pos="1473"/>
        </w:tabs>
        <w:spacing w:before="65" w:after="0" w:line="240" w:lineRule="auto"/>
        <w:ind w:left="1473" w:right="0" w:hanging="430"/>
        <w:jc w:val="left"/>
        <w:rPr>
          <w:color w:val="0A0A0A"/>
          <w:sz w:val="21"/>
        </w:rPr>
      </w:pPr>
      <w:r>
        <w:rPr>
          <w:color w:val="0A0A0A"/>
          <w:w w:val="105"/>
          <w:sz w:val="21"/>
        </w:rPr>
        <w:t>A</w:t>
      </w:r>
      <w:r>
        <w:rPr>
          <w:color w:val="0A0A0A"/>
          <w:spacing w:val="-16"/>
          <w:w w:val="105"/>
          <w:sz w:val="21"/>
        </w:rPr>
        <w:t> </w:t>
      </w:r>
      <w:r>
        <w:rPr>
          <w:color w:val="0A0A0A"/>
          <w:w w:val="105"/>
          <w:sz w:val="21"/>
        </w:rPr>
        <w:t>Conclusion</w:t>
      </w:r>
      <w:r>
        <w:rPr>
          <w:color w:val="0A0A0A"/>
          <w:spacing w:val="-5"/>
          <w:w w:val="105"/>
          <w:sz w:val="21"/>
        </w:rPr>
        <w:t> </w:t>
      </w:r>
      <w:r>
        <w:rPr>
          <w:color w:val="0A0A0A"/>
          <w:w w:val="105"/>
          <w:sz w:val="21"/>
        </w:rPr>
        <w:t>-</w:t>
      </w:r>
      <w:r>
        <w:rPr>
          <w:color w:val="0A0A0A"/>
          <w:spacing w:val="45"/>
          <w:w w:val="105"/>
          <w:sz w:val="21"/>
        </w:rPr>
        <w:t> </w:t>
      </w:r>
      <w:r>
        <w:rPr>
          <w:color w:val="0A0A0A"/>
          <w:w w:val="105"/>
          <w:sz w:val="21"/>
        </w:rPr>
        <w:t>a</w:t>
      </w:r>
      <w:r>
        <w:rPr>
          <w:color w:val="0A0A0A"/>
          <w:spacing w:val="-8"/>
          <w:w w:val="105"/>
          <w:sz w:val="21"/>
        </w:rPr>
        <w:t> </w:t>
      </w:r>
      <w:r>
        <w:rPr>
          <w:color w:val="0A0A0A"/>
          <w:w w:val="105"/>
          <w:sz w:val="21"/>
        </w:rPr>
        <w:t>commitment</w:t>
      </w:r>
      <w:r>
        <w:rPr>
          <w:color w:val="0A0A0A"/>
          <w:spacing w:val="13"/>
          <w:w w:val="105"/>
          <w:sz w:val="21"/>
        </w:rPr>
        <w:t> </w:t>
      </w:r>
      <w:r>
        <w:rPr>
          <w:color w:val="0A0A0A"/>
          <w:w w:val="105"/>
          <w:sz w:val="21"/>
        </w:rPr>
        <w:t>to</w:t>
      </w:r>
      <w:r>
        <w:rPr>
          <w:color w:val="0A0A0A"/>
          <w:spacing w:val="-11"/>
          <w:w w:val="105"/>
          <w:sz w:val="21"/>
        </w:rPr>
        <w:t> </w:t>
      </w:r>
      <w:r>
        <w:rPr>
          <w:color w:val="0A0A0A"/>
          <w:w w:val="105"/>
          <w:sz w:val="21"/>
        </w:rPr>
        <w:t>monitoring</w:t>
      </w:r>
      <w:r>
        <w:rPr>
          <w:color w:val="0A0A0A"/>
          <w:spacing w:val="7"/>
          <w:w w:val="105"/>
          <w:sz w:val="21"/>
        </w:rPr>
        <w:t> </w:t>
      </w:r>
      <w:r>
        <w:rPr>
          <w:color w:val="0A0A0A"/>
          <w:w w:val="105"/>
          <w:sz w:val="21"/>
        </w:rPr>
        <w:t>implementation</w:t>
      </w:r>
      <w:r>
        <w:rPr>
          <w:color w:val="0A0A0A"/>
          <w:spacing w:val="-15"/>
          <w:w w:val="105"/>
          <w:sz w:val="21"/>
        </w:rPr>
        <w:t> </w:t>
      </w:r>
      <w:r>
        <w:rPr>
          <w:color w:val="0A0A0A"/>
          <w:w w:val="105"/>
          <w:sz w:val="21"/>
        </w:rPr>
        <w:t>as</w:t>
      </w:r>
      <w:r>
        <w:rPr>
          <w:color w:val="0A0A0A"/>
          <w:spacing w:val="-11"/>
          <w:w w:val="105"/>
          <w:sz w:val="21"/>
        </w:rPr>
        <w:t> </w:t>
      </w:r>
      <w:r>
        <w:rPr>
          <w:color w:val="0A0A0A"/>
          <w:w w:val="105"/>
          <w:sz w:val="21"/>
        </w:rPr>
        <w:t>part</w:t>
      </w:r>
      <w:r>
        <w:rPr>
          <w:color w:val="0A0A0A"/>
          <w:spacing w:val="-4"/>
          <w:w w:val="105"/>
          <w:sz w:val="21"/>
        </w:rPr>
        <w:t> </w:t>
      </w:r>
      <w:r>
        <w:rPr>
          <w:color w:val="0A0A0A"/>
          <w:w w:val="105"/>
          <w:sz w:val="21"/>
        </w:rPr>
        <w:t>of</w:t>
      </w:r>
      <w:r>
        <w:rPr>
          <w:color w:val="0A0A0A"/>
          <w:spacing w:val="-9"/>
          <w:w w:val="105"/>
          <w:sz w:val="21"/>
        </w:rPr>
        <w:t> </w:t>
      </w:r>
      <w:r>
        <w:rPr>
          <w:color w:val="0A0A0A"/>
          <w:w w:val="105"/>
          <w:sz w:val="21"/>
        </w:rPr>
        <w:t>the</w:t>
      </w:r>
      <w:r>
        <w:rPr>
          <w:color w:val="0A0A0A"/>
          <w:spacing w:val="-10"/>
          <w:w w:val="105"/>
          <w:sz w:val="21"/>
        </w:rPr>
        <w:t> </w:t>
      </w:r>
      <w:r>
        <w:rPr>
          <w:color w:val="0A0A0A"/>
          <w:w w:val="105"/>
          <w:sz w:val="21"/>
        </w:rPr>
        <w:t>next</w:t>
      </w:r>
      <w:r>
        <w:rPr>
          <w:color w:val="0A0A0A"/>
          <w:spacing w:val="-2"/>
          <w:w w:val="105"/>
          <w:sz w:val="21"/>
        </w:rPr>
        <w:t> </w:t>
      </w:r>
      <w:r>
        <w:rPr>
          <w:color w:val="0A0A0A"/>
          <w:w w:val="105"/>
          <w:sz w:val="21"/>
        </w:rPr>
        <w:t>annual</w:t>
      </w:r>
      <w:r>
        <w:rPr>
          <w:color w:val="0A0A0A"/>
          <w:spacing w:val="-7"/>
          <w:w w:val="105"/>
          <w:sz w:val="21"/>
        </w:rPr>
        <w:t> </w:t>
      </w:r>
      <w:r>
        <w:rPr>
          <w:color w:val="0A0A0A"/>
          <w:spacing w:val="-2"/>
          <w:w w:val="105"/>
          <w:sz w:val="21"/>
        </w:rPr>
        <w:t>review.</w:t>
      </w:r>
    </w:p>
    <w:p>
      <w:pPr>
        <w:pStyle w:val="BodyText"/>
        <w:rPr>
          <w:sz w:val="21"/>
        </w:rPr>
      </w:pPr>
    </w:p>
    <w:p>
      <w:pPr>
        <w:pStyle w:val="BodyText"/>
        <w:spacing w:before="87"/>
        <w:rPr>
          <w:sz w:val="21"/>
        </w:rPr>
      </w:pPr>
    </w:p>
    <w:p>
      <w:pPr>
        <w:spacing w:before="1"/>
        <w:ind w:left="1047" w:right="0" w:firstLine="0"/>
        <w:jc w:val="left"/>
        <w:rPr>
          <w:b/>
          <w:sz w:val="21"/>
        </w:rPr>
      </w:pPr>
      <w:r>
        <w:rPr>
          <w:b/>
          <w:color w:val="0A0A0A"/>
          <w:w w:val="105"/>
          <w:sz w:val="21"/>
          <w:u w:val="thick" w:color="1C1C1C"/>
        </w:rPr>
        <w:t>SCOPE</w:t>
      </w:r>
      <w:r>
        <w:rPr>
          <w:b/>
          <w:color w:val="0A0A0A"/>
          <w:spacing w:val="9"/>
          <w:w w:val="105"/>
          <w:sz w:val="21"/>
          <w:u w:val="thick" w:color="1C1C1C"/>
        </w:rPr>
        <w:t> </w:t>
      </w:r>
      <w:r>
        <w:rPr>
          <w:b/>
          <w:color w:val="1C1C1C"/>
          <w:w w:val="105"/>
          <w:sz w:val="21"/>
          <w:u w:val="thick" w:color="1C1C1C"/>
        </w:rPr>
        <w:t>OF</w:t>
      </w:r>
      <w:r>
        <w:rPr>
          <w:b/>
          <w:color w:val="1C1C1C"/>
          <w:spacing w:val="-4"/>
          <w:w w:val="105"/>
          <w:sz w:val="21"/>
          <w:u w:val="thick" w:color="1C1C1C"/>
        </w:rPr>
        <w:t> </w:t>
      </w:r>
      <w:r>
        <w:rPr>
          <w:b/>
          <w:color w:val="1C1C1C"/>
          <w:spacing w:val="-2"/>
          <w:w w:val="105"/>
          <w:sz w:val="21"/>
          <w:u w:val="thick" w:color="1C1C1C"/>
        </w:rPr>
        <w:t>RESPONSIBILITY</w:t>
      </w:r>
    </w:p>
    <w:p>
      <w:pPr>
        <w:pStyle w:val="BodyText"/>
        <w:spacing w:before="26"/>
        <w:rPr>
          <w:b/>
          <w:sz w:val="21"/>
        </w:rPr>
      </w:pPr>
    </w:p>
    <w:p>
      <w:pPr>
        <w:pStyle w:val="ListParagraph"/>
        <w:numPr>
          <w:ilvl w:val="0"/>
          <w:numId w:val="29"/>
        </w:numPr>
        <w:tabs>
          <w:tab w:val="left" w:leader="none" w:pos="1018"/>
          <w:tab w:val="left" w:leader="none" w:pos="1025"/>
        </w:tabs>
        <w:spacing w:before="0" w:after="0" w:line="254" w:lineRule="auto"/>
        <w:ind w:left="1018" w:right="182" w:hanging="698"/>
        <w:jc w:val="both"/>
        <w:rPr>
          <w:color w:val="0A0A0A"/>
          <w:sz w:val="21"/>
        </w:rPr>
      </w:pPr>
      <w:r>
        <w:rPr>
          <w:color w:val="0A0A0A"/>
          <w:sz w:val="21"/>
        </w:rPr>
        <w:tab/>
      </w:r>
      <w:r>
        <w:rPr>
          <w:color w:val="0A0A0A"/>
          <w:w w:val="105"/>
          <w:sz w:val="21"/>
        </w:rPr>
        <w:t>Hertsmere </w:t>
      </w:r>
      <w:r>
        <w:rPr>
          <w:color w:val="1C1C1C"/>
          <w:w w:val="105"/>
          <w:sz w:val="21"/>
        </w:rPr>
        <w:t>Borough</w:t>
      </w:r>
      <w:r>
        <w:rPr>
          <w:color w:val="1C1C1C"/>
          <w:spacing w:val="-6"/>
          <w:w w:val="105"/>
          <w:sz w:val="21"/>
        </w:rPr>
        <w:t> </w:t>
      </w:r>
      <w:r>
        <w:rPr>
          <w:color w:val="1C1C1C"/>
          <w:w w:val="105"/>
          <w:sz w:val="21"/>
        </w:rPr>
        <w:t>Council</w:t>
      </w:r>
      <w:r>
        <w:rPr>
          <w:color w:val="1C1C1C"/>
          <w:spacing w:val="-2"/>
          <w:w w:val="105"/>
          <w:sz w:val="21"/>
        </w:rPr>
        <w:t> </w:t>
      </w:r>
      <w:r>
        <w:rPr>
          <w:color w:val="0A0A0A"/>
          <w:w w:val="105"/>
          <w:sz w:val="21"/>
        </w:rPr>
        <w:t>is</w:t>
      </w:r>
      <w:r>
        <w:rPr>
          <w:color w:val="0A0A0A"/>
          <w:spacing w:val="-8"/>
          <w:w w:val="105"/>
          <w:sz w:val="21"/>
        </w:rPr>
        <w:t> </w:t>
      </w:r>
      <w:r>
        <w:rPr>
          <w:color w:val="0A0A0A"/>
          <w:w w:val="105"/>
          <w:sz w:val="21"/>
        </w:rPr>
        <w:t>responsible for</w:t>
      </w:r>
      <w:r>
        <w:rPr>
          <w:color w:val="0A0A0A"/>
          <w:spacing w:val="-10"/>
          <w:w w:val="105"/>
          <w:sz w:val="21"/>
        </w:rPr>
        <w:t> </w:t>
      </w:r>
      <w:r>
        <w:rPr>
          <w:color w:val="0A0A0A"/>
          <w:w w:val="105"/>
          <w:sz w:val="21"/>
        </w:rPr>
        <w:t>ensuring</w:t>
      </w:r>
      <w:r>
        <w:rPr>
          <w:color w:val="0A0A0A"/>
          <w:spacing w:val="-8"/>
          <w:w w:val="105"/>
          <w:sz w:val="21"/>
        </w:rPr>
        <w:t> </w:t>
      </w:r>
      <w:r>
        <w:rPr>
          <w:color w:val="0A0A0A"/>
          <w:w w:val="105"/>
          <w:sz w:val="21"/>
        </w:rPr>
        <w:t>that</w:t>
      </w:r>
      <w:r>
        <w:rPr>
          <w:color w:val="0A0A0A"/>
          <w:spacing w:val="-3"/>
          <w:w w:val="105"/>
          <w:sz w:val="21"/>
        </w:rPr>
        <w:t> </w:t>
      </w:r>
      <w:r>
        <w:rPr>
          <w:color w:val="313131"/>
          <w:w w:val="105"/>
          <w:sz w:val="21"/>
        </w:rPr>
        <w:t>its</w:t>
      </w:r>
      <w:r>
        <w:rPr>
          <w:color w:val="313131"/>
          <w:spacing w:val="-12"/>
          <w:w w:val="105"/>
          <w:sz w:val="21"/>
        </w:rPr>
        <w:t> </w:t>
      </w:r>
      <w:r>
        <w:rPr>
          <w:color w:val="1C1C1C"/>
          <w:w w:val="105"/>
          <w:sz w:val="21"/>
        </w:rPr>
        <w:t>business </w:t>
      </w:r>
      <w:r>
        <w:rPr>
          <w:color w:val="0A0A0A"/>
          <w:w w:val="105"/>
          <w:sz w:val="21"/>
        </w:rPr>
        <w:t>is</w:t>
      </w:r>
      <w:r>
        <w:rPr>
          <w:color w:val="0A0A0A"/>
          <w:spacing w:val="-11"/>
          <w:w w:val="105"/>
          <w:sz w:val="21"/>
        </w:rPr>
        <w:t> </w:t>
      </w:r>
      <w:r>
        <w:rPr>
          <w:color w:val="0A0A0A"/>
          <w:w w:val="105"/>
          <w:sz w:val="21"/>
        </w:rPr>
        <w:t>conducted </w:t>
      </w:r>
      <w:r>
        <w:rPr>
          <w:color w:val="313131"/>
          <w:w w:val="105"/>
          <w:sz w:val="21"/>
        </w:rPr>
        <w:t>in</w:t>
      </w:r>
      <w:r>
        <w:rPr>
          <w:color w:val="313131"/>
          <w:spacing w:val="-13"/>
          <w:w w:val="105"/>
          <w:sz w:val="21"/>
        </w:rPr>
        <w:t> </w:t>
      </w:r>
      <w:r>
        <w:rPr>
          <w:color w:val="1C1C1C"/>
          <w:w w:val="105"/>
          <w:sz w:val="21"/>
        </w:rPr>
        <w:t>accordance </w:t>
      </w:r>
      <w:r>
        <w:rPr>
          <w:color w:val="0A0A0A"/>
          <w:w w:val="105"/>
          <w:sz w:val="21"/>
        </w:rPr>
        <w:t>with</w:t>
      </w:r>
      <w:r>
        <w:rPr>
          <w:color w:val="0A0A0A"/>
          <w:spacing w:val="-9"/>
          <w:w w:val="105"/>
          <w:sz w:val="21"/>
        </w:rPr>
        <w:t> </w:t>
      </w:r>
      <w:r>
        <w:rPr>
          <w:color w:val="0A0A0A"/>
          <w:w w:val="105"/>
          <w:sz w:val="21"/>
        </w:rPr>
        <w:t>the</w:t>
      </w:r>
      <w:r>
        <w:rPr>
          <w:color w:val="0A0A0A"/>
          <w:spacing w:val="-3"/>
          <w:w w:val="105"/>
          <w:sz w:val="21"/>
        </w:rPr>
        <w:t> </w:t>
      </w:r>
      <w:r>
        <w:rPr>
          <w:color w:val="1C1C1C"/>
          <w:w w:val="105"/>
          <w:sz w:val="21"/>
        </w:rPr>
        <w:t>law</w:t>
      </w:r>
      <w:r>
        <w:rPr>
          <w:color w:val="1C1C1C"/>
          <w:spacing w:val="-8"/>
          <w:w w:val="105"/>
          <w:sz w:val="21"/>
        </w:rPr>
        <w:t> </w:t>
      </w:r>
      <w:r>
        <w:rPr>
          <w:color w:val="1C1C1C"/>
          <w:w w:val="105"/>
          <w:sz w:val="21"/>
        </w:rPr>
        <w:t>and</w:t>
      </w:r>
      <w:r>
        <w:rPr>
          <w:color w:val="1C1C1C"/>
          <w:spacing w:val="-10"/>
          <w:w w:val="105"/>
          <w:sz w:val="21"/>
        </w:rPr>
        <w:t> </w:t>
      </w:r>
      <w:r>
        <w:rPr>
          <w:color w:val="1C1C1C"/>
          <w:w w:val="105"/>
          <w:sz w:val="21"/>
        </w:rPr>
        <w:t>proper</w:t>
      </w:r>
      <w:r>
        <w:rPr>
          <w:color w:val="1C1C1C"/>
          <w:spacing w:val="-1"/>
          <w:w w:val="105"/>
          <w:sz w:val="21"/>
        </w:rPr>
        <w:t> </w:t>
      </w:r>
      <w:r>
        <w:rPr>
          <w:color w:val="1C1C1C"/>
          <w:w w:val="105"/>
          <w:sz w:val="21"/>
        </w:rPr>
        <w:t>standards and</w:t>
      </w:r>
      <w:r>
        <w:rPr>
          <w:color w:val="1C1C1C"/>
          <w:spacing w:val="-14"/>
          <w:w w:val="105"/>
          <w:sz w:val="21"/>
        </w:rPr>
        <w:t> </w:t>
      </w:r>
      <w:r>
        <w:rPr>
          <w:color w:val="1C1C1C"/>
          <w:w w:val="105"/>
          <w:sz w:val="21"/>
        </w:rPr>
        <w:t>that</w:t>
      </w:r>
      <w:r>
        <w:rPr>
          <w:color w:val="1C1C1C"/>
          <w:spacing w:val="-13"/>
          <w:w w:val="105"/>
          <w:sz w:val="21"/>
        </w:rPr>
        <w:t> </w:t>
      </w:r>
      <w:r>
        <w:rPr>
          <w:color w:val="0A0A0A"/>
          <w:w w:val="105"/>
          <w:sz w:val="21"/>
        </w:rPr>
        <w:t>public </w:t>
      </w:r>
      <w:r>
        <w:rPr>
          <w:color w:val="1C1C1C"/>
          <w:w w:val="105"/>
          <w:sz w:val="21"/>
        </w:rPr>
        <w:t>money </w:t>
      </w:r>
      <w:r>
        <w:rPr>
          <w:color w:val="0A0A0A"/>
          <w:w w:val="105"/>
          <w:sz w:val="21"/>
        </w:rPr>
        <w:t>is</w:t>
      </w:r>
      <w:r>
        <w:rPr>
          <w:color w:val="0A0A0A"/>
          <w:spacing w:val="-1"/>
          <w:w w:val="105"/>
          <w:sz w:val="21"/>
        </w:rPr>
        <w:t> </w:t>
      </w:r>
      <w:r>
        <w:rPr>
          <w:color w:val="1C1C1C"/>
          <w:w w:val="105"/>
          <w:sz w:val="21"/>
        </w:rPr>
        <w:t>safeguarded </w:t>
      </w:r>
      <w:r>
        <w:rPr>
          <w:color w:val="0A0A0A"/>
          <w:w w:val="105"/>
          <w:sz w:val="21"/>
        </w:rPr>
        <w:t>and</w:t>
      </w:r>
      <w:r>
        <w:rPr>
          <w:color w:val="0A0A0A"/>
          <w:spacing w:val="-5"/>
          <w:w w:val="105"/>
          <w:sz w:val="21"/>
        </w:rPr>
        <w:t> </w:t>
      </w:r>
      <w:r>
        <w:rPr>
          <w:color w:val="1C1C1C"/>
          <w:w w:val="105"/>
          <w:sz w:val="21"/>
        </w:rPr>
        <w:t>properly accounted for </w:t>
      </w:r>
      <w:r>
        <w:rPr>
          <w:color w:val="0A0A0A"/>
          <w:w w:val="105"/>
          <w:sz w:val="21"/>
        </w:rPr>
        <w:t>and used economically, efficiently and effectively.</w:t>
      </w:r>
    </w:p>
    <w:p>
      <w:pPr>
        <w:pStyle w:val="BodyText"/>
        <w:spacing w:before="9"/>
        <w:rPr>
          <w:sz w:val="21"/>
        </w:rPr>
      </w:pPr>
    </w:p>
    <w:p>
      <w:pPr>
        <w:pStyle w:val="ListParagraph"/>
        <w:numPr>
          <w:ilvl w:val="0"/>
          <w:numId w:val="29"/>
        </w:numPr>
        <w:tabs>
          <w:tab w:val="left" w:leader="none" w:pos="1008"/>
          <w:tab w:val="left" w:leader="none" w:pos="1011"/>
        </w:tabs>
        <w:spacing w:before="0" w:after="0" w:line="252" w:lineRule="auto"/>
        <w:ind w:left="1008" w:right="175" w:hanging="702"/>
        <w:jc w:val="left"/>
        <w:rPr>
          <w:color w:val="0A0A0A"/>
          <w:sz w:val="21"/>
        </w:rPr>
      </w:pPr>
      <w:r>
        <w:rPr>
          <w:color w:val="4F4F4F"/>
          <w:sz w:val="21"/>
        </w:rPr>
        <w:tab/>
      </w:r>
      <w:r>
        <w:rPr>
          <w:color w:val="0A0A0A"/>
          <w:w w:val="105"/>
          <w:sz w:val="21"/>
        </w:rPr>
        <w:t>The</w:t>
      </w:r>
      <w:r>
        <w:rPr>
          <w:color w:val="0A0A0A"/>
          <w:spacing w:val="-8"/>
          <w:w w:val="105"/>
          <w:sz w:val="21"/>
        </w:rPr>
        <w:t> </w:t>
      </w:r>
      <w:r>
        <w:rPr>
          <w:color w:val="0A0A0A"/>
          <w:w w:val="105"/>
          <w:sz w:val="21"/>
        </w:rPr>
        <w:t>Council also has</w:t>
      </w:r>
      <w:r>
        <w:rPr>
          <w:color w:val="0A0A0A"/>
          <w:spacing w:val="-5"/>
          <w:w w:val="105"/>
          <w:sz w:val="21"/>
        </w:rPr>
        <w:t> </w:t>
      </w:r>
      <w:r>
        <w:rPr>
          <w:color w:val="0A0A0A"/>
          <w:w w:val="105"/>
          <w:sz w:val="21"/>
        </w:rPr>
        <w:t>a</w:t>
      </w:r>
      <w:r>
        <w:rPr>
          <w:color w:val="0A0A0A"/>
          <w:spacing w:val="-10"/>
          <w:w w:val="105"/>
          <w:sz w:val="21"/>
        </w:rPr>
        <w:t> </w:t>
      </w:r>
      <w:r>
        <w:rPr>
          <w:color w:val="0A0A0A"/>
          <w:w w:val="105"/>
          <w:sz w:val="21"/>
        </w:rPr>
        <w:t>duty under</w:t>
      </w:r>
      <w:r>
        <w:rPr>
          <w:color w:val="0A0A0A"/>
          <w:spacing w:val="-1"/>
          <w:w w:val="105"/>
          <w:sz w:val="21"/>
        </w:rPr>
        <w:t> </w:t>
      </w:r>
      <w:r>
        <w:rPr>
          <w:color w:val="0A0A0A"/>
          <w:w w:val="105"/>
          <w:sz w:val="21"/>
        </w:rPr>
        <w:t>the</w:t>
      </w:r>
      <w:r>
        <w:rPr>
          <w:color w:val="0A0A0A"/>
          <w:spacing w:val="-3"/>
          <w:w w:val="105"/>
          <w:sz w:val="21"/>
        </w:rPr>
        <w:t> </w:t>
      </w:r>
      <w:r>
        <w:rPr>
          <w:color w:val="0A0A0A"/>
          <w:w w:val="105"/>
          <w:sz w:val="21"/>
        </w:rPr>
        <w:t>Local</w:t>
      </w:r>
      <w:r>
        <w:rPr>
          <w:color w:val="0A0A0A"/>
          <w:spacing w:val="-12"/>
          <w:w w:val="105"/>
          <w:sz w:val="21"/>
        </w:rPr>
        <w:t> </w:t>
      </w:r>
      <w:r>
        <w:rPr>
          <w:color w:val="0A0A0A"/>
          <w:w w:val="105"/>
          <w:sz w:val="21"/>
        </w:rPr>
        <w:t>Government Act</w:t>
      </w:r>
      <w:r>
        <w:rPr>
          <w:color w:val="0A0A0A"/>
          <w:spacing w:val="-3"/>
          <w:w w:val="105"/>
          <w:sz w:val="21"/>
        </w:rPr>
        <w:t> </w:t>
      </w:r>
      <w:r>
        <w:rPr>
          <w:color w:val="0A0A0A"/>
          <w:w w:val="105"/>
          <w:sz w:val="21"/>
        </w:rPr>
        <w:t>1999</w:t>
      </w:r>
      <w:r>
        <w:rPr>
          <w:color w:val="0A0A0A"/>
          <w:spacing w:val="-5"/>
          <w:w w:val="105"/>
          <w:sz w:val="21"/>
        </w:rPr>
        <w:t> </w:t>
      </w:r>
      <w:r>
        <w:rPr>
          <w:color w:val="0A0A0A"/>
          <w:w w:val="105"/>
          <w:sz w:val="21"/>
        </w:rPr>
        <w:t>to</w:t>
      </w:r>
      <w:r>
        <w:rPr>
          <w:color w:val="0A0A0A"/>
          <w:spacing w:val="-12"/>
          <w:w w:val="105"/>
          <w:sz w:val="21"/>
        </w:rPr>
        <w:t> </w:t>
      </w:r>
      <w:r>
        <w:rPr>
          <w:color w:val="0A0A0A"/>
          <w:w w:val="105"/>
          <w:sz w:val="21"/>
        </w:rPr>
        <w:t>make</w:t>
      </w:r>
      <w:r>
        <w:rPr>
          <w:color w:val="0A0A0A"/>
          <w:spacing w:val="-4"/>
          <w:w w:val="105"/>
          <w:sz w:val="21"/>
        </w:rPr>
        <w:t> </w:t>
      </w:r>
      <w:r>
        <w:rPr>
          <w:color w:val="0A0A0A"/>
          <w:w w:val="105"/>
          <w:sz w:val="21"/>
        </w:rPr>
        <w:t>arrangements </w:t>
      </w:r>
      <w:r>
        <w:rPr>
          <w:color w:val="1C1C1C"/>
          <w:w w:val="105"/>
          <w:sz w:val="21"/>
        </w:rPr>
        <w:t>to</w:t>
      </w:r>
      <w:r>
        <w:rPr>
          <w:color w:val="1C1C1C"/>
          <w:spacing w:val="-11"/>
          <w:w w:val="105"/>
          <w:sz w:val="21"/>
        </w:rPr>
        <w:t> </w:t>
      </w:r>
      <w:r>
        <w:rPr>
          <w:color w:val="0A0A0A"/>
          <w:w w:val="105"/>
          <w:sz w:val="21"/>
        </w:rPr>
        <w:t>secure continuous improvement in</w:t>
      </w:r>
      <w:r>
        <w:rPr>
          <w:color w:val="0A0A0A"/>
          <w:spacing w:val="-3"/>
          <w:w w:val="105"/>
          <w:sz w:val="21"/>
        </w:rPr>
        <w:t> </w:t>
      </w:r>
      <w:r>
        <w:rPr>
          <w:color w:val="0A0A0A"/>
          <w:w w:val="105"/>
          <w:sz w:val="21"/>
        </w:rPr>
        <w:t>the way in which its functions are</w:t>
      </w:r>
      <w:r>
        <w:rPr>
          <w:color w:val="0A0A0A"/>
          <w:spacing w:val="-2"/>
          <w:w w:val="105"/>
          <w:sz w:val="21"/>
        </w:rPr>
        <w:t> </w:t>
      </w:r>
      <w:r>
        <w:rPr>
          <w:color w:val="0A0A0A"/>
          <w:w w:val="105"/>
          <w:sz w:val="21"/>
        </w:rPr>
        <w:t>exercised, having regard to a combination of economy, efficiency and effectiveness.</w:t>
      </w:r>
    </w:p>
    <w:p>
      <w:pPr>
        <w:pStyle w:val="BodyText"/>
        <w:spacing w:before="12"/>
        <w:rPr>
          <w:sz w:val="21"/>
        </w:rPr>
      </w:pPr>
    </w:p>
    <w:p>
      <w:pPr>
        <w:pStyle w:val="ListParagraph"/>
        <w:numPr>
          <w:ilvl w:val="0"/>
          <w:numId w:val="29"/>
        </w:numPr>
        <w:tabs>
          <w:tab w:val="left" w:leader="none" w:pos="1001"/>
        </w:tabs>
        <w:spacing w:before="0" w:after="0" w:line="249" w:lineRule="auto"/>
        <w:ind w:left="1001" w:right="708" w:hanging="710"/>
        <w:jc w:val="left"/>
        <w:rPr>
          <w:color w:val="0A0A0A"/>
          <w:sz w:val="21"/>
        </w:rPr>
      </w:pPr>
      <w:r>
        <w:rPr>
          <w:color w:val="313131"/>
          <w:w w:val="105"/>
          <w:sz w:val="21"/>
        </w:rPr>
        <w:t>In </w:t>
      </w:r>
      <w:r>
        <w:rPr>
          <w:color w:val="1C1C1C"/>
          <w:w w:val="105"/>
          <w:sz w:val="21"/>
        </w:rPr>
        <w:t>discharging this overall responsibility</w:t>
      </w:r>
      <w:r>
        <w:rPr>
          <w:color w:val="606060"/>
          <w:w w:val="105"/>
          <w:sz w:val="21"/>
        </w:rPr>
        <w:t>,</w:t>
      </w:r>
      <w:r>
        <w:rPr>
          <w:color w:val="606060"/>
          <w:spacing w:val="-13"/>
          <w:w w:val="105"/>
          <w:sz w:val="21"/>
        </w:rPr>
        <w:t> </w:t>
      </w:r>
      <w:r>
        <w:rPr>
          <w:color w:val="313131"/>
          <w:w w:val="105"/>
          <w:sz w:val="21"/>
        </w:rPr>
        <w:t>the </w:t>
      </w:r>
      <w:r>
        <w:rPr>
          <w:color w:val="1C1C1C"/>
          <w:w w:val="105"/>
          <w:sz w:val="21"/>
        </w:rPr>
        <w:t>Council </w:t>
      </w:r>
      <w:r>
        <w:rPr>
          <w:color w:val="0A0A0A"/>
          <w:w w:val="105"/>
          <w:sz w:val="21"/>
        </w:rPr>
        <w:t>is </w:t>
      </w:r>
      <w:r>
        <w:rPr>
          <w:color w:val="1C1C1C"/>
          <w:w w:val="105"/>
          <w:sz w:val="21"/>
        </w:rPr>
        <w:t>responsible for </w:t>
      </w:r>
      <w:r>
        <w:rPr>
          <w:color w:val="0A0A0A"/>
          <w:w w:val="105"/>
          <w:sz w:val="21"/>
        </w:rPr>
        <w:t>putting in place proper </w:t>
      </w:r>
      <w:r>
        <w:rPr>
          <w:color w:val="1C1C1C"/>
          <w:w w:val="105"/>
          <w:sz w:val="21"/>
        </w:rPr>
        <w:t>arrangements for</w:t>
      </w:r>
      <w:r>
        <w:rPr>
          <w:color w:val="1C1C1C"/>
          <w:spacing w:val="-5"/>
          <w:w w:val="105"/>
          <w:sz w:val="21"/>
        </w:rPr>
        <w:t> </w:t>
      </w:r>
      <w:r>
        <w:rPr>
          <w:color w:val="1C1C1C"/>
          <w:w w:val="105"/>
          <w:sz w:val="21"/>
        </w:rPr>
        <w:t>the</w:t>
      </w:r>
      <w:r>
        <w:rPr>
          <w:color w:val="1C1C1C"/>
          <w:spacing w:val="-9"/>
          <w:w w:val="105"/>
          <w:sz w:val="21"/>
        </w:rPr>
        <w:t> </w:t>
      </w:r>
      <w:r>
        <w:rPr>
          <w:color w:val="1C1C1C"/>
          <w:w w:val="105"/>
          <w:sz w:val="21"/>
        </w:rPr>
        <w:t>governance of</w:t>
      </w:r>
      <w:r>
        <w:rPr>
          <w:color w:val="1C1C1C"/>
          <w:spacing w:val="-12"/>
          <w:w w:val="105"/>
          <w:sz w:val="21"/>
        </w:rPr>
        <w:t> </w:t>
      </w:r>
      <w:r>
        <w:rPr>
          <w:color w:val="0A0A0A"/>
          <w:w w:val="105"/>
          <w:sz w:val="21"/>
        </w:rPr>
        <w:t>its</w:t>
      </w:r>
      <w:r>
        <w:rPr>
          <w:color w:val="0A0A0A"/>
          <w:spacing w:val="-5"/>
          <w:w w:val="105"/>
          <w:sz w:val="21"/>
        </w:rPr>
        <w:t> </w:t>
      </w:r>
      <w:r>
        <w:rPr>
          <w:color w:val="1C1C1C"/>
          <w:w w:val="105"/>
          <w:sz w:val="21"/>
        </w:rPr>
        <w:t>affairs</w:t>
      </w:r>
      <w:r>
        <w:rPr>
          <w:color w:val="4F4F4F"/>
          <w:w w:val="105"/>
          <w:sz w:val="21"/>
        </w:rPr>
        <w:t>,</w:t>
      </w:r>
      <w:r>
        <w:rPr>
          <w:color w:val="4F4F4F"/>
          <w:spacing w:val="-16"/>
          <w:w w:val="105"/>
          <w:sz w:val="21"/>
        </w:rPr>
        <w:t> </w:t>
      </w:r>
      <w:r>
        <w:rPr>
          <w:color w:val="1C1C1C"/>
          <w:w w:val="105"/>
          <w:sz w:val="21"/>
        </w:rPr>
        <w:t>facilitating the</w:t>
      </w:r>
      <w:r>
        <w:rPr>
          <w:color w:val="1C1C1C"/>
          <w:spacing w:val="-12"/>
          <w:w w:val="105"/>
          <w:sz w:val="21"/>
        </w:rPr>
        <w:t> </w:t>
      </w:r>
      <w:r>
        <w:rPr>
          <w:color w:val="1C1C1C"/>
          <w:w w:val="105"/>
          <w:sz w:val="21"/>
        </w:rPr>
        <w:t>effective </w:t>
      </w:r>
      <w:r>
        <w:rPr>
          <w:color w:val="0A0A0A"/>
          <w:w w:val="105"/>
          <w:sz w:val="21"/>
        </w:rPr>
        <w:t>exercise of</w:t>
      </w:r>
      <w:r>
        <w:rPr>
          <w:color w:val="0A0A0A"/>
          <w:spacing w:val="-8"/>
          <w:w w:val="105"/>
          <w:sz w:val="21"/>
        </w:rPr>
        <w:t> </w:t>
      </w:r>
      <w:r>
        <w:rPr>
          <w:color w:val="0A0A0A"/>
          <w:w w:val="105"/>
          <w:sz w:val="21"/>
        </w:rPr>
        <w:t>its</w:t>
      </w:r>
      <w:r>
        <w:rPr>
          <w:color w:val="0A0A0A"/>
          <w:spacing w:val="-13"/>
          <w:w w:val="105"/>
          <w:sz w:val="21"/>
        </w:rPr>
        <w:t> </w:t>
      </w:r>
      <w:r>
        <w:rPr>
          <w:color w:val="0A0A0A"/>
          <w:w w:val="105"/>
          <w:sz w:val="21"/>
        </w:rPr>
        <w:t>functions, </w:t>
      </w:r>
      <w:r>
        <w:rPr>
          <w:color w:val="1C1C1C"/>
          <w:w w:val="105"/>
          <w:sz w:val="21"/>
        </w:rPr>
        <w:t>which </w:t>
      </w:r>
      <w:r>
        <w:rPr>
          <w:color w:val="313131"/>
          <w:w w:val="105"/>
          <w:sz w:val="21"/>
        </w:rPr>
        <w:t>includes </w:t>
      </w:r>
      <w:r>
        <w:rPr>
          <w:color w:val="0A0A0A"/>
          <w:w w:val="105"/>
          <w:sz w:val="21"/>
        </w:rPr>
        <w:t>arrangements </w:t>
      </w:r>
      <w:r>
        <w:rPr>
          <w:color w:val="1C1C1C"/>
          <w:w w:val="105"/>
          <w:sz w:val="21"/>
        </w:rPr>
        <w:t>for the management </w:t>
      </w:r>
      <w:r>
        <w:rPr>
          <w:color w:val="0A0A0A"/>
          <w:w w:val="105"/>
          <w:sz w:val="21"/>
        </w:rPr>
        <w:t>of risk.</w:t>
      </w:r>
    </w:p>
    <w:p>
      <w:pPr>
        <w:pStyle w:val="BodyText"/>
        <w:spacing w:before="19"/>
        <w:rPr>
          <w:sz w:val="21"/>
        </w:rPr>
      </w:pPr>
    </w:p>
    <w:p>
      <w:pPr>
        <w:pStyle w:val="ListParagraph"/>
        <w:numPr>
          <w:ilvl w:val="0"/>
          <w:numId w:val="29"/>
        </w:numPr>
        <w:tabs>
          <w:tab w:val="left" w:leader="none" w:pos="983"/>
          <w:tab w:val="left" w:leader="none" w:pos="987"/>
        </w:tabs>
        <w:spacing w:before="0" w:after="0" w:line="252" w:lineRule="auto"/>
        <w:ind w:left="983" w:right="205" w:hanging="706"/>
        <w:jc w:val="left"/>
        <w:rPr>
          <w:color w:val="0A0A0A"/>
          <w:sz w:val="21"/>
        </w:rPr>
      </w:pPr>
      <w:r>
        <w:rPr>
          <w:color w:val="606060"/>
          <w:sz w:val="21"/>
        </w:rPr>
        <w:tab/>
      </w:r>
      <w:r>
        <w:rPr>
          <w:color w:val="0A0A0A"/>
          <w:w w:val="105"/>
          <w:sz w:val="21"/>
        </w:rPr>
        <w:t>This</w:t>
      </w:r>
      <w:r>
        <w:rPr>
          <w:color w:val="0A0A0A"/>
          <w:spacing w:val="-10"/>
          <w:w w:val="105"/>
          <w:sz w:val="21"/>
        </w:rPr>
        <w:t> </w:t>
      </w:r>
      <w:r>
        <w:rPr>
          <w:color w:val="0A0A0A"/>
          <w:w w:val="105"/>
          <w:sz w:val="21"/>
        </w:rPr>
        <w:t>Governance Statement explains</w:t>
      </w:r>
      <w:r>
        <w:rPr>
          <w:color w:val="0A0A0A"/>
          <w:spacing w:val="-3"/>
          <w:w w:val="105"/>
          <w:sz w:val="21"/>
        </w:rPr>
        <w:t> </w:t>
      </w:r>
      <w:r>
        <w:rPr>
          <w:color w:val="0A0A0A"/>
          <w:w w:val="105"/>
          <w:sz w:val="21"/>
        </w:rPr>
        <w:t>how</w:t>
      </w:r>
      <w:r>
        <w:rPr>
          <w:color w:val="0A0A0A"/>
          <w:spacing w:val="-11"/>
          <w:w w:val="105"/>
          <w:sz w:val="21"/>
        </w:rPr>
        <w:t> </w:t>
      </w:r>
      <w:r>
        <w:rPr>
          <w:color w:val="0A0A0A"/>
          <w:w w:val="105"/>
          <w:sz w:val="21"/>
        </w:rPr>
        <w:t>the</w:t>
      </w:r>
      <w:r>
        <w:rPr>
          <w:color w:val="0A0A0A"/>
          <w:spacing w:val="-6"/>
          <w:w w:val="105"/>
          <w:sz w:val="21"/>
        </w:rPr>
        <w:t> </w:t>
      </w:r>
      <w:r>
        <w:rPr>
          <w:color w:val="0A0A0A"/>
          <w:w w:val="105"/>
          <w:sz w:val="21"/>
        </w:rPr>
        <w:t>Council</w:t>
      </w:r>
      <w:r>
        <w:rPr>
          <w:color w:val="0A0A0A"/>
          <w:spacing w:val="-9"/>
          <w:w w:val="105"/>
          <w:sz w:val="21"/>
        </w:rPr>
        <w:t> </w:t>
      </w:r>
      <w:r>
        <w:rPr>
          <w:color w:val="0A0A0A"/>
          <w:w w:val="105"/>
          <w:sz w:val="21"/>
        </w:rPr>
        <w:t>has maintained</w:t>
      </w:r>
      <w:r>
        <w:rPr>
          <w:color w:val="0A0A0A"/>
          <w:spacing w:val="-2"/>
          <w:w w:val="105"/>
          <w:sz w:val="21"/>
        </w:rPr>
        <w:t> </w:t>
      </w:r>
      <w:r>
        <w:rPr>
          <w:color w:val="0A0A0A"/>
          <w:w w:val="105"/>
          <w:sz w:val="21"/>
        </w:rPr>
        <w:t>sound</w:t>
      </w:r>
      <w:r>
        <w:rPr>
          <w:color w:val="0A0A0A"/>
          <w:spacing w:val="-6"/>
          <w:w w:val="105"/>
          <w:sz w:val="21"/>
        </w:rPr>
        <w:t> </w:t>
      </w:r>
      <w:r>
        <w:rPr>
          <w:color w:val="0A0A0A"/>
          <w:w w:val="105"/>
          <w:sz w:val="21"/>
        </w:rPr>
        <w:t>governance during</w:t>
      </w:r>
      <w:r>
        <w:rPr>
          <w:color w:val="0A0A0A"/>
          <w:spacing w:val="-5"/>
          <w:w w:val="105"/>
          <w:sz w:val="21"/>
        </w:rPr>
        <w:t> </w:t>
      </w:r>
      <w:r>
        <w:rPr>
          <w:color w:val="0A0A0A"/>
          <w:w w:val="105"/>
          <w:sz w:val="21"/>
        </w:rPr>
        <w:t>the financial year 2022/23 and also how</w:t>
      </w:r>
      <w:r>
        <w:rPr>
          <w:color w:val="0A0A0A"/>
          <w:spacing w:val="-4"/>
          <w:w w:val="105"/>
          <w:sz w:val="21"/>
        </w:rPr>
        <w:t> </w:t>
      </w:r>
      <w:r>
        <w:rPr>
          <w:color w:val="0A0A0A"/>
          <w:w w:val="105"/>
          <w:sz w:val="21"/>
        </w:rPr>
        <w:t>the Council meets the requirements of regulation 6(1) of the Accounts and Audit Regulations 2015.</w:t>
      </w:r>
    </w:p>
    <w:p>
      <w:pPr>
        <w:pStyle w:val="BodyText"/>
        <w:rPr>
          <w:sz w:val="21"/>
        </w:rPr>
      </w:pPr>
    </w:p>
    <w:p>
      <w:pPr>
        <w:pStyle w:val="BodyText"/>
        <w:spacing w:before="16"/>
        <w:rPr>
          <w:sz w:val="21"/>
        </w:rPr>
      </w:pPr>
    </w:p>
    <w:p>
      <w:pPr>
        <w:spacing w:before="0"/>
        <w:ind w:left="988" w:right="0" w:firstLine="0"/>
        <w:jc w:val="left"/>
        <w:rPr>
          <w:b/>
          <w:sz w:val="21"/>
        </w:rPr>
      </w:pPr>
      <w:r>
        <w:rPr>
          <w:b/>
          <w:color w:val="1C1C1C"/>
          <w:w w:val="105"/>
          <w:sz w:val="21"/>
          <w:u w:val="thick" w:color="0A0A0A"/>
        </w:rPr>
        <w:t>THE</w:t>
      </w:r>
      <w:r>
        <w:rPr>
          <w:b/>
          <w:color w:val="1C1C1C"/>
          <w:spacing w:val="-8"/>
          <w:w w:val="105"/>
          <w:sz w:val="21"/>
          <w:u w:val="thick" w:color="0A0A0A"/>
        </w:rPr>
        <w:t> </w:t>
      </w:r>
      <w:r>
        <w:rPr>
          <w:b/>
          <w:color w:val="1C1C1C"/>
          <w:w w:val="105"/>
          <w:sz w:val="21"/>
          <w:u w:val="thick" w:color="0A0A0A"/>
        </w:rPr>
        <w:t>PURPOSE</w:t>
      </w:r>
      <w:r>
        <w:rPr>
          <w:b/>
          <w:color w:val="1C1C1C"/>
          <w:spacing w:val="4"/>
          <w:w w:val="105"/>
          <w:sz w:val="21"/>
          <w:u w:val="thick" w:color="0A0A0A"/>
        </w:rPr>
        <w:t> </w:t>
      </w:r>
      <w:r>
        <w:rPr>
          <w:b/>
          <w:color w:val="1C1C1C"/>
          <w:w w:val="105"/>
          <w:sz w:val="21"/>
          <w:u w:val="thick" w:color="0A0A0A"/>
        </w:rPr>
        <w:t>OF</w:t>
      </w:r>
      <w:r>
        <w:rPr>
          <w:b/>
          <w:color w:val="1C1C1C"/>
          <w:spacing w:val="-16"/>
          <w:w w:val="105"/>
          <w:sz w:val="21"/>
          <w:u w:val="thick" w:color="0A0A0A"/>
        </w:rPr>
        <w:t> </w:t>
      </w:r>
      <w:r>
        <w:rPr>
          <w:b/>
          <w:color w:val="1C1C1C"/>
          <w:w w:val="105"/>
          <w:sz w:val="21"/>
          <w:u w:val="thick" w:color="0A0A0A"/>
        </w:rPr>
        <w:t>THE</w:t>
      </w:r>
      <w:r>
        <w:rPr>
          <w:b/>
          <w:color w:val="1C1C1C"/>
          <w:spacing w:val="-7"/>
          <w:w w:val="105"/>
          <w:sz w:val="21"/>
          <w:u w:val="thick" w:color="0A0A0A"/>
        </w:rPr>
        <w:t> </w:t>
      </w:r>
      <w:r>
        <w:rPr>
          <w:b/>
          <w:color w:val="1C1C1C"/>
          <w:w w:val="105"/>
          <w:sz w:val="21"/>
          <w:u w:val="thick" w:color="0A0A0A"/>
        </w:rPr>
        <w:t>GOVERNANCE</w:t>
      </w:r>
      <w:r>
        <w:rPr>
          <w:b/>
          <w:color w:val="1C1C1C"/>
          <w:spacing w:val="22"/>
          <w:w w:val="105"/>
          <w:sz w:val="21"/>
          <w:u w:val="thick" w:color="0A0A0A"/>
        </w:rPr>
        <w:t> </w:t>
      </w:r>
      <w:r>
        <w:rPr>
          <w:b/>
          <w:color w:val="0A0A0A"/>
          <w:spacing w:val="-2"/>
          <w:w w:val="105"/>
          <w:sz w:val="21"/>
          <w:u w:val="thick" w:color="0A0A0A"/>
        </w:rPr>
        <w:t>FRAMEWORK</w:t>
      </w:r>
    </w:p>
    <w:p>
      <w:pPr>
        <w:pStyle w:val="BodyText"/>
        <w:spacing w:before="31"/>
        <w:rPr>
          <w:b/>
          <w:sz w:val="21"/>
        </w:rPr>
      </w:pPr>
    </w:p>
    <w:p>
      <w:pPr>
        <w:pStyle w:val="ListParagraph"/>
        <w:numPr>
          <w:ilvl w:val="0"/>
          <w:numId w:val="29"/>
        </w:numPr>
        <w:tabs>
          <w:tab w:val="left" w:leader="none" w:pos="960"/>
          <w:tab w:val="left" w:leader="none" w:pos="963"/>
        </w:tabs>
        <w:spacing w:before="0" w:after="0" w:line="252" w:lineRule="auto"/>
        <w:ind w:left="960" w:right="367" w:hanging="702"/>
        <w:jc w:val="left"/>
        <w:rPr>
          <w:color w:val="0A0A0A"/>
          <w:sz w:val="21"/>
        </w:rPr>
      </w:pPr>
      <w:r>
        <w:rPr>
          <w:color w:val="606060"/>
          <w:sz w:val="21"/>
        </w:rPr>
        <w:tab/>
      </w:r>
      <w:r>
        <w:rPr>
          <w:color w:val="0A0A0A"/>
          <w:w w:val="105"/>
          <w:sz w:val="21"/>
        </w:rPr>
        <w:t>The</w:t>
      </w:r>
      <w:r>
        <w:rPr>
          <w:color w:val="0A0A0A"/>
          <w:spacing w:val="-8"/>
          <w:w w:val="105"/>
          <w:sz w:val="21"/>
        </w:rPr>
        <w:t> </w:t>
      </w:r>
      <w:r>
        <w:rPr>
          <w:color w:val="0A0A0A"/>
          <w:w w:val="105"/>
          <w:sz w:val="21"/>
        </w:rPr>
        <w:t>governance framework, which </w:t>
      </w:r>
      <w:r>
        <w:rPr>
          <w:color w:val="1C1C1C"/>
          <w:w w:val="105"/>
          <w:sz w:val="21"/>
        </w:rPr>
        <w:t>has</w:t>
      </w:r>
      <w:r>
        <w:rPr>
          <w:color w:val="1C1C1C"/>
          <w:spacing w:val="-11"/>
          <w:w w:val="105"/>
          <w:sz w:val="21"/>
        </w:rPr>
        <w:t> </w:t>
      </w:r>
      <w:r>
        <w:rPr>
          <w:color w:val="1C1C1C"/>
          <w:w w:val="105"/>
          <w:sz w:val="21"/>
        </w:rPr>
        <w:t>been</w:t>
      </w:r>
      <w:r>
        <w:rPr>
          <w:color w:val="1C1C1C"/>
          <w:spacing w:val="-5"/>
          <w:w w:val="105"/>
          <w:sz w:val="21"/>
        </w:rPr>
        <w:t> </w:t>
      </w:r>
      <w:r>
        <w:rPr>
          <w:color w:val="0A0A0A"/>
          <w:w w:val="105"/>
          <w:sz w:val="21"/>
        </w:rPr>
        <w:t>in</w:t>
      </w:r>
      <w:r>
        <w:rPr>
          <w:color w:val="0A0A0A"/>
          <w:spacing w:val="-2"/>
          <w:w w:val="105"/>
          <w:sz w:val="21"/>
        </w:rPr>
        <w:t> </w:t>
      </w:r>
      <w:r>
        <w:rPr>
          <w:color w:val="1C1C1C"/>
          <w:w w:val="105"/>
          <w:sz w:val="21"/>
        </w:rPr>
        <w:t>place for</w:t>
      </w:r>
      <w:r>
        <w:rPr>
          <w:color w:val="1C1C1C"/>
          <w:spacing w:val="-12"/>
          <w:w w:val="105"/>
          <w:sz w:val="21"/>
        </w:rPr>
        <w:t> </w:t>
      </w:r>
      <w:r>
        <w:rPr>
          <w:color w:val="1C1C1C"/>
          <w:w w:val="105"/>
          <w:sz w:val="21"/>
        </w:rPr>
        <w:t>the </w:t>
      </w:r>
      <w:r>
        <w:rPr>
          <w:color w:val="0A0A0A"/>
          <w:w w:val="105"/>
          <w:sz w:val="21"/>
        </w:rPr>
        <w:t>financial </w:t>
      </w:r>
      <w:r>
        <w:rPr>
          <w:color w:val="1C1C1C"/>
          <w:w w:val="105"/>
          <w:sz w:val="21"/>
        </w:rPr>
        <w:t>year 2022/23</w:t>
      </w:r>
      <w:r>
        <w:rPr>
          <w:color w:val="4F4F4F"/>
          <w:w w:val="105"/>
          <w:sz w:val="21"/>
        </w:rPr>
        <w:t>,</w:t>
      </w:r>
      <w:r>
        <w:rPr>
          <w:color w:val="4F4F4F"/>
          <w:spacing w:val="-10"/>
          <w:w w:val="105"/>
          <w:sz w:val="21"/>
        </w:rPr>
        <w:t> </w:t>
      </w:r>
      <w:r>
        <w:rPr>
          <w:color w:val="1C1C1C"/>
          <w:w w:val="105"/>
          <w:sz w:val="21"/>
        </w:rPr>
        <w:t>comprises </w:t>
      </w:r>
      <w:r>
        <w:rPr>
          <w:color w:val="0A0A0A"/>
          <w:w w:val="105"/>
          <w:sz w:val="21"/>
        </w:rPr>
        <w:t>the systems and</w:t>
      </w:r>
      <w:r>
        <w:rPr>
          <w:color w:val="0A0A0A"/>
          <w:spacing w:val="-3"/>
          <w:w w:val="105"/>
          <w:sz w:val="21"/>
        </w:rPr>
        <w:t> </w:t>
      </w:r>
      <w:r>
        <w:rPr>
          <w:color w:val="0A0A0A"/>
          <w:w w:val="105"/>
          <w:sz w:val="21"/>
        </w:rPr>
        <w:t>processes </w:t>
      </w:r>
      <w:r>
        <w:rPr>
          <w:color w:val="1C1C1C"/>
          <w:w w:val="105"/>
          <w:sz w:val="21"/>
        </w:rPr>
        <w:t>as </w:t>
      </w:r>
      <w:r>
        <w:rPr>
          <w:color w:val="0A0A0A"/>
          <w:w w:val="105"/>
          <w:sz w:val="21"/>
        </w:rPr>
        <w:t>well as </w:t>
      </w:r>
      <w:r>
        <w:rPr>
          <w:color w:val="313131"/>
          <w:w w:val="105"/>
          <w:sz w:val="21"/>
        </w:rPr>
        <w:t>the </w:t>
      </w:r>
      <w:r>
        <w:rPr>
          <w:color w:val="1C1C1C"/>
          <w:w w:val="105"/>
          <w:sz w:val="21"/>
        </w:rPr>
        <w:t>culture </w:t>
      </w:r>
      <w:r>
        <w:rPr>
          <w:color w:val="0A0A0A"/>
          <w:w w:val="105"/>
          <w:sz w:val="21"/>
        </w:rPr>
        <w:t>and values, by which </w:t>
      </w:r>
      <w:r>
        <w:rPr>
          <w:color w:val="1C1C1C"/>
          <w:w w:val="105"/>
          <w:sz w:val="21"/>
        </w:rPr>
        <w:t>the Council </w:t>
      </w:r>
      <w:r>
        <w:rPr>
          <w:color w:val="313131"/>
          <w:w w:val="105"/>
          <w:sz w:val="21"/>
        </w:rPr>
        <w:t>is </w:t>
      </w:r>
      <w:r>
        <w:rPr>
          <w:color w:val="1C1C1C"/>
          <w:w w:val="105"/>
          <w:sz w:val="21"/>
        </w:rPr>
        <w:t>directed </w:t>
      </w:r>
      <w:r>
        <w:rPr>
          <w:color w:val="0A0A0A"/>
          <w:w w:val="105"/>
          <w:sz w:val="21"/>
        </w:rPr>
        <w:t>and controlled and through which it accounts to, engages </w:t>
      </w:r>
      <w:r>
        <w:rPr>
          <w:color w:val="1C1C1C"/>
          <w:w w:val="105"/>
          <w:sz w:val="21"/>
        </w:rPr>
        <w:t>with </w:t>
      </w:r>
      <w:r>
        <w:rPr>
          <w:color w:val="0A0A0A"/>
          <w:w w:val="105"/>
          <w:sz w:val="21"/>
        </w:rPr>
        <w:t>and leads </w:t>
      </w:r>
      <w:r>
        <w:rPr>
          <w:color w:val="1C1C1C"/>
          <w:w w:val="105"/>
          <w:sz w:val="21"/>
        </w:rPr>
        <w:t>the community.</w:t>
      </w:r>
    </w:p>
    <w:p>
      <w:pPr>
        <w:pStyle w:val="BodyText"/>
        <w:spacing w:before="12"/>
        <w:rPr>
          <w:sz w:val="21"/>
        </w:rPr>
      </w:pPr>
    </w:p>
    <w:p>
      <w:pPr>
        <w:pStyle w:val="ListParagraph"/>
        <w:numPr>
          <w:ilvl w:val="0"/>
          <w:numId w:val="29"/>
        </w:numPr>
        <w:tabs>
          <w:tab w:val="left" w:leader="none" w:pos="946"/>
          <w:tab w:val="left" w:leader="none" w:pos="954"/>
        </w:tabs>
        <w:spacing w:before="0" w:after="0" w:line="252" w:lineRule="auto"/>
        <w:ind w:left="946" w:right="189" w:hanging="703"/>
        <w:jc w:val="left"/>
        <w:rPr>
          <w:color w:val="1C1C1C"/>
          <w:sz w:val="21"/>
        </w:rPr>
      </w:pPr>
      <w:r>
        <w:rPr>
          <w:color w:val="4F4F4F"/>
          <w:sz w:val="21"/>
        </w:rPr>
        <w:tab/>
      </w:r>
      <w:r>
        <w:rPr>
          <w:color w:val="0A0A0A"/>
          <w:w w:val="105"/>
          <w:sz w:val="21"/>
        </w:rPr>
        <w:t>The </w:t>
      </w:r>
      <w:r>
        <w:rPr>
          <w:color w:val="1C1C1C"/>
          <w:w w:val="105"/>
          <w:sz w:val="21"/>
        </w:rPr>
        <w:t>governance </w:t>
      </w:r>
      <w:r>
        <w:rPr>
          <w:color w:val="0A0A0A"/>
          <w:w w:val="105"/>
          <w:sz w:val="21"/>
        </w:rPr>
        <w:t>framework enables the </w:t>
      </w:r>
      <w:r>
        <w:rPr>
          <w:color w:val="1C1C1C"/>
          <w:w w:val="105"/>
          <w:sz w:val="21"/>
        </w:rPr>
        <w:t>Council </w:t>
      </w:r>
      <w:r>
        <w:rPr>
          <w:color w:val="0A0A0A"/>
          <w:w w:val="105"/>
          <w:sz w:val="21"/>
        </w:rPr>
        <w:t>to </w:t>
      </w:r>
      <w:r>
        <w:rPr>
          <w:color w:val="1C1C1C"/>
          <w:w w:val="105"/>
          <w:sz w:val="21"/>
        </w:rPr>
        <w:t>monitor </w:t>
      </w:r>
      <w:r>
        <w:rPr>
          <w:color w:val="0A0A0A"/>
          <w:w w:val="105"/>
          <w:sz w:val="21"/>
        </w:rPr>
        <w:t>the </w:t>
      </w:r>
      <w:r>
        <w:rPr>
          <w:color w:val="1C1C1C"/>
          <w:w w:val="105"/>
          <w:sz w:val="21"/>
        </w:rPr>
        <w:t>achievement</w:t>
      </w:r>
      <w:r>
        <w:rPr>
          <w:color w:val="1C1C1C"/>
          <w:spacing w:val="37"/>
          <w:w w:val="105"/>
          <w:sz w:val="21"/>
        </w:rPr>
        <w:t> </w:t>
      </w:r>
      <w:r>
        <w:rPr>
          <w:color w:val="0A0A0A"/>
          <w:w w:val="105"/>
          <w:sz w:val="21"/>
        </w:rPr>
        <w:t>of</w:t>
      </w:r>
      <w:r>
        <w:rPr>
          <w:color w:val="0A0A0A"/>
          <w:spacing w:val="-2"/>
          <w:w w:val="105"/>
          <w:sz w:val="21"/>
        </w:rPr>
        <w:t> </w:t>
      </w:r>
      <w:r>
        <w:rPr>
          <w:color w:val="0A0A0A"/>
          <w:w w:val="105"/>
          <w:sz w:val="21"/>
        </w:rPr>
        <w:t>its</w:t>
      </w:r>
      <w:r>
        <w:rPr>
          <w:color w:val="0A0A0A"/>
          <w:spacing w:val="-1"/>
          <w:w w:val="105"/>
          <w:sz w:val="21"/>
        </w:rPr>
        <w:t> </w:t>
      </w:r>
      <w:r>
        <w:rPr>
          <w:color w:val="0A0A0A"/>
          <w:w w:val="105"/>
          <w:sz w:val="21"/>
        </w:rPr>
        <w:t>strategic objechves and</w:t>
      </w:r>
      <w:r>
        <w:rPr>
          <w:color w:val="0A0A0A"/>
          <w:spacing w:val="-8"/>
          <w:w w:val="105"/>
          <w:sz w:val="21"/>
        </w:rPr>
        <w:t> </w:t>
      </w:r>
      <w:r>
        <w:rPr>
          <w:color w:val="0A0A0A"/>
          <w:w w:val="105"/>
          <w:sz w:val="21"/>
        </w:rPr>
        <w:t>to</w:t>
      </w:r>
      <w:r>
        <w:rPr>
          <w:color w:val="0A0A0A"/>
          <w:spacing w:val="-2"/>
          <w:w w:val="105"/>
          <w:sz w:val="21"/>
        </w:rPr>
        <w:t> </w:t>
      </w:r>
      <w:r>
        <w:rPr>
          <w:color w:val="1C1C1C"/>
          <w:w w:val="105"/>
          <w:sz w:val="21"/>
        </w:rPr>
        <w:t>consider </w:t>
      </w:r>
      <w:r>
        <w:rPr>
          <w:color w:val="0A0A0A"/>
          <w:w w:val="105"/>
          <w:sz w:val="21"/>
        </w:rPr>
        <w:t>whether</w:t>
      </w:r>
      <w:r>
        <w:rPr>
          <w:color w:val="0A0A0A"/>
          <w:spacing w:val="-6"/>
          <w:w w:val="105"/>
          <w:sz w:val="21"/>
        </w:rPr>
        <w:t> </w:t>
      </w:r>
      <w:r>
        <w:rPr>
          <w:color w:val="0A0A0A"/>
          <w:w w:val="105"/>
          <w:sz w:val="21"/>
        </w:rPr>
        <w:t>those </w:t>
      </w:r>
      <w:r>
        <w:rPr>
          <w:color w:val="1C1C1C"/>
          <w:w w:val="105"/>
          <w:sz w:val="21"/>
        </w:rPr>
        <w:t>objectives have</w:t>
      </w:r>
      <w:r>
        <w:rPr>
          <w:color w:val="1C1C1C"/>
          <w:spacing w:val="-6"/>
          <w:w w:val="105"/>
          <w:sz w:val="21"/>
        </w:rPr>
        <w:t> </w:t>
      </w:r>
      <w:r>
        <w:rPr>
          <w:color w:val="0A0A0A"/>
          <w:w w:val="105"/>
          <w:sz w:val="21"/>
        </w:rPr>
        <w:t>led</w:t>
      </w:r>
      <w:r>
        <w:rPr>
          <w:color w:val="0A0A0A"/>
          <w:spacing w:val="-10"/>
          <w:w w:val="105"/>
          <w:sz w:val="21"/>
        </w:rPr>
        <w:t> </w:t>
      </w:r>
      <w:r>
        <w:rPr>
          <w:color w:val="1C1C1C"/>
          <w:w w:val="105"/>
          <w:sz w:val="21"/>
        </w:rPr>
        <w:t>to</w:t>
      </w:r>
      <w:r>
        <w:rPr>
          <w:color w:val="1C1C1C"/>
          <w:spacing w:val="-7"/>
          <w:w w:val="105"/>
          <w:sz w:val="21"/>
        </w:rPr>
        <w:t> </w:t>
      </w:r>
      <w:r>
        <w:rPr>
          <w:color w:val="1C1C1C"/>
          <w:w w:val="105"/>
          <w:sz w:val="21"/>
        </w:rPr>
        <w:t>the</w:t>
      </w:r>
      <w:r>
        <w:rPr>
          <w:color w:val="1C1C1C"/>
          <w:spacing w:val="-13"/>
          <w:w w:val="105"/>
          <w:sz w:val="21"/>
        </w:rPr>
        <w:t> </w:t>
      </w:r>
      <w:r>
        <w:rPr>
          <w:color w:val="0A0A0A"/>
          <w:w w:val="105"/>
          <w:sz w:val="21"/>
        </w:rPr>
        <w:t>delivery of</w:t>
      </w:r>
      <w:r>
        <w:rPr>
          <w:color w:val="0A0A0A"/>
          <w:spacing w:val="-5"/>
          <w:w w:val="105"/>
          <w:sz w:val="21"/>
        </w:rPr>
        <w:t> </w:t>
      </w:r>
      <w:r>
        <w:rPr>
          <w:color w:val="0A0A0A"/>
          <w:w w:val="105"/>
          <w:sz w:val="21"/>
        </w:rPr>
        <w:t>appropriate and</w:t>
      </w:r>
      <w:r>
        <w:rPr>
          <w:color w:val="0A0A0A"/>
          <w:spacing w:val="-7"/>
          <w:w w:val="105"/>
          <w:sz w:val="21"/>
        </w:rPr>
        <w:t> </w:t>
      </w:r>
      <w:r>
        <w:rPr>
          <w:color w:val="0A0A0A"/>
          <w:w w:val="105"/>
          <w:sz w:val="21"/>
        </w:rPr>
        <w:t>cost­ effective services.</w:t>
      </w:r>
    </w:p>
    <w:p>
      <w:pPr>
        <w:pStyle w:val="BodyText"/>
        <w:spacing w:before="7"/>
        <w:rPr>
          <w:sz w:val="21"/>
        </w:rPr>
      </w:pPr>
    </w:p>
    <w:p>
      <w:pPr>
        <w:pStyle w:val="ListParagraph"/>
        <w:numPr>
          <w:ilvl w:val="0"/>
          <w:numId w:val="29"/>
        </w:numPr>
        <w:tabs>
          <w:tab w:val="left" w:leader="none" w:pos="936"/>
          <w:tab w:val="left" w:leader="none" w:pos="939"/>
        </w:tabs>
        <w:spacing w:before="0" w:after="0" w:line="252" w:lineRule="auto"/>
        <w:ind w:left="936" w:right="223" w:hanging="707"/>
        <w:jc w:val="left"/>
        <w:rPr>
          <w:color w:val="0A0A0A"/>
          <w:sz w:val="21"/>
        </w:rPr>
      </w:pPr>
      <w:r>
        <w:rPr>
          <w:color w:val="606060"/>
          <w:sz w:val="21"/>
        </w:rPr>
        <w:tab/>
      </w:r>
      <w:r>
        <w:rPr>
          <w:color w:val="0A0A0A"/>
          <w:w w:val="105"/>
          <w:sz w:val="21"/>
        </w:rPr>
        <w:t>The </w:t>
      </w:r>
      <w:r>
        <w:rPr>
          <w:color w:val="1C1C1C"/>
          <w:w w:val="105"/>
          <w:sz w:val="21"/>
        </w:rPr>
        <w:t>system </w:t>
      </w:r>
      <w:r>
        <w:rPr>
          <w:color w:val="0A0A0A"/>
          <w:w w:val="105"/>
          <w:sz w:val="21"/>
        </w:rPr>
        <w:t>of</w:t>
      </w:r>
      <w:r>
        <w:rPr>
          <w:color w:val="0A0A0A"/>
          <w:spacing w:val="-6"/>
          <w:w w:val="105"/>
          <w:sz w:val="21"/>
        </w:rPr>
        <w:t> </w:t>
      </w:r>
      <w:r>
        <w:rPr>
          <w:color w:val="1C1C1C"/>
          <w:w w:val="105"/>
          <w:sz w:val="21"/>
        </w:rPr>
        <w:t>internal control</w:t>
      </w:r>
      <w:r>
        <w:rPr>
          <w:color w:val="1C1C1C"/>
          <w:spacing w:val="-4"/>
          <w:w w:val="105"/>
          <w:sz w:val="21"/>
        </w:rPr>
        <w:t> </w:t>
      </w:r>
      <w:r>
        <w:rPr>
          <w:color w:val="1C1C1C"/>
          <w:w w:val="105"/>
          <w:sz w:val="21"/>
        </w:rPr>
        <w:t>is </w:t>
      </w:r>
      <w:r>
        <w:rPr>
          <w:color w:val="0A0A0A"/>
          <w:w w:val="105"/>
          <w:sz w:val="21"/>
        </w:rPr>
        <w:t>a </w:t>
      </w:r>
      <w:r>
        <w:rPr>
          <w:color w:val="1C1C1C"/>
          <w:w w:val="105"/>
          <w:sz w:val="21"/>
        </w:rPr>
        <w:t>significant part of this</w:t>
      </w:r>
      <w:r>
        <w:rPr>
          <w:color w:val="1C1C1C"/>
          <w:spacing w:val="-3"/>
          <w:w w:val="105"/>
          <w:sz w:val="21"/>
        </w:rPr>
        <w:t> </w:t>
      </w:r>
      <w:r>
        <w:rPr>
          <w:color w:val="1C1C1C"/>
          <w:w w:val="105"/>
          <w:sz w:val="21"/>
        </w:rPr>
        <w:t>framework</w:t>
      </w:r>
      <w:r>
        <w:rPr>
          <w:color w:val="1C1C1C"/>
          <w:spacing w:val="28"/>
          <w:w w:val="105"/>
          <w:sz w:val="21"/>
        </w:rPr>
        <w:t> </w:t>
      </w:r>
      <w:r>
        <w:rPr>
          <w:color w:val="1C1C1C"/>
          <w:w w:val="105"/>
          <w:sz w:val="21"/>
        </w:rPr>
        <w:t>and</w:t>
      </w:r>
      <w:r>
        <w:rPr>
          <w:color w:val="1C1C1C"/>
          <w:spacing w:val="-4"/>
          <w:w w:val="105"/>
          <w:sz w:val="21"/>
        </w:rPr>
        <w:t> </w:t>
      </w:r>
      <w:r>
        <w:rPr>
          <w:color w:val="0A0A0A"/>
          <w:w w:val="105"/>
          <w:sz w:val="21"/>
        </w:rPr>
        <w:t>is </w:t>
      </w:r>
      <w:r>
        <w:rPr>
          <w:color w:val="1C1C1C"/>
          <w:w w:val="105"/>
          <w:sz w:val="21"/>
        </w:rPr>
        <w:t>designed </w:t>
      </w:r>
      <w:r>
        <w:rPr>
          <w:color w:val="0A0A0A"/>
          <w:w w:val="105"/>
          <w:sz w:val="21"/>
        </w:rPr>
        <w:t>to </w:t>
      </w:r>
      <w:r>
        <w:rPr>
          <w:color w:val="1C1C1C"/>
          <w:w w:val="105"/>
          <w:sz w:val="21"/>
        </w:rPr>
        <w:t>manage risk </w:t>
      </w:r>
      <w:r>
        <w:rPr>
          <w:color w:val="0A0A0A"/>
          <w:w w:val="105"/>
          <w:sz w:val="21"/>
        </w:rPr>
        <w:t>to a </w:t>
      </w:r>
      <w:r>
        <w:rPr>
          <w:color w:val="1C1C1C"/>
          <w:w w:val="105"/>
          <w:sz w:val="21"/>
        </w:rPr>
        <w:t>reasonable level. </w:t>
      </w:r>
      <w:r>
        <w:rPr>
          <w:color w:val="0A0A0A"/>
          <w:w w:val="105"/>
          <w:sz w:val="21"/>
        </w:rPr>
        <w:t>However, it </w:t>
      </w:r>
      <w:r>
        <w:rPr>
          <w:color w:val="1C1C1C"/>
          <w:w w:val="105"/>
          <w:sz w:val="21"/>
        </w:rPr>
        <w:t>cannot </w:t>
      </w:r>
      <w:r>
        <w:rPr>
          <w:color w:val="0A0A0A"/>
          <w:w w:val="105"/>
          <w:sz w:val="21"/>
        </w:rPr>
        <w:t>elim</w:t>
      </w:r>
      <w:r>
        <w:rPr>
          <w:color w:val="4F4F4F"/>
          <w:w w:val="105"/>
          <w:sz w:val="21"/>
        </w:rPr>
        <w:t>i</w:t>
      </w:r>
      <w:r>
        <w:rPr>
          <w:color w:val="1C1C1C"/>
          <w:w w:val="105"/>
          <w:sz w:val="21"/>
        </w:rPr>
        <w:t>nate all</w:t>
      </w:r>
      <w:r>
        <w:rPr>
          <w:color w:val="1C1C1C"/>
          <w:spacing w:val="-4"/>
          <w:w w:val="105"/>
          <w:sz w:val="21"/>
        </w:rPr>
        <w:t> </w:t>
      </w:r>
      <w:r>
        <w:rPr>
          <w:color w:val="1C1C1C"/>
          <w:w w:val="105"/>
          <w:sz w:val="21"/>
        </w:rPr>
        <w:t>risk of</w:t>
      </w:r>
      <w:r>
        <w:rPr>
          <w:color w:val="1C1C1C"/>
          <w:spacing w:val="-1"/>
          <w:w w:val="105"/>
          <w:sz w:val="21"/>
        </w:rPr>
        <w:t> </w:t>
      </w:r>
      <w:r>
        <w:rPr>
          <w:color w:val="1C1C1C"/>
          <w:w w:val="105"/>
          <w:sz w:val="21"/>
        </w:rPr>
        <w:t>failure to achieve policies</w:t>
      </w:r>
      <w:r>
        <w:rPr>
          <w:color w:val="4F4F4F"/>
          <w:w w:val="105"/>
          <w:sz w:val="21"/>
        </w:rPr>
        <w:t>,</w:t>
      </w:r>
      <w:r>
        <w:rPr>
          <w:color w:val="4F4F4F"/>
          <w:spacing w:val="-8"/>
          <w:w w:val="105"/>
          <w:sz w:val="21"/>
        </w:rPr>
        <w:t> </w:t>
      </w:r>
      <w:r>
        <w:rPr>
          <w:color w:val="1C1C1C"/>
          <w:w w:val="105"/>
          <w:sz w:val="21"/>
        </w:rPr>
        <w:t>aims and </w:t>
      </w:r>
      <w:r>
        <w:rPr>
          <w:color w:val="0A0A0A"/>
          <w:w w:val="105"/>
          <w:sz w:val="21"/>
        </w:rPr>
        <w:t>objectives</w:t>
      </w:r>
      <w:r>
        <w:rPr>
          <w:color w:val="0A0A0A"/>
          <w:spacing w:val="9"/>
          <w:w w:val="105"/>
          <w:sz w:val="21"/>
        </w:rPr>
        <w:t> </w:t>
      </w:r>
      <w:r>
        <w:rPr>
          <w:color w:val="0A0A0A"/>
          <w:w w:val="105"/>
          <w:sz w:val="21"/>
        </w:rPr>
        <w:t>and,</w:t>
      </w:r>
      <w:r>
        <w:rPr>
          <w:color w:val="0A0A0A"/>
          <w:spacing w:val="-7"/>
          <w:w w:val="105"/>
          <w:sz w:val="21"/>
        </w:rPr>
        <w:t> </w:t>
      </w:r>
      <w:r>
        <w:rPr>
          <w:color w:val="0A0A0A"/>
          <w:w w:val="105"/>
          <w:sz w:val="21"/>
        </w:rPr>
        <w:t>therefore,</w:t>
      </w:r>
      <w:r>
        <w:rPr>
          <w:color w:val="0A0A0A"/>
          <w:spacing w:val="10"/>
          <w:w w:val="105"/>
          <w:sz w:val="21"/>
        </w:rPr>
        <w:t> </w:t>
      </w:r>
      <w:r>
        <w:rPr>
          <w:color w:val="0A0A0A"/>
          <w:w w:val="105"/>
          <w:sz w:val="21"/>
        </w:rPr>
        <w:t>can</w:t>
      </w:r>
      <w:r>
        <w:rPr>
          <w:color w:val="0A0A0A"/>
          <w:spacing w:val="-7"/>
          <w:w w:val="105"/>
          <w:sz w:val="21"/>
        </w:rPr>
        <w:t> </w:t>
      </w:r>
      <w:r>
        <w:rPr>
          <w:color w:val="0A0A0A"/>
          <w:w w:val="105"/>
          <w:sz w:val="21"/>
        </w:rPr>
        <w:t>only</w:t>
      </w:r>
      <w:r>
        <w:rPr>
          <w:color w:val="0A0A0A"/>
          <w:spacing w:val="-1"/>
          <w:w w:val="105"/>
          <w:sz w:val="21"/>
        </w:rPr>
        <w:t> </w:t>
      </w:r>
      <w:r>
        <w:rPr>
          <w:color w:val="0A0A0A"/>
          <w:w w:val="105"/>
          <w:sz w:val="21"/>
        </w:rPr>
        <w:t>provide reasonable</w:t>
      </w:r>
      <w:r>
        <w:rPr>
          <w:color w:val="0A0A0A"/>
          <w:spacing w:val="2"/>
          <w:w w:val="105"/>
          <w:sz w:val="21"/>
        </w:rPr>
        <w:t> </w:t>
      </w:r>
      <w:r>
        <w:rPr>
          <w:color w:val="1C1C1C"/>
          <w:w w:val="105"/>
          <w:sz w:val="21"/>
        </w:rPr>
        <w:t>and</w:t>
      </w:r>
      <w:r>
        <w:rPr>
          <w:color w:val="1C1C1C"/>
          <w:spacing w:val="-4"/>
          <w:w w:val="105"/>
          <w:sz w:val="21"/>
        </w:rPr>
        <w:t> </w:t>
      </w:r>
      <w:r>
        <w:rPr>
          <w:color w:val="1C1C1C"/>
          <w:w w:val="105"/>
          <w:sz w:val="21"/>
        </w:rPr>
        <w:t>not</w:t>
      </w:r>
      <w:r>
        <w:rPr>
          <w:color w:val="1C1C1C"/>
          <w:spacing w:val="-12"/>
          <w:w w:val="105"/>
          <w:sz w:val="21"/>
        </w:rPr>
        <w:t> </w:t>
      </w:r>
      <w:r>
        <w:rPr>
          <w:color w:val="1C1C1C"/>
          <w:w w:val="105"/>
          <w:sz w:val="21"/>
        </w:rPr>
        <w:t>absolute</w:t>
      </w:r>
      <w:r>
        <w:rPr>
          <w:color w:val="1C1C1C"/>
          <w:spacing w:val="-6"/>
          <w:w w:val="105"/>
          <w:sz w:val="21"/>
        </w:rPr>
        <w:t> </w:t>
      </w:r>
      <w:r>
        <w:rPr>
          <w:color w:val="0A0A0A"/>
          <w:w w:val="105"/>
          <w:sz w:val="21"/>
        </w:rPr>
        <w:t>assurance of</w:t>
      </w:r>
      <w:r>
        <w:rPr>
          <w:color w:val="0A0A0A"/>
          <w:spacing w:val="-6"/>
          <w:w w:val="105"/>
          <w:sz w:val="21"/>
        </w:rPr>
        <w:t> </w:t>
      </w:r>
      <w:r>
        <w:rPr>
          <w:color w:val="1C1C1C"/>
          <w:spacing w:val="-2"/>
          <w:w w:val="105"/>
          <w:sz w:val="21"/>
        </w:rPr>
        <w:t>effectiveness.</w:t>
      </w:r>
    </w:p>
    <w:p>
      <w:pPr>
        <w:pStyle w:val="BodyText"/>
        <w:spacing w:before="16"/>
        <w:rPr>
          <w:sz w:val="21"/>
        </w:rPr>
      </w:pPr>
    </w:p>
    <w:p>
      <w:pPr>
        <w:pStyle w:val="ListParagraph"/>
        <w:numPr>
          <w:ilvl w:val="0"/>
          <w:numId w:val="29"/>
        </w:numPr>
        <w:tabs>
          <w:tab w:val="left" w:leader="none" w:pos="917"/>
          <w:tab w:val="left" w:leader="none" w:pos="930"/>
        </w:tabs>
        <w:spacing w:before="0" w:after="0" w:line="252" w:lineRule="auto"/>
        <w:ind w:left="917" w:right="234" w:hanging="698"/>
        <w:jc w:val="left"/>
        <w:rPr>
          <w:color w:val="0A0A0A"/>
          <w:sz w:val="21"/>
        </w:rPr>
      </w:pPr>
      <w:r>
        <w:rPr>
          <w:color w:val="606060"/>
          <w:sz w:val="21"/>
        </w:rPr>
        <w:tab/>
      </w:r>
      <w:r>
        <w:rPr>
          <w:color w:val="0A0A0A"/>
          <w:w w:val="105"/>
          <w:sz w:val="21"/>
        </w:rPr>
        <w:t>The</w:t>
      </w:r>
      <w:r>
        <w:rPr>
          <w:color w:val="0A0A0A"/>
          <w:spacing w:val="-2"/>
          <w:w w:val="105"/>
          <w:sz w:val="21"/>
        </w:rPr>
        <w:t> </w:t>
      </w:r>
      <w:r>
        <w:rPr>
          <w:color w:val="0A0A0A"/>
          <w:w w:val="105"/>
          <w:sz w:val="21"/>
        </w:rPr>
        <w:t>system of</w:t>
      </w:r>
      <w:r>
        <w:rPr>
          <w:color w:val="0A0A0A"/>
          <w:spacing w:val="-4"/>
          <w:w w:val="105"/>
          <w:sz w:val="21"/>
        </w:rPr>
        <w:t> </w:t>
      </w:r>
      <w:r>
        <w:rPr>
          <w:color w:val="0A0A0A"/>
          <w:w w:val="105"/>
          <w:sz w:val="21"/>
        </w:rPr>
        <w:t>internal control</w:t>
      </w:r>
      <w:r>
        <w:rPr>
          <w:color w:val="0A0A0A"/>
          <w:spacing w:val="-2"/>
          <w:w w:val="105"/>
          <w:sz w:val="21"/>
        </w:rPr>
        <w:t> </w:t>
      </w:r>
      <w:r>
        <w:rPr>
          <w:color w:val="0A0A0A"/>
          <w:w w:val="105"/>
          <w:sz w:val="21"/>
        </w:rPr>
        <w:t>is </w:t>
      </w:r>
      <w:r>
        <w:rPr>
          <w:color w:val="1C1C1C"/>
          <w:w w:val="105"/>
          <w:sz w:val="21"/>
        </w:rPr>
        <w:t>based</w:t>
      </w:r>
      <w:r>
        <w:rPr>
          <w:color w:val="1C1C1C"/>
          <w:spacing w:val="-1"/>
          <w:w w:val="105"/>
          <w:sz w:val="21"/>
        </w:rPr>
        <w:t> </w:t>
      </w:r>
      <w:r>
        <w:rPr>
          <w:color w:val="0A0A0A"/>
          <w:w w:val="105"/>
          <w:sz w:val="21"/>
        </w:rPr>
        <w:t>on</w:t>
      </w:r>
      <w:r>
        <w:rPr>
          <w:color w:val="0A0A0A"/>
          <w:spacing w:val="-8"/>
          <w:w w:val="105"/>
          <w:sz w:val="21"/>
        </w:rPr>
        <w:t> </w:t>
      </w:r>
      <w:r>
        <w:rPr>
          <w:color w:val="0A0A0A"/>
          <w:w w:val="105"/>
          <w:sz w:val="21"/>
        </w:rPr>
        <w:t>an</w:t>
      </w:r>
      <w:r>
        <w:rPr>
          <w:color w:val="0A0A0A"/>
          <w:spacing w:val="-7"/>
          <w:w w:val="105"/>
          <w:sz w:val="21"/>
        </w:rPr>
        <w:t> </w:t>
      </w:r>
      <w:r>
        <w:rPr>
          <w:color w:val="1C1C1C"/>
          <w:w w:val="105"/>
          <w:sz w:val="21"/>
        </w:rPr>
        <w:t>ongoing process </w:t>
      </w:r>
      <w:r>
        <w:rPr>
          <w:color w:val="0A0A0A"/>
          <w:w w:val="105"/>
          <w:sz w:val="21"/>
        </w:rPr>
        <w:t>designed</w:t>
      </w:r>
      <w:r>
        <w:rPr>
          <w:color w:val="0A0A0A"/>
          <w:spacing w:val="-2"/>
          <w:w w:val="105"/>
          <w:sz w:val="21"/>
        </w:rPr>
        <w:t> </w:t>
      </w:r>
      <w:r>
        <w:rPr>
          <w:color w:val="0A0A0A"/>
          <w:w w:val="105"/>
          <w:sz w:val="21"/>
        </w:rPr>
        <w:t>to </w:t>
      </w:r>
      <w:r>
        <w:rPr>
          <w:color w:val="1C1C1C"/>
          <w:w w:val="105"/>
          <w:sz w:val="21"/>
        </w:rPr>
        <w:t>identify </w:t>
      </w:r>
      <w:r>
        <w:rPr>
          <w:color w:val="0A0A0A"/>
          <w:w w:val="105"/>
          <w:sz w:val="21"/>
        </w:rPr>
        <w:t>and</w:t>
      </w:r>
      <w:r>
        <w:rPr>
          <w:color w:val="0A0A0A"/>
          <w:spacing w:val="-7"/>
          <w:w w:val="105"/>
          <w:sz w:val="21"/>
        </w:rPr>
        <w:t> </w:t>
      </w:r>
      <w:r>
        <w:rPr>
          <w:color w:val="0A0A0A"/>
          <w:w w:val="105"/>
          <w:sz w:val="21"/>
        </w:rPr>
        <w:t>prioritise</w:t>
      </w:r>
      <w:r>
        <w:rPr>
          <w:color w:val="0A0A0A"/>
          <w:spacing w:val="-1"/>
          <w:w w:val="105"/>
          <w:sz w:val="21"/>
        </w:rPr>
        <w:t> </w:t>
      </w:r>
      <w:r>
        <w:rPr>
          <w:color w:val="0A0A0A"/>
          <w:w w:val="105"/>
          <w:sz w:val="21"/>
        </w:rPr>
        <w:t>the risks to</w:t>
      </w:r>
      <w:r>
        <w:rPr>
          <w:color w:val="0A0A0A"/>
          <w:spacing w:val="-2"/>
          <w:w w:val="105"/>
          <w:sz w:val="21"/>
        </w:rPr>
        <w:t> </w:t>
      </w:r>
      <w:r>
        <w:rPr>
          <w:color w:val="0A0A0A"/>
          <w:w w:val="105"/>
          <w:sz w:val="21"/>
        </w:rPr>
        <w:t>the achievement</w:t>
      </w:r>
      <w:r>
        <w:rPr>
          <w:color w:val="0A0A0A"/>
          <w:spacing w:val="39"/>
          <w:w w:val="105"/>
          <w:sz w:val="21"/>
        </w:rPr>
        <w:t> </w:t>
      </w:r>
      <w:r>
        <w:rPr>
          <w:color w:val="0A0A0A"/>
          <w:w w:val="105"/>
          <w:sz w:val="21"/>
        </w:rPr>
        <w:t>of the </w:t>
      </w:r>
      <w:r>
        <w:rPr>
          <w:color w:val="1C1C1C"/>
          <w:w w:val="105"/>
          <w:sz w:val="21"/>
        </w:rPr>
        <w:t>Council's </w:t>
      </w:r>
      <w:r>
        <w:rPr>
          <w:color w:val="0A0A0A"/>
          <w:w w:val="105"/>
          <w:sz w:val="21"/>
        </w:rPr>
        <w:t>polic</w:t>
      </w:r>
      <w:r>
        <w:rPr>
          <w:color w:val="313131"/>
          <w:w w:val="105"/>
          <w:sz w:val="21"/>
        </w:rPr>
        <w:t>ies</w:t>
      </w:r>
      <w:r>
        <w:rPr>
          <w:color w:val="4F4F4F"/>
          <w:w w:val="105"/>
          <w:sz w:val="21"/>
        </w:rPr>
        <w:t>,</w:t>
      </w:r>
      <w:r>
        <w:rPr>
          <w:color w:val="4F4F4F"/>
          <w:spacing w:val="-11"/>
          <w:w w:val="105"/>
          <w:sz w:val="21"/>
        </w:rPr>
        <w:t> </w:t>
      </w:r>
      <w:r>
        <w:rPr>
          <w:color w:val="0A0A0A"/>
          <w:w w:val="105"/>
          <w:sz w:val="21"/>
        </w:rPr>
        <w:t>aims </w:t>
      </w:r>
      <w:r>
        <w:rPr>
          <w:color w:val="1C1C1C"/>
          <w:w w:val="105"/>
          <w:sz w:val="21"/>
        </w:rPr>
        <w:t>and objectives</w:t>
      </w:r>
      <w:r>
        <w:rPr>
          <w:color w:val="4F4F4F"/>
          <w:w w:val="105"/>
          <w:sz w:val="21"/>
        </w:rPr>
        <w:t>,</w:t>
      </w:r>
      <w:r>
        <w:rPr>
          <w:color w:val="4F4F4F"/>
          <w:spacing w:val="-17"/>
          <w:w w:val="105"/>
          <w:sz w:val="21"/>
        </w:rPr>
        <w:t> </w:t>
      </w:r>
      <w:r>
        <w:rPr>
          <w:color w:val="0A0A0A"/>
          <w:w w:val="105"/>
          <w:sz w:val="21"/>
        </w:rPr>
        <w:t>to evaluate the likelihood of those risks being realised and to manage them efficiently, effectively and economically.</w:t>
      </w:r>
    </w:p>
    <w:p>
      <w:pPr>
        <w:pStyle w:val="BodyText"/>
        <w:rPr>
          <w:sz w:val="21"/>
        </w:rPr>
      </w:pPr>
    </w:p>
    <w:p>
      <w:pPr>
        <w:pStyle w:val="BodyText"/>
        <w:spacing w:before="20"/>
        <w:rPr>
          <w:sz w:val="21"/>
        </w:rPr>
      </w:pPr>
    </w:p>
    <w:p>
      <w:pPr>
        <w:spacing w:before="1"/>
        <w:ind w:left="930" w:right="0" w:firstLine="0"/>
        <w:jc w:val="left"/>
        <w:rPr>
          <w:b/>
          <w:sz w:val="21"/>
        </w:rPr>
      </w:pPr>
      <w:r>
        <w:rPr>
          <w:b/>
          <w:color w:val="0A0A0A"/>
          <w:w w:val="105"/>
          <w:sz w:val="21"/>
          <w:u w:val="thick" w:color="1C1C1C"/>
        </w:rPr>
        <w:t>THE</w:t>
      </w:r>
      <w:r>
        <w:rPr>
          <w:b/>
          <w:color w:val="0A0A0A"/>
          <w:spacing w:val="-10"/>
          <w:w w:val="105"/>
          <w:sz w:val="21"/>
          <w:u w:val="thick" w:color="1C1C1C"/>
        </w:rPr>
        <w:t> </w:t>
      </w:r>
      <w:r>
        <w:rPr>
          <w:b/>
          <w:color w:val="0A0A0A"/>
          <w:w w:val="105"/>
          <w:sz w:val="21"/>
          <w:u w:val="thick" w:color="1C1C1C"/>
        </w:rPr>
        <w:t>GOVERNANCE</w:t>
      </w:r>
      <w:r>
        <w:rPr>
          <w:b/>
          <w:color w:val="0A0A0A"/>
          <w:spacing w:val="15"/>
          <w:w w:val="105"/>
          <w:sz w:val="21"/>
          <w:u w:val="thick" w:color="1C1C1C"/>
        </w:rPr>
        <w:t> </w:t>
      </w:r>
      <w:r>
        <w:rPr>
          <w:b/>
          <w:color w:val="1C1C1C"/>
          <w:spacing w:val="-2"/>
          <w:w w:val="105"/>
          <w:sz w:val="21"/>
          <w:u w:val="thick" w:color="1C1C1C"/>
        </w:rPr>
        <w:t>FRAMEWORK</w:t>
      </w:r>
    </w:p>
    <w:p>
      <w:pPr>
        <w:pStyle w:val="BodyText"/>
        <w:spacing w:before="26"/>
        <w:rPr>
          <w:b/>
          <w:sz w:val="21"/>
        </w:rPr>
      </w:pPr>
    </w:p>
    <w:p>
      <w:pPr>
        <w:pStyle w:val="ListParagraph"/>
        <w:numPr>
          <w:ilvl w:val="0"/>
          <w:numId w:val="29"/>
        </w:numPr>
        <w:tabs>
          <w:tab w:val="left" w:leader="none" w:pos="901"/>
          <w:tab w:val="left" w:leader="none" w:pos="906"/>
        </w:tabs>
        <w:spacing w:before="0" w:after="0" w:line="252" w:lineRule="auto"/>
        <w:ind w:left="901" w:right="436" w:hanging="709"/>
        <w:jc w:val="left"/>
        <w:rPr>
          <w:color w:val="0A0A0A"/>
          <w:sz w:val="21"/>
        </w:rPr>
      </w:pPr>
      <w:r>
        <w:rPr>
          <w:color w:val="606060"/>
          <w:sz w:val="21"/>
        </w:rPr>
        <w:tab/>
      </w:r>
      <w:r>
        <w:rPr>
          <w:color w:val="0A0A0A"/>
          <w:w w:val="105"/>
          <w:sz w:val="21"/>
        </w:rPr>
        <w:t>The diagram </w:t>
      </w:r>
      <w:r>
        <w:rPr>
          <w:color w:val="1C1C1C"/>
          <w:w w:val="105"/>
          <w:sz w:val="21"/>
        </w:rPr>
        <w:t>below </w:t>
      </w:r>
      <w:r>
        <w:rPr>
          <w:color w:val="0A0A0A"/>
          <w:w w:val="105"/>
          <w:sz w:val="21"/>
        </w:rPr>
        <w:t>shows how the Council's plans and </w:t>
      </w:r>
      <w:r>
        <w:rPr>
          <w:color w:val="1C1C1C"/>
          <w:w w:val="105"/>
          <w:sz w:val="21"/>
        </w:rPr>
        <w:t>strategies </w:t>
      </w:r>
      <w:r>
        <w:rPr>
          <w:color w:val="0A0A0A"/>
          <w:w w:val="105"/>
          <w:sz w:val="21"/>
        </w:rPr>
        <w:t>link together. The model recognises the </w:t>
      </w:r>
      <w:r>
        <w:rPr>
          <w:color w:val="1C1C1C"/>
          <w:w w:val="105"/>
          <w:sz w:val="21"/>
        </w:rPr>
        <w:t>external </w:t>
      </w:r>
      <w:r>
        <w:rPr>
          <w:color w:val="0A0A0A"/>
          <w:w w:val="105"/>
          <w:sz w:val="21"/>
        </w:rPr>
        <w:t>influence of</w:t>
      </w:r>
      <w:r>
        <w:rPr>
          <w:color w:val="0A0A0A"/>
          <w:spacing w:val="-13"/>
          <w:w w:val="105"/>
          <w:sz w:val="21"/>
        </w:rPr>
        <w:t> </w:t>
      </w:r>
      <w:r>
        <w:rPr>
          <w:color w:val="0A0A0A"/>
          <w:w w:val="105"/>
          <w:sz w:val="21"/>
        </w:rPr>
        <w:t>the</w:t>
      </w:r>
      <w:r>
        <w:rPr>
          <w:color w:val="0A0A0A"/>
          <w:spacing w:val="-10"/>
          <w:w w:val="105"/>
          <w:sz w:val="21"/>
        </w:rPr>
        <w:t> </w:t>
      </w:r>
      <w:r>
        <w:rPr>
          <w:color w:val="0A0A0A"/>
          <w:w w:val="105"/>
          <w:sz w:val="21"/>
        </w:rPr>
        <w:t>Community Strategy </w:t>
      </w:r>
      <w:r>
        <w:rPr>
          <w:color w:val="1C1C1C"/>
          <w:w w:val="105"/>
          <w:sz w:val="21"/>
        </w:rPr>
        <w:t>as</w:t>
      </w:r>
      <w:r>
        <w:rPr>
          <w:color w:val="1C1C1C"/>
          <w:spacing w:val="-5"/>
          <w:w w:val="105"/>
          <w:sz w:val="21"/>
        </w:rPr>
        <w:t> </w:t>
      </w:r>
      <w:r>
        <w:rPr>
          <w:color w:val="1C1C1C"/>
          <w:w w:val="105"/>
          <w:sz w:val="21"/>
        </w:rPr>
        <w:t>well</w:t>
      </w:r>
      <w:r>
        <w:rPr>
          <w:color w:val="1C1C1C"/>
          <w:spacing w:val="-4"/>
          <w:w w:val="105"/>
          <w:sz w:val="21"/>
        </w:rPr>
        <w:t> </w:t>
      </w:r>
      <w:r>
        <w:rPr>
          <w:color w:val="0A0A0A"/>
          <w:w w:val="105"/>
          <w:sz w:val="21"/>
        </w:rPr>
        <w:t>as</w:t>
      </w:r>
      <w:r>
        <w:rPr>
          <w:color w:val="0A0A0A"/>
          <w:spacing w:val="-9"/>
          <w:w w:val="105"/>
          <w:sz w:val="21"/>
        </w:rPr>
        <w:t> </w:t>
      </w:r>
      <w:r>
        <w:rPr>
          <w:color w:val="0A0A0A"/>
          <w:w w:val="105"/>
          <w:sz w:val="21"/>
        </w:rPr>
        <w:t>internal business planning </w:t>
      </w:r>
      <w:r>
        <w:rPr>
          <w:color w:val="0A0A0A"/>
          <w:spacing w:val="-2"/>
          <w:w w:val="105"/>
          <w:sz w:val="21"/>
        </w:rPr>
        <w:t>processes:</w:t>
      </w:r>
    </w:p>
    <w:p>
      <w:pPr>
        <w:spacing w:after="0" w:line="252" w:lineRule="auto"/>
        <w:jc w:val="left"/>
        <w:rPr>
          <w:sz w:val="21"/>
        </w:rPr>
        <w:sectPr>
          <w:headerReference w:type="even" r:id="rId272"/>
          <w:pgSz w:w="11910" w:h="16830"/>
          <w:pgMar w:top="900" w:right="540" w:bottom="1200" w:left="440" w:header="0" w:footer="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6"/>
        <w:rPr>
          <w:sz w:val="18"/>
        </w:rPr>
      </w:pPr>
    </w:p>
    <w:p>
      <w:pPr>
        <w:spacing w:before="0" w:line="273" w:lineRule="auto"/>
        <w:ind w:left="8329" w:right="1473" w:hanging="1"/>
        <w:jc w:val="left"/>
        <w:rPr>
          <w:sz w:val="18"/>
        </w:rPr>
      </w:pPr>
      <w:r>
        <w:rPr/>
        <w:drawing>
          <wp:anchor distT="0" distB="0" distL="0" distR="0" simplePos="0" relativeHeight="15881728" behindDoc="0" locked="0" layoutInCell="1" allowOverlap="1">
            <wp:simplePos x="0" y="0"/>
            <wp:positionH relativeFrom="page">
              <wp:posOffset>1502035</wp:posOffset>
            </wp:positionH>
            <wp:positionV relativeFrom="paragraph">
              <wp:posOffset>-826256</wp:posOffset>
            </wp:positionV>
            <wp:extent cx="3730663" cy="2660888"/>
            <wp:effectExtent l="0" t="0" r="0" b="0"/>
            <wp:wrapNone/>
            <wp:docPr id="694" name="Image 694"/>
            <wp:cNvGraphicFramePr>
              <a:graphicFrameLocks/>
            </wp:cNvGraphicFramePr>
            <a:graphic>
              <a:graphicData uri="http://schemas.openxmlformats.org/drawingml/2006/picture">
                <pic:pic>
                  <pic:nvPicPr>
                    <pic:cNvPr id="694" name="Image 694"/>
                    <pic:cNvPicPr/>
                  </pic:nvPicPr>
                  <pic:blipFill>
                    <a:blip r:embed="rId277" cstate="print"/>
                    <a:stretch>
                      <a:fillRect/>
                    </a:stretch>
                  </pic:blipFill>
                  <pic:spPr>
                    <a:xfrm>
                      <a:off x="0" y="0"/>
                      <a:ext cx="3730663" cy="2660888"/>
                    </a:xfrm>
                    <a:prstGeom prst="rect">
                      <a:avLst/>
                    </a:prstGeom>
                  </pic:spPr>
                </pic:pic>
              </a:graphicData>
            </a:graphic>
          </wp:anchor>
        </w:drawing>
      </w:r>
      <w:r>
        <w:rPr/>
        <ve:AlternateContent>
          <ve:Choice Requires="wps">
            <w:drawing>
              <wp:anchor distT="0" distB="0" distL="0" distR="0" simplePos="0" relativeHeight="15882240" behindDoc="0" locked="0" layoutInCell="1" allowOverlap="1">
                <wp:simplePos x="0" y="0"/>
                <wp:positionH relativeFrom="page">
                  <wp:posOffset>5406714</wp:posOffset>
                </wp:positionH>
                <wp:positionV relativeFrom="paragraph">
                  <wp:posOffset>-789638</wp:posOffset>
                </wp:positionV>
                <wp:extent cx="1270" cy="1221105"/>
                <wp:effectExtent l="0" t="0" r="0" b="0"/>
                <wp:wrapNone/>
                <wp:docPr id="695" name="Graphic 695"/>
                <wp:cNvGraphicFramePr>
                  <a:graphicFrameLocks/>
                </wp:cNvGraphicFramePr>
                <a:graphic>
                  <a:graphicData uri="http://schemas.microsoft.com/office/word/2010/wordprocessingShape">
                    <wps:wsp>
                      <wps:cNvPr id="695" name="Graphic 695"/>
                      <wps:cNvSpPr/>
                      <wps:spPr>
                        <a:xfrm>
                          <a:off x="0" y="0"/>
                          <a:ext cx="1270" cy="1221105"/>
                        </a:xfrm>
                        <a:custGeom>
                          <a:avLst/>
                          <a:gdLst/>
                          <a:ahLst/>
                          <a:cxnLst/>
                          <a:rect l="l" t="t" r="r" b="b"/>
                          <a:pathLst>
                            <a:path w="0" h="1221105">
                              <a:moveTo>
                                <a:pt x="0" y="1220591"/>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82240" stroked="true" strokecolor="#000000" strokeweight="1.201936pt" from="425.725586pt,33.93325pt" to="425.725586pt,-62.176281pt">
                <v:stroke dashstyle="solid"/>
                <w10:wrap type="none"/>
              </v:line>
            </w:pict>
          </ve:Fallback>
        </ve:AlternateContent>
      </w:r>
      <w:r>
        <w:rPr/>
        <ve:AlternateContent>
          <ve:Choice Requires="wps">
            <w:drawing>
              <wp:anchor distT="0" distB="0" distL="0" distR="0" simplePos="0" relativeHeight="15882752" behindDoc="0" locked="0" layoutInCell="1" allowOverlap="1">
                <wp:simplePos x="0" y="0"/>
                <wp:positionH relativeFrom="page">
                  <wp:posOffset>5412820</wp:posOffset>
                </wp:positionH>
                <wp:positionV relativeFrom="paragraph">
                  <wp:posOffset>516393</wp:posOffset>
                </wp:positionV>
                <wp:extent cx="1270" cy="1257300"/>
                <wp:effectExtent l="0" t="0" r="0" b="0"/>
                <wp:wrapNone/>
                <wp:docPr id="696" name="Graphic 696"/>
                <wp:cNvGraphicFramePr>
                  <a:graphicFrameLocks/>
                </wp:cNvGraphicFramePr>
                <a:graphic>
                  <a:graphicData uri="http://schemas.microsoft.com/office/word/2010/wordprocessingShape">
                    <wps:wsp>
                      <wps:cNvPr id="696" name="Graphic 696"/>
                      <wps:cNvSpPr/>
                      <wps:spPr>
                        <a:xfrm>
                          <a:off x="0" y="0"/>
                          <a:ext cx="1270" cy="1257300"/>
                        </a:xfrm>
                        <a:custGeom>
                          <a:avLst/>
                          <a:gdLst/>
                          <a:ahLst/>
                          <a:cxnLst/>
                          <a:rect l="l" t="t" r="r" b="b"/>
                          <a:pathLst>
                            <a:path w="0" h="1257300">
                              <a:moveTo>
                                <a:pt x="0" y="1257208"/>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82752" stroked="true" strokecolor="#000000" strokeweight="1.201936pt" from="426.20636pt,139.653737pt" to="426.20636pt,40.660919pt">
                <v:stroke dashstyle="solid"/>
                <w10:wrap type="none"/>
              </v:line>
            </w:pict>
          </ve:Fallback>
        </ve:AlternateContent>
      </w:r>
      <w:r>
        <w:rPr>
          <w:color w:val="4D4D4D"/>
          <w:spacing w:val="-2"/>
          <w:w w:val="115"/>
          <w:sz w:val="18"/>
        </w:rPr>
        <w:t>Framework </w:t>
      </w:r>
      <w:r>
        <w:rPr>
          <w:rFonts w:ascii="Times New Roman"/>
          <w:color w:val="4D4D4D"/>
          <w:spacing w:val="-6"/>
          <w:w w:val="115"/>
          <w:sz w:val="20"/>
        </w:rPr>
        <w:t>of</w:t>
      </w:r>
      <w:r>
        <w:rPr>
          <w:rFonts w:ascii="Times New Roman"/>
          <w:color w:val="4D4D4D"/>
          <w:spacing w:val="40"/>
          <w:w w:val="115"/>
          <w:sz w:val="20"/>
        </w:rPr>
        <w:t> </w:t>
      </w:r>
      <w:r>
        <w:rPr>
          <w:color w:val="4D4D4D"/>
          <w:spacing w:val="-2"/>
          <w:w w:val="115"/>
          <w:sz w:val="18"/>
        </w:rPr>
        <w:t>Corporate Governance </w:t>
      </w:r>
      <w:r>
        <w:rPr>
          <w:color w:val="4D4D4D"/>
          <w:spacing w:val="-6"/>
          <w:w w:val="115"/>
          <w:sz w:val="18"/>
        </w:rPr>
        <w:t>at</w:t>
      </w:r>
      <w:r>
        <w:rPr>
          <w:color w:val="4D4D4D"/>
          <w:spacing w:val="40"/>
          <w:w w:val="115"/>
          <w:sz w:val="18"/>
        </w:rPr>
        <w:t> </w:t>
      </w:r>
      <w:r>
        <w:rPr>
          <w:color w:val="4D4D4D"/>
          <w:spacing w:val="-2"/>
          <w:w w:val="115"/>
          <w:sz w:val="18"/>
        </w:rPr>
        <w:t>Hertsmere</w:t>
      </w:r>
    </w:p>
    <w:p>
      <w:pPr>
        <w:pStyle w:val="BodyText"/>
      </w:pPr>
    </w:p>
    <w:p>
      <w:pPr>
        <w:pStyle w:val="BodyText"/>
      </w:pPr>
    </w:p>
    <w:p>
      <w:pPr>
        <w:pStyle w:val="BodyText"/>
      </w:pPr>
    </w:p>
    <w:p>
      <w:pPr>
        <w:pStyle w:val="BodyText"/>
      </w:pPr>
    </w:p>
    <w:p>
      <w:pPr>
        <w:pStyle w:val="BodyText"/>
      </w:pPr>
    </w:p>
    <w:p>
      <w:pPr>
        <w:pStyle w:val="BodyText"/>
      </w:pPr>
    </w:p>
    <w:p>
      <w:pPr>
        <w:pStyle w:val="BodyText"/>
        <w:spacing w:before="200"/>
      </w:pPr>
    </w:p>
    <w:p>
      <w:pPr>
        <w:pStyle w:val="ListParagraph"/>
        <w:numPr>
          <w:ilvl w:val="0"/>
          <w:numId w:val="29"/>
        </w:numPr>
        <w:tabs>
          <w:tab w:val="left" w:leader="none" w:pos="828"/>
          <w:tab w:val="left" w:leader="none" w:pos="834"/>
        </w:tabs>
        <w:spacing w:before="0" w:after="0" w:line="240" w:lineRule="auto"/>
        <w:ind w:left="834" w:right="748" w:hanging="709"/>
        <w:jc w:val="left"/>
        <w:rPr>
          <w:color w:val="0F0F0F"/>
          <w:sz w:val="22"/>
        </w:rPr>
      </w:pPr>
      <w:r>
        <w:rPr>
          <w:color w:val="0F0F0F"/>
          <w:sz w:val="22"/>
        </w:rPr>
        <w:t>The</w:t>
      </w:r>
      <w:r>
        <w:rPr>
          <w:color w:val="0F0F0F"/>
          <w:spacing w:val="-3"/>
          <w:sz w:val="22"/>
        </w:rPr>
        <w:t> </w:t>
      </w:r>
      <w:r>
        <w:rPr>
          <w:color w:val="0F0F0F"/>
          <w:sz w:val="22"/>
        </w:rPr>
        <w:t>key elements of</w:t>
      </w:r>
      <w:r>
        <w:rPr>
          <w:color w:val="0F0F0F"/>
          <w:spacing w:val="-2"/>
          <w:sz w:val="22"/>
        </w:rPr>
        <w:t> </w:t>
      </w:r>
      <w:r>
        <w:rPr>
          <w:color w:val="0F0F0F"/>
          <w:sz w:val="22"/>
        </w:rPr>
        <w:t>the systems and</w:t>
      </w:r>
      <w:r>
        <w:rPr>
          <w:color w:val="0F0F0F"/>
          <w:spacing w:val="-4"/>
          <w:sz w:val="22"/>
        </w:rPr>
        <w:t> </w:t>
      </w:r>
      <w:r>
        <w:rPr>
          <w:color w:val="0F0F0F"/>
          <w:sz w:val="22"/>
        </w:rPr>
        <w:t>processes that comprise the Council's governance </w:t>
      </w:r>
      <w:r>
        <w:rPr>
          <w:color w:val="1F1F1F"/>
          <w:sz w:val="22"/>
        </w:rPr>
        <w:t>arrangements,</w:t>
      </w:r>
      <w:r>
        <w:rPr>
          <w:color w:val="1F1F1F"/>
          <w:spacing w:val="22"/>
          <w:sz w:val="22"/>
        </w:rPr>
        <w:t> </w:t>
      </w:r>
      <w:r>
        <w:rPr>
          <w:color w:val="0F0F0F"/>
          <w:sz w:val="22"/>
        </w:rPr>
        <w:t>as</w:t>
      </w:r>
      <w:r>
        <w:rPr>
          <w:color w:val="0F0F0F"/>
          <w:spacing w:val="-14"/>
          <w:sz w:val="22"/>
        </w:rPr>
        <w:t> </w:t>
      </w:r>
      <w:r>
        <w:rPr>
          <w:color w:val="0F0F0F"/>
          <w:sz w:val="22"/>
        </w:rPr>
        <w:t>per</w:t>
      </w:r>
      <w:r>
        <w:rPr>
          <w:color w:val="0F0F0F"/>
          <w:spacing w:val="-11"/>
          <w:sz w:val="22"/>
        </w:rPr>
        <w:t> </w:t>
      </w:r>
      <w:r>
        <w:rPr>
          <w:color w:val="0F0F0F"/>
          <w:sz w:val="22"/>
        </w:rPr>
        <w:t>the</w:t>
      </w:r>
      <w:r>
        <w:rPr>
          <w:color w:val="0F0F0F"/>
          <w:spacing w:val="-16"/>
          <w:sz w:val="22"/>
        </w:rPr>
        <w:t> </w:t>
      </w:r>
      <w:r>
        <w:rPr>
          <w:color w:val="0F0F0F"/>
          <w:sz w:val="22"/>
        </w:rPr>
        <w:t>CIPFA </w:t>
      </w:r>
      <w:r>
        <w:rPr>
          <w:color w:val="1F1F1F"/>
          <w:sz w:val="22"/>
        </w:rPr>
        <w:t>'Delivering </w:t>
      </w:r>
      <w:r>
        <w:rPr>
          <w:color w:val="0F0F0F"/>
          <w:sz w:val="22"/>
        </w:rPr>
        <w:t>good</w:t>
      </w:r>
      <w:r>
        <w:rPr>
          <w:color w:val="0F0F0F"/>
          <w:spacing w:val="-6"/>
          <w:sz w:val="22"/>
        </w:rPr>
        <w:t> </w:t>
      </w:r>
      <w:r>
        <w:rPr>
          <w:color w:val="0F0F0F"/>
          <w:sz w:val="22"/>
        </w:rPr>
        <w:t>governance</w:t>
      </w:r>
      <w:r>
        <w:rPr>
          <w:color w:val="0F0F0F"/>
          <w:spacing w:val="-1"/>
          <w:sz w:val="22"/>
        </w:rPr>
        <w:t> </w:t>
      </w:r>
      <w:r>
        <w:rPr>
          <w:color w:val="0F0F0F"/>
          <w:sz w:val="22"/>
        </w:rPr>
        <w:t>in</w:t>
      </w:r>
      <w:r>
        <w:rPr>
          <w:color w:val="0F0F0F"/>
          <w:spacing w:val="-15"/>
          <w:sz w:val="22"/>
        </w:rPr>
        <w:t> </w:t>
      </w:r>
      <w:r>
        <w:rPr>
          <w:color w:val="0F0F0F"/>
          <w:sz w:val="22"/>
        </w:rPr>
        <w:t>local</w:t>
      </w:r>
      <w:r>
        <w:rPr>
          <w:color w:val="0F0F0F"/>
          <w:spacing w:val="-10"/>
          <w:sz w:val="22"/>
        </w:rPr>
        <w:t> </w:t>
      </w:r>
      <w:r>
        <w:rPr>
          <w:color w:val="0F0F0F"/>
          <w:sz w:val="22"/>
        </w:rPr>
        <w:t>government: Framework - </w:t>
      </w:r>
      <w:r>
        <w:rPr>
          <w:color w:val="1F1F1F"/>
          <w:sz w:val="22"/>
        </w:rPr>
        <w:t>Addendum' </w:t>
      </w:r>
      <w:r>
        <w:rPr>
          <w:color w:val="0F0F0F"/>
          <w:sz w:val="22"/>
        </w:rPr>
        <w:t>include the following:</w:t>
      </w:r>
    </w:p>
    <w:p>
      <w:pPr>
        <w:pStyle w:val="BodyText"/>
        <w:spacing w:before="23"/>
        <w:rPr>
          <w:sz w:val="21"/>
        </w:rPr>
      </w:pPr>
    </w:p>
    <w:p>
      <w:pPr>
        <w:spacing w:before="0"/>
        <w:ind w:left="843" w:right="0" w:firstLine="0"/>
        <w:jc w:val="left"/>
        <w:rPr>
          <w:b/>
          <w:sz w:val="21"/>
        </w:rPr>
      </w:pPr>
      <w:r>
        <w:rPr>
          <w:b/>
          <w:color w:val="0F0F0F"/>
          <w:spacing w:val="-2"/>
          <w:w w:val="105"/>
          <w:sz w:val="21"/>
          <w:u w:val="thick" w:color="0F0F0F"/>
        </w:rPr>
        <w:t>General</w:t>
      </w:r>
    </w:p>
    <w:p>
      <w:pPr>
        <w:pStyle w:val="BodyText"/>
        <w:spacing w:before="12"/>
        <w:rPr>
          <w:b/>
          <w:sz w:val="21"/>
        </w:rPr>
      </w:pPr>
    </w:p>
    <w:p>
      <w:pPr>
        <w:pStyle w:val="ListParagraph"/>
        <w:numPr>
          <w:ilvl w:val="0"/>
          <w:numId w:val="29"/>
        </w:numPr>
        <w:tabs>
          <w:tab w:val="left" w:leader="none" w:pos="829"/>
          <w:tab w:val="left" w:leader="none" w:pos="831"/>
        </w:tabs>
        <w:spacing w:before="0" w:after="0" w:line="240" w:lineRule="auto"/>
        <w:ind w:left="831" w:right="760" w:hanging="707"/>
        <w:jc w:val="both"/>
        <w:rPr>
          <w:color w:val="0F0F0F"/>
          <w:sz w:val="22"/>
        </w:rPr>
      </w:pPr>
      <w:r>
        <w:rPr>
          <w:color w:val="0F0F0F"/>
          <w:sz w:val="22"/>
        </w:rPr>
        <w:t>The</w:t>
      </w:r>
      <w:r>
        <w:rPr>
          <w:color w:val="0F0F0F"/>
          <w:spacing w:val="-11"/>
          <w:sz w:val="22"/>
        </w:rPr>
        <w:t> </w:t>
      </w:r>
      <w:r>
        <w:rPr>
          <w:color w:val="0F0F0F"/>
          <w:sz w:val="22"/>
        </w:rPr>
        <w:t>Council has</w:t>
      </w:r>
      <w:r>
        <w:rPr>
          <w:color w:val="0F0F0F"/>
          <w:spacing w:val="-1"/>
          <w:sz w:val="22"/>
        </w:rPr>
        <w:t> </w:t>
      </w:r>
      <w:r>
        <w:rPr>
          <w:color w:val="0F0F0F"/>
          <w:sz w:val="22"/>
        </w:rPr>
        <w:t>adopted</w:t>
      </w:r>
      <w:r>
        <w:rPr>
          <w:color w:val="0F0F0F"/>
          <w:spacing w:val="-6"/>
          <w:sz w:val="22"/>
        </w:rPr>
        <w:t> </w:t>
      </w:r>
      <w:r>
        <w:rPr>
          <w:color w:val="0F0F0F"/>
          <w:sz w:val="22"/>
        </w:rPr>
        <w:t>the</w:t>
      </w:r>
      <w:r>
        <w:rPr>
          <w:color w:val="0F0F0F"/>
          <w:spacing w:val="-7"/>
          <w:sz w:val="22"/>
        </w:rPr>
        <w:t> </w:t>
      </w:r>
      <w:r>
        <w:rPr>
          <w:color w:val="0F0F0F"/>
          <w:sz w:val="22"/>
        </w:rPr>
        <w:t>Leader and</w:t>
      </w:r>
      <w:r>
        <w:rPr>
          <w:color w:val="0F0F0F"/>
          <w:spacing w:val="-6"/>
          <w:sz w:val="22"/>
        </w:rPr>
        <w:t> </w:t>
      </w:r>
      <w:r>
        <w:rPr>
          <w:color w:val="0F0F0F"/>
          <w:sz w:val="22"/>
        </w:rPr>
        <w:t>Cabinet style of political management</w:t>
      </w:r>
      <w:r>
        <w:rPr>
          <w:color w:val="0F0F0F"/>
          <w:spacing w:val="23"/>
          <w:sz w:val="22"/>
        </w:rPr>
        <w:t> </w:t>
      </w:r>
      <w:r>
        <w:rPr>
          <w:color w:val="0F0F0F"/>
          <w:sz w:val="22"/>
        </w:rPr>
        <w:t>under</w:t>
      </w:r>
      <w:r>
        <w:rPr>
          <w:color w:val="0F0F0F"/>
          <w:spacing w:val="-2"/>
          <w:sz w:val="22"/>
        </w:rPr>
        <w:t> </w:t>
      </w:r>
      <w:r>
        <w:rPr>
          <w:color w:val="0F0F0F"/>
          <w:sz w:val="22"/>
        </w:rPr>
        <w:t>the</w:t>
      </w:r>
      <w:r>
        <w:rPr>
          <w:color w:val="0F0F0F"/>
          <w:spacing w:val="-6"/>
          <w:sz w:val="22"/>
        </w:rPr>
        <w:t> </w:t>
      </w:r>
      <w:r>
        <w:rPr>
          <w:color w:val="0F0F0F"/>
          <w:sz w:val="22"/>
        </w:rPr>
        <w:t>Local Government Act</w:t>
      </w:r>
      <w:r>
        <w:rPr>
          <w:color w:val="0F0F0F"/>
          <w:spacing w:val="-2"/>
          <w:sz w:val="22"/>
        </w:rPr>
        <w:t> </w:t>
      </w:r>
      <w:r>
        <w:rPr>
          <w:color w:val="0F0F0F"/>
          <w:sz w:val="22"/>
        </w:rPr>
        <w:t>2000</w:t>
      </w:r>
      <w:r>
        <w:rPr>
          <w:color w:val="0F0F0F"/>
          <w:spacing w:val="-6"/>
          <w:sz w:val="22"/>
        </w:rPr>
        <w:t> </w:t>
      </w:r>
      <w:r>
        <w:rPr>
          <w:color w:val="0F0F0F"/>
          <w:sz w:val="22"/>
        </w:rPr>
        <w:t>and</w:t>
      </w:r>
      <w:r>
        <w:rPr>
          <w:color w:val="0F0F0F"/>
          <w:spacing w:val="-9"/>
          <w:sz w:val="22"/>
        </w:rPr>
        <w:t> </w:t>
      </w:r>
      <w:r>
        <w:rPr>
          <w:color w:val="0F0F0F"/>
          <w:sz w:val="22"/>
        </w:rPr>
        <w:t>has</w:t>
      </w:r>
      <w:r>
        <w:rPr>
          <w:color w:val="0F0F0F"/>
          <w:spacing w:val="-5"/>
          <w:sz w:val="22"/>
        </w:rPr>
        <w:t> </w:t>
      </w:r>
      <w:r>
        <w:rPr>
          <w:color w:val="0F0F0F"/>
          <w:sz w:val="22"/>
        </w:rPr>
        <w:t>a</w:t>
      </w:r>
      <w:r>
        <w:rPr>
          <w:color w:val="0F0F0F"/>
          <w:spacing w:val="-10"/>
          <w:sz w:val="22"/>
        </w:rPr>
        <w:t> </w:t>
      </w:r>
      <w:r>
        <w:rPr>
          <w:color w:val="0F0F0F"/>
          <w:sz w:val="22"/>
        </w:rPr>
        <w:t>comprehensive Constitution</w:t>
      </w:r>
      <w:r>
        <w:rPr>
          <w:color w:val="0F0F0F"/>
          <w:spacing w:val="-1"/>
          <w:sz w:val="22"/>
        </w:rPr>
        <w:t> </w:t>
      </w:r>
      <w:r>
        <w:rPr>
          <w:color w:val="0F0F0F"/>
          <w:sz w:val="22"/>
        </w:rPr>
        <w:t>to</w:t>
      </w:r>
      <w:r>
        <w:rPr>
          <w:color w:val="0F0F0F"/>
          <w:spacing w:val="-10"/>
          <w:sz w:val="22"/>
        </w:rPr>
        <w:t> </w:t>
      </w:r>
      <w:r>
        <w:rPr>
          <w:color w:val="0F0F0F"/>
          <w:sz w:val="22"/>
        </w:rPr>
        <w:t>govern</w:t>
      </w:r>
      <w:r>
        <w:rPr>
          <w:color w:val="0F0F0F"/>
          <w:spacing w:val="-1"/>
          <w:sz w:val="22"/>
        </w:rPr>
        <w:t> </w:t>
      </w:r>
      <w:r>
        <w:rPr>
          <w:color w:val="0F0F0F"/>
          <w:sz w:val="22"/>
        </w:rPr>
        <w:t>its</w:t>
      </w:r>
      <w:r>
        <w:rPr>
          <w:color w:val="0F0F0F"/>
          <w:spacing w:val="-8"/>
          <w:sz w:val="22"/>
        </w:rPr>
        <w:t> </w:t>
      </w:r>
      <w:r>
        <w:rPr>
          <w:color w:val="0F0F0F"/>
          <w:sz w:val="22"/>
        </w:rPr>
        <w:t>actions and</w:t>
      </w:r>
      <w:r>
        <w:rPr>
          <w:color w:val="0F0F0F"/>
          <w:spacing w:val="-12"/>
          <w:sz w:val="22"/>
        </w:rPr>
        <w:t> </w:t>
      </w:r>
      <w:r>
        <w:rPr>
          <w:color w:val="0F0F0F"/>
          <w:sz w:val="22"/>
        </w:rPr>
        <w:t>decision­ </w:t>
      </w:r>
      <w:r>
        <w:rPr>
          <w:color w:val="0F0F0F"/>
          <w:spacing w:val="-2"/>
          <w:sz w:val="22"/>
        </w:rPr>
        <w:t>making.</w:t>
      </w:r>
    </w:p>
    <w:p>
      <w:pPr>
        <w:pStyle w:val="BodyText"/>
        <w:spacing w:before="2"/>
      </w:pPr>
    </w:p>
    <w:p>
      <w:pPr>
        <w:pStyle w:val="ListParagraph"/>
        <w:numPr>
          <w:ilvl w:val="0"/>
          <w:numId w:val="29"/>
        </w:numPr>
        <w:tabs>
          <w:tab w:val="left" w:leader="none" w:pos="830"/>
          <w:tab w:val="left" w:leader="none" w:pos="833"/>
        </w:tabs>
        <w:spacing w:before="0" w:after="0" w:line="240" w:lineRule="auto"/>
        <w:ind w:left="830" w:right="671" w:hanging="705"/>
        <w:jc w:val="left"/>
        <w:rPr>
          <w:color w:val="0F0F0F"/>
          <w:sz w:val="22"/>
        </w:rPr>
      </w:pPr>
      <w:r>
        <w:rPr>
          <w:color w:val="0F0F0F"/>
          <w:sz w:val="22"/>
        </w:rPr>
        <w:tab/>
        <w:t>The Constitution sets</w:t>
      </w:r>
      <w:r>
        <w:rPr>
          <w:color w:val="0F0F0F"/>
          <w:spacing w:val="-5"/>
          <w:sz w:val="22"/>
        </w:rPr>
        <w:t> </w:t>
      </w:r>
      <w:r>
        <w:rPr>
          <w:color w:val="1F1F1F"/>
          <w:sz w:val="22"/>
        </w:rPr>
        <w:t>out</w:t>
      </w:r>
      <w:r>
        <w:rPr>
          <w:color w:val="1F1F1F"/>
          <w:spacing w:val="-11"/>
          <w:sz w:val="22"/>
        </w:rPr>
        <w:t> </w:t>
      </w:r>
      <w:r>
        <w:rPr>
          <w:color w:val="1F1F1F"/>
          <w:sz w:val="22"/>
        </w:rPr>
        <w:t>how</w:t>
      </w:r>
      <w:r>
        <w:rPr>
          <w:color w:val="1F1F1F"/>
          <w:spacing w:val="-6"/>
          <w:sz w:val="22"/>
        </w:rPr>
        <w:t> </w:t>
      </w:r>
      <w:r>
        <w:rPr>
          <w:color w:val="0F0F0F"/>
          <w:sz w:val="22"/>
        </w:rPr>
        <w:t>the</w:t>
      </w:r>
      <w:r>
        <w:rPr>
          <w:color w:val="0F0F0F"/>
          <w:spacing w:val="-6"/>
          <w:sz w:val="22"/>
        </w:rPr>
        <w:t> </w:t>
      </w:r>
      <w:r>
        <w:rPr>
          <w:color w:val="0F0F0F"/>
          <w:sz w:val="22"/>
        </w:rPr>
        <w:t>Council </w:t>
      </w:r>
      <w:r>
        <w:rPr>
          <w:color w:val="1F1F1F"/>
          <w:sz w:val="22"/>
        </w:rPr>
        <w:t>operates, </w:t>
      </w:r>
      <w:r>
        <w:rPr>
          <w:color w:val="0F0F0F"/>
          <w:sz w:val="22"/>
        </w:rPr>
        <w:t>how</w:t>
      </w:r>
      <w:r>
        <w:rPr>
          <w:color w:val="0F0F0F"/>
          <w:spacing w:val="-8"/>
          <w:sz w:val="22"/>
        </w:rPr>
        <w:t> </w:t>
      </w:r>
      <w:r>
        <w:rPr>
          <w:color w:val="0F0F0F"/>
          <w:sz w:val="22"/>
        </w:rPr>
        <w:t>decisions are</w:t>
      </w:r>
      <w:r>
        <w:rPr>
          <w:color w:val="0F0F0F"/>
          <w:spacing w:val="-14"/>
          <w:sz w:val="22"/>
        </w:rPr>
        <w:t> </w:t>
      </w:r>
      <w:r>
        <w:rPr>
          <w:color w:val="0F0F0F"/>
          <w:sz w:val="22"/>
        </w:rPr>
        <w:t>made</w:t>
      </w:r>
      <w:r>
        <w:rPr>
          <w:color w:val="0F0F0F"/>
          <w:spacing w:val="-2"/>
          <w:sz w:val="22"/>
        </w:rPr>
        <w:t> </w:t>
      </w:r>
      <w:r>
        <w:rPr>
          <w:color w:val="0F0F0F"/>
          <w:sz w:val="22"/>
        </w:rPr>
        <w:t>and</w:t>
      </w:r>
      <w:r>
        <w:rPr>
          <w:color w:val="0F0F0F"/>
          <w:spacing w:val="-10"/>
          <w:sz w:val="22"/>
        </w:rPr>
        <w:t> </w:t>
      </w:r>
      <w:r>
        <w:rPr>
          <w:color w:val="0F0F0F"/>
          <w:sz w:val="22"/>
        </w:rPr>
        <w:t>the</w:t>
      </w:r>
      <w:r>
        <w:rPr>
          <w:color w:val="0F0F0F"/>
          <w:spacing w:val="-9"/>
          <w:sz w:val="22"/>
        </w:rPr>
        <w:t> </w:t>
      </w:r>
      <w:r>
        <w:rPr>
          <w:color w:val="0F0F0F"/>
          <w:sz w:val="22"/>
        </w:rPr>
        <w:t>procedures </w:t>
      </w:r>
      <w:r>
        <w:rPr>
          <w:color w:val="1F1F1F"/>
          <w:sz w:val="22"/>
        </w:rPr>
        <w:t>that are followed </w:t>
      </w:r>
      <w:r>
        <w:rPr>
          <w:color w:val="0F0F0F"/>
          <w:sz w:val="22"/>
        </w:rPr>
        <w:t>to </w:t>
      </w:r>
      <w:r>
        <w:rPr>
          <w:color w:val="1F1F1F"/>
          <w:sz w:val="22"/>
        </w:rPr>
        <w:t>ensure </w:t>
      </w:r>
      <w:r>
        <w:rPr>
          <w:color w:val="0F0F0F"/>
          <w:sz w:val="22"/>
        </w:rPr>
        <w:t>that these are </w:t>
      </w:r>
      <w:r>
        <w:rPr>
          <w:color w:val="1F1F1F"/>
          <w:sz w:val="22"/>
        </w:rPr>
        <w:t>efficient, </w:t>
      </w:r>
      <w:r>
        <w:rPr>
          <w:color w:val="0F0F0F"/>
          <w:sz w:val="22"/>
        </w:rPr>
        <w:t>transparent and</w:t>
      </w:r>
      <w:r>
        <w:rPr>
          <w:color w:val="0F0F0F"/>
          <w:spacing w:val="-7"/>
          <w:sz w:val="22"/>
        </w:rPr>
        <w:t> </w:t>
      </w:r>
      <w:r>
        <w:rPr>
          <w:color w:val="0F0F0F"/>
          <w:sz w:val="22"/>
        </w:rPr>
        <w:t>accountable to</w:t>
      </w:r>
      <w:r>
        <w:rPr>
          <w:color w:val="0F0F0F"/>
          <w:spacing w:val="-1"/>
          <w:sz w:val="22"/>
        </w:rPr>
        <w:t> </w:t>
      </w:r>
      <w:r>
        <w:rPr>
          <w:color w:val="0F0F0F"/>
          <w:sz w:val="22"/>
        </w:rPr>
        <w:t>the local </w:t>
      </w:r>
      <w:r>
        <w:rPr>
          <w:color w:val="1F1F1F"/>
          <w:sz w:val="22"/>
        </w:rPr>
        <w:t>community. </w:t>
      </w:r>
      <w:r>
        <w:rPr>
          <w:color w:val="0F0F0F"/>
          <w:sz w:val="22"/>
        </w:rPr>
        <w:t>Some </w:t>
      </w:r>
      <w:r>
        <w:rPr>
          <w:color w:val="1F1F1F"/>
          <w:sz w:val="22"/>
        </w:rPr>
        <w:t>of</w:t>
      </w:r>
      <w:r>
        <w:rPr>
          <w:color w:val="1F1F1F"/>
          <w:spacing w:val="-8"/>
          <w:sz w:val="22"/>
        </w:rPr>
        <w:t> </w:t>
      </w:r>
      <w:r>
        <w:rPr>
          <w:color w:val="1F1F1F"/>
          <w:sz w:val="22"/>
        </w:rPr>
        <w:t>these procedures </w:t>
      </w:r>
      <w:r>
        <w:rPr>
          <w:color w:val="0F0F0F"/>
          <w:sz w:val="22"/>
        </w:rPr>
        <w:t>are required by </w:t>
      </w:r>
      <w:r>
        <w:rPr>
          <w:color w:val="1F1F1F"/>
          <w:sz w:val="22"/>
        </w:rPr>
        <w:t>law</w:t>
      </w:r>
      <w:r>
        <w:rPr>
          <w:color w:val="5E5E5E"/>
          <w:sz w:val="22"/>
        </w:rPr>
        <w:t>,</w:t>
      </w:r>
      <w:r>
        <w:rPr>
          <w:color w:val="5E5E5E"/>
          <w:spacing w:val="-19"/>
          <w:sz w:val="22"/>
        </w:rPr>
        <w:t> </w:t>
      </w:r>
      <w:r>
        <w:rPr>
          <w:color w:val="0F0F0F"/>
          <w:sz w:val="22"/>
        </w:rPr>
        <w:t>whilst others are adopted by the </w:t>
      </w:r>
      <w:r>
        <w:rPr>
          <w:color w:val="1F1F1F"/>
          <w:sz w:val="22"/>
        </w:rPr>
        <w:t>Council. </w:t>
      </w:r>
      <w:r>
        <w:rPr>
          <w:color w:val="0F0F0F"/>
          <w:sz w:val="22"/>
        </w:rPr>
        <w:t>The Constitution is </w:t>
      </w:r>
      <w:r>
        <w:rPr>
          <w:color w:val="1F1F1F"/>
          <w:sz w:val="22"/>
        </w:rPr>
        <w:t>reviewed </w:t>
      </w:r>
      <w:r>
        <w:rPr>
          <w:color w:val="0F0F0F"/>
          <w:sz w:val="22"/>
        </w:rPr>
        <w:t>annually and</w:t>
      </w:r>
      <w:r>
        <w:rPr>
          <w:color w:val="0F0F0F"/>
          <w:spacing w:val="-2"/>
          <w:sz w:val="22"/>
        </w:rPr>
        <w:t> </w:t>
      </w:r>
      <w:r>
        <w:rPr>
          <w:color w:val="0F0F0F"/>
          <w:sz w:val="22"/>
        </w:rPr>
        <w:t>is available on</w:t>
      </w:r>
      <w:r>
        <w:rPr>
          <w:color w:val="0F0F0F"/>
          <w:spacing w:val="-1"/>
          <w:sz w:val="22"/>
        </w:rPr>
        <w:t> </w:t>
      </w:r>
      <w:r>
        <w:rPr>
          <w:color w:val="0F0F0F"/>
          <w:sz w:val="22"/>
        </w:rPr>
        <w:t>the Council's website and </w:t>
      </w:r>
      <w:r>
        <w:rPr>
          <w:color w:val="1F1F1F"/>
          <w:spacing w:val="-2"/>
          <w:sz w:val="22"/>
        </w:rPr>
        <w:t>intranet.</w:t>
      </w:r>
    </w:p>
    <w:p>
      <w:pPr>
        <w:pStyle w:val="BodyText"/>
        <w:spacing w:before="6"/>
      </w:pPr>
    </w:p>
    <w:p>
      <w:pPr>
        <w:pStyle w:val="ListParagraph"/>
        <w:numPr>
          <w:ilvl w:val="0"/>
          <w:numId w:val="29"/>
        </w:numPr>
        <w:tabs>
          <w:tab w:val="left" w:leader="none" w:pos="833"/>
        </w:tabs>
        <w:spacing w:before="0" w:after="0" w:line="240" w:lineRule="auto"/>
        <w:ind w:left="833" w:right="0" w:hanging="703"/>
        <w:jc w:val="left"/>
        <w:rPr>
          <w:color w:val="0F0F0F"/>
          <w:sz w:val="22"/>
        </w:rPr>
      </w:pPr>
      <w:r>
        <w:rPr>
          <w:color w:val="0F0F0F"/>
          <w:sz w:val="22"/>
        </w:rPr>
        <w:t>The</w:t>
      </w:r>
      <w:r>
        <w:rPr>
          <w:color w:val="0F0F0F"/>
          <w:spacing w:val="-13"/>
          <w:sz w:val="22"/>
        </w:rPr>
        <w:t> </w:t>
      </w:r>
      <w:r>
        <w:rPr>
          <w:color w:val="0F0F0F"/>
          <w:sz w:val="22"/>
        </w:rPr>
        <w:t>Council</w:t>
      </w:r>
      <w:r>
        <w:rPr>
          <w:color w:val="0F0F0F"/>
          <w:spacing w:val="-2"/>
          <w:sz w:val="22"/>
        </w:rPr>
        <w:t> </w:t>
      </w:r>
      <w:r>
        <w:rPr>
          <w:color w:val="0F0F0F"/>
          <w:sz w:val="22"/>
        </w:rPr>
        <w:t>has</w:t>
      </w:r>
      <w:r>
        <w:rPr>
          <w:color w:val="0F0F0F"/>
          <w:spacing w:val="-6"/>
          <w:sz w:val="22"/>
        </w:rPr>
        <w:t> </w:t>
      </w:r>
      <w:r>
        <w:rPr>
          <w:color w:val="0F0F0F"/>
          <w:sz w:val="22"/>
        </w:rPr>
        <w:t>an</w:t>
      </w:r>
      <w:r>
        <w:rPr>
          <w:color w:val="0F0F0F"/>
          <w:spacing w:val="-13"/>
          <w:sz w:val="22"/>
        </w:rPr>
        <w:t> </w:t>
      </w:r>
      <w:r>
        <w:rPr>
          <w:color w:val="0F0F0F"/>
          <w:sz w:val="22"/>
        </w:rPr>
        <w:t>approved</w:t>
      </w:r>
      <w:r>
        <w:rPr>
          <w:color w:val="0F0F0F"/>
          <w:spacing w:val="5"/>
          <w:sz w:val="22"/>
        </w:rPr>
        <w:t> </w:t>
      </w:r>
      <w:r>
        <w:rPr>
          <w:color w:val="0F0F0F"/>
          <w:sz w:val="22"/>
        </w:rPr>
        <w:t>Local</w:t>
      </w:r>
      <w:r>
        <w:rPr>
          <w:color w:val="0F0F0F"/>
          <w:spacing w:val="-10"/>
          <w:sz w:val="22"/>
        </w:rPr>
        <w:t> </w:t>
      </w:r>
      <w:r>
        <w:rPr>
          <w:color w:val="0F0F0F"/>
          <w:sz w:val="22"/>
        </w:rPr>
        <w:t>Code</w:t>
      </w:r>
      <w:r>
        <w:rPr>
          <w:color w:val="0F0F0F"/>
          <w:spacing w:val="-8"/>
          <w:sz w:val="22"/>
        </w:rPr>
        <w:t> </w:t>
      </w:r>
      <w:r>
        <w:rPr>
          <w:color w:val="0F0F0F"/>
          <w:sz w:val="22"/>
        </w:rPr>
        <w:t>of</w:t>
      </w:r>
      <w:r>
        <w:rPr>
          <w:color w:val="0F0F0F"/>
          <w:spacing w:val="-9"/>
          <w:sz w:val="22"/>
        </w:rPr>
        <w:t> </w:t>
      </w:r>
      <w:r>
        <w:rPr>
          <w:color w:val="0F0F0F"/>
          <w:sz w:val="22"/>
        </w:rPr>
        <w:t>Governance,</w:t>
      </w:r>
      <w:r>
        <w:rPr>
          <w:color w:val="0F0F0F"/>
          <w:spacing w:val="18"/>
          <w:sz w:val="22"/>
        </w:rPr>
        <w:t> </w:t>
      </w:r>
      <w:r>
        <w:rPr>
          <w:color w:val="0F0F0F"/>
          <w:spacing w:val="-2"/>
          <w:sz w:val="22"/>
        </w:rPr>
        <w:t>which</w:t>
      </w:r>
    </w:p>
    <w:p>
      <w:pPr>
        <w:pStyle w:val="BodyText"/>
        <w:spacing w:before="17"/>
      </w:pPr>
    </w:p>
    <w:p>
      <w:pPr>
        <w:pStyle w:val="ListParagraph"/>
        <w:numPr>
          <w:ilvl w:val="1"/>
          <w:numId w:val="29"/>
        </w:numPr>
        <w:tabs>
          <w:tab w:val="left" w:leader="none" w:pos="1288"/>
        </w:tabs>
        <w:spacing w:before="1" w:after="0" w:line="240" w:lineRule="auto"/>
        <w:ind w:left="1288" w:right="0" w:hanging="448"/>
        <w:jc w:val="left"/>
        <w:rPr>
          <w:color w:val="0F0F0F"/>
          <w:sz w:val="22"/>
        </w:rPr>
      </w:pPr>
      <w:r>
        <w:rPr>
          <w:color w:val="0F0F0F"/>
          <w:sz w:val="22"/>
        </w:rPr>
        <w:t>Defines</w:t>
      </w:r>
      <w:r>
        <w:rPr>
          <w:color w:val="0F0F0F"/>
          <w:spacing w:val="-2"/>
          <w:sz w:val="22"/>
        </w:rPr>
        <w:t> </w:t>
      </w:r>
      <w:r>
        <w:rPr>
          <w:color w:val="0F0F0F"/>
          <w:sz w:val="22"/>
        </w:rPr>
        <w:t>good</w:t>
      </w:r>
      <w:r>
        <w:rPr>
          <w:color w:val="0F0F0F"/>
          <w:spacing w:val="-6"/>
          <w:sz w:val="22"/>
        </w:rPr>
        <w:t> </w:t>
      </w:r>
      <w:r>
        <w:rPr>
          <w:color w:val="0F0F0F"/>
          <w:spacing w:val="-2"/>
          <w:sz w:val="22"/>
        </w:rPr>
        <w:t>governance,</w:t>
      </w:r>
    </w:p>
    <w:p>
      <w:pPr>
        <w:pStyle w:val="ListParagraph"/>
        <w:numPr>
          <w:ilvl w:val="1"/>
          <w:numId w:val="29"/>
        </w:numPr>
        <w:tabs>
          <w:tab w:val="left" w:leader="none" w:pos="1273"/>
        </w:tabs>
        <w:spacing w:before="64" w:after="0" w:line="240" w:lineRule="auto"/>
        <w:ind w:left="1273" w:right="0" w:hanging="435"/>
        <w:jc w:val="left"/>
        <w:rPr>
          <w:color w:val="0F0F0F"/>
          <w:sz w:val="22"/>
        </w:rPr>
      </w:pPr>
      <w:r>
        <w:rPr>
          <w:color w:val="0F0F0F"/>
          <w:sz w:val="22"/>
        </w:rPr>
        <w:t>Establishes</w:t>
      </w:r>
      <w:r>
        <w:rPr>
          <w:color w:val="0F0F0F"/>
          <w:spacing w:val="18"/>
          <w:sz w:val="22"/>
        </w:rPr>
        <w:t> </w:t>
      </w:r>
      <w:r>
        <w:rPr>
          <w:color w:val="0F0F0F"/>
          <w:sz w:val="22"/>
        </w:rPr>
        <w:t>and</w:t>
      </w:r>
      <w:r>
        <w:rPr>
          <w:color w:val="0F0F0F"/>
          <w:spacing w:val="-10"/>
          <w:sz w:val="22"/>
        </w:rPr>
        <w:t> </w:t>
      </w:r>
      <w:r>
        <w:rPr>
          <w:color w:val="0F0F0F"/>
          <w:sz w:val="22"/>
        </w:rPr>
        <w:t>describes</w:t>
      </w:r>
      <w:r>
        <w:rPr>
          <w:color w:val="0F0F0F"/>
          <w:spacing w:val="-2"/>
          <w:sz w:val="22"/>
        </w:rPr>
        <w:t> </w:t>
      </w:r>
      <w:r>
        <w:rPr>
          <w:color w:val="0F0F0F"/>
          <w:sz w:val="22"/>
        </w:rPr>
        <w:t>the</w:t>
      </w:r>
      <w:r>
        <w:rPr>
          <w:color w:val="0F0F0F"/>
          <w:spacing w:val="-5"/>
          <w:sz w:val="22"/>
        </w:rPr>
        <w:t> </w:t>
      </w:r>
      <w:r>
        <w:rPr>
          <w:color w:val="0F0F0F"/>
          <w:sz w:val="22"/>
        </w:rPr>
        <w:t>seven</w:t>
      </w:r>
      <w:r>
        <w:rPr>
          <w:color w:val="0F0F0F"/>
          <w:spacing w:val="-2"/>
          <w:sz w:val="22"/>
        </w:rPr>
        <w:t> </w:t>
      </w:r>
      <w:r>
        <w:rPr>
          <w:color w:val="0F0F0F"/>
          <w:sz w:val="22"/>
        </w:rPr>
        <w:t>principles</w:t>
      </w:r>
      <w:r>
        <w:rPr>
          <w:color w:val="0F0F0F"/>
          <w:spacing w:val="8"/>
          <w:sz w:val="22"/>
        </w:rPr>
        <w:t> </w:t>
      </w:r>
      <w:r>
        <w:rPr>
          <w:color w:val="0F0F0F"/>
          <w:sz w:val="22"/>
        </w:rPr>
        <w:t>of</w:t>
      </w:r>
      <w:r>
        <w:rPr>
          <w:color w:val="0F0F0F"/>
          <w:spacing w:val="-5"/>
          <w:sz w:val="22"/>
        </w:rPr>
        <w:t> </w:t>
      </w:r>
      <w:r>
        <w:rPr>
          <w:color w:val="0F0F0F"/>
          <w:sz w:val="22"/>
        </w:rPr>
        <w:t>good</w:t>
      </w:r>
      <w:r>
        <w:rPr>
          <w:color w:val="0F0F0F"/>
          <w:spacing w:val="-9"/>
          <w:sz w:val="22"/>
        </w:rPr>
        <w:t> </w:t>
      </w:r>
      <w:r>
        <w:rPr>
          <w:color w:val="0F0F0F"/>
          <w:sz w:val="22"/>
        </w:rPr>
        <w:t>governance</w:t>
      </w:r>
      <w:r>
        <w:rPr>
          <w:color w:val="0F0F0F"/>
          <w:spacing w:val="5"/>
          <w:sz w:val="22"/>
        </w:rPr>
        <w:t> </w:t>
      </w:r>
      <w:r>
        <w:rPr>
          <w:color w:val="0F0F0F"/>
          <w:sz w:val="22"/>
        </w:rPr>
        <w:t>in</w:t>
      </w:r>
      <w:r>
        <w:rPr>
          <w:color w:val="0F0F0F"/>
          <w:spacing w:val="-10"/>
          <w:sz w:val="22"/>
        </w:rPr>
        <w:t> </w:t>
      </w:r>
      <w:r>
        <w:rPr>
          <w:color w:val="0F0F0F"/>
          <w:sz w:val="22"/>
        </w:rPr>
        <w:t>the</w:t>
      </w:r>
      <w:r>
        <w:rPr>
          <w:color w:val="0F0F0F"/>
          <w:spacing w:val="-9"/>
          <w:sz w:val="22"/>
        </w:rPr>
        <w:t> </w:t>
      </w:r>
      <w:r>
        <w:rPr>
          <w:color w:val="0F0F0F"/>
          <w:sz w:val="22"/>
        </w:rPr>
        <w:t>2016</w:t>
      </w:r>
      <w:r>
        <w:rPr>
          <w:color w:val="0F0F0F"/>
          <w:spacing w:val="-2"/>
          <w:sz w:val="22"/>
        </w:rPr>
        <w:t> Framework,</w:t>
      </w:r>
    </w:p>
    <w:p>
      <w:pPr>
        <w:pStyle w:val="ListParagraph"/>
        <w:numPr>
          <w:ilvl w:val="1"/>
          <w:numId w:val="29"/>
        </w:numPr>
        <w:tabs>
          <w:tab w:val="left" w:leader="none" w:pos="1266"/>
        </w:tabs>
        <w:spacing w:before="59" w:after="0" w:line="240" w:lineRule="auto"/>
        <w:ind w:left="1266" w:right="0" w:hanging="432"/>
        <w:jc w:val="left"/>
        <w:rPr>
          <w:color w:val="0F0F0F"/>
          <w:sz w:val="22"/>
        </w:rPr>
      </w:pPr>
      <w:r>
        <w:rPr>
          <w:color w:val="0F0F0F"/>
          <w:sz w:val="22"/>
        </w:rPr>
        <w:t>States</w:t>
      </w:r>
      <w:r>
        <w:rPr>
          <w:color w:val="0F0F0F"/>
          <w:spacing w:val="-6"/>
          <w:sz w:val="22"/>
        </w:rPr>
        <w:t> </w:t>
      </w:r>
      <w:r>
        <w:rPr>
          <w:color w:val="0F0F0F"/>
          <w:sz w:val="22"/>
        </w:rPr>
        <w:t>its</w:t>
      </w:r>
      <w:r>
        <w:rPr>
          <w:color w:val="0F0F0F"/>
          <w:spacing w:val="-3"/>
          <w:sz w:val="22"/>
        </w:rPr>
        <w:t> </w:t>
      </w:r>
      <w:r>
        <w:rPr>
          <w:color w:val="0F0F0F"/>
          <w:sz w:val="22"/>
        </w:rPr>
        <w:t>commitment</w:t>
      </w:r>
      <w:r>
        <w:rPr>
          <w:color w:val="0F0F0F"/>
          <w:spacing w:val="6"/>
          <w:sz w:val="22"/>
        </w:rPr>
        <w:t> </w:t>
      </w:r>
      <w:r>
        <w:rPr>
          <w:color w:val="0F0F0F"/>
          <w:sz w:val="22"/>
        </w:rPr>
        <w:t>to</w:t>
      </w:r>
      <w:r>
        <w:rPr>
          <w:color w:val="0F0F0F"/>
          <w:spacing w:val="-15"/>
          <w:sz w:val="22"/>
        </w:rPr>
        <w:t> </w:t>
      </w:r>
      <w:r>
        <w:rPr>
          <w:color w:val="0F0F0F"/>
          <w:sz w:val="22"/>
        </w:rPr>
        <w:t>the</w:t>
      </w:r>
      <w:r>
        <w:rPr>
          <w:color w:val="0F0F0F"/>
          <w:spacing w:val="-6"/>
          <w:sz w:val="22"/>
        </w:rPr>
        <w:t> </w:t>
      </w:r>
      <w:r>
        <w:rPr>
          <w:color w:val="0F0F0F"/>
          <w:sz w:val="22"/>
        </w:rPr>
        <w:t>principles</w:t>
      </w:r>
      <w:r>
        <w:rPr>
          <w:color w:val="0F0F0F"/>
          <w:spacing w:val="6"/>
          <w:sz w:val="22"/>
        </w:rPr>
        <w:t> </w:t>
      </w:r>
      <w:r>
        <w:rPr>
          <w:color w:val="0F0F0F"/>
          <w:sz w:val="22"/>
        </w:rPr>
        <w:t>of</w:t>
      </w:r>
      <w:r>
        <w:rPr>
          <w:color w:val="0F0F0F"/>
          <w:spacing w:val="-3"/>
          <w:sz w:val="22"/>
        </w:rPr>
        <w:t> </w:t>
      </w:r>
      <w:r>
        <w:rPr>
          <w:color w:val="0F0F0F"/>
          <w:sz w:val="22"/>
        </w:rPr>
        <w:t>good</w:t>
      </w:r>
      <w:r>
        <w:rPr>
          <w:color w:val="0F0F0F"/>
          <w:spacing w:val="-7"/>
          <w:sz w:val="22"/>
        </w:rPr>
        <w:t> </w:t>
      </w:r>
      <w:r>
        <w:rPr>
          <w:color w:val="0F0F0F"/>
          <w:spacing w:val="-2"/>
          <w:sz w:val="22"/>
        </w:rPr>
        <w:t>governance,</w:t>
      </w:r>
    </w:p>
    <w:p>
      <w:pPr>
        <w:pStyle w:val="ListParagraph"/>
        <w:numPr>
          <w:ilvl w:val="1"/>
          <w:numId w:val="29"/>
        </w:numPr>
        <w:tabs>
          <w:tab w:val="left" w:leader="none" w:pos="1261"/>
          <w:tab w:val="left" w:leader="none" w:pos="1275"/>
        </w:tabs>
        <w:spacing w:before="60" w:after="0" w:line="240" w:lineRule="auto"/>
        <w:ind w:left="1261" w:right="622" w:hanging="426"/>
        <w:jc w:val="left"/>
        <w:rPr>
          <w:color w:val="0F0F0F"/>
          <w:sz w:val="22"/>
        </w:rPr>
      </w:pPr>
      <w:r>
        <w:rPr>
          <w:color w:val="0F0F0F"/>
          <w:sz w:val="22"/>
        </w:rPr>
        <w:tab/>
        <w:t>Sets</w:t>
      </w:r>
      <w:r>
        <w:rPr>
          <w:color w:val="0F0F0F"/>
          <w:spacing w:val="-4"/>
          <w:sz w:val="22"/>
        </w:rPr>
        <w:t> </w:t>
      </w:r>
      <w:r>
        <w:rPr>
          <w:color w:val="0F0F0F"/>
          <w:sz w:val="22"/>
        </w:rPr>
        <w:t>out</w:t>
      </w:r>
      <w:r>
        <w:rPr>
          <w:color w:val="0F0F0F"/>
          <w:spacing w:val="-2"/>
          <w:sz w:val="22"/>
        </w:rPr>
        <w:t> </w:t>
      </w:r>
      <w:r>
        <w:rPr>
          <w:color w:val="0F0F0F"/>
          <w:sz w:val="22"/>
        </w:rPr>
        <w:t>the</w:t>
      </w:r>
      <w:r>
        <w:rPr>
          <w:color w:val="0F0F0F"/>
          <w:spacing w:val="-7"/>
          <w:sz w:val="22"/>
        </w:rPr>
        <w:t> </w:t>
      </w:r>
      <w:r>
        <w:rPr>
          <w:color w:val="0F0F0F"/>
          <w:sz w:val="22"/>
        </w:rPr>
        <w:t>Council's governance structure and</w:t>
      </w:r>
      <w:r>
        <w:rPr>
          <w:color w:val="0F0F0F"/>
          <w:spacing w:val="-11"/>
          <w:sz w:val="22"/>
        </w:rPr>
        <w:t> </w:t>
      </w:r>
      <w:r>
        <w:rPr>
          <w:color w:val="0F0F0F"/>
          <w:sz w:val="22"/>
        </w:rPr>
        <w:t>framework specifically in</w:t>
      </w:r>
      <w:r>
        <w:rPr>
          <w:color w:val="0F0F0F"/>
          <w:spacing w:val="-16"/>
          <w:sz w:val="22"/>
        </w:rPr>
        <w:t> </w:t>
      </w:r>
      <w:r>
        <w:rPr>
          <w:color w:val="0F0F0F"/>
          <w:sz w:val="22"/>
        </w:rPr>
        <w:t>terms of</w:t>
      </w:r>
      <w:r>
        <w:rPr>
          <w:color w:val="0F0F0F"/>
          <w:spacing w:val="-5"/>
          <w:sz w:val="22"/>
        </w:rPr>
        <w:t> </w:t>
      </w:r>
      <w:r>
        <w:rPr>
          <w:color w:val="0F0F0F"/>
          <w:sz w:val="22"/>
        </w:rPr>
        <w:t>the</w:t>
      </w:r>
      <w:r>
        <w:rPr>
          <w:color w:val="0F0F0F"/>
          <w:spacing w:val="-9"/>
          <w:sz w:val="22"/>
        </w:rPr>
        <w:t> </w:t>
      </w:r>
      <w:r>
        <w:rPr>
          <w:color w:val="0F0F0F"/>
          <w:sz w:val="22"/>
        </w:rPr>
        <w:t>seven principles within the 2016 Framework.</w:t>
      </w:r>
    </w:p>
    <w:p>
      <w:pPr>
        <w:pStyle w:val="ListParagraph"/>
        <w:numPr>
          <w:ilvl w:val="1"/>
          <w:numId w:val="29"/>
        </w:numPr>
        <w:tabs>
          <w:tab w:val="left" w:leader="none" w:pos="1273"/>
        </w:tabs>
        <w:spacing w:before="61" w:after="0" w:line="240" w:lineRule="auto"/>
        <w:ind w:left="1273" w:right="0" w:hanging="433"/>
        <w:jc w:val="left"/>
        <w:rPr>
          <w:color w:val="0F0F0F"/>
          <w:sz w:val="22"/>
        </w:rPr>
      </w:pPr>
      <w:r>
        <w:rPr>
          <w:color w:val="0F0F0F"/>
          <w:sz w:val="22"/>
        </w:rPr>
        <w:t>Establishes</w:t>
      </w:r>
      <w:r>
        <w:rPr>
          <w:color w:val="0F0F0F"/>
          <w:spacing w:val="4"/>
          <w:sz w:val="22"/>
        </w:rPr>
        <w:t> </w:t>
      </w:r>
      <w:r>
        <w:rPr>
          <w:color w:val="0F0F0F"/>
          <w:sz w:val="22"/>
        </w:rPr>
        <w:t>the</w:t>
      </w:r>
      <w:r>
        <w:rPr>
          <w:color w:val="0F0F0F"/>
          <w:spacing w:val="-1"/>
          <w:sz w:val="22"/>
        </w:rPr>
        <w:t> </w:t>
      </w:r>
      <w:r>
        <w:rPr>
          <w:color w:val="0F0F0F"/>
          <w:sz w:val="22"/>
        </w:rPr>
        <w:t>arrangements</w:t>
      </w:r>
      <w:r>
        <w:rPr>
          <w:color w:val="0F0F0F"/>
          <w:spacing w:val="17"/>
          <w:sz w:val="22"/>
        </w:rPr>
        <w:t> </w:t>
      </w:r>
      <w:r>
        <w:rPr>
          <w:color w:val="0F0F0F"/>
          <w:sz w:val="22"/>
        </w:rPr>
        <w:t>and</w:t>
      </w:r>
      <w:r>
        <w:rPr>
          <w:color w:val="0F0F0F"/>
          <w:spacing w:val="-8"/>
          <w:sz w:val="22"/>
        </w:rPr>
        <w:t> </w:t>
      </w:r>
      <w:r>
        <w:rPr>
          <w:color w:val="0F0F0F"/>
          <w:sz w:val="22"/>
        </w:rPr>
        <w:t>timing</w:t>
      </w:r>
      <w:r>
        <w:rPr>
          <w:color w:val="0F0F0F"/>
          <w:spacing w:val="-3"/>
          <w:sz w:val="22"/>
        </w:rPr>
        <w:t> </w:t>
      </w:r>
      <w:r>
        <w:rPr>
          <w:color w:val="0F0F0F"/>
          <w:sz w:val="22"/>
        </w:rPr>
        <w:t>for</w:t>
      </w:r>
      <w:r>
        <w:rPr>
          <w:color w:val="0F0F0F"/>
          <w:spacing w:val="-8"/>
          <w:sz w:val="22"/>
        </w:rPr>
        <w:t> </w:t>
      </w:r>
      <w:r>
        <w:rPr>
          <w:color w:val="0F0F0F"/>
          <w:sz w:val="22"/>
        </w:rPr>
        <w:t>ensuring</w:t>
      </w:r>
      <w:r>
        <w:rPr>
          <w:color w:val="0F0F0F"/>
          <w:spacing w:val="-3"/>
          <w:sz w:val="22"/>
        </w:rPr>
        <w:t> </w:t>
      </w:r>
      <w:r>
        <w:rPr>
          <w:color w:val="0F0F0F"/>
          <w:sz w:val="22"/>
        </w:rPr>
        <w:t>that</w:t>
      </w:r>
      <w:r>
        <w:rPr>
          <w:color w:val="0F0F0F"/>
          <w:spacing w:val="-2"/>
          <w:sz w:val="22"/>
        </w:rPr>
        <w:t> </w:t>
      </w:r>
      <w:r>
        <w:rPr>
          <w:color w:val="0F0F0F"/>
          <w:sz w:val="22"/>
        </w:rPr>
        <w:t>it</w:t>
      </w:r>
      <w:r>
        <w:rPr>
          <w:color w:val="0F0F0F"/>
          <w:spacing w:val="-2"/>
          <w:sz w:val="22"/>
        </w:rPr>
        <w:t> </w:t>
      </w:r>
      <w:r>
        <w:rPr>
          <w:color w:val="0F0F0F"/>
          <w:sz w:val="22"/>
        </w:rPr>
        <w:t>operates</w:t>
      </w:r>
      <w:r>
        <w:rPr>
          <w:color w:val="0F0F0F"/>
          <w:spacing w:val="-3"/>
          <w:sz w:val="22"/>
        </w:rPr>
        <w:t> </w:t>
      </w:r>
      <w:r>
        <w:rPr>
          <w:color w:val="0F0F0F"/>
          <w:sz w:val="22"/>
        </w:rPr>
        <w:t>effectively</w:t>
      </w:r>
      <w:r>
        <w:rPr>
          <w:color w:val="0F0F0F"/>
          <w:spacing w:val="4"/>
          <w:sz w:val="22"/>
        </w:rPr>
        <w:t> </w:t>
      </w:r>
      <w:r>
        <w:rPr>
          <w:color w:val="0F0F0F"/>
          <w:sz w:val="22"/>
        </w:rPr>
        <w:t>in</w:t>
      </w:r>
      <w:r>
        <w:rPr>
          <w:color w:val="0F0F0F"/>
          <w:spacing w:val="-8"/>
          <w:sz w:val="22"/>
        </w:rPr>
        <w:t> </w:t>
      </w:r>
      <w:r>
        <w:rPr>
          <w:color w:val="0F0F0F"/>
          <w:spacing w:val="-2"/>
          <w:sz w:val="22"/>
        </w:rPr>
        <w:t>practice.</w:t>
      </w:r>
    </w:p>
    <w:p>
      <w:pPr>
        <w:pStyle w:val="BodyText"/>
        <w:spacing w:before="61"/>
      </w:pPr>
    </w:p>
    <w:p>
      <w:pPr>
        <w:pStyle w:val="ListParagraph"/>
        <w:numPr>
          <w:ilvl w:val="0"/>
          <w:numId w:val="29"/>
        </w:numPr>
        <w:tabs>
          <w:tab w:val="left" w:leader="none" w:pos="838"/>
          <w:tab w:val="left" w:leader="none" w:pos="847"/>
        </w:tabs>
        <w:spacing w:before="0" w:after="0" w:line="240" w:lineRule="auto"/>
        <w:ind w:left="847" w:right="475" w:hanging="718"/>
        <w:jc w:val="left"/>
        <w:rPr>
          <w:color w:val="0F0F0F"/>
          <w:sz w:val="22"/>
        </w:rPr>
      </w:pPr>
      <w:r>
        <w:rPr>
          <w:color w:val="0F0F0F"/>
          <w:sz w:val="22"/>
        </w:rPr>
        <w:t>The Local Code of</w:t>
      </w:r>
      <w:r>
        <w:rPr>
          <w:color w:val="0F0F0F"/>
          <w:spacing w:val="-5"/>
          <w:sz w:val="22"/>
        </w:rPr>
        <w:t> </w:t>
      </w:r>
      <w:r>
        <w:rPr>
          <w:color w:val="0F0F0F"/>
          <w:sz w:val="22"/>
        </w:rPr>
        <w:t>Governance is</w:t>
      </w:r>
      <w:r>
        <w:rPr>
          <w:color w:val="0F0F0F"/>
          <w:spacing w:val="-2"/>
          <w:sz w:val="22"/>
        </w:rPr>
        <w:t> </w:t>
      </w:r>
      <w:r>
        <w:rPr>
          <w:color w:val="0F0F0F"/>
          <w:sz w:val="22"/>
        </w:rPr>
        <w:t>included as an</w:t>
      </w:r>
      <w:r>
        <w:rPr>
          <w:color w:val="0F0F0F"/>
          <w:spacing w:val="-1"/>
          <w:sz w:val="22"/>
        </w:rPr>
        <w:t> </w:t>
      </w:r>
      <w:r>
        <w:rPr>
          <w:color w:val="0F0F0F"/>
          <w:sz w:val="22"/>
        </w:rPr>
        <w:t>Appendix to the Annual</w:t>
      </w:r>
      <w:r>
        <w:rPr>
          <w:color w:val="0F0F0F"/>
          <w:spacing w:val="-1"/>
          <w:sz w:val="22"/>
        </w:rPr>
        <w:t> </w:t>
      </w:r>
      <w:r>
        <w:rPr>
          <w:color w:val="0F0F0F"/>
          <w:sz w:val="22"/>
        </w:rPr>
        <w:t>Governance Statement, which</w:t>
      </w:r>
      <w:r>
        <w:rPr>
          <w:color w:val="0F0F0F"/>
          <w:spacing w:val="-5"/>
          <w:sz w:val="22"/>
        </w:rPr>
        <w:t> </w:t>
      </w:r>
      <w:r>
        <w:rPr>
          <w:color w:val="0F0F0F"/>
          <w:sz w:val="22"/>
        </w:rPr>
        <w:t>is</w:t>
      </w:r>
      <w:r>
        <w:rPr>
          <w:color w:val="0F0F0F"/>
          <w:spacing w:val="-7"/>
          <w:sz w:val="22"/>
        </w:rPr>
        <w:t> </w:t>
      </w:r>
      <w:r>
        <w:rPr>
          <w:color w:val="0F0F0F"/>
          <w:sz w:val="22"/>
        </w:rPr>
        <w:t>available on</w:t>
      </w:r>
      <w:r>
        <w:rPr>
          <w:color w:val="0F0F0F"/>
          <w:spacing w:val="-8"/>
          <w:sz w:val="22"/>
        </w:rPr>
        <w:t> </w:t>
      </w:r>
      <w:r>
        <w:rPr>
          <w:color w:val="0F0F0F"/>
          <w:sz w:val="22"/>
        </w:rPr>
        <w:t>the</w:t>
      </w:r>
      <w:r>
        <w:rPr>
          <w:color w:val="0F0F0F"/>
          <w:spacing w:val="-11"/>
          <w:sz w:val="22"/>
        </w:rPr>
        <w:t> </w:t>
      </w:r>
      <w:r>
        <w:rPr>
          <w:color w:val="0F0F0F"/>
          <w:sz w:val="22"/>
        </w:rPr>
        <w:t>Council's website and</w:t>
      </w:r>
      <w:r>
        <w:rPr>
          <w:color w:val="0F0F0F"/>
          <w:spacing w:val="-6"/>
          <w:sz w:val="22"/>
        </w:rPr>
        <w:t> </w:t>
      </w:r>
      <w:r>
        <w:rPr>
          <w:color w:val="1F1F1F"/>
          <w:sz w:val="22"/>
        </w:rPr>
        <w:t>intranet </w:t>
      </w:r>
      <w:r>
        <w:rPr>
          <w:color w:val="0F0F0F"/>
          <w:sz w:val="22"/>
        </w:rPr>
        <w:t>and</w:t>
      </w:r>
      <w:r>
        <w:rPr>
          <w:color w:val="0F0F0F"/>
          <w:spacing w:val="-6"/>
          <w:sz w:val="22"/>
        </w:rPr>
        <w:t> </w:t>
      </w:r>
      <w:r>
        <w:rPr>
          <w:color w:val="0F0F0F"/>
          <w:sz w:val="22"/>
        </w:rPr>
        <w:t>should</w:t>
      </w:r>
      <w:r>
        <w:rPr>
          <w:color w:val="0F0F0F"/>
          <w:spacing w:val="-4"/>
          <w:sz w:val="22"/>
        </w:rPr>
        <w:t> </w:t>
      </w:r>
      <w:r>
        <w:rPr>
          <w:color w:val="0F0F0F"/>
          <w:sz w:val="22"/>
        </w:rPr>
        <w:t>be</w:t>
      </w:r>
      <w:r>
        <w:rPr>
          <w:color w:val="0F0F0F"/>
          <w:spacing w:val="-7"/>
          <w:sz w:val="22"/>
        </w:rPr>
        <w:t> </w:t>
      </w:r>
      <w:r>
        <w:rPr>
          <w:color w:val="0F0F0F"/>
          <w:sz w:val="22"/>
        </w:rPr>
        <w:t>read</w:t>
      </w:r>
      <w:r>
        <w:rPr>
          <w:color w:val="0F0F0F"/>
          <w:spacing w:val="-9"/>
          <w:sz w:val="22"/>
        </w:rPr>
        <w:t> </w:t>
      </w:r>
      <w:r>
        <w:rPr>
          <w:color w:val="0F0F0F"/>
          <w:sz w:val="22"/>
        </w:rPr>
        <w:t>together with</w:t>
      </w:r>
      <w:r>
        <w:rPr>
          <w:color w:val="0F0F0F"/>
          <w:spacing w:val="-4"/>
          <w:sz w:val="22"/>
        </w:rPr>
        <w:t> </w:t>
      </w:r>
      <w:r>
        <w:rPr>
          <w:color w:val="0F0F0F"/>
          <w:sz w:val="22"/>
        </w:rPr>
        <w:t>the</w:t>
      </w:r>
      <w:r>
        <w:rPr>
          <w:color w:val="0F0F0F"/>
          <w:spacing w:val="-5"/>
          <w:sz w:val="22"/>
        </w:rPr>
        <w:t> </w:t>
      </w:r>
      <w:r>
        <w:rPr>
          <w:color w:val="0F0F0F"/>
          <w:sz w:val="22"/>
        </w:rPr>
        <w:t>AGS.</w:t>
      </w:r>
    </w:p>
    <w:p>
      <w:pPr>
        <w:pStyle w:val="BodyText"/>
      </w:pPr>
    </w:p>
    <w:p>
      <w:pPr>
        <w:pStyle w:val="ListParagraph"/>
        <w:numPr>
          <w:ilvl w:val="0"/>
          <w:numId w:val="29"/>
        </w:numPr>
        <w:tabs>
          <w:tab w:val="left" w:leader="none" w:pos="838"/>
          <w:tab w:val="left" w:leader="none" w:pos="843"/>
        </w:tabs>
        <w:spacing w:before="0" w:after="0" w:line="240" w:lineRule="auto"/>
        <w:ind w:left="838" w:right="329" w:hanging="704"/>
        <w:jc w:val="left"/>
        <w:rPr>
          <w:color w:val="0F0F0F"/>
          <w:sz w:val="22"/>
        </w:rPr>
      </w:pPr>
      <w:r>
        <w:rPr>
          <w:color w:val="0F0F0F"/>
          <w:sz w:val="22"/>
        </w:rPr>
        <w:tab/>
        <w:t>The Council acknowledges</w:t>
      </w:r>
      <w:r>
        <w:rPr>
          <w:color w:val="0F0F0F"/>
          <w:spacing w:val="32"/>
          <w:sz w:val="22"/>
        </w:rPr>
        <w:t> </w:t>
      </w:r>
      <w:r>
        <w:rPr>
          <w:color w:val="0F0F0F"/>
          <w:sz w:val="22"/>
        </w:rPr>
        <w:t>its responsibility</w:t>
      </w:r>
      <w:r>
        <w:rPr>
          <w:color w:val="0F0F0F"/>
          <w:spacing w:val="-2"/>
          <w:sz w:val="22"/>
        </w:rPr>
        <w:t> </w:t>
      </w:r>
      <w:r>
        <w:rPr>
          <w:color w:val="0F0F0F"/>
          <w:sz w:val="22"/>
        </w:rPr>
        <w:t>for internal control, </w:t>
      </w:r>
      <w:r>
        <w:rPr>
          <w:color w:val="1F1F1F"/>
          <w:sz w:val="22"/>
        </w:rPr>
        <w:t>and</w:t>
      </w:r>
      <w:r>
        <w:rPr>
          <w:color w:val="1F1F1F"/>
          <w:spacing w:val="-1"/>
          <w:sz w:val="22"/>
        </w:rPr>
        <w:t> </w:t>
      </w:r>
      <w:r>
        <w:rPr>
          <w:color w:val="1F1F1F"/>
          <w:sz w:val="22"/>
        </w:rPr>
        <w:t>for ensuring </w:t>
      </w:r>
      <w:r>
        <w:rPr>
          <w:color w:val="0F0F0F"/>
          <w:sz w:val="22"/>
        </w:rPr>
        <w:t>that its systems maintain the integrity of accounting </w:t>
      </w:r>
      <w:r>
        <w:rPr>
          <w:color w:val="1F1F1F"/>
          <w:sz w:val="22"/>
        </w:rPr>
        <w:t>records </w:t>
      </w:r>
      <w:r>
        <w:rPr>
          <w:color w:val="0F0F0F"/>
          <w:sz w:val="22"/>
        </w:rPr>
        <w:t>and safeguard its assets</w:t>
      </w:r>
      <w:r>
        <w:rPr>
          <w:color w:val="6E6E6E"/>
          <w:sz w:val="22"/>
        </w:rPr>
        <w:t>.</w:t>
      </w:r>
      <w:r>
        <w:rPr>
          <w:color w:val="6E6E6E"/>
          <w:spacing w:val="-20"/>
          <w:sz w:val="22"/>
        </w:rPr>
        <w:t> </w:t>
      </w:r>
      <w:r>
        <w:rPr>
          <w:color w:val="0F0F0F"/>
          <w:sz w:val="22"/>
        </w:rPr>
        <w:t>These systems provide </w:t>
      </w:r>
      <w:r>
        <w:rPr>
          <w:color w:val="1F1F1F"/>
          <w:sz w:val="22"/>
        </w:rPr>
        <w:t>reasonable assurance as</w:t>
      </w:r>
      <w:r>
        <w:rPr>
          <w:color w:val="1F1F1F"/>
          <w:spacing w:val="-6"/>
          <w:sz w:val="22"/>
        </w:rPr>
        <w:t> </w:t>
      </w:r>
      <w:r>
        <w:rPr>
          <w:color w:val="1F1F1F"/>
          <w:sz w:val="22"/>
        </w:rPr>
        <w:t>to</w:t>
      </w:r>
      <w:r>
        <w:rPr>
          <w:color w:val="1F1F1F"/>
          <w:spacing w:val="-6"/>
          <w:sz w:val="22"/>
        </w:rPr>
        <w:t> </w:t>
      </w:r>
      <w:r>
        <w:rPr>
          <w:color w:val="1F1F1F"/>
          <w:sz w:val="22"/>
        </w:rPr>
        <w:t>the</w:t>
      </w:r>
      <w:r>
        <w:rPr>
          <w:color w:val="1F1F1F"/>
          <w:spacing w:val="-10"/>
          <w:sz w:val="22"/>
        </w:rPr>
        <w:t> </w:t>
      </w:r>
      <w:r>
        <w:rPr>
          <w:color w:val="343434"/>
          <w:sz w:val="22"/>
        </w:rPr>
        <w:t>reliability </w:t>
      </w:r>
      <w:r>
        <w:rPr>
          <w:color w:val="1F1F1F"/>
          <w:sz w:val="22"/>
        </w:rPr>
        <w:t>of</w:t>
      </w:r>
      <w:r>
        <w:rPr>
          <w:color w:val="1F1F1F"/>
          <w:spacing w:val="-12"/>
          <w:sz w:val="22"/>
        </w:rPr>
        <w:t> </w:t>
      </w:r>
      <w:r>
        <w:rPr>
          <w:color w:val="1F1F1F"/>
          <w:sz w:val="22"/>
        </w:rPr>
        <w:t>financial </w:t>
      </w:r>
      <w:r>
        <w:rPr>
          <w:color w:val="343434"/>
          <w:sz w:val="22"/>
        </w:rPr>
        <w:t>information </w:t>
      </w:r>
      <w:r>
        <w:rPr>
          <w:color w:val="1F1F1F"/>
          <w:sz w:val="22"/>
        </w:rPr>
        <w:t>and</w:t>
      </w:r>
      <w:r>
        <w:rPr>
          <w:color w:val="1F1F1F"/>
          <w:spacing w:val="-15"/>
          <w:sz w:val="22"/>
        </w:rPr>
        <w:t> </w:t>
      </w:r>
      <w:r>
        <w:rPr>
          <w:color w:val="0F0F0F"/>
          <w:sz w:val="22"/>
        </w:rPr>
        <w:t>to</w:t>
      </w:r>
      <w:r>
        <w:rPr>
          <w:color w:val="0F0F0F"/>
          <w:spacing w:val="-8"/>
          <w:sz w:val="22"/>
        </w:rPr>
        <w:t> </w:t>
      </w:r>
      <w:r>
        <w:rPr>
          <w:color w:val="1F1F1F"/>
          <w:sz w:val="22"/>
        </w:rPr>
        <w:t>maintain </w:t>
      </w:r>
      <w:r>
        <w:rPr>
          <w:color w:val="0F0F0F"/>
          <w:sz w:val="22"/>
        </w:rPr>
        <w:t>proper control</w:t>
      </w:r>
      <w:r>
        <w:rPr>
          <w:color w:val="0F0F0F"/>
          <w:spacing w:val="-6"/>
          <w:sz w:val="22"/>
        </w:rPr>
        <w:t> </w:t>
      </w:r>
      <w:r>
        <w:rPr>
          <w:color w:val="0F0F0F"/>
          <w:sz w:val="22"/>
        </w:rPr>
        <w:t>over </w:t>
      </w:r>
      <w:r>
        <w:rPr>
          <w:color w:val="1F1F1F"/>
          <w:sz w:val="22"/>
        </w:rPr>
        <w:t>the</w:t>
      </w:r>
      <w:r>
        <w:rPr>
          <w:color w:val="1F1F1F"/>
          <w:spacing w:val="-4"/>
          <w:sz w:val="22"/>
        </w:rPr>
        <w:t> </w:t>
      </w:r>
      <w:r>
        <w:rPr>
          <w:color w:val="1F1F1F"/>
          <w:sz w:val="22"/>
        </w:rPr>
        <w:t>income</w:t>
      </w:r>
      <w:r>
        <w:rPr>
          <w:color w:val="4D4D4D"/>
          <w:sz w:val="22"/>
        </w:rPr>
        <w:t>,</w:t>
      </w:r>
      <w:r>
        <w:rPr>
          <w:color w:val="4D4D4D"/>
          <w:spacing w:val="-19"/>
          <w:sz w:val="22"/>
        </w:rPr>
        <w:t> </w:t>
      </w:r>
      <w:r>
        <w:rPr>
          <w:color w:val="1F1F1F"/>
          <w:sz w:val="22"/>
        </w:rPr>
        <w:t>expenditure</w:t>
      </w:r>
      <w:r>
        <w:rPr>
          <w:color w:val="4D4D4D"/>
          <w:sz w:val="22"/>
        </w:rPr>
        <w:t>,</w:t>
      </w:r>
      <w:r>
        <w:rPr>
          <w:color w:val="4D4D4D"/>
          <w:spacing w:val="-19"/>
          <w:sz w:val="22"/>
        </w:rPr>
        <w:t> </w:t>
      </w:r>
      <w:r>
        <w:rPr>
          <w:color w:val="1F1F1F"/>
          <w:sz w:val="22"/>
        </w:rPr>
        <w:t>assets and liabi</w:t>
      </w:r>
      <w:r>
        <w:rPr>
          <w:color w:val="4D4D4D"/>
          <w:sz w:val="22"/>
        </w:rPr>
        <w:t>li</w:t>
      </w:r>
      <w:r>
        <w:rPr>
          <w:color w:val="1F1F1F"/>
          <w:sz w:val="22"/>
        </w:rPr>
        <w:t>ties of</w:t>
      </w:r>
      <w:r>
        <w:rPr>
          <w:color w:val="1F1F1F"/>
          <w:spacing w:val="-6"/>
          <w:sz w:val="22"/>
        </w:rPr>
        <w:t> </w:t>
      </w:r>
      <w:r>
        <w:rPr>
          <w:color w:val="1F1F1F"/>
          <w:sz w:val="22"/>
        </w:rPr>
        <w:t>the Council.</w:t>
      </w:r>
      <w:r>
        <w:rPr>
          <w:color w:val="1F1F1F"/>
          <w:spacing w:val="23"/>
          <w:sz w:val="22"/>
        </w:rPr>
        <w:t> </w:t>
      </w:r>
      <w:r>
        <w:rPr>
          <w:color w:val="0F0F0F"/>
          <w:sz w:val="22"/>
        </w:rPr>
        <w:t>However, </w:t>
      </w:r>
      <w:r>
        <w:rPr>
          <w:color w:val="1F1F1F"/>
          <w:sz w:val="22"/>
        </w:rPr>
        <w:t>no system </w:t>
      </w:r>
      <w:r>
        <w:rPr>
          <w:color w:val="0F0F0F"/>
          <w:sz w:val="22"/>
        </w:rPr>
        <w:t>of</w:t>
      </w:r>
      <w:r>
        <w:rPr>
          <w:color w:val="0F0F0F"/>
          <w:spacing w:val="-3"/>
          <w:sz w:val="22"/>
        </w:rPr>
        <w:t> </w:t>
      </w:r>
      <w:r>
        <w:rPr>
          <w:color w:val="0F0F0F"/>
          <w:sz w:val="22"/>
        </w:rPr>
        <w:t>internal control </w:t>
      </w:r>
      <w:r>
        <w:rPr>
          <w:color w:val="1F1F1F"/>
          <w:sz w:val="22"/>
        </w:rPr>
        <w:t>can</w:t>
      </w:r>
      <w:r>
        <w:rPr>
          <w:color w:val="1F1F1F"/>
          <w:spacing w:val="-5"/>
          <w:sz w:val="22"/>
        </w:rPr>
        <w:t> </w:t>
      </w:r>
      <w:r>
        <w:rPr>
          <w:color w:val="1F1F1F"/>
          <w:sz w:val="22"/>
        </w:rPr>
        <w:t>provide absolute assurance against material </w:t>
      </w:r>
      <w:r>
        <w:rPr>
          <w:color w:val="0F0F0F"/>
          <w:sz w:val="22"/>
        </w:rPr>
        <w:t>misstatement or loss.</w:t>
      </w:r>
    </w:p>
    <w:p>
      <w:pPr>
        <w:spacing w:after="0" w:line="240" w:lineRule="auto"/>
        <w:jc w:val="left"/>
        <w:rPr>
          <w:sz w:val="22"/>
        </w:rPr>
        <w:sectPr>
          <w:headerReference w:type="default" r:id="rId274"/>
          <w:footerReference w:type="default" r:id="rId275"/>
          <w:footerReference w:type="even" r:id="rId276"/>
          <w:pgSz w:w="11910" w:h="16830"/>
          <w:pgMar w:top="900" w:right="540" w:bottom="1340" w:left="440" w:header="716" w:footer="1156"/>
          <w:pgNumType w:start="127"/>
        </w:sectPr>
      </w:pPr>
    </w:p>
    <w:p>
      <w:pPr>
        <w:tabs>
          <w:tab w:val="left" w:leader="none" w:pos="1810"/>
        </w:tabs>
        <w:spacing w:before="67"/>
        <w:ind w:left="1092" w:right="0" w:firstLine="0"/>
        <w:jc w:val="left"/>
        <w:rPr>
          <w:sz w:val="14"/>
        </w:rPr>
      </w:pPr>
      <w:r>
        <w:rPr/>
        <ve:AlternateContent>
          <ve:Choice Requires="wps">
            <w:drawing>
              <wp:anchor distT="0" distB="0" distL="0" distR="0" simplePos="0" relativeHeight="15883264" behindDoc="0" locked="0" layoutInCell="1" allowOverlap="1">
                <wp:simplePos x="0" y="0"/>
                <wp:positionH relativeFrom="page">
                  <wp:posOffset>97693</wp:posOffset>
                </wp:positionH>
                <wp:positionV relativeFrom="page">
                  <wp:posOffset>1837002</wp:posOffset>
                </wp:positionV>
                <wp:extent cx="27940" cy="1077595"/>
                <wp:effectExtent l="0" t="0" r="0" b="0"/>
                <wp:wrapNone/>
                <wp:docPr id="697" name="Group 697"/>
                <wp:cNvGraphicFramePr>
                  <a:graphicFrameLocks/>
                </wp:cNvGraphicFramePr>
                <a:graphic>
                  <a:graphicData uri="http://schemas.microsoft.com/office/word/2010/wordprocessingGroup">
                    <wpg:wgp>
                      <wpg:cNvPr id="697" name="Group 697"/>
                      <wpg:cNvGrpSpPr/>
                      <wpg:grpSpPr>
                        <a:xfrm>
                          <a:off x="0" y="0"/>
                          <a:ext cx="27940" cy="1077595"/>
                          <a:chExt cx="27940" cy="1077595"/>
                        </a:xfrm>
                      </wpg:grpSpPr>
                      <pic:pic>
                        <pic:nvPicPr>
                          <pic:cNvPr id="698" name="Image 698"/>
                          <pic:cNvPicPr/>
                        </pic:nvPicPr>
                        <pic:blipFill>
                          <a:blip r:embed="rId279" cstate="print"/>
                          <a:stretch>
                            <a:fillRect/>
                          </a:stretch>
                        </pic:blipFill>
                        <pic:spPr>
                          <a:xfrm>
                            <a:off x="0" y="805590"/>
                            <a:ext cx="6105" cy="271581"/>
                          </a:xfrm>
                          <a:prstGeom prst="rect">
                            <a:avLst/>
                          </a:prstGeom>
                        </pic:spPr>
                      </pic:pic>
                      <wps:wsp>
                        <wps:cNvPr id="699" name="Graphic 699"/>
                        <wps:cNvSpPr/>
                        <wps:spPr>
                          <a:xfrm>
                            <a:off x="21370" y="0"/>
                            <a:ext cx="1270" cy="781685"/>
                          </a:xfrm>
                          <a:custGeom>
                            <a:avLst/>
                            <a:gdLst/>
                            <a:ahLst/>
                            <a:cxnLst/>
                            <a:rect l="l" t="t" r="r" b="b"/>
                            <a:pathLst>
                              <a:path w="0" h="781685">
                                <a:moveTo>
                                  <a:pt x="0" y="781178"/>
                                </a:moveTo>
                                <a:lnTo>
                                  <a:pt x="0" y="0"/>
                                </a:lnTo>
                              </a:path>
                            </a:pathLst>
                          </a:custGeom>
                          <a:ln w="12211">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49" style="position:absolute;margin-left:7.692387pt;margin-top:144.645889pt;width:2.2pt;height:84.85pt;mso-position-horizontal-relative:page;mso-position-vertical-relative:page;z-index:15883264" coordsize="44,1697" coordorigin="154,2893">
                <v:shape id="docshape450" style="position:absolute;left:153;top:4161;width:10;height:428" stroked="false" type="#_x0000_t75">
                  <v:imagedata o:title="" r:id="rId279"/>
                </v:shape>
                <v:line style="position:absolute" stroked="true" strokecolor="#000000" strokeweight=".961549pt" from="188,4123" to="188,2893">
                  <v:stroke dashstyle="solid"/>
                </v:line>
                <w10:wrap type="none"/>
              </v:group>
            </w:pict>
          </ve:Fallback>
        </ve:AlternateContent>
      </w:r>
      <w:r>
        <w:rPr>
          <w:color w:val="A3A3A3"/>
          <w:spacing w:val="-10"/>
          <w:w w:val="110"/>
          <w:sz w:val="14"/>
        </w:rPr>
        <w:t>3</w:t>
      </w:r>
      <w:r>
        <w:rPr>
          <w:color w:val="A3A3A3"/>
          <w:sz w:val="14"/>
        </w:rPr>
        <w:tab/>
      </w:r>
      <w:r>
        <w:rPr>
          <w:color w:val="A3A3A3"/>
          <w:w w:val="110"/>
          <w:sz w:val="14"/>
        </w:rPr>
        <w:t>ANNUAL</w:t>
      </w:r>
      <w:r>
        <w:rPr>
          <w:color w:val="A3A3A3"/>
          <w:spacing w:val="44"/>
          <w:w w:val="110"/>
          <w:sz w:val="14"/>
        </w:rPr>
        <w:t> </w:t>
      </w:r>
      <w:r>
        <w:rPr>
          <w:color w:val="A3A3A3"/>
          <w:w w:val="110"/>
          <w:sz w:val="14"/>
        </w:rPr>
        <w:t>GOVERNANCE</w:t>
      </w:r>
      <w:r>
        <w:rPr>
          <w:color w:val="A3A3A3"/>
          <w:spacing w:val="39"/>
          <w:w w:val="110"/>
          <w:sz w:val="14"/>
        </w:rPr>
        <w:t> </w:t>
      </w:r>
      <w:r>
        <w:rPr>
          <w:color w:val="A3A3A3"/>
          <w:spacing w:val="-2"/>
          <w:w w:val="110"/>
          <w:sz w:val="14"/>
        </w:rPr>
        <w:t>STATEMENT</w:t>
      </w:r>
    </w:p>
    <w:p>
      <w:pPr>
        <w:pStyle w:val="BodyText"/>
        <w:spacing w:before="88"/>
        <w:rPr>
          <w:sz w:val="14"/>
        </w:rPr>
      </w:pPr>
    </w:p>
    <w:p>
      <w:pPr>
        <w:pStyle w:val="ListParagraph"/>
        <w:numPr>
          <w:ilvl w:val="0"/>
          <w:numId w:val="29"/>
        </w:numPr>
        <w:tabs>
          <w:tab w:val="left" w:leader="none" w:pos="1060"/>
          <w:tab w:val="left" w:leader="none" w:pos="1064"/>
        </w:tabs>
        <w:spacing w:before="0" w:after="0" w:line="249" w:lineRule="auto"/>
        <w:ind w:left="1060" w:right="251" w:hanging="709"/>
        <w:jc w:val="left"/>
        <w:rPr>
          <w:color w:val="131313"/>
          <w:sz w:val="21"/>
        </w:rPr>
      </w:pPr>
      <w:r>
        <w:rPr>
          <w:color w:val="414141"/>
          <w:sz w:val="21"/>
        </w:rPr>
        <w:tab/>
      </w:r>
      <w:r>
        <w:rPr>
          <w:color w:val="131313"/>
          <w:w w:val="105"/>
          <w:sz w:val="21"/>
        </w:rPr>
        <w:t>The</w:t>
      </w:r>
      <w:r>
        <w:rPr>
          <w:color w:val="131313"/>
          <w:spacing w:val="-1"/>
          <w:w w:val="105"/>
          <w:sz w:val="21"/>
        </w:rPr>
        <w:t> </w:t>
      </w:r>
      <w:r>
        <w:rPr>
          <w:color w:val="131313"/>
          <w:w w:val="105"/>
          <w:sz w:val="21"/>
        </w:rPr>
        <w:t>Chief Officers' Board and</w:t>
      </w:r>
      <w:r>
        <w:rPr>
          <w:color w:val="131313"/>
          <w:spacing w:val="-2"/>
          <w:w w:val="105"/>
          <w:sz w:val="21"/>
        </w:rPr>
        <w:t> </w:t>
      </w:r>
      <w:r>
        <w:rPr>
          <w:color w:val="131313"/>
          <w:w w:val="105"/>
          <w:sz w:val="21"/>
        </w:rPr>
        <w:t>the Senior Management Team are aware of</w:t>
      </w:r>
      <w:r>
        <w:rPr>
          <w:color w:val="131313"/>
          <w:spacing w:val="-3"/>
          <w:w w:val="105"/>
          <w:sz w:val="21"/>
        </w:rPr>
        <w:t> </w:t>
      </w:r>
      <w:r>
        <w:rPr>
          <w:color w:val="131313"/>
          <w:w w:val="105"/>
          <w:sz w:val="21"/>
        </w:rPr>
        <w:t>the</w:t>
      </w:r>
      <w:r>
        <w:rPr>
          <w:color w:val="131313"/>
          <w:spacing w:val="-6"/>
          <w:w w:val="105"/>
          <w:sz w:val="21"/>
        </w:rPr>
        <w:t> </w:t>
      </w:r>
      <w:r>
        <w:rPr>
          <w:color w:val="131313"/>
          <w:w w:val="105"/>
          <w:sz w:val="21"/>
        </w:rPr>
        <w:t>financial and other procedures and</w:t>
      </w:r>
      <w:r>
        <w:rPr>
          <w:color w:val="131313"/>
          <w:spacing w:val="-7"/>
          <w:w w:val="105"/>
          <w:sz w:val="21"/>
        </w:rPr>
        <w:t> </w:t>
      </w:r>
      <w:r>
        <w:rPr>
          <w:color w:val="131313"/>
          <w:w w:val="105"/>
          <w:sz w:val="21"/>
        </w:rPr>
        <w:t>controls outlined in</w:t>
      </w:r>
      <w:r>
        <w:rPr>
          <w:color w:val="131313"/>
          <w:spacing w:val="-7"/>
          <w:w w:val="105"/>
          <w:sz w:val="21"/>
        </w:rPr>
        <w:t> </w:t>
      </w:r>
      <w:r>
        <w:rPr>
          <w:color w:val="131313"/>
          <w:w w:val="105"/>
          <w:sz w:val="21"/>
        </w:rPr>
        <w:t>the</w:t>
      </w:r>
      <w:r>
        <w:rPr>
          <w:color w:val="131313"/>
          <w:spacing w:val="-5"/>
          <w:w w:val="105"/>
          <w:sz w:val="21"/>
        </w:rPr>
        <w:t> </w:t>
      </w:r>
      <w:r>
        <w:rPr>
          <w:color w:val="131313"/>
          <w:w w:val="105"/>
          <w:sz w:val="21"/>
        </w:rPr>
        <w:t>Constitution, and</w:t>
      </w:r>
      <w:r>
        <w:rPr>
          <w:color w:val="131313"/>
          <w:spacing w:val="-8"/>
          <w:w w:val="105"/>
          <w:sz w:val="21"/>
        </w:rPr>
        <w:t> </w:t>
      </w:r>
      <w:r>
        <w:rPr>
          <w:color w:val="131313"/>
          <w:w w:val="105"/>
          <w:sz w:val="21"/>
        </w:rPr>
        <w:t>the</w:t>
      </w:r>
      <w:r>
        <w:rPr>
          <w:color w:val="131313"/>
          <w:spacing w:val="-5"/>
          <w:w w:val="105"/>
          <w:sz w:val="21"/>
        </w:rPr>
        <w:t> </w:t>
      </w:r>
      <w:r>
        <w:rPr>
          <w:color w:val="131313"/>
          <w:w w:val="105"/>
          <w:sz w:val="21"/>
        </w:rPr>
        <w:t>Managing Director</w:t>
      </w:r>
      <w:r>
        <w:rPr>
          <w:color w:val="131313"/>
          <w:spacing w:val="23"/>
          <w:w w:val="105"/>
          <w:sz w:val="21"/>
        </w:rPr>
        <w:t> </w:t>
      </w:r>
      <w:r>
        <w:rPr>
          <w:color w:val="131313"/>
          <w:w w:val="105"/>
          <w:sz w:val="21"/>
        </w:rPr>
        <w:t>and</w:t>
      </w:r>
      <w:r>
        <w:rPr>
          <w:color w:val="131313"/>
          <w:spacing w:val="-3"/>
          <w:w w:val="105"/>
          <w:sz w:val="21"/>
        </w:rPr>
        <w:t> </w:t>
      </w:r>
      <w:r>
        <w:rPr>
          <w:color w:val="131313"/>
          <w:w w:val="105"/>
          <w:sz w:val="21"/>
        </w:rPr>
        <w:t>each</w:t>
      </w:r>
      <w:r>
        <w:rPr>
          <w:color w:val="131313"/>
          <w:spacing w:val="-6"/>
          <w:w w:val="105"/>
          <w:sz w:val="21"/>
        </w:rPr>
        <w:t> </w:t>
      </w:r>
      <w:r>
        <w:rPr>
          <w:color w:val="131313"/>
          <w:w w:val="105"/>
          <w:sz w:val="21"/>
        </w:rPr>
        <w:t>Head of Service is required</w:t>
      </w:r>
      <w:r>
        <w:rPr>
          <w:color w:val="131313"/>
          <w:spacing w:val="-1"/>
          <w:w w:val="105"/>
          <w:sz w:val="21"/>
        </w:rPr>
        <w:t> </w:t>
      </w:r>
      <w:r>
        <w:rPr>
          <w:color w:val="131313"/>
          <w:w w:val="105"/>
          <w:sz w:val="21"/>
        </w:rPr>
        <w:t>to sign a declaration of compliance</w:t>
      </w:r>
      <w:r>
        <w:rPr>
          <w:color w:val="505050"/>
          <w:w w:val="105"/>
          <w:sz w:val="21"/>
        </w:rPr>
        <w:t>,</w:t>
      </w:r>
      <w:r>
        <w:rPr>
          <w:color w:val="505050"/>
          <w:spacing w:val="-10"/>
          <w:w w:val="105"/>
          <w:sz w:val="21"/>
        </w:rPr>
        <w:t> </w:t>
      </w:r>
      <w:r>
        <w:rPr>
          <w:color w:val="282828"/>
          <w:w w:val="105"/>
          <w:sz w:val="21"/>
        </w:rPr>
        <w:t>in </w:t>
      </w:r>
      <w:r>
        <w:rPr>
          <w:color w:val="131313"/>
          <w:w w:val="105"/>
          <w:sz w:val="21"/>
        </w:rPr>
        <w:t>the</w:t>
      </w:r>
      <w:r>
        <w:rPr>
          <w:color w:val="131313"/>
          <w:spacing w:val="-4"/>
          <w:w w:val="105"/>
          <w:sz w:val="21"/>
        </w:rPr>
        <w:t> </w:t>
      </w:r>
      <w:r>
        <w:rPr>
          <w:color w:val="282828"/>
          <w:w w:val="105"/>
          <w:sz w:val="21"/>
        </w:rPr>
        <w:t>form</w:t>
      </w:r>
      <w:r>
        <w:rPr>
          <w:color w:val="282828"/>
          <w:spacing w:val="-2"/>
          <w:w w:val="105"/>
          <w:sz w:val="21"/>
        </w:rPr>
        <w:t> </w:t>
      </w:r>
      <w:r>
        <w:rPr>
          <w:color w:val="131313"/>
          <w:w w:val="105"/>
          <w:sz w:val="21"/>
        </w:rPr>
        <w:t>of a Service Assurance Statement</w:t>
      </w:r>
      <w:r>
        <w:rPr>
          <w:color w:val="505050"/>
          <w:w w:val="105"/>
          <w:sz w:val="21"/>
        </w:rPr>
        <w:t>,</w:t>
      </w:r>
      <w:r>
        <w:rPr>
          <w:color w:val="505050"/>
          <w:spacing w:val="-16"/>
          <w:w w:val="105"/>
          <w:sz w:val="21"/>
        </w:rPr>
        <w:t> </w:t>
      </w:r>
      <w:r>
        <w:rPr>
          <w:color w:val="131313"/>
          <w:w w:val="105"/>
          <w:sz w:val="21"/>
        </w:rPr>
        <w:t>at</w:t>
      </w:r>
      <w:r>
        <w:rPr>
          <w:color w:val="131313"/>
          <w:spacing w:val="-4"/>
          <w:w w:val="105"/>
          <w:sz w:val="21"/>
        </w:rPr>
        <w:t> </w:t>
      </w:r>
      <w:r>
        <w:rPr>
          <w:color w:val="282828"/>
          <w:w w:val="105"/>
          <w:sz w:val="21"/>
        </w:rPr>
        <w:t>the</w:t>
      </w:r>
      <w:r>
        <w:rPr>
          <w:color w:val="282828"/>
          <w:spacing w:val="-17"/>
          <w:w w:val="105"/>
          <w:sz w:val="21"/>
        </w:rPr>
        <w:t> </w:t>
      </w:r>
      <w:r>
        <w:rPr>
          <w:color w:val="131313"/>
          <w:w w:val="105"/>
          <w:sz w:val="21"/>
        </w:rPr>
        <w:t>end</w:t>
      </w:r>
      <w:r>
        <w:rPr>
          <w:color w:val="131313"/>
          <w:spacing w:val="-7"/>
          <w:w w:val="105"/>
          <w:sz w:val="21"/>
        </w:rPr>
        <w:t> </w:t>
      </w:r>
      <w:r>
        <w:rPr>
          <w:color w:val="131313"/>
          <w:w w:val="105"/>
          <w:sz w:val="21"/>
        </w:rPr>
        <w:t>of</w:t>
      </w:r>
      <w:r>
        <w:rPr>
          <w:color w:val="131313"/>
          <w:spacing w:val="-14"/>
          <w:w w:val="105"/>
          <w:sz w:val="21"/>
        </w:rPr>
        <w:t> </w:t>
      </w:r>
      <w:r>
        <w:rPr>
          <w:color w:val="131313"/>
          <w:w w:val="105"/>
          <w:sz w:val="21"/>
        </w:rPr>
        <w:t>each</w:t>
      </w:r>
      <w:r>
        <w:rPr>
          <w:color w:val="131313"/>
          <w:spacing w:val="-1"/>
          <w:w w:val="105"/>
          <w:sz w:val="21"/>
        </w:rPr>
        <w:t> </w:t>
      </w:r>
      <w:r>
        <w:rPr>
          <w:color w:val="131313"/>
          <w:w w:val="105"/>
          <w:sz w:val="21"/>
        </w:rPr>
        <w:t>year</w:t>
      </w:r>
      <w:r>
        <w:rPr>
          <w:color w:val="131313"/>
          <w:spacing w:val="-8"/>
          <w:w w:val="105"/>
          <w:sz w:val="21"/>
        </w:rPr>
        <w:t> </w:t>
      </w:r>
      <w:r>
        <w:rPr>
          <w:color w:val="282828"/>
          <w:w w:val="105"/>
          <w:sz w:val="21"/>
        </w:rPr>
        <w:t>-</w:t>
      </w:r>
      <w:r>
        <w:rPr>
          <w:color w:val="282828"/>
          <w:spacing w:val="40"/>
          <w:w w:val="105"/>
          <w:sz w:val="21"/>
        </w:rPr>
        <w:t> </w:t>
      </w:r>
      <w:r>
        <w:rPr>
          <w:color w:val="282828"/>
          <w:w w:val="105"/>
          <w:sz w:val="21"/>
        </w:rPr>
        <w:t>this</w:t>
      </w:r>
      <w:r>
        <w:rPr>
          <w:color w:val="282828"/>
          <w:spacing w:val="-5"/>
          <w:w w:val="105"/>
          <w:sz w:val="21"/>
        </w:rPr>
        <w:t> </w:t>
      </w:r>
      <w:r>
        <w:rPr>
          <w:color w:val="131313"/>
          <w:w w:val="105"/>
          <w:sz w:val="21"/>
        </w:rPr>
        <w:t>evidences amongst othe</w:t>
      </w:r>
      <w:r>
        <w:rPr>
          <w:color w:val="414141"/>
          <w:w w:val="105"/>
          <w:sz w:val="21"/>
        </w:rPr>
        <w:t>r</w:t>
      </w:r>
      <w:r>
        <w:rPr>
          <w:color w:val="414141"/>
          <w:spacing w:val="-12"/>
          <w:w w:val="105"/>
          <w:sz w:val="21"/>
        </w:rPr>
        <w:t> </w:t>
      </w:r>
      <w:r>
        <w:rPr>
          <w:color w:val="131313"/>
          <w:w w:val="105"/>
          <w:sz w:val="21"/>
        </w:rPr>
        <w:t>things, that their</w:t>
      </w:r>
      <w:r>
        <w:rPr>
          <w:color w:val="131313"/>
          <w:spacing w:val="-3"/>
          <w:w w:val="105"/>
          <w:sz w:val="21"/>
        </w:rPr>
        <w:t> </w:t>
      </w:r>
      <w:r>
        <w:rPr>
          <w:color w:val="131313"/>
          <w:w w:val="105"/>
          <w:sz w:val="21"/>
        </w:rPr>
        <w:t>staff</w:t>
      </w:r>
      <w:r>
        <w:rPr>
          <w:color w:val="131313"/>
          <w:spacing w:val="-6"/>
          <w:w w:val="105"/>
          <w:sz w:val="21"/>
        </w:rPr>
        <w:t> </w:t>
      </w:r>
      <w:r>
        <w:rPr>
          <w:color w:val="131313"/>
          <w:w w:val="105"/>
          <w:sz w:val="21"/>
        </w:rPr>
        <w:t>are</w:t>
      </w:r>
      <w:r>
        <w:rPr>
          <w:color w:val="131313"/>
          <w:spacing w:val="-5"/>
          <w:w w:val="105"/>
          <w:sz w:val="21"/>
        </w:rPr>
        <w:t> </w:t>
      </w:r>
      <w:r>
        <w:rPr>
          <w:color w:val="131313"/>
          <w:w w:val="105"/>
          <w:sz w:val="21"/>
        </w:rPr>
        <w:t>aware of </w:t>
      </w:r>
      <w:r>
        <w:rPr>
          <w:color w:val="282828"/>
          <w:w w:val="105"/>
          <w:sz w:val="21"/>
        </w:rPr>
        <w:t>and </w:t>
      </w:r>
      <w:r>
        <w:rPr>
          <w:color w:val="131313"/>
          <w:w w:val="105"/>
          <w:sz w:val="21"/>
        </w:rPr>
        <w:t>consistently</w:t>
      </w:r>
      <w:r>
        <w:rPr>
          <w:color w:val="131313"/>
          <w:spacing w:val="40"/>
          <w:w w:val="105"/>
          <w:sz w:val="21"/>
        </w:rPr>
        <w:t> </w:t>
      </w:r>
      <w:r>
        <w:rPr>
          <w:color w:val="131313"/>
          <w:w w:val="105"/>
          <w:sz w:val="21"/>
        </w:rPr>
        <w:t>apply the requirements of </w:t>
      </w:r>
      <w:r>
        <w:rPr>
          <w:color w:val="282828"/>
          <w:w w:val="105"/>
          <w:sz w:val="21"/>
        </w:rPr>
        <w:t>the </w:t>
      </w:r>
      <w:r>
        <w:rPr>
          <w:color w:val="131313"/>
          <w:w w:val="105"/>
          <w:sz w:val="21"/>
        </w:rPr>
        <w:t>Constitution</w:t>
      </w:r>
      <w:r>
        <w:rPr>
          <w:color w:val="414141"/>
          <w:w w:val="105"/>
          <w:sz w:val="21"/>
        </w:rPr>
        <w:t>.</w:t>
      </w:r>
    </w:p>
    <w:p>
      <w:pPr>
        <w:pStyle w:val="BodyText"/>
        <w:spacing w:before="16"/>
        <w:rPr>
          <w:sz w:val="21"/>
        </w:rPr>
      </w:pPr>
    </w:p>
    <w:p>
      <w:pPr>
        <w:pStyle w:val="ListParagraph"/>
        <w:numPr>
          <w:ilvl w:val="0"/>
          <w:numId w:val="29"/>
        </w:numPr>
        <w:tabs>
          <w:tab w:val="left" w:leader="none" w:pos="1035"/>
          <w:tab w:val="left" w:leader="none" w:pos="1043"/>
        </w:tabs>
        <w:spacing w:before="0" w:after="0" w:line="247" w:lineRule="auto"/>
        <w:ind w:left="1035" w:right="170" w:hanging="704"/>
        <w:jc w:val="left"/>
        <w:rPr>
          <w:color w:val="131313"/>
          <w:sz w:val="21"/>
        </w:rPr>
      </w:pPr>
      <w:r>
        <w:rPr>
          <w:color w:val="505050"/>
          <w:sz w:val="21"/>
        </w:rPr>
        <w:tab/>
      </w:r>
      <w:r>
        <w:rPr>
          <w:color w:val="131313"/>
          <w:w w:val="105"/>
          <w:sz w:val="21"/>
        </w:rPr>
        <w:t>Elected Members as decision-makers have to</w:t>
      </w:r>
      <w:r>
        <w:rPr>
          <w:color w:val="131313"/>
          <w:spacing w:val="-3"/>
          <w:w w:val="105"/>
          <w:sz w:val="21"/>
        </w:rPr>
        <w:t> </w:t>
      </w:r>
      <w:r>
        <w:rPr>
          <w:color w:val="131313"/>
          <w:w w:val="105"/>
          <w:sz w:val="21"/>
        </w:rPr>
        <w:t>declare conflicts of</w:t>
      </w:r>
      <w:r>
        <w:rPr>
          <w:color w:val="131313"/>
          <w:spacing w:val="-5"/>
          <w:w w:val="105"/>
          <w:sz w:val="21"/>
        </w:rPr>
        <w:t> </w:t>
      </w:r>
      <w:r>
        <w:rPr>
          <w:color w:val="131313"/>
          <w:w w:val="105"/>
          <w:sz w:val="21"/>
        </w:rPr>
        <w:t>interest as and when</w:t>
      </w:r>
      <w:r>
        <w:rPr>
          <w:color w:val="131313"/>
          <w:spacing w:val="-3"/>
          <w:w w:val="105"/>
          <w:sz w:val="21"/>
        </w:rPr>
        <w:t> </w:t>
      </w:r>
      <w:r>
        <w:rPr>
          <w:color w:val="131313"/>
          <w:w w:val="105"/>
          <w:sz w:val="21"/>
        </w:rPr>
        <w:t>they occur, as well as on an annual</w:t>
      </w:r>
      <w:r>
        <w:rPr>
          <w:color w:val="131313"/>
          <w:spacing w:val="-1"/>
          <w:w w:val="105"/>
          <w:sz w:val="21"/>
        </w:rPr>
        <w:t> </w:t>
      </w:r>
      <w:r>
        <w:rPr>
          <w:color w:val="131313"/>
          <w:w w:val="105"/>
          <w:sz w:val="21"/>
        </w:rPr>
        <w:t>basis. All staff complete an outside commitments form which for senior officers</w:t>
      </w:r>
      <w:r>
        <w:rPr>
          <w:color w:val="131313"/>
          <w:spacing w:val="-1"/>
          <w:w w:val="105"/>
          <w:sz w:val="21"/>
        </w:rPr>
        <w:t> </w:t>
      </w:r>
      <w:r>
        <w:rPr>
          <w:color w:val="131313"/>
          <w:w w:val="105"/>
          <w:sz w:val="21"/>
        </w:rPr>
        <w:t>would</w:t>
      </w:r>
      <w:r>
        <w:rPr>
          <w:color w:val="131313"/>
          <w:spacing w:val="-8"/>
          <w:w w:val="105"/>
          <w:sz w:val="21"/>
        </w:rPr>
        <w:t> </w:t>
      </w:r>
      <w:r>
        <w:rPr>
          <w:color w:val="131313"/>
          <w:w w:val="105"/>
          <w:sz w:val="21"/>
        </w:rPr>
        <w:t>include directorships.</w:t>
      </w:r>
      <w:r>
        <w:rPr>
          <w:color w:val="131313"/>
          <w:spacing w:val="-6"/>
          <w:w w:val="105"/>
          <w:sz w:val="21"/>
        </w:rPr>
        <w:t> </w:t>
      </w:r>
      <w:r>
        <w:rPr>
          <w:color w:val="131313"/>
          <w:w w:val="105"/>
          <w:sz w:val="21"/>
        </w:rPr>
        <w:t>A</w:t>
      </w:r>
      <w:r>
        <w:rPr>
          <w:color w:val="131313"/>
          <w:spacing w:val="-5"/>
          <w:w w:val="105"/>
          <w:sz w:val="21"/>
        </w:rPr>
        <w:t> </w:t>
      </w:r>
      <w:r>
        <w:rPr>
          <w:color w:val="131313"/>
          <w:w w:val="105"/>
          <w:sz w:val="21"/>
        </w:rPr>
        <w:t>Related</w:t>
      </w:r>
      <w:r>
        <w:rPr>
          <w:color w:val="131313"/>
          <w:spacing w:val="-5"/>
          <w:w w:val="105"/>
          <w:sz w:val="21"/>
        </w:rPr>
        <w:t> </w:t>
      </w:r>
      <w:r>
        <w:rPr>
          <w:color w:val="131313"/>
          <w:w w:val="105"/>
          <w:sz w:val="21"/>
        </w:rPr>
        <w:t>Party</w:t>
      </w:r>
      <w:r>
        <w:rPr>
          <w:color w:val="131313"/>
          <w:spacing w:val="-6"/>
          <w:w w:val="105"/>
          <w:sz w:val="21"/>
        </w:rPr>
        <w:t> </w:t>
      </w:r>
      <w:r>
        <w:rPr>
          <w:color w:val="131313"/>
          <w:w w:val="105"/>
          <w:sz w:val="21"/>
        </w:rPr>
        <w:t>Declaration</w:t>
      </w:r>
      <w:r>
        <w:rPr>
          <w:color w:val="131313"/>
          <w:spacing w:val="-5"/>
          <w:w w:val="105"/>
          <w:sz w:val="21"/>
        </w:rPr>
        <w:t> </w:t>
      </w:r>
      <w:r>
        <w:rPr>
          <w:color w:val="131313"/>
          <w:w w:val="105"/>
          <w:sz w:val="21"/>
        </w:rPr>
        <w:t>is</w:t>
      </w:r>
      <w:r>
        <w:rPr>
          <w:color w:val="131313"/>
          <w:spacing w:val="-1"/>
          <w:w w:val="105"/>
          <w:sz w:val="21"/>
        </w:rPr>
        <w:t> </w:t>
      </w:r>
      <w:r>
        <w:rPr>
          <w:color w:val="131313"/>
          <w:w w:val="105"/>
          <w:sz w:val="21"/>
        </w:rPr>
        <w:t>also</w:t>
      </w:r>
      <w:r>
        <w:rPr>
          <w:color w:val="131313"/>
          <w:spacing w:val="-8"/>
          <w:w w:val="105"/>
          <w:sz w:val="21"/>
        </w:rPr>
        <w:t> </w:t>
      </w:r>
      <w:r>
        <w:rPr>
          <w:color w:val="131313"/>
          <w:w w:val="105"/>
          <w:sz w:val="21"/>
        </w:rPr>
        <w:t>completed</w:t>
      </w:r>
      <w:r>
        <w:rPr>
          <w:color w:val="131313"/>
          <w:spacing w:val="-5"/>
          <w:w w:val="105"/>
          <w:sz w:val="21"/>
        </w:rPr>
        <w:t> </w:t>
      </w:r>
      <w:r>
        <w:rPr>
          <w:color w:val="131313"/>
          <w:w w:val="105"/>
          <w:sz w:val="21"/>
        </w:rPr>
        <w:t>by</w:t>
      </w:r>
      <w:r>
        <w:rPr>
          <w:color w:val="131313"/>
          <w:spacing w:val="-5"/>
          <w:w w:val="105"/>
          <w:sz w:val="21"/>
        </w:rPr>
        <w:t> </w:t>
      </w:r>
      <w:r>
        <w:rPr>
          <w:color w:val="131313"/>
          <w:w w:val="105"/>
          <w:sz w:val="21"/>
        </w:rPr>
        <w:t>Members and Senior Officers.</w:t>
      </w:r>
    </w:p>
    <w:p>
      <w:pPr>
        <w:pStyle w:val="BodyText"/>
        <w:spacing w:before="23"/>
        <w:rPr>
          <w:sz w:val="21"/>
        </w:rPr>
      </w:pPr>
    </w:p>
    <w:p>
      <w:pPr>
        <w:spacing w:before="0" w:line="249" w:lineRule="auto"/>
        <w:ind w:left="1036" w:right="269" w:firstLine="9"/>
        <w:jc w:val="left"/>
        <w:rPr>
          <w:b/>
          <w:sz w:val="21"/>
        </w:rPr>
      </w:pPr>
      <w:r>
        <w:rPr>
          <w:b/>
          <w:color w:val="131313"/>
          <w:w w:val="105"/>
          <w:sz w:val="21"/>
          <w:u w:val="thick" w:color="131313"/>
        </w:rPr>
        <w:t>Identifying and</w:t>
      </w:r>
      <w:r>
        <w:rPr>
          <w:b/>
          <w:color w:val="131313"/>
          <w:spacing w:val="-1"/>
          <w:w w:val="105"/>
          <w:sz w:val="21"/>
          <w:u w:val="thick" w:color="131313"/>
        </w:rPr>
        <w:t> </w:t>
      </w:r>
      <w:r>
        <w:rPr>
          <w:b/>
          <w:color w:val="131313"/>
          <w:w w:val="105"/>
          <w:sz w:val="21"/>
          <w:u w:val="thick" w:color="131313"/>
        </w:rPr>
        <w:t>communicating the</w:t>
      </w:r>
      <w:r>
        <w:rPr>
          <w:b/>
          <w:color w:val="131313"/>
          <w:spacing w:val="-1"/>
          <w:w w:val="105"/>
          <w:sz w:val="21"/>
          <w:u w:val="thick" w:color="131313"/>
        </w:rPr>
        <w:t> </w:t>
      </w:r>
      <w:r>
        <w:rPr>
          <w:b/>
          <w:color w:val="131313"/>
          <w:w w:val="105"/>
          <w:sz w:val="21"/>
          <w:u w:val="thick" w:color="131313"/>
        </w:rPr>
        <w:t>Council's vision of its</w:t>
      </w:r>
      <w:r>
        <w:rPr>
          <w:b/>
          <w:color w:val="131313"/>
          <w:spacing w:val="-1"/>
          <w:w w:val="105"/>
          <w:sz w:val="21"/>
          <w:u w:val="thick" w:color="131313"/>
        </w:rPr>
        <w:t> </w:t>
      </w:r>
      <w:r>
        <w:rPr>
          <w:b/>
          <w:color w:val="131313"/>
          <w:w w:val="105"/>
          <w:sz w:val="21"/>
          <w:u w:val="thick" w:color="131313"/>
        </w:rPr>
        <w:t>purpose and intended outcomes</w:t>
      </w:r>
      <w:r>
        <w:rPr>
          <w:b/>
          <w:color w:val="131313"/>
          <w:w w:val="105"/>
          <w:sz w:val="21"/>
          <w:u w:val="none"/>
        </w:rPr>
        <w:t> </w:t>
      </w:r>
      <w:r>
        <w:rPr>
          <w:b/>
          <w:color w:val="131313"/>
          <w:w w:val="105"/>
          <w:sz w:val="21"/>
          <w:u w:val="thick" w:color="131313"/>
        </w:rPr>
        <w:t>for</w:t>
      </w:r>
      <w:r>
        <w:rPr>
          <w:b/>
          <w:color w:val="131313"/>
          <w:spacing w:val="-7"/>
          <w:w w:val="105"/>
          <w:sz w:val="21"/>
          <w:u w:val="thick" w:color="131313"/>
        </w:rPr>
        <w:t> </w:t>
      </w:r>
      <w:r>
        <w:rPr>
          <w:b/>
          <w:color w:val="131313"/>
          <w:w w:val="105"/>
          <w:sz w:val="21"/>
          <w:u w:val="thick" w:color="131313"/>
        </w:rPr>
        <w:t>citizens and</w:t>
      </w:r>
      <w:r>
        <w:rPr>
          <w:b/>
          <w:color w:val="131313"/>
          <w:spacing w:val="-4"/>
          <w:w w:val="105"/>
          <w:sz w:val="21"/>
          <w:u w:val="thick" w:color="131313"/>
        </w:rPr>
        <w:t> </w:t>
      </w:r>
      <w:r>
        <w:rPr>
          <w:b/>
          <w:color w:val="131313"/>
          <w:w w:val="105"/>
          <w:sz w:val="21"/>
          <w:u w:val="thick" w:color="131313"/>
        </w:rPr>
        <w:t>service</w:t>
      </w:r>
      <w:r>
        <w:rPr>
          <w:b/>
          <w:color w:val="131313"/>
          <w:spacing w:val="-2"/>
          <w:w w:val="105"/>
          <w:sz w:val="21"/>
          <w:u w:val="thick" w:color="131313"/>
        </w:rPr>
        <w:t> </w:t>
      </w:r>
      <w:r>
        <w:rPr>
          <w:b/>
          <w:color w:val="131313"/>
          <w:w w:val="105"/>
          <w:sz w:val="21"/>
          <w:u w:val="thick" w:color="131313"/>
        </w:rPr>
        <w:t>users</w:t>
      </w:r>
      <w:r>
        <w:rPr>
          <w:b/>
          <w:color w:val="131313"/>
          <w:spacing w:val="-4"/>
          <w:w w:val="105"/>
          <w:sz w:val="21"/>
          <w:u w:val="thick" w:color="131313"/>
        </w:rPr>
        <w:t> </w:t>
      </w:r>
      <w:r>
        <w:rPr>
          <w:b/>
          <w:color w:val="131313"/>
          <w:w w:val="105"/>
          <w:sz w:val="21"/>
          <w:u w:val="thick" w:color="131313"/>
        </w:rPr>
        <w:t>/</w:t>
      </w:r>
      <w:r>
        <w:rPr>
          <w:b/>
          <w:color w:val="131313"/>
          <w:spacing w:val="-8"/>
          <w:w w:val="105"/>
          <w:sz w:val="21"/>
          <w:u w:val="thick" w:color="131313"/>
        </w:rPr>
        <w:t> </w:t>
      </w:r>
      <w:r>
        <w:rPr>
          <w:b/>
          <w:color w:val="131313"/>
          <w:w w:val="105"/>
          <w:sz w:val="21"/>
          <w:u w:val="thick" w:color="131313"/>
        </w:rPr>
        <w:t>translating the</w:t>
      </w:r>
      <w:r>
        <w:rPr>
          <w:b/>
          <w:color w:val="131313"/>
          <w:spacing w:val="-9"/>
          <w:w w:val="105"/>
          <w:sz w:val="21"/>
          <w:u w:val="thick" w:color="131313"/>
        </w:rPr>
        <w:t> </w:t>
      </w:r>
      <w:r>
        <w:rPr>
          <w:b/>
          <w:color w:val="131313"/>
          <w:w w:val="105"/>
          <w:sz w:val="21"/>
          <w:u w:val="thick" w:color="131313"/>
        </w:rPr>
        <w:t>vision</w:t>
      </w:r>
      <w:r>
        <w:rPr>
          <w:b/>
          <w:color w:val="131313"/>
          <w:spacing w:val="-2"/>
          <w:w w:val="105"/>
          <w:sz w:val="21"/>
          <w:u w:val="thick" w:color="131313"/>
        </w:rPr>
        <w:t> </w:t>
      </w:r>
      <w:r>
        <w:rPr>
          <w:b/>
          <w:color w:val="131313"/>
          <w:w w:val="105"/>
          <w:sz w:val="21"/>
          <w:u w:val="thick" w:color="131313"/>
        </w:rPr>
        <w:t>into</w:t>
      </w:r>
      <w:r>
        <w:rPr>
          <w:b/>
          <w:color w:val="131313"/>
          <w:spacing w:val="-8"/>
          <w:w w:val="105"/>
          <w:sz w:val="21"/>
          <w:u w:val="thick" w:color="131313"/>
        </w:rPr>
        <w:t> </w:t>
      </w:r>
      <w:r>
        <w:rPr>
          <w:b/>
          <w:color w:val="131313"/>
          <w:w w:val="105"/>
          <w:sz w:val="21"/>
          <w:u w:val="thick" w:color="131313"/>
        </w:rPr>
        <w:t>objectives for</w:t>
      </w:r>
      <w:r>
        <w:rPr>
          <w:b/>
          <w:color w:val="131313"/>
          <w:spacing w:val="-3"/>
          <w:w w:val="105"/>
          <w:sz w:val="21"/>
          <w:u w:val="thick" w:color="131313"/>
        </w:rPr>
        <w:t> </w:t>
      </w:r>
      <w:r>
        <w:rPr>
          <w:b/>
          <w:color w:val="131313"/>
          <w:w w:val="105"/>
          <w:sz w:val="21"/>
          <w:u w:val="thick" w:color="131313"/>
        </w:rPr>
        <w:t>the</w:t>
      </w:r>
      <w:r>
        <w:rPr>
          <w:b/>
          <w:color w:val="131313"/>
          <w:spacing w:val="-10"/>
          <w:w w:val="105"/>
          <w:sz w:val="21"/>
          <w:u w:val="thick" w:color="131313"/>
        </w:rPr>
        <w:t> </w:t>
      </w:r>
      <w:r>
        <w:rPr>
          <w:b/>
          <w:color w:val="131313"/>
          <w:w w:val="105"/>
          <w:sz w:val="21"/>
          <w:u w:val="thick" w:color="131313"/>
        </w:rPr>
        <w:t>authority and</w:t>
      </w:r>
      <w:r>
        <w:rPr>
          <w:b/>
          <w:color w:val="131313"/>
          <w:spacing w:val="-9"/>
          <w:w w:val="105"/>
          <w:sz w:val="21"/>
          <w:u w:val="thick" w:color="131313"/>
        </w:rPr>
        <w:t> </w:t>
      </w:r>
      <w:r>
        <w:rPr>
          <w:b/>
          <w:color w:val="131313"/>
          <w:w w:val="105"/>
          <w:sz w:val="21"/>
          <w:u w:val="thick" w:color="131313"/>
        </w:rPr>
        <w:t>its</w:t>
      </w:r>
      <w:r>
        <w:rPr>
          <w:b/>
          <w:color w:val="131313"/>
          <w:w w:val="105"/>
          <w:sz w:val="21"/>
          <w:u w:val="none"/>
        </w:rPr>
        <w:t> </w:t>
      </w:r>
      <w:r>
        <w:rPr>
          <w:b/>
          <w:color w:val="131313"/>
          <w:spacing w:val="-2"/>
          <w:w w:val="105"/>
          <w:sz w:val="21"/>
          <w:u w:val="thick" w:color="131313"/>
        </w:rPr>
        <w:t>partnerships</w:t>
      </w:r>
    </w:p>
    <w:p>
      <w:pPr>
        <w:pStyle w:val="BodyText"/>
        <w:spacing w:before="24"/>
        <w:rPr>
          <w:b/>
          <w:sz w:val="21"/>
        </w:rPr>
      </w:pPr>
    </w:p>
    <w:p>
      <w:pPr>
        <w:pStyle w:val="ListParagraph"/>
        <w:numPr>
          <w:ilvl w:val="0"/>
          <w:numId w:val="29"/>
        </w:numPr>
        <w:tabs>
          <w:tab w:val="left" w:leader="none" w:pos="1004"/>
          <w:tab w:val="left" w:leader="none" w:pos="1016"/>
        </w:tabs>
        <w:spacing w:before="0" w:after="0" w:line="252" w:lineRule="auto"/>
        <w:ind w:left="1004" w:right="164" w:hanging="706"/>
        <w:jc w:val="left"/>
        <w:rPr>
          <w:color w:val="131313"/>
          <w:sz w:val="21"/>
        </w:rPr>
      </w:pPr>
      <w:r>
        <w:rPr>
          <w:color w:val="707070"/>
          <w:sz w:val="21"/>
        </w:rPr>
        <w:tab/>
      </w:r>
      <w:r>
        <w:rPr>
          <w:color w:val="131313"/>
          <w:w w:val="105"/>
          <w:sz w:val="21"/>
        </w:rPr>
        <w:t>The</w:t>
      </w:r>
      <w:r>
        <w:rPr>
          <w:color w:val="131313"/>
          <w:spacing w:val="-1"/>
          <w:w w:val="105"/>
          <w:sz w:val="21"/>
        </w:rPr>
        <w:t> </w:t>
      </w:r>
      <w:r>
        <w:rPr>
          <w:color w:val="131313"/>
          <w:w w:val="105"/>
          <w:sz w:val="21"/>
        </w:rPr>
        <w:t>Council and its</w:t>
      </w:r>
      <w:r>
        <w:rPr>
          <w:color w:val="131313"/>
          <w:spacing w:val="-7"/>
          <w:w w:val="105"/>
          <w:sz w:val="21"/>
        </w:rPr>
        <w:t> </w:t>
      </w:r>
      <w:r>
        <w:rPr>
          <w:color w:val="131313"/>
          <w:w w:val="105"/>
          <w:sz w:val="21"/>
        </w:rPr>
        <w:t>partner agencies </w:t>
      </w:r>
      <w:r>
        <w:rPr>
          <w:color w:val="282828"/>
          <w:w w:val="105"/>
          <w:sz w:val="21"/>
        </w:rPr>
        <w:t>in the</w:t>
      </w:r>
      <w:r>
        <w:rPr>
          <w:color w:val="282828"/>
          <w:spacing w:val="-6"/>
          <w:w w:val="105"/>
          <w:sz w:val="21"/>
        </w:rPr>
        <w:t> </w:t>
      </w:r>
      <w:r>
        <w:rPr>
          <w:color w:val="282828"/>
          <w:w w:val="105"/>
          <w:sz w:val="21"/>
        </w:rPr>
        <w:t>Local </w:t>
      </w:r>
      <w:r>
        <w:rPr>
          <w:color w:val="131313"/>
          <w:w w:val="105"/>
          <w:sz w:val="21"/>
        </w:rPr>
        <w:t>Strategic Partnership </w:t>
      </w:r>
      <w:r>
        <w:rPr>
          <w:color w:val="282828"/>
          <w:w w:val="105"/>
          <w:sz w:val="21"/>
        </w:rPr>
        <w:t>(LSP) </w:t>
      </w:r>
      <w:r>
        <w:rPr>
          <w:color w:val="131313"/>
          <w:w w:val="105"/>
          <w:sz w:val="21"/>
        </w:rPr>
        <w:t>Hertsmere Together </w:t>
      </w:r>
      <w:r>
        <w:rPr>
          <w:color w:val="282828"/>
          <w:w w:val="105"/>
          <w:sz w:val="21"/>
        </w:rPr>
        <w:t>have</w:t>
      </w:r>
      <w:r>
        <w:rPr>
          <w:color w:val="282828"/>
          <w:spacing w:val="-4"/>
          <w:w w:val="105"/>
          <w:sz w:val="21"/>
        </w:rPr>
        <w:t> </w:t>
      </w:r>
      <w:r>
        <w:rPr>
          <w:color w:val="131313"/>
          <w:w w:val="105"/>
          <w:sz w:val="21"/>
        </w:rPr>
        <w:t>a</w:t>
      </w:r>
      <w:r>
        <w:rPr>
          <w:color w:val="131313"/>
          <w:spacing w:val="-6"/>
          <w:w w:val="105"/>
          <w:sz w:val="21"/>
        </w:rPr>
        <w:t> </w:t>
      </w:r>
      <w:r>
        <w:rPr>
          <w:color w:val="131313"/>
          <w:w w:val="105"/>
          <w:sz w:val="21"/>
        </w:rPr>
        <w:t>Sustainable Community Strategy which</w:t>
      </w:r>
      <w:r>
        <w:rPr>
          <w:color w:val="131313"/>
          <w:spacing w:val="-3"/>
          <w:w w:val="105"/>
          <w:sz w:val="21"/>
        </w:rPr>
        <w:t> </w:t>
      </w:r>
      <w:r>
        <w:rPr>
          <w:color w:val="282828"/>
          <w:w w:val="105"/>
          <w:sz w:val="21"/>
        </w:rPr>
        <w:t>is</w:t>
      </w:r>
      <w:r>
        <w:rPr>
          <w:color w:val="282828"/>
          <w:spacing w:val="-9"/>
          <w:w w:val="105"/>
          <w:sz w:val="21"/>
        </w:rPr>
        <w:t> </w:t>
      </w:r>
      <w:r>
        <w:rPr>
          <w:color w:val="131313"/>
          <w:w w:val="105"/>
          <w:sz w:val="21"/>
        </w:rPr>
        <w:t>underpinned</w:t>
      </w:r>
      <w:r>
        <w:rPr>
          <w:color w:val="131313"/>
          <w:spacing w:val="-1"/>
          <w:w w:val="105"/>
          <w:sz w:val="21"/>
        </w:rPr>
        <w:t> </w:t>
      </w:r>
      <w:r>
        <w:rPr>
          <w:color w:val="131313"/>
          <w:w w:val="105"/>
          <w:sz w:val="21"/>
        </w:rPr>
        <w:t>by</w:t>
      </w:r>
      <w:r>
        <w:rPr>
          <w:color w:val="131313"/>
          <w:spacing w:val="-9"/>
          <w:w w:val="105"/>
          <w:sz w:val="21"/>
        </w:rPr>
        <w:t> </w:t>
      </w:r>
      <w:r>
        <w:rPr>
          <w:color w:val="131313"/>
          <w:w w:val="105"/>
          <w:sz w:val="21"/>
        </w:rPr>
        <w:t>the</w:t>
      </w:r>
      <w:r>
        <w:rPr>
          <w:color w:val="131313"/>
          <w:spacing w:val="-8"/>
          <w:w w:val="105"/>
          <w:sz w:val="21"/>
        </w:rPr>
        <w:t> </w:t>
      </w:r>
      <w:r>
        <w:rPr>
          <w:color w:val="131313"/>
          <w:w w:val="105"/>
          <w:sz w:val="21"/>
        </w:rPr>
        <w:t>Council</w:t>
      </w:r>
      <w:r>
        <w:rPr>
          <w:color w:val="505050"/>
          <w:w w:val="105"/>
          <w:sz w:val="21"/>
        </w:rPr>
        <w:t>'</w:t>
      </w:r>
      <w:r>
        <w:rPr>
          <w:color w:val="131313"/>
          <w:w w:val="105"/>
          <w:sz w:val="21"/>
        </w:rPr>
        <w:t>s Corporate Plan</w:t>
      </w:r>
      <w:r>
        <w:rPr>
          <w:color w:val="505050"/>
          <w:w w:val="105"/>
          <w:sz w:val="21"/>
        </w:rPr>
        <w:t>.</w:t>
      </w:r>
      <w:r>
        <w:rPr>
          <w:color w:val="505050"/>
          <w:spacing w:val="-16"/>
          <w:w w:val="105"/>
          <w:sz w:val="21"/>
        </w:rPr>
        <w:t> </w:t>
      </w:r>
      <w:r>
        <w:rPr>
          <w:color w:val="131313"/>
          <w:w w:val="105"/>
          <w:sz w:val="21"/>
        </w:rPr>
        <w:t>The Community Strategy was</w:t>
      </w:r>
      <w:r>
        <w:rPr>
          <w:color w:val="131313"/>
          <w:spacing w:val="-2"/>
          <w:w w:val="105"/>
          <w:sz w:val="21"/>
        </w:rPr>
        <w:t> </w:t>
      </w:r>
      <w:r>
        <w:rPr>
          <w:color w:val="131313"/>
          <w:w w:val="105"/>
          <w:sz w:val="21"/>
        </w:rPr>
        <w:t>reviewed</w:t>
      </w:r>
      <w:r>
        <w:rPr>
          <w:color w:val="131313"/>
          <w:spacing w:val="-8"/>
          <w:w w:val="105"/>
          <w:sz w:val="21"/>
        </w:rPr>
        <w:t> </w:t>
      </w:r>
      <w:r>
        <w:rPr>
          <w:color w:val="131313"/>
          <w:w w:val="105"/>
          <w:sz w:val="21"/>
        </w:rPr>
        <w:t>during 2022</w:t>
      </w:r>
      <w:r>
        <w:rPr>
          <w:color w:val="131313"/>
          <w:spacing w:val="-4"/>
          <w:w w:val="105"/>
          <w:sz w:val="21"/>
        </w:rPr>
        <w:t> </w:t>
      </w:r>
      <w:r>
        <w:rPr>
          <w:color w:val="131313"/>
          <w:w w:val="105"/>
          <w:sz w:val="21"/>
        </w:rPr>
        <w:t>and</w:t>
      </w:r>
      <w:r>
        <w:rPr>
          <w:color w:val="131313"/>
          <w:spacing w:val="-9"/>
          <w:w w:val="105"/>
          <w:sz w:val="21"/>
        </w:rPr>
        <w:t> </w:t>
      </w:r>
      <w:r>
        <w:rPr>
          <w:color w:val="282828"/>
          <w:w w:val="105"/>
          <w:sz w:val="21"/>
        </w:rPr>
        <w:t>the</w:t>
      </w:r>
      <w:r>
        <w:rPr>
          <w:color w:val="282828"/>
          <w:spacing w:val="-13"/>
          <w:w w:val="105"/>
          <w:sz w:val="21"/>
        </w:rPr>
        <w:t> </w:t>
      </w:r>
      <w:r>
        <w:rPr>
          <w:color w:val="282828"/>
          <w:w w:val="105"/>
          <w:sz w:val="21"/>
        </w:rPr>
        <w:t>revised</w:t>
      </w:r>
      <w:r>
        <w:rPr>
          <w:color w:val="282828"/>
          <w:spacing w:val="-1"/>
          <w:w w:val="105"/>
          <w:sz w:val="21"/>
        </w:rPr>
        <w:t> </w:t>
      </w:r>
      <w:r>
        <w:rPr>
          <w:color w:val="131313"/>
          <w:w w:val="105"/>
          <w:sz w:val="21"/>
        </w:rPr>
        <w:t>strategy will</w:t>
      </w:r>
      <w:r>
        <w:rPr>
          <w:color w:val="131313"/>
          <w:spacing w:val="-13"/>
          <w:w w:val="105"/>
          <w:sz w:val="21"/>
        </w:rPr>
        <w:t> </w:t>
      </w:r>
      <w:r>
        <w:rPr>
          <w:color w:val="131313"/>
          <w:w w:val="105"/>
          <w:sz w:val="21"/>
        </w:rPr>
        <w:t>be</w:t>
      </w:r>
      <w:r>
        <w:rPr>
          <w:color w:val="131313"/>
          <w:spacing w:val="-7"/>
          <w:w w:val="105"/>
          <w:sz w:val="21"/>
        </w:rPr>
        <w:t> </w:t>
      </w:r>
      <w:r>
        <w:rPr>
          <w:color w:val="282828"/>
          <w:w w:val="105"/>
          <w:sz w:val="21"/>
        </w:rPr>
        <w:t>launched at</w:t>
      </w:r>
      <w:r>
        <w:rPr>
          <w:color w:val="282828"/>
          <w:spacing w:val="-3"/>
          <w:w w:val="105"/>
          <w:sz w:val="21"/>
        </w:rPr>
        <w:t> </w:t>
      </w:r>
      <w:r>
        <w:rPr>
          <w:color w:val="282828"/>
          <w:w w:val="105"/>
          <w:sz w:val="21"/>
        </w:rPr>
        <w:t>the</w:t>
      </w:r>
      <w:r>
        <w:rPr>
          <w:color w:val="282828"/>
          <w:spacing w:val="-14"/>
          <w:w w:val="105"/>
          <w:sz w:val="21"/>
        </w:rPr>
        <w:t> </w:t>
      </w:r>
      <w:r>
        <w:rPr>
          <w:color w:val="282828"/>
          <w:w w:val="105"/>
          <w:sz w:val="21"/>
        </w:rPr>
        <w:t>LSP </w:t>
      </w:r>
      <w:r>
        <w:rPr>
          <w:color w:val="131313"/>
          <w:w w:val="105"/>
          <w:sz w:val="21"/>
        </w:rPr>
        <w:t>and be adopted by the Council </w:t>
      </w:r>
      <w:r>
        <w:rPr>
          <w:color w:val="282828"/>
          <w:w w:val="105"/>
          <w:sz w:val="21"/>
        </w:rPr>
        <w:t>in </w:t>
      </w:r>
      <w:r>
        <w:rPr>
          <w:color w:val="131313"/>
          <w:w w:val="105"/>
          <w:sz w:val="21"/>
        </w:rPr>
        <w:t>2023.</w:t>
      </w:r>
    </w:p>
    <w:p>
      <w:pPr>
        <w:pStyle w:val="BodyText"/>
        <w:spacing w:before="13"/>
        <w:rPr>
          <w:sz w:val="21"/>
        </w:rPr>
      </w:pPr>
    </w:p>
    <w:p>
      <w:pPr>
        <w:pStyle w:val="ListParagraph"/>
        <w:numPr>
          <w:ilvl w:val="0"/>
          <w:numId w:val="29"/>
        </w:numPr>
        <w:tabs>
          <w:tab w:val="left" w:leader="none" w:pos="990"/>
          <w:tab w:val="left" w:leader="none" w:pos="1007"/>
        </w:tabs>
        <w:spacing w:before="0" w:after="0" w:line="247" w:lineRule="auto"/>
        <w:ind w:left="990" w:right="432" w:hanging="714"/>
        <w:jc w:val="left"/>
        <w:rPr>
          <w:color w:val="131313"/>
          <w:sz w:val="21"/>
        </w:rPr>
      </w:pPr>
      <w:r>
        <w:rPr>
          <w:color w:val="414141"/>
          <w:sz w:val="21"/>
        </w:rPr>
        <w:tab/>
      </w:r>
      <w:r>
        <w:rPr>
          <w:color w:val="282828"/>
          <w:w w:val="105"/>
          <w:sz w:val="21"/>
        </w:rPr>
        <w:t>The</w:t>
      </w:r>
      <w:r>
        <w:rPr>
          <w:color w:val="282828"/>
          <w:spacing w:val="-8"/>
          <w:w w:val="105"/>
          <w:sz w:val="21"/>
        </w:rPr>
        <w:t> </w:t>
      </w:r>
      <w:r>
        <w:rPr>
          <w:color w:val="131313"/>
          <w:w w:val="105"/>
          <w:sz w:val="21"/>
        </w:rPr>
        <w:t>Community </w:t>
      </w:r>
      <w:r>
        <w:rPr>
          <w:color w:val="282828"/>
          <w:w w:val="105"/>
          <w:sz w:val="21"/>
        </w:rPr>
        <w:t>Strategy </w:t>
      </w:r>
      <w:r>
        <w:rPr>
          <w:color w:val="131313"/>
          <w:w w:val="105"/>
          <w:sz w:val="21"/>
        </w:rPr>
        <w:t>and</w:t>
      </w:r>
      <w:r>
        <w:rPr>
          <w:color w:val="131313"/>
          <w:spacing w:val="-10"/>
          <w:w w:val="105"/>
          <w:sz w:val="21"/>
        </w:rPr>
        <w:t> </w:t>
      </w:r>
      <w:r>
        <w:rPr>
          <w:color w:val="131313"/>
          <w:w w:val="105"/>
          <w:sz w:val="21"/>
        </w:rPr>
        <w:t>Corporate</w:t>
      </w:r>
      <w:r>
        <w:rPr>
          <w:color w:val="131313"/>
          <w:spacing w:val="-2"/>
          <w:w w:val="105"/>
          <w:sz w:val="21"/>
        </w:rPr>
        <w:t> </w:t>
      </w:r>
      <w:r>
        <w:rPr>
          <w:color w:val="131313"/>
          <w:w w:val="105"/>
          <w:sz w:val="21"/>
        </w:rPr>
        <w:t>Vision</w:t>
      </w:r>
      <w:r>
        <w:rPr>
          <w:color w:val="131313"/>
          <w:spacing w:val="-6"/>
          <w:w w:val="105"/>
          <w:sz w:val="21"/>
        </w:rPr>
        <w:t> </w:t>
      </w:r>
      <w:r>
        <w:rPr>
          <w:color w:val="131313"/>
          <w:w w:val="105"/>
          <w:sz w:val="21"/>
        </w:rPr>
        <w:t>ensure</w:t>
      </w:r>
      <w:r>
        <w:rPr>
          <w:color w:val="131313"/>
          <w:spacing w:val="-4"/>
          <w:w w:val="105"/>
          <w:sz w:val="21"/>
        </w:rPr>
        <w:t> </w:t>
      </w:r>
      <w:r>
        <w:rPr>
          <w:color w:val="131313"/>
          <w:w w:val="105"/>
          <w:sz w:val="21"/>
        </w:rPr>
        <w:t>that</w:t>
      </w:r>
      <w:r>
        <w:rPr>
          <w:color w:val="131313"/>
          <w:spacing w:val="-7"/>
          <w:w w:val="105"/>
          <w:sz w:val="21"/>
        </w:rPr>
        <w:t> </w:t>
      </w:r>
      <w:r>
        <w:rPr>
          <w:color w:val="131313"/>
          <w:w w:val="105"/>
          <w:sz w:val="21"/>
        </w:rPr>
        <w:t>the</w:t>
      </w:r>
      <w:r>
        <w:rPr>
          <w:color w:val="131313"/>
          <w:spacing w:val="-14"/>
          <w:w w:val="105"/>
          <w:sz w:val="21"/>
        </w:rPr>
        <w:t> </w:t>
      </w:r>
      <w:r>
        <w:rPr>
          <w:color w:val="131313"/>
          <w:w w:val="105"/>
          <w:sz w:val="21"/>
        </w:rPr>
        <w:t>Council's strategic</w:t>
      </w:r>
      <w:r>
        <w:rPr>
          <w:color w:val="131313"/>
          <w:spacing w:val="-4"/>
          <w:w w:val="105"/>
          <w:sz w:val="21"/>
        </w:rPr>
        <w:t> </w:t>
      </w:r>
      <w:r>
        <w:rPr>
          <w:color w:val="131313"/>
          <w:w w:val="105"/>
          <w:sz w:val="21"/>
        </w:rPr>
        <w:t>plans,</w:t>
      </w:r>
      <w:r>
        <w:rPr>
          <w:color w:val="131313"/>
          <w:spacing w:val="-2"/>
          <w:w w:val="105"/>
          <w:sz w:val="21"/>
        </w:rPr>
        <w:t> </w:t>
      </w:r>
      <w:r>
        <w:rPr>
          <w:color w:val="131313"/>
          <w:w w:val="105"/>
          <w:sz w:val="21"/>
        </w:rPr>
        <w:t>priorities and targets are robustly developed in consultation with local commun</w:t>
      </w:r>
      <w:r>
        <w:rPr>
          <w:color w:val="414141"/>
          <w:w w:val="105"/>
          <w:sz w:val="21"/>
        </w:rPr>
        <w:t>i</w:t>
      </w:r>
      <w:r>
        <w:rPr>
          <w:color w:val="131313"/>
          <w:w w:val="105"/>
          <w:sz w:val="21"/>
        </w:rPr>
        <w:t>ties and</w:t>
      </w:r>
      <w:r>
        <w:rPr>
          <w:color w:val="131313"/>
          <w:spacing w:val="-1"/>
          <w:w w:val="105"/>
          <w:sz w:val="21"/>
        </w:rPr>
        <w:t> </w:t>
      </w:r>
      <w:r>
        <w:rPr>
          <w:color w:val="131313"/>
          <w:w w:val="105"/>
          <w:sz w:val="21"/>
        </w:rPr>
        <w:t>other key </w:t>
      </w:r>
      <w:r>
        <w:rPr>
          <w:color w:val="131313"/>
          <w:spacing w:val="-2"/>
          <w:w w:val="105"/>
          <w:sz w:val="21"/>
        </w:rPr>
        <w:t>stakeholders</w:t>
      </w:r>
      <w:r>
        <w:rPr>
          <w:color w:val="505050"/>
          <w:spacing w:val="-2"/>
          <w:w w:val="105"/>
          <w:sz w:val="21"/>
        </w:rPr>
        <w:t>.</w:t>
      </w:r>
    </w:p>
    <w:p>
      <w:pPr>
        <w:pStyle w:val="BodyText"/>
        <w:spacing w:before="21"/>
        <w:rPr>
          <w:sz w:val="21"/>
        </w:rPr>
      </w:pPr>
    </w:p>
    <w:p>
      <w:pPr>
        <w:spacing w:before="0" w:line="252" w:lineRule="auto"/>
        <w:ind w:left="989" w:right="269" w:firstLine="8"/>
        <w:jc w:val="left"/>
        <w:rPr>
          <w:sz w:val="21"/>
        </w:rPr>
      </w:pPr>
      <w:r>
        <w:rPr>
          <w:color w:val="131313"/>
          <w:w w:val="105"/>
          <w:sz w:val="21"/>
        </w:rPr>
        <w:t>The</w:t>
      </w:r>
      <w:r>
        <w:rPr>
          <w:color w:val="131313"/>
          <w:spacing w:val="-11"/>
          <w:w w:val="105"/>
          <w:sz w:val="21"/>
        </w:rPr>
        <w:t> </w:t>
      </w:r>
      <w:r>
        <w:rPr>
          <w:color w:val="131313"/>
          <w:w w:val="105"/>
          <w:sz w:val="21"/>
        </w:rPr>
        <w:t>Corporate Plan</w:t>
      </w:r>
      <w:r>
        <w:rPr>
          <w:color w:val="131313"/>
          <w:spacing w:val="-6"/>
          <w:w w:val="105"/>
          <w:sz w:val="21"/>
        </w:rPr>
        <w:t> </w:t>
      </w:r>
      <w:r>
        <w:rPr>
          <w:color w:val="131313"/>
          <w:w w:val="105"/>
          <w:sz w:val="21"/>
        </w:rPr>
        <w:t>and</w:t>
      </w:r>
      <w:r>
        <w:rPr>
          <w:color w:val="131313"/>
          <w:spacing w:val="-11"/>
          <w:w w:val="105"/>
          <w:sz w:val="21"/>
        </w:rPr>
        <w:t> </w:t>
      </w:r>
      <w:r>
        <w:rPr>
          <w:color w:val="131313"/>
          <w:w w:val="105"/>
          <w:sz w:val="21"/>
        </w:rPr>
        <w:t>associated Performance</w:t>
      </w:r>
      <w:r>
        <w:rPr>
          <w:color w:val="131313"/>
          <w:spacing w:val="-2"/>
          <w:w w:val="105"/>
          <w:sz w:val="21"/>
        </w:rPr>
        <w:t> </w:t>
      </w:r>
      <w:r>
        <w:rPr>
          <w:color w:val="131313"/>
          <w:w w:val="105"/>
          <w:sz w:val="21"/>
        </w:rPr>
        <w:t>Management Framework</w:t>
      </w:r>
      <w:r>
        <w:rPr>
          <w:color w:val="131313"/>
          <w:spacing w:val="-2"/>
          <w:w w:val="105"/>
          <w:sz w:val="21"/>
        </w:rPr>
        <w:t> </w:t>
      </w:r>
      <w:r>
        <w:rPr>
          <w:color w:val="131313"/>
          <w:w w:val="105"/>
          <w:sz w:val="21"/>
        </w:rPr>
        <w:t>was</w:t>
      </w:r>
      <w:r>
        <w:rPr>
          <w:color w:val="131313"/>
          <w:spacing w:val="-10"/>
          <w:w w:val="105"/>
          <w:sz w:val="21"/>
        </w:rPr>
        <w:t> </w:t>
      </w:r>
      <w:r>
        <w:rPr>
          <w:color w:val="131313"/>
          <w:w w:val="105"/>
          <w:sz w:val="21"/>
        </w:rPr>
        <w:t>reviewed</w:t>
      </w:r>
      <w:r>
        <w:rPr>
          <w:color w:val="131313"/>
          <w:spacing w:val="-6"/>
          <w:w w:val="105"/>
          <w:sz w:val="21"/>
        </w:rPr>
        <w:t> </w:t>
      </w:r>
      <w:r>
        <w:rPr>
          <w:color w:val="131313"/>
          <w:w w:val="105"/>
          <w:sz w:val="21"/>
        </w:rPr>
        <w:t>during 2022. The high</w:t>
      </w:r>
      <w:r>
        <w:rPr>
          <w:color w:val="414141"/>
          <w:w w:val="105"/>
          <w:sz w:val="21"/>
        </w:rPr>
        <w:t>-</w:t>
      </w:r>
      <w:r>
        <w:rPr>
          <w:color w:val="282828"/>
          <w:w w:val="105"/>
          <w:sz w:val="21"/>
        </w:rPr>
        <w:t>level </w:t>
      </w:r>
      <w:r>
        <w:rPr>
          <w:color w:val="131313"/>
          <w:w w:val="105"/>
          <w:sz w:val="21"/>
        </w:rPr>
        <w:t>vision and priorities were agreed</w:t>
      </w:r>
      <w:r>
        <w:rPr>
          <w:color w:val="131313"/>
          <w:spacing w:val="-4"/>
          <w:w w:val="105"/>
          <w:sz w:val="21"/>
        </w:rPr>
        <w:t> </w:t>
      </w:r>
      <w:r>
        <w:rPr>
          <w:color w:val="131313"/>
          <w:w w:val="105"/>
          <w:sz w:val="21"/>
        </w:rPr>
        <w:t>by the</w:t>
      </w:r>
      <w:r>
        <w:rPr>
          <w:color w:val="131313"/>
          <w:spacing w:val="-5"/>
          <w:w w:val="105"/>
          <w:sz w:val="21"/>
        </w:rPr>
        <w:t> </w:t>
      </w:r>
      <w:r>
        <w:rPr>
          <w:color w:val="131313"/>
          <w:w w:val="105"/>
          <w:sz w:val="21"/>
        </w:rPr>
        <w:t>Council </w:t>
      </w:r>
      <w:r>
        <w:rPr>
          <w:color w:val="282828"/>
          <w:w w:val="105"/>
          <w:sz w:val="21"/>
        </w:rPr>
        <w:t>in</w:t>
      </w:r>
      <w:r>
        <w:rPr>
          <w:color w:val="282828"/>
          <w:spacing w:val="-4"/>
          <w:w w:val="105"/>
          <w:sz w:val="21"/>
        </w:rPr>
        <w:t> </w:t>
      </w:r>
      <w:r>
        <w:rPr>
          <w:color w:val="131313"/>
          <w:w w:val="105"/>
          <w:sz w:val="21"/>
        </w:rPr>
        <w:t>November 2021 and contained </w:t>
      </w:r>
      <w:r>
        <w:rPr>
          <w:color w:val="282828"/>
          <w:w w:val="105"/>
          <w:sz w:val="21"/>
        </w:rPr>
        <w:t>in the </w:t>
      </w:r>
      <w:r>
        <w:rPr>
          <w:color w:val="131313"/>
          <w:w w:val="105"/>
          <w:sz w:val="21"/>
        </w:rPr>
        <w:t>Hertsmere Vision 2022-27 as below:</w:t>
      </w:r>
    </w:p>
    <w:p>
      <w:pPr>
        <w:spacing w:after="0" w:line="252" w:lineRule="auto"/>
        <w:jc w:val="left"/>
        <w:rPr>
          <w:sz w:val="21"/>
        </w:rPr>
        <w:sectPr>
          <w:headerReference w:type="even" r:id="rId278"/>
          <w:pgSz w:w="11910" w:h="16830"/>
          <w:pgMar w:top="1100" w:right="540" w:bottom="920" w:left="440" w:header="0" w:footer="0"/>
        </w:sectPr>
      </w:pPr>
    </w:p>
    <w:p>
      <w:pPr>
        <w:pStyle w:val="ListParagraph"/>
        <w:numPr>
          <w:ilvl w:val="0"/>
          <w:numId w:val="27"/>
        </w:numPr>
        <w:tabs>
          <w:tab w:val="left" w:leader="none" w:pos="1768"/>
        </w:tabs>
        <w:spacing w:before="81" w:after="0" w:line="240" w:lineRule="auto"/>
        <w:ind w:left="1768" w:right="0" w:hanging="705"/>
        <w:jc w:val="left"/>
        <w:rPr>
          <w:color w:val="A8A8A8"/>
          <w:sz w:val="14"/>
        </w:rPr>
      </w:pPr>
      <w:r>
        <w:rPr>
          <w:color w:val="A8A8A8"/>
          <w:w w:val="110"/>
          <w:sz w:val="14"/>
        </w:rPr>
        <w:t>.ANNUAL</w:t>
      </w:r>
      <w:r>
        <w:rPr>
          <w:color w:val="A8A8A8"/>
          <w:spacing w:val="17"/>
          <w:w w:val="110"/>
          <w:sz w:val="14"/>
        </w:rPr>
        <w:t> </w:t>
      </w:r>
      <w:r>
        <w:rPr>
          <w:color w:val="A8A8A8"/>
          <w:w w:val="110"/>
          <w:sz w:val="14"/>
        </w:rPr>
        <w:t>GOVERNANCE</w:t>
      </w:r>
      <w:r>
        <w:rPr>
          <w:color w:val="A8A8A8"/>
          <w:spacing w:val="26"/>
          <w:w w:val="110"/>
          <w:sz w:val="14"/>
        </w:rPr>
        <w:t> </w:t>
      </w:r>
      <w:r>
        <w:rPr>
          <w:color w:val="A8A8A8"/>
          <w:w w:val="110"/>
          <w:sz w:val="14"/>
        </w:rPr>
        <w:t>STA</w:t>
      </w:r>
      <w:r>
        <w:rPr>
          <w:color w:val="A8A8A8"/>
          <w:spacing w:val="-2"/>
          <w:w w:val="110"/>
          <w:sz w:val="14"/>
        </w:rPr>
        <w:t> rEMEi'JT</w:t>
      </w:r>
    </w:p>
    <w:p>
      <w:pPr>
        <w:tabs>
          <w:tab w:val="left" w:leader="none" w:pos="4278"/>
          <w:tab w:val="left" w:leader="none" w:pos="5879"/>
          <w:tab w:val="left" w:leader="none" w:pos="6416"/>
        </w:tabs>
        <w:spacing w:before="116"/>
        <w:ind w:left="3490" w:right="0" w:firstLine="0"/>
        <w:jc w:val="left"/>
        <w:rPr>
          <w:b/>
          <w:sz w:val="50"/>
        </w:rPr>
      </w:pPr>
      <w:r>
        <w:rPr/>
        <ve:AlternateContent>
          <ve:Choice Requires="wps">
            <w:drawing>
              <wp:anchor distT="0" distB="0" distL="0" distR="0" simplePos="0" relativeHeight="475995136" behindDoc="1" locked="0" layoutInCell="1" allowOverlap="1">
                <wp:simplePos x="0" y="0"/>
                <wp:positionH relativeFrom="page">
                  <wp:posOffset>1013568</wp:posOffset>
                </wp:positionH>
                <wp:positionV relativeFrom="paragraph">
                  <wp:posOffset>408541</wp:posOffset>
                </wp:positionV>
                <wp:extent cx="5226685" cy="4540885"/>
                <wp:effectExtent l="0" t="0" r="0" b="0"/>
                <wp:wrapNone/>
                <wp:docPr id="702" name="Group 702"/>
                <wp:cNvGraphicFramePr>
                  <a:graphicFrameLocks/>
                </wp:cNvGraphicFramePr>
                <a:graphic>
                  <a:graphicData uri="http://schemas.microsoft.com/office/word/2010/wordprocessingGroup">
                    <wpg:wgp>
                      <wpg:cNvPr id="702" name="Group 702"/>
                      <wpg:cNvGrpSpPr/>
                      <wpg:grpSpPr>
                        <a:xfrm>
                          <a:off x="0" y="0"/>
                          <a:ext cx="5226685" cy="4540885"/>
                          <a:chExt cx="5226685" cy="4540885"/>
                        </a:xfrm>
                      </wpg:grpSpPr>
                      <pic:pic>
                        <pic:nvPicPr>
                          <pic:cNvPr id="703" name="Image 703"/>
                          <pic:cNvPicPr/>
                        </pic:nvPicPr>
                        <pic:blipFill>
                          <a:blip r:embed="rId283" cstate="print"/>
                          <a:stretch>
                            <a:fillRect/>
                          </a:stretch>
                        </pic:blipFill>
                        <pic:spPr>
                          <a:xfrm>
                            <a:off x="0" y="0"/>
                            <a:ext cx="5226592" cy="4540597"/>
                          </a:xfrm>
                          <a:prstGeom prst="rect">
                            <a:avLst/>
                          </a:prstGeom>
                        </pic:spPr>
                      </pic:pic>
                      <wps:wsp>
                        <wps:cNvPr id="704" name="Graphic 704"/>
                        <wps:cNvSpPr/>
                        <wps:spPr>
                          <a:xfrm>
                            <a:off x="879240" y="1400627"/>
                            <a:ext cx="525145" cy="1270"/>
                          </a:xfrm>
                          <a:custGeom>
                            <a:avLst/>
                            <a:gdLst/>
                            <a:ahLst/>
                            <a:cxnLst/>
                            <a:rect l="l" t="t" r="r" b="b"/>
                            <a:pathLst>
                              <a:path w="525145" h="0">
                                <a:moveTo>
                                  <a:pt x="0" y="0"/>
                                </a:moveTo>
                                <a:lnTo>
                                  <a:pt x="525101" y="0"/>
                                </a:lnTo>
                              </a:path>
                            </a:pathLst>
                          </a:custGeom>
                          <a:ln w="9154">
                            <a:solidFill>
                              <a:srgbClr val="000000"/>
                            </a:solidFill>
                            <a:prstDash val="solid"/>
                          </a:ln>
                        </wps:spPr>
                        <wps:bodyPr wrap="square" lIns="0" tIns="0" rIns="0" bIns="0" rtlCol="0">
                          <a:prstTxWarp prst="textNoShape">
                            <a:avLst/>
                          </a:prstTxWarp>
                          <a:noAutofit/>
                        </wps:bodyPr>
                      </wps:wsp>
                      <wps:wsp>
                        <wps:cNvPr id="705" name="Textbox 705"/>
                        <wps:cNvSpPr txBox="1"/>
                        <wps:spPr>
                          <a:xfrm>
                            <a:off x="0" y="0"/>
                            <a:ext cx="5226685" cy="4540885"/>
                          </a:xfrm>
                          <a:prstGeom prst="rect">
                            <a:avLst/>
                          </a:prstGeom>
                        </wps:spPr>
                        <wps:txbx>
                          <w:txbxContent>
                            <w:p>
                              <w:pPr>
                                <w:spacing w:before="0" w:line="240" w:lineRule="auto"/>
                                <w:rPr>
                                  <w:b/>
                                  <w:sz w:val="26"/>
                                </w:rPr>
                              </w:pPr>
                            </w:p>
                            <w:p>
                              <w:pPr>
                                <w:spacing w:before="0" w:line="240" w:lineRule="auto"/>
                                <w:rPr>
                                  <w:b/>
                                  <w:sz w:val="26"/>
                                </w:rPr>
                              </w:pPr>
                            </w:p>
                            <w:p>
                              <w:pPr>
                                <w:spacing w:before="0" w:line="240" w:lineRule="auto"/>
                                <w:rPr>
                                  <w:b/>
                                  <w:sz w:val="26"/>
                                </w:rPr>
                              </w:pPr>
                            </w:p>
                            <w:p>
                              <w:pPr>
                                <w:spacing w:before="0" w:line="240" w:lineRule="auto"/>
                                <w:rPr>
                                  <w:b/>
                                  <w:sz w:val="26"/>
                                </w:rPr>
                              </w:pPr>
                            </w:p>
                            <w:p>
                              <w:pPr>
                                <w:spacing w:before="0" w:line="240" w:lineRule="auto"/>
                                <w:rPr>
                                  <w:b/>
                                  <w:sz w:val="26"/>
                                </w:rPr>
                              </w:pPr>
                            </w:p>
                            <w:p>
                              <w:pPr>
                                <w:spacing w:before="0" w:line="240" w:lineRule="auto"/>
                                <w:rPr>
                                  <w:b/>
                                  <w:sz w:val="26"/>
                                </w:rPr>
                              </w:pPr>
                            </w:p>
                            <w:p>
                              <w:pPr>
                                <w:spacing w:before="0" w:line="240" w:lineRule="auto"/>
                                <w:rPr>
                                  <w:b/>
                                  <w:sz w:val="26"/>
                                </w:rPr>
                              </w:pPr>
                            </w:p>
                            <w:p>
                              <w:pPr>
                                <w:spacing w:before="84" w:line="240" w:lineRule="auto"/>
                                <w:rPr>
                                  <w:b/>
                                  <w:sz w:val="26"/>
                                </w:rPr>
                              </w:pPr>
                            </w:p>
                            <w:p>
                              <w:pPr>
                                <w:spacing w:before="0" w:line="357" w:lineRule="auto"/>
                                <w:ind w:left="2811" w:right="2795" w:firstLine="261"/>
                                <w:jc w:val="left"/>
                                <w:rPr>
                                  <w:b/>
                                  <w:sz w:val="26"/>
                                </w:rPr>
                              </w:pPr>
                              <w:r>
                                <w:rPr>
                                  <w:b/>
                                  <w:color w:val="2F2F2F"/>
                                  <w:sz w:val="26"/>
                                </w:rPr>
                                <w:t>IN HERTSMERE WE</w:t>
                              </w:r>
                              <w:r>
                                <w:rPr>
                                  <w:b/>
                                  <w:color w:val="2F2F2F"/>
                                  <w:spacing w:val="-15"/>
                                  <w:sz w:val="26"/>
                                </w:rPr>
                                <w:t> </w:t>
                              </w:r>
                              <w:r>
                                <w:rPr>
                                  <w:b/>
                                  <w:color w:val="2F2F2F"/>
                                  <w:sz w:val="26"/>
                                </w:rPr>
                                <w:t>ARE</w:t>
                              </w:r>
                              <w:r>
                                <w:rPr>
                                  <w:b/>
                                  <w:color w:val="2F2F2F"/>
                                  <w:spacing w:val="-7"/>
                                  <w:sz w:val="26"/>
                                </w:rPr>
                                <w:t> </w:t>
                              </w:r>
                              <w:r>
                                <w:rPr>
                                  <w:b/>
                                  <w:color w:val="2F2F2F"/>
                                  <w:sz w:val="26"/>
                                </w:rPr>
                                <w:t>PREPARED</w:t>
                              </w:r>
                            </w:p>
                            <w:p>
                              <w:pPr>
                                <w:spacing w:before="0" w:line="230" w:lineRule="exact"/>
                                <w:ind w:left="2481" w:right="0" w:firstLine="0"/>
                                <w:jc w:val="left"/>
                                <w:rPr>
                                  <w:b/>
                                  <w:sz w:val="26"/>
                                </w:rPr>
                              </w:pPr>
                              <w:r>
                                <w:rPr>
                                  <w:b/>
                                  <w:color w:val="2F2F2F"/>
                                  <w:w w:val="105"/>
                                  <w:sz w:val="26"/>
                                </w:rPr>
                                <w:t>FOR</w:t>
                              </w:r>
                              <w:r>
                                <w:rPr>
                                  <w:b/>
                                  <w:color w:val="2F2F2F"/>
                                  <w:spacing w:val="16"/>
                                  <w:w w:val="105"/>
                                  <w:sz w:val="26"/>
                                </w:rPr>
                                <w:t> </w:t>
                              </w:r>
                              <w:r>
                                <w:rPr>
                                  <w:b/>
                                  <w:color w:val="2F2F2F"/>
                                  <w:w w:val="105"/>
                                  <w:sz w:val="26"/>
                                </w:rPr>
                                <w:t>NOW,</w:t>
                              </w:r>
                              <w:r>
                                <w:rPr>
                                  <w:b/>
                                  <w:color w:val="2F2F2F"/>
                                  <w:spacing w:val="5"/>
                                  <w:w w:val="105"/>
                                  <w:sz w:val="26"/>
                                </w:rPr>
                                <w:t> </w:t>
                              </w:r>
                              <w:r>
                                <w:rPr>
                                  <w:b/>
                                  <w:color w:val="2F2F2F"/>
                                  <w:spacing w:val="-2"/>
                                  <w:w w:val="105"/>
                                  <w:sz w:val="26"/>
                                </w:rPr>
                                <w:t>EMBRACING</w:t>
                              </w:r>
                            </w:p>
                            <w:p>
                              <w:pPr>
                                <w:spacing w:before="71" w:line="300" w:lineRule="auto"/>
                                <w:ind w:left="2777" w:right="2037" w:hanging="276"/>
                                <w:jc w:val="left"/>
                                <w:rPr>
                                  <w:b/>
                                  <w:sz w:val="26"/>
                                </w:rPr>
                              </w:pPr>
                              <w:r>
                                <w:rPr>
                                  <w:b/>
                                  <w:color w:val="2F2F2F"/>
                                  <w:w w:val="105"/>
                                  <w:sz w:val="26"/>
                                </w:rPr>
                                <w:t>CHANGE AND</w:t>
                              </w:r>
                              <w:r>
                                <w:rPr>
                                  <w:b/>
                                  <w:color w:val="2F2F2F"/>
                                  <w:spacing w:val="-3"/>
                                  <w:w w:val="105"/>
                                  <w:sz w:val="26"/>
                                </w:rPr>
                                <w:t> </w:t>
                              </w:r>
                              <w:r>
                                <w:rPr>
                                  <w:b/>
                                  <w:color w:val="2F2F2F"/>
                                  <w:w w:val="105"/>
                                  <w:sz w:val="26"/>
                                </w:rPr>
                                <w:t>SETTING OUR OWN</w:t>
                              </w:r>
                              <w:r>
                                <w:rPr>
                                  <w:b/>
                                  <w:color w:val="2F2F2F"/>
                                  <w:spacing w:val="40"/>
                                  <w:w w:val="105"/>
                                  <w:sz w:val="26"/>
                                </w:rPr>
                                <w:t> </w:t>
                              </w:r>
                              <w:r>
                                <w:rPr>
                                  <w:b/>
                                  <w:color w:val="2F2F2F"/>
                                  <w:w w:val="105"/>
                                  <w:sz w:val="26"/>
                                </w:rPr>
                                <w:t>FUTURE.</w:t>
                              </w:r>
                            </w:p>
                          </w:txbxContent>
                        </wps:txbx>
                        <wps:bodyPr wrap="square" lIns="0" tIns="0" rIns="0" bIns="0" rtlCol="0">
                          <a:noAutofit/>
                        </wps:bodyPr>
                      </wps:wsp>
                    </wpg:wgp>
                  </a:graphicData>
                </a:graphic>
              </wp:anchor>
            </w:drawing>
          </ve:Choice>
          <ve:Fallback>
            <w:pict>
              <v:group id="docshapegroup453" style="position:absolute;margin-left:79.808517pt;margin-top:32.168583pt;width:411.55pt;height:357.55pt;mso-position-horizontal-relative:page;mso-position-vertical-relative:paragraph;z-index:-27321344" coordsize="8231,7151" coordorigin="1596,643">
                <v:shape id="docshape454" style="position:absolute;left:1596;top:643;width:8231;height:7151" stroked="false" type="#_x0000_t75">
                  <v:imagedata o:title="" r:id="rId283"/>
                </v:shape>
                <v:line style="position:absolute" stroked="true" strokecolor="#000000" strokeweight=".720821pt" from="2981,2849" to="3808,2849">
                  <v:stroke dashstyle="solid"/>
                </v:line>
                <v:shape id="docshape455" style="position:absolute;left:1596;top:643;width:8231;height:7151" filled="false" stroked="false" type="#_x0000_t202">
                  <v:textbox inset="0,0,0,0">
                    <w:txbxContent>
                      <w:p>
                        <w:pPr>
                          <w:spacing w:before="0" w:line="240" w:lineRule="auto"/>
                          <w:rPr>
                            <w:b/>
                            <w:sz w:val="26"/>
                          </w:rPr>
                        </w:pPr>
                      </w:p>
                      <w:p>
                        <w:pPr>
                          <w:spacing w:before="0" w:line="240" w:lineRule="auto"/>
                          <w:rPr>
                            <w:b/>
                            <w:sz w:val="26"/>
                          </w:rPr>
                        </w:pPr>
                      </w:p>
                      <w:p>
                        <w:pPr>
                          <w:spacing w:before="0" w:line="240" w:lineRule="auto"/>
                          <w:rPr>
                            <w:b/>
                            <w:sz w:val="26"/>
                          </w:rPr>
                        </w:pPr>
                      </w:p>
                      <w:p>
                        <w:pPr>
                          <w:spacing w:before="0" w:line="240" w:lineRule="auto"/>
                          <w:rPr>
                            <w:b/>
                            <w:sz w:val="26"/>
                          </w:rPr>
                        </w:pPr>
                      </w:p>
                      <w:p>
                        <w:pPr>
                          <w:spacing w:before="0" w:line="240" w:lineRule="auto"/>
                          <w:rPr>
                            <w:b/>
                            <w:sz w:val="26"/>
                          </w:rPr>
                        </w:pPr>
                      </w:p>
                      <w:p>
                        <w:pPr>
                          <w:spacing w:before="0" w:line="240" w:lineRule="auto"/>
                          <w:rPr>
                            <w:b/>
                            <w:sz w:val="26"/>
                          </w:rPr>
                        </w:pPr>
                      </w:p>
                      <w:p>
                        <w:pPr>
                          <w:spacing w:before="0" w:line="240" w:lineRule="auto"/>
                          <w:rPr>
                            <w:b/>
                            <w:sz w:val="26"/>
                          </w:rPr>
                        </w:pPr>
                      </w:p>
                      <w:p>
                        <w:pPr>
                          <w:spacing w:before="84" w:line="240" w:lineRule="auto"/>
                          <w:rPr>
                            <w:b/>
                            <w:sz w:val="26"/>
                          </w:rPr>
                        </w:pPr>
                      </w:p>
                      <w:p>
                        <w:pPr>
                          <w:spacing w:before="0" w:line="357" w:lineRule="auto"/>
                          <w:ind w:left="2811" w:right="2795" w:firstLine="261"/>
                          <w:jc w:val="left"/>
                          <w:rPr>
                            <w:b/>
                            <w:sz w:val="26"/>
                          </w:rPr>
                        </w:pPr>
                        <w:r>
                          <w:rPr>
                            <w:b/>
                            <w:color w:val="2F2F2F"/>
                            <w:sz w:val="26"/>
                          </w:rPr>
                          <w:t>IN HERTSMERE WE</w:t>
                        </w:r>
                        <w:r>
                          <w:rPr>
                            <w:b/>
                            <w:color w:val="2F2F2F"/>
                            <w:spacing w:val="-15"/>
                            <w:sz w:val="26"/>
                          </w:rPr>
                          <w:t> </w:t>
                        </w:r>
                        <w:r>
                          <w:rPr>
                            <w:b/>
                            <w:color w:val="2F2F2F"/>
                            <w:sz w:val="26"/>
                          </w:rPr>
                          <w:t>ARE</w:t>
                        </w:r>
                        <w:r>
                          <w:rPr>
                            <w:b/>
                            <w:color w:val="2F2F2F"/>
                            <w:spacing w:val="-7"/>
                            <w:sz w:val="26"/>
                          </w:rPr>
                          <w:t> </w:t>
                        </w:r>
                        <w:r>
                          <w:rPr>
                            <w:b/>
                            <w:color w:val="2F2F2F"/>
                            <w:sz w:val="26"/>
                          </w:rPr>
                          <w:t>PREPARED</w:t>
                        </w:r>
                      </w:p>
                      <w:p>
                        <w:pPr>
                          <w:spacing w:before="0" w:line="230" w:lineRule="exact"/>
                          <w:ind w:left="2481" w:right="0" w:firstLine="0"/>
                          <w:jc w:val="left"/>
                          <w:rPr>
                            <w:b/>
                            <w:sz w:val="26"/>
                          </w:rPr>
                        </w:pPr>
                        <w:r>
                          <w:rPr>
                            <w:b/>
                            <w:color w:val="2F2F2F"/>
                            <w:w w:val="105"/>
                            <w:sz w:val="26"/>
                          </w:rPr>
                          <w:t>FOR</w:t>
                        </w:r>
                        <w:r>
                          <w:rPr>
                            <w:b/>
                            <w:color w:val="2F2F2F"/>
                            <w:spacing w:val="16"/>
                            <w:w w:val="105"/>
                            <w:sz w:val="26"/>
                          </w:rPr>
                          <w:t> </w:t>
                        </w:r>
                        <w:r>
                          <w:rPr>
                            <w:b/>
                            <w:color w:val="2F2F2F"/>
                            <w:w w:val="105"/>
                            <w:sz w:val="26"/>
                          </w:rPr>
                          <w:t>NOW,</w:t>
                        </w:r>
                        <w:r>
                          <w:rPr>
                            <w:b/>
                            <w:color w:val="2F2F2F"/>
                            <w:spacing w:val="5"/>
                            <w:w w:val="105"/>
                            <w:sz w:val="26"/>
                          </w:rPr>
                          <w:t> </w:t>
                        </w:r>
                        <w:r>
                          <w:rPr>
                            <w:b/>
                            <w:color w:val="2F2F2F"/>
                            <w:spacing w:val="-2"/>
                            <w:w w:val="105"/>
                            <w:sz w:val="26"/>
                          </w:rPr>
                          <w:t>EMBRACING</w:t>
                        </w:r>
                      </w:p>
                      <w:p>
                        <w:pPr>
                          <w:spacing w:before="71" w:line="300" w:lineRule="auto"/>
                          <w:ind w:left="2777" w:right="2037" w:hanging="276"/>
                          <w:jc w:val="left"/>
                          <w:rPr>
                            <w:b/>
                            <w:sz w:val="26"/>
                          </w:rPr>
                        </w:pPr>
                        <w:r>
                          <w:rPr>
                            <w:b/>
                            <w:color w:val="2F2F2F"/>
                            <w:w w:val="105"/>
                            <w:sz w:val="26"/>
                          </w:rPr>
                          <w:t>CHANGE AND</w:t>
                        </w:r>
                        <w:r>
                          <w:rPr>
                            <w:b/>
                            <w:color w:val="2F2F2F"/>
                            <w:spacing w:val="-3"/>
                            <w:w w:val="105"/>
                            <w:sz w:val="26"/>
                          </w:rPr>
                          <w:t> </w:t>
                        </w:r>
                        <w:r>
                          <w:rPr>
                            <w:b/>
                            <w:color w:val="2F2F2F"/>
                            <w:w w:val="105"/>
                            <w:sz w:val="26"/>
                          </w:rPr>
                          <w:t>SETTING OUR OWN</w:t>
                        </w:r>
                        <w:r>
                          <w:rPr>
                            <w:b/>
                            <w:color w:val="2F2F2F"/>
                            <w:spacing w:val="40"/>
                            <w:w w:val="105"/>
                            <w:sz w:val="26"/>
                          </w:rPr>
                          <w:t> </w:t>
                        </w:r>
                        <w:r>
                          <w:rPr>
                            <w:b/>
                            <w:color w:val="2F2F2F"/>
                            <w:w w:val="105"/>
                            <w:sz w:val="26"/>
                          </w:rPr>
                          <w:t>FUTURE.</w:t>
                        </w:r>
                      </w:p>
                    </w:txbxContent>
                  </v:textbox>
                  <w10:wrap type="none"/>
                </v:shape>
                <w10:wrap type="none"/>
              </v:group>
            </w:pict>
          </ve:Fallback>
        </ve:AlternateContent>
      </w:r>
      <w:r>
        <w:rPr>
          <w:rFonts w:ascii="Times New Roman"/>
          <w:b/>
          <w:color w:val="2F2F2F"/>
          <w:spacing w:val="-5"/>
          <w:w w:val="80"/>
          <w:sz w:val="39"/>
        </w:rPr>
        <w:t>111</w:t>
      </w:r>
      <w:r>
        <w:rPr>
          <w:rFonts w:ascii="Times New Roman"/>
          <w:b/>
          <w:color w:val="2F2F2F"/>
          <w:sz w:val="39"/>
        </w:rPr>
        <w:tab/>
      </w:r>
      <w:r>
        <w:rPr>
          <w:b/>
          <w:color w:val="2F2F2F"/>
          <w:w w:val="90"/>
          <w:sz w:val="50"/>
        </w:rPr>
        <w:t>m</w:t>
      </w:r>
      <w:r>
        <w:rPr>
          <w:b/>
          <w:color w:val="2F2F2F"/>
          <w:spacing w:val="14"/>
          <w:sz w:val="50"/>
        </w:rPr>
        <w:t> </w:t>
      </w:r>
      <w:r>
        <w:rPr>
          <w:b/>
          <w:color w:val="2F2F2F"/>
          <w:spacing w:val="-10"/>
          <w:w w:val="95"/>
          <w:sz w:val="50"/>
        </w:rPr>
        <w:t>m</w:t>
      </w:r>
      <w:r>
        <w:rPr>
          <w:b/>
          <w:color w:val="2F2F2F"/>
          <w:sz w:val="50"/>
        </w:rPr>
        <w:tab/>
      </w:r>
      <w:r>
        <w:rPr>
          <w:rFonts w:ascii="Times New Roman"/>
          <w:b/>
          <w:color w:val="2F2F2F"/>
          <w:spacing w:val="-5"/>
          <w:w w:val="90"/>
          <w:sz w:val="39"/>
        </w:rPr>
        <w:t>II</w:t>
      </w:r>
      <w:r>
        <w:rPr>
          <w:rFonts w:ascii="Times New Roman"/>
          <w:b/>
          <w:color w:val="2F2F2F"/>
          <w:sz w:val="39"/>
        </w:rPr>
        <w:tab/>
      </w:r>
      <w:r>
        <w:rPr>
          <w:b/>
          <w:color w:val="2F2F2F"/>
          <w:spacing w:val="-10"/>
          <w:w w:val="95"/>
          <w:sz w:val="50"/>
        </w:rPr>
        <w:t>m</w:t>
      </w:r>
    </w:p>
    <w:p>
      <w:pPr>
        <w:spacing w:after="0"/>
        <w:jc w:val="left"/>
        <w:rPr>
          <w:sz w:val="50"/>
        </w:rPr>
        <w:sectPr>
          <w:headerReference w:type="default" r:id="rId280"/>
          <w:footerReference w:type="default" r:id="rId281"/>
          <w:footerReference w:type="even" r:id="rId282"/>
          <w:pgSz w:w="11910" w:h="16830"/>
          <w:pgMar w:top="980" w:right="540" w:bottom="1020" w:left="440" w:header="0" w:footer="834"/>
          <w:pgNumType w:start="129"/>
        </w:sectPr>
      </w:pPr>
    </w:p>
    <w:p>
      <w:pPr>
        <w:pStyle w:val="BodyText"/>
        <w:spacing w:line="134" w:lineRule="exact"/>
        <w:ind w:left="1608"/>
        <w:rPr>
          <w:sz w:val="13"/>
        </w:rPr>
      </w:pPr>
      <w:r>
        <w:rPr>
          <w:position w:val="-2"/>
          <w:sz w:val="13"/>
        </w:rPr>
        <w:drawing>
          <wp:inline distT="0" distB="0" distL="0" distR="0">
            <wp:extent cx="1829662" cy="85344"/>
            <wp:effectExtent l="0" t="0" r="0" b="0"/>
            <wp:docPr id="706" name="Image 706"/>
            <wp:cNvGraphicFramePr>
              <a:graphicFrameLocks/>
            </wp:cNvGraphicFramePr>
            <a:graphic>
              <a:graphicData uri="http://schemas.openxmlformats.org/drawingml/2006/picture">
                <pic:pic>
                  <pic:nvPicPr>
                    <pic:cNvPr id="706" name="Image 706"/>
                    <pic:cNvPicPr/>
                  </pic:nvPicPr>
                  <pic:blipFill>
                    <a:blip r:embed="rId285" cstate="print"/>
                    <a:stretch>
                      <a:fillRect/>
                    </a:stretch>
                  </pic:blipFill>
                  <pic:spPr>
                    <a:xfrm>
                      <a:off x="0" y="0"/>
                      <a:ext cx="1829662" cy="85344"/>
                    </a:xfrm>
                    <a:prstGeom prst="rect">
                      <a:avLst/>
                    </a:prstGeom>
                  </pic:spPr>
                </pic:pic>
              </a:graphicData>
            </a:graphic>
          </wp:inline>
        </w:drawing>
      </w:r>
      <w:r>
        <w:rPr>
          <w:position w:val="-2"/>
          <w:sz w:val="13"/>
        </w:rPr>
      </w:r>
    </w:p>
    <w:p>
      <w:pPr>
        <w:pStyle w:val="BodyText"/>
        <w:spacing w:before="7"/>
        <w:rPr>
          <w:b/>
          <w:sz w:val="17"/>
        </w:rPr>
      </w:pPr>
    </w:p>
    <w:p>
      <w:pPr>
        <w:spacing w:after="0"/>
        <w:rPr>
          <w:sz w:val="17"/>
        </w:rPr>
        <w:sectPr>
          <w:headerReference w:type="even" r:id="rId284"/>
          <w:pgSz w:w="11910" w:h="16830"/>
          <w:pgMar w:top="880" w:right="540" w:bottom="1220" w:left="440" w:header="0" w:footer="0"/>
        </w:sectPr>
      </w:pPr>
    </w:p>
    <w:p>
      <w:pPr>
        <w:pStyle w:val="BodyText"/>
        <w:rPr>
          <w:b/>
          <w:sz w:val="61"/>
        </w:rPr>
      </w:pPr>
    </w:p>
    <w:p>
      <w:pPr>
        <w:pStyle w:val="BodyText"/>
        <w:rPr>
          <w:b/>
          <w:sz w:val="61"/>
        </w:rPr>
      </w:pPr>
    </w:p>
    <w:p>
      <w:pPr>
        <w:pStyle w:val="BodyText"/>
        <w:rPr>
          <w:b/>
          <w:sz w:val="61"/>
        </w:rPr>
      </w:pPr>
    </w:p>
    <w:p>
      <w:pPr>
        <w:pStyle w:val="BodyText"/>
        <w:rPr>
          <w:b/>
          <w:sz w:val="61"/>
        </w:rPr>
      </w:pPr>
    </w:p>
    <w:p>
      <w:pPr>
        <w:pStyle w:val="BodyText"/>
        <w:spacing w:before="168"/>
        <w:rPr>
          <w:b/>
          <w:sz w:val="61"/>
        </w:rPr>
      </w:pPr>
    </w:p>
    <w:p>
      <w:pPr>
        <w:spacing w:before="1"/>
        <w:ind w:left="1113" w:right="0" w:firstLine="0"/>
        <w:jc w:val="left"/>
        <w:rPr>
          <w:b/>
          <w:sz w:val="61"/>
        </w:rPr>
      </w:pPr>
      <w:r>
        <w:rPr/>
        <ve:AlternateContent>
          <ve:Choice Requires="wps">
            <w:drawing>
              <wp:anchor distT="0" distB="0" distL="0" distR="0" simplePos="0" relativeHeight="15888896" behindDoc="0" locked="0" layoutInCell="1" allowOverlap="1">
                <wp:simplePos x="0" y="0"/>
                <wp:positionH relativeFrom="page">
                  <wp:posOffset>1318236</wp:posOffset>
                </wp:positionH>
                <wp:positionV relativeFrom="paragraph">
                  <wp:posOffset>211838</wp:posOffset>
                </wp:positionV>
                <wp:extent cx="2467610" cy="200025"/>
                <wp:effectExtent l="0" t="0" r="0" b="0"/>
                <wp:wrapNone/>
                <wp:docPr id="707" name="Textbox 707"/>
                <wp:cNvGraphicFramePr>
                  <a:graphicFrameLocks/>
                </wp:cNvGraphicFramePr>
                <a:graphic>
                  <a:graphicData uri="http://schemas.microsoft.com/office/word/2010/wordprocessingShape">
                    <wps:wsp>
                      <wps:cNvPr id="707" name="Textbox 707"/>
                      <wps:cNvSpPr txBox="1"/>
                      <wps:spPr>
                        <a:xfrm>
                          <a:off x="0" y="0"/>
                          <a:ext cx="2467610" cy="200025"/>
                        </a:xfrm>
                        <a:prstGeom prst="rect">
                          <a:avLst/>
                        </a:prstGeom>
                        <a:solidFill>
                          <a:srgbClr val="343434"/>
                        </a:solidFill>
                      </wps:spPr>
                      <wps:txbx>
                        <w:txbxContent>
                          <w:p>
                            <w:pPr>
                              <w:spacing w:before="23"/>
                              <w:ind w:left="-1" w:right="-29" w:firstLine="0"/>
                              <w:jc w:val="left"/>
                              <w:rPr>
                                <w:color w:val="000000"/>
                                <w:sz w:val="23"/>
                              </w:rPr>
                            </w:pPr>
                            <w:r>
                              <w:rPr>
                                <w:color w:val="FDFDFD"/>
                                <w:w w:val="110"/>
                                <w:sz w:val="23"/>
                              </w:rPr>
                              <w:t>Secure</w:t>
                            </w:r>
                            <w:r>
                              <w:rPr>
                                <w:color w:val="FDFDFD"/>
                                <w:spacing w:val="1"/>
                                <w:w w:val="110"/>
                                <w:sz w:val="23"/>
                              </w:rPr>
                              <w:t> </w:t>
                            </w:r>
                            <w:r>
                              <w:rPr>
                                <w:color w:val="FDFDFD"/>
                                <w:w w:val="110"/>
                                <w:sz w:val="23"/>
                              </w:rPr>
                              <w:t>the</w:t>
                            </w:r>
                            <w:r>
                              <w:rPr>
                                <w:color w:val="FDFDFD"/>
                                <w:spacing w:val="10"/>
                                <w:w w:val="110"/>
                                <w:sz w:val="23"/>
                              </w:rPr>
                              <w:t> </w:t>
                            </w:r>
                            <w:r>
                              <w:rPr>
                                <w:color w:val="FDFDFD"/>
                                <w:w w:val="110"/>
                                <w:sz w:val="23"/>
                              </w:rPr>
                              <w:t>right</w:t>
                            </w:r>
                            <w:r>
                              <w:rPr>
                                <w:color w:val="FDFDFD"/>
                                <w:spacing w:val="7"/>
                                <w:w w:val="110"/>
                                <w:sz w:val="23"/>
                              </w:rPr>
                              <w:t> </w:t>
                            </w:r>
                            <w:r>
                              <w:rPr>
                                <w:color w:val="FDFDFD"/>
                                <w:w w:val="110"/>
                                <w:sz w:val="23"/>
                              </w:rPr>
                              <w:t>growth</w:t>
                            </w:r>
                            <w:r>
                              <w:rPr>
                                <w:color w:val="FDFDFD"/>
                                <w:spacing w:val="-4"/>
                                <w:w w:val="110"/>
                                <w:sz w:val="23"/>
                              </w:rPr>
                              <w:t> </w:t>
                            </w:r>
                            <w:r>
                              <w:rPr>
                                <w:color w:val="FDFDFD"/>
                                <w:w w:val="110"/>
                                <w:sz w:val="23"/>
                              </w:rPr>
                              <w:t>in</w:t>
                            </w:r>
                            <w:r>
                              <w:rPr>
                                <w:color w:val="FDFDFD"/>
                                <w:spacing w:val="-2"/>
                                <w:w w:val="110"/>
                                <w:sz w:val="23"/>
                              </w:rPr>
                              <w:t> </w:t>
                            </w:r>
                            <w:r>
                              <w:rPr>
                                <w:color w:val="FDFDFD"/>
                                <w:w w:val="110"/>
                                <w:sz w:val="23"/>
                              </w:rPr>
                              <w:t>the</w:t>
                            </w:r>
                            <w:r>
                              <w:rPr>
                                <w:color w:val="FDFDFD"/>
                                <w:spacing w:val="-9"/>
                                <w:w w:val="110"/>
                                <w:sz w:val="23"/>
                              </w:rPr>
                              <w:t> </w:t>
                            </w:r>
                            <w:r>
                              <w:rPr>
                                <w:color w:val="FDFDFD"/>
                                <w:spacing w:val="-4"/>
                                <w:w w:val="110"/>
                                <w:sz w:val="23"/>
                              </w:rPr>
                              <w:t>right</w:t>
                            </w:r>
                          </w:p>
                        </w:txbxContent>
                      </wps:txbx>
                      <wps:bodyPr wrap="square" lIns="0" tIns="0" rIns="0" bIns="0" rtlCol="0">
                        <a:noAutofit/>
                      </wps:bodyPr>
                    </wps:wsp>
                  </a:graphicData>
                </a:graphic>
              </wp:anchor>
            </w:drawing>
          </ve:Choice>
          <ve:Fallback>
            <w:pict>
              <v:shape id="docshape456" style="position:absolute;margin-left:103.798157pt;margin-top:16.680216pt;width:194.3pt;height:15.75pt;mso-position-horizontal-relative:page;mso-position-vertical-relative:paragraph;z-index:15888896" filled="true" fillcolor="#343434" stroked="false" type="#_x0000_t202">
                <v:textbox inset="0,0,0,0">
                  <w:txbxContent>
                    <w:p>
                      <w:pPr>
                        <w:spacing w:before="23"/>
                        <w:ind w:left="-1" w:right="-29" w:firstLine="0"/>
                        <w:jc w:val="left"/>
                        <w:rPr>
                          <w:color w:val="000000"/>
                          <w:sz w:val="23"/>
                        </w:rPr>
                      </w:pPr>
                      <w:r>
                        <w:rPr>
                          <w:color w:val="FDFDFD"/>
                          <w:w w:val="110"/>
                          <w:sz w:val="23"/>
                        </w:rPr>
                        <w:t>Secure</w:t>
                      </w:r>
                      <w:r>
                        <w:rPr>
                          <w:color w:val="FDFDFD"/>
                          <w:spacing w:val="1"/>
                          <w:w w:val="110"/>
                          <w:sz w:val="23"/>
                        </w:rPr>
                        <w:t> </w:t>
                      </w:r>
                      <w:r>
                        <w:rPr>
                          <w:color w:val="FDFDFD"/>
                          <w:w w:val="110"/>
                          <w:sz w:val="23"/>
                        </w:rPr>
                        <w:t>the</w:t>
                      </w:r>
                      <w:r>
                        <w:rPr>
                          <w:color w:val="FDFDFD"/>
                          <w:spacing w:val="10"/>
                          <w:w w:val="110"/>
                          <w:sz w:val="23"/>
                        </w:rPr>
                        <w:t> </w:t>
                      </w:r>
                      <w:r>
                        <w:rPr>
                          <w:color w:val="FDFDFD"/>
                          <w:w w:val="110"/>
                          <w:sz w:val="23"/>
                        </w:rPr>
                        <w:t>right</w:t>
                      </w:r>
                      <w:r>
                        <w:rPr>
                          <w:color w:val="FDFDFD"/>
                          <w:spacing w:val="7"/>
                          <w:w w:val="110"/>
                          <w:sz w:val="23"/>
                        </w:rPr>
                        <w:t> </w:t>
                      </w:r>
                      <w:r>
                        <w:rPr>
                          <w:color w:val="FDFDFD"/>
                          <w:w w:val="110"/>
                          <w:sz w:val="23"/>
                        </w:rPr>
                        <w:t>growth</w:t>
                      </w:r>
                      <w:r>
                        <w:rPr>
                          <w:color w:val="FDFDFD"/>
                          <w:spacing w:val="-4"/>
                          <w:w w:val="110"/>
                          <w:sz w:val="23"/>
                        </w:rPr>
                        <w:t> </w:t>
                      </w:r>
                      <w:r>
                        <w:rPr>
                          <w:color w:val="FDFDFD"/>
                          <w:w w:val="110"/>
                          <w:sz w:val="23"/>
                        </w:rPr>
                        <w:t>in</w:t>
                      </w:r>
                      <w:r>
                        <w:rPr>
                          <w:color w:val="FDFDFD"/>
                          <w:spacing w:val="-2"/>
                          <w:w w:val="110"/>
                          <w:sz w:val="23"/>
                        </w:rPr>
                        <w:t> </w:t>
                      </w:r>
                      <w:r>
                        <w:rPr>
                          <w:color w:val="FDFDFD"/>
                          <w:w w:val="110"/>
                          <w:sz w:val="23"/>
                        </w:rPr>
                        <w:t>the</w:t>
                      </w:r>
                      <w:r>
                        <w:rPr>
                          <w:color w:val="FDFDFD"/>
                          <w:spacing w:val="-9"/>
                          <w:w w:val="110"/>
                          <w:sz w:val="23"/>
                        </w:rPr>
                        <w:t> </w:t>
                      </w:r>
                      <w:r>
                        <w:rPr>
                          <w:color w:val="FDFDFD"/>
                          <w:spacing w:val="-4"/>
                          <w:w w:val="110"/>
                          <w:sz w:val="23"/>
                        </w:rPr>
                        <w:t>right</w:t>
                      </w:r>
                    </w:p>
                  </w:txbxContent>
                </v:textbox>
                <v:fill type="solid"/>
                <w10:wrap type="none"/>
              </v:shape>
            </w:pict>
          </ve:Fallback>
        </ve:AlternateContent>
      </w:r>
      <w:r>
        <w:rPr>
          <w:b/>
          <w:color w:val="EDEDED"/>
          <w:spacing w:val="-10"/>
          <w:w w:val="70"/>
          <w:sz w:val="61"/>
          <w:shd w:val="clear" w:color="auto" w:fill="343434"/>
        </w:rPr>
        <w:t>m</w:t>
      </w:r>
    </w:p>
    <w:p>
      <w:pPr>
        <w:pStyle w:val="Heading1"/>
        <w:spacing w:before="231"/>
        <w:ind w:left="1109"/>
      </w:pPr>
      <w:r>
        <w:rPr/>
        <ve:AlternateContent>
          <ve:Choice Requires="wps">
            <w:drawing>
              <wp:anchor distT="0" distB="0" distL="0" distR="0" simplePos="0" relativeHeight="15888384" behindDoc="0" locked="0" layoutInCell="1" allowOverlap="1">
                <wp:simplePos x="0" y="0"/>
                <wp:positionH relativeFrom="page">
                  <wp:posOffset>1313701</wp:posOffset>
                </wp:positionH>
                <wp:positionV relativeFrom="paragraph">
                  <wp:posOffset>257076</wp:posOffset>
                </wp:positionV>
                <wp:extent cx="2259330" cy="200025"/>
                <wp:effectExtent l="0" t="0" r="0" b="0"/>
                <wp:wrapNone/>
                <wp:docPr id="708" name="Textbox 708"/>
                <wp:cNvGraphicFramePr>
                  <a:graphicFrameLocks/>
                </wp:cNvGraphicFramePr>
                <a:graphic>
                  <a:graphicData uri="http://schemas.microsoft.com/office/word/2010/wordprocessingShape">
                    <wps:wsp>
                      <wps:cNvPr id="708" name="Textbox 708"/>
                      <wps:cNvSpPr txBox="1"/>
                      <wps:spPr>
                        <a:xfrm>
                          <a:off x="0" y="0"/>
                          <a:ext cx="2259330" cy="200025"/>
                        </a:xfrm>
                        <a:prstGeom prst="rect">
                          <a:avLst/>
                        </a:prstGeom>
                        <a:solidFill>
                          <a:srgbClr val="343434"/>
                        </a:solidFill>
                      </wps:spPr>
                      <wps:txbx>
                        <w:txbxContent>
                          <w:p>
                            <w:pPr>
                              <w:spacing w:before="23"/>
                              <w:ind w:left="0" w:right="-15" w:firstLine="0"/>
                              <w:jc w:val="left"/>
                              <w:rPr>
                                <w:color w:val="000000"/>
                                <w:sz w:val="23"/>
                              </w:rPr>
                            </w:pPr>
                            <w:r>
                              <w:rPr>
                                <w:color w:val="FDFDFD"/>
                                <w:spacing w:val="-2"/>
                                <w:w w:val="110"/>
                                <w:sz w:val="23"/>
                              </w:rPr>
                              <w:t>Promote</w:t>
                            </w:r>
                            <w:r>
                              <w:rPr>
                                <w:color w:val="FDFDFD"/>
                                <w:spacing w:val="-6"/>
                                <w:w w:val="110"/>
                                <w:sz w:val="23"/>
                              </w:rPr>
                              <w:t> </w:t>
                            </w:r>
                            <w:r>
                              <w:rPr>
                                <w:color w:val="FDFDFD"/>
                                <w:spacing w:val="-2"/>
                                <w:w w:val="110"/>
                                <w:sz w:val="23"/>
                              </w:rPr>
                              <w:t>mixed</w:t>
                            </w:r>
                            <w:r>
                              <w:rPr>
                                <w:color w:val="FDFDFD"/>
                                <w:spacing w:val="-10"/>
                                <w:w w:val="110"/>
                                <w:sz w:val="23"/>
                              </w:rPr>
                              <w:t> </w:t>
                            </w:r>
                            <w:r>
                              <w:rPr>
                                <w:color w:val="FDFDFD"/>
                                <w:spacing w:val="-2"/>
                                <w:w w:val="110"/>
                                <w:sz w:val="23"/>
                              </w:rPr>
                              <w:t>use</w:t>
                            </w:r>
                            <w:r>
                              <w:rPr>
                                <w:color w:val="FDFDFD"/>
                                <w:spacing w:val="-11"/>
                                <w:w w:val="110"/>
                                <w:sz w:val="23"/>
                              </w:rPr>
                              <w:t> </w:t>
                            </w:r>
                            <w:r>
                              <w:rPr>
                                <w:color w:val="FDFDFD"/>
                                <w:spacing w:val="-2"/>
                                <w:w w:val="110"/>
                                <w:sz w:val="23"/>
                              </w:rPr>
                              <w:t>and</w:t>
                            </w:r>
                            <w:r>
                              <w:rPr>
                                <w:color w:val="FDFDFD"/>
                                <w:spacing w:val="-11"/>
                                <w:w w:val="110"/>
                                <w:sz w:val="23"/>
                              </w:rPr>
                              <w:t> </w:t>
                            </w:r>
                            <w:r>
                              <w:rPr>
                                <w:color w:val="FDFDFD"/>
                                <w:spacing w:val="-2"/>
                                <w:w w:val="110"/>
                                <w:sz w:val="23"/>
                              </w:rPr>
                              <w:t>efficient</w:t>
                            </w:r>
                          </w:p>
                        </w:txbxContent>
                      </wps:txbx>
                      <wps:bodyPr wrap="square" lIns="0" tIns="0" rIns="0" bIns="0" rtlCol="0">
                        <a:noAutofit/>
                      </wps:bodyPr>
                    </wps:wsp>
                  </a:graphicData>
                </a:graphic>
              </wp:anchor>
            </w:drawing>
          </ve:Choice>
          <ve:Fallback>
            <w:pict>
              <v:shape id="docshape457" style="position:absolute;margin-left:103.441086pt;margin-top:20.242281pt;width:177.9pt;height:15.75pt;mso-position-horizontal-relative:page;mso-position-vertical-relative:paragraph;z-index:15888384" filled="true" fillcolor="#343434" stroked="false" type="#_x0000_t202">
                <v:textbox inset="0,0,0,0">
                  <w:txbxContent>
                    <w:p>
                      <w:pPr>
                        <w:spacing w:before="23"/>
                        <w:ind w:left="0" w:right="-15" w:firstLine="0"/>
                        <w:jc w:val="left"/>
                        <w:rPr>
                          <w:color w:val="000000"/>
                          <w:sz w:val="23"/>
                        </w:rPr>
                      </w:pPr>
                      <w:r>
                        <w:rPr>
                          <w:color w:val="FDFDFD"/>
                          <w:spacing w:val="-2"/>
                          <w:w w:val="110"/>
                          <w:sz w:val="23"/>
                        </w:rPr>
                        <w:t>Promote</w:t>
                      </w:r>
                      <w:r>
                        <w:rPr>
                          <w:color w:val="FDFDFD"/>
                          <w:spacing w:val="-6"/>
                          <w:w w:val="110"/>
                          <w:sz w:val="23"/>
                        </w:rPr>
                        <w:t> </w:t>
                      </w:r>
                      <w:r>
                        <w:rPr>
                          <w:color w:val="FDFDFD"/>
                          <w:spacing w:val="-2"/>
                          <w:w w:val="110"/>
                          <w:sz w:val="23"/>
                        </w:rPr>
                        <w:t>mixed</w:t>
                      </w:r>
                      <w:r>
                        <w:rPr>
                          <w:color w:val="FDFDFD"/>
                          <w:spacing w:val="-10"/>
                          <w:w w:val="110"/>
                          <w:sz w:val="23"/>
                        </w:rPr>
                        <w:t> </w:t>
                      </w:r>
                      <w:r>
                        <w:rPr>
                          <w:color w:val="FDFDFD"/>
                          <w:spacing w:val="-2"/>
                          <w:w w:val="110"/>
                          <w:sz w:val="23"/>
                        </w:rPr>
                        <w:t>use</w:t>
                      </w:r>
                      <w:r>
                        <w:rPr>
                          <w:color w:val="FDFDFD"/>
                          <w:spacing w:val="-11"/>
                          <w:w w:val="110"/>
                          <w:sz w:val="23"/>
                        </w:rPr>
                        <w:t> </w:t>
                      </w:r>
                      <w:r>
                        <w:rPr>
                          <w:color w:val="FDFDFD"/>
                          <w:spacing w:val="-2"/>
                          <w:w w:val="110"/>
                          <w:sz w:val="23"/>
                        </w:rPr>
                        <w:t>and</w:t>
                      </w:r>
                      <w:r>
                        <w:rPr>
                          <w:color w:val="FDFDFD"/>
                          <w:spacing w:val="-11"/>
                          <w:w w:val="110"/>
                          <w:sz w:val="23"/>
                        </w:rPr>
                        <w:t> </w:t>
                      </w:r>
                      <w:r>
                        <w:rPr>
                          <w:color w:val="FDFDFD"/>
                          <w:spacing w:val="-2"/>
                          <w:w w:val="110"/>
                          <w:sz w:val="23"/>
                        </w:rPr>
                        <w:t>efficient</w:t>
                      </w:r>
                    </w:p>
                  </w:txbxContent>
                </v:textbox>
                <v:fill type="solid"/>
                <w10:wrap type="none"/>
              </v:shape>
            </w:pict>
          </ve:Fallback>
        </ve:AlternateContent>
      </w:r>
      <w:r>
        <w:rPr>
          <w:color w:val="EDEDED"/>
          <w:spacing w:val="-5"/>
          <w:w w:val="55"/>
          <w:shd w:val="clear" w:color="auto" w:fill="343434"/>
        </w:rPr>
        <w:t>E!J</w:t>
      </w:r>
    </w:p>
    <w:p>
      <w:pPr>
        <w:spacing w:before="0" w:line="240" w:lineRule="auto"/>
        <w:rPr>
          <w:b/>
          <w:sz w:val="23"/>
        </w:rPr>
      </w:pPr>
      <w:r>
        <w:rPr/>
        <w:br w:type="column"/>
      </w:r>
      <w:r>
        <w:rPr>
          <w:b/>
          <w:sz w:val="23"/>
        </w:rPr>
      </w: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spacing w:before="83"/>
        <w:rPr>
          <w:b/>
          <w:sz w:val="23"/>
        </w:rPr>
      </w:pPr>
    </w:p>
    <w:p>
      <w:pPr>
        <w:spacing w:before="0" w:line="780" w:lineRule="atLeast"/>
        <w:ind w:left="84" w:right="1492" w:firstLine="11"/>
        <w:jc w:val="left"/>
        <w:rPr>
          <w:sz w:val="23"/>
        </w:rPr>
      </w:pPr>
      <w:r>
        <w:rPr>
          <w:color w:val="FDFDFD"/>
          <w:spacing w:val="-2"/>
          <w:w w:val="105"/>
          <w:sz w:val="23"/>
          <w:shd w:val="clear" w:color="auto" w:fill="343434"/>
        </w:rPr>
        <w:t>place</w:t>
      </w:r>
      <w:r>
        <w:rPr>
          <w:color w:val="FDFDFD"/>
          <w:spacing w:val="-2"/>
          <w:w w:val="105"/>
          <w:sz w:val="23"/>
        </w:rPr>
        <w:t> </w:t>
      </w:r>
      <w:r>
        <w:rPr>
          <w:color w:val="FDFDFD"/>
          <w:spacing w:val="-2"/>
          <w:w w:val="105"/>
          <w:sz w:val="23"/>
          <w:shd w:val="clear" w:color="auto" w:fill="343434"/>
        </w:rPr>
        <w:t>development</w:t>
      </w:r>
    </w:p>
    <w:p>
      <w:pPr>
        <w:spacing w:before="81"/>
        <w:ind w:left="1292" w:right="0" w:firstLine="0"/>
        <w:jc w:val="left"/>
        <w:rPr>
          <w:sz w:val="23"/>
        </w:rPr>
      </w:pPr>
      <w:r>
        <w:rPr/>
        <w:br w:type="column"/>
      </w:r>
      <w:r>
        <w:rPr>
          <w:b/>
          <w:color w:val="FDFDFD"/>
          <w:sz w:val="61"/>
          <w:shd w:val="clear" w:color="auto" w:fill="676767"/>
        </w:rPr>
        <w:t>m</w:t>
      </w:r>
      <w:r>
        <w:rPr>
          <w:b/>
          <w:color w:val="FDFDFD"/>
          <w:spacing w:val="-47"/>
          <w:sz w:val="61"/>
        </w:rPr>
        <w:t> </w:t>
      </w:r>
      <w:r>
        <w:rPr>
          <w:color w:val="FDFDFD"/>
          <w:sz w:val="23"/>
          <w:shd w:val="clear" w:color="auto" w:fill="676767"/>
        </w:rPr>
        <w:t>Increase</w:t>
      </w:r>
      <w:r>
        <w:rPr>
          <w:color w:val="FDFDFD"/>
          <w:spacing w:val="20"/>
          <w:sz w:val="23"/>
          <w:shd w:val="clear" w:color="auto" w:fill="676767"/>
        </w:rPr>
        <w:t> </w:t>
      </w:r>
      <w:r>
        <w:rPr>
          <w:color w:val="FDFDFD"/>
          <w:sz w:val="23"/>
          <w:shd w:val="clear" w:color="auto" w:fill="676767"/>
        </w:rPr>
        <w:t>biodiversity</w:t>
      </w:r>
      <w:r>
        <w:rPr>
          <w:color w:val="FDFDFD"/>
          <w:spacing w:val="35"/>
          <w:sz w:val="23"/>
          <w:shd w:val="clear" w:color="auto" w:fill="676767"/>
        </w:rPr>
        <w:t> </w:t>
      </w:r>
      <w:r>
        <w:rPr>
          <w:color w:val="FDFDFD"/>
          <w:sz w:val="23"/>
          <w:shd w:val="clear" w:color="auto" w:fill="676767"/>
        </w:rPr>
        <w:t>and</w:t>
      </w:r>
      <w:r>
        <w:rPr>
          <w:color w:val="FDFDFD"/>
          <w:spacing w:val="4"/>
          <w:sz w:val="23"/>
          <w:shd w:val="clear" w:color="auto" w:fill="676767"/>
        </w:rPr>
        <w:t> </w:t>
      </w:r>
      <w:r>
        <w:rPr>
          <w:color w:val="FDFDFD"/>
          <w:spacing w:val="-2"/>
          <w:sz w:val="23"/>
          <w:shd w:val="clear" w:color="auto" w:fill="676767"/>
        </w:rPr>
        <w:t>ecology</w:t>
      </w:r>
    </w:p>
    <w:p>
      <w:pPr>
        <w:spacing w:before="1"/>
        <w:ind w:left="1294" w:right="0" w:firstLine="0"/>
        <w:jc w:val="left"/>
        <w:rPr>
          <w:sz w:val="23"/>
        </w:rPr>
      </w:pPr>
      <w:r>
        <w:rPr/>
        <w:drawing>
          <wp:anchor distT="0" distB="0" distL="0" distR="0" simplePos="0" relativeHeight="15884288" behindDoc="0" locked="0" layoutInCell="1" allowOverlap="1">
            <wp:simplePos x="0" y="0"/>
            <wp:positionH relativeFrom="page">
              <wp:posOffset>952509</wp:posOffset>
            </wp:positionH>
            <wp:positionV relativeFrom="paragraph">
              <wp:posOffset>-438786</wp:posOffset>
            </wp:positionV>
            <wp:extent cx="3016281" cy="2148240"/>
            <wp:effectExtent l="0" t="0" r="0" b="0"/>
            <wp:wrapNone/>
            <wp:docPr id="709" name="Image 709"/>
            <wp:cNvGraphicFramePr>
              <a:graphicFrameLocks/>
            </wp:cNvGraphicFramePr>
            <a:graphic>
              <a:graphicData uri="http://schemas.openxmlformats.org/drawingml/2006/picture">
                <pic:pic>
                  <pic:nvPicPr>
                    <pic:cNvPr id="709" name="Image 709"/>
                    <pic:cNvPicPr/>
                  </pic:nvPicPr>
                  <pic:blipFill>
                    <a:blip r:embed="rId286" cstate="print"/>
                    <a:stretch>
                      <a:fillRect/>
                    </a:stretch>
                  </pic:blipFill>
                  <pic:spPr>
                    <a:xfrm>
                      <a:off x="0" y="0"/>
                      <a:ext cx="3016281" cy="2148240"/>
                    </a:xfrm>
                    <a:prstGeom prst="rect">
                      <a:avLst/>
                    </a:prstGeom>
                  </pic:spPr>
                </pic:pic>
              </a:graphicData>
            </a:graphic>
          </wp:anchor>
        </w:drawing>
      </w:r>
      <w:r>
        <w:rPr>
          <w:b/>
          <w:color w:val="FDFDFD"/>
          <w:sz w:val="44"/>
          <w:shd w:val="clear" w:color="auto" w:fill="676767"/>
        </w:rPr>
        <w:t>l!J</w:t>
      </w:r>
      <w:r>
        <w:rPr>
          <w:b/>
          <w:color w:val="FDFDFD"/>
          <w:spacing w:val="-15"/>
          <w:sz w:val="44"/>
        </w:rPr>
        <w:t> </w:t>
      </w:r>
      <w:r>
        <w:rPr>
          <w:color w:val="FDFDFD"/>
          <w:sz w:val="23"/>
          <w:shd w:val="clear" w:color="auto" w:fill="676767"/>
        </w:rPr>
        <w:t>Green</w:t>
      </w:r>
      <w:r>
        <w:rPr>
          <w:color w:val="FDFDFD"/>
          <w:spacing w:val="1"/>
          <w:sz w:val="23"/>
          <w:shd w:val="clear" w:color="auto" w:fill="676767"/>
        </w:rPr>
        <w:t> </w:t>
      </w:r>
      <w:r>
        <w:rPr>
          <w:color w:val="FDFDFD"/>
          <w:sz w:val="23"/>
          <w:shd w:val="clear" w:color="auto" w:fill="676767"/>
        </w:rPr>
        <w:t>our</w:t>
      </w:r>
      <w:r>
        <w:rPr>
          <w:color w:val="FDFDFD"/>
          <w:spacing w:val="5"/>
          <w:sz w:val="23"/>
          <w:shd w:val="clear" w:color="auto" w:fill="676767"/>
        </w:rPr>
        <w:t> </w:t>
      </w:r>
      <w:r>
        <w:rPr>
          <w:color w:val="FDFDFD"/>
          <w:spacing w:val="-2"/>
          <w:sz w:val="23"/>
          <w:shd w:val="clear" w:color="auto" w:fill="676767"/>
        </w:rPr>
        <w:t>infrastructure</w:t>
      </w:r>
    </w:p>
    <w:p>
      <w:pPr>
        <w:spacing w:before="37" w:line="442" w:lineRule="exact"/>
        <w:ind w:left="1280" w:right="0" w:firstLine="0"/>
        <w:jc w:val="left"/>
        <w:rPr>
          <w:sz w:val="23"/>
        </w:rPr>
      </w:pPr>
      <w:r>
        <w:rPr>
          <w:color w:val="FDFDFD"/>
          <w:w w:val="90"/>
          <w:sz w:val="44"/>
          <w:shd w:val="clear" w:color="auto" w:fill="676767"/>
        </w:rPr>
        <w:t>IEJ</w:t>
      </w:r>
      <w:r>
        <w:rPr>
          <w:color w:val="FDFDFD"/>
          <w:spacing w:val="-2"/>
          <w:sz w:val="44"/>
        </w:rPr>
        <w:t> </w:t>
      </w:r>
      <w:r>
        <w:rPr>
          <w:color w:val="FDFDFD"/>
          <w:w w:val="90"/>
          <w:sz w:val="23"/>
          <w:shd w:val="clear" w:color="auto" w:fill="676767"/>
        </w:rPr>
        <w:t>Recycle</w:t>
      </w:r>
      <w:r>
        <w:rPr>
          <w:color w:val="FDFDFD"/>
          <w:spacing w:val="2"/>
          <w:sz w:val="23"/>
          <w:shd w:val="clear" w:color="auto" w:fill="676767"/>
        </w:rPr>
        <w:t> </w:t>
      </w:r>
      <w:r>
        <w:rPr>
          <w:color w:val="FDFDFD"/>
          <w:w w:val="90"/>
          <w:sz w:val="23"/>
          <w:shd w:val="clear" w:color="auto" w:fill="676767"/>
        </w:rPr>
        <w:t>our</w:t>
      </w:r>
      <w:r>
        <w:rPr>
          <w:color w:val="FDFDFD"/>
          <w:sz w:val="23"/>
          <w:shd w:val="clear" w:color="auto" w:fill="676767"/>
        </w:rPr>
        <w:t> </w:t>
      </w:r>
      <w:r>
        <w:rPr>
          <w:color w:val="FDFDFD"/>
          <w:spacing w:val="-2"/>
          <w:w w:val="90"/>
          <w:sz w:val="23"/>
          <w:shd w:val="clear" w:color="auto" w:fill="676767"/>
        </w:rPr>
        <w:t>resources</w:t>
      </w:r>
    </w:p>
    <w:p>
      <w:pPr>
        <w:spacing w:before="0" w:line="559" w:lineRule="exact"/>
        <w:ind w:left="1278" w:right="0" w:firstLine="0"/>
        <w:jc w:val="left"/>
        <w:rPr>
          <w:sz w:val="23"/>
        </w:rPr>
      </w:pPr>
      <w:r>
        <w:rPr>
          <w:b/>
          <w:color w:val="FDFDFD"/>
          <w:sz w:val="61"/>
          <w:shd w:val="clear" w:color="auto" w:fill="676767"/>
        </w:rPr>
        <w:t>m</w:t>
      </w:r>
      <w:r>
        <w:rPr>
          <w:b/>
          <w:color w:val="FDFDFD"/>
          <w:spacing w:val="-42"/>
          <w:sz w:val="61"/>
        </w:rPr>
        <w:t> </w:t>
      </w:r>
      <w:r>
        <w:rPr>
          <w:color w:val="FDFDFD"/>
          <w:sz w:val="23"/>
          <w:shd w:val="clear" w:color="auto" w:fill="676767"/>
        </w:rPr>
        <w:t>Accelerate</w:t>
      </w:r>
      <w:r>
        <w:rPr>
          <w:color w:val="FDFDFD"/>
          <w:spacing w:val="16"/>
          <w:sz w:val="23"/>
          <w:shd w:val="clear" w:color="auto" w:fill="676767"/>
        </w:rPr>
        <w:t> </w:t>
      </w:r>
      <w:r>
        <w:rPr>
          <w:color w:val="FDFDFD"/>
          <w:sz w:val="23"/>
          <w:shd w:val="clear" w:color="auto" w:fill="676767"/>
        </w:rPr>
        <w:t>towards</w:t>
      </w:r>
      <w:r>
        <w:rPr>
          <w:color w:val="FDFDFD"/>
          <w:spacing w:val="14"/>
          <w:sz w:val="23"/>
          <w:shd w:val="clear" w:color="auto" w:fill="676767"/>
        </w:rPr>
        <w:t> </w:t>
      </w:r>
      <w:r>
        <w:rPr>
          <w:color w:val="FDFDFD"/>
          <w:sz w:val="23"/>
          <w:shd w:val="clear" w:color="auto" w:fill="676767"/>
        </w:rPr>
        <w:t>net</w:t>
      </w:r>
      <w:r>
        <w:rPr>
          <w:color w:val="FDFDFD"/>
          <w:spacing w:val="28"/>
          <w:sz w:val="23"/>
          <w:shd w:val="clear" w:color="auto" w:fill="676767"/>
        </w:rPr>
        <w:t> </w:t>
      </w:r>
      <w:r>
        <w:rPr>
          <w:color w:val="FDFDFD"/>
          <w:spacing w:val="-4"/>
          <w:sz w:val="23"/>
          <w:shd w:val="clear" w:color="auto" w:fill="676767"/>
        </w:rPr>
        <w:t>zero</w:t>
      </w:r>
    </w:p>
    <w:p>
      <w:pPr>
        <w:spacing w:before="47" w:line="187" w:lineRule="auto"/>
        <w:ind w:left="1778" w:right="0" w:hanging="505"/>
        <w:jc w:val="left"/>
        <w:rPr>
          <w:sz w:val="23"/>
        </w:rPr>
      </w:pPr>
      <w:r>
        <w:rPr>
          <w:b/>
          <w:color w:val="FDFDFD"/>
          <w:sz w:val="61"/>
          <w:shd w:val="clear" w:color="auto" w:fill="676767"/>
        </w:rPr>
        <w:t>m</w:t>
      </w:r>
      <w:r>
        <w:rPr>
          <w:b/>
          <w:color w:val="FDFDFD"/>
          <w:spacing w:val="-48"/>
          <w:sz w:val="61"/>
        </w:rPr>
        <w:t> </w:t>
      </w:r>
      <w:r>
        <w:rPr>
          <w:color w:val="FDFDFD"/>
          <w:sz w:val="23"/>
          <w:shd w:val="clear" w:color="auto" w:fill="676767"/>
        </w:rPr>
        <w:t>Seek</w:t>
      </w:r>
      <w:r>
        <w:rPr>
          <w:color w:val="FDFDFD"/>
          <w:spacing w:val="-9"/>
          <w:sz w:val="23"/>
          <w:shd w:val="clear" w:color="auto" w:fill="676767"/>
        </w:rPr>
        <w:t> </w:t>
      </w:r>
      <w:r>
        <w:rPr>
          <w:color w:val="FDFDFD"/>
          <w:sz w:val="23"/>
          <w:shd w:val="clear" w:color="auto" w:fill="676767"/>
        </w:rPr>
        <w:t>a</w:t>
      </w:r>
      <w:r>
        <w:rPr>
          <w:color w:val="FDFDFD"/>
          <w:spacing w:val="-6"/>
          <w:sz w:val="23"/>
          <w:shd w:val="clear" w:color="auto" w:fill="676767"/>
        </w:rPr>
        <w:t> </w:t>
      </w:r>
      <w:r>
        <w:rPr>
          <w:color w:val="FDFDFD"/>
          <w:sz w:val="23"/>
          <w:shd w:val="clear" w:color="auto" w:fill="676767"/>
        </w:rPr>
        <w:t>cleaner and</w:t>
      </w:r>
      <w:r>
        <w:rPr>
          <w:color w:val="FDFDFD"/>
          <w:spacing w:val="-1"/>
          <w:sz w:val="23"/>
          <w:shd w:val="clear" w:color="auto" w:fill="676767"/>
        </w:rPr>
        <w:t> </w:t>
      </w:r>
      <w:r>
        <w:rPr>
          <w:color w:val="FDFDFD"/>
          <w:sz w:val="23"/>
          <w:shd w:val="clear" w:color="auto" w:fill="676767"/>
        </w:rPr>
        <w:t>greener</w:t>
      </w:r>
      <w:r>
        <w:rPr>
          <w:color w:val="FDFDFD"/>
          <w:sz w:val="23"/>
        </w:rPr>
        <w:t> </w:t>
      </w:r>
      <w:r>
        <w:rPr>
          <w:color w:val="FDFDFD"/>
          <w:w w:val="105"/>
          <w:sz w:val="23"/>
          <w:shd w:val="clear" w:color="auto" w:fill="676767"/>
        </w:rPr>
        <w:t>construction industry</w:t>
      </w:r>
    </w:p>
    <w:p>
      <w:pPr>
        <w:spacing w:after="0" w:line="187" w:lineRule="auto"/>
        <w:jc w:val="left"/>
        <w:rPr>
          <w:sz w:val="23"/>
        </w:rPr>
        <w:sectPr>
          <w:type w:val="continuous"/>
          <w:pgSz w:w="11910" w:h="16830"/>
          <w:pgMar w:top="1940" w:right="540" w:bottom="280" w:left="440" w:header="0" w:footer="0"/>
          <w:cols w:equalWidth="0" w:num="3">
            <w:col w:w="1505" w:space="40"/>
            <w:col w:w="2989" w:space="359"/>
            <w:col w:w="6037"/>
          </w:cols>
        </w:sectPr>
      </w:pPr>
    </w:p>
    <w:p>
      <w:pPr>
        <w:spacing w:before="46"/>
        <w:ind w:left="1099" w:right="0" w:firstLine="0"/>
        <w:jc w:val="left"/>
        <w:rPr>
          <w:sz w:val="23"/>
        </w:rPr>
      </w:pPr>
      <w:r>
        <w:rPr/>
        <w:drawing>
          <wp:anchor distT="0" distB="0" distL="0" distR="0" simplePos="0" relativeHeight="15884800" behindDoc="0" locked="0" layoutInCell="1" allowOverlap="1">
            <wp:simplePos x="0" y="0"/>
            <wp:positionH relativeFrom="page">
              <wp:posOffset>4090907</wp:posOffset>
            </wp:positionH>
            <wp:positionV relativeFrom="paragraph">
              <wp:posOffset>-1041735</wp:posOffset>
            </wp:positionV>
            <wp:extent cx="2949116" cy="2172651"/>
            <wp:effectExtent l="0" t="0" r="0" b="0"/>
            <wp:wrapNone/>
            <wp:docPr id="710" name="Image 710"/>
            <wp:cNvGraphicFramePr>
              <a:graphicFrameLocks/>
            </wp:cNvGraphicFramePr>
            <a:graphic>
              <a:graphicData uri="http://schemas.openxmlformats.org/drawingml/2006/picture">
                <pic:pic>
                  <pic:nvPicPr>
                    <pic:cNvPr id="710" name="Image 710"/>
                    <pic:cNvPicPr/>
                  </pic:nvPicPr>
                  <pic:blipFill>
                    <a:blip r:embed="rId287" cstate="print"/>
                    <a:stretch>
                      <a:fillRect/>
                    </a:stretch>
                  </pic:blipFill>
                  <pic:spPr>
                    <a:xfrm>
                      <a:off x="0" y="0"/>
                      <a:ext cx="2949116" cy="2172651"/>
                    </a:xfrm>
                    <a:prstGeom prst="rect">
                      <a:avLst/>
                    </a:prstGeom>
                  </pic:spPr>
                </pic:pic>
              </a:graphicData>
            </a:graphic>
          </wp:anchor>
        </w:drawing>
      </w:r>
      <w:r>
        <w:rPr/>
        <ve:AlternateContent>
          <ve:Choice Requires="wps">
            <w:drawing>
              <wp:anchor distT="0" distB="0" distL="0" distR="0" simplePos="0" relativeHeight="475997184" behindDoc="1" locked="0" layoutInCell="1" allowOverlap="1">
                <wp:simplePos x="0" y="0"/>
                <wp:positionH relativeFrom="page">
                  <wp:posOffset>968705</wp:posOffset>
                </wp:positionH>
                <wp:positionV relativeFrom="paragraph">
                  <wp:posOffset>-3523</wp:posOffset>
                </wp:positionV>
                <wp:extent cx="220345" cy="1038860"/>
                <wp:effectExtent l="0" t="0" r="0" b="0"/>
                <wp:wrapNone/>
                <wp:docPr id="711" name="Graphic 711"/>
                <wp:cNvGraphicFramePr>
                  <a:graphicFrameLocks/>
                </wp:cNvGraphicFramePr>
                <a:graphic>
                  <a:graphicData uri="http://schemas.microsoft.com/office/word/2010/wordprocessingShape">
                    <wps:wsp>
                      <wps:cNvPr id="711" name="Graphic 711"/>
                      <wps:cNvSpPr/>
                      <wps:spPr>
                        <a:xfrm>
                          <a:off x="0" y="0"/>
                          <a:ext cx="220345" cy="1038860"/>
                        </a:xfrm>
                        <a:custGeom>
                          <a:avLst/>
                          <a:gdLst/>
                          <a:ahLst/>
                          <a:cxnLst/>
                          <a:rect l="l" t="t" r="r" b="b"/>
                          <a:pathLst>
                            <a:path w="220345" h="1038860">
                              <a:moveTo>
                                <a:pt x="219811" y="0"/>
                              </a:moveTo>
                              <a:lnTo>
                                <a:pt x="9156" y="0"/>
                              </a:lnTo>
                              <a:lnTo>
                                <a:pt x="9156" y="360667"/>
                              </a:lnTo>
                              <a:lnTo>
                                <a:pt x="5842" y="360667"/>
                              </a:lnTo>
                              <a:lnTo>
                                <a:pt x="5842" y="637755"/>
                              </a:lnTo>
                              <a:lnTo>
                                <a:pt x="0" y="637755"/>
                              </a:lnTo>
                              <a:lnTo>
                                <a:pt x="0" y="1038352"/>
                              </a:lnTo>
                              <a:lnTo>
                                <a:pt x="210654" y="1038352"/>
                              </a:lnTo>
                              <a:lnTo>
                                <a:pt x="210654" y="706640"/>
                              </a:lnTo>
                              <a:lnTo>
                                <a:pt x="216496" y="706640"/>
                              </a:lnTo>
                              <a:lnTo>
                                <a:pt x="216496" y="400596"/>
                              </a:lnTo>
                              <a:lnTo>
                                <a:pt x="219811" y="400596"/>
                              </a:lnTo>
                              <a:lnTo>
                                <a:pt x="219811" y="0"/>
                              </a:lnTo>
                              <a:close/>
                            </a:path>
                          </a:pathLst>
                        </a:custGeom>
                        <a:solidFill>
                          <a:srgbClr val="343434"/>
                        </a:solidFill>
                      </wps:spPr>
                      <wps:bodyPr wrap="square" lIns="0" tIns="0" rIns="0" bIns="0" rtlCol="0">
                        <a:prstTxWarp prst="textNoShape">
                          <a:avLst/>
                        </a:prstTxWarp>
                        <a:noAutofit/>
                      </wps:bodyPr>
                    </wps:wsp>
                  </a:graphicData>
                </a:graphic>
              </wp:anchor>
            </w:drawing>
          </ve:Choice>
          <ve:Fallback>
            <w:pict>
              <v:shape id="docshape458" style="position:absolute;margin-left:76.276001pt;margin-top:-.277472pt;width:17.350pt;height:81.8pt;mso-position-horizontal-relative:page;mso-position-vertical-relative:paragraph;z-index:-27319296" coordsize="347,1636" coordorigin="1526,-6" filled="true" fillcolor="#343434" stroked="false" path="m1872,-6l1540,-6,1540,562,1535,562,1535,999,1526,999,1526,1630,1857,1630,1857,1107,1866,1107,1866,625,1872,625,1872,-6xe">
                <v:path arrowok="t"/>
                <v:fill type="solid"/>
                <w10:wrap type="none"/>
              </v:shape>
            </w:pict>
          </ve:Fallback>
        </ve:AlternateContent>
      </w:r>
      <w:r>
        <w:rPr>
          <w:b/>
          <w:color w:val="FDFDFD"/>
          <w:spacing w:val="-2"/>
          <w:w w:val="85"/>
          <w:sz w:val="44"/>
        </w:rPr>
        <w:t>E!J</w:t>
      </w:r>
      <w:r>
        <w:rPr>
          <w:b/>
          <w:color w:val="FDFDFD"/>
          <w:spacing w:val="-9"/>
          <w:sz w:val="44"/>
        </w:rPr>
        <w:t> </w:t>
      </w:r>
      <w:r>
        <w:rPr>
          <w:color w:val="FDFDFD"/>
          <w:spacing w:val="-2"/>
          <w:sz w:val="23"/>
          <w:shd w:val="clear" w:color="auto" w:fill="343434"/>
        </w:rPr>
        <w:t>Make</w:t>
      </w:r>
      <w:r>
        <w:rPr>
          <w:color w:val="FDFDFD"/>
          <w:spacing w:val="-13"/>
          <w:sz w:val="23"/>
          <w:shd w:val="clear" w:color="auto" w:fill="343434"/>
        </w:rPr>
        <w:t> </w:t>
      </w:r>
      <w:r>
        <w:rPr>
          <w:color w:val="FDFDFD"/>
          <w:spacing w:val="-2"/>
          <w:sz w:val="23"/>
          <w:shd w:val="clear" w:color="auto" w:fill="343434"/>
        </w:rPr>
        <w:t>it</w:t>
      </w:r>
      <w:r>
        <w:rPr>
          <w:color w:val="FDFDFD"/>
          <w:spacing w:val="6"/>
          <w:sz w:val="23"/>
          <w:shd w:val="clear" w:color="auto" w:fill="343434"/>
        </w:rPr>
        <w:t> </w:t>
      </w:r>
      <w:r>
        <w:rPr>
          <w:color w:val="FDFDFD"/>
          <w:spacing w:val="-2"/>
          <w:sz w:val="23"/>
          <w:shd w:val="clear" w:color="auto" w:fill="343434"/>
        </w:rPr>
        <w:t>easy</w:t>
      </w:r>
      <w:r>
        <w:rPr>
          <w:color w:val="FDFDFD"/>
          <w:spacing w:val="-10"/>
          <w:sz w:val="23"/>
          <w:shd w:val="clear" w:color="auto" w:fill="343434"/>
        </w:rPr>
        <w:t> </w:t>
      </w:r>
      <w:r>
        <w:rPr>
          <w:color w:val="FDFDFD"/>
          <w:spacing w:val="-2"/>
          <w:sz w:val="23"/>
          <w:shd w:val="clear" w:color="auto" w:fill="343434"/>
        </w:rPr>
        <w:t>to</w:t>
      </w:r>
      <w:r>
        <w:rPr>
          <w:color w:val="FDFDFD"/>
          <w:spacing w:val="9"/>
          <w:sz w:val="23"/>
          <w:shd w:val="clear" w:color="auto" w:fill="343434"/>
        </w:rPr>
        <w:t> </w:t>
      </w:r>
      <w:r>
        <w:rPr>
          <w:color w:val="FDFDFD"/>
          <w:spacing w:val="-4"/>
          <w:sz w:val="23"/>
          <w:shd w:val="clear" w:color="auto" w:fill="343434"/>
        </w:rPr>
        <w:t>move</w:t>
      </w:r>
    </w:p>
    <w:p>
      <w:pPr>
        <w:spacing w:before="55"/>
        <w:ind w:left="1094" w:right="0" w:firstLine="0"/>
        <w:jc w:val="left"/>
        <w:rPr>
          <w:sz w:val="23"/>
        </w:rPr>
      </w:pPr>
      <w:r>
        <w:rPr>
          <w:b/>
          <w:color w:val="FDFDFD"/>
          <w:w w:val="85"/>
          <w:sz w:val="38"/>
        </w:rPr>
        <w:t>EZJ</w:t>
      </w:r>
      <w:r>
        <w:rPr>
          <w:b/>
          <w:color w:val="FDFDFD"/>
          <w:spacing w:val="-1"/>
          <w:sz w:val="38"/>
        </w:rPr>
        <w:t> </w:t>
      </w:r>
      <w:r>
        <w:rPr>
          <w:color w:val="FDFDFD"/>
          <w:sz w:val="23"/>
          <w:shd w:val="clear" w:color="auto" w:fill="343434"/>
        </w:rPr>
        <w:t>Create</w:t>
      </w:r>
      <w:r>
        <w:rPr>
          <w:color w:val="FDFDFD"/>
          <w:spacing w:val="-12"/>
          <w:sz w:val="23"/>
          <w:shd w:val="clear" w:color="auto" w:fill="343434"/>
        </w:rPr>
        <w:t> </w:t>
      </w:r>
      <w:r>
        <w:rPr>
          <w:color w:val="FDFDFD"/>
          <w:sz w:val="23"/>
          <w:shd w:val="clear" w:color="auto" w:fill="343434"/>
        </w:rPr>
        <w:t>places</w:t>
      </w:r>
      <w:r>
        <w:rPr>
          <w:color w:val="FDFDFD"/>
          <w:spacing w:val="-11"/>
          <w:sz w:val="23"/>
          <w:shd w:val="clear" w:color="auto" w:fill="343434"/>
        </w:rPr>
        <w:t> </w:t>
      </w:r>
      <w:r>
        <w:rPr>
          <w:color w:val="FDFDFD"/>
          <w:sz w:val="23"/>
          <w:shd w:val="clear" w:color="auto" w:fill="343434"/>
        </w:rPr>
        <w:t>for</w:t>
      </w:r>
      <w:r>
        <w:rPr>
          <w:color w:val="FDFDFD"/>
          <w:spacing w:val="7"/>
          <w:sz w:val="23"/>
          <w:shd w:val="clear" w:color="auto" w:fill="343434"/>
        </w:rPr>
        <w:t> </w:t>
      </w:r>
      <w:r>
        <w:rPr>
          <w:color w:val="FDFDFD"/>
          <w:spacing w:val="-5"/>
          <w:sz w:val="23"/>
          <w:shd w:val="clear" w:color="auto" w:fill="343434"/>
        </w:rPr>
        <w:t>all</w:t>
      </w:r>
    </w:p>
    <w:p>
      <w:pPr>
        <w:spacing w:before="7"/>
        <w:ind w:left="1085" w:right="0" w:firstLine="0"/>
        <w:jc w:val="left"/>
        <w:rPr>
          <w:sz w:val="23"/>
        </w:rPr>
      </w:pPr>
      <w:r>
        <w:rPr>
          <w:b/>
          <w:color w:val="FDFDFD"/>
          <w:w w:val="90"/>
          <w:sz w:val="44"/>
        </w:rPr>
        <w:t>E!J</w:t>
      </w:r>
      <w:r>
        <w:rPr>
          <w:b/>
          <w:color w:val="FDFDFD"/>
          <w:spacing w:val="31"/>
          <w:sz w:val="44"/>
        </w:rPr>
        <w:t> </w:t>
      </w:r>
      <w:r>
        <w:rPr>
          <w:color w:val="FDFDFD"/>
          <w:sz w:val="23"/>
          <w:shd w:val="clear" w:color="auto" w:fill="343434"/>
        </w:rPr>
        <w:t>Value</w:t>
      </w:r>
      <w:r>
        <w:rPr>
          <w:color w:val="FDFDFD"/>
          <w:spacing w:val="-6"/>
          <w:sz w:val="23"/>
          <w:shd w:val="clear" w:color="auto" w:fill="343434"/>
        </w:rPr>
        <w:t> </w:t>
      </w:r>
      <w:r>
        <w:rPr>
          <w:color w:val="FDFDFD"/>
          <w:sz w:val="23"/>
          <w:shd w:val="clear" w:color="auto" w:fill="343434"/>
        </w:rPr>
        <w:t>infrastructure</w:t>
      </w:r>
      <w:r>
        <w:rPr>
          <w:color w:val="FDFDFD"/>
          <w:spacing w:val="1"/>
          <w:sz w:val="23"/>
          <w:shd w:val="clear" w:color="auto" w:fill="343434"/>
        </w:rPr>
        <w:t> </w:t>
      </w:r>
      <w:r>
        <w:rPr>
          <w:color w:val="FDFDFD"/>
          <w:spacing w:val="-2"/>
          <w:sz w:val="23"/>
          <w:shd w:val="clear" w:color="auto" w:fill="343434"/>
        </w:rPr>
        <w:t>first</w:t>
      </w:r>
    </w:p>
    <w:p>
      <w:pPr>
        <w:pStyle w:val="BodyText"/>
        <w:spacing w:before="257"/>
        <w:rPr>
          <w:sz w:val="23"/>
        </w:rPr>
      </w:pPr>
    </w:p>
    <w:p>
      <w:pPr>
        <w:spacing w:before="0" w:line="685" w:lineRule="exact"/>
        <w:ind w:left="1060" w:right="0" w:firstLine="0"/>
        <w:jc w:val="left"/>
        <w:rPr>
          <w:sz w:val="23"/>
        </w:rPr>
      </w:pPr>
      <w:r>
        <w:rPr/>
        <w:drawing>
          <wp:anchor distT="0" distB="0" distL="0" distR="0" simplePos="0" relativeHeight="15885312" behindDoc="0" locked="0" layoutInCell="1" allowOverlap="1">
            <wp:simplePos x="0" y="0"/>
            <wp:positionH relativeFrom="page">
              <wp:posOffset>4078696</wp:posOffset>
            </wp:positionH>
            <wp:positionV relativeFrom="paragraph">
              <wp:posOffset>-5750</wp:posOffset>
            </wp:positionV>
            <wp:extent cx="3010175" cy="2163497"/>
            <wp:effectExtent l="0" t="0" r="0" b="0"/>
            <wp:wrapNone/>
            <wp:docPr id="712" name="Image 712"/>
            <wp:cNvGraphicFramePr>
              <a:graphicFrameLocks/>
            </wp:cNvGraphicFramePr>
            <a:graphic>
              <a:graphicData uri="http://schemas.openxmlformats.org/drawingml/2006/picture">
                <pic:pic>
                  <pic:nvPicPr>
                    <pic:cNvPr id="712" name="Image 712"/>
                    <pic:cNvPicPr/>
                  </pic:nvPicPr>
                  <pic:blipFill>
                    <a:blip r:embed="rId288" cstate="print"/>
                    <a:stretch>
                      <a:fillRect/>
                    </a:stretch>
                  </pic:blipFill>
                  <pic:spPr>
                    <a:xfrm>
                      <a:off x="0" y="0"/>
                      <a:ext cx="3010175" cy="2163497"/>
                    </a:xfrm>
                    <a:prstGeom prst="rect">
                      <a:avLst/>
                    </a:prstGeom>
                  </pic:spPr>
                </pic:pic>
              </a:graphicData>
            </a:graphic>
          </wp:anchor>
        </w:drawing>
      </w:r>
      <w:r>
        <w:rPr/>
        <ve:AlternateContent>
          <ve:Choice Requires="wps">
            <w:drawing>
              <wp:anchor distT="0" distB="0" distL="0" distR="0" simplePos="0" relativeHeight="475997696" behindDoc="1" locked="0" layoutInCell="1" allowOverlap="1">
                <wp:simplePos x="0" y="0"/>
                <wp:positionH relativeFrom="page">
                  <wp:posOffset>952868</wp:posOffset>
                </wp:positionH>
                <wp:positionV relativeFrom="paragraph">
                  <wp:posOffset>-45887</wp:posOffset>
                </wp:positionV>
                <wp:extent cx="214629" cy="838200"/>
                <wp:effectExtent l="0" t="0" r="0" b="0"/>
                <wp:wrapNone/>
                <wp:docPr id="713" name="Graphic 713"/>
                <wp:cNvGraphicFramePr>
                  <a:graphicFrameLocks/>
                </wp:cNvGraphicFramePr>
                <a:graphic>
                  <a:graphicData uri="http://schemas.microsoft.com/office/word/2010/wordprocessingShape">
                    <wps:wsp>
                      <wps:cNvPr id="713" name="Graphic 713"/>
                      <wps:cNvSpPr/>
                      <wps:spPr>
                        <a:xfrm>
                          <a:off x="0" y="0"/>
                          <a:ext cx="214629" cy="838200"/>
                        </a:xfrm>
                        <a:custGeom>
                          <a:avLst/>
                          <a:gdLst/>
                          <a:ahLst/>
                          <a:cxnLst/>
                          <a:rect l="l" t="t" r="r" b="b"/>
                          <a:pathLst>
                            <a:path w="214629" h="838200">
                              <a:moveTo>
                                <a:pt x="214274" y="437540"/>
                              </a:moveTo>
                              <a:lnTo>
                                <a:pt x="213702" y="437540"/>
                              </a:lnTo>
                              <a:lnTo>
                                <a:pt x="213702" y="0"/>
                              </a:lnTo>
                              <a:lnTo>
                                <a:pt x="0" y="0"/>
                              </a:lnTo>
                              <a:lnTo>
                                <a:pt x="0" y="555358"/>
                              </a:lnTo>
                              <a:lnTo>
                                <a:pt x="571" y="555358"/>
                              </a:lnTo>
                              <a:lnTo>
                                <a:pt x="571" y="838136"/>
                              </a:lnTo>
                              <a:lnTo>
                                <a:pt x="214274" y="838136"/>
                              </a:lnTo>
                              <a:lnTo>
                                <a:pt x="214274" y="437540"/>
                              </a:lnTo>
                              <a:close/>
                            </a:path>
                          </a:pathLst>
                        </a:custGeom>
                        <a:solidFill>
                          <a:srgbClr val="525252"/>
                        </a:solidFill>
                      </wps:spPr>
                      <wps:bodyPr wrap="square" lIns="0" tIns="0" rIns="0" bIns="0" rtlCol="0">
                        <a:prstTxWarp prst="textNoShape">
                          <a:avLst/>
                        </a:prstTxWarp>
                        <a:noAutofit/>
                      </wps:bodyPr>
                    </wps:wsp>
                  </a:graphicData>
                </a:graphic>
              </wp:anchor>
            </w:drawing>
          </ve:Choice>
          <ve:Fallback>
            <w:pict>
              <v:shape id="docshape459" style="position:absolute;margin-left:75.029007pt;margin-top:-3.613191pt;width:16.9pt;height:66pt;mso-position-horizontal-relative:page;mso-position-vertical-relative:paragraph;z-index:-27318784" coordsize="338,1320" coordorigin="1501,-72" filled="true" fillcolor="#525252" stroked="false" path="m1838,617l1837,617,1837,-72,1501,-72,1501,802,1501,802,1501,1248,1838,1248,1838,617xe">
                <v:path arrowok="t"/>
                <v:fill type="solid"/>
                <w10:wrap type="none"/>
              </v:shape>
            </w:pict>
          </ve:Fallback>
        </ve:AlternateContent>
      </w:r>
      <w:r>
        <w:rPr>
          <w:b/>
          <w:color w:val="FDFDFD"/>
          <w:sz w:val="61"/>
        </w:rPr>
        <w:t>m</w:t>
      </w:r>
      <w:r>
        <w:rPr>
          <w:b/>
          <w:color w:val="FDFDFD"/>
          <w:spacing w:val="-43"/>
          <w:sz w:val="61"/>
        </w:rPr>
        <w:t> </w:t>
      </w:r>
      <w:r>
        <w:rPr>
          <w:color w:val="FDFDFD"/>
          <w:w w:val="105"/>
          <w:sz w:val="23"/>
          <w:shd w:val="clear" w:color="auto" w:fill="525252"/>
        </w:rPr>
        <w:t>Capitalise</w:t>
      </w:r>
      <w:r>
        <w:rPr>
          <w:color w:val="FDFDFD"/>
          <w:spacing w:val="-16"/>
          <w:w w:val="105"/>
          <w:sz w:val="23"/>
        </w:rPr>
        <w:t> </w:t>
      </w:r>
      <w:r>
        <w:rPr>
          <w:color w:val="FDFDFD"/>
          <w:w w:val="105"/>
          <w:sz w:val="23"/>
          <w:shd w:val="clear" w:color="auto" w:fill="525252"/>
        </w:rPr>
        <w:t>on</w:t>
      </w:r>
      <w:r>
        <w:rPr>
          <w:color w:val="FDFDFD"/>
          <w:spacing w:val="-12"/>
          <w:w w:val="105"/>
          <w:sz w:val="23"/>
          <w:shd w:val="clear" w:color="auto" w:fill="525252"/>
        </w:rPr>
        <w:t> </w:t>
      </w:r>
      <w:r>
        <w:rPr>
          <w:color w:val="FDFDFD"/>
          <w:w w:val="105"/>
          <w:sz w:val="23"/>
          <w:shd w:val="clear" w:color="auto" w:fill="525252"/>
        </w:rPr>
        <w:t>our</w:t>
      </w:r>
      <w:r>
        <w:rPr>
          <w:color w:val="FDFDFD"/>
          <w:spacing w:val="-5"/>
          <w:w w:val="105"/>
          <w:sz w:val="23"/>
          <w:shd w:val="clear" w:color="auto" w:fill="525252"/>
        </w:rPr>
        <w:t> </w:t>
      </w:r>
      <w:r>
        <w:rPr>
          <w:color w:val="FDFDFD"/>
          <w:w w:val="105"/>
          <w:sz w:val="23"/>
          <w:shd w:val="clear" w:color="auto" w:fill="525252"/>
        </w:rPr>
        <w:t>creative</w:t>
      </w:r>
      <w:r>
        <w:rPr>
          <w:color w:val="FDFDFD"/>
          <w:spacing w:val="-1"/>
          <w:w w:val="105"/>
          <w:sz w:val="23"/>
          <w:shd w:val="clear" w:color="auto" w:fill="525252"/>
        </w:rPr>
        <w:t> </w:t>
      </w:r>
      <w:r>
        <w:rPr>
          <w:color w:val="FDFDFD"/>
          <w:spacing w:val="-2"/>
          <w:w w:val="105"/>
          <w:sz w:val="23"/>
          <w:shd w:val="clear" w:color="auto" w:fill="525252"/>
        </w:rPr>
        <w:t>industries</w:t>
      </w:r>
    </w:p>
    <w:p>
      <w:pPr>
        <w:pStyle w:val="Heading1"/>
        <w:spacing w:line="457" w:lineRule="exact"/>
      </w:pPr>
      <w:r>
        <w:rPr/>
        <ve:AlternateContent>
          <ve:Choice Requires="wps">
            <w:drawing>
              <wp:anchor distT="0" distB="0" distL="0" distR="0" simplePos="0" relativeHeight="15887872" behindDoc="0" locked="0" layoutInCell="1" allowOverlap="1">
                <wp:simplePos x="0" y="0"/>
                <wp:positionH relativeFrom="page">
                  <wp:posOffset>1281614</wp:posOffset>
                </wp:positionH>
                <wp:positionV relativeFrom="paragraph">
                  <wp:posOffset>99871</wp:posOffset>
                </wp:positionV>
                <wp:extent cx="2272030" cy="205104"/>
                <wp:effectExtent l="0" t="0" r="0" b="0"/>
                <wp:wrapNone/>
                <wp:docPr id="714" name="Textbox 714"/>
                <wp:cNvGraphicFramePr>
                  <a:graphicFrameLocks/>
                </wp:cNvGraphicFramePr>
                <a:graphic>
                  <a:graphicData uri="http://schemas.microsoft.com/office/word/2010/wordprocessingShape">
                    <wps:wsp>
                      <wps:cNvPr id="714" name="Textbox 714"/>
                      <wps:cNvSpPr txBox="1"/>
                      <wps:spPr>
                        <a:xfrm>
                          <a:off x="0" y="0"/>
                          <a:ext cx="2272030" cy="205104"/>
                        </a:xfrm>
                        <a:prstGeom prst="rect">
                          <a:avLst/>
                        </a:prstGeom>
                        <a:solidFill>
                          <a:srgbClr val="525252"/>
                        </a:solidFill>
                      </wps:spPr>
                      <wps:txbx>
                        <w:txbxContent>
                          <w:p>
                            <w:pPr>
                              <w:spacing w:before="23"/>
                              <w:ind w:left="-1" w:right="-15" w:firstLine="0"/>
                              <w:jc w:val="left"/>
                              <w:rPr>
                                <w:color w:val="000000"/>
                                <w:sz w:val="23"/>
                              </w:rPr>
                            </w:pPr>
                            <w:r>
                              <w:rPr>
                                <w:b/>
                                <w:color w:val="EDEDED"/>
                                <w:w w:val="110"/>
                                <w:sz w:val="22"/>
                              </w:rPr>
                              <w:t>Grow</w:t>
                            </w:r>
                            <w:r>
                              <w:rPr>
                                <w:b/>
                                <w:color w:val="EDEDED"/>
                                <w:spacing w:val="-16"/>
                                <w:w w:val="110"/>
                                <w:sz w:val="22"/>
                              </w:rPr>
                              <w:t> </w:t>
                            </w:r>
                            <w:r>
                              <w:rPr>
                                <w:color w:val="FDFDFD"/>
                                <w:w w:val="110"/>
                                <w:sz w:val="23"/>
                              </w:rPr>
                              <w:t>an</w:t>
                            </w:r>
                            <w:r>
                              <w:rPr>
                                <w:color w:val="FDFDFD"/>
                                <w:spacing w:val="-18"/>
                                <w:w w:val="110"/>
                                <w:sz w:val="23"/>
                              </w:rPr>
                              <w:t> </w:t>
                            </w:r>
                            <w:r>
                              <w:rPr>
                                <w:color w:val="FDFDFD"/>
                                <w:w w:val="110"/>
                                <w:sz w:val="23"/>
                              </w:rPr>
                              <w:t>innovative</w:t>
                            </w:r>
                            <w:r>
                              <w:rPr>
                                <w:color w:val="FDFDFD"/>
                                <w:spacing w:val="-6"/>
                                <w:w w:val="110"/>
                                <w:sz w:val="23"/>
                              </w:rPr>
                              <w:t> </w:t>
                            </w:r>
                            <w:r>
                              <w:rPr>
                                <w:color w:val="FDFDFD"/>
                                <w:w w:val="110"/>
                                <w:sz w:val="23"/>
                              </w:rPr>
                              <w:t>and</w:t>
                            </w:r>
                            <w:r>
                              <w:rPr>
                                <w:color w:val="FDFDFD"/>
                                <w:spacing w:val="-18"/>
                                <w:w w:val="110"/>
                                <w:sz w:val="23"/>
                              </w:rPr>
                              <w:t> </w:t>
                            </w:r>
                            <w:r>
                              <w:rPr>
                                <w:color w:val="FDFDFD"/>
                                <w:spacing w:val="-2"/>
                                <w:w w:val="110"/>
                                <w:sz w:val="23"/>
                              </w:rPr>
                              <w:t>resilient</w:t>
                            </w:r>
                          </w:p>
                        </w:txbxContent>
                      </wps:txbx>
                      <wps:bodyPr wrap="square" lIns="0" tIns="0" rIns="0" bIns="0" rtlCol="0">
                        <a:noAutofit/>
                      </wps:bodyPr>
                    </wps:wsp>
                  </a:graphicData>
                </a:graphic>
              </wp:anchor>
            </w:drawing>
          </ve:Choice>
          <ve:Fallback>
            <w:pict>
              <v:shape id="docshape460" style="position:absolute;margin-left:100.914513pt;margin-top:7.86393pt;width:178.9pt;height:16.1500pt;mso-position-horizontal-relative:page;mso-position-vertical-relative:paragraph;z-index:15887872" filled="true" fillcolor="#525252" stroked="false" type="#_x0000_t202">
                <v:textbox inset="0,0,0,0">
                  <w:txbxContent>
                    <w:p>
                      <w:pPr>
                        <w:spacing w:before="23"/>
                        <w:ind w:left="-1" w:right="-15" w:firstLine="0"/>
                        <w:jc w:val="left"/>
                        <w:rPr>
                          <w:color w:val="000000"/>
                          <w:sz w:val="23"/>
                        </w:rPr>
                      </w:pPr>
                      <w:r>
                        <w:rPr>
                          <w:b/>
                          <w:color w:val="EDEDED"/>
                          <w:w w:val="110"/>
                          <w:sz w:val="22"/>
                        </w:rPr>
                        <w:t>Grow</w:t>
                      </w:r>
                      <w:r>
                        <w:rPr>
                          <w:b/>
                          <w:color w:val="EDEDED"/>
                          <w:spacing w:val="-16"/>
                          <w:w w:val="110"/>
                          <w:sz w:val="22"/>
                        </w:rPr>
                        <w:t> </w:t>
                      </w:r>
                      <w:r>
                        <w:rPr>
                          <w:color w:val="FDFDFD"/>
                          <w:w w:val="110"/>
                          <w:sz w:val="23"/>
                        </w:rPr>
                        <w:t>an</w:t>
                      </w:r>
                      <w:r>
                        <w:rPr>
                          <w:color w:val="FDFDFD"/>
                          <w:spacing w:val="-18"/>
                          <w:w w:val="110"/>
                          <w:sz w:val="23"/>
                        </w:rPr>
                        <w:t> </w:t>
                      </w:r>
                      <w:r>
                        <w:rPr>
                          <w:color w:val="FDFDFD"/>
                          <w:w w:val="110"/>
                          <w:sz w:val="23"/>
                        </w:rPr>
                        <w:t>innovative</w:t>
                      </w:r>
                      <w:r>
                        <w:rPr>
                          <w:color w:val="FDFDFD"/>
                          <w:spacing w:val="-6"/>
                          <w:w w:val="110"/>
                          <w:sz w:val="23"/>
                        </w:rPr>
                        <w:t> </w:t>
                      </w:r>
                      <w:r>
                        <w:rPr>
                          <w:color w:val="FDFDFD"/>
                          <w:w w:val="110"/>
                          <w:sz w:val="23"/>
                        </w:rPr>
                        <w:t>and</w:t>
                      </w:r>
                      <w:r>
                        <w:rPr>
                          <w:color w:val="FDFDFD"/>
                          <w:spacing w:val="-18"/>
                          <w:w w:val="110"/>
                          <w:sz w:val="23"/>
                        </w:rPr>
                        <w:t> </w:t>
                      </w:r>
                      <w:r>
                        <w:rPr>
                          <w:color w:val="FDFDFD"/>
                          <w:spacing w:val="-2"/>
                          <w:w w:val="110"/>
                          <w:sz w:val="23"/>
                        </w:rPr>
                        <w:t>resilient</w:t>
                      </w:r>
                    </w:p>
                  </w:txbxContent>
                </v:textbox>
                <v:fill type="solid"/>
                <w10:wrap type="none"/>
              </v:shape>
            </w:pict>
          </ve:Fallback>
        </ve:AlternateContent>
      </w:r>
      <w:r>
        <w:rPr>
          <w:color w:val="FDFDFD"/>
          <w:spacing w:val="-5"/>
          <w:w w:val="65"/>
        </w:rPr>
        <w:t>E!J</w:t>
      </w:r>
    </w:p>
    <w:p>
      <w:pPr>
        <w:spacing w:before="0" w:line="257" w:lineRule="exact"/>
        <w:ind w:left="1575" w:right="0" w:firstLine="0"/>
        <w:jc w:val="left"/>
        <w:rPr>
          <w:sz w:val="23"/>
        </w:rPr>
      </w:pPr>
      <w:r>
        <w:rPr/>
        <ve:AlternateContent>
          <ve:Choice Requires="wps">
            <w:drawing>
              <wp:anchor distT="0" distB="0" distL="0" distR="0" simplePos="0" relativeHeight="475998208" behindDoc="1" locked="0" layoutInCell="1" allowOverlap="1">
                <wp:simplePos x="0" y="0"/>
                <wp:positionH relativeFrom="page">
                  <wp:posOffset>940765</wp:posOffset>
                </wp:positionH>
                <wp:positionV relativeFrom="paragraph">
                  <wp:posOffset>160684</wp:posOffset>
                </wp:positionV>
                <wp:extent cx="220345" cy="727075"/>
                <wp:effectExtent l="0" t="0" r="0" b="0"/>
                <wp:wrapNone/>
                <wp:docPr id="715" name="Graphic 715"/>
                <wp:cNvGraphicFramePr>
                  <a:graphicFrameLocks/>
                </wp:cNvGraphicFramePr>
                <a:graphic>
                  <a:graphicData uri="http://schemas.microsoft.com/office/word/2010/wordprocessingShape">
                    <wps:wsp>
                      <wps:cNvPr id="715" name="Graphic 715"/>
                      <wps:cNvSpPr/>
                      <wps:spPr>
                        <a:xfrm>
                          <a:off x="0" y="0"/>
                          <a:ext cx="220345" cy="727075"/>
                        </a:xfrm>
                        <a:custGeom>
                          <a:avLst/>
                          <a:gdLst/>
                          <a:ahLst/>
                          <a:cxnLst/>
                          <a:rect l="l" t="t" r="r" b="b"/>
                          <a:pathLst>
                            <a:path w="220345" h="727075">
                              <a:moveTo>
                                <a:pt x="220281" y="0"/>
                              </a:moveTo>
                              <a:lnTo>
                                <a:pt x="6578" y="0"/>
                              </a:lnTo>
                              <a:lnTo>
                                <a:pt x="6578" y="316750"/>
                              </a:lnTo>
                              <a:lnTo>
                                <a:pt x="0" y="316750"/>
                              </a:lnTo>
                              <a:lnTo>
                                <a:pt x="0" y="726452"/>
                              </a:lnTo>
                              <a:lnTo>
                                <a:pt x="213702" y="726452"/>
                              </a:lnTo>
                              <a:lnTo>
                                <a:pt x="213702" y="400596"/>
                              </a:lnTo>
                              <a:lnTo>
                                <a:pt x="220281" y="400596"/>
                              </a:lnTo>
                              <a:lnTo>
                                <a:pt x="220281" y="0"/>
                              </a:lnTo>
                              <a:close/>
                            </a:path>
                          </a:pathLst>
                        </a:custGeom>
                        <a:solidFill>
                          <a:srgbClr val="525252"/>
                        </a:solidFill>
                      </wps:spPr>
                      <wps:bodyPr wrap="square" lIns="0" tIns="0" rIns="0" bIns="0" rtlCol="0">
                        <a:prstTxWarp prst="textNoShape">
                          <a:avLst/>
                        </a:prstTxWarp>
                        <a:noAutofit/>
                      </wps:bodyPr>
                    </wps:wsp>
                  </a:graphicData>
                </a:graphic>
              </wp:anchor>
            </w:drawing>
          </ve:Choice>
          <ve:Fallback>
            <w:pict>
              <v:shape id="docshape461" style="position:absolute;margin-left:74.076004pt;margin-top:12.652307pt;width:17.350pt;height:57.25pt;mso-position-horizontal-relative:page;mso-position-vertical-relative:paragraph;z-index:-27318272" coordsize="347,1145" coordorigin="1482,253" filled="true" fillcolor="#525252" stroked="false" path="m1828,253l1492,253,1492,752,1482,752,1482,1397,1818,1397,1818,884,1828,884,1828,253xe">
                <v:path arrowok="t"/>
                <v:fill type="solid"/>
                <w10:wrap type="none"/>
              </v:shape>
            </w:pict>
          </ve:Fallback>
        </ve:AlternateContent>
      </w:r>
      <w:r>
        <w:rPr>
          <w:color w:val="EDEDED"/>
          <w:spacing w:val="-2"/>
          <w:w w:val="105"/>
          <w:sz w:val="23"/>
          <w:shd w:val="clear" w:color="auto" w:fill="525252"/>
        </w:rPr>
        <w:t>economy</w:t>
      </w:r>
    </w:p>
    <w:p>
      <w:pPr>
        <w:spacing w:before="48" w:line="503" w:lineRule="exact"/>
        <w:ind w:left="1051" w:right="0" w:firstLine="0"/>
        <w:jc w:val="left"/>
        <w:rPr>
          <w:sz w:val="23"/>
        </w:rPr>
      </w:pPr>
      <w:r>
        <w:rPr>
          <w:b/>
          <w:color w:val="FDFDFD"/>
          <w:w w:val="85"/>
          <w:sz w:val="44"/>
        </w:rPr>
        <w:t>E!J</w:t>
      </w:r>
      <w:r>
        <w:rPr>
          <w:b/>
          <w:color w:val="FDFDFD"/>
          <w:spacing w:val="26"/>
          <w:sz w:val="44"/>
        </w:rPr>
        <w:t> </w:t>
      </w:r>
      <w:r>
        <w:rPr>
          <w:color w:val="FDFDFD"/>
          <w:sz w:val="23"/>
          <w:shd w:val="clear" w:color="auto" w:fill="525252"/>
        </w:rPr>
        <w:t>Support</w:t>
      </w:r>
      <w:r>
        <w:rPr>
          <w:color w:val="FDFDFD"/>
          <w:spacing w:val="23"/>
          <w:sz w:val="23"/>
        </w:rPr>
        <w:t> </w:t>
      </w:r>
      <w:r>
        <w:rPr>
          <w:color w:val="FDFDFD"/>
          <w:sz w:val="23"/>
          <w:shd w:val="clear" w:color="auto" w:fill="525252"/>
        </w:rPr>
        <w:t>big</w:t>
      </w:r>
      <w:r>
        <w:rPr>
          <w:color w:val="FDFDFD"/>
          <w:spacing w:val="-6"/>
          <w:sz w:val="23"/>
          <w:shd w:val="clear" w:color="auto" w:fill="525252"/>
        </w:rPr>
        <w:t> </w:t>
      </w:r>
      <w:r>
        <w:rPr>
          <w:color w:val="FDFDFD"/>
          <w:sz w:val="23"/>
          <w:shd w:val="clear" w:color="auto" w:fill="525252"/>
        </w:rPr>
        <w:t>and</w:t>
      </w:r>
      <w:r>
        <w:rPr>
          <w:color w:val="FDFDFD"/>
          <w:spacing w:val="-2"/>
          <w:sz w:val="23"/>
          <w:shd w:val="clear" w:color="auto" w:fill="525252"/>
        </w:rPr>
        <w:t> </w:t>
      </w:r>
      <w:r>
        <w:rPr>
          <w:color w:val="FDFDFD"/>
          <w:sz w:val="23"/>
          <w:shd w:val="clear" w:color="auto" w:fill="525252"/>
        </w:rPr>
        <w:t>small</w:t>
      </w:r>
      <w:r>
        <w:rPr>
          <w:color w:val="FDFDFD"/>
          <w:spacing w:val="-4"/>
          <w:sz w:val="23"/>
          <w:shd w:val="clear" w:color="auto" w:fill="525252"/>
        </w:rPr>
        <w:t> </w:t>
      </w:r>
      <w:r>
        <w:rPr>
          <w:color w:val="FDFDFD"/>
          <w:spacing w:val="-2"/>
          <w:sz w:val="23"/>
          <w:shd w:val="clear" w:color="auto" w:fill="525252"/>
        </w:rPr>
        <w:t>business</w:t>
      </w:r>
    </w:p>
    <w:p>
      <w:pPr>
        <w:spacing w:before="47" w:line="211" w:lineRule="auto"/>
        <w:ind w:left="1562" w:right="5412" w:hanging="521"/>
        <w:jc w:val="left"/>
        <w:rPr>
          <w:sz w:val="23"/>
        </w:rPr>
      </w:pPr>
      <w:r>
        <w:rPr/>
        <ve:AlternateContent>
          <ve:Choice Requires="wps">
            <w:drawing>
              <wp:anchor distT="0" distB="0" distL="0" distR="0" simplePos="0" relativeHeight="475998720" behindDoc="1" locked="0" layoutInCell="1" allowOverlap="1">
                <wp:simplePos x="0" y="0"/>
                <wp:positionH relativeFrom="page">
                  <wp:posOffset>1276481</wp:posOffset>
                </wp:positionH>
                <wp:positionV relativeFrom="paragraph">
                  <wp:posOffset>114092</wp:posOffset>
                </wp:positionV>
                <wp:extent cx="2328545" cy="200025"/>
                <wp:effectExtent l="0" t="0" r="0" b="0"/>
                <wp:wrapNone/>
                <wp:docPr id="716" name="Graphic 716"/>
                <wp:cNvGraphicFramePr>
                  <a:graphicFrameLocks/>
                </wp:cNvGraphicFramePr>
                <a:graphic>
                  <a:graphicData uri="http://schemas.microsoft.com/office/word/2010/wordprocessingShape">
                    <wps:wsp>
                      <wps:cNvPr id="716" name="Graphic 716"/>
                      <wps:cNvSpPr/>
                      <wps:spPr>
                        <a:xfrm>
                          <a:off x="0" y="0"/>
                          <a:ext cx="2328545" cy="200025"/>
                        </a:xfrm>
                        <a:custGeom>
                          <a:avLst/>
                          <a:gdLst/>
                          <a:ahLst/>
                          <a:cxnLst/>
                          <a:rect l="l" t="t" r="r" b="b"/>
                          <a:pathLst>
                            <a:path w="2328545" h="200025">
                              <a:moveTo>
                                <a:pt x="2328528" y="199477"/>
                              </a:moveTo>
                              <a:lnTo>
                                <a:pt x="0" y="199477"/>
                              </a:lnTo>
                              <a:lnTo>
                                <a:pt x="0" y="0"/>
                              </a:lnTo>
                              <a:lnTo>
                                <a:pt x="2328528" y="0"/>
                              </a:lnTo>
                              <a:lnTo>
                                <a:pt x="2328528" y="199477"/>
                              </a:lnTo>
                              <a:close/>
                            </a:path>
                          </a:pathLst>
                        </a:custGeom>
                        <a:solidFill>
                          <a:srgbClr val="525252"/>
                        </a:solidFill>
                      </wps:spPr>
                      <wps:bodyPr wrap="square" lIns="0" tIns="0" rIns="0" bIns="0" rtlCol="0">
                        <a:prstTxWarp prst="textNoShape">
                          <a:avLst/>
                        </a:prstTxWarp>
                        <a:noAutofit/>
                      </wps:bodyPr>
                    </wps:wsp>
                  </a:graphicData>
                </a:graphic>
              </wp:anchor>
            </w:drawing>
          </ve:Choice>
          <ve:Fallback>
            <w:pict>
              <v:rect id="docshape462" style="position:absolute;margin-left:100.510361pt;margin-top:8.983646pt;width:183.348669pt;height:15.70687pt;mso-position-horizontal-relative:page;mso-position-vertical-relative:paragraph;z-index:-27317760" filled="true" fillcolor="#525252" stroked="false">
                <v:fill type="solid"/>
                <w10:wrap type="none"/>
              </v:rect>
            </w:pict>
          </ve:Fallback>
        </ve:AlternateContent>
      </w:r>
      <w:r>
        <w:rPr>
          <w:b/>
          <w:color w:val="FDFDFD"/>
          <w:w w:val="90"/>
          <w:sz w:val="45"/>
        </w:rPr>
        <w:t>EIJ </w:t>
      </w:r>
      <w:r>
        <w:rPr>
          <w:color w:val="FDFDFD"/>
          <w:w w:val="105"/>
          <w:sz w:val="23"/>
        </w:rPr>
        <w:t>Help</w:t>
      </w:r>
      <w:r>
        <w:rPr>
          <w:color w:val="FDFDFD"/>
          <w:spacing w:val="-5"/>
          <w:w w:val="105"/>
          <w:sz w:val="23"/>
        </w:rPr>
        <w:t> </w:t>
      </w:r>
      <w:r>
        <w:rPr>
          <w:color w:val="FDFDFD"/>
          <w:w w:val="105"/>
          <w:sz w:val="23"/>
        </w:rPr>
        <w:t>our</w:t>
      </w:r>
      <w:r>
        <w:rPr>
          <w:color w:val="FDFDFD"/>
          <w:spacing w:val="-4"/>
          <w:w w:val="105"/>
          <w:sz w:val="23"/>
        </w:rPr>
        <w:t> </w:t>
      </w:r>
      <w:r>
        <w:rPr>
          <w:color w:val="FDFDFD"/>
          <w:w w:val="105"/>
          <w:sz w:val="23"/>
        </w:rPr>
        <w:t>future workforce match </w:t>
      </w:r>
      <w:r>
        <w:rPr>
          <w:color w:val="FDFDFD"/>
          <w:w w:val="105"/>
          <w:sz w:val="23"/>
          <w:shd w:val="clear" w:color="auto" w:fill="525252"/>
        </w:rPr>
        <w:t>our economy</w:t>
      </w:r>
    </w:p>
    <w:p>
      <w:pPr>
        <w:spacing w:before="0" w:line="591" w:lineRule="exact"/>
        <w:ind w:left="748" w:right="0" w:firstLine="0"/>
        <w:jc w:val="left"/>
        <w:rPr>
          <w:sz w:val="23"/>
        </w:rPr>
      </w:pPr>
      <w:r>
        <w:rPr>
          <w:b/>
          <w:color w:val="FDFDFD"/>
          <w:w w:val="105"/>
          <w:sz w:val="61"/>
          <w:shd w:val="clear" w:color="auto" w:fill="525252"/>
        </w:rPr>
        <w:t>m</w:t>
      </w:r>
      <w:r>
        <w:rPr>
          <w:b/>
          <w:color w:val="FDFDFD"/>
          <w:spacing w:val="4"/>
          <w:w w:val="150"/>
          <w:sz w:val="61"/>
        </w:rPr>
        <w:t> </w:t>
      </w:r>
      <w:r>
        <w:rPr>
          <w:color w:val="FDFDFD"/>
          <w:w w:val="105"/>
          <w:sz w:val="23"/>
          <w:shd w:val="clear" w:color="auto" w:fill="525252"/>
        </w:rPr>
        <w:t>Target</w:t>
      </w:r>
      <w:r>
        <w:rPr>
          <w:color w:val="FDFDFD"/>
          <w:spacing w:val="16"/>
          <w:w w:val="105"/>
          <w:sz w:val="23"/>
          <w:shd w:val="clear" w:color="auto" w:fill="525252"/>
        </w:rPr>
        <w:t> </w:t>
      </w:r>
      <w:r>
        <w:rPr>
          <w:color w:val="FDFDFD"/>
          <w:w w:val="105"/>
          <w:sz w:val="23"/>
          <w:shd w:val="clear" w:color="auto" w:fill="525252"/>
        </w:rPr>
        <w:t>the</w:t>
      </w:r>
      <w:r>
        <w:rPr>
          <w:color w:val="FDFDFD"/>
          <w:spacing w:val="29"/>
          <w:w w:val="105"/>
          <w:sz w:val="23"/>
          <w:shd w:val="clear" w:color="auto" w:fill="525252"/>
        </w:rPr>
        <w:t> </w:t>
      </w:r>
      <w:r>
        <w:rPr>
          <w:color w:val="FDFDFD"/>
          <w:w w:val="105"/>
          <w:sz w:val="23"/>
          <w:shd w:val="clear" w:color="auto" w:fill="525252"/>
        </w:rPr>
        <w:t>investment</w:t>
      </w:r>
      <w:r>
        <w:rPr>
          <w:color w:val="FDFDFD"/>
          <w:spacing w:val="36"/>
          <w:w w:val="105"/>
          <w:sz w:val="23"/>
          <w:shd w:val="clear" w:color="auto" w:fill="525252"/>
        </w:rPr>
        <w:t> </w:t>
      </w:r>
      <w:r>
        <w:rPr>
          <w:color w:val="FDFDFD"/>
          <w:w w:val="105"/>
          <w:sz w:val="23"/>
          <w:shd w:val="clear" w:color="auto" w:fill="525252"/>
        </w:rPr>
        <w:t>we</w:t>
      </w:r>
      <w:r>
        <w:rPr>
          <w:color w:val="FDFDFD"/>
          <w:spacing w:val="8"/>
          <w:w w:val="105"/>
          <w:sz w:val="23"/>
          <w:shd w:val="clear" w:color="auto" w:fill="525252"/>
        </w:rPr>
        <w:t> </w:t>
      </w:r>
      <w:r>
        <w:rPr>
          <w:color w:val="FDFDFD"/>
          <w:spacing w:val="-4"/>
          <w:w w:val="105"/>
          <w:sz w:val="23"/>
          <w:shd w:val="clear" w:color="auto" w:fill="525252"/>
        </w:rPr>
        <w:t>want</w:t>
      </w:r>
    </w:p>
    <w:p>
      <w:pPr>
        <w:pStyle w:val="BodyText"/>
        <w:spacing w:before="152"/>
        <w:rPr>
          <w:sz w:val="23"/>
        </w:rPr>
      </w:pPr>
    </w:p>
    <w:p>
      <w:pPr>
        <w:spacing w:before="0" w:line="237" w:lineRule="auto"/>
        <w:ind w:left="927" w:right="1473" w:firstLine="1"/>
        <w:jc w:val="left"/>
        <w:rPr>
          <w:b/>
          <w:sz w:val="22"/>
        </w:rPr>
      </w:pPr>
      <w:r>
        <w:rPr>
          <w:b/>
          <w:color w:val="1A1A1A"/>
          <w:sz w:val="22"/>
          <w:u w:val="thick" w:color="1A1A1A"/>
        </w:rPr>
        <w:t>Reviewing the Council's vision and</w:t>
      </w:r>
      <w:r>
        <w:rPr>
          <w:b/>
          <w:color w:val="1A1A1A"/>
          <w:spacing w:val="-1"/>
          <w:sz w:val="22"/>
          <w:u w:val="thick" w:color="1A1A1A"/>
        </w:rPr>
        <w:t> </w:t>
      </w:r>
      <w:r>
        <w:rPr>
          <w:b/>
          <w:color w:val="1A1A1A"/>
          <w:sz w:val="22"/>
          <w:u w:val="thick" w:color="1A1A1A"/>
        </w:rPr>
        <w:t>its</w:t>
      </w:r>
      <w:r>
        <w:rPr>
          <w:b/>
          <w:color w:val="1A1A1A"/>
          <w:spacing w:val="-9"/>
          <w:sz w:val="22"/>
          <w:u w:val="thick" w:color="1A1A1A"/>
        </w:rPr>
        <w:t> </w:t>
      </w:r>
      <w:r>
        <w:rPr>
          <w:b/>
          <w:color w:val="1A1A1A"/>
          <w:sz w:val="22"/>
          <w:u w:val="thick" w:color="1A1A1A"/>
        </w:rPr>
        <w:t>implications for the</w:t>
      </w:r>
      <w:r>
        <w:rPr>
          <w:b/>
          <w:color w:val="1A1A1A"/>
          <w:spacing w:val="-5"/>
          <w:sz w:val="22"/>
          <w:u w:val="thick" w:color="1A1A1A"/>
        </w:rPr>
        <w:t> </w:t>
      </w:r>
      <w:r>
        <w:rPr>
          <w:b/>
          <w:color w:val="1A1A1A"/>
          <w:sz w:val="22"/>
          <w:u w:val="thick" w:color="1A1A1A"/>
        </w:rPr>
        <w:t>Council's governance</w:t>
      </w:r>
      <w:r>
        <w:rPr>
          <w:b/>
          <w:color w:val="1A1A1A"/>
          <w:sz w:val="22"/>
          <w:u w:val="none"/>
        </w:rPr>
        <w:t> </w:t>
      </w:r>
      <w:r>
        <w:rPr>
          <w:b/>
          <w:color w:val="1A1A1A"/>
          <w:spacing w:val="-2"/>
          <w:sz w:val="22"/>
          <w:u w:val="thick" w:color="1A1A1A"/>
        </w:rPr>
        <w:t>arrangements</w:t>
      </w:r>
    </w:p>
    <w:p>
      <w:pPr>
        <w:pStyle w:val="BodyText"/>
        <w:spacing w:before="8"/>
        <w:rPr>
          <w:b/>
        </w:rPr>
      </w:pPr>
    </w:p>
    <w:p>
      <w:pPr>
        <w:pStyle w:val="ListParagraph"/>
        <w:numPr>
          <w:ilvl w:val="0"/>
          <w:numId w:val="29"/>
        </w:numPr>
        <w:tabs>
          <w:tab w:val="left" w:leader="none" w:pos="896"/>
          <w:tab w:val="left" w:leader="none" w:pos="915"/>
        </w:tabs>
        <w:spacing w:before="0" w:after="0" w:line="240" w:lineRule="auto"/>
        <w:ind w:left="896" w:right="235" w:hanging="692"/>
        <w:jc w:val="left"/>
        <w:rPr>
          <w:color w:val="0A0A0A"/>
          <w:sz w:val="22"/>
        </w:rPr>
      </w:pPr>
      <w:r>
        <w:rPr>
          <w:color w:val="676767"/>
          <w:sz w:val="22"/>
        </w:rPr>
        <w:tab/>
      </w:r>
      <w:r>
        <w:rPr>
          <w:color w:val="0A0A0A"/>
          <w:sz w:val="22"/>
        </w:rPr>
        <w:t>The Council's Corporate Plan</w:t>
      </w:r>
      <w:r>
        <w:rPr>
          <w:color w:val="0A0A0A"/>
          <w:spacing w:val="-2"/>
          <w:sz w:val="22"/>
        </w:rPr>
        <w:t> </w:t>
      </w:r>
      <w:r>
        <w:rPr>
          <w:color w:val="0A0A0A"/>
          <w:sz w:val="22"/>
        </w:rPr>
        <w:t>has been subject to ongoing review and</w:t>
      </w:r>
      <w:r>
        <w:rPr>
          <w:color w:val="0A0A0A"/>
          <w:spacing w:val="-5"/>
          <w:sz w:val="22"/>
        </w:rPr>
        <w:t> </w:t>
      </w:r>
      <w:r>
        <w:rPr>
          <w:color w:val="0A0A0A"/>
          <w:sz w:val="22"/>
        </w:rPr>
        <w:t>the</w:t>
      </w:r>
      <w:r>
        <w:rPr>
          <w:color w:val="0A0A0A"/>
          <w:spacing w:val="-6"/>
          <w:sz w:val="22"/>
        </w:rPr>
        <w:t> </w:t>
      </w:r>
      <w:r>
        <w:rPr>
          <w:color w:val="0A0A0A"/>
          <w:sz w:val="22"/>
        </w:rPr>
        <w:t>previous vision, </w:t>
      </w:r>
      <w:r>
        <w:rPr>
          <w:color w:val="1A1A1A"/>
          <w:sz w:val="22"/>
        </w:rPr>
        <w:t>priorities </w:t>
      </w:r>
      <w:r>
        <w:rPr>
          <w:color w:val="0A0A0A"/>
          <w:sz w:val="22"/>
        </w:rPr>
        <w:t>and values</w:t>
      </w:r>
      <w:r>
        <w:rPr>
          <w:color w:val="0A0A0A"/>
          <w:spacing w:val="14"/>
          <w:sz w:val="22"/>
        </w:rPr>
        <w:t> </w:t>
      </w:r>
      <w:r>
        <w:rPr>
          <w:color w:val="0A0A0A"/>
          <w:sz w:val="22"/>
        </w:rPr>
        <w:t>were </w:t>
      </w:r>
      <w:r>
        <w:rPr>
          <w:color w:val="1A1A1A"/>
          <w:sz w:val="22"/>
        </w:rPr>
        <w:t>subject </w:t>
      </w:r>
      <w:r>
        <w:rPr>
          <w:color w:val="0A0A0A"/>
          <w:sz w:val="22"/>
        </w:rPr>
        <w:t>to</w:t>
      </w:r>
      <w:r>
        <w:rPr>
          <w:color w:val="0A0A0A"/>
          <w:spacing w:val="-11"/>
          <w:sz w:val="22"/>
        </w:rPr>
        <w:t> </w:t>
      </w:r>
      <w:r>
        <w:rPr>
          <w:color w:val="1A1A1A"/>
          <w:sz w:val="22"/>
        </w:rPr>
        <w:t>review </w:t>
      </w:r>
      <w:r>
        <w:rPr>
          <w:color w:val="0A0A0A"/>
          <w:sz w:val="22"/>
        </w:rPr>
        <w:t>and</w:t>
      </w:r>
      <w:r>
        <w:rPr>
          <w:color w:val="0A0A0A"/>
          <w:spacing w:val="-7"/>
          <w:sz w:val="22"/>
        </w:rPr>
        <w:t> </w:t>
      </w:r>
      <w:r>
        <w:rPr>
          <w:color w:val="0A0A0A"/>
          <w:sz w:val="22"/>
        </w:rPr>
        <w:t>consultation</w:t>
      </w:r>
      <w:r>
        <w:rPr>
          <w:color w:val="0A0A0A"/>
          <w:spacing w:val="18"/>
          <w:sz w:val="22"/>
        </w:rPr>
        <w:t> </w:t>
      </w:r>
      <w:r>
        <w:rPr>
          <w:color w:val="0A0A0A"/>
          <w:sz w:val="22"/>
        </w:rPr>
        <w:t>in</w:t>
      </w:r>
      <w:r>
        <w:rPr>
          <w:color w:val="0A0A0A"/>
          <w:spacing w:val="-1"/>
          <w:sz w:val="22"/>
        </w:rPr>
        <w:t> </w:t>
      </w:r>
      <w:r>
        <w:rPr>
          <w:color w:val="0A0A0A"/>
          <w:sz w:val="22"/>
        </w:rPr>
        <w:t>2022.</w:t>
      </w:r>
      <w:r>
        <w:rPr>
          <w:color w:val="0A0A0A"/>
          <w:spacing w:val="69"/>
          <w:sz w:val="22"/>
        </w:rPr>
        <w:t> </w:t>
      </w:r>
      <w:r>
        <w:rPr>
          <w:color w:val="0A0A0A"/>
          <w:sz w:val="22"/>
        </w:rPr>
        <w:t>A</w:t>
      </w:r>
      <w:r>
        <w:rPr>
          <w:color w:val="0A0A0A"/>
          <w:spacing w:val="-2"/>
          <w:sz w:val="22"/>
        </w:rPr>
        <w:t> </w:t>
      </w:r>
      <w:r>
        <w:rPr>
          <w:color w:val="0A0A0A"/>
          <w:sz w:val="22"/>
        </w:rPr>
        <w:t>new approach has been </w:t>
      </w:r>
      <w:r>
        <w:rPr>
          <w:color w:val="1A1A1A"/>
          <w:sz w:val="22"/>
        </w:rPr>
        <w:t>agreed with a</w:t>
      </w:r>
      <w:r>
        <w:rPr>
          <w:color w:val="1A1A1A"/>
          <w:spacing w:val="-1"/>
          <w:sz w:val="22"/>
        </w:rPr>
        <w:t> </w:t>
      </w:r>
      <w:r>
        <w:rPr>
          <w:color w:val="1A1A1A"/>
          <w:sz w:val="22"/>
        </w:rPr>
        <w:t>high-level vision Hertsmere Vision 2022-27 -</w:t>
      </w:r>
      <w:r>
        <w:rPr>
          <w:color w:val="1A1A1A"/>
          <w:spacing w:val="70"/>
          <w:sz w:val="22"/>
        </w:rPr>
        <w:t> </w:t>
      </w:r>
      <w:r>
        <w:rPr>
          <w:color w:val="1A1A1A"/>
          <w:sz w:val="22"/>
        </w:rPr>
        <w:t>Driving</w:t>
      </w:r>
      <w:r>
        <w:rPr>
          <w:color w:val="1A1A1A"/>
          <w:spacing w:val="24"/>
          <w:sz w:val="22"/>
        </w:rPr>
        <w:t> </w:t>
      </w:r>
      <w:r>
        <w:rPr>
          <w:color w:val="1A1A1A"/>
          <w:sz w:val="22"/>
        </w:rPr>
        <w:t>Better </w:t>
      </w:r>
      <w:r>
        <w:rPr>
          <w:color w:val="0A0A0A"/>
          <w:sz w:val="22"/>
        </w:rPr>
        <w:t>Futures </w:t>
      </w:r>
      <w:r>
        <w:rPr>
          <w:color w:val="1A1A1A"/>
          <w:sz w:val="22"/>
        </w:rPr>
        <w:t>The</w:t>
      </w:r>
      <w:r>
        <w:rPr>
          <w:color w:val="1A1A1A"/>
          <w:spacing w:val="-1"/>
          <w:sz w:val="22"/>
        </w:rPr>
        <w:t> </w:t>
      </w:r>
      <w:r>
        <w:rPr>
          <w:color w:val="313131"/>
          <w:sz w:val="22"/>
        </w:rPr>
        <w:t>Hertsmere</w:t>
      </w:r>
      <w:r>
        <w:rPr>
          <w:color w:val="313131"/>
          <w:spacing w:val="32"/>
          <w:sz w:val="22"/>
        </w:rPr>
        <w:t> </w:t>
      </w:r>
      <w:r>
        <w:rPr>
          <w:color w:val="1A1A1A"/>
          <w:sz w:val="22"/>
        </w:rPr>
        <w:t>Vision</w:t>
      </w:r>
      <w:r>
        <w:rPr>
          <w:color w:val="1A1A1A"/>
          <w:spacing w:val="-3"/>
          <w:sz w:val="22"/>
        </w:rPr>
        <w:t> </w:t>
      </w:r>
      <w:r>
        <w:rPr>
          <w:color w:val="0A0A0A"/>
          <w:sz w:val="22"/>
        </w:rPr>
        <w:t>- </w:t>
      </w:r>
      <w:r>
        <w:rPr>
          <w:color w:val="1A1A1A"/>
          <w:sz w:val="22"/>
        </w:rPr>
        <w:t>Driving Better Futures 2022-27 is clearly structured </w:t>
      </w:r>
      <w:r>
        <w:rPr>
          <w:color w:val="0A0A0A"/>
          <w:sz w:val="22"/>
        </w:rPr>
        <w:t>with </w:t>
      </w:r>
      <w:r>
        <w:rPr>
          <w:color w:val="1A1A1A"/>
          <w:sz w:val="22"/>
        </w:rPr>
        <w:t>an </w:t>
      </w:r>
      <w:r>
        <w:rPr>
          <w:color w:val="0A0A0A"/>
          <w:sz w:val="22"/>
        </w:rPr>
        <w:t>overall Vision </w:t>
      </w:r>
      <w:r>
        <w:rPr>
          <w:color w:val="1A1A1A"/>
          <w:sz w:val="22"/>
        </w:rPr>
        <w:t>Statement,</w:t>
      </w:r>
      <w:r>
        <w:rPr>
          <w:color w:val="1A1A1A"/>
          <w:spacing w:val="35"/>
          <w:sz w:val="22"/>
        </w:rPr>
        <w:t> </w:t>
      </w:r>
      <w:r>
        <w:rPr>
          <w:color w:val="1A1A1A"/>
          <w:sz w:val="22"/>
        </w:rPr>
        <w:t>6</w:t>
      </w:r>
      <w:r>
        <w:rPr>
          <w:color w:val="1A1A1A"/>
          <w:spacing w:val="-7"/>
          <w:sz w:val="22"/>
        </w:rPr>
        <w:t> </w:t>
      </w:r>
      <w:r>
        <w:rPr>
          <w:color w:val="1A1A1A"/>
          <w:sz w:val="22"/>
        </w:rPr>
        <w:t>Position Statements</w:t>
      </w:r>
      <w:r>
        <w:rPr>
          <w:color w:val="1A1A1A"/>
          <w:spacing w:val="23"/>
          <w:sz w:val="22"/>
        </w:rPr>
        <w:t> </w:t>
      </w:r>
      <w:r>
        <w:rPr>
          <w:color w:val="1A1A1A"/>
          <w:sz w:val="22"/>
        </w:rPr>
        <w:t>describing key</w:t>
      </w:r>
      <w:r>
        <w:rPr>
          <w:color w:val="1A1A1A"/>
          <w:spacing w:val="22"/>
          <w:sz w:val="22"/>
        </w:rPr>
        <w:t> </w:t>
      </w:r>
      <w:r>
        <w:rPr>
          <w:color w:val="1A1A1A"/>
          <w:sz w:val="22"/>
        </w:rPr>
        <w:t>areas</w:t>
      </w:r>
      <w:r>
        <w:rPr>
          <w:color w:val="1A1A1A"/>
          <w:spacing w:val="29"/>
          <w:sz w:val="22"/>
        </w:rPr>
        <w:t> </w:t>
      </w:r>
      <w:r>
        <w:rPr>
          <w:color w:val="1A1A1A"/>
          <w:sz w:val="22"/>
        </w:rPr>
        <w:t>of focus and</w:t>
      </w:r>
      <w:r>
        <w:rPr>
          <w:color w:val="1A1A1A"/>
          <w:spacing w:val="-5"/>
          <w:sz w:val="22"/>
        </w:rPr>
        <w:t> </w:t>
      </w:r>
      <w:r>
        <w:rPr>
          <w:color w:val="1A1A1A"/>
          <w:sz w:val="22"/>
        </w:rPr>
        <w:t>then </w:t>
      </w:r>
      <w:r>
        <w:rPr>
          <w:color w:val="0A0A0A"/>
          <w:sz w:val="22"/>
        </w:rPr>
        <w:t>30 Commitments</w:t>
      </w:r>
      <w:r>
        <w:rPr>
          <w:color w:val="0A0A0A"/>
          <w:spacing w:val="28"/>
          <w:sz w:val="22"/>
        </w:rPr>
        <w:t> </w:t>
      </w:r>
      <w:r>
        <w:rPr>
          <w:color w:val="0A0A0A"/>
          <w:sz w:val="22"/>
        </w:rPr>
        <w:t>which articulate how the council will</w:t>
      </w:r>
      <w:r>
        <w:rPr>
          <w:color w:val="0A0A0A"/>
          <w:spacing w:val="-5"/>
          <w:sz w:val="22"/>
        </w:rPr>
        <w:t> </w:t>
      </w:r>
      <w:r>
        <w:rPr>
          <w:color w:val="0A0A0A"/>
          <w:sz w:val="22"/>
        </w:rPr>
        <w:t>deliver against the</w:t>
      </w:r>
      <w:r>
        <w:rPr>
          <w:color w:val="0A0A0A"/>
          <w:spacing w:val="-4"/>
          <w:sz w:val="22"/>
        </w:rPr>
        <w:t> </w:t>
      </w:r>
      <w:r>
        <w:rPr>
          <w:color w:val="0A0A0A"/>
          <w:sz w:val="22"/>
        </w:rPr>
        <w:t>statements.</w:t>
      </w:r>
      <w:r>
        <w:rPr>
          <w:color w:val="0A0A0A"/>
          <w:spacing w:val="73"/>
          <w:sz w:val="22"/>
        </w:rPr>
        <w:t> </w:t>
      </w:r>
      <w:r>
        <w:rPr>
          <w:color w:val="0A0A0A"/>
          <w:sz w:val="22"/>
        </w:rPr>
        <w:t>The</w:t>
      </w:r>
      <w:r>
        <w:rPr>
          <w:color w:val="0A0A0A"/>
          <w:spacing w:val="-5"/>
          <w:sz w:val="22"/>
        </w:rPr>
        <w:t> </w:t>
      </w:r>
      <w:r>
        <w:rPr>
          <w:color w:val="0A0A0A"/>
          <w:sz w:val="22"/>
        </w:rPr>
        <w:t>commitments set</w:t>
      </w:r>
      <w:r>
        <w:rPr>
          <w:color w:val="0A0A0A"/>
          <w:spacing w:val="-1"/>
          <w:sz w:val="22"/>
        </w:rPr>
        <w:t> </w:t>
      </w:r>
      <w:r>
        <w:rPr>
          <w:color w:val="0A0A0A"/>
          <w:sz w:val="22"/>
        </w:rPr>
        <w:t>out</w:t>
      </w:r>
      <w:r>
        <w:rPr>
          <w:color w:val="0A0A0A"/>
          <w:spacing w:val="-3"/>
          <w:sz w:val="22"/>
        </w:rPr>
        <w:t> </w:t>
      </w:r>
      <w:r>
        <w:rPr>
          <w:color w:val="0A0A0A"/>
          <w:sz w:val="22"/>
        </w:rPr>
        <w:t>how the council will</w:t>
      </w:r>
      <w:r>
        <w:rPr>
          <w:color w:val="0A0A0A"/>
          <w:spacing w:val="-4"/>
          <w:sz w:val="22"/>
        </w:rPr>
        <w:t> </w:t>
      </w:r>
      <w:r>
        <w:rPr>
          <w:color w:val="0A0A0A"/>
          <w:sz w:val="22"/>
        </w:rPr>
        <w:t>work, both in</w:t>
      </w:r>
      <w:r>
        <w:rPr>
          <w:color w:val="0A0A0A"/>
          <w:spacing w:val="-2"/>
          <w:sz w:val="22"/>
        </w:rPr>
        <w:t> </w:t>
      </w:r>
      <w:r>
        <w:rPr>
          <w:color w:val="0A0A0A"/>
          <w:sz w:val="22"/>
        </w:rPr>
        <w:t>terms of specific delivery, but also </w:t>
      </w:r>
      <w:r>
        <w:rPr>
          <w:color w:val="1A1A1A"/>
          <w:sz w:val="22"/>
        </w:rPr>
        <w:t>clearly </w:t>
      </w:r>
      <w:r>
        <w:rPr>
          <w:color w:val="0A0A0A"/>
          <w:sz w:val="22"/>
        </w:rPr>
        <w:t>reflect the council's organisational</w:t>
      </w:r>
      <w:r>
        <w:rPr>
          <w:color w:val="0A0A0A"/>
          <w:spacing w:val="-5"/>
          <w:sz w:val="22"/>
        </w:rPr>
        <w:t> </w:t>
      </w:r>
      <w:r>
        <w:rPr>
          <w:color w:val="0A0A0A"/>
          <w:sz w:val="22"/>
        </w:rPr>
        <w:t>values.</w:t>
      </w:r>
    </w:p>
    <w:p>
      <w:pPr>
        <w:spacing w:after="0" w:line="240" w:lineRule="auto"/>
        <w:jc w:val="left"/>
        <w:rPr>
          <w:sz w:val="22"/>
        </w:rPr>
        <w:sectPr>
          <w:type w:val="continuous"/>
          <w:pgSz w:w="11910" w:h="16830"/>
          <w:pgMar w:top="1940" w:right="540" w:bottom="280" w:left="440" w:header="0" w:footer="0"/>
        </w:sectPr>
      </w:pPr>
    </w:p>
    <w:p>
      <w:pPr>
        <w:pStyle w:val="ListParagraph"/>
        <w:numPr>
          <w:ilvl w:val="0"/>
          <w:numId w:val="29"/>
        </w:numPr>
        <w:tabs>
          <w:tab w:val="left" w:leader="none" w:pos="824"/>
        </w:tabs>
        <w:spacing w:before="235" w:after="0" w:line="240" w:lineRule="auto"/>
        <w:ind w:left="824" w:right="653" w:hanging="707"/>
        <w:jc w:val="left"/>
        <w:rPr>
          <w:color w:val="0F0F0F"/>
          <w:sz w:val="22"/>
        </w:rPr>
      </w:pPr>
      <w:r>
        <w:rPr>
          <w:color w:val="0F0F0F"/>
          <w:sz w:val="22"/>
        </w:rPr>
        <w:t>The</w:t>
      </w:r>
      <w:r>
        <w:rPr>
          <w:color w:val="0F0F0F"/>
          <w:spacing w:val="-1"/>
          <w:sz w:val="22"/>
        </w:rPr>
        <w:t> </w:t>
      </w:r>
      <w:r>
        <w:rPr>
          <w:color w:val="0F0F0F"/>
          <w:sz w:val="22"/>
        </w:rPr>
        <w:t>V</w:t>
      </w:r>
      <w:r>
        <w:rPr>
          <w:color w:val="282828"/>
          <w:sz w:val="22"/>
        </w:rPr>
        <w:t>i</w:t>
      </w:r>
      <w:r>
        <w:rPr>
          <w:color w:val="0F0F0F"/>
          <w:sz w:val="22"/>
        </w:rPr>
        <w:t>s</w:t>
      </w:r>
      <w:r>
        <w:rPr>
          <w:color w:val="484848"/>
          <w:sz w:val="22"/>
        </w:rPr>
        <w:t>i</w:t>
      </w:r>
      <w:r>
        <w:rPr>
          <w:color w:val="0F0F0F"/>
          <w:sz w:val="22"/>
        </w:rPr>
        <w:t>on</w:t>
      </w:r>
      <w:r>
        <w:rPr>
          <w:color w:val="0F0F0F"/>
          <w:spacing w:val="-16"/>
          <w:sz w:val="22"/>
        </w:rPr>
        <w:t> </w:t>
      </w:r>
      <w:r>
        <w:rPr>
          <w:color w:val="0F0F0F"/>
          <w:sz w:val="22"/>
        </w:rPr>
        <w:t>was agreed</w:t>
      </w:r>
      <w:r>
        <w:rPr>
          <w:color w:val="0F0F0F"/>
          <w:spacing w:val="-6"/>
          <w:sz w:val="22"/>
        </w:rPr>
        <w:t> </w:t>
      </w:r>
      <w:r>
        <w:rPr>
          <w:color w:val="0F0F0F"/>
          <w:sz w:val="22"/>
        </w:rPr>
        <w:t>at</w:t>
      </w:r>
      <w:r>
        <w:rPr>
          <w:color w:val="0F0F0F"/>
          <w:spacing w:val="-4"/>
          <w:sz w:val="22"/>
        </w:rPr>
        <w:t> </w:t>
      </w:r>
      <w:r>
        <w:rPr>
          <w:color w:val="0F0F0F"/>
          <w:sz w:val="22"/>
        </w:rPr>
        <w:t>Council</w:t>
      </w:r>
      <w:r>
        <w:rPr>
          <w:color w:val="0F0F0F"/>
          <w:spacing w:val="-3"/>
          <w:sz w:val="22"/>
        </w:rPr>
        <w:t> </w:t>
      </w:r>
      <w:r>
        <w:rPr>
          <w:color w:val="282828"/>
          <w:sz w:val="22"/>
        </w:rPr>
        <w:t>in</w:t>
      </w:r>
      <w:r>
        <w:rPr>
          <w:color w:val="282828"/>
          <w:spacing w:val="-12"/>
          <w:sz w:val="22"/>
        </w:rPr>
        <w:t> </w:t>
      </w:r>
      <w:r>
        <w:rPr>
          <w:color w:val="0F0F0F"/>
          <w:sz w:val="22"/>
        </w:rPr>
        <w:t>November 2021.</w:t>
      </w:r>
      <w:r>
        <w:rPr>
          <w:color w:val="0F0F0F"/>
          <w:spacing w:val="-1"/>
          <w:sz w:val="22"/>
        </w:rPr>
        <w:t> </w:t>
      </w:r>
      <w:r>
        <w:rPr>
          <w:color w:val="0F0F0F"/>
          <w:sz w:val="22"/>
        </w:rPr>
        <w:t>This</w:t>
      </w:r>
      <w:r>
        <w:rPr>
          <w:color w:val="0F0F0F"/>
          <w:spacing w:val="-8"/>
          <w:sz w:val="22"/>
        </w:rPr>
        <w:t> </w:t>
      </w:r>
      <w:r>
        <w:rPr>
          <w:color w:val="0F0F0F"/>
          <w:sz w:val="22"/>
        </w:rPr>
        <w:t>is</w:t>
      </w:r>
      <w:r>
        <w:rPr>
          <w:color w:val="0F0F0F"/>
          <w:spacing w:val="-9"/>
          <w:sz w:val="22"/>
        </w:rPr>
        <w:t> </w:t>
      </w:r>
      <w:r>
        <w:rPr>
          <w:color w:val="0F0F0F"/>
          <w:sz w:val="22"/>
        </w:rPr>
        <w:t>supported</w:t>
      </w:r>
      <w:r>
        <w:rPr>
          <w:color w:val="0F0F0F"/>
          <w:spacing w:val="-2"/>
          <w:sz w:val="22"/>
        </w:rPr>
        <w:t> </w:t>
      </w:r>
      <w:r>
        <w:rPr>
          <w:color w:val="0F0F0F"/>
          <w:sz w:val="22"/>
        </w:rPr>
        <w:t>with</w:t>
      </w:r>
      <w:r>
        <w:rPr>
          <w:color w:val="0F0F0F"/>
          <w:spacing w:val="-6"/>
          <w:sz w:val="22"/>
        </w:rPr>
        <w:t> </w:t>
      </w:r>
      <w:r>
        <w:rPr>
          <w:color w:val="0F0F0F"/>
          <w:sz w:val="22"/>
        </w:rPr>
        <w:t>an</w:t>
      </w:r>
      <w:r>
        <w:rPr>
          <w:color w:val="0F0F0F"/>
          <w:spacing w:val="-11"/>
          <w:sz w:val="22"/>
        </w:rPr>
        <w:t> </w:t>
      </w:r>
      <w:r>
        <w:rPr>
          <w:color w:val="0F0F0F"/>
          <w:sz w:val="22"/>
        </w:rPr>
        <w:t>Annual</w:t>
      </w:r>
      <w:r>
        <w:rPr>
          <w:color w:val="0F0F0F"/>
          <w:spacing w:val="-1"/>
          <w:sz w:val="22"/>
        </w:rPr>
        <w:t> </w:t>
      </w:r>
      <w:r>
        <w:rPr>
          <w:color w:val="0F0F0F"/>
          <w:sz w:val="22"/>
        </w:rPr>
        <w:t>Corporate Action</w:t>
      </w:r>
      <w:r>
        <w:rPr>
          <w:color w:val="0F0F0F"/>
          <w:spacing w:val="-3"/>
          <w:sz w:val="22"/>
        </w:rPr>
        <w:t> </w:t>
      </w:r>
      <w:r>
        <w:rPr>
          <w:color w:val="0F0F0F"/>
          <w:sz w:val="22"/>
        </w:rPr>
        <w:t>Plan and Annual</w:t>
      </w:r>
      <w:r>
        <w:rPr>
          <w:color w:val="0F0F0F"/>
          <w:spacing w:val="-3"/>
          <w:sz w:val="22"/>
        </w:rPr>
        <w:t> </w:t>
      </w:r>
      <w:r>
        <w:rPr>
          <w:color w:val="0F0F0F"/>
          <w:sz w:val="22"/>
        </w:rPr>
        <w:t>Report of Performance. The</w:t>
      </w:r>
      <w:r>
        <w:rPr>
          <w:color w:val="0F0F0F"/>
          <w:spacing w:val="-8"/>
          <w:sz w:val="22"/>
        </w:rPr>
        <w:t> </w:t>
      </w:r>
      <w:r>
        <w:rPr>
          <w:color w:val="0F0F0F"/>
          <w:sz w:val="22"/>
        </w:rPr>
        <w:t>Performance Management Framework has also been revised </w:t>
      </w:r>
      <w:r>
        <w:rPr>
          <w:color w:val="282828"/>
          <w:sz w:val="22"/>
        </w:rPr>
        <w:t>to</w:t>
      </w:r>
      <w:r>
        <w:rPr>
          <w:color w:val="282828"/>
          <w:spacing w:val="-8"/>
          <w:sz w:val="22"/>
        </w:rPr>
        <w:t> </w:t>
      </w:r>
      <w:r>
        <w:rPr>
          <w:color w:val="0F0F0F"/>
          <w:sz w:val="22"/>
        </w:rPr>
        <w:t>reflect the</w:t>
      </w:r>
      <w:r>
        <w:rPr>
          <w:color w:val="0F0F0F"/>
          <w:spacing w:val="-8"/>
          <w:sz w:val="22"/>
        </w:rPr>
        <w:t> </w:t>
      </w:r>
      <w:r>
        <w:rPr>
          <w:color w:val="0F0F0F"/>
          <w:sz w:val="22"/>
        </w:rPr>
        <w:t>new arrangements.</w:t>
      </w:r>
      <w:r>
        <w:rPr>
          <w:color w:val="0F0F0F"/>
          <w:spacing w:val="32"/>
          <w:sz w:val="22"/>
        </w:rPr>
        <w:t> </w:t>
      </w:r>
      <w:r>
        <w:rPr>
          <w:color w:val="0F0F0F"/>
          <w:sz w:val="22"/>
        </w:rPr>
        <w:t>The</w:t>
      </w:r>
      <w:r>
        <w:rPr>
          <w:color w:val="0F0F0F"/>
          <w:spacing w:val="-1"/>
          <w:sz w:val="22"/>
        </w:rPr>
        <w:t> </w:t>
      </w:r>
      <w:r>
        <w:rPr>
          <w:color w:val="0F0F0F"/>
          <w:sz w:val="22"/>
        </w:rPr>
        <w:t>Corporate Plan is</w:t>
      </w:r>
      <w:r>
        <w:rPr>
          <w:color w:val="0F0F0F"/>
          <w:spacing w:val="-4"/>
          <w:sz w:val="22"/>
        </w:rPr>
        <w:t> </w:t>
      </w:r>
      <w:r>
        <w:rPr>
          <w:color w:val="0F0F0F"/>
          <w:sz w:val="22"/>
        </w:rPr>
        <w:t>reviewed annually.</w:t>
      </w:r>
    </w:p>
    <w:p>
      <w:pPr>
        <w:pStyle w:val="BodyText"/>
        <w:spacing w:before="1"/>
      </w:pPr>
    </w:p>
    <w:p>
      <w:pPr>
        <w:pStyle w:val="ListParagraph"/>
        <w:numPr>
          <w:ilvl w:val="0"/>
          <w:numId w:val="29"/>
        </w:numPr>
        <w:tabs>
          <w:tab w:val="left" w:leader="none" w:pos="824"/>
        </w:tabs>
        <w:spacing w:before="1" w:after="0" w:line="240" w:lineRule="auto"/>
        <w:ind w:left="824" w:right="0" w:hanging="706"/>
        <w:jc w:val="left"/>
        <w:rPr>
          <w:color w:val="0F0F0F"/>
          <w:sz w:val="22"/>
        </w:rPr>
      </w:pPr>
      <w:r>
        <w:rPr>
          <w:color w:val="0F0F0F"/>
          <w:sz w:val="22"/>
        </w:rPr>
        <w:t>The</w:t>
      </w:r>
      <w:r>
        <w:rPr>
          <w:color w:val="0F0F0F"/>
          <w:spacing w:val="-16"/>
          <w:sz w:val="22"/>
        </w:rPr>
        <w:t> </w:t>
      </w:r>
      <w:r>
        <w:rPr>
          <w:color w:val="0F0F0F"/>
          <w:sz w:val="22"/>
        </w:rPr>
        <w:t>Corporate</w:t>
      </w:r>
      <w:r>
        <w:rPr>
          <w:color w:val="0F0F0F"/>
          <w:spacing w:val="7"/>
          <w:sz w:val="22"/>
        </w:rPr>
        <w:t> </w:t>
      </w:r>
      <w:r>
        <w:rPr>
          <w:color w:val="0F0F0F"/>
          <w:sz w:val="22"/>
        </w:rPr>
        <w:t>Plan</w:t>
      </w:r>
      <w:r>
        <w:rPr>
          <w:color w:val="0F0F0F"/>
          <w:spacing w:val="-16"/>
          <w:sz w:val="22"/>
        </w:rPr>
        <w:t> </w:t>
      </w:r>
      <w:r>
        <w:rPr>
          <w:color w:val="0F0F0F"/>
          <w:sz w:val="22"/>
        </w:rPr>
        <w:t>for</w:t>
      </w:r>
      <w:r>
        <w:rPr>
          <w:color w:val="0F0F0F"/>
          <w:spacing w:val="-3"/>
          <w:sz w:val="22"/>
        </w:rPr>
        <w:t> </w:t>
      </w:r>
      <w:r>
        <w:rPr>
          <w:color w:val="0F0F0F"/>
          <w:sz w:val="22"/>
        </w:rPr>
        <w:t>2022/23</w:t>
      </w:r>
      <w:r>
        <w:rPr>
          <w:color w:val="0F0F0F"/>
          <w:spacing w:val="1"/>
          <w:sz w:val="22"/>
        </w:rPr>
        <w:t> </w:t>
      </w:r>
      <w:r>
        <w:rPr>
          <w:color w:val="0F0F0F"/>
          <w:sz w:val="22"/>
        </w:rPr>
        <w:t>was</w:t>
      </w:r>
      <w:r>
        <w:rPr>
          <w:color w:val="0F0F0F"/>
          <w:spacing w:val="-4"/>
          <w:sz w:val="22"/>
        </w:rPr>
        <w:t> </w:t>
      </w:r>
      <w:r>
        <w:rPr>
          <w:color w:val="0F0F0F"/>
          <w:sz w:val="22"/>
        </w:rPr>
        <w:t>agreed</w:t>
      </w:r>
      <w:r>
        <w:rPr>
          <w:color w:val="0F0F0F"/>
          <w:spacing w:val="-9"/>
          <w:sz w:val="22"/>
        </w:rPr>
        <w:t> </w:t>
      </w:r>
      <w:r>
        <w:rPr>
          <w:color w:val="0F0F0F"/>
          <w:sz w:val="22"/>
        </w:rPr>
        <w:t>at</w:t>
      </w:r>
      <w:r>
        <w:rPr>
          <w:color w:val="0F0F0F"/>
          <w:spacing w:val="-12"/>
          <w:sz w:val="22"/>
        </w:rPr>
        <w:t> </w:t>
      </w:r>
      <w:r>
        <w:rPr>
          <w:color w:val="0F0F0F"/>
          <w:sz w:val="22"/>
        </w:rPr>
        <w:t>Executive</w:t>
      </w:r>
      <w:r>
        <w:rPr>
          <w:color w:val="0F0F0F"/>
          <w:spacing w:val="6"/>
          <w:sz w:val="22"/>
        </w:rPr>
        <w:t> </w:t>
      </w:r>
      <w:r>
        <w:rPr>
          <w:color w:val="0F0F0F"/>
          <w:sz w:val="22"/>
        </w:rPr>
        <w:t>in</w:t>
      </w:r>
      <w:r>
        <w:rPr>
          <w:color w:val="0F0F0F"/>
          <w:spacing w:val="-16"/>
          <w:sz w:val="22"/>
        </w:rPr>
        <w:t> </w:t>
      </w:r>
      <w:r>
        <w:rPr>
          <w:color w:val="0F0F0F"/>
          <w:sz w:val="22"/>
        </w:rPr>
        <w:t>March</w:t>
      </w:r>
      <w:r>
        <w:rPr>
          <w:color w:val="0F0F0F"/>
          <w:spacing w:val="-3"/>
          <w:sz w:val="22"/>
        </w:rPr>
        <w:t> </w:t>
      </w:r>
      <w:r>
        <w:rPr>
          <w:color w:val="0F0F0F"/>
          <w:spacing w:val="-2"/>
          <w:sz w:val="22"/>
        </w:rPr>
        <w:t>2022.</w:t>
      </w:r>
    </w:p>
    <w:p>
      <w:pPr>
        <w:pStyle w:val="ListParagraph"/>
        <w:numPr>
          <w:ilvl w:val="0"/>
          <w:numId w:val="29"/>
        </w:numPr>
        <w:tabs>
          <w:tab w:val="left" w:leader="none" w:pos="823"/>
        </w:tabs>
        <w:spacing w:before="251" w:after="0" w:line="240" w:lineRule="auto"/>
        <w:ind w:left="823" w:right="546" w:hanging="705"/>
        <w:jc w:val="left"/>
        <w:rPr>
          <w:color w:val="0F0F0F"/>
          <w:sz w:val="22"/>
        </w:rPr>
      </w:pPr>
      <w:r>
        <w:rPr>
          <w:color w:val="0F0F0F"/>
          <w:sz w:val="22"/>
        </w:rPr>
        <w:t>The</w:t>
      </w:r>
      <w:r>
        <w:rPr>
          <w:color w:val="0F0F0F"/>
          <w:spacing w:val="-8"/>
          <w:sz w:val="22"/>
        </w:rPr>
        <w:t> </w:t>
      </w:r>
      <w:r>
        <w:rPr>
          <w:color w:val="0F0F0F"/>
          <w:sz w:val="22"/>
        </w:rPr>
        <w:t>Hertsmere Vision and</w:t>
      </w:r>
      <w:r>
        <w:rPr>
          <w:color w:val="0F0F0F"/>
          <w:spacing w:val="-3"/>
          <w:sz w:val="22"/>
        </w:rPr>
        <w:t> </w:t>
      </w:r>
      <w:r>
        <w:rPr>
          <w:color w:val="0F0F0F"/>
          <w:sz w:val="22"/>
        </w:rPr>
        <w:t>Corporate Plan will always form part of the Council's governance arrangements as, together with</w:t>
      </w:r>
      <w:r>
        <w:rPr>
          <w:color w:val="0F0F0F"/>
          <w:spacing w:val="-3"/>
          <w:sz w:val="22"/>
        </w:rPr>
        <w:t> </w:t>
      </w:r>
      <w:r>
        <w:rPr>
          <w:color w:val="0F0F0F"/>
          <w:sz w:val="22"/>
        </w:rPr>
        <w:t>the Community Strategy, they fully encompass Council and community</w:t>
      </w:r>
      <w:r>
        <w:rPr>
          <w:color w:val="0F0F0F"/>
          <w:spacing w:val="16"/>
          <w:sz w:val="22"/>
        </w:rPr>
        <w:t> </w:t>
      </w:r>
      <w:r>
        <w:rPr>
          <w:color w:val="0F0F0F"/>
          <w:sz w:val="22"/>
        </w:rPr>
        <w:t>priorities</w:t>
      </w:r>
      <w:r>
        <w:rPr>
          <w:color w:val="0F0F0F"/>
          <w:spacing w:val="-3"/>
          <w:sz w:val="22"/>
        </w:rPr>
        <w:t> </w:t>
      </w:r>
      <w:r>
        <w:rPr>
          <w:color w:val="0F0F0F"/>
          <w:sz w:val="22"/>
        </w:rPr>
        <w:t>for</w:t>
      </w:r>
      <w:r>
        <w:rPr>
          <w:color w:val="0F0F0F"/>
          <w:spacing w:val="-13"/>
          <w:sz w:val="22"/>
        </w:rPr>
        <w:t> </w:t>
      </w:r>
      <w:r>
        <w:rPr>
          <w:color w:val="0F0F0F"/>
          <w:sz w:val="22"/>
        </w:rPr>
        <w:t>the</w:t>
      </w:r>
      <w:r>
        <w:rPr>
          <w:color w:val="0F0F0F"/>
          <w:spacing w:val="-6"/>
          <w:sz w:val="22"/>
        </w:rPr>
        <w:t> </w:t>
      </w:r>
      <w:r>
        <w:rPr>
          <w:color w:val="0F0F0F"/>
          <w:sz w:val="22"/>
        </w:rPr>
        <w:t>Borough and</w:t>
      </w:r>
      <w:r>
        <w:rPr>
          <w:color w:val="0F0F0F"/>
          <w:spacing w:val="-12"/>
          <w:sz w:val="22"/>
        </w:rPr>
        <w:t> </w:t>
      </w:r>
      <w:r>
        <w:rPr>
          <w:color w:val="0F0F0F"/>
          <w:sz w:val="22"/>
        </w:rPr>
        <w:t>they are</w:t>
      </w:r>
      <w:r>
        <w:rPr>
          <w:color w:val="0F0F0F"/>
          <w:spacing w:val="-8"/>
          <w:sz w:val="22"/>
        </w:rPr>
        <w:t> </w:t>
      </w:r>
      <w:r>
        <w:rPr>
          <w:color w:val="0F0F0F"/>
          <w:sz w:val="22"/>
        </w:rPr>
        <w:t>used</w:t>
      </w:r>
      <w:r>
        <w:rPr>
          <w:color w:val="0F0F0F"/>
          <w:spacing w:val="-10"/>
          <w:sz w:val="22"/>
        </w:rPr>
        <w:t> </w:t>
      </w:r>
      <w:r>
        <w:rPr>
          <w:color w:val="0F0F0F"/>
          <w:sz w:val="22"/>
        </w:rPr>
        <w:t>to</w:t>
      </w:r>
      <w:r>
        <w:rPr>
          <w:color w:val="0F0F0F"/>
          <w:spacing w:val="-9"/>
          <w:sz w:val="22"/>
        </w:rPr>
        <w:t> </w:t>
      </w:r>
      <w:r>
        <w:rPr>
          <w:color w:val="0F0F0F"/>
          <w:sz w:val="22"/>
        </w:rPr>
        <w:t>inform other</w:t>
      </w:r>
      <w:r>
        <w:rPr>
          <w:color w:val="0F0F0F"/>
          <w:spacing w:val="-5"/>
          <w:sz w:val="22"/>
        </w:rPr>
        <w:t> </w:t>
      </w:r>
      <w:r>
        <w:rPr>
          <w:color w:val="0F0F0F"/>
          <w:sz w:val="22"/>
        </w:rPr>
        <w:t>key</w:t>
      </w:r>
      <w:r>
        <w:rPr>
          <w:color w:val="0F0F0F"/>
          <w:spacing w:val="-4"/>
          <w:sz w:val="22"/>
        </w:rPr>
        <w:t> </w:t>
      </w:r>
      <w:r>
        <w:rPr>
          <w:color w:val="0F0F0F"/>
          <w:sz w:val="22"/>
        </w:rPr>
        <w:t>documents such</w:t>
      </w:r>
      <w:r>
        <w:rPr>
          <w:color w:val="0F0F0F"/>
          <w:spacing w:val="-1"/>
          <w:sz w:val="22"/>
        </w:rPr>
        <w:t> </w:t>
      </w:r>
      <w:r>
        <w:rPr>
          <w:color w:val="0F0F0F"/>
          <w:sz w:val="22"/>
        </w:rPr>
        <w:t>as</w:t>
      </w:r>
      <w:r>
        <w:rPr>
          <w:color w:val="0F0F0F"/>
          <w:spacing w:val="-11"/>
          <w:sz w:val="22"/>
        </w:rPr>
        <w:t> </w:t>
      </w:r>
      <w:r>
        <w:rPr>
          <w:color w:val="0F0F0F"/>
          <w:sz w:val="22"/>
        </w:rPr>
        <w:t>the Council's Medium-Term Financial Strategy.</w:t>
      </w:r>
    </w:p>
    <w:p>
      <w:pPr>
        <w:pStyle w:val="BodyText"/>
        <w:spacing w:before="4"/>
      </w:pPr>
    </w:p>
    <w:p>
      <w:pPr>
        <w:pStyle w:val="ListParagraph"/>
        <w:numPr>
          <w:ilvl w:val="0"/>
          <w:numId w:val="29"/>
        </w:numPr>
        <w:tabs>
          <w:tab w:val="left" w:leader="none" w:pos="824"/>
          <w:tab w:val="left" w:leader="none" w:pos="827"/>
        </w:tabs>
        <w:spacing w:before="0" w:after="0" w:line="240" w:lineRule="auto"/>
        <w:ind w:left="827" w:right="652" w:hanging="710"/>
        <w:jc w:val="left"/>
        <w:rPr>
          <w:color w:val="0F0F0F"/>
          <w:sz w:val="22"/>
        </w:rPr>
      </w:pPr>
      <w:r>
        <w:rPr>
          <w:color w:val="0F0F0F"/>
          <w:sz w:val="22"/>
        </w:rPr>
        <w:t>The</w:t>
      </w:r>
      <w:r>
        <w:rPr>
          <w:color w:val="0F0F0F"/>
          <w:spacing w:val="-16"/>
          <w:sz w:val="22"/>
        </w:rPr>
        <w:t> </w:t>
      </w:r>
      <w:r>
        <w:rPr>
          <w:color w:val="0F0F0F"/>
          <w:sz w:val="22"/>
        </w:rPr>
        <w:t>Council</w:t>
      </w:r>
      <w:r>
        <w:rPr>
          <w:color w:val="0F0F0F"/>
          <w:spacing w:val="-4"/>
          <w:sz w:val="22"/>
        </w:rPr>
        <w:t> </w:t>
      </w:r>
      <w:r>
        <w:rPr>
          <w:color w:val="0F0F0F"/>
          <w:sz w:val="22"/>
        </w:rPr>
        <w:t>publishes an</w:t>
      </w:r>
      <w:r>
        <w:rPr>
          <w:color w:val="0F0F0F"/>
          <w:spacing w:val="-12"/>
          <w:sz w:val="22"/>
        </w:rPr>
        <w:t> </w:t>
      </w:r>
      <w:r>
        <w:rPr>
          <w:color w:val="0F0F0F"/>
          <w:sz w:val="22"/>
        </w:rPr>
        <w:t>Annual</w:t>
      </w:r>
      <w:r>
        <w:rPr>
          <w:color w:val="0F0F0F"/>
          <w:spacing w:val="-4"/>
          <w:sz w:val="22"/>
        </w:rPr>
        <w:t> </w:t>
      </w:r>
      <w:r>
        <w:rPr>
          <w:color w:val="0F0F0F"/>
          <w:sz w:val="22"/>
        </w:rPr>
        <w:t>Statement of</w:t>
      </w:r>
      <w:r>
        <w:rPr>
          <w:color w:val="0F0F0F"/>
          <w:spacing w:val="-10"/>
          <w:sz w:val="22"/>
        </w:rPr>
        <w:t> </w:t>
      </w:r>
      <w:r>
        <w:rPr>
          <w:color w:val="0F0F0F"/>
          <w:sz w:val="22"/>
        </w:rPr>
        <w:t>Accounts, which</w:t>
      </w:r>
      <w:r>
        <w:rPr>
          <w:color w:val="0F0F0F"/>
          <w:spacing w:val="-9"/>
          <w:sz w:val="22"/>
        </w:rPr>
        <w:t> </w:t>
      </w:r>
      <w:r>
        <w:rPr>
          <w:color w:val="0F0F0F"/>
          <w:sz w:val="22"/>
        </w:rPr>
        <w:t>show</w:t>
      </w:r>
      <w:r>
        <w:rPr>
          <w:color w:val="0F0F0F"/>
          <w:spacing w:val="-14"/>
          <w:sz w:val="22"/>
        </w:rPr>
        <w:t> </w:t>
      </w:r>
      <w:r>
        <w:rPr>
          <w:color w:val="0F0F0F"/>
          <w:sz w:val="22"/>
        </w:rPr>
        <w:t>its</w:t>
      </w:r>
      <w:r>
        <w:rPr>
          <w:color w:val="0F0F0F"/>
          <w:spacing w:val="-16"/>
          <w:sz w:val="22"/>
        </w:rPr>
        <w:t> </w:t>
      </w:r>
      <w:r>
        <w:rPr>
          <w:color w:val="0F0F0F"/>
          <w:sz w:val="22"/>
        </w:rPr>
        <w:t>activities, achievements, financial position and performance.</w:t>
      </w:r>
    </w:p>
    <w:p>
      <w:pPr>
        <w:pStyle w:val="BodyText"/>
        <w:spacing w:before="16"/>
        <w:rPr>
          <w:sz w:val="21"/>
        </w:rPr>
      </w:pPr>
    </w:p>
    <w:p>
      <w:pPr>
        <w:spacing w:before="0" w:line="252" w:lineRule="auto"/>
        <w:ind w:left="838" w:right="402" w:hanging="5"/>
        <w:jc w:val="left"/>
        <w:rPr>
          <w:b/>
          <w:sz w:val="21"/>
        </w:rPr>
      </w:pPr>
      <w:r>
        <w:rPr>
          <w:b/>
          <w:color w:val="0F0F0F"/>
          <w:w w:val="105"/>
          <w:sz w:val="21"/>
          <w:u w:val="thick" w:color="0F0F0F"/>
        </w:rPr>
        <w:t>Measuring the</w:t>
      </w:r>
      <w:r>
        <w:rPr>
          <w:b/>
          <w:color w:val="0F0F0F"/>
          <w:spacing w:val="-1"/>
          <w:w w:val="105"/>
          <w:sz w:val="21"/>
          <w:u w:val="thick" w:color="0F0F0F"/>
        </w:rPr>
        <w:t> </w:t>
      </w:r>
      <w:r>
        <w:rPr>
          <w:b/>
          <w:color w:val="0F0F0F"/>
          <w:w w:val="105"/>
          <w:sz w:val="21"/>
          <w:u w:val="thick" w:color="0F0F0F"/>
        </w:rPr>
        <w:t>quality of</w:t>
      </w:r>
      <w:r>
        <w:rPr>
          <w:b/>
          <w:color w:val="0F0F0F"/>
          <w:spacing w:val="-5"/>
          <w:w w:val="105"/>
          <w:sz w:val="21"/>
          <w:u w:val="thick" w:color="0F0F0F"/>
        </w:rPr>
        <w:t> </w:t>
      </w:r>
      <w:r>
        <w:rPr>
          <w:b/>
          <w:color w:val="0F0F0F"/>
          <w:w w:val="105"/>
          <w:sz w:val="21"/>
          <w:u w:val="thick" w:color="0F0F0F"/>
        </w:rPr>
        <w:t>services for</w:t>
      </w:r>
      <w:r>
        <w:rPr>
          <w:b/>
          <w:color w:val="0F0F0F"/>
          <w:spacing w:val="-2"/>
          <w:w w:val="105"/>
          <w:sz w:val="21"/>
          <w:u w:val="thick" w:color="0F0F0F"/>
        </w:rPr>
        <w:t> </w:t>
      </w:r>
      <w:r>
        <w:rPr>
          <w:b/>
          <w:color w:val="0F0F0F"/>
          <w:w w:val="105"/>
          <w:sz w:val="21"/>
          <w:u w:val="thick" w:color="0F0F0F"/>
        </w:rPr>
        <w:t>users, for ensuring they are</w:t>
      </w:r>
      <w:r>
        <w:rPr>
          <w:b/>
          <w:color w:val="0F0F0F"/>
          <w:spacing w:val="-8"/>
          <w:w w:val="105"/>
          <w:sz w:val="21"/>
          <w:u w:val="thick" w:color="0F0F0F"/>
        </w:rPr>
        <w:t> </w:t>
      </w:r>
      <w:r>
        <w:rPr>
          <w:b/>
          <w:color w:val="0F0F0F"/>
          <w:w w:val="105"/>
          <w:sz w:val="21"/>
          <w:u w:val="thick" w:color="0F0F0F"/>
        </w:rPr>
        <w:t>delivered </w:t>
      </w:r>
      <w:r>
        <w:rPr>
          <w:b/>
          <w:color w:val="282828"/>
          <w:w w:val="105"/>
          <w:sz w:val="21"/>
          <w:u w:val="thick" w:color="0F0F0F"/>
        </w:rPr>
        <w:t>in </w:t>
      </w:r>
      <w:r>
        <w:rPr>
          <w:b/>
          <w:color w:val="0F0F0F"/>
          <w:w w:val="105"/>
          <w:sz w:val="21"/>
          <w:u w:val="thick" w:color="0F0F0F"/>
        </w:rPr>
        <w:t>accordance</w:t>
      </w:r>
      <w:r>
        <w:rPr>
          <w:b/>
          <w:color w:val="0F0F0F"/>
          <w:w w:val="105"/>
          <w:sz w:val="21"/>
          <w:u w:val="none"/>
        </w:rPr>
        <w:t> </w:t>
      </w:r>
      <w:r>
        <w:rPr>
          <w:b/>
          <w:color w:val="0F0F0F"/>
          <w:w w:val="105"/>
          <w:sz w:val="21"/>
          <w:u w:val="thick" w:color="0F0F0F"/>
        </w:rPr>
        <w:t>with</w:t>
      </w:r>
      <w:r>
        <w:rPr>
          <w:b/>
          <w:color w:val="0F0F0F"/>
          <w:spacing w:val="-1"/>
          <w:w w:val="105"/>
          <w:sz w:val="21"/>
          <w:u w:val="thick" w:color="0F0F0F"/>
        </w:rPr>
        <w:t> </w:t>
      </w:r>
      <w:r>
        <w:rPr>
          <w:b/>
          <w:color w:val="0F0F0F"/>
          <w:w w:val="105"/>
          <w:sz w:val="21"/>
          <w:u w:val="thick" w:color="0F0F0F"/>
        </w:rPr>
        <w:t>the</w:t>
      </w:r>
      <w:r>
        <w:rPr>
          <w:b/>
          <w:color w:val="0F0F0F"/>
          <w:spacing w:val="-14"/>
          <w:w w:val="105"/>
          <w:sz w:val="21"/>
          <w:u w:val="thick" w:color="0F0F0F"/>
        </w:rPr>
        <w:t> </w:t>
      </w:r>
      <w:r>
        <w:rPr>
          <w:b/>
          <w:color w:val="0F0F0F"/>
          <w:w w:val="105"/>
          <w:sz w:val="21"/>
          <w:u w:val="thick" w:color="0F0F0F"/>
        </w:rPr>
        <w:t>Council's objectives and</w:t>
      </w:r>
      <w:r>
        <w:rPr>
          <w:b/>
          <w:color w:val="0F0F0F"/>
          <w:spacing w:val="-9"/>
          <w:w w:val="105"/>
          <w:sz w:val="21"/>
          <w:u w:val="thick" w:color="0F0F0F"/>
        </w:rPr>
        <w:t> </w:t>
      </w:r>
      <w:r>
        <w:rPr>
          <w:b/>
          <w:color w:val="0F0F0F"/>
          <w:w w:val="105"/>
          <w:sz w:val="21"/>
          <w:u w:val="thick" w:color="0F0F0F"/>
        </w:rPr>
        <w:t>for</w:t>
      </w:r>
      <w:r>
        <w:rPr>
          <w:b/>
          <w:color w:val="0F0F0F"/>
          <w:spacing w:val="-7"/>
          <w:w w:val="105"/>
          <w:sz w:val="21"/>
          <w:u w:val="thick" w:color="0F0F0F"/>
        </w:rPr>
        <w:t> </w:t>
      </w:r>
      <w:r>
        <w:rPr>
          <w:b/>
          <w:color w:val="0F0F0F"/>
          <w:w w:val="105"/>
          <w:sz w:val="21"/>
          <w:u w:val="thick" w:color="0F0F0F"/>
        </w:rPr>
        <w:t>ensuring that</w:t>
      </w:r>
      <w:r>
        <w:rPr>
          <w:b/>
          <w:color w:val="0F0F0F"/>
          <w:spacing w:val="-10"/>
          <w:w w:val="105"/>
          <w:sz w:val="21"/>
          <w:u w:val="thick" w:color="0F0F0F"/>
        </w:rPr>
        <w:t> </w:t>
      </w:r>
      <w:r>
        <w:rPr>
          <w:b/>
          <w:color w:val="0F0F0F"/>
          <w:w w:val="105"/>
          <w:sz w:val="21"/>
          <w:u w:val="thick" w:color="0F0F0F"/>
        </w:rPr>
        <w:t>they</w:t>
      </w:r>
      <w:r>
        <w:rPr>
          <w:b/>
          <w:color w:val="0F0F0F"/>
          <w:spacing w:val="-7"/>
          <w:w w:val="105"/>
          <w:sz w:val="21"/>
          <w:u w:val="thick" w:color="0F0F0F"/>
        </w:rPr>
        <w:t> </w:t>
      </w:r>
      <w:r>
        <w:rPr>
          <w:b/>
          <w:color w:val="0F0F0F"/>
          <w:w w:val="105"/>
          <w:sz w:val="21"/>
          <w:u w:val="thick" w:color="0F0F0F"/>
        </w:rPr>
        <w:t>represent the</w:t>
      </w:r>
      <w:r>
        <w:rPr>
          <w:b/>
          <w:color w:val="0F0F0F"/>
          <w:spacing w:val="-8"/>
          <w:w w:val="105"/>
          <w:sz w:val="21"/>
          <w:u w:val="thick" w:color="0F0F0F"/>
        </w:rPr>
        <w:t> </w:t>
      </w:r>
      <w:r>
        <w:rPr>
          <w:b/>
          <w:color w:val="0F0F0F"/>
          <w:w w:val="105"/>
          <w:sz w:val="21"/>
          <w:u w:val="thick" w:color="0F0F0F"/>
        </w:rPr>
        <w:t>best</w:t>
      </w:r>
      <w:r>
        <w:rPr>
          <w:b/>
          <w:color w:val="0F0F0F"/>
          <w:spacing w:val="-14"/>
          <w:w w:val="105"/>
          <w:sz w:val="21"/>
          <w:u w:val="thick" w:color="0F0F0F"/>
        </w:rPr>
        <w:t> </w:t>
      </w:r>
      <w:r>
        <w:rPr>
          <w:b/>
          <w:color w:val="0F0F0F"/>
          <w:w w:val="105"/>
          <w:sz w:val="21"/>
          <w:u w:val="thick" w:color="0F0F0F"/>
        </w:rPr>
        <w:t>use</w:t>
      </w:r>
      <w:r>
        <w:rPr>
          <w:b/>
          <w:color w:val="0F0F0F"/>
          <w:spacing w:val="-9"/>
          <w:w w:val="105"/>
          <w:sz w:val="21"/>
          <w:u w:val="thick" w:color="0F0F0F"/>
        </w:rPr>
        <w:t> </w:t>
      </w:r>
      <w:r>
        <w:rPr>
          <w:b/>
          <w:color w:val="0F0F0F"/>
          <w:w w:val="105"/>
          <w:sz w:val="21"/>
          <w:u w:val="thick" w:color="0F0F0F"/>
        </w:rPr>
        <w:t>of</w:t>
      </w:r>
      <w:r>
        <w:rPr>
          <w:b/>
          <w:color w:val="0F0F0F"/>
          <w:spacing w:val="-11"/>
          <w:w w:val="105"/>
          <w:sz w:val="21"/>
          <w:u w:val="thick" w:color="0F0F0F"/>
        </w:rPr>
        <w:t> </w:t>
      </w:r>
      <w:r>
        <w:rPr>
          <w:b/>
          <w:color w:val="0F0F0F"/>
          <w:w w:val="105"/>
          <w:sz w:val="21"/>
          <w:u w:val="thick" w:color="0F0F0F"/>
        </w:rPr>
        <w:t>resources</w:t>
      </w:r>
    </w:p>
    <w:p>
      <w:pPr>
        <w:pStyle w:val="BodyText"/>
        <w:spacing w:before="11"/>
        <w:rPr>
          <w:b/>
          <w:sz w:val="21"/>
        </w:rPr>
      </w:pPr>
    </w:p>
    <w:p>
      <w:pPr>
        <w:pStyle w:val="ListParagraph"/>
        <w:numPr>
          <w:ilvl w:val="0"/>
          <w:numId w:val="29"/>
        </w:numPr>
        <w:tabs>
          <w:tab w:val="left" w:leader="none" w:pos="825"/>
          <w:tab w:val="left" w:leader="none" w:pos="828"/>
        </w:tabs>
        <w:spacing w:before="0" w:after="0" w:line="240" w:lineRule="auto"/>
        <w:ind w:left="825" w:right="392" w:hanging="708"/>
        <w:jc w:val="left"/>
        <w:rPr>
          <w:color w:val="0F0F0F"/>
          <w:sz w:val="22"/>
        </w:rPr>
      </w:pPr>
      <w:r>
        <w:rPr>
          <w:color w:val="484848"/>
          <w:sz w:val="22"/>
        </w:rPr>
        <w:tab/>
      </w:r>
      <w:r>
        <w:rPr>
          <w:color w:val="0F0F0F"/>
          <w:sz w:val="22"/>
        </w:rPr>
        <w:t>The Corporate Plan</w:t>
      </w:r>
      <w:r>
        <w:rPr>
          <w:color w:val="0F0F0F"/>
          <w:spacing w:val="-2"/>
          <w:sz w:val="22"/>
        </w:rPr>
        <w:t> </w:t>
      </w:r>
      <w:r>
        <w:rPr>
          <w:color w:val="0F0F0F"/>
          <w:sz w:val="22"/>
        </w:rPr>
        <w:t>and Annual Action Plan provide the</w:t>
      </w:r>
      <w:r>
        <w:rPr>
          <w:color w:val="0F0F0F"/>
          <w:spacing w:val="-2"/>
          <w:sz w:val="22"/>
        </w:rPr>
        <w:t> </w:t>
      </w:r>
      <w:r>
        <w:rPr>
          <w:color w:val="0F0F0F"/>
          <w:sz w:val="22"/>
        </w:rPr>
        <w:t>benchmarks for performance within the Council,</w:t>
      </w:r>
      <w:r>
        <w:rPr>
          <w:color w:val="0F0F0F"/>
          <w:spacing w:val="27"/>
          <w:sz w:val="22"/>
        </w:rPr>
        <w:t> </w:t>
      </w:r>
      <w:r>
        <w:rPr>
          <w:color w:val="0F0F0F"/>
          <w:sz w:val="22"/>
        </w:rPr>
        <w:t>and</w:t>
      </w:r>
      <w:r>
        <w:rPr>
          <w:color w:val="0F0F0F"/>
          <w:spacing w:val="-7"/>
          <w:sz w:val="22"/>
        </w:rPr>
        <w:t> </w:t>
      </w:r>
      <w:r>
        <w:rPr>
          <w:color w:val="0F0F0F"/>
          <w:sz w:val="22"/>
        </w:rPr>
        <w:t>the</w:t>
      </w:r>
      <w:r>
        <w:rPr>
          <w:color w:val="0F0F0F"/>
          <w:spacing w:val="-5"/>
          <w:sz w:val="22"/>
        </w:rPr>
        <w:t> </w:t>
      </w:r>
      <w:r>
        <w:rPr>
          <w:color w:val="0F0F0F"/>
          <w:sz w:val="22"/>
        </w:rPr>
        <w:t>Annual Report of Performance and</w:t>
      </w:r>
      <w:r>
        <w:rPr>
          <w:color w:val="0F0F0F"/>
          <w:spacing w:val="-3"/>
          <w:sz w:val="22"/>
        </w:rPr>
        <w:t> </w:t>
      </w:r>
      <w:r>
        <w:rPr>
          <w:color w:val="0F0F0F"/>
          <w:sz w:val="22"/>
        </w:rPr>
        <w:t>Annual Statement of</w:t>
      </w:r>
      <w:r>
        <w:rPr>
          <w:color w:val="0F0F0F"/>
          <w:spacing w:val="-7"/>
          <w:sz w:val="22"/>
        </w:rPr>
        <w:t> </w:t>
      </w:r>
      <w:r>
        <w:rPr>
          <w:color w:val="0F0F0F"/>
          <w:sz w:val="22"/>
        </w:rPr>
        <w:t>Accounts shows the achievements against</w:t>
      </w:r>
      <w:r>
        <w:rPr>
          <w:color w:val="0F0F0F"/>
          <w:spacing w:val="-1"/>
          <w:sz w:val="22"/>
        </w:rPr>
        <w:t> </w:t>
      </w:r>
      <w:r>
        <w:rPr>
          <w:color w:val="0F0F0F"/>
          <w:sz w:val="22"/>
        </w:rPr>
        <w:t>the</w:t>
      </w:r>
      <w:r>
        <w:rPr>
          <w:color w:val="0F0F0F"/>
          <w:spacing w:val="-12"/>
          <w:sz w:val="22"/>
        </w:rPr>
        <w:t> </w:t>
      </w:r>
      <w:r>
        <w:rPr>
          <w:color w:val="0F0F0F"/>
          <w:sz w:val="22"/>
        </w:rPr>
        <w:t>Plan.</w:t>
      </w:r>
      <w:r>
        <w:rPr>
          <w:color w:val="0F0F0F"/>
          <w:spacing w:val="-1"/>
          <w:sz w:val="22"/>
        </w:rPr>
        <w:t> </w:t>
      </w:r>
      <w:r>
        <w:rPr>
          <w:color w:val="0F0F0F"/>
          <w:sz w:val="22"/>
        </w:rPr>
        <w:t>The</w:t>
      </w:r>
      <w:r>
        <w:rPr>
          <w:color w:val="0F0F0F"/>
          <w:spacing w:val="-10"/>
          <w:sz w:val="22"/>
        </w:rPr>
        <w:t> </w:t>
      </w:r>
      <w:r>
        <w:rPr>
          <w:color w:val="0F0F0F"/>
          <w:sz w:val="22"/>
        </w:rPr>
        <w:t>Council</w:t>
      </w:r>
      <w:r>
        <w:rPr>
          <w:color w:val="0F0F0F"/>
          <w:spacing w:val="-1"/>
          <w:sz w:val="22"/>
        </w:rPr>
        <w:t> </w:t>
      </w:r>
      <w:r>
        <w:rPr>
          <w:color w:val="0F0F0F"/>
          <w:sz w:val="22"/>
        </w:rPr>
        <w:t>allocates resources based</w:t>
      </w:r>
      <w:r>
        <w:rPr>
          <w:color w:val="0F0F0F"/>
          <w:spacing w:val="-3"/>
          <w:sz w:val="22"/>
        </w:rPr>
        <w:t> </w:t>
      </w:r>
      <w:r>
        <w:rPr>
          <w:color w:val="0F0F0F"/>
          <w:sz w:val="22"/>
        </w:rPr>
        <w:t>on</w:t>
      </w:r>
      <w:r>
        <w:rPr>
          <w:color w:val="0F0F0F"/>
          <w:spacing w:val="-12"/>
          <w:sz w:val="22"/>
        </w:rPr>
        <w:t> </w:t>
      </w:r>
      <w:r>
        <w:rPr>
          <w:color w:val="0F0F0F"/>
          <w:sz w:val="22"/>
        </w:rPr>
        <w:t>its</w:t>
      </w:r>
      <w:r>
        <w:rPr>
          <w:color w:val="0F0F0F"/>
          <w:spacing w:val="-11"/>
          <w:sz w:val="22"/>
        </w:rPr>
        <w:t> </w:t>
      </w:r>
      <w:r>
        <w:rPr>
          <w:color w:val="0F0F0F"/>
          <w:sz w:val="22"/>
        </w:rPr>
        <w:t>priorities, as</w:t>
      </w:r>
      <w:r>
        <w:rPr>
          <w:color w:val="0F0F0F"/>
          <w:spacing w:val="-7"/>
          <w:sz w:val="22"/>
        </w:rPr>
        <w:t> </w:t>
      </w:r>
      <w:r>
        <w:rPr>
          <w:color w:val="0F0F0F"/>
          <w:sz w:val="22"/>
        </w:rPr>
        <w:t>set</w:t>
      </w:r>
      <w:r>
        <w:rPr>
          <w:color w:val="0F0F0F"/>
          <w:spacing w:val="-3"/>
          <w:sz w:val="22"/>
        </w:rPr>
        <w:t> </w:t>
      </w:r>
      <w:r>
        <w:rPr>
          <w:color w:val="0F0F0F"/>
          <w:sz w:val="22"/>
        </w:rPr>
        <w:t>out</w:t>
      </w:r>
      <w:r>
        <w:rPr>
          <w:color w:val="0F0F0F"/>
          <w:spacing w:val="-1"/>
          <w:sz w:val="22"/>
        </w:rPr>
        <w:t> </w:t>
      </w:r>
      <w:r>
        <w:rPr>
          <w:color w:val="0F0F0F"/>
          <w:sz w:val="22"/>
        </w:rPr>
        <w:t>in the Plan as well as in</w:t>
      </w:r>
      <w:r>
        <w:rPr>
          <w:color w:val="0F0F0F"/>
          <w:spacing w:val="-6"/>
          <w:sz w:val="22"/>
        </w:rPr>
        <w:t> </w:t>
      </w:r>
      <w:r>
        <w:rPr>
          <w:color w:val="0F0F0F"/>
          <w:sz w:val="22"/>
        </w:rPr>
        <w:t>other Policy Framework Documents and</w:t>
      </w:r>
      <w:r>
        <w:rPr>
          <w:color w:val="0F0F0F"/>
          <w:spacing w:val="-3"/>
          <w:sz w:val="22"/>
        </w:rPr>
        <w:t> </w:t>
      </w:r>
      <w:r>
        <w:rPr>
          <w:color w:val="0F0F0F"/>
          <w:sz w:val="22"/>
        </w:rPr>
        <w:t>the Communications</w:t>
      </w:r>
      <w:r>
        <w:rPr>
          <w:color w:val="0F0F0F"/>
          <w:spacing w:val="-5"/>
          <w:sz w:val="22"/>
        </w:rPr>
        <w:t> </w:t>
      </w:r>
      <w:r>
        <w:rPr>
          <w:color w:val="0F0F0F"/>
          <w:sz w:val="22"/>
        </w:rPr>
        <w:t>Strategy and Residents' Survey</w:t>
      </w:r>
      <w:r>
        <w:rPr>
          <w:color w:val="484848"/>
          <w:sz w:val="22"/>
        </w:rPr>
        <w:t>.</w:t>
      </w:r>
    </w:p>
    <w:p>
      <w:pPr>
        <w:pStyle w:val="BodyText"/>
        <w:spacing w:before="1"/>
      </w:pPr>
    </w:p>
    <w:p>
      <w:pPr>
        <w:pStyle w:val="ListParagraph"/>
        <w:numPr>
          <w:ilvl w:val="0"/>
          <w:numId w:val="29"/>
        </w:numPr>
        <w:tabs>
          <w:tab w:val="left" w:leader="none" w:pos="824"/>
          <w:tab w:val="left" w:leader="none" w:pos="828"/>
        </w:tabs>
        <w:spacing w:before="0" w:after="0" w:line="240" w:lineRule="auto"/>
        <w:ind w:left="824" w:right="539" w:hanging="707"/>
        <w:jc w:val="left"/>
        <w:rPr>
          <w:color w:val="0F0F0F"/>
          <w:sz w:val="22"/>
        </w:rPr>
      </w:pPr>
      <w:r>
        <w:rPr>
          <w:color w:val="0F0F0F"/>
          <w:sz w:val="22"/>
        </w:rPr>
        <w:tab/>
        <w:t>The</w:t>
      </w:r>
      <w:r>
        <w:rPr>
          <w:color w:val="0F0F0F"/>
          <w:spacing w:val="-9"/>
          <w:sz w:val="22"/>
        </w:rPr>
        <w:t> </w:t>
      </w:r>
      <w:r>
        <w:rPr>
          <w:color w:val="0F0F0F"/>
          <w:sz w:val="22"/>
        </w:rPr>
        <w:t>Council</w:t>
      </w:r>
      <w:r>
        <w:rPr>
          <w:color w:val="0F0F0F"/>
          <w:spacing w:val="-3"/>
          <w:sz w:val="22"/>
        </w:rPr>
        <w:t> </w:t>
      </w:r>
      <w:r>
        <w:rPr>
          <w:color w:val="0F0F0F"/>
          <w:sz w:val="22"/>
        </w:rPr>
        <w:t>has</w:t>
      </w:r>
      <w:r>
        <w:rPr>
          <w:color w:val="0F0F0F"/>
          <w:spacing w:val="-8"/>
          <w:sz w:val="22"/>
        </w:rPr>
        <w:t> </w:t>
      </w:r>
      <w:r>
        <w:rPr>
          <w:color w:val="0F0F0F"/>
          <w:sz w:val="22"/>
        </w:rPr>
        <w:t>made</w:t>
      </w:r>
      <w:r>
        <w:rPr>
          <w:color w:val="0F0F0F"/>
          <w:spacing w:val="-1"/>
          <w:sz w:val="22"/>
        </w:rPr>
        <w:t> </w:t>
      </w:r>
      <w:r>
        <w:rPr>
          <w:color w:val="0F0F0F"/>
          <w:sz w:val="22"/>
        </w:rPr>
        <w:t>proper</w:t>
      </w:r>
      <w:r>
        <w:rPr>
          <w:color w:val="0F0F0F"/>
          <w:spacing w:val="-1"/>
          <w:sz w:val="22"/>
        </w:rPr>
        <w:t> </w:t>
      </w:r>
      <w:r>
        <w:rPr>
          <w:color w:val="0F0F0F"/>
          <w:sz w:val="22"/>
        </w:rPr>
        <w:t>arrangements for</w:t>
      </w:r>
      <w:r>
        <w:rPr>
          <w:color w:val="0F0F0F"/>
          <w:spacing w:val="-13"/>
          <w:sz w:val="22"/>
        </w:rPr>
        <w:t> </w:t>
      </w:r>
      <w:r>
        <w:rPr>
          <w:color w:val="0F0F0F"/>
          <w:sz w:val="22"/>
        </w:rPr>
        <w:t>monitoring and</w:t>
      </w:r>
      <w:r>
        <w:rPr>
          <w:color w:val="0F0F0F"/>
          <w:spacing w:val="-15"/>
          <w:sz w:val="22"/>
        </w:rPr>
        <w:t> </w:t>
      </w:r>
      <w:r>
        <w:rPr>
          <w:color w:val="0F0F0F"/>
          <w:sz w:val="22"/>
        </w:rPr>
        <w:t>reporting performance</w:t>
      </w:r>
      <w:r>
        <w:rPr>
          <w:color w:val="0F0F0F"/>
          <w:spacing w:val="16"/>
          <w:sz w:val="22"/>
        </w:rPr>
        <w:t> </w:t>
      </w:r>
      <w:r>
        <w:rPr>
          <w:color w:val="282828"/>
          <w:sz w:val="22"/>
        </w:rPr>
        <w:t>through</w:t>
      </w:r>
      <w:r>
        <w:rPr>
          <w:color w:val="282828"/>
          <w:spacing w:val="-11"/>
          <w:sz w:val="22"/>
        </w:rPr>
        <w:t> </w:t>
      </w:r>
      <w:r>
        <w:rPr>
          <w:color w:val="0F0F0F"/>
          <w:sz w:val="22"/>
        </w:rPr>
        <w:t>the Executive Performance Management Panel and Scrutiny Committees and has sound systems to provide management and</w:t>
      </w:r>
      <w:r>
        <w:rPr>
          <w:color w:val="0F0F0F"/>
          <w:spacing w:val="-6"/>
          <w:sz w:val="22"/>
        </w:rPr>
        <w:t> </w:t>
      </w:r>
      <w:r>
        <w:rPr>
          <w:color w:val="0F0F0F"/>
          <w:sz w:val="22"/>
        </w:rPr>
        <w:t>financial information. Where performance does not</w:t>
      </w:r>
      <w:r>
        <w:rPr>
          <w:color w:val="0F0F0F"/>
          <w:spacing w:val="-2"/>
          <w:sz w:val="22"/>
        </w:rPr>
        <w:t> </w:t>
      </w:r>
      <w:r>
        <w:rPr>
          <w:color w:val="0F0F0F"/>
          <w:sz w:val="22"/>
        </w:rPr>
        <w:t>meet</w:t>
      </w:r>
      <w:r>
        <w:rPr>
          <w:color w:val="0F0F0F"/>
          <w:spacing w:val="-1"/>
          <w:sz w:val="22"/>
        </w:rPr>
        <w:t> </w:t>
      </w:r>
      <w:r>
        <w:rPr>
          <w:color w:val="0F0F0F"/>
          <w:sz w:val="22"/>
        </w:rPr>
        <w:t>the</w:t>
      </w:r>
      <w:r>
        <w:rPr>
          <w:color w:val="0F0F0F"/>
          <w:spacing w:val="-6"/>
          <w:sz w:val="22"/>
        </w:rPr>
        <w:t> </w:t>
      </w:r>
      <w:r>
        <w:rPr>
          <w:color w:val="0F0F0F"/>
          <w:sz w:val="22"/>
        </w:rPr>
        <w:t>planned levels, the</w:t>
      </w:r>
      <w:r>
        <w:rPr>
          <w:color w:val="0F0F0F"/>
          <w:spacing w:val="-1"/>
          <w:sz w:val="22"/>
        </w:rPr>
        <w:t> </w:t>
      </w:r>
      <w:r>
        <w:rPr>
          <w:color w:val="0F0F0F"/>
          <w:sz w:val="22"/>
        </w:rPr>
        <w:t>Panel may refer the matter to</w:t>
      </w:r>
      <w:r>
        <w:rPr>
          <w:color w:val="0F0F0F"/>
          <w:spacing w:val="-3"/>
          <w:sz w:val="22"/>
        </w:rPr>
        <w:t> </w:t>
      </w:r>
      <w:r>
        <w:rPr>
          <w:color w:val="0F0F0F"/>
          <w:sz w:val="22"/>
        </w:rPr>
        <w:t>the Scrutiny Committee for a</w:t>
      </w:r>
      <w:r>
        <w:rPr>
          <w:color w:val="0F0F0F"/>
          <w:spacing w:val="-3"/>
          <w:sz w:val="22"/>
        </w:rPr>
        <w:t> </w:t>
      </w:r>
      <w:r>
        <w:rPr>
          <w:color w:val="0F0F0F"/>
          <w:sz w:val="22"/>
        </w:rPr>
        <w:t>more in-depth review.</w:t>
      </w:r>
    </w:p>
    <w:p>
      <w:pPr>
        <w:pStyle w:val="BodyText"/>
        <w:spacing w:before="4"/>
      </w:pPr>
    </w:p>
    <w:p>
      <w:pPr>
        <w:pStyle w:val="ListParagraph"/>
        <w:numPr>
          <w:ilvl w:val="0"/>
          <w:numId w:val="29"/>
        </w:numPr>
        <w:tabs>
          <w:tab w:val="left" w:leader="none" w:pos="825"/>
          <w:tab w:val="left" w:leader="none" w:pos="828"/>
        </w:tabs>
        <w:spacing w:before="0" w:after="0" w:line="240" w:lineRule="auto"/>
        <w:ind w:left="825" w:right="913" w:hanging="708"/>
        <w:jc w:val="left"/>
        <w:rPr>
          <w:color w:val="0F0F0F"/>
          <w:sz w:val="22"/>
        </w:rPr>
      </w:pPr>
      <w:r>
        <w:rPr>
          <w:color w:val="0F0F0F"/>
          <w:sz w:val="22"/>
        </w:rPr>
        <w:tab/>
        <w:t>The Council aims to provide high-quality</w:t>
      </w:r>
      <w:r>
        <w:rPr>
          <w:color w:val="0F0F0F"/>
          <w:spacing w:val="31"/>
          <w:sz w:val="22"/>
        </w:rPr>
        <w:t> </w:t>
      </w:r>
      <w:r>
        <w:rPr>
          <w:color w:val="0F0F0F"/>
          <w:sz w:val="22"/>
        </w:rPr>
        <w:t>services for everyone in</w:t>
      </w:r>
      <w:r>
        <w:rPr>
          <w:color w:val="0F0F0F"/>
          <w:spacing w:val="-9"/>
          <w:sz w:val="22"/>
        </w:rPr>
        <w:t> </w:t>
      </w:r>
      <w:r>
        <w:rPr>
          <w:color w:val="0F0F0F"/>
          <w:sz w:val="22"/>
        </w:rPr>
        <w:t>the Hertsmere area and recognises the</w:t>
      </w:r>
      <w:r>
        <w:rPr>
          <w:color w:val="0F0F0F"/>
          <w:spacing w:val="-10"/>
          <w:sz w:val="22"/>
        </w:rPr>
        <w:t> </w:t>
      </w:r>
      <w:r>
        <w:rPr>
          <w:color w:val="0F0F0F"/>
          <w:sz w:val="22"/>
        </w:rPr>
        <w:t>importance</w:t>
      </w:r>
      <w:r>
        <w:rPr>
          <w:color w:val="0F0F0F"/>
          <w:spacing w:val="-3"/>
          <w:sz w:val="22"/>
        </w:rPr>
        <w:t> </w:t>
      </w:r>
      <w:r>
        <w:rPr>
          <w:color w:val="0F0F0F"/>
          <w:sz w:val="22"/>
        </w:rPr>
        <w:t>of</w:t>
      </w:r>
      <w:r>
        <w:rPr>
          <w:color w:val="0F0F0F"/>
          <w:spacing w:val="-14"/>
          <w:sz w:val="22"/>
        </w:rPr>
        <w:t> </w:t>
      </w:r>
      <w:r>
        <w:rPr>
          <w:color w:val="0F0F0F"/>
          <w:sz w:val="22"/>
        </w:rPr>
        <w:t>customer</w:t>
      </w:r>
      <w:r>
        <w:rPr>
          <w:color w:val="0F0F0F"/>
          <w:spacing w:val="-1"/>
          <w:sz w:val="22"/>
        </w:rPr>
        <w:t> </w:t>
      </w:r>
      <w:r>
        <w:rPr>
          <w:color w:val="0F0F0F"/>
          <w:sz w:val="22"/>
        </w:rPr>
        <w:t>feedback</w:t>
      </w:r>
      <w:r>
        <w:rPr>
          <w:color w:val="0F0F0F"/>
          <w:spacing w:val="-6"/>
          <w:sz w:val="22"/>
        </w:rPr>
        <w:t> </w:t>
      </w:r>
      <w:r>
        <w:rPr>
          <w:color w:val="0F0F0F"/>
          <w:sz w:val="22"/>
        </w:rPr>
        <w:t>(i.e.</w:t>
      </w:r>
      <w:r>
        <w:rPr>
          <w:color w:val="0F0F0F"/>
          <w:spacing w:val="-8"/>
          <w:sz w:val="22"/>
        </w:rPr>
        <w:t> </w:t>
      </w:r>
      <w:r>
        <w:rPr>
          <w:color w:val="0F0F0F"/>
          <w:sz w:val="22"/>
        </w:rPr>
        <w:t>Comments, Compliments or</w:t>
      </w:r>
      <w:r>
        <w:rPr>
          <w:color w:val="0F0F0F"/>
          <w:spacing w:val="-16"/>
          <w:sz w:val="22"/>
        </w:rPr>
        <w:t> </w:t>
      </w:r>
      <w:r>
        <w:rPr>
          <w:color w:val="0F0F0F"/>
          <w:sz w:val="22"/>
        </w:rPr>
        <w:t>Complaints) through the approved Customer Feedback Procedure.</w:t>
      </w:r>
    </w:p>
    <w:p>
      <w:pPr>
        <w:pStyle w:val="BodyText"/>
        <w:spacing w:before="4"/>
      </w:pPr>
    </w:p>
    <w:p>
      <w:pPr>
        <w:pStyle w:val="ListParagraph"/>
        <w:numPr>
          <w:ilvl w:val="0"/>
          <w:numId w:val="29"/>
        </w:numPr>
        <w:tabs>
          <w:tab w:val="left" w:leader="none" w:pos="829"/>
        </w:tabs>
        <w:spacing w:before="0" w:after="0" w:line="237" w:lineRule="auto"/>
        <w:ind w:left="829" w:right="807" w:hanging="707"/>
        <w:jc w:val="left"/>
        <w:rPr>
          <w:color w:val="0F0F0F"/>
          <w:sz w:val="22"/>
        </w:rPr>
      </w:pPr>
      <w:r>
        <w:rPr>
          <w:color w:val="0F0F0F"/>
          <w:sz w:val="22"/>
        </w:rPr>
        <w:t>The</w:t>
      </w:r>
      <w:r>
        <w:rPr>
          <w:color w:val="0F0F0F"/>
          <w:spacing w:val="-15"/>
          <w:sz w:val="22"/>
        </w:rPr>
        <w:t> </w:t>
      </w:r>
      <w:r>
        <w:rPr>
          <w:color w:val="0F0F0F"/>
          <w:sz w:val="22"/>
        </w:rPr>
        <w:t>Council aims</w:t>
      </w:r>
      <w:r>
        <w:rPr>
          <w:color w:val="0F0F0F"/>
          <w:spacing w:val="-6"/>
          <w:sz w:val="22"/>
        </w:rPr>
        <w:t> </w:t>
      </w:r>
      <w:r>
        <w:rPr>
          <w:color w:val="0F0F0F"/>
          <w:sz w:val="22"/>
        </w:rPr>
        <w:t>to</w:t>
      </w:r>
      <w:r>
        <w:rPr>
          <w:color w:val="0F0F0F"/>
          <w:spacing w:val="-10"/>
          <w:sz w:val="22"/>
        </w:rPr>
        <w:t> </w:t>
      </w:r>
      <w:r>
        <w:rPr>
          <w:color w:val="0F0F0F"/>
          <w:sz w:val="22"/>
        </w:rPr>
        <w:t>use</w:t>
      </w:r>
      <w:r>
        <w:rPr>
          <w:color w:val="0F0F0F"/>
          <w:spacing w:val="-12"/>
          <w:sz w:val="22"/>
        </w:rPr>
        <w:t> </w:t>
      </w:r>
      <w:r>
        <w:rPr>
          <w:color w:val="0F0F0F"/>
          <w:sz w:val="22"/>
        </w:rPr>
        <w:t>its</w:t>
      </w:r>
      <w:r>
        <w:rPr>
          <w:color w:val="0F0F0F"/>
          <w:spacing w:val="-12"/>
          <w:sz w:val="22"/>
        </w:rPr>
        <w:t> </w:t>
      </w:r>
      <w:r>
        <w:rPr>
          <w:color w:val="0F0F0F"/>
          <w:sz w:val="22"/>
        </w:rPr>
        <w:t>resources efficiently, effectively</w:t>
      </w:r>
      <w:r>
        <w:rPr>
          <w:color w:val="0F0F0F"/>
          <w:spacing w:val="17"/>
          <w:sz w:val="22"/>
        </w:rPr>
        <w:t> </w:t>
      </w:r>
      <w:r>
        <w:rPr>
          <w:color w:val="0F0F0F"/>
          <w:sz w:val="22"/>
        </w:rPr>
        <w:t>and</w:t>
      </w:r>
      <w:r>
        <w:rPr>
          <w:color w:val="0F0F0F"/>
          <w:spacing w:val="-9"/>
          <w:sz w:val="22"/>
        </w:rPr>
        <w:t> </w:t>
      </w:r>
      <w:r>
        <w:rPr>
          <w:color w:val="0F0F0F"/>
          <w:sz w:val="22"/>
        </w:rPr>
        <w:t>economically -</w:t>
      </w:r>
      <w:r>
        <w:rPr>
          <w:color w:val="0F0F0F"/>
          <w:spacing w:val="40"/>
          <w:sz w:val="22"/>
        </w:rPr>
        <w:t> </w:t>
      </w:r>
      <w:r>
        <w:rPr>
          <w:color w:val="0F0F0F"/>
          <w:sz w:val="22"/>
        </w:rPr>
        <w:t>the</w:t>
      </w:r>
      <w:r>
        <w:rPr>
          <w:color w:val="0F0F0F"/>
          <w:spacing w:val="-6"/>
          <w:sz w:val="22"/>
        </w:rPr>
        <w:t> </w:t>
      </w:r>
      <w:r>
        <w:rPr>
          <w:color w:val="0F0F0F"/>
          <w:sz w:val="22"/>
        </w:rPr>
        <w:t>Constitution provides specific guidance in this.</w:t>
      </w:r>
    </w:p>
    <w:p>
      <w:pPr>
        <w:pStyle w:val="ListParagraph"/>
        <w:numPr>
          <w:ilvl w:val="0"/>
          <w:numId w:val="29"/>
        </w:numPr>
        <w:tabs>
          <w:tab w:val="left" w:leader="none" w:pos="827"/>
        </w:tabs>
        <w:spacing w:before="251" w:after="0" w:line="240" w:lineRule="auto"/>
        <w:ind w:left="827" w:right="492" w:hanging="713"/>
        <w:jc w:val="left"/>
        <w:rPr>
          <w:color w:val="0F0F0F"/>
          <w:sz w:val="22"/>
        </w:rPr>
      </w:pPr>
      <w:r>
        <w:rPr>
          <w:color w:val="0F0F0F"/>
          <w:sz w:val="22"/>
        </w:rPr>
        <w:t>The</w:t>
      </w:r>
      <w:r>
        <w:rPr>
          <w:color w:val="0F0F0F"/>
          <w:spacing w:val="-8"/>
          <w:sz w:val="22"/>
        </w:rPr>
        <w:t> </w:t>
      </w:r>
      <w:r>
        <w:rPr>
          <w:color w:val="0F0F0F"/>
          <w:sz w:val="22"/>
        </w:rPr>
        <w:t>Council </w:t>
      </w:r>
      <w:r>
        <w:rPr>
          <w:color w:val="282828"/>
          <w:sz w:val="22"/>
        </w:rPr>
        <w:t>has </w:t>
      </w:r>
      <w:r>
        <w:rPr>
          <w:color w:val="0F0F0F"/>
          <w:sz w:val="22"/>
        </w:rPr>
        <w:t>entered</w:t>
      </w:r>
      <w:r>
        <w:rPr>
          <w:color w:val="0F0F0F"/>
          <w:spacing w:val="-8"/>
          <w:sz w:val="22"/>
        </w:rPr>
        <w:t> </w:t>
      </w:r>
      <w:r>
        <w:rPr>
          <w:color w:val="282828"/>
          <w:sz w:val="22"/>
        </w:rPr>
        <w:t>into</w:t>
      </w:r>
      <w:r>
        <w:rPr>
          <w:color w:val="282828"/>
          <w:spacing w:val="-1"/>
          <w:sz w:val="22"/>
        </w:rPr>
        <w:t> </w:t>
      </w:r>
      <w:r>
        <w:rPr>
          <w:color w:val="0F0F0F"/>
          <w:sz w:val="22"/>
        </w:rPr>
        <w:t>a</w:t>
      </w:r>
      <w:r>
        <w:rPr>
          <w:color w:val="0F0F0F"/>
          <w:spacing w:val="-8"/>
          <w:sz w:val="22"/>
        </w:rPr>
        <w:t> </w:t>
      </w:r>
      <w:r>
        <w:rPr>
          <w:color w:val="0F0F0F"/>
          <w:sz w:val="22"/>
        </w:rPr>
        <w:t>number of</w:t>
      </w:r>
      <w:r>
        <w:rPr>
          <w:color w:val="0F0F0F"/>
          <w:spacing w:val="-1"/>
          <w:sz w:val="22"/>
        </w:rPr>
        <w:t> </w:t>
      </w:r>
      <w:r>
        <w:rPr>
          <w:color w:val="0F0F0F"/>
          <w:sz w:val="22"/>
        </w:rPr>
        <w:t>shared</w:t>
      </w:r>
      <w:r>
        <w:rPr>
          <w:color w:val="0F0F0F"/>
          <w:spacing w:val="-1"/>
          <w:sz w:val="22"/>
        </w:rPr>
        <w:t> </w:t>
      </w:r>
      <w:r>
        <w:rPr>
          <w:color w:val="0F0F0F"/>
          <w:sz w:val="22"/>
        </w:rPr>
        <w:t>service</w:t>
      </w:r>
      <w:r>
        <w:rPr>
          <w:color w:val="0F0F0F"/>
          <w:spacing w:val="-6"/>
          <w:sz w:val="22"/>
        </w:rPr>
        <w:t> </w:t>
      </w:r>
      <w:r>
        <w:rPr>
          <w:color w:val="0F0F0F"/>
          <w:sz w:val="22"/>
        </w:rPr>
        <w:t>initiatives, e.g. with</w:t>
      </w:r>
      <w:r>
        <w:rPr>
          <w:color w:val="0F0F0F"/>
          <w:spacing w:val="-1"/>
          <w:sz w:val="22"/>
        </w:rPr>
        <w:t> </w:t>
      </w:r>
      <w:r>
        <w:rPr>
          <w:color w:val="0F0F0F"/>
          <w:sz w:val="22"/>
        </w:rPr>
        <w:t>Hertfordshire County Council</w:t>
      </w:r>
      <w:r>
        <w:rPr>
          <w:color w:val="606060"/>
          <w:sz w:val="22"/>
        </w:rPr>
        <w:t>,</w:t>
      </w:r>
      <w:r>
        <w:rPr>
          <w:color w:val="606060"/>
          <w:spacing w:val="-13"/>
          <w:sz w:val="22"/>
        </w:rPr>
        <w:t> </w:t>
      </w:r>
      <w:r>
        <w:rPr>
          <w:color w:val="0F0F0F"/>
          <w:sz w:val="22"/>
        </w:rPr>
        <w:t>Broxbourne Borough Co</w:t>
      </w:r>
      <w:r>
        <w:rPr>
          <w:color w:val="282828"/>
          <w:sz w:val="22"/>
        </w:rPr>
        <w:t>u</w:t>
      </w:r>
      <w:r>
        <w:rPr>
          <w:color w:val="0F0F0F"/>
          <w:sz w:val="22"/>
        </w:rPr>
        <w:t>nc</w:t>
      </w:r>
      <w:r>
        <w:rPr>
          <w:color w:val="282828"/>
          <w:sz w:val="22"/>
        </w:rPr>
        <w:t>il</w:t>
      </w:r>
      <w:r>
        <w:rPr>
          <w:color w:val="484848"/>
          <w:sz w:val="22"/>
        </w:rPr>
        <w:t>,</w:t>
      </w:r>
      <w:r>
        <w:rPr>
          <w:color w:val="484848"/>
          <w:spacing w:val="-18"/>
          <w:sz w:val="22"/>
        </w:rPr>
        <w:t> </w:t>
      </w:r>
      <w:r>
        <w:rPr>
          <w:color w:val="0F0F0F"/>
          <w:sz w:val="22"/>
        </w:rPr>
        <w:t>Dacorum </w:t>
      </w:r>
      <w:r>
        <w:rPr>
          <w:color w:val="282828"/>
          <w:sz w:val="22"/>
        </w:rPr>
        <w:t>Borough</w:t>
      </w:r>
      <w:r>
        <w:rPr>
          <w:color w:val="282828"/>
          <w:spacing w:val="-9"/>
          <w:sz w:val="22"/>
        </w:rPr>
        <w:t> </w:t>
      </w:r>
      <w:r>
        <w:rPr>
          <w:color w:val="0F0F0F"/>
          <w:sz w:val="22"/>
        </w:rPr>
        <w:t>Council, East </w:t>
      </w:r>
      <w:r>
        <w:rPr>
          <w:color w:val="282828"/>
          <w:sz w:val="22"/>
        </w:rPr>
        <w:t>Herts</w:t>
      </w:r>
      <w:r>
        <w:rPr>
          <w:color w:val="282828"/>
          <w:spacing w:val="-1"/>
          <w:sz w:val="22"/>
        </w:rPr>
        <w:t> </w:t>
      </w:r>
      <w:r>
        <w:rPr>
          <w:color w:val="0F0F0F"/>
          <w:sz w:val="22"/>
        </w:rPr>
        <w:t>Council, North</w:t>
      </w:r>
      <w:r>
        <w:rPr>
          <w:color w:val="0F0F0F"/>
          <w:spacing w:val="-2"/>
          <w:sz w:val="22"/>
        </w:rPr>
        <w:t> </w:t>
      </w:r>
      <w:r>
        <w:rPr>
          <w:color w:val="282828"/>
          <w:sz w:val="22"/>
        </w:rPr>
        <w:t>Herts District </w:t>
      </w:r>
      <w:r>
        <w:rPr>
          <w:color w:val="0F0F0F"/>
          <w:sz w:val="22"/>
        </w:rPr>
        <w:t>Counc</w:t>
      </w:r>
      <w:r>
        <w:rPr>
          <w:color w:val="282828"/>
          <w:sz w:val="22"/>
        </w:rPr>
        <w:t>il</w:t>
      </w:r>
      <w:r>
        <w:rPr>
          <w:color w:val="484848"/>
          <w:sz w:val="22"/>
        </w:rPr>
        <w:t>,</w:t>
      </w:r>
      <w:r>
        <w:rPr>
          <w:color w:val="484848"/>
          <w:spacing w:val="-18"/>
          <w:sz w:val="22"/>
        </w:rPr>
        <w:t> </w:t>
      </w:r>
      <w:r>
        <w:rPr>
          <w:color w:val="0F0F0F"/>
          <w:sz w:val="22"/>
        </w:rPr>
        <w:t>Stevenage Borough Co</w:t>
      </w:r>
      <w:r>
        <w:rPr>
          <w:color w:val="282828"/>
          <w:sz w:val="22"/>
        </w:rPr>
        <w:t>un</w:t>
      </w:r>
      <w:r>
        <w:rPr>
          <w:color w:val="0F0F0F"/>
          <w:sz w:val="22"/>
        </w:rPr>
        <w:t>ci</w:t>
      </w:r>
      <w:r>
        <w:rPr>
          <w:color w:val="282828"/>
          <w:sz w:val="22"/>
        </w:rPr>
        <w:t>l</w:t>
      </w:r>
      <w:r>
        <w:rPr>
          <w:color w:val="484848"/>
          <w:sz w:val="22"/>
        </w:rPr>
        <w:t>,</w:t>
      </w:r>
      <w:r>
        <w:rPr>
          <w:color w:val="484848"/>
          <w:spacing w:val="-18"/>
          <w:sz w:val="22"/>
        </w:rPr>
        <w:t> </w:t>
      </w:r>
      <w:r>
        <w:rPr>
          <w:color w:val="0F0F0F"/>
          <w:sz w:val="22"/>
        </w:rPr>
        <w:t>Three Rivers District Council, Watford Borough Council and</w:t>
      </w:r>
      <w:r>
        <w:rPr>
          <w:color w:val="0F0F0F"/>
          <w:spacing w:val="-2"/>
          <w:sz w:val="22"/>
        </w:rPr>
        <w:t> </w:t>
      </w:r>
      <w:r>
        <w:rPr>
          <w:color w:val="0F0F0F"/>
          <w:sz w:val="22"/>
        </w:rPr>
        <w:t>Welwyn Hatfield Borough Council as well as the</w:t>
      </w:r>
      <w:r>
        <w:rPr>
          <w:color w:val="0F0F0F"/>
          <w:spacing w:val="-1"/>
          <w:sz w:val="22"/>
        </w:rPr>
        <w:t> </w:t>
      </w:r>
      <w:r>
        <w:rPr>
          <w:color w:val="0F0F0F"/>
          <w:sz w:val="22"/>
        </w:rPr>
        <w:t>Hertfordshire Constabulary.</w:t>
      </w:r>
    </w:p>
    <w:p>
      <w:pPr>
        <w:pStyle w:val="BodyText"/>
        <w:spacing w:before="20"/>
        <w:rPr>
          <w:sz w:val="21"/>
        </w:rPr>
      </w:pPr>
    </w:p>
    <w:p>
      <w:pPr>
        <w:spacing w:before="0" w:line="254" w:lineRule="auto"/>
        <w:ind w:left="834" w:right="0" w:hanging="2"/>
        <w:jc w:val="left"/>
        <w:rPr>
          <w:b/>
          <w:sz w:val="21"/>
        </w:rPr>
      </w:pPr>
      <w:r>
        <w:rPr>
          <w:b/>
          <w:color w:val="0F0F0F"/>
          <w:w w:val="105"/>
          <w:sz w:val="21"/>
          <w:u w:val="thick" w:color="0F0F0F"/>
        </w:rPr>
        <w:t>Defining and documenting the roles and responsibilities of the Executive, non-Executive</w:t>
      </w:r>
      <w:r>
        <w:rPr>
          <w:b/>
          <w:color w:val="0F0F0F"/>
          <w:w w:val="105"/>
          <w:sz w:val="21"/>
          <w:u w:val="none"/>
        </w:rPr>
        <w:t>, </w:t>
      </w:r>
      <w:r>
        <w:rPr>
          <w:b/>
          <w:color w:val="0F0F0F"/>
          <w:w w:val="105"/>
          <w:sz w:val="21"/>
          <w:u w:val="thick" w:color="0F0F0F"/>
        </w:rPr>
        <w:t>scrutiny</w:t>
      </w:r>
      <w:r>
        <w:rPr>
          <w:b/>
          <w:color w:val="0F0F0F"/>
          <w:spacing w:val="-4"/>
          <w:w w:val="105"/>
          <w:sz w:val="21"/>
          <w:u w:val="thick" w:color="0F0F0F"/>
        </w:rPr>
        <w:t> </w:t>
      </w:r>
      <w:r>
        <w:rPr>
          <w:b/>
          <w:color w:val="0F0F0F"/>
          <w:w w:val="105"/>
          <w:sz w:val="21"/>
          <w:u w:val="thick" w:color="0F0F0F"/>
        </w:rPr>
        <w:t>and</w:t>
      </w:r>
      <w:r>
        <w:rPr>
          <w:b/>
          <w:color w:val="0F0F0F"/>
          <w:spacing w:val="-6"/>
          <w:w w:val="105"/>
          <w:sz w:val="21"/>
          <w:u w:val="thick" w:color="0F0F0F"/>
        </w:rPr>
        <w:t> </w:t>
      </w:r>
      <w:r>
        <w:rPr>
          <w:b/>
          <w:color w:val="0F0F0F"/>
          <w:w w:val="105"/>
          <w:sz w:val="21"/>
          <w:u w:val="thick" w:color="0F0F0F"/>
        </w:rPr>
        <w:t>officer</w:t>
      </w:r>
      <w:r>
        <w:rPr>
          <w:b/>
          <w:color w:val="0F0F0F"/>
          <w:spacing w:val="-2"/>
          <w:w w:val="105"/>
          <w:sz w:val="21"/>
          <w:u w:val="thick" w:color="0F0F0F"/>
        </w:rPr>
        <w:t> </w:t>
      </w:r>
      <w:r>
        <w:rPr>
          <w:b/>
          <w:color w:val="0F0F0F"/>
          <w:w w:val="105"/>
          <w:sz w:val="21"/>
          <w:u w:val="thick" w:color="0F0F0F"/>
        </w:rPr>
        <w:t>functions, with</w:t>
      </w:r>
      <w:r>
        <w:rPr>
          <w:b/>
          <w:color w:val="0F0F0F"/>
          <w:spacing w:val="-5"/>
          <w:w w:val="105"/>
          <w:sz w:val="21"/>
          <w:u w:val="thick" w:color="0F0F0F"/>
        </w:rPr>
        <w:t> </w:t>
      </w:r>
      <w:r>
        <w:rPr>
          <w:b/>
          <w:color w:val="0F0F0F"/>
          <w:w w:val="105"/>
          <w:sz w:val="21"/>
          <w:u w:val="thick" w:color="0F0F0F"/>
        </w:rPr>
        <w:t>clear</w:t>
      </w:r>
      <w:r>
        <w:rPr>
          <w:b/>
          <w:color w:val="0F0F0F"/>
          <w:spacing w:val="-4"/>
          <w:w w:val="105"/>
          <w:sz w:val="21"/>
          <w:u w:val="thick" w:color="0F0F0F"/>
        </w:rPr>
        <w:t> </w:t>
      </w:r>
      <w:r>
        <w:rPr>
          <w:b/>
          <w:color w:val="0F0F0F"/>
          <w:w w:val="105"/>
          <w:sz w:val="21"/>
          <w:u w:val="thick" w:color="0F0F0F"/>
        </w:rPr>
        <w:t>delegation arrangements and</w:t>
      </w:r>
      <w:r>
        <w:rPr>
          <w:b/>
          <w:color w:val="0F0F0F"/>
          <w:spacing w:val="-11"/>
          <w:w w:val="105"/>
          <w:sz w:val="21"/>
          <w:u w:val="thick" w:color="0F0F0F"/>
        </w:rPr>
        <w:t> </w:t>
      </w:r>
      <w:r>
        <w:rPr>
          <w:b/>
          <w:color w:val="0F0F0F"/>
          <w:w w:val="105"/>
          <w:sz w:val="21"/>
          <w:u w:val="thick" w:color="0F0F0F"/>
        </w:rPr>
        <w:t>protocols</w:t>
      </w:r>
      <w:r>
        <w:rPr>
          <w:b/>
          <w:color w:val="0F0F0F"/>
          <w:spacing w:val="-3"/>
          <w:w w:val="105"/>
          <w:sz w:val="21"/>
          <w:u w:val="thick" w:color="0F0F0F"/>
        </w:rPr>
        <w:t> </w:t>
      </w:r>
      <w:r>
        <w:rPr>
          <w:b/>
          <w:color w:val="0F0F0F"/>
          <w:w w:val="105"/>
          <w:sz w:val="21"/>
          <w:u w:val="thick" w:color="0F0F0F"/>
        </w:rPr>
        <w:t>for</w:t>
      </w:r>
      <w:r>
        <w:rPr>
          <w:b/>
          <w:color w:val="0F0F0F"/>
          <w:spacing w:val="-11"/>
          <w:w w:val="105"/>
          <w:sz w:val="21"/>
          <w:u w:val="thick" w:color="0F0F0F"/>
        </w:rPr>
        <w:t> </w:t>
      </w:r>
      <w:r>
        <w:rPr>
          <w:b/>
          <w:color w:val="0F0F0F"/>
          <w:w w:val="105"/>
          <w:sz w:val="21"/>
          <w:u w:val="thick" w:color="0F0F0F"/>
        </w:rPr>
        <w:t>effective</w:t>
      </w:r>
      <w:r>
        <w:rPr>
          <w:b/>
          <w:color w:val="0F0F0F"/>
          <w:w w:val="105"/>
          <w:sz w:val="21"/>
          <w:u w:val="none"/>
        </w:rPr>
        <w:t> </w:t>
      </w:r>
      <w:r>
        <w:rPr>
          <w:b/>
          <w:color w:val="0F0F0F"/>
          <w:spacing w:val="-2"/>
          <w:w w:val="105"/>
          <w:sz w:val="21"/>
          <w:u w:val="thick" w:color="0F0F0F"/>
        </w:rPr>
        <w:t>communication</w:t>
      </w:r>
    </w:p>
    <w:p>
      <w:pPr>
        <w:pStyle w:val="BodyText"/>
        <w:spacing w:before="5"/>
        <w:rPr>
          <w:b/>
          <w:sz w:val="21"/>
        </w:rPr>
      </w:pPr>
    </w:p>
    <w:p>
      <w:pPr>
        <w:pStyle w:val="ListParagraph"/>
        <w:numPr>
          <w:ilvl w:val="0"/>
          <w:numId w:val="29"/>
        </w:numPr>
        <w:tabs>
          <w:tab w:val="left" w:leader="none" w:pos="833"/>
        </w:tabs>
        <w:spacing w:before="0" w:after="0" w:line="240" w:lineRule="auto"/>
        <w:ind w:left="833" w:right="336" w:hanging="710"/>
        <w:jc w:val="left"/>
        <w:rPr>
          <w:color w:val="0F0F0F"/>
          <w:sz w:val="22"/>
        </w:rPr>
      </w:pPr>
      <w:r>
        <w:rPr>
          <w:color w:val="0F0F0F"/>
          <w:sz w:val="22"/>
        </w:rPr>
        <w:t>The Council's Constitution sets out the roles and responsibilities of both</w:t>
      </w:r>
      <w:r>
        <w:rPr>
          <w:color w:val="0F0F0F"/>
          <w:spacing w:val="-6"/>
          <w:sz w:val="22"/>
        </w:rPr>
        <w:t> </w:t>
      </w:r>
      <w:r>
        <w:rPr>
          <w:color w:val="0F0F0F"/>
          <w:sz w:val="22"/>
        </w:rPr>
        <w:t>Members</w:t>
      </w:r>
      <w:r>
        <w:rPr>
          <w:color w:val="0F0F0F"/>
          <w:spacing w:val="22"/>
          <w:sz w:val="22"/>
        </w:rPr>
        <w:t> </w:t>
      </w:r>
      <w:r>
        <w:rPr>
          <w:color w:val="0F0F0F"/>
          <w:sz w:val="22"/>
        </w:rPr>
        <w:t>and officers. It also commits the Council to</w:t>
      </w:r>
      <w:r>
        <w:rPr>
          <w:color w:val="0F0F0F"/>
          <w:spacing w:val="-6"/>
          <w:sz w:val="22"/>
        </w:rPr>
        <w:t> </w:t>
      </w:r>
      <w:r>
        <w:rPr>
          <w:color w:val="0F0F0F"/>
          <w:sz w:val="22"/>
        </w:rPr>
        <w:t>provide clear leadership to the community. It aims to enhance the involvement</w:t>
      </w:r>
      <w:r>
        <w:rPr>
          <w:color w:val="0F0F0F"/>
          <w:spacing w:val="18"/>
          <w:sz w:val="22"/>
        </w:rPr>
        <w:t> </w:t>
      </w:r>
      <w:r>
        <w:rPr>
          <w:color w:val="0F0F0F"/>
          <w:sz w:val="22"/>
        </w:rPr>
        <w:t>of</w:t>
      </w:r>
      <w:r>
        <w:rPr>
          <w:color w:val="0F0F0F"/>
          <w:spacing w:val="-5"/>
          <w:sz w:val="22"/>
        </w:rPr>
        <w:t> </w:t>
      </w:r>
      <w:r>
        <w:rPr>
          <w:color w:val="0F0F0F"/>
          <w:sz w:val="22"/>
        </w:rPr>
        <w:t>citizens in</w:t>
      </w:r>
      <w:r>
        <w:rPr>
          <w:color w:val="0F0F0F"/>
          <w:spacing w:val="-14"/>
          <w:sz w:val="22"/>
        </w:rPr>
        <w:t> </w:t>
      </w:r>
      <w:r>
        <w:rPr>
          <w:color w:val="0F0F0F"/>
          <w:sz w:val="22"/>
        </w:rPr>
        <w:t>decision-making</w:t>
      </w:r>
      <w:r>
        <w:rPr>
          <w:color w:val="0F0F0F"/>
          <w:spacing w:val="-3"/>
          <w:sz w:val="22"/>
        </w:rPr>
        <w:t> </w:t>
      </w:r>
      <w:r>
        <w:rPr>
          <w:color w:val="0F0F0F"/>
          <w:sz w:val="22"/>
        </w:rPr>
        <w:t>and</w:t>
      </w:r>
      <w:r>
        <w:rPr>
          <w:color w:val="0F0F0F"/>
          <w:spacing w:val="-12"/>
          <w:sz w:val="22"/>
        </w:rPr>
        <w:t> </w:t>
      </w:r>
      <w:r>
        <w:rPr>
          <w:color w:val="0F0F0F"/>
          <w:sz w:val="22"/>
        </w:rPr>
        <w:t>make</w:t>
      </w:r>
      <w:r>
        <w:rPr>
          <w:color w:val="0F0F0F"/>
          <w:spacing w:val="-6"/>
          <w:sz w:val="22"/>
        </w:rPr>
        <w:t> </w:t>
      </w:r>
      <w:r>
        <w:rPr>
          <w:color w:val="0F0F0F"/>
          <w:sz w:val="22"/>
        </w:rPr>
        <w:t>the</w:t>
      </w:r>
      <w:r>
        <w:rPr>
          <w:color w:val="0F0F0F"/>
          <w:spacing w:val="-3"/>
          <w:sz w:val="22"/>
        </w:rPr>
        <w:t> </w:t>
      </w:r>
      <w:r>
        <w:rPr>
          <w:color w:val="0F0F0F"/>
          <w:sz w:val="22"/>
        </w:rPr>
        <w:t>decision-making</w:t>
      </w:r>
      <w:r>
        <w:rPr>
          <w:color w:val="0F0F0F"/>
          <w:spacing w:val="-10"/>
          <w:sz w:val="22"/>
        </w:rPr>
        <w:t> </w:t>
      </w:r>
      <w:r>
        <w:rPr>
          <w:color w:val="0F0F0F"/>
          <w:sz w:val="22"/>
        </w:rPr>
        <w:t>process efficient, effective and transparent and</w:t>
      </w:r>
      <w:r>
        <w:rPr>
          <w:color w:val="0F0F0F"/>
          <w:spacing w:val="-1"/>
          <w:sz w:val="22"/>
        </w:rPr>
        <w:t> </w:t>
      </w:r>
      <w:r>
        <w:rPr>
          <w:color w:val="0F0F0F"/>
          <w:sz w:val="22"/>
        </w:rPr>
        <w:t>those involved in it accountable.</w:t>
      </w:r>
    </w:p>
    <w:p>
      <w:pPr>
        <w:pStyle w:val="ListParagraph"/>
        <w:numPr>
          <w:ilvl w:val="0"/>
          <w:numId w:val="29"/>
        </w:numPr>
        <w:tabs>
          <w:tab w:val="left" w:leader="none" w:pos="831"/>
          <w:tab w:val="left" w:leader="none" w:pos="833"/>
        </w:tabs>
        <w:spacing w:before="252" w:after="0" w:line="240" w:lineRule="auto"/>
        <w:ind w:left="831" w:right="650" w:hanging="708"/>
        <w:jc w:val="left"/>
        <w:rPr>
          <w:color w:val="0F0F0F"/>
          <w:sz w:val="22"/>
        </w:rPr>
      </w:pPr>
      <w:r>
        <w:rPr>
          <w:color w:val="0F0F0F"/>
          <w:sz w:val="22"/>
        </w:rPr>
        <w:tab/>
        <w:t>There are</w:t>
      </w:r>
      <w:r>
        <w:rPr>
          <w:color w:val="0F0F0F"/>
          <w:spacing w:val="-7"/>
          <w:sz w:val="22"/>
        </w:rPr>
        <w:t> </w:t>
      </w:r>
      <w:r>
        <w:rPr>
          <w:color w:val="0F0F0F"/>
          <w:sz w:val="22"/>
        </w:rPr>
        <w:t>regular meetings of</w:t>
      </w:r>
      <w:r>
        <w:rPr>
          <w:color w:val="0F0F0F"/>
          <w:spacing w:val="-5"/>
          <w:sz w:val="22"/>
        </w:rPr>
        <w:t> </w:t>
      </w:r>
      <w:r>
        <w:rPr>
          <w:color w:val="0F0F0F"/>
          <w:sz w:val="22"/>
        </w:rPr>
        <w:t>the</w:t>
      </w:r>
      <w:r>
        <w:rPr>
          <w:color w:val="0F0F0F"/>
          <w:spacing w:val="-9"/>
          <w:sz w:val="22"/>
        </w:rPr>
        <w:t> </w:t>
      </w:r>
      <w:r>
        <w:rPr>
          <w:color w:val="0F0F0F"/>
          <w:sz w:val="22"/>
        </w:rPr>
        <w:t>Council, the</w:t>
      </w:r>
      <w:r>
        <w:rPr>
          <w:color w:val="0F0F0F"/>
          <w:spacing w:val="-2"/>
          <w:sz w:val="22"/>
        </w:rPr>
        <w:t> </w:t>
      </w:r>
      <w:r>
        <w:rPr>
          <w:color w:val="0F0F0F"/>
          <w:sz w:val="22"/>
        </w:rPr>
        <w:t>Executive, the</w:t>
      </w:r>
      <w:r>
        <w:rPr>
          <w:color w:val="0F0F0F"/>
          <w:spacing w:val="-9"/>
          <w:sz w:val="22"/>
        </w:rPr>
        <w:t> </w:t>
      </w:r>
      <w:r>
        <w:rPr>
          <w:color w:val="0F0F0F"/>
          <w:sz w:val="22"/>
        </w:rPr>
        <w:t>Management Board</w:t>
      </w:r>
      <w:r>
        <w:rPr>
          <w:color w:val="0F0F0F"/>
          <w:spacing w:val="-3"/>
          <w:sz w:val="22"/>
        </w:rPr>
        <w:t> </w:t>
      </w:r>
      <w:r>
        <w:rPr>
          <w:color w:val="0F0F0F"/>
          <w:sz w:val="22"/>
        </w:rPr>
        <w:t>and</w:t>
      </w:r>
      <w:r>
        <w:rPr>
          <w:color w:val="0F0F0F"/>
          <w:spacing w:val="-13"/>
          <w:sz w:val="22"/>
        </w:rPr>
        <w:t> </w:t>
      </w:r>
      <w:r>
        <w:rPr>
          <w:color w:val="0F0F0F"/>
          <w:sz w:val="22"/>
        </w:rPr>
        <w:t>the</w:t>
      </w:r>
      <w:r>
        <w:rPr>
          <w:color w:val="0F0F0F"/>
          <w:spacing w:val="-7"/>
          <w:sz w:val="22"/>
        </w:rPr>
        <w:t> </w:t>
      </w:r>
      <w:r>
        <w:rPr>
          <w:color w:val="0F0F0F"/>
          <w:sz w:val="22"/>
        </w:rPr>
        <w:t>Senior Management Team.</w:t>
      </w:r>
    </w:p>
    <w:p>
      <w:pPr>
        <w:pStyle w:val="ListParagraph"/>
        <w:numPr>
          <w:ilvl w:val="0"/>
          <w:numId w:val="29"/>
        </w:numPr>
        <w:tabs>
          <w:tab w:val="left" w:leader="none" w:pos="837"/>
          <w:tab w:val="left" w:leader="none" w:pos="840"/>
        </w:tabs>
        <w:spacing w:before="248" w:after="0" w:line="240" w:lineRule="auto"/>
        <w:ind w:left="840" w:right="325" w:hanging="716"/>
        <w:jc w:val="left"/>
        <w:rPr>
          <w:color w:val="0F0F0F"/>
          <w:sz w:val="22"/>
        </w:rPr>
      </w:pPr>
      <w:r>
        <w:rPr>
          <w:color w:val="282828"/>
          <w:sz w:val="22"/>
        </w:rPr>
        <w:t>In</w:t>
      </w:r>
      <w:r>
        <w:rPr>
          <w:color w:val="282828"/>
          <w:spacing w:val="-2"/>
          <w:sz w:val="22"/>
        </w:rPr>
        <w:t> </w:t>
      </w:r>
      <w:r>
        <w:rPr>
          <w:color w:val="0F0F0F"/>
          <w:sz w:val="22"/>
        </w:rPr>
        <w:t>a</w:t>
      </w:r>
      <w:r>
        <w:rPr>
          <w:color w:val="282828"/>
          <w:sz w:val="22"/>
        </w:rPr>
        <w:t>d</w:t>
      </w:r>
      <w:r>
        <w:rPr>
          <w:color w:val="0F0F0F"/>
          <w:sz w:val="22"/>
        </w:rPr>
        <w:t>d</w:t>
      </w:r>
      <w:r>
        <w:rPr>
          <w:color w:val="282828"/>
          <w:sz w:val="22"/>
        </w:rPr>
        <w:t>it</w:t>
      </w:r>
      <w:r>
        <w:rPr>
          <w:color w:val="0F0F0F"/>
          <w:sz w:val="22"/>
        </w:rPr>
        <w:t>io</w:t>
      </w:r>
      <w:r>
        <w:rPr>
          <w:color w:val="282828"/>
          <w:sz w:val="22"/>
        </w:rPr>
        <w:t>n</w:t>
      </w:r>
      <w:r>
        <w:rPr>
          <w:color w:val="606060"/>
          <w:sz w:val="22"/>
        </w:rPr>
        <w:t>,</w:t>
      </w:r>
      <w:r>
        <w:rPr>
          <w:color w:val="606060"/>
          <w:spacing w:val="-21"/>
          <w:sz w:val="22"/>
        </w:rPr>
        <w:t> </w:t>
      </w:r>
      <w:r>
        <w:rPr>
          <w:color w:val="0F0F0F"/>
          <w:sz w:val="22"/>
        </w:rPr>
        <w:t>there are regular meetings of </w:t>
      </w:r>
      <w:r>
        <w:rPr>
          <w:color w:val="282828"/>
          <w:sz w:val="22"/>
        </w:rPr>
        <w:t>the </w:t>
      </w:r>
      <w:r>
        <w:rPr>
          <w:color w:val="0F0F0F"/>
          <w:sz w:val="22"/>
        </w:rPr>
        <w:t>Planning, Licensing,</w:t>
      </w:r>
      <w:r>
        <w:rPr>
          <w:color w:val="0F0F0F"/>
          <w:spacing w:val="27"/>
          <w:sz w:val="22"/>
        </w:rPr>
        <w:t> </w:t>
      </w:r>
      <w:r>
        <w:rPr>
          <w:color w:val="0F0F0F"/>
          <w:sz w:val="22"/>
        </w:rPr>
        <w:t>Operations</w:t>
      </w:r>
      <w:r>
        <w:rPr>
          <w:color w:val="0F0F0F"/>
          <w:spacing w:val="25"/>
          <w:sz w:val="22"/>
        </w:rPr>
        <w:t> </w:t>
      </w:r>
      <w:r>
        <w:rPr>
          <w:color w:val="0F0F0F"/>
          <w:sz w:val="22"/>
        </w:rPr>
        <w:t>Review, Policy Review, Pe</w:t>
      </w:r>
      <w:r>
        <w:rPr>
          <w:color w:val="282828"/>
          <w:sz w:val="22"/>
        </w:rPr>
        <w:t>r</w:t>
      </w:r>
      <w:r>
        <w:rPr>
          <w:color w:val="0F0F0F"/>
          <w:sz w:val="22"/>
        </w:rPr>
        <w:t>sonnel</w:t>
      </w:r>
      <w:r>
        <w:rPr>
          <w:color w:val="484848"/>
          <w:sz w:val="22"/>
        </w:rPr>
        <w:t>,</w:t>
      </w:r>
      <w:r>
        <w:rPr>
          <w:color w:val="484848"/>
          <w:spacing w:val="-16"/>
          <w:sz w:val="22"/>
        </w:rPr>
        <w:t> </w:t>
      </w:r>
      <w:r>
        <w:rPr>
          <w:color w:val="0F0F0F"/>
          <w:sz w:val="22"/>
        </w:rPr>
        <w:t>Standards and</w:t>
      </w:r>
      <w:r>
        <w:rPr>
          <w:color w:val="0F0F0F"/>
          <w:spacing w:val="-12"/>
          <w:sz w:val="22"/>
        </w:rPr>
        <w:t> </w:t>
      </w:r>
      <w:r>
        <w:rPr>
          <w:color w:val="0F0F0F"/>
          <w:sz w:val="22"/>
        </w:rPr>
        <w:t>Audit Committee. Each</w:t>
      </w:r>
      <w:r>
        <w:rPr>
          <w:color w:val="0F0F0F"/>
          <w:spacing w:val="-4"/>
          <w:sz w:val="22"/>
        </w:rPr>
        <w:t> </w:t>
      </w:r>
      <w:r>
        <w:rPr>
          <w:color w:val="0F0F0F"/>
          <w:sz w:val="22"/>
        </w:rPr>
        <w:t>has</w:t>
      </w:r>
      <w:r>
        <w:rPr>
          <w:color w:val="0F0F0F"/>
          <w:spacing w:val="-6"/>
          <w:sz w:val="22"/>
        </w:rPr>
        <w:t> </w:t>
      </w:r>
      <w:r>
        <w:rPr>
          <w:color w:val="0F0F0F"/>
          <w:sz w:val="22"/>
        </w:rPr>
        <w:t>a</w:t>
      </w:r>
      <w:r>
        <w:rPr>
          <w:color w:val="0F0F0F"/>
          <w:spacing w:val="-1"/>
          <w:sz w:val="22"/>
        </w:rPr>
        <w:t> </w:t>
      </w:r>
      <w:r>
        <w:rPr>
          <w:color w:val="0F0F0F"/>
          <w:sz w:val="22"/>
        </w:rPr>
        <w:t>clear</w:t>
      </w:r>
      <w:r>
        <w:rPr>
          <w:color w:val="0F0F0F"/>
          <w:spacing w:val="-12"/>
          <w:sz w:val="22"/>
        </w:rPr>
        <w:t> </w:t>
      </w:r>
      <w:r>
        <w:rPr>
          <w:color w:val="0F0F0F"/>
          <w:sz w:val="22"/>
        </w:rPr>
        <w:t>Terms of</w:t>
      </w:r>
      <w:r>
        <w:rPr>
          <w:color w:val="0F0F0F"/>
          <w:spacing w:val="-6"/>
          <w:sz w:val="22"/>
        </w:rPr>
        <w:t> </w:t>
      </w:r>
      <w:r>
        <w:rPr>
          <w:color w:val="0F0F0F"/>
          <w:sz w:val="22"/>
        </w:rPr>
        <w:t>Reference covering </w:t>
      </w:r>
      <w:r>
        <w:rPr>
          <w:color w:val="282828"/>
          <w:sz w:val="22"/>
        </w:rPr>
        <w:t>the business they </w:t>
      </w:r>
      <w:r>
        <w:rPr>
          <w:color w:val="0F0F0F"/>
          <w:sz w:val="22"/>
        </w:rPr>
        <w:t>conduct.</w:t>
      </w:r>
    </w:p>
    <w:p>
      <w:pPr>
        <w:spacing w:after="0" w:line="240" w:lineRule="auto"/>
        <w:jc w:val="left"/>
        <w:rPr>
          <w:sz w:val="22"/>
        </w:rPr>
        <w:sectPr>
          <w:headerReference w:type="default" r:id="rId289"/>
          <w:footerReference w:type="default" r:id="rId290"/>
          <w:footerReference w:type="even" r:id="rId291"/>
          <w:pgSz w:w="11910" w:h="16830"/>
          <w:pgMar w:top="880" w:right="540" w:bottom="1360" w:left="440" w:header="700" w:footer="1166"/>
          <w:pgNumType w:start="131"/>
        </w:sectPr>
      </w:pPr>
    </w:p>
    <w:p>
      <w:pPr>
        <w:pStyle w:val="BodyText"/>
        <w:spacing w:line="134" w:lineRule="exact"/>
        <w:ind w:left="1588"/>
        <w:rPr>
          <w:sz w:val="13"/>
        </w:rPr>
      </w:pPr>
      <w:r>
        <w:rPr/>
        <ve:AlternateContent>
          <ve:Choice Requires="wps">
            <w:drawing>
              <wp:anchor distT="0" distB="0" distL="0" distR="0" simplePos="0" relativeHeight="15889408" behindDoc="0" locked="0" layoutInCell="1" allowOverlap="1">
                <wp:simplePos x="0" y="0"/>
                <wp:positionH relativeFrom="page">
                  <wp:posOffset>24423</wp:posOffset>
                </wp:positionH>
                <wp:positionV relativeFrom="page">
                  <wp:posOffset>9709815</wp:posOffset>
                </wp:positionV>
                <wp:extent cx="1270" cy="439420"/>
                <wp:effectExtent l="0" t="0" r="0" b="0"/>
                <wp:wrapNone/>
                <wp:docPr id="721" name="Graphic 721"/>
                <wp:cNvGraphicFramePr>
                  <a:graphicFrameLocks/>
                </wp:cNvGraphicFramePr>
                <a:graphic>
                  <a:graphicData uri="http://schemas.microsoft.com/office/word/2010/wordprocessingShape">
                    <wps:wsp>
                      <wps:cNvPr id="721" name="Graphic 721"/>
                      <wps:cNvSpPr/>
                      <wps:spPr>
                        <a:xfrm>
                          <a:off x="0" y="0"/>
                          <a:ext cx="1270" cy="439420"/>
                        </a:xfrm>
                        <a:custGeom>
                          <a:avLst/>
                          <a:gdLst/>
                          <a:ahLst/>
                          <a:cxnLst/>
                          <a:rect l="l" t="t" r="r" b="b"/>
                          <a:pathLst>
                            <a:path w="0" h="439420">
                              <a:moveTo>
                                <a:pt x="0" y="439412"/>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89408" stroked="true" strokecolor="#000000" strokeweight=".721161pt" from="1.923097pt,799.151799pt" to="1.923097pt,764.552368pt">
                <v:stroke dashstyle="solid"/>
                <w10:wrap type="none"/>
              </v:line>
            </w:pict>
          </ve:Fallback>
        </ve:AlternateContent>
      </w:r>
      <w:r>
        <w:rPr>
          <w:position w:val="-2"/>
          <w:sz w:val="13"/>
        </w:rPr>
        <w:drawing>
          <wp:inline distT="0" distB="0" distL="0" distR="0">
            <wp:extent cx="1841860" cy="85344"/>
            <wp:effectExtent l="0" t="0" r="0" b="0"/>
            <wp:docPr id="722" name="Image 722"/>
            <wp:cNvGraphicFramePr>
              <a:graphicFrameLocks/>
            </wp:cNvGraphicFramePr>
            <a:graphic>
              <a:graphicData uri="http://schemas.openxmlformats.org/drawingml/2006/picture">
                <pic:pic>
                  <pic:nvPicPr>
                    <pic:cNvPr id="722" name="Image 722"/>
                    <pic:cNvPicPr/>
                  </pic:nvPicPr>
                  <pic:blipFill>
                    <a:blip r:embed="rId293" cstate="print"/>
                    <a:stretch>
                      <a:fillRect/>
                    </a:stretch>
                  </pic:blipFill>
                  <pic:spPr>
                    <a:xfrm>
                      <a:off x="0" y="0"/>
                      <a:ext cx="1841860" cy="85344"/>
                    </a:xfrm>
                    <a:prstGeom prst="rect">
                      <a:avLst/>
                    </a:prstGeom>
                  </pic:spPr>
                </pic:pic>
              </a:graphicData>
            </a:graphic>
          </wp:inline>
        </w:drawing>
      </w:r>
      <w:r>
        <w:rPr>
          <w:position w:val="-2"/>
          <w:sz w:val="13"/>
        </w:rPr>
      </w:r>
    </w:p>
    <w:p>
      <w:pPr>
        <w:pStyle w:val="BodyText"/>
        <w:spacing w:before="9"/>
      </w:pPr>
    </w:p>
    <w:p>
      <w:pPr>
        <w:pStyle w:val="ListParagraph"/>
        <w:numPr>
          <w:ilvl w:val="0"/>
          <w:numId w:val="29"/>
        </w:numPr>
        <w:tabs>
          <w:tab w:val="left" w:leader="none" w:pos="1080"/>
          <w:tab w:val="left" w:leader="none" w:pos="1083"/>
        </w:tabs>
        <w:spacing w:before="0" w:after="0" w:line="237" w:lineRule="auto"/>
        <w:ind w:left="1080" w:right="1121" w:hanging="711"/>
        <w:jc w:val="left"/>
        <w:rPr>
          <w:color w:val="161616"/>
          <w:sz w:val="22"/>
        </w:rPr>
      </w:pPr>
      <w:r>
        <w:rPr>
          <w:color w:val="4F4F4F"/>
          <w:sz w:val="22"/>
        </w:rPr>
        <w:tab/>
      </w:r>
      <w:r>
        <w:rPr>
          <w:color w:val="161616"/>
          <w:sz w:val="22"/>
        </w:rPr>
        <w:t>There is</w:t>
      </w:r>
      <w:r>
        <w:rPr>
          <w:color w:val="161616"/>
          <w:spacing w:val="-2"/>
          <w:sz w:val="22"/>
        </w:rPr>
        <w:t> </w:t>
      </w:r>
      <w:r>
        <w:rPr>
          <w:color w:val="161616"/>
          <w:sz w:val="22"/>
        </w:rPr>
        <w:t>a</w:t>
      </w:r>
      <w:r>
        <w:rPr>
          <w:color w:val="161616"/>
          <w:spacing w:val="-9"/>
          <w:sz w:val="22"/>
        </w:rPr>
        <w:t> </w:t>
      </w:r>
      <w:r>
        <w:rPr>
          <w:color w:val="161616"/>
          <w:sz w:val="22"/>
        </w:rPr>
        <w:t>realistic level</w:t>
      </w:r>
      <w:r>
        <w:rPr>
          <w:color w:val="161616"/>
          <w:spacing w:val="-7"/>
          <w:sz w:val="22"/>
        </w:rPr>
        <w:t> </w:t>
      </w:r>
      <w:r>
        <w:rPr>
          <w:color w:val="161616"/>
          <w:sz w:val="22"/>
        </w:rPr>
        <w:t>of</w:t>
      </w:r>
      <w:r>
        <w:rPr>
          <w:color w:val="161616"/>
          <w:spacing w:val="-8"/>
          <w:sz w:val="22"/>
        </w:rPr>
        <w:t> </w:t>
      </w:r>
      <w:r>
        <w:rPr>
          <w:color w:val="161616"/>
          <w:sz w:val="22"/>
        </w:rPr>
        <w:t>delegation</w:t>
      </w:r>
      <w:r>
        <w:rPr>
          <w:color w:val="161616"/>
          <w:spacing w:val="-3"/>
          <w:sz w:val="22"/>
        </w:rPr>
        <w:t> </w:t>
      </w:r>
      <w:r>
        <w:rPr>
          <w:color w:val="161616"/>
          <w:sz w:val="22"/>
        </w:rPr>
        <w:t>in</w:t>
      </w:r>
      <w:r>
        <w:rPr>
          <w:color w:val="161616"/>
          <w:spacing w:val="-10"/>
          <w:sz w:val="22"/>
        </w:rPr>
        <w:t> </w:t>
      </w:r>
      <w:r>
        <w:rPr>
          <w:color w:val="161616"/>
          <w:sz w:val="22"/>
        </w:rPr>
        <w:t>place, which</w:t>
      </w:r>
      <w:r>
        <w:rPr>
          <w:color w:val="161616"/>
          <w:spacing w:val="-3"/>
          <w:sz w:val="22"/>
        </w:rPr>
        <w:t> </w:t>
      </w:r>
      <w:r>
        <w:rPr>
          <w:color w:val="161616"/>
          <w:sz w:val="22"/>
        </w:rPr>
        <w:t>permits</w:t>
      </w:r>
      <w:r>
        <w:rPr>
          <w:color w:val="161616"/>
          <w:spacing w:val="-3"/>
          <w:sz w:val="22"/>
        </w:rPr>
        <w:t> </w:t>
      </w:r>
      <w:r>
        <w:rPr>
          <w:color w:val="161616"/>
          <w:sz w:val="22"/>
        </w:rPr>
        <w:t>the</w:t>
      </w:r>
      <w:r>
        <w:rPr>
          <w:color w:val="161616"/>
          <w:spacing w:val="-4"/>
          <w:sz w:val="22"/>
        </w:rPr>
        <w:t> </w:t>
      </w:r>
      <w:r>
        <w:rPr>
          <w:color w:val="161616"/>
          <w:sz w:val="22"/>
        </w:rPr>
        <w:t>Council's business to</w:t>
      </w:r>
      <w:r>
        <w:rPr>
          <w:color w:val="161616"/>
          <w:spacing w:val="-2"/>
          <w:sz w:val="22"/>
        </w:rPr>
        <w:t> </w:t>
      </w:r>
      <w:r>
        <w:rPr>
          <w:color w:val="161616"/>
          <w:sz w:val="22"/>
        </w:rPr>
        <w:t>be conducted as effectively as possible.</w:t>
      </w:r>
    </w:p>
    <w:p>
      <w:pPr>
        <w:pStyle w:val="ListParagraph"/>
        <w:numPr>
          <w:ilvl w:val="0"/>
          <w:numId w:val="29"/>
        </w:numPr>
        <w:tabs>
          <w:tab w:val="left" w:leader="none" w:pos="1055"/>
          <w:tab w:val="left" w:leader="none" w:pos="1077"/>
        </w:tabs>
        <w:spacing w:before="252" w:after="0" w:line="240" w:lineRule="auto"/>
        <w:ind w:left="1055" w:right="126" w:hanging="696"/>
        <w:jc w:val="left"/>
        <w:rPr>
          <w:color w:val="161616"/>
          <w:sz w:val="22"/>
        </w:rPr>
      </w:pPr>
      <w:r>
        <w:rPr>
          <w:color w:val="4F4F4F"/>
          <w:sz w:val="22"/>
        </w:rPr>
        <w:tab/>
      </w:r>
      <w:r>
        <w:rPr>
          <w:color w:val="161616"/>
          <w:sz w:val="22"/>
        </w:rPr>
        <w:t>Committee</w:t>
      </w:r>
      <w:r>
        <w:rPr>
          <w:color w:val="161616"/>
          <w:spacing w:val="19"/>
          <w:sz w:val="22"/>
        </w:rPr>
        <w:t> </w:t>
      </w:r>
      <w:r>
        <w:rPr>
          <w:color w:val="161616"/>
          <w:sz w:val="22"/>
        </w:rPr>
        <w:t>terms of</w:t>
      </w:r>
      <w:r>
        <w:rPr>
          <w:color w:val="161616"/>
          <w:spacing w:val="-3"/>
          <w:sz w:val="22"/>
        </w:rPr>
        <w:t> </w:t>
      </w:r>
      <w:r>
        <w:rPr>
          <w:color w:val="161616"/>
          <w:sz w:val="22"/>
        </w:rPr>
        <w:t>reference and</w:t>
      </w:r>
      <w:r>
        <w:rPr>
          <w:color w:val="161616"/>
          <w:spacing w:val="-6"/>
          <w:sz w:val="22"/>
        </w:rPr>
        <w:t> </w:t>
      </w:r>
      <w:r>
        <w:rPr>
          <w:color w:val="161616"/>
          <w:sz w:val="22"/>
        </w:rPr>
        <w:t>levels of delegation</w:t>
      </w:r>
      <w:r>
        <w:rPr>
          <w:color w:val="161616"/>
          <w:spacing w:val="17"/>
          <w:sz w:val="22"/>
        </w:rPr>
        <w:t> </w:t>
      </w:r>
      <w:r>
        <w:rPr>
          <w:color w:val="161616"/>
          <w:sz w:val="22"/>
        </w:rPr>
        <w:t>are</w:t>
      </w:r>
      <w:r>
        <w:rPr>
          <w:color w:val="161616"/>
          <w:spacing w:val="-10"/>
          <w:sz w:val="22"/>
        </w:rPr>
        <w:t> </w:t>
      </w:r>
      <w:r>
        <w:rPr>
          <w:color w:val="161616"/>
          <w:sz w:val="22"/>
        </w:rPr>
        <w:t>kept under review to</w:t>
      </w:r>
      <w:r>
        <w:rPr>
          <w:color w:val="161616"/>
          <w:spacing w:val="-3"/>
          <w:sz w:val="22"/>
        </w:rPr>
        <w:t> </w:t>
      </w:r>
      <w:r>
        <w:rPr>
          <w:color w:val="161616"/>
          <w:sz w:val="22"/>
        </w:rPr>
        <w:t>ensure</w:t>
      </w:r>
      <w:r>
        <w:rPr>
          <w:color w:val="161616"/>
          <w:spacing w:val="-4"/>
          <w:sz w:val="22"/>
        </w:rPr>
        <w:t> </w:t>
      </w:r>
      <w:r>
        <w:rPr>
          <w:color w:val="161616"/>
          <w:sz w:val="22"/>
        </w:rPr>
        <w:t>that</w:t>
      </w:r>
      <w:r>
        <w:rPr>
          <w:color w:val="161616"/>
          <w:spacing w:val="-4"/>
          <w:sz w:val="22"/>
        </w:rPr>
        <w:t> </w:t>
      </w:r>
      <w:r>
        <w:rPr>
          <w:color w:val="161616"/>
          <w:sz w:val="22"/>
        </w:rPr>
        <w:t>there</w:t>
      </w:r>
      <w:r>
        <w:rPr>
          <w:color w:val="161616"/>
          <w:spacing w:val="-4"/>
          <w:sz w:val="22"/>
        </w:rPr>
        <w:t> </w:t>
      </w:r>
      <w:r>
        <w:rPr>
          <w:color w:val="161616"/>
          <w:sz w:val="22"/>
        </w:rPr>
        <w:t>is a clear demarcation of</w:t>
      </w:r>
      <w:r>
        <w:rPr>
          <w:color w:val="161616"/>
          <w:spacing w:val="-6"/>
          <w:sz w:val="22"/>
        </w:rPr>
        <w:t> </w:t>
      </w:r>
      <w:r>
        <w:rPr>
          <w:color w:val="161616"/>
          <w:sz w:val="22"/>
        </w:rPr>
        <w:t>roles between </w:t>
      </w:r>
      <w:r>
        <w:rPr>
          <w:color w:val="2D2D2D"/>
          <w:sz w:val="22"/>
        </w:rPr>
        <w:t>the</w:t>
      </w:r>
      <w:r>
        <w:rPr>
          <w:color w:val="2D2D2D"/>
          <w:spacing w:val="-3"/>
          <w:sz w:val="22"/>
        </w:rPr>
        <w:t> </w:t>
      </w:r>
      <w:r>
        <w:rPr>
          <w:color w:val="161616"/>
          <w:sz w:val="22"/>
        </w:rPr>
        <w:t>Council, Executive and</w:t>
      </w:r>
      <w:r>
        <w:rPr>
          <w:color w:val="161616"/>
          <w:spacing w:val="-3"/>
          <w:sz w:val="22"/>
        </w:rPr>
        <w:t> </w:t>
      </w:r>
      <w:r>
        <w:rPr>
          <w:color w:val="161616"/>
          <w:sz w:val="22"/>
        </w:rPr>
        <w:t>various Committees</w:t>
      </w:r>
      <w:r>
        <w:rPr>
          <w:color w:val="4F4F4F"/>
          <w:sz w:val="22"/>
        </w:rPr>
        <w:t>,</w:t>
      </w:r>
      <w:r>
        <w:rPr>
          <w:color w:val="4F4F4F"/>
          <w:spacing w:val="-14"/>
          <w:sz w:val="22"/>
        </w:rPr>
        <w:t> </w:t>
      </w:r>
      <w:r>
        <w:rPr>
          <w:color w:val="161616"/>
          <w:sz w:val="22"/>
        </w:rPr>
        <w:t>and</w:t>
      </w:r>
      <w:r>
        <w:rPr>
          <w:color w:val="161616"/>
          <w:spacing w:val="-3"/>
          <w:sz w:val="22"/>
        </w:rPr>
        <w:t> </w:t>
      </w:r>
      <w:r>
        <w:rPr>
          <w:color w:val="161616"/>
          <w:sz w:val="22"/>
        </w:rPr>
        <w:t>between the</w:t>
      </w:r>
      <w:r>
        <w:rPr>
          <w:color w:val="161616"/>
          <w:spacing w:val="-5"/>
          <w:sz w:val="22"/>
        </w:rPr>
        <w:t> </w:t>
      </w:r>
      <w:r>
        <w:rPr>
          <w:color w:val="161616"/>
          <w:sz w:val="22"/>
        </w:rPr>
        <w:t>Committees and</w:t>
      </w:r>
      <w:r>
        <w:rPr>
          <w:color w:val="161616"/>
          <w:spacing w:val="-8"/>
          <w:sz w:val="22"/>
        </w:rPr>
        <w:t> </w:t>
      </w:r>
      <w:r>
        <w:rPr>
          <w:color w:val="161616"/>
          <w:sz w:val="22"/>
        </w:rPr>
        <w:t>officers. These boundaries are</w:t>
      </w:r>
      <w:r>
        <w:rPr>
          <w:color w:val="161616"/>
          <w:spacing w:val="-1"/>
          <w:sz w:val="22"/>
        </w:rPr>
        <w:t> </w:t>
      </w:r>
      <w:r>
        <w:rPr>
          <w:color w:val="161616"/>
          <w:sz w:val="22"/>
        </w:rPr>
        <w:t>understood </w:t>
      </w:r>
      <w:r>
        <w:rPr>
          <w:color w:val="2D2D2D"/>
          <w:sz w:val="22"/>
        </w:rPr>
        <w:t>in</w:t>
      </w:r>
      <w:r>
        <w:rPr>
          <w:color w:val="2D2D2D"/>
          <w:spacing w:val="-22"/>
          <w:sz w:val="22"/>
        </w:rPr>
        <w:t> </w:t>
      </w:r>
      <w:r>
        <w:rPr>
          <w:color w:val="161616"/>
          <w:sz w:val="22"/>
        </w:rPr>
        <w:t>order</w:t>
      </w:r>
      <w:r>
        <w:rPr>
          <w:color w:val="161616"/>
          <w:spacing w:val="-3"/>
          <w:sz w:val="22"/>
        </w:rPr>
        <w:t> </w:t>
      </w:r>
      <w:r>
        <w:rPr>
          <w:color w:val="161616"/>
          <w:sz w:val="22"/>
        </w:rPr>
        <w:t>to</w:t>
      </w:r>
      <w:r>
        <w:rPr>
          <w:color w:val="161616"/>
          <w:spacing w:val="-6"/>
          <w:sz w:val="22"/>
        </w:rPr>
        <w:t> </w:t>
      </w:r>
      <w:r>
        <w:rPr>
          <w:color w:val="161616"/>
          <w:sz w:val="22"/>
        </w:rPr>
        <w:t>manage reputational and uninsurable risks that are contrary to</w:t>
      </w:r>
      <w:r>
        <w:rPr>
          <w:color w:val="161616"/>
          <w:spacing w:val="-3"/>
          <w:sz w:val="22"/>
        </w:rPr>
        <w:t> </w:t>
      </w:r>
      <w:r>
        <w:rPr>
          <w:color w:val="161616"/>
          <w:sz w:val="22"/>
        </w:rPr>
        <w:t>the best interests of the Council, and it</w:t>
      </w:r>
      <w:r>
        <w:rPr>
          <w:color w:val="161616"/>
          <w:spacing w:val="-1"/>
          <w:sz w:val="22"/>
        </w:rPr>
        <w:t> </w:t>
      </w:r>
      <w:r>
        <w:rPr>
          <w:color w:val="161616"/>
          <w:sz w:val="22"/>
        </w:rPr>
        <w:t>is advisable to have regular training in respect of these roles.</w:t>
      </w:r>
    </w:p>
    <w:p>
      <w:pPr>
        <w:pStyle w:val="BodyText"/>
      </w:pPr>
    </w:p>
    <w:p>
      <w:pPr>
        <w:pStyle w:val="ListParagraph"/>
        <w:numPr>
          <w:ilvl w:val="0"/>
          <w:numId w:val="29"/>
        </w:numPr>
        <w:tabs>
          <w:tab w:val="left" w:leader="none" w:pos="1045"/>
          <w:tab w:val="left" w:leader="none" w:pos="1050"/>
        </w:tabs>
        <w:spacing w:before="1" w:after="0" w:line="240" w:lineRule="auto"/>
        <w:ind w:left="1045" w:right="242" w:hanging="705"/>
        <w:jc w:val="left"/>
        <w:rPr>
          <w:color w:val="161616"/>
          <w:sz w:val="22"/>
        </w:rPr>
      </w:pPr>
      <w:r>
        <w:rPr>
          <w:color w:val="161616"/>
          <w:sz w:val="22"/>
        </w:rPr>
        <w:tab/>
        <w:t>The</w:t>
      </w:r>
      <w:r>
        <w:rPr>
          <w:color w:val="161616"/>
          <w:spacing w:val="-7"/>
          <w:sz w:val="22"/>
        </w:rPr>
        <w:t> </w:t>
      </w:r>
      <w:r>
        <w:rPr>
          <w:color w:val="161616"/>
          <w:sz w:val="22"/>
        </w:rPr>
        <w:t>Council's Forward Plan</w:t>
      </w:r>
      <w:r>
        <w:rPr>
          <w:color w:val="161616"/>
          <w:spacing w:val="-5"/>
          <w:sz w:val="22"/>
        </w:rPr>
        <w:t> </w:t>
      </w:r>
      <w:r>
        <w:rPr>
          <w:color w:val="161616"/>
          <w:sz w:val="22"/>
        </w:rPr>
        <w:t>and</w:t>
      </w:r>
      <w:r>
        <w:rPr>
          <w:color w:val="161616"/>
          <w:spacing w:val="-15"/>
          <w:sz w:val="22"/>
        </w:rPr>
        <w:t> </w:t>
      </w:r>
      <w:r>
        <w:rPr>
          <w:color w:val="161616"/>
          <w:sz w:val="22"/>
        </w:rPr>
        <w:t>publication of</w:t>
      </w:r>
      <w:r>
        <w:rPr>
          <w:color w:val="161616"/>
          <w:spacing w:val="-12"/>
          <w:sz w:val="22"/>
        </w:rPr>
        <w:t> </w:t>
      </w:r>
      <w:r>
        <w:rPr>
          <w:color w:val="161616"/>
          <w:sz w:val="22"/>
        </w:rPr>
        <w:t>minutes</w:t>
      </w:r>
      <w:r>
        <w:rPr>
          <w:color w:val="161616"/>
          <w:spacing w:val="-1"/>
          <w:sz w:val="22"/>
        </w:rPr>
        <w:t> </w:t>
      </w:r>
      <w:r>
        <w:rPr>
          <w:color w:val="161616"/>
          <w:sz w:val="22"/>
        </w:rPr>
        <w:t>provides the</w:t>
      </w:r>
      <w:r>
        <w:rPr>
          <w:color w:val="161616"/>
          <w:spacing w:val="-6"/>
          <w:sz w:val="22"/>
        </w:rPr>
        <w:t> </w:t>
      </w:r>
      <w:r>
        <w:rPr>
          <w:color w:val="161616"/>
          <w:sz w:val="22"/>
        </w:rPr>
        <w:t>Operations Review Committee and</w:t>
      </w:r>
      <w:r>
        <w:rPr>
          <w:color w:val="161616"/>
          <w:spacing w:val="-4"/>
          <w:sz w:val="22"/>
        </w:rPr>
        <w:t> </w:t>
      </w:r>
      <w:r>
        <w:rPr>
          <w:color w:val="161616"/>
          <w:sz w:val="22"/>
        </w:rPr>
        <w:t>the</w:t>
      </w:r>
      <w:r>
        <w:rPr>
          <w:color w:val="161616"/>
          <w:spacing w:val="-3"/>
          <w:sz w:val="22"/>
        </w:rPr>
        <w:t> </w:t>
      </w:r>
      <w:r>
        <w:rPr>
          <w:color w:val="161616"/>
          <w:sz w:val="22"/>
        </w:rPr>
        <w:t>Policy Review Committee with proposed and recently made executive decisions including key decisions, which are used to determine items for call-in or scrutiny.</w:t>
      </w:r>
    </w:p>
    <w:p>
      <w:pPr>
        <w:pStyle w:val="BodyText"/>
        <w:spacing w:before="1"/>
      </w:pPr>
    </w:p>
    <w:p>
      <w:pPr>
        <w:pStyle w:val="ListParagraph"/>
        <w:numPr>
          <w:ilvl w:val="0"/>
          <w:numId w:val="29"/>
        </w:numPr>
        <w:tabs>
          <w:tab w:val="left" w:leader="none" w:pos="1031"/>
        </w:tabs>
        <w:spacing w:before="1" w:after="0" w:line="240" w:lineRule="auto"/>
        <w:ind w:left="1031" w:right="267" w:hanging="705"/>
        <w:jc w:val="both"/>
        <w:rPr>
          <w:color w:val="161616"/>
          <w:sz w:val="22"/>
        </w:rPr>
      </w:pPr>
      <w:r>
        <w:rPr>
          <w:color w:val="161616"/>
          <w:sz w:val="22"/>
        </w:rPr>
        <w:t>In addition, the</w:t>
      </w:r>
      <w:r>
        <w:rPr>
          <w:color w:val="161616"/>
          <w:spacing w:val="-3"/>
          <w:sz w:val="22"/>
        </w:rPr>
        <w:t> </w:t>
      </w:r>
      <w:r>
        <w:rPr>
          <w:color w:val="161616"/>
          <w:sz w:val="22"/>
        </w:rPr>
        <w:t>Council has</w:t>
      </w:r>
      <w:r>
        <w:rPr>
          <w:color w:val="161616"/>
          <w:spacing w:val="-5"/>
          <w:sz w:val="22"/>
        </w:rPr>
        <w:t> </w:t>
      </w:r>
      <w:r>
        <w:rPr>
          <w:color w:val="161616"/>
          <w:sz w:val="22"/>
        </w:rPr>
        <w:t>created a</w:t>
      </w:r>
      <w:r>
        <w:rPr>
          <w:color w:val="161616"/>
          <w:spacing w:val="-4"/>
          <w:sz w:val="22"/>
        </w:rPr>
        <w:t> </w:t>
      </w:r>
      <w:r>
        <w:rPr>
          <w:color w:val="161616"/>
          <w:sz w:val="22"/>
        </w:rPr>
        <w:t>list</w:t>
      </w:r>
      <w:r>
        <w:rPr>
          <w:color w:val="161616"/>
          <w:spacing w:val="-8"/>
          <w:sz w:val="22"/>
        </w:rPr>
        <w:t> </w:t>
      </w:r>
      <w:r>
        <w:rPr>
          <w:color w:val="161616"/>
          <w:sz w:val="22"/>
        </w:rPr>
        <w:t>of</w:t>
      </w:r>
      <w:r>
        <w:rPr>
          <w:color w:val="161616"/>
          <w:spacing w:val="-6"/>
          <w:sz w:val="22"/>
        </w:rPr>
        <w:t> </w:t>
      </w:r>
      <w:r>
        <w:rPr>
          <w:color w:val="161616"/>
          <w:sz w:val="22"/>
        </w:rPr>
        <w:t>policies and</w:t>
      </w:r>
      <w:r>
        <w:rPr>
          <w:color w:val="161616"/>
          <w:spacing w:val="-7"/>
          <w:sz w:val="22"/>
        </w:rPr>
        <w:t> </w:t>
      </w:r>
      <w:r>
        <w:rPr>
          <w:color w:val="161616"/>
          <w:sz w:val="22"/>
        </w:rPr>
        <w:t>strategies</w:t>
      </w:r>
      <w:r>
        <w:rPr>
          <w:color w:val="4F4F4F"/>
          <w:sz w:val="22"/>
        </w:rPr>
        <w:t>,</w:t>
      </w:r>
      <w:r>
        <w:rPr>
          <w:color w:val="4F4F4F"/>
          <w:spacing w:val="-16"/>
          <w:sz w:val="22"/>
        </w:rPr>
        <w:t> </w:t>
      </w:r>
      <w:r>
        <w:rPr>
          <w:color w:val="161616"/>
          <w:sz w:val="22"/>
        </w:rPr>
        <w:t>which </w:t>
      </w:r>
      <w:r>
        <w:rPr>
          <w:color w:val="2D2D2D"/>
          <w:sz w:val="22"/>
        </w:rPr>
        <w:t>identifies</w:t>
      </w:r>
      <w:r>
        <w:rPr>
          <w:color w:val="2D2D2D"/>
          <w:spacing w:val="-1"/>
          <w:sz w:val="22"/>
        </w:rPr>
        <w:t> </w:t>
      </w:r>
      <w:r>
        <w:rPr>
          <w:color w:val="161616"/>
          <w:sz w:val="22"/>
        </w:rPr>
        <w:t>the</w:t>
      </w:r>
      <w:r>
        <w:rPr>
          <w:color w:val="161616"/>
          <w:spacing w:val="-11"/>
          <w:sz w:val="22"/>
        </w:rPr>
        <w:t> </w:t>
      </w:r>
      <w:r>
        <w:rPr>
          <w:color w:val="161616"/>
          <w:sz w:val="22"/>
        </w:rPr>
        <w:t>responsible officer and</w:t>
      </w:r>
      <w:r>
        <w:rPr>
          <w:color w:val="161616"/>
          <w:spacing w:val="-2"/>
          <w:sz w:val="22"/>
        </w:rPr>
        <w:t> </w:t>
      </w:r>
      <w:r>
        <w:rPr>
          <w:color w:val="161616"/>
          <w:sz w:val="22"/>
        </w:rPr>
        <w:t>when</w:t>
      </w:r>
      <w:r>
        <w:rPr>
          <w:color w:val="161616"/>
          <w:spacing w:val="-2"/>
          <w:sz w:val="22"/>
        </w:rPr>
        <w:t> </w:t>
      </w:r>
      <w:r>
        <w:rPr>
          <w:color w:val="161616"/>
          <w:sz w:val="22"/>
        </w:rPr>
        <w:t>the</w:t>
      </w:r>
      <w:r>
        <w:rPr>
          <w:color w:val="161616"/>
          <w:spacing w:val="-7"/>
          <w:sz w:val="22"/>
        </w:rPr>
        <w:t> </w:t>
      </w:r>
      <w:r>
        <w:rPr>
          <w:color w:val="161616"/>
          <w:sz w:val="22"/>
        </w:rPr>
        <w:t>policy is due</w:t>
      </w:r>
      <w:r>
        <w:rPr>
          <w:color w:val="161616"/>
          <w:spacing w:val="-6"/>
          <w:sz w:val="22"/>
        </w:rPr>
        <w:t> </w:t>
      </w:r>
      <w:r>
        <w:rPr>
          <w:color w:val="161616"/>
          <w:sz w:val="22"/>
        </w:rPr>
        <w:t>for review. This</w:t>
      </w:r>
      <w:r>
        <w:rPr>
          <w:color w:val="161616"/>
          <w:spacing w:val="-2"/>
          <w:sz w:val="22"/>
        </w:rPr>
        <w:t> </w:t>
      </w:r>
      <w:r>
        <w:rPr>
          <w:color w:val="161616"/>
          <w:sz w:val="22"/>
        </w:rPr>
        <w:t>document </w:t>
      </w:r>
      <w:r>
        <w:rPr>
          <w:color w:val="2D2D2D"/>
          <w:sz w:val="22"/>
        </w:rPr>
        <w:t>is</w:t>
      </w:r>
      <w:r>
        <w:rPr>
          <w:color w:val="2D2D2D"/>
          <w:spacing w:val="-8"/>
          <w:sz w:val="22"/>
        </w:rPr>
        <w:t> </w:t>
      </w:r>
      <w:r>
        <w:rPr>
          <w:color w:val="161616"/>
          <w:sz w:val="22"/>
        </w:rPr>
        <w:t>used</w:t>
      </w:r>
      <w:r>
        <w:rPr>
          <w:color w:val="161616"/>
          <w:spacing w:val="-9"/>
          <w:sz w:val="22"/>
        </w:rPr>
        <w:t> </w:t>
      </w:r>
      <w:r>
        <w:rPr>
          <w:color w:val="161616"/>
          <w:sz w:val="22"/>
        </w:rPr>
        <w:t>by</w:t>
      </w:r>
      <w:r>
        <w:rPr>
          <w:color w:val="161616"/>
          <w:spacing w:val="-8"/>
          <w:sz w:val="22"/>
        </w:rPr>
        <w:t> </w:t>
      </w:r>
      <w:r>
        <w:rPr>
          <w:color w:val="161616"/>
          <w:sz w:val="22"/>
        </w:rPr>
        <w:t>councillors wishing to</w:t>
      </w:r>
      <w:r>
        <w:rPr>
          <w:color w:val="161616"/>
          <w:spacing w:val="-1"/>
          <w:sz w:val="22"/>
        </w:rPr>
        <w:t> </w:t>
      </w:r>
      <w:r>
        <w:rPr>
          <w:color w:val="161616"/>
          <w:sz w:val="22"/>
        </w:rPr>
        <w:t>raise items on the scrutiny agenda.</w:t>
      </w:r>
    </w:p>
    <w:p>
      <w:pPr>
        <w:pStyle w:val="BodyText"/>
        <w:spacing w:before="1"/>
      </w:pPr>
    </w:p>
    <w:p>
      <w:pPr>
        <w:pStyle w:val="ListParagraph"/>
        <w:numPr>
          <w:ilvl w:val="0"/>
          <w:numId w:val="29"/>
        </w:numPr>
        <w:tabs>
          <w:tab w:val="left" w:leader="none" w:pos="1014"/>
          <w:tab w:val="left" w:leader="none" w:pos="1026"/>
        </w:tabs>
        <w:spacing w:before="1" w:after="0" w:line="240" w:lineRule="auto"/>
        <w:ind w:left="1014" w:right="335" w:hanging="707"/>
        <w:jc w:val="left"/>
        <w:rPr>
          <w:color w:val="161616"/>
          <w:sz w:val="22"/>
        </w:rPr>
      </w:pPr>
      <w:r>
        <w:rPr>
          <w:color w:val="161616"/>
          <w:sz w:val="22"/>
        </w:rPr>
        <w:tab/>
        <w:t>The Constitution includes roles and</w:t>
      </w:r>
      <w:r>
        <w:rPr>
          <w:color w:val="161616"/>
          <w:spacing w:val="-8"/>
          <w:sz w:val="22"/>
        </w:rPr>
        <w:t> </w:t>
      </w:r>
      <w:r>
        <w:rPr>
          <w:color w:val="161616"/>
          <w:sz w:val="22"/>
        </w:rPr>
        <w:t>responsibilities of the three statutory officers, and the Chief Officers</w:t>
      </w:r>
      <w:r>
        <w:rPr>
          <w:color w:val="4F4F4F"/>
          <w:sz w:val="22"/>
        </w:rPr>
        <w:t>,</w:t>
      </w:r>
      <w:r>
        <w:rPr>
          <w:color w:val="4F4F4F"/>
          <w:spacing w:val="-14"/>
          <w:sz w:val="22"/>
        </w:rPr>
        <w:t> </w:t>
      </w:r>
      <w:r>
        <w:rPr>
          <w:color w:val="161616"/>
          <w:sz w:val="22"/>
        </w:rPr>
        <w:t>as well as Proper Officer Functions. In addition</w:t>
      </w:r>
      <w:r>
        <w:rPr>
          <w:color w:val="4F4F4F"/>
          <w:sz w:val="22"/>
        </w:rPr>
        <w:t>,</w:t>
      </w:r>
      <w:r>
        <w:rPr>
          <w:color w:val="4F4F4F"/>
          <w:spacing w:val="-14"/>
          <w:sz w:val="22"/>
        </w:rPr>
        <w:t> </w:t>
      </w:r>
      <w:r>
        <w:rPr>
          <w:color w:val="161616"/>
          <w:sz w:val="22"/>
        </w:rPr>
        <w:t>each Head of Service has an up-to-date Scheme of</w:t>
      </w:r>
      <w:r>
        <w:rPr>
          <w:color w:val="161616"/>
          <w:spacing w:val="-4"/>
          <w:sz w:val="22"/>
        </w:rPr>
        <w:t> </w:t>
      </w:r>
      <w:r>
        <w:rPr>
          <w:color w:val="161616"/>
          <w:sz w:val="22"/>
        </w:rPr>
        <w:t>Delegation which</w:t>
      </w:r>
      <w:r>
        <w:rPr>
          <w:color w:val="161616"/>
          <w:spacing w:val="-4"/>
          <w:sz w:val="22"/>
        </w:rPr>
        <w:t> </w:t>
      </w:r>
      <w:r>
        <w:rPr>
          <w:color w:val="161616"/>
          <w:sz w:val="22"/>
        </w:rPr>
        <w:t>is</w:t>
      </w:r>
      <w:r>
        <w:rPr>
          <w:color w:val="161616"/>
          <w:spacing w:val="-1"/>
          <w:sz w:val="22"/>
        </w:rPr>
        <w:t> </w:t>
      </w:r>
      <w:r>
        <w:rPr>
          <w:color w:val="161616"/>
          <w:sz w:val="22"/>
        </w:rPr>
        <w:t>reviewed annually. Roles and</w:t>
      </w:r>
      <w:r>
        <w:rPr>
          <w:color w:val="161616"/>
          <w:spacing w:val="-12"/>
          <w:sz w:val="22"/>
        </w:rPr>
        <w:t> </w:t>
      </w:r>
      <w:r>
        <w:rPr>
          <w:color w:val="161616"/>
          <w:sz w:val="22"/>
        </w:rPr>
        <w:t>responsibilities</w:t>
      </w:r>
      <w:r>
        <w:rPr>
          <w:color w:val="161616"/>
          <w:spacing w:val="-13"/>
          <w:sz w:val="22"/>
        </w:rPr>
        <w:t> </w:t>
      </w:r>
      <w:r>
        <w:rPr>
          <w:color w:val="161616"/>
          <w:sz w:val="22"/>
        </w:rPr>
        <w:t>of</w:t>
      </w:r>
      <w:r>
        <w:rPr>
          <w:color w:val="161616"/>
          <w:spacing w:val="-4"/>
          <w:sz w:val="22"/>
        </w:rPr>
        <w:t> </w:t>
      </w:r>
      <w:r>
        <w:rPr>
          <w:color w:val="161616"/>
          <w:sz w:val="22"/>
        </w:rPr>
        <w:t>officers are</w:t>
      </w:r>
      <w:r>
        <w:rPr>
          <w:color w:val="161616"/>
          <w:spacing w:val="-9"/>
          <w:sz w:val="22"/>
        </w:rPr>
        <w:t> </w:t>
      </w:r>
      <w:r>
        <w:rPr>
          <w:color w:val="161616"/>
          <w:sz w:val="22"/>
        </w:rPr>
        <w:t>further defined in the job descriptions for each post.</w:t>
      </w:r>
    </w:p>
    <w:p>
      <w:pPr>
        <w:pStyle w:val="BodyText"/>
        <w:spacing w:before="5"/>
      </w:pPr>
    </w:p>
    <w:p>
      <w:pPr>
        <w:pStyle w:val="ListParagraph"/>
        <w:numPr>
          <w:ilvl w:val="0"/>
          <w:numId w:val="29"/>
        </w:numPr>
        <w:tabs>
          <w:tab w:val="left" w:leader="none" w:pos="997"/>
          <w:tab w:val="left" w:leader="none" w:pos="1006"/>
        </w:tabs>
        <w:spacing w:before="0" w:after="0" w:line="237" w:lineRule="auto"/>
        <w:ind w:left="997" w:right="579" w:hanging="705"/>
        <w:jc w:val="left"/>
        <w:rPr>
          <w:color w:val="161616"/>
          <w:sz w:val="22"/>
        </w:rPr>
      </w:pPr>
      <w:r>
        <w:rPr>
          <w:color w:val="161616"/>
          <w:sz w:val="22"/>
        </w:rPr>
        <w:tab/>
        <w:t>The Constitution also provides a Protocol for</w:t>
      </w:r>
      <w:r>
        <w:rPr>
          <w:color w:val="161616"/>
          <w:spacing w:val="-3"/>
          <w:sz w:val="22"/>
        </w:rPr>
        <w:t> </w:t>
      </w:r>
      <w:r>
        <w:rPr>
          <w:color w:val="161616"/>
          <w:sz w:val="22"/>
        </w:rPr>
        <w:t>Member/Officer</w:t>
      </w:r>
      <w:r>
        <w:rPr>
          <w:color w:val="161616"/>
          <w:spacing w:val="-3"/>
          <w:sz w:val="22"/>
        </w:rPr>
        <w:t> </w:t>
      </w:r>
      <w:r>
        <w:rPr>
          <w:color w:val="161616"/>
          <w:sz w:val="22"/>
        </w:rPr>
        <w:t>Relations and</w:t>
      </w:r>
      <w:r>
        <w:rPr>
          <w:color w:val="161616"/>
          <w:spacing w:val="-1"/>
          <w:sz w:val="22"/>
        </w:rPr>
        <w:t> </w:t>
      </w:r>
      <w:r>
        <w:rPr>
          <w:color w:val="161616"/>
          <w:sz w:val="22"/>
        </w:rPr>
        <w:t>Codes of Conduct, which</w:t>
      </w:r>
      <w:r>
        <w:rPr>
          <w:color w:val="161616"/>
          <w:spacing w:val="-1"/>
          <w:sz w:val="22"/>
        </w:rPr>
        <w:t> </w:t>
      </w:r>
      <w:r>
        <w:rPr>
          <w:color w:val="161616"/>
          <w:sz w:val="22"/>
        </w:rPr>
        <w:t>define the</w:t>
      </w:r>
      <w:r>
        <w:rPr>
          <w:color w:val="161616"/>
          <w:spacing w:val="-2"/>
          <w:sz w:val="22"/>
        </w:rPr>
        <w:t> </w:t>
      </w:r>
      <w:r>
        <w:rPr>
          <w:color w:val="161616"/>
          <w:sz w:val="22"/>
        </w:rPr>
        <w:t>standard of behaviour that the Council requires of</w:t>
      </w:r>
      <w:r>
        <w:rPr>
          <w:color w:val="161616"/>
          <w:spacing w:val="-6"/>
          <w:sz w:val="22"/>
        </w:rPr>
        <w:t> </w:t>
      </w:r>
      <w:r>
        <w:rPr>
          <w:color w:val="161616"/>
          <w:sz w:val="22"/>
        </w:rPr>
        <w:t>both Members and</w:t>
      </w:r>
      <w:r>
        <w:rPr>
          <w:color w:val="161616"/>
          <w:spacing w:val="-4"/>
          <w:sz w:val="22"/>
        </w:rPr>
        <w:t> </w:t>
      </w:r>
      <w:r>
        <w:rPr>
          <w:color w:val="161616"/>
          <w:sz w:val="22"/>
        </w:rPr>
        <w:t>Officers. </w:t>
      </w:r>
      <w:r>
        <w:rPr>
          <w:color w:val="2D2D2D"/>
          <w:sz w:val="22"/>
        </w:rPr>
        <w:t>These </w:t>
      </w:r>
      <w:r>
        <w:rPr>
          <w:color w:val="161616"/>
          <w:sz w:val="22"/>
        </w:rPr>
        <w:t>also</w:t>
      </w:r>
      <w:r>
        <w:rPr>
          <w:color w:val="161616"/>
          <w:spacing w:val="-11"/>
          <w:sz w:val="22"/>
        </w:rPr>
        <w:t> </w:t>
      </w:r>
      <w:r>
        <w:rPr>
          <w:color w:val="161616"/>
          <w:sz w:val="22"/>
        </w:rPr>
        <w:t>ensure that</w:t>
      </w:r>
      <w:r>
        <w:rPr>
          <w:color w:val="161616"/>
          <w:spacing w:val="-2"/>
          <w:sz w:val="22"/>
        </w:rPr>
        <w:t> </w:t>
      </w:r>
      <w:r>
        <w:rPr>
          <w:color w:val="161616"/>
          <w:sz w:val="22"/>
        </w:rPr>
        <w:t>Members and</w:t>
      </w:r>
      <w:r>
        <w:rPr>
          <w:color w:val="161616"/>
          <w:spacing w:val="-8"/>
          <w:sz w:val="22"/>
        </w:rPr>
        <w:t> </w:t>
      </w:r>
      <w:r>
        <w:rPr>
          <w:color w:val="161616"/>
          <w:sz w:val="22"/>
        </w:rPr>
        <w:t>Officers are</w:t>
      </w:r>
      <w:r>
        <w:rPr>
          <w:color w:val="161616"/>
          <w:spacing w:val="-7"/>
          <w:sz w:val="22"/>
        </w:rPr>
        <w:t> </w:t>
      </w:r>
      <w:r>
        <w:rPr>
          <w:color w:val="161616"/>
          <w:sz w:val="22"/>
        </w:rPr>
        <w:t>not</w:t>
      </w:r>
      <w:r>
        <w:rPr>
          <w:color w:val="161616"/>
          <w:spacing w:val="-3"/>
          <w:sz w:val="22"/>
        </w:rPr>
        <w:t> </w:t>
      </w:r>
      <w:r>
        <w:rPr>
          <w:color w:val="161616"/>
          <w:sz w:val="22"/>
        </w:rPr>
        <w:t>influenced by</w:t>
      </w:r>
      <w:r>
        <w:rPr>
          <w:color w:val="161616"/>
          <w:spacing w:val="-4"/>
          <w:sz w:val="22"/>
        </w:rPr>
        <w:t> </w:t>
      </w:r>
      <w:r>
        <w:rPr>
          <w:color w:val="161616"/>
          <w:sz w:val="22"/>
        </w:rPr>
        <w:t>prejudice, bias or</w:t>
      </w:r>
      <w:r>
        <w:rPr>
          <w:color w:val="161616"/>
          <w:spacing w:val="-4"/>
          <w:sz w:val="22"/>
        </w:rPr>
        <w:t> </w:t>
      </w:r>
      <w:r>
        <w:rPr>
          <w:color w:val="161616"/>
          <w:sz w:val="22"/>
        </w:rPr>
        <w:t>conflict of interest in their work.</w:t>
      </w:r>
    </w:p>
    <w:p>
      <w:pPr>
        <w:pStyle w:val="BodyText"/>
        <w:spacing w:before="23"/>
        <w:rPr>
          <w:sz w:val="21"/>
        </w:rPr>
      </w:pPr>
    </w:p>
    <w:p>
      <w:pPr>
        <w:spacing w:before="0" w:line="247" w:lineRule="auto"/>
        <w:ind w:left="1007" w:right="0" w:hanging="2"/>
        <w:jc w:val="left"/>
        <w:rPr>
          <w:b/>
          <w:sz w:val="21"/>
        </w:rPr>
      </w:pPr>
      <w:r>
        <w:rPr>
          <w:b/>
          <w:color w:val="161616"/>
          <w:w w:val="105"/>
          <w:sz w:val="21"/>
          <w:u w:val="thick" w:color="161616"/>
        </w:rPr>
        <w:t>Developing, communicating and</w:t>
      </w:r>
      <w:r>
        <w:rPr>
          <w:b/>
          <w:color w:val="161616"/>
          <w:spacing w:val="-7"/>
          <w:w w:val="105"/>
          <w:sz w:val="21"/>
          <w:u w:val="thick" w:color="161616"/>
        </w:rPr>
        <w:t> </w:t>
      </w:r>
      <w:r>
        <w:rPr>
          <w:b/>
          <w:color w:val="161616"/>
          <w:w w:val="105"/>
          <w:sz w:val="21"/>
          <w:u w:val="thick" w:color="161616"/>
        </w:rPr>
        <w:t>embedding Codes</w:t>
      </w:r>
      <w:r>
        <w:rPr>
          <w:b/>
          <w:color w:val="161616"/>
          <w:spacing w:val="-3"/>
          <w:w w:val="105"/>
          <w:sz w:val="21"/>
          <w:u w:val="thick" w:color="161616"/>
        </w:rPr>
        <w:t> </w:t>
      </w:r>
      <w:r>
        <w:rPr>
          <w:b/>
          <w:color w:val="161616"/>
          <w:w w:val="105"/>
          <w:sz w:val="21"/>
          <w:u w:val="thick" w:color="161616"/>
        </w:rPr>
        <w:t>of</w:t>
      </w:r>
      <w:r>
        <w:rPr>
          <w:b/>
          <w:color w:val="161616"/>
          <w:spacing w:val="-11"/>
          <w:w w:val="105"/>
          <w:sz w:val="21"/>
          <w:u w:val="thick" w:color="161616"/>
        </w:rPr>
        <w:t> </w:t>
      </w:r>
      <w:r>
        <w:rPr>
          <w:b/>
          <w:color w:val="161616"/>
          <w:w w:val="105"/>
          <w:sz w:val="21"/>
          <w:u w:val="thick" w:color="161616"/>
        </w:rPr>
        <w:t>Conduct, defining</w:t>
      </w:r>
      <w:r>
        <w:rPr>
          <w:b/>
          <w:color w:val="161616"/>
          <w:spacing w:val="-1"/>
          <w:w w:val="105"/>
          <w:sz w:val="21"/>
          <w:u w:val="thick" w:color="161616"/>
        </w:rPr>
        <w:t> </w:t>
      </w:r>
      <w:r>
        <w:rPr>
          <w:b/>
          <w:color w:val="161616"/>
          <w:w w:val="105"/>
          <w:sz w:val="21"/>
          <w:u w:val="thick" w:color="161616"/>
        </w:rPr>
        <w:t>the</w:t>
      </w:r>
      <w:r>
        <w:rPr>
          <w:b/>
          <w:color w:val="161616"/>
          <w:spacing w:val="-5"/>
          <w:w w:val="105"/>
          <w:sz w:val="21"/>
          <w:u w:val="thick" w:color="161616"/>
        </w:rPr>
        <w:t> </w:t>
      </w:r>
      <w:r>
        <w:rPr>
          <w:b/>
          <w:color w:val="161616"/>
          <w:w w:val="105"/>
          <w:sz w:val="21"/>
          <w:u w:val="thick" w:color="161616"/>
        </w:rPr>
        <w:t>standards of</w:t>
      </w:r>
      <w:r>
        <w:rPr>
          <w:b/>
          <w:color w:val="161616"/>
          <w:w w:val="105"/>
          <w:sz w:val="21"/>
          <w:u w:val="none"/>
        </w:rPr>
        <w:t> </w:t>
      </w:r>
      <w:r>
        <w:rPr>
          <w:b/>
          <w:color w:val="161616"/>
          <w:w w:val="105"/>
          <w:sz w:val="21"/>
          <w:u w:val="thick" w:color="161616"/>
        </w:rPr>
        <w:t>behaviour for Members and officers</w:t>
      </w:r>
    </w:p>
    <w:p>
      <w:pPr>
        <w:pStyle w:val="BodyText"/>
        <w:spacing w:before="16"/>
        <w:rPr>
          <w:b/>
          <w:sz w:val="21"/>
        </w:rPr>
      </w:pPr>
    </w:p>
    <w:p>
      <w:pPr>
        <w:pStyle w:val="ListParagraph"/>
        <w:numPr>
          <w:ilvl w:val="0"/>
          <w:numId w:val="29"/>
        </w:numPr>
        <w:tabs>
          <w:tab w:val="left" w:leader="none" w:pos="977"/>
        </w:tabs>
        <w:spacing w:before="0" w:after="0" w:line="240" w:lineRule="auto"/>
        <w:ind w:left="977" w:right="0" w:hanging="710"/>
        <w:jc w:val="left"/>
        <w:rPr>
          <w:color w:val="161616"/>
          <w:sz w:val="22"/>
        </w:rPr>
      </w:pPr>
      <w:r>
        <w:rPr>
          <w:color w:val="161616"/>
          <w:sz w:val="22"/>
        </w:rPr>
        <w:t>The</w:t>
      </w:r>
      <w:r>
        <w:rPr>
          <w:color w:val="161616"/>
          <w:spacing w:val="-1"/>
          <w:sz w:val="22"/>
        </w:rPr>
        <w:t> </w:t>
      </w:r>
      <w:r>
        <w:rPr>
          <w:color w:val="161616"/>
          <w:sz w:val="22"/>
        </w:rPr>
        <w:t>Council's</w:t>
      </w:r>
      <w:r>
        <w:rPr>
          <w:color w:val="161616"/>
          <w:spacing w:val="1"/>
          <w:sz w:val="22"/>
        </w:rPr>
        <w:t> </w:t>
      </w:r>
      <w:r>
        <w:rPr>
          <w:color w:val="161616"/>
          <w:sz w:val="22"/>
        </w:rPr>
        <w:t>Constitution</w:t>
      </w:r>
      <w:r>
        <w:rPr>
          <w:color w:val="161616"/>
          <w:spacing w:val="18"/>
          <w:sz w:val="22"/>
        </w:rPr>
        <w:t> </w:t>
      </w:r>
      <w:r>
        <w:rPr>
          <w:color w:val="161616"/>
          <w:sz w:val="22"/>
        </w:rPr>
        <w:t>sets</w:t>
      </w:r>
      <w:r>
        <w:rPr>
          <w:color w:val="161616"/>
          <w:spacing w:val="6"/>
          <w:sz w:val="22"/>
        </w:rPr>
        <w:t> </w:t>
      </w:r>
      <w:r>
        <w:rPr>
          <w:color w:val="161616"/>
          <w:spacing w:val="-4"/>
          <w:sz w:val="22"/>
        </w:rPr>
        <w:t>out:</w:t>
      </w:r>
    </w:p>
    <w:p>
      <w:pPr>
        <w:pStyle w:val="ListParagraph"/>
        <w:numPr>
          <w:ilvl w:val="1"/>
          <w:numId w:val="29"/>
        </w:numPr>
        <w:tabs>
          <w:tab w:val="left" w:leader="none" w:pos="1409"/>
        </w:tabs>
        <w:spacing w:before="252" w:after="0" w:line="240" w:lineRule="auto"/>
        <w:ind w:left="1409" w:right="0" w:hanging="434"/>
        <w:jc w:val="left"/>
        <w:rPr>
          <w:color w:val="161616"/>
          <w:sz w:val="22"/>
        </w:rPr>
      </w:pPr>
      <w:r>
        <w:rPr>
          <w:color w:val="161616"/>
          <w:sz w:val="22"/>
          <w:u w:val="thick" w:color="4F4F4F"/>
        </w:rPr>
        <w:t>Code</w:t>
      </w:r>
      <w:r>
        <w:rPr>
          <w:color w:val="161616"/>
          <w:spacing w:val="-1"/>
          <w:sz w:val="22"/>
          <w:u w:val="thick" w:color="4F4F4F"/>
        </w:rPr>
        <w:t> </w:t>
      </w:r>
      <w:r>
        <w:rPr>
          <w:color w:val="161616"/>
          <w:sz w:val="22"/>
          <w:u w:val="thick" w:color="4F4F4F"/>
        </w:rPr>
        <w:t>of</w:t>
      </w:r>
      <w:r>
        <w:rPr>
          <w:color w:val="161616"/>
          <w:spacing w:val="-10"/>
          <w:sz w:val="22"/>
          <w:u w:val="thick" w:color="4F4F4F"/>
        </w:rPr>
        <w:t> </w:t>
      </w:r>
      <w:r>
        <w:rPr>
          <w:color w:val="161616"/>
          <w:sz w:val="22"/>
          <w:u w:val="thick" w:color="4F4F4F"/>
        </w:rPr>
        <w:t>Conduct</w:t>
      </w:r>
      <w:r>
        <w:rPr>
          <w:color w:val="161616"/>
          <w:spacing w:val="19"/>
          <w:sz w:val="22"/>
          <w:u w:val="thick" w:color="4F4F4F"/>
        </w:rPr>
        <w:t> </w:t>
      </w:r>
      <w:r>
        <w:rPr>
          <w:color w:val="161616"/>
          <w:sz w:val="22"/>
          <w:u w:val="thick" w:color="4F4F4F"/>
        </w:rPr>
        <w:t>for</w:t>
      </w:r>
      <w:r>
        <w:rPr>
          <w:color w:val="161616"/>
          <w:spacing w:val="-10"/>
          <w:sz w:val="22"/>
          <w:u w:val="thick" w:color="4F4F4F"/>
        </w:rPr>
        <w:t> </w:t>
      </w:r>
      <w:r>
        <w:rPr>
          <w:color w:val="161616"/>
          <w:spacing w:val="-2"/>
          <w:sz w:val="22"/>
          <w:u w:val="thick" w:color="4F4F4F"/>
        </w:rPr>
        <w:t>Members</w:t>
      </w:r>
      <w:r>
        <w:rPr>
          <w:color w:val="4F4F4F"/>
          <w:spacing w:val="-2"/>
          <w:sz w:val="22"/>
          <w:u w:val="none"/>
        </w:rPr>
        <w:t>:</w:t>
      </w:r>
    </w:p>
    <w:p>
      <w:pPr>
        <w:pStyle w:val="BodyText"/>
        <w:spacing w:before="2"/>
        <w:ind w:left="1378" w:right="269" w:firstLine="22"/>
      </w:pPr>
      <w:r>
        <w:rPr>
          <w:color w:val="161616"/>
        </w:rPr>
        <w:t>The Council has adopted </w:t>
      </w:r>
      <w:r>
        <w:rPr>
          <w:color w:val="2D2D2D"/>
        </w:rPr>
        <w:t>the </w:t>
      </w:r>
      <w:r>
        <w:rPr>
          <w:color w:val="161616"/>
        </w:rPr>
        <w:t>LGA Model Code of Conduct for Councillors</w:t>
      </w:r>
      <w:r>
        <w:rPr>
          <w:color w:val="676767"/>
        </w:rPr>
        <w:t>.</w:t>
      </w:r>
      <w:r>
        <w:rPr>
          <w:color w:val="676767"/>
          <w:spacing w:val="-6"/>
        </w:rPr>
        <w:t> </w:t>
      </w:r>
      <w:r>
        <w:rPr>
          <w:color w:val="161616"/>
        </w:rPr>
        <w:t>This </w:t>
      </w:r>
      <w:r>
        <w:rPr>
          <w:color w:val="2D2D2D"/>
        </w:rPr>
        <w:t>includes </w:t>
      </w:r>
      <w:r>
        <w:rPr>
          <w:color w:val="161616"/>
        </w:rPr>
        <w:t>General Provisions, Interests and the Register of Members</w:t>
      </w:r>
      <w:r>
        <w:rPr>
          <w:color w:val="4F4F4F"/>
        </w:rPr>
        <w:t>' </w:t>
      </w:r>
      <w:r>
        <w:rPr>
          <w:color w:val="161616"/>
        </w:rPr>
        <w:t>Interests</w:t>
      </w:r>
      <w:r>
        <w:rPr>
          <w:color w:val="4F4F4F"/>
        </w:rPr>
        <w:t>,</w:t>
      </w:r>
      <w:r>
        <w:rPr>
          <w:color w:val="4F4F4F"/>
          <w:spacing w:val="-4"/>
        </w:rPr>
        <w:t> </w:t>
      </w:r>
      <w:r>
        <w:rPr>
          <w:color w:val="161616"/>
        </w:rPr>
        <w:t>including Gifts and Hospitality and Related Party Declarations</w:t>
      </w:r>
      <w:r>
        <w:rPr>
          <w:color w:val="676767"/>
        </w:rPr>
        <w:t>.</w:t>
      </w:r>
      <w:r>
        <w:rPr>
          <w:color w:val="676767"/>
          <w:spacing w:val="-12"/>
        </w:rPr>
        <w:t> </w:t>
      </w:r>
      <w:r>
        <w:rPr>
          <w:color w:val="161616"/>
        </w:rPr>
        <w:t>The Register entries are renewed annually and when</w:t>
      </w:r>
      <w:r>
        <w:rPr>
          <w:color w:val="161616"/>
          <w:spacing w:val="-3"/>
        </w:rPr>
        <w:t> </w:t>
      </w:r>
      <w:r>
        <w:rPr>
          <w:color w:val="161616"/>
        </w:rPr>
        <w:t>Members are</w:t>
      </w:r>
      <w:r>
        <w:rPr>
          <w:color w:val="161616"/>
          <w:spacing w:val="-1"/>
        </w:rPr>
        <w:t> </w:t>
      </w:r>
      <w:r>
        <w:rPr>
          <w:color w:val="161616"/>
        </w:rPr>
        <w:t>elected or</w:t>
      </w:r>
      <w:r>
        <w:rPr>
          <w:color w:val="161616"/>
          <w:spacing w:val="-1"/>
        </w:rPr>
        <w:t> </w:t>
      </w:r>
      <w:r>
        <w:rPr>
          <w:color w:val="161616"/>
        </w:rPr>
        <w:t>re-elected</w:t>
      </w:r>
      <w:r>
        <w:rPr>
          <w:color w:val="4F4F4F"/>
        </w:rPr>
        <w:t>.</w:t>
      </w:r>
      <w:r>
        <w:rPr>
          <w:color w:val="4F4F4F"/>
          <w:spacing w:val="-21"/>
        </w:rPr>
        <w:t> </w:t>
      </w:r>
      <w:r>
        <w:rPr>
          <w:color w:val="161616"/>
        </w:rPr>
        <w:t>Members are</w:t>
      </w:r>
      <w:r>
        <w:rPr>
          <w:color w:val="161616"/>
          <w:spacing w:val="-6"/>
        </w:rPr>
        <w:t> </w:t>
      </w:r>
      <w:r>
        <w:rPr>
          <w:color w:val="2D2D2D"/>
        </w:rPr>
        <w:t>regularly </w:t>
      </w:r>
      <w:r>
        <w:rPr>
          <w:color w:val="161616"/>
        </w:rPr>
        <w:t>advised </w:t>
      </w:r>
      <w:r>
        <w:rPr>
          <w:color w:val="2D2D2D"/>
        </w:rPr>
        <w:t>to</w:t>
      </w:r>
      <w:r>
        <w:rPr>
          <w:color w:val="2D2D2D"/>
          <w:spacing w:val="-7"/>
        </w:rPr>
        <w:t> </w:t>
      </w:r>
      <w:r>
        <w:rPr>
          <w:color w:val="161616"/>
        </w:rPr>
        <w:t>keep</w:t>
      </w:r>
      <w:r>
        <w:rPr>
          <w:color w:val="161616"/>
          <w:spacing w:val="-3"/>
        </w:rPr>
        <w:t> </w:t>
      </w:r>
      <w:r>
        <w:rPr>
          <w:color w:val="161616"/>
        </w:rPr>
        <w:t>their entries accurate and up to date. The Register is subject </w:t>
      </w:r>
      <w:r>
        <w:rPr>
          <w:color w:val="2D2D2D"/>
        </w:rPr>
        <w:t>to </w:t>
      </w:r>
      <w:r>
        <w:rPr>
          <w:color w:val="161616"/>
        </w:rPr>
        <w:t>review by both Management and SIAS</w:t>
      </w:r>
      <w:r>
        <w:rPr>
          <w:color w:val="4F4F4F"/>
        </w:rPr>
        <w:t>. </w:t>
      </w:r>
      <w:r>
        <w:rPr>
          <w:color w:val="161616"/>
        </w:rPr>
        <w:t>Members are also required to declare the existence and nature of interests at </w:t>
      </w:r>
      <w:r>
        <w:rPr>
          <w:color w:val="2D2D2D"/>
        </w:rPr>
        <w:t>meetings </w:t>
      </w:r>
      <w:r>
        <w:rPr>
          <w:color w:val="161616"/>
        </w:rPr>
        <w:t>and these are recorded in the minutes of the meeting,</w:t>
      </w:r>
    </w:p>
    <w:p>
      <w:pPr>
        <w:pStyle w:val="ListParagraph"/>
        <w:numPr>
          <w:ilvl w:val="1"/>
          <w:numId w:val="29"/>
        </w:numPr>
        <w:tabs>
          <w:tab w:val="left" w:leader="none" w:pos="1380"/>
        </w:tabs>
        <w:spacing w:before="64" w:after="0" w:line="240" w:lineRule="auto"/>
        <w:ind w:left="1380" w:right="0" w:hanging="436"/>
        <w:jc w:val="left"/>
        <w:rPr>
          <w:color w:val="161616"/>
          <w:sz w:val="22"/>
        </w:rPr>
      </w:pPr>
      <w:r>
        <w:rPr>
          <w:color w:val="161616"/>
          <w:sz w:val="22"/>
          <w:u w:val="thick" w:color="161616"/>
        </w:rPr>
        <w:t>Local</w:t>
      </w:r>
      <w:r>
        <w:rPr>
          <w:color w:val="161616"/>
          <w:spacing w:val="-6"/>
          <w:sz w:val="22"/>
          <w:u w:val="thick" w:color="161616"/>
        </w:rPr>
        <w:t> </w:t>
      </w:r>
      <w:r>
        <w:rPr>
          <w:color w:val="161616"/>
          <w:sz w:val="22"/>
          <w:u w:val="thick" w:color="161616"/>
        </w:rPr>
        <w:t>Code of</w:t>
      </w:r>
      <w:r>
        <w:rPr>
          <w:color w:val="161616"/>
          <w:spacing w:val="-12"/>
          <w:sz w:val="22"/>
          <w:u w:val="thick" w:color="161616"/>
        </w:rPr>
        <w:t> </w:t>
      </w:r>
      <w:r>
        <w:rPr>
          <w:color w:val="161616"/>
          <w:sz w:val="22"/>
          <w:u w:val="thick" w:color="161616"/>
        </w:rPr>
        <w:t>Guidance</w:t>
      </w:r>
      <w:r>
        <w:rPr>
          <w:color w:val="161616"/>
          <w:spacing w:val="7"/>
          <w:sz w:val="22"/>
          <w:u w:val="thick" w:color="161616"/>
        </w:rPr>
        <w:t> </w:t>
      </w:r>
      <w:r>
        <w:rPr>
          <w:color w:val="161616"/>
          <w:sz w:val="22"/>
          <w:u w:val="thick" w:color="161616"/>
        </w:rPr>
        <w:t>for</w:t>
      </w:r>
      <w:r>
        <w:rPr>
          <w:color w:val="161616"/>
          <w:spacing w:val="-4"/>
          <w:sz w:val="22"/>
          <w:u w:val="thick" w:color="161616"/>
        </w:rPr>
        <w:t> </w:t>
      </w:r>
      <w:r>
        <w:rPr>
          <w:color w:val="161616"/>
          <w:sz w:val="22"/>
          <w:u w:val="thick" w:color="161616"/>
        </w:rPr>
        <w:t>Members</w:t>
      </w:r>
      <w:r>
        <w:rPr>
          <w:color w:val="161616"/>
          <w:spacing w:val="19"/>
          <w:sz w:val="22"/>
          <w:u w:val="thick" w:color="161616"/>
        </w:rPr>
        <w:t> </w:t>
      </w:r>
      <w:r>
        <w:rPr>
          <w:color w:val="161616"/>
          <w:sz w:val="22"/>
          <w:u w:val="thick" w:color="161616"/>
        </w:rPr>
        <w:t>and</w:t>
      </w:r>
      <w:r>
        <w:rPr>
          <w:color w:val="161616"/>
          <w:spacing w:val="-8"/>
          <w:sz w:val="22"/>
          <w:u w:val="thick" w:color="161616"/>
        </w:rPr>
        <w:t> </w:t>
      </w:r>
      <w:r>
        <w:rPr>
          <w:color w:val="161616"/>
          <w:sz w:val="22"/>
          <w:u w:val="thick" w:color="161616"/>
        </w:rPr>
        <w:t>Officers</w:t>
      </w:r>
      <w:r>
        <w:rPr>
          <w:color w:val="161616"/>
          <w:spacing w:val="7"/>
          <w:sz w:val="22"/>
          <w:u w:val="thick" w:color="161616"/>
        </w:rPr>
        <w:t> </w:t>
      </w:r>
      <w:r>
        <w:rPr>
          <w:color w:val="2D2D2D"/>
          <w:sz w:val="22"/>
          <w:u w:val="thick" w:color="161616"/>
        </w:rPr>
        <w:t>involved</w:t>
      </w:r>
      <w:r>
        <w:rPr>
          <w:color w:val="2D2D2D"/>
          <w:spacing w:val="3"/>
          <w:sz w:val="22"/>
          <w:u w:val="thick" w:color="161616"/>
        </w:rPr>
        <w:t> </w:t>
      </w:r>
      <w:r>
        <w:rPr>
          <w:color w:val="2D2D2D"/>
          <w:sz w:val="22"/>
          <w:u w:val="thick" w:color="161616"/>
        </w:rPr>
        <w:t>in</w:t>
      </w:r>
      <w:r>
        <w:rPr>
          <w:color w:val="2D2D2D"/>
          <w:spacing w:val="-8"/>
          <w:sz w:val="22"/>
          <w:u w:val="thick" w:color="161616"/>
        </w:rPr>
        <w:t> </w:t>
      </w:r>
      <w:r>
        <w:rPr>
          <w:color w:val="161616"/>
          <w:sz w:val="22"/>
          <w:u w:val="thick" w:color="161616"/>
        </w:rPr>
        <w:t>Planning</w:t>
      </w:r>
      <w:r>
        <w:rPr>
          <w:color w:val="161616"/>
          <w:spacing w:val="1"/>
          <w:sz w:val="22"/>
          <w:u w:val="thick" w:color="161616"/>
        </w:rPr>
        <w:t> </w:t>
      </w:r>
      <w:r>
        <w:rPr>
          <w:color w:val="161616"/>
          <w:spacing w:val="-2"/>
          <w:sz w:val="22"/>
          <w:u w:val="thick" w:color="161616"/>
        </w:rPr>
        <w:t>Matters:</w:t>
      </w:r>
    </w:p>
    <w:p>
      <w:pPr>
        <w:pStyle w:val="BodyText"/>
        <w:spacing w:before="2"/>
        <w:ind w:left="1365" w:right="269" w:firstLine="11"/>
      </w:pPr>
      <w:r>
        <w:rPr>
          <w:color w:val="161616"/>
        </w:rPr>
        <w:t>This</w:t>
      </w:r>
      <w:r>
        <w:rPr>
          <w:color w:val="161616"/>
          <w:spacing w:val="-1"/>
        </w:rPr>
        <w:t> </w:t>
      </w:r>
      <w:r>
        <w:rPr>
          <w:color w:val="161616"/>
        </w:rPr>
        <w:t>includes conduct of</w:t>
      </w:r>
      <w:r>
        <w:rPr>
          <w:color w:val="161616"/>
          <w:spacing w:val="-13"/>
        </w:rPr>
        <w:t> </w:t>
      </w:r>
      <w:r>
        <w:rPr>
          <w:color w:val="161616"/>
        </w:rPr>
        <w:t>Members and</w:t>
      </w:r>
      <w:r>
        <w:rPr>
          <w:color w:val="161616"/>
          <w:spacing w:val="-8"/>
        </w:rPr>
        <w:t> </w:t>
      </w:r>
      <w:r>
        <w:rPr>
          <w:color w:val="161616"/>
        </w:rPr>
        <w:t>officers, Procedures for</w:t>
      </w:r>
      <w:r>
        <w:rPr>
          <w:color w:val="161616"/>
          <w:spacing w:val="-1"/>
        </w:rPr>
        <w:t> </w:t>
      </w:r>
      <w:r>
        <w:rPr>
          <w:color w:val="161616"/>
        </w:rPr>
        <w:t>Committees considering Planning Matters, Site Visits by Members and by the Planning Control Committee,</w:t>
      </w:r>
    </w:p>
    <w:p>
      <w:pPr>
        <w:pStyle w:val="ListParagraph"/>
        <w:numPr>
          <w:ilvl w:val="1"/>
          <w:numId w:val="29"/>
        </w:numPr>
        <w:tabs>
          <w:tab w:val="left" w:leader="none" w:pos="1366"/>
        </w:tabs>
        <w:spacing w:before="56" w:after="0" w:line="240" w:lineRule="auto"/>
        <w:ind w:left="1366" w:right="0" w:hanging="431"/>
        <w:jc w:val="left"/>
        <w:rPr>
          <w:color w:val="161616"/>
          <w:sz w:val="22"/>
        </w:rPr>
      </w:pPr>
      <w:r>
        <w:rPr>
          <w:color w:val="161616"/>
          <w:sz w:val="22"/>
          <w:u w:val="thick" w:color="161616"/>
        </w:rPr>
        <w:t>Officers</w:t>
      </w:r>
      <w:r>
        <w:rPr>
          <w:color w:val="4F4F4F"/>
          <w:sz w:val="22"/>
          <w:u w:val="thick" w:color="161616"/>
        </w:rPr>
        <w:t>'</w:t>
      </w:r>
      <w:r>
        <w:rPr>
          <w:color w:val="4F4F4F"/>
          <w:spacing w:val="3"/>
          <w:sz w:val="22"/>
          <w:u w:val="thick" w:color="161616"/>
        </w:rPr>
        <w:t> </w:t>
      </w:r>
      <w:r>
        <w:rPr>
          <w:color w:val="161616"/>
          <w:sz w:val="22"/>
          <w:u w:val="thick" w:color="161616"/>
        </w:rPr>
        <w:t>Code</w:t>
      </w:r>
      <w:r>
        <w:rPr>
          <w:color w:val="161616"/>
          <w:spacing w:val="6"/>
          <w:sz w:val="22"/>
          <w:u w:val="thick" w:color="161616"/>
        </w:rPr>
        <w:t> </w:t>
      </w:r>
      <w:r>
        <w:rPr>
          <w:color w:val="161616"/>
          <w:sz w:val="22"/>
          <w:u w:val="thick" w:color="161616"/>
        </w:rPr>
        <w:t>of</w:t>
      </w:r>
      <w:r>
        <w:rPr>
          <w:color w:val="161616"/>
          <w:spacing w:val="5"/>
          <w:sz w:val="22"/>
          <w:u w:val="thick" w:color="161616"/>
        </w:rPr>
        <w:t> </w:t>
      </w:r>
      <w:r>
        <w:rPr>
          <w:color w:val="161616"/>
          <w:spacing w:val="-2"/>
          <w:sz w:val="22"/>
          <w:u w:val="thick" w:color="161616"/>
        </w:rPr>
        <w:t>Conduct:</w:t>
      </w:r>
    </w:p>
    <w:p>
      <w:pPr>
        <w:pStyle w:val="BodyText"/>
        <w:spacing w:before="7"/>
        <w:ind w:left="1350" w:right="269" w:firstLine="17"/>
      </w:pPr>
      <w:r>
        <w:rPr>
          <w:color w:val="161616"/>
        </w:rPr>
        <w:t>This </w:t>
      </w:r>
      <w:r>
        <w:rPr>
          <w:color w:val="2D2D2D"/>
        </w:rPr>
        <w:t>includes </w:t>
      </w:r>
      <w:r>
        <w:rPr>
          <w:color w:val="161616"/>
        </w:rPr>
        <w:t>Duties</w:t>
      </w:r>
      <w:r>
        <w:rPr>
          <w:color w:val="4F4F4F"/>
        </w:rPr>
        <w:t>,</w:t>
      </w:r>
      <w:r>
        <w:rPr>
          <w:color w:val="4F4F4F"/>
          <w:spacing w:val="-6"/>
        </w:rPr>
        <w:t> </w:t>
      </w:r>
      <w:r>
        <w:rPr>
          <w:color w:val="161616"/>
        </w:rPr>
        <w:t>Disclosure of Information,</w:t>
      </w:r>
      <w:r>
        <w:rPr>
          <w:color w:val="161616"/>
          <w:spacing w:val="40"/>
        </w:rPr>
        <w:t> </w:t>
      </w:r>
      <w:r>
        <w:rPr>
          <w:color w:val="161616"/>
        </w:rPr>
        <w:t>Political Neutrality</w:t>
      </w:r>
      <w:r>
        <w:rPr>
          <w:color w:val="4F4F4F"/>
        </w:rPr>
        <w:t>, </w:t>
      </w:r>
      <w:r>
        <w:rPr>
          <w:color w:val="161616"/>
        </w:rPr>
        <w:t>Outside Commitments</w:t>
      </w:r>
      <w:r>
        <w:rPr>
          <w:color w:val="4F4F4F"/>
        </w:rPr>
        <w:t>, </w:t>
      </w:r>
      <w:r>
        <w:rPr>
          <w:color w:val="161616"/>
        </w:rPr>
        <w:t>Personal Interests, Interests of Officers in Con racts</w:t>
      </w:r>
      <w:r>
        <w:rPr>
          <w:color w:val="676767"/>
        </w:rPr>
        <w:t>,</w:t>
      </w:r>
      <w:r>
        <w:rPr>
          <w:color w:val="676767"/>
          <w:spacing w:val="-16"/>
        </w:rPr>
        <w:t> </w:t>
      </w:r>
      <w:r>
        <w:rPr>
          <w:color w:val="161616"/>
        </w:rPr>
        <w:t>Gifts and Hospitality</w:t>
      </w:r>
      <w:r>
        <w:rPr>
          <w:color w:val="161616"/>
          <w:spacing w:val="38"/>
        </w:rPr>
        <w:t> </w:t>
      </w:r>
      <w:r>
        <w:rPr>
          <w:color w:val="161616"/>
        </w:rPr>
        <w:t>and Related Party Declarations. Appointment and other employment matters</w:t>
      </w:r>
      <w:r>
        <w:rPr>
          <w:color w:val="4F4F4F"/>
        </w:rPr>
        <w:t>,</w:t>
      </w:r>
      <w:r>
        <w:rPr>
          <w:color w:val="4F4F4F"/>
          <w:spacing w:val="-12"/>
        </w:rPr>
        <w:t> </w:t>
      </w:r>
      <w:r>
        <w:rPr>
          <w:color w:val="161616"/>
        </w:rPr>
        <w:t>Use of Financial Resources and Disciplinary Rules. Officers are</w:t>
      </w:r>
      <w:r>
        <w:rPr>
          <w:color w:val="161616"/>
          <w:spacing w:val="-5"/>
        </w:rPr>
        <w:t> </w:t>
      </w:r>
      <w:r>
        <w:rPr>
          <w:color w:val="161616"/>
        </w:rPr>
        <w:t>regularly reminded to</w:t>
      </w:r>
      <w:r>
        <w:rPr>
          <w:color w:val="161616"/>
          <w:spacing w:val="-11"/>
        </w:rPr>
        <w:t> </w:t>
      </w:r>
      <w:r>
        <w:rPr>
          <w:color w:val="161616"/>
        </w:rPr>
        <w:t>record</w:t>
      </w:r>
      <w:r>
        <w:rPr>
          <w:color w:val="161616"/>
          <w:spacing w:val="-2"/>
        </w:rPr>
        <w:t> </w:t>
      </w:r>
      <w:r>
        <w:rPr>
          <w:color w:val="161616"/>
        </w:rPr>
        <w:t>any offers of</w:t>
      </w:r>
      <w:r>
        <w:rPr>
          <w:color w:val="161616"/>
          <w:spacing w:val="-1"/>
        </w:rPr>
        <w:t> </w:t>
      </w:r>
      <w:r>
        <w:rPr>
          <w:color w:val="161616"/>
        </w:rPr>
        <w:t>gifts</w:t>
      </w:r>
      <w:r>
        <w:rPr>
          <w:color w:val="161616"/>
          <w:spacing w:val="-2"/>
        </w:rPr>
        <w:t> </w:t>
      </w:r>
      <w:r>
        <w:rPr>
          <w:color w:val="161616"/>
        </w:rPr>
        <w:t>and</w:t>
      </w:r>
      <w:r>
        <w:rPr>
          <w:color w:val="161616"/>
          <w:spacing w:val="-8"/>
        </w:rPr>
        <w:t> </w:t>
      </w:r>
      <w:r>
        <w:rPr>
          <w:color w:val="161616"/>
        </w:rPr>
        <w:t>hospitality, </w:t>
      </w:r>
      <w:r>
        <w:rPr>
          <w:color w:val="161616"/>
          <w:spacing w:val="-4"/>
        </w:rPr>
        <w:t>and</w:t>
      </w:r>
    </w:p>
    <w:p>
      <w:pPr>
        <w:pStyle w:val="ListParagraph"/>
        <w:numPr>
          <w:ilvl w:val="1"/>
          <w:numId w:val="29"/>
        </w:numPr>
        <w:tabs>
          <w:tab w:val="left" w:leader="none" w:pos="1350"/>
        </w:tabs>
        <w:spacing w:before="57" w:after="0" w:line="240" w:lineRule="auto"/>
        <w:ind w:left="1350" w:right="0" w:hanging="437"/>
        <w:jc w:val="left"/>
        <w:rPr>
          <w:color w:val="161616"/>
          <w:sz w:val="22"/>
        </w:rPr>
      </w:pPr>
      <w:r>
        <w:rPr>
          <w:color w:val="161616"/>
          <w:sz w:val="22"/>
          <w:u w:val="thick" w:color="4F4F4F"/>
        </w:rPr>
        <w:t>Protocol</w:t>
      </w:r>
      <w:r>
        <w:rPr>
          <w:color w:val="161616"/>
          <w:spacing w:val="13"/>
          <w:sz w:val="22"/>
          <w:u w:val="thick" w:color="4F4F4F"/>
        </w:rPr>
        <w:t> </w:t>
      </w:r>
      <w:r>
        <w:rPr>
          <w:color w:val="161616"/>
          <w:sz w:val="22"/>
          <w:u w:val="thick" w:color="4F4F4F"/>
        </w:rPr>
        <w:t>on</w:t>
      </w:r>
      <w:r>
        <w:rPr>
          <w:color w:val="161616"/>
          <w:spacing w:val="-12"/>
          <w:sz w:val="22"/>
          <w:u w:val="thick" w:color="4F4F4F"/>
        </w:rPr>
        <w:t> </w:t>
      </w:r>
      <w:r>
        <w:rPr>
          <w:color w:val="161616"/>
          <w:sz w:val="22"/>
          <w:u w:val="thick" w:color="4F4F4F"/>
        </w:rPr>
        <w:t>Member</w:t>
      </w:r>
      <w:r>
        <w:rPr>
          <w:color w:val="161616"/>
          <w:spacing w:val="7"/>
          <w:sz w:val="22"/>
          <w:u w:val="thick" w:color="4F4F4F"/>
        </w:rPr>
        <w:t> </w:t>
      </w:r>
      <w:r>
        <w:rPr>
          <w:color w:val="161616"/>
          <w:sz w:val="22"/>
          <w:u w:val="thick" w:color="4F4F4F"/>
        </w:rPr>
        <w:t>Officer</w:t>
      </w:r>
      <w:r>
        <w:rPr>
          <w:color w:val="161616"/>
          <w:spacing w:val="14"/>
          <w:sz w:val="22"/>
          <w:u w:val="thick" w:color="4F4F4F"/>
        </w:rPr>
        <w:t> </w:t>
      </w:r>
      <w:r>
        <w:rPr>
          <w:color w:val="161616"/>
          <w:spacing w:val="-2"/>
          <w:sz w:val="22"/>
          <w:u w:val="thick" w:color="4F4F4F"/>
        </w:rPr>
        <w:t>Relations</w:t>
      </w:r>
      <w:r>
        <w:rPr>
          <w:color w:val="4F4F4F"/>
          <w:spacing w:val="-2"/>
          <w:sz w:val="22"/>
          <w:u w:val="none"/>
        </w:rPr>
        <w:t>:</w:t>
      </w:r>
    </w:p>
    <w:p>
      <w:pPr>
        <w:pStyle w:val="BodyText"/>
        <w:spacing w:before="3" w:line="237" w:lineRule="auto"/>
        <w:ind w:left="1329" w:right="269" w:firstLine="14"/>
      </w:pPr>
      <w:r>
        <w:rPr>
          <w:color w:val="161616"/>
        </w:rPr>
        <w:t>This </w:t>
      </w:r>
      <w:r>
        <w:rPr>
          <w:color w:val="2D2D2D"/>
        </w:rPr>
        <w:t>includes the </w:t>
      </w:r>
      <w:r>
        <w:rPr>
          <w:color w:val="161616"/>
        </w:rPr>
        <w:t>Principle</w:t>
      </w:r>
      <w:r>
        <w:rPr>
          <w:color w:val="676767"/>
        </w:rPr>
        <w:t>'</w:t>
      </w:r>
      <w:r>
        <w:rPr>
          <w:color w:val="161616"/>
        </w:rPr>
        <w:t>s</w:t>
      </w:r>
      <w:r>
        <w:rPr>
          <w:color w:val="161616"/>
          <w:spacing w:val="-1"/>
        </w:rPr>
        <w:t> </w:t>
      </w:r>
      <w:r>
        <w:rPr>
          <w:color w:val="161616"/>
        </w:rPr>
        <w:t>underlying Member Officer Relations, the</w:t>
      </w:r>
      <w:r>
        <w:rPr>
          <w:color w:val="161616"/>
          <w:spacing w:val="-8"/>
        </w:rPr>
        <w:t> </w:t>
      </w:r>
      <w:r>
        <w:rPr>
          <w:color w:val="161616"/>
        </w:rPr>
        <w:t>roles of Members and Officers, the relationships</w:t>
      </w:r>
      <w:r>
        <w:rPr>
          <w:color w:val="161616"/>
          <w:spacing w:val="39"/>
        </w:rPr>
        <w:t> </w:t>
      </w:r>
      <w:r>
        <w:rPr>
          <w:color w:val="161616"/>
        </w:rPr>
        <w:t>between the Mayor and officers, the Leader and</w:t>
      </w:r>
      <w:r>
        <w:rPr>
          <w:color w:val="161616"/>
          <w:spacing w:val="-2"/>
        </w:rPr>
        <w:t> </w:t>
      </w:r>
      <w:r>
        <w:rPr>
          <w:color w:val="161616"/>
        </w:rPr>
        <w:t>Members of</w:t>
      </w:r>
      <w:r>
        <w:rPr>
          <w:color w:val="161616"/>
          <w:spacing w:val="-4"/>
        </w:rPr>
        <w:t> </w:t>
      </w:r>
      <w:r>
        <w:rPr>
          <w:color w:val="161616"/>
        </w:rPr>
        <w:t>the Cabinet and officers, the Chairmen and Members of Committees and officers, Officer relationships with Party Groups, etc.</w:t>
      </w:r>
    </w:p>
    <w:p>
      <w:pPr>
        <w:spacing w:after="0" w:line="237" w:lineRule="auto"/>
        <w:sectPr>
          <w:headerReference w:type="even" r:id="rId292"/>
          <w:pgSz w:w="11910" w:h="16830"/>
          <w:pgMar w:top="880" w:right="540" w:bottom="1220" w:left="440" w:header="0" w:footer="0"/>
        </w:sectPr>
      </w:pPr>
    </w:p>
    <w:p>
      <w:pPr>
        <w:pStyle w:val="BodyText"/>
        <w:spacing w:before="7"/>
        <w:rPr>
          <w:sz w:val="21"/>
        </w:rPr>
      </w:pPr>
    </w:p>
    <w:p>
      <w:pPr>
        <w:pStyle w:val="ListParagraph"/>
        <w:numPr>
          <w:ilvl w:val="0"/>
          <w:numId w:val="29"/>
        </w:numPr>
        <w:tabs>
          <w:tab w:val="left" w:leader="none" w:pos="847"/>
          <w:tab w:val="left" w:leader="none" w:pos="852"/>
        </w:tabs>
        <w:spacing w:before="0" w:after="0" w:line="247" w:lineRule="auto"/>
        <w:ind w:left="847" w:right="890" w:hanging="701"/>
        <w:jc w:val="left"/>
        <w:rPr>
          <w:color w:val="0F0F0F"/>
          <w:sz w:val="21"/>
        </w:rPr>
      </w:pPr>
      <w:r>
        <w:rPr>
          <w:color w:val="646464"/>
          <w:sz w:val="21"/>
        </w:rPr>
        <w:tab/>
      </w:r>
      <w:r>
        <w:rPr>
          <w:color w:val="0F0F0F"/>
          <w:w w:val="105"/>
          <w:sz w:val="21"/>
        </w:rPr>
        <w:t>Copies of</w:t>
      </w:r>
      <w:r>
        <w:rPr>
          <w:color w:val="0F0F0F"/>
          <w:spacing w:val="-13"/>
          <w:w w:val="105"/>
          <w:sz w:val="21"/>
        </w:rPr>
        <w:t> </w:t>
      </w:r>
      <w:r>
        <w:rPr>
          <w:color w:val="0F0F0F"/>
          <w:w w:val="105"/>
          <w:sz w:val="21"/>
        </w:rPr>
        <w:t>the</w:t>
      </w:r>
      <w:r>
        <w:rPr>
          <w:color w:val="0F0F0F"/>
          <w:spacing w:val="-7"/>
          <w:w w:val="105"/>
          <w:sz w:val="21"/>
        </w:rPr>
        <w:t> </w:t>
      </w:r>
      <w:r>
        <w:rPr>
          <w:color w:val="0F0F0F"/>
          <w:w w:val="105"/>
          <w:sz w:val="21"/>
        </w:rPr>
        <w:t>Council's</w:t>
      </w:r>
      <w:r>
        <w:rPr>
          <w:color w:val="0F0F0F"/>
          <w:spacing w:val="-3"/>
          <w:w w:val="105"/>
          <w:sz w:val="21"/>
        </w:rPr>
        <w:t> </w:t>
      </w:r>
      <w:r>
        <w:rPr>
          <w:color w:val="0F0F0F"/>
          <w:w w:val="105"/>
          <w:sz w:val="21"/>
        </w:rPr>
        <w:t>Constitution are</w:t>
      </w:r>
      <w:r>
        <w:rPr>
          <w:color w:val="0F0F0F"/>
          <w:spacing w:val="-8"/>
          <w:w w:val="105"/>
          <w:sz w:val="21"/>
        </w:rPr>
        <w:t> </w:t>
      </w:r>
      <w:r>
        <w:rPr>
          <w:color w:val="0F0F0F"/>
          <w:w w:val="105"/>
          <w:sz w:val="21"/>
        </w:rPr>
        <w:t>available</w:t>
      </w:r>
      <w:r>
        <w:rPr>
          <w:color w:val="0F0F0F"/>
          <w:spacing w:val="-2"/>
          <w:w w:val="105"/>
          <w:sz w:val="21"/>
        </w:rPr>
        <w:t> </w:t>
      </w:r>
      <w:r>
        <w:rPr>
          <w:color w:val="0F0F0F"/>
          <w:w w:val="105"/>
          <w:sz w:val="21"/>
        </w:rPr>
        <w:t>to</w:t>
      </w:r>
      <w:r>
        <w:rPr>
          <w:color w:val="0F0F0F"/>
          <w:spacing w:val="-9"/>
          <w:w w:val="105"/>
          <w:sz w:val="21"/>
        </w:rPr>
        <w:t> </w:t>
      </w:r>
      <w:r>
        <w:rPr>
          <w:color w:val="0F0F0F"/>
          <w:w w:val="105"/>
          <w:sz w:val="21"/>
        </w:rPr>
        <w:t>all</w:t>
      </w:r>
      <w:r>
        <w:rPr>
          <w:color w:val="0F0F0F"/>
          <w:spacing w:val="-10"/>
          <w:w w:val="105"/>
          <w:sz w:val="21"/>
        </w:rPr>
        <w:t> </w:t>
      </w:r>
      <w:r>
        <w:rPr>
          <w:color w:val="0F0F0F"/>
          <w:w w:val="105"/>
          <w:sz w:val="21"/>
        </w:rPr>
        <w:t>on</w:t>
      </w:r>
      <w:r>
        <w:rPr>
          <w:color w:val="0F0F0F"/>
          <w:spacing w:val="-16"/>
          <w:w w:val="105"/>
          <w:sz w:val="21"/>
        </w:rPr>
        <w:t> </w:t>
      </w:r>
      <w:r>
        <w:rPr>
          <w:color w:val="0F0F0F"/>
          <w:w w:val="105"/>
          <w:sz w:val="21"/>
        </w:rPr>
        <w:t>the</w:t>
      </w:r>
      <w:r>
        <w:rPr>
          <w:color w:val="0F0F0F"/>
          <w:spacing w:val="-5"/>
          <w:w w:val="105"/>
          <w:sz w:val="21"/>
        </w:rPr>
        <w:t> </w:t>
      </w:r>
      <w:r>
        <w:rPr>
          <w:color w:val="0F0F0F"/>
          <w:w w:val="105"/>
          <w:sz w:val="21"/>
        </w:rPr>
        <w:t>Council's website and</w:t>
      </w:r>
      <w:r>
        <w:rPr>
          <w:color w:val="0F0F0F"/>
          <w:spacing w:val="-9"/>
          <w:w w:val="105"/>
          <w:sz w:val="21"/>
        </w:rPr>
        <w:t> </w:t>
      </w:r>
      <w:r>
        <w:rPr>
          <w:color w:val="0F0F0F"/>
          <w:w w:val="105"/>
          <w:sz w:val="21"/>
        </w:rPr>
        <w:t>at</w:t>
      </w:r>
      <w:r>
        <w:rPr>
          <w:color w:val="0F0F0F"/>
          <w:spacing w:val="-7"/>
          <w:w w:val="105"/>
          <w:sz w:val="21"/>
        </w:rPr>
        <w:t> </w:t>
      </w:r>
      <w:r>
        <w:rPr>
          <w:color w:val="0F0F0F"/>
          <w:w w:val="105"/>
          <w:sz w:val="21"/>
        </w:rPr>
        <w:t>Council Offices (including the</w:t>
      </w:r>
      <w:r>
        <w:rPr>
          <w:color w:val="0F0F0F"/>
          <w:spacing w:val="-3"/>
          <w:w w:val="105"/>
          <w:sz w:val="21"/>
        </w:rPr>
        <w:t> </w:t>
      </w:r>
      <w:r>
        <w:rPr>
          <w:color w:val="0F0F0F"/>
          <w:w w:val="105"/>
          <w:sz w:val="21"/>
        </w:rPr>
        <w:t>Members' Room), libraries and other appropriate locations.</w:t>
      </w:r>
    </w:p>
    <w:p>
      <w:pPr>
        <w:pStyle w:val="BodyText"/>
        <w:spacing w:before="20"/>
        <w:rPr>
          <w:sz w:val="21"/>
        </w:rPr>
      </w:pPr>
    </w:p>
    <w:p>
      <w:pPr>
        <w:pStyle w:val="ListParagraph"/>
        <w:numPr>
          <w:ilvl w:val="0"/>
          <w:numId w:val="29"/>
        </w:numPr>
        <w:tabs>
          <w:tab w:val="left" w:leader="none" w:pos="848"/>
          <w:tab w:val="left" w:leader="none" w:pos="852"/>
        </w:tabs>
        <w:spacing w:before="1" w:after="0" w:line="249" w:lineRule="auto"/>
        <w:ind w:left="852" w:right="363" w:hanging="706"/>
        <w:jc w:val="left"/>
        <w:rPr>
          <w:color w:val="0F0F0F"/>
          <w:sz w:val="21"/>
        </w:rPr>
      </w:pPr>
      <w:r>
        <w:rPr>
          <w:color w:val="0F0F0F"/>
          <w:w w:val="105"/>
          <w:sz w:val="21"/>
        </w:rPr>
        <w:t>In addition,</w:t>
      </w:r>
      <w:r>
        <w:rPr>
          <w:color w:val="0F0F0F"/>
          <w:spacing w:val="-4"/>
          <w:w w:val="105"/>
          <w:sz w:val="21"/>
        </w:rPr>
        <w:t> </w:t>
      </w:r>
      <w:r>
        <w:rPr>
          <w:color w:val="0F0F0F"/>
          <w:w w:val="105"/>
          <w:sz w:val="21"/>
        </w:rPr>
        <w:t>Induction</w:t>
      </w:r>
      <w:r>
        <w:rPr>
          <w:color w:val="0F0F0F"/>
          <w:spacing w:val="-2"/>
          <w:w w:val="105"/>
          <w:sz w:val="21"/>
        </w:rPr>
        <w:t> </w:t>
      </w:r>
      <w:r>
        <w:rPr>
          <w:color w:val="0F0F0F"/>
          <w:w w:val="105"/>
          <w:sz w:val="21"/>
        </w:rPr>
        <w:t>Training is</w:t>
      </w:r>
      <w:r>
        <w:rPr>
          <w:color w:val="0F0F0F"/>
          <w:spacing w:val="-9"/>
          <w:w w:val="105"/>
          <w:sz w:val="21"/>
        </w:rPr>
        <w:t> </w:t>
      </w:r>
      <w:r>
        <w:rPr>
          <w:color w:val="0F0F0F"/>
          <w:w w:val="105"/>
          <w:sz w:val="21"/>
        </w:rPr>
        <w:t>provided</w:t>
      </w:r>
      <w:r>
        <w:rPr>
          <w:color w:val="0F0F0F"/>
          <w:spacing w:val="-3"/>
          <w:w w:val="105"/>
          <w:sz w:val="21"/>
        </w:rPr>
        <w:t> </w:t>
      </w:r>
      <w:r>
        <w:rPr>
          <w:color w:val="0F0F0F"/>
          <w:w w:val="105"/>
          <w:sz w:val="21"/>
        </w:rPr>
        <w:t>to</w:t>
      </w:r>
      <w:r>
        <w:rPr>
          <w:color w:val="0F0F0F"/>
          <w:spacing w:val="-11"/>
          <w:w w:val="105"/>
          <w:sz w:val="21"/>
        </w:rPr>
        <w:t> </w:t>
      </w:r>
      <w:r>
        <w:rPr>
          <w:color w:val="0F0F0F"/>
          <w:w w:val="105"/>
          <w:sz w:val="21"/>
        </w:rPr>
        <w:t>all</w:t>
      </w:r>
      <w:r>
        <w:rPr>
          <w:color w:val="0F0F0F"/>
          <w:spacing w:val="-13"/>
          <w:w w:val="105"/>
          <w:sz w:val="21"/>
        </w:rPr>
        <w:t> </w:t>
      </w:r>
      <w:r>
        <w:rPr>
          <w:color w:val="0F0F0F"/>
          <w:w w:val="105"/>
          <w:sz w:val="21"/>
        </w:rPr>
        <w:t>newly</w:t>
      </w:r>
      <w:r>
        <w:rPr>
          <w:color w:val="0F0F0F"/>
          <w:spacing w:val="-4"/>
          <w:w w:val="105"/>
          <w:sz w:val="21"/>
        </w:rPr>
        <w:t> </w:t>
      </w:r>
      <w:r>
        <w:rPr>
          <w:color w:val="0F0F0F"/>
          <w:w w:val="105"/>
          <w:sz w:val="21"/>
        </w:rPr>
        <w:t>elected</w:t>
      </w:r>
      <w:r>
        <w:rPr>
          <w:color w:val="0F0F0F"/>
          <w:spacing w:val="-10"/>
          <w:w w:val="105"/>
          <w:sz w:val="21"/>
        </w:rPr>
        <w:t> </w:t>
      </w:r>
      <w:r>
        <w:rPr>
          <w:color w:val="0F0F0F"/>
          <w:w w:val="105"/>
          <w:sz w:val="21"/>
        </w:rPr>
        <w:t>Members and</w:t>
      </w:r>
      <w:r>
        <w:rPr>
          <w:color w:val="0F0F0F"/>
          <w:spacing w:val="-13"/>
          <w:w w:val="105"/>
          <w:sz w:val="21"/>
        </w:rPr>
        <w:t> </w:t>
      </w:r>
      <w:r>
        <w:rPr>
          <w:color w:val="0F0F0F"/>
          <w:w w:val="105"/>
          <w:sz w:val="21"/>
        </w:rPr>
        <w:t>new</w:t>
      </w:r>
      <w:r>
        <w:rPr>
          <w:color w:val="0F0F0F"/>
          <w:spacing w:val="-5"/>
          <w:w w:val="105"/>
          <w:sz w:val="21"/>
        </w:rPr>
        <w:t> </w:t>
      </w:r>
      <w:r>
        <w:rPr>
          <w:color w:val="0F0F0F"/>
          <w:w w:val="105"/>
          <w:sz w:val="21"/>
        </w:rPr>
        <w:t>employees and</w:t>
      </w:r>
      <w:r>
        <w:rPr>
          <w:color w:val="0F0F0F"/>
          <w:spacing w:val="-12"/>
          <w:w w:val="105"/>
          <w:sz w:val="21"/>
        </w:rPr>
        <w:t> </w:t>
      </w:r>
      <w:r>
        <w:rPr>
          <w:color w:val="0F0F0F"/>
          <w:w w:val="105"/>
          <w:sz w:val="21"/>
        </w:rPr>
        <w:t>the Council has been</w:t>
      </w:r>
      <w:r>
        <w:rPr>
          <w:color w:val="0F0F0F"/>
          <w:spacing w:val="-2"/>
          <w:w w:val="105"/>
          <w:sz w:val="21"/>
        </w:rPr>
        <w:t> </w:t>
      </w:r>
      <w:r>
        <w:rPr>
          <w:color w:val="0F0F0F"/>
          <w:w w:val="105"/>
          <w:sz w:val="21"/>
        </w:rPr>
        <w:t>awarded the Elected Members' Development Charter. In</w:t>
      </w:r>
      <w:r>
        <w:rPr>
          <w:color w:val="0F0F0F"/>
          <w:spacing w:val="-5"/>
          <w:w w:val="105"/>
          <w:sz w:val="21"/>
        </w:rPr>
        <w:t> </w:t>
      </w:r>
      <w:r>
        <w:rPr>
          <w:color w:val="0F0F0F"/>
          <w:w w:val="105"/>
          <w:sz w:val="21"/>
        </w:rPr>
        <w:t>a</w:t>
      </w:r>
      <w:r>
        <w:rPr>
          <w:color w:val="0F0F0F"/>
          <w:spacing w:val="-3"/>
          <w:w w:val="105"/>
          <w:sz w:val="21"/>
        </w:rPr>
        <w:t> </w:t>
      </w:r>
      <w:r>
        <w:rPr>
          <w:color w:val="0F0F0F"/>
          <w:w w:val="105"/>
          <w:sz w:val="21"/>
        </w:rPr>
        <w:t>digital world, there is also an emphasis on responsible use of social media.</w:t>
      </w:r>
    </w:p>
    <w:p>
      <w:pPr>
        <w:pStyle w:val="BodyText"/>
        <w:spacing w:before="9"/>
        <w:rPr>
          <w:sz w:val="21"/>
        </w:rPr>
      </w:pPr>
    </w:p>
    <w:p>
      <w:pPr>
        <w:spacing w:before="0" w:line="244" w:lineRule="auto"/>
        <w:ind w:left="869" w:right="402" w:firstLine="1"/>
        <w:jc w:val="left"/>
        <w:rPr>
          <w:b/>
          <w:sz w:val="21"/>
        </w:rPr>
      </w:pPr>
      <w:r>
        <w:rPr>
          <w:b/>
          <w:color w:val="0F0F0F"/>
          <w:w w:val="105"/>
          <w:sz w:val="21"/>
          <w:u w:val="thick" w:color="0F0F0F"/>
        </w:rPr>
        <w:t>Reviewing and</w:t>
      </w:r>
      <w:r>
        <w:rPr>
          <w:b/>
          <w:color w:val="0F0F0F"/>
          <w:spacing w:val="-4"/>
          <w:w w:val="105"/>
          <w:sz w:val="21"/>
          <w:u w:val="thick" w:color="0F0F0F"/>
        </w:rPr>
        <w:t> </w:t>
      </w:r>
      <w:r>
        <w:rPr>
          <w:b/>
          <w:color w:val="0F0F0F"/>
          <w:w w:val="105"/>
          <w:sz w:val="21"/>
          <w:u w:val="thick" w:color="0F0F0F"/>
        </w:rPr>
        <w:t>updating standing orders. standing financial instructions. a scheme of</w:t>
      </w:r>
      <w:r>
        <w:rPr>
          <w:b/>
          <w:color w:val="0F0F0F"/>
          <w:w w:val="105"/>
          <w:sz w:val="21"/>
          <w:u w:val="none"/>
        </w:rPr>
        <w:t> </w:t>
      </w:r>
      <w:r>
        <w:rPr>
          <w:b/>
          <w:color w:val="0F0F0F"/>
          <w:w w:val="105"/>
          <w:sz w:val="21"/>
          <w:u w:val="thick" w:color="0F0F0F"/>
        </w:rPr>
        <w:t>delegation</w:t>
      </w:r>
      <w:r>
        <w:rPr>
          <w:b/>
          <w:color w:val="0F0F0F"/>
          <w:spacing w:val="-6"/>
          <w:w w:val="105"/>
          <w:sz w:val="21"/>
          <w:u w:val="thick" w:color="0F0F0F"/>
        </w:rPr>
        <w:t> </w:t>
      </w:r>
      <w:r>
        <w:rPr>
          <w:b/>
          <w:color w:val="0F0F0F"/>
          <w:w w:val="105"/>
          <w:sz w:val="21"/>
          <w:u w:val="thick" w:color="0F0F0F"/>
        </w:rPr>
        <w:t>and</w:t>
      </w:r>
      <w:r>
        <w:rPr>
          <w:b/>
          <w:color w:val="0F0F0F"/>
          <w:spacing w:val="-15"/>
          <w:w w:val="105"/>
          <w:sz w:val="21"/>
          <w:u w:val="thick" w:color="0F0F0F"/>
        </w:rPr>
        <w:t> </w:t>
      </w:r>
      <w:r>
        <w:rPr>
          <w:b/>
          <w:color w:val="0F0F0F"/>
          <w:w w:val="105"/>
          <w:sz w:val="21"/>
          <w:u w:val="thick" w:color="0F0F0F"/>
        </w:rPr>
        <w:t>supporting procedure</w:t>
      </w:r>
      <w:r>
        <w:rPr>
          <w:b/>
          <w:color w:val="0F0F0F"/>
          <w:spacing w:val="-2"/>
          <w:w w:val="105"/>
          <w:sz w:val="21"/>
          <w:u w:val="thick" w:color="0F0F0F"/>
        </w:rPr>
        <w:t> </w:t>
      </w:r>
      <w:r>
        <w:rPr>
          <w:b/>
          <w:color w:val="0F0F0F"/>
          <w:w w:val="105"/>
          <w:sz w:val="21"/>
          <w:u w:val="thick" w:color="0F0F0F"/>
        </w:rPr>
        <w:t>notes</w:t>
      </w:r>
      <w:r>
        <w:rPr>
          <w:b/>
          <w:color w:val="0F0F0F"/>
          <w:spacing w:val="-16"/>
          <w:w w:val="105"/>
          <w:sz w:val="21"/>
          <w:u w:val="thick" w:color="0F0F0F"/>
        </w:rPr>
        <w:t> </w:t>
      </w:r>
      <w:r>
        <w:rPr>
          <w:i/>
          <w:color w:val="0F0F0F"/>
          <w:w w:val="105"/>
          <w:sz w:val="22"/>
          <w:u w:val="thick" w:color="0F0F0F"/>
        </w:rPr>
        <w:t>I</w:t>
      </w:r>
      <w:r>
        <w:rPr>
          <w:i/>
          <w:color w:val="0F0F0F"/>
          <w:spacing w:val="-11"/>
          <w:w w:val="105"/>
          <w:sz w:val="22"/>
          <w:u w:val="thick" w:color="0F0F0F"/>
        </w:rPr>
        <w:t> </w:t>
      </w:r>
      <w:r>
        <w:rPr>
          <w:b/>
          <w:color w:val="0F0F0F"/>
          <w:w w:val="105"/>
          <w:sz w:val="21"/>
          <w:u w:val="thick" w:color="0F0F0F"/>
        </w:rPr>
        <w:t>manuals.</w:t>
      </w:r>
      <w:r>
        <w:rPr>
          <w:b/>
          <w:color w:val="0F0F0F"/>
          <w:spacing w:val="-10"/>
          <w:w w:val="105"/>
          <w:sz w:val="21"/>
          <w:u w:val="thick" w:color="0F0F0F"/>
        </w:rPr>
        <w:t> </w:t>
      </w:r>
      <w:r>
        <w:rPr>
          <w:b/>
          <w:color w:val="0F0F0F"/>
          <w:w w:val="105"/>
          <w:sz w:val="21"/>
          <w:u w:val="thick" w:color="0F0F0F"/>
        </w:rPr>
        <w:t>which</w:t>
      </w:r>
      <w:r>
        <w:rPr>
          <w:b/>
          <w:color w:val="0F0F0F"/>
          <w:spacing w:val="-7"/>
          <w:w w:val="105"/>
          <w:sz w:val="21"/>
          <w:u w:val="thick" w:color="0F0F0F"/>
        </w:rPr>
        <w:t> </w:t>
      </w:r>
      <w:r>
        <w:rPr>
          <w:b/>
          <w:color w:val="0F0F0F"/>
          <w:w w:val="105"/>
          <w:sz w:val="21"/>
          <w:u w:val="thick" w:color="0F0F0F"/>
        </w:rPr>
        <w:t>clearly</w:t>
      </w:r>
      <w:r>
        <w:rPr>
          <w:b/>
          <w:color w:val="0F0F0F"/>
          <w:spacing w:val="-2"/>
          <w:w w:val="105"/>
          <w:sz w:val="21"/>
          <w:u w:val="thick" w:color="0F0F0F"/>
        </w:rPr>
        <w:t> </w:t>
      </w:r>
      <w:r>
        <w:rPr>
          <w:b/>
          <w:color w:val="0F0F0F"/>
          <w:w w:val="105"/>
          <w:sz w:val="21"/>
          <w:u w:val="thick" w:color="0F0F0F"/>
        </w:rPr>
        <w:t>define</w:t>
      </w:r>
      <w:r>
        <w:rPr>
          <w:b/>
          <w:color w:val="0F0F0F"/>
          <w:spacing w:val="-9"/>
          <w:w w:val="105"/>
          <w:sz w:val="21"/>
          <w:u w:val="thick" w:color="0F0F0F"/>
        </w:rPr>
        <w:t> </w:t>
      </w:r>
      <w:r>
        <w:rPr>
          <w:b/>
          <w:color w:val="0F0F0F"/>
          <w:w w:val="105"/>
          <w:sz w:val="21"/>
          <w:u w:val="thick" w:color="0F0F0F"/>
        </w:rPr>
        <w:t>how</w:t>
      </w:r>
      <w:r>
        <w:rPr>
          <w:b/>
          <w:color w:val="0F0F0F"/>
          <w:spacing w:val="-11"/>
          <w:w w:val="105"/>
          <w:sz w:val="21"/>
          <w:u w:val="thick" w:color="0F0F0F"/>
        </w:rPr>
        <w:t> </w:t>
      </w:r>
      <w:r>
        <w:rPr>
          <w:b/>
          <w:color w:val="0F0F0F"/>
          <w:w w:val="105"/>
          <w:sz w:val="21"/>
          <w:u w:val="thick" w:color="0F0F0F"/>
        </w:rPr>
        <w:t>decisions</w:t>
      </w:r>
      <w:r>
        <w:rPr>
          <w:b/>
          <w:color w:val="0F0F0F"/>
          <w:w w:val="105"/>
          <w:sz w:val="21"/>
          <w:u w:val="none"/>
        </w:rPr>
        <w:t> </w:t>
      </w:r>
      <w:r>
        <w:rPr>
          <w:b/>
          <w:color w:val="0F0F0F"/>
          <w:w w:val="105"/>
          <w:sz w:val="21"/>
          <w:u w:val="thick" w:color="0F0F0F"/>
        </w:rPr>
        <w:t>are taken and the processes and controls to manage risks</w:t>
      </w:r>
    </w:p>
    <w:p>
      <w:pPr>
        <w:pStyle w:val="BodyText"/>
        <w:spacing w:before="27"/>
        <w:rPr>
          <w:b/>
          <w:sz w:val="21"/>
        </w:rPr>
      </w:pPr>
    </w:p>
    <w:p>
      <w:pPr>
        <w:pStyle w:val="ListParagraph"/>
        <w:numPr>
          <w:ilvl w:val="0"/>
          <w:numId w:val="29"/>
        </w:numPr>
        <w:tabs>
          <w:tab w:val="left" w:leader="none" w:pos="852"/>
          <w:tab w:val="left" w:leader="none" w:pos="857"/>
        </w:tabs>
        <w:spacing w:before="0" w:after="0" w:line="252" w:lineRule="auto"/>
        <w:ind w:left="852" w:right="516" w:hanging="701"/>
        <w:jc w:val="left"/>
        <w:rPr>
          <w:color w:val="0F0F0F"/>
          <w:sz w:val="21"/>
        </w:rPr>
      </w:pPr>
      <w:r>
        <w:rPr>
          <w:color w:val="0F0F0F"/>
          <w:sz w:val="21"/>
        </w:rPr>
        <w:tab/>
      </w:r>
      <w:r>
        <w:rPr>
          <w:color w:val="0F0F0F"/>
          <w:w w:val="105"/>
          <w:sz w:val="21"/>
        </w:rPr>
        <w:t>The Constitution and</w:t>
      </w:r>
      <w:r>
        <w:rPr>
          <w:color w:val="0F0F0F"/>
          <w:spacing w:val="-5"/>
          <w:w w:val="105"/>
          <w:sz w:val="21"/>
        </w:rPr>
        <w:t> </w:t>
      </w:r>
      <w:r>
        <w:rPr>
          <w:color w:val="0F0F0F"/>
          <w:w w:val="105"/>
          <w:sz w:val="21"/>
        </w:rPr>
        <w:t>the</w:t>
      </w:r>
      <w:r>
        <w:rPr>
          <w:color w:val="0F0F0F"/>
          <w:spacing w:val="-2"/>
          <w:w w:val="105"/>
          <w:sz w:val="21"/>
        </w:rPr>
        <w:t> </w:t>
      </w:r>
      <w:r>
        <w:rPr>
          <w:color w:val="0F0F0F"/>
          <w:w w:val="105"/>
          <w:sz w:val="21"/>
        </w:rPr>
        <w:t>dec</w:t>
      </w:r>
      <w:r>
        <w:rPr>
          <w:color w:val="464646"/>
          <w:w w:val="105"/>
          <w:sz w:val="21"/>
        </w:rPr>
        <w:t>i</w:t>
      </w:r>
      <w:r>
        <w:rPr>
          <w:color w:val="0F0F0F"/>
          <w:w w:val="105"/>
          <w:sz w:val="21"/>
        </w:rPr>
        <w:t>sion-mak</w:t>
      </w:r>
      <w:r>
        <w:rPr>
          <w:color w:val="313131"/>
          <w:w w:val="105"/>
          <w:sz w:val="21"/>
        </w:rPr>
        <w:t>i</w:t>
      </w:r>
      <w:r>
        <w:rPr>
          <w:color w:val="0F0F0F"/>
          <w:w w:val="105"/>
          <w:sz w:val="21"/>
        </w:rPr>
        <w:t>ng</w:t>
      </w:r>
      <w:r>
        <w:rPr>
          <w:color w:val="0F0F0F"/>
          <w:spacing w:val="-1"/>
          <w:w w:val="105"/>
          <w:sz w:val="21"/>
        </w:rPr>
        <w:t> </w:t>
      </w:r>
      <w:r>
        <w:rPr>
          <w:color w:val="0F0F0F"/>
          <w:w w:val="105"/>
          <w:sz w:val="21"/>
        </w:rPr>
        <w:t>structures (both Members and officers) are regularly reviewed to</w:t>
      </w:r>
      <w:r>
        <w:rPr>
          <w:color w:val="0F0F0F"/>
          <w:spacing w:val="-11"/>
          <w:w w:val="105"/>
          <w:sz w:val="21"/>
        </w:rPr>
        <w:t> </w:t>
      </w:r>
      <w:r>
        <w:rPr>
          <w:color w:val="0F0F0F"/>
          <w:w w:val="105"/>
          <w:sz w:val="21"/>
        </w:rPr>
        <w:t>ensure that</w:t>
      </w:r>
      <w:r>
        <w:rPr>
          <w:color w:val="0F0F0F"/>
          <w:spacing w:val="-1"/>
          <w:w w:val="105"/>
          <w:sz w:val="21"/>
        </w:rPr>
        <w:t> </w:t>
      </w:r>
      <w:r>
        <w:rPr>
          <w:color w:val="0F0F0F"/>
          <w:w w:val="105"/>
          <w:sz w:val="21"/>
        </w:rPr>
        <w:t>they are</w:t>
      </w:r>
      <w:r>
        <w:rPr>
          <w:color w:val="0F0F0F"/>
          <w:spacing w:val="-11"/>
          <w:w w:val="105"/>
          <w:sz w:val="21"/>
        </w:rPr>
        <w:t> </w:t>
      </w:r>
      <w:r>
        <w:rPr>
          <w:color w:val="0F0F0F"/>
          <w:w w:val="105"/>
          <w:sz w:val="21"/>
        </w:rPr>
        <w:t>up-to-date, relevant,</w:t>
      </w:r>
      <w:r>
        <w:rPr>
          <w:color w:val="0F0F0F"/>
          <w:spacing w:val="-1"/>
          <w:w w:val="105"/>
          <w:sz w:val="21"/>
        </w:rPr>
        <w:t> </w:t>
      </w:r>
      <w:r>
        <w:rPr>
          <w:color w:val="0F0F0F"/>
          <w:w w:val="105"/>
          <w:sz w:val="21"/>
        </w:rPr>
        <w:t>in</w:t>
      </w:r>
      <w:r>
        <w:rPr>
          <w:color w:val="0F0F0F"/>
          <w:spacing w:val="-6"/>
          <w:w w:val="105"/>
          <w:sz w:val="21"/>
        </w:rPr>
        <w:t> </w:t>
      </w:r>
      <w:r>
        <w:rPr>
          <w:color w:val="0F0F0F"/>
          <w:w w:val="105"/>
          <w:sz w:val="21"/>
        </w:rPr>
        <w:t>line</w:t>
      </w:r>
      <w:r>
        <w:rPr>
          <w:color w:val="0F0F0F"/>
          <w:spacing w:val="-8"/>
          <w:w w:val="105"/>
          <w:sz w:val="21"/>
        </w:rPr>
        <w:t> </w:t>
      </w:r>
      <w:r>
        <w:rPr>
          <w:color w:val="0F0F0F"/>
          <w:w w:val="105"/>
          <w:sz w:val="21"/>
        </w:rPr>
        <w:t>with good</w:t>
      </w:r>
      <w:r>
        <w:rPr>
          <w:color w:val="0F0F0F"/>
          <w:spacing w:val="-11"/>
          <w:w w:val="105"/>
          <w:sz w:val="21"/>
        </w:rPr>
        <w:t> </w:t>
      </w:r>
      <w:r>
        <w:rPr>
          <w:color w:val="0F0F0F"/>
          <w:w w:val="105"/>
          <w:sz w:val="21"/>
        </w:rPr>
        <w:t>practice and</w:t>
      </w:r>
      <w:r>
        <w:rPr>
          <w:color w:val="0F0F0F"/>
          <w:spacing w:val="-15"/>
          <w:w w:val="105"/>
          <w:sz w:val="21"/>
        </w:rPr>
        <w:t> </w:t>
      </w:r>
      <w:r>
        <w:rPr>
          <w:color w:val="0F0F0F"/>
          <w:w w:val="105"/>
          <w:sz w:val="21"/>
        </w:rPr>
        <w:t>fit</w:t>
      </w:r>
      <w:r>
        <w:rPr>
          <w:color w:val="0F0F0F"/>
          <w:spacing w:val="-9"/>
          <w:w w:val="105"/>
          <w:sz w:val="21"/>
        </w:rPr>
        <w:t> </w:t>
      </w:r>
      <w:r>
        <w:rPr>
          <w:color w:val="0F0F0F"/>
          <w:w w:val="105"/>
          <w:sz w:val="21"/>
        </w:rPr>
        <w:t>for purpose</w:t>
      </w:r>
      <w:r>
        <w:rPr>
          <w:color w:val="646464"/>
          <w:w w:val="105"/>
          <w:sz w:val="21"/>
        </w:rPr>
        <w:t>. </w:t>
      </w:r>
      <w:r>
        <w:rPr>
          <w:color w:val="0F0F0F"/>
          <w:w w:val="105"/>
          <w:sz w:val="21"/>
        </w:rPr>
        <w:t>In</w:t>
      </w:r>
      <w:r>
        <w:rPr>
          <w:color w:val="0F0F0F"/>
          <w:spacing w:val="-6"/>
          <w:w w:val="105"/>
          <w:sz w:val="21"/>
        </w:rPr>
        <w:t> </w:t>
      </w:r>
      <w:r>
        <w:rPr>
          <w:color w:val="0F0F0F"/>
          <w:w w:val="105"/>
          <w:sz w:val="21"/>
        </w:rPr>
        <w:t>the pe</w:t>
      </w:r>
      <w:r>
        <w:rPr>
          <w:color w:val="464646"/>
          <w:w w:val="105"/>
          <w:sz w:val="21"/>
        </w:rPr>
        <w:t>r</w:t>
      </w:r>
      <w:r>
        <w:rPr>
          <w:color w:val="0F0F0F"/>
          <w:w w:val="105"/>
          <w:sz w:val="21"/>
        </w:rPr>
        <w:t>iod covered</w:t>
      </w:r>
      <w:r>
        <w:rPr>
          <w:color w:val="0F0F0F"/>
          <w:spacing w:val="-4"/>
          <w:w w:val="105"/>
          <w:sz w:val="21"/>
        </w:rPr>
        <w:t> </w:t>
      </w:r>
      <w:r>
        <w:rPr>
          <w:color w:val="0F0F0F"/>
          <w:w w:val="105"/>
          <w:sz w:val="21"/>
        </w:rPr>
        <w:t>by</w:t>
      </w:r>
      <w:r>
        <w:rPr>
          <w:color w:val="0F0F0F"/>
          <w:spacing w:val="-4"/>
          <w:w w:val="105"/>
          <w:sz w:val="21"/>
        </w:rPr>
        <w:t> </w:t>
      </w:r>
      <w:r>
        <w:rPr>
          <w:color w:val="0F0F0F"/>
          <w:w w:val="105"/>
          <w:sz w:val="21"/>
        </w:rPr>
        <w:t>this Statement, the work of the</w:t>
      </w:r>
      <w:r>
        <w:rPr>
          <w:color w:val="0F0F0F"/>
          <w:spacing w:val="-1"/>
          <w:w w:val="105"/>
          <w:sz w:val="21"/>
        </w:rPr>
        <w:t> </w:t>
      </w:r>
      <w:r>
        <w:rPr>
          <w:color w:val="0F0F0F"/>
          <w:w w:val="105"/>
          <w:sz w:val="21"/>
        </w:rPr>
        <w:t>Constitution and</w:t>
      </w:r>
      <w:r>
        <w:rPr>
          <w:color w:val="0F0F0F"/>
          <w:spacing w:val="-3"/>
          <w:w w:val="105"/>
          <w:sz w:val="21"/>
        </w:rPr>
        <w:t> </w:t>
      </w:r>
      <w:r>
        <w:rPr>
          <w:color w:val="0F0F0F"/>
          <w:w w:val="105"/>
          <w:sz w:val="21"/>
        </w:rPr>
        <w:t>Member Development Working Party included consideration of</w:t>
      </w:r>
      <w:r>
        <w:rPr>
          <w:color w:val="0F0F0F"/>
          <w:spacing w:val="-4"/>
          <w:w w:val="105"/>
          <w:sz w:val="21"/>
        </w:rPr>
        <w:t> </w:t>
      </w:r>
      <w:r>
        <w:rPr>
          <w:color w:val="0F0F0F"/>
          <w:w w:val="105"/>
          <w:sz w:val="21"/>
        </w:rPr>
        <w:t>the Association of</w:t>
      </w:r>
      <w:r>
        <w:rPr>
          <w:color w:val="0F0F0F"/>
          <w:spacing w:val="-3"/>
          <w:w w:val="105"/>
          <w:sz w:val="21"/>
        </w:rPr>
        <w:t> </w:t>
      </w:r>
      <w:r>
        <w:rPr>
          <w:color w:val="0F0F0F"/>
          <w:w w:val="105"/>
          <w:sz w:val="21"/>
        </w:rPr>
        <w:t>Electoral Administrators</w:t>
      </w:r>
      <w:r>
        <w:rPr>
          <w:color w:val="0F0F0F"/>
          <w:spacing w:val="-9"/>
          <w:w w:val="105"/>
          <w:sz w:val="21"/>
        </w:rPr>
        <w:t> </w:t>
      </w:r>
      <w:r>
        <w:rPr>
          <w:color w:val="0F0F0F"/>
          <w:w w:val="105"/>
          <w:sz w:val="21"/>
        </w:rPr>
        <w:t>health check and</w:t>
      </w:r>
      <w:r>
        <w:rPr>
          <w:color w:val="0F0F0F"/>
          <w:spacing w:val="-1"/>
          <w:w w:val="105"/>
          <w:sz w:val="21"/>
        </w:rPr>
        <w:t> </w:t>
      </w:r>
      <w:r>
        <w:rPr>
          <w:color w:val="0F0F0F"/>
          <w:w w:val="105"/>
          <w:sz w:val="21"/>
        </w:rPr>
        <w:t>a</w:t>
      </w:r>
      <w:r>
        <w:rPr>
          <w:color w:val="0F0F0F"/>
          <w:spacing w:val="-3"/>
          <w:w w:val="105"/>
          <w:sz w:val="21"/>
        </w:rPr>
        <w:t> </w:t>
      </w:r>
      <w:r>
        <w:rPr>
          <w:color w:val="0F0F0F"/>
          <w:w w:val="105"/>
          <w:sz w:val="21"/>
        </w:rPr>
        <w:t>Periodic Governance Review which was approved by the</w:t>
      </w:r>
      <w:r>
        <w:rPr>
          <w:color w:val="0F0F0F"/>
          <w:spacing w:val="-3"/>
          <w:w w:val="105"/>
          <w:sz w:val="21"/>
        </w:rPr>
        <w:t> </w:t>
      </w:r>
      <w:r>
        <w:rPr>
          <w:color w:val="0F0F0F"/>
          <w:w w:val="105"/>
          <w:sz w:val="21"/>
        </w:rPr>
        <w:t>Council on 21</w:t>
      </w:r>
      <w:r>
        <w:rPr>
          <w:color w:val="0F0F0F"/>
          <w:spacing w:val="-7"/>
          <w:w w:val="105"/>
          <w:sz w:val="21"/>
        </w:rPr>
        <w:t> </w:t>
      </w:r>
      <w:r>
        <w:rPr>
          <w:color w:val="0F0F0F"/>
          <w:w w:val="105"/>
          <w:sz w:val="21"/>
        </w:rPr>
        <w:t>September 2023.</w:t>
      </w:r>
    </w:p>
    <w:p>
      <w:pPr>
        <w:pStyle w:val="BodyText"/>
        <w:spacing w:before="14"/>
        <w:rPr>
          <w:sz w:val="21"/>
        </w:rPr>
      </w:pPr>
    </w:p>
    <w:p>
      <w:pPr>
        <w:pStyle w:val="ListParagraph"/>
        <w:numPr>
          <w:ilvl w:val="0"/>
          <w:numId w:val="29"/>
        </w:numPr>
        <w:tabs>
          <w:tab w:val="left" w:leader="none" w:pos="853"/>
        </w:tabs>
        <w:spacing w:before="0" w:after="0" w:line="247" w:lineRule="auto"/>
        <w:ind w:left="853" w:right="707" w:hanging="707"/>
        <w:jc w:val="left"/>
        <w:rPr>
          <w:color w:val="0F0F0F"/>
          <w:sz w:val="21"/>
        </w:rPr>
      </w:pPr>
      <w:r>
        <w:rPr>
          <w:color w:val="0F0F0F"/>
          <w:w w:val="105"/>
          <w:sz w:val="21"/>
        </w:rPr>
        <w:t>The</w:t>
      </w:r>
      <w:r>
        <w:rPr>
          <w:color w:val="0F0F0F"/>
          <w:spacing w:val="-9"/>
          <w:w w:val="105"/>
          <w:sz w:val="21"/>
        </w:rPr>
        <w:t> </w:t>
      </w:r>
      <w:r>
        <w:rPr>
          <w:color w:val="0F0F0F"/>
          <w:w w:val="105"/>
          <w:sz w:val="21"/>
        </w:rPr>
        <w:t>Constitution sets</w:t>
      </w:r>
      <w:r>
        <w:rPr>
          <w:color w:val="0F0F0F"/>
          <w:spacing w:val="-3"/>
          <w:w w:val="105"/>
          <w:sz w:val="21"/>
        </w:rPr>
        <w:t> </w:t>
      </w:r>
      <w:r>
        <w:rPr>
          <w:color w:val="0F0F0F"/>
          <w:w w:val="105"/>
          <w:sz w:val="21"/>
        </w:rPr>
        <w:t>out</w:t>
      </w:r>
      <w:r>
        <w:rPr>
          <w:color w:val="0F0F0F"/>
          <w:spacing w:val="-14"/>
          <w:w w:val="105"/>
          <w:sz w:val="21"/>
        </w:rPr>
        <w:t> </w:t>
      </w:r>
      <w:r>
        <w:rPr>
          <w:color w:val="0F0F0F"/>
          <w:w w:val="105"/>
          <w:sz w:val="21"/>
        </w:rPr>
        <w:t>the</w:t>
      </w:r>
      <w:r>
        <w:rPr>
          <w:color w:val="0F0F0F"/>
          <w:spacing w:val="-9"/>
          <w:w w:val="105"/>
          <w:sz w:val="21"/>
        </w:rPr>
        <w:t> </w:t>
      </w:r>
      <w:r>
        <w:rPr>
          <w:color w:val="0F0F0F"/>
          <w:w w:val="105"/>
          <w:sz w:val="21"/>
        </w:rPr>
        <w:t>Council's Policy</w:t>
      </w:r>
      <w:r>
        <w:rPr>
          <w:color w:val="0F0F0F"/>
          <w:spacing w:val="-2"/>
          <w:w w:val="105"/>
          <w:sz w:val="21"/>
        </w:rPr>
        <w:t> </w:t>
      </w:r>
      <w:r>
        <w:rPr>
          <w:color w:val="0F0F0F"/>
          <w:w w:val="105"/>
          <w:sz w:val="21"/>
        </w:rPr>
        <w:t>Framework which</w:t>
      </w:r>
      <w:r>
        <w:rPr>
          <w:color w:val="0F0F0F"/>
          <w:spacing w:val="-10"/>
          <w:w w:val="105"/>
          <w:sz w:val="21"/>
        </w:rPr>
        <w:t> </w:t>
      </w:r>
      <w:r>
        <w:rPr>
          <w:color w:val="0F0F0F"/>
          <w:w w:val="105"/>
          <w:sz w:val="21"/>
        </w:rPr>
        <w:t>includes the</w:t>
      </w:r>
      <w:r>
        <w:rPr>
          <w:color w:val="0F0F0F"/>
          <w:spacing w:val="-16"/>
          <w:w w:val="105"/>
          <w:sz w:val="21"/>
        </w:rPr>
        <w:t> </w:t>
      </w:r>
      <w:r>
        <w:rPr>
          <w:color w:val="0F0F0F"/>
          <w:w w:val="105"/>
          <w:sz w:val="21"/>
        </w:rPr>
        <w:t>following</w:t>
      </w:r>
      <w:r>
        <w:rPr>
          <w:color w:val="0F0F0F"/>
          <w:spacing w:val="-1"/>
          <w:w w:val="105"/>
          <w:sz w:val="21"/>
        </w:rPr>
        <w:t> </w:t>
      </w:r>
      <w:r>
        <w:rPr>
          <w:color w:val="0F0F0F"/>
          <w:w w:val="105"/>
          <w:sz w:val="21"/>
        </w:rPr>
        <w:t>plans and policies at Article 4:</w:t>
      </w:r>
    </w:p>
    <w:p>
      <w:pPr>
        <w:pStyle w:val="BodyText"/>
        <w:spacing w:before="39"/>
        <w:rPr>
          <w:sz w:val="21"/>
        </w:rPr>
      </w:pPr>
    </w:p>
    <w:p>
      <w:pPr>
        <w:pStyle w:val="ListParagraph"/>
        <w:numPr>
          <w:ilvl w:val="0"/>
          <w:numId w:val="30"/>
        </w:numPr>
        <w:tabs>
          <w:tab w:val="left" w:leader="none" w:pos="1275"/>
        </w:tabs>
        <w:spacing w:before="0" w:after="0" w:line="240" w:lineRule="auto"/>
        <w:ind w:left="1275" w:right="0" w:hanging="424"/>
        <w:jc w:val="left"/>
        <w:rPr>
          <w:sz w:val="21"/>
        </w:rPr>
      </w:pPr>
      <w:r>
        <w:rPr>
          <w:color w:val="0F0F0F"/>
          <w:w w:val="105"/>
          <w:sz w:val="21"/>
        </w:rPr>
        <w:t>Community</w:t>
      </w:r>
      <w:r>
        <w:rPr>
          <w:color w:val="0F0F0F"/>
          <w:spacing w:val="-5"/>
          <w:w w:val="105"/>
          <w:sz w:val="21"/>
        </w:rPr>
        <w:t> </w:t>
      </w:r>
      <w:r>
        <w:rPr>
          <w:color w:val="0F0F0F"/>
          <w:spacing w:val="-2"/>
          <w:w w:val="105"/>
          <w:sz w:val="21"/>
        </w:rPr>
        <w:t>Strategy</w:t>
      </w:r>
    </w:p>
    <w:p>
      <w:pPr>
        <w:pStyle w:val="ListParagraph"/>
        <w:numPr>
          <w:ilvl w:val="0"/>
          <w:numId w:val="30"/>
        </w:numPr>
        <w:tabs>
          <w:tab w:val="left" w:leader="none" w:pos="1275"/>
        </w:tabs>
        <w:spacing w:before="28" w:after="0" w:line="240" w:lineRule="auto"/>
        <w:ind w:left="1275" w:right="0" w:hanging="414"/>
        <w:jc w:val="left"/>
        <w:rPr>
          <w:sz w:val="21"/>
        </w:rPr>
      </w:pPr>
      <w:r>
        <w:rPr>
          <w:color w:val="0F0F0F"/>
          <w:w w:val="105"/>
          <w:sz w:val="21"/>
        </w:rPr>
        <w:t>Corporate</w:t>
      </w:r>
      <w:r>
        <w:rPr>
          <w:color w:val="0F0F0F"/>
          <w:spacing w:val="-10"/>
          <w:w w:val="105"/>
          <w:sz w:val="21"/>
        </w:rPr>
        <w:t> </w:t>
      </w:r>
      <w:r>
        <w:rPr>
          <w:color w:val="0F0F0F"/>
          <w:spacing w:val="-4"/>
          <w:w w:val="105"/>
          <w:sz w:val="21"/>
        </w:rPr>
        <w:t>Plan</w:t>
      </w:r>
    </w:p>
    <w:p>
      <w:pPr>
        <w:pStyle w:val="ListParagraph"/>
        <w:numPr>
          <w:ilvl w:val="0"/>
          <w:numId w:val="30"/>
        </w:numPr>
        <w:tabs>
          <w:tab w:val="left" w:leader="none" w:pos="1275"/>
        </w:tabs>
        <w:spacing w:before="23" w:after="0" w:line="240" w:lineRule="auto"/>
        <w:ind w:left="1275" w:right="0" w:hanging="419"/>
        <w:jc w:val="left"/>
        <w:rPr>
          <w:sz w:val="21"/>
        </w:rPr>
      </w:pPr>
      <w:r>
        <w:rPr>
          <w:color w:val="0F0F0F"/>
          <w:w w:val="105"/>
          <w:sz w:val="21"/>
        </w:rPr>
        <w:t>Community</w:t>
      </w:r>
      <w:r>
        <w:rPr>
          <w:color w:val="0F0F0F"/>
          <w:spacing w:val="-1"/>
          <w:w w:val="105"/>
          <w:sz w:val="21"/>
        </w:rPr>
        <w:t> </w:t>
      </w:r>
      <w:r>
        <w:rPr>
          <w:color w:val="0F0F0F"/>
          <w:w w:val="105"/>
          <w:sz w:val="21"/>
        </w:rPr>
        <w:t>Safety</w:t>
      </w:r>
      <w:r>
        <w:rPr>
          <w:color w:val="0F0F0F"/>
          <w:spacing w:val="-15"/>
          <w:w w:val="105"/>
          <w:sz w:val="21"/>
        </w:rPr>
        <w:t> </w:t>
      </w:r>
      <w:r>
        <w:rPr>
          <w:color w:val="0F0F0F"/>
          <w:w w:val="105"/>
          <w:sz w:val="21"/>
        </w:rPr>
        <w:t>Partnership</w:t>
      </w:r>
      <w:r>
        <w:rPr>
          <w:color w:val="0F0F0F"/>
          <w:spacing w:val="-10"/>
          <w:w w:val="105"/>
          <w:sz w:val="21"/>
        </w:rPr>
        <w:t> </w:t>
      </w:r>
      <w:r>
        <w:rPr>
          <w:color w:val="0F0F0F"/>
          <w:spacing w:val="-4"/>
          <w:w w:val="105"/>
          <w:sz w:val="21"/>
        </w:rPr>
        <w:t>Plan</w:t>
      </w:r>
    </w:p>
    <w:p>
      <w:pPr>
        <w:pStyle w:val="ListParagraph"/>
        <w:numPr>
          <w:ilvl w:val="0"/>
          <w:numId w:val="30"/>
        </w:numPr>
        <w:tabs>
          <w:tab w:val="left" w:leader="none" w:pos="1274"/>
        </w:tabs>
        <w:spacing w:before="27" w:after="0" w:line="240" w:lineRule="auto"/>
        <w:ind w:left="1274" w:right="0" w:hanging="418"/>
        <w:jc w:val="left"/>
        <w:rPr>
          <w:sz w:val="21"/>
        </w:rPr>
      </w:pPr>
      <w:r>
        <w:rPr>
          <w:color w:val="0F0F0F"/>
          <w:w w:val="105"/>
          <w:sz w:val="21"/>
        </w:rPr>
        <w:t>Economic</w:t>
      </w:r>
      <w:r>
        <w:rPr>
          <w:color w:val="0F0F0F"/>
          <w:spacing w:val="-14"/>
          <w:w w:val="105"/>
          <w:sz w:val="21"/>
        </w:rPr>
        <w:t> </w:t>
      </w:r>
      <w:r>
        <w:rPr>
          <w:color w:val="0F0F0F"/>
          <w:w w:val="105"/>
          <w:sz w:val="21"/>
        </w:rPr>
        <w:t>Development</w:t>
      </w:r>
      <w:r>
        <w:rPr>
          <w:color w:val="0F0F0F"/>
          <w:spacing w:val="-7"/>
          <w:w w:val="105"/>
          <w:sz w:val="21"/>
        </w:rPr>
        <w:t> </w:t>
      </w:r>
      <w:r>
        <w:rPr>
          <w:color w:val="0F0F0F"/>
          <w:spacing w:val="-2"/>
          <w:w w:val="105"/>
          <w:sz w:val="21"/>
        </w:rPr>
        <w:t>Strategy</w:t>
      </w:r>
    </w:p>
    <w:p>
      <w:pPr>
        <w:pStyle w:val="ListParagraph"/>
        <w:numPr>
          <w:ilvl w:val="0"/>
          <w:numId w:val="30"/>
        </w:numPr>
        <w:tabs>
          <w:tab w:val="left" w:leader="none" w:pos="1273"/>
        </w:tabs>
        <w:spacing w:before="28" w:after="0" w:line="240" w:lineRule="auto"/>
        <w:ind w:left="1273" w:right="0" w:hanging="417"/>
        <w:jc w:val="left"/>
        <w:rPr>
          <w:sz w:val="21"/>
        </w:rPr>
      </w:pPr>
      <w:r>
        <w:rPr>
          <w:color w:val="0F0F0F"/>
          <w:w w:val="105"/>
          <w:sz w:val="21"/>
        </w:rPr>
        <w:t>Financial</w:t>
      </w:r>
      <w:r>
        <w:rPr>
          <w:color w:val="0F0F0F"/>
          <w:spacing w:val="-6"/>
          <w:w w:val="105"/>
          <w:sz w:val="21"/>
        </w:rPr>
        <w:t> </w:t>
      </w:r>
      <w:r>
        <w:rPr>
          <w:color w:val="0F0F0F"/>
          <w:w w:val="105"/>
          <w:sz w:val="21"/>
        </w:rPr>
        <w:t>Strategy</w:t>
      </w:r>
      <w:r>
        <w:rPr>
          <w:color w:val="0F0F0F"/>
          <w:spacing w:val="-2"/>
          <w:w w:val="105"/>
          <w:sz w:val="21"/>
        </w:rPr>
        <w:t> </w:t>
      </w:r>
      <w:r>
        <w:rPr>
          <w:color w:val="0F0F0F"/>
          <w:w w:val="105"/>
          <w:sz w:val="21"/>
        </w:rPr>
        <w:t>including</w:t>
      </w:r>
      <w:r>
        <w:rPr>
          <w:color w:val="0F0F0F"/>
          <w:spacing w:val="-13"/>
          <w:w w:val="105"/>
          <w:sz w:val="21"/>
        </w:rPr>
        <w:t> </w:t>
      </w:r>
      <w:r>
        <w:rPr>
          <w:color w:val="0F0F0F"/>
          <w:w w:val="105"/>
          <w:sz w:val="21"/>
        </w:rPr>
        <w:t>the</w:t>
      </w:r>
      <w:r>
        <w:rPr>
          <w:color w:val="0F0F0F"/>
          <w:spacing w:val="-11"/>
          <w:w w:val="105"/>
          <w:sz w:val="21"/>
        </w:rPr>
        <w:t> </w:t>
      </w:r>
      <w:r>
        <w:rPr>
          <w:color w:val="0F0F0F"/>
          <w:w w:val="105"/>
          <w:sz w:val="21"/>
        </w:rPr>
        <w:t>Efficiency</w:t>
      </w:r>
      <w:r>
        <w:rPr>
          <w:color w:val="0F0F0F"/>
          <w:spacing w:val="-3"/>
          <w:w w:val="105"/>
          <w:sz w:val="21"/>
        </w:rPr>
        <w:t> </w:t>
      </w:r>
      <w:r>
        <w:rPr>
          <w:color w:val="0F0F0F"/>
          <w:spacing w:val="-4"/>
          <w:w w:val="105"/>
          <w:sz w:val="21"/>
        </w:rPr>
        <w:t>Plan</w:t>
      </w:r>
    </w:p>
    <w:p>
      <w:pPr>
        <w:pStyle w:val="ListParagraph"/>
        <w:numPr>
          <w:ilvl w:val="0"/>
          <w:numId w:val="30"/>
        </w:numPr>
        <w:tabs>
          <w:tab w:val="left" w:leader="none" w:pos="1274"/>
        </w:tabs>
        <w:spacing w:before="28" w:after="0" w:line="240" w:lineRule="auto"/>
        <w:ind w:left="1274" w:right="0" w:hanging="418"/>
        <w:jc w:val="left"/>
        <w:rPr>
          <w:sz w:val="21"/>
        </w:rPr>
      </w:pPr>
      <w:r>
        <w:rPr>
          <w:color w:val="0F0F0F"/>
          <w:w w:val="105"/>
          <w:sz w:val="21"/>
        </w:rPr>
        <w:t>Gambling</w:t>
      </w:r>
      <w:r>
        <w:rPr>
          <w:color w:val="0F0F0F"/>
          <w:spacing w:val="-9"/>
          <w:w w:val="105"/>
          <w:sz w:val="21"/>
        </w:rPr>
        <w:t> </w:t>
      </w:r>
      <w:r>
        <w:rPr>
          <w:color w:val="0F0F0F"/>
          <w:spacing w:val="-2"/>
          <w:w w:val="105"/>
          <w:sz w:val="21"/>
        </w:rPr>
        <w:t>Policy</w:t>
      </w:r>
    </w:p>
    <w:p>
      <w:pPr>
        <w:pStyle w:val="ListParagraph"/>
        <w:numPr>
          <w:ilvl w:val="0"/>
          <w:numId w:val="30"/>
        </w:numPr>
        <w:tabs>
          <w:tab w:val="left" w:leader="none" w:pos="1273"/>
        </w:tabs>
        <w:spacing w:before="22" w:after="0" w:line="240" w:lineRule="auto"/>
        <w:ind w:left="1273" w:right="0" w:hanging="422"/>
        <w:jc w:val="left"/>
        <w:rPr>
          <w:sz w:val="21"/>
        </w:rPr>
      </w:pPr>
      <w:r>
        <w:rPr>
          <w:color w:val="0F0F0F"/>
          <w:w w:val="105"/>
          <w:sz w:val="21"/>
        </w:rPr>
        <w:t>Homelessness</w:t>
      </w:r>
      <w:r>
        <w:rPr>
          <w:color w:val="0F0F0F"/>
          <w:spacing w:val="2"/>
          <w:w w:val="105"/>
          <w:sz w:val="21"/>
        </w:rPr>
        <w:t> </w:t>
      </w:r>
      <w:r>
        <w:rPr>
          <w:color w:val="0F0F0F"/>
          <w:w w:val="105"/>
          <w:sz w:val="21"/>
        </w:rPr>
        <w:t>and</w:t>
      </w:r>
      <w:r>
        <w:rPr>
          <w:color w:val="0F0F0F"/>
          <w:spacing w:val="-15"/>
          <w:w w:val="105"/>
          <w:sz w:val="21"/>
        </w:rPr>
        <w:t> </w:t>
      </w:r>
      <w:r>
        <w:rPr>
          <w:color w:val="0F0F0F"/>
          <w:w w:val="105"/>
          <w:sz w:val="21"/>
        </w:rPr>
        <w:t>Rough</w:t>
      </w:r>
      <w:r>
        <w:rPr>
          <w:color w:val="0F0F0F"/>
          <w:spacing w:val="-12"/>
          <w:w w:val="105"/>
          <w:sz w:val="21"/>
        </w:rPr>
        <w:t> </w:t>
      </w:r>
      <w:r>
        <w:rPr>
          <w:color w:val="0F0F0F"/>
          <w:w w:val="105"/>
          <w:sz w:val="21"/>
        </w:rPr>
        <w:t>Sleeping</w:t>
      </w:r>
      <w:r>
        <w:rPr>
          <w:color w:val="0F0F0F"/>
          <w:spacing w:val="-3"/>
          <w:w w:val="105"/>
          <w:sz w:val="21"/>
        </w:rPr>
        <w:t> </w:t>
      </w:r>
      <w:r>
        <w:rPr>
          <w:color w:val="0F0F0F"/>
          <w:spacing w:val="-2"/>
          <w:w w:val="105"/>
          <w:sz w:val="21"/>
        </w:rPr>
        <w:t>Strategy</w:t>
      </w:r>
    </w:p>
    <w:p>
      <w:pPr>
        <w:pStyle w:val="ListParagraph"/>
        <w:numPr>
          <w:ilvl w:val="0"/>
          <w:numId w:val="30"/>
        </w:numPr>
        <w:tabs>
          <w:tab w:val="left" w:leader="none" w:pos="1274"/>
        </w:tabs>
        <w:spacing w:before="28" w:after="0" w:line="249" w:lineRule="auto"/>
        <w:ind w:left="1274" w:right="705" w:hanging="423"/>
        <w:jc w:val="left"/>
        <w:rPr>
          <w:sz w:val="21"/>
        </w:rPr>
      </w:pPr>
      <w:r>
        <w:rPr>
          <w:color w:val="0F0F0F"/>
          <w:w w:val="105"/>
          <w:sz w:val="21"/>
        </w:rPr>
        <w:t>Local</w:t>
      </w:r>
      <w:r>
        <w:rPr>
          <w:color w:val="0F0F0F"/>
          <w:spacing w:val="-10"/>
          <w:w w:val="105"/>
          <w:sz w:val="21"/>
        </w:rPr>
        <w:t> </w:t>
      </w:r>
      <w:r>
        <w:rPr>
          <w:color w:val="0F0F0F"/>
          <w:w w:val="105"/>
          <w:sz w:val="21"/>
        </w:rPr>
        <w:t>Development Documents which</w:t>
      </w:r>
      <w:r>
        <w:rPr>
          <w:color w:val="0F0F0F"/>
          <w:spacing w:val="-15"/>
          <w:w w:val="105"/>
          <w:sz w:val="21"/>
        </w:rPr>
        <w:t> </w:t>
      </w:r>
      <w:r>
        <w:rPr>
          <w:color w:val="0F0F0F"/>
          <w:w w:val="105"/>
          <w:sz w:val="21"/>
        </w:rPr>
        <w:t>include</w:t>
      </w:r>
      <w:r>
        <w:rPr>
          <w:color w:val="0F0F0F"/>
          <w:spacing w:val="-5"/>
          <w:w w:val="105"/>
          <w:sz w:val="21"/>
        </w:rPr>
        <w:t> </w:t>
      </w:r>
      <w:r>
        <w:rPr>
          <w:color w:val="0F0F0F"/>
          <w:w w:val="105"/>
          <w:sz w:val="21"/>
        </w:rPr>
        <w:t>the</w:t>
      </w:r>
      <w:r>
        <w:rPr>
          <w:color w:val="0F0F0F"/>
          <w:spacing w:val="-9"/>
          <w:w w:val="105"/>
          <w:sz w:val="21"/>
        </w:rPr>
        <w:t> </w:t>
      </w:r>
      <w:r>
        <w:rPr>
          <w:color w:val="0F0F0F"/>
          <w:w w:val="105"/>
          <w:sz w:val="21"/>
        </w:rPr>
        <w:t>Local</w:t>
      </w:r>
      <w:r>
        <w:rPr>
          <w:color w:val="0F0F0F"/>
          <w:spacing w:val="-10"/>
          <w:w w:val="105"/>
          <w:sz w:val="21"/>
        </w:rPr>
        <w:t> </w:t>
      </w:r>
      <w:r>
        <w:rPr>
          <w:color w:val="0F0F0F"/>
          <w:w w:val="105"/>
          <w:sz w:val="21"/>
        </w:rPr>
        <w:t>Development Framework;</w:t>
      </w:r>
      <w:r>
        <w:rPr>
          <w:color w:val="0F0F0F"/>
          <w:spacing w:val="-1"/>
          <w:w w:val="105"/>
          <w:sz w:val="21"/>
        </w:rPr>
        <w:t> </w:t>
      </w:r>
      <w:r>
        <w:rPr>
          <w:color w:val="0F0F0F"/>
          <w:w w:val="105"/>
          <w:sz w:val="21"/>
        </w:rPr>
        <w:t>the</w:t>
      </w:r>
      <w:r>
        <w:rPr>
          <w:color w:val="0F0F0F"/>
          <w:spacing w:val="-10"/>
          <w:w w:val="105"/>
          <w:sz w:val="21"/>
        </w:rPr>
        <w:t> </w:t>
      </w:r>
      <w:r>
        <w:rPr>
          <w:color w:val="0F0F0F"/>
          <w:w w:val="105"/>
          <w:sz w:val="21"/>
        </w:rPr>
        <w:t>Local Plan Core Strategy and</w:t>
      </w:r>
      <w:r>
        <w:rPr>
          <w:color w:val="0F0F0F"/>
          <w:spacing w:val="-8"/>
          <w:w w:val="105"/>
          <w:sz w:val="21"/>
        </w:rPr>
        <w:t> </w:t>
      </w:r>
      <w:r>
        <w:rPr>
          <w:color w:val="0F0F0F"/>
          <w:w w:val="105"/>
          <w:sz w:val="21"/>
        </w:rPr>
        <w:t>Site Allocation and</w:t>
      </w:r>
      <w:r>
        <w:rPr>
          <w:color w:val="0F0F0F"/>
          <w:spacing w:val="-2"/>
          <w:w w:val="105"/>
          <w:sz w:val="21"/>
        </w:rPr>
        <w:t> </w:t>
      </w:r>
      <w:r>
        <w:rPr>
          <w:color w:val="0F0F0F"/>
          <w:w w:val="105"/>
          <w:sz w:val="21"/>
        </w:rPr>
        <w:t>Development Management Development Plan </w:t>
      </w:r>
      <w:r>
        <w:rPr>
          <w:color w:val="0F0F0F"/>
          <w:spacing w:val="-2"/>
          <w:w w:val="105"/>
          <w:sz w:val="21"/>
        </w:rPr>
        <w:t>Document</w:t>
      </w:r>
    </w:p>
    <w:p>
      <w:pPr>
        <w:pStyle w:val="ListParagraph"/>
        <w:numPr>
          <w:ilvl w:val="0"/>
          <w:numId w:val="30"/>
        </w:numPr>
        <w:tabs>
          <w:tab w:val="left" w:leader="none" w:pos="1274"/>
        </w:tabs>
        <w:spacing w:before="25" w:after="0" w:line="240" w:lineRule="auto"/>
        <w:ind w:left="1274" w:right="0" w:hanging="418"/>
        <w:jc w:val="left"/>
        <w:rPr>
          <w:sz w:val="21"/>
        </w:rPr>
      </w:pPr>
      <w:r>
        <w:rPr>
          <w:color w:val="0F0F0F"/>
          <w:w w:val="105"/>
          <w:sz w:val="21"/>
        </w:rPr>
        <w:t>Risk</w:t>
      </w:r>
      <w:r>
        <w:rPr>
          <w:color w:val="0F0F0F"/>
          <w:spacing w:val="-15"/>
          <w:w w:val="105"/>
          <w:sz w:val="21"/>
        </w:rPr>
        <w:t> </w:t>
      </w:r>
      <w:r>
        <w:rPr>
          <w:color w:val="0F0F0F"/>
          <w:w w:val="105"/>
          <w:sz w:val="21"/>
        </w:rPr>
        <w:t>Management</w:t>
      </w:r>
      <w:r>
        <w:rPr>
          <w:color w:val="0F0F0F"/>
          <w:spacing w:val="4"/>
          <w:w w:val="105"/>
          <w:sz w:val="21"/>
        </w:rPr>
        <w:t> </w:t>
      </w:r>
      <w:r>
        <w:rPr>
          <w:color w:val="0F0F0F"/>
          <w:spacing w:val="-2"/>
          <w:w w:val="105"/>
          <w:sz w:val="21"/>
        </w:rPr>
        <w:t>Strategy</w:t>
      </w:r>
    </w:p>
    <w:p>
      <w:pPr>
        <w:pStyle w:val="ListParagraph"/>
        <w:numPr>
          <w:ilvl w:val="0"/>
          <w:numId w:val="30"/>
        </w:numPr>
        <w:tabs>
          <w:tab w:val="left" w:leader="none" w:pos="1276"/>
        </w:tabs>
        <w:spacing w:before="23" w:after="0" w:line="240" w:lineRule="auto"/>
        <w:ind w:left="1276" w:right="0" w:hanging="420"/>
        <w:jc w:val="left"/>
        <w:rPr>
          <w:sz w:val="21"/>
        </w:rPr>
      </w:pPr>
      <w:r>
        <w:rPr>
          <w:color w:val="0F0F0F"/>
          <w:w w:val="105"/>
          <w:sz w:val="21"/>
        </w:rPr>
        <w:t>The</w:t>
      </w:r>
      <w:r>
        <w:rPr>
          <w:color w:val="0F0F0F"/>
          <w:spacing w:val="-4"/>
          <w:w w:val="105"/>
          <w:sz w:val="21"/>
        </w:rPr>
        <w:t> </w:t>
      </w:r>
      <w:r>
        <w:rPr>
          <w:color w:val="0F0F0F"/>
          <w:w w:val="105"/>
          <w:sz w:val="21"/>
        </w:rPr>
        <w:t>Local</w:t>
      </w:r>
      <w:r>
        <w:rPr>
          <w:color w:val="0F0F0F"/>
          <w:spacing w:val="-8"/>
          <w:w w:val="105"/>
          <w:sz w:val="21"/>
        </w:rPr>
        <w:t> </w:t>
      </w:r>
      <w:r>
        <w:rPr>
          <w:color w:val="0F0F0F"/>
          <w:w w:val="105"/>
          <w:sz w:val="21"/>
        </w:rPr>
        <w:t>Code</w:t>
      </w:r>
      <w:r>
        <w:rPr>
          <w:color w:val="0F0F0F"/>
          <w:spacing w:val="-2"/>
          <w:w w:val="105"/>
          <w:sz w:val="21"/>
        </w:rPr>
        <w:t> </w:t>
      </w:r>
      <w:r>
        <w:rPr>
          <w:color w:val="0F0F0F"/>
          <w:w w:val="105"/>
          <w:sz w:val="21"/>
        </w:rPr>
        <w:t>of</w:t>
      </w:r>
      <w:r>
        <w:rPr>
          <w:color w:val="0F0F0F"/>
          <w:spacing w:val="-9"/>
          <w:w w:val="105"/>
          <w:sz w:val="21"/>
        </w:rPr>
        <w:t> </w:t>
      </w:r>
      <w:r>
        <w:rPr>
          <w:color w:val="0F0F0F"/>
          <w:spacing w:val="-2"/>
          <w:w w:val="105"/>
          <w:sz w:val="21"/>
        </w:rPr>
        <w:t>Governance</w:t>
      </w:r>
    </w:p>
    <w:p>
      <w:pPr>
        <w:pStyle w:val="ListParagraph"/>
        <w:numPr>
          <w:ilvl w:val="0"/>
          <w:numId w:val="30"/>
        </w:numPr>
        <w:tabs>
          <w:tab w:val="left" w:leader="none" w:pos="1276"/>
        </w:tabs>
        <w:spacing w:before="28" w:after="0" w:line="240" w:lineRule="auto"/>
        <w:ind w:left="1276" w:right="0" w:hanging="420"/>
        <w:jc w:val="left"/>
        <w:rPr>
          <w:sz w:val="21"/>
        </w:rPr>
      </w:pPr>
      <w:r>
        <w:rPr>
          <w:color w:val="0F0F0F"/>
          <w:w w:val="105"/>
          <w:sz w:val="21"/>
        </w:rPr>
        <w:t>Treasury</w:t>
      </w:r>
      <w:r>
        <w:rPr>
          <w:color w:val="0F0F0F"/>
          <w:spacing w:val="-10"/>
          <w:w w:val="105"/>
          <w:sz w:val="21"/>
        </w:rPr>
        <w:t> </w:t>
      </w:r>
      <w:r>
        <w:rPr>
          <w:color w:val="0F0F0F"/>
          <w:w w:val="105"/>
          <w:sz w:val="21"/>
        </w:rPr>
        <w:t>Management</w:t>
      </w:r>
      <w:r>
        <w:rPr>
          <w:color w:val="0F0F0F"/>
          <w:spacing w:val="-7"/>
          <w:w w:val="105"/>
          <w:sz w:val="21"/>
        </w:rPr>
        <w:t> </w:t>
      </w:r>
      <w:r>
        <w:rPr>
          <w:color w:val="0F0F0F"/>
          <w:spacing w:val="-2"/>
          <w:w w:val="105"/>
          <w:sz w:val="21"/>
        </w:rPr>
        <w:t>Strategy</w:t>
      </w:r>
    </w:p>
    <w:p>
      <w:pPr>
        <w:pStyle w:val="ListParagraph"/>
        <w:numPr>
          <w:ilvl w:val="0"/>
          <w:numId w:val="30"/>
        </w:numPr>
        <w:tabs>
          <w:tab w:val="left" w:leader="none" w:pos="1273"/>
        </w:tabs>
        <w:spacing w:before="27" w:after="0" w:line="240" w:lineRule="auto"/>
        <w:ind w:left="1273" w:right="0" w:hanging="412"/>
        <w:jc w:val="left"/>
        <w:rPr>
          <w:sz w:val="21"/>
        </w:rPr>
      </w:pPr>
      <w:r>
        <w:rPr>
          <w:color w:val="0F0F0F"/>
          <w:w w:val="105"/>
          <w:sz w:val="21"/>
        </w:rPr>
        <w:t>Workforce</w:t>
      </w:r>
      <w:r>
        <w:rPr>
          <w:color w:val="0F0F0F"/>
          <w:spacing w:val="-6"/>
          <w:w w:val="105"/>
          <w:sz w:val="21"/>
        </w:rPr>
        <w:t> </w:t>
      </w:r>
      <w:r>
        <w:rPr>
          <w:color w:val="0F0F0F"/>
          <w:spacing w:val="-2"/>
          <w:w w:val="105"/>
          <w:sz w:val="21"/>
        </w:rPr>
        <w:t>Strategy</w:t>
      </w:r>
    </w:p>
    <w:p>
      <w:pPr>
        <w:pStyle w:val="BodyText"/>
        <w:spacing w:before="22"/>
        <w:rPr>
          <w:sz w:val="21"/>
        </w:rPr>
      </w:pPr>
    </w:p>
    <w:p>
      <w:pPr>
        <w:pStyle w:val="ListParagraph"/>
        <w:numPr>
          <w:ilvl w:val="0"/>
          <w:numId w:val="29"/>
        </w:numPr>
        <w:tabs>
          <w:tab w:val="left" w:leader="none" w:pos="853"/>
        </w:tabs>
        <w:spacing w:before="0" w:after="0" w:line="240" w:lineRule="auto"/>
        <w:ind w:left="853" w:right="0" w:hanging="706"/>
        <w:jc w:val="left"/>
        <w:rPr>
          <w:color w:val="0F0F0F"/>
          <w:sz w:val="21"/>
        </w:rPr>
      </w:pPr>
      <w:r>
        <w:rPr>
          <w:color w:val="0F0F0F"/>
          <w:w w:val="105"/>
          <w:sz w:val="21"/>
        </w:rPr>
        <w:t>The</w:t>
      </w:r>
      <w:r>
        <w:rPr>
          <w:color w:val="0F0F0F"/>
          <w:spacing w:val="-15"/>
          <w:w w:val="105"/>
          <w:sz w:val="21"/>
        </w:rPr>
        <w:t> </w:t>
      </w:r>
      <w:r>
        <w:rPr>
          <w:color w:val="0F0F0F"/>
          <w:w w:val="105"/>
          <w:sz w:val="21"/>
        </w:rPr>
        <w:t>Council</w:t>
      </w:r>
      <w:r>
        <w:rPr>
          <w:color w:val="0F0F0F"/>
          <w:spacing w:val="-1"/>
          <w:w w:val="105"/>
          <w:sz w:val="21"/>
        </w:rPr>
        <w:t> </w:t>
      </w:r>
      <w:r>
        <w:rPr>
          <w:color w:val="0F0F0F"/>
          <w:w w:val="105"/>
          <w:sz w:val="21"/>
        </w:rPr>
        <w:t>has</w:t>
      </w:r>
      <w:r>
        <w:rPr>
          <w:color w:val="0F0F0F"/>
          <w:spacing w:val="-7"/>
          <w:w w:val="105"/>
          <w:sz w:val="21"/>
        </w:rPr>
        <w:t> </w:t>
      </w:r>
      <w:r>
        <w:rPr>
          <w:color w:val="0F0F0F"/>
          <w:w w:val="105"/>
          <w:sz w:val="21"/>
        </w:rPr>
        <w:t>an</w:t>
      </w:r>
      <w:r>
        <w:rPr>
          <w:color w:val="0F0F0F"/>
          <w:spacing w:val="-14"/>
          <w:w w:val="105"/>
          <w:sz w:val="21"/>
        </w:rPr>
        <w:t> </w:t>
      </w:r>
      <w:r>
        <w:rPr>
          <w:color w:val="0F0F0F"/>
          <w:w w:val="105"/>
          <w:sz w:val="21"/>
        </w:rPr>
        <w:t>approved</w:t>
      </w:r>
      <w:r>
        <w:rPr>
          <w:color w:val="0F0F0F"/>
          <w:spacing w:val="-5"/>
          <w:w w:val="105"/>
          <w:sz w:val="21"/>
        </w:rPr>
        <w:t> </w:t>
      </w:r>
      <w:r>
        <w:rPr>
          <w:color w:val="0F0F0F"/>
          <w:w w:val="105"/>
          <w:sz w:val="21"/>
        </w:rPr>
        <w:t>Risk</w:t>
      </w:r>
      <w:r>
        <w:rPr>
          <w:color w:val="0F0F0F"/>
          <w:spacing w:val="-10"/>
          <w:w w:val="105"/>
          <w:sz w:val="21"/>
        </w:rPr>
        <w:t> </w:t>
      </w:r>
      <w:r>
        <w:rPr>
          <w:color w:val="0F0F0F"/>
          <w:w w:val="105"/>
          <w:sz w:val="21"/>
        </w:rPr>
        <w:t>Management</w:t>
      </w:r>
      <w:r>
        <w:rPr>
          <w:color w:val="0F0F0F"/>
          <w:spacing w:val="8"/>
          <w:w w:val="105"/>
          <w:sz w:val="21"/>
        </w:rPr>
        <w:t> </w:t>
      </w:r>
      <w:r>
        <w:rPr>
          <w:color w:val="0F0F0F"/>
          <w:w w:val="105"/>
          <w:sz w:val="21"/>
        </w:rPr>
        <w:t>Strategy,</w:t>
      </w:r>
      <w:r>
        <w:rPr>
          <w:color w:val="0F0F0F"/>
          <w:spacing w:val="-1"/>
          <w:w w:val="105"/>
          <w:sz w:val="21"/>
        </w:rPr>
        <w:t> </w:t>
      </w:r>
      <w:r>
        <w:rPr>
          <w:color w:val="0F0F0F"/>
          <w:w w:val="105"/>
          <w:sz w:val="21"/>
        </w:rPr>
        <w:t>which</w:t>
      </w:r>
      <w:r>
        <w:rPr>
          <w:color w:val="0F0F0F"/>
          <w:spacing w:val="-4"/>
          <w:w w:val="105"/>
          <w:sz w:val="21"/>
        </w:rPr>
        <w:t> </w:t>
      </w:r>
      <w:r>
        <w:rPr>
          <w:color w:val="0F0F0F"/>
          <w:w w:val="105"/>
          <w:sz w:val="21"/>
        </w:rPr>
        <w:t>sets</w:t>
      </w:r>
      <w:r>
        <w:rPr>
          <w:color w:val="0F0F0F"/>
          <w:spacing w:val="-3"/>
          <w:w w:val="105"/>
          <w:sz w:val="21"/>
        </w:rPr>
        <w:t> </w:t>
      </w:r>
      <w:r>
        <w:rPr>
          <w:color w:val="0F0F0F"/>
          <w:spacing w:val="-4"/>
          <w:w w:val="105"/>
          <w:sz w:val="21"/>
        </w:rPr>
        <w:t>out:</w:t>
      </w:r>
    </w:p>
    <w:p>
      <w:pPr>
        <w:pStyle w:val="BodyText"/>
        <w:spacing w:before="41"/>
        <w:rPr>
          <w:sz w:val="21"/>
        </w:rPr>
      </w:pPr>
    </w:p>
    <w:p>
      <w:pPr>
        <w:pStyle w:val="ListParagraph"/>
        <w:numPr>
          <w:ilvl w:val="0"/>
          <w:numId w:val="31"/>
        </w:numPr>
        <w:tabs>
          <w:tab w:val="left" w:leader="none" w:pos="1277"/>
        </w:tabs>
        <w:spacing w:before="0" w:after="0" w:line="240" w:lineRule="auto"/>
        <w:ind w:left="1277" w:right="0" w:hanging="416"/>
        <w:jc w:val="left"/>
        <w:rPr>
          <w:sz w:val="21"/>
        </w:rPr>
      </w:pPr>
      <w:r>
        <w:rPr>
          <w:color w:val="0F0F0F"/>
          <w:w w:val="105"/>
          <w:sz w:val="21"/>
        </w:rPr>
        <w:t>the</w:t>
      </w:r>
      <w:r>
        <w:rPr>
          <w:color w:val="0F0F0F"/>
          <w:spacing w:val="-14"/>
          <w:w w:val="105"/>
          <w:sz w:val="21"/>
        </w:rPr>
        <w:t> </w:t>
      </w:r>
      <w:r>
        <w:rPr>
          <w:color w:val="0F0F0F"/>
          <w:w w:val="105"/>
          <w:sz w:val="21"/>
        </w:rPr>
        <w:t>key</w:t>
      </w:r>
      <w:r>
        <w:rPr>
          <w:color w:val="0F0F0F"/>
          <w:spacing w:val="-5"/>
          <w:w w:val="105"/>
          <w:sz w:val="21"/>
        </w:rPr>
        <w:t> </w:t>
      </w:r>
      <w:r>
        <w:rPr>
          <w:color w:val="0F0F0F"/>
          <w:w w:val="105"/>
          <w:sz w:val="21"/>
        </w:rPr>
        <w:t>features</w:t>
      </w:r>
      <w:r>
        <w:rPr>
          <w:color w:val="0F0F0F"/>
          <w:spacing w:val="7"/>
          <w:w w:val="105"/>
          <w:sz w:val="21"/>
        </w:rPr>
        <w:t> </w:t>
      </w:r>
      <w:r>
        <w:rPr>
          <w:color w:val="0F0F0F"/>
          <w:w w:val="105"/>
          <w:sz w:val="21"/>
        </w:rPr>
        <w:t>of</w:t>
      </w:r>
      <w:r>
        <w:rPr>
          <w:color w:val="0F0F0F"/>
          <w:spacing w:val="-9"/>
          <w:w w:val="105"/>
          <w:sz w:val="21"/>
        </w:rPr>
        <w:t> </w:t>
      </w:r>
      <w:r>
        <w:rPr>
          <w:color w:val="0F0F0F"/>
          <w:w w:val="105"/>
          <w:sz w:val="21"/>
        </w:rPr>
        <w:t>its</w:t>
      </w:r>
      <w:r>
        <w:rPr>
          <w:color w:val="0F0F0F"/>
          <w:spacing w:val="-10"/>
          <w:w w:val="105"/>
          <w:sz w:val="21"/>
        </w:rPr>
        <w:t> </w:t>
      </w:r>
      <w:r>
        <w:rPr>
          <w:color w:val="0F0F0F"/>
          <w:w w:val="105"/>
          <w:sz w:val="21"/>
        </w:rPr>
        <w:t>risk</w:t>
      </w:r>
      <w:r>
        <w:rPr>
          <w:color w:val="0F0F0F"/>
          <w:spacing w:val="-11"/>
          <w:w w:val="105"/>
          <w:sz w:val="21"/>
        </w:rPr>
        <w:t> </w:t>
      </w:r>
      <w:r>
        <w:rPr>
          <w:color w:val="0F0F0F"/>
          <w:w w:val="105"/>
          <w:sz w:val="21"/>
        </w:rPr>
        <w:t>management</w:t>
      </w:r>
      <w:r>
        <w:rPr>
          <w:color w:val="0F0F0F"/>
          <w:spacing w:val="14"/>
          <w:w w:val="105"/>
          <w:sz w:val="21"/>
        </w:rPr>
        <w:t> </w:t>
      </w:r>
      <w:r>
        <w:rPr>
          <w:color w:val="0F0F0F"/>
          <w:spacing w:val="-2"/>
          <w:w w:val="105"/>
          <w:sz w:val="21"/>
        </w:rPr>
        <w:t>system</w:t>
      </w:r>
    </w:p>
    <w:p>
      <w:pPr>
        <w:pStyle w:val="ListParagraph"/>
        <w:numPr>
          <w:ilvl w:val="0"/>
          <w:numId w:val="31"/>
        </w:numPr>
        <w:tabs>
          <w:tab w:val="left" w:leader="none" w:pos="1277"/>
        </w:tabs>
        <w:spacing w:before="27" w:after="0" w:line="240" w:lineRule="auto"/>
        <w:ind w:left="1277" w:right="0" w:hanging="421"/>
        <w:jc w:val="left"/>
        <w:rPr>
          <w:sz w:val="21"/>
        </w:rPr>
      </w:pPr>
      <w:r>
        <w:rPr>
          <w:color w:val="0F0F0F"/>
          <w:w w:val="105"/>
          <w:sz w:val="21"/>
        </w:rPr>
        <w:t>roles and</w:t>
      </w:r>
      <w:r>
        <w:rPr>
          <w:color w:val="0F0F0F"/>
          <w:spacing w:val="-10"/>
          <w:w w:val="105"/>
          <w:sz w:val="21"/>
        </w:rPr>
        <w:t> </w:t>
      </w:r>
      <w:r>
        <w:rPr>
          <w:color w:val="0F0F0F"/>
          <w:w w:val="105"/>
          <w:sz w:val="21"/>
        </w:rPr>
        <w:t>responsibilities</w:t>
      </w:r>
      <w:r>
        <w:rPr>
          <w:color w:val="0F0F0F"/>
          <w:spacing w:val="-10"/>
          <w:w w:val="105"/>
          <w:sz w:val="21"/>
        </w:rPr>
        <w:t> </w:t>
      </w:r>
      <w:r>
        <w:rPr>
          <w:color w:val="0F0F0F"/>
          <w:w w:val="105"/>
          <w:sz w:val="21"/>
        </w:rPr>
        <w:t>with</w:t>
      </w:r>
      <w:r>
        <w:rPr>
          <w:color w:val="0F0F0F"/>
          <w:spacing w:val="-1"/>
          <w:w w:val="105"/>
          <w:sz w:val="21"/>
        </w:rPr>
        <w:t> </w:t>
      </w:r>
      <w:r>
        <w:rPr>
          <w:color w:val="0F0F0F"/>
          <w:w w:val="105"/>
          <w:sz w:val="21"/>
        </w:rPr>
        <w:t>regard to</w:t>
      </w:r>
      <w:r>
        <w:rPr>
          <w:color w:val="0F0F0F"/>
          <w:spacing w:val="-6"/>
          <w:w w:val="105"/>
          <w:sz w:val="21"/>
        </w:rPr>
        <w:t> </w:t>
      </w:r>
      <w:r>
        <w:rPr>
          <w:color w:val="0F0F0F"/>
          <w:w w:val="105"/>
          <w:sz w:val="21"/>
        </w:rPr>
        <w:t>risk</w:t>
      </w:r>
      <w:r>
        <w:rPr>
          <w:color w:val="0F0F0F"/>
          <w:spacing w:val="-1"/>
          <w:w w:val="105"/>
          <w:sz w:val="21"/>
        </w:rPr>
        <w:t> </w:t>
      </w:r>
      <w:r>
        <w:rPr>
          <w:color w:val="0F0F0F"/>
          <w:spacing w:val="-2"/>
          <w:w w:val="105"/>
          <w:sz w:val="21"/>
        </w:rPr>
        <w:t>management</w:t>
      </w:r>
    </w:p>
    <w:p>
      <w:pPr>
        <w:pStyle w:val="ListParagraph"/>
        <w:numPr>
          <w:ilvl w:val="0"/>
          <w:numId w:val="31"/>
        </w:numPr>
        <w:tabs>
          <w:tab w:val="left" w:leader="none" w:pos="1276"/>
        </w:tabs>
        <w:spacing w:before="28" w:after="0" w:line="240" w:lineRule="auto"/>
        <w:ind w:left="1276" w:right="0" w:hanging="420"/>
        <w:jc w:val="left"/>
        <w:rPr>
          <w:sz w:val="21"/>
        </w:rPr>
      </w:pPr>
      <w:r>
        <w:rPr>
          <w:color w:val="0F0F0F"/>
          <w:w w:val="105"/>
          <w:sz w:val="21"/>
        </w:rPr>
        <w:t>its</w:t>
      </w:r>
      <w:r>
        <w:rPr>
          <w:color w:val="0F0F0F"/>
          <w:spacing w:val="-9"/>
          <w:w w:val="105"/>
          <w:sz w:val="21"/>
        </w:rPr>
        <w:t> </w:t>
      </w:r>
      <w:r>
        <w:rPr>
          <w:color w:val="0F0F0F"/>
          <w:w w:val="105"/>
          <w:sz w:val="21"/>
        </w:rPr>
        <w:t>overall</w:t>
      </w:r>
      <w:r>
        <w:rPr>
          <w:color w:val="0F0F0F"/>
          <w:spacing w:val="-6"/>
          <w:w w:val="105"/>
          <w:sz w:val="21"/>
        </w:rPr>
        <w:t> </w:t>
      </w:r>
      <w:r>
        <w:rPr>
          <w:color w:val="0F0F0F"/>
          <w:w w:val="105"/>
          <w:sz w:val="21"/>
        </w:rPr>
        <w:t>approach</w:t>
      </w:r>
      <w:r>
        <w:rPr>
          <w:color w:val="0F0F0F"/>
          <w:spacing w:val="-4"/>
          <w:w w:val="105"/>
          <w:sz w:val="21"/>
        </w:rPr>
        <w:t> </w:t>
      </w:r>
      <w:r>
        <w:rPr>
          <w:color w:val="0F0F0F"/>
          <w:w w:val="105"/>
          <w:sz w:val="21"/>
        </w:rPr>
        <w:t>to</w:t>
      </w:r>
      <w:r>
        <w:rPr>
          <w:color w:val="0F0F0F"/>
          <w:spacing w:val="-14"/>
          <w:w w:val="105"/>
          <w:sz w:val="21"/>
        </w:rPr>
        <w:t> </w:t>
      </w:r>
      <w:r>
        <w:rPr>
          <w:color w:val="0F0F0F"/>
          <w:w w:val="105"/>
          <w:sz w:val="21"/>
        </w:rPr>
        <w:t>the</w:t>
      </w:r>
      <w:r>
        <w:rPr>
          <w:color w:val="0F0F0F"/>
          <w:spacing w:val="-12"/>
          <w:w w:val="105"/>
          <w:sz w:val="21"/>
        </w:rPr>
        <w:t> </w:t>
      </w:r>
      <w:r>
        <w:rPr>
          <w:color w:val="0F0F0F"/>
          <w:w w:val="105"/>
          <w:sz w:val="21"/>
        </w:rPr>
        <w:t>management</w:t>
      </w:r>
      <w:r>
        <w:rPr>
          <w:color w:val="0F0F0F"/>
          <w:spacing w:val="13"/>
          <w:w w:val="105"/>
          <w:sz w:val="21"/>
        </w:rPr>
        <w:t> </w:t>
      </w:r>
      <w:r>
        <w:rPr>
          <w:color w:val="0F0F0F"/>
          <w:w w:val="105"/>
          <w:sz w:val="21"/>
        </w:rPr>
        <w:t>of</w:t>
      </w:r>
      <w:r>
        <w:rPr>
          <w:color w:val="0F0F0F"/>
          <w:spacing w:val="-12"/>
          <w:w w:val="105"/>
          <w:sz w:val="21"/>
        </w:rPr>
        <w:t> </w:t>
      </w:r>
      <w:r>
        <w:rPr>
          <w:color w:val="0F0F0F"/>
          <w:spacing w:val="-4"/>
          <w:w w:val="105"/>
          <w:sz w:val="21"/>
        </w:rPr>
        <w:t>risk</w:t>
      </w:r>
    </w:p>
    <w:p>
      <w:pPr>
        <w:pStyle w:val="ListParagraph"/>
        <w:numPr>
          <w:ilvl w:val="0"/>
          <w:numId w:val="31"/>
        </w:numPr>
        <w:tabs>
          <w:tab w:val="left" w:leader="none" w:pos="1278"/>
        </w:tabs>
        <w:spacing w:before="23" w:after="0" w:line="240" w:lineRule="auto"/>
        <w:ind w:left="1278" w:right="0" w:hanging="422"/>
        <w:jc w:val="left"/>
        <w:rPr>
          <w:sz w:val="21"/>
        </w:rPr>
      </w:pPr>
      <w:r>
        <w:rPr>
          <w:color w:val="0F0F0F"/>
          <w:w w:val="105"/>
          <w:sz w:val="21"/>
        </w:rPr>
        <w:t>actions to</w:t>
      </w:r>
      <w:r>
        <w:rPr>
          <w:color w:val="0F0F0F"/>
          <w:spacing w:val="-12"/>
          <w:w w:val="105"/>
          <w:sz w:val="21"/>
        </w:rPr>
        <w:t> </w:t>
      </w:r>
      <w:r>
        <w:rPr>
          <w:color w:val="0F0F0F"/>
          <w:w w:val="105"/>
          <w:sz w:val="21"/>
        </w:rPr>
        <w:t>embed</w:t>
      </w:r>
      <w:r>
        <w:rPr>
          <w:color w:val="0F0F0F"/>
          <w:spacing w:val="-7"/>
          <w:w w:val="105"/>
          <w:sz w:val="21"/>
        </w:rPr>
        <w:t> </w:t>
      </w:r>
      <w:r>
        <w:rPr>
          <w:color w:val="0F0F0F"/>
          <w:w w:val="105"/>
          <w:sz w:val="21"/>
        </w:rPr>
        <w:t>the</w:t>
      </w:r>
      <w:r>
        <w:rPr>
          <w:color w:val="0F0F0F"/>
          <w:spacing w:val="-2"/>
          <w:w w:val="105"/>
          <w:sz w:val="21"/>
        </w:rPr>
        <w:t> </w:t>
      </w:r>
      <w:r>
        <w:rPr>
          <w:color w:val="0F0F0F"/>
          <w:w w:val="105"/>
          <w:sz w:val="21"/>
        </w:rPr>
        <w:t>process</w:t>
      </w:r>
      <w:r>
        <w:rPr>
          <w:color w:val="0F0F0F"/>
          <w:spacing w:val="5"/>
          <w:w w:val="105"/>
          <w:sz w:val="21"/>
        </w:rPr>
        <w:t> </w:t>
      </w:r>
      <w:r>
        <w:rPr>
          <w:color w:val="0F0F0F"/>
          <w:w w:val="105"/>
          <w:sz w:val="21"/>
        </w:rPr>
        <w:t>in</w:t>
      </w:r>
      <w:r>
        <w:rPr>
          <w:color w:val="0F0F0F"/>
          <w:spacing w:val="-15"/>
          <w:w w:val="105"/>
          <w:sz w:val="21"/>
        </w:rPr>
        <w:t> </w:t>
      </w:r>
      <w:r>
        <w:rPr>
          <w:color w:val="0F0F0F"/>
          <w:w w:val="105"/>
          <w:sz w:val="21"/>
        </w:rPr>
        <w:t>future</w:t>
      </w:r>
      <w:r>
        <w:rPr>
          <w:color w:val="0F0F0F"/>
          <w:spacing w:val="1"/>
          <w:w w:val="105"/>
          <w:sz w:val="21"/>
        </w:rPr>
        <w:t> </w:t>
      </w:r>
      <w:r>
        <w:rPr>
          <w:color w:val="0F0F0F"/>
          <w:spacing w:val="-2"/>
          <w:w w:val="105"/>
          <w:sz w:val="21"/>
        </w:rPr>
        <w:t>periods</w:t>
      </w:r>
    </w:p>
    <w:p>
      <w:pPr>
        <w:pStyle w:val="BodyText"/>
        <w:spacing w:before="26"/>
        <w:rPr>
          <w:sz w:val="21"/>
        </w:rPr>
      </w:pPr>
    </w:p>
    <w:p>
      <w:pPr>
        <w:pStyle w:val="ListParagraph"/>
        <w:numPr>
          <w:ilvl w:val="0"/>
          <w:numId w:val="29"/>
        </w:numPr>
        <w:tabs>
          <w:tab w:val="left" w:leader="none" w:pos="853"/>
          <w:tab w:val="left" w:leader="none" w:pos="858"/>
        </w:tabs>
        <w:spacing w:before="0" w:after="0" w:line="249" w:lineRule="auto"/>
        <w:ind w:left="858" w:right="376" w:hanging="712"/>
        <w:jc w:val="left"/>
        <w:rPr>
          <w:color w:val="0F0F0F"/>
          <w:sz w:val="21"/>
        </w:rPr>
      </w:pPr>
      <w:r>
        <w:rPr>
          <w:color w:val="0F0F0F"/>
          <w:w w:val="105"/>
          <w:sz w:val="21"/>
        </w:rPr>
        <w:t>The Council's Risk Register is recorded on</w:t>
      </w:r>
      <w:r>
        <w:rPr>
          <w:color w:val="0F0F0F"/>
          <w:spacing w:val="-3"/>
          <w:w w:val="105"/>
          <w:sz w:val="21"/>
        </w:rPr>
        <w:t> </w:t>
      </w:r>
      <w:r>
        <w:rPr>
          <w:color w:val="0F0F0F"/>
          <w:w w:val="105"/>
          <w:sz w:val="21"/>
        </w:rPr>
        <w:t>Pentana the Council's Performance and</w:t>
      </w:r>
      <w:r>
        <w:rPr>
          <w:color w:val="0F0F0F"/>
          <w:spacing w:val="-1"/>
          <w:w w:val="105"/>
          <w:sz w:val="21"/>
        </w:rPr>
        <w:t> </w:t>
      </w:r>
      <w:r>
        <w:rPr>
          <w:color w:val="0F0F0F"/>
          <w:w w:val="105"/>
          <w:sz w:val="21"/>
        </w:rPr>
        <w:t>Risk management software. This </w:t>
      </w:r>
      <w:r>
        <w:rPr>
          <w:color w:val="464646"/>
          <w:w w:val="105"/>
          <w:sz w:val="21"/>
        </w:rPr>
        <w:t>i</w:t>
      </w:r>
      <w:r>
        <w:rPr>
          <w:color w:val="0F0F0F"/>
          <w:w w:val="105"/>
          <w:sz w:val="21"/>
        </w:rPr>
        <w:t>ncludes both Strategic and</w:t>
      </w:r>
      <w:r>
        <w:rPr>
          <w:color w:val="0F0F0F"/>
          <w:spacing w:val="-3"/>
          <w:w w:val="105"/>
          <w:sz w:val="21"/>
        </w:rPr>
        <w:t> </w:t>
      </w:r>
      <w:r>
        <w:rPr>
          <w:color w:val="0F0F0F"/>
          <w:w w:val="105"/>
          <w:sz w:val="21"/>
        </w:rPr>
        <w:t>Operational risks. The Risk Management Strategy</w:t>
      </w:r>
      <w:r>
        <w:rPr>
          <w:color w:val="0F0F0F"/>
          <w:spacing w:val="-6"/>
          <w:w w:val="105"/>
          <w:sz w:val="21"/>
        </w:rPr>
        <w:t> </w:t>
      </w:r>
      <w:r>
        <w:rPr>
          <w:color w:val="0F0F0F"/>
          <w:w w:val="105"/>
          <w:sz w:val="21"/>
        </w:rPr>
        <w:t>provides an</w:t>
      </w:r>
      <w:r>
        <w:rPr>
          <w:color w:val="0F0F0F"/>
          <w:spacing w:val="-12"/>
          <w:w w:val="105"/>
          <w:sz w:val="21"/>
        </w:rPr>
        <w:t> </w:t>
      </w:r>
      <w:r>
        <w:rPr>
          <w:color w:val="0F0F0F"/>
          <w:w w:val="105"/>
          <w:sz w:val="21"/>
        </w:rPr>
        <w:t>introduction to</w:t>
      </w:r>
      <w:r>
        <w:rPr>
          <w:color w:val="0F0F0F"/>
          <w:spacing w:val="-16"/>
          <w:w w:val="105"/>
          <w:sz w:val="21"/>
        </w:rPr>
        <w:t> </w:t>
      </w:r>
      <w:r>
        <w:rPr>
          <w:color w:val="0F0F0F"/>
          <w:w w:val="105"/>
          <w:sz w:val="21"/>
        </w:rPr>
        <w:t>the</w:t>
      </w:r>
      <w:r>
        <w:rPr>
          <w:color w:val="0F0F0F"/>
          <w:spacing w:val="-10"/>
          <w:w w:val="105"/>
          <w:sz w:val="21"/>
        </w:rPr>
        <w:t> </w:t>
      </w:r>
      <w:r>
        <w:rPr>
          <w:color w:val="0F0F0F"/>
          <w:w w:val="105"/>
          <w:sz w:val="21"/>
        </w:rPr>
        <w:t>risk</w:t>
      </w:r>
      <w:r>
        <w:rPr>
          <w:color w:val="0F0F0F"/>
          <w:spacing w:val="-4"/>
          <w:w w:val="105"/>
          <w:sz w:val="21"/>
        </w:rPr>
        <w:t> </w:t>
      </w:r>
      <w:r>
        <w:rPr>
          <w:color w:val="0F0F0F"/>
          <w:w w:val="105"/>
          <w:sz w:val="21"/>
        </w:rPr>
        <w:t>management framework, definitions and</w:t>
      </w:r>
      <w:r>
        <w:rPr>
          <w:color w:val="0F0F0F"/>
          <w:spacing w:val="-8"/>
          <w:w w:val="105"/>
          <w:sz w:val="21"/>
        </w:rPr>
        <w:t> </w:t>
      </w:r>
      <w:r>
        <w:rPr>
          <w:color w:val="0F0F0F"/>
          <w:w w:val="105"/>
          <w:sz w:val="21"/>
        </w:rPr>
        <w:t>how</w:t>
      </w:r>
      <w:r>
        <w:rPr>
          <w:color w:val="0F0F0F"/>
          <w:spacing w:val="-9"/>
          <w:w w:val="105"/>
          <w:sz w:val="21"/>
        </w:rPr>
        <w:t> </w:t>
      </w:r>
      <w:r>
        <w:rPr>
          <w:color w:val="0F0F0F"/>
          <w:w w:val="105"/>
          <w:sz w:val="21"/>
        </w:rPr>
        <w:t>to</w:t>
      </w:r>
      <w:r>
        <w:rPr>
          <w:color w:val="0F0F0F"/>
          <w:spacing w:val="-12"/>
          <w:w w:val="105"/>
          <w:sz w:val="21"/>
        </w:rPr>
        <w:t> </w:t>
      </w:r>
      <w:r>
        <w:rPr>
          <w:color w:val="0F0F0F"/>
          <w:w w:val="105"/>
          <w:sz w:val="21"/>
        </w:rPr>
        <w:t>identify assess and manage risks. The use of a risk matrix enables the assessment level of</w:t>
      </w:r>
      <w:r>
        <w:rPr>
          <w:color w:val="0F0F0F"/>
          <w:spacing w:val="-3"/>
          <w:w w:val="105"/>
          <w:sz w:val="21"/>
        </w:rPr>
        <w:t> </w:t>
      </w:r>
      <w:r>
        <w:rPr>
          <w:color w:val="0F0F0F"/>
          <w:w w:val="105"/>
          <w:sz w:val="21"/>
        </w:rPr>
        <w:t>the risks</w:t>
      </w:r>
      <w:r>
        <w:rPr>
          <w:color w:val="0F0F0F"/>
          <w:spacing w:val="-1"/>
          <w:w w:val="105"/>
          <w:sz w:val="21"/>
        </w:rPr>
        <w:t> </w:t>
      </w:r>
      <w:r>
        <w:rPr>
          <w:color w:val="0F0F0F"/>
          <w:w w:val="105"/>
          <w:sz w:val="21"/>
        </w:rPr>
        <w:t>to be readily identified.</w:t>
      </w:r>
    </w:p>
    <w:p>
      <w:pPr>
        <w:spacing w:after="0" w:line="249" w:lineRule="auto"/>
        <w:jc w:val="left"/>
        <w:rPr>
          <w:sz w:val="21"/>
        </w:rPr>
        <w:sectPr>
          <w:headerReference w:type="default" r:id="rId294"/>
          <w:footerReference w:type="default" r:id="rId295"/>
          <w:footerReference w:type="even" r:id="rId296"/>
          <w:pgSz w:w="11910" w:h="16830"/>
          <w:pgMar w:top="880" w:right="540" w:bottom="1360" w:left="440" w:header="685" w:footer="1164"/>
          <w:pgNumType w:start="133"/>
        </w:sectPr>
      </w:pPr>
    </w:p>
    <w:p>
      <w:pPr>
        <w:pStyle w:val="BodyText"/>
        <w:spacing w:line="153" w:lineRule="exact"/>
        <w:ind w:left="1569"/>
        <w:rPr>
          <w:sz w:val="15"/>
        </w:rPr>
      </w:pPr>
      <w:r>
        <w:rPr/>
        <ve:AlternateContent>
          <ve:Choice Requires="wps">
            <w:drawing>
              <wp:anchor distT="0" distB="0" distL="0" distR="0" simplePos="0" relativeHeight="15889920" behindDoc="0" locked="0" layoutInCell="1" allowOverlap="1">
                <wp:simplePos x="0" y="0"/>
                <wp:positionH relativeFrom="page">
                  <wp:posOffset>15264</wp:posOffset>
                </wp:positionH>
                <wp:positionV relativeFrom="page">
                  <wp:posOffset>9880697</wp:posOffset>
                </wp:positionV>
                <wp:extent cx="1270" cy="525145"/>
                <wp:effectExtent l="0" t="0" r="0" b="0"/>
                <wp:wrapNone/>
                <wp:docPr id="727" name="Graphic 727"/>
                <wp:cNvGraphicFramePr>
                  <a:graphicFrameLocks/>
                </wp:cNvGraphicFramePr>
                <a:graphic>
                  <a:graphicData uri="http://schemas.microsoft.com/office/word/2010/wordprocessingShape">
                    <wps:wsp>
                      <wps:cNvPr id="727" name="Graphic 727"/>
                      <wps:cNvSpPr/>
                      <wps:spPr>
                        <a:xfrm>
                          <a:off x="0" y="0"/>
                          <a:ext cx="1270" cy="525145"/>
                        </a:xfrm>
                        <a:custGeom>
                          <a:avLst/>
                          <a:gdLst/>
                          <a:ahLst/>
                          <a:cxnLst/>
                          <a:rect l="l" t="t" r="r" b="b"/>
                          <a:pathLst>
                            <a:path w="0" h="525145">
                              <a:moveTo>
                                <a:pt x="0" y="524854"/>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89920" stroked="true" strokecolor="#000000" strokeweight=".961549pt" from="1.201936pt,819.334789pt" to="1.201936pt,778.00769pt">
                <v:stroke dashstyle="solid"/>
                <w10:wrap type="none"/>
              </v:line>
            </w:pict>
          </ve:Fallback>
        </ve:AlternateContent>
      </w:r>
      <w:r>
        <w:rPr>
          <w:position w:val="-2"/>
          <w:sz w:val="15"/>
        </w:rPr>
        <w:drawing>
          <wp:inline distT="0" distB="0" distL="0" distR="0">
            <wp:extent cx="1841860" cy="97535"/>
            <wp:effectExtent l="0" t="0" r="0" b="0"/>
            <wp:docPr id="728" name="Image 728"/>
            <wp:cNvGraphicFramePr>
              <a:graphicFrameLocks/>
            </wp:cNvGraphicFramePr>
            <a:graphic>
              <a:graphicData uri="http://schemas.openxmlformats.org/drawingml/2006/picture">
                <pic:pic>
                  <pic:nvPicPr>
                    <pic:cNvPr id="728" name="Image 728"/>
                    <pic:cNvPicPr/>
                  </pic:nvPicPr>
                  <pic:blipFill>
                    <a:blip r:embed="rId298" cstate="print"/>
                    <a:stretch>
                      <a:fillRect/>
                    </a:stretch>
                  </pic:blipFill>
                  <pic:spPr>
                    <a:xfrm>
                      <a:off x="0" y="0"/>
                      <a:ext cx="1841860" cy="97535"/>
                    </a:xfrm>
                    <a:prstGeom prst="rect">
                      <a:avLst/>
                    </a:prstGeom>
                  </pic:spPr>
                </pic:pic>
              </a:graphicData>
            </a:graphic>
          </wp:inline>
        </w:drawing>
      </w:r>
      <w:r>
        <w:rPr>
          <w:position w:val="-2"/>
          <w:sz w:val="15"/>
        </w:rPr>
      </w:r>
    </w:p>
    <w:p>
      <w:pPr>
        <w:pStyle w:val="BodyText"/>
        <w:spacing w:before="19"/>
        <w:rPr>
          <w:sz w:val="21"/>
        </w:rPr>
      </w:pPr>
    </w:p>
    <w:p>
      <w:pPr>
        <w:spacing w:before="1"/>
        <w:ind w:left="1087" w:right="0" w:firstLine="0"/>
        <w:jc w:val="left"/>
        <w:rPr>
          <w:b/>
          <w:sz w:val="21"/>
        </w:rPr>
      </w:pPr>
      <w:r>
        <w:rPr>
          <w:b/>
          <w:color w:val="111111"/>
          <w:w w:val="105"/>
          <w:sz w:val="21"/>
          <w:u w:val="thick" w:color="111111"/>
        </w:rPr>
        <w:t>Undertaking</w:t>
      </w:r>
      <w:r>
        <w:rPr>
          <w:b/>
          <w:color w:val="111111"/>
          <w:spacing w:val="3"/>
          <w:w w:val="105"/>
          <w:sz w:val="21"/>
          <w:u w:val="thick" w:color="111111"/>
        </w:rPr>
        <w:t> </w:t>
      </w:r>
      <w:r>
        <w:rPr>
          <w:b/>
          <w:color w:val="111111"/>
          <w:w w:val="105"/>
          <w:sz w:val="21"/>
          <w:u w:val="thick" w:color="111111"/>
        </w:rPr>
        <w:t>the</w:t>
      </w:r>
      <w:r>
        <w:rPr>
          <w:b/>
          <w:color w:val="111111"/>
          <w:spacing w:val="-9"/>
          <w:w w:val="105"/>
          <w:sz w:val="21"/>
          <w:u w:val="thick" w:color="111111"/>
        </w:rPr>
        <w:t> </w:t>
      </w:r>
      <w:r>
        <w:rPr>
          <w:b/>
          <w:color w:val="111111"/>
          <w:w w:val="105"/>
          <w:sz w:val="21"/>
          <w:u w:val="thick" w:color="111111"/>
        </w:rPr>
        <w:t>core</w:t>
      </w:r>
      <w:r>
        <w:rPr>
          <w:b/>
          <w:color w:val="111111"/>
          <w:spacing w:val="-9"/>
          <w:w w:val="105"/>
          <w:sz w:val="21"/>
          <w:u w:val="thick" w:color="111111"/>
        </w:rPr>
        <w:t> </w:t>
      </w:r>
      <w:r>
        <w:rPr>
          <w:b/>
          <w:color w:val="111111"/>
          <w:w w:val="105"/>
          <w:sz w:val="21"/>
          <w:u w:val="thick" w:color="111111"/>
        </w:rPr>
        <w:t>functions of</w:t>
      </w:r>
      <w:r>
        <w:rPr>
          <w:b/>
          <w:color w:val="111111"/>
          <w:spacing w:val="-7"/>
          <w:w w:val="105"/>
          <w:sz w:val="21"/>
          <w:u w:val="thick" w:color="111111"/>
        </w:rPr>
        <w:t> </w:t>
      </w:r>
      <w:r>
        <w:rPr>
          <w:b/>
          <w:color w:val="111111"/>
          <w:w w:val="105"/>
          <w:sz w:val="21"/>
          <w:u w:val="thick" w:color="111111"/>
        </w:rPr>
        <w:t>an</w:t>
      </w:r>
      <w:r>
        <w:rPr>
          <w:b/>
          <w:color w:val="111111"/>
          <w:spacing w:val="-8"/>
          <w:w w:val="105"/>
          <w:sz w:val="21"/>
          <w:u w:val="thick" w:color="111111"/>
        </w:rPr>
        <w:t> </w:t>
      </w:r>
      <w:r>
        <w:rPr>
          <w:b/>
          <w:color w:val="111111"/>
          <w:w w:val="105"/>
          <w:sz w:val="21"/>
          <w:u w:val="thick" w:color="111111"/>
        </w:rPr>
        <w:t>Audit</w:t>
      </w:r>
      <w:r>
        <w:rPr>
          <w:b/>
          <w:color w:val="111111"/>
          <w:spacing w:val="-5"/>
          <w:w w:val="105"/>
          <w:sz w:val="21"/>
          <w:u w:val="thick" w:color="111111"/>
        </w:rPr>
        <w:t> </w:t>
      </w:r>
      <w:r>
        <w:rPr>
          <w:b/>
          <w:color w:val="111111"/>
          <w:spacing w:val="-2"/>
          <w:w w:val="105"/>
          <w:sz w:val="21"/>
          <w:u w:val="thick" w:color="111111"/>
        </w:rPr>
        <w:t>Committee</w:t>
      </w:r>
    </w:p>
    <w:p>
      <w:pPr>
        <w:pStyle w:val="BodyText"/>
        <w:spacing w:before="16"/>
        <w:rPr>
          <w:b/>
          <w:sz w:val="21"/>
        </w:rPr>
      </w:pPr>
    </w:p>
    <w:p>
      <w:pPr>
        <w:pStyle w:val="ListParagraph"/>
        <w:numPr>
          <w:ilvl w:val="0"/>
          <w:numId w:val="29"/>
        </w:numPr>
        <w:tabs>
          <w:tab w:val="left" w:leader="none" w:pos="1055"/>
          <w:tab w:val="left" w:leader="none" w:pos="1074"/>
        </w:tabs>
        <w:spacing w:before="1" w:after="0" w:line="240" w:lineRule="auto"/>
        <w:ind w:left="1055" w:right="204" w:hanging="688"/>
        <w:jc w:val="left"/>
        <w:rPr>
          <w:color w:val="111111"/>
          <w:sz w:val="22"/>
        </w:rPr>
      </w:pPr>
      <w:r>
        <w:rPr>
          <w:color w:val="757575"/>
          <w:sz w:val="22"/>
        </w:rPr>
        <w:tab/>
      </w:r>
      <w:r>
        <w:rPr>
          <w:color w:val="111111"/>
          <w:sz w:val="22"/>
        </w:rPr>
        <w:t>The</w:t>
      </w:r>
      <w:r>
        <w:rPr>
          <w:color w:val="111111"/>
          <w:spacing w:val="-9"/>
          <w:sz w:val="22"/>
        </w:rPr>
        <w:t> </w:t>
      </w:r>
      <w:r>
        <w:rPr>
          <w:color w:val="111111"/>
          <w:sz w:val="22"/>
        </w:rPr>
        <w:t>Audit Committee has</w:t>
      </w:r>
      <w:r>
        <w:rPr>
          <w:color w:val="111111"/>
          <w:spacing w:val="-5"/>
          <w:sz w:val="22"/>
        </w:rPr>
        <w:t> </w:t>
      </w:r>
      <w:r>
        <w:rPr>
          <w:color w:val="111111"/>
          <w:sz w:val="22"/>
        </w:rPr>
        <w:t>Terms of</w:t>
      </w:r>
      <w:r>
        <w:rPr>
          <w:color w:val="111111"/>
          <w:spacing w:val="-7"/>
          <w:sz w:val="22"/>
        </w:rPr>
        <w:t> </w:t>
      </w:r>
      <w:r>
        <w:rPr>
          <w:color w:val="111111"/>
          <w:sz w:val="22"/>
        </w:rPr>
        <w:t>Reference, which are</w:t>
      </w:r>
      <w:r>
        <w:rPr>
          <w:color w:val="111111"/>
          <w:spacing w:val="-4"/>
          <w:sz w:val="22"/>
        </w:rPr>
        <w:t> </w:t>
      </w:r>
      <w:r>
        <w:rPr>
          <w:color w:val="111111"/>
          <w:sz w:val="22"/>
        </w:rPr>
        <w:t>included</w:t>
      </w:r>
      <w:r>
        <w:rPr>
          <w:color w:val="111111"/>
          <w:spacing w:val="-5"/>
          <w:sz w:val="22"/>
        </w:rPr>
        <w:t> </w:t>
      </w:r>
      <w:r>
        <w:rPr>
          <w:color w:val="111111"/>
          <w:sz w:val="22"/>
        </w:rPr>
        <w:t>in</w:t>
      </w:r>
      <w:r>
        <w:rPr>
          <w:color w:val="111111"/>
          <w:spacing w:val="-16"/>
          <w:sz w:val="22"/>
        </w:rPr>
        <w:t> </w:t>
      </w:r>
      <w:r>
        <w:rPr>
          <w:color w:val="111111"/>
          <w:sz w:val="22"/>
        </w:rPr>
        <w:t>the</w:t>
      </w:r>
      <w:r>
        <w:rPr>
          <w:color w:val="111111"/>
          <w:spacing w:val="-15"/>
          <w:sz w:val="22"/>
        </w:rPr>
        <w:t> </w:t>
      </w:r>
      <w:r>
        <w:rPr>
          <w:color w:val="111111"/>
          <w:sz w:val="22"/>
        </w:rPr>
        <w:t>Council's Constitution and are regularly </w:t>
      </w:r>
      <w:r>
        <w:rPr>
          <w:color w:val="2A2A2A"/>
          <w:sz w:val="22"/>
        </w:rPr>
        <w:t>reviewed </w:t>
      </w:r>
      <w:r>
        <w:rPr>
          <w:color w:val="111111"/>
          <w:sz w:val="22"/>
        </w:rPr>
        <w:t>to ensure compliance with recognised best practice -the CIPFA publication "Audit Committees -</w:t>
      </w:r>
      <w:r>
        <w:rPr>
          <w:color w:val="111111"/>
          <w:spacing w:val="40"/>
          <w:sz w:val="22"/>
        </w:rPr>
        <w:t> </w:t>
      </w:r>
      <w:r>
        <w:rPr>
          <w:color w:val="111111"/>
          <w:sz w:val="22"/>
        </w:rPr>
        <w:t>Practical Guidance for Local Authorities and Police</w:t>
      </w:r>
      <w:r>
        <w:rPr>
          <w:color w:val="575757"/>
          <w:sz w:val="22"/>
        </w:rPr>
        <w:t>".</w:t>
      </w:r>
      <w:r>
        <w:rPr>
          <w:color w:val="575757"/>
          <w:spacing w:val="-13"/>
          <w:sz w:val="22"/>
        </w:rPr>
        <w:t> </w:t>
      </w:r>
      <w:r>
        <w:rPr>
          <w:color w:val="111111"/>
          <w:sz w:val="22"/>
        </w:rPr>
        <w:t>Responsibilities arising from the Bribery Act were added. The Audit Committee is</w:t>
      </w:r>
      <w:r>
        <w:rPr>
          <w:color w:val="111111"/>
          <w:spacing w:val="-1"/>
          <w:sz w:val="22"/>
        </w:rPr>
        <w:t> </w:t>
      </w:r>
      <w:r>
        <w:rPr>
          <w:color w:val="111111"/>
          <w:sz w:val="22"/>
        </w:rPr>
        <w:t>the</w:t>
      </w:r>
      <w:r>
        <w:rPr>
          <w:color w:val="111111"/>
          <w:spacing w:val="-4"/>
          <w:sz w:val="22"/>
        </w:rPr>
        <w:t> </w:t>
      </w:r>
      <w:r>
        <w:rPr>
          <w:color w:val="111111"/>
          <w:sz w:val="22"/>
        </w:rPr>
        <w:t>nominated body responsible for</w:t>
      </w:r>
      <w:r>
        <w:rPr>
          <w:color w:val="111111"/>
          <w:spacing w:val="-4"/>
          <w:sz w:val="22"/>
        </w:rPr>
        <w:t> </w:t>
      </w:r>
      <w:r>
        <w:rPr>
          <w:color w:val="111111"/>
          <w:sz w:val="22"/>
        </w:rPr>
        <w:t>the scrut</w:t>
      </w:r>
      <w:r>
        <w:rPr>
          <w:color w:val="3D3D3D"/>
          <w:sz w:val="22"/>
        </w:rPr>
        <w:t>in</w:t>
      </w:r>
      <w:r>
        <w:rPr>
          <w:color w:val="111111"/>
          <w:sz w:val="22"/>
        </w:rPr>
        <w:t>y</w:t>
      </w:r>
      <w:r>
        <w:rPr>
          <w:color w:val="111111"/>
          <w:spacing w:val="-8"/>
          <w:sz w:val="22"/>
        </w:rPr>
        <w:t> </w:t>
      </w:r>
      <w:r>
        <w:rPr>
          <w:color w:val="111111"/>
          <w:sz w:val="22"/>
        </w:rPr>
        <w:t>of</w:t>
      </w:r>
      <w:r>
        <w:rPr>
          <w:color w:val="111111"/>
          <w:spacing w:val="-2"/>
          <w:sz w:val="22"/>
        </w:rPr>
        <w:t> </w:t>
      </w:r>
      <w:r>
        <w:rPr>
          <w:color w:val="111111"/>
          <w:sz w:val="22"/>
        </w:rPr>
        <w:t>the</w:t>
      </w:r>
      <w:r>
        <w:rPr>
          <w:color w:val="111111"/>
          <w:spacing w:val="-4"/>
          <w:sz w:val="22"/>
        </w:rPr>
        <w:t> </w:t>
      </w:r>
      <w:r>
        <w:rPr>
          <w:color w:val="111111"/>
          <w:sz w:val="22"/>
        </w:rPr>
        <w:t>Treasury Management function and</w:t>
      </w:r>
      <w:r>
        <w:rPr>
          <w:color w:val="111111"/>
          <w:spacing w:val="-1"/>
          <w:sz w:val="22"/>
        </w:rPr>
        <w:t> </w:t>
      </w:r>
      <w:r>
        <w:rPr>
          <w:color w:val="111111"/>
          <w:sz w:val="22"/>
        </w:rPr>
        <w:t>receives a</w:t>
      </w:r>
      <w:r>
        <w:rPr>
          <w:color w:val="111111"/>
          <w:spacing w:val="-6"/>
          <w:sz w:val="22"/>
        </w:rPr>
        <w:t> </w:t>
      </w:r>
      <w:r>
        <w:rPr>
          <w:color w:val="111111"/>
          <w:sz w:val="22"/>
        </w:rPr>
        <w:t>minimum of</w:t>
      </w:r>
      <w:r>
        <w:rPr>
          <w:color w:val="111111"/>
          <w:spacing w:val="-5"/>
          <w:sz w:val="22"/>
        </w:rPr>
        <w:t> </w:t>
      </w:r>
      <w:r>
        <w:rPr>
          <w:color w:val="111111"/>
          <w:sz w:val="22"/>
        </w:rPr>
        <w:t>three reports</w:t>
      </w:r>
      <w:r>
        <w:rPr>
          <w:color w:val="111111"/>
          <w:spacing w:val="-2"/>
          <w:sz w:val="22"/>
        </w:rPr>
        <w:t> </w:t>
      </w:r>
      <w:r>
        <w:rPr>
          <w:color w:val="111111"/>
          <w:sz w:val="22"/>
        </w:rPr>
        <w:t>per annum in accordance w</w:t>
      </w:r>
      <w:r>
        <w:rPr>
          <w:color w:val="3D3D3D"/>
          <w:sz w:val="22"/>
        </w:rPr>
        <w:t>i</w:t>
      </w:r>
      <w:r>
        <w:rPr>
          <w:color w:val="111111"/>
          <w:sz w:val="22"/>
        </w:rPr>
        <w:t>th</w:t>
      </w:r>
      <w:r>
        <w:rPr>
          <w:color w:val="111111"/>
          <w:spacing w:val="-1"/>
          <w:sz w:val="22"/>
        </w:rPr>
        <w:t> </w:t>
      </w:r>
      <w:r>
        <w:rPr>
          <w:color w:val="2A2A2A"/>
          <w:sz w:val="22"/>
        </w:rPr>
        <w:t>the </w:t>
      </w:r>
      <w:r>
        <w:rPr>
          <w:color w:val="111111"/>
          <w:sz w:val="22"/>
        </w:rPr>
        <w:t>Treasury Management Code of Practice.</w:t>
      </w:r>
    </w:p>
    <w:p>
      <w:pPr>
        <w:pStyle w:val="ListParagraph"/>
        <w:numPr>
          <w:ilvl w:val="0"/>
          <w:numId w:val="29"/>
        </w:numPr>
        <w:tabs>
          <w:tab w:val="left" w:leader="none" w:pos="1051"/>
          <w:tab w:val="left" w:leader="none" w:pos="1054"/>
        </w:tabs>
        <w:spacing w:before="250" w:after="0" w:line="240" w:lineRule="auto"/>
        <w:ind w:left="1051" w:right="115" w:hanging="708"/>
        <w:jc w:val="left"/>
        <w:rPr>
          <w:color w:val="111111"/>
          <w:sz w:val="22"/>
        </w:rPr>
      </w:pPr>
      <w:r>
        <w:rPr>
          <w:color w:val="111111"/>
          <w:sz w:val="22"/>
        </w:rPr>
        <w:tab/>
        <w:t>The</w:t>
      </w:r>
      <w:r>
        <w:rPr>
          <w:color w:val="111111"/>
          <w:spacing w:val="-4"/>
          <w:sz w:val="22"/>
        </w:rPr>
        <w:t> </w:t>
      </w:r>
      <w:r>
        <w:rPr>
          <w:color w:val="111111"/>
          <w:sz w:val="22"/>
        </w:rPr>
        <w:t>Audit Committee may require any officer</w:t>
      </w:r>
      <w:r>
        <w:rPr>
          <w:color w:val="111111"/>
          <w:spacing w:val="-2"/>
          <w:sz w:val="22"/>
        </w:rPr>
        <w:t> </w:t>
      </w:r>
      <w:r>
        <w:rPr>
          <w:color w:val="111111"/>
          <w:sz w:val="22"/>
        </w:rPr>
        <w:t>to</w:t>
      </w:r>
      <w:r>
        <w:rPr>
          <w:color w:val="111111"/>
          <w:spacing w:val="-7"/>
          <w:sz w:val="22"/>
        </w:rPr>
        <w:t> </w:t>
      </w:r>
      <w:r>
        <w:rPr>
          <w:color w:val="111111"/>
          <w:sz w:val="22"/>
        </w:rPr>
        <w:t>attend</w:t>
      </w:r>
      <w:r>
        <w:rPr>
          <w:color w:val="111111"/>
          <w:spacing w:val="-6"/>
          <w:sz w:val="22"/>
        </w:rPr>
        <w:t> </w:t>
      </w:r>
      <w:r>
        <w:rPr>
          <w:color w:val="111111"/>
          <w:sz w:val="22"/>
        </w:rPr>
        <w:t>meetings of</w:t>
      </w:r>
      <w:r>
        <w:rPr>
          <w:color w:val="111111"/>
          <w:spacing w:val="-15"/>
          <w:sz w:val="22"/>
        </w:rPr>
        <w:t> </w:t>
      </w:r>
      <w:r>
        <w:rPr>
          <w:color w:val="111111"/>
          <w:sz w:val="22"/>
        </w:rPr>
        <w:t>the</w:t>
      </w:r>
      <w:r>
        <w:rPr>
          <w:color w:val="111111"/>
          <w:spacing w:val="-12"/>
          <w:sz w:val="22"/>
        </w:rPr>
        <w:t> </w:t>
      </w:r>
      <w:r>
        <w:rPr>
          <w:color w:val="111111"/>
          <w:sz w:val="22"/>
        </w:rPr>
        <w:t>Committee,</w:t>
      </w:r>
      <w:r>
        <w:rPr>
          <w:color w:val="111111"/>
          <w:spacing w:val="21"/>
          <w:sz w:val="22"/>
        </w:rPr>
        <w:t> </w:t>
      </w:r>
      <w:r>
        <w:rPr>
          <w:color w:val="111111"/>
          <w:sz w:val="22"/>
        </w:rPr>
        <w:t>so</w:t>
      </w:r>
      <w:r>
        <w:rPr>
          <w:color w:val="111111"/>
          <w:spacing w:val="-9"/>
          <w:sz w:val="22"/>
        </w:rPr>
        <w:t> </w:t>
      </w:r>
      <w:r>
        <w:rPr>
          <w:color w:val="111111"/>
          <w:sz w:val="22"/>
        </w:rPr>
        <w:t>it</w:t>
      </w:r>
      <w:r>
        <w:rPr>
          <w:color w:val="111111"/>
          <w:spacing w:val="-14"/>
          <w:sz w:val="22"/>
        </w:rPr>
        <w:t> </w:t>
      </w:r>
      <w:r>
        <w:rPr>
          <w:color w:val="111111"/>
          <w:sz w:val="22"/>
        </w:rPr>
        <w:t>may</w:t>
      </w:r>
      <w:r>
        <w:rPr>
          <w:color w:val="111111"/>
          <w:spacing w:val="-3"/>
          <w:sz w:val="22"/>
        </w:rPr>
        <w:t> </w:t>
      </w:r>
      <w:r>
        <w:rPr>
          <w:color w:val="111111"/>
          <w:sz w:val="22"/>
        </w:rPr>
        <w:t>receive explanations regarding any matter that it is considering.</w:t>
      </w:r>
    </w:p>
    <w:p>
      <w:pPr>
        <w:pStyle w:val="BodyText"/>
      </w:pPr>
    </w:p>
    <w:p>
      <w:pPr>
        <w:pStyle w:val="ListParagraph"/>
        <w:numPr>
          <w:ilvl w:val="0"/>
          <w:numId w:val="29"/>
        </w:numPr>
        <w:tabs>
          <w:tab w:val="left" w:leader="none" w:pos="1039"/>
          <w:tab w:val="left" w:leader="none" w:pos="1045"/>
        </w:tabs>
        <w:spacing w:before="0" w:after="0" w:line="240" w:lineRule="auto"/>
        <w:ind w:left="1039" w:right="536" w:hanging="710"/>
        <w:jc w:val="left"/>
        <w:rPr>
          <w:color w:val="111111"/>
          <w:sz w:val="22"/>
        </w:rPr>
      </w:pPr>
      <w:r>
        <w:rPr>
          <w:color w:val="111111"/>
          <w:sz w:val="22"/>
        </w:rPr>
        <w:tab/>
        <w:t>At</w:t>
      </w:r>
      <w:r>
        <w:rPr>
          <w:color w:val="111111"/>
          <w:spacing w:val="-2"/>
          <w:sz w:val="22"/>
        </w:rPr>
        <w:t> </w:t>
      </w:r>
      <w:r>
        <w:rPr>
          <w:color w:val="111111"/>
          <w:sz w:val="22"/>
        </w:rPr>
        <w:t>the</w:t>
      </w:r>
      <w:r>
        <w:rPr>
          <w:color w:val="111111"/>
          <w:spacing w:val="-5"/>
          <w:sz w:val="22"/>
        </w:rPr>
        <w:t> </w:t>
      </w:r>
      <w:r>
        <w:rPr>
          <w:color w:val="2A2A2A"/>
          <w:sz w:val="22"/>
        </w:rPr>
        <w:t>beginning </w:t>
      </w:r>
      <w:r>
        <w:rPr>
          <w:color w:val="111111"/>
          <w:sz w:val="22"/>
        </w:rPr>
        <w:t>of</w:t>
      </w:r>
      <w:r>
        <w:rPr>
          <w:color w:val="111111"/>
          <w:spacing w:val="-8"/>
          <w:sz w:val="22"/>
        </w:rPr>
        <w:t> </w:t>
      </w:r>
      <w:r>
        <w:rPr>
          <w:color w:val="111111"/>
          <w:sz w:val="22"/>
        </w:rPr>
        <w:t>each</w:t>
      </w:r>
      <w:r>
        <w:rPr>
          <w:color w:val="111111"/>
          <w:spacing w:val="-6"/>
          <w:sz w:val="22"/>
        </w:rPr>
        <w:t> </w:t>
      </w:r>
      <w:r>
        <w:rPr>
          <w:color w:val="111111"/>
          <w:sz w:val="22"/>
        </w:rPr>
        <w:t>financial year, the</w:t>
      </w:r>
      <w:r>
        <w:rPr>
          <w:color w:val="111111"/>
          <w:spacing w:val="-5"/>
          <w:sz w:val="22"/>
        </w:rPr>
        <w:t> </w:t>
      </w:r>
      <w:r>
        <w:rPr>
          <w:color w:val="111111"/>
          <w:sz w:val="22"/>
        </w:rPr>
        <w:t>Committee establ</w:t>
      </w:r>
      <w:r>
        <w:rPr>
          <w:color w:val="3D3D3D"/>
          <w:sz w:val="22"/>
        </w:rPr>
        <w:t>i</w:t>
      </w:r>
      <w:r>
        <w:rPr>
          <w:color w:val="111111"/>
          <w:sz w:val="22"/>
        </w:rPr>
        <w:t>shes</w:t>
      </w:r>
      <w:r>
        <w:rPr>
          <w:color w:val="111111"/>
          <w:spacing w:val="-1"/>
          <w:sz w:val="22"/>
        </w:rPr>
        <w:t> </w:t>
      </w:r>
      <w:r>
        <w:rPr>
          <w:color w:val="111111"/>
          <w:sz w:val="22"/>
        </w:rPr>
        <w:t>a</w:t>
      </w:r>
      <w:r>
        <w:rPr>
          <w:color w:val="111111"/>
          <w:spacing w:val="-5"/>
          <w:sz w:val="22"/>
        </w:rPr>
        <w:t> </w:t>
      </w:r>
      <w:r>
        <w:rPr>
          <w:color w:val="111111"/>
          <w:sz w:val="22"/>
        </w:rPr>
        <w:t>Work</w:t>
      </w:r>
      <w:r>
        <w:rPr>
          <w:color w:val="111111"/>
          <w:spacing w:val="-5"/>
          <w:sz w:val="22"/>
        </w:rPr>
        <w:t> </w:t>
      </w:r>
      <w:r>
        <w:rPr>
          <w:color w:val="111111"/>
          <w:sz w:val="22"/>
        </w:rPr>
        <w:t>Program and</w:t>
      </w:r>
      <w:r>
        <w:rPr>
          <w:color w:val="111111"/>
          <w:spacing w:val="-8"/>
          <w:sz w:val="22"/>
        </w:rPr>
        <w:t> </w:t>
      </w:r>
      <w:r>
        <w:rPr>
          <w:color w:val="111111"/>
          <w:sz w:val="22"/>
        </w:rPr>
        <w:t>at</w:t>
      </w:r>
      <w:r>
        <w:rPr>
          <w:color w:val="111111"/>
          <w:spacing w:val="-3"/>
          <w:sz w:val="22"/>
        </w:rPr>
        <w:t> </w:t>
      </w:r>
      <w:r>
        <w:rPr>
          <w:color w:val="111111"/>
          <w:sz w:val="22"/>
        </w:rPr>
        <w:t>each Committee, it </w:t>
      </w:r>
      <w:r>
        <w:rPr>
          <w:color w:val="2A2A2A"/>
          <w:sz w:val="22"/>
        </w:rPr>
        <w:t>receives </w:t>
      </w:r>
      <w:r>
        <w:rPr>
          <w:color w:val="111111"/>
          <w:sz w:val="22"/>
        </w:rPr>
        <w:t>reports from officers setting out performance</w:t>
      </w:r>
      <w:r>
        <w:rPr>
          <w:color w:val="111111"/>
          <w:spacing w:val="37"/>
          <w:sz w:val="22"/>
        </w:rPr>
        <w:t> </w:t>
      </w:r>
      <w:r>
        <w:rPr>
          <w:color w:val="111111"/>
          <w:sz w:val="22"/>
        </w:rPr>
        <w:t>against listed </w:t>
      </w:r>
      <w:r>
        <w:rPr>
          <w:color w:val="2A2A2A"/>
          <w:sz w:val="22"/>
        </w:rPr>
        <w:t>items</w:t>
      </w:r>
      <w:r>
        <w:rPr>
          <w:color w:val="575757"/>
          <w:sz w:val="22"/>
        </w:rPr>
        <w:t>.</w:t>
      </w:r>
    </w:p>
    <w:p>
      <w:pPr>
        <w:pStyle w:val="BodyText"/>
        <w:spacing w:before="5"/>
      </w:pPr>
    </w:p>
    <w:p>
      <w:pPr>
        <w:pStyle w:val="ListParagraph"/>
        <w:numPr>
          <w:ilvl w:val="0"/>
          <w:numId w:val="29"/>
        </w:numPr>
        <w:tabs>
          <w:tab w:val="left" w:leader="none" w:pos="1035"/>
        </w:tabs>
        <w:spacing w:before="1" w:after="0" w:line="240" w:lineRule="auto"/>
        <w:ind w:left="1035" w:right="0" w:hanging="715"/>
        <w:jc w:val="left"/>
        <w:rPr>
          <w:color w:val="111111"/>
          <w:sz w:val="22"/>
        </w:rPr>
      </w:pPr>
      <w:r>
        <w:rPr>
          <w:color w:val="111111"/>
          <w:sz w:val="22"/>
        </w:rPr>
        <w:t>The</w:t>
      </w:r>
      <w:r>
        <w:rPr>
          <w:color w:val="111111"/>
          <w:spacing w:val="-3"/>
          <w:sz w:val="22"/>
        </w:rPr>
        <w:t> </w:t>
      </w:r>
      <w:r>
        <w:rPr>
          <w:color w:val="111111"/>
          <w:sz w:val="22"/>
        </w:rPr>
        <w:t>Audit</w:t>
      </w:r>
      <w:r>
        <w:rPr>
          <w:color w:val="111111"/>
          <w:spacing w:val="4"/>
          <w:sz w:val="22"/>
        </w:rPr>
        <w:t> </w:t>
      </w:r>
      <w:r>
        <w:rPr>
          <w:color w:val="111111"/>
          <w:sz w:val="22"/>
        </w:rPr>
        <w:t>Committee</w:t>
      </w:r>
      <w:r>
        <w:rPr>
          <w:color w:val="111111"/>
          <w:spacing w:val="5"/>
          <w:sz w:val="22"/>
        </w:rPr>
        <w:t> </w:t>
      </w:r>
      <w:r>
        <w:rPr>
          <w:color w:val="111111"/>
          <w:sz w:val="22"/>
        </w:rPr>
        <w:t>Chair</w:t>
      </w:r>
      <w:r>
        <w:rPr>
          <w:color w:val="111111"/>
          <w:spacing w:val="1"/>
          <w:sz w:val="22"/>
        </w:rPr>
        <w:t> </w:t>
      </w:r>
      <w:r>
        <w:rPr>
          <w:color w:val="111111"/>
          <w:sz w:val="22"/>
        </w:rPr>
        <w:t>presents</w:t>
      </w:r>
      <w:r>
        <w:rPr>
          <w:color w:val="111111"/>
          <w:spacing w:val="6"/>
          <w:sz w:val="22"/>
        </w:rPr>
        <w:t> </w:t>
      </w:r>
      <w:r>
        <w:rPr>
          <w:color w:val="111111"/>
          <w:sz w:val="22"/>
        </w:rPr>
        <w:t>a</w:t>
      </w:r>
      <w:r>
        <w:rPr>
          <w:color w:val="111111"/>
          <w:spacing w:val="-10"/>
          <w:sz w:val="22"/>
        </w:rPr>
        <w:t> </w:t>
      </w:r>
      <w:r>
        <w:rPr>
          <w:color w:val="111111"/>
          <w:sz w:val="22"/>
        </w:rPr>
        <w:t>report</w:t>
      </w:r>
      <w:r>
        <w:rPr>
          <w:color w:val="111111"/>
          <w:spacing w:val="2"/>
          <w:sz w:val="22"/>
        </w:rPr>
        <w:t> </w:t>
      </w:r>
      <w:r>
        <w:rPr>
          <w:color w:val="111111"/>
          <w:sz w:val="22"/>
        </w:rPr>
        <w:t>on</w:t>
      </w:r>
      <w:r>
        <w:rPr>
          <w:color w:val="111111"/>
          <w:spacing w:val="-12"/>
          <w:sz w:val="22"/>
        </w:rPr>
        <w:t> </w:t>
      </w:r>
      <w:r>
        <w:rPr>
          <w:color w:val="111111"/>
          <w:sz w:val="22"/>
        </w:rPr>
        <w:t>the</w:t>
      </w:r>
      <w:r>
        <w:rPr>
          <w:color w:val="111111"/>
          <w:spacing w:val="-4"/>
          <w:sz w:val="22"/>
        </w:rPr>
        <w:t> </w:t>
      </w:r>
      <w:r>
        <w:rPr>
          <w:color w:val="111111"/>
          <w:sz w:val="22"/>
        </w:rPr>
        <w:t>work</w:t>
      </w:r>
      <w:r>
        <w:rPr>
          <w:color w:val="111111"/>
          <w:spacing w:val="2"/>
          <w:sz w:val="22"/>
        </w:rPr>
        <w:t> </w:t>
      </w:r>
      <w:r>
        <w:rPr>
          <w:color w:val="111111"/>
          <w:sz w:val="22"/>
        </w:rPr>
        <w:t>of</w:t>
      </w:r>
      <w:r>
        <w:rPr>
          <w:color w:val="111111"/>
          <w:spacing w:val="-10"/>
          <w:sz w:val="22"/>
        </w:rPr>
        <w:t> </w:t>
      </w:r>
      <w:r>
        <w:rPr>
          <w:color w:val="111111"/>
          <w:sz w:val="22"/>
        </w:rPr>
        <w:t>the</w:t>
      </w:r>
      <w:r>
        <w:rPr>
          <w:color w:val="111111"/>
          <w:spacing w:val="-2"/>
          <w:sz w:val="22"/>
        </w:rPr>
        <w:t> </w:t>
      </w:r>
      <w:r>
        <w:rPr>
          <w:color w:val="111111"/>
          <w:sz w:val="22"/>
        </w:rPr>
        <w:t>Committee</w:t>
      </w:r>
      <w:r>
        <w:rPr>
          <w:color w:val="111111"/>
          <w:spacing w:val="13"/>
          <w:sz w:val="22"/>
        </w:rPr>
        <w:t> </w:t>
      </w:r>
      <w:r>
        <w:rPr>
          <w:color w:val="111111"/>
          <w:sz w:val="22"/>
        </w:rPr>
        <w:t>to</w:t>
      </w:r>
      <w:r>
        <w:rPr>
          <w:color w:val="111111"/>
          <w:spacing w:val="-5"/>
          <w:sz w:val="22"/>
        </w:rPr>
        <w:t> </w:t>
      </w:r>
      <w:r>
        <w:rPr>
          <w:color w:val="111111"/>
          <w:sz w:val="22"/>
        </w:rPr>
        <w:t>the</w:t>
      </w:r>
      <w:r>
        <w:rPr>
          <w:color w:val="111111"/>
          <w:spacing w:val="-9"/>
          <w:sz w:val="22"/>
        </w:rPr>
        <w:t> </w:t>
      </w:r>
      <w:r>
        <w:rPr>
          <w:color w:val="111111"/>
          <w:sz w:val="22"/>
        </w:rPr>
        <w:t>Full</w:t>
      </w:r>
      <w:r>
        <w:rPr>
          <w:color w:val="111111"/>
          <w:spacing w:val="-9"/>
          <w:sz w:val="22"/>
        </w:rPr>
        <w:t> </w:t>
      </w:r>
      <w:r>
        <w:rPr>
          <w:color w:val="111111"/>
          <w:spacing w:val="-2"/>
          <w:sz w:val="22"/>
        </w:rPr>
        <w:t>Council.</w:t>
      </w:r>
    </w:p>
    <w:p>
      <w:pPr>
        <w:pStyle w:val="BodyText"/>
        <w:spacing w:before="14"/>
        <w:rPr>
          <w:sz w:val="21"/>
        </w:rPr>
      </w:pPr>
    </w:p>
    <w:p>
      <w:pPr>
        <w:spacing w:before="0" w:line="247" w:lineRule="auto"/>
        <w:ind w:left="1038" w:right="269" w:firstLine="1"/>
        <w:jc w:val="left"/>
        <w:rPr>
          <w:b/>
          <w:sz w:val="21"/>
        </w:rPr>
      </w:pPr>
      <w:r>
        <w:rPr>
          <w:b/>
          <w:color w:val="111111"/>
          <w:w w:val="105"/>
          <w:sz w:val="21"/>
          <w:u w:val="thick" w:color="111111"/>
        </w:rPr>
        <w:t>Ensuring</w:t>
      </w:r>
      <w:r>
        <w:rPr>
          <w:b/>
          <w:color w:val="111111"/>
          <w:spacing w:val="-2"/>
          <w:w w:val="105"/>
          <w:sz w:val="21"/>
          <w:u w:val="thick" w:color="111111"/>
        </w:rPr>
        <w:t> </w:t>
      </w:r>
      <w:r>
        <w:rPr>
          <w:b/>
          <w:color w:val="111111"/>
          <w:w w:val="105"/>
          <w:sz w:val="21"/>
          <w:u w:val="thick" w:color="111111"/>
        </w:rPr>
        <w:t>compliance with</w:t>
      </w:r>
      <w:r>
        <w:rPr>
          <w:b/>
          <w:color w:val="111111"/>
          <w:spacing w:val="-11"/>
          <w:w w:val="105"/>
          <w:sz w:val="21"/>
          <w:u w:val="thick" w:color="111111"/>
        </w:rPr>
        <w:t> </w:t>
      </w:r>
      <w:r>
        <w:rPr>
          <w:b/>
          <w:color w:val="111111"/>
          <w:w w:val="105"/>
          <w:sz w:val="21"/>
          <w:u w:val="thick" w:color="111111"/>
        </w:rPr>
        <w:t>relevant</w:t>
      </w:r>
      <w:r>
        <w:rPr>
          <w:b/>
          <w:color w:val="111111"/>
          <w:spacing w:val="-7"/>
          <w:w w:val="105"/>
          <w:sz w:val="21"/>
          <w:u w:val="thick" w:color="111111"/>
        </w:rPr>
        <w:t> </w:t>
      </w:r>
      <w:r>
        <w:rPr>
          <w:b/>
          <w:color w:val="111111"/>
          <w:w w:val="105"/>
          <w:sz w:val="21"/>
          <w:u w:val="thick" w:color="111111"/>
        </w:rPr>
        <w:t>laws</w:t>
      </w:r>
      <w:r>
        <w:rPr>
          <w:b/>
          <w:color w:val="111111"/>
          <w:spacing w:val="-13"/>
          <w:w w:val="105"/>
          <w:sz w:val="21"/>
          <w:u w:val="thick" w:color="111111"/>
        </w:rPr>
        <w:t> </w:t>
      </w:r>
      <w:r>
        <w:rPr>
          <w:b/>
          <w:color w:val="111111"/>
          <w:w w:val="105"/>
          <w:sz w:val="21"/>
          <w:u w:val="thick" w:color="111111"/>
        </w:rPr>
        <w:t>and</w:t>
      </w:r>
      <w:r>
        <w:rPr>
          <w:b/>
          <w:color w:val="111111"/>
          <w:spacing w:val="-9"/>
          <w:w w:val="105"/>
          <w:sz w:val="21"/>
          <w:u w:val="thick" w:color="111111"/>
        </w:rPr>
        <w:t> </w:t>
      </w:r>
      <w:r>
        <w:rPr>
          <w:b/>
          <w:color w:val="111111"/>
          <w:w w:val="105"/>
          <w:sz w:val="21"/>
          <w:u w:val="thick" w:color="111111"/>
        </w:rPr>
        <w:t>regulations, internal policies</w:t>
      </w:r>
      <w:r>
        <w:rPr>
          <w:b/>
          <w:color w:val="111111"/>
          <w:spacing w:val="-2"/>
          <w:w w:val="105"/>
          <w:sz w:val="21"/>
          <w:u w:val="thick" w:color="111111"/>
        </w:rPr>
        <w:t> </w:t>
      </w:r>
      <w:r>
        <w:rPr>
          <w:b/>
          <w:color w:val="111111"/>
          <w:w w:val="105"/>
          <w:sz w:val="21"/>
          <w:u w:val="thick" w:color="111111"/>
        </w:rPr>
        <w:t>and</w:t>
      </w:r>
      <w:r>
        <w:rPr>
          <w:b/>
          <w:color w:val="111111"/>
          <w:spacing w:val="-12"/>
          <w:w w:val="105"/>
          <w:sz w:val="21"/>
          <w:u w:val="thick" w:color="111111"/>
        </w:rPr>
        <w:t> </w:t>
      </w:r>
      <w:r>
        <w:rPr>
          <w:b/>
          <w:color w:val="111111"/>
          <w:w w:val="105"/>
          <w:sz w:val="21"/>
          <w:u w:val="thick" w:color="111111"/>
        </w:rPr>
        <w:t>procedures,</w:t>
      </w:r>
      <w:r>
        <w:rPr>
          <w:b/>
          <w:color w:val="111111"/>
          <w:w w:val="105"/>
          <w:sz w:val="21"/>
          <w:u w:val="none"/>
        </w:rPr>
        <w:t> </w:t>
      </w:r>
      <w:r>
        <w:rPr>
          <w:b/>
          <w:color w:val="111111"/>
          <w:w w:val="105"/>
          <w:sz w:val="21"/>
          <w:u w:val="thick" w:color="111111"/>
        </w:rPr>
        <w:t>and that expenditure</w:t>
      </w:r>
      <w:r>
        <w:rPr>
          <w:b/>
          <w:color w:val="111111"/>
          <w:spacing w:val="40"/>
          <w:w w:val="105"/>
          <w:sz w:val="21"/>
          <w:u w:val="thick" w:color="111111"/>
        </w:rPr>
        <w:t> </w:t>
      </w:r>
      <w:r>
        <w:rPr>
          <w:b/>
          <w:color w:val="111111"/>
          <w:w w:val="105"/>
          <w:sz w:val="21"/>
          <w:u w:val="thick" w:color="111111"/>
        </w:rPr>
        <w:t>is lawful</w:t>
      </w:r>
    </w:p>
    <w:p>
      <w:pPr>
        <w:pStyle w:val="BodyText"/>
        <w:spacing w:before="11"/>
        <w:rPr>
          <w:b/>
          <w:sz w:val="21"/>
        </w:rPr>
      </w:pPr>
    </w:p>
    <w:p>
      <w:pPr>
        <w:pStyle w:val="ListParagraph"/>
        <w:numPr>
          <w:ilvl w:val="0"/>
          <w:numId w:val="29"/>
        </w:numPr>
        <w:tabs>
          <w:tab w:val="left" w:leader="none" w:pos="1018"/>
          <w:tab w:val="left" w:leader="none" w:pos="1030"/>
        </w:tabs>
        <w:spacing w:before="0" w:after="0" w:line="240" w:lineRule="auto"/>
        <w:ind w:left="1018" w:right="932" w:hanging="717"/>
        <w:jc w:val="left"/>
        <w:rPr>
          <w:color w:val="111111"/>
          <w:sz w:val="22"/>
        </w:rPr>
      </w:pPr>
      <w:r>
        <w:rPr>
          <w:color w:val="575757"/>
          <w:sz w:val="22"/>
        </w:rPr>
        <w:tab/>
      </w:r>
      <w:r>
        <w:rPr>
          <w:color w:val="111111"/>
          <w:sz w:val="22"/>
        </w:rPr>
        <w:t>The Counc</w:t>
      </w:r>
      <w:r>
        <w:rPr>
          <w:color w:val="3D3D3D"/>
          <w:sz w:val="22"/>
        </w:rPr>
        <w:t>il</w:t>
      </w:r>
      <w:r>
        <w:rPr>
          <w:color w:val="3D3D3D"/>
          <w:spacing w:val="-7"/>
          <w:sz w:val="22"/>
        </w:rPr>
        <w:t> </w:t>
      </w:r>
      <w:r>
        <w:rPr>
          <w:color w:val="111111"/>
          <w:sz w:val="22"/>
        </w:rPr>
        <w:t>has a</w:t>
      </w:r>
      <w:r>
        <w:rPr>
          <w:color w:val="111111"/>
          <w:spacing w:val="-2"/>
          <w:sz w:val="22"/>
        </w:rPr>
        <w:t> </w:t>
      </w:r>
      <w:r>
        <w:rPr>
          <w:color w:val="2A2A2A"/>
          <w:sz w:val="22"/>
        </w:rPr>
        <w:t>full range </w:t>
      </w:r>
      <w:r>
        <w:rPr>
          <w:color w:val="111111"/>
          <w:sz w:val="22"/>
        </w:rPr>
        <w:t>of </w:t>
      </w:r>
      <w:r>
        <w:rPr>
          <w:color w:val="2A2A2A"/>
          <w:sz w:val="22"/>
        </w:rPr>
        <w:t>relevant </w:t>
      </w:r>
      <w:r>
        <w:rPr>
          <w:color w:val="111111"/>
          <w:sz w:val="22"/>
        </w:rPr>
        <w:t>policies and procedures and</w:t>
      </w:r>
      <w:r>
        <w:rPr>
          <w:color w:val="111111"/>
          <w:spacing w:val="-1"/>
          <w:sz w:val="22"/>
        </w:rPr>
        <w:t> </w:t>
      </w:r>
      <w:r>
        <w:rPr>
          <w:color w:val="111111"/>
          <w:sz w:val="22"/>
        </w:rPr>
        <w:t>places emphasis on compliance</w:t>
      </w:r>
      <w:r>
        <w:rPr>
          <w:color w:val="111111"/>
          <w:spacing w:val="20"/>
          <w:sz w:val="22"/>
        </w:rPr>
        <w:t> </w:t>
      </w:r>
      <w:r>
        <w:rPr>
          <w:color w:val="111111"/>
          <w:sz w:val="22"/>
        </w:rPr>
        <w:t>with</w:t>
      </w:r>
      <w:r>
        <w:rPr>
          <w:color w:val="111111"/>
          <w:spacing w:val="-10"/>
          <w:sz w:val="22"/>
        </w:rPr>
        <w:t> </w:t>
      </w:r>
      <w:r>
        <w:rPr>
          <w:color w:val="111111"/>
          <w:sz w:val="22"/>
        </w:rPr>
        <w:t>these</w:t>
      </w:r>
      <w:r>
        <w:rPr>
          <w:color w:val="3D3D3D"/>
          <w:sz w:val="22"/>
        </w:rPr>
        <w:t>,</w:t>
      </w:r>
      <w:r>
        <w:rPr>
          <w:color w:val="3D3D3D"/>
          <w:spacing w:val="-13"/>
          <w:sz w:val="22"/>
        </w:rPr>
        <w:t> </w:t>
      </w:r>
      <w:r>
        <w:rPr>
          <w:color w:val="111111"/>
          <w:sz w:val="22"/>
        </w:rPr>
        <w:t>as well</w:t>
      </w:r>
      <w:r>
        <w:rPr>
          <w:color w:val="111111"/>
          <w:spacing w:val="-6"/>
          <w:sz w:val="22"/>
        </w:rPr>
        <w:t> </w:t>
      </w:r>
      <w:r>
        <w:rPr>
          <w:color w:val="111111"/>
          <w:sz w:val="22"/>
        </w:rPr>
        <w:t>as with</w:t>
      </w:r>
      <w:r>
        <w:rPr>
          <w:color w:val="111111"/>
          <w:spacing w:val="-5"/>
          <w:sz w:val="22"/>
        </w:rPr>
        <w:t> </w:t>
      </w:r>
      <w:r>
        <w:rPr>
          <w:color w:val="111111"/>
          <w:sz w:val="22"/>
        </w:rPr>
        <w:t>the</w:t>
      </w:r>
      <w:r>
        <w:rPr>
          <w:color w:val="111111"/>
          <w:spacing w:val="-7"/>
          <w:sz w:val="22"/>
        </w:rPr>
        <w:t> </w:t>
      </w:r>
      <w:r>
        <w:rPr>
          <w:color w:val="2A2A2A"/>
          <w:sz w:val="22"/>
        </w:rPr>
        <w:t>law</w:t>
      </w:r>
      <w:r>
        <w:rPr>
          <w:color w:val="2A2A2A"/>
          <w:spacing w:val="-10"/>
          <w:sz w:val="22"/>
        </w:rPr>
        <w:t> </w:t>
      </w:r>
      <w:r>
        <w:rPr>
          <w:color w:val="111111"/>
          <w:sz w:val="22"/>
        </w:rPr>
        <w:t>and</w:t>
      </w:r>
      <w:r>
        <w:rPr>
          <w:color w:val="111111"/>
          <w:spacing w:val="-6"/>
          <w:sz w:val="22"/>
        </w:rPr>
        <w:t> </w:t>
      </w:r>
      <w:r>
        <w:rPr>
          <w:color w:val="111111"/>
          <w:sz w:val="22"/>
        </w:rPr>
        <w:t>other external regulations. Compliance is achieved through the following mechanisms</w:t>
      </w:r>
      <w:r>
        <w:rPr>
          <w:color w:val="575757"/>
          <w:sz w:val="22"/>
        </w:rPr>
        <w:t>:</w:t>
      </w:r>
    </w:p>
    <w:p>
      <w:pPr>
        <w:pStyle w:val="BodyText"/>
        <w:spacing w:before="2"/>
      </w:pPr>
    </w:p>
    <w:p>
      <w:pPr>
        <w:pStyle w:val="BodyText"/>
        <w:ind w:left="1000"/>
      </w:pPr>
      <w:r>
        <w:rPr>
          <w:color w:val="111111"/>
          <w:spacing w:val="-2"/>
          <w:u w:val="thick" w:color="111111"/>
        </w:rPr>
        <w:t>Members:</w:t>
      </w:r>
    </w:p>
    <w:p>
      <w:pPr>
        <w:pStyle w:val="BodyText"/>
        <w:spacing w:before="7"/>
        <w:ind w:left="1005"/>
      </w:pPr>
      <w:r>
        <w:rPr>
          <w:color w:val="111111"/>
        </w:rPr>
        <w:t>Code</w:t>
      </w:r>
      <w:r>
        <w:rPr>
          <w:color w:val="111111"/>
          <w:spacing w:val="-7"/>
        </w:rPr>
        <w:t> </w:t>
      </w:r>
      <w:r>
        <w:rPr>
          <w:color w:val="111111"/>
        </w:rPr>
        <w:t>of</w:t>
      </w:r>
      <w:r>
        <w:rPr>
          <w:color w:val="111111"/>
          <w:spacing w:val="-3"/>
        </w:rPr>
        <w:t> </w:t>
      </w:r>
      <w:r>
        <w:rPr>
          <w:color w:val="111111"/>
        </w:rPr>
        <w:t>Conduct,</w:t>
      </w:r>
      <w:r>
        <w:rPr>
          <w:color w:val="111111"/>
          <w:spacing w:val="2"/>
        </w:rPr>
        <w:t> </w:t>
      </w:r>
      <w:r>
        <w:rPr>
          <w:color w:val="111111"/>
        </w:rPr>
        <w:t>Role</w:t>
      </w:r>
      <w:r>
        <w:rPr>
          <w:color w:val="111111"/>
          <w:spacing w:val="-8"/>
        </w:rPr>
        <w:t> </w:t>
      </w:r>
      <w:r>
        <w:rPr>
          <w:color w:val="111111"/>
        </w:rPr>
        <w:t>Descriptions,</w:t>
      </w:r>
      <w:r>
        <w:rPr>
          <w:color w:val="111111"/>
          <w:spacing w:val="-1"/>
        </w:rPr>
        <w:t> </w:t>
      </w:r>
      <w:r>
        <w:rPr>
          <w:color w:val="111111"/>
        </w:rPr>
        <w:t>Training</w:t>
      </w:r>
      <w:r>
        <w:rPr>
          <w:color w:val="111111"/>
          <w:spacing w:val="3"/>
        </w:rPr>
        <w:t> </w:t>
      </w:r>
      <w:r>
        <w:rPr>
          <w:color w:val="111111"/>
        </w:rPr>
        <w:t>and</w:t>
      </w:r>
      <w:r>
        <w:rPr>
          <w:color w:val="111111"/>
          <w:spacing w:val="-15"/>
        </w:rPr>
        <w:t> </w:t>
      </w:r>
      <w:r>
        <w:rPr>
          <w:color w:val="111111"/>
        </w:rPr>
        <w:t>Development</w:t>
      </w:r>
      <w:r>
        <w:rPr>
          <w:color w:val="111111"/>
          <w:spacing w:val="16"/>
        </w:rPr>
        <w:t> </w:t>
      </w:r>
      <w:r>
        <w:rPr>
          <w:color w:val="111111"/>
        </w:rPr>
        <w:t>and</w:t>
      </w:r>
      <w:r>
        <w:rPr>
          <w:color w:val="111111"/>
          <w:spacing w:val="-13"/>
        </w:rPr>
        <w:t> </w:t>
      </w:r>
      <w:r>
        <w:rPr>
          <w:color w:val="111111"/>
        </w:rPr>
        <w:t>Declaration</w:t>
      </w:r>
      <w:r>
        <w:rPr>
          <w:color w:val="111111"/>
          <w:spacing w:val="4"/>
        </w:rPr>
        <w:t> </w:t>
      </w:r>
      <w:r>
        <w:rPr>
          <w:color w:val="111111"/>
        </w:rPr>
        <w:t>of</w:t>
      </w:r>
      <w:r>
        <w:rPr>
          <w:color w:val="111111"/>
          <w:spacing w:val="-15"/>
        </w:rPr>
        <w:t> </w:t>
      </w:r>
      <w:r>
        <w:rPr>
          <w:color w:val="111111"/>
          <w:spacing w:val="-2"/>
        </w:rPr>
        <w:t>Interests</w:t>
      </w:r>
    </w:p>
    <w:p>
      <w:pPr>
        <w:pStyle w:val="BodyText"/>
        <w:spacing w:before="242"/>
        <w:ind w:left="1008"/>
      </w:pPr>
      <w:r>
        <w:rPr>
          <w:color w:val="111111"/>
          <w:spacing w:val="-2"/>
          <w:u w:val="thick" w:color="3D3D3D"/>
        </w:rPr>
        <w:t>Employees</w:t>
      </w:r>
      <w:r>
        <w:rPr>
          <w:color w:val="3D3D3D"/>
          <w:spacing w:val="-2"/>
          <w:u w:val="none"/>
        </w:rPr>
        <w:t>:</w:t>
      </w:r>
    </w:p>
    <w:p>
      <w:pPr>
        <w:pStyle w:val="BodyText"/>
        <w:spacing w:before="13" w:line="237" w:lineRule="auto"/>
        <w:ind w:left="994" w:right="269" w:firstLine="5"/>
      </w:pPr>
      <w:r>
        <w:rPr>
          <w:color w:val="111111"/>
        </w:rPr>
        <w:t>Code of</w:t>
      </w:r>
      <w:r>
        <w:rPr>
          <w:color w:val="111111"/>
          <w:spacing w:val="-1"/>
        </w:rPr>
        <w:t> </w:t>
      </w:r>
      <w:r>
        <w:rPr>
          <w:color w:val="111111"/>
        </w:rPr>
        <w:t>Conduct, Job/</w:t>
      </w:r>
      <w:r>
        <w:rPr>
          <w:color w:val="111111"/>
          <w:spacing w:val="-5"/>
        </w:rPr>
        <w:t> </w:t>
      </w:r>
      <w:r>
        <w:rPr>
          <w:color w:val="111111"/>
        </w:rPr>
        <w:t>Person Specification,</w:t>
      </w:r>
      <w:r>
        <w:rPr>
          <w:color w:val="111111"/>
          <w:spacing w:val="-5"/>
        </w:rPr>
        <w:t> </w:t>
      </w:r>
      <w:r>
        <w:rPr>
          <w:color w:val="111111"/>
        </w:rPr>
        <w:t>Appraisals,</w:t>
      </w:r>
      <w:r>
        <w:rPr>
          <w:color w:val="111111"/>
          <w:spacing w:val="28"/>
        </w:rPr>
        <w:t> </w:t>
      </w:r>
      <w:r>
        <w:rPr>
          <w:color w:val="111111"/>
        </w:rPr>
        <w:t>Team</w:t>
      </w:r>
      <w:r>
        <w:rPr>
          <w:color w:val="111111"/>
          <w:spacing w:val="-1"/>
        </w:rPr>
        <w:t> </w:t>
      </w:r>
      <w:r>
        <w:rPr>
          <w:color w:val="111111"/>
        </w:rPr>
        <w:t>Meetings and</w:t>
      </w:r>
      <w:r>
        <w:rPr>
          <w:color w:val="111111"/>
          <w:spacing w:val="-1"/>
        </w:rPr>
        <w:t> </w:t>
      </w:r>
      <w:r>
        <w:rPr>
          <w:color w:val="111111"/>
        </w:rPr>
        <w:t>Training &amp; Development</w:t>
      </w:r>
      <w:r>
        <w:rPr>
          <w:color w:val="111111"/>
          <w:spacing w:val="40"/>
        </w:rPr>
        <w:t> </w:t>
      </w:r>
      <w:r>
        <w:rPr>
          <w:color w:val="111111"/>
        </w:rPr>
        <w:t>and Declarations of Outside Interests</w:t>
      </w:r>
      <w:r>
        <w:rPr>
          <w:color w:val="3D3D3D"/>
        </w:rPr>
        <w:t>.</w:t>
      </w:r>
    </w:p>
    <w:p>
      <w:pPr>
        <w:pStyle w:val="BodyText"/>
        <w:spacing w:before="252"/>
        <w:ind w:left="991"/>
      </w:pPr>
      <w:r>
        <w:rPr>
          <w:color w:val="111111"/>
          <w:spacing w:val="-2"/>
          <w:u w:val="thick" w:color="111111"/>
        </w:rPr>
        <w:t>Other:</w:t>
      </w:r>
    </w:p>
    <w:p>
      <w:pPr>
        <w:pStyle w:val="ListParagraph"/>
        <w:numPr>
          <w:ilvl w:val="1"/>
          <w:numId w:val="29"/>
        </w:numPr>
        <w:tabs>
          <w:tab w:val="left" w:leader="none" w:pos="1396"/>
          <w:tab w:val="left" w:leader="none" w:pos="1401"/>
        </w:tabs>
        <w:spacing w:before="8" w:after="0" w:line="237" w:lineRule="auto"/>
        <w:ind w:left="1396" w:right="706" w:hanging="417"/>
        <w:jc w:val="left"/>
        <w:rPr>
          <w:color w:val="111111"/>
          <w:sz w:val="22"/>
        </w:rPr>
      </w:pPr>
      <w:r>
        <w:rPr>
          <w:color w:val="111111"/>
          <w:sz w:val="22"/>
        </w:rPr>
        <w:tab/>
        <w:t>The</w:t>
      </w:r>
      <w:r>
        <w:rPr>
          <w:color w:val="111111"/>
          <w:spacing w:val="-4"/>
          <w:sz w:val="22"/>
        </w:rPr>
        <w:t> </w:t>
      </w:r>
      <w:r>
        <w:rPr>
          <w:color w:val="111111"/>
          <w:sz w:val="22"/>
        </w:rPr>
        <w:t>Constitution and</w:t>
      </w:r>
      <w:r>
        <w:rPr>
          <w:color w:val="111111"/>
          <w:spacing w:val="-13"/>
          <w:sz w:val="22"/>
        </w:rPr>
        <w:t> </w:t>
      </w:r>
      <w:r>
        <w:rPr>
          <w:color w:val="111111"/>
          <w:sz w:val="22"/>
        </w:rPr>
        <w:t>other policies and</w:t>
      </w:r>
      <w:r>
        <w:rPr>
          <w:color w:val="111111"/>
          <w:spacing w:val="-8"/>
          <w:sz w:val="22"/>
        </w:rPr>
        <w:t> </w:t>
      </w:r>
      <w:r>
        <w:rPr>
          <w:color w:val="111111"/>
          <w:sz w:val="22"/>
        </w:rPr>
        <w:t>procedures are</w:t>
      </w:r>
      <w:r>
        <w:rPr>
          <w:color w:val="111111"/>
          <w:spacing w:val="-7"/>
          <w:sz w:val="22"/>
        </w:rPr>
        <w:t> </w:t>
      </w:r>
      <w:r>
        <w:rPr>
          <w:color w:val="111111"/>
          <w:sz w:val="22"/>
        </w:rPr>
        <w:t>available on</w:t>
      </w:r>
      <w:r>
        <w:rPr>
          <w:color w:val="111111"/>
          <w:spacing w:val="-10"/>
          <w:sz w:val="22"/>
        </w:rPr>
        <w:t> </w:t>
      </w:r>
      <w:r>
        <w:rPr>
          <w:color w:val="111111"/>
          <w:sz w:val="22"/>
        </w:rPr>
        <w:t>the</w:t>
      </w:r>
      <w:r>
        <w:rPr>
          <w:color w:val="111111"/>
          <w:spacing w:val="-5"/>
          <w:sz w:val="22"/>
        </w:rPr>
        <w:t> </w:t>
      </w:r>
      <w:r>
        <w:rPr>
          <w:color w:val="111111"/>
          <w:sz w:val="22"/>
        </w:rPr>
        <w:t>Council's website, intranet and as hard copy,</w:t>
      </w:r>
    </w:p>
    <w:p>
      <w:pPr>
        <w:pStyle w:val="ListParagraph"/>
        <w:numPr>
          <w:ilvl w:val="1"/>
          <w:numId w:val="29"/>
        </w:numPr>
        <w:tabs>
          <w:tab w:val="left" w:leader="none" w:pos="1382"/>
          <w:tab w:val="left" w:leader="none" w:pos="1395"/>
        </w:tabs>
        <w:spacing w:before="60" w:after="0" w:line="240" w:lineRule="auto"/>
        <w:ind w:left="1382" w:right="457" w:hanging="399"/>
        <w:jc w:val="left"/>
        <w:rPr>
          <w:color w:val="111111"/>
          <w:sz w:val="22"/>
        </w:rPr>
      </w:pPr>
      <w:r>
        <w:rPr>
          <w:color w:val="111111"/>
          <w:sz w:val="22"/>
        </w:rPr>
        <w:tab/>
        <w:t>Officers prepare timely reports to all of</w:t>
      </w:r>
      <w:r>
        <w:rPr>
          <w:color w:val="111111"/>
          <w:spacing w:val="-1"/>
          <w:sz w:val="22"/>
        </w:rPr>
        <w:t> </w:t>
      </w:r>
      <w:r>
        <w:rPr>
          <w:color w:val="111111"/>
          <w:sz w:val="22"/>
        </w:rPr>
        <w:t>the Council's decision-making bodies </w:t>
      </w:r>
      <w:r>
        <w:rPr>
          <w:color w:val="2A2A2A"/>
          <w:sz w:val="22"/>
        </w:rPr>
        <w:t>(including </w:t>
      </w:r>
      <w:r>
        <w:rPr>
          <w:color w:val="111111"/>
          <w:sz w:val="22"/>
        </w:rPr>
        <w:t>the </w:t>
      </w:r>
      <w:r>
        <w:rPr>
          <w:color w:val="2A2A2A"/>
          <w:sz w:val="22"/>
        </w:rPr>
        <w:t>Executive, </w:t>
      </w:r>
      <w:r>
        <w:rPr>
          <w:color w:val="111111"/>
          <w:sz w:val="22"/>
        </w:rPr>
        <w:t>the</w:t>
      </w:r>
      <w:r>
        <w:rPr>
          <w:color w:val="111111"/>
          <w:spacing w:val="-3"/>
          <w:sz w:val="22"/>
        </w:rPr>
        <w:t> </w:t>
      </w:r>
      <w:r>
        <w:rPr>
          <w:color w:val="111111"/>
          <w:sz w:val="22"/>
        </w:rPr>
        <w:t>Audit Committee and</w:t>
      </w:r>
      <w:r>
        <w:rPr>
          <w:color w:val="111111"/>
          <w:spacing w:val="-12"/>
          <w:sz w:val="22"/>
        </w:rPr>
        <w:t> </w:t>
      </w:r>
      <w:r>
        <w:rPr>
          <w:color w:val="111111"/>
          <w:sz w:val="22"/>
        </w:rPr>
        <w:t>the</w:t>
      </w:r>
      <w:r>
        <w:rPr>
          <w:color w:val="111111"/>
          <w:spacing w:val="-3"/>
          <w:sz w:val="22"/>
        </w:rPr>
        <w:t> </w:t>
      </w:r>
      <w:r>
        <w:rPr>
          <w:color w:val="111111"/>
          <w:sz w:val="22"/>
        </w:rPr>
        <w:t>Chief</w:t>
      </w:r>
      <w:r>
        <w:rPr>
          <w:color w:val="111111"/>
          <w:spacing w:val="-1"/>
          <w:sz w:val="22"/>
        </w:rPr>
        <w:t> </w:t>
      </w:r>
      <w:r>
        <w:rPr>
          <w:color w:val="111111"/>
          <w:sz w:val="22"/>
        </w:rPr>
        <w:t>Officers' Board) on</w:t>
      </w:r>
      <w:r>
        <w:rPr>
          <w:color w:val="111111"/>
          <w:spacing w:val="-7"/>
          <w:sz w:val="22"/>
        </w:rPr>
        <w:t> </w:t>
      </w:r>
      <w:r>
        <w:rPr>
          <w:color w:val="111111"/>
          <w:sz w:val="22"/>
        </w:rPr>
        <w:t>statutory </w:t>
      </w:r>
      <w:r>
        <w:rPr>
          <w:color w:val="2A2A2A"/>
          <w:sz w:val="22"/>
        </w:rPr>
        <w:t>requirements </w:t>
      </w:r>
      <w:r>
        <w:rPr>
          <w:color w:val="111111"/>
          <w:sz w:val="22"/>
        </w:rPr>
        <w:t>and proposals regarding their implementation,</w:t>
      </w:r>
    </w:p>
    <w:p>
      <w:pPr>
        <w:pStyle w:val="ListParagraph"/>
        <w:numPr>
          <w:ilvl w:val="1"/>
          <w:numId w:val="29"/>
        </w:numPr>
        <w:tabs>
          <w:tab w:val="left" w:leader="none" w:pos="1373"/>
          <w:tab w:val="left" w:leader="none" w:pos="1381"/>
        </w:tabs>
        <w:spacing w:before="69" w:after="0" w:line="237" w:lineRule="auto"/>
        <w:ind w:left="1373" w:right="939" w:hanging="405"/>
        <w:jc w:val="left"/>
        <w:rPr>
          <w:color w:val="111111"/>
          <w:sz w:val="22"/>
        </w:rPr>
      </w:pPr>
      <w:r>
        <w:rPr>
          <w:color w:val="111111"/>
          <w:sz w:val="22"/>
        </w:rPr>
        <w:tab/>
        <w:t>Standard report</w:t>
      </w:r>
      <w:r>
        <w:rPr>
          <w:color w:val="111111"/>
          <w:spacing w:val="-1"/>
          <w:sz w:val="22"/>
        </w:rPr>
        <w:t> </w:t>
      </w:r>
      <w:r>
        <w:rPr>
          <w:color w:val="111111"/>
          <w:sz w:val="22"/>
        </w:rPr>
        <w:t>formats require officers to</w:t>
      </w:r>
      <w:r>
        <w:rPr>
          <w:color w:val="111111"/>
          <w:spacing w:val="-6"/>
          <w:sz w:val="22"/>
        </w:rPr>
        <w:t> </w:t>
      </w:r>
      <w:r>
        <w:rPr>
          <w:color w:val="111111"/>
          <w:sz w:val="22"/>
        </w:rPr>
        <w:t>consider the</w:t>
      </w:r>
      <w:r>
        <w:rPr>
          <w:color w:val="111111"/>
          <w:spacing w:val="-6"/>
          <w:sz w:val="22"/>
        </w:rPr>
        <w:t> </w:t>
      </w:r>
      <w:r>
        <w:rPr>
          <w:color w:val="111111"/>
          <w:sz w:val="22"/>
        </w:rPr>
        <w:t>implications of</w:t>
      </w:r>
      <w:r>
        <w:rPr>
          <w:color w:val="111111"/>
          <w:spacing w:val="-6"/>
          <w:sz w:val="22"/>
        </w:rPr>
        <w:t> </w:t>
      </w:r>
      <w:r>
        <w:rPr>
          <w:color w:val="111111"/>
          <w:sz w:val="22"/>
        </w:rPr>
        <w:t>Corporate Policy, F</w:t>
      </w:r>
      <w:r>
        <w:rPr>
          <w:color w:val="3D3D3D"/>
          <w:sz w:val="22"/>
        </w:rPr>
        <w:t>in</w:t>
      </w:r>
      <w:r>
        <w:rPr>
          <w:color w:val="111111"/>
          <w:sz w:val="22"/>
        </w:rPr>
        <w:t>ance, Health and Safety</w:t>
      </w:r>
      <w:r>
        <w:rPr>
          <w:color w:val="575757"/>
          <w:sz w:val="22"/>
        </w:rPr>
        <w:t>, </w:t>
      </w:r>
      <w:r>
        <w:rPr>
          <w:color w:val="111111"/>
          <w:sz w:val="22"/>
        </w:rPr>
        <w:t>Legal, Personnel and Risk Management,</w:t>
      </w:r>
    </w:p>
    <w:p>
      <w:pPr>
        <w:pStyle w:val="ListParagraph"/>
        <w:numPr>
          <w:ilvl w:val="1"/>
          <w:numId w:val="29"/>
        </w:numPr>
        <w:tabs>
          <w:tab w:val="left" w:leader="none" w:pos="1376"/>
        </w:tabs>
        <w:spacing w:before="64" w:after="0" w:line="240" w:lineRule="auto"/>
        <w:ind w:left="1376" w:right="0" w:hanging="410"/>
        <w:jc w:val="left"/>
        <w:rPr>
          <w:color w:val="111111"/>
          <w:sz w:val="22"/>
        </w:rPr>
      </w:pPr>
      <w:r>
        <w:rPr>
          <w:color w:val="111111"/>
          <w:sz w:val="22"/>
        </w:rPr>
        <w:t>The</w:t>
      </w:r>
      <w:r>
        <w:rPr>
          <w:color w:val="111111"/>
          <w:spacing w:val="-5"/>
          <w:sz w:val="22"/>
        </w:rPr>
        <w:t> </w:t>
      </w:r>
      <w:r>
        <w:rPr>
          <w:color w:val="111111"/>
          <w:sz w:val="22"/>
        </w:rPr>
        <w:t>Governance</w:t>
      </w:r>
      <w:r>
        <w:rPr>
          <w:color w:val="111111"/>
          <w:spacing w:val="6"/>
          <w:sz w:val="22"/>
        </w:rPr>
        <w:t> </w:t>
      </w:r>
      <w:r>
        <w:rPr>
          <w:color w:val="111111"/>
          <w:sz w:val="22"/>
        </w:rPr>
        <w:t>Group</w:t>
      </w:r>
      <w:r>
        <w:rPr>
          <w:color w:val="111111"/>
          <w:spacing w:val="-4"/>
          <w:sz w:val="22"/>
        </w:rPr>
        <w:t> </w:t>
      </w:r>
      <w:r>
        <w:rPr>
          <w:color w:val="111111"/>
          <w:sz w:val="22"/>
        </w:rPr>
        <w:t>meets</w:t>
      </w:r>
      <w:r>
        <w:rPr>
          <w:color w:val="111111"/>
          <w:spacing w:val="-3"/>
          <w:sz w:val="22"/>
        </w:rPr>
        <w:t> </w:t>
      </w:r>
      <w:r>
        <w:rPr>
          <w:color w:val="111111"/>
          <w:sz w:val="22"/>
        </w:rPr>
        <w:t>quarterly</w:t>
      </w:r>
      <w:r>
        <w:rPr>
          <w:color w:val="111111"/>
          <w:spacing w:val="9"/>
          <w:sz w:val="22"/>
        </w:rPr>
        <w:t> </w:t>
      </w:r>
      <w:r>
        <w:rPr>
          <w:color w:val="111111"/>
          <w:sz w:val="22"/>
        </w:rPr>
        <w:t>to</w:t>
      </w:r>
      <w:r>
        <w:rPr>
          <w:color w:val="111111"/>
          <w:spacing w:val="-8"/>
          <w:sz w:val="22"/>
        </w:rPr>
        <w:t> </w:t>
      </w:r>
      <w:r>
        <w:rPr>
          <w:color w:val="111111"/>
          <w:sz w:val="22"/>
        </w:rPr>
        <w:t>review</w:t>
      </w:r>
      <w:r>
        <w:rPr>
          <w:color w:val="111111"/>
          <w:spacing w:val="1"/>
          <w:sz w:val="22"/>
        </w:rPr>
        <w:t> </w:t>
      </w:r>
      <w:r>
        <w:rPr>
          <w:color w:val="111111"/>
          <w:sz w:val="22"/>
        </w:rPr>
        <w:t>policy</w:t>
      </w:r>
      <w:r>
        <w:rPr>
          <w:color w:val="111111"/>
          <w:spacing w:val="5"/>
          <w:sz w:val="22"/>
        </w:rPr>
        <w:t> </w:t>
      </w:r>
      <w:r>
        <w:rPr>
          <w:color w:val="111111"/>
          <w:sz w:val="22"/>
        </w:rPr>
        <w:t>and</w:t>
      </w:r>
      <w:r>
        <w:rPr>
          <w:color w:val="111111"/>
          <w:spacing w:val="-3"/>
          <w:sz w:val="22"/>
        </w:rPr>
        <w:t> </w:t>
      </w:r>
      <w:r>
        <w:rPr>
          <w:color w:val="111111"/>
          <w:sz w:val="22"/>
        </w:rPr>
        <w:t>track</w:t>
      </w:r>
      <w:r>
        <w:rPr>
          <w:color w:val="111111"/>
          <w:spacing w:val="-2"/>
          <w:sz w:val="22"/>
        </w:rPr>
        <w:t> </w:t>
      </w:r>
      <w:r>
        <w:rPr>
          <w:color w:val="111111"/>
          <w:sz w:val="22"/>
        </w:rPr>
        <w:t>changes</w:t>
      </w:r>
      <w:r>
        <w:rPr>
          <w:color w:val="111111"/>
          <w:spacing w:val="9"/>
          <w:sz w:val="22"/>
        </w:rPr>
        <w:t> </w:t>
      </w:r>
      <w:r>
        <w:rPr>
          <w:color w:val="111111"/>
          <w:sz w:val="22"/>
        </w:rPr>
        <w:t>in</w:t>
      </w:r>
      <w:r>
        <w:rPr>
          <w:color w:val="111111"/>
          <w:spacing w:val="-7"/>
          <w:sz w:val="22"/>
        </w:rPr>
        <w:t> </w:t>
      </w:r>
      <w:r>
        <w:rPr>
          <w:color w:val="111111"/>
          <w:sz w:val="22"/>
        </w:rPr>
        <w:t>legislation,</w:t>
      </w:r>
      <w:r>
        <w:rPr>
          <w:color w:val="111111"/>
          <w:spacing w:val="19"/>
          <w:sz w:val="22"/>
        </w:rPr>
        <w:t> </w:t>
      </w:r>
      <w:r>
        <w:rPr>
          <w:color w:val="111111"/>
          <w:spacing w:val="-5"/>
          <w:sz w:val="22"/>
        </w:rPr>
        <w:t>and</w:t>
      </w:r>
    </w:p>
    <w:p>
      <w:pPr>
        <w:pStyle w:val="ListParagraph"/>
        <w:numPr>
          <w:ilvl w:val="1"/>
          <w:numId w:val="29"/>
        </w:numPr>
        <w:tabs>
          <w:tab w:val="left" w:leader="none" w:pos="1370"/>
          <w:tab w:val="left" w:leader="none" w:pos="1376"/>
        </w:tabs>
        <w:spacing w:before="55" w:after="0" w:line="240" w:lineRule="auto"/>
        <w:ind w:left="1370" w:right="226" w:hanging="405"/>
        <w:jc w:val="left"/>
        <w:rPr>
          <w:color w:val="111111"/>
          <w:sz w:val="22"/>
        </w:rPr>
      </w:pPr>
      <w:r>
        <w:rPr>
          <w:color w:val="111111"/>
          <w:sz w:val="22"/>
        </w:rPr>
        <w:tab/>
      </w:r>
      <w:r>
        <w:rPr>
          <w:color w:val="2A2A2A"/>
          <w:sz w:val="22"/>
        </w:rPr>
        <w:t>The </w:t>
      </w:r>
      <w:r>
        <w:rPr>
          <w:color w:val="111111"/>
          <w:sz w:val="22"/>
        </w:rPr>
        <w:t>work of the Council's external auditors</w:t>
      </w:r>
      <w:r>
        <w:rPr>
          <w:color w:val="575757"/>
          <w:sz w:val="22"/>
        </w:rPr>
        <w:t>,</w:t>
      </w:r>
      <w:r>
        <w:rPr>
          <w:color w:val="575757"/>
          <w:spacing w:val="-7"/>
          <w:sz w:val="22"/>
        </w:rPr>
        <w:t> </w:t>
      </w:r>
      <w:r>
        <w:rPr>
          <w:color w:val="2A2A2A"/>
          <w:sz w:val="22"/>
        </w:rPr>
        <w:t>who </w:t>
      </w:r>
      <w:r>
        <w:rPr>
          <w:color w:val="111111"/>
          <w:sz w:val="22"/>
        </w:rPr>
        <w:t>report to </w:t>
      </w:r>
      <w:r>
        <w:rPr>
          <w:color w:val="2A2A2A"/>
          <w:sz w:val="22"/>
        </w:rPr>
        <w:t>members</w:t>
      </w:r>
      <w:r>
        <w:rPr>
          <w:color w:val="575757"/>
          <w:sz w:val="22"/>
        </w:rPr>
        <w:t>, </w:t>
      </w:r>
      <w:r>
        <w:rPr>
          <w:color w:val="111111"/>
          <w:sz w:val="22"/>
        </w:rPr>
        <w:t>off</w:t>
      </w:r>
      <w:r>
        <w:rPr>
          <w:color w:val="3D3D3D"/>
          <w:sz w:val="22"/>
        </w:rPr>
        <w:t>i</w:t>
      </w:r>
      <w:r>
        <w:rPr>
          <w:color w:val="111111"/>
          <w:sz w:val="22"/>
        </w:rPr>
        <w:t>cers and </w:t>
      </w:r>
      <w:r>
        <w:rPr>
          <w:color w:val="2A2A2A"/>
          <w:sz w:val="22"/>
        </w:rPr>
        <w:t>the </w:t>
      </w:r>
      <w:r>
        <w:rPr>
          <w:color w:val="111111"/>
          <w:sz w:val="22"/>
        </w:rPr>
        <w:t>Council's stakeholders </w:t>
      </w:r>
      <w:r>
        <w:rPr>
          <w:color w:val="2A2A2A"/>
          <w:sz w:val="22"/>
        </w:rPr>
        <w:t>if they </w:t>
      </w:r>
      <w:r>
        <w:rPr>
          <w:color w:val="111111"/>
          <w:sz w:val="22"/>
        </w:rPr>
        <w:t>have been required </w:t>
      </w:r>
      <w:r>
        <w:rPr>
          <w:color w:val="2A2A2A"/>
          <w:sz w:val="22"/>
        </w:rPr>
        <w:t>to issue </w:t>
      </w:r>
      <w:r>
        <w:rPr>
          <w:color w:val="111111"/>
          <w:sz w:val="22"/>
        </w:rPr>
        <w:t>a </w:t>
      </w:r>
      <w:r>
        <w:rPr>
          <w:color w:val="2A2A2A"/>
          <w:sz w:val="22"/>
        </w:rPr>
        <w:t>report in the </w:t>
      </w:r>
      <w:r>
        <w:rPr>
          <w:color w:val="111111"/>
          <w:sz w:val="22"/>
        </w:rPr>
        <w:t>public </w:t>
      </w:r>
      <w:r>
        <w:rPr>
          <w:color w:val="2A2A2A"/>
          <w:sz w:val="22"/>
        </w:rPr>
        <w:t>interest </w:t>
      </w:r>
      <w:r>
        <w:rPr>
          <w:color w:val="111111"/>
          <w:sz w:val="22"/>
        </w:rPr>
        <w:t>or exercise any other special</w:t>
      </w:r>
      <w:r>
        <w:rPr>
          <w:color w:val="111111"/>
          <w:spacing w:val="-3"/>
          <w:sz w:val="22"/>
        </w:rPr>
        <w:t> </w:t>
      </w:r>
      <w:r>
        <w:rPr>
          <w:color w:val="111111"/>
          <w:sz w:val="22"/>
        </w:rPr>
        <w:t>powers of</w:t>
      </w:r>
      <w:r>
        <w:rPr>
          <w:color w:val="111111"/>
          <w:spacing w:val="-12"/>
          <w:sz w:val="22"/>
        </w:rPr>
        <w:t> </w:t>
      </w:r>
      <w:r>
        <w:rPr>
          <w:color w:val="111111"/>
          <w:sz w:val="22"/>
        </w:rPr>
        <w:t>the</w:t>
      </w:r>
      <w:r>
        <w:rPr>
          <w:color w:val="111111"/>
          <w:spacing w:val="-3"/>
          <w:sz w:val="22"/>
        </w:rPr>
        <w:t> </w:t>
      </w:r>
      <w:r>
        <w:rPr>
          <w:color w:val="111111"/>
          <w:sz w:val="22"/>
        </w:rPr>
        <w:t>auditor </w:t>
      </w:r>
      <w:r>
        <w:rPr>
          <w:color w:val="2A2A2A"/>
          <w:sz w:val="22"/>
        </w:rPr>
        <w:t>under </w:t>
      </w:r>
      <w:r>
        <w:rPr>
          <w:color w:val="111111"/>
          <w:sz w:val="22"/>
        </w:rPr>
        <w:t>the</w:t>
      </w:r>
      <w:r>
        <w:rPr>
          <w:color w:val="111111"/>
          <w:spacing w:val="-2"/>
          <w:sz w:val="22"/>
        </w:rPr>
        <w:t> </w:t>
      </w:r>
      <w:r>
        <w:rPr>
          <w:color w:val="111111"/>
          <w:sz w:val="22"/>
        </w:rPr>
        <w:t>Local Audit and</w:t>
      </w:r>
      <w:r>
        <w:rPr>
          <w:color w:val="111111"/>
          <w:spacing w:val="-1"/>
          <w:sz w:val="22"/>
        </w:rPr>
        <w:t> </w:t>
      </w:r>
      <w:r>
        <w:rPr>
          <w:color w:val="111111"/>
          <w:sz w:val="22"/>
        </w:rPr>
        <w:t>Accountability Act 2014</w:t>
      </w:r>
      <w:r>
        <w:rPr>
          <w:color w:val="575757"/>
          <w:sz w:val="22"/>
        </w:rPr>
        <w:t>,</w:t>
      </w:r>
      <w:r>
        <w:rPr>
          <w:color w:val="575757"/>
          <w:spacing w:val="-12"/>
          <w:sz w:val="22"/>
        </w:rPr>
        <w:t> </w:t>
      </w:r>
      <w:r>
        <w:rPr>
          <w:color w:val="111111"/>
          <w:sz w:val="22"/>
        </w:rPr>
        <w:t>including applying to </w:t>
      </w:r>
      <w:r>
        <w:rPr>
          <w:color w:val="2A2A2A"/>
          <w:sz w:val="22"/>
        </w:rPr>
        <w:t>the </w:t>
      </w:r>
      <w:r>
        <w:rPr>
          <w:color w:val="111111"/>
          <w:sz w:val="22"/>
        </w:rPr>
        <w:t>court for a </w:t>
      </w:r>
      <w:r>
        <w:rPr>
          <w:color w:val="2A2A2A"/>
          <w:sz w:val="22"/>
        </w:rPr>
        <w:t>declaration that </w:t>
      </w:r>
      <w:r>
        <w:rPr>
          <w:color w:val="111111"/>
          <w:sz w:val="22"/>
        </w:rPr>
        <w:t>an</w:t>
      </w:r>
      <w:r>
        <w:rPr>
          <w:color w:val="111111"/>
          <w:spacing w:val="-2"/>
          <w:sz w:val="22"/>
        </w:rPr>
        <w:t> </w:t>
      </w:r>
      <w:r>
        <w:rPr>
          <w:color w:val="3D3D3D"/>
          <w:sz w:val="22"/>
        </w:rPr>
        <w:t>i</w:t>
      </w:r>
      <w:r>
        <w:rPr>
          <w:color w:val="111111"/>
          <w:sz w:val="22"/>
        </w:rPr>
        <w:t>tem of account is contrary to law.</w:t>
      </w:r>
    </w:p>
    <w:p>
      <w:pPr>
        <w:pStyle w:val="BodyText"/>
        <w:spacing w:before="24"/>
        <w:rPr>
          <w:sz w:val="21"/>
        </w:rPr>
      </w:pPr>
    </w:p>
    <w:p>
      <w:pPr>
        <w:spacing w:before="1"/>
        <w:ind w:left="953" w:right="0" w:firstLine="0"/>
        <w:jc w:val="left"/>
        <w:rPr>
          <w:b/>
          <w:sz w:val="21"/>
        </w:rPr>
      </w:pPr>
      <w:r>
        <w:rPr>
          <w:b/>
          <w:color w:val="111111"/>
          <w:w w:val="105"/>
          <w:sz w:val="21"/>
          <w:u w:val="thick" w:color="111111"/>
        </w:rPr>
        <w:t>Whistle-blowing</w:t>
      </w:r>
      <w:r>
        <w:rPr>
          <w:b/>
          <w:color w:val="111111"/>
          <w:spacing w:val="-17"/>
          <w:w w:val="105"/>
          <w:sz w:val="21"/>
          <w:u w:val="thick" w:color="111111"/>
        </w:rPr>
        <w:t> </w:t>
      </w:r>
      <w:r>
        <w:rPr>
          <w:b/>
          <w:color w:val="111111"/>
          <w:w w:val="105"/>
          <w:sz w:val="21"/>
          <w:u w:val="thick" w:color="111111"/>
        </w:rPr>
        <w:t>and</w:t>
      </w:r>
      <w:r>
        <w:rPr>
          <w:b/>
          <w:color w:val="111111"/>
          <w:spacing w:val="-11"/>
          <w:w w:val="105"/>
          <w:sz w:val="21"/>
          <w:u w:val="thick" w:color="111111"/>
        </w:rPr>
        <w:t> </w:t>
      </w:r>
      <w:r>
        <w:rPr>
          <w:b/>
          <w:color w:val="111111"/>
          <w:w w:val="105"/>
          <w:sz w:val="21"/>
          <w:u w:val="thick" w:color="111111"/>
        </w:rPr>
        <w:t>receiving</w:t>
      </w:r>
      <w:r>
        <w:rPr>
          <w:b/>
          <w:color w:val="111111"/>
          <w:spacing w:val="4"/>
          <w:w w:val="105"/>
          <w:sz w:val="21"/>
          <w:u w:val="thick" w:color="111111"/>
        </w:rPr>
        <w:t> </w:t>
      </w:r>
      <w:r>
        <w:rPr>
          <w:b/>
          <w:color w:val="111111"/>
          <w:w w:val="105"/>
          <w:sz w:val="21"/>
          <w:u w:val="thick" w:color="111111"/>
        </w:rPr>
        <w:t>and</w:t>
      </w:r>
      <w:r>
        <w:rPr>
          <w:b/>
          <w:color w:val="111111"/>
          <w:spacing w:val="-7"/>
          <w:w w:val="105"/>
          <w:sz w:val="21"/>
          <w:u w:val="thick" w:color="111111"/>
        </w:rPr>
        <w:t> </w:t>
      </w:r>
      <w:r>
        <w:rPr>
          <w:b/>
          <w:color w:val="2A2A2A"/>
          <w:w w:val="105"/>
          <w:sz w:val="21"/>
          <w:u w:val="thick" w:color="111111"/>
        </w:rPr>
        <w:t>investigating</w:t>
      </w:r>
      <w:r>
        <w:rPr>
          <w:b/>
          <w:color w:val="2A2A2A"/>
          <w:spacing w:val="18"/>
          <w:w w:val="105"/>
          <w:sz w:val="21"/>
          <w:u w:val="thick" w:color="111111"/>
        </w:rPr>
        <w:t> </w:t>
      </w:r>
      <w:r>
        <w:rPr>
          <w:b/>
          <w:color w:val="111111"/>
          <w:w w:val="105"/>
          <w:sz w:val="21"/>
          <w:u w:val="thick" w:color="111111"/>
        </w:rPr>
        <w:t>complaints</w:t>
      </w:r>
      <w:r>
        <w:rPr>
          <w:b/>
          <w:color w:val="111111"/>
          <w:spacing w:val="5"/>
          <w:w w:val="105"/>
          <w:sz w:val="21"/>
          <w:u w:val="thick" w:color="111111"/>
        </w:rPr>
        <w:t> </w:t>
      </w:r>
      <w:r>
        <w:rPr>
          <w:b/>
          <w:color w:val="111111"/>
          <w:w w:val="105"/>
          <w:sz w:val="21"/>
          <w:u w:val="thick" w:color="111111"/>
        </w:rPr>
        <w:t>from</w:t>
      </w:r>
      <w:r>
        <w:rPr>
          <w:b/>
          <w:color w:val="111111"/>
          <w:spacing w:val="-5"/>
          <w:w w:val="105"/>
          <w:sz w:val="21"/>
          <w:u w:val="thick" w:color="111111"/>
        </w:rPr>
        <w:t> </w:t>
      </w:r>
      <w:r>
        <w:rPr>
          <w:b/>
          <w:color w:val="111111"/>
          <w:w w:val="105"/>
          <w:sz w:val="21"/>
          <w:u w:val="thick" w:color="111111"/>
        </w:rPr>
        <w:t>the</w:t>
      </w:r>
      <w:r>
        <w:rPr>
          <w:b/>
          <w:color w:val="111111"/>
          <w:spacing w:val="-1"/>
          <w:w w:val="105"/>
          <w:sz w:val="21"/>
          <w:u w:val="thick" w:color="111111"/>
        </w:rPr>
        <w:t> </w:t>
      </w:r>
      <w:r>
        <w:rPr>
          <w:b/>
          <w:color w:val="111111"/>
          <w:spacing w:val="-2"/>
          <w:w w:val="105"/>
          <w:sz w:val="21"/>
          <w:u w:val="thick" w:color="111111"/>
        </w:rPr>
        <w:t>public</w:t>
      </w:r>
    </w:p>
    <w:p>
      <w:pPr>
        <w:pStyle w:val="BodyText"/>
        <w:spacing w:before="18"/>
        <w:rPr>
          <w:b/>
          <w:sz w:val="21"/>
        </w:rPr>
      </w:pPr>
    </w:p>
    <w:p>
      <w:pPr>
        <w:pStyle w:val="ListParagraph"/>
        <w:numPr>
          <w:ilvl w:val="0"/>
          <w:numId w:val="29"/>
        </w:numPr>
        <w:tabs>
          <w:tab w:val="left" w:leader="none" w:pos="918"/>
          <w:tab w:val="left" w:leader="none" w:pos="925"/>
        </w:tabs>
        <w:spacing w:before="1" w:after="0" w:line="237" w:lineRule="auto"/>
        <w:ind w:left="918" w:right="226" w:hanging="708"/>
        <w:jc w:val="left"/>
        <w:rPr>
          <w:color w:val="111111"/>
          <w:sz w:val="22"/>
        </w:rPr>
      </w:pPr>
      <w:r>
        <w:rPr>
          <w:color w:val="111111"/>
          <w:sz w:val="22"/>
        </w:rPr>
        <w:tab/>
        <w:t>The Council's Whistle-blowing Policy</w:t>
      </w:r>
      <w:r>
        <w:rPr>
          <w:color w:val="111111"/>
          <w:spacing w:val="35"/>
          <w:sz w:val="22"/>
        </w:rPr>
        <w:t> </w:t>
      </w:r>
      <w:r>
        <w:rPr>
          <w:color w:val="111111"/>
          <w:sz w:val="22"/>
        </w:rPr>
        <w:t>was rev</w:t>
      </w:r>
      <w:r>
        <w:rPr>
          <w:color w:val="3D3D3D"/>
          <w:sz w:val="22"/>
        </w:rPr>
        <w:t>i</w:t>
      </w:r>
      <w:r>
        <w:rPr>
          <w:color w:val="111111"/>
          <w:sz w:val="22"/>
        </w:rPr>
        <w:t>ewed and updated in June 2017 </w:t>
      </w:r>
      <w:r>
        <w:rPr>
          <w:color w:val="2A2A2A"/>
          <w:sz w:val="22"/>
        </w:rPr>
        <w:t>to </w:t>
      </w:r>
      <w:r>
        <w:rPr>
          <w:color w:val="111111"/>
          <w:sz w:val="22"/>
        </w:rPr>
        <w:t>ensure that staff can continue to raise concerns in confidence </w:t>
      </w:r>
      <w:r>
        <w:rPr>
          <w:color w:val="2A2A2A"/>
          <w:sz w:val="22"/>
        </w:rPr>
        <w:t>and </w:t>
      </w:r>
      <w:r>
        <w:rPr>
          <w:color w:val="111111"/>
          <w:sz w:val="22"/>
        </w:rPr>
        <w:t>without</w:t>
      </w:r>
      <w:r>
        <w:rPr>
          <w:color w:val="111111"/>
          <w:spacing w:val="36"/>
          <w:sz w:val="22"/>
        </w:rPr>
        <w:t> </w:t>
      </w:r>
      <w:r>
        <w:rPr>
          <w:color w:val="2A2A2A"/>
          <w:sz w:val="22"/>
        </w:rPr>
        <w:t>fear </w:t>
      </w:r>
      <w:r>
        <w:rPr>
          <w:color w:val="111111"/>
          <w:sz w:val="22"/>
        </w:rPr>
        <w:t>of retribution in</w:t>
      </w:r>
      <w:r>
        <w:rPr>
          <w:color w:val="111111"/>
          <w:spacing w:val="-1"/>
          <w:sz w:val="22"/>
        </w:rPr>
        <w:t> </w:t>
      </w:r>
      <w:r>
        <w:rPr>
          <w:color w:val="111111"/>
          <w:sz w:val="22"/>
        </w:rPr>
        <w:t>relation </w:t>
      </w:r>
      <w:r>
        <w:rPr>
          <w:color w:val="2A2A2A"/>
          <w:sz w:val="22"/>
        </w:rPr>
        <w:t>to </w:t>
      </w:r>
      <w:r>
        <w:rPr>
          <w:color w:val="111111"/>
          <w:sz w:val="22"/>
        </w:rPr>
        <w:t>actual or perceived unlawful conduct, financial malpractice or dangers to the</w:t>
      </w:r>
      <w:r>
        <w:rPr>
          <w:color w:val="111111"/>
          <w:spacing w:val="-8"/>
          <w:sz w:val="22"/>
        </w:rPr>
        <w:t> </w:t>
      </w:r>
      <w:r>
        <w:rPr>
          <w:color w:val="111111"/>
          <w:sz w:val="22"/>
        </w:rPr>
        <w:t>public and</w:t>
      </w:r>
      <w:r>
        <w:rPr>
          <w:color w:val="111111"/>
          <w:spacing w:val="-4"/>
          <w:sz w:val="22"/>
        </w:rPr>
        <w:t> </w:t>
      </w:r>
      <w:r>
        <w:rPr>
          <w:color w:val="111111"/>
          <w:sz w:val="22"/>
        </w:rPr>
        <w:t>the env</w:t>
      </w:r>
      <w:r>
        <w:rPr>
          <w:color w:val="3D3D3D"/>
          <w:sz w:val="22"/>
        </w:rPr>
        <w:t>i</w:t>
      </w:r>
      <w:r>
        <w:rPr>
          <w:color w:val="111111"/>
          <w:sz w:val="22"/>
        </w:rPr>
        <w:t>ronment.</w:t>
      </w:r>
      <w:r>
        <w:rPr>
          <w:color w:val="111111"/>
          <w:spacing w:val="-3"/>
          <w:sz w:val="22"/>
        </w:rPr>
        <w:t> </w:t>
      </w:r>
      <w:r>
        <w:rPr>
          <w:color w:val="111111"/>
          <w:sz w:val="22"/>
        </w:rPr>
        <w:t>The Policy is available on </w:t>
      </w:r>
      <w:r>
        <w:rPr>
          <w:color w:val="2A2A2A"/>
          <w:sz w:val="22"/>
        </w:rPr>
        <w:t>the</w:t>
      </w:r>
      <w:r>
        <w:rPr>
          <w:color w:val="2A2A2A"/>
          <w:spacing w:val="-2"/>
          <w:sz w:val="22"/>
        </w:rPr>
        <w:t> </w:t>
      </w:r>
      <w:r>
        <w:rPr>
          <w:color w:val="111111"/>
          <w:sz w:val="22"/>
        </w:rPr>
        <w:t>Council's Website and</w:t>
      </w:r>
      <w:r>
        <w:rPr>
          <w:color w:val="111111"/>
          <w:spacing w:val="-3"/>
          <w:sz w:val="22"/>
        </w:rPr>
        <w:t> </w:t>
      </w:r>
      <w:r>
        <w:rPr>
          <w:color w:val="111111"/>
          <w:sz w:val="22"/>
        </w:rPr>
        <w:t>Intranet </w:t>
      </w:r>
      <w:r>
        <w:rPr>
          <w:color w:val="2A2A2A"/>
          <w:sz w:val="22"/>
        </w:rPr>
        <w:t>and</w:t>
      </w:r>
      <w:r>
        <w:rPr>
          <w:color w:val="2A2A2A"/>
          <w:spacing w:val="-4"/>
          <w:sz w:val="22"/>
        </w:rPr>
        <w:t> </w:t>
      </w:r>
      <w:r>
        <w:rPr>
          <w:color w:val="111111"/>
          <w:sz w:val="22"/>
        </w:rPr>
        <w:t>covers malpractice</w:t>
      </w:r>
      <w:r>
        <w:rPr>
          <w:color w:val="111111"/>
          <w:spacing w:val="35"/>
          <w:sz w:val="22"/>
        </w:rPr>
        <w:t> </w:t>
      </w:r>
      <w:r>
        <w:rPr>
          <w:color w:val="111111"/>
          <w:sz w:val="22"/>
        </w:rPr>
        <w:t>or wrongdoing by:</w:t>
      </w:r>
    </w:p>
    <w:p>
      <w:pPr>
        <w:pStyle w:val="BodyText"/>
        <w:spacing w:before="2"/>
      </w:pPr>
    </w:p>
    <w:p>
      <w:pPr>
        <w:pStyle w:val="ListParagraph"/>
        <w:numPr>
          <w:ilvl w:val="1"/>
          <w:numId w:val="29"/>
        </w:numPr>
        <w:tabs>
          <w:tab w:val="left" w:leader="none" w:pos="1339"/>
        </w:tabs>
        <w:spacing w:before="0" w:after="0" w:line="240" w:lineRule="auto"/>
        <w:ind w:left="1339" w:right="0" w:hanging="422"/>
        <w:jc w:val="left"/>
        <w:rPr>
          <w:color w:val="111111"/>
          <w:sz w:val="22"/>
        </w:rPr>
      </w:pPr>
      <w:r>
        <w:rPr>
          <w:color w:val="111111"/>
          <w:sz w:val="22"/>
        </w:rPr>
        <w:t>Any</w:t>
      </w:r>
      <w:r>
        <w:rPr>
          <w:color w:val="111111"/>
          <w:spacing w:val="8"/>
          <w:sz w:val="22"/>
        </w:rPr>
        <w:t> </w:t>
      </w:r>
      <w:r>
        <w:rPr>
          <w:color w:val="111111"/>
          <w:sz w:val="22"/>
        </w:rPr>
        <w:t>Member</w:t>
      </w:r>
      <w:r>
        <w:rPr>
          <w:color w:val="111111"/>
          <w:spacing w:val="12"/>
          <w:sz w:val="22"/>
        </w:rPr>
        <w:t> </w:t>
      </w:r>
      <w:r>
        <w:rPr>
          <w:color w:val="111111"/>
          <w:sz w:val="22"/>
        </w:rPr>
        <w:t>of the</w:t>
      </w:r>
      <w:r>
        <w:rPr>
          <w:color w:val="111111"/>
          <w:spacing w:val="2"/>
          <w:sz w:val="22"/>
        </w:rPr>
        <w:t> </w:t>
      </w:r>
      <w:r>
        <w:rPr>
          <w:color w:val="111111"/>
          <w:spacing w:val="-2"/>
          <w:sz w:val="22"/>
        </w:rPr>
        <w:t>Council,</w:t>
      </w:r>
    </w:p>
    <w:p>
      <w:pPr>
        <w:pStyle w:val="ListParagraph"/>
        <w:numPr>
          <w:ilvl w:val="1"/>
          <w:numId w:val="29"/>
        </w:numPr>
        <w:tabs>
          <w:tab w:val="left" w:leader="none" w:pos="1339"/>
        </w:tabs>
        <w:spacing w:before="59" w:after="0" w:line="240" w:lineRule="auto"/>
        <w:ind w:left="1339" w:right="0" w:hanging="428"/>
        <w:jc w:val="left"/>
        <w:rPr>
          <w:color w:val="111111"/>
          <w:sz w:val="22"/>
        </w:rPr>
      </w:pPr>
      <w:r>
        <w:rPr>
          <w:color w:val="111111"/>
          <w:sz w:val="22"/>
        </w:rPr>
        <w:t>Any</w:t>
      </w:r>
      <w:r>
        <w:rPr>
          <w:color w:val="111111"/>
          <w:spacing w:val="1"/>
          <w:sz w:val="22"/>
        </w:rPr>
        <w:t> </w:t>
      </w:r>
      <w:r>
        <w:rPr>
          <w:color w:val="111111"/>
          <w:sz w:val="22"/>
        </w:rPr>
        <w:t>employee</w:t>
      </w:r>
      <w:r>
        <w:rPr>
          <w:color w:val="111111"/>
          <w:spacing w:val="12"/>
          <w:sz w:val="22"/>
        </w:rPr>
        <w:t> </w:t>
      </w:r>
      <w:r>
        <w:rPr>
          <w:color w:val="111111"/>
          <w:sz w:val="22"/>
        </w:rPr>
        <w:t>of</w:t>
      </w:r>
      <w:r>
        <w:rPr>
          <w:color w:val="111111"/>
          <w:spacing w:val="-6"/>
          <w:sz w:val="22"/>
        </w:rPr>
        <w:t> </w:t>
      </w:r>
      <w:r>
        <w:rPr>
          <w:color w:val="111111"/>
          <w:sz w:val="22"/>
        </w:rPr>
        <w:t>the</w:t>
      </w:r>
      <w:r>
        <w:rPr>
          <w:color w:val="111111"/>
          <w:spacing w:val="-3"/>
          <w:sz w:val="22"/>
        </w:rPr>
        <w:t> </w:t>
      </w:r>
      <w:r>
        <w:rPr>
          <w:color w:val="111111"/>
          <w:sz w:val="22"/>
        </w:rPr>
        <w:t>Council,</w:t>
      </w:r>
      <w:r>
        <w:rPr>
          <w:color w:val="111111"/>
          <w:spacing w:val="9"/>
          <w:sz w:val="22"/>
        </w:rPr>
        <w:t> </w:t>
      </w:r>
      <w:r>
        <w:rPr>
          <w:color w:val="111111"/>
          <w:spacing w:val="-5"/>
          <w:sz w:val="22"/>
        </w:rPr>
        <w:t>and</w:t>
      </w:r>
    </w:p>
    <w:p>
      <w:pPr>
        <w:spacing w:after="0" w:line="240" w:lineRule="auto"/>
        <w:jc w:val="left"/>
        <w:rPr>
          <w:sz w:val="22"/>
        </w:rPr>
        <w:sectPr>
          <w:headerReference w:type="even" r:id="rId297"/>
          <w:pgSz w:w="11910" w:h="16830"/>
          <w:pgMar w:top="860" w:right="540" w:bottom="1200" w:left="440" w:header="0" w:footer="0"/>
        </w:sectPr>
      </w:pPr>
    </w:p>
    <w:p>
      <w:pPr>
        <w:pStyle w:val="ListParagraph"/>
        <w:numPr>
          <w:ilvl w:val="1"/>
          <w:numId w:val="29"/>
        </w:numPr>
        <w:tabs>
          <w:tab w:val="left" w:leader="none" w:pos="1255"/>
          <w:tab w:val="left" w:leader="none" w:pos="1257"/>
        </w:tabs>
        <w:spacing w:before="246" w:after="0" w:line="237" w:lineRule="auto"/>
        <w:ind w:left="1255" w:right="556" w:hanging="421"/>
        <w:jc w:val="left"/>
        <w:rPr>
          <w:color w:val="0C0C0C"/>
          <w:sz w:val="22"/>
        </w:rPr>
      </w:pPr>
      <w:r>
        <w:rPr>
          <w:color w:val="0C0C0C"/>
          <w:sz w:val="22"/>
        </w:rPr>
        <w:tab/>
        <w:t>Any contractor, supplier, consultant or</w:t>
      </w:r>
      <w:r>
        <w:rPr>
          <w:color w:val="0C0C0C"/>
          <w:spacing w:val="-7"/>
          <w:sz w:val="22"/>
        </w:rPr>
        <w:t> </w:t>
      </w:r>
      <w:r>
        <w:rPr>
          <w:color w:val="0C0C0C"/>
          <w:sz w:val="22"/>
        </w:rPr>
        <w:t>partner</w:t>
      </w:r>
      <w:r>
        <w:rPr>
          <w:color w:val="0C0C0C"/>
          <w:spacing w:val="-3"/>
          <w:sz w:val="22"/>
        </w:rPr>
        <w:t> </w:t>
      </w:r>
      <w:r>
        <w:rPr>
          <w:color w:val="0C0C0C"/>
          <w:sz w:val="22"/>
        </w:rPr>
        <w:t>of</w:t>
      </w:r>
      <w:r>
        <w:rPr>
          <w:color w:val="0C0C0C"/>
          <w:spacing w:val="-7"/>
          <w:sz w:val="22"/>
        </w:rPr>
        <w:t> </w:t>
      </w:r>
      <w:r>
        <w:rPr>
          <w:color w:val="0C0C0C"/>
          <w:sz w:val="22"/>
        </w:rPr>
        <w:t>the</w:t>
      </w:r>
      <w:r>
        <w:rPr>
          <w:color w:val="0C0C0C"/>
          <w:spacing w:val="-11"/>
          <w:sz w:val="22"/>
        </w:rPr>
        <w:t> </w:t>
      </w:r>
      <w:r>
        <w:rPr>
          <w:color w:val="0C0C0C"/>
          <w:sz w:val="22"/>
        </w:rPr>
        <w:t>Council</w:t>
      </w:r>
      <w:r>
        <w:rPr>
          <w:color w:val="0C0C0C"/>
          <w:spacing w:val="-1"/>
          <w:sz w:val="22"/>
        </w:rPr>
        <w:t> </w:t>
      </w:r>
      <w:r>
        <w:rPr>
          <w:color w:val="0C0C0C"/>
          <w:sz w:val="22"/>
        </w:rPr>
        <w:t>in</w:t>
      </w:r>
      <w:r>
        <w:rPr>
          <w:color w:val="0C0C0C"/>
          <w:spacing w:val="-12"/>
          <w:sz w:val="22"/>
        </w:rPr>
        <w:t> </w:t>
      </w:r>
      <w:r>
        <w:rPr>
          <w:color w:val="0C0C0C"/>
          <w:sz w:val="22"/>
        </w:rPr>
        <w:t>the</w:t>
      </w:r>
      <w:r>
        <w:rPr>
          <w:color w:val="0C0C0C"/>
          <w:spacing w:val="-9"/>
          <w:sz w:val="22"/>
        </w:rPr>
        <w:t> </w:t>
      </w:r>
      <w:r>
        <w:rPr>
          <w:color w:val="0C0C0C"/>
          <w:sz w:val="22"/>
        </w:rPr>
        <w:t>course</w:t>
      </w:r>
      <w:r>
        <w:rPr>
          <w:color w:val="0C0C0C"/>
          <w:spacing w:val="-2"/>
          <w:sz w:val="22"/>
        </w:rPr>
        <w:t> </w:t>
      </w:r>
      <w:r>
        <w:rPr>
          <w:color w:val="0C0C0C"/>
          <w:sz w:val="22"/>
        </w:rPr>
        <w:t>of</w:t>
      </w:r>
      <w:r>
        <w:rPr>
          <w:color w:val="0C0C0C"/>
          <w:spacing w:val="-7"/>
          <w:sz w:val="22"/>
        </w:rPr>
        <w:t> </w:t>
      </w:r>
      <w:r>
        <w:rPr>
          <w:color w:val="0C0C0C"/>
          <w:sz w:val="22"/>
        </w:rPr>
        <w:t>their work</w:t>
      </w:r>
      <w:r>
        <w:rPr>
          <w:color w:val="0C0C0C"/>
          <w:spacing w:val="-6"/>
          <w:sz w:val="22"/>
        </w:rPr>
        <w:t> </w:t>
      </w:r>
      <w:r>
        <w:rPr>
          <w:color w:val="0C0C0C"/>
          <w:sz w:val="22"/>
        </w:rPr>
        <w:t>for</w:t>
      </w:r>
      <w:r>
        <w:rPr>
          <w:color w:val="0C0C0C"/>
          <w:spacing w:val="-11"/>
          <w:sz w:val="22"/>
        </w:rPr>
        <w:t> </w:t>
      </w:r>
      <w:r>
        <w:rPr>
          <w:color w:val="0C0C0C"/>
          <w:sz w:val="22"/>
        </w:rPr>
        <w:t>the </w:t>
      </w:r>
      <w:r>
        <w:rPr>
          <w:color w:val="0C0C0C"/>
          <w:spacing w:val="-2"/>
          <w:sz w:val="22"/>
        </w:rPr>
        <w:t>Council.</w:t>
      </w:r>
    </w:p>
    <w:p>
      <w:pPr>
        <w:pStyle w:val="BodyText"/>
        <w:spacing w:before="1"/>
      </w:pPr>
    </w:p>
    <w:p>
      <w:pPr>
        <w:pStyle w:val="BodyText"/>
        <w:spacing w:line="237" w:lineRule="auto"/>
        <w:ind w:left="831" w:right="269" w:firstLine="2"/>
      </w:pPr>
      <w:r>
        <w:rPr>
          <w:color w:val="0C0C0C"/>
        </w:rPr>
        <w:t>The</w:t>
      </w:r>
      <w:r>
        <w:rPr>
          <w:color w:val="0C0C0C"/>
          <w:spacing w:val="-10"/>
        </w:rPr>
        <w:t> </w:t>
      </w:r>
      <w:r>
        <w:rPr>
          <w:color w:val="0C0C0C"/>
        </w:rPr>
        <w:t>Policy</w:t>
      </w:r>
      <w:r>
        <w:rPr>
          <w:color w:val="0C0C0C"/>
          <w:spacing w:val="-7"/>
        </w:rPr>
        <w:t> </w:t>
      </w:r>
      <w:r>
        <w:rPr>
          <w:color w:val="0C0C0C"/>
        </w:rPr>
        <w:t>is</w:t>
      </w:r>
      <w:r>
        <w:rPr>
          <w:color w:val="0C0C0C"/>
          <w:spacing w:val="-5"/>
        </w:rPr>
        <w:t> </w:t>
      </w:r>
      <w:r>
        <w:rPr>
          <w:color w:val="0C0C0C"/>
        </w:rPr>
        <w:t>currently </w:t>
      </w:r>
      <w:r>
        <w:rPr>
          <w:color w:val="1C1C1C"/>
        </w:rPr>
        <w:t>under</w:t>
      </w:r>
      <w:r>
        <w:rPr>
          <w:color w:val="1C1C1C"/>
          <w:spacing w:val="-9"/>
        </w:rPr>
        <w:t> </w:t>
      </w:r>
      <w:r>
        <w:rPr>
          <w:color w:val="0C0C0C"/>
        </w:rPr>
        <w:t>review </w:t>
      </w:r>
      <w:r>
        <w:rPr>
          <w:color w:val="1C1C1C"/>
        </w:rPr>
        <w:t>and</w:t>
      </w:r>
      <w:r>
        <w:rPr>
          <w:color w:val="1C1C1C"/>
          <w:spacing w:val="-11"/>
        </w:rPr>
        <w:t> </w:t>
      </w:r>
      <w:r>
        <w:rPr>
          <w:color w:val="0C0C0C"/>
        </w:rPr>
        <w:t>any</w:t>
      </w:r>
      <w:r>
        <w:rPr>
          <w:color w:val="0C0C0C"/>
          <w:spacing w:val="-3"/>
        </w:rPr>
        <w:t> </w:t>
      </w:r>
      <w:r>
        <w:rPr>
          <w:color w:val="0C0C0C"/>
        </w:rPr>
        <w:t>updates or</w:t>
      </w:r>
      <w:r>
        <w:rPr>
          <w:color w:val="0C0C0C"/>
          <w:spacing w:val="-6"/>
        </w:rPr>
        <w:t> </w:t>
      </w:r>
      <w:r>
        <w:rPr>
          <w:color w:val="0C0C0C"/>
        </w:rPr>
        <w:t>amendments</w:t>
      </w:r>
      <w:r>
        <w:rPr>
          <w:color w:val="0C0C0C"/>
          <w:spacing w:val="20"/>
        </w:rPr>
        <w:t> </w:t>
      </w:r>
      <w:r>
        <w:rPr>
          <w:color w:val="0C0C0C"/>
        </w:rPr>
        <w:t>will</w:t>
      </w:r>
      <w:r>
        <w:rPr>
          <w:color w:val="0C0C0C"/>
          <w:spacing w:val="-8"/>
        </w:rPr>
        <w:t> </w:t>
      </w:r>
      <w:r>
        <w:rPr>
          <w:color w:val="0C0C0C"/>
        </w:rPr>
        <w:t>be</w:t>
      </w:r>
      <w:r>
        <w:rPr>
          <w:color w:val="0C0C0C"/>
          <w:spacing w:val="-9"/>
        </w:rPr>
        <w:t> </w:t>
      </w:r>
      <w:r>
        <w:rPr>
          <w:color w:val="0C0C0C"/>
        </w:rPr>
        <w:t>reported</w:t>
      </w:r>
      <w:r>
        <w:rPr>
          <w:color w:val="0C0C0C"/>
          <w:spacing w:val="-6"/>
        </w:rPr>
        <w:t> </w:t>
      </w:r>
      <w:r>
        <w:rPr>
          <w:color w:val="0C0C0C"/>
        </w:rPr>
        <w:t>to</w:t>
      </w:r>
      <w:r>
        <w:rPr>
          <w:color w:val="0C0C0C"/>
          <w:spacing w:val="-7"/>
        </w:rPr>
        <w:t> </w:t>
      </w:r>
      <w:r>
        <w:rPr>
          <w:color w:val="0C0C0C"/>
        </w:rPr>
        <w:t>the Personnel, Audit and </w:t>
      </w:r>
      <w:r>
        <w:rPr>
          <w:color w:val="1C1C1C"/>
        </w:rPr>
        <w:t>Standards Committees </w:t>
      </w:r>
      <w:r>
        <w:rPr>
          <w:color w:val="0C0C0C"/>
        </w:rPr>
        <w:t>in 2023/24.</w:t>
      </w:r>
    </w:p>
    <w:p>
      <w:pPr>
        <w:pStyle w:val="BodyText"/>
        <w:spacing w:before="3"/>
      </w:pPr>
    </w:p>
    <w:p>
      <w:pPr>
        <w:pStyle w:val="ListParagraph"/>
        <w:numPr>
          <w:ilvl w:val="0"/>
          <w:numId w:val="29"/>
        </w:numPr>
        <w:tabs>
          <w:tab w:val="left" w:leader="none" w:pos="833"/>
          <w:tab w:val="left" w:leader="none" w:pos="842"/>
        </w:tabs>
        <w:spacing w:before="0" w:after="0" w:line="240" w:lineRule="auto"/>
        <w:ind w:left="842" w:right="357" w:hanging="714"/>
        <w:jc w:val="left"/>
        <w:rPr>
          <w:color w:val="0C0C0C"/>
          <w:sz w:val="22"/>
        </w:rPr>
      </w:pPr>
      <w:r>
        <w:rPr>
          <w:color w:val="0C0C0C"/>
          <w:sz w:val="22"/>
        </w:rPr>
        <w:t>The</w:t>
      </w:r>
      <w:r>
        <w:rPr>
          <w:color w:val="0C0C0C"/>
          <w:spacing w:val="-4"/>
          <w:sz w:val="22"/>
        </w:rPr>
        <w:t> </w:t>
      </w:r>
      <w:r>
        <w:rPr>
          <w:color w:val="0C0C0C"/>
          <w:sz w:val="22"/>
        </w:rPr>
        <w:t>Council aims</w:t>
      </w:r>
      <w:r>
        <w:rPr>
          <w:color w:val="0C0C0C"/>
          <w:spacing w:val="-4"/>
          <w:sz w:val="22"/>
        </w:rPr>
        <w:t> </w:t>
      </w:r>
      <w:r>
        <w:rPr>
          <w:color w:val="0C0C0C"/>
          <w:sz w:val="22"/>
        </w:rPr>
        <w:t>to</w:t>
      </w:r>
      <w:r>
        <w:rPr>
          <w:color w:val="0C0C0C"/>
          <w:spacing w:val="-6"/>
          <w:sz w:val="22"/>
        </w:rPr>
        <w:t> </w:t>
      </w:r>
      <w:r>
        <w:rPr>
          <w:color w:val="0C0C0C"/>
          <w:sz w:val="22"/>
        </w:rPr>
        <w:t>provide high-quality</w:t>
      </w:r>
      <w:r>
        <w:rPr>
          <w:color w:val="0C0C0C"/>
          <w:spacing w:val="31"/>
          <w:sz w:val="22"/>
        </w:rPr>
        <w:t> </w:t>
      </w:r>
      <w:r>
        <w:rPr>
          <w:color w:val="0C0C0C"/>
          <w:sz w:val="22"/>
        </w:rPr>
        <w:t>services for everyone in</w:t>
      </w:r>
      <w:r>
        <w:rPr>
          <w:color w:val="0C0C0C"/>
          <w:spacing w:val="-4"/>
          <w:sz w:val="22"/>
        </w:rPr>
        <w:t> </w:t>
      </w:r>
      <w:r>
        <w:rPr>
          <w:color w:val="0C0C0C"/>
          <w:sz w:val="22"/>
        </w:rPr>
        <w:t>the</w:t>
      </w:r>
      <w:r>
        <w:rPr>
          <w:color w:val="0C0C0C"/>
          <w:spacing w:val="-3"/>
          <w:sz w:val="22"/>
        </w:rPr>
        <w:t> </w:t>
      </w:r>
      <w:r>
        <w:rPr>
          <w:color w:val="0C0C0C"/>
          <w:sz w:val="22"/>
        </w:rPr>
        <w:t>Hertsmere</w:t>
      </w:r>
      <w:r>
        <w:rPr>
          <w:color w:val="0C0C0C"/>
          <w:spacing w:val="22"/>
          <w:sz w:val="22"/>
        </w:rPr>
        <w:t> </w:t>
      </w:r>
      <w:r>
        <w:rPr>
          <w:color w:val="0C0C0C"/>
          <w:sz w:val="22"/>
        </w:rPr>
        <w:t>area and</w:t>
      </w:r>
      <w:r>
        <w:rPr>
          <w:color w:val="0C0C0C"/>
          <w:sz w:val="22"/>
        </w:rPr>
        <w:t> </w:t>
      </w:r>
      <w:r>
        <w:rPr>
          <w:color w:val="1C1C1C"/>
          <w:sz w:val="22"/>
        </w:rPr>
        <w:t>recognises</w:t>
      </w:r>
      <w:r>
        <w:rPr>
          <w:color w:val="1C1C1C"/>
          <w:spacing w:val="-1"/>
          <w:sz w:val="22"/>
        </w:rPr>
        <w:t> </w:t>
      </w:r>
      <w:r>
        <w:rPr>
          <w:color w:val="1C1C1C"/>
          <w:sz w:val="22"/>
        </w:rPr>
        <w:t>the</w:t>
      </w:r>
      <w:r>
        <w:rPr>
          <w:color w:val="1C1C1C"/>
          <w:spacing w:val="-8"/>
          <w:sz w:val="22"/>
        </w:rPr>
        <w:t> </w:t>
      </w:r>
      <w:r>
        <w:rPr>
          <w:color w:val="1C1C1C"/>
          <w:sz w:val="22"/>
        </w:rPr>
        <w:t>importance of</w:t>
      </w:r>
      <w:r>
        <w:rPr>
          <w:color w:val="1C1C1C"/>
          <w:spacing w:val="-7"/>
          <w:sz w:val="22"/>
        </w:rPr>
        <w:t> </w:t>
      </w:r>
      <w:r>
        <w:rPr>
          <w:color w:val="1C1C1C"/>
          <w:sz w:val="22"/>
        </w:rPr>
        <w:t>customer</w:t>
      </w:r>
      <w:r>
        <w:rPr>
          <w:color w:val="1C1C1C"/>
          <w:spacing w:val="-3"/>
          <w:sz w:val="22"/>
        </w:rPr>
        <w:t> </w:t>
      </w:r>
      <w:r>
        <w:rPr>
          <w:color w:val="1C1C1C"/>
          <w:sz w:val="22"/>
        </w:rPr>
        <w:t>feedback (i.e.</w:t>
      </w:r>
      <w:r>
        <w:rPr>
          <w:color w:val="1C1C1C"/>
          <w:spacing w:val="-4"/>
          <w:sz w:val="22"/>
        </w:rPr>
        <w:t> </w:t>
      </w:r>
      <w:r>
        <w:rPr>
          <w:color w:val="0C0C0C"/>
          <w:sz w:val="22"/>
        </w:rPr>
        <w:t>Comments, </w:t>
      </w:r>
      <w:r>
        <w:rPr>
          <w:color w:val="1C1C1C"/>
          <w:sz w:val="22"/>
        </w:rPr>
        <w:t>Compliments</w:t>
      </w:r>
      <w:r>
        <w:rPr>
          <w:color w:val="1C1C1C"/>
          <w:spacing w:val="-1"/>
          <w:sz w:val="22"/>
        </w:rPr>
        <w:t> </w:t>
      </w:r>
      <w:r>
        <w:rPr>
          <w:color w:val="0C0C0C"/>
          <w:sz w:val="22"/>
        </w:rPr>
        <w:t>or</w:t>
      </w:r>
      <w:r>
        <w:rPr>
          <w:color w:val="0C0C0C"/>
          <w:spacing w:val="-9"/>
          <w:sz w:val="22"/>
        </w:rPr>
        <w:t> </w:t>
      </w:r>
      <w:r>
        <w:rPr>
          <w:color w:val="1C1C1C"/>
          <w:sz w:val="22"/>
        </w:rPr>
        <w:t>Complaints).</w:t>
      </w:r>
      <w:r>
        <w:rPr>
          <w:color w:val="1C1C1C"/>
          <w:spacing w:val="-1"/>
          <w:sz w:val="22"/>
        </w:rPr>
        <w:t> </w:t>
      </w:r>
      <w:r>
        <w:rPr>
          <w:color w:val="0C0C0C"/>
          <w:sz w:val="22"/>
        </w:rPr>
        <w:t>The </w:t>
      </w:r>
      <w:r>
        <w:rPr>
          <w:color w:val="1C1C1C"/>
          <w:sz w:val="22"/>
        </w:rPr>
        <w:t>Council</w:t>
      </w:r>
      <w:r>
        <w:rPr>
          <w:color w:val="1C1C1C"/>
          <w:spacing w:val="-4"/>
          <w:sz w:val="22"/>
        </w:rPr>
        <w:t> </w:t>
      </w:r>
      <w:r>
        <w:rPr>
          <w:color w:val="1C1C1C"/>
          <w:sz w:val="22"/>
        </w:rPr>
        <w:t>has</w:t>
      </w:r>
      <w:r>
        <w:rPr>
          <w:color w:val="1C1C1C"/>
          <w:spacing w:val="-3"/>
          <w:sz w:val="22"/>
        </w:rPr>
        <w:t> </w:t>
      </w:r>
      <w:r>
        <w:rPr>
          <w:color w:val="1C1C1C"/>
          <w:sz w:val="22"/>
        </w:rPr>
        <w:t>approved</w:t>
      </w:r>
      <w:r>
        <w:rPr>
          <w:color w:val="1C1C1C"/>
          <w:spacing w:val="-2"/>
          <w:sz w:val="22"/>
        </w:rPr>
        <w:t> </w:t>
      </w:r>
      <w:r>
        <w:rPr>
          <w:color w:val="1C1C1C"/>
          <w:sz w:val="22"/>
        </w:rPr>
        <w:t>a</w:t>
      </w:r>
      <w:r>
        <w:rPr>
          <w:color w:val="1C1C1C"/>
          <w:spacing w:val="-14"/>
          <w:sz w:val="22"/>
        </w:rPr>
        <w:t> </w:t>
      </w:r>
      <w:r>
        <w:rPr>
          <w:color w:val="1C1C1C"/>
          <w:sz w:val="22"/>
        </w:rPr>
        <w:t>Customer </w:t>
      </w:r>
      <w:r>
        <w:rPr>
          <w:color w:val="0C0C0C"/>
          <w:sz w:val="22"/>
        </w:rPr>
        <w:t>Feedback </w:t>
      </w:r>
      <w:r>
        <w:rPr>
          <w:color w:val="1C1C1C"/>
          <w:sz w:val="22"/>
        </w:rPr>
        <w:t>Procedure, </w:t>
      </w:r>
      <w:r>
        <w:rPr>
          <w:color w:val="0C0C0C"/>
          <w:sz w:val="22"/>
        </w:rPr>
        <w:t>which</w:t>
      </w:r>
      <w:r>
        <w:rPr>
          <w:color w:val="0C0C0C"/>
          <w:spacing w:val="-5"/>
          <w:sz w:val="22"/>
        </w:rPr>
        <w:t> </w:t>
      </w:r>
      <w:r>
        <w:rPr>
          <w:color w:val="0C0C0C"/>
          <w:sz w:val="22"/>
        </w:rPr>
        <w:t>is</w:t>
      </w:r>
      <w:r>
        <w:rPr>
          <w:color w:val="0C0C0C"/>
          <w:spacing w:val="-5"/>
          <w:sz w:val="22"/>
        </w:rPr>
        <w:t> </w:t>
      </w:r>
      <w:r>
        <w:rPr>
          <w:color w:val="1C1C1C"/>
          <w:sz w:val="22"/>
        </w:rPr>
        <w:t>available both</w:t>
      </w:r>
      <w:r>
        <w:rPr>
          <w:color w:val="1C1C1C"/>
          <w:spacing w:val="-15"/>
          <w:sz w:val="22"/>
        </w:rPr>
        <w:t> </w:t>
      </w:r>
      <w:r>
        <w:rPr>
          <w:color w:val="0C0C0C"/>
          <w:sz w:val="22"/>
        </w:rPr>
        <w:t>in</w:t>
      </w:r>
      <w:r>
        <w:rPr>
          <w:color w:val="0C0C0C"/>
          <w:spacing w:val="-8"/>
          <w:sz w:val="22"/>
        </w:rPr>
        <w:t> </w:t>
      </w:r>
      <w:r>
        <w:rPr>
          <w:color w:val="1C1C1C"/>
          <w:sz w:val="22"/>
        </w:rPr>
        <w:t>leaflet</w:t>
      </w:r>
      <w:r>
        <w:rPr>
          <w:color w:val="1C1C1C"/>
          <w:spacing w:val="-3"/>
          <w:sz w:val="22"/>
        </w:rPr>
        <w:t> </w:t>
      </w:r>
      <w:r>
        <w:rPr>
          <w:color w:val="1C1C1C"/>
          <w:sz w:val="22"/>
        </w:rPr>
        <w:t>form</w:t>
      </w:r>
      <w:r>
        <w:rPr>
          <w:color w:val="1C1C1C"/>
          <w:spacing w:val="-12"/>
          <w:sz w:val="22"/>
        </w:rPr>
        <w:t> </w:t>
      </w:r>
      <w:r>
        <w:rPr>
          <w:color w:val="0C0C0C"/>
          <w:sz w:val="22"/>
        </w:rPr>
        <w:t>in</w:t>
      </w:r>
      <w:r>
        <w:rPr>
          <w:color w:val="0C0C0C"/>
          <w:spacing w:val="-12"/>
          <w:sz w:val="22"/>
        </w:rPr>
        <w:t> </w:t>
      </w:r>
      <w:r>
        <w:rPr>
          <w:color w:val="0C0C0C"/>
          <w:sz w:val="22"/>
        </w:rPr>
        <w:t>the </w:t>
      </w:r>
      <w:r>
        <w:rPr>
          <w:color w:val="1C1C1C"/>
          <w:sz w:val="22"/>
        </w:rPr>
        <w:t>Civic Offices</w:t>
      </w:r>
      <w:r>
        <w:rPr>
          <w:color w:val="525252"/>
          <w:sz w:val="22"/>
        </w:rPr>
        <w:t>' </w:t>
      </w:r>
      <w:r>
        <w:rPr>
          <w:color w:val="1C1C1C"/>
          <w:sz w:val="22"/>
        </w:rPr>
        <w:t>Reception and in</w:t>
      </w:r>
      <w:r>
        <w:rPr>
          <w:color w:val="1C1C1C"/>
          <w:spacing w:val="-6"/>
          <w:sz w:val="22"/>
        </w:rPr>
        <w:t> </w:t>
      </w:r>
      <w:r>
        <w:rPr>
          <w:color w:val="1C1C1C"/>
          <w:sz w:val="22"/>
        </w:rPr>
        <w:t>the Area Offices as </w:t>
      </w:r>
      <w:r>
        <w:rPr>
          <w:color w:val="0C0C0C"/>
          <w:sz w:val="22"/>
        </w:rPr>
        <w:t>well as on</w:t>
      </w:r>
      <w:r>
        <w:rPr>
          <w:color w:val="0C0C0C"/>
          <w:spacing w:val="-3"/>
          <w:sz w:val="22"/>
        </w:rPr>
        <w:t> </w:t>
      </w:r>
      <w:r>
        <w:rPr>
          <w:color w:val="0C0C0C"/>
          <w:sz w:val="22"/>
        </w:rPr>
        <w:t>the</w:t>
      </w:r>
      <w:r>
        <w:rPr>
          <w:color w:val="0C0C0C"/>
          <w:spacing w:val="-2"/>
          <w:sz w:val="22"/>
        </w:rPr>
        <w:t> </w:t>
      </w:r>
      <w:r>
        <w:rPr>
          <w:color w:val="0C0C0C"/>
          <w:sz w:val="22"/>
        </w:rPr>
        <w:t>website.</w:t>
      </w:r>
    </w:p>
    <w:p>
      <w:pPr>
        <w:pStyle w:val="BodyText"/>
        <w:spacing w:before="20"/>
        <w:rPr>
          <w:sz w:val="21"/>
        </w:rPr>
      </w:pPr>
    </w:p>
    <w:p>
      <w:pPr>
        <w:spacing w:before="0" w:line="252" w:lineRule="auto"/>
        <w:ind w:left="848" w:right="402" w:firstLine="4"/>
        <w:jc w:val="left"/>
        <w:rPr>
          <w:b/>
          <w:sz w:val="21"/>
        </w:rPr>
      </w:pPr>
      <w:r>
        <w:rPr>
          <w:b/>
          <w:color w:val="0C0C0C"/>
          <w:w w:val="105"/>
          <w:sz w:val="21"/>
          <w:u w:val="thick" w:color="1C1C1C"/>
        </w:rPr>
        <w:t>Identifying the</w:t>
      </w:r>
      <w:r>
        <w:rPr>
          <w:b/>
          <w:color w:val="0C0C0C"/>
          <w:spacing w:val="-10"/>
          <w:w w:val="105"/>
          <w:sz w:val="21"/>
          <w:u w:val="thick" w:color="1C1C1C"/>
        </w:rPr>
        <w:t> </w:t>
      </w:r>
      <w:r>
        <w:rPr>
          <w:b/>
          <w:color w:val="1C1C1C"/>
          <w:w w:val="105"/>
          <w:sz w:val="21"/>
          <w:u w:val="thick" w:color="1C1C1C"/>
        </w:rPr>
        <w:t>development needs</w:t>
      </w:r>
      <w:r>
        <w:rPr>
          <w:b/>
          <w:color w:val="1C1C1C"/>
          <w:spacing w:val="-9"/>
          <w:w w:val="105"/>
          <w:sz w:val="21"/>
          <w:u w:val="thick" w:color="1C1C1C"/>
        </w:rPr>
        <w:t> </w:t>
      </w:r>
      <w:r>
        <w:rPr>
          <w:b/>
          <w:color w:val="0C0C0C"/>
          <w:w w:val="105"/>
          <w:sz w:val="21"/>
          <w:u w:val="thick" w:color="1C1C1C"/>
        </w:rPr>
        <w:t>of</w:t>
      </w:r>
      <w:r>
        <w:rPr>
          <w:b/>
          <w:color w:val="0C0C0C"/>
          <w:spacing w:val="-13"/>
          <w:w w:val="105"/>
          <w:sz w:val="21"/>
          <w:u w:val="thick" w:color="1C1C1C"/>
        </w:rPr>
        <w:t> </w:t>
      </w:r>
      <w:r>
        <w:rPr>
          <w:b/>
          <w:color w:val="1C1C1C"/>
          <w:w w:val="105"/>
          <w:sz w:val="21"/>
          <w:u w:val="thick" w:color="1C1C1C"/>
        </w:rPr>
        <w:t>Members</w:t>
      </w:r>
      <w:r>
        <w:rPr>
          <w:b/>
          <w:color w:val="1C1C1C"/>
          <w:spacing w:val="-1"/>
          <w:w w:val="105"/>
          <w:sz w:val="21"/>
          <w:u w:val="thick" w:color="1C1C1C"/>
        </w:rPr>
        <w:t> </w:t>
      </w:r>
      <w:r>
        <w:rPr>
          <w:b/>
          <w:color w:val="0C0C0C"/>
          <w:w w:val="105"/>
          <w:sz w:val="21"/>
          <w:u w:val="thick" w:color="1C1C1C"/>
        </w:rPr>
        <w:t>and</w:t>
      </w:r>
      <w:r>
        <w:rPr>
          <w:b/>
          <w:color w:val="0C0C0C"/>
          <w:spacing w:val="-3"/>
          <w:w w:val="105"/>
          <w:sz w:val="21"/>
          <w:u w:val="thick" w:color="1C1C1C"/>
        </w:rPr>
        <w:t> </w:t>
      </w:r>
      <w:r>
        <w:rPr>
          <w:b/>
          <w:color w:val="1C1C1C"/>
          <w:w w:val="105"/>
          <w:sz w:val="21"/>
          <w:u w:val="thick" w:color="1C1C1C"/>
        </w:rPr>
        <w:t>senior</w:t>
      </w:r>
      <w:r>
        <w:rPr>
          <w:b/>
          <w:color w:val="1C1C1C"/>
          <w:spacing w:val="-3"/>
          <w:w w:val="105"/>
          <w:sz w:val="21"/>
          <w:u w:val="thick" w:color="1C1C1C"/>
        </w:rPr>
        <w:t> </w:t>
      </w:r>
      <w:r>
        <w:rPr>
          <w:b/>
          <w:color w:val="0C0C0C"/>
          <w:w w:val="105"/>
          <w:sz w:val="21"/>
          <w:u w:val="thick" w:color="1C1C1C"/>
        </w:rPr>
        <w:t>officers</w:t>
      </w:r>
      <w:r>
        <w:rPr>
          <w:b/>
          <w:color w:val="0C0C0C"/>
          <w:spacing w:val="-7"/>
          <w:w w:val="105"/>
          <w:sz w:val="21"/>
          <w:u w:val="thick" w:color="1C1C1C"/>
        </w:rPr>
        <w:t> </w:t>
      </w:r>
      <w:r>
        <w:rPr>
          <w:b/>
          <w:color w:val="1C1C1C"/>
          <w:w w:val="105"/>
          <w:sz w:val="21"/>
          <w:u w:val="thick" w:color="1C1C1C"/>
        </w:rPr>
        <w:t>in</w:t>
      </w:r>
      <w:r>
        <w:rPr>
          <w:b/>
          <w:color w:val="1C1C1C"/>
          <w:spacing w:val="-4"/>
          <w:w w:val="105"/>
          <w:sz w:val="21"/>
          <w:u w:val="thick" w:color="1C1C1C"/>
        </w:rPr>
        <w:t> </w:t>
      </w:r>
      <w:r>
        <w:rPr>
          <w:b/>
          <w:color w:val="1C1C1C"/>
          <w:w w:val="105"/>
          <w:sz w:val="21"/>
          <w:u w:val="thick" w:color="1C1C1C"/>
        </w:rPr>
        <w:t>relation</w:t>
      </w:r>
      <w:r>
        <w:rPr>
          <w:b/>
          <w:color w:val="1C1C1C"/>
          <w:spacing w:val="-6"/>
          <w:w w:val="105"/>
          <w:sz w:val="21"/>
          <w:u w:val="thick" w:color="1C1C1C"/>
        </w:rPr>
        <w:t> </w:t>
      </w:r>
      <w:r>
        <w:rPr>
          <w:b/>
          <w:color w:val="0C0C0C"/>
          <w:w w:val="105"/>
          <w:sz w:val="21"/>
          <w:u w:val="thick" w:color="1C1C1C"/>
        </w:rPr>
        <w:t>to</w:t>
      </w:r>
      <w:r>
        <w:rPr>
          <w:b/>
          <w:color w:val="0C0C0C"/>
          <w:spacing w:val="-11"/>
          <w:w w:val="105"/>
          <w:sz w:val="21"/>
          <w:u w:val="thick" w:color="1C1C1C"/>
        </w:rPr>
        <w:t> </w:t>
      </w:r>
      <w:r>
        <w:rPr>
          <w:b/>
          <w:color w:val="1C1C1C"/>
          <w:w w:val="105"/>
          <w:sz w:val="21"/>
          <w:u w:val="thick" w:color="1C1C1C"/>
        </w:rPr>
        <w:t>their</w:t>
      </w:r>
      <w:r>
        <w:rPr>
          <w:b/>
          <w:color w:val="1C1C1C"/>
          <w:w w:val="105"/>
          <w:sz w:val="21"/>
          <w:u w:val="none"/>
        </w:rPr>
        <w:t> </w:t>
      </w:r>
      <w:r>
        <w:rPr>
          <w:b/>
          <w:color w:val="0C0C0C"/>
          <w:w w:val="105"/>
          <w:sz w:val="21"/>
          <w:u w:val="thick" w:color="0C0C0C"/>
        </w:rPr>
        <w:t>strategic roles, supported by the appropriate training</w:t>
      </w:r>
    </w:p>
    <w:p>
      <w:pPr>
        <w:pStyle w:val="BodyText"/>
        <w:spacing w:before="13"/>
        <w:rPr>
          <w:b/>
          <w:sz w:val="21"/>
        </w:rPr>
      </w:pPr>
    </w:p>
    <w:p>
      <w:pPr>
        <w:pStyle w:val="ListParagraph"/>
        <w:numPr>
          <w:ilvl w:val="0"/>
          <w:numId w:val="29"/>
        </w:numPr>
        <w:tabs>
          <w:tab w:val="left" w:leader="none" w:pos="833"/>
          <w:tab w:val="left" w:leader="none" w:pos="837"/>
        </w:tabs>
        <w:spacing w:before="0" w:after="0" w:line="237" w:lineRule="auto"/>
        <w:ind w:left="837" w:right="326" w:hanging="709"/>
        <w:jc w:val="left"/>
        <w:rPr>
          <w:color w:val="0C0C0C"/>
          <w:sz w:val="22"/>
        </w:rPr>
      </w:pPr>
      <w:r>
        <w:rPr>
          <w:color w:val="0C0C0C"/>
          <w:sz w:val="22"/>
        </w:rPr>
        <w:t>On</w:t>
      </w:r>
      <w:r>
        <w:rPr>
          <w:color w:val="0C0C0C"/>
          <w:spacing w:val="-10"/>
          <w:sz w:val="22"/>
        </w:rPr>
        <w:t> </w:t>
      </w:r>
      <w:r>
        <w:rPr>
          <w:color w:val="0C0C0C"/>
          <w:sz w:val="22"/>
        </w:rPr>
        <w:t>taking up</w:t>
      </w:r>
      <w:r>
        <w:rPr>
          <w:color w:val="0C0C0C"/>
          <w:spacing w:val="-3"/>
          <w:sz w:val="22"/>
        </w:rPr>
        <w:t> </w:t>
      </w:r>
      <w:r>
        <w:rPr>
          <w:color w:val="0C0C0C"/>
          <w:sz w:val="22"/>
        </w:rPr>
        <w:t>office, all</w:t>
      </w:r>
      <w:r>
        <w:rPr>
          <w:color w:val="0C0C0C"/>
          <w:spacing w:val="-5"/>
          <w:sz w:val="22"/>
        </w:rPr>
        <w:t> </w:t>
      </w:r>
      <w:r>
        <w:rPr>
          <w:color w:val="0C0C0C"/>
          <w:sz w:val="22"/>
        </w:rPr>
        <w:t>Members are required to attend a comprehensive Members' Induction</w:t>
      </w:r>
      <w:r>
        <w:rPr>
          <w:color w:val="0C0C0C"/>
          <w:sz w:val="22"/>
        </w:rPr>
        <w:t> </w:t>
      </w:r>
      <w:r>
        <w:rPr>
          <w:color w:val="1C1C1C"/>
          <w:sz w:val="22"/>
        </w:rPr>
        <w:t>Course. The</w:t>
      </w:r>
      <w:r>
        <w:rPr>
          <w:color w:val="1C1C1C"/>
          <w:spacing w:val="-8"/>
          <w:sz w:val="22"/>
        </w:rPr>
        <w:t> </w:t>
      </w:r>
      <w:r>
        <w:rPr>
          <w:color w:val="0C0C0C"/>
          <w:sz w:val="22"/>
        </w:rPr>
        <w:t>Constitution </w:t>
      </w:r>
      <w:r>
        <w:rPr>
          <w:color w:val="1C1C1C"/>
          <w:sz w:val="22"/>
        </w:rPr>
        <w:t>states that</w:t>
      </w:r>
      <w:r>
        <w:rPr>
          <w:color w:val="1C1C1C"/>
          <w:spacing w:val="-2"/>
          <w:sz w:val="22"/>
        </w:rPr>
        <w:t> </w:t>
      </w:r>
      <w:r>
        <w:rPr>
          <w:color w:val="0C0C0C"/>
          <w:sz w:val="22"/>
        </w:rPr>
        <w:t>the</w:t>
      </w:r>
      <w:r>
        <w:rPr>
          <w:color w:val="0C0C0C"/>
          <w:spacing w:val="-8"/>
          <w:sz w:val="22"/>
        </w:rPr>
        <w:t> </w:t>
      </w:r>
      <w:r>
        <w:rPr>
          <w:color w:val="0C0C0C"/>
          <w:sz w:val="22"/>
        </w:rPr>
        <w:t>Council</w:t>
      </w:r>
      <w:r>
        <w:rPr>
          <w:color w:val="525252"/>
          <w:sz w:val="22"/>
        </w:rPr>
        <w:t>'</w:t>
      </w:r>
      <w:r>
        <w:rPr>
          <w:color w:val="1C1C1C"/>
          <w:sz w:val="22"/>
        </w:rPr>
        <w:t>s</w:t>
      </w:r>
      <w:r>
        <w:rPr>
          <w:color w:val="1C1C1C"/>
          <w:spacing w:val="-16"/>
          <w:sz w:val="22"/>
        </w:rPr>
        <w:t> </w:t>
      </w:r>
      <w:r>
        <w:rPr>
          <w:color w:val="0C0C0C"/>
          <w:sz w:val="22"/>
        </w:rPr>
        <w:t>Standards </w:t>
      </w:r>
      <w:r>
        <w:rPr>
          <w:color w:val="1C1C1C"/>
          <w:sz w:val="22"/>
        </w:rPr>
        <w:t>Committee </w:t>
      </w:r>
      <w:r>
        <w:rPr>
          <w:color w:val="0C0C0C"/>
          <w:sz w:val="22"/>
        </w:rPr>
        <w:t>is</w:t>
      </w:r>
      <w:r>
        <w:rPr>
          <w:color w:val="0C0C0C"/>
          <w:spacing w:val="-6"/>
          <w:sz w:val="22"/>
        </w:rPr>
        <w:t> </w:t>
      </w:r>
      <w:r>
        <w:rPr>
          <w:color w:val="1C1C1C"/>
          <w:sz w:val="22"/>
        </w:rPr>
        <w:t>responsible </w:t>
      </w:r>
      <w:r>
        <w:rPr>
          <w:color w:val="0C0C0C"/>
          <w:sz w:val="22"/>
        </w:rPr>
        <w:t>for</w:t>
      </w:r>
      <w:r>
        <w:rPr>
          <w:color w:val="0C0C0C"/>
          <w:spacing w:val="-15"/>
          <w:sz w:val="22"/>
        </w:rPr>
        <w:t> </w:t>
      </w:r>
      <w:r>
        <w:rPr>
          <w:color w:val="525252"/>
          <w:sz w:val="22"/>
        </w:rPr>
        <w:t>"</w:t>
      </w:r>
      <w:r>
        <w:rPr>
          <w:color w:val="1C1C1C"/>
          <w:sz w:val="22"/>
        </w:rPr>
        <w:t>advising, training or</w:t>
      </w:r>
      <w:r>
        <w:rPr>
          <w:color w:val="1C1C1C"/>
          <w:spacing w:val="-4"/>
          <w:sz w:val="22"/>
        </w:rPr>
        <w:t> </w:t>
      </w:r>
      <w:r>
        <w:rPr>
          <w:color w:val="1C1C1C"/>
          <w:sz w:val="22"/>
        </w:rPr>
        <w:t>arranging to</w:t>
      </w:r>
      <w:r>
        <w:rPr>
          <w:color w:val="1C1C1C"/>
          <w:spacing w:val="-10"/>
          <w:sz w:val="22"/>
        </w:rPr>
        <w:t> </w:t>
      </w:r>
      <w:r>
        <w:rPr>
          <w:color w:val="1C1C1C"/>
          <w:sz w:val="22"/>
        </w:rPr>
        <w:t>train</w:t>
      </w:r>
      <w:r>
        <w:rPr>
          <w:color w:val="1C1C1C"/>
          <w:spacing w:val="-4"/>
          <w:sz w:val="22"/>
        </w:rPr>
        <w:t> </w:t>
      </w:r>
      <w:r>
        <w:rPr>
          <w:color w:val="1C1C1C"/>
          <w:sz w:val="22"/>
        </w:rPr>
        <w:t>Councillors </w:t>
      </w:r>
      <w:r>
        <w:rPr>
          <w:color w:val="0C0C0C"/>
          <w:sz w:val="22"/>
        </w:rPr>
        <w:t>and</w:t>
      </w:r>
      <w:r>
        <w:rPr>
          <w:color w:val="0C0C0C"/>
          <w:spacing w:val="-4"/>
          <w:sz w:val="22"/>
        </w:rPr>
        <w:t> </w:t>
      </w:r>
      <w:r>
        <w:rPr>
          <w:color w:val="0C0C0C"/>
          <w:sz w:val="22"/>
        </w:rPr>
        <w:t>co-opted </w:t>
      </w:r>
      <w:r>
        <w:rPr>
          <w:color w:val="1C1C1C"/>
          <w:sz w:val="22"/>
        </w:rPr>
        <w:t>members </w:t>
      </w:r>
      <w:r>
        <w:rPr>
          <w:color w:val="0C0C0C"/>
          <w:sz w:val="22"/>
        </w:rPr>
        <w:t>on</w:t>
      </w:r>
      <w:r>
        <w:rPr>
          <w:color w:val="0C0C0C"/>
          <w:spacing w:val="-8"/>
          <w:sz w:val="22"/>
        </w:rPr>
        <w:t> </w:t>
      </w:r>
      <w:r>
        <w:rPr>
          <w:color w:val="0C0C0C"/>
          <w:sz w:val="22"/>
        </w:rPr>
        <w:t>matters </w:t>
      </w:r>
      <w:r>
        <w:rPr>
          <w:color w:val="1C1C1C"/>
          <w:sz w:val="22"/>
        </w:rPr>
        <w:t>relating </w:t>
      </w:r>
      <w:r>
        <w:rPr>
          <w:color w:val="0C0C0C"/>
          <w:sz w:val="22"/>
        </w:rPr>
        <w:t>to</w:t>
      </w:r>
      <w:r>
        <w:rPr>
          <w:color w:val="0C0C0C"/>
          <w:spacing w:val="-4"/>
          <w:sz w:val="22"/>
        </w:rPr>
        <w:t> </w:t>
      </w:r>
      <w:r>
        <w:rPr>
          <w:color w:val="0C0C0C"/>
          <w:sz w:val="22"/>
        </w:rPr>
        <w:t>the</w:t>
      </w:r>
      <w:r>
        <w:rPr>
          <w:color w:val="0C0C0C"/>
          <w:spacing w:val="-4"/>
          <w:sz w:val="22"/>
        </w:rPr>
        <w:t> </w:t>
      </w:r>
      <w:r>
        <w:rPr>
          <w:color w:val="1C1C1C"/>
          <w:sz w:val="22"/>
        </w:rPr>
        <w:t>Members' Code </w:t>
      </w:r>
      <w:r>
        <w:rPr>
          <w:color w:val="0C0C0C"/>
          <w:sz w:val="22"/>
        </w:rPr>
        <w:t>of </w:t>
      </w:r>
      <w:r>
        <w:rPr>
          <w:color w:val="1C1C1C"/>
          <w:sz w:val="22"/>
        </w:rPr>
        <w:t>Conduct".</w:t>
      </w:r>
    </w:p>
    <w:p>
      <w:pPr>
        <w:pStyle w:val="BodyText"/>
        <w:spacing w:before="7"/>
      </w:pPr>
    </w:p>
    <w:p>
      <w:pPr>
        <w:pStyle w:val="ListParagraph"/>
        <w:numPr>
          <w:ilvl w:val="0"/>
          <w:numId w:val="29"/>
        </w:numPr>
        <w:tabs>
          <w:tab w:val="left" w:leader="none" w:pos="838"/>
        </w:tabs>
        <w:spacing w:before="0" w:after="0" w:line="240" w:lineRule="auto"/>
        <w:ind w:left="838" w:right="559" w:hanging="711"/>
        <w:jc w:val="left"/>
        <w:rPr>
          <w:color w:val="0C0C0C"/>
          <w:sz w:val="22"/>
        </w:rPr>
      </w:pPr>
      <w:r>
        <w:rPr>
          <w:color w:val="0C0C0C"/>
          <w:sz w:val="22"/>
        </w:rPr>
        <w:t>The</w:t>
      </w:r>
      <w:r>
        <w:rPr>
          <w:color w:val="0C0C0C"/>
          <w:spacing w:val="-8"/>
          <w:sz w:val="22"/>
        </w:rPr>
        <w:t> </w:t>
      </w:r>
      <w:r>
        <w:rPr>
          <w:color w:val="1C1C1C"/>
          <w:sz w:val="22"/>
        </w:rPr>
        <w:t>Constitution also</w:t>
      </w:r>
      <w:r>
        <w:rPr>
          <w:color w:val="1C1C1C"/>
          <w:spacing w:val="-8"/>
          <w:sz w:val="22"/>
        </w:rPr>
        <w:t> </w:t>
      </w:r>
      <w:r>
        <w:rPr>
          <w:color w:val="1C1C1C"/>
          <w:sz w:val="22"/>
        </w:rPr>
        <w:t>states</w:t>
      </w:r>
      <w:r>
        <w:rPr>
          <w:color w:val="1C1C1C"/>
          <w:spacing w:val="-7"/>
          <w:sz w:val="22"/>
        </w:rPr>
        <w:t> </w:t>
      </w:r>
      <w:r>
        <w:rPr>
          <w:color w:val="1C1C1C"/>
          <w:sz w:val="22"/>
        </w:rPr>
        <w:t>that</w:t>
      </w:r>
      <w:r>
        <w:rPr>
          <w:color w:val="1C1C1C"/>
          <w:spacing w:val="-9"/>
          <w:sz w:val="22"/>
        </w:rPr>
        <w:t> </w:t>
      </w:r>
      <w:r>
        <w:rPr>
          <w:color w:val="3B3B3B"/>
          <w:sz w:val="22"/>
        </w:rPr>
        <w:t>"All</w:t>
      </w:r>
      <w:r>
        <w:rPr>
          <w:color w:val="3B3B3B"/>
          <w:spacing w:val="-8"/>
          <w:sz w:val="22"/>
        </w:rPr>
        <w:t> </w:t>
      </w:r>
      <w:r>
        <w:rPr>
          <w:color w:val="1C1C1C"/>
          <w:sz w:val="22"/>
        </w:rPr>
        <w:t>Members appointed </w:t>
      </w:r>
      <w:r>
        <w:rPr>
          <w:color w:val="0C0C0C"/>
          <w:sz w:val="22"/>
        </w:rPr>
        <w:t>to</w:t>
      </w:r>
      <w:r>
        <w:rPr>
          <w:color w:val="0C0C0C"/>
          <w:spacing w:val="-13"/>
          <w:sz w:val="22"/>
        </w:rPr>
        <w:t> </w:t>
      </w:r>
      <w:r>
        <w:rPr>
          <w:color w:val="0C0C0C"/>
          <w:sz w:val="22"/>
        </w:rPr>
        <w:t>the</w:t>
      </w:r>
      <w:r>
        <w:rPr>
          <w:color w:val="0C0C0C"/>
          <w:spacing w:val="-14"/>
          <w:sz w:val="22"/>
        </w:rPr>
        <w:t> </w:t>
      </w:r>
      <w:r>
        <w:rPr>
          <w:color w:val="0C0C0C"/>
          <w:sz w:val="22"/>
        </w:rPr>
        <w:t>Planning Committee (and</w:t>
      </w:r>
      <w:r>
        <w:rPr>
          <w:color w:val="0C0C0C"/>
          <w:spacing w:val="-7"/>
          <w:sz w:val="22"/>
        </w:rPr>
        <w:t> </w:t>
      </w:r>
      <w:r>
        <w:rPr>
          <w:color w:val="0C0C0C"/>
          <w:sz w:val="22"/>
        </w:rPr>
        <w:t>all</w:t>
      </w:r>
      <w:r>
        <w:rPr>
          <w:color w:val="0C0C0C"/>
          <w:spacing w:val="-4"/>
          <w:sz w:val="22"/>
        </w:rPr>
        <w:t> </w:t>
      </w:r>
      <w:r>
        <w:rPr>
          <w:color w:val="0C0C0C"/>
          <w:sz w:val="22"/>
        </w:rPr>
        <w:t>other </w:t>
      </w:r>
      <w:r>
        <w:rPr>
          <w:color w:val="1C1C1C"/>
          <w:sz w:val="22"/>
        </w:rPr>
        <w:t>Members who may from time</w:t>
      </w:r>
      <w:r>
        <w:rPr>
          <w:color w:val="1C1C1C"/>
          <w:spacing w:val="-6"/>
          <w:sz w:val="22"/>
        </w:rPr>
        <w:t> </w:t>
      </w:r>
      <w:r>
        <w:rPr>
          <w:color w:val="1C1C1C"/>
          <w:sz w:val="22"/>
        </w:rPr>
        <w:t>to</w:t>
      </w:r>
      <w:r>
        <w:rPr>
          <w:color w:val="1C1C1C"/>
          <w:spacing w:val="-3"/>
          <w:sz w:val="22"/>
        </w:rPr>
        <w:t> </w:t>
      </w:r>
      <w:r>
        <w:rPr>
          <w:color w:val="1C1C1C"/>
          <w:sz w:val="22"/>
        </w:rPr>
        <w:t>time consider a</w:t>
      </w:r>
      <w:r>
        <w:rPr>
          <w:color w:val="1C1C1C"/>
          <w:spacing w:val="-3"/>
          <w:sz w:val="22"/>
        </w:rPr>
        <w:t> </w:t>
      </w:r>
      <w:r>
        <w:rPr>
          <w:color w:val="1C1C1C"/>
          <w:sz w:val="22"/>
        </w:rPr>
        <w:t>planning </w:t>
      </w:r>
      <w:r>
        <w:rPr>
          <w:color w:val="0C0C0C"/>
          <w:sz w:val="22"/>
        </w:rPr>
        <w:t>application) must receive training in </w:t>
      </w:r>
      <w:r>
        <w:rPr>
          <w:color w:val="1C1C1C"/>
          <w:sz w:val="22"/>
        </w:rPr>
        <w:t>planning procedures</w:t>
      </w:r>
      <w:r>
        <w:rPr>
          <w:color w:val="525252"/>
          <w:sz w:val="22"/>
        </w:rPr>
        <w:t>.</w:t>
      </w:r>
      <w:r>
        <w:rPr>
          <w:color w:val="525252"/>
          <w:spacing w:val="-14"/>
          <w:sz w:val="22"/>
        </w:rPr>
        <w:t> </w:t>
      </w:r>
      <w:r>
        <w:rPr>
          <w:color w:val="0C0C0C"/>
          <w:sz w:val="22"/>
        </w:rPr>
        <w:t>Induction </w:t>
      </w:r>
      <w:r>
        <w:rPr>
          <w:color w:val="1C1C1C"/>
          <w:sz w:val="22"/>
        </w:rPr>
        <w:t>training </w:t>
      </w:r>
      <w:r>
        <w:rPr>
          <w:color w:val="3B3B3B"/>
          <w:sz w:val="22"/>
        </w:rPr>
        <w:t>in</w:t>
      </w:r>
      <w:r>
        <w:rPr>
          <w:color w:val="3B3B3B"/>
          <w:spacing w:val="-6"/>
          <w:sz w:val="22"/>
        </w:rPr>
        <w:t> </w:t>
      </w:r>
      <w:r>
        <w:rPr>
          <w:color w:val="1C1C1C"/>
          <w:sz w:val="22"/>
        </w:rPr>
        <w:t>planning </w:t>
      </w:r>
      <w:r>
        <w:rPr>
          <w:color w:val="0C0C0C"/>
          <w:sz w:val="22"/>
        </w:rPr>
        <w:t>procedures shall be provided to all</w:t>
      </w:r>
      <w:r>
        <w:rPr>
          <w:color w:val="0C0C0C"/>
          <w:spacing w:val="-5"/>
          <w:sz w:val="22"/>
        </w:rPr>
        <w:t> </w:t>
      </w:r>
      <w:r>
        <w:rPr>
          <w:color w:val="0C0C0C"/>
          <w:sz w:val="22"/>
        </w:rPr>
        <w:t>Members, </w:t>
      </w:r>
      <w:r>
        <w:rPr>
          <w:color w:val="1C1C1C"/>
          <w:sz w:val="22"/>
        </w:rPr>
        <w:t>either before serving on</w:t>
      </w:r>
      <w:r>
        <w:rPr>
          <w:color w:val="1C1C1C"/>
          <w:spacing w:val="-6"/>
          <w:sz w:val="22"/>
        </w:rPr>
        <w:t> </w:t>
      </w:r>
      <w:r>
        <w:rPr>
          <w:color w:val="1C1C1C"/>
          <w:sz w:val="22"/>
        </w:rPr>
        <w:t>the Committee or within two</w:t>
      </w:r>
      <w:r>
        <w:rPr>
          <w:color w:val="1C1C1C"/>
          <w:spacing w:val="-1"/>
          <w:sz w:val="22"/>
        </w:rPr>
        <w:t> </w:t>
      </w:r>
      <w:r>
        <w:rPr>
          <w:color w:val="0C0C0C"/>
          <w:sz w:val="22"/>
        </w:rPr>
        <w:t>months of appointment."</w:t>
      </w:r>
    </w:p>
    <w:p>
      <w:pPr>
        <w:pStyle w:val="BodyText"/>
        <w:spacing w:before="4"/>
      </w:pPr>
    </w:p>
    <w:p>
      <w:pPr>
        <w:pStyle w:val="ListParagraph"/>
        <w:numPr>
          <w:ilvl w:val="0"/>
          <w:numId w:val="29"/>
        </w:numPr>
        <w:tabs>
          <w:tab w:val="left" w:leader="none" w:pos="833"/>
        </w:tabs>
        <w:spacing w:before="0" w:after="0" w:line="240" w:lineRule="auto"/>
        <w:ind w:left="833" w:right="461" w:hanging="705"/>
        <w:jc w:val="left"/>
        <w:rPr>
          <w:color w:val="0C0C0C"/>
          <w:sz w:val="22"/>
        </w:rPr>
      </w:pPr>
      <w:r>
        <w:rPr>
          <w:color w:val="0C0C0C"/>
          <w:sz w:val="22"/>
        </w:rPr>
        <w:t>The Council has also identified the need</w:t>
      </w:r>
      <w:r>
        <w:rPr>
          <w:color w:val="0C0C0C"/>
          <w:spacing w:val="-3"/>
          <w:sz w:val="22"/>
        </w:rPr>
        <w:t> </w:t>
      </w:r>
      <w:r>
        <w:rPr>
          <w:color w:val="0C0C0C"/>
          <w:sz w:val="22"/>
        </w:rPr>
        <w:t>to provide role descriptions and</w:t>
      </w:r>
      <w:r>
        <w:rPr>
          <w:color w:val="0C0C0C"/>
          <w:spacing w:val="-3"/>
          <w:sz w:val="22"/>
        </w:rPr>
        <w:t> </w:t>
      </w:r>
      <w:r>
        <w:rPr>
          <w:color w:val="0C0C0C"/>
          <w:sz w:val="22"/>
        </w:rPr>
        <w:t>training to</w:t>
      </w:r>
      <w:r>
        <w:rPr>
          <w:color w:val="0C0C0C"/>
          <w:spacing w:val="-5"/>
          <w:sz w:val="22"/>
        </w:rPr>
        <w:t> </w:t>
      </w:r>
      <w:r>
        <w:rPr>
          <w:color w:val="0C0C0C"/>
          <w:sz w:val="22"/>
        </w:rPr>
        <w:t>members nominated or</w:t>
      </w:r>
      <w:r>
        <w:rPr>
          <w:color w:val="0C0C0C"/>
          <w:spacing w:val="-2"/>
          <w:sz w:val="22"/>
        </w:rPr>
        <w:t> </w:t>
      </w:r>
      <w:r>
        <w:rPr>
          <w:color w:val="0C0C0C"/>
          <w:sz w:val="22"/>
        </w:rPr>
        <w:t>appointed by</w:t>
      </w:r>
      <w:r>
        <w:rPr>
          <w:color w:val="0C0C0C"/>
          <w:spacing w:val="-2"/>
          <w:sz w:val="22"/>
        </w:rPr>
        <w:t> </w:t>
      </w:r>
      <w:r>
        <w:rPr>
          <w:color w:val="1C1C1C"/>
          <w:sz w:val="22"/>
        </w:rPr>
        <w:t>the</w:t>
      </w:r>
      <w:r>
        <w:rPr>
          <w:color w:val="1C1C1C"/>
          <w:spacing w:val="-2"/>
          <w:sz w:val="22"/>
        </w:rPr>
        <w:t> </w:t>
      </w:r>
      <w:r>
        <w:rPr>
          <w:color w:val="0C0C0C"/>
          <w:sz w:val="22"/>
        </w:rPr>
        <w:t>Council</w:t>
      </w:r>
      <w:r>
        <w:rPr>
          <w:color w:val="0C0C0C"/>
          <w:spacing w:val="-2"/>
          <w:sz w:val="22"/>
        </w:rPr>
        <w:t> </w:t>
      </w:r>
      <w:r>
        <w:rPr>
          <w:color w:val="0C0C0C"/>
          <w:sz w:val="22"/>
        </w:rPr>
        <w:t>to</w:t>
      </w:r>
      <w:r>
        <w:rPr>
          <w:color w:val="0C0C0C"/>
          <w:spacing w:val="-14"/>
          <w:sz w:val="22"/>
        </w:rPr>
        <w:t> </w:t>
      </w:r>
      <w:r>
        <w:rPr>
          <w:color w:val="0C0C0C"/>
          <w:sz w:val="22"/>
        </w:rPr>
        <w:t>the</w:t>
      </w:r>
      <w:r>
        <w:rPr>
          <w:color w:val="0C0C0C"/>
          <w:spacing w:val="-2"/>
          <w:sz w:val="22"/>
        </w:rPr>
        <w:t> </w:t>
      </w:r>
      <w:r>
        <w:rPr>
          <w:color w:val="0C0C0C"/>
          <w:sz w:val="22"/>
        </w:rPr>
        <w:t>Boards of</w:t>
      </w:r>
      <w:r>
        <w:rPr>
          <w:color w:val="0C0C0C"/>
          <w:spacing w:val="-6"/>
          <w:sz w:val="22"/>
        </w:rPr>
        <w:t> </w:t>
      </w:r>
      <w:r>
        <w:rPr>
          <w:color w:val="0C0C0C"/>
          <w:sz w:val="22"/>
        </w:rPr>
        <w:t>Management of</w:t>
      </w:r>
      <w:r>
        <w:rPr>
          <w:color w:val="0C0C0C"/>
          <w:spacing w:val="-6"/>
          <w:sz w:val="22"/>
        </w:rPr>
        <w:t> </w:t>
      </w:r>
      <w:r>
        <w:rPr>
          <w:color w:val="0C0C0C"/>
          <w:sz w:val="22"/>
        </w:rPr>
        <w:t>Council owned </w:t>
      </w:r>
      <w:r>
        <w:rPr>
          <w:color w:val="1C1C1C"/>
          <w:sz w:val="22"/>
        </w:rPr>
        <w:t>companies </w:t>
      </w:r>
      <w:r>
        <w:rPr>
          <w:color w:val="0C0C0C"/>
          <w:sz w:val="22"/>
        </w:rPr>
        <w:t>and </w:t>
      </w:r>
      <w:r>
        <w:rPr>
          <w:color w:val="1C1C1C"/>
          <w:sz w:val="22"/>
        </w:rPr>
        <w:t>dedicated </w:t>
      </w:r>
      <w:r>
        <w:rPr>
          <w:color w:val="0C0C0C"/>
          <w:sz w:val="22"/>
        </w:rPr>
        <w:t>training </w:t>
      </w:r>
      <w:r>
        <w:rPr>
          <w:color w:val="1C1C1C"/>
          <w:sz w:val="22"/>
        </w:rPr>
        <w:t>had</w:t>
      </w:r>
      <w:r>
        <w:rPr>
          <w:color w:val="1C1C1C"/>
          <w:spacing w:val="-3"/>
          <w:sz w:val="22"/>
        </w:rPr>
        <w:t> </w:t>
      </w:r>
      <w:r>
        <w:rPr>
          <w:color w:val="1C1C1C"/>
          <w:sz w:val="22"/>
        </w:rPr>
        <w:t>been </w:t>
      </w:r>
      <w:r>
        <w:rPr>
          <w:color w:val="0C0C0C"/>
          <w:sz w:val="22"/>
        </w:rPr>
        <w:t>de</w:t>
      </w:r>
      <w:r>
        <w:rPr>
          <w:color w:val="3B3B3B"/>
          <w:sz w:val="22"/>
        </w:rPr>
        <w:t>l</w:t>
      </w:r>
      <w:r>
        <w:rPr>
          <w:color w:val="1C1C1C"/>
          <w:sz w:val="22"/>
        </w:rPr>
        <w:t>ivered</w:t>
      </w:r>
      <w:r>
        <w:rPr>
          <w:color w:val="1C1C1C"/>
          <w:spacing w:val="-3"/>
          <w:sz w:val="22"/>
        </w:rPr>
        <w:t> </w:t>
      </w:r>
      <w:r>
        <w:rPr>
          <w:color w:val="0C0C0C"/>
          <w:sz w:val="22"/>
        </w:rPr>
        <w:t>by </w:t>
      </w:r>
      <w:r>
        <w:rPr>
          <w:color w:val="1C1C1C"/>
          <w:sz w:val="22"/>
        </w:rPr>
        <w:t>the </w:t>
      </w:r>
      <w:r>
        <w:rPr>
          <w:color w:val="0C0C0C"/>
          <w:sz w:val="22"/>
        </w:rPr>
        <w:t>Institute of Directors to</w:t>
      </w:r>
      <w:r>
        <w:rPr>
          <w:color w:val="0C0C0C"/>
          <w:spacing w:val="-3"/>
          <w:sz w:val="22"/>
        </w:rPr>
        <w:t> </w:t>
      </w:r>
      <w:r>
        <w:rPr>
          <w:color w:val="0C0C0C"/>
          <w:sz w:val="22"/>
        </w:rPr>
        <w:t>the member</w:t>
      </w:r>
      <w:r>
        <w:rPr>
          <w:color w:val="0C0C0C"/>
          <w:spacing w:val="34"/>
          <w:sz w:val="22"/>
        </w:rPr>
        <w:t> </w:t>
      </w:r>
      <w:r>
        <w:rPr>
          <w:color w:val="1C1C1C"/>
          <w:sz w:val="22"/>
        </w:rPr>
        <w:t>and officers </w:t>
      </w:r>
      <w:r>
        <w:rPr>
          <w:color w:val="0C0C0C"/>
          <w:sz w:val="22"/>
        </w:rPr>
        <w:t>who</w:t>
      </w:r>
      <w:r>
        <w:rPr>
          <w:color w:val="0C0C0C"/>
          <w:spacing w:val="-4"/>
          <w:sz w:val="22"/>
        </w:rPr>
        <w:t> </w:t>
      </w:r>
      <w:r>
        <w:rPr>
          <w:color w:val="1C1C1C"/>
          <w:sz w:val="22"/>
        </w:rPr>
        <w:t>currently </w:t>
      </w:r>
      <w:r>
        <w:rPr>
          <w:color w:val="0C0C0C"/>
          <w:sz w:val="22"/>
        </w:rPr>
        <w:t>act </w:t>
      </w:r>
      <w:r>
        <w:rPr>
          <w:color w:val="1C1C1C"/>
          <w:sz w:val="22"/>
        </w:rPr>
        <w:t>as</w:t>
      </w:r>
      <w:r>
        <w:rPr>
          <w:color w:val="1C1C1C"/>
          <w:spacing w:val="-16"/>
          <w:sz w:val="22"/>
        </w:rPr>
        <w:t> </w:t>
      </w:r>
      <w:r>
        <w:rPr>
          <w:color w:val="1C1C1C"/>
          <w:sz w:val="22"/>
        </w:rPr>
        <w:t>non-executive directors or</w:t>
      </w:r>
      <w:r>
        <w:rPr>
          <w:color w:val="1C1C1C"/>
          <w:spacing w:val="-10"/>
          <w:sz w:val="22"/>
        </w:rPr>
        <w:t> </w:t>
      </w:r>
      <w:r>
        <w:rPr>
          <w:color w:val="1C1C1C"/>
          <w:sz w:val="22"/>
        </w:rPr>
        <w:t>company secretaries </w:t>
      </w:r>
      <w:r>
        <w:rPr>
          <w:color w:val="0C0C0C"/>
          <w:sz w:val="22"/>
        </w:rPr>
        <w:t>to</w:t>
      </w:r>
      <w:r>
        <w:rPr>
          <w:color w:val="0C0C0C"/>
          <w:spacing w:val="-15"/>
          <w:sz w:val="22"/>
        </w:rPr>
        <w:t> </w:t>
      </w:r>
      <w:r>
        <w:rPr>
          <w:color w:val="0C0C0C"/>
          <w:sz w:val="22"/>
        </w:rPr>
        <w:t>Elstree</w:t>
      </w:r>
      <w:r>
        <w:rPr>
          <w:color w:val="0C0C0C"/>
          <w:spacing w:val="-11"/>
          <w:sz w:val="22"/>
        </w:rPr>
        <w:t> </w:t>
      </w:r>
      <w:r>
        <w:rPr>
          <w:color w:val="0C0C0C"/>
          <w:sz w:val="22"/>
        </w:rPr>
        <w:t>Film</w:t>
      </w:r>
      <w:r>
        <w:rPr>
          <w:color w:val="0C0C0C"/>
          <w:spacing w:val="-1"/>
          <w:sz w:val="22"/>
        </w:rPr>
        <w:t> </w:t>
      </w:r>
      <w:r>
        <w:rPr>
          <w:color w:val="0C0C0C"/>
          <w:sz w:val="22"/>
        </w:rPr>
        <w:t>Studio</w:t>
      </w:r>
      <w:r>
        <w:rPr>
          <w:color w:val="0C0C0C"/>
          <w:spacing w:val="-7"/>
          <w:sz w:val="22"/>
        </w:rPr>
        <w:t> </w:t>
      </w:r>
      <w:r>
        <w:rPr>
          <w:color w:val="0C0C0C"/>
          <w:sz w:val="22"/>
        </w:rPr>
        <w:t>Limited, Hertsmere Developments</w:t>
      </w:r>
      <w:r>
        <w:rPr>
          <w:color w:val="0C0C0C"/>
          <w:spacing w:val="40"/>
          <w:sz w:val="22"/>
        </w:rPr>
        <w:t> </w:t>
      </w:r>
      <w:r>
        <w:rPr>
          <w:color w:val="0C0C0C"/>
          <w:sz w:val="22"/>
        </w:rPr>
        <w:t>Limited and Hertsmere </w:t>
      </w:r>
      <w:r>
        <w:rPr>
          <w:color w:val="1C1C1C"/>
          <w:sz w:val="22"/>
        </w:rPr>
        <w:t>Homes Limited.</w:t>
      </w:r>
    </w:p>
    <w:p>
      <w:pPr>
        <w:pStyle w:val="ListParagraph"/>
        <w:numPr>
          <w:ilvl w:val="0"/>
          <w:numId w:val="29"/>
        </w:numPr>
        <w:tabs>
          <w:tab w:val="left" w:leader="none" w:pos="835"/>
          <w:tab w:val="left" w:leader="none" w:pos="843"/>
        </w:tabs>
        <w:spacing w:before="249" w:after="0" w:line="240" w:lineRule="auto"/>
        <w:ind w:left="835" w:right="416" w:hanging="707"/>
        <w:jc w:val="left"/>
        <w:rPr>
          <w:color w:val="0C0C0C"/>
          <w:sz w:val="22"/>
        </w:rPr>
      </w:pPr>
      <w:r>
        <w:rPr>
          <w:color w:val="757575"/>
          <w:sz w:val="22"/>
        </w:rPr>
        <w:tab/>
      </w:r>
      <w:r>
        <w:rPr>
          <w:color w:val="1C1C1C"/>
          <w:sz w:val="22"/>
        </w:rPr>
        <w:t>Senior Officers</w:t>
      </w:r>
      <w:r>
        <w:rPr>
          <w:color w:val="525252"/>
          <w:sz w:val="22"/>
        </w:rPr>
        <w:t>'</w:t>
      </w:r>
      <w:r>
        <w:rPr>
          <w:color w:val="525252"/>
          <w:spacing w:val="-5"/>
          <w:sz w:val="22"/>
        </w:rPr>
        <w:t> </w:t>
      </w:r>
      <w:r>
        <w:rPr>
          <w:color w:val="1C1C1C"/>
          <w:sz w:val="22"/>
        </w:rPr>
        <w:t>training needs are identified (and regularly </w:t>
      </w:r>
      <w:r>
        <w:rPr>
          <w:color w:val="0C0C0C"/>
          <w:sz w:val="22"/>
        </w:rPr>
        <w:t>monitored)</w:t>
      </w:r>
      <w:r>
        <w:rPr>
          <w:color w:val="0C0C0C"/>
          <w:spacing w:val="33"/>
          <w:sz w:val="22"/>
        </w:rPr>
        <w:t> </w:t>
      </w:r>
      <w:r>
        <w:rPr>
          <w:color w:val="0C0C0C"/>
          <w:sz w:val="22"/>
        </w:rPr>
        <w:t>as</w:t>
      </w:r>
      <w:r>
        <w:rPr>
          <w:color w:val="0C0C0C"/>
          <w:spacing w:val="-3"/>
          <w:sz w:val="22"/>
        </w:rPr>
        <w:t> </w:t>
      </w:r>
      <w:r>
        <w:rPr>
          <w:color w:val="0C0C0C"/>
          <w:sz w:val="22"/>
        </w:rPr>
        <w:t>part of the Council's </w:t>
      </w:r>
      <w:r>
        <w:rPr>
          <w:color w:val="1C1C1C"/>
          <w:sz w:val="22"/>
        </w:rPr>
        <w:t>Continuous Performance Review Scheme (appraisals). </w:t>
      </w:r>
      <w:r>
        <w:rPr>
          <w:color w:val="0C0C0C"/>
          <w:sz w:val="22"/>
        </w:rPr>
        <w:t>In</w:t>
      </w:r>
      <w:r>
        <w:rPr>
          <w:color w:val="0C0C0C"/>
          <w:spacing w:val="-4"/>
          <w:sz w:val="22"/>
        </w:rPr>
        <w:t> </w:t>
      </w:r>
      <w:r>
        <w:rPr>
          <w:color w:val="0C0C0C"/>
          <w:sz w:val="22"/>
        </w:rPr>
        <w:t>addition to</w:t>
      </w:r>
      <w:r>
        <w:rPr>
          <w:color w:val="0C0C0C"/>
          <w:spacing w:val="-5"/>
          <w:sz w:val="22"/>
        </w:rPr>
        <w:t> </w:t>
      </w:r>
      <w:r>
        <w:rPr>
          <w:color w:val="0C0C0C"/>
          <w:sz w:val="22"/>
        </w:rPr>
        <w:t>the Corporate Training </w:t>
      </w:r>
      <w:r>
        <w:rPr>
          <w:color w:val="1C1C1C"/>
          <w:sz w:val="22"/>
        </w:rPr>
        <w:t>Programme and</w:t>
      </w:r>
      <w:r>
        <w:rPr>
          <w:color w:val="1C1C1C"/>
          <w:spacing w:val="-2"/>
          <w:sz w:val="22"/>
        </w:rPr>
        <w:t> </w:t>
      </w:r>
      <w:r>
        <w:rPr>
          <w:color w:val="1C1C1C"/>
          <w:sz w:val="22"/>
        </w:rPr>
        <w:t>various</w:t>
      </w:r>
      <w:r>
        <w:rPr>
          <w:color w:val="1C1C1C"/>
          <w:spacing w:val="-2"/>
          <w:sz w:val="22"/>
        </w:rPr>
        <w:t> </w:t>
      </w:r>
      <w:r>
        <w:rPr>
          <w:color w:val="1C1C1C"/>
          <w:sz w:val="22"/>
        </w:rPr>
        <w:t>professional development</w:t>
      </w:r>
      <w:r>
        <w:rPr>
          <w:color w:val="1C1C1C"/>
          <w:spacing w:val="17"/>
          <w:sz w:val="22"/>
        </w:rPr>
        <w:t> </w:t>
      </w:r>
      <w:r>
        <w:rPr>
          <w:color w:val="1C1C1C"/>
          <w:sz w:val="22"/>
        </w:rPr>
        <w:t>courses</w:t>
      </w:r>
      <w:r>
        <w:rPr>
          <w:color w:val="525252"/>
          <w:sz w:val="22"/>
        </w:rPr>
        <w:t>,</w:t>
      </w:r>
      <w:r>
        <w:rPr>
          <w:color w:val="525252"/>
          <w:spacing w:val="-16"/>
          <w:sz w:val="22"/>
        </w:rPr>
        <w:t> </w:t>
      </w:r>
      <w:r>
        <w:rPr>
          <w:color w:val="1C1C1C"/>
          <w:sz w:val="22"/>
        </w:rPr>
        <w:t>seminars </w:t>
      </w:r>
      <w:r>
        <w:rPr>
          <w:color w:val="0C0C0C"/>
          <w:sz w:val="22"/>
        </w:rPr>
        <w:t>and</w:t>
      </w:r>
      <w:r>
        <w:rPr>
          <w:color w:val="0C0C0C"/>
          <w:spacing w:val="-10"/>
          <w:sz w:val="22"/>
        </w:rPr>
        <w:t> </w:t>
      </w:r>
      <w:r>
        <w:rPr>
          <w:color w:val="0C0C0C"/>
          <w:sz w:val="22"/>
        </w:rPr>
        <w:t>conferences</w:t>
      </w:r>
      <w:r>
        <w:rPr>
          <w:color w:val="525252"/>
          <w:sz w:val="22"/>
        </w:rPr>
        <w:t>,</w:t>
      </w:r>
      <w:r>
        <w:rPr>
          <w:color w:val="525252"/>
          <w:spacing w:val="-19"/>
          <w:sz w:val="22"/>
        </w:rPr>
        <w:t> </w:t>
      </w:r>
      <w:r>
        <w:rPr>
          <w:color w:val="0C0C0C"/>
          <w:sz w:val="22"/>
        </w:rPr>
        <w:t>a</w:t>
      </w:r>
      <w:r>
        <w:rPr>
          <w:color w:val="0C0C0C"/>
          <w:spacing w:val="-5"/>
          <w:sz w:val="22"/>
        </w:rPr>
        <w:t> </w:t>
      </w:r>
      <w:r>
        <w:rPr>
          <w:color w:val="0C0C0C"/>
          <w:sz w:val="22"/>
        </w:rPr>
        <w:t>variety of </w:t>
      </w:r>
      <w:r>
        <w:rPr>
          <w:color w:val="1C1C1C"/>
          <w:sz w:val="22"/>
        </w:rPr>
        <w:t>Management</w:t>
      </w:r>
      <w:r>
        <w:rPr>
          <w:color w:val="1C1C1C"/>
          <w:spacing w:val="22"/>
          <w:sz w:val="22"/>
        </w:rPr>
        <w:t> </w:t>
      </w:r>
      <w:r>
        <w:rPr>
          <w:color w:val="1C1C1C"/>
          <w:sz w:val="22"/>
        </w:rPr>
        <w:t>Development Cou</w:t>
      </w:r>
      <w:r>
        <w:rPr>
          <w:color w:val="3B3B3B"/>
          <w:sz w:val="22"/>
        </w:rPr>
        <w:t>r</w:t>
      </w:r>
      <w:r>
        <w:rPr>
          <w:color w:val="1C1C1C"/>
          <w:sz w:val="22"/>
        </w:rPr>
        <w:t>ses</w:t>
      </w:r>
      <w:r>
        <w:rPr>
          <w:color w:val="525252"/>
          <w:sz w:val="22"/>
        </w:rPr>
        <w:t>,</w:t>
      </w:r>
      <w:r>
        <w:rPr>
          <w:color w:val="525252"/>
          <w:spacing w:val="-15"/>
          <w:sz w:val="22"/>
        </w:rPr>
        <w:t> </w:t>
      </w:r>
      <w:r>
        <w:rPr>
          <w:color w:val="0C0C0C"/>
          <w:sz w:val="22"/>
        </w:rPr>
        <w:t>Project </w:t>
      </w:r>
      <w:r>
        <w:rPr>
          <w:color w:val="1C1C1C"/>
          <w:sz w:val="22"/>
        </w:rPr>
        <w:t>Planning and</w:t>
      </w:r>
      <w:r>
        <w:rPr>
          <w:color w:val="1C1C1C"/>
          <w:spacing w:val="-12"/>
          <w:sz w:val="22"/>
        </w:rPr>
        <w:t> </w:t>
      </w:r>
      <w:r>
        <w:rPr>
          <w:color w:val="1C1C1C"/>
          <w:sz w:val="22"/>
        </w:rPr>
        <w:t>mentoring</w:t>
      </w:r>
      <w:r>
        <w:rPr>
          <w:color w:val="1C1C1C"/>
          <w:spacing w:val="-2"/>
          <w:sz w:val="22"/>
        </w:rPr>
        <w:t> </w:t>
      </w:r>
      <w:r>
        <w:rPr>
          <w:color w:val="0C0C0C"/>
          <w:sz w:val="22"/>
        </w:rPr>
        <w:t>facilities </w:t>
      </w:r>
      <w:r>
        <w:rPr>
          <w:color w:val="1C1C1C"/>
          <w:sz w:val="22"/>
        </w:rPr>
        <w:t>have</w:t>
      </w:r>
      <w:r>
        <w:rPr>
          <w:color w:val="1C1C1C"/>
          <w:spacing w:val="-3"/>
          <w:sz w:val="22"/>
        </w:rPr>
        <w:t> </w:t>
      </w:r>
      <w:r>
        <w:rPr>
          <w:color w:val="1C1C1C"/>
          <w:sz w:val="22"/>
        </w:rPr>
        <w:t>been</w:t>
      </w:r>
      <w:r>
        <w:rPr>
          <w:color w:val="1C1C1C"/>
          <w:spacing w:val="-3"/>
          <w:sz w:val="22"/>
        </w:rPr>
        <w:t> </w:t>
      </w:r>
      <w:r>
        <w:rPr>
          <w:color w:val="0C0C0C"/>
          <w:sz w:val="22"/>
        </w:rPr>
        <w:t>delivered to senior managers.</w:t>
      </w:r>
    </w:p>
    <w:p>
      <w:pPr>
        <w:pStyle w:val="BodyText"/>
        <w:spacing w:before="21"/>
        <w:rPr>
          <w:sz w:val="21"/>
        </w:rPr>
      </w:pPr>
    </w:p>
    <w:p>
      <w:pPr>
        <w:spacing w:before="0" w:line="252" w:lineRule="auto"/>
        <w:ind w:left="858" w:right="0" w:hanging="6"/>
        <w:jc w:val="left"/>
        <w:rPr>
          <w:b/>
          <w:sz w:val="21"/>
        </w:rPr>
      </w:pPr>
      <w:r>
        <w:rPr>
          <w:b/>
          <w:color w:val="1C1C1C"/>
          <w:w w:val="105"/>
          <w:sz w:val="21"/>
          <w:u w:val="thick" w:color="1C1C1C"/>
        </w:rPr>
        <w:t>Establishing clear</w:t>
      </w:r>
      <w:r>
        <w:rPr>
          <w:b/>
          <w:color w:val="1C1C1C"/>
          <w:spacing w:val="-7"/>
          <w:w w:val="105"/>
          <w:sz w:val="21"/>
          <w:u w:val="thick" w:color="1C1C1C"/>
        </w:rPr>
        <w:t> </w:t>
      </w:r>
      <w:r>
        <w:rPr>
          <w:b/>
          <w:color w:val="1C1C1C"/>
          <w:w w:val="105"/>
          <w:sz w:val="21"/>
          <w:u w:val="thick" w:color="1C1C1C"/>
        </w:rPr>
        <w:t>channels</w:t>
      </w:r>
      <w:r>
        <w:rPr>
          <w:b/>
          <w:color w:val="1C1C1C"/>
          <w:spacing w:val="-3"/>
          <w:w w:val="105"/>
          <w:sz w:val="21"/>
          <w:u w:val="thick" w:color="1C1C1C"/>
        </w:rPr>
        <w:t> </w:t>
      </w:r>
      <w:r>
        <w:rPr>
          <w:b/>
          <w:color w:val="1C1C1C"/>
          <w:w w:val="105"/>
          <w:sz w:val="21"/>
          <w:u w:val="thick" w:color="1C1C1C"/>
        </w:rPr>
        <w:t>of</w:t>
      </w:r>
      <w:r>
        <w:rPr>
          <w:b/>
          <w:color w:val="1C1C1C"/>
          <w:spacing w:val="-9"/>
          <w:w w:val="105"/>
          <w:sz w:val="21"/>
          <w:u w:val="thick" w:color="1C1C1C"/>
        </w:rPr>
        <w:t> </w:t>
      </w:r>
      <w:r>
        <w:rPr>
          <w:b/>
          <w:color w:val="1C1C1C"/>
          <w:w w:val="105"/>
          <w:sz w:val="21"/>
          <w:u w:val="thick" w:color="1C1C1C"/>
        </w:rPr>
        <w:t>communication with</w:t>
      </w:r>
      <w:r>
        <w:rPr>
          <w:b/>
          <w:color w:val="1C1C1C"/>
          <w:spacing w:val="-14"/>
          <w:w w:val="105"/>
          <w:sz w:val="21"/>
          <w:u w:val="thick" w:color="1C1C1C"/>
        </w:rPr>
        <w:t> </w:t>
      </w:r>
      <w:r>
        <w:rPr>
          <w:b/>
          <w:color w:val="1C1C1C"/>
          <w:w w:val="105"/>
          <w:sz w:val="21"/>
          <w:u w:val="thick" w:color="1C1C1C"/>
        </w:rPr>
        <w:t>all</w:t>
      </w:r>
      <w:r>
        <w:rPr>
          <w:b/>
          <w:color w:val="1C1C1C"/>
          <w:spacing w:val="-7"/>
          <w:w w:val="105"/>
          <w:sz w:val="21"/>
          <w:u w:val="thick" w:color="1C1C1C"/>
        </w:rPr>
        <w:t> </w:t>
      </w:r>
      <w:r>
        <w:rPr>
          <w:b/>
          <w:color w:val="1C1C1C"/>
          <w:w w:val="105"/>
          <w:sz w:val="21"/>
          <w:u w:val="thick" w:color="1C1C1C"/>
        </w:rPr>
        <w:t>sections</w:t>
      </w:r>
      <w:r>
        <w:rPr>
          <w:b/>
          <w:color w:val="1C1C1C"/>
          <w:spacing w:val="-4"/>
          <w:w w:val="105"/>
          <w:sz w:val="21"/>
          <w:u w:val="thick" w:color="1C1C1C"/>
        </w:rPr>
        <w:t> </w:t>
      </w:r>
      <w:r>
        <w:rPr>
          <w:b/>
          <w:color w:val="1C1C1C"/>
          <w:w w:val="105"/>
          <w:sz w:val="21"/>
          <w:u w:val="thick" w:color="1C1C1C"/>
        </w:rPr>
        <w:t>of</w:t>
      </w:r>
      <w:r>
        <w:rPr>
          <w:b/>
          <w:color w:val="1C1C1C"/>
          <w:spacing w:val="-12"/>
          <w:w w:val="105"/>
          <w:sz w:val="21"/>
          <w:u w:val="thick" w:color="1C1C1C"/>
        </w:rPr>
        <w:t> </w:t>
      </w:r>
      <w:r>
        <w:rPr>
          <w:b/>
          <w:color w:val="1C1C1C"/>
          <w:w w:val="105"/>
          <w:sz w:val="21"/>
          <w:u w:val="thick" w:color="1C1C1C"/>
        </w:rPr>
        <w:t>the</w:t>
      </w:r>
      <w:r>
        <w:rPr>
          <w:b/>
          <w:color w:val="1C1C1C"/>
          <w:spacing w:val="-10"/>
          <w:w w:val="105"/>
          <w:sz w:val="21"/>
          <w:u w:val="thick" w:color="1C1C1C"/>
        </w:rPr>
        <w:t> </w:t>
      </w:r>
      <w:r>
        <w:rPr>
          <w:b/>
          <w:color w:val="1C1C1C"/>
          <w:w w:val="105"/>
          <w:sz w:val="21"/>
          <w:u w:val="thick" w:color="1C1C1C"/>
        </w:rPr>
        <w:t>community and</w:t>
      </w:r>
      <w:r>
        <w:rPr>
          <w:b/>
          <w:color w:val="1C1C1C"/>
          <w:spacing w:val="-5"/>
          <w:w w:val="105"/>
          <w:sz w:val="21"/>
          <w:u w:val="thick" w:color="1C1C1C"/>
        </w:rPr>
        <w:t> </w:t>
      </w:r>
      <w:r>
        <w:rPr>
          <w:b/>
          <w:color w:val="1C1C1C"/>
          <w:w w:val="105"/>
          <w:sz w:val="21"/>
          <w:u w:val="thick" w:color="1C1C1C"/>
        </w:rPr>
        <w:t>other</w:t>
      </w:r>
      <w:r>
        <w:rPr>
          <w:b/>
          <w:color w:val="1C1C1C"/>
          <w:w w:val="105"/>
          <w:sz w:val="21"/>
          <w:u w:val="none"/>
        </w:rPr>
        <w:t> </w:t>
      </w:r>
      <w:r>
        <w:rPr>
          <w:b/>
          <w:color w:val="1C1C1C"/>
          <w:w w:val="105"/>
          <w:sz w:val="21"/>
          <w:u w:val="thick" w:color="1C1C1C"/>
        </w:rPr>
        <w:t>stakeholders, ensuring accountability</w:t>
      </w:r>
      <w:r>
        <w:rPr>
          <w:b/>
          <w:color w:val="1C1C1C"/>
          <w:spacing w:val="-2"/>
          <w:w w:val="105"/>
          <w:sz w:val="21"/>
          <w:u w:val="thick" w:color="1C1C1C"/>
        </w:rPr>
        <w:t> </w:t>
      </w:r>
      <w:r>
        <w:rPr>
          <w:b/>
          <w:color w:val="1C1C1C"/>
          <w:w w:val="105"/>
          <w:sz w:val="21"/>
          <w:u w:val="thick" w:color="1C1C1C"/>
        </w:rPr>
        <w:t>and encouraging </w:t>
      </w:r>
      <w:r>
        <w:rPr>
          <w:b/>
          <w:color w:val="0C0C0C"/>
          <w:w w:val="105"/>
          <w:sz w:val="21"/>
          <w:u w:val="thick" w:color="1C1C1C"/>
        </w:rPr>
        <w:t>open </w:t>
      </w:r>
      <w:r>
        <w:rPr>
          <w:b/>
          <w:color w:val="1C1C1C"/>
          <w:w w:val="105"/>
          <w:sz w:val="21"/>
          <w:u w:val="thick" w:color="1C1C1C"/>
        </w:rPr>
        <w:t>consultation</w:t>
      </w:r>
    </w:p>
    <w:p>
      <w:pPr>
        <w:pStyle w:val="BodyText"/>
        <w:spacing w:before="6"/>
        <w:rPr>
          <w:b/>
          <w:sz w:val="21"/>
        </w:rPr>
      </w:pPr>
    </w:p>
    <w:p>
      <w:pPr>
        <w:pStyle w:val="ListParagraph"/>
        <w:numPr>
          <w:ilvl w:val="0"/>
          <w:numId w:val="29"/>
        </w:numPr>
        <w:tabs>
          <w:tab w:val="left" w:leader="none" w:pos="833"/>
          <w:tab w:val="left" w:leader="none" w:pos="837"/>
        </w:tabs>
        <w:spacing w:before="0" w:after="0" w:line="244" w:lineRule="auto"/>
        <w:ind w:left="833" w:right="359" w:hanging="706"/>
        <w:jc w:val="left"/>
        <w:rPr>
          <w:color w:val="0C0C0C"/>
          <w:sz w:val="22"/>
        </w:rPr>
      </w:pPr>
      <w:r>
        <w:rPr>
          <w:color w:val="0C0C0C"/>
          <w:sz w:val="22"/>
        </w:rPr>
        <w:tab/>
        <w:t>Opinion Research Services has been commissioned by the</w:t>
      </w:r>
      <w:r>
        <w:rPr>
          <w:color w:val="0C0C0C"/>
          <w:spacing w:val="-2"/>
          <w:sz w:val="22"/>
        </w:rPr>
        <w:t> </w:t>
      </w:r>
      <w:r>
        <w:rPr>
          <w:color w:val="0C0C0C"/>
          <w:sz w:val="22"/>
        </w:rPr>
        <w:t>Council to undertake a survey in</w:t>
      </w:r>
      <w:r>
        <w:rPr>
          <w:color w:val="0C0C0C"/>
          <w:spacing w:val="-2"/>
          <w:sz w:val="22"/>
        </w:rPr>
        <w:t> </w:t>
      </w:r>
      <w:r>
        <w:rPr>
          <w:color w:val="0C0C0C"/>
          <w:sz w:val="22"/>
        </w:rPr>
        <w:t>which the Council wished</w:t>
      </w:r>
      <w:r>
        <w:rPr>
          <w:color w:val="0C0C0C"/>
          <w:spacing w:val="-1"/>
          <w:sz w:val="22"/>
        </w:rPr>
        <w:t> </w:t>
      </w:r>
      <w:r>
        <w:rPr>
          <w:color w:val="0C0C0C"/>
          <w:sz w:val="22"/>
        </w:rPr>
        <w:t>to examine </w:t>
      </w:r>
      <w:r>
        <w:rPr>
          <w:color w:val="1C1C1C"/>
          <w:sz w:val="22"/>
        </w:rPr>
        <w:t>residents' </w:t>
      </w:r>
      <w:r>
        <w:rPr>
          <w:color w:val="0C0C0C"/>
          <w:sz w:val="22"/>
        </w:rPr>
        <w:t>views on a range of services. Overall the</w:t>
      </w:r>
      <w:r>
        <w:rPr>
          <w:color w:val="0C0C0C"/>
          <w:spacing w:val="-4"/>
          <w:sz w:val="22"/>
        </w:rPr>
        <w:t> </w:t>
      </w:r>
      <w:r>
        <w:rPr>
          <w:color w:val="0C0C0C"/>
          <w:sz w:val="22"/>
        </w:rPr>
        <w:t>results have historically been very</w:t>
      </w:r>
      <w:r>
        <w:rPr>
          <w:color w:val="0C0C0C"/>
          <w:spacing w:val="-3"/>
          <w:sz w:val="22"/>
        </w:rPr>
        <w:t> </w:t>
      </w:r>
      <w:r>
        <w:rPr>
          <w:color w:val="0C0C0C"/>
          <w:sz w:val="22"/>
        </w:rPr>
        <w:t>positive for</w:t>
      </w:r>
      <w:r>
        <w:rPr>
          <w:color w:val="0C0C0C"/>
          <w:spacing w:val="-9"/>
          <w:sz w:val="22"/>
        </w:rPr>
        <w:t> </w:t>
      </w:r>
      <w:r>
        <w:rPr>
          <w:color w:val="0C0C0C"/>
          <w:sz w:val="22"/>
        </w:rPr>
        <w:t>the</w:t>
      </w:r>
      <w:r>
        <w:rPr>
          <w:color w:val="0C0C0C"/>
          <w:spacing w:val="-5"/>
          <w:sz w:val="22"/>
        </w:rPr>
        <w:t> </w:t>
      </w:r>
      <w:r>
        <w:rPr>
          <w:color w:val="0C0C0C"/>
          <w:sz w:val="22"/>
        </w:rPr>
        <w:t>Council, showing</w:t>
      </w:r>
      <w:r>
        <w:rPr>
          <w:color w:val="0C0C0C"/>
          <w:spacing w:val="-1"/>
          <w:sz w:val="22"/>
        </w:rPr>
        <w:t> </w:t>
      </w:r>
      <w:r>
        <w:rPr>
          <w:color w:val="0C0C0C"/>
          <w:sz w:val="22"/>
        </w:rPr>
        <w:t>improvements in</w:t>
      </w:r>
      <w:r>
        <w:rPr>
          <w:color w:val="0C0C0C"/>
          <w:spacing w:val="-15"/>
          <w:sz w:val="22"/>
        </w:rPr>
        <w:t> </w:t>
      </w:r>
      <w:r>
        <w:rPr>
          <w:color w:val="0C0C0C"/>
          <w:sz w:val="22"/>
        </w:rPr>
        <w:t>key areas.</w:t>
      </w:r>
      <w:r>
        <w:rPr>
          <w:color w:val="0C0C0C"/>
          <w:spacing w:val="40"/>
          <w:sz w:val="22"/>
        </w:rPr>
        <w:t> </w:t>
      </w:r>
      <w:r>
        <w:rPr>
          <w:color w:val="0C0C0C"/>
          <w:sz w:val="22"/>
        </w:rPr>
        <w:t>The</w:t>
      </w:r>
      <w:r>
        <w:rPr>
          <w:color w:val="0C0C0C"/>
          <w:spacing w:val="-8"/>
          <w:sz w:val="22"/>
        </w:rPr>
        <w:t> </w:t>
      </w:r>
      <w:r>
        <w:rPr>
          <w:color w:val="0C0C0C"/>
          <w:sz w:val="22"/>
        </w:rPr>
        <w:t>chart below shows </w:t>
      </w:r>
      <w:r>
        <w:rPr>
          <w:color w:val="1C1C1C"/>
          <w:sz w:val="22"/>
        </w:rPr>
        <w:t>the response to </w:t>
      </w:r>
      <w:r>
        <w:rPr>
          <w:color w:val="0C0C0C"/>
          <w:sz w:val="22"/>
        </w:rPr>
        <w:t>key </w:t>
      </w:r>
      <w:r>
        <w:rPr>
          <w:color w:val="1C1C1C"/>
          <w:sz w:val="22"/>
        </w:rPr>
        <w:t>questions </w:t>
      </w:r>
      <w:r>
        <w:rPr>
          <w:color w:val="0C0C0C"/>
          <w:sz w:val="22"/>
        </w:rPr>
        <w:t>from </w:t>
      </w:r>
      <w:r>
        <w:rPr>
          <w:color w:val="1C1C1C"/>
          <w:sz w:val="22"/>
        </w:rPr>
        <w:t>each</w:t>
      </w:r>
      <w:r>
        <w:rPr>
          <w:color w:val="1C1C1C"/>
          <w:spacing w:val="-2"/>
          <w:sz w:val="22"/>
        </w:rPr>
        <w:t> </w:t>
      </w:r>
      <w:r>
        <w:rPr>
          <w:color w:val="0C0C0C"/>
          <w:sz w:val="22"/>
        </w:rPr>
        <w:t>year the </w:t>
      </w:r>
      <w:r>
        <w:rPr>
          <w:color w:val="1C1C1C"/>
          <w:sz w:val="22"/>
        </w:rPr>
        <w:t>survey </w:t>
      </w:r>
      <w:r>
        <w:rPr>
          <w:color w:val="0C0C0C"/>
          <w:sz w:val="22"/>
        </w:rPr>
        <w:t>was carried </w:t>
      </w:r>
      <w:r>
        <w:rPr>
          <w:color w:val="1C1C1C"/>
          <w:sz w:val="22"/>
        </w:rPr>
        <w:t>out</w:t>
      </w:r>
      <w:r>
        <w:rPr>
          <w:color w:val="1C1C1C"/>
          <w:spacing w:val="-3"/>
          <w:sz w:val="22"/>
        </w:rPr>
        <w:t> </w:t>
      </w:r>
      <w:r>
        <w:rPr>
          <w:color w:val="0C0C0C"/>
          <w:sz w:val="22"/>
        </w:rPr>
        <w:t>since 1999. The most recent </w:t>
      </w:r>
      <w:r>
        <w:rPr>
          <w:color w:val="1C1C1C"/>
          <w:sz w:val="22"/>
        </w:rPr>
        <w:t>survey was </w:t>
      </w:r>
      <w:r>
        <w:rPr>
          <w:color w:val="0C0C0C"/>
          <w:sz w:val="22"/>
        </w:rPr>
        <w:t>conducted in</w:t>
      </w:r>
      <w:r>
        <w:rPr>
          <w:color w:val="0C0C0C"/>
          <w:spacing w:val="-8"/>
          <w:sz w:val="22"/>
        </w:rPr>
        <w:t> </w:t>
      </w:r>
      <w:r>
        <w:rPr>
          <w:color w:val="0C0C0C"/>
          <w:sz w:val="22"/>
        </w:rPr>
        <w:t>early </w:t>
      </w:r>
      <w:r>
        <w:rPr>
          <w:color w:val="1C1C1C"/>
          <w:sz w:val="22"/>
        </w:rPr>
        <w:t>2018</w:t>
      </w:r>
      <w:r>
        <w:rPr>
          <w:color w:val="1C1C1C"/>
          <w:spacing w:val="-3"/>
          <w:sz w:val="22"/>
        </w:rPr>
        <w:t> </w:t>
      </w:r>
      <w:r>
        <w:rPr>
          <w:color w:val="0C0C0C"/>
          <w:sz w:val="22"/>
        </w:rPr>
        <w:t>with</w:t>
      </w:r>
      <w:r>
        <w:rPr>
          <w:color w:val="0C0C0C"/>
          <w:spacing w:val="-2"/>
          <w:sz w:val="22"/>
        </w:rPr>
        <w:t> </w:t>
      </w:r>
      <w:r>
        <w:rPr>
          <w:color w:val="0C0C0C"/>
          <w:sz w:val="22"/>
        </w:rPr>
        <w:t>the </w:t>
      </w:r>
      <w:r>
        <w:rPr>
          <w:color w:val="1C1C1C"/>
          <w:sz w:val="22"/>
        </w:rPr>
        <w:t>next resident's</w:t>
      </w:r>
      <w:r>
        <w:rPr>
          <w:color w:val="1C1C1C"/>
          <w:spacing w:val="32"/>
          <w:sz w:val="22"/>
        </w:rPr>
        <w:t> </w:t>
      </w:r>
      <w:r>
        <w:rPr>
          <w:color w:val="1C1C1C"/>
          <w:sz w:val="22"/>
        </w:rPr>
        <w:t>survey </w:t>
      </w:r>
      <w:r>
        <w:rPr>
          <w:color w:val="0C0C0C"/>
          <w:sz w:val="22"/>
        </w:rPr>
        <w:t>scheduled for autumn</w:t>
      </w:r>
      <w:r>
        <w:rPr>
          <w:color w:val="0C0C0C"/>
          <w:spacing w:val="40"/>
          <w:sz w:val="22"/>
        </w:rPr>
        <w:t> </w:t>
      </w:r>
      <w:r>
        <w:rPr>
          <w:color w:val="1C1C1C"/>
          <w:sz w:val="22"/>
        </w:rPr>
        <w:t>2023</w:t>
      </w:r>
      <w:r>
        <w:rPr>
          <w:color w:val="525252"/>
          <w:sz w:val="22"/>
        </w:rPr>
        <w:t>. </w:t>
      </w:r>
      <w:r>
        <w:rPr>
          <w:color w:val="1C1C1C"/>
          <w:sz w:val="22"/>
        </w:rPr>
        <w:t>Overall</w:t>
      </w:r>
      <w:r>
        <w:rPr>
          <w:color w:val="525252"/>
          <w:sz w:val="22"/>
        </w:rPr>
        <w:t>, </w:t>
      </w:r>
      <w:r>
        <w:rPr>
          <w:color w:val="1C1C1C"/>
          <w:sz w:val="22"/>
        </w:rPr>
        <w:t>the</w:t>
      </w:r>
      <w:r>
        <w:rPr>
          <w:color w:val="1C1C1C"/>
          <w:spacing w:val="31"/>
          <w:sz w:val="22"/>
        </w:rPr>
        <w:t> </w:t>
      </w:r>
      <w:r>
        <w:rPr>
          <w:color w:val="1C1C1C"/>
          <w:sz w:val="22"/>
        </w:rPr>
        <w:t>results</w:t>
      </w:r>
      <w:r>
        <w:rPr>
          <w:color w:val="1C1C1C"/>
          <w:spacing w:val="40"/>
          <w:sz w:val="22"/>
        </w:rPr>
        <w:t> </w:t>
      </w:r>
      <w:r>
        <w:rPr>
          <w:color w:val="1C1C1C"/>
          <w:sz w:val="22"/>
        </w:rPr>
        <w:t>show</w:t>
      </w:r>
      <w:r>
        <w:rPr>
          <w:color w:val="1C1C1C"/>
          <w:spacing w:val="40"/>
          <w:sz w:val="22"/>
        </w:rPr>
        <w:t> </w:t>
      </w:r>
      <w:r>
        <w:rPr>
          <w:color w:val="1C1C1C"/>
          <w:sz w:val="22"/>
        </w:rPr>
        <w:t>that</w:t>
      </w:r>
      <w:r>
        <w:rPr>
          <w:color w:val="1C1C1C"/>
          <w:spacing w:val="40"/>
          <w:sz w:val="22"/>
        </w:rPr>
        <w:t> </w:t>
      </w:r>
      <w:r>
        <w:rPr>
          <w:color w:val="1C1C1C"/>
          <w:sz w:val="22"/>
        </w:rPr>
        <w:t>Hertsmere</w:t>
      </w:r>
      <w:r>
        <w:rPr>
          <w:color w:val="1C1C1C"/>
          <w:spacing w:val="40"/>
          <w:sz w:val="22"/>
        </w:rPr>
        <w:t> </w:t>
      </w:r>
      <w:r>
        <w:rPr>
          <w:color w:val="0C0C0C"/>
          <w:sz w:val="22"/>
        </w:rPr>
        <w:t>Borough</w:t>
      </w:r>
      <w:r>
        <w:rPr>
          <w:color w:val="0C0C0C"/>
          <w:spacing w:val="40"/>
          <w:sz w:val="22"/>
        </w:rPr>
        <w:t> </w:t>
      </w:r>
      <w:r>
        <w:rPr>
          <w:color w:val="1C1C1C"/>
          <w:sz w:val="22"/>
        </w:rPr>
        <w:t>Council</w:t>
      </w:r>
      <w:r>
        <w:rPr>
          <w:color w:val="1C1C1C"/>
          <w:spacing w:val="40"/>
          <w:sz w:val="22"/>
        </w:rPr>
        <w:t> </w:t>
      </w:r>
      <w:r>
        <w:rPr>
          <w:color w:val="1C1C1C"/>
          <w:sz w:val="22"/>
        </w:rPr>
        <w:t>is</w:t>
      </w:r>
      <w:r>
        <w:rPr>
          <w:color w:val="1C1C1C"/>
          <w:spacing w:val="22"/>
          <w:sz w:val="22"/>
        </w:rPr>
        <w:t> </w:t>
      </w:r>
      <w:r>
        <w:rPr>
          <w:color w:val="1C1C1C"/>
          <w:sz w:val="22"/>
        </w:rPr>
        <w:t>performing</w:t>
      </w:r>
      <w:r>
        <w:rPr>
          <w:color w:val="1C1C1C"/>
          <w:spacing w:val="40"/>
          <w:sz w:val="22"/>
        </w:rPr>
        <w:t> </w:t>
      </w:r>
      <w:r>
        <w:rPr>
          <w:color w:val="1C1C1C"/>
          <w:sz w:val="22"/>
        </w:rPr>
        <w:t>similarly </w:t>
      </w:r>
      <w:r>
        <w:rPr>
          <w:color w:val="0C0C0C"/>
          <w:sz w:val="22"/>
        </w:rPr>
        <w:t>to</w:t>
      </w:r>
      <w:r>
        <w:rPr>
          <w:color w:val="0C0C0C"/>
          <w:spacing w:val="40"/>
          <w:sz w:val="22"/>
        </w:rPr>
        <w:t> </w:t>
      </w:r>
      <w:r>
        <w:rPr>
          <w:color w:val="1C1C1C"/>
          <w:sz w:val="22"/>
        </w:rPr>
        <w:t>other</w:t>
      </w:r>
      <w:r>
        <w:rPr>
          <w:color w:val="1C1C1C"/>
          <w:spacing w:val="40"/>
          <w:sz w:val="22"/>
        </w:rPr>
        <w:t> </w:t>
      </w:r>
      <w:r>
        <w:rPr>
          <w:color w:val="1C1C1C"/>
          <w:sz w:val="22"/>
        </w:rPr>
        <w:t>councils</w:t>
      </w:r>
      <w:r>
        <w:rPr>
          <w:color w:val="1C1C1C"/>
          <w:spacing w:val="40"/>
          <w:sz w:val="22"/>
        </w:rPr>
        <w:t> </w:t>
      </w:r>
      <w:r>
        <w:rPr>
          <w:color w:val="1C1C1C"/>
          <w:sz w:val="22"/>
        </w:rPr>
        <w:t>nationally</w:t>
      </w:r>
      <w:r>
        <w:rPr>
          <w:color w:val="525252"/>
          <w:sz w:val="22"/>
        </w:rPr>
        <w:t>. </w:t>
      </w:r>
      <w:r>
        <w:rPr>
          <w:color w:val="1C1C1C"/>
          <w:sz w:val="22"/>
        </w:rPr>
        <w:t>Hertsmere</w:t>
      </w:r>
      <w:r>
        <w:rPr>
          <w:color w:val="1C1C1C"/>
          <w:spacing w:val="40"/>
          <w:sz w:val="22"/>
        </w:rPr>
        <w:t> </w:t>
      </w:r>
      <w:r>
        <w:rPr>
          <w:color w:val="1C1C1C"/>
          <w:sz w:val="22"/>
        </w:rPr>
        <w:t>Borough</w:t>
      </w:r>
      <w:r>
        <w:rPr>
          <w:color w:val="1C1C1C"/>
          <w:spacing w:val="40"/>
          <w:sz w:val="22"/>
        </w:rPr>
        <w:t> </w:t>
      </w:r>
      <w:r>
        <w:rPr>
          <w:color w:val="1C1C1C"/>
          <w:sz w:val="22"/>
        </w:rPr>
        <w:t>Council</w:t>
      </w:r>
      <w:r>
        <w:rPr>
          <w:color w:val="1C1C1C"/>
          <w:spacing w:val="40"/>
          <w:sz w:val="22"/>
        </w:rPr>
        <w:t> </w:t>
      </w:r>
      <w:r>
        <w:rPr>
          <w:color w:val="0C0C0C"/>
          <w:sz w:val="22"/>
        </w:rPr>
        <w:t>figures</w:t>
      </w:r>
      <w:r>
        <w:rPr>
          <w:color w:val="0C0C0C"/>
          <w:spacing w:val="40"/>
          <w:sz w:val="22"/>
        </w:rPr>
        <w:t> </w:t>
      </w:r>
      <w:r>
        <w:rPr>
          <w:color w:val="1C1C1C"/>
          <w:sz w:val="22"/>
        </w:rPr>
        <w:t>have</w:t>
      </w:r>
      <w:r>
        <w:rPr>
          <w:color w:val="1C1C1C"/>
          <w:spacing w:val="40"/>
          <w:sz w:val="22"/>
        </w:rPr>
        <w:t> </w:t>
      </w:r>
      <w:r>
        <w:rPr>
          <w:color w:val="0C0C0C"/>
          <w:sz w:val="22"/>
        </w:rPr>
        <w:t>fallen </w:t>
      </w:r>
      <w:r>
        <w:rPr>
          <w:color w:val="1C1C1C"/>
          <w:sz w:val="22"/>
        </w:rPr>
        <w:t>back</w:t>
      </w:r>
      <w:r>
        <w:rPr>
          <w:color w:val="1C1C1C"/>
          <w:spacing w:val="40"/>
          <w:sz w:val="22"/>
        </w:rPr>
        <w:t> </w:t>
      </w:r>
      <w:r>
        <w:rPr>
          <w:color w:val="1C1C1C"/>
          <w:sz w:val="22"/>
        </w:rPr>
        <w:t>when </w:t>
      </w:r>
      <w:r>
        <w:rPr>
          <w:color w:val="0C0C0C"/>
          <w:sz w:val="22"/>
        </w:rPr>
        <w:t>benchmarked</w:t>
      </w:r>
      <w:r>
        <w:rPr>
          <w:color w:val="0C0C0C"/>
          <w:spacing w:val="40"/>
          <w:sz w:val="22"/>
        </w:rPr>
        <w:t> </w:t>
      </w:r>
      <w:r>
        <w:rPr>
          <w:color w:val="1C1C1C"/>
          <w:sz w:val="22"/>
        </w:rPr>
        <w:t>against</w:t>
      </w:r>
      <w:r>
        <w:rPr>
          <w:color w:val="1C1C1C"/>
          <w:spacing w:val="40"/>
          <w:sz w:val="22"/>
        </w:rPr>
        <w:t> </w:t>
      </w:r>
      <w:r>
        <w:rPr>
          <w:color w:val="1C1C1C"/>
          <w:sz w:val="22"/>
        </w:rPr>
        <w:t>the</w:t>
      </w:r>
      <w:r>
        <w:rPr>
          <w:color w:val="1C1C1C"/>
          <w:spacing w:val="30"/>
          <w:sz w:val="22"/>
        </w:rPr>
        <w:t> </w:t>
      </w:r>
      <w:r>
        <w:rPr>
          <w:color w:val="1C1C1C"/>
          <w:sz w:val="22"/>
        </w:rPr>
        <w:t>Hertsmere</w:t>
      </w:r>
      <w:r>
        <w:rPr>
          <w:color w:val="1C1C1C"/>
          <w:spacing w:val="40"/>
          <w:sz w:val="22"/>
        </w:rPr>
        <w:t> </w:t>
      </w:r>
      <w:r>
        <w:rPr>
          <w:color w:val="1C1C1C"/>
          <w:sz w:val="22"/>
        </w:rPr>
        <w:t>2014/15</w:t>
      </w:r>
      <w:r>
        <w:rPr>
          <w:color w:val="1C1C1C"/>
          <w:spacing w:val="40"/>
          <w:sz w:val="22"/>
        </w:rPr>
        <w:t> </w:t>
      </w:r>
      <w:r>
        <w:rPr>
          <w:color w:val="1C1C1C"/>
          <w:sz w:val="22"/>
        </w:rPr>
        <w:t>survey</w:t>
      </w:r>
      <w:r>
        <w:rPr>
          <w:color w:val="1C1C1C"/>
          <w:spacing w:val="38"/>
          <w:sz w:val="22"/>
        </w:rPr>
        <w:t> </w:t>
      </w:r>
      <w:r>
        <w:rPr>
          <w:color w:val="0C0C0C"/>
          <w:sz w:val="22"/>
        </w:rPr>
        <w:t>but</w:t>
      </w:r>
      <w:r>
        <w:rPr>
          <w:color w:val="0C0C0C"/>
          <w:spacing w:val="28"/>
          <w:sz w:val="22"/>
        </w:rPr>
        <w:t> </w:t>
      </w:r>
      <w:r>
        <w:rPr>
          <w:color w:val="0C0C0C"/>
          <w:sz w:val="22"/>
        </w:rPr>
        <w:t>are generally</w:t>
      </w:r>
      <w:r>
        <w:rPr>
          <w:color w:val="0C0C0C"/>
          <w:spacing w:val="40"/>
          <w:sz w:val="22"/>
        </w:rPr>
        <w:t> </w:t>
      </w:r>
      <w:r>
        <w:rPr>
          <w:color w:val="0C0C0C"/>
          <w:sz w:val="22"/>
        </w:rPr>
        <w:t>at similar</w:t>
      </w:r>
      <w:r>
        <w:rPr>
          <w:color w:val="0C0C0C"/>
          <w:spacing w:val="40"/>
          <w:sz w:val="22"/>
        </w:rPr>
        <w:t> </w:t>
      </w:r>
      <w:r>
        <w:rPr>
          <w:color w:val="0C0C0C"/>
          <w:sz w:val="22"/>
        </w:rPr>
        <w:t>levels</w:t>
      </w:r>
      <w:r>
        <w:rPr>
          <w:color w:val="0C0C0C"/>
          <w:spacing w:val="30"/>
          <w:sz w:val="22"/>
        </w:rPr>
        <w:t> </w:t>
      </w:r>
      <w:r>
        <w:rPr>
          <w:color w:val="0C0C0C"/>
          <w:sz w:val="22"/>
        </w:rPr>
        <w:t>to</w:t>
      </w:r>
      <w:r>
        <w:rPr>
          <w:color w:val="0C0C0C"/>
          <w:spacing w:val="28"/>
          <w:sz w:val="22"/>
        </w:rPr>
        <w:t> </w:t>
      </w:r>
      <w:r>
        <w:rPr>
          <w:color w:val="0C0C0C"/>
          <w:sz w:val="22"/>
        </w:rPr>
        <w:t>other council</w:t>
      </w:r>
      <w:r>
        <w:rPr>
          <w:color w:val="0C0C0C"/>
          <w:spacing w:val="37"/>
          <w:sz w:val="22"/>
        </w:rPr>
        <w:t> </w:t>
      </w:r>
      <w:r>
        <w:rPr>
          <w:color w:val="0C0C0C"/>
          <w:sz w:val="22"/>
        </w:rPr>
        <w:t>areas</w:t>
      </w:r>
      <w:r>
        <w:rPr>
          <w:color w:val="0C0C0C"/>
          <w:spacing w:val="38"/>
          <w:sz w:val="22"/>
        </w:rPr>
        <w:t> </w:t>
      </w:r>
      <w:r>
        <w:rPr>
          <w:color w:val="0C0C0C"/>
          <w:sz w:val="22"/>
        </w:rPr>
        <w:t>in</w:t>
      </w:r>
      <w:r>
        <w:rPr>
          <w:color w:val="0C0C0C"/>
          <w:spacing w:val="33"/>
          <w:sz w:val="22"/>
        </w:rPr>
        <w:t> </w:t>
      </w:r>
      <w:r>
        <w:rPr>
          <w:color w:val="0C0C0C"/>
          <w:sz w:val="22"/>
        </w:rPr>
        <w:t>the</w:t>
      </w:r>
      <w:r>
        <w:rPr>
          <w:color w:val="0C0C0C"/>
          <w:spacing w:val="28"/>
          <w:sz w:val="22"/>
        </w:rPr>
        <w:t> </w:t>
      </w:r>
      <w:r>
        <w:rPr>
          <w:color w:val="0C0C0C"/>
          <w:sz w:val="22"/>
        </w:rPr>
        <w:t>country,</w:t>
      </w:r>
      <w:r>
        <w:rPr>
          <w:color w:val="0C0C0C"/>
          <w:spacing w:val="40"/>
          <w:sz w:val="22"/>
        </w:rPr>
        <w:t> </w:t>
      </w:r>
      <w:r>
        <w:rPr>
          <w:color w:val="0C0C0C"/>
          <w:sz w:val="22"/>
        </w:rPr>
        <w:t>and</w:t>
      </w:r>
      <w:r>
        <w:rPr>
          <w:color w:val="0C0C0C"/>
          <w:spacing w:val="34"/>
          <w:sz w:val="22"/>
        </w:rPr>
        <w:t> </w:t>
      </w:r>
      <w:r>
        <w:rPr>
          <w:color w:val="0C0C0C"/>
          <w:sz w:val="22"/>
        </w:rPr>
        <w:t>in some</w:t>
      </w:r>
      <w:r>
        <w:rPr>
          <w:color w:val="0C0C0C"/>
          <w:spacing w:val="34"/>
          <w:sz w:val="22"/>
        </w:rPr>
        <w:t> </w:t>
      </w:r>
      <w:r>
        <w:rPr>
          <w:color w:val="0C0C0C"/>
          <w:sz w:val="22"/>
        </w:rPr>
        <w:t>cases</w:t>
      </w:r>
      <w:r>
        <w:rPr>
          <w:color w:val="0C0C0C"/>
          <w:spacing w:val="38"/>
          <w:sz w:val="22"/>
        </w:rPr>
        <w:t> </w:t>
      </w:r>
      <w:r>
        <w:rPr>
          <w:color w:val="0C0C0C"/>
          <w:sz w:val="22"/>
        </w:rPr>
        <w:t>better</w:t>
      </w:r>
      <w:r>
        <w:rPr>
          <w:color w:val="0C0C0C"/>
          <w:spacing w:val="40"/>
          <w:sz w:val="22"/>
        </w:rPr>
        <w:t> </w:t>
      </w:r>
      <w:r>
        <w:rPr>
          <w:color w:val="0C0C0C"/>
          <w:sz w:val="22"/>
        </w:rPr>
        <w:t>(LGA</w:t>
      </w:r>
      <w:r>
        <w:rPr>
          <w:color w:val="0C0C0C"/>
          <w:spacing w:val="40"/>
          <w:sz w:val="22"/>
        </w:rPr>
        <w:t> </w:t>
      </w:r>
      <w:r>
        <w:rPr>
          <w:color w:val="0C0C0C"/>
          <w:sz w:val="22"/>
        </w:rPr>
        <w:t>Survey</w:t>
      </w:r>
      <w:r>
        <w:rPr>
          <w:color w:val="0C0C0C"/>
          <w:spacing w:val="40"/>
          <w:sz w:val="22"/>
        </w:rPr>
        <w:t> </w:t>
      </w:r>
      <w:r>
        <w:rPr>
          <w:color w:val="0C0C0C"/>
          <w:sz w:val="22"/>
        </w:rPr>
        <w:t>Results).</w:t>
      </w:r>
    </w:p>
    <w:p>
      <w:pPr>
        <w:spacing w:after="0" w:line="244" w:lineRule="auto"/>
        <w:jc w:val="left"/>
        <w:rPr>
          <w:sz w:val="22"/>
        </w:rPr>
        <w:sectPr>
          <w:headerReference w:type="default" r:id="rId299"/>
          <w:footerReference w:type="default" r:id="rId300"/>
          <w:footerReference w:type="even" r:id="rId301"/>
          <w:pgSz w:w="11910" w:h="16830"/>
          <w:pgMar w:top="880" w:right="540" w:bottom="1360" w:left="440" w:header="680" w:footer="1164"/>
          <w:pgNumType w:start="135"/>
        </w:sectPr>
      </w:pPr>
    </w:p>
    <w:p>
      <w:pPr>
        <w:pStyle w:val="BodyText"/>
        <w:spacing w:line="139" w:lineRule="exact"/>
        <w:ind w:left="1983"/>
        <w:rPr>
          <w:sz w:val="13"/>
        </w:rPr>
      </w:pPr>
      <w:r>
        <w:rPr>
          <w:position w:val="-2"/>
          <w:sz w:val="13"/>
        </w:rPr>
        <w:drawing>
          <wp:inline distT="0" distB="0" distL="0" distR="0">
            <wp:extent cx="1591806" cy="88392"/>
            <wp:effectExtent l="0" t="0" r="0" b="0"/>
            <wp:docPr id="733" name="Image 733"/>
            <wp:cNvGraphicFramePr>
              <a:graphicFrameLocks/>
            </wp:cNvGraphicFramePr>
            <a:graphic>
              <a:graphicData uri="http://schemas.openxmlformats.org/drawingml/2006/picture">
                <pic:pic>
                  <pic:nvPicPr>
                    <pic:cNvPr id="733" name="Image 733"/>
                    <pic:cNvPicPr/>
                  </pic:nvPicPr>
                  <pic:blipFill>
                    <a:blip r:embed="rId303" cstate="print"/>
                    <a:stretch>
                      <a:fillRect/>
                    </a:stretch>
                  </pic:blipFill>
                  <pic:spPr>
                    <a:xfrm>
                      <a:off x="0" y="0"/>
                      <a:ext cx="1591806" cy="88392"/>
                    </a:xfrm>
                    <a:prstGeom prst="rect">
                      <a:avLst/>
                    </a:prstGeom>
                  </pic:spPr>
                </pic:pic>
              </a:graphicData>
            </a:graphic>
          </wp:inline>
        </w:drawing>
      </w:r>
      <w:r>
        <w:rPr>
          <w:position w:val="-2"/>
          <w:sz w:val="13"/>
        </w:rPr>
      </w:r>
    </w:p>
    <w:p>
      <w:pPr>
        <w:pStyle w:val="BodyText"/>
        <w:spacing w:before="22"/>
        <w:rPr>
          <w:sz w:val="20"/>
        </w:rPr>
      </w:pPr>
    </w:p>
    <w:tbl>
      <w:tblPr>
        <w:tblW w:w="0" w:type="auto"/>
        <w:jc w:val="left"/>
        <w:tblInd w:w="117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Look w:val="01E0"/>
      </w:tblPr>
      <w:tblGrid>
        <w:gridCol w:w="3952"/>
        <w:gridCol w:w="909"/>
        <w:gridCol w:w="909"/>
        <w:gridCol w:w="909"/>
        <w:gridCol w:w="904"/>
        <w:gridCol w:w="899"/>
      </w:tblGrid>
      <w:tr>
        <w:trPr>
          <w:trHeight w:val="244" w:hRule="atLeast"/>
        </w:trPr>
        <w:tc>
          <w:tcPr>
            <w:tcW w:w="3952" w:type="dxa"/>
          </w:tcPr>
          <w:p>
            <w:pPr>
              <w:pStyle w:val="TableParagraph"/>
              <w:rPr>
                <w:rFonts w:ascii="Times New Roman"/>
                <w:sz w:val="16"/>
              </w:rPr>
            </w:pPr>
          </w:p>
        </w:tc>
        <w:tc>
          <w:tcPr>
            <w:tcW w:w="909" w:type="dxa"/>
          </w:tcPr>
          <w:p>
            <w:pPr>
              <w:pStyle w:val="TableParagraph"/>
              <w:spacing w:before="15" w:line="209" w:lineRule="exact"/>
              <w:ind w:left="39" w:right="10"/>
              <w:jc w:val="center"/>
              <w:rPr>
                <w:rFonts w:ascii="Courier New"/>
                <w:b/>
                <w:sz w:val="25"/>
              </w:rPr>
            </w:pPr>
            <w:r>
              <w:rPr>
                <w:rFonts w:ascii="Courier New"/>
                <w:b/>
                <w:color w:val="080808"/>
                <w:spacing w:val="-4"/>
                <w:w w:val="95"/>
                <w:sz w:val="25"/>
              </w:rPr>
              <w:t>2005</w:t>
            </w:r>
          </w:p>
        </w:tc>
        <w:tc>
          <w:tcPr>
            <w:tcW w:w="909" w:type="dxa"/>
          </w:tcPr>
          <w:p>
            <w:pPr>
              <w:pStyle w:val="TableParagraph"/>
              <w:spacing w:before="15" w:line="209" w:lineRule="exact"/>
              <w:ind w:left="39" w:right="5"/>
              <w:jc w:val="center"/>
              <w:rPr>
                <w:rFonts w:ascii="Courier New"/>
                <w:b/>
                <w:sz w:val="25"/>
              </w:rPr>
            </w:pPr>
            <w:r>
              <w:rPr>
                <w:rFonts w:ascii="Courier New"/>
                <w:b/>
                <w:color w:val="080808"/>
                <w:spacing w:val="-4"/>
                <w:w w:val="95"/>
                <w:sz w:val="25"/>
              </w:rPr>
              <w:t>2008</w:t>
            </w:r>
          </w:p>
        </w:tc>
        <w:tc>
          <w:tcPr>
            <w:tcW w:w="909" w:type="dxa"/>
          </w:tcPr>
          <w:p>
            <w:pPr>
              <w:pStyle w:val="TableParagraph"/>
              <w:spacing w:before="10" w:line="214" w:lineRule="exact"/>
              <w:ind w:left="39" w:right="39"/>
              <w:jc w:val="center"/>
              <w:rPr>
                <w:rFonts w:ascii="Courier New"/>
                <w:b/>
                <w:sz w:val="25"/>
              </w:rPr>
            </w:pPr>
            <w:r>
              <w:rPr>
                <w:rFonts w:ascii="Courier New"/>
                <w:b/>
                <w:color w:val="080808"/>
                <w:spacing w:val="-4"/>
                <w:w w:val="90"/>
                <w:sz w:val="25"/>
              </w:rPr>
              <w:t>2011</w:t>
            </w:r>
          </w:p>
        </w:tc>
        <w:tc>
          <w:tcPr>
            <w:tcW w:w="904" w:type="dxa"/>
          </w:tcPr>
          <w:p>
            <w:pPr>
              <w:pStyle w:val="TableParagraph"/>
              <w:spacing w:before="10" w:line="214" w:lineRule="exact"/>
              <w:ind w:left="36" w:right="2"/>
              <w:jc w:val="center"/>
              <w:rPr>
                <w:rFonts w:ascii="Courier New"/>
                <w:b/>
                <w:sz w:val="25"/>
              </w:rPr>
            </w:pPr>
            <w:r>
              <w:rPr>
                <w:rFonts w:ascii="Courier New"/>
                <w:b/>
                <w:color w:val="080808"/>
                <w:spacing w:val="-4"/>
                <w:w w:val="95"/>
                <w:sz w:val="25"/>
              </w:rPr>
              <w:t>2014</w:t>
            </w:r>
          </w:p>
        </w:tc>
        <w:tc>
          <w:tcPr>
            <w:tcW w:w="899" w:type="dxa"/>
          </w:tcPr>
          <w:p>
            <w:pPr>
              <w:pStyle w:val="TableParagraph"/>
              <w:spacing w:before="5" w:line="219" w:lineRule="exact"/>
              <w:ind w:left="37" w:right="4"/>
              <w:jc w:val="center"/>
              <w:rPr>
                <w:rFonts w:ascii="Courier New"/>
                <w:b/>
                <w:sz w:val="25"/>
              </w:rPr>
            </w:pPr>
            <w:r>
              <w:rPr>
                <w:rFonts w:ascii="Courier New"/>
                <w:b/>
                <w:color w:val="080808"/>
                <w:spacing w:val="-4"/>
                <w:w w:val="95"/>
                <w:sz w:val="25"/>
              </w:rPr>
              <w:t>2018</w:t>
            </w:r>
          </w:p>
        </w:tc>
      </w:tr>
      <w:tr>
        <w:trPr>
          <w:trHeight w:val="494" w:hRule="atLeast"/>
        </w:trPr>
        <w:tc>
          <w:tcPr>
            <w:tcW w:w="3952" w:type="dxa"/>
          </w:tcPr>
          <w:p>
            <w:pPr>
              <w:pStyle w:val="TableParagraph"/>
              <w:spacing w:line="250" w:lineRule="exact"/>
              <w:ind w:left="125" w:right="86" w:hanging="9"/>
              <w:rPr>
                <w:b/>
                <w:sz w:val="23"/>
              </w:rPr>
            </w:pPr>
            <w:r>
              <w:rPr>
                <w:color w:val="080808"/>
                <w:w w:val="90"/>
                <w:sz w:val="22"/>
              </w:rPr>
              <w:t>% </w:t>
            </w:r>
            <w:r>
              <w:rPr>
                <w:b/>
                <w:color w:val="080808"/>
                <w:w w:val="90"/>
                <w:sz w:val="23"/>
              </w:rPr>
              <w:t>Satisfaction with</w:t>
            </w:r>
            <w:r>
              <w:rPr>
                <w:b/>
                <w:color w:val="080808"/>
                <w:spacing w:val="-13"/>
                <w:w w:val="90"/>
                <w:sz w:val="23"/>
              </w:rPr>
              <w:t> </w:t>
            </w:r>
            <w:r>
              <w:rPr>
                <w:b/>
                <w:color w:val="080808"/>
                <w:w w:val="90"/>
                <w:sz w:val="23"/>
              </w:rPr>
              <w:t>the area as</w:t>
            </w:r>
            <w:r>
              <w:rPr>
                <w:b/>
                <w:color w:val="080808"/>
                <w:spacing w:val="-8"/>
                <w:w w:val="90"/>
                <w:sz w:val="23"/>
              </w:rPr>
              <w:t> </w:t>
            </w:r>
            <w:r>
              <w:rPr>
                <w:b/>
                <w:color w:val="080808"/>
                <w:w w:val="90"/>
                <w:sz w:val="23"/>
              </w:rPr>
              <w:t>a </w:t>
            </w:r>
            <w:r>
              <w:rPr>
                <w:b/>
                <w:color w:val="1C1C1C"/>
                <w:sz w:val="23"/>
              </w:rPr>
              <w:t>olace </w:t>
            </w:r>
            <w:r>
              <w:rPr>
                <w:b/>
                <w:color w:val="080808"/>
                <w:sz w:val="23"/>
              </w:rPr>
              <w:t>to</w:t>
            </w:r>
            <w:r>
              <w:rPr>
                <w:b/>
                <w:color w:val="080808"/>
                <w:spacing w:val="-5"/>
                <w:sz w:val="23"/>
              </w:rPr>
              <w:t> </w:t>
            </w:r>
            <w:r>
              <w:rPr>
                <w:b/>
                <w:color w:val="080808"/>
                <w:sz w:val="23"/>
              </w:rPr>
              <w:t>live</w:t>
            </w:r>
          </w:p>
        </w:tc>
        <w:tc>
          <w:tcPr>
            <w:tcW w:w="909" w:type="dxa"/>
          </w:tcPr>
          <w:p>
            <w:pPr>
              <w:pStyle w:val="TableParagraph"/>
              <w:spacing w:before="12"/>
              <w:ind w:left="39" w:right="3"/>
              <w:jc w:val="center"/>
              <w:rPr>
                <w:sz w:val="22"/>
              </w:rPr>
            </w:pPr>
            <w:r>
              <w:rPr>
                <w:color w:val="080808"/>
                <w:spacing w:val="-5"/>
                <w:sz w:val="22"/>
              </w:rPr>
              <w:t>82</w:t>
            </w:r>
          </w:p>
        </w:tc>
        <w:tc>
          <w:tcPr>
            <w:tcW w:w="909" w:type="dxa"/>
          </w:tcPr>
          <w:p>
            <w:pPr>
              <w:pStyle w:val="TableParagraph"/>
              <w:spacing w:before="21"/>
              <w:ind w:left="39"/>
              <w:jc w:val="center"/>
              <w:rPr>
                <w:b/>
                <w:sz w:val="21"/>
              </w:rPr>
            </w:pPr>
            <w:r>
              <w:rPr>
                <w:b/>
                <w:color w:val="080808"/>
                <w:spacing w:val="-5"/>
                <w:w w:val="105"/>
                <w:sz w:val="21"/>
              </w:rPr>
              <w:t>84</w:t>
            </w:r>
          </w:p>
        </w:tc>
        <w:tc>
          <w:tcPr>
            <w:tcW w:w="909" w:type="dxa"/>
          </w:tcPr>
          <w:p>
            <w:pPr>
              <w:pStyle w:val="TableParagraph"/>
              <w:spacing w:before="12"/>
              <w:ind w:left="39" w:right="5"/>
              <w:jc w:val="center"/>
              <w:rPr>
                <w:sz w:val="22"/>
              </w:rPr>
            </w:pPr>
            <w:r>
              <w:rPr>
                <w:color w:val="080808"/>
                <w:spacing w:val="-5"/>
                <w:sz w:val="22"/>
              </w:rPr>
              <w:t>91</w:t>
            </w:r>
          </w:p>
        </w:tc>
        <w:tc>
          <w:tcPr>
            <w:tcW w:w="904" w:type="dxa"/>
          </w:tcPr>
          <w:p>
            <w:pPr>
              <w:pStyle w:val="TableParagraph"/>
              <w:spacing w:before="12"/>
              <w:ind w:left="36"/>
              <w:jc w:val="center"/>
              <w:rPr>
                <w:sz w:val="22"/>
              </w:rPr>
            </w:pPr>
            <w:r>
              <w:rPr>
                <w:color w:val="080808"/>
                <w:spacing w:val="-5"/>
                <w:sz w:val="22"/>
              </w:rPr>
              <w:t>90</w:t>
            </w:r>
          </w:p>
        </w:tc>
        <w:tc>
          <w:tcPr>
            <w:tcW w:w="899" w:type="dxa"/>
          </w:tcPr>
          <w:p>
            <w:pPr>
              <w:pStyle w:val="TableParagraph"/>
              <w:spacing w:before="7"/>
              <w:ind w:left="37"/>
              <w:jc w:val="center"/>
              <w:rPr>
                <w:sz w:val="22"/>
              </w:rPr>
            </w:pPr>
            <w:r>
              <w:rPr>
                <w:color w:val="080808"/>
                <w:spacing w:val="-5"/>
                <w:sz w:val="22"/>
              </w:rPr>
              <w:t>83</w:t>
            </w:r>
          </w:p>
        </w:tc>
      </w:tr>
      <w:tr>
        <w:trPr>
          <w:trHeight w:val="497" w:hRule="atLeast"/>
        </w:trPr>
        <w:tc>
          <w:tcPr>
            <w:tcW w:w="3952" w:type="dxa"/>
          </w:tcPr>
          <w:p>
            <w:pPr>
              <w:pStyle w:val="TableParagraph"/>
              <w:spacing w:line="254" w:lineRule="exact"/>
              <w:ind w:left="109" w:right="141" w:firstLine="2"/>
              <w:rPr>
                <w:sz w:val="22"/>
              </w:rPr>
            </w:pPr>
            <w:r>
              <w:rPr>
                <w:color w:val="080808"/>
                <w:w w:val="90"/>
                <w:sz w:val="22"/>
              </w:rPr>
              <w:t>%</w:t>
            </w:r>
            <w:r>
              <w:rPr>
                <w:color w:val="080808"/>
                <w:spacing w:val="-10"/>
                <w:w w:val="90"/>
                <w:sz w:val="22"/>
              </w:rPr>
              <w:t> </w:t>
            </w:r>
            <w:r>
              <w:rPr>
                <w:b/>
                <w:color w:val="080808"/>
                <w:w w:val="90"/>
                <w:sz w:val="23"/>
              </w:rPr>
              <w:t>Satisfaction</w:t>
            </w:r>
            <w:r>
              <w:rPr>
                <w:b/>
                <w:color w:val="080808"/>
                <w:spacing w:val="-9"/>
                <w:w w:val="90"/>
                <w:sz w:val="23"/>
              </w:rPr>
              <w:t> </w:t>
            </w:r>
            <w:r>
              <w:rPr>
                <w:b/>
                <w:color w:val="080808"/>
                <w:w w:val="90"/>
                <w:sz w:val="23"/>
              </w:rPr>
              <w:t>with</w:t>
            </w:r>
            <w:r>
              <w:rPr>
                <w:b/>
                <w:color w:val="080808"/>
                <w:spacing w:val="-10"/>
                <w:w w:val="90"/>
                <w:sz w:val="23"/>
              </w:rPr>
              <w:t> </w:t>
            </w:r>
            <w:r>
              <w:rPr>
                <w:b/>
                <w:color w:val="080808"/>
                <w:w w:val="90"/>
                <w:sz w:val="23"/>
              </w:rPr>
              <w:t>the</w:t>
            </w:r>
            <w:r>
              <w:rPr>
                <w:b/>
                <w:color w:val="080808"/>
                <w:spacing w:val="-9"/>
                <w:w w:val="90"/>
                <w:sz w:val="23"/>
              </w:rPr>
              <w:t> </w:t>
            </w:r>
            <w:r>
              <w:rPr>
                <w:b/>
                <w:color w:val="080808"/>
                <w:w w:val="90"/>
                <w:sz w:val="23"/>
              </w:rPr>
              <w:t>way</w:t>
            </w:r>
            <w:r>
              <w:rPr>
                <w:b/>
                <w:color w:val="080808"/>
                <w:spacing w:val="-10"/>
                <w:w w:val="90"/>
                <w:sz w:val="23"/>
              </w:rPr>
              <w:t> </w:t>
            </w:r>
            <w:r>
              <w:rPr>
                <w:b/>
                <w:color w:val="080808"/>
                <w:w w:val="90"/>
                <w:sz w:val="23"/>
              </w:rPr>
              <w:t>the </w:t>
            </w:r>
            <w:r>
              <w:rPr>
                <w:b/>
                <w:color w:val="080808"/>
                <w:sz w:val="23"/>
              </w:rPr>
              <w:t>Council is </w:t>
            </w:r>
            <w:r>
              <w:rPr>
                <w:color w:val="080808"/>
                <w:sz w:val="22"/>
              </w:rPr>
              <w:t>run</w:t>
            </w:r>
          </w:p>
        </w:tc>
        <w:tc>
          <w:tcPr>
            <w:tcW w:w="909" w:type="dxa"/>
          </w:tcPr>
          <w:p>
            <w:pPr>
              <w:pStyle w:val="TableParagraph"/>
              <w:spacing w:before="11"/>
              <w:ind w:left="39" w:right="9"/>
              <w:jc w:val="center"/>
              <w:rPr>
                <w:sz w:val="22"/>
              </w:rPr>
            </w:pPr>
            <w:r>
              <w:rPr>
                <w:color w:val="080808"/>
                <w:spacing w:val="-5"/>
                <w:sz w:val="22"/>
              </w:rPr>
              <w:t>66</w:t>
            </w:r>
          </w:p>
        </w:tc>
        <w:tc>
          <w:tcPr>
            <w:tcW w:w="909" w:type="dxa"/>
          </w:tcPr>
          <w:p>
            <w:pPr>
              <w:pStyle w:val="TableParagraph"/>
              <w:spacing w:before="11"/>
              <w:ind w:left="39" w:right="12"/>
              <w:jc w:val="center"/>
              <w:rPr>
                <w:sz w:val="22"/>
              </w:rPr>
            </w:pPr>
            <w:r>
              <w:rPr>
                <w:color w:val="080808"/>
                <w:spacing w:val="-5"/>
                <w:sz w:val="22"/>
              </w:rPr>
              <w:t>65</w:t>
            </w:r>
          </w:p>
        </w:tc>
        <w:tc>
          <w:tcPr>
            <w:tcW w:w="909" w:type="dxa"/>
          </w:tcPr>
          <w:p>
            <w:pPr>
              <w:pStyle w:val="TableParagraph"/>
              <w:spacing w:before="11"/>
              <w:ind w:left="39" w:right="12"/>
              <w:jc w:val="center"/>
              <w:rPr>
                <w:sz w:val="22"/>
              </w:rPr>
            </w:pPr>
            <w:r>
              <w:rPr>
                <w:color w:val="080808"/>
                <w:spacing w:val="-5"/>
                <w:w w:val="105"/>
                <w:sz w:val="22"/>
              </w:rPr>
              <w:t>74</w:t>
            </w:r>
          </w:p>
        </w:tc>
        <w:tc>
          <w:tcPr>
            <w:tcW w:w="904" w:type="dxa"/>
          </w:tcPr>
          <w:p>
            <w:pPr>
              <w:pStyle w:val="TableParagraph"/>
              <w:spacing w:before="6"/>
              <w:ind w:left="36" w:right="9"/>
              <w:jc w:val="center"/>
              <w:rPr>
                <w:sz w:val="22"/>
              </w:rPr>
            </w:pPr>
            <w:r>
              <w:rPr>
                <w:color w:val="080808"/>
                <w:spacing w:val="-5"/>
                <w:sz w:val="22"/>
              </w:rPr>
              <w:t>74</w:t>
            </w:r>
          </w:p>
        </w:tc>
        <w:tc>
          <w:tcPr>
            <w:tcW w:w="899" w:type="dxa"/>
          </w:tcPr>
          <w:p>
            <w:pPr>
              <w:pStyle w:val="TableParagraph"/>
              <w:spacing w:before="6"/>
              <w:ind w:left="37" w:right="4"/>
              <w:jc w:val="center"/>
              <w:rPr>
                <w:sz w:val="22"/>
              </w:rPr>
            </w:pPr>
            <w:r>
              <w:rPr>
                <w:color w:val="080808"/>
                <w:spacing w:val="-5"/>
                <w:sz w:val="22"/>
              </w:rPr>
              <w:t>66</w:t>
            </w:r>
          </w:p>
        </w:tc>
      </w:tr>
      <w:tr>
        <w:trPr>
          <w:trHeight w:val="489" w:hRule="atLeast"/>
        </w:trPr>
        <w:tc>
          <w:tcPr>
            <w:tcW w:w="3952" w:type="dxa"/>
          </w:tcPr>
          <w:p>
            <w:pPr>
              <w:pStyle w:val="TableParagraph"/>
              <w:spacing w:line="246" w:lineRule="exact"/>
              <w:ind w:left="102" w:right="141" w:hanging="1"/>
              <w:rPr>
                <w:b/>
                <w:sz w:val="23"/>
              </w:rPr>
            </w:pPr>
            <w:r>
              <w:rPr>
                <w:color w:val="080808"/>
                <w:w w:val="90"/>
                <w:sz w:val="22"/>
              </w:rPr>
              <w:t>% </w:t>
            </w:r>
            <w:r>
              <w:rPr>
                <w:b/>
                <w:color w:val="080808"/>
                <w:w w:val="90"/>
                <w:sz w:val="23"/>
              </w:rPr>
              <w:t>Agree the </w:t>
            </w:r>
            <w:r>
              <w:rPr>
                <w:color w:val="080808"/>
                <w:w w:val="90"/>
                <w:sz w:val="22"/>
              </w:rPr>
              <w:t>Council </w:t>
            </w:r>
            <w:r>
              <w:rPr>
                <w:b/>
                <w:color w:val="080808"/>
                <w:w w:val="90"/>
                <w:sz w:val="23"/>
              </w:rPr>
              <w:t>provides value </w:t>
            </w:r>
            <w:r>
              <w:rPr>
                <w:b/>
                <w:color w:val="080808"/>
                <w:sz w:val="23"/>
              </w:rPr>
              <w:t>for </w:t>
            </w:r>
            <w:r>
              <w:rPr>
                <w:b/>
                <w:color w:val="1C1C1C"/>
                <w:sz w:val="23"/>
              </w:rPr>
              <w:t>money</w:t>
            </w:r>
          </w:p>
        </w:tc>
        <w:tc>
          <w:tcPr>
            <w:tcW w:w="909" w:type="dxa"/>
          </w:tcPr>
          <w:p>
            <w:pPr>
              <w:pStyle w:val="TableParagraph"/>
              <w:spacing w:before="2"/>
              <w:ind w:left="39" w:right="15"/>
              <w:jc w:val="center"/>
              <w:rPr>
                <w:sz w:val="22"/>
              </w:rPr>
            </w:pPr>
            <w:r>
              <w:rPr>
                <w:color w:val="080808"/>
                <w:spacing w:val="-5"/>
                <w:sz w:val="22"/>
              </w:rPr>
              <w:t>39</w:t>
            </w:r>
          </w:p>
        </w:tc>
        <w:tc>
          <w:tcPr>
            <w:tcW w:w="909" w:type="dxa"/>
          </w:tcPr>
          <w:p>
            <w:pPr>
              <w:pStyle w:val="TableParagraph"/>
              <w:spacing w:before="2"/>
              <w:ind w:left="39" w:right="18"/>
              <w:jc w:val="center"/>
              <w:rPr>
                <w:sz w:val="22"/>
              </w:rPr>
            </w:pPr>
            <w:r>
              <w:rPr>
                <w:color w:val="080808"/>
                <w:spacing w:val="-5"/>
                <w:sz w:val="22"/>
              </w:rPr>
              <w:t>52</w:t>
            </w:r>
          </w:p>
        </w:tc>
        <w:tc>
          <w:tcPr>
            <w:tcW w:w="909" w:type="dxa"/>
          </w:tcPr>
          <w:p>
            <w:pPr>
              <w:pStyle w:val="TableParagraph"/>
              <w:spacing w:before="2"/>
              <w:ind w:left="39" w:right="17"/>
              <w:jc w:val="center"/>
              <w:rPr>
                <w:sz w:val="22"/>
              </w:rPr>
            </w:pPr>
            <w:r>
              <w:rPr>
                <w:color w:val="080808"/>
                <w:spacing w:val="-5"/>
                <w:w w:val="105"/>
                <w:sz w:val="22"/>
              </w:rPr>
              <w:t>61</w:t>
            </w:r>
          </w:p>
        </w:tc>
        <w:tc>
          <w:tcPr>
            <w:tcW w:w="904" w:type="dxa"/>
          </w:tcPr>
          <w:p>
            <w:pPr>
              <w:pStyle w:val="TableParagraph"/>
              <w:spacing w:before="2"/>
              <w:ind w:left="36" w:right="24"/>
              <w:jc w:val="center"/>
              <w:rPr>
                <w:sz w:val="22"/>
              </w:rPr>
            </w:pPr>
            <w:r>
              <w:rPr>
                <w:color w:val="080808"/>
                <w:spacing w:val="-5"/>
                <w:sz w:val="22"/>
              </w:rPr>
              <w:t>65</w:t>
            </w:r>
          </w:p>
        </w:tc>
        <w:tc>
          <w:tcPr>
            <w:tcW w:w="899" w:type="dxa"/>
          </w:tcPr>
          <w:p>
            <w:pPr>
              <w:pStyle w:val="TableParagraph"/>
              <w:spacing w:before="7"/>
              <w:ind w:left="37" w:right="14"/>
              <w:jc w:val="center"/>
              <w:rPr>
                <w:b/>
                <w:sz w:val="21"/>
              </w:rPr>
            </w:pPr>
            <w:r>
              <w:rPr>
                <w:b/>
                <w:color w:val="080808"/>
                <w:spacing w:val="-5"/>
                <w:w w:val="105"/>
                <w:sz w:val="21"/>
              </w:rPr>
              <w:t>48</w:t>
            </w:r>
          </w:p>
        </w:tc>
      </w:tr>
      <w:tr>
        <w:trPr>
          <w:trHeight w:val="501" w:hRule="atLeast"/>
        </w:trPr>
        <w:tc>
          <w:tcPr>
            <w:tcW w:w="3952" w:type="dxa"/>
          </w:tcPr>
          <w:p>
            <w:pPr>
              <w:pStyle w:val="TableParagraph"/>
              <w:spacing w:line="250" w:lineRule="exact"/>
              <w:ind w:left="90" w:right="86" w:firstLine="7"/>
              <w:rPr>
                <w:b/>
                <w:sz w:val="23"/>
              </w:rPr>
            </w:pPr>
            <w:r>
              <w:rPr>
                <w:color w:val="080808"/>
                <w:w w:val="90"/>
                <w:sz w:val="22"/>
              </w:rPr>
              <w:t>%</w:t>
            </w:r>
            <w:r>
              <w:rPr>
                <w:color w:val="080808"/>
                <w:spacing w:val="15"/>
                <w:sz w:val="22"/>
              </w:rPr>
              <w:t> </w:t>
            </w:r>
            <w:r>
              <w:rPr>
                <w:b/>
                <w:color w:val="080808"/>
                <w:w w:val="90"/>
                <w:sz w:val="23"/>
              </w:rPr>
              <w:t>Agree</w:t>
            </w:r>
            <w:r>
              <w:rPr>
                <w:b/>
                <w:color w:val="080808"/>
                <w:spacing w:val="-5"/>
                <w:w w:val="90"/>
                <w:sz w:val="23"/>
              </w:rPr>
              <w:t> </w:t>
            </w:r>
            <w:r>
              <w:rPr>
                <w:b/>
                <w:color w:val="080808"/>
                <w:w w:val="90"/>
                <w:sz w:val="23"/>
              </w:rPr>
              <w:t>treats</w:t>
            </w:r>
            <w:r>
              <w:rPr>
                <w:b/>
                <w:color w:val="080808"/>
                <w:spacing w:val="-5"/>
                <w:w w:val="90"/>
                <w:sz w:val="23"/>
              </w:rPr>
              <w:t> </w:t>
            </w:r>
            <w:r>
              <w:rPr>
                <w:b/>
                <w:color w:val="080808"/>
                <w:w w:val="90"/>
                <w:sz w:val="23"/>
              </w:rPr>
              <w:t>all</w:t>
            </w:r>
            <w:r>
              <w:rPr>
                <w:b/>
                <w:color w:val="080808"/>
                <w:spacing w:val="-8"/>
                <w:w w:val="90"/>
                <w:sz w:val="23"/>
              </w:rPr>
              <w:t> </w:t>
            </w:r>
            <w:r>
              <w:rPr>
                <w:b/>
                <w:color w:val="080808"/>
                <w:w w:val="90"/>
                <w:sz w:val="23"/>
              </w:rPr>
              <w:t>areas</w:t>
            </w:r>
            <w:r>
              <w:rPr>
                <w:b/>
                <w:color w:val="080808"/>
                <w:spacing w:val="-2"/>
                <w:w w:val="90"/>
                <w:sz w:val="23"/>
              </w:rPr>
              <w:t> </w:t>
            </w:r>
            <w:r>
              <w:rPr>
                <w:b/>
                <w:color w:val="080808"/>
                <w:w w:val="90"/>
                <w:sz w:val="23"/>
              </w:rPr>
              <w:t>of</w:t>
            </w:r>
            <w:r>
              <w:rPr>
                <w:b/>
                <w:color w:val="080808"/>
                <w:spacing w:val="-9"/>
                <w:w w:val="90"/>
                <w:sz w:val="23"/>
              </w:rPr>
              <w:t> </w:t>
            </w:r>
            <w:r>
              <w:rPr>
                <w:b/>
                <w:color w:val="080808"/>
                <w:w w:val="90"/>
                <w:sz w:val="23"/>
              </w:rPr>
              <w:t>the </w:t>
            </w:r>
            <w:r>
              <w:rPr>
                <w:b/>
                <w:color w:val="080808"/>
                <w:spacing w:val="-2"/>
                <w:sz w:val="23"/>
              </w:rPr>
              <w:t>borough</w:t>
            </w:r>
            <w:r>
              <w:rPr>
                <w:b/>
                <w:color w:val="080808"/>
                <w:spacing w:val="-14"/>
                <w:sz w:val="23"/>
              </w:rPr>
              <w:t> </w:t>
            </w:r>
            <w:r>
              <w:rPr>
                <w:b/>
                <w:color w:val="080808"/>
                <w:spacing w:val="-2"/>
                <w:sz w:val="23"/>
              </w:rPr>
              <w:t>fairly</w:t>
            </w:r>
          </w:p>
        </w:tc>
        <w:tc>
          <w:tcPr>
            <w:tcW w:w="909" w:type="dxa"/>
          </w:tcPr>
          <w:p>
            <w:pPr>
              <w:pStyle w:val="TableParagraph"/>
              <w:spacing w:before="9"/>
              <w:ind w:left="39" w:right="26"/>
              <w:jc w:val="center"/>
              <w:rPr>
                <w:sz w:val="22"/>
              </w:rPr>
            </w:pPr>
            <w:r>
              <w:rPr>
                <w:color w:val="080808"/>
                <w:spacing w:val="-5"/>
                <w:sz w:val="22"/>
              </w:rPr>
              <w:t>28</w:t>
            </w:r>
          </w:p>
        </w:tc>
        <w:tc>
          <w:tcPr>
            <w:tcW w:w="909" w:type="dxa"/>
          </w:tcPr>
          <w:p>
            <w:pPr>
              <w:pStyle w:val="TableParagraph"/>
              <w:spacing w:before="14"/>
              <w:ind w:left="39" w:right="21"/>
              <w:jc w:val="center"/>
              <w:rPr>
                <w:sz w:val="22"/>
              </w:rPr>
            </w:pPr>
            <w:r>
              <w:rPr>
                <w:color w:val="080808"/>
                <w:spacing w:val="-5"/>
                <w:sz w:val="22"/>
              </w:rPr>
              <w:t>35</w:t>
            </w:r>
          </w:p>
        </w:tc>
        <w:tc>
          <w:tcPr>
            <w:tcW w:w="909" w:type="dxa"/>
          </w:tcPr>
          <w:p>
            <w:pPr>
              <w:pStyle w:val="TableParagraph"/>
              <w:spacing w:before="9"/>
              <w:ind w:left="39" w:right="32"/>
              <w:jc w:val="center"/>
              <w:rPr>
                <w:sz w:val="22"/>
              </w:rPr>
            </w:pPr>
            <w:r>
              <w:rPr>
                <w:color w:val="080808"/>
                <w:spacing w:val="-5"/>
                <w:sz w:val="22"/>
              </w:rPr>
              <w:t>65</w:t>
            </w:r>
          </w:p>
        </w:tc>
        <w:tc>
          <w:tcPr>
            <w:tcW w:w="904" w:type="dxa"/>
          </w:tcPr>
          <w:p>
            <w:pPr>
              <w:pStyle w:val="TableParagraph"/>
              <w:spacing w:before="9"/>
              <w:ind w:left="36" w:right="23"/>
              <w:jc w:val="center"/>
              <w:rPr>
                <w:sz w:val="22"/>
              </w:rPr>
            </w:pPr>
            <w:r>
              <w:rPr>
                <w:color w:val="080808"/>
                <w:spacing w:val="-5"/>
                <w:w w:val="105"/>
                <w:sz w:val="22"/>
              </w:rPr>
              <w:t>70</w:t>
            </w:r>
          </w:p>
        </w:tc>
        <w:tc>
          <w:tcPr>
            <w:tcW w:w="899" w:type="dxa"/>
          </w:tcPr>
          <w:p>
            <w:pPr>
              <w:pStyle w:val="TableParagraph"/>
              <w:spacing w:before="4"/>
              <w:ind w:left="37" w:right="13"/>
              <w:jc w:val="center"/>
              <w:rPr>
                <w:sz w:val="22"/>
              </w:rPr>
            </w:pPr>
            <w:r>
              <w:rPr>
                <w:color w:val="080808"/>
                <w:spacing w:val="-5"/>
                <w:sz w:val="22"/>
              </w:rPr>
              <w:t>69</w:t>
            </w:r>
          </w:p>
        </w:tc>
      </w:tr>
    </w:tbl>
    <w:p>
      <w:pPr>
        <w:pStyle w:val="BodyText"/>
        <w:spacing w:before="11"/>
      </w:pPr>
    </w:p>
    <w:p>
      <w:pPr>
        <w:pStyle w:val="ListParagraph"/>
        <w:numPr>
          <w:ilvl w:val="0"/>
          <w:numId w:val="29"/>
        </w:numPr>
        <w:tabs>
          <w:tab w:val="left" w:leader="none" w:pos="1022"/>
          <w:tab w:val="left" w:leader="none" w:pos="1026"/>
        </w:tabs>
        <w:spacing w:before="0" w:after="0" w:line="240" w:lineRule="auto"/>
        <w:ind w:left="1022" w:right="585" w:hanging="702"/>
        <w:jc w:val="left"/>
        <w:rPr>
          <w:color w:val="080808"/>
          <w:sz w:val="22"/>
        </w:rPr>
      </w:pPr>
      <w:r>
        <w:rPr>
          <w:color w:val="424242"/>
          <w:sz w:val="22"/>
        </w:rPr>
        <w:tab/>
      </w:r>
      <w:r>
        <w:rPr>
          <w:color w:val="080808"/>
          <w:sz w:val="22"/>
        </w:rPr>
        <w:t>The</w:t>
      </w:r>
      <w:r>
        <w:rPr>
          <w:color w:val="080808"/>
          <w:spacing w:val="-6"/>
          <w:sz w:val="22"/>
        </w:rPr>
        <w:t> </w:t>
      </w:r>
      <w:r>
        <w:rPr>
          <w:color w:val="080808"/>
          <w:sz w:val="22"/>
        </w:rPr>
        <w:t>Council's</w:t>
      </w:r>
      <w:r>
        <w:rPr>
          <w:color w:val="080808"/>
          <w:spacing w:val="-1"/>
          <w:sz w:val="22"/>
        </w:rPr>
        <w:t> </w:t>
      </w:r>
      <w:r>
        <w:rPr>
          <w:color w:val="080808"/>
          <w:sz w:val="22"/>
        </w:rPr>
        <w:t>official</w:t>
      </w:r>
      <w:r>
        <w:rPr>
          <w:color w:val="080808"/>
          <w:spacing w:val="-1"/>
          <w:sz w:val="22"/>
        </w:rPr>
        <w:t> </w:t>
      </w:r>
      <w:r>
        <w:rPr>
          <w:color w:val="080808"/>
          <w:sz w:val="22"/>
        </w:rPr>
        <w:t>magazine </w:t>
      </w:r>
      <w:r>
        <w:rPr>
          <w:color w:val="1C1C1C"/>
          <w:sz w:val="22"/>
        </w:rPr>
        <w:t>"Hertsmere </w:t>
      </w:r>
      <w:r>
        <w:rPr>
          <w:color w:val="080808"/>
          <w:sz w:val="22"/>
        </w:rPr>
        <w:t>News"</w:t>
      </w:r>
      <w:r>
        <w:rPr>
          <w:color w:val="080808"/>
          <w:spacing w:val="-1"/>
          <w:sz w:val="22"/>
        </w:rPr>
        <w:t> </w:t>
      </w:r>
      <w:r>
        <w:rPr>
          <w:color w:val="080808"/>
          <w:sz w:val="22"/>
        </w:rPr>
        <w:t>is</w:t>
      </w:r>
      <w:r>
        <w:rPr>
          <w:color w:val="080808"/>
          <w:spacing w:val="-9"/>
          <w:sz w:val="22"/>
        </w:rPr>
        <w:t> </w:t>
      </w:r>
      <w:r>
        <w:rPr>
          <w:color w:val="080808"/>
          <w:sz w:val="22"/>
        </w:rPr>
        <w:t>published</w:t>
      </w:r>
      <w:r>
        <w:rPr>
          <w:color w:val="080808"/>
          <w:spacing w:val="-2"/>
          <w:sz w:val="22"/>
        </w:rPr>
        <w:t> </w:t>
      </w:r>
      <w:r>
        <w:rPr>
          <w:color w:val="080808"/>
          <w:sz w:val="22"/>
        </w:rPr>
        <w:t>three</w:t>
      </w:r>
      <w:r>
        <w:rPr>
          <w:color w:val="080808"/>
          <w:spacing w:val="-4"/>
          <w:sz w:val="22"/>
        </w:rPr>
        <w:t> </w:t>
      </w:r>
      <w:r>
        <w:rPr>
          <w:color w:val="080808"/>
          <w:sz w:val="22"/>
        </w:rPr>
        <w:t>times a</w:t>
      </w:r>
      <w:r>
        <w:rPr>
          <w:color w:val="080808"/>
          <w:spacing w:val="-3"/>
          <w:sz w:val="22"/>
        </w:rPr>
        <w:t> </w:t>
      </w:r>
      <w:r>
        <w:rPr>
          <w:color w:val="080808"/>
          <w:sz w:val="22"/>
        </w:rPr>
        <w:t>year and</w:t>
      </w:r>
      <w:r>
        <w:rPr>
          <w:color w:val="080808"/>
          <w:spacing w:val="-14"/>
          <w:sz w:val="22"/>
        </w:rPr>
        <w:t> </w:t>
      </w:r>
      <w:r>
        <w:rPr>
          <w:color w:val="080808"/>
          <w:sz w:val="22"/>
        </w:rPr>
        <w:t>delivered throughout the Borough</w:t>
      </w:r>
      <w:r>
        <w:rPr>
          <w:color w:val="313131"/>
          <w:sz w:val="22"/>
        </w:rPr>
        <w:t>.</w:t>
      </w:r>
    </w:p>
    <w:p>
      <w:pPr>
        <w:pStyle w:val="BodyText"/>
        <w:spacing w:before="1"/>
      </w:pPr>
    </w:p>
    <w:p>
      <w:pPr>
        <w:pStyle w:val="ListParagraph"/>
        <w:numPr>
          <w:ilvl w:val="0"/>
          <w:numId w:val="29"/>
        </w:numPr>
        <w:tabs>
          <w:tab w:val="left" w:leader="none" w:pos="1010"/>
          <w:tab w:val="left" w:leader="none" w:pos="1021"/>
        </w:tabs>
        <w:spacing w:before="0" w:after="0" w:line="240" w:lineRule="auto"/>
        <w:ind w:left="1010" w:right="380" w:hanging="697"/>
        <w:jc w:val="left"/>
        <w:rPr>
          <w:color w:val="080808"/>
          <w:sz w:val="22"/>
        </w:rPr>
      </w:pPr>
      <w:r>
        <w:rPr>
          <w:color w:val="505050"/>
          <w:sz w:val="22"/>
        </w:rPr>
        <w:tab/>
      </w:r>
      <w:r>
        <w:rPr>
          <w:color w:val="080808"/>
          <w:sz w:val="22"/>
        </w:rPr>
        <w:t>The Council's upgraded website has provision for </w:t>
      </w:r>
      <w:r>
        <w:rPr>
          <w:color w:val="1C1C1C"/>
          <w:sz w:val="22"/>
        </w:rPr>
        <w:t>residents </w:t>
      </w:r>
      <w:r>
        <w:rPr>
          <w:color w:val="080808"/>
          <w:sz w:val="22"/>
        </w:rPr>
        <w:t>and</w:t>
      </w:r>
      <w:r>
        <w:rPr>
          <w:color w:val="080808"/>
          <w:spacing w:val="-3"/>
          <w:sz w:val="22"/>
        </w:rPr>
        <w:t> </w:t>
      </w:r>
      <w:r>
        <w:rPr>
          <w:color w:val="080808"/>
          <w:sz w:val="22"/>
        </w:rPr>
        <w:t>interested </w:t>
      </w:r>
      <w:r>
        <w:rPr>
          <w:color w:val="1C1C1C"/>
          <w:sz w:val="22"/>
        </w:rPr>
        <w:t>parties to</w:t>
      </w:r>
      <w:r>
        <w:rPr>
          <w:color w:val="1C1C1C"/>
          <w:spacing w:val="-2"/>
          <w:sz w:val="22"/>
        </w:rPr>
        <w:t> </w:t>
      </w:r>
      <w:r>
        <w:rPr>
          <w:color w:val="1C1C1C"/>
          <w:sz w:val="22"/>
        </w:rPr>
        <w:t>register to </w:t>
      </w:r>
      <w:r>
        <w:rPr>
          <w:color w:val="080808"/>
          <w:sz w:val="22"/>
        </w:rPr>
        <w:t>receive e-alerts on</w:t>
      </w:r>
      <w:r>
        <w:rPr>
          <w:color w:val="080808"/>
          <w:spacing w:val="-3"/>
          <w:sz w:val="22"/>
        </w:rPr>
        <w:t> </w:t>
      </w:r>
      <w:r>
        <w:rPr>
          <w:color w:val="080808"/>
          <w:sz w:val="22"/>
        </w:rPr>
        <w:t>topics which are of interest of them </w:t>
      </w:r>
      <w:r>
        <w:rPr>
          <w:color w:val="1C1C1C"/>
          <w:sz w:val="22"/>
        </w:rPr>
        <w:t>or for </w:t>
      </w:r>
      <w:r>
        <w:rPr>
          <w:color w:val="080808"/>
          <w:sz w:val="22"/>
        </w:rPr>
        <w:t>all counc</w:t>
      </w:r>
      <w:r>
        <w:rPr>
          <w:color w:val="313131"/>
          <w:sz w:val="22"/>
        </w:rPr>
        <w:t>il</w:t>
      </w:r>
      <w:r>
        <w:rPr>
          <w:color w:val="313131"/>
          <w:spacing w:val="-5"/>
          <w:sz w:val="22"/>
        </w:rPr>
        <w:t> </w:t>
      </w:r>
      <w:r>
        <w:rPr>
          <w:color w:val="1C1C1C"/>
          <w:sz w:val="22"/>
        </w:rPr>
        <w:t>alerts</w:t>
      </w:r>
      <w:r>
        <w:rPr>
          <w:color w:val="707070"/>
          <w:sz w:val="22"/>
        </w:rPr>
        <w:t>.</w:t>
      </w:r>
      <w:r>
        <w:rPr>
          <w:color w:val="707070"/>
          <w:spacing w:val="-16"/>
          <w:sz w:val="22"/>
        </w:rPr>
        <w:t> </w:t>
      </w:r>
      <w:r>
        <w:rPr>
          <w:color w:val="080808"/>
          <w:sz w:val="22"/>
        </w:rPr>
        <w:t>In </w:t>
      </w:r>
      <w:r>
        <w:rPr>
          <w:color w:val="1C1C1C"/>
          <w:sz w:val="22"/>
        </w:rPr>
        <w:t>addition</w:t>
      </w:r>
      <w:r>
        <w:rPr>
          <w:color w:val="505050"/>
          <w:sz w:val="22"/>
        </w:rPr>
        <w:t>,</w:t>
      </w:r>
      <w:r>
        <w:rPr>
          <w:color w:val="505050"/>
          <w:spacing w:val="-13"/>
          <w:sz w:val="22"/>
        </w:rPr>
        <w:t> </w:t>
      </w:r>
      <w:r>
        <w:rPr>
          <w:color w:val="1C1C1C"/>
          <w:sz w:val="22"/>
        </w:rPr>
        <w:t>the </w:t>
      </w:r>
      <w:r>
        <w:rPr>
          <w:color w:val="080808"/>
          <w:sz w:val="22"/>
        </w:rPr>
        <w:t>Council has an</w:t>
      </w:r>
      <w:r>
        <w:rPr>
          <w:color w:val="080808"/>
          <w:spacing w:val="-1"/>
          <w:sz w:val="22"/>
        </w:rPr>
        <w:t> </w:t>
      </w:r>
      <w:r>
        <w:rPr>
          <w:color w:val="080808"/>
          <w:sz w:val="22"/>
        </w:rPr>
        <w:t>active presence on</w:t>
      </w:r>
      <w:r>
        <w:rPr>
          <w:color w:val="080808"/>
          <w:spacing w:val="-5"/>
          <w:sz w:val="22"/>
        </w:rPr>
        <w:t> </w:t>
      </w:r>
      <w:r>
        <w:rPr>
          <w:color w:val="080808"/>
          <w:sz w:val="22"/>
        </w:rPr>
        <w:t>social media platforms</w:t>
      </w:r>
      <w:r>
        <w:rPr>
          <w:color w:val="313131"/>
          <w:sz w:val="22"/>
        </w:rPr>
        <w:t>,</w:t>
      </w:r>
      <w:r>
        <w:rPr>
          <w:color w:val="313131"/>
          <w:spacing w:val="-20"/>
          <w:sz w:val="22"/>
        </w:rPr>
        <w:t> </w:t>
      </w:r>
      <w:r>
        <w:rPr>
          <w:color w:val="313131"/>
          <w:sz w:val="22"/>
        </w:rPr>
        <w:t>i</w:t>
      </w:r>
      <w:r>
        <w:rPr>
          <w:color w:val="080808"/>
          <w:sz w:val="22"/>
        </w:rPr>
        <w:t>ncluding</w:t>
      </w:r>
      <w:r>
        <w:rPr>
          <w:color w:val="080808"/>
          <w:spacing w:val="-9"/>
          <w:sz w:val="22"/>
        </w:rPr>
        <w:t> </w:t>
      </w:r>
      <w:r>
        <w:rPr>
          <w:color w:val="1C1C1C"/>
          <w:sz w:val="22"/>
        </w:rPr>
        <w:t>Facebook,</w:t>
      </w:r>
      <w:r>
        <w:rPr>
          <w:color w:val="1C1C1C"/>
          <w:spacing w:val="20"/>
          <w:sz w:val="22"/>
        </w:rPr>
        <w:t> </w:t>
      </w:r>
      <w:r>
        <w:rPr>
          <w:color w:val="080808"/>
          <w:sz w:val="22"/>
        </w:rPr>
        <w:t>lnstagram</w:t>
      </w:r>
      <w:r>
        <w:rPr>
          <w:color w:val="424242"/>
          <w:sz w:val="22"/>
        </w:rPr>
        <w:t>,</w:t>
      </w:r>
      <w:r>
        <w:rPr>
          <w:color w:val="424242"/>
          <w:spacing w:val="-21"/>
          <w:sz w:val="22"/>
        </w:rPr>
        <w:t> </w:t>
      </w:r>
      <w:r>
        <w:rPr>
          <w:color w:val="1C1C1C"/>
          <w:sz w:val="22"/>
        </w:rPr>
        <w:t>Twitter </w:t>
      </w:r>
      <w:r>
        <w:rPr>
          <w:color w:val="080808"/>
          <w:sz w:val="22"/>
        </w:rPr>
        <w:t>and Youtube.</w:t>
      </w:r>
    </w:p>
    <w:p>
      <w:pPr>
        <w:pStyle w:val="BodyText"/>
        <w:spacing w:before="3"/>
      </w:pPr>
    </w:p>
    <w:p>
      <w:pPr>
        <w:pStyle w:val="ListParagraph"/>
        <w:numPr>
          <w:ilvl w:val="0"/>
          <w:numId w:val="29"/>
        </w:numPr>
        <w:tabs>
          <w:tab w:val="left" w:leader="none" w:pos="999"/>
          <w:tab w:val="left" w:leader="none" w:pos="1001"/>
        </w:tabs>
        <w:spacing w:before="0" w:after="0" w:line="240" w:lineRule="auto"/>
        <w:ind w:left="1001" w:right="404" w:hanging="712"/>
        <w:jc w:val="left"/>
        <w:rPr>
          <w:color w:val="080808"/>
          <w:sz w:val="22"/>
        </w:rPr>
      </w:pPr>
      <w:r>
        <w:rPr>
          <w:color w:val="080808"/>
          <w:sz w:val="22"/>
        </w:rPr>
        <w:t>Residents</w:t>
      </w:r>
      <w:r>
        <w:rPr>
          <w:color w:val="080808"/>
          <w:spacing w:val="25"/>
          <w:sz w:val="22"/>
        </w:rPr>
        <w:t> </w:t>
      </w:r>
      <w:r>
        <w:rPr>
          <w:color w:val="080808"/>
          <w:sz w:val="22"/>
        </w:rPr>
        <w:t>and </w:t>
      </w:r>
      <w:r>
        <w:rPr>
          <w:color w:val="1C1C1C"/>
          <w:sz w:val="22"/>
        </w:rPr>
        <w:t>property/ </w:t>
      </w:r>
      <w:r>
        <w:rPr>
          <w:color w:val="080808"/>
          <w:sz w:val="22"/>
        </w:rPr>
        <w:t>bus</w:t>
      </w:r>
      <w:r>
        <w:rPr>
          <w:color w:val="313131"/>
          <w:sz w:val="22"/>
        </w:rPr>
        <w:t>iness</w:t>
      </w:r>
      <w:r>
        <w:rPr>
          <w:color w:val="313131"/>
          <w:spacing w:val="-4"/>
          <w:sz w:val="22"/>
        </w:rPr>
        <w:t> </w:t>
      </w:r>
      <w:r>
        <w:rPr>
          <w:color w:val="080808"/>
          <w:sz w:val="22"/>
        </w:rPr>
        <w:t>owners in</w:t>
      </w:r>
      <w:r>
        <w:rPr>
          <w:color w:val="080808"/>
          <w:spacing w:val="-7"/>
          <w:sz w:val="22"/>
        </w:rPr>
        <w:t> </w:t>
      </w:r>
      <w:r>
        <w:rPr>
          <w:color w:val="080808"/>
          <w:sz w:val="22"/>
        </w:rPr>
        <w:t>the</w:t>
      </w:r>
      <w:r>
        <w:rPr>
          <w:color w:val="080808"/>
          <w:spacing w:val="-9"/>
          <w:sz w:val="22"/>
        </w:rPr>
        <w:t> </w:t>
      </w:r>
      <w:r>
        <w:rPr>
          <w:color w:val="080808"/>
          <w:sz w:val="22"/>
        </w:rPr>
        <w:t>Borough are</w:t>
      </w:r>
      <w:r>
        <w:rPr>
          <w:color w:val="080808"/>
          <w:spacing w:val="-1"/>
          <w:sz w:val="22"/>
        </w:rPr>
        <w:t> </w:t>
      </w:r>
      <w:r>
        <w:rPr>
          <w:color w:val="080808"/>
          <w:sz w:val="22"/>
        </w:rPr>
        <w:t>able to</w:t>
      </w:r>
      <w:r>
        <w:rPr>
          <w:color w:val="080808"/>
          <w:spacing w:val="-2"/>
          <w:sz w:val="22"/>
        </w:rPr>
        <w:t> </w:t>
      </w:r>
      <w:r>
        <w:rPr>
          <w:color w:val="080808"/>
          <w:sz w:val="22"/>
        </w:rPr>
        <w:t>submit relevant questions in writing for consideration and </w:t>
      </w:r>
      <w:r>
        <w:rPr>
          <w:color w:val="1C1C1C"/>
          <w:sz w:val="22"/>
        </w:rPr>
        <w:t>response </w:t>
      </w:r>
      <w:r>
        <w:rPr>
          <w:color w:val="080808"/>
          <w:sz w:val="22"/>
        </w:rPr>
        <w:t>at Council meetings</w:t>
      </w:r>
      <w:r>
        <w:rPr>
          <w:color w:val="313131"/>
          <w:sz w:val="22"/>
        </w:rPr>
        <w:t>.</w:t>
      </w:r>
    </w:p>
    <w:p>
      <w:pPr>
        <w:pStyle w:val="BodyText"/>
        <w:spacing w:before="1"/>
      </w:pPr>
    </w:p>
    <w:p>
      <w:pPr>
        <w:pStyle w:val="ListParagraph"/>
        <w:numPr>
          <w:ilvl w:val="0"/>
          <w:numId w:val="29"/>
        </w:numPr>
        <w:tabs>
          <w:tab w:val="left" w:leader="none" w:pos="982"/>
          <w:tab w:val="left" w:leader="none" w:pos="992"/>
        </w:tabs>
        <w:spacing w:before="0" w:after="0" w:line="240" w:lineRule="auto"/>
        <w:ind w:left="982" w:right="300" w:hanging="698"/>
        <w:jc w:val="left"/>
        <w:rPr>
          <w:color w:val="080808"/>
          <w:sz w:val="22"/>
        </w:rPr>
      </w:pPr>
      <w:r>
        <w:rPr>
          <w:color w:val="080808"/>
          <w:sz w:val="22"/>
        </w:rPr>
        <w:tab/>
        <w:t>There is </w:t>
      </w:r>
      <w:r>
        <w:rPr>
          <w:color w:val="1C1C1C"/>
          <w:sz w:val="22"/>
        </w:rPr>
        <w:t>a</w:t>
      </w:r>
      <w:r>
        <w:rPr>
          <w:color w:val="1C1C1C"/>
          <w:spacing w:val="-8"/>
          <w:sz w:val="22"/>
        </w:rPr>
        <w:t> </w:t>
      </w:r>
      <w:r>
        <w:rPr>
          <w:color w:val="1C1C1C"/>
          <w:sz w:val="22"/>
        </w:rPr>
        <w:t>facility </w:t>
      </w:r>
      <w:r>
        <w:rPr>
          <w:color w:val="080808"/>
          <w:sz w:val="22"/>
        </w:rPr>
        <w:t>for</w:t>
      </w:r>
      <w:r>
        <w:rPr>
          <w:color w:val="080808"/>
          <w:spacing w:val="-10"/>
          <w:sz w:val="22"/>
        </w:rPr>
        <w:t> </w:t>
      </w:r>
      <w:r>
        <w:rPr>
          <w:color w:val="080808"/>
          <w:sz w:val="22"/>
        </w:rPr>
        <w:t>the</w:t>
      </w:r>
      <w:r>
        <w:rPr>
          <w:color w:val="080808"/>
          <w:spacing w:val="-5"/>
          <w:sz w:val="22"/>
        </w:rPr>
        <w:t> </w:t>
      </w:r>
      <w:r>
        <w:rPr>
          <w:color w:val="080808"/>
          <w:sz w:val="22"/>
        </w:rPr>
        <w:t>Council</w:t>
      </w:r>
      <w:r>
        <w:rPr>
          <w:color w:val="080808"/>
          <w:spacing w:val="-1"/>
          <w:sz w:val="22"/>
        </w:rPr>
        <w:t> </w:t>
      </w:r>
      <w:r>
        <w:rPr>
          <w:color w:val="080808"/>
          <w:sz w:val="22"/>
        </w:rPr>
        <w:t>to</w:t>
      </w:r>
      <w:r>
        <w:rPr>
          <w:color w:val="080808"/>
          <w:spacing w:val="-5"/>
          <w:sz w:val="22"/>
        </w:rPr>
        <w:t> </w:t>
      </w:r>
      <w:r>
        <w:rPr>
          <w:color w:val="1C1C1C"/>
          <w:sz w:val="22"/>
        </w:rPr>
        <w:t>receive </w:t>
      </w:r>
      <w:r>
        <w:rPr>
          <w:color w:val="080808"/>
          <w:sz w:val="22"/>
        </w:rPr>
        <w:t>petitions should a</w:t>
      </w:r>
      <w:r>
        <w:rPr>
          <w:color w:val="080808"/>
          <w:spacing w:val="-8"/>
          <w:sz w:val="22"/>
        </w:rPr>
        <w:t> </w:t>
      </w:r>
      <w:r>
        <w:rPr>
          <w:color w:val="080808"/>
          <w:sz w:val="22"/>
        </w:rPr>
        <w:t>group</w:t>
      </w:r>
      <w:r>
        <w:rPr>
          <w:color w:val="080808"/>
          <w:spacing w:val="-2"/>
          <w:sz w:val="22"/>
        </w:rPr>
        <w:t> </w:t>
      </w:r>
      <w:r>
        <w:rPr>
          <w:color w:val="080808"/>
          <w:sz w:val="22"/>
        </w:rPr>
        <w:t>of</w:t>
      </w:r>
      <w:r>
        <w:rPr>
          <w:color w:val="080808"/>
          <w:spacing w:val="-7"/>
          <w:sz w:val="22"/>
        </w:rPr>
        <w:t> </w:t>
      </w:r>
      <w:r>
        <w:rPr>
          <w:color w:val="080808"/>
          <w:sz w:val="22"/>
        </w:rPr>
        <w:t>residents feel</w:t>
      </w:r>
      <w:r>
        <w:rPr>
          <w:color w:val="080808"/>
          <w:spacing w:val="-7"/>
          <w:sz w:val="22"/>
        </w:rPr>
        <w:t> </w:t>
      </w:r>
      <w:r>
        <w:rPr>
          <w:color w:val="080808"/>
          <w:sz w:val="22"/>
        </w:rPr>
        <w:t>strongly about an issue </w:t>
      </w:r>
      <w:r>
        <w:rPr>
          <w:color w:val="1C1C1C"/>
          <w:sz w:val="22"/>
        </w:rPr>
        <w:t>that relates </w:t>
      </w:r>
      <w:r>
        <w:rPr>
          <w:color w:val="080808"/>
          <w:sz w:val="22"/>
        </w:rPr>
        <w:t>to or affects the</w:t>
      </w:r>
      <w:r>
        <w:rPr>
          <w:color w:val="080808"/>
          <w:spacing w:val="-1"/>
          <w:sz w:val="22"/>
        </w:rPr>
        <w:t> </w:t>
      </w:r>
      <w:r>
        <w:rPr>
          <w:color w:val="1C1C1C"/>
          <w:sz w:val="22"/>
        </w:rPr>
        <w:t>Council's </w:t>
      </w:r>
      <w:r>
        <w:rPr>
          <w:color w:val="080808"/>
          <w:sz w:val="22"/>
        </w:rPr>
        <w:t>functions or the Council has an</w:t>
      </w:r>
      <w:r>
        <w:rPr>
          <w:color w:val="080808"/>
          <w:spacing w:val="-1"/>
          <w:sz w:val="22"/>
        </w:rPr>
        <w:t> </w:t>
      </w:r>
      <w:r>
        <w:rPr>
          <w:color w:val="080808"/>
          <w:sz w:val="22"/>
        </w:rPr>
        <w:t>interest in or involvement with.</w:t>
      </w:r>
    </w:p>
    <w:p>
      <w:pPr>
        <w:pStyle w:val="BodyText"/>
        <w:spacing w:before="2"/>
      </w:pPr>
    </w:p>
    <w:p>
      <w:pPr>
        <w:pStyle w:val="ListParagraph"/>
        <w:numPr>
          <w:ilvl w:val="0"/>
          <w:numId w:val="29"/>
        </w:numPr>
        <w:tabs>
          <w:tab w:val="left" w:leader="none" w:pos="977"/>
        </w:tabs>
        <w:spacing w:before="0" w:after="0" w:line="240" w:lineRule="auto"/>
        <w:ind w:left="977" w:right="621" w:hanging="703"/>
        <w:jc w:val="left"/>
        <w:rPr>
          <w:color w:val="080808"/>
          <w:sz w:val="22"/>
        </w:rPr>
      </w:pPr>
      <w:r>
        <w:rPr>
          <w:color w:val="080808"/>
          <w:sz w:val="22"/>
        </w:rPr>
        <w:t>Some</w:t>
      </w:r>
      <w:r>
        <w:rPr>
          <w:color w:val="080808"/>
          <w:spacing w:val="-3"/>
          <w:sz w:val="22"/>
        </w:rPr>
        <w:t> </w:t>
      </w:r>
      <w:r>
        <w:rPr>
          <w:color w:val="080808"/>
          <w:sz w:val="22"/>
        </w:rPr>
        <w:t>Committee</w:t>
      </w:r>
      <w:r>
        <w:rPr>
          <w:color w:val="080808"/>
          <w:spacing w:val="-1"/>
          <w:sz w:val="22"/>
        </w:rPr>
        <w:t> </w:t>
      </w:r>
      <w:r>
        <w:rPr>
          <w:color w:val="080808"/>
          <w:sz w:val="22"/>
        </w:rPr>
        <w:t>meetings of</w:t>
      </w:r>
      <w:r>
        <w:rPr>
          <w:color w:val="080808"/>
          <w:spacing w:val="-6"/>
          <w:sz w:val="22"/>
        </w:rPr>
        <w:t> </w:t>
      </w:r>
      <w:r>
        <w:rPr>
          <w:color w:val="080808"/>
          <w:sz w:val="22"/>
        </w:rPr>
        <w:t>the</w:t>
      </w:r>
      <w:r>
        <w:rPr>
          <w:color w:val="080808"/>
          <w:spacing w:val="-4"/>
          <w:sz w:val="22"/>
        </w:rPr>
        <w:t> </w:t>
      </w:r>
      <w:r>
        <w:rPr>
          <w:color w:val="080808"/>
          <w:sz w:val="22"/>
        </w:rPr>
        <w:t>Council</w:t>
      </w:r>
      <w:r>
        <w:rPr>
          <w:color w:val="424242"/>
          <w:sz w:val="22"/>
        </w:rPr>
        <w:t>,</w:t>
      </w:r>
      <w:r>
        <w:rPr>
          <w:color w:val="424242"/>
          <w:spacing w:val="-21"/>
          <w:sz w:val="22"/>
        </w:rPr>
        <w:t> </w:t>
      </w:r>
      <w:r>
        <w:rPr>
          <w:color w:val="080808"/>
          <w:sz w:val="22"/>
        </w:rPr>
        <w:t>including the</w:t>
      </w:r>
      <w:r>
        <w:rPr>
          <w:color w:val="080808"/>
          <w:spacing w:val="-9"/>
          <w:sz w:val="22"/>
        </w:rPr>
        <w:t> </w:t>
      </w:r>
      <w:r>
        <w:rPr>
          <w:color w:val="080808"/>
          <w:sz w:val="22"/>
        </w:rPr>
        <w:t>Executive and</w:t>
      </w:r>
      <w:r>
        <w:rPr>
          <w:color w:val="080808"/>
          <w:spacing w:val="-1"/>
          <w:sz w:val="22"/>
        </w:rPr>
        <w:t> </w:t>
      </w:r>
      <w:r>
        <w:rPr>
          <w:color w:val="080808"/>
          <w:sz w:val="22"/>
        </w:rPr>
        <w:t>Planning Committee are </w:t>
      </w:r>
      <w:r>
        <w:rPr>
          <w:color w:val="080808"/>
          <w:spacing w:val="-2"/>
          <w:sz w:val="22"/>
        </w:rPr>
        <w:t>webcast.</w:t>
      </w:r>
    </w:p>
    <w:p>
      <w:pPr>
        <w:pStyle w:val="BodyText"/>
      </w:pPr>
    </w:p>
    <w:p>
      <w:pPr>
        <w:pStyle w:val="ListParagraph"/>
        <w:numPr>
          <w:ilvl w:val="0"/>
          <w:numId w:val="29"/>
        </w:numPr>
        <w:tabs>
          <w:tab w:val="left" w:leader="none" w:pos="966"/>
        </w:tabs>
        <w:spacing w:before="0" w:after="0" w:line="240" w:lineRule="auto"/>
        <w:ind w:left="966" w:right="351" w:hanging="706"/>
        <w:jc w:val="left"/>
        <w:rPr>
          <w:color w:val="080808"/>
          <w:sz w:val="22"/>
        </w:rPr>
      </w:pPr>
      <w:r>
        <w:rPr>
          <w:color w:val="080808"/>
          <w:sz w:val="22"/>
        </w:rPr>
        <w:t>Members of</w:t>
      </w:r>
      <w:r>
        <w:rPr>
          <w:color w:val="080808"/>
          <w:spacing w:val="-6"/>
          <w:sz w:val="22"/>
        </w:rPr>
        <w:t> </w:t>
      </w:r>
      <w:r>
        <w:rPr>
          <w:color w:val="080808"/>
          <w:sz w:val="22"/>
        </w:rPr>
        <w:t>the</w:t>
      </w:r>
      <w:r>
        <w:rPr>
          <w:color w:val="080808"/>
          <w:spacing w:val="-5"/>
          <w:sz w:val="22"/>
        </w:rPr>
        <w:t> </w:t>
      </w:r>
      <w:r>
        <w:rPr>
          <w:color w:val="080808"/>
          <w:sz w:val="22"/>
        </w:rPr>
        <w:t>public</w:t>
      </w:r>
      <w:r>
        <w:rPr>
          <w:color w:val="080808"/>
          <w:spacing w:val="-2"/>
          <w:sz w:val="22"/>
        </w:rPr>
        <w:t> </w:t>
      </w:r>
      <w:r>
        <w:rPr>
          <w:color w:val="1C1C1C"/>
          <w:sz w:val="22"/>
        </w:rPr>
        <w:t>(by</w:t>
      </w:r>
      <w:r>
        <w:rPr>
          <w:color w:val="1C1C1C"/>
          <w:spacing w:val="-2"/>
          <w:sz w:val="22"/>
        </w:rPr>
        <w:t> </w:t>
      </w:r>
      <w:r>
        <w:rPr>
          <w:color w:val="080808"/>
          <w:sz w:val="22"/>
        </w:rPr>
        <w:t>prior </w:t>
      </w:r>
      <w:r>
        <w:rPr>
          <w:color w:val="1C1C1C"/>
          <w:sz w:val="22"/>
        </w:rPr>
        <w:t>arrangement only) </w:t>
      </w:r>
      <w:r>
        <w:rPr>
          <w:color w:val="080808"/>
          <w:sz w:val="22"/>
        </w:rPr>
        <w:t>are</w:t>
      </w:r>
      <w:r>
        <w:rPr>
          <w:color w:val="080808"/>
          <w:spacing w:val="-3"/>
          <w:sz w:val="22"/>
        </w:rPr>
        <w:t> </w:t>
      </w:r>
      <w:r>
        <w:rPr>
          <w:color w:val="080808"/>
          <w:sz w:val="22"/>
        </w:rPr>
        <w:t>also able</w:t>
      </w:r>
      <w:r>
        <w:rPr>
          <w:color w:val="080808"/>
          <w:spacing w:val="-9"/>
          <w:sz w:val="22"/>
        </w:rPr>
        <w:t> </w:t>
      </w:r>
      <w:r>
        <w:rPr>
          <w:color w:val="080808"/>
          <w:sz w:val="22"/>
        </w:rPr>
        <w:t>to</w:t>
      </w:r>
      <w:r>
        <w:rPr>
          <w:color w:val="080808"/>
          <w:spacing w:val="-6"/>
          <w:sz w:val="22"/>
        </w:rPr>
        <w:t> </w:t>
      </w:r>
      <w:r>
        <w:rPr>
          <w:color w:val="080808"/>
          <w:sz w:val="22"/>
        </w:rPr>
        <w:t>speak at</w:t>
      </w:r>
      <w:r>
        <w:rPr>
          <w:color w:val="080808"/>
          <w:spacing w:val="-2"/>
          <w:sz w:val="22"/>
        </w:rPr>
        <w:t> </w:t>
      </w:r>
      <w:r>
        <w:rPr>
          <w:color w:val="080808"/>
          <w:sz w:val="22"/>
        </w:rPr>
        <w:t>a</w:t>
      </w:r>
      <w:r>
        <w:rPr>
          <w:color w:val="080808"/>
          <w:spacing w:val="-8"/>
          <w:sz w:val="22"/>
        </w:rPr>
        <w:t> </w:t>
      </w:r>
      <w:r>
        <w:rPr>
          <w:color w:val="080808"/>
          <w:sz w:val="22"/>
        </w:rPr>
        <w:t>Planning</w:t>
      </w:r>
      <w:r>
        <w:rPr>
          <w:color w:val="080808"/>
          <w:spacing w:val="-2"/>
          <w:sz w:val="22"/>
        </w:rPr>
        <w:t> </w:t>
      </w:r>
      <w:r>
        <w:rPr>
          <w:color w:val="080808"/>
          <w:sz w:val="22"/>
        </w:rPr>
        <w:t>Committee on any application being conside</w:t>
      </w:r>
      <w:r>
        <w:rPr>
          <w:color w:val="313131"/>
          <w:sz w:val="22"/>
        </w:rPr>
        <w:t>red </w:t>
      </w:r>
      <w:r>
        <w:rPr>
          <w:color w:val="1C1C1C"/>
          <w:sz w:val="22"/>
        </w:rPr>
        <w:t>at that meeting.</w:t>
      </w:r>
    </w:p>
    <w:p>
      <w:pPr>
        <w:pStyle w:val="BodyText"/>
      </w:pPr>
    </w:p>
    <w:p>
      <w:pPr>
        <w:pStyle w:val="ListParagraph"/>
        <w:numPr>
          <w:ilvl w:val="0"/>
          <w:numId w:val="29"/>
        </w:numPr>
        <w:tabs>
          <w:tab w:val="left" w:leader="none" w:pos="949"/>
          <w:tab w:val="left" w:leader="none" w:pos="958"/>
        </w:tabs>
        <w:spacing w:before="0" w:after="0" w:line="240" w:lineRule="auto"/>
        <w:ind w:left="949" w:right="333" w:hanging="698"/>
        <w:jc w:val="left"/>
        <w:rPr>
          <w:color w:val="080808"/>
          <w:sz w:val="22"/>
        </w:rPr>
      </w:pPr>
      <w:r>
        <w:rPr>
          <w:color w:val="707070"/>
          <w:sz w:val="22"/>
        </w:rPr>
        <w:tab/>
      </w:r>
      <w:r>
        <w:rPr>
          <w:color w:val="080808"/>
          <w:sz w:val="22"/>
        </w:rPr>
        <w:t>The Council is subject to the requirements</w:t>
      </w:r>
      <w:r>
        <w:rPr>
          <w:color w:val="080808"/>
          <w:spacing w:val="31"/>
          <w:sz w:val="22"/>
        </w:rPr>
        <w:t> </w:t>
      </w:r>
      <w:r>
        <w:rPr>
          <w:color w:val="080808"/>
          <w:sz w:val="22"/>
        </w:rPr>
        <w:t>of the</w:t>
      </w:r>
      <w:r>
        <w:rPr>
          <w:color w:val="080808"/>
          <w:spacing w:val="-2"/>
          <w:sz w:val="22"/>
        </w:rPr>
        <w:t> </w:t>
      </w:r>
      <w:r>
        <w:rPr>
          <w:color w:val="080808"/>
          <w:sz w:val="22"/>
        </w:rPr>
        <w:t>Freedom of Information Act 2003 and</w:t>
      </w:r>
      <w:r>
        <w:rPr>
          <w:color w:val="080808"/>
          <w:spacing w:val="-3"/>
          <w:sz w:val="22"/>
        </w:rPr>
        <w:t> </w:t>
      </w:r>
      <w:r>
        <w:rPr>
          <w:color w:val="080808"/>
          <w:sz w:val="22"/>
        </w:rPr>
        <w:t>the Local Government Transparency Code 2014, the</w:t>
      </w:r>
      <w:r>
        <w:rPr>
          <w:color w:val="080808"/>
          <w:spacing w:val="-4"/>
          <w:sz w:val="22"/>
        </w:rPr>
        <w:t> </w:t>
      </w:r>
      <w:r>
        <w:rPr>
          <w:color w:val="080808"/>
          <w:sz w:val="22"/>
        </w:rPr>
        <w:t>approaches of</w:t>
      </w:r>
      <w:r>
        <w:rPr>
          <w:color w:val="080808"/>
          <w:spacing w:val="-4"/>
          <w:sz w:val="22"/>
        </w:rPr>
        <w:t> </w:t>
      </w:r>
      <w:r>
        <w:rPr>
          <w:color w:val="080808"/>
          <w:sz w:val="22"/>
        </w:rPr>
        <w:t>which are</w:t>
      </w:r>
      <w:r>
        <w:rPr>
          <w:color w:val="080808"/>
          <w:spacing w:val="-7"/>
          <w:sz w:val="22"/>
        </w:rPr>
        <w:t> </w:t>
      </w:r>
      <w:r>
        <w:rPr>
          <w:color w:val="080808"/>
          <w:sz w:val="22"/>
        </w:rPr>
        <w:t>to</w:t>
      </w:r>
      <w:r>
        <w:rPr>
          <w:color w:val="080808"/>
          <w:spacing w:val="-5"/>
          <w:sz w:val="22"/>
        </w:rPr>
        <w:t> </w:t>
      </w:r>
      <w:r>
        <w:rPr>
          <w:color w:val="080808"/>
          <w:sz w:val="22"/>
        </w:rPr>
        <w:t>provide demand-led,</w:t>
      </w:r>
      <w:r>
        <w:rPr>
          <w:color w:val="080808"/>
          <w:spacing w:val="24"/>
          <w:sz w:val="22"/>
        </w:rPr>
        <w:t> </w:t>
      </w:r>
      <w:r>
        <w:rPr>
          <w:color w:val="080808"/>
          <w:sz w:val="22"/>
        </w:rPr>
        <w:t>open, honest,</w:t>
      </w:r>
      <w:r>
        <w:rPr>
          <w:color w:val="080808"/>
          <w:spacing w:val="-1"/>
          <w:sz w:val="22"/>
        </w:rPr>
        <w:t> </w:t>
      </w:r>
      <w:r>
        <w:rPr>
          <w:color w:val="080808"/>
          <w:sz w:val="22"/>
        </w:rPr>
        <w:t>timely</w:t>
      </w:r>
      <w:r>
        <w:rPr>
          <w:color w:val="080808"/>
          <w:spacing w:val="2"/>
          <w:sz w:val="22"/>
        </w:rPr>
        <w:t> </w:t>
      </w:r>
      <w:r>
        <w:rPr>
          <w:color w:val="080808"/>
          <w:sz w:val="22"/>
        </w:rPr>
        <w:t>and</w:t>
      </w:r>
      <w:r>
        <w:rPr>
          <w:color w:val="080808"/>
          <w:spacing w:val="-13"/>
          <w:sz w:val="22"/>
        </w:rPr>
        <w:t> </w:t>
      </w:r>
      <w:r>
        <w:rPr>
          <w:color w:val="080808"/>
          <w:sz w:val="22"/>
        </w:rPr>
        <w:t>transparent</w:t>
      </w:r>
      <w:r>
        <w:rPr>
          <w:color w:val="080808"/>
          <w:spacing w:val="6"/>
          <w:sz w:val="22"/>
        </w:rPr>
        <w:t> </w:t>
      </w:r>
      <w:r>
        <w:rPr>
          <w:color w:val="1C1C1C"/>
          <w:sz w:val="22"/>
        </w:rPr>
        <w:t>information</w:t>
      </w:r>
      <w:r>
        <w:rPr>
          <w:color w:val="1C1C1C"/>
          <w:spacing w:val="-2"/>
          <w:sz w:val="22"/>
        </w:rPr>
        <w:t> </w:t>
      </w:r>
      <w:r>
        <w:rPr>
          <w:color w:val="080808"/>
          <w:sz w:val="22"/>
        </w:rPr>
        <w:t>to</w:t>
      </w:r>
      <w:r>
        <w:rPr>
          <w:color w:val="080808"/>
          <w:spacing w:val="-7"/>
          <w:sz w:val="22"/>
        </w:rPr>
        <w:t> </w:t>
      </w:r>
      <w:r>
        <w:rPr>
          <w:color w:val="080808"/>
          <w:sz w:val="22"/>
        </w:rPr>
        <w:t>all</w:t>
      </w:r>
      <w:r>
        <w:rPr>
          <w:color w:val="080808"/>
          <w:spacing w:val="-13"/>
          <w:sz w:val="22"/>
        </w:rPr>
        <w:t> </w:t>
      </w:r>
      <w:r>
        <w:rPr>
          <w:color w:val="080808"/>
          <w:sz w:val="22"/>
        </w:rPr>
        <w:t>stakeholders</w:t>
      </w:r>
      <w:r>
        <w:rPr>
          <w:color w:val="080808"/>
          <w:spacing w:val="3"/>
          <w:sz w:val="22"/>
        </w:rPr>
        <w:t> </w:t>
      </w:r>
      <w:r>
        <w:rPr>
          <w:color w:val="080808"/>
          <w:sz w:val="22"/>
        </w:rPr>
        <w:t>without</w:t>
      </w:r>
      <w:r>
        <w:rPr>
          <w:color w:val="080808"/>
          <w:spacing w:val="2"/>
          <w:sz w:val="22"/>
        </w:rPr>
        <w:t> </w:t>
      </w:r>
      <w:r>
        <w:rPr>
          <w:color w:val="080808"/>
          <w:sz w:val="22"/>
        </w:rPr>
        <w:t>compromising</w:t>
      </w:r>
      <w:r>
        <w:rPr>
          <w:color w:val="080808"/>
          <w:spacing w:val="13"/>
          <w:sz w:val="22"/>
        </w:rPr>
        <w:t> </w:t>
      </w:r>
      <w:r>
        <w:rPr>
          <w:color w:val="080808"/>
          <w:spacing w:val="-2"/>
          <w:sz w:val="22"/>
        </w:rPr>
        <w:t>confidentiality.</w:t>
      </w:r>
    </w:p>
    <w:p>
      <w:pPr>
        <w:pStyle w:val="BodyText"/>
        <w:spacing w:before="7"/>
      </w:pPr>
    </w:p>
    <w:p>
      <w:pPr>
        <w:pStyle w:val="ListParagraph"/>
        <w:numPr>
          <w:ilvl w:val="0"/>
          <w:numId w:val="29"/>
        </w:numPr>
        <w:tabs>
          <w:tab w:val="left" w:leader="none" w:pos="936"/>
          <w:tab w:val="left" w:leader="none" w:pos="944"/>
        </w:tabs>
        <w:spacing w:before="0" w:after="0" w:line="240" w:lineRule="auto"/>
        <w:ind w:left="936" w:right="426" w:hanging="700"/>
        <w:jc w:val="left"/>
        <w:rPr>
          <w:color w:val="080808"/>
          <w:sz w:val="22"/>
        </w:rPr>
      </w:pPr>
      <w:r>
        <w:rPr>
          <w:color w:val="606060"/>
          <w:sz w:val="22"/>
        </w:rPr>
        <w:tab/>
      </w:r>
      <w:r>
        <w:rPr>
          <w:color w:val="080808"/>
          <w:sz w:val="22"/>
        </w:rPr>
        <w:t>The</w:t>
      </w:r>
      <w:r>
        <w:rPr>
          <w:color w:val="080808"/>
          <w:spacing w:val="-7"/>
          <w:sz w:val="22"/>
        </w:rPr>
        <w:t> </w:t>
      </w:r>
      <w:r>
        <w:rPr>
          <w:color w:val="080808"/>
          <w:sz w:val="22"/>
        </w:rPr>
        <w:t>Council</w:t>
      </w:r>
      <w:r>
        <w:rPr>
          <w:color w:val="080808"/>
          <w:spacing w:val="-4"/>
          <w:sz w:val="22"/>
        </w:rPr>
        <w:t> </w:t>
      </w:r>
      <w:r>
        <w:rPr>
          <w:color w:val="080808"/>
          <w:sz w:val="22"/>
        </w:rPr>
        <w:t>has established clear</w:t>
      </w:r>
      <w:r>
        <w:rPr>
          <w:color w:val="080808"/>
          <w:spacing w:val="-5"/>
          <w:sz w:val="22"/>
        </w:rPr>
        <w:t> </w:t>
      </w:r>
      <w:r>
        <w:rPr>
          <w:color w:val="080808"/>
          <w:sz w:val="22"/>
        </w:rPr>
        <w:t>channels of</w:t>
      </w:r>
      <w:r>
        <w:rPr>
          <w:color w:val="080808"/>
          <w:spacing w:val="-6"/>
          <w:sz w:val="22"/>
        </w:rPr>
        <w:t> </w:t>
      </w:r>
      <w:r>
        <w:rPr>
          <w:color w:val="080808"/>
          <w:sz w:val="22"/>
        </w:rPr>
        <w:t>communication</w:t>
      </w:r>
      <w:r>
        <w:rPr>
          <w:color w:val="080808"/>
          <w:spacing w:val="23"/>
          <w:sz w:val="22"/>
        </w:rPr>
        <w:t> </w:t>
      </w:r>
      <w:r>
        <w:rPr>
          <w:color w:val="080808"/>
          <w:sz w:val="22"/>
        </w:rPr>
        <w:t>with</w:t>
      </w:r>
      <w:r>
        <w:rPr>
          <w:color w:val="080808"/>
          <w:spacing w:val="-6"/>
          <w:sz w:val="22"/>
        </w:rPr>
        <w:t> </w:t>
      </w:r>
      <w:r>
        <w:rPr>
          <w:color w:val="080808"/>
          <w:sz w:val="22"/>
        </w:rPr>
        <w:t>its</w:t>
      </w:r>
      <w:r>
        <w:rPr>
          <w:color w:val="080808"/>
          <w:spacing w:val="-1"/>
          <w:sz w:val="22"/>
        </w:rPr>
        <w:t> </w:t>
      </w:r>
      <w:r>
        <w:rPr>
          <w:color w:val="080808"/>
          <w:sz w:val="22"/>
        </w:rPr>
        <w:t>staff, e.g. briefings from</w:t>
      </w:r>
      <w:r>
        <w:rPr>
          <w:color w:val="080808"/>
          <w:spacing w:val="-3"/>
          <w:sz w:val="22"/>
        </w:rPr>
        <w:t> </w:t>
      </w:r>
      <w:r>
        <w:rPr>
          <w:color w:val="080808"/>
          <w:sz w:val="22"/>
        </w:rPr>
        <w:t>the Managing Director, regular </w:t>
      </w:r>
      <w:r>
        <w:rPr>
          <w:color w:val="1C1C1C"/>
          <w:sz w:val="22"/>
        </w:rPr>
        <w:t>Directorate meetings </w:t>
      </w:r>
      <w:r>
        <w:rPr>
          <w:color w:val="080808"/>
          <w:sz w:val="22"/>
        </w:rPr>
        <w:t>and weekly 'All Staff' e-mails and a regular Hertsmere in </w:t>
      </w:r>
      <w:r>
        <w:rPr>
          <w:color w:val="1C1C1C"/>
          <w:sz w:val="22"/>
        </w:rPr>
        <w:t>Focus </w:t>
      </w:r>
      <w:r>
        <w:rPr>
          <w:color w:val="080808"/>
          <w:sz w:val="22"/>
        </w:rPr>
        <w:t>publication for </w:t>
      </w:r>
      <w:r>
        <w:rPr>
          <w:color w:val="1C1C1C"/>
          <w:sz w:val="22"/>
        </w:rPr>
        <w:t>staff and </w:t>
      </w:r>
      <w:r>
        <w:rPr>
          <w:color w:val="080808"/>
          <w:sz w:val="22"/>
        </w:rPr>
        <w:t>Councillors</w:t>
      </w:r>
      <w:r>
        <w:rPr>
          <w:color w:val="313131"/>
          <w:sz w:val="22"/>
        </w:rPr>
        <w:t>.</w:t>
      </w:r>
    </w:p>
    <w:p>
      <w:pPr>
        <w:pStyle w:val="BodyText"/>
        <w:spacing w:before="13"/>
        <w:rPr>
          <w:sz w:val="21"/>
        </w:rPr>
      </w:pPr>
    </w:p>
    <w:p>
      <w:pPr>
        <w:spacing w:before="1" w:line="252" w:lineRule="auto"/>
        <w:ind w:left="944" w:right="0" w:firstLine="5"/>
        <w:jc w:val="left"/>
        <w:rPr>
          <w:b/>
          <w:sz w:val="21"/>
        </w:rPr>
      </w:pPr>
      <w:r>
        <w:rPr>
          <w:b/>
          <w:color w:val="1C1C1C"/>
          <w:w w:val="105"/>
          <w:sz w:val="21"/>
          <w:u w:val="thick" w:color="1C1C1C"/>
        </w:rPr>
        <w:t>Compliance </w:t>
      </w:r>
      <w:r>
        <w:rPr>
          <w:b/>
          <w:color w:val="080808"/>
          <w:w w:val="105"/>
          <w:sz w:val="21"/>
          <w:u w:val="thick" w:color="1C1C1C"/>
        </w:rPr>
        <w:t>with </w:t>
      </w:r>
      <w:r>
        <w:rPr>
          <w:b/>
          <w:color w:val="1C1C1C"/>
          <w:w w:val="105"/>
          <w:sz w:val="21"/>
          <w:u w:val="thick" w:color="1C1C1C"/>
        </w:rPr>
        <w:t>the</w:t>
      </w:r>
      <w:r>
        <w:rPr>
          <w:b/>
          <w:color w:val="1C1C1C"/>
          <w:spacing w:val="-2"/>
          <w:w w:val="105"/>
          <w:sz w:val="21"/>
          <w:u w:val="thick" w:color="1C1C1C"/>
        </w:rPr>
        <w:t> </w:t>
      </w:r>
      <w:r>
        <w:rPr>
          <w:b/>
          <w:color w:val="080808"/>
          <w:w w:val="105"/>
          <w:sz w:val="21"/>
          <w:u w:val="thick" w:color="1C1C1C"/>
        </w:rPr>
        <w:t>CIPFA </w:t>
      </w:r>
      <w:r>
        <w:rPr>
          <w:b/>
          <w:color w:val="1C1C1C"/>
          <w:w w:val="105"/>
          <w:sz w:val="21"/>
          <w:u w:val="thick" w:color="1C1C1C"/>
        </w:rPr>
        <w:t>Statement</w:t>
      </w:r>
      <w:r>
        <w:rPr>
          <w:b/>
          <w:color w:val="1C1C1C"/>
          <w:spacing w:val="-2"/>
          <w:w w:val="105"/>
          <w:sz w:val="21"/>
          <w:u w:val="thick" w:color="1C1C1C"/>
        </w:rPr>
        <w:t> </w:t>
      </w:r>
      <w:r>
        <w:rPr>
          <w:b/>
          <w:color w:val="080808"/>
          <w:w w:val="105"/>
          <w:sz w:val="21"/>
          <w:u w:val="thick" w:color="1C1C1C"/>
        </w:rPr>
        <w:t>on </w:t>
      </w:r>
      <w:r>
        <w:rPr>
          <w:b/>
          <w:color w:val="1C1C1C"/>
          <w:w w:val="105"/>
          <w:sz w:val="21"/>
          <w:u w:val="thick" w:color="1C1C1C"/>
        </w:rPr>
        <w:t>the</w:t>
      </w:r>
      <w:r>
        <w:rPr>
          <w:b/>
          <w:color w:val="1C1C1C"/>
          <w:spacing w:val="-2"/>
          <w:w w:val="105"/>
          <w:sz w:val="21"/>
          <w:u w:val="thick" w:color="1C1C1C"/>
        </w:rPr>
        <w:t> </w:t>
      </w:r>
      <w:r>
        <w:rPr>
          <w:b/>
          <w:color w:val="1C1C1C"/>
          <w:w w:val="105"/>
          <w:sz w:val="21"/>
          <w:u w:val="thick" w:color="1C1C1C"/>
        </w:rPr>
        <w:t>Role </w:t>
      </w:r>
      <w:r>
        <w:rPr>
          <w:b/>
          <w:color w:val="080808"/>
          <w:w w:val="105"/>
          <w:sz w:val="21"/>
          <w:u w:val="thick" w:color="1C1C1C"/>
        </w:rPr>
        <w:t>of</w:t>
      </w:r>
      <w:r>
        <w:rPr>
          <w:b/>
          <w:color w:val="080808"/>
          <w:spacing w:val="-4"/>
          <w:w w:val="105"/>
          <w:sz w:val="21"/>
          <w:u w:val="thick" w:color="1C1C1C"/>
        </w:rPr>
        <w:t> </w:t>
      </w:r>
      <w:r>
        <w:rPr>
          <w:b/>
          <w:color w:val="1C1C1C"/>
          <w:w w:val="105"/>
          <w:sz w:val="21"/>
          <w:u w:val="thick" w:color="1C1C1C"/>
        </w:rPr>
        <w:t>the</w:t>
      </w:r>
      <w:r>
        <w:rPr>
          <w:b/>
          <w:color w:val="1C1C1C"/>
          <w:spacing w:val="-8"/>
          <w:w w:val="105"/>
          <w:sz w:val="21"/>
          <w:u w:val="thick" w:color="1C1C1C"/>
        </w:rPr>
        <w:t> </w:t>
      </w:r>
      <w:r>
        <w:rPr>
          <w:b/>
          <w:color w:val="080808"/>
          <w:w w:val="105"/>
          <w:sz w:val="21"/>
          <w:u w:val="thick" w:color="1C1C1C"/>
        </w:rPr>
        <w:t>Chief Financial Officer</w:t>
      </w:r>
      <w:r>
        <w:rPr>
          <w:b/>
          <w:color w:val="080808"/>
          <w:spacing w:val="-5"/>
          <w:w w:val="105"/>
          <w:sz w:val="21"/>
          <w:u w:val="thick" w:color="1C1C1C"/>
        </w:rPr>
        <w:t> </w:t>
      </w:r>
      <w:r>
        <w:rPr>
          <w:b/>
          <w:color w:val="080808"/>
          <w:w w:val="105"/>
          <w:sz w:val="21"/>
          <w:u w:val="thick" w:color="1C1C1C"/>
        </w:rPr>
        <w:t>in</w:t>
      </w:r>
      <w:r>
        <w:rPr>
          <w:b/>
          <w:color w:val="080808"/>
          <w:spacing w:val="-6"/>
          <w:w w:val="105"/>
          <w:sz w:val="21"/>
          <w:u w:val="thick" w:color="1C1C1C"/>
        </w:rPr>
        <w:t> </w:t>
      </w:r>
      <w:r>
        <w:rPr>
          <w:b/>
          <w:color w:val="1C1C1C"/>
          <w:w w:val="105"/>
          <w:sz w:val="21"/>
          <w:u w:val="thick" w:color="1C1C1C"/>
        </w:rPr>
        <w:t>Local</w:t>
      </w:r>
      <w:r>
        <w:rPr>
          <w:b/>
          <w:color w:val="1C1C1C"/>
          <w:w w:val="105"/>
          <w:sz w:val="21"/>
          <w:u w:val="none"/>
        </w:rPr>
        <w:t> </w:t>
      </w:r>
      <w:r>
        <w:rPr>
          <w:b/>
          <w:color w:val="1C1C1C"/>
          <w:w w:val="105"/>
          <w:sz w:val="21"/>
          <w:u w:val="thick" w:color="1C1C1C"/>
        </w:rPr>
        <w:t>Government (2010)</w:t>
      </w:r>
    </w:p>
    <w:p>
      <w:pPr>
        <w:pStyle w:val="BodyText"/>
        <w:spacing w:before="12"/>
        <w:rPr>
          <w:b/>
          <w:sz w:val="21"/>
        </w:rPr>
      </w:pPr>
    </w:p>
    <w:p>
      <w:pPr>
        <w:pStyle w:val="ListParagraph"/>
        <w:numPr>
          <w:ilvl w:val="0"/>
          <w:numId w:val="29"/>
        </w:numPr>
        <w:tabs>
          <w:tab w:val="left" w:leader="none" w:pos="920"/>
          <w:tab w:val="left" w:leader="none" w:pos="925"/>
        </w:tabs>
        <w:spacing w:before="1" w:after="0" w:line="237" w:lineRule="auto"/>
        <w:ind w:left="920" w:right="178" w:hanging="698"/>
        <w:jc w:val="left"/>
        <w:rPr>
          <w:color w:val="080808"/>
          <w:sz w:val="22"/>
        </w:rPr>
      </w:pPr>
      <w:r>
        <w:rPr>
          <w:color w:val="424242"/>
          <w:sz w:val="22"/>
        </w:rPr>
        <w:tab/>
      </w:r>
      <w:r>
        <w:rPr>
          <w:color w:val="080808"/>
          <w:sz w:val="22"/>
        </w:rPr>
        <w:t>The Council can</w:t>
      </w:r>
      <w:r>
        <w:rPr>
          <w:color w:val="080808"/>
          <w:spacing w:val="-2"/>
          <w:sz w:val="22"/>
        </w:rPr>
        <w:t> </w:t>
      </w:r>
      <w:r>
        <w:rPr>
          <w:color w:val="080808"/>
          <w:sz w:val="22"/>
        </w:rPr>
        <w:t>confirm that </w:t>
      </w:r>
      <w:r>
        <w:rPr>
          <w:color w:val="1C1C1C"/>
          <w:sz w:val="22"/>
        </w:rPr>
        <w:t>its financial management arrangements </w:t>
      </w:r>
      <w:r>
        <w:rPr>
          <w:color w:val="080808"/>
          <w:sz w:val="22"/>
        </w:rPr>
        <w:t>conform to the </w:t>
      </w:r>
      <w:r>
        <w:rPr>
          <w:color w:val="1C1C1C"/>
          <w:sz w:val="22"/>
        </w:rPr>
        <w:t>governance </w:t>
      </w:r>
      <w:r>
        <w:rPr>
          <w:color w:val="080808"/>
          <w:sz w:val="22"/>
        </w:rPr>
        <w:t>requirements</w:t>
      </w:r>
      <w:r>
        <w:rPr>
          <w:color w:val="080808"/>
          <w:spacing w:val="18"/>
          <w:sz w:val="22"/>
        </w:rPr>
        <w:t> </w:t>
      </w:r>
      <w:r>
        <w:rPr>
          <w:color w:val="080808"/>
          <w:sz w:val="22"/>
        </w:rPr>
        <w:t>of</w:t>
      </w:r>
      <w:r>
        <w:rPr>
          <w:color w:val="080808"/>
          <w:spacing w:val="-2"/>
          <w:sz w:val="22"/>
        </w:rPr>
        <w:t> </w:t>
      </w:r>
      <w:r>
        <w:rPr>
          <w:color w:val="080808"/>
          <w:sz w:val="22"/>
        </w:rPr>
        <w:t>the</w:t>
      </w:r>
      <w:r>
        <w:rPr>
          <w:color w:val="080808"/>
          <w:spacing w:val="-5"/>
          <w:sz w:val="22"/>
        </w:rPr>
        <w:t> </w:t>
      </w:r>
      <w:r>
        <w:rPr>
          <w:color w:val="080808"/>
          <w:sz w:val="22"/>
        </w:rPr>
        <w:t>CIPFA Statement</w:t>
      </w:r>
      <w:r>
        <w:rPr>
          <w:color w:val="080808"/>
          <w:spacing w:val="22"/>
          <w:sz w:val="22"/>
        </w:rPr>
        <w:t> </w:t>
      </w:r>
      <w:r>
        <w:rPr>
          <w:color w:val="080808"/>
          <w:sz w:val="22"/>
        </w:rPr>
        <w:t>on</w:t>
      </w:r>
      <w:r>
        <w:rPr>
          <w:color w:val="080808"/>
          <w:spacing w:val="-2"/>
          <w:sz w:val="22"/>
        </w:rPr>
        <w:t> </w:t>
      </w:r>
      <w:r>
        <w:rPr>
          <w:color w:val="313131"/>
          <w:sz w:val="22"/>
        </w:rPr>
        <w:t>the</w:t>
      </w:r>
      <w:r>
        <w:rPr>
          <w:color w:val="313131"/>
          <w:spacing w:val="-6"/>
          <w:sz w:val="22"/>
        </w:rPr>
        <w:t> </w:t>
      </w:r>
      <w:r>
        <w:rPr>
          <w:color w:val="1C1C1C"/>
          <w:sz w:val="22"/>
        </w:rPr>
        <w:t>role</w:t>
      </w:r>
      <w:r>
        <w:rPr>
          <w:color w:val="1C1C1C"/>
          <w:spacing w:val="-4"/>
          <w:sz w:val="22"/>
        </w:rPr>
        <w:t> </w:t>
      </w:r>
      <w:r>
        <w:rPr>
          <w:color w:val="1C1C1C"/>
          <w:sz w:val="22"/>
        </w:rPr>
        <w:t>of the</w:t>
      </w:r>
      <w:r>
        <w:rPr>
          <w:color w:val="1C1C1C"/>
          <w:spacing w:val="-7"/>
          <w:sz w:val="22"/>
        </w:rPr>
        <w:t> </w:t>
      </w:r>
      <w:r>
        <w:rPr>
          <w:color w:val="1C1C1C"/>
          <w:sz w:val="22"/>
        </w:rPr>
        <w:t>Chief Financial </w:t>
      </w:r>
      <w:r>
        <w:rPr>
          <w:color w:val="080808"/>
          <w:sz w:val="22"/>
        </w:rPr>
        <w:t>Officer in</w:t>
      </w:r>
      <w:r>
        <w:rPr>
          <w:color w:val="080808"/>
          <w:spacing w:val="-6"/>
          <w:sz w:val="22"/>
        </w:rPr>
        <w:t> </w:t>
      </w:r>
      <w:r>
        <w:rPr>
          <w:color w:val="313131"/>
          <w:sz w:val="22"/>
        </w:rPr>
        <w:t>Loca</w:t>
      </w:r>
      <w:r>
        <w:rPr>
          <w:color w:val="080808"/>
          <w:sz w:val="22"/>
        </w:rPr>
        <w:t>l</w:t>
      </w:r>
      <w:r>
        <w:rPr>
          <w:color w:val="080808"/>
          <w:spacing w:val="-16"/>
          <w:sz w:val="22"/>
        </w:rPr>
        <w:t> </w:t>
      </w:r>
      <w:r>
        <w:rPr>
          <w:color w:val="1C1C1C"/>
          <w:sz w:val="22"/>
        </w:rPr>
        <w:t>Government.</w:t>
      </w:r>
    </w:p>
    <w:p>
      <w:pPr>
        <w:pStyle w:val="BodyText"/>
        <w:spacing w:before="19"/>
        <w:rPr>
          <w:sz w:val="21"/>
        </w:rPr>
      </w:pPr>
    </w:p>
    <w:p>
      <w:pPr>
        <w:spacing w:before="0" w:line="252" w:lineRule="auto"/>
        <w:ind w:left="929" w:right="0" w:firstLine="0"/>
        <w:jc w:val="left"/>
        <w:rPr>
          <w:b/>
          <w:sz w:val="21"/>
        </w:rPr>
      </w:pPr>
      <w:r>
        <w:rPr>
          <w:b/>
          <w:color w:val="1C1C1C"/>
          <w:w w:val="105"/>
          <w:sz w:val="21"/>
          <w:u w:val="thick" w:color="1C1C1C"/>
        </w:rPr>
        <w:t>Incorporating</w:t>
      </w:r>
      <w:r>
        <w:rPr>
          <w:b/>
          <w:color w:val="1C1C1C"/>
          <w:w w:val="105"/>
          <w:sz w:val="21"/>
          <w:u w:val="none"/>
        </w:rPr>
        <w:t> </w:t>
      </w:r>
      <w:r>
        <w:rPr>
          <w:b/>
          <w:color w:val="1C1C1C"/>
          <w:w w:val="105"/>
          <w:sz w:val="21"/>
          <w:u w:val="thick" w:color="080808"/>
        </w:rPr>
        <w:t>good</w:t>
      </w:r>
      <w:r>
        <w:rPr>
          <w:b/>
          <w:color w:val="1C1C1C"/>
          <w:spacing w:val="-3"/>
          <w:w w:val="105"/>
          <w:sz w:val="21"/>
          <w:u w:val="thick" w:color="080808"/>
        </w:rPr>
        <w:t> </w:t>
      </w:r>
      <w:r>
        <w:rPr>
          <w:b/>
          <w:color w:val="1C1C1C"/>
          <w:w w:val="105"/>
          <w:sz w:val="21"/>
          <w:u w:val="thick" w:color="080808"/>
        </w:rPr>
        <w:t>governance arrangements</w:t>
      </w:r>
      <w:r>
        <w:rPr>
          <w:b/>
          <w:color w:val="1C1C1C"/>
          <w:w w:val="105"/>
          <w:sz w:val="21"/>
          <w:u w:val="thick" w:color="080808"/>
        </w:rPr>
        <w:t> in</w:t>
      </w:r>
      <w:r>
        <w:rPr>
          <w:b/>
          <w:color w:val="1C1C1C"/>
          <w:spacing w:val="-2"/>
          <w:w w:val="105"/>
          <w:sz w:val="21"/>
          <w:u w:val="thick" w:color="080808"/>
        </w:rPr>
        <w:t> </w:t>
      </w:r>
      <w:r>
        <w:rPr>
          <w:b/>
          <w:color w:val="1C1C1C"/>
          <w:w w:val="105"/>
          <w:sz w:val="21"/>
          <w:u w:val="thick" w:color="080808"/>
        </w:rPr>
        <w:t>respect</w:t>
      </w:r>
      <w:r>
        <w:rPr>
          <w:b/>
          <w:color w:val="1C1C1C"/>
          <w:spacing w:val="-5"/>
          <w:w w:val="105"/>
          <w:sz w:val="21"/>
          <w:u w:val="thick" w:color="080808"/>
        </w:rPr>
        <w:t> </w:t>
      </w:r>
      <w:r>
        <w:rPr>
          <w:b/>
          <w:color w:val="1C1C1C"/>
          <w:w w:val="105"/>
          <w:sz w:val="21"/>
          <w:u w:val="thick" w:color="080808"/>
        </w:rPr>
        <w:t>of</w:t>
      </w:r>
      <w:r>
        <w:rPr>
          <w:b/>
          <w:color w:val="1C1C1C"/>
          <w:spacing w:val="-16"/>
          <w:w w:val="105"/>
          <w:sz w:val="21"/>
          <w:u w:val="thick" w:color="080808"/>
        </w:rPr>
        <w:t> </w:t>
      </w:r>
      <w:r>
        <w:rPr>
          <w:b/>
          <w:color w:val="1C1C1C"/>
          <w:w w:val="105"/>
          <w:sz w:val="21"/>
          <w:u w:val="thick" w:color="080808"/>
        </w:rPr>
        <w:t>partnerships and</w:t>
      </w:r>
      <w:r>
        <w:rPr>
          <w:b/>
          <w:color w:val="1C1C1C"/>
          <w:spacing w:val="-14"/>
          <w:w w:val="105"/>
          <w:sz w:val="21"/>
          <w:u w:val="thick" w:color="080808"/>
        </w:rPr>
        <w:t> </w:t>
      </w:r>
      <w:r>
        <w:rPr>
          <w:b/>
          <w:color w:val="080808"/>
          <w:w w:val="105"/>
          <w:sz w:val="21"/>
          <w:u w:val="thick" w:color="080808"/>
        </w:rPr>
        <w:t>other</w:t>
      </w:r>
      <w:r>
        <w:rPr>
          <w:b/>
          <w:color w:val="080808"/>
          <w:spacing w:val="18"/>
          <w:w w:val="105"/>
          <w:sz w:val="21"/>
          <w:u w:val="thick" w:color="080808"/>
        </w:rPr>
        <w:t> </w:t>
      </w:r>
      <w:r>
        <w:rPr>
          <w:b/>
          <w:color w:val="080808"/>
          <w:w w:val="105"/>
          <w:sz w:val="21"/>
          <w:u w:val="thick" w:color="080808"/>
        </w:rPr>
        <w:t>joint</w:t>
      </w:r>
      <w:r>
        <w:rPr>
          <w:b/>
          <w:color w:val="080808"/>
          <w:w w:val="105"/>
          <w:sz w:val="21"/>
          <w:u w:val="none"/>
        </w:rPr>
        <w:t> </w:t>
      </w:r>
      <w:r>
        <w:rPr>
          <w:b/>
          <w:color w:val="1C1C1C"/>
          <w:w w:val="105"/>
          <w:sz w:val="21"/>
          <w:u w:val="thick" w:color="1C1C1C"/>
        </w:rPr>
        <w:t>working and reflecting these </w:t>
      </w:r>
      <w:r>
        <w:rPr>
          <w:b/>
          <w:color w:val="080808"/>
          <w:w w:val="105"/>
          <w:sz w:val="21"/>
          <w:u w:val="thick" w:color="1C1C1C"/>
        </w:rPr>
        <w:t>in </w:t>
      </w:r>
      <w:r>
        <w:rPr>
          <w:b/>
          <w:color w:val="1C1C1C"/>
          <w:w w:val="105"/>
          <w:sz w:val="21"/>
          <w:u w:val="thick" w:color="1C1C1C"/>
        </w:rPr>
        <w:t>the Council's overall governance arrangements</w:t>
      </w:r>
    </w:p>
    <w:p>
      <w:pPr>
        <w:pStyle w:val="BodyText"/>
        <w:spacing w:before="1"/>
        <w:rPr>
          <w:b/>
          <w:sz w:val="21"/>
        </w:rPr>
      </w:pPr>
    </w:p>
    <w:p>
      <w:pPr>
        <w:pStyle w:val="ListParagraph"/>
        <w:numPr>
          <w:ilvl w:val="0"/>
          <w:numId w:val="29"/>
        </w:numPr>
        <w:tabs>
          <w:tab w:val="left" w:leader="none" w:pos="896"/>
          <w:tab w:val="left" w:leader="none" w:pos="910"/>
        </w:tabs>
        <w:spacing w:before="0" w:after="0" w:line="240" w:lineRule="auto"/>
        <w:ind w:left="896" w:right="518" w:hanging="693"/>
        <w:jc w:val="left"/>
        <w:rPr>
          <w:color w:val="080808"/>
          <w:sz w:val="22"/>
        </w:rPr>
      </w:pPr>
      <w:r>
        <w:rPr>
          <w:color w:val="080808"/>
          <w:sz w:val="22"/>
        </w:rPr>
        <w:tab/>
      </w:r>
      <w:r>
        <w:rPr>
          <w:color w:val="1C1C1C"/>
          <w:sz w:val="22"/>
        </w:rPr>
        <w:t>The Council </w:t>
      </w:r>
      <w:r>
        <w:rPr>
          <w:color w:val="080808"/>
          <w:sz w:val="22"/>
        </w:rPr>
        <w:t>is </w:t>
      </w:r>
      <w:r>
        <w:rPr>
          <w:color w:val="1C1C1C"/>
          <w:sz w:val="22"/>
        </w:rPr>
        <w:t>committed </w:t>
      </w:r>
      <w:r>
        <w:rPr>
          <w:color w:val="313131"/>
          <w:sz w:val="22"/>
        </w:rPr>
        <w:t>to</w:t>
      </w:r>
      <w:r>
        <w:rPr>
          <w:color w:val="313131"/>
          <w:spacing w:val="-4"/>
          <w:sz w:val="22"/>
        </w:rPr>
        <w:t> </w:t>
      </w:r>
      <w:r>
        <w:rPr>
          <w:color w:val="1C1C1C"/>
          <w:sz w:val="22"/>
        </w:rPr>
        <w:t>improving </w:t>
      </w:r>
      <w:r>
        <w:rPr>
          <w:color w:val="080808"/>
          <w:sz w:val="22"/>
        </w:rPr>
        <w:t>and </w:t>
      </w:r>
      <w:r>
        <w:rPr>
          <w:color w:val="1C1C1C"/>
          <w:sz w:val="22"/>
        </w:rPr>
        <w:t>supporting collaborative </w:t>
      </w:r>
      <w:r>
        <w:rPr>
          <w:color w:val="080808"/>
          <w:sz w:val="22"/>
        </w:rPr>
        <w:t>work</w:t>
      </w:r>
      <w:r>
        <w:rPr>
          <w:color w:val="313131"/>
          <w:sz w:val="22"/>
        </w:rPr>
        <w:t>ing</w:t>
      </w:r>
      <w:r>
        <w:rPr>
          <w:color w:val="313131"/>
          <w:spacing w:val="-2"/>
          <w:sz w:val="22"/>
        </w:rPr>
        <w:t> </w:t>
      </w:r>
      <w:r>
        <w:rPr>
          <w:color w:val="1C1C1C"/>
          <w:sz w:val="22"/>
        </w:rPr>
        <w:t>of all</w:t>
      </w:r>
      <w:r>
        <w:rPr>
          <w:color w:val="1C1C1C"/>
          <w:spacing w:val="-2"/>
          <w:sz w:val="22"/>
        </w:rPr>
        <w:t> </w:t>
      </w:r>
      <w:r>
        <w:rPr>
          <w:color w:val="1C1C1C"/>
          <w:sz w:val="22"/>
        </w:rPr>
        <w:t>kinds</w:t>
      </w:r>
      <w:r>
        <w:rPr>
          <w:color w:val="505050"/>
          <w:sz w:val="22"/>
        </w:rPr>
        <w:t>,</w:t>
      </w:r>
      <w:r>
        <w:rPr>
          <w:color w:val="505050"/>
          <w:spacing w:val="-19"/>
          <w:sz w:val="22"/>
        </w:rPr>
        <w:t> </w:t>
      </w:r>
      <w:r>
        <w:rPr>
          <w:color w:val="080808"/>
          <w:sz w:val="22"/>
        </w:rPr>
        <w:t>although </w:t>
      </w:r>
      <w:r>
        <w:rPr>
          <w:color w:val="1C1C1C"/>
          <w:sz w:val="22"/>
        </w:rPr>
        <w:t>the wide range of</w:t>
      </w:r>
      <w:r>
        <w:rPr>
          <w:color w:val="1C1C1C"/>
          <w:spacing w:val="-3"/>
          <w:sz w:val="22"/>
        </w:rPr>
        <w:t> </w:t>
      </w:r>
      <w:r>
        <w:rPr>
          <w:color w:val="1C1C1C"/>
          <w:sz w:val="22"/>
        </w:rPr>
        <w:t>partnership models do </w:t>
      </w:r>
      <w:r>
        <w:rPr>
          <w:color w:val="080808"/>
          <w:sz w:val="22"/>
        </w:rPr>
        <w:t>make </w:t>
      </w:r>
      <w:r>
        <w:rPr>
          <w:color w:val="1C1C1C"/>
          <w:sz w:val="22"/>
        </w:rPr>
        <w:t>it very difficult to prescribe a single set of arrangements.</w:t>
      </w:r>
      <w:r>
        <w:rPr>
          <w:color w:val="1C1C1C"/>
          <w:spacing w:val="30"/>
          <w:sz w:val="22"/>
        </w:rPr>
        <w:t> </w:t>
      </w:r>
      <w:r>
        <w:rPr>
          <w:color w:val="1C1C1C"/>
          <w:sz w:val="22"/>
        </w:rPr>
        <w:t>However</w:t>
      </w:r>
      <w:r>
        <w:rPr>
          <w:color w:val="505050"/>
          <w:sz w:val="22"/>
        </w:rPr>
        <w:t>,</w:t>
      </w:r>
      <w:r>
        <w:rPr>
          <w:color w:val="505050"/>
          <w:spacing w:val="-15"/>
          <w:sz w:val="22"/>
        </w:rPr>
        <w:t> </w:t>
      </w:r>
      <w:r>
        <w:rPr>
          <w:color w:val="1C1C1C"/>
          <w:sz w:val="22"/>
        </w:rPr>
        <w:t>partnership working should not</w:t>
      </w:r>
      <w:r>
        <w:rPr>
          <w:color w:val="1C1C1C"/>
          <w:spacing w:val="-11"/>
          <w:sz w:val="22"/>
        </w:rPr>
        <w:t> </w:t>
      </w:r>
      <w:r>
        <w:rPr>
          <w:color w:val="1C1C1C"/>
          <w:sz w:val="22"/>
        </w:rPr>
        <w:t>result </w:t>
      </w:r>
      <w:r>
        <w:rPr>
          <w:color w:val="313131"/>
          <w:sz w:val="22"/>
        </w:rPr>
        <w:t>in</w:t>
      </w:r>
      <w:r>
        <w:rPr>
          <w:color w:val="313131"/>
          <w:spacing w:val="-5"/>
          <w:sz w:val="22"/>
        </w:rPr>
        <w:t> </w:t>
      </w:r>
      <w:r>
        <w:rPr>
          <w:color w:val="1C1C1C"/>
          <w:sz w:val="22"/>
        </w:rPr>
        <w:t>diminished accountability </w:t>
      </w:r>
      <w:r>
        <w:rPr>
          <w:color w:val="080808"/>
          <w:sz w:val="22"/>
        </w:rPr>
        <w:t>to</w:t>
      </w:r>
      <w:r>
        <w:rPr>
          <w:color w:val="080808"/>
          <w:spacing w:val="-3"/>
          <w:sz w:val="22"/>
        </w:rPr>
        <w:t> </w:t>
      </w:r>
      <w:r>
        <w:rPr>
          <w:color w:val="080808"/>
          <w:sz w:val="22"/>
        </w:rPr>
        <w:t>the </w:t>
      </w:r>
      <w:r>
        <w:rPr>
          <w:color w:val="080808"/>
          <w:spacing w:val="-2"/>
          <w:sz w:val="22"/>
        </w:rPr>
        <w:t>public.</w:t>
      </w:r>
    </w:p>
    <w:p>
      <w:pPr>
        <w:pStyle w:val="ListParagraph"/>
        <w:numPr>
          <w:ilvl w:val="0"/>
          <w:numId w:val="29"/>
        </w:numPr>
        <w:tabs>
          <w:tab w:val="left" w:leader="none" w:pos="889"/>
          <w:tab w:val="left" w:leader="none" w:pos="891"/>
        </w:tabs>
        <w:spacing w:before="4" w:after="0" w:line="237" w:lineRule="auto"/>
        <w:ind w:left="889" w:right="176" w:hanging="706"/>
        <w:jc w:val="left"/>
        <w:rPr>
          <w:color w:val="080808"/>
          <w:sz w:val="22"/>
        </w:rPr>
      </w:pPr>
      <w:r>
        <w:rPr>
          <w:color w:val="080808"/>
          <w:sz w:val="22"/>
        </w:rPr>
        <w:tab/>
        <w:t>There </w:t>
      </w:r>
      <w:r>
        <w:rPr>
          <w:color w:val="1C1C1C"/>
          <w:sz w:val="22"/>
        </w:rPr>
        <w:t>is </w:t>
      </w:r>
      <w:r>
        <w:rPr>
          <w:color w:val="080808"/>
          <w:sz w:val="22"/>
        </w:rPr>
        <w:t>a Partnership Governance Framework in</w:t>
      </w:r>
      <w:r>
        <w:rPr>
          <w:color w:val="080808"/>
          <w:spacing w:val="-6"/>
          <w:sz w:val="22"/>
        </w:rPr>
        <w:t> </w:t>
      </w:r>
      <w:r>
        <w:rPr>
          <w:color w:val="1C1C1C"/>
          <w:sz w:val="22"/>
        </w:rPr>
        <w:t>place</w:t>
      </w:r>
      <w:r>
        <w:rPr>
          <w:color w:val="1C1C1C"/>
          <w:spacing w:val="-1"/>
          <w:sz w:val="22"/>
        </w:rPr>
        <w:t> </w:t>
      </w:r>
      <w:r>
        <w:rPr>
          <w:color w:val="080808"/>
          <w:sz w:val="22"/>
        </w:rPr>
        <w:t>for</w:t>
      </w:r>
      <w:r>
        <w:rPr>
          <w:color w:val="080808"/>
          <w:spacing w:val="-3"/>
          <w:sz w:val="22"/>
        </w:rPr>
        <w:t> </w:t>
      </w:r>
      <w:r>
        <w:rPr>
          <w:color w:val="080808"/>
          <w:sz w:val="22"/>
        </w:rPr>
        <w:t>significant </w:t>
      </w:r>
      <w:r>
        <w:rPr>
          <w:color w:val="1C1C1C"/>
          <w:sz w:val="22"/>
        </w:rPr>
        <w:t>partnership and</w:t>
      </w:r>
      <w:r>
        <w:rPr>
          <w:color w:val="1C1C1C"/>
          <w:spacing w:val="-12"/>
          <w:sz w:val="22"/>
        </w:rPr>
        <w:t> </w:t>
      </w:r>
      <w:r>
        <w:rPr>
          <w:color w:val="080808"/>
          <w:sz w:val="22"/>
        </w:rPr>
        <w:t>the</w:t>
      </w:r>
      <w:r>
        <w:rPr>
          <w:color w:val="080808"/>
          <w:spacing w:val="-3"/>
          <w:sz w:val="22"/>
        </w:rPr>
        <w:t> </w:t>
      </w:r>
      <w:r>
        <w:rPr>
          <w:color w:val="080808"/>
          <w:sz w:val="22"/>
        </w:rPr>
        <w:t>register of </w:t>
      </w:r>
      <w:r>
        <w:rPr>
          <w:color w:val="1C1C1C"/>
          <w:sz w:val="22"/>
        </w:rPr>
        <w:t>such partnerships</w:t>
      </w:r>
      <w:r>
        <w:rPr>
          <w:color w:val="1C1C1C"/>
          <w:spacing w:val="40"/>
          <w:sz w:val="22"/>
        </w:rPr>
        <w:t> </w:t>
      </w:r>
      <w:r>
        <w:rPr>
          <w:color w:val="1C1C1C"/>
          <w:sz w:val="22"/>
        </w:rPr>
        <w:t>and</w:t>
      </w:r>
      <w:r>
        <w:rPr>
          <w:color w:val="1C1C1C"/>
          <w:spacing w:val="-4"/>
          <w:sz w:val="22"/>
        </w:rPr>
        <w:t> </w:t>
      </w:r>
      <w:r>
        <w:rPr>
          <w:color w:val="080808"/>
          <w:sz w:val="22"/>
        </w:rPr>
        <w:t>shared</w:t>
      </w:r>
      <w:r>
        <w:rPr>
          <w:color w:val="080808"/>
          <w:spacing w:val="19"/>
          <w:sz w:val="22"/>
        </w:rPr>
        <w:t> </w:t>
      </w:r>
      <w:r>
        <w:rPr>
          <w:color w:val="1C1C1C"/>
          <w:sz w:val="22"/>
        </w:rPr>
        <w:t>services </w:t>
      </w:r>
      <w:r>
        <w:rPr>
          <w:color w:val="313131"/>
          <w:sz w:val="22"/>
        </w:rPr>
        <w:t>is revie</w:t>
      </w:r>
      <w:r>
        <w:rPr>
          <w:color w:val="080808"/>
          <w:sz w:val="22"/>
        </w:rPr>
        <w:t>wed </w:t>
      </w:r>
      <w:r>
        <w:rPr>
          <w:color w:val="1C1C1C"/>
          <w:sz w:val="22"/>
        </w:rPr>
        <w:t>on </w:t>
      </w:r>
      <w:r>
        <w:rPr>
          <w:color w:val="080808"/>
          <w:sz w:val="22"/>
        </w:rPr>
        <w:t>an annual</w:t>
      </w:r>
      <w:r>
        <w:rPr>
          <w:color w:val="080808"/>
          <w:spacing w:val="19"/>
          <w:sz w:val="22"/>
        </w:rPr>
        <w:t> </w:t>
      </w:r>
      <w:r>
        <w:rPr>
          <w:color w:val="080808"/>
          <w:sz w:val="22"/>
        </w:rPr>
        <w:t>basis</w:t>
      </w:r>
      <w:r>
        <w:rPr>
          <w:color w:val="080808"/>
          <w:spacing w:val="23"/>
          <w:sz w:val="22"/>
        </w:rPr>
        <w:t> </w:t>
      </w:r>
      <w:r>
        <w:rPr>
          <w:color w:val="1C1C1C"/>
          <w:sz w:val="22"/>
        </w:rPr>
        <w:t>by the </w:t>
      </w:r>
      <w:r>
        <w:rPr>
          <w:color w:val="080808"/>
          <w:sz w:val="22"/>
        </w:rPr>
        <w:t>Governance</w:t>
      </w:r>
      <w:r>
        <w:rPr>
          <w:color w:val="080808"/>
          <w:spacing w:val="22"/>
          <w:sz w:val="22"/>
        </w:rPr>
        <w:t> </w:t>
      </w:r>
      <w:r>
        <w:rPr>
          <w:color w:val="080808"/>
          <w:sz w:val="22"/>
        </w:rPr>
        <w:t>Group </w:t>
      </w:r>
      <w:r>
        <w:rPr>
          <w:color w:val="1C1C1C"/>
          <w:sz w:val="22"/>
        </w:rPr>
        <w:t>and by the</w:t>
      </w:r>
      <w:r>
        <w:rPr>
          <w:color w:val="1C1C1C"/>
          <w:spacing w:val="-4"/>
          <w:sz w:val="22"/>
        </w:rPr>
        <w:t> </w:t>
      </w:r>
      <w:r>
        <w:rPr>
          <w:color w:val="1C1C1C"/>
          <w:sz w:val="22"/>
        </w:rPr>
        <w:t>Policy Review Committee</w:t>
      </w:r>
      <w:r>
        <w:rPr>
          <w:color w:val="707070"/>
          <w:sz w:val="22"/>
        </w:rPr>
        <w:t>.</w:t>
      </w:r>
      <w:r>
        <w:rPr>
          <w:color w:val="707070"/>
          <w:spacing w:val="-11"/>
          <w:sz w:val="22"/>
        </w:rPr>
        <w:t> </w:t>
      </w:r>
      <w:r>
        <w:rPr>
          <w:color w:val="1C1C1C"/>
          <w:sz w:val="22"/>
        </w:rPr>
        <w:t>For the organisations </w:t>
      </w:r>
      <w:r>
        <w:rPr>
          <w:color w:val="080808"/>
          <w:sz w:val="22"/>
        </w:rPr>
        <w:t>which the council </w:t>
      </w:r>
      <w:r>
        <w:rPr>
          <w:color w:val="1C1C1C"/>
          <w:sz w:val="22"/>
        </w:rPr>
        <w:t>supports </w:t>
      </w:r>
      <w:r>
        <w:rPr>
          <w:color w:val="080808"/>
          <w:sz w:val="22"/>
        </w:rPr>
        <w:t>through core </w:t>
      </w:r>
      <w:r>
        <w:rPr>
          <w:color w:val="1C1C1C"/>
          <w:sz w:val="22"/>
        </w:rPr>
        <w:t>funding </w:t>
      </w:r>
      <w:r>
        <w:rPr>
          <w:color w:val="313131"/>
          <w:sz w:val="22"/>
        </w:rPr>
        <w:t>there </w:t>
      </w:r>
      <w:r>
        <w:rPr>
          <w:color w:val="1C1C1C"/>
          <w:sz w:val="22"/>
        </w:rPr>
        <w:t>are individual Service </w:t>
      </w:r>
      <w:r>
        <w:rPr>
          <w:color w:val="313131"/>
          <w:sz w:val="22"/>
        </w:rPr>
        <w:t>Level </w:t>
      </w:r>
      <w:r>
        <w:rPr>
          <w:color w:val="1C1C1C"/>
          <w:sz w:val="22"/>
        </w:rPr>
        <w:t>/</w:t>
      </w:r>
      <w:r>
        <w:rPr>
          <w:color w:val="1C1C1C"/>
          <w:spacing w:val="-5"/>
          <w:sz w:val="22"/>
        </w:rPr>
        <w:t> </w:t>
      </w:r>
      <w:r>
        <w:rPr>
          <w:color w:val="1C1C1C"/>
          <w:sz w:val="22"/>
        </w:rPr>
        <w:t>Partnership </w:t>
      </w:r>
      <w:r>
        <w:rPr>
          <w:color w:val="080808"/>
          <w:sz w:val="22"/>
        </w:rPr>
        <w:t>Agreements in place </w:t>
      </w:r>
      <w:r>
        <w:rPr>
          <w:color w:val="1C1C1C"/>
          <w:sz w:val="22"/>
        </w:rPr>
        <w:t>and</w:t>
      </w:r>
      <w:r>
        <w:rPr>
          <w:color w:val="1C1C1C"/>
          <w:spacing w:val="-4"/>
          <w:sz w:val="22"/>
        </w:rPr>
        <w:t> </w:t>
      </w:r>
      <w:r>
        <w:rPr>
          <w:color w:val="1C1C1C"/>
          <w:sz w:val="22"/>
        </w:rPr>
        <w:t>there </w:t>
      </w:r>
      <w:r>
        <w:rPr>
          <w:color w:val="080808"/>
          <w:sz w:val="22"/>
        </w:rPr>
        <w:t>are regular</w:t>
      </w:r>
    </w:p>
    <w:p>
      <w:pPr>
        <w:spacing w:after="0" w:line="237" w:lineRule="auto"/>
        <w:jc w:val="left"/>
        <w:rPr>
          <w:sz w:val="22"/>
        </w:rPr>
        <w:sectPr>
          <w:headerReference w:type="even" r:id="rId302"/>
          <w:pgSz w:w="11910" w:h="16830"/>
          <w:pgMar w:top="900" w:right="540" w:bottom="1180" w:left="440" w:header="0" w:footer="0"/>
        </w:sectPr>
      </w:pPr>
    </w:p>
    <w:p>
      <w:pPr>
        <w:pStyle w:val="BodyText"/>
        <w:spacing w:before="7"/>
        <w:rPr>
          <w:sz w:val="21"/>
        </w:rPr>
      </w:pPr>
    </w:p>
    <w:p>
      <w:pPr>
        <w:spacing w:before="0" w:line="249" w:lineRule="auto"/>
        <w:ind w:left="858" w:right="269" w:hanging="10"/>
        <w:jc w:val="left"/>
        <w:rPr>
          <w:sz w:val="21"/>
        </w:rPr>
      </w:pPr>
      <w:r>
        <w:rPr>
          <w:color w:val="0A0A0A"/>
          <w:w w:val="105"/>
          <w:sz w:val="21"/>
        </w:rPr>
        <w:t>meetings with partners to</w:t>
      </w:r>
      <w:r>
        <w:rPr>
          <w:color w:val="0A0A0A"/>
          <w:spacing w:val="-7"/>
          <w:w w:val="105"/>
          <w:sz w:val="21"/>
        </w:rPr>
        <w:t> </w:t>
      </w:r>
      <w:r>
        <w:rPr>
          <w:color w:val="0A0A0A"/>
          <w:w w:val="105"/>
          <w:sz w:val="21"/>
        </w:rPr>
        <w:t>monitor the performance</w:t>
      </w:r>
      <w:r>
        <w:rPr>
          <w:color w:val="0A0A0A"/>
          <w:spacing w:val="27"/>
          <w:w w:val="105"/>
          <w:sz w:val="21"/>
        </w:rPr>
        <w:t> </w:t>
      </w:r>
      <w:r>
        <w:rPr>
          <w:color w:val="0A0A0A"/>
          <w:w w:val="105"/>
          <w:sz w:val="21"/>
        </w:rPr>
        <w:t>of the</w:t>
      </w:r>
      <w:r>
        <w:rPr>
          <w:color w:val="0A0A0A"/>
          <w:spacing w:val="-6"/>
          <w:w w:val="105"/>
          <w:sz w:val="21"/>
        </w:rPr>
        <w:t> </w:t>
      </w:r>
      <w:r>
        <w:rPr>
          <w:color w:val="0A0A0A"/>
          <w:w w:val="105"/>
          <w:sz w:val="21"/>
        </w:rPr>
        <w:t>work carried out by the</w:t>
      </w:r>
      <w:r>
        <w:rPr>
          <w:color w:val="0A0A0A"/>
          <w:spacing w:val="-4"/>
          <w:w w:val="105"/>
          <w:sz w:val="21"/>
        </w:rPr>
        <w:t> </w:t>
      </w:r>
      <w:r>
        <w:rPr>
          <w:color w:val="0A0A0A"/>
          <w:w w:val="105"/>
          <w:sz w:val="21"/>
        </w:rPr>
        <w:t>organisation / </w:t>
      </w:r>
      <w:r>
        <w:rPr>
          <w:color w:val="1D1D1D"/>
          <w:w w:val="105"/>
          <w:sz w:val="21"/>
        </w:rPr>
        <w:t>partnership. </w:t>
      </w:r>
      <w:r>
        <w:rPr>
          <w:color w:val="0A0A0A"/>
          <w:w w:val="105"/>
          <w:sz w:val="21"/>
        </w:rPr>
        <w:t>All</w:t>
      </w:r>
      <w:r>
        <w:rPr>
          <w:color w:val="0A0A0A"/>
          <w:spacing w:val="-14"/>
          <w:w w:val="105"/>
          <w:sz w:val="21"/>
        </w:rPr>
        <w:t> </w:t>
      </w:r>
      <w:r>
        <w:rPr>
          <w:color w:val="0A0A0A"/>
          <w:w w:val="105"/>
          <w:sz w:val="21"/>
        </w:rPr>
        <w:t>Service Level</w:t>
      </w:r>
      <w:r>
        <w:rPr>
          <w:color w:val="0A0A0A"/>
          <w:spacing w:val="-9"/>
          <w:w w:val="105"/>
          <w:sz w:val="21"/>
        </w:rPr>
        <w:t> </w:t>
      </w:r>
      <w:r>
        <w:rPr>
          <w:color w:val="0A0A0A"/>
          <w:w w:val="105"/>
          <w:sz w:val="21"/>
        </w:rPr>
        <w:t>/ </w:t>
      </w:r>
      <w:r>
        <w:rPr>
          <w:color w:val="1D1D1D"/>
          <w:w w:val="105"/>
          <w:sz w:val="21"/>
        </w:rPr>
        <w:t>Partnership </w:t>
      </w:r>
      <w:r>
        <w:rPr>
          <w:color w:val="0A0A0A"/>
          <w:w w:val="105"/>
          <w:sz w:val="21"/>
        </w:rPr>
        <w:t>Agreements</w:t>
      </w:r>
      <w:r>
        <w:rPr>
          <w:color w:val="0A0A0A"/>
          <w:spacing w:val="-3"/>
          <w:w w:val="105"/>
          <w:sz w:val="21"/>
        </w:rPr>
        <w:t> </w:t>
      </w:r>
      <w:r>
        <w:rPr>
          <w:color w:val="0A0A0A"/>
          <w:w w:val="105"/>
          <w:sz w:val="21"/>
        </w:rPr>
        <w:t>are</w:t>
      </w:r>
      <w:r>
        <w:rPr>
          <w:color w:val="0A0A0A"/>
          <w:spacing w:val="-8"/>
          <w:w w:val="105"/>
          <w:sz w:val="21"/>
        </w:rPr>
        <w:t> </w:t>
      </w:r>
      <w:r>
        <w:rPr>
          <w:color w:val="1D1D1D"/>
          <w:w w:val="105"/>
          <w:sz w:val="21"/>
        </w:rPr>
        <w:t>subject </w:t>
      </w:r>
      <w:r>
        <w:rPr>
          <w:color w:val="0A0A0A"/>
          <w:w w:val="105"/>
          <w:sz w:val="21"/>
        </w:rPr>
        <w:t>to</w:t>
      </w:r>
      <w:r>
        <w:rPr>
          <w:color w:val="0A0A0A"/>
          <w:spacing w:val="-10"/>
          <w:w w:val="105"/>
          <w:sz w:val="21"/>
        </w:rPr>
        <w:t> </w:t>
      </w:r>
      <w:r>
        <w:rPr>
          <w:color w:val="0A0A0A"/>
          <w:w w:val="105"/>
          <w:sz w:val="21"/>
        </w:rPr>
        <w:t>an</w:t>
      </w:r>
      <w:r>
        <w:rPr>
          <w:color w:val="0A0A0A"/>
          <w:spacing w:val="-16"/>
          <w:w w:val="105"/>
          <w:sz w:val="21"/>
        </w:rPr>
        <w:t> </w:t>
      </w:r>
      <w:r>
        <w:rPr>
          <w:color w:val="0A0A0A"/>
          <w:w w:val="105"/>
          <w:sz w:val="21"/>
        </w:rPr>
        <w:t>annual</w:t>
      </w:r>
      <w:r>
        <w:rPr>
          <w:color w:val="0A0A0A"/>
          <w:spacing w:val="-12"/>
          <w:w w:val="105"/>
          <w:sz w:val="21"/>
        </w:rPr>
        <w:t> </w:t>
      </w:r>
      <w:r>
        <w:rPr>
          <w:color w:val="0A0A0A"/>
          <w:w w:val="105"/>
          <w:sz w:val="21"/>
        </w:rPr>
        <w:t>review</w:t>
      </w:r>
      <w:r>
        <w:rPr>
          <w:color w:val="0A0A0A"/>
          <w:spacing w:val="-7"/>
          <w:w w:val="105"/>
          <w:sz w:val="21"/>
        </w:rPr>
        <w:t> </w:t>
      </w:r>
      <w:r>
        <w:rPr>
          <w:color w:val="0A0A0A"/>
          <w:w w:val="105"/>
          <w:sz w:val="21"/>
        </w:rPr>
        <w:t>with</w:t>
      </w:r>
      <w:r>
        <w:rPr>
          <w:color w:val="0A0A0A"/>
          <w:spacing w:val="-8"/>
          <w:w w:val="105"/>
          <w:sz w:val="21"/>
        </w:rPr>
        <w:t> </w:t>
      </w:r>
      <w:r>
        <w:rPr>
          <w:color w:val="0A0A0A"/>
          <w:w w:val="105"/>
          <w:sz w:val="21"/>
        </w:rPr>
        <w:t>a</w:t>
      </w:r>
      <w:r>
        <w:rPr>
          <w:color w:val="0A0A0A"/>
          <w:spacing w:val="-16"/>
          <w:w w:val="105"/>
          <w:sz w:val="21"/>
        </w:rPr>
        <w:t> </w:t>
      </w:r>
      <w:r>
        <w:rPr>
          <w:color w:val="0A0A0A"/>
          <w:w w:val="105"/>
          <w:sz w:val="21"/>
        </w:rPr>
        <w:t>full </w:t>
      </w:r>
      <w:r>
        <w:rPr>
          <w:color w:val="1D1D1D"/>
          <w:w w:val="105"/>
          <w:sz w:val="21"/>
        </w:rPr>
        <w:t>review</w:t>
      </w:r>
      <w:r>
        <w:rPr>
          <w:color w:val="1D1D1D"/>
          <w:spacing w:val="-5"/>
          <w:w w:val="105"/>
          <w:sz w:val="21"/>
        </w:rPr>
        <w:t> </w:t>
      </w:r>
      <w:r>
        <w:rPr>
          <w:color w:val="0A0A0A"/>
          <w:w w:val="105"/>
          <w:sz w:val="21"/>
        </w:rPr>
        <w:t>carried out every </w:t>
      </w:r>
      <w:r>
        <w:rPr>
          <w:color w:val="1D1D1D"/>
          <w:w w:val="105"/>
          <w:sz w:val="21"/>
        </w:rPr>
        <w:t>five</w:t>
      </w:r>
      <w:r>
        <w:rPr>
          <w:color w:val="1D1D1D"/>
          <w:spacing w:val="-5"/>
          <w:w w:val="105"/>
          <w:sz w:val="21"/>
        </w:rPr>
        <w:t> </w:t>
      </w:r>
      <w:r>
        <w:rPr>
          <w:color w:val="0A0A0A"/>
          <w:w w:val="105"/>
          <w:sz w:val="21"/>
        </w:rPr>
        <w:t>years </w:t>
      </w:r>
      <w:r>
        <w:rPr>
          <w:color w:val="1D1D1D"/>
          <w:w w:val="105"/>
          <w:sz w:val="21"/>
        </w:rPr>
        <w:t>ahead </w:t>
      </w:r>
      <w:r>
        <w:rPr>
          <w:color w:val="0A0A0A"/>
          <w:w w:val="105"/>
          <w:sz w:val="21"/>
        </w:rPr>
        <w:t>of any </w:t>
      </w:r>
      <w:r>
        <w:rPr>
          <w:color w:val="1D1D1D"/>
          <w:w w:val="105"/>
          <w:sz w:val="21"/>
        </w:rPr>
        <w:t>renewal </w:t>
      </w:r>
      <w:r>
        <w:rPr>
          <w:color w:val="0A0A0A"/>
          <w:w w:val="105"/>
          <w:sz w:val="21"/>
        </w:rPr>
        <w:t>of </w:t>
      </w:r>
      <w:r>
        <w:rPr>
          <w:color w:val="1D1D1D"/>
          <w:w w:val="105"/>
          <w:sz w:val="21"/>
        </w:rPr>
        <w:t>agreements.</w:t>
      </w:r>
    </w:p>
    <w:p>
      <w:pPr>
        <w:pStyle w:val="BodyText"/>
        <w:spacing w:before="14"/>
        <w:rPr>
          <w:sz w:val="21"/>
        </w:rPr>
      </w:pPr>
    </w:p>
    <w:p>
      <w:pPr>
        <w:pStyle w:val="ListParagraph"/>
        <w:numPr>
          <w:ilvl w:val="0"/>
          <w:numId w:val="29"/>
        </w:numPr>
        <w:tabs>
          <w:tab w:val="left" w:leader="none" w:pos="854"/>
        </w:tabs>
        <w:spacing w:before="1" w:after="0" w:line="252" w:lineRule="auto"/>
        <w:ind w:left="854" w:right="840" w:hanging="707"/>
        <w:jc w:val="left"/>
        <w:rPr>
          <w:color w:val="0A0A0A"/>
          <w:sz w:val="21"/>
        </w:rPr>
      </w:pPr>
      <w:r>
        <w:rPr>
          <w:color w:val="0A0A0A"/>
          <w:w w:val="105"/>
          <w:sz w:val="21"/>
        </w:rPr>
        <w:t>The</w:t>
      </w:r>
      <w:r>
        <w:rPr>
          <w:color w:val="0A0A0A"/>
          <w:spacing w:val="-3"/>
          <w:w w:val="105"/>
          <w:sz w:val="21"/>
        </w:rPr>
        <w:t> </w:t>
      </w:r>
      <w:r>
        <w:rPr>
          <w:color w:val="0A0A0A"/>
          <w:w w:val="105"/>
          <w:sz w:val="21"/>
        </w:rPr>
        <w:t>Local</w:t>
      </w:r>
      <w:r>
        <w:rPr>
          <w:color w:val="0A0A0A"/>
          <w:spacing w:val="-8"/>
          <w:w w:val="105"/>
          <w:sz w:val="21"/>
        </w:rPr>
        <w:t> </w:t>
      </w:r>
      <w:r>
        <w:rPr>
          <w:color w:val="0A0A0A"/>
          <w:w w:val="105"/>
          <w:sz w:val="21"/>
        </w:rPr>
        <w:t>Strateg</w:t>
      </w:r>
      <w:r>
        <w:rPr>
          <w:color w:val="343434"/>
          <w:w w:val="105"/>
          <w:sz w:val="21"/>
        </w:rPr>
        <w:t>ic</w:t>
      </w:r>
      <w:r>
        <w:rPr>
          <w:color w:val="343434"/>
          <w:spacing w:val="-8"/>
          <w:w w:val="105"/>
          <w:sz w:val="21"/>
        </w:rPr>
        <w:t> </w:t>
      </w:r>
      <w:r>
        <w:rPr>
          <w:color w:val="1D1D1D"/>
          <w:w w:val="105"/>
          <w:sz w:val="21"/>
        </w:rPr>
        <w:t>Partnership </w:t>
      </w:r>
      <w:r>
        <w:rPr>
          <w:color w:val="0A0A0A"/>
          <w:w w:val="105"/>
          <w:sz w:val="21"/>
        </w:rPr>
        <w:t>is</w:t>
      </w:r>
      <w:r>
        <w:rPr>
          <w:color w:val="0A0A0A"/>
          <w:spacing w:val="-14"/>
          <w:w w:val="105"/>
          <w:sz w:val="21"/>
        </w:rPr>
        <w:t> </w:t>
      </w:r>
      <w:r>
        <w:rPr>
          <w:color w:val="0A0A0A"/>
          <w:w w:val="105"/>
          <w:sz w:val="21"/>
        </w:rPr>
        <w:t>the</w:t>
      </w:r>
      <w:r>
        <w:rPr>
          <w:color w:val="0A0A0A"/>
          <w:spacing w:val="-6"/>
          <w:w w:val="105"/>
          <w:sz w:val="21"/>
        </w:rPr>
        <w:t> </w:t>
      </w:r>
      <w:r>
        <w:rPr>
          <w:color w:val="0A0A0A"/>
          <w:w w:val="105"/>
          <w:sz w:val="21"/>
        </w:rPr>
        <w:t>forum</w:t>
      </w:r>
      <w:r>
        <w:rPr>
          <w:color w:val="0A0A0A"/>
          <w:spacing w:val="-7"/>
          <w:w w:val="105"/>
          <w:sz w:val="21"/>
        </w:rPr>
        <w:t> </w:t>
      </w:r>
      <w:r>
        <w:rPr>
          <w:color w:val="0A0A0A"/>
          <w:w w:val="105"/>
          <w:sz w:val="21"/>
        </w:rPr>
        <w:t>for</w:t>
      </w:r>
      <w:r>
        <w:rPr>
          <w:color w:val="0A0A0A"/>
          <w:spacing w:val="-4"/>
          <w:w w:val="105"/>
          <w:sz w:val="21"/>
        </w:rPr>
        <w:t> </w:t>
      </w:r>
      <w:r>
        <w:rPr>
          <w:color w:val="0A0A0A"/>
          <w:w w:val="105"/>
          <w:sz w:val="21"/>
        </w:rPr>
        <w:t>all</w:t>
      </w:r>
      <w:r>
        <w:rPr>
          <w:color w:val="0A0A0A"/>
          <w:spacing w:val="-4"/>
          <w:w w:val="105"/>
          <w:sz w:val="21"/>
        </w:rPr>
        <w:t> </w:t>
      </w:r>
      <w:r>
        <w:rPr>
          <w:color w:val="1D1D1D"/>
          <w:w w:val="105"/>
          <w:sz w:val="21"/>
        </w:rPr>
        <w:t>of</w:t>
      </w:r>
      <w:r>
        <w:rPr>
          <w:color w:val="1D1D1D"/>
          <w:spacing w:val="-3"/>
          <w:w w:val="105"/>
          <w:sz w:val="21"/>
        </w:rPr>
        <w:t> </w:t>
      </w:r>
      <w:r>
        <w:rPr>
          <w:color w:val="1D1D1D"/>
          <w:w w:val="105"/>
          <w:sz w:val="21"/>
        </w:rPr>
        <w:t>the</w:t>
      </w:r>
      <w:r>
        <w:rPr>
          <w:color w:val="1D1D1D"/>
          <w:spacing w:val="-10"/>
          <w:w w:val="105"/>
          <w:sz w:val="21"/>
        </w:rPr>
        <w:t> </w:t>
      </w:r>
      <w:r>
        <w:rPr>
          <w:color w:val="0A0A0A"/>
          <w:w w:val="105"/>
          <w:sz w:val="21"/>
        </w:rPr>
        <w:t>Council's</w:t>
      </w:r>
      <w:r>
        <w:rPr>
          <w:color w:val="0A0A0A"/>
          <w:spacing w:val="-1"/>
          <w:w w:val="105"/>
          <w:sz w:val="21"/>
        </w:rPr>
        <w:t> </w:t>
      </w:r>
      <w:r>
        <w:rPr>
          <w:color w:val="0A0A0A"/>
          <w:w w:val="105"/>
          <w:sz w:val="21"/>
        </w:rPr>
        <w:t>key </w:t>
      </w:r>
      <w:r>
        <w:rPr>
          <w:color w:val="1D1D1D"/>
          <w:w w:val="105"/>
          <w:sz w:val="21"/>
        </w:rPr>
        <w:t>partners</w:t>
      </w:r>
      <w:r>
        <w:rPr>
          <w:color w:val="1D1D1D"/>
          <w:spacing w:val="-12"/>
          <w:w w:val="105"/>
          <w:sz w:val="21"/>
        </w:rPr>
        <w:t> </w:t>
      </w:r>
      <w:r>
        <w:rPr>
          <w:color w:val="0A0A0A"/>
          <w:w w:val="105"/>
          <w:sz w:val="21"/>
        </w:rPr>
        <w:t>-</w:t>
      </w:r>
      <w:r>
        <w:rPr>
          <w:color w:val="0A0A0A"/>
          <w:spacing w:val="40"/>
          <w:w w:val="105"/>
          <w:sz w:val="21"/>
        </w:rPr>
        <w:t> </w:t>
      </w:r>
      <w:r>
        <w:rPr>
          <w:color w:val="1D1D1D"/>
          <w:w w:val="105"/>
          <w:sz w:val="21"/>
        </w:rPr>
        <w:t>meetings </w:t>
      </w:r>
      <w:r>
        <w:rPr>
          <w:color w:val="0A0A0A"/>
          <w:w w:val="105"/>
          <w:sz w:val="21"/>
        </w:rPr>
        <w:t>are chaired by</w:t>
      </w:r>
      <w:r>
        <w:rPr>
          <w:color w:val="0A0A0A"/>
          <w:spacing w:val="-2"/>
          <w:w w:val="105"/>
          <w:sz w:val="21"/>
        </w:rPr>
        <w:t> </w:t>
      </w:r>
      <w:r>
        <w:rPr>
          <w:color w:val="0A0A0A"/>
          <w:w w:val="105"/>
          <w:sz w:val="21"/>
        </w:rPr>
        <w:t>the </w:t>
      </w:r>
      <w:r>
        <w:rPr>
          <w:color w:val="1D1D1D"/>
          <w:w w:val="105"/>
          <w:sz w:val="21"/>
        </w:rPr>
        <w:t>Leader and</w:t>
      </w:r>
      <w:r>
        <w:rPr>
          <w:color w:val="1D1D1D"/>
          <w:spacing w:val="-2"/>
          <w:w w:val="105"/>
          <w:sz w:val="21"/>
        </w:rPr>
        <w:t> </w:t>
      </w:r>
      <w:r>
        <w:rPr>
          <w:color w:val="0A0A0A"/>
          <w:w w:val="105"/>
          <w:sz w:val="21"/>
        </w:rPr>
        <w:t>are supported by</w:t>
      </w:r>
      <w:r>
        <w:rPr>
          <w:color w:val="0A0A0A"/>
          <w:spacing w:val="-2"/>
          <w:w w:val="105"/>
          <w:sz w:val="21"/>
        </w:rPr>
        <w:t> </w:t>
      </w:r>
      <w:r>
        <w:rPr>
          <w:color w:val="0A0A0A"/>
          <w:w w:val="105"/>
          <w:sz w:val="21"/>
        </w:rPr>
        <w:t>the</w:t>
      </w:r>
      <w:r>
        <w:rPr>
          <w:color w:val="0A0A0A"/>
          <w:spacing w:val="-1"/>
          <w:w w:val="105"/>
          <w:sz w:val="21"/>
        </w:rPr>
        <w:t> </w:t>
      </w:r>
      <w:r>
        <w:rPr>
          <w:color w:val="0A0A0A"/>
          <w:w w:val="105"/>
          <w:sz w:val="21"/>
        </w:rPr>
        <w:t>Managing </w:t>
      </w:r>
      <w:r>
        <w:rPr>
          <w:color w:val="1D1D1D"/>
          <w:w w:val="105"/>
          <w:sz w:val="21"/>
        </w:rPr>
        <w:t>Director </w:t>
      </w:r>
      <w:r>
        <w:rPr>
          <w:color w:val="0A0A0A"/>
          <w:w w:val="105"/>
          <w:sz w:val="21"/>
        </w:rPr>
        <w:t>and </w:t>
      </w:r>
      <w:r>
        <w:rPr>
          <w:color w:val="1D1D1D"/>
          <w:w w:val="105"/>
          <w:sz w:val="21"/>
        </w:rPr>
        <w:t>senior</w:t>
      </w:r>
      <w:r>
        <w:rPr>
          <w:color w:val="1D1D1D"/>
          <w:spacing w:val="-3"/>
          <w:w w:val="105"/>
          <w:sz w:val="21"/>
        </w:rPr>
        <w:t> </w:t>
      </w:r>
      <w:r>
        <w:rPr>
          <w:color w:val="0A0A0A"/>
          <w:w w:val="105"/>
          <w:sz w:val="21"/>
        </w:rPr>
        <w:t>managers.</w:t>
      </w:r>
    </w:p>
    <w:p>
      <w:pPr>
        <w:pStyle w:val="BodyText"/>
        <w:rPr>
          <w:sz w:val="21"/>
        </w:rPr>
      </w:pPr>
    </w:p>
    <w:p>
      <w:pPr>
        <w:pStyle w:val="BodyText"/>
        <w:spacing w:before="18"/>
        <w:rPr>
          <w:sz w:val="21"/>
        </w:rPr>
      </w:pPr>
    </w:p>
    <w:p>
      <w:pPr>
        <w:spacing w:before="1"/>
        <w:ind w:left="871" w:right="0" w:firstLine="0"/>
        <w:jc w:val="left"/>
        <w:rPr>
          <w:b/>
          <w:sz w:val="21"/>
        </w:rPr>
      </w:pPr>
      <w:r>
        <w:rPr>
          <w:b/>
          <w:color w:val="1D1D1D"/>
          <w:w w:val="105"/>
          <w:sz w:val="21"/>
          <w:u w:val="thick" w:color="1D1D1D"/>
        </w:rPr>
        <w:t>REVIEW</w:t>
      </w:r>
      <w:r>
        <w:rPr>
          <w:b/>
          <w:color w:val="1D1D1D"/>
          <w:spacing w:val="-4"/>
          <w:w w:val="105"/>
          <w:sz w:val="21"/>
          <w:u w:val="thick" w:color="1D1D1D"/>
        </w:rPr>
        <w:t> </w:t>
      </w:r>
      <w:r>
        <w:rPr>
          <w:b/>
          <w:color w:val="1D1D1D"/>
          <w:w w:val="105"/>
          <w:sz w:val="21"/>
          <w:u w:val="thick" w:color="1D1D1D"/>
        </w:rPr>
        <w:t>OF</w:t>
      </w:r>
      <w:r>
        <w:rPr>
          <w:b/>
          <w:color w:val="1D1D1D"/>
          <w:spacing w:val="-14"/>
          <w:w w:val="105"/>
          <w:sz w:val="21"/>
          <w:u w:val="thick" w:color="1D1D1D"/>
        </w:rPr>
        <w:t> </w:t>
      </w:r>
      <w:r>
        <w:rPr>
          <w:b/>
          <w:color w:val="1D1D1D"/>
          <w:spacing w:val="-2"/>
          <w:w w:val="105"/>
          <w:sz w:val="21"/>
          <w:u w:val="thick" w:color="1D1D1D"/>
        </w:rPr>
        <w:t>EFFECTIVENESS</w:t>
      </w:r>
    </w:p>
    <w:p>
      <w:pPr>
        <w:pStyle w:val="BodyText"/>
        <w:spacing w:before="31"/>
        <w:rPr>
          <w:b/>
          <w:sz w:val="21"/>
        </w:rPr>
      </w:pPr>
    </w:p>
    <w:p>
      <w:pPr>
        <w:pStyle w:val="ListParagraph"/>
        <w:numPr>
          <w:ilvl w:val="0"/>
          <w:numId w:val="29"/>
        </w:numPr>
        <w:tabs>
          <w:tab w:val="left" w:leader="none" w:pos="853"/>
        </w:tabs>
        <w:spacing w:before="0" w:after="0" w:line="247" w:lineRule="auto"/>
        <w:ind w:left="853" w:right="488" w:hanging="702"/>
        <w:jc w:val="left"/>
        <w:rPr>
          <w:color w:val="0A0A0A"/>
          <w:sz w:val="21"/>
        </w:rPr>
      </w:pPr>
      <w:r>
        <w:rPr>
          <w:color w:val="0A0A0A"/>
          <w:w w:val="105"/>
          <w:sz w:val="21"/>
        </w:rPr>
        <w:t>The</w:t>
      </w:r>
      <w:r>
        <w:rPr>
          <w:color w:val="0A0A0A"/>
          <w:spacing w:val="-15"/>
          <w:w w:val="105"/>
          <w:sz w:val="21"/>
        </w:rPr>
        <w:t> </w:t>
      </w:r>
      <w:r>
        <w:rPr>
          <w:color w:val="0A0A0A"/>
          <w:w w:val="105"/>
          <w:sz w:val="21"/>
        </w:rPr>
        <w:t>Council</w:t>
      </w:r>
      <w:r>
        <w:rPr>
          <w:color w:val="0A0A0A"/>
          <w:spacing w:val="-4"/>
          <w:w w:val="105"/>
          <w:sz w:val="21"/>
        </w:rPr>
        <w:t> </w:t>
      </w:r>
      <w:r>
        <w:rPr>
          <w:color w:val="0A0A0A"/>
          <w:w w:val="105"/>
          <w:sz w:val="21"/>
        </w:rPr>
        <w:t>has</w:t>
      </w:r>
      <w:r>
        <w:rPr>
          <w:color w:val="0A0A0A"/>
          <w:spacing w:val="-12"/>
          <w:w w:val="105"/>
          <w:sz w:val="21"/>
        </w:rPr>
        <w:t> </w:t>
      </w:r>
      <w:r>
        <w:rPr>
          <w:color w:val="1D1D1D"/>
          <w:w w:val="105"/>
          <w:sz w:val="21"/>
        </w:rPr>
        <w:t>the</w:t>
      </w:r>
      <w:r>
        <w:rPr>
          <w:color w:val="1D1D1D"/>
          <w:spacing w:val="-14"/>
          <w:w w:val="105"/>
          <w:sz w:val="21"/>
        </w:rPr>
        <w:t> </w:t>
      </w:r>
      <w:r>
        <w:rPr>
          <w:color w:val="343434"/>
          <w:w w:val="105"/>
          <w:sz w:val="21"/>
        </w:rPr>
        <w:t>re</w:t>
      </w:r>
      <w:r>
        <w:rPr>
          <w:color w:val="0A0A0A"/>
          <w:w w:val="105"/>
          <w:sz w:val="21"/>
        </w:rPr>
        <w:t>sponsibility</w:t>
      </w:r>
      <w:r>
        <w:rPr>
          <w:color w:val="0A0A0A"/>
          <w:spacing w:val="-1"/>
          <w:w w:val="105"/>
          <w:sz w:val="21"/>
        </w:rPr>
        <w:t> </w:t>
      </w:r>
      <w:r>
        <w:rPr>
          <w:color w:val="1D1D1D"/>
          <w:w w:val="105"/>
          <w:sz w:val="21"/>
        </w:rPr>
        <w:t>for</w:t>
      </w:r>
      <w:r>
        <w:rPr>
          <w:color w:val="1D1D1D"/>
          <w:spacing w:val="-6"/>
          <w:w w:val="105"/>
          <w:sz w:val="21"/>
        </w:rPr>
        <w:t> </w:t>
      </w:r>
      <w:r>
        <w:rPr>
          <w:color w:val="1D1D1D"/>
          <w:w w:val="105"/>
          <w:sz w:val="21"/>
        </w:rPr>
        <w:t>conducting, </w:t>
      </w:r>
      <w:r>
        <w:rPr>
          <w:color w:val="0A0A0A"/>
          <w:w w:val="105"/>
          <w:sz w:val="21"/>
        </w:rPr>
        <w:t>at</w:t>
      </w:r>
      <w:r>
        <w:rPr>
          <w:color w:val="0A0A0A"/>
          <w:spacing w:val="-4"/>
          <w:w w:val="105"/>
          <w:sz w:val="21"/>
        </w:rPr>
        <w:t> </w:t>
      </w:r>
      <w:r>
        <w:rPr>
          <w:color w:val="0A0A0A"/>
          <w:w w:val="105"/>
          <w:sz w:val="21"/>
        </w:rPr>
        <w:t>least</w:t>
      </w:r>
      <w:r>
        <w:rPr>
          <w:color w:val="0A0A0A"/>
          <w:spacing w:val="-5"/>
          <w:w w:val="105"/>
          <w:sz w:val="21"/>
        </w:rPr>
        <w:t> </w:t>
      </w:r>
      <w:r>
        <w:rPr>
          <w:color w:val="0A0A0A"/>
          <w:w w:val="105"/>
          <w:sz w:val="21"/>
        </w:rPr>
        <w:t>annually, a</w:t>
      </w:r>
      <w:r>
        <w:rPr>
          <w:color w:val="0A0A0A"/>
          <w:spacing w:val="-13"/>
          <w:w w:val="105"/>
          <w:sz w:val="21"/>
        </w:rPr>
        <w:t> </w:t>
      </w:r>
      <w:r>
        <w:rPr>
          <w:color w:val="0A0A0A"/>
          <w:w w:val="105"/>
          <w:sz w:val="21"/>
        </w:rPr>
        <w:t>review of</w:t>
      </w:r>
      <w:r>
        <w:rPr>
          <w:color w:val="0A0A0A"/>
          <w:spacing w:val="-13"/>
          <w:w w:val="105"/>
          <w:sz w:val="21"/>
        </w:rPr>
        <w:t> </w:t>
      </w:r>
      <w:r>
        <w:rPr>
          <w:color w:val="0A0A0A"/>
          <w:w w:val="105"/>
          <w:sz w:val="21"/>
        </w:rPr>
        <w:t>the</w:t>
      </w:r>
      <w:r>
        <w:rPr>
          <w:color w:val="0A0A0A"/>
          <w:spacing w:val="-8"/>
          <w:w w:val="105"/>
          <w:sz w:val="21"/>
        </w:rPr>
        <w:t> </w:t>
      </w:r>
      <w:r>
        <w:rPr>
          <w:color w:val="0A0A0A"/>
          <w:w w:val="105"/>
          <w:sz w:val="21"/>
        </w:rPr>
        <w:t>effectiveness of </w:t>
      </w:r>
      <w:r>
        <w:rPr>
          <w:color w:val="1D1D1D"/>
          <w:w w:val="105"/>
          <w:sz w:val="21"/>
        </w:rPr>
        <w:t>its </w:t>
      </w:r>
      <w:r>
        <w:rPr>
          <w:color w:val="0A0A0A"/>
          <w:w w:val="105"/>
          <w:sz w:val="21"/>
        </w:rPr>
        <w:t>governance framework including </w:t>
      </w:r>
      <w:r>
        <w:rPr>
          <w:color w:val="1D1D1D"/>
          <w:w w:val="105"/>
          <w:sz w:val="21"/>
        </w:rPr>
        <w:t>the system </w:t>
      </w:r>
      <w:r>
        <w:rPr>
          <w:color w:val="0A0A0A"/>
          <w:w w:val="105"/>
          <w:sz w:val="21"/>
        </w:rPr>
        <w:t>of internal control.</w:t>
      </w:r>
    </w:p>
    <w:p>
      <w:pPr>
        <w:pStyle w:val="BodyText"/>
        <w:spacing w:before="20"/>
        <w:rPr>
          <w:sz w:val="21"/>
        </w:rPr>
      </w:pPr>
    </w:p>
    <w:p>
      <w:pPr>
        <w:pStyle w:val="ListParagraph"/>
        <w:numPr>
          <w:ilvl w:val="0"/>
          <w:numId w:val="29"/>
        </w:numPr>
        <w:tabs>
          <w:tab w:val="left" w:leader="none" w:pos="853"/>
          <w:tab w:val="left" w:leader="none" w:pos="855"/>
        </w:tabs>
        <w:spacing w:before="0" w:after="0" w:line="252" w:lineRule="auto"/>
        <w:ind w:left="855" w:right="1300" w:hanging="704"/>
        <w:jc w:val="left"/>
        <w:rPr>
          <w:color w:val="0A0A0A"/>
          <w:sz w:val="21"/>
        </w:rPr>
      </w:pPr>
      <w:r>
        <w:rPr>
          <w:color w:val="0A0A0A"/>
          <w:w w:val="105"/>
          <w:sz w:val="21"/>
        </w:rPr>
        <w:t>This</w:t>
      </w:r>
      <w:r>
        <w:rPr>
          <w:color w:val="0A0A0A"/>
          <w:spacing w:val="-8"/>
          <w:w w:val="105"/>
          <w:sz w:val="21"/>
        </w:rPr>
        <w:t> </w:t>
      </w:r>
      <w:r>
        <w:rPr>
          <w:color w:val="0A0A0A"/>
          <w:w w:val="105"/>
          <w:sz w:val="21"/>
        </w:rPr>
        <w:t>review</w:t>
      </w:r>
      <w:r>
        <w:rPr>
          <w:color w:val="0A0A0A"/>
          <w:spacing w:val="-7"/>
          <w:w w:val="105"/>
          <w:sz w:val="21"/>
        </w:rPr>
        <w:t> </w:t>
      </w:r>
      <w:r>
        <w:rPr>
          <w:color w:val="0A0A0A"/>
          <w:w w:val="105"/>
          <w:sz w:val="21"/>
        </w:rPr>
        <w:t>is</w:t>
      </w:r>
      <w:r>
        <w:rPr>
          <w:color w:val="0A0A0A"/>
          <w:spacing w:val="-8"/>
          <w:w w:val="105"/>
          <w:sz w:val="21"/>
        </w:rPr>
        <w:t> </w:t>
      </w:r>
      <w:r>
        <w:rPr>
          <w:color w:val="0A0A0A"/>
          <w:w w:val="105"/>
          <w:sz w:val="21"/>
        </w:rPr>
        <w:t>informed</w:t>
      </w:r>
      <w:r>
        <w:rPr>
          <w:color w:val="0A0A0A"/>
          <w:spacing w:val="-1"/>
          <w:w w:val="105"/>
          <w:sz w:val="21"/>
        </w:rPr>
        <w:t> </w:t>
      </w:r>
      <w:r>
        <w:rPr>
          <w:color w:val="0A0A0A"/>
          <w:w w:val="105"/>
          <w:sz w:val="21"/>
        </w:rPr>
        <w:t>by</w:t>
      </w:r>
      <w:r>
        <w:rPr>
          <w:color w:val="0A0A0A"/>
          <w:spacing w:val="-8"/>
          <w:w w:val="105"/>
          <w:sz w:val="21"/>
        </w:rPr>
        <w:t> </w:t>
      </w:r>
      <w:r>
        <w:rPr>
          <w:color w:val="0A0A0A"/>
          <w:w w:val="105"/>
          <w:sz w:val="21"/>
        </w:rPr>
        <w:t>those</w:t>
      </w:r>
      <w:r>
        <w:rPr>
          <w:color w:val="0A0A0A"/>
          <w:spacing w:val="-1"/>
          <w:w w:val="105"/>
          <w:sz w:val="21"/>
        </w:rPr>
        <w:t> </w:t>
      </w:r>
      <w:r>
        <w:rPr>
          <w:color w:val="0A0A0A"/>
          <w:w w:val="105"/>
          <w:sz w:val="21"/>
        </w:rPr>
        <w:t>Members and</w:t>
      </w:r>
      <w:r>
        <w:rPr>
          <w:color w:val="0A0A0A"/>
          <w:spacing w:val="-9"/>
          <w:w w:val="105"/>
          <w:sz w:val="21"/>
        </w:rPr>
        <w:t> </w:t>
      </w:r>
      <w:r>
        <w:rPr>
          <w:color w:val="0A0A0A"/>
          <w:w w:val="105"/>
          <w:sz w:val="21"/>
        </w:rPr>
        <w:t>officers, who</w:t>
      </w:r>
      <w:r>
        <w:rPr>
          <w:color w:val="0A0A0A"/>
          <w:spacing w:val="-1"/>
          <w:w w:val="105"/>
          <w:sz w:val="21"/>
        </w:rPr>
        <w:t> </w:t>
      </w:r>
      <w:r>
        <w:rPr>
          <w:color w:val="0A0A0A"/>
          <w:w w:val="105"/>
          <w:sz w:val="21"/>
        </w:rPr>
        <w:t>have</w:t>
      </w:r>
      <w:r>
        <w:rPr>
          <w:color w:val="0A0A0A"/>
          <w:spacing w:val="-4"/>
          <w:w w:val="105"/>
          <w:sz w:val="21"/>
        </w:rPr>
        <w:t> </w:t>
      </w:r>
      <w:r>
        <w:rPr>
          <w:color w:val="0A0A0A"/>
          <w:w w:val="105"/>
          <w:sz w:val="21"/>
        </w:rPr>
        <w:t>the</w:t>
      </w:r>
      <w:r>
        <w:rPr>
          <w:color w:val="0A0A0A"/>
          <w:spacing w:val="-9"/>
          <w:w w:val="105"/>
          <w:sz w:val="21"/>
        </w:rPr>
        <w:t> </w:t>
      </w:r>
      <w:r>
        <w:rPr>
          <w:color w:val="0A0A0A"/>
          <w:w w:val="105"/>
          <w:sz w:val="21"/>
        </w:rPr>
        <w:t>responsibility</w:t>
      </w:r>
      <w:r>
        <w:rPr>
          <w:color w:val="0A0A0A"/>
          <w:spacing w:val="-7"/>
          <w:w w:val="105"/>
          <w:sz w:val="21"/>
        </w:rPr>
        <w:t> </w:t>
      </w:r>
      <w:r>
        <w:rPr>
          <w:color w:val="0A0A0A"/>
          <w:w w:val="105"/>
          <w:sz w:val="21"/>
        </w:rPr>
        <w:t>for</w:t>
      </w:r>
      <w:r>
        <w:rPr>
          <w:color w:val="0A0A0A"/>
          <w:spacing w:val="-10"/>
          <w:w w:val="105"/>
          <w:sz w:val="21"/>
        </w:rPr>
        <w:t> </w:t>
      </w:r>
      <w:r>
        <w:rPr>
          <w:color w:val="0A0A0A"/>
          <w:w w:val="105"/>
          <w:sz w:val="21"/>
        </w:rPr>
        <w:t>the development and</w:t>
      </w:r>
      <w:r>
        <w:rPr>
          <w:color w:val="0A0A0A"/>
          <w:spacing w:val="-9"/>
          <w:w w:val="105"/>
          <w:sz w:val="21"/>
        </w:rPr>
        <w:t> </w:t>
      </w:r>
      <w:r>
        <w:rPr>
          <w:color w:val="0A0A0A"/>
          <w:w w:val="105"/>
          <w:sz w:val="21"/>
        </w:rPr>
        <w:t>maintenance of the</w:t>
      </w:r>
      <w:r>
        <w:rPr>
          <w:color w:val="0A0A0A"/>
          <w:spacing w:val="-2"/>
          <w:w w:val="105"/>
          <w:sz w:val="21"/>
        </w:rPr>
        <w:t> </w:t>
      </w:r>
      <w:r>
        <w:rPr>
          <w:color w:val="0A0A0A"/>
          <w:w w:val="105"/>
          <w:sz w:val="21"/>
        </w:rPr>
        <w:t>governance environment, including:</w:t>
      </w:r>
    </w:p>
    <w:p>
      <w:pPr>
        <w:pStyle w:val="BodyText"/>
        <w:spacing w:before="11"/>
        <w:rPr>
          <w:sz w:val="21"/>
        </w:rPr>
      </w:pPr>
    </w:p>
    <w:p>
      <w:pPr>
        <w:pStyle w:val="ListParagraph"/>
        <w:numPr>
          <w:ilvl w:val="1"/>
          <w:numId w:val="29"/>
        </w:numPr>
        <w:tabs>
          <w:tab w:val="left" w:leader="none" w:pos="1280"/>
        </w:tabs>
        <w:spacing w:before="0" w:after="0" w:line="256" w:lineRule="auto"/>
        <w:ind w:left="1280" w:right="859" w:hanging="421"/>
        <w:jc w:val="left"/>
        <w:rPr>
          <w:color w:val="0A0A0A"/>
          <w:sz w:val="21"/>
        </w:rPr>
      </w:pPr>
      <w:r>
        <w:rPr>
          <w:color w:val="0A0A0A"/>
          <w:w w:val="105"/>
          <w:sz w:val="21"/>
        </w:rPr>
        <w:t>The</w:t>
      </w:r>
      <w:r>
        <w:rPr>
          <w:color w:val="0A0A0A"/>
          <w:spacing w:val="-13"/>
          <w:w w:val="105"/>
          <w:sz w:val="21"/>
        </w:rPr>
        <w:t> </w:t>
      </w:r>
      <w:r>
        <w:rPr>
          <w:color w:val="0A0A0A"/>
          <w:w w:val="105"/>
          <w:sz w:val="21"/>
        </w:rPr>
        <w:t>work</w:t>
      </w:r>
      <w:r>
        <w:rPr>
          <w:color w:val="0A0A0A"/>
          <w:spacing w:val="-1"/>
          <w:w w:val="105"/>
          <w:sz w:val="21"/>
        </w:rPr>
        <w:t> </w:t>
      </w:r>
      <w:r>
        <w:rPr>
          <w:color w:val="0A0A0A"/>
          <w:w w:val="105"/>
          <w:sz w:val="21"/>
        </w:rPr>
        <w:t>of</w:t>
      </w:r>
      <w:r>
        <w:rPr>
          <w:color w:val="0A0A0A"/>
          <w:spacing w:val="-16"/>
          <w:w w:val="105"/>
          <w:sz w:val="21"/>
        </w:rPr>
        <w:t> </w:t>
      </w:r>
      <w:r>
        <w:rPr>
          <w:color w:val="0A0A0A"/>
          <w:w w:val="105"/>
          <w:sz w:val="21"/>
        </w:rPr>
        <w:t>Members at</w:t>
      </w:r>
      <w:r>
        <w:rPr>
          <w:color w:val="0A0A0A"/>
          <w:spacing w:val="-14"/>
          <w:w w:val="105"/>
          <w:sz w:val="21"/>
        </w:rPr>
        <w:t> </w:t>
      </w:r>
      <w:r>
        <w:rPr>
          <w:color w:val="0A0A0A"/>
          <w:w w:val="105"/>
          <w:sz w:val="21"/>
        </w:rPr>
        <w:t>Council,</w:t>
      </w:r>
      <w:r>
        <w:rPr>
          <w:color w:val="0A0A0A"/>
          <w:spacing w:val="-3"/>
          <w:w w:val="105"/>
          <w:sz w:val="21"/>
        </w:rPr>
        <w:t> </w:t>
      </w:r>
      <w:r>
        <w:rPr>
          <w:color w:val="0A0A0A"/>
          <w:w w:val="105"/>
          <w:sz w:val="21"/>
        </w:rPr>
        <w:t>Executive, Overview</w:t>
      </w:r>
      <w:r>
        <w:rPr>
          <w:color w:val="0A0A0A"/>
          <w:spacing w:val="-4"/>
          <w:w w:val="105"/>
          <w:sz w:val="21"/>
        </w:rPr>
        <w:t> </w:t>
      </w:r>
      <w:r>
        <w:rPr>
          <w:color w:val="0A0A0A"/>
          <w:w w:val="105"/>
          <w:sz w:val="21"/>
        </w:rPr>
        <w:t>and</w:t>
      </w:r>
      <w:r>
        <w:rPr>
          <w:color w:val="0A0A0A"/>
          <w:spacing w:val="-15"/>
          <w:w w:val="105"/>
          <w:sz w:val="21"/>
        </w:rPr>
        <w:t> </w:t>
      </w:r>
      <w:r>
        <w:rPr>
          <w:color w:val="0A0A0A"/>
          <w:w w:val="105"/>
          <w:sz w:val="21"/>
        </w:rPr>
        <w:t>Scrutiny Committees, the</w:t>
      </w:r>
      <w:r>
        <w:rPr>
          <w:color w:val="0A0A0A"/>
          <w:spacing w:val="-13"/>
          <w:w w:val="105"/>
          <w:sz w:val="21"/>
        </w:rPr>
        <w:t> </w:t>
      </w:r>
      <w:r>
        <w:rPr>
          <w:color w:val="0A0A0A"/>
          <w:w w:val="105"/>
          <w:sz w:val="21"/>
        </w:rPr>
        <w:t>Audit Committee, the Standards Committee and</w:t>
      </w:r>
      <w:r>
        <w:rPr>
          <w:color w:val="0A0A0A"/>
          <w:spacing w:val="-3"/>
          <w:w w:val="105"/>
          <w:sz w:val="21"/>
        </w:rPr>
        <w:t> </w:t>
      </w:r>
      <w:r>
        <w:rPr>
          <w:color w:val="0A0A0A"/>
          <w:w w:val="105"/>
          <w:sz w:val="21"/>
        </w:rPr>
        <w:t>Financial Monitoring Panel,</w:t>
      </w:r>
    </w:p>
    <w:p>
      <w:pPr>
        <w:pStyle w:val="ListParagraph"/>
        <w:numPr>
          <w:ilvl w:val="1"/>
          <w:numId w:val="29"/>
        </w:numPr>
        <w:tabs>
          <w:tab w:val="left" w:leader="none" w:pos="1276"/>
        </w:tabs>
        <w:spacing w:before="55" w:after="0" w:line="240" w:lineRule="auto"/>
        <w:ind w:left="1276" w:right="0" w:hanging="422"/>
        <w:jc w:val="left"/>
        <w:rPr>
          <w:color w:val="0A0A0A"/>
          <w:sz w:val="21"/>
        </w:rPr>
      </w:pPr>
      <w:r>
        <w:rPr>
          <w:color w:val="0A0A0A"/>
          <w:w w:val="105"/>
          <w:sz w:val="21"/>
        </w:rPr>
        <w:t>The</w:t>
      </w:r>
      <w:r>
        <w:rPr>
          <w:color w:val="0A0A0A"/>
          <w:spacing w:val="-13"/>
          <w:w w:val="105"/>
          <w:sz w:val="21"/>
        </w:rPr>
        <w:t> </w:t>
      </w:r>
      <w:r>
        <w:rPr>
          <w:color w:val="0A0A0A"/>
          <w:w w:val="105"/>
          <w:sz w:val="21"/>
        </w:rPr>
        <w:t>work</w:t>
      </w:r>
      <w:r>
        <w:rPr>
          <w:color w:val="0A0A0A"/>
          <w:spacing w:val="-1"/>
          <w:w w:val="105"/>
          <w:sz w:val="21"/>
        </w:rPr>
        <w:t> </w:t>
      </w:r>
      <w:r>
        <w:rPr>
          <w:color w:val="0A0A0A"/>
          <w:w w:val="105"/>
          <w:sz w:val="21"/>
        </w:rPr>
        <w:t>of</w:t>
      </w:r>
      <w:r>
        <w:rPr>
          <w:color w:val="0A0A0A"/>
          <w:spacing w:val="-9"/>
          <w:w w:val="105"/>
          <w:sz w:val="21"/>
        </w:rPr>
        <w:t> </w:t>
      </w:r>
      <w:r>
        <w:rPr>
          <w:color w:val="0A0A0A"/>
          <w:w w:val="105"/>
          <w:sz w:val="21"/>
        </w:rPr>
        <w:t>the</w:t>
      </w:r>
      <w:r>
        <w:rPr>
          <w:color w:val="0A0A0A"/>
          <w:spacing w:val="-16"/>
          <w:w w:val="105"/>
          <w:sz w:val="21"/>
        </w:rPr>
        <w:t> </w:t>
      </w:r>
      <w:r>
        <w:rPr>
          <w:color w:val="0A0A0A"/>
          <w:w w:val="105"/>
          <w:sz w:val="21"/>
        </w:rPr>
        <w:t>Corporate</w:t>
      </w:r>
      <w:r>
        <w:rPr>
          <w:color w:val="0A0A0A"/>
          <w:spacing w:val="-1"/>
          <w:w w:val="105"/>
          <w:sz w:val="21"/>
        </w:rPr>
        <w:t> </w:t>
      </w:r>
      <w:r>
        <w:rPr>
          <w:color w:val="0A0A0A"/>
          <w:w w:val="105"/>
          <w:sz w:val="21"/>
        </w:rPr>
        <w:t>Governance</w:t>
      </w:r>
      <w:r>
        <w:rPr>
          <w:color w:val="0A0A0A"/>
          <w:spacing w:val="-2"/>
          <w:w w:val="105"/>
          <w:sz w:val="21"/>
        </w:rPr>
        <w:t> Group,</w:t>
      </w:r>
    </w:p>
    <w:p>
      <w:pPr>
        <w:pStyle w:val="ListParagraph"/>
        <w:numPr>
          <w:ilvl w:val="1"/>
          <w:numId w:val="29"/>
        </w:numPr>
        <w:tabs>
          <w:tab w:val="left" w:leader="none" w:pos="1277"/>
          <w:tab w:val="left" w:leader="none" w:pos="1281"/>
        </w:tabs>
        <w:spacing w:before="66" w:after="0" w:line="252" w:lineRule="auto"/>
        <w:ind w:left="1277" w:right="767" w:hanging="423"/>
        <w:jc w:val="left"/>
        <w:rPr>
          <w:color w:val="0A0A0A"/>
          <w:sz w:val="21"/>
        </w:rPr>
      </w:pPr>
      <w:r>
        <w:rPr>
          <w:color w:val="0A0A0A"/>
          <w:sz w:val="21"/>
        </w:rPr>
        <w:tab/>
      </w:r>
      <w:r>
        <w:rPr>
          <w:color w:val="0A0A0A"/>
          <w:w w:val="105"/>
          <w:sz w:val="21"/>
        </w:rPr>
        <w:t>The</w:t>
      </w:r>
      <w:r>
        <w:rPr>
          <w:color w:val="0A0A0A"/>
          <w:spacing w:val="-12"/>
          <w:w w:val="105"/>
          <w:sz w:val="21"/>
        </w:rPr>
        <w:t> </w:t>
      </w:r>
      <w:r>
        <w:rPr>
          <w:color w:val="0A0A0A"/>
          <w:w w:val="105"/>
          <w:sz w:val="21"/>
        </w:rPr>
        <w:t>annual</w:t>
      </w:r>
      <w:r>
        <w:rPr>
          <w:color w:val="0A0A0A"/>
          <w:spacing w:val="-9"/>
          <w:w w:val="105"/>
          <w:sz w:val="21"/>
        </w:rPr>
        <w:t> </w:t>
      </w:r>
      <w:r>
        <w:rPr>
          <w:color w:val="0A0A0A"/>
          <w:w w:val="105"/>
          <w:sz w:val="21"/>
        </w:rPr>
        <w:t>Service Assurance Statements prepared</w:t>
      </w:r>
      <w:r>
        <w:rPr>
          <w:color w:val="0A0A0A"/>
          <w:spacing w:val="-8"/>
          <w:w w:val="105"/>
          <w:sz w:val="21"/>
        </w:rPr>
        <w:t> </w:t>
      </w:r>
      <w:r>
        <w:rPr>
          <w:color w:val="0A0A0A"/>
          <w:w w:val="105"/>
          <w:sz w:val="21"/>
        </w:rPr>
        <w:t>by</w:t>
      </w:r>
      <w:r>
        <w:rPr>
          <w:color w:val="0A0A0A"/>
          <w:spacing w:val="-9"/>
          <w:w w:val="105"/>
          <w:sz w:val="21"/>
        </w:rPr>
        <w:t> </w:t>
      </w:r>
      <w:r>
        <w:rPr>
          <w:color w:val="1D1D1D"/>
          <w:w w:val="105"/>
          <w:sz w:val="21"/>
        </w:rPr>
        <w:t>the</w:t>
      </w:r>
      <w:r>
        <w:rPr>
          <w:color w:val="1D1D1D"/>
          <w:spacing w:val="-13"/>
          <w:w w:val="105"/>
          <w:sz w:val="21"/>
        </w:rPr>
        <w:t> </w:t>
      </w:r>
      <w:r>
        <w:rPr>
          <w:color w:val="0A0A0A"/>
          <w:w w:val="105"/>
          <w:sz w:val="21"/>
        </w:rPr>
        <w:t>Directors and</w:t>
      </w:r>
      <w:r>
        <w:rPr>
          <w:color w:val="0A0A0A"/>
          <w:spacing w:val="-16"/>
          <w:w w:val="105"/>
          <w:sz w:val="21"/>
        </w:rPr>
        <w:t> </w:t>
      </w:r>
      <w:r>
        <w:rPr>
          <w:color w:val="0A0A0A"/>
          <w:w w:val="105"/>
          <w:sz w:val="21"/>
        </w:rPr>
        <w:t>Heads</w:t>
      </w:r>
      <w:r>
        <w:rPr>
          <w:color w:val="0A0A0A"/>
          <w:spacing w:val="-1"/>
          <w:w w:val="105"/>
          <w:sz w:val="21"/>
        </w:rPr>
        <w:t> </w:t>
      </w:r>
      <w:r>
        <w:rPr>
          <w:color w:val="0A0A0A"/>
          <w:w w:val="105"/>
          <w:sz w:val="21"/>
        </w:rPr>
        <w:t>of</w:t>
      </w:r>
      <w:r>
        <w:rPr>
          <w:color w:val="0A0A0A"/>
          <w:spacing w:val="-6"/>
          <w:w w:val="105"/>
          <w:sz w:val="21"/>
        </w:rPr>
        <w:t> </w:t>
      </w:r>
      <w:r>
        <w:rPr>
          <w:color w:val="0A0A0A"/>
          <w:w w:val="105"/>
          <w:sz w:val="21"/>
        </w:rPr>
        <w:t>Service relating</w:t>
      </w:r>
      <w:r>
        <w:rPr>
          <w:color w:val="0A0A0A"/>
          <w:spacing w:val="-7"/>
          <w:w w:val="105"/>
          <w:sz w:val="21"/>
        </w:rPr>
        <w:t> </w:t>
      </w:r>
      <w:r>
        <w:rPr>
          <w:color w:val="0A0A0A"/>
          <w:w w:val="105"/>
          <w:sz w:val="21"/>
        </w:rPr>
        <w:t>to</w:t>
      </w:r>
      <w:r>
        <w:rPr>
          <w:color w:val="0A0A0A"/>
          <w:spacing w:val="-7"/>
          <w:w w:val="105"/>
          <w:sz w:val="21"/>
        </w:rPr>
        <w:t> </w:t>
      </w:r>
      <w:r>
        <w:rPr>
          <w:color w:val="0A0A0A"/>
          <w:w w:val="105"/>
          <w:sz w:val="21"/>
        </w:rPr>
        <w:t>internal</w:t>
      </w:r>
      <w:r>
        <w:rPr>
          <w:color w:val="0A0A0A"/>
          <w:spacing w:val="-2"/>
          <w:w w:val="105"/>
          <w:sz w:val="21"/>
        </w:rPr>
        <w:t> </w:t>
      </w:r>
      <w:r>
        <w:rPr>
          <w:color w:val="0A0A0A"/>
          <w:w w:val="105"/>
          <w:sz w:val="21"/>
        </w:rPr>
        <w:t>controls</w:t>
      </w:r>
      <w:r>
        <w:rPr>
          <w:color w:val="343434"/>
          <w:w w:val="105"/>
          <w:sz w:val="21"/>
        </w:rPr>
        <w:t>,</w:t>
      </w:r>
      <w:r>
        <w:rPr>
          <w:color w:val="343434"/>
          <w:spacing w:val="-15"/>
          <w:w w:val="105"/>
          <w:sz w:val="21"/>
        </w:rPr>
        <w:t> </w:t>
      </w:r>
      <w:r>
        <w:rPr>
          <w:color w:val="0A0A0A"/>
          <w:w w:val="105"/>
          <w:sz w:val="21"/>
        </w:rPr>
        <w:t>performance</w:t>
      </w:r>
      <w:r>
        <w:rPr>
          <w:color w:val="0A0A0A"/>
          <w:spacing w:val="11"/>
          <w:w w:val="105"/>
          <w:sz w:val="21"/>
        </w:rPr>
        <w:t> </w:t>
      </w:r>
      <w:r>
        <w:rPr>
          <w:color w:val="0A0A0A"/>
          <w:w w:val="105"/>
          <w:sz w:val="21"/>
        </w:rPr>
        <w:t>and</w:t>
      </w:r>
      <w:r>
        <w:rPr>
          <w:color w:val="0A0A0A"/>
          <w:spacing w:val="-15"/>
          <w:w w:val="105"/>
          <w:sz w:val="21"/>
        </w:rPr>
        <w:t> </w:t>
      </w:r>
      <w:r>
        <w:rPr>
          <w:color w:val="1D1D1D"/>
          <w:w w:val="105"/>
          <w:sz w:val="21"/>
        </w:rPr>
        <w:t>risk</w:t>
      </w:r>
      <w:r>
        <w:rPr>
          <w:color w:val="1D1D1D"/>
          <w:spacing w:val="-12"/>
          <w:w w:val="105"/>
          <w:sz w:val="21"/>
        </w:rPr>
        <w:t> </w:t>
      </w:r>
      <w:r>
        <w:rPr>
          <w:color w:val="0A0A0A"/>
          <w:w w:val="105"/>
          <w:sz w:val="21"/>
        </w:rPr>
        <w:t>management</w:t>
      </w:r>
      <w:r>
        <w:rPr>
          <w:color w:val="0A0A0A"/>
          <w:spacing w:val="3"/>
          <w:w w:val="105"/>
          <w:sz w:val="21"/>
        </w:rPr>
        <w:t> </w:t>
      </w:r>
      <w:r>
        <w:rPr>
          <w:color w:val="0A0A0A"/>
          <w:w w:val="105"/>
          <w:sz w:val="21"/>
        </w:rPr>
        <w:t>within</w:t>
      </w:r>
      <w:r>
        <w:rPr>
          <w:color w:val="0A0A0A"/>
          <w:spacing w:val="-11"/>
          <w:w w:val="105"/>
          <w:sz w:val="21"/>
        </w:rPr>
        <w:t> </w:t>
      </w:r>
      <w:r>
        <w:rPr>
          <w:color w:val="0A0A0A"/>
          <w:w w:val="105"/>
          <w:sz w:val="21"/>
        </w:rPr>
        <w:t>their</w:t>
      </w:r>
      <w:r>
        <w:rPr>
          <w:color w:val="0A0A0A"/>
          <w:spacing w:val="-4"/>
          <w:w w:val="105"/>
          <w:sz w:val="21"/>
        </w:rPr>
        <w:t> </w:t>
      </w:r>
      <w:r>
        <w:rPr>
          <w:color w:val="0A0A0A"/>
          <w:w w:val="105"/>
          <w:sz w:val="21"/>
        </w:rPr>
        <w:t>areas</w:t>
      </w:r>
      <w:r>
        <w:rPr>
          <w:color w:val="0A0A0A"/>
          <w:spacing w:val="-6"/>
          <w:w w:val="105"/>
          <w:sz w:val="21"/>
        </w:rPr>
        <w:t> </w:t>
      </w:r>
      <w:r>
        <w:rPr>
          <w:color w:val="0A0A0A"/>
          <w:w w:val="105"/>
          <w:sz w:val="21"/>
        </w:rPr>
        <w:t>of</w:t>
      </w:r>
      <w:r>
        <w:rPr>
          <w:color w:val="0A0A0A"/>
          <w:spacing w:val="-9"/>
          <w:w w:val="105"/>
          <w:sz w:val="21"/>
        </w:rPr>
        <w:t> </w:t>
      </w:r>
      <w:r>
        <w:rPr>
          <w:color w:val="0A0A0A"/>
          <w:spacing w:val="-2"/>
          <w:w w:val="105"/>
          <w:sz w:val="21"/>
        </w:rPr>
        <w:t>activity,</w:t>
      </w:r>
    </w:p>
    <w:p>
      <w:pPr>
        <w:pStyle w:val="ListParagraph"/>
        <w:numPr>
          <w:ilvl w:val="1"/>
          <w:numId w:val="29"/>
        </w:numPr>
        <w:tabs>
          <w:tab w:val="left" w:leader="none" w:pos="1281"/>
          <w:tab w:val="left" w:leader="none" w:pos="1283"/>
        </w:tabs>
        <w:spacing w:before="60" w:after="0" w:line="256" w:lineRule="auto"/>
        <w:ind w:left="1283" w:right="540" w:hanging="428"/>
        <w:jc w:val="left"/>
        <w:rPr>
          <w:color w:val="0A0A0A"/>
          <w:sz w:val="21"/>
        </w:rPr>
      </w:pPr>
      <w:r>
        <w:rPr>
          <w:color w:val="0A0A0A"/>
          <w:w w:val="105"/>
          <w:sz w:val="21"/>
        </w:rPr>
        <w:t>The</w:t>
      </w:r>
      <w:r>
        <w:rPr>
          <w:color w:val="0A0A0A"/>
          <w:spacing w:val="-12"/>
          <w:w w:val="105"/>
          <w:sz w:val="21"/>
        </w:rPr>
        <w:t> </w:t>
      </w:r>
      <w:r>
        <w:rPr>
          <w:color w:val="0A0A0A"/>
          <w:w w:val="105"/>
          <w:sz w:val="21"/>
        </w:rPr>
        <w:t>Head</w:t>
      </w:r>
      <w:r>
        <w:rPr>
          <w:color w:val="0A0A0A"/>
          <w:spacing w:val="-2"/>
          <w:w w:val="105"/>
          <w:sz w:val="21"/>
        </w:rPr>
        <w:t> </w:t>
      </w:r>
      <w:r>
        <w:rPr>
          <w:color w:val="0A0A0A"/>
          <w:w w:val="105"/>
          <w:sz w:val="21"/>
        </w:rPr>
        <w:t>of</w:t>
      </w:r>
      <w:r>
        <w:rPr>
          <w:color w:val="0A0A0A"/>
          <w:spacing w:val="-10"/>
          <w:w w:val="105"/>
          <w:sz w:val="21"/>
        </w:rPr>
        <w:t> </w:t>
      </w:r>
      <w:r>
        <w:rPr>
          <w:color w:val="0A0A0A"/>
          <w:w w:val="105"/>
          <w:sz w:val="21"/>
        </w:rPr>
        <w:t>SIAS's</w:t>
      </w:r>
      <w:r>
        <w:rPr>
          <w:color w:val="0A0A0A"/>
          <w:spacing w:val="-3"/>
          <w:w w:val="105"/>
          <w:sz w:val="21"/>
        </w:rPr>
        <w:t> </w:t>
      </w:r>
      <w:r>
        <w:rPr>
          <w:color w:val="0A0A0A"/>
          <w:w w:val="105"/>
          <w:sz w:val="21"/>
        </w:rPr>
        <w:t>Annual</w:t>
      </w:r>
      <w:r>
        <w:rPr>
          <w:color w:val="0A0A0A"/>
          <w:spacing w:val="-4"/>
          <w:w w:val="105"/>
          <w:sz w:val="21"/>
        </w:rPr>
        <w:t> </w:t>
      </w:r>
      <w:r>
        <w:rPr>
          <w:color w:val="0A0A0A"/>
          <w:w w:val="105"/>
          <w:sz w:val="21"/>
        </w:rPr>
        <w:t>Assurance Statement and</w:t>
      </w:r>
      <w:r>
        <w:rPr>
          <w:color w:val="0A0A0A"/>
          <w:spacing w:val="-16"/>
          <w:w w:val="105"/>
          <w:sz w:val="21"/>
        </w:rPr>
        <w:t> </w:t>
      </w:r>
      <w:r>
        <w:rPr>
          <w:color w:val="0A0A0A"/>
          <w:w w:val="105"/>
          <w:sz w:val="21"/>
        </w:rPr>
        <w:t>Annual</w:t>
      </w:r>
      <w:r>
        <w:rPr>
          <w:color w:val="0A0A0A"/>
          <w:spacing w:val="-4"/>
          <w:w w:val="105"/>
          <w:sz w:val="21"/>
        </w:rPr>
        <w:t> </w:t>
      </w:r>
      <w:r>
        <w:rPr>
          <w:color w:val="0A0A0A"/>
          <w:w w:val="105"/>
          <w:sz w:val="21"/>
        </w:rPr>
        <w:t>Report as</w:t>
      </w:r>
      <w:r>
        <w:rPr>
          <w:color w:val="0A0A0A"/>
          <w:spacing w:val="-8"/>
          <w:w w:val="105"/>
          <w:sz w:val="21"/>
        </w:rPr>
        <w:t> </w:t>
      </w:r>
      <w:r>
        <w:rPr>
          <w:color w:val="0A0A0A"/>
          <w:w w:val="105"/>
          <w:sz w:val="21"/>
        </w:rPr>
        <w:t>well</w:t>
      </w:r>
      <w:r>
        <w:rPr>
          <w:color w:val="0A0A0A"/>
          <w:spacing w:val="-3"/>
          <w:w w:val="105"/>
          <w:sz w:val="21"/>
        </w:rPr>
        <w:t> </w:t>
      </w:r>
      <w:r>
        <w:rPr>
          <w:color w:val="0A0A0A"/>
          <w:w w:val="105"/>
          <w:sz w:val="21"/>
        </w:rPr>
        <w:t>as</w:t>
      </w:r>
      <w:r>
        <w:rPr>
          <w:color w:val="0A0A0A"/>
          <w:spacing w:val="-10"/>
          <w:w w:val="105"/>
          <w:sz w:val="21"/>
        </w:rPr>
        <w:t> </w:t>
      </w:r>
      <w:r>
        <w:rPr>
          <w:color w:val="0A0A0A"/>
          <w:w w:val="105"/>
          <w:sz w:val="21"/>
        </w:rPr>
        <w:t>the</w:t>
      </w:r>
      <w:r>
        <w:rPr>
          <w:color w:val="0A0A0A"/>
          <w:spacing w:val="-10"/>
          <w:w w:val="105"/>
          <w:sz w:val="21"/>
        </w:rPr>
        <w:t> </w:t>
      </w:r>
      <w:r>
        <w:rPr>
          <w:color w:val="0A0A0A"/>
          <w:w w:val="105"/>
          <w:sz w:val="21"/>
        </w:rPr>
        <w:t>individual audit reports, and</w:t>
      </w:r>
    </w:p>
    <w:p>
      <w:pPr>
        <w:pStyle w:val="ListParagraph"/>
        <w:numPr>
          <w:ilvl w:val="1"/>
          <w:numId w:val="29"/>
        </w:numPr>
        <w:tabs>
          <w:tab w:val="left" w:leader="none" w:pos="1276"/>
          <w:tab w:val="left" w:leader="none" w:pos="1278"/>
        </w:tabs>
        <w:spacing w:before="50" w:after="0" w:line="252" w:lineRule="auto"/>
        <w:ind w:left="1276" w:right="1428" w:hanging="422"/>
        <w:jc w:val="left"/>
        <w:rPr>
          <w:color w:val="0A0A0A"/>
          <w:sz w:val="21"/>
        </w:rPr>
      </w:pPr>
      <w:r>
        <w:rPr>
          <w:color w:val="0A0A0A"/>
          <w:sz w:val="21"/>
        </w:rPr>
        <w:tab/>
      </w:r>
      <w:r>
        <w:rPr>
          <w:color w:val="0A0A0A"/>
          <w:w w:val="105"/>
          <w:sz w:val="21"/>
        </w:rPr>
        <w:t>Reports made</w:t>
      </w:r>
      <w:r>
        <w:rPr>
          <w:color w:val="0A0A0A"/>
          <w:spacing w:val="-11"/>
          <w:w w:val="105"/>
          <w:sz w:val="21"/>
        </w:rPr>
        <w:t> </w:t>
      </w:r>
      <w:r>
        <w:rPr>
          <w:color w:val="0A0A0A"/>
          <w:w w:val="105"/>
          <w:sz w:val="21"/>
        </w:rPr>
        <w:t>by</w:t>
      </w:r>
      <w:r>
        <w:rPr>
          <w:color w:val="0A0A0A"/>
          <w:spacing w:val="-8"/>
          <w:w w:val="105"/>
          <w:sz w:val="21"/>
        </w:rPr>
        <w:t> </w:t>
      </w:r>
      <w:r>
        <w:rPr>
          <w:color w:val="0A0A0A"/>
          <w:w w:val="105"/>
          <w:sz w:val="21"/>
        </w:rPr>
        <w:t>the</w:t>
      </w:r>
      <w:r>
        <w:rPr>
          <w:color w:val="0A0A0A"/>
          <w:spacing w:val="-6"/>
          <w:w w:val="105"/>
          <w:sz w:val="21"/>
        </w:rPr>
        <w:t> </w:t>
      </w:r>
      <w:r>
        <w:rPr>
          <w:color w:val="0A0A0A"/>
          <w:w w:val="105"/>
          <w:sz w:val="21"/>
        </w:rPr>
        <w:t>Council's</w:t>
      </w:r>
      <w:r>
        <w:rPr>
          <w:color w:val="0A0A0A"/>
          <w:spacing w:val="-1"/>
          <w:w w:val="105"/>
          <w:sz w:val="21"/>
        </w:rPr>
        <w:t> </w:t>
      </w:r>
      <w:r>
        <w:rPr>
          <w:color w:val="0A0A0A"/>
          <w:w w:val="105"/>
          <w:sz w:val="21"/>
        </w:rPr>
        <w:t>External</w:t>
      </w:r>
      <w:r>
        <w:rPr>
          <w:color w:val="0A0A0A"/>
          <w:spacing w:val="-6"/>
          <w:w w:val="105"/>
          <w:sz w:val="21"/>
        </w:rPr>
        <w:t> </w:t>
      </w:r>
      <w:r>
        <w:rPr>
          <w:color w:val="0A0A0A"/>
          <w:w w:val="105"/>
          <w:sz w:val="21"/>
        </w:rPr>
        <w:t>Auditors and</w:t>
      </w:r>
      <w:r>
        <w:rPr>
          <w:color w:val="0A0A0A"/>
          <w:spacing w:val="-6"/>
          <w:w w:val="105"/>
          <w:sz w:val="21"/>
        </w:rPr>
        <w:t> </w:t>
      </w:r>
      <w:r>
        <w:rPr>
          <w:color w:val="0A0A0A"/>
          <w:w w:val="105"/>
          <w:sz w:val="21"/>
        </w:rPr>
        <w:t>any</w:t>
      </w:r>
      <w:r>
        <w:rPr>
          <w:color w:val="0A0A0A"/>
          <w:spacing w:val="-2"/>
          <w:w w:val="105"/>
          <w:sz w:val="21"/>
        </w:rPr>
        <w:t> </w:t>
      </w:r>
      <w:r>
        <w:rPr>
          <w:color w:val="0A0A0A"/>
          <w:w w:val="105"/>
          <w:sz w:val="21"/>
        </w:rPr>
        <w:t>other</w:t>
      </w:r>
      <w:r>
        <w:rPr>
          <w:color w:val="0A0A0A"/>
          <w:spacing w:val="-7"/>
          <w:w w:val="105"/>
          <w:sz w:val="21"/>
        </w:rPr>
        <w:t> </w:t>
      </w:r>
      <w:r>
        <w:rPr>
          <w:color w:val="0A0A0A"/>
          <w:w w:val="105"/>
          <w:sz w:val="21"/>
        </w:rPr>
        <w:t>review agencies and </w:t>
      </w:r>
      <w:r>
        <w:rPr>
          <w:color w:val="0A0A0A"/>
          <w:spacing w:val="-2"/>
          <w:w w:val="105"/>
          <w:sz w:val="21"/>
        </w:rPr>
        <w:t>inspectorates</w:t>
      </w:r>
      <w:r>
        <w:rPr>
          <w:color w:val="343434"/>
          <w:spacing w:val="-2"/>
          <w:w w:val="105"/>
          <w:sz w:val="21"/>
        </w:rPr>
        <w:t>.</w:t>
      </w:r>
    </w:p>
    <w:p>
      <w:pPr>
        <w:pStyle w:val="BodyText"/>
        <w:spacing w:before="11"/>
        <w:rPr>
          <w:sz w:val="21"/>
        </w:rPr>
      </w:pPr>
    </w:p>
    <w:p>
      <w:pPr>
        <w:spacing w:before="0"/>
        <w:ind w:left="866" w:right="0" w:firstLine="0"/>
        <w:jc w:val="left"/>
        <w:rPr>
          <w:b/>
          <w:sz w:val="21"/>
        </w:rPr>
      </w:pPr>
      <w:r>
        <w:rPr>
          <w:b/>
          <w:color w:val="0A0A0A"/>
          <w:w w:val="105"/>
          <w:sz w:val="21"/>
        </w:rPr>
        <w:t>Reviewing</w:t>
      </w:r>
      <w:r>
        <w:rPr>
          <w:b/>
          <w:color w:val="0A0A0A"/>
          <w:spacing w:val="-3"/>
          <w:w w:val="105"/>
          <w:sz w:val="21"/>
        </w:rPr>
        <w:t> </w:t>
      </w:r>
      <w:r>
        <w:rPr>
          <w:b/>
          <w:color w:val="0A0A0A"/>
          <w:w w:val="105"/>
          <w:sz w:val="21"/>
        </w:rPr>
        <w:t>the</w:t>
      </w:r>
      <w:r>
        <w:rPr>
          <w:b/>
          <w:color w:val="0A0A0A"/>
          <w:spacing w:val="-15"/>
          <w:w w:val="105"/>
          <w:sz w:val="21"/>
        </w:rPr>
        <w:t> </w:t>
      </w:r>
      <w:r>
        <w:rPr>
          <w:b/>
          <w:color w:val="0A0A0A"/>
          <w:w w:val="105"/>
          <w:sz w:val="21"/>
        </w:rPr>
        <w:t>effectiveness</w:t>
      </w:r>
      <w:r>
        <w:rPr>
          <w:b/>
          <w:color w:val="0A0A0A"/>
          <w:spacing w:val="3"/>
          <w:w w:val="105"/>
          <w:sz w:val="21"/>
        </w:rPr>
        <w:t> </w:t>
      </w:r>
      <w:r>
        <w:rPr>
          <w:b/>
          <w:color w:val="0A0A0A"/>
          <w:w w:val="105"/>
          <w:sz w:val="21"/>
        </w:rPr>
        <w:t>of</w:t>
      </w:r>
      <w:r>
        <w:rPr>
          <w:b/>
          <w:color w:val="0A0A0A"/>
          <w:spacing w:val="-16"/>
          <w:w w:val="105"/>
          <w:sz w:val="21"/>
        </w:rPr>
        <w:t> </w:t>
      </w:r>
      <w:r>
        <w:rPr>
          <w:b/>
          <w:color w:val="0A0A0A"/>
          <w:w w:val="105"/>
          <w:sz w:val="21"/>
        </w:rPr>
        <w:t>the</w:t>
      </w:r>
      <w:r>
        <w:rPr>
          <w:b/>
          <w:color w:val="0A0A0A"/>
          <w:spacing w:val="-15"/>
          <w:w w:val="105"/>
          <w:sz w:val="21"/>
        </w:rPr>
        <w:t> </w:t>
      </w:r>
      <w:r>
        <w:rPr>
          <w:b/>
          <w:color w:val="0A0A0A"/>
          <w:w w:val="105"/>
          <w:sz w:val="21"/>
        </w:rPr>
        <w:t>authority's</w:t>
      </w:r>
      <w:r>
        <w:rPr>
          <w:b/>
          <w:color w:val="0A0A0A"/>
          <w:spacing w:val="-2"/>
          <w:w w:val="105"/>
          <w:sz w:val="21"/>
        </w:rPr>
        <w:t> </w:t>
      </w:r>
      <w:r>
        <w:rPr>
          <w:b/>
          <w:color w:val="0A0A0A"/>
          <w:w w:val="105"/>
          <w:sz w:val="21"/>
        </w:rPr>
        <w:t>decision-making</w:t>
      </w:r>
      <w:r>
        <w:rPr>
          <w:b/>
          <w:color w:val="0A0A0A"/>
          <w:spacing w:val="-15"/>
          <w:w w:val="105"/>
          <w:sz w:val="21"/>
        </w:rPr>
        <w:t> </w:t>
      </w:r>
      <w:r>
        <w:rPr>
          <w:b/>
          <w:color w:val="0A0A0A"/>
          <w:spacing w:val="-2"/>
          <w:w w:val="105"/>
          <w:sz w:val="21"/>
        </w:rPr>
        <w:t>framework</w:t>
      </w:r>
    </w:p>
    <w:p>
      <w:pPr>
        <w:pStyle w:val="BodyText"/>
        <w:spacing w:before="21"/>
        <w:rPr>
          <w:b/>
          <w:sz w:val="21"/>
        </w:rPr>
      </w:pPr>
    </w:p>
    <w:p>
      <w:pPr>
        <w:spacing w:before="1"/>
        <w:ind w:left="858" w:right="0" w:firstLine="0"/>
        <w:jc w:val="left"/>
        <w:rPr>
          <w:sz w:val="21"/>
        </w:rPr>
      </w:pPr>
      <w:r>
        <w:rPr>
          <w:color w:val="0A0A0A"/>
          <w:w w:val="105"/>
          <w:sz w:val="21"/>
          <w:u w:val="thick" w:color="0A0A0A"/>
        </w:rPr>
        <w:t>The</w:t>
      </w:r>
      <w:r>
        <w:rPr>
          <w:color w:val="0A0A0A"/>
          <w:spacing w:val="-8"/>
          <w:w w:val="105"/>
          <w:sz w:val="21"/>
          <w:u w:val="thick" w:color="0A0A0A"/>
        </w:rPr>
        <w:t> </w:t>
      </w:r>
      <w:r>
        <w:rPr>
          <w:color w:val="0A0A0A"/>
          <w:spacing w:val="-2"/>
          <w:w w:val="105"/>
          <w:sz w:val="21"/>
          <w:u w:val="thick" w:color="0A0A0A"/>
        </w:rPr>
        <w:t>Council</w:t>
      </w:r>
    </w:p>
    <w:p>
      <w:pPr>
        <w:pStyle w:val="BodyText"/>
        <w:spacing w:before="26"/>
        <w:rPr>
          <w:sz w:val="21"/>
        </w:rPr>
      </w:pPr>
    </w:p>
    <w:p>
      <w:pPr>
        <w:pStyle w:val="ListParagraph"/>
        <w:numPr>
          <w:ilvl w:val="0"/>
          <w:numId w:val="29"/>
        </w:numPr>
        <w:tabs>
          <w:tab w:val="left" w:leader="none" w:pos="853"/>
        </w:tabs>
        <w:spacing w:before="0" w:after="0" w:line="252" w:lineRule="auto"/>
        <w:ind w:left="853" w:right="280" w:hanging="702"/>
        <w:jc w:val="left"/>
        <w:rPr>
          <w:color w:val="0A0A0A"/>
          <w:sz w:val="21"/>
        </w:rPr>
      </w:pPr>
      <w:r>
        <w:rPr>
          <w:color w:val="0A0A0A"/>
          <w:w w:val="105"/>
          <w:sz w:val="21"/>
        </w:rPr>
        <w:t>The</w:t>
      </w:r>
      <w:r>
        <w:rPr>
          <w:color w:val="0A0A0A"/>
          <w:spacing w:val="-13"/>
          <w:w w:val="105"/>
          <w:sz w:val="21"/>
        </w:rPr>
        <w:t> </w:t>
      </w:r>
      <w:r>
        <w:rPr>
          <w:color w:val="0A0A0A"/>
          <w:w w:val="105"/>
          <w:sz w:val="21"/>
        </w:rPr>
        <w:t>full</w:t>
      </w:r>
      <w:r>
        <w:rPr>
          <w:color w:val="0A0A0A"/>
          <w:spacing w:val="-7"/>
          <w:w w:val="105"/>
          <w:sz w:val="21"/>
        </w:rPr>
        <w:t> </w:t>
      </w:r>
      <w:r>
        <w:rPr>
          <w:color w:val="0A0A0A"/>
          <w:w w:val="105"/>
          <w:sz w:val="21"/>
        </w:rPr>
        <w:t>Council comprises 39</w:t>
      </w:r>
      <w:r>
        <w:rPr>
          <w:color w:val="0A0A0A"/>
          <w:spacing w:val="-11"/>
          <w:w w:val="105"/>
          <w:sz w:val="21"/>
        </w:rPr>
        <w:t> </w:t>
      </w:r>
      <w:r>
        <w:rPr>
          <w:color w:val="0A0A0A"/>
          <w:w w:val="105"/>
          <w:sz w:val="21"/>
        </w:rPr>
        <w:t>Members, who as</w:t>
      </w:r>
      <w:r>
        <w:rPr>
          <w:color w:val="0A0A0A"/>
          <w:spacing w:val="-2"/>
          <w:w w:val="105"/>
          <w:sz w:val="21"/>
        </w:rPr>
        <w:t> </w:t>
      </w:r>
      <w:r>
        <w:rPr>
          <w:color w:val="0A0A0A"/>
          <w:w w:val="105"/>
          <w:sz w:val="21"/>
        </w:rPr>
        <w:t>a</w:t>
      </w:r>
      <w:r>
        <w:rPr>
          <w:color w:val="0A0A0A"/>
          <w:spacing w:val="-5"/>
          <w:w w:val="105"/>
          <w:sz w:val="21"/>
        </w:rPr>
        <w:t> </w:t>
      </w:r>
      <w:r>
        <w:rPr>
          <w:color w:val="0A0A0A"/>
          <w:w w:val="105"/>
          <w:sz w:val="21"/>
        </w:rPr>
        <w:t>collective, approve the</w:t>
      </w:r>
      <w:r>
        <w:rPr>
          <w:color w:val="0A0A0A"/>
          <w:spacing w:val="-10"/>
          <w:w w:val="105"/>
          <w:sz w:val="21"/>
        </w:rPr>
        <w:t> </w:t>
      </w:r>
      <w:r>
        <w:rPr>
          <w:color w:val="0A0A0A"/>
          <w:w w:val="105"/>
          <w:sz w:val="21"/>
        </w:rPr>
        <w:t>Council's annual</w:t>
      </w:r>
      <w:r>
        <w:rPr>
          <w:color w:val="0A0A0A"/>
          <w:spacing w:val="-8"/>
          <w:w w:val="105"/>
          <w:sz w:val="21"/>
        </w:rPr>
        <w:t> </w:t>
      </w:r>
      <w:r>
        <w:rPr>
          <w:color w:val="0A0A0A"/>
          <w:w w:val="105"/>
          <w:sz w:val="21"/>
        </w:rPr>
        <w:t>Revenue and</w:t>
      </w:r>
      <w:r>
        <w:rPr>
          <w:color w:val="0A0A0A"/>
          <w:spacing w:val="-12"/>
          <w:w w:val="105"/>
          <w:sz w:val="21"/>
        </w:rPr>
        <w:t> </w:t>
      </w:r>
      <w:r>
        <w:rPr>
          <w:color w:val="0A0A0A"/>
          <w:w w:val="105"/>
          <w:sz w:val="21"/>
        </w:rPr>
        <w:t>Capital</w:t>
      </w:r>
      <w:r>
        <w:rPr>
          <w:color w:val="0A0A0A"/>
          <w:spacing w:val="-8"/>
          <w:w w:val="105"/>
          <w:sz w:val="21"/>
        </w:rPr>
        <w:t> </w:t>
      </w:r>
      <w:r>
        <w:rPr>
          <w:color w:val="0A0A0A"/>
          <w:w w:val="105"/>
          <w:sz w:val="21"/>
        </w:rPr>
        <w:t>Budgets, set</w:t>
      </w:r>
      <w:r>
        <w:rPr>
          <w:color w:val="0A0A0A"/>
          <w:spacing w:val="-8"/>
          <w:w w:val="105"/>
          <w:sz w:val="21"/>
        </w:rPr>
        <w:t> </w:t>
      </w:r>
      <w:r>
        <w:rPr>
          <w:color w:val="0A0A0A"/>
          <w:w w:val="105"/>
          <w:sz w:val="21"/>
        </w:rPr>
        <w:t>the</w:t>
      </w:r>
      <w:r>
        <w:rPr>
          <w:color w:val="0A0A0A"/>
          <w:spacing w:val="-13"/>
          <w:w w:val="105"/>
          <w:sz w:val="21"/>
        </w:rPr>
        <w:t> </w:t>
      </w:r>
      <w:r>
        <w:rPr>
          <w:color w:val="0A0A0A"/>
          <w:w w:val="105"/>
          <w:sz w:val="21"/>
        </w:rPr>
        <w:t>Council</w:t>
      </w:r>
      <w:r>
        <w:rPr>
          <w:color w:val="0A0A0A"/>
          <w:spacing w:val="-6"/>
          <w:w w:val="105"/>
          <w:sz w:val="21"/>
        </w:rPr>
        <w:t> </w:t>
      </w:r>
      <w:r>
        <w:rPr>
          <w:color w:val="0A0A0A"/>
          <w:w w:val="105"/>
          <w:sz w:val="21"/>
        </w:rPr>
        <w:t>Tax, approve</w:t>
      </w:r>
      <w:r>
        <w:rPr>
          <w:color w:val="0A0A0A"/>
          <w:spacing w:val="-1"/>
          <w:w w:val="105"/>
          <w:sz w:val="21"/>
        </w:rPr>
        <w:t> </w:t>
      </w:r>
      <w:r>
        <w:rPr>
          <w:color w:val="0A0A0A"/>
          <w:w w:val="105"/>
          <w:sz w:val="21"/>
        </w:rPr>
        <w:t>the</w:t>
      </w:r>
      <w:r>
        <w:rPr>
          <w:color w:val="0A0A0A"/>
          <w:spacing w:val="-8"/>
          <w:w w:val="105"/>
          <w:sz w:val="21"/>
        </w:rPr>
        <w:t> </w:t>
      </w:r>
      <w:r>
        <w:rPr>
          <w:color w:val="0A0A0A"/>
          <w:w w:val="105"/>
          <w:sz w:val="21"/>
        </w:rPr>
        <w:t>Policy</w:t>
      </w:r>
      <w:r>
        <w:rPr>
          <w:color w:val="0A0A0A"/>
          <w:spacing w:val="-1"/>
          <w:w w:val="105"/>
          <w:sz w:val="21"/>
        </w:rPr>
        <w:t> </w:t>
      </w:r>
      <w:r>
        <w:rPr>
          <w:color w:val="0A0A0A"/>
          <w:w w:val="105"/>
          <w:sz w:val="21"/>
        </w:rPr>
        <w:t>Framework and</w:t>
      </w:r>
      <w:r>
        <w:rPr>
          <w:color w:val="0A0A0A"/>
          <w:spacing w:val="-11"/>
          <w:w w:val="105"/>
          <w:sz w:val="21"/>
        </w:rPr>
        <w:t> </w:t>
      </w:r>
      <w:r>
        <w:rPr>
          <w:color w:val="1D1D1D"/>
          <w:w w:val="105"/>
          <w:sz w:val="21"/>
        </w:rPr>
        <w:t>take</w:t>
      </w:r>
      <w:r>
        <w:rPr>
          <w:color w:val="1D1D1D"/>
          <w:spacing w:val="-8"/>
          <w:w w:val="105"/>
          <w:sz w:val="21"/>
        </w:rPr>
        <w:t> </w:t>
      </w:r>
      <w:r>
        <w:rPr>
          <w:color w:val="0A0A0A"/>
          <w:w w:val="105"/>
          <w:sz w:val="21"/>
        </w:rPr>
        <w:t>decisions </w:t>
      </w:r>
      <w:r>
        <w:rPr>
          <w:color w:val="1D1D1D"/>
          <w:w w:val="105"/>
          <w:sz w:val="21"/>
        </w:rPr>
        <w:t>that </w:t>
      </w:r>
      <w:r>
        <w:rPr>
          <w:color w:val="0A0A0A"/>
          <w:w w:val="105"/>
          <w:sz w:val="21"/>
        </w:rPr>
        <w:t>are </w:t>
      </w:r>
      <w:r>
        <w:rPr>
          <w:color w:val="1D1D1D"/>
          <w:w w:val="105"/>
          <w:sz w:val="21"/>
        </w:rPr>
        <w:t>contrary </w:t>
      </w:r>
      <w:r>
        <w:rPr>
          <w:color w:val="0A0A0A"/>
          <w:w w:val="105"/>
          <w:sz w:val="21"/>
        </w:rPr>
        <w:t>to, or</w:t>
      </w:r>
      <w:r>
        <w:rPr>
          <w:color w:val="0A0A0A"/>
          <w:spacing w:val="-4"/>
          <w:w w:val="105"/>
          <w:sz w:val="21"/>
        </w:rPr>
        <w:t> </w:t>
      </w:r>
      <w:r>
        <w:rPr>
          <w:color w:val="0A0A0A"/>
          <w:w w:val="105"/>
          <w:sz w:val="21"/>
        </w:rPr>
        <w:t>not</w:t>
      </w:r>
      <w:r>
        <w:rPr>
          <w:color w:val="0A0A0A"/>
          <w:spacing w:val="-1"/>
          <w:w w:val="105"/>
          <w:sz w:val="21"/>
        </w:rPr>
        <w:t> </w:t>
      </w:r>
      <w:r>
        <w:rPr>
          <w:color w:val="0A0A0A"/>
          <w:w w:val="105"/>
          <w:sz w:val="21"/>
        </w:rPr>
        <w:t>in</w:t>
      </w:r>
      <w:r>
        <w:rPr>
          <w:color w:val="0A0A0A"/>
          <w:spacing w:val="-3"/>
          <w:w w:val="105"/>
          <w:sz w:val="21"/>
        </w:rPr>
        <w:t> </w:t>
      </w:r>
      <w:r>
        <w:rPr>
          <w:color w:val="0A0A0A"/>
          <w:w w:val="105"/>
          <w:sz w:val="21"/>
        </w:rPr>
        <w:t>accordance </w:t>
      </w:r>
      <w:r>
        <w:rPr>
          <w:color w:val="1D1D1D"/>
          <w:w w:val="105"/>
          <w:sz w:val="21"/>
        </w:rPr>
        <w:t>with</w:t>
      </w:r>
      <w:r>
        <w:rPr>
          <w:color w:val="545454"/>
          <w:w w:val="105"/>
          <w:sz w:val="21"/>
        </w:rPr>
        <w:t>,</w:t>
      </w:r>
      <w:r>
        <w:rPr>
          <w:color w:val="545454"/>
          <w:spacing w:val="-16"/>
          <w:w w:val="105"/>
          <w:sz w:val="21"/>
        </w:rPr>
        <w:t> </w:t>
      </w:r>
      <w:r>
        <w:rPr>
          <w:color w:val="1D1D1D"/>
          <w:w w:val="105"/>
          <w:sz w:val="21"/>
        </w:rPr>
        <w:t>the </w:t>
      </w:r>
      <w:r>
        <w:rPr>
          <w:color w:val="0A0A0A"/>
          <w:w w:val="105"/>
          <w:sz w:val="21"/>
        </w:rPr>
        <w:t>Budget </w:t>
      </w:r>
      <w:r>
        <w:rPr>
          <w:color w:val="1D1D1D"/>
          <w:w w:val="105"/>
          <w:sz w:val="21"/>
        </w:rPr>
        <w:t>or</w:t>
      </w:r>
      <w:r>
        <w:rPr>
          <w:color w:val="1D1D1D"/>
          <w:spacing w:val="-8"/>
          <w:w w:val="105"/>
          <w:sz w:val="21"/>
        </w:rPr>
        <w:t> </w:t>
      </w:r>
      <w:r>
        <w:rPr>
          <w:color w:val="1D1D1D"/>
          <w:w w:val="105"/>
          <w:sz w:val="21"/>
        </w:rPr>
        <w:t>the</w:t>
      </w:r>
      <w:r>
        <w:rPr>
          <w:color w:val="1D1D1D"/>
          <w:spacing w:val="-6"/>
          <w:w w:val="105"/>
          <w:sz w:val="21"/>
        </w:rPr>
        <w:t> </w:t>
      </w:r>
      <w:r>
        <w:rPr>
          <w:color w:val="1D1D1D"/>
          <w:w w:val="105"/>
          <w:sz w:val="21"/>
        </w:rPr>
        <w:t>Policy Framework</w:t>
      </w:r>
      <w:r>
        <w:rPr>
          <w:color w:val="545454"/>
          <w:w w:val="105"/>
          <w:sz w:val="21"/>
        </w:rPr>
        <w:t>.</w:t>
      </w:r>
      <w:r>
        <w:rPr>
          <w:color w:val="545454"/>
          <w:spacing w:val="-16"/>
          <w:w w:val="105"/>
          <w:sz w:val="21"/>
        </w:rPr>
        <w:t> </w:t>
      </w:r>
      <w:r>
        <w:rPr>
          <w:color w:val="1D1D1D"/>
          <w:w w:val="105"/>
          <w:sz w:val="21"/>
        </w:rPr>
        <w:t>Full</w:t>
      </w:r>
      <w:r>
        <w:rPr>
          <w:color w:val="1D1D1D"/>
          <w:spacing w:val="-7"/>
          <w:w w:val="105"/>
          <w:sz w:val="21"/>
        </w:rPr>
        <w:t> </w:t>
      </w:r>
      <w:r>
        <w:rPr>
          <w:color w:val="1D1D1D"/>
          <w:w w:val="105"/>
          <w:sz w:val="21"/>
        </w:rPr>
        <w:t>Council also</w:t>
      </w:r>
      <w:r>
        <w:rPr>
          <w:color w:val="1D1D1D"/>
          <w:spacing w:val="-4"/>
          <w:w w:val="105"/>
          <w:sz w:val="21"/>
        </w:rPr>
        <w:t> </w:t>
      </w:r>
      <w:r>
        <w:rPr>
          <w:color w:val="1D1D1D"/>
          <w:w w:val="105"/>
          <w:sz w:val="21"/>
        </w:rPr>
        <w:t>takes </w:t>
      </w:r>
      <w:r>
        <w:rPr>
          <w:color w:val="0A0A0A"/>
          <w:w w:val="105"/>
          <w:sz w:val="21"/>
        </w:rPr>
        <w:t>a </w:t>
      </w:r>
      <w:r>
        <w:rPr>
          <w:color w:val="1D1D1D"/>
          <w:w w:val="105"/>
          <w:sz w:val="21"/>
        </w:rPr>
        <w:t>range </w:t>
      </w:r>
      <w:r>
        <w:rPr>
          <w:color w:val="0A0A0A"/>
          <w:w w:val="105"/>
          <w:sz w:val="21"/>
        </w:rPr>
        <w:t>of decisions that </w:t>
      </w:r>
      <w:r>
        <w:rPr>
          <w:color w:val="1D1D1D"/>
          <w:w w:val="105"/>
          <w:sz w:val="21"/>
        </w:rPr>
        <w:t>are reserved to</w:t>
      </w:r>
      <w:r>
        <w:rPr>
          <w:color w:val="1D1D1D"/>
          <w:spacing w:val="-2"/>
          <w:w w:val="105"/>
          <w:sz w:val="21"/>
        </w:rPr>
        <w:t> </w:t>
      </w:r>
      <w:r>
        <w:rPr>
          <w:color w:val="1D1D1D"/>
          <w:w w:val="105"/>
          <w:sz w:val="21"/>
        </w:rPr>
        <w:t>it</w:t>
      </w:r>
      <w:r>
        <w:rPr>
          <w:color w:val="1D1D1D"/>
          <w:spacing w:val="-1"/>
          <w:w w:val="105"/>
          <w:sz w:val="21"/>
        </w:rPr>
        <w:t> </w:t>
      </w:r>
      <w:r>
        <w:rPr>
          <w:color w:val="0A0A0A"/>
          <w:w w:val="105"/>
          <w:sz w:val="21"/>
        </w:rPr>
        <w:t>such as </w:t>
      </w:r>
      <w:r>
        <w:rPr>
          <w:color w:val="1D1D1D"/>
          <w:w w:val="105"/>
          <w:sz w:val="21"/>
        </w:rPr>
        <w:t>approving the</w:t>
      </w:r>
      <w:r>
        <w:rPr>
          <w:color w:val="1D1D1D"/>
          <w:spacing w:val="-3"/>
          <w:w w:val="105"/>
          <w:sz w:val="21"/>
        </w:rPr>
        <w:t> </w:t>
      </w:r>
      <w:r>
        <w:rPr>
          <w:color w:val="1D1D1D"/>
          <w:w w:val="105"/>
          <w:sz w:val="21"/>
        </w:rPr>
        <w:t>Council's Constitution, electing </w:t>
      </w:r>
      <w:r>
        <w:rPr>
          <w:color w:val="0A0A0A"/>
          <w:w w:val="105"/>
          <w:sz w:val="21"/>
        </w:rPr>
        <w:t>or removing an</w:t>
      </w:r>
      <w:r>
        <w:rPr>
          <w:color w:val="0A0A0A"/>
          <w:spacing w:val="-2"/>
          <w:w w:val="105"/>
          <w:sz w:val="21"/>
        </w:rPr>
        <w:t> </w:t>
      </w:r>
      <w:r>
        <w:rPr>
          <w:color w:val="0A0A0A"/>
          <w:w w:val="105"/>
          <w:sz w:val="21"/>
        </w:rPr>
        <w:t>Executive Leader (in</w:t>
      </w:r>
      <w:r>
        <w:rPr>
          <w:color w:val="0A0A0A"/>
          <w:spacing w:val="-2"/>
          <w:w w:val="105"/>
          <w:sz w:val="21"/>
        </w:rPr>
        <w:t> </w:t>
      </w:r>
      <w:r>
        <w:rPr>
          <w:color w:val="0A0A0A"/>
          <w:w w:val="105"/>
          <w:sz w:val="21"/>
        </w:rPr>
        <w:t>Hertsmere called </w:t>
      </w:r>
      <w:r>
        <w:rPr>
          <w:color w:val="1D1D1D"/>
          <w:w w:val="105"/>
          <w:sz w:val="21"/>
        </w:rPr>
        <w:t>the Leader of </w:t>
      </w:r>
      <w:r>
        <w:rPr>
          <w:color w:val="343434"/>
          <w:w w:val="105"/>
          <w:sz w:val="21"/>
        </w:rPr>
        <w:t>the</w:t>
      </w:r>
      <w:r>
        <w:rPr>
          <w:color w:val="343434"/>
          <w:spacing w:val="-3"/>
          <w:w w:val="105"/>
          <w:sz w:val="21"/>
        </w:rPr>
        <w:t> </w:t>
      </w:r>
      <w:r>
        <w:rPr>
          <w:color w:val="1D1D1D"/>
          <w:w w:val="105"/>
          <w:sz w:val="21"/>
        </w:rPr>
        <w:t>Council)</w:t>
      </w:r>
      <w:r>
        <w:rPr>
          <w:color w:val="545454"/>
          <w:w w:val="105"/>
          <w:sz w:val="21"/>
        </w:rPr>
        <w:t>,</w:t>
      </w:r>
      <w:r>
        <w:rPr>
          <w:color w:val="545454"/>
          <w:spacing w:val="-10"/>
          <w:w w:val="105"/>
          <w:sz w:val="21"/>
        </w:rPr>
        <w:t> </w:t>
      </w:r>
      <w:r>
        <w:rPr>
          <w:color w:val="1D1D1D"/>
          <w:w w:val="105"/>
          <w:sz w:val="21"/>
        </w:rPr>
        <w:t>establishing</w:t>
      </w:r>
      <w:r>
        <w:rPr>
          <w:color w:val="1D1D1D"/>
          <w:spacing w:val="30"/>
          <w:w w:val="105"/>
          <w:sz w:val="21"/>
        </w:rPr>
        <w:t> </w:t>
      </w:r>
      <w:r>
        <w:rPr>
          <w:color w:val="1D1D1D"/>
          <w:w w:val="105"/>
          <w:sz w:val="21"/>
        </w:rPr>
        <w:t>a </w:t>
      </w:r>
      <w:r>
        <w:rPr>
          <w:color w:val="0A0A0A"/>
          <w:w w:val="105"/>
          <w:sz w:val="21"/>
        </w:rPr>
        <w:t>number of committees to discharge the Council's regulatory</w:t>
      </w:r>
      <w:r>
        <w:rPr>
          <w:color w:val="343434"/>
          <w:w w:val="105"/>
          <w:sz w:val="21"/>
        </w:rPr>
        <w:t>,</w:t>
      </w:r>
      <w:r>
        <w:rPr>
          <w:color w:val="343434"/>
          <w:spacing w:val="-4"/>
          <w:w w:val="105"/>
          <w:sz w:val="21"/>
        </w:rPr>
        <w:t> </w:t>
      </w:r>
      <w:r>
        <w:rPr>
          <w:color w:val="1D1D1D"/>
          <w:w w:val="105"/>
          <w:sz w:val="21"/>
        </w:rPr>
        <w:t>scrutiny </w:t>
      </w:r>
      <w:r>
        <w:rPr>
          <w:color w:val="0A0A0A"/>
          <w:w w:val="105"/>
          <w:sz w:val="21"/>
        </w:rPr>
        <w:t>and non- executive </w:t>
      </w:r>
      <w:r>
        <w:rPr>
          <w:color w:val="1D1D1D"/>
          <w:w w:val="105"/>
          <w:sz w:val="21"/>
        </w:rPr>
        <w:t>functions</w:t>
      </w:r>
      <w:r>
        <w:rPr>
          <w:color w:val="6B6B6B"/>
          <w:w w:val="105"/>
          <w:sz w:val="21"/>
        </w:rPr>
        <w:t>, </w:t>
      </w:r>
      <w:r>
        <w:rPr>
          <w:color w:val="1D1D1D"/>
          <w:w w:val="105"/>
          <w:sz w:val="21"/>
        </w:rPr>
        <w:t>approving an</w:t>
      </w:r>
      <w:r>
        <w:rPr>
          <w:color w:val="1D1D1D"/>
          <w:spacing w:val="-16"/>
          <w:w w:val="105"/>
          <w:sz w:val="21"/>
        </w:rPr>
        <w:t> </w:t>
      </w:r>
      <w:r>
        <w:rPr>
          <w:color w:val="0A0A0A"/>
          <w:w w:val="105"/>
          <w:sz w:val="21"/>
        </w:rPr>
        <w:t>Officers Scheme of</w:t>
      </w:r>
      <w:r>
        <w:rPr>
          <w:color w:val="0A0A0A"/>
          <w:spacing w:val="-9"/>
          <w:w w:val="105"/>
          <w:sz w:val="21"/>
        </w:rPr>
        <w:t> </w:t>
      </w:r>
      <w:r>
        <w:rPr>
          <w:color w:val="0A0A0A"/>
          <w:w w:val="105"/>
          <w:sz w:val="21"/>
        </w:rPr>
        <w:t>Delegations, making by-laws </w:t>
      </w:r>
      <w:r>
        <w:rPr>
          <w:color w:val="1D1D1D"/>
          <w:w w:val="105"/>
          <w:sz w:val="21"/>
        </w:rPr>
        <w:t>and</w:t>
      </w:r>
      <w:r>
        <w:rPr>
          <w:color w:val="1D1D1D"/>
          <w:spacing w:val="-8"/>
          <w:w w:val="105"/>
          <w:sz w:val="21"/>
        </w:rPr>
        <w:t> </w:t>
      </w:r>
      <w:r>
        <w:rPr>
          <w:color w:val="0A0A0A"/>
          <w:w w:val="105"/>
          <w:sz w:val="21"/>
        </w:rPr>
        <w:t>making a</w:t>
      </w:r>
      <w:r>
        <w:rPr>
          <w:color w:val="0A0A0A"/>
          <w:spacing w:val="-7"/>
          <w:w w:val="105"/>
          <w:sz w:val="21"/>
        </w:rPr>
        <w:t> </w:t>
      </w:r>
      <w:r>
        <w:rPr>
          <w:color w:val="0A0A0A"/>
          <w:w w:val="105"/>
          <w:sz w:val="21"/>
        </w:rPr>
        <w:t>Scheme of</w:t>
      </w:r>
      <w:r>
        <w:rPr>
          <w:color w:val="0A0A0A"/>
          <w:spacing w:val="-3"/>
          <w:w w:val="105"/>
          <w:sz w:val="21"/>
        </w:rPr>
        <w:t> </w:t>
      </w:r>
      <w:r>
        <w:rPr>
          <w:color w:val="1D1D1D"/>
          <w:w w:val="105"/>
          <w:sz w:val="21"/>
        </w:rPr>
        <w:t>Allowances for</w:t>
      </w:r>
      <w:r>
        <w:rPr>
          <w:color w:val="1D1D1D"/>
          <w:spacing w:val="-1"/>
          <w:w w:val="105"/>
          <w:sz w:val="21"/>
        </w:rPr>
        <w:t> </w:t>
      </w:r>
      <w:r>
        <w:rPr>
          <w:color w:val="1D1D1D"/>
          <w:w w:val="105"/>
          <w:sz w:val="21"/>
        </w:rPr>
        <w:t>Members</w:t>
      </w:r>
      <w:r>
        <w:rPr>
          <w:color w:val="545454"/>
          <w:w w:val="105"/>
          <w:sz w:val="21"/>
        </w:rPr>
        <w:t>.</w:t>
      </w:r>
    </w:p>
    <w:p>
      <w:pPr>
        <w:pStyle w:val="BodyText"/>
        <w:spacing w:before="8"/>
        <w:rPr>
          <w:sz w:val="21"/>
        </w:rPr>
      </w:pPr>
    </w:p>
    <w:p>
      <w:pPr>
        <w:pStyle w:val="ListParagraph"/>
        <w:numPr>
          <w:ilvl w:val="0"/>
          <w:numId w:val="29"/>
        </w:numPr>
        <w:tabs>
          <w:tab w:val="left" w:leader="none" w:pos="854"/>
          <w:tab w:val="left" w:leader="none" w:pos="858"/>
        </w:tabs>
        <w:spacing w:before="0" w:after="0" w:line="252" w:lineRule="auto"/>
        <w:ind w:left="854" w:right="401" w:hanging="703"/>
        <w:jc w:val="left"/>
        <w:rPr>
          <w:color w:val="0A0A0A"/>
          <w:sz w:val="21"/>
        </w:rPr>
      </w:pPr>
      <w:r>
        <w:rPr>
          <w:color w:val="6B6B6B"/>
          <w:sz w:val="21"/>
        </w:rPr>
        <w:tab/>
      </w:r>
      <w:r>
        <w:rPr>
          <w:color w:val="0A0A0A"/>
          <w:w w:val="105"/>
          <w:sz w:val="21"/>
        </w:rPr>
        <w:t>At the Annual Meeting in</w:t>
      </w:r>
      <w:r>
        <w:rPr>
          <w:color w:val="0A0A0A"/>
          <w:spacing w:val="-6"/>
          <w:w w:val="105"/>
          <w:sz w:val="21"/>
        </w:rPr>
        <w:t> </w:t>
      </w:r>
      <w:r>
        <w:rPr>
          <w:color w:val="0A0A0A"/>
          <w:w w:val="105"/>
          <w:sz w:val="21"/>
        </w:rPr>
        <w:t>May 2022 the Council noted the appointment by</w:t>
      </w:r>
      <w:r>
        <w:rPr>
          <w:color w:val="0A0A0A"/>
          <w:spacing w:val="-2"/>
          <w:w w:val="105"/>
          <w:sz w:val="21"/>
        </w:rPr>
        <w:t> </w:t>
      </w:r>
      <w:r>
        <w:rPr>
          <w:color w:val="0A0A0A"/>
          <w:w w:val="105"/>
          <w:sz w:val="21"/>
        </w:rPr>
        <w:t>the Leader to</w:t>
      </w:r>
      <w:r>
        <w:rPr>
          <w:color w:val="0A0A0A"/>
          <w:spacing w:val="-4"/>
          <w:w w:val="105"/>
          <w:sz w:val="21"/>
        </w:rPr>
        <w:t> </w:t>
      </w:r>
      <w:r>
        <w:rPr>
          <w:color w:val="0A0A0A"/>
          <w:w w:val="105"/>
          <w:sz w:val="21"/>
        </w:rPr>
        <w:t>the Executive of </w:t>
      </w:r>
      <w:r>
        <w:rPr>
          <w:color w:val="1D1D1D"/>
          <w:w w:val="105"/>
          <w:sz w:val="21"/>
        </w:rPr>
        <w:t>a</w:t>
      </w:r>
      <w:r>
        <w:rPr>
          <w:color w:val="1D1D1D"/>
          <w:spacing w:val="-12"/>
          <w:w w:val="105"/>
          <w:sz w:val="21"/>
        </w:rPr>
        <w:t> </w:t>
      </w:r>
      <w:r>
        <w:rPr>
          <w:color w:val="1D1D1D"/>
          <w:w w:val="105"/>
          <w:sz w:val="21"/>
        </w:rPr>
        <w:t>Deputy Leader and six other </w:t>
      </w:r>
      <w:r>
        <w:rPr>
          <w:color w:val="0A0A0A"/>
          <w:w w:val="105"/>
          <w:sz w:val="21"/>
        </w:rPr>
        <w:t>portfolio-holders.</w:t>
      </w:r>
      <w:r>
        <w:rPr>
          <w:color w:val="0A0A0A"/>
          <w:spacing w:val="-4"/>
          <w:w w:val="105"/>
          <w:sz w:val="21"/>
        </w:rPr>
        <w:t> </w:t>
      </w:r>
      <w:r>
        <w:rPr>
          <w:color w:val="0A0A0A"/>
          <w:w w:val="105"/>
          <w:sz w:val="21"/>
        </w:rPr>
        <w:t>The Council also elected </w:t>
      </w:r>
      <w:r>
        <w:rPr>
          <w:color w:val="1D1D1D"/>
          <w:w w:val="105"/>
          <w:sz w:val="21"/>
        </w:rPr>
        <w:t>a</w:t>
      </w:r>
      <w:r>
        <w:rPr>
          <w:color w:val="1D1D1D"/>
          <w:spacing w:val="-12"/>
          <w:w w:val="105"/>
          <w:sz w:val="21"/>
        </w:rPr>
        <w:t> </w:t>
      </w:r>
      <w:r>
        <w:rPr>
          <w:color w:val="1D1D1D"/>
          <w:w w:val="105"/>
          <w:sz w:val="21"/>
        </w:rPr>
        <w:t>Mayor, </w:t>
      </w:r>
      <w:r>
        <w:rPr>
          <w:color w:val="0A0A0A"/>
          <w:w w:val="105"/>
          <w:sz w:val="21"/>
        </w:rPr>
        <w:t>appointed a</w:t>
      </w:r>
      <w:r>
        <w:rPr>
          <w:color w:val="0A0A0A"/>
          <w:spacing w:val="-6"/>
          <w:w w:val="105"/>
          <w:sz w:val="21"/>
        </w:rPr>
        <w:t> </w:t>
      </w:r>
      <w:r>
        <w:rPr>
          <w:color w:val="1D1D1D"/>
          <w:w w:val="105"/>
          <w:sz w:val="21"/>
        </w:rPr>
        <w:t>Deputy</w:t>
      </w:r>
      <w:r>
        <w:rPr>
          <w:color w:val="1D1D1D"/>
          <w:spacing w:val="-5"/>
          <w:w w:val="105"/>
          <w:sz w:val="21"/>
        </w:rPr>
        <w:t> </w:t>
      </w:r>
      <w:r>
        <w:rPr>
          <w:color w:val="0A0A0A"/>
          <w:w w:val="105"/>
          <w:sz w:val="21"/>
        </w:rPr>
        <w:t>Mayor</w:t>
      </w:r>
      <w:r>
        <w:rPr>
          <w:color w:val="0A0A0A"/>
          <w:spacing w:val="-2"/>
          <w:w w:val="105"/>
          <w:sz w:val="21"/>
        </w:rPr>
        <w:t> </w:t>
      </w:r>
      <w:r>
        <w:rPr>
          <w:color w:val="1D1D1D"/>
          <w:w w:val="105"/>
          <w:sz w:val="21"/>
        </w:rPr>
        <w:t>and</w:t>
      </w:r>
      <w:r>
        <w:rPr>
          <w:color w:val="1D1D1D"/>
          <w:spacing w:val="-13"/>
          <w:w w:val="105"/>
          <w:sz w:val="21"/>
        </w:rPr>
        <w:t> </w:t>
      </w:r>
      <w:r>
        <w:rPr>
          <w:color w:val="0A0A0A"/>
          <w:w w:val="105"/>
          <w:sz w:val="21"/>
        </w:rPr>
        <w:t>appo</w:t>
      </w:r>
      <w:r>
        <w:rPr>
          <w:color w:val="343434"/>
          <w:w w:val="105"/>
          <w:sz w:val="21"/>
        </w:rPr>
        <w:t>inted</w:t>
      </w:r>
      <w:r>
        <w:rPr>
          <w:color w:val="343434"/>
          <w:spacing w:val="-8"/>
          <w:w w:val="105"/>
          <w:sz w:val="21"/>
        </w:rPr>
        <w:t> </w:t>
      </w:r>
      <w:r>
        <w:rPr>
          <w:color w:val="1D1D1D"/>
          <w:w w:val="105"/>
          <w:sz w:val="21"/>
        </w:rPr>
        <w:t>members</w:t>
      </w:r>
      <w:r>
        <w:rPr>
          <w:color w:val="1D1D1D"/>
          <w:spacing w:val="-4"/>
          <w:w w:val="105"/>
          <w:sz w:val="21"/>
        </w:rPr>
        <w:t> </w:t>
      </w:r>
      <w:r>
        <w:rPr>
          <w:color w:val="0A0A0A"/>
          <w:w w:val="105"/>
          <w:sz w:val="21"/>
        </w:rPr>
        <w:t>to</w:t>
      </w:r>
      <w:r>
        <w:rPr>
          <w:color w:val="0A0A0A"/>
          <w:spacing w:val="-9"/>
          <w:w w:val="105"/>
          <w:sz w:val="21"/>
        </w:rPr>
        <w:t> </w:t>
      </w:r>
      <w:r>
        <w:rPr>
          <w:color w:val="0A0A0A"/>
          <w:w w:val="105"/>
          <w:sz w:val="21"/>
        </w:rPr>
        <w:t>the</w:t>
      </w:r>
      <w:r>
        <w:rPr>
          <w:color w:val="0A0A0A"/>
          <w:spacing w:val="-1"/>
          <w:w w:val="105"/>
          <w:sz w:val="21"/>
        </w:rPr>
        <w:t> </w:t>
      </w:r>
      <w:r>
        <w:rPr>
          <w:color w:val="0A0A0A"/>
          <w:w w:val="105"/>
          <w:sz w:val="21"/>
        </w:rPr>
        <w:t>standing Committees </w:t>
      </w:r>
      <w:r>
        <w:rPr>
          <w:color w:val="1D1D1D"/>
          <w:w w:val="105"/>
          <w:sz w:val="21"/>
        </w:rPr>
        <w:t>in accordance </w:t>
      </w:r>
      <w:r>
        <w:rPr>
          <w:color w:val="0A0A0A"/>
          <w:w w:val="105"/>
          <w:sz w:val="21"/>
        </w:rPr>
        <w:t>with the</w:t>
      </w:r>
      <w:r>
        <w:rPr>
          <w:color w:val="0A0A0A"/>
          <w:spacing w:val="-4"/>
          <w:w w:val="105"/>
          <w:sz w:val="21"/>
        </w:rPr>
        <w:t> </w:t>
      </w:r>
      <w:r>
        <w:rPr>
          <w:color w:val="0A0A0A"/>
          <w:w w:val="105"/>
          <w:sz w:val="21"/>
        </w:rPr>
        <w:t>requirements of</w:t>
      </w:r>
      <w:r>
        <w:rPr>
          <w:color w:val="0A0A0A"/>
          <w:spacing w:val="-5"/>
          <w:w w:val="105"/>
          <w:sz w:val="21"/>
        </w:rPr>
        <w:t> </w:t>
      </w:r>
      <w:r>
        <w:rPr>
          <w:color w:val="0A0A0A"/>
          <w:w w:val="105"/>
          <w:sz w:val="21"/>
        </w:rPr>
        <w:t>political balance and appointed a</w:t>
      </w:r>
      <w:r>
        <w:rPr>
          <w:color w:val="0A0A0A"/>
          <w:spacing w:val="-14"/>
          <w:w w:val="105"/>
          <w:sz w:val="21"/>
        </w:rPr>
        <w:t> </w:t>
      </w:r>
      <w:r>
        <w:rPr>
          <w:color w:val="0A0A0A"/>
          <w:w w:val="105"/>
          <w:sz w:val="21"/>
        </w:rPr>
        <w:t>number of members to represent the</w:t>
      </w:r>
      <w:r>
        <w:rPr>
          <w:color w:val="0A0A0A"/>
          <w:spacing w:val="-8"/>
          <w:w w:val="105"/>
          <w:sz w:val="21"/>
        </w:rPr>
        <w:t> </w:t>
      </w:r>
      <w:r>
        <w:rPr>
          <w:color w:val="0A0A0A"/>
          <w:w w:val="105"/>
          <w:sz w:val="21"/>
        </w:rPr>
        <w:t>Council </w:t>
      </w:r>
      <w:r>
        <w:rPr>
          <w:color w:val="1D1D1D"/>
          <w:w w:val="105"/>
          <w:sz w:val="21"/>
        </w:rPr>
        <w:t>on</w:t>
      </w:r>
      <w:r>
        <w:rPr>
          <w:color w:val="1D1D1D"/>
          <w:spacing w:val="-5"/>
          <w:w w:val="105"/>
          <w:sz w:val="21"/>
        </w:rPr>
        <w:t> </w:t>
      </w:r>
      <w:r>
        <w:rPr>
          <w:color w:val="1D1D1D"/>
          <w:w w:val="105"/>
          <w:sz w:val="21"/>
        </w:rPr>
        <w:t>a</w:t>
      </w:r>
      <w:r>
        <w:rPr>
          <w:color w:val="1D1D1D"/>
          <w:spacing w:val="-6"/>
          <w:w w:val="105"/>
          <w:sz w:val="21"/>
        </w:rPr>
        <w:t> </w:t>
      </w:r>
      <w:r>
        <w:rPr>
          <w:color w:val="1D1D1D"/>
          <w:w w:val="105"/>
          <w:sz w:val="21"/>
        </w:rPr>
        <w:t>range of outside bodies for</w:t>
      </w:r>
      <w:r>
        <w:rPr>
          <w:color w:val="1D1D1D"/>
          <w:spacing w:val="-4"/>
          <w:w w:val="105"/>
          <w:sz w:val="21"/>
        </w:rPr>
        <w:t> </w:t>
      </w:r>
      <w:r>
        <w:rPr>
          <w:color w:val="1D1D1D"/>
          <w:w w:val="105"/>
          <w:sz w:val="21"/>
        </w:rPr>
        <w:t>the</w:t>
      </w:r>
      <w:r>
        <w:rPr>
          <w:color w:val="1D1D1D"/>
          <w:spacing w:val="-2"/>
          <w:w w:val="105"/>
          <w:sz w:val="21"/>
        </w:rPr>
        <w:t> </w:t>
      </w:r>
      <w:r>
        <w:rPr>
          <w:color w:val="1D1D1D"/>
          <w:w w:val="105"/>
          <w:sz w:val="21"/>
        </w:rPr>
        <w:t>coming municipal year</w:t>
      </w:r>
      <w:r>
        <w:rPr>
          <w:color w:val="545454"/>
          <w:w w:val="105"/>
          <w:sz w:val="21"/>
        </w:rPr>
        <w:t>.</w:t>
      </w:r>
      <w:r>
        <w:rPr>
          <w:color w:val="545454"/>
          <w:spacing w:val="-3"/>
          <w:w w:val="105"/>
          <w:sz w:val="21"/>
        </w:rPr>
        <w:t> </w:t>
      </w:r>
      <w:r>
        <w:rPr>
          <w:color w:val="1D1D1D"/>
          <w:w w:val="105"/>
          <w:sz w:val="21"/>
        </w:rPr>
        <w:t>At</w:t>
      </w:r>
      <w:r>
        <w:rPr>
          <w:color w:val="1D1D1D"/>
          <w:spacing w:val="-6"/>
          <w:w w:val="105"/>
          <w:sz w:val="21"/>
        </w:rPr>
        <w:t> </w:t>
      </w:r>
      <w:r>
        <w:rPr>
          <w:color w:val="1D1D1D"/>
          <w:w w:val="105"/>
          <w:sz w:val="21"/>
        </w:rPr>
        <w:t>its</w:t>
      </w:r>
      <w:r>
        <w:rPr>
          <w:color w:val="1D1D1D"/>
          <w:spacing w:val="-1"/>
          <w:w w:val="105"/>
          <w:sz w:val="21"/>
        </w:rPr>
        <w:t> </w:t>
      </w:r>
      <w:r>
        <w:rPr>
          <w:color w:val="1D1D1D"/>
          <w:w w:val="105"/>
          <w:sz w:val="21"/>
        </w:rPr>
        <w:t>meetings in</w:t>
      </w:r>
      <w:r>
        <w:rPr>
          <w:color w:val="1D1D1D"/>
          <w:spacing w:val="-10"/>
          <w:w w:val="105"/>
          <w:sz w:val="21"/>
        </w:rPr>
        <w:t> </w:t>
      </w:r>
      <w:r>
        <w:rPr>
          <w:color w:val="1D1D1D"/>
          <w:w w:val="105"/>
          <w:sz w:val="21"/>
        </w:rPr>
        <w:t>November </w:t>
      </w:r>
      <w:r>
        <w:rPr>
          <w:color w:val="0A0A0A"/>
          <w:w w:val="105"/>
          <w:sz w:val="21"/>
        </w:rPr>
        <w:t>2022 and </w:t>
      </w:r>
      <w:r>
        <w:rPr>
          <w:color w:val="1D1D1D"/>
          <w:w w:val="105"/>
          <w:sz w:val="21"/>
        </w:rPr>
        <w:t>January 2023 and</w:t>
      </w:r>
      <w:r>
        <w:rPr>
          <w:color w:val="1D1D1D"/>
          <w:spacing w:val="-2"/>
          <w:w w:val="105"/>
          <w:sz w:val="21"/>
        </w:rPr>
        <w:t> </w:t>
      </w:r>
      <w:r>
        <w:rPr>
          <w:color w:val="1D1D1D"/>
          <w:w w:val="105"/>
          <w:sz w:val="21"/>
        </w:rPr>
        <w:t>following a</w:t>
      </w:r>
      <w:r>
        <w:rPr>
          <w:color w:val="1D1D1D"/>
          <w:spacing w:val="-2"/>
          <w:w w:val="105"/>
          <w:sz w:val="21"/>
        </w:rPr>
        <w:t> </w:t>
      </w:r>
      <w:r>
        <w:rPr>
          <w:color w:val="1D1D1D"/>
          <w:w w:val="105"/>
          <w:sz w:val="21"/>
        </w:rPr>
        <w:t>change in </w:t>
      </w:r>
      <w:r>
        <w:rPr>
          <w:color w:val="343434"/>
          <w:w w:val="105"/>
          <w:sz w:val="21"/>
        </w:rPr>
        <w:t>th</w:t>
      </w:r>
      <w:r>
        <w:rPr>
          <w:color w:val="0A0A0A"/>
          <w:w w:val="105"/>
          <w:sz w:val="21"/>
        </w:rPr>
        <w:t>e </w:t>
      </w:r>
      <w:r>
        <w:rPr>
          <w:color w:val="1D1D1D"/>
          <w:w w:val="105"/>
          <w:sz w:val="21"/>
        </w:rPr>
        <w:t>composition</w:t>
      </w:r>
      <w:r>
        <w:rPr>
          <w:color w:val="1D1D1D"/>
          <w:spacing w:val="26"/>
          <w:w w:val="105"/>
          <w:sz w:val="21"/>
        </w:rPr>
        <w:t> </w:t>
      </w:r>
      <w:r>
        <w:rPr>
          <w:color w:val="1D1D1D"/>
          <w:w w:val="105"/>
          <w:sz w:val="21"/>
        </w:rPr>
        <w:t>of the political groups</w:t>
      </w:r>
      <w:r>
        <w:rPr>
          <w:color w:val="545454"/>
          <w:w w:val="105"/>
          <w:sz w:val="21"/>
        </w:rPr>
        <w:t>,</w:t>
      </w:r>
      <w:r>
        <w:rPr>
          <w:color w:val="545454"/>
          <w:spacing w:val="-13"/>
          <w:w w:val="105"/>
          <w:sz w:val="21"/>
        </w:rPr>
        <w:t> </w:t>
      </w:r>
      <w:r>
        <w:rPr>
          <w:color w:val="1D1D1D"/>
          <w:w w:val="105"/>
          <w:sz w:val="21"/>
        </w:rPr>
        <w:t>the </w:t>
      </w:r>
      <w:r>
        <w:rPr>
          <w:color w:val="0A0A0A"/>
          <w:w w:val="105"/>
          <w:sz w:val="21"/>
        </w:rPr>
        <w:t>Council </w:t>
      </w:r>
      <w:r>
        <w:rPr>
          <w:color w:val="1D1D1D"/>
          <w:w w:val="105"/>
          <w:sz w:val="21"/>
        </w:rPr>
        <w:t>reviewed and agreed appointments in </w:t>
      </w:r>
      <w:r>
        <w:rPr>
          <w:color w:val="343434"/>
          <w:w w:val="105"/>
          <w:sz w:val="21"/>
        </w:rPr>
        <w:t>line</w:t>
      </w:r>
      <w:r>
        <w:rPr>
          <w:color w:val="343434"/>
          <w:spacing w:val="-8"/>
          <w:w w:val="105"/>
          <w:sz w:val="21"/>
        </w:rPr>
        <w:t> </w:t>
      </w:r>
      <w:r>
        <w:rPr>
          <w:color w:val="0A0A0A"/>
          <w:w w:val="105"/>
          <w:sz w:val="21"/>
        </w:rPr>
        <w:t>with</w:t>
      </w:r>
      <w:r>
        <w:rPr>
          <w:color w:val="0A0A0A"/>
          <w:spacing w:val="-6"/>
          <w:w w:val="105"/>
          <w:sz w:val="21"/>
        </w:rPr>
        <w:t> </w:t>
      </w:r>
      <w:r>
        <w:rPr>
          <w:color w:val="1D1D1D"/>
          <w:w w:val="105"/>
          <w:sz w:val="21"/>
        </w:rPr>
        <w:t>the requirements</w:t>
      </w:r>
      <w:r>
        <w:rPr>
          <w:color w:val="1D1D1D"/>
          <w:spacing w:val="35"/>
          <w:w w:val="105"/>
          <w:sz w:val="21"/>
        </w:rPr>
        <w:t> </w:t>
      </w:r>
      <w:r>
        <w:rPr>
          <w:color w:val="1D1D1D"/>
          <w:w w:val="105"/>
          <w:sz w:val="21"/>
        </w:rPr>
        <w:t>of political balance</w:t>
      </w:r>
    </w:p>
    <w:p>
      <w:pPr>
        <w:pStyle w:val="BodyText"/>
        <w:spacing w:before="11"/>
        <w:rPr>
          <w:sz w:val="21"/>
        </w:rPr>
      </w:pPr>
    </w:p>
    <w:p>
      <w:pPr>
        <w:pStyle w:val="ListParagraph"/>
        <w:numPr>
          <w:ilvl w:val="0"/>
          <w:numId w:val="29"/>
        </w:numPr>
        <w:tabs>
          <w:tab w:val="left" w:leader="none" w:pos="858"/>
          <w:tab w:val="left" w:leader="none" w:pos="862"/>
        </w:tabs>
        <w:spacing w:before="0" w:after="0" w:line="249" w:lineRule="auto"/>
        <w:ind w:left="858" w:right="880" w:hanging="707"/>
        <w:jc w:val="left"/>
        <w:rPr>
          <w:color w:val="0A0A0A"/>
          <w:sz w:val="21"/>
        </w:rPr>
      </w:pPr>
      <w:r>
        <w:rPr>
          <w:color w:val="343434"/>
          <w:sz w:val="21"/>
        </w:rPr>
        <w:tab/>
      </w:r>
      <w:r>
        <w:rPr>
          <w:color w:val="0A0A0A"/>
          <w:w w:val="105"/>
          <w:sz w:val="21"/>
        </w:rPr>
        <w:t>The</w:t>
      </w:r>
      <w:r>
        <w:rPr>
          <w:color w:val="0A0A0A"/>
          <w:spacing w:val="-9"/>
          <w:w w:val="105"/>
          <w:sz w:val="21"/>
        </w:rPr>
        <w:t> </w:t>
      </w:r>
      <w:r>
        <w:rPr>
          <w:color w:val="0A0A0A"/>
          <w:w w:val="105"/>
          <w:sz w:val="21"/>
        </w:rPr>
        <w:t>Council</w:t>
      </w:r>
      <w:r>
        <w:rPr>
          <w:color w:val="0A0A0A"/>
          <w:spacing w:val="-3"/>
          <w:w w:val="105"/>
          <w:sz w:val="21"/>
        </w:rPr>
        <w:t> </w:t>
      </w:r>
      <w:r>
        <w:rPr>
          <w:color w:val="0A0A0A"/>
          <w:w w:val="105"/>
          <w:sz w:val="21"/>
        </w:rPr>
        <w:t>met eight</w:t>
      </w:r>
      <w:r>
        <w:rPr>
          <w:color w:val="0A0A0A"/>
          <w:spacing w:val="-1"/>
          <w:w w:val="105"/>
          <w:sz w:val="21"/>
        </w:rPr>
        <w:t> </w:t>
      </w:r>
      <w:r>
        <w:rPr>
          <w:color w:val="0A0A0A"/>
          <w:w w:val="105"/>
          <w:sz w:val="21"/>
        </w:rPr>
        <w:t>times</w:t>
      </w:r>
      <w:r>
        <w:rPr>
          <w:color w:val="0A0A0A"/>
          <w:spacing w:val="-4"/>
          <w:w w:val="105"/>
          <w:sz w:val="21"/>
        </w:rPr>
        <w:t> </w:t>
      </w:r>
      <w:r>
        <w:rPr>
          <w:color w:val="0A0A0A"/>
          <w:w w:val="105"/>
          <w:sz w:val="21"/>
        </w:rPr>
        <w:t>during</w:t>
      </w:r>
      <w:r>
        <w:rPr>
          <w:color w:val="0A0A0A"/>
          <w:spacing w:val="-4"/>
          <w:w w:val="105"/>
          <w:sz w:val="21"/>
        </w:rPr>
        <w:t> </w:t>
      </w:r>
      <w:r>
        <w:rPr>
          <w:color w:val="0A0A0A"/>
          <w:w w:val="105"/>
          <w:sz w:val="21"/>
        </w:rPr>
        <w:t>the</w:t>
      </w:r>
      <w:r>
        <w:rPr>
          <w:color w:val="0A0A0A"/>
          <w:spacing w:val="-9"/>
          <w:w w:val="105"/>
          <w:sz w:val="21"/>
        </w:rPr>
        <w:t> </w:t>
      </w:r>
      <w:r>
        <w:rPr>
          <w:color w:val="0A0A0A"/>
          <w:w w:val="105"/>
          <w:sz w:val="21"/>
        </w:rPr>
        <w:t>last</w:t>
      </w:r>
      <w:r>
        <w:rPr>
          <w:color w:val="0A0A0A"/>
          <w:spacing w:val="-3"/>
          <w:w w:val="105"/>
          <w:sz w:val="21"/>
        </w:rPr>
        <w:t> </w:t>
      </w:r>
      <w:r>
        <w:rPr>
          <w:color w:val="0A0A0A"/>
          <w:w w:val="105"/>
          <w:sz w:val="21"/>
        </w:rPr>
        <w:t>financial </w:t>
      </w:r>
      <w:r>
        <w:rPr>
          <w:color w:val="1D1D1D"/>
          <w:w w:val="105"/>
          <w:sz w:val="21"/>
        </w:rPr>
        <w:t>year</w:t>
      </w:r>
      <w:r>
        <w:rPr>
          <w:color w:val="1D1D1D"/>
          <w:spacing w:val="-10"/>
          <w:w w:val="105"/>
          <w:sz w:val="21"/>
        </w:rPr>
        <w:t> </w:t>
      </w:r>
      <w:r>
        <w:rPr>
          <w:color w:val="0A0A0A"/>
          <w:w w:val="105"/>
          <w:sz w:val="21"/>
        </w:rPr>
        <w:t>comprising of</w:t>
      </w:r>
      <w:r>
        <w:rPr>
          <w:color w:val="0A0A0A"/>
          <w:spacing w:val="-11"/>
          <w:w w:val="105"/>
          <w:sz w:val="21"/>
        </w:rPr>
        <w:t> </w:t>
      </w:r>
      <w:r>
        <w:rPr>
          <w:color w:val="0A0A0A"/>
          <w:w w:val="105"/>
          <w:sz w:val="21"/>
        </w:rPr>
        <w:t>an</w:t>
      </w:r>
      <w:r>
        <w:rPr>
          <w:color w:val="0A0A0A"/>
          <w:spacing w:val="-7"/>
          <w:w w:val="105"/>
          <w:sz w:val="21"/>
        </w:rPr>
        <w:t> </w:t>
      </w:r>
      <w:r>
        <w:rPr>
          <w:color w:val="0A0A0A"/>
          <w:w w:val="105"/>
          <w:sz w:val="21"/>
        </w:rPr>
        <w:t>annual</w:t>
      </w:r>
      <w:r>
        <w:rPr>
          <w:color w:val="0A0A0A"/>
          <w:spacing w:val="-1"/>
          <w:w w:val="105"/>
          <w:sz w:val="21"/>
        </w:rPr>
        <w:t> </w:t>
      </w:r>
      <w:r>
        <w:rPr>
          <w:color w:val="1D1D1D"/>
          <w:w w:val="105"/>
          <w:sz w:val="21"/>
        </w:rPr>
        <w:t>meeting, </w:t>
      </w:r>
      <w:r>
        <w:rPr>
          <w:color w:val="0A0A0A"/>
          <w:w w:val="105"/>
          <w:sz w:val="21"/>
        </w:rPr>
        <w:t>six ordinary </w:t>
      </w:r>
      <w:r>
        <w:rPr>
          <w:color w:val="1D1D1D"/>
          <w:w w:val="105"/>
          <w:sz w:val="21"/>
        </w:rPr>
        <w:t>meetings and </w:t>
      </w:r>
      <w:r>
        <w:rPr>
          <w:color w:val="0A0A0A"/>
          <w:w w:val="105"/>
          <w:sz w:val="21"/>
        </w:rPr>
        <w:t>one </w:t>
      </w:r>
      <w:r>
        <w:rPr>
          <w:color w:val="1D1D1D"/>
          <w:w w:val="105"/>
          <w:sz w:val="21"/>
        </w:rPr>
        <w:t>extraordinary meeting. </w:t>
      </w:r>
      <w:r>
        <w:rPr>
          <w:color w:val="0A0A0A"/>
          <w:w w:val="105"/>
          <w:sz w:val="21"/>
        </w:rPr>
        <w:t>Agendas, Open Reports and</w:t>
      </w:r>
      <w:r>
        <w:rPr>
          <w:color w:val="0A0A0A"/>
          <w:spacing w:val="-2"/>
          <w:w w:val="105"/>
          <w:sz w:val="21"/>
        </w:rPr>
        <w:t> </w:t>
      </w:r>
      <w:r>
        <w:rPr>
          <w:color w:val="0A0A0A"/>
          <w:w w:val="105"/>
          <w:sz w:val="21"/>
        </w:rPr>
        <w:t>Minutes are permanently</w:t>
      </w:r>
      <w:r>
        <w:rPr>
          <w:color w:val="0A0A0A"/>
          <w:spacing w:val="40"/>
          <w:w w:val="105"/>
          <w:sz w:val="21"/>
        </w:rPr>
        <w:t> </w:t>
      </w:r>
      <w:r>
        <w:rPr>
          <w:color w:val="1D1D1D"/>
          <w:w w:val="105"/>
          <w:sz w:val="21"/>
        </w:rPr>
        <w:t>available </w:t>
      </w:r>
      <w:r>
        <w:rPr>
          <w:color w:val="0A0A0A"/>
          <w:w w:val="105"/>
          <w:sz w:val="21"/>
        </w:rPr>
        <w:t>on </w:t>
      </w:r>
      <w:r>
        <w:rPr>
          <w:color w:val="1D1D1D"/>
          <w:w w:val="105"/>
          <w:sz w:val="21"/>
        </w:rPr>
        <w:t>the Council's website.</w:t>
      </w:r>
    </w:p>
    <w:p>
      <w:pPr>
        <w:pStyle w:val="BodyText"/>
        <w:spacing w:before="14"/>
        <w:rPr>
          <w:sz w:val="21"/>
        </w:rPr>
      </w:pPr>
    </w:p>
    <w:p>
      <w:pPr>
        <w:spacing w:before="1"/>
        <w:ind w:left="858" w:right="0" w:firstLine="0"/>
        <w:jc w:val="left"/>
        <w:rPr>
          <w:sz w:val="21"/>
        </w:rPr>
      </w:pPr>
      <w:r>
        <w:rPr>
          <w:color w:val="0A0A0A"/>
          <w:w w:val="105"/>
          <w:sz w:val="21"/>
          <w:u w:val="thick" w:color="0A0A0A"/>
        </w:rPr>
        <w:t>The</w:t>
      </w:r>
      <w:r>
        <w:rPr>
          <w:color w:val="0A0A0A"/>
          <w:spacing w:val="-5"/>
          <w:w w:val="105"/>
          <w:sz w:val="21"/>
          <w:u w:val="thick" w:color="0A0A0A"/>
        </w:rPr>
        <w:t> </w:t>
      </w:r>
      <w:r>
        <w:rPr>
          <w:color w:val="0A0A0A"/>
          <w:spacing w:val="-2"/>
          <w:w w:val="105"/>
          <w:sz w:val="21"/>
          <w:u w:val="thick" w:color="0A0A0A"/>
        </w:rPr>
        <w:t>Executive</w:t>
      </w:r>
    </w:p>
    <w:p>
      <w:pPr>
        <w:pStyle w:val="BodyText"/>
        <w:spacing w:before="21"/>
        <w:rPr>
          <w:sz w:val="21"/>
        </w:rPr>
      </w:pPr>
    </w:p>
    <w:p>
      <w:pPr>
        <w:pStyle w:val="ListParagraph"/>
        <w:numPr>
          <w:ilvl w:val="0"/>
          <w:numId w:val="29"/>
        </w:numPr>
        <w:tabs>
          <w:tab w:val="left" w:leader="none" w:pos="857"/>
          <w:tab w:val="left" w:leader="none" w:pos="860"/>
        </w:tabs>
        <w:spacing w:before="0" w:after="0" w:line="247" w:lineRule="auto"/>
        <w:ind w:left="860" w:right="521" w:hanging="709"/>
        <w:jc w:val="left"/>
        <w:rPr>
          <w:color w:val="0A0A0A"/>
          <w:sz w:val="21"/>
        </w:rPr>
      </w:pPr>
      <w:r>
        <w:rPr>
          <w:color w:val="0A0A0A"/>
          <w:w w:val="105"/>
          <w:sz w:val="21"/>
        </w:rPr>
        <w:t>The</w:t>
      </w:r>
      <w:r>
        <w:rPr>
          <w:color w:val="0A0A0A"/>
          <w:spacing w:val="-3"/>
          <w:w w:val="105"/>
          <w:sz w:val="21"/>
        </w:rPr>
        <w:t> </w:t>
      </w:r>
      <w:r>
        <w:rPr>
          <w:color w:val="0A0A0A"/>
          <w:w w:val="105"/>
          <w:sz w:val="21"/>
        </w:rPr>
        <w:t>Executive </w:t>
      </w:r>
      <w:r>
        <w:rPr>
          <w:color w:val="1D1D1D"/>
          <w:w w:val="105"/>
          <w:sz w:val="21"/>
        </w:rPr>
        <w:t>comprises </w:t>
      </w:r>
      <w:r>
        <w:rPr>
          <w:color w:val="0A0A0A"/>
          <w:w w:val="105"/>
          <w:sz w:val="21"/>
        </w:rPr>
        <w:t>the Leader of the </w:t>
      </w:r>
      <w:r>
        <w:rPr>
          <w:color w:val="1D1D1D"/>
          <w:w w:val="105"/>
          <w:sz w:val="21"/>
        </w:rPr>
        <w:t>Council </w:t>
      </w:r>
      <w:r>
        <w:rPr>
          <w:color w:val="0A0A0A"/>
          <w:w w:val="105"/>
          <w:sz w:val="21"/>
        </w:rPr>
        <w:t>and</w:t>
      </w:r>
      <w:r>
        <w:rPr>
          <w:color w:val="0A0A0A"/>
          <w:spacing w:val="-2"/>
          <w:w w:val="105"/>
          <w:sz w:val="21"/>
        </w:rPr>
        <w:t> </w:t>
      </w:r>
      <w:r>
        <w:rPr>
          <w:color w:val="0A0A0A"/>
          <w:w w:val="105"/>
          <w:sz w:val="21"/>
        </w:rPr>
        <w:t>seven other members </w:t>
      </w:r>
      <w:r>
        <w:rPr>
          <w:color w:val="1D1D1D"/>
          <w:w w:val="105"/>
          <w:sz w:val="21"/>
        </w:rPr>
        <w:t>appointed by him, </w:t>
      </w:r>
      <w:r>
        <w:rPr>
          <w:color w:val="0A0A0A"/>
          <w:w w:val="105"/>
          <w:sz w:val="21"/>
        </w:rPr>
        <w:t>one of</w:t>
      </w:r>
      <w:r>
        <w:rPr>
          <w:color w:val="0A0A0A"/>
          <w:spacing w:val="-4"/>
          <w:w w:val="105"/>
          <w:sz w:val="21"/>
        </w:rPr>
        <w:t> </w:t>
      </w:r>
      <w:r>
        <w:rPr>
          <w:color w:val="0A0A0A"/>
          <w:w w:val="105"/>
          <w:sz w:val="21"/>
        </w:rPr>
        <w:t>whom </w:t>
      </w:r>
      <w:r>
        <w:rPr>
          <w:color w:val="1D1D1D"/>
          <w:w w:val="105"/>
          <w:sz w:val="21"/>
        </w:rPr>
        <w:t>is</w:t>
      </w:r>
      <w:r>
        <w:rPr>
          <w:color w:val="1D1D1D"/>
          <w:spacing w:val="-9"/>
          <w:w w:val="105"/>
          <w:sz w:val="21"/>
        </w:rPr>
        <w:t> </w:t>
      </w:r>
      <w:r>
        <w:rPr>
          <w:color w:val="1D1D1D"/>
          <w:w w:val="105"/>
          <w:sz w:val="21"/>
        </w:rPr>
        <w:t>also</w:t>
      </w:r>
      <w:r>
        <w:rPr>
          <w:color w:val="1D1D1D"/>
          <w:spacing w:val="-5"/>
          <w:w w:val="105"/>
          <w:sz w:val="21"/>
        </w:rPr>
        <w:t> </w:t>
      </w:r>
      <w:r>
        <w:rPr>
          <w:color w:val="0A0A0A"/>
          <w:w w:val="105"/>
          <w:sz w:val="21"/>
        </w:rPr>
        <w:t>appointed as</w:t>
      </w:r>
      <w:r>
        <w:rPr>
          <w:color w:val="0A0A0A"/>
          <w:spacing w:val="-5"/>
          <w:w w:val="105"/>
          <w:sz w:val="21"/>
        </w:rPr>
        <w:t> </w:t>
      </w:r>
      <w:r>
        <w:rPr>
          <w:color w:val="0A0A0A"/>
          <w:w w:val="105"/>
          <w:sz w:val="21"/>
        </w:rPr>
        <w:t>Deputy Leader. The</w:t>
      </w:r>
      <w:r>
        <w:rPr>
          <w:color w:val="0A0A0A"/>
          <w:spacing w:val="-7"/>
          <w:w w:val="105"/>
          <w:sz w:val="21"/>
        </w:rPr>
        <w:t> </w:t>
      </w:r>
      <w:r>
        <w:rPr>
          <w:color w:val="0A0A0A"/>
          <w:w w:val="105"/>
          <w:sz w:val="21"/>
        </w:rPr>
        <w:t>Executive is</w:t>
      </w:r>
      <w:r>
        <w:rPr>
          <w:color w:val="0A0A0A"/>
          <w:spacing w:val="-5"/>
          <w:w w:val="105"/>
          <w:sz w:val="21"/>
        </w:rPr>
        <w:t> </w:t>
      </w:r>
      <w:r>
        <w:rPr>
          <w:color w:val="0A0A0A"/>
          <w:w w:val="105"/>
          <w:sz w:val="21"/>
        </w:rPr>
        <w:t>responsib</w:t>
      </w:r>
      <w:r>
        <w:rPr>
          <w:color w:val="343434"/>
          <w:w w:val="105"/>
          <w:sz w:val="21"/>
        </w:rPr>
        <w:t>le</w:t>
      </w:r>
      <w:r>
        <w:rPr>
          <w:color w:val="343434"/>
          <w:spacing w:val="-5"/>
          <w:w w:val="105"/>
          <w:sz w:val="21"/>
        </w:rPr>
        <w:t> </w:t>
      </w:r>
      <w:r>
        <w:rPr>
          <w:color w:val="1D1D1D"/>
          <w:w w:val="105"/>
          <w:sz w:val="21"/>
        </w:rPr>
        <w:t>for</w:t>
      </w:r>
      <w:r>
        <w:rPr>
          <w:color w:val="1D1D1D"/>
          <w:spacing w:val="-12"/>
          <w:w w:val="105"/>
          <w:sz w:val="21"/>
        </w:rPr>
        <w:t> </w:t>
      </w:r>
      <w:r>
        <w:rPr>
          <w:color w:val="0A0A0A"/>
          <w:w w:val="105"/>
          <w:sz w:val="21"/>
        </w:rPr>
        <w:t>developing</w:t>
      </w:r>
      <w:r>
        <w:rPr>
          <w:color w:val="0A0A0A"/>
          <w:spacing w:val="-2"/>
          <w:w w:val="105"/>
          <w:sz w:val="21"/>
        </w:rPr>
        <w:t> </w:t>
      </w:r>
      <w:r>
        <w:rPr>
          <w:color w:val="0A0A0A"/>
          <w:w w:val="105"/>
          <w:sz w:val="21"/>
        </w:rPr>
        <w:t>the</w:t>
      </w:r>
    </w:p>
    <w:p>
      <w:pPr>
        <w:spacing w:after="0" w:line="247" w:lineRule="auto"/>
        <w:jc w:val="left"/>
        <w:rPr>
          <w:sz w:val="21"/>
        </w:rPr>
        <w:sectPr>
          <w:headerReference w:type="default" r:id="rId304"/>
          <w:footerReference w:type="default" r:id="rId305"/>
          <w:footerReference w:type="even" r:id="rId306"/>
          <w:pgSz w:w="11910" w:h="16830"/>
          <w:pgMar w:top="900" w:right="540" w:bottom="1340" w:left="440" w:header="719" w:footer="1149"/>
          <w:pgNumType w:start="137"/>
        </w:sectPr>
      </w:pPr>
    </w:p>
    <w:p>
      <w:pPr>
        <w:pStyle w:val="BodyText"/>
        <w:spacing w:line="120" w:lineRule="exact"/>
        <w:ind w:left="1569"/>
        <w:rPr>
          <w:sz w:val="12"/>
        </w:rPr>
      </w:pPr>
      <w:r>
        <w:rPr/>
        <ve:AlternateContent>
          <ve:Choice Requires="wps">
            <w:drawing>
              <wp:anchor distT="0" distB="0" distL="0" distR="0" simplePos="0" relativeHeight="15890432" behindDoc="0" locked="0" layoutInCell="1" allowOverlap="1">
                <wp:simplePos x="0" y="0"/>
                <wp:positionH relativeFrom="page">
                  <wp:posOffset>15264</wp:posOffset>
                </wp:positionH>
                <wp:positionV relativeFrom="page">
                  <wp:posOffset>9880697</wp:posOffset>
                </wp:positionV>
                <wp:extent cx="1270" cy="708025"/>
                <wp:effectExtent l="0" t="0" r="0" b="0"/>
                <wp:wrapNone/>
                <wp:docPr id="738" name="Graphic 738"/>
                <wp:cNvGraphicFramePr>
                  <a:graphicFrameLocks/>
                </wp:cNvGraphicFramePr>
                <a:graphic>
                  <a:graphicData uri="http://schemas.microsoft.com/office/word/2010/wordprocessingShape">
                    <wps:wsp>
                      <wps:cNvPr id="738" name="Graphic 738"/>
                      <wps:cNvSpPr/>
                      <wps:spPr>
                        <a:xfrm>
                          <a:off x="0" y="0"/>
                          <a:ext cx="1270" cy="708025"/>
                        </a:xfrm>
                        <a:custGeom>
                          <a:avLst/>
                          <a:gdLst/>
                          <a:ahLst/>
                          <a:cxnLst/>
                          <a:rect l="l" t="t" r="r" b="b"/>
                          <a:pathLst>
                            <a:path w="0" h="708025">
                              <a:moveTo>
                                <a:pt x="0" y="707942"/>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90432" stroked="true" strokecolor="#000000" strokeweight=".961549pt" from="1.201936pt,833.751219pt" to="1.201936pt,778.00769pt">
                <v:stroke dashstyle="solid"/>
                <w10:wrap type="none"/>
              </v:line>
            </w:pict>
          </ve:Fallback>
        </ve:AlternateContent>
      </w:r>
      <w:r>
        <w:rPr>
          <w:position w:val="-1"/>
          <w:sz w:val="12"/>
        </w:rPr>
        <w:drawing>
          <wp:inline distT="0" distB="0" distL="0" distR="0">
            <wp:extent cx="1854058" cy="76200"/>
            <wp:effectExtent l="0" t="0" r="0" b="0"/>
            <wp:docPr id="739" name="Image 739"/>
            <wp:cNvGraphicFramePr>
              <a:graphicFrameLocks/>
            </wp:cNvGraphicFramePr>
            <a:graphic>
              <a:graphicData uri="http://schemas.openxmlformats.org/drawingml/2006/picture">
                <pic:pic>
                  <pic:nvPicPr>
                    <pic:cNvPr id="739" name="Image 739"/>
                    <pic:cNvPicPr/>
                  </pic:nvPicPr>
                  <pic:blipFill>
                    <a:blip r:embed="rId308" cstate="print"/>
                    <a:stretch>
                      <a:fillRect/>
                    </a:stretch>
                  </pic:blipFill>
                  <pic:spPr>
                    <a:xfrm>
                      <a:off x="0" y="0"/>
                      <a:ext cx="1854058" cy="76200"/>
                    </a:xfrm>
                    <a:prstGeom prst="rect">
                      <a:avLst/>
                    </a:prstGeom>
                  </pic:spPr>
                </pic:pic>
              </a:graphicData>
            </a:graphic>
          </wp:inline>
        </w:drawing>
      </w:r>
      <w:r>
        <w:rPr>
          <w:position w:val="-1"/>
          <w:sz w:val="12"/>
        </w:rPr>
      </w:r>
    </w:p>
    <w:p>
      <w:pPr>
        <w:pStyle w:val="BodyText"/>
        <w:spacing w:before="40"/>
        <w:rPr>
          <w:sz w:val="21"/>
        </w:rPr>
      </w:pPr>
    </w:p>
    <w:p>
      <w:pPr>
        <w:spacing w:before="1" w:line="249" w:lineRule="auto"/>
        <w:ind w:left="1057" w:right="0" w:firstLine="14"/>
        <w:jc w:val="left"/>
        <w:rPr>
          <w:sz w:val="21"/>
        </w:rPr>
      </w:pPr>
      <w:r>
        <w:rPr>
          <w:color w:val="111111"/>
          <w:w w:val="105"/>
          <w:sz w:val="21"/>
        </w:rPr>
        <w:t>annual budget</w:t>
      </w:r>
      <w:r>
        <w:rPr>
          <w:color w:val="4F4F4F"/>
          <w:w w:val="105"/>
          <w:sz w:val="21"/>
        </w:rPr>
        <w:t>,</w:t>
      </w:r>
      <w:r>
        <w:rPr>
          <w:color w:val="4F4F4F"/>
          <w:spacing w:val="-23"/>
          <w:w w:val="105"/>
          <w:sz w:val="21"/>
        </w:rPr>
        <w:t> </w:t>
      </w:r>
      <w:r>
        <w:rPr>
          <w:color w:val="111111"/>
          <w:w w:val="105"/>
          <w:sz w:val="21"/>
        </w:rPr>
        <w:t>for the</w:t>
      </w:r>
      <w:r>
        <w:rPr>
          <w:color w:val="111111"/>
          <w:spacing w:val="-2"/>
          <w:w w:val="105"/>
          <w:sz w:val="21"/>
        </w:rPr>
        <w:t> </w:t>
      </w:r>
      <w:r>
        <w:rPr>
          <w:color w:val="111111"/>
          <w:w w:val="105"/>
          <w:sz w:val="21"/>
        </w:rPr>
        <w:t>development</w:t>
      </w:r>
      <w:r>
        <w:rPr>
          <w:color w:val="111111"/>
          <w:spacing w:val="27"/>
          <w:w w:val="105"/>
          <w:sz w:val="21"/>
        </w:rPr>
        <w:t> </w:t>
      </w:r>
      <w:r>
        <w:rPr>
          <w:color w:val="111111"/>
          <w:w w:val="105"/>
          <w:sz w:val="21"/>
        </w:rPr>
        <w:t>and</w:t>
      </w:r>
      <w:r>
        <w:rPr>
          <w:color w:val="111111"/>
          <w:spacing w:val="-3"/>
          <w:w w:val="105"/>
          <w:sz w:val="21"/>
        </w:rPr>
        <w:t> </w:t>
      </w:r>
      <w:r>
        <w:rPr>
          <w:color w:val="111111"/>
          <w:w w:val="105"/>
          <w:sz w:val="21"/>
        </w:rPr>
        <w:t>implementation</w:t>
      </w:r>
      <w:r>
        <w:rPr>
          <w:color w:val="111111"/>
          <w:spacing w:val="-11"/>
          <w:w w:val="105"/>
          <w:sz w:val="21"/>
        </w:rPr>
        <w:t> </w:t>
      </w:r>
      <w:r>
        <w:rPr>
          <w:color w:val="111111"/>
          <w:w w:val="105"/>
          <w:sz w:val="21"/>
        </w:rPr>
        <w:t>of Council policy, for the</w:t>
      </w:r>
      <w:r>
        <w:rPr>
          <w:color w:val="111111"/>
          <w:spacing w:val="-1"/>
          <w:w w:val="105"/>
          <w:sz w:val="21"/>
        </w:rPr>
        <w:t> </w:t>
      </w:r>
      <w:r>
        <w:rPr>
          <w:color w:val="111111"/>
          <w:w w:val="105"/>
          <w:sz w:val="21"/>
        </w:rPr>
        <w:t>delivery of the Council's corporate</w:t>
      </w:r>
      <w:r>
        <w:rPr>
          <w:color w:val="111111"/>
          <w:spacing w:val="-2"/>
          <w:w w:val="105"/>
          <w:sz w:val="21"/>
        </w:rPr>
        <w:t> </w:t>
      </w:r>
      <w:r>
        <w:rPr>
          <w:color w:val="1F1F1F"/>
          <w:w w:val="105"/>
          <w:sz w:val="21"/>
        </w:rPr>
        <w:t>plan</w:t>
      </w:r>
      <w:r>
        <w:rPr>
          <w:color w:val="1F1F1F"/>
          <w:spacing w:val="-16"/>
          <w:w w:val="105"/>
          <w:sz w:val="21"/>
        </w:rPr>
        <w:t> </w:t>
      </w:r>
      <w:r>
        <w:rPr>
          <w:color w:val="111111"/>
          <w:w w:val="105"/>
          <w:sz w:val="21"/>
        </w:rPr>
        <w:t>priorities, for</w:t>
      </w:r>
      <w:r>
        <w:rPr>
          <w:color w:val="111111"/>
          <w:spacing w:val="-11"/>
          <w:w w:val="105"/>
          <w:sz w:val="21"/>
        </w:rPr>
        <w:t> </w:t>
      </w:r>
      <w:r>
        <w:rPr>
          <w:color w:val="111111"/>
          <w:w w:val="105"/>
          <w:sz w:val="21"/>
        </w:rPr>
        <w:t>ensuring that</w:t>
      </w:r>
      <w:r>
        <w:rPr>
          <w:color w:val="111111"/>
          <w:spacing w:val="-11"/>
          <w:w w:val="105"/>
          <w:sz w:val="21"/>
        </w:rPr>
        <w:t> </w:t>
      </w:r>
      <w:r>
        <w:rPr>
          <w:color w:val="111111"/>
          <w:w w:val="105"/>
          <w:sz w:val="21"/>
        </w:rPr>
        <w:t>the</w:t>
      </w:r>
      <w:r>
        <w:rPr>
          <w:color w:val="111111"/>
          <w:spacing w:val="-5"/>
          <w:w w:val="105"/>
          <w:sz w:val="21"/>
        </w:rPr>
        <w:t> </w:t>
      </w:r>
      <w:r>
        <w:rPr>
          <w:color w:val="111111"/>
          <w:w w:val="105"/>
          <w:sz w:val="21"/>
        </w:rPr>
        <w:t>officers</w:t>
      </w:r>
      <w:r>
        <w:rPr>
          <w:color w:val="111111"/>
          <w:spacing w:val="-6"/>
          <w:w w:val="105"/>
          <w:sz w:val="21"/>
        </w:rPr>
        <w:t> </w:t>
      </w:r>
      <w:r>
        <w:rPr>
          <w:color w:val="111111"/>
          <w:w w:val="105"/>
          <w:sz w:val="21"/>
        </w:rPr>
        <w:t>team</w:t>
      </w:r>
      <w:r>
        <w:rPr>
          <w:color w:val="111111"/>
          <w:spacing w:val="-10"/>
          <w:w w:val="105"/>
          <w:sz w:val="21"/>
        </w:rPr>
        <w:t> </w:t>
      </w:r>
      <w:r>
        <w:rPr>
          <w:color w:val="111111"/>
          <w:w w:val="105"/>
          <w:sz w:val="21"/>
        </w:rPr>
        <w:t>have</w:t>
      </w:r>
      <w:r>
        <w:rPr>
          <w:color w:val="111111"/>
          <w:spacing w:val="-1"/>
          <w:w w:val="105"/>
          <w:sz w:val="21"/>
        </w:rPr>
        <w:t> </w:t>
      </w:r>
      <w:r>
        <w:rPr>
          <w:color w:val="111111"/>
          <w:w w:val="105"/>
          <w:sz w:val="21"/>
        </w:rPr>
        <w:t>sufficient resources to </w:t>
      </w:r>
      <w:r>
        <w:rPr>
          <w:color w:val="1F1F1F"/>
          <w:w w:val="105"/>
          <w:sz w:val="21"/>
        </w:rPr>
        <w:t>effectively </w:t>
      </w:r>
      <w:r>
        <w:rPr>
          <w:color w:val="111111"/>
          <w:w w:val="105"/>
          <w:sz w:val="21"/>
        </w:rPr>
        <w:t>discharge all</w:t>
      </w:r>
      <w:r>
        <w:rPr>
          <w:color w:val="111111"/>
          <w:spacing w:val="-2"/>
          <w:w w:val="105"/>
          <w:sz w:val="21"/>
        </w:rPr>
        <w:t> </w:t>
      </w:r>
      <w:r>
        <w:rPr>
          <w:color w:val="111111"/>
          <w:w w:val="105"/>
          <w:sz w:val="21"/>
        </w:rPr>
        <w:t>the</w:t>
      </w:r>
      <w:r>
        <w:rPr>
          <w:color w:val="111111"/>
          <w:spacing w:val="-1"/>
          <w:w w:val="105"/>
          <w:sz w:val="21"/>
        </w:rPr>
        <w:t> </w:t>
      </w:r>
      <w:r>
        <w:rPr>
          <w:color w:val="111111"/>
          <w:w w:val="105"/>
          <w:sz w:val="21"/>
        </w:rPr>
        <w:t>Council's </w:t>
      </w:r>
      <w:r>
        <w:rPr>
          <w:color w:val="1F1F1F"/>
          <w:w w:val="105"/>
          <w:sz w:val="21"/>
        </w:rPr>
        <w:t>statutory </w:t>
      </w:r>
      <w:r>
        <w:rPr>
          <w:color w:val="111111"/>
          <w:w w:val="105"/>
          <w:sz w:val="21"/>
        </w:rPr>
        <w:t>and discretionary functions and</w:t>
      </w:r>
      <w:r>
        <w:rPr>
          <w:color w:val="111111"/>
          <w:spacing w:val="-5"/>
          <w:w w:val="105"/>
          <w:sz w:val="21"/>
        </w:rPr>
        <w:t> </w:t>
      </w:r>
      <w:r>
        <w:rPr>
          <w:color w:val="111111"/>
          <w:w w:val="105"/>
          <w:sz w:val="21"/>
        </w:rPr>
        <w:t>for setting and </w:t>
      </w:r>
      <w:r>
        <w:rPr>
          <w:color w:val="1F1F1F"/>
          <w:w w:val="105"/>
          <w:sz w:val="21"/>
        </w:rPr>
        <w:t>monitoring </w:t>
      </w:r>
      <w:r>
        <w:rPr>
          <w:color w:val="111111"/>
          <w:w w:val="105"/>
          <w:sz w:val="21"/>
        </w:rPr>
        <w:t>service standards and service delivery performance indicators.</w:t>
      </w:r>
    </w:p>
    <w:p>
      <w:pPr>
        <w:pStyle w:val="BodyText"/>
        <w:spacing w:before="12"/>
        <w:rPr>
          <w:sz w:val="21"/>
        </w:rPr>
      </w:pPr>
    </w:p>
    <w:p>
      <w:pPr>
        <w:pStyle w:val="ListParagraph"/>
        <w:numPr>
          <w:ilvl w:val="0"/>
          <w:numId w:val="29"/>
        </w:numPr>
        <w:tabs>
          <w:tab w:val="left" w:leader="none" w:pos="1046"/>
          <w:tab w:val="left" w:leader="none" w:pos="1048"/>
        </w:tabs>
        <w:spacing w:before="1" w:after="0" w:line="249" w:lineRule="auto"/>
        <w:ind w:left="1046" w:right="442" w:hanging="712"/>
        <w:jc w:val="left"/>
        <w:rPr>
          <w:color w:val="111111"/>
          <w:sz w:val="21"/>
        </w:rPr>
      </w:pPr>
      <w:r>
        <w:rPr>
          <w:color w:val="111111"/>
          <w:sz w:val="21"/>
        </w:rPr>
        <w:tab/>
      </w:r>
      <w:r>
        <w:rPr>
          <w:color w:val="1F1F1F"/>
          <w:w w:val="105"/>
          <w:sz w:val="21"/>
        </w:rPr>
        <w:t>Each </w:t>
      </w:r>
      <w:r>
        <w:rPr>
          <w:color w:val="111111"/>
          <w:w w:val="105"/>
          <w:sz w:val="21"/>
        </w:rPr>
        <w:t>Member </w:t>
      </w:r>
      <w:r>
        <w:rPr>
          <w:color w:val="1F1F1F"/>
          <w:w w:val="105"/>
          <w:sz w:val="21"/>
        </w:rPr>
        <w:t>of the Executive has responsibility for </w:t>
      </w:r>
      <w:r>
        <w:rPr>
          <w:color w:val="111111"/>
          <w:w w:val="105"/>
          <w:sz w:val="21"/>
        </w:rPr>
        <w:t>a </w:t>
      </w:r>
      <w:r>
        <w:rPr>
          <w:color w:val="1F1F1F"/>
          <w:w w:val="105"/>
          <w:sz w:val="21"/>
        </w:rPr>
        <w:t>range </w:t>
      </w:r>
      <w:r>
        <w:rPr>
          <w:color w:val="111111"/>
          <w:w w:val="105"/>
          <w:sz w:val="21"/>
        </w:rPr>
        <w:t>of</w:t>
      </w:r>
      <w:r>
        <w:rPr>
          <w:color w:val="111111"/>
          <w:spacing w:val="-6"/>
          <w:w w:val="105"/>
          <w:sz w:val="21"/>
        </w:rPr>
        <w:t> </w:t>
      </w:r>
      <w:r>
        <w:rPr>
          <w:color w:val="111111"/>
          <w:w w:val="105"/>
          <w:sz w:val="21"/>
        </w:rPr>
        <w:t>Council functions, </w:t>
      </w:r>
      <w:r>
        <w:rPr>
          <w:color w:val="1F1F1F"/>
          <w:w w:val="105"/>
          <w:sz w:val="21"/>
        </w:rPr>
        <w:t>known </w:t>
      </w:r>
      <w:r>
        <w:rPr>
          <w:color w:val="111111"/>
          <w:w w:val="105"/>
          <w:sz w:val="21"/>
        </w:rPr>
        <w:t>as a </w:t>
      </w:r>
      <w:r>
        <w:rPr>
          <w:color w:val="1F1F1F"/>
          <w:w w:val="105"/>
          <w:sz w:val="21"/>
        </w:rPr>
        <w:t>portfolio and</w:t>
      </w:r>
      <w:r>
        <w:rPr>
          <w:color w:val="1F1F1F"/>
          <w:spacing w:val="-7"/>
          <w:w w:val="105"/>
          <w:sz w:val="21"/>
        </w:rPr>
        <w:t> </w:t>
      </w:r>
      <w:r>
        <w:rPr>
          <w:color w:val="1F1F1F"/>
          <w:w w:val="105"/>
          <w:sz w:val="21"/>
        </w:rPr>
        <w:t>each</w:t>
      </w:r>
      <w:r>
        <w:rPr>
          <w:color w:val="1F1F1F"/>
          <w:spacing w:val="-5"/>
          <w:w w:val="105"/>
          <w:sz w:val="21"/>
        </w:rPr>
        <w:t> </w:t>
      </w:r>
      <w:r>
        <w:rPr>
          <w:color w:val="1F1F1F"/>
          <w:w w:val="105"/>
          <w:sz w:val="21"/>
        </w:rPr>
        <w:t>portfolio-holder</w:t>
      </w:r>
      <w:r>
        <w:rPr>
          <w:color w:val="1F1F1F"/>
          <w:spacing w:val="-11"/>
          <w:w w:val="105"/>
          <w:sz w:val="21"/>
        </w:rPr>
        <w:t> </w:t>
      </w:r>
      <w:r>
        <w:rPr>
          <w:color w:val="1F1F1F"/>
          <w:w w:val="105"/>
          <w:sz w:val="21"/>
        </w:rPr>
        <w:t>is</w:t>
      </w:r>
      <w:r>
        <w:rPr>
          <w:color w:val="1F1F1F"/>
          <w:spacing w:val="-6"/>
          <w:w w:val="105"/>
          <w:sz w:val="21"/>
        </w:rPr>
        <w:t> </w:t>
      </w:r>
      <w:r>
        <w:rPr>
          <w:color w:val="111111"/>
          <w:w w:val="105"/>
          <w:sz w:val="21"/>
        </w:rPr>
        <w:t>required</w:t>
      </w:r>
      <w:r>
        <w:rPr>
          <w:color w:val="111111"/>
          <w:spacing w:val="-4"/>
          <w:w w:val="105"/>
          <w:sz w:val="21"/>
        </w:rPr>
        <w:t> </w:t>
      </w:r>
      <w:r>
        <w:rPr>
          <w:color w:val="1F1F1F"/>
          <w:w w:val="105"/>
          <w:sz w:val="21"/>
        </w:rPr>
        <w:t>to</w:t>
      </w:r>
      <w:r>
        <w:rPr>
          <w:color w:val="1F1F1F"/>
          <w:spacing w:val="-6"/>
          <w:w w:val="105"/>
          <w:sz w:val="21"/>
        </w:rPr>
        <w:t> </w:t>
      </w:r>
      <w:r>
        <w:rPr>
          <w:color w:val="1F1F1F"/>
          <w:w w:val="105"/>
          <w:sz w:val="21"/>
        </w:rPr>
        <w:t>work closely </w:t>
      </w:r>
      <w:r>
        <w:rPr>
          <w:color w:val="111111"/>
          <w:w w:val="105"/>
          <w:sz w:val="21"/>
        </w:rPr>
        <w:t>with</w:t>
      </w:r>
      <w:r>
        <w:rPr>
          <w:color w:val="111111"/>
          <w:spacing w:val="-6"/>
          <w:w w:val="105"/>
          <w:sz w:val="21"/>
        </w:rPr>
        <w:t> </w:t>
      </w:r>
      <w:r>
        <w:rPr>
          <w:color w:val="111111"/>
          <w:w w:val="105"/>
          <w:sz w:val="21"/>
        </w:rPr>
        <w:t>Directors and</w:t>
      </w:r>
      <w:r>
        <w:rPr>
          <w:color w:val="111111"/>
          <w:spacing w:val="-9"/>
          <w:w w:val="105"/>
          <w:sz w:val="21"/>
        </w:rPr>
        <w:t> </w:t>
      </w:r>
      <w:r>
        <w:rPr>
          <w:color w:val="111111"/>
          <w:w w:val="105"/>
          <w:sz w:val="21"/>
        </w:rPr>
        <w:t>Heads</w:t>
      </w:r>
      <w:r>
        <w:rPr>
          <w:color w:val="111111"/>
          <w:spacing w:val="-4"/>
          <w:w w:val="105"/>
          <w:sz w:val="21"/>
        </w:rPr>
        <w:t> </w:t>
      </w:r>
      <w:r>
        <w:rPr>
          <w:color w:val="1F1F1F"/>
          <w:w w:val="105"/>
          <w:sz w:val="21"/>
        </w:rPr>
        <w:t>of</w:t>
      </w:r>
      <w:r>
        <w:rPr>
          <w:color w:val="1F1F1F"/>
          <w:spacing w:val="-12"/>
          <w:w w:val="105"/>
          <w:sz w:val="21"/>
        </w:rPr>
        <w:t> </w:t>
      </w:r>
      <w:r>
        <w:rPr>
          <w:color w:val="111111"/>
          <w:w w:val="105"/>
          <w:sz w:val="21"/>
        </w:rPr>
        <w:t>Service </w:t>
      </w:r>
      <w:r>
        <w:rPr>
          <w:color w:val="1F1F1F"/>
          <w:w w:val="105"/>
          <w:sz w:val="21"/>
        </w:rPr>
        <w:t>and develop an </w:t>
      </w:r>
      <w:r>
        <w:rPr>
          <w:color w:val="363636"/>
          <w:w w:val="105"/>
          <w:sz w:val="21"/>
        </w:rPr>
        <w:t>in-depth </w:t>
      </w:r>
      <w:r>
        <w:rPr>
          <w:color w:val="1F1F1F"/>
          <w:w w:val="105"/>
          <w:sz w:val="21"/>
        </w:rPr>
        <w:t>knowledge </w:t>
      </w:r>
      <w:r>
        <w:rPr>
          <w:color w:val="111111"/>
          <w:w w:val="105"/>
          <w:sz w:val="21"/>
        </w:rPr>
        <w:t>of</w:t>
      </w:r>
      <w:r>
        <w:rPr>
          <w:color w:val="111111"/>
          <w:spacing w:val="-1"/>
          <w:w w:val="105"/>
          <w:sz w:val="21"/>
        </w:rPr>
        <w:t> </w:t>
      </w:r>
      <w:r>
        <w:rPr>
          <w:color w:val="1F1F1F"/>
          <w:w w:val="105"/>
          <w:sz w:val="21"/>
        </w:rPr>
        <w:t>their portfolio </w:t>
      </w:r>
      <w:r>
        <w:rPr>
          <w:color w:val="111111"/>
          <w:w w:val="105"/>
          <w:sz w:val="21"/>
        </w:rPr>
        <w:t>area.</w:t>
      </w:r>
    </w:p>
    <w:p>
      <w:pPr>
        <w:pStyle w:val="BodyText"/>
        <w:spacing w:before="18"/>
        <w:rPr>
          <w:sz w:val="21"/>
        </w:rPr>
      </w:pPr>
    </w:p>
    <w:p>
      <w:pPr>
        <w:pStyle w:val="ListParagraph"/>
        <w:numPr>
          <w:ilvl w:val="0"/>
          <w:numId w:val="29"/>
        </w:numPr>
        <w:tabs>
          <w:tab w:val="left" w:leader="none" w:pos="1017"/>
          <w:tab w:val="left" w:leader="none" w:pos="1035"/>
        </w:tabs>
        <w:spacing w:before="1" w:after="0" w:line="252" w:lineRule="auto"/>
        <w:ind w:left="1017" w:right="108" w:hanging="692"/>
        <w:jc w:val="left"/>
        <w:rPr>
          <w:color w:val="111111"/>
          <w:sz w:val="21"/>
        </w:rPr>
      </w:pPr>
      <w:r>
        <w:rPr>
          <w:color w:val="111111"/>
          <w:sz w:val="21"/>
        </w:rPr>
        <w:tab/>
      </w:r>
      <w:r>
        <w:rPr>
          <w:color w:val="111111"/>
          <w:w w:val="105"/>
          <w:sz w:val="21"/>
        </w:rPr>
        <w:t>The</w:t>
      </w:r>
      <w:r>
        <w:rPr>
          <w:color w:val="111111"/>
          <w:spacing w:val="-5"/>
          <w:w w:val="105"/>
          <w:sz w:val="21"/>
        </w:rPr>
        <w:t> </w:t>
      </w:r>
      <w:r>
        <w:rPr>
          <w:color w:val="111111"/>
          <w:w w:val="105"/>
          <w:sz w:val="21"/>
        </w:rPr>
        <w:t>dates of</w:t>
      </w:r>
      <w:r>
        <w:rPr>
          <w:color w:val="111111"/>
          <w:spacing w:val="-6"/>
          <w:w w:val="105"/>
          <w:sz w:val="21"/>
        </w:rPr>
        <w:t> </w:t>
      </w:r>
      <w:r>
        <w:rPr>
          <w:color w:val="111111"/>
          <w:w w:val="105"/>
          <w:sz w:val="21"/>
        </w:rPr>
        <w:t>all</w:t>
      </w:r>
      <w:r>
        <w:rPr>
          <w:color w:val="111111"/>
          <w:spacing w:val="-9"/>
          <w:w w:val="105"/>
          <w:sz w:val="21"/>
        </w:rPr>
        <w:t> </w:t>
      </w:r>
      <w:r>
        <w:rPr>
          <w:color w:val="111111"/>
          <w:w w:val="105"/>
          <w:sz w:val="21"/>
        </w:rPr>
        <w:t>Executive meeting are</w:t>
      </w:r>
      <w:r>
        <w:rPr>
          <w:color w:val="111111"/>
          <w:spacing w:val="-8"/>
          <w:w w:val="105"/>
          <w:sz w:val="21"/>
        </w:rPr>
        <w:t> </w:t>
      </w:r>
      <w:r>
        <w:rPr>
          <w:color w:val="111111"/>
          <w:w w:val="105"/>
          <w:sz w:val="21"/>
        </w:rPr>
        <w:t>pre-published and</w:t>
      </w:r>
      <w:r>
        <w:rPr>
          <w:color w:val="111111"/>
          <w:spacing w:val="-7"/>
          <w:w w:val="105"/>
          <w:sz w:val="21"/>
        </w:rPr>
        <w:t> </w:t>
      </w:r>
      <w:r>
        <w:rPr>
          <w:color w:val="111111"/>
          <w:w w:val="105"/>
          <w:sz w:val="21"/>
        </w:rPr>
        <w:t>all</w:t>
      </w:r>
      <w:r>
        <w:rPr>
          <w:color w:val="111111"/>
          <w:spacing w:val="-11"/>
          <w:w w:val="105"/>
          <w:sz w:val="21"/>
        </w:rPr>
        <w:t> </w:t>
      </w:r>
      <w:r>
        <w:rPr>
          <w:color w:val="111111"/>
          <w:w w:val="105"/>
          <w:sz w:val="21"/>
        </w:rPr>
        <w:t>executive decisions have</w:t>
      </w:r>
      <w:r>
        <w:rPr>
          <w:color w:val="111111"/>
          <w:spacing w:val="-3"/>
          <w:w w:val="105"/>
          <w:sz w:val="21"/>
        </w:rPr>
        <w:t> </w:t>
      </w:r>
      <w:r>
        <w:rPr>
          <w:color w:val="111111"/>
          <w:w w:val="105"/>
          <w:sz w:val="21"/>
        </w:rPr>
        <w:t>been</w:t>
      </w:r>
      <w:r>
        <w:rPr>
          <w:color w:val="111111"/>
          <w:spacing w:val="-4"/>
          <w:w w:val="105"/>
          <w:sz w:val="21"/>
        </w:rPr>
        <w:t> </w:t>
      </w:r>
      <w:r>
        <w:rPr>
          <w:color w:val="111111"/>
          <w:w w:val="105"/>
          <w:sz w:val="21"/>
        </w:rPr>
        <w:t>taken</w:t>
      </w:r>
      <w:r>
        <w:rPr>
          <w:color w:val="111111"/>
          <w:spacing w:val="-7"/>
          <w:w w:val="105"/>
          <w:sz w:val="21"/>
        </w:rPr>
        <w:t> </w:t>
      </w:r>
      <w:r>
        <w:rPr>
          <w:color w:val="111111"/>
          <w:w w:val="105"/>
          <w:sz w:val="21"/>
        </w:rPr>
        <w:t>in </w:t>
      </w:r>
      <w:r>
        <w:rPr>
          <w:color w:val="1F1F1F"/>
          <w:w w:val="105"/>
          <w:sz w:val="21"/>
        </w:rPr>
        <w:t>public apart from a small number </w:t>
      </w:r>
      <w:r>
        <w:rPr>
          <w:color w:val="111111"/>
          <w:w w:val="105"/>
          <w:sz w:val="21"/>
        </w:rPr>
        <w:t>of</w:t>
      </w:r>
      <w:r>
        <w:rPr>
          <w:color w:val="111111"/>
          <w:spacing w:val="-4"/>
          <w:w w:val="105"/>
          <w:sz w:val="21"/>
        </w:rPr>
        <w:t> </w:t>
      </w:r>
      <w:r>
        <w:rPr>
          <w:color w:val="1F1F1F"/>
          <w:w w:val="105"/>
          <w:sz w:val="21"/>
        </w:rPr>
        <w:t>reports which were </w:t>
      </w:r>
      <w:r>
        <w:rPr>
          <w:color w:val="111111"/>
          <w:w w:val="105"/>
          <w:sz w:val="21"/>
        </w:rPr>
        <w:t>considered and</w:t>
      </w:r>
      <w:r>
        <w:rPr>
          <w:color w:val="111111"/>
          <w:spacing w:val="-4"/>
          <w:w w:val="105"/>
          <w:sz w:val="21"/>
        </w:rPr>
        <w:t> </w:t>
      </w:r>
      <w:r>
        <w:rPr>
          <w:color w:val="1F1F1F"/>
          <w:w w:val="105"/>
          <w:sz w:val="21"/>
        </w:rPr>
        <w:t>determined </w:t>
      </w:r>
      <w:r>
        <w:rPr>
          <w:color w:val="111111"/>
          <w:w w:val="105"/>
          <w:sz w:val="21"/>
        </w:rPr>
        <w:t>after </w:t>
      </w:r>
      <w:r>
        <w:rPr>
          <w:color w:val="1F1F1F"/>
          <w:w w:val="105"/>
          <w:sz w:val="21"/>
        </w:rPr>
        <w:t>the </w:t>
      </w:r>
      <w:r>
        <w:rPr>
          <w:color w:val="111111"/>
          <w:w w:val="105"/>
          <w:sz w:val="21"/>
        </w:rPr>
        <w:t>press </w:t>
      </w:r>
      <w:r>
        <w:rPr>
          <w:color w:val="1F1F1F"/>
          <w:w w:val="105"/>
          <w:sz w:val="21"/>
        </w:rPr>
        <w:t>and</w:t>
      </w:r>
      <w:r>
        <w:rPr>
          <w:color w:val="1F1F1F"/>
          <w:spacing w:val="-1"/>
          <w:w w:val="105"/>
          <w:sz w:val="21"/>
        </w:rPr>
        <w:t> </w:t>
      </w:r>
      <w:r>
        <w:rPr>
          <w:color w:val="1F1F1F"/>
          <w:w w:val="105"/>
          <w:sz w:val="21"/>
        </w:rPr>
        <w:t>public has been</w:t>
      </w:r>
      <w:r>
        <w:rPr>
          <w:color w:val="1F1F1F"/>
          <w:spacing w:val="-1"/>
          <w:w w:val="105"/>
          <w:sz w:val="21"/>
        </w:rPr>
        <w:t> </w:t>
      </w:r>
      <w:r>
        <w:rPr>
          <w:color w:val="363636"/>
          <w:w w:val="105"/>
          <w:sz w:val="21"/>
        </w:rPr>
        <w:t>lawfully </w:t>
      </w:r>
      <w:r>
        <w:rPr>
          <w:color w:val="1F1F1F"/>
          <w:w w:val="105"/>
          <w:sz w:val="21"/>
        </w:rPr>
        <w:t>excluded (for </w:t>
      </w:r>
      <w:r>
        <w:rPr>
          <w:color w:val="111111"/>
          <w:w w:val="105"/>
          <w:sz w:val="21"/>
        </w:rPr>
        <w:t>example</w:t>
      </w:r>
      <w:r>
        <w:rPr>
          <w:color w:val="4F4F4F"/>
          <w:w w:val="105"/>
          <w:sz w:val="21"/>
        </w:rPr>
        <w:t>,</w:t>
      </w:r>
      <w:r>
        <w:rPr>
          <w:color w:val="4F4F4F"/>
          <w:spacing w:val="-8"/>
          <w:w w:val="105"/>
          <w:sz w:val="21"/>
        </w:rPr>
        <w:t> </w:t>
      </w:r>
      <w:r>
        <w:rPr>
          <w:color w:val="1F1F1F"/>
          <w:w w:val="105"/>
          <w:sz w:val="21"/>
        </w:rPr>
        <w:t>to protect personal </w:t>
      </w:r>
      <w:r>
        <w:rPr>
          <w:color w:val="111111"/>
          <w:w w:val="105"/>
          <w:sz w:val="21"/>
        </w:rPr>
        <w:t>or</w:t>
      </w:r>
      <w:r>
        <w:rPr>
          <w:color w:val="111111"/>
          <w:spacing w:val="-3"/>
          <w:w w:val="105"/>
          <w:sz w:val="21"/>
        </w:rPr>
        <w:t> </w:t>
      </w:r>
      <w:r>
        <w:rPr>
          <w:color w:val="1F1F1F"/>
          <w:w w:val="105"/>
          <w:sz w:val="21"/>
        </w:rPr>
        <w:t>commercially</w:t>
      </w:r>
      <w:r>
        <w:rPr>
          <w:color w:val="1F1F1F"/>
          <w:spacing w:val="36"/>
          <w:w w:val="105"/>
          <w:sz w:val="21"/>
        </w:rPr>
        <w:t> </w:t>
      </w:r>
      <w:r>
        <w:rPr>
          <w:color w:val="1F1F1F"/>
          <w:w w:val="105"/>
          <w:sz w:val="21"/>
        </w:rPr>
        <w:t>sensitive information</w:t>
      </w:r>
      <w:r>
        <w:rPr>
          <w:color w:val="1F1F1F"/>
          <w:spacing w:val="33"/>
          <w:w w:val="105"/>
          <w:sz w:val="21"/>
        </w:rPr>
        <w:t> </w:t>
      </w:r>
      <w:r>
        <w:rPr>
          <w:color w:val="111111"/>
          <w:w w:val="105"/>
          <w:sz w:val="21"/>
        </w:rPr>
        <w:t>or </w:t>
      </w:r>
      <w:r>
        <w:rPr>
          <w:color w:val="1F1F1F"/>
          <w:w w:val="105"/>
          <w:sz w:val="21"/>
        </w:rPr>
        <w:t>to </w:t>
      </w:r>
      <w:r>
        <w:rPr>
          <w:color w:val="111111"/>
          <w:w w:val="105"/>
          <w:sz w:val="21"/>
        </w:rPr>
        <w:t>receive </w:t>
      </w:r>
      <w:r>
        <w:rPr>
          <w:color w:val="1F1F1F"/>
          <w:w w:val="105"/>
          <w:sz w:val="21"/>
        </w:rPr>
        <w:t>confidential legal advice)</w:t>
      </w:r>
      <w:r>
        <w:rPr>
          <w:color w:val="4F4F4F"/>
          <w:w w:val="105"/>
          <w:sz w:val="21"/>
        </w:rPr>
        <w:t>.</w:t>
      </w:r>
      <w:r>
        <w:rPr>
          <w:color w:val="4F4F4F"/>
          <w:spacing w:val="-6"/>
          <w:w w:val="105"/>
          <w:sz w:val="21"/>
        </w:rPr>
        <w:t> </w:t>
      </w:r>
      <w:r>
        <w:rPr>
          <w:color w:val="1F1F1F"/>
          <w:w w:val="105"/>
          <w:sz w:val="21"/>
        </w:rPr>
        <w:t>Agendas</w:t>
      </w:r>
      <w:r>
        <w:rPr>
          <w:color w:val="4F4F4F"/>
          <w:w w:val="105"/>
          <w:sz w:val="21"/>
        </w:rPr>
        <w:t>,</w:t>
      </w:r>
      <w:r>
        <w:rPr>
          <w:color w:val="4F4F4F"/>
          <w:spacing w:val="-3"/>
          <w:w w:val="105"/>
          <w:sz w:val="21"/>
        </w:rPr>
        <w:t> </w:t>
      </w:r>
      <w:r>
        <w:rPr>
          <w:color w:val="1F1F1F"/>
          <w:w w:val="105"/>
          <w:sz w:val="21"/>
        </w:rPr>
        <w:t>open reports and the minutes of the </w:t>
      </w:r>
      <w:r>
        <w:rPr>
          <w:color w:val="111111"/>
          <w:w w:val="105"/>
          <w:sz w:val="21"/>
        </w:rPr>
        <w:t>meetings are</w:t>
      </w:r>
      <w:r>
        <w:rPr>
          <w:color w:val="111111"/>
          <w:spacing w:val="-3"/>
          <w:w w:val="105"/>
          <w:sz w:val="21"/>
        </w:rPr>
        <w:t> </w:t>
      </w:r>
      <w:r>
        <w:rPr>
          <w:color w:val="1F1F1F"/>
          <w:w w:val="105"/>
          <w:sz w:val="21"/>
        </w:rPr>
        <w:t>available </w:t>
      </w:r>
      <w:r>
        <w:rPr>
          <w:color w:val="111111"/>
          <w:w w:val="105"/>
          <w:sz w:val="21"/>
        </w:rPr>
        <w:t>on</w:t>
      </w:r>
      <w:r>
        <w:rPr>
          <w:color w:val="111111"/>
          <w:spacing w:val="-10"/>
          <w:w w:val="105"/>
          <w:sz w:val="21"/>
        </w:rPr>
        <w:t> </w:t>
      </w:r>
      <w:r>
        <w:rPr>
          <w:color w:val="111111"/>
          <w:w w:val="105"/>
          <w:sz w:val="21"/>
        </w:rPr>
        <w:t>the</w:t>
      </w:r>
      <w:r>
        <w:rPr>
          <w:color w:val="111111"/>
          <w:spacing w:val="-9"/>
          <w:w w:val="105"/>
          <w:sz w:val="21"/>
        </w:rPr>
        <w:t> </w:t>
      </w:r>
      <w:r>
        <w:rPr>
          <w:color w:val="111111"/>
          <w:w w:val="105"/>
          <w:sz w:val="21"/>
        </w:rPr>
        <w:t>Council's web</w:t>
      </w:r>
      <w:r>
        <w:rPr>
          <w:color w:val="111111"/>
          <w:spacing w:val="-7"/>
          <w:w w:val="105"/>
          <w:sz w:val="21"/>
        </w:rPr>
        <w:t> </w:t>
      </w:r>
      <w:r>
        <w:rPr>
          <w:color w:val="111111"/>
          <w:w w:val="105"/>
          <w:sz w:val="21"/>
        </w:rPr>
        <w:t>site</w:t>
      </w:r>
      <w:r>
        <w:rPr>
          <w:color w:val="111111"/>
          <w:spacing w:val="-7"/>
          <w:w w:val="105"/>
          <w:sz w:val="21"/>
        </w:rPr>
        <w:t> </w:t>
      </w:r>
      <w:r>
        <w:rPr>
          <w:color w:val="1F1F1F"/>
          <w:w w:val="105"/>
          <w:sz w:val="21"/>
        </w:rPr>
        <w:t>and</w:t>
      </w:r>
      <w:r>
        <w:rPr>
          <w:color w:val="1F1F1F"/>
          <w:spacing w:val="-8"/>
          <w:w w:val="105"/>
          <w:sz w:val="21"/>
        </w:rPr>
        <w:t> </w:t>
      </w:r>
      <w:r>
        <w:rPr>
          <w:color w:val="1F1F1F"/>
          <w:w w:val="105"/>
          <w:sz w:val="21"/>
        </w:rPr>
        <w:t>all</w:t>
      </w:r>
      <w:r>
        <w:rPr>
          <w:color w:val="1F1F1F"/>
          <w:spacing w:val="-11"/>
          <w:w w:val="105"/>
          <w:sz w:val="21"/>
        </w:rPr>
        <w:t> </w:t>
      </w:r>
      <w:r>
        <w:rPr>
          <w:color w:val="1F1F1F"/>
          <w:w w:val="105"/>
          <w:sz w:val="21"/>
        </w:rPr>
        <w:t>background documents can</w:t>
      </w:r>
      <w:r>
        <w:rPr>
          <w:color w:val="1F1F1F"/>
          <w:spacing w:val="-7"/>
          <w:w w:val="105"/>
          <w:sz w:val="21"/>
        </w:rPr>
        <w:t> </w:t>
      </w:r>
      <w:r>
        <w:rPr>
          <w:color w:val="111111"/>
          <w:w w:val="105"/>
          <w:sz w:val="21"/>
        </w:rPr>
        <w:t>be</w:t>
      </w:r>
      <w:r>
        <w:rPr>
          <w:color w:val="111111"/>
          <w:spacing w:val="-5"/>
          <w:w w:val="105"/>
          <w:sz w:val="21"/>
        </w:rPr>
        <w:t> </w:t>
      </w:r>
      <w:r>
        <w:rPr>
          <w:color w:val="1F1F1F"/>
          <w:w w:val="105"/>
          <w:sz w:val="21"/>
        </w:rPr>
        <w:t>inspected </w:t>
      </w:r>
      <w:r>
        <w:rPr>
          <w:color w:val="111111"/>
          <w:w w:val="105"/>
          <w:sz w:val="21"/>
        </w:rPr>
        <w:t>by the public for </w:t>
      </w:r>
      <w:r>
        <w:rPr>
          <w:color w:val="1F1F1F"/>
          <w:w w:val="105"/>
          <w:sz w:val="21"/>
        </w:rPr>
        <w:t>six years </w:t>
      </w:r>
      <w:r>
        <w:rPr>
          <w:color w:val="111111"/>
          <w:w w:val="105"/>
          <w:sz w:val="21"/>
        </w:rPr>
        <w:t>after the </w:t>
      </w:r>
      <w:r>
        <w:rPr>
          <w:color w:val="1F1F1F"/>
          <w:w w:val="105"/>
          <w:sz w:val="21"/>
        </w:rPr>
        <w:t>date </w:t>
      </w:r>
      <w:r>
        <w:rPr>
          <w:color w:val="111111"/>
          <w:w w:val="105"/>
          <w:sz w:val="21"/>
        </w:rPr>
        <w:t>of the decision.</w:t>
      </w:r>
    </w:p>
    <w:p>
      <w:pPr>
        <w:pStyle w:val="BodyText"/>
        <w:spacing w:before="10"/>
        <w:rPr>
          <w:sz w:val="21"/>
        </w:rPr>
      </w:pPr>
    </w:p>
    <w:p>
      <w:pPr>
        <w:pStyle w:val="ListParagraph"/>
        <w:numPr>
          <w:ilvl w:val="0"/>
          <w:numId w:val="29"/>
        </w:numPr>
        <w:tabs>
          <w:tab w:val="left" w:leader="none" w:pos="998"/>
          <w:tab w:val="left" w:leader="none" w:pos="1007"/>
        </w:tabs>
        <w:spacing w:before="0" w:after="0" w:line="252" w:lineRule="auto"/>
        <w:ind w:left="998" w:right="411" w:hanging="703"/>
        <w:jc w:val="left"/>
        <w:rPr>
          <w:color w:val="111111"/>
          <w:sz w:val="21"/>
        </w:rPr>
      </w:pPr>
      <w:r>
        <w:rPr>
          <w:color w:val="111111"/>
          <w:sz w:val="21"/>
        </w:rPr>
        <w:tab/>
      </w:r>
      <w:r>
        <w:rPr>
          <w:color w:val="111111"/>
          <w:w w:val="105"/>
          <w:sz w:val="21"/>
        </w:rPr>
        <w:t>The Executive are unable to take</w:t>
      </w:r>
      <w:r>
        <w:rPr>
          <w:color w:val="111111"/>
          <w:spacing w:val="-1"/>
          <w:w w:val="105"/>
          <w:sz w:val="21"/>
        </w:rPr>
        <w:t> </w:t>
      </w:r>
      <w:r>
        <w:rPr>
          <w:color w:val="111111"/>
          <w:w w:val="105"/>
          <w:sz w:val="21"/>
        </w:rPr>
        <w:t>key decision that have not been</w:t>
      </w:r>
      <w:r>
        <w:rPr>
          <w:color w:val="111111"/>
          <w:spacing w:val="-2"/>
          <w:w w:val="105"/>
          <w:sz w:val="21"/>
        </w:rPr>
        <w:t> </w:t>
      </w:r>
      <w:r>
        <w:rPr>
          <w:color w:val="111111"/>
          <w:w w:val="105"/>
          <w:sz w:val="21"/>
        </w:rPr>
        <w:t>published in the Forward Plan unless the general exception or urgency procedures are </w:t>
      </w:r>
      <w:r>
        <w:rPr>
          <w:color w:val="1F1F1F"/>
          <w:w w:val="105"/>
          <w:sz w:val="21"/>
        </w:rPr>
        <w:t>followed </w:t>
      </w:r>
      <w:r>
        <w:rPr>
          <w:color w:val="111111"/>
          <w:w w:val="105"/>
          <w:sz w:val="21"/>
        </w:rPr>
        <w:t>and officers are </w:t>
      </w:r>
      <w:r>
        <w:rPr>
          <w:color w:val="1F1F1F"/>
          <w:w w:val="105"/>
          <w:sz w:val="21"/>
        </w:rPr>
        <w:t>unable to </w:t>
      </w:r>
      <w:r>
        <w:rPr>
          <w:color w:val="111111"/>
          <w:w w:val="105"/>
          <w:sz w:val="21"/>
        </w:rPr>
        <w:t>implement key</w:t>
      </w:r>
      <w:r>
        <w:rPr>
          <w:color w:val="111111"/>
          <w:spacing w:val="-2"/>
          <w:w w:val="105"/>
          <w:sz w:val="21"/>
        </w:rPr>
        <w:t> </w:t>
      </w:r>
      <w:r>
        <w:rPr>
          <w:color w:val="1F1F1F"/>
          <w:w w:val="105"/>
          <w:sz w:val="21"/>
        </w:rPr>
        <w:t>decisions until</w:t>
      </w:r>
      <w:r>
        <w:rPr>
          <w:color w:val="1F1F1F"/>
          <w:spacing w:val="-8"/>
          <w:w w:val="105"/>
          <w:sz w:val="21"/>
        </w:rPr>
        <w:t> </w:t>
      </w:r>
      <w:r>
        <w:rPr>
          <w:color w:val="111111"/>
          <w:w w:val="105"/>
          <w:sz w:val="21"/>
        </w:rPr>
        <w:t>the</w:t>
      </w:r>
      <w:r>
        <w:rPr>
          <w:color w:val="111111"/>
          <w:spacing w:val="-4"/>
          <w:w w:val="105"/>
          <w:sz w:val="21"/>
        </w:rPr>
        <w:t> </w:t>
      </w:r>
      <w:r>
        <w:rPr>
          <w:color w:val="1F1F1F"/>
          <w:w w:val="105"/>
          <w:sz w:val="21"/>
        </w:rPr>
        <w:t>five</w:t>
      </w:r>
      <w:r>
        <w:rPr>
          <w:color w:val="1F1F1F"/>
          <w:spacing w:val="-13"/>
          <w:w w:val="105"/>
          <w:sz w:val="21"/>
        </w:rPr>
        <w:t> </w:t>
      </w:r>
      <w:r>
        <w:rPr>
          <w:color w:val="111111"/>
          <w:w w:val="105"/>
          <w:sz w:val="21"/>
        </w:rPr>
        <w:t>day 'call</w:t>
      </w:r>
      <w:r>
        <w:rPr>
          <w:color w:val="363636"/>
          <w:w w:val="105"/>
          <w:sz w:val="21"/>
        </w:rPr>
        <w:t>-i</w:t>
      </w:r>
      <w:r>
        <w:rPr>
          <w:color w:val="111111"/>
          <w:w w:val="105"/>
          <w:sz w:val="21"/>
        </w:rPr>
        <w:t>n</w:t>
      </w:r>
      <w:r>
        <w:rPr>
          <w:color w:val="4F4F4F"/>
          <w:w w:val="105"/>
          <w:sz w:val="21"/>
        </w:rPr>
        <w:t>'</w:t>
      </w:r>
      <w:r>
        <w:rPr>
          <w:color w:val="4F4F4F"/>
          <w:spacing w:val="-12"/>
          <w:w w:val="105"/>
          <w:sz w:val="21"/>
        </w:rPr>
        <w:t> </w:t>
      </w:r>
      <w:r>
        <w:rPr>
          <w:color w:val="111111"/>
          <w:w w:val="105"/>
          <w:sz w:val="21"/>
        </w:rPr>
        <w:t>period </w:t>
      </w:r>
      <w:r>
        <w:rPr>
          <w:color w:val="1F1F1F"/>
          <w:w w:val="105"/>
          <w:sz w:val="21"/>
        </w:rPr>
        <w:t>has</w:t>
      </w:r>
      <w:r>
        <w:rPr>
          <w:color w:val="1F1F1F"/>
          <w:spacing w:val="-9"/>
          <w:w w:val="105"/>
          <w:sz w:val="21"/>
        </w:rPr>
        <w:t> </w:t>
      </w:r>
      <w:r>
        <w:rPr>
          <w:color w:val="111111"/>
          <w:w w:val="105"/>
          <w:sz w:val="21"/>
        </w:rPr>
        <w:t>elapsed</w:t>
      </w:r>
      <w:r>
        <w:rPr>
          <w:color w:val="111111"/>
          <w:spacing w:val="-6"/>
          <w:w w:val="105"/>
          <w:sz w:val="21"/>
        </w:rPr>
        <w:t> </w:t>
      </w:r>
      <w:r>
        <w:rPr>
          <w:color w:val="111111"/>
          <w:w w:val="105"/>
          <w:sz w:val="21"/>
        </w:rPr>
        <w:t>-</w:t>
      </w:r>
      <w:r>
        <w:rPr>
          <w:color w:val="111111"/>
          <w:spacing w:val="40"/>
          <w:w w:val="105"/>
          <w:sz w:val="21"/>
        </w:rPr>
        <w:t> </w:t>
      </w:r>
      <w:r>
        <w:rPr>
          <w:color w:val="111111"/>
          <w:w w:val="105"/>
          <w:sz w:val="21"/>
        </w:rPr>
        <w:t>except for</w:t>
      </w:r>
      <w:r>
        <w:rPr>
          <w:color w:val="111111"/>
          <w:spacing w:val="-3"/>
          <w:w w:val="105"/>
          <w:sz w:val="21"/>
        </w:rPr>
        <w:t> </w:t>
      </w:r>
      <w:r>
        <w:rPr>
          <w:color w:val="1F1F1F"/>
          <w:w w:val="105"/>
          <w:sz w:val="21"/>
        </w:rPr>
        <w:t>those decisions </w:t>
      </w:r>
      <w:r>
        <w:rPr>
          <w:color w:val="111111"/>
          <w:w w:val="105"/>
          <w:sz w:val="21"/>
        </w:rPr>
        <w:t>taken under urgency procedures.</w:t>
      </w:r>
    </w:p>
    <w:p>
      <w:pPr>
        <w:pStyle w:val="BodyText"/>
        <w:spacing w:before="13"/>
        <w:rPr>
          <w:sz w:val="21"/>
        </w:rPr>
      </w:pPr>
    </w:p>
    <w:p>
      <w:pPr>
        <w:pStyle w:val="ListParagraph"/>
        <w:numPr>
          <w:ilvl w:val="0"/>
          <w:numId w:val="29"/>
        </w:numPr>
        <w:tabs>
          <w:tab w:val="left" w:leader="none" w:pos="989"/>
          <w:tab w:val="left" w:leader="none" w:pos="992"/>
        </w:tabs>
        <w:spacing w:before="0" w:after="0" w:line="252" w:lineRule="auto"/>
        <w:ind w:left="989" w:right="321" w:hanging="708"/>
        <w:jc w:val="left"/>
        <w:rPr>
          <w:color w:val="111111"/>
          <w:sz w:val="21"/>
        </w:rPr>
      </w:pPr>
      <w:r>
        <w:rPr>
          <w:color w:val="111111"/>
          <w:sz w:val="21"/>
        </w:rPr>
        <w:tab/>
      </w:r>
      <w:r>
        <w:rPr>
          <w:color w:val="111111"/>
          <w:w w:val="105"/>
          <w:sz w:val="21"/>
        </w:rPr>
        <w:t>The</w:t>
      </w:r>
      <w:r>
        <w:rPr>
          <w:color w:val="111111"/>
          <w:spacing w:val="-7"/>
          <w:w w:val="105"/>
          <w:sz w:val="21"/>
        </w:rPr>
        <w:t> </w:t>
      </w:r>
      <w:r>
        <w:rPr>
          <w:color w:val="111111"/>
          <w:w w:val="105"/>
          <w:sz w:val="21"/>
        </w:rPr>
        <w:t>Executive met 9</w:t>
      </w:r>
      <w:r>
        <w:rPr>
          <w:color w:val="111111"/>
          <w:spacing w:val="-16"/>
          <w:w w:val="105"/>
          <w:sz w:val="21"/>
        </w:rPr>
        <w:t> </w:t>
      </w:r>
      <w:r>
        <w:rPr>
          <w:color w:val="111111"/>
          <w:w w:val="105"/>
          <w:sz w:val="21"/>
        </w:rPr>
        <w:t>times</w:t>
      </w:r>
      <w:r>
        <w:rPr>
          <w:color w:val="111111"/>
          <w:spacing w:val="-2"/>
          <w:w w:val="105"/>
          <w:sz w:val="21"/>
        </w:rPr>
        <w:t> </w:t>
      </w:r>
      <w:r>
        <w:rPr>
          <w:color w:val="111111"/>
          <w:w w:val="105"/>
          <w:sz w:val="21"/>
        </w:rPr>
        <w:t>during</w:t>
      </w:r>
      <w:r>
        <w:rPr>
          <w:color w:val="111111"/>
          <w:spacing w:val="-5"/>
          <w:w w:val="105"/>
          <w:sz w:val="21"/>
        </w:rPr>
        <w:t> </w:t>
      </w:r>
      <w:r>
        <w:rPr>
          <w:color w:val="111111"/>
          <w:w w:val="105"/>
          <w:sz w:val="21"/>
        </w:rPr>
        <w:t>the</w:t>
      </w:r>
      <w:r>
        <w:rPr>
          <w:color w:val="111111"/>
          <w:spacing w:val="-5"/>
          <w:w w:val="105"/>
          <w:sz w:val="21"/>
        </w:rPr>
        <w:t> </w:t>
      </w:r>
      <w:r>
        <w:rPr>
          <w:color w:val="111111"/>
          <w:w w:val="105"/>
          <w:sz w:val="21"/>
        </w:rPr>
        <w:t>2022/23</w:t>
      </w:r>
      <w:r>
        <w:rPr>
          <w:color w:val="111111"/>
          <w:spacing w:val="-1"/>
          <w:w w:val="105"/>
          <w:sz w:val="21"/>
        </w:rPr>
        <w:t> </w:t>
      </w:r>
      <w:r>
        <w:rPr>
          <w:color w:val="111111"/>
          <w:w w:val="105"/>
          <w:sz w:val="21"/>
        </w:rPr>
        <w:t>financial year.</w:t>
      </w:r>
      <w:r>
        <w:rPr>
          <w:color w:val="111111"/>
          <w:spacing w:val="-2"/>
          <w:w w:val="105"/>
          <w:sz w:val="21"/>
        </w:rPr>
        <w:t> </w:t>
      </w:r>
      <w:r>
        <w:rPr>
          <w:color w:val="111111"/>
          <w:w w:val="105"/>
          <w:sz w:val="21"/>
        </w:rPr>
        <w:t>Agendas,</w:t>
      </w:r>
      <w:r>
        <w:rPr>
          <w:color w:val="111111"/>
          <w:spacing w:val="-1"/>
          <w:w w:val="105"/>
          <w:sz w:val="21"/>
        </w:rPr>
        <w:t> </w:t>
      </w:r>
      <w:r>
        <w:rPr>
          <w:color w:val="111111"/>
          <w:w w:val="105"/>
          <w:sz w:val="21"/>
        </w:rPr>
        <w:t>Open</w:t>
      </w:r>
      <w:r>
        <w:rPr>
          <w:color w:val="111111"/>
          <w:spacing w:val="-3"/>
          <w:w w:val="105"/>
          <w:sz w:val="21"/>
        </w:rPr>
        <w:t> </w:t>
      </w:r>
      <w:r>
        <w:rPr>
          <w:color w:val="111111"/>
          <w:w w:val="105"/>
          <w:sz w:val="21"/>
        </w:rPr>
        <w:t>Reports and</w:t>
      </w:r>
      <w:r>
        <w:rPr>
          <w:color w:val="111111"/>
          <w:spacing w:val="-14"/>
          <w:w w:val="105"/>
          <w:sz w:val="21"/>
        </w:rPr>
        <w:t> </w:t>
      </w:r>
      <w:r>
        <w:rPr>
          <w:color w:val="111111"/>
          <w:w w:val="105"/>
          <w:sz w:val="21"/>
        </w:rPr>
        <w:t>Minutes are permanently available on the Council's website.</w:t>
      </w:r>
    </w:p>
    <w:p>
      <w:pPr>
        <w:pStyle w:val="BodyText"/>
        <w:spacing w:before="1"/>
        <w:rPr>
          <w:sz w:val="21"/>
        </w:rPr>
      </w:pPr>
    </w:p>
    <w:p>
      <w:pPr>
        <w:spacing w:before="0"/>
        <w:ind w:left="987" w:right="0" w:firstLine="0"/>
        <w:jc w:val="left"/>
        <w:rPr>
          <w:sz w:val="21"/>
        </w:rPr>
      </w:pPr>
      <w:r>
        <w:rPr>
          <w:color w:val="1F1F1F"/>
          <w:w w:val="105"/>
          <w:sz w:val="21"/>
          <w:u w:val="thick" w:color="1F1F1F"/>
        </w:rPr>
        <w:t>The</w:t>
      </w:r>
      <w:r>
        <w:rPr>
          <w:color w:val="1F1F1F"/>
          <w:spacing w:val="-5"/>
          <w:w w:val="105"/>
          <w:sz w:val="21"/>
          <w:u w:val="thick" w:color="1F1F1F"/>
        </w:rPr>
        <w:t> </w:t>
      </w:r>
      <w:r>
        <w:rPr>
          <w:color w:val="1F1F1F"/>
          <w:w w:val="105"/>
          <w:sz w:val="21"/>
          <w:u w:val="thick" w:color="1F1F1F"/>
        </w:rPr>
        <w:t>Review</w:t>
      </w:r>
      <w:r>
        <w:rPr>
          <w:color w:val="1F1F1F"/>
          <w:spacing w:val="14"/>
          <w:w w:val="105"/>
          <w:sz w:val="21"/>
          <w:u w:val="thick" w:color="1F1F1F"/>
        </w:rPr>
        <w:t> </w:t>
      </w:r>
      <w:r>
        <w:rPr>
          <w:color w:val="1F1F1F"/>
          <w:spacing w:val="-2"/>
          <w:w w:val="105"/>
          <w:sz w:val="21"/>
          <w:u w:val="thick" w:color="1F1F1F"/>
        </w:rPr>
        <w:t>Committees</w:t>
      </w:r>
    </w:p>
    <w:p>
      <w:pPr>
        <w:pStyle w:val="BodyText"/>
        <w:spacing w:before="36"/>
        <w:rPr>
          <w:sz w:val="21"/>
        </w:rPr>
      </w:pPr>
    </w:p>
    <w:p>
      <w:pPr>
        <w:pStyle w:val="ListParagraph"/>
        <w:numPr>
          <w:ilvl w:val="0"/>
          <w:numId w:val="29"/>
        </w:numPr>
        <w:tabs>
          <w:tab w:val="left" w:leader="none" w:pos="951"/>
          <w:tab w:val="left" w:leader="none" w:pos="973"/>
        </w:tabs>
        <w:spacing w:before="0" w:after="0" w:line="252" w:lineRule="auto"/>
        <w:ind w:left="951" w:right="149" w:hanging="684"/>
        <w:jc w:val="left"/>
        <w:rPr>
          <w:color w:val="111111"/>
          <w:sz w:val="21"/>
        </w:rPr>
      </w:pPr>
      <w:r>
        <w:rPr>
          <w:color w:val="111111"/>
          <w:sz w:val="21"/>
        </w:rPr>
        <w:tab/>
      </w:r>
      <w:r>
        <w:rPr>
          <w:color w:val="111111"/>
          <w:w w:val="105"/>
          <w:sz w:val="21"/>
        </w:rPr>
        <w:t>At the Annual Meeting in 2022, Council appointed two Review Committees. These were the </w:t>
      </w:r>
      <w:r>
        <w:rPr>
          <w:color w:val="1F1F1F"/>
          <w:w w:val="105"/>
          <w:sz w:val="21"/>
        </w:rPr>
        <w:t>Operations </w:t>
      </w:r>
      <w:r>
        <w:rPr>
          <w:color w:val="111111"/>
          <w:w w:val="105"/>
          <w:sz w:val="21"/>
        </w:rPr>
        <w:t>Review </w:t>
      </w:r>
      <w:r>
        <w:rPr>
          <w:color w:val="1F1F1F"/>
          <w:w w:val="105"/>
          <w:sz w:val="21"/>
        </w:rPr>
        <w:t>Committee </w:t>
      </w:r>
      <w:r>
        <w:rPr>
          <w:color w:val="111111"/>
          <w:w w:val="105"/>
          <w:sz w:val="21"/>
        </w:rPr>
        <w:t>and</w:t>
      </w:r>
      <w:r>
        <w:rPr>
          <w:color w:val="111111"/>
          <w:spacing w:val="-4"/>
          <w:w w:val="105"/>
          <w:sz w:val="21"/>
        </w:rPr>
        <w:t> </w:t>
      </w:r>
      <w:r>
        <w:rPr>
          <w:color w:val="111111"/>
          <w:w w:val="105"/>
          <w:sz w:val="21"/>
        </w:rPr>
        <w:t>the</w:t>
      </w:r>
      <w:r>
        <w:rPr>
          <w:color w:val="111111"/>
          <w:spacing w:val="-2"/>
          <w:w w:val="105"/>
          <w:sz w:val="21"/>
        </w:rPr>
        <w:t> </w:t>
      </w:r>
      <w:r>
        <w:rPr>
          <w:color w:val="111111"/>
          <w:w w:val="105"/>
          <w:sz w:val="21"/>
        </w:rPr>
        <w:t>Policy </w:t>
      </w:r>
      <w:r>
        <w:rPr>
          <w:color w:val="1F1F1F"/>
          <w:w w:val="105"/>
          <w:sz w:val="21"/>
        </w:rPr>
        <w:t>Review </w:t>
      </w:r>
      <w:r>
        <w:rPr>
          <w:color w:val="111111"/>
          <w:w w:val="105"/>
          <w:sz w:val="21"/>
        </w:rPr>
        <w:t>Committee </w:t>
      </w:r>
      <w:r>
        <w:rPr>
          <w:color w:val="1F1F1F"/>
          <w:w w:val="105"/>
          <w:sz w:val="21"/>
        </w:rPr>
        <w:t>whose role </w:t>
      </w:r>
      <w:r>
        <w:rPr>
          <w:color w:val="111111"/>
          <w:w w:val="105"/>
          <w:sz w:val="21"/>
        </w:rPr>
        <w:t>is </w:t>
      </w:r>
      <w:r>
        <w:rPr>
          <w:color w:val="1F1F1F"/>
          <w:w w:val="105"/>
          <w:sz w:val="21"/>
        </w:rPr>
        <w:t>to scrutinise the decisions </w:t>
      </w:r>
      <w:r>
        <w:rPr>
          <w:color w:val="111111"/>
          <w:w w:val="105"/>
          <w:sz w:val="21"/>
        </w:rPr>
        <w:t>and</w:t>
      </w:r>
      <w:r>
        <w:rPr>
          <w:color w:val="111111"/>
          <w:spacing w:val="-6"/>
          <w:w w:val="105"/>
          <w:sz w:val="21"/>
        </w:rPr>
        <w:t> </w:t>
      </w:r>
      <w:r>
        <w:rPr>
          <w:color w:val="111111"/>
          <w:w w:val="105"/>
          <w:sz w:val="21"/>
        </w:rPr>
        <w:t>performance of</w:t>
      </w:r>
      <w:r>
        <w:rPr>
          <w:color w:val="111111"/>
          <w:spacing w:val="-1"/>
          <w:w w:val="105"/>
          <w:sz w:val="21"/>
        </w:rPr>
        <w:t> </w:t>
      </w:r>
      <w:r>
        <w:rPr>
          <w:color w:val="111111"/>
          <w:w w:val="105"/>
          <w:sz w:val="21"/>
        </w:rPr>
        <w:t>the Executive and the Council </w:t>
      </w:r>
      <w:r>
        <w:rPr>
          <w:color w:val="1F1F1F"/>
          <w:w w:val="105"/>
          <w:sz w:val="21"/>
        </w:rPr>
        <w:t>as a whole</w:t>
      </w:r>
      <w:r>
        <w:rPr>
          <w:color w:val="4F4F4F"/>
          <w:w w:val="105"/>
          <w:sz w:val="21"/>
        </w:rPr>
        <w:t>,</w:t>
      </w:r>
      <w:r>
        <w:rPr>
          <w:color w:val="4F4F4F"/>
          <w:spacing w:val="-8"/>
          <w:w w:val="105"/>
          <w:sz w:val="21"/>
        </w:rPr>
        <w:t> </w:t>
      </w:r>
      <w:r>
        <w:rPr>
          <w:color w:val="1F1F1F"/>
          <w:w w:val="105"/>
          <w:sz w:val="21"/>
        </w:rPr>
        <w:t>to call-in unimplemented </w:t>
      </w:r>
      <w:r>
        <w:rPr>
          <w:color w:val="111111"/>
          <w:w w:val="105"/>
          <w:sz w:val="21"/>
        </w:rPr>
        <w:t>executive decisions for</w:t>
      </w:r>
      <w:r>
        <w:rPr>
          <w:color w:val="111111"/>
          <w:spacing w:val="-5"/>
          <w:w w:val="105"/>
          <w:sz w:val="21"/>
        </w:rPr>
        <w:t> </w:t>
      </w:r>
      <w:r>
        <w:rPr>
          <w:color w:val="111111"/>
          <w:w w:val="105"/>
          <w:sz w:val="21"/>
        </w:rPr>
        <w:t>re-consideration</w:t>
      </w:r>
      <w:r>
        <w:rPr>
          <w:color w:val="111111"/>
          <w:spacing w:val="-11"/>
          <w:w w:val="105"/>
          <w:sz w:val="21"/>
        </w:rPr>
        <w:t> </w:t>
      </w:r>
      <w:r>
        <w:rPr>
          <w:color w:val="111111"/>
          <w:w w:val="105"/>
          <w:sz w:val="21"/>
        </w:rPr>
        <w:t>and</w:t>
      </w:r>
      <w:r>
        <w:rPr>
          <w:color w:val="111111"/>
          <w:spacing w:val="-7"/>
          <w:w w:val="105"/>
          <w:sz w:val="21"/>
        </w:rPr>
        <w:t> </w:t>
      </w:r>
      <w:r>
        <w:rPr>
          <w:color w:val="111111"/>
          <w:w w:val="105"/>
          <w:sz w:val="21"/>
        </w:rPr>
        <w:t>to undertake </w:t>
      </w:r>
      <w:r>
        <w:rPr>
          <w:color w:val="1F1F1F"/>
          <w:w w:val="105"/>
          <w:sz w:val="21"/>
        </w:rPr>
        <w:t>policy development and</w:t>
      </w:r>
      <w:r>
        <w:rPr>
          <w:color w:val="1F1F1F"/>
          <w:spacing w:val="-5"/>
          <w:w w:val="105"/>
          <w:sz w:val="21"/>
        </w:rPr>
        <w:t> </w:t>
      </w:r>
      <w:r>
        <w:rPr>
          <w:color w:val="1F1F1F"/>
          <w:w w:val="105"/>
          <w:sz w:val="21"/>
        </w:rPr>
        <w:t>review work</w:t>
      </w:r>
      <w:r>
        <w:rPr>
          <w:color w:val="4F4F4F"/>
          <w:w w:val="105"/>
          <w:sz w:val="21"/>
        </w:rPr>
        <w:t>.</w:t>
      </w:r>
      <w:r>
        <w:rPr>
          <w:color w:val="4F4F4F"/>
          <w:spacing w:val="-15"/>
          <w:w w:val="105"/>
          <w:sz w:val="21"/>
        </w:rPr>
        <w:t> </w:t>
      </w:r>
      <w:r>
        <w:rPr>
          <w:color w:val="1F1F1F"/>
          <w:w w:val="105"/>
          <w:sz w:val="21"/>
        </w:rPr>
        <w:t>Both </w:t>
      </w:r>
      <w:r>
        <w:rPr>
          <w:color w:val="111111"/>
          <w:w w:val="105"/>
          <w:sz w:val="21"/>
        </w:rPr>
        <w:t>Committees have</w:t>
      </w:r>
      <w:r>
        <w:rPr>
          <w:color w:val="111111"/>
          <w:spacing w:val="-2"/>
          <w:w w:val="105"/>
          <w:sz w:val="21"/>
        </w:rPr>
        <w:t> </w:t>
      </w:r>
      <w:r>
        <w:rPr>
          <w:color w:val="111111"/>
          <w:w w:val="105"/>
          <w:sz w:val="21"/>
        </w:rPr>
        <w:t>the</w:t>
      </w:r>
      <w:r>
        <w:rPr>
          <w:color w:val="111111"/>
          <w:spacing w:val="-8"/>
          <w:w w:val="105"/>
          <w:sz w:val="21"/>
        </w:rPr>
        <w:t> </w:t>
      </w:r>
      <w:r>
        <w:rPr>
          <w:color w:val="111111"/>
          <w:w w:val="105"/>
          <w:sz w:val="21"/>
        </w:rPr>
        <w:t>power to</w:t>
      </w:r>
      <w:r>
        <w:rPr>
          <w:color w:val="111111"/>
          <w:spacing w:val="-5"/>
          <w:w w:val="105"/>
          <w:sz w:val="21"/>
        </w:rPr>
        <w:t> </w:t>
      </w:r>
      <w:r>
        <w:rPr>
          <w:color w:val="111111"/>
          <w:w w:val="105"/>
          <w:sz w:val="21"/>
        </w:rPr>
        <w:t>require executive </w:t>
      </w:r>
      <w:r>
        <w:rPr>
          <w:color w:val="1F1F1F"/>
          <w:w w:val="105"/>
          <w:sz w:val="21"/>
        </w:rPr>
        <w:t>member and</w:t>
      </w:r>
      <w:r>
        <w:rPr>
          <w:color w:val="1F1F1F"/>
          <w:spacing w:val="-1"/>
          <w:w w:val="105"/>
          <w:sz w:val="21"/>
        </w:rPr>
        <w:t> </w:t>
      </w:r>
      <w:r>
        <w:rPr>
          <w:color w:val="1F1F1F"/>
          <w:w w:val="105"/>
          <w:sz w:val="21"/>
        </w:rPr>
        <w:t>officers</w:t>
      </w:r>
      <w:r>
        <w:rPr>
          <w:color w:val="1F1F1F"/>
          <w:spacing w:val="-7"/>
          <w:w w:val="105"/>
          <w:sz w:val="21"/>
        </w:rPr>
        <w:t> </w:t>
      </w:r>
      <w:r>
        <w:rPr>
          <w:color w:val="1F1F1F"/>
          <w:w w:val="105"/>
          <w:sz w:val="21"/>
        </w:rPr>
        <w:t>to appear </w:t>
      </w:r>
      <w:r>
        <w:rPr>
          <w:color w:val="111111"/>
          <w:w w:val="105"/>
          <w:sz w:val="21"/>
        </w:rPr>
        <w:t>before </w:t>
      </w:r>
      <w:r>
        <w:rPr>
          <w:color w:val="1F1F1F"/>
          <w:w w:val="105"/>
          <w:sz w:val="21"/>
        </w:rPr>
        <w:t>them</w:t>
      </w:r>
      <w:r>
        <w:rPr>
          <w:color w:val="1F1F1F"/>
          <w:spacing w:val="-1"/>
          <w:w w:val="105"/>
          <w:sz w:val="21"/>
        </w:rPr>
        <w:t> </w:t>
      </w:r>
      <w:r>
        <w:rPr>
          <w:color w:val="1F1F1F"/>
          <w:w w:val="105"/>
          <w:sz w:val="21"/>
        </w:rPr>
        <w:t>to</w:t>
      </w:r>
      <w:r>
        <w:rPr>
          <w:color w:val="1F1F1F"/>
          <w:spacing w:val="-2"/>
          <w:w w:val="105"/>
          <w:sz w:val="21"/>
        </w:rPr>
        <w:t> </w:t>
      </w:r>
      <w:r>
        <w:rPr>
          <w:color w:val="1F1F1F"/>
          <w:w w:val="105"/>
          <w:sz w:val="21"/>
        </w:rPr>
        <w:t>give </w:t>
      </w:r>
      <w:r>
        <w:rPr>
          <w:color w:val="111111"/>
          <w:w w:val="105"/>
          <w:sz w:val="21"/>
        </w:rPr>
        <w:t>account and have extensive rights of access to Council records and information to enable them to effectively discharge their </w:t>
      </w:r>
      <w:r>
        <w:rPr>
          <w:color w:val="1F1F1F"/>
          <w:w w:val="105"/>
          <w:sz w:val="21"/>
        </w:rPr>
        <w:t>functions. </w:t>
      </w:r>
      <w:r>
        <w:rPr>
          <w:color w:val="111111"/>
          <w:w w:val="105"/>
          <w:sz w:val="21"/>
        </w:rPr>
        <w:t>It is </w:t>
      </w:r>
      <w:r>
        <w:rPr>
          <w:color w:val="363636"/>
          <w:w w:val="105"/>
          <w:sz w:val="21"/>
        </w:rPr>
        <w:t>important </w:t>
      </w:r>
      <w:r>
        <w:rPr>
          <w:color w:val="111111"/>
          <w:w w:val="105"/>
          <w:sz w:val="21"/>
        </w:rPr>
        <w:t>to maintain the clear demarcation between </w:t>
      </w:r>
      <w:r>
        <w:rPr>
          <w:color w:val="1F1F1F"/>
          <w:w w:val="105"/>
          <w:sz w:val="21"/>
        </w:rPr>
        <w:t>the </w:t>
      </w:r>
      <w:r>
        <w:rPr>
          <w:color w:val="111111"/>
          <w:w w:val="105"/>
          <w:sz w:val="21"/>
        </w:rPr>
        <w:t>conduct of executive functions </w:t>
      </w:r>
      <w:r>
        <w:rPr>
          <w:color w:val="1F1F1F"/>
          <w:w w:val="105"/>
          <w:sz w:val="21"/>
        </w:rPr>
        <w:t>and</w:t>
      </w:r>
      <w:r>
        <w:rPr>
          <w:color w:val="1F1F1F"/>
          <w:spacing w:val="-9"/>
          <w:w w:val="105"/>
          <w:sz w:val="21"/>
        </w:rPr>
        <w:t> </w:t>
      </w:r>
      <w:r>
        <w:rPr>
          <w:color w:val="111111"/>
          <w:w w:val="105"/>
          <w:sz w:val="21"/>
        </w:rPr>
        <w:t>the scrutiny of</w:t>
      </w:r>
      <w:r>
        <w:rPr>
          <w:color w:val="111111"/>
          <w:spacing w:val="-2"/>
          <w:w w:val="105"/>
          <w:sz w:val="21"/>
        </w:rPr>
        <w:t> </w:t>
      </w:r>
      <w:r>
        <w:rPr>
          <w:color w:val="111111"/>
          <w:w w:val="105"/>
          <w:sz w:val="21"/>
        </w:rPr>
        <w:t>executive decisions as part of democratic </w:t>
      </w:r>
      <w:r>
        <w:rPr>
          <w:color w:val="111111"/>
          <w:spacing w:val="-2"/>
          <w:w w:val="105"/>
          <w:sz w:val="21"/>
        </w:rPr>
        <w:t>accountability.</w:t>
      </w:r>
    </w:p>
    <w:p>
      <w:pPr>
        <w:pStyle w:val="BodyText"/>
        <w:spacing w:before="9"/>
        <w:rPr>
          <w:sz w:val="21"/>
        </w:rPr>
      </w:pPr>
    </w:p>
    <w:p>
      <w:pPr>
        <w:pStyle w:val="ListParagraph"/>
        <w:numPr>
          <w:ilvl w:val="0"/>
          <w:numId w:val="29"/>
        </w:numPr>
        <w:tabs>
          <w:tab w:val="left" w:leader="none" w:pos="933"/>
          <w:tab w:val="left" w:leader="none" w:pos="949"/>
        </w:tabs>
        <w:spacing w:before="0" w:after="0" w:line="252" w:lineRule="auto"/>
        <w:ind w:left="933" w:right="288" w:hanging="700"/>
        <w:jc w:val="left"/>
        <w:rPr>
          <w:color w:val="111111"/>
          <w:sz w:val="21"/>
        </w:rPr>
      </w:pPr>
      <w:r>
        <w:rPr>
          <w:color w:val="111111"/>
          <w:sz w:val="21"/>
        </w:rPr>
        <w:tab/>
      </w:r>
      <w:r>
        <w:rPr>
          <w:color w:val="1F1F1F"/>
          <w:w w:val="105"/>
          <w:sz w:val="21"/>
        </w:rPr>
        <w:t>The Operations </w:t>
      </w:r>
      <w:r>
        <w:rPr>
          <w:color w:val="111111"/>
          <w:w w:val="105"/>
          <w:sz w:val="21"/>
        </w:rPr>
        <w:t>Review Committee </w:t>
      </w:r>
      <w:r>
        <w:rPr>
          <w:color w:val="1F1F1F"/>
          <w:w w:val="105"/>
          <w:sz w:val="21"/>
        </w:rPr>
        <w:t>has responsibility</w:t>
      </w:r>
      <w:r>
        <w:rPr>
          <w:color w:val="1F1F1F"/>
          <w:spacing w:val="-1"/>
          <w:w w:val="105"/>
          <w:sz w:val="21"/>
        </w:rPr>
        <w:t> </w:t>
      </w:r>
      <w:r>
        <w:rPr>
          <w:color w:val="111111"/>
          <w:w w:val="105"/>
          <w:sz w:val="21"/>
        </w:rPr>
        <w:t>for reviewing all aspects of the Council's operational </w:t>
      </w:r>
      <w:r>
        <w:rPr>
          <w:color w:val="1F1F1F"/>
          <w:w w:val="105"/>
          <w:sz w:val="21"/>
        </w:rPr>
        <w:t>business and</w:t>
      </w:r>
      <w:r>
        <w:rPr>
          <w:color w:val="1F1F1F"/>
          <w:spacing w:val="-7"/>
          <w:w w:val="105"/>
          <w:sz w:val="21"/>
        </w:rPr>
        <w:t> </w:t>
      </w:r>
      <w:r>
        <w:rPr>
          <w:color w:val="111111"/>
          <w:w w:val="105"/>
          <w:sz w:val="21"/>
        </w:rPr>
        <w:t>met </w:t>
      </w:r>
      <w:r>
        <w:rPr>
          <w:color w:val="1F1F1F"/>
          <w:w w:val="105"/>
          <w:sz w:val="21"/>
        </w:rPr>
        <w:t>seven</w:t>
      </w:r>
      <w:r>
        <w:rPr>
          <w:color w:val="1F1F1F"/>
          <w:spacing w:val="-6"/>
          <w:w w:val="105"/>
          <w:sz w:val="21"/>
        </w:rPr>
        <w:t> </w:t>
      </w:r>
      <w:r>
        <w:rPr>
          <w:color w:val="1F1F1F"/>
          <w:w w:val="105"/>
          <w:sz w:val="21"/>
        </w:rPr>
        <w:t>times </w:t>
      </w:r>
      <w:r>
        <w:rPr>
          <w:color w:val="111111"/>
          <w:w w:val="105"/>
          <w:sz w:val="21"/>
        </w:rPr>
        <w:t>in</w:t>
      </w:r>
      <w:r>
        <w:rPr>
          <w:color w:val="111111"/>
          <w:spacing w:val="-12"/>
          <w:w w:val="105"/>
          <w:sz w:val="21"/>
        </w:rPr>
        <w:t> </w:t>
      </w:r>
      <w:r>
        <w:rPr>
          <w:color w:val="1F1F1F"/>
          <w:w w:val="105"/>
          <w:sz w:val="21"/>
        </w:rPr>
        <w:t>2022/23. </w:t>
      </w:r>
      <w:r>
        <w:rPr>
          <w:color w:val="111111"/>
          <w:w w:val="105"/>
          <w:sz w:val="21"/>
        </w:rPr>
        <w:t>It</w:t>
      </w:r>
      <w:r>
        <w:rPr>
          <w:color w:val="111111"/>
          <w:spacing w:val="-5"/>
          <w:w w:val="105"/>
          <w:sz w:val="21"/>
        </w:rPr>
        <w:t> </w:t>
      </w:r>
      <w:r>
        <w:rPr>
          <w:color w:val="111111"/>
          <w:w w:val="105"/>
          <w:sz w:val="21"/>
        </w:rPr>
        <w:t>set </w:t>
      </w:r>
      <w:r>
        <w:rPr>
          <w:color w:val="1F1F1F"/>
          <w:w w:val="105"/>
          <w:sz w:val="21"/>
        </w:rPr>
        <w:t>and</w:t>
      </w:r>
      <w:r>
        <w:rPr>
          <w:color w:val="1F1F1F"/>
          <w:spacing w:val="-15"/>
          <w:w w:val="105"/>
          <w:sz w:val="21"/>
        </w:rPr>
        <w:t> </w:t>
      </w:r>
      <w:r>
        <w:rPr>
          <w:color w:val="111111"/>
          <w:w w:val="105"/>
          <w:sz w:val="21"/>
        </w:rPr>
        <w:t>monitored its</w:t>
      </w:r>
      <w:r>
        <w:rPr>
          <w:color w:val="111111"/>
          <w:spacing w:val="-4"/>
          <w:w w:val="105"/>
          <w:sz w:val="21"/>
        </w:rPr>
        <w:t> </w:t>
      </w:r>
      <w:r>
        <w:rPr>
          <w:color w:val="111111"/>
          <w:w w:val="105"/>
          <w:sz w:val="21"/>
        </w:rPr>
        <w:t>own</w:t>
      </w:r>
      <w:r>
        <w:rPr>
          <w:color w:val="111111"/>
          <w:spacing w:val="-1"/>
          <w:w w:val="105"/>
          <w:sz w:val="21"/>
        </w:rPr>
        <w:t> </w:t>
      </w:r>
      <w:r>
        <w:rPr>
          <w:color w:val="111111"/>
          <w:w w:val="105"/>
          <w:sz w:val="21"/>
        </w:rPr>
        <w:t>work plan</w:t>
      </w:r>
      <w:r>
        <w:rPr>
          <w:color w:val="111111"/>
          <w:spacing w:val="-6"/>
          <w:w w:val="105"/>
          <w:sz w:val="21"/>
        </w:rPr>
        <w:t> </w:t>
      </w:r>
      <w:r>
        <w:rPr>
          <w:color w:val="111111"/>
          <w:w w:val="105"/>
          <w:sz w:val="21"/>
        </w:rPr>
        <w:t>which </w:t>
      </w:r>
      <w:r>
        <w:rPr>
          <w:color w:val="363636"/>
          <w:w w:val="105"/>
          <w:sz w:val="21"/>
        </w:rPr>
        <w:t>included</w:t>
      </w:r>
      <w:r>
        <w:rPr>
          <w:color w:val="363636"/>
          <w:spacing w:val="-2"/>
          <w:w w:val="105"/>
          <w:sz w:val="21"/>
        </w:rPr>
        <w:t> </w:t>
      </w:r>
      <w:r>
        <w:rPr>
          <w:color w:val="1F1F1F"/>
          <w:w w:val="105"/>
          <w:sz w:val="21"/>
        </w:rPr>
        <w:t>regular</w:t>
      </w:r>
      <w:r>
        <w:rPr>
          <w:color w:val="1F1F1F"/>
          <w:spacing w:val="-4"/>
          <w:w w:val="105"/>
          <w:sz w:val="21"/>
        </w:rPr>
        <w:t> </w:t>
      </w:r>
      <w:r>
        <w:rPr>
          <w:color w:val="1F1F1F"/>
          <w:w w:val="105"/>
          <w:sz w:val="21"/>
        </w:rPr>
        <w:t>Financial </w:t>
      </w:r>
      <w:r>
        <w:rPr>
          <w:color w:val="111111"/>
          <w:w w:val="105"/>
          <w:sz w:val="21"/>
        </w:rPr>
        <w:t>and</w:t>
      </w:r>
      <w:r>
        <w:rPr>
          <w:color w:val="111111"/>
          <w:spacing w:val="-11"/>
          <w:w w:val="105"/>
          <w:sz w:val="21"/>
        </w:rPr>
        <w:t> </w:t>
      </w:r>
      <w:r>
        <w:rPr>
          <w:color w:val="1F1F1F"/>
          <w:w w:val="105"/>
          <w:sz w:val="21"/>
        </w:rPr>
        <w:t>Performance Monitoring, </w:t>
      </w:r>
      <w:r>
        <w:rPr>
          <w:color w:val="111111"/>
          <w:w w:val="105"/>
          <w:sz w:val="21"/>
        </w:rPr>
        <w:t>the</w:t>
      </w:r>
      <w:r>
        <w:rPr>
          <w:color w:val="111111"/>
          <w:spacing w:val="-2"/>
          <w:w w:val="105"/>
          <w:sz w:val="21"/>
        </w:rPr>
        <w:t> </w:t>
      </w:r>
      <w:r>
        <w:rPr>
          <w:color w:val="1F1F1F"/>
          <w:w w:val="105"/>
          <w:sz w:val="21"/>
        </w:rPr>
        <w:t>receipt </w:t>
      </w:r>
      <w:r>
        <w:rPr>
          <w:color w:val="111111"/>
          <w:w w:val="105"/>
          <w:sz w:val="21"/>
        </w:rPr>
        <w:t>of</w:t>
      </w:r>
      <w:r>
        <w:rPr>
          <w:color w:val="111111"/>
          <w:spacing w:val="-5"/>
          <w:w w:val="105"/>
          <w:sz w:val="21"/>
        </w:rPr>
        <w:t> </w:t>
      </w:r>
      <w:r>
        <w:rPr>
          <w:color w:val="111111"/>
          <w:w w:val="105"/>
          <w:sz w:val="21"/>
        </w:rPr>
        <w:t>presentations </w:t>
      </w:r>
      <w:r>
        <w:rPr>
          <w:color w:val="1F1F1F"/>
          <w:w w:val="105"/>
          <w:sz w:val="21"/>
        </w:rPr>
        <w:t>from</w:t>
      </w:r>
      <w:r>
        <w:rPr>
          <w:color w:val="1F1F1F"/>
          <w:spacing w:val="-8"/>
          <w:w w:val="105"/>
          <w:sz w:val="21"/>
        </w:rPr>
        <w:t> </w:t>
      </w:r>
      <w:r>
        <w:rPr>
          <w:color w:val="111111"/>
          <w:w w:val="105"/>
          <w:sz w:val="21"/>
        </w:rPr>
        <w:t>Executive Portfolio-holders and consideration of the annual reports of </w:t>
      </w:r>
      <w:r>
        <w:rPr>
          <w:color w:val="1F1F1F"/>
          <w:w w:val="105"/>
          <w:sz w:val="21"/>
        </w:rPr>
        <w:t>Elstree </w:t>
      </w:r>
      <w:r>
        <w:rPr>
          <w:color w:val="111111"/>
          <w:w w:val="105"/>
          <w:sz w:val="21"/>
        </w:rPr>
        <w:t>Film Studios Limited </w:t>
      </w:r>
      <w:r>
        <w:rPr>
          <w:color w:val="1F1F1F"/>
          <w:w w:val="105"/>
          <w:sz w:val="21"/>
        </w:rPr>
        <w:t>and </w:t>
      </w:r>
      <w:r>
        <w:rPr>
          <w:color w:val="111111"/>
          <w:w w:val="105"/>
          <w:sz w:val="21"/>
        </w:rPr>
        <w:t>lnspireAII Leisure Limited.</w:t>
      </w:r>
    </w:p>
    <w:p>
      <w:pPr>
        <w:pStyle w:val="BodyText"/>
        <w:spacing w:before="9"/>
        <w:rPr>
          <w:sz w:val="21"/>
        </w:rPr>
      </w:pPr>
    </w:p>
    <w:p>
      <w:pPr>
        <w:pStyle w:val="ListParagraph"/>
        <w:numPr>
          <w:ilvl w:val="0"/>
          <w:numId w:val="29"/>
        </w:numPr>
        <w:tabs>
          <w:tab w:val="left" w:leader="none" w:pos="910"/>
          <w:tab w:val="left" w:leader="none" w:pos="930"/>
        </w:tabs>
        <w:spacing w:before="0" w:after="0" w:line="252" w:lineRule="auto"/>
        <w:ind w:left="910" w:right="262" w:hanging="696"/>
        <w:jc w:val="left"/>
        <w:rPr>
          <w:color w:val="111111"/>
          <w:sz w:val="21"/>
        </w:rPr>
      </w:pPr>
      <w:r>
        <w:rPr>
          <w:color w:val="111111"/>
          <w:sz w:val="21"/>
        </w:rPr>
        <w:tab/>
      </w:r>
      <w:r>
        <w:rPr>
          <w:color w:val="1F1F1F"/>
          <w:w w:val="105"/>
          <w:sz w:val="21"/>
        </w:rPr>
        <w:t>The Policy </w:t>
      </w:r>
      <w:r>
        <w:rPr>
          <w:color w:val="111111"/>
          <w:w w:val="105"/>
          <w:sz w:val="21"/>
        </w:rPr>
        <w:t>Review </w:t>
      </w:r>
      <w:r>
        <w:rPr>
          <w:color w:val="1F1F1F"/>
          <w:w w:val="105"/>
          <w:sz w:val="21"/>
        </w:rPr>
        <w:t>Committee has responsibility for keeping the </w:t>
      </w:r>
      <w:r>
        <w:rPr>
          <w:color w:val="111111"/>
          <w:w w:val="105"/>
          <w:sz w:val="21"/>
        </w:rPr>
        <w:t>Council's </w:t>
      </w:r>
      <w:r>
        <w:rPr>
          <w:color w:val="1F1F1F"/>
          <w:w w:val="105"/>
          <w:sz w:val="21"/>
        </w:rPr>
        <w:t>strategies and plans under review</w:t>
      </w:r>
      <w:r>
        <w:rPr>
          <w:color w:val="4F4F4F"/>
          <w:w w:val="105"/>
          <w:sz w:val="21"/>
        </w:rPr>
        <w:t>,</w:t>
      </w:r>
      <w:r>
        <w:rPr>
          <w:color w:val="4F4F4F"/>
          <w:spacing w:val="-8"/>
          <w:w w:val="105"/>
          <w:sz w:val="21"/>
        </w:rPr>
        <w:t> </w:t>
      </w:r>
      <w:r>
        <w:rPr>
          <w:color w:val="1F1F1F"/>
          <w:w w:val="105"/>
          <w:sz w:val="21"/>
        </w:rPr>
        <w:t>for reviewing the draft </w:t>
      </w:r>
      <w:r>
        <w:rPr>
          <w:color w:val="111111"/>
          <w:w w:val="105"/>
          <w:sz w:val="21"/>
        </w:rPr>
        <w:t>budget </w:t>
      </w:r>
      <w:r>
        <w:rPr>
          <w:color w:val="1F1F1F"/>
          <w:w w:val="105"/>
          <w:sz w:val="21"/>
        </w:rPr>
        <w:t>and financial performance of the Council and for </w:t>
      </w:r>
      <w:r>
        <w:rPr>
          <w:color w:val="111111"/>
          <w:w w:val="105"/>
          <w:sz w:val="21"/>
        </w:rPr>
        <w:t>overseeing </w:t>
      </w:r>
      <w:r>
        <w:rPr>
          <w:color w:val="1F1F1F"/>
          <w:w w:val="105"/>
          <w:sz w:val="21"/>
        </w:rPr>
        <w:t>the </w:t>
      </w:r>
      <w:r>
        <w:rPr>
          <w:color w:val="111111"/>
          <w:w w:val="105"/>
          <w:sz w:val="21"/>
        </w:rPr>
        <w:t>enterprise </w:t>
      </w:r>
      <w:r>
        <w:rPr>
          <w:color w:val="1F1F1F"/>
          <w:w w:val="105"/>
          <w:sz w:val="21"/>
        </w:rPr>
        <w:t>and</w:t>
      </w:r>
      <w:r>
        <w:rPr>
          <w:color w:val="1F1F1F"/>
          <w:spacing w:val="-9"/>
          <w:w w:val="105"/>
          <w:sz w:val="21"/>
        </w:rPr>
        <w:t> </w:t>
      </w:r>
      <w:r>
        <w:rPr>
          <w:color w:val="1F1F1F"/>
          <w:w w:val="105"/>
          <w:sz w:val="21"/>
        </w:rPr>
        <w:t>regeneration agenda </w:t>
      </w:r>
      <w:r>
        <w:rPr>
          <w:color w:val="111111"/>
          <w:w w:val="105"/>
          <w:sz w:val="21"/>
        </w:rPr>
        <w:t>of</w:t>
      </w:r>
      <w:r>
        <w:rPr>
          <w:color w:val="111111"/>
          <w:spacing w:val="-4"/>
          <w:w w:val="105"/>
          <w:sz w:val="21"/>
        </w:rPr>
        <w:t> </w:t>
      </w:r>
      <w:r>
        <w:rPr>
          <w:color w:val="1F1F1F"/>
          <w:w w:val="105"/>
          <w:sz w:val="21"/>
        </w:rPr>
        <w:t>the</w:t>
      </w:r>
      <w:r>
        <w:rPr>
          <w:color w:val="1F1F1F"/>
          <w:spacing w:val="-6"/>
          <w:w w:val="105"/>
          <w:sz w:val="21"/>
        </w:rPr>
        <w:t> </w:t>
      </w:r>
      <w:r>
        <w:rPr>
          <w:color w:val="111111"/>
          <w:w w:val="105"/>
          <w:sz w:val="21"/>
        </w:rPr>
        <w:t>Council. It</w:t>
      </w:r>
      <w:r>
        <w:rPr>
          <w:color w:val="111111"/>
          <w:spacing w:val="-3"/>
          <w:w w:val="105"/>
          <w:sz w:val="21"/>
        </w:rPr>
        <w:t> </w:t>
      </w:r>
      <w:r>
        <w:rPr>
          <w:color w:val="1F1F1F"/>
          <w:w w:val="105"/>
          <w:sz w:val="21"/>
        </w:rPr>
        <w:t>met</w:t>
      </w:r>
      <w:r>
        <w:rPr>
          <w:color w:val="1F1F1F"/>
          <w:spacing w:val="-6"/>
          <w:w w:val="105"/>
          <w:sz w:val="21"/>
        </w:rPr>
        <w:t> </w:t>
      </w:r>
      <w:r>
        <w:rPr>
          <w:color w:val="1F1F1F"/>
          <w:w w:val="105"/>
          <w:sz w:val="21"/>
        </w:rPr>
        <w:t>nine</w:t>
      </w:r>
      <w:r>
        <w:rPr>
          <w:color w:val="1F1F1F"/>
          <w:spacing w:val="-10"/>
          <w:w w:val="105"/>
          <w:sz w:val="21"/>
        </w:rPr>
        <w:t> </w:t>
      </w:r>
      <w:r>
        <w:rPr>
          <w:color w:val="1F1F1F"/>
          <w:w w:val="105"/>
          <w:sz w:val="21"/>
        </w:rPr>
        <w:t>times </w:t>
      </w:r>
      <w:r>
        <w:rPr>
          <w:color w:val="111111"/>
          <w:w w:val="105"/>
          <w:sz w:val="21"/>
        </w:rPr>
        <w:t>during </w:t>
      </w:r>
      <w:r>
        <w:rPr>
          <w:color w:val="1F1F1F"/>
          <w:w w:val="105"/>
          <w:sz w:val="21"/>
        </w:rPr>
        <w:t>2022/23 and </w:t>
      </w:r>
      <w:r>
        <w:rPr>
          <w:color w:val="363636"/>
          <w:w w:val="105"/>
          <w:sz w:val="21"/>
        </w:rPr>
        <w:t>its </w:t>
      </w:r>
      <w:r>
        <w:rPr>
          <w:color w:val="1F1F1F"/>
          <w:w w:val="105"/>
          <w:sz w:val="21"/>
        </w:rPr>
        <w:t>work plan</w:t>
      </w:r>
      <w:r>
        <w:rPr>
          <w:color w:val="1F1F1F"/>
          <w:spacing w:val="-2"/>
          <w:w w:val="105"/>
          <w:sz w:val="21"/>
        </w:rPr>
        <w:t> </w:t>
      </w:r>
      <w:r>
        <w:rPr>
          <w:color w:val="1F1F1F"/>
          <w:w w:val="105"/>
          <w:sz w:val="21"/>
        </w:rPr>
        <w:t>included Adoption </w:t>
      </w:r>
      <w:r>
        <w:rPr>
          <w:color w:val="111111"/>
          <w:w w:val="105"/>
          <w:sz w:val="21"/>
        </w:rPr>
        <w:t>of </w:t>
      </w:r>
      <w:r>
        <w:rPr>
          <w:color w:val="1F1F1F"/>
          <w:w w:val="105"/>
          <w:sz w:val="21"/>
        </w:rPr>
        <w:t>an </w:t>
      </w:r>
      <w:r>
        <w:rPr>
          <w:color w:val="111111"/>
          <w:w w:val="105"/>
          <w:sz w:val="21"/>
        </w:rPr>
        <w:t>Anti-Fraud and Corruption Strategy and Anti-Money Laundering Policy and consultation on the setting of the capital and revenue budgets</w:t>
      </w:r>
      <w:r>
        <w:rPr>
          <w:color w:val="4F4F4F"/>
          <w:w w:val="105"/>
          <w:sz w:val="21"/>
        </w:rPr>
        <w:t>.</w:t>
      </w:r>
    </w:p>
    <w:p>
      <w:pPr>
        <w:pStyle w:val="BodyText"/>
        <w:spacing w:before="34"/>
        <w:rPr>
          <w:sz w:val="21"/>
        </w:rPr>
      </w:pPr>
    </w:p>
    <w:p>
      <w:pPr>
        <w:pStyle w:val="ListParagraph"/>
        <w:numPr>
          <w:ilvl w:val="0"/>
          <w:numId w:val="29"/>
        </w:numPr>
        <w:tabs>
          <w:tab w:val="left" w:leader="none" w:pos="899"/>
        </w:tabs>
        <w:spacing w:before="0" w:after="0" w:line="252" w:lineRule="auto"/>
        <w:ind w:left="899" w:right="198" w:hanging="704"/>
        <w:jc w:val="left"/>
        <w:rPr>
          <w:color w:val="111111"/>
          <w:sz w:val="21"/>
        </w:rPr>
      </w:pPr>
      <w:r>
        <w:rPr>
          <w:color w:val="111111"/>
          <w:w w:val="105"/>
          <w:sz w:val="21"/>
        </w:rPr>
        <w:t>If </w:t>
      </w:r>
      <w:r>
        <w:rPr>
          <w:color w:val="1F1F1F"/>
          <w:w w:val="105"/>
          <w:sz w:val="21"/>
        </w:rPr>
        <w:t>a councillor refused</w:t>
      </w:r>
      <w:r>
        <w:rPr>
          <w:color w:val="1F1F1F"/>
          <w:spacing w:val="-4"/>
          <w:w w:val="105"/>
          <w:sz w:val="21"/>
        </w:rPr>
        <w:t> </w:t>
      </w:r>
      <w:r>
        <w:rPr>
          <w:color w:val="363636"/>
          <w:w w:val="105"/>
          <w:sz w:val="21"/>
        </w:rPr>
        <w:t>to</w:t>
      </w:r>
      <w:r>
        <w:rPr>
          <w:color w:val="363636"/>
          <w:spacing w:val="-6"/>
          <w:w w:val="105"/>
          <w:sz w:val="21"/>
        </w:rPr>
        <w:t> </w:t>
      </w:r>
      <w:r>
        <w:rPr>
          <w:color w:val="1F1F1F"/>
          <w:w w:val="105"/>
          <w:sz w:val="21"/>
        </w:rPr>
        <w:t>attend a</w:t>
      </w:r>
      <w:r>
        <w:rPr>
          <w:color w:val="1F1F1F"/>
          <w:spacing w:val="-5"/>
          <w:w w:val="105"/>
          <w:sz w:val="21"/>
        </w:rPr>
        <w:t> </w:t>
      </w:r>
      <w:r>
        <w:rPr>
          <w:color w:val="1F1F1F"/>
          <w:w w:val="105"/>
          <w:sz w:val="21"/>
        </w:rPr>
        <w:t>review meeting after first</w:t>
      </w:r>
      <w:r>
        <w:rPr>
          <w:color w:val="1F1F1F"/>
          <w:spacing w:val="-3"/>
          <w:w w:val="105"/>
          <w:sz w:val="21"/>
        </w:rPr>
        <w:t> </w:t>
      </w:r>
      <w:r>
        <w:rPr>
          <w:color w:val="111111"/>
          <w:w w:val="105"/>
          <w:sz w:val="21"/>
        </w:rPr>
        <w:t>being </w:t>
      </w:r>
      <w:r>
        <w:rPr>
          <w:color w:val="1F1F1F"/>
          <w:w w:val="105"/>
          <w:sz w:val="21"/>
        </w:rPr>
        <w:t>required </w:t>
      </w:r>
      <w:r>
        <w:rPr>
          <w:color w:val="111111"/>
          <w:w w:val="105"/>
          <w:sz w:val="21"/>
        </w:rPr>
        <w:t>to</w:t>
      </w:r>
      <w:r>
        <w:rPr>
          <w:color w:val="111111"/>
          <w:spacing w:val="-1"/>
          <w:w w:val="105"/>
          <w:sz w:val="21"/>
        </w:rPr>
        <w:t> </w:t>
      </w:r>
      <w:r>
        <w:rPr>
          <w:color w:val="111111"/>
          <w:w w:val="105"/>
          <w:sz w:val="21"/>
        </w:rPr>
        <w:t>attend, it would</w:t>
      </w:r>
      <w:r>
        <w:rPr>
          <w:color w:val="111111"/>
          <w:spacing w:val="-7"/>
          <w:w w:val="105"/>
          <w:sz w:val="21"/>
        </w:rPr>
        <w:t> </w:t>
      </w:r>
      <w:r>
        <w:rPr>
          <w:color w:val="111111"/>
          <w:w w:val="105"/>
          <w:sz w:val="21"/>
        </w:rPr>
        <w:t>be</w:t>
      </w:r>
      <w:r>
        <w:rPr>
          <w:color w:val="111111"/>
          <w:spacing w:val="-7"/>
          <w:w w:val="105"/>
          <w:sz w:val="21"/>
        </w:rPr>
        <w:t> </w:t>
      </w:r>
      <w:r>
        <w:rPr>
          <w:color w:val="111111"/>
          <w:w w:val="105"/>
          <w:sz w:val="21"/>
        </w:rPr>
        <w:t>dealt with as </w:t>
      </w:r>
      <w:r>
        <w:rPr>
          <w:color w:val="1F1F1F"/>
          <w:w w:val="105"/>
          <w:sz w:val="21"/>
        </w:rPr>
        <w:t>a potential breach of the </w:t>
      </w:r>
      <w:r>
        <w:rPr>
          <w:color w:val="111111"/>
          <w:w w:val="105"/>
          <w:sz w:val="21"/>
        </w:rPr>
        <w:t>Members Code </w:t>
      </w:r>
      <w:r>
        <w:rPr>
          <w:color w:val="1F1F1F"/>
          <w:w w:val="105"/>
          <w:sz w:val="21"/>
        </w:rPr>
        <w:t>of </w:t>
      </w:r>
      <w:r>
        <w:rPr>
          <w:color w:val="111111"/>
          <w:w w:val="105"/>
          <w:sz w:val="21"/>
        </w:rPr>
        <w:t>Conduct for binging</w:t>
      </w:r>
      <w:r>
        <w:rPr>
          <w:color w:val="111111"/>
          <w:spacing w:val="20"/>
          <w:w w:val="105"/>
          <w:sz w:val="21"/>
        </w:rPr>
        <w:t> </w:t>
      </w:r>
      <w:r>
        <w:rPr>
          <w:color w:val="111111"/>
          <w:w w:val="105"/>
          <w:sz w:val="21"/>
        </w:rPr>
        <w:t>his or</w:t>
      </w:r>
      <w:r>
        <w:rPr>
          <w:color w:val="111111"/>
          <w:spacing w:val="-1"/>
          <w:w w:val="105"/>
          <w:sz w:val="21"/>
        </w:rPr>
        <w:t> </w:t>
      </w:r>
      <w:r>
        <w:rPr>
          <w:color w:val="111111"/>
          <w:w w:val="105"/>
          <w:sz w:val="21"/>
        </w:rPr>
        <w:t>her office </w:t>
      </w:r>
      <w:r>
        <w:rPr>
          <w:color w:val="363636"/>
          <w:w w:val="105"/>
          <w:sz w:val="21"/>
        </w:rPr>
        <w:t>into </w:t>
      </w:r>
      <w:r>
        <w:rPr>
          <w:color w:val="111111"/>
          <w:w w:val="105"/>
          <w:sz w:val="21"/>
        </w:rPr>
        <w:t>disrepute</w:t>
      </w:r>
      <w:r>
        <w:rPr>
          <w:color w:val="4F4F4F"/>
          <w:w w:val="105"/>
          <w:sz w:val="21"/>
        </w:rPr>
        <w:t>.</w:t>
      </w:r>
      <w:r>
        <w:rPr>
          <w:color w:val="4F4F4F"/>
          <w:spacing w:val="-6"/>
          <w:w w:val="105"/>
          <w:sz w:val="21"/>
        </w:rPr>
        <w:t> </w:t>
      </w:r>
      <w:r>
        <w:rPr>
          <w:color w:val="1F1F1F"/>
          <w:w w:val="105"/>
          <w:sz w:val="21"/>
        </w:rPr>
        <w:t>An officer </w:t>
      </w:r>
      <w:r>
        <w:rPr>
          <w:color w:val="363636"/>
          <w:w w:val="105"/>
          <w:sz w:val="21"/>
        </w:rPr>
        <w:t>in </w:t>
      </w:r>
      <w:r>
        <w:rPr>
          <w:color w:val="1F1F1F"/>
          <w:w w:val="105"/>
          <w:sz w:val="21"/>
        </w:rPr>
        <w:t>the same position would </w:t>
      </w:r>
      <w:r>
        <w:rPr>
          <w:color w:val="111111"/>
          <w:w w:val="105"/>
          <w:sz w:val="21"/>
        </w:rPr>
        <w:t>be dealt with under the Disciplinary Policy.</w:t>
      </w:r>
    </w:p>
    <w:p>
      <w:pPr>
        <w:pStyle w:val="BodyText"/>
        <w:spacing w:before="2"/>
        <w:rPr>
          <w:sz w:val="21"/>
        </w:rPr>
      </w:pPr>
    </w:p>
    <w:p>
      <w:pPr>
        <w:pStyle w:val="ListParagraph"/>
        <w:numPr>
          <w:ilvl w:val="0"/>
          <w:numId w:val="29"/>
        </w:numPr>
        <w:tabs>
          <w:tab w:val="left" w:leader="none" w:pos="896"/>
        </w:tabs>
        <w:spacing w:before="0" w:after="0" w:line="240" w:lineRule="auto"/>
        <w:ind w:left="896" w:right="0" w:hanging="720"/>
        <w:jc w:val="left"/>
        <w:rPr>
          <w:color w:val="111111"/>
          <w:sz w:val="21"/>
        </w:rPr>
      </w:pPr>
      <w:r>
        <w:rPr>
          <w:color w:val="111111"/>
          <w:w w:val="105"/>
          <w:sz w:val="21"/>
          <w:u w:val="thick" w:color="1F1F1F"/>
        </w:rPr>
        <w:t>Shareholder</w:t>
      </w:r>
      <w:r>
        <w:rPr>
          <w:color w:val="111111"/>
          <w:spacing w:val="13"/>
          <w:w w:val="105"/>
          <w:sz w:val="21"/>
          <w:u w:val="thick" w:color="1F1F1F"/>
        </w:rPr>
        <w:t> </w:t>
      </w:r>
      <w:r>
        <w:rPr>
          <w:color w:val="1F1F1F"/>
          <w:w w:val="105"/>
          <w:sz w:val="21"/>
          <w:u w:val="thick" w:color="1F1F1F"/>
        </w:rPr>
        <w:t>&amp;</w:t>
      </w:r>
      <w:r>
        <w:rPr>
          <w:color w:val="1F1F1F"/>
          <w:spacing w:val="-7"/>
          <w:w w:val="105"/>
          <w:sz w:val="21"/>
          <w:u w:val="thick" w:color="1F1F1F"/>
        </w:rPr>
        <w:t> </w:t>
      </w:r>
      <w:r>
        <w:rPr>
          <w:color w:val="1F1F1F"/>
          <w:w w:val="105"/>
          <w:sz w:val="21"/>
          <w:u w:val="thick" w:color="1F1F1F"/>
        </w:rPr>
        <w:t>Investment</w:t>
      </w:r>
      <w:r>
        <w:rPr>
          <w:color w:val="1F1F1F"/>
          <w:spacing w:val="9"/>
          <w:w w:val="105"/>
          <w:sz w:val="21"/>
          <w:u w:val="thick" w:color="1F1F1F"/>
        </w:rPr>
        <w:t> </w:t>
      </w:r>
      <w:r>
        <w:rPr>
          <w:color w:val="1F1F1F"/>
          <w:spacing w:val="-2"/>
          <w:w w:val="105"/>
          <w:sz w:val="21"/>
          <w:u w:val="thick" w:color="1F1F1F"/>
        </w:rPr>
        <w:t>Committee</w:t>
      </w:r>
    </w:p>
    <w:p>
      <w:pPr>
        <w:pStyle w:val="BodyText"/>
        <w:spacing w:before="26"/>
        <w:rPr>
          <w:sz w:val="21"/>
        </w:rPr>
      </w:pPr>
    </w:p>
    <w:p>
      <w:pPr>
        <w:spacing w:before="0" w:line="252" w:lineRule="auto"/>
        <w:ind w:left="883" w:right="269" w:hanging="2"/>
        <w:jc w:val="left"/>
        <w:rPr>
          <w:sz w:val="21"/>
        </w:rPr>
      </w:pPr>
      <w:r>
        <w:rPr>
          <w:color w:val="111111"/>
          <w:w w:val="105"/>
          <w:sz w:val="21"/>
        </w:rPr>
        <w:t>At the Annual Meeting in 2022 the Council appointed the Shareholder</w:t>
      </w:r>
      <w:r>
        <w:rPr>
          <w:color w:val="111111"/>
          <w:spacing w:val="34"/>
          <w:w w:val="105"/>
          <w:sz w:val="21"/>
        </w:rPr>
        <w:t> </w:t>
      </w:r>
      <w:r>
        <w:rPr>
          <w:color w:val="111111"/>
          <w:w w:val="105"/>
          <w:sz w:val="21"/>
        </w:rPr>
        <w:t>&amp;</w:t>
      </w:r>
      <w:r>
        <w:rPr>
          <w:color w:val="111111"/>
          <w:spacing w:val="-3"/>
          <w:w w:val="105"/>
          <w:sz w:val="21"/>
        </w:rPr>
        <w:t> </w:t>
      </w:r>
      <w:r>
        <w:rPr>
          <w:color w:val="111111"/>
          <w:w w:val="105"/>
          <w:sz w:val="21"/>
        </w:rPr>
        <w:t>Investment Committee (SIC) whose role is</w:t>
      </w:r>
      <w:r>
        <w:rPr>
          <w:color w:val="111111"/>
          <w:spacing w:val="-6"/>
          <w:w w:val="105"/>
          <w:sz w:val="21"/>
        </w:rPr>
        <w:t> </w:t>
      </w:r>
      <w:r>
        <w:rPr>
          <w:color w:val="111111"/>
          <w:w w:val="105"/>
          <w:sz w:val="21"/>
        </w:rPr>
        <w:t>to secure the</w:t>
      </w:r>
      <w:r>
        <w:rPr>
          <w:color w:val="111111"/>
          <w:spacing w:val="-4"/>
          <w:w w:val="105"/>
          <w:sz w:val="21"/>
        </w:rPr>
        <w:t> </w:t>
      </w:r>
      <w:r>
        <w:rPr>
          <w:color w:val="111111"/>
          <w:w w:val="105"/>
          <w:sz w:val="21"/>
        </w:rPr>
        <w:t>efficient and</w:t>
      </w:r>
      <w:r>
        <w:rPr>
          <w:color w:val="111111"/>
          <w:spacing w:val="-5"/>
          <w:w w:val="105"/>
          <w:sz w:val="21"/>
        </w:rPr>
        <w:t> </w:t>
      </w:r>
      <w:r>
        <w:rPr>
          <w:color w:val="111111"/>
          <w:w w:val="105"/>
          <w:sz w:val="21"/>
        </w:rPr>
        <w:t>effective discharge of</w:t>
      </w:r>
      <w:r>
        <w:rPr>
          <w:color w:val="111111"/>
          <w:spacing w:val="-4"/>
          <w:w w:val="105"/>
          <w:sz w:val="21"/>
        </w:rPr>
        <w:t> </w:t>
      </w:r>
      <w:r>
        <w:rPr>
          <w:color w:val="111111"/>
          <w:w w:val="105"/>
          <w:sz w:val="21"/>
        </w:rPr>
        <w:t>the</w:t>
      </w:r>
      <w:r>
        <w:rPr>
          <w:color w:val="111111"/>
          <w:spacing w:val="-2"/>
          <w:w w:val="105"/>
          <w:sz w:val="21"/>
        </w:rPr>
        <w:t> </w:t>
      </w:r>
      <w:r>
        <w:rPr>
          <w:color w:val="111111"/>
          <w:w w:val="105"/>
          <w:sz w:val="21"/>
        </w:rPr>
        <w:t>Council's functions as</w:t>
      </w:r>
      <w:r>
        <w:rPr>
          <w:color w:val="111111"/>
          <w:spacing w:val="-4"/>
          <w:w w:val="105"/>
          <w:sz w:val="21"/>
        </w:rPr>
        <w:t> </w:t>
      </w:r>
      <w:r>
        <w:rPr>
          <w:color w:val="111111"/>
          <w:w w:val="105"/>
          <w:sz w:val="21"/>
        </w:rPr>
        <w:t>a</w:t>
      </w:r>
    </w:p>
    <w:p>
      <w:pPr>
        <w:spacing w:after="0" w:line="252" w:lineRule="auto"/>
        <w:jc w:val="left"/>
        <w:rPr>
          <w:sz w:val="21"/>
        </w:rPr>
        <w:sectPr>
          <w:headerReference w:type="even" r:id="rId307"/>
          <w:pgSz w:w="11910" w:h="16830"/>
          <w:pgMar w:top="920" w:right="540" w:bottom="1160" w:left="440" w:header="0" w:footer="0"/>
        </w:sectPr>
      </w:pPr>
    </w:p>
    <w:p>
      <w:pPr>
        <w:pStyle w:val="BodyText"/>
        <w:spacing w:before="12"/>
        <w:rPr>
          <w:sz w:val="21"/>
        </w:rPr>
      </w:pPr>
    </w:p>
    <w:p>
      <w:pPr>
        <w:spacing w:before="0" w:line="252" w:lineRule="auto"/>
        <w:ind w:left="845" w:right="402" w:firstLine="5"/>
        <w:jc w:val="left"/>
        <w:rPr>
          <w:sz w:val="21"/>
        </w:rPr>
      </w:pPr>
      <w:r>
        <w:rPr>
          <w:color w:val="0C0C0C"/>
          <w:w w:val="105"/>
          <w:sz w:val="21"/>
        </w:rPr>
        <w:t>shareholder and</w:t>
      </w:r>
      <w:r>
        <w:rPr>
          <w:color w:val="0C0C0C"/>
          <w:spacing w:val="-5"/>
          <w:w w:val="105"/>
          <w:sz w:val="21"/>
        </w:rPr>
        <w:t> </w:t>
      </w:r>
      <w:r>
        <w:rPr>
          <w:color w:val="0C0C0C"/>
          <w:w w:val="105"/>
          <w:sz w:val="21"/>
        </w:rPr>
        <w:t>investor in</w:t>
      </w:r>
      <w:r>
        <w:rPr>
          <w:color w:val="0C0C0C"/>
          <w:spacing w:val="-4"/>
          <w:w w:val="105"/>
          <w:sz w:val="21"/>
        </w:rPr>
        <w:t> </w:t>
      </w:r>
      <w:r>
        <w:rPr>
          <w:color w:val="0C0C0C"/>
          <w:w w:val="105"/>
          <w:sz w:val="21"/>
        </w:rPr>
        <w:t>all</w:t>
      </w:r>
      <w:r>
        <w:rPr>
          <w:color w:val="0C0C0C"/>
          <w:spacing w:val="-9"/>
          <w:w w:val="105"/>
          <w:sz w:val="21"/>
        </w:rPr>
        <w:t> </w:t>
      </w:r>
      <w:r>
        <w:rPr>
          <w:color w:val="0C0C0C"/>
          <w:w w:val="105"/>
          <w:sz w:val="21"/>
        </w:rPr>
        <w:t>Council owned or</w:t>
      </w:r>
      <w:r>
        <w:rPr>
          <w:color w:val="0C0C0C"/>
          <w:spacing w:val="-4"/>
          <w:w w:val="105"/>
          <w:sz w:val="21"/>
        </w:rPr>
        <w:t> </w:t>
      </w:r>
      <w:r>
        <w:rPr>
          <w:color w:val="0C0C0C"/>
          <w:w w:val="105"/>
          <w:sz w:val="21"/>
        </w:rPr>
        <w:t>controlled trading companies, including Elstree Film Studios Limited (EFS) and</w:t>
      </w:r>
      <w:r>
        <w:rPr>
          <w:color w:val="0C0C0C"/>
          <w:spacing w:val="-7"/>
          <w:w w:val="105"/>
          <w:sz w:val="21"/>
        </w:rPr>
        <w:t> </w:t>
      </w:r>
      <w:r>
        <w:rPr>
          <w:color w:val="0C0C0C"/>
          <w:w w:val="105"/>
          <w:sz w:val="21"/>
        </w:rPr>
        <w:t>Hertsmere Developments Limited (HDL) or</w:t>
      </w:r>
      <w:r>
        <w:rPr>
          <w:color w:val="0C0C0C"/>
          <w:spacing w:val="-1"/>
          <w:w w:val="105"/>
          <w:sz w:val="21"/>
        </w:rPr>
        <w:t> </w:t>
      </w:r>
      <w:r>
        <w:rPr>
          <w:color w:val="0C0C0C"/>
          <w:w w:val="105"/>
          <w:sz w:val="21"/>
        </w:rPr>
        <w:t>any</w:t>
      </w:r>
      <w:r>
        <w:rPr>
          <w:color w:val="0C0C0C"/>
          <w:spacing w:val="40"/>
          <w:w w:val="105"/>
          <w:sz w:val="21"/>
        </w:rPr>
        <w:t> </w:t>
      </w:r>
      <w:r>
        <w:rPr>
          <w:color w:val="1D1D1D"/>
          <w:w w:val="105"/>
          <w:sz w:val="21"/>
        </w:rPr>
        <w:t>other </w:t>
      </w:r>
      <w:r>
        <w:rPr>
          <w:color w:val="0C0C0C"/>
          <w:w w:val="105"/>
          <w:sz w:val="21"/>
        </w:rPr>
        <w:t>trading company or</w:t>
      </w:r>
      <w:r>
        <w:rPr>
          <w:color w:val="0C0C0C"/>
          <w:spacing w:val="-13"/>
          <w:w w:val="105"/>
          <w:sz w:val="21"/>
        </w:rPr>
        <w:t> </w:t>
      </w:r>
      <w:r>
        <w:rPr>
          <w:color w:val="0C0C0C"/>
          <w:w w:val="105"/>
          <w:sz w:val="21"/>
        </w:rPr>
        <w:t>holding company of</w:t>
      </w:r>
      <w:r>
        <w:rPr>
          <w:color w:val="0C0C0C"/>
          <w:spacing w:val="-3"/>
          <w:w w:val="105"/>
          <w:sz w:val="21"/>
        </w:rPr>
        <w:t> </w:t>
      </w:r>
      <w:r>
        <w:rPr>
          <w:color w:val="1D1D1D"/>
          <w:w w:val="105"/>
          <w:sz w:val="21"/>
        </w:rPr>
        <w:t>a</w:t>
      </w:r>
      <w:r>
        <w:rPr>
          <w:color w:val="1D1D1D"/>
          <w:spacing w:val="-16"/>
          <w:w w:val="105"/>
          <w:sz w:val="21"/>
        </w:rPr>
        <w:t> </w:t>
      </w:r>
      <w:r>
        <w:rPr>
          <w:color w:val="1D1D1D"/>
          <w:w w:val="105"/>
          <w:sz w:val="21"/>
        </w:rPr>
        <w:t>trading</w:t>
      </w:r>
      <w:r>
        <w:rPr>
          <w:color w:val="1D1D1D"/>
          <w:spacing w:val="-1"/>
          <w:w w:val="105"/>
          <w:sz w:val="21"/>
        </w:rPr>
        <w:t> </w:t>
      </w:r>
      <w:r>
        <w:rPr>
          <w:color w:val="0C0C0C"/>
          <w:w w:val="105"/>
          <w:sz w:val="21"/>
        </w:rPr>
        <w:t>company </w:t>
      </w:r>
      <w:r>
        <w:rPr>
          <w:color w:val="2F2F2F"/>
          <w:w w:val="105"/>
          <w:sz w:val="21"/>
        </w:rPr>
        <w:t>in </w:t>
      </w:r>
      <w:r>
        <w:rPr>
          <w:color w:val="1D1D1D"/>
          <w:w w:val="105"/>
          <w:sz w:val="21"/>
        </w:rPr>
        <w:t>which</w:t>
      </w:r>
      <w:r>
        <w:rPr>
          <w:color w:val="1D1D1D"/>
          <w:spacing w:val="-9"/>
          <w:w w:val="105"/>
          <w:sz w:val="21"/>
        </w:rPr>
        <w:t> </w:t>
      </w:r>
      <w:r>
        <w:rPr>
          <w:color w:val="0C0C0C"/>
          <w:w w:val="105"/>
          <w:sz w:val="21"/>
        </w:rPr>
        <w:t>the</w:t>
      </w:r>
      <w:r>
        <w:rPr>
          <w:color w:val="0C0C0C"/>
          <w:spacing w:val="-10"/>
          <w:w w:val="105"/>
          <w:sz w:val="21"/>
        </w:rPr>
        <w:t> </w:t>
      </w:r>
      <w:r>
        <w:rPr>
          <w:color w:val="0C0C0C"/>
          <w:w w:val="105"/>
          <w:sz w:val="21"/>
        </w:rPr>
        <w:t>Council</w:t>
      </w:r>
      <w:r>
        <w:rPr>
          <w:color w:val="0C0C0C"/>
          <w:spacing w:val="-3"/>
          <w:w w:val="105"/>
          <w:sz w:val="21"/>
        </w:rPr>
        <w:t> </w:t>
      </w:r>
      <w:r>
        <w:rPr>
          <w:color w:val="0C0C0C"/>
          <w:w w:val="105"/>
          <w:sz w:val="21"/>
        </w:rPr>
        <w:t>is</w:t>
      </w:r>
      <w:r>
        <w:rPr>
          <w:color w:val="0C0C0C"/>
          <w:spacing w:val="-6"/>
          <w:w w:val="105"/>
          <w:sz w:val="21"/>
        </w:rPr>
        <w:t> </w:t>
      </w:r>
      <w:r>
        <w:rPr>
          <w:color w:val="0C0C0C"/>
          <w:w w:val="105"/>
          <w:sz w:val="21"/>
        </w:rPr>
        <w:t>a</w:t>
      </w:r>
      <w:r>
        <w:rPr>
          <w:color w:val="0C0C0C"/>
          <w:spacing w:val="-1"/>
          <w:w w:val="105"/>
          <w:sz w:val="21"/>
        </w:rPr>
        <w:t> </w:t>
      </w:r>
      <w:r>
        <w:rPr>
          <w:color w:val="0C0C0C"/>
          <w:w w:val="105"/>
          <w:sz w:val="21"/>
        </w:rPr>
        <w:t>shareholder </w:t>
      </w:r>
      <w:r>
        <w:rPr>
          <w:color w:val="1D1D1D"/>
          <w:w w:val="105"/>
          <w:sz w:val="21"/>
        </w:rPr>
        <w:t>and/or </w:t>
      </w:r>
      <w:r>
        <w:rPr>
          <w:color w:val="0C0C0C"/>
          <w:w w:val="105"/>
          <w:sz w:val="21"/>
        </w:rPr>
        <w:t>an investor and</w:t>
      </w:r>
      <w:r>
        <w:rPr>
          <w:color w:val="0C0C0C"/>
          <w:spacing w:val="-13"/>
          <w:w w:val="105"/>
          <w:sz w:val="21"/>
        </w:rPr>
        <w:t> </w:t>
      </w:r>
      <w:r>
        <w:rPr>
          <w:color w:val="0C0C0C"/>
          <w:w w:val="105"/>
          <w:sz w:val="21"/>
        </w:rPr>
        <w:t>to</w:t>
      </w:r>
      <w:r>
        <w:rPr>
          <w:color w:val="0C0C0C"/>
          <w:spacing w:val="-8"/>
          <w:w w:val="105"/>
          <w:sz w:val="21"/>
        </w:rPr>
        <w:t> </w:t>
      </w:r>
      <w:r>
        <w:rPr>
          <w:color w:val="0C0C0C"/>
          <w:w w:val="105"/>
          <w:sz w:val="21"/>
        </w:rPr>
        <w:t>make</w:t>
      </w:r>
      <w:r>
        <w:rPr>
          <w:color w:val="0C0C0C"/>
          <w:spacing w:val="-5"/>
          <w:w w:val="105"/>
          <w:sz w:val="21"/>
        </w:rPr>
        <w:t> </w:t>
      </w:r>
      <w:r>
        <w:rPr>
          <w:color w:val="0C0C0C"/>
          <w:w w:val="105"/>
          <w:sz w:val="21"/>
        </w:rPr>
        <w:t>recommendations</w:t>
      </w:r>
      <w:r>
        <w:rPr>
          <w:color w:val="0C0C0C"/>
          <w:spacing w:val="-16"/>
          <w:w w:val="105"/>
          <w:sz w:val="21"/>
        </w:rPr>
        <w:t> </w:t>
      </w:r>
      <w:r>
        <w:rPr>
          <w:color w:val="0C0C0C"/>
          <w:w w:val="105"/>
          <w:sz w:val="21"/>
        </w:rPr>
        <w:t>to</w:t>
      </w:r>
      <w:r>
        <w:rPr>
          <w:color w:val="0C0C0C"/>
          <w:spacing w:val="-6"/>
          <w:w w:val="105"/>
          <w:sz w:val="21"/>
        </w:rPr>
        <w:t> </w:t>
      </w:r>
      <w:r>
        <w:rPr>
          <w:color w:val="0C0C0C"/>
          <w:w w:val="105"/>
          <w:sz w:val="21"/>
        </w:rPr>
        <w:t>the</w:t>
      </w:r>
      <w:r>
        <w:rPr>
          <w:color w:val="0C0C0C"/>
          <w:spacing w:val="-3"/>
          <w:w w:val="105"/>
          <w:sz w:val="21"/>
        </w:rPr>
        <w:t> </w:t>
      </w:r>
      <w:r>
        <w:rPr>
          <w:color w:val="0C0C0C"/>
          <w:w w:val="105"/>
          <w:sz w:val="21"/>
        </w:rPr>
        <w:t>Executive and</w:t>
      </w:r>
      <w:r>
        <w:rPr>
          <w:color w:val="0C0C0C"/>
          <w:spacing w:val="-7"/>
          <w:w w:val="105"/>
          <w:sz w:val="21"/>
        </w:rPr>
        <w:t> </w:t>
      </w:r>
      <w:r>
        <w:rPr>
          <w:color w:val="0C0C0C"/>
          <w:w w:val="105"/>
          <w:sz w:val="21"/>
        </w:rPr>
        <w:t>the</w:t>
      </w:r>
      <w:r>
        <w:rPr>
          <w:color w:val="0C0C0C"/>
          <w:spacing w:val="-7"/>
          <w:w w:val="105"/>
          <w:sz w:val="21"/>
        </w:rPr>
        <w:t> </w:t>
      </w:r>
      <w:r>
        <w:rPr>
          <w:color w:val="0C0C0C"/>
          <w:w w:val="105"/>
          <w:sz w:val="21"/>
        </w:rPr>
        <w:t>Council</w:t>
      </w:r>
      <w:r>
        <w:rPr>
          <w:color w:val="0C0C0C"/>
          <w:spacing w:val="-1"/>
          <w:w w:val="105"/>
          <w:sz w:val="21"/>
        </w:rPr>
        <w:t> </w:t>
      </w:r>
      <w:r>
        <w:rPr>
          <w:color w:val="0C0C0C"/>
          <w:w w:val="105"/>
          <w:sz w:val="21"/>
        </w:rPr>
        <w:t>thereon. The</w:t>
      </w:r>
      <w:r>
        <w:rPr>
          <w:color w:val="0C0C0C"/>
          <w:spacing w:val="-8"/>
          <w:w w:val="105"/>
          <w:sz w:val="21"/>
        </w:rPr>
        <w:t> </w:t>
      </w:r>
      <w:r>
        <w:rPr>
          <w:color w:val="0C0C0C"/>
          <w:w w:val="105"/>
          <w:sz w:val="21"/>
        </w:rPr>
        <w:t>SIC</w:t>
      </w:r>
      <w:r>
        <w:rPr>
          <w:color w:val="0C0C0C"/>
          <w:spacing w:val="-5"/>
          <w:w w:val="105"/>
          <w:sz w:val="21"/>
        </w:rPr>
        <w:t> </w:t>
      </w:r>
      <w:r>
        <w:rPr>
          <w:color w:val="0C0C0C"/>
          <w:w w:val="105"/>
          <w:sz w:val="21"/>
        </w:rPr>
        <w:t>met</w:t>
      </w:r>
      <w:r>
        <w:rPr>
          <w:color w:val="0C0C0C"/>
          <w:spacing w:val="-7"/>
          <w:w w:val="105"/>
          <w:sz w:val="21"/>
        </w:rPr>
        <w:t> </w:t>
      </w:r>
      <w:r>
        <w:rPr>
          <w:color w:val="0C0C0C"/>
          <w:w w:val="105"/>
          <w:sz w:val="21"/>
        </w:rPr>
        <w:t>four times</w:t>
      </w:r>
      <w:r>
        <w:rPr>
          <w:color w:val="0C0C0C"/>
          <w:spacing w:val="-6"/>
          <w:w w:val="105"/>
          <w:sz w:val="21"/>
        </w:rPr>
        <w:t> </w:t>
      </w:r>
      <w:r>
        <w:rPr>
          <w:color w:val="0C0C0C"/>
          <w:w w:val="105"/>
          <w:sz w:val="21"/>
        </w:rPr>
        <w:t>in 2022/23 and</w:t>
      </w:r>
      <w:r>
        <w:rPr>
          <w:color w:val="0C0C0C"/>
          <w:spacing w:val="-14"/>
          <w:w w:val="105"/>
          <w:sz w:val="21"/>
        </w:rPr>
        <w:t> </w:t>
      </w:r>
      <w:r>
        <w:rPr>
          <w:color w:val="0C0C0C"/>
          <w:w w:val="105"/>
          <w:sz w:val="21"/>
        </w:rPr>
        <w:t>received</w:t>
      </w:r>
      <w:r>
        <w:rPr>
          <w:color w:val="0C0C0C"/>
          <w:spacing w:val="-1"/>
          <w:w w:val="105"/>
          <w:sz w:val="21"/>
        </w:rPr>
        <w:t> </w:t>
      </w:r>
      <w:r>
        <w:rPr>
          <w:color w:val="0C0C0C"/>
          <w:w w:val="105"/>
          <w:sz w:val="21"/>
        </w:rPr>
        <w:t>regular updates from</w:t>
      </w:r>
      <w:r>
        <w:rPr>
          <w:color w:val="0C0C0C"/>
          <w:spacing w:val="-1"/>
          <w:w w:val="105"/>
          <w:sz w:val="21"/>
        </w:rPr>
        <w:t> </w:t>
      </w:r>
      <w:r>
        <w:rPr>
          <w:color w:val="0C0C0C"/>
          <w:w w:val="105"/>
          <w:sz w:val="21"/>
        </w:rPr>
        <w:t>HDL, </w:t>
      </w:r>
      <w:r>
        <w:rPr>
          <w:color w:val="1D1D1D"/>
          <w:w w:val="105"/>
          <w:sz w:val="21"/>
        </w:rPr>
        <w:t>EFS</w:t>
      </w:r>
      <w:r>
        <w:rPr>
          <w:color w:val="1D1D1D"/>
          <w:spacing w:val="-4"/>
          <w:w w:val="105"/>
          <w:sz w:val="21"/>
        </w:rPr>
        <w:t> </w:t>
      </w:r>
      <w:r>
        <w:rPr>
          <w:color w:val="0C0C0C"/>
          <w:w w:val="105"/>
          <w:sz w:val="21"/>
        </w:rPr>
        <w:t>and</w:t>
      </w:r>
      <w:r>
        <w:rPr>
          <w:color w:val="0C0C0C"/>
          <w:spacing w:val="-10"/>
          <w:w w:val="105"/>
          <w:sz w:val="21"/>
        </w:rPr>
        <w:t> </w:t>
      </w:r>
      <w:r>
        <w:rPr>
          <w:color w:val="0C0C0C"/>
          <w:w w:val="105"/>
          <w:sz w:val="21"/>
        </w:rPr>
        <w:t>Hertsmere Living Limited</w:t>
      </w:r>
      <w:r>
        <w:rPr>
          <w:color w:val="0C0C0C"/>
          <w:spacing w:val="-7"/>
          <w:w w:val="105"/>
          <w:sz w:val="21"/>
        </w:rPr>
        <w:t> </w:t>
      </w:r>
      <w:r>
        <w:rPr>
          <w:color w:val="0C0C0C"/>
          <w:w w:val="105"/>
          <w:sz w:val="21"/>
        </w:rPr>
        <w:t>(HLL) as well as scrutinising reports for loan</w:t>
      </w:r>
      <w:r>
        <w:rPr>
          <w:color w:val="0C0C0C"/>
          <w:spacing w:val="-5"/>
          <w:w w:val="105"/>
          <w:sz w:val="21"/>
        </w:rPr>
        <w:t> </w:t>
      </w:r>
      <w:r>
        <w:rPr>
          <w:color w:val="0C0C0C"/>
          <w:w w:val="105"/>
          <w:sz w:val="21"/>
        </w:rPr>
        <w:t>funding prior to consideration by the Executive.</w:t>
      </w:r>
    </w:p>
    <w:p>
      <w:pPr>
        <w:pStyle w:val="BodyText"/>
        <w:spacing w:before="6"/>
        <w:rPr>
          <w:sz w:val="21"/>
        </w:rPr>
      </w:pPr>
    </w:p>
    <w:p>
      <w:pPr>
        <w:spacing w:before="0"/>
        <w:ind w:left="847" w:right="0" w:firstLine="0"/>
        <w:jc w:val="left"/>
        <w:rPr>
          <w:sz w:val="21"/>
        </w:rPr>
      </w:pPr>
      <w:r>
        <w:rPr>
          <w:color w:val="0C0C0C"/>
          <w:w w:val="105"/>
          <w:sz w:val="21"/>
          <w:u w:val="thick" w:color="0C0C0C"/>
        </w:rPr>
        <w:t>Member</w:t>
      </w:r>
      <w:r>
        <w:rPr>
          <w:color w:val="0C0C0C"/>
          <w:spacing w:val="-7"/>
          <w:w w:val="105"/>
          <w:sz w:val="21"/>
          <w:u w:val="thick" w:color="0C0C0C"/>
        </w:rPr>
        <w:t> </w:t>
      </w:r>
      <w:r>
        <w:rPr>
          <w:color w:val="0C0C0C"/>
          <w:spacing w:val="-2"/>
          <w:w w:val="105"/>
          <w:sz w:val="21"/>
          <w:u w:val="thick" w:color="0C0C0C"/>
        </w:rPr>
        <w:t>Panels</w:t>
      </w:r>
    </w:p>
    <w:p>
      <w:pPr>
        <w:pStyle w:val="BodyText"/>
        <w:spacing w:before="26"/>
        <w:rPr>
          <w:sz w:val="21"/>
        </w:rPr>
      </w:pPr>
    </w:p>
    <w:p>
      <w:pPr>
        <w:pStyle w:val="ListParagraph"/>
        <w:numPr>
          <w:ilvl w:val="0"/>
          <w:numId w:val="29"/>
        </w:numPr>
        <w:tabs>
          <w:tab w:val="left" w:leader="none" w:pos="846"/>
          <w:tab w:val="left" w:leader="none" w:pos="851"/>
        </w:tabs>
        <w:spacing w:before="0" w:after="0" w:line="252" w:lineRule="auto"/>
        <w:ind w:left="851" w:right="497" w:hanging="709"/>
        <w:jc w:val="both"/>
        <w:rPr>
          <w:color w:val="0C0C0C"/>
          <w:sz w:val="21"/>
        </w:rPr>
      </w:pPr>
      <w:r>
        <w:rPr>
          <w:color w:val="0C0C0C"/>
          <w:w w:val="105"/>
          <w:sz w:val="21"/>
        </w:rPr>
        <w:t>There</w:t>
      </w:r>
      <w:r>
        <w:rPr>
          <w:color w:val="0C0C0C"/>
          <w:spacing w:val="-3"/>
          <w:w w:val="105"/>
          <w:sz w:val="21"/>
        </w:rPr>
        <w:t> </w:t>
      </w:r>
      <w:r>
        <w:rPr>
          <w:color w:val="0C0C0C"/>
          <w:w w:val="105"/>
          <w:sz w:val="21"/>
        </w:rPr>
        <w:t>has</w:t>
      </w:r>
      <w:r>
        <w:rPr>
          <w:color w:val="0C0C0C"/>
          <w:spacing w:val="-12"/>
          <w:w w:val="105"/>
          <w:sz w:val="21"/>
        </w:rPr>
        <w:t> </w:t>
      </w:r>
      <w:r>
        <w:rPr>
          <w:color w:val="0C0C0C"/>
          <w:w w:val="105"/>
          <w:sz w:val="21"/>
        </w:rPr>
        <w:t>been</w:t>
      </w:r>
      <w:r>
        <w:rPr>
          <w:color w:val="0C0C0C"/>
          <w:spacing w:val="-4"/>
          <w:w w:val="105"/>
          <w:sz w:val="21"/>
        </w:rPr>
        <w:t> </w:t>
      </w:r>
      <w:r>
        <w:rPr>
          <w:color w:val="0C0C0C"/>
          <w:w w:val="105"/>
          <w:sz w:val="21"/>
        </w:rPr>
        <w:t>a</w:t>
      </w:r>
      <w:r>
        <w:rPr>
          <w:color w:val="0C0C0C"/>
          <w:spacing w:val="-16"/>
          <w:w w:val="105"/>
          <w:sz w:val="21"/>
        </w:rPr>
        <w:t> </w:t>
      </w:r>
      <w:r>
        <w:rPr>
          <w:color w:val="0C0C0C"/>
          <w:w w:val="105"/>
          <w:sz w:val="21"/>
        </w:rPr>
        <w:t>number of</w:t>
      </w:r>
      <w:r>
        <w:rPr>
          <w:color w:val="0C0C0C"/>
          <w:spacing w:val="-7"/>
          <w:w w:val="105"/>
          <w:sz w:val="21"/>
        </w:rPr>
        <w:t> </w:t>
      </w:r>
      <w:r>
        <w:rPr>
          <w:color w:val="0C0C0C"/>
          <w:w w:val="105"/>
          <w:sz w:val="21"/>
        </w:rPr>
        <w:t>cross-party Member Panels</w:t>
      </w:r>
      <w:r>
        <w:rPr>
          <w:color w:val="0C0C0C"/>
          <w:spacing w:val="-7"/>
          <w:w w:val="105"/>
          <w:sz w:val="21"/>
        </w:rPr>
        <w:t> </w:t>
      </w:r>
      <w:r>
        <w:rPr>
          <w:color w:val="0C0C0C"/>
          <w:w w:val="105"/>
          <w:sz w:val="21"/>
        </w:rPr>
        <w:t>to</w:t>
      </w:r>
      <w:r>
        <w:rPr>
          <w:color w:val="0C0C0C"/>
          <w:spacing w:val="-6"/>
          <w:w w:val="105"/>
          <w:sz w:val="21"/>
        </w:rPr>
        <w:t> </w:t>
      </w:r>
      <w:r>
        <w:rPr>
          <w:color w:val="0C0C0C"/>
          <w:w w:val="105"/>
          <w:sz w:val="21"/>
        </w:rPr>
        <w:t>scrutinise the</w:t>
      </w:r>
      <w:r>
        <w:rPr>
          <w:color w:val="0C0C0C"/>
          <w:spacing w:val="-7"/>
          <w:w w:val="105"/>
          <w:sz w:val="21"/>
        </w:rPr>
        <w:t> </w:t>
      </w:r>
      <w:r>
        <w:rPr>
          <w:color w:val="0C0C0C"/>
          <w:w w:val="105"/>
          <w:sz w:val="21"/>
        </w:rPr>
        <w:t>various areas of</w:t>
      </w:r>
      <w:r>
        <w:rPr>
          <w:color w:val="0C0C0C"/>
          <w:spacing w:val="-4"/>
          <w:w w:val="105"/>
          <w:sz w:val="21"/>
        </w:rPr>
        <w:t> </w:t>
      </w:r>
      <w:r>
        <w:rPr>
          <w:color w:val="0C0C0C"/>
          <w:w w:val="105"/>
          <w:sz w:val="21"/>
        </w:rPr>
        <w:t>Council activity,</w:t>
      </w:r>
      <w:r>
        <w:rPr>
          <w:color w:val="0C0C0C"/>
          <w:spacing w:val="-2"/>
          <w:w w:val="105"/>
          <w:sz w:val="21"/>
        </w:rPr>
        <w:t> </w:t>
      </w:r>
      <w:r>
        <w:rPr>
          <w:color w:val="0C0C0C"/>
          <w:w w:val="105"/>
          <w:sz w:val="21"/>
        </w:rPr>
        <w:t>e.g.</w:t>
      </w:r>
      <w:r>
        <w:rPr>
          <w:color w:val="0C0C0C"/>
          <w:spacing w:val="-11"/>
          <w:w w:val="105"/>
          <w:sz w:val="21"/>
        </w:rPr>
        <w:t> </w:t>
      </w:r>
      <w:r>
        <w:rPr>
          <w:color w:val="0C0C0C"/>
          <w:w w:val="105"/>
          <w:sz w:val="21"/>
        </w:rPr>
        <w:t>Asset</w:t>
      </w:r>
      <w:r>
        <w:rPr>
          <w:color w:val="0C0C0C"/>
          <w:spacing w:val="-9"/>
          <w:w w:val="105"/>
          <w:sz w:val="21"/>
        </w:rPr>
        <w:t> </w:t>
      </w:r>
      <w:r>
        <w:rPr>
          <w:color w:val="0C0C0C"/>
          <w:w w:val="105"/>
          <w:sz w:val="21"/>
        </w:rPr>
        <w:t>Management Panel,</w:t>
      </w:r>
      <w:r>
        <w:rPr>
          <w:color w:val="0C0C0C"/>
          <w:spacing w:val="-9"/>
          <w:w w:val="105"/>
          <w:sz w:val="21"/>
        </w:rPr>
        <w:t> </w:t>
      </w:r>
      <w:r>
        <w:rPr>
          <w:color w:val="0C0C0C"/>
          <w:w w:val="105"/>
          <w:sz w:val="21"/>
        </w:rPr>
        <w:t>Financial</w:t>
      </w:r>
      <w:r>
        <w:rPr>
          <w:color w:val="0C0C0C"/>
          <w:spacing w:val="-13"/>
          <w:w w:val="105"/>
          <w:sz w:val="21"/>
        </w:rPr>
        <w:t> </w:t>
      </w:r>
      <w:r>
        <w:rPr>
          <w:color w:val="0C0C0C"/>
          <w:w w:val="105"/>
          <w:sz w:val="21"/>
        </w:rPr>
        <w:t>Monitoring Panel,</w:t>
      </w:r>
      <w:r>
        <w:rPr>
          <w:color w:val="0C0C0C"/>
          <w:spacing w:val="-12"/>
          <w:w w:val="105"/>
          <w:sz w:val="21"/>
        </w:rPr>
        <w:t> </w:t>
      </w:r>
      <w:r>
        <w:rPr>
          <w:color w:val="0C0C0C"/>
          <w:w w:val="105"/>
          <w:sz w:val="21"/>
        </w:rPr>
        <w:t>Grants</w:t>
      </w:r>
      <w:r>
        <w:rPr>
          <w:color w:val="0C0C0C"/>
          <w:spacing w:val="-13"/>
          <w:w w:val="105"/>
          <w:sz w:val="21"/>
        </w:rPr>
        <w:t> </w:t>
      </w:r>
      <w:r>
        <w:rPr>
          <w:color w:val="0C0C0C"/>
          <w:w w:val="105"/>
          <w:sz w:val="21"/>
        </w:rPr>
        <w:t>Panel,</w:t>
      </w:r>
      <w:r>
        <w:rPr>
          <w:color w:val="0C0C0C"/>
          <w:spacing w:val="-5"/>
          <w:w w:val="105"/>
          <w:sz w:val="21"/>
        </w:rPr>
        <w:t> </w:t>
      </w:r>
      <w:r>
        <w:rPr>
          <w:color w:val="0C0C0C"/>
          <w:w w:val="105"/>
          <w:sz w:val="21"/>
        </w:rPr>
        <w:t>Leisure</w:t>
      </w:r>
      <w:r>
        <w:rPr>
          <w:color w:val="0C0C0C"/>
          <w:spacing w:val="-13"/>
          <w:w w:val="105"/>
          <w:sz w:val="21"/>
        </w:rPr>
        <w:t> </w:t>
      </w:r>
      <w:r>
        <w:rPr>
          <w:color w:val="0C0C0C"/>
          <w:w w:val="105"/>
          <w:sz w:val="21"/>
        </w:rPr>
        <w:t>Contract Panel, the</w:t>
      </w:r>
      <w:r>
        <w:rPr>
          <w:color w:val="0C0C0C"/>
          <w:spacing w:val="-7"/>
          <w:w w:val="105"/>
          <w:sz w:val="21"/>
        </w:rPr>
        <w:t> </w:t>
      </w:r>
      <w:r>
        <w:rPr>
          <w:color w:val="0C0C0C"/>
          <w:w w:val="105"/>
          <w:sz w:val="21"/>
        </w:rPr>
        <w:t>Members Planning Panel and</w:t>
      </w:r>
      <w:r>
        <w:rPr>
          <w:color w:val="0C0C0C"/>
          <w:spacing w:val="-5"/>
          <w:w w:val="105"/>
          <w:sz w:val="21"/>
        </w:rPr>
        <w:t> </w:t>
      </w:r>
      <w:r>
        <w:rPr>
          <w:color w:val="0C0C0C"/>
          <w:w w:val="105"/>
          <w:sz w:val="21"/>
        </w:rPr>
        <w:t>the</w:t>
      </w:r>
      <w:r>
        <w:rPr>
          <w:color w:val="0C0C0C"/>
          <w:spacing w:val="-2"/>
          <w:w w:val="105"/>
          <w:sz w:val="21"/>
        </w:rPr>
        <w:t> </w:t>
      </w:r>
      <w:r>
        <w:rPr>
          <w:color w:val="0C0C0C"/>
          <w:w w:val="105"/>
          <w:sz w:val="21"/>
        </w:rPr>
        <w:t>Performance Management Panel.</w:t>
      </w:r>
    </w:p>
    <w:p>
      <w:pPr>
        <w:pStyle w:val="BodyText"/>
        <w:spacing w:before="7"/>
        <w:rPr>
          <w:sz w:val="21"/>
        </w:rPr>
      </w:pPr>
    </w:p>
    <w:p>
      <w:pPr>
        <w:spacing w:before="0"/>
        <w:ind w:left="853" w:right="0" w:firstLine="0"/>
        <w:jc w:val="left"/>
        <w:rPr>
          <w:sz w:val="21"/>
        </w:rPr>
      </w:pPr>
      <w:r>
        <w:rPr>
          <w:color w:val="1D1D1D"/>
          <w:w w:val="105"/>
          <w:sz w:val="21"/>
          <w:u w:val="thick" w:color="1D1D1D"/>
        </w:rPr>
        <w:t>The</w:t>
      </w:r>
      <w:r>
        <w:rPr>
          <w:color w:val="1D1D1D"/>
          <w:spacing w:val="-8"/>
          <w:w w:val="105"/>
          <w:sz w:val="21"/>
          <w:u w:val="thick" w:color="1D1D1D"/>
        </w:rPr>
        <w:t> </w:t>
      </w:r>
      <w:r>
        <w:rPr>
          <w:color w:val="1D1D1D"/>
          <w:w w:val="105"/>
          <w:sz w:val="21"/>
          <w:u w:val="thick" w:color="1D1D1D"/>
        </w:rPr>
        <w:t>Standards</w:t>
      </w:r>
      <w:r>
        <w:rPr>
          <w:color w:val="1D1D1D"/>
          <w:spacing w:val="-2"/>
          <w:w w:val="105"/>
          <w:sz w:val="21"/>
          <w:u w:val="thick" w:color="1D1D1D"/>
        </w:rPr>
        <w:t> Committee</w:t>
      </w:r>
    </w:p>
    <w:p>
      <w:pPr>
        <w:pStyle w:val="BodyText"/>
        <w:spacing w:before="31"/>
        <w:rPr>
          <w:sz w:val="21"/>
        </w:rPr>
      </w:pPr>
    </w:p>
    <w:p>
      <w:pPr>
        <w:pStyle w:val="ListParagraph"/>
        <w:numPr>
          <w:ilvl w:val="0"/>
          <w:numId w:val="29"/>
        </w:numPr>
        <w:tabs>
          <w:tab w:val="left" w:leader="none" w:pos="848"/>
          <w:tab w:val="left" w:leader="none" w:pos="851"/>
        </w:tabs>
        <w:spacing w:before="0" w:after="0" w:line="247" w:lineRule="auto"/>
        <w:ind w:left="851" w:right="837" w:hanging="705"/>
        <w:jc w:val="left"/>
        <w:rPr>
          <w:color w:val="0C0C0C"/>
          <w:sz w:val="21"/>
        </w:rPr>
      </w:pPr>
      <w:r>
        <w:rPr>
          <w:color w:val="0C0C0C"/>
          <w:w w:val="105"/>
          <w:sz w:val="21"/>
        </w:rPr>
        <w:t>The</w:t>
      </w:r>
      <w:r>
        <w:rPr>
          <w:color w:val="0C0C0C"/>
          <w:spacing w:val="-15"/>
          <w:w w:val="105"/>
          <w:sz w:val="21"/>
        </w:rPr>
        <w:t> </w:t>
      </w:r>
      <w:r>
        <w:rPr>
          <w:color w:val="0C0C0C"/>
          <w:w w:val="105"/>
          <w:sz w:val="21"/>
        </w:rPr>
        <w:t>Standards</w:t>
      </w:r>
      <w:r>
        <w:rPr>
          <w:color w:val="0C0C0C"/>
          <w:spacing w:val="-1"/>
          <w:w w:val="105"/>
          <w:sz w:val="21"/>
        </w:rPr>
        <w:t> </w:t>
      </w:r>
      <w:r>
        <w:rPr>
          <w:color w:val="0C0C0C"/>
          <w:w w:val="105"/>
          <w:sz w:val="21"/>
        </w:rPr>
        <w:t>Committee's</w:t>
      </w:r>
      <w:r>
        <w:rPr>
          <w:color w:val="0C0C0C"/>
          <w:spacing w:val="-3"/>
          <w:w w:val="105"/>
          <w:sz w:val="21"/>
        </w:rPr>
        <w:t> </w:t>
      </w:r>
      <w:r>
        <w:rPr>
          <w:color w:val="0C0C0C"/>
          <w:w w:val="105"/>
          <w:sz w:val="21"/>
        </w:rPr>
        <w:t>comprises</w:t>
      </w:r>
      <w:r>
        <w:rPr>
          <w:color w:val="0C0C0C"/>
          <w:spacing w:val="-3"/>
          <w:w w:val="105"/>
          <w:sz w:val="21"/>
        </w:rPr>
        <w:t> </w:t>
      </w:r>
      <w:r>
        <w:rPr>
          <w:color w:val="0C0C0C"/>
          <w:w w:val="105"/>
          <w:sz w:val="21"/>
        </w:rPr>
        <w:t>five</w:t>
      </w:r>
      <w:r>
        <w:rPr>
          <w:color w:val="0C0C0C"/>
          <w:spacing w:val="-9"/>
          <w:w w:val="105"/>
          <w:sz w:val="21"/>
        </w:rPr>
        <w:t> </w:t>
      </w:r>
      <w:r>
        <w:rPr>
          <w:color w:val="0C0C0C"/>
          <w:w w:val="105"/>
          <w:sz w:val="21"/>
        </w:rPr>
        <w:t>Borough</w:t>
      </w:r>
      <w:r>
        <w:rPr>
          <w:color w:val="0C0C0C"/>
          <w:spacing w:val="-13"/>
          <w:w w:val="105"/>
          <w:sz w:val="21"/>
        </w:rPr>
        <w:t> </w:t>
      </w:r>
      <w:r>
        <w:rPr>
          <w:color w:val="0C0C0C"/>
          <w:w w:val="105"/>
          <w:sz w:val="21"/>
        </w:rPr>
        <w:t>Councillors </w:t>
      </w:r>
      <w:r>
        <w:rPr>
          <w:color w:val="1D1D1D"/>
          <w:w w:val="105"/>
          <w:sz w:val="21"/>
        </w:rPr>
        <w:t>supported</w:t>
      </w:r>
      <w:r>
        <w:rPr>
          <w:color w:val="1D1D1D"/>
          <w:spacing w:val="-6"/>
          <w:w w:val="105"/>
          <w:sz w:val="21"/>
        </w:rPr>
        <w:t> </w:t>
      </w:r>
      <w:r>
        <w:rPr>
          <w:color w:val="0C0C0C"/>
          <w:w w:val="105"/>
          <w:sz w:val="21"/>
        </w:rPr>
        <w:t>by</w:t>
      </w:r>
      <w:r>
        <w:rPr>
          <w:color w:val="0C0C0C"/>
          <w:spacing w:val="-12"/>
          <w:w w:val="105"/>
          <w:sz w:val="21"/>
        </w:rPr>
        <w:t> </w:t>
      </w:r>
      <w:r>
        <w:rPr>
          <w:color w:val="0C0C0C"/>
          <w:w w:val="105"/>
          <w:sz w:val="21"/>
        </w:rPr>
        <w:t>two</w:t>
      </w:r>
      <w:r>
        <w:rPr>
          <w:color w:val="0C0C0C"/>
          <w:spacing w:val="-10"/>
          <w:w w:val="105"/>
          <w:sz w:val="21"/>
        </w:rPr>
        <w:t> </w:t>
      </w:r>
      <w:r>
        <w:rPr>
          <w:color w:val="0C0C0C"/>
          <w:w w:val="105"/>
          <w:sz w:val="21"/>
        </w:rPr>
        <w:t>Independent Persons (IP).</w:t>
      </w:r>
    </w:p>
    <w:p>
      <w:pPr>
        <w:pStyle w:val="BodyText"/>
        <w:spacing w:before="21"/>
        <w:rPr>
          <w:sz w:val="21"/>
        </w:rPr>
      </w:pPr>
    </w:p>
    <w:p>
      <w:pPr>
        <w:spacing w:before="0" w:line="252" w:lineRule="auto"/>
        <w:ind w:left="849" w:right="402" w:firstLine="8"/>
        <w:jc w:val="left"/>
        <w:rPr>
          <w:sz w:val="21"/>
        </w:rPr>
      </w:pPr>
      <w:r>
        <w:rPr>
          <w:color w:val="1D1D1D"/>
          <w:w w:val="105"/>
          <w:sz w:val="21"/>
        </w:rPr>
        <w:t>The</w:t>
      </w:r>
      <w:r>
        <w:rPr>
          <w:color w:val="1D1D1D"/>
          <w:spacing w:val="-3"/>
          <w:w w:val="105"/>
          <w:sz w:val="21"/>
        </w:rPr>
        <w:t> </w:t>
      </w:r>
      <w:r>
        <w:rPr>
          <w:color w:val="1D1D1D"/>
          <w:w w:val="105"/>
          <w:sz w:val="21"/>
        </w:rPr>
        <w:t>Standards </w:t>
      </w:r>
      <w:r>
        <w:rPr>
          <w:color w:val="0C0C0C"/>
          <w:w w:val="105"/>
          <w:sz w:val="21"/>
        </w:rPr>
        <w:t>Committee met </w:t>
      </w:r>
      <w:r>
        <w:rPr>
          <w:color w:val="1D1D1D"/>
          <w:w w:val="105"/>
          <w:sz w:val="21"/>
        </w:rPr>
        <w:t>once</w:t>
      </w:r>
      <w:r>
        <w:rPr>
          <w:color w:val="1D1D1D"/>
          <w:spacing w:val="-5"/>
          <w:w w:val="105"/>
          <w:sz w:val="21"/>
        </w:rPr>
        <w:t> </w:t>
      </w:r>
      <w:r>
        <w:rPr>
          <w:color w:val="0C0C0C"/>
          <w:w w:val="105"/>
          <w:sz w:val="21"/>
        </w:rPr>
        <w:t>during 2022/23 The </w:t>
      </w:r>
      <w:r>
        <w:rPr>
          <w:color w:val="1D1D1D"/>
          <w:w w:val="105"/>
          <w:sz w:val="21"/>
        </w:rPr>
        <w:t>Standards Assessment Panel</w:t>
      </w:r>
      <w:r>
        <w:rPr>
          <w:color w:val="1D1D1D"/>
          <w:spacing w:val="-2"/>
          <w:w w:val="105"/>
          <w:sz w:val="21"/>
        </w:rPr>
        <w:t> </w:t>
      </w:r>
      <w:r>
        <w:rPr>
          <w:color w:val="0C0C0C"/>
          <w:w w:val="105"/>
          <w:sz w:val="21"/>
        </w:rPr>
        <w:t>which </w:t>
      </w:r>
      <w:r>
        <w:rPr>
          <w:color w:val="1D1D1D"/>
          <w:w w:val="105"/>
          <w:sz w:val="21"/>
        </w:rPr>
        <w:t>considers whether </w:t>
      </w:r>
      <w:r>
        <w:rPr>
          <w:color w:val="0C0C0C"/>
          <w:w w:val="105"/>
          <w:sz w:val="21"/>
        </w:rPr>
        <w:t>a</w:t>
      </w:r>
      <w:r>
        <w:rPr>
          <w:color w:val="0C0C0C"/>
          <w:spacing w:val="-2"/>
          <w:w w:val="105"/>
          <w:sz w:val="21"/>
        </w:rPr>
        <w:t> </w:t>
      </w:r>
      <w:r>
        <w:rPr>
          <w:color w:val="0C0C0C"/>
          <w:w w:val="105"/>
          <w:sz w:val="21"/>
        </w:rPr>
        <w:t>complaint</w:t>
      </w:r>
      <w:r>
        <w:rPr>
          <w:color w:val="0C0C0C"/>
          <w:w w:val="105"/>
          <w:sz w:val="21"/>
        </w:rPr>
        <w:t> </w:t>
      </w:r>
      <w:r>
        <w:rPr>
          <w:color w:val="1D1D1D"/>
          <w:w w:val="105"/>
          <w:sz w:val="21"/>
        </w:rPr>
        <w:t>against </w:t>
      </w:r>
      <w:r>
        <w:rPr>
          <w:color w:val="0C0C0C"/>
          <w:w w:val="105"/>
          <w:sz w:val="21"/>
        </w:rPr>
        <w:t>an</w:t>
      </w:r>
      <w:r>
        <w:rPr>
          <w:color w:val="0C0C0C"/>
          <w:spacing w:val="-6"/>
          <w:w w:val="105"/>
          <w:sz w:val="21"/>
        </w:rPr>
        <w:t> </w:t>
      </w:r>
      <w:r>
        <w:rPr>
          <w:color w:val="0C0C0C"/>
          <w:w w:val="105"/>
          <w:sz w:val="21"/>
        </w:rPr>
        <w:t>elected or</w:t>
      </w:r>
      <w:r>
        <w:rPr>
          <w:color w:val="0C0C0C"/>
          <w:spacing w:val="-3"/>
          <w:w w:val="105"/>
          <w:sz w:val="21"/>
        </w:rPr>
        <w:t> </w:t>
      </w:r>
      <w:r>
        <w:rPr>
          <w:color w:val="0C0C0C"/>
          <w:w w:val="105"/>
          <w:sz w:val="21"/>
        </w:rPr>
        <w:t>co-opted </w:t>
      </w:r>
      <w:r>
        <w:rPr>
          <w:color w:val="1D1D1D"/>
          <w:w w:val="105"/>
          <w:sz w:val="21"/>
        </w:rPr>
        <w:t>member warrants </w:t>
      </w:r>
      <w:r>
        <w:rPr>
          <w:color w:val="0C0C0C"/>
          <w:w w:val="105"/>
          <w:sz w:val="21"/>
        </w:rPr>
        <w:t>investigation or other action, met on</w:t>
      </w:r>
      <w:r>
        <w:rPr>
          <w:color w:val="0C0C0C"/>
          <w:spacing w:val="-3"/>
          <w:w w:val="105"/>
          <w:sz w:val="21"/>
        </w:rPr>
        <w:t> </w:t>
      </w:r>
      <w:r>
        <w:rPr>
          <w:color w:val="0C0C0C"/>
          <w:w w:val="105"/>
          <w:sz w:val="21"/>
        </w:rPr>
        <w:t>3</w:t>
      </w:r>
      <w:r>
        <w:rPr>
          <w:color w:val="0C0C0C"/>
          <w:spacing w:val="-2"/>
          <w:w w:val="105"/>
          <w:sz w:val="21"/>
        </w:rPr>
        <w:t> </w:t>
      </w:r>
      <w:r>
        <w:rPr>
          <w:color w:val="0C0C0C"/>
          <w:w w:val="105"/>
          <w:sz w:val="21"/>
        </w:rPr>
        <w:t>occasions and considered 7 complaints and an</w:t>
      </w:r>
      <w:r>
        <w:rPr>
          <w:color w:val="0C0C0C"/>
          <w:spacing w:val="-8"/>
          <w:w w:val="105"/>
          <w:sz w:val="21"/>
        </w:rPr>
        <w:t> </w:t>
      </w:r>
      <w:r>
        <w:rPr>
          <w:color w:val="0C0C0C"/>
          <w:w w:val="105"/>
          <w:sz w:val="21"/>
        </w:rPr>
        <w:t>investigation report.</w:t>
      </w:r>
      <w:r>
        <w:rPr>
          <w:color w:val="0C0C0C"/>
          <w:spacing w:val="40"/>
          <w:w w:val="105"/>
          <w:sz w:val="21"/>
        </w:rPr>
        <w:t> </w:t>
      </w:r>
      <w:r>
        <w:rPr>
          <w:color w:val="0C0C0C"/>
          <w:w w:val="105"/>
          <w:sz w:val="21"/>
        </w:rPr>
        <w:t>The Panel resolved to take </w:t>
      </w:r>
      <w:r>
        <w:rPr>
          <w:color w:val="1D1D1D"/>
          <w:w w:val="105"/>
          <w:sz w:val="21"/>
        </w:rPr>
        <w:t>'No </w:t>
      </w:r>
      <w:r>
        <w:rPr>
          <w:color w:val="0C0C0C"/>
          <w:w w:val="105"/>
          <w:sz w:val="21"/>
        </w:rPr>
        <w:t>Further Action' in</w:t>
      </w:r>
      <w:r>
        <w:rPr>
          <w:color w:val="0C0C0C"/>
          <w:spacing w:val="-5"/>
          <w:w w:val="105"/>
          <w:sz w:val="21"/>
        </w:rPr>
        <w:t> </w:t>
      </w:r>
      <w:r>
        <w:rPr>
          <w:color w:val="0C0C0C"/>
          <w:w w:val="105"/>
          <w:sz w:val="21"/>
        </w:rPr>
        <w:t>relation to 4 complaints and</w:t>
      </w:r>
      <w:r>
        <w:rPr>
          <w:color w:val="0C0C0C"/>
          <w:spacing w:val="-6"/>
          <w:w w:val="105"/>
          <w:sz w:val="21"/>
        </w:rPr>
        <w:t> </w:t>
      </w:r>
      <w:r>
        <w:rPr>
          <w:color w:val="0C0C0C"/>
          <w:w w:val="105"/>
          <w:sz w:val="21"/>
        </w:rPr>
        <w:t>requested apologies </w:t>
      </w:r>
      <w:r>
        <w:rPr>
          <w:color w:val="1D1D1D"/>
          <w:w w:val="105"/>
          <w:sz w:val="21"/>
        </w:rPr>
        <w:t>in </w:t>
      </w:r>
      <w:r>
        <w:rPr>
          <w:color w:val="0C0C0C"/>
          <w:w w:val="105"/>
          <w:sz w:val="21"/>
        </w:rPr>
        <w:t>relation</w:t>
      </w:r>
      <w:r>
        <w:rPr>
          <w:color w:val="0C0C0C"/>
          <w:spacing w:val="-7"/>
          <w:w w:val="105"/>
          <w:sz w:val="21"/>
        </w:rPr>
        <w:t> </w:t>
      </w:r>
      <w:r>
        <w:rPr>
          <w:color w:val="0C0C0C"/>
          <w:w w:val="105"/>
          <w:sz w:val="21"/>
        </w:rPr>
        <w:t>to</w:t>
      </w:r>
      <w:r>
        <w:rPr>
          <w:color w:val="0C0C0C"/>
          <w:spacing w:val="-11"/>
          <w:w w:val="105"/>
          <w:sz w:val="21"/>
        </w:rPr>
        <w:t> </w:t>
      </w:r>
      <w:r>
        <w:rPr>
          <w:color w:val="0C0C0C"/>
          <w:w w:val="105"/>
          <w:sz w:val="21"/>
        </w:rPr>
        <w:t>3</w:t>
      </w:r>
      <w:r>
        <w:rPr>
          <w:color w:val="0C0C0C"/>
          <w:spacing w:val="-12"/>
          <w:w w:val="105"/>
          <w:sz w:val="21"/>
        </w:rPr>
        <w:t> </w:t>
      </w:r>
      <w:r>
        <w:rPr>
          <w:color w:val="0C0C0C"/>
          <w:w w:val="105"/>
          <w:sz w:val="21"/>
        </w:rPr>
        <w:t>complaints. When</w:t>
      </w:r>
      <w:r>
        <w:rPr>
          <w:color w:val="0C0C0C"/>
          <w:spacing w:val="-1"/>
          <w:w w:val="105"/>
          <w:sz w:val="21"/>
        </w:rPr>
        <w:t> </w:t>
      </w:r>
      <w:r>
        <w:rPr>
          <w:color w:val="0C0C0C"/>
          <w:w w:val="105"/>
          <w:sz w:val="21"/>
        </w:rPr>
        <w:t>one</w:t>
      </w:r>
      <w:r>
        <w:rPr>
          <w:color w:val="0C0C0C"/>
          <w:spacing w:val="-11"/>
          <w:w w:val="105"/>
          <w:sz w:val="21"/>
        </w:rPr>
        <w:t> </w:t>
      </w:r>
      <w:r>
        <w:rPr>
          <w:color w:val="0C0C0C"/>
          <w:w w:val="105"/>
          <w:sz w:val="21"/>
        </w:rPr>
        <w:t>of</w:t>
      </w:r>
      <w:r>
        <w:rPr>
          <w:color w:val="0C0C0C"/>
          <w:spacing w:val="-8"/>
          <w:w w:val="105"/>
          <w:sz w:val="21"/>
        </w:rPr>
        <w:t> </w:t>
      </w:r>
      <w:r>
        <w:rPr>
          <w:color w:val="0C0C0C"/>
          <w:w w:val="105"/>
          <w:sz w:val="21"/>
        </w:rPr>
        <w:t>the</w:t>
      </w:r>
      <w:r>
        <w:rPr>
          <w:color w:val="0C0C0C"/>
          <w:spacing w:val="-7"/>
          <w:w w:val="105"/>
          <w:sz w:val="21"/>
        </w:rPr>
        <w:t> </w:t>
      </w:r>
      <w:r>
        <w:rPr>
          <w:color w:val="0C0C0C"/>
          <w:w w:val="105"/>
          <w:sz w:val="21"/>
        </w:rPr>
        <w:t>subject</w:t>
      </w:r>
      <w:r>
        <w:rPr>
          <w:color w:val="0C0C0C"/>
          <w:spacing w:val="-3"/>
          <w:w w:val="105"/>
          <w:sz w:val="21"/>
        </w:rPr>
        <w:t> </w:t>
      </w:r>
      <w:r>
        <w:rPr>
          <w:color w:val="0C0C0C"/>
          <w:w w:val="105"/>
          <w:sz w:val="21"/>
        </w:rPr>
        <w:t>members</w:t>
      </w:r>
      <w:r>
        <w:rPr>
          <w:color w:val="0C0C0C"/>
          <w:spacing w:val="-1"/>
          <w:w w:val="105"/>
          <w:sz w:val="21"/>
        </w:rPr>
        <w:t> </w:t>
      </w:r>
      <w:r>
        <w:rPr>
          <w:color w:val="0C0C0C"/>
          <w:w w:val="105"/>
          <w:sz w:val="21"/>
        </w:rPr>
        <w:t>refused</w:t>
      </w:r>
      <w:r>
        <w:rPr>
          <w:color w:val="0C0C0C"/>
          <w:spacing w:val="-11"/>
          <w:w w:val="105"/>
          <w:sz w:val="21"/>
        </w:rPr>
        <w:t> </w:t>
      </w:r>
      <w:r>
        <w:rPr>
          <w:color w:val="0C0C0C"/>
          <w:w w:val="105"/>
          <w:sz w:val="21"/>
        </w:rPr>
        <w:t>to</w:t>
      </w:r>
      <w:r>
        <w:rPr>
          <w:color w:val="0C0C0C"/>
          <w:spacing w:val="-4"/>
          <w:w w:val="105"/>
          <w:sz w:val="21"/>
        </w:rPr>
        <w:t> </w:t>
      </w:r>
      <w:r>
        <w:rPr>
          <w:color w:val="0C0C0C"/>
          <w:w w:val="105"/>
          <w:sz w:val="21"/>
        </w:rPr>
        <w:t>apologise, the</w:t>
      </w:r>
      <w:r>
        <w:rPr>
          <w:color w:val="0C0C0C"/>
          <w:spacing w:val="-9"/>
          <w:w w:val="105"/>
          <w:sz w:val="21"/>
        </w:rPr>
        <w:t> </w:t>
      </w:r>
      <w:r>
        <w:rPr>
          <w:color w:val="0C0C0C"/>
          <w:w w:val="105"/>
          <w:sz w:val="21"/>
        </w:rPr>
        <w:t>complaint was referred to the Monitoring Officer </w:t>
      </w:r>
      <w:r>
        <w:rPr>
          <w:color w:val="1D1D1D"/>
          <w:w w:val="105"/>
          <w:sz w:val="21"/>
        </w:rPr>
        <w:t>to </w:t>
      </w:r>
      <w:r>
        <w:rPr>
          <w:color w:val="0C0C0C"/>
          <w:w w:val="105"/>
          <w:sz w:val="21"/>
        </w:rPr>
        <w:t>procure an investigation</w:t>
      </w:r>
      <w:r>
        <w:rPr>
          <w:color w:val="3F3F3F"/>
          <w:w w:val="105"/>
          <w:sz w:val="21"/>
        </w:rPr>
        <w:t>.</w:t>
      </w:r>
    </w:p>
    <w:p>
      <w:pPr>
        <w:pStyle w:val="BodyText"/>
        <w:spacing w:before="5"/>
        <w:rPr>
          <w:sz w:val="21"/>
        </w:rPr>
      </w:pPr>
    </w:p>
    <w:p>
      <w:pPr>
        <w:spacing w:before="0"/>
        <w:ind w:left="847" w:right="0" w:firstLine="0"/>
        <w:jc w:val="left"/>
        <w:rPr>
          <w:sz w:val="21"/>
        </w:rPr>
      </w:pPr>
      <w:r>
        <w:rPr>
          <w:color w:val="0C0C0C"/>
          <w:w w:val="105"/>
          <w:sz w:val="21"/>
          <w:u w:val="thick" w:color="1D1D1D"/>
        </w:rPr>
        <w:t>Members</w:t>
      </w:r>
      <w:r>
        <w:rPr>
          <w:color w:val="525252"/>
          <w:w w:val="105"/>
          <w:sz w:val="21"/>
          <w:u w:val="thick" w:color="1D1D1D"/>
        </w:rPr>
        <w:t>'</w:t>
      </w:r>
      <w:r>
        <w:rPr>
          <w:color w:val="525252"/>
          <w:spacing w:val="-10"/>
          <w:w w:val="105"/>
          <w:sz w:val="21"/>
          <w:u w:val="thick" w:color="1D1D1D"/>
        </w:rPr>
        <w:t> </w:t>
      </w:r>
      <w:r>
        <w:rPr>
          <w:color w:val="0C0C0C"/>
          <w:w w:val="105"/>
          <w:sz w:val="21"/>
          <w:u w:val="thick" w:color="1D1D1D"/>
        </w:rPr>
        <w:t>and</w:t>
      </w:r>
      <w:r>
        <w:rPr>
          <w:color w:val="0C0C0C"/>
          <w:spacing w:val="-10"/>
          <w:w w:val="105"/>
          <w:sz w:val="21"/>
          <w:u w:val="thick" w:color="1D1D1D"/>
        </w:rPr>
        <w:t> </w:t>
      </w:r>
      <w:r>
        <w:rPr>
          <w:color w:val="0C0C0C"/>
          <w:w w:val="105"/>
          <w:sz w:val="21"/>
          <w:u w:val="thick" w:color="1D1D1D"/>
        </w:rPr>
        <w:t>Officers'</w:t>
      </w:r>
      <w:r>
        <w:rPr>
          <w:color w:val="0C0C0C"/>
          <w:spacing w:val="3"/>
          <w:w w:val="105"/>
          <w:sz w:val="21"/>
          <w:u w:val="thick" w:color="1D1D1D"/>
        </w:rPr>
        <w:t> </w:t>
      </w:r>
      <w:r>
        <w:rPr>
          <w:color w:val="0C0C0C"/>
          <w:w w:val="105"/>
          <w:sz w:val="21"/>
          <w:u w:val="thick" w:color="1D1D1D"/>
        </w:rPr>
        <w:t>Allowances</w:t>
      </w:r>
      <w:r>
        <w:rPr>
          <w:color w:val="0C0C0C"/>
          <w:spacing w:val="4"/>
          <w:w w:val="105"/>
          <w:sz w:val="21"/>
          <w:u w:val="thick" w:color="1D1D1D"/>
        </w:rPr>
        <w:t> </w:t>
      </w:r>
      <w:r>
        <w:rPr>
          <w:color w:val="0C0C0C"/>
          <w:w w:val="105"/>
          <w:sz w:val="21"/>
          <w:u w:val="thick" w:color="1D1D1D"/>
        </w:rPr>
        <w:t>and</w:t>
      </w:r>
      <w:r>
        <w:rPr>
          <w:color w:val="0C0C0C"/>
          <w:spacing w:val="-8"/>
          <w:w w:val="105"/>
          <w:sz w:val="21"/>
          <w:u w:val="thick" w:color="1D1D1D"/>
        </w:rPr>
        <w:t> </w:t>
      </w:r>
      <w:r>
        <w:rPr>
          <w:color w:val="1D1D1D"/>
          <w:spacing w:val="-2"/>
          <w:w w:val="105"/>
          <w:sz w:val="21"/>
          <w:u w:val="thick" w:color="1D1D1D"/>
        </w:rPr>
        <w:t>Expenses</w:t>
      </w:r>
    </w:p>
    <w:p>
      <w:pPr>
        <w:pStyle w:val="BodyText"/>
        <w:spacing w:before="27"/>
        <w:rPr>
          <w:sz w:val="21"/>
        </w:rPr>
      </w:pPr>
    </w:p>
    <w:p>
      <w:pPr>
        <w:pStyle w:val="ListParagraph"/>
        <w:numPr>
          <w:ilvl w:val="0"/>
          <w:numId w:val="29"/>
        </w:numPr>
        <w:tabs>
          <w:tab w:val="left" w:leader="none" w:pos="847"/>
        </w:tabs>
        <w:spacing w:before="0" w:after="0" w:line="240" w:lineRule="auto"/>
        <w:ind w:left="847" w:right="0" w:hanging="705"/>
        <w:jc w:val="left"/>
        <w:rPr>
          <w:color w:val="0C0C0C"/>
          <w:sz w:val="21"/>
        </w:rPr>
      </w:pPr>
      <w:r>
        <w:rPr>
          <w:color w:val="0C0C0C"/>
          <w:w w:val="105"/>
          <w:sz w:val="21"/>
        </w:rPr>
        <w:t>Members'</w:t>
      </w:r>
      <w:r>
        <w:rPr>
          <w:color w:val="0C0C0C"/>
          <w:spacing w:val="-5"/>
          <w:w w:val="105"/>
          <w:sz w:val="21"/>
        </w:rPr>
        <w:t> </w:t>
      </w:r>
      <w:r>
        <w:rPr>
          <w:color w:val="0C0C0C"/>
          <w:spacing w:val="-2"/>
          <w:w w:val="105"/>
          <w:sz w:val="21"/>
        </w:rPr>
        <w:t>Allowances:</w:t>
      </w:r>
    </w:p>
    <w:p>
      <w:pPr>
        <w:spacing w:before="13" w:line="252" w:lineRule="auto"/>
        <w:ind w:left="849" w:right="402" w:hanging="3"/>
        <w:jc w:val="left"/>
        <w:rPr>
          <w:sz w:val="21"/>
        </w:rPr>
      </w:pPr>
      <w:r>
        <w:rPr>
          <w:color w:val="0C0C0C"/>
          <w:w w:val="105"/>
          <w:sz w:val="21"/>
        </w:rPr>
        <w:t>Member Allowances increased</w:t>
      </w:r>
      <w:r>
        <w:rPr>
          <w:color w:val="0C0C0C"/>
          <w:spacing w:val="-1"/>
          <w:w w:val="105"/>
          <w:sz w:val="21"/>
        </w:rPr>
        <w:t> </w:t>
      </w:r>
      <w:r>
        <w:rPr>
          <w:color w:val="0C0C0C"/>
          <w:w w:val="105"/>
          <w:sz w:val="21"/>
        </w:rPr>
        <w:t>by</w:t>
      </w:r>
      <w:r>
        <w:rPr>
          <w:color w:val="0C0C0C"/>
          <w:spacing w:val="-6"/>
          <w:w w:val="105"/>
          <w:sz w:val="21"/>
        </w:rPr>
        <w:t> </w:t>
      </w:r>
      <w:r>
        <w:rPr>
          <w:color w:val="0C0C0C"/>
          <w:w w:val="105"/>
          <w:sz w:val="21"/>
        </w:rPr>
        <w:t>4%</w:t>
      </w:r>
      <w:r>
        <w:rPr>
          <w:color w:val="0C0C0C"/>
          <w:spacing w:val="-8"/>
          <w:w w:val="105"/>
          <w:sz w:val="21"/>
        </w:rPr>
        <w:t> </w:t>
      </w:r>
      <w:r>
        <w:rPr>
          <w:color w:val="0C0C0C"/>
          <w:w w:val="105"/>
          <w:sz w:val="21"/>
        </w:rPr>
        <w:t>in</w:t>
      </w:r>
      <w:r>
        <w:rPr>
          <w:color w:val="0C0C0C"/>
          <w:spacing w:val="-15"/>
          <w:w w:val="105"/>
          <w:sz w:val="21"/>
        </w:rPr>
        <w:t> </w:t>
      </w:r>
      <w:r>
        <w:rPr>
          <w:color w:val="0C0C0C"/>
          <w:w w:val="105"/>
          <w:sz w:val="21"/>
        </w:rPr>
        <w:t>2022/23</w:t>
      </w:r>
      <w:r>
        <w:rPr>
          <w:color w:val="0C0C0C"/>
          <w:spacing w:val="-6"/>
          <w:w w:val="105"/>
          <w:sz w:val="21"/>
        </w:rPr>
        <w:t> </w:t>
      </w:r>
      <w:r>
        <w:rPr>
          <w:color w:val="0C0C0C"/>
          <w:w w:val="105"/>
          <w:sz w:val="21"/>
        </w:rPr>
        <w:t>due</w:t>
      </w:r>
      <w:r>
        <w:rPr>
          <w:color w:val="0C0C0C"/>
          <w:spacing w:val="-6"/>
          <w:w w:val="105"/>
          <w:sz w:val="21"/>
        </w:rPr>
        <w:t> </w:t>
      </w:r>
      <w:r>
        <w:rPr>
          <w:color w:val="0C0C0C"/>
          <w:w w:val="105"/>
          <w:sz w:val="21"/>
        </w:rPr>
        <w:t>to</w:t>
      </w:r>
      <w:r>
        <w:rPr>
          <w:color w:val="0C0C0C"/>
          <w:spacing w:val="-8"/>
          <w:w w:val="105"/>
          <w:sz w:val="21"/>
        </w:rPr>
        <w:t> </w:t>
      </w:r>
      <w:r>
        <w:rPr>
          <w:color w:val="0C0C0C"/>
          <w:w w:val="105"/>
          <w:sz w:val="21"/>
        </w:rPr>
        <w:t>the</w:t>
      </w:r>
      <w:r>
        <w:rPr>
          <w:color w:val="0C0C0C"/>
          <w:spacing w:val="-7"/>
          <w:w w:val="105"/>
          <w:sz w:val="21"/>
        </w:rPr>
        <w:t> </w:t>
      </w:r>
      <w:r>
        <w:rPr>
          <w:color w:val="0C0C0C"/>
          <w:w w:val="105"/>
          <w:sz w:val="21"/>
        </w:rPr>
        <w:t>link</w:t>
      </w:r>
      <w:r>
        <w:rPr>
          <w:color w:val="0C0C0C"/>
          <w:spacing w:val="-9"/>
          <w:w w:val="105"/>
          <w:sz w:val="21"/>
        </w:rPr>
        <w:t> </w:t>
      </w:r>
      <w:r>
        <w:rPr>
          <w:color w:val="0C0C0C"/>
          <w:w w:val="105"/>
          <w:sz w:val="21"/>
        </w:rPr>
        <w:t>recommended by</w:t>
      </w:r>
      <w:r>
        <w:rPr>
          <w:color w:val="0C0C0C"/>
          <w:spacing w:val="-7"/>
          <w:w w:val="105"/>
          <w:sz w:val="21"/>
        </w:rPr>
        <w:t> </w:t>
      </w:r>
      <w:r>
        <w:rPr>
          <w:color w:val="0C0C0C"/>
          <w:w w:val="105"/>
          <w:sz w:val="21"/>
        </w:rPr>
        <w:t>the</w:t>
      </w:r>
      <w:r>
        <w:rPr>
          <w:color w:val="0C0C0C"/>
          <w:spacing w:val="-8"/>
          <w:w w:val="105"/>
          <w:sz w:val="21"/>
        </w:rPr>
        <w:t> </w:t>
      </w:r>
      <w:r>
        <w:rPr>
          <w:color w:val="0C0C0C"/>
          <w:w w:val="105"/>
          <w:sz w:val="21"/>
        </w:rPr>
        <w:t>Independent Remuneration</w:t>
      </w:r>
      <w:r>
        <w:rPr>
          <w:color w:val="0C0C0C"/>
          <w:spacing w:val="28"/>
          <w:w w:val="105"/>
          <w:sz w:val="21"/>
        </w:rPr>
        <w:t> </w:t>
      </w:r>
      <w:r>
        <w:rPr>
          <w:color w:val="1D1D1D"/>
          <w:w w:val="105"/>
          <w:sz w:val="21"/>
        </w:rPr>
        <w:t>Panel</w:t>
      </w:r>
      <w:r>
        <w:rPr>
          <w:color w:val="1D1D1D"/>
          <w:spacing w:val="-1"/>
          <w:w w:val="105"/>
          <w:sz w:val="21"/>
        </w:rPr>
        <w:t> </w:t>
      </w:r>
      <w:r>
        <w:rPr>
          <w:color w:val="0C0C0C"/>
          <w:w w:val="105"/>
          <w:sz w:val="21"/>
        </w:rPr>
        <w:t>to </w:t>
      </w:r>
      <w:r>
        <w:rPr>
          <w:color w:val="1D1D1D"/>
          <w:w w:val="105"/>
          <w:sz w:val="21"/>
        </w:rPr>
        <w:t>the annual </w:t>
      </w:r>
      <w:r>
        <w:rPr>
          <w:color w:val="0C0C0C"/>
          <w:w w:val="105"/>
          <w:sz w:val="21"/>
        </w:rPr>
        <w:t>pay award </w:t>
      </w:r>
      <w:r>
        <w:rPr>
          <w:color w:val="1D1D1D"/>
          <w:w w:val="105"/>
          <w:sz w:val="21"/>
        </w:rPr>
        <w:t>given to</w:t>
      </w:r>
      <w:r>
        <w:rPr>
          <w:color w:val="1D1D1D"/>
          <w:spacing w:val="-11"/>
          <w:w w:val="105"/>
          <w:sz w:val="21"/>
        </w:rPr>
        <w:t> </w:t>
      </w:r>
      <w:r>
        <w:rPr>
          <w:color w:val="1D1D1D"/>
          <w:w w:val="105"/>
          <w:sz w:val="21"/>
        </w:rPr>
        <w:t>the</w:t>
      </w:r>
      <w:r>
        <w:rPr>
          <w:color w:val="1D1D1D"/>
          <w:spacing w:val="-12"/>
          <w:w w:val="105"/>
          <w:sz w:val="21"/>
        </w:rPr>
        <w:t> </w:t>
      </w:r>
      <w:r>
        <w:rPr>
          <w:color w:val="0C0C0C"/>
          <w:w w:val="105"/>
          <w:sz w:val="21"/>
        </w:rPr>
        <w:t>majority of </w:t>
      </w:r>
      <w:r>
        <w:rPr>
          <w:color w:val="1D1D1D"/>
          <w:w w:val="105"/>
          <w:sz w:val="21"/>
        </w:rPr>
        <w:t>Council </w:t>
      </w:r>
      <w:r>
        <w:rPr>
          <w:color w:val="0C0C0C"/>
          <w:w w:val="105"/>
          <w:sz w:val="21"/>
        </w:rPr>
        <w:t>Officers. The </w:t>
      </w:r>
      <w:r>
        <w:rPr>
          <w:color w:val="1D1D1D"/>
          <w:w w:val="105"/>
          <w:sz w:val="21"/>
        </w:rPr>
        <w:t>actual </w:t>
      </w:r>
      <w:r>
        <w:rPr>
          <w:color w:val="0C0C0C"/>
          <w:w w:val="105"/>
          <w:sz w:val="21"/>
        </w:rPr>
        <w:t>allowances and</w:t>
      </w:r>
      <w:r>
        <w:rPr>
          <w:color w:val="0C0C0C"/>
          <w:spacing w:val="-16"/>
          <w:w w:val="105"/>
          <w:sz w:val="21"/>
        </w:rPr>
        <w:t> </w:t>
      </w:r>
      <w:r>
        <w:rPr>
          <w:color w:val="1D1D1D"/>
          <w:w w:val="105"/>
          <w:sz w:val="21"/>
        </w:rPr>
        <w:t>expenses received </w:t>
      </w:r>
      <w:r>
        <w:rPr>
          <w:color w:val="0C0C0C"/>
          <w:w w:val="105"/>
          <w:sz w:val="21"/>
        </w:rPr>
        <w:t>by</w:t>
      </w:r>
      <w:r>
        <w:rPr>
          <w:color w:val="0C0C0C"/>
          <w:spacing w:val="-6"/>
          <w:w w:val="105"/>
          <w:sz w:val="21"/>
        </w:rPr>
        <w:t> </w:t>
      </w:r>
      <w:r>
        <w:rPr>
          <w:color w:val="0C0C0C"/>
          <w:w w:val="105"/>
          <w:sz w:val="21"/>
        </w:rPr>
        <w:t>members </w:t>
      </w:r>
      <w:r>
        <w:rPr>
          <w:color w:val="1D1D1D"/>
          <w:w w:val="105"/>
          <w:sz w:val="21"/>
        </w:rPr>
        <w:t>in</w:t>
      </w:r>
      <w:r>
        <w:rPr>
          <w:color w:val="1D1D1D"/>
          <w:spacing w:val="-2"/>
          <w:w w:val="105"/>
          <w:sz w:val="21"/>
        </w:rPr>
        <w:t> </w:t>
      </w:r>
      <w:r>
        <w:rPr>
          <w:color w:val="1D1D1D"/>
          <w:w w:val="105"/>
          <w:sz w:val="21"/>
        </w:rPr>
        <w:t>2022/23, including those </w:t>
      </w:r>
      <w:r>
        <w:rPr>
          <w:color w:val="0C0C0C"/>
          <w:w w:val="105"/>
          <w:sz w:val="21"/>
        </w:rPr>
        <w:t>received</w:t>
      </w:r>
      <w:r>
        <w:rPr>
          <w:color w:val="0C0C0C"/>
          <w:spacing w:val="-3"/>
          <w:w w:val="105"/>
          <w:sz w:val="21"/>
        </w:rPr>
        <w:t> </w:t>
      </w:r>
      <w:r>
        <w:rPr>
          <w:color w:val="0C0C0C"/>
          <w:w w:val="105"/>
          <w:sz w:val="21"/>
        </w:rPr>
        <w:t>by</w:t>
      </w:r>
      <w:r>
        <w:rPr>
          <w:color w:val="0C0C0C"/>
          <w:spacing w:val="-1"/>
          <w:w w:val="105"/>
          <w:sz w:val="21"/>
        </w:rPr>
        <w:t> </w:t>
      </w:r>
      <w:r>
        <w:rPr>
          <w:color w:val="1D1D1D"/>
          <w:w w:val="105"/>
          <w:sz w:val="21"/>
        </w:rPr>
        <w:t>members </w:t>
      </w:r>
      <w:r>
        <w:rPr>
          <w:color w:val="0C0C0C"/>
          <w:w w:val="105"/>
          <w:sz w:val="21"/>
        </w:rPr>
        <w:t>appointed by</w:t>
      </w:r>
      <w:r>
        <w:rPr>
          <w:color w:val="0C0C0C"/>
          <w:spacing w:val="-6"/>
          <w:w w:val="105"/>
          <w:sz w:val="21"/>
        </w:rPr>
        <w:t> </w:t>
      </w:r>
      <w:r>
        <w:rPr>
          <w:color w:val="0C0C0C"/>
          <w:w w:val="105"/>
          <w:sz w:val="21"/>
        </w:rPr>
        <w:t>the</w:t>
      </w:r>
      <w:r>
        <w:rPr>
          <w:color w:val="0C0C0C"/>
          <w:spacing w:val="-8"/>
          <w:w w:val="105"/>
          <w:sz w:val="21"/>
        </w:rPr>
        <w:t> </w:t>
      </w:r>
      <w:r>
        <w:rPr>
          <w:color w:val="0C0C0C"/>
          <w:w w:val="105"/>
          <w:sz w:val="21"/>
        </w:rPr>
        <w:t>Council as</w:t>
      </w:r>
      <w:r>
        <w:rPr>
          <w:color w:val="0C0C0C"/>
          <w:spacing w:val="-6"/>
          <w:w w:val="105"/>
          <w:sz w:val="21"/>
        </w:rPr>
        <w:t> </w:t>
      </w:r>
      <w:r>
        <w:rPr>
          <w:color w:val="0C0C0C"/>
          <w:w w:val="105"/>
          <w:sz w:val="21"/>
        </w:rPr>
        <w:t>directors of</w:t>
      </w:r>
      <w:r>
        <w:rPr>
          <w:color w:val="0C0C0C"/>
          <w:spacing w:val="-8"/>
          <w:w w:val="105"/>
          <w:sz w:val="21"/>
        </w:rPr>
        <w:t> </w:t>
      </w:r>
      <w:r>
        <w:rPr>
          <w:color w:val="0C0C0C"/>
          <w:w w:val="105"/>
          <w:sz w:val="21"/>
        </w:rPr>
        <w:t>Council owned</w:t>
      </w:r>
      <w:r>
        <w:rPr>
          <w:color w:val="0C0C0C"/>
          <w:spacing w:val="-4"/>
          <w:w w:val="105"/>
          <w:sz w:val="21"/>
        </w:rPr>
        <w:t> </w:t>
      </w:r>
      <w:r>
        <w:rPr>
          <w:color w:val="0C0C0C"/>
          <w:w w:val="105"/>
          <w:sz w:val="21"/>
        </w:rPr>
        <w:t>and</w:t>
      </w:r>
      <w:r>
        <w:rPr>
          <w:color w:val="0C0C0C"/>
          <w:spacing w:val="-3"/>
          <w:w w:val="105"/>
          <w:sz w:val="21"/>
        </w:rPr>
        <w:t> </w:t>
      </w:r>
      <w:r>
        <w:rPr>
          <w:color w:val="0C0C0C"/>
          <w:w w:val="105"/>
          <w:sz w:val="21"/>
        </w:rPr>
        <w:t>controlled companies,</w:t>
      </w:r>
      <w:r>
        <w:rPr>
          <w:color w:val="0C0C0C"/>
          <w:spacing w:val="20"/>
          <w:w w:val="105"/>
          <w:sz w:val="21"/>
        </w:rPr>
        <w:t> </w:t>
      </w:r>
      <w:r>
        <w:rPr>
          <w:color w:val="0C0C0C"/>
          <w:w w:val="105"/>
          <w:sz w:val="21"/>
        </w:rPr>
        <w:t>will</w:t>
      </w:r>
      <w:r>
        <w:rPr>
          <w:color w:val="0C0C0C"/>
          <w:spacing w:val="-8"/>
          <w:w w:val="105"/>
          <w:sz w:val="21"/>
        </w:rPr>
        <w:t> </w:t>
      </w:r>
      <w:r>
        <w:rPr>
          <w:color w:val="0C0C0C"/>
          <w:w w:val="105"/>
          <w:sz w:val="21"/>
        </w:rPr>
        <w:t>be</w:t>
      </w:r>
      <w:r>
        <w:rPr>
          <w:color w:val="0C0C0C"/>
          <w:spacing w:val="-9"/>
          <w:w w:val="105"/>
          <w:sz w:val="21"/>
        </w:rPr>
        <w:t> </w:t>
      </w:r>
      <w:r>
        <w:rPr>
          <w:color w:val="0C0C0C"/>
          <w:w w:val="105"/>
          <w:sz w:val="21"/>
        </w:rPr>
        <w:t>reported to full</w:t>
      </w:r>
      <w:r>
        <w:rPr>
          <w:color w:val="0C0C0C"/>
          <w:spacing w:val="-2"/>
          <w:w w:val="105"/>
          <w:sz w:val="21"/>
        </w:rPr>
        <w:t> </w:t>
      </w:r>
      <w:r>
        <w:rPr>
          <w:color w:val="0C0C0C"/>
          <w:w w:val="105"/>
          <w:sz w:val="21"/>
        </w:rPr>
        <w:t>Council </w:t>
      </w:r>
      <w:r>
        <w:rPr>
          <w:color w:val="1D1D1D"/>
          <w:w w:val="105"/>
          <w:sz w:val="21"/>
        </w:rPr>
        <w:t>in </w:t>
      </w:r>
      <w:r>
        <w:rPr>
          <w:color w:val="0C0C0C"/>
          <w:w w:val="105"/>
          <w:sz w:val="21"/>
        </w:rPr>
        <w:t>June 2023 and thereafter published on</w:t>
      </w:r>
      <w:r>
        <w:rPr>
          <w:color w:val="0C0C0C"/>
          <w:spacing w:val="-3"/>
          <w:w w:val="105"/>
          <w:sz w:val="21"/>
        </w:rPr>
        <w:t> </w:t>
      </w:r>
      <w:r>
        <w:rPr>
          <w:color w:val="0C0C0C"/>
          <w:w w:val="105"/>
          <w:sz w:val="21"/>
        </w:rPr>
        <w:t>the Council's website.</w:t>
      </w:r>
    </w:p>
    <w:p>
      <w:pPr>
        <w:pStyle w:val="BodyText"/>
        <w:spacing w:before="4"/>
        <w:rPr>
          <w:sz w:val="21"/>
        </w:rPr>
      </w:pPr>
    </w:p>
    <w:p>
      <w:pPr>
        <w:pStyle w:val="ListParagraph"/>
        <w:numPr>
          <w:ilvl w:val="0"/>
          <w:numId w:val="29"/>
        </w:numPr>
        <w:tabs>
          <w:tab w:val="left" w:leader="none" w:pos="847"/>
        </w:tabs>
        <w:spacing w:before="0" w:after="0" w:line="240" w:lineRule="auto"/>
        <w:ind w:left="847" w:right="0" w:hanging="700"/>
        <w:jc w:val="left"/>
        <w:rPr>
          <w:color w:val="0C0C0C"/>
          <w:sz w:val="21"/>
        </w:rPr>
      </w:pPr>
      <w:r>
        <w:rPr>
          <w:color w:val="0C0C0C"/>
          <w:w w:val="105"/>
          <w:sz w:val="21"/>
        </w:rPr>
        <w:t>Officers'</w:t>
      </w:r>
      <w:r>
        <w:rPr>
          <w:color w:val="0C0C0C"/>
          <w:spacing w:val="-3"/>
          <w:w w:val="105"/>
          <w:sz w:val="21"/>
        </w:rPr>
        <w:t> </w:t>
      </w:r>
      <w:r>
        <w:rPr>
          <w:color w:val="0C0C0C"/>
          <w:w w:val="105"/>
          <w:sz w:val="21"/>
        </w:rPr>
        <w:t>Allowances</w:t>
      </w:r>
      <w:r>
        <w:rPr>
          <w:color w:val="0C0C0C"/>
          <w:spacing w:val="6"/>
          <w:w w:val="105"/>
          <w:sz w:val="21"/>
        </w:rPr>
        <w:t> </w:t>
      </w:r>
      <w:r>
        <w:rPr>
          <w:color w:val="0C0C0C"/>
          <w:w w:val="105"/>
          <w:sz w:val="21"/>
        </w:rPr>
        <w:t>&amp;</w:t>
      </w:r>
      <w:r>
        <w:rPr>
          <w:color w:val="0C0C0C"/>
          <w:spacing w:val="-15"/>
          <w:w w:val="105"/>
          <w:sz w:val="21"/>
        </w:rPr>
        <w:t> </w:t>
      </w:r>
      <w:r>
        <w:rPr>
          <w:color w:val="0C0C0C"/>
          <w:spacing w:val="-2"/>
          <w:w w:val="105"/>
          <w:sz w:val="21"/>
        </w:rPr>
        <w:t>Expenses:</w:t>
      </w:r>
    </w:p>
    <w:p>
      <w:pPr>
        <w:spacing w:before="14" w:line="252" w:lineRule="auto"/>
        <w:ind w:left="848" w:right="402" w:firstLine="0"/>
        <w:jc w:val="left"/>
        <w:rPr>
          <w:sz w:val="21"/>
        </w:rPr>
      </w:pPr>
      <w:r>
        <w:rPr>
          <w:color w:val="0C0C0C"/>
          <w:w w:val="105"/>
          <w:sz w:val="21"/>
        </w:rPr>
        <w:t>Allowances are</w:t>
      </w:r>
      <w:r>
        <w:rPr>
          <w:color w:val="0C0C0C"/>
          <w:spacing w:val="-5"/>
          <w:w w:val="105"/>
          <w:sz w:val="21"/>
        </w:rPr>
        <w:t> </w:t>
      </w:r>
      <w:r>
        <w:rPr>
          <w:color w:val="1D1D1D"/>
          <w:w w:val="105"/>
          <w:sz w:val="21"/>
        </w:rPr>
        <w:t>stipulated</w:t>
      </w:r>
      <w:r>
        <w:rPr>
          <w:color w:val="1D1D1D"/>
          <w:spacing w:val="-6"/>
          <w:w w:val="105"/>
          <w:sz w:val="21"/>
        </w:rPr>
        <w:t> </w:t>
      </w:r>
      <w:r>
        <w:rPr>
          <w:color w:val="0C0C0C"/>
          <w:w w:val="105"/>
          <w:sz w:val="21"/>
        </w:rPr>
        <w:t>by</w:t>
      </w:r>
      <w:r>
        <w:rPr>
          <w:color w:val="0C0C0C"/>
          <w:spacing w:val="-11"/>
          <w:w w:val="105"/>
          <w:sz w:val="21"/>
        </w:rPr>
        <w:t> </w:t>
      </w:r>
      <w:r>
        <w:rPr>
          <w:color w:val="0C0C0C"/>
          <w:w w:val="105"/>
          <w:sz w:val="21"/>
        </w:rPr>
        <w:t>individual employment </w:t>
      </w:r>
      <w:r>
        <w:rPr>
          <w:color w:val="1D1D1D"/>
          <w:w w:val="105"/>
          <w:sz w:val="21"/>
        </w:rPr>
        <w:t>contracts</w:t>
      </w:r>
      <w:r>
        <w:rPr>
          <w:color w:val="525252"/>
          <w:w w:val="105"/>
          <w:sz w:val="21"/>
        </w:rPr>
        <w:t>,</w:t>
      </w:r>
      <w:r>
        <w:rPr>
          <w:color w:val="525252"/>
          <w:spacing w:val="-16"/>
          <w:w w:val="105"/>
          <w:sz w:val="21"/>
        </w:rPr>
        <w:t> </w:t>
      </w:r>
      <w:r>
        <w:rPr>
          <w:color w:val="1D1D1D"/>
          <w:w w:val="105"/>
          <w:sz w:val="21"/>
        </w:rPr>
        <w:t>whereby </w:t>
      </w:r>
      <w:r>
        <w:rPr>
          <w:color w:val="0C0C0C"/>
          <w:w w:val="105"/>
          <w:sz w:val="21"/>
        </w:rPr>
        <w:t>the</w:t>
      </w:r>
      <w:r>
        <w:rPr>
          <w:color w:val="0C0C0C"/>
          <w:spacing w:val="-15"/>
          <w:w w:val="105"/>
          <w:sz w:val="21"/>
        </w:rPr>
        <w:t> </w:t>
      </w:r>
      <w:r>
        <w:rPr>
          <w:color w:val="0C0C0C"/>
          <w:w w:val="105"/>
          <w:sz w:val="21"/>
        </w:rPr>
        <w:t>Human</w:t>
      </w:r>
      <w:r>
        <w:rPr>
          <w:color w:val="0C0C0C"/>
          <w:spacing w:val="-15"/>
          <w:w w:val="105"/>
          <w:sz w:val="21"/>
        </w:rPr>
        <w:t> </w:t>
      </w:r>
      <w:r>
        <w:rPr>
          <w:color w:val="0C0C0C"/>
          <w:w w:val="105"/>
          <w:sz w:val="21"/>
        </w:rPr>
        <w:t>Resources Team </w:t>
      </w:r>
      <w:r>
        <w:rPr>
          <w:color w:val="1D1D1D"/>
          <w:w w:val="105"/>
          <w:sz w:val="21"/>
        </w:rPr>
        <w:t>instructs the </w:t>
      </w:r>
      <w:r>
        <w:rPr>
          <w:color w:val="0C0C0C"/>
          <w:w w:val="105"/>
          <w:sz w:val="21"/>
        </w:rPr>
        <w:t>Payroll Team as to the payment to </w:t>
      </w:r>
      <w:r>
        <w:rPr>
          <w:color w:val="1D1D1D"/>
          <w:w w:val="105"/>
          <w:sz w:val="21"/>
        </w:rPr>
        <w:t>be</w:t>
      </w:r>
      <w:r>
        <w:rPr>
          <w:color w:val="1D1D1D"/>
          <w:spacing w:val="-1"/>
          <w:w w:val="105"/>
          <w:sz w:val="21"/>
        </w:rPr>
        <w:t> </w:t>
      </w:r>
      <w:r>
        <w:rPr>
          <w:color w:val="1D1D1D"/>
          <w:w w:val="105"/>
          <w:sz w:val="21"/>
        </w:rPr>
        <w:t>made.</w:t>
      </w:r>
    </w:p>
    <w:p>
      <w:pPr>
        <w:pStyle w:val="BodyText"/>
        <w:spacing w:before="10"/>
        <w:rPr>
          <w:sz w:val="21"/>
        </w:rPr>
      </w:pPr>
    </w:p>
    <w:p>
      <w:pPr>
        <w:spacing w:before="0" w:line="252" w:lineRule="auto"/>
        <w:ind w:left="848" w:right="269" w:hanging="1"/>
        <w:jc w:val="left"/>
        <w:rPr>
          <w:sz w:val="21"/>
        </w:rPr>
      </w:pPr>
      <w:r>
        <w:rPr>
          <w:color w:val="0C0C0C"/>
          <w:w w:val="105"/>
          <w:sz w:val="21"/>
        </w:rPr>
        <w:t>Officers</w:t>
      </w:r>
      <w:r>
        <w:rPr>
          <w:color w:val="3F3F3F"/>
          <w:w w:val="105"/>
          <w:sz w:val="21"/>
        </w:rPr>
        <w:t>' </w:t>
      </w:r>
      <w:r>
        <w:rPr>
          <w:color w:val="1D1D1D"/>
          <w:w w:val="105"/>
          <w:sz w:val="21"/>
        </w:rPr>
        <w:t>Expenses </w:t>
      </w:r>
      <w:r>
        <w:rPr>
          <w:color w:val="0C0C0C"/>
          <w:w w:val="105"/>
          <w:sz w:val="21"/>
        </w:rPr>
        <w:t>are authorised for payment by </w:t>
      </w:r>
      <w:r>
        <w:rPr>
          <w:color w:val="1D1D1D"/>
          <w:w w:val="105"/>
          <w:sz w:val="21"/>
        </w:rPr>
        <w:t>employees</w:t>
      </w:r>
      <w:r>
        <w:rPr>
          <w:color w:val="525252"/>
          <w:w w:val="105"/>
          <w:sz w:val="21"/>
        </w:rPr>
        <w:t>'</w:t>
      </w:r>
      <w:r>
        <w:rPr>
          <w:color w:val="525252"/>
          <w:spacing w:val="-8"/>
          <w:w w:val="105"/>
          <w:sz w:val="21"/>
        </w:rPr>
        <w:t> </w:t>
      </w:r>
      <w:r>
        <w:rPr>
          <w:color w:val="0C0C0C"/>
          <w:w w:val="105"/>
          <w:sz w:val="21"/>
        </w:rPr>
        <w:t>line </w:t>
      </w:r>
      <w:r>
        <w:rPr>
          <w:color w:val="1D1D1D"/>
          <w:w w:val="105"/>
          <w:sz w:val="21"/>
        </w:rPr>
        <w:t>managers and</w:t>
      </w:r>
      <w:r>
        <w:rPr>
          <w:color w:val="1D1D1D"/>
          <w:spacing w:val="-1"/>
          <w:w w:val="105"/>
          <w:sz w:val="21"/>
        </w:rPr>
        <w:t> </w:t>
      </w:r>
      <w:r>
        <w:rPr>
          <w:color w:val="0C0C0C"/>
          <w:w w:val="105"/>
          <w:sz w:val="21"/>
        </w:rPr>
        <w:t>reimbursed via payroll. </w:t>
      </w:r>
      <w:r>
        <w:rPr>
          <w:color w:val="1D1D1D"/>
          <w:w w:val="105"/>
          <w:sz w:val="21"/>
        </w:rPr>
        <w:t>Senior</w:t>
      </w:r>
      <w:r>
        <w:rPr>
          <w:color w:val="1D1D1D"/>
          <w:spacing w:val="-2"/>
          <w:w w:val="105"/>
          <w:sz w:val="21"/>
        </w:rPr>
        <w:t> </w:t>
      </w:r>
      <w:r>
        <w:rPr>
          <w:color w:val="1D1D1D"/>
          <w:w w:val="105"/>
          <w:sz w:val="21"/>
        </w:rPr>
        <w:t>officer</w:t>
      </w:r>
      <w:r>
        <w:rPr>
          <w:color w:val="1D1D1D"/>
          <w:spacing w:val="-3"/>
          <w:w w:val="105"/>
          <w:sz w:val="21"/>
        </w:rPr>
        <w:t> </w:t>
      </w:r>
      <w:r>
        <w:rPr>
          <w:color w:val="0C0C0C"/>
          <w:w w:val="105"/>
          <w:sz w:val="21"/>
        </w:rPr>
        <w:t>pay</w:t>
      </w:r>
      <w:r>
        <w:rPr>
          <w:color w:val="0C0C0C"/>
          <w:spacing w:val="-7"/>
          <w:w w:val="105"/>
          <w:sz w:val="21"/>
        </w:rPr>
        <w:t> </w:t>
      </w:r>
      <w:r>
        <w:rPr>
          <w:color w:val="0C0C0C"/>
          <w:w w:val="105"/>
          <w:sz w:val="21"/>
        </w:rPr>
        <w:t>is</w:t>
      </w:r>
      <w:r>
        <w:rPr>
          <w:color w:val="0C0C0C"/>
          <w:spacing w:val="-11"/>
          <w:w w:val="105"/>
          <w:sz w:val="21"/>
        </w:rPr>
        <w:t> </w:t>
      </w:r>
      <w:r>
        <w:rPr>
          <w:color w:val="0C0C0C"/>
          <w:w w:val="105"/>
          <w:sz w:val="21"/>
        </w:rPr>
        <w:t>disclosed</w:t>
      </w:r>
      <w:r>
        <w:rPr>
          <w:color w:val="0C0C0C"/>
          <w:spacing w:val="-3"/>
          <w:w w:val="105"/>
          <w:sz w:val="21"/>
        </w:rPr>
        <w:t> </w:t>
      </w:r>
      <w:r>
        <w:rPr>
          <w:color w:val="0C0C0C"/>
          <w:w w:val="105"/>
          <w:sz w:val="21"/>
        </w:rPr>
        <w:t>in</w:t>
      </w:r>
      <w:r>
        <w:rPr>
          <w:color w:val="0C0C0C"/>
          <w:spacing w:val="-14"/>
          <w:w w:val="105"/>
          <w:sz w:val="21"/>
        </w:rPr>
        <w:t> </w:t>
      </w:r>
      <w:r>
        <w:rPr>
          <w:color w:val="0C0C0C"/>
          <w:w w:val="105"/>
          <w:sz w:val="21"/>
        </w:rPr>
        <w:t>the</w:t>
      </w:r>
      <w:r>
        <w:rPr>
          <w:color w:val="0C0C0C"/>
          <w:spacing w:val="-10"/>
          <w:w w:val="105"/>
          <w:sz w:val="21"/>
        </w:rPr>
        <w:t> </w:t>
      </w:r>
      <w:r>
        <w:rPr>
          <w:color w:val="0C0C0C"/>
          <w:w w:val="105"/>
          <w:sz w:val="21"/>
        </w:rPr>
        <w:t>Statement </w:t>
      </w:r>
      <w:r>
        <w:rPr>
          <w:color w:val="1D1D1D"/>
          <w:w w:val="105"/>
          <w:sz w:val="21"/>
        </w:rPr>
        <w:t>of</w:t>
      </w:r>
      <w:r>
        <w:rPr>
          <w:color w:val="1D1D1D"/>
          <w:spacing w:val="-6"/>
          <w:w w:val="105"/>
          <w:sz w:val="21"/>
        </w:rPr>
        <w:t> </w:t>
      </w:r>
      <w:r>
        <w:rPr>
          <w:color w:val="1D1D1D"/>
          <w:w w:val="105"/>
          <w:sz w:val="21"/>
        </w:rPr>
        <w:t>Accounts and</w:t>
      </w:r>
      <w:r>
        <w:rPr>
          <w:color w:val="1D1D1D"/>
          <w:spacing w:val="-16"/>
          <w:w w:val="105"/>
          <w:sz w:val="21"/>
        </w:rPr>
        <w:t> </w:t>
      </w:r>
      <w:r>
        <w:rPr>
          <w:color w:val="1D1D1D"/>
          <w:w w:val="105"/>
          <w:sz w:val="21"/>
        </w:rPr>
        <w:t>the</w:t>
      </w:r>
      <w:r>
        <w:rPr>
          <w:color w:val="1D1D1D"/>
          <w:spacing w:val="-7"/>
          <w:w w:val="105"/>
          <w:sz w:val="21"/>
        </w:rPr>
        <w:t> </w:t>
      </w:r>
      <w:r>
        <w:rPr>
          <w:color w:val="1D1D1D"/>
          <w:w w:val="105"/>
          <w:sz w:val="21"/>
        </w:rPr>
        <w:t>Pay</w:t>
      </w:r>
      <w:r>
        <w:rPr>
          <w:color w:val="1D1D1D"/>
          <w:spacing w:val="-6"/>
          <w:w w:val="105"/>
          <w:sz w:val="21"/>
        </w:rPr>
        <w:t> </w:t>
      </w:r>
      <w:r>
        <w:rPr>
          <w:color w:val="0C0C0C"/>
          <w:w w:val="105"/>
          <w:sz w:val="21"/>
        </w:rPr>
        <w:t>Policy </w:t>
      </w:r>
      <w:r>
        <w:rPr>
          <w:color w:val="1D1D1D"/>
          <w:w w:val="105"/>
          <w:sz w:val="21"/>
        </w:rPr>
        <w:t>Statement. </w:t>
      </w:r>
      <w:r>
        <w:rPr>
          <w:color w:val="0C0C0C"/>
          <w:w w:val="105"/>
          <w:sz w:val="21"/>
        </w:rPr>
        <w:t>These are also published on the Council's website.</w:t>
      </w:r>
    </w:p>
    <w:p>
      <w:pPr>
        <w:pStyle w:val="ListParagraph"/>
        <w:numPr>
          <w:ilvl w:val="0"/>
          <w:numId w:val="29"/>
        </w:numPr>
        <w:tabs>
          <w:tab w:val="left" w:leader="none" w:pos="852"/>
          <w:tab w:val="left" w:leader="none" w:pos="854"/>
        </w:tabs>
        <w:spacing w:before="4" w:after="0" w:line="252" w:lineRule="auto"/>
        <w:ind w:left="854" w:right="508" w:hanging="712"/>
        <w:jc w:val="left"/>
        <w:rPr>
          <w:color w:val="0C0C0C"/>
          <w:sz w:val="21"/>
        </w:rPr>
      </w:pPr>
      <w:r>
        <w:rPr>
          <w:color w:val="1D1D1D"/>
          <w:w w:val="105"/>
          <w:sz w:val="21"/>
        </w:rPr>
        <w:t>Both</w:t>
      </w:r>
      <w:r>
        <w:rPr>
          <w:color w:val="1D1D1D"/>
          <w:spacing w:val="-12"/>
          <w:w w:val="105"/>
          <w:sz w:val="21"/>
        </w:rPr>
        <w:t> </w:t>
      </w:r>
      <w:r>
        <w:rPr>
          <w:color w:val="1D1D1D"/>
          <w:w w:val="105"/>
          <w:sz w:val="21"/>
        </w:rPr>
        <w:t>Members' </w:t>
      </w:r>
      <w:r>
        <w:rPr>
          <w:color w:val="0C0C0C"/>
          <w:w w:val="105"/>
          <w:sz w:val="21"/>
        </w:rPr>
        <w:t>and</w:t>
      </w:r>
      <w:r>
        <w:rPr>
          <w:color w:val="0C0C0C"/>
          <w:spacing w:val="-7"/>
          <w:w w:val="105"/>
          <w:sz w:val="21"/>
        </w:rPr>
        <w:t> </w:t>
      </w:r>
      <w:r>
        <w:rPr>
          <w:color w:val="0C0C0C"/>
          <w:w w:val="105"/>
          <w:sz w:val="21"/>
        </w:rPr>
        <w:t>Officers' </w:t>
      </w:r>
      <w:r>
        <w:rPr>
          <w:color w:val="1D1D1D"/>
          <w:w w:val="105"/>
          <w:sz w:val="21"/>
        </w:rPr>
        <w:t>Allowances </w:t>
      </w:r>
      <w:r>
        <w:rPr>
          <w:color w:val="0C0C0C"/>
          <w:w w:val="105"/>
          <w:sz w:val="21"/>
        </w:rPr>
        <w:t>and</w:t>
      </w:r>
      <w:r>
        <w:rPr>
          <w:color w:val="0C0C0C"/>
          <w:spacing w:val="-8"/>
          <w:w w:val="105"/>
          <w:sz w:val="21"/>
        </w:rPr>
        <w:t> </w:t>
      </w:r>
      <w:r>
        <w:rPr>
          <w:color w:val="0C0C0C"/>
          <w:w w:val="105"/>
          <w:sz w:val="21"/>
        </w:rPr>
        <w:t>Expenses are</w:t>
      </w:r>
      <w:r>
        <w:rPr>
          <w:color w:val="0C0C0C"/>
          <w:spacing w:val="-11"/>
          <w:w w:val="105"/>
          <w:sz w:val="21"/>
        </w:rPr>
        <w:t> </w:t>
      </w:r>
      <w:r>
        <w:rPr>
          <w:color w:val="0C0C0C"/>
          <w:w w:val="105"/>
          <w:sz w:val="21"/>
        </w:rPr>
        <w:t>subject</w:t>
      </w:r>
      <w:r>
        <w:rPr>
          <w:color w:val="0C0C0C"/>
          <w:spacing w:val="-7"/>
          <w:w w:val="105"/>
          <w:sz w:val="21"/>
        </w:rPr>
        <w:t> </w:t>
      </w:r>
      <w:r>
        <w:rPr>
          <w:color w:val="0C0C0C"/>
          <w:w w:val="105"/>
          <w:sz w:val="21"/>
        </w:rPr>
        <w:t>to </w:t>
      </w:r>
      <w:r>
        <w:rPr>
          <w:color w:val="1D1D1D"/>
          <w:w w:val="105"/>
          <w:sz w:val="21"/>
        </w:rPr>
        <w:t>periodic </w:t>
      </w:r>
      <w:r>
        <w:rPr>
          <w:color w:val="0C0C0C"/>
          <w:w w:val="105"/>
          <w:sz w:val="21"/>
        </w:rPr>
        <w:t>review</w:t>
      </w:r>
      <w:r>
        <w:rPr>
          <w:color w:val="0C0C0C"/>
          <w:spacing w:val="-4"/>
          <w:w w:val="105"/>
          <w:sz w:val="21"/>
        </w:rPr>
        <w:t> </w:t>
      </w:r>
      <w:r>
        <w:rPr>
          <w:color w:val="0C0C0C"/>
          <w:w w:val="105"/>
          <w:sz w:val="21"/>
        </w:rPr>
        <w:t>by</w:t>
      </w:r>
      <w:r>
        <w:rPr>
          <w:color w:val="0C0C0C"/>
          <w:spacing w:val="-7"/>
          <w:w w:val="105"/>
          <w:sz w:val="21"/>
        </w:rPr>
        <w:t> </w:t>
      </w:r>
      <w:r>
        <w:rPr>
          <w:color w:val="0C0C0C"/>
          <w:w w:val="105"/>
          <w:sz w:val="21"/>
        </w:rPr>
        <w:t>the</w:t>
      </w:r>
      <w:r>
        <w:rPr>
          <w:color w:val="0C0C0C"/>
          <w:spacing w:val="-5"/>
          <w:w w:val="105"/>
          <w:sz w:val="21"/>
        </w:rPr>
        <w:t> </w:t>
      </w:r>
      <w:r>
        <w:rPr>
          <w:color w:val="0C0C0C"/>
          <w:w w:val="105"/>
          <w:sz w:val="21"/>
        </w:rPr>
        <w:t>SIAS </w:t>
      </w:r>
      <w:r>
        <w:rPr>
          <w:color w:val="2F2F2F"/>
          <w:w w:val="105"/>
          <w:sz w:val="21"/>
        </w:rPr>
        <w:t>to </w:t>
      </w:r>
      <w:r>
        <w:rPr>
          <w:color w:val="1D1D1D"/>
          <w:w w:val="105"/>
          <w:sz w:val="21"/>
        </w:rPr>
        <w:t>ensure </w:t>
      </w:r>
      <w:r>
        <w:rPr>
          <w:color w:val="2F2F2F"/>
          <w:w w:val="105"/>
          <w:sz w:val="21"/>
        </w:rPr>
        <w:t>that </w:t>
      </w:r>
      <w:r>
        <w:rPr>
          <w:color w:val="1D1D1D"/>
          <w:w w:val="105"/>
          <w:sz w:val="21"/>
        </w:rPr>
        <w:t>the internal </w:t>
      </w:r>
      <w:r>
        <w:rPr>
          <w:color w:val="0C0C0C"/>
          <w:w w:val="105"/>
          <w:sz w:val="21"/>
        </w:rPr>
        <w:t>controls in operation are both adequate and </w:t>
      </w:r>
      <w:r>
        <w:rPr>
          <w:color w:val="1D1D1D"/>
          <w:w w:val="105"/>
          <w:sz w:val="21"/>
        </w:rPr>
        <w:t>effective.</w:t>
      </w:r>
    </w:p>
    <w:p>
      <w:pPr>
        <w:pStyle w:val="BodyText"/>
        <w:spacing w:before="10"/>
        <w:rPr>
          <w:sz w:val="21"/>
        </w:rPr>
      </w:pPr>
    </w:p>
    <w:p>
      <w:pPr>
        <w:spacing w:before="0"/>
        <w:ind w:left="853" w:right="0" w:firstLine="0"/>
        <w:jc w:val="left"/>
        <w:rPr>
          <w:sz w:val="21"/>
        </w:rPr>
      </w:pPr>
      <w:r>
        <w:rPr>
          <w:color w:val="1D1D1D"/>
          <w:w w:val="105"/>
          <w:sz w:val="21"/>
          <w:u w:val="thick" w:color="1D1D1D"/>
        </w:rPr>
        <w:t>Senior</w:t>
      </w:r>
      <w:r>
        <w:rPr>
          <w:color w:val="1D1D1D"/>
          <w:spacing w:val="-5"/>
          <w:w w:val="105"/>
          <w:sz w:val="21"/>
          <w:u w:val="thick" w:color="1D1D1D"/>
        </w:rPr>
        <w:t> </w:t>
      </w:r>
      <w:r>
        <w:rPr>
          <w:color w:val="1D1D1D"/>
          <w:spacing w:val="-2"/>
          <w:w w:val="105"/>
          <w:sz w:val="21"/>
          <w:u w:val="thick" w:color="1D1D1D"/>
        </w:rPr>
        <w:t>Management</w:t>
      </w:r>
    </w:p>
    <w:p>
      <w:pPr>
        <w:pStyle w:val="BodyText"/>
        <w:spacing w:before="22"/>
        <w:rPr>
          <w:sz w:val="21"/>
        </w:rPr>
      </w:pPr>
    </w:p>
    <w:p>
      <w:pPr>
        <w:pStyle w:val="ListParagraph"/>
        <w:numPr>
          <w:ilvl w:val="0"/>
          <w:numId w:val="29"/>
        </w:numPr>
        <w:tabs>
          <w:tab w:val="left" w:leader="none" w:pos="849"/>
        </w:tabs>
        <w:spacing w:before="0" w:after="0" w:line="252" w:lineRule="auto"/>
        <w:ind w:left="849" w:right="535" w:hanging="707"/>
        <w:jc w:val="left"/>
        <w:rPr>
          <w:color w:val="0C0C0C"/>
          <w:sz w:val="21"/>
        </w:rPr>
      </w:pPr>
      <w:r>
        <w:rPr>
          <w:color w:val="0C0C0C"/>
          <w:sz w:val="21"/>
        </w:rPr>
        <w:t>There</w:t>
      </w:r>
      <w:r>
        <w:rPr>
          <w:color w:val="0C0C0C"/>
          <w:spacing w:val="40"/>
          <w:sz w:val="21"/>
        </w:rPr>
        <w:t> </w:t>
      </w:r>
      <w:r>
        <w:rPr>
          <w:color w:val="0C0C0C"/>
          <w:sz w:val="21"/>
        </w:rPr>
        <w:t>are</w:t>
      </w:r>
      <w:r>
        <w:rPr>
          <w:color w:val="0C0C0C"/>
          <w:spacing w:val="27"/>
          <w:sz w:val="21"/>
        </w:rPr>
        <w:t> </w:t>
      </w:r>
      <w:r>
        <w:rPr>
          <w:color w:val="0C0C0C"/>
          <w:sz w:val="21"/>
        </w:rPr>
        <w:t>three</w:t>
      </w:r>
      <w:r>
        <w:rPr>
          <w:color w:val="0C0C0C"/>
          <w:spacing w:val="20"/>
          <w:sz w:val="21"/>
        </w:rPr>
        <w:t> </w:t>
      </w:r>
      <w:r>
        <w:rPr>
          <w:color w:val="0C0C0C"/>
          <w:sz w:val="21"/>
        </w:rPr>
        <w:t>Council</w:t>
      </w:r>
      <w:r>
        <w:rPr>
          <w:color w:val="0C0C0C"/>
          <w:spacing w:val="33"/>
          <w:sz w:val="21"/>
        </w:rPr>
        <w:t> </w:t>
      </w:r>
      <w:r>
        <w:rPr>
          <w:color w:val="0C0C0C"/>
          <w:sz w:val="21"/>
        </w:rPr>
        <w:t>officers</w:t>
      </w:r>
      <w:r>
        <w:rPr>
          <w:color w:val="0C0C0C"/>
          <w:spacing w:val="40"/>
          <w:sz w:val="21"/>
        </w:rPr>
        <w:t> </w:t>
      </w:r>
      <w:r>
        <w:rPr>
          <w:color w:val="1D1D1D"/>
          <w:sz w:val="21"/>
        </w:rPr>
        <w:t>who</w:t>
      </w:r>
      <w:r>
        <w:rPr>
          <w:color w:val="1D1D1D"/>
          <w:spacing w:val="40"/>
          <w:sz w:val="21"/>
        </w:rPr>
        <w:t> </w:t>
      </w:r>
      <w:r>
        <w:rPr>
          <w:color w:val="1D1D1D"/>
          <w:sz w:val="21"/>
        </w:rPr>
        <w:t>are</w:t>
      </w:r>
      <w:r>
        <w:rPr>
          <w:color w:val="1D1D1D"/>
          <w:spacing w:val="40"/>
          <w:sz w:val="21"/>
        </w:rPr>
        <w:t> </w:t>
      </w:r>
      <w:r>
        <w:rPr>
          <w:color w:val="0C0C0C"/>
          <w:sz w:val="21"/>
        </w:rPr>
        <w:t>statutory</w:t>
      </w:r>
      <w:r>
        <w:rPr>
          <w:color w:val="0C0C0C"/>
          <w:spacing w:val="40"/>
          <w:sz w:val="21"/>
        </w:rPr>
        <w:t> </w:t>
      </w:r>
      <w:r>
        <w:rPr>
          <w:color w:val="0C0C0C"/>
          <w:sz w:val="21"/>
        </w:rPr>
        <w:t>appointments</w:t>
      </w:r>
      <w:r>
        <w:rPr>
          <w:color w:val="0C0C0C"/>
          <w:spacing w:val="40"/>
          <w:sz w:val="21"/>
        </w:rPr>
        <w:t> </w:t>
      </w:r>
      <w:r>
        <w:rPr>
          <w:color w:val="0C0C0C"/>
          <w:sz w:val="21"/>
        </w:rPr>
        <w:t>-the</w:t>
      </w:r>
      <w:r>
        <w:rPr>
          <w:color w:val="0C0C0C"/>
          <w:spacing w:val="24"/>
          <w:sz w:val="21"/>
        </w:rPr>
        <w:t> </w:t>
      </w:r>
      <w:r>
        <w:rPr>
          <w:color w:val="0C0C0C"/>
          <w:sz w:val="21"/>
        </w:rPr>
        <w:t>Managing</w:t>
      </w:r>
      <w:r>
        <w:rPr>
          <w:color w:val="0C0C0C"/>
          <w:spacing w:val="40"/>
          <w:sz w:val="21"/>
        </w:rPr>
        <w:t> </w:t>
      </w:r>
      <w:r>
        <w:rPr>
          <w:color w:val="0C0C0C"/>
          <w:sz w:val="21"/>
        </w:rPr>
        <w:t>Director's</w:t>
      </w:r>
      <w:r>
        <w:rPr>
          <w:color w:val="0C0C0C"/>
          <w:spacing w:val="40"/>
          <w:sz w:val="21"/>
        </w:rPr>
        <w:t> </w:t>
      </w:r>
      <w:r>
        <w:rPr>
          <w:color w:val="0C0C0C"/>
          <w:sz w:val="21"/>
        </w:rPr>
        <w:t>role</w:t>
      </w:r>
      <w:r>
        <w:rPr>
          <w:color w:val="0C0C0C"/>
          <w:spacing w:val="40"/>
          <w:sz w:val="21"/>
        </w:rPr>
        <w:t> </w:t>
      </w:r>
      <w:r>
        <w:rPr>
          <w:color w:val="0C0C0C"/>
          <w:sz w:val="21"/>
        </w:rPr>
        <w:t>as the Head</w:t>
      </w:r>
      <w:r>
        <w:rPr>
          <w:color w:val="0C0C0C"/>
          <w:spacing w:val="33"/>
          <w:sz w:val="21"/>
        </w:rPr>
        <w:t> </w:t>
      </w:r>
      <w:r>
        <w:rPr>
          <w:color w:val="0C0C0C"/>
          <w:sz w:val="21"/>
        </w:rPr>
        <w:t>of</w:t>
      </w:r>
      <w:r>
        <w:rPr>
          <w:color w:val="0C0C0C"/>
          <w:spacing w:val="32"/>
          <w:sz w:val="21"/>
        </w:rPr>
        <w:t> </w:t>
      </w:r>
      <w:r>
        <w:rPr>
          <w:color w:val="1D1D1D"/>
          <w:sz w:val="21"/>
        </w:rPr>
        <w:t>Paid</w:t>
      </w:r>
      <w:r>
        <w:rPr>
          <w:color w:val="1D1D1D"/>
          <w:spacing w:val="26"/>
          <w:sz w:val="21"/>
        </w:rPr>
        <w:t> </w:t>
      </w:r>
      <w:r>
        <w:rPr>
          <w:color w:val="0C0C0C"/>
          <w:sz w:val="21"/>
        </w:rPr>
        <w:t>Service,</w:t>
      </w:r>
      <w:r>
        <w:rPr>
          <w:color w:val="0C0C0C"/>
          <w:spacing w:val="40"/>
          <w:sz w:val="21"/>
        </w:rPr>
        <w:t> </w:t>
      </w:r>
      <w:r>
        <w:rPr>
          <w:color w:val="0C0C0C"/>
          <w:sz w:val="21"/>
        </w:rPr>
        <w:t>the</w:t>
      </w:r>
      <w:r>
        <w:rPr>
          <w:color w:val="0C0C0C"/>
          <w:spacing w:val="29"/>
          <w:sz w:val="21"/>
        </w:rPr>
        <w:t> </w:t>
      </w:r>
      <w:r>
        <w:rPr>
          <w:color w:val="0C0C0C"/>
          <w:sz w:val="21"/>
        </w:rPr>
        <w:t>Head</w:t>
      </w:r>
      <w:r>
        <w:rPr>
          <w:color w:val="0C0C0C"/>
          <w:spacing w:val="26"/>
          <w:sz w:val="21"/>
        </w:rPr>
        <w:t> </w:t>
      </w:r>
      <w:r>
        <w:rPr>
          <w:color w:val="1D1D1D"/>
          <w:sz w:val="21"/>
        </w:rPr>
        <w:t>of </w:t>
      </w:r>
      <w:r>
        <w:rPr>
          <w:color w:val="0C0C0C"/>
          <w:sz w:val="21"/>
        </w:rPr>
        <w:t>Finance</w:t>
      </w:r>
      <w:r>
        <w:rPr>
          <w:color w:val="0C0C0C"/>
          <w:spacing w:val="36"/>
          <w:sz w:val="21"/>
        </w:rPr>
        <w:t> </w:t>
      </w:r>
      <w:r>
        <w:rPr>
          <w:color w:val="0C0C0C"/>
          <w:sz w:val="21"/>
        </w:rPr>
        <w:t>and</w:t>
      </w:r>
      <w:r>
        <w:rPr>
          <w:color w:val="0C0C0C"/>
          <w:spacing w:val="25"/>
          <w:sz w:val="21"/>
        </w:rPr>
        <w:t> </w:t>
      </w:r>
      <w:r>
        <w:rPr>
          <w:color w:val="0C0C0C"/>
          <w:sz w:val="21"/>
        </w:rPr>
        <w:t>Business</w:t>
      </w:r>
      <w:r>
        <w:rPr>
          <w:color w:val="0C0C0C"/>
          <w:spacing w:val="40"/>
          <w:sz w:val="21"/>
        </w:rPr>
        <w:t> </w:t>
      </w:r>
      <w:r>
        <w:rPr>
          <w:color w:val="0C0C0C"/>
          <w:sz w:val="21"/>
        </w:rPr>
        <w:t>Services</w:t>
      </w:r>
      <w:r>
        <w:rPr>
          <w:color w:val="0C0C0C"/>
          <w:spacing w:val="40"/>
          <w:sz w:val="21"/>
        </w:rPr>
        <w:t> </w:t>
      </w:r>
      <w:r>
        <w:rPr>
          <w:color w:val="0C0C0C"/>
          <w:sz w:val="21"/>
        </w:rPr>
        <w:t>as</w:t>
      </w:r>
      <w:r>
        <w:rPr>
          <w:color w:val="0C0C0C"/>
          <w:spacing w:val="27"/>
          <w:sz w:val="21"/>
        </w:rPr>
        <w:t> </w:t>
      </w:r>
      <w:r>
        <w:rPr>
          <w:color w:val="0C0C0C"/>
          <w:sz w:val="21"/>
        </w:rPr>
        <w:t>the</w:t>
      </w:r>
      <w:r>
        <w:rPr>
          <w:color w:val="0C0C0C"/>
          <w:spacing w:val="33"/>
          <w:sz w:val="21"/>
        </w:rPr>
        <w:t> </w:t>
      </w:r>
      <w:r>
        <w:rPr>
          <w:color w:val="0C0C0C"/>
          <w:sz w:val="21"/>
        </w:rPr>
        <w:t>Section</w:t>
      </w:r>
      <w:r>
        <w:rPr>
          <w:color w:val="0C0C0C"/>
          <w:spacing w:val="32"/>
          <w:sz w:val="21"/>
        </w:rPr>
        <w:t> </w:t>
      </w:r>
      <w:r>
        <w:rPr>
          <w:color w:val="0C0C0C"/>
          <w:sz w:val="21"/>
        </w:rPr>
        <w:t>151 Officer </w:t>
      </w:r>
      <w:r>
        <w:rPr>
          <w:color w:val="0C0C0C"/>
          <w:spacing w:val="-2"/>
          <w:w w:val="110"/>
          <w:sz w:val="21"/>
        </w:rPr>
        <w:t>and</w:t>
      </w:r>
      <w:r>
        <w:rPr>
          <w:color w:val="0C0C0C"/>
          <w:spacing w:val="-15"/>
          <w:w w:val="110"/>
          <w:sz w:val="21"/>
        </w:rPr>
        <w:t> </w:t>
      </w:r>
      <w:r>
        <w:rPr>
          <w:color w:val="0C0C0C"/>
          <w:spacing w:val="-2"/>
          <w:w w:val="110"/>
          <w:sz w:val="21"/>
        </w:rPr>
        <w:t>the</w:t>
      </w:r>
      <w:r>
        <w:rPr>
          <w:color w:val="0C0C0C"/>
          <w:spacing w:val="-14"/>
          <w:w w:val="110"/>
          <w:sz w:val="21"/>
        </w:rPr>
        <w:t> </w:t>
      </w:r>
      <w:r>
        <w:rPr>
          <w:color w:val="0C0C0C"/>
          <w:spacing w:val="-2"/>
          <w:w w:val="110"/>
          <w:sz w:val="21"/>
        </w:rPr>
        <w:t>Head</w:t>
      </w:r>
      <w:r>
        <w:rPr>
          <w:color w:val="0C0C0C"/>
          <w:spacing w:val="-14"/>
          <w:w w:val="110"/>
          <w:sz w:val="21"/>
        </w:rPr>
        <w:t> </w:t>
      </w:r>
      <w:r>
        <w:rPr>
          <w:color w:val="0C0C0C"/>
          <w:spacing w:val="-2"/>
          <w:w w:val="110"/>
          <w:sz w:val="21"/>
        </w:rPr>
        <w:t>of</w:t>
      </w:r>
      <w:r>
        <w:rPr>
          <w:color w:val="0C0C0C"/>
          <w:spacing w:val="-14"/>
          <w:w w:val="110"/>
          <w:sz w:val="21"/>
        </w:rPr>
        <w:t> </w:t>
      </w:r>
      <w:r>
        <w:rPr>
          <w:color w:val="0C0C0C"/>
          <w:spacing w:val="-2"/>
          <w:w w:val="110"/>
          <w:sz w:val="21"/>
        </w:rPr>
        <w:t>Legal</w:t>
      </w:r>
      <w:r>
        <w:rPr>
          <w:color w:val="0C0C0C"/>
          <w:spacing w:val="-9"/>
          <w:w w:val="110"/>
          <w:sz w:val="21"/>
        </w:rPr>
        <w:t> </w:t>
      </w:r>
      <w:r>
        <w:rPr>
          <w:color w:val="0C0C0C"/>
          <w:spacing w:val="-2"/>
          <w:w w:val="110"/>
          <w:sz w:val="21"/>
        </w:rPr>
        <w:t>and</w:t>
      </w:r>
      <w:r>
        <w:rPr>
          <w:color w:val="0C0C0C"/>
          <w:spacing w:val="-15"/>
          <w:w w:val="110"/>
          <w:sz w:val="21"/>
        </w:rPr>
        <w:t> </w:t>
      </w:r>
      <w:r>
        <w:rPr>
          <w:color w:val="0C0C0C"/>
          <w:spacing w:val="-2"/>
          <w:w w:val="110"/>
          <w:sz w:val="21"/>
        </w:rPr>
        <w:t>Democratic Services as</w:t>
      </w:r>
      <w:r>
        <w:rPr>
          <w:color w:val="0C0C0C"/>
          <w:spacing w:val="-13"/>
          <w:w w:val="110"/>
          <w:sz w:val="21"/>
        </w:rPr>
        <w:t> </w:t>
      </w:r>
      <w:r>
        <w:rPr>
          <w:color w:val="0C0C0C"/>
          <w:spacing w:val="-2"/>
          <w:w w:val="110"/>
          <w:sz w:val="21"/>
        </w:rPr>
        <w:t>the</w:t>
      </w:r>
      <w:r>
        <w:rPr>
          <w:color w:val="0C0C0C"/>
          <w:spacing w:val="-15"/>
          <w:w w:val="110"/>
          <w:sz w:val="21"/>
        </w:rPr>
        <w:t> </w:t>
      </w:r>
      <w:r>
        <w:rPr>
          <w:color w:val="0C0C0C"/>
          <w:spacing w:val="-2"/>
          <w:w w:val="110"/>
          <w:sz w:val="21"/>
        </w:rPr>
        <w:t>Monitoring Officer.</w:t>
      </w:r>
    </w:p>
    <w:p>
      <w:pPr>
        <w:pStyle w:val="BodyText"/>
        <w:spacing w:before="12"/>
        <w:rPr>
          <w:sz w:val="21"/>
        </w:rPr>
      </w:pPr>
    </w:p>
    <w:p>
      <w:pPr>
        <w:pStyle w:val="ListParagraph"/>
        <w:numPr>
          <w:ilvl w:val="0"/>
          <w:numId w:val="29"/>
        </w:numPr>
        <w:tabs>
          <w:tab w:val="left" w:leader="none" w:pos="843"/>
          <w:tab w:val="left" w:leader="none" w:pos="846"/>
        </w:tabs>
        <w:spacing w:before="0" w:after="0" w:line="249" w:lineRule="auto"/>
        <w:ind w:left="846" w:right="549" w:hanging="704"/>
        <w:jc w:val="left"/>
        <w:rPr>
          <w:color w:val="0C0C0C"/>
          <w:sz w:val="21"/>
        </w:rPr>
      </w:pPr>
      <w:r>
        <w:rPr>
          <w:color w:val="0C0C0C"/>
          <w:w w:val="105"/>
          <w:sz w:val="21"/>
        </w:rPr>
        <w:t>The</w:t>
      </w:r>
      <w:r>
        <w:rPr>
          <w:color w:val="0C0C0C"/>
          <w:spacing w:val="-6"/>
          <w:w w:val="105"/>
          <w:sz w:val="21"/>
        </w:rPr>
        <w:t> </w:t>
      </w:r>
      <w:r>
        <w:rPr>
          <w:color w:val="0C0C0C"/>
          <w:w w:val="105"/>
          <w:sz w:val="21"/>
        </w:rPr>
        <w:t>Chief</w:t>
      </w:r>
      <w:r>
        <w:rPr>
          <w:color w:val="0C0C0C"/>
          <w:spacing w:val="-2"/>
          <w:w w:val="105"/>
          <w:sz w:val="21"/>
        </w:rPr>
        <w:t> </w:t>
      </w:r>
      <w:r>
        <w:rPr>
          <w:color w:val="0C0C0C"/>
          <w:w w:val="105"/>
          <w:sz w:val="21"/>
        </w:rPr>
        <w:t>Officers' Board (Managing Director and</w:t>
      </w:r>
      <w:r>
        <w:rPr>
          <w:color w:val="0C0C0C"/>
          <w:spacing w:val="-6"/>
          <w:w w:val="105"/>
          <w:sz w:val="21"/>
        </w:rPr>
        <w:t> </w:t>
      </w:r>
      <w:r>
        <w:rPr>
          <w:color w:val="0C0C0C"/>
          <w:w w:val="105"/>
          <w:sz w:val="21"/>
        </w:rPr>
        <w:t>Executive Director), together with</w:t>
      </w:r>
      <w:r>
        <w:rPr>
          <w:color w:val="0C0C0C"/>
          <w:spacing w:val="-4"/>
          <w:w w:val="105"/>
          <w:sz w:val="21"/>
        </w:rPr>
        <w:t> </w:t>
      </w:r>
      <w:r>
        <w:rPr>
          <w:color w:val="0C0C0C"/>
          <w:w w:val="105"/>
          <w:sz w:val="21"/>
        </w:rPr>
        <w:t>the</w:t>
      </w:r>
      <w:r>
        <w:rPr>
          <w:color w:val="0C0C0C"/>
          <w:spacing w:val="-4"/>
          <w:w w:val="105"/>
          <w:sz w:val="21"/>
        </w:rPr>
        <w:t> </w:t>
      </w:r>
      <w:r>
        <w:rPr>
          <w:color w:val="0C0C0C"/>
          <w:w w:val="105"/>
          <w:sz w:val="21"/>
        </w:rPr>
        <w:t>Heads of Partnerships, Community Engagement and</w:t>
      </w:r>
      <w:r>
        <w:rPr>
          <w:color w:val="0C0C0C"/>
          <w:spacing w:val="-3"/>
          <w:w w:val="105"/>
          <w:sz w:val="21"/>
        </w:rPr>
        <w:t> </w:t>
      </w:r>
      <w:r>
        <w:rPr>
          <w:color w:val="0C0C0C"/>
          <w:w w:val="105"/>
          <w:sz w:val="21"/>
        </w:rPr>
        <w:t>Housing, Finance and</w:t>
      </w:r>
      <w:r>
        <w:rPr>
          <w:color w:val="0C0C0C"/>
          <w:spacing w:val="-6"/>
          <w:w w:val="105"/>
          <w:sz w:val="21"/>
        </w:rPr>
        <w:t> </w:t>
      </w:r>
      <w:r>
        <w:rPr>
          <w:color w:val="0C0C0C"/>
          <w:w w:val="105"/>
          <w:sz w:val="21"/>
        </w:rPr>
        <w:t>Business Services, HR &amp; Customer</w:t>
      </w:r>
      <w:r>
        <w:rPr>
          <w:color w:val="0C0C0C"/>
          <w:spacing w:val="-3"/>
          <w:w w:val="105"/>
          <w:sz w:val="21"/>
        </w:rPr>
        <w:t> </w:t>
      </w:r>
      <w:r>
        <w:rPr>
          <w:color w:val="0C0C0C"/>
          <w:w w:val="105"/>
          <w:sz w:val="21"/>
        </w:rPr>
        <w:t>Services, Street</w:t>
      </w:r>
      <w:r>
        <w:rPr>
          <w:color w:val="0C0C0C"/>
          <w:spacing w:val="-3"/>
          <w:w w:val="105"/>
          <w:sz w:val="21"/>
        </w:rPr>
        <w:t> </w:t>
      </w:r>
      <w:r>
        <w:rPr>
          <w:color w:val="0C0C0C"/>
          <w:w w:val="105"/>
          <w:sz w:val="21"/>
        </w:rPr>
        <w:t>Scene, Planning</w:t>
      </w:r>
      <w:r>
        <w:rPr>
          <w:color w:val="0C0C0C"/>
          <w:spacing w:val="-5"/>
          <w:w w:val="105"/>
          <w:sz w:val="21"/>
        </w:rPr>
        <w:t> </w:t>
      </w:r>
      <w:r>
        <w:rPr>
          <w:color w:val="0C0C0C"/>
          <w:w w:val="105"/>
          <w:sz w:val="21"/>
        </w:rPr>
        <w:t>and</w:t>
      </w:r>
      <w:r>
        <w:rPr>
          <w:color w:val="0C0C0C"/>
          <w:spacing w:val="-16"/>
          <w:w w:val="105"/>
          <w:sz w:val="21"/>
        </w:rPr>
        <w:t> </w:t>
      </w:r>
      <w:r>
        <w:rPr>
          <w:color w:val="0C0C0C"/>
          <w:w w:val="105"/>
          <w:sz w:val="21"/>
        </w:rPr>
        <w:t>Economic</w:t>
      </w:r>
      <w:r>
        <w:rPr>
          <w:color w:val="0C0C0C"/>
          <w:spacing w:val="-2"/>
          <w:w w:val="105"/>
          <w:sz w:val="21"/>
        </w:rPr>
        <w:t> </w:t>
      </w:r>
      <w:r>
        <w:rPr>
          <w:color w:val="0C0C0C"/>
          <w:w w:val="105"/>
          <w:sz w:val="21"/>
        </w:rPr>
        <w:t>Development, Asset</w:t>
      </w:r>
      <w:r>
        <w:rPr>
          <w:color w:val="0C0C0C"/>
          <w:spacing w:val="-4"/>
          <w:w w:val="105"/>
          <w:sz w:val="21"/>
        </w:rPr>
        <w:t> </w:t>
      </w:r>
      <w:r>
        <w:rPr>
          <w:color w:val="0C0C0C"/>
          <w:w w:val="105"/>
          <w:sz w:val="21"/>
        </w:rPr>
        <w:t>Management and Engineering Services, Environmental Health and</w:t>
      </w:r>
      <w:r>
        <w:rPr>
          <w:color w:val="0C0C0C"/>
          <w:spacing w:val="-8"/>
          <w:w w:val="105"/>
          <w:sz w:val="21"/>
        </w:rPr>
        <w:t> </w:t>
      </w:r>
      <w:r>
        <w:rPr>
          <w:color w:val="0C0C0C"/>
          <w:w w:val="105"/>
          <w:sz w:val="21"/>
        </w:rPr>
        <w:t>Legal and</w:t>
      </w:r>
      <w:r>
        <w:rPr>
          <w:color w:val="0C0C0C"/>
          <w:spacing w:val="-3"/>
          <w:w w:val="105"/>
          <w:sz w:val="21"/>
        </w:rPr>
        <w:t> </w:t>
      </w:r>
      <w:r>
        <w:rPr>
          <w:color w:val="0C0C0C"/>
          <w:w w:val="105"/>
          <w:sz w:val="21"/>
        </w:rPr>
        <w:t>Democratic Services comprise the </w:t>
      </w:r>
      <w:r>
        <w:rPr>
          <w:color w:val="1D1D1D"/>
          <w:w w:val="105"/>
          <w:sz w:val="21"/>
        </w:rPr>
        <w:t>Senior Management </w:t>
      </w:r>
      <w:r>
        <w:rPr>
          <w:color w:val="0C0C0C"/>
          <w:w w:val="105"/>
          <w:sz w:val="21"/>
        </w:rPr>
        <w:t>Team, which</w:t>
      </w:r>
      <w:r>
        <w:rPr>
          <w:color w:val="0C0C0C"/>
          <w:spacing w:val="-2"/>
          <w:w w:val="105"/>
          <w:sz w:val="21"/>
        </w:rPr>
        <w:t> </w:t>
      </w:r>
      <w:r>
        <w:rPr>
          <w:color w:val="0C0C0C"/>
          <w:w w:val="105"/>
          <w:sz w:val="21"/>
        </w:rPr>
        <w:t>met formally on</w:t>
      </w:r>
      <w:r>
        <w:rPr>
          <w:color w:val="0C0C0C"/>
          <w:spacing w:val="-3"/>
          <w:w w:val="105"/>
          <w:sz w:val="21"/>
        </w:rPr>
        <w:t> </w:t>
      </w:r>
      <w:r>
        <w:rPr>
          <w:color w:val="0C0C0C"/>
          <w:w w:val="105"/>
          <w:sz w:val="21"/>
        </w:rPr>
        <w:t>a</w:t>
      </w:r>
      <w:r>
        <w:rPr>
          <w:color w:val="0C0C0C"/>
          <w:spacing w:val="-15"/>
          <w:w w:val="105"/>
          <w:sz w:val="21"/>
        </w:rPr>
        <w:t> </w:t>
      </w:r>
      <w:r>
        <w:rPr>
          <w:color w:val="0C0C0C"/>
          <w:w w:val="105"/>
          <w:sz w:val="21"/>
        </w:rPr>
        <w:t>monthly </w:t>
      </w:r>
      <w:r>
        <w:rPr>
          <w:color w:val="1D1D1D"/>
          <w:w w:val="105"/>
          <w:sz w:val="21"/>
        </w:rPr>
        <w:t>basis</w:t>
      </w:r>
      <w:r>
        <w:rPr>
          <w:color w:val="1D1D1D"/>
          <w:spacing w:val="-6"/>
          <w:w w:val="105"/>
          <w:sz w:val="21"/>
        </w:rPr>
        <w:t> </w:t>
      </w:r>
      <w:r>
        <w:rPr>
          <w:color w:val="1D1D1D"/>
          <w:w w:val="105"/>
          <w:sz w:val="21"/>
        </w:rPr>
        <w:t>during 2022/23 with additional informal</w:t>
      </w:r>
      <w:r>
        <w:rPr>
          <w:color w:val="1D1D1D"/>
          <w:spacing w:val="-2"/>
          <w:w w:val="105"/>
          <w:sz w:val="21"/>
        </w:rPr>
        <w:t> </w:t>
      </w:r>
      <w:r>
        <w:rPr>
          <w:color w:val="2F2F2F"/>
          <w:w w:val="105"/>
          <w:sz w:val="21"/>
        </w:rPr>
        <w:t>meetings </w:t>
      </w:r>
      <w:r>
        <w:rPr>
          <w:color w:val="0C0C0C"/>
          <w:w w:val="105"/>
          <w:sz w:val="21"/>
        </w:rPr>
        <w:t>as</w:t>
      </w:r>
      <w:r>
        <w:rPr>
          <w:color w:val="0C0C0C"/>
          <w:spacing w:val="-2"/>
          <w:w w:val="105"/>
          <w:sz w:val="21"/>
        </w:rPr>
        <w:t> </w:t>
      </w:r>
      <w:r>
        <w:rPr>
          <w:color w:val="0C0C0C"/>
          <w:w w:val="105"/>
          <w:sz w:val="21"/>
        </w:rPr>
        <w:t>required. The SIAS Client Audit Manager </w:t>
      </w:r>
      <w:r>
        <w:rPr>
          <w:color w:val="1D1D1D"/>
          <w:w w:val="105"/>
          <w:sz w:val="21"/>
        </w:rPr>
        <w:t>also attends Senior Management</w:t>
      </w:r>
    </w:p>
    <w:p>
      <w:pPr>
        <w:spacing w:after="0" w:line="249" w:lineRule="auto"/>
        <w:jc w:val="left"/>
        <w:rPr>
          <w:sz w:val="21"/>
        </w:rPr>
        <w:sectPr>
          <w:headerReference w:type="default" r:id="rId309"/>
          <w:headerReference w:type="even" r:id="rId310"/>
          <w:footerReference w:type="default" r:id="rId311"/>
          <w:footerReference w:type="even" r:id="rId312"/>
          <w:pgSz w:w="11910" w:h="16830"/>
          <w:pgMar w:top="900" w:right="540" w:bottom="1340" w:left="440" w:header="704" w:footer="1149"/>
          <w:pgNumType w:start="139"/>
        </w:sectPr>
      </w:pPr>
    </w:p>
    <w:p>
      <w:pPr>
        <w:pStyle w:val="BodyText"/>
        <w:spacing w:before="21"/>
      </w:pPr>
    </w:p>
    <w:p>
      <w:pPr>
        <w:pStyle w:val="BodyText"/>
        <w:ind w:left="1064"/>
      </w:pPr>
      <w:r>
        <w:rPr>
          <w:color w:val="0C0C0C"/>
          <w:spacing w:val="-2"/>
          <w:w w:val="105"/>
        </w:rPr>
        <w:t>Team</w:t>
      </w:r>
      <w:r>
        <w:rPr>
          <w:color w:val="545454"/>
          <w:spacing w:val="-2"/>
          <w:w w:val="105"/>
        </w:rPr>
        <w:t>.</w:t>
      </w:r>
    </w:p>
    <w:p>
      <w:pPr>
        <w:pStyle w:val="ListParagraph"/>
        <w:numPr>
          <w:ilvl w:val="0"/>
          <w:numId w:val="29"/>
        </w:numPr>
        <w:tabs>
          <w:tab w:val="left" w:leader="none" w:pos="1050"/>
          <w:tab w:val="left" w:leader="none" w:pos="1056"/>
        </w:tabs>
        <w:spacing w:before="247" w:after="0" w:line="240" w:lineRule="auto"/>
        <w:ind w:left="1050" w:right="222" w:hanging="692"/>
        <w:jc w:val="left"/>
        <w:rPr>
          <w:color w:val="0C0C0C"/>
          <w:sz w:val="22"/>
        </w:rPr>
      </w:pPr>
      <w:r>
        <w:rPr>
          <w:color w:val="0C0C0C"/>
          <w:sz w:val="22"/>
        </w:rPr>
        <w:tab/>
      </w:r>
      <w:r>
        <w:rPr>
          <w:color w:val="1D1D1D"/>
          <w:sz w:val="22"/>
        </w:rPr>
        <w:t>Each Director and</w:t>
      </w:r>
      <w:r>
        <w:rPr>
          <w:color w:val="1D1D1D"/>
          <w:spacing w:val="-6"/>
          <w:sz w:val="22"/>
        </w:rPr>
        <w:t> </w:t>
      </w:r>
      <w:r>
        <w:rPr>
          <w:color w:val="1D1D1D"/>
          <w:sz w:val="22"/>
        </w:rPr>
        <w:t>Head of Service has completed and signed </w:t>
      </w:r>
      <w:r>
        <w:rPr>
          <w:color w:val="0C0C0C"/>
          <w:sz w:val="22"/>
        </w:rPr>
        <w:t>off a </w:t>
      </w:r>
      <w:r>
        <w:rPr>
          <w:color w:val="1D1D1D"/>
          <w:sz w:val="22"/>
        </w:rPr>
        <w:t>personal Service Assurance Statement. These statements have been designed to </w:t>
      </w:r>
      <w:r>
        <w:rPr>
          <w:color w:val="363636"/>
          <w:sz w:val="22"/>
        </w:rPr>
        <w:t>require </w:t>
      </w:r>
      <w:r>
        <w:rPr>
          <w:color w:val="1D1D1D"/>
          <w:sz w:val="22"/>
        </w:rPr>
        <w:t>each </w:t>
      </w:r>
      <w:r>
        <w:rPr>
          <w:color w:val="0C0C0C"/>
          <w:sz w:val="22"/>
        </w:rPr>
        <w:t>officer </w:t>
      </w:r>
      <w:r>
        <w:rPr>
          <w:color w:val="1D1D1D"/>
          <w:sz w:val="22"/>
        </w:rPr>
        <w:t>to certify the</w:t>
      </w:r>
      <w:r>
        <w:rPr>
          <w:color w:val="1D1D1D"/>
          <w:spacing w:val="-8"/>
          <w:sz w:val="22"/>
        </w:rPr>
        <w:t> </w:t>
      </w:r>
      <w:r>
        <w:rPr>
          <w:color w:val="1D1D1D"/>
          <w:sz w:val="22"/>
        </w:rPr>
        <w:t>effective operation of</w:t>
      </w:r>
      <w:r>
        <w:rPr>
          <w:color w:val="1D1D1D"/>
          <w:spacing w:val="-9"/>
          <w:sz w:val="22"/>
        </w:rPr>
        <w:t> </w:t>
      </w:r>
      <w:r>
        <w:rPr>
          <w:color w:val="1D1D1D"/>
          <w:sz w:val="22"/>
        </w:rPr>
        <w:t>the</w:t>
      </w:r>
      <w:r>
        <w:rPr>
          <w:color w:val="1D1D1D"/>
          <w:spacing w:val="-10"/>
          <w:sz w:val="22"/>
        </w:rPr>
        <w:t> </w:t>
      </w:r>
      <w:r>
        <w:rPr>
          <w:color w:val="1D1D1D"/>
          <w:sz w:val="22"/>
        </w:rPr>
        <w:t>control</w:t>
      </w:r>
      <w:r>
        <w:rPr>
          <w:color w:val="1D1D1D"/>
          <w:spacing w:val="-5"/>
          <w:sz w:val="22"/>
        </w:rPr>
        <w:t> </w:t>
      </w:r>
      <w:r>
        <w:rPr>
          <w:color w:val="1D1D1D"/>
          <w:sz w:val="22"/>
        </w:rPr>
        <w:t>environment in</w:t>
      </w:r>
      <w:r>
        <w:rPr>
          <w:color w:val="1D1D1D"/>
          <w:spacing w:val="-16"/>
          <w:sz w:val="22"/>
        </w:rPr>
        <w:t> </w:t>
      </w:r>
      <w:r>
        <w:rPr>
          <w:color w:val="1D1D1D"/>
          <w:sz w:val="22"/>
        </w:rPr>
        <w:t>their</w:t>
      </w:r>
      <w:r>
        <w:rPr>
          <w:color w:val="1D1D1D"/>
          <w:spacing w:val="-2"/>
          <w:sz w:val="22"/>
        </w:rPr>
        <w:t> </w:t>
      </w:r>
      <w:r>
        <w:rPr>
          <w:color w:val="1D1D1D"/>
          <w:sz w:val="22"/>
        </w:rPr>
        <w:t>service</w:t>
      </w:r>
      <w:r>
        <w:rPr>
          <w:color w:val="1D1D1D"/>
          <w:spacing w:val="-1"/>
          <w:sz w:val="22"/>
        </w:rPr>
        <w:t> </w:t>
      </w:r>
      <w:r>
        <w:rPr>
          <w:color w:val="1D1D1D"/>
          <w:sz w:val="22"/>
        </w:rPr>
        <w:t>area</w:t>
      </w:r>
      <w:r>
        <w:rPr>
          <w:color w:val="1D1D1D"/>
          <w:spacing w:val="-14"/>
          <w:sz w:val="22"/>
        </w:rPr>
        <w:t> </w:t>
      </w:r>
      <w:r>
        <w:rPr>
          <w:color w:val="1D1D1D"/>
          <w:sz w:val="22"/>
        </w:rPr>
        <w:t>-</w:t>
      </w:r>
      <w:r>
        <w:rPr>
          <w:color w:val="1D1D1D"/>
          <w:spacing w:val="40"/>
          <w:sz w:val="22"/>
        </w:rPr>
        <w:t> </w:t>
      </w:r>
      <w:r>
        <w:rPr>
          <w:color w:val="1D1D1D"/>
          <w:sz w:val="22"/>
        </w:rPr>
        <w:t>including arrangements for</w:t>
      </w:r>
      <w:r>
        <w:rPr>
          <w:color w:val="1D1D1D"/>
          <w:spacing w:val="-10"/>
          <w:sz w:val="22"/>
        </w:rPr>
        <w:t> </w:t>
      </w:r>
      <w:r>
        <w:rPr>
          <w:color w:val="1D1D1D"/>
          <w:sz w:val="22"/>
        </w:rPr>
        <w:t>performance management and</w:t>
      </w:r>
      <w:r>
        <w:rPr>
          <w:color w:val="1D1D1D"/>
          <w:spacing w:val="-6"/>
          <w:sz w:val="22"/>
        </w:rPr>
        <w:t> </w:t>
      </w:r>
      <w:r>
        <w:rPr>
          <w:color w:val="1D1D1D"/>
          <w:sz w:val="22"/>
        </w:rPr>
        <w:t>risk management.</w:t>
      </w:r>
      <w:r>
        <w:rPr>
          <w:color w:val="1D1D1D"/>
          <w:spacing w:val="29"/>
          <w:sz w:val="22"/>
        </w:rPr>
        <w:t> </w:t>
      </w:r>
      <w:r>
        <w:rPr>
          <w:color w:val="1D1D1D"/>
          <w:sz w:val="22"/>
        </w:rPr>
        <w:t>As a</w:t>
      </w:r>
      <w:r>
        <w:rPr>
          <w:color w:val="1D1D1D"/>
          <w:spacing w:val="-4"/>
          <w:sz w:val="22"/>
        </w:rPr>
        <w:t> </w:t>
      </w:r>
      <w:r>
        <w:rPr>
          <w:color w:val="0C0C0C"/>
          <w:sz w:val="22"/>
        </w:rPr>
        <w:t>consequence,</w:t>
      </w:r>
      <w:r>
        <w:rPr>
          <w:color w:val="0C0C0C"/>
          <w:spacing w:val="37"/>
          <w:sz w:val="22"/>
        </w:rPr>
        <w:t> </w:t>
      </w:r>
      <w:r>
        <w:rPr>
          <w:color w:val="0C0C0C"/>
          <w:sz w:val="22"/>
        </w:rPr>
        <w:t>these Statements are</w:t>
      </w:r>
      <w:r>
        <w:rPr>
          <w:color w:val="0C0C0C"/>
          <w:spacing w:val="-5"/>
          <w:sz w:val="22"/>
        </w:rPr>
        <w:t> </w:t>
      </w:r>
      <w:r>
        <w:rPr>
          <w:color w:val="0C0C0C"/>
          <w:sz w:val="22"/>
        </w:rPr>
        <w:t>key supporting </w:t>
      </w:r>
      <w:r>
        <w:rPr>
          <w:color w:val="1D1D1D"/>
          <w:sz w:val="22"/>
        </w:rPr>
        <w:t>documents in identifying any significant governance issues.</w:t>
      </w:r>
    </w:p>
    <w:p>
      <w:pPr>
        <w:pStyle w:val="BodyText"/>
        <w:spacing w:before="249"/>
        <w:ind w:left="1044"/>
      </w:pPr>
      <w:r>
        <w:rPr>
          <w:color w:val="1D1D1D"/>
          <w:u w:val="thick" w:color="0C0C0C"/>
        </w:rPr>
        <w:t>Corporate</w:t>
      </w:r>
      <w:r>
        <w:rPr>
          <w:color w:val="1D1D1D"/>
          <w:spacing w:val="-9"/>
          <w:u w:val="thick" w:color="0C0C0C"/>
        </w:rPr>
        <w:t> </w:t>
      </w:r>
      <w:r>
        <w:rPr>
          <w:color w:val="1D1D1D"/>
          <w:u w:val="thick" w:color="0C0C0C"/>
        </w:rPr>
        <w:t>Governance </w:t>
      </w:r>
      <w:r>
        <w:rPr>
          <w:color w:val="0C0C0C"/>
          <w:spacing w:val="-2"/>
          <w:u w:val="thick" w:color="0C0C0C"/>
        </w:rPr>
        <w:t>Group</w:t>
      </w:r>
    </w:p>
    <w:p>
      <w:pPr>
        <w:pStyle w:val="BodyText"/>
        <w:spacing w:before="10"/>
      </w:pPr>
    </w:p>
    <w:p>
      <w:pPr>
        <w:pStyle w:val="ListParagraph"/>
        <w:numPr>
          <w:ilvl w:val="0"/>
          <w:numId w:val="29"/>
        </w:numPr>
        <w:tabs>
          <w:tab w:val="left" w:leader="none" w:pos="1024"/>
          <w:tab w:val="left" w:leader="none" w:pos="1030"/>
        </w:tabs>
        <w:spacing w:before="0" w:after="0" w:line="237" w:lineRule="auto"/>
        <w:ind w:left="1024" w:right="676" w:hanging="696"/>
        <w:jc w:val="left"/>
        <w:rPr>
          <w:color w:val="0C0C0C"/>
          <w:sz w:val="22"/>
        </w:rPr>
      </w:pPr>
      <w:r>
        <w:rPr>
          <w:color w:val="0C0C0C"/>
          <w:sz w:val="22"/>
        </w:rPr>
        <w:tab/>
        <w:t>The</w:t>
      </w:r>
      <w:r>
        <w:rPr>
          <w:color w:val="0C0C0C"/>
          <w:spacing w:val="-6"/>
          <w:sz w:val="22"/>
        </w:rPr>
        <w:t> </w:t>
      </w:r>
      <w:r>
        <w:rPr>
          <w:color w:val="0C0C0C"/>
          <w:sz w:val="22"/>
        </w:rPr>
        <w:t>Corporate Governance Group is</w:t>
      </w:r>
      <w:r>
        <w:rPr>
          <w:color w:val="0C0C0C"/>
          <w:spacing w:val="-3"/>
          <w:sz w:val="22"/>
        </w:rPr>
        <w:t> </w:t>
      </w:r>
      <w:r>
        <w:rPr>
          <w:color w:val="0C0C0C"/>
          <w:sz w:val="22"/>
        </w:rPr>
        <w:t>chaired</w:t>
      </w:r>
      <w:r>
        <w:rPr>
          <w:color w:val="0C0C0C"/>
          <w:spacing w:val="-8"/>
          <w:sz w:val="22"/>
        </w:rPr>
        <w:t> </w:t>
      </w:r>
      <w:r>
        <w:rPr>
          <w:color w:val="0C0C0C"/>
          <w:sz w:val="22"/>
        </w:rPr>
        <w:t>by</w:t>
      </w:r>
      <w:r>
        <w:rPr>
          <w:color w:val="0C0C0C"/>
          <w:spacing w:val="-4"/>
          <w:sz w:val="22"/>
        </w:rPr>
        <w:t> </w:t>
      </w:r>
      <w:r>
        <w:rPr>
          <w:color w:val="0C0C0C"/>
          <w:sz w:val="22"/>
        </w:rPr>
        <w:t>the</w:t>
      </w:r>
      <w:r>
        <w:rPr>
          <w:color w:val="0C0C0C"/>
          <w:spacing w:val="-8"/>
          <w:sz w:val="22"/>
        </w:rPr>
        <w:t> </w:t>
      </w:r>
      <w:r>
        <w:rPr>
          <w:color w:val="0C0C0C"/>
          <w:sz w:val="22"/>
        </w:rPr>
        <w:t>Managing Director, in</w:t>
      </w:r>
      <w:r>
        <w:rPr>
          <w:color w:val="0C0C0C"/>
          <w:spacing w:val="-10"/>
          <w:sz w:val="22"/>
        </w:rPr>
        <w:t> </w:t>
      </w:r>
      <w:r>
        <w:rPr>
          <w:color w:val="0C0C0C"/>
          <w:sz w:val="22"/>
        </w:rPr>
        <w:t>their</w:t>
      </w:r>
      <w:r>
        <w:rPr>
          <w:color w:val="0C0C0C"/>
          <w:spacing w:val="-4"/>
          <w:sz w:val="22"/>
        </w:rPr>
        <w:t> </w:t>
      </w:r>
      <w:r>
        <w:rPr>
          <w:color w:val="0C0C0C"/>
          <w:sz w:val="22"/>
        </w:rPr>
        <w:t>capacity as</w:t>
      </w:r>
      <w:r>
        <w:rPr>
          <w:color w:val="0C0C0C"/>
          <w:spacing w:val="-2"/>
          <w:sz w:val="22"/>
        </w:rPr>
        <w:t> </w:t>
      </w:r>
      <w:r>
        <w:rPr>
          <w:color w:val="0C0C0C"/>
          <w:sz w:val="22"/>
        </w:rPr>
        <w:t>the Council's Head of Corporate Governance.</w:t>
      </w:r>
    </w:p>
    <w:p>
      <w:pPr>
        <w:pStyle w:val="ListParagraph"/>
        <w:numPr>
          <w:ilvl w:val="0"/>
          <w:numId w:val="29"/>
        </w:numPr>
        <w:tabs>
          <w:tab w:val="left" w:leader="none" w:pos="1013"/>
          <w:tab w:val="left" w:leader="none" w:pos="1026"/>
        </w:tabs>
        <w:spacing w:before="251" w:after="0" w:line="240" w:lineRule="auto"/>
        <w:ind w:left="1013" w:right="235" w:hanging="690"/>
        <w:jc w:val="left"/>
        <w:rPr>
          <w:color w:val="0C0C0C"/>
          <w:sz w:val="22"/>
        </w:rPr>
      </w:pPr>
      <w:r>
        <w:rPr>
          <w:color w:val="363636"/>
          <w:sz w:val="22"/>
        </w:rPr>
        <w:tab/>
      </w:r>
      <w:r>
        <w:rPr>
          <w:color w:val="0C0C0C"/>
          <w:sz w:val="22"/>
        </w:rPr>
        <w:t>The Group</w:t>
      </w:r>
      <w:r>
        <w:rPr>
          <w:color w:val="0C0C0C"/>
          <w:spacing w:val="-4"/>
          <w:sz w:val="22"/>
        </w:rPr>
        <w:t> </w:t>
      </w:r>
      <w:r>
        <w:rPr>
          <w:color w:val="0C0C0C"/>
          <w:sz w:val="22"/>
        </w:rPr>
        <w:t>met </w:t>
      </w:r>
      <w:r>
        <w:rPr>
          <w:color w:val="1D1D1D"/>
          <w:sz w:val="22"/>
        </w:rPr>
        <w:t>four</w:t>
      </w:r>
      <w:r>
        <w:rPr>
          <w:color w:val="1D1D1D"/>
          <w:spacing w:val="-2"/>
          <w:sz w:val="22"/>
        </w:rPr>
        <w:t> </w:t>
      </w:r>
      <w:r>
        <w:rPr>
          <w:color w:val="0C0C0C"/>
          <w:sz w:val="22"/>
        </w:rPr>
        <w:t>times </w:t>
      </w:r>
      <w:r>
        <w:rPr>
          <w:color w:val="1D1D1D"/>
          <w:sz w:val="22"/>
        </w:rPr>
        <w:t>during the financial </w:t>
      </w:r>
      <w:r>
        <w:rPr>
          <w:color w:val="0C0C0C"/>
          <w:sz w:val="22"/>
        </w:rPr>
        <w:t>year and </w:t>
      </w:r>
      <w:r>
        <w:rPr>
          <w:color w:val="1D1D1D"/>
          <w:sz w:val="22"/>
        </w:rPr>
        <w:t>received </w:t>
      </w:r>
      <w:r>
        <w:rPr>
          <w:color w:val="0C0C0C"/>
          <w:sz w:val="22"/>
        </w:rPr>
        <w:t>reports and </w:t>
      </w:r>
      <w:r>
        <w:rPr>
          <w:color w:val="1D1D1D"/>
          <w:sz w:val="22"/>
        </w:rPr>
        <w:t>updates </w:t>
      </w:r>
      <w:r>
        <w:rPr>
          <w:color w:val="0C0C0C"/>
          <w:sz w:val="22"/>
        </w:rPr>
        <w:t>covering Ethics </w:t>
      </w:r>
      <w:r>
        <w:rPr>
          <w:color w:val="1D1D1D"/>
          <w:sz w:val="22"/>
        </w:rPr>
        <w:t>and</w:t>
      </w:r>
      <w:r>
        <w:rPr>
          <w:color w:val="1D1D1D"/>
          <w:spacing w:val="-4"/>
          <w:sz w:val="22"/>
        </w:rPr>
        <w:t> </w:t>
      </w:r>
      <w:r>
        <w:rPr>
          <w:color w:val="0C0C0C"/>
          <w:sz w:val="22"/>
        </w:rPr>
        <w:t>Standards</w:t>
      </w:r>
      <w:r>
        <w:rPr>
          <w:color w:val="545454"/>
          <w:sz w:val="22"/>
        </w:rPr>
        <w:t>,</w:t>
      </w:r>
      <w:r>
        <w:rPr>
          <w:color w:val="545454"/>
          <w:spacing w:val="-21"/>
          <w:sz w:val="22"/>
        </w:rPr>
        <w:t> </w:t>
      </w:r>
      <w:r>
        <w:rPr>
          <w:color w:val="1D1D1D"/>
          <w:sz w:val="22"/>
        </w:rPr>
        <w:t>New Leg</w:t>
      </w:r>
      <w:r>
        <w:rPr>
          <w:color w:val="363636"/>
          <w:sz w:val="22"/>
        </w:rPr>
        <w:t>i</w:t>
      </w:r>
      <w:r>
        <w:rPr>
          <w:color w:val="1D1D1D"/>
          <w:sz w:val="22"/>
        </w:rPr>
        <w:t>slation</w:t>
      </w:r>
      <w:r>
        <w:rPr>
          <w:color w:val="545454"/>
          <w:sz w:val="22"/>
        </w:rPr>
        <w:t>,</w:t>
      </w:r>
      <w:r>
        <w:rPr>
          <w:color w:val="545454"/>
          <w:spacing w:val="-19"/>
          <w:sz w:val="22"/>
        </w:rPr>
        <w:t> </w:t>
      </w:r>
      <w:r>
        <w:rPr>
          <w:color w:val="0C0C0C"/>
          <w:sz w:val="22"/>
        </w:rPr>
        <w:t>Officer and Member Issues, Internal </w:t>
      </w:r>
      <w:r>
        <w:rPr>
          <w:color w:val="1D1D1D"/>
          <w:sz w:val="22"/>
        </w:rPr>
        <w:t>Control</w:t>
      </w:r>
      <w:r>
        <w:rPr>
          <w:color w:val="676767"/>
          <w:sz w:val="22"/>
        </w:rPr>
        <w:t>,</w:t>
      </w:r>
      <w:r>
        <w:rPr>
          <w:color w:val="676767"/>
          <w:spacing w:val="-25"/>
          <w:sz w:val="22"/>
        </w:rPr>
        <w:t> </w:t>
      </w:r>
      <w:r>
        <w:rPr>
          <w:color w:val="1D1D1D"/>
          <w:sz w:val="22"/>
        </w:rPr>
        <w:t>Internal </w:t>
      </w:r>
      <w:r>
        <w:rPr>
          <w:color w:val="0C0C0C"/>
          <w:sz w:val="22"/>
        </w:rPr>
        <w:t>Audit, Counter-fraud and</w:t>
      </w:r>
      <w:r>
        <w:rPr>
          <w:color w:val="0C0C0C"/>
          <w:spacing w:val="-10"/>
          <w:sz w:val="22"/>
        </w:rPr>
        <w:t> </w:t>
      </w:r>
      <w:r>
        <w:rPr>
          <w:color w:val="0C0C0C"/>
          <w:sz w:val="22"/>
        </w:rPr>
        <w:t>Corruption, Health</w:t>
      </w:r>
      <w:r>
        <w:rPr>
          <w:color w:val="0C0C0C"/>
          <w:spacing w:val="-1"/>
          <w:sz w:val="22"/>
        </w:rPr>
        <w:t> </w:t>
      </w:r>
      <w:r>
        <w:rPr>
          <w:color w:val="0C0C0C"/>
          <w:sz w:val="22"/>
        </w:rPr>
        <w:t>and</w:t>
      </w:r>
      <w:r>
        <w:rPr>
          <w:color w:val="0C0C0C"/>
          <w:spacing w:val="-9"/>
          <w:sz w:val="22"/>
        </w:rPr>
        <w:t> </w:t>
      </w:r>
      <w:r>
        <w:rPr>
          <w:color w:val="0C0C0C"/>
          <w:sz w:val="22"/>
        </w:rPr>
        <w:t>Safety,</w:t>
      </w:r>
      <w:r>
        <w:rPr>
          <w:color w:val="0C0C0C"/>
          <w:spacing w:val="-2"/>
          <w:sz w:val="22"/>
        </w:rPr>
        <w:t> </w:t>
      </w:r>
      <w:r>
        <w:rPr>
          <w:color w:val="0C0C0C"/>
          <w:sz w:val="22"/>
        </w:rPr>
        <w:t>Partnerships and</w:t>
      </w:r>
      <w:r>
        <w:rPr>
          <w:color w:val="0C0C0C"/>
          <w:spacing w:val="-15"/>
          <w:sz w:val="22"/>
        </w:rPr>
        <w:t> </w:t>
      </w:r>
      <w:r>
        <w:rPr>
          <w:color w:val="0C0C0C"/>
          <w:sz w:val="22"/>
        </w:rPr>
        <w:t>Performance Management and Risk Management and other current governance matters.</w:t>
      </w:r>
    </w:p>
    <w:p>
      <w:pPr>
        <w:pStyle w:val="BodyText"/>
        <w:spacing w:before="4"/>
      </w:pPr>
    </w:p>
    <w:p>
      <w:pPr>
        <w:pStyle w:val="BodyText"/>
        <w:ind w:left="1014"/>
      </w:pPr>
      <w:r>
        <w:rPr>
          <w:color w:val="1D1D1D"/>
          <w:u w:val="thick" w:color="1D1D1D"/>
        </w:rPr>
        <w:t>Performance</w:t>
      </w:r>
      <w:r>
        <w:rPr>
          <w:color w:val="1D1D1D"/>
          <w:spacing w:val="13"/>
          <w:u w:val="thick" w:color="1D1D1D"/>
        </w:rPr>
        <w:t> </w:t>
      </w:r>
      <w:r>
        <w:rPr>
          <w:color w:val="1D1D1D"/>
          <w:spacing w:val="-2"/>
          <w:u w:val="thick" w:color="1D1D1D"/>
        </w:rPr>
        <w:t>Management</w:t>
      </w:r>
    </w:p>
    <w:p>
      <w:pPr>
        <w:pStyle w:val="BodyText"/>
        <w:spacing w:before="5"/>
      </w:pPr>
    </w:p>
    <w:p>
      <w:pPr>
        <w:pStyle w:val="ListParagraph"/>
        <w:numPr>
          <w:ilvl w:val="0"/>
          <w:numId w:val="29"/>
        </w:numPr>
        <w:tabs>
          <w:tab w:val="left" w:leader="none" w:pos="998"/>
          <w:tab w:val="left" w:leader="none" w:pos="1001"/>
        </w:tabs>
        <w:spacing w:before="1" w:after="0" w:line="237" w:lineRule="auto"/>
        <w:ind w:left="998" w:right="303" w:hanging="699"/>
        <w:jc w:val="left"/>
        <w:rPr>
          <w:color w:val="0C0C0C"/>
          <w:sz w:val="22"/>
        </w:rPr>
      </w:pPr>
      <w:r>
        <w:rPr>
          <w:color w:val="363636"/>
          <w:sz w:val="22"/>
        </w:rPr>
        <w:tab/>
      </w:r>
      <w:r>
        <w:rPr>
          <w:color w:val="0C0C0C"/>
          <w:sz w:val="22"/>
        </w:rPr>
        <w:t>The</w:t>
      </w:r>
      <w:r>
        <w:rPr>
          <w:color w:val="0C0C0C"/>
          <w:spacing w:val="-6"/>
          <w:sz w:val="22"/>
        </w:rPr>
        <w:t> </w:t>
      </w:r>
      <w:r>
        <w:rPr>
          <w:color w:val="0C0C0C"/>
          <w:sz w:val="22"/>
        </w:rPr>
        <w:t>Performance Strategy remains a</w:t>
      </w:r>
      <w:r>
        <w:rPr>
          <w:color w:val="0C0C0C"/>
          <w:spacing w:val="-13"/>
          <w:sz w:val="22"/>
        </w:rPr>
        <w:t> </w:t>
      </w:r>
      <w:r>
        <w:rPr>
          <w:color w:val="0C0C0C"/>
          <w:sz w:val="22"/>
        </w:rPr>
        <w:t>key</w:t>
      </w:r>
      <w:r>
        <w:rPr>
          <w:color w:val="0C0C0C"/>
          <w:spacing w:val="-7"/>
          <w:sz w:val="22"/>
        </w:rPr>
        <w:t> </w:t>
      </w:r>
      <w:r>
        <w:rPr>
          <w:color w:val="0C0C0C"/>
          <w:sz w:val="22"/>
        </w:rPr>
        <w:t>link</w:t>
      </w:r>
      <w:r>
        <w:rPr>
          <w:color w:val="0C0C0C"/>
          <w:spacing w:val="-12"/>
          <w:sz w:val="22"/>
        </w:rPr>
        <w:t> </w:t>
      </w:r>
      <w:r>
        <w:rPr>
          <w:color w:val="0C0C0C"/>
          <w:sz w:val="22"/>
        </w:rPr>
        <w:t>between the</w:t>
      </w:r>
      <w:r>
        <w:rPr>
          <w:color w:val="0C0C0C"/>
          <w:spacing w:val="-8"/>
          <w:sz w:val="22"/>
        </w:rPr>
        <w:t> </w:t>
      </w:r>
      <w:r>
        <w:rPr>
          <w:color w:val="0C0C0C"/>
          <w:sz w:val="22"/>
        </w:rPr>
        <w:t>Hertsmere Vision, Community Strategy, the Corporate Plan, Service Plans and</w:t>
      </w:r>
      <w:r>
        <w:rPr>
          <w:color w:val="0C0C0C"/>
          <w:spacing w:val="-3"/>
          <w:sz w:val="22"/>
        </w:rPr>
        <w:t> </w:t>
      </w:r>
      <w:r>
        <w:rPr>
          <w:color w:val="0C0C0C"/>
          <w:sz w:val="22"/>
        </w:rPr>
        <w:t>individual Key Result Areas -</w:t>
      </w:r>
      <w:r>
        <w:rPr>
          <w:color w:val="0C0C0C"/>
          <w:spacing w:val="40"/>
          <w:sz w:val="22"/>
        </w:rPr>
        <w:t> </w:t>
      </w:r>
      <w:r>
        <w:rPr>
          <w:color w:val="1D1D1D"/>
          <w:sz w:val="22"/>
        </w:rPr>
        <w:t>"the</w:t>
      </w:r>
      <w:r>
        <w:rPr>
          <w:color w:val="1D1D1D"/>
          <w:spacing w:val="-1"/>
          <w:sz w:val="22"/>
        </w:rPr>
        <w:t> </w:t>
      </w:r>
      <w:r>
        <w:rPr>
          <w:color w:val="0C0C0C"/>
          <w:sz w:val="22"/>
        </w:rPr>
        <w:t>golden thread".</w:t>
      </w:r>
    </w:p>
    <w:p>
      <w:pPr>
        <w:pStyle w:val="BodyText"/>
        <w:spacing w:before="3"/>
      </w:pPr>
    </w:p>
    <w:p>
      <w:pPr>
        <w:pStyle w:val="ListParagraph"/>
        <w:numPr>
          <w:ilvl w:val="0"/>
          <w:numId w:val="29"/>
        </w:numPr>
        <w:tabs>
          <w:tab w:val="left" w:leader="none" w:pos="982"/>
          <w:tab w:val="left" w:leader="none" w:pos="990"/>
        </w:tabs>
        <w:spacing w:before="0" w:after="0" w:line="240" w:lineRule="auto"/>
        <w:ind w:left="982" w:right="146" w:hanging="697"/>
        <w:jc w:val="left"/>
        <w:rPr>
          <w:color w:val="0C0C0C"/>
          <w:sz w:val="22"/>
        </w:rPr>
      </w:pPr>
      <w:r>
        <w:rPr>
          <w:color w:val="676767"/>
          <w:sz w:val="22"/>
        </w:rPr>
        <w:tab/>
      </w:r>
      <w:r>
        <w:rPr>
          <w:color w:val="0C0C0C"/>
          <w:sz w:val="22"/>
        </w:rPr>
        <w:t>Local Performance Indicators have been regularly collected, analysed, risk managed alongside the Corporate Plan</w:t>
      </w:r>
      <w:r>
        <w:rPr>
          <w:color w:val="0C0C0C"/>
          <w:spacing w:val="-11"/>
          <w:sz w:val="22"/>
        </w:rPr>
        <w:t> </w:t>
      </w:r>
      <w:r>
        <w:rPr>
          <w:color w:val="0C0C0C"/>
          <w:sz w:val="22"/>
        </w:rPr>
        <w:t>Annual</w:t>
      </w:r>
      <w:r>
        <w:rPr>
          <w:color w:val="0C0C0C"/>
          <w:spacing w:val="-1"/>
          <w:sz w:val="22"/>
        </w:rPr>
        <w:t> </w:t>
      </w:r>
      <w:r>
        <w:rPr>
          <w:color w:val="1D1D1D"/>
          <w:sz w:val="22"/>
        </w:rPr>
        <w:t>Action</w:t>
      </w:r>
      <w:r>
        <w:rPr>
          <w:color w:val="1D1D1D"/>
          <w:spacing w:val="-1"/>
          <w:sz w:val="22"/>
        </w:rPr>
        <w:t> </w:t>
      </w:r>
      <w:r>
        <w:rPr>
          <w:color w:val="0C0C0C"/>
          <w:sz w:val="22"/>
        </w:rPr>
        <w:t>Plan</w:t>
      </w:r>
      <w:r>
        <w:rPr>
          <w:color w:val="0C0C0C"/>
          <w:spacing w:val="-1"/>
          <w:sz w:val="22"/>
        </w:rPr>
        <w:t> </w:t>
      </w:r>
      <w:r>
        <w:rPr>
          <w:color w:val="0C0C0C"/>
          <w:sz w:val="22"/>
        </w:rPr>
        <w:t>and</w:t>
      </w:r>
      <w:r>
        <w:rPr>
          <w:color w:val="0C0C0C"/>
          <w:spacing w:val="-1"/>
          <w:sz w:val="22"/>
        </w:rPr>
        <w:t> </w:t>
      </w:r>
      <w:r>
        <w:rPr>
          <w:color w:val="1D1D1D"/>
          <w:sz w:val="22"/>
        </w:rPr>
        <w:t>reported </w:t>
      </w:r>
      <w:r>
        <w:rPr>
          <w:color w:val="0C0C0C"/>
          <w:sz w:val="22"/>
        </w:rPr>
        <w:t>to</w:t>
      </w:r>
      <w:r>
        <w:rPr>
          <w:color w:val="0C0C0C"/>
          <w:spacing w:val="-4"/>
          <w:sz w:val="22"/>
        </w:rPr>
        <w:t> </w:t>
      </w:r>
      <w:r>
        <w:rPr>
          <w:color w:val="0C0C0C"/>
          <w:sz w:val="22"/>
        </w:rPr>
        <w:t>Members and</w:t>
      </w:r>
      <w:r>
        <w:rPr>
          <w:color w:val="0C0C0C"/>
          <w:spacing w:val="-4"/>
          <w:sz w:val="22"/>
        </w:rPr>
        <w:t> </w:t>
      </w:r>
      <w:r>
        <w:rPr>
          <w:color w:val="0C0C0C"/>
          <w:sz w:val="22"/>
        </w:rPr>
        <w:t>senior management -</w:t>
      </w:r>
      <w:r>
        <w:rPr>
          <w:color w:val="0C0C0C"/>
          <w:spacing w:val="40"/>
          <w:sz w:val="22"/>
        </w:rPr>
        <w:t> </w:t>
      </w:r>
      <w:r>
        <w:rPr>
          <w:color w:val="0C0C0C"/>
          <w:sz w:val="22"/>
        </w:rPr>
        <w:t>the process is facilitated by a software </w:t>
      </w:r>
      <w:r>
        <w:rPr>
          <w:color w:val="1D1D1D"/>
          <w:sz w:val="22"/>
        </w:rPr>
        <w:t>package, </w:t>
      </w:r>
      <w:r>
        <w:rPr>
          <w:color w:val="0C0C0C"/>
          <w:sz w:val="22"/>
        </w:rPr>
        <w:t>Pentana</w:t>
      </w:r>
      <w:r>
        <w:rPr>
          <w:color w:val="676767"/>
          <w:sz w:val="22"/>
        </w:rPr>
        <w:t>.</w:t>
      </w:r>
    </w:p>
    <w:p>
      <w:pPr>
        <w:pStyle w:val="BodyText"/>
        <w:spacing w:before="2"/>
      </w:pPr>
    </w:p>
    <w:p>
      <w:pPr>
        <w:pStyle w:val="ListParagraph"/>
        <w:numPr>
          <w:ilvl w:val="0"/>
          <w:numId w:val="29"/>
        </w:numPr>
        <w:tabs>
          <w:tab w:val="left" w:leader="none" w:pos="973"/>
          <w:tab w:val="left" w:leader="none" w:pos="978"/>
        </w:tabs>
        <w:spacing w:before="0" w:after="0" w:line="240" w:lineRule="auto"/>
        <w:ind w:left="973" w:right="133" w:hanging="697"/>
        <w:jc w:val="left"/>
        <w:rPr>
          <w:color w:val="0C0C0C"/>
          <w:sz w:val="22"/>
        </w:rPr>
      </w:pPr>
      <w:r>
        <w:rPr>
          <w:color w:val="676767"/>
          <w:sz w:val="22"/>
        </w:rPr>
        <w:tab/>
      </w:r>
      <w:r>
        <w:rPr>
          <w:color w:val="0C0C0C"/>
          <w:sz w:val="22"/>
        </w:rPr>
        <w:t>An Executive-led Performance Management Panel</w:t>
      </w:r>
      <w:r>
        <w:rPr>
          <w:color w:val="363636"/>
          <w:sz w:val="22"/>
        </w:rPr>
        <w:t>,</w:t>
      </w:r>
      <w:r>
        <w:rPr>
          <w:color w:val="363636"/>
          <w:spacing w:val="-8"/>
          <w:sz w:val="22"/>
        </w:rPr>
        <w:t> </w:t>
      </w:r>
      <w:r>
        <w:rPr>
          <w:color w:val="1D1D1D"/>
          <w:sz w:val="22"/>
        </w:rPr>
        <w:t>which comprises key Members and Senior </w:t>
      </w:r>
      <w:r>
        <w:rPr>
          <w:color w:val="0C0C0C"/>
          <w:sz w:val="22"/>
        </w:rPr>
        <w:t>Officers, has met on a</w:t>
      </w:r>
      <w:r>
        <w:rPr>
          <w:color w:val="0C0C0C"/>
          <w:spacing w:val="-3"/>
          <w:sz w:val="22"/>
        </w:rPr>
        <w:t> </w:t>
      </w:r>
      <w:r>
        <w:rPr>
          <w:color w:val="0C0C0C"/>
          <w:sz w:val="22"/>
        </w:rPr>
        <w:t>quarterly basis to consider </w:t>
      </w:r>
      <w:r>
        <w:rPr>
          <w:color w:val="1D1D1D"/>
          <w:sz w:val="22"/>
        </w:rPr>
        <w:t>selected key performance indicators and</w:t>
      </w:r>
      <w:r>
        <w:rPr>
          <w:color w:val="1D1D1D"/>
          <w:spacing w:val="-1"/>
          <w:sz w:val="22"/>
        </w:rPr>
        <w:t> </w:t>
      </w:r>
      <w:r>
        <w:rPr>
          <w:color w:val="1D1D1D"/>
          <w:sz w:val="22"/>
        </w:rPr>
        <w:t>the delivery of the</w:t>
      </w:r>
      <w:r>
        <w:rPr>
          <w:color w:val="1D1D1D"/>
          <w:spacing w:val="-6"/>
          <w:sz w:val="22"/>
        </w:rPr>
        <w:t> </w:t>
      </w:r>
      <w:r>
        <w:rPr>
          <w:color w:val="1D1D1D"/>
          <w:sz w:val="22"/>
        </w:rPr>
        <w:t>Corporate Annual</w:t>
      </w:r>
      <w:r>
        <w:rPr>
          <w:color w:val="1D1D1D"/>
          <w:spacing w:val="-1"/>
          <w:sz w:val="22"/>
        </w:rPr>
        <w:t> </w:t>
      </w:r>
      <w:r>
        <w:rPr>
          <w:color w:val="1D1D1D"/>
          <w:sz w:val="22"/>
        </w:rPr>
        <w:t>Action</w:t>
      </w:r>
      <w:r>
        <w:rPr>
          <w:color w:val="1D1D1D"/>
          <w:spacing w:val="-3"/>
          <w:sz w:val="22"/>
        </w:rPr>
        <w:t> </w:t>
      </w:r>
      <w:r>
        <w:rPr>
          <w:color w:val="1D1D1D"/>
          <w:sz w:val="22"/>
        </w:rPr>
        <w:t>Plan where</w:t>
      </w:r>
      <w:r>
        <w:rPr>
          <w:color w:val="1D1D1D"/>
          <w:spacing w:val="-3"/>
          <w:sz w:val="22"/>
        </w:rPr>
        <w:t> </w:t>
      </w:r>
      <w:r>
        <w:rPr>
          <w:color w:val="1D1D1D"/>
          <w:sz w:val="22"/>
        </w:rPr>
        <w:t>the</w:t>
      </w:r>
      <w:r>
        <w:rPr>
          <w:color w:val="1D1D1D"/>
          <w:spacing w:val="-6"/>
          <w:sz w:val="22"/>
        </w:rPr>
        <w:t> </w:t>
      </w:r>
      <w:r>
        <w:rPr>
          <w:color w:val="1D1D1D"/>
          <w:sz w:val="22"/>
        </w:rPr>
        <w:t>performance is</w:t>
      </w:r>
      <w:r>
        <w:rPr>
          <w:color w:val="1D1D1D"/>
          <w:spacing w:val="-6"/>
          <w:sz w:val="22"/>
        </w:rPr>
        <w:t> </w:t>
      </w:r>
      <w:r>
        <w:rPr>
          <w:color w:val="1D1D1D"/>
          <w:sz w:val="22"/>
        </w:rPr>
        <w:t>deteriorating</w:t>
      </w:r>
      <w:r>
        <w:rPr>
          <w:color w:val="1D1D1D"/>
          <w:spacing w:val="23"/>
          <w:sz w:val="22"/>
        </w:rPr>
        <w:t> </w:t>
      </w:r>
      <w:r>
        <w:rPr>
          <w:color w:val="1D1D1D"/>
          <w:sz w:val="22"/>
        </w:rPr>
        <w:t>or</w:t>
      </w:r>
      <w:r>
        <w:rPr>
          <w:color w:val="1D1D1D"/>
          <w:spacing w:val="-9"/>
          <w:sz w:val="22"/>
        </w:rPr>
        <w:t> </w:t>
      </w:r>
      <w:r>
        <w:rPr>
          <w:color w:val="1D1D1D"/>
          <w:sz w:val="22"/>
        </w:rPr>
        <w:t>below target</w:t>
      </w:r>
      <w:r>
        <w:rPr>
          <w:color w:val="545454"/>
          <w:sz w:val="22"/>
        </w:rPr>
        <w:t>, </w:t>
      </w:r>
      <w:r>
        <w:rPr>
          <w:color w:val="1D1D1D"/>
          <w:sz w:val="22"/>
        </w:rPr>
        <w:t>the Panel may refer the matter </w:t>
      </w:r>
      <w:r>
        <w:rPr>
          <w:color w:val="0C0C0C"/>
          <w:sz w:val="22"/>
        </w:rPr>
        <w:t>to </w:t>
      </w:r>
      <w:r>
        <w:rPr>
          <w:color w:val="1D1D1D"/>
          <w:sz w:val="22"/>
        </w:rPr>
        <w:t>Scrutiny. </w:t>
      </w:r>
      <w:r>
        <w:rPr>
          <w:color w:val="0C0C0C"/>
          <w:sz w:val="22"/>
        </w:rPr>
        <w:t>The </w:t>
      </w:r>
      <w:r>
        <w:rPr>
          <w:color w:val="1D1D1D"/>
          <w:sz w:val="22"/>
        </w:rPr>
        <w:t>quarterly performance</w:t>
      </w:r>
      <w:r>
        <w:rPr>
          <w:color w:val="1D1D1D"/>
          <w:spacing w:val="33"/>
          <w:sz w:val="22"/>
        </w:rPr>
        <w:t> </w:t>
      </w:r>
      <w:r>
        <w:rPr>
          <w:color w:val="1D1D1D"/>
          <w:sz w:val="22"/>
        </w:rPr>
        <w:t>report has also been presented to the Executive </w:t>
      </w:r>
      <w:r>
        <w:rPr>
          <w:color w:val="0C0C0C"/>
          <w:sz w:val="22"/>
        </w:rPr>
        <w:t>on a </w:t>
      </w:r>
      <w:r>
        <w:rPr>
          <w:color w:val="1D1D1D"/>
          <w:sz w:val="22"/>
        </w:rPr>
        <w:t>quarterly </w:t>
      </w:r>
      <w:r>
        <w:rPr>
          <w:color w:val="0C0C0C"/>
          <w:sz w:val="22"/>
        </w:rPr>
        <w:t>bas</w:t>
      </w:r>
      <w:r>
        <w:rPr>
          <w:color w:val="363636"/>
          <w:sz w:val="22"/>
        </w:rPr>
        <w:t>i</w:t>
      </w:r>
      <w:r>
        <w:rPr>
          <w:color w:val="1D1D1D"/>
          <w:sz w:val="22"/>
        </w:rPr>
        <w:t>s</w:t>
      </w:r>
      <w:r>
        <w:rPr>
          <w:color w:val="363636"/>
          <w:sz w:val="22"/>
        </w:rPr>
        <w:t>.</w:t>
      </w:r>
    </w:p>
    <w:p>
      <w:pPr>
        <w:pStyle w:val="BodyText"/>
      </w:pPr>
    </w:p>
    <w:p>
      <w:pPr>
        <w:pStyle w:val="ListParagraph"/>
        <w:numPr>
          <w:ilvl w:val="0"/>
          <w:numId w:val="29"/>
        </w:numPr>
        <w:tabs>
          <w:tab w:val="left" w:leader="none" w:pos="944"/>
          <w:tab w:val="left" w:leader="none" w:pos="963"/>
        </w:tabs>
        <w:spacing w:before="1" w:after="0" w:line="240" w:lineRule="auto"/>
        <w:ind w:left="944" w:right="216" w:hanging="687"/>
        <w:jc w:val="left"/>
        <w:rPr>
          <w:color w:val="0C0C0C"/>
          <w:sz w:val="22"/>
        </w:rPr>
      </w:pPr>
      <w:r>
        <w:rPr>
          <w:color w:val="676767"/>
          <w:sz w:val="22"/>
        </w:rPr>
        <w:tab/>
      </w:r>
      <w:r>
        <w:rPr>
          <w:color w:val="0C0C0C"/>
          <w:sz w:val="22"/>
        </w:rPr>
        <w:t>The Financial Monitoring</w:t>
      </w:r>
      <w:r>
        <w:rPr>
          <w:color w:val="0C0C0C"/>
          <w:spacing w:val="23"/>
          <w:sz w:val="22"/>
        </w:rPr>
        <w:t> </w:t>
      </w:r>
      <w:r>
        <w:rPr>
          <w:color w:val="0C0C0C"/>
          <w:sz w:val="22"/>
        </w:rPr>
        <w:t>Panel has</w:t>
      </w:r>
      <w:r>
        <w:rPr>
          <w:color w:val="0C0C0C"/>
          <w:spacing w:val="-1"/>
          <w:sz w:val="22"/>
        </w:rPr>
        <w:t> </w:t>
      </w:r>
      <w:r>
        <w:rPr>
          <w:color w:val="0C0C0C"/>
          <w:sz w:val="22"/>
        </w:rPr>
        <w:t>met on</w:t>
      </w:r>
      <w:r>
        <w:rPr>
          <w:color w:val="0C0C0C"/>
          <w:spacing w:val="-3"/>
          <w:sz w:val="22"/>
        </w:rPr>
        <w:t> </w:t>
      </w:r>
      <w:r>
        <w:rPr>
          <w:color w:val="0C0C0C"/>
          <w:sz w:val="22"/>
        </w:rPr>
        <w:t>a</w:t>
      </w:r>
      <w:r>
        <w:rPr>
          <w:color w:val="0C0C0C"/>
          <w:spacing w:val="-6"/>
          <w:sz w:val="22"/>
        </w:rPr>
        <w:t> </w:t>
      </w:r>
      <w:r>
        <w:rPr>
          <w:color w:val="0C0C0C"/>
          <w:sz w:val="22"/>
        </w:rPr>
        <w:t>monthly </w:t>
      </w:r>
      <w:r>
        <w:rPr>
          <w:color w:val="1D1D1D"/>
          <w:sz w:val="22"/>
        </w:rPr>
        <w:t>basis</w:t>
      </w:r>
      <w:r>
        <w:rPr>
          <w:color w:val="545454"/>
          <w:sz w:val="22"/>
        </w:rPr>
        <w:t>,</w:t>
      </w:r>
      <w:r>
        <w:rPr>
          <w:color w:val="545454"/>
          <w:spacing w:val="-16"/>
          <w:sz w:val="22"/>
        </w:rPr>
        <w:t> </w:t>
      </w:r>
      <w:r>
        <w:rPr>
          <w:color w:val="1D1D1D"/>
          <w:sz w:val="22"/>
        </w:rPr>
        <w:t>since</w:t>
      </w:r>
      <w:r>
        <w:rPr>
          <w:color w:val="1D1D1D"/>
          <w:spacing w:val="-4"/>
          <w:sz w:val="22"/>
        </w:rPr>
        <w:t> </w:t>
      </w:r>
      <w:r>
        <w:rPr>
          <w:color w:val="1D1D1D"/>
          <w:sz w:val="22"/>
        </w:rPr>
        <w:t>the</w:t>
      </w:r>
      <w:r>
        <w:rPr>
          <w:color w:val="1D1D1D"/>
          <w:spacing w:val="-1"/>
          <w:sz w:val="22"/>
        </w:rPr>
        <w:t> </w:t>
      </w:r>
      <w:r>
        <w:rPr>
          <w:color w:val="1D1D1D"/>
          <w:sz w:val="22"/>
        </w:rPr>
        <w:t>end</w:t>
      </w:r>
      <w:r>
        <w:rPr>
          <w:color w:val="1D1D1D"/>
          <w:spacing w:val="-6"/>
          <w:sz w:val="22"/>
        </w:rPr>
        <w:t> </w:t>
      </w:r>
      <w:r>
        <w:rPr>
          <w:color w:val="1D1D1D"/>
          <w:sz w:val="22"/>
        </w:rPr>
        <w:t>of quarter 1,</w:t>
      </w:r>
      <w:r>
        <w:rPr>
          <w:color w:val="1D1D1D"/>
          <w:spacing w:val="-5"/>
          <w:sz w:val="22"/>
        </w:rPr>
        <w:t> </w:t>
      </w:r>
      <w:r>
        <w:rPr>
          <w:color w:val="1D1D1D"/>
          <w:sz w:val="22"/>
        </w:rPr>
        <w:t>to scrutinise </w:t>
      </w:r>
      <w:r>
        <w:rPr>
          <w:color w:val="0C0C0C"/>
          <w:sz w:val="22"/>
        </w:rPr>
        <w:t>the Council's financial performance</w:t>
      </w:r>
      <w:r>
        <w:rPr>
          <w:color w:val="0C0C0C"/>
          <w:spacing w:val="40"/>
          <w:sz w:val="22"/>
        </w:rPr>
        <w:t> </w:t>
      </w:r>
      <w:r>
        <w:rPr>
          <w:color w:val="0C0C0C"/>
          <w:sz w:val="22"/>
        </w:rPr>
        <w:t>(April through </w:t>
      </w:r>
      <w:r>
        <w:rPr>
          <w:color w:val="1D1D1D"/>
          <w:sz w:val="22"/>
        </w:rPr>
        <w:t>to March)</w:t>
      </w:r>
      <w:r>
        <w:rPr>
          <w:color w:val="676767"/>
          <w:sz w:val="22"/>
        </w:rPr>
        <w:t>.</w:t>
      </w:r>
      <w:r>
        <w:rPr>
          <w:color w:val="676767"/>
          <w:spacing w:val="-7"/>
          <w:sz w:val="22"/>
        </w:rPr>
        <w:t> </w:t>
      </w:r>
      <w:r>
        <w:rPr>
          <w:color w:val="0C0C0C"/>
          <w:sz w:val="22"/>
        </w:rPr>
        <w:t>The </w:t>
      </w:r>
      <w:r>
        <w:rPr>
          <w:color w:val="1D1D1D"/>
          <w:sz w:val="22"/>
        </w:rPr>
        <w:t>financial performance</w:t>
      </w:r>
      <w:r>
        <w:rPr>
          <w:color w:val="1D1D1D"/>
          <w:spacing w:val="33"/>
          <w:sz w:val="22"/>
        </w:rPr>
        <w:t> </w:t>
      </w:r>
      <w:r>
        <w:rPr>
          <w:color w:val="363636"/>
          <w:sz w:val="22"/>
        </w:rPr>
        <w:t>is </w:t>
      </w:r>
      <w:r>
        <w:rPr>
          <w:color w:val="0C0C0C"/>
          <w:sz w:val="22"/>
        </w:rPr>
        <w:t>scrutinised in</w:t>
      </w:r>
      <w:r>
        <w:rPr>
          <w:color w:val="0C0C0C"/>
          <w:spacing w:val="-7"/>
          <w:sz w:val="22"/>
        </w:rPr>
        <w:t> </w:t>
      </w:r>
      <w:r>
        <w:rPr>
          <w:color w:val="0C0C0C"/>
          <w:sz w:val="22"/>
        </w:rPr>
        <w:t>detail by the Panel and reported back </w:t>
      </w:r>
      <w:r>
        <w:rPr>
          <w:color w:val="1D1D1D"/>
          <w:sz w:val="22"/>
        </w:rPr>
        <w:t>to</w:t>
      </w:r>
      <w:r>
        <w:rPr>
          <w:color w:val="1D1D1D"/>
          <w:spacing w:val="-2"/>
          <w:sz w:val="22"/>
        </w:rPr>
        <w:t> </w:t>
      </w:r>
      <w:r>
        <w:rPr>
          <w:color w:val="0C0C0C"/>
          <w:sz w:val="22"/>
        </w:rPr>
        <w:t>the</w:t>
      </w:r>
      <w:r>
        <w:rPr>
          <w:color w:val="0C0C0C"/>
          <w:spacing w:val="-3"/>
          <w:sz w:val="22"/>
        </w:rPr>
        <w:t> </w:t>
      </w:r>
      <w:r>
        <w:rPr>
          <w:color w:val="1D1D1D"/>
          <w:sz w:val="22"/>
        </w:rPr>
        <w:t>Operations Review Committee quarterly</w:t>
      </w:r>
      <w:r>
        <w:rPr>
          <w:color w:val="545454"/>
          <w:sz w:val="22"/>
        </w:rPr>
        <w:t>. </w:t>
      </w:r>
      <w:r>
        <w:rPr>
          <w:color w:val="0C0C0C"/>
          <w:sz w:val="22"/>
        </w:rPr>
        <w:t>The Panel were informed of the ongoing impact fro</w:t>
      </w:r>
      <w:r>
        <w:rPr>
          <w:color w:val="363636"/>
          <w:sz w:val="22"/>
        </w:rPr>
        <w:t>m the </w:t>
      </w:r>
      <w:r>
        <w:rPr>
          <w:color w:val="1D1D1D"/>
          <w:sz w:val="22"/>
        </w:rPr>
        <w:t>pandemic</w:t>
      </w:r>
      <w:r>
        <w:rPr>
          <w:color w:val="1D1D1D"/>
          <w:spacing w:val="31"/>
          <w:sz w:val="22"/>
        </w:rPr>
        <w:t> </w:t>
      </w:r>
      <w:r>
        <w:rPr>
          <w:color w:val="1D1D1D"/>
          <w:sz w:val="22"/>
        </w:rPr>
        <w:t>and</w:t>
      </w:r>
      <w:r>
        <w:rPr>
          <w:color w:val="1D1D1D"/>
          <w:spacing w:val="-2"/>
          <w:sz w:val="22"/>
        </w:rPr>
        <w:t> </w:t>
      </w:r>
      <w:r>
        <w:rPr>
          <w:color w:val="1D1D1D"/>
          <w:sz w:val="22"/>
        </w:rPr>
        <w:t>of the</w:t>
      </w:r>
      <w:r>
        <w:rPr>
          <w:color w:val="1D1D1D"/>
          <w:spacing w:val="-2"/>
          <w:sz w:val="22"/>
        </w:rPr>
        <w:t> </w:t>
      </w:r>
      <w:r>
        <w:rPr>
          <w:color w:val="363636"/>
          <w:sz w:val="22"/>
        </w:rPr>
        <w:t>impact </w:t>
      </w:r>
      <w:r>
        <w:rPr>
          <w:color w:val="1D1D1D"/>
          <w:sz w:val="22"/>
        </w:rPr>
        <w:t>of</w:t>
      </w:r>
      <w:r>
        <w:rPr>
          <w:color w:val="1D1D1D"/>
          <w:spacing w:val="-6"/>
          <w:sz w:val="22"/>
        </w:rPr>
        <w:t> </w:t>
      </w:r>
      <w:r>
        <w:rPr>
          <w:color w:val="1D1D1D"/>
          <w:sz w:val="22"/>
        </w:rPr>
        <w:t>the cost </w:t>
      </w:r>
      <w:r>
        <w:rPr>
          <w:color w:val="0C0C0C"/>
          <w:sz w:val="22"/>
        </w:rPr>
        <w:t>of </w:t>
      </w:r>
      <w:r>
        <w:rPr>
          <w:color w:val="1D1D1D"/>
          <w:sz w:val="22"/>
        </w:rPr>
        <w:t>living on</w:t>
      </w:r>
      <w:r>
        <w:rPr>
          <w:color w:val="1D1D1D"/>
          <w:spacing w:val="-1"/>
          <w:sz w:val="22"/>
        </w:rPr>
        <w:t> </w:t>
      </w:r>
      <w:r>
        <w:rPr>
          <w:color w:val="0C0C0C"/>
          <w:sz w:val="22"/>
        </w:rPr>
        <w:t>the </w:t>
      </w:r>
      <w:r>
        <w:rPr>
          <w:color w:val="1D1D1D"/>
          <w:sz w:val="22"/>
        </w:rPr>
        <w:t>Council's </w:t>
      </w:r>
      <w:r>
        <w:rPr>
          <w:color w:val="0C0C0C"/>
          <w:sz w:val="22"/>
        </w:rPr>
        <w:t>services and </w:t>
      </w:r>
      <w:r>
        <w:rPr>
          <w:color w:val="1D1D1D"/>
          <w:sz w:val="22"/>
        </w:rPr>
        <w:t>budgets </w:t>
      </w:r>
      <w:r>
        <w:rPr>
          <w:color w:val="0C0C0C"/>
          <w:sz w:val="22"/>
        </w:rPr>
        <w:t>both in </w:t>
      </w:r>
      <w:r>
        <w:rPr>
          <w:color w:val="1D1D1D"/>
          <w:sz w:val="22"/>
        </w:rPr>
        <w:t>terms of additional cost pressures</w:t>
      </w:r>
      <w:r>
        <w:rPr>
          <w:color w:val="676767"/>
          <w:sz w:val="22"/>
        </w:rPr>
        <w:t>,</w:t>
      </w:r>
      <w:r>
        <w:rPr>
          <w:color w:val="676767"/>
          <w:spacing w:val="-12"/>
          <w:sz w:val="22"/>
        </w:rPr>
        <w:t> </w:t>
      </w:r>
      <w:r>
        <w:rPr>
          <w:color w:val="1D1D1D"/>
          <w:sz w:val="22"/>
        </w:rPr>
        <w:t>the loss of </w:t>
      </w:r>
      <w:r>
        <w:rPr>
          <w:color w:val="0C0C0C"/>
          <w:sz w:val="22"/>
        </w:rPr>
        <w:t>income</w:t>
      </w:r>
      <w:r>
        <w:rPr>
          <w:color w:val="0C0C0C"/>
          <w:spacing w:val="25"/>
          <w:sz w:val="22"/>
        </w:rPr>
        <w:t> </w:t>
      </w:r>
      <w:r>
        <w:rPr>
          <w:color w:val="1D1D1D"/>
          <w:sz w:val="22"/>
        </w:rPr>
        <w:t>from fees </w:t>
      </w:r>
      <w:r>
        <w:rPr>
          <w:color w:val="0C0C0C"/>
          <w:sz w:val="22"/>
        </w:rPr>
        <w:t>and charges and </w:t>
      </w:r>
      <w:r>
        <w:rPr>
          <w:color w:val="1D1D1D"/>
          <w:sz w:val="22"/>
        </w:rPr>
        <w:t>the impact </w:t>
      </w:r>
      <w:r>
        <w:rPr>
          <w:color w:val="0C0C0C"/>
          <w:sz w:val="22"/>
        </w:rPr>
        <w:t>on</w:t>
      </w:r>
      <w:r>
        <w:rPr>
          <w:color w:val="0C0C0C"/>
          <w:spacing w:val="-1"/>
          <w:sz w:val="22"/>
        </w:rPr>
        <w:t> </w:t>
      </w:r>
      <w:r>
        <w:rPr>
          <w:color w:val="0C0C0C"/>
          <w:sz w:val="22"/>
        </w:rPr>
        <w:t>debt collect</w:t>
      </w:r>
      <w:r>
        <w:rPr>
          <w:color w:val="363636"/>
          <w:sz w:val="22"/>
        </w:rPr>
        <w:t>i</w:t>
      </w:r>
      <w:r>
        <w:rPr>
          <w:color w:val="0C0C0C"/>
          <w:sz w:val="22"/>
        </w:rPr>
        <w:t>on and </w:t>
      </w:r>
      <w:r>
        <w:rPr>
          <w:color w:val="1D1D1D"/>
          <w:sz w:val="22"/>
        </w:rPr>
        <w:t>collection </w:t>
      </w:r>
      <w:r>
        <w:rPr>
          <w:color w:val="0C0C0C"/>
          <w:sz w:val="22"/>
        </w:rPr>
        <w:t>rates</w:t>
      </w:r>
      <w:r>
        <w:rPr>
          <w:color w:val="363636"/>
          <w:sz w:val="22"/>
        </w:rPr>
        <w:t>.</w:t>
      </w:r>
      <w:r>
        <w:rPr>
          <w:color w:val="363636"/>
          <w:spacing w:val="-9"/>
          <w:sz w:val="22"/>
        </w:rPr>
        <w:t> </w:t>
      </w:r>
      <w:r>
        <w:rPr>
          <w:color w:val="0C0C0C"/>
          <w:sz w:val="22"/>
        </w:rPr>
        <w:t>The Panel were also advised how the Covid-19 reserve would be utilised </w:t>
      </w:r>
      <w:r>
        <w:rPr>
          <w:color w:val="1D1D1D"/>
          <w:sz w:val="22"/>
        </w:rPr>
        <w:t>in </w:t>
      </w:r>
      <w:r>
        <w:rPr>
          <w:color w:val="0C0C0C"/>
          <w:sz w:val="22"/>
        </w:rPr>
        <w:t>2022/23</w:t>
      </w:r>
      <w:r>
        <w:rPr>
          <w:color w:val="676767"/>
          <w:sz w:val="22"/>
        </w:rPr>
        <w:t>.</w:t>
      </w:r>
    </w:p>
    <w:p>
      <w:pPr>
        <w:pStyle w:val="BodyText"/>
        <w:spacing w:before="7"/>
        <w:ind w:left="942"/>
      </w:pPr>
      <w:r>
        <w:rPr>
          <w:color w:val="0C0C0C"/>
          <w:spacing w:val="-2"/>
          <w:u w:val="thick" w:color="0C0C0C"/>
        </w:rPr>
        <w:t>Procurement</w:t>
      </w:r>
    </w:p>
    <w:p>
      <w:pPr>
        <w:pStyle w:val="BodyText"/>
        <w:spacing w:before="3"/>
      </w:pPr>
    </w:p>
    <w:p>
      <w:pPr>
        <w:pStyle w:val="ListParagraph"/>
        <w:numPr>
          <w:ilvl w:val="0"/>
          <w:numId w:val="29"/>
        </w:numPr>
        <w:tabs>
          <w:tab w:val="left" w:leader="none" w:pos="939"/>
        </w:tabs>
        <w:spacing w:before="0" w:after="0" w:line="240" w:lineRule="auto"/>
        <w:ind w:left="939" w:right="0" w:hanging="706"/>
        <w:jc w:val="left"/>
        <w:rPr>
          <w:color w:val="0C0C0C"/>
          <w:sz w:val="22"/>
        </w:rPr>
      </w:pPr>
      <w:r>
        <w:rPr>
          <w:color w:val="0C0C0C"/>
          <w:sz w:val="22"/>
        </w:rPr>
        <w:t>The</w:t>
      </w:r>
      <w:r>
        <w:rPr>
          <w:color w:val="0C0C0C"/>
          <w:spacing w:val="-2"/>
          <w:sz w:val="22"/>
        </w:rPr>
        <w:t> </w:t>
      </w:r>
      <w:r>
        <w:rPr>
          <w:color w:val="0C0C0C"/>
          <w:sz w:val="22"/>
        </w:rPr>
        <w:t>Council</w:t>
      </w:r>
      <w:r>
        <w:rPr>
          <w:color w:val="0C0C0C"/>
          <w:spacing w:val="8"/>
          <w:sz w:val="22"/>
        </w:rPr>
        <w:t> </w:t>
      </w:r>
      <w:r>
        <w:rPr>
          <w:color w:val="0C0C0C"/>
          <w:sz w:val="22"/>
        </w:rPr>
        <w:t>aims</w:t>
      </w:r>
      <w:r>
        <w:rPr>
          <w:color w:val="0C0C0C"/>
          <w:spacing w:val="-6"/>
          <w:sz w:val="22"/>
        </w:rPr>
        <w:t> </w:t>
      </w:r>
      <w:r>
        <w:rPr>
          <w:color w:val="0C0C0C"/>
          <w:sz w:val="22"/>
        </w:rPr>
        <w:t>to</w:t>
      </w:r>
      <w:r>
        <w:rPr>
          <w:color w:val="0C0C0C"/>
          <w:spacing w:val="-1"/>
          <w:sz w:val="22"/>
        </w:rPr>
        <w:t> </w:t>
      </w:r>
      <w:r>
        <w:rPr>
          <w:color w:val="0C0C0C"/>
          <w:sz w:val="22"/>
        </w:rPr>
        <w:t>use</w:t>
      </w:r>
      <w:r>
        <w:rPr>
          <w:color w:val="0C0C0C"/>
          <w:spacing w:val="-3"/>
          <w:sz w:val="22"/>
        </w:rPr>
        <w:t> </w:t>
      </w:r>
      <w:r>
        <w:rPr>
          <w:color w:val="1D1D1D"/>
          <w:sz w:val="22"/>
        </w:rPr>
        <w:t>its</w:t>
      </w:r>
      <w:r>
        <w:rPr>
          <w:color w:val="1D1D1D"/>
          <w:spacing w:val="-1"/>
          <w:sz w:val="22"/>
        </w:rPr>
        <w:t> </w:t>
      </w:r>
      <w:r>
        <w:rPr>
          <w:color w:val="0C0C0C"/>
          <w:sz w:val="22"/>
        </w:rPr>
        <w:t>resources</w:t>
      </w:r>
      <w:r>
        <w:rPr>
          <w:color w:val="0C0C0C"/>
          <w:spacing w:val="8"/>
          <w:sz w:val="22"/>
        </w:rPr>
        <w:t> </w:t>
      </w:r>
      <w:r>
        <w:rPr>
          <w:color w:val="0C0C0C"/>
          <w:sz w:val="22"/>
        </w:rPr>
        <w:t>efficiently,</w:t>
      </w:r>
      <w:r>
        <w:rPr>
          <w:color w:val="0C0C0C"/>
          <w:spacing w:val="15"/>
          <w:sz w:val="22"/>
        </w:rPr>
        <w:t> </w:t>
      </w:r>
      <w:r>
        <w:rPr>
          <w:color w:val="0C0C0C"/>
          <w:sz w:val="22"/>
        </w:rPr>
        <w:t>effectively</w:t>
      </w:r>
      <w:r>
        <w:rPr>
          <w:color w:val="0C0C0C"/>
          <w:spacing w:val="13"/>
          <w:sz w:val="22"/>
        </w:rPr>
        <w:t> </w:t>
      </w:r>
      <w:r>
        <w:rPr>
          <w:color w:val="0C0C0C"/>
          <w:sz w:val="22"/>
        </w:rPr>
        <w:t>and</w:t>
      </w:r>
      <w:r>
        <w:rPr>
          <w:color w:val="0C0C0C"/>
          <w:spacing w:val="-6"/>
          <w:sz w:val="22"/>
        </w:rPr>
        <w:t> </w:t>
      </w:r>
      <w:r>
        <w:rPr>
          <w:color w:val="0C0C0C"/>
          <w:spacing w:val="-2"/>
          <w:sz w:val="22"/>
        </w:rPr>
        <w:t>economically.</w:t>
      </w:r>
    </w:p>
    <w:p>
      <w:pPr>
        <w:pStyle w:val="ListParagraph"/>
        <w:numPr>
          <w:ilvl w:val="0"/>
          <w:numId w:val="29"/>
        </w:numPr>
        <w:tabs>
          <w:tab w:val="left" w:leader="none" w:pos="923"/>
          <w:tab w:val="left" w:leader="none" w:pos="929"/>
        </w:tabs>
        <w:spacing w:before="252" w:after="0" w:line="240" w:lineRule="auto"/>
        <w:ind w:left="923" w:right="202" w:hanging="701"/>
        <w:jc w:val="left"/>
        <w:rPr>
          <w:color w:val="0C0C0C"/>
          <w:sz w:val="22"/>
        </w:rPr>
      </w:pPr>
      <w:r>
        <w:rPr>
          <w:color w:val="676767"/>
          <w:sz w:val="22"/>
        </w:rPr>
        <w:tab/>
      </w:r>
      <w:r>
        <w:rPr>
          <w:color w:val="0C0C0C"/>
          <w:sz w:val="22"/>
        </w:rPr>
        <w:t>The Council has a robust </w:t>
      </w:r>
      <w:r>
        <w:rPr>
          <w:color w:val="1D1D1D"/>
          <w:sz w:val="22"/>
        </w:rPr>
        <w:t>set of documentation </w:t>
      </w:r>
      <w:r>
        <w:rPr>
          <w:color w:val="0C0C0C"/>
          <w:sz w:val="22"/>
        </w:rPr>
        <w:t>to provide </w:t>
      </w:r>
      <w:r>
        <w:rPr>
          <w:color w:val="1D1D1D"/>
          <w:sz w:val="22"/>
        </w:rPr>
        <w:t>guidance </w:t>
      </w:r>
      <w:r>
        <w:rPr>
          <w:color w:val="0C0C0C"/>
          <w:sz w:val="22"/>
        </w:rPr>
        <w:t>and advice to </w:t>
      </w:r>
      <w:r>
        <w:rPr>
          <w:color w:val="1D1D1D"/>
          <w:sz w:val="22"/>
        </w:rPr>
        <w:t>Members </w:t>
      </w:r>
      <w:r>
        <w:rPr>
          <w:color w:val="0C0C0C"/>
          <w:sz w:val="22"/>
        </w:rPr>
        <w:t>and officers to ensure that </w:t>
      </w:r>
      <w:r>
        <w:rPr>
          <w:color w:val="1D1D1D"/>
          <w:sz w:val="22"/>
        </w:rPr>
        <w:t>Procurement</w:t>
      </w:r>
      <w:r>
        <w:rPr>
          <w:color w:val="1D1D1D"/>
          <w:spacing w:val="40"/>
          <w:sz w:val="22"/>
        </w:rPr>
        <w:t> </w:t>
      </w:r>
      <w:r>
        <w:rPr>
          <w:color w:val="1D1D1D"/>
          <w:sz w:val="22"/>
        </w:rPr>
        <w:t>is carried </w:t>
      </w:r>
      <w:r>
        <w:rPr>
          <w:color w:val="0C0C0C"/>
          <w:sz w:val="22"/>
        </w:rPr>
        <w:t>out in an </w:t>
      </w:r>
      <w:r>
        <w:rPr>
          <w:color w:val="1D1D1D"/>
          <w:sz w:val="22"/>
        </w:rPr>
        <w:t>effective </w:t>
      </w:r>
      <w:r>
        <w:rPr>
          <w:color w:val="0C0C0C"/>
          <w:sz w:val="22"/>
        </w:rPr>
        <w:t>and ethical manner</w:t>
      </w:r>
      <w:r>
        <w:rPr>
          <w:color w:val="363636"/>
          <w:sz w:val="22"/>
        </w:rPr>
        <w:t>.</w:t>
      </w:r>
      <w:r>
        <w:rPr>
          <w:color w:val="363636"/>
          <w:spacing w:val="-2"/>
          <w:sz w:val="22"/>
        </w:rPr>
        <w:t> </w:t>
      </w:r>
      <w:r>
        <w:rPr>
          <w:color w:val="1D1D1D"/>
          <w:sz w:val="22"/>
        </w:rPr>
        <w:t>This documentation</w:t>
      </w:r>
      <w:r>
        <w:rPr>
          <w:color w:val="1D1D1D"/>
          <w:spacing w:val="30"/>
          <w:sz w:val="22"/>
        </w:rPr>
        <w:t> </w:t>
      </w:r>
      <w:r>
        <w:rPr>
          <w:color w:val="1D1D1D"/>
          <w:sz w:val="22"/>
        </w:rPr>
        <w:t>includes the</w:t>
      </w:r>
      <w:r>
        <w:rPr>
          <w:color w:val="1D1D1D"/>
          <w:spacing w:val="-1"/>
          <w:sz w:val="22"/>
        </w:rPr>
        <w:t> </w:t>
      </w:r>
      <w:r>
        <w:rPr>
          <w:color w:val="0C0C0C"/>
          <w:sz w:val="22"/>
        </w:rPr>
        <w:t>Procurement</w:t>
      </w:r>
      <w:r>
        <w:rPr>
          <w:color w:val="0C0C0C"/>
          <w:spacing w:val="36"/>
          <w:sz w:val="22"/>
        </w:rPr>
        <w:t> </w:t>
      </w:r>
      <w:r>
        <w:rPr>
          <w:color w:val="0C0C0C"/>
          <w:sz w:val="22"/>
        </w:rPr>
        <w:t>Strategy</w:t>
      </w:r>
      <w:r>
        <w:rPr>
          <w:color w:val="545454"/>
          <w:sz w:val="22"/>
        </w:rPr>
        <w:t>,</w:t>
      </w:r>
      <w:r>
        <w:rPr>
          <w:color w:val="545454"/>
          <w:spacing w:val="-14"/>
          <w:sz w:val="22"/>
        </w:rPr>
        <w:t> </w:t>
      </w:r>
      <w:r>
        <w:rPr>
          <w:color w:val="0C0C0C"/>
          <w:sz w:val="22"/>
        </w:rPr>
        <w:t>Contract Procedu</w:t>
      </w:r>
      <w:r>
        <w:rPr>
          <w:color w:val="363636"/>
          <w:sz w:val="22"/>
        </w:rPr>
        <w:t>r</w:t>
      </w:r>
      <w:r>
        <w:rPr>
          <w:color w:val="0C0C0C"/>
          <w:sz w:val="22"/>
        </w:rPr>
        <w:t>e</w:t>
      </w:r>
      <w:r>
        <w:rPr>
          <w:color w:val="0C0C0C"/>
          <w:spacing w:val="-3"/>
          <w:sz w:val="22"/>
        </w:rPr>
        <w:t> </w:t>
      </w:r>
      <w:r>
        <w:rPr>
          <w:color w:val="0C0C0C"/>
          <w:sz w:val="22"/>
        </w:rPr>
        <w:t>Rules and the </w:t>
      </w:r>
      <w:r>
        <w:rPr>
          <w:color w:val="1D1D1D"/>
          <w:sz w:val="22"/>
        </w:rPr>
        <w:t>Procurement Handbook.</w:t>
      </w:r>
      <w:r>
        <w:rPr>
          <w:color w:val="1D1D1D"/>
          <w:spacing w:val="40"/>
          <w:sz w:val="22"/>
        </w:rPr>
        <w:t> </w:t>
      </w:r>
      <w:r>
        <w:rPr>
          <w:color w:val="0C0C0C"/>
          <w:sz w:val="22"/>
        </w:rPr>
        <w:t>These </w:t>
      </w:r>
      <w:r>
        <w:rPr>
          <w:color w:val="1D1D1D"/>
          <w:sz w:val="22"/>
        </w:rPr>
        <w:t>documents </w:t>
      </w:r>
      <w:r>
        <w:rPr>
          <w:color w:val="0C0C0C"/>
          <w:sz w:val="22"/>
        </w:rPr>
        <w:t>are regularly reviewed to reflect </w:t>
      </w:r>
      <w:r>
        <w:rPr>
          <w:color w:val="1D1D1D"/>
          <w:sz w:val="22"/>
        </w:rPr>
        <w:t>changes </w:t>
      </w:r>
      <w:r>
        <w:rPr>
          <w:color w:val="0C0C0C"/>
          <w:sz w:val="22"/>
        </w:rPr>
        <w:t>in</w:t>
      </w:r>
      <w:r>
        <w:rPr>
          <w:color w:val="0C0C0C"/>
          <w:spacing w:val="-2"/>
          <w:sz w:val="22"/>
        </w:rPr>
        <w:t> </w:t>
      </w:r>
      <w:r>
        <w:rPr>
          <w:color w:val="0C0C0C"/>
          <w:sz w:val="22"/>
        </w:rPr>
        <w:t>local requirements</w:t>
      </w:r>
      <w:r>
        <w:rPr>
          <w:color w:val="363636"/>
          <w:sz w:val="22"/>
        </w:rPr>
        <w:t>,</w:t>
      </w:r>
      <w:r>
        <w:rPr>
          <w:color w:val="363636"/>
          <w:spacing w:val="-18"/>
          <w:sz w:val="22"/>
        </w:rPr>
        <w:t> </w:t>
      </w:r>
      <w:r>
        <w:rPr>
          <w:color w:val="0C0C0C"/>
          <w:sz w:val="22"/>
        </w:rPr>
        <w:t>EU </w:t>
      </w:r>
      <w:r>
        <w:rPr>
          <w:color w:val="1D1D1D"/>
          <w:sz w:val="22"/>
        </w:rPr>
        <w:t>policy and legislation and general good practice</w:t>
      </w:r>
      <w:r>
        <w:rPr>
          <w:color w:val="545454"/>
          <w:sz w:val="22"/>
        </w:rPr>
        <w:t>.</w:t>
      </w:r>
      <w:r>
        <w:rPr>
          <w:color w:val="545454"/>
          <w:spacing w:val="-8"/>
          <w:sz w:val="22"/>
        </w:rPr>
        <w:t> </w:t>
      </w:r>
      <w:r>
        <w:rPr>
          <w:color w:val="1D1D1D"/>
          <w:sz w:val="22"/>
        </w:rPr>
        <w:t>The Procurement</w:t>
      </w:r>
      <w:r>
        <w:rPr>
          <w:color w:val="1D1D1D"/>
          <w:spacing w:val="40"/>
          <w:sz w:val="22"/>
        </w:rPr>
        <w:t> </w:t>
      </w:r>
      <w:r>
        <w:rPr>
          <w:color w:val="1D1D1D"/>
          <w:sz w:val="22"/>
        </w:rPr>
        <w:t>Strategy 2020</w:t>
      </w:r>
      <w:r>
        <w:rPr>
          <w:color w:val="1D1D1D"/>
          <w:spacing w:val="-2"/>
          <w:sz w:val="22"/>
        </w:rPr>
        <w:t> </w:t>
      </w:r>
      <w:r>
        <w:rPr>
          <w:color w:val="1D1D1D"/>
          <w:sz w:val="22"/>
        </w:rPr>
        <w:t>to </w:t>
      </w:r>
      <w:r>
        <w:rPr>
          <w:color w:val="0C0C0C"/>
          <w:sz w:val="22"/>
        </w:rPr>
        <w:t>2023 </w:t>
      </w:r>
      <w:r>
        <w:rPr>
          <w:color w:val="1D1D1D"/>
          <w:sz w:val="22"/>
        </w:rPr>
        <w:t>was approved by the Council </w:t>
      </w:r>
      <w:r>
        <w:rPr>
          <w:color w:val="363636"/>
          <w:sz w:val="22"/>
        </w:rPr>
        <w:t>in</w:t>
      </w:r>
      <w:r>
        <w:rPr>
          <w:color w:val="363636"/>
          <w:spacing w:val="-4"/>
          <w:sz w:val="22"/>
        </w:rPr>
        <w:t> </w:t>
      </w:r>
      <w:r>
        <w:rPr>
          <w:color w:val="1D1D1D"/>
          <w:sz w:val="22"/>
        </w:rPr>
        <w:t>September</w:t>
      </w:r>
      <w:r>
        <w:rPr>
          <w:color w:val="1D1D1D"/>
          <w:spacing w:val="33"/>
          <w:sz w:val="22"/>
        </w:rPr>
        <w:t> </w:t>
      </w:r>
      <w:r>
        <w:rPr>
          <w:color w:val="1D1D1D"/>
          <w:sz w:val="22"/>
        </w:rPr>
        <w:t>2020 and</w:t>
      </w:r>
      <w:r>
        <w:rPr>
          <w:color w:val="1D1D1D"/>
          <w:spacing w:val="-3"/>
          <w:sz w:val="22"/>
        </w:rPr>
        <w:t> </w:t>
      </w:r>
      <w:r>
        <w:rPr>
          <w:color w:val="363636"/>
          <w:sz w:val="22"/>
        </w:rPr>
        <w:t>is </w:t>
      </w:r>
      <w:r>
        <w:rPr>
          <w:color w:val="1D1D1D"/>
          <w:sz w:val="22"/>
        </w:rPr>
        <w:t>due to be reviewed during 2023/24. Both the Contract </w:t>
      </w:r>
      <w:r>
        <w:rPr>
          <w:color w:val="0C0C0C"/>
          <w:sz w:val="22"/>
        </w:rPr>
        <w:t>Procedure </w:t>
      </w:r>
      <w:r>
        <w:rPr>
          <w:color w:val="1D1D1D"/>
          <w:sz w:val="22"/>
        </w:rPr>
        <w:t>Rules</w:t>
      </w:r>
      <w:r>
        <w:rPr>
          <w:color w:val="1D1D1D"/>
          <w:spacing w:val="-1"/>
          <w:sz w:val="22"/>
        </w:rPr>
        <w:t> </w:t>
      </w:r>
      <w:r>
        <w:rPr>
          <w:color w:val="1D1D1D"/>
          <w:sz w:val="22"/>
        </w:rPr>
        <w:t>and</w:t>
      </w:r>
      <w:r>
        <w:rPr>
          <w:color w:val="1D1D1D"/>
          <w:spacing w:val="-9"/>
          <w:sz w:val="22"/>
        </w:rPr>
        <w:t> </w:t>
      </w:r>
      <w:r>
        <w:rPr>
          <w:color w:val="1D1D1D"/>
          <w:sz w:val="22"/>
        </w:rPr>
        <w:t>Procurement Handbook</w:t>
      </w:r>
      <w:r>
        <w:rPr>
          <w:color w:val="1D1D1D"/>
          <w:spacing w:val="21"/>
          <w:sz w:val="22"/>
        </w:rPr>
        <w:t> </w:t>
      </w:r>
      <w:r>
        <w:rPr>
          <w:color w:val="1D1D1D"/>
          <w:sz w:val="22"/>
        </w:rPr>
        <w:t>were</w:t>
      </w:r>
      <w:r>
        <w:rPr>
          <w:color w:val="1D1D1D"/>
          <w:spacing w:val="-1"/>
          <w:sz w:val="22"/>
        </w:rPr>
        <w:t> </w:t>
      </w:r>
      <w:r>
        <w:rPr>
          <w:color w:val="1D1D1D"/>
          <w:sz w:val="22"/>
        </w:rPr>
        <w:t>updated</w:t>
      </w:r>
      <w:r>
        <w:rPr>
          <w:color w:val="1D1D1D"/>
          <w:spacing w:val="-7"/>
          <w:sz w:val="22"/>
        </w:rPr>
        <w:t> </w:t>
      </w:r>
      <w:r>
        <w:rPr>
          <w:color w:val="0C0C0C"/>
          <w:sz w:val="22"/>
        </w:rPr>
        <w:t>and</w:t>
      </w:r>
      <w:r>
        <w:rPr>
          <w:color w:val="0C0C0C"/>
          <w:spacing w:val="-9"/>
          <w:sz w:val="22"/>
        </w:rPr>
        <w:t> </w:t>
      </w:r>
      <w:r>
        <w:rPr>
          <w:color w:val="1D1D1D"/>
          <w:sz w:val="22"/>
        </w:rPr>
        <w:t>approved </w:t>
      </w:r>
      <w:r>
        <w:rPr>
          <w:color w:val="0C0C0C"/>
          <w:sz w:val="22"/>
        </w:rPr>
        <w:t>during</w:t>
      </w:r>
      <w:r>
        <w:rPr>
          <w:color w:val="0C0C0C"/>
          <w:spacing w:val="-1"/>
          <w:sz w:val="22"/>
        </w:rPr>
        <w:t> </w:t>
      </w:r>
      <w:r>
        <w:rPr>
          <w:color w:val="1D1D1D"/>
          <w:sz w:val="22"/>
        </w:rPr>
        <w:t>2021/22.</w:t>
      </w:r>
    </w:p>
    <w:p>
      <w:pPr>
        <w:pStyle w:val="ListParagraph"/>
        <w:numPr>
          <w:ilvl w:val="0"/>
          <w:numId w:val="29"/>
        </w:numPr>
        <w:tabs>
          <w:tab w:val="left" w:leader="none" w:pos="906"/>
          <w:tab w:val="left" w:leader="none" w:pos="915"/>
        </w:tabs>
        <w:spacing w:before="249" w:after="0" w:line="237" w:lineRule="auto"/>
        <w:ind w:left="906" w:right="693" w:hanging="703"/>
        <w:jc w:val="left"/>
        <w:rPr>
          <w:color w:val="0C0C0C"/>
          <w:sz w:val="22"/>
        </w:rPr>
      </w:pPr>
      <w:r>
        <w:rPr>
          <w:color w:val="0C0C0C"/>
          <w:sz w:val="22"/>
        </w:rPr>
        <w:tab/>
      </w:r>
      <w:r>
        <w:rPr>
          <w:color w:val="1D1D1D"/>
          <w:sz w:val="22"/>
        </w:rPr>
        <w:t>To</w:t>
      </w:r>
      <w:r>
        <w:rPr>
          <w:color w:val="1D1D1D"/>
          <w:spacing w:val="-6"/>
          <w:sz w:val="22"/>
        </w:rPr>
        <w:t> </w:t>
      </w:r>
      <w:r>
        <w:rPr>
          <w:color w:val="1D1D1D"/>
          <w:sz w:val="22"/>
        </w:rPr>
        <w:t>ensure compliance </w:t>
      </w:r>
      <w:r>
        <w:rPr>
          <w:color w:val="0C0C0C"/>
          <w:sz w:val="22"/>
        </w:rPr>
        <w:t>w</w:t>
      </w:r>
      <w:r>
        <w:rPr>
          <w:color w:val="363636"/>
          <w:sz w:val="22"/>
        </w:rPr>
        <w:t>i</w:t>
      </w:r>
      <w:r>
        <w:rPr>
          <w:color w:val="1D1D1D"/>
          <w:sz w:val="22"/>
        </w:rPr>
        <w:t>th</w:t>
      </w:r>
      <w:r>
        <w:rPr>
          <w:color w:val="1D1D1D"/>
          <w:spacing w:val="-11"/>
          <w:sz w:val="22"/>
        </w:rPr>
        <w:t> </w:t>
      </w:r>
      <w:r>
        <w:rPr>
          <w:color w:val="1D1D1D"/>
          <w:sz w:val="22"/>
        </w:rPr>
        <w:t>these rules</w:t>
      </w:r>
      <w:r>
        <w:rPr>
          <w:color w:val="545454"/>
          <w:sz w:val="22"/>
        </w:rPr>
        <w:t>,</w:t>
      </w:r>
      <w:r>
        <w:rPr>
          <w:color w:val="545454"/>
          <w:spacing w:val="-17"/>
          <w:sz w:val="22"/>
        </w:rPr>
        <w:t> </w:t>
      </w:r>
      <w:r>
        <w:rPr>
          <w:color w:val="1D1D1D"/>
          <w:sz w:val="22"/>
        </w:rPr>
        <w:t>an</w:t>
      </w:r>
      <w:r>
        <w:rPr>
          <w:color w:val="1D1D1D"/>
          <w:spacing w:val="-3"/>
          <w:sz w:val="22"/>
        </w:rPr>
        <w:t> </w:t>
      </w:r>
      <w:r>
        <w:rPr>
          <w:color w:val="1D1D1D"/>
          <w:sz w:val="22"/>
        </w:rPr>
        <w:t>expenditure report </w:t>
      </w:r>
      <w:r>
        <w:rPr>
          <w:color w:val="363636"/>
          <w:sz w:val="22"/>
        </w:rPr>
        <w:t>is</w:t>
      </w:r>
      <w:r>
        <w:rPr>
          <w:color w:val="363636"/>
          <w:spacing w:val="-10"/>
          <w:sz w:val="22"/>
        </w:rPr>
        <w:t> </w:t>
      </w:r>
      <w:r>
        <w:rPr>
          <w:color w:val="363636"/>
          <w:sz w:val="22"/>
        </w:rPr>
        <w:t>run </w:t>
      </w:r>
      <w:r>
        <w:rPr>
          <w:color w:val="0C0C0C"/>
          <w:sz w:val="22"/>
        </w:rPr>
        <w:t>on a six-monthly basis </w:t>
      </w:r>
      <w:r>
        <w:rPr>
          <w:color w:val="1D1D1D"/>
          <w:sz w:val="22"/>
        </w:rPr>
        <w:t>and mapped against the contract list. An exception </w:t>
      </w:r>
      <w:r>
        <w:rPr>
          <w:color w:val="363636"/>
          <w:sz w:val="22"/>
        </w:rPr>
        <w:t>list</w:t>
      </w:r>
      <w:r>
        <w:rPr>
          <w:color w:val="363636"/>
          <w:spacing w:val="-2"/>
          <w:sz w:val="22"/>
        </w:rPr>
        <w:t> </w:t>
      </w:r>
      <w:r>
        <w:rPr>
          <w:color w:val="0C0C0C"/>
          <w:sz w:val="22"/>
        </w:rPr>
        <w:t>is</w:t>
      </w:r>
      <w:r>
        <w:rPr>
          <w:color w:val="0C0C0C"/>
          <w:spacing w:val="-2"/>
          <w:sz w:val="22"/>
        </w:rPr>
        <w:t> </w:t>
      </w:r>
      <w:r>
        <w:rPr>
          <w:color w:val="1D1D1D"/>
          <w:sz w:val="22"/>
        </w:rPr>
        <w:t>then </w:t>
      </w:r>
      <w:r>
        <w:rPr>
          <w:color w:val="0C0C0C"/>
          <w:sz w:val="22"/>
        </w:rPr>
        <w:t>produced and, whe</w:t>
      </w:r>
      <w:r>
        <w:rPr>
          <w:color w:val="363636"/>
          <w:sz w:val="22"/>
        </w:rPr>
        <w:t>r</w:t>
      </w:r>
      <w:r>
        <w:rPr>
          <w:color w:val="1D1D1D"/>
          <w:sz w:val="22"/>
        </w:rPr>
        <w:t>e possible, non­ compliance is highlighted.</w:t>
      </w:r>
      <w:r>
        <w:rPr>
          <w:color w:val="1D1D1D"/>
          <w:spacing w:val="39"/>
          <w:sz w:val="22"/>
        </w:rPr>
        <w:t> </w:t>
      </w:r>
      <w:r>
        <w:rPr>
          <w:color w:val="1D1D1D"/>
          <w:sz w:val="22"/>
        </w:rPr>
        <w:t>Officers are then required </w:t>
      </w:r>
      <w:r>
        <w:rPr>
          <w:color w:val="0C0C0C"/>
          <w:sz w:val="22"/>
        </w:rPr>
        <w:t>to provide an</w:t>
      </w:r>
      <w:r>
        <w:rPr>
          <w:color w:val="0C0C0C"/>
          <w:spacing w:val="-2"/>
          <w:sz w:val="22"/>
        </w:rPr>
        <w:t> </w:t>
      </w:r>
      <w:r>
        <w:rPr>
          <w:color w:val="0C0C0C"/>
          <w:sz w:val="22"/>
        </w:rPr>
        <w:t>explanation of this non­ </w:t>
      </w:r>
      <w:r>
        <w:rPr>
          <w:color w:val="1D1D1D"/>
          <w:sz w:val="22"/>
        </w:rPr>
        <w:t>compliance and</w:t>
      </w:r>
      <w:r>
        <w:rPr>
          <w:color w:val="1D1D1D"/>
          <w:spacing w:val="-2"/>
          <w:sz w:val="22"/>
        </w:rPr>
        <w:t> </w:t>
      </w:r>
      <w:r>
        <w:rPr>
          <w:color w:val="1D1D1D"/>
          <w:sz w:val="22"/>
        </w:rPr>
        <w:t>then put into place an action plan </w:t>
      </w:r>
      <w:r>
        <w:rPr>
          <w:color w:val="0C0C0C"/>
          <w:sz w:val="22"/>
        </w:rPr>
        <w:t>to address this.</w:t>
      </w:r>
    </w:p>
    <w:p>
      <w:pPr>
        <w:spacing w:after="0" w:line="237" w:lineRule="auto"/>
        <w:jc w:val="left"/>
        <w:rPr>
          <w:sz w:val="22"/>
        </w:rPr>
        <w:sectPr>
          <w:pgSz w:w="11910" w:h="16830"/>
          <w:pgMar w:top="1020" w:right="540" w:bottom="1200" w:left="440" w:header="848" w:footer="1012"/>
        </w:sectPr>
      </w:pPr>
    </w:p>
    <w:p>
      <w:pPr>
        <w:pStyle w:val="BodyText"/>
        <w:spacing w:before="236"/>
      </w:pPr>
    </w:p>
    <w:p>
      <w:pPr>
        <w:pStyle w:val="ListParagraph"/>
        <w:numPr>
          <w:ilvl w:val="0"/>
          <w:numId w:val="29"/>
        </w:numPr>
        <w:tabs>
          <w:tab w:val="left" w:leader="none" w:pos="852"/>
          <w:tab w:val="left" w:leader="none" w:pos="854"/>
        </w:tabs>
        <w:spacing w:before="0" w:after="0" w:line="240" w:lineRule="auto"/>
        <w:ind w:left="854" w:right="519" w:hanging="704"/>
        <w:jc w:val="left"/>
        <w:rPr>
          <w:color w:val="0C0C0C"/>
          <w:sz w:val="22"/>
        </w:rPr>
      </w:pPr>
      <w:r>
        <w:rPr>
          <w:color w:val="0C0C0C"/>
          <w:sz w:val="22"/>
        </w:rPr>
        <w:t>The</w:t>
      </w:r>
      <w:r>
        <w:rPr>
          <w:color w:val="0C0C0C"/>
          <w:spacing w:val="-9"/>
          <w:sz w:val="22"/>
        </w:rPr>
        <w:t> </w:t>
      </w:r>
      <w:r>
        <w:rPr>
          <w:color w:val="0C0C0C"/>
          <w:sz w:val="22"/>
        </w:rPr>
        <w:t>Council</w:t>
      </w:r>
      <w:r>
        <w:rPr>
          <w:color w:val="0C0C0C"/>
          <w:spacing w:val="-12"/>
          <w:sz w:val="22"/>
        </w:rPr>
        <w:t> </w:t>
      </w:r>
      <w:r>
        <w:rPr>
          <w:color w:val="0C0C0C"/>
          <w:sz w:val="22"/>
        </w:rPr>
        <w:t>has</w:t>
      </w:r>
      <w:r>
        <w:rPr>
          <w:color w:val="0C0C0C"/>
          <w:spacing w:val="-7"/>
          <w:sz w:val="22"/>
        </w:rPr>
        <w:t> </w:t>
      </w:r>
      <w:r>
        <w:rPr>
          <w:color w:val="1D1D1D"/>
          <w:sz w:val="22"/>
        </w:rPr>
        <w:t>a</w:t>
      </w:r>
      <w:r>
        <w:rPr>
          <w:color w:val="1D1D1D"/>
          <w:spacing w:val="-16"/>
          <w:sz w:val="22"/>
        </w:rPr>
        <w:t> </w:t>
      </w:r>
      <w:r>
        <w:rPr>
          <w:color w:val="0C0C0C"/>
          <w:sz w:val="22"/>
        </w:rPr>
        <w:t>full</w:t>
      </w:r>
      <w:r>
        <w:rPr>
          <w:color w:val="0C0C0C"/>
          <w:spacing w:val="-9"/>
          <w:sz w:val="22"/>
        </w:rPr>
        <w:t> </w:t>
      </w:r>
      <w:r>
        <w:rPr>
          <w:color w:val="0C0C0C"/>
          <w:sz w:val="22"/>
        </w:rPr>
        <w:t>e-tendering package</w:t>
      </w:r>
      <w:r>
        <w:rPr>
          <w:color w:val="0C0C0C"/>
          <w:spacing w:val="-1"/>
          <w:sz w:val="22"/>
        </w:rPr>
        <w:t> </w:t>
      </w:r>
      <w:r>
        <w:rPr>
          <w:color w:val="0C0C0C"/>
          <w:sz w:val="22"/>
        </w:rPr>
        <w:t>that</w:t>
      </w:r>
      <w:r>
        <w:rPr>
          <w:color w:val="0C0C0C"/>
          <w:spacing w:val="-3"/>
          <w:sz w:val="22"/>
        </w:rPr>
        <w:t> </w:t>
      </w:r>
      <w:r>
        <w:rPr>
          <w:color w:val="0C0C0C"/>
          <w:sz w:val="22"/>
        </w:rPr>
        <w:t>provides a</w:t>
      </w:r>
      <w:r>
        <w:rPr>
          <w:color w:val="0C0C0C"/>
          <w:spacing w:val="-9"/>
          <w:sz w:val="22"/>
        </w:rPr>
        <w:t> </w:t>
      </w:r>
      <w:r>
        <w:rPr>
          <w:color w:val="0C0C0C"/>
          <w:sz w:val="22"/>
        </w:rPr>
        <w:t>secure and</w:t>
      </w:r>
      <w:r>
        <w:rPr>
          <w:color w:val="0C0C0C"/>
          <w:spacing w:val="-8"/>
          <w:sz w:val="22"/>
        </w:rPr>
        <w:t> </w:t>
      </w:r>
      <w:r>
        <w:rPr>
          <w:color w:val="0C0C0C"/>
          <w:sz w:val="22"/>
        </w:rPr>
        <w:t>auditable method</w:t>
      </w:r>
      <w:r>
        <w:rPr>
          <w:color w:val="0C0C0C"/>
          <w:spacing w:val="-2"/>
          <w:sz w:val="22"/>
        </w:rPr>
        <w:t> </w:t>
      </w:r>
      <w:r>
        <w:rPr>
          <w:color w:val="0C0C0C"/>
          <w:sz w:val="22"/>
        </w:rPr>
        <w:t>of</w:t>
      </w:r>
      <w:r>
        <w:rPr>
          <w:color w:val="0C0C0C"/>
          <w:spacing w:val="-12"/>
          <w:sz w:val="22"/>
        </w:rPr>
        <w:t> </w:t>
      </w:r>
      <w:r>
        <w:rPr>
          <w:color w:val="0C0C0C"/>
          <w:sz w:val="22"/>
        </w:rPr>
        <w:t>issuing and receiving </w:t>
      </w:r>
      <w:r>
        <w:rPr>
          <w:color w:val="1D1D1D"/>
          <w:sz w:val="22"/>
        </w:rPr>
        <w:t>tenders.</w:t>
      </w:r>
    </w:p>
    <w:p>
      <w:pPr>
        <w:pStyle w:val="BodyText"/>
        <w:spacing w:before="10"/>
      </w:pPr>
    </w:p>
    <w:p>
      <w:pPr>
        <w:spacing w:before="0" w:line="252" w:lineRule="auto"/>
        <w:ind w:left="867" w:right="0" w:hanging="1"/>
        <w:jc w:val="left"/>
        <w:rPr>
          <w:b/>
          <w:sz w:val="21"/>
        </w:rPr>
      </w:pPr>
      <w:r>
        <w:rPr>
          <w:b/>
          <w:color w:val="0C0C0C"/>
          <w:w w:val="105"/>
          <w:sz w:val="21"/>
        </w:rPr>
        <w:t>Undertaking the</w:t>
      </w:r>
      <w:r>
        <w:rPr>
          <w:b/>
          <w:color w:val="0C0C0C"/>
          <w:spacing w:val="-9"/>
          <w:w w:val="105"/>
          <w:sz w:val="21"/>
        </w:rPr>
        <w:t> </w:t>
      </w:r>
      <w:r>
        <w:rPr>
          <w:b/>
          <w:color w:val="0C0C0C"/>
          <w:w w:val="105"/>
          <w:sz w:val="21"/>
        </w:rPr>
        <w:t>core</w:t>
      </w:r>
      <w:r>
        <w:rPr>
          <w:b/>
          <w:color w:val="0C0C0C"/>
          <w:spacing w:val="-4"/>
          <w:w w:val="105"/>
          <w:sz w:val="21"/>
        </w:rPr>
        <w:t> </w:t>
      </w:r>
      <w:r>
        <w:rPr>
          <w:b/>
          <w:color w:val="0C0C0C"/>
          <w:w w:val="105"/>
          <w:sz w:val="21"/>
        </w:rPr>
        <w:t>functions of</w:t>
      </w:r>
      <w:r>
        <w:rPr>
          <w:b/>
          <w:color w:val="0C0C0C"/>
          <w:spacing w:val="-12"/>
          <w:w w:val="105"/>
          <w:sz w:val="21"/>
        </w:rPr>
        <w:t> </w:t>
      </w:r>
      <w:r>
        <w:rPr>
          <w:b/>
          <w:color w:val="0C0C0C"/>
          <w:w w:val="105"/>
          <w:sz w:val="21"/>
        </w:rPr>
        <w:t>an</w:t>
      </w:r>
      <w:r>
        <w:rPr>
          <w:b/>
          <w:color w:val="0C0C0C"/>
          <w:spacing w:val="-14"/>
          <w:w w:val="105"/>
          <w:sz w:val="21"/>
        </w:rPr>
        <w:t> </w:t>
      </w:r>
      <w:r>
        <w:rPr>
          <w:b/>
          <w:color w:val="0C0C0C"/>
          <w:w w:val="105"/>
          <w:sz w:val="21"/>
        </w:rPr>
        <w:t>audit</w:t>
      </w:r>
      <w:r>
        <w:rPr>
          <w:b/>
          <w:color w:val="0C0C0C"/>
          <w:spacing w:val="-14"/>
          <w:w w:val="105"/>
          <w:sz w:val="21"/>
        </w:rPr>
        <w:t> </w:t>
      </w:r>
      <w:r>
        <w:rPr>
          <w:b/>
          <w:color w:val="0C0C0C"/>
          <w:w w:val="105"/>
          <w:sz w:val="21"/>
        </w:rPr>
        <w:t>committee, as</w:t>
      </w:r>
      <w:r>
        <w:rPr>
          <w:b/>
          <w:color w:val="0C0C0C"/>
          <w:spacing w:val="-12"/>
          <w:w w:val="105"/>
          <w:sz w:val="21"/>
        </w:rPr>
        <w:t> </w:t>
      </w:r>
      <w:r>
        <w:rPr>
          <w:b/>
          <w:color w:val="0C0C0C"/>
          <w:w w:val="105"/>
          <w:sz w:val="21"/>
        </w:rPr>
        <w:t>identified in</w:t>
      </w:r>
      <w:r>
        <w:rPr>
          <w:b/>
          <w:color w:val="0C0C0C"/>
          <w:spacing w:val="-11"/>
          <w:w w:val="105"/>
          <w:sz w:val="21"/>
        </w:rPr>
        <w:t> </w:t>
      </w:r>
      <w:r>
        <w:rPr>
          <w:b/>
          <w:color w:val="0C0C0C"/>
          <w:w w:val="105"/>
          <w:sz w:val="21"/>
        </w:rPr>
        <w:t>the</w:t>
      </w:r>
      <w:r>
        <w:rPr>
          <w:b/>
          <w:color w:val="0C0C0C"/>
          <w:spacing w:val="-7"/>
          <w:w w:val="105"/>
          <w:sz w:val="21"/>
        </w:rPr>
        <w:t> </w:t>
      </w:r>
      <w:r>
        <w:rPr>
          <w:b/>
          <w:color w:val="0C0C0C"/>
          <w:w w:val="105"/>
          <w:sz w:val="21"/>
        </w:rPr>
        <w:t>CIPFA's 'Audit Committees: Practical Guidance for Local Authorities</w:t>
      </w:r>
    </w:p>
    <w:p>
      <w:pPr>
        <w:pStyle w:val="BodyText"/>
        <w:spacing w:before="243"/>
        <w:ind w:left="857"/>
      </w:pPr>
      <w:r>
        <w:rPr>
          <w:color w:val="1D1D1D"/>
          <w:u w:val="thick" w:color="1D1D1D"/>
        </w:rPr>
        <w:t>The</w:t>
      </w:r>
      <w:r>
        <w:rPr>
          <w:color w:val="1D1D1D"/>
          <w:spacing w:val="-8"/>
          <w:u w:val="thick" w:color="1D1D1D"/>
        </w:rPr>
        <w:t> </w:t>
      </w:r>
      <w:r>
        <w:rPr>
          <w:color w:val="1D1D1D"/>
          <w:u w:val="thick" w:color="1D1D1D"/>
        </w:rPr>
        <w:t>Audit</w:t>
      </w:r>
      <w:r>
        <w:rPr>
          <w:color w:val="1D1D1D"/>
          <w:spacing w:val="-4"/>
          <w:u w:val="thick" w:color="1D1D1D"/>
        </w:rPr>
        <w:t> </w:t>
      </w:r>
      <w:r>
        <w:rPr>
          <w:color w:val="1D1D1D"/>
          <w:spacing w:val="-2"/>
          <w:u w:val="thick" w:color="1D1D1D"/>
        </w:rPr>
        <w:t>Committee</w:t>
      </w:r>
    </w:p>
    <w:p>
      <w:pPr>
        <w:pStyle w:val="BodyText"/>
        <w:spacing w:before="3"/>
      </w:pPr>
    </w:p>
    <w:p>
      <w:pPr>
        <w:pStyle w:val="ListParagraph"/>
        <w:numPr>
          <w:ilvl w:val="0"/>
          <w:numId w:val="29"/>
        </w:numPr>
        <w:tabs>
          <w:tab w:val="left" w:leader="none" w:pos="856"/>
        </w:tabs>
        <w:spacing w:before="0" w:after="0" w:line="240" w:lineRule="auto"/>
        <w:ind w:left="856" w:right="526" w:hanging="705"/>
        <w:jc w:val="left"/>
        <w:rPr>
          <w:color w:val="0C0C0C"/>
          <w:sz w:val="22"/>
        </w:rPr>
      </w:pPr>
      <w:r>
        <w:rPr>
          <w:color w:val="0C0C0C"/>
          <w:sz w:val="22"/>
        </w:rPr>
        <w:t>The</w:t>
      </w:r>
      <w:r>
        <w:rPr>
          <w:color w:val="0C0C0C"/>
          <w:spacing w:val="-6"/>
          <w:sz w:val="22"/>
        </w:rPr>
        <w:t> </w:t>
      </w:r>
      <w:r>
        <w:rPr>
          <w:color w:val="0C0C0C"/>
          <w:sz w:val="22"/>
        </w:rPr>
        <w:t>Audit Committee's Terms</w:t>
      </w:r>
      <w:r>
        <w:rPr>
          <w:color w:val="0C0C0C"/>
          <w:spacing w:val="-1"/>
          <w:sz w:val="22"/>
        </w:rPr>
        <w:t> </w:t>
      </w:r>
      <w:r>
        <w:rPr>
          <w:color w:val="0C0C0C"/>
          <w:sz w:val="22"/>
        </w:rPr>
        <w:t>of</w:t>
      </w:r>
      <w:r>
        <w:rPr>
          <w:color w:val="0C0C0C"/>
          <w:spacing w:val="-11"/>
          <w:sz w:val="22"/>
        </w:rPr>
        <w:t> </w:t>
      </w:r>
      <w:r>
        <w:rPr>
          <w:color w:val="0C0C0C"/>
          <w:sz w:val="22"/>
        </w:rPr>
        <w:t>Reference have</w:t>
      </w:r>
      <w:r>
        <w:rPr>
          <w:color w:val="0C0C0C"/>
          <w:spacing w:val="-7"/>
          <w:sz w:val="22"/>
        </w:rPr>
        <w:t> </w:t>
      </w:r>
      <w:r>
        <w:rPr>
          <w:color w:val="0C0C0C"/>
          <w:sz w:val="22"/>
        </w:rPr>
        <w:t>been</w:t>
      </w:r>
      <w:r>
        <w:rPr>
          <w:color w:val="0C0C0C"/>
          <w:spacing w:val="-6"/>
          <w:sz w:val="22"/>
        </w:rPr>
        <w:t> </w:t>
      </w:r>
      <w:r>
        <w:rPr>
          <w:color w:val="0C0C0C"/>
          <w:sz w:val="22"/>
        </w:rPr>
        <w:t>kept</w:t>
      </w:r>
      <w:r>
        <w:rPr>
          <w:color w:val="0C0C0C"/>
          <w:spacing w:val="-4"/>
          <w:sz w:val="22"/>
        </w:rPr>
        <w:t> </w:t>
      </w:r>
      <w:r>
        <w:rPr>
          <w:color w:val="0C0C0C"/>
          <w:sz w:val="22"/>
        </w:rPr>
        <w:t>under</w:t>
      </w:r>
      <w:r>
        <w:rPr>
          <w:color w:val="0C0C0C"/>
          <w:spacing w:val="-2"/>
          <w:sz w:val="22"/>
        </w:rPr>
        <w:t> </w:t>
      </w:r>
      <w:r>
        <w:rPr>
          <w:color w:val="0C0C0C"/>
          <w:sz w:val="22"/>
        </w:rPr>
        <w:t>regular</w:t>
      </w:r>
      <w:r>
        <w:rPr>
          <w:color w:val="0C0C0C"/>
          <w:spacing w:val="-2"/>
          <w:sz w:val="22"/>
        </w:rPr>
        <w:t> </w:t>
      </w:r>
      <w:r>
        <w:rPr>
          <w:color w:val="0C0C0C"/>
          <w:sz w:val="22"/>
        </w:rPr>
        <w:t>review</w:t>
      </w:r>
      <w:r>
        <w:rPr>
          <w:color w:val="0C0C0C"/>
          <w:spacing w:val="-5"/>
          <w:sz w:val="22"/>
        </w:rPr>
        <w:t> </w:t>
      </w:r>
      <w:r>
        <w:rPr>
          <w:color w:val="0C0C0C"/>
          <w:sz w:val="22"/>
        </w:rPr>
        <w:t>to</w:t>
      </w:r>
      <w:r>
        <w:rPr>
          <w:color w:val="0C0C0C"/>
          <w:spacing w:val="-9"/>
          <w:sz w:val="22"/>
        </w:rPr>
        <w:t> </w:t>
      </w:r>
      <w:r>
        <w:rPr>
          <w:color w:val="0C0C0C"/>
          <w:sz w:val="22"/>
        </w:rPr>
        <w:t>ensure that</w:t>
      </w:r>
      <w:r>
        <w:rPr>
          <w:color w:val="0C0C0C"/>
          <w:spacing w:val="-6"/>
          <w:sz w:val="22"/>
        </w:rPr>
        <w:t> </w:t>
      </w:r>
      <w:r>
        <w:rPr>
          <w:color w:val="0C0C0C"/>
          <w:sz w:val="22"/>
        </w:rPr>
        <w:t>its </w:t>
      </w:r>
      <w:r>
        <w:rPr>
          <w:color w:val="1D1D1D"/>
          <w:sz w:val="22"/>
        </w:rPr>
        <w:t>role complies </w:t>
      </w:r>
      <w:r>
        <w:rPr>
          <w:color w:val="0C0C0C"/>
          <w:sz w:val="22"/>
        </w:rPr>
        <w:t>with</w:t>
      </w:r>
      <w:r>
        <w:rPr>
          <w:color w:val="0C0C0C"/>
          <w:spacing w:val="-3"/>
          <w:sz w:val="22"/>
        </w:rPr>
        <w:t> </w:t>
      </w:r>
      <w:r>
        <w:rPr>
          <w:color w:val="0C0C0C"/>
          <w:sz w:val="22"/>
        </w:rPr>
        <w:t>those</w:t>
      </w:r>
      <w:r>
        <w:rPr>
          <w:color w:val="0C0C0C"/>
          <w:spacing w:val="-1"/>
          <w:sz w:val="22"/>
        </w:rPr>
        <w:t> </w:t>
      </w:r>
      <w:r>
        <w:rPr>
          <w:color w:val="1D1D1D"/>
          <w:sz w:val="22"/>
        </w:rPr>
        <w:t>prescribed </w:t>
      </w:r>
      <w:r>
        <w:rPr>
          <w:color w:val="0C0C0C"/>
          <w:sz w:val="22"/>
        </w:rPr>
        <w:t>by the CIPFA publication </w:t>
      </w:r>
      <w:r>
        <w:rPr>
          <w:color w:val="1D1D1D"/>
          <w:sz w:val="22"/>
        </w:rPr>
        <w:t>"Audit </w:t>
      </w:r>
      <w:r>
        <w:rPr>
          <w:color w:val="0C0C0C"/>
          <w:sz w:val="22"/>
        </w:rPr>
        <w:t>Committees -</w:t>
      </w:r>
      <w:r>
        <w:rPr>
          <w:color w:val="0C0C0C"/>
          <w:spacing w:val="40"/>
          <w:sz w:val="22"/>
        </w:rPr>
        <w:t> </w:t>
      </w:r>
      <w:r>
        <w:rPr>
          <w:color w:val="0C0C0C"/>
          <w:sz w:val="22"/>
        </w:rPr>
        <w:t>Practical </w:t>
      </w:r>
      <w:r>
        <w:rPr>
          <w:color w:val="1D1D1D"/>
          <w:sz w:val="22"/>
        </w:rPr>
        <w:t>Guidance </w:t>
      </w:r>
      <w:r>
        <w:rPr>
          <w:color w:val="0C0C0C"/>
          <w:sz w:val="22"/>
        </w:rPr>
        <w:t>for Local </w:t>
      </w:r>
      <w:r>
        <w:rPr>
          <w:color w:val="1D1D1D"/>
          <w:sz w:val="22"/>
        </w:rPr>
        <w:t>Authorities".</w:t>
      </w:r>
    </w:p>
    <w:p>
      <w:pPr>
        <w:pStyle w:val="BodyText"/>
        <w:spacing w:before="2"/>
      </w:pPr>
    </w:p>
    <w:p>
      <w:pPr>
        <w:pStyle w:val="ListParagraph"/>
        <w:numPr>
          <w:ilvl w:val="0"/>
          <w:numId w:val="29"/>
        </w:numPr>
        <w:tabs>
          <w:tab w:val="left" w:leader="none" w:pos="852"/>
          <w:tab w:val="left" w:leader="none" w:pos="855"/>
        </w:tabs>
        <w:spacing w:before="0" w:after="0" w:line="240" w:lineRule="auto"/>
        <w:ind w:left="855" w:right="526" w:hanging="700"/>
        <w:jc w:val="left"/>
        <w:rPr>
          <w:color w:val="0C0C0C"/>
          <w:sz w:val="22"/>
        </w:rPr>
      </w:pPr>
      <w:r>
        <w:rPr>
          <w:color w:val="0C0C0C"/>
          <w:sz w:val="22"/>
        </w:rPr>
        <w:t>The</w:t>
      </w:r>
      <w:r>
        <w:rPr>
          <w:color w:val="0C0C0C"/>
          <w:spacing w:val="-11"/>
          <w:sz w:val="22"/>
        </w:rPr>
        <w:t> </w:t>
      </w:r>
      <w:r>
        <w:rPr>
          <w:color w:val="0C0C0C"/>
          <w:sz w:val="22"/>
        </w:rPr>
        <w:t>Audit</w:t>
      </w:r>
      <w:r>
        <w:rPr>
          <w:color w:val="0C0C0C"/>
          <w:spacing w:val="-2"/>
          <w:sz w:val="22"/>
        </w:rPr>
        <w:t> </w:t>
      </w:r>
      <w:r>
        <w:rPr>
          <w:color w:val="0C0C0C"/>
          <w:sz w:val="22"/>
        </w:rPr>
        <w:t>Committee has</w:t>
      </w:r>
      <w:r>
        <w:rPr>
          <w:color w:val="0C0C0C"/>
          <w:spacing w:val="-5"/>
          <w:sz w:val="22"/>
        </w:rPr>
        <w:t> </w:t>
      </w:r>
      <w:r>
        <w:rPr>
          <w:color w:val="0C0C0C"/>
          <w:sz w:val="22"/>
        </w:rPr>
        <w:t>comprised five</w:t>
      </w:r>
      <w:r>
        <w:rPr>
          <w:color w:val="0C0C0C"/>
          <w:spacing w:val="-6"/>
          <w:sz w:val="22"/>
        </w:rPr>
        <w:t> </w:t>
      </w:r>
      <w:r>
        <w:rPr>
          <w:color w:val="0C0C0C"/>
          <w:sz w:val="22"/>
        </w:rPr>
        <w:t>non-Executive Members (as</w:t>
      </w:r>
      <w:r>
        <w:rPr>
          <w:color w:val="0C0C0C"/>
          <w:spacing w:val="-9"/>
          <w:sz w:val="22"/>
        </w:rPr>
        <w:t> </w:t>
      </w:r>
      <w:r>
        <w:rPr>
          <w:color w:val="0C0C0C"/>
          <w:sz w:val="22"/>
        </w:rPr>
        <w:t>required) and</w:t>
      </w:r>
      <w:r>
        <w:rPr>
          <w:color w:val="0C0C0C"/>
          <w:spacing w:val="-14"/>
          <w:sz w:val="22"/>
        </w:rPr>
        <w:t> </w:t>
      </w:r>
      <w:r>
        <w:rPr>
          <w:color w:val="0C0C0C"/>
          <w:sz w:val="22"/>
        </w:rPr>
        <w:t>met</w:t>
      </w:r>
      <w:r>
        <w:rPr>
          <w:color w:val="0C0C0C"/>
          <w:spacing w:val="-8"/>
          <w:sz w:val="22"/>
        </w:rPr>
        <w:t> </w:t>
      </w:r>
      <w:r>
        <w:rPr>
          <w:color w:val="0C0C0C"/>
          <w:sz w:val="22"/>
        </w:rPr>
        <w:t>five</w:t>
      </w:r>
      <w:r>
        <w:rPr>
          <w:color w:val="0C0C0C"/>
          <w:spacing w:val="-11"/>
          <w:sz w:val="22"/>
        </w:rPr>
        <w:t> </w:t>
      </w:r>
      <w:r>
        <w:rPr>
          <w:color w:val="0C0C0C"/>
          <w:sz w:val="22"/>
        </w:rPr>
        <w:t>times during</w:t>
      </w:r>
      <w:r>
        <w:rPr>
          <w:color w:val="0C0C0C"/>
          <w:spacing w:val="-3"/>
          <w:sz w:val="22"/>
        </w:rPr>
        <w:t> </w:t>
      </w:r>
      <w:r>
        <w:rPr>
          <w:color w:val="0C0C0C"/>
          <w:sz w:val="22"/>
        </w:rPr>
        <w:t>the financial year -</w:t>
      </w:r>
      <w:r>
        <w:rPr>
          <w:color w:val="0C0C0C"/>
          <w:spacing w:val="40"/>
          <w:sz w:val="22"/>
        </w:rPr>
        <w:t> </w:t>
      </w:r>
      <w:r>
        <w:rPr>
          <w:color w:val="0C0C0C"/>
          <w:sz w:val="22"/>
        </w:rPr>
        <w:t>Agendas, Open Reports and</w:t>
      </w:r>
      <w:r>
        <w:rPr>
          <w:color w:val="0C0C0C"/>
          <w:spacing w:val="-2"/>
          <w:sz w:val="22"/>
        </w:rPr>
        <w:t> </w:t>
      </w:r>
      <w:r>
        <w:rPr>
          <w:color w:val="0C0C0C"/>
          <w:sz w:val="22"/>
        </w:rPr>
        <w:t>Minutes are available on</w:t>
      </w:r>
      <w:r>
        <w:rPr>
          <w:color w:val="0C0C0C"/>
          <w:spacing w:val="-1"/>
          <w:sz w:val="22"/>
        </w:rPr>
        <w:t> </w:t>
      </w:r>
      <w:r>
        <w:rPr>
          <w:color w:val="0C0C0C"/>
          <w:sz w:val="22"/>
        </w:rPr>
        <w:t>the Council's </w:t>
      </w:r>
      <w:r>
        <w:rPr>
          <w:color w:val="0C0C0C"/>
          <w:spacing w:val="-2"/>
          <w:sz w:val="22"/>
        </w:rPr>
        <w:t>website.</w:t>
      </w:r>
    </w:p>
    <w:p>
      <w:pPr>
        <w:pStyle w:val="BodyText"/>
        <w:spacing w:before="2"/>
      </w:pPr>
    </w:p>
    <w:p>
      <w:pPr>
        <w:pStyle w:val="ListParagraph"/>
        <w:numPr>
          <w:ilvl w:val="0"/>
          <w:numId w:val="29"/>
        </w:numPr>
        <w:tabs>
          <w:tab w:val="left" w:leader="none" w:pos="856"/>
        </w:tabs>
        <w:spacing w:before="0" w:after="0" w:line="240" w:lineRule="auto"/>
        <w:ind w:left="856" w:right="0" w:hanging="705"/>
        <w:jc w:val="left"/>
        <w:rPr>
          <w:color w:val="0C0C0C"/>
          <w:sz w:val="22"/>
        </w:rPr>
      </w:pPr>
      <w:r>
        <w:rPr>
          <w:color w:val="0C0C0C"/>
          <w:sz w:val="22"/>
        </w:rPr>
        <w:t>It</w:t>
      </w:r>
      <w:r>
        <w:rPr>
          <w:color w:val="0C0C0C"/>
          <w:spacing w:val="-16"/>
          <w:sz w:val="22"/>
        </w:rPr>
        <w:t> </w:t>
      </w:r>
      <w:r>
        <w:rPr>
          <w:color w:val="0C0C0C"/>
          <w:sz w:val="22"/>
        </w:rPr>
        <w:t>substantially</w:t>
      </w:r>
      <w:r>
        <w:rPr>
          <w:color w:val="0C0C0C"/>
          <w:spacing w:val="6"/>
          <w:sz w:val="22"/>
        </w:rPr>
        <w:t> </w:t>
      </w:r>
      <w:r>
        <w:rPr>
          <w:color w:val="0C0C0C"/>
          <w:sz w:val="22"/>
        </w:rPr>
        <w:t>completed</w:t>
      </w:r>
      <w:r>
        <w:rPr>
          <w:color w:val="0C0C0C"/>
          <w:spacing w:val="2"/>
          <w:sz w:val="22"/>
        </w:rPr>
        <w:t> </w:t>
      </w:r>
      <w:r>
        <w:rPr>
          <w:color w:val="0C0C0C"/>
          <w:sz w:val="22"/>
        </w:rPr>
        <w:t>its</w:t>
      </w:r>
      <w:r>
        <w:rPr>
          <w:color w:val="0C0C0C"/>
          <w:spacing w:val="-15"/>
          <w:sz w:val="22"/>
        </w:rPr>
        <w:t> </w:t>
      </w:r>
      <w:r>
        <w:rPr>
          <w:color w:val="0C0C0C"/>
          <w:sz w:val="22"/>
        </w:rPr>
        <w:t>Planned</w:t>
      </w:r>
      <w:r>
        <w:rPr>
          <w:color w:val="0C0C0C"/>
          <w:spacing w:val="-12"/>
          <w:sz w:val="22"/>
        </w:rPr>
        <w:t> </w:t>
      </w:r>
      <w:r>
        <w:rPr>
          <w:color w:val="0C0C0C"/>
          <w:sz w:val="22"/>
        </w:rPr>
        <w:t>Work</w:t>
      </w:r>
      <w:r>
        <w:rPr>
          <w:color w:val="0C0C0C"/>
          <w:spacing w:val="-9"/>
          <w:sz w:val="22"/>
        </w:rPr>
        <w:t> </w:t>
      </w:r>
      <w:r>
        <w:rPr>
          <w:color w:val="0C0C0C"/>
          <w:sz w:val="22"/>
        </w:rPr>
        <w:t>Programme,</w:t>
      </w:r>
      <w:r>
        <w:rPr>
          <w:color w:val="0C0C0C"/>
          <w:spacing w:val="6"/>
          <w:sz w:val="22"/>
        </w:rPr>
        <w:t> </w:t>
      </w:r>
      <w:r>
        <w:rPr>
          <w:color w:val="0C0C0C"/>
          <w:sz w:val="22"/>
        </w:rPr>
        <w:t>regularly</w:t>
      </w:r>
      <w:r>
        <w:rPr>
          <w:color w:val="0C0C0C"/>
          <w:spacing w:val="5"/>
          <w:sz w:val="22"/>
        </w:rPr>
        <w:t> </w:t>
      </w:r>
      <w:r>
        <w:rPr>
          <w:color w:val="0C0C0C"/>
          <w:sz w:val="22"/>
        </w:rPr>
        <w:t>receiving</w:t>
      </w:r>
      <w:r>
        <w:rPr>
          <w:color w:val="0C0C0C"/>
          <w:spacing w:val="-3"/>
          <w:sz w:val="22"/>
        </w:rPr>
        <w:t> </w:t>
      </w:r>
      <w:r>
        <w:rPr>
          <w:color w:val="0C0C0C"/>
          <w:sz w:val="22"/>
        </w:rPr>
        <w:t>reports</w:t>
      </w:r>
      <w:r>
        <w:rPr>
          <w:color w:val="0C0C0C"/>
          <w:spacing w:val="-9"/>
          <w:sz w:val="22"/>
        </w:rPr>
        <w:t> </w:t>
      </w:r>
      <w:r>
        <w:rPr>
          <w:color w:val="0C0C0C"/>
          <w:spacing w:val="-2"/>
          <w:sz w:val="22"/>
        </w:rPr>
        <w:t>from:</w:t>
      </w:r>
    </w:p>
    <w:p>
      <w:pPr>
        <w:pStyle w:val="BodyText"/>
        <w:spacing w:before="20"/>
      </w:pPr>
    </w:p>
    <w:p>
      <w:pPr>
        <w:pStyle w:val="ListParagraph"/>
        <w:numPr>
          <w:ilvl w:val="0"/>
          <w:numId w:val="32"/>
        </w:numPr>
        <w:tabs>
          <w:tab w:val="left" w:leader="none" w:pos="1285"/>
          <w:tab w:val="left" w:leader="none" w:pos="1289"/>
        </w:tabs>
        <w:spacing w:before="0" w:after="0" w:line="237" w:lineRule="auto"/>
        <w:ind w:left="1289" w:right="461" w:hanging="424"/>
        <w:jc w:val="left"/>
        <w:rPr>
          <w:color w:val="1D1D1D"/>
          <w:sz w:val="22"/>
        </w:rPr>
      </w:pPr>
      <w:r>
        <w:rPr>
          <w:color w:val="343434"/>
          <w:sz w:val="22"/>
        </w:rPr>
        <w:t>The</w:t>
      </w:r>
      <w:r>
        <w:rPr>
          <w:color w:val="343434"/>
          <w:spacing w:val="-11"/>
          <w:sz w:val="22"/>
        </w:rPr>
        <w:t> </w:t>
      </w:r>
      <w:r>
        <w:rPr>
          <w:color w:val="1D1D1D"/>
          <w:sz w:val="22"/>
        </w:rPr>
        <w:t>Council's </w:t>
      </w:r>
      <w:r>
        <w:rPr>
          <w:color w:val="0C0C0C"/>
          <w:sz w:val="22"/>
        </w:rPr>
        <w:t>External </w:t>
      </w:r>
      <w:r>
        <w:rPr>
          <w:color w:val="1D1D1D"/>
          <w:sz w:val="22"/>
        </w:rPr>
        <w:t>Auditors</w:t>
      </w:r>
      <w:r>
        <w:rPr>
          <w:color w:val="1D1D1D"/>
          <w:spacing w:val="-10"/>
          <w:sz w:val="22"/>
        </w:rPr>
        <w:t> </w:t>
      </w:r>
      <w:r>
        <w:rPr>
          <w:color w:val="0C0C0C"/>
          <w:sz w:val="22"/>
        </w:rPr>
        <w:t>-</w:t>
      </w:r>
      <w:r>
        <w:rPr>
          <w:color w:val="0C0C0C"/>
          <w:spacing w:val="40"/>
          <w:sz w:val="22"/>
        </w:rPr>
        <w:t> </w:t>
      </w:r>
      <w:r>
        <w:rPr>
          <w:color w:val="1D1D1D"/>
          <w:sz w:val="22"/>
        </w:rPr>
        <w:t>Progress </w:t>
      </w:r>
      <w:r>
        <w:rPr>
          <w:color w:val="0C0C0C"/>
          <w:sz w:val="22"/>
        </w:rPr>
        <w:t>Reports, Annual</w:t>
      </w:r>
      <w:r>
        <w:rPr>
          <w:color w:val="0C0C0C"/>
          <w:spacing w:val="-8"/>
          <w:sz w:val="22"/>
        </w:rPr>
        <w:t> </w:t>
      </w:r>
      <w:r>
        <w:rPr>
          <w:color w:val="0C0C0C"/>
          <w:sz w:val="22"/>
        </w:rPr>
        <w:t>Governance Report,</w:t>
      </w:r>
      <w:r>
        <w:rPr>
          <w:color w:val="0C0C0C"/>
          <w:spacing w:val="-2"/>
          <w:sz w:val="22"/>
        </w:rPr>
        <w:t> </w:t>
      </w:r>
      <w:r>
        <w:rPr>
          <w:color w:val="0C0C0C"/>
          <w:sz w:val="22"/>
        </w:rPr>
        <w:t>Annual</w:t>
      </w:r>
      <w:r>
        <w:rPr>
          <w:color w:val="0C0C0C"/>
          <w:spacing w:val="-6"/>
          <w:sz w:val="22"/>
        </w:rPr>
        <w:t> </w:t>
      </w:r>
      <w:r>
        <w:rPr>
          <w:color w:val="0C0C0C"/>
          <w:sz w:val="22"/>
        </w:rPr>
        <w:t>Audit </w:t>
      </w:r>
      <w:r>
        <w:rPr>
          <w:color w:val="1D1D1D"/>
          <w:sz w:val="22"/>
        </w:rPr>
        <w:t>Letter, </w:t>
      </w:r>
      <w:r>
        <w:rPr>
          <w:color w:val="0C0C0C"/>
          <w:sz w:val="22"/>
        </w:rPr>
        <w:t>Audit Plan </w:t>
      </w:r>
      <w:r>
        <w:rPr>
          <w:color w:val="1D1D1D"/>
          <w:sz w:val="22"/>
        </w:rPr>
        <w:t>and Certification Report </w:t>
      </w:r>
      <w:r>
        <w:rPr>
          <w:color w:val="0C0C0C"/>
          <w:sz w:val="22"/>
        </w:rPr>
        <w:t>on</w:t>
      </w:r>
      <w:r>
        <w:rPr>
          <w:color w:val="0C0C0C"/>
          <w:spacing w:val="-2"/>
          <w:sz w:val="22"/>
        </w:rPr>
        <w:t> </w:t>
      </w:r>
      <w:r>
        <w:rPr>
          <w:color w:val="1D1D1D"/>
          <w:sz w:val="22"/>
        </w:rPr>
        <w:t>Claims </w:t>
      </w:r>
      <w:r>
        <w:rPr>
          <w:color w:val="0C0C0C"/>
          <w:sz w:val="22"/>
        </w:rPr>
        <w:t>and Returns</w:t>
      </w:r>
    </w:p>
    <w:p>
      <w:pPr>
        <w:pStyle w:val="ListParagraph"/>
        <w:numPr>
          <w:ilvl w:val="0"/>
          <w:numId w:val="32"/>
        </w:numPr>
        <w:tabs>
          <w:tab w:val="left" w:leader="none" w:pos="1280"/>
        </w:tabs>
        <w:spacing w:before="21" w:after="0" w:line="240" w:lineRule="auto"/>
        <w:ind w:left="1280" w:right="0" w:hanging="420"/>
        <w:jc w:val="left"/>
        <w:rPr>
          <w:color w:val="1D1D1D"/>
          <w:sz w:val="22"/>
        </w:rPr>
      </w:pPr>
      <w:r>
        <w:rPr>
          <w:color w:val="0C0C0C"/>
          <w:sz w:val="22"/>
        </w:rPr>
        <w:t>The</w:t>
      </w:r>
      <w:r>
        <w:rPr>
          <w:color w:val="0C0C0C"/>
          <w:spacing w:val="-3"/>
          <w:sz w:val="22"/>
        </w:rPr>
        <w:t> </w:t>
      </w:r>
      <w:r>
        <w:rPr>
          <w:color w:val="0C0C0C"/>
          <w:sz w:val="22"/>
        </w:rPr>
        <w:t>Shared</w:t>
      </w:r>
      <w:r>
        <w:rPr>
          <w:color w:val="0C0C0C"/>
          <w:spacing w:val="-5"/>
          <w:sz w:val="22"/>
        </w:rPr>
        <w:t> </w:t>
      </w:r>
      <w:r>
        <w:rPr>
          <w:color w:val="0C0C0C"/>
          <w:sz w:val="22"/>
        </w:rPr>
        <w:t>Anti-Fraud</w:t>
      </w:r>
      <w:r>
        <w:rPr>
          <w:color w:val="0C0C0C"/>
          <w:spacing w:val="-2"/>
          <w:sz w:val="22"/>
        </w:rPr>
        <w:t> </w:t>
      </w:r>
      <w:r>
        <w:rPr>
          <w:color w:val="0C0C0C"/>
          <w:sz w:val="22"/>
        </w:rPr>
        <w:t>Service</w:t>
      </w:r>
      <w:r>
        <w:rPr>
          <w:color w:val="0C0C0C"/>
          <w:spacing w:val="-6"/>
          <w:sz w:val="22"/>
        </w:rPr>
        <w:t> </w:t>
      </w:r>
      <w:r>
        <w:rPr>
          <w:color w:val="0C0C0C"/>
          <w:sz w:val="22"/>
        </w:rPr>
        <w:t>-</w:t>
      </w:r>
      <w:r>
        <w:rPr>
          <w:color w:val="0C0C0C"/>
          <w:spacing w:val="40"/>
          <w:sz w:val="22"/>
        </w:rPr>
        <w:t> </w:t>
      </w:r>
      <w:r>
        <w:rPr>
          <w:color w:val="0C0C0C"/>
          <w:sz w:val="22"/>
        </w:rPr>
        <w:t>Progress</w:t>
      </w:r>
      <w:r>
        <w:rPr>
          <w:color w:val="0C0C0C"/>
          <w:spacing w:val="-5"/>
          <w:sz w:val="22"/>
        </w:rPr>
        <w:t> </w:t>
      </w:r>
      <w:r>
        <w:rPr>
          <w:color w:val="0C0C0C"/>
          <w:sz w:val="22"/>
        </w:rPr>
        <w:t>Reports</w:t>
      </w:r>
      <w:r>
        <w:rPr>
          <w:color w:val="0C0C0C"/>
          <w:spacing w:val="-2"/>
          <w:sz w:val="22"/>
        </w:rPr>
        <w:t> </w:t>
      </w:r>
      <w:r>
        <w:rPr>
          <w:color w:val="0C0C0C"/>
          <w:sz w:val="22"/>
        </w:rPr>
        <w:t>and</w:t>
      </w:r>
      <w:r>
        <w:rPr>
          <w:color w:val="0C0C0C"/>
          <w:spacing w:val="-9"/>
          <w:sz w:val="22"/>
        </w:rPr>
        <w:t> </w:t>
      </w:r>
      <w:r>
        <w:rPr>
          <w:color w:val="0C0C0C"/>
          <w:sz w:val="22"/>
        </w:rPr>
        <w:t>Annual</w:t>
      </w:r>
      <w:r>
        <w:rPr>
          <w:color w:val="0C0C0C"/>
          <w:spacing w:val="-2"/>
          <w:sz w:val="22"/>
        </w:rPr>
        <w:t> Report</w:t>
      </w:r>
    </w:p>
    <w:p>
      <w:pPr>
        <w:pStyle w:val="ListParagraph"/>
        <w:numPr>
          <w:ilvl w:val="0"/>
          <w:numId w:val="32"/>
        </w:numPr>
        <w:tabs>
          <w:tab w:val="left" w:leader="none" w:pos="1280"/>
        </w:tabs>
        <w:spacing w:before="13" w:after="0" w:line="237" w:lineRule="auto"/>
        <w:ind w:left="1280" w:right="553" w:hanging="425"/>
        <w:jc w:val="left"/>
        <w:rPr>
          <w:color w:val="0C0C0C"/>
          <w:sz w:val="22"/>
        </w:rPr>
      </w:pPr>
      <w:r>
        <w:rPr>
          <w:color w:val="0C0C0C"/>
          <w:sz w:val="22"/>
        </w:rPr>
        <w:t>The</w:t>
      </w:r>
      <w:r>
        <w:rPr>
          <w:color w:val="0C0C0C"/>
          <w:spacing w:val="-9"/>
          <w:sz w:val="22"/>
        </w:rPr>
        <w:t> </w:t>
      </w:r>
      <w:r>
        <w:rPr>
          <w:color w:val="0C0C0C"/>
          <w:sz w:val="22"/>
        </w:rPr>
        <w:t>SIAS</w:t>
      </w:r>
      <w:r>
        <w:rPr>
          <w:color w:val="0C0C0C"/>
          <w:spacing w:val="-5"/>
          <w:sz w:val="22"/>
        </w:rPr>
        <w:t> </w:t>
      </w:r>
      <w:r>
        <w:rPr>
          <w:color w:val="0C0C0C"/>
          <w:sz w:val="22"/>
        </w:rPr>
        <w:t>Team</w:t>
      </w:r>
      <w:r>
        <w:rPr>
          <w:color w:val="0C0C0C"/>
          <w:spacing w:val="-14"/>
          <w:sz w:val="22"/>
        </w:rPr>
        <w:t> </w:t>
      </w:r>
      <w:r>
        <w:rPr>
          <w:color w:val="0C0C0C"/>
          <w:sz w:val="22"/>
        </w:rPr>
        <w:t>-</w:t>
      </w:r>
      <w:r>
        <w:rPr>
          <w:color w:val="0C0C0C"/>
          <w:spacing w:val="36"/>
          <w:sz w:val="22"/>
        </w:rPr>
        <w:t> </w:t>
      </w:r>
      <w:r>
        <w:rPr>
          <w:color w:val="0C0C0C"/>
          <w:sz w:val="22"/>
        </w:rPr>
        <w:t>Progress</w:t>
      </w:r>
      <w:r>
        <w:rPr>
          <w:color w:val="0C0C0C"/>
          <w:spacing w:val="-6"/>
          <w:sz w:val="22"/>
        </w:rPr>
        <w:t> </w:t>
      </w:r>
      <w:r>
        <w:rPr>
          <w:color w:val="0C0C0C"/>
          <w:sz w:val="22"/>
        </w:rPr>
        <w:t>Reports, Draft</w:t>
      </w:r>
      <w:r>
        <w:rPr>
          <w:color w:val="0C0C0C"/>
          <w:spacing w:val="-6"/>
          <w:sz w:val="22"/>
        </w:rPr>
        <w:t> </w:t>
      </w:r>
      <w:r>
        <w:rPr>
          <w:color w:val="0C0C0C"/>
          <w:sz w:val="22"/>
        </w:rPr>
        <w:t>Annual</w:t>
      </w:r>
      <w:r>
        <w:rPr>
          <w:color w:val="0C0C0C"/>
          <w:spacing w:val="-5"/>
          <w:sz w:val="22"/>
        </w:rPr>
        <w:t> </w:t>
      </w:r>
      <w:r>
        <w:rPr>
          <w:color w:val="0C0C0C"/>
          <w:sz w:val="22"/>
        </w:rPr>
        <w:t>Governance Statement, Annual</w:t>
      </w:r>
      <w:r>
        <w:rPr>
          <w:color w:val="0C0C0C"/>
          <w:spacing w:val="-3"/>
          <w:sz w:val="22"/>
        </w:rPr>
        <w:t> </w:t>
      </w:r>
      <w:r>
        <w:rPr>
          <w:color w:val="0C0C0C"/>
          <w:sz w:val="22"/>
        </w:rPr>
        <w:t>Assurance Statement and Annual Report, and Annual Audit Plan</w:t>
      </w:r>
    </w:p>
    <w:p>
      <w:pPr>
        <w:pStyle w:val="ListParagraph"/>
        <w:numPr>
          <w:ilvl w:val="0"/>
          <w:numId w:val="32"/>
        </w:numPr>
        <w:tabs>
          <w:tab w:val="left" w:leader="none" w:pos="1285"/>
        </w:tabs>
        <w:spacing w:before="21" w:after="0" w:line="240" w:lineRule="auto"/>
        <w:ind w:left="1285" w:right="0" w:hanging="425"/>
        <w:jc w:val="left"/>
        <w:rPr>
          <w:color w:val="1D1D1D"/>
          <w:sz w:val="22"/>
        </w:rPr>
      </w:pPr>
      <w:r>
        <w:rPr>
          <w:color w:val="0C0C0C"/>
          <w:sz w:val="22"/>
        </w:rPr>
        <w:t>The</w:t>
      </w:r>
      <w:r>
        <w:rPr>
          <w:color w:val="0C0C0C"/>
          <w:spacing w:val="-10"/>
          <w:sz w:val="22"/>
        </w:rPr>
        <w:t> </w:t>
      </w:r>
      <w:r>
        <w:rPr>
          <w:color w:val="0C0C0C"/>
          <w:sz w:val="22"/>
        </w:rPr>
        <w:t>Risk</w:t>
      </w:r>
      <w:r>
        <w:rPr>
          <w:color w:val="0C0C0C"/>
          <w:spacing w:val="-1"/>
          <w:sz w:val="22"/>
        </w:rPr>
        <w:t> </w:t>
      </w:r>
      <w:r>
        <w:rPr>
          <w:color w:val="0C0C0C"/>
          <w:sz w:val="22"/>
        </w:rPr>
        <w:t>Manager</w:t>
      </w:r>
      <w:r>
        <w:rPr>
          <w:color w:val="0C0C0C"/>
          <w:spacing w:val="-5"/>
          <w:sz w:val="22"/>
        </w:rPr>
        <w:t> </w:t>
      </w:r>
      <w:r>
        <w:rPr>
          <w:color w:val="0C0C0C"/>
          <w:sz w:val="22"/>
        </w:rPr>
        <w:t>-</w:t>
      </w:r>
      <w:r>
        <w:rPr>
          <w:color w:val="0C0C0C"/>
          <w:spacing w:val="46"/>
          <w:sz w:val="22"/>
        </w:rPr>
        <w:t> </w:t>
      </w:r>
      <w:r>
        <w:rPr>
          <w:color w:val="0C0C0C"/>
          <w:sz w:val="22"/>
        </w:rPr>
        <w:t>Progress</w:t>
      </w:r>
      <w:r>
        <w:rPr>
          <w:color w:val="0C0C0C"/>
          <w:spacing w:val="4"/>
          <w:sz w:val="22"/>
        </w:rPr>
        <w:t> </w:t>
      </w:r>
      <w:r>
        <w:rPr>
          <w:color w:val="0C0C0C"/>
          <w:spacing w:val="-2"/>
          <w:sz w:val="22"/>
        </w:rPr>
        <w:t>Reports</w:t>
      </w:r>
    </w:p>
    <w:p>
      <w:pPr>
        <w:pStyle w:val="ListParagraph"/>
        <w:numPr>
          <w:ilvl w:val="0"/>
          <w:numId w:val="32"/>
        </w:numPr>
        <w:tabs>
          <w:tab w:val="left" w:leader="none" w:pos="1280"/>
        </w:tabs>
        <w:spacing w:before="12" w:after="0" w:line="240" w:lineRule="auto"/>
        <w:ind w:left="1280" w:right="761" w:hanging="421"/>
        <w:jc w:val="left"/>
        <w:rPr>
          <w:color w:val="1D1D1D"/>
          <w:sz w:val="22"/>
        </w:rPr>
      </w:pPr>
      <w:r>
        <w:rPr>
          <w:color w:val="0C0C0C"/>
          <w:sz w:val="22"/>
        </w:rPr>
        <w:t>The</w:t>
      </w:r>
      <w:r>
        <w:rPr>
          <w:color w:val="0C0C0C"/>
          <w:spacing w:val="-16"/>
          <w:sz w:val="22"/>
        </w:rPr>
        <w:t> </w:t>
      </w:r>
      <w:r>
        <w:rPr>
          <w:color w:val="0C0C0C"/>
          <w:sz w:val="22"/>
        </w:rPr>
        <w:t>Head</w:t>
      </w:r>
      <w:r>
        <w:rPr>
          <w:color w:val="0C0C0C"/>
          <w:spacing w:val="-5"/>
          <w:sz w:val="22"/>
        </w:rPr>
        <w:t> </w:t>
      </w:r>
      <w:r>
        <w:rPr>
          <w:color w:val="0C0C0C"/>
          <w:sz w:val="22"/>
        </w:rPr>
        <w:t>of</w:t>
      </w:r>
      <w:r>
        <w:rPr>
          <w:color w:val="0C0C0C"/>
          <w:spacing w:val="-12"/>
          <w:sz w:val="22"/>
        </w:rPr>
        <w:t> </w:t>
      </w:r>
      <w:r>
        <w:rPr>
          <w:color w:val="0C0C0C"/>
          <w:sz w:val="22"/>
        </w:rPr>
        <w:t>Finance and</w:t>
      </w:r>
      <w:r>
        <w:rPr>
          <w:color w:val="0C0C0C"/>
          <w:spacing w:val="-10"/>
          <w:sz w:val="22"/>
        </w:rPr>
        <w:t> </w:t>
      </w:r>
      <w:r>
        <w:rPr>
          <w:color w:val="0C0C0C"/>
          <w:sz w:val="22"/>
        </w:rPr>
        <w:t>Business Services</w:t>
      </w:r>
      <w:r>
        <w:rPr>
          <w:color w:val="0C0C0C"/>
          <w:spacing w:val="-4"/>
          <w:sz w:val="22"/>
        </w:rPr>
        <w:t> </w:t>
      </w:r>
      <w:r>
        <w:rPr>
          <w:color w:val="0C0C0C"/>
          <w:sz w:val="22"/>
        </w:rPr>
        <w:t>-</w:t>
      </w:r>
      <w:r>
        <w:rPr>
          <w:color w:val="0C0C0C"/>
          <w:spacing w:val="38"/>
          <w:sz w:val="22"/>
        </w:rPr>
        <w:t> </w:t>
      </w:r>
      <w:r>
        <w:rPr>
          <w:color w:val="0C0C0C"/>
          <w:sz w:val="22"/>
        </w:rPr>
        <w:t>Accounting Policies, Statement of</w:t>
      </w:r>
      <w:r>
        <w:rPr>
          <w:color w:val="0C0C0C"/>
          <w:spacing w:val="-14"/>
          <w:sz w:val="22"/>
        </w:rPr>
        <w:t> </w:t>
      </w:r>
      <w:r>
        <w:rPr>
          <w:color w:val="0C0C0C"/>
          <w:sz w:val="22"/>
        </w:rPr>
        <w:t>Accounts, Treasury Management.</w:t>
      </w:r>
    </w:p>
    <w:p>
      <w:pPr>
        <w:pStyle w:val="BodyText"/>
        <w:spacing w:before="9"/>
      </w:pPr>
    </w:p>
    <w:p>
      <w:pPr>
        <w:spacing w:before="0"/>
        <w:ind w:left="871" w:right="0" w:firstLine="0"/>
        <w:jc w:val="left"/>
        <w:rPr>
          <w:b/>
          <w:sz w:val="21"/>
        </w:rPr>
      </w:pPr>
      <w:r>
        <w:rPr>
          <w:b/>
          <w:color w:val="0C0C0C"/>
          <w:w w:val="105"/>
          <w:sz w:val="21"/>
        </w:rPr>
        <w:t>Ensuring</w:t>
      </w:r>
      <w:r>
        <w:rPr>
          <w:b/>
          <w:color w:val="0C0C0C"/>
          <w:spacing w:val="-5"/>
          <w:w w:val="105"/>
          <w:sz w:val="21"/>
        </w:rPr>
        <w:t> </w:t>
      </w:r>
      <w:r>
        <w:rPr>
          <w:b/>
          <w:color w:val="0C0C0C"/>
          <w:w w:val="105"/>
          <w:sz w:val="21"/>
        </w:rPr>
        <w:t>the</w:t>
      </w:r>
      <w:r>
        <w:rPr>
          <w:b/>
          <w:color w:val="0C0C0C"/>
          <w:spacing w:val="-15"/>
          <w:w w:val="105"/>
          <w:sz w:val="21"/>
        </w:rPr>
        <w:t> </w:t>
      </w:r>
      <w:r>
        <w:rPr>
          <w:b/>
          <w:color w:val="0C0C0C"/>
          <w:w w:val="105"/>
          <w:sz w:val="21"/>
        </w:rPr>
        <w:t>authority's</w:t>
      </w:r>
      <w:r>
        <w:rPr>
          <w:b/>
          <w:color w:val="0C0C0C"/>
          <w:spacing w:val="-9"/>
          <w:w w:val="105"/>
          <w:sz w:val="21"/>
        </w:rPr>
        <w:t> </w:t>
      </w:r>
      <w:r>
        <w:rPr>
          <w:b/>
          <w:color w:val="0C0C0C"/>
          <w:w w:val="105"/>
          <w:sz w:val="21"/>
        </w:rPr>
        <w:t>assurance</w:t>
      </w:r>
      <w:r>
        <w:rPr>
          <w:b/>
          <w:color w:val="0C0C0C"/>
          <w:spacing w:val="-11"/>
          <w:w w:val="105"/>
          <w:sz w:val="21"/>
        </w:rPr>
        <w:t> </w:t>
      </w:r>
      <w:r>
        <w:rPr>
          <w:b/>
          <w:color w:val="0C0C0C"/>
          <w:w w:val="105"/>
          <w:sz w:val="21"/>
        </w:rPr>
        <w:t>arrangements</w:t>
      </w:r>
      <w:r>
        <w:rPr>
          <w:b/>
          <w:color w:val="0C0C0C"/>
          <w:spacing w:val="4"/>
          <w:w w:val="105"/>
          <w:sz w:val="21"/>
        </w:rPr>
        <w:t> </w:t>
      </w:r>
      <w:r>
        <w:rPr>
          <w:b/>
          <w:color w:val="0C0C0C"/>
          <w:w w:val="105"/>
          <w:sz w:val="21"/>
        </w:rPr>
        <w:t>conform</w:t>
      </w:r>
      <w:r>
        <w:rPr>
          <w:b/>
          <w:color w:val="0C0C0C"/>
          <w:spacing w:val="-15"/>
          <w:w w:val="105"/>
          <w:sz w:val="21"/>
        </w:rPr>
        <w:t> </w:t>
      </w:r>
      <w:r>
        <w:rPr>
          <w:b/>
          <w:color w:val="0C0C0C"/>
          <w:w w:val="105"/>
          <w:sz w:val="21"/>
        </w:rPr>
        <w:t>with</w:t>
      </w:r>
      <w:r>
        <w:rPr>
          <w:b/>
          <w:color w:val="0C0C0C"/>
          <w:spacing w:val="-15"/>
          <w:w w:val="105"/>
          <w:sz w:val="21"/>
        </w:rPr>
        <w:t> </w:t>
      </w:r>
      <w:r>
        <w:rPr>
          <w:b/>
          <w:color w:val="0C0C0C"/>
          <w:w w:val="105"/>
          <w:sz w:val="21"/>
        </w:rPr>
        <w:t>governance</w:t>
      </w:r>
      <w:r>
        <w:rPr>
          <w:b/>
          <w:color w:val="0C0C0C"/>
          <w:spacing w:val="-1"/>
          <w:w w:val="105"/>
          <w:sz w:val="21"/>
        </w:rPr>
        <w:t> </w:t>
      </w:r>
      <w:r>
        <w:rPr>
          <w:b/>
          <w:color w:val="0C0C0C"/>
          <w:spacing w:val="-2"/>
          <w:w w:val="105"/>
          <w:sz w:val="21"/>
        </w:rPr>
        <w:t>requirements</w:t>
      </w:r>
    </w:p>
    <w:p>
      <w:pPr>
        <w:pStyle w:val="BodyText"/>
        <w:spacing w:before="1"/>
        <w:rPr>
          <w:b/>
        </w:rPr>
      </w:pPr>
    </w:p>
    <w:p>
      <w:pPr>
        <w:pStyle w:val="BodyText"/>
        <w:ind w:left="861"/>
      </w:pPr>
      <w:r>
        <w:rPr>
          <w:color w:val="0C0C0C"/>
          <w:u w:val="thick" w:color="1D1D1D"/>
        </w:rPr>
        <w:t>Internal</w:t>
      </w:r>
      <w:r>
        <w:rPr>
          <w:color w:val="0C0C0C"/>
          <w:spacing w:val="-9"/>
          <w:u w:val="thick" w:color="1D1D1D"/>
        </w:rPr>
        <w:t> </w:t>
      </w:r>
      <w:r>
        <w:rPr>
          <w:color w:val="1D1D1D"/>
          <w:spacing w:val="-2"/>
          <w:u w:val="thick" w:color="1D1D1D"/>
        </w:rPr>
        <w:t>Audit</w:t>
      </w:r>
    </w:p>
    <w:p>
      <w:pPr>
        <w:pStyle w:val="ListParagraph"/>
        <w:numPr>
          <w:ilvl w:val="0"/>
          <w:numId w:val="29"/>
        </w:numPr>
        <w:tabs>
          <w:tab w:val="left" w:leader="none" w:pos="861"/>
          <w:tab w:val="left" w:leader="none" w:pos="866"/>
        </w:tabs>
        <w:spacing w:before="252" w:after="0" w:line="240" w:lineRule="auto"/>
        <w:ind w:left="866" w:right="400" w:hanging="715"/>
        <w:jc w:val="left"/>
        <w:rPr>
          <w:color w:val="0C0C0C"/>
          <w:sz w:val="22"/>
        </w:rPr>
      </w:pPr>
      <w:r>
        <w:rPr>
          <w:color w:val="1D1D1D"/>
          <w:sz w:val="22"/>
        </w:rPr>
        <w:t>Internal Audit is</w:t>
      </w:r>
      <w:r>
        <w:rPr>
          <w:color w:val="1D1D1D"/>
          <w:spacing w:val="-2"/>
          <w:sz w:val="22"/>
        </w:rPr>
        <w:t> </w:t>
      </w:r>
      <w:r>
        <w:rPr>
          <w:color w:val="1D1D1D"/>
          <w:sz w:val="22"/>
        </w:rPr>
        <w:t>an assurance </w:t>
      </w:r>
      <w:r>
        <w:rPr>
          <w:color w:val="343434"/>
          <w:sz w:val="22"/>
        </w:rPr>
        <w:t>function </w:t>
      </w:r>
      <w:r>
        <w:rPr>
          <w:color w:val="1D1D1D"/>
          <w:sz w:val="22"/>
        </w:rPr>
        <w:t>that provides </w:t>
      </w:r>
      <w:r>
        <w:rPr>
          <w:color w:val="0C0C0C"/>
          <w:sz w:val="22"/>
        </w:rPr>
        <w:t>an </w:t>
      </w:r>
      <w:r>
        <w:rPr>
          <w:color w:val="1D1D1D"/>
          <w:sz w:val="22"/>
        </w:rPr>
        <w:t>independent</w:t>
      </w:r>
      <w:r>
        <w:rPr>
          <w:color w:val="1D1D1D"/>
          <w:spacing w:val="35"/>
          <w:sz w:val="22"/>
        </w:rPr>
        <w:t> </w:t>
      </w:r>
      <w:r>
        <w:rPr>
          <w:color w:val="1D1D1D"/>
          <w:sz w:val="22"/>
        </w:rPr>
        <w:t>and</w:t>
      </w:r>
      <w:r>
        <w:rPr>
          <w:color w:val="1D1D1D"/>
          <w:spacing w:val="-1"/>
          <w:sz w:val="22"/>
        </w:rPr>
        <w:t> </w:t>
      </w:r>
      <w:r>
        <w:rPr>
          <w:color w:val="1D1D1D"/>
          <w:sz w:val="22"/>
        </w:rPr>
        <w:t>objective opinion </w:t>
      </w:r>
      <w:r>
        <w:rPr>
          <w:color w:val="0C0C0C"/>
          <w:sz w:val="22"/>
        </w:rPr>
        <w:t>to</w:t>
      </w:r>
      <w:r>
        <w:rPr>
          <w:color w:val="0C0C0C"/>
          <w:spacing w:val="-7"/>
          <w:sz w:val="22"/>
        </w:rPr>
        <w:t> </w:t>
      </w:r>
      <w:r>
        <w:rPr>
          <w:color w:val="0C0C0C"/>
          <w:sz w:val="22"/>
        </w:rPr>
        <w:t>the </w:t>
      </w:r>
      <w:r>
        <w:rPr>
          <w:color w:val="1D1D1D"/>
          <w:sz w:val="22"/>
        </w:rPr>
        <w:t>Council </w:t>
      </w:r>
      <w:r>
        <w:rPr>
          <w:color w:val="0C0C0C"/>
          <w:sz w:val="22"/>
        </w:rPr>
        <w:t>on</w:t>
      </w:r>
      <w:r>
        <w:rPr>
          <w:color w:val="0C0C0C"/>
          <w:spacing w:val="-14"/>
          <w:sz w:val="22"/>
        </w:rPr>
        <w:t> </w:t>
      </w:r>
      <w:r>
        <w:rPr>
          <w:color w:val="343434"/>
          <w:sz w:val="22"/>
        </w:rPr>
        <w:t>its</w:t>
      </w:r>
      <w:r>
        <w:rPr>
          <w:color w:val="343434"/>
          <w:spacing w:val="-8"/>
          <w:sz w:val="22"/>
        </w:rPr>
        <w:t> </w:t>
      </w:r>
      <w:r>
        <w:rPr>
          <w:color w:val="1D1D1D"/>
          <w:sz w:val="22"/>
        </w:rPr>
        <w:t>control</w:t>
      </w:r>
      <w:r>
        <w:rPr>
          <w:color w:val="1D1D1D"/>
          <w:spacing w:val="-6"/>
          <w:sz w:val="22"/>
        </w:rPr>
        <w:t> </w:t>
      </w:r>
      <w:r>
        <w:rPr>
          <w:color w:val="1D1D1D"/>
          <w:sz w:val="22"/>
        </w:rPr>
        <w:t>environment </w:t>
      </w:r>
      <w:r>
        <w:rPr>
          <w:color w:val="0C0C0C"/>
          <w:sz w:val="22"/>
        </w:rPr>
        <w:t>-</w:t>
      </w:r>
      <w:r>
        <w:rPr>
          <w:color w:val="0C0C0C"/>
          <w:spacing w:val="40"/>
          <w:sz w:val="22"/>
        </w:rPr>
        <w:t> </w:t>
      </w:r>
      <w:r>
        <w:rPr>
          <w:color w:val="1D1D1D"/>
          <w:sz w:val="22"/>
        </w:rPr>
        <w:t>this</w:t>
      </w:r>
      <w:r>
        <w:rPr>
          <w:color w:val="1D1D1D"/>
          <w:spacing w:val="-9"/>
          <w:sz w:val="22"/>
        </w:rPr>
        <w:t> </w:t>
      </w:r>
      <w:r>
        <w:rPr>
          <w:color w:val="1D1D1D"/>
          <w:sz w:val="22"/>
        </w:rPr>
        <w:t>comprises the</w:t>
      </w:r>
      <w:r>
        <w:rPr>
          <w:color w:val="1D1D1D"/>
          <w:spacing w:val="-4"/>
          <w:sz w:val="22"/>
        </w:rPr>
        <w:t> </w:t>
      </w:r>
      <w:r>
        <w:rPr>
          <w:color w:val="1D1D1D"/>
          <w:sz w:val="22"/>
        </w:rPr>
        <w:t>systems </w:t>
      </w:r>
      <w:r>
        <w:rPr>
          <w:color w:val="0C0C0C"/>
          <w:sz w:val="22"/>
        </w:rPr>
        <w:t>of</w:t>
      </w:r>
      <w:r>
        <w:rPr>
          <w:color w:val="0C0C0C"/>
          <w:spacing w:val="-12"/>
          <w:sz w:val="22"/>
        </w:rPr>
        <w:t> </w:t>
      </w:r>
      <w:r>
        <w:rPr>
          <w:color w:val="0C0C0C"/>
          <w:sz w:val="22"/>
        </w:rPr>
        <w:t>governance, </w:t>
      </w:r>
      <w:r>
        <w:rPr>
          <w:color w:val="1D1D1D"/>
          <w:sz w:val="22"/>
        </w:rPr>
        <w:t>internal control</w:t>
      </w:r>
      <w:r>
        <w:rPr>
          <w:color w:val="1D1D1D"/>
          <w:spacing w:val="-2"/>
          <w:sz w:val="22"/>
        </w:rPr>
        <w:t> </w:t>
      </w:r>
      <w:r>
        <w:rPr>
          <w:color w:val="0C0C0C"/>
          <w:sz w:val="22"/>
        </w:rPr>
        <w:t>and </w:t>
      </w:r>
      <w:r>
        <w:rPr>
          <w:color w:val="1D1D1D"/>
          <w:sz w:val="22"/>
        </w:rPr>
        <w:t>risk management</w:t>
      </w:r>
      <w:r>
        <w:rPr>
          <w:color w:val="1D1D1D"/>
          <w:spacing w:val="36"/>
          <w:sz w:val="22"/>
        </w:rPr>
        <w:t> </w:t>
      </w:r>
      <w:r>
        <w:rPr>
          <w:color w:val="1D1D1D"/>
          <w:sz w:val="22"/>
        </w:rPr>
        <w:t>-</w:t>
      </w:r>
      <w:r>
        <w:rPr>
          <w:color w:val="1D1D1D"/>
          <w:spacing w:val="40"/>
          <w:sz w:val="22"/>
        </w:rPr>
        <w:t> </w:t>
      </w:r>
      <w:r>
        <w:rPr>
          <w:color w:val="1D1D1D"/>
          <w:sz w:val="22"/>
        </w:rPr>
        <w:t>by</w:t>
      </w:r>
      <w:r>
        <w:rPr>
          <w:color w:val="1D1D1D"/>
          <w:spacing w:val="-1"/>
          <w:sz w:val="22"/>
        </w:rPr>
        <w:t> </w:t>
      </w:r>
      <w:r>
        <w:rPr>
          <w:color w:val="0C0C0C"/>
          <w:sz w:val="22"/>
        </w:rPr>
        <w:t>evaluating </w:t>
      </w:r>
      <w:r>
        <w:rPr>
          <w:color w:val="343434"/>
          <w:sz w:val="22"/>
        </w:rPr>
        <w:t>its </w:t>
      </w:r>
      <w:r>
        <w:rPr>
          <w:color w:val="1D1D1D"/>
          <w:sz w:val="22"/>
        </w:rPr>
        <w:t>effectiveness in</w:t>
      </w:r>
      <w:r>
        <w:rPr>
          <w:color w:val="1D1D1D"/>
          <w:spacing w:val="-6"/>
          <w:sz w:val="22"/>
        </w:rPr>
        <w:t> </w:t>
      </w:r>
      <w:r>
        <w:rPr>
          <w:color w:val="0C0C0C"/>
          <w:sz w:val="22"/>
        </w:rPr>
        <w:t>achieving the organisation's </w:t>
      </w:r>
      <w:r>
        <w:rPr>
          <w:color w:val="1D1D1D"/>
          <w:sz w:val="22"/>
        </w:rPr>
        <w:t>objectives.</w:t>
      </w:r>
    </w:p>
    <w:p>
      <w:pPr>
        <w:pStyle w:val="BodyText"/>
        <w:spacing w:before="1"/>
      </w:pPr>
    </w:p>
    <w:p>
      <w:pPr>
        <w:pStyle w:val="ListParagraph"/>
        <w:numPr>
          <w:ilvl w:val="0"/>
          <w:numId w:val="29"/>
        </w:numPr>
        <w:tabs>
          <w:tab w:val="left" w:leader="none" w:pos="862"/>
        </w:tabs>
        <w:spacing w:before="1" w:after="0" w:line="240" w:lineRule="auto"/>
        <w:ind w:left="862" w:right="0" w:hanging="706"/>
        <w:jc w:val="left"/>
        <w:rPr>
          <w:color w:val="0C0C0C"/>
          <w:sz w:val="22"/>
        </w:rPr>
      </w:pPr>
      <w:r>
        <w:rPr>
          <w:color w:val="0C0C0C"/>
          <w:sz w:val="22"/>
        </w:rPr>
        <w:t>The</w:t>
      </w:r>
      <w:r>
        <w:rPr>
          <w:color w:val="0C0C0C"/>
          <w:spacing w:val="-6"/>
          <w:sz w:val="22"/>
        </w:rPr>
        <w:t> </w:t>
      </w:r>
      <w:r>
        <w:rPr>
          <w:color w:val="0C0C0C"/>
          <w:sz w:val="22"/>
        </w:rPr>
        <w:t>Council</w:t>
      </w:r>
      <w:r>
        <w:rPr>
          <w:color w:val="0C0C0C"/>
          <w:spacing w:val="3"/>
          <w:sz w:val="22"/>
        </w:rPr>
        <w:t> </w:t>
      </w:r>
      <w:r>
        <w:rPr>
          <w:color w:val="0C0C0C"/>
          <w:sz w:val="22"/>
        </w:rPr>
        <w:t>joined</w:t>
      </w:r>
      <w:r>
        <w:rPr>
          <w:color w:val="0C0C0C"/>
          <w:spacing w:val="-4"/>
          <w:sz w:val="22"/>
        </w:rPr>
        <w:t> </w:t>
      </w:r>
      <w:r>
        <w:rPr>
          <w:color w:val="0C0C0C"/>
          <w:sz w:val="22"/>
        </w:rPr>
        <w:t>six</w:t>
      </w:r>
      <w:r>
        <w:rPr>
          <w:color w:val="0C0C0C"/>
          <w:spacing w:val="-9"/>
          <w:sz w:val="22"/>
        </w:rPr>
        <w:t> </w:t>
      </w:r>
      <w:r>
        <w:rPr>
          <w:color w:val="0C0C0C"/>
          <w:sz w:val="22"/>
        </w:rPr>
        <w:t>other</w:t>
      </w:r>
      <w:r>
        <w:rPr>
          <w:color w:val="0C0C0C"/>
          <w:spacing w:val="3"/>
          <w:sz w:val="22"/>
        </w:rPr>
        <w:t> </w:t>
      </w:r>
      <w:r>
        <w:rPr>
          <w:color w:val="0C0C0C"/>
          <w:sz w:val="22"/>
        </w:rPr>
        <w:t>districts</w:t>
      </w:r>
      <w:r>
        <w:rPr>
          <w:color w:val="0C0C0C"/>
          <w:spacing w:val="3"/>
          <w:sz w:val="22"/>
        </w:rPr>
        <w:t> </w:t>
      </w:r>
      <w:r>
        <w:rPr>
          <w:color w:val="1D1D1D"/>
          <w:sz w:val="22"/>
        </w:rPr>
        <w:t>/</w:t>
      </w:r>
      <w:r>
        <w:rPr>
          <w:color w:val="1D1D1D"/>
          <w:spacing w:val="-15"/>
          <w:sz w:val="22"/>
        </w:rPr>
        <w:t> </w:t>
      </w:r>
      <w:r>
        <w:rPr>
          <w:color w:val="1D1D1D"/>
          <w:sz w:val="22"/>
        </w:rPr>
        <w:t>boroughs</w:t>
      </w:r>
      <w:r>
        <w:rPr>
          <w:color w:val="1D1D1D"/>
          <w:spacing w:val="4"/>
          <w:sz w:val="22"/>
        </w:rPr>
        <w:t> </w:t>
      </w:r>
      <w:r>
        <w:rPr>
          <w:color w:val="0C0C0C"/>
          <w:sz w:val="22"/>
        </w:rPr>
        <w:t>(East</w:t>
      </w:r>
      <w:r>
        <w:rPr>
          <w:color w:val="0C0C0C"/>
          <w:spacing w:val="1"/>
          <w:sz w:val="22"/>
        </w:rPr>
        <w:t> </w:t>
      </w:r>
      <w:r>
        <w:rPr>
          <w:color w:val="0C0C0C"/>
          <w:sz w:val="22"/>
        </w:rPr>
        <w:t>Herts</w:t>
      </w:r>
      <w:r>
        <w:rPr>
          <w:color w:val="0C0C0C"/>
          <w:spacing w:val="-6"/>
          <w:sz w:val="22"/>
        </w:rPr>
        <w:t> </w:t>
      </w:r>
      <w:r>
        <w:rPr>
          <w:color w:val="0C0C0C"/>
          <w:sz w:val="22"/>
        </w:rPr>
        <w:t>Council,</w:t>
      </w:r>
      <w:r>
        <w:rPr>
          <w:color w:val="0C0C0C"/>
          <w:spacing w:val="1"/>
          <w:sz w:val="22"/>
        </w:rPr>
        <w:t> </w:t>
      </w:r>
      <w:r>
        <w:rPr>
          <w:color w:val="0C0C0C"/>
          <w:sz w:val="22"/>
        </w:rPr>
        <w:t>North</w:t>
      </w:r>
      <w:r>
        <w:rPr>
          <w:color w:val="0C0C0C"/>
          <w:spacing w:val="-7"/>
          <w:sz w:val="22"/>
        </w:rPr>
        <w:t> </w:t>
      </w:r>
      <w:r>
        <w:rPr>
          <w:color w:val="0C0C0C"/>
          <w:sz w:val="22"/>
        </w:rPr>
        <w:t>Herts</w:t>
      </w:r>
      <w:r>
        <w:rPr>
          <w:color w:val="0C0C0C"/>
          <w:spacing w:val="-6"/>
          <w:sz w:val="22"/>
        </w:rPr>
        <w:t> </w:t>
      </w:r>
      <w:r>
        <w:rPr>
          <w:color w:val="0C0C0C"/>
          <w:spacing w:val="-5"/>
          <w:sz w:val="22"/>
        </w:rPr>
        <w:t>DC,</w:t>
      </w:r>
    </w:p>
    <w:p>
      <w:pPr>
        <w:pStyle w:val="BodyText"/>
        <w:spacing w:before="1"/>
        <w:ind w:left="861"/>
      </w:pPr>
      <w:r>
        <w:rPr>
          <w:color w:val="0C0C0C"/>
        </w:rPr>
        <w:t>Stevenage BC,</w:t>
      </w:r>
      <w:r>
        <w:rPr>
          <w:color w:val="0C0C0C"/>
          <w:spacing w:val="-8"/>
        </w:rPr>
        <w:t> </w:t>
      </w:r>
      <w:r>
        <w:rPr>
          <w:color w:val="0C0C0C"/>
        </w:rPr>
        <w:t>Welwyn Hatfield </w:t>
      </w:r>
      <w:r>
        <w:rPr>
          <w:color w:val="1D1D1D"/>
        </w:rPr>
        <w:t>BC</w:t>
      </w:r>
      <w:r>
        <w:rPr>
          <w:color w:val="4D4D4D"/>
        </w:rPr>
        <w:t>,</w:t>
      </w:r>
      <w:r>
        <w:rPr>
          <w:color w:val="4D4D4D"/>
          <w:spacing w:val="-23"/>
        </w:rPr>
        <w:t> </w:t>
      </w:r>
      <w:r>
        <w:rPr>
          <w:color w:val="1D1D1D"/>
        </w:rPr>
        <w:t>Watford</w:t>
      </w:r>
      <w:r>
        <w:rPr>
          <w:color w:val="1D1D1D"/>
          <w:spacing w:val="-11"/>
        </w:rPr>
        <w:t> </w:t>
      </w:r>
      <w:r>
        <w:rPr>
          <w:color w:val="0C0C0C"/>
        </w:rPr>
        <w:t>BC and</w:t>
      </w:r>
      <w:r>
        <w:rPr>
          <w:color w:val="0C0C0C"/>
          <w:spacing w:val="-11"/>
        </w:rPr>
        <w:t> </w:t>
      </w:r>
      <w:r>
        <w:rPr>
          <w:color w:val="0C0C0C"/>
        </w:rPr>
        <w:t>Three</w:t>
      </w:r>
      <w:r>
        <w:rPr>
          <w:color w:val="0C0C0C"/>
          <w:spacing w:val="-4"/>
        </w:rPr>
        <w:t> </w:t>
      </w:r>
      <w:r>
        <w:rPr>
          <w:color w:val="0C0C0C"/>
        </w:rPr>
        <w:t>Rivers</w:t>
      </w:r>
      <w:r>
        <w:rPr>
          <w:color w:val="0C0C0C"/>
          <w:spacing w:val="-1"/>
        </w:rPr>
        <w:t> </w:t>
      </w:r>
      <w:r>
        <w:rPr>
          <w:color w:val="0C0C0C"/>
        </w:rPr>
        <w:t>DC) </w:t>
      </w:r>
      <w:r>
        <w:rPr>
          <w:color w:val="1D1D1D"/>
        </w:rPr>
        <w:t>and</w:t>
      </w:r>
      <w:r>
        <w:rPr>
          <w:color w:val="1D1D1D"/>
          <w:spacing w:val="-9"/>
        </w:rPr>
        <w:t> </w:t>
      </w:r>
      <w:r>
        <w:rPr>
          <w:color w:val="0C0C0C"/>
        </w:rPr>
        <w:t>Hertfordshire</w:t>
      </w:r>
      <w:r>
        <w:rPr>
          <w:color w:val="0C0C0C"/>
          <w:spacing w:val="17"/>
        </w:rPr>
        <w:t> </w:t>
      </w:r>
      <w:r>
        <w:rPr>
          <w:color w:val="1D1D1D"/>
        </w:rPr>
        <w:t>County </w:t>
      </w:r>
      <w:r>
        <w:rPr>
          <w:color w:val="0C0C0C"/>
        </w:rPr>
        <w:t>Council in</w:t>
      </w:r>
      <w:r>
        <w:rPr>
          <w:color w:val="0C0C0C"/>
          <w:spacing w:val="-1"/>
        </w:rPr>
        <w:t> </w:t>
      </w:r>
      <w:r>
        <w:rPr>
          <w:color w:val="0C0C0C"/>
        </w:rPr>
        <w:t>2011/12 to deliver a shared </w:t>
      </w:r>
      <w:r>
        <w:rPr>
          <w:color w:val="1D1D1D"/>
        </w:rPr>
        <w:t>internal </w:t>
      </w:r>
      <w:r>
        <w:rPr>
          <w:color w:val="0C0C0C"/>
        </w:rPr>
        <w:t>audit service to </w:t>
      </w:r>
      <w:r>
        <w:rPr>
          <w:color w:val="1D1D1D"/>
        </w:rPr>
        <w:t>provide </w:t>
      </w:r>
      <w:r>
        <w:rPr>
          <w:color w:val="0C0C0C"/>
        </w:rPr>
        <w:t>efficiency </w:t>
      </w:r>
      <w:r>
        <w:rPr>
          <w:color w:val="1D1D1D"/>
        </w:rPr>
        <w:t>and</w:t>
      </w:r>
      <w:r>
        <w:rPr>
          <w:color w:val="1D1D1D"/>
          <w:spacing w:val="-12"/>
        </w:rPr>
        <w:t> </w:t>
      </w:r>
      <w:r>
        <w:rPr>
          <w:color w:val="0C0C0C"/>
        </w:rPr>
        <w:t>resilience.</w:t>
      </w:r>
    </w:p>
    <w:p>
      <w:pPr>
        <w:pStyle w:val="BodyText"/>
        <w:spacing w:before="1"/>
      </w:pPr>
    </w:p>
    <w:p>
      <w:pPr>
        <w:pStyle w:val="ListParagraph"/>
        <w:numPr>
          <w:ilvl w:val="0"/>
          <w:numId w:val="29"/>
        </w:numPr>
        <w:tabs>
          <w:tab w:val="left" w:leader="none" w:pos="862"/>
        </w:tabs>
        <w:spacing w:before="0" w:after="0" w:line="244" w:lineRule="auto"/>
        <w:ind w:left="862" w:right="498" w:hanging="706"/>
        <w:jc w:val="left"/>
        <w:rPr>
          <w:color w:val="0C0C0C"/>
          <w:sz w:val="22"/>
        </w:rPr>
      </w:pPr>
      <w:r>
        <w:rPr>
          <w:color w:val="0C0C0C"/>
          <w:sz w:val="22"/>
        </w:rPr>
        <w:t>The</w:t>
      </w:r>
      <w:r>
        <w:rPr>
          <w:color w:val="0C0C0C"/>
          <w:spacing w:val="-3"/>
          <w:sz w:val="22"/>
        </w:rPr>
        <w:t> </w:t>
      </w:r>
      <w:r>
        <w:rPr>
          <w:color w:val="0C0C0C"/>
          <w:sz w:val="22"/>
        </w:rPr>
        <w:t>SIAS </w:t>
      </w:r>
      <w:r>
        <w:rPr>
          <w:color w:val="1D1D1D"/>
          <w:sz w:val="22"/>
        </w:rPr>
        <w:t>Team</w:t>
      </w:r>
      <w:r>
        <w:rPr>
          <w:color w:val="1D1D1D"/>
          <w:spacing w:val="-4"/>
          <w:sz w:val="22"/>
        </w:rPr>
        <w:t> </w:t>
      </w:r>
      <w:r>
        <w:rPr>
          <w:color w:val="0C0C0C"/>
          <w:sz w:val="22"/>
        </w:rPr>
        <w:t>has</w:t>
      </w:r>
      <w:r>
        <w:rPr>
          <w:color w:val="0C0C0C"/>
          <w:spacing w:val="-6"/>
          <w:sz w:val="22"/>
        </w:rPr>
        <w:t> </w:t>
      </w:r>
      <w:r>
        <w:rPr>
          <w:color w:val="0C0C0C"/>
          <w:sz w:val="22"/>
        </w:rPr>
        <w:t>undertaken a</w:t>
      </w:r>
      <w:r>
        <w:rPr>
          <w:color w:val="0C0C0C"/>
          <w:spacing w:val="-1"/>
          <w:sz w:val="22"/>
        </w:rPr>
        <w:t> </w:t>
      </w:r>
      <w:r>
        <w:rPr>
          <w:color w:val="1D1D1D"/>
          <w:sz w:val="22"/>
        </w:rPr>
        <w:t>work</w:t>
      </w:r>
      <w:r>
        <w:rPr>
          <w:color w:val="1D1D1D"/>
          <w:spacing w:val="-7"/>
          <w:sz w:val="22"/>
        </w:rPr>
        <w:t> </w:t>
      </w:r>
      <w:r>
        <w:rPr>
          <w:color w:val="0C0C0C"/>
          <w:sz w:val="22"/>
        </w:rPr>
        <w:t>programme</w:t>
      </w:r>
      <w:r>
        <w:rPr>
          <w:color w:val="0C0C0C"/>
          <w:spacing w:val="-3"/>
          <w:sz w:val="22"/>
        </w:rPr>
        <w:t> </w:t>
      </w:r>
      <w:r>
        <w:rPr>
          <w:color w:val="0C0C0C"/>
          <w:sz w:val="22"/>
        </w:rPr>
        <w:t>during</w:t>
      </w:r>
      <w:r>
        <w:rPr>
          <w:color w:val="0C0C0C"/>
          <w:spacing w:val="-6"/>
          <w:sz w:val="22"/>
        </w:rPr>
        <w:t> </w:t>
      </w:r>
      <w:r>
        <w:rPr>
          <w:color w:val="0C0C0C"/>
          <w:sz w:val="22"/>
        </w:rPr>
        <w:t>the</w:t>
      </w:r>
      <w:r>
        <w:rPr>
          <w:color w:val="0C0C0C"/>
          <w:spacing w:val="-16"/>
          <w:sz w:val="22"/>
        </w:rPr>
        <w:t> </w:t>
      </w:r>
      <w:r>
        <w:rPr>
          <w:color w:val="0C0C0C"/>
          <w:sz w:val="22"/>
        </w:rPr>
        <w:t>financial year, which was </w:t>
      </w:r>
      <w:r>
        <w:rPr>
          <w:color w:val="1D1D1D"/>
          <w:sz w:val="22"/>
        </w:rPr>
        <w:t>approved </w:t>
      </w:r>
      <w:r>
        <w:rPr>
          <w:color w:val="0C0C0C"/>
          <w:sz w:val="22"/>
        </w:rPr>
        <w:t>by the Audit </w:t>
      </w:r>
      <w:r>
        <w:rPr>
          <w:color w:val="1D1D1D"/>
          <w:sz w:val="22"/>
        </w:rPr>
        <w:t>Committee, </w:t>
      </w:r>
      <w:r>
        <w:rPr>
          <w:color w:val="0C0C0C"/>
          <w:sz w:val="22"/>
        </w:rPr>
        <w:t>and has operated in</w:t>
      </w:r>
      <w:r>
        <w:rPr>
          <w:color w:val="0C0C0C"/>
          <w:spacing w:val="-4"/>
          <w:sz w:val="22"/>
        </w:rPr>
        <w:t> </w:t>
      </w:r>
      <w:r>
        <w:rPr>
          <w:color w:val="0C0C0C"/>
          <w:sz w:val="22"/>
        </w:rPr>
        <w:t>accordance with the </w:t>
      </w:r>
      <w:r>
        <w:rPr>
          <w:color w:val="1D1D1D"/>
          <w:sz w:val="22"/>
        </w:rPr>
        <w:t>Public </w:t>
      </w:r>
      <w:r>
        <w:rPr>
          <w:color w:val="0C0C0C"/>
          <w:sz w:val="22"/>
        </w:rPr>
        <w:t>Sector Internal </w:t>
      </w:r>
      <w:r>
        <w:rPr>
          <w:color w:val="1D1D1D"/>
          <w:sz w:val="22"/>
        </w:rPr>
        <w:t>Audit </w:t>
      </w:r>
      <w:r>
        <w:rPr>
          <w:color w:val="0C0C0C"/>
          <w:sz w:val="22"/>
        </w:rPr>
        <w:t>Standards (PSIAS).</w:t>
      </w:r>
    </w:p>
    <w:p>
      <w:pPr>
        <w:pStyle w:val="ListParagraph"/>
        <w:numPr>
          <w:ilvl w:val="0"/>
          <w:numId w:val="29"/>
        </w:numPr>
        <w:tabs>
          <w:tab w:val="left" w:leader="none" w:pos="862"/>
        </w:tabs>
        <w:spacing w:before="240" w:after="0" w:line="247" w:lineRule="auto"/>
        <w:ind w:left="862" w:right="1162" w:hanging="707"/>
        <w:jc w:val="left"/>
        <w:rPr>
          <w:color w:val="0C0C0C"/>
          <w:sz w:val="22"/>
        </w:rPr>
      </w:pPr>
      <w:r>
        <w:rPr>
          <w:color w:val="0C0C0C"/>
          <w:sz w:val="22"/>
        </w:rPr>
        <w:t>In</w:t>
      </w:r>
      <w:r>
        <w:rPr>
          <w:color w:val="0C0C0C"/>
          <w:spacing w:val="-16"/>
          <w:sz w:val="22"/>
        </w:rPr>
        <w:t> </w:t>
      </w:r>
      <w:r>
        <w:rPr>
          <w:color w:val="0C0C0C"/>
          <w:sz w:val="22"/>
        </w:rPr>
        <w:t>line</w:t>
      </w:r>
      <w:r>
        <w:rPr>
          <w:color w:val="0C0C0C"/>
          <w:spacing w:val="-3"/>
          <w:sz w:val="22"/>
        </w:rPr>
        <w:t> </w:t>
      </w:r>
      <w:r>
        <w:rPr>
          <w:color w:val="0C0C0C"/>
          <w:sz w:val="22"/>
        </w:rPr>
        <w:t>with</w:t>
      </w:r>
      <w:r>
        <w:rPr>
          <w:color w:val="0C0C0C"/>
          <w:spacing w:val="-4"/>
          <w:sz w:val="22"/>
        </w:rPr>
        <w:t> </w:t>
      </w:r>
      <w:r>
        <w:rPr>
          <w:color w:val="0C0C0C"/>
          <w:sz w:val="22"/>
        </w:rPr>
        <w:t>the</w:t>
      </w:r>
      <w:r>
        <w:rPr>
          <w:color w:val="0C0C0C"/>
          <w:spacing w:val="-9"/>
          <w:sz w:val="22"/>
        </w:rPr>
        <w:t> </w:t>
      </w:r>
      <w:r>
        <w:rPr>
          <w:color w:val="0C0C0C"/>
          <w:sz w:val="22"/>
        </w:rPr>
        <w:t>PSIAS, an</w:t>
      </w:r>
      <w:r>
        <w:rPr>
          <w:color w:val="0C0C0C"/>
          <w:spacing w:val="-3"/>
          <w:sz w:val="22"/>
        </w:rPr>
        <w:t> </w:t>
      </w:r>
      <w:r>
        <w:rPr>
          <w:color w:val="0C0C0C"/>
          <w:sz w:val="22"/>
        </w:rPr>
        <w:t>Annual Assurance Statement</w:t>
      </w:r>
      <w:r>
        <w:rPr>
          <w:color w:val="0C0C0C"/>
          <w:spacing w:val="21"/>
          <w:sz w:val="22"/>
        </w:rPr>
        <w:t> </w:t>
      </w:r>
      <w:r>
        <w:rPr>
          <w:color w:val="0C0C0C"/>
          <w:sz w:val="22"/>
        </w:rPr>
        <w:t>and</w:t>
      </w:r>
      <w:r>
        <w:rPr>
          <w:color w:val="0C0C0C"/>
          <w:spacing w:val="-12"/>
          <w:sz w:val="22"/>
        </w:rPr>
        <w:t> </w:t>
      </w:r>
      <w:r>
        <w:rPr>
          <w:color w:val="0C0C0C"/>
          <w:sz w:val="22"/>
        </w:rPr>
        <w:t>Internal Audit Annual</w:t>
      </w:r>
      <w:r>
        <w:rPr>
          <w:color w:val="0C0C0C"/>
          <w:spacing w:val="-4"/>
          <w:sz w:val="22"/>
        </w:rPr>
        <w:t> </w:t>
      </w:r>
      <w:r>
        <w:rPr>
          <w:color w:val="0C0C0C"/>
          <w:sz w:val="22"/>
        </w:rPr>
        <w:t>Report is presented to the Audit Committee which:</w:t>
      </w:r>
    </w:p>
    <w:p>
      <w:pPr>
        <w:pStyle w:val="ListParagraph"/>
        <w:numPr>
          <w:ilvl w:val="1"/>
          <w:numId w:val="29"/>
        </w:numPr>
        <w:tabs>
          <w:tab w:val="left" w:leader="none" w:pos="1295"/>
          <w:tab w:val="left" w:leader="none" w:pos="1297"/>
        </w:tabs>
        <w:spacing w:before="245" w:after="0" w:line="237" w:lineRule="auto"/>
        <w:ind w:left="1297" w:right="485" w:hanging="433"/>
        <w:jc w:val="left"/>
        <w:rPr>
          <w:color w:val="0C0C0C"/>
          <w:sz w:val="22"/>
        </w:rPr>
      </w:pPr>
      <w:r>
        <w:rPr>
          <w:color w:val="343434"/>
          <w:sz w:val="22"/>
        </w:rPr>
        <w:t>includes </w:t>
      </w:r>
      <w:r>
        <w:rPr>
          <w:color w:val="1D1D1D"/>
          <w:sz w:val="22"/>
        </w:rPr>
        <w:t>an</w:t>
      </w:r>
      <w:r>
        <w:rPr>
          <w:color w:val="1D1D1D"/>
          <w:spacing w:val="-16"/>
          <w:sz w:val="22"/>
        </w:rPr>
        <w:t> </w:t>
      </w:r>
      <w:r>
        <w:rPr>
          <w:color w:val="0C0C0C"/>
          <w:sz w:val="22"/>
        </w:rPr>
        <w:t>opinion</w:t>
      </w:r>
      <w:r>
        <w:rPr>
          <w:color w:val="0C0C0C"/>
          <w:spacing w:val="-1"/>
          <w:sz w:val="22"/>
        </w:rPr>
        <w:t> </w:t>
      </w:r>
      <w:r>
        <w:rPr>
          <w:color w:val="0C0C0C"/>
          <w:sz w:val="22"/>
        </w:rPr>
        <w:t>on</w:t>
      </w:r>
      <w:r>
        <w:rPr>
          <w:color w:val="0C0C0C"/>
          <w:spacing w:val="-14"/>
          <w:sz w:val="22"/>
        </w:rPr>
        <w:t> </w:t>
      </w:r>
      <w:r>
        <w:rPr>
          <w:color w:val="0C0C0C"/>
          <w:sz w:val="22"/>
        </w:rPr>
        <w:t>the</w:t>
      </w:r>
      <w:r>
        <w:rPr>
          <w:color w:val="0C0C0C"/>
          <w:spacing w:val="-5"/>
          <w:sz w:val="22"/>
        </w:rPr>
        <w:t> </w:t>
      </w:r>
      <w:r>
        <w:rPr>
          <w:color w:val="0C0C0C"/>
          <w:sz w:val="22"/>
        </w:rPr>
        <w:t>overall</w:t>
      </w:r>
      <w:r>
        <w:rPr>
          <w:color w:val="0C0C0C"/>
          <w:spacing w:val="-3"/>
          <w:sz w:val="22"/>
        </w:rPr>
        <w:t> </w:t>
      </w:r>
      <w:r>
        <w:rPr>
          <w:color w:val="0C0C0C"/>
          <w:sz w:val="22"/>
        </w:rPr>
        <w:t>adequacy</w:t>
      </w:r>
      <w:r>
        <w:rPr>
          <w:color w:val="0C0C0C"/>
          <w:spacing w:val="19"/>
          <w:sz w:val="22"/>
        </w:rPr>
        <w:t> </w:t>
      </w:r>
      <w:r>
        <w:rPr>
          <w:color w:val="0C0C0C"/>
          <w:sz w:val="22"/>
        </w:rPr>
        <w:t>and</w:t>
      </w:r>
      <w:r>
        <w:rPr>
          <w:color w:val="0C0C0C"/>
          <w:spacing w:val="-11"/>
          <w:sz w:val="22"/>
        </w:rPr>
        <w:t> </w:t>
      </w:r>
      <w:r>
        <w:rPr>
          <w:color w:val="0C0C0C"/>
          <w:sz w:val="22"/>
        </w:rPr>
        <w:t>effectiveness of</w:t>
      </w:r>
      <w:r>
        <w:rPr>
          <w:color w:val="0C0C0C"/>
          <w:spacing w:val="-1"/>
          <w:sz w:val="22"/>
        </w:rPr>
        <w:t> </w:t>
      </w:r>
      <w:r>
        <w:rPr>
          <w:color w:val="0C0C0C"/>
          <w:sz w:val="22"/>
        </w:rPr>
        <w:t>the</w:t>
      </w:r>
      <w:r>
        <w:rPr>
          <w:color w:val="0C0C0C"/>
          <w:spacing w:val="-10"/>
          <w:sz w:val="22"/>
        </w:rPr>
        <w:t> </w:t>
      </w:r>
      <w:r>
        <w:rPr>
          <w:color w:val="0C0C0C"/>
          <w:sz w:val="22"/>
        </w:rPr>
        <w:t>Council's internal control </w:t>
      </w:r>
      <w:r>
        <w:rPr>
          <w:color w:val="1D1D1D"/>
          <w:spacing w:val="-2"/>
          <w:sz w:val="22"/>
        </w:rPr>
        <w:t>environment,</w:t>
      </w:r>
    </w:p>
    <w:p>
      <w:pPr>
        <w:pStyle w:val="ListParagraph"/>
        <w:numPr>
          <w:ilvl w:val="1"/>
          <w:numId w:val="29"/>
        </w:numPr>
        <w:tabs>
          <w:tab w:val="left" w:leader="none" w:pos="1288"/>
        </w:tabs>
        <w:spacing w:before="59" w:after="0" w:line="240" w:lineRule="auto"/>
        <w:ind w:left="1288" w:right="0" w:hanging="426"/>
        <w:jc w:val="left"/>
        <w:rPr>
          <w:color w:val="0C0C0C"/>
          <w:sz w:val="22"/>
        </w:rPr>
      </w:pPr>
      <w:r>
        <w:rPr>
          <w:color w:val="0C0C0C"/>
          <w:sz w:val="22"/>
        </w:rPr>
        <w:t>discloses</w:t>
      </w:r>
      <w:r>
        <w:rPr>
          <w:color w:val="0C0C0C"/>
          <w:spacing w:val="16"/>
          <w:sz w:val="22"/>
        </w:rPr>
        <w:t> </w:t>
      </w:r>
      <w:r>
        <w:rPr>
          <w:color w:val="0C0C0C"/>
          <w:sz w:val="22"/>
        </w:rPr>
        <w:t>any qualifications</w:t>
      </w:r>
      <w:r>
        <w:rPr>
          <w:color w:val="0C0C0C"/>
          <w:spacing w:val="-8"/>
          <w:sz w:val="22"/>
        </w:rPr>
        <w:t> </w:t>
      </w:r>
      <w:r>
        <w:rPr>
          <w:color w:val="0C0C0C"/>
          <w:sz w:val="22"/>
        </w:rPr>
        <w:t>to</w:t>
      </w:r>
      <w:r>
        <w:rPr>
          <w:color w:val="0C0C0C"/>
          <w:spacing w:val="-5"/>
          <w:sz w:val="22"/>
        </w:rPr>
        <w:t> </w:t>
      </w:r>
      <w:r>
        <w:rPr>
          <w:color w:val="0C0C0C"/>
          <w:sz w:val="22"/>
        </w:rPr>
        <w:t>that</w:t>
      </w:r>
      <w:r>
        <w:rPr>
          <w:color w:val="0C0C0C"/>
          <w:spacing w:val="4"/>
          <w:sz w:val="22"/>
        </w:rPr>
        <w:t> </w:t>
      </w:r>
      <w:r>
        <w:rPr>
          <w:color w:val="0C0C0C"/>
          <w:sz w:val="22"/>
        </w:rPr>
        <w:t>opinion,</w:t>
      </w:r>
      <w:r>
        <w:rPr>
          <w:color w:val="0C0C0C"/>
          <w:spacing w:val="10"/>
          <w:sz w:val="22"/>
        </w:rPr>
        <w:t> </w:t>
      </w:r>
      <w:r>
        <w:rPr>
          <w:color w:val="0C0C0C"/>
          <w:sz w:val="22"/>
        </w:rPr>
        <w:t>together</w:t>
      </w:r>
      <w:r>
        <w:rPr>
          <w:color w:val="0C0C0C"/>
          <w:spacing w:val="6"/>
          <w:sz w:val="22"/>
        </w:rPr>
        <w:t> </w:t>
      </w:r>
      <w:r>
        <w:rPr>
          <w:color w:val="0C0C0C"/>
          <w:sz w:val="22"/>
        </w:rPr>
        <w:t>with</w:t>
      </w:r>
      <w:r>
        <w:rPr>
          <w:color w:val="0C0C0C"/>
          <w:spacing w:val="-3"/>
          <w:sz w:val="22"/>
        </w:rPr>
        <w:t> </w:t>
      </w:r>
      <w:r>
        <w:rPr>
          <w:color w:val="0C0C0C"/>
          <w:sz w:val="22"/>
        </w:rPr>
        <w:t>any</w:t>
      </w:r>
      <w:r>
        <w:rPr>
          <w:color w:val="0C0C0C"/>
          <w:spacing w:val="-4"/>
          <w:sz w:val="22"/>
        </w:rPr>
        <w:t> </w:t>
      </w:r>
      <w:r>
        <w:rPr>
          <w:color w:val="0C0C0C"/>
          <w:sz w:val="22"/>
        </w:rPr>
        <w:t>reasons</w:t>
      </w:r>
      <w:r>
        <w:rPr>
          <w:color w:val="0C0C0C"/>
          <w:spacing w:val="-1"/>
          <w:sz w:val="22"/>
        </w:rPr>
        <w:t> </w:t>
      </w:r>
      <w:r>
        <w:rPr>
          <w:color w:val="0C0C0C"/>
          <w:sz w:val="22"/>
        </w:rPr>
        <w:t>for</w:t>
      </w:r>
      <w:r>
        <w:rPr>
          <w:color w:val="0C0C0C"/>
          <w:spacing w:val="-7"/>
          <w:sz w:val="22"/>
        </w:rPr>
        <w:t> </w:t>
      </w:r>
      <w:r>
        <w:rPr>
          <w:color w:val="0C0C0C"/>
          <w:sz w:val="22"/>
        </w:rPr>
        <w:t>the</w:t>
      </w:r>
      <w:r>
        <w:rPr>
          <w:color w:val="0C0C0C"/>
          <w:spacing w:val="-8"/>
          <w:sz w:val="22"/>
        </w:rPr>
        <w:t> </w:t>
      </w:r>
      <w:r>
        <w:rPr>
          <w:color w:val="0C0C0C"/>
          <w:sz w:val="22"/>
        </w:rPr>
        <w:t>qualification,</w:t>
      </w:r>
      <w:r>
        <w:rPr>
          <w:color w:val="0C0C0C"/>
          <w:spacing w:val="-9"/>
          <w:sz w:val="22"/>
        </w:rPr>
        <w:t> </w:t>
      </w:r>
      <w:r>
        <w:rPr>
          <w:color w:val="0C0C0C"/>
          <w:spacing w:val="-5"/>
          <w:sz w:val="22"/>
        </w:rPr>
        <w:t>and</w:t>
      </w:r>
    </w:p>
    <w:p>
      <w:pPr>
        <w:pStyle w:val="ListParagraph"/>
        <w:numPr>
          <w:ilvl w:val="1"/>
          <w:numId w:val="29"/>
        </w:numPr>
        <w:tabs>
          <w:tab w:val="left" w:leader="none" w:pos="1297"/>
          <w:tab w:val="left" w:leader="none" w:pos="1300"/>
        </w:tabs>
        <w:spacing w:before="61" w:after="0" w:line="237" w:lineRule="auto"/>
        <w:ind w:left="1300" w:right="671" w:hanging="433"/>
        <w:jc w:val="left"/>
        <w:rPr>
          <w:color w:val="0C0C0C"/>
          <w:sz w:val="22"/>
        </w:rPr>
      </w:pPr>
      <w:r>
        <w:rPr>
          <w:color w:val="1D1D1D"/>
          <w:sz w:val="22"/>
        </w:rPr>
        <w:t>draws attention to</w:t>
      </w:r>
      <w:r>
        <w:rPr>
          <w:color w:val="1D1D1D"/>
          <w:spacing w:val="-8"/>
          <w:sz w:val="22"/>
        </w:rPr>
        <w:t> </w:t>
      </w:r>
      <w:r>
        <w:rPr>
          <w:color w:val="1D1D1D"/>
          <w:sz w:val="22"/>
        </w:rPr>
        <w:t>any </w:t>
      </w:r>
      <w:r>
        <w:rPr>
          <w:color w:val="343434"/>
          <w:sz w:val="22"/>
        </w:rPr>
        <w:t>issues </w:t>
      </w:r>
      <w:r>
        <w:rPr>
          <w:color w:val="0C0C0C"/>
          <w:sz w:val="22"/>
        </w:rPr>
        <w:t>which are</w:t>
      </w:r>
      <w:r>
        <w:rPr>
          <w:color w:val="0C0C0C"/>
          <w:spacing w:val="-7"/>
          <w:sz w:val="22"/>
        </w:rPr>
        <w:t> </w:t>
      </w:r>
      <w:r>
        <w:rPr>
          <w:color w:val="0C0C0C"/>
          <w:sz w:val="22"/>
        </w:rPr>
        <w:t>judged</w:t>
      </w:r>
      <w:r>
        <w:rPr>
          <w:color w:val="0C0C0C"/>
          <w:spacing w:val="-9"/>
          <w:sz w:val="22"/>
        </w:rPr>
        <w:t> </w:t>
      </w:r>
      <w:r>
        <w:rPr>
          <w:color w:val="0C0C0C"/>
          <w:sz w:val="22"/>
        </w:rPr>
        <w:t>particularly relevant to</w:t>
      </w:r>
      <w:r>
        <w:rPr>
          <w:color w:val="0C0C0C"/>
          <w:spacing w:val="-8"/>
          <w:sz w:val="22"/>
        </w:rPr>
        <w:t> </w:t>
      </w:r>
      <w:r>
        <w:rPr>
          <w:color w:val="0C0C0C"/>
          <w:sz w:val="22"/>
        </w:rPr>
        <w:t>the</w:t>
      </w:r>
      <w:r>
        <w:rPr>
          <w:color w:val="0C0C0C"/>
          <w:spacing w:val="-8"/>
          <w:sz w:val="22"/>
        </w:rPr>
        <w:t> </w:t>
      </w:r>
      <w:r>
        <w:rPr>
          <w:color w:val="0C0C0C"/>
          <w:sz w:val="22"/>
        </w:rPr>
        <w:t>preparation of</w:t>
      </w:r>
      <w:r>
        <w:rPr>
          <w:color w:val="0C0C0C"/>
          <w:spacing w:val="-11"/>
          <w:sz w:val="22"/>
        </w:rPr>
        <w:t> </w:t>
      </w:r>
      <w:r>
        <w:rPr>
          <w:color w:val="0C0C0C"/>
          <w:sz w:val="22"/>
        </w:rPr>
        <w:t>the </w:t>
      </w:r>
      <w:r>
        <w:rPr>
          <w:color w:val="1D1D1D"/>
          <w:sz w:val="22"/>
        </w:rPr>
        <w:t>Annual Governance Statement.</w:t>
      </w:r>
    </w:p>
    <w:p>
      <w:pPr>
        <w:spacing w:after="0" w:line="237" w:lineRule="auto"/>
        <w:jc w:val="left"/>
        <w:rPr>
          <w:sz w:val="22"/>
        </w:rPr>
        <w:sectPr>
          <w:headerReference w:type="default" r:id="rId313"/>
          <w:headerReference w:type="even" r:id="rId314"/>
          <w:footerReference w:type="default" r:id="rId315"/>
          <w:footerReference w:type="even" r:id="rId316"/>
          <w:pgSz w:w="11910" w:h="16830"/>
          <w:pgMar w:top="900" w:right="540" w:bottom="1340" w:left="440" w:header="709" w:footer="1156"/>
          <w:pgNumType w:start="141"/>
        </w:sectPr>
      </w:pPr>
    </w:p>
    <w:p>
      <w:pPr>
        <w:pStyle w:val="BodyText"/>
        <w:spacing w:before="32"/>
        <w:rPr>
          <w:sz w:val="21"/>
        </w:rPr>
      </w:pPr>
      <w:r>
        <w:rPr/>
        <ve:AlternateContent>
          <ve:Choice Requires="wps">
            <w:drawing>
              <wp:anchor distT="0" distB="0" distL="0" distR="0" simplePos="0" relativeHeight="15890944" behindDoc="0" locked="0" layoutInCell="1" allowOverlap="1">
                <wp:simplePos x="0" y="0"/>
                <wp:positionH relativeFrom="page">
                  <wp:posOffset>15264</wp:posOffset>
                </wp:positionH>
                <wp:positionV relativeFrom="page">
                  <wp:posOffset>9880697</wp:posOffset>
                </wp:positionV>
                <wp:extent cx="1270" cy="695960"/>
                <wp:effectExtent l="0" t="0" r="0" b="0"/>
                <wp:wrapNone/>
                <wp:docPr id="748" name="Graphic 748"/>
                <wp:cNvGraphicFramePr>
                  <a:graphicFrameLocks/>
                </wp:cNvGraphicFramePr>
                <a:graphic>
                  <a:graphicData uri="http://schemas.microsoft.com/office/word/2010/wordprocessingShape">
                    <wps:wsp>
                      <wps:cNvPr id="748" name="Graphic 748"/>
                      <wps:cNvSpPr/>
                      <wps:spPr>
                        <a:xfrm>
                          <a:off x="0" y="0"/>
                          <a:ext cx="1270" cy="695960"/>
                        </a:xfrm>
                        <a:custGeom>
                          <a:avLst/>
                          <a:gdLst/>
                          <a:ahLst/>
                          <a:cxnLst/>
                          <a:rect l="l" t="t" r="r" b="b"/>
                          <a:pathLst>
                            <a:path w="0" h="695960">
                              <a:moveTo>
                                <a:pt x="0" y="695736"/>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90944" stroked="true" strokecolor="#000000" strokeweight=".961549pt" from="1.201936pt,832.790123pt" to="1.201936pt,778.00769pt">
                <v:stroke dashstyle="solid"/>
                <w10:wrap type="none"/>
              </v:line>
            </w:pict>
          </ve:Fallback>
        </ve:AlternateContent>
      </w:r>
    </w:p>
    <w:p>
      <w:pPr>
        <w:pStyle w:val="ListParagraph"/>
        <w:numPr>
          <w:ilvl w:val="0"/>
          <w:numId w:val="29"/>
        </w:numPr>
        <w:tabs>
          <w:tab w:val="left" w:leader="none" w:pos="1063"/>
          <w:tab w:val="left" w:leader="none" w:pos="1069"/>
        </w:tabs>
        <w:spacing w:before="0" w:after="0" w:line="247" w:lineRule="auto"/>
        <w:ind w:left="1063" w:right="202" w:hanging="709"/>
        <w:jc w:val="left"/>
        <w:rPr>
          <w:color w:val="161616"/>
          <w:sz w:val="21"/>
        </w:rPr>
      </w:pPr>
      <w:r>
        <w:rPr>
          <w:color w:val="545454"/>
          <w:sz w:val="21"/>
        </w:rPr>
        <w:tab/>
      </w:r>
      <w:r>
        <w:rPr>
          <w:color w:val="161616"/>
          <w:w w:val="105"/>
          <w:sz w:val="21"/>
        </w:rPr>
        <w:t>The</w:t>
      </w:r>
      <w:r>
        <w:rPr>
          <w:color w:val="161616"/>
          <w:spacing w:val="-10"/>
          <w:w w:val="105"/>
          <w:sz w:val="21"/>
        </w:rPr>
        <w:t> </w:t>
      </w:r>
      <w:r>
        <w:rPr>
          <w:color w:val="161616"/>
          <w:w w:val="105"/>
          <w:sz w:val="21"/>
        </w:rPr>
        <w:t>SIAS</w:t>
      </w:r>
      <w:r>
        <w:rPr>
          <w:color w:val="161616"/>
          <w:spacing w:val="-7"/>
          <w:w w:val="105"/>
          <w:sz w:val="21"/>
        </w:rPr>
        <w:t> </w:t>
      </w:r>
      <w:r>
        <w:rPr>
          <w:color w:val="161616"/>
          <w:w w:val="105"/>
          <w:sz w:val="21"/>
        </w:rPr>
        <w:t>Annual</w:t>
      </w:r>
      <w:r>
        <w:rPr>
          <w:color w:val="161616"/>
          <w:spacing w:val="-8"/>
          <w:w w:val="105"/>
          <w:sz w:val="21"/>
        </w:rPr>
        <w:t> </w:t>
      </w:r>
      <w:r>
        <w:rPr>
          <w:color w:val="161616"/>
          <w:w w:val="105"/>
          <w:sz w:val="21"/>
        </w:rPr>
        <w:t>Assurance Statement and</w:t>
      </w:r>
      <w:r>
        <w:rPr>
          <w:color w:val="161616"/>
          <w:spacing w:val="-16"/>
          <w:w w:val="105"/>
          <w:sz w:val="21"/>
        </w:rPr>
        <w:t> </w:t>
      </w:r>
      <w:r>
        <w:rPr>
          <w:color w:val="161616"/>
          <w:w w:val="105"/>
          <w:sz w:val="21"/>
        </w:rPr>
        <w:t>Internal</w:t>
      </w:r>
      <w:r>
        <w:rPr>
          <w:color w:val="161616"/>
          <w:spacing w:val="-7"/>
          <w:w w:val="105"/>
          <w:sz w:val="21"/>
        </w:rPr>
        <w:t> </w:t>
      </w:r>
      <w:r>
        <w:rPr>
          <w:color w:val="161616"/>
          <w:w w:val="105"/>
          <w:sz w:val="21"/>
        </w:rPr>
        <w:t>Audit</w:t>
      </w:r>
      <w:r>
        <w:rPr>
          <w:color w:val="161616"/>
          <w:spacing w:val="-4"/>
          <w:w w:val="105"/>
          <w:sz w:val="21"/>
        </w:rPr>
        <w:t> </w:t>
      </w:r>
      <w:r>
        <w:rPr>
          <w:i/>
          <w:color w:val="161616"/>
          <w:w w:val="105"/>
          <w:sz w:val="21"/>
        </w:rPr>
        <w:t>Annual</w:t>
      </w:r>
      <w:r>
        <w:rPr>
          <w:i/>
          <w:color w:val="161616"/>
          <w:spacing w:val="14"/>
          <w:w w:val="105"/>
          <w:sz w:val="21"/>
        </w:rPr>
        <w:t> </w:t>
      </w:r>
      <w:r>
        <w:rPr>
          <w:color w:val="161616"/>
          <w:w w:val="105"/>
          <w:sz w:val="21"/>
        </w:rPr>
        <w:t>Report</w:t>
      </w:r>
      <w:r>
        <w:rPr>
          <w:color w:val="161616"/>
          <w:spacing w:val="-1"/>
          <w:w w:val="105"/>
          <w:sz w:val="21"/>
        </w:rPr>
        <w:t> </w:t>
      </w:r>
      <w:r>
        <w:rPr>
          <w:color w:val="161616"/>
          <w:w w:val="105"/>
          <w:sz w:val="21"/>
        </w:rPr>
        <w:t>is</w:t>
      </w:r>
      <w:r>
        <w:rPr>
          <w:color w:val="161616"/>
          <w:spacing w:val="-9"/>
          <w:w w:val="105"/>
          <w:sz w:val="21"/>
        </w:rPr>
        <w:t> </w:t>
      </w:r>
      <w:r>
        <w:rPr>
          <w:color w:val="161616"/>
          <w:w w:val="105"/>
          <w:sz w:val="21"/>
        </w:rPr>
        <w:t>a</w:t>
      </w:r>
      <w:r>
        <w:rPr>
          <w:color w:val="161616"/>
          <w:spacing w:val="-15"/>
          <w:w w:val="105"/>
          <w:sz w:val="21"/>
        </w:rPr>
        <w:t> </w:t>
      </w:r>
      <w:r>
        <w:rPr>
          <w:color w:val="161616"/>
          <w:w w:val="105"/>
          <w:sz w:val="21"/>
        </w:rPr>
        <w:t>key</w:t>
      </w:r>
      <w:r>
        <w:rPr>
          <w:color w:val="161616"/>
          <w:spacing w:val="-7"/>
          <w:w w:val="105"/>
          <w:sz w:val="21"/>
        </w:rPr>
        <w:t> </w:t>
      </w:r>
      <w:r>
        <w:rPr>
          <w:color w:val="161616"/>
          <w:w w:val="105"/>
          <w:sz w:val="21"/>
        </w:rPr>
        <w:t>source</w:t>
      </w:r>
      <w:r>
        <w:rPr>
          <w:color w:val="161616"/>
          <w:spacing w:val="-7"/>
          <w:w w:val="105"/>
          <w:sz w:val="21"/>
        </w:rPr>
        <w:t> </w:t>
      </w:r>
      <w:r>
        <w:rPr>
          <w:color w:val="161616"/>
          <w:w w:val="105"/>
          <w:sz w:val="21"/>
        </w:rPr>
        <w:t>document for</w:t>
      </w:r>
      <w:r>
        <w:rPr>
          <w:color w:val="161616"/>
          <w:spacing w:val="-3"/>
          <w:w w:val="105"/>
          <w:sz w:val="21"/>
        </w:rPr>
        <w:t> </w:t>
      </w:r>
      <w:r>
        <w:rPr>
          <w:color w:val="161616"/>
          <w:w w:val="105"/>
          <w:sz w:val="21"/>
        </w:rPr>
        <w:t>the</w:t>
      </w:r>
      <w:r>
        <w:rPr>
          <w:color w:val="161616"/>
          <w:spacing w:val="-4"/>
          <w:w w:val="105"/>
          <w:sz w:val="21"/>
        </w:rPr>
        <w:t> </w:t>
      </w:r>
      <w:r>
        <w:rPr>
          <w:color w:val="161616"/>
          <w:w w:val="105"/>
          <w:sz w:val="21"/>
        </w:rPr>
        <w:t>Council's </w:t>
      </w:r>
      <w:r>
        <w:rPr>
          <w:i/>
          <w:color w:val="161616"/>
          <w:w w:val="105"/>
          <w:sz w:val="21"/>
        </w:rPr>
        <w:t>Annual</w:t>
      </w:r>
      <w:r>
        <w:rPr>
          <w:i/>
          <w:color w:val="161616"/>
          <w:spacing w:val="29"/>
          <w:w w:val="105"/>
          <w:sz w:val="21"/>
        </w:rPr>
        <w:t> </w:t>
      </w:r>
      <w:r>
        <w:rPr>
          <w:color w:val="161616"/>
          <w:w w:val="105"/>
          <w:sz w:val="21"/>
        </w:rPr>
        <w:t>Governance Statement. For</w:t>
      </w:r>
      <w:r>
        <w:rPr>
          <w:color w:val="161616"/>
          <w:spacing w:val="-3"/>
          <w:w w:val="105"/>
          <w:sz w:val="21"/>
        </w:rPr>
        <w:t> </w:t>
      </w:r>
      <w:r>
        <w:rPr>
          <w:color w:val="161616"/>
          <w:w w:val="105"/>
          <w:sz w:val="21"/>
        </w:rPr>
        <w:t>2022/23 this report includes the</w:t>
      </w:r>
      <w:r>
        <w:rPr>
          <w:color w:val="161616"/>
          <w:spacing w:val="-3"/>
          <w:w w:val="105"/>
          <w:sz w:val="21"/>
        </w:rPr>
        <w:t> </w:t>
      </w:r>
      <w:r>
        <w:rPr>
          <w:color w:val="161616"/>
          <w:w w:val="105"/>
          <w:sz w:val="21"/>
        </w:rPr>
        <w:t>following </w:t>
      </w:r>
      <w:r>
        <w:rPr>
          <w:color w:val="161616"/>
          <w:spacing w:val="-2"/>
          <w:w w:val="105"/>
          <w:sz w:val="21"/>
        </w:rPr>
        <w:t>statements</w:t>
      </w:r>
      <w:r>
        <w:rPr>
          <w:color w:val="545454"/>
          <w:spacing w:val="-2"/>
          <w:w w:val="105"/>
          <w:sz w:val="21"/>
        </w:rPr>
        <w:t>:</w:t>
      </w:r>
    </w:p>
    <w:p>
      <w:pPr>
        <w:pStyle w:val="BodyText"/>
        <w:spacing w:before="31"/>
        <w:rPr>
          <w:sz w:val="21"/>
        </w:rPr>
      </w:pPr>
    </w:p>
    <w:p>
      <w:pPr>
        <w:pStyle w:val="ListParagraph"/>
        <w:numPr>
          <w:ilvl w:val="0"/>
          <w:numId w:val="33"/>
        </w:numPr>
        <w:tabs>
          <w:tab w:val="left" w:leader="none" w:pos="1123"/>
          <w:tab w:val="left" w:leader="none" w:pos="1132"/>
        </w:tabs>
        <w:spacing w:before="0" w:after="0" w:line="249" w:lineRule="auto"/>
        <w:ind w:left="1123" w:right="331" w:hanging="358"/>
        <w:jc w:val="left"/>
        <w:rPr>
          <w:sz w:val="21"/>
        </w:rPr>
      </w:pPr>
      <w:r>
        <w:rPr>
          <w:color w:val="161616"/>
          <w:sz w:val="21"/>
        </w:rPr>
        <w:tab/>
      </w:r>
      <w:r>
        <w:rPr>
          <w:color w:val="161616"/>
          <w:w w:val="105"/>
          <w:sz w:val="21"/>
        </w:rPr>
        <w:t>A</w:t>
      </w:r>
      <w:r>
        <w:rPr>
          <w:color w:val="161616"/>
          <w:spacing w:val="-6"/>
          <w:w w:val="105"/>
          <w:sz w:val="21"/>
        </w:rPr>
        <w:t> </w:t>
      </w:r>
      <w:r>
        <w:rPr>
          <w:color w:val="2A2A2A"/>
          <w:w w:val="105"/>
          <w:sz w:val="21"/>
        </w:rPr>
        <w:t>reasonable </w:t>
      </w:r>
      <w:r>
        <w:rPr>
          <w:color w:val="161616"/>
          <w:w w:val="105"/>
          <w:sz w:val="21"/>
        </w:rPr>
        <w:t>assurance opinion</w:t>
      </w:r>
      <w:r>
        <w:rPr>
          <w:color w:val="161616"/>
          <w:spacing w:val="-4"/>
          <w:w w:val="105"/>
          <w:sz w:val="21"/>
        </w:rPr>
        <w:t> </w:t>
      </w:r>
      <w:r>
        <w:rPr>
          <w:color w:val="414141"/>
          <w:w w:val="105"/>
          <w:sz w:val="21"/>
        </w:rPr>
        <w:t>i</w:t>
      </w:r>
      <w:r>
        <w:rPr>
          <w:color w:val="161616"/>
          <w:w w:val="105"/>
          <w:sz w:val="21"/>
        </w:rPr>
        <w:t>s</w:t>
      </w:r>
      <w:r>
        <w:rPr>
          <w:color w:val="161616"/>
          <w:spacing w:val="-12"/>
          <w:w w:val="105"/>
          <w:sz w:val="21"/>
        </w:rPr>
        <w:t> </w:t>
      </w:r>
      <w:r>
        <w:rPr>
          <w:color w:val="161616"/>
          <w:w w:val="105"/>
          <w:sz w:val="21"/>
        </w:rPr>
        <w:t>given</w:t>
      </w:r>
      <w:r>
        <w:rPr>
          <w:color w:val="161616"/>
          <w:spacing w:val="-1"/>
          <w:w w:val="105"/>
          <w:sz w:val="21"/>
        </w:rPr>
        <w:t> </w:t>
      </w:r>
      <w:r>
        <w:rPr>
          <w:color w:val="161616"/>
          <w:w w:val="105"/>
          <w:sz w:val="21"/>
        </w:rPr>
        <w:t>on</w:t>
      </w:r>
      <w:r>
        <w:rPr>
          <w:color w:val="161616"/>
          <w:spacing w:val="-9"/>
          <w:w w:val="105"/>
          <w:sz w:val="21"/>
        </w:rPr>
        <w:t> </w:t>
      </w:r>
      <w:r>
        <w:rPr>
          <w:color w:val="2A2A2A"/>
          <w:w w:val="105"/>
          <w:sz w:val="21"/>
        </w:rPr>
        <w:t>the</w:t>
      </w:r>
      <w:r>
        <w:rPr>
          <w:color w:val="2A2A2A"/>
          <w:spacing w:val="-7"/>
          <w:w w:val="105"/>
          <w:sz w:val="21"/>
        </w:rPr>
        <w:t> </w:t>
      </w:r>
      <w:r>
        <w:rPr>
          <w:color w:val="161616"/>
          <w:w w:val="105"/>
          <w:sz w:val="21"/>
        </w:rPr>
        <w:t>adequacy and</w:t>
      </w:r>
      <w:r>
        <w:rPr>
          <w:color w:val="161616"/>
          <w:spacing w:val="-16"/>
          <w:w w:val="105"/>
          <w:sz w:val="21"/>
        </w:rPr>
        <w:t> </w:t>
      </w:r>
      <w:r>
        <w:rPr>
          <w:color w:val="161616"/>
          <w:w w:val="105"/>
          <w:sz w:val="21"/>
        </w:rPr>
        <w:t>effectiveness of</w:t>
      </w:r>
      <w:r>
        <w:rPr>
          <w:color w:val="161616"/>
          <w:spacing w:val="-12"/>
          <w:w w:val="105"/>
          <w:sz w:val="21"/>
        </w:rPr>
        <w:t> </w:t>
      </w:r>
      <w:r>
        <w:rPr>
          <w:color w:val="161616"/>
          <w:w w:val="105"/>
          <w:sz w:val="21"/>
        </w:rPr>
        <w:t>both</w:t>
      </w:r>
      <w:r>
        <w:rPr>
          <w:color w:val="161616"/>
          <w:spacing w:val="-11"/>
          <w:w w:val="105"/>
          <w:sz w:val="21"/>
        </w:rPr>
        <w:t> </w:t>
      </w:r>
      <w:r>
        <w:rPr>
          <w:color w:val="2A2A2A"/>
          <w:w w:val="105"/>
          <w:sz w:val="21"/>
        </w:rPr>
        <w:t>financial</w:t>
      </w:r>
      <w:r>
        <w:rPr>
          <w:color w:val="2A2A2A"/>
          <w:spacing w:val="-2"/>
          <w:w w:val="105"/>
          <w:sz w:val="21"/>
        </w:rPr>
        <w:t> </w:t>
      </w:r>
      <w:r>
        <w:rPr>
          <w:color w:val="161616"/>
          <w:w w:val="105"/>
          <w:sz w:val="21"/>
        </w:rPr>
        <w:t>and </w:t>
      </w:r>
      <w:r>
        <w:rPr>
          <w:color w:val="2A2A2A"/>
          <w:w w:val="105"/>
          <w:sz w:val="21"/>
        </w:rPr>
        <w:t>non-financial </w:t>
      </w:r>
      <w:r>
        <w:rPr>
          <w:color w:val="161616"/>
          <w:w w:val="105"/>
          <w:sz w:val="21"/>
        </w:rPr>
        <w:t>systems in</w:t>
      </w:r>
      <w:r>
        <w:rPr>
          <w:color w:val="161616"/>
          <w:spacing w:val="-4"/>
          <w:w w:val="105"/>
          <w:sz w:val="21"/>
        </w:rPr>
        <w:t> </w:t>
      </w:r>
      <w:r>
        <w:rPr>
          <w:color w:val="161616"/>
          <w:w w:val="105"/>
          <w:sz w:val="21"/>
        </w:rPr>
        <w:t>the </w:t>
      </w:r>
      <w:r>
        <w:rPr>
          <w:color w:val="2A2A2A"/>
          <w:w w:val="105"/>
          <w:sz w:val="21"/>
        </w:rPr>
        <w:t>internal </w:t>
      </w:r>
      <w:r>
        <w:rPr>
          <w:color w:val="161616"/>
          <w:w w:val="105"/>
          <w:sz w:val="21"/>
        </w:rPr>
        <w:t>control environment. There </w:t>
      </w:r>
      <w:r>
        <w:rPr>
          <w:color w:val="2A2A2A"/>
          <w:w w:val="105"/>
          <w:sz w:val="21"/>
        </w:rPr>
        <w:t>is</w:t>
      </w:r>
      <w:r>
        <w:rPr>
          <w:color w:val="2A2A2A"/>
          <w:spacing w:val="-2"/>
          <w:w w:val="105"/>
          <w:sz w:val="21"/>
        </w:rPr>
        <w:t> </w:t>
      </w:r>
      <w:r>
        <w:rPr>
          <w:color w:val="161616"/>
          <w:w w:val="105"/>
          <w:sz w:val="21"/>
        </w:rPr>
        <w:t>a</w:t>
      </w:r>
      <w:r>
        <w:rPr>
          <w:color w:val="161616"/>
          <w:spacing w:val="-2"/>
          <w:w w:val="105"/>
          <w:sz w:val="21"/>
        </w:rPr>
        <w:t> </w:t>
      </w:r>
      <w:r>
        <w:rPr>
          <w:color w:val="161616"/>
          <w:w w:val="105"/>
          <w:sz w:val="21"/>
        </w:rPr>
        <w:t>generally sound system of governance</w:t>
      </w:r>
      <w:r>
        <w:rPr>
          <w:color w:val="545454"/>
          <w:w w:val="105"/>
          <w:sz w:val="21"/>
        </w:rPr>
        <w:t>,</w:t>
      </w:r>
      <w:r>
        <w:rPr>
          <w:color w:val="545454"/>
          <w:spacing w:val="-9"/>
          <w:w w:val="105"/>
          <w:sz w:val="21"/>
        </w:rPr>
        <w:t> </w:t>
      </w:r>
      <w:r>
        <w:rPr>
          <w:color w:val="161616"/>
          <w:w w:val="105"/>
          <w:sz w:val="21"/>
        </w:rPr>
        <w:t>risk management and control </w:t>
      </w:r>
      <w:r>
        <w:rPr>
          <w:color w:val="2A2A2A"/>
          <w:w w:val="105"/>
          <w:sz w:val="21"/>
        </w:rPr>
        <w:t>in </w:t>
      </w:r>
      <w:r>
        <w:rPr>
          <w:i/>
          <w:color w:val="161616"/>
          <w:w w:val="105"/>
          <w:sz w:val="21"/>
        </w:rPr>
        <w:t>place</w:t>
      </w:r>
      <w:r>
        <w:rPr>
          <w:i/>
          <w:color w:val="545454"/>
          <w:w w:val="105"/>
          <w:sz w:val="21"/>
        </w:rPr>
        <w:t>.</w:t>
      </w:r>
      <w:r>
        <w:rPr>
          <w:i/>
          <w:color w:val="545454"/>
          <w:spacing w:val="-5"/>
          <w:w w:val="105"/>
          <w:sz w:val="21"/>
        </w:rPr>
        <w:t> </w:t>
      </w:r>
      <w:r>
        <w:rPr>
          <w:color w:val="161616"/>
          <w:w w:val="105"/>
          <w:sz w:val="21"/>
        </w:rPr>
        <w:t>Some </w:t>
      </w:r>
      <w:r>
        <w:rPr>
          <w:color w:val="2A2A2A"/>
          <w:w w:val="105"/>
          <w:sz w:val="21"/>
        </w:rPr>
        <w:t>issues</w:t>
      </w:r>
      <w:r>
        <w:rPr>
          <w:color w:val="545454"/>
          <w:w w:val="105"/>
          <w:sz w:val="21"/>
        </w:rPr>
        <w:t>,</w:t>
      </w:r>
      <w:r>
        <w:rPr>
          <w:color w:val="545454"/>
          <w:spacing w:val="-5"/>
          <w:w w:val="105"/>
          <w:sz w:val="21"/>
        </w:rPr>
        <w:t> </w:t>
      </w:r>
      <w:r>
        <w:rPr>
          <w:color w:val="161616"/>
          <w:w w:val="105"/>
          <w:sz w:val="21"/>
        </w:rPr>
        <w:t>non-compliance or scope for </w:t>
      </w:r>
      <w:r>
        <w:rPr>
          <w:color w:val="2A2A2A"/>
          <w:w w:val="105"/>
          <w:sz w:val="21"/>
        </w:rPr>
        <w:t>improvement</w:t>
      </w:r>
      <w:r>
        <w:rPr>
          <w:color w:val="2A2A2A"/>
          <w:spacing w:val="31"/>
          <w:w w:val="105"/>
          <w:sz w:val="21"/>
        </w:rPr>
        <w:t> </w:t>
      </w:r>
      <w:r>
        <w:rPr>
          <w:color w:val="161616"/>
          <w:w w:val="105"/>
          <w:sz w:val="21"/>
        </w:rPr>
        <w:t>were identified which</w:t>
      </w:r>
      <w:r>
        <w:rPr>
          <w:color w:val="161616"/>
          <w:spacing w:val="-1"/>
          <w:w w:val="105"/>
          <w:sz w:val="21"/>
        </w:rPr>
        <w:t> </w:t>
      </w:r>
      <w:r>
        <w:rPr>
          <w:color w:val="2A2A2A"/>
          <w:w w:val="105"/>
          <w:sz w:val="21"/>
        </w:rPr>
        <w:t>may </w:t>
      </w:r>
      <w:r>
        <w:rPr>
          <w:color w:val="161616"/>
          <w:w w:val="105"/>
          <w:sz w:val="21"/>
        </w:rPr>
        <w:t>put at </w:t>
      </w:r>
      <w:r>
        <w:rPr>
          <w:color w:val="2A2A2A"/>
          <w:w w:val="105"/>
          <w:sz w:val="21"/>
        </w:rPr>
        <w:t>risk </w:t>
      </w:r>
      <w:r>
        <w:rPr>
          <w:color w:val="161616"/>
          <w:w w:val="105"/>
          <w:sz w:val="21"/>
        </w:rPr>
        <w:t>the achievement</w:t>
      </w:r>
      <w:r>
        <w:rPr>
          <w:color w:val="161616"/>
          <w:spacing w:val="36"/>
          <w:w w:val="105"/>
          <w:sz w:val="21"/>
        </w:rPr>
        <w:t> </w:t>
      </w:r>
      <w:r>
        <w:rPr>
          <w:color w:val="161616"/>
          <w:w w:val="105"/>
          <w:sz w:val="21"/>
        </w:rPr>
        <w:t>of object</w:t>
      </w:r>
      <w:r>
        <w:rPr>
          <w:color w:val="414141"/>
          <w:w w:val="105"/>
          <w:sz w:val="21"/>
        </w:rPr>
        <w:t>i</w:t>
      </w:r>
      <w:r>
        <w:rPr>
          <w:color w:val="161616"/>
          <w:w w:val="105"/>
          <w:sz w:val="21"/>
        </w:rPr>
        <w:t>ves </w:t>
      </w:r>
      <w:r>
        <w:rPr>
          <w:color w:val="2A2A2A"/>
          <w:w w:val="105"/>
          <w:sz w:val="21"/>
        </w:rPr>
        <w:t>in</w:t>
      </w:r>
      <w:r>
        <w:rPr>
          <w:color w:val="2A2A2A"/>
          <w:spacing w:val="-10"/>
          <w:w w:val="105"/>
          <w:sz w:val="21"/>
        </w:rPr>
        <w:t> </w:t>
      </w:r>
      <w:r>
        <w:rPr>
          <w:color w:val="161616"/>
          <w:w w:val="105"/>
          <w:sz w:val="21"/>
        </w:rPr>
        <w:t>the area audited</w:t>
      </w:r>
      <w:r>
        <w:rPr>
          <w:color w:val="6B6B6B"/>
          <w:w w:val="105"/>
          <w:sz w:val="21"/>
        </w:rPr>
        <w:t>. </w:t>
      </w:r>
      <w:r>
        <w:rPr>
          <w:color w:val="161616"/>
          <w:w w:val="105"/>
          <w:sz w:val="21"/>
        </w:rPr>
        <w:t>There are no qualifications </w:t>
      </w:r>
      <w:r>
        <w:rPr>
          <w:color w:val="2A2A2A"/>
          <w:w w:val="105"/>
          <w:sz w:val="21"/>
        </w:rPr>
        <w:t>to </w:t>
      </w:r>
      <w:r>
        <w:rPr>
          <w:color w:val="161616"/>
          <w:w w:val="105"/>
          <w:sz w:val="21"/>
        </w:rPr>
        <w:t>this assurance</w:t>
      </w:r>
      <w:r>
        <w:rPr>
          <w:color w:val="545454"/>
          <w:w w:val="105"/>
          <w:sz w:val="21"/>
        </w:rPr>
        <w:t>.</w:t>
      </w:r>
    </w:p>
    <w:p>
      <w:pPr>
        <w:pStyle w:val="BodyText"/>
        <w:spacing w:before="36"/>
        <w:rPr>
          <w:sz w:val="21"/>
        </w:rPr>
      </w:pPr>
    </w:p>
    <w:p>
      <w:pPr>
        <w:pStyle w:val="ListParagraph"/>
        <w:numPr>
          <w:ilvl w:val="0"/>
          <w:numId w:val="33"/>
        </w:numPr>
        <w:tabs>
          <w:tab w:val="left" w:leader="none" w:pos="1095"/>
          <w:tab w:val="left" w:leader="none" w:pos="1112"/>
        </w:tabs>
        <w:spacing w:before="0" w:after="0" w:line="252" w:lineRule="auto"/>
        <w:ind w:left="1095" w:right="190" w:hanging="345"/>
        <w:jc w:val="left"/>
        <w:rPr>
          <w:sz w:val="21"/>
        </w:rPr>
      </w:pPr>
      <w:r>
        <w:rPr>
          <w:color w:val="161616"/>
          <w:sz w:val="21"/>
        </w:rPr>
        <w:tab/>
      </w:r>
      <w:r>
        <w:rPr>
          <w:color w:val="161616"/>
          <w:w w:val="105"/>
          <w:sz w:val="21"/>
        </w:rPr>
        <w:t>SIAS</w:t>
      </w:r>
      <w:r>
        <w:rPr>
          <w:color w:val="161616"/>
          <w:spacing w:val="-11"/>
          <w:w w:val="105"/>
          <w:sz w:val="21"/>
        </w:rPr>
        <w:t> </w:t>
      </w:r>
      <w:r>
        <w:rPr>
          <w:color w:val="161616"/>
          <w:w w:val="105"/>
          <w:sz w:val="21"/>
        </w:rPr>
        <w:t>has</w:t>
      </w:r>
      <w:r>
        <w:rPr>
          <w:color w:val="161616"/>
          <w:spacing w:val="-11"/>
          <w:w w:val="105"/>
          <w:sz w:val="21"/>
        </w:rPr>
        <w:t> </w:t>
      </w:r>
      <w:r>
        <w:rPr>
          <w:color w:val="161616"/>
          <w:w w:val="105"/>
          <w:sz w:val="21"/>
        </w:rPr>
        <w:t>concluded</w:t>
      </w:r>
      <w:r>
        <w:rPr>
          <w:color w:val="161616"/>
          <w:spacing w:val="-5"/>
          <w:w w:val="105"/>
          <w:sz w:val="21"/>
        </w:rPr>
        <w:t> </w:t>
      </w:r>
      <w:r>
        <w:rPr>
          <w:color w:val="2A2A2A"/>
          <w:w w:val="105"/>
          <w:sz w:val="21"/>
        </w:rPr>
        <w:t>that</w:t>
      </w:r>
      <w:r>
        <w:rPr>
          <w:color w:val="2A2A2A"/>
          <w:spacing w:val="-11"/>
          <w:w w:val="105"/>
          <w:sz w:val="21"/>
        </w:rPr>
        <w:t> </w:t>
      </w:r>
      <w:r>
        <w:rPr>
          <w:color w:val="161616"/>
          <w:w w:val="105"/>
          <w:sz w:val="21"/>
        </w:rPr>
        <w:t>the</w:t>
      </w:r>
      <w:r>
        <w:rPr>
          <w:color w:val="161616"/>
          <w:spacing w:val="-11"/>
          <w:w w:val="105"/>
          <w:sz w:val="21"/>
        </w:rPr>
        <w:t> </w:t>
      </w:r>
      <w:r>
        <w:rPr>
          <w:color w:val="161616"/>
          <w:w w:val="105"/>
          <w:sz w:val="21"/>
        </w:rPr>
        <w:t>corporate</w:t>
      </w:r>
      <w:r>
        <w:rPr>
          <w:color w:val="161616"/>
          <w:spacing w:val="-4"/>
          <w:w w:val="105"/>
          <w:sz w:val="21"/>
        </w:rPr>
        <w:t> </w:t>
      </w:r>
      <w:r>
        <w:rPr>
          <w:color w:val="161616"/>
          <w:w w:val="105"/>
          <w:sz w:val="21"/>
        </w:rPr>
        <w:t>governance and</w:t>
      </w:r>
      <w:r>
        <w:rPr>
          <w:color w:val="161616"/>
          <w:spacing w:val="-16"/>
          <w:w w:val="105"/>
          <w:sz w:val="21"/>
        </w:rPr>
        <w:t> </w:t>
      </w:r>
      <w:r>
        <w:rPr>
          <w:color w:val="161616"/>
          <w:w w:val="105"/>
          <w:sz w:val="21"/>
        </w:rPr>
        <w:t>risk</w:t>
      </w:r>
      <w:r>
        <w:rPr>
          <w:color w:val="161616"/>
          <w:spacing w:val="-8"/>
          <w:w w:val="105"/>
          <w:sz w:val="21"/>
        </w:rPr>
        <w:t> </w:t>
      </w:r>
      <w:r>
        <w:rPr>
          <w:color w:val="161616"/>
          <w:w w:val="105"/>
          <w:sz w:val="21"/>
        </w:rPr>
        <w:t>management</w:t>
      </w:r>
      <w:r>
        <w:rPr>
          <w:color w:val="161616"/>
          <w:spacing w:val="-5"/>
          <w:w w:val="105"/>
          <w:sz w:val="21"/>
        </w:rPr>
        <w:t> </w:t>
      </w:r>
      <w:r>
        <w:rPr>
          <w:color w:val="161616"/>
          <w:w w:val="105"/>
          <w:sz w:val="21"/>
        </w:rPr>
        <w:t>frameworks</w:t>
      </w:r>
      <w:r>
        <w:rPr>
          <w:color w:val="161616"/>
          <w:spacing w:val="14"/>
          <w:w w:val="105"/>
          <w:sz w:val="21"/>
        </w:rPr>
        <w:t> </w:t>
      </w:r>
      <w:r>
        <w:rPr>
          <w:color w:val="161616"/>
          <w:w w:val="105"/>
          <w:sz w:val="21"/>
        </w:rPr>
        <w:t>substantially comply with</w:t>
      </w:r>
      <w:r>
        <w:rPr>
          <w:color w:val="161616"/>
          <w:spacing w:val="-15"/>
          <w:w w:val="105"/>
          <w:sz w:val="21"/>
        </w:rPr>
        <w:t> </w:t>
      </w:r>
      <w:r>
        <w:rPr>
          <w:color w:val="161616"/>
          <w:w w:val="105"/>
          <w:sz w:val="21"/>
        </w:rPr>
        <w:t>the</w:t>
      </w:r>
      <w:r>
        <w:rPr>
          <w:color w:val="161616"/>
          <w:spacing w:val="-6"/>
          <w:w w:val="105"/>
          <w:sz w:val="21"/>
        </w:rPr>
        <w:t> </w:t>
      </w:r>
      <w:r>
        <w:rPr>
          <w:color w:val="161616"/>
          <w:w w:val="105"/>
          <w:sz w:val="21"/>
        </w:rPr>
        <w:t>CIPFA/SOLACE best</w:t>
      </w:r>
      <w:r>
        <w:rPr>
          <w:color w:val="161616"/>
          <w:spacing w:val="-1"/>
          <w:w w:val="105"/>
          <w:sz w:val="21"/>
        </w:rPr>
        <w:t> </w:t>
      </w:r>
      <w:r>
        <w:rPr>
          <w:color w:val="161616"/>
          <w:w w:val="105"/>
          <w:sz w:val="21"/>
        </w:rPr>
        <w:t>practice guidance on</w:t>
      </w:r>
      <w:r>
        <w:rPr>
          <w:color w:val="161616"/>
          <w:spacing w:val="-13"/>
          <w:w w:val="105"/>
          <w:sz w:val="21"/>
        </w:rPr>
        <w:t> </w:t>
      </w:r>
      <w:r>
        <w:rPr>
          <w:color w:val="161616"/>
          <w:w w:val="105"/>
          <w:sz w:val="21"/>
        </w:rPr>
        <w:t>corporate governance</w:t>
      </w:r>
      <w:r>
        <w:rPr>
          <w:color w:val="414141"/>
          <w:w w:val="105"/>
          <w:sz w:val="21"/>
        </w:rPr>
        <w:t>.</w:t>
      </w:r>
      <w:r>
        <w:rPr>
          <w:color w:val="414141"/>
          <w:spacing w:val="-23"/>
          <w:w w:val="105"/>
          <w:sz w:val="21"/>
        </w:rPr>
        <w:t> </w:t>
      </w:r>
      <w:r>
        <w:rPr>
          <w:color w:val="161616"/>
          <w:w w:val="105"/>
          <w:sz w:val="21"/>
        </w:rPr>
        <w:t>This conclusion </w:t>
      </w:r>
      <w:r>
        <w:rPr>
          <w:color w:val="2A2A2A"/>
          <w:w w:val="105"/>
          <w:sz w:val="21"/>
        </w:rPr>
        <w:t>is</w:t>
      </w:r>
      <w:r>
        <w:rPr>
          <w:color w:val="2A2A2A"/>
          <w:spacing w:val="-7"/>
          <w:w w:val="105"/>
          <w:sz w:val="21"/>
        </w:rPr>
        <w:t> </w:t>
      </w:r>
      <w:r>
        <w:rPr>
          <w:color w:val="161616"/>
          <w:w w:val="105"/>
          <w:sz w:val="21"/>
        </w:rPr>
        <w:t>based on</w:t>
      </w:r>
      <w:r>
        <w:rPr>
          <w:color w:val="161616"/>
          <w:spacing w:val="-11"/>
          <w:w w:val="105"/>
          <w:sz w:val="21"/>
        </w:rPr>
        <w:t> </w:t>
      </w:r>
      <w:r>
        <w:rPr>
          <w:color w:val="161616"/>
          <w:w w:val="105"/>
          <w:sz w:val="21"/>
        </w:rPr>
        <w:t>the work undertaken </w:t>
      </w:r>
      <w:r>
        <w:rPr>
          <w:color w:val="2A2A2A"/>
          <w:w w:val="105"/>
          <w:sz w:val="21"/>
        </w:rPr>
        <w:t>by</w:t>
      </w:r>
      <w:r>
        <w:rPr>
          <w:color w:val="2A2A2A"/>
          <w:spacing w:val="-2"/>
          <w:w w:val="105"/>
          <w:sz w:val="21"/>
        </w:rPr>
        <w:t> </w:t>
      </w:r>
      <w:r>
        <w:rPr>
          <w:color w:val="2A2A2A"/>
          <w:w w:val="105"/>
          <w:sz w:val="21"/>
        </w:rPr>
        <w:t>the</w:t>
      </w:r>
      <w:r>
        <w:rPr>
          <w:color w:val="2A2A2A"/>
          <w:spacing w:val="-5"/>
          <w:w w:val="105"/>
          <w:sz w:val="21"/>
        </w:rPr>
        <w:t> </w:t>
      </w:r>
      <w:r>
        <w:rPr>
          <w:color w:val="161616"/>
          <w:w w:val="105"/>
          <w:sz w:val="21"/>
        </w:rPr>
        <w:t>Counci</w:t>
      </w:r>
      <w:r>
        <w:rPr>
          <w:color w:val="414141"/>
          <w:w w:val="105"/>
          <w:sz w:val="21"/>
        </w:rPr>
        <w:t>l</w:t>
      </w:r>
      <w:r>
        <w:rPr>
          <w:color w:val="414141"/>
          <w:spacing w:val="-5"/>
          <w:w w:val="105"/>
          <w:sz w:val="21"/>
        </w:rPr>
        <w:t> </w:t>
      </w:r>
      <w:r>
        <w:rPr>
          <w:color w:val="161616"/>
          <w:w w:val="105"/>
          <w:sz w:val="21"/>
        </w:rPr>
        <w:t>and</w:t>
      </w:r>
      <w:r>
        <w:rPr>
          <w:color w:val="161616"/>
          <w:spacing w:val="-6"/>
          <w:w w:val="105"/>
          <w:sz w:val="21"/>
        </w:rPr>
        <w:t> </w:t>
      </w:r>
      <w:r>
        <w:rPr>
          <w:color w:val="161616"/>
          <w:w w:val="105"/>
          <w:sz w:val="21"/>
        </w:rPr>
        <w:t>reported in its</w:t>
      </w:r>
      <w:r>
        <w:rPr>
          <w:color w:val="161616"/>
          <w:spacing w:val="-7"/>
          <w:w w:val="105"/>
          <w:sz w:val="21"/>
        </w:rPr>
        <w:t> </w:t>
      </w:r>
      <w:r>
        <w:rPr>
          <w:color w:val="161616"/>
          <w:w w:val="105"/>
          <w:sz w:val="21"/>
        </w:rPr>
        <w:t>Annual Governance Statement. Although no specific audit of Risk Management was carried out by SIAS during the year, these arrangements are</w:t>
      </w:r>
      <w:r>
        <w:rPr>
          <w:color w:val="161616"/>
          <w:spacing w:val="-1"/>
          <w:w w:val="105"/>
          <w:sz w:val="21"/>
        </w:rPr>
        <w:t> </w:t>
      </w:r>
      <w:r>
        <w:rPr>
          <w:color w:val="161616"/>
          <w:w w:val="105"/>
          <w:sz w:val="21"/>
        </w:rPr>
        <w:t>considered during annual audit</w:t>
      </w:r>
      <w:r>
        <w:rPr>
          <w:color w:val="161616"/>
          <w:spacing w:val="-2"/>
          <w:w w:val="105"/>
          <w:sz w:val="21"/>
        </w:rPr>
        <w:t> </w:t>
      </w:r>
      <w:r>
        <w:rPr>
          <w:color w:val="161616"/>
          <w:w w:val="105"/>
          <w:sz w:val="21"/>
        </w:rPr>
        <w:t>planning and</w:t>
      </w:r>
      <w:r>
        <w:rPr>
          <w:color w:val="161616"/>
          <w:spacing w:val="-1"/>
          <w:w w:val="105"/>
          <w:sz w:val="21"/>
        </w:rPr>
        <w:t> </w:t>
      </w:r>
      <w:r>
        <w:rPr>
          <w:color w:val="161616"/>
          <w:w w:val="105"/>
          <w:sz w:val="21"/>
        </w:rPr>
        <w:t>delivery of all</w:t>
      </w:r>
      <w:r>
        <w:rPr>
          <w:color w:val="161616"/>
          <w:spacing w:val="-5"/>
          <w:w w:val="105"/>
          <w:sz w:val="21"/>
        </w:rPr>
        <w:t> </w:t>
      </w:r>
      <w:r>
        <w:rPr>
          <w:color w:val="161616"/>
          <w:w w:val="105"/>
          <w:sz w:val="21"/>
        </w:rPr>
        <w:t>individual audit </w:t>
      </w:r>
      <w:r>
        <w:rPr>
          <w:color w:val="161616"/>
          <w:spacing w:val="-2"/>
          <w:w w:val="105"/>
          <w:sz w:val="21"/>
        </w:rPr>
        <w:t>assignments.</w:t>
      </w:r>
    </w:p>
    <w:p>
      <w:pPr>
        <w:pStyle w:val="BodyText"/>
        <w:spacing w:before="10"/>
        <w:rPr>
          <w:sz w:val="21"/>
        </w:rPr>
      </w:pPr>
    </w:p>
    <w:p>
      <w:pPr>
        <w:pStyle w:val="ListParagraph"/>
        <w:numPr>
          <w:ilvl w:val="0"/>
          <w:numId w:val="29"/>
        </w:numPr>
        <w:tabs>
          <w:tab w:val="left" w:leader="none" w:pos="1000"/>
          <w:tab w:val="left" w:leader="none" w:pos="1006"/>
        </w:tabs>
        <w:spacing w:before="0" w:after="0" w:line="252" w:lineRule="auto"/>
        <w:ind w:left="1000" w:right="426" w:hanging="704"/>
        <w:jc w:val="left"/>
        <w:rPr>
          <w:color w:val="161616"/>
          <w:sz w:val="21"/>
        </w:rPr>
      </w:pPr>
      <w:r>
        <w:rPr>
          <w:color w:val="161616"/>
          <w:sz w:val="21"/>
        </w:rPr>
        <w:tab/>
      </w:r>
      <w:r>
        <w:rPr>
          <w:color w:val="161616"/>
          <w:w w:val="105"/>
          <w:sz w:val="21"/>
        </w:rPr>
        <w:t>Individual SIAS Reports also state whether or</w:t>
      </w:r>
      <w:r>
        <w:rPr>
          <w:color w:val="161616"/>
          <w:spacing w:val="-2"/>
          <w:w w:val="105"/>
          <w:sz w:val="21"/>
        </w:rPr>
        <w:t> </w:t>
      </w:r>
      <w:r>
        <w:rPr>
          <w:color w:val="161616"/>
          <w:w w:val="105"/>
          <w:sz w:val="21"/>
        </w:rPr>
        <w:t>not there are any </w:t>
      </w:r>
      <w:r>
        <w:rPr>
          <w:color w:val="2A2A2A"/>
          <w:w w:val="105"/>
          <w:sz w:val="21"/>
        </w:rPr>
        <w:t>implications </w:t>
      </w:r>
      <w:r>
        <w:rPr>
          <w:color w:val="161616"/>
          <w:w w:val="105"/>
          <w:sz w:val="21"/>
        </w:rPr>
        <w:t>for </w:t>
      </w:r>
      <w:r>
        <w:rPr>
          <w:color w:val="2A2A2A"/>
          <w:w w:val="105"/>
          <w:sz w:val="21"/>
        </w:rPr>
        <w:t>the </w:t>
      </w:r>
      <w:r>
        <w:rPr>
          <w:color w:val="161616"/>
          <w:w w:val="105"/>
          <w:sz w:val="21"/>
        </w:rPr>
        <w:t>Annual Governance Statement. All</w:t>
      </w:r>
      <w:r>
        <w:rPr>
          <w:color w:val="161616"/>
          <w:spacing w:val="-8"/>
          <w:w w:val="105"/>
          <w:sz w:val="21"/>
        </w:rPr>
        <w:t> </w:t>
      </w:r>
      <w:r>
        <w:rPr>
          <w:color w:val="161616"/>
          <w:w w:val="105"/>
          <w:sz w:val="21"/>
        </w:rPr>
        <w:t>2022/23</w:t>
      </w:r>
      <w:r>
        <w:rPr>
          <w:color w:val="161616"/>
          <w:spacing w:val="-2"/>
          <w:w w:val="105"/>
          <w:sz w:val="21"/>
        </w:rPr>
        <w:t> </w:t>
      </w:r>
      <w:r>
        <w:rPr>
          <w:color w:val="161616"/>
          <w:w w:val="105"/>
          <w:sz w:val="21"/>
        </w:rPr>
        <w:t>final</w:t>
      </w:r>
      <w:r>
        <w:rPr>
          <w:color w:val="161616"/>
          <w:spacing w:val="-11"/>
          <w:w w:val="105"/>
          <w:sz w:val="21"/>
        </w:rPr>
        <w:t> </w:t>
      </w:r>
      <w:r>
        <w:rPr>
          <w:color w:val="161616"/>
          <w:w w:val="105"/>
          <w:sz w:val="21"/>
        </w:rPr>
        <w:t>reports issued</w:t>
      </w:r>
      <w:r>
        <w:rPr>
          <w:color w:val="161616"/>
          <w:spacing w:val="-7"/>
          <w:w w:val="105"/>
          <w:sz w:val="21"/>
        </w:rPr>
        <w:t> </w:t>
      </w:r>
      <w:r>
        <w:rPr>
          <w:color w:val="161616"/>
          <w:w w:val="105"/>
          <w:sz w:val="21"/>
        </w:rPr>
        <w:t>have</w:t>
      </w:r>
      <w:r>
        <w:rPr>
          <w:color w:val="161616"/>
          <w:spacing w:val="-5"/>
          <w:w w:val="105"/>
          <w:sz w:val="21"/>
        </w:rPr>
        <w:t> </w:t>
      </w:r>
      <w:r>
        <w:rPr>
          <w:color w:val="161616"/>
          <w:w w:val="105"/>
          <w:sz w:val="21"/>
        </w:rPr>
        <w:t>stated</w:t>
      </w:r>
      <w:r>
        <w:rPr>
          <w:color w:val="161616"/>
          <w:spacing w:val="-7"/>
          <w:w w:val="105"/>
          <w:sz w:val="21"/>
        </w:rPr>
        <w:t> </w:t>
      </w:r>
      <w:r>
        <w:rPr>
          <w:color w:val="161616"/>
          <w:w w:val="105"/>
          <w:sz w:val="21"/>
        </w:rPr>
        <w:t>that</w:t>
      </w:r>
      <w:r>
        <w:rPr>
          <w:color w:val="161616"/>
          <w:spacing w:val="-4"/>
          <w:w w:val="105"/>
          <w:sz w:val="21"/>
        </w:rPr>
        <w:t> </w:t>
      </w:r>
      <w:r>
        <w:rPr>
          <w:color w:val="2A2A2A"/>
          <w:w w:val="105"/>
          <w:sz w:val="21"/>
        </w:rPr>
        <w:t>there </w:t>
      </w:r>
      <w:r>
        <w:rPr>
          <w:color w:val="161616"/>
          <w:w w:val="105"/>
          <w:sz w:val="21"/>
        </w:rPr>
        <w:t>are</w:t>
      </w:r>
      <w:r>
        <w:rPr>
          <w:color w:val="161616"/>
          <w:spacing w:val="-10"/>
          <w:w w:val="105"/>
          <w:sz w:val="21"/>
        </w:rPr>
        <w:t> </w:t>
      </w:r>
      <w:r>
        <w:rPr>
          <w:color w:val="161616"/>
          <w:w w:val="105"/>
          <w:sz w:val="21"/>
        </w:rPr>
        <w:t>no</w:t>
      </w:r>
      <w:r>
        <w:rPr>
          <w:color w:val="161616"/>
          <w:spacing w:val="-13"/>
          <w:w w:val="105"/>
          <w:sz w:val="21"/>
        </w:rPr>
        <w:t> </w:t>
      </w:r>
      <w:r>
        <w:rPr>
          <w:color w:val="161616"/>
          <w:w w:val="105"/>
          <w:sz w:val="21"/>
        </w:rPr>
        <w:t>implications for the Annual Governance Statement.</w:t>
      </w:r>
    </w:p>
    <w:p>
      <w:pPr>
        <w:pStyle w:val="BodyText"/>
        <w:spacing w:before="7"/>
        <w:rPr>
          <w:sz w:val="21"/>
        </w:rPr>
      </w:pPr>
    </w:p>
    <w:p>
      <w:pPr>
        <w:pStyle w:val="ListParagraph"/>
        <w:numPr>
          <w:ilvl w:val="0"/>
          <w:numId w:val="29"/>
        </w:numPr>
        <w:tabs>
          <w:tab w:val="left" w:leader="none" w:pos="986"/>
          <w:tab w:val="left" w:leader="none" w:pos="992"/>
        </w:tabs>
        <w:spacing w:before="0" w:after="0" w:line="252" w:lineRule="auto"/>
        <w:ind w:left="986" w:right="454" w:hanging="704"/>
        <w:jc w:val="left"/>
        <w:rPr>
          <w:color w:val="161616"/>
          <w:sz w:val="21"/>
        </w:rPr>
      </w:pPr>
      <w:r>
        <w:rPr>
          <w:color w:val="161616"/>
          <w:sz w:val="21"/>
        </w:rPr>
        <w:tab/>
      </w:r>
      <w:r>
        <w:rPr>
          <w:color w:val="161616"/>
          <w:w w:val="105"/>
          <w:sz w:val="21"/>
        </w:rPr>
        <w:t>All recommendations</w:t>
      </w:r>
      <w:r>
        <w:rPr>
          <w:color w:val="161616"/>
          <w:spacing w:val="-14"/>
          <w:w w:val="105"/>
          <w:sz w:val="21"/>
        </w:rPr>
        <w:t> </w:t>
      </w:r>
      <w:r>
        <w:rPr>
          <w:color w:val="2A2A2A"/>
          <w:w w:val="105"/>
          <w:sz w:val="21"/>
        </w:rPr>
        <w:t>made</w:t>
      </w:r>
      <w:r>
        <w:rPr>
          <w:color w:val="2A2A2A"/>
          <w:spacing w:val="-7"/>
          <w:w w:val="105"/>
          <w:sz w:val="21"/>
        </w:rPr>
        <w:t> </w:t>
      </w:r>
      <w:r>
        <w:rPr>
          <w:color w:val="161616"/>
          <w:w w:val="105"/>
          <w:sz w:val="21"/>
        </w:rPr>
        <w:t>by</w:t>
      </w:r>
      <w:r>
        <w:rPr>
          <w:color w:val="161616"/>
          <w:spacing w:val="-9"/>
          <w:w w:val="105"/>
          <w:sz w:val="21"/>
        </w:rPr>
        <w:t> </w:t>
      </w:r>
      <w:r>
        <w:rPr>
          <w:color w:val="2A2A2A"/>
          <w:w w:val="105"/>
          <w:sz w:val="21"/>
        </w:rPr>
        <w:t>the </w:t>
      </w:r>
      <w:r>
        <w:rPr>
          <w:color w:val="161616"/>
          <w:w w:val="105"/>
          <w:sz w:val="21"/>
        </w:rPr>
        <w:t>SIAS</w:t>
      </w:r>
      <w:r>
        <w:rPr>
          <w:color w:val="161616"/>
          <w:spacing w:val="-5"/>
          <w:w w:val="105"/>
          <w:sz w:val="21"/>
        </w:rPr>
        <w:t> </w:t>
      </w:r>
      <w:r>
        <w:rPr>
          <w:color w:val="161616"/>
          <w:w w:val="105"/>
          <w:sz w:val="21"/>
        </w:rPr>
        <w:t>Team to</w:t>
      </w:r>
      <w:r>
        <w:rPr>
          <w:color w:val="161616"/>
          <w:spacing w:val="-4"/>
          <w:w w:val="105"/>
          <w:sz w:val="21"/>
        </w:rPr>
        <w:t> </w:t>
      </w:r>
      <w:r>
        <w:rPr>
          <w:color w:val="161616"/>
          <w:w w:val="105"/>
          <w:sz w:val="21"/>
        </w:rPr>
        <w:t>strengthen the</w:t>
      </w:r>
      <w:r>
        <w:rPr>
          <w:color w:val="161616"/>
          <w:spacing w:val="-1"/>
          <w:w w:val="105"/>
          <w:sz w:val="21"/>
        </w:rPr>
        <w:t> </w:t>
      </w:r>
      <w:r>
        <w:rPr>
          <w:color w:val="161616"/>
          <w:w w:val="105"/>
          <w:sz w:val="21"/>
        </w:rPr>
        <w:t>internal control</w:t>
      </w:r>
      <w:r>
        <w:rPr>
          <w:color w:val="161616"/>
          <w:spacing w:val="-3"/>
          <w:w w:val="105"/>
          <w:sz w:val="21"/>
        </w:rPr>
        <w:t> </w:t>
      </w:r>
      <w:r>
        <w:rPr>
          <w:color w:val="161616"/>
          <w:w w:val="105"/>
          <w:sz w:val="21"/>
        </w:rPr>
        <w:t>environment and agreed by </w:t>
      </w:r>
      <w:r>
        <w:rPr>
          <w:color w:val="2A2A2A"/>
          <w:w w:val="105"/>
          <w:sz w:val="21"/>
        </w:rPr>
        <w:t>management</w:t>
      </w:r>
      <w:r>
        <w:rPr>
          <w:color w:val="2A2A2A"/>
          <w:spacing w:val="33"/>
          <w:w w:val="105"/>
          <w:sz w:val="21"/>
        </w:rPr>
        <w:t> </w:t>
      </w:r>
      <w:r>
        <w:rPr>
          <w:color w:val="161616"/>
          <w:w w:val="105"/>
          <w:sz w:val="21"/>
        </w:rPr>
        <w:t>are</w:t>
      </w:r>
      <w:r>
        <w:rPr>
          <w:color w:val="161616"/>
          <w:spacing w:val="-6"/>
          <w:w w:val="105"/>
          <w:sz w:val="21"/>
        </w:rPr>
        <w:t> </w:t>
      </w:r>
      <w:r>
        <w:rPr>
          <w:color w:val="161616"/>
          <w:w w:val="105"/>
          <w:sz w:val="21"/>
        </w:rPr>
        <w:t>kept under review by the Audit Committee,</w:t>
      </w:r>
      <w:r>
        <w:rPr>
          <w:color w:val="161616"/>
          <w:spacing w:val="28"/>
          <w:w w:val="105"/>
          <w:sz w:val="21"/>
        </w:rPr>
        <w:t> </w:t>
      </w:r>
      <w:r>
        <w:rPr>
          <w:color w:val="161616"/>
          <w:w w:val="105"/>
          <w:sz w:val="21"/>
        </w:rPr>
        <w:t>Corporate Governance Group </w:t>
      </w:r>
      <w:r>
        <w:rPr>
          <w:color w:val="2A2A2A"/>
          <w:w w:val="105"/>
          <w:sz w:val="21"/>
        </w:rPr>
        <w:t>and </w:t>
      </w:r>
      <w:r>
        <w:rPr>
          <w:color w:val="161616"/>
          <w:w w:val="105"/>
          <w:sz w:val="21"/>
        </w:rPr>
        <w:t>Chief Officers Board</w:t>
      </w:r>
      <w:r>
        <w:rPr>
          <w:color w:val="161616"/>
          <w:spacing w:val="-3"/>
          <w:w w:val="105"/>
          <w:sz w:val="21"/>
        </w:rPr>
        <w:t> </w:t>
      </w:r>
      <w:r>
        <w:rPr>
          <w:color w:val="161616"/>
          <w:w w:val="105"/>
          <w:sz w:val="21"/>
        </w:rPr>
        <w:t>to ensure that they are</w:t>
      </w:r>
      <w:r>
        <w:rPr>
          <w:color w:val="161616"/>
          <w:spacing w:val="-1"/>
          <w:w w:val="105"/>
          <w:sz w:val="21"/>
        </w:rPr>
        <w:t> </w:t>
      </w:r>
      <w:r>
        <w:rPr>
          <w:color w:val="161616"/>
          <w:w w:val="105"/>
          <w:sz w:val="21"/>
        </w:rPr>
        <w:t>implemented in a timely manner</w:t>
      </w:r>
      <w:r>
        <w:rPr>
          <w:color w:val="414141"/>
          <w:w w:val="105"/>
          <w:sz w:val="21"/>
        </w:rPr>
        <w:t>.</w:t>
      </w:r>
    </w:p>
    <w:p>
      <w:pPr>
        <w:pStyle w:val="BodyText"/>
        <w:spacing w:before="12"/>
        <w:rPr>
          <w:sz w:val="21"/>
        </w:rPr>
      </w:pPr>
    </w:p>
    <w:p>
      <w:pPr>
        <w:spacing w:before="0"/>
        <w:ind w:left="983" w:right="0" w:firstLine="0"/>
        <w:jc w:val="left"/>
        <w:rPr>
          <w:sz w:val="21"/>
        </w:rPr>
      </w:pPr>
      <w:r>
        <w:rPr>
          <w:color w:val="2A2A2A"/>
          <w:w w:val="105"/>
          <w:sz w:val="21"/>
          <w:u w:val="thick" w:color="161616"/>
        </w:rPr>
        <w:t>The</w:t>
      </w:r>
      <w:r>
        <w:rPr>
          <w:color w:val="2A2A2A"/>
          <w:spacing w:val="6"/>
          <w:w w:val="105"/>
          <w:sz w:val="21"/>
          <w:u w:val="thick" w:color="161616"/>
        </w:rPr>
        <w:t> </w:t>
      </w:r>
      <w:r>
        <w:rPr>
          <w:color w:val="161616"/>
          <w:w w:val="105"/>
          <w:sz w:val="21"/>
          <w:u w:val="thick" w:color="161616"/>
        </w:rPr>
        <w:t>Council</w:t>
      </w:r>
      <w:r>
        <w:rPr>
          <w:color w:val="545454"/>
          <w:w w:val="105"/>
          <w:sz w:val="21"/>
          <w:u w:val="thick" w:color="161616"/>
        </w:rPr>
        <w:t>'</w:t>
      </w:r>
      <w:r>
        <w:rPr>
          <w:color w:val="161616"/>
          <w:w w:val="105"/>
          <w:sz w:val="21"/>
          <w:u w:val="thick" w:color="161616"/>
        </w:rPr>
        <w:t>s</w:t>
      </w:r>
      <w:r>
        <w:rPr>
          <w:color w:val="161616"/>
          <w:spacing w:val="1"/>
          <w:w w:val="105"/>
          <w:sz w:val="21"/>
          <w:u w:val="thick" w:color="161616"/>
        </w:rPr>
        <w:t> </w:t>
      </w:r>
      <w:r>
        <w:rPr>
          <w:color w:val="161616"/>
          <w:w w:val="105"/>
          <w:sz w:val="21"/>
          <w:u w:val="thick" w:color="161616"/>
        </w:rPr>
        <w:t>External</w:t>
      </w:r>
      <w:r>
        <w:rPr>
          <w:color w:val="161616"/>
          <w:spacing w:val="4"/>
          <w:w w:val="105"/>
          <w:sz w:val="21"/>
          <w:u w:val="thick" w:color="161616"/>
        </w:rPr>
        <w:t> </w:t>
      </w:r>
      <w:r>
        <w:rPr>
          <w:color w:val="161616"/>
          <w:spacing w:val="-2"/>
          <w:w w:val="105"/>
          <w:sz w:val="21"/>
          <w:u w:val="thick" w:color="161616"/>
        </w:rPr>
        <w:t>Auditors</w:t>
      </w:r>
    </w:p>
    <w:p>
      <w:pPr>
        <w:pStyle w:val="BodyText"/>
        <w:spacing w:before="27"/>
        <w:rPr>
          <w:sz w:val="21"/>
        </w:rPr>
      </w:pPr>
    </w:p>
    <w:p>
      <w:pPr>
        <w:pStyle w:val="ListParagraph"/>
        <w:numPr>
          <w:ilvl w:val="0"/>
          <w:numId w:val="29"/>
        </w:numPr>
        <w:tabs>
          <w:tab w:val="left" w:leader="none" w:pos="960"/>
          <w:tab w:val="left" w:leader="none" w:pos="975"/>
        </w:tabs>
        <w:spacing w:before="0" w:after="0" w:line="252" w:lineRule="auto"/>
        <w:ind w:left="960" w:right="485" w:hanging="698"/>
        <w:jc w:val="left"/>
        <w:rPr>
          <w:color w:val="161616"/>
          <w:sz w:val="21"/>
        </w:rPr>
      </w:pPr>
      <w:r>
        <w:rPr>
          <w:color w:val="161616"/>
          <w:sz w:val="21"/>
        </w:rPr>
        <w:tab/>
      </w:r>
      <w:r>
        <w:rPr>
          <w:color w:val="161616"/>
          <w:w w:val="105"/>
          <w:sz w:val="21"/>
        </w:rPr>
        <w:t>Following the abolition of</w:t>
      </w:r>
      <w:r>
        <w:rPr>
          <w:color w:val="161616"/>
          <w:spacing w:val="-1"/>
          <w:w w:val="105"/>
          <w:sz w:val="21"/>
        </w:rPr>
        <w:t> </w:t>
      </w:r>
      <w:r>
        <w:rPr>
          <w:color w:val="161616"/>
          <w:w w:val="105"/>
          <w:sz w:val="21"/>
        </w:rPr>
        <w:t>the Audit Commission </w:t>
      </w:r>
      <w:r>
        <w:rPr>
          <w:color w:val="2A2A2A"/>
          <w:w w:val="105"/>
          <w:sz w:val="21"/>
        </w:rPr>
        <w:t>in </w:t>
      </w:r>
      <w:r>
        <w:rPr>
          <w:color w:val="161616"/>
          <w:w w:val="105"/>
          <w:sz w:val="21"/>
        </w:rPr>
        <w:t>March 2015</w:t>
      </w:r>
      <w:r>
        <w:rPr>
          <w:color w:val="414141"/>
          <w:w w:val="105"/>
          <w:sz w:val="21"/>
        </w:rPr>
        <w:t>,</w:t>
      </w:r>
      <w:r>
        <w:rPr>
          <w:color w:val="414141"/>
          <w:spacing w:val="-18"/>
          <w:w w:val="105"/>
          <w:sz w:val="21"/>
        </w:rPr>
        <w:t> </w:t>
      </w:r>
      <w:r>
        <w:rPr>
          <w:color w:val="161616"/>
          <w:w w:val="105"/>
          <w:sz w:val="21"/>
        </w:rPr>
        <w:t>the Secretary of State for Communities and Local</w:t>
      </w:r>
      <w:r>
        <w:rPr>
          <w:color w:val="161616"/>
          <w:spacing w:val="-2"/>
          <w:w w:val="105"/>
          <w:sz w:val="21"/>
        </w:rPr>
        <w:t> </w:t>
      </w:r>
      <w:r>
        <w:rPr>
          <w:color w:val="161616"/>
          <w:w w:val="105"/>
          <w:sz w:val="21"/>
        </w:rPr>
        <w:t>Government</w:t>
      </w:r>
      <w:r>
        <w:rPr>
          <w:color w:val="161616"/>
          <w:spacing w:val="38"/>
          <w:w w:val="105"/>
          <w:sz w:val="21"/>
        </w:rPr>
        <w:t> </w:t>
      </w:r>
      <w:r>
        <w:rPr>
          <w:color w:val="161616"/>
          <w:w w:val="105"/>
          <w:sz w:val="21"/>
        </w:rPr>
        <w:t>delegated statutory </w:t>
      </w:r>
      <w:r>
        <w:rPr>
          <w:color w:val="2A2A2A"/>
          <w:w w:val="105"/>
          <w:sz w:val="21"/>
        </w:rPr>
        <w:t>functions to </w:t>
      </w:r>
      <w:r>
        <w:rPr>
          <w:color w:val="161616"/>
          <w:w w:val="105"/>
          <w:sz w:val="21"/>
        </w:rPr>
        <w:t>Public Sector Audit Appo</w:t>
      </w:r>
      <w:r>
        <w:rPr>
          <w:color w:val="414141"/>
          <w:w w:val="105"/>
          <w:sz w:val="21"/>
        </w:rPr>
        <w:t>i</w:t>
      </w:r>
      <w:r>
        <w:rPr>
          <w:color w:val="161616"/>
          <w:w w:val="105"/>
          <w:sz w:val="21"/>
        </w:rPr>
        <w:t>ntments</w:t>
      </w:r>
      <w:r>
        <w:rPr>
          <w:color w:val="161616"/>
          <w:spacing w:val="-1"/>
          <w:w w:val="105"/>
          <w:sz w:val="21"/>
        </w:rPr>
        <w:t> </w:t>
      </w:r>
      <w:r>
        <w:rPr>
          <w:color w:val="161616"/>
          <w:w w:val="105"/>
          <w:sz w:val="21"/>
        </w:rPr>
        <w:t>Limited </w:t>
      </w:r>
      <w:r>
        <w:rPr>
          <w:color w:val="2A2A2A"/>
          <w:w w:val="105"/>
          <w:sz w:val="21"/>
        </w:rPr>
        <w:t>(PSAA)</w:t>
      </w:r>
      <w:r>
        <w:rPr>
          <w:color w:val="545454"/>
          <w:w w:val="105"/>
          <w:sz w:val="21"/>
        </w:rPr>
        <w:t>,</w:t>
      </w:r>
      <w:r>
        <w:rPr>
          <w:color w:val="545454"/>
          <w:spacing w:val="-14"/>
          <w:w w:val="105"/>
          <w:sz w:val="21"/>
        </w:rPr>
        <w:t> </w:t>
      </w:r>
      <w:r>
        <w:rPr>
          <w:color w:val="161616"/>
          <w:w w:val="105"/>
          <w:sz w:val="21"/>
        </w:rPr>
        <w:t>on a</w:t>
      </w:r>
      <w:r>
        <w:rPr>
          <w:color w:val="161616"/>
          <w:spacing w:val="-4"/>
          <w:w w:val="105"/>
          <w:sz w:val="21"/>
        </w:rPr>
        <w:t> </w:t>
      </w:r>
      <w:r>
        <w:rPr>
          <w:color w:val="161616"/>
          <w:w w:val="105"/>
          <w:sz w:val="21"/>
        </w:rPr>
        <w:t>transitional ba</w:t>
      </w:r>
      <w:r>
        <w:rPr>
          <w:color w:val="414141"/>
          <w:w w:val="105"/>
          <w:sz w:val="21"/>
        </w:rPr>
        <w:t>1</w:t>
      </w:r>
      <w:r>
        <w:rPr>
          <w:color w:val="161616"/>
          <w:w w:val="105"/>
          <w:sz w:val="21"/>
        </w:rPr>
        <w:t>sis</w:t>
      </w:r>
      <w:r>
        <w:rPr>
          <w:color w:val="545454"/>
          <w:w w:val="105"/>
          <w:sz w:val="21"/>
        </w:rPr>
        <w:t>,</w:t>
      </w:r>
      <w:r>
        <w:rPr>
          <w:color w:val="545454"/>
          <w:spacing w:val="-16"/>
          <w:w w:val="105"/>
          <w:sz w:val="21"/>
        </w:rPr>
        <w:t> </w:t>
      </w:r>
      <w:r>
        <w:rPr>
          <w:color w:val="2A2A2A"/>
          <w:w w:val="105"/>
          <w:sz w:val="21"/>
        </w:rPr>
        <w:t>to</w:t>
      </w:r>
      <w:r>
        <w:rPr>
          <w:color w:val="2A2A2A"/>
          <w:spacing w:val="-8"/>
          <w:w w:val="105"/>
          <w:sz w:val="21"/>
        </w:rPr>
        <w:t> </w:t>
      </w:r>
      <w:r>
        <w:rPr>
          <w:color w:val="2A2A2A"/>
          <w:w w:val="105"/>
          <w:sz w:val="21"/>
        </w:rPr>
        <w:t>make </w:t>
      </w:r>
      <w:r>
        <w:rPr>
          <w:color w:val="161616"/>
          <w:w w:val="105"/>
          <w:sz w:val="21"/>
        </w:rPr>
        <w:t>auditor appointments </w:t>
      </w:r>
      <w:r>
        <w:rPr>
          <w:color w:val="2A2A2A"/>
          <w:w w:val="105"/>
          <w:sz w:val="21"/>
        </w:rPr>
        <w:t>to </w:t>
      </w:r>
      <w:r>
        <w:rPr>
          <w:color w:val="161616"/>
          <w:w w:val="105"/>
          <w:sz w:val="21"/>
        </w:rPr>
        <w:t>local government</w:t>
      </w:r>
      <w:r>
        <w:rPr>
          <w:color w:val="6B6B6B"/>
          <w:w w:val="105"/>
          <w:sz w:val="21"/>
        </w:rPr>
        <w:t>,</w:t>
      </w:r>
      <w:r>
        <w:rPr>
          <w:color w:val="6B6B6B"/>
          <w:spacing w:val="-8"/>
          <w:w w:val="105"/>
          <w:sz w:val="21"/>
        </w:rPr>
        <w:t> </w:t>
      </w:r>
      <w:r>
        <w:rPr>
          <w:color w:val="161616"/>
          <w:w w:val="105"/>
          <w:sz w:val="21"/>
        </w:rPr>
        <w:t>police and</w:t>
      </w:r>
      <w:r>
        <w:rPr>
          <w:color w:val="161616"/>
          <w:spacing w:val="-9"/>
          <w:w w:val="105"/>
          <w:sz w:val="21"/>
        </w:rPr>
        <w:t> </w:t>
      </w:r>
      <w:r>
        <w:rPr>
          <w:color w:val="161616"/>
          <w:w w:val="105"/>
          <w:sz w:val="21"/>
        </w:rPr>
        <w:t>local NHS bodies under the </w:t>
      </w:r>
      <w:r>
        <w:rPr>
          <w:color w:val="2A2A2A"/>
          <w:w w:val="105"/>
          <w:sz w:val="21"/>
        </w:rPr>
        <w:t>Local</w:t>
      </w:r>
      <w:r>
        <w:rPr>
          <w:color w:val="2A2A2A"/>
          <w:spacing w:val="-2"/>
          <w:w w:val="105"/>
          <w:sz w:val="21"/>
        </w:rPr>
        <w:t> </w:t>
      </w:r>
      <w:r>
        <w:rPr>
          <w:color w:val="161616"/>
          <w:w w:val="105"/>
          <w:sz w:val="21"/>
        </w:rPr>
        <w:t>Audit and</w:t>
      </w:r>
      <w:r>
        <w:rPr>
          <w:color w:val="161616"/>
          <w:spacing w:val="-4"/>
          <w:w w:val="105"/>
          <w:sz w:val="21"/>
        </w:rPr>
        <w:t> </w:t>
      </w:r>
      <w:r>
        <w:rPr>
          <w:color w:val="161616"/>
          <w:w w:val="105"/>
          <w:sz w:val="21"/>
        </w:rPr>
        <w:t>Accountability</w:t>
      </w:r>
      <w:r>
        <w:rPr>
          <w:color w:val="161616"/>
          <w:spacing w:val="-1"/>
          <w:w w:val="105"/>
          <w:sz w:val="21"/>
        </w:rPr>
        <w:t> </w:t>
      </w:r>
      <w:r>
        <w:rPr>
          <w:color w:val="161616"/>
          <w:w w:val="105"/>
          <w:sz w:val="21"/>
        </w:rPr>
        <w:t>Act 2014</w:t>
      </w:r>
      <w:r>
        <w:rPr>
          <w:color w:val="161616"/>
          <w:spacing w:val="-8"/>
          <w:w w:val="105"/>
          <w:sz w:val="21"/>
        </w:rPr>
        <w:t> </w:t>
      </w:r>
      <w:r>
        <w:rPr>
          <w:color w:val="161616"/>
          <w:w w:val="105"/>
          <w:sz w:val="21"/>
        </w:rPr>
        <w:t>until 2018/19</w:t>
      </w:r>
      <w:r>
        <w:rPr>
          <w:color w:val="6B6B6B"/>
          <w:w w:val="105"/>
          <w:sz w:val="21"/>
        </w:rPr>
        <w:t>.</w:t>
      </w:r>
      <w:r>
        <w:rPr>
          <w:color w:val="6B6B6B"/>
          <w:spacing w:val="-10"/>
          <w:w w:val="105"/>
          <w:sz w:val="21"/>
        </w:rPr>
        <w:t> </w:t>
      </w:r>
      <w:r>
        <w:rPr>
          <w:color w:val="2A2A2A"/>
          <w:w w:val="105"/>
          <w:sz w:val="21"/>
        </w:rPr>
        <w:t>Ernst </w:t>
      </w:r>
      <w:r>
        <w:rPr>
          <w:color w:val="161616"/>
          <w:w w:val="105"/>
          <w:sz w:val="21"/>
        </w:rPr>
        <w:t>and Young </w:t>
      </w:r>
      <w:r>
        <w:rPr>
          <w:color w:val="2A2A2A"/>
          <w:w w:val="105"/>
          <w:sz w:val="21"/>
        </w:rPr>
        <w:t>LLP </w:t>
      </w:r>
      <w:r>
        <w:rPr>
          <w:color w:val="161616"/>
          <w:w w:val="105"/>
          <w:sz w:val="21"/>
        </w:rPr>
        <w:t>were appointed as Hertsmere's external auditors under these transitional arrangements from 2015/16.</w:t>
      </w:r>
    </w:p>
    <w:p>
      <w:pPr>
        <w:pStyle w:val="BodyText"/>
        <w:spacing w:before="15"/>
        <w:rPr>
          <w:sz w:val="21"/>
        </w:rPr>
      </w:pPr>
    </w:p>
    <w:p>
      <w:pPr>
        <w:pStyle w:val="ListParagraph"/>
        <w:numPr>
          <w:ilvl w:val="0"/>
          <w:numId w:val="29"/>
        </w:numPr>
        <w:tabs>
          <w:tab w:val="left" w:leader="none" w:pos="942"/>
          <w:tab w:val="left" w:leader="none" w:pos="954"/>
        </w:tabs>
        <w:spacing w:before="0" w:after="0" w:line="252" w:lineRule="auto"/>
        <w:ind w:left="942" w:right="251" w:hanging="703"/>
        <w:jc w:val="left"/>
        <w:rPr>
          <w:color w:val="161616"/>
          <w:sz w:val="21"/>
        </w:rPr>
      </w:pPr>
      <w:r>
        <w:rPr>
          <w:color w:val="545454"/>
          <w:sz w:val="21"/>
        </w:rPr>
        <w:tab/>
      </w:r>
      <w:r>
        <w:rPr>
          <w:color w:val="161616"/>
          <w:w w:val="105"/>
          <w:sz w:val="21"/>
        </w:rPr>
        <w:t>The transitional arrangements only extended to the 2017/18 financial year and</w:t>
      </w:r>
      <w:r>
        <w:rPr>
          <w:color w:val="161616"/>
          <w:spacing w:val="-7"/>
          <w:w w:val="105"/>
          <w:sz w:val="21"/>
        </w:rPr>
        <w:t> </w:t>
      </w:r>
      <w:r>
        <w:rPr>
          <w:color w:val="161616"/>
          <w:w w:val="105"/>
          <w:sz w:val="21"/>
        </w:rPr>
        <w:t>in November 2016 the Full</w:t>
      </w:r>
      <w:r>
        <w:rPr>
          <w:color w:val="161616"/>
          <w:spacing w:val="-2"/>
          <w:w w:val="105"/>
          <w:sz w:val="21"/>
        </w:rPr>
        <w:t> </w:t>
      </w:r>
      <w:r>
        <w:rPr>
          <w:color w:val="161616"/>
          <w:w w:val="105"/>
          <w:sz w:val="21"/>
        </w:rPr>
        <w:t>Council agreed that Hertsmere BC should take advantage of the</w:t>
      </w:r>
      <w:r>
        <w:rPr>
          <w:color w:val="161616"/>
          <w:spacing w:val="-3"/>
          <w:w w:val="105"/>
          <w:sz w:val="21"/>
        </w:rPr>
        <w:t> </w:t>
      </w:r>
      <w:r>
        <w:rPr>
          <w:color w:val="161616"/>
          <w:w w:val="105"/>
          <w:sz w:val="21"/>
        </w:rPr>
        <w:t>new national collective scheme</w:t>
      </w:r>
      <w:r>
        <w:rPr>
          <w:color w:val="161616"/>
          <w:spacing w:val="-2"/>
          <w:w w:val="105"/>
          <w:sz w:val="21"/>
        </w:rPr>
        <w:t> </w:t>
      </w:r>
      <w:r>
        <w:rPr>
          <w:color w:val="2A2A2A"/>
          <w:w w:val="105"/>
          <w:sz w:val="21"/>
        </w:rPr>
        <w:t>that</w:t>
      </w:r>
      <w:r>
        <w:rPr>
          <w:color w:val="2A2A2A"/>
          <w:spacing w:val="-1"/>
          <w:w w:val="105"/>
          <w:sz w:val="21"/>
        </w:rPr>
        <w:t> </w:t>
      </w:r>
      <w:r>
        <w:rPr>
          <w:color w:val="161616"/>
          <w:w w:val="105"/>
          <w:sz w:val="21"/>
        </w:rPr>
        <w:t>the</w:t>
      </w:r>
      <w:r>
        <w:rPr>
          <w:color w:val="161616"/>
          <w:spacing w:val="-4"/>
          <w:w w:val="105"/>
          <w:sz w:val="21"/>
        </w:rPr>
        <w:t> </w:t>
      </w:r>
      <w:r>
        <w:rPr>
          <w:color w:val="2A2A2A"/>
          <w:w w:val="105"/>
          <w:sz w:val="21"/>
        </w:rPr>
        <w:t>Public </w:t>
      </w:r>
      <w:r>
        <w:rPr>
          <w:color w:val="161616"/>
          <w:w w:val="105"/>
          <w:sz w:val="21"/>
        </w:rPr>
        <w:t>Sector Audit</w:t>
      </w:r>
      <w:r>
        <w:rPr>
          <w:color w:val="161616"/>
          <w:spacing w:val="-6"/>
          <w:w w:val="105"/>
          <w:sz w:val="21"/>
        </w:rPr>
        <w:t> </w:t>
      </w:r>
      <w:r>
        <w:rPr>
          <w:color w:val="161616"/>
          <w:w w:val="105"/>
          <w:sz w:val="21"/>
        </w:rPr>
        <w:t>Appo</w:t>
      </w:r>
      <w:r>
        <w:rPr>
          <w:color w:val="414141"/>
          <w:w w:val="105"/>
          <w:sz w:val="21"/>
        </w:rPr>
        <w:t>int</w:t>
      </w:r>
      <w:r>
        <w:rPr>
          <w:color w:val="161616"/>
          <w:w w:val="105"/>
          <w:sz w:val="21"/>
        </w:rPr>
        <w:t>ments</w:t>
      </w:r>
      <w:r>
        <w:rPr>
          <w:color w:val="161616"/>
          <w:spacing w:val="-4"/>
          <w:w w:val="105"/>
          <w:sz w:val="21"/>
        </w:rPr>
        <w:t> </w:t>
      </w:r>
      <w:r>
        <w:rPr>
          <w:color w:val="2A2A2A"/>
          <w:w w:val="105"/>
          <w:sz w:val="21"/>
        </w:rPr>
        <w:t>(PSAA) </w:t>
      </w:r>
      <w:r>
        <w:rPr>
          <w:color w:val="161616"/>
          <w:w w:val="105"/>
          <w:sz w:val="21"/>
        </w:rPr>
        <w:t>was</w:t>
      </w:r>
      <w:r>
        <w:rPr>
          <w:color w:val="161616"/>
          <w:spacing w:val="-8"/>
          <w:w w:val="105"/>
          <w:sz w:val="21"/>
        </w:rPr>
        <w:t> </w:t>
      </w:r>
      <w:r>
        <w:rPr>
          <w:color w:val="161616"/>
          <w:w w:val="105"/>
          <w:sz w:val="21"/>
        </w:rPr>
        <w:t>developing by</w:t>
      </w:r>
      <w:r>
        <w:rPr>
          <w:color w:val="161616"/>
          <w:spacing w:val="-4"/>
          <w:w w:val="105"/>
          <w:sz w:val="21"/>
        </w:rPr>
        <w:t> </w:t>
      </w:r>
      <w:r>
        <w:rPr>
          <w:color w:val="161616"/>
          <w:w w:val="105"/>
          <w:sz w:val="21"/>
        </w:rPr>
        <w:t>formally </w:t>
      </w:r>
      <w:r>
        <w:rPr>
          <w:color w:val="414141"/>
          <w:w w:val="105"/>
          <w:sz w:val="21"/>
        </w:rPr>
        <w:t>"</w:t>
      </w:r>
      <w:r>
        <w:rPr>
          <w:color w:val="161616"/>
          <w:w w:val="105"/>
          <w:sz w:val="21"/>
        </w:rPr>
        <w:t>opting</w:t>
      </w:r>
      <w:r>
        <w:rPr>
          <w:color w:val="161616"/>
          <w:spacing w:val="-1"/>
          <w:w w:val="105"/>
          <w:sz w:val="21"/>
        </w:rPr>
        <w:t> </w:t>
      </w:r>
      <w:r>
        <w:rPr>
          <w:color w:val="2A2A2A"/>
          <w:w w:val="105"/>
          <w:sz w:val="21"/>
        </w:rPr>
        <w:t>in"</w:t>
      </w:r>
      <w:r>
        <w:rPr>
          <w:color w:val="2A2A2A"/>
          <w:spacing w:val="-3"/>
          <w:w w:val="105"/>
          <w:sz w:val="21"/>
        </w:rPr>
        <w:t> </w:t>
      </w:r>
      <w:r>
        <w:rPr>
          <w:color w:val="161616"/>
          <w:w w:val="105"/>
          <w:sz w:val="21"/>
        </w:rPr>
        <w:t>in January 2017</w:t>
      </w:r>
      <w:r>
        <w:rPr>
          <w:color w:val="545454"/>
          <w:w w:val="105"/>
          <w:sz w:val="21"/>
        </w:rPr>
        <w:t>.</w:t>
      </w:r>
      <w:r>
        <w:rPr>
          <w:color w:val="545454"/>
          <w:spacing w:val="-11"/>
          <w:w w:val="105"/>
          <w:sz w:val="21"/>
        </w:rPr>
        <w:t> </w:t>
      </w:r>
      <w:r>
        <w:rPr>
          <w:color w:val="2A2A2A"/>
          <w:w w:val="105"/>
          <w:sz w:val="21"/>
        </w:rPr>
        <w:t>Hertsmere </w:t>
      </w:r>
      <w:r>
        <w:rPr>
          <w:color w:val="161616"/>
          <w:w w:val="105"/>
          <w:sz w:val="21"/>
        </w:rPr>
        <w:t>have since opted </w:t>
      </w:r>
      <w:r>
        <w:rPr>
          <w:color w:val="2A2A2A"/>
          <w:w w:val="105"/>
          <w:sz w:val="21"/>
        </w:rPr>
        <w:t>into</w:t>
      </w:r>
      <w:r>
        <w:rPr>
          <w:color w:val="2A2A2A"/>
          <w:spacing w:val="-2"/>
          <w:w w:val="105"/>
          <w:sz w:val="21"/>
        </w:rPr>
        <w:t> </w:t>
      </w:r>
      <w:r>
        <w:rPr>
          <w:color w:val="161616"/>
          <w:w w:val="105"/>
          <w:sz w:val="21"/>
        </w:rPr>
        <w:t>the new PSAA scheme (along with 98% of </w:t>
      </w:r>
      <w:r>
        <w:rPr>
          <w:color w:val="2A2A2A"/>
          <w:w w:val="105"/>
          <w:sz w:val="21"/>
        </w:rPr>
        <w:t>Local </w:t>
      </w:r>
      <w:r>
        <w:rPr>
          <w:color w:val="161616"/>
          <w:w w:val="105"/>
          <w:sz w:val="21"/>
        </w:rPr>
        <w:t>Authorities)</w:t>
      </w:r>
      <w:r>
        <w:rPr>
          <w:color w:val="161616"/>
          <w:spacing w:val="27"/>
          <w:w w:val="105"/>
          <w:sz w:val="21"/>
        </w:rPr>
        <w:t> </w:t>
      </w:r>
      <w:r>
        <w:rPr>
          <w:color w:val="161616"/>
          <w:w w:val="105"/>
          <w:sz w:val="21"/>
        </w:rPr>
        <w:t>and</w:t>
      </w:r>
      <w:r>
        <w:rPr>
          <w:color w:val="161616"/>
          <w:spacing w:val="-6"/>
          <w:w w:val="105"/>
          <w:sz w:val="21"/>
        </w:rPr>
        <w:t> </w:t>
      </w:r>
      <w:r>
        <w:rPr>
          <w:color w:val="161616"/>
          <w:w w:val="105"/>
          <w:sz w:val="21"/>
        </w:rPr>
        <w:t>on</w:t>
      </w:r>
      <w:r>
        <w:rPr>
          <w:color w:val="161616"/>
          <w:spacing w:val="-14"/>
          <w:w w:val="105"/>
          <w:sz w:val="21"/>
        </w:rPr>
        <w:t> </w:t>
      </w:r>
      <w:r>
        <w:rPr>
          <w:color w:val="2A2A2A"/>
          <w:w w:val="105"/>
          <w:sz w:val="21"/>
        </w:rPr>
        <w:t>17</w:t>
      </w:r>
      <w:r>
        <w:rPr>
          <w:color w:val="2A2A2A"/>
          <w:spacing w:val="-7"/>
          <w:w w:val="105"/>
          <w:sz w:val="21"/>
        </w:rPr>
        <w:t> </w:t>
      </w:r>
      <w:r>
        <w:rPr>
          <w:color w:val="161616"/>
          <w:w w:val="105"/>
          <w:sz w:val="21"/>
        </w:rPr>
        <w:t>August 2017 </w:t>
      </w:r>
      <w:r>
        <w:rPr>
          <w:color w:val="2A2A2A"/>
          <w:w w:val="105"/>
          <w:sz w:val="21"/>
        </w:rPr>
        <w:t>the</w:t>
      </w:r>
      <w:r>
        <w:rPr>
          <w:color w:val="2A2A2A"/>
          <w:spacing w:val="-3"/>
          <w:w w:val="105"/>
          <w:sz w:val="21"/>
        </w:rPr>
        <w:t> </w:t>
      </w:r>
      <w:r>
        <w:rPr>
          <w:color w:val="161616"/>
          <w:w w:val="105"/>
          <w:sz w:val="21"/>
        </w:rPr>
        <w:t>PSAA confirmed the appointment of Ernst &amp; Young LLP as Hertsmere</w:t>
      </w:r>
      <w:r>
        <w:rPr>
          <w:color w:val="414141"/>
          <w:w w:val="105"/>
          <w:sz w:val="21"/>
        </w:rPr>
        <w:t>'</w:t>
      </w:r>
      <w:r>
        <w:rPr>
          <w:color w:val="161616"/>
          <w:w w:val="105"/>
          <w:sz w:val="21"/>
        </w:rPr>
        <w:t>s external auditors for five years from 2018/19.</w:t>
      </w:r>
    </w:p>
    <w:p>
      <w:pPr>
        <w:pStyle w:val="BodyText"/>
        <w:spacing w:before="10"/>
        <w:rPr>
          <w:sz w:val="21"/>
        </w:rPr>
      </w:pPr>
    </w:p>
    <w:p>
      <w:pPr>
        <w:pStyle w:val="ListParagraph"/>
        <w:numPr>
          <w:ilvl w:val="0"/>
          <w:numId w:val="29"/>
        </w:numPr>
        <w:tabs>
          <w:tab w:val="left" w:leader="none" w:pos="911"/>
          <w:tab w:val="left" w:leader="none" w:pos="932"/>
        </w:tabs>
        <w:spacing w:before="0" w:after="0" w:line="252" w:lineRule="auto"/>
        <w:ind w:left="911" w:right="267" w:hanging="692"/>
        <w:jc w:val="left"/>
        <w:rPr>
          <w:color w:val="161616"/>
          <w:sz w:val="21"/>
        </w:rPr>
      </w:pPr>
      <w:r>
        <w:rPr>
          <w:color w:val="545454"/>
          <w:sz w:val="21"/>
        </w:rPr>
        <w:tab/>
      </w:r>
      <w:r>
        <w:rPr>
          <w:color w:val="161616"/>
          <w:w w:val="105"/>
          <w:sz w:val="21"/>
        </w:rPr>
        <w:t>Ernst &amp; Young LLP</w:t>
      </w:r>
      <w:r>
        <w:rPr>
          <w:color w:val="161616"/>
          <w:spacing w:val="-6"/>
          <w:w w:val="105"/>
          <w:sz w:val="21"/>
        </w:rPr>
        <w:t> </w:t>
      </w:r>
      <w:r>
        <w:rPr>
          <w:color w:val="161616"/>
          <w:w w:val="105"/>
          <w:sz w:val="21"/>
        </w:rPr>
        <w:t>presented their Annual Report for the year ended 31 March 2021 to </w:t>
      </w:r>
      <w:r>
        <w:rPr>
          <w:color w:val="2A2A2A"/>
          <w:w w:val="105"/>
          <w:sz w:val="21"/>
        </w:rPr>
        <w:t>the</w:t>
      </w:r>
      <w:r>
        <w:rPr>
          <w:color w:val="2A2A2A"/>
          <w:spacing w:val="-1"/>
          <w:w w:val="105"/>
          <w:sz w:val="21"/>
        </w:rPr>
        <w:t> </w:t>
      </w:r>
      <w:r>
        <w:rPr>
          <w:color w:val="161616"/>
          <w:w w:val="105"/>
          <w:sz w:val="21"/>
        </w:rPr>
        <w:t>Audit Committee in October 2022 having previously issued their Audit Results Report for 2020/21 to</w:t>
      </w:r>
      <w:r>
        <w:rPr>
          <w:color w:val="161616"/>
          <w:spacing w:val="-4"/>
          <w:w w:val="105"/>
          <w:sz w:val="21"/>
        </w:rPr>
        <w:t> </w:t>
      </w:r>
      <w:r>
        <w:rPr>
          <w:color w:val="161616"/>
          <w:w w:val="105"/>
          <w:sz w:val="21"/>
        </w:rPr>
        <w:t>the Audit Committee in March 2022</w:t>
      </w:r>
      <w:r>
        <w:rPr>
          <w:color w:val="414141"/>
          <w:w w:val="105"/>
          <w:sz w:val="21"/>
        </w:rPr>
        <w:t>.</w:t>
      </w:r>
      <w:r>
        <w:rPr>
          <w:color w:val="414141"/>
          <w:spacing w:val="-12"/>
          <w:w w:val="105"/>
          <w:sz w:val="21"/>
        </w:rPr>
        <w:t> </w:t>
      </w:r>
      <w:r>
        <w:rPr>
          <w:color w:val="161616"/>
          <w:w w:val="105"/>
          <w:sz w:val="21"/>
        </w:rPr>
        <w:t>The annual report confirmed the external auditor opinion as unqualified and that the financial statements gave a true and fair view of the </w:t>
      </w:r>
      <w:r>
        <w:rPr>
          <w:color w:val="2A2A2A"/>
          <w:w w:val="105"/>
          <w:sz w:val="21"/>
        </w:rPr>
        <w:t>financial </w:t>
      </w:r>
      <w:r>
        <w:rPr>
          <w:color w:val="161616"/>
          <w:w w:val="105"/>
          <w:sz w:val="21"/>
        </w:rPr>
        <w:t>position and were</w:t>
      </w:r>
      <w:r>
        <w:rPr>
          <w:color w:val="161616"/>
          <w:spacing w:val="-3"/>
          <w:w w:val="105"/>
          <w:sz w:val="21"/>
        </w:rPr>
        <w:t> </w:t>
      </w:r>
      <w:r>
        <w:rPr>
          <w:color w:val="161616"/>
          <w:w w:val="105"/>
          <w:sz w:val="21"/>
        </w:rPr>
        <w:t>prepared properly in</w:t>
      </w:r>
      <w:r>
        <w:rPr>
          <w:color w:val="161616"/>
          <w:spacing w:val="-4"/>
          <w:w w:val="105"/>
          <w:sz w:val="21"/>
        </w:rPr>
        <w:t> </w:t>
      </w:r>
      <w:r>
        <w:rPr>
          <w:color w:val="161616"/>
          <w:w w:val="105"/>
          <w:sz w:val="21"/>
        </w:rPr>
        <w:t>accordance with</w:t>
      </w:r>
      <w:r>
        <w:rPr>
          <w:color w:val="161616"/>
          <w:spacing w:val="-10"/>
          <w:w w:val="105"/>
          <w:sz w:val="21"/>
        </w:rPr>
        <w:t> </w:t>
      </w:r>
      <w:r>
        <w:rPr>
          <w:color w:val="161616"/>
          <w:w w:val="105"/>
          <w:sz w:val="21"/>
        </w:rPr>
        <w:t>the CIPFA/LASAAC</w:t>
      </w:r>
      <w:r>
        <w:rPr>
          <w:color w:val="161616"/>
          <w:spacing w:val="22"/>
          <w:w w:val="105"/>
          <w:sz w:val="21"/>
        </w:rPr>
        <w:t> </w:t>
      </w:r>
      <w:r>
        <w:rPr>
          <w:color w:val="161616"/>
          <w:w w:val="105"/>
          <w:sz w:val="21"/>
        </w:rPr>
        <w:t>Code</w:t>
      </w:r>
      <w:r>
        <w:rPr>
          <w:color w:val="161616"/>
          <w:spacing w:val="-2"/>
          <w:w w:val="105"/>
          <w:sz w:val="21"/>
        </w:rPr>
        <w:t> </w:t>
      </w:r>
      <w:r>
        <w:rPr>
          <w:color w:val="161616"/>
          <w:w w:val="105"/>
          <w:sz w:val="21"/>
        </w:rPr>
        <w:t>of</w:t>
      </w:r>
      <w:r>
        <w:rPr>
          <w:color w:val="161616"/>
          <w:spacing w:val="-1"/>
          <w:w w:val="105"/>
          <w:sz w:val="21"/>
        </w:rPr>
        <w:t> </w:t>
      </w:r>
      <w:r>
        <w:rPr>
          <w:color w:val="161616"/>
          <w:w w:val="105"/>
          <w:sz w:val="21"/>
        </w:rPr>
        <w:t>Practice on Local</w:t>
      </w:r>
      <w:r>
        <w:rPr>
          <w:color w:val="161616"/>
          <w:spacing w:val="-8"/>
          <w:w w:val="105"/>
          <w:sz w:val="21"/>
        </w:rPr>
        <w:t> </w:t>
      </w:r>
      <w:r>
        <w:rPr>
          <w:color w:val="161616"/>
          <w:w w:val="105"/>
          <w:sz w:val="21"/>
        </w:rPr>
        <w:t>Authority Accounting in the United Kingdom 2020/21.</w:t>
      </w:r>
    </w:p>
    <w:p>
      <w:pPr>
        <w:pStyle w:val="BodyText"/>
        <w:spacing w:before="6"/>
        <w:rPr>
          <w:sz w:val="21"/>
        </w:rPr>
      </w:pPr>
    </w:p>
    <w:p>
      <w:pPr>
        <w:pStyle w:val="ListParagraph"/>
        <w:numPr>
          <w:ilvl w:val="0"/>
          <w:numId w:val="29"/>
        </w:numPr>
        <w:tabs>
          <w:tab w:val="left" w:leader="none" w:pos="903"/>
          <w:tab w:val="left" w:leader="none" w:pos="905"/>
        </w:tabs>
        <w:spacing w:before="0" w:after="0" w:line="252" w:lineRule="auto"/>
        <w:ind w:left="903" w:right="389" w:hanging="708"/>
        <w:jc w:val="left"/>
        <w:rPr>
          <w:color w:val="161616"/>
          <w:sz w:val="21"/>
        </w:rPr>
      </w:pPr>
      <w:r>
        <w:rPr>
          <w:color w:val="414141"/>
          <w:sz w:val="21"/>
        </w:rPr>
        <w:tab/>
      </w:r>
      <w:r>
        <w:rPr>
          <w:color w:val="161616"/>
          <w:w w:val="105"/>
          <w:sz w:val="21"/>
        </w:rPr>
        <w:t>In September 2022</w:t>
      </w:r>
      <w:r>
        <w:rPr>
          <w:color w:val="161616"/>
          <w:spacing w:val="-5"/>
          <w:w w:val="105"/>
          <w:sz w:val="21"/>
        </w:rPr>
        <w:t> </w:t>
      </w:r>
      <w:r>
        <w:rPr>
          <w:color w:val="161616"/>
          <w:w w:val="105"/>
          <w:sz w:val="21"/>
        </w:rPr>
        <w:t>the</w:t>
      </w:r>
      <w:r>
        <w:rPr>
          <w:color w:val="161616"/>
          <w:spacing w:val="-4"/>
          <w:w w:val="105"/>
          <w:sz w:val="21"/>
        </w:rPr>
        <w:t> </w:t>
      </w:r>
      <w:r>
        <w:rPr>
          <w:color w:val="2A2A2A"/>
          <w:w w:val="105"/>
          <w:sz w:val="21"/>
        </w:rPr>
        <w:t>External</w:t>
      </w:r>
      <w:r>
        <w:rPr>
          <w:color w:val="2A2A2A"/>
          <w:spacing w:val="-2"/>
          <w:w w:val="105"/>
          <w:sz w:val="21"/>
        </w:rPr>
        <w:t> </w:t>
      </w:r>
      <w:r>
        <w:rPr>
          <w:color w:val="161616"/>
          <w:w w:val="105"/>
          <w:sz w:val="21"/>
        </w:rPr>
        <w:t>Auditor wrote</w:t>
      </w:r>
      <w:r>
        <w:rPr>
          <w:color w:val="161616"/>
          <w:spacing w:val="-1"/>
          <w:w w:val="105"/>
          <w:sz w:val="21"/>
        </w:rPr>
        <w:t> </w:t>
      </w:r>
      <w:r>
        <w:rPr>
          <w:color w:val="161616"/>
          <w:w w:val="105"/>
          <w:sz w:val="21"/>
        </w:rPr>
        <w:t>to</w:t>
      </w:r>
      <w:r>
        <w:rPr>
          <w:color w:val="161616"/>
          <w:spacing w:val="-10"/>
          <w:w w:val="105"/>
          <w:sz w:val="21"/>
        </w:rPr>
        <w:t> </w:t>
      </w:r>
      <w:r>
        <w:rPr>
          <w:color w:val="161616"/>
          <w:w w:val="105"/>
          <w:sz w:val="21"/>
        </w:rPr>
        <w:t>the Chair of</w:t>
      </w:r>
      <w:r>
        <w:rPr>
          <w:color w:val="161616"/>
          <w:spacing w:val="-6"/>
          <w:w w:val="105"/>
          <w:sz w:val="21"/>
        </w:rPr>
        <w:t> </w:t>
      </w:r>
      <w:r>
        <w:rPr>
          <w:color w:val="161616"/>
          <w:w w:val="105"/>
          <w:sz w:val="21"/>
        </w:rPr>
        <w:t>Audit Committee </w:t>
      </w:r>
      <w:r>
        <w:rPr>
          <w:color w:val="2A2A2A"/>
          <w:w w:val="105"/>
          <w:sz w:val="21"/>
        </w:rPr>
        <w:t>to</w:t>
      </w:r>
      <w:r>
        <w:rPr>
          <w:color w:val="2A2A2A"/>
          <w:spacing w:val="-5"/>
          <w:w w:val="105"/>
          <w:sz w:val="21"/>
        </w:rPr>
        <w:t> </w:t>
      </w:r>
      <w:r>
        <w:rPr>
          <w:color w:val="161616"/>
          <w:w w:val="105"/>
          <w:sz w:val="21"/>
        </w:rPr>
        <w:t>advise of a</w:t>
      </w:r>
      <w:r>
        <w:rPr>
          <w:color w:val="161616"/>
          <w:spacing w:val="-8"/>
          <w:w w:val="105"/>
          <w:sz w:val="21"/>
        </w:rPr>
        <w:t> </w:t>
      </w:r>
      <w:r>
        <w:rPr>
          <w:color w:val="161616"/>
          <w:w w:val="105"/>
          <w:sz w:val="21"/>
        </w:rPr>
        <w:t>delay in 2021/22 audit and subsequently presented their </w:t>
      </w:r>
      <w:r>
        <w:rPr>
          <w:i/>
          <w:color w:val="414141"/>
          <w:w w:val="105"/>
          <w:sz w:val="21"/>
        </w:rPr>
        <w:t>"</w:t>
      </w:r>
      <w:r>
        <w:rPr>
          <w:i/>
          <w:color w:val="161616"/>
          <w:w w:val="105"/>
          <w:sz w:val="21"/>
        </w:rPr>
        <w:t>Indicative</w:t>
      </w:r>
      <w:r>
        <w:rPr>
          <w:i/>
          <w:color w:val="161616"/>
          <w:spacing w:val="-7"/>
          <w:w w:val="105"/>
          <w:sz w:val="21"/>
        </w:rPr>
        <w:t> </w:t>
      </w:r>
      <w:r>
        <w:rPr>
          <w:i/>
          <w:color w:val="161616"/>
          <w:w w:val="105"/>
          <w:sz w:val="21"/>
        </w:rPr>
        <w:t>Audit Planning Report</w:t>
      </w:r>
      <w:r>
        <w:rPr>
          <w:i/>
          <w:color w:val="414141"/>
          <w:w w:val="105"/>
          <w:sz w:val="21"/>
        </w:rPr>
        <w:t>"</w:t>
      </w:r>
      <w:r>
        <w:rPr>
          <w:i/>
          <w:color w:val="414141"/>
          <w:spacing w:val="-30"/>
          <w:w w:val="105"/>
          <w:sz w:val="21"/>
        </w:rPr>
        <w:t> </w:t>
      </w:r>
      <w:r>
        <w:rPr>
          <w:color w:val="161616"/>
          <w:w w:val="105"/>
          <w:sz w:val="21"/>
        </w:rPr>
        <w:t>for</w:t>
      </w:r>
      <w:r>
        <w:rPr>
          <w:color w:val="161616"/>
          <w:spacing w:val="-3"/>
          <w:w w:val="105"/>
          <w:sz w:val="21"/>
        </w:rPr>
        <w:t> </w:t>
      </w:r>
      <w:r>
        <w:rPr>
          <w:color w:val="2A2A2A"/>
          <w:w w:val="105"/>
          <w:sz w:val="21"/>
        </w:rPr>
        <w:t>the</w:t>
      </w:r>
      <w:r>
        <w:rPr>
          <w:color w:val="2A2A2A"/>
          <w:spacing w:val="-6"/>
          <w:w w:val="105"/>
          <w:sz w:val="21"/>
        </w:rPr>
        <w:t> </w:t>
      </w:r>
      <w:r>
        <w:rPr>
          <w:i/>
          <w:color w:val="545454"/>
          <w:w w:val="105"/>
          <w:sz w:val="21"/>
        </w:rPr>
        <w:t>"</w:t>
      </w:r>
      <w:r>
        <w:rPr>
          <w:i/>
          <w:color w:val="161616"/>
          <w:w w:val="105"/>
          <w:sz w:val="21"/>
        </w:rPr>
        <w:t>Year</w:t>
      </w:r>
      <w:r>
        <w:rPr>
          <w:i/>
          <w:color w:val="161616"/>
          <w:w w:val="105"/>
          <w:sz w:val="21"/>
        </w:rPr>
        <w:t> ended 31 March 2022" </w:t>
      </w:r>
      <w:r>
        <w:rPr>
          <w:color w:val="161616"/>
          <w:w w:val="105"/>
          <w:sz w:val="21"/>
        </w:rPr>
        <w:t>to the Audit Committee in January </w:t>
      </w:r>
      <w:r>
        <w:rPr>
          <w:color w:val="2A2A2A"/>
          <w:w w:val="105"/>
          <w:sz w:val="21"/>
        </w:rPr>
        <w:t>2023</w:t>
      </w:r>
      <w:r>
        <w:rPr>
          <w:color w:val="545454"/>
          <w:w w:val="105"/>
          <w:sz w:val="21"/>
        </w:rPr>
        <w:t>.</w:t>
      </w:r>
      <w:r>
        <w:rPr>
          <w:color w:val="161616"/>
          <w:w w:val="105"/>
          <w:sz w:val="21"/>
        </w:rPr>
        <w:t>At the time of writing the 2021/22 audit is ongoing</w:t>
      </w:r>
      <w:r>
        <w:rPr>
          <w:color w:val="414141"/>
          <w:w w:val="105"/>
          <w:sz w:val="21"/>
        </w:rPr>
        <w:t>.</w:t>
      </w:r>
    </w:p>
    <w:p>
      <w:pPr>
        <w:pStyle w:val="BodyText"/>
        <w:spacing w:before="13"/>
        <w:rPr>
          <w:sz w:val="21"/>
        </w:rPr>
      </w:pPr>
    </w:p>
    <w:p>
      <w:pPr>
        <w:pStyle w:val="ListParagraph"/>
        <w:numPr>
          <w:ilvl w:val="0"/>
          <w:numId w:val="29"/>
        </w:numPr>
        <w:tabs>
          <w:tab w:val="left" w:leader="none" w:pos="885"/>
          <w:tab w:val="left" w:leader="none" w:pos="891"/>
        </w:tabs>
        <w:spacing w:before="0" w:after="0" w:line="247" w:lineRule="auto"/>
        <w:ind w:left="885" w:right="299" w:hanging="705"/>
        <w:jc w:val="left"/>
        <w:rPr>
          <w:color w:val="161616"/>
          <w:sz w:val="21"/>
        </w:rPr>
      </w:pPr>
      <w:r>
        <w:rPr>
          <w:color w:val="414141"/>
          <w:sz w:val="21"/>
        </w:rPr>
        <w:tab/>
      </w:r>
      <w:r>
        <w:rPr>
          <w:color w:val="161616"/>
          <w:w w:val="105"/>
          <w:sz w:val="21"/>
        </w:rPr>
        <w:t>The</w:t>
      </w:r>
      <w:r>
        <w:rPr>
          <w:color w:val="161616"/>
          <w:spacing w:val="-1"/>
          <w:w w:val="105"/>
          <w:sz w:val="21"/>
        </w:rPr>
        <w:t> </w:t>
      </w:r>
      <w:r>
        <w:rPr>
          <w:color w:val="161616"/>
          <w:w w:val="105"/>
          <w:sz w:val="21"/>
        </w:rPr>
        <w:t>new</w:t>
      </w:r>
      <w:r>
        <w:rPr>
          <w:color w:val="161616"/>
          <w:spacing w:val="-2"/>
          <w:w w:val="105"/>
          <w:sz w:val="21"/>
        </w:rPr>
        <w:t> </w:t>
      </w:r>
      <w:r>
        <w:rPr>
          <w:color w:val="161616"/>
          <w:w w:val="105"/>
          <w:sz w:val="21"/>
        </w:rPr>
        <w:t>PSAA scheme did</w:t>
      </w:r>
      <w:r>
        <w:rPr>
          <w:color w:val="161616"/>
          <w:spacing w:val="-6"/>
          <w:w w:val="105"/>
          <w:sz w:val="21"/>
        </w:rPr>
        <w:t> </w:t>
      </w:r>
      <w:r>
        <w:rPr>
          <w:color w:val="161616"/>
          <w:w w:val="105"/>
          <w:sz w:val="21"/>
        </w:rPr>
        <w:t>not</w:t>
      </w:r>
      <w:r>
        <w:rPr>
          <w:color w:val="161616"/>
          <w:spacing w:val="-2"/>
          <w:w w:val="105"/>
          <w:sz w:val="21"/>
        </w:rPr>
        <w:t> </w:t>
      </w:r>
      <w:r>
        <w:rPr>
          <w:color w:val="161616"/>
          <w:w w:val="105"/>
          <w:sz w:val="21"/>
        </w:rPr>
        <w:t>include provision for the audit of</w:t>
      </w:r>
      <w:r>
        <w:rPr>
          <w:color w:val="161616"/>
          <w:spacing w:val="-7"/>
          <w:w w:val="105"/>
          <w:sz w:val="21"/>
        </w:rPr>
        <w:t> </w:t>
      </w:r>
      <w:r>
        <w:rPr>
          <w:color w:val="161616"/>
          <w:w w:val="105"/>
          <w:sz w:val="21"/>
        </w:rPr>
        <w:t>the</w:t>
      </w:r>
      <w:r>
        <w:rPr>
          <w:color w:val="161616"/>
          <w:spacing w:val="-7"/>
          <w:w w:val="105"/>
          <w:sz w:val="21"/>
        </w:rPr>
        <w:t> </w:t>
      </w:r>
      <w:r>
        <w:rPr>
          <w:color w:val="161616"/>
          <w:w w:val="105"/>
          <w:sz w:val="21"/>
        </w:rPr>
        <w:t>Housing Benefit Subsidy claim and Local Authorities are</w:t>
      </w:r>
      <w:r>
        <w:rPr>
          <w:color w:val="161616"/>
          <w:spacing w:val="-3"/>
          <w:w w:val="105"/>
          <w:sz w:val="21"/>
        </w:rPr>
        <w:t> </w:t>
      </w:r>
      <w:r>
        <w:rPr>
          <w:color w:val="2A2A2A"/>
          <w:w w:val="105"/>
          <w:sz w:val="21"/>
        </w:rPr>
        <w:t>now </w:t>
      </w:r>
      <w:r>
        <w:rPr>
          <w:color w:val="161616"/>
          <w:w w:val="105"/>
          <w:sz w:val="21"/>
        </w:rPr>
        <w:t>responsible for their own appointment</w:t>
      </w:r>
      <w:r>
        <w:rPr>
          <w:color w:val="161616"/>
          <w:spacing w:val="35"/>
          <w:w w:val="105"/>
          <w:sz w:val="21"/>
        </w:rPr>
        <w:t> </w:t>
      </w:r>
      <w:r>
        <w:rPr>
          <w:color w:val="161616"/>
          <w:w w:val="105"/>
          <w:sz w:val="21"/>
        </w:rPr>
        <w:t>in this</w:t>
      </w:r>
      <w:r>
        <w:rPr>
          <w:color w:val="161616"/>
          <w:spacing w:val="-2"/>
          <w:w w:val="105"/>
          <w:sz w:val="21"/>
        </w:rPr>
        <w:t> </w:t>
      </w:r>
      <w:r>
        <w:rPr>
          <w:color w:val="161616"/>
          <w:w w:val="105"/>
          <w:sz w:val="21"/>
        </w:rPr>
        <w:t>respect. In September 2017, it was </w:t>
      </w:r>
      <w:r>
        <w:rPr>
          <w:color w:val="2A2A2A"/>
          <w:w w:val="105"/>
          <w:sz w:val="21"/>
        </w:rPr>
        <w:t>recommended to</w:t>
      </w:r>
      <w:r>
        <w:rPr>
          <w:color w:val="2A2A2A"/>
          <w:spacing w:val="-11"/>
          <w:w w:val="105"/>
          <w:sz w:val="21"/>
        </w:rPr>
        <w:t> </w:t>
      </w:r>
      <w:r>
        <w:rPr>
          <w:color w:val="161616"/>
          <w:w w:val="105"/>
          <w:sz w:val="21"/>
        </w:rPr>
        <w:t>the</w:t>
      </w:r>
      <w:r>
        <w:rPr>
          <w:color w:val="161616"/>
          <w:spacing w:val="-2"/>
          <w:w w:val="105"/>
          <w:sz w:val="21"/>
        </w:rPr>
        <w:t> </w:t>
      </w:r>
      <w:r>
        <w:rPr>
          <w:color w:val="161616"/>
          <w:w w:val="105"/>
          <w:sz w:val="21"/>
        </w:rPr>
        <w:t>Audit Committee that Hertsmere also appoint Ernst</w:t>
      </w:r>
      <w:r>
        <w:rPr>
          <w:color w:val="161616"/>
          <w:spacing w:val="-1"/>
          <w:w w:val="105"/>
          <w:sz w:val="21"/>
        </w:rPr>
        <w:t> </w:t>
      </w:r>
      <w:r>
        <w:rPr>
          <w:color w:val="161616"/>
          <w:w w:val="105"/>
          <w:sz w:val="21"/>
        </w:rPr>
        <w:t>&amp; Young LLP</w:t>
      </w:r>
    </w:p>
    <w:p>
      <w:pPr>
        <w:spacing w:after="0" w:line="247" w:lineRule="auto"/>
        <w:jc w:val="left"/>
        <w:rPr>
          <w:sz w:val="21"/>
        </w:rPr>
        <w:sectPr>
          <w:pgSz w:w="11910" w:h="16830"/>
          <w:pgMar w:top="1020" w:right="540" w:bottom="1220" w:left="440" w:header="828" w:footer="1021"/>
        </w:sectPr>
      </w:pPr>
    </w:p>
    <w:p>
      <w:pPr>
        <w:tabs>
          <w:tab w:val="left" w:leader="none" w:pos="1603"/>
        </w:tabs>
        <w:spacing w:before="75"/>
        <w:ind w:left="875" w:right="0" w:firstLine="0"/>
        <w:jc w:val="left"/>
        <w:rPr>
          <w:sz w:val="14"/>
        </w:rPr>
      </w:pPr>
      <w:r>
        <w:rPr>
          <w:b/>
          <w:color w:val="C6C6C6"/>
          <w:spacing w:val="-10"/>
          <w:w w:val="110"/>
          <w:sz w:val="16"/>
        </w:rPr>
        <w:t>8</w:t>
      </w:r>
      <w:r>
        <w:rPr>
          <w:b/>
          <w:color w:val="C6C6C6"/>
          <w:sz w:val="16"/>
        </w:rPr>
        <w:tab/>
      </w:r>
      <w:r>
        <w:rPr>
          <w:color w:val="A3A3A3"/>
          <w:w w:val="110"/>
          <w:sz w:val="14"/>
        </w:rPr>
        <w:t>d. iNUAL</w:t>
      </w:r>
      <w:r>
        <w:rPr>
          <w:color w:val="A3A3A3"/>
          <w:spacing w:val="20"/>
          <w:w w:val="110"/>
          <w:sz w:val="14"/>
        </w:rPr>
        <w:t> </w:t>
      </w:r>
      <w:r>
        <w:rPr>
          <w:color w:val="A3A3A3"/>
          <w:w w:val="110"/>
          <w:sz w:val="14"/>
        </w:rPr>
        <w:t>GO</w:t>
      </w:r>
      <w:r>
        <w:rPr>
          <w:rFonts w:ascii="Times New Roman"/>
          <w:color w:val="A3A3A3"/>
          <w:w w:val="110"/>
          <w:position w:val="3"/>
          <w:sz w:val="10"/>
        </w:rPr>
        <w:t>1</w:t>
      </w:r>
      <w:r>
        <w:rPr>
          <w:color w:val="A3A3A3"/>
          <w:w w:val="110"/>
          <w:sz w:val="14"/>
        </w:rPr>
        <w:t>/ERN.LiNCE</w:t>
      </w:r>
      <w:r>
        <w:rPr>
          <w:color w:val="A3A3A3"/>
          <w:spacing w:val="13"/>
          <w:w w:val="110"/>
          <w:sz w:val="14"/>
        </w:rPr>
        <w:t> </w:t>
      </w:r>
      <w:r>
        <w:rPr>
          <w:color w:val="A3A3A3"/>
          <w:spacing w:val="-2"/>
          <w:w w:val="110"/>
          <w:sz w:val="14"/>
        </w:rPr>
        <w:t>ST.i.Tcf\/lENT</w:t>
      </w:r>
    </w:p>
    <w:p>
      <w:pPr>
        <w:pStyle w:val="BodyText"/>
        <w:spacing w:before="84"/>
        <w:rPr>
          <w:sz w:val="14"/>
        </w:rPr>
      </w:pPr>
    </w:p>
    <w:p>
      <w:pPr>
        <w:spacing w:before="0" w:line="252" w:lineRule="auto"/>
        <w:ind w:left="860" w:right="269" w:hanging="1"/>
        <w:jc w:val="left"/>
        <w:rPr>
          <w:sz w:val="21"/>
        </w:rPr>
      </w:pPr>
      <w:r>
        <w:rPr>
          <w:color w:val="0A0A0A"/>
          <w:w w:val="105"/>
          <w:sz w:val="21"/>
        </w:rPr>
        <w:t>to</w:t>
      </w:r>
      <w:r>
        <w:rPr>
          <w:color w:val="0A0A0A"/>
          <w:spacing w:val="-11"/>
          <w:w w:val="105"/>
          <w:sz w:val="21"/>
        </w:rPr>
        <w:t> </w:t>
      </w:r>
      <w:r>
        <w:rPr>
          <w:color w:val="0A0A0A"/>
          <w:w w:val="105"/>
          <w:sz w:val="21"/>
        </w:rPr>
        <w:t>undertake this</w:t>
      </w:r>
      <w:r>
        <w:rPr>
          <w:color w:val="0A0A0A"/>
          <w:spacing w:val="-6"/>
          <w:w w:val="105"/>
          <w:sz w:val="21"/>
        </w:rPr>
        <w:t> </w:t>
      </w:r>
      <w:r>
        <w:rPr>
          <w:color w:val="1F1F1F"/>
          <w:w w:val="105"/>
          <w:sz w:val="21"/>
        </w:rPr>
        <w:t>subsidy </w:t>
      </w:r>
      <w:r>
        <w:rPr>
          <w:color w:val="0A0A0A"/>
          <w:w w:val="105"/>
          <w:sz w:val="21"/>
        </w:rPr>
        <w:t>work</w:t>
      </w:r>
      <w:r>
        <w:rPr>
          <w:color w:val="0A0A0A"/>
          <w:spacing w:val="-3"/>
          <w:w w:val="105"/>
          <w:sz w:val="21"/>
        </w:rPr>
        <w:t> </w:t>
      </w:r>
      <w:r>
        <w:rPr>
          <w:color w:val="0A0A0A"/>
          <w:w w:val="105"/>
          <w:sz w:val="21"/>
        </w:rPr>
        <w:t>along-side</w:t>
      </w:r>
      <w:r>
        <w:rPr>
          <w:color w:val="0A0A0A"/>
          <w:spacing w:val="-1"/>
          <w:w w:val="105"/>
          <w:sz w:val="21"/>
        </w:rPr>
        <w:t> </w:t>
      </w:r>
      <w:r>
        <w:rPr>
          <w:color w:val="0A0A0A"/>
          <w:w w:val="105"/>
          <w:sz w:val="21"/>
        </w:rPr>
        <w:t>their</w:t>
      </w:r>
      <w:r>
        <w:rPr>
          <w:color w:val="0A0A0A"/>
          <w:spacing w:val="-2"/>
          <w:w w:val="105"/>
          <w:sz w:val="21"/>
        </w:rPr>
        <w:t> </w:t>
      </w:r>
      <w:r>
        <w:rPr>
          <w:color w:val="0A0A0A"/>
          <w:w w:val="105"/>
          <w:sz w:val="21"/>
        </w:rPr>
        <w:t>other audit</w:t>
      </w:r>
      <w:r>
        <w:rPr>
          <w:color w:val="0A0A0A"/>
          <w:spacing w:val="-6"/>
          <w:w w:val="105"/>
          <w:sz w:val="21"/>
        </w:rPr>
        <w:t> </w:t>
      </w:r>
      <w:r>
        <w:rPr>
          <w:color w:val="0A0A0A"/>
          <w:w w:val="105"/>
          <w:sz w:val="21"/>
        </w:rPr>
        <w:t>work due</w:t>
      </w:r>
      <w:r>
        <w:rPr>
          <w:color w:val="0A0A0A"/>
          <w:spacing w:val="-12"/>
          <w:w w:val="105"/>
          <w:sz w:val="21"/>
        </w:rPr>
        <w:t> </w:t>
      </w:r>
      <w:r>
        <w:rPr>
          <w:color w:val="0A0A0A"/>
          <w:w w:val="105"/>
          <w:sz w:val="21"/>
        </w:rPr>
        <w:t>in</w:t>
      </w:r>
      <w:r>
        <w:rPr>
          <w:color w:val="0A0A0A"/>
          <w:spacing w:val="-6"/>
          <w:w w:val="105"/>
          <w:sz w:val="21"/>
        </w:rPr>
        <w:t> </w:t>
      </w:r>
      <w:r>
        <w:rPr>
          <w:color w:val="0A0A0A"/>
          <w:w w:val="105"/>
          <w:sz w:val="21"/>
        </w:rPr>
        <w:t>the</w:t>
      </w:r>
      <w:r>
        <w:rPr>
          <w:color w:val="0A0A0A"/>
          <w:spacing w:val="-14"/>
          <w:w w:val="105"/>
          <w:sz w:val="21"/>
        </w:rPr>
        <w:t> </w:t>
      </w:r>
      <w:r>
        <w:rPr>
          <w:color w:val="0A0A0A"/>
          <w:w w:val="105"/>
          <w:sz w:val="21"/>
        </w:rPr>
        <w:t>main</w:t>
      </w:r>
      <w:r>
        <w:rPr>
          <w:color w:val="0A0A0A"/>
          <w:spacing w:val="-12"/>
          <w:w w:val="105"/>
          <w:sz w:val="21"/>
        </w:rPr>
        <w:t> </w:t>
      </w:r>
      <w:r>
        <w:rPr>
          <w:color w:val="0A0A0A"/>
          <w:w w:val="105"/>
          <w:sz w:val="21"/>
        </w:rPr>
        <w:t>to</w:t>
      </w:r>
      <w:r>
        <w:rPr>
          <w:color w:val="0A0A0A"/>
          <w:spacing w:val="-16"/>
          <w:w w:val="105"/>
          <w:sz w:val="21"/>
        </w:rPr>
        <w:t> </w:t>
      </w:r>
      <w:r>
        <w:rPr>
          <w:color w:val="0A0A0A"/>
          <w:w w:val="105"/>
          <w:sz w:val="21"/>
        </w:rPr>
        <w:t>the</w:t>
      </w:r>
      <w:r>
        <w:rPr>
          <w:color w:val="0A0A0A"/>
          <w:spacing w:val="-12"/>
          <w:w w:val="105"/>
          <w:sz w:val="21"/>
        </w:rPr>
        <w:t> </w:t>
      </w:r>
      <w:r>
        <w:rPr>
          <w:color w:val="0A0A0A"/>
          <w:w w:val="105"/>
          <w:sz w:val="21"/>
        </w:rPr>
        <w:t>efficiencies</w:t>
      </w:r>
      <w:r>
        <w:rPr>
          <w:color w:val="0A0A0A"/>
          <w:spacing w:val="-1"/>
          <w:w w:val="105"/>
          <w:sz w:val="21"/>
        </w:rPr>
        <w:t> </w:t>
      </w:r>
      <w:r>
        <w:rPr>
          <w:color w:val="0A0A0A"/>
          <w:w w:val="105"/>
          <w:sz w:val="21"/>
        </w:rPr>
        <w:t>of appointing a single auditor. The</w:t>
      </w:r>
      <w:r>
        <w:rPr>
          <w:color w:val="0A0A0A"/>
          <w:spacing w:val="-2"/>
          <w:w w:val="105"/>
          <w:sz w:val="21"/>
        </w:rPr>
        <w:t> </w:t>
      </w:r>
      <w:r>
        <w:rPr>
          <w:color w:val="0A0A0A"/>
          <w:w w:val="105"/>
          <w:sz w:val="21"/>
        </w:rPr>
        <w:t>Audit Committee considered Ernst &amp; Young LLP's proposal and recommended their appointment by</w:t>
      </w:r>
      <w:r>
        <w:rPr>
          <w:color w:val="0A0A0A"/>
          <w:spacing w:val="-1"/>
          <w:w w:val="105"/>
          <w:sz w:val="21"/>
        </w:rPr>
        <w:t> </w:t>
      </w:r>
      <w:r>
        <w:rPr>
          <w:color w:val="0A0A0A"/>
          <w:w w:val="105"/>
          <w:sz w:val="21"/>
        </w:rPr>
        <w:t>the</w:t>
      </w:r>
      <w:r>
        <w:rPr>
          <w:color w:val="0A0A0A"/>
          <w:spacing w:val="-5"/>
          <w:w w:val="105"/>
          <w:sz w:val="21"/>
        </w:rPr>
        <w:t> </w:t>
      </w:r>
      <w:r>
        <w:rPr>
          <w:color w:val="0A0A0A"/>
          <w:w w:val="105"/>
          <w:sz w:val="21"/>
        </w:rPr>
        <w:t>full</w:t>
      </w:r>
      <w:r>
        <w:rPr>
          <w:color w:val="0A0A0A"/>
          <w:spacing w:val="-7"/>
          <w:w w:val="105"/>
          <w:sz w:val="21"/>
        </w:rPr>
        <w:t> </w:t>
      </w:r>
      <w:r>
        <w:rPr>
          <w:color w:val="0A0A0A"/>
          <w:w w:val="105"/>
          <w:sz w:val="21"/>
        </w:rPr>
        <w:t>Council. Ernst &amp; Young are</w:t>
      </w:r>
      <w:r>
        <w:rPr>
          <w:color w:val="0A0A0A"/>
          <w:spacing w:val="-2"/>
          <w:w w:val="105"/>
          <w:sz w:val="21"/>
        </w:rPr>
        <w:t> </w:t>
      </w:r>
      <w:r>
        <w:rPr>
          <w:color w:val="0A0A0A"/>
          <w:w w:val="105"/>
          <w:sz w:val="21"/>
        </w:rPr>
        <w:t>currently concluding the 2020/21 Housing Benefit Subsidy claim.</w:t>
      </w:r>
    </w:p>
    <w:p>
      <w:pPr>
        <w:pStyle w:val="BodyText"/>
        <w:spacing w:before="3"/>
        <w:rPr>
          <w:sz w:val="21"/>
        </w:rPr>
      </w:pPr>
    </w:p>
    <w:p>
      <w:pPr>
        <w:spacing w:before="1" w:line="256" w:lineRule="auto"/>
        <w:ind w:left="859" w:right="269" w:firstLine="7"/>
        <w:jc w:val="left"/>
        <w:rPr>
          <w:b/>
          <w:sz w:val="21"/>
        </w:rPr>
      </w:pPr>
      <w:r>
        <w:rPr>
          <w:b/>
          <w:color w:val="0A0A0A"/>
          <w:w w:val="105"/>
          <w:sz w:val="21"/>
        </w:rPr>
        <w:t>Ensuring</w:t>
      </w:r>
      <w:r>
        <w:rPr>
          <w:b/>
          <w:color w:val="0A0A0A"/>
          <w:spacing w:val="-13"/>
          <w:w w:val="105"/>
          <w:sz w:val="21"/>
        </w:rPr>
        <w:t> </w:t>
      </w:r>
      <w:r>
        <w:rPr>
          <w:b/>
          <w:color w:val="0A0A0A"/>
          <w:w w:val="105"/>
          <w:sz w:val="21"/>
        </w:rPr>
        <w:t>effective</w:t>
      </w:r>
      <w:r>
        <w:rPr>
          <w:b/>
          <w:color w:val="0A0A0A"/>
          <w:spacing w:val="-11"/>
          <w:w w:val="105"/>
          <w:sz w:val="21"/>
        </w:rPr>
        <w:t> </w:t>
      </w:r>
      <w:r>
        <w:rPr>
          <w:b/>
          <w:color w:val="0A0A0A"/>
          <w:w w:val="105"/>
          <w:sz w:val="21"/>
        </w:rPr>
        <w:t>counter-fraud</w:t>
      </w:r>
      <w:r>
        <w:rPr>
          <w:b/>
          <w:color w:val="0A0A0A"/>
          <w:spacing w:val="-1"/>
          <w:w w:val="105"/>
          <w:sz w:val="21"/>
        </w:rPr>
        <w:t> </w:t>
      </w:r>
      <w:r>
        <w:rPr>
          <w:b/>
          <w:color w:val="0A0A0A"/>
          <w:w w:val="105"/>
          <w:sz w:val="21"/>
        </w:rPr>
        <w:t>and</w:t>
      </w:r>
      <w:r>
        <w:rPr>
          <w:b/>
          <w:color w:val="0A0A0A"/>
          <w:spacing w:val="-16"/>
          <w:w w:val="105"/>
          <w:sz w:val="21"/>
        </w:rPr>
        <w:t> </w:t>
      </w:r>
      <w:r>
        <w:rPr>
          <w:b/>
          <w:color w:val="0A0A0A"/>
          <w:w w:val="105"/>
          <w:sz w:val="21"/>
        </w:rPr>
        <w:t>anti-corruption</w:t>
      </w:r>
      <w:r>
        <w:rPr>
          <w:b/>
          <w:color w:val="0A0A0A"/>
          <w:spacing w:val="-15"/>
          <w:w w:val="105"/>
          <w:sz w:val="21"/>
        </w:rPr>
        <w:t> </w:t>
      </w:r>
      <w:r>
        <w:rPr>
          <w:b/>
          <w:color w:val="0A0A0A"/>
          <w:w w:val="105"/>
          <w:sz w:val="21"/>
        </w:rPr>
        <w:t>arrangements are</w:t>
      </w:r>
      <w:r>
        <w:rPr>
          <w:b/>
          <w:color w:val="0A0A0A"/>
          <w:spacing w:val="-11"/>
          <w:w w:val="105"/>
          <w:sz w:val="21"/>
        </w:rPr>
        <w:t> </w:t>
      </w:r>
      <w:r>
        <w:rPr>
          <w:b/>
          <w:color w:val="0A0A0A"/>
          <w:w w:val="105"/>
          <w:sz w:val="21"/>
        </w:rPr>
        <w:t>developed</w:t>
      </w:r>
      <w:r>
        <w:rPr>
          <w:b/>
          <w:color w:val="0A0A0A"/>
          <w:spacing w:val="-1"/>
          <w:w w:val="105"/>
          <w:sz w:val="21"/>
        </w:rPr>
        <w:t> </w:t>
      </w:r>
      <w:r>
        <w:rPr>
          <w:b/>
          <w:color w:val="0A0A0A"/>
          <w:w w:val="105"/>
          <w:sz w:val="21"/>
        </w:rPr>
        <w:t>and </w:t>
      </w:r>
      <w:r>
        <w:rPr>
          <w:b/>
          <w:color w:val="0A0A0A"/>
          <w:spacing w:val="-2"/>
          <w:w w:val="105"/>
          <w:sz w:val="21"/>
        </w:rPr>
        <w:t>maintained</w:t>
      </w:r>
    </w:p>
    <w:p>
      <w:pPr>
        <w:pStyle w:val="BodyText"/>
        <w:rPr>
          <w:b/>
          <w:sz w:val="21"/>
        </w:rPr>
      </w:pPr>
    </w:p>
    <w:p>
      <w:pPr>
        <w:spacing w:before="1"/>
        <w:ind w:left="868" w:right="0" w:firstLine="0"/>
        <w:jc w:val="left"/>
        <w:rPr>
          <w:sz w:val="21"/>
        </w:rPr>
      </w:pPr>
      <w:r>
        <w:rPr>
          <w:color w:val="1F1F1F"/>
          <w:w w:val="105"/>
          <w:sz w:val="21"/>
          <w:u w:val="thick" w:color="1F1F1F"/>
        </w:rPr>
        <w:t>Anti-Fraud</w:t>
      </w:r>
      <w:r>
        <w:rPr>
          <w:color w:val="1F1F1F"/>
          <w:spacing w:val="-5"/>
          <w:w w:val="105"/>
          <w:sz w:val="21"/>
          <w:u w:val="thick" w:color="1F1F1F"/>
        </w:rPr>
        <w:t> </w:t>
      </w:r>
      <w:r>
        <w:rPr>
          <w:color w:val="1F1F1F"/>
          <w:w w:val="105"/>
          <w:sz w:val="21"/>
          <w:u w:val="thick" w:color="1F1F1F"/>
        </w:rPr>
        <w:t>and</w:t>
      </w:r>
      <w:r>
        <w:rPr>
          <w:color w:val="1F1F1F"/>
          <w:spacing w:val="-14"/>
          <w:w w:val="105"/>
          <w:sz w:val="21"/>
          <w:u w:val="thick" w:color="1F1F1F"/>
        </w:rPr>
        <w:t> </w:t>
      </w:r>
      <w:r>
        <w:rPr>
          <w:color w:val="1F1F1F"/>
          <w:w w:val="105"/>
          <w:sz w:val="21"/>
          <w:u w:val="thick" w:color="1F1F1F"/>
        </w:rPr>
        <w:t>Ant</w:t>
      </w:r>
      <w:r>
        <w:rPr>
          <w:color w:val="3A3A3A"/>
          <w:w w:val="105"/>
          <w:sz w:val="21"/>
          <w:u w:val="thick" w:color="1F1F1F"/>
        </w:rPr>
        <w:t>i</w:t>
      </w:r>
      <w:r>
        <w:rPr>
          <w:color w:val="1F1F1F"/>
          <w:w w:val="105"/>
          <w:sz w:val="21"/>
          <w:u w:val="thick" w:color="1F1F1F"/>
        </w:rPr>
        <w:t>-</w:t>
      </w:r>
      <w:r>
        <w:rPr>
          <w:color w:val="1F1F1F"/>
          <w:spacing w:val="-2"/>
          <w:w w:val="105"/>
          <w:sz w:val="21"/>
          <w:u w:val="thick" w:color="1F1F1F"/>
        </w:rPr>
        <w:t>Corrupt</w:t>
      </w:r>
      <w:r>
        <w:rPr>
          <w:color w:val="4B4B4B"/>
          <w:spacing w:val="-2"/>
          <w:w w:val="105"/>
          <w:sz w:val="21"/>
          <w:u w:val="thick" w:color="1F1F1F"/>
        </w:rPr>
        <w:t>i</w:t>
      </w:r>
      <w:r>
        <w:rPr>
          <w:color w:val="1F1F1F"/>
          <w:spacing w:val="-2"/>
          <w:w w:val="105"/>
          <w:sz w:val="21"/>
          <w:u w:val="thick" w:color="1F1F1F"/>
        </w:rPr>
        <w:t>on</w:t>
      </w:r>
    </w:p>
    <w:p>
      <w:pPr>
        <w:pStyle w:val="BodyText"/>
        <w:spacing w:before="31"/>
        <w:rPr>
          <w:sz w:val="21"/>
        </w:rPr>
      </w:pPr>
    </w:p>
    <w:p>
      <w:pPr>
        <w:pStyle w:val="ListParagraph"/>
        <w:numPr>
          <w:ilvl w:val="0"/>
          <w:numId w:val="29"/>
        </w:numPr>
        <w:tabs>
          <w:tab w:val="left" w:leader="none" w:pos="865"/>
        </w:tabs>
        <w:spacing w:before="0" w:after="0" w:line="240" w:lineRule="auto"/>
        <w:ind w:left="865" w:right="0" w:hanging="708"/>
        <w:jc w:val="left"/>
        <w:rPr>
          <w:color w:val="0A0A0A"/>
          <w:sz w:val="21"/>
        </w:rPr>
      </w:pPr>
      <w:r>
        <w:rPr>
          <w:color w:val="0A0A0A"/>
          <w:w w:val="105"/>
          <w:sz w:val="21"/>
        </w:rPr>
        <w:t>During</w:t>
      </w:r>
      <w:r>
        <w:rPr>
          <w:color w:val="0A0A0A"/>
          <w:spacing w:val="4"/>
          <w:w w:val="105"/>
          <w:sz w:val="21"/>
        </w:rPr>
        <w:t> </w:t>
      </w:r>
      <w:r>
        <w:rPr>
          <w:color w:val="0A0A0A"/>
          <w:w w:val="105"/>
          <w:sz w:val="21"/>
        </w:rPr>
        <w:t>2014/15,</w:t>
      </w:r>
      <w:r>
        <w:rPr>
          <w:color w:val="0A0A0A"/>
          <w:spacing w:val="-3"/>
          <w:w w:val="105"/>
          <w:sz w:val="21"/>
        </w:rPr>
        <w:t> </w:t>
      </w:r>
      <w:r>
        <w:rPr>
          <w:color w:val="0A0A0A"/>
          <w:w w:val="105"/>
          <w:sz w:val="21"/>
        </w:rPr>
        <w:t>the</w:t>
      </w:r>
      <w:r>
        <w:rPr>
          <w:color w:val="0A0A0A"/>
          <w:spacing w:val="-11"/>
          <w:w w:val="105"/>
          <w:sz w:val="21"/>
        </w:rPr>
        <w:t> </w:t>
      </w:r>
      <w:r>
        <w:rPr>
          <w:color w:val="0A0A0A"/>
          <w:w w:val="105"/>
          <w:sz w:val="21"/>
        </w:rPr>
        <w:t>Council</w:t>
      </w:r>
      <w:r>
        <w:rPr>
          <w:color w:val="0A0A0A"/>
          <w:spacing w:val="-3"/>
          <w:w w:val="105"/>
          <w:sz w:val="21"/>
        </w:rPr>
        <w:t> </w:t>
      </w:r>
      <w:r>
        <w:rPr>
          <w:color w:val="0A0A0A"/>
          <w:w w:val="105"/>
          <w:sz w:val="21"/>
        </w:rPr>
        <w:t>joined</w:t>
      </w:r>
      <w:r>
        <w:rPr>
          <w:color w:val="0A0A0A"/>
          <w:spacing w:val="-5"/>
          <w:w w:val="105"/>
          <w:sz w:val="21"/>
        </w:rPr>
        <w:t> </w:t>
      </w:r>
      <w:r>
        <w:rPr>
          <w:color w:val="0A0A0A"/>
          <w:w w:val="105"/>
          <w:sz w:val="21"/>
        </w:rPr>
        <w:t>four other districts/</w:t>
      </w:r>
      <w:r>
        <w:rPr>
          <w:color w:val="0A0A0A"/>
          <w:spacing w:val="-1"/>
          <w:w w:val="105"/>
          <w:sz w:val="21"/>
        </w:rPr>
        <w:t> </w:t>
      </w:r>
      <w:r>
        <w:rPr>
          <w:color w:val="0A0A0A"/>
          <w:w w:val="105"/>
          <w:sz w:val="21"/>
        </w:rPr>
        <w:t>boroughs</w:t>
      </w:r>
      <w:r>
        <w:rPr>
          <w:color w:val="0A0A0A"/>
          <w:spacing w:val="1"/>
          <w:w w:val="105"/>
          <w:sz w:val="21"/>
        </w:rPr>
        <w:t> </w:t>
      </w:r>
      <w:r>
        <w:rPr>
          <w:color w:val="0A0A0A"/>
          <w:w w:val="105"/>
          <w:sz w:val="21"/>
        </w:rPr>
        <w:t>(East</w:t>
      </w:r>
      <w:r>
        <w:rPr>
          <w:color w:val="0A0A0A"/>
          <w:spacing w:val="-1"/>
          <w:w w:val="105"/>
          <w:sz w:val="21"/>
        </w:rPr>
        <w:t> </w:t>
      </w:r>
      <w:r>
        <w:rPr>
          <w:color w:val="0A0A0A"/>
          <w:w w:val="105"/>
          <w:sz w:val="21"/>
        </w:rPr>
        <w:t>Herts</w:t>
      </w:r>
      <w:r>
        <w:rPr>
          <w:color w:val="0A0A0A"/>
          <w:spacing w:val="-7"/>
          <w:w w:val="105"/>
          <w:sz w:val="21"/>
        </w:rPr>
        <w:t> </w:t>
      </w:r>
      <w:r>
        <w:rPr>
          <w:color w:val="0A0A0A"/>
          <w:w w:val="105"/>
          <w:sz w:val="21"/>
        </w:rPr>
        <w:t>Council,</w:t>
      </w:r>
      <w:r>
        <w:rPr>
          <w:color w:val="0A0A0A"/>
          <w:spacing w:val="5"/>
          <w:w w:val="105"/>
          <w:sz w:val="21"/>
        </w:rPr>
        <w:t> </w:t>
      </w:r>
      <w:r>
        <w:rPr>
          <w:color w:val="0A0A0A"/>
          <w:spacing w:val="-2"/>
          <w:w w:val="105"/>
          <w:sz w:val="21"/>
        </w:rPr>
        <w:t>North</w:t>
      </w:r>
    </w:p>
    <w:p>
      <w:pPr>
        <w:spacing w:before="8" w:line="252" w:lineRule="auto"/>
        <w:ind w:left="863" w:right="319" w:firstLine="1"/>
        <w:jc w:val="left"/>
        <w:rPr>
          <w:sz w:val="21"/>
        </w:rPr>
      </w:pPr>
      <w:r>
        <w:rPr>
          <w:color w:val="0A0A0A"/>
          <w:w w:val="105"/>
          <w:sz w:val="21"/>
        </w:rPr>
        <w:t>Herts</w:t>
      </w:r>
      <w:r>
        <w:rPr>
          <w:color w:val="0A0A0A"/>
          <w:spacing w:val="-7"/>
          <w:w w:val="105"/>
          <w:sz w:val="21"/>
        </w:rPr>
        <w:t> </w:t>
      </w:r>
      <w:r>
        <w:rPr>
          <w:color w:val="0A0A0A"/>
          <w:w w:val="105"/>
          <w:sz w:val="21"/>
        </w:rPr>
        <w:t>DC,</w:t>
      </w:r>
      <w:r>
        <w:rPr>
          <w:color w:val="0A0A0A"/>
          <w:spacing w:val="-8"/>
          <w:w w:val="105"/>
          <w:sz w:val="21"/>
        </w:rPr>
        <w:t> </w:t>
      </w:r>
      <w:r>
        <w:rPr>
          <w:color w:val="0A0A0A"/>
          <w:w w:val="105"/>
          <w:sz w:val="21"/>
        </w:rPr>
        <w:t>Stevenage </w:t>
      </w:r>
      <w:r>
        <w:rPr>
          <w:color w:val="1F1F1F"/>
          <w:w w:val="105"/>
          <w:sz w:val="21"/>
        </w:rPr>
        <w:t>BC</w:t>
      </w:r>
      <w:r>
        <w:rPr>
          <w:color w:val="1F1F1F"/>
          <w:spacing w:val="-3"/>
          <w:w w:val="105"/>
          <w:sz w:val="21"/>
        </w:rPr>
        <w:t> </w:t>
      </w:r>
      <w:r>
        <w:rPr>
          <w:color w:val="1F1F1F"/>
          <w:w w:val="105"/>
          <w:sz w:val="21"/>
        </w:rPr>
        <w:t>and</w:t>
      </w:r>
      <w:r>
        <w:rPr>
          <w:color w:val="1F1F1F"/>
          <w:spacing w:val="-10"/>
          <w:w w:val="105"/>
          <w:sz w:val="21"/>
        </w:rPr>
        <w:t> </w:t>
      </w:r>
      <w:r>
        <w:rPr>
          <w:color w:val="1F1F1F"/>
          <w:w w:val="105"/>
          <w:sz w:val="21"/>
        </w:rPr>
        <w:t>Broxbourne BC) and</w:t>
      </w:r>
      <w:r>
        <w:rPr>
          <w:color w:val="1F1F1F"/>
          <w:spacing w:val="-16"/>
          <w:w w:val="105"/>
          <w:sz w:val="21"/>
        </w:rPr>
        <w:t> </w:t>
      </w:r>
      <w:r>
        <w:rPr>
          <w:color w:val="0A0A0A"/>
          <w:w w:val="105"/>
          <w:sz w:val="21"/>
        </w:rPr>
        <w:t>Hertfordshire </w:t>
      </w:r>
      <w:r>
        <w:rPr>
          <w:color w:val="1F1F1F"/>
          <w:w w:val="105"/>
          <w:sz w:val="21"/>
        </w:rPr>
        <w:t>County Council to</w:t>
      </w:r>
      <w:r>
        <w:rPr>
          <w:color w:val="1F1F1F"/>
          <w:spacing w:val="-11"/>
          <w:w w:val="105"/>
          <w:sz w:val="21"/>
        </w:rPr>
        <w:t> </w:t>
      </w:r>
      <w:r>
        <w:rPr>
          <w:color w:val="1F1F1F"/>
          <w:w w:val="105"/>
          <w:sz w:val="21"/>
        </w:rPr>
        <w:t>form</w:t>
      </w:r>
      <w:r>
        <w:rPr>
          <w:color w:val="1F1F1F"/>
          <w:spacing w:val="-11"/>
          <w:w w:val="105"/>
          <w:sz w:val="21"/>
        </w:rPr>
        <w:t> </w:t>
      </w:r>
      <w:r>
        <w:rPr>
          <w:color w:val="0A0A0A"/>
          <w:w w:val="105"/>
          <w:sz w:val="21"/>
        </w:rPr>
        <w:t>the</w:t>
      </w:r>
      <w:r>
        <w:rPr>
          <w:color w:val="0A0A0A"/>
          <w:spacing w:val="-9"/>
          <w:w w:val="105"/>
          <w:sz w:val="21"/>
        </w:rPr>
        <w:t> </w:t>
      </w:r>
      <w:r>
        <w:rPr>
          <w:color w:val="0A0A0A"/>
          <w:w w:val="105"/>
          <w:sz w:val="21"/>
        </w:rPr>
        <w:t>Shared Anti-Fraud</w:t>
      </w:r>
      <w:r>
        <w:rPr>
          <w:color w:val="0A0A0A"/>
          <w:spacing w:val="-5"/>
          <w:w w:val="105"/>
          <w:sz w:val="21"/>
        </w:rPr>
        <w:t> </w:t>
      </w:r>
      <w:r>
        <w:rPr>
          <w:color w:val="0A0A0A"/>
          <w:w w:val="105"/>
          <w:sz w:val="21"/>
        </w:rPr>
        <w:t>Service</w:t>
      </w:r>
      <w:r>
        <w:rPr>
          <w:color w:val="0A0A0A"/>
          <w:spacing w:val="-2"/>
          <w:w w:val="105"/>
          <w:sz w:val="21"/>
        </w:rPr>
        <w:t> </w:t>
      </w:r>
      <w:r>
        <w:rPr>
          <w:color w:val="0A0A0A"/>
          <w:w w:val="105"/>
          <w:sz w:val="21"/>
        </w:rPr>
        <w:t>(SAFS)</w:t>
      </w:r>
      <w:r>
        <w:rPr>
          <w:color w:val="4B4B4B"/>
          <w:w w:val="105"/>
          <w:sz w:val="21"/>
        </w:rPr>
        <w:t>,</w:t>
      </w:r>
      <w:r>
        <w:rPr>
          <w:color w:val="4B4B4B"/>
          <w:spacing w:val="-16"/>
          <w:w w:val="105"/>
          <w:sz w:val="21"/>
        </w:rPr>
        <w:t> </w:t>
      </w:r>
      <w:r>
        <w:rPr>
          <w:color w:val="1F1F1F"/>
          <w:w w:val="105"/>
          <w:sz w:val="21"/>
        </w:rPr>
        <w:t>offering</w:t>
      </w:r>
      <w:r>
        <w:rPr>
          <w:color w:val="1F1F1F"/>
          <w:spacing w:val="-6"/>
          <w:w w:val="105"/>
          <w:sz w:val="21"/>
        </w:rPr>
        <w:t> </w:t>
      </w:r>
      <w:r>
        <w:rPr>
          <w:color w:val="0A0A0A"/>
          <w:w w:val="105"/>
          <w:sz w:val="21"/>
        </w:rPr>
        <w:t>an</w:t>
      </w:r>
      <w:r>
        <w:rPr>
          <w:color w:val="0A0A0A"/>
          <w:spacing w:val="-16"/>
          <w:w w:val="105"/>
          <w:sz w:val="21"/>
        </w:rPr>
        <w:t> </w:t>
      </w:r>
      <w:r>
        <w:rPr>
          <w:color w:val="0A0A0A"/>
          <w:w w:val="105"/>
          <w:sz w:val="21"/>
        </w:rPr>
        <w:t>exclusive </w:t>
      </w:r>
      <w:r>
        <w:rPr>
          <w:color w:val="1F1F1F"/>
          <w:w w:val="105"/>
          <w:sz w:val="21"/>
        </w:rPr>
        <w:t>strategic</w:t>
      </w:r>
      <w:r>
        <w:rPr>
          <w:color w:val="1F1F1F"/>
          <w:spacing w:val="-6"/>
          <w:w w:val="105"/>
          <w:sz w:val="21"/>
        </w:rPr>
        <w:t> </w:t>
      </w:r>
      <w:r>
        <w:rPr>
          <w:color w:val="1F1F1F"/>
          <w:w w:val="105"/>
          <w:sz w:val="21"/>
        </w:rPr>
        <w:t>fraud</w:t>
      </w:r>
      <w:r>
        <w:rPr>
          <w:color w:val="1F1F1F"/>
          <w:spacing w:val="-10"/>
          <w:w w:val="105"/>
          <w:sz w:val="21"/>
        </w:rPr>
        <w:t> </w:t>
      </w:r>
      <w:r>
        <w:rPr>
          <w:color w:val="1F1F1F"/>
          <w:w w:val="105"/>
          <w:sz w:val="21"/>
        </w:rPr>
        <w:t>prevention</w:t>
      </w:r>
      <w:r>
        <w:rPr>
          <w:color w:val="1F1F1F"/>
          <w:spacing w:val="-1"/>
          <w:w w:val="105"/>
          <w:sz w:val="21"/>
        </w:rPr>
        <w:t> </w:t>
      </w:r>
      <w:r>
        <w:rPr>
          <w:color w:val="1F1F1F"/>
          <w:w w:val="105"/>
          <w:sz w:val="21"/>
        </w:rPr>
        <w:t>and</w:t>
      </w:r>
      <w:r>
        <w:rPr>
          <w:color w:val="1F1F1F"/>
          <w:spacing w:val="-16"/>
          <w:w w:val="105"/>
          <w:sz w:val="21"/>
        </w:rPr>
        <w:t> </w:t>
      </w:r>
      <w:r>
        <w:rPr>
          <w:color w:val="0A0A0A"/>
          <w:w w:val="105"/>
          <w:sz w:val="21"/>
        </w:rPr>
        <w:t>investigation service to</w:t>
      </w:r>
      <w:r>
        <w:rPr>
          <w:color w:val="0A0A0A"/>
          <w:spacing w:val="-5"/>
          <w:w w:val="105"/>
          <w:sz w:val="21"/>
        </w:rPr>
        <w:t> </w:t>
      </w:r>
      <w:r>
        <w:rPr>
          <w:color w:val="1F1F1F"/>
          <w:w w:val="105"/>
          <w:sz w:val="21"/>
        </w:rPr>
        <w:t>its</w:t>
      </w:r>
      <w:r>
        <w:rPr>
          <w:color w:val="1F1F1F"/>
          <w:spacing w:val="-2"/>
          <w:w w:val="105"/>
          <w:sz w:val="21"/>
        </w:rPr>
        <w:t> </w:t>
      </w:r>
      <w:r>
        <w:rPr>
          <w:color w:val="0A0A0A"/>
          <w:w w:val="105"/>
          <w:sz w:val="21"/>
        </w:rPr>
        <w:t>partners across Hertfordshire</w:t>
      </w:r>
      <w:r>
        <w:rPr>
          <w:color w:val="3A3A3A"/>
          <w:w w:val="105"/>
          <w:sz w:val="21"/>
        </w:rPr>
        <w:t>.</w:t>
      </w:r>
      <w:r>
        <w:rPr>
          <w:color w:val="3A3A3A"/>
          <w:spacing w:val="-10"/>
          <w:w w:val="105"/>
          <w:sz w:val="21"/>
        </w:rPr>
        <w:t> </w:t>
      </w:r>
      <w:r>
        <w:rPr>
          <w:color w:val="0A0A0A"/>
          <w:w w:val="105"/>
          <w:sz w:val="21"/>
        </w:rPr>
        <w:t>Since 2015 the partnership has been strengthened with Luton Council and</w:t>
      </w:r>
      <w:r>
        <w:rPr>
          <w:color w:val="0A0A0A"/>
          <w:spacing w:val="-12"/>
          <w:w w:val="105"/>
          <w:sz w:val="21"/>
        </w:rPr>
        <w:t> </w:t>
      </w:r>
      <w:r>
        <w:rPr>
          <w:color w:val="0A0A0A"/>
          <w:w w:val="105"/>
          <w:sz w:val="21"/>
        </w:rPr>
        <w:t>Welwyn</w:t>
      </w:r>
      <w:r>
        <w:rPr>
          <w:color w:val="0A0A0A"/>
          <w:spacing w:val="-2"/>
          <w:w w:val="105"/>
          <w:sz w:val="21"/>
        </w:rPr>
        <w:t> </w:t>
      </w:r>
      <w:r>
        <w:rPr>
          <w:color w:val="0A0A0A"/>
          <w:w w:val="105"/>
          <w:sz w:val="21"/>
        </w:rPr>
        <w:t>Hatfield</w:t>
      </w:r>
      <w:r>
        <w:rPr>
          <w:color w:val="0A0A0A"/>
          <w:spacing w:val="-7"/>
          <w:w w:val="105"/>
          <w:sz w:val="21"/>
        </w:rPr>
        <w:t> </w:t>
      </w:r>
      <w:r>
        <w:rPr>
          <w:color w:val="0A0A0A"/>
          <w:w w:val="105"/>
          <w:sz w:val="21"/>
        </w:rPr>
        <w:t>Council</w:t>
      </w:r>
      <w:r>
        <w:rPr>
          <w:color w:val="0A0A0A"/>
          <w:spacing w:val="-3"/>
          <w:w w:val="105"/>
          <w:sz w:val="21"/>
        </w:rPr>
        <w:t> </w:t>
      </w:r>
      <w:r>
        <w:rPr>
          <w:color w:val="0A0A0A"/>
          <w:w w:val="105"/>
          <w:sz w:val="21"/>
        </w:rPr>
        <w:t>also</w:t>
      </w:r>
      <w:r>
        <w:rPr>
          <w:color w:val="0A0A0A"/>
          <w:spacing w:val="-6"/>
          <w:w w:val="105"/>
          <w:sz w:val="21"/>
        </w:rPr>
        <w:t> </w:t>
      </w:r>
      <w:r>
        <w:rPr>
          <w:color w:val="0A0A0A"/>
          <w:w w:val="105"/>
          <w:sz w:val="21"/>
        </w:rPr>
        <w:t>joining. The</w:t>
      </w:r>
      <w:r>
        <w:rPr>
          <w:color w:val="0A0A0A"/>
          <w:spacing w:val="-5"/>
          <w:w w:val="105"/>
          <w:sz w:val="21"/>
        </w:rPr>
        <w:t> </w:t>
      </w:r>
      <w:r>
        <w:rPr>
          <w:color w:val="0A0A0A"/>
          <w:w w:val="105"/>
          <w:sz w:val="21"/>
        </w:rPr>
        <w:t>SAFS officially commenced at</w:t>
      </w:r>
      <w:r>
        <w:rPr>
          <w:color w:val="0A0A0A"/>
          <w:spacing w:val="-7"/>
          <w:w w:val="105"/>
          <w:sz w:val="21"/>
        </w:rPr>
        <w:t> </w:t>
      </w:r>
      <w:r>
        <w:rPr>
          <w:color w:val="0A0A0A"/>
          <w:w w:val="105"/>
          <w:sz w:val="21"/>
        </w:rPr>
        <w:t>the</w:t>
      </w:r>
      <w:r>
        <w:rPr>
          <w:color w:val="0A0A0A"/>
          <w:spacing w:val="-10"/>
          <w:w w:val="105"/>
          <w:sz w:val="21"/>
        </w:rPr>
        <w:t> </w:t>
      </w:r>
      <w:r>
        <w:rPr>
          <w:color w:val="0A0A0A"/>
          <w:w w:val="105"/>
          <w:sz w:val="21"/>
        </w:rPr>
        <w:t>Council</w:t>
      </w:r>
      <w:r>
        <w:rPr>
          <w:color w:val="0A0A0A"/>
          <w:spacing w:val="-1"/>
          <w:w w:val="105"/>
          <w:sz w:val="21"/>
        </w:rPr>
        <w:t> </w:t>
      </w:r>
      <w:r>
        <w:rPr>
          <w:color w:val="0A0A0A"/>
          <w:w w:val="105"/>
          <w:sz w:val="21"/>
        </w:rPr>
        <w:t>on 1 April 2015.</w:t>
      </w:r>
    </w:p>
    <w:p>
      <w:pPr>
        <w:pStyle w:val="BodyText"/>
        <w:spacing w:before="14"/>
        <w:rPr>
          <w:sz w:val="21"/>
        </w:rPr>
      </w:pPr>
    </w:p>
    <w:p>
      <w:pPr>
        <w:pStyle w:val="ListParagraph"/>
        <w:numPr>
          <w:ilvl w:val="0"/>
          <w:numId w:val="29"/>
        </w:numPr>
        <w:tabs>
          <w:tab w:val="left" w:leader="none" w:pos="868"/>
        </w:tabs>
        <w:spacing w:before="0" w:after="0" w:line="252" w:lineRule="auto"/>
        <w:ind w:left="868" w:right="373" w:hanging="706"/>
        <w:jc w:val="left"/>
        <w:rPr>
          <w:color w:val="0A0A0A"/>
          <w:sz w:val="21"/>
        </w:rPr>
      </w:pPr>
      <w:r>
        <w:rPr>
          <w:color w:val="0A0A0A"/>
          <w:w w:val="105"/>
          <w:sz w:val="21"/>
        </w:rPr>
        <w:t>The</w:t>
      </w:r>
      <w:r>
        <w:rPr>
          <w:color w:val="0A0A0A"/>
          <w:spacing w:val="-4"/>
          <w:w w:val="105"/>
          <w:sz w:val="21"/>
        </w:rPr>
        <w:t> </w:t>
      </w:r>
      <w:r>
        <w:rPr>
          <w:color w:val="0A0A0A"/>
          <w:w w:val="105"/>
          <w:sz w:val="21"/>
        </w:rPr>
        <w:t>service provides a</w:t>
      </w:r>
      <w:r>
        <w:rPr>
          <w:color w:val="0A0A0A"/>
          <w:spacing w:val="-3"/>
          <w:w w:val="105"/>
          <w:sz w:val="21"/>
        </w:rPr>
        <w:t> </w:t>
      </w:r>
      <w:r>
        <w:rPr>
          <w:color w:val="0A0A0A"/>
          <w:w w:val="105"/>
          <w:sz w:val="21"/>
        </w:rPr>
        <w:t>full range of fraud</w:t>
      </w:r>
      <w:r>
        <w:rPr>
          <w:color w:val="0A0A0A"/>
          <w:spacing w:val="-4"/>
          <w:w w:val="105"/>
          <w:sz w:val="21"/>
        </w:rPr>
        <w:t> </w:t>
      </w:r>
      <w:r>
        <w:rPr>
          <w:color w:val="0A0A0A"/>
          <w:w w:val="105"/>
          <w:sz w:val="21"/>
        </w:rPr>
        <w:t>risk assessments, fraud awareness training, the use of </w:t>
      </w:r>
      <w:r>
        <w:rPr>
          <w:color w:val="1F1F1F"/>
          <w:w w:val="105"/>
          <w:sz w:val="21"/>
        </w:rPr>
        <w:t>highly developed investigation skills</w:t>
      </w:r>
      <w:r>
        <w:rPr>
          <w:color w:val="4B4B4B"/>
          <w:w w:val="105"/>
          <w:sz w:val="21"/>
        </w:rPr>
        <w:t>,</w:t>
      </w:r>
      <w:r>
        <w:rPr>
          <w:color w:val="4B4B4B"/>
          <w:spacing w:val="-16"/>
          <w:w w:val="105"/>
          <w:sz w:val="21"/>
        </w:rPr>
        <w:t> </w:t>
      </w:r>
      <w:r>
        <w:rPr>
          <w:color w:val="1F1F1F"/>
          <w:w w:val="105"/>
          <w:sz w:val="21"/>
        </w:rPr>
        <w:t>data-matching opportunities</w:t>
      </w:r>
      <w:r>
        <w:rPr>
          <w:color w:val="1F1F1F"/>
          <w:spacing w:val="25"/>
          <w:w w:val="105"/>
          <w:sz w:val="21"/>
        </w:rPr>
        <w:t> </w:t>
      </w:r>
      <w:r>
        <w:rPr>
          <w:color w:val="1F1F1F"/>
          <w:w w:val="105"/>
          <w:sz w:val="21"/>
        </w:rPr>
        <w:t>and</w:t>
      </w:r>
      <w:r>
        <w:rPr>
          <w:color w:val="1F1F1F"/>
          <w:spacing w:val="-8"/>
          <w:w w:val="105"/>
          <w:sz w:val="21"/>
        </w:rPr>
        <w:t> </w:t>
      </w:r>
      <w:r>
        <w:rPr>
          <w:color w:val="1F1F1F"/>
          <w:w w:val="105"/>
          <w:sz w:val="21"/>
        </w:rPr>
        <w:t>partnership working with</w:t>
      </w:r>
      <w:r>
        <w:rPr>
          <w:color w:val="1F1F1F"/>
          <w:spacing w:val="-3"/>
          <w:w w:val="105"/>
          <w:sz w:val="21"/>
        </w:rPr>
        <w:t> </w:t>
      </w:r>
      <w:r>
        <w:rPr>
          <w:color w:val="1F1F1F"/>
          <w:w w:val="105"/>
          <w:sz w:val="21"/>
        </w:rPr>
        <w:t>law enforcement</w:t>
      </w:r>
      <w:r>
        <w:rPr>
          <w:color w:val="1F1F1F"/>
          <w:spacing w:val="31"/>
          <w:w w:val="105"/>
          <w:sz w:val="21"/>
        </w:rPr>
        <w:t> </w:t>
      </w:r>
      <w:r>
        <w:rPr>
          <w:color w:val="1F1F1F"/>
          <w:w w:val="105"/>
          <w:sz w:val="21"/>
        </w:rPr>
        <w:t>agencies</w:t>
      </w:r>
      <w:r>
        <w:rPr>
          <w:color w:val="4B4B4B"/>
          <w:w w:val="105"/>
          <w:sz w:val="21"/>
        </w:rPr>
        <w:t>.</w:t>
      </w:r>
      <w:r>
        <w:rPr>
          <w:color w:val="4B4B4B"/>
          <w:spacing w:val="-15"/>
          <w:w w:val="105"/>
          <w:sz w:val="21"/>
        </w:rPr>
        <w:t> </w:t>
      </w:r>
      <w:r>
        <w:rPr>
          <w:color w:val="1F1F1F"/>
          <w:w w:val="105"/>
          <w:sz w:val="21"/>
        </w:rPr>
        <w:t>This allows for the </w:t>
      </w:r>
      <w:r>
        <w:rPr>
          <w:color w:val="3A3A3A"/>
          <w:w w:val="105"/>
          <w:sz w:val="21"/>
        </w:rPr>
        <w:t>investigation </w:t>
      </w:r>
      <w:r>
        <w:rPr>
          <w:color w:val="1F1F1F"/>
          <w:w w:val="105"/>
          <w:sz w:val="21"/>
        </w:rPr>
        <w:t>of any fraud and corruption</w:t>
      </w:r>
      <w:r>
        <w:rPr>
          <w:color w:val="4B4B4B"/>
          <w:w w:val="105"/>
          <w:sz w:val="21"/>
        </w:rPr>
        <w:t>,</w:t>
      </w:r>
      <w:r>
        <w:rPr>
          <w:color w:val="4B4B4B"/>
          <w:spacing w:val="-14"/>
          <w:w w:val="105"/>
          <w:sz w:val="21"/>
        </w:rPr>
        <w:t> </w:t>
      </w:r>
      <w:r>
        <w:rPr>
          <w:color w:val="1F1F1F"/>
          <w:w w:val="105"/>
          <w:sz w:val="21"/>
        </w:rPr>
        <w:t>bribery or money </w:t>
      </w:r>
      <w:r>
        <w:rPr>
          <w:color w:val="3A3A3A"/>
          <w:w w:val="105"/>
          <w:sz w:val="21"/>
        </w:rPr>
        <w:t>laundering </w:t>
      </w:r>
      <w:r>
        <w:rPr>
          <w:color w:val="1F1F1F"/>
          <w:w w:val="105"/>
          <w:sz w:val="21"/>
        </w:rPr>
        <w:t>matters (internal or external) that the </w:t>
      </w:r>
      <w:r>
        <w:rPr>
          <w:color w:val="0A0A0A"/>
          <w:w w:val="105"/>
          <w:sz w:val="21"/>
        </w:rPr>
        <w:t>Council </w:t>
      </w:r>
      <w:r>
        <w:rPr>
          <w:color w:val="1F1F1F"/>
          <w:w w:val="105"/>
          <w:sz w:val="21"/>
        </w:rPr>
        <w:t>becomes aware of and</w:t>
      </w:r>
      <w:r>
        <w:rPr>
          <w:color w:val="4B4B4B"/>
          <w:w w:val="105"/>
          <w:sz w:val="21"/>
        </w:rPr>
        <w:t>,</w:t>
      </w:r>
      <w:r>
        <w:rPr>
          <w:color w:val="4B4B4B"/>
          <w:spacing w:val="-14"/>
          <w:w w:val="105"/>
          <w:sz w:val="21"/>
        </w:rPr>
        <w:t> </w:t>
      </w:r>
      <w:r>
        <w:rPr>
          <w:color w:val="1F1F1F"/>
          <w:w w:val="105"/>
          <w:sz w:val="21"/>
        </w:rPr>
        <w:t>the comprehensive reporting of</w:t>
      </w:r>
      <w:r>
        <w:rPr>
          <w:color w:val="1F1F1F"/>
          <w:spacing w:val="-8"/>
          <w:w w:val="105"/>
          <w:sz w:val="21"/>
        </w:rPr>
        <w:t> </w:t>
      </w:r>
      <w:r>
        <w:rPr>
          <w:color w:val="1F1F1F"/>
          <w:w w:val="105"/>
          <w:sz w:val="21"/>
        </w:rPr>
        <w:t>all</w:t>
      </w:r>
      <w:r>
        <w:rPr>
          <w:color w:val="1F1F1F"/>
          <w:spacing w:val="-15"/>
          <w:w w:val="105"/>
          <w:sz w:val="21"/>
        </w:rPr>
        <w:t> </w:t>
      </w:r>
      <w:r>
        <w:rPr>
          <w:color w:val="1F1F1F"/>
          <w:w w:val="105"/>
          <w:sz w:val="21"/>
        </w:rPr>
        <w:t>fraud</w:t>
      </w:r>
      <w:r>
        <w:rPr>
          <w:color w:val="1F1F1F"/>
          <w:spacing w:val="-10"/>
          <w:w w:val="105"/>
          <w:sz w:val="21"/>
        </w:rPr>
        <w:t> </w:t>
      </w:r>
      <w:r>
        <w:rPr>
          <w:color w:val="1F1F1F"/>
          <w:w w:val="105"/>
          <w:sz w:val="21"/>
        </w:rPr>
        <w:t>deterrence</w:t>
      </w:r>
      <w:r>
        <w:rPr>
          <w:color w:val="646464"/>
          <w:w w:val="105"/>
          <w:sz w:val="21"/>
        </w:rPr>
        <w:t>,</w:t>
      </w:r>
      <w:r>
        <w:rPr>
          <w:color w:val="646464"/>
          <w:spacing w:val="-17"/>
          <w:w w:val="105"/>
          <w:sz w:val="21"/>
        </w:rPr>
        <w:t> </w:t>
      </w:r>
      <w:r>
        <w:rPr>
          <w:color w:val="1F1F1F"/>
          <w:w w:val="105"/>
          <w:sz w:val="21"/>
        </w:rPr>
        <w:t>prevention and</w:t>
      </w:r>
      <w:r>
        <w:rPr>
          <w:color w:val="1F1F1F"/>
          <w:spacing w:val="-11"/>
          <w:w w:val="105"/>
          <w:sz w:val="21"/>
        </w:rPr>
        <w:t> </w:t>
      </w:r>
      <w:r>
        <w:rPr>
          <w:color w:val="1F1F1F"/>
          <w:w w:val="105"/>
          <w:sz w:val="21"/>
        </w:rPr>
        <w:t>investigation activity</w:t>
      </w:r>
      <w:r>
        <w:rPr>
          <w:color w:val="1F1F1F"/>
          <w:spacing w:val="-2"/>
          <w:w w:val="105"/>
          <w:sz w:val="21"/>
        </w:rPr>
        <w:t> </w:t>
      </w:r>
      <w:r>
        <w:rPr>
          <w:color w:val="1F1F1F"/>
          <w:w w:val="105"/>
          <w:sz w:val="21"/>
        </w:rPr>
        <w:t>undertaken</w:t>
      </w:r>
      <w:r>
        <w:rPr>
          <w:color w:val="1F1F1F"/>
          <w:spacing w:val="-10"/>
          <w:w w:val="105"/>
          <w:sz w:val="21"/>
        </w:rPr>
        <w:t> </w:t>
      </w:r>
      <w:r>
        <w:rPr>
          <w:color w:val="0A0A0A"/>
          <w:w w:val="105"/>
          <w:sz w:val="21"/>
        </w:rPr>
        <w:t>by </w:t>
      </w:r>
      <w:r>
        <w:rPr>
          <w:color w:val="1F1F1F"/>
          <w:w w:val="105"/>
          <w:sz w:val="21"/>
        </w:rPr>
        <w:t>the SAFS and the Council.</w:t>
      </w:r>
    </w:p>
    <w:p>
      <w:pPr>
        <w:pStyle w:val="BodyText"/>
        <w:spacing w:before="6"/>
        <w:rPr>
          <w:sz w:val="21"/>
        </w:rPr>
      </w:pPr>
    </w:p>
    <w:p>
      <w:pPr>
        <w:pStyle w:val="ListParagraph"/>
        <w:numPr>
          <w:ilvl w:val="0"/>
          <w:numId w:val="29"/>
        </w:numPr>
        <w:tabs>
          <w:tab w:val="left" w:leader="none" w:pos="868"/>
          <w:tab w:val="left" w:leader="none" w:pos="873"/>
        </w:tabs>
        <w:spacing w:before="0" w:after="0" w:line="249" w:lineRule="auto"/>
        <w:ind w:left="873" w:right="266" w:hanging="711"/>
        <w:jc w:val="both"/>
        <w:rPr>
          <w:color w:val="0A0A0A"/>
          <w:sz w:val="21"/>
        </w:rPr>
      </w:pPr>
      <w:r>
        <w:rPr>
          <w:color w:val="1F1F1F"/>
          <w:w w:val="105"/>
          <w:sz w:val="21"/>
        </w:rPr>
        <w:t>The</w:t>
      </w:r>
      <w:r>
        <w:rPr>
          <w:color w:val="1F1F1F"/>
          <w:spacing w:val="-10"/>
          <w:w w:val="105"/>
          <w:sz w:val="21"/>
        </w:rPr>
        <w:t> </w:t>
      </w:r>
      <w:r>
        <w:rPr>
          <w:color w:val="1F1F1F"/>
          <w:w w:val="105"/>
          <w:sz w:val="21"/>
        </w:rPr>
        <w:t>Council has</w:t>
      </w:r>
      <w:r>
        <w:rPr>
          <w:color w:val="1F1F1F"/>
          <w:spacing w:val="-8"/>
          <w:w w:val="105"/>
          <w:sz w:val="21"/>
        </w:rPr>
        <w:t> </w:t>
      </w:r>
      <w:r>
        <w:rPr>
          <w:color w:val="1F1F1F"/>
          <w:w w:val="105"/>
          <w:sz w:val="21"/>
        </w:rPr>
        <w:t>in</w:t>
      </w:r>
      <w:r>
        <w:rPr>
          <w:color w:val="1F1F1F"/>
          <w:spacing w:val="-13"/>
          <w:w w:val="105"/>
          <w:sz w:val="21"/>
        </w:rPr>
        <w:t> </w:t>
      </w:r>
      <w:r>
        <w:rPr>
          <w:color w:val="0A0A0A"/>
          <w:w w:val="105"/>
          <w:sz w:val="21"/>
        </w:rPr>
        <w:t>place</w:t>
      </w:r>
      <w:r>
        <w:rPr>
          <w:color w:val="0A0A0A"/>
          <w:spacing w:val="-7"/>
          <w:w w:val="105"/>
          <w:sz w:val="21"/>
        </w:rPr>
        <w:t> </w:t>
      </w:r>
      <w:r>
        <w:rPr>
          <w:color w:val="1F1F1F"/>
          <w:w w:val="105"/>
          <w:sz w:val="21"/>
        </w:rPr>
        <w:t>a su</w:t>
      </w:r>
      <w:r>
        <w:rPr>
          <w:color w:val="4B4B4B"/>
          <w:w w:val="105"/>
          <w:sz w:val="21"/>
        </w:rPr>
        <w:t>i</w:t>
      </w:r>
      <w:r>
        <w:rPr>
          <w:color w:val="1F1F1F"/>
          <w:w w:val="105"/>
          <w:sz w:val="21"/>
        </w:rPr>
        <w:t>te</w:t>
      </w:r>
      <w:r>
        <w:rPr>
          <w:color w:val="1F1F1F"/>
          <w:spacing w:val="-6"/>
          <w:w w:val="105"/>
          <w:sz w:val="21"/>
        </w:rPr>
        <w:t> </w:t>
      </w:r>
      <w:r>
        <w:rPr>
          <w:color w:val="1F1F1F"/>
          <w:w w:val="105"/>
          <w:sz w:val="21"/>
        </w:rPr>
        <w:t>of anti-fraud</w:t>
      </w:r>
      <w:r>
        <w:rPr>
          <w:color w:val="1F1F1F"/>
          <w:spacing w:val="-1"/>
          <w:w w:val="105"/>
          <w:sz w:val="21"/>
        </w:rPr>
        <w:t> </w:t>
      </w:r>
      <w:r>
        <w:rPr>
          <w:color w:val="1F1F1F"/>
          <w:w w:val="105"/>
          <w:sz w:val="21"/>
        </w:rPr>
        <w:t>and</w:t>
      </w:r>
      <w:r>
        <w:rPr>
          <w:color w:val="1F1F1F"/>
          <w:spacing w:val="-12"/>
          <w:w w:val="105"/>
          <w:sz w:val="21"/>
        </w:rPr>
        <w:t> </w:t>
      </w:r>
      <w:r>
        <w:rPr>
          <w:color w:val="1F1F1F"/>
          <w:w w:val="105"/>
          <w:sz w:val="21"/>
        </w:rPr>
        <w:t>corruption </w:t>
      </w:r>
      <w:r>
        <w:rPr>
          <w:color w:val="0A0A0A"/>
          <w:w w:val="105"/>
          <w:sz w:val="21"/>
        </w:rPr>
        <w:t>policies </w:t>
      </w:r>
      <w:r>
        <w:rPr>
          <w:color w:val="1F1F1F"/>
          <w:w w:val="105"/>
          <w:sz w:val="21"/>
        </w:rPr>
        <w:t>that</w:t>
      </w:r>
      <w:r>
        <w:rPr>
          <w:color w:val="1F1F1F"/>
          <w:spacing w:val="-3"/>
          <w:w w:val="105"/>
          <w:sz w:val="21"/>
        </w:rPr>
        <w:t> </w:t>
      </w:r>
      <w:r>
        <w:rPr>
          <w:color w:val="0A0A0A"/>
          <w:w w:val="105"/>
          <w:sz w:val="21"/>
        </w:rPr>
        <w:t>SAFS</w:t>
      </w:r>
      <w:r>
        <w:rPr>
          <w:color w:val="0A0A0A"/>
          <w:spacing w:val="-2"/>
          <w:w w:val="105"/>
          <w:sz w:val="21"/>
        </w:rPr>
        <w:t> </w:t>
      </w:r>
      <w:r>
        <w:rPr>
          <w:color w:val="0A0A0A"/>
          <w:w w:val="105"/>
          <w:sz w:val="21"/>
        </w:rPr>
        <w:t>helps</w:t>
      </w:r>
      <w:r>
        <w:rPr>
          <w:color w:val="0A0A0A"/>
          <w:spacing w:val="-3"/>
          <w:w w:val="105"/>
          <w:sz w:val="21"/>
        </w:rPr>
        <w:t> </w:t>
      </w:r>
      <w:r>
        <w:rPr>
          <w:color w:val="0A0A0A"/>
          <w:w w:val="105"/>
          <w:sz w:val="21"/>
        </w:rPr>
        <w:t>to</w:t>
      </w:r>
      <w:r>
        <w:rPr>
          <w:color w:val="0A0A0A"/>
          <w:spacing w:val="-6"/>
          <w:w w:val="105"/>
          <w:sz w:val="21"/>
        </w:rPr>
        <w:t> </w:t>
      </w:r>
      <w:r>
        <w:rPr>
          <w:color w:val="0A0A0A"/>
          <w:w w:val="105"/>
          <w:sz w:val="21"/>
        </w:rPr>
        <w:t>develop and </w:t>
      </w:r>
      <w:r>
        <w:rPr>
          <w:color w:val="1F1F1F"/>
          <w:w w:val="105"/>
          <w:sz w:val="21"/>
        </w:rPr>
        <w:t>review and</w:t>
      </w:r>
      <w:r>
        <w:rPr>
          <w:color w:val="1F1F1F"/>
          <w:spacing w:val="-10"/>
          <w:w w:val="105"/>
          <w:sz w:val="21"/>
        </w:rPr>
        <w:t> </w:t>
      </w:r>
      <w:r>
        <w:rPr>
          <w:color w:val="1F1F1F"/>
          <w:w w:val="105"/>
          <w:sz w:val="21"/>
        </w:rPr>
        <w:t>includes </w:t>
      </w:r>
      <w:r>
        <w:rPr>
          <w:color w:val="0A0A0A"/>
          <w:w w:val="105"/>
          <w:sz w:val="21"/>
        </w:rPr>
        <w:t>the</w:t>
      </w:r>
      <w:r>
        <w:rPr>
          <w:color w:val="0A0A0A"/>
          <w:spacing w:val="-4"/>
          <w:w w:val="105"/>
          <w:sz w:val="21"/>
        </w:rPr>
        <w:t> </w:t>
      </w:r>
      <w:r>
        <w:rPr>
          <w:color w:val="1F1F1F"/>
          <w:w w:val="105"/>
          <w:sz w:val="21"/>
        </w:rPr>
        <w:t>latest</w:t>
      </w:r>
      <w:r>
        <w:rPr>
          <w:color w:val="1F1F1F"/>
          <w:spacing w:val="-3"/>
          <w:w w:val="105"/>
          <w:sz w:val="21"/>
        </w:rPr>
        <w:t> </w:t>
      </w:r>
      <w:r>
        <w:rPr>
          <w:color w:val="1F1F1F"/>
          <w:w w:val="105"/>
          <w:sz w:val="21"/>
        </w:rPr>
        <w:t>best practice from</w:t>
      </w:r>
      <w:r>
        <w:rPr>
          <w:color w:val="1F1F1F"/>
          <w:spacing w:val="-4"/>
          <w:w w:val="105"/>
          <w:sz w:val="21"/>
        </w:rPr>
        <w:t> </w:t>
      </w:r>
      <w:r>
        <w:rPr>
          <w:color w:val="0A0A0A"/>
          <w:w w:val="105"/>
          <w:sz w:val="21"/>
        </w:rPr>
        <w:t>CIPFA</w:t>
      </w:r>
      <w:r>
        <w:rPr>
          <w:color w:val="646464"/>
          <w:w w:val="105"/>
          <w:sz w:val="21"/>
        </w:rPr>
        <w:t>,</w:t>
      </w:r>
      <w:r>
        <w:rPr>
          <w:color w:val="646464"/>
          <w:spacing w:val="-15"/>
          <w:w w:val="105"/>
          <w:sz w:val="21"/>
        </w:rPr>
        <w:t> </w:t>
      </w:r>
      <w:r>
        <w:rPr>
          <w:color w:val="0A0A0A"/>
          <w:w w:val="105"/>
          <w:sz w:val="21"/>
        </w:rPr>
        <w:t>LGA and</w:t>
      </w:r>
      <w:r>
        <w:rPr>
          <w:color w:val="0A0A0A"/>
          <w:spacing w:val="-9"/>
          <w:w w:val="105"/>
          <w:sz w:val="21"/>
        </w:rPr>
        <w:t> </w:t>
      </w:r>
      <w:r>
        <w:rPr>
          <w:color w:val="0A0A0A"/>
          <w:w w:val="105"/>
          <w:sz w:val="21"/>
        </w:rPr>
        <w:t>the</w:t>
      </w:r>
      <w:r>
        <w:rPr>
          <w:color w:val="0A0A0A"/>
          <w:spacing w:val="-9"/>
          <w:w w:val="105"/>
          <w:sz w:val="21"/>
        </w:rPr>
        <w:t> </w:t>
      </w:r>
      <w:r>
        <w:rPr>
          <w:color w:val="0A0A0A"/>
          <w:w w:val="105"/>
          <w:sz w:val="21"/>
        </w:rPr>
        <w:t>Fighting Fraud and</w:t>
      </w:r>
      <w:r>
        <w:rPr>
          <w:color w:val="0A0A0A"/>
          <w:spacing w:val="-5"/>
          <w:w w:val="105"/>
          <w:sz w:val="21"/>
        </w:rPr>
        <w:t> </w:t>
      </w:r>
      <w:r>
        <w:rPr>
          <w:color w:val="0A0A0A"/>
          <w:w w:val="105"/>
          <w:sz w:val="21"/>
        </w:rPr>
        <w:t>Corruption </w:t>
      </w:r>
      <w:r>
        <w:rPr>
          <w:color w:val="1F1F1F"/>
          <w:w w:val="105"/>
          <w:sz w:val="21"/>
        </w:rPr>
        <w:t>Locally Board</w:t>
      </w:r>
      <w:r>
        <w:rPr>
          <w:color w:val="4B4B4B"/>
          <w:w w:val="105"/>
          <w:sz w:val="21"/>
        </w:rPr>
        <w:t>.</w:t>
      </w:r>
      <w:r>
        <w:rPr>
          <w:color w:val="4B4B4B"/>
          <w:spacing w:val="-1"/>
          <w:w w:val="105"/>
          <w:sz w:val="21"/>
        </w:rPr>
        <w:t> </w:t>
      </w:r>
      <w:r>
        <w:rPr>
          <w:color w:val="1F1F1F"/>
          <w:w w:val="105"/>
          <w:sz w:val="21"/>
        </w:rPr>
        <w:t>These policies are </w:t>
      </w:r>
      <w:r>
        <w:rPr>
          <w:color w:val="0A0A0A"/>
          <w:w w:val="105"/>
          <w:sz w:val="21"/>
        </w:rPr>
        <w:t>reviewed </w:t>
      </w:r>
      <w:r>
        <w:rPr>
          <w:color w:val="1F1F1F"/>
          <w:w w:val="105"/>
          <w:sz w:val="21"/>
        </w:rPr>
        <w:t>annually</w:t>
      </w:r>
      <w:r>
        <w:rPr>
          <w:color w:val="4B4B4B"/>
          <w:w w:val="105"/>
          <w:sz w:val="21"/>
        </w:rPr>
        <w:t>.</w:t>
      </w:r>
    </w:p>
    <w:p>
      <w:pPr>
        <w:pStyle w:val="BodyText"/>
        <w:spacing w:before="9"/>
        <w:rPr>
          <w:sz w:val="21"/>
        </w:rPr>
      </w:pPr>
    </w:p>
    <w:p>
      <w:pPr>
        <w:pStyle w:val="ListParagraph"/>
        <w:numPr>
          <w:ilvl w:val="0"/>
          <w:numId w:val="29"/>
        </w:numPr>
        <w:tabs>
          <w:tab w:val="left" w:leader="none" w:pos="871"/>
        </w:tabs>
        <w:spacing w:before="1" w:after="0" w:line="247" w:lineRule="auto"/>
        <w:ind w:left="871" w:right="344" w:hanging="710"/>
        <w:jc w:val="left"/>
        <w:rPr>
          <w:color w:val="0A0A0A"/>
          <w:sz w:val="21"/>
        </w:rPr>
      </w:pPr>
      <w:r>
        <w:rPr>
          <w:color w:val="0A0A0A"/>
          <w:w w:val="105"/>
          <w:sz w:val="21"/>
        </w:rPr>
        <w:t>SAFS</w:t>
      </w:r>
      <w:r>
        <w:rPr>
          <w:color w:val="0A0A0A"/>
          <w:spacing w:val="-9"/>
          <w:w w:val="105"/>
          <w:sz w:val="21"/>
        </w:rPr>
        <w:t> </w:t>
      </w:r>
      <w:r>
        <w:rPr>
          <w:color w:val="0A0A0A"/>
          <w:w w:val="105"/>
          <w:sz w:val="21"/>
        </w:rPr>
        <w:t>is</w:t>
      </w:r>
      <w:r>
        <w:rPr>
          <w:color w:val="0A0A0A"/>
          <w:spacing w:val="-10"/>
          <w:w w:val="105"/>
          <w:sz w:val="21"/>
        </w:rPr>
        <w:t> </w:t>
      </w:r>
      <w:r>
        <w:rPr>
          <w:color w:val="0A0A0A"/>
          <w:w w:val="105"/>
          <w:sz w:val="21"/>
        </w:rPr>
        <w:t>part</w:t>
      </w:r>
      <w:r>
        <w:rPr>
          <w:color w:val="0A0A0A"/>
          <w:spacing w:val="-2"/>
          <w:w w:val="105"/>
          <w:sz w:val="21"/>
        </w:rPr>
        <w:t> </w:t>
      </w:r>
      <w:r>
        <w:rPr>
          <w:color w:val="0A0A0A"/>
          <w:w w:val="105"/>
          <w:sz w:val="21"/>
        </w:rPr>
        <w:t>of</w:t>
      </w:r>
      <w:r>
        <w:rPr>
          <w:color w:val="0A0A0A"/>
          <w:spacing w:val="-2"/>
          <w:w w:val="105"/>
          <w:sz w:val="21"/>
        </w:rPr>
        <w:t> </w:t>
      </w:r>
      <w:r>
        <w:rPr>
          <w:color w:val="1F1F1F"/>
          <w:w w:val="105"/>
          <w:sz w:val="21"/>
        </w:rPr>
        <w:t>national</w:t>
      </w:r>
      <w:r>
        <w:rPr>
          <w:color w:val="1F1F1F"/>
          <w:spacing w:val="-7"/>
          <w:w w:val="105"/>
          <w:sz w:val="21"/>
        </w:rPr>
        <w:t> </w:t>
      </w:r>
      <w:r>
        <w:rPr>
          <w:color w:val="1F1F1F"/>
          <w:w w:val="105"/>
          <w:sz w:val="21"/>
        </w:rPr>
        <w:t>network</w:t>
      </w:r>
      <w:r>
        <w:rPr>
          <w:color w:val="1F1F1F"/>
          <w:spacing w:val="-1"/>
          <w:w w:val="105"/>
          <w:sz w:val="21"/>
        </w:rPr>
        <w:t> </w:t>
      </w:r>
      <w:r>
        <w:rPr>
          <w:color w:val="0A0A0A"/>
          <w:w w:val="105"/>
          <w:sz w:val="21"/>
        </w:rPr>
        <w:t>for organisations,</w:t>
      </w:r>
      <w:r>
        <w:rPr>
          <w:color w:val="0A0A0A"/>
          <w:spacing w:val="-13"/>
          <w:w w:val="105"/>
          <w:sz w:val="21"/>
        </w:rPr>
        <w:t> </w:t>
      </w:r>
      <w:r>
        <w:rPr>
          <w:color w:val="0A0A0A"/>
          <w:w w:val="105"/>
          <w:sz w:val="21"/>
        </w:rPr>
        <w:t>including CIFAS / </w:t>
      </w:r>
      <w:r>
        <w:rPr>
          <w:color w:val="1F1F1F"/>
          <w:w w:val="105"/>
          <w:sz w:val="21"/>
        </w:rPr>
        <w:t>London </w:t>
      </w:r>
      <w:r>
        <w:rPr>
          <w:color w:val="0A0A0A"/>
          <w:w w:val="105"/>
          <w:sz w:val="21"/>
        </w:rPr>
        <w:t>Fraud</w:t>
      </w:r>
      <w:r>
        <w:rPr>
          <w:color w:val="0A0A0A"/>
          <w:spacing w:val="-16"/>
          <w:w w:val="105"/>
          <w:sz w:val="21"/>
        </w:rPr>
        <w:t> </w:t>
      </w:r>
      <w:r>
        <w:rPr>
          <w:color w:val="0A0A0A"/>
          <w:w w:val="105"/>
          <w:sz w:val="21"/>
        </w:rPr>
        <w:t>Forum</w:t>
      </w:r>
      <w:r>
        <w:rPr>
          <w:color w:val="0A0A0A"/>
          <w:spacing w:val="-11"/>
          <w:w w:val="105"/>
          <w:sz w:val="21"/>
        </w:rPr>
        <w:t> </w:t>
      </w:r>
      <w:r>
        <w:rPr>
          <w:i/>
          <w:color w:val="0A0A0A"/>
          <w:w w:val="105"/>
          <w:sz w:val="22"/>
        </w:rPr>
        <w:t>I </w:t>
      </w:r>
      <w:r>
        <w:rPr>
          <w:color w:val="0A0A0A"/>
          <w:w w:val="105"/>
          <w:sz w:val="21"/>
        </w:rPr>
        <w:t>London Borough Fraud Investigators Group/ National Anti-Fraud Network </w:t>
      </w:r>
      <w:r>
        <w:rPr>
          <w:i/>
          <w:color w:val="0A0A0A"/>
          <w:w w:val="105"/>
          <w:sz w:val="22"/>
        </w:rPr>
        <w:t>I </w:t>
      </w:r>
      <w:r>
        <w:rPr>
          <w:color w:val="0A0A0A"/>
          <w:w w:val="105"/>
          <w:sz w:val="21"/>
        </w:rPr>
        <w:t>Fraud Advisory Panel, these provide horizon scanning and alerts of new and emerging fraud threats.</w:t>
      </w:r>
    </w:p>
    <w:p>
      <w:pPr>
        <w:pStyle w:val="BodyText"/>
        <w:spacing w:before="16"/>
        <w:rPr>
          <w:sz w:val="21"/>
        </w:rPr>
      </w:pPr>
    </w:p>
    <w:p>
      <w:pPr>
        <w:pStyle w:val="ListParagraph"/>
        <w:numPr>
          <w:ilvl w:val="0"/>
          <w:numId w:val="29"/>
        </w:numPr>
        <w:tabs>
          <w:tab w:val="left" w:leader="none" w:pos="872"/>
        </w:tabs>
        <w:spacing w:before="0" w:after="0" w:line="240" w:lineRule="auto"/>
        <w:ind w:left="872" w:right="0" w:hanging="710"/>
        <w:jc w:val="left"/>
        <w:rPr>
          <w:color w:val="0A0A0A"/>
          <w:sz w:val="21"/>
        </w:rPr>
      </w:pPr>
      <w:r>
        <w:rPr>
          <w:color w:val="0A0A0A"/>
          <w:w w:val="105"/>
          <w:sz w:val="21"/>
        </w:rPr>
        <w:t>The</w:t>
      </w:r>
      <w:r>
        <w:rPr>
          <w:color w:val="0A0A0A"/>
          <w:spacing w:val="-5"/>
          <w:w w:val="105"/>
          <w:sz w:val="21"/>
        </w:rPr>
        <w:t> </w:t>
      </w:r>
      <w:r>
        <w:rPr>
          <w:color w:val="0A0A0A"/>
          <w:w w:val="105"/>
          <w:sz w:val="21"/>
        </w:rPr>
        <w:t>aims of</w:t>
      </w:r>
      <w:r>
        <w:rPr>
          <w:color w:val="0A0A0A"/>
          <w:spacing w:val="-12"/>
          <w:w w:val="105"/>
          <w:sz w:val="21"/>
        </w:rPr>
        <w:t> </w:t>
      </w:r>
      <w:r>
        <w:rPr>
          <w:color w:val="0A0A0A"/>
          <w:w w:val="105"/>
          <w:sz w:val="21"/>
        </w:rPr>
        <w:t>the</w:t>
      </w:r>
      <w:r>
        <w:rPr>
          <w:color w:val="0A0A0A"/>
          <w:spacing w:val="-8"/>
          <w:w w:val="105"/>
          <w:sz w:val="21"/>
        </w:rPr>
        <w:t> </w:t>
      </w:r>
      <w:r>
        <w:rPr>
          <w:color w:val="0A0A0A"/>
          <w:w w:val="105"/>
          <w:sz w:val="21"/>
        </w:rPr>
        <w:t>Shared</w:t>
      </w:r>
      <w:r>
        <w:rPr>
          <w:color w:val="0A0A0A"/>
          <w:spacing w:val="-9"/>
          <w:w w:val="105"/>
          <w:sz w:val="21"/>
        </w:rPr>
        <w:t> </w:t>
      </w:r>
      <w:r>
        <w:rPr>
          <w:color w:val="0A0A0A"/>
          <w:w w:val="105"/>
          <w:sz w:val="21"/>
        </w:rPr>
        <w:t>Anti-Fraud</w:t>
      </w:r>
      <w:r>
        <w:rPr>
          <w:color w:val="0A0A0A"/>
          <w:spacing w:val="2"/>
          <w:w w:val="105"/>
          <w:sz w:val="21"/>
        </w:rPr>
        <w:t> </w:t>
      </w:r>
      <w:r>
        <w:rPr>
          <w:color w:val="0A0A0A"/>
          <w:w w:val="105"/>
          <w:sz w:val="21"/>
        </w:rPr>
        <w:t>Service</w:t>
      </w:r>
      <w:r>
        <w:rPr>
          <w:color w:val="0A0A0A"/>
          <w:spacing w:val="-1"/>
          <w:w w:val="105"/>
          <w:sz w:val="21"/>
        </w:rPr>
        <w:t> </w:t>
      </w:r>
      <w:r>
        <w:rPr>
          <w:color w:val="0A0A0A"/>
          <w:w w:val="105"/>
          <w:sz w:val="21"/>
        </w:rPr>
        <w:t>are</w:t>
      </w:r>
      <w:r>
        <w:rPr>
          <w:color w:val="0A0A0A"/>
          <w:spacing w:val="-7"/>
          <w:w w:val="105"/>
          <w:sz w:val="21"/>
        </w:rPr>
        <w:t> </w:t>
      </w:r>
      <w:r>
        <w:rPr>
          <w:color w:val="0A0A0A"/>
          <w:w w:val="105"/>
          <w:sz w:val="21"/>
        </w:rPr>
        <w:t>as</w:t>
      </w:r>
      <w:r>
        <w:rPr>
          <w:color w:val="0A0A0A"/>
          <w:spacing w:val="-11"/>
          <w:w w:val="105"/>
          <w:sz w:val="21"/>
        </w:rPr>
        <w:t> </w:t>
      </w:r>
      <w:r>
        <w:rPr>
          <w:color w:val="0A0A0A"/>
          <w:spacing w:val="-2"/>
          <w:w w:val="105"/>
          <w:sz w:val="21"/>
        </w:rPr>
        <w:t>follows:</w:t>
      </w:r>
    </w:p>
    <w:p>
      <w:pPr>
        <w:pStyle w:val="BodyText"/>
        <w:spacing w:before="36"/>
        <w:rPr>
          <w:sz w:val="21"/>
        </w:rPr>
      </w:pPr>
    </w:p>
    <w:p>
      <w:pPr>
        <w:pStyle w:val="ListParagraph"/>
        <w:numPr>
          <w:ilvl w:val="0"/>
          <w:numId w:val="34"/>
        </w:numPr>
        <w:tabs>
          <w:tab w:val="left" w:leader="none" w:pos="1240"/>
        </w:tabs>
        <w:spacing w:before="1" w:after="0" w:line="240" w:lineRule="auto"/>
        <w:ind w:left="1240" w:right="0" w:hanging="355"/>
        <w:jc w:val="left"/>
        <w:rPr>
          <w:color w:val="0A0A0A"/>
          <w:sz w:val="21"/>
        </w:rPr>
      </w:pPr>
      <w:r>
        <w:rPr>
          <w:color w:val="0A0A0A"/>
          <w:w w:val="105"/>
          <w:sz w:val="21"/>
        </w:rPr>
        <w:t>Ensure</w:t>
      </w:r>
      <w:r>
        <w:rPr>
          <w:color w:val="0A0A0A"/>
          <w:spacing w:val="-10"/>
          <w:w w:val="105"/>
          <w:sz w:val="21"/>
        </w:rPr>
        <w:t> </w:t>
      </w:r>
      <w:r>
        <w:rPr>
          <w:color w:val="0A0A0A"/>
          <w:w w:val="105"/>
          <w:sz w:val="21"/>
        </w:rPr>
        <w:t>ongoing</w:t>
      </w:r>
      <w:r>
        <w:rPr>
          <w:color w:val="0A0A0A"/>
          <w:spacing w:val="-2"/>
          <w:w w:val="105"/>
          <w:sz w:val="21"/>
        </w:rPr>
        <w:t> </w:t>
      </w:r>
      <w:r>
        <w:rPr>
          <w:color w:val="0A0A0A"/>
          <w:w w:val="105"/>
          <w:sz w:val="21"/>
        </w:rPr>
        <w:t>effectiveness</w:t>
      </w:r>
      <w:r>
        <w:rPr>
          <w:color w:val="0A0A0A"/>
          <w:spacing w:val="3"/>
          <w:w w:val="105"/>
          <w:sz w:val="21"/>
        </w:rPr>
        <w:t> </w:t>
      </w:r>
      <w:r>
        <w:rPr>
          <w:color w:val="0A0A0A"/>
          <w:w w:val="105"/>
          <w:sz w:val="21"/>
        </w:rPr>
        <w:t>and</w:t>
      </w:r>
      <w:r>
        <w:rPr>
          <w:color w:val="0A0A0A"/>
          <w:spacing w:val="-15"/>
          <w:w w:val="105"/>
          <w:sz w:val="21"/>
        </w:rPr>
        <w:t> </w:t>
      </w:r>
      <w:r>
        <w:rPr>
          <w:color w:val="0A0A0A"/>
          <w:w w:val="105"/>
          <w:sz w:val="21"/>
        </w:rPr>
        <w:t>resilience</w:t>
      </w:r>
      <w:r>
        <w:rPr>
          <w:color w:val="0A0A0A"/>
          <w:spacing w:val="-3"/>
          <w:w w:val="105"/>
          <w:sz w:val="21"/>
        </w:rPr>
        <w:t> </w:t>
      </w:r>
      <w:r>
        <w:rPr>
          <w:color w:val="0A0A0A"/>
          <w:w w:val="105"/>
          <w:sz w:val="21"/>
        </w:rPr>
        <w:t>of</w:t>
      </w:r>
      <w:r>
        <w:rPr>
          <w:color w:val="0A0A0A"/>
          <w:spacing w:val="-13"/>
          <w:w w:val="105"/>
          <w:sz w:val="21"/>
        </w:rPr>
        <w:t> </w:t>
      </w:r>
      <w:r>
        <w:rPr>
          <w:color w:val="0A0A0A"/>
          <w:w w:val="105"/>
          <w:sz w:val="21"/>
        </w:rPr>
        <w:t>Partner</w:t>
      </w:r>
      <w:r>
        <w:rPr>
          <w:color w:val="0A0A0A"/>
          <w:spacing w:val="-7"/>
          <w:w w:val="105"/>
          <w:sz w:val="21"/>
        </w:rPr>
        <w:t> </w:t>
      </w:r>
      <w:r>
        <w:rPr>
          <w:color w:val="0A0A0A"/>
          <w:w w:val="105"/>
          <w:sz w:val="21"/>
        </w:rPr>
        <w:t>anti-fraud</w:t>
      </w:r>
      <w:r>
        <w:rPr>
          <w:color w:val="0A0A0A"/>
          <w:spacing w:val="-5"/>
          <w:w w:val="105"/>
          <w:sz w:val="21"/>
        </w:rPr>
        <w:t> </w:t>
      </w:r>
      <w:r>
        <w:rPr>
          <w:color w:val="0A0A0A"/>
          <w:spacing w:val="-2"/>
          <w:w w:val="105"/>
          <w:sz w:val="21"/>
        </w:rPr>
        <w:t>arrangements</w:t>
      </w:r>
    </w:p>
    <w:p>
      <w:pPr>
        <w:pStyle w:val="ListParagraph"/>
        <w:numPr>
          <w:ilvl w:val="0"/>
          <w:numId w:val="34"/>
        </w:numPr>
        <w:tabs>
          <w:tab w:val="left" w:leader="none" w:pos="1240"/>
        </w:tabs>
        <w:spacing w:before="27" w:after="0" w:line="240" w:lineRule="auto"/>
        <w:ind w:left="1240" w:right="0" w:hanging="355"/>
        <w:jc w:val="left"/>
        <w:rPr>
          <w:color w:val="1F1F1F"/>
          <w:sz w:val="21"/>
        </w:rPr>
      </w:pPr>
      <w:r>
        <w:rPr>
          <w:color w:val="0A0A0A"/>
          <w:w w:val="105"/>
          <w:sz w:val="21"/>
        </w:rPr>
        <w:t>Deliver financial</w:t>
      </w:r>
      <w:r>
        <w:rPr>
          <w:color w:val="0A0A0A"/>
          <w:spacing w:val="-4"/>
          <w:w w:val="105"/>
          <w:sz w:val="21"/>
        </w:rPr>
        <w:t> </w:t>
      </w:r>
      <w:r>
        <w:rPr>
          <w:color w:val="0A0A0A"/>
          <w:w w:val="105"/>
          <w:sz w:val="21"/>
        </w:rPr>
        <w:t>benefits</w:t>
      </w:r>
      <w:r>
        <w:rPr>
          <w:color w:val="0A0A0A"/>
          <w:spacing w:val="-9"/>
          <w:w w:val="105"/>
          <w:sz w:val="21"/>
        </w:rPr>
        <w:t> </w:t>
      </w:r>
      <w:r>
        <w:rPr>
          <w:color w:val="0A0A0A"/>
          <w:w w:val="105"/>
          <w:sz w:val="21"/>
        </w:rPr>
        <w:t>in</w:t>
      </w:r>
      <w:r>
        <w:rPr>
          <w:color w:val="0A0A0A"/>
          <w:spacing w:val="-4"/>
          <w:w w:val="105"/>
          <w:sz w:val="21"/>
        </w:rPr>
        <w:t> </w:t>
      </w:r>
      <w:r>
        <w:rPr>
          <w:color w:val="0A0A0A"/>
          <w:w w:val="105"/>
          <w:sz w:val="21"/>
        </w:rPr>
        <w:t>terms</w:t>
      </w:r>
      <w:r>
        <w:rPr>
          <w:color w:val="0A0A0A"/>
          <w:spacing w:val="-5"/>
          <w:w w:val="105"/>
          <w:sz w:val="21"/>
        </w:rPr>
        <w:t> </w:t>
      </w:r>
      <w:r>
        <w:rPr>
          <w:color w:val="0A0A0A"/>
          <w:w w:val="105"/>
          <w:sz w:val="21"/>
        </w:rPr>
        <w:t>of</w:t>
      </w:r>
      <w:r>
        <w:rPr>
          <w:color w:val="0A0A0A"/>
          <w:spacing w:val="-5"/>
          <w:w w:val="105"/>
          <w:sz w:val="21"/>
        </w:rPr>
        <w:t> </w:t>
      </w:r>
      <w:r>
        <w:rPr>
          <w:color w:val="0A0A0A"/>
          <w:w w:val="105"/>
          <w:sz w:val="21"/>
        </w:rPr>
        <w:t>cost</w:t>
      </w:r>
      <w:r>
        <w:rPr>
          <w:color w:val="0A0A0A"/>
          <w:spacing w:val="1"/>
          <w:w w:val="105"/>
          <w:sz w:val="21"/>
        </w:rPr>
        <w:t> </w:t>
      </w:r>
      <w:r>
        <w:rPr>
          <w:color w:val="0A0A0A"/>
          <w:w w:val="105"/>
          <w:sz w:val="21"/>
        </w:rPr>
        <w:t>savings</w:t>
      </w:r>
      <w:r>
        <w:rPr>
          <w:color w:val="0A0A0A"/>
          <w:spacing w:val="-2"/>
          <w:w w:val="105"/>
          <w:sz w:val="21"/>
        </w:rPr>
        <w:t> </w:t>
      </w:r>
      <w:r>
        <w:rPr>
          <w:color w:val="0A0A0A"/>
          <w:w w:val="105"/>
          <w:sz w:val="21"/>
        </w:rPr>
        <w:t>or</w:t>
      </w:r>
      <w:r>
        <w:rPr>
          <w:color w:val="0A0A0A"/>
          <w:spacing w:val="-10"/>
          <w:w w:val="105"/>
          <w:sz w:val="21"/>
        </w:rPr>
        <w:t> </w:t>
      </w:r>
      <w:r>
        <w:rPr>
          <w:color w:val="0A0A0A"/>
          <w:w w:val="105"/>
          <w:sz w:val="21"/>
        </w:rPr>
        <w:t>increased</w:t>
      </w:r>
      <w:r>
        <w:rPr>
          <w:color w:val="0A0A0A"/>
          <w:spacing w:val="-3"/>
          <w:w w:val="105"/>
          <w:sz w:val="21"/>
        </w:rPr>
        <w:t> </w:t>
      </w:r>
      <w:r>
        <w:rPr>
          <w:color w:val="0A0A0A"/>
          <w:w w:val="105"/>
          <w:sz w:val="21"/>
        </w:rPr>
        <w:t>revenue</w:t>
      </w:r>
      <w:r>
        <w:rPr>
          <w:color w:val="0A0A0A"/>
          <w:spacing w:val="4"/>
          <w:w w:val="105"/>
          <w:sz w:val="21"/>
        </w:rPr>
        <w:t> </w:t>
      </w:r>
      <w:r>
        <w:rPr>
          <w:color w:val="0A0A0A"/>
          <w:w w:val="105"/>
          <w:sz w:val="21"/>
        </w:rPr>
        <w:t>to</w:t>
      </w:r>
      <w:r>
        <w:rPr>
          <w:color w:val="0A0A0A"/>
          <w:spacing w:val="-13"/>
          <w:w w:val="105"/>
          <w:sz w:val="21"/>
        </w:rPr>
        <w:t> </w:t>
      </w:r>
      <w:r>
        <w:rPr>
          <w:color w:val="0A0A0A"/>
          <w:spacing w:val="-2"/>
          <w:w w:val="105"/>
          <w:sz w:val="21"/>
        </w:rPr>
        <w:t>Partners</w:t>
      </w:r>
    </w:p>
    <w:p>
      <w:pPr>
        <w:pStyle w:val="ListParagraph"/>
        <w:numPr>
          <w:ilvl w:val="0"/>
          <w:numId w:val="34"/>
        </w:numPr>
        <w:tabs>
          <w:tab w:val="left" w:leader="none" w:pos="1240"/>
          <w:tab w:val="left" w:leader="none" w:pos="1245"/>
        </w:tabs>
        <w:spacing w:before="23" w:after="0" w:line="256" w:lineRule="auto"/>
        <w:ind w:left="1245" w:right="237" w:hanging="365"/>
        <w:jc w:val="left"/>
        <w:rPr>
          <w:color w:val="0A0A0A"/>
          <w:sz w:val="21"/>
        </w:rPr>
      </w:pPr>
      <w:r>
        <w:rPr>
          <w:color w:val="0A0A0A"/>
          <w:w w:val="105"/>
          <w:sz w:val="21"/>
        </w:rPr>
        <w:t>Develop</w:t>
      </w:r>
      <w:r>
        <w:rPr>
          <w:color w:val="0A0A0A"/>
          <w:spacing w:val="-10"/>
          <w:w w:val="105"/>
          <w:sz w:val="21"/>
        </w:rPr>
        <w:t> </w:t>
      </w:r>
      <w:r>
        <w:rPr>
          <w:color w:val="0A0A0A"/>
          <w:w w:val="105"/>
          <w:sz w:val="21"/>
        </w:rPr>
        <w:t>the</w:t>
      </w:r>
      <w:r>
        <w:rPr>
          <w:color w:val="0A0A0A"/>
          <w:spacing w:val="-7"/>
          <w:w w:val="105"/>
          <w:sz w:val="21"/>
        </w:rPr>
        <w:t> </w:t>
      </w:r>
      <w:r>
        <w:rPr>
          <w:color w:val="0A0A0A"/>
          <w:w w:val="105"/>
          <w:sz w:val="21"/>
        </w:rPr>
        <w:t>current</w:t>
      </w:r>
      <w:r>
        <w:rPr>
          <w:color w:val="0A0A0A"/>
          <w:spacing w:val="-5"/>
          <w:w w:val="105"/>
          <w:sz w:val="21"/>
        </w:rPr>
        <w:t> </w:t>
      </w:r>
      <w:r>
        <w:rPr>
          <w:color w:val="0A0A0A"/>
          <w:w w:val="105"/>
          <w:sz w:val="21"/>
        </w:rPr>
        <w:t>Data-Hub</w:t>
      </w:r>
      <w:r>
        <w:rPr>
          <w:color w:val="0A0A0A"/>
          <w:spacing w:val="-6"/>
          <w:w w:val="105"/>
          <w:sz w:val="21"/>
        </w:rPr>
        <w:t> </w:t>
      </w:r>
      <w:r>
        <w:rPr>
          <w:color w:val="0A0A0A"/>
          <w:w w:val="105"/>
          <w:sz w:val="21"/>
        </w:rPr>
        <w:t>into</w:t>
      </w:r>
      <w:r>
        <w:rPr>
          <w:color w:val="0A0A0A"/>
          <w:spacing w:val="-11"/>
          <w:w w:val="105"/>
          <w:sz w:val="21"/>
        </w:rPr>
        <w:t> </w:t>
      </w:r>
      <w:r>
        <w:rPr>
          <w:color w:val="0A0A0A"/>
          <w:w w:val="105"/>
          <w:sz w:val="21"/>
        </w:rPr>
        <w:t>a</w:t>
      </w:r>
      <w:r>
        <w:rPr>
          <w:color w:val="0A0A0A"/>
          <w:spacing w:val="-7"/>
          <w:w w:val="105"/>
          <w:sz w:val="21"/>
        </w:rPr>
        <w:t> </w:t>
      </w:r>
      <w:r>
        <w:rPr>
          <w:i/>
          <w:color w:val="0A0A0A"/>
          <w:w w:val="105"/>
          <w:sz w:val="21"/>
        </w:rPr>
        <w:t>FraudHub </w:t>
      </w:r>
      <w:r>
        <w:rPr>
          <w:color w:val="0A0A0A"/>
          <w:w w:val="105"/>
          <w:sz w:val="21"/>
        </w:rPr>
        <w:t>working</w:t>
      </w:r>
      <w:r>
        <w:rPr>
          <w:color w:val="0A0A0A"/>
          <w:spacing w:val="-12"/>
          <w:w w:val="105"/>
          <w:sz w:val="21"/>
        </w:rPr>
        <w:t> </w:t>
      </w:r>
      <w:r>
        <w:rPr>
          <w:color w:val="0A0A0A"/>
          <w:w w:val="105"/>
          <w:sz w:val="21"/>
        </w:rPr>
        <w:t>in</w:t>
      </w:r>
      <w:r>
        <w:rPr>
          <w:color w:val="0A0A0A"/>
          <w:spacing w:val="-7"/>
          <w:w w:val="105"/>
          <w:sz w:val="21"/>
        </w:rPr>
        <w:t> </w:t>
      </w:r>
      <w:r>
        <w:rPr>
          <w:color w:val="0A0A0A"/>
          <w:w w:val="105"/>
          <w:sz w:val="21"/>
        </w:rPr>
        <w:t>partnership with</w:t>
      </w:r>
      <w:r>
        <w:rPr>
          <w:color w:val="0A0A0A"/>
          <w:spacing w:val="-15"/>
          <w:w w:val="105"/>
          <w:sz w:val="21"/>
        </w:rPr>
        <w:t> </w:t>
      </w:r>
      <w:r>
        <w:rPr>
          <w:color w:val="1F1F1F"/>
          <w:w w:val="105"/>
          <w:sz w:val="21"/>
        </w:rPr>
        <w:t>the</w:t>
      </w:r>
      <w:r>
        <w:rPr>
          <w:color w:val="1F1F1F"/>
          <w:spacing w:val="-15"/>
          <w:w w:val="105"/>
          <w:sz w:val="21"/>
        </w:rPr>
        <w:t> </w:t>
      </w:r>
      <w:r>
        <w:rPr>
          <w:color w:val="0A0A0A"/>
          <w:w w:val="105"/>
          <w:sz w:val="21"/>
        </w:rPr>
        <w:t>Cabinet</w:t>
      </w:r>
      <w:r>
        <w:rPr>
          <w:color w:val="0A0A0A"/>
          <w:spacing w:val="-3"/>
          <w:w w:val="105"/>
          <w:sz w:val="21"/>
        </w:rPr>
        <w:t> </w:t>
      </w:r>
      <w:r>
        <w:rPr>
          <w:color w:val="0A0A0A"/>
          <w:w w:val="105"/>
          <w:sz w:val="21"/>
        </w:rPr>
        <w:t>Office</w:t>
      </w:r>
      <w:r>
        <w:rPr>
          <w:color w:val="0A0A0A"/>
          <w:spacing w:val="-3"/>
          <w:w w:val="105"/>
          <w:sz w:val="21"/>
        </w:rPr>
        <w:t> </w:t>
      </w:r>
      <w:r>
        <w:rPr>
          <w:color w:val="0A0A0A"/>
          <w:w w:val="105"/>
          <w:sz w:val="21"/>
        </w:rPr>
        <w:t>and </w:t>
      </w:r>
      <w:r>
        <w:rPr>
          <w:color w:val="0A0A0A"/>
          <w:spacing w:val="-2"/>
          <w:w w:val="105"/>
          <w:sz w:val="21"/>
        </w:rPr>
        <w:t>others</w:t>
      </w:r>
    </w:p>
    <w:p>
      <w:pPr>
        <w:pStyle w:val="ListParagraph"/>
        <w:numPr>
          <w:ilvl w:val="0"/>
          <w:numId w:val="34"/>
        </w:numPr>
        <w:tabs>
          <w:tab w:val="left" w:leader="none" w:pos="1241"/>
        </w:tabs>
        <w:spacing w:before="7" w:after="0" w:line="252" w:lineRule="auto"/>
        <w:ind w:left="1241" w:right="243" w:hanging="352"/>
        <w:jc w:val="left"/>
        <w:rPr>
          <w:color w:val="1F1F1F"/>
          <w:sz w:val="21"/>
        </w:rPr>
      </w:pPr>
      <w:r>
        <w:rPr>
          <w:color w:val="0A0A0A"/>
          <w:w w:val="105"/>
          <w:sz w:val="21"/>
        </w:rPr>
        <w:t>Improve the reach into new areas of fraud risk across all</w:t>
      </w:r>
      <w:r>
        <w:rPr>
          <w:color w:val="0A0A0A"/>
          <w:spacing w:val="-1"/>
          <w:w w:val="105"/>
          <w:sz w:val="21"/>
        </w:rPr>
        <w:t> </w:t>
      </w:r>
      <w:r>
        <w:rPr>
          <w:color w:val="0A0A0A"/>
          <w:w w:val="105"/>
          <w:sz w:val="21"/>
        </w:rPr>
        <w:t>partner services,</w:t>
      </w:r>
      <w:r>
        <w:rPr>
          <w:color w:val="0A0A0A"/>
          <w:w w:val="105"/>
          <w:sz w:val="21"/>
        </w:rPr>
        <w:t> with a focus on Adult Care, Procurement</w:t>
      </w:r>
      <w:r>
        <w:rPr>
          <w:color w:val="0A0A0A"/>
          <w:w w:val="105"/>
          <w:sz w:val="21"/>
        </w:rPr>
        <w:t> and emerging areas of high risk</w:t>
      </w:r>
    </w:p>
    <w:p>
      <w:pPr>
        <w:pStyle w:val="ListParagraph"/>
        <w:numPr>
          <w:ilvl w:val="0"/>
          <w:numId w:val="34"/>
        </w:numPr>
        <w:tabs>
          <w:tab w:val="left" w:leader="none" w:pos="1240"/>
        </w:tabs>
        <w:spacing w:before="17" w:after="0" w:line="240" w:lineRule="auto"/>
        <w:ind w:left="1240" w:right="0" w:hanging="350"/>
        <w:jc w:val="left"/>
        <w:rPr>
          <w:color w:val="1F1F1F"/>
          <w:sz w:val="21"/>
        </w:rPr>
      </w:pPr>
      <w:r>
        <w:rPr>
          <w:color w:val="0A0A0A"/>
          <w:w w:val="105"/>
          <w:sz w:val="21"/>
        </w:rPr>
        <w:t>Develop services</w:t>
      </w:r>
      <w:r>
        <w:rPr>
          <w:color w:val="0A0A0A"/>
          <w:spacing w:val="5"/>
          <w:w w:val="105"/>
          <w:sz w:val="21"/>
        </w:rPr>
        <w:t> </w:t>
      </w:r>
      <w:r>
        <w:rPr>
          <w:color w:val="0A0A0A"/>
          <w:w w:val="105"/>
          <w:sz w:val="21"/>
        </w:rPr>
        <w:t>which</w:t>
      </w:r>
      <w:r>
        <w:rPr>
          <w:color w:val="0A0A0A"/>
          <w:spacing w:val="-4"/>
          <w:w w:val="105"/>
          <w:sz w:val="21"/>
        </w:rPr>
        <w:t> </w:t>
      </w:r>
      <w:r>
        <w:rPr>
          <w:color w:val="0A0A0A"/>
          <w:w w:val="105"/>
          <w:sz w:val="21"/>
        </w:rPr>
        <w:t>can</w:t>
      </w:r>
      <w:r>
        <w:rPr>
          <w:color w:val="0A0A0A"/>
          <w:spacing w:val="-7"/>
          <w:w w:val="105"/>
          <w:sz w:val="21"/>
        </w:rPr>
        <w:t> </w:t>
      </w:r>
      <w:r>
        <w:rPr>
          <w:color w:val="0A0A0A"/>
          <w:w w:val="105"/>
          <w:sz w:val="21"/>
        </w:rPr>
        <w:t>be</w:t>
      </w:r>
      <w:r>
        <w:rPr>
          <w:color w:val="0A0A0A"/>
          <w:spacing w:val="-13"/>
          <w:w w:val="105"/>
          <w:sz w:val="21"/>
        </w:rPr>
        <w:t> </w:t>
      </w:r>
      <w:r>
        <w:rPr>
          <w:color w:val="0A0A0A"/>
          <w:w w:val="105"/>
          <w:sz w:val="21"/>
        </w:rPr>
        <w:t>marketed</w:t>
      </w:r>
      <w:r>
        <w:rPr>
          <w:color w:val="0A0A0A"/>
          <w:spacing w:val="-5"/>
          <w:w w:val="105"/>
          <w:sz w:val="21"/>
        </w:rPr>
        <w:t> </w:t>
      </w:r>
      <w:r>
        <w:rPr>
          <w:color w:val="0A0A0A"/>
          <w:w w:val="105"/>
          <w:sz w:val="21"/>
        </w:rPr>
        <w:t>to</w:t>
      </w:r>
      <w:r>
        <w:rPr>
          <w:color w:val="0A0A0A"/>
          <w:spacing w:val="-4"/>
          <w:w w:val="105"/>
          <w:sz w:val="21"/>
        </w:rPr>
        <w:t> </w:t>
      </w:r>
      <w:r>
        <w:rPr>
          <w:color w:val="0A0A0A"/>
          <w:w w:val="105"/>
          <w:sz w:val="21"/>
        </w:rPr>
        <w:t>3</w:t>
      </w:r>
      <w:r>
        <w:rPr>
          <w:color w:val="0A0A0A"/>
          <w:w w:val="105"/>
          <w:sz w:val="21"/>
          <w:vertAlign w:val="superscript"/>
        </w:rPr>
        <w:t>rd</w:t>
      </w:r>
      <w:r>
        <w:rPr>
          <w:color w:val="0A0A0A"/>
          <w:spacing w:val="-9"/>
          <w:w w:val="105"/>
          <w:sz w:val="21"/>
          <w:vertAlign w:val="baseline"/>
        </w:rPr>
        <w:t> </w:t>
      </w:r>
      <w:r>
        <w:rPr>
          <w:color w:val="0A0A0A"/>
          <w:w w:val="105"/>
          <w:sz w:val="21"/>
          <w:vertAlign w:val="baseline"/>
        </w:rPr>
        <w:t>Parties</w:t>
      </w:r>
      <w:r>
        <w:rPr>
          <w:color w:val="0A0A0A"/>
          <w:spacing w:val="6"/>
          <w:w w:val="105"/>
          <w:sz w:val="21"/>
          <w:vertAlign w:val="baseline"/>
        </w:rPr>
        <w:t> </w:t>
      </w:r>
      <w:r>
        <w:rPr>
          <w:color w:val="0A0A0A"/>
          <w:w w:val="105"/>
          <w:sz w:val="21"/>
          <w:vertAlign w:val="baseline"/>
        </w:rPr>
        <w:t>or</w:t>
      </w:r>
      <w:r>
        <w:rPr>
          <w:color w:val="0A0A0A"/>
          <w:spacing w:val="-3"/>
          <w:w w:val="105"/>
          <w:sz w:val="21"/>
          <w:vertAlign w:val="baseline"/>
        </w:rPr>
        <w:t> </w:t>
      </w:r>
      <w:r>
        <w:rPr>
          <w:color w:val="0A0A0A"/>
          <w:w w:val="105"/>
          <w:sz w:val="21"/>
          <w:vertAlign w:val="baseline"/>
        </w:rPr>
        <w:t>shared</w:t>
      </w:r>
      <w:r>
        <w:rPr>
          <w:color w:val="0A0A0A"/>
          <w:spacing w:val="-6"/>
          <w:w w:val="105"/>
          <w:sz w:val="21"/>
          <w:vertAlign w:val="baseline"/>
        </w:rPr>
        <w:t> </w:t>
      </w:r>
      <w:r>
        <w:rPr>
          <w:color w:val="0A0A0A"/>
          <w:w w:val="105"/>
          <w:sz w:val="21"/>
          <w:vertAlign w:val="baseline"/>
        </w:rPr>
        <w:t>for</w:t>
      </w:r>
      <w:r>
        <w:rPr>
          <w:color w:val="0A0A0A"/>
          <w:spacing w:val="-9"/>
          <w:w w:val="105"/>
          <w:sz w:val="21"/>
          <w:vertAlign w:val="baseline"/>
        </w:rPr>
        <w:t> </w:t>
      </w:r>
      <w:r>
        <w:rPr>
          <w:color w:val="1F1F1F"/>
          <w:w w:val="105"/>
          <w:sz w:val="21"/>
          <w:vertAlign w:val="baseline"/>
        </w:rPr>
        <w:t>mutual</w:t>
      </w:r>
      <w:r>
        <w:rPr>
          <w:color w:val="1F1F1F"/>
          <w:spacing w:val="-3"/>
          <w:w w:val="105"/>
          <w:sz w:val="21"/>
          <w:vertAlign w:val="baseline"/>
        </w:rPr>
        <w:t> </w:t>
      </w:r>
      <w:r>
        <w:rPr>
          <w:color w:val="0A0A0A"/>
          <w:spacing w:val="-2"/>
          <w:w w:val="105"/>
          <w:sz w:val="21"/>
          <w:vertAlign w:val="baseline"/>
        </w:rPr>
        <w:t>benefit</w:t>
      </w:r>
    </w:p>
    <w:p>
      <w:pPr>
        <w:pStyle w:val="ListParagraph"/>
        <w:numPr>
          <w:ilvl w:val="0"/>
          <w:numId w:val="34"/>
        </w:numPr>
        <w:tabs>
          <w:tab w:val="left" w:leader="none" w:pos="1241"/>
        </w:tabs>
        <w:spacing w:before="27" w:after="0" w:line="240" w:lineRule="auto"/>
        <w:ind w:left="1241" w:right="0" w:hanging="351"/>
        <w:jc w:val="left"/>
        <w:rPr>
          <w:color w:val="1F1F1F"/>
          <w:sz w:val="21"/>
        </w:rPr>
      </w:pPr>
      <w:r>
        <w:rPr>
          <w:color w:val="0A0A0A"/>
          <w:w w:val="105"/>
          <w:sz w:val="21"/>
        </w:rPr>
        <w:t>Continue</w:t>
      </w:r>
      <w:r>
        <w:rPr>
          <w:color w:val="0A0A0A"/>
          <w:spacing w:val="4"/>
          <w:w w:val="105"/>
          <w:sz w:val="21"/>
        </w:rPr>
        <w:t> </w:t>
      </w:r>
      <w:r>
        <w:rPr>
          <w:color w:val="0A0A0A"/>
          <w:w w:val="105"/>
          <w:sz w:val="21"/>
        </w:rPr>
        <w:t>to</w:t>
      </w:r>
      <w:r>
        <w:rPr>
          <w:color w:val="0A0A0A"/>
          <w:spacing w:val="-10"/>
          <w:w w:val="105"/>
          <w:sz w:val="21"/>
        </w:rPr>
        <w:t> </w:t>
      </w:r>
      <w:r>
        <w:rPr>
          <w:color w:val="0A0A0A"/>
          <w:w w:val="105"/>
          <w:sz w:val="21"/>
        </w:rPr>
        <w:t>develop</w:t>
      </w:r>
      <w:r>
        <w:rPr>
          <w:color w:val="0A0A0A"/>
          <w:spacing w:val="1"/>
          <w:w w:val="105"/>
          <w:sz w:val="21"/>
        </w:rPr>
        <w:t> </w:t>
      </w:r>
      <w:r>
        <w:rPr>
          <w:color w:val="0A0A0A"/>
          <w:w w:val="105"/>
          <w:sz w:val="21"/>
        </w:rPr>
        <w:t>SAFS</w:t>
      </w:r>
      <w:r>
        <w:rPr>
          <w:color w:val="0A0A0A"/>
          <w:spacing w:val="-5"/>
          <w:w w:val="105"/>
          <w:sz w:val="21"/>
        </w:rPr>
        <w:t> </w:t>
      </w:r>
      <w:r>
        <w:rPr>
          <w:color w:val="0A0A0A"/>
          <w:w w:val="105"/>
          <w:sz w:val="21"/>
        </w:rPr>
        <w:t>as</w:t>
      </w:r>
      <w:r>
        <w:rPr>
          <w:color w:val="0A0A0A"/>
          <w:spacing w:val="-11"/>
          <w:w w:val="105"/>
          <w:sz w:val="21"/>
        </w:rPr>
        <w:t> </w:t>
      </w:r>
      <w:r>
        <w:rPr>
          <w:color w:val="0A0A0A"/>
          <w:w w:val="105"/>
          <w:sz w:val="21"/>
        </w:rPr>
        <w:t>a</w:t>
      </w:r>
      <w:r>
        <w:rPr>
          <w:color w:val="0A0A0A"/>
          <w:spacing w:val="-16"/>
          <w:w w:val="105"/>
          <w:sz w:val="21"/>
        </w:rPr>
        <w:t> </w:t>
      </w:r>
      <w:r>
        <w:rPr>
          <w:color w:val="0A0A0A"/>
          <w:w w:val="105"/>
          <w:sz w:val="21"/>
        </w:rPr>
        <w:t>recognised</w:t>
      </w:r>
      <w:r>
        <w:rPr>
          <w:color w:val="0A0A0A"/>
          <w:spacing w:val="-2"/>
          <w:w w:val="105"/>
          <w:sz w:val="21"/>
        </w:rPr>
        <w:t> </w:t>
      </w:r>
      <w:r>
        <w:rPr>
          <w:color w:val="0A0A0A"/>
          <w:w w:val="105"/>
          <w:sz w:val="21"/>
        </w:rPr>
        <w:t>centre</w:t>
      </w:r>
      <w:r>
        <w:rPr>
          <w:color w:val="0A0A0A"/>
          <w:spacing w:val="-5"/>
          <w:w w:val="105"/>
          <w:sz w:val="21"/>
        </w:rPr>
        <w:t> </w:t>
      </w:r>
      <w:r>
        <w:rPr>
          <w:color w:val="0A0A0A"/>
          <w:w w:val="105"/>
          <w:sz w:val="21"/>
        </w:rPr>
        <w:t>of</w:t>
      </w:r>
      <w:r>
        <w:rPr>
          <w:color w:val="0A0A0A"/>
          <w:spacing w:val="-10"/>
          <w:w w:val="105"/>
          <w:sz w:val="21"/>
        </w:rPr>
        <w:t> </w:t>
      </w:r>
      <w:r>
        <w:rPr>
          <w:color w:val="0A0A0A"/>
          <w:w w:val="105"/>
          <w:sz w:val="21"/>
        </w:rPr>
        <w:t>excellence</w:t>
      </w:r>
      <w:r>
        <w:rPr>
          <w:color w:val="0A0A0A"/>
          <w:spacing w:val="3"/>
          <w:w w:val="105"/>
          <w:sz w:val="21"/>
        </w:rPr>
        <w:t> </w:t>
      </w:r>
      <w:r>
        <w:rPr>
          <w:color w:val="0A0A0A"/>
          <w:w w:val="105"/>
          <w:sz w:val="21"/>
        </w:rPr>
        <w:t>regionally</w:t>
      </w:r>
      <w:r>
        <w:rPr>
          <w:color w:val="0A0A0A"/>
          <w:spacing w:val="6"/>
          <w:w w:val="105"/>
          <w:sz w:val="21"/>
        </w:rPr>
        <w:t> </w:t>
      </w:r>
      <w:r>
        <w:rPr>
          <w:color w:val="0A0A0A"/>
          <w:w w:val="105"/>
          <w:sz w:val="21"/>
        </w:rPr>
        <w:t>and</w:t>
      </w:r>
      <w:r>
        <w:rPr>
          <w:color w:val="0A0A0A"/>
          <w:spacing w:val="-15"/>
          <w:w w:val="105"/>
          <w:sz w:val="21"/>
        </w:rPr>
        <w:t> </w:t>
      </w:r>
      <w:r>
        <w:rPr>
          <w:color w:val="0A0A0A"/>
          <w:spacing w:val="-2"/>
          <w:w w:val="105"/>
          <w:sz w:val="21"/>
        </w:rPr>
        <w:t>nationally.</w:t>
      </w:r>
    </w:p>
    <w:p>
      <w:pPr>
        <w:pStyle w:val="BodyText"/>
        <w:spacing w:before="17"/>
        <w:rPr>
          <w:sz w:val="21"/>
        </w:rPr>
      </w:pPr>
    </w:p>
    <w:p>
      <w:pPr>
        <w:pStyle w:val="ListParagraph"/>
        <w:numPr>
          <w:ilvl w:val="0"/>
          <w:numId w:val="29"/>
        </w:numPr>
        <w:tabs>
          <w:tab w:val="left" w:leader="none" w:pos="873"/>
        </w:tabs>
        <w:spacing w:before="0" w:after="0" w:line="252" w:lineRule="auto"/>
        <w:ind w:left="873" w:right="345" w:hanging="707"/>
        <w:jc w:val="left"/>
        <w:rPr>
          <w:color w:val="0A0A0A"/>
          <w:sz w:val="21"/>
        </w:rPr>
      </w:pPr>
      <w:r>
        <w:rPr>
          <w:color w:val="0A0A0A"/>
          <w:w w:val="105"/>
          <w:sz w:val="21"/>
        </w:rPr>
        <w:t>The</w:t>
      </w:r>
      <w:r>
        <w:rPr>
          <w:color w:val="0A0A0A"/>
          <w:spacing w:val="-7"/>
          <w:w w:val="105"/>
          <w:sz w:val="21"/>
        </w:rPr>
        <w:t> </w:t>
      </w:r>
      <w:r>
        <w:rPr>
          <w:color w:val="0A0A0A"/>
          <w:w w:val="105"/>
          <w:sz w:val="21"/>
        </w:rPr>
        <w:t>Audit</w:t>
      </w:r>
      <w:r>
        <w:rPr>
          <w:color w:val="0A0A0A"/>
          <w:spacing w:val="-8"/>
          <w:w w:val="105"/>
          <w:sz w:val="21"/>
        </w:rPr>
        <w:t> </w:t>
      </w:r>
      <w:r>
        <w:rPr>
          <w:color w:val="0A0A0A"/>
          <w:w w:val="105"/>
          <w:sz w:val="21"/>
        </w:rPr>
        <w:t>Committee reviews the</w:t>
      </w:r>
      <w:r>
        <w:rPr>
          <w:color w:val="0A0A0A"/>
          <w:spacing w:val="-3"/>
          <w:w w:val="105"/>
          <w:sz w:val="21"/>
        </w:rPr>
        <w:t> </w:t>
      </w:r>
      <w:r>
        <w:rPr>
          <w:color w:val="0A0A0A"/>
          <w:w w:val="105"/>
          <w:sz w:val="21"/>
        </w:rPr>
        <w:t>comprehensive Ant</w:t>
      </w:r>
      <w:r>
        <w:rPr>
          <w:color w:val="3A3A3A"/>
          <w:w w:val="105"/>
          <w:sz w:val="21"/>
        </w:rPr>
        <w:t>i-</w:t>
      </w:r>
      <w:r>
        <w:rPr>
          <w:color w:val="1F1F1F"/>
          <w:w w:val="105"/>
          <w:sz w:val="21"/>
        </w:rPr>
        <w:t>Fraud Action Plan</w:t>
      </w:r>
      <w:r>
        <w:rPr>
          <w:color w:val="1F1F1F"/>
          <w:spacing w:val="-8"/>
          <w:w w:val="105"/>
          <w:sz w:val="21"/>
        </w:rPr>
        <w:t> </w:t>
      </w:r>
      <w:r>
        <w:rPr>
          <w:color w:val="1F1F1F"/>
          <w:w w:val="105"/>
          <w:sz w:val="21"/>
        </w:rPr>
        <w:t>each</w:t>
      </w:r>
      <w:r>
        <w:rPr>
          <w:color w:val="1F1F1F"/>
          <w:spacing w:val="-7"/>
          <w:w w:val="105"/>
          <w:sz w:val="21"/>
        </w:rPr>
        <w:t> </w:t>
      </w:r>
      <w:r>
        <w:rPr>
          <w:color w:val="1F1F1F"/>
          <w:w w:val="105"/>
          <w:sz w:val="21"/>
        </w:rPr>
        <w:t>year</w:t>
      </w:r>
      <w:r>
        <w:rPr>
          <w:color w:val="1F1F1F"/>
          <w:spacing w:val="-4"/>
          <w:w w:val="105"/>
          <w:sz w:val="21"/>
        </w:rPr>
        <w:t> </w:t>
      </w:r>
      <w:r>
        <w:rPr>
          <w:color w:val="1F1F1F"/>
          <w:w w:val="105"/>
          <w:sz w:val="21"/>
        </w:rPr>
        <w:t>which</w:t>
      </w:r>
      <w:r>
        <w:rPr>
          <w:color w:val="1F1F1F"/>
          <w:spacing w:val="-5"/>
          <w:w w:val="105"/>
          <w:sz w:val="21"/>
        </w:rPr>
        <w:t> </w:t>
      </w:r>
      <w:r>
        <w:rPr>
          <w:color w:val="0A0A0A"/>
          <w:w w:val="105"/>
          <w:sz w:val="21"/>
        </w:rPr>
        <w:t>is</w:t>
      </w:r>
      <w:r>
        <w:rPr>
          <w:color w:val="0A0A0A"/>
          <w:spacing w:val="-10"/>
          <w:w w:val="105"/>
          <w:sz w:val="21"/>
        </w:rPr>
        <w:t> </w:t>
      </w:r>
      <w:r>
        <w:rPr>
          <w:color w:val="0A0A0A"/>
          <w:w w:val="105"/>
          <w:sz w:val="21"/>
        </w:rPr>
        <w:t>agreed by SAFS and senior managers. This is</w:t>
      </w:r>
      <w:r>
        <w:rPr>
          <w:color w:val="0A0A0A"/>
          <w:spacing w:val="-1"/>
          <w:w w:val="105"/>
          <w:sz w:val="21"/>
        </w:rPr>
        <w:t> </w:t>
      </w:r>
      <w:r>
        <w:rPr>
          <w:color w:val="0A0A0A"/>
          <w:w w:val="105"/>
          <w:sz w:val="21"/>
        </w:rPr>
        <w:t>based on CIPFA / DLUHC / </w:t>
      </w:r>
      <w:r>
        <w:rPr>
          <w:color w:val="1F1F1F"/>
          <w:w w:val="105"/>
          <w:sz w:val="21"/>
        </w:rPr>
        <w:t>NAO</w:t>
      </w:r>
      <w:r>
        <w:rPr>
          <w:color w:val="1F1F1F"/>
          <w:spacing w:val="-5"/>
          <w:w w:val="105"/>
          <w:sz w:val="21"/>
        </w:rPr>
        <w:t> </w:t>
      </w:r>
      <w:r>
        <w:rPr>
          <w:color w:val="1F1F1F"/>
          <w:w w:val="105"/>
          <w:sz w:val="21"/>
        </w:rPr>
        <w:t>Good Practice </w:t>
      </w:r>
      <w:r>
        <w:rPr>
          <w:color w:val="0A0A0A"/>
          <w:w w:val="105"/>
          <w:sz w:val="21"/>
        </w:rPr>
        <w:t>and progress against this is</w:t>
      </w:r>
      <w:r>
        <w:rPr>
          <w:color w:val="0A0A0A"/>
          <w:spacing w:val="-3"/>
          <w:w w:val="105"/>
          <w:sz w:val="21"/>
        </w:rPr>
        <w:t> </w:t>
      </w:r>
      <w:r>
        <w:rPr>
          <w:color w:val="0A0A0A"/>
          <w:w w:val="105"/>
          <w:sz w:val="21"/>
        </w:rPr>
        <w:t>reported to</w:t>
      </w:r>
      <w:r>
        <w:rPr>
          <w:color w:val="0A0A0A"/>
          <w:spacing w:val="-1"/>
          <w:w w:val="105"/>
          <w:sz w:val="21"/>
        </w:rPr>
        <w:t> </w:t>
      </w:r>
      <w:r>
        <w:rPr>
          <w:color w:val="0A0A0A"/>
          <w:w w:val="105"/>
          <w:sz w:val="21"/>
        </w:rPr>
        <w:t>Audit Committee three times each year. The Committee also reviews the Anti-Fraud and</w:t>
      </w:r>
      <w:r>
        <w:rPr>
          <w:color w:val="0A0A0A"/>
          <w:spacing w:val="-2"/>
          <w:w w:val="105"/>
          <w:sz w:val="21"/>
        </w:rPr>
        <w:t> </w:t>
      </w:r>
      <w:r>
        <w:rPr>
          <w:color w:val="0A0A0A"/>
          <w:w w:val="105"/>
          <w:sz w:val="21"/>
        </w:rPr>
        <w:t>Corruption Strategy and</w:t>
      </w:r>
      <w:r>
        <w:rPr>
          <w:color w:val="0A0A0A"/>
          <w:spacing w:val="-2"/>
          <w:w w:val="105"/>
          <w:sz w:val="21"/>
        </w:rPr>
        <w:t> </w:t>
      </w:r>
      <w:r>
        <w:rPr>
          <w:color w:val="0A0A0A"/>
          <w:w w:val="105"/>
          <w:sz w:val="21"/>
        </w:rPr>
        <w:t>Anti-Money Laundering Policy.</w:t>
      </w:r>
    </w:p>
    <w:p>
      <w:pPr>
        <w:pStyle w:val="BodyText"/>
        <w:spacing w:before="13"/>
        <w:rPr>
          <w:sz w:val="21"/>
        </w:rPr>
      </w:pPr>
    </w:p>
    <w:p>
      <w:pPr>
        <w:spacing w:before="0" w:line="252" w:lineRule="auto"/>
        <w:ind w:left="878" w:right="1473" w:firstLine="12"/>
        <w:jc w:val="left"/>
        <w:rPr>
          <w:b/>
          <w:sz w:val="21"/>
        </w:rPr>
      </w:pPr>
      <w:r>
        <w:rPr>
          <w:b/>
          <w:color w:val="0A0A0A"/>
          <w:w w:val="105"/>
          <w:sz w:val="21"/>
        </w:rPr>
        <w:t>Review of</w:t>
      </w:r>
      <w:r>
        <w:rPr>
          <w:b/>
          <w:color w:val="0A0A0A"/>
          <w:spacing w:val="-12"/>
          <w:w w:val="105"/>
          <w:sz w:val="21"/>
        </w:rPr>
        <w:t> </w:t>
      </w:r>
      <w:r>
        <w:rPr>
          <w:b/>
          <w:color w:val="0A0A0A"/>
          <w:w w:val="105"/>
          <w:sz w:val="21"/>
        </w:rPr>
        <w:t>effectiveness of</w:t>
      </w:r>
      <w:r>
        <w:rPr>
          <w:b/>
          <w:color w:val="0A0A0A"/>
          <w:spacing w:val="-13"/>
          <w:w w:val="105"/>
          <w:sz w:val="21"/>
        </w:rPr>
        <w:t> </w:t>
      </w:r>
      <w:r>
        <w:rPr>
          <w:b/>
          <w:color w:val="0A0A0A"/>
          <w:w w:val="105"/>
          <w:sz w:val="21"/>
        </w:rPr>
        <w:t>the</w:t>
      </w:r>
      <w:r>
        <w:rPr>
          <w:b/>
          <w:color w:val="0A0A0A"/>
          <w:spacing w:val="-5"/>
          <w:w w:val="105"/>
          <w:sz w:val="21"/>
        </w:rPr>
        <w:t> </w:t>
      </w:r>
      <w:r>
        <w:rPr>
          <w:b/>
          <w:color w:val="0A0A0A"/>
          <w:w w:val="105"/>
          <w:sz w:val="21"/>
        </w:rPr>
        <w:t>framework for</w:t>
      </w:r>
      <w:r>
        <w:rPr>
          <w:b/>
          <w:color w:val="0A0A0A"/>
          <w:spacing w:val="-3"/>
          <w:w w:val="105"/>
          <w:sz w:val="21"/>
        </w:rPr>
        <w:t> </w:t>
      </w:r>
      <w:r>
        <w:rPr>
          <w:b/>
          <w:color w:val="0A0A0A"/>
          <w:w w:val="105"/>
          <w:sz w:val="21"/>
        </w:rPr>
        <w:t>identifying</w:t>
      </w:r>
      <w:r>
        <w:rPr>
          <w:b/>
          <w:color w:val="0A0A0A"/>
          <w:spacing w:val="-2"/>
          <w:w w:val="105"/>
          <w:sz w:val="21"/>
        </w:rPr>
        <w:t> </w:t>
      </w:r>
      <w:r>
        <w:rPr>
          <w:b/>
          <w:color w:val="0A0A0A"/>
          <w:w w:val="105"/>
          <w:sz w:val="21"/>
        </w:rPr>
        <w:t>and</w:t>
      </w:r>
      <w:r>
        <w:rPr>
          <w:b/>
          <w:color w:val="0A0A0A"/>
          <w:spacing w:val="-15"/>
          <w:w w:val="105"/>
          <w:sz w:val="21"/>
        </w:rPr>
        <w:t> </w:t>
      </w:r>
      <w:r>
        <w:rPr>
          <w:b/>
          <w:color w:val="0A0A0A"/>
          <w:w w:val="105"/>
          <w:sz w:val="21"/>
        </w:rPr>
        <w:t>managing risks</w:t>
      </w:r>
      <w:r>
        <w:rPr>
          <w:b/>
          <w:color w:val="0A0A0A"/>
          <w:spacing w:val="-10"/>
          <w:w w:val="105"/>
          <w:sz w:val="21"/>
        </w:rPr>
        <w:t> </w:t>
      </w:r>
      <w:r>
        <w:rPr>
          <w:b/>
          <w:color w:val="0A0A0A"/>
          <w:w w:val="105"/>
          <w:sz w:val="21"/>
        </w:rPr>
        <w:t>and demonstrating clear accountability</w:t>
      </w:r>
    </w:p>
    <w:p>
      <w:pPr>
        <w:pStyle w:val="BodyText"/>
        <w:spacing w:before="6"/>
        <w:rPr>
          <w:b/>
          <w:sz w:val="21"/>
        </w:rPr>
      </w:pPr>
    </w:p>
    <w:p>
      <w:pPr>
        <w:spacing w:before="0"/>
        <w:ind w:left="884" w:right="0" w:firstLine="0"/>
        <w:jc w:val="left"/>
        <w:rPr>
          <w:sz w:val="21"/>
        </w:rPr>
      </w:pPr>
      <w:r>
        <w:rPr>
          <w:color w:val="1F1F1F"/>
          <w:w w:val="105"/>
          <w:sz w:val="21"/>
          <w:u w:val="thick" w:color="1F1F1F"/>
        </w:rPr>
        <w:t>Risk</w:t>
      </w:r>
      <w:r>
        <w:rPr>
          <w:color w:val="1F1F1F"/>
          <w:spacing w:val="-7"/>
          <w:w w:val="105"/>
          <w:sz w:val="21"/>
          <w:u w:val="thick" w:color="1F1F1F"/>
        </w:rPr>
        <w:t> </w:t>
      </w:r>
      <w:r>
        <w:rPr>
          <w:color w:val="1F1F1F"/>
          <w:spacing w:val="-2"/>
          <w:w w:val="105"/>
          <w:sz w:val="21"/>
          <w:u w:val="thick" w:color="1F1F1F"/>
        </w:rPr>
        <w:t>Management</w:t>
      </w:r>
    </w:p>
    <w:p>
      <w:pPr>
        <w:pStyle w:val="BodyText"/>
        <w:spacing w:before="26"/>
        <w:rPr>
          <w:sz w:val="21"/>
        </w:rPr>
      </w:pPr>
    </w:p>
    <w:p>
      <w:pPr>
        <w:pStyle w:val="ListParagraph"/>
        <w:numPr>
          <w:ilvl w:val="0"/>
          <w:numId w:val="29"/>
        </w:numPr>
        <w:tabs>
          <w:tab w:val="left" w:leader="none" w:pos="875"/>
          <w:tab w:val="left" w:leader="none" w:pos="877"/>
        </w:tabs>
        <w:spacing w:before="0" w:after="0" w:line="249" w:lineRule="auto"/>
        <w:ind w:left="877" w:right="367" w:hanging="702"/>
        <w:jc w:val="left"/>
        <w:rPr>
          <w:color w:val="0A0A0A"/>
          <w:sz w:val="21"/>
        </w:rPr>
      </w:pPr>
      <w:r>
        <w:rPr>
          <w:color w:val="0A0A0A"/>
          <w:w w:val="105"/>
          <w:sz w:val="21"/>
        </w:rPr>
        <w:t>Responsibility</w:t>
      </w:r>
      <w:r>
        <w:rPr>
          <w:color w:val="0A0A0A"/>
          <w:spacing w:val="-4"/>
          <w:w w:val="105"/>
          <w:sz w:val="21"/>
        </w:rPr>
        <w:t> </w:t>
      </w:r>
      <w:r>
        <w:rPr>
          <w:color w:val="0A0A0A"/>
          <w:w w:val="105"/>
          <w:sz w:val="21"/>
        </w:rPr>
        <w:t>and</w:t>
      </w:r>
      <w:r>
        <w:rPr>
          <w:color w:val="0A0A0A"/>
          <w:spacing w:val="-1"/>
          <w:w w:val="105"/>
          <w:sz w:val="21"/>
        </w:rPr>
        <w:t> </w:t>
      </w:r>
      <w:r>
        <w:rPr>
          <w:color w:val="1F1F1F"/>
          <w:w w:val="105"/>
          <w:sz w:val="21"/>
        </w:rPr>
        <w:t>accountability</w:t>
      </w:r>
      <w:r>
        <w:rPr>
          <w:color w:val="1F1F1F"/>
          <w:spacing w:val="-12"/>
          <w:w w:val="105"/>
          <w:sz w:val="21"/>
        </w:rPr>
        <w:t> </w:t>
      </w:r>
      <w:r>
        <w:rPr>
          <w:color w:val="0A0A0A"/>
          <w:w w:val="105"/>
          <w:sz w:val="21"/>
        </w:rPr>
        <w:t>for</w:t>
      </w:r>
      <w:r>
        <w:rPr>
          <w:color w:val="0A0A0A"/>
          <w:spacing w:val="-5"/>
          <w:w w:val="105"/>
          <w:sz w:val="21"/>
        </w:rPr>
        <w:t> </w:t>
      </w:r>
      <w:r>
        <w:rPr>
          <w:color w:val="0A0A0A"/>
          <w:w w:val="105"/>
          <w:sz w:val="21"/>
        </w:rPr>
        <w:t>Risk </w:t>
      </w:r>
      <w:r>
        <w:rPr>
          <w:color w:val="1F1F1F"/>
          <w:w w:val="105"/>
          <w:sz w:val="21"/>
        </w:rPr>
        <w:t>Management</w:t>
      </w:r>
      <w:r>
        <w:rPr>
          <w:color w:val="1F1F1F"/>
          <w:spacing w:val="20"/>
          <w:w w:val="105"/>
          <w:sz w:val="21"/>
        </w:rPr>
        <w:t> </w:t>
      </w:r>
      <w:r>
        <w:rPr>
          <w:color w:val="0A0A0A"/>
          <w:w w:val="105"/>
          <w:sz w:val="21"/>
        </w:rPr>
        <w:t>is</w:t>
      </w:r>
      <w:r>
        <w:rPr>
          <w:color w:val="0A0A0A"/>
          <w:spacing w:val="-7"/>
          <w:w w:val="105"/>
          <w:sz w:val="21"/>
        </w:rPr>
        <w:t> </w:t>
      </w:r>
      <w:r>
        <w:rPr>
          <w:color w:val="0A0A0A"/>
          <w:w w:val="105"/>
          <w:sz w:val="21"/>
        </w:rPr>
        <w:t>placed with the</w:t>
      </w:r>
      <w:r>
        <w:rPr>
          <w:color w:val="0A0A0A"/>
          <w:spacing w:val="-8"/>
          <w:w w:val="105"/>
          <w:sz w:val="21"/>
        </w:rPr>
        <w:t> </w:t>
      </w:r>
      <w:r>
        <w:rPr>
          <w:color w:val="0A0A0A"/>
          <w:w w:val="105"/>
          <w:sz w:val="21"/>
        </w:rPr>
        <w:t>Heads of</w:t>
      </w:r>
      <w:r>
        <w:rPr>
          <w:color w:val="0A0A0A"/>
          <w:spacing w:val="-5"/>
          <w:w w:val="105"/>
          <w:sz w:val="21"/>
        </w:rPr>
        <w:t> </w:t>
      </w:r>
      <w:r>
        <w:rPr>
          <w:color w:val="0A0A0A"/>
          <w:w w:val="105"/>
          <w:sz w:val="21"/>
        </w:rPr>
        <w:t>Service and on­ going</w:t>
      </w:r>
      <w:r>
        <w:rPr>
          <w:color w:val="0A0A0A"/>
          <w:spacing w:val="-1"/>
          <w:w w:val="105"/>
          <w:sz w:val="21"/>
        </w:rPr>
        <w:t> </w:t>
      </w:r>
      <w:r>
        <w:rPr>
          <w:color w:val="1F1F1F"/>
          <w:w w:val="105"/>
          <w:sz w:val="21"/>
        </w:rPr>
        <w:t>training </w:t>
      </w:r>
      <w:r>
        <w:rPr>
          <w:color w:val="0A0A0A"/>
          <w:w w:val="105"/>
          <w:sz w:val="21"/>
        </w:rPr>
        <w:t>and </w:t>
      </w:r>
      <w:r>
        <w:rPr>
          <w:color w:val="1F1F1F"/>
          <w:w w:val="105"/>
          <w:sz w:val="21"/>
        </w:rPr>
        <w:t>support </w:t>
      </w:r>
      <w:r>
        <w:rPr>
          <w:color w:val="0A0A0A"/>
          <w:w w:val="105"/>
          <w:sz w:val="21"/>
        </w:rPr>
        <w:t>was provided to </w:t>
      </w:r>
      <w:r>
        <w:rPr>
          <w:color w:val="1F1F1F"/>
          <w:w w:val="105"/>
          <w:sz w:val="21"/>
        </w:rPr>
        <w:t>assist </w:t>
      </w:r>
      <w:r>
        <w:rPr>
          <w:color w:val="0A0A0A"/>
          <w:w w:val="105"/>
          <w:sz w:val="21"/>
        </w:rPr>
        <w:t>them in</w:t>
      </w:r>
      <w:r>
        <w:rPr>
          <w:color w:val="0A0A0A"/>
          <w:spacing w:val="-5"/>
          <w:w w:val="105"/>
          <w:sz w:val="21"/>
        </w:rPr>
        <w:t> </w:t>
      </w:r>
      <w:r>
        <w:rPr>
          <w:color w:val="0A0A0A"/>
          <w:w w:val="105"/>
          <w:sz w:val="21"/>
        </w:rPr>
        <w:t>this role. Risk</w:t>
      </w:r>
      <w:r>
        <w:rPr>
          <w:color w:val="0A0A0A"/>
          <w:spacing w:val="-1"/>
          <w:w w:val="105"/>
          <w:sz w:val="21"/>
        </w:rPr>
        <w:t> </w:t>
      </w:r>
      <w:r>
        <w:rPr>
          <w:color w:val="0A0A0A"/>
          <w:w w:val="105"/>
          <w:sz w:val="21"/>
        </w:rPr>
        <w:t>Management support was provided</w:t>
      </w:r>
      <w:r>
        <w:rPr>
          <w:color w:val="0A0A0A"/>
          <w:spacing w:val="-4"/>
          <w:w w:val="105"/>
          <w:sz w:val="21"/>
        </w:rPr>
        <w:t> </w:t>
      </w:r>
      <w:r>
        <w:rPr>
          <w:color w:val="0A0A0A"/>
          <w:w w:val="105"/>
          <w:sz w:val="21"/>
        </w:rPr>
        <w:t>by</w:t>
      </w:r>
      <w:r>
        <w:rPr>
          <w:color w:val="0A0A0A"/>
          <w:spacing w:val="-3"/>
          <w:w w:val="105"/>
          <w:sz w:val="21"/>
        </w:rPr>
        <w:t> </w:t>
      </w:r>
      <w:r>
        <w:rPr>
          <w:color w:val="0A0A0A"/>
          <w:w w:val="105"/>
          <w:sz w:val="21"/>
        </w:rPr>
        <w:t>Hertfordshire County Council. An</w:t>
      </w:r>
      <w:r>
        <w:rPr>
          <w:color w:val="0A0A0A"/>
          <w:spacing w:val="-15"/>
          <w:w w:val="105"/>
          <w:sz w:val="21"/>
        </w:rPr>
        <w:t> </w:t>
      </w:r>
      <w:r>
        <w:rPr>
          <w:color w:val="1F1F1F"/>
          <w:w w:val="105"/>
          <w:sz w:val="21"/>
        </w:rPr>
        <w:t>internal</w:t>
      </w:r>
      <w:r>
        <w:rPr>
          <w:color w:val="1F1F1F"/>
          <w:spacing w:val="-1"/>
          <w:w w:val="105"/>
          <w:sz w:val="21"/>
        </w:rPr>
        <w:t> </w:t>
      </w:r>
      <w:r>
        <w:rPr>
          <w:color w:val="0A0A0A"/>
          <w:w w:val="105"/>
          <w:sz w:val="21"/>
        </w:rPr>
        <w:t>audit</w:t>
      </w:r>
      <w:r>
        <w:rPr>
          <w:color w:val="0A0A0A"/>
          <w:spacing w:val="-3"/>
          <w:w w:val="105"/>
          <w:sz w:val="21"/>
        </w:rPr>
        <w:t> </w:t>
      </w:r>
      <w:r>
        <w:rPr>
          <w:color w:val="0A0A0A"/>
          <w:w w:val="105"/>
          <w:sz w:val="21"/>
        </w:rPr>
        <w:t>on</w:t>
      </w:r>
      <w:r>
        <w:rPr>
          <w:color w:val="0A0A0A"/>
          <w:spacing w:val="-16"/>
          <w:w w:val="105"/>
          <w:sz w:val="21"/>
        </w:rPr>
        <w:t> </w:t>
      </w:r>
      <w:r>
        <w:rPr>
          <w:color w:val="0A0A0A"/>
          <w:w w:val="105"/>
          <w:sz w:val="21"/>
        </w:rPr>
        <w:t>risk</w:t>
      </w:r>
      <w:r>
        <w:rPr>
          <w:color w:val="0A0A0A"/>
          <w:spacing w:val="-10"/>
          <w:w w:val="105"/>
          <w:sz w:val="21"/>
        </w:rPr>
        <w:t> </w:t>
      </w:r>
      <w:r>
        <w:rPr>
          <w:color w:val="0A0A0A"/>
          <w:w w:val="105"/>
          <w:sz w:val="21"/>
        </w:rPr>
        <w:t>management was</w:t>
      </w:r>
      <w:r>
        <w:rPr>
          <w:color w:val="0A0A0A"/>
          <w:spacing w:val="-5"/>
          <w:w w:val="105"/>
          <w:sz w:val="21"/>
        </w:rPr>
        <w:t> </w:t>
      </w:r>
      <w:r>
        <w:rPr>
          <w:color w:val="0A0A0A"/>
          <w:w w:val="105"/>
          <w:sz w:val="21"/>
        </w:rPr>
        <w:t>undertaken in</w:t>
      </w:r>
    </w:p>
    <w:p>
      <w:pPr>
        <w:spacing w:after="0" w:line="249" w:lineRule="auto"/>
        <w:jc w:val="left"/>
        <w:rPr>
          <w:sz w:val="21"/>
        </w:rPr>
        <w:sectPr>
          <w:headerReference w:type="default" r:id="rId317"/>
          <w:footerReference w:type="default" r:id="rId318"/>
          <w:footerReference w:type="even" r:id="rId319"/>
          <w:pgSz w:w="11910" w:h="16830"/>
          <w:pgMar w:top="640" w:right="540" w:bottom="1340" w:left="440" w:header="0" w:footer="1141"/>
          <w:pgNumType w:start="143"/>
        </w:sectPr>
      </w:pPr>
    </w:p>
    <w:p>
      <w:pPr>
        <w:pStyle w:val="BodyText"/>
        <w:spacing w:before="2"/>
      </w:pPr>
    </w:p>
    <w:p>
      <w:pPr>
        <w:pStyle w:val="BodyText"/>
        <w:ind w:left="1078" w:firstLine="13"/>
      </w:pPr>
      <w:r>
        <w:rPr>
          <w:color w:val="3D3D3D"/>
        </w:rPr>
        <w:t>2021/22 </w:t>
      </w:r>
      <w:r>
        <w:rPr>
          <w:color w:val="1C1C1C"/>
        </w:rPr>
        <w:t>and</w:t>
      </w:r>
      <w:r>
        <w:rPr>
          <w:color w:val="1C1C1C"/>
          <w:spacing w:val="-2"/>
        </w:rPr>
        <w:t> </w:t>
      </w:r>
      <w:r>
        <w:rPr>
          <w:color w:val="1C1C1C"/>
        </w:rPr>
        <w:t>a reasonable level of</w:t>
      </w:r>
      <w:r>
        <w:rPr>
          <w:color w:val="1C1C1C"/>
          <w:spacing w:val="-2"/>
        </w:rPr>
        <w:t> </w:t>
      </w:r>
      <w:r>
        <w:rPr>
          <w:color w:val="1C1C1C"/>
        </w:rPr>
        <w:t>assurance was provided</w:t>
      </w:r>
      <w:r>
        <w:rPr>
          <w:color w:val="5D5D5D"/>
        </w:rPr>
        <w:t>.</w:t>
      </w:r>
      <w:r>
        <w:rPr>
          <w:color w:val="5D5D5D"/>
          <w:spacing w:val="-13"/>
        </w:rPr>
        <w:t> </w:t>
      </w:r>
      <w:r>
        <w:rPr>
          <w:color w:val="1C1C1C"/>
        </w:rPr>
        <w:t>The </w:t>
      </w:r>
      <w:r>
        <w:rPr>
          <w:color w:val="3D3D3D"/>
        </w:rPr>
        <w:t>identified </w:t>
      </w:r>
      <w:r>
        <w:rPr>
          <w:color w:val="1C1C1C"/>
        </w:rPr>
        <w:t>actions </w:t>
      </w:r>
      <w:r>
        <w:rPr>
          <w:color w:val="3D3D3D"/>
        </w:rPr>
        <w:t>to improve the processes </w:t>
      </w:r>
      <w:r>
        <w:rPr>
          <w:color w:val="1C1C1C"/>
        </w:rPr>
        <w:t>were commenced and completed in 2022/23</w:t>
      </w:r>
      <w:r>
        <w:rPr>
          <w:color w:val="5D5D5D"/>
        </w:rPr>
        <w:t>.</w:t>
      </w:r>
      <w:r>
        <w:rPr>
          <w:color w:val="5D5D5D"/>
          <w:spacing w:val="-18"/>
        </w:rPr>
        <w:t> </w:t>
      </w:r>
      <w:r>
        <w:rPr>
          <w:color w:val="1C1C1C"/>
        </w:rPr>
        <w:t>The Audit </w:t>
      </w:r>
      <w:r>
        <w:rPr>
          <w:color w:val="3D3D3D"/>
        </w:rPr>
        <w:t>Committee have requested in depth</w:t>
      </w:r>
      <w:r>
        <w:rPr>
          <w:color w:val="3D3D3D"/>
          <w:spacing w:val="-5"/>
        </w:rPr>
        <w:t> </w:t>
      </w:r>
      <w:r>
        <w:rPr>
          <w:color w:val="1C1C1C"/>
        </w:rPr>
        <w:t>reports on</w:t>
      </w:r>
      <w:r>
        <w:rPr>
          <w:color w:val="1C1C1C"/>
          <w:spacing w:val="-10"/>
        </w:rPr>
        <w:t> </w:t>
      </w:r>
      <w:r>
        <w:rPr>
          <w:color w:val="1C1C1C"/>
        </w:rPr>
        <w:t>two</w:t>
      </w:r>
      <w:r>
        <w:rPr>
          <w:color w:val="1C1C1C"/>
          <w:spacing w:val="-3"/>
        </w:rPr>
        <w:t> </w:t>
      </w:r>
      <w:r>
        <w:rPr>
          <w:color w:val="1C1C1C"/>
        </w:rPr>
        <w:t>of</w:t>
      </w:r>
      <w:r>
        <w:rPr>
          <w:color w:val="1C1C1C"/>
          <w:spacing w:val="-2"/>
        </w:rPr>
        <w:t> </w:t>
      </w:r>
      <w:r>
        <w:rPr>
          <w:color w:val="1C1C1C"/>
        </w:rPr>
        <w:t>the</w:t>
      </w:r>
      <w:r>
        <w:rPr>
          <w:color w:val="1C1C1C"/>
          <w:spacing w:val="-9"/>
        </w:rPr>
        <w:t> </w:t>
      </w:r>
      <w:r>
        <w:rPr>
          <w:color w:val="1C1C1C"/>
        </w:rPr>
        <w:t>Council's Strategic risks</w:t>
      </w:r>
      <w:r>
        <w:rPr>
          <w:color w:val="1C1C1C"/>
          <w:spacing w:val="-1"/>
        </w:rPr>
        <w:t> </w:t>
      </w:r>
      <w:r>
        <w:rPr>
          <w:color w:val="3D3D3D"/>
        </w:rPr>
        <w:t>to</w:t>
      </w:r>
      <w:r>
        <w:rPr>
          <w:color w:val="3D3D3D"/>
          <w:spacing w:val="-8"/>
        </w:rPr>
        <w:t> </w:t>
      </w:r>
      <w:r>
        <w:rPr>
          <w:color w:val="3D3D3D"/>
        </w:rPr>
        <w:t>be</w:t>
      </w:r>
      <w:r>
        <w:rPr>
          <w:color w:val="3D3D3D"/>
          <w:spacing w:val="-9"/>
        </w:rPr>
        <w:t> </w:t>
      </w:r>
      <w:r>
        <w:rPr>
          <w:color w:val="3D3D3D"/>
        </w:rPr>
        <w:t>presented by</w:t>
      </w:r>
      <w:r>
        <w:rPr>
          <w:color w:val="3D3D3D"/>
          <w:spacing w:val="-2"/>
        </w:rPr>
        <w:t> </w:t>
      </w:r>
      <w:r>
        <w:rPr>
          <w:color w:val="3D3D3D"/>
        </w:rPr>
        <w:t>risk</w:t>
      </w:r>
      <w:r>
        <w:rPr>
          <w:color w:val="3D3D3D"/>
          <w:spacing w:val="-1"/>
        </w:rPr>
        <w:t> </w:t>
      </w:r>
      <w:r>
        <w:rPr>
          <w:color w:val="3D3D3D"/>
        </w:rPr>
        <w:t>owners at</w:t>
      </w:r>
      <w:r>
        <w:rPr>
          <w:color w:val="3D3D3D"/>
          <w:spacing w:val="-10"/>
        </w:rPr>
        <w:t> </w:t>
      </w:r>
      <w:r>
        <w:rPr>
          <w:color w:val="3D3D3D"/>
        </w:rPr>
        <w:t>each</w:t>
      </w:r>
      <w:r>
        <w:rPr>
          <w:color w:val="3D3D3D"/>
          <w:spacing w:val="-7"/>
        </w:rPr>
        <w:t> </w:t>
      </w:r>
      <w:r>
        <w:rPr>
          <w:color w:val="3D3D3D"/>
        </w:rPr>
        <w:t>meeting where risk is discussed.</w:t>
      </w:r>
    </w:p>
    <w:p>
      <w:pPr>
        <w:pStyle w:val="ListParagraph"/>
        <w:numPr>
          <w:ilvl w:val="0"/>
          <w:numId w:val="29"/>
        </w:numPr>
        <w:tabs>
          <w:tab w:val="left" w:leader="none" w:pos="1064"/>
          <w:tab w:val="left" w:leader="none" w:pos="1071"/>
        </w:tabs>
        <w:spacing w:before="252" w:after="0" w:line="240" w:lineRule="auto"/>
        <w:ind w:left="1064" w:right="228" w:hanging="702"/>
        <w:jc w:val="left"/>
        <w:rPr>
          <w:color w:val="0C0C0C"/>
          <w:sz w:val="22"/>
        </w:rPr>
      </w:pPr>
      <w:r>
        <w:rPr>
          <w:color w:val="3D3D3D"/>
          <w:sz w:val="22"/>
        </w:rPr>
        <w:tab/>
      </w:r>
      <w:r>
        <w:rPr>
          <w:color w:val="0C0C0C"/>
          <w:sz w:val="22"/>
        </w:rPr>
        <w:t>Regular reporting to</w:t>
      </w:r>
      <w:r>
        <w:rPr>
          <w:color w:val="0C0C0C"/>
          <w:spacing w:val="-5"/>
          <w:sz w:val="22"/>
        </w:rPr>
        <w:t> </w:t>
      </w:r>
      <w:r>
        <w:rPr>
          <w:color w:val="1C1C1C"/>
          <w:sz w:val="22"/>
        </w:rPr>
        <w:t>the </w:t>
      </w:r>
      <w:r>
        <w:rPr>
          <w:color w:val="0C0C0C"/>
          <w:sz w:val="22"/>
        </w:rPr>
        <w:t>Audit Committee on</w:t>
      </w:r>
      <w:r>
        <w:rPr>
          <w:color w:val="0C0C0C"/>
          <w:spacing w:val="-13"/>
          <w:sz w:val="22"/>
        </w:rPr>
        <w:t> </w:t>
      </w:r>
      <w:r>
        <w:rPr>
          <w:color w:val="0C0C0C"/>
          <w:sz w:val="22"/>
        </w:rPr>
        <w:t>the</w:t>
      </w:r>
      <w:r>
        <w:rPr>
          <w:color w:val="0C0C0C"/>
          <w:spacing w:val="-2"/>
          <w:sz w:val="22"/>
        </w:rPr>
        <w:t> </w:t>
      </w:r>
      <w:r>
        <w:rPr>
          <w:color w:val="0C0C0C"/>
          <w:sz w:val="22"/>
        </w:rPr>
        <w:t>Council's strategic </w:t>
      </w:r>
      <w:r>
        <w:rPr>
          <w:color w:val="1C1C1C"/>
          <w:sz w:val="22"/>
        </w:rPr>
        <w:t>risks </w:t>
      </w:r>
      <w:r>
        <w:rPr>
          <w:color w:val="0C0C0C"/>
          <w:sz w:val="22"/>
        </w:rPr>
        <w:t>is in</w:t>
      </w:r>
      <w:r>
        <w:rPr>
          <w:color w:val="0C0C0C"/>
          <w:spacing w:val="-8"/>
          <w:sz w:val="22"/>
        </w:rPr>
        <w:t> </w:t>
      </w:r>
      <w:r>
        <w:rPr>
          <w:color w:val="0C0C0C"/>
          <w:sz w:val="22"/>
        </w:rPr>
        <w:t>place. The Council's risks</w:t>
      </w:r>
      <w:r>
        <w:rPr>
          <w:color w:val="0C0C0C"/>
          <w:spacing w:val="-3"/>
          <w:sz w:val="22"/>
        </w:rPr>
        <w:t> </w:t>
      </w:r>
      <w:r>
        <w:rPr>
          <w:color w:val="0C0C0C"/>
          <w:sz w:val="22"/>
        </w:rPr>
        <w:t>are</w:t>
      </w:r>
      <w:r>
        <w:rPr>
          <w:color w:val="0C0C0C"/>
          <w:spacing w:val="-7"/>
          <w:sz w:val="22"/>
        </w:rPr>
        <w:t> </w:t>
      </w:r>
      <w:r>
        <w:rPr>
          <w:color w:val="0C0C0C"/>
          <w:sz w:val="22"/>
        </w:rPr>
        <w:t>recorded</w:t>
      </w:r>
      <w:r>
        <w:rPr>
          <w:color w:val="0C0C0C"/>
          <w:spacing w:val="-5"/>
          <w:sz w:val="22"/>
        </w:rPr>
        <w:t> </w:t>
      </w:r>
      <w:r>
        <w:rPr>
          <w:color w:val="0C0C0C"/>
          <w:sz w:val="22"/>
        </w:rPr>
        <w:t>on</w:t>
      </w:r>
      <w:r>
        <w:rPr>
          <w:color w:val="0C0C0C"/>
          <w:spacing w:val="-14"/>
          <w:sz w:val="22"/>
        </w:rPr>
        <w:t> </w:t>
      </w:r>
      <w:r>
        <w:rPr>
          <w:color w:val="0C0C0C"/>
          <w:sz w:val="22"/>
        </w:rPr>
        <w:t>Pentana, the</w:t>
      </w:r>
      <w:r>
        <w:rPr>
          <w:color w:val="0C0C0C"/>
          <w:spacing w:val="-14"/>
          <w:sz w:val="22"/>
        </w:rPr>
        <w:t> </w:t>
      </w:r>
      <w:r>
        <w:rPr>
          <w:color w:val="0C0C0C"/>
          <w:sz w:val="22"/>
        </w:rPr>
        <w:t>Council's performance and</w:t>
      </w:r>
      <w:r>
        <w:rPr>
          <w:color w:val="0C0C0C"/>
          <w:spacing w:val="-8"/>
          <w:sz w:val="22"/>
        </w:rPr>
        <w:t> </w:t>
      </w:r>
      <w:r>
        <w:rPr>
          <w:color w:val="0C0C0C"/>
          <w:sz w:val="22"/>
        </w:rPr>
        <w:t>risk</w:t>
      </w:r>
      <w:r>
        <w:rPr>
          <w:color w:val="0C0C0C"/>
          <w:spacing w:val="-4"/>
          <w:sz w:val="22"/>
        </w:rPr>
        <w:t> </w:t>
      </w:r>
      <w:r>
        <w:rPr>
          <w:color w:val="0C0C0C"/>
          <w:sz w:val="22"/>
        </w:rPr>
        <w:t>management</w:t>
      </w:r>
      <w:r>
        <w:rPr>
          <w:color w:val="0C0C0C"/>
          <w:spacing w:val="18"/>
          <w:sz w:val="22"/>
        </w:rPr>
        <w:t> </w:t>
      </w:r>
      <w:r>
        <w:rPr>
          <w:color w:val="0C0C0C"/>
          <w:sz w:val="22"/>
        </w:rPr>
        <w:t>software, so</w:t>
      </w:r>
      <w:r>
        <w:rPr>
          <w:color w:val="0C0C0C"/>
          <w:spacing w:val="-12"/>
          <w:sz w:val="22"/>
        </w:rPr>
        <w:t> </w:t>
      </w:r>
      <w:r>
        <w:rPr>
          <w:color w:val="0C0C0C"/>
          <w:sz w:val="22"/>
        </w:rPr>
        <w:t>there is one central record of the Council's risks.</w:t>
      </w:r>
    </w:p>
    <w:p>
      <w:pPr>
        <w:pStyle w:val="BodyText"/>
        <w:rPr>
          <w:sz w:val="21"/>
        </w:rPr>
      </w:pPr>
    </w:p>
    <w:p>
      <w:pPr>
        <w:pStyle w:val="BodyText"/>
        <w:spacing w:before="26"/>
        <w:rPr>
          <w:sz w:val="21"/>
        </w:rPr>
      </w:pPr>
    </w:p>
    <w:p>
      <w:pPr>
        <w:spacing w:before="0"/>
        <w:ind w:left="1067" w:right="0" w:firstLine="0"/>
        <w:jc w:val="left"/>
        <w:rPr>
          <w:b/>
          <w:sz w:val="21"/>
        </w:rPr>
      </w:pPr>
      <w:r>
        <w:rPr>
          <w:b/>
          <w:color w:val="1C1C1C"/>
          <w:spacing w:val="-2"/>
          <w:w w:val="105"/>
          <w:sz w:val="21"/>
          <w:u w:val="thick" w:color="0C0C0C"/>
        </w:rPr>
        <w:t>SIGNIFICANT</w:t>
      </w:r>
      <w:r>
        <w:rPr>
          <w:b/>
          <w:color w:val="1C1C1C"/>
          <w:spacing w:val="6"/>
          <w:w w:val="105"/>
          <w:sz w:val="21"/>
          <w:u w:val="thick" w:color="0C0C0C"/>
        </w:rPr>
        <w:t> </w:t>
      </w:r>
      <w:r>
        <w:rPr>
          <w:b/>
          <w:color w:val="1C1C1C"/>
          <w:spacing w:val="-2"/>
          <w:w w:val="105"/>
          <w:sz w:val="21"/>
          <w:u w:val="thick" w:color="0C0C0C"/>
        </w:rPr>
        <w:t>GOVERNANCE</w:t>
      </w:r>
      <w:r>
        <w:rPr>
          <w:b/>
          <w:color w:val="1C1C1C"/>
          <w:spacing w:val="12"/>
          <w:w w:val="105"/>
          <w:sz w:val="21"/>
          <w:u w:val="thick" w:color="0C0C0C"/>
        </w:rPr>
        <w:t> </w:t>
      </w:r>
      <w:r>
        <w:rPr>
          <w:b/>
          <w:color w:val="0C0C0C"/>
          <w:spacing w:val="-2"/>
          <w:w w:val="105"/>
          <w:sz w:val="21"/>
          <w:u w:val="thick" w:color="0C0C0C"/>
        </w:rPr>
        <w:t>ISSUES</w:t>
      </w:r>
    </w:p>
    <w:p>
      <w:pPr>
        <w:pStyle w:val="BodyText"/>
        <w:spacing w:before="17"/>
        <w:rPr>
          <w:b/>
          <w:sz w:val="21"/>
        </w:rPr>
      </w:pPr>
    </w:p>
    <w:p>
      <w:pPr>
        <w:pStyle w:val="ListParagraph"/>
        <w:numPr>
          <w:ilvl w:val="0"/>
          <w:numId w:val="29"/>
        </w:numPr>
        <w:tabs>
          <w:tab w:val="left" w:leader="none" w:pos="1047"/>
          <w:tab w:val="left" w:leader="none" w:pos="1049"/>
        </w:tabs>
        <w:spacing w:before="0" w:after="0" w:line="240" w:lineRule="auto"/>
        <w:ind w:left="1047" w:right="157" w:hanging="704"/>
        <w:jc w:val="left"/>
        <w:rPr>
          <w:color w:val="0C0C0C"/>
          <w:sz w:val="22"/>
        </w:rPr>
      </w:pPr>
      <w:r>
        <w:rPr>
          <w:color w:val="5D5D5D"/>
          <w:sz w:val="22"/>
        </w:rPr>
        <w:tab/>
      </w:r>
      <w:r>
        <w:rPr>
          <w:color w:val="0C0C0C"/>
          <w:sz w:val="22"/>
        </w:rPr>
        <w:t>In</w:t>
      </w:r>
      <w:r>
        <w:rPr>
          <w:color w:val="0C0C0C"/>
          <w:spacing w:val="-20"/>
          <w:sz w:val="22"/>
        </w:rPr>
        <w:t> </w:t>
      </w:r>
      <w:r>
        <w:rPr>
          <w:color w:val="0C0C0C"/>
          <w:sz w:val="22"/>
        </w:rPr>
        <w:t>reviewing and</w:t>
      </w:r>
      <w:r>
        <w:rPr>
          <w:color w:val="0C0C0C"/>
          <w:spacing w:val="-10"/>
          <w:sz w:val="22"/>
        </w:rPr>
        <w:t> </w:t>
      </w:r>
      <w:r>
        <w:rPr>
          <w:color w:val="0C0C0C"/>
          <w:sz w:val="22"/>
        </w:rPr>
        <w:t>approving the</w:t>
      </w:r>
      <w:r>
        <w:rPr>
          <w:color w:val="0C0C0C"/>
          <w:spacing w:val="-3"/>
          <w:sz w:val="22"/>
        </w:rPr>
        <w:t> </w:t>
      </w:r>
      <w:r>
        <w:rPr>
          <w:color w:val="1C1C1C"/>
          <w:sz w:val="22"/>
        </w:rPr>
        <w:t>AGS,</w:t>
      </w:r>
      <w:r>
        <w:rPr>
          <w:color w:val="1C1C1C"/>
          <w:spacing w:val="-5"/>
          <w:sz w:val="22"/>
        </w:rPr>
        <w:t> </w:t>
      </w:r>
      <w:r>
        <w:rPr>
          <w:color w:val="0C0C0C"/>
          <w:sz w:val="22"/>
        </w:rPr>
        <w:t>officers</w:t>
      </w:r>
      <w:r>
        <w:rPr>
          <w:color w:val="0C0C0C"/>
          <w:spacing w:val="-2"/>
          <w:sz w:val="22"/>
        </w:rPr>
        <w:t> </w:t>
      </w:r>
      <w:r>
        <w:rPr>
          <w:color w:val="1C1C1C"/>
          <w:sz w:val="22"/>
        </w:rPr>
        <w:t>and</w:t>
      </w:r>
      <w:r>
        <w:rPr>
          <w:color w:val="1C1C1C"/>
          <w:spacing w:val="-11"/>
          <w:sz w:val="22"/>
        </w:rPr>
        <w:t> </w:t>
      </w:r>
      <w:r>
        <w:rPr>
          <w:color w:val="1C1C1C"/>
          <w:sz w:val="22"/>
        </w:rPr>
        <w:t>Members </w:t>
      </w:r>
      <w:r>
        <w:rPr>
          <w:color w:val="0C0C0C"/>
          <w:sz w:val="22"/>
        </w:rPr>
        <w:t>require </w:t>
      </w:r>
      <w:r>
        <w:rPr>
          <w:color w:val="1C1C1C"/>
          <w:sz w:val="22"/>
        </w:rPr>
        <w:t>assurances </w:t>
      </w:r>
      <w:r>
        <w:rPr>
          <w:color w:val="0C0C0C"/>
          <w:sz w:val="22"/>
        </w:rPr>
        <w:t>on</w:t>
      </w:r>
      <w:r>
        <w:rPr>
          <w:color w:val="0C0C0C"/>
          <w:spacing w:val="-15"/>
          <w:sz w:val="22"/>
        </w:rPr>
        <w:t> </w:t>
      </w:r>
      <w:r>
        <w:rPr>
          <w:color w:val="0C0C0C"/>
          <w:sz w:val="22"/>
        </w:rPr>
        <w:t>the</w:t>
      </w:r>
      <w:r>
        <w:rPr>
          <w:color w:val="0C0C0C"/>
          <w:spacing w:val="-2"/>
          <w:sz w:val="22"/>
        </w:rPr>
        <w:t> </w:t>
      </w:r>
      <w:r>
        <w:rPr>
          <w:color w:val="1C1C1C"/>
          <w:sz w:val="22"/>
        </w:rPr>
        <w:t>effectiveness </w:t>
      </w:r>
      <w:r>
        <w:rPr>
          <w:color w:val="0C0C0C"/>
          <w:sz w:val="22"/>
        </w:rPr>
        <w:t>of the </w:t>
      </w:r>
      <w:r>
        <w:rPr>
          <w:color w:val="1C1C1C"/>
          <w:sz w:val="22"/>
        </w:rPr>
        <w:t>governance framework</w:t>
      </w:r>
      <w:r>
        <w:rPr>
          <w:color w:val="1C1C1C"/>
          <w:spacing w:val="34"/>
          <w:sz w:val="22"/>
        </w:rPr>
        <w:t> </w:t>
      </w:r>
      <w:r>
        <w:rPr>
          <w:color w:val="0C0C0C"/>
          <w:sz w:val="22"/>
        </w:rPr>
        <w:t>and</w:t>
      </w:r>
      <w:r>
        <w:rPr>
          <w:color w:val="0C0C0C"/>
          <w:spacing w:val="-1"/>
          <w:sz w:val="22"/>
        </w:rPr>
        <w:t> </w:t>
      </w:r>
      <w:r>
        <w:rPr>
          <w:color w:val="1C1C1C"/>
          <w:sz w:val="22"/>
        </w:rPr>
        <w:t>how this addresses the </w:t>
      </w:r>
      <w:r>
        <w:rPr>
          <w:color w:val="0C0C0C"/>
          <w:sz w:val="22"/>
        </w:rPr>
        <w:t>key risks </w:t>
      </w:r>
      <w:r>
        <w:rPr>
          <w:color w:val="1C1C1C"/>
          <w:sz w:val="22"/>
        </w:rPr>
        <w:t>faced </w:t>
      </w:r>
      <w:r>
        <w:rPr>
          <w:color w:val="0C0C0C"/>
          <w:sz w:val="22"/>
        </w:rPr>
        <w:t>by the Council</w:t>
      </w:r>
      <w:r>
        <w:rPr>
          <w:color w:val="3D3D3D"/>
          <w:sz w:val="22"/>
        </w:rPr>
        <w:t>,</w:t>
      </w:r>
      <w:r>
        <w:rPr>
          <w:color w:val="3D3D3D"/>
          <w:spacing w:val="-15"/>
          <w:sz w:val="22"/>
        </w:rPr>
        <w:t> </w:t>
      </w:r>
      <w:r>
        <w:rPr>
          <w:color w:val="1C1C1C"/>
          <w:sz w:val="22"/>
        </w:rPr>
        <w:t>taking </w:t>
      </w:r>
      <w:r>
        <w:rPr>
          <w:color w:val="0C0C0C"/>
          <w:sz w:val="22"/>
        </w:rPr>
        <w:t>account of changing risks and circumstances.</w:t>
      </w:r>
    </w:p>
    <w:p>
      <w:pPr>
        <w:pStyle w:val="BodyText"/>
        <w:spacing w:before="2"/>
      </w:pPr>
    </w:p>
    <w:p>
      <w:pPr>
        <w:pStyle w:val="ListParagraph"/>
        <w:numPr>
          <w:ilvl w:val="0"/>
          <w:numId w:val="29"/>
        </w:numPr>
        <w:tabs>
          <w:tab w:val="left" w:leader="none" w:pos="1037"/>
          <w:tab w:val="left" w:leader="none" w:pos="1043"/>
        </w:tabs>
        <w:spacing w:before="0" w:after="0" w:line="240" w:lineRule="auto"/>
        <w:ind w:left="1037" w:right="372" w:hanging="713"/>
        <w:jc w:val="left"/>
        <w:rPr>
          <w:color w:val="0C0C0C"/>
          <w:sz w:val="22"/>
        </w:rPr>
      </w:pPr>
      <w:r>
        <w:rPr>
          <w:color w:val="0C0C0C"/>
          <w:sz w:val="22"/>
        </w:rPr>
        <w:tab/>
      </w:r>
      <w:r>
        <w:rPr>
          <w:color w:val="1C1C1C"/>
          <w:sz w:val="22"/>
        </w:rPr>
        <w:t>Management</w:t>
      </w:r>
      <w:r>
        <w:rPr>
          <w:color w:val="1C1C1C"/>
          <w:spacing w:val="33"/>
          <w:sz w:val="22"/>
        </w:rPr>
        <w:t> </w:t>
      </w:r>
      <w:r>
        <w:rPr>
          <w:color w:val="1C1C1C"/>
          <w:sz w:val="22"/>
        </w:rPr>
        <w:t>from across </w:t>
      </w:r>
      <w:r>
        <w:rPr>
          <w:color w:val="3D3D3D"/>
          <w:sz w:val="22"/>
        </w:rPr>
        <w:t>the</w:t>
      </w:r>
      <w:r>
        <w:rPr>
          <w:color w:val="3D3D3D"/>
          <w:spacing w:val="-2"/>
          <w:sz w:val="22"/>
        </w:rPr>
        <w:t> </w:t>
      </w:r>
      <w:r>
        <w:rPr>
          <w:color w:val="1C1C1C"/>
          <w:sz w:val="22"/>
        </w:rPr>
        <w:t>Council have provided </w:t>
      </w:r>
      <w:r>
        <w:rPr>
          <w:color w:val="0C0C0C"/>
          <w:sz w:val="22"/>
        </w:rPr>
        <w:t>the primary source </w:t>
      </w:r>
      <w:r>
        <w:rPr>
          <w:color w:val="1C1C1C"/>
          <w:sz w:val="22"/>
        </w:rPr>
        <w:t>of assurance </w:t>
      </w:r>
      <w:r>
        <w:rPr>
          <w:color w:val="0C0C0C"/>
          <w:sz w:val="22"/>
        </w:rPr>
        <w:t>-</w:t>
      </w:r>
      <w:r>
        <w:rPr>
          <w:color w:val="0C0C0C"/>
          <w:spacing w:val="40"/>
          <w:sz w:val="22"/>
        </w:rPr>
        <w:t> </w:t>
      </w:r>
      <w:r>
        <w:rPr>
          <w:color w:val="0C0C0C"/>
          <w:sz w:val="22"/>
        </w:rPr>
        <w:t>this is </w:t>
      </w:r>
      <w:r>
        <w:rPr>
          <w:color w:val="1C1C1C"/>
          <w:sz w:val="22"/>
        </w:rPr>
        <w:t>evidenced</w:t>
      </w:r>
      <w:r>
        <w:rPr>
          <w:color w:val="1C1C1C"/>
          <w:spacing w:val="-4"/>
          <w:sz w:val="22"/>
        </w:rPr>
        <w:t> </w:t>
      </w:r>
      <w:r>
        <w:rPr>
          <w:color w:val="1C1C1C"/>
          <w:sz w:val="22"/>
        </w:rPr>
        <w:t>by the</w:t>
      </w:r>
      <w:r>
        <w:rPr>
          <w:color w:val="1C1C1C"/>
          <w:spacing w:val="-9"/>
          <w:sz w:val="22"/>
        </w:rPr>
        <w:t> </w:t>
      </w:r>
      <w:r>
        <w:rPr>
          <w:color w:val="1C1C1C"/>
          <w:sz w:val="22"/>
        </w:rPr>
        <w:t>Managing</w:t>
      </w:r>
      <w:r>
        <w:rPr>
          <w:color w:val="1C1C1C"/>
          <w:spacing w:val="-1"/>
          <w:sz w:val="22"/>
        </w:rPr>
        <w:t> </w:t>
      </w:r>
      <w:r>
        <w:rPr>
          <w:color w:val="1C1C1C"/>
          <w:sz w:val="22"/>
        </w:rPr>
        <w:t>Director</w:t>
      </w:r>
      <w:r>
        <w:rPr>
          <w:color w:val="5D5D5D"/>
          <w:sz w:val="22"/>
        </w:rPr>
        <w:t>,</w:t>
      </w:r>
      <w:r>
        <w:rPr>
          <w:color w:val="5D5D5D"/>
          <w:spacing w:val="-16"/>
          <w:sz w:val="22"/>
        </w:rPr>
        <w:t> </w:t>
      </w:r>
      <w:r>
        <w:rPr>
          <w:color w:val="1C1C1C"/>
          <w:sz w:val="22"/>
        </w:rPr>
        <w:t>Executive Director </w:t>
      </w:r>
      <w:r>
        <w:rPr>
          <w:color w:val="0C0C0C"/>
          <w:sz w:val="22"/>
        </w:rPr>
        <w:t>and</w:t>
      </w:r>
      <w:r>
        <w:rPr>
          <w:color w:val="0C0C0C"/>
          <w:spacing w:val="-16"/>
          <w:sz w:val="22"/>
        </w:rPr>
        <w:t> </w:t>
      </w:r>
      <w:r>
        <w:rPr>
          <w:color w:val="0C0C0C"/>
          <w:sz w:val="22"/>
        </w:rPr>
        <w:t>Heads of</w:t>
      </w:r>
      <w:r>
        <w:rPr>
          <w:color w:val="0C0C0C"/>
          <w:spacing w:val="-3"/>
          <w:sz w:val="22"/>
        </w:rPr>
        <w:t> </w:t>
      </w:r>
      <w:r>
        <w:rPr>
          <w:color w:val="0C0C0C"/>
          <w:sz w:val="22"/>
        </w:rPr>
        <w:t>Service</w:t>
      </w:r>
      <w:r>
        <w:rPr>
          <w:color w:val="0C0C0C"/>
          <w:spacing w:val="-2"/>
          <w:sz w:val="22"/>
        </w:rPr>
        <w:t> </w:t>
      </w:r>
      <w:r>
        <w:rPr>
          <w:color w:val="1C1C1C"/>
          <w:sz w:val="22"/>
        </w:rPr>
        <w:t>(including </w:t>
      </w:r>
      <w:r>
        <w:rPr>
          <w:color w:val="0C0C0C"/>
          <w:sz w:val="22"/>
        </w:rPr>
        <w:t>statutory </w:t>
      </w:r>
      <w:r>
        <w:rPr>
          <w:color w:val="1C1C1C"/>
          <w:sz w:val="22"/>
        </w:rPr>
        <w:t>officers)</w:t>
      </w:r>
      <w:r>
        <w:rPr>
          <w:color w:val="1C1C1C"/>
          <w:spacing w:val="-1"/>
          <w:sz w:val="22"/>
        </w:rPr>
        <w:t> </w:t>
      </w:r>
      <w:r>
        <w:rPr>
          <w:color w:val="1C1C1C"/>
          <w:sz w:val="22"/>
        </w:rPr>
        <w:t>producing a</w:t>
      </w:r>
      <w:r>
        <w:rPr>
          <w:color w:val="1C1C1C"/>
          <w:spacing w:val="-10"/>
          <w:sz w:val="22"/>
        </w:rPr>
        <w:t> </w:t>
      </w:r>
      <w:r>
        <w:rPr>
          <w:color w:val="1C1C1C"/>
          <w:sz w:val="22"/>
        </w:rPr>
        <w:t>signed</w:t>
      </w:r>
      <w:r>
        <w:rPr>
          <w:color w:val="1C1C1C"/>
          <w:spacing w:val="-1"/>
          <w:sz w:val="22"/>
        </w:rPr>
        <w:t> </w:t>
      </w:r>
      <w:r>
        <w:rPr>
          <w:color w:val="1C1C1C"/>
          <w:sz w:val="22"/>
        </w:rPr>
        <w:t>Service</w:t>
      </w:r>
      <w:r>
        <w:rPr>
          <w:color w:val="1C1C1C"/>
          <w:spacing w:val="-8"/>
          <w:sz w:val="22"/>
        </w:rPr>
        <w:t> </w:t>
      </w:r>
      <w:r>
        <w:rPr>
          <w:color w:val="1C1C1C"/>
          <w:sz w:val="22"/>
        </w:rPr>
        <w:t>Assurance Statement. </w:t>
      </w:r>
      <w:r>
        <w:rPr>
          <w:color w:val="0C0C0C"/>
          <w:sz w:val="22"/>
        </w:rPr>
        <w:t>This</w:t>
      </w:r>
      <w:r>
        <w:rPr>
          <w:color w:val="0C0C0C"/>
          <w:spacing w:val="-6"/>
          <w:sz w:val="22"/>
        </w:rPr>
        <w:t> </w:t>
      </w:r>
      <w:r>
        <w:rPr>
          <w:color w:val="0C0C0C"/>
          <w:sz w:val="22"/>
        </w:rPr>
        <w:t>certifies the</w:t>
      </w:r>
      <w:r>
        <w:rPr>
          <w:color w:val="0C0C0C"/>
          <w:spacing w:val="-7"/>
          <w:sz w:val="22"/>
        </w:rPr>
        <w:t> </w:t>
      </w:r>
      <w:r>
        <w:rPr>
          <w:color w:val="0C0C0C"/>
          <w:sz w:val="22"/>
        </w:rPr>
        <w:t>effective operation of </w:t>
      </w:r>
      <w:r>
        <w:rPr>
          <w:color w:val="1C1C1C"/>
          <w:sz w:val="22"/>
        </w:rPr>
        <w:t>the control environment in</w:t>
      </w:r>
      <w:r>
        <w:rPr>
          <w:color w:val="1C1C1C"/>
          <w:spacing w:val="-3"/>
          <w:sz w:val="22"/>
        </w:rPr>
        <w:t> </w:t>
      </w:r>
      <w:r>
        <w:rPr>
          <w:color w:val="1C1C1C"/>
          <w:sz w:val="22"/>
        </w:rPr>
        <w:t>their Directorate and</w:t>
      </w:r>
      <w:r>
        <w:rPr>
          <w:color w:val="1C1C1C"/>
          <w:spacing w:val="-5"/>
          <w:sz w:val="22"/>
        </w:rPr>
        <w:t> </w:t>
      </w:r>
      <w:r>
        <w:rPr>
          <w:color w:val="1C1C1C"/>
          <w:sz w:val="22"/>
        </w:rPr>
        <w:t>Service </w:t>
      </w:r>
      <w:r>
        <w:rPr>
          <w:color w:val="0C0C0C"/>
          <w:sz w:val="22"/>
        </w:rPr>
        <w:t>Areas, including arrangements for:</w:t>
      </w:r>
    </w:p>
    <w:p>
      <w:pPr>
        <w:pStyle w:val="BodyText"/>
        <w:spacing w:before="4"/>
      </w:pPr>
    </w:p>
    <w:p>
      <w:pPr>
        <w:pStyle w:val="ListParagraph"/>
        <w:numPr>
          <w:ilvl w:val="1"/>
          <w:numId w:val="29"/>
        </w:numPr>
        <w:tabs>
          <w:tab w:val="left" w:leader="none" w:pos="1443"/>
        </w:tabs>
        <w:spacing w:before="0" w:after="0" w:line="240" w:lineRule="auto"/>
        <w:ind w:left="1443" w:right="0" w:hanging="420"/>
        <w:jc w:val="left"/>
        <w:rPr>
          <w:color w:val="0C0C0C"/>
          <w:sz w:val="22"/>
        </w:rPr>
      </w:pPr>
      <w:r>
        <w:rPr>
          <w:color w:val="0C0C0C"/>
          <w:sz w:val="22"/>
        </w:rPr>
        <w:t>Internal</w:t>
      </w:r>
      <w:r>
        <w:rPr>
          <w:color w:val="0C0C0C"/>
          <w:spacing w:val="11"/>
          <w:sz w:val="22"/>
        </w:rPr>
        <w:t> </w:t>
      </w:r>
      <w:r>
        <w:rPr>
          <w:color w:val="0C0C0C"/>
          <w:spacing w:val="-2"/>
          <w:sz w:val="22"/>
        </w:rPr>
        <w:t>controls,</w:t>
      </w:r>
    </w:p>
    <w:p>
      <w:pPr>
        <w:pStyle w:val="ListParagraph"/>
        <w:numPr>
          <w:ilvl w:val="1"/>
          <w:numId w:val="29"/>
        </w:numPr>
        <w:tabs>
          <w:tab w:val="left" w:leader="none" w:pos="1442"/>
        </w:tabs>
        <w:spacing w:before="64" w:after="0" w:line="240" w:lineRule="auto"/>
        <w:ind w:left="1442" w:right="0" w:hanging="426"/>
        <w:jc w:val="left"/>
        <w:rPr>
          <w:color w:val="0C0C0C"/>
          <w:sz w:val="22"/>
        </w:rPr>
      </w:pPr>
      <w:r>
        <w:rPr>
          <w:color w:val="0C0C0C"/>
          <w:spacing w:val="-2"/>
          <w:sz w:val="22"/>
        </w:rPr>
        <w:t>Governance,</w:t>
      </w:r>
    </w:p>
    <w:p>
      <w:pPr>
        <w:pStyle w:val="ListParagraph"/>
        <w:numPr>
          <w:ilvl w:val="1"/>
          <w:numId w:val="29"/>
        </w:numPr>
        <w:tabs>
          <w:tab w:val="left" w:leader="none" w:pos="1436"/>
        </w:tabs>
        <w:spacing w:before="60" w:after="0" w:line="240" w:lineRule="auto"/>
        <w:ind w:left="1436" w:right="0" w:hanging="419"/>
        <w:jc w:val="left"/>
        <w:rPr>
          <w:color w:val="0C0C0C"/>
          <w:sz w:val="22"/>
        </w:rPr>
      </w:pPr>
      <w:r>
        <w:rPr>
          <w:color w:val="0C0C0C"/>
          <w:sz w:val="22"/>
        </w:rPr>
        <w:t>Financial</w:t>
      </w:r>
      <w:r>
        <w:rPr>
          <w:color w:val="0C0C0C"/>
          <w:spacing w:val="2"/>
          <w:sz w:val="22"/>
        </w:rPr>
        <w:t> </w:t>
      </w:r>
      <w:r>
        <w:rPr>
          <w:color w:val="0C0C0C"/>
          <w:sz w:val="22"/>
        </w:rPr>
        <w:t>and</w:t>
      </w:r>
      <w:r>
        <w:rPr>
          <w:color w:val="0C0C0C"/>
          <w:spacing w:val="-13"/>
          <w:sz w:val="22"/>
        </w:rPr>
        <w:t> </w:t>
      </w:r>
      <w:r>
        <w:rPr>
          <w:color w:val="0C0C0C"/>
          <w:sz w:val="22"/>
        </w:rPr>
        <w:t>Non-Financial</w:t>
      </w:r>
      <w:r>
        <w:rPr>
          <w:color w:val="0C0C0C"/>
          <w:spacing w:val="-3"/>
          <w:sz w:val="22"/>
        </w:rPr>
        <w:t> </w:t>
      </w:r>
      <w:r>
        <w:rPr>
          <w:color w:val="0C0C0C"/>
          <w:sz w:val="22"/>
        </w:rPr>
        <w:t>Performance,</w:t>
      </w:r>
      <w:r>
        <w:rPr>
          <w:color w:val="0C0C0C"/>
          <w:spacing w:val="8"/>
          <w:sz w:val="22"/>
        </w:rPr>
        <w:t> </w:t>
      </w:r>
      <w:r>
        <w:rPr>
          <w:color w:val="0C0C0C"/>
          <w:spacing w:val="-5"/>
          <w:sz w:val="22"/>
        </w:rPr>
        <w:t>and</w:t>
      </w:r>
    </w:p>
    <w:p>
      <w:pPr>
        <w:pStyle w:val="ListParagraph"/>
        <w:numPr>
          <w:ilvl w:val="1"/>
          <w:numId w:val="29"/>
        </w:numPr>
        <w:tabs>
          <w:tab w:val="left" w:leader="none" w:pos="1431"/>
        </w:tabs>
        <w:spacing w:before="59" w:after="0" w:line="240" w:lineRule="auto"/>
        <w:ind w:left="1431" w:right="0" w:hanging="422"/>
        <w:jc w:val="left"/>
        <w:rPr>
          <w:color w:val="0C0C0C"/>
          <w:sz w:val="22"/>
        </w:rPr>
      </w:pPr>
      <w:r>
        <w:rPr>
          <w:color w:val="0C0C0C"/>
          <w:sz w:val="22"/>
        </w:rPr>
        <w:t>Risk</w:t>
      </w:r>
      <w:r>
        <w:rPr>
          <w:color w:val="0C0C0C"/>
          <w:spacing w:val="6"/>
          <w:sz w:val="22"/>
        </w:rPr>
        <w:t> </w:t>
      </w:r>
      <w:r>
        <w:rPr>
          <w:color w:val="0C0C0C"/>
          <w:spacing w:val="-2"/>
          <w:sz w:val="22"/>
        </w:rPr>
        <w:t>Management.</w:t>
      </w:r>
    </w:p>
    <w:p>
      <w:pPr>
        <w:pStyle w:val="ListParagraph"/>
        <w:numPr>
          <w:ilvl w:val="0"/>
          <w:numId w:val="29"/>
        </w:numPr>
        <w:tabs>
          <w:tab w:val="left" w:leader="none" w:pos="1001"/>
          <w:tab w:val="left" w:leader="none" w:pos="1014"/>
        </w:tabs>
        <w:spacing w:before="247" w:after="0" w:line="240" w:lineRule="auto"/>
        <w:ind w:left="1001" w:right="262" w:hanging="711"/>
        <w:jc w:val="left"/>
        <w:rPr>
          <w:color w:val="0C0C0C"/>
          <w:sz w:val="22"/>
        </w:rPr>
      </w:pPr>
      <w:r>
        <w:rPr>
          <w:color w:val="5D5D5D"/>
          <w:sz w:val="22"/>
        </w:rPr>
        <w:tab/>
      </w:r>
      <w:r>
        <w:rPr>
          <w:color w:val="1C1C1C"/>
          <w:sz w:val="22"/>
        </w:rPr>
        <w:t>Weaknesses or</w:t>
      </w:r>
      <w:r>
        <w:rPr>
          <w:color w:val="1C1C1C"/>
          <w:spacing w:val="-5"/>
          <w:sz w:val="22"/>
        </w:rPr>
        <w:t> </w:t>
      </w:r>
      <w:r>
        <w:rPr>
          <w:color w:val="1C1C1C"/>
          <w:sz w:val="22"/>
        </w:rPr>
        <w:t>gaps in</w:t>
      </w:r>
      <w:r>
        <w:rPr>
          <w:color w:val="1C1C1C"/>
          <w:spacing w:val="-15"/>
          <w:sz w:val="22"/>
        </w:rPr>
        <w:t> </w:t>
      </w:r>
      <w:r>
        <w:rPr>
          <w:color w:val="1C1C1C"/>
          <w:sz w:val="22"/>
        </w:rPr>
        <w:t>control</w:t>
      </w:r>
      <w:r>
        <w:rPr>
          <w:color w:val="1C1C1C"/>
          <w:spacing w:val="-3"/>
          <w:sz w:val="22"/>
        </w:rPr>
        <w:t> </w:t>
      </w:r>
      <w:r>
        <w:rPr>
          <w:color w:val="1C1C1C"/>
          <w:sz w:val="22"/>
        </w:rPr>
        <w:t>identified were</w:t>
      </w:r>
      <w:r>
        <w:rPr>
          <w:color w:val="1C1C1C"/>
          <w:spacing w:val="-6"/>
          <w:sz w:val="22"/>
        </w:rPr>
        <w:t> </w:t>
      </w:r>
      <w:r>
        <w:rPr>
          <w:color w:val="1C1C1C"/>
          <w:sz w:val="22"/>
        </w:rPr>
        <w:t>given consideration as</w:t>
      </w:r>
      <w:r>
        <w:rPr>
          <w:color w:val="1C1C1C"/>
          <w:spacing w:val="-10"/>
          <w:sz w:val="22"/>
        </w:rPr>
        <w:t> </w:t>
      </w:r>
      <w:r>
        <w:rPr>
          <w:color w:val="1C1C1C"/>
          <w:sz w:val="22"/>
        </w:rPr>
        <w:t>to</w:t>
      </w:r>
      <w:r>
        <w:rPr>
          <w:color w:val="1C1C1C"/>
          <w:spacing w:val="-9"/>
          <w:sz w:val="22"/>
        </w:rPr>
        <w:t> </w:t>
      </w:r>
      <w:r>
        <w:rPr>
          <w:color w:val="1C1C1C"/>
          <w:sz w:val="22"/>
        </w:rPr>
        <w:t>whether </w:t>
      </w:r>
      <w:r>
        <w:rPr>
          <w:color w:val="0C0C0C"/>
          <w:sz w:val="22"/>
        </w:rPr>
        <w:t>they </w:t>
      </w:r>
      <w:r>
        <w:rPr>
          <w:color w:val="1C1C1C"/>
          <w:sz w:val="22"/>
        </w:rPr>
        <w:t>constituted </w:t>
      </w:r>
      <w:r>
        <w:rPr>
          <w:color w:val="0C0C0C"/>
          <w:sz w:val="22"/>
        </w:rPr>
        <w:t>a </w:t>
      </w:r>
      <w:r>
        <w:rPr>
          <w:color w:val="1C1C1C"/>
          <w:sz w:val="22"/>
        </w:rPr>
        <w:t>significant governance issue, and</w:t>
      </w:r>
      <w:r>
        <w:rPr>
          <w:color w:val="1C1C1C"/>
          <w:spacing w:val="-5"/>
          <w:sz w:val="22"/>
        </w:rPr>
        <w:t> </w:t>
      </w:r>
      <w:r>
        <w:rPr>
          <w:color w:val="1C1C1C"/>
          <w:sz w:val="22"/>
        </w:rPr>
        <w:t>thus whether they should be included in</w:t>
      </w:r>
      <w:r>
        <w:rPr>
          <w:color w:val="1C1C1C"/>
          <w:spacing w:val="-9"/>
          <w:sz w:val="22"/>
        </w:rPr>
        <w:t> </w:t>
      </w:r>
      <w:r>
        <w:rPr>
          <w:color w:val="1C1C1C"/>
          <w:sz w:val="22"/>
        </w:rPr>
        <w:t>the AGS Action Plan. Significant governance issues should fulfil at least one of the following cr</w:t>
      </w:r>
      <w:r>
        <w:rPr>
          <w:color w:val="3D3D3D"/>
          <w:sz w:val="22"/>
        </w:rPr>
        <w:t>i</w:t>
      </w:r>
      <w:r>
        <w:rPr>
          <w:color w:val="1C1C1C"/>
          <w:sz w:val="22"/>
        </w:rPr>
        <w:t>ter</w:t>
      </w:r>
      <w:r>
        <w:rPr>
          <w:color w:val="3D3D3D"/>
          <w:sz w:val="22"/>
        </w:rPr>
        <w:t>i</w:t>
      </w:r>
      <w:r>
        <w:rPr>
          <w:color w:val="1C1C1C"/>
          <w:sz w:val="22"/>
        </w:rPr>
        <w:t>a</w:t>
      </w:r>
      <w:r>
        <w:rPr>
          <w:color w:val="5D5D5D"/>
          <w:sz w:val="22"/>
        </w:rPr>
        <w:t>:</w:t>
      </w:r>
    </w:p>
    <w:p>
      <w:pPr>
        <w:pStyle w:val="BodyText"/>
        <w:spacing w:before="6"/>
      </w:pPr>
    </w:p>
    <w:p>
      <w:pPr>
        <w:pStyle w:val="ListParagraph"/>
        <w:numPr>
          <w:ilvl w:val="1"/>
          <w:numId w:val="29"/>
        </w:numPr>
        <w:tabs>
          <w:tab w:val="left" w:leader="none" w:pos="1410"/>
          <w:tab w:val="left" w:leader="none" w:pos="1414"/>
        </w:tabs>
        <w:spacing w:before="1" w:after="0" w:line="240" w:lineRule="auto"/>
        <w:ind w:left="1410" w:right="641" w:hanging="417"/>
        <w:jc w:val="left"/>
        <w:rPr>
          <w:color w:val="0C0C0C"/>
          <w:sz w:val="22"/>
        </w:rPr>
      </w:pPr>
      <w:r>
        <w:rPr>
          <w:color w:val="0C0C0C"/>
          <w:sz w:val="22"/>
        </w:rPr>
        <w:tab/>
        <w:t>It</w:t>
      </w:r>
      <w:r>
        <w:rPr>
          <w:color w:val="0C0C0C"/>
          <w:spacing w:val="-11"/>
          <w:sz w:val="22"/>
        </w:rPr>
        <w:t> </w:t>
      </w:r>
      <w:r>
        <w:rPr>
          <w:color w:val="0C0C0C"/>
          <w:sz w:val="22"/>
        </w:rPr>
        <w:t>has seriously prejudiced or</w:t>
      </w:r>
      <w:r>
        <w:rPr>
          <w:color w:val="0C0C0C"/>
          <w:spacing w:val="-6"/>
          <w:sz w:val="22"/>
        </w:rPr>
        <w:t> </w:t>
      </w:r>
      <w:r>
        <w:rPr>
          <w:color w:val="0C0C0C"/>
          <w:sz w:val="22"/>
        </w:rPr>
        <w:t>prevented the</w:t>
      </w:r>
      <w:r>
        <w:rPr>
          <w:color w:val="0C0C0C"/>
          <w:spacing w:val="-5"/>
          <w:sz w:val="22"/>
        </w:rPr>
        <w:t> </w:t>
      </w:r>
      <w:r>
        <w:rPr>
          <w:color w:val="0C0C0C"/>
          <w:sz w:val="22"/>
        </w:rPr>
        <w:t>achievement of</w:t>
      </w:r>
      <w:r>
        <w:rPr>
          <w:color w:val="0C0C0C"/>
          <w:spacing w:val="-6"/>
          <w:sz w:val="22"/>
        </w:rPr>
        <w:t> </w:t>
      </w:r>
      <w:r>
        <w:rPr>
          <w:color w:val="0C0C0C"/>
          <w:sz w:val="22"/>
        </w:rPr>
        <w:t>a</w:t>
      </w:r>
      <w:r>
        <w:rPr>
          <w:color w:val="0C0C0C"/>
          <w:spacing w:val="-6"/>
          <w:sz w:val="22"/>
        </w:rPr>
        <w:t> </w:t>
      </w:r>
      <w:r>
        <w:rPr>
          <w:color w:val="0C0C0C"/>
          <w:sz w:val="22"/>
        </w:rPr>
        <w:t>principal</w:t>
      </w:r>
      <w:r>
        <w:rPr>
          <w:color w:val="0C0C0C"/>
          <w:spacing w:val="-1"/>
          <w:sz w:val="22"/>
        </w:rPr>
        <w:t> </w:t>
      </w:r>
      <w:r>
        <w:rPr>
          <w:color w:val="0C0C0C"/>
          <w:sz w:val="22"/>
        </w:rPr>
        <w:t>corporate or</w:t>
      </w:r>
      <w:r>
        <w:rPr>
          <w:color w:val="0C0C0C"/>
          <w:spacing w:val="-9"/>
          <w:sz w:val="22"/>
        </w:rPr>
        <w:t> </w:t>
      </w:r>
      <w:r>
        <w:rPr>
          <w:color w:val="0C0C0C"/>
          <w:sz w:val="22"/>
        </w:rPr>
        <w:t>service priority or objective of the authority,</w:t>
      </w:r>
    </w:p>
    <w:p>
      <w:pPr>
        <w:pStyle w:val="ListParagraph"/>
        <w:numPr>
          <w:ilvl w:val="1"/>
          <w:numId w:val="29"/>
        </w:numPr>
        <w:tabs>
          <w:tab w:val="left" w:leader="none" w:pos="1407"/>
          <w:tab w:val="left" w:leader="none" w:pos="1409"/>
        </w:tabs>
        <w:spacing w:before="61" w:after="0" w:line="240" w:lineRule="auto"/>
        <w:ind w:left="1407" w:right="130" w:hanging="425"/>
        <w:jc w:val="left"/>
        <w:rPr>
          <w:color w:val="0C0C0C"/>
          <w:sz w:val="22"/>
        </w:rPr>
      </w:pPr>
      <w:r>
        <w:rPr>
          <w:color w:val="0C0C0C"/>
          <w:sz w:val="22"/>
        </w:rPr>
        <w:tab/>
        <w:t>It</w:t>
      </w:r>
      <w:r>
        <w:rPr>
          <w:color w:val="0C0C0C"/>
          <w:spacing w:val="-4"/>
          <w:sz w:val="22"/>
        </w:rPr>
        <w:t> </w:t>
      </w:r>
      <w:r>
        <w:rPr>
          <w:color w:val="0C0C0C"/>
          <w:sz w:val="22"/>
        </w:rPr>
        <w:t>has resulted in</w:t>
      </w:r>
      <w:r>
        <w:rPr>
          <w:color w:val="0C0C0C"/>
          <w:spacing w:val="-5"/>
          <w:sz w:val="22"/>
        </w:rPr>
        <w:t> </w:t>
      </w:r>
      <w:r>
        <w:rPr>
          <w:color w:val="0C0C0C"/>
          <w:sz w:val="22"/>
        </w:rPr>
        <w:t>the</w:t>
      </w:r>
      <w:r>
        <w:rPr>
          <w:color w:val="0C0C0C"/>
          <w:spacing w:val="-7"/>
          <w:sz w:val="22"/>
        </w:rPr>
        <w:t> </w:t>
      </w:r>
      <w:r>
        <w:rPr>
          <w:color w:val="0C0C0C"/>
          <w:sz w:val="22"/>
        </w:rPr>
        <w:t>need</w:t>
      </w:r>
      <w:r>
        <w:rPr>
          <w:color w:val="0C0C0C"/>
          <w:spacing w:val="-6"/>
          <w:sz w:val="22"/>
        </w:rPr>
        <w:t> </w:t>
      </w:r>
      <w:r>
        <w:rPr>
          <w:color w:val="0C0C0C"/>
          <w:sz w:val="22"/>
        </w:rPr>
        <w:t>to seek additional</w:t>
      </w:r>
      <w:r>
        <w:rPr>
          <w:color w:val="0C0C0C"/>
          <w:spacing w:val="17"/>
          <w:sz w:val="22"/>
        </w:rPr>
        <w:t> </w:t>
      </w:r>
      <w:r>
        <w:rPr>
          <w:color w:val="0C0C0C"/>
          <w:sz w:val="22"/>
        </w:rPr>
        <w:t>funding to</w:t>
      </w:r>
      <w:r>
        <w:rPr>
          <w:color w:val="0C0C0C"/>
          <w:spacing w:val="-1"/>
          <w:sz w:val="22"/>
        </w:rPr>
        <w:t> </w:t>
      </w:r>
      <w:r>
        <w:rPr>
          <w:color w:val="0C0C0C"/>
          <w:sz w:val="22"/>
        </w:rPr>
        <w:t>allow</w:t>
      </w:r>
      <w:r>
        <w:rPr>
          <w:color w:val="0C0C0C"/>
          <w:spacing w:val="-2"/>
          <w:sz w:val="22"/>
        </w:rPr>
        <w:t> </w:t>
      </w:r>
      <w:r>
        <w:rPr>
          <w:color w:val="0C0C0C"/>
          <w:sz w:val="22"/>
        </w:rPr>
        <w:t>it</w:t>
      </w:r>
      <w:r>
        <w:rPr>
          <w:color w:val="0C0C0C"/>
          <w:spacing w:val="-3"/>
          <w:sz w:val="22"/>
        </w:rPr>
        <w:t> </w:t>
      </w:r>
      <w:r>
        <w:rPr>
          <w:color w:val="0C0C0C"/>
          <w:sz w:val="22"/>
        </w:rPr>
        <w:t>to</w:t>
      </w:r>
      <w:r>
        <w:rPr>
          <w:color w:val="0C0C0C"/>
          <w:spacing w:val="-2"/>
          <w:sz w:val="22"/>
        </w:rPr>
        <w:t> </w:t>
      </w:r>
      <w:r>
        <w:rPr>
          <w:color w:val="0C0C0C"/>
          <w:sz w:val="22"/>
        </w:rPr>
        <w:t>be</w:t>
      </w:r>
      <w:r>
        <w:rPr>
          <w:color w:val="0C0C0C"/>
          <w:spacing w:val="-8"/>
          <w:sz w:val="22"/>
        </w:rPr>
        <w:t> </w:t>
      </w:r>
      <w:r>
        <w:rPr>
          <w:color w:val="0C0C0C"/>
          <w:sz w:val="22"/>
        </w:rPr>
        <w:t>resolved,</w:t>
      </w:r>
      <w:r>
        <w:rPr>
          <w:color w:val="0C0C0C"/>
          <w:spacing w:val="19"/>
          <w:sz w:val="22"/>
        </w:rPr>
        <w:t> </w:t>
      </w:r>
      <w:r>
        <w:rPr>
          <w:color w:val="0C0C0C"/>
          <w:sz w:val="22"/>
        </w:rPr>
        <w:t>or</w:t>
      </w:r>
      <w:r>
        <w:rPr>
          <w:color w:val="0C0C0C"/>
          <w:spacing w:val="-1"/>
          <w:sz w:val="22"/>
        </w:rPr>
        <w:t> </w:t>
      </w:r>
      <w:r>
        <w:rPr>
          <w:color w:val="0C0C0C"/>
          <w:sz w:val="22"/>
        </w:rPr>
        <w:t>has resulted in a significant diversion of resources from other areas</w:t>
      </w:r>
      <w:r>
        <w:rPr>
          <w:color w:val="3D3D3D"/>
          <w:sz w:val="22"/>
        </w:rPr>
        <w:t>,</w:t>
      </w:r>
    </w:p>
    <w:p>
      <w:pPr>
        <w:pStyle w:val="ListParagraph"/>
        <w:numPr>
          <w:ilvl w:val="1"/>
          <w:numId w:val="29"/>
        </w:numPr>
        <w:tabs>
          <w:tab w:val="left" w:leader="none" w:pos="1400"/>
        </w:tabs>
        <w:spacing w:before="61" w:after="0" w:line="240" w:lineRule="auto"/>
        <w:ind w:left="1400" w:right="0" w:hanging="421"/>
        <w:jc w:val="left"/>
        <w:rPr>
          <w:color w:val="0C0C0C"/>
          <w:sz w:val="22"/>
        </w:rPr>
      </w:pPr>
      <w:r>
        <w:rPr>
          <w:color w:val="0C0C0C"/>
          <w:sz w:val="22"/>
        </w:rPr>
        <w:t>It</w:t>
      </w:r>
      <w:r>
        <w:rPr>
          <w:color w:val="0C0C0C"/>
          <w:spacing w:val="-5"/>
          <w:sz w:val="22"/>
        </w:rPr>
        <w:t> </w:t>
      </w:r>
      <w:r>
        <w:rPr>
          <w:color w:val="0C0C0C"/>
          <w:sz w:val="22"/>
        </w:rPr>
        <w:t>has</w:t>
      </w:r>
      <w:r>
        <w:rPr>
          <w:color w:val="0C0C0C"/>
          <w:spacing w:val="5"/>
          <w:sz w:val="22"/>
        </w:rPr>
        <w:t> </w:t>
      </w:r>
      <w:r>
        <w:rPr>
          <w:color w:val="0C0C0C"/>
          <w:sz w:val="22"/>
        </w:rPr>
        <w:t>led</w:t>
      </w:r>
      <w:r>
        <w:rPr>
          <w:color w:val="0C0C0C"/>
          <w:spacing w:val="-11"/>
          <w:sz w:val="22"/>
        </w:rPr>
        <w:t> </w:t>
      </w:r>
      <w:r>
        <w:rPr>
          <w:color w:val="0C0C0C"/>
          <w:sz w:val="22"/>
        </w:rPr>
        <w:t>to</w:t>
      </w:r>
      <w:r>
        <w:rPr>
          <w:color w:val="0C0C0C"/>
          <w:spacing w:val="-1"/>
          <w:sz w:val="22"/>
        </w:rPr>
        <w:t> </w:t>
      </w:r>
      <w:r>
        <w:rPr>
          <w:color w:val="0C0C0C"/>
          <w:sz w:val="22"/>
        </w:rPr>
        <w:t>a</w:t>
      </w:r>
      <w:r>
        <w:rPr>
          <w:color w:val="0C0C0C"/>
          <w:spacing w:val="-5"/>
          <w:sz w:val="22"/>
        </w:rPr>
        <w:t> </w:t>
      </w:r>
      <w:r>
        <w:rPr>
          <w:color w:val="0C0C0C"/>
          <w:sz w:val="22"/>
        </w:rPr>
        <w:t>material</w:t>
      </w:r>
      <w:r>
        <w:rPr>
          <w:color w:val="0C0C0C"/>
          <w:spacing w:val="13"/>
          <w:sz w:val="22"/>
        </w:rPr>
        <w:t> </w:t>
      </w:r>
      <w:r>
        <w:rPr>
          <w:color w:val="0C0C0C"/>
          <w:sz w:val="22"/>
        </w:rPr>
        <w:t>adverse</w:t>
      </w:r>
      <w:r>
        <w:rPr>
          <w:color w:val="0C0C0C"/>
          <w:spacing w:val="8"/>
          <w:sz w:val="22"/>
        </w:rPr>
        <w:t> </w:t>
      </w:r>
      <w:r>
        <w:rPr>
          <w:color w:val="0C0C0C"/>
          <w:sz w:val="22"/>
        </w:rPr>
        <w:t>impact</w:t>
      </w:r>
      <w:r>
        <w:rPr>
          <w:color w:val="0C0C0C"/>
          <w:spacing w:val="11"/>
          <w:sz w:val="22"/>
        </w:rPr>
        <w:t> </w:t>
      </w:r>
      <w:r>
        <w:rPr>
          <w:color w:val="0C0C0C"/>
          <w:sz w:val="22"/>
        </w:rPr>
        <w:t>on</w:t>
      </w:r>
      <w:r>
        <w:rPr>
          <w:color w:val="0C0C0C"/>
          <w:spacing w:val="-9"/>
          <w:sz w:val="22"/>
        </w:rPr>
        <w:t> </w:t>
      </w:r>
      <w:r>
        <w:rPr>
          <w:color w:val="0C0C0C"/>
          <w:sz w:val="22"/>
        </w:rPr>
        <w:t>the</w:t>
      </w:r>
      <w:r>
        <w:rPr>
          <w:color w:val="0C0C0C"/>
          <w:spacing w:val="-3"/>
          <w:sz w:val="22"/>
        </w:rPr>
        <w:t> </w:t>
      </w:r>
      <w:r>
        <w:rPr>
          <w:color w:val="0C0C0C"/>
          <w:spacing w:val="-2"/>
          <w:sz w:val="22"/>
        </w:rPr>
        <w:t>accounts,</w:t>
      </w:r>
    </w:p>
    <w:p>
      <w:pPr>
        <w:pStyle w:val="ListParagraph"/>
        <w:numPr>
          <w:ilvl w:val="1"/>
          <w:numId w:val="29"/>
        </w:numPr>
        <w:tabs>
          <w:tab w:val="left" w:leader="none" w:pos="1401"/>
        </w:tabs>
        <w:spacing w:before="64" w:after="0" w:line="240" w:lineRule="auto"/>
        <w:ind w:left="1401" w:right="0" w:hanging="426"/>
        <w:jc w:val="left"/>
        <w:rPr>
          <w:color w:val="0C0C0C"/>
          <w:sz w:val="22"/>
        </w:rPr>
      </w:pPr>
      <w:r>
        <w:rPr>
          <w:color w:val="0C0C0C"/>
          <w:sz w:val="22"/>
        </w:rPr>
        <w:t>The</w:t>
      </w:r>
      <w:r>
        <w:rPr>
          <w:color w:val="0C0C0C"/>
          <w:spacing w:val="-8"/>
          <w:sz w:val="22"/>
        </w:rPr>
        <w:t> </w:t>
      </w:r>
      <w:r>
        <w:rPr>
          <w:color w:val="0C0C0C"/>
          <w:sz w:val="22"/>
        </w:rPr>
        <w:t>Audit</w:t>
      </w:r>
      <w:r>
        <w:rPr>
          <w:color w:val="0C0C0C"/>
          <w:spacing w:val="1"/>
          <w:sz w:val="22"/>
        </w:rPr>
        <w:t> </w:t>
      </w:r>
      <w:r>
        <w:rPr>
          <w:color w:val="0C0C0C"/>
          <w:sz w:val="22"/>
        </w:rPr>
        <w:t>Committee</w:t>
      </w:r>
      <w:r>
        <w:rPr>
          <w:color w:val="0C0C0C"/>
          <w:spacing w:val="9"/>
          <w:sz w:val="22"/>
        </w:rPr>
        <w:t> </w:t>
      </w:r>
      <w:r>
        <w:rPr>
          <w:color w:val="0C0C0C"/>
          <w:sz w:val="22"/>
        </w:rPr>
        <w:t>has</w:t>
      </w:r>
      <w:r>
        <w:rPr>
          <w:color w:val="0C0C0C"/>
          <w:spacing w:val="1"/>
          <w:sz w:val="22"/>
        </w:rPr>
        <w:t> </w:t>
      </w:r>
      <w:r>
        <w:rPr>
          <w:color w:val="0C0C0C"/>
          <w:sz w:val="22"/>
        </w:rPr>
        <w:t>advised</w:t>
      </w:r>
      <w:r>
        <w:rPr>
          <w:color w:val="0C0C0C"/>
          <w:spacing w:val="2"/>
          <w:sz w:val="22"/>
        </w:rPr>
        <w:t> </w:t>
      </w:r>
      <w:r>
        <w:rPr>
          <w:color w:val="0C0C0C"/>
          <w:sz w:val="22"/>
        </w:rPr>
        <w:t>that</w:t>
      </w:r>
      <w:r>
        <w:rPr>
          <w:color w:val="0C0C0C"/>
          <w:spacing w:val="-3"/>
          <w:sz w:val="22"/>
        </w:rPr>
        <w:t> </w:t>
      </w:r>
      <w:r>
        <w:rPr>
          <w:color w:val="0C0C0C"/>
          <w:sz w:val="22"/>
        </w:rPr>
        <w:t>it</w:t>
      </w:r>
      <w:r>
        <w:rPr>
          <w:color w:val="0C0C0C"/>
          <w:spacing w:val="-7"/>
          <w:sz w:val="22"/>
        </w:rPr>
        <w:t> </w:t>
      </w:r>
      <w:r>
        <w:rPr>
          <w:color w:val="0C0C0C"/>
          <w:sz w:val="22"/>
        </w:rPr>
        <w:t>should</w:t>
      </w:r>
      <w:r>
        <w:rPr>
          <w:color w:val="0C0C0C"/>
          <w:spacing w:val="-1"/>
          <w:sz w:val="22"/>
        </w:rPr>
        <w:t> </w:t>
      </w:r>
      <w:r>
        <w:rPr>
          <w:color w:val="0C0C0C"/>
          <w:sz w:val="22"/>
        </w:rPr>
        <w:t>be</w:t>
      </w:r>
      <w:r>
        <w:rPr>
          <w:color w:val="0C0C0C"/>
          <w:spacing w:val="-8"/>
          <w:sz w:val="22"/>
        </w:rPr>
        <w:t> </w:t>
      </w:r>
      <w:r>
        <w:rPr>
          <w:color w:val="0C0C0C"/>
          <w:sz w:val="22"/>
        </w:rPr>
        <w:t>considered</w:t>
      </w:r>
      <w:r>
        <w:rPr>
          <w:color w:val="0C0C0C"/>
          <w:spacing w:val="7"/>
          <w:sz w:val="22"/>
        </w:rPr>
        <w:t> </w:t>
      </w:r>
      <w:r>
        <w:rPr>
          <w:color w:val="0C0C0C"/>
          <w:spacing w:val="-2"/>
          <w:sz w:val="22"/>
        </w:rPr>
        <w:t>significant</w:t>
      </w:r>
      <w:r>
        <w:rPr>
          <w:color w:val="3D3D3D"/>
          <w:spacing w:val="-2"/>
          <w:sz w:val="22"/>
        </w:rPr>
        <w:t>,</w:t>
      </w:r>
    </w:p>
    <w:p>
      <w:pPr>
        <w:pStyle w:val="ListParagraph"/>
        <w:numPr>
          <w:ilvl w:val="1"/>
          <w:numId w:val="29"/>
        </w:numPr>
        <w:tabs>
          <w:tab w:val="left" w:leader="none" w:pos="1392"/>
          <w:tab w:val="left" w:leader="none" w:pos="1401"/>
        </w:tabs>
        <w:spacing w:before="59" w:after="0" w:line="240" w:lineRule="auto"/>
        <w:ind w:left="1392" w:right="831" w:hanging="422"/>
        <w:jc w:val="left"/>
        <w:rPr>
          <w:color w:val="0C0C0C"/>
          <w:sz w:val="22"/>
        </w:rPr>
      </w:pPr>
      <w:r>
        <w:rPr>
          <w:color w:val="0C0C0C"/>
          <w:sz w:val="22"/>
        </w:rPr>
        <w:tab/>
        <w:t>The</w:t>
      </w:r>
      <w:r>
        <w:rPr>
          <w:color w:val="0C0C0C"/>
          <w:spacing w:val="-3"/>
          <w:sz w:val="22"/>
        </w:rPr>
        <w:t> </w:t>
      </w:r>
      <w:r>
        <w:rPr>
          <w:color w:val="0C0C0C"/>
          <w:sz w:val="22"/>
        </w:rPr>
        <w:t>SIAS Client Audit</w:t>
      </w:r>
      <w:r>
        <w:rPr>
          <w:color w:val="0C0C0C"/>
          <w:spacing w:val="-3"/>
          <w:sz w:val="22"/>
        </w:rPr>
        <w:t> </w:t>
      </w:r>
      <w:r>
        <w:rPr>
          <w:color w:val="0C0C0C"/>
          <w:sz w:val="22"/>
        </w:rPr>
        <w:t>Manager has reported the</w:t>
      </w:r>
      <w:r>
        <w:rPr>
          <w:color w:val="0C0C0C"/>
          <w:spacing w:val="-8"/>
          <w:sz w:val="22"/>
        </w:rPr>
        <w:t> </w:t>
      </w:r>
      <w:r>
        <w:rPr>
          <w:color w:val="0C0C0C"/>
          <w:sz w:val="22"/>
        </w:rPr>
        <w:t>matter as significant in</w:t>
      </w:r>
      <w:r>
        <w:rPr>
          <w:color w:val="0C0C0C"/>
          <w:spacing w:val="-13"/>
          <w:sz w:val="22"/>
        </w:rPr>
        <w:t> </w:t>
      </w:r>
      <w:r>
        <w:rPr>
          <w:color w:val="0C0C0C"/>
          <w:sz w:val="22"/>
        </w:rPr>
        <w:t>the SIAS Annual Assurance Statement and Annual Internal Audit Report,</w:t>
      </w:r>
    </w:p>
    <w:p>
      <w:pPr>
        <w:pStyle w:val="ListParagraph"/>
        <w:numPr>
          <w:ilvl w:val="1"/>
          <w:numId w:val="29"/>
        </w:numPr>
        <w:tabs>
          <w:tab w:val="left" w:leader="none" w:pos="1376"/>
          <w:tab w:val="left" w:leader="none" w:pos="1389"/>
        </w:tabs>
        <w:spacing w:before="61" w:after="0" w:line="240" w:lineRule="auto"/>
        <w:ind w:left="1389" w:right="502" w:hanging="419"/>
        <w:jc w:val="left"/>
        <w:rPr>
          <w:color w:val="0C0C0C"/>
          <w:sz w:val="22"/>
        </w:rPr>
      </w:pPr>
      <w:r>
        <w:rPr>
          <w:color w:val="0C0C0C"/>
          <w:sz w:val="22"/>
        </w:rPr>
        <w:t>The</w:t>
      </w:r>
      <w:r>
        <w:rPr>
          <w:color w:val="0C0C0C"/>
          <w:spacing w:val="-10"/>
          <w:sz w:val="22"/>
        </w:rPr>
        <w:t> </w:t>
      </w:r>
      <w:r>
        <w:rPr>
          <w:color w:val="0C0C0C"/>
          <w:sz w:val="22"/>
        </w:rPr>
        <w:t>Head</w:t>
      </w:r>
      <w:r>
        <w:rPr>
          <w:color w:val="0C0C0C"/>
          <w:spacing w:val="-2"/>
          <w:sz w:val="22"/>
        </w:rPr>
        <w:t> </w:t>
      </w:r>
      <w:r>
        <w:rPr>
          <w:color w:val="0C0C0C"/>
          <w:sz w:val="22"/>
        </w:rPr>
        <w:t>of</w:t>
      </w:r>
      <w:r>
        <w:rPr>
          <w:color w:val="0C0C0C"/>
          <w:spacing w:val="-10"/>
          <w:sz w:val="22"/>
        </w:rPr>
        <w:t> </w:t>
      </w:r>
      <w:r>
        <w:rPr>
          <w:color w:val="0C0C0C"/>
          <w:sz w:val="22"/>
        </w:rPr>
        <w:t>Partnerships,</w:t>
      </w:r>
      <w:r>
        <w:rPr>
          <w:color w:val="0C0C0C"/>
          <w:spacing w:val="24"/>
          <w:sz w:val="22"/>
        </w:rPr>
        <w:t> </w:t>
      </w:r>
      <w:r>
        <w:rPr>
          <w:color w:val="0C0C0C"/>
          <w:sz w:val="22"/>
        </w:rPr>
        <w:t>Community Engagement</w:t>
      </w:r>
      <w:r>
        <w:rPr>
          <w:color w:val="0C0C0C"/>
          <w:spacing w:val="19"/>
          <w:sz w:val="22"/>
        </w:rPr>
        <w:t> </w:t>
      </w:r>
      <w:r>
        <w:rPr>
          <w:color w:val="0C0C0C"/>
          <w:sz w:val="22"/>
        </w:rPr>
        <w:t>and</w:t>
      </w:r>
      <w:r>
        <w:rPr>
          <w:color w:val="0C0C0C"/>
          <w:spacing w:val="-6"/>
          <w:sz w:val="22"/>
        </w:rPr>
        <w:t> </w:t>
      </w:r>
      <w:r>
        <w:rPr>
          <w:color w:val="0C0C0C"/>
          <w:sz w:val="22"/>
        </w:rPr>
        <w:t>Housing has</w:t>
      </w:r>
      <w:r>
        <w:rPr>
          <w:color w:val="0C0C0C"/>
          <w:spacing w:val="-6"/>
          <w:sz w:val="22"/>
        </w:rPr>
        <w:t> </w:t>
      </w:r>
      <w:r>
        <w:rPr>
          <w:color w:val="0C0C0C"/>
          <w:sz w:val="22"/>
        </w:rPr>
        <w:t>reported</w:t>
      </w:r>
      <w:r>
        <w:rPr>
          <w:color w:val="0C0C0C"/>
          <w:spacing w:val="-5"/>
          <w:sz w:val="22"/>
        </w:rPr>
        <w:t> </w:t>
      </w:r>
      <w:r>
        <w:rPr>
          <w:color w:val="0C0C0C"/>
          <w:sz w:val="22"/>
        </w:rPr>
        <w:t>the</w:t>
      </w:r>
      <w:r>
        <w:rPr>
          <w:color w:val="0C0C0C"/>
          <w:spacing w:val="-12"/>
          <w:sz w:val="22"/>
        </w:rPr>
        <w:t> </w:t>
      </w:r>
      <w:r>
        <w:rPr>
          <w:color w:val="0C0C0C"/>
          <w:sz w:val="22"/>
        </w:rPr>
        <w:t>matter as significant </w:t>
      </w:r>
      <w:r>
        <w:rPr>
          <w:color w:val="1C1C1C"/>
          <w:sz w:val="22"/>
        </w:rPr>
        <w:t>in </w:t>
      </w:r>
      <w:r>
        <w:rPr>
          <w:color w:val="0C0C0C"/>
          <w:sz w:val="22"/>
        </w:rPr>
        <w:t>relation to the Performance Management Framework,</w:t>
      </w:r>
    </w:p>
    <w:p>
      <w:pPr>
        <w:pStyle w:val="ListParagraph"/>
        <w:numPr>
          <w:ilvl w:val="1"/>
          <w:numId w:val="29"/>
        </w:numPr>
        <w:tabs>
          <w:tab w:val="left" w:leader="none" w:pos="1367"/>
          <w:tab w:val="left" w:leader="none" w:pos="1382"/>
        </w:tabs>
        <w:spacing w:before="61" w:after="0" w:line="240" w:lineRule="auto"/>
        <w:ind w:left="1382" w:right="431" w:hanging="426"/>
        <w:jc w:val="left"/>
        <w:rPr>
          <w:color w:val="0C0C0C"/>
          <w:sz w:val="22"/>
        </w:rPr>
      </w:pPr>
      <w:r>
        <w:rPr>
          <w:color w:val="0C0C0C"/>
          <w:sz w:val="22"/>
        </w:rPr>
        <w:t>The</w:t>
      </w:r>
      <w:r>
        <w:rPr>
          <w:color w:val="0C0C0C"/>
          <w:spacing w:val="-8"/>
          <w:sz w:val="22"/>
        </w:rPr>
        <w:t> </w:t>
      </w:r>
      <w:r>
        <w:rPr>
          <w:color w:val="0C0C0C"/>
          <w:sz w:val="22"/>
        </w:rPr>
        <w:t>issue, or</w:t>
      </w:r>
      <w:r>
        <w:rPr>
          <w:color w:val="0C0C0C"/>
          <w:spacing w:val="-8"/>
          <w:sz w:val="22"/>
        </w:rPr>
        <w:t> </w:t>
      </w:r>
      <w:r>
        <w:rPr>
          <w:color w:val="0C0C0C"/>
          <w:sz w:val="22"/>
        </w:rPr>
        <w:t>its</w:t>
      </w:r>
      <w:r>
        <w:rPr>
          <w:color w:val="0C0C0C"/>
          <w:spacing w:val="-12"/>
          <w:sz w:val="22"/>
        </w:rPr>
        <w:t> </w:t>
      </w:r>
      <w:r>
        <w:rPr>
          <w:color w:val="0C0C0C"/>
          <w:sz w:val="22"/>
        </w:rPr>
        <w:t>impact, has attracted significant public interest or</w:t>
      </w:r>
      <w:r>
        <w:rPr>
          <w:color w:val="0C0C0C"/>
          <w:spacing w:val="-5"/>
          <w:sz w:val="22"/>
        </w:rPr>
        <w:t> </w:t>
      </w:r>
      <w:r>
        <w:rPr>
          <w:color w:val="0C0C0C"/>
          <w:sz w:val="22"/>
        </w:rPr>
        <w:t>has</w:t>
      </w:r>
      <w:r>
        <w:rPr>
          <w:color w:val="0C0C0C"/>
          <w:spacing w:val="-2"/>
          <w:sz w:val="22"/>
        </w:rPr>
        <w:t> </w:t>
      </w:r>
      <w:r>
        <w:rPr>
          <w:color w:val="0C0C0C"/>
          <w:sz w:val="22"/>
        </w:rPr>
        <w:t>seriously damaged the reputation of the organisation,</w:t>
      </w:r>
      <w:r>
        <w:rPr>
          <w:color w:val="0C0C0C"/>
          <w:spacing w:val="40"/>
          <w:sz w:val="22"/>
        </w:rPr>
        <w:t> </w:t>
      </w:r>
      <w:r>
        <w:rPr>
          <w:color w:val="0C0C0C"/>
          <w:sz w:val="22"/>
        </w:rPr>
        <w:t>and</w:t>
      </w:r>
    </w:p>
    <w:p>
      <w:pPr>
        <w:pStyle w:val="ListParagraph"/>
        <w:numPr>
          <w:ilvl w:val="1"/>
          <w:numId w:val="29"/>
        </w:numPr>
        <w:tabs>
          <w:tab w:val="left" w:leader="none" w:pos="1362"/>
          <w:tab w:val="left" w:leader="none" w:pos="1375"/>
        </w:tabs>
        <w:spacing w:before="62" w:after="0" w:line="240" w:lineRule="auto"/>
        <w:ind w:left="1375" w:right="200" w:hanging="426"/>
        <w:jc w:val="left"/>
        <w:rPr>
          <w:color w:val="0C0C0C"/>
          <w:sz w:val="22"/>
        </w:rPr>
      </w:pPr>
      <w:r>
        <w:rPr>
          <w:color w:val="0C0C0C"/>
          <w:sz w:val="22"/>
        </w:rPr>
        <w:t>The</w:t>
      </w:r>
      <w:r>
        <w:rPr>
          <w:color w:val="0C0C0C"/>
          <w:spacing w:val="-7"/>
          <w:sz w:val="22"/>
        </w:rPr>
        <w:t> </w:t>
      </w:r>
      <w:r>
        <w:rPr>
          <w:color w:val="1C1C1C"/>
          <w:sz w:val="22"/>
        </w:rPr>
        <w:t>issue </w:t>
      </w:r>
      <w:r>
        <w:rPr>
          <w:color w:val="0C0C0C"/>
          <w:sz w:val="22"/>
        </w:rPr>
        <w:t>has</w:t>
      </w:r>
      <w:r>
        <w:rPr>
          <w:color w:val="0C0C0C"/>
          <w:spacing w:val="-2"/>
          <w:sz w:val="22"/>
        </w:rPr>
        <w:t> </w:t>
      </w:r>
      <w:r>
        <w:rPr>
          <w:color w:val="0C0C0C"/>
          <w:sz w:val="22"/>
        </w:rPr>
        <w:t>resulted in</w:t>
      </w:r>
      <w:r>
        <w:rPr>
          <w:color w:val="0C0C0C"/>
          <w:spacing w:val="-5"/>
          <w:sz w:val="22"/>
        </w:rPr>
        <w:t> </w:t>
      </w:r>
      <w:r>
        <w:rPr>
          <w:color w:val="0C0C0C"/>
          <w:sz w:val="22"/>
        </w:rPr>
        <w:t>formal action being undertaken by</w:t>
      </w:r>
      <w:r>
        <w:rPr>
          <w:color w:val="0C0C0C"/>
          <w:spacing w:val="-1"/>
          <w:sz w:val="22"/>
        </w:rPr>
        <w:t> </w:t>
      </w:r>
      <w:r>
        <w:rPr>
          <w:color w:val="0C0C0C"/>
          <w:sz w:val="22"/>
        </w:rPr>
        <w:t>the</w:t>
      </w:r>
      <w:r>
        <w:rPr>
          <w:color w:val="0C0C0C"/>
          <w:spacing w:val="-5"/>
          <w:sz w:val="22"/>
        </w:rPr>
        <w:t> </w:t>
      </w:r>
      <w:r>
        <w:rPr>
          <w:color w:val="0C0C0C"/>
          <w:sz w:val="22"/>
        </w:rPr>
        <w:t>Section 151</w:t>
      </w:r>
      <w:r>
        <w:rPr>
          <w:color w:val="0C0C0C"/>
          <w:spacing w:val="-2"/>
          <w:sz w:val="22"/>
        </w:rPr>
        <w:t> </w:t>
      </w:r>
      <w:r>
        <w:rPr>
          <w:color w:val="0C0C0C"/>
          <w:sz w:val="22"/>
        </w:rPr>
        <w:t>Officer and</w:t>
      </w:r>
      <w:r>
        <w:rPr>
          <w:color w:val="0C0C0C"/>
          <w:spacing w:val="-16"/>
          <w:sz w:val="22"/>
        </w:rPr>
        <w:t> </w:t>
      </w:r>
      <w:r>
        <w:rPr>
          <w:i/>
          <w:color w:val="0C0C0C"/>
          <w:sz w:val="22"/>
        </w:rPr>
        <w:t>I </w:t>
      </w:r>
      <w:r>
        <w:rPr>
          <w:color w:val="0C0C0C"/>
          <w:sz w:val="22"/>
        </w:rPr>
        <w:t>or</w:t>
      </w:r>
      <w:r>
        <w:rPr>
          <w:color w:val="0C0C0C"/>
          <w:spacing w:val="-1"/>
          <w:sz w:val="22"/>
        </w:rPr>
        <w:t> </w:t>
      </w:r>
      <w:r>
        <w:rPr>
          <w:color w:val="0C0C0C"/>
          <w:sz w:val="22"/>
        </w:rPr>
        <w:t>the Monitoring Officer.</w:t>
      </w:r>
    </w:p>
    <w:p>
      <w:pPr>
        <w:pStyle w:val="BodyText"/>
      </w:pPr>
    </w:p>
    <w:p>
      <w:pPr>
        <w:pStyle w:val="ListParagraph"/>
        <w:numPr>
          <w:ilvl w:val="0"/>
          <w:numId w:val="29"/>
        </w:numPr>
        <w:tabs>
          <w:tab w:val="left" w:leader="none" w:pos="939"/>
          <w:tab w:val="left" w:leader="none" w:pos="942"/>
        </w:tabs>
        <w:spacing w:before="0" w:after="0" w:line="240" w:lineRule="auto"/>
        <w:ind w:left="939" w:right="175" w:hanging="712"/>
        <w:jc w:val="both"/>
        <w:rPr>
          <w:color w:val="0C0C0C"/>
          <w:sz w:val="22"/>
        </w:rPr>
      </w:pPr>
      <w:r>
        <w:rPr>
          <w:color w:val="5D5D5D"/>
          <w:sz w:val="22"/>
        </w:rPr>
        <w:tab/>
      </w:r>
      <w:r>
        <w:rPr>
          <w:color w:val="0C0C0C"/>
          <w:sz w:val="22"/>
        </w:rPr>
        <w:t>Another significant source of</w:t>
      </w:r>
      <w:r>
        <w:rPr>
          <w:color w:val="0C0C0C"/>
          <w:spacing w:val="-3"/>
          <w:sz w:val="22"/>
        </w:rPr>
        <w:t> </w:t>
      </w:r>
      <w:r>
        <w:rPr>
          <w:color w:val="0C0C0C"/>
          <w:sz w:val="22"/>
        </w:rPr>
        <w:t>assurance and</w:t>
      </w:r>
      <w:r>
        <w:rPr>
          <w:color w:val="0C0C0C"/>
          <w:spacing w:val="-5"/>
          <w:sz w:val="22"/>
        </w:rPr>
        <w:t> </w:t>
      </w:r>
      <w:r>
        <w:rPr>
          <w:color w:val="0C0C0C"/>
          <w:sz w:val="22"/>
        </w:rPr>
        <w:t>source of </w:t>
      </w:r>
      <w:r>
        <w:rPr>
          <w:color w:val="1C1C1C"/>
          <w:sz w:val="22"/>
        </w:rPr>
        <w:t>identification</w:t>
      </w:r>
      <w:r>
        <w:rPr>
          <w:color w:val="1C1C1C"/>
          <w:spacing w:val="-9"/>
          <w:sz w:val="22"/>
        </w:rPr>
        <w:t> </w:t>
      </w:r>
      <w:r>
        <w:rPr>
          <w:color w:val="0C0C0C"/>
          <w:sz w:val="22"/>
        </w:rPr>
        <w:t>of </w:t>
      </w:r>
      <w:r>
        <w:rPr>
          <w:color w:val="1C1C1C"/>
          <w:sz w:val="22"/>
        </w:rPr>
        <w:t>significant governance issues </w:t>
      </w:r>
      <w:r>
        <w:rPr>
          <w:color w:val="0C0C0C"/>
          <w:sz w:val="22"/>
        </w:rPr>
        <w:t>is</w:t>
      </w:r>
      <w:r>
        <w:rPr>
          <w:color w:val="0C0C0C"/>
          <w:spacing w:val="-3"/>
          <w:sz w:val="22"/>
        </w:rPr>
        <w:t> </w:t>
      </w:r>
      <w:r>
        <w:rPr>
          <w:color w:val="0C0C0C"/>
          <w:sz w:val="22"/>
        </w:rPr>
        <w:t>the work of the</w:t>
      </w:r>
      <w:r>
        <w:rPr>
          <w:color w:val="0C0C0C"/>
          <w:spacing w:val="-1"/>
          <w:sz w:val="22"/>
        </w:rPr>
        <w:t> </w:t>
      </w:r>
      <w:r>
        <w:rPr>
          <w:color w:val="0C0C0C"/>
          <w:sz w:val="22"/>
        </w:rPr>
        <w:t>Internal Audit </w:t>
      </w:r>
      <w:r>
        <w:rPr>
          <w:color w:val="1C1C1C"/>
          <w:sz w:val="22"/>
        </w:rPr>
        <w:t>Team -</w:t>
      </w:r>
      <w:r>
        <w:rPr>
          <w:color w:val="1C1C1C"/>
          <w:spacing w:val="40"/>
          <w:sz w:val="22"/>
        </w:rPr>
        <w:t> </w:t>
      </w:r>
      <w:r>
        <w:rPr>
          <w:color w:val="0C0C0C"/>
          <w:sz w:val="22"/>
        </w:rPr>
        <w:t>this is</w:t>
      </w:r>
      <w:r>
        <w:rPr>
          <w:color w:val="0C0C0C"/>
          <w:spacing w:val="-2"/>
          <w:sz w:val="22"/>
        </w:rPr>
        <w:t> </w:t>
      </w:r>
      <w:r>
        <w:rPr>
          <w:color w:val="1C1C1C"/>
          <w:sz w:val="22"/>
        </w:rPr>
        <w:t>evidenced by </w:t>
      </w:r>
      <w:r>
        <w:rPr>
          <w:color w:val="0C0C0C"/>
          <w:sz w:val="22"/>
        </w:rPr>
        <w:t>the</w:t>
      </w:r>
      <w:r>
        <w:rPr>
          <w:color w:val="0C0C0C"/>
          <w:spacing w:val="-5"/>
          <w:sz w:val="22"/>
        </w:rPr>
        <w:t> </w:t>
      </w:r>
      <w:r>
        <w:rPr>
          <w:color w:val="0C0C0C"/>
          <w:sz w:val="22"/>
        </w:rPr>
        <w:t>product</w:t>
      </w:r>
      <w:r>
        <w:rPr>
          <w:color w:val="3D3D3D"/>
          <w:sz w:val="22"/>
        </w:rPr>
        <w:t>i</w:t>
      </w:r>
      <w:r>
        <w:rPr>
          <w:color w:val="1C1C1C"/>
          <w:sz w:val="22"/>
        </w:rPr>
        <w:t>on</w:t>
      </w:r>
      <w:r>
        <w:rPr>
          <w:color w:val="1C1C1C"/>
          <w:spacing w:val="-8"/>
          <w:sz w:val="22"/>
        </w:rPr>
        <w:t> </w:t>
      </w:r>
      <w:r>
        <w:rPr>
          <w:color w:val="0C0C0C"/>
          <w:sz w:val="22"/>
        </w:rPr>
        <w:t>of the </w:t>
      </w:r>
      <w:r>
        <w:rPr>
          <w:color w:val="1C1C1C"/>
          <w:sz w:val="22"/>
        </w:rPr>
        <w:t>Annual </w:t>
      </w:r>
      <w:r>
        <w:rPr>
          <w:color w:val="0C0C0C"/>
          <w:sz w:val="22"/>
        </w:rPr>
        <w:t>Ass</w:t>
      </w:r>
      <w:r>
        <w:rPr>
          <w:color w:val="3D3D3D"/>
          <w:sz w:val="22"/>
        </w:rPr>
        <w:t>u</w:t>
      </w:r>
      <w:r>
        <w:rPr>
          <w:color w:val="1C1C1C"/>
          <w:sz w:val="22"/>
        </w:rPr>
        <w:t>rance </w:t>
      </w:r>
      <w:r>
        <w:rPr>
          <w:color w:val="0C0C0C"/>
          <w:sz w:val="22"/>
        </w:rPr>
        <w:t>and Internal Audit Report.</w:t>
      </w:r>
    </w:p>
    <w:p>
      <w:pPr>
        <w:pStyle w:val="ListParagraph"/>
        <w:numPr>
          <w:ilvl w:val="0"/>
          <w:numId w:val="29"/>
        </w:numPr>
        <w:tabs>
          <w:tab w:val="left" w:leader="none" w:pos="927"/>
          <w:tab w:val="left" w:leader="none" w:pos="929"/>
        </w:tabs>
        <w:spacing w:before="250" w:after="0" w:line="240" w:lineRule="auto"/>
        <w:ind w:left="927" w:right="1004" w:hanging="709"/>
        <w:jc w:val="both"/>
        <w:rPr>
          <w:color w:val="0C0C0C"/>
          <w:sz w:val="22"/>
        </w:rPr>
      </w:pPr>
      <w:r>
        <w:rPr>
          <w:color w:val="5D5D5D"/>
          <w:sz w:val="22"/>
        </w:rPr>
        <w:tab/>
      </w:r>
      <w:r>
        <w:rPr>
          <w:color w:val="0C0C0C"/>
          <w:sz w:val="22"/>
        </w:rPr>
        <w:t>Further </w:t>
      </w:r>
      <w:r>
        <w:rPr>
          <w:color w:val="1C1C1C"/>
          <w:sz w:val="22"/>
        </w:rPr>
        <w:t>assurances </w:t>
      </w:r>
      <w:r>
        <w:rPr>
          <w:color w:val="0C0C0C"/>
          <w:sz w:val="22"/>
        </w:rPr>
        <w:t>are</w:t>
      </w:r>
      <w:r>
        <w:rPr>
          <w:color w:val="0C0C0C"/>
          <w:spacing w:val="-1"/>
          <w:sz w:val="22"/>
        </w:rPr>
        <w:t> </w:t>
      </w:r>
      <w:r>
        <w:rPr>
          <w:color w:val="0C0C0C"/>
          <w:sz w:val="22"/>
        </w:rPr>
        <w:t>available </w:t>
      </w:r>
      <w:r>
        <w:rPr>
          <w:color w:val="1C1C1C"/>
          <w:sz w:val="22"/>
        </w:rPr>
        <w:t>from a</w:t>
      </w:r>
      <w:r>
        <w:rPr>
          <w:color w:val="1C1C1C"/>
          <w:spacing w:val="-2"/>
          <w:sz w:val="22"/>
        </w:rPr>
        <w:t> </w:t>
      </w:r>
      <w:r>
        <w:rPr>
          <w:color w:val="1C1C1C"/>
          <w:sz w:val="22"/>
        </w:rPr>
        <w:t>wide</w:t>
      </w:r>
      <w:r>
        <w:rPr>
          <w:color w:val="1C1C1C"/>
          <w:spacing w:val="-1"/>
          <w:sz w:val="22"/>
        </w:rPr>
        <w:t> </w:t>
      </w:r>
      <w:r>
        <w:rPr>
          <w:color w:val="0C0C0C"/>
          <w:sz w:val="22"/>
        </w:rPr>
        <w:t>range</w:t>
      </w:r>
      <w:r>
        <w:rPr>
          <w:color w:val="0C0C0C"/>
          <w:spacing w:val="-4"/>
          <w:sz w:val="22"/>
        </w:rPr>
        <w:t> </w:t>
      </w:r>
      <w:r>
        <w:rPr>
          <w:color w:val="0C0C0C"/>
          <w:sz w:val="22"/>
        </w:rPr>
        <w:t>of</w:t>
      </w:r>
      <w:r>
        <w:rPr>
          <w:color w:val="0C0C0C"/>
          <w:spacing w:val="-3"/>
          <w:sz w:val="22"/>
        </w:rPr>
        <w:t> </w:t>
      </w:r>
      <w:r>
        <w:rPr>
          <w:color w:val="1C1C1C"/>
          <w:sz w:val="22"/>
        </w:rPr>
        <w:t>external sources including corporate </w:t>
      </w:r>
      <w:r>
        <w:rPr>
          <w:color w:val="0C0C0C"/>
          <w:sz w:val="22"/>
        </w:rPr>
        <w:t>assessments </w:t>
      </w:r>
      <w:r>
        <w:rPr>
          <w:color w:val="1C1C1C"/>
          <w:sz w:val="22"/>
        </w:rPr>
        <w:t>and</w:t>
      </w:r>
      <w:r>
        <w:rPr>
          <w:color w:val="1C1C1C"/>
          <w:spacing w:val="-11"/>
          <w:sz w:val="22"/>
        </w:rPr>
        <w:t> </w:t>
      </w:r>
      <w:r>
        <w:rPr>
          <w:color w:val="0C0C0C"/>
          <w:sz w:val="22"/>
        </w:rPr>
        <w:t>direction of</w:t>
      </w:r>
      <w:r>
        <w:rPr>
          <w:color w:val="0C0C0C"/>
          <w:spacing w:val="-5"/>
          <w:sz w:val="22"/>
        </w:rPr>
        <w:t> </w:t>
      </w:r>
      <w:r>
        <w:rPr>
          <w:color w:val="1C1C1C"/>
          <w:sz w:val="22"/>
        </w:rPr>
        <w:t>travel statements, peer</w:t>
      </w:r>
      <w:r>
        <w:rPr>
          <w:color w:val="1C1C1C"/>
          <w:spacing w:val="-6"/>
          <w:sz w:val="22"/>
        </w:rPr>
        <w:t> </w:t>
      </w:r>
      <w:r>
        <w:rPr>
          <w:color w:val="0C0C0C"/>
          <w:sz w:val="22"/>
        </w:rPr>
        <w:t>reviews, </w:t>
      </w:r>
      <w:r>
        <w:rPr>
          <w:color w:val="1C1C1C"/>
          <w:sz w:val="22"/>
        </w:rPr>
        <w:t>inspections and</w:t>
      </w:r>
      <w:r>
        <w:rPr>
          <w:color w:val="1C1C1C"/>
          <w:spacing w:val="-11"/>
          <w:sz w:val="22"/>
        </w:rPr>
        <w:t> </w:t>
      </w:r>
      <w:r>
        <w:rPr>
          <w:color w:val="1C1C1C"/>
          <w:sz w:val="22"/>
        </w:rPr>
        <w:t>the</w:t>
      </w:r>
      <w:r>
        <w:rPr>
          <w:color w:val="1C1C1C"/>
          <w:spacing w:val="-7"/>
          <w:sz w:val="22"/>
        </w:rPr>
        <w:t> </w:t>
      </w:r>
      <w:r>
        <w:rPr>
          <w:color w:val="1C1C1C"/>
          <w:sz w:val="22"/>
        </w:rPr>
        <w:t>Council's </w:t>
      </w:r>
      <w:r>
        <w:rPr>
          <w:color w:val="0C0C0C"/>
          <w:sz w:val="22"/>
        </w:rPr>
        <w:t>External Auditors -</w:t>
      </w:r>
      <w:r>
        <w:rPr>
          <w:color w:val="0C0C0C"/>
          <w:spacing w:val="40"/>
          <w:sz w:val="22"/>
        </w:rPr>
        <w:t> </w:t>
      </w:r>
      <w:r>
        <w:rPr>
          <w:color w:val="0C0C0C"/>
          <w:sz w:val="22"/>
        </w:rPr>
        <w:t>through the annual audit of the accounts.</w:t>
      </w:r>
    </w:p>
    <w:p>
      <w:pPr>
        <w:spacing w:after="0" w:line="240" w:lineRule="auto"/>
        <w:jc w:val="both"/>
        <w:rPr>
          <w:sz w:val="22"/>
        </w:rPr>
        <w:sectPr>
          <w:headerReference w:type="even" r:id="rId320"/>
          <w:pgSz w:w="11910" w:h="16830"/>
          <w:pgMar w:top="1040" w:right="540" w:bottom="1200" w:left="440" w:header="848" w:footer="0"/>
        </w:sectPr>
      </w:pPr>
    </w:p>
    <w:p>
      <w:pPr>
        <w:tabs>
          <w:tab w:val="left" w:leader="none" w:pos="1580"/>
        </w:tabs>
        <w:spacing w:before="77"/>
        <w:ind w:left="873" w:right="0" w:firstLine="0"/>
        <w:jc w:val="left"/>
        <w:rPr>
          <w:sz w:val="14"/>
        </w:rPr>
      </w:pPr>
      <w:r>
        <w:rPr>
          <w:rFonts w:ascii="Times New Roman"/>
          <w:color w:val="C4C4C4"/>
          <w:spacing w:val="-10"/>
          <w:sz w:val="25"/>
        </w:rPr>
        <w:t>a</w:t>
      </w:r>
      <w:r>
        <w:rPr>
          <w:rFonts w:ascii="Times New Roman"/>
          <w:color w:val="C4C4C4"/>
          <w:sz w:val="25"/>
        </w:rPr>
        <w:tab/>
      </w:r>
      <w:r>
        <w:rPr>
          <w:color w:val="B5B5B5"/>
          <w:spacing w:val="4"/>
          <w:sz w:val="14"/>
        </w:rPr>
        <w:t>.ANNUAL</w:t>
      </w:r>
      <w:r>
        <w:rPr>
          <w:color w:val="B5B5B5"/>
          <w:spacing w:val="69"/>
          <w:sz w:val="14"/>
        </w:rPr>
        <w:t> </w:t>
      </w:r>
      <w:r>
        <w:rPr>
          <w:color w:val="A0A0A0"/>
          <w:spacing w:val="4"/>
          <w:sz w:val="14"/>
        </w:rPr>
        <w:t>GOVERNANCE</w:t>
      </w:r>
      <w:r>
        <w:rPr>
          <w:color w:val="A0A0A0"/>
          <w:spacing w:val="65"/>
          <w:w w:val="150"/>
          <w:sz w:val="14"/>
        </w:rPr>
        <w:t> </w:t>
      </w:r>
      <w:r>
        <w:rPr>
          <w:color w:val="A0A0A0"/>
          <w:spacing w:val="4"/>
          <w:sz w:val="14"/>
        </w:rPr>
        <w:t>STATE</w:t>
      </w:r>
      <w:r>
        <w:rPr>
          <w:color w:val="A0A0A0"/>
          <w:spacing w:val="43"/>
          <w:sz w:val="14"/>
        </w:rPr>
        <w:t> </w:t>
      </w:r>
      <w:r>
        <w:rPr>
          <w:color w:val="A0A0A0"/>
          <w:spacing w:val="-2"/>
          <w:sz w:val="14"/>
        </w:rPr>
        <w:t>ilENT</w:t>
      </w:r>
    </w:p>
    <w:p>
      <w:pPr>
        <w:pStyle w:val="BodyText"/>
        <w:spacing w:before="59"/>
        <w:rPr>
          <w:sz w:val="14"/>
        </w:rPr>
      </w:pPr>
    </w:p>
    <w:p>
      <w:pPr>
        <w:pStyle w:val="ListParagraph"/>
        <w:numPr>
          <w:ilvl w:val="0"/>
          <w:numId w:val="29"/>
        </w:numPr>
        <w:tabs>
          <w:tab w:val="left" w:leader="none" w:pos="851"/>
          <w:tab w:val="left" w:leader="none" w:pos="853"/>
        </w:tabs>
        <w:spacing w:before="0" w:after="0" w:line="252" w:lineRule="auto"/>
        <w:ind w:left="851" w:right="363" w:hanging="700"/>
        <w:jc w:val="left"/>
        <w:rPr>
          <w:color w:val="0C0C0C"/>
          <w:sz w:val="21"/>
        </w:rPr>
      </w:pPr>
      <w:r>
        <w:rPr>
          <w:color w:val="4B4B4B"/>
          <w:sz w:val="21"/>
        </w:rPr>
        <w:tab/>
      </w:r>
      <w:r>
        <w:rPr>
          <w:color w:val="0C0C0C"/>
          <w:w w:val="105"/>
          <w:sz w:val="21"/>
        </w:rPr>
        <w:t>The </w:t>
      </w:r>
      <w:r>
        <w:rPr>
          <w:color w:val="1F1F1F"/>
          <w:w w:val="105"/>
          <w:sz w:val="21"/>
        </w:rPr>
        <w:t>officer</w:t>
      </w:r>
      <w:r>
        <w:rPr>
          <w:color w:val="1F1F1F"/>
          <w:spacing w:val="-3"/>
          <w:w w:val="105"/>
          <w:sz w:val="21"/>
        </w:rPr>
        <w:t> </w:t>
      </w:r>
      <w:r>
        <w:rPr>
          <w:color w:val="1F1F1F"/>
          <w:w w:val="105"/>
          <w:sz w:val="21"/>
        </w:rPr>
        <w:t>Corporate Governance Group</w:t>
      </w:r>
      <w:r>
        <w:rPr>
          <w:color w:val="1F1F1F"/>
          <w:spacing w:val="-5"/>
          <w:w w:val="105"/>
          <w:sz w:val="21"/>
        </w:rPr>
        <w:t> </w:t>
      </w:r>
      <w:r>
        <w:rPr>
          <w:color w:val="0C0C0C"/>
          <w:w w:val="105"/>
          <w:sz w:val="21"/>
        </w:rPr>
        <w:t>and</w:t>
      </w:r>
      <w:r>
        <w:rPr>
          <w:color w:val="0C0C0C"/>
          <w:spacing w:val="-11"/>
          <w:w w:val="105"/>
          <w:sz w:val="21"/>
        </w:rPr>
        <w:t> </w:t>
      </w:r>
      <w:r>
        <w:rPr>
          <w:color w:val="1F1F1F"/>
          <w:w w:val="105"/>
          <w:sz w:val="21"/>
        </w:rPr>
        <w:t>Chief</w:t>
      </w:r>
      <w:r>
        <w:rPr>
          <w:color w:val="1F1F1F"/>
          <w:spacing w:val="-6"/>
          <w:w w:val="105"/>
          <w:sz w:val="21"/>
        </w:rPr>
        <w:t> </w:t>
      </w:r>
      <w:r>
        <w:rPr>
          <w:color w:val="1F1F1F"/>
          <w:w w:val="105"/>
          <w:sz w:val="21"/>
        </w:rPr>
        <w:t>Officers</w:t>
      </w:r>
      <w:r>
        <w:rPr>
          <w:color w:val="1F1F1F"/>
          <w:spacing w:val="-6"/>
          <w:w w:val="105"/>
          <w:sz w:val="21"/>
        </w:rPr>
        <w:t> </w:t>
      </w:r>
      <w:r>
        <w:rPr>
          <w:color w:val="1F1F1F"/>
          <w:w w:val="105"/>
          <w:sz w:val="21"/>
        </w:rPr>
        <w:t>Board</w:t>
      </w:r>
      <w:r>
        <w:rPr>
          <w:color w:val="4B4B4B"/>
          <w:w w:val="105"/>
          <w:sz w:val="21"/>
        </w:rPr>
        <w:t>,</w:t>
      </w:r>
      <w:r>
        <w:rPr>
          <w:color w:val="4B4B4B"/>
          <w:spacing w:val="-16"/>
          <w:w w:val="105"/>
          <w:sz w:val="21"/>
        </w:rPr>
        <w:t> </w:t>
      </w:r>
      <w:r>
        <w:rPr>
          <w:color w:val="1F1F1F"/>
          <w:w w:val="105"/>
          <w:sz w:val="21"/>
        </w:rPr>
        <w:t>both</w:t>
      </w:r>
      <w:r>
        <w:rPr>
          <w:color w:val="1F1F1F"/>
          <w:spacing w:val="-6"/>
          <w:w w:val="105"/>
          <w:sz w:val="21"/>
        </w:rPr>
        <w:t> </w:t>
      </w:r>
      <w:r>
        <w:rPr>
          <w:color w:val="1F1F1F"/>
          <w:w w:val="105"/>
          <w:sz w:val="21"/>
        </w:rPr>
        <w:t>of</w:t>
      </w:r>
      <w:r>
        <w:rPr>
          <w:color w:val="1F1F1F"/>
          <w:spacing w:val="-6"/>
          <w:w w:val="105"/>
          <w:sz w:val="21"/>
        </w:rPr>
        <w:t> </w:t>
      </w:r>
      <w:r>
        <w:rPr>
          <w:color w:val="1F1F1F"/>
          <w:w w:val="105"/>
          <w:sz w:val="21"/>
        </w:rPr>
        <w:t>which are</w:t>
      </w:r>
      <w:r>
        <w:rPr>
          <w:color w:val="1F1F1F"/>
          <w:spacing w:val="-7"/>
          <w:w w:val="105"/>
          <w:sz w:val="21"/>
        </w:rPr>
        <w:t> </w:t>
      </w:r>
      <w:r>
        <w:rPr>
          <w:color w:val="1F1F1F"/>
          <w:w w:val="105"/>
          <w:sz w:val="21"/>
        </w:rPr>
        <w:t>chaired</w:t>
      </w:r>
      <w:r>
        <w:rPr>
          <w:color w:val="1F1F1F"/>
          <w:spacing w:val="-7"/>
          <w:w w:val="105"/>
          <w:sz w:val="21"/>
        </w:rPr>
        <w:t> </w:t>
      </w:r>
      <w:r>
        <w:rPr>
          <w:color w:val="1F1F1F"/>
          <w:w w:val="105"/>
          <w:sz w:val="21"/>
        </w:rPr>
        <w:t>by</w:t>
      </w:r>
      <w:r>
        <w:rPr>
          <w:color w:val="1F1F1F"/>
          <w:spacing w:val="-12"/>
          <w:w w:val="105"/>
          <w:sz w:val="21"/>
        </w:rPr>
        <w:t> </w:t>
      </w:r>
      <w:r>
        <w:rPr>
          <w:color w:val="0C0C0C"/>
          <w:w w:val="105"/>
          <w:sz w:val="21"/>
        </w:rPr>
        <w:t>the Managing</w:t>
      </w:r>
      <w:r>
        <w:rPr>
          <w:color w:val="0C0C0C"/>
          <w:spacing w:val="28"/>
          <w:w w:val="105"/>
          <w:sz w:val="21"/>
        </w:rPr>
        <w:t> </w:t>
      </w:r>
      <w:r>
        <w:rPr>
          <w:color w:val="1F1F1F"/>
          <w:w w:val="105"/>
          <w:sz w:val="21"/>
        </w:rPr>
        <w:t>Director (i.e</w:t>
      </w:r>
      <w:r>
        <w:rPr>
          <w:color w:val="5D5D5D"/>
          <w:w w:val="105"/>
          <w:sz w:val="21"/>
        </w:rPr>
        <w:t>.,</w:t>
      </w:r>
      <w:r>
        <w:rPr>
          <w:color w:val="5D5D5D"/>
          <w:spacing w:val="-17"/>
          <w:w w:val="105"/>
          <w:sz w:val="21"/>
        </w:rPr>
        <w:t> </w:t>
      </w:r>
      <w:r>
        <w:rPr>
          <w:color w:val="1F1F1F"/>
          <w:w w:val="105"/>
          <w:sz w:val="21"/>
        </w:rPr>
        <w:t>the </w:t>
      </w:r>
      <w:r>
        <w:rPr>
          <w:color w:val="0C0C0C"/>
          <w:w w:val="105"/>
          <w:sz w:val="21"/>
        </w:rPr>
        <w:t>Head </w:t>
      </w:r>
      <w:r>
        <w:rPr>
          <w:color w:val="1F1F1F"/>
          <w:w w:val="105"/>
          <w:sz w:val="21"/>
        </w:rPr>
        <w:t>of</w:t>
      </w:r>
      <w:r>
        <w:rPr>
          <w:color w:val="1F1F1F"/>
          <w:spacing w:val="-4"/>
          <w:w w:val="105"/>
          <w:sz w:val="21"/>
        </w:rPr>
        <w:t> </w:t>
      </w:r>
      <w:r>
        <w:rPr>
          <w:color w:val="1F1F1F"/>
          <w:w w:val="105"/>
          <w:sz w:val="21"/>
        </w:rPr>
        <w:t>Governance)</w:t>
      </w:r>
      <w:r>
        <w:rPr>
          <w:color w:val="5D5D5D"/>
          <w:w w:val="105"/>
          <w:sz w:val="21"/>
        </w:rPr>
        <w:t>,</w:t>
      </w:r>
      <w:r>
        <w:rPr>
          <w:color w:val="5D5D5D"/>
          <w:spacing w:val="-8"/>
          <w:w w:val="105"/>
          <w:sz w:val="21"/>
        </w:rPr>
        <w:t> </w:t>
      </w:r>
      <w:r>
        <w:rPr>
          <w:color w:val="1F1F1F"/>
          <w:w w:val="105"/>
          <w:sz w:val="21"/>
        </w:rPr>
        <w:t>has reviewed the assurances</w:t>
      </w:r>
      <w:r>
        <w:rPr>
          <w:color w:val="1F1F1F"/>
          <w:spacing w:val="32"/>
          <w:w w:val="105"/>
          <w:sz w:val="21"/>
        </w:rPr>
        <w:t> </w:t>
      </w:r>
      <w:r>
        <w:rPr>
          <w:color w:val="1F1F1F"/>
          <w:w w:val="105"/>
          <w:sz w:val="21"/>
        </w:rPr>
        <w:t>and significant </w:t>
      </w:r>
      <w:r>
        <w:rPr>
          <w:color w:val="0C0C0C"/>
          <w:w w:val="105"/>
          <w:sz w:val="21"/>
        </w:rPr>
        <w:t>governance issues, as well as the</w:t>
      </w:r>
      <w:r>
        <w:rPr>
          <w:color w:val="0C0C0C"/>
          <w:spacing w:val="-6"/>
          <w:w w:val="105"/>
          <w:sz w:val="21"/>
        </w:rPr>
        <w:t> </w:t>
      </w:r>
      <w:r>
        <w:rPr>
          <w:color w:val="0C0C0C"/>
          <w:w w:val="105"/>
          <w:sz w:val="21"/>
        </w:rPr>
        <w:t>Constitutional</w:t>
      </w:r>
      <w:r>
        <w:rPr>
          <w:color w:val="0C0C0C"/>
          <w:spacing w:val="-14"/>
          <w:w w:val="105"/>
          <w:sz w:val="21"/>
        </w:rPr>
        <w:t> </w:t>
      </w:r>
      <w:r>
        <w:rPr>
          <w:color w:val="1F1F1F"/>
          <w:w w:val="105"/>
          <w:sz w:val="21"/>
        </w:rPr>
        <w:t>rev</w:t>
      </w:r>
      <w:r>
        <w:rPr>
          <w:color w:val="3A3A3A"/>
          <w:w w:val="105"/>
          <w:sz w:val="21"/>
        </w:rPr>
        <w:t>i</w:t>
      </w:r>
      <w:r>
        <w:rPr>
          <w:color w:val="1F1F1F"/>
          <w:w w:val="105"/>
          <w:sz w:val="21"/>
        </w:rPr>
        <w:t>ew</w:t>
      </w:r>
      <w:r>
        <w:rPr>
          <w:color w:val="4B4B4B"/>
          <w:w w:val="105"/>
          <w:sz w:val="21"/>
        </w:rPr>
        <w:t>,</w:t>
      </w:r>
      <w:r>
        <w:rPr>
          <w:color w:val="4B4B4B"/>
          <w:spacing w:val="-15"/>
          <w:w w:val="105"/>
          <w:sz w:val="21"/>
        </w:rPr>
        <w:t> </w:t>
      </w:r>
      <w:r>
        <w:rPr>
          <w:color w:val="1F1F1F"/>
          <w:w w:val="105"/>
          <w:sz w:val="21"/>
        </w:rPr>
        <w:t>performance reporting</w:t>
      </w:r>
      <w:r>
        <w:rPr>
          <w:color w:val="4B4B4B"/>
          <w:w w:val="105"/>
          <w:sz w:val="21"/>
        </w:rPr>
        <w:t>,</w:t>
      </w:r>
      <w:r>
        <w:rPr>
          <w:color w:val="4B4B4B"/>
          <w:spacing w:val="-9"/>
          <w:w w:val="105"/>
          <w:sz w:val="21"/>
        </w:rPr>
        <w:t> </w:t>
      </w:r>
      <w:r>
        <w:rPr>
          <w:color w:val="1F1F1F"/>
          <w:w w:val="105"/>
          <w:sz w:val="21"/>
        </w:rPr>
        <w:t>risk management </w:t>
      </w:r>
      <w:r>
        <w:rPr>
          <w:color w:val="0C0C0C"/>
          <w:w w:val="105"/>
          <w:sz w:val="21"/>
        </w:rPr>
        <w:t>arrangements and</w:t>
      </w:r>
      <w:r>
        <w:rPr>
          <w:color w:val="0C0C0C"/>
          <w:spacing w:val="-7"/>
          <w:w w:val="105"/>
          <w:sz w:val="21"/>
        </w:rPr>
        <w:t> </w:t>
      </w:r>
      <w:r>
        <w:rPr>
          <w:color w:val="0C0C0C"/>
          <w:w w:val="105"/>
          <w:sz w:val="21"/>
        </w:rPr>
        <w:t>the</w:t>
      </w:r>
      <w:r>
        <w:rPr>
          <w:color w:val="0C0C0C"/>
          <w:spacing w:val="-6"/>
          <w:w w:val="105"/>
          <w:sz w:val="21"/>
        </w:rPr>
        <w:t> </w:t>
      </w:r>
      <w:r>
        <w:rPr>
          <w:color w:val="0C0C0C"/>
          <w:w w:val="105"/>
          <w:sz w:val="21"/>
        </w:rPr>
        <w:t>individual audit and </w:t>
      </w:r>
      <w:r>
        <w:rPr>
          <w:color w:val="1F1F1F"/>
          <w:w w:val="105"/>
          <w:sz w:val="21"/>
        </w:rPr>
        <w:t>risk </w:t>
      </w:r>
      <w:r>
        <w:rPr>
          <w:color w:val="0C0C0C"/>
          <w:w w:val="105"/>
          <w:sz w:val="21"/>
        </w:rPr>
        <w:t>management assessments.</w:t>
      </w:r>
    </w:p>
    <w:p>
      <w:pPr>
        <w:pStyle w:val="BodyText"/>
        <w:spacing w:before="13"/>
        <w:rPr>
          <w:sz w:val="21"/>
        </w:rPr>
      </w:pPr>
    </w:p>
    <w:p>
      <w:pPr>
        <w:pStyle w:val="ListParagraph"/>
        <w:numPr>
          <w:ilvl w:val="0"/>
          <w:numId w:val="29"/>
        </w:numPr>
        <w:tabs>
          <w:tab w:val="left" w:leader="none" w:pos="854"/>
          <w:tab w:val="left" w:leader="none" w:pos="856"/>
        </w:tabs>
        <w:spacing w:before="0" w:after="0" w:line="249" w:lineRule="auto"/>
        <w:ind w:left="854" w:right="423" w:hanging="703"/>
        <w:jc w:val="left"/>
        <w:rPr>
          <w:color w:val="0C0C0C"/>
          <w:sz w:val="21"/>
        </w:rPr>
      </w:pPr>
      <w:r>
        <w:rPr>
          <w:color w:val="5D5D5D"/>
          <w:sz w:val="21"/>
        </w:rPr>
        <w:tab/>
      </w:r>
      <w:r>
        <w:rPr>
          <w:color w:val="0C0C0C"/>
          <w:w w:val="105"/>
          <w:sz w:val="21"/>
        </w:rPr>
        <w:t>Prior</w:t>
      </w:r>
      <w:r>
        <w:rPr>
          <w:color w:val="0C0C0C"/>
          <w:spacing w:val="-3"/>
          <w:w w:val="105"/>
          <w:sz w:val="21"/>
        </w:rPr>
        <w:t> </w:t>
      </w:r>
      <w:r>
        <w:rPr>
          <w:color w:val="0C0C0C"/>
          <w:w w:val="105"/>
          <w:sz w:val="21"/>
        </w:rPr>
        <w:t>to</w:t>
      </w:r>
      <w:r>
        <w:rPr>
          <w:color w:val="0C0C0C"/>
          <w:spacing w:val="-10"/>
          <w:w w:val="105"/>
          <w:sz w:val="21"/>
        </w:rPr>
        <w:t> </w:t>
      </w:r>
      <w:r>
        <w:rPr>
          <w:color w:val="1F1F1F"/>
          <w:w w:val="105"/>
          <w:sz w:val="21"/>
        </w:rPr>
        <w:t>the</w:t>
      </w:r>
      <w:r>
        <w:rPr>
          <w:color w:val="1F1F1F"/>
          <w:spacing w:val="-3"/>
          <w:w w:val="105"/>
          <w:sz w:val="21"/>
        </w:rPr>
        <w:t> </w:t>
      </w:r>
      <w:r>
        <w:rPr>
          <w:color w:val="1F1F1F"/>
          <w:w w:val="105"/>
          <w:sz w:val="21"/>
        </w:rPr>
        <w:t>approval </w:t>
      </w:r>
      <w:r>
        <w:rPr>
          <w:color w:val="0C0C0C"/>
          <w:w w:val="105"/>
          <w:sz w:val="21"/>
        </w:rPr>
        <w:t>of</w:t>
      </w:r>
      <w:r>
        <w:rPr>
          <w:color w:val="0C0C0C"/>
          <w:spacing w:val="-9"/>
          <w:w w:val="105"/>
          <w:sz w:val="21"/>
        </w:rPr>
        <w:t> </w:t>
      </w:r>
      <w:r>
        <w:rPr>
          <w:color w:val="0C0C0C"/>
          <w:w w:val="105"/>
          <w:sz w:val="21"/>
        </w:rPr>
        <w:t>the</w:t>
      </w:r>
      <w:r>
        <w:rPr>
          <w:color w:val="0C0C0C"/>
          <w:spacing w:val="-4"/>
          <w:w w:val="105"/>
          <w:sz w:val="21"/>
        </w:rPr>
        <w:t> </w:t>
      </w:r>
      <w:r>
        <w:rPr>
          <w:color w:val="0C0C0C"/>
          <w:w w:val="105"/>
          <w:sz w:val="21"/>
        </w:rPr>
        <w:t>AGS, the Managing </w:t>
      </w:r>
      <w:r>
        <w:rPr>
          <w:color w:val="1F1F1F"/>
          <w:w w:val="105"/>
          <w:sz w:val="21"/>
        </w:rPr>
        <w:t>Director </w:t>
      </w:r>
      <w:r>
        <w:rPr>
          <w:color w:val="0C0C0C"/>
          <w:w w:val="105"/>
          <w:sz w:val="21"/>
        </w:rPr>
        <w:t>and</w:t>
      </w:r>
      <w:r>
        <w:rPr>
          <w:color w:val="0C0C0C"/>
          <w:spacing w:val="-10"/>
          <w:w w:val="105"/>
          <w:sz w:val="21"/>
        </w:rPr>
        <w:t> </w:t>
      </w:r>
      <w:r>
        <w:rPr>
          <w:color w:val="0C0C0C"/>
          <w:w w:val="105"/>
          <w:sz w:val="21"/>
        </w:rPr>
        <w:t>the</w:t>
      </w:r>
      <w:r>
        <w:rPr>
          <w:color w:val="0C0C0C"/>
          <w:spacing w:val="-6"/>
          <w:w w:val="105"/>
          <w:sz w:val="21"/>
        </w:rPr>
        <w:t> </w:t>
      </w:r>
      <w:r>
        <w:rPr>
          <w:color w:val="0C0C0C"/>
          <w:w w:val="105"/>
          <w:sz w:val="21"/>
        </w:rPr>
        <w:t>Leader of</w:t>
      </w:r>
      <w:r>
        <w:rPr>
          <w:color w:val="0C0C0C"/>
          <w:spacing w:val="-9"/>
          <w:w w:val="105"/>
          <w:sz w:val="21"/>
        </w:rPr>
        <w:t> </w:t>
      </w:r>
      <w:r>
        <w:rPr>
          <w:color w:val="0C0C0C"/>
          <w:w w:val="105"/>
          <w:sz w:val="21"/>
        </w:rPr>
        <w:t>the</w:t>
      </w:r>
      <w:r>
        <w:rPr>
          <w:color w:val="0C0C0C"/>
          <w:spacing w:val="-1"/>
          <w:w w:val="105"/>
          <w:sz w:val="21"/>
        </w:rPr>
        <w:t> </w:t>
      </w:r>
      <w:r>
        <w:rPr>
          <w:color w:val="0C0C0C"/>
          <w:w w:val="105"/>
          <w:sz w:val="21"/>
        </w:rPr>
        <w:t>Council should seek to</w:t>
      </w:r>
      <w:r>
        <w:rPr>
          <w:color w:val="0C0C0C"/>
          <w:spacing w:val="-10"/>
          <w:w w:val="105"/>
          <w:sz w:val="21"/>
        </w:rPr>
        <w:t> </w:t>
      </w:r>
      <w:r>
        <w:rPr>
          <w:color w:val="0C0C0C"/>
          <w:w w:val="105"/>
          <w:sz w:val="21"/>
        </w:rPr>
        <w:t>satisfy </w:t>
      </w:r>
      <w:r>
        <w:rPr>
          <w:color w:val="1F1F1F"/>
          <w:w w:val="105"/>
          <w:sz w:val="21"/>
        </w:rPr>
        <w:t>themselves </w:t>
      </w:r>
      <w:r>
        <w:rPr>
          <w:color w:val="0C0C0C"/>
          <w:w w:val="105"/>
          <w:sz w:val="21"/>
        </w:rPr>
        <w:t>that</w:t>
      </w:r>
      <w:r>
        <w:rPr>
          <w:color w:val="0C0C0C"/>
          <w:spacing w:val="-8"/>
          <w:w w:val="105"/>
          <w:sz w:val="21"/>
        </w:rPr>
        <w:t> </w:t>
      </w:r>
      <w:r>
        <w:rPr>
          <w:color w:val="0C0C0C"/>
          <w:w w:val="105"/>
          <w:sz w:val="21"/>
        </w:rPr>
        <w:t>all</w:t>
      </w:r>
      <w:r>
        <w:rPr>
          <w:color w:val="0C0C0C"/>
          <w:spacing w:val="-12"/>
          <w:w w:val="105"/>
          <w:sz w:val="21"/>
        </w:rPr>
        <w:t> </w:t>
      </w:r>
      <w:r>
        <w:rPr>
          <w:color w:val="0C0C0C"/>
          <w:w w:val="105"/>
          <w:sz w:val="21"/>
        </w:rPr>
        <w:t>of</w:t>
      </w:r>
      <w:r>
        <w:rPr>
          <w:color w:val="0C0C0C"/>
          <w:spacing w:val="-11"/>
          <w:w w:val="105"/>
          <w:sz w:val="21"/>
        </w:rPr>
        <w:t> </w:t>
      </w:r>
      <w:r>
        <w:rPr>
          <w:color w:val="0C0C0C"/>
          <w:w w:val="105"/>
          <w:sz w:val="21"/>
        </w:rPr>
        <w:t>the</w:t>
      </w:r>
      <w:r>
        <w:rPr>
          <w:color w:val="0C0C0C"/>
          <w:spacing w:val="-10"/>
          <w:w w:val="105"/>
          <w:sz w:val="21"/>
        </w:rPr>
        <w:t> </w:t>
      </w:r>
      <w:r>
        <w:rPr>
          <w:color w:val="1F1F1F"/>
          <w:w w:val="105"/>
          <w:sz w:val="21"/>
        </w:rPr>
        <w:t>information obtained</w:t>
      </w:r>
      <w:r>
        <w:rPr>
          <w:color w:val="1F1F1F"/>
          <w:spacing w:val="-3"/>
          <w:w w:val="105"/>
          <w:sz w:val="21"/>
        </w:rPr>
        <w:t> </w:t>
      </w:r>
      <w:r>
        <w:rPr>
          <w:color w:val="0C0C0C"/>
          <w:w w:val="105"/>
          <w:sz w:val="21"/>
        </w:rPr>
        <w:t>to</w:t>
      </w:r>
      <w:r>
        <w:rPr>
          <w:color w:val="0C0C0C"/>
          <w:spacing w:val="-10"/>
          <w:w w:val="105"/>
          <w:sz w:val="21"/>
        </w:rPr>
        <w:t> </w:t>
      </w:r>
      <w:r>
        <w:rPr>
          <w:color w:val="0C0C0C"/>
          <w:w w:val="105"/>
          <w:sz w:val="21"/>
        </w:rPr>
        <w:t>support</w:t>
      </w:r>
      <w:r>
        <w:rPr>
          <w:color w:val="0C0C0C"/>
          <w:spacing w:val="-3"/>
          <w:w w:val="105"/>
          <w:sz w:val="21"/>
        </w:rPr>
        <w:t> </w:t>
      </w:r>
      <w:r>
        <w:rPr>
          <w:color w:val="0C0C0C"/>
          <w:w w:val="105"/>
          <w:sz w:val="21"/>
        </w:rPr>
        <w:t>the</w:t>
      </w:r>
      <w:r>
        <w:rPr>
          <w:color w:val="0C0C0C"/>
          <w:spacing w:val="-14"/>
          <w:w w:val="105"/>
          <w:sz w:val="21"/>
        </w:rPr>
        <w:t> </w:t>
      </w:r>
      <w:r>
        <w:rPr>
          <w:color w:val="0C0C0C"/>
          <w:w w:val="105"/>
          <w:sz w:val="21"/>
        </w:rPr>
        <w:t>disclosures made</w:t>
      </w:r>
      <w:r>
        <w:rPr>
          <w:color w:val="0C0C0C"/>
          <w:spacing w:val="-8"/>
          <w:w w:val="105"/>
          <w:sz w:val="21"/>
        </w:rPr>
        <w:t> </w:t>
      </w:r>
      <w:r>
        <w:rPr>
          <w:color w:val="0C0C0C"/>
          <w:w w:val="105"/>
          <w:sz w:val="21"/>
        </w:rPr>
        <w:t>is</w:t>
      </w:r>
      <w:r>
        <w:rPr>
          <w:color w:val="0C0C0C"/>
          <w:spacing w:val="-10"/>
          <w:w w:val="105"/>
          <w:sz w:val="21"/>
        </w:rPr>
        <w:t> </w:t>
      </w:r>
      <w:r>
        <w:rPr>
          <w:color w:val="0C0C0C"/>
          <w:w w:val="105"/>
          <w:sz w:val="21"/>
        </w:rPr>
        <w:t>relevant and reliable so that they can then sign the AGS.</w:t>
      </w:r>
    </w:p>
    <w:p>
      <w:pPr>
        <w:pStyle w:val="BodyText"/>
        <w:spacing w:before="19"/>
        <w:rPr>
          <w:sz w:val="21"/>
        </w:rPr>
      </w:pPr>
    </w:p>
    <w:p>
      <w:pPr>
        <w:spacing w:before="0"/>
        <w:ind w:left="872" w:right="0" w:firstLine="0"/>
        <w:jc w:val="left"/>
        <w:rPr>
          <w:sz w:val="21"/>
        </w:rPr>
      </w:pPr>
      <w:r>
        <w:rPr>
          <w:color w:val="0C0C0C"/>
          <w:w w:val="105"/>
          <w:sz w:val="21"/>
          <w:u w:val="thick" w:color="0C0C0C"/>
        </w:rPr>
        <w:t>AGS</w:t>
      </w:r>
      <w:r>
        <w:rPr>
          <w:color w:val="0C0C0C"/>
          <w:spacing w:val="-9"/>
          <w:w w:val="105"/>
          <w:sz w:val="21"/>
          <w:u w:val="thick" w:color="0C0C0C"/>
        </w:rPr>
        <w:t> </w:t>
      </w:r>
      <w:r>
        <w:rPr>
          <w:color w:val="0C0C0C"/>
          <w:w w:val="105"/>
          <w:sz w:val="21"/>
          <w:u w:val="thick" w:color="0C0C0C"/>
        </w:rPr>
        <w:t>Action</w:t>
      </w:r>
      <w:r>
        <w:rPr>
          <w:color w:val="0C0C0C"/>
          <w:spacing w:val="-7"/>
          <w:w w:val="105"/>
          <w:sz w:val="21"/>
          <w:u w:val="thick" w:color="0C0C0C"/>
        </w:rPr>
        <w:t> </w:t>
      </w:r>
      <w:r>
        <w:rPr>
          <w:color w:val="0C0C0C"/>
          <w:spacing w:val="-4"/>
          <w:w w:val="105"/>
          <w:sz w:val="21"/>
          <w:u w:val="thick" w:color="0C0C0C"/>
        </w:rPr>
        <w:t>Plan</w:t>
      </w:r>
    </w:p>
    <w:p>
      <w:pPr>
        <w:pStyle w:val="BodyText"/>
        <w:spacing w:before="21"/>
        <w:rPr>
          <w:sz w:val="21"/>
        </w:rPr>
      </w:pPr>
    </w:p>
    <w:p>
      <w:pPr>
        <w:pStyle w:val="ListParagraph"/>
        <w:numPr>
          <w:ilvl w:val="0"/>
          <w:numId w:val="29"/>
        </w:numPr>
        <w:tabs>
          <w:tab w:val="left" w:leader="none" w:pos="858"/>
        </w:tabs>
        <w:spacing w:before="0" w:after="0" w:line="252" w:lineRule="auto"/>
        <w:ind w:left="858" w:right="454" w:hanging="706"/>
        <w:jc w:val="left"/>
        <w:rPr>
          <w:color w:val="0C0C0C"/>
          <w:sz w:val="21"/>
        </w:rPr>
      </w:pPr>
      <w:r>
        <w:rPr>
          <w:color w:val="0C0C0C"/>
          <w:w w:val="105"/>
          <w:sz w:val="21"/>
        </w:rPr>
        <w:t>A</w:t>
      </w:r>
      <w:r>
        <w:rPr>
          <w:color w:val="0C0C0C"/>
          <w:spacing w:val="-1"/>
          <w:w w:val="105"/>
          <w:sz w:val="21"/>
        </w:rPr>
        <w:t> </w:t>
      </w:r>
      <w:r>
        <w:rPr>
          <w:color w:val="0C0C0C"/>
          <w:w w:val="105"/>
          <w:sz w:val="21"/>
        </w:rPr>
        <w:t>key part of</w:t>
      </w:r>
      <w:r>
        <w:rPr>
          <w:color w:val="0C0C0C"/>
          <w:spacing w:val="-2"/>
          <w:w w:val="105"/>
          <w:sz w:val="21"/>
        </w:rPr>
        <w:t> </w:t>
      </w:r>
      <w:r>
        <w:rPr>
          <w:color w:val="0C0C0C"/>
          <w:w w:val="105"/>
          <w:sz w:val="21"/>
        </w:rPr>
        <w:t>the</w:t>
      </w:r>
      <w:r>
        <w:rPr>
          <w:color w:val="0C0C0C"/>
          <w:spacing w:val="-7"/>
          <w:w w:val="105"/>
          <w:sz w:val="21"/>
        </w:rPr>
        <w:t> </w:t>
      </w:r>
      <w:r>
        <w:rPr>
          <w:color w:val="0C0C0C"/>
          <w:w w:val="105"/>
          <w:sz w:val="21"/>
        </w:rPr>
        <w:t>AGS is</w:t>
      </w:r>
      <w:r>
        <w:rPr>
          <w:color w:val="0C0C0C"/>
          <w:spacing w:val="-4"/>
          <w:w w:val="105"/>
          <w:sz w:val="21"/>
        </w:rPr>
        <w:t> </w:t>
      </w:r>
      <w:r>
        <w:rPr>
          <w:color w:val="0C0C0C"/>
          <w:w w:val="105"/>
          <w:sz w:val="21"/>
        </w:rPr>
        <w:t>the AGS</w:t>
      </w:r>
      <w:r>
        <w:rPr>
          <w:color w:val="0C0C0C"/>
          <w:spacing w:val="-4"/>
          <w:w w:val="105"/>
          <w:sz w:val="21"/>
        </w:rPr>
        <w:t> </w:t>
      </w:r>
      <w:r>
        <w:rPr>
          <w:color w:val="0C0C0C"/>
          <w:w w:val="105"/>
          <w:sz w:val="21"/>
        </w:rPr>
        <w:t>Action Plan</w:t>
      </w:r>
      <w:r>
        <w:rPr>
          <w:color w:val="3A3A3A"/>
          <w:w w:val="105"/>
          <w:sz w:val="21"/>
        </w:rPr>
        <w:t>.</w:t>
      </w:r>
      <w:r>
        <w:rPr>
          <w:color w:val="3A3A3A"/>
          <w:spacing w:val="-15"/>
          <w:w w:val="105"/>
          <w:sz w:val="21"/>
        </w:rPr>
        <w:t> </w:t>
      </w:r>
      <w:r>
        <w:rPr>
          <w:color w:val="0C0C0C"/>
          <w:w w:val="105"/>
          <w:sz w:val="21"/>
        </w:rPr>
        <w:t>No significant governance issues were</w:t>
      </w:r>
      <w:r>
        <w:rPr>
          <w:color w:val="0C0C0C"/>
          <w:spacing w:val="-1"/>
          <w:w w:val="105"/>
          <w:sz w:val="21"/>
        </w:rPr>
        <w:t> </w:t>
      </w:r>
      <w:r>
        <w:rPr>
          <w:color w:val="1F1F1F"/>
          <w:w w:val="105"/>
          <w:sz w:val="21"/>
        </w:rPr>
        <w:t>identified </w:t>
      </w:r>
      <w:r>
        <w:rPr>
          <w:color w:val="0C0C0C"/>
          <w:w w:val="105"/>
          <w:sz w:val="21"/>
        </w:rPr>
        <w:t>for 2022/23 and</w:t>
      </w:r>
      <w:r>
        <w:rPr>
          <w:color w:val="0C0C0C"/>
          <w:spacing w:val="-3"/>
          <w:w w:val="105"/>
          <w:sz w:val="21"/>
        </w:rPr>
        <w:t> </w:t>
      </w:r>
      <w:r>
        <w:rPr>
          <w:color w:val="0C0C0C"/>
          <w:w w:val="105"/>
          <w:sz w:val="21"/>
        </w:rPr>
        <w:t>none were brought forward from 2021/22, therefore there is</w:t>
      </w:r>
      <w:r>
        <w:rPr>
          <w:color w:val="0C0C0C"/>
          <w:spacing w:val="-4"/>
          <w:w w:val="105"/>
          <w:sz w:val="21"/>
        </w:rPr>
        <w:t> </w:t>
      </w:r>
      <w:r>
        <w:rPr>
          <w:color w:val="0C0C0C"/>
          <w:w w:val="105"/>
          <w:sz w:val="21"/>
        </w:rPr>
        <w:t>no</w:t>
      </w:r>
      <w:r>
        <w:rPr>
          <w:color w:val="0C0C0C"/>
          <w:spacing w:val="-4"/>
          <w:w w:val="105"/>
          <w:sz w:val="21"/>
        </w:rPr>
        <w:t> </w:t>
      </w:r>
      <w:r>
        <w:rPr>
          <w:color w:val="0C0C0C"/>
          <w:w w:val="105"/>
          <w:sz w:val="21"/>
        </w:rPr>
        <w:t>Action Plan</w:t>
      </w:r>
      <w:r>
        <w:rPr>
          <w:color w:val="0C0C0C"/>
          <w:spacing w:val="-2"/>
          <w:w w:val="105"/>
          <w:sz w:val="21"/>
        </w:rPr>
        <w:t> </w:t>
      </w:r>
      <w:r>
        <w:rPr>
          <w:color w:val="0C0C0C"/>
          <w:w w:val="105"/>
          <w:sz w:val="21"/>
        </w:rPr>
        <w:t>with</w:t>
      </w:r>
      <w:r>
        <w:rPr>
          <w:color w:val="0C0C0C"/>
          <w:spacing w:val="-1"/>
          <w:w w:val="105"/>
          <w:sz w:val="21"/>
        </w:rPr>
        <w:t> </w:t>
      </w:r>
      <w:r>
        <w:rPr>
          <w:color w:val="0C0C0C"/>
          <w:w w:val="105"/>
          <w:sz w:val="21"/>
        </w:rPr>
        <w:t>this year</w:t>
      </w:r>
      <w:r>
        <w:rPr>
          <w:color w:val="4B4B4B"/>
          <w:w w:val="105"/>
          <w:sz w:val="21"/>
        </w:rPr>
        <w:t>'</w:t>
      </w:r>
      <w:r>
        <w:rPr>
          <w:color w:val="1F1F1F"/>
          <w:w w:val="105"/>
          <w:sz w:val="21"/>
        </w:rPr>
        <w:t>s</w:t>
      </w:r>
      <w:r>
        <w:rPr>
          <w:color w:val="1F1F1F"/>
          <w:spacing w:val="-16"/>
          <w:w w:val="105"/>
          <w:sz w:val="21"/>
        </w:rPr>
        <w:t> </w:t>
      </w:r>
      <w:r>
        <w:rPr>
          <w:color w:val="0C0C0C"/>
          <w:w w:val="105"/>
          <w:sz w:val="21"/>
        </w:rPr>
        <w:t>AGS.</w:t>
      </w:r>
      <w:r>
        <w:rPr>
          <w:color w:val="0C0C0C"/>
          <w:spacing w:val="-4"/>
          <w:w w:val="105"/>
          <w:sz w:val="21"/>
        </w:rPr>
        <w:t> </w:t>
      </w:r>
      <w:r>
        <w:rPr>
          <w:color w:val="0C0C0C"/>
          <w:w w:val="105"/>
          <w:sz w:val="21"/>
        </w:rPr>
        <w:t>Although</w:t>
      </w:r>
      <w:r>
        <w:rPr>
          <w:color w:val="0C0C0C"/>
          <w:spacing w:val="-2"/>
          <w:w w:val="105"/>
          <w:sz w:val="21"/>
        </w:rPr>
        <w:t> </w:t>
      </w:r>
      <w:r>
        <w:rPr>
          <w:color w:val="0C0C0C"/>
          <w:w w:val="105"/>
          <w:sz w:val="21"/>
        </w:rPr>
        <w:t>not</w:t>
      </w:r>
      <w:r>
        <w:rPr>
          <w:color w:val="0C0C0C"/>
          <w:spacing w:val="-4"/>
          <w:w w:val="105"/>
          <w:sz w:val="21"/>
        </w:rPr>
        <w:t> </w:t>
      </w:r>
      <w:r>
        <w:rPr>
          <w:color w:val="0C0C0C"/>
          <w:w w:val="105"/>
          <w:sz w:val="21"/>
        </w:rPr>
        <w:t>considered</w:t>
      </w:r>
      <w:r>
        <w:rPr>
          <w:color w:val="0C0C0C"/>
          <w:spacing w:val="-1"/>
          <w:w w:val="105"/>
          <w:sz w:val="21"/>
        </w:rPr>
        <w:t> </w:t>
      </w:r>
      <w:r>
        <w:rPr>
          <w:color w:val="0C0C0C"/>
          <w:w w:val="105"/>
          <w:sz w:val="21"/>
        </w:rPr>
        <w:t>to</w:t>
      </w:r>
      <w:r>
        <w:rPr>
          <w:color w:val="0C0C0C"/>
          <w:spacing w:val="-11"/>
          <w:w w:val="105"/>
          <w:sz w:val="21"/>
        </w:rPr>
        <w:t> </w:t>
      </w:r>
      <w:r>
        <w:rPr>
          <w:color w:val="0C0C0C"/>
          <w:w w:val="105"/>
          <w:sz w:val="21"/>
        </w:rPr>
        <w:t>be</w:t>
      </w:r>
      <w:r>
        <w:rPr>
          <w:color w:val="0C0C0C"/>
          <w:spacing w:val="-11"/>
          <w:w w:val="105"/>
          <w:sz w:val="21"/>
        </w:rPr>
        <w:t> </w:t>
      </w:r>
      <w:r>
        <w:rPr>
          <w:color w:val="0C0C0C"/>
          <w:w w:val="105"/>
          <w:sz w:val="21"/>
        </w:rPr>
        <w:t>a</w:t>
      </w:r>
      <w:r>
        <w:rPr>
          <w:color w:val="0C0C0C"/>
          <w:spacing w:val="-8"/>
          <w:w w:val="105"/>
          <w:sz w:val="21"/>
        </w:rPr>
        <w:t> </w:t>
      </w:r>
      <w:r>
        <w:rPr>
          <w:color w:val="0C0C0C"/>
          <w:w w:val="105"/>
          <w:sz w:val="21"/>
        </w:rPr>
        <w:t>significant governance issues, the</w:t>
      </w:r>
      <w:r>
        <w:rPr>
          <w:color w:val="0C0C0C"/>
          <w:spacing w:val="-9"/>
          <w:w w:val="105"/>
          <w:sz w:val="21"/>
        </w:rPr>
        <w:t> </w:t>
      </w:r>
      <w:r>
        <w:rPr>
          <w:color w:val="0C0C0C"/>
          <w:w w:val="105"/>
          <w:sz w:val="21"/>
        </w:rPr>
        <w:t>following</w:t>
      </w:r>
      <w:r>
        <w:rPr>
          <w:color w:val="0C0C0C"/>
          <w:spacing w:val="-1"/>
          <w:w w:val="105"/>
          <w:sz w:val="21"/>
        </w:rPr>
        <w:t> </w:t>
      </w:r>
      <w:r>
        <w:rPr>
          <w:color w:val="0C0C0C"/>
          <w:w w:val="105"/>
          <w:sz w:val="21"/>
        </w:rPr>
        <w:t>areas</w:t>
      </w:r>
      <w:r>
        <w:rPr>
          <w:color w:val="0C0C0C"/>
          <w:spacing w:val="-7"/>
          <w:w w:val="105"/>
          <w:sz w:val="21"/>
        </w:rPr>
        <w:t> </w:t>
      </w:r>
      <w:r>
        <w:rPr>
          <w:color w:val="0C0C0C"/>
          <w:w w:val="105"/>
          <w:sz w:val="21"/>
        </w:rPr>
        <w:t>are </w:t>
      </w:r>
      <w:r>
        <w:rPr>
          <w:color w:val="0C0C0C"/>
          <w:spacing w:val="-2"/>
          <w:w w:val="105"/>
          <w:sz w:val="21"/>
        </w:rPr>
        <w:t>noted</w:t>
      </w:r>
      <w:r>
        <w:rPr>
          <w:color w:val="5D5D5D"/>
          <w:spacing w:val="-2"/>
          <w:w w:val="105"/>
          <w:sz w:val="21"/>
        </w:rPr>
        <w:t>.</w:t>
      </w:r>
    </w:p>
    <w:p>
      <w:pPr>
        <w:pStyle w:val="BodyText"/>
        <w:spacing w:before="13"/>
        <w:rPr>
          <w:sz w:val="21"/>
        </w:rPr>
      </w:pPr>
    </w:p>
    <w:p>
      <w:pPr>
        <w:pStyle w:val="ListParagraph"/>
        <w:numPr>
          <w:ilvl w:val="0"/>
          <w:numId w:val="29"/>
        </w:numPr>
        <w:tabs>
          <w:tab w:val="left" w:leader="none" w:pos="859"/>
          <w:tab w:val="left" w:leader="none" w:pos="861"/>
        </w:tabs>
        <w:spacing w:before="0" w:after="0" w:line="252" w:lineRule="auto"/>
        <w:ind w:left="859" w:right="304" w:hanging="702"/>
        <w:jc w:val="left"/>
        <w:rPr>
          <w:color w:val="0C0C0C"/>
          <w:sz w:val="21"/>
        </w:rPr>
      </w:pPr>
      <w:r>
        <w:rPr>
          <w:color w:val="6D6D6D"/>
          <w:sz w:val="21"/>
        </w:rPr>
        <w:tab/>
      </w:r>
      <w:r>
        <w:rPr>
          <w:color w:val="0C0C0C"/>
          <w:w w:val="105"/>
          <w:sz w:val="21"/>
        </w:rPr>
        <w:t>Cyber and information security continues to be an</w:t>
      </w:r>
      <w:r>
        <w:rPr>
          <w:color w:val="0C0C0C"/>
          <w:spacing w:val="-1"/>
          <w:w w:val="105"/>
          <w:sz w:val="21"/>
        </w:rPr>
        <w:t> </w:t>
      </w:r>
      <w:r>
        <w:rPr>
          <w:color w:val="0C0C0C"/>
          <w:w w:val="105"/>
          <w:sz w:val="21"/>
        </w:rPr>
        <w:t>area of high</w:t>
      </w:r>
      <w:r>
        <w:rPr>
          <w:color w:val="0C0C0C"/>
          <w:spacing w:val="-3"/>
          <w:w w:val="105"/>
          <w:sz w:val="21"/>
        </w:rPr>
        <w:t> </w:t>
      </w:r>
      <w:r>
        <w:rPr>
          <w:color w:val="0C0C0C"/>
          <w:w w:val="105"/>
          <w:sz w:val="21"/>
        </w:rPr>
        <w:t>risk. Whilst the IDS team do</w:t>
      </w:r>
      <w:r>
        <w:rPr>
          <w:color w:val="0C0C0C"/>
          <w:spacing w:val="-2"/>
          <w:w w:val="105"/>
          <w:sz w:val="21"/>
        </w:rPr>
        <w:t> </w:t>
      </w:r>
      <w:r>
        <w:rPr>
          <w:color w:val="0C0C0C"/>
          <w:w w:val="105"/>
          <w:sz w:val="21"/>
        </w:rPr>
        <w:t>their utmost to</w:t>
      </w:r>
      <w:r>
        <w:rPr>
          <w:color w:val="0C0C0C"/>
          <w:spacing w:val="-5"/>
          <w:w w:val="105"/>
          <w:sz w:val="21"/>
        </w:rPr>
        <w:t> </w:t>
      </w:r>
      <w:r>
        <w:rPr>
          <w:color w:val="0C0C0C"/>
          <w:w w:val="105"/>
          <w:sz w:val="21"/>
        </w:rPr>
        <w:t>protect the Council from various types of </w:t>
      </w:r>
      <w:r>
        <w:rPr>
          <w:color w:val="1F1F1F"/>
          <w:w w:val="105"/>
          <w:sz w:val="21"/>
        </w:rPr>
        <w:t>cyber-attack</w:t>
      </w:r>
      <w:r>
        <w:rPr>
          <w:color w:val="5D5D5D"/>
          <w:w w:val="105"/>
          <w:sz w:val="21"/>
        </w:rPr>
        <w:t>,</w:t>
      </w:r>
      <w:r>
        <w:rPr>
          <w:color w:val="5D5D5D"/>
          <w:spacing w:val="-18"/>
          <w:w w:val="105"/>
          <w:sz w:val="21"/>
        </w:rPr>
        <w:t> </w:t>
      </w:r>
      <w:r>
        <w:rPr>
          <w:color w:val="0C0C0C"/>
          <w:w w:val="105"/>
          <w:sz w:val="21"/>
        </w:rPr>
        <w:t>these are a </w:t>
      </w:r>
      <w:r>
        <w:rPr>
          <w:color w:val="1F1F1F"/>
          <w:w w:val="105"/>
          <w:sz w:val="21"/>
        </w:rPr>
        <w:t>common</w:t>
      </w:r>
      <w:r>
        <w:rPr>
          <w:color w:val="4B4B4B"/>
          <w:w w:val="105"/>
          <w:sz w:val="21"/>
        </w:rPr>
        <w:t>,</w:t>
      </w:r>
      <w:r>
        <w:rPr>
          <w:color w:val="4B4B4B"/>
          <w:spacing w:val="-8"/>
          <w:w w:val="105"/>
          <w:sz w:val="21"/>
        </w:rPr>
        <w:t> </w:t>
      </w:r>
      <w:r>
        <w:rPr>
          <w:color w:val="1F1F1F"/>
          <w:w w:val="105"/>
          <w:sz w:val="21"/>
        </w:rPr>
        <w:t>everyday </w:t>
      </w:r>
      <w:r>
        <w:rPr>
          <w:color w:val="0C0C0C"/>
          <w:w w:val="105"/>
          <w:sz w:val="21"/>
        </w:rPr>
        <w:t>occurrence with</w:t>
      </w:r>
      <w:r>
        <w:rPr>
          <w:color w:val="0C0C0C"/>
          <w:spacing w:val="-3"/>
          <w:w w:val="105"/>
          <w:sz w:val="21"/>
        </w:rPr>
        <w:t> </w:t>
      </w:r>
      <w:r>
        <w:rPr>
          <w:color w:val="0C0C0C"/>
          <w:w w:val="105"/>
          <w:sz w:val="21"/>
        </w:rPr>
        <w:t>attacks becoming more and</w:t>
      </w:r>
      <w:r>
        <w:rPr>
          <w:color w:val="0C0C0C"/>
          <w:spacing w:val="-8"/>
          <w:w w:val="105"/>
          <w:sz w:val="21"/>
        </w:rPr>
        <w:t> </w:t>
      </w:r>
      <w:r>
        <w:rPr>
          <w:color w:val="0C0C0C"/>
          <w:w w:val="105"/>
          <w:sz w:val="21"/>
        </w:rPr>
        <w:t>more </w:t>
      </w:r>
      <w:r>
        <w:rPr>
          <w:color w:val="1F1F1F"/>
          <w:w w:val="105"/>
          <w:sz w:val="21"/>
        </w:rPr>
        <w:t>sophisticated. </w:t>
      </w:r>
      <w:r>
        <w:rPr>
          <w:color w:val="0C0C0C"/>
          <w:w w:val="105"/>
          <w:sz w:val="21"/>
        </w:rPr>
        <w:t>Staff and</w:t>
      </w:r>
      <w:r>
        <w:rPr>
          <w:color w:val="0C0C0C"/>
          <w:spacing w:val="-5"/>
          <w:w w:val="105"/>
          <w:sz w:val="21"/>
        </w:rPr>
        <w:t> </w:t>
      </w:r>
      <w:r>
        <w:rPr>
          <w:color w:val="0C0C0C"/>
          <w:w w:val="105"/>
          <w:sz w:val="21"/>
        </w:rPr>
        <w:t>members </w:t>
      </w:r>
      <w:r>
        <w:rPr>
          <w:color w:val="1F1F1F"/>
          <w:w w:val="105"/>
          <w:sz w:val="21"/>
        </w:rPr>
        <w:t>continue </w:t>
      </w:r>
      <w:r>
        <w:rPr>
          <w:color w:val="0C0C0C"/>
          <w:w w:val="105"/>
          <w:sz w:val="21"/>
        </w:rPr>
        <w:t>to receive mandatory training to maintain their awareness of</w:t>
      </w:r>
      <w:r>
        <w:rPr>
          <w:color w:val="0C0C0C"/>
          <w:spacing w:val="-6"/>
          <w:w w:val="105"/>
          <w:sz w:val="21"/>
        </w:rPr>
        <w:t> </w:t>
      </w:r>
      <w:r>
        <w:rPr>
          <w:color w:val="0C0C0C"/>
          <w:w w:val="105"/>
          <w:sz w:val="21"/>
        </w:rPr>
        <w:t>the</w:t>
      </w:r>
      <w:r>
        <w:rPr>
          <w:color w:val="0C0C0C"/>
          <w:spacing w:val="-1"/>
          <w:w w:val="105"/>
          <w:sz w:val="21"/>
        </w:rPr>
        <w:t> </w:t>
      </w:r>
      <w:r>
        <w:rPr>
          <w:color w:val="0C0C0C"/>
          <w:w w:val="105"/>
          <w:sz w:val="21"/>
        </w:rPr>
        <w:t>risks. The 2022/23 annual</w:t>
      </w:r>
      <w:r>
        <w:rPr>
          <w:color w:val="0C0C0C"/>
          <w:spacing w:val="-1"/>
          <w:w w:val="105"/>
          <w:sz w:val="21"/>
        </w:rPr>
        <w:t> </w:t>
      </w:r>
      <w:r>
        <w:rPr>
          <w:color w:val="0C0C0C"/>
          <w:w w:val="105"/>
          <w:sz w:val="21"/>
        </w:rPr>
        <w:t>Cyber </w:t>
      </w:r>
      <w:r>
        <w:rPr>
          <w:color w:val="1F1F1F"/>
          <w:w w:val="105"/>
          <w:sz w:val="21"/>
        </w:rPr>
        <w:t>internal audit</w:t>
      </w:r>
      <w:r>
        <w:rPr>
          <w:color w:val="1F1F1F"/>
          <w:spacing w:val="-4"/>
          <w:w w:val="105"/>
          <w:sz w:val="21"/>
        </w:rPr>
        <w:t> </w:t>
      </w:r>
      <w:r>
        <w:rPr>
          <w:color w:val="1F1F1F"/>
          <w:w w:val="105"/>
          <w:sz w:val="21"/>
        </w:rPr>
        <w:t>concluded</w:t>
      </w:r>
      <w:r>
        <w:rPr>
          <w:color w:val="1F1F1F"/>
          <w:spacing w:val="-2"/>
          <w:w w:val="105"/>
          <w:sz w:val="21"/>
        </w:rPr>
        <w:t> </w:t>
      </w:r>
      <w:r>
        <w:rPr>
          <w:color w:val="1F1F1F"/>
          <w:w w:val="105"/>
          <w:sz w:val="21"/>
        </w:rPr>
        <w:t>a</w:t>
      </w:r>
      <w:r>
        <w:rPr>
          <w:color w:val="1F1F1F"/>
          <w:spacing w:val="-8"/>
          <w:w w:val="105"/>
          <w:sz w:val="21"/>
        </w:rPr>
        <w:t> </w:t>
      </w:r>
      <w:r>
        <w:rPr>
          <w:color w:val="4B4B4B"/>
          <w:w w:val="105"/>
          <w:sz w:val="21"/>
        </w:rPr>
        <w:t>'</w:t>
      </w:r>
      <w:r>
        <w:rPr>
          <w:color w:val="1F1F1F"/>
          <w:w w:val="105"/>
          <w:sz w:val="21"/>
        </w:rPr>
        <w:t>Reasonable</w:t>
      </w:r>
      <w:r>
        <w:rPr>
          <w:color w:val="4B4B4B"/>
          <w:w w:val="105"/>
          <w:sz w:val="21"/>
        </w:rPr>
        <w:t>'</w:t>
      </w:r>
      <w:r>
        <w:rPr>
          <w:color w:val="4B4B4B"/>
          <w:spacing w:val="-5"/>
          <w:w w:val="105"/>
          <w:sz w:val="21"/>
        </w:rPr>
        <w:t> </w:t>
      </w:r>
      <w:r>
        <w:rPr>
          <w:color w:val="0C0C0C"/>
          <w:w w:val="105"/>
          <w:sz w:val="21"/>
        </w:rPr>
        <w:t>level</w:t>
      </w:r>
      <w:r>
        <w:rPr>
          <w:color w:val="0C0C0C"/>
          <w:spacing w:val="-6"/>
          <w:w w:val="105"/>
          <w:sz w:val="21"/>
        </w:rPr>
        <w:t> </w:t>
      </w:r>
      <w:r>
        <w:rPr>
          <w:color w:val="1F1F1F"/>
          <w:w w:val="105"/>
          <w:sz w:val="21"/>
        </w:rPr>
        <w:t>of</w:t>
      </w:r>
      <w:r>
        <w:rPr>
          <w:color w:val="1F1F1F"/>
          <w:spacing w:val="-10"/>
          <w:w w:val="105"/>
          <w:sz w:val="21"/>
        </w:rPr>
        <w:t> </w:t>
      </w:r>
      <w:r>
        <w:rPr>
          <w:color w:val="1F1F1F"/>
          <w:w w:val="105"/>
          <w:sz w:val="21"/>
        </w:rPr>
        <w:t>assurance </w:t>
      </w:r>
      <w:r>
        <w:rPr>
          <w:color w:val="0C0C0C"/>
          <w:w w:val="105"/>
          <w:sz w:val="21"/>
        </w:rPr>
        <w:t>with</w:t>
      </w:r>
      <w:r>
        <w:rPr>
          <w:color w:val="0C0C0C"/>
          <w:spacing w:val="-2"/>
          <w:w w:val="105"/>
          <w:sz w:val="21"/>
        </w:rPr>
        <w:t> </w:t>
      </w:r>
      <w:r>
        <w:rPr>
          <w:color w:val="0C0C0C"/>
          <w:w w:val="105"/>
          <w:sz w:val="21"/>
        </w:rPr>
        <w:t>agreed actions to</w:t>
      </w:r>
      <w:r>
        <w:rPr>
          <w:color w:val="0C0C0C"/>
          <w:spacing w:val="-14"/>
          <w:w w:val="105"/>
          <w:sz w:val="21"/>
        </w:rPr>
        <w:t> </w:t>
      </w:r>
      <w:r>
        <w:rPr>
          <w:color w:val="0C0C0C"/>
          <w:w w:val="105"/>
          <w:sz w:val="21"/>
        </w:rPr>
        <w:t>mitigate the</w:t>
      </w:r>
      <w:r>
        <w:rPr>
          <w:color w:val="0C0C0C"/>
          <w:spacing w:val="-7"/>
          <w:w w:val="105"/>
          <w:sz w:val="21"/>
        </w:rPr>
        <w:t> </w:t>
      </w:r>
      <w:r>
        <w:rPr>
          <w:color w:val="1F1F1F"/>
          <w:w w:val="105"/>
          <w:sz w:val="21"/>
        </w:rPr>
        <w:t>issues identified. </w:t>
      </w:r>
      <w:r>
        <w:rPr>
          <w:color w:val="0C0C0C"/>
          <w:w w:val="105"/>
          <w:sz w:val="21"/>
        </w:rPr>
        <w:t>In </w:t>
      </w:r>
      <w:r>
        <w:rPr>
          <w:color w:val="1F1F1F"/>
          <w:w w:val="105"/>
          <w:sz w:val="21"/>
        </w:rPr>
        <w:t>addition</w:t>
      </w:r>
      <w:r>
        <w:rPr>
          <w:color w:val="5D5D5D"/>
          <w:w w:val="105"/>
          <w:sz w:val="21"/>
        </w:rPr>
        <w:t>,</w:t>
      </w:r>
      <w:r>
        <w:rPr>
          <w:color w:val="5D5D5D"/>
          <w:spacing w:val="-15"/>
          <w:w w:val="105"/>
          <w:sz w:val="21"/>
        </w:rPr>
        <w:t> </w:t>
      </w:r>
      <w:r>
        <w:rPr>
          <w:color w:val="1F1F1F"/>
          <w:w w:val="105"/>
          <w:sz w:val="21"/>
        </w:rPr>
        <w:t>the</w:t>
      </w:r>
      <w:r>
        <w:rPr>
          <w:color w:val="1F1F1F"/>
          <w:spacing w:val="-7"/>
          <w:w w:val="105"/>
          <w:sz w:val="21"/>
        </w:rPr>
        <w:t> </w:t>
      </w:r>
      <w:r>
        <w:rPr>
          <w:color w:val="1F1F1F"/>
          <w:w w:val="105"/>
          <w:sz w:val="21"/>
        </w:rPr>
        <w:t>Cyber insurance renewal </w:t>
      </w:r>
      <w:r>
        <w:rPr>
          <w:color w:val="0C0C0C"/>
          <w:w w:val="105"/>
          <w:sz w:val="21"/>
        </w:rPr>
        <w:t>requires the Council to</w:t>
      </w:r>
      <w:r>
        <w:rPr>
          <w:color w:val="0C0C0C"/>
          <w:spacing w:val="-3"/>
          <w:w w:val="105"/>
          <w:sz w:val="21"/>
        </w:rPr>
        <w:t> </w:t>
      </w:r>
      <w:r>
        <w:rPr>
          <w:color w:val="0C0C0C"/>
          <w:w w:val="105"/>
          <w:sz w:val="21"/>
        </w:rPr>
        <w:t>further review its </w:t>
      </w:r>
      <w:r>
        <w:rPr>
          <w:color w:val="1F1F1F"/>
          <w:w w:val="105"/>
          <w:sz w:val="21"/>
        </w:rPr>
        <w:t>cyber arrangements and</w:t>
      </w:r>
      <w:r>
        <w:rPr>
          <w:color w:val="1F1F1F"/>
          <w:spacing w:val="-6"/>
          <w:w w:val="105"/>
          <w:sz w:val="21"/>
        </w:rPr>
        <w:t> </w:t>
      </w:r>
      <w:r>
        <w:rPr>
          <w:color w:val="1F1F1F"/>
          <w:w w:val="105"/>
          <w:sz w:val="21"/>
        </w:rPr>
        <w:t>make any necessary changes</w:t>
      </w:r>
      <w:r>
        <w:rPr>
          <w:color w:val="1F1F1F"/>
          <w:spacing w:val="-3"/>
          <w:w w:val="105"/>
          <w:sz w:val="21"/>
        </w:rPr>
        <w:t> </w:t>
      </w:r>
      <w:r>
        <w:rPr>
          <w:color w:val="1F1F1F"/>
          <w:w w:val="105"/>
          <w:sz w:val="21"/>
        </w:rPr>
        <w:t>to</w:t>
      </w:r>
      <w:r>
        <w:rPr>
          <w:color w:val="1F1F1F"/>
          <w:spacing w:val="-2"/>
          <w:w w:val="105"/>
          <w:sz w:val="21"/>
        </w:rPr>
        <w:t> </w:t>
      </w:r>
      <w:r>
        <w:rPr>
          <w:color w:val="0C0C0C"/>
          <w:w w:val="105"/>
          <w:sz w:val="21"/>
        </w:rPr>
        <w:t>meet their</w:t>
      </w:r>
      <w:r>
        <w:rPr>
          <w:color w:val="0C0C0C"/>
          <w:spacing w:val="-1"/>
          <w:w w:val="105"/>
          <w:sz w:val="21"/>
        </w:rPr>
        <w:t> </w:t>
      </w:r>
      <w:r>
        <w:rPr>
          <w:color w:val="0C0C0C"/>
          <w:w w:val="105"/>
          <w:sz w:val="21"/>
        </w:rPr>
        <w:t>requirements.</w:t>
      </w:r>
      <w:r>
        <w:rPr>
          <w:color w:val="0C0C0C"/>
          <w:spacing w:val="35"/>
          <w:w w:val="105"/>
          <w:sz w:val="21"/>
        </w:rPr>
        <w:t> </w:t>
      </w:r>
      <w:r>
        <w:rPr>
          <w:color w:val="0C0C0C"/>
          <w:w w:val="105"/>
          <w:sz w:val="21"/>
        </w:rPr>
        <w:t>As a</w:t>
      </w:r>
      <w:r>
        <w:rPr>
          <w:color w:val="0C0C0C"/>
          <w:spacing w:val="-5"/>
          <w:w w:val="105"/>
          <w:sz w:val="21"/>
        </w:rPr>
        <w:t> </w:t>
      </w:r>
      <w:r>
        <w:rPr>
          <w:color w:val="0C0C0C"/>
          <w:w w:val="105"/>
          <w:sz w:val="21"/>
        </w:rPr>
        <w:t>result, whilst this </w:t>
      </w:r>
      <w:r>
        <w:rPr>
          <w:color w:val="1F1F1F"/>
          <w:w w:val="105"/>
          <w:sz w:val="21"/>
        </w:rPr>
        <w:t>remains an</w:t>
      </w:r>
      <w:r>
        <w:rPr>
          <w:color w:val="1F1F1F"/>
          <w:spacing w:val="-8"/>
          <w:w w:val="105"/>
          <w:sz w:val="21"/>
        </w:rPr>
        <w:t> </w:t>
      </w:r>
      <w:r>
        <w:rPr>
          <w:color w:val="1F1F1F"/>
          <w:w w:val="105"/>
          <w:sz w:val="21"/>
        </w:rPr>
        <w:t>area </w:t>
      </w:r>
      <w:r>
        <w:rPr>
          <w:color w:val="0C0C0C"/>
          <w:w w:val="105"/>
          <w:sz w:val="21"/>
        </w:rPr>
        <w:t>of</w:t>
      </w:r>
      <w:r>
        <w:rPr>
          <w:color w:val="0C0C0C"/>
          <w:spacing w:val="-1"/>
          <w:w w:val="105"/>
          <w:sz w:val="21"/>
        </w:rPr>
        <w:t> </w:t>
      </w:r>
      <w:r>
        <w:rPr>
          <w:color w:val="1F1F1F"/>
          <w:w w:val="105"/>
          <w:sz w:val="21"/>
        </w:rPr>
        <w:t>high</w:t>
      </w:r>
      <w:r>
        <w:rPr>
          <w:color w:val="1F1F1F"/>
          <w:spacing w:val="-7"/>
          <w:w w:val="105"/>
          <w:sz w:val="21"/>
        </w:rPr>
        <w:t> </w:t>
      </w:r>
      <w:r>
        <w:rPr>
          <w:color w:val="1F1F1F"/>
          <w:w w:val="105"/>
          <w:sz w:val="21"/>
        </w:rPr>
        <w:t>risk it is not considered to</w:t>
      </w:r>
      <w:r>
        <w:rPr>
          <w:color w:val="1F1F1F"/>
          <w:spacing w:val="-7"/>
          <w:w w:val="105"/>
          <w:sz w:val="21"/>
        </w:rPr>
        <w:t> </w:t>
      </w:r>
      <w:r>
        <w:rPr>
          <w:color w:val="0C0C0C"/>
          <w:w w:val="105"/>
          <w:sz w:val="21"/>
        </w:rPr>
        <w:t>constitute a significant governance issue.</w:t>
      </w:r>
    </w:p>
    <w:p>
      <w:pPr>
        <w:pStyle w:val="BodyText"/>
        <w:spacing w:before="13"/>
        <w:rPr>
          <w:sz w:val="21"/>
        </w:rPr>
      </w:pPr>
    </w:p>
    <w:p>
      <w:pPr>
        <w:pStyle w:val="ListParagraph"/>
        <w:numPr>
          <w:ilvl w:val="0"/>
          <w:numId w:val="29"/>
        </w:numPr>
        <w:tabs>
          <w:tab w:val="left" w:leader="none" w:pos="858"/>
        </w:tabs>
        <w:spacing w:before="0" w:after="0" w:line="252" w:lineRule="auto"/>
        <w:ind w:left="858" w:right="338" w:hanging="706"/>
        <w:jc w:val="left"/>
        <w:rPr>
          <w:color w:val="0C0C0C"/>
          <w:sz w:val="21"/>
        </w:rPr>
      </w:pPr>
      <w:r>
        <w:rPr>
          <w:color w:val="0C0C0C"/>
          <w:w w:val="105"/>
          <w:sz w:val="21"/>
        </w:rPr>
        <w:t>The</w:t>
      </w:r>
      <w:r>
        <w:rPr>
          <w:color w:val="0C0C0C"/>
          <w:spacing w:val="-1"/>
          <w:w w:val="105"/>
          <w:sz w:val="21"/>
        </w:rPr>
        <w:t> </w:t>
      </w:r>
      <w:r>
        <w:rPr>
          <w:color w:val="0C0C0C"/>
          <w:w w:val="105"/>
          <w:sz w:val="21"/>
        </w:rPr>
        <w:t>Council continues to manage the risks</w:t>
      </w:r>
      <w:r>
        <w:rPr>
          <w:color w:val="0C0C0C"/>
          <w:spacing w:val="-4"/>
          <w:w w:val="105"/>
          <w:sz w:val="21"/>
        </w:rPr>
        <w:t> </w:t>
      </w:r>
      <w:r>
        <w:rPr>
          <w:color w:val="0C0C0C"/>
          <w:w w:val="105"/>
          <w:sz w:val="21"/>
        </w:rPr>
        <w:t>faced </w:t>
      </w:r>
      <w:r>
        <w:rPr>
          <w:color w:val="1F1F1F"/>
          <w:w w:val="105"/>
          <w:sz w:val="21"/>
        </w:rPr>
        <w:t>in</w:t>
      </w:r>
      <w:r>
        <w:rPr>
          <w:color w:val="1F1F1F"/>
          <w:spacing w:val="-4"/>
          <w:w w:val="105"/>
          <w:sz w:val="21"/>
        </w:rPr>
        <w:t> </w:t>
      </w:r>
      <w:r>
        <w:rPr>
          <w:color w:val="0C0C0C"/>
          <w:w w:val="105"/>
          <w:sz w:val="21"/>
        </w:rPr>
        <w:t>its</w:t>
      </w:r>
      <w:r>
        <w:rPr>
          <w:color w:val="0C0C0C"/>
          <w:spacing w:val="-6"/>
          <w:w w:val="105"/>
          <w:sz w:val="21"/>
        </w:rPr>
        <w:t> </w:t>
      </w:r>
      <w:r>
        <w:rPr>
          <w:color w:val="0C0C0C"/>
          <w:w w:val="105"/>
          <w:sz w:val="21"/>
        </w:rPr>
        <w:t>preparation and delivery</w:t>
      </w:r>
      <w:r>
        <w:rPr>
          <w:color w:val="0C0C0C"/>
          <w:spacing w:val="28"/>
          <w:w w:val="105"/>
          <w:sz w:val="21"/>
        </w:rPr>
        <w:t> </w:t>
      </w:r>
      <w:r>
        <w:rPr>
          <w:color w:val="0C0C0C"/>
          <w:w w:val="105"/>
          <w:sz w:val="21"/>
        </w:rPr>
        <w:t>of </w:t>
      </w:r>
      <w:r>
        <w:rPr>
          <w:color w:val="1F1F1F"/>
          <w:w w:val="105"/>
          <w:sz w:val="21"/>
        </w:rPr>
        <w:t>its </w:t>
      </w:r>
      <w:r>
        <w:rPr>
          <w:color w:val="0C0C0C"/>
          <w:w w:val="105"/>
          <w:sz w:val="21"/>
        </w:rPr>
        <w:t>Development Plan. This is</w:t>
      </w:r>
      <w:r>
        <w:rPr>
          <w:color w:val="0C0C0C"/>
          <w:spacing w:val="-5"/>
          <w:w w:val="105"/>
          <w:sz w:val="21"/>
        </w:rPr>
        <w:t> </w:t>
      </w:r>
      <w:r>
        <w:rPr>
          <w:color w:val="0C0C0C"/>
          <w:w w:val="105"/>
          <w:sz w:val="21"/>
        </w:rPr>
        <w:t>being</w:t>
      </w:r>
      <w:r>
        <w:rPr>
          <w:color w:val="0C0C0C"/>
          <w:spacing w:val="-6"/>
          <w:w w:val="105"/>
          <w:sz w:val="21"/>
        </w:rPr>
        <w:t> </w:t>
      </w:r>
      <w:r>
        <w:rPr>
          <w:color w:val="0C0C0C"/>
          <w:w w:val="105"/>
          <w:sz w:val="21"/>
        </w:rPr>
        <w:t>managed with</w:t>
      </w:r>
      <w:r>
        <w:rPr>
          <w:color w:val="0C0C0C"/>
          <w:spacing w:val="-3"/>
          <w:w w:val="105"/>
          <w:sz w:val="21"/>
        </w:rPr>
        <w:t> </w:t>
      </w:r>
      <w:r>
        <w:rPr>
          <w:color w:val="0C0C0C"/>
          <w:w w:val="105"/>
          <w:sz w:val="21"/>
        </w:rPr>
        <w:t>regular</w:t>
      </w:r>
      <w:r>
        <w:rPr>
          <w:color w:val="0C0C0C"/>
          <w:spacing w:val="-3"/>
          <w:w w:val="105"/>
          <w:sz w:val="21"/>
        </w:rPr>
        <w:t> </w:t>
      </w:r>
      <w:r>
        <w:rPr>
          <w:color w:val="0C0C0C"/>
          <w:w w:val="105"/>
          <w:sz w:val="21"/>
        </w:rPr>
        <w:t>member reporting</w:t>
      </w:r>
      <w:r>
        <w:rPr>
          <w:color w:val="0C0C0C"/>
          <w:spacing w:val="-1"/>
          <w:w w:val="105"/>
          <w:sz w:val="21"/>
        </w:rPr>
        <w:t> </w:t>
      </w:r>
      <w:r>
        <w:rPr>
          <w:color w:val="0C0C0C"/>
          <w:w w:val="105"/>
          <w:sz w:val="21"/>
        </w:rPr>
        <w:t>and</w:t>
      </w:r>
      <w:r>
        <w:rPr>
          <w:color w:val="0C0C0C"/>
          <w:spacing w:val="-7"/>
          <w:w w:val="105"/>
          <w:sz w:val="21"/>
        </w:rPr>
        <w:t> </w:t>
      </w:r>
      <w:r>
        <w:rPr>
          <w:color w:val="0C0C0C"/>
          <w:w w:val="105"/>
          <w:sz w:val="21"/>
        </w:rPr>
        <w:t>a</w:t>
      </w:r>
      <w:r>
        <w:rPr>
          <w:color w:val="0C0C0C"/>
          <w:spacing w:val="-7"/>
          <w:w w:val="105"/>
          <w:sz w:val="21"/>
        </w:rPr>
        <w:t> </w:t>
      </w:r>
      <w:r>
        <w:rPr>
          <w:color w:val="0C0C0C"/>
          <w:w w:val="105"/>
          <w:sz w:val="21"/>
        </w:rPr>
        <w:t>period</w:t>
      </w:r>
      <w:r>
        <w:rPr>
          <w:color w:val="3A3A3A"/>
          <w:w w:val="105"/>
          <w:sz w:val="21"/>
        </w:rPr>
        <w:t>i</w:t>
      </w:r>
      <w:r>
        <w:rPr>
          <w:color w:val="0C0C0C"/>
          <w:w w:val="105"/>
          <w:sz w:val="21"/>
        </w:rPr>
        <w:t>c</w:t>
      </w:r>
      <w:r>
        <w:rPr>
          <w:color w:val="0C0C0C"/>
          <w:spacing w:val="-5"/>
          <w:w w:val="105"/>
          <w:sz w:val="21"/>
        </w:rPr>
        <w:t> </w:t>
      </w:r>
      <w:r>
        <w:rPr>
          <w:color w:val="0C0C0C"/>
          <w:w w:val="105"/>
          <w:sz w:val="21"/>
        </w:rPr>
        <w:t>review of</w:t>
      </w:r>
      <w:r>
        <w:rPr>
          <w:color w:val="0C0C0C"/>
          <w:spacing w:val="-11"/>
          <w:w w:val="105"/>
          <w:sz w:val="21"/>
        </w:rPr>
        <w:t> </w:t>
      </w:r>
      <w:r>
        <w:rPr>
          <w:color w:val="0C0C0C"/>
          <w:w w:val="105"/>
          <w:sz w:val="21"/>
        </w:rPr>
        <w:t>the</w:t>
      </w:r>
      <w:r>
        <w:rPr>
          <w:color w:val="0C0C0C"/>
          <w:spacing w:val="-7"/>
          <w:w w:val="105"/>
          <w:sz w:val="21"/>
        </w:rPr>
        <w:t> </w:t>
      </w:r>
      <w:r>
        <w:rPr>
          <w:color w:val="0C0C0C"/>
          <w:w w:val="105"/>
          <w:sz w:val="21"/>
        </w:rPr>
        <w:t>risk</w:t>
      </w:r>
      <w:r>
        <w:rPr>
          <w:color w:val="0C0C0C"/>
          <w:spacing w:val="-14"/>
          <w:w w:val="105"/>
          <w:sz w:val="21"/>
        </w:rPr>
        <w:t> </w:t>
      </w:r>
      <w:r>
        <w:rPr>
          <w:color w:val="0C0C0C"/>
          <w:w w:val="105"/>
          <w:sz w:val="21"/>
        </w:rPr>
        <w:t>register to </w:t>
      </w:r>
      <w:r>
        <w:rPr>
          <w:color w:val="1F1F1F"/>
          <w:w w:val="105"/>
          <w:sz w:val="21"/>
        </w:rPr>
        <w:t>ensure relevant </w:t>
      </w:r>
      <w:r>
        <w:rPr>
          <w:color w:val="0C0C0C"/>
          <w:w w:val="105"/>
          <w:sz w:val="21"/>
        </w:rPr>
        <w:t>actions are</w:t>
      </w:r>
      <w:r>
        <w:rPr>
          <w:color w:val="0C0C0C"/>
          <w:spacing w:val="-5"/>
          <w:w w:val="105"/>
          <w:sz w:val="21"/>
        </w:rPr>
        <w:t> </w:t>
      </w:r>
      <w:r>
        <w:rPr>
          <w:color w:val="1F1F1F"/>
          <w:w w:val="105"/>
          <w:sz w:val="21"/>
        </w:rPr>
        <w:t>identified </w:t>
      </w:r>
      <w:r>
        <w:rPr>
          <w:color w:val="0C0C0C"/>
          <w:w w:val="105"/>
          <w:sz w:val="21"/>
        </w:rPr>
        <w:t>to</w:t>
      </w:r>
      <w:r>
        <w:rPr>
          <w:color w:val="0C0C0C"/>
          <w:spacing w:val="-5"/>
          <w:w w:val="105"/>
          <w:sz w:val="21"/>
        </w:rPr>
        <w:t> </w:t>
      </w:r>
      <w:r>
        <w:rPr>
          <w:color w:val="0C0C0C"/>
          <w:w w:val="105"/>
          <w:sz w:val="21"/>
        </w:rPr>
        <w:t>mitigate, and</w:t>
      </w:r>
      <w:r>
        <w:rPr>
          <w:color w:val="0C0C0C"/>
          <w:spacing w:val="-6"/>
          <w:w w:val="105"/>
          <w:sz w:val="21"/>
        </w:rPr>
        <w:t> </w:t>
      </w:r>
      <w:r>
        <w:rPr>
          <w:color w:val="0C0C0C"/>
          <w:w w:val="105"/>
          <w:sz w:val="21"/>
        </w:rPr>
        <w:t>manage risk. </w:t>
      </w:r>
      <w:r>
        <w:rPr>
          <w:color w:val="1F1F1F"/>
          <w:w w:val="105"/>
          <w:sz w:val="21"/>
        </w:rPr>
        <w:t>The</w:t>
      </w:r>
      <w:r>
        <w:rPr>
          <w:color w:val="1F1F1F"/>
          <w:spacing w:val="-4"/>
          <w:w w:val="105"/>
          <w:sz w:val="21"/>
        </w:rPr>
        <w:t> </w:t>
      </w:r>
      <w:r>
        <w:rPr>
          <w:color w:val="0C0C0C"/>
          <w:w w:val="105"/>
          <w:sz w:val="21"/>
        </w:rPr>
        <w:t>Council continues to monitor </w:t>
      </w:r>
      <w:r>
        <w:rPr>
          <w:color w:val="1F1F1F"/>
          <w:w w:val="105"/>
          <w:sz w:val="21"/>
        </w:rPr>
        <w:t>the</w:t>
      </w:r>
      <w:r>
        <w:rPr>
          <w:color w:val="1F1F1F"/>
          <w:spacing w:val="-11"/>
          <w:w w:val="105"/>
          <w:sz w:val="21"/>
        </w:rPr>
        <w:t> </w:t>
      </w:r>
      <w:r>
        <w:rPr>
          <w:color w:val="1F1F1F"/>
          <w:w w:val="105"/>
          <w:sz w:val="21"/>
        </w:rPr>
        <w:t>expected publication of</w:t>
      </w:r>
      <w:r>
        <w:rPr>
          <w:color w:val="1F1F1F"/>
          <w:spacing w:val="-2"/>
          <w:w w:val="105"/>
          <w:sz w:val="21"/>
        </w:rPr>
        <w:t> </w:t>
      </w:r>
      <w:r>
        <w:rPr>
          <w:color w:val="0C0C0C"/>
          <w:w w:val="105"/>
          <w:sz w:val="21"/>
        </w:rPr>
        <w:t>a</w:t>
      </w:r>
      <w:r>
        <w:rPr>
          <w:color w:val="0C0C0C"/>
          <w:spacing w:val="-16"/>
          <w:w w:val="105"/>
          <w:sz w:val="21"/>
        </w:rPr>
        <w:t> </w:t>
      </w:r>
      <w:r>
        <w:rPr>
          <w:color w:val="0C0C0C"/>
          <w:w w:val="105"/>
          <w:sz w:val="21"/>
        </w:rPr>
        <w:t>revised</w:t>
      </w:r>
      <w:r>
        <w:rPr>
          <w:color w:val="0C0C0C"/>
          <w:spacing w:val="-7"/>
          <w:w w:val="105"/>
          <w:sz w:val="21"/>
        </w:rPr>
        <w:t> </w:t>
      </w:r>
      <w:r>
        <w:rPr>
          <w:color w:val="0C0C0C"/>
          <w:w w:val="105"/>
          <w:sz w:val="21"/>
        </w:rPr>
        <w:t>NPPF</w:t>
      </w:r>
      <w:r>
        <w:rPr>
          <w:color w:val="0C0C0C"/>
          <w:spacing w:val="-15"/>
          <w:w w:val="105"/>
          <w:sz w:val="21"/>
        </w:rPr>
        <w:t> </w:t>
      </w:r>
      <w:r>
        <w:rPr>
          <w:color w:val="0C0C0C"/>
          <w:w w:val="105"/>
          <w:sz w:val="21"/>
        </w:rPr>
        <w:t>in</w:t>
      </w:r>
      <w:r>
        <w:rPr>
          <w:color w:val="0C0C0C"/>
          <w:spacing w:val="-2"/>
          <w:w w:val="105"/>
          <w:sz w:val="21"/>
        </w:rPr>
        <w:t> </w:t>
      </w:r>
      <w:r>
        <w:rPr>
          <w:color w:val="0C0C0C"/>
          <w:w w:val="105"/>
          <w:sz w:val="21"/>
        </w:rPr>
        <w:t>Spring</w:t>
      </w:r>
      <w:r>
        <w:rPr>
          <w:color w:val="0C0C0C"/>
          <w:spacing w:val="-3"/>
          <w:w w:val="105"/>
          <w:sz w:val="21"/>
        </w:rPr>
        <w:t> </w:t>
      </w:r>
      <w:r>
        <w:rPr>
          <w:color w:val="0C0C0C"/>
          <w:w w:val="105"/>
          <w:sz w:val="21"/>
        </w:rPr>
        <w:t>/</w:t>
      </w:r>
      <w:r>
        <w:rPr>
          <w:color w:val="0C0C0C"/>
          <w:spacing w:val="-4"/>
          <w:w w:val="105"/>
          <w:sz w:val="21"/>
        </w:rPr>
        <w:t> </w:t>
      </w:r>
      <w:r>
        <w:rPr>
          <w:color w:val="0C0C0C"/>
          <w:w w:val="105"/>
          <w:sz w:val="21"/>
        </w:rPr>
        <w:t>Summer 2023, along with</w:t>
      </w:r>
      <w:r>
        <w:rPr>
          <w:color w:val="0C0C0C"/>
          <w:spacing w:val="-4"/>
          <w:w w:val="105"/>
          <w:sz w:val="21"/>
        </w:rPr>
        <w:t> </w:t>
      </w:r>
      <w:r>
        <w:rPr>
          <w:color w:val="0C0C0C"/>
          <w:w w:val="105"/>
          <w:sz w:val="21"/>
        </w:rPr>
        <w:t>resourcing to </w:t>
      </w:r>
      <w:r>
        <w:rPr>
          <w:color w:val="1F1F1F"/>
          <w:w w:val="105"/>
          <w:sz w:val="21"/>
        </w:rPr>
        <w:t>ensure it </w:t>
      </w:r>
      <w:r>
        <w:rPr>
          <w:color w:val="0C0C0C"/>
          <w:w w:val="105"/>
          <w:sz w:val="21"/>
        </w:rPr>
        <w:t>is able</w:t>
      </w:r>
      <w:r>
        <w:rPr>
          <w:color w:val="0C0C0C"/>
          <w:spacing w:val="-2"/>
          <w:w w:val="105"/>
          <w:sz w:val="21"/>
        </w:rPr>
        <w:t> </w:t>
      </w:r>
      <w:r>
        <w:rPr>
          <w:color w:val="0C0C0C"/>
          <w:w w:val="105"/>
          <w:sz w:val="21"/>
        </w:rPr>
        <w:t>to </w:t>
      </w:r>
      <w:r>
        <w:rPr>
          <w:color w:val="1F1F1F"/>
          <w:w w:val="105"/>
          <w:sz w:val="21"/>
        </w:rPr>
        <w:t>prepare and</w:t>
      </w:r>
      <w:r>
        <w:rPr>
          <w:color w:val="1F1F1F"/>
          <w:spacing w:val="-4"/>
          <w:w w:val="105"/>
          <w:sz w:val="21"/>
        </w:rPr>
        <w:t> </w:t>
      </w:r>
      <w:r>
        <w:rPr>
          <w:color w:val="1F1F1F"/>
          <w:w w:val="105"/>
          <w:sz w:val="21"/>
        </w:rPr>
        <w:t>deliver an</w:t>
      </w:r>
      <w:r>
        <w:rPr>
          <w:color w:val="1F1F1F"/>
          <w:spacing w:val="-2"/>
          <w:w w:val="105"/>
          <w:sz w:val="21"/>
        </w:rPr>
        <w:t> </w:t>
      </w:r>
      <w:r>
        <w:rPr>
          <w:color w:val="1F1F1F"/>
          <w:w w:val="105"/>
          <w:sz w:val="21"/>
        </w:rPr>
        <w:t>up-to-date </w:t>
      </w:r>
      <w:r>
        <w:rPr>
          <w:color w:val="0C0C0C"/>
          <w:w w:val="105"/>
          <w:sz w:val="21"/>
        </w:rPr>
        <w:t>Development Plan. As a</w:t>
      </w:r>
      <w:r>
        <w:rPr>
          <w:color w:val="0C0C0C"/>
          <w:spacing w:val="-9"/>
          <w:w w:val="105"/>
          <w:sz w:val="21"/>
        </w:rPr>
        <w:t> </w:t>
      </w:r>
      <w:r>
        <w:rPr>
          <w:color w:val="0C0C0C"/>
          <w:w w:val="105"/>
          <w:sz w:val="21"/>
        </w:rPr>
        <w:t>result, it is not cons</w:t>
      </w:r>
      <w:r>
        <w:rPr>
          <w:color w:val="3A3A3A"/>
          <w:w w:val="105"/>
          <w:sz w:val="21"/>
        </w:rPr>
        <w:t>i</w:t>
      </w:r>
      <w:r>
        <w:rPr>
          <w:color w:val="1F1F1F"/>
          <w:w w:val="105"/>
          <w:sz w:val="21"/>
        </w:rPr>
        <w:t>dered </w:t>
      </w:r>
      <w:r>
        <w:rPr>
          <w:color w:val="0C0C0C"/>
          <w:w w:val="105"/>
          <w:sz w:val="21"/>
        </w:rPr>
        <w:t>to constitute </w:t>
      </w:r>
      <w:r>
        <w:rPr>
          <w:color w:val="1F1F1F"/>
          <w:w w:val="105"/>
          <w:sz w:val="21"/>
        </w:rPr>
        <w:t>a </w:t>
      </w:r>
      <w:r>
        <w:rPr>
          <w:color w:val="0C0C0C"/>
          <w:w w:val="105"/>
          <w:sz w:val="21"/>
        </w:rPr>
        <w:t>significant </w:t>
      </w:r>
      <w:r>
        <w:rPr>
          <w:color w:val="1F1F1F"/>
          <w:w w:val="105"/>
          <w:sz w:val="21"/>
        </w:rPr>
        <w:t>governance issue.</w:t>
      </w:r>
    </w:p>
    <w:p>
      <w:pPr>
        <w:spacing w:after="0" w:line="252" w:lineRule="auto"/>
        <w:jc w:val="left"/>
        <w:rPr>
          <w:sz w:val="21"/>
        </w:rPr>
        <w:sectPr>
          <w:headerReference w:type="default" r:id="rId321"/>
          <w:pgSz w:w="11910" w:h="16830"/>
          <w:pgMar w:top="560" w:right="540" w:bottom="1360" w:left="440" w:header="0" w:footer="0"/>
        </w:sectPr>
      </w:pPr>
    </w:p>
    <w:p>
      <w:pPr>
        <w:spacing w:before="78"/>
        <w:ind w:left="1829" w:right="0" w:firstLine="0"/>
        <w:jc w:val="left"/>
        <w:rPr>
          <w:sz w:val="15"/>
        </w:rPr>
      </w:pPr>
      <w:r>
        <w:rPr>
          <w:color w:val="A3A3A3"/>
          <w:w w:val="105"/>
          <w:sz w:val="15"/>
        </w:rPr>
        <w:t>AN:\lUAl</w:t>
      </w:r>
      <w:r>
        <w:rPr>
          <w:color w:val="A3A3A3"/>
          <w:spacing w:val="21"/>
          <w:w w:val="105"/>
          <w:sz w:val="15"/>
        </w:rPr>
        <w:t> </w:t>
      </w:r>
      <w:r>
        <w:rPr>
          <w:color w:val="A3A3A3"/>
          <w:w w:val="105"/>
          <w:sz w:val="15"/>
        </w:rPr>
        <w:t>GOVERNMiCE</w:t>
      </w:r>
      <w:r>
        <w:rPr>
          <w:color w:val="A3A3A3"/>
          <w:spacing w:val="36"/>
          <w:w w:val="105"/>
          <w:sz w:val="15"/>
        </w:rPr>
        <w:t> </w:t>
      </w:r>
      <w:r>
        <w:rPr>
          <w:color w:val="A3A3A3"/>
          <w:w w:val="105"/>
          <w:sz w:val="15"/>
        </w:rPr>
        <w:t>ST'.\</w:t>
      </w:r>
      <w:r>
        <w:rPr>
          <w:color w:val="A3A3A3"/>
          <w:spacing w:val="-19"/>
          <w:w w:val="105"/>
          <w:sz w:val="15"/>
        </w:rPr>
        <w:t> </w:t>
      </w:r>
      <w:r>
        <w:rPr>
          <w:color w:val="A3A3A3"/>
          <w:w w:val="105"/>
          <w:sz w:val="15"/>
        </w:rPr>
        <w:t>TEf,/1:::</w:t>
      </w:r>
      <w:r>
        <w:rPr>
          <w:color w:val="A3A3A3"/>
          <w:spacing w:val="-1"/>
          <w:w w:val="105"/>
          <w:sz w:val="15"/>
        </w:rPr>
        <w:t> </w:t>
      </w:r>
      <w:r>
        <w:rPr>
          <w:color w:val="A3A3A3"/>
          <w:spacing w:val="-10"/>
          <w:w w:val="105"/>
          <w:sz w:val="15"/>
        </w:rPr>
        <w:t>F</w:t>
      </w:r>
    </w:p>
    <w:p>
      <w:pPr>
        <w:pStyle w:val="BodyText"/>
        <w:spacing w:before="55"/>
        <w:rPr>
          <w:sz w:val="15"/>
        </w:rPr>
      </w:pPr>
    </w:p>
    <w:p>
      <w:pPr>
        <w:spacing w:before="0"/>
        <w:ind w:left="1068" w:right="0" w:firstLine="0"/>
        <w:jc w:val="left"/>
        <w:rPr>
          <w:b/>
          <w:sz w:val="22"/>
        </w:rPr>
      </w:pPr>
      <w:r>
        <w:rPr>
          <w:b/>
          <w:color w:val="0C0C0C"/>
          <w:spacing w:val="-2"/>
          <w:sz w:val="22"/>
          <w:u w:val="thick" w:color="0C0C0C"/>
        </w:rPr>
        <w:t>CERTIFICATION</w:t>
      </w:r>
    </w:p>
    <w:p>
      <w:pPr>
        <w:pStyle w:val="BodyText"/>
        <w:spacing w:before="13"/>
        <w:rPr>
          <w:b/>
        </w:rPr>
      </w:pPr>
    </w:p>
    <w:p>
      <w:pPr>
        <w:pStyle w:val="ListParagraph"/>
        <w:numPr>
          <w:ilvl w:val="0"/>
          <w:numId w:val="29"/>
        </w:numPr>
        <w:tabs>
          <w:tab w:val="left" w:leader="none" w:pos="1050"/>
          <w:tab w:val="left" w:leader="none" w:pos="1062"/>
        </w:tabs>
        <w:spacing w:before="0" w:after="0" w:line="252" w:lineRule="auto"/>
        <w:ind w:left="1050" w:right="180" w:hanging="697"/>
        <w:jc w:val="left"/>
        <w:rPr>
          <w:color w:val="0C0C0C"/>
          <w:sz w:val="21"/>
        </w:rPr>
      </w:pPr>
      <w:r>
        <w:rPr>
          <w:color w:val="3F3F3F"/>
          <w:sz w:val="21"/>
        </w:rPr>
        <w:tab/>
      </w:r>
      <w:r>
        <w:rPr>
          <w:color w:val="0C0C0C"/>
          <w:w w:val="105"/>
          <w:sz w:val="21"/>
        </w:rPr>
        <w:t>We</w:t>
      </w:r>
      <w:r>
        <w:rPr>
          <w:color w:val="0C0C0C"/>
          <w:spacing w:val="-4"/>
          <w:w w:val="105"/>
          <w:sz w:val="21"/>
        </w:rPr>
        <w:t> </w:t>
      </w:r>
      <w:r>
        <w:rPr>
          <w:color w:val="0C0C0C"/>
          <w:w w:val="105"/>
          <w:sz w:val="21"/>
        </w:rPr>
        <w:t>have</w:t>
      </w:r>
      <w:r>
        <w:rPr>
          <w:color w:val="0C0C0C"/>
          <w:spacing w:val="-3"/>
          <w:w w:val="105"/>
          <w:sz w:val="21"/>
        </w:rPr>
        <w:t> </w:t>
      </w:r>
      <w:r>
        <w:rPr>
          <w:color w:val="0C0C0C"/>
          <w:w w:val="105"/>
          <w:sz w:val="21"/>
        </w:rPr>
        <w:t>been advised on</w:t>
      </w:r>
      <w:r>
        <w:rPr>
          <w:color w:val="0C0C0C"/>
          <w:spacing w:val="-1"/>
          <w:w w:val="105"/>
          <w:sz w:val="21"/>
        </w:rPr>
        <w:t> </w:t>
      </w:r>
      <w:r>
        <w:rPr>
          <w:color w:val="0C0C0C"/>
          <w:w w:val="105"/>
          <w:sz w:val="21"/>
        </w:rPr>
        <w:t>the</w:t>
      </w:r>
      <w:r>
        <w:rPr>
          <w:color w:val="0C0C0C"/>
          <w:spacing w:val="-5"/>
          <w:w w:val="105"/>
          <w:sz w:val="21"/>
        </w:rPr>
        <w:t> </w:t>
      </w:r>
      <w:r>
        <w:rPr>
          <w:color w:val="0C0C0C"/>
          <w:w w:val="105"/>
          <w:sz w:val="21"/>
        </w:rPr>
        <w:t>implications of the result of the review of the</w:t>
      </w:r>
      <w:r>
        <w:rPr>
          <w:color w:val="0C0C0C"/>
          <w:spacing w:val="-4"/>
          <w:w w:val="105"/>
          <w:sz w:val="21"/>
        </w:rPr>
        <w:t> </w:t>
      </w:r>
      <w:r>
        <w:rPr>
          <w:color w:val="0C0C0C"/>
          <w:w w:val="105"/>
          <w:sz w:val="21"/>
        </w:rPr>
        <w:t>effectiveness of the </w:t>
      </w:r>
      <w:r>
        <w:rPr>
          <w:color w:val="1D1D1D"/>
          <w:w w:val="105"/>
          <w:sz w:val="21"/>
        </w:rPr>
        <w:t>governance framework</w:t>
      </w:r>
      <w:r>
        <w:rPr>
          <w:color w:val="1D1D1D"/>
          <w:spacing w:val="14"/>
          <w:w w:val="105"/>
          <w:sz w:val="21"/>
        </w:rPr>
        <w:t> </w:t>
      </w:r>
      <w:r>
        <w:rPr>
          <w:color w:val="0C0C0C"/>
          <w:w w:val="105"/>
          <w:sz w:val="21"/>
        </w:rPr>
        <w:t>by </w:t>
      </w:r>
      <w:r>
        <w:rPr>
          <w:color w:val="1D1D1D"/>
          <w:w w:val="105"/>
          <w:sz w:val="21"/>
        </w:rPr>
        <w:t>the</w:t>
      </w:r>
      <w:r>
        <w:rPr>
          <w:color w:val="1D1D1D"/>
          <w:spacing w:val="-10"/>
          <w:w w:val="105"/>
          <w:sz w:val="21"/>
        </w:rPr>
        <w:t> </w:t>
      </w:r>
      <w:r>
        <w:rPr>
          <w:color w:val="0C0C0C"/>
          <w:w w:val="105"/>
          <w:sz w:val="21"/>
        </w:rPr>
        <w:t>Executive</w:t>
      </w:r>
      <w:r>
        <w:rPr>
          <w:color w:val="5B5B5B"/>
          <w:w w:val="105"/>
          <w:sz w:val="21"/>
        </w:rPr>
        <w:t>,</w:t>
      </w:r>
      <w:r>
        <w:rPr>
          <w:color w:val="5B5B5B"/>
          <w:spacing w:val="-12"/>
          <w:w w:val="105"/>
          <w:sz w:val="21"/>
        </w:rPr>
        <w:t> </w:t>
      </w:r>
      <w:r>
        <w:rPr>
          <w:color w:val="1D1D1D"/>
          <w:w w:val="105"/>
          <w:sz w:val="21"/>
        </w:rPr>
        <w:t>the Audit Committee and</w:t>
      </w:r>
      <w:r>
        <w:rPr>
          <w:color w:val="1D1D1D"/>
          <w:spacing w:val="-17"/>
          <w:w w:val="105"/>
          <w:sz w:val="21"/>
        </w:rPr>
        <w:t> </w:t>
      </w:r>
      <w:r>
        <w:rPr>
          <w:color w:val="1D1D1D"/>
          <w:w w:val="105"/>
          <w:sz w:val="21"/>
        </w:rPr>
        <w:t>the</w:t>
      </w:r>
      <w:r>
        <w:rPr>
          <w:color w:val="1D1D1D"/>
          <w:spacing w:val="-11"/>
          <w:w w:val="105"/>
          <w:sz w:val="21"/>
        </w:rPr>
        <w:t> </w:t>
      </w:r>
      <w:r>
        <w:rPr>
          <w:color w:val="1D1D1D"/>
          <w:w w:val="105"/>
          <w:sz w:val="21"/>
        </w:rPr>
        <w:t>Governance Group</w:t>
      </w:r>
      <w:r>
        <w:rPr>
          <w:color w:val="5B5B5B"/>
          <w:w w:val="105"/>
          <w:sz w:val="21"/>
        </w:rPr>
        <w:t>,</w:t>
      </w:r>
      <w:r>
        <w:rPr>
          <w:color w:val="5B5B5B"/>
          <w:spacing w:val="-15"/>
          <w:w w:val="105"/>
          <w:sz w:val="21"/>
        </w:rPr>
        <w:t> </w:t>
      </w:r>
      <w:r>
        <w:rPr>
          <w:color w:val="1D1D1D"/>
          <w:w w:val="105"/>
          <w:sz w:val="21"/>
        </w:rPr>
        <w:t>and</w:t>
      </w:r>
      <w:r>
        <w:rPr>
          <w:color w:val="1D1D1D"/>
          <w:spacing w:val="-11"/>
          <w:w w:val="105"/>
          <w:sz w:val="21"/>
        </w:rPr>
        <w:t> </w:t>
      </w:r>
      <w:r>
        <w:rPr>
          <w:color w:val="1D1D1D"/>
          <w:w w:val="105"/>
          <w:sz w:val="21"/>
        </w:rPr>
        <w:t>that the arrangements</w:t>
      </w:r>
      <w:r>
        <w:rPr>
          <w:color w:val="1D1D1D"/>
          <w:spacing w:val="26"/>
          <w:w w:val="105"/>
          <w:sz w:val="21"/>
        </w:rPr>
        <w:t> </w:t>
      </w:r>
      <w:r>
        <w:rPr>
          <w:color w:val="1D1D1D"/>
          <w:w w:val="105"/>
          <w:sz w:val="21"/>
        </w:rPr>
        <w:t>continue to</w:t>
      </w:r>
      <w:r>
        <w:rPr>
          <w:color w:val="1D1D1D"/>
          <w:spacing w:val="-7"/>
          <w:w w:val="105"/>
          <w:sz w:val="21"/>
        </w:rPr>
        <w:t> </w:t>
      </w:r>
      <w:r>
        <w:rPr>
          <w:color w:val="0C0C0C"/>
          <w:w w:val="105"/>
          <w:sz w:val="21"/>
        </w:rPr>
        <w:t>be</w:t>
      </w:r>
      <w:r>
        <w:rPr>
          <w:color w:val="0C0C0C"/>
          <w:spacing w:val="-3"/>
          <w:w w:val="105"/>
          <w:sz w:val="21"/>
        </w:rPr>
        <w:t> </w:t>
      </w:r>
      <w:r>
        <w:rPr>
          <w:color w:val="1D1D1D"/>
          <w:w w:val="105"/>
          <w:sz w:val="21"/>
        </w:rPr>
        <w:t>regarded as fit</w:t>
      </w:r>
      <w:r>
        <w:rPr>
          <w:color w:val="1D1D1D"/>
          <w:spacing w:val="-3"/>
          <w:w w:val="105"/>
          <w:sz w:val="21"/>
        </w:rPr>
        <w:t> </w:t>
      </w:r>
      <w:r>
        <w:rPr>
          <w:color w:val="1D1D1D"/>
          <w:w w:val="105"/>
          <w:sz w:val="21"/>
        </w:rPr>
        <w:t>for purpose in accordance with</w:t>
      </w:r>
      <w:r>
        <w:rPr>
          <w:color w:val="1D1D1D"/>
          <w:spacing w:val="-1"/>
          <w:w w:val="105"/>
          <w:sz w:val="21"/>
        </w:rPr>
        <w:t> </w:t>
      </w:r>
      <w:r>
        <w:rPr>
          <w:color w:val="1D1D1D"/>
          <w:w w:val="105"/>
          <w:sz w:val="21"/>
        </w:rPr>
        <w:t>the governance framework</w:t>
      </w:r>
      <w:r>
        <w:rPr>
          <w:color w:val="5B5B5B"/>
          <w:w w:val="105"/>
          <w:sz w:val="21"/>
        </w:rPr>
        <w:t>.</w:t>
      </w:r>
      <w:r>
        <w:rPr>
          <w:color w:val="5B5B5B"/>
          <w:spacing w:val="-9"/>
          <w:w w:val="105"/>
          <w:sz w:val="21"/>
        </w:rPr>
        <w:t> </w:t>
      </w:r>
      <w:r>
        <w:rPr>
          <w:color w:val="1D1D1D"/>
          <w:w w:val="105"/>
          <w:sz w:val="21"/>
        </w:rPr>
        <w:t>The areas already </w:t>
      </w:r>
      <w:r>
        <w:rPr>
          <w:color w:val="0C0C0C"/>
          <w:w w:val="105"/>
          <w:sz w:val="21"/>
        </w:rPr>
        <w:t>addressed </w:t>
      </w:r>
      <w:r>
        <w:rPr>
          <w:color w:val="1D1D1D"/>
          <w:w w:val="105"/>
          <w:sz w:val="21"/>
        </w:rPr>
        <w:t>and</w:t>
      </w:r>
      <w:r>
        <w:rPr>
          <w:color w:val="1D1D1D"/>
          <w:spacing w:val="-5"/>
          <w:w w:val="105"/>
          <w:sz w:val="21"/>
        </w:rPr>
        <w:t> </w:t>
      </w:r>
      <w:r>
        <w:rPr>
          <w:color w:val="1D1D1D"/>
          <w:w w:val="105"/>
          <w:sz w:val="21"/>
        </w:rPr>
        <w:t>those to</w:t>
      </w:r>
      <w:r>
        <w:rPr>
          <w:color w:val="1D1D1D"/>
          <w:spacing w:val="-4"/>
          <w:w w:val="105"/>
          <w:sz w:val="21"/>
        </w:rPr>
        <w:t> </w:t>
      </w:r>
      <w:r>
        <w:rPr>
          <w:color w:val="1D1D1D"/>
          <w:w w:val="105"/>
          <w:sz w:val="21"/>
        </w:rPr>
        <w:t>be</w:t>
      </w:r>
      <w:r>
        <w:rPr>
          <w:color w:val="1D1D1D"/>
          <w:spacing w:val="-3"/>
          <w:w w:val="105"/>
          <w:sz w:val="21"/>
        </w:rPr>
        <w:t> </w:t>
      </w:r>
      <w:r>
        <w:rPr>
          <w:color w:val="1D1D1D"/>
          <w:w w:val="105"/>
          <w:sz w:val="21"/>
        </w:rPr>
        <w:t>specifically</w:t>
      </w:r>
      <w:r>
        <w:rPr>
          <w:color w:val="1D1D1D"/>
          <w:spacing w:val="32"/>
          <w:w w:val="105"/>
          <w:sz w:val="21"/>
        </w:rPr>
        <w:t> </w:t>
      </w:r>
      <w:r>
        <w:rPr>
          <w:color w:val="1D1D1D"/>
          <w:w w:val="105"/>
          <w:sz w:val="21"/>
        </w:rPr>
        <w:t>addressed with new actions planned </w:t>
      </w:r>
      <w:r>
        <w:rPr>
          <w:color w:val="0C0C0C"/>
          <w:w w:val="105"/>
          <w:sz w:val="21"/>
        </w:rPr>
        <w:t>are outlined </w:t>
      </w:r>
      <w:r>
        <w:rPr>
          <w:color w:val="1D1D1D"/>
          <w:w w:val="105"/>
          <w:sz w:val="21"/>
        </w:rPr>
        <w:t>above, </w:t>
      </w:r>
      <w:r>
        <w:rPr>
          <w:color w:val="0C0C0C"/>
          <w:w w:val="105"/>
          <w:sz w:val="21"/>
        </w:rPr>
        <w:t>and</w:t>
      </w:r>
      <w:r>
        <w:rPr>
          <w:color w:val="0C0C0C"/>
          <w:spacing w:val="-2"/>
          <w:w w:val="105"/>
          <w:sz w:val="21"/>
        </w:rPr>
        <w:t> </w:t>
      </w:r>
      <w:r>
        <w:rPr>
          <w:color w:val="0C0C0C"/>
          <w:w w:val="105"/>
          <w:sz w:val="21"/>
        </w:rPr>
        <w:t>the plan</w:t>
      </w:r>
      <w:r>
        <w:rPr>
          <w:color w:val="0C0C0C"/>
          <w:spacing w:val="-3"/>
          <w:w w:val="105"/>
          <w:sz w:val="21"/>
        </w:rPr>
        <w:t> </w:t>
      </w:r>
      <w:r>
        <w:rPr>
          <w:color w:val="0C0C0C"/>
          <w:w w:val="105"/>
          <w:sz w:val="21"/>
        </w:rPr>
        <w:t>to address </w:t>
      </w:r>
      <w:r>
        <w:rPr>
          <w:color w:val="1D1D1D"/>
          <w:w w:val="105"/>
          <w:sz w:val="21"/>
        </w:rPr>
        <w:t>the</w:t>
      </w:r>
      <w:r>
        <w:rPr>
          <w:color w:val="1D1D1D"/>
          <w:spacing w:val="-2"/>
          <w:w w:val="105"/>
          <w:sz w:val="21"/>
        </w:rPr>
        <w:t> </w:t>
      </w:r>
      <w:r>
        <w:rPr>
          <w:color w:val="1D1D1D"/>
          <w:w w:val="105"/>
          <w:sz w:val="21"/>
        </w:rPr>
        <w:t>identified weaknesses</w:t>
      </w:r>
      <w:r>
        <w:rPr>
          <w:color w:val="1D1D1D"/>
          <w:spacing w:val="33"/>
          <w:w w:val="105"/>
          <w:sz w:val="21"/>
        </w:rPr>
        <w:t> </w:t>
      </w:r>
      <w:r>
        <w:rPr>
          <w:color w:val="1D1D1D"/>
          <w:w w:val="105"/>
          <w:sz w:val="21"/>
        </w:rPr>
        <w:t>and to</w:t>
      </w:r>
      <w:r>
        <w:rPr>
          <w:color w:val="1D1D1D"/>
          <w:spacing w:val="-3"/>
          <w:w w:val="105"/>
          <w:sz w:val="21"/>
        </w:rPr>
        <w:t> </w:t>
      </w:r>
      <w:r>
        <w:rPr>
          <w:color w:val="1D1D1D"/>
          <w:w w:val="105"/>
          <w:sz w:val="21"/>
        </w:rPr>
        <w:t>ensure continuous </w:t>
      </w:r>
      <w:r>
        <w:rPr>
          <w:color w:val="0C0C0C"/>
          <w:w w:val="105"/>
          <w:sz w:val="21"/>
        </w:rPr>
        <w:t>improvement of the system is in place.</w:t>
      </w:r>
    </w:p>
    <w:p>
      <w:pPr>
        <w:pStyle w:val="BodyText"/>
        <w:spacing w:before="6"/>
        <w:rPr>
          <w:sz w:val="21"/>
        </w:rPr>
      </w:pPr>
    </w:p>
    <w:p>
      <w:pPr>
        <w:pStyle w:val="ListParagraph"/>
        <w:numPr>
          <w:ilvl w:val="0"/>
          <w:numId w:val="29"/>
        </w:numPr>
        <w:tabs>
          <w:tab w:val="left" w:leader="none" w:pos="1026"/>
          <w:tab w:val="left" w:leader="none" w:pos="1038"/>
        </w:tabs>
        <w:spacing w:before="0" w:after="0" w:line="252" w:lineRule="auto"/>
        <w:ind w:left="1026" w:right="245" w:hanging="692"/>
        <w:jc w:val="left"/>
        <w:rPr>
          <w:color w:val="0C0C0C"/>
          <w:sz w:val="21"/>
        </w:rPr>
      </w:pPr>
      <w:r>
        <w:rPr>
          <w:color w:val="5B5B5B"/>
          <w:sz w:val="21"/>
        </w:rPr>
        <w:tab/>
      </w:r>
      <w:r>
        <w:rPr>
          <w:color w:val="0C0C0C"/>
          <w:w w:val="105"/>
          <w:sz w:val="21"/>
        </w:rPr>
        <w:t>We </w:t>
      </w:r>
      <w:r>
        <w:rPr>
          <w:color w:val="1D1D1D"/>
          <w:w w:val="105"/>
          <w:sz w:val="21"/>
        </w:rPr>
        <w:t>propose to</w:t>
      </w:r>
      <w:r>
        <w:rPr>
          <w:color w:val="1D1D1D"/>
          <w:spacing w:val="-1"/>
          <w:w w:val="105"/>
          <w:sz w:val="21"/>
        </w:rPr>
        <w:t> </w:t>
      </w:r>
      <w:r>
        <w:rPr>
          <w:color w:val="1D1D1D"/>
          <w:w w:val="105"/>
          <w:sz w:val="21"/>
        </w:rPr>
        <w:t>take</w:t>
      </w:r>
      <w:r>
        <w:rPr>
          <w:color w:val="1D1D1D"/>
          <w:spacing w:val="-5"/>
          <w:w w:val="105"/>
          <w:sz w:val="21"/>
        </w:rPr>
        <w:t> </w:t>
      </w:r>
      <w:r>
        <w:rPr>
          <w:color w:val="0C0C0C"/>
          <w:w w:val="105"/>
          <w:sz w:val="21"/>
        </w:rPr>
        <w:t>steps </w:t>
      </w:r>
      <w:r>
        <w:rPr>
          <w:color w:val="1D1D1D"/>
          <w:w w:val="105"/>
          <w:sz w:val="21"/>
        </w:rPr>
        <w:t>over</w:t>
      </w:r>
      <w:r>
        <w:rPr>
          <w:color w:val="1D1D1D"/>
          <w:spacing w:val="-2"/>
          <w:w w:val="105"/>
          <w:sz w:val="21"/>
        </w:rPr>
        <w:t> </w:t>
      </w:r>
      <w:r>
        <w:rPr>
          <w:color w:val="0C0C0C"/>
          <w:w w:val="105"/>
          <w:sz w:val="21"/>
        </w:rPr>
        <w:t>the </w:t>
      </w:r>
      <w:r>
        <w:rPr>
          <w:color w:val="1D1D1D"/>
          <w:w w:val="105"/>
          <w:sz w:val="21"/>
        </w:rPr>
        <w:t>coming </w:t>
      </w:r>
      <w:r>
        <w:rPr>
          <w:color w:val="0C0C0C"/>
          <w:w w:val="105"/>
          <w:sz w:val="21"/>
        </w:rPr>
        <w:t>financ</w:t>
      </w:r>
      <w:r>
        <w:rPr>
          <w:color w:val="3F3F3F"/>
          <w:w w:val="105"/>
          <w:sz w:val="21"/>
        </w:rPr>
        <w:t>i</w:t>
      </w:r>
      <w:r>
        <w:rPr>
          <w:color w:val="1D1D1D"/>
          <w:w w:val="105"/>
          <w:sz w:val="21"/>
        </w:rPr>
        <w:t>al year to </w:t>
      </w:r>
      <w:r>
        <w:rPr>
          <w:color w:val="0C0C0C"/>
          <w:w w:val="105"/>
          <w:sz w:val="21"/>
        </w:rPr>
        <w:t>address the </w:t>
      </w:r>
      <w:r>
        <w:rPr>
          <w:color w:val="1D1D1D"/>
          <w:w w:val="105"/>
          <w:sz w:val="21"/>
        </w:rPr>
        <w:t>above </w:t>
      </w:r>
      <w:r>
        <w:rPr>
          <w:color w:val="0C0C0C"/>
          <w:w w:val="105"/>
          <w:sz w:val="21"/>
        </w:rPr>
        <w:t>matters</w:t>
      </w:r>
      <w:r>
        <w:rPr>
          <w:color w:val="0C0C0C"/>
          <w:spacing w:val="-1"/>
          <w:w w:val="105"/>
          <w:sz w:val="21"/>
        </w:rPr>
        <w:t> </w:t>
      </w:r>
      <w:r>
        <w:rPr>
          <w:color w:val="0C0C0C"/>
          <w:w w:val="105"/>
          <w:sz w:val="21"/>
        </w:rPr>
        <w:t>to further enhance our</w:t>
      </w:r>
      <w:r>
        <w:rPr>
          <w:color w:val="0C0C0C"/>
          <w:spacing w:val="-5"/>
          <w:w w:val="105"/>
          <w:sz w:val="21"/>
        </w:rPr>
        <w:t> </w:t>
      </w:r>
      <w:r>
        <w:rPr>
          <w:color w:val="1D1D1D"/>
          <w:w w:val="105"/>
          <w:sz w:val="21"/>
        </w:rPr>
        <w:t>governance</w:t>
      </w:r>
      <w:r>
        <w:rPr>
          <w:color w:val="1D1D1D"/>
          <w:spacing w:val="17"/>
          <w:w w:val="105"/>
          <w:sz w:val="21"/>
        </w:rPr>
        <w:t> </w:t>
      </w:r>
      <w:r>
        <w:rPr>
          <w:color w:val="1D1D1D"/>
          <w:w w:val="105"/>
          <w:sz w:val="21"/>
        </w:rPr>
        <w:t>arrangements.</w:t>
      </w:r>
      <w:r>
        <w:rPr>
          <w:color w:val="1D1D1D"/>
          <w:spacing w:val="19"/>
          <w:w w:val="105"/>
          <w:sz w:val="21"/>
        </w:rPr>
        <w:t> </w:t>
      </w:r>
      <w:r>
        <w:rPr>
          <w:color w:val="0C0C0C"/>
          <w:w w:val="105"/>
          <w:sz w:val="21"/>
        </w:rPr>
        <w:t>We</w:t>
      </w:r>
      <w:r>
        <w:rPr>
          <w:color w:val="0C0C0C"/>
          <w:spacing w:val="-1"/>
          <w:w w:val="105"/>
          <w:sz w:val="21"/>
        </w:rPr>
        <w:t> </w:t>
      </w:r>
      <w:r>
        <w:rPr>
          <w:color w:val="1D1D1D"/>
          <w:w w:val="105"/>
          <w:sz w:val="21"/>
        </w:rPr>
        <w:t>are</w:t>
      </w:r>
      <w:r>
        <w:rPr>
          <w:color w:val="1D1D1D"/>
          <w:spacing w:val="-9"/>
          <w:w w:val="105"/>
          <w:sz w:val="21"/>
        </w:rPr>
        <w:t> </w:t>
      </w:r>
      <w:r>
        <w:rPr>
          <w:color w:val="1D1D1D"/>
          <w:w w:val="105"/>
          <w:sz w:val="21"/>
        </w:rPr>
        <w:t>satisfied</w:t>
      </w:r>
      <w:r>
        <w:rPr>
          <w:color w:val="1D1D1D"/>
          <w:spacing w:val="-13"/>
          <w:w w:val="105"/>
          <w:sz w:val="21"/>
        </w:rPr>
        <w:t> </w:t>
      </w:r>
      <w:r>
        <w:rPr>
          <w:color w:val="0C0C0C"/>
          <w:w w:val="105"/>
          <w:sz w:val="21"/>
        </w:rPr>
        <w:t>that</w:t>
      </w:r>
      <w:r>
        <w:rPr>
          <w:color w:val="0C0C0C"/>
          <w:spacing w:val="-6"/>
          <w:w w:val="105"/>
          <w:sz w:val="21"/>
        </w:rPr>
        <w:t> </w:t>
      </w:r>
      <w:r>
        <w:rPr>
          <w:color w:val="0C0C0C"/>
          <w:w w:val="105"/>
          <w:sz w:val="21"/>
        </w:rPr>
        <w:t>these</w:t>
      </w:r>
      <w:r>
        <w:rPr>
          <w:color w:val="0C0C0C"/>
          <w:spacing w:val="-3"/>
          <w:w w:val="105"/>
          <w:sz w:val="21"/>
        </w:rPr>
        <w:t> </w:t>
      </w:r>
      <w:r>
        <w:rPr>
          <w:color w:val="0C0C0C"/>
          <w:w w:val="105"/>
          <w:sz w:val="21"/>
        </w:rPr>
        <w:t>steps </w:t>
      </w:r>
      <w:r>
        <w:rPr>
          <w:color w:val="1D1D1D"/>
          <w:w w:val="105"/>
          <w:sz w:val="21"/>
        </w:rPr>
        <w:t>will</w:t>
      </w:r>
      <w:r>
        <w:rPr>
          <w:color w:val="1D1D1D"/>
          <w:spacing w:val="-6"/>
          <w:w w:val="105"/>
          <w:sz w:val="21"/>
        </w:rPr>
        <w:t> </w:t>
      </w:r>
      <w:r>
        <w:rPr>
          <w:color w:val="0C0C0C"/>
          <w:w w:val="105"/>
          <w:sz w:val="21"/>
        </w:rPr>
        <w:t>address</w:t>
      </w:r>
      <w:r>
        <w:rPr>
          <w:color w:val="0C0C0C"/>
          <w:spacing w:val="-1"/>
          <w:w w:val="105"/>
          <w:sz w:val="21"/>
        </w:rPr>
        <w:t> </w:t>
      </w:r>
      <w:r>
        <w:rPr>
          <w:color w:val="0C0C0C"/>
          <w:w w:val="105"/>
          <w:sz w:val="21"/>
        </w:rPr>
        <w:t>the</w:t>
      </w:r>
      <w:r>
        <w:rPr>
          <w:color w:val="0C0C0C"/>
          <w:spacing w:val="-5"/>
          <w:w w:val="105"/>
          <w:sz w:val="21"/>
        </w:rPr>
        <w:t> </w:t>
      </w:r>
      <w:r>
        <w:rPr>
          <w:color w:val="1D1D1D"/>
          <w:w w:val="105"/>
          <w:sz w:val="21"/>
        </w:rPr>
        <w:t>need</w:t>
      </w:r>
      <w:r>
        <w:rPr>
          <w:color w:val="1D1D1D"/>
          <w:spacing w:val="-15"/>
          <w:w w:val="105"/>
          <w:sz w:val="21"/>
        </w:rPr>
        <w:t> </w:t>
      </w:r>
      <w:r>
        <w:rPr>
          <w:color w:val="0C0C0C"/>
          <w:w w:val="105"/>
          <w:sz w:val="21"/>
        </w:rPr>
        <w:t>for improvements that have been identified in our </w:t>
      </w:r>
      <w:r>
        <w:rPr>
          <w:color w:val="1D1D1D"/>
          <w:w w:val="105"/>
          <w:sz w:val="21"/>
        </w:rPr>
        <w:t>review </w:t>
      </w:r>
      <w:r>
        <w:rPr>
          <w:color w:val="0C0C0C"/>
          <w:w w:val="105"/>
          <w:sz w:val="21"/>
        </w:rPr>
        <w:t>of effectiveness and will monitor their implementation</w:t>
      </w:r>
      <w:r>
        <w:rPr>
          <w:color w:val="0C0C0C"/>
          <w:spacing w:val="-4"/>
          <w:w w:val="105"/>
          <w:sz w:val="21"/>
        </w:rPr>
        <w:t> </w:t>
      </w:r>
      <w:r>
        <w:rPr>
          <w:color w:val="0C0C0C"/>
          <w:w w:val="105"/>
          <w:sz w:val="21"/>
        </w:rPr>
        <w:t>and operation as </w:t>
      </w:r>
      <w:r>
        <w:rPr>
          <w:color w:val="1D1D1D"/>
          <w:w w:val="105"/>
          <w:sz w:val="21"/>
        </w:rPr>
        <w:t>part of </w:t>
      </w:r>
      <w:r>
        <w:rPr>
          <w:color w:val="0C0C0C"/>
          <w:w w:val="105"/>
          <w:sz w:val="21"/>
        </w:rPr>
        <w:t>our </w:t>
      </w:r>
      <w:r>
        <w:rPr>
          <w:color w:val="1D1D1D"/>
          <w:w w:val="105"/>
          <w:sz w:val="21"/>
        </w:rPr>
        <w:t>next annual </w:t>
      </w:r>
      <w:r>
        <w:rPr>
          <w:color w:val="0C0C0C"/>
          <w:w w:val="105"/>
          <w:sz w:val="21"/>
        </w:rPr>
        <w:t>review.</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spacing w:after="0"/>
        <w:rPr>
          <w:sz w:val="20"/>
        </w:rPr>
        <w:sectPr>
          <w:headerReference w:type="even" r:id="rId322"/>
          <w:footerReference w:type="even" r:id="rId323"/>
          <w:footerReference w:type="default" r:id="rId324"/>
          <w:pgSz w:w="11910" w:h="16830"/>
          <w:pgMar w:top="820" w:right="540" w:bottom="1180" w:left="440" w:header="0" w:footer="993"/>
          <w:pgNumType w:start="146"/>
        </w:sectPr>
      </w:pPr>
    </w:p>
    <w:p>
      <w:pPr>
        <w:tabs>
          <w:tab w:val="left" w:leader="none" w:pos="1432"/>
        </w:tabs>
        <w:spacing w:before="98" w:line="251" w:lineRule="exact"/>
        <w:ind w:left="302" w:right="0" w:firstLine="0"/>
        <w:jc w:val="left"/>
        <w:rPr>
          <w:b/>
          <w:sz w:val="22"/>
        </w:rPr>
      </w:pPr>
      <w:r>
        <w:rPr/>
        <ve:AlternateContent>
          <ve:Choice Requires="wps">
            <w:drawing>
              <wp:anchor distT="0" distB="0" distL="0" distR="0" simplePos="0" relativeHeight="15891456" behindDoc="0" locked="0" layoutInCell="1" allowOverlap="1">
                <wp:simplePos x="0" y="0"/>
                <wp:positionH relativeFrom="page">
                  <wp:posOffset>15264</wp:posOffset>
                </wp:positionH>
                <wp:positionV relativeFrom="page">
                  <wp:posOffset>9892903</wp:posOffset>
                </wp:positionV>
                <wp:extent cx="1270" cy="501015"/>
                <wp:effectExtent l="0" t="0" r="0" b="0"/>
                <wp:wrapNone/>
                <wp:docPr id="754" name="Graphic 754"/>
                <wp:cNvGraphicFramePr>
                  <a:graphicFrameLocks/>
                </wp:cNvGraphicFramePr>
                <a:graphic>
                  <a:graphicData uri="http://schemas.microsoft.com/office/word/2010/wordprocessingShape">
                    <wps:wsp>
                      <wps:cNvPr id="754" name="Graphic 754"/>
                      <wps:cNvSpPr/>
                      <wps:spPr>
                        <a:xfrm>
                          <a:off x="0" y="0"/>
                          <a:ext cx="1270" cy="501015"/>
                        </a:xfrm>
                        <a:custGeom>
                          <a:avLst/>
                          <a:gdLst/>
                          <a:ahLst/>
                          <a:cxnLst/>
                          <a:rect l="l" t="t" r="r" b="b"/>
                          <a:pathLst>
                            <a:path w="0" h="501015">
                              <a:moveTo>
                                <a:pt x="0" y="500442"/>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91456" stroked="true" strokecolor="#000000" strokeweight=".961549pt" from="1.201936pt,818.373719pt" to="1.201936pt,778.968811pt">
                <v:stroke dashstyle="solid"/>
                <w10:wrap type="none"/>
              </v:line>
            </w:pict>
          </ve:Fallback>
        </ve:AlternateContent>
      </w:r>
      <w:r>
        <w:rPr/>
        <ve:AlternateContent>
          <ve:Choice Requires="wps">
            <w:drawing>
              <wp:anchor distT="0" distB="0" distL="0" distR="0" simplePos="0" relativeHeight="15891968" behindDoc="0" locked="0" layoutInCell="1" allowOverlap="1">
                <wp:simplePos x="0" y="0"/>
                <wp:positionH relativeFrom="page">
                  <wp:posOffset>33582</wp:posOffset>
                </wp:positionH>
                <wp:positionV relativeFrom="page">
                  <wp:posOffset>9136136</wp:posOffset>
                </wp:positionV>
                <wp:extent cx="1270" cy="488315"/>
                <wp:effectExtent l="0" t="0" r="0" b="0"/>
                <wp:wrapNone/>
                <wp:docPr id="755" name="Graphic 755"/>
                <wp:cNvGraphicFramePr>
                  <a:graphicFrameLocks/>
                </wp:cNvGraphicFramePr>
                <a:graphic>
                  <a:graphicData uri="http://schemas.microsoft.com/office/word/2010/wordprocessingShape">
                    <wps:wsp>
                      <wps:cNvPr id="755" name="Graphic 755"/>
                      <wps:cNvSpPr/>
                      <wps:spPr>
                        <a:xfrm>
                          <a:off x="0" y="0"/>
                          <a:ext cx="1270" cy="488315"/>
                        </a:xfrm>
                        <a:custGeom>
                          <a:avLst/>
                          <a:gdLst/>
                          <a:ahLst/>
                          <a:cxnLst/>
                          <a:rect l="l" t="t" r="r" b="b"/>
                          <a:pathLst>
                            <a:path w="0" h="488315">
                              <a:moveTo>
                                <a:pt x="0" y="488236"/>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91968" stroked="true" strokecolor="#000000" strokeweight=".961549pt" from="2.644258pt,757.824672pt" to="2.644258pt,719.380859pt">
                <v:stroke dashstyle="solid"/>
                <w10:wrap type="none"/>
              </v:line>
            </w:pict>
          </ve:Fallback>
        </ve:AlternateContent>
      </w:r>
      <w:r>
        <w:rPr/>
        <ve:AlternateContent>
          <ve:Choice Requires="wps">
            <w:drawing>
              <wp:anchor distT="0" distB="0" distL="0" distR="0" simplePos="0" relativeHeight="15892480" behindDoc="0" locked="0" layoutInCell="1" allowOverlap="1">
                <wp:simplePos x="0" y="0"/>
                <wp:positionH relativeFrom="page">
                  <wp:posOffset>45793</wp:posOffset>
                </wp:positionH>
                <wp:positionV relativeFrom="page">
                  <wp:posOffset>8415988</wp:posOffset>
                </wp:positionV>
                <wp:extent cx="1270" cy="403225"/>
                <wp:effectExtent l="0" t="0" r="0" b="0"/>
                <wp:wrapNone/>
                <wp:docPr id="756" name="Graphic 756"/>
                <wp:cNvGraphicFramePr>
                  <a:graphicFrameLocks/>
                </wp:cNvGraphicFramePr>
                <a:graphic>
                  <a:graphicData uri="http://schemas.microsoft.com/office/word/2010/wordprocessingShape">
                    <wps:wsp>
                      <wps:cNvPr id="756" name="Graphic 756"/>
                      <wps:cNvSpPr/>
                      <wps:spPr>
                        <a:xfrm>
                          <a:off x="0" y="0"/>
                          <a:ext cx="1270" cy="403225"/>
                        </a:xfrm>
                        <a:custGeom>
                          <a:avLst/>
                          <a:gdLst/>
                          <a:ahLst/>
                          <a:cxnLst/>
                          <a:rect l="l" t="t" r="r" b="b"/>
                          <a:pathLst>
                            <a:path w="0" h="403225">
                              <a:moveTo>
                                <a:pt x="0" y="402795"/>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92480" stroked="true" strokecolor="#000000" strokeweight=".961549pt" from="3.605807pt,694.392415pt" to="3.605807pt,662.676270pt">
                <v:stroke dashstyle="solid"/>
                <w10:wrap type="none"/>
              </v:line>
            </w:pict>
          </ve:Fallback>
        </ve:AlternateContent>
      </w:r>
      <w:r>
        <w:rPr>
          <w:b/>
          <w:color w:val="0C0C0C"/>
          <w:spacing w:val="-2"/>
          <w:sz w:val="22"/>
        </w:rPr>
        <w:t>Signed:</w:t>
      </w:r>
      <w:r>
        <w:rPr>
          <w:b/>
          <w:color w:val="0C0C0C"/>
          <w:sz w:val="22"/>
        </w:rPr>
        <w:tab/>
        <w:t>Leader</w:t>
      </w:r>
      <w:r>
        <w:rPr>
          <w:b/>
          <w:color w:val="0C0C0C"/>
          <w:spacing w:val="15"/>
          <w:sz w:val="22"/>
        </w:rPr>
        <w:t> </w:t>
      </w:r>
      <w:r>
        <w:rPr>
          <w:b/>
          <w:color w:val="0C0C0C"/>
          <w:sz w:val="22"/>
        </w:rPr>
        <w:t>of</w:t>
      </w:r>
      <w:r>
        <w:rPr>
          <w:b/>
          <w:color w:val="0C0C0C"/>
          <w:spacing w:val="-2"/>
          <w:sz w:val="22"/>
        </w:rPr>
        <w:t> </w:t>
      </w:r>
      <w:r>
        <w:rPr>
          <w:b/>
          <w:color w:val="0C0C0C"/>
          <w:sz w:val="22"/>
        </w:rPr>
        <w:t>the</w:t>
      </w:r>
      <w:r>
        <w:rPr>
          <w:b/>
          <w:color w:val="0C0C0C"/>
          <w:spacing w:val="-3"/>
          <w:sz w:val="22"/>
        </w:rPr>
        <w:t> </w:t>
      </w:r>
      <w:r>
        <w:rPr>
          <w:b/>
          <w:color w:val="0C0C0C"/>
          <w:spacing w:val="-2"/>
          <w:sz w:val="22"/>
        </w:rPr>
        <w:t>Council</w:t>
      </w:r>
    </w:p>
    <w:p>
      <w:pPr>
        <w:spacing w:before="0" w:line="251" w:lineRule="exact"/>
        <w:ind w:left="1434" w:right="0" w:firstLine="0"/>
        <w:jc w:val="left"/>
        <w:rPr>
          <w:b/>
          <w:sz w:val="22"/>
        </w:rPr>
      </w:pPr>
      <w:r>
        <w:rPr>
          <w:b/>
          <w:color w:val="0C0C0C"/>
          <w:spacing w:val="-4"/>
          <w:sz w:val="22"/>
        </w:rPr>
        <w:t>Cllr</w:t>
      </w:r>
    </w:p>
    <w:p>
      <w:pPr>
        <w:spacing w:before="2"/>
        <w:ind w:left="1431" w:right="0" w:firstLine="0"/>
        <w:jc w:val="left"/>
        <w:rPr>
          <w:b/>
          <w:sz w:val="22"/>
        </w:rPr>
      </w:pPr>
      <w:r>
        <w:rPr>
          <w:b/>
          <w:color w:val="0C0C0C"/>
          <w:sz w:val="22"/>
        </w:rPr>
        <w:t>Jeremy</w:t>
      </w:r>
      <w:r>
        <w:rPr>
          <w:b/>
          <w:color w:val="0C0C0C"/>
          <w:spacing w:val="3"/>
          <w:sz w:val="22"/>
        </w:rPr>
        <w:t> </w:t>
      </w:r>
      <w:r>
        <w:rPr>
          <w:b/>
          <w:color w:val="0C0C0C"/>
          <w:spacing w:val="-2"/>
          <w:sz w:val="22"/>
        </w:rPr>
        <w:t>Newmark</w:t>
      </w:r>
    </w:p>
    <w:p>
      <w:pPr>
        <w:pStyle w:val="BodyText"/>
        <w:rPr>
          <w:b/>
        </w:rPr>
      </w:pPr>
    </w:p>
    <w:p>
      <w:pPr>
        <w:pStyle w:val="BodyText"/>
        <w:rPr>
          <w:b/>
        </w:rPr>
      </w:pPr>
    </w:p>
    <w:p>
      <w:pPr>
        <w:pStyle w:val="BodyText"/>
        <w:spacing w:before="1"/>
        <w:rPr>
          <w:b/>
        </w:rPr>
      </w:pPr>
    </w:p>
    <w:p>
      <w:pPr>
        <w:tabs>
          <w:tab w:val="left" w:leader="none" w:pos="1414"/>
        </w:tabs>
        <w:spacing w:before="1"/>
        <w:ind w:left="278" w:right="0" w:firstLine="0"/>
        <w:jc w:val="left"/>
        <w:rPr>
          <w:b/>
          <w:sz w:val="22"/>
        </w:rPr>
      </w:pPr>
      <w:r>
        <w:rPr>
          <w:b/>
          <w:color w:val="0C0C0C"/>
          <w:spacing w:val="-2"/>
          <w:sz w:val="22"/>
        </w:rPr>
        <w:t>Signed:</w:t>
      </w:r>
      <w:r>
        <w:rPr>
          <w:b/>
          <w:color w:val="0C0C0C"/>
          <w:sz w:val="22"/>
        </w:rPr>
        <w:tab/>
        <w:t>Managing</w:t>
      </w:r>
      <w:r>
        <w:rPr>
          <w:b/>
          <w:color w:val="0C0C0C"/>
          <w:spacing w:val="5"/>
          <w:sz w:val="22"/>
        </w:rPr>
        <w:t> </w:t>
      </w:r>
      <w:r>
        <w:rPr>
          <w:b/>
          <w:color w:val="0C0C0C"/>
          <w:spacing w:val="-2"/>
          <w:sz w:val="22"/>
        </w:rPr>
        <w:t>Director</w:t>
      </w:r>
    </w:p>
    <w:p>
      <w:pPr>
        <w:spacing w:before="1"/>
        <w:ind w:left="1412" w:right="0" w:firstLine="0"/>
        <w:jc w:val="left"/>
        <w:rPr>
          <w:b/>
          <w:sz w:val="22"/>
        </w:rPr>
      </w:pPr>
      <w:r>
        <w:rPr>
          <w:b/>
          <w:color w:val="0C0C0C"/>
          <w:sz w:val="22"/>
        </w:rPr>
        <w:t>Sajida</w:t>
      </w:r>
      <w:r>
        <w:rPr>
          <w:b/>
          <w:color w:val="0C0C0C"/>
          <w:spacing w:val="7"/>
          <w:sz w:val="22"/>
        </w:rPr>
        <w:t> </w:t>
      </w:r>
      <w:r>
        <w:rPr>
          <w:b/>
          <w:color w:val="0C0C0C"/>
          <w:spacing w:val="-2"/>
          <w:sz w:val="22"/>
        </w:rPr>
        <w:t>Bijle</w:t>
      </w:r>
    </w:p>
    <w:p>
      <w:pPr>
        <w:spacing w:before="0" w:line="240" w:lineRule="auto"/>
        <w:rPr>
          <w:b/>
          <w:sz w:val="22"/>
        </w:rPr>
      </w:pPr>
      <w:r>
        <w:rPr/>
        <w:br w:type="column"/>
      </w:r>
      <w:r>
        <w:rPr>
          <w:b/>
          <w:sz w:val="22"/>
        </w:rPr>
      </w:r>
    </w:p>
    <w:p>
      <w:pPr>
        <w:pStyle w:val="BodyText"/>
        <w:spacing w:before="101"/>
        <w:rPr>
          <w:b/>
        </w:rPr>
      </w:pPr>
    </w:p>
    <w:p>
      <w:pPr>
        <w:pStyle w:val="Heading3"/>
        <w:ind w:left="292"/>
      </w:pPr>
      <w:r>
        <w:rPr>
          <w:color w:val="0C0C0C"/>
          <w:spacing w:val="-4"/>
        </w:rPr>
        <w:t>Date</w:t>
      </w:r>
    </w:p>
    <w:p>
      <w:pPr>
        <w:pStyle w:val="BodyText"/>
        <w:rPr>
          <w:b/>
        </w:rPr>
      </w:pPr>
    </w:p>
    <w:p>
      <w:pPr>
        <w:pStyle w:val="BodyText"/>
        <w:rPr>
          <w:b/>
        </w:rPr>
      </w:pPr>
    </w:p>
    <w:p>
      <w:pPr>
        <w:pStyle w:val="BodyText"/>
        <w:rPr>
          <w:b/>
        </w:rPr>
      </w:pPr>
    </w:p>
    <w:p>
      <w:pPr>
        <w:pStyle w:val="BodyText"/>
        <w:spacing w:before="4"/>
        <w:rPr>
          <w:b/>
        </w:rPr>
      </w:pPr>
    </w:p>
    <w:p>
      <w:pPr>
        <w:spacing w:before="0"/>
        <w:ind w:left="278" w:right="0" w:firstLine="0"/>
        <w:jc w:val="left"/>
        <w:rPr>
          <w:b/>
          <w:sz w:val="22"/>
        </w:rPr>
      </w:pPr>
      <w:r>
        <w:rPr>
          <w:b/>
          <w:color w:val="0C0C0C"/>
          <w:spacing w:val="-4"/>
          <w:sz w:val="22"/>
        </w:rPr>
        <w:t>Date</w:t>
      </w:r>
    </w:p>
    <w:p>
      <w:pPr>
        <w:spacing w:after="0"/>
        <w:jc w:val="left"/>
        <w:rPr>
          <w:sz w:val="22"/>
        </w:rPr>
        <w:sectPr>
          <w:type w:val="continuous"/>
          <w:pgSz w:w="11910" w:h="16830"/>
          <w:pgMar w:top="1940" w:right="540" w:bottom="280" w:left="440" w:header="0" w:footer="993"/>
          <w:cols w:equalWidth="0" w:num="2">
            <w:col w:w="3735" w:space="3526"/>
            <w:col w:w="3669"/>
          </w:cols>
        </w:sectPr>
      </w:pPr>
    </w:p>
    <w:p>
      <w:pPr>
        <w:pStyle w:val="BodyText"/>
        <w:spacing w:before="2"/>
        <w:rPr>
          <w:b/>
          <w:sz w:val="21"/>
        </w:rPr>
      </w:pPr>
    </w:p>
    <w:p>
      <w:pPr>
        <w:spacing w:before="0"/>
        <w:ind w:left="245" w:right="0" w:firstLine="0"/>
        <w:jc w:val="left"/>
        <w:rPr>
          <w:b/>
          <w:sz w:val="21"/>
        </w:rPr>
      </w:pPr>
      <w:r>
        <w:rPr>
          <w:b/>
          <w:color w:val="262626"/>
          <w:w w:val="105"/>
          <w:sz w:val="21"/>
        </w:rPr>
        <w:t>9.</w:t>
      </w:r>
      <w:r>
        <w:rPr>
          <w:b/>
          <w:color w:val="262626"/>
          <w:spacing w:val="-16"/>
          <w:w w:val="105"/>
          <w:sz w:val="21"/>
        </w:rPr>
        <w:t> </w:t>
      </w:r>
      <w:r>
        <w:rPr>
          <w:b/>
          <w:color w:val="262626"/>
          <w:w w:val="105"/>
          <w:sz w:val="21"/>
        </w:rPr>
        <w:t>GLOSSARY</w:t>
      </w:r>
      <w:r>
        <w:rPr>
          <w:b/>
          <w:color w:val="262626"/>
          <w:spacing w:val="1"/>
          <w:w w:val="105"/>
          <w:sz w:val="21"/>
        </w:rPr>
        <w:t> </w:t>
      </w:r>
      <w:r>
        <w:rPr>
          <w:b/>
          <w:color w:val="262626"/>
          <w:w w:val="105"/>
          <w:sz w:val="21"/>
        </w:rPr>
        <w:t>OF</w:t>
      </w:r>
      <w:r>
        <w:rPr>
          <w:b/>
          <w:color w:val="262626"/>
          <w:spacing w:val="-12"/>
          <w:w w:val="105"/>
          <w:sz w:val="21"/>
        </w:rPr>
        <w:t> </w:t>
      </w:r>
      <w:r>
        <w:rPr>
          <w:b/>
          <w:color w:val="262626"/>
          <w:spacing w:val="-4"/>
          <w:w w:val="105"/>
          <w:sz w:val="21"/>
        </w:rPr>
        <w:t>TERMS</w:t>
      </w:r>
    </w:p>
    <w:p>
      <w:pPr>
        <w:pStyle w:val="BodyText"/>
        <w:spacing w:before="9"/>
        <w:rPr>
          <w:b/>
          <w:sz w:val="14"/>
        </w:rPr>
      </w:pPr>
    </w:p>
    <w:p>
      <w:pPr>
        <w:spacing w:after="0"/>
        <w:rPr>
          <w:sz w:val="14"/>
        </w:rPr>
        <w:sectPr>
          <w:headerReference w:type="default" r:id="rId325"/>
          <w:pgSz w:w="11910" w:h="16830"/>
          <w:pgMar w:top="940" w:right="540" w:bottom="1320" w:left="440" w:header="748" w:footer="0"/>
        </w:sectPr>
      </w:pPr>
    </w:p>
    <w:p>
      <w:pPr>
        <w:spacing w:before="94"/>
        <w:ind w:left="2170" w:right="0" w:firstLine="0"/>
        <w:jc w:val="left"/>
        <w:rPr>
          <w:b/>
          <w:sz w:val="21"/>
        </w:rPr>
      </w:pPr>
      <w:r>
        <w:rPr>
          <w:b/>
          <w:color w:val="262626"/>
          <w:spacing w:val="-4"/>
          <w:w w:val="105"/>
          <w:sz w:val="21"/>
        </w:rPr>
        <w:t>Term</w:t>
      </w:r>
    </w:p>
    <w:p>
      <w:pPr>
        <w:spacing w:before="13"/>
        <w:ind w:left="240" w:right="0" w:firstLine="0"/>
        <w:jc w:val="left"/>
        <w:rPr>
          <w:b/>
          <w:sz w:val="21"/>
        </w:rPr>
      </w:pPr>
      <w:r>
        <w:rPr>
          <w:b/>
          <w:color w:val="262626"/>
          <w:w w:val="105"/>
          <w:sz w:val="21"/>
        </w:rPr>
        <w:t>12</w:t>
      </w:r>
      <w:r>
        <w:rPr>
          <w:b/>
          <w:color w:val="262626"/>
          <w:spacing w:val="-16"/>
          <w:w w:val="105"/>
          <w:sz w:val="21"/>
        </w:rPr>
        <w:t> </w:t>
      </w:r>
      <w:r>
        <w:rPr>
          <w:b/>
          <w:color w:val="262626"/>
          <w:w w:val="105"/>
          <w:sz w:val="21"/>
        </w:rPr>
        <w:t>month</w:t>
      </w:r>
      <w:r>
        <w:rPr>
          <w:b/>
          <w:color w:val="262626"/>
          <w:spacing w:val="-3"/>
          <w:w w:val="105"/>
          <w:sz w:val="21"/>
        </w:rPr>
        <w:t> </w:t>
      </w:r>
      <w:r>
        <w:rPr>
          <w:b/>
          <w:color w:val="262626"/>
          <w:w w:val="105"/>
          <w:sz w:val="21"/>
        </w:rPr>
        <w:t>expected</w:t>
      </w:r>
      <w:r>
        <w:rPr>
          <w:b/>
          <w:color w:val="262626"/>
          <w:spacing w:val="7"/>
          <w:w w:val="105"/>
          <w:sz w:val="21"/>
        </w:rPr>
        <w:t> </w:t>
      </w:r>
      <w:r>
        <w:rPr>
          <w:b/>
          <w:color w:val="262626"/>
          <w:w w:val="105"/>
          <w:sz w:val="21"/>
        </w:rPr>
        <w:t>credit</w:t>
      </w:r>
      <w:r>
        <w:rPr>
          <w:b/>
          <w:color w:val="262626"/>
          <w:spacing w:val="-7"/>
          <w:w w:val="105"/>
          <w:sz w:val="21"/>
        </w:rPr>
        <w:t> </w:t>
      </w:r>
      <w:r>
        <w:rPr>
          <w:b/>
          <w:color w:val="262626"/>
          <w:spacing w:val="-2"/>
          <w:w w:val="105"/>
          <w:sz w:val="21"/>
        </w:rPr>
        <w:t>losses</w:t>
      </w:r>
    </w:p>
    <w:p>
      <w:pPr>
        <w:pStyle w:val="BodyText"/>
        <w:rPr>
          <w:b/>
          <w:sz w:val="21"/>
        </w:rPr>
      </w:pPr>
    </w:p>
    <w:p>
      <w:pPr>
        <w:pStyle w:val="BodyText"/>
        <w:rPr>
          <w:b/>
          <w:sz w:val="21"/>
        </w:rPr>
      </w:pPr>
    </w:p>
    <w:p>
      <w:pPr>
        <w:pStyle w:val="BodyText"/>
        <w:rPr>
          <w:b/>
          <w:sz w:val="21"/>
        </w:rPr>
      </w:pPr>
    </w:p>
    <w:p>
      <w:pPr>
        <w:pStyle w:val="BodyText"/>
        <w:spacing w:before="61"/>
        <w:rPr>
          <w:b/>
          <w:sz w:val="21"/>
        </w:rPr>
      </w:pPr>
    </w:p>
    <w:p>
      <w:pPr>
        <w:spacing w:before="0"/>
        <w:ind w:left="247" w:right="0" w:firstLine="0"/>
        <w:jc w:val="left"/>
        <w:rPr>
          <w:b/>
          <w:sz w:val="21"/>
        </w:rPr>
      </w:pPr>
      <w:r>
        <w:rPr>
          <w:b/>
          <w:color w:val="0E0E0E"/>
          <w:spacing w:val="-2"/>
          <w:w w:val="105"/>
          <w:sz w:val="21"/>
        </w:rPr>
        <w:t>Accruals</w:t>
      </w:r>
    </w:p>
    <w:p>
      <w:pPr>
        <w:pStyle w:val="BodyText"/>
        <w:rPr>
          <w:b/>
          <w:sz w:val="21"/>
        </w:rPr>
      </w:pPr>
    </w:p>
    <w:p>
      <w:pPr>
        <w:pStyle w:val="BodyText"/>
        <w:rPr>
          <w:b/>
          <w:sz w:val="21"/>
        </w:rPr>
      </w:pPr>
    </w:p>
    <w:p>
      <w:pPr>
        <w:pStyle w:val="BodyText"/>
        <w:spacing w:before="43"/>
        <w:rPr>
          <w:b/>
          <w:sz w:val="21"/>
        </w:rPr>
      </w:pPr>
    </w:p>
    <w:p>
      <w:pPr>
        <w:spacing w:before="0"/>
        <w:ind w:left="247" w:right="0" w:firstLine="0"/>
        <w:jc w:val="left"/>
        <w:rPr>
          <w:b/>
          <w:sz w:val="21"/>
        </w:rPr>
      </w:pPr>
      <w:r>
        <w:rPr>
          <w:b/>
          <w:color w:val="0E0E0E"/>
          <w:w w:val="105"/>
          <w:sz w:val="21"/>
        </w:rPr>
        <w:t>Actuarial</w:t>
      </w:r>
      <w:r>
        <w:rPr>
          <w:b/>
          <w:color w:val="0E0E0E"/>
          <w:spacing w:val="-6"/>
          <w:w w:val="105"/>
          <w:sz w:val="21"/>
        </w:rPr>
        <w:t> </w:t>
      </w:r>
      <w:r>
        <w:rPr>
          <w:b/>
          <w:color w:val="0E0E0E"/>
          <w:w w:val="105"/>
          <w:sz w:val="21"/>
        </w:rPr>
        <w:t>Gains</w:t>
      </w:r>
      <w:r>
        <w:rPr>
          <w:b/>
          <w:color w:val="0E0E0E"/>
          <w:spacing w:val="-11"/>
          <w:w w:val="105"/>
          <w:sz w:val="21"/>
        </w:rPr>
        <w:t> </w:t>
      </w:r>
      <w:r>
        <w:rPr>
          <w:b/>
          <w:color w:val="0E0E0E"/>
          <w:w w:val="105"/>
          <w:sz w:val="21"/>
        </w:rPr>
        <w:t>and</w:t>
      </w:r>
      <w:r>
        <w:rPr>
          <w:b/>
          <w:color w:val="0E0E0E"/>
          <w:spacing w:val="-11"/>
          <w:w w:val="105"/>
          <w:sz w:val="21"/>
        </w:rPr>
        <w:t> </w:t>
      </w:r>
      <w:r>
        <w:rPr>
          <w:b/>
          <w:color w:val="0E0E0E"/>
          <w:spacing w:val="-2"/>
          <w:w w:val="105"/>
          <w:sz w:val="21"/>
        </w:rPr>
        <w:t>Losses</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27"/>
        <w:rPr>
          <w:b/>
          <w:sz w:val="21"/>
        </w:rPr>
      </w:pPr>
    </w:p>
    <w:p>
      <w:pPr>
        <w:spacing w:before="1"/>
        <w:ind w:left="252" w:right="0" w:firstLine="0"/>
        <w:jc w:val="left"/>
        <w:rPr>
          <w:b/>
          <w:sz w:val="21"/>
        </w:rPr>
      </w:pPr>
      <w:r>
        <w:rPr>
          <w:b/>
          <w:color w:val="0E0E0E"/>
          <w:w w:val="105"/>
          <w:sz w:val="21"/>
        </w:rPr>
        <w:t>Agency</w:t>
      </w:r>
      <w:r>
        <w:rPr>
          <w:b/>
          <w:color w:val="0E0E0E"/>
          <w:spacing w:val="-9"/>
          <w:w w:val="105"/>
          <w:sz w:val="21"/>
        </w:rPr>
        <w:t> </w:t>
      </w:r>
      <w:r>
        <w:rPr>
          <w:b/>
          <w:color w:val="0E0E0E"/>
          <w:spacing w:val="-2"/>
          <w:w w:val="105"/>
          <w:sz w:val="21"/>
        </w:rPr>
        <w:t>Arrangements</w:t>
      </w:r>
    </w:p>
    <w:p>
      <w:pPr>
        <w:pStyle w:val="BodyText"/>
        <w:rPr>
          <w:b/>
          <w:sz w:val="21"/>
        </w:rPr>
      </w:pPr>
    </w:p>
    <w:p>
      <w:pPr>
        <w:pStyle w:val="BodyText"/>
        <w:rPr>
          <w:b/>
          <w:sz w:val="21"/>
        </w:rPr>
      </w:pPr>
    </w:p>
    <w:p>
      <w:pPr>
        <w:pStyle w:val="BodyText"/>
        <w:spacing w:before="47"/>
        <w:rPr>
          <w:b/>
          <w:sz w:val="21"/>
        </w:rPr>
      </w:pPr>
    </w:p>
    <w:p>
      <w:pPr>
        <w:spacing w:before="1"/>
        <w:ind w:left="252" w:right="0" w:firstLine="0"/>
        <w:jc w:val="left"/>
        <w:rPr>
          <w:b/>
          <w:sz w:val="21"/>
        </w:rPr>
      </w:pPr>
      <w:r>
        <w:rPr>
          <w:b/>
          <w:color w:val="0E0E0E"/>
          <w:spacing w:val="-2"/>
          <w:w w:val="105"/>
          <w:sz w:val="21"/>
        </w:rPr>
        <w:t>Amortised</w:t>
      </w:r>
      <w:r>
        <w:rPr>
          <w:b/>
          <w:color w:val="0E0E0E"/>
          <w:spacing w:val="2"/>
          <w:w w:val="105"/>
          <w:sz w:val="21"/>
        </w:rPr>
        <w:t> </w:t>
      </w:r>
      <w:r>
        <w:rPr>
          <w:b/>
          <w:color w:val="0E0E0E"/>
          <w:spacing w:val="-4"/>
          <w:w w:val="105"/>
          <w:sz w:val="21"/>
        </w:rPr>
        <w:t>cost</w:t>
      </w:r>
    </w:p>
    <w:p>
      <w:pPr>
        <w:spacing w:before="94"/>
        <w:ind w:left="1931" w:right="0" w:firstLine="0"/>
        <w:jc w:val="left"/>
        <w:rPr>
          <w:b/>
          <w:sz w:val="21"/>
        </w:rPr>
      </w:pPr>
      <w:r>
        <w:rPr/>
        <w:br w:type="column"/>
      </w:r>
      <w:r>
        <w:rPr>
          <w:b/>
          <w:color w:val="0E0E0E"/>
          <w:spacing w:val="-2"/>
          <w:w w:val="105"/>
          <w:sz w:val="21"/>
        </w:rPr>
        <w:t>Definition</w:t>
      </w:r>
    </w:p>
    <w:p>
      <w:pPr>
        <w:spacing w:before="13" w:line="252" w:lineRule="auto"/>
        <w:ind w:left="242" w:right="1570" w:hanging="3"/>
        <w:jc w:val="left"/>
        <w:rPr>
          <w:sz w:val="21"/>
        </w:rPr>
      </w:pPr>
      <w:r>
        <w:rPr>
          <w:color w:val="0E0E0E"/>
          <w:w w:val="105"/>
          <w:sz w:val="21"/>
        </w:rPr>
        <w:t>The expected credit losses for a financial asset that are projected for the possible default</w:t>
      </w:r>
      <w:r>
        <w:rPr>
          <w:color w:val="0E0E0E"/>
          <w:spacing w:val="-4"/>
          <w:w w:val="105"/>
          <w:sz w:val="21"/>
        </w:rPr>
        <w:t> </w:t>
      </w:r>
      <w:r>
        <w:rPr>
          <w:color w:val="0E0E0E"/>
          <w:w w:val="105"/>
          <w:sz w:val="21"/>
        </w:rPr>
        <w:t>events</w:t>
      </w:r>
      <w:r>
        <w:rPr>
          <w:color w:val="0E0E0E"/>
          <w:spacing w:val="-10"/>
          <w:w w:val="105"/>
          <w:sz w:val="21"/>
        </w:rPr>
        <w:t> </w:t>
      </w:r>
      <w:r>
        <w:rPr>
          <w:color w:val="0E0E0E"/>
          <w:w w:val="105"/>
          <w:sz w:val="21"/>
        </w:rPr>
        <w:t>that</w:t>
      </w:r>
      <w:r>
        <w:rPr>
          <w:color w:val="0E0E0E"/>
          <w:spacing w:val="-10"/>
          <w:w w:val="105"/>
          <w:sz w:val="21"/>
        </w:rPr>
        <w:t> </w:t>
      </w:r>
      <w:r>
        <w:rPr>
          <w:color w:val="0E0E0E"/>
          <w:w w:val="105"/>
          <w:sz w:val="21"/>
        </w:rPr>
        <w:t>might</w:t>
      </w:r>
      <w:r>
        <w:rPr>
          <w:color w:val="0E0E0E"/>
          <w:spacing w:val="-7"/>
          <w:w w:val="105"/>
          <w:sz w:val="21"/>
        </w:rPr>
        <w:t> </w:t>
      </w:r>
      <w:r>
        <w:rPr>
          <w:color w:val="0E0E0E"/>
          <w:w w:val="105"/>
          <w:sz w:val="21"/>
        </w:rPr>
        <w:t>happen</w:t>
      </w:r>
      <w:r>
        <w:rPr>
          <w:color w:val="0E0E0E"/>
          <w:spacing w:val="-3"/>
          <w:w w:val="105"/>
          <w:sz w:val="21"/>
        </w:rPr>
        <w:t> </w:t>
      </w:r>
      <w:r>
        <w:rPr>
          <w:color w:val="0E0E0E"/>
          <w:w w:val="105"/>
          <w:sz w:val="21"/>
        </w:rPr>
        <w:t>only</w:t>
      </w:r>
      <w:r>
        <w:rPr>
          <w:color w:val="0E0E0E"/>
          <w:spacing w:val="-8"/>
          <w:w w:val="105"/>
          <w:sz w:val="21"/>
        </w:rPr>
        <w:t> </w:t>
      </w:r>
      <w:r>
        <w:rPr>
          <w:color w:val="0E0E0E"/>
          <w:w w:val="105"/>
          <w:sz w:val="21"/>
        </w:rPr>
        <w:t>in</w:t>
      </w:r>
      <w:r>
        <w:rPr>
          <w:color w:val="0E0E0E"/>
          <w:spacing w:val="-7"/>
          <w:w w:val="105"/>
          <w:sz w:val="21"/>
        </w:rPr>
        <w:t> </w:t>
      </w:r>
      <w:r>
        <w:rPr>
          <w:color w:val="0E0E0E"/>
          <w:w w:val="105"/>
          <w:sz w:val="21"/>
        </w:rPr>
        <w:t>the next financial year.</w:t>
      </w:r>
    </w:p>
    <w:p>
      <w:pPr>
        <w:pStyle w:val="BodyText"/>
        <w:spacing w:before="8"/>
        <w:rPr>
          <w:sz w:val="21"/>
        </w:rPr>
      </w:pPr>
    </w:p>
    <w:p>
      <w:pPr>
        <w:spacing w:before="0" w:line="252" w:lineRule="auto"/>
        <w:ind w:left="245" w:right="1625" w:hanging="1"/>
        <w:jc w:val="left"/>
        <w:rPr>
          <w:sz w:val="21"/>
        </w:rPr>
      </w:pPr>
      <w:r>
        <w:rPr>
          <w:color w:val="0E0E0E"/>
          <w:w w:val="105"/>
          <w:sz w:val="21"/>
        </w:rPr>
        <w:t>The</w:t>
      </w:r>
      <w:r>
        <w:rPr>
          <w:color w:val="0E0E0E"/>
          <w:spacing w:val="-10"/>
          <w:w w:val="105"/>
          <w:sz w:val="21"/>
        </w:rPr>
        <w:t> </w:t>
      </w:r>
      <w:r>
        <w:rPr>
          <w:color w:val="0E0E0E"/>
          <w:w w:val="105"/>
          <w:sz w:val="21"/>
        </w:rPr>
        <w:t>concept</w:t>
      </w:r>
      <w:r>
        <w:rPr>
          <w:color w:val="0E0E0E"/>
          <w:spacing w:val="-10"/>
          <w:w w:val="105"/>
          <w:sz w:val="21"/>
        </w:rPr>
        <w:t> </w:t>
      </w:r>
      <w:r>
        <w:rPr>
          <w:color w:val="0E0E0E"/>
          <w:w w:val="105"/>
          <w:sz w:val="21"/>
        </w:rPr>
        <w:t>that</w:t>
      </w:r>
      <w:r>
        <w:rPr>
          <w:color w:val="0E0E0E"/>
          <w:spacing w:val="-15"/>
          <w:w w:val="105"/>
          <w:sz w:val="21"/>
        </w:rPr>
        <w:t> </w:t>
      </w:r>
      <w:r>
        <w:rPr>
          <w:color w:val="0E0E0E"/>
          <w:w w:val="105"/>
          <w:sz w:val="21"/>
        </w:rPr>
        <w:t>Income</w:t>
      </w:r>
      <w:r>
        <w:rPr>
          <w:color w:val="0E0E0E"/>
          <w:spacing w:val="-3"/>
          <w:w w:val="105"/>
          <w:sz w:val="21"/>
        </w:rPr>
        <w:t> </w:t>
      </w:r>
      <w:r>
        <w:rPr>
          <w:color w:val="0E0E0E"/>
          <w:w w:val="105"/>
          <w:sz w:val="21"/>
        </w:rPr>
        <w:t>&amp;</w:t>
      </w:r>
      <w:r>
        <w:rPr>
          <w:color w:val="0E0E0E"/>
          <w:spacing w:val="-14"/>
          <w:w w:val="105"/>
          <w:sz w:val="21"/>
        </w:rPr>
        <w:t> </w:t>
      </w:r>
      <w:r>
        <w:rPr>
          <w:color w:val="0E0E0E"/>
          <w:w w:val="105"/>
          <w:sz w:val="21"/>
        </w:rPr>
        <w:t>Expenditure are recognised as they are earned or incurred, not as money is received or paid.</w:t>
      </w:r>
    </w:p>
    <w:p>
      <w:pPr>
        <w:pStyle w:val="BodyText"/>
        <w:spacing w:before="12"/>
        <w:rPr>
          <w:sz w:val="21"/>
        </w:rPr>
      </w:pPr>
    </w:p>
    <w:p>
      <w:pPr>
        <w:spacing w:before="0" w:line="252" w:lineRule="auto"/>
        <w:ind w:left="251" w:right="1570" w:hanging="9"/>
        <w:jc w:val="left"/>
        <w:rPr>
          <w:sz w:val="21"/>
        </w:rPr>
      </w:pPr>
      <w:r>
        <w:rPr>
          <w:color w:val="0E0E0E"/>
          <w:w w:val="105"/>
          <w:sz w:val="21"/>
        </w:rPr>
        <w:t>For a defined benefit pension scheme the changes</w:t>
      </w:r>
      <w:r>
        <w:rPr>
          <w:color w:val="0E0E0E"/>
          <w:spacing w:val="-8"/>
          <w:w w:val="105"/>
          <w:sz w:val="21"/>
        </w:rPr>
        <w:t> </w:t>
      </w:r>
      <w:r>
        <w:rPr>
          <w:color w:val="0E0E0E"/>
          <w:w w:val="105"/>
          <w:sz w:val="21"/>
        </w:rPr>
        <w:t>in</w:t>
      </w:r>
      <w:r>
        <w:rPr>
          <w:color w:val="0E0E0E"/>
          <w:spacing w:val="-16"/>
          <w:w w:val="105"/>
          <w:sz w:val="21"/>
        </w:rPr>
        <w:t> </w:t>
      </w:r>
      <w:r>
        <w:rPr>
          <w:color w:val="0E0E0E"/>
          <w:w w:val="105"/>
          <w:sz w:val="21"/>
        </w:rPr>
        <w:t>actuarial</w:t>
      </w:r>
      <w:r>
        <w:rPr>
          <w:color w:val="0E0E0E"/>
          <w:spacing w:val="-3"/>
          <w:w w:val="105"/>
          <w:sz w:val="21"/>
        </w:rPr>
        <w:t> </w:t>
      </w:r>
      <w:r>
        <w:rPr>
          <w:color w:val="0E0E0E"/>
          <w:w w:val="105"/>
          <w:sz w:val="21"/>
        </w:rPr>
        <w:t>deficits or</w:t>
      </w:r>
      <w:r>
        <w:rPr>
          <w:color w:val="0E0E0E"/>
          <w:spacing w:val="-16"/>
          <w:w w:val="105"/>
          <w:sz w:val="21"/>
        </w:rPr>
        <w:t> </w:t>
      </w:r>
      <w:r>
        <w:rPr>
          <w:color w:val="0E0E0E"/>
          <w:w w:val="105"/>
          <w:sz w:val="21"/>
        </w:rPr>
        <w:t>surpluses</w:t>
      </w:r>
      <w:r>
        <w:rPr>
          <w:color w:val="0E0E0E"/>
          <w:spacing w:val="-4"/>
          <w:w w:val="105"/>
          <w:sz w:val="21"/>
        </w:rPr>
        <w:t> </w:t>
      </w:r>
      <w:r>
        <w:rPr>
          <w:color w:val="0E0E0E"/>
          <w:w w:val="105"/>
          <w:sz w:val="21"/>
        </w:rPr>
        <w:t>that arise because:</w:t>
      </w:r>
    </w:p>
    <w:p>
      <w:pPr>
        <w:pStyle w:val="ListParagraph"/>
        <w:numPr>
          <w:ilvl w:val="0"/>
          <w:numId w:val="35"/>
        </w:numPr>
        <w:tabs>
          <w:tab w:val="left" w:leader="none" w:pos="1328"/>
        </w:tabs>
        <w:spacing w:before="8" w:after="0" w:line="252" w:lineRule="auto"/>
        <w:ind w:left="1328" w:right="1810" w:hanging="710"/>
        <w:jc w:val="left"/>
        <w:rPr>
          <w:sz w:val="21"/>
        </w:rPr>
      </w:pPr>
      <w:r>
        <w:rPr>
          <w:color w:val="0E0E0E"/>
          <w:w w:val="105"/>
          <w:sz w:val="21"/>
        </w:rPr>
        <w:t>Events have not coincided with the actuarial assumptions made for</w:t>
      </w:r>
      <w:r>
        <w:rPr>
          <w:color w:val="0E0E0E"/>
          <w:spacing w:val="-16"/>
          <w:w w:val="105"/>
          <w:sz w:val="21"/>
        </w:rPr>
        <w:t> </w:t>
      </w:r>
      <w:r>
        <w:rPr>
          <w:color w:val="0E0E0E"/>
          <w:w w:val="105"/>
          <w:sz w:val="21"/>
        </w:rPr>
        <w:t>the</w:t>
      </w:r>
      <w:r>
        <w:rPr>
          <w:color w:val="0E0E0E"/>
          <w:spacing w:val="-15"/>
          <w:w w:val="105"/>
          <w:sz w:val="21"/>
        </w:rPr>
        <w:t> </w:t>
      </w:r>
      <w:r>
        <w:rPr>
          <w:color w:val="0E0E0E"/>
          <w:w w:val="105"/>
          <w:sz w:val="21"/>
        </w:rPr>
        <w:t>last</w:t>
      </w:r>
      <w:r>
        <w:rPr>
          <w:color w:val="0E0E0E"/>
          <w:spacing w:val="-12"/>
          <w:w w:val="105"/>
          <w:sz w:val="21"/>
        </w:rPr>
        <w:t> </w:t>
      </w:r>
      <w:r>
        <w:rPr>
          <w:color w:val="0E0E0E"/>
          <w:w w:val="105"/>
          <w:sz w:val="21"/>
        </w:rPr>
        <w:t>valuation</w:t>
      </w:r>
      <w:r>
        <w:rPr>
          <w:color w:val="0E0E0E"/>
          <w:spacing w:val="-11"/>
          <w:w w:val="105"/>
          <w:sz w:val="21"/>
        </w:rPr>
        <w:t> </w:t>
      </w:r>
      <w:r>
        <w:rPr>
          <w:color w:val="0E0E0E"/>
          <w:w w:val="105"/>
          <w:sz w:val="21"/>
        </w:rPr>
        <w:t>(experience gains and losses).</w:t>
      </w:r>
    </w:p>
    <w:p>
      <w:pPr>
        <w:pStyle w:val="ListParagraph"/>
        <w:numPr>
          <w:ilvl w:val="0"/>
          <w:numId w:val="35"/>
        </w:numPr>
        <w:tabs>
          <w:tab w:val="left" w:leader="none" w:pos="1331"/>
          <w:tab w:val="left" w:leader="none" w:pos="1333"/>
        </w:tabs>
        <w:spacing w:before="0" w:after="0" w:line="252" w:lineRule="auto"/>
        <w:ind w:left="1333" w:right="1863" w:hanging="715"/>
        <w:jc w:val="left"/>
        <w:rPr>
          <w:sz w:val="21"/>
        </w:rPr>
      </w:pPr>
      <w:r>
        <w:rPr>
          <w:color w:val="0E0E0E"/>
          <w:w w:val="105"/>
          <w:sz w:val="21"/>
        </w:rPr>
        <w:t>The</w:t>
      </w:r>
      <w:r>
        <w:rPr>
          <w:color w:val="0E0E0E"/>
          <w:spacing w:val="-16"/>
          <w:w w:val="105"/>
          <w:sz w:val="21"/>
        </w:rPr>
        <w:t> </w:t>
      </w:r>
      <w:r>
        <w:rPr>
          <w:color w:val="0E0E0E"/>
          <w:w w:val="105"/>
          <w:sz w:val="21"/>
        </w:rPr>
        <w:t>actuarial</w:t>
      </w:r>
      <w:r>
        <w:rPr>
          <w:color w:val="0E0E0E"/>
          <w:spacing w:val="-13"/>
          <w:w w:val="105"/>
          <w:sz w:val="21"/>
        </w:rPr>
        <w:t> </w:t>
      </w:r>
      <w:r>
        <w:rPr>
          <w:color w:val="0E0E0E"/>
          <w:w w:val="105"/>
          <w:sz w:val="21"/>
        </w:rPr>
        <w:t>assumptions</w:t>
      </w:r>
      <w:r>
        <w:rPr>
          <w:color w:val="0E0E0E"/>
          <w:spacing w:val="-7"/>
          <w:w w:val="105"/>
          <w:sz w:val="21"/>
        </w:rPr>
        <w:t> </w:t>
      </w:r>
      <w:r>
        <w:rPr>
          <w:color w:val="0E0E0E"/>
          <w:w w:val="105"/>
          <w:sz w:val="21"/>
        </w:rPr>
        <w:t>have </w:t>
      </w:r>
      <w:r>
        <w:rPr>
          <w:color w:val="0E0E0E"/>
          <w:spacing w:val="-2"/>
          <w:w w:val="105"/>
          <w:sz w:val="21"/>
        </w:rPr>
        <w:t>changed.</w:t>
      </w:r>
    </w:p>
    <w:p>
      <w:pPr>
        <w:pStyle w:val="BodyText"/>
        <w:spacing w:before="10"/>
        <w:rPr>
          <w:sz w:val="21"/>
        </w:rPr>
      </w:pPr>
    </w:p>
    <w:p>
      <w:pPr>
        <w:spacing w:before="0" w:line="252" w:lineRule="auto"/>
        <w:ind w:left="250" w:right="1625" w:hanging="1"/>
        <w:jc w:val="left"/>
        <w:rPr>
          <w:sz w:val="21"/>
        </w:rPr>
      </w:pPr>
      <w:r>
        <w:rPr>
          <w:color w:val="0E0E0E"/>
          <w:w w:val="105"/>
          <w:sz w:val="21"/>
        </w:rPr>
        <w:t>Arrangements</w:t>
      </w:r>
      <w:r>
        <w:rPr>
          <w:color w:val="0E0E0E"/>
          <w:spacing w:val="40"/>
          <w:w w:val="105"/>
          <w:sz w:val="21"/>
        </w:rPr>
        <w:t> </w:t>
      </w:r>
      <w:r>
        <w:rPr>
          <w:color w:val="0E0E0E"/>
          <w:w w:val="105"/>
          <w:sz w:val="21"/>
        </w:rPr>
        <w:t>under which the Council provides goods or</w:t>
      </w:r>
      <w:r>
        <w:rPr>
          <w:color w:val="0E0E0E"/>
          <w:spacing w:val="-15"/>
          <w:w w:val="105"/>
          <w:sz w:val="21"/>
        </w:rPr>
        <w:t> </w:t>
      </w:r>
      <w:r>
        <w:rPr>
          <w:color w:val="0E0E0E"/>
          <w:w w:val="105"/>
          <w:sz w:val="21"/>
        </w:rPr>
        <w:t>services to</w:t>
      </w:r>
      <w:r>
        <w:rPr>
          <w:color w:val="0E0E0E"/>
          <w:spacing w:val="-9"/>
          <w:w w:val="105"/>
          <w:sz w:val="21"/>
        </w:rPr>
        <w:t> </w:t>
      </w:r>
      <w:r>
        <w:rPr>
          <w:color w:val="0E0E0E"/>
          <w:w w:val="105"/>
          <w:sz w:val="21"/>
        </w:rPr>
        <w:t>third</w:t>
      </w:r>
      <w:r>
        <w:rPr>
          <w:color w:val="0E0E0E"/>
          <w:spacing w:val="-12"/>
          <w:w w:val="105"/>
          <w:sz w:val="21"/>
        </w:rPr>
        <w:t> </w:t>
      </w:r>
      <w:r>
        <w:rPr>
          <w:color w:val="0E0E0E"/>
          <w:w w:val="105"/>
          <w:sz w:val="21"/>
        </w:rPr>
        <w:t>parties on behalf of another </w:t>
      </w:r>
      <w:r>
        <w:rPr>
          <w:color w:val="262626"/>
          <w:w w:val="105"/>
          <w:sz w:val="21"/>
        </w:rPr>
        <w:t>organisation.</w:t>
      </w:r>
    </w:p>
    <w:p>
      <w:pPr>
        <w:pStyle w:val="BodyText"/>
        <w:spacing w:before="12"/>
        <w:rPr>
          <w:sz w:val="21"/>
        </w:rPr>
      </w:pPr>
    </w:p>
    <w:p>
      <w:pPr>
        <w:spacing w:before="0" w:line="252" w:lineRule="auto"/>
        <w:ind w:left="250" w:right="1707" w:hanging="1"/>
        <w:jc w:val="left"/>
        <w:rPr>
          <w:sz w:val="21"/>
        </w:rPr>
      </w:pPr>
      <w:r>
        <w:rPr>
          <w:color w:val="0E0E0E"/>
          <w:w w:val="105"/>
          <w:sz w:val="21"/>
        </w:rPr>
        <w:t>A way of measuring financial instruments that</w:t>
      </w:r>
      <w:r>
        <w:rPr>
          <w:color w:val="0E0E0E"/>
          <w:spacing w:val="-4"/>
          <w:w w:val="105"/>
          <w:sz w:val="21"/>
        </w:rPr>
        <w:t> </w:t>
      </w:r>
      <w:r>
        <w:rPr>
          <w:color w:val="0E0E0E"/>
          <w:w w:val="105"/>
          <w:sz w:val="21"/>
        </w:rPr>
        <w:t>ignores</w:t>
      </w:r>
      <w:r>
        <w:rPr>
          <w:color w:val="0E0E0E"/>
          <w:spacing w:val="-1"/>
          <w:w w:val="105"/>
          <w:sz w:val="21"/>
        </w:rPr>
        <w:t> </w:t>
      </w:r>
      <w:r>
        <w:rPr>
          <w:color w:val="0E0E0E"/>
          <w:w w:val="105"/>
          <w:sz w:val="21"/>
        </w:rPr>
        <w:t>changes in</w:t>
      </w:r>
      <w:r>
        <w:rPr>
          <w:color w:val="0E0E0E"/>
          <w:spacing w:val="-15"/>
          <w:w w:val="105"/>
          <w:sz w:val="21"/>
        </w:rPr>
        <w:t> </w:t>
      </w:r>
      <w:r>
        <w:rPr>
          <w:color w:val="0E0E0E"/>
          <w:w w:val="105"/>
          <w:sz w:val="21"/>
        </w:rPr>
        <w:t>fair</w:t>
      </w:r>
      <w:r>
        <w:rPr>
          <w:color w:val="0E0E0E"/>
          <w:spacing w:val="-5"/>
          <w:w w:val="105"/>
          <w:sz w:val="21"/>
        </w:rPr>
        <w:t> </w:t>
      </w:r>
      <w:r>
        <w:rPr>
          <w:color w:val="0E0E0E"/>
          <w:w w:val="105"/>
          <w:sz w:val="21"/>
        </w:rPr>
        <w:t>value</w:t>
      </w:r>
      <w:r>
        <w:rPr>
          <w:color w:val="0E0E0E"/>
          <w:spacing w:val="-6"/>
          <w:w w:val="105"/>
          <w:sz w:val="21"/>
        </w:rPr>
        <w:t> </w:t>
      </w:r>
      <w:r>
        <w:rPr>
          <w:color w:val="0E0E0E"/>
          <w:w w:val="105"/>
          <w:sz w:val="21"/>
        </w:rPr>
        <w:t>but</w:t>
      </w:r>
      <w:r>
        <w:rPr>
          <w:color w:val="0E0E0E"/>
          <w:spacing w:val="-5"/>
          <w:w w:val="105"/>
          <w:sz w:val="21"/>
        </w:rPr>
        <w:t> </w:t>
      </w:r>
      <w:r>
        <w:rPr>
          <w:color w:val="0E0E0E"/>
          <w:w w:val="105"/>
          <w:sz w:val="21"/>
        </w:rPr>
        <w:t>takes into account the spreading of transactions costs over the instrument term and the impact</w:t>
      </w:r>
      <w:r>
        <w:rPr>
          <w:color w:val="0E0E0E"/>
          <w:spacing w:val="-4"/>
          <w:w w:val="105"/>
          <w:sz w:val="21"/>
        </w:rPr>
        <w:t> </w:t>
      </w:r>
      <w:r>
        <w:rPr>
          <w:color w:val="0E0E0E"/>
          <w:w w:val="105"/>
          <w:sz w:val="21"/>
        </w:rPr>
        <w:t>of</w:t>
      </w:r>
      <w:r>
        <w:rPr>
          <w:color w:val="0E0E0E"/>
          <w:spacing w:val="-11"/>
          <w:w w:val="105"/>
          <w:sz w:val="21"/>
        </w:rPr>
        <w:t> </w:t>
      </w:r>
      <w:r>
        <w:rPr>
          <w:color w:val="0E0E0E"/>
          <w:w w:val="105"/>
          <w:sz w:val="21"/>
        </w:rPr>
        <w:t>any</w:t>
      </w:r>
      <w:r>
        <w:rPr>
          <w:color w:val="0E0E0E"/>
          <w:spacing w:val="-6"/>
          <w:w w:val="105"/>
          <w:sz w:val="21"/>
        </w:rPr>
        <w:t> </w:t>
      </w:r>
      <w:r>
        <w:rPr>
          <w:color w:val="0E0E0E"/>
          <w:w w:val="105"/>
          <w:sz w:val="21"/>
        </w:rPr>
        <w:t>concessionary interest</w:t>
      </w:r>
      <w:r>
        <w:rPr>
          <w:color w:val="0E0E0E"/>
          <w:spacing w:val="-5"/>
          <w:w w:val="105"/>
          <w:sz w:val="21"/>
        </w:rPr>
        <w:t> </w:t>
      </w:r>
      <w:r>
        <w:rPr>
          <w:color w:val="0E0E0E"/>
          <w:w w:val="105"/>
          <w:sz w:val="21"/>
        </w:rPr>
        <w:t>rates</w:t>
      </w:r>
      <w:r>
        <w:rPr>
          <w:color w:val="494949"/>
          <w:w w:val="105"/>
          <w:sz w:val="21"/>
        </w:rPr>
        <w:t>.</w:t>
      </w:r>
    </w:p>
    <w:p>
      <w:pPr>
        <w:spacing w:after="0" w:line="252" w:lineRule="auto"/>
        <w:jc w:val="left"/>
        <w:rPr>
          <w:sz w:val="21"/>
        </w:rPr>
        <w:sectPr>
          <w:type w:val="continuous"/>
          <w:pgSz w:w="11910" w:h="16830"/>
          <w:pgMar w:top="1940" w:right="540" w:bottom="280" w:left="440" w:header="748" w:footer="0"/>
          <w:cols w:equalWidth="0" w:num="2">
            <w:col w:w="3680" w:space="938"/>
            <w:col w:w="6312"/>
          </w:cols>
        </w:sectPr>
      </w:pPr>
    </w:p>
    <w:p>
      <w:pPr>
        <w:pStyle w:val="BodyText"/>
        <w:spacing w:line="134" w:lineRule="exact"/>
        <w:ind w:left="1069"/>
        <w:rPr>
          <w:sz w:val="13"/>
        </w:rPr>
      </w:pPr>
      <w:r>
        <w:rPr>
          <w:position w:val="-2"/>
          <w:sz w:val="13"/>
        </w:rPr>
        <w:drawing>
          <wp:inline distT="0" distB="0" distL="0" distR="0">
            <wp:extent cx="463514" cy="85344"/>
            <wp:effectExtent l="0" t="0" r="0" b="0"/>
            <wp:docPr id="758" name="Image 758"/>
            <wp:cNvGraphicFramePr>
              <a:graphicFrameLocks/>
            </wp:cNvGraphicFramePr>
            <a:graphic>
              <a:graphicData uri="http://schemas.openxmlformats.org/drawingml/2006/picture">
                <pic:pic>
                  <pic:nvPicPr>
                    <pic:cNvPr id="758" name="Image 758"/>
                    <pic:cNvPicPr/>
                  </pic:nvPicPr>
                  <pic:blipFill>
                    <a:blip r:embed="rId327" cstate="print"/>
                    <a:stretch>
                      <a:fillRect/>
                    </a:stretch>
                  </pic:blipFill>
                  <pic:spPr>
                    <a:xfrm>
                      <a:off x="0" y="0"/>
                      <a:ext cx="463514" cy="85344"/>
                    </a:xfrm>
                    <a:prstGeom prst="rect">
                      <a:avLst/>
                    </a:prstGeom>
                  </pic:spPr>
                </pic:pic>
              </a:graphicData>
            </a:graphic>
          </wp:inline>
        </w:drawing>
      </w:r>
      <w:r>
        <w:rPr>
          <w:position w:val="-2"/>
          <w:sz w:val="13"/>
        </w:rPr>
      </w:r>
    </w:p>
    <w:p>
      <w:pPr>
        <w:pStyle w:val="BodyText"/>
        <w:spacing w:before="2"/>
        <w:rPr>
          <w:sz w:val="15"/>
        </w:rPr>
      </w:pPr>
    </w:p>
    <w:p>
      <w:pPr>
        <w:spacing w:after="0"/>
        <w:rPr>
          <w:sz w:val="15"/>
        </w:rPr>
        <w:sectPr>
          <w:headerReference w:type="even" r:id="rId326"/>
          <w:pgSz w:w="11910" w:h="16830"/>
          <w:pgMar w:top="920" w:right="540" w:bottom="1180" w:left="440" w:header="0" w:footer="0"/>
        </w:sectPr>
      </w:pPr>
    </w:p>
    <w:p>
      <w:pPr>
        <w:spacing w:before="94"/>
        <w:ind w:left="435" w:right="0" w:firstLine="0"/>
        <w:jc w:val="left"/>
        <w:rPr>
          <w:b/>
          <w:sz w:val="21"/>
        </w:rPr>
      </w:pPr>
      <w:r>
        <w:rPr>
          <w:b/>
          <w:color w:val="0C0C0C"/>
          <w:spacing w:val="-4"/>
          <w:w w:val="105"/>
          <w:sz w:val="21"/>
        </w:rPr>
        <w:t>Term</w:t>
      </w:r>
    </w:p>
    <w:p>
      <w:pPr>
        <w:spacing w:before="8"/>
        <w:ind w:left="435" w:right="0" w:firstLine="0"/>
        <w:jc w:val="left"/>
        <w:rPr>
          <w:b/>
          <w:sz w:val="21"/>
        </w:rPr>
      </w:pPr>
      <w:r>
        <w:rPr>
          <w:b/>
          <w:color w:val="0C0C0C"/>
          <w:w w:val="105"/>
          <w:sz w:val="21"/>
        </w:rPr>
        <w:t>Amortised</w:t>
      </w:r>
      <w:r>
        <w:rPr>
          <w:b/>
          <w:color w:val="0C0C0C"/>
          <w:spacing w:val="-2"/>
          <w:w w:val="105"/>
          <w:sz w:val="21"/>
        </w:rPr>
        <w:t> </w:t>
      </w:r>
      <w:r>
        <w:rPr>
          <w:b/>
          <w:color w:val="0C0C0C"/>
          <w:w w:val="105"/>
          <w:sz w:val="21"/>
        </w:rPr>
        <w:t>cost</w:t>
      </w:r>
      <w:r>
        <w:rPr>
          <w:b/>
          <w:color w:val="0C0C0C"/>
          <w:spacing w:val="-11"/>
          <w:w w:val="105"/>
          <w:sz w:val="21"/>
        </w:rPr>
        <w:t> </w:t>
      </w:r>
      <w:r>
        <w:rPr>
          <w:b/>
          <w:color w:val="0C0C0C"/>
          <w:w w:val="105"/>
          <w:sz w:val="21"/>
        </w:rPr>
        <w:t>financial </w:t>
      </w:r>
      <w:r>
        <w:rPr>
          <w:b/>
          <w:color w:val="0C0C0C"/>
          <w:spacing w:val="-2"/>
          <w:w w:val="105"/>
          <w:sz w:val="21"/>
        </w:rPr>
        <w:t>assets</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203"/>
        <w:rPr>
          <w:b/>
          <w:sz w:val="21"/>
        </w:rPr>
      </w:pPr>
    </w:p>
    <w:p>
      <w:pPr>
        <w:spacing w:before="0"/>
        <w:ind w:left="386" w:right="0" w:firstLine="0"/>
        <w:jc w:val="left"/>
        <w:rPr>
          <w:b/>
          <w:sz w:val="21"/>
        </w:rPr>
      </w:pPr>
      <w:r>
        <w:rPr>
          <w:b/>
          <w:color w:val="0C0C0C"/>
          <w:w w:val="105"/>
          <w:sz w:val="21"/>
        </w:rPr>
        <w:t>Apprenticeship</w:t>
      </w:r>
      <w:r>
        <w:rPr>
          <w:b/>
          <w:color w:val="0C0C0C"/>
          <w:spacing w:val="-9"/>
          <w:w w:val="105"/>
          <w:sz w:val="21"/>
        </w:rPr>
        <w:t> </w:t>
      </w:r>
      <w:r>
        <w:rPr>
          <w:b/>
          <w:color w:val="0C0C0C"/>
          <w:spacing w:val="-4"/>
          <w:w w:val="105"/>
          <w:sz w:val="21"/>
        </w:rPr>
        <w:t>Levy</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22"/>
        <w:rPr>
          <w:b/>
          <w:sz w:val="21"/>
        </w:rPr>
      </w:pPr>
    </w:p>
    <w:p>
      <w:pPr>
        <w:spacing w:before="0"/>
        <w:ind w:left="358" w:right="0" w:firstLine="0"/>
        <w:jc w:val="left"/>
        <w:rPr>
          <w:b/>
          <w:sz w:val="21"/>
        </w:rPr>
      </w:pPr>
      <w:r>
        <w:rPr>
          <w:b/>
          <w:color w:val="0C0C0C"/>
          <w:spacing w:val="-2"/>
          <w:w w:val="105"/>
          <w:sz w:val="21"/>
        </w:rPr>
        <w:t>Asset</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83"/>
        <w:rPr>
          <w:b/>
          <w:sz w:val="21"/>
        </w:rPr>
      </w:pPr>
    </w:p>
    <w:p>
      <w:pPr>
        <w:spacing w:before="0"/>
        <w:ind w:left="337" w:right="0" w:firstLine="0"/>
        <w:jc w:val="left"/>
        <w:rPr>
          <w:b/>
          <w:sz w:val="21"/>
        </w:rPr>
      </w:pPr>
      <w:r>
        <w:rPr>
          <w:b/>
          <w:color w:val="0C0C0C"/>
          <w:spacing w:val="-2"/>
          <w:w w:val="105"/>
          <w:sz w:val="21"/>
        </w:rPr>
        <w:t>Balances</w:t>
      </w:r>
    </w:p>
    <w:p>
      <w:pPr>
        <w:pStyle w:val="BodyText"/>
        <w:rPr>
          <w:b/>
          <w:sz w:val="21"/>
        </w:rPr>
      </w:pPr>
    </w:p>
    <w:p>
      <w:pPr>
        <w:pStyle w:val="BodyText"/>
        <w:rPr>
          <w:b/>
          <w:sz w:val="21"/>
        </w:rPr>
      </w:pPr>
    </w:p>
    <w:p>
      <w:pPr>
        <w:pStyle w:val="BodyText"/>
        <w:rPr>
          <w:b/>
          <w:sz w:val="21"/>
        </w:rPr>
      </w:pPr>
    </w:p>
    <w:p>
      <w:pPr>
        <w:pStyle w:val="BodyText"/>
        <w:spacing w:before="57"/>
        <w:rPr>
          <w:b/>
          <w:sz w:val="21"/>
        </w:rPr>
      </w:pPr>
    </w:p>
    <w:p>
      <w:pPr>
        <w:spacing w:before="0"/>
        <w:ind w:left="318" w:right="0" w:firstLine="0"/>
        <w:jc w:val="left"/>
        <w:rPr>
          <w:b/>
          <w:sz w:val="21"/>
        </w:rPr>
      </w:pPr>
      <w:r>
        <w:rPr>
          <w:b/>
          <w:color w:val="0C0C0C"/>
          <w:w w:val="105"/>
          <w:sz w:val="21"/>
        </w:rPr>
        <w:t>Business </w:t>
      </w:r>
      <w:r>
        <w:rPr>
          <w:b/>
          <w:color w:val="0C0C0C"/>
          <w:spacing w:val="-2"/>
          <w:w w:val="105"/>
          <w:sz w:val="21"/>
        </w:rPr>
        <w:t>model</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00"/>
        <w:rPr>
          <w:b/>
          <w:sz w:val="21"/>
        </w:rPr>
      </w:pPr>
    </w:p>
    <w:p>
      <w:pPr>
        <w:spacing w:before="1"/>
        <w:ind w:left="294" w:right="0" w:firstLine="0"/>
        <w:jc w:val="left"/>
        <w:rPr>
          <w:b/>
          <w:sz w:val="21"/>
        </w:rPr>
      </w:pPr>
      <w:r>
        <w:rPr>
          <w:b/>
          <w:color w:val="0C0C0C"/>
          <w:w w:val="105"/>
          <w:sz w:val="21"/>
        </w:rPr>
        <w:t>Business</w:t>
      </w:r>
      <w:r>
        <w:rPr>
          <w:b/>
          <w:color w:val="0C0C0C"/>
          <w:spacing w:val="2"/>
          <w:w w:val="105"/>
          <w:sz w:val="21"/>
        </w:rPr>
        <w:t> </w:t>
      </w:r>
      <w:r>
        <w:rPr>
          <w:b/>
          <w:color w:val="0C0C0C"/>
          <w:spacing w:val="-4"/>
          <w:w w:val="105"/>
          <w:sz w:val="21"/>
        </w:rPr>
        <w:t>Rates</w:t>
      </w:r>
    </w:p>
    <w:p>
      <w:pPr>
        <w:spacing w:before="94"/>
        <w:ind w:left="405" w:right="0" w:firstLine="0"/>
        <w:jc w:val="left"/>
        <w:rPr>
          <w:b/>
          <w:sz w:val="21"/>
        </w:rPr>
      </w:pPr>
      <w:r>
        <w:rPr/>
        <w:br w:type="column"/>
      </w:r>
      <w:r>
        <w:rPr>
          <w:b/>
          <w:color w:val="0C0C0C"/>
          <w:spacing w:val="-2"/>
          <w:w w:val="105"/>
          <w:sz w:val="21"/>
        </w:rPr>
        <w:t>Definition</w:t>
      </w:r>
    </w:p>
    <w:p>
      <w:pPr>
        <w:spacing w:before="8" w:line="252" w:lineRule="auto"/>
        <w:ind w:left="395" w:right="1533" w:firstLine="6"/>
        <w:jc w:val="left"/>
        <w:rPr>
          <w:sz w:val="21"/>
        </w:rPr>
      </w:pPr>
      <w:r>
        <w:rPr>
          <w:color w:val="0C0C0C"/>
          <w:w w:val="105"/>
          <w:sz w:val="21"/>
        </w:rPr>
        <w:t>Investments</w:t>
      </w:r>
      <w:r>
        <w:rPr>
          <w:color w:val="0C0C0C"/>
          <w:spacing w:val="-4"/>
          <w:w w:val="105"/>
          <w:sz w:val="21"/>
        </w:rPr>
        <w:t> </w:t>
      </w:r>
      <w:r>
        <w:rPr>
          <w:color w:val="0C0C0C"/>
          <w:w w:val="105"/>
          <w:sz w:val="21"/>
        </w:rPr>
        <w:t>for</w:t>
      </w:r>
      <w:r>
        <w:rPr>
          <w:color w:val="0C0C0C"/>
          <w:spacing w:val="-12"/>
          <w:w w:val="105"/>
          <w:sz w:val="21"/>
        </w:rPr>
        <w:t> </w:t>
      </w:r>
      <w:r>
        <w:rPr>
          <w:color w:val="0C0C0C"/>
          <w:w w:val="105"/>
          <w:sz w:val="21"/>
        </w:rPr>
        <w:t>which</w:t>
      </w:r>
      <w:r>
        <w:rPr>
          <w:color w:val="0C0C0C"/>
          <w:spacing w:val="-10"/>
          <w:w w:val="105"/>
          <w:sz w:val="21"/>
        </w:rPr>
        <w:t> </w:t>
      </w:r>
      <w:r>
        <w:rPr>
          <w:color w:val="0C0C0C"/>
          <w:w w:val="105"/>
          <w:sz w:val="21"/>
        </w:rPr>
        <w:t>any</w:t>
      </w:r>
      <w:r>
        <w:rPr>
          <w:color w:val="0C0C0C"/>
          <w:spacing w:val="-6"/>
          <w:w w:val="105"/>
          <w:sz w:val="21"/>
        </w:rPr>
        <w:t> </w:t>
      </w:r>
      <w:r>
        <w:rPr>
          <w:color w:val="0C0C0C"/>
          <w:w w:val="105"/>
          <w:sz w:val="21"/>
        </w:rPr>
        <w:t>gains</w:t>
      </w:r>
      <w:r>
        <w:rPr>
          <w:color w:val="0C0C0C"/>
          <w:spacing w:val="-4"/>
          <w:w w:val="105"/>
          <w:sz w:val="21"/>
        </w:rPr>
        <w:t> </w:t>
      </w:r>
      <w:r>
        <w:rPr>
          <w:color w:val="0C0C0C"/>
          <w:w w:val="105"/>
          <w:sz w:val="21"/>
        </w:rPr>
        <w:t>and</w:t>
      </w:r>
      <w:r>
        <w:rPr>
          <w:color w:val="0C0C0C"/>
          <w:spacing w:val="-16"/>
          <w:w w:val="105"/>
          <w:sz w:val="21"/>
        </w:rPr>
        <w:t> </w:t>
      </w:r>
      <w:r>
        <w:rPr>
          <w:color w:val="0C0C0C"/>
          <w:w w:val="105"/>
          <w:sz w:val="21"/>
        </w:rPr>
        <w:t>losses in fair value are not accounted for until the investment matures or is sold. Defined as financial assets:</w:t>
      </w:r>
    </w:p>
    <w:p>
      <w:pPr>
        <w:pStyle w:val="ListParagraph"/>
        <w:numPr>
          <w:ilvl w:val="0"/>
          <w:numId w:val="36"/>
        </w:numPr>
        <w:tabs>
          <w:tab w:val="left" w:leader="none" w:pos="1116"/>
          <w:tab w:val="left" w:leader="none" w:pos="1123"/>
        </w:tabs>
        <w:spacing w:before="14" w:after="0" w:line="252" w:lineRule="auto"/>
        <w:ind w:left="1116" w:right="1557" w:hanging="351"/>
        <w:jc w:val="left"/>
        <w:rPr>
          <w:color w:val="1C1C1C"/>
          <w:sz w:val="21"/>
        </w:rPr>
      </w:pPr>
      <w:r>
        <w:rPr>
          <w:color w:val="1C1C1C"/>
          <w:sz w:val="21"/>
        </w:rPr>
        <w:tab/>
      </w:r>
      <w:r>
        <w:rPr>
          <w:color w:val="0C0C0C"/>
          <w:w w:val="105"/>
          <w:sz w:val="21"/>
        </w:rPr>
        <w:t>held within a</w:t>
      </w:r>
      <w:r>
        <w:rPr>
          <w:color w:val="0C0C0C"/>
          <w:spacing w:val="-3"/>
          <w:w w:val="105"/>
          <w:sz w:val="21"/>
        </w:rPr>
        <w:t> </w:t>
      </w:r>
      <w:r>
        <w:rPr>
          <w:color w:val="0C0C0C"/>
          <w:w w:val="105"/>
          <w:sz w:val="21"/>
        </w:rPr>
        <w:t>business model whose objective is to hold </w:t>
      </w:r>
      <w:r>
        <w:rPr>
          <w:color w:val="1C1C1C"/>
          <w:w w:val="105"/>
          <w:sz w:val="21"/>
        </w:rPr>
        <w:t>investments </w:t>
      </w:r>
      <w:r>
        <w:rPr>
          <w:color w:val="0C0C0C"/>
          <w:w w:val="105"/>
          <w:sz w:val="21"/>
        </w:rPr>
        <w:t>in order</w:t>
      </w:r>
      <w:r>
        <w:rPr>
          <w:color w:val="0C0C0C"/>
          <w:spacing w:val="-10"/>
          <w:w w:val="105"/>
          <w:sz w:val="21"/>
        </w:rPr>
        <w:t> </w:t>
      </w:r>
      <w:r>
        <w:rPr>
          <w:color w:val="1C1C1C"/>
          <w:w w:val="105"/>
          <w:sz w:val="21"/>
        </w:rPr>
        <w:t>to</w:t>
      </w:r>
      <w:r>
        <w:rPr>
          <w:color w:val="1C1C1C"/>
          <w:spacing w:val="-16"/>
          <w:w w:val="105"/>
          <w:sz w:val="21"/>
        </w:rPr>
        <w:t> </w:t>
      </w:r>
      <w:r>
        <w:rPr>
          <w:color w:val="1C1C1C"/>
          <w:w w:val="105"/>
          <w:sz w:val="21"/>
        </w:rPr>
        <w:t>collect</w:t>
      </w:r>
      <w:r>
        <w:rPr>
          <w:color w:val="1C1C1C"/>
          <w:spacing w:val="-7"/>
          <w:w w:val="105"/>
          <w:sz w:val="21"/>
        </w:rPr>
        <w:t> </w:t>
      </w:r>
      <w:r>
        <w:rPr>
          <w:color w:val="0C0C0C"/>
          <w:w w:val="105"/>
          <w:sz w:val="21"/>
        </w:rPr>
        <w:t>their</w:t>
      </w:r>
      <w:r>
        <w:rPr>
          <w:color w:val="0C0C0C"/>
          <w:spacing w:val="-3"/>
          <w:w w:val="105"/>
          <w:sz w:val="21"/>
        </w:rPr>
        <w:t> </w:t>
      </w:r>
      <w:r>
        <w:rPr>
          <w:color w:val="1C1C1C"/>
          <w:w w:val="105"/>
          <w:sz w:val="21"/>
        </w:rPr>
        <w:t>contractual</w:t>
      </w:r>
      <w:r>
        <w:rPr>
          <w:color w:val="1C1C1C"/>
          <w:spacing w:val="-12"/>
          <w:w w:val="105"/>
          <w:sz w:val="21"/>
        </w:rPr>
        <w:t> </w:t>
      </w:r>
      <w:r>
        <w:rPr>
          <w:color w:val="0C0C0C"/>
          <w:w w:val="105"/>
          <w:sz w:val="21"/>
        </w:rPr>
        <w:t>cash flows, and</w:t>
      </w:r>
    </w:p>
    <w:p>
      <w:pPr>
        <w:pStyle w:val="ListParagraph"/>
        <w:numPr>
          <w:ilvl w:val="0"/>
          <w:numId w:val="36"/>
        </w:numPr>
        <w:tabs>
          <w:tab w:val="left" w:leader="none" w:pos="1099"/>
          <w:tab w:val="left" w:leader="none" w:pos="1117"/>
        </w:tabs>
        <w:spacing w:before="14" w:after="0" w:line="252" w:lineRule="auto"/>
        <w:ind w:left="1099" w:right="1522" w:hanging="344"/>
        <w:jc w:val="left"/>
        <w:rPr>
          <w:color w:val="1C1C1C"/>
          <w:sz w:val="21"/>
        </w:rPr>
      </w:pPr>
      <w:r>
        <w:rPr>
          <w:color w:val="1C1C1C"/>
          <w:sz w:val="21"/>
        </w:rPr>
        <w:tab/>
      </w:r>
      <w:r>
        <w:rPr>
          <w:color w:val="0C0C0C"/>
          <w:w w:val="105"/>
          <w:sz w:val="21"/>
        </w:rPr>
        <w:t>which have the form of a basic lending</w:t>
      </w:r>
      <w:r>
        <w:rPr>
          <w:color w:val="0C0C0C"/>
          <w:spacing w:val="-14"/>
          <w:w w:val="105"/>
          <w:sz w:val="21"/>
        </w:rPr>
        <w:t> </w:t>
      </w:r>
      <w:r>
        <w:rPr>
          <w:color w:val="0C0C0C"/>
          <w:w w:val="105"/>
          <w:sz w:val="21"/>
        </w:rPr>
        <w:t>arrangement</w:t>
      </w:r>
      <w:r>
        <w:rPr>
          <w:color w:val="0C0C0C"/>
          <w:spacing w:val="-6"/>
          <w:w w:val="105"/>
          <w:sz w:val="21"/>
        </w:rPr>
        <w:t> </w:t>
      </w:r>
      <w:r>
        <w:rPr>
          <w:color w:val="0C0C0C"/>
          <w:w w:val="105"/>
          <w:sz w:val="21"/>
        </w:rPr>
        <w:t>(i.e.,</w:t>
      </w:r>
      <w:r>
        <w:rPr>
          <w:color w:val="0C0C0C"/>
          <w:spacing w:val="-15"/>
          <w:w w:val="105"/>
          <w:sz w:val="21"/>
        </w:rPr>
        <w:t> </w:t>
      </w:r>
      <w:r>
        <w:rPr>
          <w:color w:val="0C0C0C"/>
          <w:w w:val="105"/>
          <w:sz w:val="21"/>
        </w:rPr>
        <w:t>contractual terms give rise on specified dates to cash flows that are solely payments of principal and interest on the principal amount outstanding).</w:t>
      </w:r>
    </w:p>
    <w:p>
      <w:pPr>
        <w:pStyle w:val="BodyText"/>
        <w:spacing w:before="6"/>
        <w:rPr>
          <w:sz w:val="21"/>
        </w:rPr>
      </w:pPr>
    </w:p>
    <w:p>
      <w:pPr>
        <w:spacing w:before="0" w:line="252" w:lineRule="auto"/>
        <w:ind w:left="345" w:right="1533" w:firstLine="23"/>
        <w:jc w:val="left"/>
        <w:rPr>
          <w:sz w:val="21"/>
        </w:rPr>
      </w:pPr>
      <w:r>
        <w:rPr>
          <w:color w:val="0C0C0C"/>
          <w:w w:val="105"/>
          <w:sz w:val="21"/>
        </w:rPr>
        <w:t>The Apprenticeship Levy is a levy on </w:t>
      </w:r>
      <w:r>
        <w:rPr>
          <w:color w:val="1C1C1C"/>
          <w:w w:val="105"/>
          <w:sz w:val="21"/>
        </w:rPr>
        <w:t>employers </w:t>
      </w:r>
      <w:r>
        <w:rPr>
          <w:color w:val="0C0C0C"/>
          <w:w w:val="105"/>
          <w:sz w:val="21"/>
        </w:rPr>
        <w:t>to fund new </w:t>
      </w:r>
      <w:r>
        <w:rPr>
          <w:color w:val="1C1C1C"/>
          <w:w w:val="105"/>
          <w:sz w:val="21"/>
        </w:rPr>
        <w:t>apprenticeships. Control </w:t>
      </w:r>
      <w:r>
        <w:rPr>
          <w:color w:val="0C0C0C"/>
          <w:w w:val="105"/>
          <w:sz w:val="21"/>
        </w:rPr>
        <w:t>of apprenticeship </w:t>
      </w:r>
      <w:r>
        <w:rPr>
          <w:color w:val="1C1C1C"/>
          <w:w w:val="105"/>
          <w:sz w:val="21"/>
        </w:rPr>
        <w:t>funding </w:t>
      </w:r>
      <w:r>
        <w:rPr>
          <w:color w:val="2D2D2D"/>
          <w:w w:val="105"/>
          <w:sz w:val="21"/>
        </w:rPr>
        <w:t>is in</w:t>
      </w:r>
      <w:r>
        <w:rPr>
          <w:color w:val="2D2D2D"/>
          <w:spacing w:val="-1"/>
          <w:w w:val="105"/>
          <w:sz w:val="21"/>
        </w:rPr>
        <w:t> </w:t>
      </w:r>
      <w:r>
        <w:rPr>
          <w:color w:val="0C0C0C"/>
          <w:w w:val="105"/>
          <w:sz w:val="21"/>
        </w:rPr>
        <w:t>the hands of employers through </w:t>
      </w:r>
      <w:r>
        <w:rPr>
          <w:color w:val="1C1C1C"/>
          <w:w w:val="105"/>
          <w:sz w:val="21"/>
        </w:rPr>
        <w:t>the </w:t>
      </w:r>
      <w:r>
        <w:rPr>
          <w:color w:val="0C0C0C"/>
          <w:w w:val="105"/>
          <w:sz w:val="21"/>
        </w:rPr>
        <w:t>Digital </w:t>
      </w:r>
      <w:r>
        <w:rPr>
          <w:color w:val="1C1C1C"/>
          <w:w w:val="105"/>
          <w:sz w:val="21"/>
        </w:rPr>
        <w:t>Apprenticeship </w:t>
      </w:r>
      <w:r>
        <w:rPr>
          <w:color w:val="0C0C0C"/>
          <w:w w:val="105"/>
          <w:sz w:val="21"/>
        </w:rPr>
        <w:t>Serv</w:t>
      </w:r>
      <w:r>
        <w:rPr>
          <w:color w:val="2D2D2D"/>
          <w:w w:val="105"/>
          <w:sz w:val="21"/>
        </w:rPr>
        <w:t>ice</w:t>
      </w:r>
      <w:r>
        <w:rPr>
          <w:color w:val="505050"/>
          <w:w w:val="105"/>
          <w:sz w:val="21"/>
        </w:rPr>
        <w:t>. </w:t>
      </w:r>
      <w:r>
        <w:rPr>
          <w:color w:val="1C1C1C"/>
          <w:w w:val="105"/>
          <w:sz w:val="21"/>
        </w:rPr>
        <w:t>The </w:t>
      </w:r>
      <w:r>
        <w:rPr>
          <w:color w:val="0C0C0C"/>
          <w:w w:val="105"/>
          <w:sz w:val="21"/>
        </w:rPr>
        <w:t>levy will be </w:t>
      </w:r>
      <w:r>
        <w:rPr>
          <w:color w:val="1C1C1C"/>
          <w:w w:val="105"/>
          <w:sz w:val="21"/>
        </w:rPr>
        <w:t>charged </w:t>
      </w:r>
      <w:r>
        <w:rPr>
          <w:color w:val="0C0C0C"/>
          <w:w w:val="105"/>
          <w:sz w:val="21"/>
        </w:rPr>
        <w:t>at a</w:t>
      </w:r>
      <w:r>
        <w:rPr>
          <w:color w:val="0C0C0C"/>
          <w:spacing w:val="-4"/>
          <w:w w:val="105"/>
          <w:sz w:val="21"/>
        </w:rPr>
        <w:t> </w:t>
      </w:r>
      <w:r>
        <w:rPr>
          <w:color w:val="0C0C0C"/>
          <w:w w:val="105"/>
          <w:sz w:val="21"/>
        </w:rPr>
        <w:t>rate of</w:t>
      </w:r>
      <w:r>
        <w:rPr>
          <w:color w:val="0C0C0C"/>
          <w:spacing w:val="-1"/>
          <w:w w:val="105"/>
          <w:sz w:val="21"/>
        </w:rPr>
        <w:t> </w:t>
      </w:r>
      <w:r>
        <w:rPr>
          <w:color w:val="1C1C1C"/>
          <w:w w:val="105"/>
          <w:sz w:val="21"/>
        </w:rPr>
        <w:t>0</w:t>
      </w:r>
      <w:r>
        <w:rPr>
          <w:color w:val="505050"/>
          <w:w w:val="105"/>
          <w:sz w:val="21"/>
        </w:rPr>
        <w:t>.</w:t>
      </w:r>
      <w:r>
        <w:rPr>
          <w:color w:val="1C1C1C"/>
          <w:w w:val="105"/>
          <w:sz w:val="21"/>
        </w:rPr>
        <w:t>5% </w:t>
      </w:r>
      <w:r>
        <w:rPr>
          <w:color w:val="0C0C0C"/>
          <w:w w:val="105"/>
          <w:sz w:val="21"/>
        </w:rPr>
        <w:t>of an</w:t>
      </w:r>
      <w:r>
        <w:rPr>
          <w:color w:val="0C0C0C"/>
          <w:spacing w:val="-7"/>
          <w:w w:val="105"/>
          <w:sz w:val="21"/>
        </w:rPr>
        <w:t> </w:t>
      </w:r>
      <w:r>
        <w:rPr>
          <w:color w:val="0C0C0C"/>
          <w:w w:val="105"/>
          <w:sz w:val="21"/>
        </w:rPr>
        <w:t>employer's payroll. Each employer </w:t>
      </w:r>
      <w:r>
        <w:rPr>
          <w:color w:val="2D2D2D"/>
          <w:w w:val="105"/>
          <w:sz w:val="21"/>
        </w:rPr>
        <w:t>receives </w:t>
      </w:r>
      <w:r>
        <w:rPr>
          <w:color w:val="0C0C0C"/>
          <w:w w:val="105"/>
          <w:sz w:val="21"/>
        </w:rPr>
        <w:t>an allowance of</w:t>
      </w:r>
      <w:r>
        <w:rPr>
          <w:color w:val="0C0C0C"/>
          <w:spacing w:val="-11"/>
          <w:w w:val="105"/>
          <w:sz w:val="21"/>
        </w:rPr>
        <w:t> </w:t>
      </w:r>
      <w:r>
        <w:rPr>
          <w:color w:val="0C0C0C"/>
          <w:w w:val="105"/>
          <w:sz w:val="21"/>
        </w:rPr>
        <w:t>£15</w:t>
      </w:r>
      <w:r>
        <w:rPr>
          <w:color w:val="505050"/>
          <w:w w:val="105"/>
          <w:sz w:val="21"/>
        </w:rPr>
        <w:t>,</w:t>
      </w:r>
      <w:r>
        <w:rPr>
          <w:color w:val="1C1C1C"/>
          <w:w w:val="105"/>
          <w:sz w:val="21"/>
        </w:rPr>
        <w:t>000</w:t>
      </w:r>
      <w:r>
        <w:rPr>
          <w:color w:val="1C1C1C"/>
          <w:spacing w:val="-11"/>
          <w:w w:val="105"/>
          <w:sz w:val="21"/>
        </w:rPr>
        <w:t> </w:t>
      </w:r>
      <w:r>
        <w:rPr>
          <w:color w:val="1C1C1C"/>
          <w:w w:val="105"/>
          <w:sz w:val="21"/>
        </w:rPr>
        <w:t>to</w:t>
      </w:r>
      <w:r>
        <w:rPr>
          <w:color w:val="1C1C1C"/>
          <w:spacing w:val="-12"/>
          <w:w w:val="105"/>
          <w:sz w:val="21"/>
        </w:rPr>
        <w:t> </w:t>
      </w:r>
      <w:r>
        <w:rPr>
          <w:color w:val="0C0C0C"/>
          <w:w w:val="105"/>
          <w:sz w:val="21"/>
        </w:rPr>
        <w:t>offset</w:t>
      </w:r>
      <w:r>
        <w:rPr>
          <w:color w:val="0C0C0C"/>
          <w:spacing w:val="-2"/>
          <w:w w:val="105"/>
          <w:sz w:val="21"/>
        </w:rPr>
        <w:t> </w:t>
      </w:r>
      <w:r>
        <w:rPr>
          <w:color w:val="1C1C1C"/>
          <w:w w:val="105"/>
          <w:sz w:val="21"/>
        </w:rPr>
        <w:t>against </w:t>
      </w:r>
      <w:r>
        <w:rPr>
          <w:color w:val="0C0C0C"/>
          <w:w w:val="105"/>
          <w:sz w:val="21"/>
        </w:rPr>
        <w:t>their levy payment.</w:t>
      </w:r>
    </w:p>
    <w:p>
      <w:pPr>
        <w:pStyle w:val="BodyText"/>
        <w:spacing w:before="9"/>
        <w:rPr>
          <w:sz w:val="21"/>
        </w:rPr>
      </w:pPr>
    </w:p>
    <w:p>
      <w:pPr>
        <w:spacing w:before="0" w:line="252" w:lineRule="auto"/>
        <w:ind w:left="332" w:right="1722" w:firstLine="12"/>
        <w:jc w:val="left"/>
        <w:rPr>
          <w:sz w:val="21"/>
        </w:rPr>
      </w:pPr>
      <w:r>
        <w:rPr>
          <w:color w:val="1C1C1C"/>
          <w:w w:val="105"/>
          <w:sz w:val="21"/>
        </w:rPr>
        <w:t>Anything</w:t>
      </w:r>
      <w:r>
        <w:rPr>
          <w:color w:val="1C1C1C"/>
          <w:spacing w:val="-1"/>
          <w:w w:val="105"/>
          <w:sz w:val="21"/>
        </w:rPr>
        <w:t> </w:t>
      </w:r>
      <w:r>
        <w:rPr>
          <w:color w:val="1C1C1C"/>
          <w:w w:val="105"/>
          <w:sz w:val="21"/>
        </w:rPr>
        <w:t>which</w:t>
      </w:r>
      <w:r>
        <w:rPr>
          <w:color w:val="1C1C1C"/>
          <w:spacing w:val="-12"/>
          <w:w w:val="105"/>
          <w:sz w:val="21"/>
        </w:rPr>
        <w:t> </w:t>
      </w:r>
      <w:r>
        <w:rPr>
          <w:color w:val="1C1C1C"/>
          <w:w w:val="105"/>
          <w:sz w:val="21"/>
        </w:rPr>
        <w:t>somebody owns</w:t>
      </w:r>
      <w:r>
        <w:rPr>
          <w:color w:val="1C1C1C"/>
          <w:spacing w:val="-6"/>
          <w:w w:val="105"/>
          <w:sz w:val="21"/>
        </w:rPr>
        <w:t> </w:t>
      </w:r>
      <w:r>
        <w:rPr>
          <w:color w:val="1C1C1C"/>
          <w:w w:val="105"/>
          <w:sz w:val="21"/>
        </w:rPr>
        <w:t>which</w:t>
      </w:r>
      <w:r>
        <w:rPr>
          <w:color w:val="1C1C1C"/>
          <w:spacing w:val="-6"/>
          <w:w w:val="105"/>
          <w:sz w:val="21"/>
        </w:rPr>
        <w:t> </w:t>
      </w:r>
      <w:r>
        <w:rPr>
          <w:color w:val="1C1C1C"/>
          <w:w w:val="105"/>
          <w:sz w:val="21"/>
        </w:rPr>
        <w:t>can be given a monetary value</w:t>
      </w:r>
      <w:r>
        <w:rPr>
          <w:color w:val="505050"/>
          <w:w w:val="105"/>
          <w:sz w:val="21"/>
        </w:rPr>
        <w:t>, </w:t>
      </w:r>
      <w:r>
        <w:rPr>
          <w:color w:val="1C1C1C"/>
          <w:w w:val="105"/>
          <w:sz w:val="21"/>
        </w:rPr>
        <w:t>for </w:t>
      </w:r>
      <w:r>
        <w:rPr>
          <w:color w:val="0C0C0C"/>
          <w:w w:val="105"/>
          <w:sz w:val="21"/>
        </w:rPr>
        <w:t>example </w:t>
      </w:r>
      <w:r>
        <w:rPr>
          <w:color w:val="1C1C1C"/>
          <w:w w:val="105"/>
          <w:sz w:val="21"/>
        </w:rPr>
        <w:t>buildings</w:t>
      </w:r>
      <w:r>
        <w:rPr>
          <w:color w:val="505050"/>
          <w:w w:val="105"/>
          <w:sz w:val="21"/>
        </w:rPr>
        <w:t>, </w:t>
      </w:r>
      <w:r>
        <w:rPr>
          <w:color w:val="1C1C1C"/>
          <w:w w:val="105"/>
          <w:sz w:val="21"/>
        </w:rPr>
        <w:t>land</w:t>
      </w:r>
      <w:r>
        <w:rPr>
          <w:color w:val="505050"/>
          <w:w w:val="105"/>
          <w:sz w:val="21"/>
        </w:rPr>
        <w:t>, </w:t>
      </w:r>
      <w:r>
        <w:rPr>
          <w:color w:val="1C1C1C"/>
          <w:w w:val="105"/>
          <w:sz w:val="21"/>
        </w:rPr>
        <w:t>vehicles</w:t>
      </w:r>
      <w:r>
        <w:rPr>
          <w:color w:val="505050"/>
          <w:w w:val="105"/>
          <w:sz w:val="21"/>
        </w:rPr>
        <w:t>, </w:t>
      </w:r>
      <w:r>
        <w:rPr>
          <w:color w:val="1C1C1C"/>
          <w:w w:val="105"/>
          <w:sz w:val="21"/>
        </w:rPr>
        <w:t>machinery</w:t>
      </w:r>
      <w:r>
        <w:rPr>
          <w:color w:val="505050"/>
          <w:w w:val="105"/>
          <w:sz w:val="21"/>
        </w:rPr>
        <w:t>, </w:t>
      </w:r>
      <w:r>
        <w:rPr>
          <w:color w:val="1C1C1C"/>
          <w:w w:val="105"/>
          <w:sz w:val="21"/>
        </w:rPr>
        <w:t>cash</w:t>
      </w:r>
      <w:r>
        <w:rPr>
          <w:color w:val="666666"/>
          <w:w w:val="105"/>
          <w:sz w:val="21"/>
        </w:rPr>
        <w:t>, </w:t>
      </w:r>
      <w:r>
        <w:rPr>
          <w:color w:val="2D2D2D"/>
          <w:w w:val="105"/>
          <w:sz w:val="21"/>
        </w:rPr>
        <w:t>investments </w:t>
      </w:r>
      <w:r>
        <w:rPr>
          <w:color w:val="1C1C1C"/>
          <w:w w:val="105"/>
          <w:sz w:val="21"/>
        </w:rPr>
        <w:t>etc</w:t>
      </w:r>
      <w:r>
        <w:rPr>
          <w:color w:val="505050"/>
          <w:w w:val="105"/>
          <w:sz w:val="21"/>
        </w:rPr>
        <w:t>.</w:t>
      </w:r>
      <w:r>
        <w:rPr>
          <w:color w:val="505050"/>
          <w:spacing w:val="-6"/>
          <w:w w:val="105"/>
          <w:sz w:val="21"/>
        </w:rPr>
        <w:t> </w:t>
      </w:r>
      <w:r>
        <w:rPr>
          <w:color w:val="2D2D2D"/>
          <w:w w:val="105"/>
          <w:sz w:val="21"/>
        </w:rPr>
        <w:t>It </w:t>
      </w:r>
      <w:r>
        <w:rPr>
          <w:color w:val="1C1C1C"/>
          <w:w w:val="105"/>
          <w:sz w:val="21"/>
        </w:rPr>
        <w:t>is always considered </w:t>
      </w:r>
      <w:r>
        <w:rPr>
          <w:color w:val="2D2D2D"/>
          <w:w w:val="105"/>
          <w:sz w:val="21"/>
        </w:rPr>
        <w:t>in </w:t>
      </w:r>
      <w:r>
        <w:rPr>
          <w:color w:val="0C0C0C"/>
          <w:w w:val="105"/>
          <w:sz w:val="21"/>
        </w:rPr>
        <w:t>comparison with liabilities in an organisation's</w:t>
      </w:r>
      <w:r>
        <w:rPr>
          <w:color w:val="0C0C0C"/>
          <w:spacing w:val="-1"/>
          <w:w w:val="105"/>
          <w:sz w:val="21"/>
        </w:rPr>
        <w:t> </w:t>
      </w:r>
      <w:r>
        <w:rPr>
          <w:color w:val="0C0C0C"/>
          <w:w w:val="105"/>
          <w:sz w:val="21"/>
        </w:rPr>
        <w:t>accounts.</w:t>
      </w:r>
    </w:p>
    <w:p>
      <w:pPr>
        <w:pStyle w:val="BodyText"/>
        <w:spacing w:before="15"/>
        <w:rPr>
          <w:sz w:val="21"/>
        </w:rPr>
      </w:pPr>
    </w:p>
    <w:p>
      <w:pPr>
        <w:spacing w:before="0" w:line="252" w:lineRule="auto"/>
        <w:ind w:left="322" w:right="1533" w:firstLine="2"/>
        <w:jc w:val="left"/>
        <w:rPr>
          <w:sz w:val="21"/>
        </w:rPr>
      </w:pPr>
      <w:r>
        <w:rPr>
          <w:color w:val="0C0C0C"/>
          <w:w w:val="105"/>
          <w:sz w:val="21"/>
        </w:rPr>
        <w:t>The capital or revenue reserves </w:t>
      </w:r>
      <w:r>
        <w:rPr>
          <w:color w:val="1C1C1C"/>
          <w:w w:val="105"/>
          <w:sz w:val="21"/>
        </w:rPr>
        <w:t>of </w:t>
      </w:r>
      <w:r>
        <w:rPr>
          <w:color w:val="2D2D2D"/>
          <w:w w:val="105"/>
          <w:sz w:val="21"/>
        </w:rPr>
        <w:t>the </w:t>
      </w:r>
      <w:r>
        <w:rPr>
          <w:color w:val="0C0C0C"/>
          <w:w w:val="105"/>
          <w:sz w:val="21"/>
        </w:rPr>
        <w:t>Council</w:t>
      </w:r>
      <w:r>
        <w:rPr>
          <w:color w:val="0C0C0C"/>
          <w:spacing w:val="-1"/>
          <w:w w:val="105"/>
          <w:sz w:val="21"/>
        </w:rPr>
        <w:t> </w:t>
      </w:r>
      <w:r>
        <w:rPr>
          <w:color w:val="0C0C0C"/>
          <w:w w:val="105"/>
          <w:sz w:val="21"/>
        </w:rPr>
        <w:t>made up</w:t>
      </w:r>
      <w:r>
        <w:rPr>
          <w:color w:val="0C0C0C"/>
          <w:spacing w:val="-12"/>
          <w:w w:val="105"/>
          <w:sz w:val="21"/>
        </w:rPr>
        <w:t> </w:t>
      </w:r>
      <w:r>
        <w:rPr>
          <w:color w:val="0C0C0C"/>
          <w:w w:val="105"/>
          <w:sz w:val="21"/>
        </w:rPr>
        <w:t>of</w:t>
      </w:r>
      <w:r>
        <w:rPr>
          <w:color w:val="0C0C0C"/>
          <w:spacing w:val="-6"/>
          <w:w w:val="105"/>
          <w:sz w:val="21"/>
        </w:rPr>
        <w:t> </w:t>
      </w:r>
      <w:r>
        <w:rPr>
          <w:color w:val="0C0C0C"/>
          <w:w w:val="105"/>
          <w:sz w:val="21"/>
        </w:rPr>
        <w:t>the</w:t>
      </w:r>
      <w:r>
        <w:rPr>
          <w:color w:val="0C0C0C"/>
          <w:spacing w:val="-10"/>
          <w:w w:val="105"/>
          <w:sz w:val="21"/>
        </w:rPr>
        <w:t> </w:t>
      </w:r>
      <w:r>
        <w:rPr>
          <w:color w:val="0C0C0C"/>
          <w:w w:val="105"/>
          <w:sz w:val="21"/>
        </w:rPr>
        <w:t>accumulated surplus of income over expenditure on the General Fund, Earmarked Reserves etc.</w:t>
      </w:r>
    </w:p>
    <w:p>
      <w:pPr>
        <w:pStyle w:val="BodyText"/>
        <w:spacing w:before="13"/>
        <w:rPr>
          <w:sz w:val="21"/>
        </w:rPr>
      </w:pPr>
    </w:p>
    <w:p>
      <w:pPr>
        <w:spacing w:before="0" w:line="252" w:lineRule="auto"/>
        <w:ind w:left="306" w:right="1609" w:firstLine="9"/>
        <w:jc w:val="left"/>
        <w:rPr>
          <w:sz w:val="21"/>
        </w:rPr>
      </w:pPr>
      <w:r>
        <w:rPr>
          <w:color w:val="0C0C0C"/>
          <w:w w:val="105"/>
          <w:sz w:val="21"/>
        </w:rPr>
        <w:t>Arrangements for</w:t>
      </w:r>
      <w:r>
        <w:rPr>
          <w:color w:val="0C0C0C"/>
          <w:spacing w:val="-12"/>
          <w:w w:val="105"/>
          <w:sz w:val="21"/>
        </w:rPr>
        <w:t> </w:t>
      </w:r>
      <w:r>
        <w:rPr>
          <w:color w:val="0C0C0C"/>
          <w:w w:val="105"/>
          <w:sz w:val="21"/>
        </w:rPr>
        <w:t>holding financial</w:t>
      </w:r>
      <w:r>
        <w:rPr>
          <w:color w:val="0C0C0C"/>
          <w:spacing w:val="-1"/>
          <w:w w:val="105"/>
          <w:sz w:val="21"/>
        </w:rPr>
        <w:t> </w:t>
      </w:r>
      <w:r>
        <w:rPr>
          <w:color w:val="0C0C0C"/>
          <w:w w:val="105"/>
          <w:sz w:val="21"/>
        </w:rPr>
        <w:t>assets, whose objectives can involve making a return by either collecting the cash flows </w:t>
      </w:r>
      <w:r>
        <w:rPr>
          <w:color w:val="1C1C1C"/>
          <w:w w:val="105"/>
          <w:sz w:val="21"/>
        </w:rPr>
        <w:t>payable </w:t>
      </w:r>
      <w:r>
        <w:rPr>
          <w:color w:val="0C0C0C"/>
          <w:w w:val="105"/>
          <w:sz w:val="21"/>
        </w:rPr>
        <w:t>under the </w:t>
      </w:r>
      <w:r>
        <w:rPr>
          <w:color w:val="1C1C1C"/>
          <w:w w:val="105"/>
          <w:sz w:val="21"/>
        </w:rPr>
        <w:t>contracts </w:t>
      </w:r>
      <w:r>
        <w:rPr>
          <w:color w:val="0C0C0C"/>
          <w:w w:val="105"/>
          <w:sz w:val="21"/>
        </w:rPr>
        <w:t>for each </w:t>
      </w:r>
      <w:r>
        <w:rPr>
          <w:color w:val="1C1C1C"/>
          <w:w w:val="105"/>
          <w:sz w:val="21"/>
        </w:rPr>
        <w:t>investment </w:t>
      </w:r>
      <w:r>
        <w:rPr>
          <w:color w:val="0C0C0C"/>
          <w:w w:val="105"/>
          <w:sz w:val="21"/>
        </w:rPr>
        <w:t>(e.g., </w:t>
      </w:r>
      <w:r>
        <w:rPr>
          <w:color w:val="1C1C1C"/>
          <w:w w:val="105"/>
          <w:sz w:val="21"/>
        </w:rPr>
        <w:t>interest) or</w:t>
      </w:r>
      <w:r>
        <w:rPr>
          <w:color w:val="1C1C1C"/>
          <w:spacing w:val="-7"/>
          <w:w w:val="105"/>
          <w:sz w:val="21"/>
        </w:rPr>
        <w:t> </w:t>
      </w:r>
      <w:r>
        <w:rPr>
          <w:color w:val="0C0C0C"/>
          <w:w w:val="105"/>
          <w:sz w:val="21"/>
        </w:rPr>
        <w:t>hoping</w:t>
      </w:r>
      <w:r>
        <w:rPr>
          <w:color w:val="0C0C0C"/>
          <w:spacing w:val="-1"/>
          <w:w w:val="105"/>
          <w:sz w:val="21"/>
        </w:rPr>
        <w:t> </w:t>
      </w:r>
      <w:r>
        <w:rPr>
          <w:color w:val="0C0C0C"/>
          <w:w w:val="105"/>
          <w:sz w:val="21"/>
        </w:rPr>
        <w:t>to</w:t>
      </w:r>
      <w:r>
        <w:rPr>
          <w:color w:val="0C0C0C"/>
          <w:spacing w:val="-5"/>
          <w:w w:val="105"/>
          <w:sz w:val="21"/>
        </w:rPr>
        <w:t> </w:t>
      </w:r>
      <w:r>
        <w:rPr>
          <w:color w:val="0C0C0C"/>
          <w:w w:val="105"/>
          <w:sz w:val="21"/>
        </w:rPr>
        <w:t>sell investments to</w:t>
      </w:r>
      <w:r>
        <w:rPr>
          <w:color w:val="0C0C0C"/>
          <w:spacing w:val="-9"/>
          <w:w w:val="105"/>
          <w:sz w:val="21"/>
        </w:rPr>
        <w:t> </w:t>
      </w:r>
      <w:r>
        <w:rPr>
          <w:color w:val="0C0C0C"/>
          <w:w w:val="105"/>
          <w:sz w:val="21"/>
        </w:rPr>
        <w:t>gain</w:t>
      </w:r>
      <w:r>
        <w:rPr>
          <w:color w:val="0C0C0C"/>
          <w:spacing w:val="-6"/>
          <w:w w:val="105"/>
          <w:sz w:val="21"/>
        </w:rPr>
        <w:t> </w:t>
      </w:r>
      <w:r>
        <w:rPr>
          <w:color w:val="0C0C0C"/>
          <w:w w:val="105"/>
          <w:sz w:val="21"/>
        </w:rPr>
        <w:t>from</w:t>
      </w:r>
      <w:r>
        <w:rPr>
          <w:color w:val="0C0C0C"/>
          <w:spacing w:val="-4"/>
          <w:w w:val="105"/>
          <w:sz w:val="21"/>
        </w:rPr>
        <w:t> </w:t>
      </w:r>
      <w:r>
        <w:rPr>
          <w:color w:val="0C0C0C"/>
          <w:w w:val="105"/>
          <w:sz w:val="21"/>
        </w:rPr>
        <w:t>increases in</w:t>
      </w:r>
      <w:r>
        <w:rPr>
          <w:color w:val="0C0C0C"/>
          <w:spacing w:val="-5"/>
          <w:w w:val="105"/>
          <w:sz w:val="21"/>
        </w:rPr>
        <w:t> </w:t>
      </w:r>
      <w:r>
        <w:rPr>
          <w:color w:val="0C0C0C"/>
          <w:w w:val="105"/>
          <w:sz w:val="21"/>
        </w:rPr>
        <w:t>their </w:t>
      </w:r>
      <w:r>
        <w:rPr>
          <w:color w:val="0C0C0C"/>
          <w:spacing w:val="-2"/>
          <w:w w:val="105"/>
          <w:sz w:val="21"/>
        </w:rPr>
        <w:t>value.</w:t>
      </w:r>
    </w:p>
    <w:p>
      <w:pPr>
        <w:pStyle w:val="BodyText"/>
        <w:spacing w:before="12"/>
        <w:rPr>
          <w:sz w:val="21"/>
        </w:rPr>
      </w:pPr>
    </w:p>
    <w:p>
      <w:pPr>
        <w:spacing w:before="0" w:line="252" w:lineRule="auto"/>
        <w:ind w:left="294" w:right="1533" w:firstLine="6"/>
        <w:jc w:val="left"/>
        <w:rPr>
          <w:sz w:val="21"/>
        </w:rPr>
      </w:pPr>
      <w:r>
        <w:rPr>
          <w:color w:val="0C0C0C"/>
          <w:w w:val="105"/>
          <w:sz w:val="21"/>
        </w:rPr>
        <w:t>The tax raised on non-domestic</w:t>
      </w:r>
      <w:r>
        <w:rPr>
          <w:color w:val="0C0C0C"/>
          <w:spacing w:val="40"/>
          <w:w w:val="105"/>
          <w:sz w:val="21"/>
        </w:rPr>
        <w:t> </w:t>
      </w:r>
      <w:r>
        <w:rPr>
          <w:color w:val="0C0C0C"/>
          <w:w w:val="105"/>
          <w:sz w:val="21"/>
        </w:rPr>
        <w:t>properties, based each year on a multiplier set by the Government</w:t>
      </w:r>
      <w:r>
        <w:rPr>
          <w:color w:val="0C0C0C"/>
          <w:spacing w:val="18"/>
          <w:w w:val="105"/>
          <w:sz w:val="21"/>
        </w:rPr>
        <w:t> </w:t>
      </w:r>
      <w:r>
        <w:rPr>
          <w:color w:val="0C0C0C"/>
          <w:w w:val="105"/>
          <w:sz w:val="21"/>
        </w:rPr>
        <w:t>applied</w:t>
      </w:r>
      <w:r>
        <w:rPr>
          <w:color w:val="0C0C0C"/>
          <w:spacing w:val="-5"/>
          <w:w w:val="105"/>
          <w:sz w:val="21"/>
        </w:rPr>
        <w:t> </w:t>
      </w:r>
      <w:r>
        <w:rPr>
          <w:color w:val="0C0C0C"/>
          <w:w w:val="105"/>
          <w:sz w:val="21"/>
        </w:rPr>
        <w:t>to</w:t>
      </w:r>
      <w:r>
        <w:rPr>
          <w:color w:val="0C0C0C"/>
          <w:spacing w:val="-4"/>
          <w:w w:val="105"/>
          <w:sz w:val="21"/>
        </w:rPr>
        <w:t> </w:t>
      </w:r>
      <w:r>
        <w:rPr>
          <w:color w:val="0C0C0C"/>
          <w:w w:val="105"/>
          <w:sz w:val="21"/>
        </w:rPr>
        <w:t>an</w:t>
      </w:r>
      <w:r>
        <w:rPr>
          <w:color w:val="0C0C0C"/>
          <w:spacing w:val="-11"/>
          <w:w w:val="105"/>
          <w:sz w:val="21"/>
        </w:rPr>
        <w:t> </w:t>
      </w:r>
      <w:r>
        <w:rPr>
          <w:color w:val="0C0C0C"/>
          <w:w w:val="105"/>
          <w:sz w:val="21"/>
        </w:rPr>
        <w:t>assessment of</w:t>
      </w:r>
      <w:r>
        <w:rPr>
          <w:color w:val="0C0C0C"/>
          <w:spacing w:val="-11"/>
          <w:w w:val="105"/>
          <w:sz w:val="21"/>
        </w:rPr>
        <w:t> </w:t>
      </w:r>
      <w:r>
        <w:rPr>
          <w:color w:val="0C0C0C"/>
          <w:w w:val="105"/>
          <w:sz w:val="21"/>
        </w:rPr>
        <w:t>the value of the property.</w:t>
      </w:r>
    </w:p>
    <w:p>
      <w:pPr>
        <w:spacing w:after="0" w:line="252" w:lineRule="auto"/>
        <w:jc w:val="left"/>
        <w:rPr>
          <w:sz w:val="21"/>
        </w:rPr>
        <w:sectPr>
          <w:type w:val="continuous"/>
          <w:pgSz w:w="11910" w:h="16830"/>
          <w:pgMar w:top="1940" w:right="540" w:bottom="280" w:left="440" w:header="0" w:footer="0"/>
          <w:cols w:equalWidth="0" w:num="2">
            <w:col w:w="3784" w:space="875"/>
            <w:col w:w="6271"/>
          </w:cols>
        </w:sectPr>
      </w:pPr>
    </w:p>
    <w:p>
      <w:pPr>
        <w:spacing w:before="8"/>
        <w:ind w:left="237" w:right="0" w:firstLine="0"/>
        <w:jc w:val="left"/>
        <w:rPr>
          <w:b/>
          <w:sz w:val="21"/>
        </w:rPr>
      </w:pPr>
      <w:r>
        <w:rPr>
          <w:b/>
          <w:color w:val="0E0E0E"/>
          <w:w w:val="105"/>
          <w:sz w:val="21"/>
        </w:rPr>
        <w:t>Capital</w:t>
      </w:r>
      <w:r>
        <w:rPr>
          <w:b/>
          <w:color w:val="0E0E0E"/>
          <w:spacing w:val="-10"/>
          <w:w w:val="105"/>
          <w:sz w:val="21"/>
        </w:rPr>
        <w:t> </w:t>
      </w:r>
      <w:r>
        <w:rPr>
          <w:b/>
          <w:color w:val="0E0E0E"/>
          <w:spacing w:val="-2"/>
          <w:w w:val="105"/>
          <w:sz w:val="21"/>
        </w:rPr>
        <w:t>Expenditure</w:t>
      </w:r>
    </w:p>
    <w:p>
      <w:pPr>
        <w:pStyle w:val="BodyText"/>
        <w:rPr>
          <w:b/>
          <w:sz w:val="21"/>
        </w:rPr>
      </w:pPr>
    </w:p>
    <w:p>
      <w:pPr>
        <w:pStyle w:val="BodyText"/>
        <w:rPr>
          <w:b/>
          <w:sz w:val="21"/>
        </w:rPr>
      </w:pPr>
    </w:p>
    <w:p>
      <w:pPr>
        <w:pStyle w:val="BodyText"/>
        <w:spacing w:before="43"/>
        <w:rPr>
          <w:b/>
          <w:sz w:val="21"/>
        </w:rPr>
      </w:pPr>
    </w:p>
    <w:p>
      <w:pPr>
        <w:spacing w:before="0"/>
        <w:ind w:left="242" w:right="0" w:firstLine="0"/>
        <w:jc w:val="left"/>
        <w:rPr>
          <w:b/>
          <w:sz w:val="21"/>
        </w:rPr>
      </w:pPr>
      <w:r>
        <w:rPr>
          <w:b/>
          <w:color w:val="0E0E0E"/>
          <w:w w:val="105"/>
          <w:sz w:val="21"/>
        </w:rPr>
        <w:t>Capital</w:t>
      </w:r>
      <w:r>
        <w:rPr>
          <w:b/>
          <w:color w:val="0E0E0E"/>
          <w:spacing w:val="-11"/>
          <w:w w:val="105"/>
          <w:sz w:val="21"/>
        </w:rPr>
        <w:t> </w:t>
      </w:r>
      <w:r>
        <w:rPr>
          <w:b/>
          <w:color w:val="0E0E0E"/>
          <w:w w:val="105"/>
          <w:sz w:val="21"/>
        </w:rPr>
        <w:t>Financing</w:t>
      </w:r>
      <w:r>
        <w:rPr>
          <w:b/>
          <w:color w:val="0E0E0E"/>
          <w:spacing w:val="-8"/>
          <w:w w:val="105"/>
          <w:sz w:val="21"/>
        </w:rPr>
        <w:t> </w:t>
      </w:r>
      <w:r>
        <w:rPr>
          <w:b/>
          <w:color w:val="0E0E0E"/>
          <w:w w:val="105"/>
          <w:sz w:val="21"/>
        </w:rPr>
        <w:t>Requirement</w:t>
      </w:r>
      <w:r>
        <w:rPr>
          <w:b/>
          <w:color w:val="0E0E0E"/>
          <w:spacing w:val="-14"/>
          <w:w w:val="105"/>
          <w:sz w:val="21"/>
        </w:rPr>
        <w:t> </w:t>
      </w:r>
      <w:r>
        <w:rPr>
          <w:b/>
          <w:color w:val="0E0E0E"/>
          <w:spacing w:val="-4"/>
          <w:w w:val="105"/>
          <w:sz w:val="21"/>
        </w:rPr>
        <w:t>(CFR)</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09"/>
        <w:rPr>
          <w:b/>
          <w:sz w:val="21"/>
        </w:rPr>
      </w:pPr>
    </w:p>
    <w:p>
      <w:pPr>
        <w:spacing w:before="1"/>
        <w:ind w:left="242" w:right="0" w:firstLine="0"/>
        <w:jc w:val="left"/>
        <w:rPr>
          <w:b/>
          <w:sz w:val="21"/>
        </w:rPr>
      </w:pPr>
      <w:r>
        <w:rPr>
          <w:b/>
          <w:color w:val="0E0E0E"/>
          <w:w w:val="105"/>
          <w:sz w:val="21"/>
        </w:rPr>
        <w:t>Capital</w:t>
      </w:r>
      <w:r>
        <w:rPr>
          <w:b/>
          <w:color w:val="0E0E0E"/>
          <w:spacing w:val="-10"/>
          <w:w w:val="105"/>
          <w:sz w:val="21"/>
        </w:rPr>
        <w:t> </w:t>
      </w:r>
      <w:r>
        <w:rPr>
          <w:b/>
          <w:color w:val="0E0E0E"/>
          <w:spacing w:val="-2"/>
          <w:w w:val="105"/>
          <w:sz w:val="21"/>
        </w:rPr>
        <w:t>Receipts</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82"/>
        <w:rPr>
          <w:b/>
          <w:sz w:val="21"/>
        </w:rPr>
      </w:pPr>
    </w:p>
    <w:p>
      <w:pPr>
        <w:spacing w:before="0"/>
        <w:ind w:left="242" w:right="0" w:firstLine="0"/>
        <w:jc w:val="left"/>
        <w:rPr>
          <w:b/>
          <w:sz w:val="21"/>
        </w:rPr>
      </w:pPr>
      <w:r>
        <w:rPr>
          <w:b/>
          <w:color w:val="0E0E0E"/>
          <w:spacing w:val="-2"/>
          <w:w w:val="105"/>
          <w:sz w:val="21"/>
        </w:rPr>
        <w:t>Collection</w:t>
      </w:r>
      <w:r>
        <w:rPr>
          <w:b/>
          <w:color w:val="0E0E0E"/>
          <w:spacing w:val="2"/>
          <w:w w:val="105"/>
          <w:sz w:val="21"/>
        </w:rPr>
        <w:t> </w:t>
      </w:r>
      <w:r>
        <w:rPr>
          <w:b/>
          <w:color w:val="0E0E0E"/>
          <w:spacing w:val="-4"/>
          <w:w w:val="105"/>
          <w:sz w:val="21"/>
        </w:rPr>
        <w:t>Fund</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75"/>
        <w:rPr>
          <w:b/>
          <w:sz w:val="21"/>
        </w:rPr>
      </w:pPr>
    </w:p>
    <w:p>
      <w:pPr>
        <w:spacing w:before="0"/>
        <w:ind w:left="242" w:right="0" w:firstLine="0"/>
        <w:jc w:val="left"/>
        <w:rPr>
          <w:b/>
          <w:sz w:val="21"/>
        </w:rPr>
      </w:pPr>
      <w:r>
        <w:rPr>
          <w:b/>
          <w:color w:val="0E0E0E"/>
          <w:spacing w:val="-2"/>
          <w:w w:val="105"/>
          <w:sz w:val="21"/>
        </w:rPr>
        <w:t>Community</w:t>
      </w:r>
      <w:r>
        <w:rPr>
          <w:b/>
          <w:color w:val="0E0E0E"/>
          <w:spacing w:val="7"/>
          <w:w w:val="105"/>
          <w:sz w:val="21"/>
        </w:rPr>
        <w:t> </w:t>
      </w:r>
      <w:r>
        <w:rPr>
          <w:b/>
          <w:color w:val="0E0E0E"/>
          <w:spacing w:val="-2"/>
          <w:w w:val="105"/>
          <w:sz w:val="21"/>
        </w:rPr>
        <w:t>Assets</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69"/>
        <w:rPr>
          <w:b/>
          <w:sz w:val="21"/>
        </w:rPr>
      </w:pPr>
    </w:p>
    <w:p>
      <w:pPr>
        <w:spacing w:before="1"/>
        <w:ind w:left="242" w:right="0" w:firstLine="0"/>
        <w:jc w:val="left"/>
        <w:rPr>
          <w:b/>
          <w:sz w:val="21"/>
        </w:rPr>
      </w:pPr>
      <w:r>
        <w:rPr>
          <w:b/>
          <w:color w:val="0E0E0E"/>
          <w:spacing w:val="-2"/>
          <w:w w:val="105"/>
          <w:sz w:val="21"/>
        </w:rPr>
        <w:t>Consistency</w:t>
      </w:r>
    </w:p>
    <w:p>
      <w:pPr>
        <w:pStyle w:val="BodyText"/>
        <w:rPr>
          <w:b/>
          <w:sz w:val="21"/>
        </w:rPr>
      </w:pPr>
    </w:p>
    <w:p>
      <w:pPr>
        <w:pStyle w:val="BodyText"/>
        <w:rPr>
          <w:b/>
          <w:sz w:val="21"/>
        </w:rPr>
      </w:pPr>
    </w:p>
    <w:p>
      <w:pPr>
        <w:pStyle w:val="BodyText"/>
        <w:spacing w:before="47"/>
        <w:rPr>
          <w:b/>
          <w:sz w:val="21"/>
        </w:rPr>
      </w:pPr>
    </w:p>
    <w:p>
      <w:pPr>
        <w:spacing w:before="1"/>
        <w:ind w:left="242" w:right="0" w:firstLine="0"/>
        <w:jc w:val="left"/>
        <w:rPr>
          <w:b/>
          <w:sz w:val="21"/>
        </w:rPr>
      </w:pPr>
      <w:r>
        <w:rPr>
          <w:b/>
          <w:color w:val="0E0E0E"/>
          <w:spacing w:val="-2"/>
          <w:w w:val="105"/>
          <w:sz w:val="21"/>
        </w:rPr>
        <w:t>Contingency</w:t>
      </w:r>
    </w:p>
    <w:p>
      <w:pPr>
        <w:pStyle w:val="BodyText"/>
        <w:rPr>
          <w:b/>
          <w:sz w:val="21"/>
        </w:rPr>
      </w:pPr>
    </w:p>
    <w:p>
      <w:pPr>
        <w:pStyle w:val="BodyText"/>
        <w:rPr>
          <w:b/>
          <w:sz w:val="21"/>
        </w:rPr>
      </w:pPr>
    </w:p>
    <w:p>
      <w:pPr>
        <w:pStyle w:val="BodyText"/>
        <w:rPr>
          <w:b/>
          <w:sz w:val="21"/>
        </w:rPr>
      </w:pPr>
    </w:p>
    <w:p>
      <w:pPr>
        <w:pStyle w:val="BodyText"/>
        <w:spacing w:before="56"/>
        <w:rPr>
          <w:b/>
          <w:sz w:val="21"/>
        </w:rPr>
      </w:pPr>
    </w:p>
    <w:p>
      <w:pPr>
        <w:spacing w:before="0"/>
        <w:ind w:left="242" w:right="0" w:firstLine="0"/>
        <w:jc w:val="left"/>
        <w:rPr>
          <w:b/>
          <w:sz w:val="21"/>
        </w:rPr>
      </w:pPr>
      <w:r>
        <w:rPr>
          <w:b/>
          <w:color w:val="0E0E0E"/>
          <w:w w:val="105"/>
          <w:sz w:val="21"/>
        </w:rPr>
        <w:t>Council</w:t>
      </w:r>
      <w:r>
        <w:rPr>
          <w:b/>
          <w:color w:val="0E0E0E"/>
          <w:spacing w:val="-1"/>
          <w:w w:val="105"/>
          <w:sz w:val="21"/>
        </w:rPr>
        <w:t> </w:t>
      </w:r>
      <w:r>
        <w:rPr>
          <w:b/>
          <w:color w:val="0E0E0E"/>
          <w:spacing w:val="-5"/>
          <w:w w:val="105"/>
          <w:sz w:val="21"/>
        </w:rPr>
        <w:t>Tax</w:t>
      </w:r>
    </w:p>
    <w:p>
      <w:pPr>
        <w:pStyle w:val="BodyText"/>
        <w:rPr>
          <w:b/>
          <w:sz w:val="21"/>
        </w:rPr>
      </w:pPr>
    </w:p>
    <w:p>
      <w:pPr>
        <w:pStyle w:val="BodyText"/>
        <w:rPr>
          <w:b/>
          <w:sz w:val="21"/>
        </w:rPr>
      </w:pPr>
    </w:p>
    <w:p>
      <w:pPr>
        <w:pStyle w:val="BodyText"/>
        <w:spacing w:before="48"/>
        <w:rPr>
          <w:b/>
          <w:sz w:val="21"/>
        </w:rPr>
      </w:pPr>
    </w:p>
    <w:p>
      <w:pPr>
        <w:spacing w:before="0"/>
        <w:ind w:left="242" w:right="0" w:firstLine="0"/>
        <w:jc w:val="left"/>
        <w:rPr>
          <w:b/>
          <w:sz w:val="21"/>
        </w:rPr>
      </w:pPr>
      <w:r>
        <w:rPr>
          <w:b/>
          <w:color w:val="0E0E0E"/>
          <w:w w:val="105"/>
          <w:sz w:val="21"/>
        </w:rPr>
        <w:t>Council</w:t>
      </w:r>
      <w:r>
        <w:rPr>
          <w:b/>
          <w:color w:val="0E0E0E"/>
          <w:spacing w:val="-4"/>
          <w:w w:val="105"/>
          <w:sz w:val="21"/>
        </w:rPr>
        <w:t> </w:t>
      </w:r>
      <w:r>
        <w:rPr>
          <w:b/>
          <w:color w:val="0E0E0E"/>
          <w:w w:val="105"/>
          <w:sz w:val="21"/>
        </w:rPr>
        <w:t>Tax</w:t>
      </w:r>
      <w:r>
        <w:rPr>
          <w:b/>
          <w:color w:val="0E0E0E"/>
          <w:spacing w:val="-7"/>
          <w:w w:val="105"/>
          <w:sz w:val="21"/>
        </w:rPr>
        <w:t> </w:t>
      </w:r>
      <w:r>
        <w:rPr>
          <w:b/>
          <w:color w:val="0E0E0E"/>
          <w:spacing w:val="-2"/>
          <w:w w:val="105"/>
          <w:sz w:val="21"/>
        </w:rPr>
        <w:t>Support</w:t>
      </w:r>
    </w:p>
    <w:p>
      <w:pPr>
        <w:pStyle w:val="BodyText"/>
        <w:rPr>
          <w:b/>
          <w:sz w:val="21"/>
        </w:rPr>
      </w:pPr>
    </w:p>
    <w:p>
      <w:pPr>
        <w:pStyle w:val="BodyText"/>
        <w:rPr>
          <w:b/>
          <w:sz w:val="21"/>
        </w:rPr>
      </w:pPr>
    </w:p>
    <w:p>
      <w:pPr>
        <w:pStyle w:val="BodyText"/>
        <w:spacing w:before="48"/>
        <w:rPr>
          <w:b/>
          <w:sz w:val="21"/>
        </w:rPr>
      </w:pPr>
    </w:p>
    <w:p>
      <w:pPr>
        <w:spacing w:before="0"/>
        <w:ind w:left="247" w:right="0" w:firstLine="0"/>
        <w:jc w:val="left"/>
        <w:rPr>
          <w:b/>
          <w:sz w:val="21"/>
        </w:rPr>
      </w:pPr>
      <w:r>
        <w:rPr>
          <w:b/>
          <w:color w:val="0E0E0E"/>
          <w:w w:val="105"/>
          <w:sz w:val="21"/>
        </w:rPr>
        <w:t>Credit</w:t>
      </w:r>
      <w:r>
        <w:rPr>
          <w:b/>
          <w:color w:val="0E0E0E"/>
          <w:spacing w:val="-2"/>
          <w:w w:val="105"/>
          <w:sz w:val="21"/>
        </w:rPr>
        <w:t> Arrangements</w:t>
      </w:r>
    </w:p>
    <w:p>
      <w:pPr>
        <w:spacing w:before="8" w:line="249" w:lineRule="auto"/>
        <w:ind w:left="241" w:right="1718" w:hanging="5"/>
        <w:jc w:val="left"/>
        <w:rPr>
          <w:sz w:val="21"/>
        </w:rPr>
      </w:pPr>
      <w:r>
        <w:rPr/>
        <w:br w:type="column"/>
      </w:r>
      <w:r>
        <w:rPr>
          <w:color w:val="0E0E0E"/>
          <w:w w:val="105"/>
          <w:sz w:val="21"/>
        </w:rPr>
        <w:t>Expenditure on the acquisition of a fixed asset,</w:t>
      </w:r>
      <w:r>
        <w:rPr>
          <w:color w:val="0E0E0E"/>
          <w:spacing w:val="-4"/>
          <w:w w:val="105"/>
          <w:sz w:val="21"/>
        </w:rPr>
        <w:t> </w:t>
      </w:r>
      <w:r>
        <w:rPr>
          <w:color w:val="0E0E0E"/>
          <w:w w:val="105"/>
          <w:sz w:val="21"/>
        </w:rPr>
        <w:t>or</w:t>
      </w:r>
      <w:r>
        <w:rPr>
          <w:color w:val="0E0E0E"/>
          <w:spacing w:val="-13"/>
          <w:w w:val="105"/>
          <w:sz w:val="21"/>
        </w:rPr>
        <w:t> </w:t>
      </w:r>
      <w:r>
        <w:rPr>
          <w:color w:val="0E0E0E"/>
          <w:w w:val="105"/>
          <w:sz w:val="21"/>
        </w:rPr>
        <w:t>expenditure, that</w:t>
      </w:r>
      <w:r>
        <w:rPr>
          <w:color w:val="0E0E0E"/>
          <w:spacing w:val="-4"/>
          <w:w w:val="105"/>
          <w:sz w:val="21"/>
        </w:rPr>
        <w:t> </w:t>
      </w:r>
      <w:r>
        <w:rPr>
          <w:color w:val="0E0E0E"/>
          <w:w w:val="105"/>
          <w:sz w:val="21"/>
        </w:rPr>
        <w:t>adds</w:t>
      </w:r>
      <w:r>
        <w:rPr>
          <w:color w:val="0E0E0E"/>
          <w:spacing w:val="-7"/>
          <w:w w:val="105"/>
          <w:sz w:val="21"/>
        </w:rPr>
        <w:t> </w:t>
      </w:r>
      <w:r>
        <w:rPr>
          <w:color w:val="0E0E0E"/>
          <w:w w:val="105"/>
          <w:sz w:val="21"/>
        </w:rPr>
        <w:t>to</w:t>
      </w:r>
      <w:r>
        <w:rPr>
          <w:color w:val="0E0E0E"/>
          <w:spacing w:val="-11"/>
          <w:w w:val="105"/>
          <w:sz w:val="21"/>
        </w:rPr>
        <w:t> </w:t>
      </w:r>
      <w:r>
        <w:rPr>
          <w:color w:val="0E0E0E"/>
          <w:w w:val="105"/>
          <w:sz w:val="21"/>
        </w:rPr>
        <w:t>the</w:t>
      </w:r>
      <w:r>
        <w:rPr>
          <w:color w:val="0E0E0E"/>
          <w:spacing w:val="-9"/>
          <w:w w:val="105"/>
          <w:sz w:val="21"/>
        </w:rPr>
        <w:t> </w:t>
      </w:r>
      <w:r>
        <w:rPr>
          <w:color w:val="0E0E0E"/>
          <w:w w:val="105"/>
          <w:sz w:val="21"/>
        </w:rPr>
        <w:t>life,</w:t>
      </w:r>
      <w:r>
        <w:rPr>
          <w:color w:val="0E0E0E"/>
          <w:spacing w:val="-6"/>
          <w:w w:val="105"/>
          <w:sz w:val="21"/>
        </w:rPr>
        <w:t> </w:t>
      </w:r>
      <w:r>
        <w:rPr>
          <w:color w:val="0E0E0E"/>
          <w:w w:val="105"/>
          <w:sz w:val="21"/>
        </w:rPr>
        <w:t>or value, of an existing fixed asset.</w:t>
      </w:r>
    </w:p>
    <w:p>
      <w:pPr>
        <w:pStyle w:val="BodyText"/>
        <w:spacing w:before="19"/>
        <w:rPr>
          <w:sz w:val="21"/>
        </w:rPr>
      </w:pPr>
    </w:p>
    <w:p>
      <w:pPr>
        <w:spacing w:before="0" w:line="252" w:lineRule="auto"/>
        <w:ind w:left="241" w:right="1718" w:hanging="2"/>
        <w:jc w:val="left"/>
        <w:rPr>
          <w:sz w:val="21"/>
        </w:rPr>
      </w:pPr>
      <w:r>
        <w:rPr>
          <w:color w:val="0E0E0E"/>
          <w:w w:val="105"/>
          <w:sz w:val="21"/>
        </w:rPr>
        <w:t>A measure of the capital expenditure incurred historically by an authority that has yet</w:t>
      </w:r>
      <w:r>
        <w:rPr>
          <w:color w:val="0E0E0E"/>
          <w:spacing w:val="-11"/>
          <w:w w:val="105"/>
          <w:sz w:val="21"/>
        </w:rPr>
        <w:t> </w:t>
      </w:r>
      <w:r>
        <w:rPr>
          <w:color w:val="0E0E0E"/>
          <w:w w:val="105"/>
          <w:sz w:val="21"/>
        </w:rPr>
        <w:t>to</w:t>
      </w:r>
      <w:r>
        <w:rPr>
          <w:color w:val="0E0E0E"/>
          <w:spacing w:val="-6"/>
          <w:w w:val="105"/>
          <w:sz w:val="21"/>
        </w:rPr>
        <w:t> </w:t>
      </w:r>
      <w:r>
        <w:rPr>
          <w:color w:val="0E0E0E"/>
          <w:w w:val="105"/>
          <w:sz w:val="21"/>
        </w:rPr>
        <w:t>be</w:t>
      </w:r>
      <w:r>
        <w:rPr>
          <w:color w:val="0E0E0E"/>
          <w:spacing w:val="-14"/>
          <w:w w:val="105"/>
          <w:sz w:val="21"/>
        </w:rPr>
        <w:t> </w:t>
      </w:r>
      <w:r>
        <w:rPr>
          <w:color w:val="0E0E0E"/>
          <w:w w:val="105"/>
          <w:sz w:val="21"/>
        </w:rPr>
        <w:t>financed</w:t>
      </w:r>
      <w:r>
        <w:rPr>
          <w:color w:val="0E0E0E"/>
          <w:spacing w:val="-5"/>
          <w:w w:val="105"/>
          <w:sz w:val="21"/>
        </w:rPr>
        <w:t> </w:t>
      </w:r>
      <w:r>
        <w:rPr>
          <w:color w:val="0E0E0E"/>
          <w:w w:val="105"/>
          <w:sz w:val="21"/>
        </w:rPr>
        <w:t>by</w:t>
      </w:r>
      <w:r>
        <w:rPr>
          <w:color w:val="0E0E0E"/>
          <w:spacing w:val="-5"/>
          <w:w w:val="105"/>
          <w:sz w:val="21"/>
        </w:rPr>
        <w:t> </w:t>
      </w:r>
      <w:r>
        <w:rPr>
          <w:color w:val="0E0E0E"/>
          <w:w w:val="105"/>
          <w:sz w:val="21"/>
        </w:rPr>
        <w:t>capital</w:t>
      </w:r>
      <w:r>
        <w:rPr>
          <w:color w:val="0E0E0E"/>
          <w:spacing w:val="-5"/>
          <w:w w:val="105"/>
          <w:sz w:val="21"/>
        </w:rPr>
        <w:t> </w:t>
      </w:r>
      <w:r>
        <w:rPr>
          <w:color w:val="0E0E0E"/>
          <w:w w:val="105"/>
          <w:sz w:val="21"/>
        </w:rPr>
        <w:t>receipts, capital grants or revenue financing</w:t>
      </w:r>
      <w:r>
        <w:rPr>
          <w:color w:val="424242"/>
          <w:w w:val="105"/>
          <w:sz w:val="21"/>
        </w:rPr>
        <w:t>.</w:t>
      </w:r>
      <w:r>
        <w:rPr>
          <w:color w:val="424242"/>
          <w:spacing w:val="-2"/>
          <w:w w:val="105"/>
          <w:sz w:val="21"/>
        </w:rPr>
        <w:t> </w:t>
      </w:r>
      <w:r>
        <w:rPr>
          <w:color w:val="0E0E0E"/>
          <w:w w:val="105"/>
          <w:sz w:val="21"/>
        </w:rPr>
        <w:t>The Prudential Code</w:t>
      </w:r>
      <w:r>
        <w:rPr>
          <w:color w:val="0E0E0E"/>
          <w:spacing w:val="-2"/>
          <w:w w:val="105"/>
          <w:sz w:val="21"/>
        </w:rPr>
        <w:t> </w:t>
      </w:r>
      <w:r>
        <w:rPr>
          <w:color w:val="0E0E0E"/>
          <w:w w:val="105"/>
          <w:sz w:val="21"/>
        </w:rPr>
        <w:t>requires</w:t>
      </w:r>
      <w:r>
        <w:rPr>
          <w:color w:val="0E0E0E"/>
          <w:spacing w:val="-10"/>
          <w:w w:val="105"/>
          <w:sz w:val="21"/>
        </w:rPr>
        <w:t> </w:t>
      </w:r>
      <w:r>
        <w:rPr>
          <w:color w:val="0E0E0E"/>
          <w:w w:val="105"/>
          <w:sz w:val="21"/>
        </w:rPr>
        <w:t>that</w:t>
      </w:r>
      <w:r>
        <w:rPr>
          <w:color w:val="0E0E0E"/>
          <w:spacing w:val="-8"/>
          <w:w w:val="105"/>
          <w:sz w:val="21"/>
        </w:rPr>
        <w:t> </w:t>
      </w:r>
      <w:r>
        <w:rPr>
          <w:color w:val="0E0E0E"/>
          <w:w w:val="105"/>
          <w:sz w:val="21"/>
        </w:rPr>
        <w:t>the</w:t>
      </w:r>
      <w:r>
        <w:rPr>
          <w:color w:val="0E0E0E"/>
          <w:spacing w:val="-13"/>
          <w:w w:val="105"/>
          <w:sz w:val="21"/>
        </w:rPr>
        <w:t> </w:t>
      </w:r>
      <w:r>
        <w:rPr>
          <w:color w:val="0E0E0E"/>
          <w:w w:val="105"/>
          <w:sz w:val="21"/>
        </w:rPr>
        <w:t>Council</w:t>
      </w:r>
      <w:r>
        <w:rPr>
          <w:color w:val="0E0E0E"/>
          <w:spacing w:val="-6"/>
          <w:w w:val="105"/>
          <w:sz w:val="21"/>
        </w:rPr>
        <w:t> </w:t>
      </w:r>
      <w:r>
        <w:rPr>
          <w:color w:val="0E0E0E"/>
          <w:w w:val="105"/>
          <w:sz w:val="21"/>
        </w:rPr>
        <w:t>monitors and controls its CFR through </w:t>
      </w:r>
      <w:r>
        <w:rPr>
          <w:color w:val="232323"/>
          <w:w w:val="105"/>
          <w:sz w:val="21"/>
        </w:rPr>
        <w:t>its Treasury </w:t>
      </w:r>
      <w:r>
        <w:rPr>
          <w:color w:val="0E0E0E"/>
          <w:w w:val="105"/>
          <w:sz w:val="21"/>
        </w:rPr>
        <w:t>Management</w:t>
      </w:r>
      <w:r>
        <w:rPr>
          <w:color w:val="0E0E0E"/>
          <w:spacing w:val="40"/>
          <w:w w:val="105"/>
          <w:sz w:val="21"/>
        </w:rPr>
        <w:t> </w:t>
      </w:r>
      <w:r>
        <w:rPr>
          <w:color w:val="0E0E0E"/>
          <w:w w:val="105"/>
          <w:sz w:val="21"/>
        </w:rPr>
        <w:t>Strategy </w:t>
      </w:r>
      <w:r>
        <w:rPr>
          <w:color w:val="232323"/>
          <w:w w:val="105"/>
          <w:sz w:val="21"/>
        </w:rPr>
        <w:t>and </w:t>
      </w:r>
      <w:r>
        <w:rPr>
          <w:color w:val="0E0E0E"/>
          <w:w w:val="105"/>
          <w:sz w:val="21"/>
        </w:rPr>
        <w:t>Med</w:t>
      </w:r>
      <w:r>
        <w:rPr>
          <w:color w:val="424242"/>
          <w:w w:val="105"/>
          <w:sz w:val="21"/>
        </w:rPr>
        <w:t>i</w:t>
      </w:r>
      <w:r>
        <w:rPr>
          <w:color w:val="232323"/>
          <w:w w:val="105"/>
          <w:sz w:val="21"/>
        </w:rPr>
        <w:t>um </w:t>
      </w:r>
      <w:r>
        <w:rPr>
          <w:color w:val="0E0E0E"/>
          <w:w w:val="105"/>
          <w:sz w:val="21"/>
        </w:rPr>
        <w:t>Term Financial Strategies.</w:t>
      </w:r>
    </w:p>
    <w:p>
      <w:pPr>
        <w:pStyle w:val="BodyText"/>
        <w:spacing w:before="8"/>
        <w:rPr>
          <w:sz w:val="21"/>
        </w:rPr>
      </w:pPr>
    </w:p>
    <w:p>
      <w:pPr>
        <w:spacing w:before="0" w:line="252" w:lineRule="auto"/>
        <w:ind w:left="246" w:right="1718" w:hanging="4"/>
        <w:jc w:val="left"/>
        <w:rPr>
          <w:sz w:val="21"/>
        </w:rPr>
      </w:pPr>
      <w:r>
        <w:rPr>
          <w:color w:val="0E0E0E"/>
          <w:w w:val="105"/>
          <w:sz w:val="21"/>
        </w:rPr>
        <w:t>Monies received from the sale of assets, which may be used to finance capital expenditure or to repay outstanding loan debt as</w:t>
      </w:r>
      <w:r>
        <w:rPr>
          <w:color w:val="0E0E0E"/>
          <w:spacing w:val="-13"/>
          <w:w w:val="105"/>
          <w:sz w:val="21"/>
        </w:rPr>
        <w:t> </w:t>
      </w:r>
      <w:r>
        <w:rPr>
          <w:color w:val="0E0E0E"/>
          <w:w w:val="105"/>
          <w:sz w:val="21"/>
        </w:rPr>
        <w:t>laid</w:t>
      </w:r>
      <w:r>
        <w:rPr>
          <w:color w:val="0E0E0E"/>
          <w:spacing w:val="-10"/>
          <w:w w:val="105"/>
          <w:sz w:val="21"/>
        </w:rPr>
        <w:t> </w:t>
      </w:r>
      <w:r>
        <w:rPr>
          <w:color w:val="0E0E0E"/>
          <w:w w:val="105"/>
          <w:sz w:val="21"/>
        </w:rPr>
        <w:t>down</w:t>
      </w:r>
      <w:r>
        <w:rPr>
          <w:color w:val="0E0E0E"/>
          <w:spacing w:val="-3"/>
          <w:w w:val="105"/>
          <w:sz w:val="21"/>
        </w:rPr>
        <w:t> </w:t>
      </w:r>
      <w:r>
        <w:rPr>
          <w:color w:val="0E0E0E"/>
          <w:w w:val="105"/>
          <w:sz w:val="21"/>
        </w:rPr>
        <w:t>within</w:t>
      </w:r>
      <w:r>
        <w:rPr>
          <w:color w:val="0E0E0E"/>
          <w:spacing w:val="-5"/>
          <w:w w:val="105"/>
          <w:sz w:val="21"/>
        </w:rPr>
        <w:t> </w:t>
      </w:r>
      <w:r>
        <w:rPr>
          <w:color w:val="0E0E0E"/>
          <w:w w:val="105"/>
          <w:sz w:val="21"/>
        </w:rPr>
        <w:t>rules</w:t>
      </w:r>
      <w:r>
        <w:rPr>
          <w:color w:val="0E0E0E"/>
          <w:spacing w:val="-1"/>
          <w:w w:val="105"/>
          <w:sz w:val="21"/>
        </w:rPr>
        <w:t> </w:t>
      </w:r>
      <w:r>
        <w:rPr>
          <w:color w:val="0E0E0E"/>
          <w:w w:val="105"/>
          <w:sz w:val="21"/>
        </w:rPr>
        <w:t>set</w:t>
      </w:r>
      <w:r>
        <w:rPr>
          <w:color w:val="0E0E0E"/>
          <w:spacing w:val="-5"/>
          <w:w w:val="105"/>
          <w:sz w:val="21"/>
        </w:rPr>
        <w:t> </w:t>
      </w:r>
      <w:r>
        <w:rPr>
          <w:color w:val="0E0E0E"/>
          <w:w w:val="105"/>
          <w:sz w:val="21"/>
        </w:rPr>
        <w:t>by</w:t>
      </w:r>
      <w:r>
        <w:rPr>
          <w:color w:val="0E0E0E"/>
          <w:spacing w:val="-5"/>
          <w:w w:val="105"/>
          <w:sz w:val="21"/>
        </w:rPr>
        <w:t> </w:t>
      </w:r>
      <w:r>
        <w:rPr>
          <w:color w:val="0E0E0E"/>
          <w:w w:val="105"/>
          <w:sz w:val="21"/>
        </w:rPr>
        <w:t>Central Government but which cannot be used to finance day-to-day</w:t>
      </w:r>
      <w:r>
        <w:rPr>
          <w:color w:val="0E0E0E"/>
          <w:w w:val="105"/>
          <w:sz w:val="21"/>
        </w:rPr>
        <w:t> spending.</w:t>
      </w:r>
    </w:p>
    <w:p>
      <w:pPr>
        <w:pStyle w:val="BodyText"/>
        <w:spacing w:before="15"/>
        <w:rPr>
          <w:sz w:val="21"/>
        </w:rPr>
      </w:pPr>
    </w:p>
    <w:p>
      <w:pPr>
        <w:spacing w:before="0" w:line="249" w:lineRule="auto"/>
        <w:ind w:left="247" w:right="1654" w:firstLine="2"/>
        <w:jc w:val="left"/>
        <w:rPr>
          <w:sz w:val="21"/>
        </w:rPr>
      </w:pPr>
      <w:r>
        <w:rPr>
          <w:color w:val="0E0E0E"/>
          <w:w w:val="105"/>
          <w:sz w:val="21"/>
        </w:rPr>
        <w:t>A fund administered by charging authorities into which Council Tax income and</w:t>
      </w:r>
      <w:r>
        <w:rPr>
          <w:color w:val="0E0E0E"/>
          <w:spacing w:val="-6"/>
          <w:w w:val="105"/>
          <w:sz w:val="21"/>
        </w:rPr>
        <w:t> </w:t>
      </w:r>
      <w:r>
        <w:rPr>
          <w:color w:val="0E0E0E"/>
          <w:w w:val="105"/>
          <w:sz w:val="21"/>
        </w:rPr>
        <w:t>Business Rates</w:t>
      </w:r>
      <w:r>
        <w:rPr>
          <w:color w:val="0E0E0E"/>
          <w:spacing w:val="-6"/>
          <w:w w:val="105"/>
          <w:sz w:val="21"/>
        </w:rPr>
        <w:t> </w:t>
      </w:r>
      <w:r>
        <w:rPr>
          <w:color w:val="0E0E0E"/>
          <w:w w:val="105"/>
          <w:sz w:val="21"/>
        </w:rPr>
        <w:t>collected</w:t>
      </w:r>
      <w:r>
        <w:rPr>
          <w:color w:val="0E0E0E"/>
          <w:spacing w:val="-3"/>
          <w:w w:val="105"/>
          <w:sz w:val="21"/>
        </w:rPr>
        <w:t> </w:t>
      </w:r>
      <w:r>
        <w:rPr>
          <w:color w:val="0E0E0E"/>
          <w:w w:val="105"/>
          <w:sz w:val="21"/>
        </w:rPr>
        <w:t>locally</w:t>
      </w:r>
      <w:r>
        <w:rPr>
          <w:color w:val="0E0E0E"/>
          <w:spacing w:val="-6"/>
          <w:w w:val="105"/>
          <w:sz w:val="21"/>
        </w:rPr>
        <w:t> </w:t>
      </w:r>
      <w:r>
        <w:rPr>
          <w:color w:val="0E0E0E"/>
          <w:w w:val="105"/>
          <w:sz w:val="21"/>
        </w:rPr>
        <w:t>are</w:t>
      </w:r>
      <w:r>
        <w:rPr>
          <w:color w:val="0E0E0E"/>
          <w:spacing w:val="-8"/>
          <w:w w:val="105"/>
          <w:sz w:val="21"/>
        </w:rPr>
        <w:t> </w:t>
      </w:r>
      <w:r>
        <w:rPr>
          <w:color w:val="0E0E0E"/>
          <w:w w:val="105"/>
          <w:sz w:val="21"/>
        </w:rPr>
        <w:t>paid.</w:t>
      </w:r>
      <w:r>
        <w:rPr>
          <w:color w:val="0E0E0E"/>
          <w:spacing w:val="-9"/>
          <w:w w:val="105"/>
          <w:sz w:val="21"/>
        </w:rPr>
        <w:t> </w:t>
      </w:r>
      <w:r>
        <w:rPr>
          <w:color w:val="0E0E0E"/>
          <w:w w:val="105"/>
          <w:sz w:val="21"/>
        </w:rPr>
        <w:t>Precepts</w:t>
      </w:r>
      <w:r>
        <w:rPr>
          <w:color w:val="0E0E0E"/>
          <w:spacing w:val="-1"/>
          <w:w w:val="105"/>
          <w:sz w:val="21"/>
        </w:rPr>
        <w:t> </w:t>
      </w:r>
      <w:r>
        <w:rPr>
          <w:color w:val="0E0E0E"/>
          <w:w w:val="105"/>
          <w:sz w:val="21"/>
        </w:rPr>
        <w:t>are paid from the fund as is a charge in respect of the Council's own requirements.</w:t>
      </w:r>
    </w:p>
    <w:p>
      <w:pPr>
        <w:pStyle w:val="BodyText"/>
        <w:spacing w:before="21"/>
        <w:rPr>
          <w:sz w:val="21"/>
        </w:rPr>
      </w:pPr>
    </w:p>
    <w:p>
      <w:pPr>
        <w:spacing w:before="1" w:line="249" w:lineRule="auto"/>
        <w:ind w:left="249" w:right="1563" w:hanging="1"/>
        <w:jc w:val="left"/>
        <w:rPr>
          <w:sz w:val="21"/>
        </w:rPr>
      </w:pPr>
      <w:r>
        <w:rPr>
          <w:color w:val="0E0E0E"/>
          <w:w w:val="105"/>
          <w:sz w:val="21"/>
        </w:rPr>
        <w:t>Assets that a</w:t>
      </w:r>
      <w:r>
        <w:rPr>
          <w:color w:val="0E0E0E"/>
          <w:spacing w:val="-6"/>
          <w:w w:val="105"/>
          <w:sz w:val="21"/>
        </w:rPr>
        <w:t> </w:t>
      </w:r>
      <w:r>
        <w:rPr>
          <w:color w:val="0E0E0E"/>
          <w:w w:val="105"/>
          <w:sz w:val="21"/>
        </w:rPr>
        <w:t>local</w:t>
      </w:r>
      <w:r>
        <w:rPr>
          <w:color w:val="0E0E0E"/>
          <w:spacing w:val="-2"/>
          <w:w w:val="105"/>
          <w:sz w:val="21"/>
        </w:rPr>
        <w:t> </w:t>
      </w:r>
      <w:r>
        <w:rPr>
          <w:color w:val="0E0E0E"/>
          <w:w w:val="105"/>
          <w:sz w:val="21"/>
        </w:rPr>
        <w:t>Council intends to</w:t>
      </w:r>
      <w:r>
        <w:rPr>
          <w:color w:val="0E0E0E"/>
          <w:spacing w:val="-2"/>
          <w:w w:val="105"/>
          <w:sz w:val="21"/>
        </w:rPr>
        <w:t> </w:t>
      </w:r>
      <w:r>
        <w:rPr>
          <w:color w:val="0E0E0E"/>
          <w:w w:val="105"/>
          <w:sz w:val="21"/>
        </w:rPr>
        <w:t>hold</w:t>
      </w:r>
      <w:r>
        <w:rPr>
          <w:color w:val="0E0E0E"/>
          <w:spacing w:val="-1"/>
          <w:w w:val="105"/>
          <w:sz w:val="21"/>
        </w:rPr>
        <w:t> </w:t>
      </w:r>
      <w:r>
        <w:rPr>
          <w:color w:val="0E0E0E"/>
          <w:w w:val="105"/>
          <w:sz w:val="21"/>
        </w:rPr>
        <w:t>in perpetuity, that have no</w:t>
      </w:r>
      <w:r>
        <w:rPr>
          <w:color w:val="0E0E0E"/>
          <w:spacing w:val="-1"/>
          <w:w w:val="105"/>
          <w:sz w:val="21"/>
        </w:rPr>
        <w:t> </w:t>
      </w:r>
      <w:r>
        <w:rPr>
          <w:color w:val="0E0E0E"/>
          <w:w w:val="105"/>
          <w:sz w:val="21"/>
        </w:rPr>
        <w:t>determinable useful life and that may have restrictions on their disposal.</w:t>
      </w:r>
      <w:r>
        <w:rPr>
          <w:color w:val="0E0E0E"/>
          <w:spacing w:val="-5"/>
          <w:w w:val="105"/>
          <w:sz w:val="21"/>
        </w:rPr>
        <w:t> </w:t>
      </w:r>
      <w:r>
        <w:rPr>
          <w:color w:val="0E0E0E"/>
          <w:w w:val="105"/>
          <w:sz w:val="21"/>
        </w:rPr>
        <w:t>Examples</w:t>
      </w:r>
      <w:r>
        <w:rPr>
          <w:color w:val="0E0E0E"/>
          <w:spacing w:val="-3"/>
          <w:w w:val="105"/>
          <w:sz w:val="21"/>
        </w:rPr>
        <w:t> </w:t>
      </w:r>
      <w:r>
        <w:rPr>
          <w:color w:val="0E0E0E"/>
          <w:w w:val="105"/>
          <w:sz w:val="21"/>
        </w:rPr>
        <w:t>of</w:t>
      </w:r>
      <w:r>
        <w:rPr>
          <w:color w:val="0E0E0E"/>
          <w:spacing w:val="-9"/>
          <w:w w:val="105"/>
          <w:sz w:val="21"/>
        </w:rPr>
        <w:t> </w:t>
      </w:r>
      <w:r>
        <w:rPr>
          <w:color w:val="0E0E0E"/>
          <w:w w:val="105"/>
          <w:sz w:val="21"/>
        </w:rPr>
        <w:t>community assets</w:t>
      </w:r>
      <w:r>
        <w:rPr>
          <w:color w:val="0E0E0E"/>
          <w:spacing w:val="-5"/>
          <w:w w:val="105"/>
          <w:sz w:val="21"/>
        </w:rPr>
        <w:t> </w:t>
      </w:r>
      <w:r>
        <w:rPr>
          <w:color w:val="0E0E0E"/>
          <w:w w:val="105"/>
          <w:sz w:val="21"/>
        </w:rPr>
        <w:t>are parks and historic buildings</w:t>
      </w:r>
      <w:r>
        <w:rPr>
          <w:color w:val="565656"/>
          <w:w w:val="105"/>
          <w:sz w:val="21"/>
        </w:rPr>
        <w:t>.</w:t>
      </w:r>
    </w:p>
    <w:p>
      <w:pPr>
        <w:pStyle w:val="BodyText"/>
        <w:spacing w:before="21"/>
        <w:rPr>
          <w:sz w:val="21"/>
        </w:rPr>
      </w:pPr>
    </w:p>
    <w:p>
      <w:pPr>
        <w:spacing w:before="0" w:line="249" w:lineRule="auto"/>
        <w:ind w:left="255" w:right="1563" w:hanging="6"/>
        <w:jc w:val="left"/>
        <w:rPr>
          <w:sz w:val="21"/>
        </w:rPr>
      </w:pPr>
      <w:r>
        <w:rPr>
          <w:color w:val="0E0E0E"/>
          <w:w w:val="105"/>
          <w:sz w:val="21"/>
        </w:rPr>
        <w:t>The</w:t>
      </w:r>
      <w:r>
        <w:rPr>
          <w:color w:val="0E0E0E"/>
          <w:spacing w:val="-9"/>
          <w:w w:val="105"/>
          <w:sz w:val="21"/>
        </w:rPr>
        <w:t> </w:t>
      </w:r>
      <w:r>
        <w:rPr>
          <w:color w:val="0E0E0E"/>
          <w:w w:val="105"/>
          <w:sz w:val="21"/>
        </w:rPr>
        <w:t>concept</w:t>
      </w:r>
      <w:r>
        <w:rPr>
          <w:color w:val="0E0E0E"/>
          <w:spacing w:val="-3"/>
          <w:w w:val="105"/>
          <w:sz w:val="21"/>
        </w:rPr>
        <w:t> </w:t>
      </w:r>
      <w:r>
        <w:rPr>
          <w:color w:val="0E0E0E"/>
          <w:w w:val="105"/>
          <w:sz w:val="21"/>
        </w:rPr>
        <w:t>that</w:t>
      </w:r>
      <w:r>
        <w:rPr>
          <w:color w:val="0E0E0E"/>
          <w:spacing w:val="-9"/>
          <w:w w:val="105"/>
          <w:sz w:val="21"/>
        </w:rPr>
        <w:t> </w:t>
      </w:r>
      <w:r>
        <w:rPr>
          <w:color w:val="0E0E0E"/>
          <w:w w:val="105"/>
          <w:sz w:val="21"/>
        </w:rPr>
        <w:t>the</w:t>
      </w:r>
      <w:r>
        <w:rPr>
          <w:color w:val="0E0E0E"/>
          <w:spacing w:val="-9"/>
          <w:w w:val="105"/>
          <w:sz w:val="21"/>
        </w:rPr>
        <w:t> </w:t>
      </w:r>
      <w:r>
        <w:rPr>
          <w:color w:val="0E0E0E"/>
          <w:w w:val="105"/>
          <w:sz w:val="21"/>
        </w:rPr>
        <w:t>accounting</w:t>
      </w:r>
      <w:r>
        <w:rPr>
          <w:color w:val="0E0E0E"/>
          <w:spacing w:val="-3"/>
          <w:w w:val="105"/>
          <w:sz w:val="21"/>
        </w:rPr>
        <w:t> </w:t>
      </w:r>
      <w:r>
        <w:rPr>
          <w:color w:val="0E0E0E"/>
          <w:w w:val="105"/>
          <w:sz w:val="21"/>
        </w:rPr>
        <w:t>treatment of like items within an accounting period and from one period to the next is the same.</w:t>
      </w:r>
    </w:p>
    <w:p>
      <w:pPr>
        <w:pStyle w:val="BodyText"/>
        <w:spacing w:before="19"/>
        <w:rPr>
          <w:sz w:val="21"/>
        </w:rPr>
      </w:pPr>
    </w:p>
    <w:p>
      <w:pPr>
        <w:spacing w:before="0" w:line="252" w:lineRule="auto"/>
        <w:ind w:left="253" w:right="1718" w:firstLine="0"/>
        <w:jc w:val="left"/>
        <w:rPr>
          <w:sz w:val="21"/>
        </w:rPr>
      </w:pPr>
      <w:r>
        <w:rPr>
          <w:color w:val="0E0E0E"/>
          <w:w w:val="105"/>
          <w:sz w:val="21"/>
        </w:rPr>
        <w:t>A potential asset or obligation that is dependent on an event or circumstance which</w:t>
      </w:r>
      <w:r>
        <w:rPr>
          <w:color w:val="0E0E0E"/>
          <w:spacing w:val="-8"/>
          <w:w w:val="105"/>
          <w:sz w:val="21"/>
        </w:rPr>
        <w:t> </w:t>
      </w:r>
      <w:r>
        <w:rPr>
          <w:color w:val="0E0E0E"/>
          <w:w w:val="105"/>
          <w:sz w:val="21"/>
        </w:rPr>
        <w:t>is</w:t>
      </w:r>
      <w:r>
        <w:rPr>
          <w:color w:val="0E0E0E"/>
          <w:spacing w:val="-8"/>
          <w:w w:val="105"/>
          <w:sz w:val="21"/>
        </w:rPr>
        <w:t> </w:t>
      </w:r>
      <w:r>
        <w:rPr>
          <w:color w:val="0E0E0E"/>
          <w:w w:val="105"/>
          <w:sz w:val="21"/>
        </w:rPr>
        <w:t>possible</w:t>
      </w:r>
      <w:r>
        <w:rPr>
          <w:color w:val="0E0E0E"/>
          <w:spacing w:val="-2"/>
          <w:w w:val="105"/>
          <w:sz w:val="21"/>
        </w:rPr>
        <w:t> </w:t>
      </w:r>
      <w:r>
        <w:rPr>
          <w:color w:val="0E0E0E"/>
          <w:w w:val="105"/>
          <w:sz w:val="21"/>
        </w:rPr>
        <w:t>but</w:t>
      </w:r>
      <w:r>
        <w:rPr>
          <w:color w:val="0E0E0E"/>
          <w:spacing w:val="-8"/>
          <w:w w:val="105"/>
          <w:sz w:val="21"/>
        </w:rPr>
        <w:t> </w:t>
      </w:r>
      <w:r>
        <w:rPr>
          <w:color w:val="0E0E0E"/>
          <w:w w:val="105"/>
          <w:sz w:val="21"/>
        </w:rPr>
        <w:t>cannot be</w:t>
      </w:r>
      <w:r>
        <w:rPr>
          <w:color w:val="0E0E0E"/>
          <w:spacing w:val="-8"/>
          <w:w w:val="105"/>
          <w:sz w:val="21"/>
        </w:rPr>
        <w:t> </w:t>
      </w:r>
      <w:r>
        <w:rPr>
          <w:color w:val="0E0E0E"/>
          <w:w w:val="105"/>
          <w:sz w:val="21"/>
        </w:rPr>
        <w:t>predicted with certainty.</w:t>
      </w:r>
    </w:p>
    <w:p>
      <w:pPr>
        <w:pStyle w:val="BodyText"/>
        <w:spacing w:before="13"/>
        <w:rPr>
          <w:sz w:val="21"/>
        </w:rPr>
      </w:pPr>
    </w:p>
    <w:p>
      <w:pPr>
        <w:spacing w:before="0" w:line="249" w:lineRule="auto"/>
        <w:ind w:left="256" w:right="1863" w:firstLine="2"/>
        <w:jc w:val="both"/>
        <w:rPr>
          <w:sz w:val="21"/>
        </w:rPr>
      </w:pPr>
      <w:r>
        <w:rPr>
          <w:color w:val="0E0E0E"/>
          <w:w w:val="105"/>
          <w:sz w:val="21"/>
        </w:rPr>
        <w:t>The</w:t>
      </w:r>
      <w:r>
        <w:rPr>
          <w:color w:val="0E0E0E"/>
          <w:spacing w:val="-3"/>
          <w:w w:val="105"/>
          <w:sz w:val="21"/>
        </w:rPr>
        <w:t> </w:t>
      </w:r>
      <w:r>
        <w:rPr>
          <w:color w:val="0E0E0E"/>
          <w:w w:val="105"/>
          <w:sz w:val="21"/>
        </w:rPr>
        <w:t>tax</w:t>
      </w:r>
      <w:r>
        <w:rPr>
          <w:color w:val="0E0E0E"/>
          <w:spacing w:val="-4"/>
          <w:w w:val="105"/>
          <w:sz w:val="21"/>
        </w:rPr>
        <w:t> </w:t>
      </w:r>
      <w:r>
        <w:rPr>
          <w:color w:val="0E0E0E"/>
          <w:w w:val="105"/>
          <w:sz w:val="21"/>
        </w:rPr>
        <w:t>raised</w:t>
      </w:r>
      <w:r>
        <w:rPr>
          <w:color w:val="0E0E0E"/>
          <w:spacing w:val="-1"/>
          <w:w w:val="105"/>
          <w:sz w:val="21"/>
        </w:rPr>
        <w:t> </w:t>
      </w:r>
      <w:r>
        <w:rPr>
          <w:color w:val="0E0E0E"/>
          <w:w w:val="105"/>
          <w:sz w:val="21"/>
        </w:rPr>
        <w:t>on</w:t>
      </w:r>
      <w:r>
        <w:rPr>
          <w:color w:val="0E0E0E"/>
          <w:spacing w:val="-10"/>
          <w:w w:val="105"/>
          <w:sz w:val="21"/>
        </w:rPr>
        <w:t> </w:t>
      </w:r>
      <w:r>
        <w:rPr>
          <w:color w:val="0E0E0E"/>
          <w:w w:val="105"/>
          <w:sz w:val="21"/>
        </w:rPr>
        <w:t>households,</w:t>
      </w:r>
      <w:r>
        <w:rPr>
          <w:color w:val="0E0E0E"/>
          <w:spacing w:val="22"/>
          <w:w w:val="105"/>
          <w:sz w:val="21"/>
        </w:rPr>
        <w:t> </w:t>
      </w:r>
      <w:r>
        <w:rPr>
          <w:color w:val="0E0E0E"/>
          <w:w w:val="105"/>
          <w:sz w:val="21"/>
        </w:rPr>
        <w:t>based</w:t>
      </w:r>
      <w:r>
        <w:rPr>
          <w:color w:val="0E0E0E"/>
          <w:spacing w:val="-2"/>
          <w:w w:val="105"/>
          <w:sz w:val="21"/>
        </w:rPr>
        <w:t> </w:t>
      </w:r>
      <w:r>
        <w:rPr>
          <w:color w:val="0E0E0E"/>
          <w:w w:val="105"/>
          <w:sz w:val="21"/>
        </w:rPr>
        <w:t>each year on</w:t>
      </w:r>
      <w:r>
        <w:rPr>
          <w:color w:val="0E0E0E"/>
          <w:spacing w:val="-9"/>
          <w:w w:val="105"/>
          <w:sz w:val="21"/>
        </w:rPr>
        <w:t> </w:t>
      </w:r>
      <w:r>
        <w:rPr>
          <w:color w:val="0E0E0E"/>
          <w:w w:val="105"/>
          <w:sz w:val="21"/>
        </w:rPr>
        <w:t>the</w:t>
      </w:r>
      <w:r>
        <w:rPr>
          <w:color w:val="0E0E0E"/>
          <w:spacing w:val="-8"/>
          <w:w w:val="105"/>
          <w:sz w:val="21"/>
        </w:rPr>
        <w:t> </w:t>
      </w:r>
      <w:r>
        <w:rPr>
          <w:color w:val="0E0E0E"/>
          <w:w w:val="105"/>
          <w:sz w:val="21"/>
        </w:rPr>
        <w:t>position of</w:t>
      </w:r>
      <w:r>
        <w:rPr>
          <w:color w:val="0E0E0E"/>
          <w:spacing w:val="-7"/>
          <w:w w:val="105"/>
          <w:sz w:val="21"/>
        </w:rPr>
        <w:t> </w:t>
      </w:r>
      <w:r>
        <w:rPr>
          <w:color w:val="0E0E0E"/>
          <w:w w:val="105"/>
          <w:sz w:val="21"/>
        </w:rPr>
        <w:t>the</w:t>
      </w:r>
      <w:r>
        <w:rPr>
          <w:color w:val="0E0E0E"/>
          <w:spacing w:val="-3"/>
          <w:w w:val="105"/>
          <w:sz w:val="21"/>
        </w:rPr>
        <w:t> </w:t>
      </w:r>
      <w:r>
        <w:rPr>
          <w:color w:val="0E0E0E"/>
          <w:w w:val="105"/>
          <w:sz w:val="21"/>
        </w:rPr>
        <w:t>property</w:t>
      </w:r>
      <w:r>
        <w:rPr>
          <w:color w:val="0E0E0E"/>
          <w:spacing w:val="-1"/>
          <w:w w:val="105"/>
          <w:sz w:val="21"/>
        </w:rPr>
        <w:t> </w:t>
      </w:r>
      <w:r>
        <w:rPr>
          <w:color w:val="232323"/>
          <w:w w:val="105"/>
          <w:sz w:val="21"/>
        </w:rPr>
        <w:t>in</w:t>
      </w:r>
      <w:r>
        <w:rPr>
          <w:color w:val="232323"/>
          <w:spacing w:val="-2"/>
          <w:w w:val="105"/>
          <w:sz w:val="21"/>
        </w:rPr>
        <w:t> </w:t>
      </w:r>
      <w:r>
        <w:rPr>
          <w:color w:val="0E0E0E"/>
          <w:w w:val="105"/>
          <w:sz w:val="21"/>
        </w:rPr>
        <w:t>eight valuation bands A to H.</w:t>
      </w:r>
    </w:p>
    <w:p>
      <w:pPr>
        <w:pStyle w:val="BodyText"/>
        <w:spacing w:before="14"/>
        <w:rPr>
          <w:sz w:val="21"/>
        </w:rPr>
      </w:pPr>
    </w:p>
    <w:p>
      <w:pPr>
        <w:spacing w:before="0" w:line="252" w:lineRule="auto"/>
        <w:ind w:left="256" w:right="1488" w:firstLine="2"/>
        <w:jc w:val="left"/>
        <w:rPr>
          <w:sz w:val="21"/>
        </w:rPr>
      </w:pPr>
      <w:r>
        <w:rPr>
          <w:color w:val="0E0E0E"/>
          <w:w w:val="105"/>
          <w:sz w:val="21"/>
        </w:rPr>
        <w:t>A</w:t>
      </w:r>
      <w:r>
        <w:rPr>
          <w:color w:val="0E0E0E"/>
          <w:spacing w:val="-8"/>
          <w:w w:val="105"/>
          <w:sz w:val="21"/>
        </w:rPr>
        <w:t> </w:t>
      </w:r>
      <w:r>
        <w:rPr>
          <w:color w:val="0E0E0E"/>
          <w:w w:val="105"/>
          <w:sz w:val="21"/>
        </w:rPr>
        <w:t>reduction</w:t>
      </w:r>
      <w:r>
        <w:rPr>
          <w:color w:val="0E0E0E"/>
          <w:spacing w:val="-2"/>
          <w:w w:val="105"/>
          <w:sz w:val="21"/>
        </w:rPr>
        <w:t> </w:t>
      </w:r>
      <w:r>
        <w:rPr>
          <w:color w:val="0E0E0E"/>
          <w:w w:val="105"/>
          <w:sz w:val="21"/>
        </w:rPr>
        <w:t>in the</w:t>
      </w:r>
      <w:r>
        <w:rPr>
          <w:color w:val="0E0E0E"/>
          <w:spacing w:val="-5"/>
          <w:w w:val="105"/>
          <w:sz w:val="21"/>
        </w:rPr>
        <w:t> </w:t>
      </w:r>
      <w:r>
        <w:rPr>
          <w:color w:val="0E0E0E"/>
          <w:w w:val="105"/>
          <w:sz w:val="21"/>
        </w:rPr>
        <w:t>liability to</w:t>
      </w:r>
      <w:r>
        <w:rPr>
          <w:color w:val="0E0E0E"/>
          <w:spacing w:val="-7"/>
          <w:w w:val="105"/>
          <w:sz w:val="21"/>
        </w:rPr>
        <w:t> </w:t>
      </w:r>
      <w:r>
        <w:rPr>
          <w:color w:val="0E0E0E"/>
          <w:w w:val="105"/>
          <w:sz w:val="21"/>
        </w:rPr>
        <w:t>pay Council</w:t>
      </w:r>
      <w:r>
        <w:rPr>
          <w:color w:val="0E0E0E"/>
          <w:spacing w:val="-2"/>
          <w:w w:val="105"/>
          <w:sz w:val="21"/>
        </w:rPr>
        <w:t> </w:t>
      </w:r>
      <w:r>
        <w:rPr>
          <w:color w:val="0E0E0E"/>
          <w:w w:val="105"/>
          <w:sz w:val="21"/>
        </w:rPr>
        <w:t>Tax granted in accordance with a locally determined support scheme.</w:t>
      </w:r>
    </w:p>
    <w:p>
      <w:pPr>
        <w:pStyle w:val="BodyText"/>
        <w:spacing w:before="12"/>
        <w:rPr>
          <w:sz w:val="21"/>
        </w:rPr>
      </w:pPr>
    </w:p>
    <w:p>
      <w:pPr>
        <w:spacing w:before="0" w:line="249" w:lineRule="auto"/>
        <w:ind w:left="259" w:right="1718" w:hanging="1"/>
        <w:jc w:val="left"/>
        <w:rPr>
          <w:sz w:val="21"/>
        </w:rPr>
      </w:pPr>
      <w:r>
        <w:rPr>
          <w:color w:val="0E0E0E"/>
          <w:w w:val="105"/>
          <w:sz w:val="21"/>
        </w:rPr>
        <w:t>Transactions</w:t>
      </w:r>
      <w:r>
        <w:rPr>
          <w:color w:val="0E0E0E"/>
          <w:spacing w:val="40"/>
          <w:w w:val="105"/>
          <w:sz w:val="21"/>
        </w:rPr>
        <w:t> </w:t>
      </w:r>
      <w:r>
        <w:rPr>
          <w:color w:val="0E0E0E"/>
          <w:w w:val="105"/>
          <w:sz w:val="21"/>
        </w:rPr>
        <w:t>that result in the Council acquiring a non-current asset and recognising a</w:t>
      </w:r>
      <w:r>
        <w:rPr>
          <w:color w:val="0E0E0E"/>
          <w:spacing w:val="-11"/>
          <w:w w:val="105"/>
          <w:sz w:val="21"/>
        </w:rPr>
        <w:t> </w:t>
      </w:r>
      <w:r>
        <w:rPr>
          <w:color w:val="0E0E0E"/>
          <w:w w:val="105"/>
          <w:sz w:val="21"/>
        </w:rPr>
        <w:t>liability to</w:t>
      </w:r>
      <w:r>
        <w:rPr>
          <w:color w:val="0E0E0E"/>
          <w:spacing w:val="-8"/>
          <w:w w:val="105"/>
          <w:sz w:val="21"/>
        </w:rPr>
        <w:t> </w:t>
      </w:r>
      <w:r>
        <w:rPr>
          <w:color w:val="0E0E0E"/>
          <w:w w:val="105"/>
          <w:sz w:val="21"/>
        </w:rPr>
        <w:t>pay</w:t>
      </w:r>
      <w:r>
        <w:rPr>
          <w:color w:val="0E0E0E"/>
          <w:spacing w:val="-1"/>
          <w:w w:val="105"/>
          <w:sz w:val="21"/>
        </w:rPr>
        <w:t> </w:t>
      </w:r>
      <w:r>
        <w:rPr>
          <w:color w:val="0E0E0E"/>
          <w:w w:val="105"/>
          <w:sz w:val="21"/>
        </w:rPr>
        <w:t>in</w:t>
      </w:r>
      <w:r>
        <w:rPr>
          <w:color w:val="0E0E0E"/>
          <w:spacing w:val="-1"/>
          <w:w w:val="105"/>
          <w:sz w:val="21"/>
        </w:rPr>
        <w:t> </w:t>
      </w:r>
      <w:r>
        <w:rPr>
          <w:color w:val="0E0E0E"/>
          <w:w w:val="105"/>
          <w:sz w:val="21"/>
        </w:rPr>
        <w:t>the</w:t>
      </w:r>
      <w:r>
        <w:rPr>
          <w:color w:val="0E0E0E"/>
          <w:spacing w:val="-5"/>
          <w:w w:val="105"/>
          <w:sz w:val="21"/>
        </w:rPr>
        <w:t> </w:t>
      </w:r>
      <w:r>
        <w:rPr>
          <w:color w:val="0E0E0E"/>
          <w:w w:val="105"/>
          <w:sz w:val="21"/>
        </w:rPr>
        <w:t>future</w:t>
      </w:r>
      <w:r>
        <w:rPr>
          <w:color w:val="0E0E0E"/>
          <w:spacing w:val="-2"/>
          <w:w w:val="105"/>
          <w:sz w:val="21"/>
        </w:rPr>
        <w:t> </w:t>
      </w:r>
      <w:r>
        <w:rPr>
          <w:color w:val="0E0E0E"/>
          <w:w w:val="105"/>
          <w:sz w:val="21"/>
        </w:rPr>
        <w:t>for some or all of the cost of the asset.</w:t>
      </w:r>
    </w:p>
    <w:p>
      <w:pPr>
        <w:spacing w:after="0" w:line="249" w:lineRule="auto"/>
        <w:jc w:val="left"/>
        <w:rPr>
          <w:sz w:val="21"/>
        </w:rPr>
        <w:sectPr>
          <w:headerReference w:type="default" r:id="rId328"/>
          <w:footerReference w:type="default" r:id="rId329"/>
          <w:footerReference w:type="even" r:id="rId330"/>
          <w:pgSz w:w="11910" w:h="16830"/>
          <w:pgMar w:top="1420" w:right="540" w:bottom="1320" w:left="440" w:header="777" w:footer="1127"/>
          <w:pgNumType w:start="149"/>
          <w:cols w:equalWidth="0" w:num="2">
            <w:col w:w="4176" w:space="433"/>
            <w:col w:w="6321"/>
          </w:cols>
        </w:sectPr>
      </w:pPr>
    </w:p>
    <w:p>
      <w:pPr>
        <w:spacing w:before="74"/>
        <w:ind w:left="1062" w:right="0" w:firstLine="0"/>
        <w:jc w:val="left"/>
        <w:rPr>
          <w:sz w:val="14"/>
        </w:rPr>
      </w:pPr>
      <w:r>
        <w:rPr>
          <w:color w:val="B3B3B3"/>
          <w:spacing w:val="-2"/>
          <w:w w:val="110"/>
          <w:sz w:val="14"/>
        </w:rPr>
        <w:t>GLOS:3ARY</w:t>
      </w:r>
    </w:p>
    <w:p>
      <w:pPr>
        <w:pStyle w:val="BodyText"/>
        <w:spacing w:before="1"/>
        <w:rPr>
          <w:sz w:val="13"/>
        </w:rPr>
      </w:pPr>
    </w:p>
    <w:p>
      <w:pPr>
        <w:spacing w:after="0"/>
        <w:rPr>
          <w:sz w:val="13"/>
        </w:rPr>
        <w:sectPr>
          <w:headerReference w:type="even" r:id="rId331"/>
          <w:pgSz w:w="11910" w:h="16830"/>
          <w:pgMar w:top="800" w:right="540" w:bottom="1220" w:left="440" w:header="0" w:footer="0"/>
        </w:sectPr>
      </w:pPr>
    </w:p>
    <w:p>
      <w:pPr>
        <w:pStyle w:val="BodyText"/>
        <w:spacing w:before="102"/>
        <w:rPr>
          <w:sz w:val="21"/>
        </w:rPr>
      </w:pPr>
    </w:p>
    <w:p>
      <w:pPr>
        <w:spacing w:before="0"/>
        <w:ind w:left="434" w:right="0" w:firstLine="0"/>
        <w:jc w:val="left"/>
        <w:rPr>
          <w:b/>
          <w:sz w:val="21"/>
        </w:rPr>
      </w:pPr>
      <w:r>
        <w:rPr>
          <w:b/>
          <w:color w:val="0F0F0F"/>
          <w:w w:val="105"/>
          <w:sz w:val="21"/>
        </w:rPr>
        <w:t>Credit</w:t>
      </w:r>
      <w:r>
        <w:rPr>
          <w:b/>
          <w:color w:val="0F0F0F"/>
          <w:spacing w:val="1"/>
          <w:w w:val="105"/>
          <w:sz w:val="21"/>
        </w:rPr>
        <w:t> </w:t>
      </w:r>
      <w:r>
        <w:rPr>
          <w:b/>
          <w:color w:val="0F0F0F"/>
          <w:spacing w:val="-2"/>
          <w:w w:val="105"/>
          <w:sz w:val="21"/>
        </w:rPr>
        <w:t>Liabilities</w:t>
      </w:r>
    </w:p>
    <w:p>
      <w:pPr>
        <w:pStyle w:val="BodyText"/>
        <w:rPr>
          <w:b/>
          <w:sz w:val="21"/>
        </w:rPr>
      </w:pPr>
    </w:p>
    <w:p>
      <w:pPr>
        <w:pStyle w:val="BodyText"/>
        <w:rPr>
          <w:b/>
          <w:sz w:val="21"/>
        </w:rPr>
      </w:pPr>
    </w:p>
    <w:p>
      <w:pPr>
        <w:pStyle w:val="BodyText"/>
        <w:spacing w:before="48"/>
        <w:rPr>
          <w:b/>
          <w:sz w:val="21"/>
        </w:rPr>
      </w:pPr>
    </w:p>
    <w:p>
      <w:pPr>
        <w:spacing w:before="0"/>
        <w:ind w:left="425" w:right="0" w:firstLine="0"/>
        <w:jc w:val="left"/>
        <w:rPr>
          <w:b/>
          <w:sz w:val="21"/>
        </w:rPr>
      </w:pPr>
      <w:r>
        <w:rPr>
          <w:b/>
          <w:color w:val="0F0F0F"/>
          <w:w w:val="105"/>
          <w:sz w:val="21"/>
        </w:rPr>
        <w:t>Credit</w:t>
      </w:r>
      <w:r>
        <w:rPr>
          <w:b/>
          <w:color w:val="0F0F0F"/>
          <w:spacing w:val="-3"/>
          <w:w w:val="105"/>
          <w:sz w:val="21"/>
        </w:rPr>
        <w:t> </w:t>
      </w:r>
      <w:r>
        <w:rPr>
          <w:b/>
          <w:color w:val="0F0F0F"/>
          <w:spacing w:val="-2"/>
          <w:w w:val="105"/>
          <w:sz w:val="21"/>
        </w:rPr>
        <w:t>losses</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04"/>
        <w:rPr>
          <w:b/>
          <w:sz w:val="21"/>
        </w:rPr>
      </w:pPr>
    </w:p>
    <w:p>
      <w:pPr>
        <w:spacing w:before="0"/>
        <w:ind w:left="401" w:right="0" w:firstLine="0"/>
        <w:jc w:val="left"/>
        <w:rPr>
          <w:b/>
          <w:sz w:val="21"/>
        </w:rPr>
      </w:pPr>
      <w:r>
        <w:rPr>
          <w:b/>
          <w:color w:val="0F0F0F"/>
          <w:spacing w:val="-2"/>
          <w:w w:val="105"/>
          <w:sz w:val="21"/>
        </w:rPr>
        <w:t>Creditor</w:t>
      </w:r>
    </w:p>
    <w:p>
      <w:pPr>
        <w:spacing w:before="98"/>
        <w:ind w:left="188" w:right="0" w:firstLine="0"/>
        <w:jc w:val="left"/>
        <w:rPr>
          <w:b/>
          <w:sz w:val="21"/>
        </w:rPr>
      </w:pPr>
      <w:r>
        <w:rPr/>
        <w:br w:type="column"/>
      </w:r>
      <w:r>
        <w:rPr>
          <w:b/>
          <w:color w:val="0F0F0F"/>
          <w:spacing w:val="-4"/>
          <w:w w:val="105"/>
          <w:sz w:val="21"/>
        </w:rPr>
        <w:t>Term</w:t>
      </w:r>
    </w:p>
    <w:p>
      <w:pPr>
        <w:spacing w:before="93"/>
        <w:ind w:left="2139" w:right="0" w:firstLine="0"/>
        <w:jc w:val="left"/>
        <w:rPr>
          <w:b/>
          <w:sz w:val="21"/>
        </w:rPr>
      </w:pPr>
      <w:r>
        <w:rPr/>
        <w:br w:type="column"/>
      </w:r>
      <w:r>
        <w:rPr>
          <w:b/>
          <w:color w:val="0F0F0F"/>
          <w:spacing w:val="-2"/>
          <w:w w:val="105"/>
          <w:sz w:val="21"/>
        </w:rPr>
        <w:t>Definition</w:t>
      </w:r>
    </w:p>
    <w:p>
      <w:pPr>
        <w:spacing w:before="14" w:line="249" w:lineRule="auto"/>
        <w:ind w:left="438" w:right="1512" w:firstLine="4"/>
        <w:jc w:val="left"/>
        <w:rPr>
          <w:sz w:val="21"/>
        </w:rPr>
      </w:pPr>
      <w:r>
        <w:rPr>
          <w:color w:val="0F0F0F"/>
          <w:w w:val="105"/>
          <w:sz w:val="21"/>
        </w:rPr>
        <w:t>These relate to liabilities of the Council in respect</w:t>
      </w:r>
      <w:r>
        <w:rPr>
          <w:color w:val="0F0F0F"/>
          <w:spacing w:val="-15"/>
          <w:w w:val="105"/>
          <w:sz w:val="21"/>
        </w:rPr>
        <w:t> </w:t>
      </w:r>
      <w:r>
        <w:rPr>
          <w:color w:val="0F0F0F"/>
          <w:w w:val="105"/>
          <w:sz w:val="21"/>
        </w:rPr>
        <w:t>of</w:t>
      </w:r>
      <w:r>
        <w:rPr>
          <w:color w:val="0F0F0F"/>
          <w:spacing w:val="-15"/>
          <w:w w:val="105"/>
          <w:sz w:val="21"/>
        </w:rPr>
        <w:t> </w:t>
      </w:r>
      <w:r>
        <w:rPr>
          <w:color w:val="0F0F0F"/>
          <w:w w:val="105"/>
          <w:sz w:val="21"/>
        </w:rPr>
        <w:t>money</w:t>
      </w:r>
      <w:r>
        <w:rPr>
          <w:color w:val="0F0F0F"/>
          <w:spacing w:val="-4"/>
          <w:w w:val="105"/>
          <w:sz w:val="21"/>
        </w:rPr>
        <w:t> </w:t>
      </w:r>
      <w:r>
        <w:rPr>
          <w:color w:val="0F0F0F"/>
          <w:w w:val="105"/>
          <w:sz w:val="21"/>
        </w:rPr>
        <w:t>borrowed</w:t>
      </w:r>
      <w:r>
        <w:rPr>
          <w:color w:val="0F0F0F"/>
          <w:spacing w:val="-5"/>
          <w:w w:val="105"/>
          <w:sz w:val="21"/>
        </w:rPr>
        <w:t> </w:t>
      </w:r>
      <w:r>
        <w:rPr>
          <w:color w:val="0F0F0F"/>
          <w:w w:val="105"/>
          <w:sz w:val="21"/>
        </w:rPr>
        <w:t>(principal</w:t>
      </w:r>
      <w:r>
        <w:rPr>
          <w:color w:val="0F0F0F"/>
          <w:spacing w:val="-8"/>
          <w:w w:val="105"/>
          <w:sz w:val="21"/>
        </w:rPr>
        <w:t> </w:t>
      </w:r>
      <w:r>
        <w:rPr>
          <w:color w:val="0F0F0F"/>
          <w:w w:val="105"/>
          <w:sz w:val="21"/>
        </w:rPr>
        <w:t>only), or in respect of credit arrangements.</w:t>
      </w:r>
    </w:p>
    <w:p>
      <w:pPr>
        <w:pStyle w:val="BodyText"/>
        <w:spacing w:before="14"/>
        <w:rPr>
          <w:sz w:val="21"/>
        </w:rPr>
      </w:pPr>
    </w:p>
    <w:p>
      <w:pPr>
        <w:spacing w:before="0" w:line="252" w:lineRule="auto"/>
        <w:ind w:left="419" w:right="1482" w:firstLine="9"/>
        <w:jc w:val="left"/>
        <w:rPr>
          <w:sz w:val="21"/>
        </w:rPr>
      </w:pPr>
      <w:r>
        <w:rPr>
          <w:color w:val="0F0F0F"/>
          <w:w w:val="105"/>
          <w:sz w:val="21"/>
        </w:rPr>
        <w:t>A measure of how much the Council would lose if</w:t>
      </w:r>
      <w:r>
        <w:rPr>
          <w:color w:val="0F0F0F"/>
          <w:spacing w:val="-7"/>
          <w:w w:val="105"/>
          <w:sz w:val="21"/>
        </w:rPr>
        <w:t> </w:t>
      </w:r>
      <w:r>
        <w:rPr>
          <w:color w:val="0F0F0F"/>
          <w:w w:val="105"/>
          <w:sz w:val="21"/>
        </w:rPr>
        <w:t>the</w:t>
      </w:r>
      <w:r>
        <w:rPr>
          <w:color w:val="0F0F0F"/>
          <w:spacing w:val="-1"/>
          <w:w w:val="105"/>
          <w:sz w:val="21"/>
        </w:rPr>
        <w:t> </w:t>
      </w:r>
      <w:r>
        <w:rPr>
          <w:color w:val="0F0F0F"/>
          <w:w w:val="105"/>
          <w:sz w:val="21"/>
        </w:rPr>
        <w:t>amounts owed</w:t>
      </w:r>
      <w:r>
        <w:rPr>
          <w:color w:val="0F0F0F"/>
          <w:spacing w:val="-3"/>
          <w:w w:val="105"/>
          <w:sz w:val="21"/>
        </w:rPr>
        <w:t> </w:t>
      </w:r>
      <w:r>
        <w:rPr>
          <w:color w:val="0F0F0F"/>
          <w:w w:val="105"/>
          <w:sz w:val="21"/>
        </w:rPr>
        <w:t>to</w:t>
      </w:r>
      <w:r>
        <w:rPr>
          <w:color w:val="0F0F0F"/>
          <w:spacing w:val="-8"/>
          <w:w w:val="105"/>
          <w:sz w:val="21"/>
        </w:rPr>
        <w:t> </w:t>
      </w:r>
      <w:r>
        <w:rPr>
          <w:color w:val="0F0F0F"/>
          <w:w w:val="105"/>
          <w:sz w:val="21"/>
        </w:rPr>
        <w:t>it</w:t>
      </w:r>
      <w:r>
        <w:rPr>
          <w:color w:val="0F0F0F"/>
          <w:spacing w:val="-9"/>
          <w:w w:val="105"/>
          <w:sz w:val="21"/>
        </w:rPr>
        <w:t> </w:t>
      </w:r>
      <w:r>
        <w:rPr>
          <w:color w:val="0F0F0F"/>
          <w:w w:val="105"/>
          <w:sz w:val="21"/>
        </w:rPr>
        <w:t>by</w:t>
      </w:r>
      <w:r>
        <w:rPr>
          <w:color w:val="0F0F0F"/>
          <w:spacing w:val="-4"/>
          <w:w w:val="105"/>
          <w:sz w:val="21"/>
        </w:rPr>
        <w:t> </w:t>
      </w:r>
      <w:r>
        <w:rPr>
          <w:color w:val="0F0F0F"/>
          <w:w w:val="105"/>
          <w:sz w:val="21"/>
        </w:rPr>
        <w:t>debtors and borrowers are not repaid. Defined as the shortfall between all the cash flows that are due contractually to the Council under a financial asset and those that it actually expects to receive </w:t>
      </w:r>
      <w:r>
        <w:rPr>
          <w:color w:val="282828"/>
          <w:w w:val="105"/>
          <w:sz w:val="21"/>
        </w:rPr>
        <w:t>(discounted </w:t>
      </w:r>
      <w:r>
        <w:rPr>
          <w:color w:val="0F0F0F"/>
          <w:w w:val="105"/>
          <w:sz w:val="21"/>
        </w:rPr>
        <w:t>using the </w:t>
      </w:r>
      <w:r>
        <w:rPr>
          <w:color w:val="282828"/>
          <w:w w:val="105"/>
          <w:sz w:val="21"/>
        </w:rPr>
        <w:t>investment's</w:t>
      </w:r>
      <w:r>
        <w:rPr>
          <w:color w:val="282828"/>
          <w:w w:val="105"/>
          <w:sz w:val="21"/>
        </w:rPr>
        <w:t> </w:t>
      </w:r>
      <w:r>
        <w:rPr>
          <w:color w:val="0F0F0F"/>
          <w:w w:val="105"/>
          <w:sz w:val="21"/>
        </w:rPr>
        <w:t>effective </w:t>
      </w:r>
      <w:r>
        <w:rPr>
          <w:color w:val="282828"/>
          <w:w w:val="105"/>
          <w:sz w:val="21"/>
        </w:rPr>
        <w:t>interest </w:t>
      </w:r>
      <w:r>
        <w:rPr>
          <w:color w:val="0F0F0F"/>
          <w:w w:val="105"/>
          <w:sz w:val="21"/>
        </w:rPr>
        <w:t>rate).</w:t>
      </w:r>
    </w:p>
    <w:p>
      <w:pPr>
        <w:pStyle w:val="BodyText"/>
        <w:spacing w:before="8"/>
        <w:rPr>
          <w:sz w:val="21"/>
        </w:rPr>
      </w:pPr>
    </w:p>
    <w:p>
      <w:pPr>
        <w:spacing w:before="0" w:line="252" w:lineRule="auto"/>
        <w:ind w:left="401" w:right="1482" w:firstLine="13"/>
        <w:jc w:val="left"/>
        <w:rPr>
          <w:sz w:val="21"/>
        </w:rPr>
      </w:pPr>
      <w:r>
        <w:rPr>
          <w:color w:val="0F0F0F"/>
          <w:w w:val="105"/>
          <w:sz w:val="21"/>
        </w:rPr>
        <w:t>An amount owed by the Council for work done, goods received, or services rendered to the Council within the accounting period and</w:t>
      </w:r>
      <w:r>
        <w:rPr>
          <w:color w:val="0F0F0F"/>
          <w:spacing w:val="-8"/>
          <w:w w:val="105"/>
          <w:sz w:val="21"/>
        </w:rPr>
        <w:t> </w:t>
      </w:r>
      <w:r>
        <w:rPr>
          <w:color w:val="0F0F0F"/>
          <w:w w:val="105"/>
          <w:sz w:val="21"/>
        </w:rPr>
        <w:t>for</w:t>
      </w:r>
      <w:r>
        <w:rPr>
          <w:color w:val="0F0F0F"/>
          <w:spacing w:val="-2"/>
          <w:w w:val="105"/>
          <w:sz w:val="21"/>
        </w:rPr>
        <w:t> </w:t>
      </w:r>
      <w:r>
        <w:rPr>
          <w:color w:val="0F0F0F"/>
          <w:w w:val="105"/>
          <w:sz w:val="21"/>
        </w:rPr>
        <w:t>which</w:t>
      </w:r>
      <w:r>
        <w:rPr>
          <w:color w:val="0F0F0F"/>
          <w:spacing w:val="-5"/>
          <w:w w:val="105"/>
          <w:sz w:val="21"/>
        </w:rPr>
        <w:t> </w:t>
      </w:r>
      <w:r>
        <w:rPr>
          <w:color w:val="0F0F0F"/>
          <w:w w:val="105"/>
          <w:sz w:val="21"/>
        </w:rPr>
        <w:t>payment has</w:t>
      </w:r>
      <w:r>
        <w:rPr>
          <w:color w:val="0F0F0F"/>
          <w:spacing w:val="-2"/>
          <w:w w:val="105"/>
          <w:sz w:val="21"/>
        </w:rPr>
        <w:t> </w:t>
      </w:r>
      <w:r>
        <w:rPr>
          <w:color w:val="0F0F0F"/>
          <w:w w:val="105"/>
          <w:sz w:val="21"/>
        </w:rPr>
        <w:t>not</w:t>
      </w:r>
      <w:r>
        <w:rPr>
          <w:color w:val="0F0F0F"/>
          <w:spacing w:val="-5"/>
          <w:w w:val="105"/>
          <w:sz w:val="21"/>
        </w:rPr>
        <w:t> </w:t>
      </w:r>
      <w:r>
        <w:rPr>
          <w:color w:val="0F0F0F"/>
          <w:w w:val="105"/>
          <w:sz w:val="21"/>
        </w:rPr>
        <w:t>been</w:t>
      </w:r>
      <w:r>
        <w:rPr>
          <w:color w:val="0F0F0F"/>
          <w:spacing w:val="-5"/>
          <w:w w:val="105"/>
          <w:sz w:val="21"/>
        </w:rPr>
        <w:t> </w:t>
      </w:r>
      <w:r>
        <w:rPr>
          <w:color w:val="0F0F0F"/>
          <w:w w:val="105"/>
          <w:sz w:val="21"/>
        </w:rPr>
        <w:t>made</w:t>
      </w:r>
      <w:r>
        <w:rPr>
          <w:color w:val="0F0F0F"/>
          <w:spacing w:val="-3"/>
          <w:w w:val="105"/>
          <w:sz w:val="21"/>
        </w:rPr>
        <w:t> </w:t>
      </w:r>
      <w:r>
        <w:rPr>
          <w:color w:val="0F0F0F"/>
          <w:w w:val="105"/>
          <w:sz w:val="21"/>
        </w:rPr>
        <w:t>at the Balance Sheet date.</w:t>
      </w:r>
    </w:p>
    <w:p>
      <w:pPr>
        <w:spacing w:after="0" w:line="252" w:lineRule="auto"/>
        <w:jc w:val="left"/>
        <w:rPr>
          <w:sz w:val="21"/>
        </w:rPr>
        <w:sectPr>
          <w:type w:val="continuous"/>
          <w:pgSz w:w="11910" w:h="16830"/>
          <w:pgMar w:top="1940" w:right="540" w:bottom="280" w:left="440" w:header="0" w:footer="0"/>
          <w:cols w:equalWidth="0" w:num="3">
            <w:col w:w="2144" w:space="40"/>
            <w:col w:w="775" w:space="1663"/>
            <w:col w:w="6308"/>
          </w:cols>
        </w:sectPr>
      </w:pPr>
    </w:p>
    <w:p>
      <w:pPr>
        <w:pStyle w:val="BodyText"/>
        <w:spacing w:before="7"/>
        <w:rPr>
          <w:sz w:val="13"/>
        </w:rPr>
      </w:pPr>
    </w:p>
    <w:p>
      <w:pPr>
        <w:spacing w:after="0"/>
        <w:rPr>
          <w:sz w:val="13"/>
        </w:rPr>
        <w:sectPr>
          <w:type w:val="continuous"/>
          <w:pgSz w:w="11910" w:h="16830"/>
          <w:pgMar w:top="1940" w:right="540" w:bottom="280" w:left="440" w:header="0" w:footer="0"/>
        </w:sectPr>
      </w:pPr>
    </w:p>
    <w:p>
      <w:pPr>
        <w:spacing w:before="99"/>
        <w:ind w:left="381" w:right="0" w:firstLine="0"/>
        <w:jc w:val="left"/>
        <w:rPr>
          <w:b/>
          <w:sz w:val="21"/>
        </w:rPr>
      </w:pPr>
      <w:r>
        <w:rPr>
          <w:b/>
          <w:color w:val="0F0F0F"/>
          <w:w w:val="105"/>
          <w:sz w:val="21"/>
        </w:rPr>
        <w:t>Current</w:t>
      </w:r>
      <w:r>
        <w:rPr>
          <w:b/>
          <w:color w:val="0F0F0F"/>
          <w:spacing w:val="-5"/>
          <w:w w:val="105"/>
          <w:sz w:val="21"/>
        </w:rPr>
        <w:t> </w:t>
      </w:r>
      <w:r>
        <w:rPr>
          <w:b/>
          <w:color w:val="0F0F0F"/>
          <w:w w:val="105"/>
          <w:sz w:val="21"/>
        </w:rPr>
        <w:t>Service</w:t>
      </w:r>
      <w:r>
        <w:rPr>
          <w:b/>
          <w:color w:val="0F0F0F"/>
          <w:spacing w:val="-2"/>
          <w:w w:val="105"/>
          <w:sz w:val="21"/>
        </w:rPr>
        <w:t> </w:t>
      </w:r>
      <w:r>
        <w:rPr>
          <w:b/>
          <w:color w:val="0F0F0F"/>
          <w:spacing w:val="-4"/>
          <w:w w:val="105"/>
          <w:sz w:val="21"/>
        </w:rPr>
        <w:t>Cost</w:t>
      </w:r>
    </w:p>
    <w:p>
      <w:pPr>
        <w:pStyle w:val="BodyText"/>
        <w:rPr>
          <w:b/>
          <w:sz w:val="21"/>
        </w:rPr>
      </w:pPr>
    </w:p>
    <w:p>
      <w:pPr>
        <w:pStyle w:val="BodyText"/>
        <w:spacing w:before="34"/>
        <w:rPr>
          <w:b/>
          <w:sz w:val="21"/>
        </w:rPr>
      </w:pPr>
    </w:p>
    <w:p>
      <w:pPr>
        <w:spacing w:before="1"/>
        <w:ind w:left="372" w:right="0" w:firstLine="0"/>
        <w:jc w:val="left"/>
        <w:rPr>
          <w:b/>
          <w:sz w:val="21"/>
        </w:rPr>
      </w:pPr>
      <w:r>
        <w:rPr>
          <w:b/>
          <w:color w:val="0F0F0F"/>
          <w:spacing w:val="-2"/>
          <w:w w:val="105"/>
          <w:sz w:val="21"/>
        </w:rPr>
        <w:t>Curtailment</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8"/>
        <w:rPr>
          <w:b/>
          <w:sz w:val="21"/>
        </w:rPr>
      </w:pPr>
    </w:p>
    <w:p>
      <w:pPr>
        <w:spacing w:before="0"/>
        <w:ind w:left="313" w:right="0" w:firstLine="0"/>
        <w:jc w:val="left"/>
        <w:rPr>
          <w:b/>
          <w:sz w:val="21"/>
        </w:rPr>
      </w:pPr>
      <w:r>
        <w:rPr>
          <w:b/>
          <w:color w:val="0F0F0F"/>
          <w:spacing w:val="-2"/>
          <w:w w:val="105"/>
          <w:sz w:val="21"/>
        </w:rPr>
        <w:t>Debtor</w:t>
      </w:r>
    </w:p>
    <w:p>
      <w:pPr>
        <w:spacing w:before="94" w:line="252" w:lineRule="auto"/>
        <w:ind w:left="364" w:right="1541" w:firstLine="1"/>
        <w:jc w:val="left"/>
        <w:rPr>
          <w:sz w:val="21"/>
        </w:rPr>
      </w:pPr>
      <w:r>
        <w:rPr/>
        <w:br w:type="column"/>
      </w:r>
      <w:r>
        <w:rPr>
          <w:color w:val="0F0F0F"/>
          <w:w w:val="105"/>
          <w:sz w:val="21"/>
        </w:rPr>
        <w:t>The increase in pension liabilities arising from</w:t>
      </w:r>
      <w:r>
        <w:rPr>
          <w:color w:val="0F0F0F"/>
          <w:spacing w:val="-5"/>
          <w:w w:val="105"/>
          <w:sz w:val="21"/>
        </w:rPr>
        <w:t> </w:t>
      </w:r>
      <w:r>
        <w:rPr>
          <w:color w:val="0F0F0F"/>
          <w:w w:val="105"/>
          <w:sz w:val="21"/>
        </w:rPr>
        <w:t>employee service</w:t>
      </w:r>
      <w:r>
        <w:rPr>
          <w:color w:val="0F0F0F"/>
          <w:spacing w:val="-3"/>
          <w:w w:val="105"/>
          <w:sz w:val="21"/>
        </w:rPr>
        <w:t> </w:t>
      </w:r>
      <w:r>
        <w:rPr>
          <w:color w:val="0F0F0F"/>
          <w:w w:val="105"/>
          <w:sz w:val="21"/>
        </w:rPr>
        <w:t>in</w:t>
      </w:r>
      <w:r>
        <w:rPr>
          <w:color w:val="0F0F0F"/>
          <w:spacing w:val="-16"/>
          <w:w w:val="105"/>
          <w:sz w:val="21"/>
        </w:rPr>
        <w:t> </w:t>
      </w:r>
      <w:r>
        <w:rPr>
          <w:color w:val="0F0F0F"/>
          <w:w w:val="105"/>
          <w:sz w:val="21"/>
        </w:rPr>
        <w:t>the</w:t>
      </w:r>
      <w:r>
        <w:rPr>
          <w:color w:val="0F0F0F"/>
          <w:spacing w:val="-9"/>
          <w:w w:val="105"/>
          <w:sz w:val="21"/>
        </w:rPr>
        <w:t> </w:t>
      </w:r>
      <w:r>
        <w:rPr>
          <w:color w:val="0F0F0F"/>
          <w:w w:val="105"/>
          <w:sz w:val="21"/>
        </w:rPr>
        <w:t>current</w:t>
      </w:r>
      <w:r>
        <w:rPr>
          <w:color w:val="0F0F0F"/>
          <w:spacing w:val="-1"/>
          <w:w w:val="105"/>
          <w:sz w:val="21"/>
        </w:rPr>
        <w:t> </w:t>
      </w:r>
      <w:r>
        <w:rPr>
          <w:color w:val="0F0F0F"/>
          <w:w w:val="105"/>
          <w:sz w:val="21"/>
        </w:rPr>
        <w:t>year.</w:t>
      </w:r>
    </w:p>
    <w:p>
      <w:pPr>
        <w:pStyle w:val="BodyText"/>
        <w:spacing w:before="15"/>
        <w:rPr>
          <w:sz w:val="21"/>
        </w:rPr>
      </w:pPr>
    </w:p>
    <w:p>
      <w:pPr>
        <w:spacing w:before="0" w:line="252" w:lineRule="auto"/>
        <w:ind w:left="345" w:right="1487" w:firstLine="7"/>
        <w:jc w:val="left"/>
        <w:rPr>
          <w:sz w:val="21"/>
        </w:rPr>
      </w:pPr>
      <w:r>
        <w:rPr>
          <w:color w:val="0F0F0F"/>
          <w:w w:val="105"/>
          <w:sz w:val="21"/>
        </w:rPr>
        <w:t>For a defined benefit scheme, an event that reduces the expected years of future service of present employees or reduces for a number of employees the </w:t>
      </w:r>
      <w:r>
        <w:rPr>
          <w:color w:val="282828"/>
          <w:w w:val="105"/>
          <w:sz w:val="21"/>
        </w:rPr>
        <w:t>accrual </w:t>
      </w:r>
      <w:r>
        <w:rPr>
          <w:color w:val="0F0F0F"/>
          <w:w w:val="105"/>
          <w:sz w:val="21"/>
        </w:rPr>
        <w:t>of defined benefits</w:t>
      </w:r>
      <w:r>
        <w:rPr>
          <w:color w:val="0F0F0F"/>
          <w:spacing w:val="-3"/>
          <w:w w:val="105"/>
          <w:sz w:val="21"/>
        </w:rPr>
        <w:t> </w:t>
      </w:r>
      <w:r>
        <w:rPr>
          <w:color w:val="0F0F0F"/>
          <w:w w:val="105"/>
          <w:sz w:val="21"/>
        </w:rPr>
        <w:t>for</w:t>
      </w:r>
      <w:r>
        <w:rPr>
          <w:color w:val="0F0F0F"/>
          <w:spacing w:val="-6"/>
          <w:w w:val="105"/>
          <w:sz w:val="21"/>
        </w:rPr>
        <w:t> </w:t>
      </w:r>
      <w:r>
        <w:rPr>
          <w:color w:val="0F0F0F"/>
          <w:w w:val="105"/>
          <w:sz w:val="21"/>
        </w:rPr>
        <w:t>some or</w:t>
      </w:r>
      <w:r>
        <w:rPr>
          <w:color w:val="0F0F0F"/>
          <w:spacing w:val="-4"/>
          <w:w w:val="105"/>
          <w:sz w:val="21"/>
        </w:rPr>
        <w:t> </w:t>
      </w:r>
      <w:r>
        <w:rPr>
          <w:color w:val="0F0F0F"/>
          <w:w w:val="105"/>
          <w:sz w:val="21"/>
        </w:rPr>
        <w:t>all</w:t>
      </w:r>
      <w:r>
        <w:rPr>
          <w:color w:val="0F0F0F"/>
          <w:spacing w:val="-7"/>
          <w:w w:val="105"/>
          <w:sz w:val="21"/>
        </w:rPr>
        <w:t> </w:t>
      </w:r>
      <w:r>
        <w:rPr>
          <w:color w:val="0F0F0F"/>
          <w:w w:val="105"/>
          <w:sz w:val="21"/>
        </w:rPr>
        <w:t>of</w:t>
      </w:r>
      <w:r>
        <w:rPr>
          <w:color w:val="0F0F0F"/>
          <w:spacing w:val="-10"/>
          <w:w w:val="105"/>
          <w:sz w:val="21"/>
        </w:rPr>
        <w:t> </w:t>
      </w:r>
      <w:r>
        <w:rPr>
          <w:color w:val="0F0F0F"/>
          <w:w w:val="105"/>
          <w:sz w:val="21"/>
        </w:rPr>
        <w:t>their</w:t>
      </w:r>
      <w:r>
        <w:rPr>
          <w:color w:val="0F0F0F"/>
          <w:spacing w:val="-3"/>
          <w:w w:val="105"/>
          <w:sz w:val="21"/>
        </w:rPr>
        <w:t> </w:t>
      </w:r>
      <w:r>
        <w:rPr>
          <w:color w:val="0F0F0F"/>
          <w:w w:val="105"/>
          <w:sz w:val="21"/>
        </w:rPr>
        <w:t>future</w:t>
      </w:r>
      <w:r>
        <w:rPr>
          <w:color w:val="0F0F0F"/>
          <w:spacing w:val="-1"/>
          <w:w w:val="105"/>
          <w:sz w:val="21"/>
        </w:rPr>
        <w:t> </w:t>
      </w:r>
      <w:r>
        <w:rPr>
          <w:color w:val="0F0F0F"/>
          <w:w w:val="105"/>
          <w:sz w:val="21"/>
        </w:rPr>
        <w:t>service. Curtailments include:</w:t>
      </w:r>
    </w:p>
    <w:p>
      <w:pPr>
        <w:pStyle w:val="BodyText"/>
        <w:spacing w:before="16"/>
        <w:rPr>
          <w:sz w:val="21"/>
        </w:rPr>
      </w:pPr>
    </w:p>
    <w:p>
      <w:pPr>
        <w:pStyle w:val="ListParagraph"/>
        <w:numPr>
          <w:ilvl w:val="0"/>
          <w:numId w:val="36"/>
        </w:numPr>
        <w:tabs>
          <w:tab w:val="left" w:leader="none" w:pos="1426"/>
          <w:tab w:val="left" w:leader="none" w:pos="1438"/>
        </w:tabs>
        <w:spacing w:before="0" w:after="0" w:line="252" w:lineRule="auto"/>
        <w:ind w:left="1426" w:right="1519" w:hanging="716"/>
        <w:jc w:val="left"/>
        <w:rPr>
          <w:color w:val="0F0F0F"/>
          <w:sz w:val="21"/>
        </w:rPr>
      </w:pPr>
      <w:r>
        <w:rPr>
          <w:color w:val="0F0F0F"/>
          <w:sz w:val="21"/>
        </w:rPr>
        <w:tab/>
      </w:r>
      <w:r>
        <w:rPr>
          <w:color w:val="0F0F0F"/>
          <w:w w:val="105"/>
          <w:sz w:val="21"/>
        </w:rPr>
        <w:t>Termination of employees' services</w:t>
      </w:r>
      <w:r>
        <w:rPr>
          <w:color w:val="0F0F0F"/>
          <w:spacing w:val="-1"/>
          <w:w w:val="105"/>
          <w:sz w:val="21"/>
        </w:rPr>
        <w:t> </w:t>
      </w:r>
      <w:r>
        <w:rPr>
          <w:color w:val="0F0F0F"/>
          <w:w w:val="105"/>
          <w:sz w:val="21"/>
        </w:rPr>
        <w:t>earlier</w:t>
      </w:r>
      <w:r>
        <w:rPr>
          <w:color w:val="0F0F0F"/>
          <w:spacing w:val="-8"/>
          <w:w w:val="105"/>
          <w:sz w:val="21"/>
        </w:rPr>
        <w:t> </w:t>
      </w:r>
      <w:r>
        <w:rPr>
          <w:color w:val="0F0F0F"/>
          <w:w w:val="105"/>
          <w:sz w:val="21"/>
        </w:rPr>
        <w:t>than</w:t>
      </w:r>
      <w:r>
        <w:rPr>
          <w:color w:val="0F0F0F"/>
          <w:spacing w:val="-7"/>
          <w:w w:val="105"/>
          <w:sz w:val="21"/>
        </w:rPr>
        <w:t> </w:t>
      </w:r>
      <w:r>
        <w:rPr>
          <w:color w:val="0F0F0F"/>
          <w:w w:val="105"/>
          <w:sz w:val="21"/>
        </w:rPr>
        <w:t>expected,</w:t>
      </w:r>
      <w:r>
        <w:rPr>
          <w:color w:val="0F0F0F"/>
          <w:spacing w:val="-6"/>
          <w:w w:val="105"/>
          <w:sz w:val="21"/>
        </w:rPr>
        <w:t> </w:t>
      </w:r>
      <w:r>
        <w:rPr>
          <w:color w:val="0F0F0F"/>
          <w:w w:val="105"/>
          <w:sz w:val="21"/>
        </w:rPr>
        <w:t>for example as a result of closing a factory or discontinuing a</w:t>
      </w:r>
      <w:r>
        <w:rPr>
          <w:color w:val="0F0F0F"/>
          <w:spacing w:val="40"/>
          <w:w w:val="105"/>
          <w:sz w:val="21"/>
        </w:rPr>
        <w:t> </w:t>
      </w:r>
      <w:r>
        <w:rPr>
          <w:color w:val="0F0F0F"/>
          <w:w w:val="105"/>
          <w:sz w:val="21"/>
        </w:rPr>
        <w:t>segment of a business.</w:t>
      </w:r>
    </w:p>
    <w:p>
      <w:pPr>
        <w:pStyle w:val="BodyText"/>
        <w:spacing w:before="14"/>
        <w:rPr>
          <w:sz w:val="21"/>
        </w:rPr>
      </w:pPr>
    </w:p>
    <w:p>
      <w:pPr>
        <w:pStyle w:val="ListParagraph"/>
        <w:numPr>
          <w:ilvl w:val="0"/>
          <w:numId w:val="36"/>
        </w:numPr>
        <w:tabs>
          <w:tab w:val="left" w:leader="none" w:pos="1415"/>
          <w:tab w:val="left" w:leader="none" w:pos="1423"/>
        </w:tabs>
        <w:spacing w:before="0" w:after="0" w:line="252" w:lineRule="auto"/>
        <w:ind w:left="1415" w:right="1578" w:hanging="715"/>
        <w:jc w:val="left"/>
        <w:rPr>
          <w:color w:val="0F0F0F"/>
          <w:sz w:val="21"/>
        </w:rPr>
      </w:pPr>
      <w:r>
        <w:rPr>
          <w:color w:val="0F0F0F"/>
          <w:sz w:val="21"/>
        </w:rPr>
        <w:tab/>
      </w:r>
      <w:r>
        <w:rPr>
          <w:color w:val="0F0F0F"/>
          <w:w w:val="105"/>
          <w:sz w:val="21"/>
        </w:rPr>
        <w:t>Termination of, or amendment to the terms of, a defined benefit scheme so</w:t>
      </w:r>
      <w:r>
        <w:rPr>
          <w:color w:val="0F0F0F"/>
          <w:spacing w:val="-10"/>
          <w:w w:val="105"/>
          <w:sz w:val="21"/>
        </w:rPr>
        <w:t> </w:t>
      </w:r>
      <w:r>
        <w:rPr>
          <w:color w:val="0F0F0F"/>
          <w:w w:val="105"/>
          <w:sz w:val="21"/>
        </w:rPr>
        <w:t>that some or</w:t>
      </w:r>
      <w:r>
        <w:rPr>
          <w:color w:val="0F0F0F"/>
          <w:spacing w:val="-5"/>
          <w:w w:val="105"/>
          <w:sz w:val="21"/>
        </w:rPr>
        <w:t> </w:t>
      </w:r>
      <w:r>
        <w:rPr>
          <w:color w:val="0F0F0F"/>
          <w:w w:val="105"/>
          <w:sz w:val="21"/>
        </w:rPr>
        <w:t>all</w:t>
      </w:r>
      <w:r>
        <w:rPr>
          <w:color w:val="0F0F0F"/>
          <w:spacing w:val="-13"/>
          <w:w w:val="105"/>
          <w:sz w:val="21"/>
        </w:rPr>
        <w:t> </w:t>
      </w:r>
      <w:r>
        <w:rPr>
          <w:color w:val="0F0F0F"/>
          <w:w w:val="105"/>
          <w:sz w:val="21"/>
        </w:rPr>
        <w:t>future service by</w:t>
      </w:r>
      <w:r>
        <w:rPr>
          <w:color w:val="0F0F0F"/>
          <w:spacing w:val="-3"/>
          <w:w w:val="105"/>
          <w:sz w:val="21"/>
        </w:rPr>
        <w:t> </w:t>
      </w:r>
      <w:r>
        <w:rPr>
          <w:color w:val="0F0F0F"/>
          <w:w w:val="105"/>
          <w:sz w:val="21"/>
        </w:rPr>
        <w:t>current employees</w:t>
      </w:r>
      <w:r>
        <w:rPr>
          <w:color w:val="0F0F0F"/>
          <w:spacing w:val="40"/>
          <w:w w:val="105"/>
          <w:sz w:val="21"/>
        </w:rPr>
        <w:t> </w:t>
      </w:r>
      <w:r>
        <w:rPr>
          <w:color w:val="0F0F0F"/>
          <w:w w:val="105"/>
          <w:sz w:val="21"/>
        </w:rPr>
        <w:t>no longer qualifies or only qualifies for</w:t>
      </w:r>
      <w:r>
        <w:rPr>
          <w:color w:val="0F0F0F"/>
          <w:spacing w:val="40"/>
          <w:w w:val="105"/>
          <w:sz w:val="21"/>
        </w:rPr>
        <w:t> </w:t>
      </w:r>
      <w:r>
        <w:rPr>
          <w:color w:val="0F0F0F"/>
          <w:w w:val="105"/>
          <w:sz w:val="21"/>
        </w:rPr>
        <w:t>a reduced benefit.</w:t>
      </w:r>
    </w:p>
    <w:p>
      <w:pPr>
        <w:pStyle w:val="BodyText"/>
        <w:spacing w:before="10"/>
        <w:rPr>
          <w:sz w:val="21"/>
        </w:rPr>
      </w:pPr>
    </w:p>
    <w:p>
      <w:pPr>
        <w:spacing w:before="0" w:line="252" w:lineRule="auto"/>
        <w:ind w:left="313" w:right="1541" w:firstLine="4"/>
        <w:jc w:val="left"/>
        <w:rPr>
          <w:sz w:val="21"/>
        </w:rPr>
      </w:pPr>
      <w:r>
        <w:rPr>
          <w:color w:val="0F0F0F"/>
          <w:w w:val="105"/>
          <w:sz w:val="21"/>
        </w:rPr>
        <w:t>Sums of</w:t>
      </w:r>
      <w:r>
        <w:rPr>
          <w:color w:val="0F0F0F"/>
          <w:spacing w:val="-7"/>
          <w:w w:val="105"/>
          <w:sz w:val="21"/>
        </w:rPr>
        <w:t> </w:t>
      </w:r>
      <w:r>
        <w:rPr>
          <w:color w:val="0F0F0F"/>
          <w:w w:val="105"/>
          <w:sz w:val="21"/>
        </w:rPr>
        <w:t>money due</w:t>
      </w:r>
      <w:r>
        <w:rPr>
          <w:color w:val="0F0F0F"/>
          <w:spacing w:val="-10"/>
          <w:w w:val="105"/>
          <w:sz w:val="21"/>
        </w:rPr>
        <w:t> </w:t>
      </w:r>
      <w:r>
        <w:rPr>
          <w:color w:val="0F0F0F"/>
          <w:w w:val="105"/>
          <w:sz w:val="21"/>
        </w:rPr>
        <w:t>to</w:t>
      </w:r>
      <w:r>
        <w:rPr>
          <w:color w:val="0F0F0F"/>
          <w:spacing w:val="-11"/>
          <w:w w:val="105"/>
          <w:sz w:val="21"/>
        </w:rPr>
        <w:t> </w:t>
      </w:r>
      <w:r>
        <w:rPr>
          <w:color w:val="0F0F0F"/>
          <w:w w:val="105"/>
          <w:sz w:val="21"/>
        </w:rPr>
        <w:t>the</w:t>
      </w:r>
      <w:r>
        <w:rPr>
          <w:color w:val="0F0F0F"/>
          <w:spacing w:val="-2"/>
          <w:w w:val="105"/>
          <w:sz w:val="21"/>
        </w:rPr>
        <w:t> </w:t>
      </w:r>
      <w:r>
        <w:rPr>
          <w:color w:val="0F0F0F"/>
          <w:w w:val="105"/>
          <w:sz w:val="21"/>
        </w:rPr>
        <w:t>Council but</w:t>
      </w:r>
      <w:r>
        <w:rPr>
          <w:color w:val="0F0F0F"/>
          <w:spacing w:val="-5"/>
          <w:w w:val="105"/>
          <w:sz w:val="21"/>
        </w:rPr>
        <w:t> </w:t>
      </w:r>
      <w:r>
        <w:rPr>
          <w:color w:val="0F0F0F"/>
          <w:w w:val="105"/>
          <w:sz w:val="21"/>
        </w:rPr>
        <w:t>not received at the Balance Sheet date.</w:t>
      </w:r>
    </w:p>
    <w:p>
      <w:pPr>
        <w:spacing w:after="0" w:line="252" w:lineRule="auto"/>
        <w:jc w:val="left"/>
        <w:rPr>
          <w:sz w:val="21"/>
        </w:rPr>
        <w:sectPr>
          <w:type w:val="continuous"/>
          <w:pgSz w:w="11910" w:h="16830"/>
          <w:pgMar w:top="1940" w:right="540" w:bottom="280" w:left="440" w:header="0" w:footer="0"/>
          <w:cols w:equalWidth="0" w:num="2">
            <w:col w:w="2625" w:space="2031"/>
            <w:col w:w="6274"/>
          </w:cols>
        </w:sectPr>
      </w:pPr>
    </w:p>
    <w:p>
      <w:pPr>
        <w:pStyle w:val="BodyText"/>
        <w:spacing w:before="10"/>
        <w:rPr>
          <w:sz w:val="12"/>
        </w:rPr>
      </w:pPr>
    </w:p>
    <w:p>
      <w:pPr>
        <w:spacing w:after="0"/>
        <w:rPr>
          <w:sz w:val="12"/>
        </w:rPr>
        <w:sectPr>
          <w:headerReference w:type="default" r:id="rId332"/>
          <w:footerReference w:type="default" r:id="rId333"/>
          <w:footerReference w:type="even" r:id="rId334"/>
          <w:pgSz w:w="11910" w:h="16830"/>
          <w:pgMar w:top="900" w:right="540" w:bottom="1360" w:left="440" w:header="702" w:footer="1165"/>
          <w:pgNumType w:start="151"/>
        </w:sectPr>
      </w:pPr>
    </w:p>
    <w:p>
      <w:pPr>
        <w:spacing w:before="94" w:line="252" w:lineRule="auto"/>
        <w:ind w:left="256" w:right="603" w:firstLine="1924"/>
        <w:jc w:val="left"/>
        <w:rPr>
          <w:b/>
          <w:sz w:val="21"/>
        </w:rPr>
      </w:pPr>
      <w:r>
        <w:rPr>
          <w:b/>
          <w:color w:val="0E0E0E"/>
          <w:spacing w:val="-4"/>
          <w:w w:val="105"/>
          <w:sz w:val="21"/>
        </w:rPr>
        <w:t>Term </w:t>
      </w:r>
      <w:r>
        <w:rPr>
          <w:b/>
          <w:color w:val="0E0E0E"/>
          <w:w w:val="105"/>
          <w:sz w:val="21"/>
        </w:rPr>
        <w:t>Defined</w:t>
      </w:r>
      <w:r>
        <w:rPr>
          <w:b/>
          <w:color w:val="0E0E0E"/>
          <w:spacing w:val="-12"/>
          <w:w w:val="105"/>
          <w:sz w:val="21"/>
        </w:rPr>
        <w:t> </w:t>
      </w:r>
      <w:r>
        <w:rPr>
          <w:b/>
          <w:color w:val="0E0E0E"/>
          <w:w w:val="105"/>
          <w:sz w:val="21"/>
        </w:rPr>
        <w:t>Benefit</w:t>
      </w:r>
      <w:r>
        <w:rPr>
          <w:b/>
          <w:color w:val="0E0E0E"/>
          <w:spacing w:val="-4"/>
          <w:w w:val="105"/>
          <w:sz w:val="21"/>
        </w:rPr>
        <w:t> </w:t>
      </w:r>
      <w:r>
        <w:rPr>
          <w:b/>
          <w:color w:val="0E0E0E"/>
          <w:spacing w:val="-2"/>
          <w:w w:val="105"/>
          <w:sz w:val="21"/>
        </w:rPr>
        <w:t>Scheme</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54"/>
        <w:rPr>
          <w:b/>
          <w:sz w:val="21"/>
        </w:rPr>
      </w:pPr>
    </w:p>
    <w:p>
      <w:pPr>
        <w:spacing w:before="0"/>
        <w:ind w:left="256" w:right="0" w:firstLine="0"/>
        <w:jc w:val="left"/>
        <w:rPr>
          <w:b/>
          <w:sz w:val="21"/>
        </w:rPr>
      </w:pPr>
      <w:r>
        <w:rPr>
          <w:b/>
          <w:color w:val="0E0E0E"/>
          <w:spacing w:val="-2"/>
          <w:w w:val="105"/>
          <w:sz w:val="21"/>
        </w:rPr>
        <w:t>Defined</w:t>
      </w:r>
      <w:r>
        <w:rPr>
          <w:b/>
          <w:color w:val="0E0E0E"/>
          <w:spacing w:val="-3"/>
          <w:w w:val="105"/>
          <w:sz w:val="21"/>
        </w:rPr>
        <w:t> </w:t>
      </w:r>
      <w:r>
        <w:rPr>
          <w:b/>
          <w:color w:val="0E0E0E"/>
          <w:spacing w:val="-2"/>
          <w:w w:val="105"/>
          <w:sz w:val="21"/>
        </w:rPr>
        <w:t>Contribution</w:t>
      </w:r>
      <w:r>
        <w:rPr>
          <w:b/>
          <w:color w:val="0E0E0E"/>
          <w:spacing w:val="17"/>
          <w:w w:val="105"/>
          <w:sz w:val="21"/>
        </w:rPr>
        <w:t> </w:t>
      </w:r>
      <w:r>
        <w:rPr>
          <w:b/>
          <w:color w:val="0E0E0E"/>
          <w:spacing w:val="-2"/>
          <w:w w:val="105"/>
          <w:sz w:val="21"/>
        </w:rPr>
        <w:t>Scheme</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74"/>
        <w:rPr>
          <w:b/>
          <w:sz w:val="21"/>
        </w:rPr>
      </w:pPr>
    </w:p>
    <w:p>
      <w:pPr>
        <w:spacing w:before="0"/>
        <w:ind w:left="260" w:right="0" w:firstLine="0"/>
        <w:jc w:val="left"/>
        <w:rPr>
          <w:b/>
          <w:sz w:val="21"/>
        </w:rPr>
      </w:pPr>
      <w:r>
        <w:rPr>
          <w:b/>
          <w:color w:val="0E0E0E"/>
          <w:spacing w:val="-2"/>
          <w:w w:val="105"/>
          <w:sz w:val="21"/>
        </w:rPr>
        <w:t>Depreciation</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31"/>
        <w:rPr>
          <w:b/>
          <w:sz w:val="21"/>
        </w:rPr>
      </w:pPr>
    </w:p>
    <w:p>
      <w:pPr>
        <w:spacing w:before="0"/>
        <w:ind w:left="256" w:right="0" w:firstLine="0"/>
        <w:jc w:val="left"/>
        <w:rPr>
          <w:b/>
          <w:sz w:val="21"/>
        </w:rPr>
      </w:pPr>
      <w:r>
        <w:rPr>
          <w:b/>
          <w:color w:val="0E0E0E"/>
          <w:sz w:val="21"/>
        </w:rPr>
        <w:t>Discretionary</w:t>
      </w:r>
      <w:r>
        <w:rPr>
          <w:b/>
          <w:color w:val="0E0E0E"/>
          <w:spacing w:val="46"/>
          <w:sz w:val="21"/>
        </w:rPr>
        <w:t> </w:t>
      </w:r>
      <w:r>
        <w:rPr>
          <w:b/>
          <w:color w:val="0E0E0E"/>
          <w:spacing w:val="-2"/>
          <w:sz w:val="21"/>
        </w:rPr>
        <w:t>Benefits</w:t>
      </w:r>
    </w:p>
    <w:p>
      <w:pPr>
        <w:pStyle w:val="BodyText"/>
        <w:rPr>
          <w:b/>
          <w:sz w:val="21"/>
        </w:rPr>
      </w:pPr>
    </w:p>
    <w:p>
      <w:pPr>
        <w:pStyle w:val="BodyText"/>
        <w:rPr>
          <w:b/>
          <w:sz w:val="21"/>
        </w:rPr>
      </w:pPr>
    </w:p>
    <w:p>
      <w:pPr>
        <w:pStyle w:val="BodyText"/>
        <w:rPr>
          <w:b/>
          <w:sz w:val="21"/>
        </w:rPr>
      </w:pPr>
    </w:p>
    <w:p>
      <w:pPr>
        <w:pStyle w:val="BodyText"/>
        <w:spacing w:before="61"/>
        <w:rPr>
          <w:b/>
          <w:sz w:val="21"/>
        </w:rPr>
      </w:pPr>
    </w:p>
    <w:p>
      <w:pPr>
        <w:spacing w:before="0"/>
        <w:ind w:left="256" w:right="0" w:firstLine="0"/>
        <w:jc w:val="left"/>
        <w:rPr>
          <w:b/>
          <w:sz w:val="21"/>
        </w:rPr>
      </w:pPr>
      <w:r>
        <w:rPr>
          <w:b/>
          <w:color w:val="0E0E0E"/>
          <w:spacing w:val="-2"/>
          <w:w w:val="105"/>
          <w:sz w:val="21"/>
        </w:rPr>
        <w:t>DLUHC</w:t>
      </w:r>
    </w:p>
    <w:p>
      <w:pPr>
        <w:pStyle w:val="BodyText"/>
        <w:rPr>
          <w:b/>
          <w:sz w:val="21"/>
        </w:rPr>
      </w:pPr>
    </w:p>
    <w:p>
      <w:pPr>
        <w:pStyle w:val="BodyText"/>
        <w:spacing w:before="35"/>
        <w:rPr>
          <w:b/>
          <w:sz w:val="21"/>
        </w:rPr>
      </w:pPr>
    </w:p>
    <w:p>
      <w:pPr>
        <w:spacing w:before="0"/>
        <w:ind w:left="256" w:right="0" w:firstLine="0"/>
        <w:jc w:val="left"/>
        <w:rPr>
          <w:b/>
          <w:sz w:val="21"/>
        </w:rPr>
      </w:pPr>
      <w:r>
        <w:rPr>
          <w:b/>
          <w:color w:val="0E0E0E"/>
          <w:w w:val="105"/>
          <w:sz w:val="21"/>
        </w:rPr>
        <w:t>Effective</w:t>
      </w:r>
      <w:r>
        <w:rPr>
          <w:b/>
          <w:color w:val="0E0E0E"/>
          <w:spacing w:val="-9"/>
          <w:w w:val="105"/>
          <w:sz w:val="21"/>
        </w:rPr>
        <w:t> </w:t>
      </w:r>
      <w:r>
        <w:rPr>
          <w:b/>
          <w:color w:val="0E0E0E"/>
          <w:w w:val="105"/>
          <w:sz w:val="21"/>
        </w:rPr>
        <w:t>interest</w:t>
      </w:r>
      <w:r>
        <w:rPr>
          <w:b/>
          <w:color w:val="0E0E0E"/>
          <w:spacing w:val="-7"/>
          <w:w w:val="105"/>
          <w:sz w:val="21"/>
        </w:rPr>
        <w:t> </w:t>
      </w:r>
      <w:r>
        <w:rPr>
          <w:b/>
          <w:color w:val="0E0E0E"/>
          <w:spacing w:val="-2"/>
          <w:w w:val="105"/>
          <w:sz w:val="21"/>
        </w:rPr>
        <w:t>method</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74"/>
        <w:rPr>
          <w:b/>
          <w:sz w:val="21"/>
        </w:rPr>
      </w:pPr>
    </w:p>
    <w:p>
      <w:pPr>
        <w:spacing w:before="1"/>
        <w:ind w:left="256" w:right="0" w:firstLine="0"/>
        <w:jc w:val="left"/>
        <w:rPr>
          <w:b/>
          <w:sz w:val="21"/>
        </w:rPr>
      </w:pPr>
      <w:r>
        <w:rPr>
          <w:b/>
          <w:color w:val="0E0E0E"/>
          <w:w w:val="105"/>
          <w:sz w:val="21"/>
        </w:rPr>
        <w:t>Effective</w:t>
      </w:r>
      <w:r>
        <w:rPr>
          <w:b/>
          <w:color w:val="0E0E0E"/>
          <w:spacing w:val="-3"/>
          <w:w w:val="105"/>
          <w:sz w:val="21"/>
        </w:rPr>
        <w:t> </w:t>
      </w:r>
      <w:r>
        <w:rPr>
          <w:b/>
          <w:color w:val="0E0E0E"/>
          <w:w w:val="105"/>
          <w:sz w:val="21"/>
        </w:rPr>
        <w:t>interest</w:t>
      </w:r>
      <w:r>
        <w:rPr>
          <w:b/>
          <w:color w:val="0E0E0E"/>
          <w:spacing w:val="-14"/>
          <w:w w:val="105"/>
          <w:sz w:val="21"/>
        </w:rPr>
        <w:t> </w:t>
      </w:r>
      <w:r>
        <w:rPr>
          <w:b/>
          <w:color w:val="0E0E0E"/>
          <w:spacing w:val="-4"/>
          <w:w w:val="105"/>
          <w:sz w:val="21"/>
        </w:rPr>
        <w:t>rate</w:t>
      </w:r>
    </w:p>
    <w:p>
      <w:pPr>
        <w:spacing w:before="99"/>
        <w:ind w:left="1942" w:right="0" w:firstLine="0"/>
        <w:jc w:val="left"/>
        <w:rPr>
          <w:b/>
          <w:sz w:val="21"/>
        </w:rPr>
      </w:pPr>
      <w:r>
        <w:rPr/>
        <w:br w:type="column"/>
      </w:r>
      <w:r>
        <w:rPr>
          <w:b/>
          <w:color w:val="0E0E0E"/>
          <w:spacing w:val="-2"/>
          <w:w w:val="105"/>
          <w:sz w:val="21"/>
        </w:rPr>
        <w:t>Definition</w:t>
      </w:r>
    </w:p>
    <w:p>
      <w:pPr>
        <w:spacing w:before="13" w:line="249" w:lineRule="auto"/>
        <w:ind w:left="256" w:right="1750" w:hanging="1"/>
        <w:jc w:val="left"/>
        <w:rPr>
          <w:sz w:val="21"/>
        </w:rPr>
      </w:pPr>
      <w:r>
        <w:rPr>
          <w:color w:val="0E0E0E"/>
          <w:w w:val="105"/>
          <w:sz w:val="21"/>
        </w:rPr>
        <w:t>A</w:t>
      </w:r>
      <w:r>
        <w:rPr>
          <w:color w:val="0E0E0E"/>
          <w:spacing w:val="-9"/>
          <w:w w:val="105"/>
          <w:sz w:val="21"/>
        </w:rPr>
        <w:t> </w:t>
      </w:r>
      <w:r>
        <w:rPr>
          <w:color w:val="0E0E0E"/>
          <w:w w:val="105"/>
          <w:sz w:val="21"/>
        </w:rPr>
        <w:t>pension</w:t>
      </w:r>
      <w:r>
        <w:rPr>
          <w:color w:val="0E0E0E"/>
          <w:spacing w:val="-2"/>
          <w:w w:val="105"/>
          <w:sz w:val="21"/>
        </w:rPr>
        <w:t> </w:t>
      </w:r>
      <w:r>
        <w:rPr>
          <w:color w:val="0E0E0E"/>
          <w:w w:val="105"/>
          <w:sz w:val="21"/>
        </w:rPr>
        <w:t>scheme</w:t>
      </w:r>
      <w:r>
        <w:rPr>
          <w:color w:val="0E0E0E"/>
          <w:spacing w:val="-1"/>
          <w:w w:val="105"/>
          <w:sz w:val="21"/>
        </w:rPr>
        <w:t> </w:t>
      </w:r>
      <w:r>
        <w:rPr>
          <w:color w:val="0E0E0E"/>
          <w:w w:val="105"/>
          <w:sz w:val="21"/>
        </w:rPr>
        <w:t>where</w:t>
      </w:r>
      <w:r>
        <w:rPr>
          <w:color w:val="0E0E0E"/>
          <w:spacing w:val="-4"/>
          <w:w w:val="105"/>
          <w:sz w:val="21"/>
        </w:rPr>
        <w:t> </w:t>
      </w:r>
      <w:r>
        <w:rPr>
          <w:color w:val="0E0E0E"/>
          <w:w w:val="105"/>
          <w:sz w:val="21"/>
        </w:rPr>
        <w:t>the</w:t>
      </w:r>
      <w:r>
        <w:rPr>
          <w:color w:val="0E0E0E"/>
          <w:spacing w:val="-12"/>
          <w:w w:val="105"/>
          <w:sz w:val="21"/>
        </w:rPr>
        <w:t> </w:t>
      </w:r>
      <w:r>
        <w:rPr>
          <w:color w:val="0E0E0E"/>
          <w:w w:val="105"/>
          <w:sz w:val="21"/>
        </w:rPr>
        <w:t>future</w:t>
      </w:r>
      <w:r>
        <w:rPr>
          <w:color w:val="0E0E0E"/>
          <w:spacing w:val="-9"/>
          <w:w w:val="105"/>
          <w:sz w:val="21"/>
        </w:rPr>
        <w:t> </w:t>
      </w:r>
      <w:r>
        <w:rPr>
          <w:color w:val="0E0E0E"/>
          <w:w w:val="105"/>
          <w:sz w:val="21"/>
        </w:rPr>
        <w:t>benefits receivable by pensioners are guaranteed and sufficient contributions have to be paid into</w:t>
      </w:r>
      <w:r>
        <w:rPr>
          <w:color w:val="0E0E0E"/>
          <w:spacing w:val="-13"/>
          <w:w w:val="105"/>
          <w:sz w:val="21"/>
        </w:rPr>
        <w:t> </w:t>
      </w:r>
      <w:r>
        <w:rPr>
          <w:color w:val="0E0E0E"/>
          <w:w w:val="105"/>
          <w:sz w:val="21"/>
        </w:rPr>
        <w:t>the</w:t>
      </w:r>
      <w:r>
        <w:rPr>
          <w:color w:val="0E0E0E"/>
          <w:spacing w:val="-6"/>
          <w:w w:val="105"/>
          <w:sz w:val="21"/>
        </w:rPr>
        <w:t> </w:t>
      </w:r>
      <w:r>
        <w:rPr>
          <w:color w:val="0E0E0E"/>
          <w:w w:val="105"/>
          <w:sz w:val="21"/>
        </w:rPr>
        <w:t>fund</w:t>
      </w:r>
      <w:r>
        <w:rPr>
          <w:color w:val="0E0E0E"/>
          <w:spacing w:val="-16"/>
          <w:w w:val="105"/>
          <w:sz w:val="21"/>
        </w:rPr>
        <w:t> </w:t>
      </w:r>
      <w:r>
        <w:rPr>
          <w:color w:val="0E0E0E"/>
          <w:w w:val="105"/>
          <w:sz w:val="21"/>
        </w:rPr>
        <w:t>to ensure</w:t>
      </w:r>
      <w:r>
        <w:rPr>
          <w:color w:val="0E0E0E"/>
          <w:spacing w:val="-10"/>
          <w:w w:val="105"/>
          <w:sz w:val="21"/>
        </w:rPr>
        <w:t> </w:t>
      </w:r>
      <w:r>
        <w:rPr>
          <w:color w:val="0E0E0E"/>
          <w:w w:val="105"/>
          <w:sz w:val="21"/>
        </w:rPr>
        <w:t>that</w:t>
      </w:r>
      <w:r>
        <w:rPr>
          <w:color w:val="0E0E0E"/>
          <w:spacing w:val="-3"/>
          <w:w w:val="105"/>
          <w:sz w:val="21"/>
        </w:rPr>
        <w:t> </w:t>
      </w:r>
      <w:r>
        <w:rPr>
          <w:color w:val="0E0E0E"/>
          <w:w w:val="105"/>
          <w:sz w:val="21"/>
        </w:rPr>
        <w:t>payments will</w:t>
      </w:r>
      <w:r>
        <w:rPr>
          <w:color w:val="0E0E0E"/>
          <w:spacing w:val="-9"/>
          <w:w w:val="105"/>
          <w:sz w:val="21"/>
        </w:rPr>
        <w:t> </w:t>
      </w:r>
      <w:r>
        <w:rPr>
          <w:color w:val="0E0E0E"/>
          <w:w w:val="105"/>
          <w:sz w:val="21"/>
        </w:rPr>
        <w:t>be </w:t>
      </w:r>
      <w:r>
        <w:rPr>
          <w:color w:val="0E0E0E"/>
          <w:spacing w:val="-2"/>
          <w:w w:val="105"/>
          <w:sz w:val="21"/>
        </w:rPr>
        <w:t>affordable.</w:t>
      </w:r>
    </w:p>
    <w:p>
      <w:pPr>
        <w:pStyle w:val="BodyText"/>
        <w:spacing w:before="16"/>
        <w:rPr>
          <w:sz w:val="21"/>
        </w:rPr>
      </w:pPr>
    </w:p>
    <w:p>
      <w:pPr>
        <w:spacing w:before="0" w:line="252" w:lineRule="auto"/>
        <w:ind w:left="256" w:right="1750" w:hanging="1"/>
        <w:jc w:val="left"/>
        <w:rPr>
          <w:sz w:val="21"/>
        </w:rPr>
      </w:pPr>
      <w:r>
        <w:rPr>
          <w:color w:val="0E0E0E"/>
          <w:w w:val="105"/>
          <w:sz w:val="21"/>
        </w:rPr>
        <w:t>A</w:t>
      </w:r>
      <w:r>
        <w:rPr>
          <w:color w:val="0E0E0E"/>
          <w:spacing w:val="-16"/>
          <w:w w:val="105"/>
          <w:sz w:val="21"/>
        </w:rPr>
        <w:t> </w:t>
      </w:r>
      <w:r>
        <w:rPr>
          <w:color w:val="0E0E0E"/>
          <w:w w:val="105"/>
          <w:sz w:val="21"/>
        </w:rPr>
        <w:t>pension</w:t>
      </w:r>
      <w:r>
        <w:rPr>
          <w:color w:val="0E0E0E"/>
          <w:spacing w:val="-14"/>
          <w:w w:val="105"/>
          <w:sz w:val="21"/>
        </w:rPr>
        <w:t> </w:t>
      </w:r>
      <w:r>
        <w:rPr>
          <w:color w:val="0E0E0E"/>
          <w:w w:val="105"/>
          <w:sz w:val="21"/>
        </w:rPr>
        <w:t>scheme</w:t>
      </w:r>
      <w:r>
        <w:rPr>
          <w:color w:val="0E0E0E"/>
          <w:spacing w:val="-6"/>
          <w:w w:val="105"/>
          <w:sz w:val="21"/>
        </w:rPr>
        <w:t> </w:t>
      </w:r>
      <w:r>
        <w:rPr>
          <w:color w:val="0E0E0E"/>
          <w:w w:val="105"/>
          <w:sz w:val="21"/>
        </w:rPr>
        <w:t>where</w:t>
      </w:r>
      <w:r>
        <w:rPr>
          <w:color w:val="0E0E0E"/>
          <w:spacing w:val="-13"/>
          <w:w w:val="105"/>
          <w:sz w:val="21"/>
        </w:rPr>
        <w:t> </w:t>
      </w:r>
      <w:r>
        <w:rPr>
          <w:color w:val="0E0E0E"/>
          <w:w w:val="105"/>
          <w:sz w:val="21"/>
        </w:rPr>
        <w:t>the</w:t>
      </w:r>
      <w:r>
        <w:rPr>
          <w:color w:val="0E0E0E"/>
          <w:spacing w:val="-16"/>
          <w:w w:val="105"/>
          <w:sz w:val="21"/>
        </w:rPr>
        <w:t> </w:t>
      </w:r>
      <w:r>
        <w:rPr>
          <w:color w:val="0E0E0E"/>
          <w:w w:val="105"/>
          <w:sz w:val="21"/>
        </w:rPr>
        <w:t>contributions payable into the fund are fixed and the benefits receivable by pensioners will depend on the assets that the fund has accumulated to pay them.</w:t>
      </w:r>
    </w:p>
    <w:p>
      <w:pPr>
        <w:pStyle w:val="BodyText"/>
        <w:spacing w:before="19"/>
        <w:rPr>
          <w:sz w:val="21"/>
        </w:rPr>
      </w:pPr>
    </w:p>
    <w:p>
      <w:pPr>
        <w:spacing w:before="0" w:line="249" w:lineRule="auto"/>
        <w:ind w:left="261" w:right="1727" w:hanging="1"/>
        <w:jc w:val="left"/>
        <w:rPr>
          <w:sz w:val="21"/>
        </w:rPr>
      </w:pPr>
      <w:r>
        <w:rPr>
          <w:color w:val="0E0E0E"/>
          <w:w w:val="105"/>
          <w:sz w:val="21"/>
        </w:rPr>
        <w:t>The</w:t>
      </w:r>
      <w:r>
        <w:rPr>
          <w:color w:val="0E0E0E"/>
          <w:spacing w:val="-11"/>
          <w:w w:val="105"/>
          <w:sz w:val="21"/>
        </w:rPr>
        <w:t> </w:t>
      </w:r>
      <w:r>
        <w:rPr>
          <w:color w:val="0E0E0E"/>
          <w:w w:val="105"/>
          <w:sz w:val="21"/>
        </w:rPr>
        <w:t>measure of</w:t>
      </w:r>
      <w:r>
        <w:rPr>
          <w:color w:val="0E0E0E"/>
          <w:spacing w:val="-16"/>
          <w:w w:val="105"/>
          <w:sz w:val="21"/>
        </w:rPr>
        <w:t> </w:t>
      </w:r>
      <w:r>
        <w:rPr>
          <w:color w:val="0E0E0E"/>
          <w:w w:val="105"/>
          <w:sz w:val="21"/>
        </w:rPr>
        <w:t>the</w:t>
      </w:r>
      <w:r>
        <w:rPr>
          <w:color w:val="0E0E0E"/>
          <w:spacing w:val="-11"/>
          <w:w w:val="105"/>
          <w:sz w:val="21"/>
        </w:rPr>
        <w:t> </w:t>
      </w:r>
      <w:r>
        <w:rPr>
          <w:color w:val="0E0E0E"/>
          <w:w w:val="105"/>
          <w:sz w:val="21"/>
        </w:rPr>
        <w:t>cost</w:t>
      </w:r>
      <w:r>
        <w:rPr>
          <w:color w:val="0E0E0E"/>
          <w:spacing w:val="-6"/>
          <w:w w:val="105"/>
          <w:sz w:val="21"/>
        </w:rPr>
        <w:t> </w:t>
      </w:r>
      <w:r>
        <w:rPr>
          <w:color w:val="0E0E0E"/>
          <w:w w:val="105"/>
          <w:sz w:val="21"/>
        </w:rPr>
        <w:t>or</w:t>
      </w:r>
      <w:r>
        <w:rPr>
          <w:color w:val="0E0E0E"/>
          <w:spacing w:val="-12"/>
          <w:w w:val="105"/>
          <w:sz w:val="21"/>
        </w:rPr>
        <w:t> </w:t>
      </w:r>
      <w:r>
        <w:rPr>
          <w:color w:val="0E0E0E"/>
          <w:w w:val="105"/>
          <w:sz w:val="21"/>
        </w:rPr>
        <w:t>revalued</w:t>
      </w:r>
      <w:r>
        <w:rPr>
          <w:color w:val="0E0E0E"/>
          <w:spacing w:val="-3"/>
          <w:w w:val="105"/>
          <w:sz w:val="21"/>
        </w:rPr>
        <w:t> </w:t>
      </w:r>
      <w:r>
        <w:rPr>
          <w:color w:val="0E0E0E"/>
          <w:w w:val="105"/>
          <w:sz w:val="21"/>
        </w:rPr>
        <w:t>amount of the benefit of the non-current</w:t>
      </w:r>
      <w:r>
        <w:rPr>
          <w:color w:val="0E0E0E"/>
          <w:spacing w:val="32"/>
          <w:w w:val="105"/>
          <w:sz w:val="21"/>
        </w:rPr>
        <w:t> </w:t>
      </w:r>
      <w:r>
        <w:rPr>
          <w:color w:val="0E0E0E"/>
          <w:w w:val="105"/>
          <w:sz w:val="21"/>
        </w:rPr>
        <w:t>assets that have been consumed during the period.</w:t>
      </w:r>
    </w:p>
    <w:p>
      <w:pPr>
        <w:spacing w:before="6" w:line="252" w:lineRule="auto"/>
        <w:ind w:left="257" w:right="1670" w:firstLine="2"/>
        <w:jc w:val="left"/>
        <w:rPr>
          <w:sz w:val="21"/>
        </w:rPr>
      </w:pPr>
      <w:r>
        <w:rPr>
          <w:color w:val="0E0E0E"/>
          <w:w w:val="105"/>
          <w:sz w:val="21"/>
        </w:rPr>
        <w:t>Consumption</w:t>
      </w:r>
      <w:r>
        <w:rPr>
          <w:color w:val="0E0E0E"/>
          <w:spacing w:val="-1"/>
          <w:w w:val="105"/>
          <w:sz w:val="21"/>
        </w:rPr>
        <w:t> </w:t>
      </w:r>
      <w:r>
        <w:rPr>
          <w:color w:val="0E0E0E"/>
          <w:w w:val="105"/>
          <w:sz w:val="21"/>
        </w:rPr>
        <w:t>includes</w:t>
      </w:r>
      <w:r>
        <w:rPr>
          <w:color w:val="0E0E0E"/>
          <w:spacing w:val="-10"/>
          <w:w w:val="105"/>
          <w:sz w:val="21"/>
        </w:rPr>
        <w:t> </w:t>
      </w:r>
      <w:r>
        <w:rPr>
          <w:color w:val="0E0E0E"/>
          <w:w w:val="105"/>
          <w:sz w:val="21"/>
        </w:rPr>
        <w:t>the</w:t>
      </w:r>
      <w:r>
        <w:rPr>
          <w:color w:val="0E0E0E"/>
          <w:spacing w:val="-14"/>
          <w:w w:val="105"/>
          <w:sz w:val="21"/>
        </w:rPr>
        <w:t> </w:t>
      </w:r>
      <w:r>
        <w:rPr>
          <w:color w:val="0E0E0E"/>
          <w:w w:val="105"/>
          <w:sz w:val="21"/>
        </w:rPr>
        <w:t>wearing</w:t>
      </w:r>
      <w:r>
        <w:rPr>
          <w:color w:val="0E0E0E"/>
          <w:spacing w:val="-8"/>
          <w:w w:val="105"/>
          <w:sz w:val="21"/>
        </w:rPr>
        <w:t> </w:t>
      </w:r>
      <w:r>
        <w:rPr>
          <w:color w:val="0E0E0E"/>
          <w:w w:val="105"/>
          <w:sz w:val="21"/>
        </w:rPr>
        <w:t>out,</w:t>
      </w:r>
      <w:r>
        <w:rPr>
          <w:color w:val="0E0E0E"/>
          <w:spacing w:val="-12"/>
          <w:w w:val="105"/>
          <w:sz w:val="21"/>
        </w:rPr>
        <w:t> </w:t>
      </w:r>
      <w:r>
        <w:rPr>
          <w:color w:val="0E0E0E"/>
          <w:w w:val="105"/>
          <w:sz w:val="21"/>
        </w:rPr>
        <w:t>using up or other reduction in the useful life of a fixed asset whether arising from use, effluxion of time, obsolescence through</w:t>
      </w:r>
      <w:r>
        <w:rPr>
          <w:color w:val="0E0E0E"/>
          <w:w w:val="105"/>
          <w:sz w:val="21"/>
        </w:rPr>
        <w:t> either changes in technology</w:t>
      </w:r>
      <w:r>
        <w:rPr>
          <w:color w:val="0E0E0E"/>
          <w:spacing w:val="40"/>
          <w:w w:val="105"/>
          <w:sz w:val="21"/>
        </w:rPr>
        <w:t> </w:t>
      </w:r>
      <w:r>
        <w:rPr>
          <w:color w:val="0E0E0E"/>
          <w:w w:val="105"/>
          <w:sz w:val="21"/>
        </w:rPr>
        <w:t>or demand for the goods and services produced by the </w:t>
      </w:r>
      <w:r>
        <w:rPr>
          <w:color w:val="0E0E0E"/>
          <w:spacing w:val="-2"/>
          <w:w w:val="105"/>
          <w:sz w:val="21"/>
        </w:rPr>
        <w:t>asset.</w:t>
      </w:r>
    </w:p>
    <w:p>
      <w:pPr>
        <w:pStyle w:val="BodyText"/>
        <w:spacing w:before="7"/>
        <w:rPr>
          <w:sz w:val="21"/>
        </w:rPr>
      </w:pPr>
    </w:p>
    <w:p>
      <w:pPr>
        <w:spacing w:before="0" w:line="252" w:lineRule="auto"/>
        <w:ind w:left="261" w:right="1750" w:firstLine="1"/>
        <w:jc w:val="left"/>
        <w:rPr>
          <w:sz w:val="21"/>
        </w:rPr>
      </w:pPr>
      <w:r>
        <w:rPr>
          <w:color w:val="0E0E0E"/>
          <w:w w:val="105"/>
          <w:sz w:val="21"/>
        </w:rPr>
        <w:t>Pensions benefits that the Council can choose</w:t>
      </w:r>
      <w:r>
        <w:rPr>
          <w:color w:val="0E0E0E"/>
          <w:spacing w:val="-8"/>
          <w:w w:val="105"/>
          <w:sz w:val="21"/>
        </w:rPr>
        <w:t> </w:t>
      </w:r>
      <w:r>
        <w:rPr>
          <w:color w:val="0E0E0E"/>
          <w:w w:val="105"/>
          <w:sz w:val="21"/>
        </w:rPr>
        <w:t>to</w:t>
      </w:r>
      <w:r>
        <w:rPr>
          <w:color w:val="0E0E0E"/>
          <w:spacing w:val="-15"/>
          <w:w w:val="105"/>
          <w:sz w:val="21"/>
        </w:rPr>
        <w:t> </w:t>
      </w:r>
      <w:r>
        <w:rPr>
          <w:color w:val="0E0E0E"/>
          <w:w w:val="105"/>
          <w:sz w:val="21"/>
        </w:rPr>
        <w:t>award</w:t>
      </w:r>
      <w:r>
        <w:rPr>
          <w:color w:val="0E0E0E"/>
          <w:spacing w:val="-16"/>
          <w:w w:val="105"/>
          <w:sz w:val="21"/>
        </w:rPr>
        <w:t> </w:t>
      </w:r>
      <w:r>
        <w:rPr>
          <w:color w:val="0E0E0E"/>
          <w:w w:val="105"/>
          <w:sz w:val="21"/>
        </w:rPr>
        <w:t>in</w:t>
      </w:r>
      <w:r>
        <w:rPr>
          <w:color w:val="0E0E0E"/>
          <w:spacing w:val="-9"/>
          <w:w w:val="105"/>
          <w:sz w:val="21"/>
        </w:rPr>
        <w:t> </w:t>
      </w:r>
      <w:r>
        <w:rPr>
          <w:color w:val="0E0E0E"/>
          <w:w w:val="105"/>
          <w:sz w:val="21"/>
        </w:rPr>
        <w:t>certain</w:t>
      </w:r>
      <w:r>
        <w:rPr>
          <w:color w:val="0E0E0E"/>
          <w:spacing w:val="-16"/>
          <w:w w:val="105"/>
          <w:sz w:val="21"/>
        </w:rPr>
        <w:t> </w:t>
      </w:r>
      <w:r>
        <w:rPr>
          <w:color w:val="0E0E0E"/>
          <w:w w:val="105"/>
          <w:sz w:val="21"/>
        </w:rPr>
        <w:t>circumstances that employees would not otherwise be entitled to.</w:t>
      </w:r>
    </w:p>
    <w:p>
      <w:pPr>
        <w:pStyle w:val="BodyText"/>
        <w:spacing w:before="13"/>
        <w:rPr>
          <w:sz w:val="21"/>
        </w:rPr>
      </w:pPr>
    </w:p>
    <w:p>
      <w:pPr>
        <w:spacing w:before="0" w:line="252" w:lineRule="auto"/>
        <w:ind w:left="259" w:right="1750" w:firstLine="3"/>
        <w:jc w:val="left"/>
        <w:rPr>
          <w:sz w:val="21"/>
        </w:rPr>
      </w:pPr>
      <w:r>
        <w:rPr>
          <w:color w:val="0E0E0E"/>
          <w:w w:val="105"/>
          <w:sz w:val="21"/>
        </w:rPr>
        <w:t>Department</w:t>
      </w:r>
      <w:r>
        <w:rPr>
          <w:color w:val="0E0E0E"/>
          <w:spacing w:val="-1"/>
          <w:w w:val="105"/>
          <w:sz w:val="21"/>
        </w:rPr>
        <w:t> </w:t>
      </w:r>
      <w:r>
        <w:rPr>
          <w:color w:val="0E0E0E"/>
          <w:w w:val="105"/>
          <w:sz w:val="21"/>
        </w:rPr>
        <w:t>for</w:t>
      </w:r>
      <w:r>
        <w:rPr>
          <w:color w:val="0E0E0E"/>
          <w:spacing w:val="-11"/>
          <w:w w:val="105"/>
          <w:sz w:val="21"/>
        </w:rPr>
        <w:t> </w:t>
      </w:r>
      <w:r>
        <w:rPr>
          <w:color w:val="0E0E0E"/>
          <w:w w:val="105"/>
          <w:sz w:val="21"/>
        </w:rPr>
        <w:t>Levelling</w:t>
      </w:r>
      <w:r>
        <w:rPr>
          <w:color w:val="0E0E0E"/>
          <w:spacing w:val="-8"/>
          <w:w w:val="105"/>
          <w:sz w:val="21"/>
        </w:rPr>
        <w:t> </w:t>
      </w:r>
      <w:r>
        <w:rPr>
          <w:color w:val="0E0E0E"/>
          <w:w w:val="105"/>
          <w:sz w:val="21"/>
        </w:rPr>
        <w:t>Up,</w:t>
      </w:r>
      <w:r>
        <w:rPr>
          <w:color w:val="0E0E0E"/>
          <w:spacing w:val="-5"/>
          <w:w w:val="105"/>
          <w:sz w:val="21"/>
        </w:rPr>
        <w:t> </w:t>
      </w:r>
      <w:r>
        <w:rPr>
          <w:color w:val="0E0E0E"/>
          <w:w w:val="105"/>
          <w:sz w:val="21"/>
        </w:rPr>
        <w:t>Housing</w:t>
      </w:r>
      <w:r>
        <w:rPr>
          <w:color w:val="0E0E0E"/>
          <w:spacing w:val="-8"/>
          <w:w w:val="105"/>
          <w:sz w:val="21"/>
        </w:rPr>
        <w:t> </w:t>
      </w:r>
      <w:r>
        <w:rPr>
          <w:color w:val="0E0E0E"/>
          <w:w w:val="105"/>
          <w:sz w:val="21"/>
        </w:rPr>
        <w:t>&amp; </w:t>
      </w:r>
      <w:r>
        <w:rPr>
          <w:color w:val="0E0E0E"/>
          <w:spacing w:val="-2"/>
          <w:w w:val="105"/>
          <w:sz w:val="21"/>
        </w:rPr>
        <w:t>Communities.</w:t>
      </w:r>
    </w:p>
    <w:p>
      <w:pPr>
        <w:pStyle w:val="BodyText"/>
        <w:spacing w:before="10"/>
        <w:rPr>
          <w:sz w:val="21"/>
        </w:rPr>
      </w:pPr>
    </w:p>
    <w:p>
      <w:pPr>
        <w:spacing w:before="1" w:line="252" w:lineRule="auto"/>
        <w:ind w:left="257" w:right="1624" w:firstLine="3"/>
        <w:jc w:val="left"/>
        <w:rPr>
          <w:sz w:val="21"/>
        </w:rPr>
      </w:pPr>
      <w:r>
        <w:rPr>
          <w:color w:val="0E0E0E"/>
          <w:w w:val="105"/>
          <w:sz w:val="21"/>
        </w:rPr>
        <w:t>The</w:t>
      </w:r>
      <w:r>
        <w:rPr>
          <w:color w:val="0E0E0E"/>
          <w:spacing w:val="-7"/>
          <w:w w:val="105"/>
          <w:sz w:val="21"/>
        </w:rPr>
        <w:t> </w:t>
      </w:r>
      <w:r>
        <w:rPr>
          <w:color w:val="0E0E0E"/>
          <w:w w:val="105"/>
          <w:sz w:val="21"/>
        </w:rPr>
        <w:t>method</w:t>
      </w:r>
      <w:r>
        <w:rPr>
          <w:color w:val="0E0E0E"/>
          <w:spacing w:val="-1"/>
          <w:w w:val="105"/>
          <w:sz w:val="21"/>
        </w:rPr>
        <w:t> </w:t>
      </w:r>
      <w:r>
        <w:rPr>
          <w:color w:val="0E0E0E"/>
          <w:w w:val="105"/>
          <w:sz w:val="21"/>
        </w:rPr>
        <w:t>that</w:t>
      </w:r>
      <w:r>
        <w:rPr>
          <w:color w:val="0E0E0E"/>
          <w:spacing w:val="-1"/>
          <w:w w:val="105"/>
          <w:sz w:val="21"/>
        </w:rPr>
        <w:t> </w:t>
      </w:r>
      <w:r>
        <w:rPr>
          <w:color w:val="0E0E0E"/>
          <w:w w:val="105"/>
          <w:sz w:val="21"/>
        </w:rPr>
        <w:t>uses</w:t>
      </w:r>
      <w:r>
        <w:rPr>
          <w:color w:val="0E0E0E"/>
          <w:spacing w:val="-3"/>
          <w:w w:val="105"/>
          <w:sz w:val="21"/>
        </w:rPr>
        <w:t> </w:t>
      </w:r>
      <w:r>
        <w:rPr>
          <w:color w:val="0E0E0E"/>
          <w:w w:val="105"/>
          <w:sz w:val="21"/>
        </w:rPr>
        <w:t>effective interest rates to calculate the amortised cost of a</w:t>
      </w:r>
      <w:r>
        <w:rPr>
          <w:color w:val="0E0E0E"/>
          <w:spacing w:val="-1"/>
          <w:w w:val="105"/>
          <w:sz w:val="21"/>
        </w:rPr>
        <w:t> </w:t>
      </w:r>
      <w:r>
        <w:rPr>
          <w:color w:val="0E0E0E"/>
          <w:w w:val="105"/>
          <w:sz w:val="21"/>
        </w:rPr>
        <w:t>financial instrument and allocates interest revenue or expense</w:t>
      </w:r>
      <w:r>
        <w:rPr>
          <w:color w:val="0E0E0E"/>
          <w:spacing w:val="-3"/>
          <w:w w:val="105"/>
          <w:sz w:val="21"/>
        </w:rPr>
        <w:t> </w:t>
      </w:r>
      <w:r>
        <w:rPr>
          <w:color w:val="0E0E0E"/>
          <w:w w:val="105"/>
          <w:sz w:val="21"/>
        </w:rPr>
        <w:t>to</w:t>
      </w:r>
      <w:r>
        <w:rPr>
          <w:color w:val="0E0E0E"/>
          <w:spacing w:val="-14"/>
          <w:w w:val="105"/>
          <w:sz w:val="21"/>
        </w:rPr>
        <w:t> </w:t>
      </w:r>
      <w:r>
        <w:rPr>
          <w:color w:val="0E0E0E"/>
          <w:w w:val="105"/>
          <w:sz w:val="21"/>
        </w:rPr>
        <w:t>the</w:t>
      </w:r>
      <w:r>
        <w:rPr>
          <w:color w:val="0E0E0E"/>
          <w:spacing w:val="-10"/>
          <w:w w:val="105"/>
          <w:sz w:val="21"/>
        </w:rPr>
        <w:t> </w:t>
      </w:r>
      <w:r>
        <w:rPr>
          <w:color w:val="0E0E0E"/>
          <w:w w:val="105"/>
          <w:sz w:val="21"/>
        </w:rPr>
        <w:t>particular</w:t>
      </w:r>
      <w:r>
        <w:rPr>
          <w:color w:val="0E0E0E"/>
          <w:spacing w:val="-1"/>
          <w:w w:val="105"/>
          <w:sz w:val="21"/>
        </w:rPr>
        <w:t> </w:t>
      </w:r>
      <w:r>
        <w:rPr>
          <w:color w:val="0E0E0E"/>
          <w:w w:val="105"/>
          <w:sz w:val="21"/>
        </w:rPr>
        <w:t>financial years over which the instrument is held.</w:t>
      </w:r>
    </w:p>
    <w:p>
      <w:pPr>
        <w:pStyle w:val="BodyText"/>
        <w:spacing w:before="13"/>
        <w:rPr>
          <w:sz w:val="21"/>
        </w:rPr>
      </w:pPr>
    </w:p>
    <w:p>
      <w:pPr>
        <w:spacing w:before="1" w:line="252" w:lineRule="auto"/>
        <w:ind w:left="261" w:right="1664" w:hanging="1"/>
        <w:jc w:val="left"/>
        <w:rPr>
          <w:sz w:val="21"/>
        </w:rPr>
      </w:pPr>
      <w:r>
        <w:rPr>
          <w:color w:val="0E0E0E"/>
          <w:w w:val="105"/>
          <w:sz w:val="21"/>
        </w:rPr>
        <w:t>The</w:t>
      </w:r>
      <w:r>
        <w:rPr>
          <w:color w:val="0E0E0E"/>
          <w:spacing w:val="-7"/>
          <w:w w:val="105"/>
          <w:sz w:val="21"/>
        </w:rPr>
        <w:t> </w:t>
      </w:r>
      <w:r>
        <w:rPr>
          <w:color w:val="0E0E0E"/>
          <w:w w:val="105"/>
          <w:sz w:val="21"/>
        </w:rPr>
        <w:t>interest</w:t>
      </w:r>
      <w:r>
        <w:rPr>
          <w:color w:val="0E0E0E"/>
          <w:spacing w:val="-3"/>
          <w:w w:val="105"/>
          <w:sz w:val="21"/>
        </w:rPr>
        <w:t> </w:t>
      </w:r>
      <w:r>
        <w:rPr>
          <w:color w:val="0E0E0E"/>
          <w:w w:val="105"/>
          <w:sz w:val="21"/>
        </w:rPr>
        <w:t>rate</w:t>
      </w:r>
      <w:r>
        <w:rPr>
          <w:color w:val="0E0E0E"/>
          <w:spacing w:val="-13"/>
          <w:w w:val="105"/>
          <w:sz w:val="21"/>
        </w:rPr>
        <w:t> </w:t>
      </w:r>
      <w:r>
        <w:rPr>
          <w:color w:val="0E0E0E"/>
          <w:w w:val="105"/>
          <w:sz w:val="21"/>
        </w:rPr>
        <w:t>that</w:t>
      </w:r>
      <w:r>
        <w:rPr>
          <w:color w:val="0E0E0E"/>
          <w:spacing w:val="-8"/>
          <w:w w:val="105"/>
          <w:sz w:val="21"/>
        </w:rPr>
        <w:t> </w:t>
      </w:r>
      <w:r>
        <w:rPr>
          <w:color w:val="0E0E0E"/>
          <w:w w:val="105"/>
          <w:sz w:val="21"/>
        </w:rPr>
        <w:t>exactly discounts future cash</w:t>
      </w:r>
      <w:r>
        <w:rPr>
          <w:color w:val="0E0E0E"/>
          <w:spacing w:val="-1"/>
          <w:w w:val="105"/>
          <w:sz w:val="21"/>
        </w:rPr>
        <w:t> </w:t>
      </w:r>
      <w:r>
        <w:rPr>
          <w:color w:val="0E0E0E"/>
          <w:w w:val="105"/>
          <w:sz w:val="21"/>
        </w:rPr>
        <w:t>payments and</w:t>
      </w:r>
      <w:r>
        <w:rPr>
          <w:color w:val="0E0E0E"/>
          <w:spacing w:val="-5"/>
          <w:w w:val="105"/>
          <w:sz w:val="21"/>
        </w:rPr>
        <w:t> </w:t>
      </w:r>
      <w:r>
        <w:rPr>
          <w:color w:val="0E0E0E"/>
          <w:w w:val="105"/>
          <w:sz w:val="21"/>
        </w:rPr>
        <w:t>receipts over</w:t>
      </w:r>
      <w:r>
        <w:rPr>
          <w:color w:val="0E0E0E"/>
          <w:spacing w:val="-4"/>
          <w:w w:val="105"/>
          <w:sz w:val="21"/>
        </w:rPr>
        <w:t> </w:t>
      </w:r>
      <w:r>
        <w:rPr>
          <w:color w:val="0E0E0E"/>
          <w:w w:val="105"/>
          <w:sz w:val="21"/>
        </w:rPr>
        <w:t>the</w:t>
      </w:r>
      <w:r>
        <w:rPr>
          <w:color w:val="0E0E0E"/>
          <w:spacing w:val="-3"/>
          <w:w w:val="105"/>
          <w:sz w:val="21"/>
        </w:rPr>
        <w:t> </w:t>
      </w:r>
      <w:r>
        <w:rPr>
          <w:color w:val="0E0E0E"/>
          <w:w w:val="105"/>
          <w:sz w:val="21"/>
        </w:rPr>
        <w:t>life of</w:t>
      </w:r>
      <w:r>
        <w:rPr>
          <w:color w:val="0E0E0E"/>
          <w:spacing w:val="-2"/>
          <w:w w:val="105"/>
          <w:sz w:val="21"/>
        </w:rPr>
        <w:t> </w:t>
      </w:r>
      <w:r>
        <w:rPr>
          <w:color w:val="0E0E0E"/>
          <w:w w:val="105"/>
          <w:sz w:val="21"/>
        </w:rPr>
        <w:t>a financial instrument to the carrying amount gross of any loss allowance (asset) or</w:t>
      </w:r>
      <w:r>
        <w:rPr>
          <w:color w:val="0E0E0E"/>
          <w:spacing w:val="-3"/>
          <w:w w:val="105"/>
          <w:sz w:val="21"/>
        </w:rPr>
        <w:t> </w:t>
      </w:r>
      <w:r>
        <w:rPr>
          <w:color w:val="0E0E0E"/>
          <w:w w:val="105"/>
          <w:sz w:val="21"/>
        </w:rPr>
        <w:t>to the amortised cost (liability). This might be different from the actual interest rate where (e.g.) transaction costs have been accrued</w:t>
      </w:r>
      <w:r>
        <w:rPr>
          <w:color w:val="0E0E0E"/>
          <w:spacing w:val="40"/>
          <w:w w:val="105"/>
          <w:sz w:val="21"/>
        </w:rPr>
        <w:t> </w:t>
      </w:r>
      <w:r>
        <w:rPr>
          <w:color w:val="0E0E0E"/>
          <w:w w:val="105"/>
          <w:sz w:val="21"/>
        </w:rPr>
        <w:t>or because of interest at less than market rates being spread over the term of the </w:t>
      </w:r>
      <w:r>
        <w:rPr>
          <w:color w:val="0E0E0E"/>
          <w:spacing w:val="-2"/>
          <w:w w:val="105"/>
          <w:sz w:val="21"/>
        </w:rPr>
        <w:t>instrument.</w:t>
      </w:r>
    </w:p>
    <w:p>
      <w:pPr>
        <w:spacing w:after="0" w:line="252" w:lineRule="auto"/>
        <w:jc w:val="left"/>
        <w:rPr>
          <w:sz w:val="21"/>
        </w:rPr>
        <w:sectPr>
          <w:type w:val="continuous"/>
          <w:pgSz w:w="11910" w:h="16830"/>
          <w:pgMar w:top="1940" w:right="540" w:bottom="280" w:left="440" w:header="702" w:footer="1165"/>
          <w:cols w:equalWidth="0" w:num="2">
            <w:col w:w="3376" w:space="1241"/>
            <w:col w:w="6313"/>
          </w:cols>
        </w:sectPr>
      </w:pPr>
    </w:p>
    <w:p>
      <w:pPr>
        <w:pStyle w:val="BodyText"/>
        <w:spacing w:line="139" w:lineRule="exact"/>
        <w:ind w:left="1098"/>
        <w:rPr>
          <w:sz w:val="13"/>
        </w:rPr>
      </w:pPr>
      <w:r>
        <w:rPr>
          <w:position w:val="-2"/>
          <w:sz w:val="13"/>
        </w:rPr>
        <w:drawing>
          <wp:inline distT="0" distB="0" distL="0" distR="0">
            <wp:extent cx="445217" cy="88392"/>
            <wp:effectExtent l="0" t="0" r="0" b="0"/>
            <wp:docPr id="767" name="Image 767"/>
            <wp:cNvGraphicFramePr>
              <a:graphicFrameLocks/>
            </wp:cNvGraphicFramePr>
            <a:graphic>
              <a:graphicData uri="http://schemas.openxmlformats.org/drawingml/2006/picture">
                <pic:pic>
                  <pic:nvPicPr>
                    <pic:cNvPr id="767" name="Image 767"/>
                    <pic:cNvPicPr/>
                  </pic:nvPicPr>
                  <pic:blipFill>
                    <a:blip r:embed="rId336" cstate="print"/>
                    <a:stretch>
                      <a:fillRect/>
                    </a:stretch>
                  </pic:blipFill>
                  <pic:spPr>
                    <a:xfrm>
                      <a:off x="0" y="0"/>
                      <a:ext cx="445217" cy="88392"/>
                    </a:xfrm>
                    <a:prstGeom prst="rect">
                      <a:avLst/>
                    </a:prstGeom>
                  </pic:spPr>
                </pic:pic>
              </a:graphicData>
            </a:graphic>
          </wp:inline>
        </w:drawing>
      </w:r>
      <w:r>
        <w:rPr>
          <w:position w:val="-2"/>
          <w:sz w:val="13"/>
        </w:rPr>
      </w:r>
    </w:p>
    <w:p>
      <w:pPr>
        <w:pStyle w:val="BodyText"/>
        <w:rPr>
          <w:sz w:val="20"/>
        </w:rPr>
      </w:pPr>
    </w:p>
    <w:p>
      <w:pPr>
        <w:pStyle w:val="BodyText"/>
        <w:rPr>
          <w:sz w:val="20"/>
        </w:rPr>
      </w:pPr>
    </w:p>
    <w:p>
      <w:pPr>
        <w:pStyle w:val="BodyText"/>
        <w:rPr>
          <w:sz w:val="20"/>
        </w:rPr>
      </w:pPr>
    </w:p>
    <w:p>
      <w:pPr>
        <w:pStyle w:val="BodyText"/>
        <w:spacing w:before="10"/>
        <w:rPr>
          <w:sz w:val="20"/>
        </w:rPr>
      </w:pPr>
    </w:p>
    <w:p>
      <w:pPr>
        <w:spacing w:after="0"/>
        <w:rPr>
          <w:sz w:val="20"/>
        </w:rPr>
        <w:sectPr>
          <w:headerReference w:type="even" r:id="rId335"/>
          <w:pgSz w:w="11910" w:h="16830"/>
          <w:pgMar w:top="900" w:right="540" w:bottom="1200" w:left="440" w:header="0" w:footer="0"/>
        </w:sectPr>
      </w:pPr>
    </w:p>
    <w:p>
      <w:pPr>
        <w:pStyle w:val="BodyText"/>
        <w:spacing w:before="106"/>
        <w:rPr>
          <w:sz w:val="21"/>
        </w:rPr>
      </w:pPr>
    </w:p>
    <w:p>
      <w:pPr>
        <w:spacing w:before="0"/>
        <w:ind w:left="458" w:right="0" w:firstLine="0"/>
        <w:jc w:val="left"/>
        <w:rPr>
          <w:b/>
          <w:sz w:val="21"/>
        </w:rPr>
      </w:pPr>
      <w:r>
        <w:rPr>
          <w:b/>
          <w:color w:val="0C0C0C"/>
          <w:w w:val="105"/>
          <w:sz w:val="21"/>
        </w:rPr>
        <w:t>Exceptional</w:t>
      </w:r>
      <w:r>
        <w:rPr>
          <w:b/>
          <w:color w:val="0C0C0C"/>
          <w:spacing w:val="-11"/>
          <w:w w:val="105"/>
          <w:sz w:val="21"/>
        </w:rPr>
        <w:t> </w:t>
      </w:r>
      <w:r>
        <w:rPr>
          <w:b/>
          <w:color w:val="0C0C0C"/>
          <w:spacing w:val="-2"/>
          <w:w w:val="105"/>
          <w:sz w:val="21"/>
        </w:rPr>
        <w:t>Items</w:t>
      </w:r>
    </w:p>
    <w:p>
      <w:pPr>
        <w:spacing w:before="98"/>
        <w:ind w:left="23" w:right="0" w:firstLine="0"/>
        <w:jc w:val="left"/>
        <w:rPr>
          <w:b/>
          <w:sz w:val="21"/>
        </w:rPr>
      </w:pPr>
      <w:r>
        <w:rPr/>
        <w:br w:type="column"/>
      </w:r>
      <w:r>
        <w:rPr>
          <w:b/>
          <w:color w:val="0C0C0C"/>
          <w:spacing w:val="-4"/>
          <w:w w:val="105"/>
          <w:sz w:val="21"/>
        </w:rPr>
        <w:t>Term</w:t>
      </w:r>
    </w:p>
    <w:p>
      <w:pPr>
        <w:spacing w:before="93"/>
        <w:ind w:left="2168" w:right="0" w:firstLine="0"/>
        <w:jc w:val="left"/>
        <w:rPr>
          <w:b/>
          <w:sz w:val="21"/>
        </w:rPr>
      </w:pPr>
      <w:r>
        <w:rPr/>
        <w:br w:type="column"/>
      </w:r>
      <w:r>
        <w:rPr>
          <w:b/>
          <w:color w:val="0C0C0C"/>
          <w:spacing w:val="-2"/>
          <w:w w:val="105"/>
          <w:sz w:val="21"/>
        </w:rPr>
        <w:t>Definition</w:t>
      </w:r>
    </w:p>
    <w:p>
      <w:pPr>
        <w:spacing w:before="13" w:line="252" w:lineRule="auto"/>
        <w:ind w:left="458" w:right="1212" w:firstLine="7"/>
        <w:jc w:val="left"/>
        <w:rPr>
          <w:sz w:val="21"/>
        </w:rPr>
      </w:pPr>
      <w:r>
        <w:rPr>
          <w:color w:val="0C0C0C"/>
          <w:w w:val="105"/>
          <w:sz w:val="21"/>
        </w:rPr>
        <w:t>Material </w:t>
      </w:r>
      <w:r>
        <w:rPr>
          <w:color w:val="1F1F1F"/>
          <w:w w:val="105"/>
          <w:sz w:val="21"/>
        </w:rPr>
        <w:t>items </w:t>
      </w:r>
      <w:r>
        <w:rPr>
          <w:color w:val="0C0C0C"/>
          <w:w w:val="105"/>
          <w:sz w:val="21"/>
        </w:rPr>
        <w:t>which derive from events or transactions that fall within the ordinary activities of</w:t>
      </w:r>
      <w:r>
        <w:rPr>
          <w:color w:val="0C0C0C"/>
          <w:spacing w:val="-6"/>
          <w:w w:val="105"/>
          <w:sz w:val="21"/>
        </w:rPr>
        <w:t> </w:t>
      </w:r>
      <w:r>
        <w:rPr>
          <w:color w:val="0C0C0C"/>
          <w:w w:val="105"/>
          <w:sz w:val="21"/>
        </w:rPr>
        <w:t>the</w:t>
      </w:r>
      <w:r>
        <w:rPr>
          <w:color w:val="0C0C0C"/>
          <w:spacing w:val="-8"/>
          <w:w w:val="105"/>
          <w:sz w:val="21"/>
        </w:rPr>
        <w:t> </w:t>
      </w:r>
      <w:r>
        <w:rPr>
          <w:color w:val="0C0C0C"/>
          <w:w w:val="105"/>
          <w:sz w:val="21"/>
        </w:rPr>
        <w:t>Council and</w:t>
      </w:r>
      <w:r>
        <w:rPr>
          <w:color w:val="0C0C0C"/>
          <w:spacing w:val="-6"/>
          <w:w w:val="105"/>
          <w:sz w:val="21"/>
        </w:rPr>
        <w:t> </w:t>
      </w:r>
      <w:r>
        <w:rPr>
          <w:color w:val="0C0C0C"/>
          <w:w w:val="105"/>
          <w:sz w:val="21"/>
        </w:rPr>
        <w:t>which</w:t>
      </w:r>
      <w:r>
        <w:rPr>
          <w:color w:val="0C0C0C"/>
          <w:spacing w:val="-5"/>
          <w:w w:val="105"/>
          <w:sz w:val="21"/>
        </w:rPr>
        <w:t> </w:t>
      </w:r>
      <w:r>
        <w:rPr>
          <w:color w:val="0C0C0C"/>
          <w:w w:val="105"/>
          <w:sz w:val="21"/>
        </w:rPr>
        <w:t>need</w:t>
      </w:r>
      <w:r>
        <w:rPr>
          <w:color w:val="0C0C0C"/>
          <w:spacing w:val="-9"/>
          <w:w w:val="105"/>
          <w:sz w:val="21"/>
        </w:rPr>
        <w:t> </w:t>
      </w:r>
      <w:r>
        <w:rPr>
          <w:color w:val="0C0C0C"/>
          <w:w w:val="105"/>
          <w:sz w:val="21"/>
        </w:rPr>
        <w:t>to</w:t>
      </w:r>
      <w:r>
        <w:rPr>
          <w:color w:val="0C0C0C"/>
          <w:spacing w:val="-9"/>
          <w:w w:val="105"/>
          <w:sz w:val="21"/>
        </w:rPr>
        <w:t> </w:t>
      </w:r>
      <w:r>
        <w:rPr>
          <w:color w:val="0C0C0C"/>
          <w:w w:val="105"/>
          <w:sz w:val="21"/>
        </w:rPr>
        <w:t>be disclosed separately by virtue of</w:t>
      </w:r>
      <w:r>
        <w:rPr>
          <w:color w:val="0C0C0C"/>
          <w:spacing w:val="-2"/>
          <w:w w:val="105"/>
          <w:sz w:val="21"/>
        </w:rPr>
        <w:t> </w:t>
      </w:r>
      <w:r>
        <w:rPr>
          <w:color w:val="0C0C0C"/>
          <w:w w:val="105"/>
          <w:sz w:val="21"/>
        </w:rPr>
        <w:t>their size or incidence to give fair presentation of the </w:t>
      </w:r>
      <w:r>
        <w:rPr>
          <w:color w:val="0C0C0C"/>
          <w:spacing w:val="-2"/>
          <w:w w:val="105"/>
          <w:sz w:val="21"/>
        </w:rPr>
        <w:t>accounts.</w:t>
      </w:r>
    </w:p>
    <w:p>
      <w:pPr>
        <w:spacing w:after="0" w:line="252" w:lineRule="auto"/>
        <w:jc w:val="left"/>
        <w:rPr>
          <w:sz w:val="21"/>
        </w:rPr>
        <w:sectPr>
          <w:type w:val="continuous"/>
          <w:pgSz w:w="11910" w:h="16830"/>
          <w:pgMar w:top="1940" w:right="540" w:bottom="280" w:left="440" w:header="0" w:footer="0"/>
          <w:cols w:equalWidth="0" w:num="3">
            <w:col w:w="2329" w:space="40"/>
            <w:col w:w="609" w:space="1644"/>
            <w:col w:w="6308"/>
          </w:cols>
        </w:sectPr>
      </w:pPr>
    </w:p>
    <w:p>
      <w:pPr>
        <w:pStyle w:val="BodyText"/>
        <w:spacing w:before="4"/>
        <w:rPr>
          <w:sz w:val="13"/>
        </w:rPr>
      </w:pPr>
    </w:p>
    <w:p>
      <w:pPr>
        <w:spacing w:after="0"/>
        <w:rPr>
          <w:sz w:val="13"/>
        </w:rPr>
        <w:sectPr>
          <w:type w:val="continuous"/>
          <w:pgSz w:w="11910" w:h="16830"/>
          <w:pgMar w:top="1940" w:right="540" w:bottom="280" w:left="440" w:header="0" w:footer="0"/>
        </w:sectPr>
      </w:pPr>
    </w:p>
    <w:p>
      <w:pPr>
        <w:spacing w:before="99"/>
        <w:ind w:left="438" w:right="0" w:firstLine="0"/>
        <w:jc w:val="left"/>
        <w:rPr>
          <w:b/>
          <w:sz w:val="21"/>
        </w:rPr>
      </w:pPr>
      <w:r>
        <w:rPr>
          <w:b/>
          <w:color w:val="0C0C0C"/>
          <w:w w:val="105"/>
          <w:sz w:val="21"/>
        </w:rPr>
        <w:t>Expected</w:t>
      </w:r>
      <w:r>
        <w:rPr>
          <w:b/>
          <w:color w:val="0C0C0C"/>
          <w:spacing w:val="4"/>
          <w:w w:val="105"/>
          <w:sz w:val="21"/>
        </w:rPr>
        <w:t> </w:t>
      </w:r>
      <w:r>
        <w:rPr>
          <w:b/>
          <w:color w:val="0C0C0C"/>
          <w:w w:val="105"/>
          <w:sz w:val="21"/>
        </w:rPr>
        <w:t>credit</w:t>
      </w:r>
      <w:r>
        <w:rPr>
          <w:b/>
          <w:color w:val="0C0C0C"/>
          <w:spacing w:val="-10"/>
          <w:w w:val="105"/>
          <w:sz w:val="21"/>
        </w:rPr>
        <w:t> </w:t>
      </w:r>
      <w:r>
        <w:rPr>
          <w:b/>
          <w:color w:val="0C0C0C"/>
          <w:w w:val="105"/>
          <w:sz w:val="21"/>
        </w:rPr>
        <w:t>losses</w:t>
      </w:r>
      <w:r>
        <w:rPr>
          <w:b/>
          <w:color w:val="0C0C0C"/>
          <w:spacing w:val="-9"/>
          <w:w w:val="105"/>
          <w:sz w:val="21"/>
        </w:rPr>
        <w:t> </w:t>
      </w:r>
      <w:r>
        <w:rPr>
          <w:b/>
          <w:color w:val="0C0C0C"/>
          <w:spacing w:val="-2"/>
          <w:w w:val="105"/>
          <w:sz w:val="21"/>
        </w:rPr>
        <w:t>(ECLs)</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96"/>
        <w:rPr>
          <w:b/>
          <w:sz w:val="21"/>
        </w:rPr>
      </w:pPr>
    </w:p>
    <w:p>
      <w:pPr>
        <w:spacing w:before="0" w:line="252" w:lineRule="auto"/>
        <w:ind w:left="410" w:right="0" w:firstLine="3"/>
        <w:jc w:val="left"/>
        <w:rPr>
          <w:b/>
          <w:sz w:val="21"/>
        </w:rPr>
      </w:pPr>
      <w:r>
        <w:rPr>
          <w:b/>
          <w:color w:val="0C0C0C"/>
          <w:w w:val="105"/>
          <w:sz w:val="21"/>
        </w:rPr>
        <w:t>Expected</w:t>
      </w:r>
      <w:r>
        <w:rPr>
          <w:b/>
          <w:color w:val="0C0C0C"/>
          <w:spacing w:val="-1"/>
          <w:w w:val="105"/>
          <w:sz w:val="21"/>
        </w:rPr>
        <w:t> </w:t>
      </w:r>
      <w:r>
        <w:rPr>
          <w:b/>
          <w:color w:val="0C0C0C"/>
          <w:w w:val="105"/>
          <w:sz w:val="21"/>
        </w:rPr>
        <w:t>Rate</w:t>
      </w:r>
      <w:r>
        <w:rPr>
          <w:b/>
          <w:color w:val="0C0C0C"/>
          <w:spacing w:val="-11"/>
          <w:w w:val="105"/>
          <w:sz w:val="21"/>
        </w:rPr>
        <w:t> </w:t>
      </w:r>
      <w:r>
        <w:rPr>
          <w:b/>
          <w:color w:val="0C0C0C"/>
          <w:w w:val="105"/>
          <w:sz w:val="21"/>
        </w:rPr>
        <w:t>of</w:t>
      </w:r>
      <w:r>
        <w:rPr>
          <w:b/>
          <w:color w:val="0C0C0C"/>
          <w:spacing w:val="-4"/>
          <w:w w:val="105"/>
          <w:sz w:val="21"/>
        </w:rPr>
        <w:t> </w:t>
      </w:r>
      <w:r>
        <w:rPr>
          <w:b/>
          <w:color w:val="0C0C0C"/>
          <w:w w:val="105"/>
          <w:sz w:val="21"/>
        </w:rPr>
        <w:t>Return</w:t>
      </w:r>
      <w:r>
        <w:rPr>
          <w:b/>
          <w:color w:val="0C0C0C"/>
          <w:spacing w:val="-2"/>
          <w:w w:val="105"/>
          <w:sz w:val="21"/>
        </w:rPr>
        <w:t> </w:t>
      </w:r>
      <w:r>
        <w:rPr>
          <w:b/>
          <w:color w:val="0C0C0C"/>
          <w:w w:val="105"/>
          <w:sz w:val="21"/>
        </w:rPr>
        <w:t>on</w:t>
      </w:r>
      <w:r>
        <w:rPr>
          <w:b/>
          <w:color w:val="0C0C0C"/>
          <w:spacing w:val="-9"/>
          <w:w w:val="105"/>
          <w:sz w:val="21"/>
        </w:rPr>
        <w:t> </w:t>
      </w:r>
      <w:r>
        <w:rPr>
          <w:b/>
          <w:color w:val="0C0C0C"/>
          <w:w w:val="105"/>
          <w:sz w:val="21"/>
        </w:rPr>
        <w:t>Pension </w:t>
      </w:r>
      <w:r>
        <w:rPr>
          <w:b/>
          <w:color w:val="0C0C0C"/>
          <w:spacing w:val="-2"/>
          <w:w w:val="105"/>
          <w:sz w:val="21"/>
        </w:rPr>
        <w:t>Assets</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58"/>
        <w:rPr>
          <w:b/>
          <w:sz w:val="21"/>
        </w:rPr>
      </w:pPr>
    </w:p>
    <w:p>
      <w:pPr>
        <w:spacing w:before="1"/>
        <w:ind w:left="395" w:right="0" w:firstLine="0"/>
        <w:jc w:val="left"/>
        <w:rPr>
          <w:b/>
          <w:sz w:val="21"/>
        </w:rPr>
      </w:pPr>
      <w:r>
        <w:rPr>
          <w:b/>
          <w:color w:val="0C0C0C"/>
          <w:w w:val="105"/>
          <w:sz w:val="21"/>
        </w:rPr>
        <w:t>Extraordinary</w:t>
      </w:r>
      <w:r>
        <w:rPr>
          <w:b/>
          <w:color w:val="0C0C0C"/>
          <w:spacing w:val="-14"/>
          <w:w w:val="105"/>
          <w:sz w:val="21"/>
        </w:rPr>
        <w:t> </w:t>
      </w:r>
      <w:r>
        <w:rPr>
          <w:b/>
          <w:color w:val="0C0C0C"/>
          <w:spacing w:val="-2"/>
          <w:w w:val="105"/>
          <w:sz w:val="21"/>
        </w:rPr>
        <w:t>Items</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09"/>
        <w:rPr>
          <w:b/>
          <w:sz w:val="21"/>
        </w:rPr>
      </w:pPr>
    </w:p>
    <w:p>
      <w:pPr>
        <w:spacing w:before="0" w:line="252" w:lineRule="auto"/>
        <w:ind w:left="364" w:right="0" w:firstLine="1"/>
        <w:jc w:val="left"/>
        <w:rPr>
          <w:b/>
          <w:sz w:val="21"/>
        </w:rPr>
      </w:pPr>
      <w:r>
        <w:rPr>
          <w:b/>
          <w:color w:val="0C0C0C"/>
          <w:w w:val="105"/>
          <w:sz w:val="21"/>
        </w:rPr>
        <w:t>Fair</w:t>
      </w:r>
      <w:r>
        <w:rPr>
          <w:b/>
          <w:color w:val="0C0C0C"/>
          <w:spacing w:val="-4"/>
          <w:w w:val="105"/>
          <w:sz w:val="21"/>
        </w:rPr>
        <w:t> </w:t>
      </w:r>
      <w:r>
        <w:rPr>
          <w:b/>
          <w:color w:val="0C0C0C"/>
          <w:w w:val="105"/>
          <w:sz w:val="21"/>
        </w:rPr>
        <w:t>value</w:t>
      </w:r>
      <w:r>
        <w:rPr>
          <w:b/>
          <w:color w:val="0C0C0C"/>
          <w:spacing w:val="-4"/>
          <w:w w:val="105"/>
          <w:sz w:val="21"/>
        </w:rPr>
        <w:t> </w:t>
      </w:r>
      <w:r>
        <w:rPr>
          <w:b/>
          <w:color w:val="0C0C0C"/>
          <w:w w:val="105"/>
          <w:sz w:val="21"/>
        </w:rPr>
        <w:t>through profit</w:t>
      </w:r>
      <w:r>
        <w:rPr>
          <w:b/>
          <w:color w:val="0C0C0C"/>
          <w:spacing w:val="-7"/>
          <w:w w:val="105"/>
          <w:sz w:val="21"/>
        </w:rPr>
        <w:t> </w:t>
      </w:r>
      <w:r>
        <w:rPr>
          <w:b/>
          <w:color w:val="0C0C0C"/>
          <w:w w:val="105"/>
          <w:sz w:val="21"/>
        </w:rPr>
        <w:t>or</w:t>
      </w:r>
      <w:r>
        <w:rPr>
          <w:b/>
          <w:color w:val="0C0C0C"/>
          <w:spacing w:val="-4"/>
          <w:w w:val="105"/>
          <w:sz w:val="21"/>
        </w:rPr>
        <w:t> </w:t>
      </w:r>
      <w:r>
        <w:rPr>
          <w:b/>
          <w:color w:val="0C0C0C"/>
          <w:w w:val="105"/>
          <w:sz w:val="21"/>
        </w:rPr>
        <w:t>loss</w:t>
      </w:r>
      <w:r>
        <w:rPr>
          <w:b/>
          <w:color w:val="0C0C0C"/>
          <w:spacing w:val="-6"/>
          <w:w w:val="105"/>
          <w:sz w:val="21"/>
        </w:rPr>
        <w:t> </w:t>
      </w:r>
      <w:r>
        <w:rPr>
          <w:b/>
          <w:color w:val="0C0C0C"/>
          <w:w w:val="105"/>
          <w:sz w:val="21"/>
        </w:rPr>
        <w:t>financial </w:t>
      </w:r>
      <w:r>
        <w:rPr>
          <w:b/>
          <w:color w:val="0C0C0C"/>
          <w:spacing w:val="-2"/>
          <w:w w:val="105"/>
          <w:sz w:val="21"/>
        </w:rPr>
        <w:t>assets</w:t>
      </w:r>
    </w:p>
    <w:p>
      <w:pPr>
        <w:pStyle w:val="BodyText"/>
        <w:rPr>
          <w:b/>
          <w:sz w:val="21"/>
        </w:rPr>
      </w:pPr>
    </w:p>
    <w:p>
      <w:pPr>
        <w:pStyle w:val="BodyText"/>
        <w:rPr>
          <w:b/>
          <w:sz w:val="21"/>
        </w:rPr>
      </w:pPr>
    </w:p>
    <w:p>
      <w:pPr>
        <w:pStyle w:val="BodyText"/>
        <w:spacing w:before="37"/>
        <w:rPr>
          <w:b/>
          <w:sz w:val="21"/>
        </w:rPr>
      </w:pPr>
    </w:p>
    <w:p>
      <w:pPr>
        <w:spacing w:before="0"/>
        <w:ind w:left="357" w:right="0" w:firstLine="0"/>
        <w:jc w:val="left"/>
        <w:rPr>
          <w:b/>
          <w:sz w:val="21"/>
        </w:rPr>
      </w:pPr>
      <w:r>
        <w:rPr>
          <w:b/>
          <w:color w:val="0C0C0C"/>
          <w:w w:val="105"/>
          <w:sz w:val="21"/>
        </w:rPr>
        <w:t>Finance and</w:t>
      </w:r>
      <w:r>
        <w:rPr>
          <w:b/>
          <w:color w:val="0C0C0C"/>
          <w:spacing w:val="-8"/>
          <w:w w:val="105"/>
          <w:sz w:val="21"/>
        </w:rPr>
        <w:t> </w:t>
      </w:r>
      <w:r>
        <w:rPr>
          <w:b/>
          <w:color w:val="0C0C0C"/>
          <w:w w:val="105"/>
          <w:sz w:val="21"/>
        </w:rPr>
        <w:t>Operating</w:t>
      </w:r>
      <w:r>
        <w:rPr>
          <w:b/>
          <w:color w:val="0C0C0C"/>
          <w:spacing w:val="4"/>
          <w:w w:val="105"/>
          <w:sz w:val="21"/>
        </w:rPr>
        <w:t> </w:t>
      </w:r>
      <w:r>
        <w:rPr>
          <w:b/>
          <w:color w:val="0C0C0C"/>
          <w:spacing w:val="-2"/>
          <w:w w:val="105"/>
          <w:sz w:val="21"/>
        </w:rPr>
        <w:t>Lease</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18"/>
        <w:rPr>
          <w:b/>
          <w:sz w:val="21"/>
        </w:rPr>
      </w:pPr>
    </w:p>
    <w:p>
      <w:pPr>
        <w:spacing w:before="0"/>
        <w:ind w:left="328" w:right="0" w:firstLine="0"/>
        <w:jc w:val="left"/>
        <w:rPr>
          <w:b/>
          <w:sz w:val="21"/>
        </w:rPr>
      </w:pPr>
      <w:r>
        <w:rPr>
          <w:b/>
          <w:color w:val="0C0C0C"/>
          <w:w w:val="105"/>
          <w:sz w:val="21"/>
        </w:rPr>
        <w:t>Financial</w:t>
      </w:r>
      <w:r>
        <w:rPr>
          <w:b/>
          <w:color w:val="0C0C0C"/>
          <w:spacing w:val="4"/>
          <w:w w:val="105"/>
          <w:sz w:val="21"/>
        </w:rPr>
        <w:t> </w:t>
      </w:r>
      <w:r>
        <w:rPr>
          <w:b/>
          <w:color w:val="0C0C0C"/>
          <w:spacing w:val="-2"/>
          <w:w w:val="105"/>
          <w:sz w:val="21"/>
        </w:rPr>
        <w:t>Instrument</w:t>
      </w:r>
    </w:p>
    <w:p>
      <w:pPr>
        <w:spacing w:before="94" w:line="252" w:lineRule="auto"/>
        <w:ind w:left="350" w:right="1437" w:firstLine="13"/>
        <w:jc w:val="left"/>
        <w:rPr>
          <w:sz w:val="21"/>
        </w:rPr>
      </w:pPr>
      <w:r>
        <w:rPr/>
        <w:br w:type="column"/>
      </w:r>
      <w:r>
        <w:rPr>
          <w:color w:val="0C0C0C"/>
          <w:w w:val="105"/>
          <w:sz w:val="21"/>
        </w:rPr>
        <w:t>The credit </w:t>
      </w:r>
      <w:r>
        <w:rPr>
          <w:color w:val="1F1F1F"/>
          <w:w w:val="105"/>
          <w:sz w:val="21"/>
        </w:rPr>
        <w:t>losses </w:t>
      </w:r>
      <w:r>
        <w:rPr>
          <w:color w:val="0C0C0C"/>
          <w:w w:val="105"/>
          <w:sz w:val="21"/>
        </w:rPr>
        <w:t>that the Council estimates will</w:t>
      </w:r>
      <w:r>
        <w:rPr>
          <w:color w:val="0C0C0C"/>
          <w:spacing w:val="-6"/>
          <w:w w:val="105"/>
          <w:sz w:val="21"/>
        </w:rPr>
        <w:t> </w:t>
      </w:r>
      <w:r>
        <w:rPr>
          <w:color w:val="0C0C0C"/>
          <w:w w:val="105"/>
          <w:sz w:val="21"/>
        </w:rPr>
        <w:t>arise from the amounts that</w:t>
      </w:r>
      <w:r>
        <w:rPr>
          <w:color w:val="0C0C0C"/>
          <w:spacing w:val="-3"/>
          <w:w w:val="105"/>
          <w:sz w:val="21"/>
        </w:rPr>
        <w:t> </w:t>
      </w:r>
      <w:r>
        <w:rPr>
          <w:color w:val="1F1F1F"/>
          <w:w w:val="105"/>
          <w:sz w:val="21"/>
        </w:rPr>
        <w:t>it</w:t>
      </w:r>
      <w:r>
        <w:rPr>
          <w:color w:val="1F1F1F"/>
          <w:spacing w:val="-4"/>
          <w:w w:val="105"/>
          <w:sz w:val="21"/>
        </w:rPr>
        <w:t> </w:t>
      </w:r>
      <w:r>
        <w:rPr>
          <w:color w:val="0C0C0C"/>
          <w:w w:val="105"/>
          <w:sz w:val="21"/>
        </w:rPr>
        <w:t>is currently owed. ECLs</w:t>
      </w:r>
      <w:r>
        <w:rPr>
          <w:color w:val="0C0C0C"/>
          <w:spacing w:val="-5"/>
          <w:w w:val="105"/>
          <w:sz w:val="21"/>
        </w:rPr>
        <w:t> </w:t>
      </w:r>
      <w:r>
        <w:rPr>
          <w:color w:val="0C0C0C"/>
          <w:w w:val="105"/>
          <w:sz w:val="21"/>
        </w:rPr>
        <w:t>are</w:t>
      </w:r>
      <w:r>
        <w:rPr>
          <w:color w:val="0C0C0C"/>
          <w:spacing w:val="-4"/>
          <w:w w:val="105"/>
          <w:sz w:val="21"/>
        </w:rPr>
        <w:t> </w:t>
      </w:r>
      <w:r>
        <w:rPr>
          <w:color w:val="0C0C0C"/>
          <w:w w:val="105"/>
          <w:sz w:val="21"/>
        </w:rPr>
        <w:t>calculated by</w:t>
      </w:r>
      <w:r>
        <w:rPr>
          <w:color w:val="0C0C0C"/>
          <w:spacing w:val="-5"/>
          <w:w w:val="105"/>
          <w:sz w:val="21"/>
        </w:rPr>
        <w:t> </w:t>
      </w:r>
      <w:r>
        <w:rPr>
          <w:color w:val="0C0C0C"/>
          <w:w w:val="105"/>
          <w:sz w:val="21"/>
        </w:rPr>
        <w:t>measuring the losses that would arise from different default scenarios and</w:t>
      </w:r>
      <w:r>
        <w:rPr>
          <w:color w:val="0C0C0C"/>
          <w:spacing w:val="-16"/>
          <w:w w:val="105"/>
          <w:sz w:val="21"/>
        </w:rPr>
        <w:t> </w:t>
      </w:r>
      <w:r>
        <w:rPr>
          <w:color w:val="0C0C0C"/>
          <w:w w:val="105"/>
          <w:sz w:val="21"/>
        </w:rPr>
        <w:t>calculates</w:t>
      </w:r>
      <w:r>
        <w:rPr>
          <w:color w:val="0C0C0C"/>
          <w:spacing w:val="-2"/>
          <w:w w:val="105"/>
          <w:sz w:val="21"/>
        </w:rPr>
        <w:t> </w:t>
      </w:r>
      <w:r>
        <w:rPr>
          <w:color w:val="0C0C0C"/>
          <w:w w:val="105"/>
          <w:sz w:val="21"/>
        </w:rPr>
        <w:t>a</w:t>
      </w:r>
      <w:r>
        <w:rPr>
          <w:color w:val="0C0C0C"/>
          <w:spacing w:val="-13"/>
          <w:w w:val="105"/>
          <w:sz w:val="21"/>
        </w:rPr>
        <w:t> </w:t>
      </w:r>
      <w:r>
        <w:rPr>
          <w:color w:val="0C0C0C"/>
          <w:w w:val="105"/>
          <w:sz w:val="21"/>
        </w:rPr>
        <w:t>weighted</w:t>
      </w:r>
      <w:r>
        <w:rPr>
          <w:color w:val="0C0C0C"/>
          <w:spacing w:val="-7"/>
          <w:w w:val="105"/>
          <w:sz w:val="21"/>
        </w:rPr>
        <w:t> </w:t>
      </w:r>
      <w:r>
        <w:rPr>
          <w:color w:val="0C0C0C"/>
          <w:w w:val="105"/>
          <w:sz w:val="21"/>
        </w:rPr>
        <w:t>average loss based on the probability</w:t>
      </w:r>
      <w:r>
        <w:rPr>
          <w:color w:val="0C0C0C"/>
          <w:spacing w:val="40"/>
          <w:w w:val="105"/>
          <w:sz w:val="21"/>
        </w:rPr>
        <w:t> </w:t>
      </w:r>
      <w:r>
        <w:rPr>
          <w:color w:val="0C0C0C"/>
          <w:w w:val="105"/>
          <w:sz w:val="21"/>
        </w:rPr>
        <w:t>of each scenario taking place.</w:t>
      </w:r>
    </w:p>
    <w:p>
      <w:pPr>
        <w:pStyle w:val="BodyText"/>
        <w:spacing w:before="11"/>
        <w:rPr>
          <w:sz w:val="21"/>
        </w:rPr>
      </w:pPr>
    </w:p>
    <w:p>
      <w:pPr>
        <w:spacing w:before="1" w:line="252" w:lineRule="auto"/>
        <w:ind w:left="335" w:right="1499" w:firstLine="6"/>
        <w:jc w:val="left"/>
        <w:rPr>
          <w:sz w:val="21"/>
        </w:rPr>
      </w:pPr>
      <w:r>
        <w:rPr>
          <w:color w:val="0C0C0C"/>
          <w:w w:val="105"/>
          <w:sz w:val="21"/>
        </w:rPr>
        <w:t>For a funded defined benefit scheme, the </w:t>
      </w:r>
      <w:r>
        <w:rPr>
          <w:color w:val="1F1F1F"/>
          <w:w w:val="105"/>
          <w:sz w:val="21"/>
        </w:rPr>
        <w:t>average rate</w:t>
      </w:r>
      <w:r>
        <w:rPr>
          <w:color w:val="1F1F1F"/>
          <w:spacing w:val="-6"/>
          <w:w w:val="105"/>
          <w:sz w:val="21"/>
        </w:rPr>
        <w:t> </w:t>
      </w:r>
      <w:r>
        <w:rPr>
          <w:color w:val="1F1F1F"/>
          <w:w w:val="105"/>
          <w:sz w:val="21"/>
        </w:rPr>
        <w:t>of</w:t>
      </w:r>
      <w:r>
        <w:rPr>
          <w:color w:val="1F1F1F"/>
          <w:spacing w:val="-8"/>
          <w:w w:val="105"/>
          <w:sz w:val="21"/>
        </w:rPr>
        <w:t> </w:t>
      </w:r>
      <w:r>
        <w:rPr>
          <w:color w:val="1F1F1F"/>
          <w:w w:val="105"/>
          <w:sz w:val="21"/>
        </w:rPr>
        <w:t>return</w:t>
      </w:r>
      <w:r>
        <w:rPr>
          <w:color w:val="545454"/>
          <w:w w:val="105"/>
          <w:sz w:val="21"/>
        </w:rPr>
        <w:t>,</w:t>
      </w:r>
      <w:r>
        <w:rPr>
          <w:color w:val="545454"/>
          <w:spacing w:val="-13"/>
          <w:w w:val="105"/>
          <w:sz w:val="21"/>
        </w:rPr>
        <w:t> </w:t>
      </w:r>
      <w:r>
        <w:rPr>
          <w:color w:val="363636"/>
          <w:w w:val="105"/>
          <w:sz w:val="21"/>
        </w:rPr>
        <w:t>including </w:t>
      </w:r>
      <w:r>
        <w:rPr>
          <w:color w:val="1F1F1F"/>
          <w:w w:val="105"/>
          <w:sz w:val="21"/>
        </w:rPr>
        <w:t>both</w:t>
      </w:r>
      <w:r>
        <w:rPr>
          <w:color w:val="1F1F1F"/>
          <w:spacing w:val="-3"/>
          <w:w w:val="105"/>
          <w:sz w:val="21"/>
        </w:rPr>
        <w:t> </w:t>
      </w:r>
      <w:r>
        <w:rPr>
          <w:color w:val="1F1F1F"/>
          <w:w w:val="105"/>
          <w:sz w:val="21"/>
        </w:rPr>
        <w:t>income and changes </w:t>
      </w:r>
      <w:r>
        <w:rPr>
          <w:color w:val="363636"/>
          <w:w w:val="105"/>
          <w:sz w:val="21"/>
        </w:rPr>
        <w:t>in </w:t>
      </w:r>
      <w:r>
        <w:rPr>
          <w:color w:val="1F1F1F"/>
          <w:w w:val="105"/>
          <w:sz w:val="21"/>
        </w:rPr>
        <w:t>fair value but net of scheme expenses</w:t>
      </w:r>
      <w:r>
        <w:rPr>
          <w:color w:val="545454"/>
          <w:w w:val="105"/>
          <w:sz w:val="21"/>
        </w:rPr>
        <w:t>, </w:t>
      </w:r>
      <w:r>
        <w:rPr>
          <w:color w:val="1F1F1F"/>
          <w:w w:val="105"/>
          <w:sz w:val="21"/>
        </w:rPr>
        <w:t>expected over the remaining life</w:t>
      </w:r>
      <w:r>
        <w:rPr>
          <w:color w:val="1F1F1F"/>
          <w:spacing w:val="40"/>
          <w:w w:val="105"/>
          <w:sz w:val="21"/>
        </w:rPr>
        <w:t> </w:t>
      </w:r>
      <w:r>
        <w:rPr>
          <w:color w:val="1F1F1F"/>
          <w:w w:val="105"/>
          <w:sz w:val="21"/>
        </w:rPr>
        <w:t>of the related </w:t>
      </w:r>
      <w:r>
        <w:rPr>
          <w:color w:val="0C0C0C"/>
          <w:w w:val="105"/>
          <w:sz w:val="21"/>
        </w:rPr>
        <w:t>obligat</w:t>
      </w:r>
      <w:r>
        <w:rPr>
          <w:color w:val="363636"/>
          <w:w w:val="105"/>
          <w:sz w:val="21"/>
        </w:rPr>
        <w:t>ion </w:t>
      </w:r>
      <w:r>
        <w:rPr>
          <w:color w:val="1F1F1F"/>
          <w:w w:val="105"/>
          <w:sz w:val="21"/>
        </w:rPr>
        <w:t>on</w:t>
      </w:r>
      <w:r>
        <w:rPr>
          <w:color w:val="1F1F1F"/>
          <w:spacing w:val="-2"/>
          <w:w w:val="105"/>
          <w:sz w:val="21"/>
        </w:rPr>
        <w:t> </w:t>
      </w:r>
      <w:r>
        <w:rPr>
          <w:color w:val="363636"/>
          <w:w w:val="105"/>
          <w:sz w:val="21"/>
        </w:rPr>
        <w:t>the </w:t>
      </w:r>
      <w:r>
        <w:rPr>
          <w:color w:val="1F1F1F"/>
          <w:w w:val="105"/>
          <w:sz w:val="21"/>
        </w:rPr>
        <w:t>actual assets </w:t>
      </w:r>
      <w:r>
        <w:rPr>
          <w:color w:val="0C0C0C"/>
          <w:w w:val="105"/>
          <w:sz w:val="21"/>
        </w:rPr>
        <w:t>held by the scheme.</w:t>
      </w:r>
    </w:p>
    <w:p>
      <w:pPr>
        <w:pStyle w:val="BodyText"/>
        <w:spacing w:before="10"/>
        <w:rPr>
          <w:sz w:val="21"/>
        </w:rPr>
      </w:pPr>
    </w:p>
    <w:p>
      <w:pPr>
        <w:spacing w:before="0" w:line="252" w:lineRule="auto"/>
        <w:ind w:left="316" w:right="1437" w:firstLine="12"/>
        <w:jc w:val="left"/>
        <w:rPr>
          <w:sz w:val="21"/>
        </w:rPr>
      </w:pPr>
      <w:r>
        <w:rPr>
          <w:color w:val="0C0C0C"/>
          <w:w w:val="105"/>
          <w:sz w:val="21"/>
        </w:rPr>
        <w:t>Material </w:t>
      </w:r>
      <w:r>
        <w:rPr>
          <w:color w:val="1F1F1F"/>
          <w:w w:val="105"/>
          <w:sz w:val="21"/>
        </w:rPr>
        <w:t>items, </w:t>
      </w:r>
      <w:r>
        <w:rPr>
          <w:color w:val="0C0C0C"/>
          <w:w w:val="105"/>
          <w:sz w:val="21"/>
        </w:rPr>
        <w:t>possessing a high degree of abnormality, which derive from events or transactions that fall outside the ordinary activities of the Council and which are not expected </w:t>
      </w:r>
      <w:r>
        <w:rPr>
          <w:color w:val="1F1F1F"/>
          <w:w w:val="105"/>
          <w:sz w:val="21"/>
        </w:rPr>
        <w:t>to recur</w:t>
      </w:r>
      <w:r>
        <w:rPr>
          <w:color w:val="6E6E6E"/>
          <w:w w:val="105"/>
          <w:sz w:val="21"/>
        </w:rPr>
        <w:t>.</w:t>
      </w:r>
      <w:r>
        <w:rPr>
          <w:color w:val="6E6E6E"/>
          <w:spacing w:val="-1"/>
          <w:w w:val="105"/>
          <w:sz w:val="21"/>
        </w:rPr>
        <w:t> </w:t>
      </w:r>
      <w:r>
        <w:rPr>
          <w:color w:val="1F1F1F"/>
          <w:w w:val="105"/>
          <w:sz w:val="21"/>
        </w:rPr>
        <w:t>They do not include </w:t>
      </w:r>
      <w:r>
        <w:rPr>
          <w:color w:val="0C0C0C"/>
          <w:w w:val="105"/>
          <w:sz w:val="21"/>
        </w:rPr>
        <w:t>except</w:t>
      </w:r>
      <w:r>
        <w:rPr>
          <w:color w:val="363636"/>
          <w:w w:val="105"/>
          <w:sz w:val="21"/>
        </w:rPr>
        <w:t>ional items </w:t>
      </w:r>
      <w:r>
        <w:rPr>
          <w:color w:val="1F1F1F"/>
          <w:w w:val="105"/>
          <w:sz w:val="21"/>
        </w:rPr>
        <w:t>nor do they include prior </w:t>
      </w:r>
      <w:r>
        <w:rPr>
          <w:color w:val="0C0C0C"/>
          <w:w w:val="105"/>
          <w:sz w:val="21"/>
        </w:rPr>
        <w:t>period</w:t>
      </w:r>
      <w:r>
        <w:rPr>
          <w:color w:val="0C0C0C"/>
          <w:spacing w:val="-6"/>
          <w:w w:val="105"/>
          <w:sz w:val="21"/>
        </w:rPr>
        <w:t> </w:t>
      </w:r>
      <w:r>
        <w:rPr>
          <w:color w:val="363636"/>
          <w:w w:val="105"/>
          <w:sz w:val="21"/>
        </w:rPr>
        <w:t>items </w:t>
      </w:r>
      <w:r>
        <w:rPr>
          <w:color w:val="1F1F1F"/>
          <w:w w:val="105"/>
          <w:sz w:val="21"/>
        </w:rPr>
        <w:t>merely because they relate</w:t>
      </w:r>
      <w:r>
        <w:rPr>
          <w:color w:val="1F1F1F"/>
          <w:spacing w:val="-8"/>
          <w:w w:val="105"/>
          <w:sz w:val="21"/>
        </w:rPr>
        <w:t> </w:t>
      </w:r>
      <w:r>
        <w:rPr>
          <w:color w:val="0C0C0C"/>
          <w:w w:val="105"/>
          <w:sz w:val="21"/>
        </w:rPr>
        <w:t>to</w:t>
      </w:r>
      <w:r>
        <w:rPr>
          <w:color w:val="0C0C0C"/>
          <w:spacing w:val="-4"/>
          <w:w w:val="105"/>
          <w:sz w:val="21"/>
        </w:rPr>
        <w:t> </w:t>
      </w:r>
      <w:r>
        <w:rPr>
          <w:color w:val="0C0C0C"/>
          <w:w w:val="105"/>
          <w:sz w:val="21"/>
        </w:rPr>
        <w:t>a prior period.</w:t>
      </w:r>
    </w:p>
    <w:p>
      <w:pPr>
        <w:pStyle w:val="BodyText"/>
        <w:spacing w:before="17"/>
        <w:rPr>
          <w:sz w:val="21"/>
        </w:rPr>
      </w:pPr>
    </w:p>
    <w:p>
      <w:pPr>
        <w:spacing w:before="1" w:line="252" w:lineRule="auto"/>
        <w:ind w:left="306" w:right="1523" w:firstLine="7"/>
        <w:jc w:val="left"/>
        <w:rPr>
          <w:sz w:val="21"/>
        </w:rPr>
      </w:pPr>
      <w:r>
        <w:rPr>
          <w:color w:val="0C0C0C"/>
          <w:w w:val="105"/>
          <w:sz w:val="21"/>
        </w:rPr>
        <w:t>Defined as financial assets that do not</w:t>
      </w:r>
      <w:r>
        <w:rPr>
          <w:color w:val="0C0C0C"/>
          <w:spacing w:val="40"/>
          <w:w w:val="105"/>
          <w:sz w:val="21"/>
        </w:rPr>
        <w:t> </w:t>
      </w:r>
      <w:r>
        <w:rPr>
          <w:color w:val="0C0C0C"/>
          <w:w w:val="105"/>
          <w:sz w:val="21"/>
        </w:rPr>
        <w:t>qualify</w:t>
      </w:r>
      <w:r>
        <w:rPr>
          <w:color w:val="0C0C0C"/>
          <w:spacing w:val="-3"/>
          <w:w w:val="105"/>
          <w:sz w:val="21"/>
        </w:rPr>
        <w:t> </w:t>
      </w:r>
      <w:r>
        <w:rPr>
          <w:color w:val="0C0C0C"/>
          <w:w w:val="105"/>
          <w:sz w:val="21"/>
        </w:rPr>
        <w:t>for</w:t>
      </w:r>
      <w:r>
        <w:rPr>
          <w:color w:val="0C0C0C"/>
          <w:spacing w:val="-9"/>
          <w:w w:val="105"/>
          <w:sz w:val="21"/>
        </w:rPr>
        <w:t> </w:t>
      </w:r>
      <w:r>
        <w:rPr>
          <w:color w:val="0C0C0C"/>
          <w:w w:val="105"/>
          <w:sz w:val="21"/>
        </w:rPr>
        <w:t>measurement</w:t>
      </w:r>
      <w:r>
        <w:rPr>
          <w:color w:val="0C0C0C"/>
          <w:spacing w:val="17"/>
          <w:w w:val="105"/>
          <w:sz w:val="21"/>
        </w:rPr>
        <w:t> </w:t>
      </w:r>
      <w:r>
        <w:rPr>
          <w:color w:val="1F1F1F"/>
          <w:w w:val="105"/>
          <w:sz w:val="21"/>
        </w:rPr>
        <w:t>at</w:t>
      </w:r>
      <w:r>
        <w:rPr>
          <w:color w:val="1F1F1F"/>
          <w:spacing w:val="-5"/>
          <w:w w:val="105"/>
          <w:sz w:val="21"/>
        </w:rPr>
        <w:t> </w:t>
      </w:r>
      <w:r>
        <w:rPr>
          <w:color w:val="1F1F1F"/>
          <w:w w:val="105"/>
          <w:sz w:val="21"/>
        </w:rPr>
        <w:t>amortised</w:t>
      </w:r>
      <w:r>
        <w:rPr>
          <w:color w:val="1F1F1F"/>
          <w:spacing w:val="-3"/>
          <w:w w:val="105"/>
          <w:sz w:val="21"/>
        </w:rPr>
        <w:t> </w:t>
      </w:r>
      <w:r>
        <w:rPr>
          <w:color w:val="0C0C0C"/>
          <w:w w:val="105"/>
          <w:sz w:val="21"/>
        </w:rPr>
        <w:t>cost</w:t>
      </w:r>
      <w:r>
        <w:rPr>
          <w:color w:val="0C0C0C"/>
          <w:spacing w:val="-5"/>
          <w:w w:val="105"/>
          <w:sz w:val="21"/>
        </w:rPr>
        <w:t> </w:t>
      </w:r>
      <w:r>
        <w:rPr>
          <w:color w:val="0C0C0C"/>
          <w:w w:val="105"/>
          <w:sz w:val="21"/>
        </w:rPr>
        <w:t>or fair value through other </w:t>
      </w:r>
      <w:r>
        <w:rPr>
          <w:color w:val="1F1F1F"/>
          <w:w w:val="105"/>
          <w:sz w:val="21"/>
        </w:rPr>
        <w:t>comprehensive </w:t>
      </w:r>
      <w:r>
        <w:rPr>
          <w:color w:val="1F1F1F"/>
          <w:spacing w:val="-2"/>
          <w:w w:val="105"/>
          <w:sz w:val="21"/>
        </w:rPr>
        <w:t>income</w:t>
      </w:r>
      <w:r>
        <w:rPr>
          <w:color w:val="545454"/>
          <w:spacing w:val="-2"/>
          <w:w w:val="105"/>
          <w:sz w:val="21"/>
        </w:rPr>
        <w:t>.</w:t>
      </w:r>
    </w:p>
    <w:p>
      <w:pPr>
        <w:pStyle w:val="BodyText"/>
        <w:spacing w:before="7"/>
        <w:rPr>
          <w:sz w:val="21"/>
        </w:rPr>
      </w:pPr>
    </w:p>
    <w:p>
      <w:pPr>
        <w:spacing w:before="1" w:line="252" w:lineRule="auto"/>
        <w:ind w:left="289" w:right="1487" w:firstLine="12"/>
        <w:jc w:val="left"/>
        <w:rPr>
          <w:sz w:val="21"/>
        </w:rPr>
      </w:pPr>
      <w:r>
        <w:rPr>
          <w:color w:val="0C0C0C"/>
          <w:w w:val="105"/>
          <w:sz w:val="21"/>
        </w:rPr>
        <w:t>A finance lease transfers all of the risks and rewards of ownership of a fixed asset to the lessee and such assets have been valued and</w:t>
      </w:r>
      <w:r>
        <w:rPr>
          <w:color w:val="0C0C0C"/>
          <w:spacing w:val="-7"/>
          <w:w w:val="105"/>
          <w:sz w:val="21"/>
        </w:rPr>
        <w:t> </w:t>
      </w:r>
      <w:r>
        <w:rPr>
          <w:color w:val="0C0C0C"/>
          <w:w w:val="105"/>
          <w:sz w:val="21"/>
        </w:rPr>
        <w:t>included</w:t>
      </w:r>
      <w:r>
        <w:rPr>
          <w:color w:val="0C0C0C"/>
          <w:spacing w:val="-2"/>
          <w:w w:val="105"/>
          <w:sz w:val="21"/>
        </w:rPr>
        <w:t> </w:t>
      </w:r>
      <w:r>
        <w:rPr>
          <w:color w:val="0C0C0C"/>
          <w:w w:val="105"/>
          <w:sz w:val="21"/>
        </w:rPr>
        <w:t>within Non-current</w:t>
      </w:r>
      <w:r>
        <w:rPr>
          <w:color w:val="0C0C0C"/>
          <w:spacing w:val="25"/>
          <w:w w:val="105"/>
          <w:sz w:val="21"/>
        </w:rPr>
        <w:t> </w:t>
      </w:r>
      <w:r>
        <w:rPr>
          <w:color w:val="0C0C0C"/>
          <w:w w:val="105"/>
          <w:sz w:val="21"/>
        </w:rPr>
        <w:t>assets</w:t>
      </w:r>
      <w:r>
        <w:rPr>
          <w:color w:val="0C0C0C"/>
          <w:spacing w:val="-1"/>
          <w:w w:val="105"/>
          <w:sz w:val="21"/>
        </w:rPr>
        <w:t> </w:t>
      </w:r>
      <w:r>
        <w:rPr>
          <w:color w:val="1F1F1F"/>
          <w:w w:val="105"/>
          <w:sz w:val="21"/>
        </w:rPr>
        <w:t>in</w:t>
      </w:r>
      <w:r>
        <w:rPr>
          <w:color w:val="1F1F1F"/>
          <w:spacing w:val="-15"/>
          <w:w w:val="105"/>
          <w:sz w:val="21"/>
        </w:rPr>
        <w:t> </w:t>
      </w:r>
      <w:r>
        <w:rPr>
          <w:color w:val="0C0C0C"/>
          <w:w w:val="105"/>
          <w:sz w:val="21"/>
        </w:rPr>
        <w:t>the Balance Sheet.</w:t>
      </w:r>
      <w:r>
        <w:rPr>
          <w:color w:val="0C0C0C"/>
          <w:spacing w:val="40"/>
          <w:w w:val="105"/>
          <w:sz w:val="21"/>
        </w:rPr>
        <w:t> </w:t>
      </w:r>
      <w:r>
        <w:rPr>
          <w:color w:val="0C0C0C"/>
          <w:w w:val="105"/>
          <w:sz w:val="21"/>
        </w:rPr>
        <w:t>With an operating lease the ownership of the asset remains </w:t>
      </w:r>
      <w:r>
        <w:rPr>
          <w:color w:val="1F1F1F"/>
          <w:w w:val="105"/>
          <w:sz w:val="21"/>
        </w:rPr>
        <w:t>with </w:t>
      </w:r>
      <w:r>
        <w:rPr>
          <w:color w:val="0C0C0C"/>
          <w:w w:val="105"/>
          <w:sz w:val="21"/>
        </w:rPr>
        <w:t>the Leasing Company and the annual rent is charged to the relevant service revenue </w:t>
      </w:r>
      <w:r>
        <w:rPr>
          <w:color w:val="0C0C0C"/>
          <w:spacing w:val="-2"/>
          <w:w w:val="105"/>
          <w:sz w:val="21"/>
        </w:rPr>
        <w:t>account.</w:t>
      </w:r>
    </w:p>
    <w:p>
      <w:pPr>
        <w:pStyle w:val="BodyText"/>
        <w:spacing w:before="8"/>
        <w:rPr>
          <w:sz w:val="21"/>
        </w:rPr>
      </w:pPr>
    </w:p>
    <w:p>
      <w:pPr>
        <w:spacing w:before="1" w:line="249" w:lineRule="auto"/>
        <w:ind w:left="279" w:right="1502" w:firstLine="3"/>
        <w:jc w:val="left"/>
        <w:rPr>
          <w:sz w:val="21"/>
        </w:rPr>
      </w:pPr>
      <w:r>
        <w:rPr>
          <w:color w:val="0C0C0C"/>
          <w:w w:val="105"/>
          <w:sz w:val="21"/>
        </w:rPr>
        <w:t>A contract that gives one party a financial asset and</w:t>
      </w:r>
      <w:r>
        <w:rPr>
          <w:color w:val="0C0C0C"/>
          <w:spacing w:val="-12"/>
          <w:w w:val="105"/>
          <w:sz w:val="21"/>
        </w:rPr>
        <w:t> </w:t>
      </w:r>
      <w:r>
        <w:rPr>
          <w:color w:val="0C0C0C"/>
          <w:w w:val="105"/>
          <w:sz w:val="21"/>
        </w:rPr>
        <w:t>the</w:t>
      </w:r>
      <w:r>
        <w:rPr>
          <w:color w:val="0C0C0C"/>
          <w:spacing w:val="-4"/>
          <w:w w:val="105"/>
          <w:sz w:val="21"/>
        </w:rPr>
        <w:t> </w:t>
      </w:r>
      <w:r>
        <w:rPr>
          <w:color w:val="0C0C0C"/>
          <w:w w:val="105"/>
          <w:sz w:val="21"/>
        </w:rPr>
        <w:t>other</w:t>
      </w:r>
      <w:r>
        <w:rPr>
          <w:color w:val="0C0C0C"/>
          <w:spacing w:val="-3"/>
          <w:w w:val="105"/>
          <w:sz w:val="21"/>
        </w:rPr>
        <w:t> </w:t>
      </w:r>
      <w:r>
        <w:rPr>
          <w:color w:val="0C0C0C"/>
          <w:w w:val="105"/>
          <w:sz w:val="21"/>
        </w:rPr>
        <w:t>party a</w:t>
      </w:r>
      <w:r>
        <w:rPr>
          <w:color w:val="0C0C0C"/>
          <w:spacing w:val="-8"/>
          <w:w w:val="105"/>
          <w:sz w:val="21"/>
        </w:rPr>
        <w:t> </w:t>
      </w:r>
      <w:r>
        <w:rPr>
          <w:color w:val="0C0C0C"/>
          <w:w w:val="105"/>
          <w:sz w:val="21"/>
        </w:rPr>
        <w:t>financial liability (or an </w:t>
      </w:r>
      <w:r>
        <w:rPr>
          <w:color w:val="1F1F1F"/>
          <w:w w:val="105"/>
          <w:sz w:val="21"/>
        </w:rPr>
        <w:t>equity </w:t>
      </w:r>
      <w:r>
        <w:rPr>
          <w:color w:val="363636"/>
          <w:w w:val="105"/>
          <w:sz w:val="21"/>
        </w:rPr>
        <w:t>instr</w:t>
      </w:r>
      <w:r>
        <w:rPr>
          <w:color w:val="0C0C0C"/>
          <w:w w:val="105"/>
          <w:sz w:val="21"/>
        </w:rPr>
        <w:t>ument), such </w:t>
      </w:r>
      <w:r>
        <w:rPr>
          <w:color w:val="1F1F1F"/>
          <w:w w:val="105"/>
          <w:sz w:val="21"/>
        </w:rPr>
        <w:t>as a loan</w:t>
      </w:r>
      <w:r>
        <w:rPr>
          <w:color w:val="545454"/>
          <w:w w:val="105"/>
          <w:sz w:val="21"/>
        </w:rPr>
        <w:t>, </w:t>
      </w:r>
      <w:r>
        <w:rPr>
          <w:color w:val="0C0C0C"/>
          <w:w w:val="105"/>
          <w:sz w:val="21"/>
        </w:rPr>
        <w:t>credit </w:t>
      </w:r>
      <w:r>
        <w:rPr>
          <w:color w:val="1F1F1F"/>
          <w:w w:val="105"/>
          <w:sz w:val="21"/>
        </w:rPr>
        <w:t>terms </w:t>
      </w:r>
      <w:r>
        <w:rPr>
          <w:color w:val="0C0C0C"/>
          <w:w w:val="105"/>
          <w:sz w:val="21"/>
        </w:rPr>
        <w:t>for </w:t>
      </w:r>
      <w:r>
        <w:rPr>
          <w:color w:val="1F1F1F"/>
          <w:w w:val="105"/>
          <w:sz w:val="21"/>
        </w:rPr>
        <w:t>the </w:t>
      </w:r>
      <w:r>
        <w:rPr>
          <w:color w:val="0C0C0C"/>
          <w:w w:val="105"/>
          <w:sz w:val="21"/>
        </w:rPr>
        <w:t>purchase of </w:t>
      </w:r>
      <w:r>
        <w:rPr>
          <w:color w:val="1F1F1F"/>
          <w:w w:val="105"/>
          <w:sz w:val="21"/>
        </w:rPr>
        <w:t>goods or </w:t>
      </w:r>
      <w:r>
        <w:rPr>
          <w:color w:val="0C0C0C"/>
          <w:w w:val="105"/>
          <w:sz w:val="21"/>
        </w:rPr>
        <w:t>services or a share in a company.</w:t>
      </w:r>
    </w:p>
    <w:p>
      <w:pPr>
        <w:spacing w:after="0" w:line="249" w:lineRule="auto"/>
        <w:jc w:val="left"/>
        <w:rPr>
          <w:sz w:val="21"/>
        </w:rPr>
        <w:sectPr>
          <w:type w:val="continuous"/>
          <w:pgSz w:w="11910" w:h="16830"/>
          <w:pgMar w:top="1940" w:right="540" w:bottom="280" w:left="440" w:header="0" w:footer="0"/>
          <w:cols w:equalWidth="0" w:num="2">
            <w:col w:w="4671" w:space="39"/>
            <w:col w:w="6220"/>
          </w:cols>
        </w:sectPr>
      </w:pPr>
    </w:p>
    <w:p>
      <w:pPr>
        <w:pStyle w:val="BodyText"/>
        <w:rPr>
          <w:sz w:val="20"/>
        </w:rPr>
      </w:pPr>
    </w:p>
    <w:p>
      <w:pPr>
        <w:pStyle w:val="BodyText"/>
        <w:spacing w:before="195"/>
        <w:rPr>
          <w:sz w:val="20"/>
        </w:rPr>
      </w:pPr>
    </w:p>
    <w:p>
      <w:pPr>
        <w:spacing w:after="0"/>
        <w:rPr>
          <w:sz w:val="20"/>
        </w:rPr>
        <w:sectPr>
          <w:headerReference w:type="default" r:id="rId337"/>
          <w:headerReference w:type="even" r:id="rId338"/>
          <w:footerReference w:type="default" r:id="rId339"/>
          <w:footerReference w:type="even" r:id="rId340"/>
          <w:pgSz w:w="11910" w:h="16830"/>
          <w:pgMar w:top="920" w:right="540" w:bottom="1340" w:left="440" w:header="724" w:footer="1146"/>
          <w:pgNumType w:start="153"/>
        </w:sectPr>
      </w:pPr>
    </w:p>
    <w:p>
      <w:pPr>
        <w:pStyle w:val="BodyText"/>
        <w:spacing w:before="111"/>
        <w:rPr>
          <w:sz w:val="21"/>
        </w:rPr>
      </w:pPr>
    </w:p>
    <w:p>
      <w:pPr>
        <w:spacing w:before="1"/>
        <w:ind w:left="247" w:right="0" w:firstLine="0"/>
        <w:jc w:val="left"/>
        <w:rPr>
          <w:b/>
          <w:sz w:val="21"/>
        </w:rPr>
      </w:pPr>
      <w:r>
        <w:rPr>
          <w:b/>
          <w:color w:val="0C0C0C"/>
          <w:w w:val="105"/>
          <w:sz w:val="21"/>
        </w:rPr>
        <w:t>General</w:t>
      </w:r>
      <w:r>
        <w:rPr>
          <w:b/>
          <w:color w:val="0C0C0C"/>
          <w:spacing w:val="-5"/>
          <w:w w:val="105"/>
          <w:sz w:val="21"/>
        </w:rPr>
        <w:t> </w:t>
      </w:r>
      <w:r>
        <w:rPr>
          <w:b/>
          <w:color w:val="0C0C0C"/>
          <w:spacing w:val="-4"/>
          <w:w w:val="105"/>
          <w:sz w:val="21"/>
        </w:rPr>
        <w:t>Fund</w:t>
      </w:r>
    </w:p>
    <w:p>
      <w:pPr>
        <w:spacing w:before="98"/>
        <w:ind w:left="247" w:right="0" w:firstLine="0"/>
        <w:jc w:val="left"/>
        <w:rPr>
          <w:b/>
          <w:sz w:val="21"/>
        </w:rPr>
      </w:pPr>
      <w:r>
        <w:rPr/>
        <w:br w:type="column"/>
      </w:r>
      <w:r>
        <w:rPr>
          <w:b/>
          <w:color w:val="0C0C0C"/>
          <w:spacing w:val="-4"/>
          <w:w w:val="105"/>
          <w:sz w:val="21"/>
        </w:rPr>
        <w:t>Term</w:t>
      </w:r>
    </w:p>
    <w:p>
      <w:pPr>
        <w:spacing w:before="94"/>
        <w:ind w:left="1933" w:right="0" w:firstLine="0"/>
        <w:jc w:val="left"/>
        <w:rPr>
          <w:b/>
          <w:sz w:val="21"/>
        </w:rPr>
      </w:pPr>
      <w:r>
        <w:rPr/>
        <w:br w:type="column"/>
      </w:r>
      <w:r>
        <w:rPr>
          <w:b/>
          <w:color w:val="0C0C0C"/>
          <w:spacing w:val="-2"/>
          <w:w w:val="105"/>
          <w:sz w:val="21"/>
        </w:rPr>
        <w:t>Definition</w:t>
      </w:r>
    </w:p>
    <w:p>
      <w:pPr>
        <w:spacing w:before="13" w:line="252" w:lineRule="auto"/>
        <w:ind w:left="248" w:right="1610" w:hanging="2"/>
        <w:jc w:val="left"/>
        <w:rPr>
          <w:sz w:val="21"/>
        </w:rPr>
      </w:pPr>
      <w:r>
        <w:rPr>
          <w:color w:val="0C0C0C"/>
          <w:w w:val="105"/>
          <w:sz w:val="21"/>
        </w:rPr>
        <w:t>The</w:t>
      </w:r>
      <w:r>
        <w:rPr>
          <w:color w:val="0C0C0C"/>
          <w:spacing w:val="-15"/>
          <w:w w:val="105"/>
          <w:sz w:val="21"/>
        </w:rPr>
        <w:t> </w:t>
      </w:r>
      <w:r>
        <w:rPr>
          <w:color w:val="0C0C0C"/>
          <w:w w:val="105"/>
          <w:sz w:val="21"/>
        </w:rPr>
        <w:t>main</w:t>
      </w:r>
      <w:r>
        <w:rPr>
          <w:color w:val="0C0C0C"/>
          <w:spacing w:val="-14"/>
          <w:w w:val="105"/>
          <w:sz w:val="21"/>
        </w:rPr>
        <w:t> </w:t>
      </w:r>
      <w:r>
        <w:rPr>
          <w:color w:val="0C0C0C"/>
          <w:w w:val="105"/>
          <w:sz w:val="21"/>
        </w:rPr>
        <w:t>revenue</w:t>
      </w:r>
      <w:r>
        <w:rPr>
          <w:color w:val="0C0C0C"/>
          <w:spacing w:val="-2"/>
          <w:w w:val="105"/>
          <w:sz w:val="21"/>
        </w:rPr>
        <w:t> </w:t>
      </w:r>
      <w:r>
        <w:rPr>
          <w:color w:val="0C0C0C"/>
          <w:w w:val="105"/>
          <w:sz w:val="21"/>
        </w:rPr>
        <w:t>account of</w:t>
      </w:r>
      <w:r>
        <w:rPr>
          <w:color w:val="0C0C0C"/>
          <w:spacing w:val="-14"/>
          <w:w w:val="105"/>
          <w:sz w:val="21"/>
        </w:rPr>
        <w:t> </w:t>
      </w:r>
      <w:r>
        <w:rPr>
          <w:color w:val="0C0C0C"/>
          <w:w w:val="105"/>
          <w:sz w:val="21"/>
        </w:rPr>
        <w:t>the</w:t>
      </w:r>
      <w:r>
        <w:rPr>
          <w:color w:val="0C0C0C"/>
          <w:spacing w:val="-11"/>
          <w:w w:val="105"/>
          <w:sz w:val="21"/>
        </w:rPr>
        <w:t> </w:t>
      </w:r>
      <w:r>
        <w:rPr>
          <w:color w:val="0C0C0C"/>
          <w:w w:val="105"/>
          <w:sz w:val="21"/>
        </w:rPr>
        <w:t>Council.</w:t>
      </w:r>
      <w:r>
        <w:rPr>
          <w:color w:val="0C0C0C"/>
          <w:spacing w:val="-8"/>
          <w:w w:val="105"/>
          <w:sz w:val="21"/>
        </w:rPr>
        <w:t> </w:t>
      </w:r>
      <w:r>
        <w:rPr>
          <w:color w:val="0C0C0C"/>
          <w:w w:val="105"/>
          <w:sz w:val="21"/>
        </w:rPr>
        <w:t>It contains the excess to</w:t>
      </w:r>
      <w:r>
        <w:rPr>
          <w:color w:val="0C0C0C"/>
          <w:spacing w:val="-4"/>
          <w:w w:val="105"/>
          <w:sz w:val="21"/>
        </w:rPr>
        <w:t> </w:t>
      </w:r>
      <w:r>
        <w:rPr>
          <w:color w:val="0C0C0C"/>
          <w:w w:val="105"/>
          <w:sz w:val="21"/>
        </w:rPr>
        <w:t>date of income over expenditure in</w:t>
      </w:r>
      <w:r>
        <w:rPr>
          <w:color w:val="0C0C0C"/>
          <w:spacing w:val="-10"/>
          <w:w w:val="105"/>
          <w:sz w:val="21"/>
        </w:rPr>
        <w:t> </w:t>
      </w:r>
      <w:r>
        <w:rPr>
          <w:color w:val="0C0C0C"/>
          <w:w w:val="105"/>
          <w:sz w:val="21"/>
        </w:rPr>
        <w:t>the</w:t>
      </w:r>
      <w:r>
        <w:rPr>
          <w:color w:val="0C0C0C"/>
          <w:spacing w:val="-6"/>
          <w:w w:val="105"/>
          <w:sz w:val="21"/>
        </w:rPr>
        <w:t> </w:t>
      </w:r>
      <w:r>
        <w:rPr>
          <w:color w:val="0C0C0C"/>
          <w:w w:val="105"/>
          <w:sz w:val="21"/>
        </w:rPr>
        <w:t>Income and</w:t>
      </w:r>
      <w:r>
        <w:rPr>
          <w:color w:val="0C0C0C"/>
          <w:spacing w:val="-5"/>
          <w:w w:val="105"/>
          <w:sz w:val="21"/>
        </w:rPr>
        <w:t> </w:t>
      </w:r>
      <w:r>
        <w:rPr>
          <w:color w:val="0C0C0C"/>
          <w:w w:val="105"/>
          <w:sz w:val="21"/>
        </w:rPr>
        <w:t>Expenditure </w:t>
      </w:r>
      <w:r>
        <w:rPr>
          <w:color w:val="0C0C0C"/>
          <w:spacing w:val="-2"/>
          <w:w w:val="105"/>
          <w:sz w:val="21"/>
        </w:rPr>
        <w:t>Account.</w:t>
      </w:r>
    </w:p>
    <w:p>
      <w:pPr>
        <w:spacing w:after="0" w:line="252" w:lineRule="auto"/>
        <w:jc w:val="left"/>
        <w:rPr>
          <w:sz w:val="21"/>
        </w:rPr>
        <w:sectPr>
          <w:type w:val="continuous"/>
          <w:pgSz w:w="11910" w:h="16830"/>
          <w:pgMar w:top="1940" w:right="540" w:bottom="280" w:left="440" w:header="724" w:footer="1146"/>
          <w:cols w:equalWidth="0" w:num="3">
            <w:col w:w="1705" w:space="228"/>
            <w:col w:w="817" w:space="1871"/>
            <w:col w:w="6309"/>
          </w:cols>
        </w:sectPr>
      </w:pPr>
    </w:p>
    <w:p>
      <w:pPr>
        <w:pStyle w:val="BodyText"/>
        <w:spacing w:before="6"/>
        <w:rPr>
          <w:sz w:val="13"/>
        </w:rPr>
      </w:pPr>
    </w:p>
    <w:p>
      <w:pPr>
        <w:spacing w:after="0"/>
        <w:rPr>
          <w:sz w:val="13"/>
        </w:rPr>
        <w:sectPr>
          <w:type w:val="continuous"/>
          <w:pgSz w:w="11910" w:h="16830"/>
          <w:pgMar w:top="1940" w:right="540" w:bottom="280" w:left="440" w:header="724" w:footer="1146"/>
        </w:sectPr>
      </w:pPr>
    </w:p>
    <w:p>
      <w:pPr>
        <w:spacing w:before="99"/>
        <w:ind w:left="251" w:right="0" w:firstLine="0"/>
        <w:jc w:val="left"/>
        <w:rPr>
          <w:b/>
          <w:sz w:val="21"/>
        </w:rPr>
      </w:pPr>
      <w:r>
        <w:rPr>
          <w:b/>
          <w:color w:val="0C0C0C"/>
          <w:w w:val="105"/>
          <w:sz w:val="21"/>
        </w:rPr>
        <w:t>Government</w:t>
      </w:r>
      <w:r>
        <w:rPr>
          <w:b/>
          <w:color w:val="0C0C0C"/>
          <w:spacing w:val="-8"/>
          <w:w w:val="105"/>
          <w:sz w:val="21"/>
        </w:rPr>
        <w:t> </w:t>
      </w:r>
      <w:r>
        <w:rPr>
          <w:b/>
          <w:color w:val="0C0C0C"/>
          <w:spacing w:val="-2"/>
          <w:w w:val="105"/>
          <w:sz w:val="21"/>
        </w:rPr>
        <w:t>Grants</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74"/>
        <w:rPr>
          <w:b/>
          <w:sz w:val="21"/>
        </w:rPr>
      </w:pPr>
    </w:p>
    <w:p>
      <w:pPr>
        <w:spacing w:before="0"/>
        <w:ind w:left="256" w:right="0" w:firstLine="0"/>
        <w:jc w:val="left"/>
        <w:rPr>
          <w:b/>
          <w:sz w:val="21"/>
        </w:rPr>
      </w:pPr>
      <w:r>
        <w:rPr>
          <w:b/>
          <w:color w:val="0C0C0C"/>
          <w:w w:val="105"/>
          <w:sz w:val="21"/>
        </w:rPr>
        <w:t>Housing</w:t>
      </w:r>
      <w:r>
        <w:rPr>
          <w:b/>
          <w:color w:val="0C0C0C"/>
          <w:spacing w:val="-3"/>
          <w:w w:val="105"/>
          <w:sz w:val="21"/>
        </w:rPr>
        <w:t> </w:t>
      </w:r>
      <w:r>
        <w:rPr>
          <w:b/>
          <w:color w:val="0C0C0C"/>
          <w:spacing w:val="-2"/>
          <w:w w:val="105"/>
          <w:sz w:val="21"/>
        </w:rPr>
        <w:t>Advances</w:t>
      </w:r>
    </w:p>
    <w:p>
      <w:pPr>
        <w:pStyle w:val="BodyText"/>
        <w:rPr>
          <w:b/>
          <w:sz w:val="21"/>
        </w:rPr>
      </w:pPr>
    </w:p>
    <w:p>
      <w:pPr>
        <w:pStyle w:val="BodyText"/>
        <w:rPr>
          <w:b/>
          <w:sz w:val="21"/>
        </w:rPr>
      </w:pPr>
    </w:p>
    <w:p>
      <w:pPr>
        <w:pStyle w:val="BodyText"/>
        <w:spacing w:before="48"/>
        <w:rPr>
          <w:b/>
          <w:sz w:val="21"/>
        </w:rPr>
      </w:pPr>
    </w:p>
    <w:p>
      <w:pPr>
        <w:spacing w:before="0"/>
        <w:ind w:left="260" w:right="0" w:firstLine="0"/>
        <w:jc w:val="left"/>
        <w:rPr>
          <w:b/>
          <w:sz w:val="21"/>
        </w:rPr>
      </w:pPr>
      <w:r>
        <w:rPr>
          <w:b/>
          <w:color w:val="0C0C0C"/>
          <w:w w:val="105"/>
          <w:sz w:val="21"/>
        </w:rPr>
        <w:t>Housing</w:t>
      </w:r>
      <w:r>
        <w:rPr>
          <w:b/>
          <w:color w:val="0C0C0C"/>
          <w:spacing w:val="-13"/>
          <w:w w:val="105"/>
          <w:sz w:val="21"/>
        </w:rPr>
        <w:t> </w:t>
      </w:r>
      <w:r>
        <w:rPr>
          <w:b/>
          <w:color w:val="0C0C0C"/>
          <w:spacing w:val="-2"/>
          <w:w w:val="105"/>
          <w:sz w:val="21"/>
        </w:rPr>
        <w:t>Benefits</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91"/>
        <w:rPr>
          <w:b/>
          <w:sz w:val="21"/>
        </w:rPr>
      </w:pPr>
    </w:p>
    <w:p>
      <w:pPr>
        <w:spacing w:before="0"/>
        <w:ind w:left="262" w:right="0" w:firstLine="0"/>
        <w:jc w:val="left"/>
        <w:rPr>
          <w:b/>
          <w:sz w:val="21"/>
        </w:rPr>
      </w:pPr>
      <w:r>
        <w:rPr>
          <w:b/>
          <w:color w:val="0C0C0C"/>
          <w:spacing w:val="-2"/>
          <w:w w:val="105"/>
          <w:sz w:val="21"/>
        </w:rPr>
        <w:t>Infrastructure</w:t>
      </w:r>
      <w:r>
        <w:rPr>
          <w:b/>
          <w:color w:val="0C0C0C"/>
          <w:spacing w:val="8"/>
          <w:w w:val="105"/>
          <w:sz w:val="21"/>
        </w:rPr>
        <w:t> </w:t>
      </w:r>
      <w:r>
        <w:rPr>
          <w:b/>
          <w:color w:val="0C0C0C"/>
          <w:spacing w:val="-2"/>
          <w:w w:val="105"/>
          <w:sz w:val="21"/>
        </w:rPr>
        <w:t>Assets</w:t>
      </w:r>
    </w:p>
    <w:p>
      <w:pPr>
        <w:pStyle w:val="BodyText"/>
        <w:rPr>
          <w:b/>
          <w:sz w:val="21"/>
        </w:rPr>
      </w:pPr>
    </w:p>
    <w:p>
      <w:pPr>
        <w:pStyle w:val="BodyText"/>
        <w:rPr>
          <w:b/>
          <w:sz w:val="21"/>
        </w:rPr>
      </w:pPr>
    </w:p>
    <w:p>
      <w:pPr>
        <w:pStyle w:val="BodyText"/>
        <w:rPr>
          <w:b/>
          <w:sz w:val="21"/>
        </w:rPr>
      </w:pPr>
    </w:p>
    <w:p>
      <w:pPr>
        <w:pStyle w:val="BodyText"/>
        <w:spacing w:before="62"/>
        <w:rPr>
          <w:b/>
          <w:sz w:val="21"/>
        </w:rPr>
      </w:pPr>
    </w:p>
    <w:p>
      <w:pPr>
        <w:spacing w:before="0"/>
        <w:ind w:left="262" w:right="0" w:firstLine="0"/>
        <w:jc w:val="left"/>
        <w:rPr>
          <w:b/>
          <w:sz w:val="21"/>
        </w:rPr>
      </w:pPr>
      <w:r>
        <w:rPr>
          <w:b/>
          <w:color w:val="0C0C0C"/>
          <w:w w:val="105"/>
          <w:sz w:val="21"/>
        </w:rPr>
        <w:t>Interest</w:t>
      </w:r>
      <w:r>
        <w:rPr>
          <w:b/>
          <w:color w:val="0C0C0C"/>
          <w:spacing w:val="3"/>
          <w:w w:val="105"/>
          <w:sz w:val="21"/>
        </w:rPr>
        <w:t> </w:t>
      </w:r>
      <w:r>
        <w:rPr>
          <w:b/>
          <w:color w:val="0C0C0C"/>
          <w:w w:val="105"/>
          <w:sz w:val="21"/>
        </w:rPr>
        <w:t>Cost</w:t>
      </w:r>
      <w:r>
        <w:rPr>
          <w:b/>
          <w:color w:val="0C0C0C"/>
          <w:spacing w:val="-13"/>
          <w:w w:val="105"/>
          <w:sz w:val="21"/>
        </w:rPr>
        <w:t> </w:t>
      </w:r>
      <w:r>
        <w:rPr>
          <w:b/>
          <w:color w:val="0C0C0C"/>
          <w:spacing w:val="-2"/>
          <w:w w:val="105"/>
          <w:sz w:val="21"/>
        </w:rPr>
        <w:t>(Pensions)</w:t>
      </w:r>
    </w:p>
    <w:p>
      <w:pPr>
        <w:pStyle w:val="BodyText"/>
        <w:rPr>
          <w:b/>
          <w:sz w:val="21"/>
        </w:rPr>
      </w:pPr>
    </w:p>
    <w:p>
      <w:pPr>
        <w:pStyle w:val="BodyText"/>
        <w:rPr>
          <w:b/>
          <w:sz w:val="21"/>
        </w:rPr>
      </w:pPr>
    </w:p>
    <w:p>
      <w:pPr>
        <w:pStyle w:val="BodyText"/>
        <w:rPr>
          <w:b/>
          <w:sz w:val="21"/>
        </w:rPr>
      </w:pPr>
    </w:p>
    <w:p>
      <w:pPr>
        <w:pStyle w:val="BodyText"/>
        <w:spacing w:before="61"/>
        <w:rPr>
          <w:b/>
          <w:sz w:val="21"/>
        </w:rPr>
      </w:pPr>
    </w:p>
    <w:p>
      <w:pPr>
        <w:spacing w:before="0"/>
        <w:ind w:left="266" w:right="0" w:firstLine="0"/>
        <w:jc w:val="left"/>
        <w:rPr>
          <w:b/>
          <w:sz w:val="21"/>
        </w:rPr>
      </w:pPr>
      <w:r>
        <w:rPr>
          <w:b/>
          <w:color w:val="0C0C0C"/>
          <w:spacing w:val="-2"/>
          <w:w w:val="105"/>
          <w:sz w:val="21"/>
        </w:rPr>
        <w:t>Inventories</w:t>
      </w:r>
    </w:p>
    <w:p>
      <w:pPr>
        <w:pStyle w:val="BodyText"/>
        <w:rPr>
          <w:b/>
          <w:sz w:val="21"/>
        </w:rPr>
      </w:pPr>
    </w:p>
    <w:p>
      <w:pPr>
        <w:pStyle w:val="BodyText"/>
        <w:rPr>
          <w:b/>
          <w:sz w:val="21"/>
        </w:rPr>
      </w:pPr>
    </w:p>
    <w:p>
      <w:pPr>
        <w:pStyle w:val="BodyText"/>
        <w:rPr>
          <w:b/>
          <w:sz w:val="21"/>
        </w:rPr>
      </w:pPr>
    </w:p>
    <w:p>
      <w:pPr>
        <w:pStyle w:val="BodyText"/>
        <w:spacing w:before="56"/>
        <w:rPr>
          <w:b/>
          <w:sz w:val="21"/>
        </w:rPr>
      </w:pPr>
    </w:p>
    <w:p>
      <w:pPr>
        <w:spacing w:before="0"/>
        <w:ind w:left="266" w:right="0" w:firstLine="0"/>
        <w:jc w:val="left"/>
        <w:rPr>
          <w:b/>
          <w:sz w:val="21"/>
        </w:rPr>
      </w:pPr>
      <w:r>
        <w:rPr>
          <w:b/>
          <w:color w:val="0C0C0C"/>
          <w:spacing w:val="-2"/>
          <w:w w:val="105"/>
          <w:sz w:val="21"/>
        </w:rPr>
        <w:t>Investments</w:t>
      </w:r>
      <w:r>
        <w:rPr>
          <w:b/>
          <w:color w:val="0C0C0C"/>
          <w:spacing w:val="1"/>
          <w:w w:val="105"/>
          <w:sz w:val="21"/>
        </w:rPr>
        <w:t> </w:t>
      </w:r>
      <w:r>
        <w:rPr>
          <w:b/>
          <w:color w:val="0C0C0C"/>
          <w:spacing w:val="-2"/>
          <w:w w:val="105"/>
          <w:sz w:val="21"/>
        </w:rPr>
        <w:t>(Non-Pension</w:t>
      </w:r>
      <w:r>
        <w:rPr>
          <w:b/>
          <w:color w:val="0C0C0C"/>
          <w:spacing w:val="19"/>
          <w:w w:val="105"/>
          <w:sz w:val="21"/>
        </w:rPr>
        <w:t> </w:t>
      </w:r>
      <w:r>
        <w:rPr>
          <w:b/>
          <w:color w:val="0C0C0C"/>
          <w:spacing w:val="-4"/>
          <w:w w:val="105"/>
          <w:sz w:val="21"/>
        </w:rPr>
        <w:t>Fund)</w:t>
      </w:r>
    </w:p>
    <w:p>
      <w:pPr>
        <w:spacing w:before="94" w:line="252" w:lineRule="auto"/>
        <w:ind w:left="252" w:right="1586" w:hanging="1"/>
        <w:jc w:val="left"/>
        <w:rPr>
          <w:sz w:val="21"/>
        </w:rPr>
      </w:pPr>
      <w:r>
        <w:rPr/>
        <w:br w:type="column"/>
      </w:r>
      <w:r>
        <w:rPr>
          <w:color w:val="0C0C0C"/>
          <w:w w:val="105"/>
          <w:sz w:val="21"/>
        </w:rPr>
        <w:t>Assistance</w:t>
      </w:r>
      <w:r>
        <w:rPr>
          <w:color w:val="0C0C0C"/>
          <w:spacing w:val="-9"/>
          <w:w w:val="105"/>
          <w:sz w:val="21"/>
        </w:rPr>
        <w:t> </w:t>
      </w:r>
      <w:r>
        <w:rPr>
          <w:color w:val="0C0C0C"/>
          <w:w w:val="105"/>
          <w:sz w:val="21"/>
        </w:rPr>
        <w:t>by</w:t>
      </w:r>
      <w:r>
        <w:rPr>
          <w:color w:val="0C0C0C"/>
          <w:spacing w:val="-11"/>
          <w:w w:val="105"/>
          <w:sz w:val="21"/>
        </w:rPr>
        <w:t> </w:t>
      </w:r>
      <w:r>
        <w:rPr>
          <w:color w:val="0C0C0C"/>
          <w:w w:val="105"/>
          <w:sz w:val="21"/>
        </w:rPr>
        <w:t>Central</w:t>
      </w:r>
      <w:r>
        <w:rPr>
          <w:color w:val="0C0C0C"/>
          <w:spacing w:val="-16"/>
          <w:w w:val="105"/>
          <w:sz w:val="21"/>
        </w:rPr>
        <w:t> </w:t>
      </w:r>
      <w:r>
        <w:rPr>
          <w:color w:val="0C0C0C"/>
          <w:w w:val="105"/>
          <w:sz w:val="21"/>
        </w:rPr>
        <w:t>Government</w:t>
      </w:r>
      <w:r>
        <w:rPr>
          <w:color w:val="0C0C0C"/>
          <w:spacing w:val="8"/>
          <w:w w:val="105"/>
          <w:sz w:val="21"/>
        </w:rPr>
        <w:t> </w:t>
      </w:r>
      <w:r>
        <w:rPr>
          <w:color w:val="0C0C0C"/>
          <w:w w:val="105"/>
          <w:sz w:val="21"/>
        </w:rPr>
        <w:t>and</w:t>
      </w:r>
      <w:r>
        <w:rPr>
          <w:color w:val="0C0C0C"/>
          <w:spacing w:val="-16"/>
          <w:w w:val="105"/>
          <w:sz w:val="21"/>
        </w:rPr>
        <w:t> </w:t>
      </w:r>
      <w:r>
        <w:rPr>
          <w:color w:val="0C0C0C"/>
          <w:w w:val="105"/>
          <w:sz w:val="21"/>
        </w:rPr>
        <w:t>inter­ government</w:t>
      </w:r>
      <w:r>
        <w:rPr>
          <w:color w:val="0C0C0C"/>
          <w:w w:val="105"/>
          <w:sz w:val="21"/>
        </w:rPr>
        <w:t> agencies and similar bodies, whether local, national or international, towards</w:t>
      </w:r>
      <w:r>
        <w:rPr>
          <w:color w:val="0C0C0C"/>
          <w:spacing w:val="-11"/>
          <w:w w:val="105"/>
          <w:sz w:val="21"/>
        </w:rPr>
        <w:t> </w:t>
      </w:r>
      <w:r>
        <w:rPr>
          <w:color w:val="0C0C0C"/>
          <w:w w:val="105"/>
          <w:sz w:val="21"/>
        </w:rPr>
        <w:t>either</w:t>
      </w:r>
      <w:r>
        <w:rPr>
          <w:color w:val="0C0C0C"/>
          <w:spacing w:val="-16"/>
          <w:w w:val="105"/>
          <w:sz w:val="21"/>
        </w:rPr>
        <w:t> </w:t>
      </w:r>
      <w:r>
        <w:rPr>
          <w:color w:val="0C0C0C"/>
          <w:w w:val="105"/>
          <w:sz w:val="21"/>
        </w:rPr>
        <w:t>revenue</w:t>
      </w:r>
      <w:r>
        <w:rPr>
          <w:color w:val="0C0C0C"/>
          <w:spacing w:val="-4"/>
          <w:w w:val="105"/>
          <w:sz w:val="21"/>
        </w:rPr>
        <w:t> </w:t>
      </w:r>
      <w:r>
        <w:rPr>
          <w:color w:val="0C0C0C"/>
          <w:w w:val="105"/>
          <w:sz w:val="21"/>
        </w:rPr>
        <w:t>or</w:t>
      </w:r>
      <w:r>
        <w:rPr>
          <w:color w:val="0C0C0C"/>
          <w:spacing w:val="-13"/>
          <w:w w:val="105"/>
          <w:sz w:val="21"/>
        </w:rPr>
        <w:t> </w:t>
      </w:r>
      <w:r>
        <w:rPr>
          <w:color w:val="0C0C0C"/>
          <w:w w:val="105"/>
          <w:sz w:val="21"/>
        </w:rPr>
        <w:t>capital</w:t>
      </w:r>
      <w:r>
        <w:rPr>
          <w:color w:val="0C0C0C"/>
          <w:spacing w:val="-13"/>
          <w:w w:val="105"/>
          <w:sz w:val="21"/>
        </w:rPr>
        <w:t> </w:t>
      </w:r>
      <w:r>
        <w:rPr>
          <w:color w:val="0C0C0C"/>
          <w:w w:val="105"/>
          <w:sz w:val="21"/>
        </w:rPr>
        <w:t>expenditure incurred in providing local Council services.</w:t>
      </w:r>
    </w:p>
    <w:p>
      <w:pPr>
        <w:pStyle w:val="BodyText"/>
        <w:spacing w:before="14"/>
        <w:rPr>
          <w:sz w:val="21"/>
        </w:rPr>
      </w:pPr>
    </w:p>
    <w:p>
      <w:pPr>
        <w:spacing w:before="0" w:line="252" w:lineRule="auto"/>
        <w:ind w:left="252" w:right="1610" w:firstLine="2"/>
        <w:jc w:val="left"/>
        <w:rPr>
          <w:sz w:val="21"/>
        </w:rPr>
      </w:pPr>
      <w:r>
        <w:rPr>
          <w:color w:val="0C0C0C"/>
          <w:w w:val="105"/>
          <w:sz w:val="21"/>
        </w:rPr>
        <w:t>Loans made by the Council to individuals towards the</w:t>
      </w:r>
      <w:r>
        <w:rPr>
          <w:color w:val="0C0C0C"/>
          <w:spacing w:val="-10"/>
          <w:w w:val="105"/>
          <w:sz w:val="21"/>
        </w:rPr>
        <w:t> </w:t>
      </w:r>
      <w:r>
        <w:rPr>
          <w:color w:val="0C0C0C"/>
          <w:w w:val="105"/>
          <w:sz w:val="21"/>
        </w:rPr>
        <w:t>cost</w:t>
      </w:r>
      <w:r>
        <w:rPr>
          <w:color w:val="0C0C0C"/>
          <w:spacing w:val="-11"/>
          <w:w w:val="105"/>
          <w:sz w:val="21"/>
        </w:rPr>
        <w:t> </w:t>
      </w:r>
      <w:r>
        <w:rPr>
          <w:color w:val="0C0C0C"/>
          <w:w w:val="105"/>
          <w:sz w:val="21"/>
        </w:rPr>
        <w:t>of</w:t>
      </w:r>
      <w:r>
        <w:rPr>
          <w:color w:val="0C0C0C"/>
          <w:spacing w:val="-10"/>
          <w:w w:val="105"/>
          <w:sz w:val="21"/>
        </w:rPr>
        <w:t> </w:t>
      </w:r>
      <w:r>
        <w:rPr>
          <w:color w:val="0C0C0C"/>
          <w:w w:val="105"/>
          <w:sz w:val="21"/>
        </w:rPr>
        <w:t>acquiring</w:t>
      </w:r>
      <w:r>
        <w:rPr>
          <w:color w:val="0C0C0C"/>
          <w:spacing w:val="-2"/>
          <w:w w:val="105"/>
          <w:sz w:val="21"/>
        </w:rPr>
        <w:t> </w:t>
      </w:r>
      <w:r>
        <w:rPr>
          <w:color w:val="0C0C0C"/>
          <w:w w:val="105"/>
          <w:sz w:val="21"/>
        </w:rPr>
        <w:t>or</w:t>
      </w:r>
      <w:r>
        <w:rPr>
          <w:color w:val="0C0C0C"/>
          <w:spacing w:val="-11"/>
          <w:w w:val="105"/>
          <w:sz w:val="21"/>
        </w:rPr>
        <w:t> </w:t>
      </w:r>
      <w:r>
        <w:rPr>
          <w:color w:val="0C0C0C"/>
          <w:w w:val="105"/>
          <w:sz w:val="21"/>
        </w:rPr>
        <w:t>improving their homes.</w:t>
      </w:r>
    </w:p>
    <w:p>
      <w:pPr>
        <w:pStyle w:val="BodyText"/>
        <w:spacing w:before="16"/>
        <w:rPr>
          <w:sz w:val="21"/>
        </w:rPr>
      </w:pPr>
    </w:p>
    <w:p>
      <w:pPr>
        <w:spacing w:before="1" w:line="252" w:lineRule="auto"/>
        <w:ind w:left="256" w:right="1669" w:firstLine="4"/>
        <w:jc w:val="left"/>
        <w:rPr>
          <w:sz w:val="21"/>
        </w:rPr>
      </w:pPr>
      <w:r>
        <w:rPr>
          <w:color w:val="0C0C0C"/>
          <w:w w:val="105"/>
          <w:sz w:val="21"/>
        </w:rPr>
        <w:t>A system of financial assistance to individuals towards </w:t>
      </w:r>
      <w:r>
        <w:rPr>
          <w:color w:val="1D1D1D"/>
          <w:w w:val="105"/>
          <w:sz w:val="21"/>
        </w:rPr>
        <w:t>certain </w:t>
      </w:r>
      <w:r>
        <w:rPr>
          <w:color w:val="0C0C0C"/>
          <w:w w:val="105"/>
          <w:sz w:val="21"/>
        </w:rPr>
        <w:t>housing </w:t>
      </w:r>
      <w:r>
        <w:rPr>
          <w:color w:val="1D1D1D"/>
          <w:w w:val="105"/>
          <w:sz w:val="21"/>
        </w:rPr>
        <w:t>costs, </w:t>
      </w:r>
      <w:r>
        <w:rPr>
          <w:color w:val="0C0C0C"/>
          <w:w w:val="105"/>
          <w:sz w:val="21"/>
        </w:rPr>
        <w:t>which</w:t>
      </w:r>
      <w:r>
        <w:rPr>
          <w:color w:val="0C0C0C"/>
          <w:spacing w:val="-15"/>
          <w:w w:val="105"/>
          <w:sz w:val="21"/>
        </w:rPr>
        <w:t> </w:t>
      </w:r>
      <w:r>
        <w:rPr>
          <w:color w:val="343434"/>
          <w:w w:val="105"/>
          <w:sz w:val="21"/>
        </w:rPr>
        <w:t>is</w:t>
      </w:r>
      <w:r>
        <w:rPr>
          <w:color w:val="343434"/>
          <w:spacing w:val="-14"/>
          <w:w w:val="105"/>
          <w:sz w:val="21"/>
        </w:rPr>
        <w:t> </w:t>
      </w:r>
      <w:r>
        <w:rPr>
          <w:color w:val="1D1D1D"/>
          <w:w w:val="105"/>
          <w:sz w:val="21"/>
        </w:rPr>
        <w:t>administered</w:t>
      </w:r>
      <w:r>
        <w:rPr>
          <w:color w:val="1D1D1D"/>
          <w:spacing w:val="-3"/>
          <w:w w:val="105"/>
          <w:sz w:val="21"/>
        </w:rPr>
        <w:t> </w:t>
      </w:r>
      <w:r>
        <w:rPr>
          <w:color w:val="0C0C0C"/>
          <w:w w:val="105"/>
          <w:sz w:val="21"/>
        </w:rPr>
        <w:t>by</w:t>
      </w:r>
      <w:r>
        <w:rPr>
          <w:color w:val="0C0C0C"/>
          <w:spacing w:val="-16"/>
          <w:w w:val="105"/>
          <w:sz w:val="21"/>
        </w:rPr>
        <w:t> </w:t>
      </w:r>
      <w:r>
        <w:rPr>
          <w:color w:val="0C0C0C"/>
          <w:w w:val="105"/>
          <w:sz w:val="21"/>
        </w:rPr>
        <w:t>Local</w:t>
      </w:r>
      <w:r>
        <w:rPr>
          <w:color w:val="0C0C0C"/>
          <w:spacing w:val="-7"/>
          <w:w w:val="105"/>
          <w:sz w:val="21"/>
        </w:rPr>
        <w:t> </w:t>
      </w:r>
      <w:r>
        <w:rPr>
          <w:color w:val="1D1D1D"/>
          <w:w w:val="105"/>
          <w:sz w:val="21"/>
        </w:rPr>
        <w:t>Authorities. </w:t>
      </w:r>
      <w:r>
        <w:rPr>
          <w:color w:val="0C0C0C"/>
          <w:w w:val="105"/>
          <w:sz w:val="21"/>
        </w:rPr>
        <w:t>Assistance takes the</w:t>
      </w:r>
      <w:r>
        <w:rPr>
          <w:color w:val="0C0C0C"/>
          <w:spacing w:val="-1"/>
          <w:w w:val="105"/>
          <w:sz w:val="21"/>
        </w:rPr>
        <w:t> </w:t>
      </w:r>
      <w:r>
        <w:rPr>
          <w:color w:val="0C0C0C"/>
          <w:w w:val="105"/>
          <w:sz w:val="21"/>
        </w:rPr>
        <w:t>form of rent rebates, rent allowances,</w:t>
      </w:r>
      <w:r>
        <w:rPr>
          <w:color w:val="0C0C0C"/>
          <w:spacing w:val="40"/>
          <w:w w:val="105"/>
          <w:sz w:val="21"/>
        </w:rPr>
        <w:t> </w:t>
      </w:r>
      <w:r>
        <w:rPr>
          <w:color w:val="0C0C0C"/>
          <w:w w:val="105"/>
          <w:sz w:val="21"/>
        </w:rPr>
        <w:t>and council tax rebates toward which central government pays a </w:t>
      </w:r>
      <w:r>
        <w:rPr>
          <w:color w:val="0C0C0C"/>
          <w:spacing w:val="-2"/>
          <w:w w:val="105"/>
          <w:sz w:val="21"/>
        </w:rPr>
        <w:t>subsidy.</w:t>
      </w:r>
    </w:p>
    <w:p>
      <w:pPr>
        <w:pStyle w:val="BodyText"/>
        <w:spacing w:before="6"/>
        <w:rPr>
          <w:sz w:val="21"/>
        </w:rPr>
      </w:pPr>
    </w:p>
    <w:p>
      <w:pPr>
        <w:spacing w:before="0" w:line="252" w:lineRule="auto"/>
        <w:ind w:left="267" w:right="1586" w:hanging="9"/>
        <w:jc w:val="left"/>
        <w:rPr>
          <w:sz w:val="21"/>
        </w:rPr>
      </w:pPr>
      <w:r>
        <w:rPr>
          <w:color w:val="0C0C0C"/>
          <w:w w:val="105"/>
          <w:sz w:val="21"/>
        </w:rPr>
        <w:t>Expenditure on works of drainage, </w:t>
      </w:r>
      <w:r>
        <w:rPr>
          <w:color w:val="1D1D1D"/>
          <w:w w:val="105"/>
          <w:sz w:val="21"/>
        </w:rPr>
        <w:t>construction </w:t>
      </w:r>
      <w:r>
        <w:rPr>
          <w:color w:val="0C0C0C"/>
          <w:w w:val="105"/>
          <w:sz w:val="21"/>
        </w:rPr>
        <w:t>or </w:t>
      </w:r>
      <w:r>
        <w:rPr>
          <w:color w:val="1D1D1D"/>
          <w:w w:val="105"/>
          <w:sz w:val="21"/>
        </w:rPr>
        <w:t>improvement </w:t>
      </w:r>
      <w:r>
        <w:rPr>
          <w:color w:val="0C0C0C"/>
          <w:w w:val="105"/>
          <w:sz w:val="21"/>
        </w:rPr>
        <w:t>to highways</w:t>
      </w:r>
      <w:r>
        <w:rPr>
          <w:color w:val="646464"/>
          <w:w w:val="105"/>
          <w:sz w:val="21"/>
        </w:rPr>
        <w:t>, </w:t>
      </w:r>
      <w:r>
        <w:rPr>
          <w:color w:val="1D1D1D"/>
          <w:w w:val="105"/>
          <w:sz w:val="21"/>
        </w:rPr>
        <w:t>cycle</w:t>
      </w:r>
      <w:r>
        <w:rPr>
          <w:color w:val="1D1D1D"/>
          <w:spacing w:val="-1"/>
          <w:w w:val="105"/>
          <w:sz w:val="21"/>
        </w:rPr>
        <w:t> </w:t>
      </w:r>
      <w:r>
        <w:rPr>
          <w:color w:val="1D1D1D"/>
          <w:w w:val="105"/>
          <w:sz w:val="21"/>
        </w:rPr>
        <w:t>ways,</w:t>
      </w:r>
      <w:r>
        <w:rPr>
          <w:color w:val="1D1D1D"/>
          <w:spacing w:val="-1"/>
          <w:w w:val="105"/>
          <w:sz w:val="21"/>
        </w:rPr>
        <w:t> </w:t>
      </w:r>
      <w:r>
        <w:rPr>
          <w:color w:val="0C0C0C"/>
          <w:w w:val="105"/>
          <w:sz w:val="21"/>
        </w:rPr>
        <w:t>footpaths or</w:t>
      </w:r>
      <w:r>
        <w:rPr>
          <w:color w:val="0C0C0C"/>
          <w:spacing w:val="-10"/>
          <w:w w:val="105"/>
          <w:sz w:val="21"/>
        </w:rPr>
        <w:t> </w:t>
      </w:r>
      <w:r>
        <w:rPr>
          <w:color w:val="0C0C0C"/>
          <w:w w:val="105"/>
          <w:sz w:val="21"/>
        </w:rPr>
        <w:t>other</w:t>
      </w:r>
      <w:r>
        <w:rPr>
          <w:color w:val="0C0C0C"/>
          <w:spacing w:val="-10"/>
          <w:w w:val="105"/>
          <w:sz w:val="21"/>
        </w:rPr>
        <w:t> </w:t>
      </w:r>
      <w:r>
        <w:rPr>
          <w:color w:val="0C0C0C"/>
          <w:w w:val="105"/>
          <w:sz w:val="21"/>
        </w:rPr>
        <w:t>land</w:t>
      </w:r>
      <w:r>
        <w:rPr>
          <w:color w:val="0C0C0C"/>
          <w:spacing w:val="-10"/>
          <w:w w:val="105"/>
          <w:sz w:val="21"/>
        </w:rPr>
        <w:t> </w:t>
      </w:r>
      <w:r>
        <w:rPr>
          <w:color w:val="0C0C0C"/>
          <w:w w:val="105"/>
          <w:sz w:val="21"/>
        </w:rPr>
        <w:t>owned</w:t>
      </w:r>
      <w:r>
        <w:rPr>
          <w:color w:val="0C0C0C"/>
          <w:spacing w:val="-15"/>
          <w:w w:val="105"/>
          <w:sz w:val="21"/>
        </w:rPr>
        <w:t> </w:t>
      </w:r>
      <w:r>
        <w:rPr>
          <w:color w:val="0C0C0C"/>
          <w:w w:val="105"/>
          <w:sz w:val="21"/>
        </w:rPr>
        <w:t>by </w:t>
      </w:r>
      <w:r>
        <w:rPr>
          <w:color w:val="1D1D1D"/>
          <w:w w:val="105"/>
          <w:sz w:val="21"/>
        </w:rPr>
        <w:t>the </w:t>
      </w:r>
      <w:r>
        <w:rPr>
          <w:color w:val="0C0C0C"/>
          <w:w w:val="105"/>
          <w:sz w:val="21"/>
        </w:rPr>
        <w:t>Council.</w:t>
      </w:r>
    </w:p>
    <w:p>
      <w:pPr>
        <w:pStyle w:val="BodyText"/>
        <w:spacing w:before="8"/>
        <w:rPr>
          <w:sz w:val="21"/>
        </w:rPr>
      </w:pPr>
    </w:p>
    <w:p>
      <w:pPr>
        <w:spacing w:before="1" w:line="252" w:lineRule="auto"/>
        <w:ind w:left="261" w:right="1610" w:firstLine="1"/>
        <w:jc w:val="left"/>
        <w:rPr>
          <w:sz w:val="21"/>
        </w:rPr>
      </w:pPr>
      <w:r>
        <w:rPr>
          <w:color w:val="0C0C0C"/>
          <w:w w:val="105"/>
          <w:sz w:val="21"/>
        </w:rPr>
        <w:t>For a</w:t>
      </w:r>
      <w:r>
        <w:rPr>
          <w:color w:val="0C0C0C"/>
          <w:spacing w:val="-7"/>
          <w:w w:val="105"/>
          <w:sz w:val="21"/>
        </w:rPr>
        <w:t> </w:t>
      </w:r>
      <w:r>
        <w:rPr>
          <w:color w:val="0C0C0C"/>
          <w:w w:val="105"/>
          <w:sz w:val="21"/>
        </w:rPr>
        <w:t>defined</w:t>
      </w:r>
      <w:r>
        <w:rPr>
          <w:color w:val="0C0C0C"/>
          <w:spacing w:val="-1"/>
          <w:w w:val="105"/>
          <w:sz w:val="21"/>
        </w:rPr>
        <w:t> </w:t>
      </w:r>
      <w:r>
        <w:rPr>
          <w:color w:val="0C0C0C"/>
          <w:w w:val="105"/>
          <w:sz w:val="21"/>
        </w:rPr>
        <w:t>benefit scheme, the</w:t>
      </w:r>
      <w:r>
        <w:rPr>
          <w:color w:val="0C0C0C"/>
          <w:spacing w:val="-4"/>
          <w:w w:val="105"/>
          <w:sz w:val="21"/>
        </w:rPr>
        <w:t> </w:t>
      </w:r>
      <w:r>
        <w:rPr>
          <w:color w:val="0C0C0C"/>
          <w:w w:val="105"/>
          <w:sz w:val="21"/>
        </w:rPr>
        <w:t>expected increase during the period </w:t>
      </w:r>
      <w:r>
        <w:rPr>
          <w:color w:val="1D1D1D"/>
          <w:w w:val="105"/>
          <w:sz w:val="21"/>
        </w:rPr>
        <w:t>in </w:t>
      </w:r>
      <w:r>
        <w:rPr>
          <w:color w:val="0C0C0C"/>
          <w:w w:val="105"/>
          <w:sz w:val="21"/>
        </w:rPr>
        <w:t>the present value of the scheme liabilities because the benefits</w:t>
      </w:r>
      <w:r>
        <w:rPr>
          <w:color w:val="0C0C0C"/>
          <w:spacing w:val="-2"/>
          <w:w w:val="105"/>
          <w:sz w:val="21"/>
        </w:rPr>
        <w:t> </w:t>
      </w:r>
      <w:r>
        <w:rPr>
          <w:color w:val="0C0C0C"/>
          <w:w w:val="105"/>
          <w:sz w:val="21"/>
        </w:rPr>
        <w:t>are</w:t>
      </w:r>
      <w:r>
        <w:rPr>
          <w:color w:val="0C0C0C"/>
          <w:spacing w:val="-10"/>
          <w:w w:val="105"/>
          <w:sz w:val="21"/>
        </w:rPr>
        <w:t> </w:t>
      </w:r>
      <w:r>
        <w:rPr>
          <w:color w:val="0C0C0C"/>
          <w:w w:val="105"/>
          <w:sz w:val="21"/>
        </w:rPr>
        <w:t>one</w:t>
      </w:r>
      <w:r>
        <w:rPr>
          <w:color w:val="0C0C0C"/>
          <w:spacing w:val="-12"/>
          <w:w w:val="105"/>
          <w:sz w:val="21"/>
        </w:rPr>
        <w:t> </w:t>
      </w:r>
      <w:r>
        <w:rPr>
          <w:color w:val="0C0C0C"/>
          <w:w w:val="105"/>
          <w:sz w:val="21"/>
        </w:rPr>
        <w:t>period</w:t>
      </w:r>
      <w:r>
        <w:rPr>
          <w:color w:val="0C0C0C"/>
          <w:spacing w:val="-3"/>
          <w:w w:val="105"/>
          <w:sz w:val="21"/>
        </w:rPr>
        <w:t> </w:t>
      </w:r>
      <w:r>
        <w:rPr>
          <w:color w:val="0C0C0C"/>
          <w:w w:val="105"/>
          <w:sz w:val="21"/>
        </w:rPr>
        <w:t>closer</w:t>
      </w:r>
      <w:r>
        <w:rPr>
          <w:color w:val="0C0C0C"/>
          <w:spacing w:val="-7"/>
          <w:w w:val="105"/>
          <w:sz w:val="21"/>
        </w:rPr>
        <w:t> </w:t>
      </w:r>
      <w:r>
        <w:rPr>
          <w:color w:val="0C0C0C"/>
          <w:w w:val="105"/>
          <w:sz w:val="21"/>
        </w:rPr>
        <w:t>to</w:t>
      </w:r>
      <w:r>
        <w:rPr>
          <w:color w:val="0C0C0C"/>
          <w:spacing w:val="-7"/>
          <w:w w:val="105"/>
          <w:sz w:val="21"/>
        </w:rPr>
        <w:t> </w:t>
      </w:r>
      <w:r>
        <w:rPr>
          <w:color w:val="0C0C0C"/>
          <w:w w:val="105"/>
          <w:sz w:val="21"/>
        </w:rPr>
        <w:t>settlement.</w:t>
      </w:r>
    </w:p>
    <w:p>
      <w:pPr>
        <w:pStyle w:val="BodyText"/>
        <w:spacing w:before="12"/>
        <w:rPr>
          <w:sz w:val="21"/>
        </w:rPr>
      </w:pPr>
    </w:p>
    <w:p>
      <w:pPr>
        <w:spacing w:before="0" w:line="252" w:lineRule="auto"/>
        <w:ind w:left="266" w:right="1586" w:hanging="1"/>
        <w:jc w:val="left"/>
        <w:rPr>
          <w:sz w:val="21"/>
        </w:rPr>
      </w:pPr>
      <w:r>
        <w:rPr>
          <w:color w:val="0C0C0C"/>
          <w:w w:val="105"/>
          <w:sz w:val="21"/>
        </w:rPr>
        <w:t>Assets such as raw materials, building supplies and retail stock that will used to produce goods</w:t>
      </w:r>
      <w:r>
        <w:rPr>
          <w:color w:val="0C0C0C"/>
          <w:spacing w:val="-3"/>
          <w:w w:val="105"/>
          <w:sz w:val="21"/>
        </w:rPr>
        <w:t> </w:t>
      </w:r>
      <w:r>
        <w:rPr>
          <w:color w:val="0C0C0C"/>
          <w:w w:val="105"/>
          <w:sz w:val="21"/>
        </w:rPr>
        <w:t>or</w:t>
      </w:r>
      <w:r>
        <w:rPr>
          <w:color w:val="0C0C0C"/>
          <w:spacing w:val="-9"/>
          <w:w w:val="105"/>
          <w:sz w:val="21"/>
        </w:rPr>
        <w:t> </w:t>
      </w:r>
      <w:r>
        <w:rPr>
          <w:color w:val="0C0C0C"/>
          <w:w w:val="105"/>
          <w:sz w:val="21"/>
        </w:rPr>
        <w:t>provide</w:t>
      </w:r>
      <w:r>
        <w:rPr>
          <w:color w:val="0C0C0C"/>
          <w:spacing w:val="-1"/>
          <w:w w:val="105"/>
          <w:sz w:val="21"/>
        </w:rPr>
        <w:t> </w:t>
      </w:r>
      <w:r>
        <w:rPr>
          <w:color w:val="0C0C0C"/>
          <w:w w:val="105"/>
          <w:sz w:val="21"/>
        </w:rPr>
        <w:t>services or</w:t>
      </w:r>
      <w:r>
        <w:rPr>
          <w:color w:val="0C0C0C"/>
          <w:spacing w:val="-9"/>
          <w:w w:val="105"/>
          <w:sz w:val="21"/>
        </w:rPr>
        <w:t> </w:t>
      </w:r>
      <w:r>
        <w:rPr>
          <w:color w:val="0C0C0C"/>
          <w:w w:val="105"/>
          <w:sz w:val="21"/>
        </w:rPr>
        <w:t>be</w:t>
      </w:r>
      <w:r>
        <w:rPr>
          <w:color w:val="0C0C0C"/>
          <w:spacing w:val="-9"/>
          <w:w w:val="105"/>
          <w:sz w:val="21"/>
        </w:rPr>
        <w:t> </w:t>
      </w:r>
      <w:r>
        <w:rPr>
          <w:color w:val="0C0C0C"/>
          <w:w w:val="105"/>
          <w:sz w:val="21"/>
        </w:rPr>
        <w:t>sold as part of the Council's normal activities.</w:t>
      </w:r>
    </w:p>
    <w:p>
      <w:pPr>
        <w:pStyle w:val="BodyText"/>
        <w:spacing w:before="13"/>
        <w:rPr>
          <w:sz w:val="21"/>
        </w:rPr>
      </w:pPr>
    </w:p>
    <w:p>
      <w:pPr>
        <w:spacing w:before="0" w:line="249" w:lineRule="auto"/>
        <w:ind w:left="271" w:right="1642" w:hanging="1"/>
        <w:jc w:val="both"/>
        <w:rPr>
          <w:sz w:val="21"/>
        </w:rPr>
      </w:pPr>
      <w:r>
        <w:rPr>
          <w:color w:val="0C0C0C"/>
          <w:w w:val="105"/>
          <w:sz w:val="21"/>
        </w:rPr>
        <w:t>A</w:t>
      </w:r>
      <w:r>
        <w:rPr>
          <w:color w:val="0C0C0C"/>
          <w:spacing w:val="-5"/>
          <w:w w:val="105"/>
          <w:sz w:val="21"/>
        </w:rPr>
        <w:t> </w:t>
      </w:r>
      <w:r>
        <w:rPr>
          <w:color w:val="0C0C0C"/>
          <w:w w:val="105"/>
          <w:sz w:val="21"/>
        </w:rPr>
        <w:t>long-term investment is</w:t>
      </w:r>
      <w:r>
        <w:rPr>
          <w:color w:val="0C0C0C"/>
          <w:spacing w:val="-4"/>
          <w:w w:val="105"/>
          <w:sz w:val="21"/>
        </w:rPr>
        <w:t> </w:t>
      </w:r>
      <w:r>
        <w:rPr>
          <w:color w:val="0C0C0C"/>
          <w:w w:val="105"/>
          <w:sz w:val="21"/>
        </w:rPr>
        <w:t>an</w:t>
      </w:r>
      <w:r>
        <w:rPr>
          <w:color w:val="0C0C0C"/>
          <w:spacing w:val="-6"/>
          <w:w w:val="105"/>
          <w:sz w:val="21"/>
        </w:rPr>
        <w:t> </w:t>
      </w:r>
      <w:r>
        <w:rPr>
          <w:color w:val="0C0C0C"/>
          <w:w w:val="105"/>
          <w:sz w:val="21"/>
        </w:rPr>
        <w:t>investment that is</w:t>
      </w:r>
      <w:r>
        <w:rPr>
          <w:color w:val="0C0C0C"/>
          <w:spacing w:val="-2"/>
          <w:w w:val="105"/>
          <w:sz w:val="21"/>
        </w:rPr>
        <w:t> </w:t>
      </w:r>
      <w:r>
        <w:rPr>
          <w:color w:val="0C0C0C"/>
          <w:w w:val="105"/>
          <w:sz w:val="21"/>
        </w:rPr>
        <w:t>intended to</w:t>
      </w:r>
      <w:r>
        <w:rPr>
          <w:color w:val="0C0C0C"/>
          <w:spacing w:val="-5"/>
          <w:w w:val="105"/>
          <w:sz w:val="21"/>
        </w:rPr>
        <w:t> </w:t>
      </w:r>
      <w:r>
        <w:rPr>
          <w:color w:val="0C0C0C"/>
          <w:w w:val="105"/>
          <w:sz w:val="21"/>
        </w:rPr>
        <w:t>be</w:t>
      </w:r>
      <w:r>
        <w:rPr>
          <w:color w:val="0C0C0C"/>
          <w:spacing w:val="-7"/>
          <w:w w:val="105"/>
          <w:sz w:val="21"/>
        </w:rPr>
        <w:t> </w:t>
      </w:r>
      <w:r>
        <w:rPr>
          <w:color w:val="1D1D1D"/>
          <w:w w:val="105"/>
          <w:sz w:val="21"/>
        </w:rPr>
        <w:t>held</w:t>
      </w:r>
      <w:r>
        <w:rPr>
          <w:color w:val="1D1D1D"/>
          <w:spacing w:val="-7"/>
          <w:w w:val="105"/>
          <w:sz w:val="21"/>
        </w:rPr>
        <w:t> </w:t>
      </w:r>
      <w:r>
        <w:rPr>
          <w:color w:val="1D1D1D"/>
          <w:w w:val="105"/>
          <w:sz w:val="21"/>
        </w:rPr>
        <w:t>for</w:t>
      </w:r>
      <w:r>
        <w:rPr>
          <w:color w:val="1D1D1D"/>
          <w:spacing w:val="-6"/>
          <w:w w:val="105"/>
          <w:sz w:val="21"/>
        </w:rPr>
        <w:t> </w:t>
      </w:r>
      <w:r>
        <w:rPr>
          <w:color w:val="1D1D1D"/>
          <w:w w:val="105"/>
          <w:sz w:val="21"/>
        </w:rPr>
        <w:t>use</w:t>
      </w:r>
      <w:r>
        <w:rPr>
          <w:color w:val="1D1D1D"/>
          <w:spacing w:val="-2"/>
          <w:w w:val="105"/>
          <w:sz w:val="21"/>
        </w:rPr>
        <w:t> </w:t>
      </w:r>
      <w:r>
        <w:rPr>
          <w:color w:val="0C0C0C"/>
          <w:w w:val="105"/>
          <w:sz w:val="21"/>
        </w:rPr>
        <w:t>on</w:t>
      </w:r>
      <w:r>
        <w:rPr>
          <w:color w:val="0C0C0C"/>
          <w:spacing w:val="-5"/>
          <w:w w:val="105"/>
          <w:sz w:val="21"/>
        </w:rPr>
        <w:t> </w:t>
      </w:r>
      <w:r>
        <w:rPr>
          <w:color w:val="0C0C0C"/>
          <w:w w:val="105"/>
          <w:sz w:val="21"/>
        </w:rPr>
        <w:t>a</w:t>
      </w:r>
      <w:r>
        <w:rPr>
          <w:color w:val="0C0C0C"/>
          <w:spacing w:val="-8"/>
          <w:w w:val="105"/>
          <w:sz w:val="21"/>
        </w:rPr>
        <w:t> </w:t>
      </w:r>
      <w:r>
        <w:rPr>
          <w:color w:val="0C0C0C"/>
          <w:w w:val="105"/>
          <w:sz w:val="21"/>
        </w:rPr>
        <w:t>continuing basis </w:t>
      </w:r>
      <w:r>
        <w:rPr>
          <w:color w:val="343434"/>
          <w:w w:val="105"/>
          <w:sz w:val="21"/>
        </w:rPr>
        <w:t>in </w:t>
      </w:r>
      <w:r>
        <w:rPr>
          <w:color w:val="1D1D1D"/>
          <w:w w:val="105"/>
          <w:sz w:val="21"/>
        </w:rPr>
        <w:t>the </w:t>
      </w:r>
      <w:r>
        <w:rPr>
          <w:color w:val="0C0C0C"/>
          <w:w w:val="105"/>
          <w:sz w:val="21"/>
        </w:rPr>
        <w:t>activities </w:t>
      </w:r>
      <w:r>
        <w:rPr>
          <w:color w:val="1D1D1D"/>
          <w:w w:val="105"/>
          <w:sz w:val="21"/>
        </w:rPr>
        <w:t>of the Council.</w:t>
      </w:r>
    </w:p>
    <w:p>
      <w:pPr>
        <w:spacing w:before="6" w:line="252" w:lineRule="auto"/>
        <w:ind w:left="272" w:right="1672" w:hanging="2"/>
        <w:jc w:val="left"/>
        <w:rPr>
          <w:sz w:val="21"/>
        </w:rPr>
      </w:pPr>
      <w:r>
        <w:rPr>
          <w:color w:val="0C0C0C"/>
          <w:w w:val="105"/>
          <w:sz w:val="21"/>
        </w:rPr>
        <w:t>Investments should be so classified only where an</w:t>
      </w:r>
      <w:r>
        <w:rPr>
          <w:color w:val="0C0C0C"/>
          <w:spacing w:val="-1"/>
          <w:w w:val="105"/>
          <w:sz w:val="21"/>
        </w:rPr>
        <w:t> </w:t>
      </w:r>
      <w:r>
        <w:rPr>
          <w:color w:val="0C0C0C"/>
          <w:w w:val="105"/>
          <w:sz w:val="21"/>
        </w:rPr>
        <w:t>intention to hold</w:t>
      </w:r>
      <w:r>
        <w:rPr>
          <w:color w:val="0C0C0C"/>
          <w:spacing w:val="-3"/>
          <w:w w:val="105"/>
          <w:sz w:val="21"/>
        </w:rPr>
        <w:t> </w:t>
      </w:r>
      <w:r>
        <w:rPr>
          <w:color w:val="0C0C0C"/>
          <w:w w:val="105"/>
          <w:sz w:val="21"/>
        </w:rPr>
        <w:t>the investment for the</w:t>
      </w:r>
      <w:r>
        <w:rPr>
          <w:color w:val="0C0C0C"/>
          <w:spacing w:val="-8"/>
          <w:w w:val="105"/>
          <w:sz w:val="21"/>
        </w:rPr>
        <w:t> </w:t>
      </w:r>
      <w:r>
        <w:rPr>
          <w:color w:val="0C0C0C"/>
          <w:w w:val="105"/>
          <w:sz w:val="21"/>
        </w:rPr>
        <w:t>long</w:t>
      </w:r>
      <w:r>
        <w:rPr>
          <w:color w:val="0C0C0C"/>
          <w:spacing w:val="-4"/>
          <w:w w:val="105"/>
          <w:sz w:val="21"/>
        </w:rPr>
        <w:t> </w:t>
      </w:r>
      <w:r>
        <w:rPr>
          <w:color w:val="0C0C0C"/>
          <w:w w:val="105"/>
          <w:sz w:val="21"/>
        </w:rPr>
        <w:t>term</w:t>
      </w:r>
      <w:r>
        <w:rPr>
          <w:color w:val="0C0C0C"/>
          <w:spacing w:val="-6"/>
          <w:w w:val="105"/>
          <w:sz w:val="21"/>
        </w:rPr>
        <w:t> </w:t>
      </w:r>
      <w:r>
        <w:rPr>
          <w:color w:val="0C0C0C"/>
          <w:w w:val="105"/>
          <w:sz w:val="21"/>
        </w:rPr>
        <w:t>can</w:t>
      </w:r>
      <w:r>
        <w:rPr>
          <w:color w:val="0C0C0C"/>
          <w:spacing w:val="-4"/>
          <w:w w:val="105"/>
          <w:sz w:val="21"/>
        </w:rPr>
        <w:t> </w:t>
      </w:r>
      <w:r>
        <w:rPr>
          <w:color w:val="0C0C0C"/>
          <w:w w:val="105"/>
          <w:sz w:val="21"/>
        </w:rPr>
        <w:t>clearly be</w:t>
      </w:r>
      <w:r>
        <w:rPr>
          <w:color w:val="0C0C0C"/>
          <w:spacing w:val="-9"/>
          <w:w w:val="105"/>
          <w:sz w:val="21"/>
        </w:rPr>
        <w:t> </w:t>
      </w:r>
      <w:r>
        <w:rPr>
          <w:color w:val="0C0C0C"/>
          <w:w w:val="105"/>
          <w:sz w:val="21"/>
        </w:rPr>
        <w:t>demonstrated or where there are restrictions as to the investor's ability to dispose of the</w:t>
      </w:r>
      <w:r>
        <w:rPr>
          <w:color w:val="0C0C0C"/>
          <w:spacing w:val="80"/>
          <w:w w:val="105"/>
          <w:sz w:val="21"/>
        </w:rPr>
        <w:t> </w:t>
      </w:r>
      <w:r>
        <w:rPr>
          <w:color w:val="0C0C0C"/>
          <w:spacing w:val="-2"/>
          <w:w w:val="105"/>
          <w:sz w:val="21"/>
        </w:rPr>
        <w:t>investment.</w:t>
      </w:r>
    </w:p>
    <w:p>
      <w:pPr>
        <w:spacing w:before="0" w:line="249" w:lineRule="auto"/>
        <w:ind w:left="276" w:right="1586" w:hanging="7"/>
        <w:jc w:val="left"/>
        <w:rPr>
          <w:sz w:val="21"/>
        </w:rPr>
      </w:pPr>
      <w:r>
        <w:rPr>
          <w:color w:val="0C0C0C"/>
          <w:w w:val="105"/>
          <w:sz w:val="21"/>
        </w:rPr>
        <w:t>Investments, other than those </w:t>
      </w:r>
      <w:r>
        <w:rPr>
          <w:color w:val="1D1D1D"/>
          <w:w w:val="105"/>
          <w:sz w:val="21"/>
        </w:rPr>
        <w:t>in </w:t>
      </w:r>
      <w:r>
        <w:rPr>
          <w:color w:val="0C0C0C"/>
          <w:w w:val="105"/>
          <w:sz w:val="21"/>
        </w:rPr>
        <w:t>relation to the</w:t>
      </w:r>
      <w:r>
        <w:rPr>
          <w:color w:val="0C0C0C"/>
          <w:spacing w:val="-1"/>
          <w:w w:val="105"/>
          <w:sz w:val="21"/>
        </w:rPr>
        <w:t> </w:t>
      </w:r>
      <w:r>
        <w:rPr>
          <w:color w:val="0C0C0C"/>
          <w:w w:val="105"/>
          <w:sz w:val="21"/>
        </w:rPr>
        <w:t>pension</w:t>
      </w:r>
      <w:r>
        <w:rPr>
          <w:color w:val="0C0C0C"/>
          <w:spacing w:val="-2"/>
          <w:w w:val="105"/>
          <w:sz w:val="21"/>
        </w:rPr>
        <w:t> </w:t>
      </w:r>
      <w:r>
        <w:rPr>
          <w:color w:val="0C0C0C"/>
          <w:w w:val="105"/>
          <w:sz w:val="21"/>
        </w:rPr>
        <w:t>fund, that</w:t>
      </w:r>
      <w:r>
        <w:rPr>
          <w:color w:val="0C0C0C"/>
          <w:spacing w:val="-6"/>
          <w:w w:val="105"/>
          <w:sz w:val="21"/>
        </w:rPr>
        <w:t> </w:t>
      </w:r>
      <w:r>
        <w:rPr>
          <w:color w:val="0C0C0C"/>
          <w:w w:val="105"/>
          <w:sz w:val="21"/>
        </w:rPr>
        <w:t>do</w:t>
      </w:r>
      <w:r>
        <w:rPr>
          <w:color w:val="0C0C0C"/>
          <w:spacing w:val="-5"/>
          <w:w w:val="105"/>
          <w:sz w:val="21"/>
        </w:rPr>
        <w:t> </w:t>
      </w:r>
      <w:r>
        <w:rPr>
          <w:color w:val="0C0C0C"/>
          <w:w w:val="105"/>
          <w:sz w:val="21"/>
        </w:rPr>
        <w:t>not</w:t>
      </w:r>
      <w:r>
        <w:rPr>
          <w:color w:val="0C0C0C"/>
          <w:spacing w:val="-5"/>
          <w:w w:val="105"/>
          <w:sz w:val="21"/>
        </w:rPr>
        <w:t> </w:t>
      </w:r>
      <w:r>
        <w:rPr>
          <w:color w:val="0C0C0C"/>
          <w:w w:val="105"/>
          <w:sz w:val="21"/>
        </w:rPr>
        <w:t>meet</w:t>
      </w:r>
      <w:r>
        <w:rPr>
          <w:color w:val="0C0C0C"/>
          <w:spacing w:val="-6"/>
          <w:w w:val="105"/>
          <w:sz w:val="21"/>
        </w:rPr>
        <w:t> </w:t>
      </w:r>
      <w:r>
        <w:rPr>
          <w:color w:val="0C0C0C"/>
          <w:w w:val="105"/>
          <w:sz w:val="21"/>
        </w:rPr>
        <w:t>the</w:t>
      </w:r>
      <w:r>
        <w:rPr>
          <w:color w:val="0C0C0C"/>
          <w:spacing w:val="-1"/>
          <w:w w:val="105"/>
          <w:sz w:val="21"/>
        </w:rPr>
        <w:t> </w:t>
      </w:r>
      <w:r>
        <w:rPr>
          <w:color w:val="0C0C0C"/>
          <w:w w:val="105"/>
          <w:sz w:val="21"/>
        </w:rPr>
        <w:t>above criteria are </w:t>
      </w:r>
      <w:r>
        <w:rPr>
          <w:color w:val="1D1D1D"/>
          <w:w w:val="105"/>
          <w:sz w:val="21"/>
        </w:rPr>
        <w:t>classified </w:t>
      </w:r>
      <w:r>
        <w:rPr>
          <w:color w:val="0C0C0C"/>
          <w:w w:val="105"/>
          <w:sz w:val="21"/>
        </w:rPr>
        <w:t>as current assets.</w:t>
      </w:r>
    </w:p>
    <w:p>
      <w:pPr>
        <w:spacing w:after="0" w:line="249" w:lineRule="auto"/>
        <w:jc w:val="left"/>
        <w:rPr>
          <w:sz w:val="21"/>
        </w:rPr>
        <w:sectPr>
          <w:type w:val="continuous"/>
          <w:pgSz w:w="11910" w:h="16830"/>
          <w:pgMar w:top="1940" w:right="540" w:bottom="280" w:left="440" w:header="724" w:footer="1146"/>
          <w:cols w:equalWidth="0" w:num="2">
            <w:col w:w="3754" w:space="867"/>
            <w:col w:w="6309"/>
          </w:cols>
        </w:sectPr>
      </w:pPr>
    </w:p>
    <w:p>
      <w:pPr>
        <w:spacing w:before="27"/>
        <w:ind w:left="478" w:right="0" w:firstLine="0"/>
        <w:jc w:val="left"/>
        <w:rPr>
          <w:b/>
          <w:sz w:val="21"/>
        </w:rPr>
      </w:pPr>
      <w:r>
        <w:rPr/>
        <ve:AlternateContent>
          <ve:Choice Requires="wps">
            <w:drawing>
              <wp:anchor distT="0" distB="0" distL="0" distR="0" simplePos="0" relativeHeight="15892992" behindDoc="0" locked="0" layoutInCell="1" allowOverlap="1">
                <wp:simplePos x="0" y="0"/>
                <wp:positionH relativeFrom="page">
                  <wp:posOffset>45793</wp:posOffset>
                </wp:positionH>
                <wp:positionV relativeFrom="page">
                  <wp:posOffset>9587755</wp:posOffset>
                </wp:positionV>
                <wp:extent cx="1270" cy="391160"/>
                <wp:effectExtent l="0" t="0" r="0" b="0"/>
                <wp:wrapNone/>
                <wp:docPr id="774" name="Graphic 774"/>
                <wp:cNvGraphicFramePr>
                  <a:graphicFrameLocks/>
                </wp:cNvGraphicFramePr>
                <a:graphic>
                  <a:graphicData uri="http://schemas.microsoft.com/office/word/2010/wordprocessingShape">
                    <wps:wsp>
                      <wps:cNvPr id="774" name="Graphic 774"/>
                      <wps:cNvSpPr/>
                      <wps:spPr>
                        <a:xfrm>
                          <a:off x="0" y="0"/>
                          <a:ext cx="1270" cy="391160"/>
                        </a:xfrm>
                        <a:custGeom>
                          <a:avLst/>
                          <a:gdLst/>
                          <a:ahLst/>
                          <a:cxnLst/>
                          <a:rect l="l" t="t" r="r" b="b"/>
                          <a:pathLst>
                            <a:path w="0" h="391160">
                              <a:moveTo>
                                <a:pt x="0" y="390589"/>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92992" stroked="true" strokecolor="#000000" strokeweight=".721161pt" from="3.605807pt,785.696456pt" to="3.605807pt,754.941406pt">
                <v:stroke dashstyle="solid"/>
                <w10:wrap type="none"/>
              </v:line>
            </w:pict>
          </ve:Fallback>
        </ve:AlternateContent>
      </w:r>
      <w:r>
        <w:rPr>
          <w:b/>
          <w:color w:val="0F0F0F"/>
          <w:w w:val="105"/>
          <w:sz w:val="21"/>
        </w:rPr>
        <w:t>Investments</w:t>
      </w:r>
      <w:r>
        <w:rPr>
          <w:b/>
          <w:color w:val="0F0F0F"/>
          <w:spacing w:val="-15"/>
          <w:w w:val="105"/>
          <w:sz w:val="21"/>
        </w:rPr>
        <w:t> </w:t>
      </w:r>
      <w:r>
        <w:rPr>
          <w:b/>
          <w:color w:val="0F0F0F"/>
          <w:w w:val="105"/>
          <w:sz w:val="21"/>
        </w:rPr>
        <w:t>(Pension</w:t>
      </w:r>
      <w:r>
        <w:rPr>
          <w:b/>
          <w:color w:val="0F0F0F"/>
          <w:spacing w:val="-10"/>
          <w:w w:val="105"/>
          <w:sz w:val="21"/>
        </w:rPr>
        <w:t> </w:t>
      </w:r>
      <w:r>
        <w:rPr>
          <w:b/>
          <w:color w:val="0F0F0F"/>
          <w:spacing w:val="-4"/>
          <w:w w:val="105"/>
          <w:sz w:val="21"/>
        </w:rPr>
        <w:t>Fund)</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05"/>
        <w:rPr>
          <w:b/>
          <w:sz w:val="21"/>
        </w:rPr>
      </w:pPr>
    </w:p>
    <w:p>
      <w:pPr>
        <w:spacing w:before="0"/>
        <w:ind w:left="452" w:right="0" w:firstLine="0"/>
        <w:jc w:val="left"/>
        <w:rPr>
          <w:b/>
          <w:sz w:val="21"/>
        </w:rPr>
      </w:pPr>
      <w:r>
        <w:rPr>
          <w:b/>
          <w:color w:val="0F0F0F"/>
          <w:w w:val="105"/>
          <w:sz w:val="21"/>
        </w:rPr>
        <w:t>Levy</w:t>
      </w:r>
      <w:r>
        <w:rPr>
          <w:b/>
          <w:color w:val="0F0F0F"/>
          <w:spacing w:val="-5"/>
          <w:w w:val="105"/>
          <w:sz w:val="21"/>
        </w:rPr>
        <w:t> </w:t>
      </w:r>
      <w:r>
        <w:rPr>
          <w:b/>
          <w:color w:val="0F0F0F"/>
          <w:w w:val="105"/>
          <w:sz w:val="21"/>
        </w:rPr>
        <w:t>(see</w:t>
      </w:r>
      <w:r>
        <w:rPr>
          <w:b/>
          <w:color w:val="0F0F0F"/>
          <w:spacing w:val="-8"/>
          <w:w w:val="105"/>
          <w:sz w:val="21"/>
        </w:rPr>
        <w:t> </w:t>
      </w:r>
      <w:r>
        <w:rPr>
          <w:b/>
          <w:color w:val="0F0F0F"/>
          <w:w w:val="105"/>
          <w:sz w:val="21"/>
        </w:rPr>
        <w:t>also</w:t>
      </w:r>
      <w:r>
        <w:rPr>
          <w:b/>
          <w:color w:val="0F0F0F"/>
          <w:spacing w:val="-5"/>
          <w:w w:val="105"/>
          <w:sz w:val="21"/>
        </w:rPr>
        <w:t> </w:t>
      </w:r>
      <w:r>
        <w:rPr>
          <w:b/>
          <w:color w:val="0F0F0F"/>
          <w:w w:val="105"/>
          <w:sz w:val="21"/>
        </w:rPr>
        <w:t>"safety</w:t>
      </w:r>
      <w:r>
        <w:rPr>
          <w:b/>
          <w:color w:val="0F0F0F"/>
          <w:spacing w:val="7"/>
          <w:w w:val="105"/>
          <w:sz w:val="21"/>
        </w:rPr>
        <w:t> </w:t>
      </w:r>
      <w:r>
        <w:rPr>
          <w:b/>
          <w:color w:val="0F0F0F"/>
          <w:spacing w:val="-4"/>
          <w:w w:val="105"/>
          <w:sz w:val="21"/>
        </w:rPr>
        <w:t>net")</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30"/>
        <w:rPr>
          <w:b/>
          <w:sz w:val="21"/>
        </w:rPr>
      </w:pPr>
    </w:p>
    <w:p>
      <w:pPr>
        <w:spacing w:before="1"/>
        <w:ind w:left="423" w:right="0" w:firstLine="0"/>
        <w:jc w:val="left"/>
        <w:rPr>
          <w:b/>
          <w:sz w:val="21"/>
        </w:rPr>
      </w:pPr>
      <w:r>
        <w:rPr>
          <w:b/>
          <w:color w:val="0F0F0F"/>
          <w:spacing w:val="-2"/>
          <w:w w:val="105"/>
          <w:sz w:val="21"/>
        </w:rPr>
        <w:t>Liabilities</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69"/>
        <w:rPr>
          <w:b/>
          <w:sz w:val="21"/>
        </w:rPr>
      </w:pPr>
    </w:p>
    <w:p>
      <w:pPr>
        <w:spacing w:before="0"/>
        <w:ind w:left="399" w:right="0" w:firstLine="0"/>
        <w:jc w:val="left"/>
        <w:rPr>
          <w:b/>
          <w:sz w:val="21"/>
        </w:rPr>
      </w:pPr>
      <w:r>
        <w:rPr>
          <w:b/>
          <w:color w:val="0F0F0F"/>
          <w:w w:val="105"/>
          <w:sz w:val="21"/>
        </w:rPr>
        <w:t>Lifetime</w:t>
      </w:r>
      <w:r>
        <w:rPr>
          <w:b/>
          <w:color w:val="0F0F0F"/>
          <w:spacing w:val="-3"/>
          <w:w w:val="105"/>
          <w:sz w:val="21"/>
        </w:rPr>
        <w:t> </w:t>
      </w:r>
      <w:r>
        <w:rPr>
          <w:b/>
          <w:color w:val="0F0F0F"/>
          <w:w w:val="105"/>
          <w:sz w:val="21"/>
        </w:rPr>
        <w:t>expected credit</w:t>
      </w:r>
      <w:r>
        <w:rPr>
          <w:b/>
          <w:color w:val="0F0F0F"/>
          <w:spacing w:val="-3"/>
          <w:w w:val="105"/>
          <w:sz w:val="21"/>
        </w:rPr>
        <w:t> </w:t>
      </w:r>
      <w:r>
        <w:rPr>
          <w:b/>
          <w:color w:val="0F0F0F"/>
          <w:spacing w:val="-2"/>
          <w:w w:val="105"/>
          <w:sz w:val="21"/>
        </w:rPr>
        <w:t>losses</w:t>
      </w:r>
    </w:p>
    <w:p>
      <w:pPr>
        <w:pStyle w:val="BodyText"/>
        <w:rPr>
          <w:b/>
          <w:sz w:val="21"/>
        </w:rPr>
      </w:pPr>
    </w:p>
    <w:p>
      <w:pPr>
        <w:pStyle w:val="BodyText"/>
        <w:rPr>
          <w:b/>
          <w:sz w:val="21"/>
        </w:rPr>
      </w:pPr>
    </w:p>
    <w:p>
      <w:pPr>
        <w:pStyle w:val="BodyText"/>
        <w:rPr>
          <w:b/>
          <w:sz w:val="21"/>
        </w:rPr>
      </w:pPr>
    </w:p>
    <w:p>
      <w:pPr>
        <w:pStyle w:val="BodyText"/>
        <w:spacing w:before="61"/>
        <w:rPr>
          <w:b/>
          <w:sz w:val="21"/>
        </w:rPr>
      </w:pPr>
    </w:p>
    <w:p>
      <w:pPr>
        <w:spacing w:before="1"/>
        <w:ind w:left="389" w:right="0" w:firstLine="0"/>
        <w:jc w:val="left"/>
        <w:rPr>
          <w:b/>
          <w:sz w:val="21"/>
        </w:rPr>
      </w:pPr>
      <w:r>
        <w:rPr>
          <w:b/>
          <w:color w:val="0F0F0F"/>
          <w:w w:val="105"/>
          <w:sz w:val="21"/>
        </w:rPr>
        <w:t>Liquid</w:t>
      </w:r>
      <w:r>
        <w:rPr>
          <w:b/>
          <w:color w:val="0F0F0F"/>
          <w:spacing w:val="3"/>
          <w:w w:val="105"/>
          <w:sz w:val="21"/>
        </w:rPr>
        <w:t> </w:t>
      </w:r>
      <w:r>
        <w:rPr>
          <w:b/>
          <w:color w:val="0F0F0F"/>
          <w:spacing w:val="-2"/>
          <w:w w:val="105"/>
          <w:sz w:val="21"/>
        </w:rPr>
        <w:t>Resources</w:t>
      </w:r>
    </w:p>
    <w:p>
      <w:pPr>
        <w:pStyle w:val="BodyText"/>
        <w:rPr>
          <w:b/>
          <w:sz w:val="21"/>
        </w:rPr>
      </w:pPr>
    </w:p>
    <w:p>
      <w:pPr>
        <w:pStyle w:val="BodyText"/>
        <w:rPr>
          <w:b/>
          <w:sz w:val="21"/>
        </w:rPr>
      </w:pPr>
    </w:p>
    <w:p>
      <w:pPr>
        <w:pStyle w:val="BodyText"/>
        <w:spacing w:before="47"/>
        <w:rPr>
          <w:b/>
          <w:sz w:val="21"/>
        </w:rPr>
      </w:pPr>
    </w:p>
    <w:p>
      <w:pPr>
        <w:spacing w:before="1"/>
        <w:ind w:left="380" w:right="0" w:firstLine="0"/>
        <w:jc w:val="left"/>
        <w:rPr>
          <w:b/>
          <w:sz w:val="21"/>
        </w:rPr>
      </w:pPr>
      <w:r>
        <w:rPr>
          <w:b/>
          <w:color w:val="0F0F0F"/>
          <w:w w:val="105"/>
          <w:sz w:val="21"/>
        </w:rPr>
        <w:t>Loss</w:t>
      </w:r>
      <w:r>
        <w:rPr>
          <w:b/>
          <w:color w:val="0F0F0F"/>
          <w:spacing w:val="5"/>
          <w:w w:val="105"/>
          <w:sz w:val="21"/>
        </w:rPr>
        <w:t> </w:t>
      </w:r>
      <w:r>
        <w:rPr>
          <w:b/>
          <w:color w:val="0F0F0F"/>
          <w:spacing w:val="-2"/>
          <w:w w:val="105"/>
          <w:sz w:val="21"/>
        </w:rPr>
        <w:t>allowance</w:t>
      </w:r>
    </w:p>
    <w:p>
      <w:pPr>
        <w:pStyle w:val="BodyText"/>
        <w:rPr>
          <w:b/>
          <w:sz w:val="21"/>
        </w:rPr>
      </w:pPr>
    </w:p>
    <w:p>
      <w:pPr>
        <w:pStyle w:val="BodyText"/>
        <w:rPr>
          <w:b/>
          <w:sz w:val="21"/>
        </w:rPr>
      </w:pPr>
    </w:p>
    <w:p>
      <w:pPr>
        <w:pStyle w:val="BodyText"/>
        <w:spacing w:before="47"/>
        <w:rPr>
          <w:b/>
          <w:sz w:val="21"/>
        </w:rPr>
      </w:pPr>
    </w:p>
    <w:p>
      <w:pPr>
        <w:spacing w:before="1"/>
        <w:ind w:left="367" w:right="0" w:firstLine="0"/>
        <w:jc w:val="left"/>
        <w:rPr>
          <w:b/>
          <w:sz w:val="21"/>
        </w:rPr>
      </w:pPr>
      <w:r>
        <w:rPr>
          <w:b/>
          <w:color w:val="0F0F0F"/>
          <w:w w:val="105"/>
          <w:sz w:val="21"/>
        </w:rPr>
        <w:t>Minimum</w:t>
      </w:r>
      <w:r>
        <w:rPr>
          <w:b/>
          <w:color w:val="0F0F0F"/>
          <w:spacing w:val="-7"/>
          <w:w w:val="105"/>
          <w:sz w:val="21"/>
        </w:rPr>
        <w:t> </w:t>
      </w:r>
      <w:r>
        <w:rPr>
          <w:b/>
          <w:color w:val="0F0F0F"/>
          <w:w w:val="105"/>
          <w:sz w:val="21"/>
        </w:rPr>
        <w:t>Revenue </w:t>
      </w:r>
      <w:r>
        <w:rPr>
          <w:b/>
          <w:color w:val="0F0F0F"/>
          <w:spacing w:val="-2"/>
          <w:w w:val="105"/>
          <w:sz w:val="21"/>
        </w:rPr>
        <w:t>Provision</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87"/>
        <w:rPr>
          <w:b/>
          <w:sz w:val="21"/>
        </w:rPr>
      </w:pPr>
    </w:p>
    <w:p>
      <w:pPr>
        <w:spacing w:before="0"/>
        <w:ind w:left="352" w:right="0" w:firstLine="0"/>
        <w:jc w:val="left"/>
        <w:rPr>
          <w:b/>
          <w:sz w:val="21"/>
        </w:rPr>
      </w:pPr>
      <w:r>
        <w:rPr>
          <w:b/>
          <w:color w:val="0F0F0F"/>
          <w:w w:val="105"/>
          <w:sz w:val="21"/>
        </w:rPr>
        <w:t>Net</w:t>
      </w:r>
      <w:r>
        <w:rPr>
          <w:b/>
          <w:color w:val="0F0F0F"/>
          <w:spacing w:val="-1"/>
          <w:w w:val="105"/>
          <w:sz w:val="21"/>
        </w:rPr>
        <w:t> </w:t>
      </w:r>
      <w:r>
        <w:rPr>
          <w:b/>
          <w:color w:val="0F0F0F"/>
          <w:w w:val="105"/>
          <w:sz w:val="21"/>
        </w:rPr>
        <w:t>Book</w:t>
      </w:r>
      <w:r>
        <w:rPr>
          <w:b/>
          <w:color w:val="0F0F0F"/>
          <w:spacing w:val="6"/>
          <w:w w:val="105"/>
          <w:sz w:val="21"/>
        </w:rPr>
        <w:t> </w:t>
      </w:r>
      <w:r>
        <w:rPr>
          <w:b/>
          <w:color w:val="0F0F0F"/>
          <w:spacing w:val="-2"/>
          <w:w w:val="105"/>
          <w:sz w:val="21"/>
        </w:rPr>
        <w:t>Value</w:t>
      </w:r>
    </w:p>
    <w:p>
      <w:pPr>
        <w:spacing w:before="27" w:line="252" w:lineRule="auto"/>
        <w:ind w:left="434" w:right="1441" w:firstLine="17"/>
        <w:jc w:val="left"/>
        <w:rPr>
          <w:sz w:val="21"/>
        </w:rPr>
      </w:pPr>
      <w:r>
        <w:rPr/>
        <w:br w:type="column"/>
      </w:r>
      <w:r>
        <w:rPr>
          <w:color w:val="0F0F0F"/>
          <w:w w:val="105"/>
          <w:sz w:val="21"/>
        </w:rPr>
        <w:t>The investments of the Pensions Fund will be accounted for in the statements of that fund. However, authorities (other than town parish </w:t>
      </w:r>
      <w:r>
        <w:rPr>
          <w:color w:val="212121"/>
          <w:w w:val="105"/>
          <w:sz w:val="21"/>
        </w:rPr>
        <w:t>and</w:t>
      </w:r>
      <w:r>
        <w:rPr>
          <w:color w:val="212121"/>
          <w:spacing w:val="-12"/>
          <w:w w:val="105"/>
          <w:sz w:val="21"/>
        </w:rPr>
        <w:t> </w:t>
      </w:r>
      <w:r>
        <w:rPr>
          <w:color w:val="212121"/>
          <w:w w:val="105"/>
          <w:sz w:val="21"/>
        </w:rPr>
        <w:t>community </w:t>
      </w:r>
      <w:r>
        <w:rPr>
          <w:color w:val="0F0F0F"/>
          <w:w w:val="105"/>
          <w:sz w:val="21"/>
        </w:rPr>
        <w:t>councils) are </w:t>
      </w:r>
      <w:r>
        <w:rPr>
          <w:color w:val="212121"/>
          <w:w w:val="105"/>
          <w:sz w:val="21"/>
        </w:rPr>
        <w:t>required </w:t>
      </w:r>
      <w:r>
        <w:rPr>
          <w:color w:val="0F0F0F"/>
          <w:w w:val="105"/>
          <w:sz w:val="21"/>
        </w:rPr>
        <w:t>to</w:t>
      </w:r>
      <w:r>
        <w:rPr>
          <w:color w:val="0F0F0F"/>
          <w:spacing w:val="-10"/>
          <w:w w:val="105"/>
          <w:sz w:val="21"/>
        </w:rPr>
        <w:t> </w:t>
      </w:r>
      <w:r>
        <w:rPr>
          <w:color w:val="0F0F0F"/>
          <w:w w:val="105"/>
          <w:sz w:val="21"/>
        </w:rPr>
        <w:t>disclose, </w:t>
      </w:r>
      <w:r>
        <w:rPr>
          <w:color w:val="212121"/>
          <w:w w:val="105"/>
          <w:sz w:val="21"/>
        </w:rPr>
        <w:t>as</w:t>
      </w:r>
      <w:r>
        <w:rPr>
          <w:color w:val="212121"/>
          <w:spacing w:val="-13"/>
          <w:w w:val="105"/>
          <w:sz w:val="21"/>
        </w:rPr>
        <w:t> </w:t>
      </w:r>
      <w:r>
        <w:rPr>
          <w:color w:val="212121"/>
          <w:w w:val="105"/>
          <w:sz w:val="21"/>
        </w:rPr>
        <w:t>part </w:t>
      </w:r>
      <w:r>
        <w:rPr>
          <w:color w:val="0F0F0F"/>
          <w:w w:val="105"/>
          <w:sz w:val="21"/>
        </w:rPr>
        <w:t>of</w:t>
      </w:r>
      <w:r>
        <w:rPr>
          <w:color w:val="0F0F0F"/>
          <w:spacing w:val="-15"/>
          <w:w w:val="105"/>
          <w:sz w:val="21"/>
        </w:rPr>
        <w:t> </w:t>
      </w:r>
      <w:r>
        <w:rPr>
          <w:color w:val="212121"/>
          <w:w w:val="105"/>
          <w:sz w:val="21"/>
        </w:rPr>
        <w:t>the</w:t>
      </w:r>
      <w:r>
        <w:rPr>
          <w:color w:val="212121"/>
          <w:spacing w:val="-9"/>
          <w:w w:val="105"/>
          <w:sz w:val="21"/>
        </w:rPr>
        <w:t> </w:t>
      </w:r>
      <w:r>
        <w:rPr>
          <w:color w:val="0F0F0F"/>
          <w:w w:val="105"/>
          <w:sz w:val="21"/>
        </w:rPr>
        <w:t>disclosures relating to</w:t>
      </w:r>
      <w:r>
        <w:rPr>
          <w:color w:val="0F0F0F"/>
          <w:spacing w:val="-8"/>
          <w:w w:val="105"/>
          <w:sz w:val="21"/>
        </w:rPr>
        <w:t> </w:t>
      </w:r>
      <w:r>
        <w:rPr>
          <w:color w:val="0F0F0F"/>
          <w:w w:val="105"/>
          <w:sz w:val="21"/>
        </w:rPr>
        <w:t>retirement</w:t>
      </w:r>
      <w:r>
        <w:rPr>
          <w:color w:val="0F0F0F"/>
          <w:spacing w:val="-2"/>
          <w:w w:val="105"/>
          <w:sz w:val="21"/>
        </w:rPr>
        <w:t> </w:t>
      </w:r>
      <w:r>
        <w:rPr>
          <w:color w:val="0F0F0F"/>
          <w:w w:val="105"/>
          <w:sz w:val="21"/>
        </w:rPr>
        <w:t>benefits,</w:t>
      </w:r>
      <w:r>
        <w:rPr>
          <w:color w:val="0F0F0F"/>
          <w:spacing w:val="-8"/>
          <w:w w:val="105"/>
          <w:sz w:val="21"/>
        </w:rPr>
        <w:t> </w:t>
      </w:r>
      <w:r>
        <w:rPr>
          <w:color w:val="0F0F0F"/>
          <w:w w:val="105"/>
          <w:sz w:val="21"/>
        </w:rPr>
        <w:t>their</w:t>
      </w:r>
      <w:r>
        <w:rPr>
          <w:color w:val="0F0F0F"/>
          <w:spacing w:val="-6"/>
          <w:w w:val="105"/>
          <w:sz w:val="21"/>
        </w:rPr>
        <w:t> </w:t>
      </w:r>
      <w:r>
        <w:rPr>
          <w:color w:val="0F0F0F"/>
          <w:w w:val="105"/>
          <w:sz w:val="21"/>
        </w:rPr>
        <w:t>attributable share of pension scheme assets associated with their underlying obligations.</w:t>
      </w:r>
    </w:p>
    <w:p>
      <w:pPr>
        <w:pStyle w:val="BodyText"/>
        <w:spacing w:before="3"/>
        <w:rPr>
          <w:sz w:val="21"/>
        </w:rPr>
      </w:pPr>
    </w:p>
    <w:p>
      <w:pPr>
        <w:spacing w:before="0" w:line="252" w:lineRule="auto"/>
        <w:ind w:left="420" w:right="1453" w:firstLine="12"/>
        <w:jc w:val="left"/>
        <w:rPr>
          <w:sz w:val="21"/>
        </w:rPr>
      </w:pPr>
      <w:r>
        <w:rPr>
          <w:color w:val="0F0F0F"/>
          <w:w w:val="105"/>
          <w:sz w:val="21"/>
        </w:rPr>
        <w:t>The Council's Comprehensive Income and </w:t>
      </w:r>
      <w:r>
        <w:rPr>
          <w:color w:val="212121"/>
          <w:w w:val="105"/>
          <w:sz w:val="21"/>
        </w:rPr>
        <w:t>Expenditure Statement include </w:t>
      </w:r>
      <w:r>
        <w:rPr>
          <w:color w:val="0F0F0F"/>
          <w:w w:val="105"/>
          <w:sz w:val="21"/>
        </w:rPr>
        <w:t>a </w:t>
      </w:r>
      <w:r>
        <w:rPr>
          <w:color w:val="212121"/>
          <w:w w:val="105"/>
          <w:sz w:val="21"/>
        </w:rPr>
        <w:t>share </w:t>
      </w:r>
      <w:r>
        <w:rPr>
          <w:color w:val="0F0F0F"/>
          <w:w w:val="105"/>
          <w:sz w:val="21"/>
        </w:rPr>
        <w:t>of</w:t>
      </w:r>
      <w:r>
        <w:rPr>
          <w:color w:val="0F0F0F"/>
          <w:spacing w:val="40"/>
          <w:w w:val="105"/>
          <w:sz w:val="21"/>
        </w:rPr>
        <w:t> </w:t>
      </w:r>
      <w:r>
        <w:rPr>
          <w:color w:val="212121"/>
          <w:w w:val="105"/>
          <w:sz w:val="21"/>
        </w:rPr>
        <w:t>any surplus or deficit arising for</w:t>
      </w:r>
      <w:r>
        <w:rPr>
          <w:color w:val="212121"/>
          <w:spacing w:val="-4"/>
          <w:w w:val="105"/>
          <w:sz w:val="21"/>
        </w:rPr>
        <w:t> </w:t>
      </w:r>
      <w:r>
        <w:rPr>
          <w:color w:val="0F0F0F"/>
          <w:w w:val="105"/>
          <w:sz w:val="21"/>
        </w:rPr>
        <w:t>the </w:t>
      </w:r>
      <w:r>
        <w:rPr>
          <w:color w:val="212121"/>
          <w:w w:val="105"/>
          <w:sz w:val="21"/>
        </w:rPr>
        <w:t>year </w:t>
      </w:r>
      <w:r>
        <w:rPr>
          <w:color w:val="0F0F0F"/>
          <w:w w:val="105"/>
          <w:sz w:val="21"/>
        </w:rPr>
        <w:t>on </w:t>
      </w:r>
      <w:r>
        <w:rPr>
          <w:color w:val="212121"/>
          <w:w w:val="105"/>
          <w:sz w:val="21"/>
        </w:rPr>
        <w:t>the</w:t>
      </w:r>
      <w:r>
        <w:rPr>
          <w:color w:val="212121"/>
          <w:spacing w:val="-5"/>
          <w:w w:val="105"/>
          <w:sz w:val="21"/>
        </w:rPr>
        <w:t> </w:t>
      </w:r>
      <w:r>
        <w:rPr>
          <w:color w:val="212121"/>
          <w:w w:val="105"/>
          <w:sz w:val="21"/>
        </w:rPr>
        <w:t>collection </w:t>
      </w:r>
      <w:r>
        <w:rPr>
          <w:color w:val="0F0F0F"/>
          <w:w w:val="105"/>
          <w:sz w:val="21"/>
        </w:rPr>
        <w:t>of</w:t>
      </w:r>
      <w:r>
        <w:rPr>
          <w:color w:val="0F0F0F"/>
          <w:spacing w:val="-9"/>
          <w:w w:val="105"/>
          <w:sz w:val="21"/>
        </w:rPr>
        <w:t> </w:t>
      </w:r>
      <w:r>
        <w:rPr>
          <w:color w:val="212121"/>
          <w:w w:val="105"/>
          <w:sz w:val="21"/>
        </w:rPr>
        <w:t>business rates</w:t>
      </w:r>
      <w:r>
        <w:rPr>
          <w:color w:val="565656"/>
          <w:w w:val="105"/>
          <w:sz w:val="21"/>
        </w:rPr>
        <w:t>.</w:t>
      </w:r>
      <w:r>
        <w:rPr>
          <w:color w:val="565656"/>
          <w:spacing w:val="29"/>
          <w:w w:val="105"/>
          <w:sz w:val="21"/>
        </w:rPr>
        <w:t> </w:t>
      </w:r>
      <w:r>
        <w:rPr>
          <w:color w:val="212121"/>
          <w:w w:val="105"/>
          <w:sz w:val="21"/>
        </w:rPr>
        <w:t>Where, </w:t>
      </w:r>
      <w:r>
        <w:rPr>
          <w:color w:val="0F0F0F"/>
          <w:w w:val="105"/>
          <w:sz w:val="21"/>
        </w:rPr>
        <w:t>after </w:t>
      </w:r>
      <w:r>
        <w:rPr>
          <w:color w:val="212121"/>
          <w:w w:val="105"/>
          <w:sz w:val="21"/>
        </w:rPr>
        <w:t>taking into </w:t>
      </w:r>
      <w:r>
        <w:rPr>
          <w:color w:val="0F0F0F"/>
          <w:w w:val="105"/>
          <w:sz w:val="21"/>
        </w:rPr>
        <w:t>account any surpluses on </w:t>
      </w:r>
      <w:r>
        <w:rPr>
          <w:color w:val="212121"/>
          <w:w w:val="105"/>
          <w:sz w:val="21"/>
        </w:rPr>
        <w:t>collection, </w:t>
      </w:r>
      <w:r>
        <w:rPr>
          <w:color w:val="0F0F0F"/>
          <w:w w:val="105"/>
          <w:sz w:val="21"/>
        </w:rPr>
        <w:t>the Council's income exceed a threshold set by central government,</w:t>
      </w:r>
      <w:r>
        <w:rPr>
          <w:color w:val="0F0F0F"/>
          <w:spacing w:val="40"/>
          <w:w w:val="105"/>
          <w:sz w:val="21"/>
        </w:rPr>
        <w:t> </w:t>
      </w:r>
      <w:r>
        <w:rPr>
          <w:color w:val="0F0F0F"/>
          <w:w w:val="105"/>
          <w:sz w:val="21"/>
        </w:rPr>
        <w:t>a levy</w:t>
      </w:r>
    </w:p>
    <w:p>
      <w:pPr>
        <w:spacing w:before="0" w:line="252" w:lineRule="auto"/>
        <w:ind w:left="412" w:right="1453" w:firstLine="2"/>
        <w:jc w:val="left"/>
        <w:rPr>
          <w:sz w:val="21"/>
        </w:rPr>
      </w:pPr>
      <w:r>
        <w:rPr>
          <w:color w:val="0F0F0F"/>
          <w:w w:val="105"/>
          <w:sz w:val="21"/>
        </w:rPr>
        <w:t>is</w:t>
      </w:r>
      <w:r>
        <w:rPr>
          <w:color w:val="0F0F0F"/>
          <w:spacing w:val="-1"/>
          <w:w w:val="105"/>
          <w:sz w:val="21"/>
        </w:rPr>
        <w:t> </w:t>
      </w:r>
      <w:r>
        <w:rPr>
          <w:color w:val="212121"/>
          <w:w w:val="105"/>
          <w:sz w:val="21"/>
        </w:rPr>
        <w:t>payable</w:t>
      </w:r>
      <w:r>
        <w:rPr>
          <w:color w:val="212121"/>
          <w:spacing w:val="-5"/>
          <w:w w:val="105"/>
          <w:sz w:val="21"/>
        </w:rPr>
        <w:t> </w:t>
      </w:r>
      <w:r>
        <w:rPr>
          <w:color w:val="0F0F0F"/>
          <w:w w:val="105"/>
          <w:sz w:val="21"/>
        </w:rPr>
        <w:t>to</w:t>
      </w:r>
      <w:r>
        <w:rPr>
          <w:color w:val="0F0F0F"/>
          <w:spacing w:val="-9"/>
          <w:w w:val="105"/>
          <w:sz w:val="21"/>
        </w:rPr>
        <w:t> </w:t>
      </w:r>
      <w:r>
        <w:rPr>
          <w:color w:val="0F0F0F"/>
          <w:w w:val="105"/>
          <w:sz w:val="21"/>
        </w:rPr>
        <w:t>central</w:t>
      </w:r>
      <w:r>
        <w:rPr>
          <w:color w:val="0F0F0F"/>
          <w:spacing w:val="-6"/>
          <w:w w:val="105"/>
          <w:sz w:val="21"/>
        </w:rPr>
        <w:t> </w:t>
      </w:r>
      <w:r>
        <w:rPr>
          <w:color w:val="212121"/>
          <w:w w:val="105"/>
          <w:sz w:val="21"/>
        </w:rPr>
        <w:t>government </w:t>
      </w:r>
      <w:r>
        <w:rPr>
          <w:color w:val="0F0F0F"/>
          <w:w w:val="105"/>
          <w:sz w:val="21"/>
        </w:rPr>
        <w:t>but</w:t>
      </w:r>
      <w:r>
        <w:rPr>
          <w:color w:val="0F0F0F"/>
          <w:spacing w:val="-10"/>
          <w:w w:val="105"/>
          <w:sz w:val="21"/>
        </w:rPr>
        <w:t> </w:t>
      </w:r>
      <w:r>
        <w:rPr>
          <w:color w:val="0F0F0F"/>
          <w:w w:val="105"/>
          <w:sz w:val="21"/>
        </w:rPr>
        <w:t>the Council may retain a </w:t>
      </w:r>
      <w:r>
        <w:rPr>
          <w:color w:val="212121"/>
          <w:w w:val="105"/>
          <w:sz w:val="21"/>
        </w:rPr>
        <w:t>proportion </w:t>
      </w:r>
      <w:r>
        <w:rPr>
          <w:color w:val="0F0F0F"/>
          <w:w w:val="105"/>
          <w:sz w:val="21"/>
        </w:rPr>
        <w:t>of the </w:t>
      </w:r>
      <w:r>
        <w:rPr>
          <w:color w:val="0F0F0F"/>
          <w:spacing w:val="-2"/>
          <w:w w:val="105"/>
          <w:sz w:val="21"/>
        </w:rPr>
        <w:t>surplus.</w:t>
      </w:r>
    </w:p>
    <w:p>
      <w:pPr>
        <w:pStyle w:val="BodyText"/>
        <w:spacing w:before="10"/>
        <w:rPr>
          <w:sz w:val="21"/>
        </w:rPr>
      </w:pPr>
    </w:p>
    <w:p>
      <w:pPr>
        <w:spacing w:before="1" w:line="252" w:lineRule="auto"/>
        <w:ind w:left="398" w:right="1492" w:firstLine="9"/>
        <w:jc w:val="left"/>
        <w:rPr>
          <w:sz w:val="21"/>
        </w:rPr>
      </w:pPr>
      <w:r>
        <w:rPr>
          <w:color w:val="0F0F0F"/>
          <w:w w:val="105"/>
          <w:sz w:val="21"/>
        </w:rPr>
        <w:t>Liabilities are present obligations of the Council to</w:t>
      </w:r>
      <w:r>
        <w:rPr>
          <w:color w:val="0F0F0F"/>
          <w:spacing w:val="-8"/>
          <w:w w:val="105"/>
          <w:sz w:val="21"/>
        </w:rPr>
        <w:t> </w:t>
      </w:r>
      <w:r>
        <w:rPr>
          <w:color w:val="0F0F0F"/>
          <w:w w:val="105"/>
          <w:sz w:val="21"/>
        </w:rPr>
        <w:t>transfer</w:t>
      </w:r>
      <w:r>
        <w:rPr>
          <w:color w:val="0F0F0F"/>
          <w:spacing w:val="-1"/>
          <w:w w:val="105"/>
          <w:sz w:val="21"/>
        </w:rPr>
        <w:t> </w:t>
      </w:r>
      <w:r>
        <w:rPr>
          <w:color w:val="0F0F0F"/>
          <w:w w:val="105"/>
          <w:sz w:val="21"/>
        </w:rPr>
        <w:t>an</w:t>
      </w:r>
      <w:r>
        <w:rPr>
          <w:color w:val="0F0F0F"/>
          <w:spacing w:val="-10"/>
          <w:w w:val="105"/>
          <w:sz w:val="21"/>
        </w:rPr>
        <w:t> </w:t>
      </w:r>
      <w:r>
        <w:rPr>
          <w:color w:val="0F0F0F"/>
          <w:w w:val="105"/>
          <w:sz w:val="21"/>
        </w:rPr>
        <w:t>economic resource</w:t>
      </w:r>
      <w:r>
        <w:rPr>
          <w:color w:val="0F0F0F"/>
          <w:spacing w:val="-2"/>
          <w:w w:val="105"/>
          <w:sz w:val="21"/>
        </w:rPr>
        <w:t> </w:t>
      </w:r>
      <w:r>
        <w:rPr>
          <w:color w:val="0F0F0F"/>
          <w:w w:val="105"/>
          <w:sz w:val="21"/>
        </w:rPr>
        <w:t>as a result of past events. They include borrowings and amounts owed by the </w:t>
      </w:r>
      <w:r>
        <w:rPr>
          <w:color w:val="0F0F0F"/>
          <w:spacing w:val="-2"/>
          <w:w w:val="105"/>
          <w:sz w:val="21"/>
        </w:rPr>
        <w:t>Council.</w:t>
      </w:r>
    </w:p>
    <w:p>
      <w:pPr>
        <w:pStyle w:val="BodyText"/>
        <w:spacing w:before="9"/>
        <w:rPr>
          <w:sz w:val="21"/>
        </w:rPr>
      </w:pPr>
    </w:p>
    <w:p>
      <w:pPr>
        <w:spacing w:before="0" w:line="254" w:lineRule="auto"/>
        <w:ind w:left="390" w:right="1350" w:firstLine="4"/>
        <w:jc w:val="left"/>
        <w:rPr>
          <w:sz w:val="21"/>
        </w:rPr>
      </w:pPr>
      <w:r>
        <w:rPr>
          <w:color w:val="0F0F0F"/>
          <w:w w:val="105"/>
          <w:sz w:val="21"/>
        </w:rPr>
        <w:t>The</w:t>
      </w:r>
      <w:r>
        <w:rPr>
          <w:color w:val="0F0F0F"/>
          <w:spacing w:val="-9"/>
          <w:w w:val="105"/>
          <w:sz w:val="21"/>
        </w:rPr>
        <w:t> </w:t>
      </w:r>
      <w:r>
        <w:rPr>
          <w:color w:val="212121"/>
          <w:w w:val="105"/>
          <w:sz w:val="21"/>
        </w:rPr>
        <w:t>expected</w:t>
      </w:r>
      <w:r>
        <w:rPr>
          <w:color w:val="212121"/>
          <w:spacing w:val="-5"/>
          <w:w w:val="105"/>
          <w:sz w:val="21"/>
        </w:rPr>
        <w:t> </w:t>
      </w:r>
      <w:r>
        <w:rPr>
          <w:color w:val="0F0F0F"/>
          <w:w w:val="105"/>
          <w:sz w:val="21"/>
        </w:rPr>
        <w:t>credit</w:t>
      </w:r>
      <w:r>
        <w:rPr>
          <w:color w:val="0F0F0F"/>
          <w:spacing w:val="-3"/>
          <w:w w:val="105"/>
          <w:sz w:val="21"/>
        </w:rPr>
        <w:t> </w:t>
      </w:r>
      <w:r>
        <w:rPr>
          <w:color w:val="0F0F0F"/>
          <w:w w:val="105"/>
          <w:sz w:val="21"/>
        </w:rPr>
        <w:t>losses</w:t>
      </w:r>
      <w:r>
        <w:rPr>
          <w:color w:val="0F0F0F"/>
          <w:spacing w:val="-3"/>
          <w:w w:val="105"/>
          <w:sz w:val="21"/>
        </w:rPr>
        <w:t> </w:t>
      </w:r>
      <w:r>
        <w:rPr>
          <w:color w:val="0F0F0F"/>
          <w:w w:val="105"/>
          <w:sz w:val="21"/>
        </w:rPr>
        <w:t>that</w:t>
      </w:r>
      <w:r>
        <w:rPr>
          <w:color w:val="0F0F0F"/>
          <w:spacing w:val="-1"/>
          <w:w w:val="105"/>
          <w:sz w:val="21"/>
        </w:rPr>
        <w:t> </w:t>
      </w:r>
      <w:r>
        <w:rPr>
          <w:color w:val="212121"/>
          <w:w w:val="105"/>
          <w:sz w:val="21"/>
        </w:rPr>
        <w:t>are</w:t>
      </w:r>
      <w:r>
        <w:rPr>
          <w:color w:val="212121"/>
          <w:spacing w:val="-9"/>
          <w:w w:val="105"/>
          <w:sz w:val="21"/>
        </w:rPr>
        <w:t> </w:t>
      </w:r>
      <w:r>
        <w:rPr>
          <w:color w:val="212121"/>
          <w:w w:val="105"/>
          <w:sz w:val="21"/>
        </w:rPr>
        <w:t>projected </w:t>
      </w:r>
      <w:r>
        <w:rPr>
          <w:color w:val="0F0F0F"/>
          <w:w w:val="105"/>
          <w:sz w:val="21"/>
        </w:rPr>
        <w:t>to arise </w:t>
      </w:r>
      <w:r>
        <w:rPr>
          <w:color w:val="212121"/>
          <w:w w:val="105"/>
          <w:sz w:val="21"/>
        </w:rPr>
        <w:t>from </w:t>
      </w:r>
      <w:r>
        <w:rPr>
          <w:color w:val="0F0F0F"/>
          <w:w w:val="105"/>
          <w:sz w:val="21"/>
        </w:rPr>
        <w:t>all possible default </w:t>
      </w:r>
      <w:r>
        <w:rPr>
          <w:color w:val="212121"/>
          <w:w w:val="105"/>
          <w:sz w:val="21"/>
        </w:rPr>
        <w:t>events that </w:t>
      </w:r>
      <w:r>
        <w:rPr>
          <w:color w:val="0F0F0F"/>
          <w:w w:val="105"/>
          <w:sz w:val="21"/>
        </w:rPr>
        <w:t>might happen </w:t>
      </w:r>
      <w:r>
        <w:rPr>
          <w:color w:val="212121"/>
          <w:w w:val="105"/>
          <w:sz w:val="21"/>
        </w:rPr>
        <w:t>in </w:t>
      </w:r>
      <w:r>
        <w:rPr>
          <w:color w:val="0F0F0F"/>
          <w:w w:val="105"/>
          <w:sz w:val="21"/>
        </w:rPr>
        <w:t>the lifetime of a financial </w:t>
      </w:r>
      <w:r>
        <w:rPr>
          <w:color w:val="0F0F0F"/>
          <w:spacing w:val="-2"/>
          <w:w w:val="105"/>
          <w:sz w:val="21"/>
        </w:rPr>
        <w:t>asset.</w:t>
      </w:r>
    </w:p>
    <w:p>
      <w:pPr>
        <w:pStyle w:val="BodyText"/>
        <w:spacing w:before="3"/>
        <w:rPr>
          <w:sz w:val="21"/>
        </w:rPr>
      </w:pPr>
    </w:p>
    <w:p>
      <w:pPr>
        <w:spacing w:before="0" w:line="252" w:lineRule="auto"/>
        <w:ind w:left="381" w:right="1492" w:firstLine="3"/>
        <w:jc w:val="left"/>
        <w:rPr>
          <w:sz w:val="21"/>
        </w:rPr>
      </w:pPr>
      <w:r>
        <w:rPr>
          <w:color w:val="0F0F0F"/>
          <w:w w:val="105"/>
          <w:sz w:val="21"/>
        </w:rPr>
        <w:t>Liquid </w:t>
      </w:r>
      <w:r>
        <w:rPr>
          <w:color w:val="212121"/>
          <w:w w:val="105"/>
          <w:sz w:val="21"/>
        </w:rPr>
        <w:t>resources </w:t>
      </w:r>
      <w:r>
        <w:rPr>
          <w:color w:val="0F0F0F"/>
          <w:w w:val="105"/>
          <w:sz w:val="21"/>
        </w:rPr>
        <w:t>are </w:t>
      </w:r>
      <w:r>
        <w:rPr>
          <w:color w:val="212121"/>
          <w:w w:val="105"/>
          <w:sz w:val="21"/>
        </w:rPr>
        <w:t>current asset </w:t>
      </w:r>
      <w:r>
        <w:rPr>
          <w:color w:val="0F0F0F"/>
          <w:w w:val="105"/>
          <w:sz w:val="21"/>
        </w:rPr>
        <w:t>investments</w:t>
      </w:r>
      <w:r>
        <w:rPr>
          <w:color w:val="0F0F0F"/>
          <w:spacing w:val="-2"/>
          <w:w w:val="105"/>
          <w:sz w:val="21"/>
        </w:rPr>
        <w:t> </w:t>
      </w:r>
      <w:r>
        <w:rPr>
          <w:color w:val="212121"/>
          <w:w w:val="105"/>
          <w:sz w:val="21"/>
        </w:rPr>
        <w:t>held</w:t>
      </w:r>
      <w:r>
        <w:rPr>
          <w:color w:val="212121"/>
          <w:spacing w:val="-16"/>
          <w:w w:val="105"/>
          <w:sz w:val="21"/>
        </w:rPr>
        <w:t> </w:t>
      </w:r>
      <w:r>
        <w:rPr>
          <w:color w:val="0F0F0F"/>
          <w:w w:val="105"/>
          <w:sz w:val="21"/>
        </w:rPr>
        <w:t>as</w:t>
      </w:r>
      <w:r>
        <w:rPr>
          <w:color w:val="0F0F0F"/>
          <w:spacing w:val="-12"/>
          <w:w w:val="105"/>
          <w:sz w:val="21"/>
        </w:rPr>
        <w:t> </w:t>
      </w:r>
      <w:r>
        <w:rPr>
          <w:color w:val="212121"/>
          <w:w w:val="105"/>
          <w:sz w:val="21"/>
        </w:rPr>
        <w:t>readily</w:t>
      </w:r>
      <w:r>
        <w:rPr>
          <w:color w:val="212121"/>
          <w:spacing w:val="-4"/>
          <w:w w:val="105"/>
          <w:sz w:val="21"/>
        </w:rPr>
        <w:t> </w:t>
      </w:r>
      <w:r>
        <w:rPr>
          <w:color w:val="212121"/>
          <w:w w:val="105"/>
          <w:sz w:val="21"/>
        </w:rPr>
        <w:t>disposable </w:t>
      </w:r>
      <w:r>
        <w:rPr>
          <w:color w:val="0F0F0F"/>
          <w:spacing w:val="-2"/>
          <w:w w:val="105"/>
          <w:sz w:val="21"/>
        </w:rPr>
        <w:t>assets.</w:t>
      </w:r>
    </w:p>
    <w:p>
      <w:pPr>
        <w:pStyle w:val="BodyText"/>
        <w:spacing w:before="12"/>
        <w:rPr>
          <w:sz w:val="21"/>
        </w:rPr>
      </w:pPr>
    </w:p>
    <w:p>
      <w:pPr>
        <w:spacing w:before="0" w:line="254" w:lineRule="auto"/>
        <w:ind w:left="373" w:right="1492" w:firstLine="2"/>
        <w:jc w:val="left"/>
        <w:rPr>
          <w:sz w:val="21"/>
        </w:rPr>
      </w:pPr>
      <w:r>
        <w:rPr>
          <w:color w:val="0F0F0F"/>
          <w:w w:val="105"/>
          <w:sz w:val="21"/>
        </w:rPr>
        <w:t>An</w:t>
      </w:r>
      <w:r>
        <w:rPr>
          <w:color w:val="0F0F0F"/>
          <w:spacing w:val="-5"/>
          <w:w w:val="105"/>
          <w:sz w:val="21"/>
        </w:rPr>
        <w:t> </w:t>
      </w:r>
      <w:r>
        <w:rPr>
          <w:color w:val="0F0F0F"/>
          <w:w w:val="105"/>
          <w:sz w:val="21"/>
        </w:rPr>
        <w:t>allowance made</w:t>
      </w:r>
      <w:r>
        <w:rPr>
          <w:color w:val="0F0F0F"/>
          <w:spacing w:val="-4"/>
          <w:w w:val="105"/>
          <w:sz w:val="21"/>
        </w:rPr>
        <w:t> </w:t>
      </w:r>
      <w:r>
        <w:rPr>
          <w:color w:val="0F0F0F"/>
          <w:w w:val="105"/>
          <w:sz w:val="21"/>
        </w:rPr>
        <w:t>by</w:t>
      </w:r>
      <w:r>
        <w:rPr>
          <w:color w:val="0F0F0F"/>
          <w:spacing w:val="-1"/>
          <w:w w:val="105"/>
          <w:sz w:val="21"/>
        </w:rPr>
        <w:t> </w:t>
      </w:r>
      <w:r>
        <w:rPr>
          <w:color w:val="0F0F0F"/>
          <w:w w:val="105"/>
          <w:sz w:val="21"/>
        </w:rPr>
        <w:t>setting funds</w:t>
      </w:r>
      <w:r>
        <w:rPr>
          <w:color w:val="0F0F0F"/>
          <w:spacing w:val="-3"/>
          <w:w w:val="105"/>
          <w:sz w:val="21"/>
        </w:rPr>
        <w:t> </w:t>
      </w:r>
      <w:r>
        <w:rPr>
          <w:color w:val="0F0F0F"/>
          <w:w w:val="105"/>
          <w:sz w:val="21"/>
        </w:rPr>
        <w:t>aside</w:t>
      </w:r>
      <w:r>
        <w:rPr>
          <w:color w:val="0F0F0F"/>
          <w:spacing w:val="-5"/>
          <w:w w:val="105"/>
          <w:sz w:val="21"/>
        </w:rPr>
        <w:t> </w:t>
      </w:r>
      <w:r>
        <w:rPr>
          <w:color w:val="0F0F0F"/>
          <w:w w:val="105"/>
          <w:sz w:val="21"/>
        </w:rPr>
        <w:t>to cover the expected credit losses calculated for a financial asset.</w:t>
      </w:r>
    </w:p>
    <w:p>
      <w:pPr>
        <w:pStyle w:val="BodyText"/>
        <w:spacing w:before="4"/>
        <w:rPr>
          <w:sz w:val="21"/>
        </w:rPr>
      </w:pPr>
    </w:p>
    <w:p>
      <w:pPr>
        <w:spacing w:before="0" w:line="252" w:lineRule="auto"/>
        <w:ind w:left="361" w:right="1492" w:firstLine="9"/>
        <w:jc w:val="left"/>
        <w:rPr>
          <w:sz w:val="21"/>
        </w:rPr>
      </w:pPr>
      <w:r>
        <w:rPr>
          <w:color w:val="0F0F0F"/>
          <w:w w:val="105"/>
          <w:sz w:val="21"/>
        </w:rPr>
        <w:t>The</w:t>
      </w:r>
      <w:r>
        <w:rPr>
          <w:color w:val="0F0F0F"/>
          <w:spacing w:val="-6"/>
          <w:w w:val="105"/>
          <w:sz w:val="21"/>
        </w:rPr>
        <w:t> </w:t>
      </w:r>
      <w:r>
        <w:rPr>
          <w:color w:val="0F0F0F"/>
          <w:w w:val="105"/>
          <w:sz w:val="21"/>
        </w:rPr>
        <w:t>method by</w:t>
      </w:r>
      <w:r>
        <w:rPr>
          <w:color w:val="0F0F0F"/>
          <w:spacing w:val="-2"/>
          <w:w w:val="105"/>
          <w:sz w:val="21"/>
        </w:rPr>
        <w:t> </w:t>
      </w:r>
      <w:r>
        <w:rPr>
          <w:color w:val="0F0F0F"/>
          <w:w w:val="105"/>
          <w:sz w:val="21"/>
        </w:rPr>
        <w:t>which</w:t>
      </w:r>
      <w:r>
        <w:rPr>
          <w:color w:val="0F0F0F"/>
          <w:spacing w:val="-3"/>
          <w:w w:val="105"/>
          <w:sz w:val="21"/>
        </w:rPr>
        <w:t> </w:t>
      </w:r>
      <w:r>
        <w:rPr>
          <w:color w:val="0F0F0F"/>
          <w:w w:val="105"/>
          <w:sz w:val="21"/>
        </w:rPr>
        <w:t>capital</w:t>
      </w:r>
      <w:r>
        <w:rPr>
          <w:color w:val="0F0F0F"/>
          <w:spacing w:val="-6"/>
          <w:w w:val="105"/>
          <w:sz w:val="21"/>
        </w:rPr>
        <w:t> </w:t>
      </w:r>
      <w:r>
        <w:rPr>
          <w:color w:val="0F0F0F"/>
          <w:w w:val="105"/>
          <w:sz w:val="21"/>
        </w:rPr>
        <w:t>expenditure is financed by setting aside amounts from revenue over the useful life of the relevant asset (or in accordance with some other methodology that prudently approximates </w:t>
      </w:r>
      <w:r>
        <w:rPr>
          <w:color w:val="0F0F0F"/>
          <w:spacing w:val="-2"/>
          <w:w w:val="105"/>
          <w:sz w:val="21"/>
        </w:rPr>
        <w:t>this)</w:t>
      </w:r>
      <w:r>
        <w:rPr>
          <w:color w:val="565656"/>
          <w:spacing w:val="-2"/>
          <w:w w:val="105"/>
          <w:sz w:val="21"/>
        </w:rPr>
        <w:t>.</w:t>
      </w:r>
    </w:p>
    <w:p>
      <w:pPr>
        <w:pStyle w:val="BodyText"/>
        <w:spacing w:before="16"/>
        <w:rPr>
          <w:sz w:val="21"/>
        </w:rPr>
      </w:pPr>
    </w:p>
    <w:p>
      <w:pPr>
        <w:spacing w:before="0" w:line="249" w:lineRule="auto"/>
        <w:ind w:left="352" w:right="1453" w:firstLine="4"/>
        <w:jc w:val="left"/>
        <w:rPr>
          <w:sz w:val="21"/>
        </w:rPr>
      </w:pPr>
      <w:r>
        <w:rPr>
          <w:color w:val="0F0F0F"/>
          <w:w w:val="105"/>
          <w:sz w:val="21"/>
        </w:rPr>
        <w:t>The amount at which non-current assets are included in the Balance Sheet, i.e. their historical or</w:t>
      </w:r>
      <w:r>
        <w:rPr>
          <w:color w:val="0F0F0F"/>
          <w:spacing w:val="-7"/>
          <w:w w:val="105"/>
          <w:sz w:val="21"/>
        </w:rPr>
        <w:t> </w:t>
      </w:r>
      <w:r>
        <w:rPr>
          <w:color w:val="0F0F0F"/>
          <w:w w:val="105"/>
          <w:sz w:val="21"/>
        </w:rPr>
        <w:t>current value</w:t>
      </w:r>
      <w:r>
        <w:rPr>
          <w:color w:val="0F0F0F"/>
          <w:spacing w:val="-1"/>
          <w:w w:val="105"/>
          <w:sz w:val="21"/>
        </w:rPr>
        <w:t> </w:t>
      </w:r>
      <w:r>
        <w:rPr>
          <w:color w:val="0F0F0F"/>
          <w:w w:val="105"/>
          <w:sz w:val="21"/>
        </w:rPr>
        <w:t>less</w:t>
      </w:r>
      <w:r>
        <w:rPr>
          <w:color w:val="0F0F0F"/>
          <w:spacing w:val="-11"/>
          <w:w w:val="105"/>
          <w:sz w:val="21"/>
        </w:rPr>
        <w:t> </w:t>
      </w:r>
      <w:r>
        <w:rPr>
          <w:color w:val="0F0F0F"/>
          <w:w w:val="105"/>
          <w:sz w:val="21"/>
        </w:rPr>
        <w:t>the</w:t>
      </w:r>
      <w:r>
        <w:rPr>
          <w:color w:val="0F0F0F"/>
          <w:spacing w:val="-8"/>
          <w:w w:val="105"/>
          <w:sz w:val="21"/>
        </w:rPr>
        <w:t> </w:t>
      </w:r>
      <w:r>
        <w:rPr>
          <w:color w:val="0F0F0F"/>
          <w:w w:val="105"/>
          <w:sz w:val="21"/>
        </w:rPr>
        <w:t>cumulative amounts provided for depreciation.</w:t>
      </w:r>
    </w:p>
    <w:p>
      <w:pPr>
        <w:spacing w:after="0" w:line="249" w:lineRule="auto"/>
        <w:jc w:val="left"/>
        <w:rPr>
          <w:sz w:val="21"/>
        </w:rPr>
        <w:sectPr>
          <w:pgSz w:w="11910" w:h="16830"/>
          <w:pgMar w:top="1520" w:right="540" w:bottom="1200" w:left="440" w:header="913" w:footer="1016"/>
          <w:cols w:equalWidth="0" w:num="2">
            <w:col w:w="3725" w:space="926"/>
            <w:col w:w="6279"/>
          </w:cols>
        </w:sectPr>
      </w:pPr>
    </w:p>
    <w:p>
      <w:pPr>
        <w:pStyle w:val="BodyText"/>
        <w:spacing w:before="8"/>
        <w:rPr>
          <w:sz w:val="12"/>
        </w:rPr>
      </w:pPr>
    </w:p>
    <w:p>
      <w:pPr>
        <w:spacing w:after="0"/>
        <w:rPr>
          <w:sz w:val="12"/>
        </w:rPr>
        <w:sectPr>
          <w:pgSz w:w="11910" w:h="16830"/>
          <w:pgMar w:top="900" w:right="540" w:bottom="1360" w:left="440" w:header="724" w:footer="1146"/>
        </w:sectPr>
      </w:pPr>
    </w:p>
    <w:p>
      <w:pPr>
        <w:spacing w:before="98"/>
        <w:ind w:left="2190" w:right="0" w:firstLine="0"/>
        <w:jc w:val="left"/>
        <w:rPr>
          <w:b/>
          <w:sz w:val="21"/>
        </w:rPr>
      </w:pPr>
      <w:r>
        <w:rPr>
          <w:b/>
          <w:color w:val="0C0C0C"/>
          <w:spacing w:val="-4"/>
          <w:w w:val="105"/>
          <w:sz w:val="21"/>
        </w:rPr>
        <w:t>Term</w:t>
      </w:r>
    </w:p>
    <w:p>
      <w:pPr>
        <w:spacing w:before="13"/>
        <w:ind w:left="265" w:right="0" w:firstLine="0"/>
        <w:jc w:val="left"/>
        <w:rPr>
          <w:b/>
          <w:sz w:val="21"/>
        </w:rPr>
      </w:pPr>
      <w:r>
        <w:rPr>
          <w:b/>
          <w:color w:val="0C0C0C"/>
          <w:w w:val="105"/>
          <w:sz w:val="21"/>
        </w:rPr>
        <w:t>Net</w:t>
      </w:r>
      <w:r>
        <w:rPr>
          <w:b/>
          <w:color w:val="0C0C0C"/>
          <w:spacing w:val="-16"/>
          <w:w w:val="105"/>
          <w:sz w:val="21"/>
        </w:rPr>
        <w:t> </w:t>
      </w:r>
      <w:r>
        <w:rPr>
          <w:b/>
          <w:color w:val="0C0C0C"/>
          <w:w w:val="105"/>
          <w:sz w:val="21"/>
        </w:rPr>
        <w:t>current</w:t>
      </w:r>
      <w:r>
        <w:rPr>
          <w:b/>
          <w:color w:val="0C0C0C"/>
          <w:spacing w:val="-3"/>
          <w:w w:val="105"/>
          <w:sz w:val="21"/>
        </w:rPr>
        <w:t> </w:t>
      </w:r>
      <w:r>
        <w:rPr>
          <w:b/>
          <w:color w:val="0C0C0C"/>
          <w:w w:val="105"/>
          <w:sz w:val="21"/>
        </w:rPr>
        <w:t>replacement</w:t>
      </w:r>
      <w:r>
        <w:rPr>
          <w:b/>
          <w:color w:val="0C0C0C"/>
          <w:spacing w:val="4"/>
          <w:w w:val="105"/>
          <w:sz w:val="21"/>
        </w:rPr>
        <w:t> </w:t>
      </w:r>
      <w:r>
        <w:rPr>
          <w:b/>
          <w:color w:val="0C0C0C"/>
          <w:spacing w:val="-4"/>
          <w:w w:val="105"/>
          <w:sz w:val="21"/>
        </w:rPr>
        <w:t>cost</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83"/>
        <w:rPr>
          <w:b/>
          <w:sz w:val="21"/>
        </w:rPr>
      </w:pPr>
    </w:p>
    <w:p>
      <w:pPr>
        <w:spacing w:before="0"/>
        <w:ind w:left="270" w:right="0" w:firstLine="0"/>
        <w:jc w:val="left"/>
        <w:rPr>
          <w:b/>
          <w:sz w:val="21"/>
        </w:rPr>
      </w:pPr>
      <w:r>
        <w:rPr>
          <w:b/>
          <w:color w:val="0C0C0C"/>
          <w:w w:val="105"/>
          <w:sz w:val="21"/>
        </w:rPr>
        <w:t>Net</w:t>
      </w:r>
      <w:r>
        <w:rPr>
          <w:b/>
          <w:color w:val="0C0C0C"/>
          <w:spacing w:val="-16"/>
          <w:w w:val="105"/>
          <w:sz w:val="21"/>
        </w:rPr>
        <w:t> </w:t>
      </w:r>
      <w:r>
        <w:rPr>
          <w:b/>
          <w:color w:val="0C0C0C"/>
          <w:w w:val="105"/>
          <w:sz w:val="21"/>
        </w:rPr>
        <w:t>realisable</w:t>
      </w:r>
      <w:r>
        <w:rPr>
          <w:b/>
          <w:color w:val="0C0C0C"/>
          <w:spacing w:val="-1"/>
          <w:w w:val="105"/>
          <w:sz w:val="21"/>
        </w:rPr>
        <w:t> </w:t>
      </w:r>
      <w:r>
        <w:rPr>
          <w:b/>
          <w:color w:val="0C0C0C"/>
          <w:spacing w:val="-4"/>
          <w:w w:val="105"/>
          <w:sz w:val="21"/>
        </w:rPr>
        <w:t>value</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70"/>
        <w:rPr>
          <w:b/>
          <w:sz w:val="21"/>
        </w:rPr>
      </w:pPr>
    </w:p>
    <w:p>
      <w:pPr>
        <w:spacing w:before="0"/>
        <w:ind w:left="270" w:right="0" w:firstLine="0"/>
        <w:jc w:val="left"/>
        <w:rPr>
          <w:b/>
          <w:sz w:val="21"/>
        </w:rPr>
      </w:pPr>
      <w:r>
        <w:rPr>
          <w:b/>
          <w:color w:val="0C0C0C"/>
          <w:w w:val="105"/>
          <w:sz w:val="21"/>
        </w:rPr>
        <w:t>Non-current</w:t>
      </w:r>
      <w:r>
        <w:rPr>
          <w:b/>
          <w:color w:val="0C0C0C"/>
          <w:spacing w:val="-10"/>
          <w:w w:val="105"/>
          <w:sz w:val="21"/>
        </w:rPr>
        <w:t> </w:t>
      </w:r>
      <w:r>
        <w:rPr>
          <w:b/>
          <w:color w:val="0C0C0C"/>
          <w:spacing w:val="-2"/>
          <w:w w:val="105"/>
          <w:sz w:val="21"/>
        </w:rPr>
        <w:t>assets</w:t>
      </w:r>
    </w:p>
    <w:p>
      <w:pPr>
        <w:pStyle w:val="BodyText"/>
        <w:rPr>
          <w:b/>
          <w:sz w:val="21"/>
        </w:rPr>
      </w:pPr>
    </w:p>
    <w:p>
      <w:pPr>
        <w:pStyle w:val="BodyText"/>
        <w:rPr>
          <w:b/>
          <w:sz w:val="21"/>
        </w:rPr>
      </w:pPr>
    </w:p>
    <w:p>
      <w:pPr>
        <w:pStyle w:val="BodyText"/>
        <w:spacing w:before="52"/>
        <w:rPr>
          <w:b/>
          <w:sz w:val="21"/>
        </w:rPr>
      </w:pPr>
    </w:p>
    <w:p>
      <w:pPr>
        <w:spacing w:before="1"/>
        <w:ind w:left="275" w:right="0" w:firstLine="0"/>
        <w:jc w:val="left"/>
        <w:rPr>
          <w:b/>
          <w:sz w:val="21"/>
        </w:rPr>
      </w:pPr>
      <w:r>
        <w:rPr>
          <w:b/>
          <w:color w:val="0C0C0C"/>
          <w:spacing w:val="-2"/>
          <w:w w:val="105"/>
          <w:sz w:val="21"/>
        </w:rPr>
        <w:t>Non-operational</w:t>
      </w:r>
      <w:r>
        <w:rPr>
          <w:b/>
          <w:color w:val="0C0C0C"/>
          <w:spacing w:val="2"/>
          <w:w w:val="105"/>
          <w:sz w:val="21"/>
        </w:rPr>
        <w:t> </w:t>
      </w:r>
      <w:r>
        <w:rPr>
          <w:b/>
          <w:color w:val="0C0C0C"/>
          <w:spacing w:val="-2"/>
          <w:w w:val="105"/>
          <w:sz w:val="21"/>
        </w:rPr>
        <w:t>assets</w:t>
      </w:r>
    </w:p>
    <w:p>
      <w:pPr>
        <w:pStyle w:val="BodyText"/>
        <w:rPr>
          <w:b/>
          <w:sz w:val="21"/>
        </w:rPr>
      </w:pPr>
    </w:p>
    <w:p>
      <w:pPr>
        <w:pStyle w:val="BodyText"/>
        <w:rPr>
          <w:b/>
          <w:sz w:val="21"/>
        </w:rPr>
      </w:pPr>
    </w:p>
    <w:p>
      <w:pPr>
        <w:pStyle w:val="BodyText"/>
        <w:rPr>
          <w:b/>
          <w:sz w:val="21"/>
        </w:rPr>
      </w:pPr>
    </w:p>
    <w:p>
      <w:pPr>
        <w:pStyle w:val="BodyText"/>
        <w:spacing w:before="56"/>
        <w:rPr>
          <w:b/>
          <w:sz w:val="21"/>
        </w:rPr>
      </w:pPr>
    </w:p>
    <w:p>
      <w:pPr>
        <w:spacing w:before="0"/>
        <w:ind w:left="276" w:right="0" w:firstLine="0"/>
        <w:jc w:val="left"/>
        <w:rPr>
          <w:b/>
          <w:sz w:val="21"/>
        </w:rPr>
      </w:pPr>
      <w:r>
        <w:rPr>
          <w:b/>
          <w:color w:val="0C0C0C"/>
          <w:spacing w:val="-2"/>
          <w:w w:val="105"/>
          <w:sz w:val="21"/>
        </w:rPr>
        <w:t>Operational</w:t>
      </w:r>
      <w:r>
        <w:rPr>
          <w:b/>
          <w:color w:val="0C0C0C"/>
          <w:spacing w:val="4"/>
          <w:w w:val="105"/>
          <w:sz w:val="21"/>
        </w:rPr>
        <w:t> </w:t>
      </w:r>
      <w:r>
        <w:rPr>
          <w:b/>
          <w:color w:val="0C0C0C"/>
          <w:spacing w:val="-2"/>
          <w:w w:val="105"/>
          <w:sz w:val="21"/>
        </w:rPr>
        <w:t>assets</w:t>
      </w:r>
    </w:p>
    <w:p>
      <w:pPr>
        <w:pStyle w:val="BodyText"/>
        <w:rPr>
          <w:b/>
          <w:sz w:val="21"/>
        </w:rPr>
      </w:pPr>
    </w:p>
    <w:p>
      <w:pPr>
        <w:pStyle w:val="BodyText"/>
        <w:spacing w:before="35"/>
        <w:rPr>
          <w:b/>
          <w:sz w:val="21"/>
        </w:rPr>
      </w:pPr>
    </w:p>
    <w:p>
      <w:pPr>
        <w:spacing w:before="0"/>
        <w:ind w:left="275" w:right="0" w:firstLine="0"/>
        <w:jc w:val="left"/>
        <w:rPr>
          <w:b/>
          <w:sz w:val="21"/>
        </w:rPr>
      </w:pPr>
      <w:r>
        <w:rPr>
          <w:b/>
          <w:color w:val="0C0C0C"/>
          <w:w w:val="105"/>
          <w:sz w:val="21"/>
        </w:rPr>
        <w:t>Past</w:t>
      </w:r>
      <w:r>
        <w:rPr>
          <w:b/>
          <w:color w:val="0C0C0C"/>
          <w:spacing w:val="-2"/>
          <w:w w:val="105"/>
          <w:sz w:val="21"/>
        </w:rPr>
        <w:t> </w:t>
      </w:r>
      <w:r>
        <w:rPr>
          <w:b/>
          <w:color w:val="0C0C0C"/>
          <w:spacing w:val="-5"/>
          <w:w w:val="105"/>
          <w:sz w:val="21"/>
        </w:rPr>
        <w:t>due</w:t>
      </w:r>
    </w:p>
    <w:p>
      <w:pPr>
        <w:pStyle w:val="BodyText"/>
        <w:rPr>
          <w:b/>
          <w:sz w:val="21"/>
        </w:rPr>
      </w:pPr>
    </w:p>
    <w:p>
      <w:pPr>
        <w:pStyle w:val="BodyText"/>
        <w:rPr>
          <w:b/>
          <w:sz w:val="21"/>
        </w:rPr>
      </w:pPr>
    </w:p>
    <w:p>
      <w:pPr>
        <w:pStyle w:val="BodyText"/>
        <w:spacing w:before="48"/>
        <w:rPr>
          <w:b/>
          <w:sz w:val="21"/>
        </w:rPr>
      </w:pPr>
    </w:p>
    <w:p>
      <w:pPr>
        <w:spacing w:before="0"/>
        <w:ind w:left="280" w:right="0" w:firstLine="0"/>
        <w:jc w:val="left"/>
        <w:rPr>
          <w:b/>
          <w:sz w:val="21"/>
        </w:rPr>
      </w:pPr>
      <w:r>
        <w:rPr>
          <w:b/>
          <w:color w:val="0C0C0C"/>
          <w:w w:val="105"/>
          <w:sz w:val="21"/>
        </w:rPr>
        <w:t>Past</w:t>
      </w:r>
      <w:r>
        <w:rPr>
          <w:b/>
          <w:color w:val="0C0C0C"/>
          <w:spacing w:val="-11"/>
          <w:w w:val="105"/>
          <w:sz w:val="21"/>
        </w:rPr>
        <w:t> </w:t>
      </w:r>
      <w:r>
        <w:rPr>
          <w:b/>
          <w:color w:val="0C0C0C"/>
          <w:w w:val="105"/>
          <w:sz w:val="21"/>
        </w:rPr>
        <w:t>service</w:t>
      </w:r>
      <w:r>
        <w:rPr>
          <w:b/>
          <w:color w:val="0C0C0C"/>
          <w:spacing w:val="-3"/>
          <w:w w:val="105"/>
          <w:sz w:val="21"/>
        </w:rPr>
        <w:t> </w:t>
      </w:r>
      <w:r>
        <w:rPr>
          <w:b/>
          <w:color w:val="0C0C0C"/>
          <w:spacing w:val="-4"/>
          <w:w w:val="105"/>
          <w:sz w:val="21"/>
        </w:rPr>
        <w:t>cost</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83"/>
        <w:rPr>
          <w:b/>
          <w:sz w:val="21"/>
        </w:rPr>
      </w:pPr>
    </w:p>
    <w:p>
      <w:pPr>
        <w:spacing w:before="0"/>
        <w:ind w:left="280" w:right="0" w:firstLine="0"/>
        <w:jc w:val="left"/>
        <w:rPr>
          <w:b/>
          <w:sz w:val="21"/>
        </w:rPr>
      </w:pPr>
      <w:r>
        <w:rPr>
          <w:b/>
          <w:color w:val="0C0C0C"/>
          <w:w w:val="105"/>
          <w:sz w:val="21"/>
        </w:rPr>
        <w:t>Payments of</w:t>
      </w:r>
      <w:r>
        <w:rPr>
          <w:b/>
          <w:color w:val="0C0C0C"/>
          <w:spacing w:val="-12"/>
          <w:w w:val="105"/>
          <w:sz w:val="21"/>
        </w:rPr>
        <w:t> </w:t>
      </w:r>
      <w:r>
        <w:rPr>
          <w:b/>
          <w:color w:val="0C0C0C"/>
          <w:w w:val="105"/>
          <w:sz w:val="21"/>
        </w:rPr>
        <w:t>principal</w:t>
      </w:r>
      <w:r>
        <w:rPr>
          <w:b/>
          <w:color w:val="0C0C0C"/>
          <w:spacing w:val="-10"/>
          <w:w w:val="105"/>
          <w:sz w:val="21"/>
        </w:rPr>
        <w:t> </w:t>
      </w:r>
      <w:r>
        <w:rPr>
          <w:b/>
          <w:color w:val="0C0C0C"/>
          <w:w w:val="105"/>
          <w:sz w:val="21"/>
        </w:rPr>
        <w:t>and</w:t>
      </w:r>
      <w:r>
        <w:rPr>
          <w:b/>
          <w:color w:val="0C0C0C"/>
          <w:spacing w:val="-7"/>
          <w:w w:val="105"/>
          <w:sz w:val="21"/>
        </w:rPr>
        <w:t> </w:t>
      </w:r>
      <w:r>
        <w:rPr>
          <w:b/>
          <w:color w:val="0C0C0C"/>
          <w:spacing w:val="-2"/>
          <w:w w:val="105"/>
          <w:sz w:val="21"/>
        </w:rPr>
        <w:t>interest</w:t>
      </w:r>
    </w:p>
    <w:p>
      <w:pPr>
        <w:spacing w:before="93"/>
        <w:ind w:left="1947" w:right="0" w:firstLine="0"/>
        <w:jc w:val="left"/>
        <w:rPr>
          <w:b/>
          <w:sz w:val="21"/>
        </w:rPr>
      </w:pPr>
      <w:r>
        <w:rPr/>
        <w:br w:type="column"/>
      </w:r>
      <w:r>
        <w:rPr>
          <w:b/>
          <w:color w:val="0C0C0C"/>
          <w:spacing w:val="-2"/>
          <w:w w:val="105"/>
          <w:sz w:val="21"/>
        </w:rPr>
        <w:t>Definition</w:t>
      </w:r>
    </w:p>
    <w:p>
      <w:pPr>
        <w:spacing w:before="13" w:line="252" w:lineRule="auto"/>
        <w:ind w:left="266" w:right="1664" w:hanging="1"/>
        <w:jc w:val="left"/>
        <w:rPr>
          <w:sz w:val="21"/>
        </w:rPr>
      </w:pPr>
      <w:r>
        <w:rPr>
          <w:color w:val="0C0C0C"/>
          <w:w w:val="105"/>
          <w:sz w:val="21"/>
        </w:rPr>
        <w:t>The cost of replacing or recreating the particular asset in its existing condition and</w:t>
      </w:r>
      <w:r>
        <w:rPr>
          <w:color w:val="0C0C0C"/>
          <w:spacing w:val="40"/>
          <w:w w:val="105"/>
          <w:sz w:val="21"/>
        </w:rPr>
        <w:t> </w:t>
      </w:r>
      <w:r>
        <w:rPr>
          <w:color w:val="0C0C0C"/>
          <w:w w:val="105"/>
          <w:sz w:val="21"/>
        </w:rPr>
        <w:t>in its existing use, i.e. the cost of its replacement or the nearest equivalent, adjusted</w:t>
      </w:r>
      <w:r>
        <w:rPr>
          <w:color w:val="0C0C0C"/>
          <w:spacing w:val="-8"/>
          <w:w w:val="105"/>
          <w:sz w:val="21"/>
        </w:rPr>
        <w:t> </w:t>
      </w:r>
      <w:r>
        <w:rPr>
          <w:color w:val="0C0C0C"/>
          <w:w w:val="105"/>
          <w:sz w:val="21"/>
        </w:rPr>
        <w:t>to</w:t>
      </w:r>
      <w:r>
        <w:rPr>
          <w:color w:val="0C0C0C"/>
          <w:spacing w:val="-13"/>
          <w:w w:val="105"/>
          <w:sz w:val="21"/>
        </w:rPr>
        <w:t> </w:t>
      </w:r>
      <w:r>
        <w:rPr>
          <w:color w:val="0C0C0C"/>
          <w:w w:val="105"/>
          <w:sz w:val="21"/>
        </w:rPr>
        <w:t>reflect</w:t>
      </w:r>
      <w:r>
        <w:rPr>
          <w:color w:val="0C0C0C"/>
          <w:spacing w:val="-3"/>
          <w:w w:val="105"/>
          <w:sz w:val="21"/>
        </w:rPr>
        <w:t> </w:t>
      </w:r>
      <w:r>
        <w:rPr>
          <w:color w:val="0C0C0C"/>
          <w:w w:val="105"/>
          <w:sz w:val="21"/>
        </w:rPr>
        <w:t>the</w:t>
      </w:r>
      <w:r>
        <w:rPr>
          <w:color w:val="0C0C0C"/>
          <w:spacing w:val="-12"/>
          <w:w w:val="105"/>
          <w:sz w:val="21"/>
        </w:rPr>
        <w:t> </w:t>
      </w:r>
      <w:r>
        <w:rPr>
          <w:color w:val="0C0C0C"/>
          <w:w w:val="105"/>
          <w:sz w:val="21"/>
        </w:rPr>
        <w:t>current condition</w:t>
      </w:r>
      <w:r>
        <w:rPr>
          <w:color w:val="0C0C0C"/>
          <w:spacing w:val="-2"/>
          <w:w w:val="105"/>
          <w:sz w:val="21"/>
        </w:rPr>
        <w:t> </w:t>
      </w:r>
      <w:r>
        <w:rPr>
          <w:color w:val="0C0C0C"/>
          <w:w w:val="105"/>
          <w:sz w:val="21"/>
        </w:rPr>
        <w:t>of</w:t>
      </w:r>
      <w:r>
        <w:rPr>
          <w:color w:val="0C0C0C"/>
          <w:spacing w:val="-12"/>
          <w:w w:val="105"/>
          <w:sz w:val="21"/>
        </w:rPr>
        <w:t> </w:t>
      </w:r>
      <w:r>
        <w:rPr>
          <w:color w:val="0C0C0C"/>
          <w:w w:val="105"/>
          <w:sz w:val="21"/>
        </w:rPr>
        <w:t>the existing asset.</w:t>
      </w:r>
    </w:p>
    <w:p>
      <w:pPr>
        <w:pStyle w:val="BodyText"/>
        <w:spacing w:before="11"/>
        <w:rPr>
          <w:sz w:val="21"/>
        </w:rPr>
      </w:pPr>
    </w:p>
    <w:p>
      <w:pPr>
        <w:spacing w:before="0" w:line="252" w:lineRule="auto"/>
        <w:ind w:left="272" w:right="1677" w:hanging="2"/>
        <w:jc w:val="left"/>
        <w:rPr>
          <w:sz w:val="21"/>
        </w:rPr>
      </w:pPr>
      <w:r>
        <w:rPr>
          <w:color w:val="0C0C0C"/>
          <w:w w:val="105"/>
          <w:sz w:val="21"/>
        </w:rPr>
        <w:t>The</w:t>
      </w:r>
      <w:r>
        <w:rPr>
          <w:color w:val="0C0C0C"/>
          <w:spacing w:val="-6"/>
          <w:w w:val="105"/>
          <w:sz w:val="21"/>
        </w:rPr>
        <w:t> </w:t>
      </w:r>
      <w:r>
        <w:rPr>
          <w:color w:val="0C0C0C"/>
          <w:w w:val="105"/>
          <w:sz w:val="21"/>
        </w:rPr>
        <w:t>open</w:t>
      </w:r>
      <w:r>
        <w:rPr>
          <w:color w:val="0C0C0C"/>
          <w:spacing w:val="-13"/>
          <w:w w:val="105"/>
          <w:sz w:val="21"/>
        </w:rPr>
        <w:t> </w:t>
      </w:r>
      <w:r>
        <w:rPr>
          <w:color w:val="0C0C0C"/>
          <w:w w:val="105"/>
          <w:sz w:val="21"/>
        </w:rPr>
        <w:t>market value</w:t>
      </w:r>
      <w:r>
        <w:rPr>
          <w:color w:val="0C0C0C"/>
          <w:spacing w:val="-5"/>
          <w:w w:val="105"/>
          <w:sz w:val="21"/>
        </w:rPr>
        <w:t> </w:t>
      </w:r>
      <w:r>
        <w:rPr>
          <w:color w:val="0C0C0C"/>
          <w:w w:val="105"/>
          <w:sz w:val="21"/>
        </w:rPr>
        <w:t>of</w:t>
      </w:r>
      <w:r>
        <w:rPr>
          <w:color w:val="0C0C0C"/>
          <w:spacing w:val="-13"/>
          <w:w w:val="105"/>
          <w:sz w:val="21"/>
        </w:rPr>
        <w:t> </w:t>
      </w:r>
      <w:r>
        <w:rPr>
          <w:color w:val="0C0C0C"/>
          <w:w w:val="105"/>
          <w:sz w:val="21"/>
        </w:rPr>
        <w:t>the</w:t>
      </w:r>
      <w:r>
        <w:rPr>
          <w:color w:val="0C0C0C"/>
          <w:spacing w:val="-3"/>
          <w:w w:val="105"/>
          <w:sz w:val="21"/>
        </w:rPr>
        <w:t> </w:t>
      </w:r>
      <w:r>
        <w:rPr>
          <w:color w:val="0C0C0C"/>
          <w:w w:val="105"/>
          <w:sz w:val="21"/>
        </w:rPr>
        <w:t>asset</w:t>
      </w:r>
      <w:r>
        <w:rPr>
          <w:color w:val="0C0C0C"/>
          <w:spacing w:val="-6"/>
          <w:w w:val="105"/>
          <w:sz w:val="21"/>
        </w:rPr>
        <w:t> </w:t>
      </w:r>
      <w:r>
        <w:rPr>
          <w:color w:val="0C0C0C"/>
          <w:w w:val="105"/>
          <w:sz w:val="21"/>
        </w:rPr>
        <w:t>in</w:t>
      </w:r>
      <w:r>
        <w:rPr>
          <w:color w:val="0C0C0C"/>
          <w:spacing w:val="-2"/>
          <w:w w:val="105"/>
          <w:sz w:val="21"/>
        </w:rPr>
        <w:t> </w:t>
      </w:r>
      <w:r>
        <w:rPr>
          <w:color w:val="0C0C0C"/>
          <w:w w:val="105"/>
          <w:sz w:val="21"/>
        </w:rPr>
        <w:t>its existing</w:t>
      </w:r>
      <w:r>
        <w:rPr>
          <w:color w:val="0C0C0C"/>
          <w:spacing w:val="-3"/>
          <w:w w:val="105"/>
          <w:sz w:val="21"/>
        </w:rPr>
        <w:t> </w:t>
      </w:r>
      <w:r>
        <w:rPr>
          <w:color w:val="0C0C0C"/>
          <w:w w:val="105"/>
          <w:sz w:val="21"/>
        </w:rPr>
        <w:t>use</w:t>
      </w:r>
      <w:r>
        <w:rPr>
          <w:color w:val="0C0C0C"/>
          <w:spacing w:val="-10"/>
          <w:w w:val="105"/>
          <w:sz w:val="21"/>
        </w:rPr>
        <w:t> </w:t>
      </w:r>
      <w:r>
        <w:rPr>
          <w:color w:val="0C0C0C"/>
          <w:w w:val="105"/>
          <w:sz w:val="21"/>
        </w:rPr>
        <w:t>(or</w:t>
      </w:r>
      <w:r>
        <w:rPr>
          <w:color w:val="0C0C0C"/>
          <w:spacing w:val="-7"/>
          <w:w w:val="105"/>
          <w:sz w:val="21"/>
        </w:rPr>
        <w:t> </w:t>
      </w:r>
      <w:r>
        <w:rPr>
          <w:color w:val="0C0C0C"/>
          <w:w w:val="105"/>
          <w:sz w:val="21"/>
        </w:rPr>
        <w:t>open</w:t>
      </w:r>
      <w:r>
        <w:rPr>
          <w:color w:val="0C0C0C"/>
          <w:spacing w:val="-10"/>
          <w:w w:val="105"/>
          <w:sz w:val="21"/>
        </w:rPr>
        <w:t> </w:t>
      </w:r>
      <w:r>
        <w:rPr>
          <w:color w:val="0C0C0C"/>
          <w:w w:val="105"/>
          <w:sz w:val="21"/>
        </w:rPr>
        <w:t>market value</w:t>
      </w:r>
      <w:r>
        <w:rPr>
          <w:color w:val="0C0C0C"/>
          <w:spacing w:val="-8"/>
          <w:w w:val="105"/>
          <w:sz w:val="21"/>
        </w:rPr>
        <w:t> </w:t>
      </w:r>
      <w:r>
        <w:rPr>
          <w:color w:val="0C0C0C"/>
          <w:w w:val="105"/>
          <w:sz w:val="21"/>
        </w:rPr>
        <w:t>in</w:t>
      </w:r>
      <w:r>
        <w:rPr>
          <w:color w:val="0C0C0C"/>
          <w:spacing w:val="-14"/>
          <w:w w:val="105"/>
          <w:sz w:val="21"/>
        </w:rPr>
        <w:t> </w:t>
      </w:r>
      <w:r>
        <w:rPr>
          <w:color w:val="0C0C0C"/>
          <w:w w:val="105"/>
          <w:sz w:val="21"/>
        </w:rPr>
        <w:t>the case</w:t>
      </w:r>
      <w:r>
        <w:rPr>
          <w:color w:val="0C0C0C"/>
          <w:spacing w:val="-7"/>
          <w:w w:val="105"/>
          <w:sz w:val="21"/>
        </w:rPr>
        <w:t> </w:t>
      </w:r>
      <w:r>
        <w:rPr>
          <w:color w:val="0C0C0C"/>
          <w:w w:val="105"/>
          <w:sz w:val="21"/>
        </w:rPr>
        <w:t>of</w:t>
      </w:r>
      <w:r>
        <w:rPr>
          <w:color w:val="0C0C0C"/>
          <w:spacing w:val="-6"/>
          <w:w w:val="105"/>
          <w:sz w:val="21"/>
        </w:rPr>
        <w:t> </w:t>
      </w:r>
      <w:r>
        <w:rPr>
          <w:color w:val="0C0C0C"/>
          <w:w w:val="105"/>
          <w:sz w:val="21"/>
        </w:rPr>
        <w:t>non-operational</w:t>
      </w:r>
      <w:r>
        <w:rPr>
          <w:color w:val="0C0C0C"/>
          <w:spacing w:val="-11"/>
          <w:w w:val="105"/>
          <w:sz w:val="21"/>
        </w:rPr>
        <w:t> </w:t>
      </w:r>
      <w:r>
        <w:rPr>
          <w:color w:val="0C0C0C"/>
          <w:w w:val="105"/>
          <w:sz w:val="21"/>
        </w:rPr>
        <w:t>assets), less</w:t>
      </w:r>
      <w:r>
        <w:rPr>
          <w:color w:val="0C0C0C"/>
          <w:spacing w:val="-9"/>
          <w:w w:val="105"/>
          <w:sz w:val="21"/>
        </w:rPr>
        <w:t> </w:t>
      </w:r>
      <w:r>
        <w:rPr>
          <w:color w:val="0C0C0C"/>
          <w:w w:val="105"/>
          <w:sz w:val="21"/>
        </w:rPr>
        <w:t>the expenses to be incurred in realising the </w:t>
      </w:r>
      <w:r>
        <w:rPr>
          <w:color w:val="0C0C0C"/>
          <w:spacing w:val="-2"/>
          <w:w w:val="105"/>
          <w:sz w:val="21"/>
        </w:rPr>
        <w:t>asset.</w:t>
      </w:r>
    </w:p>
    <w:p>
      <w:pPr>
        <w:pStyle w:val="BodyText"/>
        <w:spacing w:before="14"/>
        <w:rPr>
          <w:sz w:val="21"/>
        </w:rPr>
      </w:pPr>
    </w:p>
    <w:p>
      <w:pPr>
        <w:spacing w:before="0" w:line="249" w:lineRule="auto"/>
        <w:ind w:left="271" w:right="1601" w:firstLine="4"/>
        <w:jc w:val="left"/>
        <w:rPr>
          <w:sz w:val="21"/>
        </w:rPr>
      </w:pPr>
      <w:r>
        <w:rPr>
          <w:color w:val="0C0C0C"/>
          <w:w w:val="105"/>
          <w:sz w:val="21"/>
        </w:rPr>
        <w:t>An</w:t>
      </w:r>
      <w:r>
        <w:rPr>
          <w:color w:val="0C0C0C"/>
          <w:spacing w:val="-4"/>
          <w:w w:val="105"/>
          <w:sz w:val="21"/>
        </w:rPr>
        <w:t> </w:t>
      </w:r>
      <w:r>
        <w:rPr>
          <w:color w:val="0C0C0C"/>
          <w:w w:val="105"/>
          <w:sz w:val="21"/>
        </w:rPr>
        <w:t>asset</w:t>
      </w:r>
      <w:r>
        <w:rPr>
          <w:color w:val="0C0C0C"/>
          <w:spacing w:val="-4"/>
          <w:w w:val="105"/>
          <w:sz w:val="21"/>
        </w:rPr>
        <w:t> </w:t>
      </w:r>
      <w:r>
        <w:rPr>
          <w:color w:val="0C0C0C"/>
          <w:w w:val="105"/>
          <w:sz w:val="21"/>
        </w:rPr>
        <w:t>that</w:t>
      </w:r>
      <w:r>
        <w:rPr>
          <w:color w:val="0C0C0C"/>
          <w:spacing w:val="-7"/>
          <w:w w:val="105"/>
          <w:sz w:val="21"/>
        </w:rPr>
        <w:t> </w:t>
      </w:r>
      <w:r>
        <w:rPr>
          <w:color w:val="0C0C0C"/>
          <w:w w:val="105"/>
          <w:sz w:val="21"/>
        </w:rPr>
        <w:t>the</w:t>
      </w:r>
      <w:r>
        <w:rPr>
          <w:color w:val="0C0C0C"/>
          <w:spacing w:val="-15"/>
          <w:w w:val="105"/>
          <w:sz w:val="21"/>
        </w:rPr>
        <w:t> </w:t>
      </w:r>
      <w:r>
        <w:rPr>
          <w:color w:val="0C0C0C"/>
          <w:w w:val="105"/>
          <w:sz w:val="21"/>
        </w:rPr>
        <w:t>Council</w:t>
      </w:r>
      <w:r>
        <w:rPr>
          <w:color w:val="0C0C0C"/>
          <w:spacing w:val="-6"/>
          <w:w w:val="105"/>
          <w:sz w:val="21"/>
        </w:rPr>
        <w:t> </w:t>
      </w:r>
      <w:r>
        <w:rPr>
          <w:color w:val="0C0C0C"/>
          <w:w w:val="105"/>
          <w:sz w:val="21"/>
        </w:rPr>
        <w:t>does</w:t>
      </w:r>
      <w:r>
        <w:rPr>
          <w:color w:val="0C0C0C"/>
          <w:spacing w:val="-1"/>
          <w:w w:val="105"/>
          <w:sz w:val="21"/>
        </w:rPr>
        <w:t> </w:t>
      </w:r>
      <w:r>
        <w:rPr>
          <w:color w:val="0C0C0C"/>
          <w:w w:val="105"/>
          <w:sz w:val="21"/>
        </w:rPr>
        <w:t>not</w:t>
      </w:r>
      <w:r>
        <w:rPr>
          <w:color w:val="0C0C0C"/>
          <w:spacing w:val="-5"/>
          <w:w w:val="105"/>
          <w:sz w:val="21"/>
        </w:rPr>
        <w:t> </w:t>
      </w:r>
      <w:r>
        <w:rPr>
          <w:color w:val="0C0C0C"/>
          <w:w w:val="105"/>
          <w:sz w:val="21"/>
        </w:rPr>
        <w:t>expect to realise or consume in the provision of services within the next twelve months.</w:t>
      </w:r>
    </w:p>
    <w:p>
      <w:pPr>
        <w:pStyle w:val="BodyText"/>
        <w:spacing w:before="19"/>
        <w:rPr>
          <w:sz w:val="21"/>
        </w:rPr>
      </w:pPr>
    </w:p>
    <w:p>
      <w:pPr>
        <w:spacing w:before="0" w:line="252" w:lineRule="auto"/>
        <w:ind w:left="276" w:right="1677" w:hanging="3"/>
        <w:jc w:val="left"/>
        <w:rPr>
          <w:sz w:val="21"/>
        </w:rPr>
      </w:pPr>
      <w:r>
        <w:rPr>
          <w:color w:val="0C0C0C"/>
          <w:w w:val="105"/>
          <w:sz w:val="21"/>
        </w:rPr>
        <w:t>Property, plant and equipment that is not being</w:t>
      </w:r>
      <w:r>
        <w:rPr>
          <w:color w:val="0C0C0C"/>
          <w:spacing w:val="-11"/>
          <w:w w:val="105"/>
          <w:sz w:val="21"/>
        </w:rPr>
        <w:t> </w:t>
      </w:r>
      <w:r>
        <w:rPr>
          <w:color w:val="0C0C0C"/>
          <w:w w:val="105"/>
          <w:sz w:val="21"/>
        </w:rPr>
        <w:t>used</w:t>
      </w:r>
      <w:r>
        <w:rPr>
          <w:color w:val="0C0C0C"/>
          <w:spacing w:val="-16"/>
          <w:w w:val="105"/>
          <w:sz w:val="21"/>
        </w:rPr>
        <w:t> </w:t>
      </w:r>
      <w:r>
        <w:rPr>
          <w:color w:val="0C0C0C"/>
          <w:w w:val="105"/>
          <w:sz w:val="21"/>
        </w:rPr>
        <w:t>to</w:t>
      </w:r>
      <w:r>
        <w:rPr>
          <w:color w:val="0C0C0C"/>
          <w:spacing w:val="-14"/>
          <w:w w:val="105"/>
          <w:sz w:val="21"/>
        </w:rPr>
        <w:t> </w:t>
      </w:r>
      <w:r>
        <w:rPr>
          <w:color w:val="0C0C0C"/>
          <w:w w:val="105"/>
          <w:sz w:val="21"/>
        </w:rPr>
        <w:t>provide</w:t>
      </w:r>
      <w:r>
        <w:rPr>
          <w:color w:val="0C0C0C"/>
          <w:spacing w:val="-6"/>
          <w:w w:val="105"/>
          <w:sz w:val="21"/>
        </w:rPr>
        <w:t> </w:t>
      </w:r>
      <w:r>
        <w:rPr>
          <w:color w:val="0C0C0C"/>
          <w:w w:val="105"/>
          <w:sz w:val="21"/>
        </w:rPr>
        <w:t>services, comprising surplus assets and assets under </w:t>
      </w:r>
      <w:r>
        <w:rPr>
          <w:color w:val="0C0C0C"/>
          <w:spacing w:val="-2"/>
          <w:w w:val="105"/>
          <w:sz w:val="21"/>
        </w:rPr>
        <w:t>construction.</w:t>
      </w:r>
    </w:p>
    <w:p>
      <w:pPr>
        <w:pStyle w:val="BodyText"/>
        <w:spacing w:before="8"/>
        <w:rPr>
          <w:sz w:val="21"/>
        </w:rPr>
      </w:pPr>
    </w:p>
    <w:p>
      <w:pPr>
        <w:spacing w:before="0" w:line="252" w:lineRule="auto"/>
        <w:ind w:left="280" w:right="987" w:hanging="3"/>
        <w:jc w:val="left"/>
        <w:rPr>
          <w:sz w:val="21"/>
        </w:rPr>
      </w:pPr>
      <w:r>
        <w:rPr>
          <w:color w:val="0C0C0C"/>
          <w:w w:val="105"/>
          <w:sz w:val="21"/>
        </w:rPr>
        <w:t>Property, plant and</w:t>
      </w:r>
      <w:r>
        <w:rPr>
          <w:color w:val="0C0C0C"/>
          <w:spacing w:val="-10"/>
          <w:w w:val="105"/>
          <w:sz w:val="21"/>
        </w:rPr>
        <w:t> </w:t>
      </w:r>
      <w:r>
        <w:rPr>
          <w:color w:val="0C0C0C"/>
          <w:w w:val="105"/>
          <w:sz w:val="21"/>
        </w:rPr>
        <w:t>equipment that</w:t>
      </w:r>
      <w:r>
        <w:rPr>
          <w:color w:val="0C0C0C"/>
          <w:spacing w:val="-6"/>
          <w:w w:val="105"/>
          <w:sz w:val="21"/>
        </w:rPr>
        <w:t> </w:t>
      </w:r>
      <w:r>
        <w:rPr>
          <w:color w:val="0C0C0C"/>
          <w:w w:val="105"/>
          <w:sz w:val="21"/>
        </w:rPr>
        <w:t>is</w:t>
      </w:r>
      <w:r>
        <w:rPr>
          <w:color w:val="0C0C0C"/>
          <w:spacing w:val="-13"/>
          <w:w w:val="105"/>
          <w:sz w:val="21"/>
        </w:rPr>
        <w:t> </w:t>
      </w:r>
      <w:r>
        <w:rPr>
          <w:color w:val="0C0C0C"/>
          <w:w w:val="105"/>
          <w:sz w:val="21"/>
        </w:rPr>
        <w:t>used</w:t>
      </w:r>
      <w:r>
        <w:rPr>
          <w:color w:val="0C0C0C"/>
          <w:spacing w:val="-13"/>
          <w:w w:val="105"/>
          <w:sz w:val="21"/>
        </w:rPr>
        <w:t> </w:t>
      </w:r>
      <w:r>
        <w:rPr>
          <w:color w:val="0C0C0C"/>
          <w:w w:val="105"/>
          <w:sz w:val="21"/>
        </w:rPr>
        <w:t>to provide services.</w:t>
      </w:r>
    </w:p>
    <w:p>
      <w:pPr>
        <w:pStyle w:val="BodyText"/>
        <w:spacing w:before="11"/>
        <w:rPr>
          <w:sz w:val="21"/>
        </w:rPr>
      </w:pPr>
    </w:p>
    <w:p>
      <w:pPr>
        <w:spacing w:before="0" w:line="252" w:lineRule="auto"/>
        <w:ind w:left="281" w:right="1677" w:hanging="6"/>
        <w:jc w:val="left"/>
        <w:rPr>
          <w:sz w:val="21"/>
        </w:rPr>
      </w:pPr>
      <w:r>
        <w:rPr>
          <w:color w:val="0C0C0C"/>
          <w:w w:val="105"/>
          <w:sz w:val="21"/>
        </w:rPr>
        <w:t>A financial asset for which a payment that was</w:t>
      </w:r>
      <w:r>
        <w:rPr>
          <w:color w:val="0C0C0C"/>
          <w:spacing w:val="-6"/>
          <w:w w:val="105"/>
          <w:sz w:val="21"/>
        </w:rPr>
        <w:t> </w:t>
      </w:r>
      <w:r>
        <w:rPr>
          <w:color w:val="0C0C0C"/>
          <w:w w:val="105"/>
          <w:sz w:val="21"/>
        </w:rPr>
        <w:t>due</w:t>
      </w:r>
      <w:r>
        <w:rPr>
          <w:color w:val="0C0C0C"/>
          <w:spacing w:val="-4"/>
          <w:w w:val="105"/>
          <w:sz w:val="21"/>
        </w:rPr>
        <w:t> </w:t>
      </w:r>
      <w:r>
        <w:rPr>
          <w:color w:val="0C0C0C"/>
          <w:w w:val="105"/>
          <w:sz w:val="21"/>
        </w:rPr>
        <w:t>contractually to</w:t>
      </w:r>
      <w:r>
        <w:rPr>
          <w:color w:val="0C0C0C"/>
          <w:spacing w:val="-14"/>
          <w:w w:val="105"/>
          <w:sz w:val="21"/>
        </w:rPr>
        <w:t> </w:t>
      </w:r>
      <w:r>
        <w:rPr>
          <w:color w:val="0C0C0C"/>
          <w:w w:val="105"/>
          <w:sz w:val="21"/>
        </w:rPr>
        <w:t>the</w:t>
      </w:r>
      <w:r>
        <w:rPr>
          <w:color w:val="0C0C0C"/>
          <w:spacing w:val="-7"/>
          <w:w w:val="105"/>
          <w:sz w:val="21"/>
        </w:rPr>
        <w:t> </w:t>
      </w:r>
      <w:r>
        <w:rPr>
          <w:color w:val="0C0C0C"/>
          <w:w w:val="105"/>
          <w:sz w:val="21"/>
        </w:rPr>
        <w:t>Council</w:t>
      </w:r>
      <w:r>
        <w:rPr>
          <w:color w:val="0C0C0C"/>
          <w:spacing w:val="-7"/>
          <w:w w:val="105"/>
          <w:sz w:val="21"/>
        </w:rPr>
        <w:t> </w:t>
      </w:r>
      <w:r>
        <w:rPr>
          <w:color w:val="0C0C0C"/>
          <w:w w:val="105"/>
          <w:sz w:val="21"/>
        </w:rPr>
        <w:t>has</w:t>
      </w:r>
      <w:r>
        <w:rPr>
          <w:color w:val="0C0C0C"/>
          <w:spacing w:val="-10"/>
          <w:w w:val="105"/>
          <w:sz w:val="21"/>
        </w:rPr>
        <w:t> </w:t>
      </w:r>
      <w:r>
        <w:rPr>
          <w:color w:val="0C0C0C"/>
          <w:w w:val="105"/>
          <w:sz w:val="21"/>
        </w:rPr>
        <w:t>not yet been paid.</w:t>
      </w:r>
    </w:p>
    <w:p>
      <w:pPr>
        <w:pStyle w:val="BodyText"/>
        <w:spacing w:before="11"/>
        <w:rPr>
          <w:sz w:val="21"/>
        </w:rPr>
      </w:pPr>
    </w:p>
    <w:p>
      <w:pPr>
        <w:spacing w:before="1" w:line="252" w:lineRule="auto"/>
        <w:ind w:left="282" w:right="1601" w:hanging="2"/>
        <w:jc w:val="left"/>
        <w:rPr>
          <w:sz w:val="21"/>
        </w:rPr>
      </w:pPr>
      <w:r>
        <w:rPr>
          <w:color w:val="0C0C0C"/>
          <w:w w:val="105"/>
          <w:sz w:val="21"/>
        </w:rPr>
        <w:t>The change in pension liabilities relating to employee</w:t>
      </w:r>
      <w:r>
        <w:rPr>
          <w:color w:val="0C0C0C"/>
          <w:spacing w:val="-2"/>
          <w:w w:val="105"/>
          <w:sz w:val="21"/>
        </w:rPr>
        <w:t> </w:t>
      </w:r>
      <w:r>
        <w:rPr>
          <w:color w:val="0C0C0C"/>
          <w:w w:val="105"/>
          <w:sz w:val="21"/>
        </w:rPr>
        <w:t>service</w:t>
      </w:r>
      <w:r>
        <w:rPr>
          <w:color w:val="0C0C0C"/>
          <w:spacing w:val="-6"/>
          <w:w w:val="105"/>
          <w:sz w:val="21"/>
        </w:rPr>
        <w:t> </w:t>
      </w:r>
      <w:r>
        <w:rPr>
          <w:color w:val="0C0C0C"/>
          <w:w w:val="105"/>
          <w:sz w:val="21"/>
        </w:rPr>
        <w:t>in</w:t>
      </w:r>
      <w:r>
        <w:rPr>
          <w:color w:val="0C0C0C"/>
          <w:spacing w:val="-16"/>
          <w:w w:val="105"/>
          <w:sz w:val="21"/>
        </w:rPr>
        <w:t> </w:t>
      </w:r>
      <w:r>
        <w:rPr>
          <w:color w:val="0C0C0C"/>
          <w:w w:val="105"/>
          <w:sz w:val="21"/>
        </w:rPr>
        <w:t>previous years</w:t>
      </w:r>
      <w:r>
        <w:rPr>
          <w:color w:val="0C0C0C"/>
          <w:spacing w:val="-3"/>
          <w:w w:val="105"/>
          <w:sz w:val="21"/>
        </w:rPr>
        <w:t> </w:t>
      </w:r>
      <w:r>
        <w:rPr>
          <w:color w:val="0C0C0C"/>
          <w:w w:val="105"/>
          <w:sz w:val="21"/>
        </w:rPr>
        <w:t>as</w:t>
      </w:r>
      <w:r>
        <w:rPr>
          <w:color w:val="0C0C0C"/>
          <w:spacing w:val="-14"/>
          <w:w w:val="105"/>
          <w:sz w:val="21"/>
        </w:rPr>
        <w:t> </w:t>
      </w:r>
      <w:r>
        <w:rPr>
          <w:color w:val="0C0C0C"/>
          <w:w w:val="105"/>
          <w:sz w:val="21"/>
        </w:rPr>
        <w:t>result of changes to the pension scheme or the ending of the Council's responsibility for employees transferred to another </w:t>
      </w:r>
      <w:r>
        <w:rPr>
          <w:color w:val="0C0C0C"/>
          <w:spacing w:val="-2"/>
          <w:w w:val="105"/>
          <w:sz w:val="21"/>
        </w:rPr>
        <w:t>organisation.</w:t>
      </w:r>
    </w:p>
    <w:p>
      <w:pPr>
        <w:pStyle w:val="BodyText"/>
        <w:spacing w:before="10"/>
        <w:rPr>
          <w:sz w:val="21"/>
        </w:rPr>
      </w:pPr>
    </w:p>
    <w:p>
      <w:pPr>
        <w:spacing w:before="0" w:line="252" w:lineRule="auto"/>
        <w:ind w:left="285" w:right="1677" w:hanging="1"/>
        <w:jc w:val="left"/>
        <w:rPr>
          <w:sz w:val="21"/>
        </w:rPr>
      </w:pPr>
      <w:r>
        <w:rPr>
          <w:color w:val="0C0C0C"/>
          <w:w w:val="105"/>
          <w:sz w:val="21"/>
        </w:rPr>
        <w:t>The amounts that would be paid under a basic</w:t>
      </w:r>
      <w:r>
        <w:rPr>
          <w:color w:val="0C0C0C"/>
          <w:spacing w:val="-11"/>
          <w:w w:val="105"/>
          <w:sz w:val="21"/>
        </w:rPr>
        <w:t> </w:t>
      </w:r>
      <w:r>
        <w:rPr>
          <w:color w:val="0C0C0C"/>
          <w:w w:val="105"/>
          <w:sz w:val="21"/>
        </w:rPr>
        <w:t>lending</w:t>
      </w:r>
      <w:r>
        <w:rPr>
          <w:color w:val="0C0C0C"/>
          <w:spacing w:val="-9"/>
          <w:w w:val="105"/>
          <w:sz w:val="21"/>
        </w:rPr>
        <w:t> </w:t>
      </w:r>
      <w:r>
        <w:rPr>
          <w:color w:val="0C0C0C"/>
          <w:w w:val="105"/>
          <w:sz w:val="21"/>
        </w:rPr>
        <w:t>arrangement. For</w:t>
      </w:r>
      <w:r>
        <w:rPr>
          <w:color w:val="0C0C0C"/>
          <w:spacing w:val="-15"/>
          <w:w w:val="105"/>
          <w:sz w:val="21"/>
        </w:rPr>
        <w:t> </w:t>
      </w:r>
      <w:r>
        <w:rPr>
          <w:color w:val="0C0C0C"/>
          <w:w w:val="105"/>
          <w:sz w:val="21"/>
        </w:rPr>
        <w:t>accounting purposes, they comprise:</w:t>
      </w:r>
    </w:p>
    <w:p>
      <w:pPr>
        <w:pStyle w:val="ListParagraph"/>
        <w:numPr>
          <w:ilvl w:val="0"/>
          <w:numId w:val="37"/>
        </w:numPr>
        <w:tabs>
          <w:tab w:val="left" w:leader="none" w:pos="1002"/>
          <w:tab w:val="left" w:leader="none" w:pos="1007"/>
        </w:tabs>
        <w:spacing w:before="18" w:after="0" w:line="252" w:lineRule="auto"/>
        <w:ind w:left="1007" w:right="1868" w:hanging="364"/>
        <w:jc w:val="left"/>
        <w:rPr>
          <w:color w:val="0C0C0C"/>
          <w:sz w:val="21"/>
        </w:rPr>
      </w:pPr>
      <w:r>
        <w:rPr>
          <w:color w:val="0C0C0C"/>
          <w:w w:val="105"/>
          <w:sz w:val="21"/>
        </w:rPr>
        <w:t>the</w:t>
      </w:r>
      <w:r>
        <w:rPr>
          <w:color w:val="0C0C0C"/>
          <w:spacing w:val="-2"/>
          <w:w w:val="105"/>
          <w:sz w:val="21"/>
        </w:rPr>
        <w:t> </w:t>
      </w:r>
      <w:r>
        <w:rPr>
          <w:color w:val="0C0C0C"/>
          <w:w w:val="105"/>
          <w:sz w:val="21"/>
        </w:rPr>
        <w:t>repayment of</w:t>
      </w:r>
      <w:r>
        <w:rPr>
          <w:color w:val="0C0C0C"/>
          <w:spacing w:val="-5"/>
          <w:w w:val="105"/>
          <w:sz w:val="21"/>
        </w:rPr>
        <w:t> </w:t>
      </w:r>
      <w:r>
        <w:rPr>
          <w:color w:val="0C0C0C"/>
          <w:w w:val="105"/>
          <w:sz w:val="21"/>
        </w:rPr>
        <w:t>the</w:t>
      </w:r>
      <w:r>
        <w:rPr>
          <w:color w:val="0C0C0C"/>
          <w:spacing w:val="-9"/>
          <w:w w:val="105"/>
          <w:sz w:val="21"/>
        </w:rPr>
        <w:t> </w:t>
      </w:r>
      <w:r>
        <w:rPr>
          <w:color w:val="0C0C0C"/>
          <w:w w:val="105"/>
          <w:sz w:val="21"/>
        </w:rPr>
        <w:t>fair</w:t>
      </w:r>
      <w:r>
        <w:rPr>
          <w:color w:val="0C0C0C"/>
          <w:spacing w:val="-2"/>
          <w:w w:val="105"/>
          <w:sz w:val="21"/>
        </w:rPr>
        <w:t> </w:t>
      </w:r>
      <w:r>
        <w:rPr>
          <w:color w:val="0C0C0C"/>
          <w:w w:val="105"/>
          <w:sz w:val="21"/>
        </w:rPr>
        <w:t>value of a financial</w:t>
      </w:r>
      <w:r>
        <w:rPr>
          <w:color w:val="0C0C0C"/>
          <w:spacing w:val="-2"/>
          <w:w w:val="105"/>
          <w:sz w:val="21"/>
        </w:rPr>
        <w:t> </w:t>
      </w:r>
      <w:r>
        <w:rPr>
          <w:color w:val="0C0C0C"/>
          <w:w w:val="105"/>
          <w:sz w:val="21"/>
        </w:rPr>
        <w:t>asset</w:t>
      </w:r>
      <w:r>
        <w:rPr>
          <w:color w:val="0C0C0C"/>
          <w:spacing w:val="-2"/>
          <w:w w:val="105"/>
          <w:sz w:val="21"/>
        </w:rPr>
        <w:t> </w:t>
      </w:r>
      <w:r>
        <w:rPr>
          <w:color w:val="0C0C0C"/>
          <w:w w:val="105"/>
          <w:sz w:val="21"/>
        </w:rPr>
        <w:t>when</w:t>
      </w:r>
      <w:r>
        <w:rPr>
          <w:color w:val="0C0C0C"/>
          <w:spacing w:val="-8"/>
          <w:w w:val="105"/>
          <w:sz w:val="21"/>
        </w:rPr>
        <w:t> </w:t>
      </w:r>
      <w:r>
        <w:rPr>
          <w:color w:val="0C0C0C"/>
          <w:w w:val="105"/>
          <w:sz w:val="21"/>
        </w:rPr>
        <w:t>it</w:t>
      </w:r>
      <w:r>
        <w:rPr>
          <w:color w:val="0C0C0C"/>
          <w:spacing w:val="-4"/>
          <w:w w:val="105"/>
          <w:sz w:val="21"/>
        </w:rPr>
        <w:t> </w:t>
      </w:r>
      <w:r>
        <w:rPr>
          <w:color w:val="0C0C0C"/>
          <w:w w:val="105"/>
          <w:sz w:val="21"/>
        </w:rPr>
        <w:t>was</w:t>
      </w:r>
      <w:r>
        <w:rPr>
          <w:color w:val="0C0C0C"/>
          <w:spacing w:val="-8"/>
          <w:w w:val="105"/>
          <w:sz w:val="21"/>
        </w:rPr>
        <w:t> </w:t>
      </w:r>
      <w:r>
        <w:rPr>
          <w:color w:val="0C0C0C"/>
          <w:w w:val="105"/>
          <w:sz w:val="21"/>
        </w:rPr>
        <w:t>brought onto the Council's Balance Sheet (principal)</w:t>
      </w:r>
      <w:r>
        <w:rPr>
          <w:color w:val="0C0C0C"/>
          <w:w w:val="105"/>
          <w:sz w:val="21"/>
        </w:rPr>
        <w:t> and</w:t>
      </w:r>
    </w:p>
    <w:p>
      <w:pPr>
        <w:pStyle w:val="ListParagraph"/>
        <w:numPr>
          <w:ilvl w:val="0"/>
          <w:numId w:val="37"/>
        </w:numPr>
        <w:tabs>
          <w:tab w:val="left" w:leader="none" w:pos="1007"/>
          <w:tab w:val="left" w:leader="none" w:pos="1011"/>
        </w:tabs>
        <w:spacing w:before="14" w:after="0" w:line="252" w:lineRule="auto"/>
        <w:ind w:left="1011" w:right="1648" w:hanging="363"/>
        <w:jc w:val="left"/>
        <w:rPr>
          <w:color w:val="0C0C0C"/>
          <w:sz w:val="21"/>
        </w:rPr>
      </w:pPr>
      <w:r>
        <w:rPr>
          <w:color w:val="0C0C0C"/>
          <w:w w:val="105"/>
          <w:sz w:val="21"/>
        </w:rPr>
        <w:t>consideration for the time value of money, compensation for credit risk, recovery of</w:t>
      </w:r>
      <w:r>
        <w:rPr>
          <w:color w:val="0C0C0C"/>
          <w:spacing w:val="-10"/>
          <w:w w:val="105"/>
          <w:sz w:val="21"/>
        </w:rPr>
        <w:t> </w:t>
      </w:r>
      <w:r>
        <w:rPr>
          <w:color w:val="0C0C0C"/>
          <w:w w:val="105"/>
          <w:sz w:val="21"/>
        </w:rPr>
        <w:t>basic</w:t>
      </w:r>
      <w:r>
        <w:rPr>
          <w:color w:val="0C0C0C"/>
          <w:spacing w:val="-7"/>
          <w:w w:val="105"/>
          <w:sz w:val="21"/>
        </w:rPr>
        <w:t> </w:t>
      </w:r>
      <w:r>
        <w:rPr>
          <w:color w:val="0C0C0C"/>
          <w:w w:val="105"/>
          <w:sz w:val="21"/>
        </w:rPr>
        <w:t>lending</w:t>
      </w:r>
      <w:r>
        <w:rPr>
          <w:color w:val="0C0C0C"/>
          <w:spacing w:val="-2"/>
          <w:w w:val="105"/>
          <w:sz w:val="21"/>
        </w:rPr>
        <w:t> </w:t>
      </w:r>
      <w:r>
        <w:rPr>
          <w:color w:val="0C0C0C"/>
          <w:w w:val="105"/>
          <w:sz w:val="21"/>
        </w:rPr>
        <w:t>costs and</w:t>
      </w:r>
      <w:r>
        <w:rPr>
          <w:color w:val="0C0C0C"/>
          <w:spacing w:val="-9"/>
          <w:w w:val="105"/>
          <w:sz w:val="21"/>
        </w:rPr>
        <w:t> </w:t>
      </w:r>
      <w:r>
        <w:rPr>
          <w:color w:val="0C0C0C"/>
          <w:w w:val="105"/>
          <w:sz w:val="21"/>
        </w:rPr>
        <w:t>a profit margin (interest).</w:t>
      </w:r>
    </w:p>
    <w:p>
      <w:pPr>
        <w:spacing w:after="0" w:line="252" w:lineRule="auto"/>
        <w:jc w:val="left"/>
        <w:rPr>
          <w:sz w:val="21"/>
        </w:rPr>
        <w:sectPr>
          <w:type w:val="continuous"/>
          <w:pgSz w:w="11910" w:h="16830"/>
          <w:pgMar w:top="1940" w:right="540" w:bottom="280" w:left="440" w:header="724" w:footer="1146"/>
          <w:cols w:equalWidth="0" w:num="2">
            <w:col w:w="3909" w:space="707"/>
            <w:col w:w="6314"/>
          </w:cols>
        </w:sectPr>
      </w:pPr>
    </w:p>
    <w:p>
      <w:pPr>
        <w:spacing w:before="8"/>
        <w:ind w:left="477" w:right="0" w:firstLine="0"/>
        <w:jc w:val="left"/>
        <w:rPr>
          <w:b/>
          <w:sz w:val="21"/>
        </w:rPr>
      </w:pPr>
      <w:r>
        <w:rPr>
          <w:b/>
          <w:color w:val="0A0A0A"/>
          <w:w w:val="105"/>
          <w:sz w:val="21"/>
        </w:rPr>
        <w:t>Post</w:t>
      </w:r>
      <w:r>
        <w:rPr>
          <w:b/>
          <w:color w:val="0A0A0A"/>
          <w:spacing w:val="-4"/>
          <w:w w:val="105"/>
          <w:sz w:val="21"/>
        </w:rPr>
        <w:t> </w:t>
      </w:r>
      <w:r>
        <w:rPr>
          <w:b/>
          <w:color w:val="0A0A0A"/>
          <w:w w:val="105"/>
          <w:sz w:val="21"/>
        </w:rPr>
        <w:t>balance</w:t>
      </w:r>
      <w:r>
        <w:rPr>
          <w:b/>
          <w:color w:val="0A0A0A"/>
          <w:spacing w:val="1"/>
          <w:w w:val="105"/>
          <w:sz w:val="21"/>
        </w:rPr>
        <w:t> </w:t>
      </w:r>
      <w:r>
        <w:rPr>
          <w:b/>
          <w:color w:val="0A0A0A"/>
          <w:w w:val="105"/>
          <w:sz w:val="21"/>
        </w:rPr>
        <w:t>sheet</w:t>
      </w:r>
      <w:r>
        <w:rPr>
          <w:b/>
          <w:color w:val="0A0A0A"/>
          <w:spacing w:val="-5"/>
          <w:w w:val="105"/>
          <w:sz w:val="21"/>
        </w:rPr>
        <w:t> </w:t>
      </w:r>
      <w:r>
        <w:rPr>
          <w:b/>
          <w:color w:val="0A0A0A"/>
          <w:spacing w:val="-2"/>
          <w:w w:val="105"/>
          <w:sz w:val="21"/>
        </w:rPr>
        <w:t>events</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65"/>
        <w:rPr>
          <w:b/>
          <w:sz w:val="21"/>
        </w:rPr>
      </w:pPr>
    </w:p>
    <w:p>
      <w:pPr>
        <w:spacing w:before="0"/>
        <w:ind w:left="458" w:right="0" w:firstLine="0"/>
        <w:jc w:val="left"/>
        <w:rPr>
          <w:b/>
          <w:sz w:val="21"/>
        </w:rPr>
      </w:pPr>
      <w:r>
        <w:rPr>
          <w:b/>
          <w:color w:val="0A0A0A"/>
          <w:spacing w:val="-2"/>
          <w:w w:val="105"/>
          <w:sz w:val="21"/>
        </w:rPr>
        <w:t>Precepts</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01"/>
        <w:rPr>
          <w:b/>
          <w:sz w:val="21"/>
        </w:rPr>
      </w:pPr>
    </w:p>
    <w:p>
      <w:pPr>
        <w:spacing w:before="0"/>
        <w:ind w:left="434" w:right="0" w:firstLine="0"/>
        <w:jc w:val="left"/>
        <w:rPr>
          <w:b/>
          <w:sz w:val="21"/>
        </w:rPr>
      </w:pPr>
      <w:r>
        <w:rPr>
          <w:b/>
          <w:color w:val="0A0A0A"/>
          <w:w w:val="105"/>
          <w:sz w:val="21"/>
        </w:rPr>
        <w:t>Prior</w:t>
      </w:r>
      <w:r>
        <w:rPr>
          <w:b/>
          <w:color w:val="0A0A0A"/>
          <w:spacing w:val="-6"/>
          <w:w w:val="105"/>
          <w:sz w:val="21"/>
        </w:rPr>
        <w:t> </w:t>
      </w:r>
      <w:r>
        <w:rPr>
          <w:b/>
          <w:color w:val="0A0A0A"/>
          <w:w w:val="105"/>
          <w:sz w:val="21"/>
        </w:rPr>
        <w:t>year </w:t>
      </w:r>
      <w:r>
        <w:rPr>
          <w:b/>
          <w:color w:val="0A0A0A"/>
          <w:spacing w:val="-2"/>
          <w:w w:val="105"/>
          <w:sz w:val="21"/>
        </w:rPr>
        <w:t>adjustments</w:t>
      </w:r>
    </w:p>
    <w:p>
      <w:pPr>
        <w:pStyle w:val="BodyText"/>
        <w:rPr>
          <w:b/>
          <w:sz w:val="21"/>
        </w:rPr>
      </w:pPr>
    </w:p>
    <w:p>
      <w:pPr>
        <w:pStyle w:val="BodyText"/>
        <w:rPr>
          <w:b/>
          <w:sz w:val="21"/>
        </w:rPr>
      </w:pPr>
    </w:p>
    <w:p>
      <w:pPr>
        <w:pStyle w:val="BodyText"/>
        <w:rPr>
          <w:b/>
          <w:sz w:val="21"/>
        </w:rPr>
      </w:pPr>
    </w:p>
    <w:p>
      <w:pPr>
        <w:pStyle w:val="BodyText"/>
        <w:spacing w:before="61"/>
        <w:rPr>
          <w:b/>
          <w:sz w:val="21"/>
        </w:rPr>
      </w:pPr>
    </w:p>
    <w:p>
      <w:pPr>
        <w:spacing w:before="0"/>
        <w:ind w:left="414" w:right="0" w:firstLine="0"/>
        <w:jc w:val="left"/>
        <w:rPr>
          <w:b/>
          <w:sz w:val="21"/>
        </w:rPr>
      </w:pPr>
      <w:r>
        <w:rPr>
          <w:b/>
          <w:color w:val="0A0A0A"/>
          <w:w w:val="105"/>
          <w:sz w:val="21"/>
        </w:rPr>
        <w:t>Projected</w:t>
      </w:r>
      <w:r>
        <w:rPr>
          <w:b/>
          <w:color w:val="0A0A0A"/>
          <w:spacing w:val="6"/>
          <w:w w:val="105"/>
          <w:sz w:val="21"/>
        </w:rPr>
        <w:t> </w:t>
      </w:r>
      <w:r>
        <w:rPr>
          <w:b/>
          <w:color w:val="0A0A0A"/>
          <w:w w:val="105"/>
          <w:sz w:val="21"/>
        </w:rPr>
        <w:t>unit</w:t>
      </w:r>
      <w:r>
        <w:rPr>
          <w:b/>
          <w:color w:val="0A0A0A"/>
          <w:spacing w:val="-11"/>
          <w:w w:val="105"/>
          <w:sz w:val="21"/>
        </w:rPr>
        <w:t> </w:t>
      </w:r>
      <w:r>
        <w:rPr>
          <w:b/>
          <w:color w:val="0A0A0A"/>
          <w:spacing w:val="-2"/>
          <w:w w:val="105"/>
          <w:sz w:val="21"/>
        </w:rPr>
        <w:t>method</w:t>
      </w:r>
    </w:p>
    <w:p>
      <w:pPr>
        <w:pStyle w:val="BodyText"/>
        <w:rPr>
          <w:b/>
          <w:sz w:val="21"/>
        </w:rPr>
      </w:pPr>
    </w:p>
    <w:p>
      <w:pPr>
        <w:pStyle w:val="BodyText"/>
        <w:rPr>
          <w:b/>
          <w:sz w:val="21"/>
        </w:rPr>
      </w:pPr>
    </w:p>
    <w:p>
      <w:pPr>
        <w:pStyle w:val="BodyText"/>
        <w:spacing w:before="43"/>
        <w:rPr>
          <w:b/>
          <w:sz w:val="21"/>
        </w:rPr>
      </w:pPr>
    </w:p>
    <w:p>
      <w:pPr>
        <w:spacing w:before="0"/>
        <w:ind w:left="400" w:right="0" w:firstLine="0"/>
        <w:jc w:val="left"/>
        <w:rPr>
          <w:b/>
          <w:sz w:val="21"/>
        </w:rPr>
      </w:pPr>
      <w:r>
        <w:rPr>
          <w:b/>
          <w:color w:val="0A0A0A"/>
          <w:spacing w:val="-2"/>
          <w:w w:val="105"/>
          <w:sz w:val="21"/>
        </w:rPr>
        <w:t>Provision</w:t>
      </w:r>
    </w:p>
    <w:p>
      <w:pPr>
        <w:pStyle w:val="BodyText"/>
        <w:rPr>
          <w:b/>
          <w:sz w:val="21"/>
        </w:rPr>
      </w:pPr>
    </w:p>
    <w:p>
      <w:pPr>
        <w:pStyle w:val="BodyText"/>
        <w:rPr>
          <w:b/>
          <w:sz w:val="21"/>
        </w:rPr>
      </w:pPr>
    </w:p>
    <w:p>
      <w:pPr>
        <w:pStyle w:val="BodyText"/>
        <w:rPr>
          <w:b/>
          <w:sz w:val="21"/>
        </w:rPr>
      </w:pPr>
    </w:p>
    <w:p>
      <w:pPr>
        <w:pStyle w:val="BodyText"/>
        <w:spacing w:before="61"/>
        <w:rPr>
          <w:b/>
          <w:sz w:val="21"/>
        </w:rPr>
      </w:pPr>
    </w:p>
    <w:p>
      <w:pPr>
        <w:spacing w:before="1"/>
        <w:ind w:left="386" w:right="0" w:firstLine="0"/>
        <w:jc w:val="left"/>
        <w:rPr>
          <w:b/>
          <w:sz w:val="21"/>
        </w:rPr>
      </w:pPr>
      <w:r>
        <w:rPr>
          <w:b/>
          <w:color w:val="0A0A0A"/>
          <w:w w:val="105"/>
          <w:sz w:val="21"/>
        </w:rPr>
        <w:t>Related</w:t>
      </w:r>
      <w:r>
        <w:rPr>
          <w:b/>
          <w:color w:val="0A0A0A"/>
          <w:spacing w:val="5"/>
          <w:w w:val="105"/>
          <w:sz w:val="21"/>
        </w:rPr>
        <w:t> </w:t>
      </w:r>
      <w:r>
        <w:rPr>
          <w:b/>
          <w:color w:val="0A0A0A"/>
          <w:spacing w:val="-2"/>
          <w:w w:val="105"/>
          <w:sz w:val="21"/>
        </w:rPr>
        <w:t>Parties</w:t>
      </w:r>
    </w:p>
    <w:p>
      <w:pPr>
        <w:spacing w:before="13" w:line="249" w:lineRule="auto"/>
        <w:ind w:left="444" w:right="1474" w:firstLine="13"/>
        <w:jc w:val="left"/>
        <w:rPr>
          <w:sz w:val="21"/>
        </w:rPr>
      </w:pPr>
      <w:r>
        <w:rPr/>
        <w:br w:type="column"/>
      </w:r>
      <w:r>
        <w:rPr>
          <w:color w:val="0A0A0A"/>
          <w:w w:val="105"/>
          <w:sz w:val="21"/>
        </w:rPr>
        <w:t>Those events, both favourable and unfavourable,</w:t>
      </w:r>
      <w:r>
        <w:rPr>
          <w:color w:val="0A0A0A"/>
          <w:w w:val="105"/>
          <w:sz w:val="21"/>
        </w:rPr>
        <w:t> which occur between the Balance Sheet date and</w:t>
      </w:r>
      <w:r>
        <w:rPr>
          <w:color w:val="0A0A0A"/>
          <w:spacing w:val="-10"/>
          <w:w w:val="105"/>
          <w:sz w:val="21"/>
        </w:rPr>
        <w:t> </w:t>
      </w:r>
      <w:r>
        <w:rPr>
          <w:color w:val="0A0A0A"/>
          <w:w w:val="105"/>
          <w:sz w:val="21"/>
        </w:rPr>
        <w:t>the</w:t>
      </w:r>
      <w:r>
        <w:rPr>
          <w:color w:val="0A0A0A"/>
          <w:spacing w:val="-1"/>
          <w:w w:val="105"/>
          <w:sz w:val="21"/>
        </w:rPr>
        <w:t> </w:t>
      </w:r>
      <w:r>
        <w:rPr>
          <w:color w:val="0A0A0A"/>
          <w:w w:val="105"/>
          <w:sz w:val="21"/>
        </w:rPr>
        <w:t>date on</w:t>
      </w:r>
      <w:r>
        <w:rPr>
          <w:color w:val="0A0A0A"/>
          <w:spacing w:val="-6"/>
          <w:w w:val="105"/>
          <w:sz w:val="21"/>
        </w:rPr>
        <w:t> </w:t>
      </w:r>
      <w:r>
        <w:rPr>
          <w:color w:val="0A0A0A"/>
          <w:w w:val="105"/>
          <w:sz w:val="21"/>
        </w:rPr>
        <w:t>which the</w:t>
      </w:r>
      <w:r>
        <w:rPr>
          <w:color w:val="0A0A0A"/>
          <w:spacing w:val="-7"/>
          <w:w w:val="105"/>
          <w:sz w:val="21"/>
        </w:rPr>
        <w:t> </w:t>
      </w:r>
      <w:r>
        <w:rPr>
          <w:color w:val="0A0A0A"/>
          <w:w w:val="105"/>
          <w:sz w:val="21"/>
        </w:rPr>
        <w:t>Statement of</w:t>
      </w:r>
      <w:r>
        <w:rPr>
          <w:color w:val="0A0A0A"/>
          <w:spacing w:val="-6"/>
          <w:w w:val="105"/>
          <w:sz w:val="21"/>
        </w:rPr>
        <w:t> </w:t>
      </w:r>
      <w:r>
        <w:rPr>
          <w:color w:val="0A0A0A"/>
          <w:w w:val="105"/>
          <w:sz w:val="21"/>
        </w:rPr>
        <w:t>Accounts</w:t>
      </w:r>
      <w:r>
        <w:rPr>
          <w:color w:val="0A0A0A"/>
          <w:spacing w:val="-1"/>
          <w:w w:val="105"/>
          <w:sz w:val="21"/>
        </w:rPr>
        <w:t> </w:t>
      </w:r>
      <w:r>
        <w:rPr>
          <w:color w:val="1A1A1A"/>
          <w:w w:val="105"/>
          <w:sz w:val="21"/>
        </w:rPr>
        <w:t>is</w:t>
      </w:r>
      <w:r>
        <w:rPr>
          <w:color w:val="1A1A1A"/>
          <w:spacing w:val="-12"/>
          <w:w w:val="105"/>
          <w:sz w:val="21"/>
        </w:rPr>
        <w:t> </w:t>
      </w:r>
      <w:r>
        <w:rPr>
          <w:color w:val="0A0A0A"/>
          <w:w w:val="105"/>
          <w:sz w:val="21"/>
        </w:rPr>
        <w:t>signed</w:t>
      </w:r>
      <w:r>
        <w:rPr>
          <w:color w:val="0A0A0A"/>
          <w:spacing w:val="-6"/>
          <w:w w:val="105"/>
          <w:sz w:val="21"/>
        </w:rPr>
        <w:t> </w:t>
      </w:r>
      <w:r>
        <w:rPr>
          <w:color w:val="0A0A0A"/>
          <w:w w:val="105"/>
          <w:sz w:val="21"/>
        </w:rPr>
        <w:t>by</w:t>
      </w:r>
      <w:r>
        <w:rPr>
          <w:color w:val="0A0A0A"/>
          <w:spacing w:val="-9"/>
          <w:w w:val="105"/>
          <w:sz w:val="21"/>
        </w:rPr>
        <w:t> </w:t>
      </w:r>
      <w:r>
        <w:rPr>
          <w:color w:val="0A0A0A"/>
          <w:w w:val="105"/>
          <w:sz w:val="21"/>
        </w:rPr>
        <w:t>the responsible officer.</w:t>
      </w:r>
    </w:p>
    <w:p>
      <w:pPr>
        <w:pStyle w:val="BodyText"/>
        <w:spacing w:before="16"/>
        <w:rPr>
          <w:sz w:val="21"/>
        </w:rPr>
      </w:pPr>
    </w:p>
    <w:p>
      <w:pPr>
        <w:spacing w:before="0" w:line="252" w:lineRule="auto"/>
        <w:ind w:left="425" w:right="1474" w:firstLine="13"/>
        <w:jc w:val="left"/>
        <w:rPr>
          <w:sz w:val="21"/>
        </w:rPr>
      </w:pPr>
      <w:r>
        <w:rPr>
          <w:color w:val="0A0A0A"/>
          <w:w w:val="105"/>
          <w:sz w:val="21"/>
        </w:rPr>
        <w:t>The levy made by one body on another. Hertfordshire County Council and Hertfordshire Police Constabulary,</w:t>
      </w:r>
      <w:r>
        <w:rPr>
          <w:color w:val="0A0A0A"/>
          <w:w w:val="105"/>
          <w:sz w:val="21"/>
        </w:rPr>
        <w:t> who do not administer the council tax system, each levy an amount </w:t>
      </w:r>
      <w:r>
        <w:rPr>
          <w:color w:val="1A1A1A"/>
          <w:w w:val="105"/>
          <w:sz w:val="21"/>
        </w:rPr>
        <w:t>on the </w:t>
      </w:r>
      <w:r>
        <w:rPr>
          <w:color w:val="0A0A0A"/>
          <w:w w:val="105"/>
          <w:sz w:val="21"/>
        </w:rPr>
        <w:t>Borough of Hertsmere, which </w:t>
      </w:r>
      <w:r>
        <w:rPr>
          <w:color w:val="1A1A1A"/>
          <w:w w:val="105"/>
          <w:sz w:val="21"/>
        </w:rPr>
        <w:t>collects </w:t>
      </w:r>
      <w:r>
        <w:rPr>
          <w:color w:val="0A0A0A"/>
          <w:w w:val="105"/>
          <w:sz w:val="21"/>
        </w:rPr>
        <w:t>the required income from</w:t>
      </w:r>
      <w:r>
        <w:rPr>
          <w:color w:val="0A0A0A"/>
          <w:spacing w:val="-4"/>
          <w:w w:val="105"/>
          <w:sz w:val="21"/>
        </w:rPr>
        <w:t> </w:t>
      </w:r>
      <w:r>
        <w:rPr>
          <w:color w:val="0A0A0A"/>
          <w:w w:val="105"/>
          <w:sz w:val="21"/>
        </w:rPr>
        <w:t>local</w:t>
      </w:r>
      <w:r>
        <w:rPr>
          <w:color w:val="0A0A0A"/>
          <w:spacing w:val="-10"/>
          <w:w w:val="105"/>
          <w:sz w:val="21"/>
        </w:rPr>
        <w:t> </w:t>
      </w:r>
      <w:r>
        <w:rPr>
          <w:color w:val="0A0A0A"/>
          <w:w w:val="105"/>
          <w:sz w:val="21"/>
        </w:rPr>
        <w:t>taxpayers on</w:t>
      </w:r>
      <w:r>
        <w:rPr>
          <w:color w:val="0A0A0A"/>
          <w:spacing w:val="-12"/>
          <w:w w:val="105"/>
          <w:sz w:val="21"/>
        </w:rPr>
        <w:t> </w:t>
      </w:r>
      <w:r>
        <w:rPr>
          <w:color w:val="0A0A0A"/>
          <w:w w:val="105"/>
          <w:sz w:val="21"/>
        </w:rPr>
        <w:t>their</w:t>
      </w:r>
      <w:r>
        <w:rPr>
          <w:color w:val="0A0A0A"/>
          <w:spacing w:val="-1"/>
          <w:w w:val="105"/>
          <w:sz w:val="21"/>
        </w:rPr>
        <w:t> </w:t>
      </w:r>
      <w:r>
        <w:rPr>
          <w:color w:val="0A0A0A"/>
          <w:w w:val="105"/>
          <w:sz w:val="21"/>
        </w:rPr>
        <w:t>behalf</w:t>
      </w:r>
      <w:r>
        <w:rPr>
          <w:color w:val="626262"/>
          <w:w w:val="105"/>
          <w:sz w:val="21"/>
        </w:rPr>
        <w:t>.</w:t>
      </w:r>
    </w:p>
    <w:p>
      <w:pPr>
        <w:pStyle w:val="BodyText"/>
        <w:spacing w:before="12"/>
        <w:rPr>
          <w:sz w:val="21"/>
        </w:rPr>
      </w:pPr>
    </w:p>
    <w:p>
      <w:pPr>
        <w:spacing w:before="0" w:line="252" w:lineRule="auto"/>
        <w:ind w:left="413" w:right="1474" w:firstLine="6"/>
        <w:jc w:val="left"/>
        <w:rPr>
          <w:sz w:val="21"/>
        </w:rPr>
      </w:pPr>
      <w:r>
        <w:rPr>
          <w:color w:val="0A0A0A"/>
          <w:w w:val="105"/>
          <w:sz w:val="21"/>
        </w:rPr>
        <w:t>Those material adjustments applicable to prior </w:t>
      </w:r>
      <w:r>
        <w:rPr>
          <w:color w:val="1A1A1A"/>
          <w:w w:val="105"/>
          <w:sz w:val="21"/>
        </w:rPr>
        <w:t>years arising </w:t>
      </w:r>
      <w:r>
        <w:rPr>
          <w:color w:val="0A0A0A"/>
          <w:w w:val="105"/>
          <w:sz w:val="21"/>
        </w:rPr>
        <w:t>from changes in accounting </w:t>
      </w:r>
      <w:r>
        <w:rPr>
          <w:color w:val="1A1A1A"/>
          <w:w w:val="105"/>
          <w:sz w:val="21"/>
        </w:rPr>
        <w:t>policies </w:t>
      </w:r>
      <w:r>
        <w:rPr>
          <w:color w:val="0A0A0A"/>
          <w:w w:val="105"/>
          <w:sz w:val="21"/>
        </w:rPr>
        <w:t>or</w:t>
      </w:r>
      <w:r>
        <w:rPr>
          <w:color w:val="0A0A0A"/>
          <w:spacing w:val="-16"/>
          <w:w w:val="105"/>
          <w:sz w:val="21"/>
        </w:rPr>
        <w:t> </w:t>
      </w:r>
      <w:r>
        <w:rPr>
          <w:color w:val="0A0A0A"/>
          <w:w w:val="105"/>
          <w:sz w:val="21"/>
        </w:rPr>
        <w:t>from</w:t>
      </w:r>
      <w:r>
        <w:rPr>
          <w:color w:val="0A0A0A"/>
          <w:spacing w:val="-7"/>
          <w:w w:val="105"/>
          <w:sz w:val="21"/>
        </w:rPr>
        <w:t> </w:t>
      </w:r>
      <w:r>
        <w:rPr>
          <w:color w:val="0A0A0A"/>
          <w:w w:val="105"/>
          <w:sz w:val="21"/>
        </w:rPr>
        <w:t>the</w:t>
      </w:r>
      <w:r>
        <w:rPr>
          <w:color w:val="0A0A0A"/>
          <w:spacing w:val="-5"/>
          <w:w w:val="105"/>
          <w:sz w:val="21"/>
        </w:rPr>
        <w:t> </w:t>
      </w:r>
      <w:r>
        <w:rPr>
          <w:color w:val="0A0A0A"/>
          <w:w w:val="105"/>
          <w:sz w:val="21"/>
        </w:rPr>
        <w:t>correction</w:t>
      </w:r>
      <w:r>
        <w:rPr>
          <w:color w:val="0A0A0A"/>
          <w:spacing w:val="-1"/>
          <w:w w:val="105"/>
          <w:sz w:val="21"/>
        </w:rPr>
        <w:t> </w:t>
      </w:r>
      <w:r>
        <w:rPr>
          <w:color w:val="0A0A0A"/>
          <w:w w:val="105"/>
          <w:sz w:val="21"/>
        </w:rPr>
        <w:t>of fundamental errors.</w:t>
      </w:r>
    </w:p>
    <w:p>
      <w:pPr>
        <w:pStyle w:val="BodyText"/>
        <w:spacing w:before="13"/>
        <w:rPr>
          <w:sz w:val="21"/>
        </w:rPr>
      </w:pPr>
    </w:p>
    <w:p>
      <w:pPr>
        <w:spacing w:before="0" w:line="252" w:lineRule="auto"/>
        <w:ind w:left="403" w:right="1474" w:firstLine="2"/>
        <w:jc w:val="left"/>
        <w:rPr>
          <w:sz w:val="21"/>
        </w:rPr>
      </w:pPr>
      <w:r>
        <w:rPr>
          <w:color w:val="0A0A0A"/>
          <w:w w:val="105"/>
          <w:sz w:val="21"/>
        </w:rPr>
        <w:t>An accrued benefits valuation method in which</w:t>
      </w:r>
      <w:r>
        <w:rPr>
          <w:color w:val="0A0A0A"/>
          <w:spacing w:val="-9"/>
          <w:w w:val="105"/>
          <w:sz w:val="21"/>
        </w:rPr>
        <w:t> </w:t>
      </w:r>
      <w:r>
        <w:rPr>
          <w:color w:val="0A0A0A"/>
          <w:w w:val="105"/>
          <w:sz w:val="21"/>
        </w:rPr>
        <w:t>the</w:t>
      </w:r>
      <w:r>
        <w:rPr>
          <w:color w:val="0A0A0A"/>
          <w:spacing w:val="-7"/>
          <w:w w:val="105"/>
          <w:sz w:val="21"/>
        </w:rPr>
        <w:t> </w:t>
      </w:r>
      <w:r>
        <w:rPr>
          <w:color w:val="0A0A0A"/>
          <w:w w:val="105"/>
          <w:sz w:val="21"/>
        </w:rPr>
        <w:t>scheme</w:t>
      </w:r>
      <w:r>
        <w:rPr>
          <w:color w:val="0A0A0A"/>
          <w:spacing w:val="-3"/>
          <w:w w:val="105"/>
          <w:sz w:val="21"/>
        </w:rPr>
        <w:t> </w:t>
      </w:r>
      <w:r>
        <w:rPr>
          <w:color w:val="0A0A0A"/>
          <w:w w:val="105"/>
          <w:sz w:val="21"/>
        </w:rPr>
        <w:t>liabilities</w:t>
      </w:r>
      <w:r>
        <w:rPr>
          <w:color w:val="0A0A0A"/>
          <w:spacing w:val="-6"/>
          <w:w w:val="105"/>
          <w:sz w:val="21"/>
        </w:rPr>
        <w:t> </w:t>
      </w:r>
      <w:r>
        <w:rPr>
          <w:color w:val="0A0A0A"/>
          <w:w w:val="105"/>
          <w:sz w:val="21"/>
        </w:rPr>
        <w:t>make</w:t>
      </w:r>
      <w:r>
        <w:rPr>
          <w:color w:val="0A0A0A"/>
          <w:spacing w:val="-6"/>
          <w:w w:val="105"/>
          <w:sz w:val="21"/>
        </w:rPr>
        <w:t> </w:t>
      </w:r>
      <w:r>
        <w:rPr>
          <w:color w:val="0A0A0A"/>
          <w:w w:val="105"/>
          <w:sz w:val="21"/>
        </w:rPr>
        <w:t>allowance for projected earnings</w:t>
      </w:r>
      <w:r>
        <w:rPr>
          <w:color w:val="444444"/>
          <w:w w:val="105"/>
          <w:sz w:val="21"/>
        </w:rPr>
        <w:t>.</w:t>
      </w:r>
    </w:p>
    <w:p>
      <w:pPr>
        <w:pStyle w:val="BodyText"/>
        <w:spacing w:before="7"/>
        <w:rPr>
          <w:sz w:val="21"/>
        </w:rPr>
      </w:pPr>
    </w:p>
    <w:p>
      <w:pPr>
        <w:spacing w:before="0" w:line="252" w:lineRule="auto"/>
        <w:ind w:left="391" w:right="1474" w:firstLine="4"/>
        <w:jc w:val="left"/>
        <w:rPr>
          <w:sz w:val="21"/>
        </w:rPr>
      </w:pPr>
      <w:r>
        <w:rPr>
          <w:color w:val="0A0A0A"/>
          <w:w w:val="105"/>
          <w:sz w:val="21"/>
        </w:rPr>
        <w:t>An</w:t>
      </w:r>
      <w:r>
        <w:rPr>
          <w:color w:val="0A0A0A"/>
          <w:spacing w:val="-6"/>
          <w:w w:val="105"/>
          <w:sz w:val="21"/>
        </w:rPr>
        <w:t> </w:t>
      </w:r>
      <w:r>
        <w:rPr>
          <w:color w:val="0A0A0A"/>
          <w:w w:val="105"/>
          <w:sz w:val="21"/>
        </w:rPr>
        <w:t>amount set</w:t>
      </w:r>
      <w:r>
        <w:rPr>
          <w:color w:val="0A0A0A"/>
          <w:spacing w:val="-1"/>
          <w:w w:val="105"/>
          <w:sz w:val="21"/>
        </w:rPr>
        <w:t> </w:t>
      </w:r>
      <w:r>
        <w:rPr>
          <w:color w:val="0A0A0A"/>
          <w:w w:val="105"/>
          <w:sz w:val="21"/>
        </w:rPr>
        <w:t>aside</w:t>
      </w:r>
      <w:r>
        <w:rPr>
          <w:color w:val="0A0A0A"/>
          <w:spacing w:val="-5"/>
          <w:w w:val="105"/>
          <w:sz w:val="21"/>
        </w:rPr>
        <w:t> </w:t>
      </w:r>
      <w:r>
        <w:rPr>
          <w:color w:val="0A0A0A"/>
          <w:w w:val="105"/>
          <w:sz w:val="21"/>
        </w:rPr>
        <w:t>to</w:t>
      </w:r>
      <w:r>
        <w:rPr>
          <w:color w:val="0A0A0A"/>
          <w:spacing w:val="-9"/>
          <w:w w:val="105"/>
          <w:sz w:val="21"/>
        </w:rPr>
        <w:t> </w:t>
      </w:r>
      <w:r>
        <w:rPr>
          <w:color w:val="0A0A0A"/>
          <w:w w:val="105"/>
          <w:sz w:val="21"/>
        </w:rPr>
        <w:t>provide for</w:t>
      </w:r>
      <w:r>
        <w:rPr>
          <w:color w:val="0A0A0A"/>
          <w:spacing w:val="-5"/>
          <w:w w:val="105"/>
          <w:sz w:val="21"/>
        </w:rPr>
        <w:t> </w:t>
      </w:r>
      <w:r>
        <w:rPr>
          <w:color w:val="0A0A0A"/>
          <w:w w:val="105"/>
          <w:sz w:val="21"/>
        </w:rPr>
        <w:t>a</w:t>
      </w:r>
      <w:r>
        <w:rPr>
          <w:color w:val="0A0A0A"/>
          <w:spacing w:val="-8"/>
          <w:w w:val="105"/>
          <w:sz w:val="21"/>
        </w:rPr>
        <w:t> </w:t>
      </w:r>
      <w:r>
        <w:rPr>
          <w:color w:val="0A0A0A"/>
          <w:w w:val="105"/>
          <w:sz w:val="21"/>
        </w:rPr>
        <w:t>liability that is likely to be incurred but the exact amount and</w:t>
      </w:r>
      <w:r>
        <w:rPr>
          <w:color w:val="0A0A0A"/>
          <w:spacing w:val="-8"/>
          <w:w w:val="105"/>
          <w:sz w:val="21"/>
        </w:rPr>
        <w:t> </w:t>
      </w:r>
      <w:r>
        <w:rPr>
          <w:color w:val="0A0A0A"/>
          <w:w w:val="105"/>
          <w:sz w:val="21"/>
        </w:rPr>
        <w:t>the</w:t>
      </w:r>
      <w:r>
        <w:rPr>
          <w:color w:val="0A0A0A"/>
          <w:spacing w:val="-3"/>
          <w:w w:val="105"/>
          <w:sz w:val="21"/>
        </w:rPr>
        <w:t> </w:t>
      </w:r>
      <w:r>
        <w:rPr>
          <w:color w:val="0A0A0A"/>
          <w:w w:val="105"/>
          <w:sz w:val="21"/>
        </w:rPr>
        <w:t>date on</w:t>
      </w:r>
      <w:r>
        <w:rPr>
          <w:color w:val="0A0A0A"/>
          <w:spacing w:val="-3"/>
          <w:w w:val="105"/>
          <w:sz w:val="21"/>
        </w:rPr>
        <w:t> </w:t>
      </w:r>
      <w:r>
        <w:rPr>
          <w:color w:val="0A0A0A"/>
          <w:w w:val="105"/>
          <w:sz w:val="21"/>
        </w:rPr>
        <w:t>which</w:t>
      </w:r>
      <w:r>
        <w:rPr>
          <w:color w:val="0A0A0A"/>
          <w:spacing w:val="-8"/>
          <w:w w:val="105"/>
          <w:sz w:val="21"/>
        </w:rPr>
        <w:t> </w:t>
      </w:r>
      <w:r>
        <w:rPr>
          <w:color w:val="0A0A0A"/>
          <w:w w:val="105"/>
          <w:sz w:val="21"/>
        </w:rPr>
        <w:t>it will</w:t>
      </w:r>
      <w:r>
        <w:rPr>
          <w:color w:val="0A0A0A"/>
          <w:spacing w:val="-4"/>
          <w:w w:val="105"/>
          <w:sz w:val="21"/>
        </w:rPr>
        <w:t> </w:t>
      </w:r>
      <w:r>
        <w:rPr>
          <w:color w:val="0A0A0A"/>
          <w:w w:val="105"/>
          <w:sz w:val="21"/>
        </w:rPr>
        <w:t>arise</w:t>
      </w:r>
      <w:r>
        <w:rPr>
          <w:color w:val="0A0A0A"/>
          <w:spacing w:val="-5"/>
          <w:w w:val="105"/>
          <w:sz w:val="21"/>
        </w:rPr>
        <w:t> </w:t>
      </w:r>
      <w:r>
        <w:rPr>
          <w:color w:val="0A0A0A"/>
          <w:w w:val="105"/>
          <w:sz w:val="21"/>
        </w:rPr>
        <w:t>is </w:t>
      </w:r>
      <w:r>
        <w:rPr>
          <w:color w:val="0A0A0A"/>
          <w:spacing w:val="-2"/>
          <w:w w:val="105"/>
          <w:sz w:val="21"/>
        </w:rPr>
        <w:t>uncertain.</w:t>
      </w:r>
    </w:p>
    <w:p>
      <w:pPr>
        <w:pStyle w:val="BodyText"/>
        <w:spacing w:before="13"/>
        <w:rPr>
          <w:sz w:val="21"/>
        </w:rPr>
      </w:pPr>
    </w:p>
    <w:p>
      <w:pPr>
        <w:spacing w:before="0" w:line="252" w:lineRule="auto"/>
        <w:ind w:left="388" w:right="1474" w:hanging="3"/>
        <w:jc w:val="left"/>
        <w:rPr>
          <w:sz w:val="21"/>
        </w:rPr>
      </w:pPr>
      <w:r>
        <w:rPr>
          <w:color w:val="0A0A0A"/>
          <w:w w:val="105"/>
          <w:sz w:val="21"/>
        </w:rPr>
        <w:t>Two or</w:t>
      </w:r>
      <w:r>
        <w:rPr>
          <w:color w:val="0A0A0A"/>
          <w:spacing w:val="-7"/>
          <w:w w:val="105"/>
          <w:sz w:val="21"/>
        </w:rPr>
        <w:t> </w:t>
      </w:r>
      <w:r>
        <w:rPr>
          <w:color w:val="0A0A0A"/>
          <w:w w:val="105"/>
          <w:sz w:val="21"/>
        </w:rPr>
        <w:t>more</w:t>
      </w:r>
      <w:r>
        <w:rPr>
          <w:color w:val="0A0A0A"/>
          <w:spacing w:val="-3"/>
          <w:w w:val="105"/>
          <w:sz w:val="21"/>
        </w:rPr>
        <w:t> </w:t>
      </w:r>
      <w:r>
        <w:rPr>
          <w:color w:val="0A0A0A"/>
          <w:w w:val="105"/>
          <w:sz w:val="21"/>
        </w:rPr>
        <w:t>parties are</w:t>
      </w:r>
      <w:r>
        <w:rPr>
          <w:color w:val="0A0A0A"/>
          <w:spacing w:val="-6"/>
          <w:w w:val="105"/>
          <w:sz w:val="21"/>
        </w:rPr>
        <w:t> </w:t>
      </w:r>
      <w:r>
        <w:rPr>
          <w:color w:val="0A0A0A"/>
          <w:w w:val="105"/>
          <w:sz w:val="21"/>
        </w:rPr>
        <w:t>related</w:t>
      </w:r>
      <w:r>
        <w:rPr>
          <w:color w:val="0A0A0A"/>
          <w:spacing w:val="-8"/>
          <w:w w:val="105"/>
          <w:sz w:val="21"/>
        </w:rPr>
        <w:t> </w:t>
      </w:r>
      <w:r>
        <w:rPr>
          <w:color w:val="0A0A0A"/>
          <w:w w:val="105"/>
          <w:sz w:val="21"/>
        </w:rPr>
        <w:t>parties</w:t>
      </w:r>
      <w:r>
        <w:rPr>
          <w:color w:val="0A0A0A"/>
          <w:spacing w:val="-3"/>
          <w:w w:val="105"/>
          <w:sz w:val="21"/>
        </w:rPr>
        <w:t> </w:t>
      </w:r>
      <w:r>
        <w:rPr>
          <w:color w:val="0A0A0A"/>
          <w:w w:val="105"/>
          <w:sz w:val="21"/>
        </w:rPr>
        <w:t>when at any time during the financial </w:t>
      </w:r>
      <w:r>
        <w:rPr>
          <w:color w:val="1A1A1A"/>
          <w:w w:val="105"/>
          <w:sz w:val="21"/>
        </w:rPr>
        <w:t>period:</w:t>
      </w:r>
    </w:p>
    <w:p>
      <w:pPr>
        <w:pStyle w:val="ListParagraph"/>
        <w:numPr>
          <w:ilvl w:val="0"/>
          <w:numId w:val="38"/>
        </w:numPr>
        <w:tabs>
          <w:tab w:val="left" w:leader="none" w:pos="1473"/>
          <w:tab w:val="left" w:leader="none" w:pos="1476"/>
        </w:tabs>
        <w:spacing w:before="2" w:after="0" w:line="252" w:lineRule="auto"/>
        <w:ind w:left="1473" w:right="1784" w:hanging="715"/>
        <w:jc w:val="left"/>
        <w:rPr>
          <w:sz w:val="21"/>
        </w:rPr>
      </w:pPr>
      <w:r>
        <w:rPr>
          <w:color w:val="0A0A0A"/>
          <w:sz w:val="21"/>
        </w:rPr>
        <w:tab/>
      </w:r>
      <w:r>
        <w:rPr>
          <w:color w:val="0A0A0A"/>
          <w:w w:val="105"/>
          <w:sz w:val="21"/>
        </w:rPr>
        <w:t>One</w:t>
      </w:r>
      <w:r>
        <w:rPr>
          <w:color w:val="0A0A0A"/>
          <w:spacing w:val="-10"/>
          <w:w w:val="105"/>
          <w:sz w:val="21"/>
        </w:rPr>
        <w:t> </w:t>
      </w:r>
      <w:r>
        <w:rPr>
          <w:color w:val="0A0A0A"/>
          <w:w w:val="105"/>
          <w:sz w:val="21"/>
        </w:rPr>
        <w:t>party</w:t>
      </w:r>
      <w:r>
        <w:rPr>
          <w:color w:val="0A0A0A"/>
          <w:spacing w:val="-5"/>
          <w:w w:val="105"/>
          <w:sz w:val="21"/>
        </w:rPr>
        <w:t> </w:t>
      </w:r>
      <w:r>
        <w:rPr>
          <w:color w:val="0A0A0A"/>
          <w:w w:val="105"/>
          <w:sz w:val="21"/>
        </w:rPr>
        <w:t>has</w:t>
      </w:r>
      <w:r>
        <w:rPr>
          <w:color w:val="0A0A0A"/>
          <w:spacing w:val="-10"/>
          <w:w w:val="105"/>
          <w:sz w:val="21"/>
        </w:rPr>
        <w:t> </w:t>
      </w:r>
      <w:r>
        <w:rPr>
          <w:color w:val="0A0A0A"/>
          <w:w w:val="105"/>
          <w:sz w:val="21"/>
        </w:rPr>
        <w:t>direct</w:t>
      </w:r>
      <w:r>
        <w:rPr>
          <w:color w:val="0A0A0A"/>
          <w:spacing w:val="-1"/>
          <w:w w:val="105"/>
          <w:sz w:val="21"/>
        </w:rPr>
        <w:t> </w:t>
      </w:r>
      <w:r>
        <w:rPr>
          <w:color w:val="1A1A1A"/>
          <w:w w:val="105"/>
          <w:sz w:val="21"/>
        </w:rPr>
        <w:t>or</w:t>
      </w:r>
      <w:r>
        <w:rPr>
          <w:color w:val="1A1A1A"/>
          <w:spacing w:val="-11"/>
          <w:w w:val="105"/>
          <w:sz w:val="21"/>
        </w:rPr>
        <w:t> </w:t>
      </w:r>
      <w:r>
        <w:rPr>
          <w:color w:val="0A0A0A"/>
          <w:w w:val="105"/>
          <w:sz w:val="21"/>
        </w:rPr>
        <w:t>indirect control of the other party.</w:t>
      </w:r>
    </w:p>
    <w:p>
      <w:pPr>
        <w:pStyle w:val="ListParagraph"/>
        <w:numPr>
          <w:ilvl w:val="0"/>
          <w:numId w:val="38"/>
        </w:numPr>
        <w:tabs>
          <w:tab w:val="left" w:leader="none" w:pos="1468"/>
        </w:tabs>
        <w:spacing w:before="7" w:after="0" w:line="249" w:lineRule="auto"/>
        <w:ind w:left="1468" w:right="1751" w:hanging="715"/>
        <w:jc w:val="left"/>
        <w:rPr>
          <w:sz w:val="21"/>
        </w:rPr>
      </w:pPr>
      <w:r>
        <w:rPr>
          <w:color w:val="0A0A0A"/>
          <w:w w:val="105"/>
          <w:sz w:val="21"/>
        </w:rPr>
        <w:t>The parties are subject to common</w:t>
      </w:r>
      <w:r>
        <w:rPr>
          <w:color w:val="0A0A0A"/>
          <w:spacing w:val="-1"/>
          <w:w w:val="105"/>
          <w:sz w:val="21"/>
        </w:rPr>
        <w:t> </w:t>
      </w:r>
      <w:r>
        <w:rPr>
          <w:color w:val="0A0A0A"/>
          <w:w w:val="105"/>
          <w:sz w:val="21"/>
        </w:rPr>
        <w:t>control</w:t>
      </w:r>
      <w:r>
        <w:rPr>
          <w:color w:val="0A0A0A"/>
          <w:spacing w:val="-8"/>
          <w:w w:val="105"/>
          <w:sz w:val="21"/>
        </w:rPr>
        <w:t> </w:t>
      </w:r>
      <w:r>
        <w:rPr>
          <w:color w:val="0A0A0A"/>
          <w:w w:val="105"/>
          <w:sz w:val="21"/>
        </w:rPr>
        <w:t>from</w:t>
      </w:r>
      <w:r>
        <w:rPr>
          <w:color w:val="0A0A0A"/>
          <w:spacing w:val="-6"/>
          <w:w w:val="105"/>
          <w:sz w:val="21"/>
        </w:rPr>
        <w:t> </w:t>
      </w:r>
      <w:r>
        <w:rPr>
          <w:color w:val="0A0A0A"/>
          <w:w w:val="105"/>
          <w:sz w:val="21"/>
        </w:rPr>
        <w:t>the</w:t>
      </w:r>
      <w:r>
        <w:rPr>
          <w:color w:val="0A0A0A"/>
          <w:spacing w:val="-6"/>
          <w:w w:val="105"/>
          <w:sz w:val="21"/>
        </w:rPr>
        <w:t> </w:t>
      </w:r>
      <w:r>
        <w:rPr>
          <w:color w:val="0A0A0A"/>
          <w:w w:val="105"/>
          <w:sz w:val="21"/>
        </w:rPr>
        <w:t>same </w:t>
      </w:r>
      <w:r>
        <w:rPr>
          <w:color w:val="0A0A0A"/>
          <w:spacing w:val="-2"/>
          <w:w w:val="105"/>
          <w:sz w:val="21"/>
        </w:rPr>
        <w:t>source.</w:t>
      </w:r>
    </w:p>
    <w:p>
      <w:pPr>
        <w:pStyle w:val="ListParagraph"/>
        <w:numPr>
          <w:ilvl w:val="0"/>
          <w:numId w:val="38"/>
        </w:numPr>
        <w:tabs>
          <w:tab w:val="left" w:leader="none" w:pos="1456"/>
          <w:tab w:val="left" w:leader="none" w:pos="1462"/>
        </w:tabs>
        <w:spacing w:before="11" w:after="0" w:line="252" w:lineRule="auto"/>
        <w:ind w:left="1456" w:right="1491" w:hanging="707"/>
        <w:jc w:val="left"/>
        <w:rPr>
          <w:sz w:val="21"/>
        </w:rPr>
      </w:pPr>
      <w:r>
        <w:rPr>
          <w:color w:val="0A0A0A"/>
          <w:sz w:val="21"/>
        </w:rPr>
        <w:tab/>
      </w:r>
      <w:r>
        <w:rPr>
          <w:color w:val="0A0A0A"/>
          <w:w w:val="105"/>
          <w:sz w:val="21"/>
        </w:rPr>
        <w:t>One party has influence over the financial and operational policies of</w:t>
      </w:r>
      <w:r>
        <w:rPr>
          <w:color w:val="0A0A0A"/>
          <w:spacing w:val="-4"/>
          <w:w w:val="105"/>
          <w:sz w:val="21"/>
        </w:rPr>
        <w:t> </w:t>
      </w:r>
      <w:r>
        <w:rPr>
          <w:color w:val="0A0A0A"/>
          <w:w w:val="105"/>
          <w:sz w:val="21"/>
        </w:rPr>
        <w:t>the</w:t>
      </w:r>
      <w:r>
        <w:rPr>
          <w:color w:val="0A0A0A"/>
          <w:spacing w:val="-3"/>
          <w:w w:val="105"/>
          <w:sz w:val="21"/>
        </w:rPr>
        <w:t> </w:t>
      </w:r>
      <w:r>
        <w:rPr>
          <w:color w:val="0A0A0A"/>
          <w:w w:val="105"/>
          <w:sz w:val="21"/>
        </w:rPr>
        <w:t>other</w:t>
      </w:r>
      <w:r>
        <w:rPr>
          <w:color w:val="0A0A0A"/>
          <w:spacing w:val="-7"/>
          <w:w w:val="105"/>
          <w:sz w:val="21"/>
        </w:rPr>
        <w:t> </w:t>
      </w:r>
      <w:r>
        <w:rPr>
          <w:color w:val="0A0A0A"/>
          <w:w w:val="105"/>
          <w:sz w:val="21"/>
        </w:rPr>
        <w:t>party</w:t>
      </w:r>
      <w:r>
        <w:rPr>
          <w:color w:val="0A0A0A"/>
          <w:spacing w:val="-1"/>
          <w:w w:val="105"/>
          <w:sz w:val="21"/>
        </w:rPr>
        <w:t> </w:t>
      </w:r>
      <w:r>
        <w:rPr>
          <w:color w:val="0A0A0A"/>
          <w:w w:val="105"/>
          <w:sz w:val="21"/>
        </w:rPr>
        <w:t>to</w:t>
      </w:r>
      <w:r>
        <w:rPr>
          <w:color w:val="0A0A0A"/>
          <w:spacing w:val="-4"/>
          <w:w w:val="105"/>
          <w:sz w:val="21"/>
        </w:rPr>
        <w:t> </w:t>
      </w:r>
      <w:r>
        <w:rPr>
          <w:color w:val="0A0A0A"/>
          <w:w w:val="105"/>
          <w:sz w:val="21"/>
        </w:rPr>
        <w:t>an</w:t>
      </w:r>
      <w:r>
        <w:rPr>
          <w:color w:val="0A0A0A"/>
          <w:spacing w:val="-7"/>
          <w:w w:val="105"/>
          <w:sz w:val="21"/>
        </w:rPr>
        <w:t> </w:t>
      </w:r>
      <w:r>
        <w:rPr>
          <w:color w:val="0A0A0A"/>
          <w:w w:val="105"/>
          <w:sz w:val="21"/>
        </w:rPr>
        <w:t>extent that the other party might be </w:t>
      </w:r>
      <w:r>
        <w:rPr>
          <w:color w:val="1A1A1A"/>
          <w:w w:val="105"/>
          <w:sz w:val="21"/>
        </w:rPr>
        <w:t>inhibited </w:t>
      </w:r>
      <w:r>
        <w:rPr>
          <w:color w:val="0A0A0A"/>
          <w:w w:val="105"/>
          <w:sz w:val="21"/>
        </w:rPr>
        <w:t>from pursuing at all</w:t>
      </w:r>
      <w:r>
        <w:rPr>
          <w:color w:val="0A0A0A"/>
          <w:spacing w:val="-3"/>
          <w:w w:val="105"/>
          <w:sz w:val="21"/>
        </w:rPr>
        <w:t> </w:t>
      </w:r>
      <w:r>
        <w:rPr>
          <w:color w:val="0A0A0A"/>
          <w:w w:val="105"/>
          <w:sz w:val="21"/>
        </w:rPr>
        <w:t>times its own separate interests.</w:t>
      </w:r>
    </w:p>
    <w:p>
      <w:pPr>
        <w:pStyle w:val="ListParagraph"/>
        <w:numPr>
          <w:ilvl w:val="0"/>
          <w:numId w:val="38"/>
        </w:numPr>
        <w:tabs>
          <w:tab w:val="left" w:leader="none" w:pos="1439"/>
          <w:tab w:val="left" w:leader="none" w:pos="1453"/>
        </w:tabs>
        <w:spacing w:before="2" w:after="0" w:line="252" w:lineRule="auto"/>
        <w:ind w:left="1439" w:right="1482" w:hanging="700"/>
        <w:jc w:val="left"/>
        <w:rPr>
          <w:sz w:val="21"/>
        </w:rPr>
      </w:pPr>
      <w:r>
        <w:rPr>
          <w:color w:val="0A0A0A"/>
          <w:sz w:val="21"/>
        </w:rPr>
        <w:tab/>
      </w:r>
      <w:r>
        <w:rPr>
          <w:color w:val="0A0A0A"/>
          <w:w w:val="105"/>
          <w:sz w:val="21"/>
        </w:rPr>
        <w:t>The parties, in entering a transaction, are subject to influence from</w:t>
      </w:r>
      <w:r>
        <w:rPr>
          <w:color w:val="0A0A0A"/>
          <w:spacing w:val="-3"/>
          <w:w w:val="105"/>
          <w:sz w:val="21"/>
        </w:rPr>
        <w:t> </w:t>
      </w:r>
      <w:r>
        <w:rPr>
          <w:color w:val="0A0A0A"/>
          <w:w w:val="105"/>
          <w:sz w:val="21"/>
        </w:rPr>
        <w:t>the</w:t>
      </w:r>
      <w:r>
        <w:rPr>
          <w:color w:val="0A0A0A"/>
          <w:spacing w:val="-4"/>
          <w:w w:val="105"/>
          <w:sz w:val="21"/>
        </w:rPr>
        <w:t> </w:t>
      </w:r>
      <w:r>
        <w:rPr>
          <w:color w:val="0A0A0A"/>
          <w:w w:val="105"/>
          <w:sz w:val="21"/>
        </w:rPr>
        <w:t>same</w:t>
      </w:r>
      <w:r>
        <w:rPr>
          <w:color w:val="0A0A0A"/>
          <w:spacing w:val="-3"/>
          <w:w w:val="105"/>
          <w:sz w:val="21"/>
        </w:rPr>
        <w:t> </w:t>
      </w:r>
      <w:r>
        <w:rPr>
          <w:color w:val="0A0A0A"/>
          <w:w w:val="105"/>
          <w:sz w:val="21"/>
        </w:rPr>
        <w:t>source to such an extent that one of the parties to the transaction has subordinated its own separate </w:t>
      </w:r>
      <w:r>
        <w:rPr>
          <w:color w:val="0A0A0A"/>
          <w:spacing w:val="-2"/>
          <w:w w:val="105"/>
          <w:sz w:val="21"/>
        </w:rPr>
        <w:t>interests.</w:t>
      </w:r>
    </w:p>
    <w:p>
      <w:pPr>
        <w:spacing w:after="0" w:line="252" w:lineRule="auto"/>
        <w:jc w:val="left"/>
        <w:rPr>
          <w:sz w:val="21"/>
        </w:rPr>
        <w:sectPr>
          <w:pgSz w:w="11910" w:h="16830"/>
          <w:pgMar w:top="1520" w:right="540" w:bottom="1220" w:left="440" w:header="913" w:footer="1016"/>
          <w:cols w:equalWidth="0" w:num="2">
            <w:col w:w="3272" w:space="1378"/>
            <w:col w:w="6280"/>
          </w:cols>
        </w:sectPr>
      </w:pPr>
    </w:p>
    <w:p>
      <w:pPr>
        <w:spacing w:before="3"/>
        <w:ind w:left="236" w:right="0" w:firstLine="0"/>
        <w:jc w:val="left"/>
        <w:rPr>
          <w:b/>
          <w:sz w:val="21"/>
        </w:rPr>
      </w:pPr>
      <w:r>
        <w:rPr>
          <w:b/>
          <w:color w:val="0E0E0E"/>
          <w:w w:val="105"/>
          <w:sz w:val="21"/>
        </w:rPr>
        <w:t>Related</w:t>
      </w:r>
      <w:r>
        <w:rPr>
          <w:b/>
          <w:color w:val="0E0E0E"/>
          <w:spacing w:val="-11"/>
          <w:w w:val="105"/>
          <w:sz w:val="21"/>
        </w:rPr>
        <w:t> </w:t>
      </w:r>
      <w:r>
        <w:rPr>
          <w:b/>
          <w:color w:val="0E0E0E"/>
          <w:w w:val="105"/>
          <w:sz w:val="21"/>
        </w:rPr>
        <w:t>Party</w:t>
      </w:r>
      <w:r>
        <w:rPr>
          <w:b/>
          <w:color w:val="0E0E0E"/>
          <w:spacing w:val="-9"/>
          <w:w w:val="105"/>
          <w:sz w:val="21"/>
        </w:rPr>
        <w:t> </w:t>
      </w:r>
      <w:r>
        <w:rPr>
          <w:b/>
          <w:color w:val="0E0E0E"/>
          <w:spacing w:val="-2"/>
          <w:w w:val="105"/>
          <w:sz w:val="21"/>
        </w:rPr>
        <w:t>Transaction</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83"/>
        <w:rPr>
          <w:b/>
          <w:sz w:val="21"/>
        </w:rPr>
      </w:pPr>
    </w:p>
    <w:p>
      <w:pPr>
        <w:spacing w:before="0"/>
        <w:ind w:left="241" w:right="0" w:firstLine="0"/>
        <w:jc w:val="left"/>
        <w:rPr>
          <w:b/>
          <w:sz w:val="21"/>
        </w:rPr>
      </w:pPr>
      <w:r>
        <w:rPr>
          <w:b/>
          <w:color w:val="0E0E0E"/>
          <w:w w:val="105"/>
          <w:sz w:val="21"/>
        </w:rPr>
        <w:t>Rent</w:t>
      </w:r>
      <w:r>
        <w:rPr>
          <w:b/>
          <w:color w:val="0E0E0E"/>
          <w:spacing w:val="1"/>
          <w:w w:val="105"/>
          <w:sz w:val="21"/>
        </w:rPr>
        <w:t> </w:t>
      </w:r>
      <w:r>
        <w:rPr>
          <w:b/>
          <w:color w:val="0E0E0E"/>
          <w:spacing w:val="-2"/>
          <w:w w:val="105"/>
          <w:sz w:val="21"/>
        </w:rPr>
        <w:t>Allowances</w:t>
      </w:r>
    </w:p>
    <w:p>
      <w:pPr>
        <w:pStyle w:val="BodyText"/>
        <w:rPr>
          <w:b/>
          <w:sz w:val="21"/>
        </w:rPr>
      </w:pPr>
    </w:p>
    <w:p>
      <w:pPr>
        <w:pStyle w:val="BodyText"/>
        <w:rPr>
          <w:b/>
          <w:sz w:val="21"/>
        </w:rPr>
      </w:pPr>
    </w:p>
    <w:p>
      <w:pPr>
        <w:pStyle w:val="BodyText"/>
        <w:rPr>
          <w:b/>
          <w:sz w:val="21"/>
        </w:rPr>
      </w:pPr>
    </w:p>
    <w:p>
      <w:pPr>
        <w:pStyle w:val="BodyText"/>
        <w:spacing w:before="61"/>
        <w:rPr>
          <w:b/>
          <w:sz w:val="21"/>
        </w:rPr>
      </w:pPr>
    </w:p>
    <w:p>
      <w:pPr>
        <w:spacing w:before="0"/>
        <w:ind w:left="241" w:right="0" w:firstLine="0"/>
        <w:jc w:val="left"/>
        <w:rPr>
          <w:b/>
          <w:sz w:val="21"/>
        </w:rPr>
      </w:pPr>
      <w:r>
        <w:rPr>
          <w:b/>
          <w:color w:val="0E0E0E"/>
          <w:w w:val="105"/>
          <w:sz w:val="21"/>
        </w:rPr>
        <w:t>Rent</w:t>
      </w:r>
      <w:r>
        <w:rPr>
          <w:b/>
          <w:color w:val="0E0E0E"/>
          <w:spacing w:val="-5"/>
          <w:w w:val="105"/>
          <w:sz w:val="21"/>
        </w:rPr>
        <w:t> </w:t>
      </w:r>
      <w:r>
        <w:rPr>
          <w:b/>
          <w:color w:val="0E0E0E"/>
          <w:spacing w:val="-2"/>
          <w:w w:val="105"/>
          <w:sz w:val="21"/>
        </w:rPr>
        <w:t>Rebates</w:t>
      </w:r>
    </w:p>
    <w:p>
      <w:pPr>
        <w:pStyle w:val="BodyText"/>
        <w:rPr>
          <w:b/>
          <w:sz w:val="21"/>
        </w:rPr>
      </w:pPr>
    </w:p>
    <w:p>
      <w:pPr>
        <w:pStyle w:val="BodyText"/>
        <w:rPr>
          <w:b/>
          <w:sz w:val="21"/>
        </w:rPr>
      </w:pPr>
    </w:p>
    <w:p>
      <w:pPr>
        <w:pStyle w:val="BodyText"/>
        <w:spacing w:before="43"/>
        <w:rPr>
          <w:b/>
          <w:sz w:val="21"/>
        </w:rPr>
      </w:pPr>
    </w:p>
    <w:p>
      <w:pPr>
        <w:spacing w:before="1"/>
        <w:ind w:left="241" w:right="0" w:firstLine="0"/>
        <w:jc w:val="left"/>
        <w:rPr>
          <w:b/>
          <w:sz w:val="21"/>
        </w:rPr>
      </w:pPr>
      <w:r>
        <w:rPr>
          <w:b/>
          <w:color w:val="0E0E0E"/>
          <w:spacing w:val="-2"/>
          <w:w w:val="105"/>
          <w:sz w:val="21"/>
        </w:rPr>
        <w:t>Reserves</w:t>
      </w:r>
    </w:p>
    <w:p>
      <w:pPr>
        <w:spacing w:before="8" w:line="252" w:lineRule="auto"/>
        <w:ind w:left="237" w:right="1750" w:hanging="1"/>
        <w:jc w:val="left"/>
        <w:rPr>
          <w:sz w:val="21"/>
        </w:rPr>
      </w:pPr>
      <w:r>
        <w:rPr/>
        <w:br w:type="column"/>
      </w:r>
      <w:r>
        <w:rPr>
          <w:color w:val="0E0E0E"/>
          <w:w w:val="105"/>
          <w:sz w:val="21"/>
        </w:rPr>
        <w:t>A</w:t>
      </w:r>
      <w:r>
        <w:rPr>
          <w:color w:val="0E0E0E"/>
          <w:spacing w:val="-12"/>
          <w:w w:val="105"/>
          <w:sz w:val="21"/>
        </w:rPr>
        <w:t> </w:t>
      </w:r>
      <w:r>
        <w:rPr>
          <w:color w:val="0E0E0E"/>
          <w:w w:val="105"/>
          <w:sz w:val="21"/>
        </w:rPr>
        <w:t>related</w:t>
      </w:r>
      <w:r>
        <w:rPr>
          <w:color w:val="0E0E0E"/>
          <w:spacing w:val="-9"/>
          <w:w w:val="105"/>
          <w:sz w:val="21"/>
        </w:rPr>
        <w:t> </w:t>
      </w:r>
      <w:r>
        <w:rPr>
          <w:color w:val="0E0E0E"/>
          <w:w w:val="105"/>
          <w:sz w:val="21"/>
        </w:rPr>
        <w:t>party</w:t>
      </w:r>
      <w:r>
        <w:rPr>
          <w:color w:val="0E0E0E"/>
          <w:spacing w:val="-7"/>
          <w:w w:val="105"/>
          <w:sz w:val="21"/>
        </w:rPr>
        <w:t> </w:t>
      </w:r>
      <w:r>
        <w:rPr>
          <w:color w:val="0E0E0E"/>
          <w:w w:val="105"/>
          <w:sz w:val="21"/>
        </w:rPr>
        <w:t>transaction</w:t>
      </w:r>
      <w:r>
        <w:rPr>
          <w:color w:val="0E0E0E"/>
          <w:spacing w:val="-6"/>
          <w:w w:val="105"/>
          <w:sz w:val="21"/>
        </w:rPr>
        <w:t> </w:t>
      </w:r>
      <w:r>
        <w:rPr>
          <w:color w:val="0E0E0E"/>
          <w:w w:val="105"/>
          <w:sz w:val="21"/>
        </w:rPr>
        <w:t>is</w:t>
      </w:r>
      <w:r>
        <w:rPr>
          <w:color w:val="0E0E0E"/>
          <w:spacing w:val="-8"/>
          <w:w w:val="105"/>
          <w:sz w:val="21"/>
        </w:rPr>
        <w:t> </w:t>
      </w:r>
      <w:r>
        <w:rPr>
          <w:color w:val="0E0E0E"/>
          <w:w w:val="105"/>
          <w:sz w:val="21"/>
        </w:rPr>
        <w:t>the</w:t>
      </w:r>
      <w:r>
        <w:rPr>
          <w:color w:val="0E0E0E"/>
          <w:spacing w:val="-7"/>
          <w:w w:val="105"/>
          <w:sz w:val="21"/>
        </w:rPr>
        <w:t> </w:t>
      </w:r>
      <w:r>
        <w:rPr>
          <w:color w:val="0E0E0E"/>
          <w:w w:val="105"/>
          <w:sz w:val="21"/>
        </w:rPr>
        <w:t>transfer of assets or liabilities or the performance of services by, to, or for a related party irrespective of whether a charge is made. Examples of related party transactions </w:t>
      </w:r>
      <w:r>
        <w:rPr>
          <w:color w:val="0E0E0E"/>
          <w:spacing w:val="-2"/>
          <w:w w:val="105"/>
          <w:sz w:val="21"/>
        </w:rPr>
        <w:t>include:</w:t>
      </w:r>
    </w:p>
    <w:p>
      <w:pPr>
        <w:pStyle w:val="BodyText"/>
        <w:spacing w:before="15"/>
        <w:rPr>
          <w:sz w:val="21"/>
        </w:rPr>
      </w:pPr>
    </w:p>
    <w:p>
      <w:pPr>
        <w:pStyle w:val="ListParagraph"/>
        <w:numPr>
          <w:ilvl w:val="0"/>
          <w:numId w:val="37"/>
        </w:numPr>
        <w:tabs>
          <w:tab w:val="left" w:leader="none" w:pos="1323"/>
          <w:tab w:val="left" w:leader="none" w:pos="1325"/>
        </w:tabs>
        <w:spacing w:before="0" w:after="0" w:line="252" w:lineRule="auto"/>
        <w:ind w:left="1325" w:right="1862" w:hanging="707"/>
        <w:jc w:val="left"/>
        <w:rPr>
          <w:color w:val="0E0E0E"/>
          <w:sz w:val="21"/>
        </w:rPr>
      </w:pPr>
      <w:r>
        <w:rPr>
          <w:color w:val="0E0E0E"/>
          <w:w w:val="105"/>
          <w:sz w:val="21"/>
        </w:rPr>
        <w:t>The</w:t>
      </w:r>
      <w:r>
        <w:rPr>
          <w:color w:val="0E0E0E"/>
          <w:spacing w:val="-16"/>
          <w:w w:val="105"/>
          <w:sz w:val="21"/>
        </w:rPr>
        <w:t> </w:t>
      </w:r>
      <w:r>
        <w:rPr>
          <w:color w:val="0E0E0E"/>
          <w:w w:val="105"/>
          <w:sz w:val="21"/>
        </w:rPr>
        <w:t>purchase,</w:t>
      </w:r>
      <w:r>
        <w:rPr>
          <w:color w:val="0E0E0E"/>
          <w:spacing w:val="-6"/>
          <w:w w:val="105"/>
          <w:sz w:val="21"/>
        </w:rPr>
        <w:t> </w:t>
      </w:r>
      <w:r>
        <w:rPr>
          <w:color w:val="0E0E0E"/>
          <w:w w:val="105"/>
          <w:sz w:val="21"/>
        </w:rPr>
        <w:t>sale</w:t>
      </w:r>
      <w:r>
        <w:rPr>
          <w:color w:val="0E0E0E"/>
          <w:spacing w:val="-15"/>
          <w:w w:val="105"/>
          <w:sz w:val="21"/>
        </w:rPr>
        <w:t> </w:t>
      </w:r>
      <w:r>
        <w:rPr>
          <w:color w:val="0E0E0E"/>
          <w:w w:val="105"/>
          <w:sz w:val="21"/>
        </w:rPr>
        <w:t>lease,</w:t>
      </w:r>
      <w:r>
        <w:rPr>
          <w:color w:val="0E0E0E"/>
          <w:spacing w:val="-14"/>
          <w:w w:val="105"/>
          <w:sz w:val="21"/>
        </w:rPr>
        <w:t> </w:t>
      </w:r>
      <w:r>
        <w:rPr>
          <w:color w:val="0E0E0E"/>
          <w:w w:val="105"/>
          <w:sz w:val="21"/>
        </w:rPr>
        <w:t>rental or hire of assets.</w:t>
      </w:r>
    </w:p>
    <w:p>
      <w:pPr>
        <w:pStyle w:val="ListParagraph"/>
        <w:numPr>
          <w:ilvl w:val="0"/>
          <w:numId w:val="37"/>
        </w:numPr>
        <w:tabs>
          <w:tab w:val="left" w:leader="none" w:pos="1319"/>
          <w:tab w:val="left" w:leader="none" w:pos="1323"/>
        </w:tabs>
        <w:spacing w:before="3" w:after="0" w:line="252" w:lineRule="auto"/>
        <w:ind w:left="1319" w:right="1753" w:hanging="705"/>
        <w:jc w:val="left"/>
        <w:rPr>
          <w:color w:val="0E0E0E"/>
          <w:sz w:val="21"/>
        </w:rPr>
      </w:pPr>
      <w:r>
        <w:rPr>
          <w:color w:val="0E0E0E"/>
          <w:sz w:val="21"/>
        </w:rPr>
        <w:tab/>
      </w:r>
      <w:r>
        <w:rPr>
          <w:color w:val="0E0E0E"/>
          <w:w w:val="105"/>
          <w:sz w:val="21"/>
        </w:rPr>
        <w:t>The</w:t>
      </w:r>
      <w:r>
        <w:rPr>
          <w:color w:val="0E0E0E"/>
          <w:spacing w:val="-11"/>
          <w:w w:val="105"/>
          <w:sz w:val="21"/>
        </w:rPr>
        <w:t> </w:t>
      </w:r>
      <w:r>
        <w:rPr>
          <w:color w:val="0E0E0E"/>
          <w:w w:val="105"/>
          <w:sz w:val="21"/>
        </w:rPr>
        <w:t>provision</w:t>
      </w:r>
      <w:r>
        <w:rPr>
          <w:color w:val="0E0E0E"/>
          <w:spacing w:val="-3"/>
          <w:w w:val="105"/>
          <w:sz w:val="21"/>
        </w:rPr>
        <w:t> </w:t>
      </w:r>
      <w:r>
        <w:rPr>
          <w:color w:val="0E0E0E"/>
          <w:w w:val="105"/>
          <w:sz w:val="21"/>
        </w:rPr>
        <w:t>of</w:t>
      </w:r>
      <w:r>
        <w:rPr>
          <w:color w:val="0E0E0E"/>
          <w:spacing w:val="-6"/>
          <w:w w:val="105"/>
          <w:sz w:val="21"/>
        </w:rPr>
        <w:t> </w:t>
      </w:r>
      <w:r>
        <w:rPr>
          <w:color w:val="0E0E0E"/>
          <w:w w:val="105"/>
          <w:sz w:val="21"/>
        </w:rPr>
        <w:t>a</w:t>
      </w:r>
      <w:r>
        <w:rPr>
          <w:color w:val="0E0E0E"/>
          <w:spacing w:val="-13"/>
          <w:w w:val="105"/>
          <w:sz w:val="21"/>
        </w:rPr>
        <w:t> </w:t>
      </w:r>
      <w:r>
        <w:rPr>
          <w:color w:val="0E0E0E"/>
          <w:w w:val="105"/>
          <w:sz w:val="21"/>
        </w:rPr>
        <w:t>guarantee</w:t>
      </w:r>
      <w:r>
        <w:rPr>
          <w:color w:val="0E0E0E"/>
          <w:spacing w:val="-2"/>
          <w:w w:val="105"/>
          <w:sz w:val="21"/>
        </w:rPr>
        <w:t> </w:t>
      </w:r>
      <w:r>
        <w:rPr>
          <w:color w:val="0E0E0E"/>
          <w:w w:val="105"/>
          <w:sz w:val="21"/>
        </w:rPr>
        <w:t>to</w:t>
      </w:r>
      <w:r>
        <w:rPr>
          <w:color w:val="0E0E0E"/>
          <w:spacing w:val="-8"/>
          <w:w w:val="105"/>
          <w:sz w:val="21"/>
        </w:rPr>
        <w:t> </w:t>
      </w:r>
      <w:r>
        <w:rPr>
          <w:color w:val="0E0E0E"/>
          <w:w w:val="105"/>
          <w:sz w:val="21"/>
        </w:rPr>
        <w:t>a third party in relation to a liability or obligation of a related party.</w:t>
      </w:r>
    </w:p>
    <w:p>
      <w:pPr>
        <w:pStyle w:val="ListParagraph"/>
        <w:numPr>
          <w:ilvl w:val="0"/>
          <w:numId w:val="37"/>
        </w:numPr>
        <w:tabs>
          <w:tab w:val="left" w:leader="none" w:pos="1323"/>
        </w:tabs>
        <w:spacing w:before="3" w:after="0" w:line="252" w:lineRule="auto"/>
        <w:ind w:left="1323" w:right="2118" w:hanging="710"/>
        <w:jc w:val="left"/>
        <w:rPr>
          <w:color w:val="0E0E0E"/>
          <w:sz w:val="21"/>
        </w:rPr>
      </w:pPr>
      <w:r>
        <w:rPr>
          <w:color w:val="0E0E0E"/>
          <w:w w:val="105"/>
          <w:sz w:val="21"/>
        </w:rPr>
        <w:t>The</w:t>
      </w:r>
      <w:r>
        <w:rPr>
          <w:color w:val="0E0E0E"/>
          <w:spacing w:val="-12"/>
          <w:w w:val="105"/>
          <w:sz w:val="21"/>
        </w:rPr>
        <w:t> </w:t>
      </w:r>
      <w:r>
        <w:rPr>
          <w:color w:val="0E0E0E"/>
          <w:w w:val="105"/>
          <w:sz w:val="21"/>
        </w:rPr>
        <w:t>provision of</w:t>
      </w:r>
      <w:r>
        <w:rPr>
          <w:color w:val="0E0E0E"/>
          <w:spacing w:val="-11"/>
          <w:w w:val="105"/>
          <w:sz w:val="21"/>
        </w:rPr>
        <w:t> </w:t>
      </w:r>
      <w:r>
        <w:rPr>
          <w:color w:val="0E0E0E"/>
          <w:w w:val="105"/>
          <w:sz w:val="21"/>
        </w:rPr>
        <w:t>services</w:t>
      </w:r>
      <w:r>
        <w:rPr>
          <w:color w:val="0E0E0E"/>
          <w:spacing w:val="-5"/>
          <w:w w:val="105"/>
          <w:sz w:val="21"/>
        </w:rPr>
        <w:t> </w:t>
      </w:r>
      <w:r>
        <w:rPr>
          <w:color w:val="0E0E0E"/>
          <w:w w:val="105"/>
          <w:sz w:val="21"/>
        </w:rPr>
        <w:t>to</w:t>
      </w:r>
      <w:r>
        <w:rPr>
          <w:color w:val="0E0E0E"/>
          <w:spacing w:val="-13"/>
          <w:w w:val="105"/>
          <w:sz w:val="21"/>
        </w:rPr>
        <w:t> </w:t>
      </w:r>
      <w:r>
        <w:rPr>
          <w:color w:val="0E0E0E"/>
          <w:w w:val="105"/>
          <w:sz w:val="21"/>
        </w:rPr>
        <w:t>a related party.</w:t>
      </w:r>
    </w:p>
    <w:p>
      <w:pPr>
        <w:pStyle w:val="ListParagraph"/>
        <w:numPr>
          <w:ilvl w:val="0"/>
          <w:numId w:val="37"/>
        </w:numPr>
        <w:tabs>
          <w:tab w:val="left" w:leader="none" w:pos="1323"/>
        </w:tabs>
        <w:spacing w:before="7" w:after="0" w:line="252" w:lineRule="auto"/>
        <w:ind w:left="1323" w:right="1723" w:hanging="709"/>
        <w:jc w:val="left"/>
        <w:rPr>
          <w:color w:val="0E0E0E"/>
          <w:sz w:val="21"/>
        </w:rPr>
      </w:pPr>
      <w:r>
        <w:rPr>
          <w:color w:val="0E0E0E"/>
          <w:w w:val="105"/>
          <w:sz w:val="21"/>
        </w:rPr>
        <w:t>Transactions</w:t>
      </w:r>
      <w:r>
        <w:rPr>
          <w:color w:val="0E0E0E"/>
          <w:spacing w:val="-9"/>
          <w:w w:val="105"/>
          <w:sz w:val="21"/>
        </w:rPr>
        <w:t> </w:t>
      </w:r>
      <w:r>
        <w:rPr>
          <w:color w:val="0E0E0E"/>
          <w:w w:val="105"/>
          <w:sz w:val="21"/>
        </w:rPr>
        <w:t>with</w:t>
      </w:r>
      <w:r>
        <w:rPr>
          <w:color w:val="0E0E0E"/>
          <w:spacing w:val="-15"/>
          <w:w w:val="105"/>
          <w:sz w:val="21"/>
        </w:rPr>
        <w:t> </w:t>
      </w:r>
      <w:r>
        <w:rPr>
          <w:color w:val="0E0E0E"/>
          <w:w w:val="105"/>
          <w:sz w:val="21"/>
        </w:rPr>
        <w:t>individuals</w:t>
      </w:r>
      <w:r>
        <w:rPr>
          <w:color w:val="0E0E0E"/>
          <w:spacing w:val="-14"/>
          <w:w w:val="105"/>
          <w:sz w:val="21"/>
        </w:rPr>
        <w:t> </w:t>
      </w:r>
      <w:r>
        <w:rPr>
          <w:color w:val="0E0E0E"/>
          <w:w w:val="105"/>
          <w:sz w:val="21"/>
        </w:rPr>
        <w:t>who are</w:t>
      </w:r>
      <w:r>
        <w:rPr>
          <w:color w:val="0E0E0E"/>
          <w:spacing w:val="-10"/>
          <w:w w:val="105"/>
          <w:sz w:val="21"/>
        </w:rPr>
        <w:t> </w:t>
      </w:r>
      <w:r>
        <w:rPr>
          <w:color w:val="0E0E0E"/>
          <w:w w:val="105"/>
          <w:sz w:val="21"/>
        </w:rPr>
        <w:t>related parties of</w:t>
      </w:r>
      <w:r>
        <w:rPr>
          <w:color w:val="0E0E0E"/>
          <w:spacing w:val="-5"/>
          <w:w w:val="105"/>
          <w:sz w:val="21"/>
        </w:rPr>
        <w:t> </w:t>
      </w:r>
      <w:r>
        <w:rPr>
          <w:color w:val="0E0E0E"/>
          <w:w w:val="105"/>
          <w:sz w:val="21"/>
        </w:rPr>
        <w:t>the</w:t>
      </w:r>
      <w:r>
        <w:rPr>
          <w:color w:val="0E0E0E"/>
          <w:spacing w:val="-11"/>
          <w:w w:val="105"/>
          <w:sz w:val="21"/>
        </w:rPr>
        <w:t> </w:t>
      </w:r>
      <w:r>
        <w:rPr>
          <w:color w:val="0E0E0E"/>
          <w:w w:val="105"/>
          <w:sz w:val="21"/>
        </w:rPr>
        <w:t>Council, except those applicable to other members of</w:t>
      </w:r>
      <w:r>
        <w:rPr>
          <w:color w:val="0E0E0E"/>
          <w:spacing w:val="-4"/>
          <w:w w:val="105"/>
          <w:sz w:val="21"/>
        </w:rPr>
        <w:t> </w:t>
      </w:r>
      <w:r>
        <w:rPr>
          <w:color w:val="0E0E0E"/>
          <w:w w:val="105"/>
          <w:sz w:val="21"/>
        </w:rPr>
        <w:t>the community such as council tax, rents and payments of benefits</w:t>
      </w:r>
      <w:r>
        <w:rPr>
          <w:color w:val="3D3D3D"/>
          <w:w w:val="105"/>
          <w:sz w:val="21"/>
        </w:rPr>
        <w:t>.</w:t>
      </w:r>
    </w:p>
    <w:p>
      <w:pPr>
        <w:pStyle w:val="BodyText"/>
        <w:spacing w:before="10"/>
        <w:rPr>
          <w:sz w:val="21"/>
        </w:rPr>
      </w:pPr>
    </w:p>
    <w:p>
      <w:pPr>
        <w:spacing w:before="0" w:line="252" w:lineRule="auto"/>
        <w:ind w:left="241" w:right="1750" w:hanging="1"/>
        <w:jc w:val="left"/>
        <w:rPr>
          <w:sz w:val="21"/>
        </w:rPr>
      </w:pPr>
      <w:r>
        <w:rPr>
          <w:color w:val="0E0E0E"/>
          <w:w w:val="105"/>
          <w:sz w:val="21"/>
        </w:rPr>
        <w:t>The</w:t>
      </w:r>
      <w:r>
        <w:rPr>
          <w:color w:val="0E0E0E"/>
          <w:spacing w:val="-16"/>
          <w:w w:val="105"/>
          <w:sz w:val="21"/>
        </w:rPr>
        <w:t> </w:t>
      </w:r>
      <w:r>
        <w:rPr>
          <w:color w:val="0E0E0E"/>
          <w:w w:val="105"/>
          <w:sz w:val="21"/>
        </w:rPr>
        <w:t>materiality of</w:t>
      </w:r>
      <w:r>
        <w:rPr>
          <w:color w:val="0E0E0E"/>
          <w:spacing w:val="-9"/>
          <w:w w:val="105"/>
          <w:sz w:val="21"/>
        </w:rPr>
        <w:t> </w:t>
      </w:r>
      <w:r>
        <w:rPr>
          <w:color w:val="0E0E0E"/>
          <w:w w:val="105"/>
          <w:sz w:val="21"/>
        </w:rPr>
        <w:t>related</w:t>
      </w:r>
      <w:r>
        <w:rPr>
          <w:color w:val="0E0E0E"/>
          <w:spacing w:val="-13"/>
          <w:w w:val="105"/>
          <w:sz w:val="21"/>
        </w:rPr>
        <w:t> </w:t>
      </w:r>
      <w:r>
        <w:rPr>
          <w:color w:val="0E0E0E"/>
          <w:w w:val="105"/>
          <w:sz w:val="21"/>
        </w:rPr>
        <w:t>party</w:t>
      </w:r>
      <w:r>
        <w:rPr>
          <w:color w:val="0E0E0E"/>
          <w:spacing w:val="-7"/>
          <w:w w:val="105"/>
          <w:sz w:val="21"/>
        </w:rPr>
        <w:t> </w:t>
      </w:r>
      <w:r>
        <w:rPr>
          <w:color w:val="0E0E0E"/>
          <w:w w:val="105"/>
          <w:sz w:val="21"/>
        </w:rPr>
        <w:t>transactions is judged not only in terms of their significance to the Council, but also in relation to its related party.</w:t>
      </w:r>
    </w:p>
    <w:p>
      <w:pPr>
        <w:pStyle w:val="BodyText"/>
        <w:spacing w:before="8"/>
        <w:rPr>
          <w:sz w:val="21"/>
        </w:rPr>
      </w:pPr>
    </w:p>
    <w:p>
      <w:pPr>
        <w:spacing w:before="1" w:line="252" w:lineRule="auto"/>
        <w:ind w:left="241" w:right="1750" w:firstLine="4"/>
        <w:jc w:val="left"/>
        <w:rPr>
          <w:sz w:val="21"/>
        </w:rPr>
      </w:pPr>
      <w:r>
        <w:rPr>
          <w:color w:val="0E0E0E"/>
          <w:w w:val="105"/>
          <w:sz w:val="21"/>
        </w:rPr>
        <w:t>Subsidies payable</w:t>
      </w:r>
      <w:r>
        <w:rPr>
          <w:color w:val="0E0E0E"/>
          <w:spacing w:val="-4"/>
          <w:w w:val="105"/>
          <w:sz w:val="21"/>
        </w:rPr>
        <w:t> </w:t>
      </w:r>
      <w:r>
        <w:rPr>
          <w:color w:val="0E0E0E"/>
          <w:w w:val="105"/>
          <w:sz w:val="21"/>
        </w:rPr>
        <w:t>by</w:t>
      </w:r>
      <w:r>
        <w:rPr>
          <w:color w:val="0E0E0E"/>
          <w:spacing w:val="-4"/>
          <w:w w:val="105"/>
          <w:sz w:val="21"/>
        </w:rPr>
        <w:t> </w:t>
      </w:r>
      <w:r>
        <w:rPr>
          <w:color w:val="0E0E0E"/>
          <w:w w:val="105"/>
          <w:sz w:val="21"/>
        </w:rPr>
        <w:t>local</w:t>
      </w:r>
      <w:r>
        <w:rPr>
          <w:color w:val="0E0E0E"/>
          <w:spacing w:val="-3"/>
          <w:w w:val="105"/>
          <w:sz w:val="21"/>
        </w:rPr>
        <w:t> </w:t>
      </w:r>
      <w:r>
        <w:rPr>
          <w:color w:val="0E0E0E"/>
          <w:w w:val="105"/>
          <w:sz w:val="21"/>
        </w:rPr>
        <w:t>authorities to tenants</w:t>
      </w:r>
      <w:r>
        <w:rPr>
          <w:color w:val="0E0E0E"/>
          <w:spacing w:val="-6"/>
          <w:w w:val="105"/>
          <w:sz w:val="21"/>
        </w:rPr>
        <w:t> </w:t>
      </w:r>
      <w:r>
        <w:rPr>
          <w:color w:val="0E0E0E"/>
          <w:w w:val="105"/>
          <w:sz w:val="21"/>
        </w:rPr>
        <w:t>in</w:t>
      </w:r>
      <w:r>
        <w:rPr>
          <w:color w:val="0E0E0E"/>
          <w:spacing w:val="-13"/>
          <w:w w:val="105"/>
          <w:sz w:val="21"/>
        </w:rPr>
        <w:t> </w:t>
      </w:r>
      <w:r>
        <w:rPr>
          <w:color w:val="0E0E0E"/>
          <w:w w:val="105"/>
          <w:sz w:val="21"/>
        </w:rPr>
        <w:t>private</w:t>
      </w:r>
      <w:r>
        <w:rPr>
          <w:color w:val="0E0E0E"/>
          <w:spacing w:val="-10"/>
          <w:w w:val="105"/>
          <w:sz w:val="21"/>
        </w:rPr>
        <w:t> </w:t>
      </w:r>
      <w:r>
        <w:rPr>
          <w:color w:val="0E0E0E"/>
          <w:w w:val="105"/>
          <w:sz w:val="21"/>
        </w:rPr>
        <w:t>rented</w:t>
      </w:r>
      <w:r>
        <w:rPr>
          <w:color w:val="0E0E0E"/>
          <w:spacing w:val="-16"/>
          <w:w w:val="105"/>
          <w:sz w:val="21"/>
        </w:rPr>
        <w:t> </w:t>
      </w:r>
      <w:r>
        <w:rPr>
          <w:color w:val="0E0E0E"/>
          <w:w w:val="105"/>
          <w:sz w:val="21"/>
        </w:rPr>
        <w:t>accommodation (either furnished or unfurnished) whose incomes fall below prescribed amounts.</w:t>
      </w:r>
    </w:p>
    <w:p>
      <w:pPr>
        <w:pStyle w:val="BodyText"/>
        <w:spacing w:before="12"/>
        <w:rPr>
          <w:sz w:val="21"/>
        </w:rPr>
      </w:pPr>
    </w:p>
    <w:p>
      <w:pPr>
        <w:spacing w:before="1" w:line="249" w:lineRule="auto"/>
        <w:ind w:left="247" w:right="1624" w:hanging="1"/>
        <w:jc w:val="left"/>
        <w:rPr>
          <w:sz w:val="21"/>
        </w:rPr>
      </w:pPr>
      <w:r>
        <w:rPr>
          <w:color w:val="0E0E0E"/>
          <w:w w:val="105"/>
          <w:sz w:val="21"/>
        </w:rPr>
        <w:t>Subsidies payable</w:t>
      </w:r>
      <w:r>
        <w:rPr>
          <w:color w:val="0E0E0E"/>
          <w:spacing w:val="-3"/>
          <w:w w:val="105"/>
          <w:sz w:val="21"/>
        </w:rPr>
        <w:t> </w:t>
      </w:r>
      <w:r>
        <w:rPr>
          <w:color w:val="0E0E0E"/>
          <w:w w:val="105"/>
          <w:sz w:val="21"/>
        </w:rPr>
        <w:t>by</w:t>
      </w:r>
      <w:r>
        <w:rPr>
          <w:color w:val="0E0E0E"/>
          <w:spacing w:val="-6"/>
          <w:w w:val="105"/>
          <w:sz w:val="21"/>
        </w:rPr>
        <w:t> </w:t>
      </w:r>
      <w:r>
        <w:rPr>
          <w:color w:val="0E0E0E"/>
          <w:w w:val="105"/>
          <w:sz w:val="21"/>
        </w:rPr>
        <w:t>local</w:t>
      </w:r>
      <w:r>
        <w:rPr>
          <w:color w:val="0E0E0E"/>
          <w:spacing w:val="-9"/>
          <w:w w:val="105"/>
          <w:sz w:val="21"/>
        </w:rPr>
        <w:t> </w:t>
      </w:r>
      <w:r>
        <w:rPr>
          <w:color w:val="0E0E0E"/>
          <w:w w:val="105"/>
          <w:sz w:val="21"/>
        </w:rPr>
        <w:t>authorities to</w:t>
      </w:r>
      <w:r>
        <w:rPr>
          <w:color w:val="0E0E0E"/>
          <w:spacing w:val="-16"/>
          <w:w w:val="105"/>
          <w:sz w:val="21"/>
        </w:rPr>
        <w:t> </w:t>
      </w:r>
      <w:r>
        <w:rPr>
          <w:color w:val="0E0E0E"/>
          <w:w w:val="105"/>
          <w:sz w:val="21"/>
        </w:rPr>
        <w:t>their own housing tenants whose incomes fall below prescribed amounts.</w:t>
      </w:r>
    </w:p>
    <w:p>
      <w:pPr>
        <w:pStyle w:val="BodyText"/>
        <w:spacing w:before="14"/>
        <w:rPr>
          <w:sz w:val="21"/>
        </w:rPr>
      </w:pPr>
    </w:p>
    <w:p>
      <w:pPr>
        <w:spacing w:before="0" w:line="252" w:lineRule="auto"/>
        <w:ind w:left="247" w:right="1750" w:hanging="1"/>
        <w:jc w:val="left"/>
        <w:rPr>
          <w:sz w:val="21"/>
        </w:rPr>
      </w:pPr>
      <w:r>
        <w:rPr>
          <w:color w:val="0E0E0E"/>
          <w:w w:val="105"/>
          <w:sz w:val="21"/>
        </w:rPr>
        <w:t>The balances in the Balance Sheet that show variously the revenue and capital resources</w:t>
      </w:r>
      <w:r>
        <w:rPr>
          <w:color w:val="0E0E0E"/>
          <w:spacing w:val="-3"/>
          <w:w w:val="105"/>
          <w:sz w:val="21"/>
        </w:rPr>
        <w:t> </w:t>
      </w:r>
      <w:r>
        <w:rPr>
          <w:color w:val="0E0E0E"/>
          <w:w w:val="105"/>
          <w:sz w:val="21"/>
        </w:rPr>
        <w:t>available</w:t>
      </w:r>
      <w:r>
        <w:rPr>
          <w:color w:val="0E0E0E"/>
          <w:spacing w:val="-9"/>
          <w:w w:val="105"/>
          <w:sz w:val="21"/>
        </w:rPr>
        <w:t> </w:t>
      </w:r>
      <w:r>
        <w:rPr>
          <w:color w:val="0E0E0E"/>
          <w:w w:val="105"/>
          <w:sz w:val="21"/>
        </w:rPr>
        <w:t>to</w:t>
      </w:r>
      <w:r>
        <w:rPr>
          <w:color w:val="0E0E0E"/>
          <w:spacing w:val="-3"/>
          <w:w w:val="105"/>
          <w:sz w:val="21"/>
        </w:rPr>
        <w:t> </w:t>
      </w:r>
      <w:r>
        <w:rPr>
          <w:color w:val="0E0E0E"/>
          <w:w w:val="105"/>
          <w:sz w:val="21"/>
        </w:rPr>
        <w:t>support</w:t>
      </w:r>
      <w:r>
        <w:rPr>
          <w:color w:val="0E0E0E"/>
          <w:spacing w:val="-5"/>
          <w:w w:val="105"/>
          <w:sz w:val="21"/>
        </w:rPr>
        <w:t> </w:t>
      </w:r>
      <w:r>
        <w:rPr>
          <w:color w:val="0E0E0E"/>
          <w:w w:val="105"/>
          <w:sz w:val="21"/>
        </w:rPr>
        <w:t>the</w:t>
      </w:r>
      <w:r>
        <w:rPr>
          <w:color w:val="0E0E0E"/>
          <w:spacing w:val="-13"/>
          <w:w w:val="105"/>
          <w:sz w:val="21"/>
        </w:rPr>
        <w:t> </w:t>
      </w:r>
      <w:r>
        <w:rPr>
          <w:color w:val="0E0E0E"/>
          <w:w w:val="105"/>
          <w:sz w:val="21"/>
        </w:rPr>
        <w:t>provision of services by the Council, the cumulative</w:t>
      </w:r>
    </w:p>
    <w:p>
      <w:pPr>
        <w:spacing w:before="0" w:line="252" w:lineRule="auto"/>
        <w:ind w:left="247" w:right="1624" w:firstLine="1"/>
        <w:jc w:val="left"/>
        <w:rPr>
          <w:sz w:val="21"/>
        </w:rPr>
      </w:pPr>
      <w:r>
        <w:rPr>
          <w:color w:val="0E0E0E"/>
          <w:w w:val="105"/>
          <w:sz w:val="21"/>
        </w:rPr>
        <w:t>effect</w:t>
      </w:r>
      <w:r>
        <w:rPr>
          <w:color w:val="0E0E0E"/>
          <w:spacing w:val="-4"/>
          <w:w w:val="105"/>
          <w:sz w:val="21"/>
        </w:rPr>
        <w:t> </w:t>
      </w:r>
      <w:r>
        <w:rPr>
          <w:color w:val="0E0E0E"/>
          <w:w w:val="105"/>
          <w:sz w:val="21"/>
        </w:rPr>
        <w:t>of</w:t>
      </w:r>
      <w:r>
        <w:rPr>
          <w:color w:val="0E0E0E"/>
          <w:spacing w:val="-12"/>
          <w:w w:val="105"/>
          <w:sz w:val="21"/>
        </w:rPr>
        <w:t> </w:t>
      </w:r>
      <w:r>
        <w:rPr>
          <w:color w:val="0E0E0E"/>
          <w:w w:val="105"/>
          <w:sz w:val="21"/>
        </w:rPr>
        <w:t>statutory adjustments to</w:t>
      </w:r>
      <w:r>
        <w:rPr>
          <w:color w:val="0E0E0E"/>
          <w:spacing w:val="-11"/>
          <w:w w:val="105"/>
          <w:sz w:val="21"/>
        </w:rPr>
        <w:t> </w:t>
      </w:r>
      <w:r>
        <w:rPr>
          <w:color w:val="0E0E0E"/>
          <w:w w:val="105"/>
          <w:sz w:val="21"/>
        </w:rPr>
        <w:t>manage</w:t>
      </w:r>
      <w:r>
        <w:rPr>
          <w:color w:val="0E0E0E"/>
          <w:spacing w:val="-1"/>
          <w:w w:val="105"/>
          <w:sz w:val="21"/>
        </w:rPr>
        <w:t> </w:t>
      </w:r>
      <w:r>
        <w:rPr>
          <w:color w:val="0E0E0E"/>
          <w:w w:val="105"/>
          <w:sz w:val="21"/>
        </w:rPr>
        <w:t>the availability of those resources for particular financial years, and balances of revaluation gains and losses on assets that have yet to be realised.</w:t>
      </w:r>
    </w:p>
    <w:p>
      <w:pPr>
        <w:spacing w:after="0" w:line="252" w:lineRule="auto"/>
        <w:jc w:val="left"/>
        <w:rPr>
          <w:sz w:val="21"/>
        </w:rPr>
        <w:sectPr>
          <w:headerReference w:type="default" r:id="rId341"/>
          <w:footerReference w:type="default" r:id="rId342"/>
          <w:footerReference w:type="even" r:id="rId343"/>
          <w:pgSz w:w="11910" w:h="16830"/>
          <w:pgMar w:top="1380" w:right="540" w:bottom="1360" w:left="440" w:header="739" w:footer="1164"/>
          <w:pgNumType w:start="157"/>
          <w:cols w:equalWidth="0" w:num="2">
            <w:col w:w="2978" w:space="1639"/>
            <w:col w:w="6313"/>
          </w:cols>
        </w:sectPr>
      </w:pPr>
    </w:p>
    <w:p>
      <w:pPr>
        <w:spacing w:before="78"/>
        <w:ind w:left="1091" w:right="0" w:firstLine="0"/>
        <w:jc w:val="left"/>
        <w:rPr>
          <w:sz w:val="14"/>
        </w:rPr>
      </w:pPr>
      <w:r>
        <w:rPr>
          <w:color w:val="AAAAAA"/>
          <w:spacing w:val="-2"/>
          <w:w w:val="110"/>
          <w:sz w:val="14"/>
        </w:rPr>
        <w:t>GLOSSARY</w:t>
      </w:r>
    </w:p>
    <w:p>
      <w:pPr>
        <w:pStyle w:val="BodyText"/>
        <w:spacing w:before="170"/>
        <w:rPr>
          <w:sz w:val="20"/>
        </w:rPr>
      </w:pPr>
    </w:p>
    <w:p>
      <w:pPr>
        <w:spacing w:after="0"/>
        <w:rPr>
          <w:sz w:val="20"/>
        </w:rPr>
        <w:sectPr>
          <w:headerReference w:type="even" r:id="rId344"/>
          <w:pgSz w:w="11910" w:h="16830"/>
          <w:pgMar w:top="820" w:right="540" w:bottom="1200" w:left="440" w:header="0" w:footer="0"/>
        </w:sectPr>
      </w:pPr>
    </w:p>
    <w:p>
      <w:pPr>
        <w:spacing w:before="99" w:line="247" w:lineRule="auto"/>
        <w:ind w:left="443" w:right="0" w:firstLine="1933"/>
        <w:jc w:val="left"/>
        <w:rPr>
          <w:b/>
          <w:sz w:val="21"/>
        </w:rPr>
      </w:pPr>
      <w:r>
        <w:rPr>
          <w:b/>
          <w:color w:val="0A0A0A"/>
          <w:spacing w:val="-4"/>
          <w:w w:val="105"/>
          <w:sz w:val="21"/>
        </w:rPr>
        <w:t>Term</w:t>
      </w:r>
      <w:r>
        <w:rPr>
          <w:b/>
          <w:color w:val="0A0A0A"/>
          <w:spacing w:val="-4"/>
          <w:w w:val="105"/>
          <w:sz w:val="21"/>
        </w:rPr>
        <w:t> </w:t>
      </w:r>
      <w:r>
        <w:rPr>
          <w:b/>
          <w:color w:val="0A0A0A"/>
          <w:w w:val="105"/>
          <w:sz w:val="21"/>
        </w:rPr>
        <w:t>Retirement Benefits</w:t>
      </w:r>
    </w:p>
    <w:p>
      <w:pPr>
        <w:pStyle w:val="BodyText"/>
        <w:rPr>
          <w:b/>
          <w:sz w:val="21"/>
        </w:rPr>
      </w:pPr>
    </w:p>
    <w:p>
      <w:pPr>
        <w:pStyle w:val="BodyText"/>
        <w:rPr>
          <w:b/>
          <w:sz w:val="21"/>
        </w:rPr>
      </w:pPr>
    </w:p>
    <w:p>
      <w:pPr>
        <w:pStyle w:val="BodyText"/>
        <w:rPr>
          <w:b/>
          <w:sz w:val="21"/>
        </w:rPr>
      </w:pPr>
    </w:p>
    <w:p>
      <w:pPr>
        <w:pStyle w:val="BodyText"/>
        <w:spacing w:before="50"/>
        <w:rPr>
          <w:b/>
          <w:sz w:val="21"/>
        </w:rPr>
      </w:pPr>
    </w:p>
    <w:p>
      <w:pPr>
        <w:spacing w:before="0"/>
        <w:ind w:left="434" w:right="0" w:firstLine="0"/>
        <w:jc w:val="left"/>
        <w:rPr>
          <w:b/>
          <w:sz w:val="21"/>
        </w:rPr>
      </w:pPr>
      <w:r>
        <w:rPr>
          <w:b/>
          <w:color w:val="0A0A0A"/>
          <w:w w:val="105"/>
          <w:sz w:val="21"/>
        </w:rPr>
        <w:t>Revenue</w:t>
      </w:r>
      <w:r>
        <w:rPr>
          <w:b/>
          <w:color w:val="0A0A0A"/>
          <w:spacing w:val="-3"/>
          <w:w w:val="105"/>
          <w:sz w:val="21"/>
        </w:rPr>
        <w:t> </w:t>
      </w:r>
      <w:r>
        <w:rPr>
          <w:b/>
          <w:color w:val="0A0A0A"/>
          <w:spacing w:val="-2"/>
          <w:w w:val="105"/>
          <w:sz w:val="21"/>
        </w:rPr>
        <w:t>Expenditure</w:t>
      </w:r>
    </w:p>
    <w:p>
      <w:pPr>
        <w:pStyle w:val="BodyText"/>
        <w:rPr>
          <w:b/>
          <w:sz w:val="21"/>
        </w:rPr>
      </w:pPr>
    </w:p>
    <w:p>
      <w:pPr>
        <w:pStyle w:val="BodyText"/>
        <w:rPr>
          <w:b/>
          <w:sz w:val="21"/>
        </w:rPr>
      </w:pPr>
    </w:p>
    <w:p>
      <w:pPr>
        <w:pStyle w:val="BodyText"/>
        <w:rPr>
          <w:b/>
          <w:sz w:val="21"/>
        </w:rPr>
      </w:pPr>
    </w:p>
    <w:p>
      <w:pPr>
        <w:pStyle w:val="BodyText"/>
        <w:spacing w:before="61"/>
        <w:rPr>
          <w:b/>
          <w:sz w:val="21"/>
        </w:rPr>
      </w:pPr>
    </w:p>
    <w:p>
      <w:pPr>
        <w:spacing w:before="0"/>
        <w:ind w:left="414" w:right="0" w:firstLine="0"/>
        <w:jc w:val="left"/>
        <w:rPr>
          <w:b/>
          <w:sz w:val="21"/>
        </w:rPr>
      </w:pPr>
      <w:r>
        <w:rPr>
          <w:b/>
          <w:color w:val="0A0A0A"/>
          <w:w w:val="105"/>
          <w:sz w:val="21"/>
        </w:rPr>
        <w:t>Right</w:t>
      </w:r>
      <w:r>
        <w:rPr>
          <w:b/>
          <w:color w:val="0A0A0A"/>
          <w:spacing w:val="7"/>
          <w:w w:val="105"/>
          <w:sz w:val="21"/>
        </w:rPr>
        <w:t> </w:t>
      </w:r>
      <w:r>
        <w:rPr>
          <w:b/>
          <w:color w:val="0A0A0A"/>
          <w:w w:val="105"/>
          <w:sz w:val="21"/>
        </w:rPr>
        <w:t>To</w:t>
      </w:r>
      <w:r>
        <w:rPr>
          <w:b/>
          <w:color w:val="0A0A0A"/>
          <w:spacing w:val="1"/>
          <w:w w:val="105"/>
          <w:sz w:val="21"/>
        </w:rPr>
        <w:t> </w:t>
      </w:r>
      <w:r>
        <w:rPr>
          <w:b/>
          <w:color w:val="0A0A0A"/>
          <w:spacing w:val="-5"/>
          <w:w w:val="105"/>
          <w:sz w:val="21"/>
        </w:rPr>
        <w:t>Buy</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39"/>
        <w:rPr>
          <w:b/>
          <w:sz w:val="21"/>
        </w:rPr>
      </w:pPr>
    </w:p>
    <w:p>
      <w:pPr>
        <w:spacing w:before="1"/>
        <w:ind w:left="379" w:right="0" w:firstLine="0"/>
        <w:jc w:val="left"/>
        <w:rPr>
          <w:b/>
          <w:sz w:val="21"/>
        </w:rPr>
      </w:pPr>
      <w:r>
        <w:rPr>
          <w:b/>
          <w:color w:val="0A0A0A"/>
          <w:w w:val="105"/>
          <w:sz w:val="21"/>
        </w:rPr>
        <w:t>Safety Net</w:t>
      </w:r>
      <w:r>
        <w:rPr>
          <w:b/>
          <w:color w:val="0A0A0A"/>
          <w:spacing w:val="-3"/>
          <w:w w:val="105"/>
          <w:sz w:val="21"/>
        </w:rPr>
        <w:t> </w:t>
      </w:r>
      <w:r>
        <w:rPr>
          <w:b/>
          <w:color w:val="0A0A0A"/>
          <w:w w:val="105"/>
          <w:sz w:val="21"/>
        </w:rPr>
        <w:t>(see</w:t>
      </w:r>
      <w:r>
        <w:rPr>
          <w:b/>
          <w:color w:val="0A0A0A"/>
          <w:spacing w:val="-2"/>
          <w:w w:val="105"/>
          <w:sz w:val="21"/>
        </w:rPr>
        <w:t> </w:t>
      </w:r>
      <w:r>
        <w:rPr>
          <w:b/>
          <w:color w:val="0A0A0A"/>
          <w:w w:val="105"/>
          <w:sz w:val="21"/>
        </w:rPr>
        <w:t>also</w:t>
      </w:r>
      <w:r>
        <w:rPr>
          <w:b/>
          <w:color w:val="0A0A0A"/>
          <w:spacing w:val="1"/>
          <w:w w:val="105"/>
          <w:sz w:val="21"/>
        </w:rPr>
        <w:t> </w:t>
      </w:r>
      <w:r>
        <w:rPr>
          <w:b/>
          <w:color w:val="0A0A0A"/>
          <w:spacing w:val="-2"/>
          <w:w w:val="105"/>
          <w:sz w:val="21"/>
        </w:rPr>
        <w:t>"Levy")</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09"/>
        <w:rPr>
          <w:b/>
          <w:sz w:val="21"/>
        </w:rPr>
      </w:pPr>
    </w:p>
    <w:p>
      <w:pPr>
        <w:spacing w:before="0"/>
        <w:ind w:left="350" w:right="0" w:firstLine="0"/>
        <w:jc w:val="left"/>
        <w:rPr>
          <w:b/>
          <w:sz w:val="21"/>
        </w:rPr>
      </w:pPr>
      <w:r>
        <w:rPr>
          <w:b/>
          <w:color w:val="0A0A0A"/>
          <w:w w:val="105"/>
          <w:sz w:val="21"/>
        </w:rPr>
        <w:t>Scheme</w:t>
      </w:r>
      <w:r>
        <w:rPr>
          <w:b/>
          <w:color w:val="0A0A0A"/>
          <w:spacing w:val="10"/>
          <w:w w:val="105"/>
          <w:sz w:val="21"/>
        </w:rPr>
        <w:t> </w:t>
      </w:r>
      <w:r>
        <w:rPr>
          <w:b/>
          <w:color w:val="0A0A0A"/>
          <w:spacing w:val="-2"/>
          <w:w w:val="105"/>
          <w:sz w:val="21"/>
        </w:rPr>
        <w:t>Liabilities</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87"/>
        <w:rPr>
          <w:b/>
          <w:sz w:val="21"/>
        </w:rPr>
      </w:pPr>
    </w:p>
    <w:p>
      <w:pPr>
        <w:spacing w:before="0"/>
        <w:ind w:left="331" w:right="0" w:firstLine="0"/>
        <w:jc w:val="left"/>
        <w:rPr>
          <w:b/>
          <w:sz w:val="21"/>
        </w:rPr>
      </w:pPr>
      <w:r>
        <w:rPr>
          <w:b/>
          <w:color w:val="0A0A0A"/>
          <w:spacing w:val="-2"/>
          <w:w w:val="105"/>
          <w:sz w:val="21"/>
        </w:rPr>
        <w:t>Settlement</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70"/>
        <w:rPr>
          <w:b/>
          <w:sz w:val="21"/>
        </w:rPr>
      </w:pPr>
    </w:p>
    <w:p>
      <w:pPr>
        <w:spacing w:before="0"/>
        <w:ind w:left="317" w:right="0" w:firstLine="0"/>
        <w:jc w:val="left"/>
        <w:rPr>
          <w:b/>
          <w:sz w:val="21"/>
        </w:rPr>
      </w:pPr>
      <w:r>
        <w:rPr>
          <w:b/>
          <w:color w:val="0A0A0A"/>
          <w:w w:val="105"/>
          <w:sz w:val="21"/>
        </w:rPr>
        <w:t>Standard Spending</w:t>
      </w:r>
      <w:r>
        <w:rPr>
          <w:b/>
          <w:color w:val="0A0A0A"/>
          <w:spacing w:val="5"/>
          <w:w w:val="105"/>
          <w:sz w:val="21"/>
        </w:rPr>
        <w:t> </w:t>
      </w:r>
      <w:r>
        <w:rPr>
          <w:b/>
          <w:color w:val="0A0A0A"/>
          <w:spacing w:val="-2"/>
          <w:w w:val="105"/>
          <w:sz w:val="21"/>
        </w:rPr>
        <w:t>Assessment</w:t>
      </w:r>
    </w:p>
    <w:p>
      <w:pPr>
        <w:spacing w:before="94"/>
        <w:ind w:left="2118" w:right="0" w:firstLine="0"/>
        <w:jc w:val="left"/>
        <w:rPr>
          <w:b/>
          <w:sz w:val="21"/>
        </w:rPr>
      </w:pPr>
      <w:r>
        <w:rPr/>
        <w:br w:type="column"/>
      </w:r>
      <w:r>
        <w:rPr>
          <w:b/>
          <w:color w:val="0A0A0A"/>
          <w:spacing w:val="-2"/>
          <w:w w:val="105"/>
          <w:sz w:val="21"/>
        </w:rPr>
        <w:t>Definition</w:t>
      </w:r>
    </w:p>
    <w:p>
      <w:pPr>
        <w:spacing w:before="13" w:line="252" w:lineRule="auto"/>
        <w:ind w:left="413" w:right="1500" w:firstLine="9"/>
        <w:jc w:val="left"/>
        <w:rPr>
          <w:sz w:val="21"/>
        </w:rPr>
      </w:pPr>
      <w:r>
        <w:rPr>
          <w:color w:val="0A0A0A"/>
          <w:w w:val="105"/>
          <w:sz w:val="21"/>
        </w:rPr>
        <w:t>The benefits that employees earn during their</w:t>
      </w:r>
      <w:r>
        <w:rPr>
          <w:color w:val="0A0A0A"/>
          <w:spacing w:val="-6"/>
          <w:w w:val="105"/>
          <w:sz w:val="21"/>
        </w:rPr>
        <w:t> </w:t>
      </w:r>
      <w:r>
        <w:rPr>
          <w:color w:val="0A0A0A"/>
          <w:w w:val="105"/>
          <w:sz w:val="21"/>
        </w:rPr>
        <w:t>period</w:t>
      </w:r>
      <w:r>
        <w:rPr>
          <w:color w:val="0A0A0A"/>
          <w:spacing w:val="-5"/>
          <w:w w:val="105"/>
          <w:sz w:val="21"/>
        </w:rPr>
        <w:t> </w:t>
      </w:r>
      <w:r>
        <w:rPr>
          <w:color w:val="0A0A0A"/>
          <w:w w:val="105"/>
          <w:sz w:val="21"/>
        </w:rPr>
        <w:t>of</w:t>
      </w:r>
      <w:r>
        <w:rPr>
          <w:color w:val="0A0A0A"/>
          <w:spacing w:val="-10"/>
          <w:w w:val="105"/>
          <w:sz w:val="21"/>
        </w:rPr>
        <w:t> </w:t>
      </w:r>
      <w:r>
        <w:rPr>
          <w:color w:val="0A0A0A"/>
          <w:w w:val="105"/>
          <w:sz w:val="21"/>
        </w:rPr>
        <w:t>employment but</w:t>
      </w:r>
      <w:r>
        <w:rPr>
          <w:color w:val="0A0A0A"/>
          <w:spacing w:val="-10"/>
          <w:w w:val="105"/>
          <w:sz w:val="21"/>
        </w:rPr>
        <w:t> </w:t>
      </w:r>
      <w:r>
        <w:rPr>
          <w:color w:val="0A0A0A"/>
          <w:w w:val="105"/>
          <w:sz w:val="21"/>
        </w:rPr>
        <w:t>which</w:t>
      </w:r>
      <w:r>
        <w:rPr>
          <w:color w:val="0A0A0A"/>
          <w:spacing w:val="-3"/>
          <w:w w:val="105"/>
          <w:sz w:val="21"/>
        </w:rPr>
        <w:t> </w:t>
      </w:r>
      <w:r>
        <w:rPr>
          <w:color w:val="0A0A0A"/>
          <w:w w:val="105"/>
          <w:sz w:val="21"/>
        </w:rPr>
        <w:t>are</w:t>
      </w:r>
      <w:r>
        <w:rPr>
          <w:color w:val="0A0A0A"/>
          <w:spacing w:val="-12"/>
          <w:w w:val="105"/>
          <w:sz w:val="21"/>
        </w:rPr>
        <w:t> </w:t>
      </w:r>
      <w:r>
        <w:rPr>
          <w:color w:val="0A0A0A"/>
          <w:w w:val="105"/>
          <w:sz w:val="21"/>
        </w:rPr>
        <w:t>not paid to them until after they retire (predominately</w:t>
      </w:r>
      <w:r>
        <w:rPr>
          <w:color w:val="0A0A0A"/>
          <w:spacing w:val="-7"/>
          <w:w w:val="105"/>
          <w:sz w:val="21"/>
        </w:rPr>
        <w:t> </w:t>
      </w:r>
      <w:r>
        <w:rPr>
          <w:color w:val="0A0A0A"/>
          <w:w w:val="105"/>
          <w:sz w:val="21"/>
        </w:rPr>
        <w:t>pensions).</w:t>
      </w:r>
    </w:p>
    <w:p>
      <w:pPr>
        <w:pStyle w:val="BodyText"/>
        <w:spacing w:before="3"/>
        <w:rPr>
          <w:sz w:val="21"/>
        </w:rPr>
      </w:pPr>
    </w:p>
    <w:p>
      <w:pPr>
        <w:spacing w:before="0" w:line="252" w:lineRule="auto"/>
        <w:ind w:left="408" w:right="1469" w:firstLine="2"/>
        <w:jc w:val="left"/>
        <w:rPr>
          <w:sz w:val="21"/>
        </w:rPr>
      </w:pPr>
      <w:r>
        <w:rPr>
          <w:color w:val="1D1D1D"/>
          <w:w w:val="105"/>
          <w:sz w:val="21"/>
        </w:rPr>
        <w:t>Expenditure on the day-to-day costs of providing</w:t>
      </w:r>
      <w:r>
        <w:rPr>
          <w:color w:val="1D1D1D"/>
          <w:spacing w:val="-4"/>
          <w:w w:val="105"/>
          <w:sz w:val="21"/>
        </w:rPr>
        <w:t> </w:t>
      </w:r>
      <w:r>
        <w:rPr>
          <w:color w:val="1D1D1D"/>
          <w:w w:val="105"/>
          <w:sz w:val="21"/>
        </w:rPr>
        <w:t>services</w:t>
      </w:r>
      <w:r>
        <w:rPr>
          <w:color w:val="525252"/>
          <w:w w:val="105"/>
          <w:sz w:val="21"/>
        </w:rPr>
        <w:t>.</w:t>
      </w:r>
      <w:r>
        <w:rPr>
          <w:color w:val="525252"/>
          <w:spacing w:val="-16"/>
          <w:w w:val="105"/>
          <w:sz w:val="21"/>
        </w:rPr>
        <w:t> </w:t>
      </w:r>
      <w:r>
        <w:rPr>
          <w:color w:val="1D1D1D"/>
          <w:w w:val="105"/>
          <w:sz w:val="21"/>
        </w:rPr>
        <w:t>Defined</w:t>
      </w:r>
      <w:r>
        <w:rPr>
          <w:color w:val="1D1D1D"/>
          <w:spacing w:val="-9"/>
          <w:w w:val="105"/>
          <w:sz w:val="21"/>
        </w:rPr>
        <w:t> </w:t>
      </w:r>
      <w:r>
        <w:rPr>
          <w:color w:val="1D1D1D"/>
          <w:w w:val="105"/>
          <w:sz w:val="21"/>
        </w:rPr>
        <w:t>technically as</w:t>
      </w:r>
      <w:r>
        <w:rPr>
          <w:color w:val="1D1D1D"/>
          <w:spacing w:val="-10"/>
          <w:w w:val="105"/>
          <w:sz w:val="21"/>
        </w:rPr>
        <w:t> </w:t>
      </w:r>
      <w:r>
        <w:rPr>
          <w:color w:val="1D1D1D"/>
          <w:w w:val="105"/>
          <w:sz w:val="21"/>
        </w:rPr>
        <w:t>the expenditure of the Council that does not</w:t>
      </w:r>
      <w:r>
        <w:rPr>
          <w:color w:val="1D1D1D"/>
          <w:spacing w:val="40"/>
          <w:w w:val="105"/>
          <w:sz w:val="21"/>
        </w:rPr>
        <w:t> </w:t>
      </w:r>
      <w:r>
        <w:rPr>
          <w:color w:val="1D1D1D"/>
          <w:w w:val="105"/>
          <w:sz w:val="21"/>
        </w:rPr>
        <w:t>meet the definition of capital expenditure.</w:t>
      </w:r>
    </w:p>
    <w:p>
      <w:pPr>
        <w:pStyle w:val="BodyText"/>
        <w:spacing w:before="13"/>
        <w:rPr>
          <w:sz w:val="21"/>
        </w:rPr>
      </w:pPr>
    </w:p>
    <w:p>
      <w:pPr>
        <w:spacing w:before="0" w:line="254" w:lineRule="auto"/>
        <w:ind w:left="393" w:right="1500" w:firstLine="4"/>
        <w:jc w:val="left"/>
        <w:rPr>
          <w:sz w:val="21"/>
        </w:rPr>
      </w:pPr>
      <w:r>
        <w:rPr>
          <w:color w:val="0A0A0A"/>
          <w:w w:val="105"/>
          <w:sz w:val="21"/>
        </w:rPr>
        <w:t>The right acquired by tenants of Council dwellings to</w:t>
      </w:r>
      <w:r>
        <w:rPr>
          <w:color w:val="0A0A0A"/>
          <w:spacing w:val="-10"/>
          <w:w w:val="105"/>
          <w:sz w:val="21"/>
        </w:rPr>
        <w:t> </w:t>
      </w:r>
      <w:r>
        <w:rPr>
          <w:color w:val="0A0A0A"/>
          <w:w w:val="105"/>
          <w:sz w:val="21"/>
        </w:rPr>
        <w:t>buy</w:t>
      </w:r>
      <w:r>
        <w:rPr>
          <w:color w:val="0A0A0A"/>
          <w:spacing w:val="-7"/>
          <w:w w:val="105"/>
          <w:sz w:val="21"/>
        </w:rPr>
        <w:t> </w:t>
      </w:r>
      <w:r>
        <w:rPr>
          <w:color w:val="0A0A0A"/>
          <w:w w:val="105"/>
          <w:sz w:val="21"/>
        </w:rPr>
        <w:t>their</w:t>
      </w:r>
      <w:r>
        <w:rPr>
          <w:color w:val="0A0A0A"/>
          <w:spacing w:val="-1"/>
          <w:w w:val="105"/>
          <w:sz w:val="21"/>
        </w:rPr>
        <w:t> </w:t>
      </w:r>
      <w:r>
        <w:rPr>
          <w:color w:val="0A0A0A"/>
          <w:w w:val="105"/>
          <w:sz w:val="21"/>
        </w:rPr>
        <w:t>homes at</w:t>
      </w:r>
      <w:r>
        <w:rPr>
          <w:color w:val="0A0A0A"/>
          <w:spacing w:val="-7"/>
          <w:w w:val="105"/>
          <w:sz w:val="21"/>
        </w:rPr>
        <w:t> </w:t>
      </w:r>
      <w:r>
        <w:rPr>
          <w:color w:val="0A0A0A"/>
          <w:w w:val="105"/>
          <w:sz w:val="21"/>
        </w:rPr>
        <w:t>a</w:t>
      </w:r>
      <w:r>
        <w:rPr>
          <w:color w:val="0A0A0A"/>
          <w:spacing w:val="-16"/>
          <w:w w:val="105"/>
          <w:sz w:val="21"/>
        </w:rPr>
        <w:t> </w:t>
      </w:r>
      <w:r>
        <w:rPr>
          <w:color w:val="0A0A0A"/>
          <w:w w:val="105"/>
          <w:sz w:val="21"/>
        </w:rPr>
        <w:t>discounted </w:t>
      </w:r>
      <w:r>
        <w:rPr>
          <w:color w:val="0A0A0A"/>
          <w:spacing w:val="-2"/>
          <w:w w:val="105"/>
          <w:sz w:val="21"/>
        </w:rPr>
        <w:t>price.</w:t>
      </w:r>
    </w:p>
    <w:p>
      <w:pPr>
        <w:pStyle w:val="BodyText"/>
        <w:spacing w:before="9"/>
        <w:rPr>
          <w:sz w:val="21"/>
        </w:rPr>
      </w:pPr>
    </w:p>
    <w:p>
      <w:pPr>
        <w:spacing w:before="1" w:line="252" w:lineRule="auto"/>
        <w:ind w:left="374" w:right="1593" w:firstLine="13"/>
        <w:jc w:val="left"/>
        <w:rPr>
          <w:sz w:val="21"/>
        </w:rPr>
      </w:pPr>
      <w:r>
        <w:rPr>
          <w:color w:val="0A0A0A"/>
          <w:w w:val="105"/>
          <w:sz w:val="21"/>
        </w:rPr>
        <w:t>The</w:t>
      </w:r>
      <w:r>
        <w:rPr>
          <w:color w:val="0A0A0A"/>
          <w:spacing w:val="-7"/>
          <w:w w:val="105"/>
          <w:sz w:val="21"/>
        </w:rPr>
        <w:t> </w:t>
      </w:r>
      <w:r>
        <w:rPr>
          <w:color w:val="0A0A0A"/>
          <w:w w:val="105"/>
          <w:sz w:val="21"/>
        </w:rPr>
        <w:t>Councils housing stock was sold</w:t>
      </w:r>
      <w:r>
        <w:rPr>
          <w:color w:val="0A0A0A"/>
          <w:spacing w:val="-11"/>
          <w:w w:val="105"/>
          <w:sz w:val="21"/>
        </w:rPr>
        <w:t> </w:t>
      </w:r>
      <w:r>
        <w:rPr>
          <w:color w:val="0A0A0A"/>
          <w:w w:val="105"/>
          <w:sz w:val="21"/>
        </w:rPr>
        <w:t>to</w:t>
      </w:r>
      <w:r>
        <w:rPr>
          <w:color w:val="0A0A0A"/>
          <w:spacing w:val="-7"/>
          <w:w w:val="105"/>
          <w:sz w:val="21"/>
        </w:rPr>
        <w:t> </w:t>
      </w:r>
      <w:r>
        <w:rPr>
          <w:color w:val="0A0A0A"/>
          <w:w w:val="105"/>
          <w:sz w:val="21"/>
        </w:rPr>
        <w:t>two Housing Associations in 1994 at a discounted </w:t>
      </w:r>
      <w:r>
        <w:rPr>
          <w:color w:val="1D1D1D"/>
          <w:w w:val="105"/>
          <w:sz w:val="21"/>
        </w:rPr>
        <w:t>rate. As</w:t>
      </w:r>
      <w:r>
        <w:rPr>
          <w:color w:val="1D1D1D"/>
          <w:spacing w:val="-13"/>
          <w:w w:val="105"/>
          <w:sz w:val="21"/>
        </w:rPr>
        <w:t> </w:t>
      </w:r>
      <w:r>
        <w:rPr>
          <w:color w:val="0A0A0A"/>
          <w:w w:val="105"/>
          <w:sz w:val="21"/>
        </w:rPr>
        <w:t>part</w:t>
      </w:r>
      <w:r>
        <w:rPr>
          <w:color w:val="0A0A0A"/>
          <w:spacing w:val="-4"/>
          <w:w w:val="105"/>
          <w:sz w:val="21"/>
        </w:rPr>
        <w:t> </w:t>
      </w:r>
      <w:r>
        <w:rPr>
          <w:color w:val="0A0A0A"/>
          <w:w w:val="105"/>
          <w:sz w:val="21"/>
        </w:rPr>
        <w:t>of</w:t>
      </w:r>
      <w:r>
        <w:rPr>
          <w:color w:val="0A0A0A"/>
          <w:spacing w:val="-12"/>
          <w:w w:val="105"/>
          <w:sz w:val="21"/>
        </w:rPr>
        <w:t> </w:t>
      </w:r>
      <w:r>
        <w:rPr>
          <w:color w:val="1D1D1D"/>
          <w:w w:val="105"/>
          <w:sz w:val="21"/>
        </w:rPr>
        <w:t>the</w:t>
      </w:r>
      <w:r>
        <w:rPr>
          <w:color w:val="1D1D1D"/>
          <w:spacing w:val="-12"/>
          <w:w w:val="105"/>
          <w:sz w:val="21"/>
        </w:rPr>
        <w:t> </w:t>
      </w:r>
      <w:r>
        <w:rPr>
          <w:color w:val="0A0A0A"/>
          <w:w w:val="105"/>
          <w:sz w:val="21"/>
        </w:rPr>
        <w:t>agreement, </w:t>
      </w:r>
      <w:r>
        <w:rPr>
          <w:color w:val="1D1D1D"/>
          <w:w w:val="105"/>
          <w:sz w:val="21"/>
        </w:rPr>
        <w:t>it was stipulated that </w:t>
      </w:r>
      <w:r>
        <w:rPr>
          <w:color w:val="0A0A0A"/>
          <w:w w:val="105"/>
          <w:sz w:val="21"/>
        </w:rPr>
        <w:t>any </w:t>
      </w:r>
      <w:r>
        <w:rPr>
          <w:color w:val="1D1D1D"/>
          <w:w w:val="105"/>
          <w:sz w:val="21"/>
        </w:rPr>
        <w:t>eventual sale of these properties under the </w:t>
      </w:r>
      <w:r>
        <w:rPr>
          <w:color w:val="525252"/>
          <w:w w:val="105"/>
          <w:sz w:val="21"/>
        </w:rPr>
        <w:t>"</w:t>
      </w:r>
      <w:r>
        <w:rPr>
          <w:color w:val="1D1D1D"/>
          <w:w w:val="105"/>
          <w:sz w:val="21"/>
        </w:rPr>
        <w:t>right to buy</w:t>
      </w:r>
      <w:r>
        <w:rPr>
          <w:color w:val="525252"/>
          <w:w w:val="105"/>
          <w:sz w:val="21"/>
        </w:rPr>
        <w:t>" </w:t>
      </w:r>
      <w:r>
        <w:rPr>
          <w:color w:val="1D1D1D"/>
          <w:w w:val="105"/>
          <w:sz w:val="21"/>
        </w:rPr>
        <w:t>scheme would result in</w:t>
      </w:r>
      <w:r>
        <w:rPr>
          <w:color w:val="1D1D1D"/>
          <w:spacing w:val="-4"/>
          <w:w w:val="105"/>
          <w:sz w:val="21"/>
        </w:rPr>
        <w:t> </w:t>
      </w:r>
      <w:r>
        <w:rPr>
          <w:color w:val="1D1D1D"/>
          <w:w w:val="105"/>
          <w:sz w:val="21"/>
        </w:rPr>
        <w:t>part of</w:t>
      </w:r>
      <w:r>
        <w:rPr>
          <w:color w:val="1D1D1D"/>
          <w:spacing w:val="-11"/>
          <w:w w:val="105"/>
          <w:sz w:val="21"/>
        </w:rPr>
        <w:t> </w:t>
      </w:r>
      <w:r>
        <w:rPr>
          <w:color w:val="0A0A0A"/>
          <w:w w:val="105"/>
          <w:sz w:val="21"/>
        </w:rPr>
        <w:t>the</w:t>
      </w:r>
      <w:r>
        <w:rPr>
          <w:color w:val="0A0A0A"/>
          <w:spacing w:val="-3"/>
          <w:w w:val="105"/>
          <w:sz w:val="21"/>
        </w:rPr>
        <w:t> </w:t>
      </w:r>
      <w:r>
        <w:rPr>
          <w:color w:val="1D1D1D"/>
          <w:w w:val="105"/>
          <w:sz w:val="21"/>
        </w:rPr>
        <w:t>proceeds </w:t>
      </w:r>
      <w:r>
        <w:rPr>
          <w:color w:val="0A0A0A"/>
          <w:w w:val="105"/>
          <w:sz w:val="21"/>
        </w:rPr>
        <w:t>being paid to the Council.</w:t>
      </w:r>
    </w:p>
    <w:p>
      <w:pPr>
        <w:pStyle w:val="BodyText"/>
        <w:spacing w:before="6"/>
        <w:rPr>
          <w:sz w:val="21"/>
        </w:rPr>
      </w:pPr>
    </w:p>
    <w:p>
      <w:pPr>
        <w:spacing w:before="0" w:line="252" w:lineRule="auto"/>
        <w:ind w:left="355" w:right="1510" w:firstLine="13"/>
        <w:jc w:val="left"/>
        <w:rPr>
          <w:sz w:val="21"/>
        </w:rPr>
      </w:pPr>
      <w:r>
        <w:rPr>
          <w:color w:val="0A0A0A"/>
          <w:w w:val="105"/>
          <w:sz w:val="21"/>
        </w:rPr>
        <w:t>The Council's Comprehensive Income and </w:t>
      </w:r>
      <w:r>
        <w:rPr>
          <w:color w:val="1D1D1D"/>
          <w:w w:val="105"/>
          <w:sz w:val="21"/>
        </w:rPr>
        <w:t>Expenditure Statement </w:t>
      </w:r>
      <w:r>
        <w:rPr>
          <w:color w:val="333333"/>
          <w:w w:val="105"/>
          <w:sz w:val="21"/>
        </w:rPr>
        <w:t>include </w:t>
      </w:r>
      <w:r>
        <w:rPr>
          <w:color w:val="0A0A0A"/>
          <w:w w:val="105"/>
          <w:sz w:val="21"/>
        </w:rPr>
        <w:t>a </w:t>
      </w:r>
      <w:r>
        <w:rPr>
          <w:color w:val="1D1D1D"/>
          <w:w w:val="105"/>
          <w:sz w:val="21"/>
        </w:rPr>
        <w:t>share </w:t>
      </w:r>
      <w:r>
        <w:rPr>
          <w:color w:val="0A0A0A"/>
          <w:w w:val="105"/>
          <w:sz w:val="21"/>
        </w:rPr>
        <w:t>of</w:t>
      </w:r>
      <w:r>
        <w:rPr>
          <w:color w:val="0A0A0A"/>
          <w:spacing w:val="40"/>
          <w:w w:val="105"/>
          <w:sz w:val="21"/>
        </w:rPr>
        <w:t> </w:t>
      </w:r>
      <w:r>
        <w:rPr>
          <w:color w:val="1D1D1D"/>
          <w:w w:val="105"/>
          <w:sz w:val="21"/>
        </w:rPr>
        <w:t>any surplus or deficit arising for </w:t>
      </w:r>
      <w:r>
        <w:rPr>
          <w:color w:val="0A0A0A"/>
          <w:w w:val="105"/>
          <w:sz w:val="21"/>
        </w:rPr>
        <w:t>the </w:t>
      </w:r>
      <w:r>
        <w:rPr>
          <w:color w:val="1D1D1D"/>
          <w:w w:val="105"/>
          <w:sz w:val="21"/>
        </w:rPr>
        <w:t>year </w:t>
      </w:r>
      <w:r>
        <w:rPr>
          <w:color w:val="0A0A0A"/>
          <w:w w:val="105"/>
          <w:sz w:val="21"/>
        </w:rPr>
        <w:t>on </w:t>
      </w:r>
      <w:r>
        <w:rPr>
          <w:color w:val="1D1D1D"/>
          <w:w w:val="105"/>
          <w:sz w:val="21"/>
        </w:rPr>
        <w:t>the</w:t>
      </w:r>
      <w:r>
        <w:rPr>
          <w:color w:val="1D1D1D"/>
          <w:spacing w:val="-5"/>
          <w:w w:val="105"/>
          <w:sz w:val="21"/>
        </w:rPr>
        <w:t> </w:t>
      </w:r>
      <w:r>
        <w:rPr>
          <w:color w:val="1D1D1D"/>
          <w:w w:val="105"/>
          <w:sz w:val="21"/>
        </w:rPr>
        <w:t>collection of</w:t>
      </w:r>
      <w:r>
        <w:rPr>
          <w:color w:val="1D1D1D"/>
          <w:spacing w:val="-13"/>
          <w:w w:val="105"/>
          <w:sz w:val="21"/>
        </w:rPr>
        <w:t> </w:t>
      </w:r>
      <w:r>
        <w:rPr>
          <w:color w:val="1D1D1D"/>
          <w:w w:val="105"/>
          <w:sz w:val="21"/>
        </w:rPr>
        <w:t>business </w:t>
      </w:r>
      <w:r>
        <w:rPr>
          <w:color w:val="333333"/>
          <w:w w:val="105"/>
          <w:sz w:val="21"/>
        </w:rPr>
        <w:t>rates.</w:t>
      </w:r>
      <w:r>
        <w:rPr>
          <w:color w:val="333333"/>
          <w:spacing w:val="40"/>
          <w:w w:val="105"/>
          <w:sz w:val="21"/>
        </w:rPr>
        <w:t> </w:t>
      </w:r>
      <w:r>
        <w:rPr>
          <w:color w:val="1D1D1D"/>
          <w:w w:val="105"/>
          <w:sz w:val="21"/>
        </w:rPr>
        <w:t>Where, </w:t>
      </w:r>
      <w:r>
        <w:rPr>
          <w:color w:val="0A0A0A"/>
          <w:w w:val="105"/>
          <w:sz w:val="21"/>
        </w:rPr>
        <w:t>after taking into account any losses on collection, the Council's </w:t>
      </w:r>
      <w:r>
        <w:rPr>
          <w:color w:val="333333"/>
          <w:w w:val="105"/>
          <w:sz w:val="21"/>
        </w:rPr>
        <w:t>income </w:t>
      </w:r>
      <w:r>
        <w:rPr>
          <w:color w:val="0A0A0A"/>
          <w:w w:val="105"/>
          <w:sz w:val="21"/>
        </w:rPr>
        <w:t>falls below a threshold set by central</w:t>
      </w:r>
      <w:r>
        <w:rPr>
          <w:color w:val="0A0A0A"/>
          <w:spacing w:val="-5"/>
          <w:w w:val="105"/>
          <w:sz w:val="21"/>
        </w:rPr>
        <w:t> </w:t>
      </w:r>
      <w:r>
        <w:rPr>
          <w:color w:val="0A0A0A"/>
          <w:w w:val="105"/>
          <w:sz w:val="21"/>
        </w:rPr>
        <w:t>government, a safety net grant is paid by central government.</w:t>
      </w:r>
    </w:p>
    <w:p>
      <w:pPr>
        <w:pStyle w:val="BodyText"/>
        <w:spacing w:before="13"/>
        <w:rPr>
          <w:sz w:val="21"/>
        </w:rPr>
      </w:pPr>
    </w:p>
    <w:p>
      <w:pPr>
        <w:spacing w:before="0" w:line="252" w:lineRule="auto"/>
        <w:ind w:left="357" w:right="1500" w:hanging="8"/>
        <w:jc w:val="left"/>
        <w:rPr>
          <w:sz w:val="21"/>
        </w:rPr>
      </w:pPr>
      <w:r>
        <w:rPr>
          <w:color w:val="0A0A0A"/>
          <w:w w:val="105"/>
          <w:sz w:val="21"/>
        </w:rPr>
        <w:t>The</w:t>
      </w:r>
      <w:r>
        <w:rPr>
          <w:color w:val="0A0A0A"/>
          <w:spacing w:val="-6"/>
          <w:w w:val="105"/>
          <w:sz w:val="21"/>
        </w:rPr>
        <w:t> </w:t>
      </w:r>
      <w:r>
        <w:rPr>
          <w:color w:val="0A0A0A"/>
          <w:w w:val="105"/>
          <w:sz w:val="21"/>
        </w:rPr>
        <w:t>liabilities of</w:t>
      </w:r>
      <w:r>
        <w:rPr>
          <w:color w:val="0A0A0A"/>
          <w:spacing w:val="-10"/>
          <w:w w:val="105"/>
          <w:sz w:val="21"/>
        </w:rPr>
        <w:t> </w:t>
      </w:r>
      <w:r>
        <w:rPr>
          <w:color w:val="0A0A0A"/>
          <w:w w:val="105"/>
          <w:sz w:val="21"/>
        </w:rPr>
        <w:t>a</w:t>
      </w:r>
      <w:r>
        <w:rPr>
          <w:color w:val="0A0A0A"/>
          <w:spacing w:val="-10"/>
          <w:w w:val="105"/>
          <w:sz w:val="21"/>
        </w:rPr>
        <w:t> </w:t>
      </w:r>
      <w:r>
        <w:rPr>
          <w:color w:val="0A0A0A"/>
          <w:w w:val="105"/>
          <w:sz w:val="21"/>
        </w:rPr>
        <w:t>defined</w:t>
      </w:r>
      <w:r>
        <w:rPr>
          <w:color w:val="0A0A0A"/>
          <w:spacing w:val="-5"/>
          <w:w w:val="105"/>
          <w:sz w:val="21"/>
        </w:rPr>
        <w:t> </w:t>
      </w:r>
      <w:r>
        <w:rPr>
          <w:color w:val="0A0A0A"/>
          <w:w w:val="105"/>
          <w:sz w:val="21"/>
        </w:rPr>
        <w:t>benefit scheme for </w:t>
      </w:r>
      <w:r>
        <w:rPr>
          <w:color w:val="1D1D1D"/>
          <w:w w:val="105"/>
          <w:sz w:val="21"/>
        </w:rPr>
        <w:t>outgoings </w:t>
      </w:r>
      <w:r>
        <w:rPr>
          <w:color w:val="0A0A0A"/>
          <w:w w:val="105"/>
          <w:sz w:val="21"/>
        </w:rPr>
        <w:t>due after the valuation date.</w:t>
      </w:r>
    </w:p>
    <w:p>
      <w:pPr>
        <w:spacing w:before="2" w:line="252" w:lineRule="auto"/>
        <w:ind w:left="343" w:right="1500" w:firstLine="6"/>
        <w:jc w:val="left"/>
        <w:rPr>
          <w:sz w:val="21"/>
        </w:rPr>
      </w:pPr>
      <w:r>
        <w:rPr>
          <w:color w:val="1D1D1D"/>
          <w:w w:val="105"/>
          <w:sz w:val="21"/>
        </w:rPr>
        <w:t>Scheme </w:t>
      </w:r>
      <w:r>
        <w:rPr>
          <w:color w:val="0A0A0A"/>
          <w:w w:val="105"/>
          <w:sz w:val="21"/>
        </w:rPr>
        <w:t>liabilities measured </w:t>
      </w:r>
      <w:r>
        <w:rPr>
          <w:color w:val="1D1D1D"/>
          <w:w w:val="105"/>
          <w:sz w:val="21"/>
        </w:rPr>
        <w:t>using </w:t>
      </w:r>
      <w:r>
        <w:rPr>
          <w:color w:val="0A0A0A"/>
          <w:w w:val="105"/>
          <w:sz w:val="21"/>
        </w:rPr>
        <w:t>the </w:t>
      </w:r>
      <w:r>
        <w:rPr>
          <w:color w:val="1D1D1D"/>
          <w:w w:val="105"/>
          <w:sz w:val="21"/>
        </w:rPr>
        <w:t>projected </w:t>
      </w:r>
      <w:r>
        <w:rPr>
          <w:color w:val="0A0A0A"/>
          <w:w w:val="105"/>
          <w:sz w:val="21"/>
        </w:rPr>
        <w:t>unit method </w:t>
      </w:r>
      <w:r>
        <w:rPr>
          <w:color w:val="1D1D1D"/>
          <w:w w:val="105"/>
          <w:sz w:val="21"/>
        </w:rPr>
        <w:t>reflects </w:t>
      </w:r>
      <w:r>
        <w:rPr>
          <w:color w:val="0A0A0A"/>
          <w:w w:val="105"/>
          <w:sz w:val="21"/>
        </w:rPr>
        <w:t>the benefits </w:t>
      </w:r>
      <w:r>
        <w:rPr>
          <w:color w:val="1D1D1D"/>
          <w:w w:val="105"/>
          <w:sz w:val="21"/>
        </w:rPr>
        <w:t>that</w:t>
      </w:r>
      <w:r>
        <w:rPr>
          <w:color w:val="1D1D1D"/>
          <w:spacing w:val="-9"/>
          <w:w w:val="105"/>
          <w:sz w:val="21"/>
        </w:rPr>
        <w:t> </w:t>
      </w:r>
      <w:r>
        <w:rPr>
          <w:color w:val="0A0A0A"/>
          <w:w w:val="105"/>
          <w:sz w:val="21"/>
        </w:rPr>
        <w:t>the</w:t>
      </w:r>
      <w:r>
        <w:rPr>
          <w:color w:val="0A0A0A"/>
          <w:spacing w:val="-7"/>
          <w:w w:val="105"/>
          <w:sz w:val="21"/>
        </w:rPr>
        <w:t> </w:t>
      </w:r>
      <w:r>
        <w:rPr>
          <w:color w:val="0A0A0A"/>
          <w:w w:val="105"/>
          <w:sz w:val="21"/>
        </w:rPr>
        <w:t>employer is </w:t>
      </w:r>
      <w:r>
        <w:rPr>
          <w:color w:val="1D1D1D"/>
          <w:w w:val="105"/>
          <w:sz w:val="21"/>
        </w:rPr>
        <w:t>committed </w:t>
      </w:r>
      <w:r>
        <w:rPr>
          <w:color w:val="0A0A0A"/>
          <w:w w:val="105"/>
          <w:sz w:val="21"/>
        </w:rPr>
        <w:t>to</w:t>
      </w:r>
      <w:r>
        <w:rPr>
          <w:color w:val="0A0A0A"/>
          <w:spacing w:val="-3"/>
          <w:w w:val="105"/>
          <w:sz w:val="21"/>
        </w:rPr>
        <w:t> </w:t>
      </w:r>
      <w:r>
        <w:rPr>
          <w:color w:val="0A0A0A"/>
          <w:w w:val="105"/>
          <w:sz w:val="21"/>
        </w:rPr>
        <w:t>provide for service up to the valuation date.</w:t>
      </w:r>
    </w:p>
    <w:p>
      <w:pPr>
        <w:pStyle w:val="BodyText"/>
        <w:spacing w:before="13"/>
        <w:rPr>
          <w:sz w:val="21"/>
        </w:rPr>
      </w:pPr>
    </w:p>
    <w:p>
      <w:pPr>
        <w:spacing w:before="0" w:line="252" w:lineRule="auto"/>
        <w:ind w:left="329" w:right="1593" w:firstLine="6"/>
        <w:jc w:val="left"/>
        <w:rPr>
          <w:sz w:val="21"/>
        </w:rPr>
      </w:pPr>
      <w:r>
        <w:rPr>
          <w:color w:val="0A0A0A"/>
          <w:w w:val="105"/>
          <w:sz w:val="21"/>
        </w:rPr>
        <w:t>A</w:t>
      </w:r>
      <w:r>
        <w:rPr>
          <w:color w:val="0A0A0A"/>
          <w:spacing w:val="-15"/>
          <w:w w:val="105"/>
          <w:sz w:val="21"/>
        </w:rPr>
        <w:t> </w:t>
      </w:r>
      <w:r>
        <w:rPr>
          <w:color w:val="0A0A0A"/>
          <w:w w:val="105"/>
          <w:sz w:val="21"/>
        </w:rPr>
        <w:t>transaction</w:t>
      </w:r>
      <w:r>
        <w:rPr>
          <w:color w:val="0A0A0A"/>
          <w:spacing w:val="-6"/>
          <w:w w:val="105"/>
          <w:sz w:val="21"/>
        </w:rPr>
        <w:t> </w:t>
      </w:r>
      <w:r>
        <w:rPr>
          <w:color w:val="0A0A0A"/>
          <w:w w:val="105"/>
          <w:sz w:val="21"/>
        </w:rPr>
        <w:t>that</w:t>
      </w:r>
      <w:r>
        <w:rPr>
          <w:color w:val="0A0A0A"/>
          <w:spacing w:val="-9"/>
          <w:w w:val="105"/>
          <w:sz w:val="21"/>
        </w:rPr>
        <w:t> </w:t>
      </w:r>
      <w:r>
        <w:rPr>
          <w:color w:val="0A0A0A"/>
          <w:w w:val="105"/>
          <w:sz w:val="21"/>
        </w:rPr>
        <w:t>eliminates pensions liabilities, such as the transfer of an employee to a new employer that participates in the Local Government Pension Scheme.</w:t>
      </w:r>
    </w:p>
    <w:p>
      <w:pPr>
        <w:pStyle w:val="BodyText"/>
        <w:spacing w:before="9"/>
        <w:rPr>
          <w:sz w:val="21"/>
        </w:rPr>
      </w:pPr>
    </w:p>
    <w:p>
      <w:pPr>
        <w:spacing w:before="1" w:line="252" w:lineRule="auto"/>
        <w:ind w:left="317" w:right="1500" w:firstLine="9"/>
        <w:jc w:val="left"/>
        <w:rPr>
          <w:sz w:val="21"/>
        </w:rPr>
      </w:pPr>
      <w:r>
        <w:rPr>
          <w:color w:val="0A0A0A"/>
          <w:w w:val="105"/>
          <w:sz w:val="21"/>
        </w:rPr>
        <w:t>An assessment by Central Government</w:t>
      </w:r>
      <w:r>
        <w:rPr>
          <w:color w:val="0A0A0A"/>
          <w:spacing w:val="40"/>
          <w:w w:val="105"/>
          <w:sz w:val="21"/>
        </w:rPr>
        <w:t> </w:t>
      </w:r>
      <w:r>
        <w:rPr>
          <w:color w:val="0A0A0A"/>
          <w:w w:val="105"/>
          <w:sz w:val="21"/>
        </w:rPr>
        <w:t>of how much a Local Council should spend </w:t>
      </w:r>
      <w:r>
        <w:rPr>
          <w:color w:val="1D1D1D"/>
          <w:w w:val="105"/>
          <w:sz w:val="21"/>
        </w:rPr>
        <w:t>in </w:t>
      </w:r>
      <w:r>
        <w:rPr>
          <w:color w:val="0A0A0A"/>
          <w:w w:val="105"/>
          <w:sz w:val="21"/>
        </w:rPr>
        <w:t>providing </w:t>
      </w:r>
      <w:r>
        <w:rPr>
          <w:color w:val="1D1D1D"/>
          <w:w w:val="105"/>
          <w:sz w:val="21"/>
        </w:rPr>
        <w:t>a</w:t>
      </w:r>
      <w:r>
        <w:rPr>
          <w:color w:val="1D1D1D"/>
          <w:spacing w:val="-9"/>
          <w:w w:val="105"/>
          <w:sz w:val="21"/>
        </w:rPr>
        <w:t> </w:t>
      </w:r>
      <w:r>
        <w:rPr>
          <w:color w:val="1D1D1D"/>
          <w:w w:val="105"/>
          <w:sz w:val="21"/>
        </w:rPr>
        <w:t>common</w:t>
      </w:r>
      <w:r>
        <w:rPr>
          <w:color w:val="1D1D1D"/>
          <w:spacing w:val="-2"/>
          <w:w w:val="105"/>
          <w:sz w:val="21"/>
        </w:rPr>
        <w:t> </w:t>
      </w:r>
      <w:r>
        <w:rPr>
          <w:color w:val="0A0A0A"/>
          <w:w w:val="105"/>
          <w:sz w:val="21"/>
        </w:rPr>
        <w:t>level</w:t>
      </w:r>
      <w:r>
        <w:rPr>
          <w:color w:val="0A0A0A"/>
          <w:spacing w:val="-12"/>
          <w:w w:val="105"/>
          <w:sz w:val="21"/>
        </w:rPr>
        <w:t> </w:t>
      </w:r>
      <w:r>
        <w:rPr>
          <w:color w:val="0A0A0A"/>
          <w:w w:val="105"/>
          <w:sz w:val="21"/>
        </w:rPr>
        <w:t>of</w:t>
      </w:r>
      <w:r>
        <w:rPr>
          <w:color w:val="0A0A0A"/>
          <w:spacing w:val="-8"/>
          <w:w w:val="105"/>
          <w:sz w:val="21"/>
        </w:rPr>
        <w:t> </w:t>
      </w:r>
      <w:r>
        <w:rPr>
          <w:color w:val="0A0A0A"/>
          <w:w w:val="105"/>
          <w:sz w:val="21"/>
        </w:rPr>
        <w:t>service, </w:t>
      </w:r>
      <w:r>
        <w:rPr>
          <w:color w:val="1D1D1D"/>
          <w:w w:val="105"/>
          <w:sz w:val="21"/>
        </w:rPr>
        <w:t>having </w:t>
      </w:r>
      <w:r>
        <w:rPr>
          <w:color w:val="0A0A0A"/>
          <w:w w:val="105"/>
          <w:sz w:val="21"/>
        </w:rPr>
        <w:t>regard to </w:t>
      </w:r>
      <w:r>
        <w:rPr>
          <w:color w:val="1D1D1D"/>
          <w:w w:val="105"/>
          <w:sz w:val="21"/>
        </w:rPr>
        <w:t>its </w:t>
      </w:r>
      <w:r>
        <w:rPr>
          <w:color w:val="333333"/>
          <w:w w:val="105"/>
          <w:sz w:val="21"/>
        </w:rPr>
        <w:t>individual </w:t>
      </w:r>
      <w:r>
        <w:rPr>
          <w:color w:val="0A0A0A"/>
          <w:w w:val="105"/>
          <w:sz w:val="21"/>
        </w:rPr>
        <w:t>circumstances</w:t>
      </w:r>
      <w:r>
        <w:rPr>
          <w:color w:val="0A0A0A"/>
          <w:spacing w:val="40"/>
          <w:w w:val="105"/>
          <w:sz w:val="21"/>
        </w:rPr>
        <w:t> </w:t>
      </w:r>
      <w:r>
        <w:rPr>
          <w:color w:val="1D1D1D"/>
          <w:w w:val="105"/>
          <w:sz w:val="21"/>
        </w:rPr>
        <w:t>and </w:t>
      </w:r>
      <w:r>
        <w:rPr>
          <w:color w:val="0A0A0A"/>
          <w:spacing w:val="-2"/>
          <w:w w:val="105"/>
          <w:sz w:val="21"/>
        </w:rPr>
        <w:t>responsibilities.</w:t>
      </w:r>
    </w:p>
    <w:p>
      <w:pPr>
        <w:spacing w:after="0" w:line="252" w:lineRule="auto"/>
        <w:jc w:val="left"/>
        <w:rPr>
          <w:sz w:val="21"/>
        </w:rPr>
        <w:sectPr>
          <w:type w:val="continuous"/>
          <w:pgSz w:w="11910" w:h="16830"/>
          <w:pgMar w:top="1940" w:right="540" w:bottom="280" w:left="440" w:header="0" w:footer="0"/>
          <w:cols w:equalWidth="0" w:num="2">
            <w:col w:w="3750" w:space="902"/>
            <w:col w:w="6278"/>
          </w:cols>
        </w:sectPr>
      </w:pPr>
    </w:p>
    <w:p>
      <w:pPr>
        <w:pStyle w:val="BodyText"/>
        <w:spacing w:before="170"/>
        <w:rPr>
          <w:sz w:val="20"/>
        </w:rPr>
      </w:pPr>
    </w:p>
    <w:p>
      <w:pPr>
        <w:spacing w:after="0"/>
        <w:rPr>
          <w:sz w:val="20"/>
        </w:rPr>
        <w:sectPr>
          <w:headerReference w:type="default" r:id="rId345"/>
          <w:footerReference w:type="default" r:id="rId346"/>
          <w:pgSz w:w="11910" w:h="16830"/>
          <w:pgMar w:top="900" w:right="540" w:bottom="1340" w:left="440" w:header="704" w:footer="1156"/>
          <w:pgNumType w:start="159"/>
        </w:sectPr>
      </w:pPr>
    </w:p>
    <w:p>
      <w:pPr>
        <w:spacing w:before="94"/>
        <w:ind w:left="233" w:right="0" w:firstLine="0"/>
        <w:jc w:val="left"/>
        <w:rPr>
          <w:b/>
          <w:sz w:val="21"/>
        </w:rPr>
      </w:pPr>
      <w:r>
        <w:rPr>
          <w:b/>
          <w:color w:val="0E0E0E"/>
          <w:spacing w:val="-4"/>
          <w:w w:val="105"/>
          <w:sz w:val="21"/>
        </w:rPr>
        <w:t>Term</w:t>
      </w:r>
    </w:p>
    <w:p>
      <w:pPr>
        <w:spacing w:before="13"/>
        <w:ind w:left="240" w:right="0" w:firstLine="0"/>
        <w:jc w:val="left"/>
        <w:rPr>
          <w:b/>
          <w:sz w:val="21"/>
        </w:rPr>
      </w:pPr>
      <w:r>
        <w:rPr>
          <w:b/>
          <w:color w:val="0E0E0E"/>
          <w:sz w:val="21"/>
        </w:rPr>
        <w:t>Subsidiary</w:t>
      </w:r>
      <w:r>
        <w:rPr>
          <w:b/>
          <w:color w:val="0E0E0E"/>
          <w:spacing w:val="32"/>
          <w:sz w:val="21"/>
        </w:rPr>
        <w:t> </w:t>
      </w:r>
      <w:r>
        <w:rPr>
          <w:b/>
          <w:color w:val="0E0E0E"/>
          <w:spacing w:val="-2"/>
          <w:sz w:val="21"/>
        </w:rPr>
        <w:t>Company</w:t>
      </w: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74"/>
        <w:rPr>
          <w:b/>
          <w:sz w:val="21"/>
        </w:rPr>
      </w:pPr>
    </w:p>
    <w:p>
      <w:pPr>
        <w:spacing w:before="0"/>
        <w:ind w:left="233" w:right="0" w:firstLine="0"/>
        <w:jc w:val="left"/>
        <w:rPr>
          <w:b/>
          <w:sz w:val="21"/>
        </w:rPr>
      </w:pPr>
      <w:r>
        <w:rPr>
          <w:b/>
          <w:color w:val="0E0E0E"/>
          <w:w w:val="105"/>
          <w:sz w:val="21"/>
        </w:rPr>
        <w:t>Transfer</w:t>
      </w:r>
      <w:r>
        <w:rPr>
          <w:b/>
          <w:color w:val="0E0E0E"/>
          <w:spacing w:val="-11"/>
          <w:w w:val="105"/>
          <w:sz w:val="21"/>
        </w:rPr>
        <w:t> </w:t>
      </w:r>
      <w:r>
        <w:rPr>
          <w:b/>
          <w:color w:val="0E0E0E"/>
          <w:spacing w:val="-2"/>
          <w:w w:val="105"/>
          <w:sz w:val="21"/>
        </w:rPr>
        <w:t>Payments</w:t>
      </w:r>
    </w:p>
    <w:p>
      <w:pPr>
        <w:pStyle w:val="BodyText"/>
        <w:rPr>
          <w:b/>
          <w:sz w:val="21"/>
        </w:rPr>
      </w:pPr>
    </w:p>
    <w:p>
      <w:pPr>
        <w:pStyle w:val="BodyText"/>
        <w:rPr>
          <w:b/>
          <w:sz w:val="21"/>
        </w:rPr>
      </w:pPr>
    </w:p>
    <w:p>
      <w:pPr>
        <w:pStyle w:val="BodyText"/>
        <w:spacing w:before="48"/>
        <w:rPr>
          <w:b/>
          <w:sz w:val="21"/>
        </w:rPr>
      </w:pPr>
    </w:p>
    <w:p>
      <w:pPr>
        <w:spacing w:before="0"/>
        <w:ind w:left="236" w:right="0" w:firstLine="0"/>
        <w:jc w:val="left"/>
        <w:rPr>
          <w:b/>
          <w:sz w:val="21"/>
        </w:rPr>
      </w:pPr>
      <w:r>
        <w:rPr>
          <w:b/>
          <w:color w:val="0E0E0E"/>
          <w:w w:val="105"/>
          <w:sz w:val="21"/>
        </w:rPr>
        <w:t>Usable</w:t>
      </w:r>
      <w:r>
        <w:rPr>
          <w:b/>
          <w:color w:val="0E0E0E"/>
          <w:spacing w:val="-10"/>
          <w:w w:val="105"/>
          <w:sz w:val="21"/>
        </w:rPr>
        <w:t> </w:t>
      </w:r>
      <w:r>
        <w:rPr>
          <w:b/>
          <w:color w:val="0E0E0E"/>
          <w:w w:val="105"/>
          <w:sz w:val="21"/>
        </w:rPr>
        <w:t>Capital</w:t>
      </w:r>
      <w:r>
        <w:rPr>
          <w:b/>
          <w:color w:val="0E0E0E"/>
          <w:spacing w:val="-12"/>
          <w:w w:val="105"/>
          <w:sz w:val="21"/>
        </w:rPr>
        <w:t> </w:t>
      </w:r>
      <w:r>
        <w:rPr>
          <w:b/>
          <w:color w:val="0E0E0E"/>
          <w:spacing w:val="-2"/>
          <w:w w:val="105"/>
          <w:sz w:val="21"/>
        </w:rPr>
        <w:t>Receipts</w:t>
      </w:r>
    </w:p>
    <w:p>
      <w:pPr>
        <w:pStyle w:val="BodyText"/>
        <w:rPr>
          <w:b/>
          <w:sz w:val="21"/>
        </w:rPr>
      </w:pPr>
    </w:p>
    <w:p>
      <w:pPr>
        <w:pStyle w:val="BodyText"/>
        <w:spacing w:before="35"/>
        <w:rPr>
          <w:b/>
          <w:sz w:val="21"/>
        </w:rPr>
      </w:pPr>
    </w:p>
    <w:p>
      <w:pPr>
        <w:spacing w:before="0"/>
        <w:ind w:left="237" w:right="0" w:firstLine="0"/>
        <w:jc w:val="left"/>
        <w:rPr>
          <w:b/>
          <w:sz w:val="21"/>
        </w:rPr>
      </w:pPr>
      <w:r>
        <w:rPr>
          <w:b/>
          <w:color w:val="0E0E0E"/>
          <w:w w:val="105"/>
          <w:sz w:val="21"/>
        </w:rPr>
        <w:t>Vested</w:t>
      </w:r>
      <w:r>
        <w:rPr>
          <w:b/>
          <w:color w:val="0E0E0E"/>
          <w:spacing w:val="-12"/>
          <w:w w:val="105"/>
          <w:sz w:val="21"/>
        </w:rPr>
        <w:t> </w:t>
      </w:r>
      <w:r>
        <w:rPr>
          <w:b/>
          <w:color w:val="0E0E0E"/>
          <w:spacing w:val="-2"/>
          <w:w w:val="105"/>
          <w:sz w:val="21"/>
        </w:rPr>
        <w:t>Rights</w:t>
      </w:r>
    </w:p>
    <w:p>
      <w:pPr>
        <w:spacing w:before="94"/>
        <w:ind w:left="236" w:right="0" w:firstLine="0"/>
        <w:jc w:val="left"/>
        <w:rPr>
          <w:b/>
          <w:sz w:val="21"/>
        </w:rPr>
      </w:pPr>
      <w:r>
        <w:rPr/>
        <w:br w:type="column"/>
      </w:r>
      <w:r>
        <w:rPr>
          <w:b/>
          <w:color w:val="0E0E0E"/>
          <w:spacing w:val="-2"/>
          <w:w w:val="105"/>
          <w:sz w:val="21"/>
        </w:rPr>
        <w:t>Definition</w:t>
      </w:r>
    </w:p>
    <w:p>
      <w:pPr>
        <w:spacing w:before="18" w:line="247" w:lineRule="auto"/>
        <w:ind w:left="239" w:right="1654" w:hanging="7"/>
        <w:jc w:val="left"/>
        <w:rPr>
          <w:sz w:val="21"/>
        </w:rPr>
      </w:pPr>
      <w:r>
        <w:rPr>
          <w:color w:val="0E0E0E"/>
          <w:w w:val="105"/>
          <w:sz w:val="21"/>
        </w:rPr>
        <w:t>A</w:t>
      </w:r>
      <w:r>
        <w:rPr>
          <w:color w:val="0E0E0E"/>
          <w:spacing w:val="-3"/>
          <w:w w:val="105"/>
          <w:sz w:val="21"/>
        </w:rPr>
        <w:t> </w:t>
      </w:r>
      <w:r>
        <w:rPr>
          <w:color w:val="0E0E0E"/>
          <w:w w:val="105"/>
          <w:sz w:val="21"/>
        </w:rPr>
        <w:t>company is</w:t>
      </w:r>
      <w:r>
        <w:rPr>
          <w:color w:val="0E0E0E"/>
          <w:spacing w:val="-7"/>
          <w:w w:val="105"/>
          <w:sz w:val="21"/>
        </w:rPr>
        <w:t> </w:t>
      </w:r>
      <w:r>
        <w:rPr>
          <w:color w:val="0E0E0E"/>
          <w:w w:val="105"/>
          <w:sz w:val="21"/>
        </w:rPr>
        <w:t>a</w:t>
      </w:r>
      <w:r>
        <w:rPr>
          <w:color w:val="0E0E0E"/>
          <w:spacing w:val="-10"/>
          <w:w w:val="105"/>
          <w:sz w:val="21"/>
        </w:rPr>
        <w:t> </w:t>
      </w:r>
      <w:r>
        <w:rPr>
          <w:color w:val="0E0E0E"/>
          <w:w w:val="105"/>
          <w:sz w:val="21"/>
        </w:rPr>
        <w:t>subsidiary of</w:t>
      </w:r>
      <w:r>
        <w:rPr>
          <w:color w:val="0E0E0E"/>
          <w:spacing w:val="-9"/>
          <w:w w:val="105"/>
          <w:sz w:val="21"/>
        </w:rPr>
        <w:t> </w:t>
      </w:r>
      <w:r>
        <w:rPr>
          <w:color w:val="0E0E0E"/>
          <w:w w:val="105"/>
          <w:sz w:val="21"/>
        </w:rPr>
        <w:t>the</w:t>
      </w:r>
      <w:r>
        <w:rPr>
          <w:color w:val="0E0E0E"/>
          <w:spacing w:val="-11"/>
          <w:w w:val="105"/>
          <w:sz w:val="21"/>
        </w:rPr>
        <w:t> </w:t>
      </w:r>
      <w:r>
        <w:rPr>
          <w:color w:val="0E0E0E"/>
          <w:w w:val="105"/>
          <w:sz w:val="21"/>
        </w:rPr>
        <w:t>Council</w:t>
      </w:r>
      <w:r>
        <w:rPr>
          <w:color w:val="0E0E0E"/>
          <w:spacing w:val="-4"/>
          <w:w w:val="105"/>
          <w:sz w:val="21"/>
        </w:rPr>
        <w:t> </w:t>
      </w:r>
      <w:r>
        <w:rPr>
          <w:color w:val="0E0E0E"/>
          <w:w w:val="105"/>
          <w:sz w:val="21"/>
        </w:rPr>
        <w:t>if any of the following apply:</w:t>
      </w:r>
    </w:p>
    <w:p>
      <w:pPr>
        <w:pStyle w:val="BodyText"/>
        <w:spacing w:before="20"/>
        <w:rPr>
          <w:sz w:val="21"/>
        </w:rPr>
      </w:pPr>
    </w:p>
    <w:p>
      <w:pPr>
        <w:pStyle w:val="ListParagraph"/>
        <w:numPr>
          <w:ilvl w:val="0"/>
          <w:numId w:val="37"/>
        </w:numPr>
        <w:tabs>
          <w:tab w:val="left" w:leader="none" w:pos="1314"/>
          <w:tab w:val="left" w:leader="none" w:pos="1316"/>
        </w:tabs>
        <w:spacing w:before="0" w:after="0" w:line="252" w:lineRule="auto"/>
        <w:ind w:left="1316" w:right="1841" w:hanging="705"/>
        <w:jc w:val="left"/>
        <w:rPr>
          <w:color w:val="0E0E0E"/>
          <w:sz w:val="21"/>
        </w:rPr>
      </w:pPr>
      <w:r>
        <w:rPr>
          <w:color w:val="0E0E0E"/>
          <w:w w:val="105"/>
          <w:sz w:val="21"/>
        </w:rPr>
        <w:t>The Council holds a majority of the</w:t>
      </w:r>
      <w:r>
        <w:rPr>
          <w:color w:val="0E0E0E"/>
          <w:spacing w:val="-11"/>
          <w:w w:val="105"/>
          <w:sz w:val="21"/>
        </w:rPr>
        <w:t> </w:t>
      </w:r>
      <w:r>
        <w:rPr>
          <w:color w:val="0E0E0E"/>
          <w:w w:val="105"/>
          <w:sz w:val="21"/>
        </w:rPr>
        <w:t>voting</w:t>
      </w:r>
      <w:r>
        <w:rPr>
          <w:color w:val="0E0E0E"/>
          <w:spacing w:val="-8"/>
          <w:w w:val="105"/>
          <w:sz w:val="21"/>
        </w:rPr>
        <w:t> </w:t>
      </w:r>
      <w:r>
        <w:rPr>
          <w:color w:val="0E0E0E"/>
          <w:w w:val="105"/>
          <w:sz w:val="21"/>
        </w:rPr>
        <w:t>rights</w:t>
      </w:r>
      <w:r>
        <w:rPr>
          <w:color w:val="0E0E0E"/>
          <w:spacing w:val="-7"/>
          <w:w w:val="105"/>
          <w:sz w:val="21"/>
        </w:rPr>
        <w:t> </w:t>
      </w:r>
      <w:r>
        <w:rPr>
          <w:color w:val="0E0E0E"/>
          <w:w w:val="105"/>
          <w:sz w:val="21"/>
        </w:rPr>
        <w:t>in</w:t>
      </w:r>
      <w:r>
        <w:rPr>
          <w:color w:val="0E0E0E"/>
          <w:spacing w:val="-16"/>
          <w:w w:val="105"/>
          <w:sz w:val="21"/>
        </w:rPr>
        <w:t> </w:t>
      </w:r>
      <w:r>
        <w:rPr>
          <w:color w:val="0E0E0E"/>
          <w:w w:val="105"/>
          <w:sz w:val="21"/>
        </w:rPr>
        <w:t>the</w:t>
      </w:r>
      <w:r>
        <w:rPr>
          <w:color w:val="0E0E0E"/>
          <w:spacing w:val="-11"/>
          <w:w w:val="105"/>
          <w:sz w:val="21"/>
        </w:rPr>
        <w:t> </w:t>
      </w:r>
      <w:r>
        <w:rPr>
          <w:color w:val="0E0E0E"/>
          <w:w w:val="105"/>
          <w:sz w:val="21"/>
        </w:rPr>
        <w:t>company.</w:t>
      </w:r>
    </w:p>
    <w:p>
      <w:pPr>
        <w:pStyle w:val="ListParagraph"/>
        <w:numPr>
          <w:ilvl w:val="0"/>
          <w:numId w:val="37"/>
        </w:numPr>
        <w:tabs>
          <w:tab w:val="left" w:leader="none" w:pos="1314"/>
          <w:tab w:val="left" w:leader="none" w:pos="1320"/>
        </w:tabs>
        <w:spacing w:before="7" w:after="0" w:line="252" w:lineRule="auto"/>
        <w:ind w:left="1320" w:right="1700" w:hanging="714"/>
        <w:jc w:val="left"/>
        <w:rPr>
          <w:color w:val="0E0E0E"/>
          <w:sz w:val="21"/>
        </w:rPr>
      </w:pPr>
      <w:r>
        <w:rPr>
          <w:color w:val="0E0E0E"/>
          <w:w w:val="105"/>
          <w:sz w:val="21"/>
        </w:rPr>
        <w:t>The Council is a member of the company and has the right to appoint or remove directors holding a majority of the voting rights at</w:t>
      </w:r>
      <w:r>
        <w:rPr>
          <w:color w:val="0E0E0E"/>
          <w:spacing w:val="-8"/>
          <w:w w:val="105"/>
          <w:sz w:val="21"/>
        </w:rPr>
        <w:t> </w:t>
      </w:r>
      <w:r>
        <w:rPr>
          <w:color w:val="0E0E0E"/>
          <w:w w:val="105"/>
          <w:sz w:val="21"/>
        </w:rPr>
        <w:t>meetings of</w:t>
      </w:r>
      <w:r>
        <w:rPr>
          <w:color w:val="0E0E0E"/>
          <w:spacing w:val="-12"/>
          <w:w w:val="105"/>
          <w:sz w:val="21"/>
        </w:rPr>
        <w:t> </w:t>
      </w:r>
      <w:r>
        <w:rPr>
          <w:color w:val="0E0E0E"/>
          <w:w w:val="105"/>
          <w:sz w:val="21"/>
        </w:rPr>
        <w:t>the</w:t>
      </w:r>
      <w:r>
        <w:rPr>
          <w:color w:val="0E0E0E"/>
          <w:spacing w:val="-8"/>
          <w:w w:val="105"/>
          <w:sz w:val="21"/>
        </w:rPr>
        <w:t> </w:t>
      </w:r>
      <w:r>
        <w:rPr>
          <w:color w:val="0E0E0E"/>
          <w:w w:val="105"/>
          <w:sz w:val="21"/>
        </w:rPr>
        <w:t>board</w:t>
      </w:r>
      <w:r>
        <w:rPr>
          <w:color w:val="0E0E0E"/>
          <w:spacing w:val="-6"/>
          <w:w w:val="105"/>
          <w:sz w:val="21"/>
        </w:rPr>
        <w:t> </w:t>
      </w:r>
      <w:r>
        <w:rPr>
          <w:color w:val="0E0E0E"/>
          <w:w w:val="105"/>
          <w:sz w:val="21"/>
        </w:rPr>
        <w:t>on most matters.</w:t>
      </w:r>
    </w:p>
    <w:p>
      <w:pPr>
        <w:pStyle w:val="ListParagraph"/>
        <w:numPr>
          <w:ilvl w:val="0"/>
          <w:numId w:val="37"/>
        </w:numPr>
        <w:tabs>
          <w:tab w:val="left" w:leader="none" w:pos="1319"/>
          <w:tab w:val="left" w:leader="none" w:pos="1321"/>
        </w:tabs>
        <w:spacing w:before="2" w:after="0" w:line="252" w:lineRule="auto"/>
        <w:ind w:left="1321" w:right="2082" w:hanging="706"/>
        <w:jc w:val="left"/>
        <w:rPr>
          <w:color w:val="0E0E0E"/>
          <w:sz w:val="21"/>
        </w:rPr>
      </w:pPr>
      <w:r>
        <w:rPr>
          <w:color w:val="0E0E0E"/>
          <w:w w:val="105"/>
          <w:sz w:val="21"/>
        </w:rPr>
        <w:t>The Council has the right to exercise</w:t>
      </w:r>
      <w:r>
        <w:rPr>
          <w:color w:val="0E0E0E"/>
          <w:spacing w:val="-11"/>
          <w:w w:val="105"/>
          <w:sz w:val="21"/>
        </w:rPr>
        <w:t> </w:t>
      </w:r>
      <w:r>
        <w:rPr>
          <w:color w:val="0E0E0E"/>
          <w:w w:val="105"/>
          <w:sz w:val="21"/>
        </w:rPr>
        <w:t>a</w:t>
      </w:r>
      <w:r>
        <w:rPr>
          <w:color w:val="0E0E0E"/>
          <w:spacing w:val="-15"/>
          <w:w w:val="105"/>
          <w:sz w:val="21"/>
        </w:rPr>
        <w:t> </w:t>
      </w:r>
      <w:r>
        <w:rPr>
          <w:color w:val="0E0E0E"/>
          <w:w w:val="105"/>
          <w:sz w:val="21"/>
        </w:rPr>
        <w:t>dominant</w:t>
      </w:r>
      <w:r>
        <w:rPr>
          <w:color w:val="0E0E0E"/>
          <w:spacing w:val="-14"/>
          <w:w w:val="105"/>
          <w:sz w:val="21"/>
        </w:rPr>
        <w:t> </w:t>
      </w:r>
      <w:r>
        <w:rPr>
          <w:color w:val="0E0E0E"/>
          <w:w w:val="105"/>
          <w:sz w:val="21"/>
        </w:rPr>
        <w:t>influence over the company.</w:t>
      </w:r>
    </w:p>
    <w:p>
      <w:pPr>
        <w:pStyle w:val="ListParagraph"/>
        <w:numPr>
          <w:ilvl w:val="0"/>
          <w:numId w:val="37"/>
        </w:numPr>
        <w:tabs>
          <w:tab w:val="left" w:leader="none" w:pos="1320"/>
          <w:tab w:val="left" w:leader="none" w:pos="1324"/>
        </w:tabs>
        <w:spacing w:before="9" w:after="0" w:line="249" w:lineRule="auto"/>
        <w:ind w:left="1320" w:right="1752" w:hanging="700"/>
        <w:jc w:val="left"/>
        <w:rPr>
          <w:color w:val="0E0E0E"/>
          <w:sz w:val="21"/>
        </w:rPr>
      </w:pPr>
      <w:r>
        <w:rPr>
          <w:color w:val="0E0E0E"/>
          <w:sz w:val="21"/>
        </w:rPr>
        <w:tab/>
      </w:r>
      <w:r>
        <w:rPr>
          <w:color w:val="0E0E0E"/>
          <w:w w:val="105"/>
          <w:sz w:val="21"/>
        </w:rPr>
        <w:t>The Council is a member of the company and controls alone a majority of</w:t>
      </w:r>
      <w:r>
        <w:rPr>
          <w:color w:val="0E0E0E"/>
          <w:spacing w:val="-13"/>
          <w:w w:val="105"/>
          <w:sz w:val="21"/>
        </w:rPr>
        <w:t> </w:t>
      </w:r>
      <w:r>
        <w:rPr>
          <w:color w:val="0E0E0E"/>
          <w:w w:val="105"/>
          <w:sz w:val="21"/>
        </w:rPr>
        <w:t>the</w:t>
      </w:r>
      <w:r>
        <w:rPr>
          <w:color w:val="0E0E0E"/>
          <w:spacing w:val="-7"/>
          <w:w w:val="105"/>
          <w:sz w:val="21"/>
        </w:rPr>
        <w:t> </w:t>
      </w:r>
      <w:r>
        <w:rPr>
          <w:color w:val="0E0E0E"/>
          <w:w w:val="105"/>
          <w:sz w:val="21"/>
        </w:rPr>
        <w:t>voting</w:t>
      </w:r>
      <w:r>
        <w:rPr>
          <w:color w:val="0E0E0E"/>
          <w:spacing w:val="-5"/>
          <w:w w:val="105"/>
          <w:sz w:val="21"/>
        </w:rPr>
        <w:t> </w:t>
      </w:r>
      <w:r>
        <w:rPr>
          <w:color w:val="0E0E0E"/>
          <w:w w:val="105"/>
          <w:sz w:val="21"/>
        </w:rPr>
        <w:t>rights in</w:t>
      </w:r>
      <w:r>
        <w:rPr>
          <w:color w:val="0E0E0E"/>
          <w:spacing w:val="-16"/>
          <w:w w:val="105"/>
          <w:sz w:val="21"/>
        </w:rPr>
        <w:t> </w:t>
      </w:r>
      <w:r>
        <w:rPr>
          <w:color w:val="0E0E0E"/>
          <w:w w:val="105"/>
          <w:sz w:val="21"/>
        </w:rPr>
        <w:t>the </w:t>
      </w:r>
      <w:r>
        <w:rPr>
          <w:color w:val="0E0E0E"/>
          <w:spacing w:val="-2"/>
          <w:w w:val="105"/>
          <w:sz w:val="21"/>
        </w:rPr>
        <w:t>company.</w:t>
      </w:r>
    </w:p>
    <w:p>
      <w:pPr>
        <w:pStyle w:val="ListParagraph"/>
        <w:numPr>
          <w:ilvl w:val="0"/>
          <w:numId w:val="37"/>
        </w:numPr>
        <w:tabs>
          <w:tab w:val="left" w:leader="none" w:pos="1324"/>
        </w:tabs>
        <w:spacing w:before="9" w:after="0" w:line="252" w:lineRule="auto"/>
        <w:ind w:left="1324" w:right="1935" w:hanging="704"/>
        <w:jc w:val="left"/>
        <w:rPr>
          <w:color w:val="0E0E0E"/>
          <w:sz w:val="21"/>
        </w:rPr>
      </w:pPr>
      <w:r>
        <w:rPr>
          <w:color w:val="0E0E0E"/>
          <w:w w:val="105"/>
          <w:sz w:val="21"/>
        </w:rPr>
        <w:t>The</w:t>
      </w:r>
      <w:r>
        <w:rPr>
          <w:color w:val="0E0E0E"/>
          <w:spacing w:val="-7"/>
          <w:w w:val="105"/>
          <w:sz w:val="21"/>
        </w:rPr>
        <w:t> </w:t>
      </w:r>
      <w:r>
        <w:rPr>
          <w:color w:val="0E0E0E"/>
          <w:w w:val="105"/>
          <w:sz w:val="21"/>
        </w:rPr>
        <w:t>Council has a</w:t>
      </w:r>
      <w:r>
        <w:rPr>
          <w:color w:val="0E0E0E"/>
          <w:spacing w:val="-5"/>
          <w:w w:val="105"/>
          <w:sz w:val="21"/>
        </w:rPr>
        <w:t> </w:t>
      </w:r>
      <w:r>
        <w:rPr>
          <w:color w:val="0E0E0E"/>
          <w:w w:val="105"/>
          <w:sz w:val="21"/>
        </w:rPr>
        <w:t>participating interest in the company and it actually exercises a dominant influence on</w:t>
      </w:r>
      <w:r>
        <w:rPr>
          <w:color w:val="0E0E0E"/>
          <w:spacing w:val="-3"/>
          <w:w w:val="105"/>
          <w:sz w:val="21"/>
        </w:rPr>
        <w:t> </w:t>
      </w:r>
      <w:r>
        <w:rPr>
          <w:color w:val="0E0E0E"/>
          <w:w w:val="105"/>
          <w:sz w:val="21"/>
        </w:rPr>
        <w:t>the company or it and</w:t>
      </w:r>
      <w:r>
        <w:rPr>
          <w:color w:val="0E0E0E"/>
          <w:spacing w:val="-12"/>
          <w:w w:val="105"/>
          <w:sz w:val="21"/>
        </w:rPr>
        <w:t> </w:t>
      </w:r>
      <w:r>
        <w:rPr>
          <w:color w:val="0E0E0E"/>
          <w:w w:val="105"/>
          <w:sz w:val="21"/>
        </w:rPr>
        <w:t>the</w:t>
      </w:r>
      <w:r>
        <w:rPr>
          <w:color w:val="0E0E0E"/>
          <w:spacing w:val="-11"/>
          <w:w w:val="105"/>
          <w:sz w:val="21"/>
        </w:rPr>
        <w:t> </w:t>
      </w:r>
      <w:r>
        <w:rPr>
          <w:color w:val="0E0E0E"/>
          <w:w w:val="105"/>
          <w:sz w:val="21"/>
        </w:rPr>
        <w:t>company are</w:t>
      </w:r>
      <w:r>
        <w:rPr>
          <w:color w:val="0E0E0E"/>
          <w:spacing w:val="-12"/>
          <w:w w:val="105"/>
          <w:sz w:val="21"/>
        </w:rPr>
        <w:t> </w:t>
      </w:r>
      <w:r>
        <w:rPr>
          <w:color w:val="0E0E0E"/>
          <w:w w:val="105"/>
          <w:sz w:val="21"/>
        </w:rPr>
        <w:t>managed on a unified basis.</w:t>
      </w:r>
    </w:p>
    <w:p>
      <w:pPr>
        <w:pStyle w:val="BodyText"/>
        <w:spacing w:before="5"/>
        <w:rPr>
          <w:sz w:val="21"/>
        </w:rPr>
      </w:pPr>
    </w:p>
    <w:p>
      <w:pPr>
        <w:spacing w:before="1" w:line="252" w:lineRule="auto"/>
        <w:ind w:left="244" w:right="1654" w:hanging="4"/>
        <w:jc w:val="left"/>
        <w:rPr>
          <w:sz w:val="21"/>
        </w:rPr>
      </w:pPr>
      <w:r>
        <w:rPr>
          <w:color w:val="0E0E0E"/>
          <w:w w:val="105"/>
          <w:sz w:val="21"/>
        </w:rPr>
        <w:t>Payments to</w:t>
      </w:r>
      <w:r>
        <w:rPr>
          <w:color w:val="0E0E0E"/>
          <w:spacing w:val="-13"/>
          <w:w w:val="105"/>
          <w:sz w:val="21"/>
        </w:rPr>
        <w:t> </w:t>
      </w:r>
      <w:r>
        <w:rPr>
          <w:color w:val="0E0E0E"/>
          <w:w w:val="105"/>
          <w:sz w:val="21"/>
        </w:rPr>
        <w:t>other</w:t>
      </w:r>
      <w:r>
        <w:rPr>
          <w:color w:val="0E0E0E"/>
          <w:spacing w:val="-7"/>
          <w:w w:val="105"/>
          <w:sz w:val="21"/>
        </w:rPr>
        <w:t> </w:t>
      </w:r>
      <w:r>
        <w:rPr>
          <w:color w:val="0E0E0E"/>
          <w:w w:val="105"/>
          <w:sz w:val="21"/>
        </w:rPr>
        <w:t>parties</w:t>
      </w:r>
      <w:r>
        <w:rPr>
          <w:color w:val="0E0E0E"/>
          <w:spacing w:val="-3"/>
          <w:w w:val="105"/>
          <w:sz w:val="21"/>
        </w:rPr>
        <w:t> </w:t>
      </w:r>
      <w:r>
        <w:rPr>
          <w:color w:val="0E0E0E"/>
          <w:w w:val="105"/>
          <w:sz w:val="21"/>
        </w:rPr>
        <w:t>that</w:t>
      </w:r>
      <w:r>
        <w:rPr>
          <w:color w:val="0E0E0E"/>
          <w:spacing w:val="-3"/>
          <w:w w:val="105"/>
          <w:sz w:val="21"/>
        </w:rPr>
        <w:t> </w:t>
      </w:r>
      <w:r>
        <w:rPr>
          <w:color w:val="0E0E0E"/>
          <w:w w:val="105"/>
          <w:sz w:val="21"/>
        </w:rPr>
        <w:t>do</w:t>
      </w:r>
      <w:r>
        <w:rPr>
          <w:color w:val="0E0E0E"/>
          <w:spacing w:val="-8"/>
          <w:w w:val="105"/>
          <w:sz w:val="21"/>
        </w:rPr>
        <w:t> </w:t>
      </w:r>
      <w:r>
        <w:rPr>
          <w:color w:val="0E0E0E"/>
          <w:w w:val="105"/>
          <w:sz w:val="21"/>
        </w:rPr>
        <w:t>not</w:t>
      </w:r>
      <w:r>
        <w:rPr>
          <w:color w:val="0E0E0E"/>
          <w:spacing w:val="-3"/>
          <w:w w:val="105"/>
          <w:sz w:val="21"/>
        </w:rPr>
        <w:t> </w:t>
      </w:r>
      <w:r>
        <w:rPr>
          <w:color w:val="0E0E0E"/>
          <w:w w:val="105"/>
          <w:sz w:val="21"/>
        </w:rPr>
        <w:t>involve the provision of goods or services to the </w:t>
      </w:r>
      <w:r>
        <w:rPr>
          <w:color w:val="0E0E0E"/>
          <w:spacing w:val="-2"/>
          <w:w w:val="105"/>
          <w:sz w:val="21"/>
        </w:rPr>
        <w:t>Council.</w:t>
      </w:r>
    </w:p>
    <w:p>
      <w:pPr>
        <w:pStyle w:val="BodyText"/>
        <w:spacing w:before="11"/>
        <w:rPr>
          <w:sz w:val="21"/>
        </w:rPr>
      </w:pPr>
    </w:p>
    <w:p>
      <w:pPr>
        <w:spacing w:before="0" w:line="252" w:lineRule="auto"/>
        <w:ind w:left="248" w:right="2031" w:hanging="2"/>
        <w:jc w:val="left"/>
        <w:rPr>
          <w:sz w:val="21"/>
        </w:rPr>
      </w:pPr>
      <w:r>
        <w:rPr>
          <w:color w:val="0E0E0E"/>
          <w:w w:val="105"/>
          <w:sz w:val="21"/>
        </w:rPr>
        <w:t>This</w:t>
      </w:r>
      <w:r>
        <w:rPr>
          <w:color w:val="0E0E0E"/>
          <w:spacing w:val="-5"/>
          <w:w w:val="105"/>
          <w:sz w:val="21"/>
        </w:rPr>
        <w:t> </w:t>
      </w:r>
      <w:r>
        <w:rPr>
          <w:color w:val="0E0E0E"/>
          <w:w w:val="105"/>
          <w:sz w:val="21"/>
        </w:rPr>
        <w:t>balance</w:t>
      </w:r>
      <w:r>
        <w:rPr>
          <w:color w:val="0E0E0E"/>
          <w:spacing w:val="-3"/>
          <w:w w:val="105"/>
          <w:sz w:val="21"/>
        </w:rPr>
        <w:t> </w:t>
      </w:r>
      <w:r>
        <w:rPr>
          <w:color w:val="0E0E0E"/>
          <w:w w:val="105"/>
          <w:sz w:val="21"/>
        </w:rPr>
        <w:t>is</w:t>
      </w:r>
      <w:r>
        <w:rPr>
          <w:color w:val="0E0E0E"/>
          <w:spacing w:val="-7"/>
          <w:w w:val="105"/>
          <w:sz w:val="21"/>
        </w:rPr>
        <w:t> </w:t>
      </w:r>
      <w:r>
        <w:rPr>
          <w:color w:val="0E0E0E"/>
          <w:w w:val="105"/>
          <w:sz w:val="21"/>
        </w:rPr>
        <w:t>available</w:t>
      </w:r>
      <w:r>
        <w:rPr>
          <w:color w:val="0E0E0E"/>
          <w:spacing w:val="-1"/>
          <w:w w:val="105"/>
          <w:sz w:val="21"/>
        </w:rPr>
        <w:t> </w:t>
      </w:r>
      <w:r>
        <w:rPr>
          <w:color w:val="0E0E0E"/>
          <w:w w:val="105"/>
          <w:sz w:val="21"/>
        </w:rPr>
        <w:t>to</w:t>
      </w:r>
      <w:r>
        <w:rPr>
          <w:color w:val="0E0E0E"/>
          <w:spacing w:val="-13"/>
          <w:w w:val="105"/>
          <w:sz w:val="21"/>
        </w:rPr>
        <w:t> </w:t>
      </w:r>
      <w:r>
        <w:rPr>
          <w:color w:val="0E0E0E"/>
          <w:w w:val="105"/>
          <w:sz w:val="21"/>
        </w:rPr>
        <w:t>either</w:t>
      </w:r>
      <w:r>
        <w:rPr>
          <w:color w:val="0E0E0E"/>
          <w:spacing w:val="-5"/>
          <w:w w:val="105"/>
          <w:sz w:val="21"/>
        </w:rPr>
        <w:t> </w:t>
      </w:r>
      <w:r>
        <w:rPr>
          <w:color w:val="0E0E0E"/>
          <w:w w:val="105"/>
          <w:sz w:val="21"/>
        </w:rPr>
        <w:t>finance capital expenditure or repay debt.</w:t>
      </w:r>
    </w:p>
    <w:p>
      <w:pPr>
        <w:pStyle w:val="BodyText"/>
        <w:spacing w:before="16"/>
        <w:rPr>
          <w:sz w:val="21"/>
        </w:rPr>
      </w:pPr>
    </w:p>
    <w:p>
      <w:pPr>
        <w:spacing w:before="0" w:line="252" w:lineRule="auto"/>
        <w:ind w:left="243" w:right="1654" w:firstLine="6"/>
        <w:jc w:val="left"/>
        <w:rPr>
          <w:sz w:val="21"/>
        </w:rPr>
      </w:pPr>
      <w:r>
        <w:rPr>
          <w:color w:val="0E0E0E"/>
          <w:w w:val="105"/>
          <w:sz w:val="21"/>
        </w:rPr>
        <w:t>With relation to employee benefits, the benefits that employees have earned an entitlement to</w:t>
      </w:r>
      <w:r>
        <w:rPr>
          <w:color w:val="0E0E0E"/>
          <w:spacing w:val="-7"/>
          <w:w w:val="105"/>
          <w:sz w:val="21"/>
        </w:rPr>
        <w:t> </w:t>
      </w:r>
      <w:r>
        <w:rPr>
          <w:color w:val="0E0E0E"/>
          <w:w w:val="105"/>
          <w:sz w:val="21"/>
        </w:rPr>
        <w:t>before</w:t>
      </w:r>
      <w:r>
        <w:rPr>
          <w:color w:val="0E0E0E"/>
          <w:spacing w:val="-2"/>
          <w:w w:val="105"/>
          <w:sz w:val="21"/>
        </w:rPr>
        <w:t> </w:t>
      </w:r>
      <w:r>
        <w:rPr>
          <w:color w:val="0E0E0E"/>
          <w:w w:val="105"/>
          <w:sz w:val="21"/>
        </w:rPr>
        <w:t>the</w:t>
      </w:r>
      <w:r>
        <w:rPr>
          <w:color w:val="0E0E0E"/>
          <w:spacing w:val="-10"/>
          <w:w w:val="105"/>
          <w:sz w:val="21"/>
        </w:rPr>
        <w:t> </w:t>
      </w:r>
      <w:r>
        <w:rPr>
          <w:color w:val="0E0E0E"/>
          <w:w w:val="105"/>
          <w:sz w:val="21"/>
        </w:rPr>
        <w:t>year-end, and</w:t>
      </w:r>
      <w:r>
        <w:rPr>
          <w:color w:val="0E0E0E"/>
          <w:spacing w:val="-16"/>
          <w:w w:val="105"/>
          <w:sz w:val="21"/>
        </w:rPr>
        <w:t> </w:t>
      </w:r>
      <w:r>
        <w:rPr>
          <w:color w:val="0E0E0E"/>
          <w:w w:val="105"/>
          <w:sz w:val="21"/>
        </w:rPr>
        <w:t>not those that it is projected they will become entitled to as a result of future events.</w:t>
      </w:r>
    </w:p>
    <w:sectPr>
      <w:type w:val="continuous"/>
      <w:pgSz w:w="11910" w:h="16830"/>
      <w:pgMar w:top="1940" w:right="540" w:bottom="280" w:left="440" w:header="704" w:footer="1156"/>
      <w:cols w:equalWidth="0" w:num="2">
        <w:col w:w="2752" w:space="1858"/>
        <w:col w:w="632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6656">
              <wp:simplePos x="0" y="0"/>
              <wp:positionH relativeFrom="page">
                <wp:posOffset>6685129</wp:posOffset>
              </wp:positionH>
              <wp:positionV relativeFrom="page">
                <wp:posOffset>10450350</wp:posOffset>
              </wp:positionV>
              <wp:extent cx="181610" cy="18415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181610" cy="184150"/>
                      </a:xfrm>
                      <a:prstGeom prst="rect">
                        <a:avLst/>
                      </a:prstGeom>
                    </wps:spPr>
                    <wps:txbx>
                      <w:txbxContent>
                        <w:p>
                          <w:pPr>
                            <w:pStyle w:val="BodyText"/>
                            <w:spacing w:before="20"/>
                            <w:ind w:left="20"/>
                            <w:rPr>
                              <w:rFonts w:ascii="Courier New"/>
                            </w:rPr>
                          </w:pPr>
                          <w:r>
                            <w:rPr>
                              <w:rFonts w:ascii="Courier New"/>
                              <w:color w:val="0A0A0A"/>
                              <w:spacing w:val="-5"/>
                            </w:rPr>
                            <w:t>15</w:t>
                          </w:r>
                        </w:p>
                      </w:txbxContent>
                    </wps:txbx>
                    <wps:bodyPr wrap="square" lIns="0" tIns="0" rIns="0" bIns="0" rtlCol="0">
                      <a:noAutofit/>
                    </wps:bodyPr>
                  </wps:wsp>
                </a:graphicData>
              </a:graphic>
            </wp:anchor>
          </w:drawing>
        </mc:Choice>
        <mc:Fallback>
          <w:pict>
            <v:shape style="position:absolute;margin-left:526.388184pt;margin-top:822.862244pt;width:14.3pt;height:14.5pt;mso-position-horizontal-relative:page;mso-position-vertical-relative:page;z-index:-27469824" type="#_x0000_t202" id="docshape25" filled="false" stroked="false">
              <v:textbox inset="0,0,0,0">
                <w:txbxContent>
                  <w:p>
                    <w:pPr>
                      <w:pStyle w:val="BodyText"/>
                      <w:spacing w:before="20"/>
                      <w:ind w:left="20"/>
                      <w:rPr>
                        <w:rFonts w:ascii="Courier New"/>
                      </w:rPr>
                    </w:pPr>
                    <w:r>
                      <w:rPr>
                        <w:rFonts w:ascii="Courier New"/>
                        <w:color w:val="0A0A0A"/>
                        <w:spacing w:val="-5"/>
                      </w:rPr>
                      <w:t>15</w:t>
                    </w:r>
                  </w:p>
                </w:txbxContent>
              </v:textbox>
              <w10:wrap type="none"/>
            </v:shape>
          </w:pict>
        </mc:Fallback>
      </mc:AlternateContent>
    </w:r>
  </w:p>
</w:ftr>
</file>

<file path=word/footer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3184">
              <wp:simplePos x="0" y="0"/>
              <wp:positionH relativeFrom="page">
                <wp:posOffset>6454903</wp:posOffset>
              </wp:positionH>
              <wp:positionV relativeFrom="page">
                <wp:posOffset>9816978</wp:posOffset>
              </wp:positionV>
              <wp:extent cx="246379" cy="167640"/>
              <wp:effectExtent l="0" t="0" r="0" b="0"/>
              <wp:wrapNone/>
              <wp:docPr id="606" name="Textbox 606"/>
              <wp:cNvGraphicFramePr>
                <a:graphicFrameLocks/>
              </wp:cNvGraphicFramePr>
              <a:graphic>
                <a:graphicData uri="http://schemas.microsoft.com/office/word/2010/wordprocessingShape">
                  <wps:wsp>
                    <wps:cNvPr id="606" name="Textbox 606"/>
                    <wps:cNvSpPr txBox="1"/>
                    <wps:spPr>
                      <a:xfrm>
                        <a:off x="0" y="0"/>
                        <a:ext cx="246379" cy="167640"/>
                      </a:xfrm>
                      <a:prstGeom prst="rect">
                        <a:avLst/>
                      </a:prstGeom>
                    </wps:spPr>
                    <wps:txbx>
                      <w:txbxContent>
                        <w:p>
                          <w:pPr>
                            <w:spacing w:before="13"/>
                            <w:ind w:left="20" w:right="0" w:firstLine="0"/>
                            <w:jc w:val="left"/>
                            <w:rPr>
                              <w:sz w:val="20"/>
                            </w:rPr>
                          </w:pPr>
                          <w:r>
                            <w:rPr>
                              <w:color w:val="0A0A0A"/>
                              <w:spacing w:val="-5"/>
                              <w:w w:val="105"/>
                              <w:sz w:val="20"/>
                            </w:rPr>
                            <w:t>107</w:t>
                          </w:r>
                        </w:p>
                      </w:txbxContent>
                    </wps:txbx>
                    <wps:bodyPr wrap="square" lIns="0" tIns="0" rIns="0" bIns="0" rtlCol="0">
                      <a:noAutofit/>
                    </wps:bodyPr>
                  </wps:wsp>
                </a:graphicData>
              </a:graphic>
            </wp:anchor>
          </w:drawing>
        </mc:Choice>
        <mc:Fallback>
          <w:pict>
            <v:shape style="position:absolute;margin-left:508.260101pt;margin-top:772.990417pt;width:19.4pt;height:13.2pt;mso-position-horizontal-relative:page;mso-position-vertical-relative:page;z-index:-27383296" type="#_x0000_t202" id="docshape398" filled="false" stroked="false">
              <v:textbox inset="0,0,0,0">
                <w:txbxContent>
                  <w:p>
                    <w:pPr>
                      <w:spacing w:before="13"/>
                      <w:ind w:left="20" w:right="0" w:firstLine="0"/>
                      <w:jc w:val="left"/>
                      <w:rPr>
                        <w:sz w:val="20"/>
                      </w:rPr>
                    </w:pPr>
                    <w:r>
                      <w:rPr>
                        <w:color w:val="0A0A0A"/>
                        <w:spacing w:val="-5"/>
                        <w:w w:val="105"/>
                        <w:sz w:val="20"/>
                      </w:rPr>
                      <w:t>107</w:t>
                    </w:r>
                  </w:p>
                </w:txbxContent>
              </v:textbox>
              <w10:wrap type="none"/>
            </v:shape>
          </w:pict>
        </mc:Fallback>
      </mc:AlternateContent>
    </w:r>
  </w:p>
</w:ftr>
</file>

<file path=word/footer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3696">
              <wp:simplePos x="0" y="0"/>
              <wp:positionH relativeFrom="page">
                <wp:posOffset>6510542</wp:posOffset>
              </wp:positionH>
              <wp:positionV relativeFrom="page">
                <wp:posOffset>10060748</wp:posOffset>
              </wp:positionV>
              <wp:extent cx="243204" cy="160655"/>
              <wp:effectExtent l="0" t="0" r="0" b="0"/>
              <wp:wrapNone/>
              <wp:docPr id="607" name="Textbox 607"/>
              <wp:cNvGraphicFramePr>
                <a:graphicFrameLocks/>
              </wp:cNvGraphicFramePr>
              <a:graphic>
                <a:graphicData uri="http://schemas.microsoft.com/office/word/2010/wordprocessingShape">
                  <wps:wsp>
                    <wps:cNvPr id="607" name="Textbox 607"/>
                    <wps:cNvSpPr txBox="1"/>
                    <wps:spPr>
                      <a:xfrm>
                        <a:off x="0" y="0"/>
                        <a:ext cx="243204" cy="160655"/>
                      </a:xfrm>
                      <a:prstGeom prst="rect">
                        <a:avLst/>
                      </a:prstGeom>
                    </wps:spPr>
                    <wps:txbx>
                      <w:txbxContent>
                        <w:p>
                          <w:pPr>
                            <w:spacing w:before="14"/>
                            <w:ind w:left="20" w:right="0" w:firstLine="0"/>
                            <w:jc w:val="left"/>
                            <w:rPr>
                              <w:sz w:val="19"/>
                            </w:rPr>
                          </w:pPr>
                          <w:r>
                            <w:rPr>
                              <w:color w:val="0F0F0F"/>
                              <w:spacing w:val="-5"/>
                              <w:w w:val="110"/>
                              <w:sz w:val="19"/>
                            </w:rPr>
                            <w:t>108</w:t>
                          </w:r>
                        </w:p>
                      </w:txbxContent>
                    </wps:txbx>
                    <wps:bodyPr wrap="square" lIns="0" tIns="0" rIns="0" bIns="0" rtlCol="0">
                      <a:noAutofit/>
                    </wps:bodyPr>
                  </wps:wsp>
                </a:graphicData>
              </a:graphic>
            </wp:anchor>
          </w:drawing>
        </mc:Choice>
        <mc:Fallback>
          <w:pict>
            <v:shape style="position:absolute;margin-left:512.641113pt;margin-top:792.184937pt;width:19.150pt;height:12.65pt;mso-position-horizontal-relative:page;mso-position-vertical-relative:page;z-index:-27382784" type="#_x0000_t202" id="docshape399" filled="false" stroked="false">
              <v:textbox inset="0,0,0,0">
                <w:txbxContent>
                  <w:p>
                    <w:pPr>
                      <w:spacing w:before="14"/>
                      <w:ind w:left="20" w:right="0" w:firstLine="0"/>
                      <w:jc w:val="left"/>
                      <w:rPr>
                        <w:sz w:val="19"/>
                      </w:rPr>
                    </w:pPr>
                    <w:r>
                      <w:rPr>
                        <w:color w:val="0F0F0F"/>
                        <w:spacing w:val="-5"/>
                        <w:w w:val="110"/>
                        <w:sz w:val="19"/>
                      </w:rPr>
                      <w:t>108</w:t>
                    </w:r>
                  </w:p>
                </w:txbxContent>
              </v:textbox>
              <w10:wrap type="none"/>
            </v:shape>
          </w:pict>
        </mc:Fallback>
      </mc:AlternateContent>
    </w:r>
  </w:p>
</w:ftr>
</file>

<file path=word/footer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5232">
              <wp:simplePos x="0" y="0"/>
              <wp:positionH relativeFrom="page">
                <wp:posOffset>6538469</wp:posOffset>
              </wp:positionH>
              <wp:positionV relativeFrom="page">
                <wp:posOffset>9999719</wp:posOffset>
              </wp:positionV>
              <wp:extent cx="239395" cy="160655"/>
              <wp:effectExtent l="0" t="0" r="0" b="0"/>
              <wp:wrapNone/>
              <wp:docPr id="622" name="Textbox 622"/>
              <wp:cNvGraphicFramePr>
                <a:graphicFrameLocks/>
              </wp:cNvGraphicFramePr>
              <a:graphic>
                <a:graphicData uri="http://schemas.microsoft.com/office/word/2010/wordprocessingShape">
                  <wps:wsp>
                    <wps:cNvPr id="622" name="Textbox 622"/>
                    <wps:cNvSpPr txBox="1"/>
                    <wps:spPr>
                      <a:xfrm>
                        <a:off x="0" y="0"/>
                        <a:ext cx="239395" cy="160655"/>
                      </a:xfrm>
                      <a:prstGeom prst="rect">
                        <a:avLst/>
                      </a:prstGeom>
                    </wps:spPr>
                    <wps:txbx>
                      <w:txbxContent>
                        <w:p>
                          <w:pPr>
                            <w:spacing w:before="14"/>
                            <w:ind w:left="20" w:right="0" w:firstLine="0"/>
                            <w:jc w:val="left"/>
                            <w:rPr>
                              <w:b/>
                              <w:sz w:val="19"/>
                            </w:rPr>
                          </w:pPr>
                          <w:r>
                            <w:rPr>
                              <w:b/>
                              <w:color w:val="0E0E0E"/>
                              <w:spacing w:val="-5"/>
                              <w:w w:val="105"/>
                              <w:sz w:val="19"/>
                            </w:rPr>
                            <w:t>109</w:t>
                          </w:r>
                        </w:p>
                      </w:txbxContent>
                    </wps:txbx>
                    <wps:bodyPr wrap="square" lIns="0" tIns="0" rIns="0" bIns="0" rtlCol="0">
                      <a:noAutofit/>
                    </wps:bodyPr>
                  </wps:wsp>
                </a:graphicData>
              </a:graphic>
            </wp:anchor>
          </w:drawing>
        </mc:Choice>
        <mc:Fallback>
          <w:pict>
            <v:shape style="position:absolute;margin-left:514.840088pt;margin-top:787.379456pt;width:18.850pt;height:12.65pt;mso-position-horizontal-relative:page;mso-position-vertical-relative:page;z-index:-27381248" type="#_x0000_t202" id="docshape407" filled="false" stroked="false">
              <v:textbox inset="0,0,0,0">
                <w:txbxContent>
                  <w:p>
                    <w:pPr>
                      <w:spacing w:before="14"/>
                      <w:ind w:left="20" w:right="0" w:firstLine="0"/>
                      <w:jc w:val="left"/>
                      <w:rPr>
                        <w:b/>
                        <w:sz w:val="19"/>
                      </w:rPr>
                    </w:pPr>
                    <w:r>
                      <w:rPr>
                        <w:b/>
                        <w:color w:val="0E0E0E"/>
                        <w:spacing w:val="-5"/>
                        <w:w w:val="105"/>
                        <w:sz w:val="19"/>
                      </w:rPr>
                      <w:t>109</w:t>
                    </w:r>
                  </w:p>
                </w:txbxContent>
              </v:textbox>
              <w10:wrap type="none"/>
            </v:shape>
          </w:pict>
        </mc:Fallback>
      </mc:AlternateContent>
    </w:r>
  </w:p>
</w:ftr>
</file>

<file path=word/footer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5744">
              <wp:simplePos x="0" y="0"/>
              <wp:positionH relativeFrom="page">
                <wp:posOffset>6484454</wp:posOffset>
              </wp:positionH>
              <wp:positionV relativeFrom="page">
                <wp:posOffset>9896316</wp:posOffset>
              </wp:positionV>
              <wp:extent cx="309880" cy="167640"/>
              <wp:effectExtent l="0" t="0" r="0" b="0"/>
              <wp:wrapNone/>
              <wp:docPr id="623" name="Textbox 623"/>
              <wp:cNvGraphicFramePr>
                <a:graphicFrameLocks/>
              </wp:cNvGraphicFramePr>
              <a:graphic>
                <a:graphicData uri="http://schemas.microsoft.com/office/word/2010/wordprocessingShape">
                  <wps:wsp>
                    <wps:cNvPr id="623" name="Textbox 623"/>
                    <wps:cNvSpPr txBox="1"/>
                    <wps:spPr>
                      <a:xfrm>
                        <a:off x="0" y="0"/>
                        <a:ext cx="309880" cy="167640"/>
                      </a:xfrm>
                      <a:prstGeom prst="rect">
                        <a:avLst/>
                      </a:prstGeom>
                    </wps:spPr>
                    <wps:txbx>
                      <w:txbxContent>
                        <w:p>
                          <w:pPr>
                            <w:spacing w:before="13"/>
                            <w:ind w:left="60" w:right="0" w:firstLine="0"/>
                            <w:jc w:val="left"/>
                            <w:rPr>
                              <w:sz w:val="20"/>
                            </w:rPr>
                          </w:pPr>
                          <w:r>
                            <w:rPr>
                              <w:color w:val="0E0E0E"/>
                              <w:spacing w:val="-5"/>
                              <w:w w:val="105"/>
                              <w:sz w:val="20"/>
                            </w:rPr>
                            <w:fldChar w:fldCharType="begin"/>
                          </w:r>
                          <w:r>
                            <w:rPr>
                              <w:color w:val="0E0E0E"/>
                              <w:spacing w:val="-5"/>
                              <w:w w:val="105"/>
                              <w:sz w:val="20"/>
                            </w:rPr>
                            <w:instrText> PAGE </w:instrText>
                          </w:r>
                          <w:r>
                            <w:rPr>
                              <w:color w:val="0E0E0E"/>
                              <w:spacing w:val="-5"/>
                              <w:w w:val="105"/>
                              <w:sz w:val="20"/>
                            </w:rPr>
                            <w:fldChar w:fldCharType="separate"/>
                          </w:r>
                          <w:r>
                            <w:rPr>
                              <w:color w:val="0E0E0E"/>
                              <w:spacing w:val="-5"/>
                              <w:w w:val="105"/>
                              <w:sz w:val="20"/>
                            </w:rPr>
                            <w:t>110</w:t>
                          </w:r>
                          <w:r>
                            <w:rPr>
                              <w:color w:val="0E0E0E"/>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510.587006pt;margin-top:779.237549pt;width:24.4pt;height:13.2pt;mso-position-horizontal-relative:page;mso-position-vertical-relative:page;z-index:-27380736" type="#_x0000_t202" id="docshape408" filled="false" stroked="false">
              <v:textbox inset="0,0,0,0">
                <w:txbxContent>
                  <w:p>
                    <w:pPr>
                      <w:spacing w:before="13"/>
                      <w:ind w:left="60" w:right="0" w:firstLine="0"/>
                      <w:jc w:val="left"/>
                      <w:rPr>
                        <w:sz w:val="20"/>
                      </w:rPr>
                    </w:pPr>
                    <w:r>
                      <w:rPr>
                        <w:color w:val="0E0E0E"/>
                        <w:spacing w:val="-5"/>
                        <w:w w:val="105"/>
                        <w:sz w:val="20"/>
                      </w:rPr>
                      <w:fldChar w:fldCharType="begin"/>
                    </w:r>
                    <w:r>
                      <w:rPr>
                        <w:color w:val="0E0E0E"/>
                        <w:spacing w:val="-5"/>
                        <w:w w:val="105"/>
                        <w:sz w:val="20"/>
                      </w:rPr>
                      <w:instrText> PAGE </w:instrText>
                    </w:r>
                    <w:r>
                      <w:rPr>
                        <w:color w:val="0E0E0E"/>
                        <w:spacing w:val="-5"/>
                        <w:w w:val="105"/>
                        <w:sz w:val="20"/>
                      </w:rPr>
                      <w:fldChar w:fldCharType="separate"/>
                    </w:r>
                    <w:r>
                      <w:rPr>
                        <w:color w:val="0E0E0E"/>
                        <w:spacing w:val="-5"/>
                        <w:w w:val="105"/>
                        <w:sz w:val="20"/>
                      </w:rPr>
                      <w:t>110</w:t>
                    </w:r>
                    <w:r>
                      <w:rPr>
                        <w:color w:val="0E0E0E"/>
                        <w:spacing w:val="-5"/>
                        <w:w w:val="105"/>
                        <w:sz w:val="20"/>
                      </w:rPr>
                      <w:fldChar w:fldCharType="end"/>
                    </w:r>
                  </w:p>
                </w:txbxContent>
              </v:textbox>
              <w10:wrap type="none"/>
            </v:shape>
          </w:pict>
        </mc:Fallback>
      </mc:AlternateContent>
    </w:r>
  </w:p>
</w:ftr>
</file>

<file path=word/footer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6256">
              <wp:simplePos x="0" y="0"/>
              <wp:positionH relativeFrom="page">
                <wp:posOffset>6408818</wp:posOffset>
              </wp:positionH>
              <wp:positionV relativeFrom="page">
                <wp:posOffset>9810527</wp:posOffset>
              </wp:positionV>
              <wp:extent cx="290830" cy="160655"/>
              <wp:effectExtent l="0" t="0" r="0" b="0"/>
              <wp:wrapNone/>
              <wp:docPr id="627" name="Textbox 627"/>
              <wp:cNvGraphicFramePr>
                <a:graphicFrameLocks/>
              </wp:cNvGraphicFramePr>
              <a:graphic>
                <a:graphicData uri="http://schemas.microsoft.com/office/word/2010/wordprocessingShape">
                  <wps:wsp>
                    <wps:cNvPr id="627" name="Textbox 627"/>
                    <wps:cNvSpPr txBox="1"/>
                    <wps:spPr>
                      <a:xfrm>
                        <a:off x="0" y="0"/>
                        <a:ext cx="290830" cy="160655"/>
                      </a:xfrm>
                      <a:prstGeom prst="rect">
                        <a:avLst/>
                      </a:prstGeom>
                    </wps:spPr>
                    <wps:txbx>
                      <w:txbxContent>
                        <w:p>
                          <w:pPr>
                            <w:spacing w:before="14"/>
                            <w:ind w:left="60" w:right="0" w:firstLine="0"/>
                            <w:jc w:val="left"/>
                            <w:rPr>
                              <w:sz w:val="19"/>
                            </w:rPr>
                          </w:pPr>
                          <w:r>
                            <w:rPr>
                              <w:color w:val="0C0C0C"/>
                              <w:spacing w:val="-5"/>
                              <w:sz w:val="19"/>
                            </w:rPr>
                            <w:fldChar w:fldCharType="begin"/>
                          </w:r>
                          <w:r>
                            <w:rPr>
                              <w:color w:val="0C0C0C"/>
                              <w:spacing w:val="-5"/>
                              <w:sz w:val="19"/>
                            </w:rPr>
                            <w:instrText> PAGE </w:instrText>
                          </w:r>
                          <w:r>
                            <w:rPr>
                              <w:color w:val="0C0C0C"/>
                              <w:spacing w:val="-5"/>
                              <w:sz w:val="19"/>
                            </w:rPr>
                            <w:fldChar w:fldCharType="separate"/>
                          </w:r>
                          <w:r>
                            <w:rPr>
                              <w:color w:val="0C0C0C"/>
                              <w:spacing w:val="-5"/>
                              <w:sz w:val="19"/>
                            </w:rPr>
                            <w:t>111</w:t>
                          </w:r>
                          <w:r>
                            <w:rPr>
                              <w:color w:val="0C0C0C"/>
                              <w:spacing w:val="-5"/>
                              <w:sz w:val="19"/>
                            </w:rPr>
                            <w:fldChar w:fldCharType="end"/>
                          </w:r>
                        </w:p>
                      </w:txbxContent>
                    </wps:txbx>
                    <wps:bodyPr wrap="square" lIns="0" tIns="0" rIns="0" bIns="0" rtlCol="0">
                      <a:noAutofit/>
                    </wps:bodyPr>
                  </wps:wsp>
                </a:graphicData>
              </a:graphic>
            </wp:anchor>
          </w:drawing>
        </mc:Choice>
        <mc:Fallback>
          <w:pict>
            <v:shape style="position:absolute;margin-left:504.631409pt;margin-top:772.482483pt;width:22.9pt;height:12.65pt;mso-position-horizontal-relative:page;mso-position-vertical-relative:page;z-index:-27380224" type="#_x0000_t202" id="docshape409" filled="false" stroked="false">
              <v:textbox inset="0,0,0,0">
                <w:txbxContent>
                  <w:p>
                    <w:pPr>
                      <w:spacing w:before="14"/>
                      <w:ind w:left="60" w:right="0" w:firstLine="0"/>
                      <w:jc w:val="left"/>
                      <w:rPr>
                        <w:sz w:val="19"/>
                      </w:rPr>
                    </w:pPr>
                    <w:r>
                      <w:rPr>
                        <w:color w:val="0C0C0C"/>
                        <w:spacing w:val="-5"/>
                        <w:sz w:val="19"/>
                      </w:rPr>
                      <w:fldChar w:fldCharType="begin"/>
                    </w:r>
                    <w:r>
                      <w:rPr>
                        <w:color w:val="0C0C0C"/>
                        <w:spacing w:val="-5"/>
                        <w:sz w:val="19"/>
                      </w:rPr>
                      <w:instrText> PAGE </w:instrText>
                    </w:r>
                    <w:r>
                      <w:rPr>
                        <w:color w:val="0C0C0C"/>
                        <w:spacing w:val="-5"/>
                        <w:sz w:val="19"/>
                      </w:rPr>
                      <w:fldChar w:fldCharType="separate"/>
                    </w:r>
                    <w:r>
                      <w:rPr>
                        <w:color w:val="0C0C0C"/>
                        <w:spacing w:val="-5"/>
                        <w:sz w:val="19"/>
                      </w:rPr>
                      <w:t>111</w:t>
                    </w:r>
                    <w:r>
                      <w:rPr>
                        <w:color w:val="0C0C0C"/>
                        <w:spacing w:val="-5"/>
                        <w:sz w:val="19"/>
                      </w:rPr>
                      <w:fldChar w:fldCharType="end"/>
                    </w:r>
                  </w:p>
                </w:txbxContent>
              </v:textbox>
              <w10:wrap type="none"/>
            </v:shape>
          </w:pict>
        </mc:Fallback>
      </mc:AlternateContent>
    </w:r>
  </w:p>
</w:ftr>
</file>

<file path=word/footer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6768">
              <wp:simplePos x="0" y="0"/>
              <wp:positionH relativeFrom="page">
                <wp:posOffset>6488061</wp:posOffset>
              </wp:positionH>
              <wp:positionV relativeFrom="page">
                <wp:posOffset>9898843</wp:posOffset>
              </wp:positionV>
              <wp:extent cx="315595" cy="191135"/>
              <wp:effectExtent l="0" t="0" r="0" b="0"/>
              <wp:wrapNone/>
              <wp:docPr id="628" name="Textbox 628"/>
              <wp:cNvGraphicFramePr>
                <a:graphicFrameLocks/>
              </wp:cNvGraphicFramePr>
              <a:graphic>
                <a:graphicData uri="http://schemas.microsoft.com/office/word/2010/wordprocessingShape">
                  <wps:wsp>
                    <wps:cNvPr id="628" name="Textbox 628"/>
                    <wps:cNvSpPr txBox="1"/>
                    <wps:spPr>
                      <a:xfrm>
                        <a:off x="0" y="0"/>
                        <a:ext cx="315595" cy="191135"/>
                      </a:xfrm>
                      <a:prstGeom prst="rect">
                        <a:avLst/>
                      </a:prstGeom>
                    </wps:spPr>
                    <wps:txbx>
                      <w:txbxContent>
                        <w:p>
                          <w:pPr>
                            <w:spacing w:before="20"/>
                            <w:ind w:left="60" w:right="0" w:firstLine="0"/>
                            <w:jc w:val="left"/>
                            <w:rPr>
                              <w:rFonts w:ascii="Courier New"/>
                              <w:sz w:val="23"/>
                            </w:rPr>
                          </w:pPr>
                          <w:r>
                            <w:rPr>
                              <w:rFonts w:ascii="Courier New"/>
                              <w:color w:val="080808"/>
                              <w:spacing w:val="-5"/>
                              <w:w w:val="95"/>
                              <w:sz w:val="23"/>
                            </w:rPr>
                            <w:fldChar w:fldCharType="begin"/>
                          </w:r>
                          <w:r>
                            <w:rPr>
                              <w:rFonts w:ascii="Courier New"/>
                              <w:color w:val="080808"/>
                              <w:spacing w:val="-5"/>
                              <w:w w:val="95"/>
                              <w:sz w:val="23"/>
                            </w:rPr>
                            <w:instrText> PAGE </w:instrText>
                          </w:r>
                          <w:r>
                            <w:rPr>
                              <w:rFonts w:ascii="Courier New"/>
                              <w:color w:val="080808"/>
                              <w:spacing w:val="-5"/>
                              <w:w w:val="95"/>
                              <w:sz w:val="23"/>
                            </w:rPr>
                            <w:fldChar w:fldCharType="separate"/>
                          </w:r>
                          <w:r>
                            <w:rPr>
                              <w:rFonts w:ascii="Courier New"/>
                              <w:color w:val="080808"/>
                              <w:spacing w:val="-5"/>
                              <w:w w:val="95"/>
                              <w:sz w:val="23"/>
                            </w:rPr>
                            <w:t>112</w:t>
                          </w:r>
                          <w:r>
                            <w:rPr>
                              <w:rFonts w:ascii="Courier New"/>
                              <w:color w:val="080808"/>
                              <w:spacing w:val="-5"/>
                              <w:w w:val="95"/>
                              <w:sz w:val="23"/>
                            </w:rPr>
                            <w:fldChar w:fldCharType="end"/>
                          </w:r>
                        </w:p>
                      </w:txbxContent>
                    </wps:txbx>
                    <wps:bodyPr wrap="square" lIns="0" tIns="0" rIns="0" bIns="0" rtlCol="0">
                      <a:noAutofit/>
                    </wps:bodyPr>
                  </wps:wsp>
                </a:graphicData>
              </a:graphic>
            </wp:anchor>
          </w:drawing>
        </mc:Choice>
        <mc:Fallback>
          <w:pict>
            <v:shape style="position:absolute;margin-left:510.871002pt;margin-top:779.436523pt;width:24.85pt;height:15.05pt;mso-position-horizontal-relative:page;mso-position-vertical-relative:page;z-index:-27379712" type="#_x0000_t202" id="docshape410" filled="false" stroked="false">
              <v:textbox inset="0,0,0,0">
                <w:txbxContent>
                  <w:p>
                    <w:pPr>
                      <w:spacing w:before="20"/>
                      <w:ind w:left="60" w:right="0" w:firstLine="0"/>
                      <w:jc w:val="left"/>
                      <w:rPr>
                        <w:rFonts w:ascii="Courier New"/>
                        <w:sz w:val="23"/>
                      </w:rPr>
                    </w:pPr>
                    <w:r>
                      <w:rPr>
                        <w:rFonts w:ascii="Courier New"/>
                        <w:color w:val="080808"/>
                        <w:spacing w:val="-5"/>
                        <w:w w:val="95"/>
                        <w:sz w:val="23"/>
                      </w:rPr>
                      <w:fldChar w:fldCharType="begin"/>
                    </w:r>
                    <w:r>
                      <w:rPr>
                        <w:rFonts w:ascii="Courier New"/>
                        <w:color w:val="080808"/>
                        <w:spacing w:val="-5"/>
                        <w:w w:val="95"/>
                        <w:sz w:val="23"/>
                      </w:rPr>
                      <w:instrText> PAGE </w:instrText>
                    </w:r>
                    <w:r>
                      <w:rPr>
                        <w:rFonts w:ascii="Courier New"/>
                        <w:color w:val="080808"/>
                        <w:spacing w:val="-5"/>
                        <w:w w:val="95"/>
                        <w:sz w:val="23"/>
                      </w:rPr>
                      <w:fldChar w:fldCharType="separate"/>
                    </w:r>
                    <w:r>
                      <w:rPr>
                        <w:rFonts w:ascii="Courier New"/>
                        <w:color w:val="080808"/>
                        <w:spacing w:val="-5"/>
                        <w:w w:val="95"/>
                        <w:sz w:val="23"/>
                      </w:rPr>
                      <w:t>112</w:t>
                    </w:r>
                    <w:r>
                      <w:rPr>
                        <w:rFonts w:ascii="Courier New"/>
                        <w:color w:val="080808"/>
                        <w:spacing w:val="-5"/>
                        <w:w w:val="95"/>
                        <w:sz w:val="23"/>
                      </w:rPr>
                      <w:fldChar w:fldCharType="end"/>
                    </w:r>
                  </w:p>
                </w:txbxContent>
              </v:textbox>
              <w10:wrap type="none"/>
            </v:shape>
          </w:pict>
        </mc:Fallback>
      </mc:AlternateContent>
    </w:r>
  </w:p>
</w:ftr>
</file>

<file path=word/footer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7280">
              <wp:simplePos x="0" y="0"/>
              <wp:positionH relativeFrom="page">
                <wp:posOffset>6401008</wp:posOffset>
              </wp:positionH>
              <wp:positionV relativeFrom="page">
                <wp:posOffset>9809623</wp:posOffset>
              </wp:positionV>
              <wp:extent cx="287655" cy="166370"/>
              <wp:effectExtent l="0" t="0" r="0" b="0"/>
              <wp:wrapNone/>
              <wp:docPr id="632" name="Textbox 632"/>
              <wp:cNvGraphicFramePr>
                <a:graphicFrameLocks/>
              </wp:cNvGraphicFramePr>
              <a:graphic>
                <a:graphicData uri="http://schemas.microsoft.com/office/word/2010/wordprocessingShape">
                  <wps:wsp>
                    <wps:cNvPr id="632" name="Textbox 632"/>
                    <wps:cNvSpPr txBox="1"/>
                    <wps:spPr>
                      <a:xfrm>
                        <a:off x="0" y="0"/>
                        <a:ext cx="287655" cy="166370"/>
                      </a:xfrm>
                      <a:prstGeom prst="rect">
                        <a:avLst/>
                      </a:prstGeom>
                    </wps:spPr>
                    <wps:txbx>
                      <w:txbxContent>
                        <w:p>
                          <w:pPr>
                            <w:spacing w:before="11"/>
                            <w:ind w:left="60" w:right="0" w:firstLine="0"/>
                            <w:jc w:val="left"/>
                            <w:rPr>
                              <w:rFonts w:ascii="Times New Roman"/>
                              <w:sz w:val="20"/>
                            </w:rPr>
                          </w:pPr>
                          <w:r>
                            <w:rPr>
                              <w:rFonts w:ascii="Times New Roman"/>
                              <w:color w:val="0F0F0F"/>
                              <w:spacing w:val="-5"/>
                              <w:w w:val="105"/>
                              <w:sz w:val="20"/>
                            </w:rPr>
                            <w:fldChar w:fldCharType="begin"/>
                          </w:r>
                          <w:r>
                            <w:rPr>
                              <w:rFonts w:ascii="Times New Roman"/>
                              <w:color w:val="0F0F0F"/>
                              <w:spacing w:val="-5"/>
                              <w:w w:val="105"/>
                              <w:sz w:val="20"/>
                            </w:rPr>
                            <w:instrText> PAGE </w:instrText>
                          </w:r>
                          <w:r>
                            <w:rPr>
                              <w:rFonts w:ascii="Times New Roman"/>
                              <w:color w:val="0F0F0F"/>
                              <w:spacing w:val="-5"/>
                              <w:w w:val="105"/>
                              <w:sz w:val="20"/>
                            </w:rPr>
                            <w:fldChar w:fldCharType="separate"/>
                          </w:r>
                          <w:r>
                            <w:rPr>
                              <w:rFonts w:ascii="Times New Roman"/>
                              <w:color w:val="0F0F0F"/>
                              <w:spacing w:val="-5"/>
                              <w:w w:val="105"/>
                              <w:sz w:val="20"/>
                            </w:rPr>
                            <w:t>113</w:t>
                          </w:r>
                          <w:r>
                            <w:rPr>
                              <w:rFonts w:ascii="Times New Roman"/>
                              <w:color w:val="0F0F0F"/>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504.016388pt;margin-top:772.411316pt;width:22.65pt;height:13.1pt;mso-position-horizontal-relative:page;mso-position-vertical-relative:page;z-index:-27379200" type="#_x0000_t202" id="docshape412" filled="false" stroked="false">
              <v:textbox inset="0,0,0,0">
                <w:txbxContent>
                  <w:p>
                    <w:pPr>
                      <w:spacing w:before="11"/>
                      <w:ind w:left="60" w:right="0" w:firstLine="0"/>
                      <w:jc w:val="left"/>
                      <w:rPr>
                        <w:rFonts w:ascii="Times New Roman"/>
                        <w:sz w:val="20"/>
                      </w:rPr>
                    </w:pPr>
                    <w:r>
                      <w:rPr>
                        <w:rFonts w:ascii="Times New Roman"/>
                        <w:color w:val="0F0F0F"/>
                        <w:spacing w:val="-5"/>
                        <w:w w:val="105"/>
                        <w:sz w:val="20"/>
                      </w:rPr>
                      <w:fldChar w:fldCharType="begin"/>
                    </w:r>
                    <w:r>
                      <w:rPr>
                        <w:rFonts w:ascii="Times New Roman"/>
                        <w:color w:val="0F0F0F"/>
                        <w:spacing w:val="-5"/>
                        <w:w w:val="105"/>
                        <w:sz w:val="20"/>
                      </w:rPr>
                      <w:instrText> PAGE </w:instrText>
                    </w:r>
                    <w:r>
                      <w:rPr>
                        <w:rFonts w:ascii="Times New Roman"/>
                        <w:color w:val="0F0F0F"/>
                        <w:spacing w:val="-5"/>
                        <w:w w:val="105"/>
                        <w:sz w:val="20"/>
                      </w:rPr>
                      <w:fldChar w:fldCharType="separate"/>
                    </w:r>
                    <w:r>
                      <w:rPr>
                        <w:rFonts w:ascii="Times New Roman"/>
                        <w:color w:val="0F0F0F"/>
                        <w:spacing w:val="-5"/>
                        <w:w w:val="105"/>
                        <w:sz w:val="20"/>
                      </w:rPr>
                      <w:t>113</w:t>
                    </w:r>
                    <w:r>
                      <w:rPr>
                        <w:rFonts w:ascii="Times New Roman"/>
                        <w:color w:val="0F0F0F"/>
                        <w:spacing w:val="-5"/>
                        <w:w w:val="105"/>
                        <w:sz w:val="20"/>
                      </w:rPr>
                      <w:fldChar w:fldCharType="end"/>
                    </w:r>
                  </w:p>
                </w:txbxContent>
              </v:textbox>
              <w10:wrap type="none"/>
            </v:shape>
          </w:pict>
        </mc:Fallback>
      </mc:AlternateContent>
    </w:r>
  </w:p>
</w:ftr>
</file>

<file path=word/footer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7792">
              <wp:simplePos x="0" y="0"/>
              <wp:positionH relativeFrom="page">
                <wp:posOffset>6526989</wp:posOffset>
              </wp:positionH>
              <wp:positionV relativeFrom="page">
                <wp:posOffset>10078591</wp:posOffset>
              </wp:positionV>
              <wp:extent cx="238125" cy="173355"/>
              <wp:effectExtent l="0" t="0" r="0" b="0"/>
              <wp:wrapNone/>
              <wp:docPr id="633" name="Textbox 633"/>
              <wp:cNvGraphicFramePr>
                <a:graphicFrameLocks/>
              </wp:cNvGraphicFramePr>
              <a:graphic>
                <a:graphicData uri="http://schemas.microsoft.com/office/word/2010/wordprocessingShape">
                  <wps:wsp>
                    <wps:cNvPr id="633" name="Textbox 633"/>
                    <wps:cNvSpPr txBox="1"/>
                    <wps:spPr>
                      <a:xfrm>
                        <a:off x="0" y="0"/>
                        <a:ext cx="238125" cy="173355"/>
                      </a:xfrm>
                      <a:prstGeom prst="rect">
                        <a:avLst/>
                      </a:prstGeom>
                    </wps:spPr>
                    <wps:txbx>
                      <w:txbxContent>
                        <w:p>
                          <w:pPr>
                            <w:spacing w:before="11"/>
                            <w:ind w:left="20" w:right="0" w:firstLine="0"/>
                            <w:jc w:val="left"/>
                            <w:rPr>
                              <w:rFonts w:ascii="Times New Roman"/>
                              <w:b/>
                              <w:sz w:val="21"/>
                            </w:rPr>
                          </w:pPr>
                          <w:r>
                            <w:rPr>
                              <w:rFonts w:ascii="Times New Roman"/>
                              <w:b/>
                              <w:color w:val="0F0F0F"/>
                              <w:spacing w:val="-5"/>
                              <w:w w:val="105"/>
                              <w:sz w:val="21"/>
                            </w:rPr>
                            <w:t>114</w:t>
                          </w:r>
                        </w:p>
                      </w:txbxContent>
                    </wps:txbx>
                    <wps:bodyPr wrap="square" lIns="0" tIns="0" rIns="0" bIns="0" rtlCol="0">
                      <a:noAutofit/>
                    </wps:bodyPr>
                  </wps:wsp>
                </a:graphicData>
              </a:graphic>
            </wp:anchor>
          </w:drawing>
        </mc:Choice>
        <mc:Fallback>
          <w:pict>
            <v:shape style="position:absolute;margin-left:513.936218pt;margin-top:793.589905pt;width:18.75pt;height:13.65pt;mso-position-horizontal-relative:page;mso-position-vertical-relative:page;z-index:-27378688" type="#_x0000_t202" id="docshape413" filled="false" stroked="false">
              <v:textbox inset="0,0,0,0">
                <w:txbxContent>
                  <w:p>
                    <w:pPr>
                      <w:spacing w:before="11"/>
                      <w:ind w:left="20" w:right="0" w:firstLine="0"/>
                      <w:jc w:val="left"/>
                      <w:rPr>
                        <w:rFonts w:ascii="Times New Roman"/>
                        <w:b/>
                        <w:sz w:val="21"/>
                      </w:rPr>
                    </w:pPr>
                    <w:r>
                      <w:rPr>
                        <w:rFonts w:ascii="Times New Roman"/>
                        <w:b/>
                        <w:color w:val="0F0F0F"/>
                        <w:spacing w:val="-5"/>
                        <w:w w:val="105"/>
                        <w:sz w:val="21"/>
                      </w:rPr>
                      <w:t>114</w:t>
                    </w:r>
                  </w:p>
                </w:txbxContent>
              </v:textbox>
              <w10:wrap type="none"/>
            </v:shape>
          </w:pict>
        </mc:Fallback>
      </mc:AlternateContent>
    </w:r>
  </w:p>
</w:ftr>
</file>

<file path=word/footer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8304">
              <wp:simplePos x="0" y="0"/>
              <wp:positionH relativeFrom="page">
                <wp:posOffset>6553893</wp:posOffset>
              </wp:positionH>
              <wp:positionV relativeFrom="page">
                <wp:posOffset>10011459</wp:posOffset>
              </wp:positionV>
              <wp:extent cx="226060" cy="173355"/>
              <wp:effectExtent l="0" t="0" r="0" b="0"/>
              <wp:wrapNone/>
              <wp:docPr id="642" name="Textbox 642"/>
              <wp:cNvGraphicFramePr>
                <a:graphicFrameLocks/>
              </wp:cNvGraphicFramePr>
              <a:graphic>
                <a:graphicData uri="http://schemas.microsoft.com/office/word/2010/wordprocessingShape">
                  <wps:wsp>
                    <wps:cNvPr id="642" name="Textbox 642"/>
                    <wps:cNvSpPr txBox="1"/>
                    <wps:spPr>
                      <a:xfrm>
                        <a:off x="0" y="0"/>
                        <a:ext cx="226060" cy="173355"/>
                      </a:xfrm>
                      <a:prstGeom prst="rect">
                        <a:avLst/>
                      </a:prstGeom>
                    </wps:spPr>
                    <wps:txbx>
                      <w:txbxContent>
                        <w:p>
                          <w:pPr>
                            <w:spacing w:before="11"/>
                            <w:ind w:left="20" w:right="0" w:firstLine="0"/>
                            <w:jc w:val="left"/>
                            <w:rPr>
                              <w:rFonts w:ascii="Times New Roman"/>
                              <w:sz w:val="21"/>
                            </w:rPr>
                          </w:pPr>
                          <w:r>
                            <w:rPr>
                              <w:rFonts w:ascii="Times New Roman"/>
                              <w:color w:val="0F0F0F"/>
                              <w:spacing w:val="-5"/>
                              <w:sz w:val="21"/>
                            </w:rPr>
                            <w:t>115</w:t>
                          </w:r>
                        </w:p>
                      </w:txbxContent>
                    </wps:txbx>
                    <wps:bodyPr wrap="square" lIns="0" tIns="0" rIns="0" bIns="0" rtlCol="0">
                      <a:noAutofit/>
                    </wps:bodyPr>
                  </wps:wsp>
                </a:graphicData>
              </a:graphic>
            </wp:anchor>
          </w:drawing>
        </mc:Choice>
        <mc:Fallback>
          <w:pict>
            <v:shape style="position:absolute;margin-left:516.054626pt;margin-top:788.303894pt;width:17.8pt;height:13.65pt;mso-position-horizontal-relative:page;mso-position-vertical-relative:page;z-index:-27378176" type="#_x0000_t202" id="docshape417" filled="false" stroked="false">
              <v:textbox inset="0,0,0,0">
                <w:txbxContent>
                  <w:p>
                    <w:pPr>
                      <w:spacing w:before="11"/>
                      <w:ind w:left="20" w:right="0" w:firstLine="0"/>
                      <w:jc w:val="left"/>
                      <w:rPr>
                        <w:rFonts w:ascii="Times New Roman"/>
                        <w:sz w:val="21"/>
                      </w:rPr>
                    </w:pPr>
                    <w:r>
                      <w:rPr>
                        <w:rFonts w:ascii="Times New Roman"/>
                        <w:color w:val="0F0F0F"/>
                        <w:spacing w:val="-5"/>
                        <w:sz w:val="21"/>
                      </w:rPr>
                      <w:t>115</w:t>
                    </w:r>
                  </w:p>
                </w:txbxContent>
              </v:textbox>
              <w10:wrap type="none"/>
            </v:shape>
          </w:pict>
        </mc:Fallback>
      </mc:AlternateContent>
    </w:r>
  </w:p>
</w:ftr>
</file>

<file path=word/footer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8816">
              <wp:simplePos x="0" y="0"/>
              <wp:positionH relativeFrom="page">
                <wp:posOffset>6488767</wp:posOffset>
              </wp:positionH>
              <wp:positionV relativeFrom="page">
                <wp:posOffset>9913811</wp:posOffset>
              </wp:positionV>
              <wp:extent cx="300355" cy="186690"/>
              <wp:effectExtent l="0" t="0" r="0" b="0"/>
              <wp:wrapNone/>
              <wp:docPr id="643" name="Textbox 643"/>
              <wp:cNvGraphicFramePr>
                <a:graphicFrameLocks/>
              </wp:cNvGraphicFramePr>
              <a:graphic>
                <a:graphicData uri="http://schemas.microsoft.com/office/word/2010/wordprocessingShape">
                  <wps:wsp>
                    <wps:cNvPr id="643" name="Textbox 643"/>
                    <wps:cNvSpPr txBox="1"/>
                    <wps:spPr>
                      <a:xfrm>
                        <a:off x="0" y="0"/>
                        <a:ext cx="300355" cy="186690"/>
                      </a:xfrm>
                      <a:prstGeom prst="rect">
                        <a:avLst/>
                      </a:prstGeom>
                    </wps:spPr>
                    <wps:txbx>
                      <w:txbxContent>
                        <w:p>
                          <w:pPr>
                            <w:spacing w:before="11"/>
                            <w:ind w:left="79" w:right="0" w:firstLine="0"/>
                            <w:jc w:val="left"/>
                            <w:rPr>
                              <w:rFonts w:ascii="Times New Roman"/>
                              <w:sz w:val="21"/>
                            </w:rPr>
                          </w:pPr>
                          <w:r>
                            <w:rPr>
                              <w:rFonts w:ascii="Times New Roman"/>
                              <w:color w:val="0C0C0C"/>
                              <w:spacing w:val="-5"/>
                              <w:sz w:val="21"/>
                            </w:rPr>
                            <w:fldChar w:fldCharType="begin"/>
                          </w:r>
                          <w:r>
                            <w:rPr>
                              <w:rFonts w:ascii="Times New Roman"/>
                              <w:color w:val="0C0C0C"/>
                              <w:spacing w:val="-5"/>
                              <w:sz w:val="21"/>
                            </w:rPr>
                            <w:instrText> PAGE </w:instrText>
                          </w:r>
                          <w:r>
                            <w:rPr>
                              <w:rFonts w:ascii="Times New Roman"/>
                              <w:color w:val="0C0C0C"/>
                              <w:spacing w:val="-5"/>
                              <w:sz w:val="21"/>
                            </w:rPr>
                            <w:fldChar w:fldCharType="separate"/>
                          </w:r>
                          <w:r>
                            <w:rPr>
                              <w:rFonts w:ascii="Times New Roman"/>
                              <w:color w:val="0C0C0C"/>
                              <w:spacing w:val="-5"/>
                              <w:sz w:val="21"/>
                            </w:rPr>
                            <w:t>118</w:t>
                          </w:r>
                          <w:r>
                            <w:rPr>
                              <w:rFonts w:ascii="Times New Roman"/>
                              <w:color w:val="0C0C0C"/>
                              <w:spacing w:val="-5"/>
                              <w:sz w:val="21"/>
                            </w:rPr>
                            <w:fldChar w:fldCharType="end"/>
                          </w:r>
                        </w:p>
                      </w:txbxContent>
                    </wps:txbx>
                    <wps:bodyPr wrap="square" lIns="0" tIns="0" rIns="0" bIns="0" rtlCol="0">
                      <a:noAutofit/>
                    </wps:bodyPr>
                  </wps:wsp>
                </a:graphicData>
              </a:graphic>
            </wp:anchor>
          </w:drawing>
        </mc:Choice>
        <mc:Fallback>
          <w:pict>
            <v:shape style="position:absolute;margin-left:510.926605pt;margin-top:780.615112pt;width:23.65pt;height:14.7pt;mso-position-horizontal-relative:page;mso-position-vertical-relative:page;z-index:-27377664" type="#_x0000_t202" id="docshape418" filled="false" stroked="false">
              <v:textbox inset="0,0,0,0">
                <w:txbxContent>
                  <w:p>
                    <w:pPr>
                      <w:spacing w:before="11"/>
                      <w:ind w:left="79" w:right="0" w:firstLine="0"/>
                      <w:jc w:val="left"/>
                      <w:rPr>
                        <w:rFonts w:ascii="Times New Roman"/>
                        <w:sz w:val="21"/>
                      </w:rPr>
                    </w:pPr>
                    <w:r>
                      <w:rPr>
                        <w:rFonts w:ascii="Times New Roman"/>
                        <w:color w:val="0C0C0C"/>
                        <w:spacing w:val="-5"/>
                        <w:sz w:val="21"/>
                      </w:rPr>
                      <w:fldChar w:fldCharType="begin"/>
                    </w:r>
                    <w:r>
                      <w:rPr>
                        <w:rFonts w:ascii="Times New Roman"/>
                        <w:color w:val="0C0C0C"/>
                        <w:spacing w:val="-5"/>
                        <w:sz w:val="21"/>
                      </w:rPr>
                      <w:instrText> PAGE </w:instrText>
                    </w:r>
                    <w:r>
                      <w:rPr>
                        <w:rFonts w:ascii="Times New Roman"/>
                        <w:color w:val="0C0C0C"/>
                        <w:spacing w:val="-5"/>
                        <w:sz w:val="21"/>
                      </w:rPr>
                      <w:fldChar w:fldCharType="separate"/>
                    </w:r>
                    <w:r>
                      <w:rPr>
                        <w:rFonts w:ascii="Times New Roman"/>
                        <w:color w:val="0C0C0C"/>
                        <w:spacing w:val="-5"/>
                        <w:sz w:val="21"/>
                      </w:rPr>
                      <w:t>118</w:t>
                    </w:r>
                    <w:r>
                      <w:rPr>
                        <w:rFonts w:ascii="Times New Roman"/>
                        <w:color w:val="0C0C0C"/>
                        <w:spacing w:val="-5"/>
                        <w:sz w:val="21"/>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7168">
              <wp:simplePos x="0" y="0"/>
              <wp:positionH relativeFrom="page">
                <wp:posOffset>6565090</wp:posOffset>
              </wp:positionH>
              <wp:positionV relativeFrom="page">
                <wp:posOffset>10334394</wp:posOffset>
              </wp:positionV>
              <wp:extent cx="248285" cy="18415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248285" cy="184150"/>
                      </a:xfrm>
                      <a:prstGeom prst="rect">
                        <a:avLst/>
                      </a:prstGeom>
                    </wps:spPr>
                    <wps:txbx>
                      <w:txbxContent>
                        <w:p>
                          <w:pPr>
                            <w:spacing w:before="20"/>
                            <w:ind w:left="83" w:right="0" w:firstLine="0"/>
                            <w:jc w:val="left"/>
                            <w:rPr>
                              <w:sz w:val="20"/>
                            </w:rPr>
                          </w:pPr>
                          <w:r>
                            <w:rPr>
                              <w:color w:val="0A0A0A"/>
                              <w:spacing w:val="-5"/>
                              <w:sz w:val="20"/>
                            </w:rPr>
                            <w:fldChar w:fldCharType="begin"/>
                          </w:r>
                          <w:r>
                            <w:rPr>
                              <w:color w:val="0A0A0A"/>
                              <w:spacing w:val="-5"/>
                              <w:sz w:val="20"/>
                            </w:rPr>
                            <w:instrText> PAGE </w:instrText>
                          </w:r>
                          <w:r>
                            <w:rPr>
                              <w:color w:val="0A0A0A"/>
                              <w:spacing w:val="-5"/>
                              <w:sz w:val="20"/>
                            </w:rPr>
                            <w:fldChar w:fldCharType="separate"/>
                          </w:r>
                          <w:r>
                            <w:rPr>
                              <w:color w:val="0A0A0A"/>
                              <w:spacing w:val="-5"/>
                              <w:sz w:val="20"/>
                            </w:rPr>
                            <w:t>20</w:t>
                          </w:r>
                          <w:r>
                            <w:rPr>
                              <w:color w:val="0A0A0A"/>
                              <w:spacing w:val="-5"/>
                              <w:sz w:val="20"/>
                            </w:rPr>
                            <w:fldChar w:fldCharType="end"/>
                          </w:r>
                        </w:p>
                      </w:txbxContent>
                    </wps:txbx>
                    <wps:bodyPr wrap="square" lIns="0" tIns="0" rIns="0" bIns="0" rtlCol="0">
                      <a:noAutofit/>
                    </wps:bodyPr>
                  </wps:wsp>
                </a:graphicData>
              </a:graphic>
            </wp:anchor>
          </w:drawing>
        </mc:Choice>
        <mc:Fallback>
          <w:pict>
            <v:shape style="position:absolute;margin-left:516.936279pt;margin-top:813.731873pt;width:19.55pt;height:14.5pt;mso-position-horizontal-relative:page;mso-position-vertical-relative:page;z-index:-27469312" type="#_x0000_t202" id="docshape26" filled="false" stroked="false">
              <v:textbox inset="0,0,0,0">
                <w:txbxContent>
                  <w:p>
                    <w:pPr>
                      <w:spacing w:before="20"/>
                      <w:ind w:left="83" w:right="0" w:firstLine="0"/>
                      <w:jc w:val="left"/>
                      <w:rPr>
                        <w:sz w:val="20"/>
                      </w:rPr>
                    </w:pPr>
                    <w:r>
                      <w:rPr>
                        <w:color w:val="0A0A0A"/>
                        <w:spacing w:val="-5"/>
                        <w:sz w:val="20"/>
                      </w:rPr>
                      <w:fldChar w:fldCharType="begin"/>
                    </w:r>
                    <w:r>
                      <w:rPr>
                        <w:color w:val="0A0A0A"/>
                        <w:spacing w:val="-5"/>
                        <w:sz w:val="20"/>
                      </w:rPr>
                      <w:instrText> PAGE </w:instrText>
                    </w:r>
                    <w:r>
                      <w:rPr>
                        <w:color w:val="0A0A0A"/>
                        <w:spacing w:val="-5"/>
                        <w:sz w:val="20"/>
                      </w:rPr>
                      <w:fldChar w:fldCharType="separate"/>
                    </w:r>
                    <w:r>
                      <w:rPr>
                        <w:color w:val="0A0A0A"/>
                        <w:spacing w:val="-5"/>
                        <w:sz w:val="20"/>
                      </w:rPr>
                      <w:t>20</w:t>
                    </w:r>
                    <w:r>
                      <w:rPr>
                        <w:color w:val="0A0A0A"/>
                        <w:spacing w:val="-5"/>
                        <w:sz w:val="20"/>
                      </w:rPr>
                      <w:fldChar w:fldCharType="end"/>
                    </w:r>
                  </w:p>
                </w:txbxContent>
              </v:textbox>
              <w10:wrap type="none"/>
            </v:shape>
          </w:pict>
        </mc:Fallback>
      </mc:AlternateContent>
    </w:r>
  </w:p>
</w:ftr>
</file>

<file path=word/footer1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9328">
              <wp:simplePos x="0" y="0"/>
              <wp:positionH relativeFrom="page">
                <wp:posOffset>6450831</wp:posOffset>
              </wp:positionH>
              <wp:positionV relativeFrom="page">
                <wp:posOffset>9821829</wp:posOffset>
              </wp:positionV>
              <wp:extent cx="220345" cy="166370"/>
              <wp:effectExtent l="0" t="0" r="0" b="0"/>
              <wp:wrapNone/>
              <wp:docPr id="648" name="Textbox 648"/>
              <wp:cNvGraphicFramePr>
                <a:graphicFrameLocks/>
              </wp:cNvGraphicFramePr>
              <a:graphic>
                <a:graphicData uri="http://schemas.microsoft.com/office/word/2010/wordprocessingShape">
                  <wps:wsp>
                    <wps:cNvPr id="648" name="Textbox 648"/>
                    <wps:cNvSpPr txBox="1"/>
                    <wps:spPr>
                      <a:xfrm>
                        <a:off x="0" y="0"/>
                        <a:ext cx="220345" cy="166370"/>
                      </a:xfrm>
                      <a:prstGeom prst="rect">
                        <a:avLst/>
                      </a:prstGeom>
                    </wps:spPr>
                    <wps:txbx>
                      <w:txbxContent>
                        <w:p>
                          <w:pPr>
                            <w:spacing w:before="11"/>
                            <w:ind w:left="20" w:right="0" w:firstLine="0"/>
                            <w:jc w:val="left"/>
                            <w:rPr>
                              <w:rFonts w:ascii="Times New Roman"/>
                              <w:sz w:val="20"/>
                            </w:rPr>
                          </w:pPr>
                          <w:r>
                            <w:rPr>
                              <w:rFonts w:ascii="Times New Roman"/>
                              <w:color w:val="0C0C0C"/>
                              <w:spacing w:val="-5"/>
                              <w:sz w:val="20"/>
                            </w:rPr>
                            <w:t>117</w:t>
                          </w:r>
                        </w:p>
                      </w:txbxContent>
                    </wps:txbx>
                    <wps:bodyPr wrap="square" lIns="0" tIns="0" rIns="0" bIns="0" rtlCol="0">
                      <a:noAutofit/>
                    </wps:bodyPr>
                  </wps:wsp>
                </a:graphicData>
              </a:graphic>
            </wp:anchor>
          </w:drawing>
        </mc:Choice>
        <mc:Fallback>
          <w:pict>
            <v:shape style="position:absolute;margin-left:507.939514pt;margin-top:773.372437pt;width:17.350pt;height:13.1pt;mso-position-horizontal-relative:page;mso-position-vertical-relative:page;z-index:-27377152" type="#_x0000_t202" id="docshape420" filled="false" stroked="false">
              <v:textbox inset="0,0,0,0">
                <w:txbxContent>
                  <w:p>
                    <w:pPr>
                      <w:spacing w:before="11"/>
                      <w:ind w:left="20" w:right="0" w:firstLine="0"/>
                      <w:jc w:val="left"/>
                      <w:rPr>
                        <w:rFonts w:ascii="Times New Roman"/>
                        <w:sz w:val="20"/>
                      </w:rPr>
                    </w:pPr>
                    <w:r>
                      <w:rPr>
                        <w:rFonts w:ascii="Times New Roman"/>
                        <w:color w:val="0C0C0C"/>
                        <w:spacing w:val="-5"/>
                        <w:sz w:val="20"/>
                      </w:rPr>
                      <w:t>117</w:t>
                    </w:r>
                  </w:p>
                </w:txbxContent>
              </v:textbox>
              <w10:wrap type="none"/>
            </v:shape>
          </w:pict>
        </mc:Fallback>
      </mc:AlternateContent>
    </w:r>
  </w:p>
</w:ftr>
</file>

<file path=word/footer1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9840">
              <wp:simplePos x="0" y="0"/>
              <wp:positionH relativeFrom="page">
                <wp:posOffset>6501017</wp:posOffset>
              </wp:positionH>
              <wp:positionV relativeFrom="page">
                <wp:posOffset>9913811</wp:posOffset>
              </wp:positionV>
              <wp:extent cx="285750" cy="173355"/>
              <wp:effectExtent l="0" t="0" r="0" b="0"/>
              <wp:wrapNone/>
              <wp:docPr id="649" name="Textbox 649"/>
              <wp:cNvGraphicFramePr>
                <a:graphicFrameLocks/>
              </wp:cNvGraphicFramePr>
              <a:graphic>
                <a:graphicData uri="http://schemas.microsoft.com/office/word/2010/wordprocessingShape">
                  <wps:wsp>
                    <wps:cNvPr id="649" name="Textbox 649"/>
                    <wps:cNvSpPr txBox="1"/>
                    <wps:spPr>
                      <a:xfrm>
                        <a:off x="0" y="0"/>
                        <a:ext cx="285750" cy="173355"/>
                      </a:xfrm>
                      <a:prstGeom prst="rect">
                        <a:avLst/>
                      </a:prstGeom>
                    </wps:spPr>
                    <wps:txbx>
                      <w:txbxContent>
                        <w:p>
                          <w:pPr>
                            <w:spacing w:before="11"/>
                            <w:ind w:left="60" w:right="0" w:firstLine="0"/>
                            <w:jc w:val="left"/>
                            <w:rPr>
                              <w:rFonts w:ascii="Times New Roman"/>
                              <w:sz w:val="21"/>
                            </w:rPr>
                          </w:pPr>
                          <w:r>
                            <w:rPr>
                              <w:rFonts w:ascii="Times New Roman"/>
                              <w:color w:val="0C0C0C"/>
                              <w:spacing w:val="-5"/>
                              <w:sz w:val="21"/>
                            </w:rPr>
                            <w:fldChar w:fldCharType="begin"/>
                          </w:r>
                          <w:r>
                            <w:rPr>
                              <w:rFonts w:ascii="Times New Roman"/>
                              <w:color w:val="0C0C0C"/>
                              <w:spacing w:val="-5"/>
                              <w:sz w:val="21"/>
                            </w:rPr>
                            <w:instrText> PAGE </w:instrText>
                          </w:r>
                          <w:r>
                            <w:rPr>
                              <w:rFonts w:ascii="Times New Roman"/>
                              <w:color w:val="0C0C0C"/>
                              <w:spacing w:val="-5"/>
                              <w:sz w:val="21"/>
                            </w:rPr>
                            <w:fldChar w:fldCharType="separate"/>
                          </w:r>
                          <w:r>
                            <w:rPr>
                              <w:rFonts w:ascii="Times New Roman"/>
                              <w:color w:val="0C0C0C"/>
                              <w:spacing w:val="-5"/>
                              <w:sz w:val="21"/>
                            </w:rPr>
                            <w:t>118</w:t>
                          </w:r>
                          <w:r>
                            <w:rPr>
                              <w:rFonts w:ascii="Times New Roman"/>
                              <w:color w:val="0C0C0C"/>
                              <w:spacing w:val="-5"/>
                              <w:sz w:val="21"/>
                            </w:rPr>
                            <w:fldChar w:fldCharType="end"/>
                          </w:r>
                        </w:p>
                      </w:txbxContent>
                    </wps:txbx>
                    <wps:bodyPr wrap="square" lIns="0" tIns="0" rIns="0" bIns="0" rtlCol="0">
                      <a:noAutofit/>
                    </wps:bodyPr>
                  </wps:wsp>
                </a:graphicData>
              </a:graphic>
            </wp:anchor>
          </w:drawing>
        </mc:Choice>
        <mc:Fallback>
          <w:pict>
            <v:shape style="position:absolute;margin-left:511.891113pt;margin-top:780.615112pt;width:22.5pt;height:13.65pt;mso-position-horizontal-relative:page;mso-position-vertical-relative:page;z-index:-27376640" type="#_x0000_t202" id="docshape421" filled="false" stroked="false">
              <v:textbox inset="0,0,0,0">
                <w:txbxContent>
                  <w:p>
                    <w:pPr>
                      <w:spacing w:before="11"/>
                      <w:ind w:left="60" w:right="0" w:firstLine="0"/>
                      <w:jc w:val="left"/>
                      <w:rPr>
                        <w:rFonts w:ascii="Times New Roman"/>
                        <w:sz w:val="21"/>
                      </w:rPr>
                    </w:pPr>
                    <w:r>
                      <w:rPr>
                        <w:rFonts w:ascii="Times New Roman"/>
                        <w:color w:val="0C0C0C"/>
                        <w:spacing w:val="-5"/>
                        <w:sz w:val="21"/>
                      </w:rPr>
                      <w:fldChar w:fldCharType="begin"/>
                    </w:r>
                    <w:r>
                      <w:rPr>
                        <w:rFonts w:ascii="Times New Roman"/>
                        <w:color w:val="0C0C0C"/>
                        <w:spacing w:val="-5"/>
                        <w:sz w:val="21"/>
                      </w:rPr>
                      <w:instrText> PAGE </w:instrText>
                    </w:r>
                    <w:r>
                      <w:rPr>
                        <w:rFonts w:ascii="Times New Roman"/>
                        <w:color w:val="0C0C0C"/>
                        <w:spacing w:val="-5"/>
                        <w:sz w:val="21"/>
                      </w:rPr>
                      <w:fldChar w:fldCharType="separate"/>
                    </w:r>
                    <w:r>
                      <w:rPr>
                        <w:rFonts w:ascii="Times New Roman"/>
                        <w:color w:val="0C0C0C"/>
                        <w:spacing w:val="-5"/>
                        <w:sz w:val="21"/>
                      </w:rPr>
                      <w:t>118</w:t>
                    </w:r>
                    <w:r>
                      <w:rPr>
                        <w:rFonts w:ascii="Times New Roman"/>
                        <w:color w:val="0C0C0C"/>
                        <w:spacing w:val="-5"/>
                        <w:sz w:val="21"/>
                      </w:rPr>
                      <w:fldChar w:fldCharType="end"/>
                    </w:r>
                  </w:p>
                </w:txbxContent>
              </v:textbox>
              <w10:wrap type="none"/>
            </v:shape>
          </w:pict>
        </mc:Fallback>
      </mc:AlternateContent>
    </w:r>
  </w:p>
</w:ftr>
</file>

<file path=word/footer1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0352">
              <wp:simplePos x="0" y="0"/>
              <wp:positionH relativeFrom="page">
                <wp:posOffset>6904980</wp:posOffset>
              </wp:positionH>
              <wp:positionV relativeFrom="page">
                <wp:posOffset>9999253</wp:posOffset>
              </wp:positionV>
              <wp:extent cx="236220" cy="173355"/>
              <wp:effectExtent l="0" t="0" r="0" b="0"/>
              <wp:wrapNone/>
              <wp:docPr id="655" name="Textbox 655"/>
              <wp:cNvGraphicFramePr>
                <a:graphicFrameLocks/>
              </wp:cNvGraphicFramePr>
              <a:graphic>
                <a:graphicData uri="http://schemas.microsoft.com/office/word/2010/wordprocessingShape">
                  <wps:wsp>
                    <wps:cNvPr id="655" name="Textbox 655"/>
                    <wps:cNvSpPr txBox="1"/>
                    <wps:spPr>
                      <a:xfrm>
                        <a:off x="0" y="0"/>
                        <a:ext cx="236220" cy="173355"/>
                      </a:xfrm>
                      <a:prstGeom prst="rect">
                        <a:avLst/>
                      </a:prstGeom>
                    </wps:spPr>
                    <wps:txbx>
                      <w:txbxContent>
                        <w:p>
                          <w:pPr>
                            <w:spacing w:before="11"/>
                            <w:ind w:left="20" w:right="0" w:firstLine="0"/>
                            <w:jc w:val="left"/>
                            <w:rPr>
                              <w:rFonts w:ascii="Times New Roman"/>
                              <w:sz w:val="21"/>
                            </w:rPr>
                          </w:pPr>
                          <w:r>
                            <w:rPr>
                              <w:rFonts w:ascii="Times New Roman"/>
                              <w:color w:val="0F0F0F"/>
                              <w:spacing w:val="-5"/>
                              <w:w w:val="105"/>
                              <w:sz w:val="21"/>
                            </w:rPr>
                            <w:t>121</w:t>
                          </w:r>
                        </w:p>
                      </w:txbxContent>
                    </wps:txbx>
                    <wps:bodyPr wrap="square" lIns="0" tIns="0" rIns="0" bIns="0" rtlCol="0">
                      <a:noAutofit/>
                    </wps:bodyPr>
                  </wps:wsp>
                </a:graphicData>
              </a:graphic>
            </wp:anchor>
          </w:drawing>
        </mc:Choice>
        <mc:Fallback>
          <w:pict>
            <v:shape style="position:absolute;margin-left:543.699219pt;margin-top:787.342773pt;width:18.6pt;height:13.65pt;mso-position-horizontal-relative:page;mso-position-vertical-relative:page;z-index:-27376128" type="#_x0000_t202" id="docshape424" filled="false" stroked="false">
              <v:textbox inset="0,0,0,0">
                <w:txbxContent>
                  <w:p>
                    <w:pPr>
                      <w:spacing w:before="11"/>
                      <w:ind w:left="20" w:right="0" w:firstLine="0"/>
                      <w:jc w:val="left"/>
                      <w:rPr>
                        <w:rFonts w:ascii="Times New Roman"/>
                        <w:sz w:val="21"/>
                      </w:rPr>
                    </w:pPr>
                    <w:r>
                      <w:rPr>
                        <w:rFonts w:ascii="Times New Roman"/>
                        <w:color w:val="0F0F0F"/>
                        <w:spacing w:val="-5"/>
                        <w:w w:val="105"/>
                        <w:sz w:val="21"/>
                      </w:rPr>
                      <w:t>121</w:t>
                    </w:r>
                  </w:p>
                </w:txbxContent>
              </v:textbox>
              <w10:wrap type="none"/>
            </v:shape>
          </w:pict>
        </mc:Fallback>
      </mc:AlternateContent>
    </w:r>
  </w:p>
</w:ftr>
</file>

<file path=word/footer1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0864">
              <wp:simplePos x="0" y="0"/>
              <wp:positionH relativeFrom="page">
                <wp:posOffset>6849012</wp:posOffset>
              </wp:positionH>
              <wp:positionV relativeFrom="page">
                <wp:posOffset>9901084</wp:posOffset>
              </wp:positionV>
              <wp:extent cx="305435" cy="184150"/>
              <wp:effectExtent l="0" t="0" r="0" b="0"/>
              <wp:wrapNone/>
              <wp:docPr id="656" name="Textbox 656"/>
              <wp:cNvGraphicFramePr>
                <a:graphicFrameLocks/>
              </wp:cNvGraphicFramePr>
              <a:graphic>
                <a:graphicData uri="http://schemas.microsoft.com/office/word/2010/wordprocessingShape">
                  <wps:wsp>
                    <wps:cNvPr id="656" name="Textbox 656"/>
                    <wps:cNvSpPr txBox="1"/>
                    <wps:spPr>
                      <a:xfrm>
                        <a:off x="0" y="0"/>
                        <a:ext cx="305435" cy="184150"/>
                      </a:xfrm>
                      <a:prstGeom prst="rect">
                        <a:avLst/>
                      </a:prstGeom>
                    </wps:spPr>
                    <wps:txbx>
                      <w:txbxContent>
                        <w:p>
                          <w:pPr>
                            <w:spacing w:before="16"/>
                            <w:ind w:left="66" w:right="0" w:firstLine="0"/>
                            <w:jc w:val="left"/>
                            <w:rPr>
                              <w:rFonts w:ascii="Times New Roman"/>
                              <w:sz w:val="20"/>
                            </w:rPr>
                          </w:pPr>
                          <w:r>
                            <w:rPr>
                              <w:rFonts w:ascii="Times New Roman"/>
                              <w:color w:val="0A0A0A"/>
                              <w:spacing w:val="-5"/>
                              <w:w w:val="105"/>
                              <w:sz w:val="20"/>
                            </w:rPr>
                            <w:fldChar w:fldCharType="begin"/>
                          </w:r>
                          <w:r>
                            <w:rPr>
                              <w:rFonts w:ascii="Times New Roman"/>
                              <w:color w:val="0A0A0A"/>
                              <w:spacing w:val="-5"/>
                              <w:w w:val="105"/>
                              <w:sz w:val="20"/>
                            </w:rPr>
                            <w:instrText> PAGE </w:instrText>
                          </w:r>
                          <w:r>
                            <w:rPr>
                              <w:rFonts w:ascii="Times New Roman"/>
                              <w:color w:val="0A0A0A"/>
                              <w:spacing w:val="-5"/>
                              <w:w w:val="105"/>
                              <w:sz w:val="20"/>
                            </w:rPr>
                            <w:fldChar w:fldCharType="separate"/>
                          </w:r>
                          <w:r>
                            <w:rPr>
                              <w:rFonts w:ascii="Times New Roman"/>
                              <w:color w:val="0A0A0A"/>
                              <w:spacing w:val="-5"/>
                              <w:w w:val="105"/>
                              <w:sz w:val="20"/>
                            </w:rPr>
                            <w:t>126</w:t>
                          </w:r>
                          <w:r>
                            <w:rPr>
                              <w:rFonts w:ascii="Times New Roman"/>
                              <w:color w:val="0A0A0A"/>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539.292297pt;margin-top:779.612976pt;width:24.05pt;height:14.5pt;mso-position-horizontal-relative:page;mso-position-vertical-relative:page;z-index:-27375616" type="#_x0000_t202" id="docshape425" filled="false" stroked="false">
              <v:textbox inset="0,0,0,0">
                <w:txbxContent>
                  <w:p>
                    <w:pPr>
                      <w:spacing w:before="16"/>
                      <w:ind w:left="66" w:right="0" w:firstLine="0"/>
                      <w:jc w:val="left"/>
                      <w:rPr>
                        <w:rFonts w:ascii="Times New Roman"/>
                        <w:sz w:val="20"/>
                      </w:rPr>
                    </w:pPr>
                    <w:r>
                      <w:rPr>
                        <w:rFonts w:ascii="Times New Roman"/>
                        <w:color w:val="0A0A0A"/>
                        <w:spacing w:val="-5"/>
                        <w:w w:val="105"/>
                        <w:sz w:val="20"/>
                      </w:rPr>
                      <w:fldChar w:fldCharType="begin"/>
                    </w:r>
                    <w:r>
                      <w:rPr>
                        <w:rFonts w:ascii="Times New Roman"/>
                        <w:color w:val="0A0A0A"/>
                        <w:spacing w:val="-5"/>
                        <w:w w:val="105"/>
                        <w:sz w:val="20"/>
                      </w:rPr>
                      <w:instrText> PAGE </w:instrText>
                    </w:r>
                    <w:r>
                      <w:rPr>
                        <w:rFonts w:ascii="Times New Roman"/>
                        <w:color w:val="0A0A0A"/>
                        <w:spacing w:val="-5"/>
                        <w:w w:val="105"/>
                        <w:sz w:val="20"/>
                      </w:rPr>
                      <w:fldChar w:fldCharType="separate"/>
                    </w:r>
                    <w:r>
                      <w:rPr>
                        <w:rFonts w:ascii="Times New Roman"/>
                        <w:color w:val="0A0A0A"/>
                        <w:spacing w:val="-5"/>
                        <w:w w:val="105"/>
                        <w:sz w:val="20"/>
                      </w:rPr>
                      <w:t>126</w:t>
                    </w:r>
                    <w:r>
                      <w:rPr>
                        <w:rFonts w:ascii="Times New Roman"/>
                        <w:color w:val="0A0A0A"/>
                        <w:spacing w:val="-5"/>
                        <w:w w:val="105"/>
                        <w:sz w:val="20"/>
                      </w:rPr>
                      <w:fldChar w:fldCharType="end"/>
                    </w:r>
                  </w:p>
                </w:txbxContent>
              </v:textbox>
              <w10:wrap type="none"/>
            </v:shape>
          </w:pict>
        </mc:Fallback>
      </mc:AlternateContent>
    </w:r>
  </w:p>
</w:ftr>
</file>

<file path=word/footer1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1376">
              <wp:simplePos x="0" y="0"/>
              <wp:positionH relativeFrom="page">
                <wp:posOffset>6211929</wp:posOffset>
              </wp:positionH>
              <wp:positionV relativeFrom="page">
                <wp:posOffset>9812591</wp:posOffset>
              </wp:positionV>
              <wp:extent cx="245110" cy="184150"/>
              <wp:effectExtent l="0" t="0" r="0" b="0"/>
              <wp:wrapNone/>
              <wp:docPr id="678" name="Textbox 678"/>
              <wp:cNvGraphicFramePr>
                <a:graphicFrameLocks/>
              </wp:cNvGraphicFramePr>
              <a:graphic>
                <a:graphicData uri="http://schemas.microsoft.com/office/word/2010/wordprocessingShape">
                  <wps:wsp>
                    <wps:cNvPr id="678" name="Textbox 678"/>
                    <wps:cNvSpPr txBox="1"/>
                    <wps:spPr>
                      <a:xfrm>
                        <a:off x="0" y="0"/>
                        <a:ext cx="245110" cy="184150"/>
                      </a:xfrm>
                      <a:prstGeom prst="rect">
                        <a:avLst/>
                      </a:prstGeom>
                    </wps:spPr>
                    <wps:txbx>
                      <w:txbxContent>
                        <w:p>
                          <w:pPr>
                            <w:pStyle w:val="BodyText"/>
                            <w:spacing w:before="20"/>
                            <w:ind w:left="20"/>
                            <w:rPr>
                              <w:rFonts w:ascii="Courier New"/>
                            </w:rPr>
                          </w:pPr>
                          <w:r>
                            <w:rPr>
                              <w:rFonts w:ascii="Courier New"/>
                              <w:color w:val="111111"/>
                              <w:spacing w:val="-5"/>
                              <w:w w:val="90"/>
                            </w:rPr>
                            <w:t>123</w:t>
                          </w:r>
                        </w:p>
                      </w:txbxContent>
                    </wps:txbx>
                    <wps:bodyPr wrap="square" lIns="0" tIns="0" rIns="0" bIns="0" rtlCol="0">
                      <a:noAutofit/>
                    </wps:bodyPr>
                  </wps:wsp>
                </a:graphicData>
              </a:graphic>
            </wp:anchor>
          </w:drawing>
        </mc:Choice>
        <mc:Fallback>
          <w:pict>
            <v:shape style="position:absolute;margin-left:489.128296pt;margin-top:772.64502pt;width:19.3pt;height:14.5pt;mso-position-horizontal-relative:page;mso-position-vertical-relative:page;z-index:-27375104" type="#_x0000_t202" id="docshape436" filled="false" stroked="false">
              <v:textbox inset="0,0,0,0">
                <w:txbxContent>
                  <w:p>
                    <w:pPr>
                      <w:pStyle w:val="BodyText"/>
                      <w:spacing w:before="20"/>
                      <w:ind w:left="20"/>
                      <w:rPr>
                        <w:rFonts w:ascii="Courier New"/>
                      </w:rPr>
                    </w:pPr>
                    <w:r>
                      <w:rPr>
                        <w:rFonts w:ascii="Courier New"/>
                        <w:color w:val="111111"/>
                        <w:spacing w:val="-5"/>
                        <w:w w:val="90"/>
                      </w:rPr>
                      <w:t>123</w:t>
                    </w:r>
                  </w:p>
                </w:txbxContent>
              </v:textbox>
              <w10:wrap type="none"/>
            </v:shape>
          </w:pict>
        </mc:Fallback>
      </mc:AlternateContent>
    </w:r>
  </w:p>
</w:ftr>
</file>

<file path=word/footer1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1888">
              <wp:simplePos x="0" y="0"/>
              <wp:positionH relativeFrom="page">
                <wp:posOffset>6849012</wp:posOffset>
              </wp:positionH>
              <wp:positionV relativeFrom="page">
                <wp:posOffset>9901084</wp:posOffset>
              </wp:positionV>
              <wp:extent cx="318135" cy="184150"/>
              <wp:effectExtent l="0" t="0" r="0" b="0"/>
              <wp:wrapNone/>
              <wp:docPr id="679" name="Textbox 679"/>
              <wp:cNvGraphicFramePr>
                <a:graphicFrameLocks/>
              </wp:cNvGraphicFramePr>
              <a:graphic>
                <a:graphicData uri="http://schemas.microsoft.com/office/word/2010/wordprocessingShape">
                  <wps:wsp>
                    <wps:cNvPr id="679" name="Textbox 679"/>
                    <wps:cNvSpPr txBox="1"/>
                    <wps:spPr>
                      <a:xfrm>
                        <a:off x="0" y="0"/>
                        <a:ext cx="318135" cy="184150"/>
                      </a:xfrm>
                      <a:prstGeom prst="rect">
                        <a:avLst/>
                      </a:prstGeom>
                    </wps:spPr>
                    <wps:txbx>
                      <w:txbxContent>
                        <w:p>
                          <w:pPr>
                            <w:pStyle w:val="BodyText"/>
                            <w:spacing w:before="20"/>
                            <w:ind w:left="60"/>
                            <w:rPr>
                              <w:rFonts w:ascii="Courier New"/>
                            </w:rPr>
                          </w:pPr>
                          <w:r>
                            <w:rPr>
                              <w:rFonts w:ascii="Courier New"/>
                              <w:color w:val="0A0A0A"/>
                              <w:spacing w:val="-5"/>
                            </w:rPr>
                            <w:fldChar w:fldCharType="begin"/>
                          </w:r>
                          <w:r>
                            <w:rPr>
                              <w:rFonts w:ascii="Courier New"/>
                              <w:color w:val="0A0A0A"/>
                              <w:spacing w:val="-5"/>
                            </w:rPr>
                            <w:instrText> PAGE </w:instrText>
                          </w:r>
                          <w:r>
                            <w:rPr>
                              <w:rFonts w:ascii="Courier New"/>
                              <w:color w:val="0A0A0A"/>
                              <w:spacing w:val="-5"/>
                            </w:rPr>
                            <w:fldChar w:fldCharType="separate"/>
                          </w:r>
                          <w:r>
                            <w:rPr>
                              <w:rFonts w:ascii="Courier New"/>
                              <w:color w:val="0A0A0A"/>
                              <w:spacing w:val="-5"/>
                            </w:rPr>
                            <w:t>124</w:t>
                          </w:r>
                          <w:r>
                            <w:rPr>
                              <w:rFonts w:ascii="Courier New"/>
                              <w:color w:val="0A0A0A"/>
                              <w:spacing w:val="-5"/>
                            </w:rPr>
                            <w:fldChar w:fldCharType="end"/>
                          </w:r>
                        </w:p>
                      </w:txbxContent>
                    </wps:txbx>
                    <wps:bodyPr wrap="square" lIns="0" tIns="0" rIns="0" bIns="0" rtlCol="0">
                      <a:noAutofit/>
                    </wps:bodyPr>
                  </wps:wsp>
                </a:graphicData>
              </a:graphic>
            </wp:anchor>
          </w:drawing>
        </mc:Choice>
        <mc:Fallback>
          <w:pict>
            <v:shape style="position:absolute;margin-left:539.292297pt;margin-top:779.612976pt;width:25.05pt;height:14.5pt;mso-position-horizontal-relative:page;mso-position-vertical-relative:page;z-index:-27374592" type="#_x0000_t202" id="docshape437" filled="false" stroked="false">
              <v:textbox inset="0,0,0,0">
                <w:txbxContent>
                  <w:p>
                    <w:pPr>
                      <w:pStyle w:val="BodyText"/>
                      <w:spacing w:before="20"/>
                      <w:ind w:left="60"/>
                      <w:rPr>
                        <w:rFonts w:ascii="Courier New"/>
                      </w:rPr>
                    </w:pPr>
                    <w:r>
                      <w:rPr>
                        <w:rFonts w:ascii="Courier New"/>
                        <w:color w:val="0A0A0A"/>
                        <w:spacing w:val="-5"/>
                      </w:rPr>
                      <w:fldChar w:fldCharType="begin"/>
                    </w:r>
                    <w:r>
                      <w:rPr>
                        <w:rFonts w:ascii="Courier New"/>
                        <w:color w:val="0A0A0A"/>
                        <w:spacing w:val="-5"/>
                      </w:rPr>
                      <w:instrText> PAGE </w:instrText>
                    </w:r>
                    <w:r>
                      <w:rPr>
                        <w:rFonts w:ascii="Courier New"/>
                        <w:color w:val="0A0A0A"/>
                        <w:spacing w:val="-5"/>
                      </w:rPr>
                      <w:fldChar w:fldCharType="separate"/>
                    </w:r>
                    <w:r>
                      <w:rPr>
                        <w:rFonts w:ascii="Courier New"/>
                        <w:color w:val="0A0A0A"/>
                        <w:spacing w:val="-5"/>
                      </w:rPr>
                      <w:t>124</w:t>
                    </w:r>
                    <w:r>
                      <w:rPr>
                        <w:rFonts w:ascii="Courier New"/>
                        <w:color w:val="0A0A0A"/>
                        <w:spacing w:val="-5"/>
                      </w:rPr>
                      <w:fldChar w:fldCharType="end"/>
                    </w:r>
                  </w:p>
                </w:txbxContent>
              </v:textbox>
              <w10:wrap type="none"/>
            </v:shape>
          </w:pict>
        </mc:Fallback>
      </mc:AlternateContent>
    </w:r>
  </w:p>
</w:ftr>
</file>

<file path=word/footer1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3424">
              <wp:simplePos x="0" y="0"/>
              <wp:positionH relativeFrom="page">
                <wp:posOffset>6781141</wp:posOffset>
              </wp:positionH>
              <wp:positionV relativeFrom="page">
                <wp:posOffset>9804248</wp:posOffset>
              </wp:positionV>
              <wp:extent cx="313055" cy="191135"/>
              <wp:effectExtent l="0" t="0" r="0" b="0"/>
              <wp:wrapNone/>
              <wp:docPr id="687" name="Textbox 687"/>
              <wp:cNvGraphicFramePr>
                <a:graphicFrameLocks/>
              </wp:cNvGraphicFramePr>
              <a:graphic>
                <a:graphicData uri="http://schemas.microsoft.com/office/word/2010/wordprocessingShape">
                  <wps:wsp>
                    <wps:cNvPr id="687" name="Textbox 687"/>
                    <wps:cNvSpPr txBox="1"/>
                    <wps:spPr>
                      <a:xfrm>
                        <a:off x="0" y="0"/>
                        <a:ext cx="313055" cy="191135"/>
                      </a:xfrm>
                      <a:prstGeom prst="rect">
                        <a:avLst/>
                      </a:prstGeom>
                    </wps:spPr>
                    <wps:txbx>
                      <w:txbxContent>
                        <w:p>
                          <w:pPr>
                            <w:spacing w:before="20"/>
                            <w:ind w:left="60" w:right="0" w:firstLine="0"/>
                            <w:jc w:val="left"/>
                            <w:rPr>
                              <w:rFonts w:ascii="Courier New"/>
                              <w:sz w:val="23"/>
                            </w:rPr>
                          </w:pPr>
                          <w:r>
                            <w:rPr>
                              <w:rFonts w:ascii="Courier New"/>
                              <w:color w:val="0C0C0C"/>
                              <w:spacing w:val="-5"/>
                              <w:w w:val="95"/>
                              <w:sz w:val="23"/>
                            </w:rPr>
                            <w:fldChar w:fldCharType="begin"/>
                          </w:r>
                          <w:r>
                            <w:rPr>
                              <w:rFonts w:ascii="Courier New"/>
                              <w:color w:val="0C0C0C"/>
                              <w:spacing w:val="-5"/>
                              <w:w w:val="95"/>
                              <w:sz w:val="23"/>
                            </w:rPr>
                            <w:instrText> PAGE </w:instrText>
                          </w:r>
                          <w:r>
                            <w:rPr>
                              <w:rFonts w:ascii="Courier New"/>
                              <w:color w:val="0C0C0C"/>
                              <w:spacing w:val="-5"/>
                              <w:w w:val="95"/>
                              <w:sz w:val="23"/>
                            </w:rPr>
                            <w:fldChar w:fldCharType="separate"/>
                          </w:r>
                          <w:r>
                            <w:rPr>
                              <w:rFonts w:ascii="Courier New"/>
                              <w:color w:val="0C0C0C"/>
                              <w:spacing w:val="-5"/>
                              <w:w w:val="95"/>
                              <w:sz w:val="23"/>
                            </w:rPr>
                            <w:t>125</w:t>
                          </w:r>
                          <w:r>
                            <w:rPr>
                              <w:rFonts w:ascii="Courier New"/>
                              <w:color w:val="0C0C0C"/>
                              <w:spacing w:val="-5"/>
                              <w:w w:val="95"/>
                              <w:sz w:val="23"/>
                            </w:rPr>
                            <w:fldChar w:fldCharType="end"/>
                          </w:r>
                        </w:p>
                      </w:txbxContent>
                    </wps:txbx>
                    <wps:bodyPr wrap="square" lIns="0" tIns="0" rIns="0" bIns="0" rtlCol="0">
                      <a:noAutofit/>
                    </wps:bodyPr>
                  </wps:wsp>
                </a:graphicData>
              </a:graphic>
            </wp:anchor>
          </w:drawing>
        </mc:Choice>
        <mc:Fallback>
          <w:pict>
            <v:shape style="position:absolute;margin-left:533.948181pt;margin-top:771.988037pt;width:24.65pt;height:15.05pt;mso-position-horizontal-relative:page;mso-position-vertical-relative:page;z-index:-27373056" type="#_x0000_t202" id="docshape443" filled="false" stroked="false">
              <v:textbox inset="0,0,0,0">
                <w:txbxContent>
                  <w:p>
                    <w:pPr>
                      <w:spacing w:before="20"/>
                      <w:ind w:left="60" w:right="0" w:firstLine="0"/>
                      <w:jc w:val="left"/>
                      <w:rPr>
                        <w:rFonts w:ascii="Courier New"/>
                        <w:sz w:val="23"/>
                      </w:rPr>
                    </w:pPr>
                    <w:r>
                      <w:rPr>
                        <w:rFonts w:ascii="Courier New"/>
                        <w:color w:val="0C0C0C"/>
                        <w:spacing w:val="-5"/>
                        <w:w w:val="95"/>
                        <w:sz w:val="23"/>
                      </w:rPr>
                      <w:fldChar w:fldCharType="begin"/>
                    </w:r>
                    <w:r>
                      <w:rPr>
                        <w:rFonts w:ascii="Courier New"/>
                        <w:color w:val="0C0C0C"/>
                        <w:spacing w:val="-5"/>
                        <w:w w:val="95"/>
                        <w:sz w:val="23"/>
                      </w:rPr>
                      <w:instrText> PAGE </w:instrText>
                    </w:r>
                    <w:r>
                      <w:rPr>
                        <w:rFonts w:ascii="Courier New"/>
                        <w:color w:val="0C0C0C"/>
                        <w:spacing w:val="-5"/>
                        <w:w w:val="95"/>
                        <w:sz w:val="23"/>
                      </w:rPr>
                      <w:fldChar w:fldCharType="separate"/>
                    </w:r>
                    <w:r>
                      <w:rPr>
                        <w:rFonts w:ascii="Courier New"/>
                        <w:color w:val="0C0C0C"/>
                        <w:spacing w:val="-5"/>
                        <w:w w:val="95"/>
                        <w:sz w:val="23"/>
                      </w:rPr>
                      <w:t>125</w:t>
                    </w:r>
                    <w:r>
                      <w:rPr>
                        <w:rFonts w:ascii="Courier New"/>
                        <w:color w:val="0C0C0C"/>
                        <w:spacing w:val="-5"/>
                        <w:w w:val="95"/>
                        <w:sz w:val="23"/>
                      </w:rPr>
                      <w:fldChar w:fldCharType="end"/>
                    </w:r>
                  </w:p>
                </w:txbxContent>
              </v:textbox>
              <w10:wrap type="none"/>
            </v:shape>
          </w:pict>
        </mc:Fallback>
      </mc:AlternateContent>
    </w:r>
  </w:p>
</w:ftr>
</file>

<file path=word/footer1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3936">
              <wp:simplePos x="0" y="0"/>
              <wp:positionH relativeFrom="page">
                <wp:posOffset>6852841</wp:posOffset>
              </wp:positionH>
              <wp:positionV relativeFrom="page">
                <wp:posOffset>9904219</wp:posOffset>
              </wp:positionV>
              <wp:extent cx="287655" cy="166370"/>
              <wp:effectExtent l="0" t="0" r="0" b="0"/>
              <wp:wrapNone/>
              <wp:docPr id="688" name="Textbox 688"/>
              <wp:cNvGraphicFramePr>
                <a:graphicFrameLocks/>
              </wp:cNvGraphicFramePr>
              <a:graphic>
                <a:graphicData uri="http://schemas.microsoft.com/office/word/2010/wordprocessingShape">
                  <wps:wsp>
                    <wps:cNvPr id="688" name="Textbox 688"/>
                    <wps:cNvSpPr txBox="1"/>
                    <wps:spPr>
                      <a:xfrm>
                        <a:off x="0" y="0"/>
                        <a:ext cx="287655" cy="166370"/>
                      </a:xfrm>
                      <a:prstGeom prst="rect">
                        <a:avLst/>
                      </a:prstGeom>
                    </wps:spPr>
                    <wps:txbx>
                      <w:txbxContent>
                        <w:p>
                          <w:pPr>
                            <w:spacing w:before="11"/>
                            <w:ind w:left="60" w:right="0" w:firstLine="0"/>
                            <w:jc w:val="left"/>
                            <w:rPr>
                              <w:rFonts w:ascii="Times New Roman"/>
                              <w:sz w:val="20"/>
                            </w:rPr>
                          </w:pPr>
                          <w:r>
                            <w:rPr>
                              <w:rFonts w:ascii="Times New Roman"/>
                              <w:color w:val="0A0A0A"/>
                              <w:spacing w:val="-5"/>
                              <w:w w:val="105"/>
                              <w:sz w:val="20"/>
                            </w:rPr>
                            <w:fldChar w:fldCharType="begin"/>
                          </w:r>
                          <w:r>
                            <w:rPr>
                              <w:rFonts w:ascii="Times New Roman"/>
                              <w:color w:val="0A0A0A"/>
                              <w:spacing w:val="-5"/>
                              <w:w w:val="105"/>
                              <w:sz w:val="20"/>
                            </w:rPr>
                            <w:instrText> PAGE </w:instrText>
                          </w:r>
                          <w:r>
                            <w:rPr>
                              <w:rFonts w:ascii="Times New Roman"/>
                              <w:color w:val="0A0A0A"/>
                              <w:spacing w:val="-5"/>
                              <w:w w:val="105"/>
                              <w:sz w:val="20"/>
                            </w:rPr>
                            <w:fldChar w:fldCharType="separate"/>
                          </w:r>
                          <w:r>
                            <w:rPr>
                              <w:rFonts w:ascii="Times New Roman"/>
                              <w:color w:val="0A0A0A"/>
                              <w:spacing w:val="-5"/>
                              <w:w w:val="105"/>
                              <w:sz w:val="20"/>
                            </w:rPr>
                            <w:t>126</w:t>
                          </w:r>
                          <w:r>
                            <w:rPr>
                              <w:rFonts w:ascii="Times New Roman"/>
                              <w:color w:val="0A0A0A"/>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539.593811pt;margin-top:779.859802pt;width:22.65pt;height:13.1pt;mso-position-horizontal-relative:page;mso-position-vertical-relative:page;z-index:-27372544" type="#_x0000_t202" id="docshape444" filled="false" stroked="false">
              <v:textbox inset="0,0,0,0">
                <w:txbxContent>
                  <w:p>
                    <w:pPr>
                      <w:spacing w:before="11"/>
                      <w:ind w:left="60" w:right="0" w:firstLine="0"/>
                      <w:jc w:val="left"/>
                      <w:rPr>
                        <w:rFonts w:ascii="Times New Roman"/>
                        <w:sz w:val="20"/>
                      </w:rPr>
                    </w:pPr>
                    <w:r>
                      <w:rPr>
                        <w:rFonts w:ascii="Times New Roman"/>
                        <w:color w:val="0A0A0A"/>
                        <w:spacing w:val="-5"/>
                        <w:w w:val="105"/>
                        <w:sz w:val="20"/>
                      </w:rPr>
                      <w:fldChar w:fldCharType="begin"/>
                    </w:r>
                    <w:r>
                      <w:rPr>
                        <w:rFonts w:ascii="Times New Roman"/>
                        <w:color w:val="0A0A0A"/>
                        <w:spacing w:val="-5"/>
                        <w:w w:val="105"/>
                        <w:sz w:val="20"/>
                      </w:rPr>
                      <w:instrText> PAGE </w:instrText>
                    </w:r>
                    <w:r>
                      <w:rPr>
                        <w:rFonts w:ascii="Times New Roman"/>
                        <w:color w:val="0A0A0A"/>
                        <w:spacing w:val="-5"/>
                        <w:w w:val="105"/>
                        <w:sz w:val="20"/>
                      </w:rPr>
                      <w:fldChar w:fldCharType="separate"/>
                    </w:r>
                    <w:r>
                      <w:rPr>
                        <w:rFonts w:ascii="Times New Roman"/>
                        <w:color w:val="0A0A0A"/>
                        <w:spacing w:val="-5"/>
                        <w:w w:val="105"/>
                        <w:sz w:val="20"/>
                      </w:rPr>
                      <w:t>126</w:t>
                    </w:r>
                    <w:r>
                      <w:rPr>
                        <w:rFonts w:ascii="Times New Roman"/>
                        <w:color w:val="0A0A0A"/>
                        <w:spacing w:val="-5"/>
                        <w:w w:val="105"/>
                        <w:sz w:val="20"/>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8192">
              <wp:simplePos x="0" y="0"/>
              <wp:positionH relativeFrom="page">
                <wp:posOffset>6478902</wp:posOffset>
              </wp:positionH>
              <wp:positionV relativeFrom="page">
                <wp:posOffset>10240609</wp:posOffset>
              </wp:positionV>
              <wp:extent cx="248920" cy="191135"/>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248920" cy="191135"/>
                      </a:xfrm>
                      <a:prstGeom prst="rect">
                        <a:avLst/>
                      </a:prstGeom>
                    </wps:spPr>
                    <wps:txbx>
                      <w:txbxContent>
                        <w:p>
                          <w:pPr>
                            <w:spacing w:before="20"/>
                            <w:ind w:left="60" w:right="0" w:firstLine="0"/>
                            <w:jc w:val="left"/>
                            <w:rPr>
                              <w:rFonts w:ascii="Courier New"/>
                              <w:sz w:val="23"/>
                            </w:rPr>
                          </w:pPr>
                          <w:r>
                            <w:rPr>
                              <w:rFonts w:ascii="Courier New"/>
                              <w:color w:val="0A0A0A"/>
                              <w:spacing w:val="-5"/>
                              <w:sz w:val="23"/>
                            </w:rPr>
                            <w:fldChar w:fldCharType="begin"/>
                          </w:r>
                          <w:r>
                            <w:rPr>
                              <w:rFonts w:ascii="Courier New"/>
                              <w:color w:val="0A0A0A"/>
                              <w:spacing w:val="-5"/>
                              <w:sz w:val="23"/>
                            </w:rPr>
                            <w:instrText> PAGE </w:instrText>
                          </w:r>
                          <w:r>
                            <w:rPr>
                              <w:rFonts w:ascii="Courier New"/>
                              <w:color w:val="0A0A0A"/>
                              <w:spacing w:val="-5"/>
                              <w:sz w:val="23"/>
                            </w:rPr>
                            <w:fldChar w:fldCharType="separate"/>
                          </w:r>
                          <w:r>
                            <w:rPr>
                              <w:rFonts w:ascii="Courier New"/>
                              <w:color w:val="0A0A0A"/>
                              <w:spacing w:val="-5"/>
                              <w:sz w:val="23"/>
                            </w:rPr>
                            <w:t>17</w:t>
                          </w:r>
                          <w:r>
                            <w:rPr>
                              <w:rFonts w:ascii="Courier New"/>
                              <w:color w:val="0A0A0A"/>
                              <w:spacing w:val="-5"/>
                              <w:sz w:val="23"/>
                            </w:rPr>
                            <w:fldChar w:fldCharType="end"/>
                          </w:r>
                        </w:p>
                      </w:txbxContent>
                    </wps:txbx>
                    <wps:bodyPr wrap="square" lIns="0" tIns="0" rIns="0" bIns="0" rtlCol="0">
                      <a:noAutofit/>
                    </wps:bodyPr>
                  </wps:wsp>
                </a:graphicData>
              </a:graphic>
            </wp:anchor>
          </w:drawing>
        </mc:Choice>
        <mc:Fallback>
          <w:pict>
            <v:shape style="position:absolute;margin-left:510.149811pt;margin-top:806.347168pt;width:19.6pt;height:15.05pt;mso-position-horizontal-relative:page;mso-position-vertical-relative:page;z-index:-27468288" type="#_x0000_t202" id="docshape28" filled="false" stroked="false">
              <v:textbox inset="0,0,0,0">
                <w:txbxContent>
                  <w:p>
                    <w:pPr>
                      <w:spacing w:before="20"/>
                      <w:ind w:left="60" w:right="0" w:firstLine="0"/>
                      <w:jc w:val="left"/>
                      <w:rPr>
                        <w:rFonts w:ascii="Courier New"/>
                        <w:sz w:val="23"/>
                      </w:rPr>
                    </w:pPr>
                    <w:r>
                      <w:rPr>
                        <w:rFonts w:ascii="Courier New"/>
                        <w:color w:val="0A0A0A"/>
                        <w:spacing w:val="-5"/>
                        <w:sz w:val="23"/>
                      </w:rPr>
                      <w:fldChar w:fldCharType="begin"/>
                    </w:r>
                    <w:r>
                      <w:rPr>
                        <w:rFonts w:ascii="Courier New"/>
                        <w:color w:val="0A0A0A"/>
                        <w:spacing w:val="-5"/>
                        <w:sz w:val="23"/>
                      </w:rPr>
                      <w:instrText> PAGE </w:instrText>
                    </w:r>
                    <w:r>
                      <w:rPr>
                        <w:rFonts w:ascii="Courier New"/>
                        <w:color w:val="0A0A0A"/>
                        <w:spacing w:val="-5"/>
                        <w:sz w:val="23"/>
                      </w:rPr>
                      <w:fldChar w:fldCharType="separate"/>
                    </w:r>
                    <w:r>
                      <w:rPr>
                        <w:rFonts w:ascii="Courier New"/>
                        <w:color w:val="0A0A0A"/>
                        <w:spacing w:val="-5"/>
                        <w:sz w:val="23"/>
                      </w:rPr>
                      <w:t>17</w:t>
                    </w:r>
                    <w:r>
                      <w:rPr>
                        <w:rFonts w:ascii="Courier New"/>
                        <w:color w:val="0A0A0A"/>
                        <w:spacing w:val="-5"/>
                        <w:sz w:val="23"/>
                      </w:rPr>
                      <w:fldChar w:fldCharType="end"/>
                    </w:r>
                  </w:p>
                </w:txbxContent>
              </v:textbox>
              <w10:wrap type="none"/>
            </v:shape>
          </w:pict>
        </mc:Fallback>
      </mc:AlternateContent>
    </w:r>
  </w:p>
</w:ftr>
</file>

<file path=word/footer1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5472">
              <wp:simplePos x="0" y="0"/>
              <wp:positionH relativeFrom="page">
                <wp:posOffset>6791006</wp:posOffset>
              </wp:positionH>
              <wp:positionV relativeFrom="page">
                <wp:posOffset>9812591</wp:posOffset>
              </wp:positionV>
              <wp:extent cx="315595" cy="184150"/>
              <wp:effectExtent l="0" t="0" r="0" b="0"/>
              <wp:wrapNone/>
              <wp:docPr id="692" name="Textbox 692"/>
              <wp:cNvGraphicFramePr>
                <a:graphicFrameLocks/>
              </wp:cNvGraphicFramePr>
              <a:graphic>
                <a:graphicData uri="http://schemas.microsoft.com/office/word/2010/wordprocessingShape">
                  <wps:wsp>
                    <wps:cNvPr id="692" name="Textbox 692"/>
                    <wps:cNvSpPr txBox="1"/>
                    <wps:spPr>
                      <a:xfrm>
                        <a:off x="0" y="0"/>
                        <a:ext cx="315595" cy="184150"/>
                      </a:xfrm>
                      <a:prstGeom prst="rect">
                        <a:avLst/>
                      </a:prstGeom>
                    </wps:spPr>
                    <wps:txbx>
                      <w:txbxContent>
                        <w:p>
                          <w:pPr>
                            <w:pStyle w:val="BodyText"/>
                            <w:spacing w:before="20"/>
                            <w:ind w:left="60"/>
                            <w:rPr>
                              <w:rFonts w:ascii="Courier New"/>
                            </w:rPr>
                          </w:pPr>
                          <w:r>
                            <w:rPr>
                              <w:rFonts w:ascii="Courier New"/>
                              <w:color w:val="0F0F0F"/>
                              <w:spacing w:val="-5"/>
                            </w:rPr>
                            <w:fldChar w:fldCharType="begin"/>
                          </w:r>
                          <w:r>
                            <w:rPr>
                              <w:rFonts w:ascii="Courier New"/>
                              <w:color w:val="0F0F0F"/>
                              <w:spacing w:val="-5"/>
                            </w:rPr>
                            <w:instrText> PAGE </w:instrText>
                          </w:r>
                          <w:r>
                            <w:rPr>
                              <w:rFonts w:ascii="Courier New"/>
                              <w:color w:val="0F0F0F"/>
                              <w:spacing w:val="-5"/>
                            </w:rPr>
                            <w:fldChar w:fldCharType="separate"/>
                          </w:r>
                          <w:r>
                            <w:rPr>
                              <w:rFonts w:ascii="Courier New"/>
                              <w:color w:val="0F0F0F"/>
                              <w:spacing w:val="-5"/>
                            </w:rPr>
                            <w:t>127</w:t>
                          </w:r>
                          <w:r>
                            <w:rPr>
                              <w:rFonts w:ascii="Courier New"/>
                              <w:color w:val="0F0F0F"/>
                              <w:spacing w:val="-5"/>
                            </w:rPr>
                            <w:fldChar w:fldCharType="end"/>
                          </w:r>
                        </w:p>
                      </w:txbxContent>
                    </wps:txbx>
                    <wps:bodyPr wrap="square" lIns="0" tIns="0" rIns="0" bIns="0" rtlCol="0">
                      <a:noAutofit/>
                    </wps:bodyPr>
                  </wps:wsp>
                </a:graphicData>
              </a:graphic>
            </wp:anchor>
          </w:drawing>
        </mc:Choice>
        <mc:Fallback>
          <w:pict>
            <v:shape style="position:absolute;margin-left:534.724915pt;margin-top:772.64502pt;width:24.85pt;height:14.5pt;mso-position-horizontal-relative:page;mso-position-vertical-relative:page;z-index:-27371008" type="#_x0000_t202" id="docshape447" filled="false" stroked="false">
              <v:textbox inset="0,0,0,0">
                <w:txbxContent>
                  <w:p>
                    <w:pPr>
                      <w:pStyle w:val="BodyText"/>
                      <w:spacing w:before="20"/>
                      <w:ind w:left="60"/>
                      <w:rPr>
                        <w:rFonts w:ascii="Courier New"/>
                      </w:rPr>
                    </w:pPr>
                    <w:r>
                      <w:rPr>
                        <w:rFonts w:ascii="Courier New"/>
                        <w:color w:val="0F0F0F"/>
                        <w:spacing w:val="-5"/>
                      </w:rPr>
                      <w:fldChar w:fldCharType="begin"/>
                    </w:r>
                    <w:r>
                      <w:rPr>
                        <w:rFonts w:ascii="Courier New"/>
                        <w:color w:val="0F0F0F"/>
                        <w:spacing w:val="-5"/>
                      </w:rPr>
                      <w:instrText> PAGE </w:instrText>
                    </w:r>
                    <w:r>
                      <w:rPr>
                        <w:rFonts w:ascii="Courier New"/>
                        <w:color w:val="0F0F0F"/>
                        <w:spacing w:val="-5"/>
                      </w:rPr>
                      <w:fldChar w:fldCharType="separate"/>
                    </w:r>
                    <w:r>
                      <w:rPr>
                        <w:rFonts w:ascii="Courier New"/>
                        <w:color w:val="0F0F0F"/>
                        <w:spacing w:val="-5"/>
                      </w:rPr>
                      <w:t>127</w:t>
                    </w:r>
                    <w:r>
                      <w:rPr>
                        <w:rFonts w:ascii="Courier New"/>
                        <w:color w:val="0F0F0F"/>
                        <w:spacing w:val="-5"/>
                      </w:rPr>
                      <w:fldChar w:fldCharType="end"/>
                    </w:r>
                  </w:p>
                </w:txbxContent>
              </v:textbox>
              <w10:wrap type="none"/>
            </v:shape>
          </w:pict>
        </mc:Fallback>
      </mc:AlternateContent>
    </w:r>
  </w:p>
</w:ftr>
</file>

<file path=word/footer1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5984">
              <wp:simplePos x="0" y="0"/>
              <wp:positionH relativeFrom="page">
                <wp:posOffset>6868306</wp:posOffset>
              </wp:positionH>
              <wp:positionV relativeFrom="page">
                <wp:posOffset>10084173</wp:posOffset>
              </wp:positionV>
              <wp:extent cx="249554" cy="184150"/>
              <wp:effectExtent l="0" t="0" r="0" b="0"/>
              <wp:wrapNone/>
              <wp:docPr id="693" name="Textbox 693"/>
              <wp:cNvGraphicFramePr>
                <a:graphicFrameLocks/>
              </wp:cNvGraphicFramePr>
              <a:graphic>
                <a:graphicData uri="http://schemas.microsoft.com/office/word/2010/wordprocessingShape">
                  <wps:wsp>
                    <wps:cNvPr id="693" name="Textbox 693"/>
                    <wps:cNvSpPr txBox="1"/>
                    <wps:spPr>
                      <a:xfrm>
                        <a:off x="0" y="0"/>
                        <a:ext cx="249554" cy="184150"/>
                      </a:xfrm>
                      <a:prstGeom prst="rect">
                        <a:avLst/>
                      </a:prstGeom>
                    </wps:spPr>
                    <wps:txbx>
                      <w:txbxContent>
                        <w:p>
                          <w:pPr>
                            <w:pStyle w:val="BodyText"/>
                            <w:spacing w:before="20"/>
                            <w:ind w:left="20"/>
                            <w:rPr>
                              <w:rFonts w:ascii="Courier New"/>
                            </w:rPr>
                          </w:pPr>
                          <w:r>
                            <w:rPr>
                              <w:rFonts w:ascii="Courier New"/>
                              <w:color w:val="131313"/>
                              <w:spacing w:val="-5"/>
                              <w:w w:val="90"/>
                            </w:rPr>
                            <w:t>128</w:t>
                          </w:r>
                        </w:p>
                      </w:txbxContent>
                    </wps:txbx>
                    <wps:bodyPr wrap="square" lIns="0" tIns="0" rIns="0" bIns="0" rtlCol="0">
                      <a:noAutofit/>
                    </wps:bodyPr>
                  </wps:wsp>
                </a:graphicData>
              </a:graphic>
            </wp:anchor>
          </w:drawing>
        </mc:Choice>
        <mc:Fallback>
          <w:pict>
            <v:shape style="position:absolute;margin-left:540.811523pt;margin-top:794.029419pt;width:19.650pt;height:14.5pt;mso-position-horizontal-relative:page;mso-position-vertical-relative:page;z-index:-27370496" type="#_x0000_t202" id="docshape448" filled="false" stroked="false">
              <v:textbox inset="0,0,0,0">
                <w:txbxContent>
                  <w:p>
                    <w:pPr>
                      <w:pStyle w:val="BodyText"/>
                      <w:spacing w:before="20"/>
                      <w:ind w:left="20"/>
                      <w:rPr>
                        <w:rFonts w:ascii="Courier New"/>
                      </w:rPr>
                    </w:pPr>
                    <w:r>
                      <w:rPr>
                        <w:rFonts w:ascii="Courier New"/>
                        <w:color w:val="131313"/>
                        <w:spacing w:val="-5"/>
                        <w:w w:val="90"/>
                      </w:rPr>
                      <w:t>128</w:t>
                    </w:r>
                  </w:p>
                </w:txbxContent>
              </v:textbox>
              <w10:wrap type="none"/>
            </v:shape>
          </w:pict>
        </mc:Fallback>
      </mc:AlternateContent>
    </w:r>
  </w:p>
</w:ftr>
</file>

<file path=word/footer1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6496">
              <wp:simplePos x="0" y="0"/>
              <wp:positionH relativeFrom="page">
                <wp:posOffset>6953788</wp:posOffset>
              </wp:positionH>
              <wp:positionV relativeFrom="page">
                <wp:posOffset>10017041</wp:posOffset>
              </wp:positionV>
              <wp:extent cx="247650" cy="184150"/>
              <wp:effectExtent l="0" t="0" r="0" b="0"/>
              <wp:wrapNone/>
              <wp:docPr id="700" name="Textbox 700"/>
              <wp:cNvGraphicFramePr>
                <a:graphicFrameLocks/>
              </wp:cNvGraphicFramePr>
              <a:graphic>
                <a:graphicData uri="http://schemas.microsoft.com/office/word/2010/wordprocessingShape">
                  <wps:wsp>
                    <wps:cNvPr id="700" name="Textbox 700"/>
                    <wps:cNvSpPr txBox="1"/>
                    <wps:spPr>
                      <a:xfrm>
                        <a:off x="0" y="0"/>
                        <a:ext cx="247650" cy="184150"/>
                      </a:xfrm>
                      <a:prstGeom prst="rect">
                        <a:avLst/>
                      </a:prstGeom>
                    </wps:spPr>
                    <wps:txbx>
                      <w:txbxContent>
                        <w:p>
                          <w:pPr>
                            <w:pStyle w:val="BodyText"/>
                            <w:spacing w:before="20"/>
                            <w:ind w:left="20"/>
                            <w:rPr>
                              <w:rFonts w:ascii="Courier New"/>
                            </w:rPr>
                          </w:pPr>
                          <w:r>
                            <w:rPr>
                              <w:rFonts w:ascii="Courier New"/>
                              <w:color w:val="2F2F2F"/>
                              <w:spacing w:val="-5"/>
                              <w:w w:val="90"/>
                            </w:rPr>
                            <w:t>129</w:t>
                          </w:r>
                        </w:p>
                      </w:txbxContent>
                    </wps:txbx>
                    <wps:bodyPr wrap="square" lIns="0" tIns="0" rIns="0" bIns="0" rtlCol="0">
                      <a:noAutofit/>
                    </wps:bodyPr>
                  </wps:wsp>
                </a:graphicData>
              </a:graphic>
            </wp:anchor>
          </w:drawing>
        </mc:Choice>
        <mc:Fallback>
          <w:pict>
            <v:shape style="position:absolute;margin-left:547.542419pt;margin-top:788.743408pt;width:19.5pt;height:14.5pt;mso-position-horizontal-relative:page;mso-position-vertical-relative:page;z-index:-27369984" type="#_x0000_t202" id="docshape451" filled="false" stroked="false">
              <v:textbox inset="0,0,0,0">
                <w:txbxContent>
                  <w:p>
                    <w:pPr>
                      <w:pStyle w:val="BodyText"/>
                      <w:spacing w:before="20"/>
                      <w:ind w:left="20"/>
                      <w:rPr>
                        <w:rFonts w:ascii="Courier New"/>
                      </w:rPr>
                    </w:pPr>
                    <w:r>
                      <w:rPr>
                        <w:rFonts w:ascii="Courier New"/>
                        <w:color w:val="2F2F2F"/>
                        <w:spacing w:val="-5"/>
                        <w:w w:val="90"/>
                      </w:rPr>
                      <w:t>129</w:t>
                    </w:r>
                  </w:p>
                </w:txbxContent>
              </v:textbox>
              <w10:wrap type="none"/>
            </v:shape>
          </w:pict>
        </mc:Fallback>
      </mc:AlternateContent>
    </w:r>
  </w:p>
</w:ftr>
</file>

<file path=word/footer1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7008">
              <wp:simplePos x="0" y="0"/>
              <wp:positionH relativeFrom="page">
                <wp:posOffset>6854545</wp:posOffset>
              </wp:positionH>
              <wp:positionV relativeFrom="page">
                <wp:posOffset>9895968</wp:posOffset>
              </wp:positionV>
              <wp:extent cx="306705" cy="160655"/>
              <wp:effectExtent l="0" t="0" r="0" b="0"/>
              <wp:wrapNone/>
              <wp:docPr id="701" name="Textbox 701"/>
              <wp:cNvGraphicFramePr>
                <a:graphicFrameLocks/>
              </wp:cNvGraphicFramePr>
              <a:graphic>
                <a:graphicData uri="http://schemas.microsoft.com/office/word/2010/wordprocessingShape">
                  <wps:wsp>
                    <wps:cNvPr id="701" name="Textbox 701"/>
                    <wps:cNvSpPr txBox="1"/>
                    <wps:spPr>
                      <a:xfrm>
                        <a:off x="0" y="0"/>
                        <a:ext cx="306705" cy="160655"/>
                      </a:xfrm>
                      <a:prstGeom prst="rect">
                        <a:avLst/>
                      </a:prstGeom>
                    </wps:spPr>
                    <wps:txbx>
                      <w:txbxContent>
                        <w:p>
                          <w:pPr>
                            <w:spacing w:before="14"/>
                            <w:ind w:left="60" w:right="0" w:firstLine="0"/>
                            <w:jc w:val="left"/>
                            <w:rPr>
                              <w:sz w:val="19"/>
                            </w:rPr>
                          </w:pPr>
                          <w:r>
                            <w:rPr>
                              <w:color w:val="0A0A0A"/>
                              <w:spacing w:val="-5"/>
                              <w:w w:val="110"/>
                              <w:sz w:val="19"/>
                            </w:rPr>
                            <w:fldChar w:fldCharType="begin"/>
                          </w:r>
                          <w:r>
                            <w:rPr>
                              <w:color w:val="0A0A0A"/>
                              <w:spacing w:val="-5"/>
                              <w:w w:val="110"/>
                              <w:sz w:val="19"/>
                            </w:rPr>
                            <w:instrText> PAGE </w:instrText>
                          </w:r>
                          <w:r>
                            <w:rPr>
                              <w:color w:val="0A0A0A"/>
                              <w:spacing w:val="-5"/>
                              <w:w w:val="110"/>
                              <w:sz w:val="19"/>
                            </w:rPr>
                            <w:fldChar w:fldCharType="separate"/>
                          </w:r>
                          <w:r>
                            <w:rPr>
                              <w:color w:val="0A0A0A"/>
                              <w:spacing w:val="-5"/>
                              <w:w w:val="110"/>
                              <w:sz w:val="19"/>
                            </w:rPr>
                            <w:t>130</w:t>
                          </w:r>
                          <w:r>
                            <w:rPr>
                              <w:color w:val="0A0A0A"/>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39.728027pt;margin-top:779.210144pt;width:24.15pt;height:12.65pt;mso-position-horizontal-relative:page;mso-position-vertical-relative:page;z-index:-27369472" type="#_x0000_t202" id="docshape452" filled="false" stroked="false">
              <v:textbox inset="0,0,0,0">
                <w:txbxContent>
                  <w:p>
                    <w:pPr>
                      <w:spacing w:before="14"/>
                      <w:ind w:left="60" w:right="0" w:firstLine="0"/>
                      <w:jc w:val="left"/>
                      <w:rPr>
                        <w:sz w:val="19"/>
                      </w:rPr>
                    </w:pPr>
                    <w:r>
                      <w:rPr>
                        <w:color w:val="0A0A0A"/>
                        <w:spacing w:val="-5"/>
                        <w:w w:val="110"/>
                        <w:sz w:val="19"/>
                      </w:rPr>
                      <w:fldChar w:fldCharType="begin"/>
                    </w:r>
                    <w:r>
                      <w:rPr>
                        <w:color w:val="0A0A0A"/>
                        <w:spacing w:val="-5"/>
                        <w:w w:val="110"/>
                        <w:sz w:val="19"/>
                      </w:rPr>
                      <w:instrText> PAGE </w:instrText>
                    </w:r>
                    <w:r>
                      <w:rPr>
                        <w:color w:val="0A0A0A"/>
                        <w:spacing w:val="-5"/>
                        <w:w w:val="110"/>
                        <w:sz w:val="19"/>
                      </w:rPr>
                      <w:fldChar w:fldCharType="separate"/>
                    </w:r>
                    <w:r>
                      <w:rPr>
                        <w:color w:val="0A0A0A"/>
                        <w:spacing w:val="-5"/>
                        <w:w w:val="110"/>
                        <w:sz w:val="19"/>
                      </w:rPr>
                      <w:t>130</w:t>
                    </w:r>
                    <w:r>
                      <w:rPr>
                        <w:color w:val="0A0A0A"/>
                        <w:spacing w:val="-5"/>
                        <w:w w:val="110"/>
                        <w:sz w:val="19"/>
                      </w:rPr>
                      <w:fldChar w:fldCharType="end"/>
                    </w:r>
                  </w:p>
                </w:txbxContent>
              </v:textbox>
              <w10:wrap type="none"/>
            </v:shape>
          </w:pict>
        </mc:Fallback>
      </mc:AlternateContent>
    </w:r>
  </w:p>
</w:ftr>
</file>

<file path=word/footer1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8544">
              <wp:simplePos x="0" y="0"/>
              <wp:positionH relativeFrom="page">
                <wp:posOffset>6787953</wp:posOffset>
              </wp:positionH>
              <wp:positionV relativeFrom="page">
                <wp:posOffset>9806489</wp:posOffset>
              </wp:positionV>
              <wp:extent cx="313055" cy="184150"/>
              <wp:effectExtent l="0" t="0" r="0" b="0"/>
              <wp:wrapNone/>
              <wp:docPr id="719" name="Textbox 719"/>
              <wp:cNvGraphicFramePr>
                <a:graphicFrameLocks/>
              </wp:cNvGraphicFramePr>
              <a:graphic>
                <a:graphicData uri="http://schemas.microsoft.com/office/word/2010/wordprocessingShape">
                  <wps:wsp>
                    <wps:cNvPr id="719" name="Textbox 719"/>
                    <wps:cNvSpPr txBox="1"/>
                    <wps:spPr>
                      <a:xfrm>
                        <a:off x="0" y="0"/>
                        <a:ext cx="313055" cy="184150"/>
                      </a:xfrm>
                      <a:prstGeom prst="rect">
                        <a:avLst/>
                      </a:prstGeom>
                    </wps:spPr>
                    <wps:txbx>
                      <w:txbxContent>
                        <w:p>
                          <w:pPr>
                            <w:pStyle w:val="BodyText"/>
                            <w:spacing w:before="20"/>
                            <w:ind w:left="60"/>
                            <w:rPr>
                              <w:rFonts w:ascii="Courier New"/>
                            </w:rPr>
                          </w:pPr>
                          <w:r>
                            <w:rPr>
                              <w:rFonts w:ascii="Courier New"/>
                              <w:color w:val="0F0F0F"/>
                              <w:spacing w:val="-5"/>
                            </w:rPr>
                            <w:fldChar w:fldCharType="begin"/>
                          </w:r>
                          <w:r>
                            <w:rPr>
                              <w:rFonts w:ascii="Courier New"/>
                              <w:color w:val="0F0F0F"/>
                              <w:spacing w:val="-5"/>
                            </w:rPr>
                            <w:instrText> PAGE </w:instrText>
                          </w:r>
                          <w:r>
                            <w:rPr>
                              <w:rFonts w:ascii="Courier New"/>
                              <w:color w:val="0F0F0F"/>
                              <w:spacing w:val="-5"/>
                            </w:rPr>
                            <w:fldChar w:fldCharType="separate"/>
                          </w:r>
                          <w:r>
                            <w:rPr>
                              <w:rFonts w:ascii="Courier New"/>
                              <w:color w:val="0F0F0F"/>
                              <w:spacing w:val="-5"/>
                            </w:rPr>
                            <w:t>131</w:t>
                          </w:r>
                          <w:r>
                            <w:rPr>
                              <w:rFonts w:ascii="Courier New"/>
                              <w:color w:val="0F0F0F"/>
                              <w:spacing w:val="-5"/>
                            </w:rPr>
                            <w:fldChar w:fldCharType="end"/>
                          </w:r>
                        </w:p>
                      </w:txbxContent>
                    </wps:txbx>
                    <wps:bodyPr wrap="square" lIns="0" tIns="0" rIns="0" bIns="0" rtlCol="0">
                      <a:noAutofit/>
                    </wps:bodyPr>
                  </wps:wsp>
                </a:graphicData>
              </a:graphic>
            </wp:anchor>
          </w:drawing>
        </mc:Choice>
        <mc:Fallback>
          <w:pict>
            <v:shape style="position:absolute;margin-left:534.484497pt;margin-top:772.16449pt;width:24.65pt;height:14.5pt;mso-position-horizontal-relative:page;mso-position-vertical-relative:page;z-index:-27367936" type="#_x0000_t202" id="docshape465" filled="false" stroked="false">
              <v:textbox inset="0,0,0,0">
                <w:txbxContent>
                  <w:p>
                    <w:pPr>
                      <w:pStyle w:val="BodyText"/>
                      <w:spacing w:before="20"/>
                      <w:ind w:left="60"/>
                      <w:rPr>
                        <w:rFonts w:ascii="Courier New"/>
                      </w:rPr>
                    </w:pPr>
                    <w:r>
                      <w:rPr>
                        <w:rFonts w:ascii="Courier New"/>
                        <w:color w:val="0F0F0F"/>
                        <w:spacing w:val="-5"/>
                      </w:rPr>
                      <w:fldChar w:fldCharType="begin"/>
                    </w:r>
                    <w:r>
                      <w:rPr>
                        <w:rFonts w:ascii="Courier New"/>
                        <w:color w:val="0F0F0F"/>
                        <w:spacing w:val="-5"/>
                      </w:rPr>
                      <w:instrText> PAGE </w:instrText>
                    </w:r>
                    <w:r>
                      <w:rPr>
                        <w:rFonts w:ascii="Courier New"/>
                        <w:color w:val="0F0F0F"/>
                        <w:spacing w:val="-5"/>
                      </w:rPr>
                      <w:fldChar w:fldCharType="separate"/>
                    </w:r>
                    <w:r>
                      <w:rPr>
                        <w:rFonts w:ascii="Courier New"/>
                        <w:color w:val="0F0F0F"/>
                        <w:spacing w:val="-5"/>
                      </w:rPr>
                      <w:t>131</w:t>
                    </w:r>
                    <w:r>
                      <w:rPr>
                        <w:rFonts w:ascii="Courier New"/>
                        <w:color w:val="0F0F0F"/>
                        <w:spacing w:val="-5"/>
                      </w:rPr>
                      <w:fldChar w:fldCharType="end"/>
                    </w:r>
                  </w:p>
                </w:txbxContent>
              </v:textbox>
              <w10:wrap type="none"/>
            </v:shape>
          </w:pict>
        </mc:Fallback>
      </mc:AlternateContent>
    </w:r>
  </w:p>
</w:ftr>
</file>

<file path=word/footer1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9056">
              <wp:simplePos x="0" y="0"/>
              <wp:positionH relativeFrom="page">
                <wp:posOffset>6863016</wp:posOffset>
              </wp:positionH>
              <wp:positionV relativeFrom="page">
                <wp:posOffset>9896316</wp:posOffset>
              </wp:positionV>
              <wp:extent cx="301625" cy="167640"/>
              <wp:effectExtent l="0" t="0" r="0" b="0"/>
              <wp:wrapNone/>
              <wp:docPr id="720" name="Textbox 720"/>
              <wp:cNvGraphicFramePr>
                <a:graphicFrameLocks/>
              </wp:cNvGraphicFramePr>
              <a:graphic>
                <a:graphicData uri="http://schemas.microsoft.com/office/word/2010/wordprocessingShape">
                  <wps:wsp>
                    <wps:cNvPr id="720" name="Textbox 720"/>
                    <wps:cNvSpPr txBox="1"/>
                    <wps:spPr>
                      <a:xfrm>
                        <a:off x="0" y="0"/>
                        <a:ext cx="301625" cy="167640"/>
                      </a:xfrm>
                      <a:prstGeom prst="rect">
                        <a:avLst/>
                      </a:prstGeom>
                    </wps:spPr>
                    <wps:txbx>
                      <w:txbxContent>
                        <w:p>
                          <w:pPr>
                            <w:spacing w:before="13"/>
                            <w:ind w:left="60" w:right="0" w:firstLine="0"/>
                            <w:jc w:val="left"/>
                            <w:rPr>
                              <w:sz w:val="20"/>
                            </w:rPr>
                          </w:pPr>
                          <w:r>
                            <w:rPr>
                              <w:color w:val="161616"/>
                              <w:spacing w:val="-5"/>
                              <w:sz w:val="20"/>
                            </w:rPr>
                            <w:fldChar w:fldCharType="begin"/>
                          </w:r>
                          <w:r>
                            <w:rPr>
                              <w:color w:val="161616"/>
                              <w:spacing w:val="-5"/>
                              <w:sz w:val="20"/>
                            </w:rPr>
                            <w:instrText> PAGE </w:instrText>
                          </w:r>
                          <w:r>
                            <w:rPr>
                              <w:color w:val="161616"/>
                              <w:spacing w:val="-5"/>
                              <w:sz w:val="20"/>
                            </w:rPr>
                            <w:fldChar w:fldCharType="separate"/>
                          </w:r>
                          <w:r>
                            <w:rPr>
                              <w:color w:val="161616"/>
                              <w:spacing w:val="-5"/>
                              <w:sz w:val="20"/>
                            </w:rPr>
                            <w:t>132</w:t>
                          </w:r>
                          <w:r>
                            <w:rPr>
                              <w:color w:val="161616"/>
                              <w:spacing w:val="-5"/>
                              <w:sz w:val="20"/>
                            </w:rPr>
                            <w:fldChar w:fldCharType="end"/>
                          </w:r>
                        </w:p>
                      </w:txbxContent>
                    </wps:txbx>
                    <wps:bodyPr wrap="square" lIns="0" tIns="0" rIns="0" bIns="0" rtlCol="0">
                      <a:noAutofit/>
                    </wps:bodyPr>
                  </wps:wsp>
                </a:graphicData>
              </a:graphic>
            </wp:anchor>
          </w:drawing>
        </mc:Choice>
        <mc:Fallback>
          <w:pict>
            <v:shape style="position:absolute;margin-left:540.395020pt;margin-top:779.237549pt;width:23.75pt;height:13.2pt;mso-position-horizontal-relative:page;mso-position-vertical-relative:page;z-index:-27367424" type="#_x0000_t202" id="docshape466" filled="false" stroked="false">
              <v:textbox inset="0,0,0,0">
                <w:txbxContent>
                  <w:p>
                    <w:pPr>
                      <w:spacing w:before="13"/>
                      <w:ind w:left="60" w:right="0" w:firstLine="0"/>
                      <w:jc w:val="left"/>
                      <w:rPr>
                        <w:sz w:val="20"/>
                      </w:rPr>
                    </w:pPr>
                    <w:r>
                      <w:rPr>
                        <w:color w:val="161616"/>
                        <w:spacing w:val="-5"/>
                        <w:sz w:val="20"/>
                      </w:rPr>
                      <w:fldChar w:fldCharType="begin"/>
                    </w:r>
                    <w:r>
                      <w:rPr>
                        <w:color w:val="161616"/>
                        <w:spacing w:val="-5"/>
                        <w:sz w:val="20"/>
                      </w:rPr>
                      <w:instrText> PAGE </w:instrText>
                    </w:r>
                    <w:r>
                      <w:rPr>
                        <w:color w:val="161616"/>
                        <w:spacing w:val="-5"/>
                        <w:sz w:val="20"/>
                      </w:rPr>
                      <w:fldChar w:fldCharType="separate"/>
                    </w:r>
                    <w:r>
                      <w:rPr>
                        <w:color w:val="161616"/>
                        <w:spacing w:val="-5"/>
                        <w:sz w:val="20"/>
                      </w:rPr>
                      <w:t>132</w:t>
                    </w:r>
                    <w:r>
                      <w:rPr>
                        <w:color w:val="161616"/>
                        <w:spacing w:val="-5"/>
                        <w:sz w:val="20"/>
                      </w:rPr>
                      <w:fldChar w:fldCharType="end"/>
                    </w:r>
                  </w:p>
                </w:txbxContent>
              </v:textbox>
              <w10:wrap type="none"/>
            </v:shape>
          </w:pict>
        </mc:Fallback>
      </mc:AlternateContent>
    </w:r>
  </w:p>
</w:ftr>
</file>

<file path=word/footer1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50592">
              <wp:simplePos x="0" y="0"/>
              <wp:positionH relativeFrom="page">
                <wp:posOffset>6808751</wp:posOffset>
              </wp:positionH>
              <wp:positionV relativeFrom="page">
                <wp:posOffset>9807475</wp:posOffset>
              </wp:positionV>
              <wp:extent cx="300990" cy="160655"/>
              <wp:effectExtent l="0" t="0" r="0" b="0"/>
              <wp:wrapNone/>
              <wp:docPr id="725" name="Textbox 725"/>
              <wp:cNvGraphicFramePr>
                <a:graphicFrameLocks/>
              </wp:cNvGraphicFramePr>
              <a:graphic>
                <a:graphicData uri="http://schemas.microsoft.com/office/word/2010/wordprocessingShape">
                  <wps:wsp>
                    <wps:cNvPr id="725" name="Textbox 725"/>
                    <wps:cNvSpPr txBox="1"/>
                    <wps:spPr>
                      <a:xfrm>
                        <a:off x="0" y="0"/>
                        <a:ext cx="300990" cy="160655"/>
                      </a:xfrm>
                      <a:prstGeom prst="rect">
                        <a:avLst/>
                      </a:prstGeom>
                    </wps:spPr>
                    <wps:txbx>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133</w:t>
                          </w:r>
                          <w:r>
                            <w:rPr>
                              <w:color w:val="0F0F0F"/>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36.122192pt;margin-top:772.242188pt;width:23.7pt;height:12.65pt;mso-position-horizontal-relative:page;mso-position-vertical-relative:page;z-index:-27365888" type="#_x0000_t202" id="docshape469" filled="false" stroked="false">
              <v:textbox inset="0,0,0,0">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133</w:t>
                    </w:r>
                    <w:r>
                      <w:rPr>
                        <w:color w:val="0F0F0F"/>
                        <w:spacing w:val="-5"/>
                        <w:w w:val="105"/>
                        <w:sz w:val="19"/>
                      </w:rPr>
                      <w:fldChar w:fldCharType="end"/>
                    </w:r>
                  </w:p>
                </w:txbxContent>
              </v:textbox>
              <w10:wrap type="none"/>
            </v:shape>
          </w:pict>
        </mc:Fallback>
      </mc:AlternateContent>
    </w:r>
  </w:p>
</w:ftr>
</file>

<file path=word/footer1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51104">
              <wp:simplePos x="0" y="0"/>
              <wp:positionH relativeFrom="page">
                <wp:posOffset>6863705</wp:posOffset>
              </wp:positionH>
              <wp:positionV relativeFrom="page">
                <wp:posOffset>9899019</wp:posOffset>
              </wp:positionV>
              <wp:extent cx="306705" cy="160655"/>
              <wp:effectExtent l="0" t="0" r="0" b="0"/>
              <wp:wrapNone/>
              <wp:docPr id="726" name="Textbox 726"/>
              <wp:cNvGraphicFramePr>
                <a:graphicFrameLocks/>
              </wp:cNvGraphicFramePr>
              <a:graphic>
                <a:graphicData uri="http://schemas.microsoft.com/office/word/2010/wordprocessingShape">
                  <wps:wsp>
                    <wps:cNvPr id="726" name="Textbox 726"/>
                    <wps:cNvSpPr txBox="1"/>
                    <wps:spPr>
                      <a:xfrm>
                        <a:off x="0" y="0"/>
                        <a:ext cx="306705" cy="160655"/>
                      </a:xfrm>
                      <a:prstGeom prst="rect">
                        <a:avLst/>
                      </a:prstGeom>
                    </wps:spPr>
                    <wps:txbx>
                      <w:txbxContent>
                        <w:p>
                          <w:pPr>
                            <w:spacing w:before="14"/>
                            <w:ind w:left="60" w:right="0" w:firstLine="0"/>
                            <w:jc w:val="left"/>
                            <w:rPr>
                              <w:sz w:val="19"/>
                            </w:rPr>
                          </w:pPr>
                          <w:r>
                            <w:rPr>
                              <w:color w:val="111111"/>
                              <w:spacing w:val="-5"/>
                              <w:w w:val="110"/>
                              <w:sz w:val="19"/>
                            </w:rPr>
                            <w:fldChar w:fldCharType="begin"/>
                          </w:r>
                          <w:r>
                            <w:rPr>
                              <w:color w:val="111111"/>
                              <w:spacing w:val="-5"/>
                              <w:w w:val="110"/>
                              <w:sz w:val="19"/>
                            </w:rPr>
                            <w:instrText> PAGE </w:instrText>
                          </w:r>
                          <w:r>
                            <w:rPr>
                              <w:color w:val="111111"/>
                              <w:spacing w:val="-5"/>
                              <w:w w:val="110"/>
                              <w:sz w:val="19"/>
                            </w:rPr>
                            <w:fldChar w:fldCharType="separate"/>
                          </w:r>
                          <w:r>
                            <w:rPr>
                              <w:color w:val="111111"/>
                              <w:spacing w:val="-5"/>
                              <w:w w:val="110"/>
                              <w:sz w:val="19"/>
                            </w:rPr>
                            <w:t>134</w:t>
                          </w:r>
                          <w:r>
                            <w:rPr>
                              <w:color w:val="111111"/>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40.449219pt;margin-top:779.450378pt;width:24.15pt;height:12.65pt;mso-position-horizontal-relative:page;mso-position-vertical-relative:page;z-index:-27365376" type="#_x0000_t202" id="docshape470" filled="false" stroked="false">
              <v:textbox inset="0,0,0,0">
                <w:txbxContent>
                  <w:p>
                    <w:pPr>
                      <w:spacing w:before="14"/>
                      <w:ind w:left="60" w:right="0" w:firstLine="0"/>
                      <w:jc w:val="left"/>
                      <w:rPr>
                        <w:sz w:val="19"/>
                      </w:rPr>
                    </w:pPr>
                    <w:r>
                      <w:rPr>
                        <w:color w:val="111111"/>
                        <w:spacing w:val="-5"/>
                        <w:w w:val="110"/>
                        <w:sz w:val="19"/>
                      </w:rPr>
                      <w:fldChar w:fldCharType="begin"/>
                    </w:r>
                    <w:r>
                      <w:rPr>
                        <w:color w:val="111111"/>
                        <w:spacing w:val="-5"/>
                        <w:w w:val="110"/>
                        <w:sz w:val="19"/>
                      </w:rPr>
                      <w:instrText> PAGE </w:instrText>
                    </w:r>
                    <w:r>
                      <w:rPr>
                        <w:color w:val="111111"/>
                        <w:spacing w:val="-5"/>
                        <w:w w:val="110"/>
                        <w:sz w:val="19"/>
                      </w:rPr>
                      <w:fldChar w:fldCharType="separate"/>
                    </w:r>
                    <w:r>
                      <w:rPr>
                        <w:color w:val="111111"/>
                        <w:spacing w:val="-5"/>
                        <w:w w:val="110"/>
                        <w:sz w:val="19"/>
                      </w:rPr>
                      <w:t>134</w:t>
                    </w:r>
                    <w:r>
                      <w:rPr>
                        <w:color w:val="111111"/>
                        <w:spacing w:val="-5"/>
                        <w:w w:val="110"/>
                        <w:sz w:val="19"/>
                      </w:rPr>
                      <w:fldChar w:fldCharType="end"/>
                    </w:r>
                  </w:p>
                </w:txbxContent>
              </v:textbox>
              <w10:wrap type="none"/>
            </v:shape>
          </w:pict>
        </mc:Fallback>
      </mc:AlternateContent>
    </w:r>
  </w:p>
</w:ftr>
</file>

<file path=word/footer1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52640">
              <wp:simplePos x="0" y="0"/>
              <wp:positionH relativeFrom="page">
                <wp:posOffset>6796539</wp:posOffset>
              </wp:positionH>
              <wp:positionV relativeFrom="page">
                <wp:posOffset>9807475</wp:posOffset>
              </wp:positionV>
              <wp:extent cx="302895" cy="160655"/>
              <wp:effectExtent l="0" t="0" r="0" b="0"/>
              <wp:wrapNone/>
              <wp:docPr id="731" name="Textbox 731"/>
              <wp:cNvGraphicFramePr>
                <a:graphicFrameLocks/>
              </wp:cNvGraphicFramePr>
              <a:graphic>
                <a:graphicData uri="http://schemas.microsoft.com/office/word/2010/wordprocessingShape">
                  <wps:wsp>
                    <wps:cNvPr id="731" name="Textbox 731"/>
                    <wps:cNvSpPr txBox="1"/>
                    <wps:spPr>
                      <a:xfrm>
                        <a:off x="0" y="0"/>
                        <a:ext cx="302895" cy="160655"/>
                      </a:xfrm>
                      <a:prstGeom prst="rect">
                        <a:avLst/>
                      </a:prstGeom>
                    </wps:spPr>
                    <wps:txbx>
                      <w:txbxContent>
                        <w:p>
                          <w:pPr>
                            <w:spacing w:before="14"/>
                            <w:ind w:left="60" w:right="0" w:firstLine="0"/>
                            <w:jc w:val="left"/>
                            <w:rPr>
                              <w:sz w:val="19"/>
                            </w:rPr>
                          </w:pPr>
                          <w:r>
                            <w:rPr>
                              <w:color w:val="0C0C0C"/>
                              <w:spacing w:val="-5"/>
                              <w:w w:val="105"/>
                              <w:sz w:val="19"/>
                            </w:rPr>
                            <w:fldChar w:fldCharType="begin"/>
                          </w:r>
                          <w:r>
                            <w:rPr>
                              <w:color w:val="0C0C0C"/>
                              <w:spacing w:val="-5"/>
                              <w:w w:val="105"/>
                              <w:sz w:val="19"/>
                            </w:rPr>
                            <w:instrText> PAGE </w:instrText>
                          </w:r>
                          <w:r>
                            <w:rPr>
                              <w:color w:val="0C0C0C"/>
                              <w:spacing w:val="-5"/>
                              <w:w w:val="105"/>
                              <w:sz w:val="19"/>
                            </w:rPr>
                            <w:fldChar w:fldCharType="separate"/>
                          </w:r>
                          <w:r>
                            <w:rPr>
                              <w:color w:val="0C0C0C"/>
                              <w:spacing w:val="-5"/>
                              <w:w w:val="105"/>
                              <w:sz w:val="19"/>
                            </w:rPr>
                            <w:t>135</w:t>
                          </w:r>
                          <w:r>
                            <w:rPr>
                              <w:color w:val="0C0C0C"/>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35.160583pt;margin-top:772.242188pt;width:23.85pt;height:12.65pt;mso-position-horizontal-relative:page;mso-position-vertical-relative:page;z-index:-27363840" type="#_x0000_t202" id="docshape473" filled="false" stroked="false">
              <v:textbox inset="0,0,0,0">
                <w:txbxContent>
                  <w:p>
                    <w:pPr>
                      <w:spacing w:before="14"/>
                      <w:ind w:left="60" w:right="0" w:firstLine="0"/>
                      <w:jc w:val="left"/>
                      <w:rPr>
                        <w:sz w:val="19"/>
                      </w:rPr>
                    </w:pPr>
                    <w:r>
                      <w:rPr>
                        <w:color w:val="0C0C0C"/>
                        <w:spacing w:val="-5"/>
                        <w:w w:val="105"/>
                        <w:sz w:val="19"/>
                      </w:rPr>
                      <w:fldChar w:fldCharType="begin"/>
                    </w:r>
                    <w:r>
                      <w:rPr>
                        <w:color w:val="0C0C0C"/>
                        <w:spacing w:val="-5"/>
                        <w:w w:val="105"/>
                        <w:sz w:val="19"/>
                      </w:rPr>
                      <w:instrText> PAGE </w:instrText>
                    </w:r>
                    <w:r>
                      <w:rPr>
                        <w:color w:val="0C0C0C"/>
                        <w:spacing w:val="-5"/>
                        <w:w w:val="105"/>
                        <w:sz w:val="19"/>
                      </w:rPr>
                      <w:fldChar w:fldCharType="separate"/>
                    </w:r>
                    <w:r>
                      <w:rPr>
                        <w:color w:val="0C0C0C"/>
                        <w:spacing w:val="-5"/>
                        <w:w w:val="105"/>
                        <w:sz w:val="19"/>
                      </w:rPr>
                      <w:t>135</w:t>
                    </w:r>
                    <w:r>
                      <w:rPr>
                        <w:color w:val="0C0C0C"/>
                        <w:spacing w:val="-5"/>
                        <w:w w:val="105"/>
                        <w:sz w:val="19"/>
                      </w:rPr>
                      <w:fldChar w:fldCharType="end"/>
                    </w:r>
                  </w:p>
                </w:txbxContent>
              </v:textbox>
              <w10:wrap type="none"/>
            </v:shape>
          </w:pict>
        </mc:Fallback>
      </mc:AlternateContent>
    </w:r>
  </w:p>
</w:ftr>
</file>

<file path=word/footer1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53152">
              <wp:simplePos x="0" y="0"/>
              <wp:positionH relativeFrom="page">
                <wp:posOffset>6857598</wp:posOffset>
              </wp:positionH>
              <wp:positionV relativeFrom="page">
                <wp:posOffset>9917328</wp:posOffset>
              </wp:positionV>
              <wp:extent cx="306705" cy="160655"/>
              <wp:effectExtent l="0" t="0" r="0" b="0"/>
              <wp:wrapNone/>
              <wp:docPr id="732" name="Textbox 732"/>
              <wp:cNvGraphicFramePr>
                <a:graphicFrameLocks/>
              </wp:cNvGraphicFramePr>
              <a:graphic>
                <a:graphicData uri="http://schemas.microsoft.com/office/word/2010/wordprocessingShape">
                  <wps:wsp>
                    <wps:cNvPr id="732" name="Textbox 732"/>
                    <wps:cNvSpPr txBox="1"/>
                    <wps:spPr>
                      <a:xfrm>
                        <a:off x="0" y="0"/>
                        <a:ext cx="306705" cy="160655"/>
                      </a:xfrm>
                      <a:prstGeom prst="rect">
                        <a:avLst/>
                      </a:prstGeom>
                    </wps:spPr>
                    <wps:txbx>
                      <w:txbxContent>
                        <w:p>
                          <w:pPr>
                            <w:spacing w:before="14"/>
                            <w:ind w:left="60" w:right="0" w:firstLine="0"/>
                            <w:jc w:val="left"/>
                            <w:rPr>
                              <w:sz w:val="19"/>
                            </w:rPr>
                          </w:pPr>
                          <w:r>
                            <w:rPr>
                              <w:color w:val="080808"/>
                              <w:spacing w:val="-5"/>
                              <w:w w:val="110"/>
                              <w:sz w:val="19"/>
                            </w:rPr>
                            <w:fldChar w:fldCharType="begin"/>
                          </w:r>
                          <w:r>
                            <w:rPr>
                              <w:color w:val="080808"/>
                              <w:spacing w:val="-5"/>
                              <w:w w:val="110"/>
                              <w:sz w:val="19"/>
                            </w:rPr>
                            <w:instrText> PAGE </w:instrText>
                          </w:r>
                          <w:r>
                            <w:rPr>
                              <w:color w:val="080808"/>
                              <w:spacing w:val="-5"/>
                              <w:w w:val="110"/>
                              <w:sz w:val="19"/>
                            </w:rPr>
                            <w:fldChar w:fldCharType="separate"/>
                          </w:r>
                          <w:r>
                            <w:rPr>
                              <w:color w:val="080808"/>
                              <w:spacing w:val="-5"/>
                              <w:w w:val="110"/>
                              <w:sz w:val="19"/>
                            </w:rPr>
                            <w:t>136</w:t>
                          </w:r>
                          <w:r>
                            <w:rPr>
                              <w:color w:val="080808"/>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39.968384pt;margin-top:780.892029pt;width:24.15pt;height:12.65pt;mso-position-horizontal-relative:page;mso-position-vertical-relative:page;z-index:-27363328" type="#_x0000_t202" id="docshape474" filled="false" stroked="false">
              <v:textbox inset="0,0,0,0">
                <w:txbxContent>
                  <w:p>
                    <w:pPr>
                      <w:spacing w:before="14"/>
                      <w:ind w:left="60" w:right="0" w:firstLine="0"/>
                      <w:jc w:val="left"/>
                      <w:rPr>
                        <w:sz w:val="19"/>
                      </w:rPr>
                    </w:pPr>
                    <w:r>
                      <w:rPr>
                        <w:color w:val="080808"/>
                        <w:spacing w:val="-5"/>
                        <w:w w:val="110"/>
                        <w:sz w:val="19"/>
                      </w:rPr>
                      <w:fldChar w:fldCharType="begin"/>
                    </w:r>
                    <w:r>
                      <w:rPr>
                        <w:color w:val="080808"/>
                        <w:spacing w:val="-5"/>
                        <w:w w:val="110"/>
                        <w:sz w:val="19"/>
                      </w:rPr>
                      <w:instrText> PAGE </w:instrText>
                    </w:r>
                    <w:r>
                      <w:rPr>
                        <w:color w:val="080808"/>
                        <w:spacing w:val="-5"/>
                        <w:w w:val="110"/>
                        <w:sz w:val="19"/>
                      </w:rPr>
                      <w:fldChar w:fldCharType="separate"/>
                    </w:r>
                    <w:r>
                      <w:rPr>
                        <w:color w:val="080808"/>
                        <w:spacing w:val="-5"/>
                        <w:w w:val="110"/>
                        <w:sz w:val="19"/>
                      </w:rPr>
                      <w:t>136</w:t>
                    </w:r>
                    <w:r>
                      <w:rPr>
                        <w:color w:val="080808"/>
                        <w:spacing w:val="-5"/>
                        <w:w w:val="110"/>
                        <w:sz w:val="19"/>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8704">
              <wp:simplePos x="0" y="0"/>
              <wp:positionH relativeFrom="page">
                <wp:posOffset>6577302</wp:posOffset>
              </wp:positionH>
              <wp:positionV relativeFrom="page">
                <wp:posOffset>10328291</wp:posOffset>
              </wp:positionV>
              <wp:extent cx="243840" cy="18415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243840" cy="184150"/>
                      </a:xfrm>
                      <a:prstGeom prst="rect">
                        <a:avLst/>
                      </a:prstGeom>
                    </wps:spPr>
                    <wps:txbx>
                      <w:txbxContent>
                        <w:p>
                          <w:pPr>
                            <w:pStyle w:val="BodyText"/>
                            <w:spacing w:before="20"/>
                            <w:ind w:left="60"/>
                            <w:rPr>
                              <w:rFonts w:ascii="Courier New"/>
                            </w:rPr>
                          </w:pPr>
                          <w:r>
                            <w:rPr>
                              <w:rFonts w:ascii="Courier New"/>
                              <w:color w:val="0F0F0F"/>
                              <w:spacing w:val="-5"/>
                            </w:rPr>
                            <w:fldChar w:fldCharType="begin"/>
                          </w:r>
                          <w:r>
                            <w:rPr>
                              <w:rFonts w:ascii="Courier New"/>
                              <w:color w:val="0F0F0F"/>
                              <w:spacing w:val="-5"/>
                            </w:rPr>
                            <w:instrText> PAGE </w:instrText>
                          </w:r>
                          <w:r>
                            <w:rPr>
                              <w:rFonts w:ascii="Courier New"/>
                              <w:color w:val="0F0F0F"/>
                              <w:spacing w:val="-5"/>
                            </w:rPr>
                            <w:fldChar w:fldCharType="separate"/>
                          </w:r>
                          <w:r>
                            <w:rPr>
                              <w:rFonts w:ascii="Courier New"/>
                              <w:color w:val="0F0F0F"/>
                              <w:spacing w:val="-5"/>
                            </w:rPr>
                            <w:t>18</w:t>
                          </w:r>
                          <w:r>
                            <w:rPr>
                              <w:rFonts w:ascii="Courier New"/>
                              <w:color w:val="0F0F0F"/>
                              <w:spacing w:val="-5"/>
                            </w:rPr>
                            <w:fldChar w:fldCharType="end"/>
                          </w:r>
                        </w:p>
                      </w:txbxContent>
                    </wps:txbx>
                    <wps:bodyPr wrap="square" lIns="0" tIns="0" rIns="0" bIns="0" rtlCol="0">
                      <a:noAutofit/>
                    </wps:bodyPr>
                  </wps:wsp>
                </a:graphicData>
              </a:graphic>
            </wp:anchor>
          </w:drawing>
        </mc:Choice>
        <mc:Fallback>
          <w:pict>
            <v:shape style="position:absolute;margin-left:517.897827pt;margin-top:813.251282pt;width:19.2pt;height:14.5pt;mso-position-horizontal-relative:page;mso-position-vertical-relative:page;z-index:-27467776" type="#_x0000_t202" id="docshape29" filled="false" stroked="false">
              <v:textbox inset="0,0,0,0">
                <w:txbxContent>
                  <w:p>
                    <w:pPr>
                      <w:pStyle w:val="BodyText"/>
                      <w:spacing w:before="20"/>
                      <w:ind w:left="60"/>
                      <w:rPr>
                        <w:rFonts w:ascii="Courier New"/>
                      </w:rPr>
                    </w:pPr>
                    <w:r>
                      <w:rPr>
                        <w:rFonts w:ascii="Courier New"/>
                        <w:color w:val="0F0F0F"/>
                        <w:spacing w:val="-5"/>
                      </w:rPr>
                      <w:fldChar w:fldCharType="begin"/>
                    </w:r>
                    <w:r>
                      <w:rPr>
                        <w:rFonts w:ascii="Courier New"/>
                        <w:color w:val="0F0F0F"/>
                        <w:spacing w:val="-5"/>
                      </w:rPr>
                      <w:instrText> PAGE </w:instrText>
                    </w:r>
                    <w:r>
                      <w:rPr>
                        <w:rFonts w:ascii="Courier New"/>
                        <w:color w:val="0F0F0F"/>
                        <w:spacing w:val="-5"/>
                      </w:rPr>
                      <w:fldChar w:fldCharType="separate"/>
                    </w:r>
                    <w:r>
                      <w:rPr>
                        <w:rFonts w:ascii="Courier New"/>
                        <w:color w:val="0F0F0F"/>
                        <w:spacing w:val="-5"/>
                      </w:rPr>
                      <w:t>18</w:t>
                    </w:r>
                    <w:r>
                      <w:rPr>
                        <w:rFonts w:ascii="Courier New"/>
                        <w:color w:val="0F0F0F"/>
                        <w:spacing w:val="-5"/>
                      </w:rPr>
                      <w:fldChar w:fldCharType="end"/>
                    </w:r>
                  </w:p>
                </w:txbxContent>
              </v:textbox>
              <w10:wrap type="none"/>
            </v:shape>
          </w:pict>
        </mc:Fallback>
      </mc:AlternateContent>
    </w:r>
  </w:p>
</w:ftr>
</file>

<file path=word/footer1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54688">
              <wp:simplePos x="0" y="0"/>
              <wp:positionH relativeFrom="page">
                <wp:posOffset>6808065</wp:posOffset>
              </wp:positionH>
              <wp:positionV relativeFrom="page">
                <wp:posOffset>9816978</wp:posOffset>
              </wp:positionV>
              <wp:extent cx="303530" cy="167640"/>
              <wp:effectExtent l="0" t="0" r="0" b="0"/>
              <wp:wrapNone/>
              <wp:docPr id="736" name="Textbox 736"/>
              <wp:cNvGraphicFramePr>
                <a:graphicFrameLocks/>
              </wp:cNvGraphicFramePr>
              <a:graphic>
                <a:graphicData uri="http://schemas.microsoft.com/office/word/2010/wordprocessingShape">
                  <wps:wsp>
                    <wps:cNvPr id="736" name="Textbox 736"/>
                    <wps:cNvSpPr txBox="1"/>
                    <wps:spPr>
                      <a:xfrm>
                        <a:off x="0" y="0"/>
                        <a:ext cx="303530" cy="167640"/>
                      </a:xfrm>
                      <a:prstGeom prst="rect">
                        <a:avLst/>
                      </a:prstGeom>
                    </wps:spPr>
                    <wps:txbx>
                      <w:txbxContent>
                        <w:p>
                          <w:pPr>
                            <w:spacing w:before="13"/>
                            <w:ind w:left="60" w:right="0" w:firstLine="0"/>
                            <w:jc w:val="left"/>
                            <w:rPr>
                              <w:sz w:val="20"/>
                            </w:rPr>
                          </w:pPr>
                          <w:r>
                            <w:rPr>
                              <w:color w:val="0A0A0A"/>
                              <w:spacing w:val="-5"/>
                              <w:sz w:val="20"/>
                            </w:rPr>
                            <w:fldChar w:fldCharType="begin"/>
                          </w:r>
                          <w:r>
                            <w:rPr>
                              <w:color w:val="0A0A0A"/>
                              <w:spacing w:val="-5"/>
                              <w:sz w:val="20"/>
                            </w:rPr>
                            <w:instrText> PAGE </w:instrText>
                          </w:r>
                          <w:r>
                            <w:rPr>
                              <w:color w:val="0A0A0A"/>
                              <w:spacing w:val="-5"/>
                              <w:sz w:val="20"/>
                            </w:rPr>
                            <w:fldChar w:fldCharType="separate"/>
                          </w:r>
                          <w:r>
                            <w:rPr>
                              <w:color w:val="0A0A0A"/>
                              <w:spacing w:val="-5"/>
                              <w:sz w:val="20"/>
                            </w:rPr>
                            <w:t>137</w:t>
                          </w:r>
                          <w:r>
                            <w:rPr>
                              <w:color w:val="0A0A0A"/>
                              <w:spacing w:val="-5"/>
                              <w:sz w:val="20"/>
                            </w:rPr>
                            <w:fldChar w:fldCharType="end"/>
                          </w:r>
                        </w:p>
                      </w:txbxContent>
                    </wps:txbx>
                    <wps:bodyPr wrap="square" lIns="0" tIns="0" rIns="0" bIns="0" rtlCol="0">
                      <a:noAutofit/>
                    </wps:bodyPr>
                  </wps:wsp>
                </a:graphicData>
              </a:graphic>
            </wp:anchor>
          </w:drawing>
        </mc:Choice>
        <mc:Fallback>
          <w:pict>
            <v:shape style="position:absolute;margin-left:536.068115pt;margin-top:772.990417pt;width:23.9pt;height:13.2pt;mso-position-horizontal-relative:page;mso-position-vertical-relative:page;z-index:-27361792" type="#_x0000_t202" id="docshape477" filled="false" stroked="false">
              <v:textbox inset="0,0,0,0">
                <w:txbxContent>
                  <w:p>
                    <w:pPr>
                      <w:spacing w:before="13"/>
                      <w:ind w:left="60" w:right="0" w:firstLine="0"/>
                      <w:jc w:val="left"/>
                      <w:rPr>
                        <w:sz w:val="20"/>
                      </w:rPr>
                    </w:pPr>
                    <w:r>
                      <w:rPr>
                        <w:color w:val="0A0A0A"/>
                        <w:spacing w:val="-5"/>
                        <w:sz w:val="20"/>
                      </w:rPr>
                      <w:fldChar w:fldCharType="begin"/>
                    </w:r>
                    <w:r>
                      <w:rPr>
                        <w:color w:val="0A0A0A"/>
                        <w:spacing w:val="-5"/>
                        <w:sz w:val="20"/>
                      </w:rPr>
                      <w:instrText> PAGE </w:instrText>
                    </w:r>
                    <w:r>
                      <w:rPr>
                        <w:color w:val="0A0A0A"/>
                        <w:spacing w:val="-5"/>
                        <w:sz w:val="20"/>
                      </w:rPr>
                      <w:fldChar w:fldCharType="separate"/>
                    </w:r>
                    <w:r>
                      <w:rPr>
                        <w:color w:val="0A0A0A"/>
                        <w:spacing w:val="-5"/>
                        <w:sz w:val="20"/>
                      </w:rPr>
                      <w:t>137</w:t>
                    </w:r>
                    <w:r>
                      <w:rPr>
                        <w:color w:val="0A0A0A"/>
                        <w:spacing w:val="-5"/>
                        <w:sz w:val="20"/>
                      </w:rPr>
                      <w:fldChar w:fldCharType="end"/>
                    </w:r>
                  </w:p>
                </w:txbxContent>
              </v:textbox>
              <w10:wrap type="none"/>
            </v:shape>
          </w:pict>
        </mc:Fallback>
      </mc:AlternateContent>
    </w:r>
  </w:p>
</w:ftr>
</file>

<file path=word/footer1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55200">
              <wp:simplePos x="0" y="0"/>
              <wp:positionH relativeFrom="page">
                <wp:posOffset>6854545</wp:posOffset>
              </wp:positionH>
              <wp:positionV relativeFrom="page">
                <wp:posOffset>9926483</wp:posOffset>
              </wp:positionV>
              <wp:extent cx="302895" cy="160655"/>
              <wp:effectExtent l="0" t="0" r="0" b="0"/>
              <wp:wrapNone/>
              <wp:docPr id="737" name="Textbox 737"/>
              <wp:cNvGraphicFramePr>
                <a:graphicFrameLocks/>
              </wp:cNvGraphicFramePr>
              <a:graphic>
                <a:graphicData uri="http://schemas.microsoft.com/office/word/2010/wordprocessingShape">
                  <wps:wsp>
                    <wps:cNvPr id="737" name="Textbox 737"/>
                    <wps:cNvSpPr txBox="1"/>
                    <wps:spPr>
                      <a:xfrm>
                        <a:off x="0" y="0"/>
                        <a:ext cx="302895" cy="160655"/>
                      </a:xfrm>
                      <a:prstGeom prst="rect">
                        <a:avLst/>
                      </a:prstGeom>
                    </wps:spPr>
                    <wps:txbx>
                      <w:txbxContent>
                        <w:p>
                          <w:pPr>
                            <w:spacing w:before="14"/>
                            <w:ind w:left="60" w:right="0" w:firstLine="0"/>
                            <w:jc w:val="left"/>
                            <w:rPr>
                              <w:sz w:val="19"/>
                            </w:rPr>
                          </w:pPr>
                          <w:r>
                            <w:rPr>
                              <w:color w:val="111111"/>
                              <w:spacing w:val="-5"/>
                              <w:w w:val="105"/>
                              <w:sz w:val="19"/>
                            </w:rPr>
                            <w:fldChar w:fldCharType="begin"/>
                          </w:r>
                          <w:r>
                            <w:rPr>
                              <w:color w:val="111111"/>
                              <w:spacing w:val="-5"/>
                              <w:w w:val="105"/>
                              <w:sz w:val="19"/>
                            </w:rPr>
                            <w:instrText> PAGE </w:instrText>
                          </w:r>
                          <w:r>
                            <w:rPr>
                              <w:color w:val="111111"/>
                              <w:spacing w:val="-5"/>
                              <w:w w:val="105"/>
                              <w:sz w:val="19"/>
                            </w:rPr>
                            <w:fldChar w:fldCharType="separate"/>
                          </w:r>
                          <w:r>
                            <w:rPr>
                              <w:color w:val="111111"/>
                              <w:spacing w:val="-5"/>
                              <w:w w:val="105"/>
                              <w:sz w:val="19"/>
                            </w:rPr>
                            <w:t>138</w:t>
                          </w:r>
                          <w:r>
                            <w:rPr>
                              <w:color w:val="111111"/>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39.728027pt;margin-top:781.612854pt;width:23.85pt;height:12.65pt;mso-position-horizontal-relative:page;mso-position-vertical-relative:page;z-index:-27361280" type="#_x0000_t202" id="docshape478" filled="false" stroked="false">
              <v:textbox inset="0,0,0,0">
                <w:txbxContent>
                  <w:p>
                    <w:pPr>
                      <w:spacing w:before="14"/>
                      <w:ind w:left="60" w:right="0" w:firstLine="0"/>
                      <w:jc w:val="left"/>
                      <w:rPr>
                        <w:sz w:val="19"/>
                      </w:rPr>
                    </w:pPr>
                    <w:r>
                      <w:rPr>
                        <w:color w:val="111111"/>
                        <w:spacing w:val="-5"/>
                        <w:w w:val="105"/>
                        <w:sz w:val="19"/>
                      </w:rPr>
                      <w:fldChar w:fldCharType="begin"/>
                    </w:r>
                    <w:r>
                      <w:rPr>
                        <w:color w:val="111111"/>
                        <w:spacing w:val="-5"/>
                        <w:w w:val="105"/>
                        <w:sz w:val="19"/>
                      </w:rPr>
                      <w:instrText> PAGE </w:instrText>
                    </w:r>
                    <w:r>
                      <w:rPr>
                        <w:color w:val="111111"/>
                        <w:spacing w:val="-5"/>
                        <w:w w:val="105"/>
                        <w:sz w:val="19"/>
                      </w:rPr>
                      <w:fldChar w:fldCharType="separate"/>
                    </w:r>
                    <w:r>
                      <w:rPr>
                        <w:color w:val="111111"/>
                        <w:spacing w:val="-5"/>
                        <w:w w:val="105"/>
                        <w:sz w:val="19"/>
                      </w:rPr>
                      <w:t>138</w:t>
                    </w:r>
                    <w:r>
                      <w:rPr>
                        <w:color w:val="111111"/>
                        <w:spacing w:val="-5"/>
                        <w:w w:val="105"/>
                        <w:sz w:val="19"/>
                      </w:rPr>
                      <w:fldChar w:fldCharType="end"/>
                    </w:r>
                  </w:p>
                </w:txbxContent>
              </v:textbox>
              <w10:wrap type="none"/>
            </v:shape>
          </w:pict>
        </mc:Fallback>
      </mc:AlternateContent>
    </w:r>
  </w:p>
</w:ftr>
</file>

<file path=word/footer1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56736">
              <wp:simplePos x="0" y="0"/>
              <wp:positionH relativeFrom="page">
                <wp:posOffset>6801958</wp:posOffset>
              </wp:positionH>
              <wp:positionV relativeFrom="page">
                <wp:posOffset>9816978</wp:posOffset>
              </wp:positionV>
              <wp:extent cx="305435" cy="167640"/>
              <wp:effectExtent l="0" t="0" r="0" b="0"/>
              <wp:wrapNone/>
              <wp:docPr id="742" name="Textbox 742"/>
              <wp:cNvGraphicFramePr>
                <a:graphicFrameLocks/>
              </wp:cNvGraphicFramePr>
              <a:graphic>
                <a:graphicData uri="http://schemas.microsoft.com/office/word/2010/wordprocessingShape">
                  <wps:wsp>
                    <wps:cNvPr id="742" name="Textbox 742"/>
                    <wps:cNvSpPr txBox="1"/>
                    <wps:spPr>
                      <a:xfrm>
                        <a:off x="0" y="0"/>
                        <a:ext cx="305435" cy="167640"/>
                      </a:xfrm>
                      <a:prstGeom prst="rect">
                        <a:avLst/>
                      </a:prstGeom>
                    </wps:spPr>
                    <wps:txbx>
                      <w:txbxContent>
                        <w:p>
                          <w:pPr>
                            <w:spacing w:before="13"/>
                            <w:ind w:left="60" w:right="0" w:firstLine="0"/>
                            <w:jc w:val="left"/>
                            <w:rPr>
                              <w:sz w:val="20"/>
                            </w:rPr>
                          </w:pPr>
                          <w:r>
                            <w:rPr>
                              <w:color w:val="0C0C0C"/>
                              <w:spacing w:val="-5"/>
                              <w:sz w:val="20"/>
                            </w:rPr>
                            <w:fldChar w:fldCharType="begin"/>
                          </w:r>
                          <w:r>
                            <w:rPr>
                              <w:color w:val="0C0C0C"/>
                              <w:spacing w:val="-5"/>
                              <w:sz w:val="20"/>
                            </w:rPr>
                            <w:instrText> PAGE </w:instrText>
                          </w:r>
                          <w:r>
                            <w:rPr>
                              <w:color w:val="0C0C0C"/>
                              <w:spacing w:val="-5"/>
                              <w:sz w:val="20"/>
                            </w:rPr>
                            <w:fldChar w:fldCharType="separate"/>
                          </w:r>
                          <w:r>
                            <w:rPr>
                              <w:color w:val="0C0C0C"/>
                              <w:spacing w:val="-5"/>
                              <w:sz w:val="20"/>
                            </w:rPr>
                            <w:t>139</w:t>
                          </w:r>
                          <w:r>
                            <w:rPr>
                              <w:color w:val="0C0C0C"/>
                              <w:spacing w:val="-5"/>
                              <w:sz w:val="20"/>
                            </w:rPr>
                            <w:fldChar w:fldCharType="end"/>
                          </w:r>
                        </w:p>
                      </w:txbxContent>
                    </wps:txbx>
                    <wps:bodyPr wrap="square" lIns="0" tIns="0" rIns="0" bIns="0" rtlCol="0">
                      <a:noAutofit/>
                    </wps:bodyPr>
                  </wps:wsp>
                </a:graphicData>
              </a:graphic>
            </wp:anchor>
          </w:drawing>
        </mc:Choice>
        <mc:Fallback>
          <w:pict>
            <v:shape style="position:absolute;margin-left:535.58728pt;margin-top:772.990417pt;width:24.05pt;height:13.2pt;mso-position-horizontal-relative:page;mso-position-vertical-relative:page;z-index:-27359744" type="#_x0000_t202" id="docshape480" filled="false" stroked="false">
              <v:textbox inset="0,0,0,0">
                <w:txbxContent>
                  <w:p>
                    <w:pPr>
                      <w:spacing w:before="13"/>
                      <w:ind w:left="60" w:right="0" w:firstLine="0"/>
                      <w:jc w:val="left"/>
                      <w:rPr>
                        <w:sz w:val="20"/>
                      </w:rPr>
                    </w:pPr>
                    <w:r>
                      <w:rPr>
                        <w:color w:val="0C0C0C"/>
                        <w:spacing w:val="-5"/>
                        <w:sz w:val="20"/>
                      </w:rPr>
                      <w:fldChar w:fldCharType="begin"/>
                    </w:r>
                    <w:r>
                      <w:rPr>
                        <w:color w:val="0C0C0C"/>
                        <w:spacing w:val="-5"/>
                        <w:sz w:val="20"/>
                      </w:rPr>
                      <w:instrText> PAGE </w:instrText>
                    </w:r>
                    <w:r>
                      <w:rPr>
                        <w:color w:val="0C0C0C"/>
                        <w:spacing w:val="-5"/>
                        <w:sz w:val="20"/>
                      </w:rPr>
                      <w:fldChar w:fldCharType="separate"/>
                    </w:r>
                    <w:r>
                      <w:rPr>
                        <w:color w:val="0C0C0C"/>
                        <w:spacing w:val="-5"/>
                        <w:sz w:val="20"/>
                      </w:rPr>
                      <w:t>139</w:t>
                    </w:r>
                    <w:r>
                      <w:rPr>
                        <w:color w:val="0C0C0C"/>
                        <w:spacing w:val="-5"/>
                        <w:sz w:val="20"/>
                      </w:rPr>
                      <w:fldChar w:fldCharType="end"/>
                    </w:r>
                  </w:p>
                </w:txbxContent>
              </v:textbox>
              <w10:wrap type="none"/>
            </v:shape>
          </w:pict>
        </mc:Fallback>
      </mc:AlternateContent>
    </w:r>
  </w:p>
</w:ftr>
</file>

<file path=word/footer1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57248">
              <wp:simplePos x="0" y="0"/>
              <wp:positionH relativeFrom="page">
                <wp:posOffset>6864276</wp:posOffset>
              </wp:positionH>
              <wp:positionV relativeFrom="page">
                <wp:posOffset>9898116</wp:posOffset>
              </wp:positionV>
              <wp:extent cx="305435" cy="189865"/>
              <wp:effectExtent l="0" t="0" r="0" b="0"/>
              <wp:wrapNone/>
              <wp:docPr id="743" name="Textbox 743"/>
              <wp:cNvGraphicFramePr>
                <a:graphicFrameLocks/>
              </wp:cNvGraphicFramePr>
              <a:graphic>
                <a:graphicData uri="http://schemas.microsoft.com/office/word/2010/wordprocessingShape">
                  <wps:wsp>
                    <wps:cNvPr id="743" name="Textbox 743"/>
                    <wps:cNvSpPr txBox="1"/>
                    <wps:spPr>
                      <a:xfrm>
                        <a:off x="0" y="0"/>
                        <a:ext cx="305435" cy="189865"/>
                      </a:xfrm>
                      <a:prstGeom prst="rect">
                        <a:avLst/>
                      </a:prstGeom>
                    </wps:spPr>
                    <wps:txbx>
                      <w:txbxContent>
                        <w:p>
                          <w:pPr>
                            <w:spacing w:before="11"/>
                            <w:ind w:left="52" w:right="0" w:firstLine="0"/>
                            <w:jc w:val="left"/>
                            <w:rPr>
                              <w:rFonts w:ascii="Times New Roman"/>
                              <w:b/>
                              <w:sz w:val="20"/>
                            </w:rPr>
                          </w:pPr>
                          <w:r>
                            <w:rPr>
                              <w:rFonts w:ascii="Times New Roman"/>
                              <w:b/>
                              <w:color w:val="161616"/>
                              <w:spacing w:val="-5"/>
                              <w:w w:val="105"/>
                              <w:sz w:val="20"/>
                            </w:rPr>
                            <w:fldChar w:fldCharType="begin"/>
                          </w:r>
                          <w:r>
                            <w:rPr>
                              <w:rFonts w:ascii="Times New Roman"/>
                              <w:b/>
                              <w:color w:val="161616"/>
                              <w:spacing w:val="-5"/>
                              <w:w w:val="105"/>
                              <w:sz w:val="20"/>
                            </w:rPr>
                            <w:instrText> PAGE </w:instrText>
                          </w:r>
                          <w:r>
                            <w:rPr>
                              <w:rFonts w:ascii="Times New Roman"/>
                              <w:b/>
                              <w:color w:val="161616"/>
                              <w:spacing w:val="-5"/>
                              <w:w w:val="105"/>
                              <w:sz w:val="20"/>
                            </w:rPr>
                            <w:fldChar w:fldCharType="separate"/>
                          </w:r>
                          <w:r>
                            <w:rPr>
                              <w:rFonts w:ascii="Times New Roman"/>
                              <w:b/>
                              <w:color w:val="161616"/>
                              <w:spacing w:val="-5"/>
                              <w:w w:val="105"/>
                              <w:sz w:val="20"/>
                            </w:rPr>
                            <w:t>142</w:t>
                          </w:r>
                          <w:r>
                            <w:rPr>
                              <w:rFonts w:ascii="Times New Roman"/>
                              <w:b/>
                              <w:color w:val="161616"/>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540.494202pt;margin-top:779.379272pt;width:24.05pt;height:14.95pt;mso-position-horizontal-relative:page;mso-position-vertical-relative:page;z-index:-27359232" type="#_x0000_t202" id="docshape481" filled="false" stroked="false">
              <v:textbox inset="0,0,0,0">
                <w:txbxContent>
                  <w:p>
                    <w:pPr>
                      <w:spacing w:before="11"/>
                      <w:ind w:left="52" w:right="0" w:firstLine="0"/>
                      <w:jc w:val="left"/>
                      <w:rPr>
                        <w:rFonts w:ascii="Times New Roman"/>
                        <w:b/>
                        <w:sz w:val="20"/>
                      </w:rPr>
                    </w:pPr>
                    <w:r>
                      <w:rPr>
                        <w:rFonts w:ascii="Times New Roman"/>
                        <w:b/>
                        <w:color w:val="161616"/>
                        <w:spacing w:val="-5"/>
                        <w:w w:val="105"/>
                        <w:sz w:val="20"/>
                      </w:rPr>
                      <w:fldChar w:fldCharType="begin"/>
                    </w:r>
                    <w:r>
                      <w:rPr>
                        <w:rFonts w:ascii="Times New Roman"/>
                        <w:b/>
                        <w:color w:val="161616"/>
                        <w:spacing w:val="-5"/>
                        <w:w w:val="105"/>
                        <w:sz w:val="20"/>
                      </w:rPr>
                      <w:instrText> PAGE </w:instrText>
                    </w:r>
                    <w:r>
                      <w:rPr>
                        <w:rFonts w:ascii="Times New Roman"/>
                        <w:b/>
                        <w:color w:val="161616"/>
                        <w:spacing w:val="-5"/>
                        <w:w w:val="105"/>
                        <w:sz w:val="20"/>
                      </w:rPr>
                      <w:fldChar w:fldCharType="separate"/>
                    </w:r>
                    <w:r>
                      <w:rPr>
                        <w:rFonts w:ascii="Times New Roman"/>
                        <w:b/>
                        <w:color w:val="161616"/>
                        <w:spacing w:val="-5"/>
                        <w:w w:val="105"/>
                        <w:sz w:val="20"/>
                      </w:rPr>
                      <w:t>142</w:t>
                    </w:r>
                    <w:r>
                      <w:rPr>
                        <w:rFonts w:ascii="Times New Roman"/>
                        <w:b/>
                        <w:color w:val="161616"/>
                        <w:spacing w:val="-5"/>
                        <w:w w:val="105"/>
                        <w:sz w:val="20"/>
                      </w:rPr>
                      <w:fldChar w:fldCharType="end"/>
                    </w:r>
                  </w:p>
                </w:txbxContent>
              </v:textbox>
              <w10:wrap type="none"/>
            </v:shape>
          </w:pict>
        </mc:Fallback>
      </mc:AlternateContent>
    </w:r>
  </w:p>
</w:ftr>
</file>

<file path=word/footer1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58784">
              <wp:simplePos x="0" y="0"/>
              <wp:positionH relativeFrom="page">
                <wp:posOffset>6816459</wp:posOffset>
              </wp:positionH>
              <wp:positionV relativeFrom="page">
                <wp:posOffset>9812675</wp:posOffset>
              </wp:positionV>
              <wp:extent cx="274320" cy="166370"/>
              <wp:effectExtent l="0" t="0" r="0" b="0"/>
              <wp:wrapNone/>
              <wp:docPr id="746" name="Textbox 746"/>
              <wp:cNvGraphicFramePr>
                <a:graphicFrameLocks/>
              </wp:cNvGraphicFramePr>
              <a:graphic>
                <a:graphicData uri="http://schemas.microsoft.com/office/word/2010/wordprocessingShape">
                  <wps:wsp>
                    <wps:cNvPr id="746" name="Textbox 746"/>
                    <wps:cNvSpPr txBox="1"/>
                    <wps:spPr>
                      <a:xfrm>
                        <a:off x="0" y="0"/>
                        <a:ext cx="274320" cy="166370"/>
                      </a:xfrm>
                      <a:prstGeom prst="rect">
                        <a:avLst/>
                      </a:prstGeom>
                    </wps:spPr>
                    <wps:txbx>
                      <w:txbxContent>
                        <w:p>
                          <w:pPr>
                            <w:spacing w:before="11"/>
                            <w:ind w:left="60" w:right="0" w:firstLine="0"/>
                            <w:jc w:val="left"/>
                            <w:rPr>
                              <w:rFonts w:ascii="Times New Roman"/>
                              <w:b/>
                              <w:sz w:val="20"/>
                            </w:rPr>
                          </w:pPr>
                          <w:r>
                            <w:rPr>
                              <w:rFonts w:ascii="Times New Roman"/>
                              <w:b/>
                              <w:color w:val="0C0C0C"/>
                              <w:spacing w:val="-5"/>
                              <w:sz w:val="20"/>
                            </w:rPr>
                            <w:fldChar w:fldCharType="begin"/>
                          </w:r>
                          <w:r>
                            <w:rPr>
                              <w:rFonts w:ascii="Times New Roman"/>
                              <w:b/>
                              <w:color w:val="0C0C0C"/>
                              <w:spacing w:val="-5"/>
                              <w:sz w:val="20"/>
                            </w:rPr>
                            <w:instrText> PAGE </w:instrText>
                          </w:r>
                          <w:r>
                            <w:rPr>
                              <w:rFonts w:ascii="Times New Roman"/>
                              <w:b/>
                              <w:color w:val="0C0C0C"/>
                              <w:spacing w:val="-5"/>
                              <w:sz w:val="20"/>
                            </w:rPr>
                            <w:fldChar w:fldCharType="separate"/>
                          </w:r>
                          <w:r>
                            <w:rPr>
                              <w:rFonts w:ascii="Times New Roman"/>
                              <w:b/>
                              <w:color w:val="0C0C0C"/>
                              <w:spacing w:val="-5"/>
                              <w:sz w:val="20"/>
                            </w:rPr>
                            <w:t>141</w:t>
                          </w:r>
                          <w:r>
                            <w:rPr>
                              <w:rFonts w:ascii="Times New Roman"/>
                              <w:b/>
                              <w:color w:val="0C0C0C"/>
                              <w:spacing w:val="-5"/>
                              <w:sz w:val="20"/>
                            </w:rPr>
                            <w:fldChar w:fldCharType="end"/>
                          </w:r>
                        </w:p>
                      </w:txbxContent>
                    </wps:txbx>
                    <wps:bodyPr wrap="square" lIns="0" tIns="0" rIns="0" bIns="0" rtlCol="0">
                      <a:noAutofit/>
                    </wps:bodyPr>
                  </wps:wsp>
                </a:graphicData>
              </a:graphic>
            </wp:anchor>
          </w:drawing>
        </mc:Choice>
        <mc:Fallback>
          <w:pict>
            <v:shape style="position:absolute;margin-left:536.729126pt;margin-top:772.651611pt;width:21.6pt;height:13.1pt;mso-position-horizontal-relative:page;mso-position-vertical-relative:page;z-index:-27357696" type="#_x0000_t202" id="docshape483" filled="false" stroked="false">
              <v:textbox inset="0,0,0,0">
                <w:txbxContent>
                  <w:p>
                    <w:pPr>
                      <w:spacing w:before="11"/>
                      <w:ind w:left="60" w:right="0" w:firstLine="0"/>
                      <w:jc w:val="left"/>
                      <w:rPr>
                        <w:rFonts w:ascii="Times New Roman"/>
                        <w:b/>
                        <w:sz w:val="20"/>
                      </w:rPr>
                    </w:pPr>
                    <w:r>
                      <w:rPr>
                        <w:rFonts w:ascii="Times New Roman"/>
                        <w:b/>
                        <w:color w:val="0C0C0C"/>
                        <w:spacing w:val="-5"/>
                        <w:sz w:val="20"/>
                      </w:rPr>
                      <w:fldChar w:fldCharType="begin"/>
                    </w:r>
                    <w:r>
                      <w:rPr>
                        <w:rFonts w:ascii="Times New Roman"/>
                        <w:b/>
                        <w:color w:val="0C0C0C"/>
                        <w:spacing w:val="-5"/>
                        <w:sz w:val="20"/>
                      </w:rPr>
                      <w:instrText> PAGE </w:instrText>
                    </w:r>
                    <w:r>
                      <w:rPr>
                        <w:rFonts w:ascii="Times New Roman"/>
                        <w:b/>
                        <w:color w:val="0C0C0C"/>
                        <w:spacing w:val="-5"/>
                        <w:sz w:val="20"/>
                      </w:rPr>
                      <w:fldChar w:fldCharType="separate"/>
                    </w:r>
                    <w:r>
                      <w:rPr>
                        <w:rFonts w:ascii="Times New Roman"/>
                        <w:b/>
                        <w:color w:val="0C0C0C"/>
                        <w:spacing w:val="-5"/>
                        <w:sz w:val="20"/>
                      </w:rPr>
                      <w:t>141</w:t>
                    </w:r>
                    <w:r>
                      <w:rPr>
                        <w:rFonts w:ascii="Times New Roman"/>
                        <w:b/>
                        <w:color w:val="0C0C0C"/>
                        <w:spacing w:val="-5"/>
                        <w:sz w:val="20"/>
                      </w:rPr>
                      <w:fldChar w:fldCharType="end"/>
                    </w:r>
                  </w:p>
                </w:txbxContent>
              </v:textbox>
              <w10:wrap type="none"/>
            </v:shape>
          </w:pict>
        </mc:Fallback>
      </mc:AlternateContent>
    </w:r>
  </w:p>
</w:ftr>
</file>

<file path=word/footer1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59296">
              <wp:simplePos x="0" y="0"/>
              <wp:positionH relativeFrom="page">
                <wp:posOffset>6859199</wp:posOffset>
              </wp:positionH>
              <wp:positionV relativeFrom="page">
                <wp:posOffset>9898116</wp:posOffset>
              </wp:positionV>
              <wp:extent cx="293370" cy="166370"/>
              <wp:effectExtent l="0" t="0" r="0" b="0"/>
              <wp:wrapNone/>
              <wp:docPr id="747" name="Textbox 747"/>
              <wp:cNvGraphicFramePr>
                <a:graphicFrameLocks/>
              </wp:cNvGraphicFramePr>
              <a:graphic>
                <a:graphicData uri="http://schemas.microsoft.com/office/word/2010/wordprocessingShape">
                  <wps:wsp>
                    <wps:cNvPr id="747" name="Textbox 747"/>
                    <wps:cNvSpPr txBox="1"/>
                    <wps:spPr>
                      <a:xfrm>
                        <a:off x="0" y="0"/>
                        <a:ext cx="293370" cy="166370"/>
                      </a:xfrm>
                      <a:prstGeom prst="rect">
                        <a:avLst/>
                      </a:prstGeom>
                    </wps:spPr>
                    <wps:txbx>
                      <w:txbxContent>
                        <w:p>
                          <w:pPr>
                            <w:spacing w:before="11"/>
                            <w:ind w:left="60" w:right="0" w:firstLine="0"/>
                            <w:jc w:val="left"/>
                            <w:rPr>
                              <w:rFonts w:ascii="Times New Roman"/>
                              <w:b/>
                              <w:sz w:val="20"/>
                            </w:rPr>
                          </w:pPr>
                          <w:r>
                            <w:rPr>
                              <w:rFonts w:ascii="Times New Roman"/>
                              <w:b/>
                              <w:color w:val="161616"/>
                              <w:spacing w:val="-5"/>
                              <w:w w:val="105"/>
                              <w:sz w:val="20"/>
                            </w:rPr>
                            <w:fldChar w:fldCharType="begin"/>
                          </w:r>
                          <w:r>
                            <w:rPr>
                              <w:rFonts w:ascii="Times New Roman"/>
                              <w:b/>
                              <w:color w:val="161616"/>
                              <w:spacing w:val="-5"/>
                              <w:w w:val="105"/>
                              <w:sz w:val="20"/>
                            </w:rPr>
                            <w:instrText> PAGE </w:instrText>
                          </w:r>
                          <w:r>
                            <w:rPr>
                              <w:rFonts w:ascii="Times New Roman"/>
                              <w:b/>
                              <w:color w:val="161616"/>
                              <w:spacing w:val="-5"/>
                              <w:w w:val="105"/>
                              <w:sz w:val="20"/>
                            </w:rPr>
                            <w:fldChar w:fldCharType="separate"/>
                          </w:r>
                          <w:r>
                            <w:rPr>
                              <w:rFonts w:ascii="Times New Roman"/>
                              <w:b/>
                              <w:color w:val="161616"/>
                              <w:spacing w:val="-5"/>
                              <w:w w:val="105"/>
                              <w:sz w:val="20"/>
                            </w:rPr>
                            <w:t>142</w:t>
                          </w:r>
                          <w:r>
                            <w:rPr>
                              <w:rFonts w:ascii="Times New Roman"/>
                              <w:b/>
                              <w:color w:val="161616"/>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540.094482pt;margin-top:779.379272pt;width:23.1pt;height:13.1pt;mso-position-horizontal-relative:page;mso-position-vertical-relative:page;z-index:-27357184" type="#_x0000_t202" id="docshape484" filled="false" stroked="false">
              <v:textbox inset="0,0,0,0">
                <w:txbxContent>
                  <w:p>
                    <w:pPr>
                      <w:spacing w:before="11"/>
                      <w:ind w:left="60" w:right="0" w:firstLine="0"/>
                      <w:jc w:val="left"/>
                      <w:rPr>
                        <w:rFonts w:ascii="Times New Roman"/>
                        <w:b/>
                        <w:sz w:val="20"/>
                      </w:rPr>
                    </w:pPr>
                    <w:r>
                      <w:rPr>
                        <w:rFonts w:ascii="Times New Roman"/>
                        <w:b/>
                        <w:color w:val="161616"/>
                        <w:spacing w:val="-5"/>
                        <w:w w:val="105"/>
                        <w:sz w:val="20"/>
                      </w:rPr>
                      <w:fldChar w:fldCharType="begin"/>
                    </w:r>
                    <w:r>
                      <w:rPr>
                        <w:rFonts w:ascii="Times New Roman"/>
                        <w:b/>
                        <w:color w:val="161616"/>
                        <w:spacing w:val="-5"/>
                        <w:w w:val="105"/>
                        <w:sz w:val="20"/>
                      </w:rPr>
                      <w:instrText> PAGE </w:instrText>
                    </w:r>
                    <w:r>
                      <w:rPr>
                        <w:rFonts w:ascii="Times New Roman"/>
                        <w:b/>
                        <w:color w:val="161616"/>
                        <w:spacing w:val="-5"/>
                        <w:w w:val="105"/>
                        <w:sz w:val="20"/>
                      </w:rPr>
                      <w:fldChar w:fldCharType="separate"/>
                    </w:r>
                    <w:r>
                      <w:rPr>
                        <w:rFonts w:ascii="Times New Roman"/>
                        <w:b/>
                        <w:color w:val="161616"/>
                        <w:spacing w:val="-5"/>
                        <w:w w:val="105"/>
                        <w:sz w:val="20"/>
                      </w:rPr>
                      <w:t>142</w:t>
                    </w:r>
                    <w:r>
                      <w:rPr>
                        <w:rFonts w:ascii="Times New Roman"/>
                        <w:b/>
                        <w:color w:val="161616"/>
                        <w:spacing w:val="-5"/>
                        <w:w w:val="105"/>
                        <w:sz w:val="20"/>
                      </w:rPr>
                      <w:fldChar w:fldCharType="end"/>
                    </w:r>
                  </w:p>
                </w:txbxContent>
              </v:textbox>
              <w10:wrap type="none"/>
            </v:shape>
          </w:pict>
        </mc:Fallback>
      </mc:AlternateContent>
    </w:r>
  </w:p>
</w:ftr>
</file>

<file path=word/footer1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59808">
              <wp:simplePos x="0" y="0"/>
              <wp:positionH relativeFrom="page">
                <wp:posOffset>6820829</wp:posOffset>
              </wp:positionH>
              <wp:positionV relativeFrom="page">
                <wp:posOffset>9801196</wp:posOffset>
              </wp:positionV>
              <wp:extent cx="307975" cy="191135"/>
              <wp:effectExtent l="0" t="0" r="0" b="0"/>
              <wp:wrapNone/>
              <wp:docPr id="749" name="Textbox 749"/>
              <wp:cNvGraphicFramePr>
                <a:graphicFrameLocks/>
              </wp:cNvGraphicFramePr>
              <a:graphic>
                <a:graphicData uri="http://schemas.microsoft.com/office/word/2010/wordprocessingShape">
                  <wps:wsp>
                    <wps:cNvPr id="749" name="Textbox 749"/>
                    <wps:cNvSpPr txBox="1"/>
                    <wps:spPr>
                      <a:xfrm>
                        <a:off x="0" y="0"/>
                        <a:ext cx="307975" cy="191135"/>
                      </a:xfrm>
                      <a:prstGeom prst="rect">
                        <a:avLst/>
                      </a:prstGeom>
                    </wps:spPr>
                    <wps:txbx>
                      <w:txbxContent>
                        <w:p>
                          <w:pPr>
                            <w:spacing w:before="20"/>
                            <w:ind w:left="60" w:right="0" w:firstLine="0"/>
                            <w:jc w:val="left"/>
                            <w:rPr>
                              <w:rFonts w:ascii="Courier New"/>
                              <w:sz w:val="23"/>
                            </w:rPr>
                          </w:pPr>
                          <w:r>
                            <w:rPr>
                              <w:rFonts w:ascii="Courier New"/>
                              <w:color w:val="0A0A0A"/>
                              <w:spacing w:val="-5"/>
                              <w:w w:val="95"/>
                              <w:sz w:val="23"/>
                            </w:rPr>
                            <w:fldChar w:fldCharType="begin"/>
                          </w:r>
                          <w:r>
                            <w:rPr>
                              <w:rFonts w:ascii="Courier New"/>
                              <w:color w:val="0A0A0A"/>
                              <w:spacing w:val="-5"/>
                              <w:w w:val="95"/>
                              <w:sz w:val="23"/>
                            </w:rPr>
                            <w:instrText> PAGE </w:instrText>
                          </w:r>
                          <w:r>
                            <w:rPr>
                              <w:rFonts w:ascii="Courier New"/>
                              <w:color w:val="0A0A0A"/>
                              <w:spacing w:val="-5"/>
                              <w:w w:val="95"/>
                              <w:sz w:val="23"/>
                            </w:rPr>
                            <w:fldChar w:fldCharType="separate"/>
                          </w:r>
                          <w:r>
                            <w:rPr>
                              <w:rFonts w:ascii="Courier New"/>
                              <w:color w:val="0A0A0A"/>
                              <w:spacing w:val="-5"/>
                              <w:w w:val="95"/>
                              <w:sz w:val="23"/>
                            </w:rPr>
                            <w:t>143</w:t>
                          </w:r>
                          <w:r>
                            <w:rPr>
                              <w:rFonts w:ascii="Courier New"/>
                              <w:color w:val="0A0A0A"/>
                              <w:spacing w:val="-5"/>
                              <w:w w:val="95"/>
                              <w:sz w:val="23"/>
                            </w:rPr>
                            <w:fldChar w:fldCharType="end"/>
                          </w:r>
                        </w:p>
                      </w:txbxContent>
                    </wps:txbx>
                    <wps:bodyPr wrap="square" lIns="0" tIns="0" rIns="0" bIns="0" rtlCol="0">
                      <a:noAutofit/>
                    </wps:bodyPr>
                  </wps:wsp>
                </a:graphicData>
              </a:graphic>
            </wp:anchor>
          </w:drawing>
        </mc:Choice>
        <mc:Fallback>
          <w:pict>
            <v:shape style="position:absolute;margin-left:537.073181pt;margin-top:771.747742pt;width:24.25pt;height:15.05pt;mso-position-horizontal-relative:page;mso-position-vertical-relative:page;z-index:-27356672" type="#_x0000_t202" id="docshape485" filled="false" stroked="false">
              <v:textbox inset="0,0,0,0">
                <w:txbxContent>
                  <w:p>
                    <w:pPr>
                      <w:spacing w:before="20"/>
                      <w:ind w:left="60" w:right="0" w:firstLine="0"/>
                      <w:jc w:val="left"/>
                      <w:rPr>
                        <w:rFonts w:ascii="Courier New"/>
                        <w:sz w:val="23"/>
                      </w:rPr>
                    </w:pPr>
                    <w:r>
                      <w:rPr>
                        <w:rFonts w:ascii="Courier New"/>
                        <w:color w:val="0A0A0A"/>
                        <w:spacing w:val="-5"/>
                        <w:w w:val="95"/>
                        <w:sz w:val="23"/>
                      </w:rPr>
                      <w:fldChar w:fldCharType="begin"/>
                    </w:r>
                    <w:r>
                      <w:rPr>
                        <w:rFonts w:ascii="Courier New"/>
                        <w:color w:val="0A0A0A"/>
                        <w:spacing w:val="-5"/>
                        <w:w w:val="95"/>
                        <w:sz w:val="23"/>
                      </w:rPr>
                      <w:instrText> PAGE </w:instrText>
                    </w:r>
                    <w:r>
                      <w:rPr>
                        <w:rFonts w:ascii="Courier New"/>
                        <w:color w:val="0A0A0A"/>
                        <w:spacing w:val="-5"/>
                        <w:w w:val="95"/>
                        <w:sz w:val="23"/>
                      </w:rPr>
                      <w:fldChar w:fldCharType="separate"/>
                    </w:r>
                    <w:r>
                      <w:rPr>
                        <w:rFonts w:ascii="Courier New"/>
                        <w:color w:val="0A0A0A"/>
                        <w:spacing w:val="-5"/>
                        <w:w w:val="95"/>
                        <w:sz w:val="23"/>
                      </w:rPr>
                      <w:t>143</w:t>
                    </w:r>
                    <w:r>
                      <w:rPr>
                        <w:rFonts w:ascii="Courier New"/>
                        <w:color w:val="0A0A0A"/>
                        <w:spacing w:val="-5"/>
                        <w:w w:val="95"/>
                        <w:sz w:val="23"/>
                      </w:rPr>
                      <w:fldChar w:fldCharType="end"/>
                    </w:r>
                  </w:p>
                </w:txbxContent>
              </v:textbox>
              <w10:wrap type="none"/>
            </v:shape>
          </w:pict>
        </mc:Fallback>
      </mc:AlternateContent>
    </w:r>
  </w:p>
</w:ftr>
</file>

<file path=word/footer1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60320">
              <wp:simplePos x="0" y="0"/>
              <wp:positionH relativeFrom="page">
                <wp:posOffset>6870382</wp:posOffset>
              </wp:positionH>
              <wp:positionV relativeFrom="page">
                <wp:posOffset>9904135</wp:posOffset>
              </wp:positionV>
              <wp:extent cx="318135" cy="184150"/>
              <wp:effectExtent l="0" t="0" r="0" b="0"/>
              <wp:wrapNone/>
              <wp:docPr id="750" name="Textbox 750"/>
              <wp:cNvGraphicFramePr>
                <a:graphicFrameLocks/>
              </wp:cNvGraphicFramePr>
              <a:graphic>
                <a:graphicData uri="http://schemas.microsoft.com/office/word/2010/wordprocessingShape">
                  <wps:wsp>
                    <wps:cNvPr id="750" name="Textbox 750"/>
                    <wps:cNvSpPr txBox="1"/>
                    <wps:spPr>
                      <a:xfrm>
                        <a:off x="0" y="0"/>
                        <a:ext cx="318135" cy="184150"/>
                      </a:xfrm>
                      <a:prstGeom prst="rect">
                        <a:avLst/>
                      </a:prstGeom>
                    </wps:spPr>
                    <wps:txbx>
                      <w:txbxContent>
                        <w:p>
                          <w:pPr>
                            <w:pStyle w:val="BodyText"/>
                            <w:spacing w:before="20"/>
                            <w:ind w:left="60"/>
                            <w:rPr>
                              <w:rFonts w:ascii="Courier New"/>
                            </w:rPr>
                          </w:pPr>
                          <w:r>
                            <w:rPr>
                              <w:rFonts w:ascii="Courier New"/>
                              <w:color w:val="0C0C0C"/>
                              <w:spacing w:val="-5"/>
                            </w:rPr>
                            <w:fldChar w:fldCharType="begin"/>
                          </w:r>
                          <w:r>
                            <w:rPr>
                              <w:rFonts w:ascii="Courier New"/>
                              <w:color w:val="0C0C0C"/>
                              <w:spacing w:val="-5"/>
                            </w:rPr>
                            <w:instrText> PAGE </w:instrText>
                          </w:r>
                          <w:r>
                            <w:rPr>
                              <w:rFonts w:ascii="Courier New"/>
                              <w:color w:val="0C0C0C"/>
                              <w:spacing w:val="-5"/>
                            </w:rPr>
                            <w:fldChar w:fldCharType="separate"/>
                          </w:r>
                          <w:r>
                            <w:rPr>
                              <w:rFonts w:ascii="Courier New"/>
                              <w:color w:val="0C0C0C"/>
                              <w:spacing w:val="-5"/>
                            </w:rPr>
                            <w:t>144</w:t>
                          </w:r>
                          <w:r>
                            <w:rPr>
                              <w:rFonts w:ascii="Courier New"/>
                              <w:color w:val="0C0C0C"/>
                              <w:spacing w:val="-5"/>
                            </w:rPr>
                            <w:fldChar w:fldCharType="end"/>
                          </w:r>
                        </w:p>
                      </w:txbxContent>
                    </wps:txbx>
                    <wps:bodyPr wrap="square" lIns="0" tIns="0" rIns="0" bIns="0" rtlCol="0">
                      <a:noAutofit/>
                    </wps:bodyPr>
                  </wps:wsp>
                </a:graphicData>
              </a:graphic>
            </wp:anchor>
          </w:drawing>
        </mc:Choice>
        <mc:Fallback>
          <w:pict>
            <v:shape style="position:absolute;margin-left:540.974976pt;margin-top:779.85321pt;width:25.05pt;height:14.5pt;mso-position-horizontal-relative:page;mso-position-vertical-relative:page;z-index:-27356160" type="#_x0000_t202" id="docshape486" filled="false" stroked="false">
              <v:textbox inset="0,0,0,0">
                <w:txbxContent>
                  <w:p>
                    <w:pPr>
                      <w:pStyle w:val="BodyText"/>
                      <w:spacing w:before="20"/>
                      <w:ind w:left="60"/>
                      <w:rPr>
                        <w:rFonts w:ascii="Courier New"/>
                      </w:rPr>
                    </w:pPr>
                    <w:r>
                      <w:rPr>
                        <w:rFonts w:ascii="Courier New"/>
                        <w:color w:val="0C0C0C"/>
                        <w:spacing w:val="-5"/>
                      </w:rPr>
                      <w:fldChar w:fldCharType="begin"/>
                    </w:r>
                    <w:r>
                      <w:rPr>
                        <w:rFonts w:ascii="Courier New"/>
                        <w:color w:val="0C0C0C"/>
                        <w:spacing w:val="-5"/>
                      </w:rPr>
                      <w:instrText> PAGE </w:instrText>
                    </w:r>
                    <w:r>
                      <w:rPr>
                        <w:rFonts w:ascii="Courier New"/>
                        <w:color w:val="0C0C0C"/>
                        <w:spacing w:val="-5"/>
                      </w:rPr>
                      <w:fldChar w:fldCharType="separate"/>
                    </w:r>
                    <w:r>
                      <w:rPr>
                        <w:rFonts w:ascii="Courier New"/>
                        <w:color w:val="0C0C0C"/>
                        <w:spacing w:val="-5"/>
                      </w:rPr>
                      <w:t>144</w:t>
                    </w:r>
                    <w:r>
                      <w:rPr>
                        <w:rFonts w:ascii="Courier New"/>
                        <w:color w:val="0C0C0C"/>
                        <w:spacing w:val="-5"/>
                      </w:rPr>
                      <w:fldChar w:fldCharType="end"/>
                    </w:r>
                  </w:p>
                </w:txbxContent>
              </v:textbox>
              <w10:wrap type="none"/>
            </v:shape>
          </w:pict>
        </mc:Fallback>
      </mc:AlternateContent>
    </w:r>
  </w:p>
</w:ftr>
</file>

<file path=word/footer1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61344">
              <wp:simplePos x="0" y="0"/>
              <wp:positionH relativeFrom="page">
                <wp:posOffset>6852065</wp:posOffset>
              </wp:positionH>
              <wp:positionV relativeFrom="page">
                <wp:posOffset>9888878</wp:posOffset>
              </wp:positionV>
              <wp:extent cx="318135" cy="184150"/>
              <wp:effectExtent l="0" t="0" r="0" b="0"/>
              <wp:wrapNone/>
              <wp:docPr id="752" name="Textbox 752"/>
              <wp:cNvGraphicFramePr>
                <a:graphicFrameLocks/>
              </wp:cNvGraphicFramePr>
              <a:graphic>
                <a:graphicData uri="http://schemas.microsoft.com/office/word/2010/wordprocessingShape">
                  <wps:wsp>
                    <wps:cNvPr id="752" name="Textbox 752"/>
                    <wps:cNvSpPr txBox="1"/>
                    <wps:spPr>
                      <a:xfrm>
                        <a:off x="0" y="0"/>
                        <a:ext cx="318135" cy="184150"/>
                      </a:xfrm>
                      <a:prstGeom prst="rect">
                        <a:avLst/>
                      </a:prstGeom>
                    </wps:spPr>
                    <wps:txbx>
                      <w:txbxContent>
                        <w:p>
                          <w:pPr>
                            <w:pStyle w:val="BodyText"/>
                            <w:spacing w:before="20"/>
                            <w:ind w:left="60"/>
                            <w:rPr>
                              <w:rFonts w:ascii="Courier New"/>
                            </w:rPr>
                          </w:pPr>
                          <w:r>
                            <w:rPr>
                              <w:rFonts w:ascii="Courier New"/>
                              <w:color w:val="0F0F0F"/>
                              <w:spacing w:val="-5"/>
                            </w:rPr>
                            <w:fldChar w:fldCharType="begin"/>
                          </w:r>
                          <w:r>
                            <w:rPr>
                              <w:rFonts w:ascii="Courier New"/>
                              <w:color w:val="0F0F0F"/>
                              <w:spacing w:val="-5"/>
                            </w:rPr>
                            <w:instrText> PAGE </w:instrText>
                          </w:r>
                          <w:r>
                            <w:rPr>
                              <w:rFonts w:ascii="Courier New"/>
                              <w:color w:val="0F0F0F"/>
                              <w:spacing w:val="-5"/>
                            </w:rPr>
                            <w:fldChar w:fldCharType="separate"/>
                          </w:r>
                          <w:r>
                            <w:rPr>
                              <w:rFonts w:ascii="Courier New"/>
                              <w:color w:val="0F0F0F"/>
                              <w:spacing w:val="-5"/>
                            </w:rPr>
                            <w:t>150</w:t>
                          </w:r>
                          <w:r>
                            <w:rPr>
                              <w:rFonts w:ascii="Courier New"/>
                              <w:color w:val="0F0F0F"/>
                              <w:spacing w:val="-5"/>
                            </w:rPr>
                            <w:fldChar w:fldCharType="end"/>
                          </w:r>
                        </w:p>
                      </w:txbxContent>
                    </wps:txbx>
                    <wps:bodyPr wrap="square" lIns="0" tIns="0" rIns="0" bIns="0" rtlCol="0">
                      <a:noAutofit/>
                    </wps:bodyPr>
                  </wps:wsp>
                </a:graphicData>
              </a:graphic>
            </wp:anchor>
          </w:drawing>
        </mc:Choice>
        <mc:Fallback>
          <w:pict>
            <v:shape style="position:absolute;margin-left:539.532715pt;margin-top:778.651855pt;width:25.05pt;height:14.5pt;mso-position-horizontal-relative:page;mso-position-vertical-relative:page;z-index:-27355136" type="#_x0000_t202" id="docshape487" filled="false" stroked="false">
              <v:textbox inset="0,0,0,0">
                <w:txbxContent>
                  <w:p>
                    <w:pPr>
                      <w:pStyle w:val="BodyText"/>
                      <w:spacing w:before="20"/>
                      <w:ind w:left="60"/>
                      <w:rPr>
                        <w:rFonts w:ascii="Courier New"/>
                      </w:rPr>
                    </w:pPr>
                    <w:r>
                      <w:rPr>
                        <w:rFonts w:ascii="Courier New"/>
                        <w:color w:val="0F0F0F"/>
                        <w:spacing w:val="-5"/>
                      </w:rPr>
                      <w:fldChar w:fldCharType="begin"/>
                    </w:r>
                    <w:r>
                      <w:rPr>
                        <w:rFonts w:ascii="Courier New"/>
                        <w:color w:val="0F0F0F"/>
                        <w:spacing w:val="-5"/>
                      </w:rPr>
                      <w:instrText> PAGE </w:instrText>
                    </w:r>
                    <w:r>
                      <w:rPr>
                        <w:rFonts w:ascii="Courier New"/>
                        <w:color w:val="0F0F0F"/>
                        <w:spacing w:val="-5"/>
                      </w:rPr>
                      <w:fldChar w:fldCharType="separate"/>
                    </w:r>
                    <w:r>
                      <w:rPr>
                        <w:rFonts w:ascii="Courier New"/>
                        <w:color w:val="0F0F0F"/>
                        <w:spacing w:val="-5"/>
                      </w:rPr>
                      <w:t>150</w:t>
                    </w:r>
                    <w:r>
                      <w:rPr>
                        <w:rFonts w:ascii="Courier New"/>
                        <w:color w:val="0F0F0F"/>
                        <w:spacing w:val="-5"/>
                      </w:rPr>
                      <w:fldChar w:fldCharType="end"/>
                    </w:r>
                  </w:p>
                </w:txbxContent>
              </v:textbox>
              <w10:wrap type="none"/>
            </v:shape>
          </w:pict>
        </mc:Fallback>
      </mc:AlternateContent>
    </w:r>
  </w:p>
</w:ftr>
</file>

<file path=word/footer1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61856">
              <wp:simplePos x="0" y="0"/>
              <wp:positionH relativeFrom="page">
                <wp:posOffset>6809323</wp:posOffset>
              </wp:positionH>
              <wp:positionV relativeFrom="page">
                <wp:posOffset>9833952</wp:posOffset>
              </wp:positionV>
              <wp:extent cx="315595" cy="184150"/>
              <wp:effectExtent l="0" t="0" r="0" b="0"/>
              <wp:wrapNone/>
              <wp:docPr id="753" name="Textbox 753"/>
              <wp:cNvGraphicFramePr>
                <a:graphicFrameLocks/>
              </wp:cNvGraphicFramePr>
              <a:graphic>
                <a:graphicData uri="http://schemas.microsoft.com/office/word/2010/wordprocessingShape">
                  <wps:wsp>
                    <wps:cNvPr id="753" name="Textbox 753"/>
                    <wps:cNvSpPr txBox="1"/>
                    <wps:spPr>
                      <a:xfrm>
                        <a:off x="0" y="0"/>
                        <a:ext cx="315595" cy="184150"/>
                      </a:xfrm>
                      <a:prstGeom prst="rect">
                        <a:avLst/>
                      </a:prstGeom>
                    </wps:spPr>
                    <wps:txbx>
                      <w:txbxContent>
                        <w:p>
                          <w:pPr>
                            <w:pStyle w:val="BodyText"/>
                            <w:spacing w:before="20"/>
                            <w:ind w:left="60"/>
                            <w:rPr>
                              <w:rFonts w:ascii="Courier New"/>
                            </w:rPr>
                          </w:pPr>
                          <w:r>
                            <w:rPr>
                              <w:rFonts w:ascii="Courier New"/>
                              <w:color w:val="0E0E0E"/>
                              <w:spacing w:val="-5"/>
                            </w:rPr>
                            <w:fldChar w:fldCharType="begin"/>
                          </w:r>
                          <w:r>
                            <w:rPr>
                              <w:rFonts w:ascii="Courier New"/>
                              <w:color w:val="0E0E0E"/>
                              <w:spacing w:val="-5"/>
                            </w:rPr>
                            <w:instrText> PAGE </w:instrText>
                          </w:r>
                          <w:r>
                            <w:rPr>
                              <w:rFonts w:ascii="Courier New"/>
                              <w:color w:val="0E0E0E"/>
                              <w:spacing w:val="-5"/>
                            </w:rPr>
                            <w:fldChar w:fldCharType="separate"/>
                          </w:r>
                          <w:r>
                            <w:rPr>
                              <w:rFonts w:ascii="Courier New"/>
                              <w:color w:val="0E0E0E"/>
                              <w:spacing w:val="-5"/>
                            </w:rPr>
                            <w:t>147</w:t>
                          </w:r>
                          <w:r>
                            <w:rPr>
                              <w:rFonts w:ascii="Courier New"/>
                              <w:color w:val="0E0E0E"/>
                              <w:spacing w:val="-5"/>
                            </w:rPr>
                            <w:fldChar w:fldCharType="end"/>
                          </w:r>
                        </w:p>
                      </w:txbxContent>
                    </wps:txbx>
                    <wps:bodyPr wrap="square" lIns="0" tIns="0" rIns="0" bIns="0" rtlCol="0">
                      <a:noAutofit/>
                    </wps:bodyPr>
                  </wps:wsp>
                </a:graphicData>
              </a:graphic>
            </wp:anchor>
          </w:drawing>
        </mc:Choice>
        <mc:Fallback>
          <w:pict>
            <v:shape style="position:absolute;margin-left:536.167175pt;margin-top:774.326965pt;width:24.85pt;height:14.5pt;mso-position-horizontal-relative:page;mso-position-vertical-relative:page;z-index:-27354624" type="#_x0000_t202" id="docshape488" filled="false" stroked="false">
              <v:textbox inset="0,0,0,0">
                <w:txbxContent>
                  <w:p>
                    <w:pPr>
                      <w:pStyle w:val="BodyText"/>
                      <w:spacing w:before="20"/>
                      <w:ind w:left="60"/>
                      <w:rPr>
                        <w:rFonts w:ascii="Courier New"/>
                      </w:rPr>
                    </w:pPr>
                    <w:r>
                      <w:rPr>
                        <w:rFonts w:ascii="Courier New"/>
                        <w:color w:val="0E0E0E"/>
                        <w:spacing w:val="-5"/>
                      </w:rPr>
                      <w:fldChar w:fldCharType="begin"/>
                    </w:r>
                    <w:r>
                      <w:rPr>
                        <w:rFonts w:ascii="Courier New"/>
                        <w:color w:val="0E0E0E"/>
                        <w:spacing w:val="-5"/>
                      </w:rPr>
                      <w:instrText> PAGE </w:instrText>
                    </w:r>
                    <w:r>
                      <w:rPr>
                        <w:rFonts w:ascii="Courier New"/>
                        <w:color w:val="0E0E0E"/>
                        <w:spacing w:val="-5"/>
                      </w:rPr>
                      <w:fldChar w:fldCharType="separate"/>
                    </w:r>
                    <w:r>
                      <w:rPr>
                        <w:rFonts w:ascii="Courier New"/>
                        <w:color w:val="0E0E0E"/>
                        <w:spacing w:val="-5"/>
                      </w:rPr>
                      <w:t>147</w:t>
                    </w:r>
                    <w:r>
                      <w:rPr>
                        <w:rFonts w:ascii="Courier New"/>
                        <w:color w:val="0E0E0E"/>
                        <w:spacing w:val="-5"/>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9728">
              <wp:simplePos x="0" y="0"/>
              <wp:positionH relativeFrom="page">
                <wp:posOffset>6510138</wp:posOffset>
              </wp:positionH>
              <wp:positionV relativeFrom="page">
                <wp:posOffset>10242849</wp:posOffset>
              </wp:positionV>
              <wp:extent cx="240029" cy="18415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240029" cy="184150"/>
                      </a:xfrm>
                      <a:prstGeom prst="rect">
                        <a:avLst/>
                      </a:prstGeom>
                    </wps:spPr>
                    <wps:txbx>
                      <w:txbxContent>
                        <w:p>
                          <w:pPr>
                            <w:pStyle w:val="BodyText"/>
                            <w:spacing w:before="20"/>
                            <w:ind w:left="60"/>
                            <w:rPr>
                              <w:rFonts w:ascii="Courier New"/>
                            </w:rPr>
                          </w:pPr>
                          <w:r>
                            <w:rPr>
                              <w:rFonts w:ascii="Courier New"/>
                              <w:color w:val="0E0E0E"/>
                              <w:spacing w:val="-5"/>
                            </w:rPr>
                            <w:fldChar w:fldCharType="begin"/>
                          </w:r>
                          <w:r>
                            <w:rPr>
                              <w:rFonts w:ascii="Courier New"/>
                              <w:color w:val="0E0E0E"/>
                              <w:spacing w:val="-5"/>
                            </w:rPr>
                            <w:instrText> PAGE </w:instrText>
                          </w:r>
                          <w:r>
                            <w:rPr>
                              <w:rFonts w:ascii="Courier New"/>
                              <w:color w:val="0E0E0E"/>
                              <w:spacing w:val="-5"/>
                            </w:rPr>
                            <w:fldChar w:fldCharType="separate"/>
                          </w:r>
                          <w:r>
                            <w:rPr>
                              <w:rFonts w:ascii="Courier New"/>
                              <w:color w:val="0E0E0E"/>
                              <w:spacing w:val="-5"/>
                            </w:rPr>
                            <w:t>19</w:t>
                          </w:r>
                          <w:r>
                            <w:rPr>
                              <w:rFonts w:ascii="Courier New"/>
                              <w:color w:val="0E0E0E"/>
                              <w:spacing w:val="-5"/>
                            </w:rPr>
                            <w:fldChar w:fldCharType="end"/>
                          </w:r>
                        </w:p>
                      </w:txbxContent>
                    </wps:txbx>
                    <wps:bodyPr wrap="square" lIns="0" tIns="0" rIns="0" bIns="0" rtlCol="0">
                      <a:noAutofit/>
                    </wps:bodyPr>
                  </wps:wsp>
                </a:graphicData>
              </a:graphic>
            </wp:anchor>
          </w:drawing>
        </mc:Choice>
        <mc:Fallback>
          <w:pict>
            <v:shape style="position:absolute;margin-left:512.609314pt;margin-top:806.523621pt;width:18.9pt;height:14.5pt;mso-position-horizontal-relative:page;mso-position-vertical-relative:page;z-index:-27466752" type="#_x0000_t202" id="docshape31" filled="false" stroked="false">
              <v:textbox inset="0,0,0,0">
                <w:txbxContent>
                  <w:p>
                    <w:pPr>
                      <w:pStyle w:val="BodyText"/>
                      <w:spacing w:before="20"/>
                      <w:ind w:left="60"/>
                      <w:rPr>
                        <w:rFonts w:ascii="Courier New"/>
                      </w:rPr>
                    </w:pPr>
                    <w:r>
                      <w:rPr>
                        <w:rFonts w:ascii="Courier New"/>
                        <w:color w:val="0E0E0E"/>
                        <w:spacing w:val="-5"/>
                      </w:rPr>
                      <w:fldChar w:fldCharType="begin"/>
                    </w:r>
                    <w:r>
                      <w:rPr>
                        <w:rFonts w:ascii="Courier New"/>
                        <w:color w:val="0E0E0E"/>
                        <w:spacing w:val="-5"/>
                      </w:rPr>
                      <w:instrText> PAGE </w:instrText>
                    </w:r>
                    <w:r>
                      <w:rPr>
                        <w:rFonts w:ascii="Courier New"/>
                        <w:color w:val="0E0E0E"/>
                        <w:spacing w:val="-5"/>
                      </w:rPr>
                      <w:fldChar w:fldCharType="separate"/>
                    </w:r>
                    <w:r>
                      <w:rPr>
                        <w:rFonts w:ascii="Courier New"/>
                        <w:color w:val="0E0E0E"/>
                        <w:spacing w:val="-5"/>
                      </w:rPr>
                      <w:t>19</w:t>
                    </w:r>
                    <w:r>
                      <w:rPr>
                        <w:rFonts w:ascii="Courier New"/>
                        <w:color w:val="0E0E0E"/>
                        <w:spacing w:val="-5"/>
                      </w:rPr>
                      <w:fldChar w:fldCharType="end"/>
                    </w:r>
                  </w:p>
                </w:txbxContent>
              </v:textbox>
              <w10:wrap type="none"/>
            </v:shape>
          </w:pict>
        </mc:Fallback>
      </mc:AlternateContent>
    </w:r>
  </w:p>
</w:ftr>
</file>

<file path=word/footer1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64416">
              <wp:simplePos x="0" y="0"/>
              <wp:positionH relativeFrom="page">
                <wp:posOffset>6803218</wp:posOffset>
              </wp:positionH>
              <wp:positionV relativeFrom="page">
                <wp:posOffset>9830900</wp:posOffset>
              </wp:positionV>
              <wp:extent cx="303530" cy="184150"/>
              <wp:effectExtent l="0" t="0" r="0" b="0"/>
              <wp:wrapNone/>
              <wp:docPr id="762" name="Textbox 762"/>
              <wp:cNvGraphicFramePr>
                <a:graphicFrameLocks/>
              </wp:cNvGraphicFramePr>
              <a:graphic>
                <a:graphicData uri="http://schemas.microsoft.com/office/word/2010/wordprocessingShape">
                  <wps:wsp>
                    <wps:cNvPr id="762" name="Textbox 762"/>
                    <wps:cNvSpPr txBox="1"/>
                    <wps:spPr>
                      <a:xfrm>
                        <a:off x="0" y="0"/>
                        <a:ext cx="303530" cy="184150"/>
                      </a:xfrm>
                      <a:prstGeom prst="rect">
                        <a:avLst/>
                      </a:prstGeom>
                    </wps:spPr>
                    <wps:txbx>
                      <w:txbxContent>
                        <w:p>
                          <w:pPr>
                            <w:pStyle w:val="BodyText"/>
                            <w:spacing w:before="20"/>
                            <w:ind w:left="60"/>
                            <w:rPr>
                              <w:rFonts w:ascii="Courier New"/>
                            </w:rPr>
                          </w:pPr>
                          <w:r>
                            <w:rPr>
                              <w:rFonts w:ascii="Courier New"/>
                              <w:color w:val="0E0E0E"/>
                              <w:spacing w:val="-5"/>
                              <w:w w:val="95"/>
                            </w:rPr>
                            <w:fldChar w:fldCharType="begin"/>
                          </w:r>
                          <w:r>
                            <w:rPr>
                              <w:rFonts w:ascii="Courier New"/>
                              <w:color w:val="0E0E0E"/>
                              <w:spacing w:val="-5"/>
                              <w:w w:val="95"/>
                            </w:rPr>
                            <w:instrText> PAGE </w:instrText>
                          </w:r>
                          <w:r>
                            <w:rPr>
                              <w:rFonts w:ascii="Courier New"/>
                              <w:color w:val="0E0E0E"/>
                              <w:spacing w:val="-5"/>
                              <w:w w:val="95"/>
                            </w:rPr>
                            <w:fldChar w:fldCharType="separate"/>
                          </w:r>
                          <w:r>
                            <w:rPr>
                              <w:rFonts w:ascii="Courier New"/>
                              <w:color w:val="0E0E0E"/>
                              <w:spacing w:val="-5"/>
                              <w:w w:val="95"/>
                            </w:rPr>
                            <w:t>149</w:t>
                          </w:r>
                          <w:r>
                            <w:rPr>
                              <w:rFonts w:ascii="Courier New"/>
                              <w:color w:val="0E0E0E"/>
                              <w:spacing w:val="-5"/>
                              <w:w w:val="95"/>
                            </w:rPr>
                            <w:fldChar w:fldCharType="end"/>
                          </w:r>
                        </w:p>
                      </w:txbxContent>
                    </wps:txbx>
                    <wps:bodyPr wrap="square" lIns="0" tIns="0" rIns="0" bIns="0" rtlCol="0">
                      <a:noAutofit/>
                    </wps:bodyPr>
                  </wps:wsp>
                </a:graphicData>
              </a:graphic>
            </wp:anchor>
          </w:drawing>
        </mc:Choice>
        <mc:Fallback>
          <w:pict>
            <v:shape style="position:absolute;margin-left:535.686523pt;margin-top:774.08667pt;width:23.9pt;height:14.5pt;mso-position-horizontal-relative:page;mso-position-vertical-relative:page;z-index:-27352064" type="#_x0000_t202" id="docshape493" filled="false" stroked="false">
              <v:textbox inset="0,0,0,0">
                <w:txbxContent>
                  <w:p>
                    <w:pPr>
                      <w:pStyle w:val="BodyText"/>
                      <w:spacing w:before="20"/>
                      <w:ind w:left="60"/>
                      <w:rPr>
                        <w:rFonts w:ascii="Courier New"/>
                      </w:rPr>
                    </w:pPr>
                    <w:r>
                      <w:rPr>
                        <w:rFonts w:ascii="Courier New"/>
                        <w:color w:val="0E0E0E"/>
                        <w:spacing w:val="-5"/>
                        <w:w w:val="95"/>
                      </w:rPr>
                      <w:fldChar w:fldCharType="begin"/>
                    </w:r>
                    <w:r>
                      <w:rPr>
                        <w:rFonts w:ascii="Courier New"/>
                        <w:color w:val="0E0E0E"/>
                        <w:spacing w:val="-5"/>
                        <w:w w:val="95"/>
                      </w:rPr>
                      <w:instrText> PAGE </w:instrText>
                    </w:r>
                    <w:r>
                      <w:rPr>
                        <w:rFonts w:ascii="Courier New"/>
                        <w:color w:val="0E0E0E"/>
                        <w:spacing w:val="-5"/>
                        <w:w w:val="95"/>
                      </w:rPr>
                      <w:fldChar w:fldCharType="separate"/>
                    </w:r>
                    <w:r>
                      <w:rPr>
                        <w:rFonts w:ascii="Courier New"/>
                        <w:color w:val="0E0E0E"/>
                        <w:spacing w:val="-5"/>
                        <w:w w:val="95"/>
                      </w:rPr>
                      <w:t>149</w:t>
                    </w:r>
                    <w:r>
                      <w:rPr>
                        <w:rFonts w:ascii="Courier New"/>
                        <w:color w:val="0E0E0E"/>
                        <w:spacing w:val="-5"/>
                        <w:w w:val="95"/>
                      </w:rPr>
                      <w:fldChar w:fldCharType="end"/>
                    </w:r>
                  </w:p>
                </w:txbxContent>
              </v:textbox>
              <w10:wrap type="none"/>
            </v:shape>
          </w:pict>
        </mc:Fallback>
      </mc:AlternateContent>
    </w:r>
  </w:p>
</w:ftr>
</file>

<file path=word/footer1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64928">
              <wp:simplePos x="0" y="0"/>
              <wp:positionH relativeFrom="page">
                <wp:posOffset>6852065</wp:posOffset>
              </wp:positionH>
              <wp:positionV relativeFrom="page">
                <wp:posOffset>9888878</wp:posOffset>
              </wp:positionV>
              <wp:extent cx="318135" cy="184150"/>
              <wp:effectExtent l="0" t="0" r="0" b="0"/>
              <wp:wrapNone/>
              <wp:docPr id="763" name="Textbox 763"/>
              <wp:cNvGraphicFramePr>
                <a:graphicFrameLocks/>
              </wp:cNvGraphicFramePr>
              <a:graphic>
                <a:graphicData uri="http://schemas.microsoft.com/office/word/2010/wordprocessingShape">
                  <wps:wsp>
                    <wps:cNvPr id="763" name="Textbox 763"/>
                    <wps:cNvSpPr txBox="1"/>
                    <wps:spPr>
                      <a:xfrm>
                        <a:off x="0" y="0"/>
                        <a:ext cx="318135" cy="184150"/>
                      </a:xfrm>
                      <a:prstGeom prst="rect">
                        <a:avLst/>
                      </a:prstGeom>
                    </wps:spPr>
                    <wps:txbx>
                      <w:txbxContent>
                        <w:p>
                          <w:pPr>
                            <w:pStyle w:val="BodyText"/>
                            <w:spacing w:before="20"/>
                            <w:ind w:left="60"/>
                            <w:rPr>
                              <w:rFonts w:ascii="Courier New"/>
                            </w:rPr>
                          </w:pPr>
                          <w:r>
                            <w:rPr>
                              <w:rFonts w:ascii="Courier New"/>
                              <w:color w:val="0F0F0F"/>
                              <w:spacing w:val="-5"/>
                            </w:rPr>
                            <w:fldChar w:fldCharType="begin"/>
                          </w:r>
                          <w:r>
                            <w:rPr>
                              <w:rFonts w:ascii="Courier New"/>
                              <w:color w:val="0F0F0F"/>
                              <w:spacing w:val="-5"/>
                            </w:rPr>
                            <w:instrText> PAGE </w:instrText>
                          </w:r>
                          <w:r>
                            <w:rPr>
                              <w:rFonts w:ascii="Courier New"/>
                              <w:color w:val="0F0F0F"/>
                              <w:spacing w:val="-5"/>
                            </w:rPr>
                            <w:fldChar w:fldCharType="separate"/>
                          </w:r>
                          <w:r>
                            <w:rPr>
                              <w:rFonts w:ascii="Courier New"/>
                              <w:color w:val="0F0F0F"/>
                              <w:spacing w:val="-5"/>
                            </w:rPr>
                            <w:t>150</w:t>
                          </w:r>
                          <w:r>
                            <w:rPr>
                              <w:rFonts w:ascii="Courier New"/>
                              <w:color w:val="0F0F0F"/>
                              <w:spacing w:val="-5"/>
                            </w:rPr>
                            <w:fldChar w:fldCharType="end"/>
                          </w:r>
                        </w:p>
                      </w:txbxContent>
                    </wps:txbx>
                    <wps:bodyPr wrap="square" lIns="0" tIns="0" rIns="0" bIns="0" rtlCol="0">
                      <a:noAutofit/>
                    </wps:bodyPr>
                  </wps:wsp>
                </a:graphicData>
              </a:graphic>
            </wp:anchor>
          </w:drawing>
        </mc:Choice>
        <mc:Fallback>
          <w:pict>
            <v:shape style="position:absolute;margin-left:539.532715pt;margin-top:778.651855pt;width:25.05pt;height:14.5pt;mso-position-horizontal-relative:page;mso-position-vertical-relative:page;z-index:-27351552" type="#_x0000_t202" id="docshape494" filled="false" stroked="false">
              <v:textbox inset="0,0,0,0">
                <w:txbxContent>
                  <w:p>
                    <w:pPr>
                      <w:pStyle w:val="BodyText"/>
                      <w:spacing w:before="20"/>
                      <w:ind w:left="60"/>
                      <w:rPr>
                        <w:rFonts w:ascii="Courier New"/>
                      </w:rPr>
                    </w:pPr>
                    <w:r>
                      <w:rPr>
                        <w:rFonts w:ascii="Courier New"/>
                        <w:color w:val="0F0F0F"/>
                        <w:spacing w:val="-5"/>
                      </w:rPr>
                      <w:fldChar w:fldCharType="begin"/>
                    </w:r>
                    <w:r>
                      <w:rPr>
                        <w:rFonts w:ascii="Courier New"/>
                        <w:color w:val="0F0F0F"/>
                        <w:spacing w:val="-5"/>
                      </w:rPr>
                      <w:instrText> PAGE </w:instrText>
                    </w:r>
                    <w:r>
                      <w:rPr>
                        <w:rFonts w:ascii="Courier New"/>
                        <w:color w:val="0F0F0F"/>
                        <w:spacing w:val="-5"/>
                      </w:rPr>
                      <w:fldChar w:fldCharType="separate"/>
                    </w:r>
                    <w:r>
                      <w:rPr>
                        <w:rFonts w:ascii="Courier New"/>
                        <w:color w:val="0F0F0F"/>
                        <w:spacing w:val="-5"/>
                      </w:rPr>
                      <w:t>150</w:t>
                    </w:r>
                    <w:r>
                      <w:rPr>
                        <w:rFonts w:ascii="Courier New"/>
                        <w:color w:val="0F0F0F"/>
                        <w:spacing w:val="-5"/>
                      </w:rPr>
                      <w:fldChar w:fldCharType="end"/>
                    </w:r>
                  </w:p>
                </w:txbxContent>
              </v:textbox>
              <w10:wrap type="none"/>
            </v:shape>
          </w:pict>
        </mc:Fallback>
      </mc:AlternateContent>
    </w:r>
  </w:p>
</w:ftr>
</file>

<file path=word/footer1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65952">
              <wp:simplePos x="0" y="0"/>
              <wp:positionH relativeFrom="page">
                <wp:posOffset>6821535</wp:posOffset>
              </wp:positionH>
              <wp:positionV relativeFrom="page">
                <wp:posOffset>9818694</wp:posOffset>
              </wp:positionV>
              <wp:extent cx="313055" cy="184150"/>
              <wp:effectExtent l="0" t="0" r="0" b="0"/>
              <wp:wrapNone/>
              <wp:docPr id="765" name="Textbox 765"/>
              <wp:cNvGraphicFramePr>
                <a:graphicFrameLocks/>
              </wp:cNvGraphicFramePr>
              <a:graphic>
                <a:graphicData uri="http://schemas.microsoft.com/office/word/2010/wordprocessingShape">
                  <wps:wsp>
                    <wps:cNvPr id="765" name="Textbox 765"/>
                    <wps:cNvSpPr txBox="1"/>
                    <wps:spPr>
                      <a:xfrm>
                        <a:off x="0" y="0"/>
                        <a:ext cx="313055" cy="184150"/>
                      </a:xfrm>
                      <a:prstGeom prst="rect">
                        <a:avLst/>
                      </a:prstGeom>
                    </wps:spPr>
                    <wps:txbx>
                      <w:txbxContent>
                        <w:p>
                          <w:pPr>
                            <w:pStyle w:val="BodyText"/>
                            <w:spacing w:before="20"/>
                            <w:ind w:left="60"/>
                            <w:rPr>
                              <w:rFonts w:ascii="Courier New"/>
                            </w:rPr>
                          </w:pPr>
                          <w:r>
                            <w:rPr>
                              <w:rFonts w:ascii="Courier New"/>
                              <w:color w:val="0C0C0C"/>
                              <w:spacing w:val="-5"/>
                            </w:rPr>
                            <w:fldChar w:fldCharType="begin"/>
                          </w:r>
                          <w:r>
                            <w:rPr>
                              <w:rFonts w:ascii="Courier New"/>
                              <w:color w:val="0C0C0C"/>
                              <w:spacing w:val="-5"/>
                            </w:rPr>
                            <w:instrText> PAGE </w:instrText>
                          </w:r>
                          <w:r>
                            <w:rPr>
                              <w:rFonts w:ascii="Courier New"/>
                              <w:color w:val="0C0C0C"/>
                              <w:spacing w:val="-5"/>
                            </w:rPr>
                            <w:fldChar w:fldCharType="separate"/>
                          </w:r>
                          <w:r>
                            <w:rPr>
                              <w:rFonts w:ascii="Courier New"/>
                              <w:color w:val="0C0C0C"/>
                              <w:spacing w:val="-5"/>
                            </w:rPr>
                            <w:t>153</w:t>
                          </w:r>
                          <w:r>
                            <w:rPr>
                              <w:rFonts w:ascii="Courier New"/>
                              <w:color w:val="0C0C0C"/>
                              <w:spacing w:val="-5"/>
                            </w:rPr>
                            <w:fldChar w:fldCharType="end"/>
                          </w:r>
                        </w:p>
                      </w:txbxContent>
                    </wps:txbx>
                    <wps:bodyPr wrap="square" lIns="0" tIns="0" rIns="0" bIns="0" rtlCol="0">
                      <a:noAutofit/>
                    </wps:bodyPr>
                  </wps:wsp>
                </a:graphicData>
              </a:graphic>
            </wp:anchor>
          </w:drawing>
        </mc:Choice>
        <mc:Fallback>
          <w:pict>
            <v:shape style="position:absolute;margin-left:537.128784pt;margin-top:773.125549pt;width:24.65pt;height:14.5pt;mso-position-horizontal-relative:page;mso-position-vertical-relative:page;z-index:-27350528" type="#_x0000_t202" id="docshape496" filled="false" stroked="false">
              <v:textbox inset="0,0,0,0">
                <w:txbxContent>
                  <w:p>
                    <w:pPr>
                      <w:pStyle w:val="BodyText"/>
                      <w:spacing w:before="20"/>
                      <w:ind w:left="60"/>
                      <w:rPr>
                        <w:rFonts w:ascii="Courier New"/>
                      </w:rPr>
                    </w:pPr>
                    <w:r>
                      <w:rPr>
                        <w:rFonts w:ascii="Courier New"/>
                        <w:color w:val="0C0C0C"/>
                        <w:spacing w:val="-5"/>
                      </w:rPr>
                      <w:fldChar w:fldCharType="begin"/>
                    </w:r>
                    <w:r>
                      <w:rPr>
                        <w:rFonts w:ascii="Courier New"/>
                        <w:color w:val="0C0C0C"/>
                        <w:spacing w:val="-5"/>
                      </w:rPr>
                      <w:instrText> PAGE </w:instrText>
                    </w:r>
                    <w:r>
                      <w:rPr>
                        <w:rFonts w:ascii="Courier New"/>
                        <w:color w:val="0C0C0C"/>
                        <w:spacing w:val="-5"/>
                      </w:rPr>
                      <w:fldChar w:fldCharType="separate"/>
                    </w:r>
                    <w:r>
                      <w:rPr>
                        <w:rFonts w:ascii="Courier New"/>
                        <w:color w:val="0C0C0C"/>
                        <w:spacing w:val="-5"/>
                      </w:rPr>
                      <w:t>153</w:t>
                    </w:r>
                    <w:r>
                      <w:rPr>
                        <w:rFonts w:ascii="Courier New"/>
                        <w:color w:val="0C0C0C"/>
                        <w:spacing w:val="-5"/>
                      </w:rPr>
                      <w:fldChar w:fldCharType="end"/>
                    </w:r>
                  </w:p>
                </w:txbxContent>
              </v:textbox>
              <w10:wrap type="none"/>
            </v:shape>
          </w:pict>
        </mc:Fallback>
      </mc:AlternateContent>
    </w:r>
  </w:p>
</w:ftr>
</file>

<file path=word/footer1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66464">
              <wp:simplePos x="0" y="0"/>
              <wp:positionH relativeFrom="page">
                <wp:posOffset>6876487</wp:posOffset>
              </wp:positionH>
              <wp:positionV relativeFrom="page">
                <wp:posOffset>9904135</wp:posOffset>
              </wp:positionV>
              <wp:extent cx="311150" cy="184150"/>
              <wp:effectExtent l="0" t="0" r="0" b="0"/>
              <wp:wrapNone/>
              <wp:docPr id="766" name="Textbox 766"/>
              <wp:cNvGraphicFramePr>
                <a:graphicFrameLocks/>
              </wp:cNvGraphicFramePr>
              <a:graphic>
                <a:graphicData uri="http://schemas.microsoft.com/office/word/2010/wordprocessingShape">
                  <wps:wsp>
                    <wps:cNvPr id="766" name="Textbox 766"/>
                    <wps:cNvSpPr txBox="1"/>
                    <wps:spPr>
                      <a:xfrm>
                        <a:off x="0" y="0"/>
                        <a:ext cx="311150" cy="184150"/>
                      </a:xfrm>
                      <a:prstGeom prst="rect">
                        <a:avLst/>
                      </a:prstGeom>
                    </wps:spPr>
                    <wps:txbx>
                      <w:txbxContent>
                        <w:p>
                          <w:pPr>
                            <w:pStyle w:val="BodyText"/>
                            <w:spacing w:before="20"/>
                            <w:ind w:left="60"/>
                            <w:rPr>
                              <w:rFonts w:ascii="Courier New"/>
                            </w:rPr>
                          </w:pPr>
                          <w:r>
                            <w:rPr>
                              <w:rFonts w:ascii="Courier New"/>
                              <w:color w:val="0C0C0C"/>
                              <w:spacing w:val="-5"/>
                            </w:rPr>
                            <w:fldChar w:fldCharType="begin"/>
                          </w:r>
                          <w:r>
                            <w:rPr>
                              <w:rFonts w:ascii="Courier New"/>
                              <w:color w:val="0C0C0C"/>
                              <w:spacing w:val="-5"/>
                            </w:rPr>
                            <w:instrText> PAGE </w:instrText>
                          </w:r>
                          <w:r>
                            <w:rPr>
                              <w:rFonts w:ascii="Courier New"/>
                              <w:color w:val="0C0C0C"/>
                              <w:spacing w:val="-5"/>
                            </w:rPr>
                            <w:fldChar w:fldCharType="separate"/>
                          </w:r>
                          <w:r>
                            <w:rPr>
                              <w:rFonts w:ascii="Courier New"/>
                              <w:color w:val="0C0C0C"/>
                              <w:spacing w:val="-5"/>
                            </w:rPr>
                            <w:t>152</w:t>
                          </w:r>
                          <w:r>
                            <w:rPr>
                              <w:rFonts w:ascii="Courier New"/>
                              <w:color w:val="0C0C0C"/>
                              <w:spacing w:val="-5"/>
                            </w:rPr>
                            <w:fldChar w:fldCharType="end"/>
                          </w:r>
                        </w:p>
                      </w:txbxContent>
                    </wps:txbx>
                    <wps:bodyPr wrap="square" lIns="0" tIns="0" rIns="0" bIns="0" rtlCol="0">
                      <a:noAutofit/>
                    </wps:bodyPr>
                  </wps:wsp>
                </a:graphicData>
              </a:graphic>
            </wp:anchor>
          </w:drawing>
        </mc:Choice>
        <mc:Fallback>
          <w:pict>
            <v:shape style="position:absolute;margin-left:541.455688pt;margin-top:779.85321pt;width:24.5pt;height:14.5pt;mso-position-horizontal-relative:page;mso-position-vertical-relative:page;z-index:-27350016" type="#_x0000_t202" id="docshape497" filled="false" stroked="false">
              <v:textbox inset="0,0,0,0">
                <w:txbxContent>
                  <w:p>
                    <w:pPr>
                      <w:pStyle w:val="BodyText"/>
                      <w:spacing w:before="20"/>
                      <w:ind w:left="60"/>
                      <w:rPr>
                        <w:rFonts w:ascii="Courier New"/>
                      </w:rPr>
                    </w:pPr>
                    <w:r>
                      <w:rPr>
                        <w:rFonts w:ascii="Courier New"/>
                        <w:color w:val="0C0C0C"/>
                        <w:spacing w:val="-5"/>
                      </w:rPr>
                      <w:fldChar w:fldCharType="begin"/>
                    </w:r>
                    <w:r>
                      <w:rPr>
                        <w:rFonts w:ascii="Courier New"/>
                        <w:color w:val="0C0C0C"/>
                        <w:spacing w:val="-5"/>
                      </w:rPr>
                      <w:instrText> PAGE </w:instrText>
                    </w:r>
                    <w:r>
                      <w:rPr>
                        <w:rFonts w:ascii="Courier New"/>
                        <w:color w:val="0C0C0C"/>
                        <w:spacing w:val="-5"/>
                      </w:rPr>
                      <w:fldChar w:fldCharType="separate"/>
                    </w:r>
                    <w:r>
                      <w:rPr>
                        <w:rFonts w:ascii="Courier New"/>
                        <w:color w:val="0C0C0C"/>
                        <w:spacing w:val="-5"/>
                      </w:rPr>
                      <w:t>152</w:t>
                    </w:r>
                    <w:r>
                      <w:rPr>
                        <w:rFonts w:ascii="Courier New"/>
                        <w:color w:val="0C0C0C"/>
                        <w:spacing w:val="-5"/>
                      </w:rPr>
                      <w:fldChar w:fldCharType="end"/>
                    </w:r>
                  </w:p>
                </w:txbxContent>
              </v:textbox>
              <w10:wrap type="none"/>
            </v:shape>
          </w:pict>
        </mc:Fallback>
      </mc:AlternateContent>
    </w:r>
  </w:p>
</w:ftr>
</file>

<file path=word/footer1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69024">
              <wp:simplePos x="0" y="0"/>
              <wp:positionH relativeFrom="page">
                <wp:posOffset>6821535</wp:posOffset>
              </wp:positionH>
              <wp:positionV relativeFrom="page">
                <wp:posOffset>9818694</wp:posOffset>
              </wp:positionV>
              <wp:extent cx="313055" cy="184150"/>
              <wp:effectExtent l="0" t="0" r="0" b="0"/>
              <wp:wrapNone/>
              <wp:docPr id="772" name="Textbox 772"/>
              <wp:cNvGraphicFramePr>
                <a:graphicFrameLocks/>
              </wp:cNvGraphicFramePr>
              <a:graphic>
                <a:graphicData uri="http://schemas.microsoft.com/office/word/2010/wordprocessingShape">
                  <wps:wsp>
                    <wps:cNvPr id="772" name="Textbox 772"/>
                    <wps:cNvSpPr txBox="1"/>
                    <wps:spPr>
                      <a:xfrm>
                        <a:off x="0" y="0"/>
                        <a:ext cx="313055" cy="184150"/>
                      </a:xfrm>
                      <a:prstGeom prst="rect">
                        <a:avLst/>
                      </a:prstGeom>
                    </wps:spPr>
                    <wps:txbx>
                      <w:txbxContent>
                        <w:p>
                          <w:pPr>
                            <w:pStyle w:val="BodyText"/>
                            <w:spacing w:before="20"/>
                            <w:ind w:left="60"/>
                            <w:rPr>
                              <w:rFonts w:ascii="Courier New"/>
                            </w:rPr>
                          </w:pPr>
                          <w:r>
                            <w:rPr>
                              <w:rFonts w:ascii="Courier New"/>
                              <w:color w:val="0C0C0C"/>
                              <w:spacing w:val="-5"/>
                            </w:rPr>
                            <w:fldChar w:fldCharType="begin"/>
                          </w:r>
                          <w:r>
                            <w:rPr>
                              <w:rFonts w:ascii="Courier New"/>
                              <w:color w:val="0C0C0C"/>
                              <w:spacing w:val="-5"/>
                            </w:rPr>
                            <w:instrText> PAGE </w:instrText>
                          </w:r>
                          <w:r>
                            <w:rPr>
                              <w:rFonts w:ascii="Courier New"/>
                              <w:color w:val="0C0C0C"/>
                              <w:spacing w:val="-5"/>
                            </w:rPr>
                            <w:fldChar w:fldCharType="separate"/>
                          </w:r>
                          <w:r>
                            <w:rPr>
                              <w:rFonts w:ascii="Courier New"/>
                              <w:color w:val="0C0C0C"/>
                              <w:spacing w:val="-5"/>
                            </w:rPr>
                            <w:t>153</w:t>
                          </w:r>
                          <w:r>
                            <w:rPr>
                              <w:rFonts w:ascii="Courier New"/>
                              <w:color w:val="0C0C0C"/>
                              <w:spacing w:val="-5"/>
                            </w:rPr>
                            <w:fldChar w:fldCharType="end"/>
                          </w:r>
                        </w:p>
                      </w:txbxContent>
                    </wps:txbx>
                    <wps:bodyPr wrap="square" lIns="0" tIns="0" rIns="0" bIns="0" rtlCol="0">
                      <a:noAutofit/>
                    </wps:bodyPr>
                  </wps:wsp>
                </a:graphicData>
              </a:graphic>
            </wp:anchor>
          </w:drawing>
        </mc:Choice>
        <mc:Fallback>
          <w:pict>
            <v:shape style="position:absolute;margin-left:537.128784pt;margin-top:773.125549pt;width:24.65pt;height:14.5pt;mso-position-horizontal-relative:page;mso-position-vertical-relative:page;z-index:-27347456" type="#_x0000_t202" id="docshape501" filled="false" stroked="false">
              <v:textbox inset="0,0,0,0">
                <w:txbxContent>
                  <w:p>
                    <w:pPr>
                      <w:pStyle w:val="BodyText"/>
                      <w:spacing w:before="20"/>
                      <w:ind w:left="60"/>
                      <w:rPr>
                        <w:rFonts w:ascii="Courier New"/>
                      </w:rPr>
                    </w:pPr>
                    <w:r>
                      <w:rPr>
                        <w:rFonts w:ascii="Courier New"/>
                        <w:color w:val="0C0C0C"/>
                        <w:spacing w:val="-5"/>
                      </w:rPr>
                      <w:fldChar w:fldCharType="begin"/>
                    </w:r>
                    <w:r>
                      <w:rPr>
                        <w:rFonts w:ascii="Courier New"/>
                        <w:color w:val="0C0C0C"/>
                        <w:spacing w:val="-5"/>
                      </w:rPr>
                      <w:instrText> PAGE </w:instrText>
                    </w:r>
                    <w:r>
                      <w:rPr>
                        <w:rFonts w:ascii="Courier New"/>
                        <w:color w:val="0C0C0C"/>
                        <w:spacing w:val="-5"/>
                      </w:rPr>
                      <w:fldChar w:fldCharType="separate"/>
                    </w:r>
                    <w:r>
                      <w:rPr>
                        <w:rFonts w:ascii="Courier New"/>
                        <w:color w:val="0C0C0C"/>
                        <w:spacing w:val="-5"/>
                      </w:rPr>
                      <w:t>153</w:t>
                    </w:r>
                    <w:r>
                      <w:rPr>
                        <w:rFonts w:ascii="Courier New"/>
                        <w:color w:val="0C0C0C"/>
                        <w:spacing w:val="-5"/>
                      </w:rPr>
                      <w:fldChar w:fldCharType="end"/>
                    </w:r>
                  </w:p>
                </w:txbxContent>
              </v:textbox>
              <w10:wrap type="none"/>
            </v:shape>
          </w:pict>
        </mc:Fallback>
      </mc:AlternateContent>
    </w:r>
  </w:p>
</w:ftr>
</file>

<file path=word/footer1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69536">
              <wp:simplePos x="0" y="0"/>
              <wp:positionH relativeFrom="page">
                <wp:posOffset>6876487</wp:posOffset>
              </wp:positionH>
              <wp:positionV relativeFrom="page">
                <wp:posOffset>9894982</wp:posOffset>
              </wp:positionV>
              <wp:extent cx="313055" cy="184150"/>
              <wp:effectExtent l="0" t="0" r="0" b="0"/>
              <wp:wrapNone/>
              <wp:docPr id="773" name="Textbox 773"/>
              <wp:cNvGraphicFramePr>
                <a:graphicFrameLocks/>
              </wp:cNvGraphicFramePr>
              <a:graphic>
                <a:graphicData uri="http://schemas.microsoft.com/office/word/2010/wordprocessingShape">
                  <wps:wsp>
                    <wps:cNvPr id="773" name="Textbox 773"/>
                    <wps:cNvSpPr txBox="1"/>
                    <wps:spPr>
                      <a:xfrm>
                        <a:off x="0" y="0"/>
                        <a:ext cx="313055" cy="184150"/>
                      </a:xfrm>
                      <a:prstGeom prst="rect">
                        <a:avLst/>
                      </a:prstGeom>
                    </wps:spPr>
                    <wps:txbx>
                      <w:txbxContent>
                        <w:p>
                          <w:pPr>
                            <w:pStyle w:val="BodyText"/>
                            <w:spacing w:before="20"/>
                            <w:ind w:left="60"/>
                            <w:rPr>
                              <w:rFonts w:ascii="Courier New"/>
                            </w:rPr>
                          </w:pPr>
                          <w:r>
                            <w:rPr>
                              <w:rFonts w:ascii="Courier New"/>
                              <w:color w:val="0A0A0A"/>
                              <w:spacing w:val="-5"/>
                            </w:rPr>
                            <w:fldChar w:fldCharType="begin"/>
                          </w:r>
                          <w:r>
                            <w:rPr>
                              <w:rFonts w:ascii="Courier New"/>
                              <w:color w:val="0A0A0A"/>
                              <w:spacing w:val="-5"/>
                            </w:rPr>
                            <w:instrText> PAGE </w:instrText>
                          </w:r>
                          <w:r>
                            <w:rPr>
                              <w:rFonts w:ascii="Courier New"/>
                              <w:color w:val="0A0A0A"/>
                              <w:spacing w:val="-5"/>
                            </w:rPr>
                            <w:fldChar w:fldCharType="separate"/>
                          </w:r>
                          <w:r>
                            <w:rPr>
                              <w:rFonts w:ascii="Courier New"/>
                              <w:color w:val="0A0A0A"/>
                              <w:spacing w:val="-5"/>
                            </w:rPr>
                            <w:t>156</w:t>
                          </w:r>
                          <w:r>
                            <w:rPr>
                              <w:rFonts w:ascii="Courier New"/>
                              <w:color w:val="0A0A0A"/>
                              <w:spacing w:val="-5"/>
                            </w:rPr>
                            <w:fldChar w:fldCharType="end"/>
                          </w:r>
                        </w:p>
                      </w:txbxContent>
                    </wps:txbx>
                    <wps:bodyPr wrap="square" lIns="0" tIns="0" rIns="0" bIns="0" rtlCol="0">
                      <a:noAutofit/>
                    </wps:bodyPr>
                  </wps:wsp>
                </a:graphicData>
              </a:graphic>
            </wp:anchor>
          </w:drawing>
        </mc:Choice>
        <mc:Fallback>
          <w:pict>
            <v:shape style="position:absolute;margin-left:541.455688pt;margin-top:779.132446pt;width:24.65pt;height:14.5pt;mso-position-horizontal-relative:page;mso-position-vertical-relative:page;z-index:-27346944" type="#_x0000_t202" id="docshape502" filled="false" stroked="false">
              <v:textbox inset="0,0,0,0">
                <w:txbxContent>
                  <w:p>
                    <w:pPr>
                      <w:pStyle w:val="BodyText"/>
                      <w:spacing w:before="20"/>
                      <w:ind w:left="60"/>
                      <w:rPr>
                        <w:rFonts w:ascii="Courier New"/>
                      </w:rPr>
                    </w:pPr>
                    <w:r>
                      <w:rPr>
                        <w:rFonts w:ascii="Courier New"/>
                        <w:color w:val="0A0A0A"/>
                        <w:spacing w:val="-5"/>
                      </w:rPr>
                      <w:fldChar w:fldCharType="begin"/>
                    </w:r>
                    <w:r>
                      <w:rPr>
                        <w:rFonts w:ascii="Courier New"/>
                        <w:color w:val="0A0A0A"/>
                        <w:spacing w:val="-5"/>
                      </w:rPr>
                      <w:instrText> PAGE </w:instrText>
                    </w:r>
                    <w:r>
                      <w:rPr>
                        <w:rFonts w:ascii="Courier New"/>
                        <w:color w:val="0A0A0A"/>
                        <w:spacing w:val="-5"/>
                      </w:rPr>
                      <w:fldChar w:fldCharType="separate"/>
                    </w:r>
                    <w:r>
                      <w:rPr>
                        <w:rFonts w:ascii="Courier New"/>
                        <w:color w:val="0A0A0A"/>
                        <w:spacing w:val="-5"/>
                      </w:rPr>
                      <w:t>156</w:t>
                    </w:r>
                    <w:r>
                      <w:rPr>
                        <w:rFonts w:ascii="Courier New"/>
                        <w:color w:val="0A0A0A"/>
                        <w:spacing w:val="-5"/>
                      </w:rPr>
                      <w:fldChar w:fldCharType="end"/>
                    </w:r>
                  </w:p>
                </w:txbxContent>
              </v:textbox>
              <w10:wrap type="none"/>
            </v:shape>
          </w:pict>
        </mc:Fallback>
      </mc:AlternateContent>
    </w:r>
  </w:p>
</w:ftr>
</file>

<file path=word/footer1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71584">
              <wp:simplePos x="0" y="0"/>
              <wp:positionH relativeFrom="page">
                <wp:posOffset>6802512</wp:posOffset>
              </wp:positionH>
              <wp:positionV relativeFrom="page">
                <wp:posOffset>9807299</wp:posOffset>
              </wp:positionV>
              <wp:extent cx="313055" cy="191135"/>
              <wp:effectExtent l="0" t="0" r="0" b="0"/>
              <wp:wrapNone/>
              <wp:docPr id="778" name="Textbox 778"/>
              <wp:cNvGraphicFramePr>
                <a:graphicFrameLocks/>
              </wp:cNvGraphicFramePr>
              <a:graphic>
                <a:graphicData uri="http://schemas.microsoft.com/office/word/2010/wordprocessingShape">
                  <wps:wsp>
                    <wps:cNvPr id="778" name="Textbox 778"/>
                    <wps:cNvSpPr txBox="1"/>
                    <wps:spPr>
                      <a:xfrm>
                        <a:off x="0" y="0"/>
                        <a:ext cx="313055" cy="191135"/>
                      </a:xfrm>
                      <a:prstGeom prst="rect">
                        <a:avLst/>
                      </a:prstGeom>
                    </wps:spPr>
                    <wps:txbx>
                      <w:txbxContent>
                        <w:p>
                          <w:pPr>
                            <w:spacing w:before="20"/>
                            <w:ind w:left="60" w:right="0" w:firstLine="0"/>
                            <w:jc w:val="left"/>
                            <w:rPr>
                              <w:rFonts w:ascii="Courier New"/>
                              <w:sz w:val="23"/>
                            </w:rPr>
                          </w:pPr>
                          <w:r>
                            <w:rPr>
                              <w:rFonts w:ascii="Courier New"/>
                              <w:color w:val="0E0E0E"/>
                              <w:spacing w:val="-5"/>
                              <w:w w:val="95"/>
                              <w:sz w:val="23"/>
                            </w:rPr>
                            <w:fldChar w:fldCharType="begin"/>
                          </w:r>
                          <w:r>
                            <w:rPr>
                              <w:rFonts w:ascii="Courier New"/>
                              <w:color w:val="0E0E0E"/>
                              <w:spacing w:val="-5"/>
                              <w:w w:val="95"/>
                              <w:sz w:val="23"/>
                            </w:rPr>
                            <w:instrText> PAGE </w:instrText>
                          </w:r>
                          <w:r>
                            <w:rPr>
                              <w:rFonts w:ascii="Courier New"/>
                              <w:color w:val="0E0E0E"/>
                              <w:spacing w:val="-5"/>
                              <w:w w:val="95"/>
                              <w:sz w:val="23"/>
                            </w:rPr>
                            <w:fldChar w:fldCharType="separate"/>
                          </w:r>
                          <w:r>
                            <w:rPr>
                              <w:rFonts w:ascii="Courier New"/>
                              <w:color w:val="0E0E0E"/>
                              <w:spacing w:val="-5"/>
                              <w:w w:val="95"/>
                              <w:sz w:val="23"/>
                            </w:rPr>
                            <w:t>157</w:t>
                          </w:r>
                          <w:r>
                            <w:rPr>
                              <w:rFonts w:ascii="Courier New"/>
                              <w:color w:val="0E0E0E"/>
                              <w:spacing w:val="-5"/>
                              <w:w w:val="95"/>
                              <w:sz w:val="23"/>
                            </w:rPr>
                            <w:fldChar w:fldCharType="end"/>
                          </w:r>
                        </w:p>
                      </w:txbxContent>
                    </wps:txbx>
                    <wps:bodyPr wrap="square" lIns="0" tIns="0" rIns="0" bIns="0" rtlCol="0">
                      <a:noAutofit/>
                    </wps:bodyPr>
                  </wps:wsp>
                </a:graphicData>
              </a:graphic>
            </wp:anchor>
          </w:drawing>
        </mc:Choice>
        <mc:Fallback>
          <w:pict>
            <v:shape style="position:absolute;margin-left:535.630920pt;margin-top:772.228271pt;width:24.65pt;height:15.05pt;mso-position-horizontal-relative:page;mso-position-vertical-relative:page;z-index:-27344896" type="#_x0000_t202" id="docshape506" filled="false" stroked="false">
              <v:textbox inset="0,0,0,0">
                <w:txbxContent>
                  <w:p>
                    <w:pPr>
                      <w:spacing w:before="20"/>
                      <w:ind w:left="60" w:right="0" w:firstLine="0"/>
                      <w:jc w:val="left"/>
                      <w:rPr>
                        <w:rFonts w:ascii="Courier New"/>
                        <w:sz w:val="23"/>
                      </w:rPr>
                    </w:pPr>
                    <w:r>
                      <w:rPr>
                        <w:rFonts w:ascii="Courier New"/>
                        <w:color w:val="0E0E0E"/>
                        <w:spacing w:val="-5"/>
                        <w:w w:val="95"/>
                        <w:sz w:val="23"/>
                      </w:rPr>
                      <w:fldChar w:fldCharType="begin"/>
                    </w:r>
                    <w:r>
                      <w:rPr>
                        <w:rFonts w:ascii="Courier New"/>
                        <w:color w:val="0E0E0E"/>
                        <w:spacing w:val="-5"/>
                        <w:w w:val="95"/>
                        <w:sz w:val="23"/>
                      </w:rPr>
                      <w:instrText> PAGE </w:instrText>
                    </w:r>
                    <w:r>
                      <w:rPr>
                        <w:rFonts w:ascii="Courier New"/>
                        <w:color w:val="0E0E0E"/>
                        <w:spacing w:val="-5"/>
                        <w:w w:val="95"/>
                        <w:sz w:val="23"/>
                      </w:rPr>
                      <w:fldChar w:fldCharType="separate"/>
                    </w:r>
                    <w:r>
                      <w:rPr>
                        <w:rFonts w:ascii="Courier New"/>
                        <w:color w:val="0E0E0E"/>
                        <w:spacing w:val="-5"/>
                        <w:w w:val="95"/>
                        <w:sz w:val="23"/>
                      </w:rPr>
                      <w:t>157</w:t>
                    </w:r>
                    <w:r>
                      <w:rPr>
                        <w:rFonts w:ascii="Courier New"/>
                        <w:color w:val="0E0E0E"/>
                        <w:spacing w:val="-5"/>
                        <w:w w:val="95"/>
                        <w:sz w:val="23"/>
                      </w:rPr>
                      <w:fldChar w:fldCharType="end"/>
                    </w:r>
                  </w:p>
                </w:txbxContent>
              </v:textbox>
              <w10:wrap type="none"/>
            </v:shape>
          </w:pict>
        </mc:Fallback>
      </mc:AlternateContent>
    </w:r>
  </w:p>
</w:ftr>
</file>

<file path=word/footer1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72096">
              <wp:simplePos x="0" y="0"/>
              <wp:positionH relativeFrom="page">
                <wp:posOffset>6864887</wp:posOffset>
              </wp:positionH>
              <wp:positionV relativeFrom="page">
                <wp:posOffset>9901606</wp:posOffset>
              </wp:positionV>
              <wp:extent cx="301625" cy="173355"/>
              <wp:effectExtent l="0" t="0" r="0" b="0"/>
              <wp:wrapNone/>
              <wp:docPr id="779" name="Textbox 779"/>
              <wp:cNvGraphicFramePr>
                <a:graphicFrameLocks/>
              </wp:cNvGraphicFramePr>
              <a:graphic>
                <a:graphicData uri="http://schemas.microsoft.com/office/word/2010/wordprocessingShape">
                  <wps:wsp>
                    <wps:cNvPr id="779" name="Textbox 779"/>
                    <wps:cNvSpPr txBox="1"/>
                    <wps:spPr>
                      <a:xfrm>
                        <a:off x="0" y="0"/>
                        <a:ext cx="301625" cy="173355"/>
                      </a:xfrm>
                      <a:prstGeom prst="rect">
                        <a:avLst/>
                      </a:prstGeom>
                    </wps:spPr>
                    <wps:txbx>
                      <w:txbxContent>
                        <w:p>
                          <w:pPr>
                            <w:spacing w:before="11"/>
                            <w:ind w:left="60" w:right="0" w:firstLine="0"/>
                            <w:jc w:val="left"/>
                            <w:rPr>
                              <w:rFonts w:ascii="Times New Roman"/>
                              <w:b/>
                              <w:sz w:val="21"/>
                            </w:rPr>
                          </w:pPr>
                          <w:r>
                            <w:rPr>
                              <w:rFonts w:ascii="Times New Roman"/>
                              <w:b/>
                              <w:color w:val="0A0A0A"/>
                              <w:spacing w:val="-5"/>
                              <w:w w:val="105"/>
                              <w:sz w:val="21"/>
                            </w:rPr>
                            <w:fldChar w:fldCharType="begin"/>
                          </w:r>
                          <w:r>
                            <w:rPr>
                              <w:rFonts w:ascii="Times New Roman"/>
                              <w:b/>
                              <w:color w:val="0A0A0A"/>
                              <w:spacing w:val="-5"/>
                              <w:w w:val="105"/>
                              <w:sz w:val="21"/>
                            </w:rPr>
                            <w:instrText> PAGE </w:instrText>
                          </w:r>
                          <w:r>
                            <w:rPr>
                              <w:rFonts w:ascii="Times New Roman"/>
                              <w:b/>
                              <w:color w:val="0A0A0A"/>
                              <w:spacing w:val="-5"/>
                              <w:w w:val="105"/>
                              <w:sz w:val="21"/>
                            </w:rPr>
                            <w:fldChar w:fldCharType="separate"/>
                          </w:r>
                          <w:r>
                            <w:rPr>
                              <w:rFonts w:ascii="Times New Roman"/>
                              <w:b/>
                              <w:color w:val="0A0A0A"/>
                              <w:spacing w:val="-5"/>
                              <w:w w:val="105"/>
                              <w:sz w:val="21"/>
                            </w:rPr>
                            <w:t>158</w:t>
                          </w:r>
                          <w:r>
                            <w:rPr>
                              <w:rFonts w:ascii="Times New Roman"/>
                              <w:b/>
                              <w:color w:val="0A0A0A"/>
                              <w:spacing w:val="-5"/>
                              <w:w w:val="105"/>
                              <w:sz w:val="21"/>
                            </w:rPr>
                            <w:fldChar w:fldCharType="end"/>
                          </w:r>
                        </w:p>
                      </w:txbxContent>
                    </wps:txbx>
                    <wps:bodyPr wrap="square" lIns="0" tIns="0" rIns="0" bIns="0" rtlCol="0">
                      <a:noAutofit/>
                    </wps:bodyPr>
                  </wps:wsp>
                </a:graphicData>
              </a:graphic>
            </wp:anchor>
          </w:drawing>
        </mc:Choice>
        <mc:Fallback>
          <w:pict>
            <v:shape style="position:absolute;margin-left:540.542297pt;margin-top:779.654053pt;width:23.75pt;height:13.65pt;mso-position-horizontal-relative:page;mso-position-vertical-relative:page;z-index:-27344384" type="#_x0000_t202" id="docshape507" filled="false" stroked="false">
              <v:textbox inset="0,0,0,0">
                <w:txbxContent>
                  <w:p>
                    <w:pPr>
                      <w:spacing w:before="11"/>
                      <w:ind w:left="60" w:right="0" w:firstLine="0"/>
                      <w:jc w:val="left"/>
                      <w:rPr>
                        <w:rFonts w:ascii="Times New Roman"/>
                        <w:b/>
                        <w:sz w:val="21"/>
                      </w:rPr>
                    </w:pPr>
                    <w:r>
                      <w:rPr>
                        <w:rFonts w:ascii="Times New Roman"/>
                        <w:b/>
                        <w:color w:val="0A0A0A"/>
                        <w:spacing w:val="-5"/>
                        <w:w w:val="105"/>
                        <w:sz w:val="21"/>
                      </w:rPr>
                      <w:fldChar w:fldCharType="begin"/>
                    </w:r>
                    <w:r>
                      <w:rPr>
                        <w:rFonts w:ascii="Times New Roman"/>
                        <w:b/>
                        <w:color w:val="0A0A0A"/>
                        <w:spacing w:val="-5"/>
                        <w:w w:val="105"/>
                        <w:sz w:val="21"/>
                      </w:rPr>
                      <w:instrText> PAGE </w:instrText>
                    </w:r>
                    <w:r>
                      <w:rPr>
                        <w:rFonts w:ascii="Times New Roman"/>
                        <w:b/>
                        <w:color w:val="0A0A0A"/>
                        <w:spacing w:val="-5"/>
                        <w:w w:val="105"/>
                        <w:sz w:val="21"/>
                      </w:rPr>
                      <w:fldChar w:fldCharType="separate"/>
                    </w:r>
                    <w:r>
                      <w:rPr>
                        <w:rFonts w:ascii="Times New Roman"/>
                        <w:b/>
                        <w:color w:val="0A0A0A"/>
                        <w:spacing w:val="-5"/>
                        <w:w w:val="105"/>
                        <w:sz w:val="21"/>
                      </w:rPr>
                      <w:t>158</w:t>
                    </w:r>
                    <w:r>
                      <w:rPr>
                        <w:rFonts w:ascii="Times New Roman"/>
                        <w:b/>
                        <w:color w:val="0A0A0A"/>
                        <w:spacing w:val="-5"/>
                        <w:w w:val="105"/>
                        <w:sz w:val="21"/>
                      </w:rPr>
                      <w:fldChar w:fldCharType="end"/>
                    </w:r>
                  </w:p>
                </w:txbxContent>
              </v:textbox>
              <w10:wrap type="none"/>
            </v:shape>
          </w:pict>
        </mc:Fallback>
      </mc:AlternateContent>
    </w:r>
  </w:p>
</w:ftr>
</file>

<file path=word/footer1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73120">
              <wp:simplePos x="0" y="0"/>
              <wp:positionH relativeFrom="page">
                <wp:posOffset>6800163</wp:posOffset>
              </wp:positionH>
              <wp:positionV relativeFrom="page">
                <wp:posOffset>9812591</wp:posOffset>
              </wp:positionV>
              <wp:extent cx="311150" cy="184150"/>
              <wp:effectExtent l="0" t="0" r="0" b="0"/>
              <wp:wrapNone/>
              <wp:docPr id="781" name="Textbox 781"/>
              <wp:cNvGraphicFramePr>
                <a:graphicFrameLocks/>
              </wp:cNvGraphicFramePr>
              <a:graphic>
                <a:graphicData uri="http://schemas.microsoft.com/office/word/2010/wordprocessingShape">
                  <wps:wsp>
                    <wps:cNvPr id="781" name="Textbox 781"/>
                    <wps:cNvSpPr txBox="1"/>
                    <wps:spPr>
                      <a:xfrm>
                        <a:off x="0" y="0"/>
                        <a:ext cx="311150" cy="184150"/>
                      </a:xfrm>
                      <a:prstGeom prst="rect">
                        <a:avLst/>
                      </a:prstGeom>
                    </wps:spPr>
                    <wps:txbx>
                      <w:txbxContent>
                        <w:p>
                          <w:pPr>
                            <w:pStyle w:val="BodyText"/>
                            <w:spacing w:before="20"/>
                            <w:ind w:left="60"/>
                            <w:rPr>
                              <w:rFonts w:ascii="Courier New"/>
                            </w:rPr>
                          </w:pPr>
                          <w:r>
                            <w:rPr>
                              <w:rFonts w:ascii="Courier New"/>
                              <w:color w:val="0E0E0E"/>
                              <w:spacing w:val="-5"/>
                            </w:rPr>
                            <w:fldChar w:fldCharType="begin"/>
                          </w:r>
                          <w:r>
                            <w:rPr>
                              <w:rFonts w:ascii="Courier New"/>
                              <w:color w:val="0E0E0E"/>
                              <w:spacing w:val="-5"/>
                            </w:rPr>
                            <w:instrText> PAGE </w:instrText>
                          </w:r>
                          <w:r>
                            <w:rPr>
                              <w:rFonts w:ascii="Courier New"/>
                              <w:color w:val="0E0E0E"/>
                              <w:spacing w:val="-5"/>
                            </w:rPr>
                            <w:fldChar w:fldCharType="separate"/>
                          </w:r>
                          <w:r>
                            <w:rPr>
                              <w:rFonts w:ascii="Courier New"/>
                              <w:color w:val="0E0E0E"/>
                              <w:spacing w:val="-5"/>
                            </w:rPr>
                            <w:t>159</w:t>
                          </w:r>
                          <w:r>
                            <w:rPr>
                              <w:rFonts w:ascii="Courier New"/>
                              <w:color w:val="0E0E0E"/>
                              <w:spacing w:val="-5"/>
                            </w:rPr>
                            <w:fldChar w:fldCharType="end"/>
                          </w:r>
                        </w:p>
                      </w:txbxContent>
                    </wps:txbx>
                    <wps:bodyPr wrap="square" lIns="0" tIns="0" rIns="0" bIns="0" rtlCol="0">
                      <a:noAutofit/>
                    </wps:bodyPr>
                  </wps:wsp>
                </a:graphicData>
              </a:graphic>
            </wp:anchor>
          </w:drawing>
        </mc:Choice>
        <mc:Fallback>
          <w:pict>
            <v:shape style="position:absolute;margin-left:535.445984pt;margin-top:772.64502pt;width:24.5pt;height:14.5pt;mso-position-horizontal-relative:page;mso-position-vertical-relative:page;z-index:-27343360" type="#_x0000_t202" id="docshape509" filled="false" stroked="false">
              <v:textbox inset="0,0,0,0">
                <w:txbxContent>
                  <w:p>
                    <w:pPr>
                      <w:pStyle w:val="BodyText"/>
                      <w:spacing w:before="20"/>
                      <w:ind w:left="60"/>
                      <w:rPr>
                        <w:rFonts w:ascii="Courier New"/>
                      </w:rPr>
                    </w:pPr>
                    <w:r>
                      <w:rPr>
                        <w:rFonts w:ascii="Courier New"/>
                        <w:color w:val="0E0E0E"/>
                        <w:spacing w:val="-5"/>
                      </w:rPr>
                      <w:fldChar w:fldCharType="begin"/>
                    </w:r>
                    <w:r>
                      <w:rPr>
                        <w:rFonts w:ascii="Courier New"/>
                        <w:color w:val="0E0E0E"/>
                        <w:spacing w:val="-5"/>
                      </w:rPr>
                      <w:instrText> PAGE </w:instrText>
                    </w:r>
                    <w:r>
                      <w:rPr>
                        <w:rFonts w:ascii="Courier New"/>
                        <w:color w:val="0E0E0E"/>
                        <w:spacing w:val="-5"/>
                      </w:rPr>
                      <w:fldChar w:fldCharType="separate"/>
                    </w:r>
                    <w:r>
                      <w:rPr>
                        <w:rFonts w:ascii="Courier New"/>
                        <w:color w:val="0E0E0E"/>
                        <w:spacing w:val="-5"/>
                      </w:rPr>
                      <w:t>159</w:t>
                    </w:r>
                    <w:r>
                      <w:rPr>
                        <w:rFonts w:ascii="Courier New"/>
                        <w:color w:val="0E0E0E"/>
                        <w:spacing w:val="-5"/>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0240">
              <wp:simplePos x="0" y="0"/>
              <wp:positionH relativeFrom="page">
                <wp:posOffset>6580069</wp:posOffset>
              </wp:positionH>
              <wp:positionV relativeFrom="page">
                <wp:posOffset>10338780</wp:posOffset>
              </wp:positionV>
              <wp:extent cx="233679" cy="16764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233679" cy="167640"/>
                      </a:xfrm>
                      <a:prstGeom prst="rect">
                        <a:avLst/>
                      </a:prstGeom>
                    </wps:spPr>
                    <wps:txbx>
                      <w:txbxContent>
                        <w:p>
                          <w:pPr>
                            <w:spacing w:before="13"/>
                            <w:ind w:left="60" w:right="0" w:firstLine="0"/>
                            <w:jc w:val="left"/>
                            <w:rPr>
                              <w:sz w:val="20"/>
                            </w:rPr>
                          </w:pPr>
                          <w:r>
                            <w:rPr>
                              <w:color w:val="0A0A0A"/>
                              <w:spacing w:val="-5"/>
                              <w:sz w:val="20"/>
                            </w:rPr>
                            <w:fldChar w:fldCharType="begin"/>
                          </w:r>
                          <w:r>
                            <w:rPr>
                              <w:color w:val="0A0A0A"/>
                              <w:spacing w:val="-5"/>
                              <w:sz w:val="20"/>
                            </w:rPr>
                            <w:instrText> PAGE </w:instrText>
                          </w:r>
                          <w:r>
                            <w:rPr>
                              <w:color w:val="0A0A0A"/>
                              <w:spacing w:val="-5"/>
                              <w:sz w:val="20"/>
                            </w:rPr>
                            <w:fldChar w:fldCharType="separate"/>
                          </w:r>
                          <w:r>
                            <w:rPr>
                              <w:color w:val="0A0A0A"/>
                              <w:spacing w:val="-5"/>
                              <w:sz w:val="20"/>
                            </w:rPr>
                            <w:t>20</w:t>
                          </w:r>
                          <w:r>
                            <w:rPr>
                              <w:color w:val="0A0A0A"/>
                              <w:spacing w:val="-5"/>
                              <w:sz w:val="20"/>
                            </w:rPr>
                            <w:fldChar w:fldCharType="end"/>
                          </w:r>
                        </w:p>
                      </w:txbxContent>
                    </wps:txbx>
                    <wps:bodyPr wrap="square" lIns="0" tIns="0" rIns="0" bIns="0" rtlCol="0">
                      <a:noAutofit/>
                    </wps:bodyPr>
                  </wps:wsp>
                </a:graphicData>
              </a:graphic>
            </wp:anchor>
          </w:drawing>
        </mc:Choice>
        <mc:Fallback>
          <w:pict>
            <v:shape style="position:absolute;margin-left:518.115723pt;margin-top:814.077209pt;width:18.4pt;height:13.2pt;mso-position-horizontal-relative:page;mso-position-vertical-relative:page;z-index:-27466240" type="#_x0000_t202" id="docshape32" filled="false" stroked="false">
              <v:textbox inset="0,0,0,0">
                <w:txbxContent>
                  <w:p>
                    <w:pPr>
                      <w:spacing w:before="13"/>
                      <w:ind w:left="60" w:right="0" w:firstLine="0"/>
                      <w:jc w:val="left"/>
                      <w:rPr>
                        <w:sz w:val="20"/>
                      </w:rPr>
                    </w:pPr>
                    <w:r>
                      <w:rPr>
                        <w:color w:val="0A0A0A"/>
                        <w:spacing w:val="-5"/>
                        <w:sz w:val="20"/>
                      </w:rPr>
                      <w:fldChar w:fldCharType="begin"/>
                    </w:r>
                    <w:r>
                      <w:rPr>
                        <w:color w:val="0A0A0A"/>
                        <w:spacing w:val="-5"/>
                        <w:sz w:val="20"/>
                      </w:rPr>
                      <w:instrText> PAGE </w:instrText>
                    </w:r>
                    <w:r>
                      <w:rPr>
                        <w:color w:val="0A0A0A"/>
                        <w:spacing w:val="-5"/>
                        <w:sz w:val="20"/>
                      </w:rPr>
                      <w:fldChar w:fldCharType="separate"/>
                    </w:r>
                    <w:r>
                      <w:rPr>
                        <w:color w:val="0A0A0A"/>
                        <w:spacing w:val="-5"/>
                        <w:sz w:val="20"/>
                      </w:rPr>
                      <w:t>20</w:t>
                    </w:r>
                    <w:r>
                      <w:rPr>
                        <w:color w:val="0A0A0A"/>
                        <w:spacing w:val="-5"/>
                        <w:sz w:val="20"/>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1264">
              <wp:simplePos x="0" y="0"/>
              <wp:positionH relativeFrom="page">
                <wp:posOffset>6504223</wp:posOffset>
              </wp:positionH>
              <wp:positionV relativeFrom="page">
                <wp:posOffset>10237558</wp:posOffset>
              </wp:positionV>
              <wp:extent cx="241935" cy="19113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41935" cy="191135"/>
                      </a:xfrm>
                      <a:prstGeom prst="rect">
                        <a:avLst/>
                      </a:prstGeom>
                    </wps:spPr>
                    <wps:txbx>
                      <w:txbxContent>
                        <w:p>
                          <w:pPr>
                            <w:spacing w:before="20"/>
                            <w:ind w:left="60" w:right="0" w:firstLine="0"/>
                            <w:jc w:val="left"/>
                            <w:rPr>
                              <w:rFonts w:ascii="Courier New"/>
                              <w:sz w:val="23"/>
                            </w:rPr>
                          </w:pPr>
                          <w:r>
                            <w:rPr>
                              <w:rFonts w:ascii="Courier New"/>
                              <w:color w:val="0C0C0C"/>
                              <w:spacing w:val="-5"/>
                              <w:w w:val="95"/>
                              <w:sz w:val="23"/>
                            </w:rPr>
                            <w:fldChar w:fldCharType="begin"/>
                          </w:r>
                          <w:r>
                            <w:rPr>
                              <w:rFonts w:ascii="Courier New"/>
                              <w:color w:val="0C0C0C"/>
                              <w:spacing w:val="-5"/>
                              <w:w w:val="95"/>
                              <w:sz w:val="23"/>
                            </w:rPr>
                            <w:instrText> PAGE </w:instrText>
                          </w:r>
                          <w:r>
                            <w:rPr>
                              <w:rFonts w:ascii="Courier New"/>
                              <w:color w:val="0C0C0C"/>
                              <w:spacing w:val="-5"/>
                              <w:w w:val="95"/>
                              <w:sz w:val="23"/>
                            </w:rPr>
                            <w:fldChar w:fldCharType="separate"/>
                          </w:r>
                          <w:r>
                            <w:rPr>
                              <w:rFonts w:ascii="Courier New"/>
                              <w:color w:val="0C0C0C"/>
                              <w:spacing w:val="-5"/>
                              <w:w w:val="95"/>
                              <w:sz w:val="23"/>
                            </w:rPr>
                            <w:t>21</w:t>
                          </w:r>
                          <w:r>
                            <w:rPr>
                              <w:rFonts w:ascii="Courier New"/>
                              <w:color w:val="0C0C0C"/>
                              <w:spacing w:val="-5"/>
                              <w:w w:val="95"/>
                              <w:sz w:val="23"/>
                            </w:rPr>
                            <w:fldChar w:fldCharType="end"/>
                          </w:r>
                        </w:p>
                      </w:txbxContent>
                    </wps:txbx>
                    <wps:bodyPr wrap="square" lIns="0" tIns="0" rIns="0" bIns="0" rtlCol="0">
                      <a:noAutofit/>
                    </wps:bodyPr>
                  </wps:wsp>
                </a:graphicData>
              </a:graphic>
            </wp:anchor>
          </w:drawing>
        </mc:Choice>
        <mc:Fallback>
          <w:pict>
            <v:shape style="position:absolute;margin-left:512.143616pt;margin-top:806.106934pt;width:19.05pt;height:15.05pt;mso-position-horizontal-relative:page;mso-position-vertical-relative:page;z-index:-27465216" type="#_x0000_t202" id="docshape34" filled="false" stroked="false">
              <v:textbox inset="0,0,0,0">
                <w:txbxContent>
                  <w:p>
                    <w:pPr>
                      <w:spacing w:before="20"/>
                      <w:ind w:left="60" w:right="0" w:firstLine="0"/>
                      <w:jc w:val="left"/>
                      <w:rPr>
                        <w:rFonts w:ascii="Courier New"/>
                        <w:sz w:val="23"/>
                      </w:rPr>
                    </w:pPr>
                    <w:r>
                      <w:rPr>
                        <w:rFonts w:ascii="Courier New"/>
                        <w:color w:val="0C0C0C"/>
                        <w:spacing w:val="-5"/>
                        <w:w w:val="95"/>
                        <w:sz w:val="23"/>
                      </w:rPr>
                      <w:fldChar w:fldCharType="begin"/>
                    </w:r>
                    <w:r>
                      <w:rPr>
                        <w:rFonts w:ascii="Courier New"/>
                        <w:color w:val="0C0C0C"/>
                        <w:spacing w:val="-5"/>
                        <w:w w:val="95"/>
                        <w:sz w:val="23"/>
                      </w:rPr>
                      <w:instrText> PAGE </w:instrText>
                    </w:r>
                    <w:r>
                      <w:rPr>
                        <w:rFonts w:ascii="Courier New"/>
                        <w:color w:val="0C0C0C"/>
                        <w:spacing w:val="-5"/>
                        <w:w w:val="95"/>
                        <w:sz w:val="23"/>
                      </w:rPr>
                      <w:fldChar w:fldCharType="separate"/>
                    </w:r>
                    <w:r>
                      <w:rPr>
                        <w:rFonts w:ascii="Courier New"/>
                        <w:color w:val="0C0C0C"/>
                        <w:spacing w:val="-5"/>
                        <w:w w:val="95"/>
                        <w:sz w:val="23"/>
                      </w:rPr>
                      <w:t>21</w:t>
                    </w:r>
                    <w:r>
                      <w:rPr>
                        <w:rFonts w:ascii="Courier New"/>
                        <w:color w:val="0C0C0C"/>
                        <w:spacing w:val="-5"/>
                        <w:w w:val="95"/>
                        <w:sz w:val="23"/>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1776">
              <wp:simplePos x="0" y="0"/>
              <wp:positionH relativeFrom="page">
                <wp:posOffset>6552593</wp:posOffset>
              </wp:positionH>
              <wp:positionV relativeFrom="page">
                <wp:posOffset>10341832</wp:posOffset>
              </wp:positionV>
              <wp:extent cx="230504" cy="16764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230504" cy="167640"/>
                      </a:xfrm>
                      <a:prstGeom prst="rect">
                        <a:avLst/>
                      </a:prstGeom>
                    </wps:spPr>
                    <wps:txbx>
                      <w:txbxContent>
                        <w:p>
                          <w:pPr>
                            <w:spacing w:before="13"/>
                            <w:ind w:left="60" w:right="0" w:firstLine="0"/>
                            <w:jc w:val="left"/>
                            <w:rPr>
                              <w:sz w:val="20"/>
                            </w:rPr>
                          </w:pPr>
                          <w:r>
                            <w:rPr>
                              <w:color w:val="131313"/>
                              <w:spacing w:val="-5"/>
                              <w:sz w:val="20"/>
                            </w:rPr>
                            <w:fldChar w:fldCharType="begin"/>
                          </w:r>
                          <w:r>
                            <w:rPr>
                              <w:color w:val="131313"/>
                              <w:spacing w:val="-5"/>
                              <w:sz w:val="20"/>
                            </w:rPr>
                            <w:instrText> PAGE </w:instrText>
                          </w:r>
                          <w:r>
                            <w:rPr>
                              <w:color w:val="131313"/>
                              <w:spacing w:val="-5"/>
                              <w:sz w:val="20"/>
                            </w:rPr>
                            <w:fldChar w:fldCharType="separate"/>
                          </w:r>
                          <w:r>
                            <w:rPr>
                              <w:color w:val="131313"/>
                              <w:spacing w:val="-5"/>
                              <w:sz w:val="20"/>
                            </w:rPr>
                            <w:t>22</w:t>
                          </w:r>
                          <w:r>
                            <w:rPr>
                              <w:color w:val="131313"/>
                              <w:spacing w:val="-5"/>
                              <w:sz w:val="20"/>
                            </w:rPr>
                            <w:fldChar w:fldCharType="end"/>
                          </w:r>
                        </w:p>
                      </w:txbxContent>
                    </wps:txbx>
                    <wps:bodyPr wrap="square" lIns="0" tIns="0" rIns="0" bIns="0" rtlCol="0">
                      <a:noAutofit/>
                    </wps:bodyPr>
                  </wps:wsp>
                </a:graphicData>
              </a:graphic>
            </wp:anchor>
          </w:drawing>
        </mc:Choice>
        <mc:Fallback>
          <w:pict>
            <v:shape style="position:absolute;margin-left:515.952271pt;margin-top:814.317505pt;width:18.150pt;height:13.2pt;mso-position-horizontal-relative:page;mso-position-vertical-relative:page;z-index:-27464704" type="#_x0000_t202" id="docshape35" filled="false" stroked="false">
              <v:textbox inset="0,0,0,0">
                <w:txbxContent>
                  <w:p>
                    <w:pPr>
                      <w:spacing w:before="13"/>
                      <w:ind w:left="60" w:right="0" w:firstLine="0"/>
                      <w:jc w:val="left"/>
                      <w:rPr>
                        <w:sz w:val="20"/>
                      </w:rPr>
                    </w:pPr>
                    <w:r>
                      <w:rPr>
                        <w:color w:val="131313"/>
                        <w:spacing w:val="-5"/>
                        <w:sz w:val="20"/>
                      </w:rPr>
                      <w:fldChar w:fldCharType="begin"/>
                    </w:r>
                    <w:r>
                      <w:rPr>
                        <w:color w:val="131313"/>
                        <w:spacing w:val="-5"/>
                        <w:sz w:val="20"/>
                      </w:rPr>
                      <w:instrText> PAGE </w:instrText>
                    </w:r>
                    <w:r>
                      <w:rPr>
                        <w:color w:val="131313"/>
                        <w:spacing w:val="-5"/>
                        <w:sz w:val="20"/>
                      </w:rPr>
                      <w:fldChar w:fldCharType="separate"/>
                    </w:r>
                    <w:r>
                      <w:rPr>
                        <w:color w:val="131313"/>
                        <w:spacing w:val="-5"/>
                        <w:sz w:val="20"/>
                      </w:rPr>
                      <w:t>22</w:t>
                    </w:r>
                    <w:r>
                      <w:rPr>
                        <w:color w:val="131313"/>
                        <w:spacing w:val="-5"/>
                        <w:sz w:val="20"/>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2800">
              <wp:simplePos x="0" y="0"/>
              <wp:positionH relativeFrom="page">
                <wp:posOffset>6494768</wp:posOffset>
              </wp:positionH>
              <wp:positionV relativeFrom="page">
                <wp:posOffset>10262145</wp:posOffset>
              </wp:positionV>
              <wp:extent cx="227329" cy="16065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227329" cy="160655"/>
                      </a:xfrm>
                      <a:prstGeom prst="rect">
                        <a:avLst/>
                      </a:prstGeom>
                    </wps:spPr>
                    <wps:txbx>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23</w:t>
                          </w:r>
                          <w:r>
                            <w:rPr>
                              <w:color w:val="0F0F0F"/>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1.399109pt;margin-top:808.042969pt;width:17.9pt;height:12.65pt;mso-position-horizontal-relative:page;mso-position-vertical-relative:page;z-index:-27463680" type="#_x0000_t202" id="docshape42" filled="false" stroked="false">
              <v:textbox inset="0,0,0,0">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23</w:t>
                    </w:r>
                    <w:r>
                      <w:rPr>
                        <w:color w:val="0F0F0F"/>
                        <w:spacing w:val="-5"/>
                        <w:w w:val="105"/>
                        <w:sz w:val="19"/>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3312">
              <wp:simplePos x="0" y="0"/>
              <wp:positionH relativeFrom="page">
                <wp:posOffset>6584279</wp:posOffset>
              </wp:positionH>
              <wp:positionV relativeFrom="page">
                <wp:posOffset>10521521</wp:posOffset>
              </wp:positionV>
              <wp:extent cx="170815" cy="160655"/>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170815" cy="160655"/>
                      </a:xfrm>
                      <a:prstGeom prst="rect">
                        <a:avLst/>
                      </a:prstGeom>
                    </wps:spPr>
                    <wps:txbx>
                      <w:txbxContent>
                        <w:p>
                          <w:pPr>
                            <w:spacing w:before="14"/>
                            <w:ind w:left="20" w:right="0" w:firstLine="0"/>
                            <w:jc w:val="left"/>
                            <w:rPr>
                              <w:sz w:val="19"/>
                            </w:rPr>
                          </w:pPr>
                          <w:r>
                            <w:rPr>
                              <w:color w:val="0F0F0F"/>
                              <w:spacing w:val="-5"/>
                              <w:w w:val="110"/>
                              <w:sz w:val="19"/>
                            </w:rPr>
                            <w:t>24</w:t>
                          </w:r>
                        </w:p>
                      </w:txbxContent>
                    </wps:txbx>
                    <wps:bodyPr wrap="square" lIns="0" tIns="0" rIns="0" bIns="0" rtlCol="0">
                      <a:noAutofit/>
                    </wps:bodyPr>
                  </wps:wsp>
                </a:graphicData>
              </a:graphic>
            </wp:anchor>
          </w:drawing>
        </mc:Choice>
        <mc:Fallback>
          <w:pict>
            <v:shape style="position:absolute;margin-left:518.447205pt;margin-top:828.466248pt;width:13.45pt;height:12.65pt;mso-position-horizontal-relative:page;mso-position-vertical-relative:page;z-index:-27463168" type="#_x0000_t202" id="docshape43" filled="false" stroked="false">
              <v:textbox inset="0,0,0,0">
                <w:txbxContent>
                  <w:p>
                    <w:pPr>
                      <w:spacing w:before="14"/>
                      <w:ind w:left="20" w:right="0" w:firstLine="0"/>
                      <w:jc w:val="left"/>
                      <w:rPr>
                        <w:sz w:val="19"/>
                      </w:rPr>
                    </w:pPr>
                    <w:r>
                      <w:rPr>
                        <w:color w:val="0F0F0F"/>
                        <w:spacing w:val="-5"/>
                        <w:w w:val="110"/>
                        <w:sz w:val="19"/>
                      </w:rPr>
                      <w:t>24</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0000">
              <wp:simplePos x="0" y="0"/>
              <wp:positionH relativeFrom="page">
                <wp:posOffset>6638075</wp:posOffset>
              </wp:positionH>
              <wp:positionV relativeFrom="page">
                <wp:posOffset>10341484</wp:posOffset>
              </wp:positionV>
              <wp:extent cx="167640" cy="17716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67640" cy="177165"/>
                      </a:xfrm>
                      <a:prstGeom prst="rect">
                        <a:avLst/>
                      </a:prstGeom>
                    </wps:spPr>
                    <wps:txbx>
                      <w:txbxContent>
                        <w:p>
                          <w:pPr>
                            <w:spacing w:before="14"/>
                            <w:ind w:left="72" w:right="0" w:firstLine="0"/>
                            <w:jc w:val="left"/>
                            <w:rPr>
                              <w:sz w:val="19"/>
                            </w:rPr>
                          </w:pPr>
                          <w:r>
                            <w:rPr>
                              <w:color w:val="212121"/>
                              <w:spacing w:val="-10"/>
                              <w:w w:val="105"/>
                              <w:sz w:val="19"/>
                            </w:rPr>
                            <w:fldChar w:fldCharType="begin"/>
                          </w:r>
                          <w:r>
                            <w:rPr>
                              <w:color w:val="212121"/>
                              <w:spacing w:val="-10"/>
                              <w:w w:val="105"/>
                              <w:sz w:val="19"/>
                            </w:rPr>
                            <w:instrText> PAGE </w:instrText>
                          </w:r>
                          <w:r>
                            <w:rPr>
                              <w:color w:val="212121"/>
                              <w:spacing w:val="-10"/>
                              <w:w w:val="105"/>
                              <w:sz w:val="19"/>
                            </w:rPr>
                            <w:fldChar w:fldCharType="separate"/>
                          </w:r>
                          <w:r>
                            <w:rPr>
                              <w:color w:val="212121"/>
                              <w:spacing w:val="-10"/>
                              <w:w w:val="105"/>
                              <w:sz w:val="19"/>
                            </w:rPr>
                            <w:t>8</w:t>
                          </w:r>
                          <w:r>
                            <w:rPr>
                              <w:color w:val="212121"/>
                              <w:spacing w:val="-10"/>
                              <w:w w:val="105"/>
                              <w:sz w:val="19"/>
                            </w:rPr>
                            <w:fldChar w:fldCharType="end"/>
                          </w:r>
                        </w:p>
                      </w:txbxContent>
                    </wps:txbx>
                    <wps:bodyPr wrap="square" lIns="0" tIns="0" rIns="0" bIns="0" rtlCol="0">
                      <a:noAutofit/>
                    </wps:bodyPr>
                  </wps:wsp>
                </a:graphicData>
              </a:graphic>
            </wp:anchor>
          </w:drawing>
        </mc:Choice>
        <mc:Fallback>
          <w:pict>
            <v:shape style="position:absolute;margin-left:522.683105pt;margin-top:814.29010pt;width:13.2pt;height:13.95pt;mso-position-horizontal-relative:page;mso-position-vertical-relative:page;z-index:-27476480" type="#_x0000_t202" id="docshape10" filled="false" stroked="false">
              <v:textbox inset="0,0,0,0">
                <w:txbxContent>
                  <w:p>
                    <w:pPr>
                      <w:spacing w:before="14"/>
                      <w:ind w:left="72" w:right="0" w:firstLine="0"/>
                      <w:jc w:val="left"/>
                      <w:rPr>
                        <w:sz w:val="19"/>
                      </w:rPr>
                    </w:pPr>
                    <w:r>
                      <w:rPr>
                        <w:color w:val="212121"/>
                        <w:spacing w:val="-10"/>
                        <w:w w:val="105"/>
                        <w:sz w:val="19"/>
                      </w:rPr>
                      <w:fldChar w:fldCharType="begin"/>
                    </w:r>
                    <w:r>
                      <w:rPr>
                        <w:color w:val="212121"/>
                        <w:spacing w:val="-10"/>
                        <w:w w:val="105"/>
                        <w:sz w:val="19"/>
                      </w:rPr>
                      <w:instrText> PAGE </w:instrText>
                    </w:r>
                    <w:r>
                      <w:rPr>
                        <w:color w:val="212121"/>
                        <w:spacing w:val="-10"/>
                        <w:w w:val="105"/>
                        <w:sz w:val="19"/>
                      </w:rPr>
                      <w:fldChar w:fldCharType="separate"/>
                    </w:r>
                    <w:r>
                      <w:rPr>
                        <w:color w:val="212121"/>
                        <w:spacing w:val="-10"/>
                        <w:w w:val="105"/>
                        <w:sz w:val="19"/>
                      </w:rPr>
                      <w:t>8</w:t>
                    </w:r>
                    <w:r>
                      <w:rPr>
                        <w:color w:val="212121"/>
                        <w:spacing w:val="-10"/>
                        <w:w w:val="105"/>
                        <w:sz w:val="19"/>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3824">
              <wp:simplePos x="0" y="0"/>
              <wp:positionH relativeFrom="page">
                <wp:posOffset>6620913</wp:posOffset>
              </wp:positionH>
              <wp:positionV relativeFrom="page">
                <wp:posOffset>10460491</wp:posOffset>
              </wp:positionV>
              <wp:extent cx="162560" cy="160655"/>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162560" cy="160655"/>
                      </a:xfrm>
                      <a:prstGeom prst="rect">
                        <a:avLst/>
                      </a:prstGeom>
                    </wps:spPr>
                    <wps:txbx>
                      <w:txbxContent>
                        <w:p>
                          <w:pPr>
                            <w:spacing w:before="14"/>
                            <w:ind w:left="20" w:right="0" w:firstLine="0"/>
                            <w:jc w:val="left"/>
                            <w:rPr>
                              <w:sz w:val="19"/>
                            </w:rPr>
                          </w:pPr>
                          <w:r>
                            <w:rPr>
                              <w:color w:val="151515"/>
                              <w:spacing w:val="-5"/>
                              <w:sz w:val="19"/>
                            </w:rPr>
                            <w:t>25</w:t>
                          </w:r>
                        </w:p>
                      </w:txbxContent>
                    </wps:txbx>
                    <wps:bodyPr wrap="square" lIns="0" tIns="0" rIns="0" bIns="0" rtlCol="0">
                      <a:noAutofit/>
                    </wps:bodyPr>
                  </wps:wsp>
                </a:graphicData>
              </a:graphic>
            </wp:anchor>
          </w:drawing>
        </mc:Choice>
        <mc:Fallback>
          <w:pict>
            <v:shape style="position:absolute;margin-left:521.331787pt;margin-top:823.660767pt;width:12.8pt;height:12.65pt;mso-position-horizontal-relative:page;mso-position-vertical-relative:page;z-index:-27462656" type="#_x0000_t202" id="docshape44" filled="false" stroked="false">
              <v:textbox inset="0,0,0,0">
                <w:txbxContent>
                  <w:p>
                    <w:pPr>
                      <w:spacing w:before="14"/>
                      <w:ind w:left="20" w:right="0" w:firstLine="0"/>
                      <w:jc w:val="left"/>
                      <w:rPr>
                        <w:sz w:val="19"/>
                      </w:rPr>
                    </w:pPr>
                    <w:r>
                      <w:rPr>
                        <w:color w:val="151515"/>
                        <w:spacing w:val="-5"/>
                        <w:sz w:val="19"/>
                      </w:rPr>
                      <w:t>25</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4336">
              <wp:simplePos x="0" y="0"/>
              <wp:positionH relativeFrom="page">
                <wp:posOffset>6564985</wp:posOffset>
              </wp:positionH>
              <wp:positionV relativeFrom="page">
                <wp:posOffset>10365895</wp:posOffset>
              </wp:positionV>
              <wp:extent cx="230504" cy="160655"/>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230504" cy="160655"/>
                      </a:xfrm>
                      <a:prstGeom prst="rect">
                        <a:avLst/>
                      </a:prstGeom>
                    </wps:spPr>
                    <wps:txbx>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26</w:t>
                          </w:r>
                          <w:r>
                            <w:rPr>
                              <w:color w:val="0F0F0F"/>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6.927979pt;margin-top:816.21228pt;width:18.150pt;height:12.65pt;mso-position-horizontal-relative:page;mso-position-vertical-relative:page;z-index:-27462144" type="#_x0000_t202" id="docshape45" filled="false" stroked="false">
              <v:textbox inset="0,0,0,0">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26</w:t>
                    </w:r>
                    <w:r>
                      <w:rPr>
                        <w:color w:val="0F0F0F"/>
                        <w:spacing w:val="-5"/>
                        <w:w w:val="105"/>
                        <w:sz w:val="19"/>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5872">
              <wp:simplePos x="0" y="0"/>
              <wp:positionH relativeFrom="page">
                <wp:posOffset>6488662</wp:posOffset>
              </wp:positionH>
              <wp:positionV relativeFrom="page">
                <wp:posOffset>10274351</wp:posOffset>
              </wp:positionV>
              <wp:extent cx="230504" cy="16065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230504" cy="160655"/>
                      </a:xfrm>
                      <a:prstGeom prst="rect">
                        <a:avLst/>
                      </a:prstGeom>
                    </wps:spPr>
                    <wps:txbx>
                      <w:txbxContent>
                        <w:p>
                          <w:pPr>
                            <w:spacing w:before="14"/>
                            <w:ind w:left="60" w:right="0" w:firstLine="0"/>
                            <w:jc w:val="left"/>
                            <w:rPr>
                              <w:sz w:val="19"/>
                            </w:rPr>
                          </w:pPr>
                          <w:r>
                            <w:rPr>
                              <w:color w:val="0A0A0A"/>
                              <w:spacing w:val="-5"/>
                              <w:w w:val="105"/>
                              <w:sz w:val="19"/>
                            </w:rPr>
                            <w:fldChar w:fldCharType="begin"/>
                          </w:r>
                          <w:r>
                            <w:rPr>
                              <w:color w:val="0A0A0A"/>
                              <w:spacing w:val="-5"/>
                              <w:w w:val="105"/>
                              <w:sz w:val="19"/>
                            </w:rPr>
                            <w:instrText> PAGE </w:instrText>
                          </w:r>
                          <w:r>
                            <w:rPr>
                              <w:color w:val="0A0A0A"/>
                              <w:spacing w:val="-5"/>
                              <w:w w:val="105"/>
                              <w:sz w:val="19"/>
                            </w:rPr>
                            <w:fldChar w:fldCharType="separate"/>
                          </w:r>
                          <w:r>
                            <w:rPr>
                              <w:color w:val="0A0A0A"/>
                              <w:spacing w:val="-5"/>
                              <w:w w:val="105"/>
                              <w:sz w:val="19"/>
                            </w:rPr>
                            <w:t>27</w:t>
                          </w:r>
                          <w:r>
                            <w:rPr>
                              <w:color w:val="0A0A0A"/>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0.918304pt;margin-top:809.004089pt;width:18.150pt;height:12.65pt;mso-position-horizontal-relative:page;mso-position-vertical-relative:page;z-index:-27460608" type="#_x0000_t202" id="docshape51" filled="false" stroked="false">
              <v:textbox inset="0,0,0,0">
                <w:txbxContent>
                  <w:p>
                    <w:pPr>
                      <w:spacing w:before="14"/>
                      <w:ind w:left="60" w:right="0" w:firstLine="0"/>
                      <w:jc w:val="left"/>
                      <w:rPr>
                        <w:sz w:val="19"/>
                      </w:rPr>
                    </w:pPr>
                    <w:r>
                      <w:rPr>
                        <w:color w:val="0A0A0A"/>
                        <w:spacing w:val="-5"/>
                        <w:w w:val="105"/>
                        <w:sz w:val="19"/>
                      </w:rPr>
                      <w:fldChar w:fldCharType="begin"/>
                    </w:r>
                    <w:r>
                      <w:rPr>
                        <w:color w:val="0A0A0A"/>
                        <w:spacing w:val="-5"/>
                        <w:w w:val="105"/>
                        <w:sz w:val="19"/>
                      </w:rPr>
                      <w:instrText> PAGE </w:instrText>
                    </w:r>
                    <w:r>
                      <w:rPr>
                        <w:color w:val="0A0A0A"/>
                        <w:spacing w:val="-5"/>
                        <w:w w:val="105"/>
                        <w:sz w:val="19"/>
                      </w:rPr>
                      <w:fldChar w:fldCharType="separate"/>
                    </w:r>
                    <w:r>
                      <w:rPr>
                        <w:color w:val="0A0A0A"/>
                        <w:spacing w:val="-5"/>
                        <w:w w:val="105"/>
                        <w:sz w:val="19"/>
                      </w:rPr>
                      <w:t>27</w:t>
                    </w:r>
                    <w:r>
                      <w:rPr>
                        <w:color w:val="0A0A0A"/>
                        <w:spacing w:val="-5"/>
                        <w:w w:val="105"/>
                        <w:sz w:val="19"/>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6384">
              <wp:simplePos x="0" y="0"/>
              <wp:positionH relativeFrom="page">
                <wp:posOffset>6565231</wp:posOffset>
              </wp:positionH>
              <wp:positionV relativeFrom="page">
                <wp:posOffset>10350986</wp:posOffset>
              </wp:positionV>
              <wp:extent cx="233679" cy="16764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233679" cy="167640"/>
                      </a:xfrm>
                      <a:prstGeom prst="rect">
                        <a:avLst/>
                      </a:prstGeom>
                    </wps:spPr>
                    <wps:txbx>
                      <w:txbxContent>
                        <w:p>
                          <w:pPr>
                            <w:spacing w:before="18"/>
                            <w:ind w:left="67" w:right="0" w:firstLine="0"/>
                            <w:jc w:val="left"/>
                            <w:rPr>
                              <w:b/>
                              <w:sz w:val="19"/>
                            </w:rPr>
                          </w:pPr>
                          <w:r>
                            <w:rPr>
                              <w:b/>
                              <w:color w:val="0A0A0A"/>
                              <w:spacing w:val="-5"/>
                              <w:w w:val="105"/>
                              <w:sz w:val="19"/>
                            </w:rPr>
                            <w:fldChar w:fldCharType="begin"/>
                          </w:r>
                          <w:r>
                            <w:rPr>
                              <w:b/>
                              <w:color w:val="0A0A0A"/>
                              <w:spacing w:val="-5"/>
                              <w:w w:val="105"/>
                              <w:sz w:val="19"/>
                            </w:rPr>
                            <w:instrText> PAGE </w:instrText>
                          </w:r>
                          <w:r>
                            <w:rPr>
                              <w:b/>
                              <w:color w:val="0A0A0A"/>
                              <w:spacing w:val="-5"/>
                              <w:w w:val="105"/>
                              <w:sz w:val="19"/>
                            </w:rPr>
                            <w:fldChar w:fldCharType="separate"/>
                          </w:r>
                          <w:r>
                            <w:rPr>
                              <w:b/>
                              <w:color w:val="0A0A0A"/>
                              <w:spacing w:val="-5"/>
                              <w:w w:val="105"/>
                              <w:sz w:val="19"/>
                            </w:rPr>
                            <w:t>32</w:t>
                          </w:r>
                          <w:r>
                            <w:rPr>
                              <w:b/>
                              <w:color w:val="0A0A0A"/>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6.947327pt;margin-top:815.03833pt;width:18.4pt;height:13.2pt;mso-position-horizontal-relative:page;mso-position-vertical-relative:page;z-index:-27460096" type="#_x0000_t202" id="docshape52" filled="false" stroked="false">
              <v:textbox inset="0,0,0,0">
                <w:txbxContent>
                  <w:p>
                    <w:pPr>
                      <w:spacing w:before="18"/>
                      <w:ind w:left="67" w:right="0" w:firstLine="0"/>
                      <w:jc w:val="left"/>
                      <w:rPr>
                        <w:b/>
                        <w:sz w:val="19"/>
                      </w:rPr>
                    </w:pPr>
                    <w:r>
                      <w:rPr>
                        <w:b/>
                        <w:color w:val="0A0A0A"/>
                        <w:spacing w:val="-5"/>
                        <w:w w:val="105"/>
                        <w:sz w:val="19"/>
                      </w:rPr>
                      <w:fldChar w:fldCharType="begin"/>
                    </w:r>
                    <w:r>
                      <w:rPr>
                        <w:b/>
                        <w:color w:val="0A0A0A"/>
                        <w:spacing w:val="-5"/>
                        <w:w w:val="105"/>
                        <w:sz w:val="19"/>
                      </w:rPr>
                      <w:instrText> PAGE </w:instrText>
                    </w:r>
                    <w:r>
                      <w:rPr>
                        <w:b/>
                        <w:color w:val="0A0A0A"/>
                        <w:spacing w:val="-5"/>
                        <w:w w:val="105"/>
                        <w:sz w:val="19"/>
                      </w:rPr>
                      <w:fldChar w:fldCharType="separate"/>
                    </w:r>
                    <w:r>
                      <w:rPr>
                        <w:b/>
                        <w:color w:val="0A0A0A"/>
                        <w:spacing w:val="-5"/>
                        <w:w w:val="105"/>
                        <w:sz w:val="19"/>
                      </w:rPr>
                      <w:t>32</w:t>
                    </w:r>
                    <w:r>
                      <w:rPr>
                        <w:b/>
                        <w:color w:val="0A0A0A"/>
                        <w:spacing w:val="-5"/>
                        <w:w w:val="105"/>
                        <w:sz w:val="19"/>
                      </w:rPr>
                      <w:fldChar w:fldCharType="end"/>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7920">
              <wp:simplePos x="0" y="0"/>
              <wp:positionH relativeFrom="page">
                <wp:posOffset>6497821</wp:posOffset>
              </wp:positionH>
              <wp:positionV relativeFrom="page">
                <wp:posOffset>10277402</wp:posOffset>
              </wp:positionV>
              <wp:extent cx="230504" cy="160655"/>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230504" cy="160655"/>
                      </a:xfrm>
                      <a:prstGeom prst="rect">
                        <a:avLst/>
                      </a:prstGeom>
                    </wps:spPr>
                    <wps:txbx>
                      <w:txbxContent>
                        <w:p>
                          <w:pPr>
                            <w:spacing w:before="14"/>
                            <w:ind w:left="60" w:right="0" w:firstLine="0"/>
                            <w:jc w:val="left"/>
                            <w:rPr>
                              <w:sz w:val="19"/>
                            </w:rPr>
                          </w:pPr>
                          <w:r>
                            <w:rPr>
                              <w:color w:val="0A0A0A"/>
                              <w:spacing w:val="-5"/>
                              <w:w w:val="105"/>
                              <w:sz w:val="19"/>
                            </w:rPr>
                            <w:fldChar w:fldCharType="begin"/>
                          </w:r>
                          <w:r>
                            <w:rPr>
                              <w:color w:val="0A0A0A"/>
                              <w:spacing w:val="-5"/>
                              <w:w w:val="105"/>
                              <w:sz w:val="19"/>
                            </w:rPr>
                            <w:instrText> PAGE </w:instrText>
                          </w:r>
                          <w:r>
                            <w:rPr>
                              <w:color w:val="0A0A0A"/>
                              <w:spacing w:val="-5"/>
                              <w:w w:val="105"/>
                              <w:sz w:val="19"/>
                            </w:rPr>
                            <w:fldChar w:fldCharType="separate"/>
                          </w:r>
                          <w:r>
                            <w:rPr>
                              <w:color w:val="0A0A0A"/>
                              <w:spacing w:val="-5"/>
                              <w:w w:val="105"/>
                              <w:sz w:val="19"/>
                            </w:rPr>
                            <w:t>29</w:t>
                          </w:r>
                          <w:r>
                            <w:rPr>
                              <w:color w:val="0A0A0A"/>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1.639496pt;margin-top:809.244324pt;width:18.150pt;height:12.65pt;mso-position-horizontal-relative:page;mso-position-vertical-relative:page;z-index:-27458560" type="#_x0000_t202" id="docshape54" filled="false" stroked="false">
              <v:textbox inset="0,0,0,0">
                <w:txbxContent>
                  <w:p>
                    <w:pPr>
                      <w:spacing w:before="14"/>
                      <w:ind w:left="60" w:right="0" w:firstLine="0"/>
                      <w:jc w:val="left"/>
                      <w:rPr>
                        <w:sz w:val="19"/>
                      </w:rPr>
                    </w:pPr>
                    <w:r>
                      <w:rPr>
                        <w:color w:val="0A0A0A"/>
                        <w:spacing w:val="-5"/>
                        <w:w w:val="105"/>
                        <w:sz w:val="19"/>
                      </w:rPr>
                      <w:fldChar w:fldCharType="begin"/>
                    </w:r>
                    <w:r>
                      <w:rPr>
                        <w:color w:val="0A0A0A"/>
                        <w:spacing w:val="-5"/>
                        <w:w w:val="105"/>
                        <w:sz w:val="19"/>
                      </w:rPr>
                      <w:instrText> PAGE </w:instrText>
                    </w:r>
                    <w:r>
                      <w:rPr>
                        <w:color w:val="0A0A0A"/>
                        <w:spacing w:val="-5"/>
                        <w:w w:val="105"/>
                        <w:sz w:val="19"/>
                      </w:rPr>
                      <w:fldChar w:fldCharType="separate"/>
                    </w:r>
                    <w:r>
                      <w:rPr>
                        <w:color w:val="0A0A0A"/>
                        <w:spacing w:val="-5"/>
                        <w:w w:val="105"/>
                        <w:sz w:val="19"/>
                      </w:rPr>
                      <w:t>29</w:t>
                    </w:r>
                    <w:r>
                      <w:rPr>
                        <w:color w:val="0A0A0A"/>
                        <w:spacing w:val="-5"/>
                        <w:w w:val="105"/>
                        <w:sz w:val="19"/>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8432">
              <wp:simplePos x="0" y="0"/>
              <wp:positionH relativeFrom="page">
                <wp:posOffset>6563323</wp:posOffset>
              </wp:positionH>
              <wp:positionV relativeFrom="page">
                <wp:posOffset>10355838</wp:posOffset>
              </wp:positionV>
              <wp:extent cx="215265" cy="16637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215265" cy="166370"/>
                      </a:xfrm>
                      <a:prstGeom prst="rect">
                        <a:avLst/>
                      </a:prstGeom>
                    </wps:spPr>
                    <wps:txbx>
                      <w:txbxContent>
                        <w:p>
                          <w:pPr>
                            <w:spacing w:before="11"/>
                            <w:ind w:left="60" w:right="0" w:firstLine="0"/>
                            <w:jc w:val="left"/>
                            <w:rPr>
                              <w:rFonts w:ascii="Times New Roman"/>
                              <w:sz w:val="20"/>
                            </w:rPr>
                          </w:pPr>
                          <w:r>
                            <w:rPr>
                              <w:rFonts w:ascii="Times New Roman"/>
                              <w:color w:val="0A0A0A"/>
                              <w:spacing w:val="-5"/>
                              <w:sz w:val="20"/>
                            </w:rPr>
                            <w:fldChar w:fldCharType="begin"/>
                          </w:r>
                          <w:r>
                            <w:rPr>
                              <w:rFonts w:ascii="Times New Roman"/>
                              <w:color w:val="0A0A0A"/>
                              <w:spacing w:val="-5"/>
                              <w:sz w:val="20"/>
                            </w:rPr>
                            <w:instrText> PAGE </w:instrText>
                          </w:r>
                          <w:r>
                            <w:rPr>
                              <w:rFonts w:ascii="Times New Roman"/>
                              <w:color w:val="0A0A0A"/>
                              <w:spacing w:val="-5"/>
                              <w:sz w:val="20"/>
                            </w:rPr>
                            <w:fldChar w:fldCharType="separate"/>
                          </w:r>
                          <w:r>
                            <w:rPr>
                              <w:rFonts w:ascii="Times New Roman"/>
                              <w:color w:val="0A0A0A"/>
                              <w:spacing w:val="-5"/>
                              <w:sz w:val="20"/>
                            </w:rPr>
                            <w:t>30</w:t>
                          </w:r>
                          <w:r>
                            <w:rPr>
                              <w:rFonts w:ascii="Times New Roman"/>
                              <w:color w:val="0A0A0A"/>
                              <w:spacing w:val="-5"/>
                              <w:sz w:val="20"/>
                            </w:rPr>
                            <w:fldChar w:fldCharType="end"/>
                          </w:r>
                        </w:p>
                      </w:txbxContent>
                    </wps:txbx>
                    <wps:bodyPr wrap="square" lIns="0" tIns="0" rIns="0" bIns="0" rtlCol="0">
                      <a:noAutofit/>
                    </wps:bodyPr>
                  </wps:wsp>
                </a:graphicData>
              </a:graphic>
            </wp:anchor>
          </w:drawing>
        </mc:Choice>
        <mc:Fallback>
          <w:pict>
            <v:shape style="position:absolute;margin-left:516.797119pt;margin-top:815.420349pt;width:16.95pt;height:13.1pt;mso-position-horizontal-relative:page;mso-position-vertical-relative:page;z-index:-27458048" type="#_x0000_t202" id="docshape55" filled="false" stroked="false">
              <v:textbox inset="0,0,0,0">
                <w:txbxContent>
                  <w:p>
                    <w:pPr>
                      <w:spacing w:before="11"/>
                      <w:ind w:left="60" w:right="0" w:firstLine="0"/>
                      <w:jc w:val="left"/>
                      <w:rPr>
                        <w:rFonts w:ascii="Times New Roman"/>
                        <w:sz w:val="20"/>
                      </w:rPr>
                    </w:pPr>
                    <w:r>
                      <w:rPr>
                        <w:rFonts w:ascii="Times New Roman"/>
                        <w:color w:val="0A0A0A"/>
                        <w:spacing w:val="-5"/>
                        <w:sz w:val="20"/>
                      </w:rPr>
                      <w:fldChar w:fldCharType="begin"/>
                    </w:r>
                    <w:r>
                      <w:rPr>
                        <w:rFonts w:ascii="Times New Roman"/>
                        <w:color w:val="0A0A0A"/>
                        <w:spacing w:val="-5"/>
                        <w:sz w:val="20"/>
                      </w:rPr>
                      <w:instrText> PAGE </w:instrText>
                    </w:r>
                    <w:r>
                      <w:rPr>
                        <w:rFonts w:ascii="Times New Roman"/>
                        <w:color w:val="0A0A0A"/>
                        <w:spacing w:val="-5"/>
                        <w:sz w:val="20"/>
                      </w:rPr>
                      <w:fldChar w:fldCharType="separate"/>
                    </w:r>
                    <w:r>
                      <w:rPr>
                        <w:rFonts w:ascii="Times New Roman"/>
                        <w:color w:val="0A0A0A"/>
                        <w:spacing w:val="-5"/>
                        <w:sz w:val="20"/>
                      </w:rPr>
                      <w:t>30</w:t>
                    </w:r>
                    <w:r>
                      <w:rPr>
                        <w:rFonts w:ascii="Times New Roman"/>
                        <w:color w:val="0A0A0A"/>
                        <w:spacing w:val="-5"/>
                        <w:sz w:val="20"/>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9968">
              <wp:simplePos x="0" y="0"/>
              <wp:positionH relativeFrom="page">
                <wp:posOffset>6484296</wp:posOffset>
              </wp:positionH>
              <wp:positionV relativeFrom="page">
                <wp:posOffset>10265020</wp:posOffset>
              </wp:positionV>
              <wp:extent cx="252729" cy="19113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252729" cy="191135"/>
                      </a:xfrm>
                      <a:prstGeom prst="rect">
                        <a:avLst/>
                      </a:prstGeom>
                    </wps:spPr>
                    <wps:txbx>
                      <w:txbxContent>
                        <w:p>
                          <w:pPr>
                            <w:spacing w:before="20"/>
                            <w:ind w:left="60" w:right="0" w:firstLine="0"/>
                            <w:jc w:val="left"/>
                            <w:rPr>
                              <w:rFonts w:ascii="Courier New"/>
                              <w:sz w:val="23"/>
                            </w:rPr>
                          </w:pPr>
                          <w:r>
                            <w:rPr>
                              <w:rFonts w:ascii="Courier New"/>
                              <w:color w:val="111111"/>
                              <w:spacing w:val="-5"/>
                              <w:sz w:val="23"/>
                            </w:rPr>
                            <w:fldChar w:fldCharType="begin"/>
                          </w:r>
                          <w:r>
                            <w:rPr>
                              <w:rFonts w:ascii="Courier New"/>
                              <w:color w:val="111111"/>
                              <w:spacing w:val="-5"/>
                              <w:sz w:val="23"/>
                            </w:rPr>
                            <w:instrText> PAGE </w:instrText>
                          </w:r>
                          <w:r>
                            <w:rPr>
                              <w:rFonts w:ascii="Courier New"/>
                              <w:color w:val="111111"/>
                              <w:spacing w:val="-5"/>
                              <w:sz w:val="23"/>
                            </w:rPr>
                            <w:fldChar w:fldCharType="separate"/>
                          </w:r>
                          <w:r>
                            <w:rPr>
                              <w:rFonts w:ascii="Courier New"/>
                              <w:color w:val="111111"/>
                              <w:spacing w:val="-5"/>
                              <w:sz w:val="23"/>
                            </w:rPr>
                            <w:t>31</w:t>
                          </w:r>
                          <w:r>
                            <w:rPr>
                              <w:rFonts w:ascii="Courier New"/>
                              <w:color w:val="111111"/>
                              <w:spacing w:val="-5"/>
                              <w:sz w:val="23"/>
                            </w:rPr>
                            <w:fldChar w:fldCharType="end"/>
                          </w:r>
                        </w:p>
                      </w:txbxContent>
                    </wps:txbx>
                    <wps:bodyPr wrap="square" lIns="0" tIns="0" rIns="0" bIns="0" rtlCol="0">
                      <a:noAutofit/>
                    </wps:bodyPr>
                  </wps:wsp>
                </a:graphicData>
              </a:graphic>
            </wp:anchor>
          </w:drawing>
        </mc:Choice>
        <mc:Fallback>
          <w:pict>
            <v:shape style="position:absolute;margin-left:510.574493pt;margin-top:808.269348pt;width:19.9pt;height:15.05pt;mso-position-horizontal-relative:page;mso-position-vertical-relative:page;z-index:-27456512" type="#_x0000_t202" id="docshape57" filled="false" stroked="false">
              <v:textbox inset="0,0,0,0">
                <w:txbxContent>
                  <w:p>
                    <w:pPr>
                      <w:spacing w:before="20"/>
                      <w:ind w:left="60" w:right="0" w:firstLine="0"/>
                      <w:jc w:val="left"/>
                      <w:rPr>
                        <w:rFonts w:ascii="Courier New"/>
                        <w:sz w:val="23"/>
                      </w:rPr>
                    </w:pPr>
                    <w:r>
                      <w:rPr>
                        <w:rFonts w:ascii="Courier New"/>
                        <w:color w:val="111111"/>
                        <w:spacing w:val="-5"/>
                        <w:sz w:val="23"/>
                      </w:rPr>
                      <w:fldChar w:fldCharType="begin"/>
                    </w:r>
                    <w:r>
                      <w:rPr>
                        <w:rFonts w:ascii="Courier New"/>
                        <w:color w:val="111111"/>
                        <w:spacing w:val="-5"/>
                        <w:sz w:val="23"/>
                      </w:rPr>
                      <w:instrText> PAGE </w:instrText>
                    </w:r>
                    <w:r>
                      <w:rPr>
                        <w:rFonts w:ascii="Courier New"/>
                        <w:color w:val="111111"/>
                        <w:spacing w:val="-5"/>
                        <w:sz w:val="23"/>
                      </w:rPr>
                      <w:fldChar w:fldCharType="separate"/>
                    </w:r>
                    <w:r>
                      <w:rPr>
                        <w:rFonts w:ascii="Courier New"/>
                        <w:color w:val="111111"/>
                        <w:spacing w:val="-5"/>
                        <w:sz w:val="23"/>
                      </w:rPr>
                      <w:t>31</w:t>
                    </w:r>
                    <w:r>
                      <w:rPr>
                        <w:rFonts w:ascii="Courier New"/>
                        <w:color w:val="111111"/>
                        <w:spacing w:val="-5"/>
                        <w:sz w:val="23"/>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0480">
              <wp:simplePos x="0" y="0"/>
              <wp:positionH relativeFrom="page">
                <wp:posOffset>6569924</wp:posOffset>
              </wp:positionH>
              <wp:positionV relativeFrom="page">
                <wp:posOffset>10353690</wp:posOffset>
              </wp:positionV>
              <wp:extent cx="229235" cy="160655"/>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29235" cy="160655"/>
                      </a:xfrm>
                      <a:prstGeom prst="rect">
                        <a:avLst/>
                      </a:prstGeom>
                    </wps:spPr>
                    <wps:txbx>
                      <w:txbxContent>
                        <w:p>
                          <w:pPr>
                            <w:spacing w:before="14"/>
                            <w:ind w:left="60" w:right="0" w:firstLine="0"/>
                            <w:jc w:val="left"/>
                            <w:rPr>
                              <w:b/>
                              <w:sz w:val="19"/>
                            </w:rPr>
                          </w:pPr>
                          <w:r>
                            <w:rPr>
                              <w:b/>
                              <w:color w:val="0A0A0A"/>
                              <w:spacing w:val="-5"/>
                              <w:w w:val="105"/>
                              <w:sz w:val="19"/>
                            </w:rPr>
                            <w:fldChar w:fldCharType="begin"/>
                          </w:r>
                          <w:r>
                            <w:rPr>
                              <w:b/>
                              <w:color w:val="0A0A0A"/>
                              <w:spacing w:val="-5"/>
                              <w:w w:val="105"/>
                              <w:sz w:val="19"/>
                            </w:rPr>
                            <w:instrText> PAGE </w:instrText>
                          </w:r>
                          <w:r>
                            <w:rPr>
                              <w:b/>
                              <w:color w:val="0A0A0A"/>
                              <w:spacing w:val="-5"/>
                              <w:w w:val="105"/>
                              <w:sz w:val="19"/>
                            </w:rPr>
                            <w:fldChar w:fldCharType="separate"/>
                          </w:r>
                          <w:r>
                            <w:rPr>
                              <w:b/>
                              <w:color w:val="0A0A0A"/>
                              <w:spacing w:val="-5"/>
                              <w:w w:val="105"/>
                              <w:sz w:val="19"/>
                            </w:rPr>
                            <w:t>32</w:t>
                          </w:r>
                          <w:r>
                            <w:rPr>
                              <w:b/>
                              <w:color w:val="0A0A0A"/>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7.316895pt;margin-top:815.251221pt;width:18.05pt;height:12.65pt;mso-position-horizontal-relative:page;mso-position-vertical-relative:page;z-index:-27456000" type="#_x0000_t202" id="docshape58" filled="false" stroked="false">
              <v:textbox inset="0,0,0,0">
                <w:txbxContent>
                  <w:p>
                    <w:pPr>
                      <w:spacing w:before="14"/>
                      <w:ind w:left="60" w:right="0" w:firstLine="0"/>
                      <w:jc w:val="left"/>
                      <w:rPr>
                        <w:b/>
                        <w:sz w:val="19"/>
                      </w:rPr>
                    </w:pPr>
                    <w:r>
                      <w:rPr>
                        <w:b/>
                        <w:color w:val="0A0A0A"/>
                        <w:spacing w:val="-5"/>
                        <w:w w:val="105"/>
                        <w:sz w:val="19"/>
                      </w:rPr>
                      <w:fldChar w:fldCharType="begin"/>
                    </w:r>
                    <w:r>
                      <w:rPr>
                        <w:b/>
                        <w:color w:val="0A0A0A"/>
                        <w:spacing w:val="-5"/>
                        <w:w w:val="105"/>
                        <w:sz w:val="19"/>
                      </w:rPr>
                      <w:instrText> PAGE </w:instrText>
                    </w:r>
                    <w:r>
                      <w:rPr>
                        <w:b/>
                        <w:color w:val="0A0A0A"/>
                        <w:spacing w:val="-5"/>
                        <w:w w:val="105"/>
                        <w:sz w:val="19"/>
                      </w:rPr>
                      <w:fldChar w:fldCharType="separate"/>
                    </w:r>
                    <w:r>
                      <w:rPr>
                        <w:b/>
                        <w:color w:val="0A0A0A"/>
                        <w:spacing w:val="-5"/>
                        <w:w w:val="105"/>
                        <w:sz w:val="19"/>
                      </w:rPr>
                      <w:t>32</w:t>
                    </w:r>
                    <w:r>
                      <w:rPr>
                        <w:b/>
                        <w:color w:val="0A0A0A"/>
                        <w:spacing w:val="-5"/>
                        <w:w w:val="105"/>
                        <w:sz w:val="19"/>
                      </w:rPr>
                      <w:fldChar w:fldCharType="end"/>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0512">
              <wp:simplePos x="0" y="0"/>
              <wp:positionH relativeFrom="page">
                <wp:posOffset>6551123</wp:posOffset>
              </wp:positionH>
              <wp:positionV relativeFrom="page">
                <wp:posOffset>10268249</wp:posOffset>
              </wp:positionV>
              <wp:extent cx="160655" cy="16065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60655" cy="160655"/>
                      </a:xfrm>
                      <a:prstGeom prst="rect">
                        <a:avLst/>
                      </a:prstGeom>
                    </wps:spPr>
                    <wps:txbx>
                      <w:txbxContent>
                        <w:p>
                          <w:pPr>
                            <w:spacing w:before="14"/>
                            <w:ind w:left="60" w:right="0" w:firstLine="0"/>
                            <w:jc w:val="left"/>
                            <w:rPr>
                              <w:sz w:val="19"/>
                            </w:rPr>
                          </w:pPr>
                          <w:r>
                            <w:rPr>
                              <w:color w:val="080808"/>
                              <w:spacing w:val="-10"/>
                              <w:w w:val="105"/>
                              <w:sz w:val="19"/>
                            </w:rPr>
                            <w:fldChar w:fldCharType="begin"/>
                          </w:r>
                          <w:r>
                            <w:rPr>
                              <w:color w:val="080808"/>
                              <w:spacing w:val="-10"/>
                              <w:w w:val="105"/>
                              <w:sz w:val="19"/>
                            </w:rPr>
                            <w:instrText> PAGE </w:instrText>
                          </w:r>
                          <w:r>
                            <w:rPr>
                              <w:color w:val="080808"/>
                              <w:spacing w:val="-10"/>
                              <w:w w:val="105"/>
                              <w:sz w:val="19"/>
                            </w:rPr>
                            <w:fldChar w:fldCharType="separate"/>
                          </w:r>
                          <w:r>
                            <w:rPr>
                              <w:color w:val="080808"/>
                              <w:spacing w:val="-10"/>
                              <w:w w:val="105"/>
                              <w:sz w:val="19"/>
                            </w:rPr>
                            <w:t>3</w:t>
                          </w:r>
                          <w:r>
                            <w:rPr>
                              <w:color w:val="080808"/>
                              <w:spacing w:val="-10"/>
                              <w:w w:val="105"/>
                              <w:sz w:val="19"/>
                            </w:rPr>
                            <w:fldChar w:fldCharType="end"/>
                          </w:r>
                        </w:p>
                      </w:txbxContent>
                    </wps:txbx>
                    <wps:bodyPr wrap="square" lIns="0" tIns="0" rIns="0" bIns="0" rtlCol="0">
                      <a:noAutofit/>
                    </wps:bodyPr>
                  </wps:wsp>
                </a:graphicData>
              </a:graphic>
            </wp:anchor>
          </w:drawing>
        </mc:Choice>
        <mc:Fallback>
          <w:pict>
            <v:shape style="position:absolute;margin-left:515.836487pt;margin-top:808.52356pt;width:12.65pt;height:12.65pt;mso-position-horizontal-relative:page;mso-position-vertical-relative:page;z-index:-27475968" type="#_x0000_t202" id="docshape11" filled="false" stroked="false">
              <v:textbox inset="0,0,0,0">
                <w:txbxContent>
                  <w:p>
                    <w:pPr>
                      <w:spacing w:before="14"/>
                      <w:ind w:left="60" w:right="0" w:firstLine="0"/>
                      <w:jc w:val="left"/>
                      <w:rPr>
                        <w:sz w:val="19"/>
                      </w:rPr>
                    </w:pPr>
                    <w:r>
                      <w:rPr>
                        <w:color w:val="080808"/>
                        <w:spacing w:val="-10"/>
                        <w:w w:val="105"/>
                        <w:sz w:val="19"/>
                      </w:rPr>
                      <w:fldChar w:fldCharType="begin"/>
                    </w:r>
                    <w:r>
                      <w:rPr>
                        <w:color w:val="080808"/>
                        <w:spacing w:val="-10"/>
                        <w:w w:val="105"/>
                        <w:sz w:val="19"/>
                      </w:rPr>
                      <w:instrText> PAGE </w:instrText>
                    </w:r>
                    <w:r>
                      <w:rPr>
                        <w:color w:val="080808"/>
                        <w:spacing w:val="-10"/>
                        <w:w w:val="105"/>
                        <w:sz w:val="19"/>
                      </w:rPr>
                      <w:fldChar w:fldCharType="separate"/>
                    </w:r>
                    <w:r>
                      <w:rPr>
                        <w:color w:val="080808"/>
                        <w:spacing w:val="-10"/>
                        <w:w w:val="105"/>
                        <w:sz w:val="19"/>
                      </w:rPr>
                      <w:t>3</w:t>
                    </w:r>
                    <w:r>
                      <w:rPr>
                        <w:color w:val="080808"/>
                        <w:spacing w:val="-10"/>
                        <w:w w:val="105"/>
                        <w:sz w:val="19"/>
                      </w:rPr>
                      <w:fldChar w:fldCharType="end"/>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0992">
              <wp:simplePos x="0" y="0"/>
              <wp:positionH relativeFrom="page">
                <wp:posOffset>6615944</wp:posOffset>
              </wp:positionH>
              <wp:positionV relativeFrom="page">
                <wp:posOffset>9993150</wp:posOffset>
              </wp:positionV>
              <wp:extent cx="165735" cy="173355"/>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165735" cy="173355"/>
                      </a:xfrm>
                      <a:prstGeom prst="rect">
                        <a:avLst/>
                      </a:prstGeom>
                    </wps:spPr>
                    <wps:txbx>
                      <w:txbxContent>
                        <w:p>
                          <w:pPr>
                            <w:spacing w:before="11"/>
                            <w:ind w:left="20" w:right="0" w:firstLine="0"/>
                            <w:jc w:val="left"/>
                            <w:rPr>
                              <w:rFonts w:ascii="Times New Roman"/>
                              <w:sz w:val="21"/>
                            </w:rPr>
                          </w:pPr>
                          <w:r>
                            <w:rPr>
                              <w:rFonts w:ascii="Times New Roman"/>
                              <w:color w:val="0F0F0F"/>
                              <w:spacing w:val="-5"/>
                              <w:w w:val="105"/>
                              <w:sz w:val="21"/>
                            </w:rPr>
                            <w:t>35</w:t>
                          </w:r>
                        </w:p>
                      </w:txbxContent>
                    </wps:txbx>
                    <wps:bodyPr wrap="square" lIns="0" tIns="0" rIns="0" bIns="0" rtlCol="0">
                      <a:noAutofit/>
                    </wps:bodyPr>
                  </wps:wsp>
                </a:graphicData>
              </a:graphic>
            </wp:anchor>
          </w:drawing>
        </mc:Choice>
        <mc:Fallback>
          <w:pict>
            <v:shape style="position:absolute;margin-left:520.940491pt;margin-top:786.862244pt;width:13.05pt;height:13.65pt;mso-position-horizontal-relative:page;mso-position-vertical-relative:page;z-index:-27455488" type="#_x0000_t202" id="docshape69" filled="false" stroked="false">
              <v:textbox inset="0,0,0,0">
                <w:txbxContent>
                  <w:p>
                    <w:pPr>
                      <w:spacing w:before="11"/>
                      <w:ind w:left="20" w:right="0" w:firstLine="0"/>
                      <w:jc w:val="left"/>
                      <w:rPr>
                        <w:rFonts w:ascii="Times New Roman"/>
                        <w:sz w:val="21"/>
                      </w:rPr>
                    </w:pPr>
                    <w:r>
                      <w:rPr>
                        <w:rFonts w:ascii="Times New Roman"/>
                        <w:color w:val="0F0F0F"/>
                        <w:spacing w:val="-5"/>
                        <w:w w:val="105"/>
                        <w:sz w:val="21"/>
                      </w:rPr>
                      <w:t>35</w:t>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1504">
              <wp:simplePos x="0" y="0"/>
              <wp:positionH relativeFrom="page">
                <wp:posOffset>6563334</wp:posOffset>
              </wp:positionH>
              <wp:positionV relativeFrom="page">
                <wp:posOffset>9899019</wp:posOffset>
              </wp:positionV>
              <wp:extent cx="222885" cy="16383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222885" cy="163830"/>
                      </a:xfrm>
                      <a:prstGeom prst="rect">
                        <a:avLst/>
                      </a:prstGeom>
                    </wps:spPr>
                    <wps:txbx>
                      <w:txbxContent>
                        <w:p>
                          <w:pPr>
                            <w:spacing w:before="14"/>
                            <w:ind w:left="55" w:right="0" w:firstLine="0"/>
                            <w:jc w:val="left"/>
                            <w:rPr>
                              <w:sz w:val="19"/>
                            </w:rPr>
                          </w:pPr>
                          <w:r>
                            <w:rPr>
                              <w:color w:val="0E0E0E"/>
                              <w:spacing w:val="-5"/>
                              <w:sz w:val="19"/>
                            </w:rPr>
                            <w:fldChar w:fldCharType="begin"/>
                          </w:r>
                          <w:r>
                            <w:rPr>
                              <w:color w:val="0E0E0E"/>
                              <w:spacing w:val="-5"/>
                              <w:sz w:val="19"/>
                            </w:rPr>
                            <w:instrText> PAGE </w:instrText>
                          </w:r>
                          <w:r>
                            <w:rPr>
                              <w:color w:val="0E0E0E"/>
                              <w:spacing w:val="-5"/>
                              <w:sz w:val="19"/>
                            </w:rPr>
                            <w:fldChar w:fldCharType="separate"/>
                          </w:r>
                          <w:r>
                            <w:rPr>
                              <w:color w:val="0E0E0E"/>
                              <w:spacing w:val="-5"/>
                              <w:sz w:val="19"/>
                            </w:rPr>
                            <w:t>38</w:t>
                          </w:r>
                          <w:r>
                            <w:rPr>
                              <w:color w:val="0E0E0E"/>
                              <w:spacing w:val="-5"/>
                              <w:sz w:val="19"/>
                            </w:rPr>
                            <w:fldChar w:fldCharType="end"/>
                          </w:r>
                        </w:p>
                      </w:txbxContent>
                    </wps:txbx>
                    <wps:bodyPr wrap="square" lIns="0" tIns="0" rIns="0" bIns="0" rtlCol="0">
                      <a:noAutofit/>
                    </wps:bodyPr>
                  </wps:wsp>
                </a:graphicData>
              </a:graphic>
            </wp:anchor>
          </w:drawing>
        </mc:Choice>
        <mc:Fallback>
          <w:pict>
            <v:shape style="position:absolute;margin-left:516.797974pt;margin-top:779.450378pt;width:17.55pt;height:12.9pt;mso-position-horizontal-relative:page;mso-position-vertical-relative:page;z-index:-27454976" type="#_x0000_t202" id="docshape70" filled="false" stroked="false">
              <v:textbox inset="0,0,0,0">
                <w:txbxContent>
                  <w:p>
                    <w:pPr>
                      <w:spacing w:before="14"/>
                      <w:ind w:left="55" w:right="0" w:firstLine="0"/>
                      <w:jc w:val="left"/>
                      <w:rPr>
                        <w:sz w:val="19"/>
                      </w:rPr>
                    </w:pPr>
                    <w:r>
                      <w:rPr>
                        <w:color w:val="0E0E0E"/>
                        <w:spacing w:val="-5"/>
                        <w:sz w:val="19"/>
                      </w:rPr>
                      <w:fldChar w:fldCharType="begin"/>
                    </w:r>
                    <w:r>
                      <w:rPr>
                        <w:color w:val="0E0E0E"/>
                        <w:spacing w:val="-5"/>
                        <w:sz w:val="19"/>
                      </w:rPr>
                      <w:instrText> PAGE </w:instrText>
                    </w:r>
                    <w:r>
                      <w:rPr>
                        <w:color w:val="0E0E0E"/>
                        <w:spacing w:val="-5"/>
                        <w:sz w:val="19"/>
                      </w:rPr>
                      <w:fldChar w:fldCharType="separate"/>
                    </w:r>
                    <w:r>
                      <w:rPr>
                        <w:color w:val="0E0E0E"/>
                        <w:spacing w:val="-5"/>
                        <w:sz w:val="19"/>
                      </w:rPr>
                      <w:t>38</w:t>
                    </w:r>
                    <w:r>
                      <w:rPr>
                        <w:color w:val="0E0E0E"/>
                        <w:spacing w:val="-5"/>
                        <w:sz w:val="19"/>
                      </w:rPr>
                      <w:fldChar w:fldCharType="end"/>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2016">
              <wp:simplePos x="0" y="0"/>
              <wp:positionH relativeFrom="page">
                <wp:posOffset>6489797</wp:posOffset>
              </wp:positionH>
              <wp:positionV relativeFrom="page">
                <wp:posOffset>9807010</wp:posOffset>
              </wp:positionV>
              <wp:extent cx="238125" cy="173355"/>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238125" cy="173355"/>
                      </a:xfrm>
                      <a:prstGeom prst="rect">
                        <a:avLst/>
                      </a:prstGeom>
                    </wps:spPr>
                    <wps:txbx>
                      <w:txbxContent>
                        <w:p>
                          <w:pPr>
                            <w:spacing w:before="19"/>
                            <w:ind w:left="69" w:right="0" w:firstLine="0"/>
                            <w:jc w:val="left"/>
                            <w:rPr>
                              <w:sz w:val="20"/>
                            </w:rPr>
                          </w:pPr>
                          <w:r>
                            <w:rPr>
                              <w:color w:val="0E0E0E"/>
                              <w:spacing w:val="-5"/>
                              <w:sz w:val="20"/>
                            </w:rPr>
                            <w:fldChar w:fldCharType="begin"/>
                          </w:r>
                          <w:r>
                            <w:rPr>
                              <w:color w:val="0E0E0E"/>
                              <w:spacing w:val="-5"/>
                              <w:sz w:val="20"/>
                            </w:rPr>
                            <w:instrText> PAGE </w:instrText>
                          </w:r>
                          <w:r>
                            <w:rPr>
                              <w:color w:val="0E0E0E"/>
                              <w:spacing w:val="-5"/>
                              <w:sz w:val="20"/>
                            </w:rPr>
                            <w:fldChar w:fldCharType="separate"/>
                          </w:r>
                          <w:r>
                            <w:rPr>
                              <w:color w:val="0E0E0E"/>
                              <w:spacing w:val="-5"/>
                              <w:sz w:val="20"/>
                            </w:rPr>
                            <w:t>39</w:t>
                          </w:r>
                          <w:r>
                            <w:rPr>
                              <w:color w:val="0E0E0E"/>
                              <w:spacing w:val="-5"/>
                              <w:sz w:val="20"/>
                            </w:rPr>
                            <w:fldChar w:fldCharType="end"/>
                          </w:r>
                        </w:p>
                      </w:txbxContent>
                    </wps:txbx>
                    <wps:bodyPr wrap="square" lIns="0" tIns="0" rIns="0" bIns="0" rtlCol="0">
                      <a:noAutofit/>
                    </wps:bodyPr>
                  </wps:wsp>
                </a:graphicData>
              </a:graphic>
            </wp:anchor>
          </w:drawing>
        </mc:Choice>
        <mc:Fallback>
          <w:pict>
            <v:shape style="position:absolute;margin-left:511.00769pt;margin-top:772.205566pt;width:18.75pt;height:13.65pt;mso-position-horizontal-relative:page;mso-position-vertical-relative:page;z-index:-27454464" type="#_x0000_t202" id="docshape73" filled="false" stroked="false">
              <v:textbox inset="0,0,0,0">
                <w:txbxContent>
                  <w:p>
                    <w:pPr>
                      <w:spacing w:before="19"/>
                      <w:ind w:left="69" w:right="0" w:firstLine="0"/>
                      <w:jc w:val="left"/>
                      <w:rPr>
                        <w:sz w:val="20"/>
                      </w:rPr>
                    </w:pPr>
                    <w:r>
                      <w:rPr>
                        <w:color w:val="0E0E0E"/>
                        <w:spacing w:val="-5"/>
                        <w:sz w:val="20"/>
                      </w:rPr>
                      <w:fldChar w:fldCharType="begin"/>
                    </w:r>
                    <w:r>
                      <w:rPr>
                        <w:color w:val="0E0E0E"/>
                        <w:spacing w:val="-5"/>
                        <w:sz w:val="20"/>
                      </w:rPr>
                      <w:instrText> PAGE </w:instrText>
                    </w:r>
                    <w:r>
                      <w:rPr>
                        <w:color w:val="0E0E0E"/>
                        <w:spacing w:val="-5"/>
                        <w:sz w:val="20"/>
                      </w:rPr>
                      <w:fldChar w:fldCharType="separate"/>
                    </w:r>
                    <w:r>
                      <w:rPr>
                        <w:color w:val="0E0E0E"/>
                        <w:spacing w:val="-5"/>
                        <w:sz w:val="20"/>
                      </w:rPr>
                      <w:t>39</w:t>
                    </w:r>
                    <w:r>
                      <w:rPr>
                        <w:color w:val="0E0E0E"/>
                        <w:spacing w:val="-5"/>
                        <w:sz w:val="20"/>
                      </w:rPr>
                      <w:fldChar w:fldCharType="end"/>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2528">
              <wp:simplePos x="0" y="0"/>
              <wp:positionH relativeFrom="page">
                <wp:posOffset>6560282</wp:posOffset>
              </wp:positionH>
              <wp:positionV relativeFrom="page">
                <wp:posOffset>9899019</wp:posOffset>
              </wp:positionV>
              <wp:extent cx="222250" cy="160655"/>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222250" cy="160655"/>
                      </a:xfrm>
                      <a:prstGeom prst="rect">
                        <a:avLst/>
                      </a:prstGeom>
                    </wps:spPr>
                    <wps:txbx>
                      <w:txbxContent>
                        <w:p>
                          <w:pPr>
                            <w:spacing w:before="14"/>
                            <w:ind w:left="60" w:right="0" w:firstLine="0"/>
                            <w:jc w:val="left"/>
                            <w:rPr>
                              <w:sz w:val="19"/>
                            </w:rPr>
                          </w:pPr>
                          <w:r>
                            <w:rPr>
                              <w:color w:val="0E0E0E"/>
                              <w:spacing w:val="-5"/>
                              <w:sz w:val="19"/>
                            </w:rPr>
                            <w:fldChar w:fldCharType="begin"/>
                          </w:r>
                          <w:r>
                            <w:rPr>
                              <w:color w:val="0E0E0E"/>
                              <w:spacing w:val="-5"/>
                              <w:sz w:val="19"/>
                            </w:rPr>
                            <w:instrText> PAGE </w:instrText>
                          </w:r>
                          <w:r>
                            <w:rPr>
                              <w:color w:val="0E0E0E"/>
                              <w:spacing w:val="-5"/>
                              <w:sz w:val="19"/>
                            </w:rPr>
                            <w:fldChar w:fldCharType="separate"/>
                          </w:r>
                          <w:r>
                            <w:rPr>
                              <w:color w:val="0E0E0E"/>
                              <w:spacing w:val="-5"/>
                              <w:sz w:val="19"/>
                            </w:rPr>
                            <w:t>38</w:t>
                          </w:r>
                          <w:r>
                            <w:rPr>
                              <w:color w:val="0E0E0E"/>
                              <w:spacing w:val="-5"/>
                              <w:sz w:val="19"/>
                            </w:rPr>
                            <w:fldChar w:fldCharType="end"/>
                          </w:r>
                        </w:p>
                      </w:txbxContent>
                    </wps:txbx>
                    <wps:bodyPr wrap="square" lIns="0" tIns="0" rIns="0" bIns="0" rtlCol="0">
                      <a:noAutofit/>
                    </wps:bodyPr>
                  </wps:wsp>
                </a:graphicData>
              </a:graphic>
            </wp:anchor>
          </w:drawing>
        </mc:Choice>
        <mc:Fallback>
          <w:pict>
            <v:shape style="position:absolute;margin-left:516.557678pt;margin-top:779.450378pt;width:17.5pt;height:12.65pt;mso-position-horizontal-relative:page;mso-position-vertical-relative:page;z-index:-27453952" type="#_x0000_t202" id="docshape74" filled="false" stroked="false">
              <v:textbox inset="0,0,0,0">
                <w:txbxContent>
                  <w:p>
                    <w:pPr>
                      <w:spacing w:before="14"/>
                      <w:ind w:left="60" w:right="0" w:firstLine="0"/>
                      <w:jc w:val="left"/>
                      <w:rPr>
                        <w:sz w:val="19"/>
                      </w:rPr>
                    </w:pPr>
                    <w:r>
                      <w:rPr>
                        <w:color w:val="0E0E0E"/>
                        <w:spacing w:val="-5"/>
                        <w:sz w:val="19"/>
                      </w:rPr>
                      <w:fldChar w:fldCharType="begin"/>
                    </w:r>
                    <w:r>
                      <w:rPr>
                        <w:color w:val="0E0E0E"/>
                        <w:spacing w:val="-5"/>
                        <w:sz w:val="19"/>
                      </w:rPr>
                      <w:instrText> PAGE </w:instrText>
                    </w:r>
                    <w:r>
                      <w:rPr>
                        <w:color w:val="0E0E0E"/>
                        <w:spacing w:val="-5"/>
                        <w:sz w:val="19"/>
                      </w:rPr>
                      <w:fldChar w:fldCharType="separate"/>
                    </w:r>
                    <w:r>
                      <w:rPr>
                        <w:color w:val="0E0E0E"/>
                        <w:spacing w:val="-5"/>
                        <w:sz w:val="19"/>
                      </w:rPr>
                      <w:t>38</w:t>
                    </w:r>
                    <w:r>
                      <w:rPr>
                        <w:color w:val="0E0E0E"/>
                        <w:spacing w:val="-5"/>
                        <w:sz w:val="19"/>
                      </w:rPr>
                      <w:fldChar w:fldCharType="end"/>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3040">
              <wp:simplePos x="0" y="0"/>
              <wp:positionH relativeFrom="page">
                <wp:posOffset>6495903</wp:posOffset>
              </wp:positionH>
              <wp:positionV relativeFrom="page">
                <wp:posOffset>9810874</wp:posOffset>
              </wp:positionV>
              <wp:extent cx="231775" cy="16764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231775" cy="167640"/>
                      </a:xfrm>
                      <a:prstGeom prst="rect">
                        <a:avLst/>
                      </a:prstGeom>
                    </wps:spPr>
                    <wps:txbx>
                      <w:txbxContent>
                        <w:p>
                          <w:pPr>
                            <w:spacing w:before="13"/>
                            <w:ind w:left="60" w:right="0" w:firstLine="0"/>
                            <w:jc w:val="left"/>
                            <w:rPr>
                              <w:sz w:val="20"/>
                            </w:rPr>
                          </w:pPr>
                          <w:r>
                            <w:rPr>
                              <w:color w:val="0E0E0E"/>
                              <w:spacing w:val="-5"/>
                              <w:sz w:val="20"/>
                            </w:rPr>
                            <w:fldChar w:fldCharType="begin"/>
                          </w:r>
                          <w:r>
                            <w:rPr>
                              <w:color w:val="0E0E0E"/>
                              <w:spacing w:val="-5"/>
                              <w:sz w:val="20"/>
                            </w:rPr>
                            <w:instrText> PAGE </w:instrText>
                          </w:r>
                          <w:r>
                            <w:rPr>
                              <w:color w:val="0E0E0E"/>
                              <w:spacing w:val="-5"/>
                              <w:sz w:val="20"/>
                            </w:rPr>
                            <w:fldChar w:fldCharType="separate"/>
                          </w:r>
                          <w:r>
                            <w:rPr>
                              <w:color w:val="0E0E0E"/>
                              <w:spacing w:val="-5"/>
                              <w:sz w:val="20"/>
                            </w:rPr>
                            <w:t>39</w:t>
                          </w:r>
                          <w:r>
                            <w:rPr>
                              <w:color w:val="0E0E0E"/>
                              <w:spacing w:val="-5"/>
                              <w:sz w:val="20"/>
                            </w:rPr>
                            <w:fldChar w:fldCharType="end"/>
                          </w:r>
                        </w:p>
                      </w:txbxContent>
                    </wps:txbx>
                    <wps:bodyPr wrap="square" lIns="0" tIns="0" rIns="0" bIns="0" rtlCol="0">
                      <a:noAutofit/>
                    </wps:bodyPr>
                  </wps:wsp>
                </a:graphicData>
              </a:graphic>
            </wp:anchor>
          </w:drawing>
        </mc:Choice>
        <mc:Fallback>
          <w:pict>
            <v:shape style="position:absolute;margin-left:511.488495pt;margin-top:772.509827pt;width:18.25pt;height:13.2pt;mso-position-horizontal-relative:page;mso-position-vertical-relative:page;z-index:-27453440" type="#_x0000_t202" id="docshape75" filled="false" stroked="false">
              <v:textbox inset="0,0,0,0">
                <w:txbxContent>
                  <w:p>
                    <w:pPr>
                      <w:spacing w:before="13"/>
                      <w:ind w:left="60" w:right="0" w:firstLine="0"/>
                      <w:jc w:val="left"/>
                      <w:rPr>
                        <w:sz w:val="20"/>
                      </w:rPr>
                    </w:pPr>
                    <w:r>
                      <w:rPr>
                        <w:color w:val="0E0E0E"/>
                        <w:spacing w:val="-5"/>
                        <w:sz w:val="20"/>
                      </w:rPr>
                      <w:fldChar w:fldCharType="begin"/>
                    </w:r>
                    <w:r>
                      <w:rPr>
                        <w:color w:val="0E0E0E"/>
                        <w:spacing w:val="-5"/>
                        <w:sz w:val="20"/>
                      </w:rPr>
                      <w:instrText> PAGE </w:instrText>
                    </w:r>
                    <w:r>
                      <w:rPr>
                        <w:color w:val="0E0E0E"/>
                        <w:spacing w:val="-5"/>
                        <w:sz w:val="20"/>
                      </w:rPr>
                      <w:fldChar w:fldCharType="separate"/>
                    </w:r>
                    <w:r>
                      <w:rPr>
                        <w:color w:val="0E0E0E"/>
                        <w:spacing w:val="-5"/>
                        <w:sz w:val="20"/>
                      </w:rPr>
                      <w:t>39</w:t>
                    </w:r>
                    <w:r>
                      <w:rPr>
                        <w:color w:val="0E0E0E"/>
                        <w:spacing w:val="-5"/>
                        <w:sz w:val="20"/>
                      </w:rPr>
                      <w:fldChar w:fldCharType="end"/>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3552">
              <wp:simplePos x="0" y="0"/>
              <wp:positionH relativeFrom="page">
                <wp:posOffset>6557802</wp:posOffset>
              </wp:positionH>
              <wp:positionV relativeFrom="page">
                <wp:posOffset>9899019</wp:posOffset>
              </wp:positionV>
              <wp:extent cx="222250" cy="160655"/>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222250" cy="160655"/>
                      </a:xfrm>
                      <a:prstGeom prst="rect">
                        <a:avLst/>
                      </a:prstGeom>
                    </wps:spPr>
                    <wps:txbx>
                      <w:txbxContent>
                        <w:p>
                          <w:pPr>
                            <w:spacing w:before="14"/>
                            <w:ind w:left="60" w:right="0" w:firstLine="0"/>
                            <w:jc w:val="left"/>
                            <w:rPr>
                              <w:sz w:val="19"/>
                            </w:rPr>
                          </w:pPr>
                          <w:r>
                            <w:rPr>
                              <w:color w:val="0A0A0A"/>
                              <w:spacing w:val="-5"/>
                              <w:sz w:val="19"/>
                            </w:rPr>
                            <w:fldChar w:fldCharType="begin"/>
                          </w:r>
                          <w:r>
                            <w:rPr>
                              <w:color w:val="0A0A0A"/>
                              <w:spacing w:val="-5"/>
                              <w:sz w:val="19"/>
                            </w:rPr>
                            <w:instrText> PAGE </w:instrText>
                          </w:r>
                          <w:r>
                            <w:rPr>
                              <w:color w:val="0A0A0A"/>
                              <w:spacing w:val="-5"/>
                              <w:sz w:val="19"/>
                            </w:rPr>
                            <w:fldChar w:fldCharType="separate"/>
                          </w:r>
                          <w:r>
                            <w:rPr>
                              <w:color w:val="0A0A0A"/>
                              <w:spacing w:val="-5"/>
                              <w:sz w:val="19"/>
                            </w:rPr>
                            <w:t>40</w:t>
                          </w:r>
                          <w:r>
                            <w:rPr>
                              <w:color w:val="0A0A0A"/>
                              <w:spacing w:val="-5"/>
                              <w:sz w:val="19"/>
                            </w:rPr>
                            <w:fldChar w:fldCharType="end"/>
                          </w:r>
                        </w:p>
                      </w:txbxContent>
                    </wps:txbx>
                    <wps:bodyPr wrap="square" lIns="0" tIns="0" rIns="0" bIns="0" rtlCol="0">
                      <a:noAutofit/>
                    </wps:bodyPr>
                  </wps:wsp>
                </a:graphicData>
              </a:graphic>
            </wp:anchor>
          </w:drawing>
        </mc:Choice>
        <mc:Fallback>
          <w:pict>
            <v:shape style="position:absolute;margin-left:516.362427pt;margin-top:779.450378pt;width:17.5pt;height:12.65pt;mso-position-horizontal-relative:page;mso-position-vertical-relative:page;z-index:-27452928" type="#_x0000_t202" id="docshape76" filled="false" stroked="false">
              <v:textbox inset="0,0,0,0">
                <w:txbxContent>
                  <w:p>
                    <w:pPr>
                      <w:spacing w:before="14"/>
                      <w:ind w:left="60" w:right="0" w:firstLine="0"/>
                      <w:jc w:val="left"/>
                      <w:rPr>
                        <w:sz w:val="19"/>
                      </w:rPr>
                    </w:pPr>
                    <w:r>
                      <w:rPr>
                        <w:color w:val="0A0A0A"/>
                        <w:spacing w:val="-5"/>
                        <w:sz w:val="19"/>
                      </w:rPr>
                      <w:fldChar w:fldCharType="begin"/>
                    </w:r>
                    <w:r>
                      <w:rPr>
                        <w:color w:val="0A0A0A"/>
                        <w:spacing w:val="-5"/>
                        <w:sz w:val="19"/>
                      </w:rPr>
                      <w:instrText> PAGE </w:instrText>
                    </w:r>
                    <w:r>
                      <w:rPr>
                        <w:color w:val="0A0A0A"/>
                        <w:spacing w:val="-5"/>
                        <w:sz w:val="19"/>
                      </w:rPr>
                      <w:fldChar w:fldCharType="separate"/>
                    </w:r>
                    <w:r>
                      <w:rPr>
                        <w:color w:val="0A0A0A"/>
                        <w:spacing w:val="-5"/>
                        <w:sz w:val="19"/>
                      </w:rPr>
                      <w:t>40</w:t>
                    </w:r>
                    <w:r>
                      <w:rPr>
                        <w:color w:val="0A0A0A"/>
                        <w:spacing w:val="-5"/>
                        <w:sz w:val="19"/>
                      </w:rPr>
                      <w:fldChar w:fldCharType="end"/>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5088">
              <wp:simplePos x="0" y="0"/>
              <wp:positionH relativeFrom="page">
                <wp:posOffset>6507065</wp:posOffset>
              </wp:positionH>
              <wp:positionV relativeFrom="page">
                <wp:posOffset>9794804</wp:posOffset>
              </wp:positionV>
              <wp:extent cx="225425" cy="17335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225425" cy="173355"/>
                      </a:xfrm>
                      <a:prstGeom prst="rect">
                        <a:avLst/>
                      </a:prstGeom>
                    </wps:spPr>
                    <wps:txbx>
                      <w:txbxContent>
                        <w:p>
                          <w:pPr>
                            <w:spacing w:before="11"/>
                            <w:ind w:left="60" w:right="0" w:firstLine="0"/>
                            <w:jc w:val="left"/>
                            <w:rPr>
                              <w:rFonts w:ascii="Times New Roman"/>
                              <w:b/>
                              <w:sz w:val="21"/>
                            </w:rPr>
                          </w:pPr>
                          <w:r>
                            <w:rPr>
                              <w:rFonts w:ascii="Times New Roman"/>
                              <w:b/>
                              <w:color w:val="0E0E0E"/>
                              <w:spacing w:val="-5"/>
                              <w:sz w:val="21"/>
                            </w:rPr>
                            <w:fldChar w:fldCharType="begin"/>
                          </w:r>
                          <w:r>
                            <w:rPr>
                              <w:rFonts w:ascii="Times New Roman"/>
                              <w:b/>
                              <w:color w:val="0E0E0E"/>
                              <w:spacing w:val="-5"/>
                              <w:sz w:val="21"/>
                            </w:rPr>
                            <w:instrText> PAGE </w:instrText>
                          </w:r>
                          <w:r>
                            <w:rPr>
                              <w:rFonts w:ascii="Times New Roman"/>
                              <w:b/>
                              <w:color w:val="0E0E0E"/>
                              <w:spacing w:val="-5"/>
                              <w:sz w:val="21"/>
                            </w:rPr>
                            <w:fldChar w:fldCharType="separate"/>
                          </w:r>
                          <w:r>
                            <w:rPr>
                              <w:rFonts w:ascii="Times New Roman"/>
                              <w:b/>
                              <w:color w:val="0E0E0E"/>
                              <w:spacing w:val="-5"/>
                              <w:sz w:val="21"/>
                            </w:rPr>
                            <w:t>41</w:t>
                          </w:r>
                          <w:r>
                            <w:rPr>
                              <w:rFonts w:ascii="Times New Roman"/>
                              <w:b/>
                              <w:color w:val="0E0E0E"/>
                              <w:spacing w:val="-5"/>
                              <w:sz w:val="21"/>
                            </w:rPr>
                            <w:fldChar w:fldCharType="end"/>
                          </w:r>
                        </w:p>
                      </w:txbxContent>
                    </wps:txbx>
                    <wps:bodyPr wrap="square" lIns="0" tIns="0" rIns="0" bIns="0" rtlCol="0">
                      <a:noAutofit/>
                    </wps:bodyPr>
                  </wps:wsp>
                </a:graphicData>
              </a:graphic>
            </wp:anchor>
          </w:drawing>
        </mc:Choice>
        <mc:Fallback>
          <w:pict>
            <v:shape style="position:absolute;margin-left:512.367371pt;margin-top:771.244446pt;width:17.75pt;height:13.65pt;mso-position-horizontal-relative:page;mso-position-vertical-relative:page;z-index:-27451392" type="#_x0000_t202" id="docshape79" filled="false" stroked="false">
              <v:textbox inset="0,0,0,0">
                <w:txbxContent>
                  <w:p>
                    <w:pPr>
                      <w:spacing w:before="11"/>
                      <w:ind w:left="60" w:right="0" w:firstLine="0"/>
                      <w:jc w:val="left"/>
                      <w:rPr>
                        <w:rFonts w:ascii="Times New Roman"/>
                        <w:b/>
                        <w:sz w:val="21"/>
                      </w:rPr>
                    </w:pPr>
                    <w:r>
                      <w:rPr>
                        <w:rFonts w:ascii="Times New Roman"/>
                        <w:b/>
                        <w:color w:val="0E0E0E"/>
                        <w:spacing w:val="-5"/>
                        <w:sz w:val="21"/>
                      </w:rPr>
                      <w:fldChar w:fldCharType="begin"/>
                    </w:r>
                    <w:r>
                      <w:rPr>
                        <w:rFonts w:ascii="Times New Roman"/>
                        <w:b/>
                        <w:color w:val="0E0E0E"/>
                        <w:spacing w:val="-5"/>
                        <w:sz w:val="21"/>
                      </w:rPr>
                      <w:instrText> PAGE </w:instrText>
                    </w:r>
                    <w:r>
                      <w:rPr>
                        <w:rFonts w:ascii="Times New Roman"/>
                        <w:b/>
                        <w:color w:val="0E0E0E"/>
                        <w:spacing w:val="-5"/>
                        <w:sz w:val="21"/>
                      </w:rPr>
                      <w:fldChar w:fldCharType="separate"/>
                    </w:r>
                    <w:r>
                      <w:rPr>
                        <w:rFonts w:ascii="Times New Roman"/>
                        <w:b/>
                        <w:color w:val="0E0E0E"/>
                        <w:spacing w:val="-5"/>
                        <w:sz w:val="21"/>
                      </w:rPr>
                      <w:t>41</w:t>
                    </w:r>
                    <w:r>
                      <w:rPr>
                        <w:rFonts w:ascii="Times New Roman"/>
                        <w:b/>
                        <w:color w:val="0E0E0E"/>
                        <w:spacing w:val="-5"/>
                        <w:sz w:val="21"/>
                      </w:rPr>
                      <w:fldChar w:fldCharType="end"/>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5600">
              <wp:simplePos x="0" y="0"/>
              <wp:positionH relativeFrom="page">
                <wp:posOffset>6566114</wp:posOffset>
              </wp:positionH>
              <wp:positionV relativeFrom="page">
                <wp:posOffset>9914277</wp:posOffset>
              </wp:positionV>
              <wp:extent cx="233045" cy="160655"/>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233045" cy="160655"/>
                      </a:xfrm>
                      <a:prstGeom prst="rect">
                        <a:avLst/>
                      </a:prstGeom>
                    </wps:spPr>
                    <wps:txbx>
                      <w:txbxContent>
                        <w:p>
                          <w:pPr>
                            <w:spacing w:before="14"/>
                            <w:ind w:left="60" w:right="0" w:firstLine="0"/>
                            <w:jc w:val="left"/>
                            <w:rPr>
                              <w:b/>
                              <w:sz w:val="19"/>
                            </w:rPr>
                          </w:pPr>
                          <w:r>
                            <w:rPr>
                              <w:b/>
                              <w:color w:val="0C0C0C"/>
                              <w:spacing w:val="-5"/>
                              <w:w w:val="105"/>
                              <w:sz w:val="19"/>
                            </w:rPr>
                            <w:fldChar w:fldCharType="begin"/>
                          </w:r>
                          <w:r>
                            <w:rPr>
                              <w:b/>
                              <w:color w:val="0C0C0C"/>
                              <w:spacing w:val="-5"/>
                              <w:w w:val="105"/>
                              <w:sz w:val="19"/>
                            </w:rPr>
                            <w:instrText> PAGE </w:instrText>
                          </w:r>
                          <w:r>
                            <w:rPr>
                              <w:b/>
                              <w:color w:val="0C0C0C"/>
                              <w:spacing w:val="-5"/>
                              <w:w w:val="105"/>
                              <w:sz w:val="19"/>
                            </w:rPr>
                            <w:fldChar w:fldCharType="separate"/>
                          </w:r>
                          <w:r>
                            <w:rPr>
                              <w:b/>
                              <w:color w:val="0C0C0C"/>
                              <w:spacing w:val="-5"/>
                              <w:w w:val="105"/>
                              <w:sz w:val="19"/>
                            </w:rPr>
                            <w:t>42</w:t>
                          </w:r>
                          <w:r>
                            <w:rPr>
                              <w:b/>
                              <w:color w:val="0C0C0C"/>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7.016907pt;margin-top:780.651794pt;width:18.350pt;height:12.65pt;mso-position-horizontal-relative:page;mso-position-vertical-relative:page;z-index:-27450880" type="#_x0000_t202" id="docshape80" filled="false" stroked="false">
              <v:textbox inset="0,0,0,0">
                <w:txbxContent>
                  <w:p>
                    <w:pPr>
                      <w:spacing w:before="14"/>
                      <w:ind w:left="60" w:right="0" w:firstLine="0"/>
                      <w:jc w:val="left"/>
                      <w:rPr>
                        <w:b/>
                        <w:sz w:val="19"/>
                      </w:rPr>
                    </w:pPr>
                    <w:r>
                      <w:rPr>
                        <w:b/>
                        <w:color w:val="0C0C0C"/>
                        <w:spacing w:val="-5"/>
                        <w:w w:val="105"/>
                        <w:sz w:val="19"/>
                      </w:rPr>
                      <w:fldChar w:fldCharType="begin"/>
                    </w:r>
                    <w:r>
                      <w:rPr>
                        <w:b/>
                        <w:color w:val="0C0C0C"/>
                        <w:spacing w:val="-5"/>
                        <w:w w:val="105"/>
                        <w:sz w:val="19"/>
                      </w:rPr>
                      <w:instrText> PAGE </w:instrText>
                    </w:r>
                    <w:r>
                      <w:rPr>
                        <w:b/>
                        <w:color w:val="0C0C0C"/>
                        <w:spacing w:val="-5"/>
                        <w:w w:val="105"/>
                        <w:sz w:val="19"/>
                      </w:rPr>
                      <w:fldChar w:fldCharType="separate"/>
                    </w:r>
                    <w:r>
                      <w:rPr>
                        <w:b/>
                        <w:color w:val="0C0C0C"/>
                        <w:spacing w:val="-5"/>
                        <w:w w:val="105"/>
                        <w:sz w:val="19"/>
                      </w:rPr>
                      <w:t>42</w:t>
                    </w:r>
                    <w:r>
                      <w:rPr>
                        <w:b/>
                        <w:color w:val="0C0C0C"/>
                        <w:spacing w:val="-5"/>
                        <w:w w:val="105"/>
                        <w:sz w:val="19"/>
                      </w:rPr>
                      <w:fldChar w:fldCharType="end"/>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7136">
              <wp:simplePos x="0" y="0"/>
              <wp:positionH relativeFrom="page">
                <wp:posOffset>6489950</wp:posOffset>
              </wp:positionH>
              <wp:positionV relativeFrom="page">
                <wp:posOffset>9810061</wp:posOffset>
              </wp:positionV>
              <wp:extent cx="236220" cy="173355"/>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236220" cy="173355"/>
                      </a:xfrm>
                      <a:prstGeom prst="rect">
                        <a:avLst/>
                      </a:prstGeom>
                    </wps:spPr>
                    <wps:txbx>
                      <w:txbxContent>
                        <w:p>
                          <w:pPr>
                            <w:spacing w:before="11"/>
                            <w:ind w:left="60" w:right="0" w:firstLine="0"/>
                            <w:jc w:val="left"/>
                            <w:rPr>
                              <w:rFonts w:ascii="Times New Roman"/>
                              <w:sz w:val="21"/>
                            </w:rPr>
                          </w:pPr>
                          <w:r>
                            <w:rPr>
                              <w:rFonts w:ascii="Times New Roman"/>
                              <w:color w:val="0E0E0E"/>
                              <w:spacing w:val="-5"/>
                              <w:w w:val="110"/>
                              <w:sz w:val="21"/>
                            </w:rPr>
                            <w:fldChar w:fldCharType="begin"/>
                          </w:r>
                          <w:r>
                            <w:rPr>
                              <w:rFonts w:ascii="Times New Roman"/>
                              <w:color w:val="0E0E0E"/>
                              <w:spacing w:val="-5"/>
                              <w:w w:val="110"/>
                              <w:sz w:val="21"/>
                            </w:rPr>
                            <w:instrText> PAGE </w:instrText>
                          </w:r>
                          <w:r>
                            <w:rPr>
                              <w:rFonts w:ascii="Times New Roman"/>
                              <w:color w:val="0E0E0E"/>
                              <w:spacing w:val="-5"/>
                              <w:w w:val="110"/>
                              <w:sz w:val="21"/>
                            </w:rPr>
                            <w:fldChar w:fldCharType="separate"/>
                          </w:r>
                          <w:r>
                            <w:rPr>
                              <w:rFonts w:ascii="Times New Roman"/>
                              <w:color w:val="0E0E0E"/>
                              <w:spacing w:val="-5"/>
                              <w:w w:val="110"/>
                              <w:sz w:val="21"/>
                            </w:rPr>
                            <w:t>43</w:t>
                          </w:r>
                          <w:r>
                            <w:rPr>
                              <w:rFonts w:ascii="Times New Roman"/>
                              <w:color w:val="0E0E0E"/>
                              <w:spacing w:val="-5"/>
                              <w:w w:val="110"/>
                              <w:sz w:val="21"/>
                            </w:rPr>
                            <w:fldChar w:fldCharType="end"/>
                          </w:r>
                        </w:p>
                      </w:txbxContent>
                    </wps:txbx>
                    <wps:bodyPr wrap="square" lIns="0" tIns="0" rIns="0" bIns="0" rtlCol="0">
                      <a:noAutofit/>
                    </wps:bodyPr>
                  </wps:wsp>
                </a:graphicData>
              </a:graphic>
            </wp:anchor>
          </w:drawing>
        </mc:Choice>
        <mc:Fallback>
          <w:pict>
            <v:shape style="position:absolute;margin-left:511.019714pt;margin-top:772.445801pt;width:18.6pt;height:13.65pt;mso-position-horizontal-relative:page;mso-position-vertical-relative:page;z-index:-27449344" type="#_x0000_t202" id="docshape83" filled="false" stroked="false">
              <v:textbox inset="0,0,0,0">
                <w:txbxContent>
                  <w:p>
                    <w:pPr>
                      <w:spacing w:before="11"/>
                      <w:ind w:left="60" w:right="0" w:firstLine="0"/>
                      <w:jc w:val="left"/>
                      <w:rPr>
                        <w:rFonts w:ascii="Times New Roman"/>
                        <w:sz w:val="21"/>
                      </w:rPr>
                    </w:pPr>
                    <w:r>
                      <w:rPr>
                        <w:rFonts w:ascii="Times New Roman"/>
                        <w:color w:val="0E0E0E"/>
                        <w:spacing w:val="-5"/>
                        <w:w w:val="110"/>
                        <w:sz w:val="21"/>
                      </w:rPr>
                      <w:fldChar w:fldCharType="begin"/>
                    </w:r>
                    <w:r>
                      <w:rPr>
                        <w:rFonts w:ascii="Times New Roman"/>
                        <w:color w:val="0E0E0E"/>
                        <w:spacing w:val="-5"/>
                        <w:w w:val="110"/>
                        <w:sz w:val="21"/>
                      </w:rPr>
                      <w:instrText> PAGE </w:instrText>
                    </w:r>
                    <w:r>
                      <w:rPr>
                        <w:rFonts w:ascii="Times New Roman"/>
                        <w:color w:val="0E0E0E"/>
                        <w:spacing w:val="-5"/>
                        <w:w w:val="110"/>
                        <w:sz w:val="21"/>
                      </w:rPr>
                      <w:fldChar w:fldCharType="separate"/>
                    </w:r>
                    <w:r>
                      <w:rPr>
                        <w:rFonts w:ascii="Times New Roman"/>
                        <w:color w:val="0E0E0E"/>
                        <w:spacing w:val="-5"/>
                        <w:w w:val="110"/>
                        <w:sz w:val="21"/>
                      </w:rPr>
                      <w:t>43</w:t>
                    </w:r>
                    <w:r>
                      <w:rPr>
                        <w:rFonts w:ascii="Times New Roman"/>
                        <w:color w:val="0E0E0E"/>
                        <w:spacing w:val="-5"/>
                        <w:w w:val="110"/>
                        <w:sz w:val="21"/>
                      </w:rPr>
                      <w:fldChar w:fldCharType="end"/>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7648">
              <wp:simplePos x="0" y="0"/>
              <wp:positionH relativeFrom="page">
                <wp:posOffset>6547797</wp:posOffset>
              </wp:positionH>
              <wp:positionV relativeFrom="page">
                <wp:posOffset>9917328</wp:posOffset>
              </wp:positionV>
              <wp:extent cx="235585" cy="160655"/>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235585" cy="160655"/>
                      </a:xfrm>
                      <a:prstGeom prst="rect">
                        <a:avLst/>
                      </a:prstGeom>
                    </wps:spPr>
                    <wps:txbx>
                      <w:txbxContent>
                        <w:p>
                          <w:pPr>
                            <w:spacing w:before="14"/>
                            <w:ind w:left="60" w:right="0" w:firstLine="0"/>
                            <w:jc w:val="left"/>
                            <w:rPr>
                              <w:b/>
                              <w:sz w:val="19"/>
                            </w:rPr>
                          </w:pPr>
                          <w:r>
                            <w:rPr>
                              <w:b/>
                              <w:color w:val="0A0A0A"/>
                              <w:spacing w:val="-5"/>
                              <w:w w:val="110"/>
                              <w:sz w:val="19"/>
                            </w:rPr>
                            <w:fldChar w:fldCharType="begin"/>
                          </w:r>
                          <w:r>
                            <w:rPr>
                              <w:b/>
                              <w:color w:val="0A0A0A"/>
                              <w:spacing w:val="-5"/>
                              <w:w w:val="110"/>
                              <w:sz w:val="19"/>
                            </w:rPr>
                            <w:instrText> PAGE </w:instrText>
                          </w:r>
                          <w:r>
                            <w:rPr>
                              <w:b/>
                              <w:color w:val="0A0A0A"/>
                              <w:spacing w:val="-5"/>
                              <w:w w:val="110"/>
                              <w:sz w:val="19"/>
                            </w:rPr>
                            <w:fldChar w:fldCharType="separate"/>
                          </w:r>
                          <w:r>
                            <w:rPr>
                              <w:b/>
                              <w:color w:val="0A0A0A"/>
                              <w:spacing w:val="-5"/>
                              <w:w w:val="110"/>
                              <w:sz w:val="19"/>
                            </w:rPr>
                            <w:t>44</w:t>
                          </w:r>
                          <w:r>
                            <w:rPr>
                              <w:b/>
                              <w:color w:val="0A0A0A"/>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15.574585pt;margin-top:780.892029pt;width:18.55pt;height:12.65pt;mso-position-horizontal-relative:page;mso-position-vertical-relative:page;z-index:-27448832" type="#_x0000_t202" id="docshape84" filled="false" stroked="false">
              <v:textbox inset="0,0,0,0">
                <w:txbxContent>
                  <w:p>
                    <w:pPr>
                      <w:spacing w:before="14"/>
                      <w:ind w:left="60" w:right="0" w:firstLine="0"/>
                      <w:jc w:val="left"/>
                      <w:rPr>
                        <w:b/>
                        <w:sz w:val="19"/>
                      </w:rPr>
                    </w:pPr>
                    <w:r>
                      <w:rPr>
                        <w:b/>
                        <w:color w:val="0A0A0A"/>
                        <w:spacing w:val="-5"/>
                        <w:w w:val="110"/>
                        <w:sz w:val="19"/>
                      </w:rPr>
                      <w:fldChar w:fldCharType="begin"/>
                    </w:r>
                    <w:r>
                      <w:rPr>
                        <w:b/>
                        <w:color w:val="0A0A0A"/>
                        <w:spacing w:val="-5"/>
                        <w:w w:val="110"/>
                        <w:sz w:val="19"/>
                      </w:rPr>
                      <w:instrText> PAGE </w:instrText>
                    </w:r>
                    <w:r>
                      <w:rPr>
                        <w:b/>
                        <w:color w:val="0A0A0A"/>
                        <w:spacing w:val="-5"/>
                        <w:w w:val="110"/>
                        <w:sz w:val="19"/>
                      </w:rPr>
                      <w:fldChar w:fldCharType="separate"/>
                    </w:r>
                    <w:r>
                      <w:rPr>
                        <w:b/>
                        <w:color w:val="0A0A0A"/>
                        <w:spacing w:val="-5"/>
                        <w:w w:val="110"/>
                        <w:sz w:val="19"/>
                      </w:rPr>
                      <w:t>44</w:t>
                    </w:r>
                    <w:r>
                      <w:rPr>
                        <w:b/>
                        <w:color w:val="0A0A0A"/>
                        <w:spacing w:val="-5"/>
                        <w:w w:val="110"/>
                        <w:sz w:val="19"/>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2048">
              <wp:simplePos x="0" y="0"/>
              <wp:positionH relativeFrom="page">
                <wp:posOffset>6560282</wp:posOffset>
              </wp:positionH>
              <wp:positionV relativeFrom="page">
                <wp:posOffset>10271300</wp:posOffset>
              </wp:positionV>
              <wp:extent cx="160655" cy="16065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160655" cy="160655"/>
                      </a:xfrm>
                      <a:prstGeom prst="rect">
                        <a:avLst/>
                      </a:prstGeom>
                    </wps:spPr>
                    <wps:txbx>
                      <w:txbxContent>
                        <w:p>
                          <w:pPr>
                            <w:spacing w:before="14"/>
                            <w:ind w:left="60" w:right="0" w:firstLine="0"/>
                            <w:jc w:val="left"/>
                            <w:rPr>
                              <w:sz w:val="19"/>
                            </w:rPr>
                          </w:pPr>
                          <w:r>
                            <w:rPr>
                              <w:color w:val="0A0A0A"/>
                              <w:spacing w:val="-10"/>
                              <w:w w:val="105"/>
                              <w:sz w:val="19"/>
                            </w:rPr>
                            <w:fldChar w:fldCharType="begin"/>
                          </w:r>
                          <w:r>
                            <w:rPr>
                              <w:color w:val="0A0A0A"/>
                              <w:spacing w:val="-10"/>
                              <w:w w:val="105"/>
                              <w:sz w:val="19"/>
                            </w:rPr>
                            <w:instrText> PAGE </w:instrText>
                          </w:r>
                          <w:r>
                            <w:rPr>
                              <w:color w:val="0A0A0A"/>
                              <w:spacing w:val="-10"/>
                              <w:w w:val="105"/>
                              <w:sz w:val="19"/>
                            </w:rPr>
                            <w:fldChar w:fldCharType="separate"/>
                          </w:r>
                          <w:r>
                            <w:rPr>
                              <w:color w:val="0A0A0A"/>
                              <w:spacing w:val="-10"/>
                              <w:w w:val="105"/>
                              <w:sz w:val="19"/>
                            </w:rPr>
                            <w:t>9</w:t>
                          </w:r>
                          <w:r>
                            <w:rPr>
                              <w:color w:val="0A0A0A"/>
                              <w:spacing w:val="-10"/>
                              <w:w w:val="105"/>
                              <w:sz w:val="19"/>
                            </w:rPr>
                            <w:fldChar w:fldCharType="end"/>
                          </w:r>
                        </w:p>
                      </w:txbxContent>
                    </wps:txbx>
                    <wps:bodyPr wrap="square" lIns="0" tIns="0" rIns="0" bIns="0" rtlCol="0">
                      <a:noAutofit/>
                    </wps:bodyPr>
                  </wps:wsp>
                </a:graphicData>
              </a:graphic>
            </wp:anchor>
          </w:drawing>
        </mc:Choice>
        <mc:Fallback>
          <w:pict>
            <v:shape style="position:absolute;margin-left:516.557678pt;margin-top:808.763794pt;width:12.65pt;height:12.65pt;mso-position-horizontal-relative:page;mso-position-vertical-relative:page;z-index:-27474432" type="#_x0000_t202" id="docshape16" filled="false" stroked="false">
              <v:textbox inset="0,0,0,0">
                <w:txbxContent>
                  <w:p>
                    <w:pPr>
                      <w:spacing w:before="14"/>
                      <w:ind w:left="60" w:right="0" w:firstLine="0"/>
                      <w:jc w:val="left"/>
                      <w:rPr>
                        <w:sz w:val="19"/>
                      </w:rPr>
                    </w:pPr>
                    <w:r>
                      <w:rPr>
                        <w:color w:val="0A0A0A"/>
                        <w:spacing w:val="-10"/>
                        <w:w w:val="105"/>
                        <w:sz w:val="19"/>
                      </w:rPr>
                      <w:fldChar w:fldCharType="begin"/>
                    </w:r>
                    <w:r>
                      <w:rPr>
                        <w:color w:val="0A0A0A"/>
                        <w:spacing w:val="-10"/>
                        <w:w w:val="105"/>
                        <w:sz w:val="19"/>
                      </w:rPr>
                      <w:instrText> PAGE </w:instrText>
                    </w:r>
                    <w:r>
                      <w:rPr>
                        <w:color w:val="0A0A0A"/>
                        <w:spacing w:val="-10"/>
                        <w:w w:val="105"/>
                        <w:sz w:val="19"/>
                      </w:rPr>
                      <w:fldChar w:fldCharType="separate"/>
                    </w:r>
                    <w:r>
                      <w:rPr>
                        <w:color w:val="0A0A0A"/>
                        <w:spacing w:val="-10"/>
                        <w:w w:val="105"/>
                        <w:sz w:val="19"/>
                      </w:rPr>
                      <w:t>9</w:t>
                    </w:r>
                    <w:r>
                      <w:rPr>
                        <w:color w:val="0A0A0A"/>
                        <w:spacing w:val="-10"/>
                        <w:w w:val="105"/>
                        <w:sz w:val="19"/>
                      </w:rPr>
                      <w:fldChar w:fldCharType="end"/>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9184">
              <wp:simplePos x="0" y="0"/>
              <wp:positionH relativeFrom="page">
                <wp:posOffset>6496743</wp:posOffset>
              </wp:positionH>
              <wp:positionV relativeFrom="page">
                <wp:posOffset>9834939</wp:posOffset>
              </wp:positionV>
              <wp:extent cx="230504" cy="16065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230504" cy="160655"/>
                      </a:xfrm>
                      <a:prstGeom prst="rect">
                        <a:avLst/>
                      </a:prstGeom>
                    </wps:spPr>
                    <wps:txbx>
                      <w:txbxContent>
                        <w:p>
                          <w:pPr>
                            <w:spacing w:before="14"/>
                            <w:ind w:left="60" w:right="0" w:firstLine="0"/>
                            <w:jc w:val="left"/>
                            <w:rPr>
                              <w:sz w:val="19"/>
                            </w:rPr>
                          </w:pPr>
                          <w:r>
                            <w:rPr>
                              <w:color w:val="0C0C0C"/>
                              <w:spacing w:val="-5"/>
                              <w:w w:val="105"/>
                              <w:sz w:val="19"/>
                            </w:rPr>
                            <w:fldChar w:fldCharType="begin"/>
                          </w:r>
                          <w:r>
                            <w:rPr>
                              <w:color w:val="0C0C0C"/>
                              <w:spacing w:val="-5"/>
                              <w:w w:val="105"/>
                              <w:sz w:val="19"/>
                            </w:rPr>
                            <w:instrText> PAGE </w:instrText>
                          </w:r>
                          <w:r>
                            <w:rPr>
                              <w:color w:val="0C0C0C"/>
                              <w:spacing w:val="-5"/>
                              <w:w w:val="105"/>
                              <w:sz w:val="19"/>
                            </w:rPr>
                            <w:fldChar w:fldCharType="separate"/>
                          </w:r>
                          <w:r>
                            <w:rPr>
                              <w:color w:val="0C0C0C"/>
                              <w:spacing w:val="-5"/>
                              <w:w w:val="105"/>
                              <w:sz w:val="19"/>
                            </w:rPr>
                            <w:t>45</w:t>
                          </w:r>
                          <w:r>
                            <w:rPr>
                              <w:color w:val="0C0C0C"/>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1.554596pt;margin-top:774.404663pt;width:18.150pt;height:12.65pt;mso-position-horizontal-relative:page;mso-position-vertical-relative:page;z-index:-27447296" type="#_x0000_t202" id="docshape87" filled="false" stroked="false">
              <v:textbox inset="0,0,0,0">
                <w:txbxContent>
                  <w:p>
                    <w:pPr>
                      <w:spacing w:before="14"/>
                      <w:ind w:left="60" w:right="0" w:firstLine="0"/>
                      <w:jc w:val="left"/>
                      <w:rPr>
                        <w:sz w:val="19"/>
                      </w:rPr>
                    </w:pPr>
                    <w:r>
                      <w:rPr>
                        <w:color w:val="0C0C0C"/>
                        <w:spacing w:val="-5"/>
                        <w:w w:val="105"/>
                        <w:sz w:val="19"/>
                      </w:rPr>
                      <w:fldChar w:fldCharType="begin"/>
                    </w:r>
                    <w:r>
                      <w:rPr>
                        <w:color w:val="0C0C0C"/>
                        <w:spacing w:val="-5"/>
                        <w:w w:val="105"/>
                        <w:sz w:val="19"/>
                      </w:rPr>
                      <w:instrText> PAGE </w:instrText>
                    </w:r>
                    <w:r>
                      <w:rPr>
                        <w:color w:val="0C0C0C"/>
                        <w:spacing w:val="-5"/>
                        <w:w w:val="105"/>
                        <w:sz w:val="19"/>
                      </w:rPr>
                      <w:fldChar w:fldCharType="separate"/>
                    </w:r>
                    <w:r>
                      <w:rPr>
                        <w:color w:val="0C0C0C"/>
                        <w:spacing w:val="-5"/>
                        <w:w w:val="105"/>
                        <w:sz w:val="19"/>
                      </w:rPr>
                      <w:t>45</w:t>
                    </w:r>
                    <w:r>
                      <w:rPr>
                        <w:color w:val="0C0C0C"/>
                        <w:spacing w:val="-5"/>
                        <w:w w:val="105"/>
                        <w:sz w:val="19"/>
                      </w:rPr>
                      <w:fldChar w:fldCharType="end"/>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9696">
              <wp:simplePos x="0" y="0"/>
              <wp:positionH relativeFrom="page">
                <wp:posOffset>6616783</wp:posOffset>
              </wp:positionH>
              <wp:positionV relativeFrom="page">
                <wp:posOffset>9999719</wp:posOffset>
              </wp:positionV>
              <wp:extent cx="170815" cy="160655"/>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170815" cy="160655"/>
                      </a:xfrm>
                      <a:prstGeom prst="rect">
                        <a:avLst/>
                      </a:prstGeom>
                    </wps:spPr>
                    <wps:txbx>
                      <w:txbxContent>
                        <w:p>
                          <w:pPr>
                            <w:spacing w:before="14"/>
                            <w:ind w:left="20" w:right="0" w:firstLine="0"/>
                            <w:jc w:val="left"/>
                            <w:rPr>
                              <w:sz w:val="19"/>
                            </w:rPr>
                          </w:pPr>
                          <w:r>
                            <w:rPr>
                              <w:color w:val="0C0C0C"/>
                              <w:spacing w:val="-5"/>
                              <w:w w:val="110"/>
                              <w:sz w:val="19"/>
                            </w:rPr>
                            <w:t>47</w:t>
                          </w:r>
                        </w:p>
                      </w:txbxContent>
                    </wps:txbx>
                    <wps:bodyPr wrap="square" lIns="0" tIns="0" rIns="0" bIns="0" rtlCol="0">
                      <a:noAutofit/>
                    </wps:bodyPr>
                  </wps:wsp>
                </a:graphicData>
              </a:graphic>
            </wp:anchor>
          </w:drawing>
        </mc:Choice>
        <mc:Fallback>
          <w:pict>
            <v:shape style="position:absolute;margin-left:521.006592pt;margin-top:787.379456pt;width:13.45pt;height:12.65pt;mso-position-horizontal-relative:page;mso-position-vertical-relative:page;z-index:-27446784" type="#_x0000_t202" id="docshape88" filled="false" stroked="false">
              <v:textbox inset="0,0,0,0">
                <w:txbxContent>
                  <w:p>
                    <w:pPr>
                      <w:spacing w:before="14"/>
                      <w:ind w:left="20" w:right="0" w:firstLine="0"/>
                      <w:jc w:val="left"/>
                      <w:rPr>
                        <w:sz w:val="19"/>
                      </w:rPr>
                    </w:pPr>
                    <w:r>
                      <w:rPr>
                        <w:color w:val="0C0C0C"/>
                        <w:spacing w:val="-5"/>
                        <w:w w:val="110"/>
                        <w:sz w:val="19"/>
                      </w:rPr>
                      <w:t>47</w:t>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72256">
              <wp:simplePos x="0" y="0"/>
              <wp:positionH relativeFrom="page">
                <wp:posOffset>6493690</wp:posOffset>
              </wp:positionH>
              <wp:positionV relativeFrom="page">
                <wp:posOffset>9822732</wp:posOffset>
              </wp:positionV>
              <wp:extent cx="234315" cy="160655"/>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234315" cy="160655"/>
                      </a:xfrm>
                      <a:prstGeom prst="rect">
                        <a:avLst/>
                      </a:prstGeom>
                    </wps:spPr>
                    <wps:txbx>
                      <w:txbxContent>
                        <w:p>
                          <w:pPr>
                            <w:spacing w:before="14"/>
                            <w:ind w:left="60" w:right="0" w:firstLine="0"/>
                            <w:jc w:val="left"/>
                            <w:rPr>
                              <w:sz w:val="19"/>
                            </w:rPr>
                          </w:pPr>
                          <w:r>
                            <w:rPr>
                              <w:color w:val="0A0A0A"/>
                              <w:spacing w:val="-5"/>
                              <w:w w:val="110"/>
                              <w:sz w:val="19"/>
                            </w:rPr>
                            <w:fldChar w:fldCharType="begin"/>
                          </w:r>
                          <w:r>
                            <w:rPr>
                              <w:color w:val="0A0A0A"/>
                              <w:spacing w:val="-5"/>
                              <w:w w:val="110"/>
                              <w:sz w:val="19"/>
                            </w:rPr>
                            <w:instrText> PAGE </w:instrText>
                          </w:r>
                          <w:r>
                            <w:rPr>
                              <w:color w:val="0A0A0A"/>
                              <w:spacing w:val="-5"/>
                              <w:w w:val="110"/>
                              <w:sz w:val="19"/>
                            </w:rPr>
                            <w:fldChar w:fldCharType="separate"/>
                          </w:r>
                          <w:r>
                            <w:rPr>
                              <w:color w:val="0A0A0A"/>
                              <w:spacing w:val="-5"/>
                              <w:w w:val="110"/>
                              <w:sz w:val="19"/>
                            </w:rPr>
                            <w:t>49</w:t>
                          </w:r>
                          <w:r>
                            <w:rPr>
                              <w:color w:val="0A0A0A"/>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11.314209pt;margin-top:773.443542pt;width:18.45pt;height:12.65pt;mso-position-horizontal-relative:page;mso-position-vertical-relative:page;z-index:-27444224" type="#_x0000_t202" id="docshape93" filled="false" stroked="false">
              <v:textbox inset="0,0,0,0">
                <w:txbxContent>
                  <w:p>
                    <w:pPr>
                      <w:spacing w:before="14"/>
                      <w:ind w:left="60" w:right="0" w:firstLine="0"/>
                      <w:jc w:val="left"/>
                      <w:rPr>
                        <w:sz w:val="19"/>
                      </w:rPr>
                    </w:pPr>
                    <w:r>
                      <w:rPr>
                        <w:color w:val="0A0A0A"/>
                        <w:spacing w:val="-5"/>
                        <w:w w:val="110"/>
                        <w:sz w:val="19"/>
                      </w:rPr>
                      <w:fldChar w:fldCharType="begin"/>
                    </w:r>
                    <w:r>
                      <w:rPr>
                        <w:color w:val="0A0A0A"/>
                        <w:spacing w:val="-5"/>
                        <w:w w:val="110"/>
                        <w:sz w:val="19"/>
                      </w:rPr>
                      <w:instrText> PAGE </w:instrText>
                    </w:r>
                    <w:r>
                      <w:rPr>
                        <w:color w:val="0A0A0A"/>
                        <w:spacing w:val="-5"/>
                        <w:w w:val="110"/>
                        <w:sz w:val="19"/>
                      </w:rPr>
                      <w:fldChar w:fldCharType="separate"/>
                    </w:r>
                    <w:r>
                      <w:rPr>
                        <w:color w:val="0A0A0A"/>
                        <w:spacing w:val="-5"/>
                        <w:w w:val="110"/>
                        <w:sz w:val="19"/>
                      </w:rPr>
                      <w:t>49</w:t>
                    </w:r>
                    <w:r>
                      <w:rPr>
                        <w:color w:val="0A0A0A"/>
                        <w:spacing w:val="-5"/>
                        <w:w w:val="110"/>
                        <w:sz w:val="19"/>
                      </w:rPr>
                      <w:fldChar w:fldCharType="end"/>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74816">
              <wp:simplePos x="0" y="0"/>
              <wp:positionH relativeFrom="page">
                <wp:posOffset>6513661</wp:posOffset>
              </wp:positionH>
              <wp:positionV relativeFrom="page">
                <wp:posOffset>9812591</wp:posOffset>
              </wp:positionV>
              <wp:extent cx="229235" cy="184150"/>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229235" cy="184150"/>
                      </a:xfrm>
                      <a:prstGeom prst="rect">
                        <a:avLst/>
                      </a:prstGeom>
                    </wps:spPr>
                    <wps:txbx>
                      <w:txbxContent>
                        <w:p>
                          <w:pPr>
                            <w:spacing w:before="15"/>
                            <w:ind w:left="51" w:right="0" w:firstLine="0"/>
                            <w:jc w:val="left"/>
                            <w:rPr>
                              <w:sz w:val="19"/>
                            </w:rPr>
                          </w:pPr>
                          <w:r>
                            <w:rPr>
                              <w:color w:val="0A0A0A"/>
                              <w:spacing w:val="-5"/>
                              <w:w w:val="105"/>
                              <w:sz w:val="19"/>
                            </w:rPr>
                            <w:fldChar w:fldCharType="begin"/>
                          </w:r>
                          <w:r>
                            <w:rPr>
                              <w:color w:val="0A0A0A"/>
                              <w:spacing w:val="-5"/>
                              <w:w w:val="105"/>
                              <w:sz w:val="19"/>
                            </w:rPr>
                            <w:instrText> PAGE </w:instrText>
                          </w:r>
                          <w:r>
                            <w:rPr>
                              <w:color w:val="0A0A0A"/>
                              <w:spacing w:val="-5"/>
                              <w:w w:val="105"/>
                              <w:sz w:val="19"/>
                            </w:rPr>
                            <w:fldChar w:fldCharType="separate"/>
                          </w:r>
                          <w:r>
                            <w:rPr>
                              <w:color w:val="0A0A0A"/>
                              <w:spacing w:val="-5"/>
                              <w:w w:val="105"/>
                              <w:sz w:val="19"/>
                            </w:rPr>
                            <w:t>53</w:t>
                          </w:r>
                          <w:r>
                            <w:rPr>
                              <w:color w:val="0A0A0A"/>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2.886719pt;margin-top:772.64502pt;width:18.05pt;height:14.5pt;mso-position-horizontal-relative:page;mso-position-vertical-relative:page;z-index:-27441664" type="#_x0000_t202" id="docshape98" filled="false" stroked="false">
              <v:textbox inset="0,0,0,0">
                <w:txbxContent>
                  <w:p>
                    <w:pPr>
                      <w:spacing w:before="15"/>
                      <w:ind w:left="51" w:right="0" w:firstLine="0"/>
                      <w:jc w:val="left"/>
                      <w:rPr>
                        <w:sz w:val="19"/>
                      </w:rPr>
                    </w:pPr>
                    <w:r>
                      <w:rPr>
                        <w:color w:val="0A0A0A"/>
                        <w:spacing w:val="-5"/>
                        <w:w w:val="105"/>
                        <w:sz w:val="19"/>
                      </w:rPr>
                      <w:fldChar w:fldCharType="begin"/>
                    </w:r>
                    <w:r>
                      <w:rPr>
                        <w:color w:val="0A0A0A"/>
                        <w:spacing w:val="-5"/>
                        <w:w w:val="105"/>
                        <w:sz w:val="19"/>
                      </w:rPr>
                      <w:instrText> PAGE </w:instrText>
                    </w:r>
                    <w:r>
                      <w:rPr>
                        <w:color w:val="0A0A0A"/>
                        <w:spacing w:val="-5"/>
                        <w:w w:val="105"/>
                        <w:sz w:val="19"/>
                      </w:rPr>
                      <w:fldChar w:fldCharType="separate"/>
                    </w:r>
                    <w:r>
                      <w:rPr>
                        <w:color w:val="0A0A0A"/>
                        <w:spacing w:val="-5"/>
                        <w:w w:val="105"/>
                        <w:sz w:val="19"/>
                      </w:rPr>
                      <w:t>53</w:t>
                    </w:r>
                    <w:r>
                      <w:rPr>
                        <w:color w:val="0A0A0A"/>
                        <w:spacing w:val="-5"/>
                        <w:w w:val="105"/>
                        <w:sz w:val="19"/>
                      </w:rPr>
                      <w:fldChar w:fldCharType="end"/>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75328">
              <wp:simplePos x="0" y="0"/>
              <wp:positionH relativeFrom="page">
                <wp:posOffset>6545017</wp:posOffset>
              </wp:positionH>
              <wp:positionV relativeFrom="page">
                <wp:posOffset>9905123</wp:posOffset>
              </wp:positionV>
              <wp:extent cx="230504" cy="160655"/>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230504" cy="160655"/>
                      </a:xfrm>
                      <a:prstGeom prst="rect">
                        <a:avLst/>
                      </a:prstGeom>
                    </wps:spPr>
                    <wps:txbx>
                      <w:txbxContent>
                        <w:p>
                          <w:pPr>
                            <w:spacing w:before="14"/>
                            <w:ind w:left="60" w:right="0" w:firstLine="0"/>
                            <w:jc w:val="left"/>
                            <w:rPr>
                              <w:sz w:val="19"/>
                            </w:rPr>
                          </w:pPr>
                          <w:r>
                            <w:rPr>
                              <w:color w:val="0E0E0E"/>
                              <w:spacing w:val="-5"/>
                              <w:w w:val="105"/>
                              <w:sz w:val="19"/>
                            </w:rPr>
                            <w:fldChar w:fldCharType="begin"/>
                          </w:r>
                          <w:r>
                            <w:rPr>
                              <w:color w:val="0E0E0E"/>
                              <w:spacing w:val="-5"/>
                              <w:w w:val="105"/>
                              <w:sz w:val="19"/>
                            </w:rPr>
                            <w:instrText> PAGE </w:instrText>
                          </w:r>
                          <w:r>
                            <w:rPr>
                              <w:color w:val="0E0E0E"/>
                              <w:spacing w:val="-5"/>
                              <w:w w:val="105"/>
                              <w:sz w:val="19"/>
                            </w:rPr>
                            <w:fldChar w:fldCharType="separate"/>
                          </w:r>
                          <w:r>
                            <w:rPr>
                              <w:color w:val="0E0E0E"/>
                              <w:spacing w:val="-5"/>
                              <w:w w:val="105"/>
                              <w:sz w:val="19"/>
                            </w:rPr>
                            <w:t>52</w:t>
                          </w:r>
                          <w:r>
                            <w:rPr>
                              <w:color w:val="0E0E0E"/>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5.355713pt;margin-top:779.930969pt;width:18.150pt;height:12.65pt;mso-position-horizontal-relative:page;mso-position-vertical-relative:page;z-index:-27441152" type="#_x0000_t202" id="docshape99" filled="false" stroked="false">
              <v:textbox inset="0,0,0,0">
                <w:txbxContent>
                  <w:p>
                    <w:pPr>
                      <w:spacing w:before="14"/>
                      <w:ind w:left="60" w:right="0" w:firstLine="0"/>
                      <w:jc w:val="left"/>
                      <w:rPr>
                        <w:sz w:val="19"/>
                      </w:rPr>
                    </w:pPr>
                    <w:r>
                      <w:rPr>
                        <w:color w:val="0E0E0E"/>
                        <w:spacing w:val="-5"/>
                        <w:w w:val="105"/>
                        <w:sz w:val="19"/>
                      </w:rPr>
                      <w:fldChar w:fldCharType="begin"/>
                    </w:r>
                    <w:r>
                      <w:rPr>
                        <w:color w:val="0E0E0E"/>
                        <w:spacing w:val="-5"/>
                        <w:w w:val="105"/>
                        <w:sz w:val="19"/>
                      </w:rPr>
                      <w:instrText> PAGE </w:instrText>
                    </w:r>
                    <w:r>
                      <w:rPr>
                        <w:color w:val="0E0E0E"/>
                        <w:spacing w:val="-5"/>
                        <w:w w:val="105"/>
                        <w:sz w:val="19"/>
                      </w:rPr>
                      <w:fldChar w:fldCharType="separate"/>
                    </w:r>
                    <w:r>
                      <w:rPr>
                        <w:color w:val="0E0E0E"/>
                        <w:spacing w:val="-5"/>
                        <w:w w:val="105"/>
                        <w:sz w:val="19"/>
                      </w:rPr>
                      <w:t>52</w:t>
                    </w:r>
                    <w:r>
                      <w:rPr>
                        <w:color w:val="0E0E0E"/>
                        <w:spacing w:val="-5"/>
                        <w:w w:val="105"/>
                        <w:sz w:val="19"/>
                      </w:rPr>
                      <w:fldChar w:fldCharType="end"/>
                    </w:r>
                  </w:p>
                </w:txbxContent>
              </v:textbox>
              <w10:wrap type="none"/>
            </v:shape>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77888">
              <wp:simplePos x="0" y="0"/>
              <wp:positionH relativeFrom="page">
                <wp:posOffset>6541965</wp:posOffset>
              </wp:positionH>
              <wp:positionV relativeFrom="page">
                <wp:posOffset>9911226</wp:posOffset>
              </wp:positionV>
              <wp:extent cx="233045" cy="160655"/>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233045" cy="160655"/>
                      </a:xfrm>
                      <a:prstGeom prst="rect">
                        <a:avLst/>
                      </a:prstGeom>
                    </wps:spPr>
                    <wps:txbx>
                      <w:txbxContent>
                        <w:p>
                          <w:pPr>
                            <w:spacing w:before="14"/>
                            <w:ind w:left="60" w:right="0" w:firstLine="0"/>
                            <w:jc w:val="left"/>
                            <w:rPr>
                              <w:sz w:val="19"/>
                            </w:rPr>
                          </w:pPr>
                          <w:r>
                            <w:rPr>
                              <w:color w:val="0A0A0A"/>
                              <w:spacing w:val="-5"/>
                              <w:w w:val="105"/>
                              <w:sz w:val="19"/>
                            </w:rPr>
                            <w:fldChar w:fldCharType="begin"/>
                          </w:r>
                          <w:r>
                            <w:rPr>
                              <w:color w:val="0A0A0A"/>
                              <w:spacing w:val="-5"/>
                              <w:w w:val="105"/>
                              <w:sz w:val="19"/>
                            </w:rPr>
                            <w:instrText> PAGE </w:instrText>
                          </w:r>
                          <w:r>
                            <w:rPr>
                              <w:color w:val="0A0A0A"/>
                              <w:spacing w:val="-5"/>
                              <w:w w:val="105"/>
                              <w:sz w:val="19"/>
                            </w:rPr>
                            <w:fldChar w:fldCharType="separate"/>
                          </w:r>
                          <w:r>
                            <w:rPr>
                              <w:color w:val="0A0A0A"/>
                              <w:spacing w:val="-5"/>
                              <w:w w:val="105"/>
                              <w:sz w:val="19"/>
                            </w:rPr>
                            <w:t>54</w:t>
                          </w:r>
                          <w:r>
                            <w:rPr>
                              <w:color w:val="0A0A0A"/>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5.115417pt;margin-top:780.411499pt;width:18.350pt;height:12.65pt;mso-position-horizontal-relative:page;mso-position-vertical-relative:page;z-index:-27438592" type="#_x0000_t202" id="docshape110" filled="false" stroked="false">
              <v:textbox inset="0,0,0,0">
                <w:txbxContent>
                  <w:p>
                    <w:pPr>
                      <w:spacing w:before="14"/>
                      <w:ind w:left="60" w:right="0" w:firstLine="0"/>
                      <w:jc w:val="left"/>
                      <w:rPr>
                        <w:sz w:val="19"/>
                      </w:rPr>
                    </w:pPr>
                    <w:r>
                      <w:rPr>
                        <w:color w:val="0A0A0A"/>
                        <w:spacing w:val="-5"/>
                        <w:w w:val="105"/>
                        <w:sz w:val="19"/>
                      </w:rPr>
                      <w:fldChar w:fldCharType="begin"/>
                    </w:r>
                    <w:r>
                      <w:rPr>
                        <w:color w:val="0A0A0A"/>
                        <w:spacing w:val="-5"/>
                        <w:w w:val="105"/>
                        <w:sz w:val="19"/>
                      </w:rPr>
                      <w:instrText> PAGE </w:instrText>
                    </w:r>
                    <w:r>
                      <w:rPr>
                        <w:color w:val="0A0A0A"/>
                        <w:spacing w:val="-5"/>
                        <w:w w:val="105"/>
                        <w:sz w:val="19"/>
                      </w:rPr>
                      <w:fldChar w:fldCharType="separate"/>
                    </w:r>
                    <w:r>
                      <w:rPr>
                        <w:color w:val="0A0A0A"/>
                        <w:spacing w:val="-5"/>
                        <w:w w:val="105"/>
                        <w:sz w:val="19"/>
                      </w:rPr>
                      <w:t>54</w:t>
                    </w:r>
                    <w:r>
                      <w:rPr>
                        <w:color w:val="0A0A0A"/>
                        <w:spacing w:val="-5"/>
                        <w:w w:val="105"/>
                        <w:sz w:val="19"/>
                      </w:rPr>
                      <w:fldChar w:fldCharType="end"/>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78400">
              <wp:simplePos x="0" y="0"/>
              <wp:positionH relativeFrom="page">
                <wp:posOffset>6511435</wp:posOffset>
              </wp:positionH>
              <wp:positionV relativeFrom="page">
                <wp:posOffset>9828835</wp:posOffset>
              </wp:positionV>
              <wp:extent cx="231775" cy="160655"/>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231775" cy="160655"/>
                      </a:xfrm>
                      <a:prstGeom prst="rect">
                        <a:avLst/>
                      </a:prstGeom>
                    </wps:spPr>
                    <wps:txbx>
                      <w:txbxContent>
                        <w:p>
                          <w:pPr>
                            <w:spacing w:before="14"/>
                            <w:ind w:left="60" w:right="0" w:firstLine="0"/>
                            <w:jc w:val="left"/>
                            <w:rPr>
                              <w:sz w:val="19"/>
                            </w:rPr>
                          </w:pPr>
                          <w:r>
                            <w:rPr>
                              <w:color w:val="0C0C0C"/>
                              <w:spacing w:val="-5"/>
                              <w:w w:val="105"/>
                              <w:sz w:val="19"/>
                            </w:rPr>
                            <w:fldChar w:fldCharType="begin"/>
                          </w:r>
                          <w:r>
                            <w:rPr>
                              <w:color w:val="0C0C0C"/>
                              <w:spacing w:val="-5"/>
                              <w:w w:val="105"/>
                              <w:sz w:val="19"/>
                            </w:rPr>
                            <w:instrText> PAGE </w:instrText>
                          </w:r>
                          <w:r>
                            <w:rPr>
                              <w:color w:val="0C0C0C"/>
                              <w:spacing w:val="-5"/>
                              <w:w w:val="105"/>
                              <w:sz w:val="19"/>
                            </w:rPr>
                            <w:fldChar w:fldCharType="separate"/>
                          </w:r>
                          <w:r>
                            <w:rPr>
                              <w:color w:val="0C0C0C"/>
                              <w:spacing w:val="-5"/>
                              <w:w w:val="105"/>
                              <w:sz w:val="19"/>
                            </w:rPr>
                            <w:t>55</w:t>
                          </w:r>
                          <w:r>
                            <w:rPr>
                              <w:color w:val="0C0C0C"/>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2.711487pt;margin-top:773.924072pt;width:18.25pt;height:12.65pt;mso-position-horizontal-relative:page;mso-position-vertical-relative:page;z-index:-27438080" type="#_x0000_t202" id="docshape111" filled="false" stroked="false">
              <v:textbox inset="0,0,0,0">
                <w:txbxContent>
                  <w:p>
                    <w:pPr>
                      <w:spacing w:before="14"/>
                      <w:ind w:left="60" w:right="0" w:firstLine="0"/>
                      <w:jc w:val="left"/>
                      <w:rPr>
                        <w:sz w:val="19"/>
                      </w:rPr>
                    </w:pPr>
                    <w:r>
                      <w:rPr>
                        <w:color w:val="0C0C0C"/>
                        <w:spacing w:val="-5"/>
                        <w:w w:val="105"/>
                        <w:sz w:val="19"/>
                      </w:rPr>
                      <w:fldChar w:fldCharType="begin"/>
                    </w:r>
                    <w:r>
                      <w:rPr>
                        <w:color w:val="0C0C0C"/>
                        <w:spacing w:val="-5"/>
                        <w:w w:val="105"/>
                        <w:sz w:val="19"/>
                      </w:rPr>
                      <w:instrText> PAGE </w:instrText>
                    </w:r>
                    <w:r>
                      <w:rPr>
                        <w:color w:val="0C0C0C"/>
                        <w:spacing w:val="-5"/>
                        <w:w w:val="105"/>
                        <w:sz w:val="19"/>
                      </w:rPr>
                      <w:fldChar w:fldCharType="separate"/>
                    </w:r>
                    <w:r>
                      <w:rPr>
                        <w:color w:val="0C0C0C"/>
                        <w:spacing w:val="-5"/>
                        <w:w w:val="105"/>
                        <w:sz w:val="19"/>
                      </w:rPr>
                      <w:t>55</w:t>
                    </w:r>
                    <w:r>
                      <w:rPr>
                        <w:color w:val="0C0C0C"/>
                        <w:spacing w:val="-5"/>
                        <w:w w:val="105"/>
                        <w:sz w:val="19"/>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2560">
              <wp:simplePos x="0" y="0"/>
              <wp:positionH relativeFrom="page">
                <wp:posOffset>6558412</wp:posOffset>
              </wp:positionH>
              <wp:positionV relativeFrom="page">
                <wp:posOffset>10344536</wp:posOffset>
              </wp:positionV>
              <wp:extent cx="229235" cy="160655"/>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229235" cy="160655"/>
                      </a:xfrm>
                      <a:prstGeom prst="rect">
                        <a:avLst/>
                      </a:prstGeom>
                    </wps:spPr>
                    <wps:txbx>
                      <w:txbxContent>
                        <w:p>
                          <w:pPr>
                            <w:spacing w:before="14"/>
                            <w:ind w:left="60" w:right="0" w:firstLine="0"/>
                            <w:jc w:val="left"/>
                            <w:rPr>
                              <w:sz w:val="19"/>
                            </w:rPr>
                          </w:pPr>
                          <w:r>
                            <w:rPr>
                              <w:color w:val="151515"/>
                              <w:spacing w:val="-5"/>
                              <w:w w:val="105"/>
                              <w:sz w:val="19"/>
                            </w:rPr>
                            <w:fldChar w:fldCharType="begin"/>
                          </w:r>
                          <w:r>
                            <w:rPr>
                              <w:color w:val="151515"/>
                              <w:spacing w:val="-5"/>
                              <w:w w:val="105"/>
                              <w:sz w:val="19"/>
                            </w:rPr>
                            <w:instrText> PAGE </w:instrText>
                          </w:r>
                          <w:r>
                            <w:rPr>
                              <w:color w:val="151515"/>
                              <w:spacing w:val="-5"/>
                              <w:w w:val="105"/>
                              <w:sz w:val="19"/>
                            </w:rPr>
                            <w:fldChar w:fldCharType="separate"/>
                          </w:r>
                          <w:r>
                            <w:rPr>
                              <w:color w:val="151515"/>
                              <w:spacing w:val="-5"/>
                              <w:w w:val="105"/>
                              <w:sz w:val="19"/>
                            </w:rPr>
                            <w:t>10</w:t>
                          </w:r>
                          <w:r>
                            <w:rPr>
                              <w:color w:val="15151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6.4104pt;margin-top:814.530396pt;width:18.05pt;height:12.65pt;mso-position-horizontal-relative:page;mso-position-vertical-relative:page;z-index:-27473920" type="#_x0000_t202" id="docshape17" filled="false" stroked="false">
              <v:textbox inset="0,0,0,0">
                <w:txbxContent>
                  <w:p>
                    <w:pPr>
                      <w:spacing w:before="14"/>
                      <w:ind w:left="60" w:right="0" w:firstLine="0"/>
                      <w:jc w:val="left"/>
                      <w:rPr>
                        <w:sz w:val="19"/>
                      </w:rPr>
                    </w:pPr>
                    <w:r>
                      <w:rPr>
                        <w:color w:val="151515"/>
                        <w:spacing w:val="-5"/>
                        <w:w w:val="105"/>
                        <w:sz w:val="19"/>
                      </w:rPr>
                      <w:fldChar w:fldCharType="begin"/>
                    </w:r>
                    <w:r>
                      <w:rPr>
                        <w:color w:val="151515"/>
                        <w:spacing w:val="-5"/>
                        <w:w w:val="105"/>
                        <w:sz w:val="19"/>
                      </w:rPr>
                      <w:instrText> PAGE </w:instrText>
                    </w:r>
                    <w:r>
                      <w:rPr>
                        <w:color w:val="151515"/>
                        <w:spacing w:val="-5"/>
                        <w:w w:val="105"/>
                        <w:sz w:val="19"/>
                      </w:rPr>
                      <w:fldChar w:fldCharType="separate"/>
                    </w:r>
                    <w:r>
                      <w:rPr>
                        <w:color w:val="151515"/>
                        <w:spacing w:val="-5"/>
                        <w:w w:val="105"/>
                        <w:sz w:val="19"/>
                      </w:rPr>
                      <w:t>10</w:t>
                    </w:r>
                    <w:r>
                      <w:rPr>
                        <w:color w:val="151515"/>
                        <w:spacing w:val="-5"/>
                        <w:w w:val="105"/>
                        <w:sz w:val="19"/>
                      </w:rPr>
                      <w:fldChar w:fldCharType="end"/>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80960">
              <wp:simplePos x="0" y="0"/>
              <wp:positionH relativeFrom="page">
                <wp:posOffset>6550856</wp:posOffset>
              </wp:positionH>
              <wp:positionV relativeFrom="page">
                <wp:posOffset>9905470</wp:posOffset>
              </wp:positionV>
              <wp:extent cx="234950" cy="167640"/>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234950" cy="167640"/>
                      </a:xfrm>
                      <a:prstGeom prst="rect">
                        <a:avLst/>
                      </a:prstGeom>
                    </wps:spPr>
                    <wps:txbx>
                      <w:txbxContent>
                        <w:p>
                          <w:pPr>
                            <w:spacing w:before="13"/>
                            <w:ind w:left="60" w:right="0" w:firstLine="0"/>
                            <w:jc w:val="left"/>
                            <w:rPr>
                              <w:sz w:val="20"/>
                            </w:rPr>
                          </w:pPr>
                          <w:r>
                            <w:rPr>
                              <w:color w:val="0F0F0F"/>
                              <w:spacing w:val="-5"/>
                              <w:w w:val="105"/>
                              <w:sz w:val="20"/>
                            </w:rPr>
                            <w:fldChar w:fldCharType="begin"/>
                          </w:r>
                          <w:r>
                            <w:rPr>
                              <w:color w:val="0F0F0F"/>
                              <w:spacing w:val="-5"/>
                              <w:w w:val="105"/>
                              <w:sz w:val="20"/>
                            </w:rPr>
                            <w:instrText> PAGE </w:instrText>
                          </w:r>
                          <w:r>
                            <w:rPr>
                              <w:color w:val="0F0F0F"/>
                              <w:spacing w:val="-5"/>
                              <w:w w:val="105"/>
                              <w:sz w:val="20"/>
                            </w:rPr>
                            <w:fldChar w:fldCharType="separate"/>
                          </w:r>
                          <w:r>
                            <w:rPr>
                              <w:color w:val="0F0F0F"/>
                              <w:spacing w:val="-5"/>
                              <w:w w:val="105"/>
                              <w:sz w:val="20"/>
                            </w:rPr>
                            <w:t>56</w:t>
                          </w:r>
                          <w:r>
                            <w:rPr>
                              <w:color w:val="0F0F0F"/>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515.815491pt;margin-top:779.958313pt;width:18.5pt;height:13.2pt;mso-position-horizontal-relative:page;mso-position-vertical-relative:page;z-index:-27435520" type="#_x0000_t202" id="docshape125" filled="false" stroked="false">
              <v:textbox inset="0,0,0,0">
                <w:txbxContent>
                  <w:p>
                    <w:pPr>
                      <w:spacing w:before="13"/>
                      <w:ind w:left="60" w:right="0" w:firstLine="0"/>
                      <w:jc w:val="left"/>
                      <w:rPr>
                        <w:sz w:val="20"/>
                      </w:rPr>
                    </w:pPr>
                    <w:r>
                      <w:rPr>
                        <w:color w:val="0F0F0F"/>
                        <w:spacing w:val="-5"/>
                        <w:w w:val="105"/>
                        <w:sz w:val="20"/>
                      </w:rPr>
                      <w:fldChar w:fldCharType="begin"/>
                    </w:r>
                    <w:r>
                      <w:rPr>
                        <w:color w:val="0F0F0F"/>
                        <w:spacing w:val="-5"/>
                        <w:w w:val="105"/>
                        <w:sz w:val="20"/>
                      </w:rPr>
                      <w:instrText> PAGE </w:instrText>
                    </w:r>
                    <w:r>
                      <w:rPr>
                        <w:color w:val="0F0F0F"/>
                        <w:spacing w:val="-5"/>
                        <w:w w:val="105"/>
                        <w:sz w:val="20"/>
                      </w:rPr>
                      <w:fldChar w:fldCharType="separate"/>
                    </w:r>
                    <w:r>
                      <w:rPr>
                        <w:color w:val="0F0F0F"/>
                        <w:spacing w:val="-5"/>
                        <w:w w:val="105"/>
                        <w:sz w:val="20"/>
                      </w:rPr>
                      <w:t>56</w:t>
                    </w:r>
                    <w:r>
                      <w:rPr>
                        <w:color w:val="0F0F0F"/>
                        <w:spacing w:val="-5"/>
                        <w:w w:val="105"/>
                        <w:sz w:val="20"/>
                      </w:rPr>
                      <w:fldChar w:fldCharType="end"/>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81472">
              <wp:simplePos x="0" y="0"/>
              <wp:positionH relativeFrom="page">
                <wp:posOffset>6497889</wp:posOffset>
              </wp:positionH>
              <wp:positionV relativeFrom="page">
                <wp:posOffset>9819216</wp:posOffset>
              </wp:positionV>
              <wp:extent cx="230504" cy="173355"/>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230504" cy="173355"/>
                      </a:xfrm>
                      <a:prstGeom prst="rect">
                        <a:avLst/>
                      </a:prstGeom>
                    </wps:spPr>
                    <wps:txbx>
                      <w:txbxContent>
                        <w:p>
                          <w:pPr>
                            <w:spacing w:before="11"/>
                            <w:ind w:left="60" w:right="0" w:firstLine="0"/>
                            <w:jc w:val="left"/>
                            <w:rPr>
                              <w:rFonts w:ascii="Times New Roman"/>
                              <w:sz w:val="21"/>
                            </w:rPr>
                          </w:pPr>
                          <w:r>
                            <w:rPr>
                              <w:rFonts w:ascii="Times New Roman"/>
                              <w:color w:val="0A0A0A"/>
                              <w:spacing w:val="-5"/>
                              <w:w w:val="105"/>
                              <w:sz w:val="21"/>
                            </w:rPr>
                            <w:fldChar w:fldCharType="begin"/>
                          </w:r>
                          <w:r>
                            <w:rPr>
                              <w:rFonts w:ascii="Times New Roman"/>
                              <w:color w:val="0A0A0A"/>
                              <w:spacing w:val="-5"/>
                              <w:w w:val="105"/>
                              <w:sz w:val="21"/>
                            </w:rPr>
                            <w:instrText> PAGE </w:instrText>
                          </w:r>
                          <w:r>
                            <w:rPr>
                              <w:rFonts w:ascii="Times New Roman"/>
                              <w:color w:val="0A0A0A"/>
                              <w:spacing w:val="-5"/>
                              <w:w w:val="105"/>
                              <w:sz w:val="21"/>
                            </w:rPr>
                            <w:fldChar w:fldCharType="separate"/>
                          </w:r>
                          <w:r>
                            <w:rPr>
                              <w:rFonts w:ascii="Times New Roman"/>
                              <w:color w:val="0A0A0A"/>
                              <w:spacing w:val="-5"/>
                              <w:w w:val="105"/>
                              <w:sz w:val="21"/>
                            </w:rPr>
                            <w:t>57</w:t>
                          </w:r>
                          <w:r>
                            <w:rPr>
                              <w:rFonts w:ascii="Times New Roman"/>
                              <w:color w:val="0A0A0A"/>
                              <w:spacing w:val="-5"/>
                              <w:w w:val="105"/>
                              <w:sz w:val="21"/>
                            </w:rPr>
                            <w:fldChar w:fldCharType="end"/>
                          </w:r>
                        </w:p>
                      </w:txbxContent>
                    </wps:txbx>
                    <wps:bodyPr wrap="square" lIns="0" tIns="0" rIns="0" bIns="0" rtlCol="0">
                      <a:noAutofit/>
                    </wps:bodyPr>
                  </wps:wsp>
                </a:graphicData>
              </a:graphic>
            </wp:anchor>
          </w:drawing>
        </mc:Choice>
        <mc:Fallback>
          <w:pict>
            <v:shape style="position:absolute;margin-left:511.644806pt;margin-top:773.166626pt;width:18.150pt;height:13.65pt;mso-position-horizontal-relative:page;mso-position-vertical-relative:page;z-index:-27435008" type="#_x0000_t202" id="docshape126" filled="false" stroked="false">
              <v:textbox inset="0,0,0,0">
                <w:txbxContent>
                  <w:p>
                    <w:pPr>
                      <w:spacing w:before="11"/>
                      <w:ind w:left="60" w:right="0" w:firstLine="0"/>
                      <w:jc w:val="left"/>
                      <w:rPr>
                        <w:rFonts w:ascii="Times New Roman"/>
                        <w:sz w:val="21"/>
                      </w:rPr>
                    </w:pPr>
                    <w:r>
                      <w:rPr>
                        <w:rFonts w:ascii="Times New Roman"/>
                        <w:color w:val="0A0A0A"/>
                        <w:spacing w:val="-5"/>
                        <w:w w:val="105"/>
                        <w:sz w:val="21"/>
                      </w:rPr>
                      <w:fldChar w:fldCharType="begin"/>
                    </w:r>
                    <w:r>
                      <w:rPr>
                        <w:rFonts w:ascii="Times New Roman"/>
                        <w:color w:val="0A0A0A"/>
                        <w:spacing w:val="-5"/>
                        <w:w w:val="105"/>
                        <w:sz w:val="21"/>
                      </w:rPr>
                      <w:instrText> PAGE </w:instrText>
                    </w:r>
                    <w:r>
                      <w:rPr>
                        <w:rFonts w:ascii="Times New Roman"/>
                        <w:color w:val="0A0A0A"/>
                        <w:spacing w:val="-5"/>
                        <w:w w:val="105"/>
                        <w:sz w:val="21"/>
                      </w:rPr>
                      <w:fldChar w:fldCharType="separate"/>
                    </w:r>
                    <w:r>
                      <w:rPr>
                        <w:rFonts w:ascii="Times New Roman"/>
                        <w:color w:val="0A0A0A"/>
                        <w:spacing w:val="-5"/>
                        <w:w w:val="105"/>
                        <w:sz w:val="21"/>
                      </w:rPr>
                      <w:t>57</w:t>
                    </w:r>
                    <w:r>
                      <w:rPr>
                        <w:rFonts w:ascii="Times New Roman"/>
                        <w:color w:val="0A0A0A"/>
                        <w:spacing w:val="-5"/>
                        <w:w w:val="105"/>
                        <w:sz w:val="21"/>
                      </w:rPr>
                      <w:fldChar w:fldCharType="end"/>
                    </w:r>
                  </w:p>
                </w:txbxContent>
              </v:textbox>
              <w10:wrap type="none"/>
            </v:shape>
          </w:pict>
        </mc:Fallback>
      </mc:AlternateContent>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81984">
              <wp:simplePos x="0" y="0"/>
              <wp:positionH relativeFrom="page">
                <wp:posOffset>6585160</wp:posOffset>
              </wp:positionH>
              <wp:positionV relativeFrom="page">
                <wp:posOffset>10082456</wp:posOffset>
              </wp:positionV>
              <wp:extent cx="168275" cy="167640"/>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168275" cy="167640"/>
                      </a:xfrm>
                      <a:prstGeom prst="rect">
                        <a:avLst/>
                      </a:prstGeom>
                    </wps:spPr>
                    <wps:txbx>
                      <w:txbxContent>
                        <w:p>
                          <w:pPr>
                            <w:spacing w:before="13"/>
                            <w:ind w:left="20" w:right="0" w:firstLine="0"/>
                            <w:jc w:val="left"/>
                            <w:rPr>
                              <w:b/>
                              <w:sz w:val="20"/>
                            </w:rPr>
                          </w:pPr>
                          <w:r>
                            <w:rPr>
                              <w:b/>
                              <w:color w:val="0C0C0C"/>
                              <w:spacing w:val="-5"/>
                              <w:sz w:val="20"/>
                            </w:rPr>
                            <w:t>58</w:t>
                          </w:r>
                        </w:p>
                      </w:txbxContent>
                    </wps:txbx>
                    <wps:bodyPr wrap="square" lIns="0" tIns="0" rIns="0" bIns="0" rtlCol="0">
                      <a:noAutofit/>
                    </wps:bodyPr>
                  </wps:wsp>
                </a:graphicData>
              </a:graphic>
            </wp:anchor>
          </w:drawing>
        </mc:Choice>
        <mc:Fallback>
          <w:pict>
            <v:shape style="position:absolute;margin-left:518.516602pt;margin-top:793.894226pt;width:13.25pt;height:13.2pt;mso-position-horizontal-relative:page;mso-position-vertical-relative:page;z-index:-27434496" type="#_x0000_t202" id="docshape130" filled="false" stroked="false">
              <v:textbox inset="0,0,0,0">
                <w:txbxContent>
                  <w:p>
                    <w:pPr>
                      <w:spacing w:before="13"/>
                      <w:ind w:left="20" w:right="0" w:firstLine="0"/>
                      <w:jc w:val="left"/>
                      <w:rPr>
                        <w:b/>
                        <w:sz w:val="20"/>
                      </w:rPr>
                    </w:pPr>
                    <w:r>
                      <w:rPr>
                        <w:b/>
                        <w:color w:val="0C0C0C"/>
                        <w:spacing w:val="-5"/>
                        <w:sz w:val="20"/>
                      </w:rPr>
                      <w:t>58</w:t>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82496">
              <wp:simplePos x="0" y="0"/>
              <wp:positionH relativeFrom="page">
                <wp:posOffset>6652846</wp:posOffset>
              </wp:positionH>
              <wp:positionV relativeFrom="page">
                <wp:posOffset>10024130</wp:posOffset>
              </wp:positionV>
              <wp:extent cx="168275" cy="160655"/>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168275" cy="160655"/>
                      </a:xfrm>
                      <a:prstGeom prst="rect">
                        <a:avLst/>
                      </a:prstGeom>
                    </wps:spPr>
                    <wps:txbx>
                      <w:txbxContent>
                        <w:p>
                          <w:pPr>
                            <w:spacing w:before="14"/>
                            <w:ind w:left="20" w:right="0" w:firstLine="0"/>
                            <w:jc w:val="left"/>
                            <w:rPr>
                              <w:sz w:val="19"/>
                            </w:rPr>
                          </w:pPr>
                          <w:r>
                            <w:rPr>
                              <w:color w:val="0F0F0F"/>
                              <w:spacing w:val="-5"/>
                              <w:w w:val="105"/>
                              <w:sz w:val="19"/>
                            </w:rPr>
                            <w:t>59</w:t>
                          </w:r>
                        </w:p>
                      </w:txbxContent>
                    </wps:txbx>
                    <wps:bodyPr wrap="square" lIns="0" tIns="0" rIns="0" bIns="0" rtlCol="0">
                      <a:noAutofit/>
                    </wps:bodyPr>
                  </wps:wsp>
                </a:graphicData>
              </a:graphic>
            </wp:anchor>
          </w:drawing>
        </mc:Choice>
        <mc:Fallback>
          <w:pict>
            <v:shape style="position:absolute;margin-left:523.846191pt;margin-top:789.301636pt;width:13.25pt;height:12.65pt;mso-position-horizontal-relative:page;mso-position-vertical-relative:page;z-index:-27433984" type="#_x0000_t202" id="docshape131" filled="false" stroked="false">
              <v:textbox inset="0,0,0,0">
                <w:txbxContent>
                  <w:p>
                    <w:pPr>
                      <w:spacing w:before="14"/>
                      <w:ind w:left="20" w:right="0" w:firstLine="0"/>
                      <w:jc w:val="left"/>
                      <w:rPr>
                        <w:sz w:val="19"/>
                      </w:rPr>
                    </w:pPr>
                    <w:r>
                      <w:rPr>
                        <w:color w:val="0F0F0F"/>
                        <w:spacing w:val="-5"/>
                        <w:w w:val="105"/>
                        <w:sz w:val="19"/>
                      </w:rPr>
                      <w:t>59</w:t>
                    </w:r>
                  </w:p>
                </w:txbxContent>
              </v:textbox>
              <w10:wrap type="none"/>
            </v:shape>
          </w:pict>
        </mc:Fallback>
      </mc:AlternateContent>
    </w: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8"/>
      </w:rPr>
    </w:pPr>
    <w:r>
      <w:rPr/>
      <mc:AlternateContent>
        <mc:Choice Requires="wps">
          <w:drawing>
            <wp:anchor distT="0" distB="0" distL="0" distR="0" allowOverlap="1" layoutInCell="1" locked="0" behindDoc="1" simplePos="0" relativeHeight="475884032">
              <wp:simplePos x="0" y="0"/>
              <wp:positionH relativeFrom="page">
                <wp:posOffset>6557712</wp:posOffset>
              </wp:positionH>
              <wp:positionV relativeFrom="page">
                <wp:posOffset>9883762</wp:posOffset>
              </wp:positionV>
              <wp:extent cx="222885" cy="182245"/>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222885" cy="182245"/>
                      </a:xfrm>
                      <a:prstGeom prst="rect">
                        <a:avLst/>
                      </a:prstGeom>
                    </wps:spPr>
                    <wps:txbx>
                      <w:txbxContent>
                        <w:p>
                          <w:pPr>
                            <w:spacing w:before="14"/>
                            <w:ind w:left="50" w:right="0" w:firstLine="0"/>
                            <w:jc w:val="left"/>
                            <w:rPr>
                              <w:sz w:val="19"/>
                            </w:rPr>
                          </w:pPr>
                          <w:r>
                            <w:rPr>
                              <w:color w:val="070707"/>
                              <w:spacing w:val="-5"/>
                              <w:w w:val="105"/>
                              <w:sz w:val="19"/>
                            </w:rPr>
                            <w:fldChar w:fldCharType="begin"/>
                          </w:r>
                          <w:r>
                            <w:rPr>
                              <w:color w:val="070707"/>
                              <w:spacing w:val="-5"/>
                              <w:w w:val="105"/>
                              <w:sz w:val="19"/>
                            </w:rPr>
                            <w:instrText> PAGE </w:instrText>
                          </w:r>
                          <w:r>
                            <w:rPr>
                              <w:color w:val="070707"/>
                              <w:spacing w:val="-5"/>
                              <w:w w:val="105"/>
                              <w:sz w:val="19"/>
                            </w:rPr>
                            <w:fldChar w:fldCharType="separate"/>
                          </w:r>
                          <w:r>
                            <w:rPr>
                              <w:color w:val="070707"/>
                              <w:spacing w:val="-5"/>
                              <w:w w:val="105"/>
                              <w:sz w:val="19"/>
                            </w:rPr>
                            <w:t>62</w:t>
                          </w:r>
                          <w:r>
                            <w:rPr>
                              <w:color w:val="070707"/>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6.355286pt;margin-top:778.249023pt;width:17.55pt;height:14.35pt;mso-position-horizontal-relative:page;mso-position-vertical-relative:page;z-index:-27432448" type="#_x0000_t202" id="docshape135" filled="false" stroked="false">
              <v:textbox inset="0,0,0,0">
                <w:txbxContent>
                  <w:p>
                    <w:pPr>
                      <w:spacing w:before="14"/>
                      <w:ind w:left="50" w:right="0" w:firstLine="0"/>
                      <w:jc w:val="left"/>
                      <w:rPr>
                        <w:sz w:val="19"/>
                      </w:rPr>
                    </w:pPr>
                    <w:r>
                      <w:rPr>
                        <w:color w:val="070707"/>
                        <w:spacing w:val="-5"/>
                        <w:w w:val="105"/>
                        <w:sz w:val="19"/>
                      </w:rPr>
                      <w:fldChar w:fldCharType="begin"/>
                    </w:r>
                    <w:r>
                      <w:rPr>
                        <w:color w:val="070707"/>
                        <w:spacing w:val="-5"/>
                        <w:w w:val="105"/>
                        <w:sz w:val="19"/>
                      </w:rPr>
                      <w:instrText> PAGE </w:instrText>
                    </w:r>
                    <w:r>
                      <w:rPr>
                        <w:color w:val="070707"/>
                        <w:spacing w:val="-5"/>
                        <w:w w:val="105"/>
                        <w:sz w:val="19"/>
                      </w:rPr>
                      <w:fldChar w:fldCharType="separate"/>
                    </w:r>
                    <w:r>
                      <w:rPr>
                        <w:color w:val="070707"/>
                        <w:spacing w:val="-5"/>
                        <w:w w:val="105"/>
                        <w:sz w:val="19"/>
                      </w:rPr>
                      <w:t>62</w:t>
                    </w:r>
                    <w:r>
                      <w:rPr>
                        <w:color w:val="070707"/>
                        <w:spacing w:val="-5"/>
                        <w:w w:val="105"/>
                        <w:sz w:val="19"/>
                      </w:rPr>
                      <w:fldChar w:fldCharType="end"/>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84544">
              <wp:simplePos x="0" y="0"/>
              <wp:positionH relativeFrom="page">
                <wp:posOffset>6483390</wp:posOffset>
              </wp:positionH>
              <wp:positionV relativeFrom="page">
                <wp:posOffset>9816630</wp:posOffset>
              </wp:positionV>
              <wp:extent cx="248285" cy="180975"/>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248285" cy="180975"/>
                      </a:xfrm>
                      <a:prstGeom prst="rect">
                        <a:avLst/>
                      </a:prstGeom>
                    </wps:spPr>
                    <wps:txbx>
                      <w:txbxContent>
                        <w:p>
                          <w:pPr>
                            <w:spacing w:before="14"/>
                            <w:ind w:left="90" w:right="0" w:firstLine="0"/>
                            <w:jc w:val="left"/>
                            <w:rPr>
                              <w:sz w:val="19"/>
                            </w:rPr>
                          </w:pPr>
                          <w:r>
                            <w:rPr>
                              <w:color w:val="070707"/>
                              <w:spacing w:val="-5"/>
                              <w:w w:val="105"/>
                              <w:sz w:val="19"/>
                            </w:rPr>
                            <w:fldChar w:fldCharType="begin"/>
                          </w:r>
                          <w:r>
                            <w:rPr>
                              <w:color w:val="070707"/>
                              <w:spacing w:val="-5"/>
                              <w:w w:val="105"/>
                              <w:sz w:val="19"/>
                            </w:rPr>
                            <w:instrText> PAGE </w:instrText>
                          </w:r>
                          <w:r>
                            <w:rPr>
                              <w:color w:val="070707"/>
                              <w:spacing w:val="-5"/>
                              <w:w w:val="105"/>
                              <w:sz w:val="19"/>
                            </w:rPr>
                            <w:fldChar w:fldCharType="separate"/>
                          </w:r>
                          <w:r>
                            <w:rPr>
                              <w:color w:val="070707"/>
                              <w:spacing w:val="-5"/>
                              <w:w w:val="105"/>
                              <w:sz w:val="19"/>
                            </w:rPr>
                            <w:t>63</w:t>
                          </w:r>
                          <w:r>
                            <w:rPr>
                              <w:color w:val="070707"/>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0.503204pt;margin-top:772.963013pt;width:19.55pt;height:14.25pt;mso-position-horizontal-relative:page;mso-position-vertical-relative:page;z-index:-27431936" type="#_x0000_t202" id="docshape136" filled="false" stroked="false">
              <v:textbox inset="0,0,0,0">
                <w:txbxContent>
                  <w:p>
                    <w:pPr>
                      <w:spacing w:before="14"/>
                      <w:ind w:left="90" w:right="0" w:firstLine="0"/>
                      <w:jc w:val="left"/>
                      <w:rPr>
                        <w:sz w:val="19"/>
                      </w:rPr>
                    </w:pPr>
                    <w:r>
                      <w:rPr>
                        <w:color w:val="070707"/>
                        <w:spacing w:val="-5"/>
                        <w:w w:val="105"/>
                        <w:sz w:val="19"/>
                      </w:rPr>
                      <w:fldChar w:fldCharType="begin"/>
                    </w:r>
                    <w:r>
                      <w:rPr>
                        <w:color w:val="070707"/>
                        <w:spacing w:val="-5"/>
                        <w:w w:val="105"/>
                        <w:sz w:val="19"/>
                      </w:rPr>
                      <w:instrText> PAGE </w:instrText>
                    </w:r>
                    <w:r>
                      <w:rPr>
                        <w:color w:val="070707"/>
                        <w:spacing w:val="-5"/>
                        <w:w w:val="105"/>
                        <w:sz w:val="19"/>
                      </w:rPr>
                      <w:fldChar w:fldCharType="separate"/>
                    </w:r>
                    <w:r>
                      <w:rPr>
                        <w:color w:val="070707"/>
                        <w:spacing w:val="-5"/>
                        <w:w w:val="105"/>
                        <w:sz w:val="19"/>
                      </w:rPr>
                      <w:t>63</w:t>
                    </w:r>
                    <w:r>
                      <w:rPr>
                        <w:color w:val="070707"/>
                        <w:spacing w:val="-5"/>
                        <w:w w:val="105"/>
                        <w:sz w:val="19"/>
                      </w:rPr>
                      <w:fldChar w:fldCharType="end"/>
                    </w:r>
                  </w:p>
                </w:txbxContent>
              </v:textbox>
              <w10:wrap type="none"/>
            </v:shape>
          </w:pict>
        </mc:Fallback>
      </mc:AlternateContent>
    </w: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87104">
              <wp:simplePos x="0" y="0"/>
              <wp:positionH relativeFrom="page">
                <wp:posOffset>6502760</wp:posOffset>
              </wp:positionH>
              <wp:positionV relativeFrom="page">
                <wp:posOffset>9816630</wp:posOffset>
              </wp:positionV>
              <wp:extent cx="229235" cy="160655"/>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229235" cy="160655"/>
                      </a:xfrm>
                      <a:prstGeom prst="rect">
                        <a:avLst/>
                      </a:prstGeom>
                    </wps:spPr>
                    <wps:txbx>
                      <w:txbxContent>
                        <w:p>
                          <w:pPr>
                            <w:spacing w:before="14"/>
                            <w:ind w:left="60" w:right="0" w:firstLine="0"/>
                            <w:jc w:val="left"/>
                            <w:rPr>
                              <w:sz w:val="19"/>
                            </w:rPr>
                          </w:pPr>
                          <w:r>
                            <w:rPr>
                              <w:color w:val="070707"/>
                              <w:spacing w:val="-5"/>
                              <w:w w:val="105"/>
                              <w:sz w:val="19"/>
                            </w:rPr>
                            <w:fldChar w:fldCharType="begin"/>
                          </w:r>
                          <w:r>
                            <w:rPr>
                              <w:color w:val="070707"/>
                              <w:spacing w:val="-5"/>
                              <w:w w:val="105"/>
                              <w:sz w:val="19"/>
                            </w:rPr>
                            <w:instrText> PAGE </w:instrText>
                          </w:r>
                          <w:r>
                            <w:rPr>
                              <w:color w:val="070707"/>
                              <w:spacing w:val="-5"/>
                              <w:w w:val="105"/>
                              <w:sz w:val="19"/>
                            </w:rPr>
                            <w:fldChar w:fldCharType="separate"/>
                          </w:r>
                          <w:r>
                            <w:rPr>
                              <w:color w:val="070707"/>
                              <w:spacing w:val="-5"/>
                              <w:w w:val="105"/>
                              <w:sz w:val="19"/>
                            </w:rPr>
                            <w:t>63</w:t>
                          </w:r>
                          <w:r>
                            <w:rPr>
                              <w:color w:val="070707"/>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2.028381pt;margin-top:772.963013pt;width:18.05pt;height:12.65pt;mso-position-horizontal-relative:page;mso-position-vertical-relative:page;z-index:-27429376" type="#_x0000_t202" id="docshape148" filled="false" stroked="false">
              <v:textbox inset="0,0,0,0">
                <w:txbxContent>
                  <w:p>
                    <w:pPr>
                      <w:spacing w:before="14"/>
                      <w:ind w:left="60" w:right="0" w:firstLine="0"/>
                      <w:jc w:val="left"/>
                      <w:rPr>
                        <w:sz w:val="19"/>
                      </w:rPr>
                    </w:pPr>
                    <w:r>
                      <w:rPr>
                        <w:color w:val="070707"/>
                        <w:spacing w:val="-5"/>
                        <w:w w:val="105"/>
                        <w:sz w:val="19"/>
                      </w:rPr>
                      <w:fldChar w:fldCharType="begin"/>
                    </w:r>
                    <w:r>
                      <w:rPr>
                        <w:color w:val="070707"/>
                        <w:spacing w:val="-5"/>
                        <w:w w:val="105"/>
                        <w:sz w:val="19"/>
                      </w:rPr>
                      <w:instrText> PAGE </w:instrText>
                    </w:r>
                    <w:r>
                      <w:rPr>
                        <w:color w:val="070707"/>
                        <w:spacing w:val="-5"/>
                        <w:w w:val="105"/>
                        <w:sz w:val="19"/>
                      </w:rPr>
                      <w:fldChar w:fldCharType="separate"/>
                    </w:r>
                    <w:r>
                      <w:rPr>
                        <w:color w:val="070707"/>
                        <w:spacing w:val="-5"/>
                        <w:w w:val="105"/>
                        <w:sz w:val="19"/>
                      </w:rPr>
                      <w:t>63</w:t>
                    </w:r>
                    <w:r>
                      <w:rPr>
                        <w:color w:val="070707"/>
                        <w:spacing w:val="-5"/>
                        <w:w w:val="105"/>
                        <w:sz w:val="19"/>
                      </w:rPr>
                      <w:fldChar w:fldCharType="end"/>
                    </w:r>
                  </w:p>
                </w:txbxContent>
              </v:textbox>
              <w10:wrap type="none"/>
            </v:shape>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87616">
              <wp:simplePos x="0" y="0"/>
              <wp:positionH relativeFrom="page">
                <wp:posOffset>6580059</wp:posOffset>
              </wp:positionH>
              <wp:positionV relativeFrom="page">
                <wp:posOffset>10106520</wp:posOffset>
              </wp:positionV>
              <wp:extent cx="172085" cy="160655"/>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172085" cy="160655"/>
                      </a:xfrm>
                      <a:prstGeom prst="rect">
                        <a:avLst/>
                      </a:prstGeom>
                    </wps:spPr>
                    <wps:txbx>
                      <w:txbxContent>
                        <w:p>
                          <w:pPr>
                            <w:spacing w:before="14"/>
                            <w:ind w:left="20" w:right="0" w:firstLine="0"/>
                            <w:jc w:val="left"/>
                            <w:rPr>
                              <w:sz w:val="19"/>
                            </w:rPr>
                          </w:pPr>
                          <w:r>
                            <w:rPr>
                              <w:color w:val="050505"/>
                              <w:spacing w:val="-5"/>
                              <w:w w:val="110"/>
                              <w:sz w:val="19"/>
                            </w:rPr>
                            <w:t>64</w:t>
                          </w:r>
                        </w:p>
                      </w:txbxContent>
                    </wps:txbx>
                    <wps:bodyPr wrap="square" lIns="0" tIns="0" rIns="0" bIns="0" rtlCol="0">
                      <a:noAutofit/>
                    </wps:bodyPr>
                  </wps:wsp>
                </a:graphicData>
              </a:graphic>
            </wp:anchor>
          </w:drawing>
        </mc:Choice>
        <mc:Fallback>
          <w:pict>
            <v:shape style="position:absolute;margin-left:518.114929pt;margin-top:795.789001pt;width:13.55pt;height:12.65pt;mso-position-horizontal-relative:page;mso-position-vertical-relative:page;z-index:-27428864" type="#_x0000_t202" id="docshape149" filled="false" stroked="false">
              <v:textbox inset="0,0,0,0">
                <w:txbxContent>
                  <w:p>
                    <w:pPr>
                      <w:spacing w:before="14"/>
                      <w:ind w:left="20" w:right="0" w:firstLine="0"/>
                      <w:jc w:val="left"/>
                      <w:rPr>
                        <w:sz w:val="19"/>
                      </w:rPr>
                    </w:pPr>
                    <w:r>
                      <w:rPr>
                        <w:color w:val="050505"/>
                        <w:spacing w:val="-5"/>
                        <w:w w:val="110"/>
                        <w:sz w:val="19"/>
                      </w:rPr>
                      <w:t>64</w:t>
                    </w:r>
                  </w:p>
                </w:txbxContent>
              </v:textbox>
              <w10:wrap type="none"/>
            </v:shape>
          </w:pict>
        </mc:Fallback>
      </mc:AlternateContent>
    </w: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88640">
              <wp:simplePos x="0" y="0"/>
              <wp:positionH relativeFrom="page">
                <wp:posOffset>6656141</wp:posOffset>
              </wp:positionH>
              <wp:positionV relativeFrom="page">
                <wp:posOffset>10018375</wp:posOffset>
              </wp:positionV>
              <wp:extent cx="170180" cy="16764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170180" cy="167640"/>
                      </a:xfrm>
                      <a:prstGeom prst="rect">
                        <a:avLst/>
                      </a:prstGeom>
                    </wps:spPr>
                    <wps:txbx>
                      <w:txbxContent>
                        <w:p>
                          <w:pPr>
                            <w:spacing w:before="13"/>
                            <w:ind w:left="20" w:right="0" w:firstLine="0"/>
                            <w:jc w:val="left"/>
                            <w:rPr>
                              <w:sz w:val="20"/>
                            </w:rPr>
                          </w:pPr>
                          <w:r>
                            <w:rPr>
                              <w:color w:val="050505"/>
                              <w:spacing w:val="-5"/>
                              <w:sz w:val="20"/>
                            </w:rPr>
                            <w:t>65</w:t>
                          </w:r>
                        </w:p>
                      </w:txbxContent>
                    </wps:txbx>
                    <wps:bodyPr wrap="square" lIns="0" tIns="0" rIns="0" bIns="0" rtlCol="0">
                      <a:noAutofit/>
                    </wps:bodyPr>
                  </wps:wsp>
                </a:graphicData>
              </a:graphic>
            </wp:anchor>
          </w:drawing>
        </mc:Choice>
        <mc:Fallback>
          <w:pict>
            <v:shape style="position:absolute;margin-left:524.105591pt;margin-top:788.84845pt;width:13.4pt;height:13.2pt;mso-position-horizontal-relative:page;mso-position-vertical-relative:page;z-index:-27427840" type="#_x0000_t202" id="docshape156" filled="false" stroked="false">
              <v:textbox inset="0,0,0,0">
                <w:txbxContent>
                  <w:p>
                    <w:pPr>
                      <w:spacing w:before="13"/>
                      <w:ind w:left="20" w:right="0" w:firstLine="0"/>
                      <w:jc w:val="left"/>
                      <w:rPr>
                        <w:sz w:val="20"/>
                      </w:rPr>
                    </w:pPr>
                    <w:r>
                      <w:rPr>
                        <w:color w:val="050505"/>
                        <w:spacing w:val="-5"/>
                        <w:sz w:val="20"/>
                      </w:rPr>
                      <w:t>65</w:t>
                    </w:r>
                  </w:p>
                </w:txbxContent>
              </v:textbox>
              <w10:wrap type="none"/>
            </v:shape>
          </w:pict>
        </mc:Fallback>
      </mc:AlternateContent>
    </w: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89152">
              <wp:simplePos x="0" y="0"/>
              <wp:positionH relativeFrom="page">
                <wp:posOffset>6577007</wp:posOffset>
              </wp:positionH>
              <wp:positionV relativeFrom="page">
                <wp:posOffset>9929534</wp:posOffset>
              </wp:positionV>
              <wp:extent cx="168275" cy="160655"/>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168275" cy="160655"/>
                      </a:xfrm>
                      <a:prstGeom prst="rect">
                        <a:avLst/>
                      </a:prstGeom>
                    </wps:spPr>
                    <wps:txbx>
                      <w:txbxContent>
                        <w:p>
                          <w:pPr>
                            <w:spacing w:before="14"/>
                            <w:ind w:left="20" w:right="0" w:firstLine="0"/>
                            <w:jc w:val="left"/>
                            <w:rPr>
                              <w:sz w:val="19"/>
                            </w:rPr>
                          </w:pPr>
                          <w:r>
                            <w:rPr>
                              <w:color w:val="0E0E0E"/>
                              <w:spacing w:val="-5"/>
                              <w:w w:val="105"/>
                              <w:sz w:val="19"/>
                            </w:rPr>
                            <w:t>66</w:t>
                          </w:r>
                        </w:p>
                      </w:txbxContent>
                    </wps:txbx>
                    <wps:bodyPr wrap="square" lIns="0" tIns="0" rIns="0" bIns="0" rtlCol="0">
                      <a:noAutofit/>
                    </wps:bodyPr>
                  </wps:wsp>
                </a:graphicData>
              </a:graphic>
            </wp:anchor>
          </w:drawing>
        </mc:Choice>
        <mc:Fallback>
          <w:pict>
            <v:shape style="position:absolute;margin-left:517.874573pt;margin-top:781.853149pt;width:13.25pt;height:12.65pt;mso-position-horizontal-relative:page;mso-position-vertical-relative:page;z-index:-27427328" type="#_x0000_t202" id="docshape157" filled="false" stroked="false">
              <v:textbox inset="0,0,0,0">
                <w:txbxContent>
                  <w:p>
                    <w:pPr>
                      <w:spacing w:before="14"/>
                      <w:ind w:left="20" w:right="0" w:firstLine="0"/>
                      <w:jc w:val="left"/>
                      <w:rPr>
                        <w:sz w:val="19"/>
                      </w:rPr>
                    </w:pPr>
                    <w:r>
                      <w:rPr>
                        <w:color w:val="0E0E0E"/>
                        <w:spacing w:val="-5"/>
                        <w:w w:val="105"/>
                        <w:sz w:val="19"/>
                      </w:rPr>
                      <w:t>66</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4096">
              <wp:simplePos x="0" y="0"/>
              <wp:positionH relativeFrom="page">
                <wp:posOffset>6502773</wp:posOffset>
              </wp:positionH>
              <wp:positionV relativeFrom="page">
                <wp:posOffset>10247236</wp:posOffset>
              </wp:positionV>
              <wp:extent cx="229235" cy="16764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229235" cy="167640"/>
                      </a:xfrm>
                      <a:prstGeom prst="rect">
                        <a:avLst/>
                      </a:prstGeom>
                    </wps:spPr>
                    <wps:txbx>
                      <w:txbxContent>
                        <w:p>
                          <w:pPr>
                            <w:spacing w:before="13"/>
                            <w:ind w:left="60" w:right="0" w:firstLine="0"/>
                            <w:jc w:val="left"/>
                            <w:rPr>
                              <w:sz w:val="20"/>
                            </w:rPr>
                          </w:pPr>
                          <w:r>
                            <w:rPr>
                              <w:color w:val="0C0C0C"/>
                              <w:spacing w:val="-5"/>
                              <w:sz w:val="20"/>
                            </w:rPr>
                            <w:fldChar w:fldCharType="begin"/>
                          </w:r>
                          <w:r>
                            <w:rPr>
                              <w:color w:val="0C0C0C"/>
                              <w:spacing w:val="-5"/>
                              <w:sz w:val="20"/>
                            </w:rPr>
                            <w:instrText> PAGE </w:instrText>
                          </w:r>
                          <w:r>
                            <w:rPr>
                              <w:color w:val="0C0C0C"/>
                              <w:spacing w:val="-5"/>
                              <w:sz w:val="20"/>
                            </w:rPr>
                            <w:fldChar w:fldCharType="separate"/>
                          </w:r>
                          <w:r>
                            <w:rPr>
                              <w:color w:val="0C0C0C"/>
                              <w:spacing w:val="-5"/>
                              <w:sz w:val="20"/>
                            </w:rPr>
                            <w:t>11</w:t>
                          </w:r>
                          <w:r>
                            <w:rPr>
                              <w:color w:val="0C0C0C"/>
                              <w:spacing w:val="-5"/>
                              <w:sz w:val="20"/>
                            </w:rPr>
                            <w:fldChar w:fldCharType="end"/>
                          </w:r>
                        </w:p>
                      </w:txbxContent>
                    </wps:txbx>
                    <wps:bodyPr wrap="square" lIns="0" tIns="0" rIns="0" bIns="0" rtlCol="0">
                      <a:noAutofit/>
                    </wps:bodyPr>
                  </wps:wsp>
                </a:graphicData>
              </a:graphic>
            </wp:anchor>
          </w:drawing>
        </mc:Choice>
        <mc:Fallback>
          <w:pict>
            <v:shape style="position:absolute;margin-left:512.029419pt;margin-top:806.869019pt;width:18.05pt;height:13.2pt;mso-position-horizontal-relative:page;mso-position-vertical-relative:page;z-index:-27472384" type="#_x0000_t202" id="docshape20" filled="false" stroked="false">
              <v:textbox inset="0,0,0,0">
                <w:txbxContent>
                  <w:p>
                    <w:pPr>
                      <w:spacing w:before="13"/>
                      <w:ind w:left="60" w:right="0" w:firstLine="0"/>
                      <w:jc w:val="left"/>
                      <w:rPr>
                        <w:sz w:val="20"/>
                      </w:rPr>
                    </w:pPr>
                    <w:r>
                      <w:rPr>
                        <w:color w:val="0C0C0C"/>
                        <w:spacing w:val="-5"/>
                        <w:sz w:val="20"/>
                      </w:rPr>
                      <w:fldChar w:fldCharType="begin"/>
                    </w:r>
                    <w:r>
                      <w:rPr>
                        <w:color w:val="0C0C0C"/>
                        <w:spacing w:val="-5"/>
                        <w:sz w:val="20"/>
                      </w:rPr>
                      <w:instrText> PAGE </w:instrText>
                    </w:r>
                    <w:r>
                      <w:rPr>
                        <w:color w:val="0C0C0C"/>
                        <w:spacing w:val="-5"/>
                        <w:sz w:val="20"/>
                      </w:rPr>
                      <w:fldChar w:fldCharType="separate"/>
                    </w:r>
                    <w:r>
                      <w:rPr>
                        <w:color w:val="0C0C0C"/>
                        <w:spacing w:val="-5"/>
                        <w:sz w:val="20"/>
                      </w:rPr>
                      <w:t>11</w:t>
                    </w:r>
                    <w:r>
                      <w:rPr>
                        <w:color w:val="0C0C0C"/>
                        <w:spacing w:val="-5"/>
                        <w:sz w:val="20"/>
                      </w:rPr>
                      <w:fldChar w:fldCharType="end"/>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89664">
              <wp:simplePos x="0" y="0"/>
              <wp:positionH relativeFrom="page">
                <wp:posOffset>10064197</wp:posOffset>
              </wp:positionH>
              <wp:positionV relativeFrom="page">
                <wp:posOffset>6918233</wp:posOffset>
              </wp:positionV>
              <wp:extent cx="164465" cy="167640"/>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164465" cy="167640"/>
                      </a:xfrm>
                      <a:prstGeom prst="rect">
                        <a:avLst/>
                      </a:prstGeom>
                    </wps:spPr>
                    <wps:txbx>
                      <w:txbxContent>
                        <w:p>
                          <w:pPr>
                            <w:spacing w:before="13"/>
                            <w:ind w:left="20" w:right="0" w:firstLine="0"/>
                            <w:jc w:val="left"/>
                            <w:rPr>
                              <w:sz w:val="20"/>
                            </w:rPr>
                          </w:pPr>
                          <w:r>
                            <w:rPr>
                              <w:color w:val="030303"/>
                              <w:spacing w:val="-5"/>
                              <w:sz w:val="20"/>
                            </w:rPr>
                            <w:t>68</w:t>
                          </w:r>
                        </w:p>
                      </w:txbxContent>
                    </wps:txbx>
                    <wps:bodyPr wrap="square" lIns="0" tIns="0" rIns="0" bIns="0" rtlCol="0">
                      <a:noAutofit/>
                    </wps:bodyPr>
                  </wps:wsp>
                </a:graphicData>
              </a:graphic>
            </wp:anchor>
          </w:drawing>
        </mc:Choice>
        <mc:Fallback>
          <w:pict>
            <v:shape style="position:absolute;margin-left:792.456482pt;margin-top:544.742798pt;width:12.95pt;height:13.2pt;mso-position-horizontal-relative:page;mso-position-vertical-relative:page;z-index:-27426816" type="#_x0000_t202" id="docshape169" filled="false" stroked="false">
              <v:textbox inset="0,0,0,0">
                <w:txbxContent>
                  <w:p>
                    <w:pPr>
                      <w:spacing w:before="13"/>
                      <w:ind w:left="20" w:right="0" w:firstLine="0"/>
                      <w:jc w:val="left"/>
                      <w:rPr>
                        <w:sz w:val="20"/>
                      </w:rPr>
                    </w:pPr>
                    <w:r>
                      <w:rPr>
                        <w:color w:val="030303"/>
                        <w:spacing w:val="-5"/>
                        <w:sz w:val="20"/>
                      </w:rPr>
                      <w:t>68</w:t>
                    </w:r>
                  </w:p>
                </w:txbxContent>
              </v:textbox>
              <w10:wrap type="none"/>
            </v:shape>
          </w:pict>
        </mc:Fallback>
      </mc:AlternateContent>
    </w: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90176">
              <wp:simplePos x="0" y="0"/>
              <wp:positionH relativeFrom="page">
                <wp:posOffset>10104142</wp:posOffset>
              </wp:positionH>
              <wp:positionV relativeFrom="page">
                <wp:posOffset>6905671</wp:posOffset>
              </wp:positionV>
              <wp:extent cx="168275" cy="160655"/>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168275" cy="160655"/>
                      </a:xfrm>
                      <a:prstGeom prst="rect">
                        <a:avLst/>
                      </a:prstGeom>
                    </wps:spPr>
                    <wps:txbx>
                      <w:txbxContent>
                        <w:p>
                          <w:pPr>
                            <w:spacing w:before="14"/>
                            <w:ind w:left="20" w:right="0" w:firstLine="0"/>
                            <w:jc w:val="left"/>
                            <w:rPr>
                              <w:sz w:val="19"/>
                            </w:rPr>
                          </w:pPr>
                          <w:r>
                            <w:rPr>
                              <w:color w:val="030303"/>
                              <w:spacing w:val="-5"/>
                              <w:w w:val="105"/>
                              <w:sz w:val="19"/>
                            </w:rPr>
                            <w:t>69</w:t>
                          </w:r>
                        </w:p>
                      </w:txbxContent>
                    </wps:txbx>
                    <wps:bodyPr wrap="square" lIns="0" tIns="0" rIns="0" bIns="0" rtlCol="0">
                      <a:noAutofit/>
                    </wps:bodyPr>
                  </wps:wsp>
                </a:graphicData>
              </a:graphic>
            </wp:anchor>
          </w:drawing>
        </mc:Choice>
        <mc:Fallback>
          <w:pict>
            <v:shape style="position:absolute;margin-left:795.601807pt;margin-top:543.753662pt;width:13.25pt;height:12.65pt;mso-position-horizontal-relative:page;mso-position-vertical-relative:page;z-index:-27426304" type="#_x0000_t202" id="docshape170" filled="false" stroked="false">
              <v:textbox inset="0,0,0,0">
                <w:txbxContent>
                  <w:p>
                    <w:pPr>
                      <w:spacing w:before="14"/>
                      <w:ind w:left="20" w:right="0" w:firstLine="0"/>
                      <w:jc w:val="left"/>
                      <w:rPr>
                        <w:sz w:val="19"/>
                      </w:rPr>
                    </w:pPr>
                    <w:r>
                      <w:rPr>
                        <w:color w:val="030303"/>
                        <w:spacing w:val="-5"/>
                        <w:w w:val="105"/>
                        <w:sz w:val="19"/>
                      </w:rPr>
                      <w:t>69</w:t>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92224">
              <wp:simplePos x="0" y="0"/>
              <wp:positionH relativeFrom="page">
                <wp:posOffset>3469508</wp:posOffset>
              </wp:positionH>
              <wp:positionV relativeFrom="page">
                <wp:posOffset>5980525</wp:posOffset>
              </wp:positionV>
              <wp:extent cx="6038215" cy="1270"/>
              <wp:effectExtent l="0" t="0" r="0" b="0"/>
              <wp:wrapNone/>
              <wp:docPr id="281" name="Graphic 281"/>
              <wp:cNvGraphicFramePr>
                <a:graphicFrameLocks/>
              </wp:cNvGraphicFramePr>
              <a:graphic>
                <a:graphicData uri="http://schemas.microsoft.com/office/word/2010/wordprocessingShape">
                  <wps:wsp>
                    <wps:cNvPr id="281" name="Graphic 281"/>
                    <wps:cNvSpPr/>
                    <wps:spPr>
                      <a:xfrm>
                        <a:off x="0" y="0"/>
                        <a:ext cx="6038215" cy="1270"/>
                      </a:xfrm>
                      <a:custGeom>
                        <a:avLst/>
                        <a:gdLst/>
                        <a:ahLst/>
                        <a:cxnLst/>
                        <a:rect l="l" t="t" r="r" b="b"/>
                        <a:pathLst>
                          <a:path w="6038215" h="0">
                            <a:moveTo>
                              <a:pt x="0" y="0"/>
                            </a:moveTo>
                            <a:lnTo>
                              <a:pt x="6038043" y="0"/>
                            </a:lnTo>
                          </a:path>
                        </a:pathLst>
                      </a:custGeom>
                      <a:ln w="1831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7424256" from="273.189636pt,470.907501pt" to="748.626163pt,470.907501pt" stroked="true" strokeweight="1.442464pt" strokecolor="#000000">
              <v:stroke dashstyle="solid"/>
              <w10:wrap type="none"/>
            </v:line>
          </w:pict>
        </mc:Fallback>
      </mc:AlternateContent>
    </w:r>
    <w:r>
      <w:rPr/>
      <mc:AlternateContent>
        <mc:Choice Requires="wps">
          <w:drawing>
            <wp:anchor distT="0" distB="0" distL="0" distR="0" allowOverlap="1" layoutInCell="1" locked="0" behindDoc="1" simplePos="0" relativeHeight="475892736">
              <wp:simplePos x="0" y="0"/>
              <wp:positionH relativeFrom="page">
                <wp:posOffset>10083464</wp:posOffset>
              </wp:positionH>
              <wp:positionV relativeFrom="page">
                <wp:posOffset>6835795</wp:posOffset>
              </wp:positionV>
              <wp:extent cx="236220" cy="167640"/>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236220" cy="167640"/>
                      </a:xfrm>
                      <a:prstGeom prst="rect">
                        <a:avLst/>
                      </a:prstGeom>
                    </wps:spPr>
                    <wps:txbx>
                      <w:txbxContent>
                        <w:p>
                          <w:pPr>
                            <w:spacing w:before="13"/>
                            <w:ind w:left="60" w:right="0" w:firstLine="0"/>
                            <w:jc w:val="left"/>
                            <w:rPr>
                              <w:sz w:val="20"/>
                            </w:rPr>
                          </w:pPr>
                          <w:r>
                            <w:rPr>
                              <w:color w:val="030303"/>
                              <w:spacing w:val="-5"/>
                              <w:w w:val="105"/>
                              <w:sz w:val="20"/>
                            </w:rPr>
                            <w:fldChar w:fldCharType="begin"/>
                          </w:r>
                          <w:r>
                            <w:rPr>
                              <w:color w:val="030303"/>
                              <w:spacing w:val="-5"/>
                              <w:w w:val="105"/>
                              <w:sz w:val="20"/>
                            </w:rPr>
                            <w:instrText> PAGE </w:instrText>
                          </w:r>
                          <w:r>
                            <w:rPr>
                              <w:color w:val="030303"/>
                              <w:spacing w:val="-5"/>
                              <w:w w:val="105"/>
                              <w:sz w:val="20"/>
                            </w:rPr>
                            <w:fldChar w:fldCharType="separate"/>
                          </w:r>
                          <w:r>
                            <w:rPr>
                              <w:color w:val="030303"/>
                              <w:spacing w:val="-5"/>
                              <w:w w:val="105"/>
                              <w:sz w:val="20"/>
                            </w:rPr>
                            <w:t>70</w:t>
                          </w:r>
                          <w:r>
                            <w:rPr>
                              <w:color w:val="030303"/>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793.973572pt;margin-top:538.251648pt;width:18.6pt;height:13.2pt;mso-position-horizontal-relative:page;mso-position-vertical-relative:page;z-index:-27423744" type="#_x0000_t202" id="docshape181" filled="false" stroked="false">
              <v:textbox inset="0,0,0,0">
                <w:txbxContent>
                  <w:p>
                    <w:pPr>
                      <w:spacing w:before="13"/>
                      <w:ind w:left="60" w:right="0" w:firstLine="0"/>
                      <w:jc w:val="left"/>
                      <w:rPr>
                        <w:sz w:val="20"/>
                      </w:rPr>
                    </w:pPr>
                    <w:r>
                      <w:rPr>
                        <w:color w:val="030303"/>
                        <w:spacing w:val="-5"/>
                        <w:w w:val="105"/>
                        <w:sz w:val="20"/>
                      </w:rPr>
                      <w:fldChar w:fldCharType="begin"/>
                    </w:r>
                    <w:r>
                      <w:rPr>
                        <w:color w:val="030303"/>
                        <w:spacing w:val="-5"/>
                        <w:w w:val="105"/>
                        <w:sz w:val="20"/>
                      </w:rPr>
                      <w:instrText> PAGE </w:instrText>
                    </w:r>
                    <w:r>
                      <w:rPr>
                        <w:color w:val="030303"/>
                        <w:spacing w:val="-5"/>
                        <w:w w:val="105"/>
                        <w:sz w:val="20"/>
                      </w:rPr>
                      <w:fldChar w:fldCharType="separate"/>
                    </w:r>
                    <w:r>
                      <w:rPr>
                        <w:color w:val="030303"/>
                        <w:spacing w:val="-5"/>
                        <w:w w:val="105"/>
                        <w:sz w:val="20"/>
                      </w:rPr>
                      <w:t>70</w:t>
                    </w:r>
                    <w:r>
                      <w:rPr>
                        <w:color w:val="030303"/>
                        <w:spacing w:val="-5"/>
                        <w:w w:val="105"/>
                        <w:sz w:val="20"/>
                      </w:rPr>
                      <w:fldChar w:fldCharType="end"/>
                    </w:r>
                  </w:p>
                </w:txbxContent>
              </v:textbox>
              <w10:wrap type="none"/>
            </v:shape>
          </w:pict>
        </mc:Fallback>
      </mc:AlternateContent>
    </w: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93248">
              <wp:simplePos x="0" y="0"/>
              <wp:positionH relativeFrom="page">
                <wp:posOffset>10176055</wp:posOffset>
              </wp:positionH>
              <wp:positionV relativeFrom="page">
                <wp:posOffset>6759465</wp:posOffset>
              </wp:positionV>
              <wp:extent cx="172720" cy="167640"/>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172720" cy="167640"/>
                      </a:xfrm>
                      <a:prstGeom prst="rect">
                        <a:avLst/>
                      </a:prstGeom>
                    </wps:spPr>
                    <wps:txbx>
                      <w:txbxContent>
                        <w:p>
                          <w:pPr>
                            <w:spacing w:before="13"/>
                            <w:ind w:left="20" w:right="0" w:firstLine="0"/>
                            <w:jc w:val="left"/>
                            <w:rPr>
                              <w:sz w:val="20"/>
                            </w:rPr>
                          </w:pPr>
                          <w:r>
                            <w:rPr>
                              <w:color w:val="050505"/>
                              <w:spacing w:val="-5"/>
                              <w:w w:val="105"/>
                              <w:sz w:val="20"/>
                            </w:rPr>
                            <w:t>71</w:t>
                          </w:r>
                        </w:p>
                      </w:txbxContent>
                    </wps:txbx>
                    <wps:bodyPr wrap="square" lIns="0" tIns="0" rIns="0" bIns="0" rtlCol="0">
                      <a:noAutofit/>
                    </wps:bodyPr>
                  </wps:wsp>
                </a:graphicData>
              </a:graphic>
            </wp:anchor>
          </w:drawing>
        </mc:Choice>
        <mc:Fallback>
          <w:pict>
            <v:shape style="position:absolute;margin-left:801.264221pt;margin-top:532.241394pt;width:13.6pt;height:13.2pt;mso-position-horizontal-relative:page;mso-position-vertical-relative:page;z-index:-27423232" type="#_x0000_t202" id="docshape182" filled="false" stroked="false">
              <v:textbox inset="0,0,0,0">
                <w:txbxContent>
                  <w:p>
                    <w:pPr>
                      <w:spacing w:before="13"/>
                      <w:ind w:left="20" w:right="0" w:firstLine="0"/>
                      <w:jc w:val="left"/>
                      <w:rPr>
                        <w:sz w:val="20"/>
                      </w:rPr>
                    </w:pPr>
                    <w:r>
                      <w:rPr>
                        <w:color w:val="050505"/>
                        <w:spacing w:val="-5"/>
                        <w:w w:val="105"/>
                        <w:sz w:val="20"/>
                      </w:rPr>
                      <w:t>71</w:t>
                    </w:r>
                  </w:p>
                </w:txbxContent>
              </v:textbox>
              <w10:wrap type="none"/>
            </v:shape>
          </w:pict>
        </mc:Fallback>
      </mc:AlternateContent>
    </w: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96832">
              <wp:simplePos x="0" y="0"/>
              <wp:positionH relativeFrom="page">
                <wp:posOffset>3469508</wp:posOffset>
              </wp:positionH>
              <wp:positionV relativeFrom="page">
                <wp:posOffset>5992738</wp:posOffset>
              </wp:positionV>
              <wp:extent cx="6038215" cy="1270"/>
              <wp:effectExtent l="0" t="0" r="0" b="0"/>
              <wp:wrapNone/>
              <wp:docPr id="299" name="Graphic 299"/>
              <wp:cNvGraphicFramePr>
                <a:graphicFrameLocks/>
              </wp:cNvGraphicFramePr>
              <a:graphic>
                <a:graphicData uri="http://schemas.microsoft.com/office/word/2010/wordprocessingShape">
                  <wps:wsp>
                    <wps:cNvPr id="299" name="Graphic 299"/>
                    <wps:cNvSpPr/>
                    <wps:spPr>
                      <a:xfrm>
                        <a:off x="0" y="0"/>
                        <a:ext cx="6038215" cy="1270"/>
                      </a:xfrm>
                      <a:custGeom>
                        <a:avLst/>
                        <a:gdLst/>
                        <a:ahLst/>
                        <a:cxnLst/>
                        <a:rect l="l" t="t" r="r" b="b"/>
                        <a:pathLst>
                          <a:path w="6038215" h="0">
                            <a:moveTo>
                              <a:pt x="0" y="0"/>
                            </a:moveTo>
                            <a:lnTo>
                              <a:pt x="6038043" y="0"/>
                            </a:lnTo>
                          </a:path>
                        </a:pathLst>
                      </a:custGeom>
                      <a:ln w="1831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7419648" from="273.189636pt,471.869141pt" to="748.626163pt,471.869141pt" stroked="true" strokeweight="1.442464pt" strokecolor="#000000">
              <v:stroke dashstyle="solid"/>
              <w10:wrap type="none"/>
            </v:line>
          </w:pict>
        </mc:Fallback>
      </mc:AlternateContent>
    </w:r>
    <w:r>
      <w:rPr/>
      <mc:AlternateContent>
        <mc:Choice Requires="wps">
          <w:drawing>
            <wp:anchor distT="0" distB="0" distL="0" distR="0" allowOverlap="1" layoutInCell="1" locked="0" behindDoc="1" simplePos="0" relativeHeight="475897344">
              <wp:simplePos x="0" y="0"/>
              <wp:positionH relativeFrom="page">
                <wp:posOffset>10086519</wp:posOffset>
              </wp:positionH>
              <wp:positionV relativeFrom="page">
                <wp:posOffset>6844955</wp:posOffset>
              </wp:positionV>
              <wp:extent cx="233679" cy="167640"/>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233679" cy="167640"/>
                      </a:xfrm>
                      <a:prstGeom prst="rect">
                        <a:avLst/>
                      </a:prstGeom>
                    </wps:spPr>
                    <wps:txbx>
                      <w:txbxContent>
                        <w:p>
                          <w:pPr>
                            <w:spacing w:before="13"/>
                            <w:ind w:left="60" w:right="0" w:firstLine="0"/>
                            <w:jc w:val="left"/>
                            <w:rPr>
                              <w:sz w:val="20"/>
                            </w:rPr>
                          </w:pPr>
                          <w:r>
                            <w:rPr>
                              <w:color w:val="030303"/>
                              <w:spacing w:val="-5"/>
                              <w:sz w:val="20"/>
                            </w:rPr>
                            <w:fldChar w:fldCharType="begin"/>
                          </w:r>
                          <w:r>
                            <w:rPr>
                              <w:color w:val="030303"/>
                              <w:spacing w:val="-5"/>
                              <w:sz w:val="20"/>
                            </w:rPr>
                            <w:instrText> PAGE </w:instrText>
                          </w:r>
                          <w:r>
                            <w:rPr>
                              <w:color w:val="030303"/>
                              <w:spacing w:val="-5"/>
                              <w:sz w:val="20"/>
                            </w:rPr>
                            <w:fldChar w:fldCharType="separate"/>
                          </w:r>
                          <w:r>
                            <w:rPr>
                              <w:color w:val="030303"/>
                              <w:spacing w:val="-5"/>
                              <w:sz w:val="20"/>
                            </w:rPr>
                            <w:t>72</w:t>
                          </w:r>
                          <w:r>
                            <w:rPr>
                              <w:color w:val="030303"/>
                              <w:spacing w:val="-5"/>
                              <w:sz w:val="20"/>
                            </w:rPr>
                            <w:fldChar w:fldCharType="end"/>
                          </w:r>
                        </w:p>
                      </w:txbxContent>
                    </wps:txbx>
                    <wps:bodyPr wrap="square" lIns="0" tIns="0" rIns="0" bIns="0" rtlCol="0">
                      <a:noAutofit/>
                    </wps:bodyPr>
                  </wps:wsp>
                </a:graphicData>
              </a:graphic>
            </wp:anchor>
          </w:drawing>
        </mc:Choice>
        <mc:Fallback>
          <w:pict>
            <v:shape style="position:absolute;margin-left:794.214111pt;margin-top:538.9729pt;width:18.4pt;height:13.2pt;mso-position-horizontal-relative:page;mso-position-vertical-relative:page;z-index:-27419136" type="#_x0000_t202" id="docshape195" filled="false" stroked="false">
              <v:textbox inset="0,0,0,0">
                <w:txbxContent>
                  <w:p>
                    <w:pPr>
                      <w:spacing w:before="13"/>
                      <w:ind w:left="60" w:right="0" w:firstLine="0"/>
                      <w:jc w:val="left"/>
                      <w:rPr>
                        <w:sz w:val="20"/>
                      </w:rPr>
                    </w:pPr>
                    <w:r>
                      <w:rPr>
                        <w:color w:val="030303"/>
                        <w:spacing w:val="-5"/>
                        <w:sz w:val="20"/>
                      </w:rPr>
                      <w:fldChar w:fldCharType="begin"/>
                    </w:r>
                    <w:r>
                      <w:rPr>
                        <w:color w:val="030303"/>
                        <w:spacing w:val="-5"/>
                        <w:sz w:val="20"/>
                      </w:rPr>
                      <w:instrText> PAGE </w:instrText>
                    </w:r>
                    <w:r>
                      <w:rPr>
                        <w:color w:val="030303"/>
                        <w:spacing w:val="-5"/>
                        <w:sz w:val="20"/>
                      </w:rPr>
                      <w:fldChar w:fldCharType="separate"/>
                    </w:r>
                    <w:r>
                      <w:rPr>
                        <w:color w:val="030303"/>
                        <w:spacing w:val="-5"/>
                        <w:sz w:val="20"/>
                      </w:rPr>
                      <w:t>72</w:t>
                    </w:r>
                    <w:r>
                      <w:rPr>
                        <w:color w:val="030303"/>
                        <w:spacing w:val="-5"/>
                        <w:sz w:val="20"/>
                      </w:rPr>
                      <w:fldChar w:fldCharType="end"/>
                    </w:r>
                  </w:p>
                </w:txbxContent>
              </v:textbox>
              <w10:wrap type="none"/>
            </v:shape>
          </w:pict>
        </mc:Fallback>
      </mc:AlternateContent>
    </w: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97856">
              <wp:simplePos x="0" y="0"/>
              <wp:positionH relativeFrom="page">
                <wp:posOffset>6492514</wp:posOffset>
              </wp:positionH>
              <wp:positionV relativeFrom="page">
                <wp:posOffset>9816630</wp:posOffset>
              </wp:positionV>
              <wp:extent cx="230504" cy="160655"/>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230504" cy="160655"/>
                      </a:xfrm>
                      <a:prstGeom prst="rect">
                        <a:avLst/>
                      </a:prstGeom>
                    </wps:spPr>
                    <wps:txbx>
                      <w:txbxContent>
                        <w:p>
                          <w:pPr>
                            <w:spacing w:before="14"/>
                            <w:ind w:left="60" w:right="0" w:firstLine="0"/>
                            <w:jc w:val="left"/>
                            <w:rPr>
                              <w:sz w:val="19"/>
                            </w:rPr>
                          </w:pPr>
                          <w:r>
                            <w:rPr>
                              <w:color w:val="050505"/>
                              <w:spacing w:val="-5"/>
                              <w:w w:val="105"/>
                              <w:sz w:val="19"/>
                            </w:rPr>
                            <w:fldChar w:fldCharType="begin"/>
                          </w:r>
                          <w:r>
                            <w:rPr>
                              <w:color w:val="050505"/>
                              <w:spacing w:val="-5"/>
                              <w:w w:val="105"/>
                              <w:sz w:val="19"/>
                            </w:rPr>
                            <w:instrText> PAGE </w:instrText>
                          </w:r>
                          <w:r>
                            <w:rPr>
                              <w:color w:val="050505"/>
                              <w:spacing w:val="-5"/>
                              <w:w w:val="105"/>
                              <w:sz w:val="19"/>
                            </w:rPr>
                            <w:fldChar w:fldCharType="separate"/>
                          </w:r>
                          <w:r>
                            <w:rPr>
                              <w:color w:val="050505"/>
                              <w:spacing w:val="-5"/>
                              <w:w w:val="105"/>
                              <w:sz w:val="19"/>
                            </w:rPr>
                            <w:t>73</w:t>
                          </w:r>
                          <w:r>
                            <w:rPr>
                              <w:color w:val="05050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1.221588pt;margin-top:772.963013pt;width:18.150pt;height:12.65pt;mso-position-horizontal-relative:page;mso-position-vertical-relative:page;z-index:-27418624" type="#_x0000_t202" id="docshape196" filled="false" stroked="false">
              <v:textbox inset="0,0,0,0">
                <w:txbxContent>
                  <w:p>
                    <w:pPr>
                      <w:spacing w:before="14"/>
                      <w:ind w:left="60" w:right="0" w:firstLine="0"/>
                      <w:jc w:val="left"/>
                      <w:rPr>
                        <w:sz w:val="19"/>
                      </w:rPr>
                    </w:pPr>
                    <w:r>
                      <w:rPr>
                        <w:color w:val="050505"/>
                        <w:spacing w:val="-5"/>
                        <w:w w:val="105"/>
                        <w:sz w:val="19"/>
                      </w:rPr>
                      <w:fldChar w:fldCharType="begin"/>
                    </w:r>
                    <w:r>
                      <w:rPr>
                        <w:color w:val="050505"/>
                        <w:spacing w:val="-5"/>
                        <w:w w:val="105"/>
                        <w:sz w:val="19"/>
                      </w:rPr>
                      <w:instrText> PAGE </w:instrText>
                    </w:r>
                    <w:r>
                      <w:rPr>
                        <w:color w:val="050505"/>
                        <w:spacing w:val="-5"/>
                        <w:w w:val="105"/>
                        <w:sz w:val="19"/>
                      </w:rPr>
                      <w:fldChar w:fldCharType="separate"/>
                    </w:r>
                    <w:r>
                      <w:rPr>
                        <w:color w:val="050505"/>
                        <w:spacing w:val="-5"/>
                        <w:w w:val="105"/>
                        <w:sz w:val="19"/>
                      </w:rPr>
                      <w:t>73</w:t>
                    </w:r>
                    <w:r>
                      <w:rPr>
                        <w:color w:val="050505"/>
                        <w:spacing w:val="-5"/>
                        <w:w w:val="105"/>
                        <w:sz w:val="19"/>
                      </w:rPr>
                      <w:fldChar w:fldCharType="end"/>
                    </w:r>
                  </w:p>
                </w:txbxContent>
              </v:textbox>
              <w10:wrap type="none"/>
            </v:shape>
          </w:pict>
        </mc:Fallback>
      </mc:AlternateContent>
    </w: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00416">
              <wp:simplePos x="0" y="0"/>
              <wp:positionH relativeFrom="page">
                <wp:posOffset>6562731</wp:posOffset>
              </wp:positionH>
              <wp:positionV relativeFrom="page">
                <wp:posOffset>9892917</wp:posOffset>
              </wp:positionV>
              <wp:extent cx="233045" cy="160655"/>
              <wp:effectExtent l="0" t="0" r="0" b="0"/>
              <wp:wrapNone/>
              <wp:docPr id="333" name="Textbox 333"/>
              <wp:cNvGraphicFramePr>
                <a:graphicFrameLocks/>
              </wp:cNvGraphicFramePr>
              <a:graphic>
                <a:graphicData uri="http://schemas.microsoft.com/office/word/2010/wordprocessingShape">
                  <wps:wsp>
                    <wps:cNvPr id="333" name="Textbox 333"/>
                    <wps:cNvSpPr txBox="1"/>
                    <wps:spPr>
                      <a:xfrm>
                        <a:off x="0" y="0"/>
                        <a:ext cx="233045" cy="160655"/>
                      </a:xfrm>
                      <a:prstGeom prst="rect">
                        <a:avLst/>
                      </a:prstGeom>
                    </wps:spPr>
                    <wps:txbx>
                      <w:txbxContent>
                        <w:p>
                          <w:pPr>
                            <w:spacing w:before="14"/>
                            <w:ind w:left="60" w:right="0" w:firstLine="0"/>
                            <w:jc w:val="left"/>
                            <w:rPr>
                              <w:sz w:val="19"/>
                            </w:rPr>
                          </w:pPr>
                          <w:r>
                            <w:rPr>
                              <w:color w:val="080808"/>
                              <w:spacing w:val="-5"/>
                              <w:w w:val="105"/>
                              <w:sz w:val="19"/>
                            </w:rPr>
                            <w:fldChar w:fldCharType="begin"/>
                          </w:r>
                          <w:r>
                            <w:rPr>
                              <w:color w:val="080808"/>
                              <w:spacing w:val="-5"/>
                              <w:w w:val="105"/>
                              <w:sz w:val="19"/>
                            </w:rPr>
                            <w:instrText> PAGE </w:instrText>
                          </w:r>
                          <w:r>
                            <w:rPr>
                              <w:color w:val="080808"/>
                              <w:spacing w:val="-5"/>
                              <w:w w:val="105"/>
                              <w:sz w:val="19"/>
                            </w:rPr>
                            <w:fldChar w:fldCharType="separate"/>
                          </w:r>
                          <w:r>
                            <w:rPr>
                              <w:color w:val="080808"/>
                              <w:spacing w:val="-5"/>
                              <w:w w:val="105"/>
                              <w:sz w:val="19"/>
                            </w:rPr>
                            <w:t>74</w:t>
                          </w:r>
                          <w:r>
                            <w:rPr>
                              <w:color w:val="080808"/>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6.750488pt;margin-top:778.969849pt;width:18.350pt;height:12.65pt;mso-position-horizontal-relative:page;mso-position-vertical-relative:page;z-index:-27416064" type="#_x0000_t202" id="docshape224" filled="false" stroked="false">
              <v:textbox inset="0,0,0,0">
                <w:txbxContent>
                  <w:p>
                    <w:pPr>
                      <w:spacing w:before="14"/>
                      <w:ind w:left="60" w:right="0" w:firstLine="0"/>
                      <w:jc w:val="left"/>
                      <w:rPr>
                        <w:sz w:val="19"/>
                      </w:rPr>
                    </w:pPr>
                    <w:r>
                      <w:rPr>
                        <w:color w:val="080808"/>
                        <w:spacing w:val="-5"/>
                        <w:w w:val="105"/>
                        <w:sz w:val="19"/>
                      </w:rPr>
                      <w:fldChar w:fldCharType="begin"/>
                    </w:r>
                    <w:r>
                      <w:rPr>
                        <w:color w:val="080808"/>
                        <w:spacing w:val="-5"/>
                        <w:w w:val="105"/>
                        <w:sz w:val="19"/>
                      </w:rPr>
                      <w:instrText> PAGE </w:instrText>
                    </w:r>
                    <w:r>
                      <w:rPr>
                        <w:color w:val="080808"/>
                        <w:spacing w:val="-5"/>
                        <w:w w:val="105"/>
                        <w:sz w:val="19"/>
                      </w:rPr>
                      <w:fldChar w:fldCharType="separate"/>
                    </w:r>
                    <w:r>
                      <w:rPr>
                        <w:color w:val="080808"/>
                        <w:spacing w:val="-5"/>
                        <w:w w:val="105"/>
                        <w:sz w:val="19"/>
                      </w:rPr>
                      <w:t>74</w:t>
                    </w:r>
                    <w:r>
                      <w:rPr>
                        <w:color w:val="080808"/>
                        <w:spacing w:val="-5"/>
                        <w:w w:val="105"/>
                        <w:sz w:val="19"/>
                      </w:rPr>
                      <w:fldChar w:fldCharType="end"/>
                    </w:r>
                  </w:p>
                </w:txbxContent>
              </v:textbox>
              <w10:wrap type="none"/>
            </v:shape>
          </w:pict>
        </mc:Fallback>
      </mc:AlternateContent>
    </w: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00928">
              <wp:simplePos x="0" y="0"/>
              <wp:positionH relativeFrom="page">
                <wp:posOffset>6514620</wp:posOffset>
              </wp:positionH>
              <wp:positionV relativeFrom="page">
                <wp:posOffset>9803958</wp:posOffset>
              </wp:positionV>
              <wp:extent cx="225425" cy="173355"/>
              <wp:effectExtent l="0" t="0" r="0" b="0"/>
              <wp:wrapNone/>
              <wp:docPr id="334" name="Textbox 334"/>
              <wp:cNvGraphicFramePr>
                <a:graphicFrameLocks/>
              </wp:cNvGraphicFramePr>
              <a:graphic>
                <a:graphicData uri="http://schemas.microsoft.com/office/word/2010/wordprocessingShape">
                  <wps:wsp>
                    <wps:cNvPr id="334" name="Textbox 334"/>
                    <wps:cNvSpPr txBox="1"/>
                    <wps:spPr>
                      <a:xfrm>
                        <a:off x="0" y="0"/>
                        <a:ext cx="225425" cy="173355"/>
                      </a:xfrm>
                      <a:prstGeom prst="rect">
                        <a:avLst/>
                      </a:prstGeom>
                    </wps:spPr>
                    <wps:txbx>
                      <w:txbxContent>
                        <w:p>
                          <w:pPr>
                            <w:spacing w:before="11"/>
                            <w:ind w:left="60" w:right="0" w:firstLine="0"/>
                            <w:jc w:val="left"/>
                            <w:rPr>
                              <w:rFonts w:ascii="Times New Roman"/>
                              <w:sz w:val="21"/>
                            </w:rPr>
                          </w:pPr>
                          <w:r>
                            <w:rPr>
                              <w:rFonts w:ascii="Times New Roman"/>
                              <w:color w:val="0F0F0F"/>
                              <w:spacing w:val="-5"/>
                              <w:sz w:val="21"/>
                            </w:rPr>
                            <w:fldChar w:fldCharType="begin"/>
                          </w:r>
                          <w:r>
                            <w:rPr>
                              <w:rFonts w:ascii="Times New Roman"/>
                              <w:color w:val="0F0F0F"/>
                              <w:spacing w:val="-5"/>
                              <w:sz w:val="21"/>
                            </w:rPr>
                            <w:instrText> PAGE </w:instrText>
                          </w:r>
                          <w:r>
                            <w:rPr>
                              <w:rFonts w:ascii="Times New Roman"/>
                              <w:color w:val="0F0F0F"/>
                              <w:spacing w:val="-5"/>
                              <w:sz w:val="21"/>
                            </w:rPr>
                            <w:fldChar w:fldCharType="separate"/>
                          </w:r>
                          <w:r>
                            <w:rPr>
                              <w:rFonts w:ascii="Times New Roman"/>
                              <w:color w:val="0F0F0F"/>
                              <w:spacing w:val="-5"/>
                              <w:sz w:val="21"/>
                            </w:rPr>
                            <w:t>75</w:t>
                          </w:r>
                          <w:r>
                            <w:rPr>
                              <w:rFonts w:ascii="Times New Roman"/>
                              <w:color w:val="0F0F0F"/>
                              <w:spacing w:val="-5"/>
                              <w:sz w:val="21"/>
                            </w:rPr>
                            <w:fldChar w:fldCharType="end"/>
                          </w:r>
                        </w:p>
                      </w:txbxContent>
                    </wps:txbx>
                    <wps:bodyPr wrap="square" lIns="0" tIns="0" rIns="0" bIns="0" rtlCol="0">
                      <a:noAutofit/>
                    </wps:bodyPr>
                  </wps:wsp>
                </a:graphicData>
              </a:graphic>
            </wp:anchor>
          </w:drawing>
        </mc:Choice>
        <mc:Fallback>
          <w:pict>
            <v:shape style="position:absolute;margin-left:512.96228pt;margin-top:771.965271pt;width:17.75pt;height:13.65pt;mso-position-horizontal-relative:page;mso-position-vertical-relative:page;z-index:-27415552" type="#_x0000_t202" id="docshape225" filled="false" stroked="false">
              <v:textbox inset="0,0,0,0">
                <w:txbxContent>
                  <w:p>
                    <w:pPr>
                      <w:spacing w:before="11"/>
                      <w:ind w:left="60" w:right="0" w:firstLine="0"/>
                      <w:jc w:val="left"/>
                      <w:rPr>
                        <w:rFonts w:ascii="Times New Roman"/>
                        <w:sz w:val="21"/>
                      </w:rPr>
                    </w:pPr>
                    <w:r>
                      <w:rPr>
                        <w:rFonts w:ascii="Times New Roman"/>
                        <w:color w:val="0F0F0F"/>
                        <w:spacing w:val="-5"/>
                        <w:sz w:val="21"/>
                      </w:rPr>
                      <w:fldChar w:fldCharType="begin"/>
                    </w:r>
                    <w:r>
                      <w:rPr>
                        <w:rFonts w:ascii="Times New Roman"/>
                        <w:color w:val="0F0F0F"/>
                        <w:spacing w:val="-5"/>
                        <w:sz w:val="21"/>
                      </w:rPr>
                      <w:instrText> PAGE </w:instrText>
                    </w:r>
                    <w:r>
                      <w:rPr>
                        <w:rFonts w:ascii="Times New Roman"/>
                        <w:color w:val="0F0F0F"/>
                        <w:spacing w:val="-5"/>
                        <w:sz w:val="21"/>
                      </w:rPr>
                      <w:fldChar w:fldCharType="separate"/>
                    </w:r>
                    <w:r>
                      <w:rPr>
                        <w:rFonts w:ascii="Times New Roman"/>
                        <w:color w:val="0F0F0F"/>
                        <w:spacing w:val="-5"/>
                        <w:sz w:val="21"/>
                      </w:rPr>
                      <w:t>75</w:t>
                    </w:r>
                    <w:r>
                      <w:rPr>
                        <w:rFonts w:ascii="Times New Roman"/>
                        <w:color w:val="0F0F0F"/>
                        <w:spacing w:val="-5"/>
                        <w:sz w:val="21"/>
                      </w:rPr>
                      <w:fldChar w:fldCharType="end"/>
                    </w:r>
                  </w:p>
                </w:txbxContent>
              </v:textbox>
              <w10:wrap type="none"/>
            </v:shape>
          </w:pict>
        </mc:Fallback>
      </mc:AlternateContent>
    </w: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03488">
              <wp:simplePos x="0" y="0"/>
              <wp:positionH relativeFrom="page">
                <wp:posOffset>6556625</wp:posOffset>
              </wp:positionH>
              <wp:positionV relativeFrom="page">
                <wp:posOffset>9905123</wp:posOffset>
              </wp:positionV>
              <wp:extent cx="233045" cy="160655"/>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233045" cy="160655"/>
                      </a:xfrm>
                      <a:prstGeom prst="rect">
                        <a:avLst/>
                      </a:prstGeom>
                    </wps:spPr>
                    <wps:txbx>
                      <w:txbxContent>
                        <w:p>
                          <w:pPr>
                            <w:spacing w:before="14"/>
                            <w:ind w:left="60" w:right="0" w:firstLine="0"/>
                            <w:jc w:val="left"/>
                            <w:rPr>
                              <w:sz w:val="19"/>
                            </w:rPr>
                          </w:pPr>
                          <w:r>
                            <w:rPr>
                              <w:color w:val="0C0C0C"/>
                              <w:spacing w:val="-5"/>
                              <w:w w:val="105"/>
                              <w:sz w:val="19"/>
                            </w:rPr>
                            <w:fldChar w:fldCharType="begin"/>
                          </w:r>
                          <w:r>
                            <w:rPr>
                              <w:color w:val="0C0C0C"/>
                              <w:spacing w:val="-5"/>
                              <w:w w:val="105"/>
                              <w:sz w:val="19"/>
                            </w:rPr>
                            <w:instrText> PAGE </w:instrText>
                          </w:r>
                          <w:r>
                            <w:rPr>
                              <w:color w:val="0C0C0C"/>
                              <w:spacing w:val="-5"/>
                              <w:w w:val="105"/>
                              <w:sz w:val="19"/>
                            </w:rPr>
                            <w:fldChar w:fldCharType="separate"/>
                          </w:r>
                          <w:r>
                            <w:rPr>
                              <w:color w:val="0C0C0C"/>
                              <w:spacing w:val="-5"/>
                              <w:w w:val="105"/>
                              <w:sz w:val="19"/>
                            </w:rPr>
                            <w:t>76</w:t>
                          </w:r>
                          <w:r>
                            <w:rPr>
                              <w:color w:val="0C0C0C"/>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6.269714pt;margin-top:779.930969pt;width:18.350pt;height:12.65pt;mso-position-horizontal-relative:page;mso-position-vertical-relative:page;z-index:-27412992" type="#_x0000_t202" id="docshape233" filled="false" stroked="false">
              <v:textbox inset="0,0,0,0">
                <w:txbxContent>
                  <w:p>
                    <w:pPr>
                      <w:spacing w:before="14"/>
                      <w:ind w:left="60" w:right="0" w:firstLine="0"/>
                      <w:jc w:val="left"/>
                      <w:rPr>
                        <w:sz w:val="19"/>
                      </w:rPr>
                    </w:pPr>
                    <w:r>
                      <w:rPr>
                        <w:color w:val="0C0C0C"/>
                        <w:spacing w:val="-5"/>
                        <w:w w:val="105"/>
                        <w:sz w:val="19"/>
                      </w:rPr>
                      <w:fldChar w:fldCharType="begin"/>
                    </w:r>
                    <w:r>
                      <w:rPr>
                        <w:color w:val="0C0C0C"/>
                        <w:spacing w:val="-5"/>
                        <w:w w:val="105"/>
                        <w:sz w:val="19"/>
                      </w:rPr>
                      <w:instrText> PAGE </w:instrText>
                    </w:r>
                    <w:r>
                      <w:rPr>
                        <w:color w:val="0C0C0C"/>
                        <w:spacing w:val="-5"/>
                        <w:w w:val="105"/>
                        <w:sz w:val="19"/>
                      </w:rPr>
                      <w:fldChar w:fldCharType="separate"/>
                    </w:r>
                    <w:r>
                      <w:rPr>
                        <w:color w:val="0C0C0C"/>
                        <w:spacing w:val="-5"/>
                        <w:w w:val="105"/>
                        <w:sz w:val="19"/>
                      </w:rPr>
                      <w:t>76</w:t>
                    </w:r>
                    <w:r>
                      <w:rPr>
                        <w:color w:val="0C0C0C"/>
                        <w:spacing w:val="-5"/>
                        <w:w w:val="105"/>
                        <w:sz w:val="19"/>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4608">
              <wp:simplePos x="0" y="0"/>
              <wp:positionH relativeFrom="page">
                <wp:posOffset>6567437</wp:posOffset>
              </wp:positionH>
              <wp:positionV relativeFrom="page">
                <wp:posOffset>10359616</wp:posOffset>
              </wp:positionV>
              <wp:extent cx="248920" cy="19113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248920" cy="191135"/>
                      </a:xfrm>
                      <a:prstGeom prst="rect">
                        <a:avLst/>
                      </a:prstGeom>
                    </wps:spPr>
                    <wps:txbx>
                      <w:txbxContent>
                        <w:p>
                          <w:pPr>
                            <w:spacing w:before="20"/>
                            <w:ind w:left="60" w:right="0" w:firstLine="0"/>
                            <w:jc w:val="left"/>
                            <w:rPr>
                              <w:rFonts w:ascii="Courier New"/>
                              <w:sz w:val="23"/>
                            </w:rPr>
                          </w:pPr>
                          <w:r>
                            <w:rPr>
                              <w:rFonts w:ascii="Courier New"/>
                              <w:color w:val="0E0E0E"/>
                              <w:spacing w:val="-5"/>
                              <w:sz w:val="23"/>
                            </w:rPr>
                            <w:fldChar w:fldCharType="begin"/>
                          </w:r>
                          <w:r>
                            <w:rPr>
                              <w:rFonts w:ascii="Courier New"/>
                              <w:color w:val="0E0E0E"/>
                              <w:spacing w:val="-5"/>
                              <w:sz w:val="23"/>
                            </w:rPr>
                            <w:instrText> PAGE </w:instrText>
                          </w:r>
                          <w:r>
                            <w:rPr>
                              <w:rFonts w:ascii="Courier New"/>
                              <w:color w:val="0E0E0E"/>
                              <w:spacing w:val="-5"/>
                              <w:sz w:val="23"/>
                            </w:rPr>
                            <w:fldChar w:fldCharType="separate"/>
                          </w:r>
                          <w:r>
                            <w:rPr>
                              <w:rFonts w:ascii="Courier New"/>
                              <w:color w:val="0E0E0E"/>
                              <w:spacing w:val="-5"/>
                              <w:sz w:val="23"/>
                            </w:rPr>
                            <w:t>12</w:t>
                          </w:r>
                          <w:r>
                            <w:rPr>
                              <w:rFonts w:ascii="Courier New"/>
                              <w:color w:val="0E0E0E"/>
                              <w:spacing w:val="-5"/>
                              <w:sz w:val="23"/>
                            </w:rPr>
                            <w:fldChar w:fldCharType="end"/>
                          </w:r>
                        </w:p>
                      </w:txbxContent>
                    </wps:txbx>
                    <wps:bodyPr wrap="square" lIns="0" tIns="0" rIns="0" bIns="0" rtlCol="0">
                      <a:noAutofit/>
                    </wps:bodyPr>
                  </wps:wsp>
                </a:graphicData>
              </a:graphic>
            </wp:anchor>
          </w:drawing>
        </mc:Choice>
        <mc:Fallback>
          <w:pict>
            <v:shape style="position:absolute;margin-left:517.121094pt;margin-top:815.717834pt;width:19.6pt;height:15.05pt;mso-position-horizontal-relative:page;mso-position-vertical-relative:page;z-index:-27471872" type="#_x0000_t202" id="docshape21" filled="false" stroked="false">
              <v:textbox inset="0,0,0,0">
                <w:txbxContent>
                  <w:p>
                    <w:pPr>
                      <w:spacing w:before="20"/>
                      <w:ind w:left="60" w:right="0" w:firstLine="0"/>
                      <w:jc w:val="left"/>
                      <w:rPr>
                        <w:rFonts w:ascii="Courier New"/>
                        <w:sz w:val="23"/>
                      </w:rPr>
                    </w:pPr>
                    <w:r>
                      <w:rPr>
                        <w:rFonts w:ascii="Courier New"/>
                        <w:color w:val="0E0E0E"/>
                        <w:spacing w:val="-5"/>
                        <w:sz w:val="23"/>
                      </w:rPr>
                      <w:fldChar w:fldCharType="begin"/>
                    </w:r>
                    <w:r>
                      <w:rPr>
                        <w:rFonts w:ascii="Courier New"/>
                        <w:color w:val="0E0E0E"/>
                        <w:spacing w:val="-5"/>
                        <w:sz w:val="23"/>
                      </w:rPr>
                      <w:instrText> PAGE </w:instrText>
                    </w:r>
                    <w:r>
                      <w:rPr>
                        <w:rFonts w:ascii="Courier New"/>
                        <w:color w:val="0E0E0E"/>
                        <w:spacing w:val="-5"/>
                        <w:sz w:val="23"/>
                      </w:rPr>
                      <w:fldChar w:fldCharType="separate"/>
                    </w:r>
                    <w:r>
                      <w:rPr>
                        <w:rFonts w:ascii="Courier New"/>
                        <w:color w:val="0E0E0E"/>
                        <w:spacing w:val="-5"/>
                        <w:sz w:val="23"/>
                      </w:rPr>
                      <w:t>12</w:t>
                    </w:r>
                    <w:r>
                      <w:rPr>
                        <w:rFonts w:ascii="Courier New"/>
                        <w:color w:val="0E0E0E"/>
                        <w:spacing w:val="-5"/>
                        <w:sz w:val="23"/>
                      </w:rPr>
                      <w:fldChar w:fldCharType="end"/>
                    </w:r>
                  </w:p>
                </w:txbxContent>
              </v:textbox>
              <w10:wrap type="none"/>
            </v:shape>
          </w:pict>
        </mc:Fallback>
      </mc:AlternateContent>
    </w: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04000">
              <wp:simplePos x="0" y="0"/>
              <wp:positionH relativeFrom="page">
                <wp:posOffset>6504425</wp:posOffset>
              </wp:positionH>
              <wp:positionV relativeFrom="page">
                <wp:posOffset>9820029</wp:posOffset>
              </wp:positionV>
              <wp:extent cx="233679" cy="167640"/>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233679" cy="167640"/>
                      </a:xfrm>
                      <a:prstGeom prst="rect">
                        <a:avLst/>
                      </a:prstGeom>
                    </wps:spPr>
                    <wps:txbx>
                      <w:txbxContent>
                        <w:p>
                          <w:pPr>
                            <w:spacing w:before="13"/>
                            <w:ind w:left="60" w:right="0" w:firstLine="0"/>
                            <w:jc w:val="left"/>
                            <w:rPr>
                              <w:sz w:val="20"/>
                            </w:rPr>
                          </w:pPr>
                          <w:r>
                            <w:rPr>
                              <w:color w:val="0E0E0E"/>
                              <w:spacing w:val="-5"/>
                              <w:sz w:val="20"/>
                            </w:rPr>
                            <w:fldChar w:fldCharType="begin"/>
                          </w:r>
                          <w:r>
                            <w:rPr>
                              <w:color w:val="0E0E0E"/>
                              <w:spacing w:val="-5"/>
                              <w:sz w:val="20"/>
                            </w:rPr>
                            <w:instrText> PAGE </w:instrText>
                          </w:r>
                          <w:r>
                            <w:rPr>
                              <w:color w:val="0E0E0E"/>
                              <w:spacing w:val="-5"/>
                              <w:sz w:val="20"/>
                            </w:rPr>
                            <w:fldChar w:fldCharType="separate"/>
                          </w:r>
                          <w:r>
                            <w:rPr>
                              <w:color w:val="0E0E0E"/>
                              <w:spacing w:val="-5"/>
                              <w:sz w:val="20"/>
                            </w:rPr>
                            <w:t>77</w:t>
                          </w:r>
                          <w:r>
                            <w:rPr>
                              <w:color w:val="0E0E0E"/>
                              <w:spacing w:val="-5"/>
                              <w:sz w:val="20"/>
                            </w:rPr>
                            <w:fldChar w:fldCharType="end"/>
                          </w:r>
                        </w:p>
                      </w:txbxContent>
                    </wps:txbx>
                    <wps:bodyPr wrap="square" lIns="0" tIns="0" rIns="0" bIns="0" rtlCol="0">
                      <a:noAutofit/>
                    </wps:bodyPr>
                  </wps:wsp>
                </a:graphicData>
              </a:graphic>
            </wp:anchor>
          </w:drawing>
        </mc:Choice>
        <mc:Fallback>
          <w:pict>
            <v:shape style="position:absolute;margin-left:512.159485pt;margin-top:773.230652pt;width:18.4pt;height:13.2pt;mso-position-horizontal-relative:page;mso-position-vertical-relative:page;z-index:-27412480" type="#_x0000_t202" id="docshape234" filled="false" stroked="false">
              <v:textbox inset="0,0,0,0">
                <w:txbxContent>
                  <w:p>
                    <w:pPr>
                      <w:spacing w:before="13"/>
                      <w:ind w:left="60" w:right="0" w:firstLine="0"/>
                      <w:jc w:val="left"/>
                      <w:rPr>
                        <w:sz w:val="20"/>
                      </w:rPr>
                    </w:pPr>
                    <w:r>
                      <w:rPr>
                        <w:color w:val="0E0E0E"/>
                        <w:spacing w:val="-5"/>
                        <w:sz w:val="20"/>
                      </w:rPr>
                      <w:fldChar w:fldCharType="begin"/>
                    </w:r>
                    <w:r>
                      <w:rPr>
                        <w:color w:val="0E0E0E"/>
                        <w:spacing w:val="-5"/>
                        <w:sz w:val="20"/>
                      </w:rPr>
                      <w:instrText> PAGE </w:instrText>
                    </w:r>
                    <w:r>
                      <w:rPr>
                        <w:color w:val="0E0E0E"/>
                        <w:spacing w:val="-5"/>
                        <w:sz w:val="20"/>
                      </w:rPr>
                      <w:fldChar w:fldCharType="separate"/>
                    </w:r>
                    <w:r>
                      <w:rPr>
                        <w:color w:val="0E0E0E"/>
                        <w:spacing w:val="-5"/>
                        <w:sz w:val="20"/>
                      </w:rPr>
                      <w:t>77</w:t>
                    </w:r>
                    <w:r>
                      <w:rPr>
                        <w:color w:val="0E0E0E"/>
                        <w:spacing w:val="-5"/>
                        <w:sz w:val="20"/>
                      </w:rPr>
                      <w:fldChar w:fldCharType="end"/>
                    </w:r>
                  </w:p>
                </w:txbxContent>
              </v:textbox>
              <w10:wrap type="none"/>
            </v:shape>
          </w:pict>
        </mc:Fallback>
      </mc:AlternateContent>
    </w: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04512">
              <wp:simplePos x="0" y="0"/>
              <wp:positionH relativeFrom="page">
                <wp:posOffset>6553572</wp:posOffset>
              </wp:positionH>
              <wp:positionV relativeFrom="page">
                <wp:posOffset>9917328</wp:posOffset>
              </wp:positionV>
              <wp:extent cx="235585" cy="160655"/>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235585" cy="160655"/>
                      </a:xfrm>
                      <a:prstGeom prst="rect">
                        <a:avLst/>
                      </a:prstGeom>
                    </wps:spPr>
                    <wps:txbx>
                      <w:txbxContent>
                        <w:p>
                          <w:pPr>
                            <w:spacing w:before="14"/>
                            <w:ind w:left="60" w:right="0" w:firstLine="0"/>
                            <w:jc w:val="left"/>
                            <w:rPr>
                              <w:sz w:val="19"/>
                            </w:rPr>
                          </w:pPr>
                          <w:r>
                            <w:rPr>
                              <w:color w:val="050505"/>
                              <w:spacing w:val="-5"/>
                              <w:w w:val="110"/>
                              <w:sz w:val="19"/>
                            </w:rPr>
                            <w:fldChar w:fldCharType="begin"/>
                          </w:r>
                          <w:r>
                            <w:rPr>
                              <w:color w:val="050505"/>
                              <w:spacing w:val="-5"/>
                              <w:w w:val="110"/>
                              <w:sz w:val="19"/>
                            </w:rPr>
                            <w:instrText> PAGE </w:instrText>
                          </w:r>
                          <w:r>
                            <w:rPr>
                              <w:color w:val="050505"/>
                              <w:spacing w:val="-5"/>
                              <w:w w:val="110"/>
                              <w:sz w:val="19"/>
                            </w:rPr>
                            <w:fldChar w:fldCharType="separate"/>
                          </w:r>
                          <w:r>
                            <w:rPr>
                              <w:color w:val="050505"/>
                              <w:spacing w:val="-5"/>
                              <w:w w:val="110"/>
                              <w:sz w:val="19"/>
                            </w:rPr>
                            <w:t>78</w:t>
                          </w:r>
                          <w:r>
                            <w:rPr>
                              <w:color w:val="050505"/>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16.029297pt;margin-top:780.892029pt;width:18.55pt;height:12.65pt;mso-position-horizontal-relative:page;mso-position-vertical-relative:page;z-index:-27411968" type="#_x0000_t202" id="docshape243" filled="false" stroked="false">
              <v:textbox inset="0,0,0,0">
                <w:txbxContent>
                  <w:p>
                    <w:pPr>
                      <w:spacing w:before="14"/>
                      <w:ind w:left="60" w:right="0" w:firstLine="0"/>
                      <w:jc w:val="left"/>
                      <w:rPr>
                        <w:sz w:val="19"/>
                      </w:rPr>
                    </w:pPr>
                    <w:r>
                      <w:rPr>
                        <w:color w:val="050505"/>
                        <w:spacing w:val="-5"/>
                        <w:w w:val="110"/>
                        <w:sz w:val="19"/>
                      </w:rPr>
                      <w:fldChar w:fldCharType="begin"/>
                    </w:r>
                    <w:r>
                      <w:rPr>
                        <w:color w:val="050505"/>
                        <w:spacing w:val="-5"/>
                        <w:w w:val="110"/>
                        <w:sz w:val="19"/>
                      </w:rPr>
                      <w:instrText> PAGE </w:instrText>
                    </w:r>
                    <w:r>
                      <w:rPr>
                        <w:color w:val="050505"/>
                        <w:spacing w:val="-5"/>
                        <w:w w:val="110"/>
                        <w:sz w:val="19"/>
                      </w:rPr>
                      <w:fldChar w:fldCharType="separate"/>
                    </w:r>
                    <w:r>
                      <w:rPr>
                        <w:color w:val="050505"/>
                        <w:spacing w:val="-5"/>
                        <w:w w:val="110"/>
                        <w:sz w:val="19"/>
                      </w:rPr>
                      <w:t>78</w:t>
                    </w:r>
                    <w:r>
                      <w:rPr>
                        <w:color w:val="050505"/>
                        <w:spacing w:val="-5"/>
                        <w:w w:val="110"/>
                        <w:sz w:val="19"/>
                      </w:rPr>
                      <w:fldChar w:fldCharType="end"/>
                    </w:r>
                  </w:p>
                </w:txbxContent>
              </v:textbox>
              <w10:wrap type="none"/>
            </v:shape>
          </w:pict>
        </mc:Fallback>
      </mc:AlternateContent>
    </w: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05024">
              <wp:simplePos x="0" y="0"/>
              <wp:positionH relativeFrom="page">
                <wp:posOffset>6513584</wp:posOffset>
              </wp:positionH>
              <wp:positionV relativeFrom="page">
                <wp:posOffset>9823081</wp:posOffset>
              </wp:positionV>
              <wp:extent cx="231775" cy="167640"/>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a:off x="0" y="0"/>
                        <a:ext cx="231775" cy="167640"/>
                      </a:xfrm>
                      <a:prstGeom prst="rect">
                        <a:avLst/>
                      </a:prstGeom>
                    </wps:spPr>
                    <wps:txbx>
                      <w:txbxContent>
                        <w:p>
                          <w:pPr>
                            <w:spacing w:before="13"/>
                            <w:ind w:left="60" w:right="0" w:firstLine="0"/>
                            <w:jc w:val="left"/>
                            <w:rPr>
                              <w:sz w:val="20"/>
                            </w:rPr>
                          </w:pPr>
                          <w:r>
                            <w:rPr>
                              <w:color w:val="0C0C0C"/>
                              <w:spacing w:val="-5"/>
                              <w:sz w:val="20"/>
                            </w:rPr>
                            <w:fldChar w:fldCharType="begin"/>
                          </w:r>
                          <w:r>
                            <w:rPr>
                              <w:color w:val="0C0C0C"/>
                              <w:spacing w:val="-5"/>
                              <w:sz w:val="20"/>
                            </w:rPr>
                            <w:instrText> PAGE </w:instrText>
                          </w:r>
                          <w:r>
                            <w:rPr>
                              <w:color w:val="0C0C0C"/>
                              <w:spacing w:val="-5"/>
                              <w:sz w:val="20"/>
                            </w:rPr>
                            <w:fldChar w:fldCharType="separate"/>
                          </w:r>
                          <w:r>
                            <w:rPr>
                              <w:color w:val="0C0C0C"/>
                              <w:spacing w:val="-5"/>
                              <w:sz w:val="20"/>
                            </w:rPr>
                            <w:t>79</w:t>
                          </w:r>
                          <w:r>
                            <w:rPr>
                              <w:color w:val="0C0C0C"/>
                              <w:spacing w:val="-5"/>
                              <w:sz w:val="20"/>
                            </w:rPr>
                            <w:fldChar w:fldCharType="end"/>
                          </w:r>
                        </w:p>
                      </w:txbxContent>
                    </wps:txbx>
                    <wps:bodyPr wrap="square" lIns="0" tIns="0" rIns="0" bIns="0" rtlCol="0">
                      <a:noAutofit/>
                    </wps:bodyPr>
                  </wps:wsp>
                </a:graphicData>
              </a:graphic>
            </wp:anchor>
          </w:drawing>
        </mc:Choice>
        <mc:Fallback>
          <w:pict>
            <v:shape style="position:absolute;margin-left:512.880676pt;margin-top:773.470947pt;width:18.25pt;height:13.2pt;mso-position-horizontal-relative:page;mso-position-vertical-relative:page;z-index:-27411456" type="#_x0000_t202" id="docshape244" filled="false" stroked="false">
              <v:textbox inset="0,0,0,0">
                <w:txbxContent>
                  <w:p>
                    <w:pPr>
                      <w:spacing w:before="13"/>
                      <w:ind w:left="60" w:right="0" w:firstLine="0"/>
                      <w:jc w:val="left"/>
                      <w:rPr>
                        <w:sz w:val="20"/>
                      </w:rPr>
                    </w:pPr>
                    <w:r>
                      <w:rPr>
                        <w:color w:val="0C0C0C"/>
                        <w:spacing w:val="-5"/>
                        <w:sz w:val="20"/>
                      </w:rPr>
                      <w:fldChar w:fldCharType="begin"/>
                    </w:r>
                    <w:r>
                      <w:rPr>
                        <w:color w:val="0C0C0C"/>
                        <w:spacing w:val="-5"/>
                        <w:sz w:val="20"/>
                      </w:rPr>
                      <w:instrText> PAGE </w:instrText>
                    </w:r>
                    <w:r>
                      <w:rPr>
                        <w:color w:val="0C0C0C"/>
                        <w:spacing w:val="-5"/>
                        <w:sz w:val="20"/>
                      </w:rPr>
                      <w:fldChar w:fldCharType="separate"/>
                    </w:r>
                    <w:r>
                      <w:rPr>
                        <w:color w:val="0C0C0C"/>
                        <w:spacing w:val="-5"/>
                        <w:sz w:val="20"/>
                      </w:rPr>
                      <w:t>79</w:t>
                    </w:r>
                    <w:r>
                      <w:rPr>
                        <w:color w:val="0C0C0C"/>
                        <w:spacing w:val="-5"/>
                        <w:sz w:val="20"/>
                      </w:rPr>
                      <w:fldChar w:fldCharType="end"/>
                    </w:r>
                  </w:p>
                </w:txbxContent>
              </v:textbox>
              <w10:wrap type="none"/>
            </v:shape>
          </w:pict>
        </mc:Fallback>
      </mc:AlternateContent>
    </w: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06560">
              <wp:simplePos x="0" y="0"/>
              <wp:positionH relativeFrom="page">
                <wp:posOffset>6573592</wp:posOffset>
              </wp:positionH>
              <wp:positionV relativeFrom="page">
                <wp:posOffset>10079056</wp:posOffset>
              </wp:positionV>
              <wp:extent cx="172085" cy="160655"/>
              <wp:effectExtent l="0" t="0" r="0" b="0"/>
              <wp:wrapNone/>
              <wp:docPr id="376" name="Textbox 376"/>
              <wp:cNvGraphicFramePr>
                <a:graphicFrameLocks/>
              </wp:cNvGraphicFramePr>
              <a:graphic>
                <a:graphicData uri="http://schemas.microsoft.com/office/word/2010/wordprocessingShape">
                  <wps:wsp>
                    <wps:cNvPr id="376" name="Textbox 376"/>
                    <wps:cNvSpPr txBox="1"/>
                    <wps:spPr>
                      <a:xfrm>
                        <a:off x="0" y="0"/>
                        <a:ext cx="172085" cy="160655"/>
                      </a:xfrm>
                      <a:prstGeom prst="rect">
                        <a:avLst/>
                      </a:prstGeom>
                    </wps:spPr>
                    <wps:txbx>
                      <w:txbxContent>
                        <w:p>
                          <w:pPr>
                            <w:spacing w:before="14"/>
                            <w:ind w:left="20" w:right="0" w:firstLine="0"/>
                            <w:jc w:val="left"/>
                            <w:rPr>
                              <w:sz w:val="19"/>
                            </w:rPr>
                          </w:pPr>
                          <w:r>
                            <w:rPr>
                              <w:color w:val="0A0A0A"/>
                              <w:spacing w:val="-5"/>
                              <w:w w:val="110"/>
                              <w:sz w:val="19"/>
                            </w:rPr>
                            <w:t>80</w:t>
                          </w:r>
                        </w:p>
                      </w:txbxContent>
                    </wps:txbx>
                    <wps:bodyPr wrap="square" lIns="0" tIns="0" rIns="0" bIns="0" rtlCol="0">
                      <a:noAutofit/>
                    </wps:bodyPr>
                  </wps:wsp>
                </a:graphicData>
              </a:graphic>
            </wp:anchor>
          </w:drawing>
        </mc:Choice>
        <mc:Fallback>
          <w:pict>
            <v:shape style="position:absolute;margin-left:517.605713pt;margin-top:793.626526pt;width:13.55pt;height:12.65pt;mso-position-horizontal-relative:page;mso-position-vertical-relative:page;z-index:-27409920" type="#_x0000_t202" id="docshape249" filled="false" stroked="false">
              <v:textbox inset="0,0,0,0">
                <w:txbxContent>
                  <w:p>
                    <w:pPr>
                      <w:spacing w:before="14"/>
                      <w:ind w:left="20" w:right="0" w:firstLine="0"/>
                      <w:jc w:val="left"/>
                      <w:rPr>
                        <w:sz w:val="19"/>
                      </w:rPr>
                    </w:pPr>
                    <w:r>
                      <w:rPr>
                        <w:color w:val="0A0A0A"/>
                        <w:spacing w:val="-5"/>
                        <w:w w:val="110"/>
                        <w:sz w:val="19"/>
                      </w:rPr>
                      <w:t>80</w:t>
                    </w:r>
                  </w:p>
                </w:txbxContent>
              </v:textbox>
              <w10:wrap type="none"/>
            </v:shape>
          </w:pict>
        </mc:Fallback>
      </mc:AlternateContent>
    </w: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07072">
              <wp:simplePos x="0" y="0"/>
              <wp:positionH relativeFrom="page">
                <wp:posOffset>6632099</wp:posOffset>
              </wp:positionH>
              <wp:positionV relativeFrom="page">
                <wp:posOffset>10007969</wp:posOffset>
              </wp:positionV>
              <wp:extent cx="150495" cy="166370"/>
              <wp:effectExtent l="0" t="0" r="0" b="0"/>
              <wp:wrapNone/>
              <wp:docPr id="377" name="Textbox 377"/>
              <wp:cNvGraphicFramePr>
                <a:graphicFrameLocks/>
              </wp:cNvGraphicFramePr>
              <a:graphic>
                <a:graphicData uri="http://schemas.microsoft.com/office/word/2010/wordprocessingShape">
                  <wps:wsp>
                    <wps:cNvPr id="377" name="Textbox 377"/>
                    <wps:cNvSpPr txBox="1"/>
                    <wps:spPr>
                      <a:xfrm>
                        <a:off x="0" y="0"/>
                        <a:ext cx="150495" cy="166370"/>
                      </a:xfrm>
                      <a:prstGeom prst="rect">
                        <a:avLst/>
                      </a:prstGeom>
                    </wps:spPr>
                    <wps:txbx>
                      <w:txbxContent>
                        <w:p>
                          <w:pPr>
                            <w:spacing w:before="11"/>
                            <w:ind w:left="20" w:right="0" w:firstLine="0"/>
                            <w:jc w:val="left"/>
                            <w:rPr>
                              <w:rFonts w:ascii="Times New Roman"/>
                              <w:b/>
                              <w:sz w:val="20"/>
                            </w:rPr>
                          </w:pPr>
                          <w:r>
                            <w:rPr>
                              <w:rFonts w:ascii="Times New Roman"/>
                              <w:b/>
                              <w:color w:val="0C0C0C"/>
                              <w:spacing w:val="-5"/>
                              <w:sz w:val="20"/>
                            </w:rPr>
                            <w:t>81</w:t>
                          </w:r>
                        </w:p>
                      </w:txbxContent>
                    </wps:txbx>
                    <wps:bodyPr wrap="square" lIns="0" tIns="0" rIns="0" bIns="0" rtlCol="0">
                      <a:noAutofit/>
                    </wps:bodyPr>
                  </wps:wsp>
                </a:graphicData>
              </a:graphic>
            </wp:anchor>
          </w:drawing>
        </mc:Choice>
        <mc:Fallback>
          <w:pict>
            <v:shape style="position:absolute;margin-left:522.212524pt;margin-top:788.029114pt;width:11.85pt;height:13.1pt;mso-position-horizontal-relative:page;mso-position-vertical-relative:page;z-index:-27409408" type="#_x0000_t202" id="docshape250" filled="false" stroked="false">
              <v:textbox inset="0,0,0,0">
                <w:txbxContent>
                  <w:p>
                    <w:pPr>
                      <w:spacing w:before="11"/>
                      <w:ind w:left="20" w:right="0" w:firstLine="0"/>
                      <w:jc w:val="left"/>
                      <w:rPr>
                        <w:rFonts w:ascii="Times New Roman"/>
                        <w:b/>
                        <w:sz w:val="20"/>
                      </w:rPr>
                    </w:pPr>
                    <w:r>
                      <w:rPr>
                        <w:rFonts w:ascii="Times New Roman"/>
                        <w:b/>
                        <w:color w:val="0C0C0C"/>
                        <w:spacing w:val="-5"/>
                        <w:sz w:val="20"/>
                      </w:rPr>
                      <w:t>81</w:t>
                    </w:r>
                  </w:p>
                </w:txbxContent>
              </v:textbox>
              <w10:wrap type="none"/>
            </v:shape>
          </w:pict>
        </mc:Fallback>
      </mc:AlternateContent>
    </w: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09632">
              <wp:simplePos x="0" y="0"/>
              <wp:positionH relativeFrom="page">
                <wp:posOffset>6578460</wp:posOffset>
              </wp:positionH>
              <wp:positionV relativeFrom="page">
                <wp:posOffset>9902419</wp:posOffset>
              </wp:positionV>
              <wp:extent cx="233679" cy="167640"/>
              <wp:effectExtent l="0" t="0" r="0" b="0"/>
              <wp:wrapNone/>
              <wp:docPr id="402" name="Textbox 402"/>
              <wp:cNvGraphicFramePr>
                <a:graphicFrameLocks/>
              </wp:cNvGraphicFramePr>
              <a:graphic>
                <a:graphicData uri="http://schemas.microsoft.com/office/word/2010/wordprocessingShape">
                  <wps:wsp>
                    <wps:cNvPr id="402" name="Textbox 402"/>
                    <wps:cNvSpPr txBox="1"/>
                    <wps:spPr>
                      <a:xfrm>
                        <a:off x="0" y="0"/>
                        <a:ext cx="233679" cy="167640"/>
                      </a:xfrm>
                      <a:prstGeom prst="rect">
                        <a:avLst/>
                      </a:prstGeom>
                    </wps:spPr>
                    <wps:txbx>
                      <w:txbxContent>
                        <w:p>
                          <w:pPr>
                            <w:spacing w:before="13"/>
                            <w:ind w:left="60" w:right="0" w:firstLine="0"/>
                            <w:jc w:val="left"/>
                            <w:rPr>
                              <w:sz w:val="20"/>
                            </w:rPr>
                          </w:pPr>
                          <w:r>
                            <w:rPr>
                              <w:color w:val="0F0F0F"/>
                              <w:spacing w:val="-5"/>
                              <w:sz w:val="20"/>
                            </w:rPr>
                            <w:fldChar w:fldCharType="begin"/>
                          </w:r>
                          <w:r>
                            <w:rPr>
                              <w:color w:val="0F0F0F"/>
                              <w:spacing w:val="-5"/>
                              <w:sz w:val="20"/>
                            </w:rPr>
                            <w:instrText> PAGE </w:instrText>
                          </w:r>
                          <w:r>
                            <w:rPr>
                              <w:color w:val="0F0F0F"/>
                              <w:spacing w:val="-5"/>
                              <w:sz w:val="20"/>
                            </w:rPr>
                            <w:fldChar w:fldCharType="separate"/>
                          </w:r>
                          <w:r>
                            <w:rPr>
                              <w:color w:val="0F0F0F"/>
                              <w:spacing w:val="-5"/>
                              <w:sz w:val="20"/>
                            </w:rPr>
                            <w:t>82</w:t>
                          </w:r>
                          <w:r>
                            <w:rPr>
                              <w:color w:val="0F0F0F"/>
                              <w:spacing w:val="-5"/>
                              <w:sz w:val="20"/>
                            </w:rPr>
                            <w:fldChar w:fldCharType="end"/>
                          </w:r>
                        </w:p>
                      </w:txbxContent>
                    </wps:txbx>
                    <wps:bodyPr wrap="square" lIns="0" tIns="0" rIns="0" bIns="0" rtlCol="0">
                      <a:noAutofit/>
                    </wps:bodyPr>
                  </wps:wsp>
                </a:graphicData>
              </a:graphic>
            </wp:anchor>
          </w:drawing>
        </mc:Choice>
        <mc:Fallback>
          <w:pict>
            <v:shape style="position:absolute;margin-left:517.989014pt;margin-top:779.718079pt;width:18.4pt;height:13.2pt;mso-position-horizontal-relative:page;mso-position-vertical-relative:page;z-index:-27406848" type="#_x0000_t202" id="docshape264" filled="false" stroked="false">
              <v:textbox inset="0,0,0,0">
                <w:txbxContent>
                  <w:p>
                    <w:pPr>
                      <w:spacing w:before="13"/>
                      <w:ind w:left="60" w:right="0" w:firstLine="0"/>
                      <w:jc w:val="left"/>
                      <w:rPr>
                        <w:sz w:val="20"/>
                      </w:rPr>
                    </w:pPr>
                    <w:r>
                      <w:rPr>
                        <w:color w:val="0F0F0F"/>
                        <w:spacing w:val="-5"/>
                        <w:sz w:val="20"/>
                      </w:rPr>
                      <w:fldChar w:fldCharType="begin"/>
                    </w:r>
                    <w:r>
                      <w:rPr>
                        <w:color w:val="0F0F0F"/>
                        <w:spacing w:val="-5"/>
                        <w:sz w:val="20"/>
                      </w:rPr>
                      <w:instrText> PAGE </w:instrText>
                    </w:r>
                    <w:r>
                      <w:rPr>
                        <w:color w:val="0F0F0F"/>
                        <w:spacing w:val="-5"/>
                        <w:sz w:val="20"/>
                      </w:rPr>
                      <w:fldChar w:fldCharType="separate"/>
                    </w:r>
                    <w:r>
                      <w:rPr>
                        <w:color w:val="0F0F0F"/>
                        <w:spacing w:val="-5"/>
                        <w:sz w:val="20"/>
                      </w:rPr>
                      <w:t>82</w:t>
                    </w:r>
                    <w:r>
                      <w:rPr>
                        <w:color w:val="0F0F0F"/>
                        <w:spacing w:val="-5"/>
                        <w:sz w:val="20"/>
                      </w:rPr>
                      <w:fldChar w:fldCharType="end"/>
                    </w:r>
                  </w:p>
                </w:txbxContent>
              </v:textbox>
              <w10:wrap type="none"/>
            </v:shape>
          </w:pict>
        </mc:Fallback>
      </mc:AlternateContent>
    </w: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10144">
              <wp:simplePos x="0" y="0"/>
              <wp:positionH relativeFrom="page">
                <wp:posOffset>6496291</wp:posOffset>
              </wp:positionH>
              <wp:positionV relativeFrom="page">
                <wp:posOffset>9825784</wp:posOffset>
              </wp:positionV>
              <wp:extent cx="231775" cy="160655"/>
              <wp:effectExtent l="0" t="0" r="0" b="0"/>
              <wp:wrapNone/>
              <wp:docPr id="403" name="Textbox 403"/>
              <wp:cNvGraphicFramePr>
                <a:graphicFrameLocks/>
              </wp:cNvGraphicFramePr>
              <a:graphic>
                <a:graphicData uri="http://schemas.microsoft.com/office/word/2010/wordprocessingShape">
                  <wps:wsp>
                    <wps:cNvPr id="403" name="Textbox 403"/>
                    <wps:cNvSpPr txBox="1"/>
                    <wps:spPr>
                      <a:xfrm>
                        <a:off x="0" y="0"/>
                        <a:ext cx="231775" cy="160655"/>
                      </a:xfrm>
                      <a:prstGeom prst="rect">
                        <a:avLst/>
                      </a:prstGeom>
                    </wps:spPr>
                    <wps:txbx>
                      <w:txbxContent>
                        <w:p>
                          <w:pPr>
                            <w:spacing w:before="14"/>
                            <w:ind w:left="60" w:right="0" w:firstLine="0"/>
                            <w:jc w:val="left"/>
                            <w:rPr>
                              <w:b/>
                              <w:sz w:val="19"/>
                            </w:rPr>
                          </w:pPr>
                          <w:r>
                            <w:rPr>
                              <w:b/>
                              <w:color w:val="0A0A0A"/>
                              <w:spacing w:val="-5"/>
                              <w:w w:val="105"/>
                              <w:sz w:val="19"/>
                            </w:rPr>
                            <w:fldChar w:fldCharType="begin"/>
                          </w:r>
                          <w:r>
                            <w:rPr>
                              <w:b/>
                              <w:color w:val="0A0A0A"/>
                              <w:spacing w:val="-5"/>
                              <w:w w:val="105"/>
                              <w:sz w:val="19"/>
                            </w:rPr>
                            <w:instrText> PAGE </w:instrText>
                          </w:r>
                          <w:r>
                            <w:rPr>
                              <w:b/>
                              <w:color w:val="0A0A0A"/>
                              <w:spacing w:val="-5"/>
                              <w:w w:val="105"/>
                              <w:sz w:val="19"/>
                            </w:rPr>
                            <w:fldChar w:fldCharType="separate"/>
                          </w:r>
                          <w:r>
                            <w:rPr>
                              <w:b/>
                              <w:color w:val="0A0A0A"/>
                              <w:spacing w:val="-5"/>
                              <w:w w:val="105"/>
                              <w:sz w:val="19"/>
                            </w:rPr>
                            <w:t>83</w:t>
                          </w:r>
                          <w:r>
                            <w:rPr>
                              <w:b/>
                              <w:color w:val="0A0A0A"/>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1.519012pt;margin-top:773.683838pt;width:18.25pt;height:12.65pt;mso-position-horizontal-relative:page;mso-position-vertical-relative:page;z-index:-27406336" type="#_x0000_t202" id="docshape265" filled="false" stroked="false">
              <v:textbox inset="0,0,0,0">
                <w:txbxContent>
                  <w:p>
                    <w:pPr>
                      <w:spacing w:before="14"/>
                      <w:ind w:left="60" w:right="0" w:firstLine="0"/>
                      <w:jc w:val="left"/>
                      <w:rPr>
                        <w:b/>
                        <w:sz w:val="19"/>
                      </w:rPr>
                    </w:pPr>
                    <w:r>
                      <w:rPr>
                        <w:b/>
                        <w:color w:val="0A0A0A"/>
                        <w:spacing w:val="-5"/>
                        <w:w w:val="105"/>
                        <w:sz w:val="19"/>
                      </w:rPr>
                      <w:fldChar w:fldCharType="begin"/>
                    </w:r>
                    <w:r>
                      <w:rPr>
                        <w:b/>
                        <w:color w:val="0A0A0A"/>
                        <w:spacing w:val="-5"/>
                        <w:w w:val="105"/>
                        <w:sz w:val="19"/>
                      </w:rPr>
                      <w:instrText> PAGE </w:instrText>
                    </w:r>
                    <w:r>
                      <w:rPr>
                        <w:b/>
                        <w:color w:val="0A0A0A"/>
                        <w:spacing w:val="-5"/>
                        <w:w w:val="105"/>
                        <w:sz w:val="19"/>
                      </w:rPr>
                      <w:fldChar w:fldCharType="separate"/>
                    </w:r>
                    <w:r>
                      <w:rPr>
                        <w:b/>
                        <w:color w:val="0A0A0A"/>
                        <w:spacing w:val="-5"/>
                        <w:w w:val="105"/>
                        <w:sz w:val="19"/>
                      </w:rPr>
                      <w:t>83</w:t>
                    </w:r>
                    <w:r>
                      <w:rPr>
                        <w:b/>
                        <w:color w:val="0A0A0A"/>
                        <w:spacing w:val="-5"/>
                        <w:w w:val="105"/>
                        <w:sz w:val="19"/>
                      </w:rPr>
                      <w:fldChar w:fldCharType="end"/>
                    </w:r>
                  </w:p>
                </w:txbxContent>
              </v:textbox>
              <w10:wrap type="none"/>
            </v:shape>
          </w:pict>
        </mc:Fallback>
      </mc:AlternateContent>
    </w: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12704">
              <wp:simplePos x="0" y="0"/>
              <wp:positionH relativeFrom="page">
                <wp:posOffset>6566509</wp:posOffset>
              </wp:positionH>
              <wp:positionV relativeFrom="page">
                <wp:posOffset>9917328</wp:posOffset>
              </wp:positionV>
              <wp:extent cx="231775" cy="160655"/>
              <wp:effectExtent l="0" t="0" r="0" b="0"/>
              <wp:wrapNone/>
              <wp:docPr id="410" name="Textbox 410"/>
              <wp:cNvGraphicFramePr>
                <a:graphicFrameLocks/>
              </wp:cNvGraphicFramePr>
              <a:graphic>
                <a:graphicData uri="http://schemas.microsoft.com/office/word/2010/wordprocessingShape">
                  <wps:wsp>
                    <wps:cNvPr id="410" name="Textbox 410"/>
                    <wps:cNvSpPr txBox="1"/>
                    <wps:spPr>
                      <a:xfrm>
                        <a:off x="0" y="0"/>
                        <a:ext cx="231775" cy="160655"/>
                      </a:xfrm>
                      <a:prstGeom prst="rect">
                        <a:avLst/>
                      </a:prstGeom>
                    </wps:spPr>
                    <wps:txbx>
                      <w:txbxContent>
                        <w:p>
                          <w:pPr>
                            <w:spacing w:before="14"/>
                            <w:ind w:left="60" w:right="0" w:firstLine="0"/>
                            <w:jc w:val="left"/>
                            <w:rPr>
                              <w:b/>
                              <w:sz w:val="19"/>
                            </w:rPr>
                          </w:pPr>
                          <w:r>
                            <w:rPr>
                              <w:b/>
                              <w:color w:val="0F0F0F"/>
                              <w:spacing w:val="-5"/>
                              <w:w w:val="105"/>
                              <w:sz w:val="19"/>
                            </w:rPr>
                            <w:fldChar w:fldCharType="begin"/>
                          </w:r>
                          <w:r>
                            <w:rPr>
                              <w:b/>
                              <w:color w:val="0F0F0F"/>
                              <w:spacing w:val="-5"/>
                              <w:w w:val="105"/>
                              <w:sz w:val="19"/>
                            </w:rPr>
                            <w:instrText> PAGE </w:instrText>
                          </w:r>
                          <w:r>
                            <w:rPr>
                              <w:b/>
                              <w:color w:val="0F0F0F"/>
                              <w:spacing w:val="-5"/>
                              <w:w w:val="105"/>
                              <w:sz w:val="19"/>
                            </w:rPr>
                            <w:fldChar w:fldCharType="separate"/>
                          </w:r>
                          <w:r>
                            <w:rPr>
                              <w:b/>
                              <w:color w:val="0F0F0F"/>
                              <w:spacing w:val="-5"/>
                              <w:w w:val="105"/>
                              <w:sz w:val="19"/>
                            </w:rPr>
                            <w:t>84</w:t>
                          </w:r>
                          <w:r>
                            <w:rPr>
                              <w:b/>
                              <w:color w:val="0F0F0F"/>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7.047974pt;margin-top:780.892029pt;width:18.25pt;height:12.65pt;mso-position-horizontal-relative:page;mso-position-vertical-relative:page;z-index:-27403776" type="#_x0000_t202" id="docshape270" filled="false" stroked="false">
              <v:textbox inset="0,0,0,0">
                <w:txbxContent>
                  <w:p>
                    <w:pPr>
                      <w:spacing w:before="14"/>
                      <w:ind w:left="60" w:right="0" w:firstLine="0"/>
                      <w:jc w:val="left"/>
                      <w:rPr>
                        <w:b/>
                        <w:sz w:val="19"/>
                      </w:rPr>
                    </w:pPr>
                    <w:r>
                      <w:rPr>
                        <w:b/>
                        <w:color w:val="0F0F0F"/>
                        <w:spacing w:val="-5"/>
                        <w:w w:val="105"/>
                        <w:sz w:val="19"/>
                      </w:rPr>
                      <w:fldChar w:fldCharType="begin"/>
                    </w:r>
                    <w:r>
                      <w:rPr>
                        <w:b/>
                        <w:color w:val="0F0F0F"/>
                        <w:spacing w:val="-5"/>
                        <w:w w:val="105"/>
                        <w:sz w:val="19"/>
                      </w:rPr>
                      <w:instrText> PAGE </w:instrText>
                    </w:r>
                    <w:r>
                      <w:rPr>
                        <w:b/>
                        <w:color w:val="0F0F0F"/>
                        <w:spacing w:val="-5"/>
                        <w:w w:val="105"/>
                        <w:sz w:val="19"/>
                      </w:rPr>
                      <w:fldChar w:fldCharType="separate"/>
                    </w:r>
                    <w:r>
                      <w:rPr>
                        <w:b/>
                        <w:color w:val="0F0F0F"/>
                        <w:spacing w:val="-5"/>
                        <w:w w:val="105"/>
                        <w:sz w:val="19"/>
                      </w:rPr>
                      <w:t>84</w:t>
                    </w:r>
                    <w:r>
                      <w:rPr>
                        <w:b/>
                        <w:color w:val="0F0F0F"/>
                        <w:spacing w:val="-5"/>
                        <w:w w:val="105"/>
                        <w:sz w:val="19"/>
                      </w:rPr>
                      <w:fldChar w:fldCharType="end"/>
                    </w:r>
                  </w:p>
                </w:txbxContent>
              </v:textbox>
              <w10:wrap type="none"/>
            </v:shape>
          </w:pict>
        </mc:Fallback>
      </mc:AlternateContent>
    </w: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7"/>
      </w:rPr>
    </w:pPr>
    <w:r>
      <w:rPr/>
      <mc:AlternateContent>
        <mc:Choice Requires="wps">
          <w:drawing>
            <wp:anchor distT="0" distB="0" distL="0" distR="0" allowOverlap="1" layoutInCell="1" locked="0" behindDoc="1" simplePos="0" relativeHeight="475913216">
              <wp:simplePos x="0" y="0"/>
              <wp:positionH relativeFrom="page">
                <wp:posOffset>6493239</wp:posOffset>
              </wp:positionH>
              <wp:positionV relativeFrom="page">
                <wp:posOffset>9801373</wp:posOffset>
              </wp:positionV>
              <wp:extent cx="229235" cy="187960"/>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a:off x="0" y="0"/>
                        <a:ext cx="229235" cy="187960"/>
                      </a:xfrm>
                      <a:prstGeom prst="rect">
                        <a:avLst/>
                      </a:prstGeom>
                    </wps:spPr>
                    <wps:txbx>
                      <w:txbxContent>
                        <w:p>
                          <w:pPr>
                            <w:spacing w:before="14"/>
                            <w:ind w:left="60" w:right="0" w:firstLine="0"/>
                            <w:jc w:val="left"/>
                            <w:rPr>
                              <w:b/>
                              <w:sz w:val="19"/>
                            </w:rPr>
                          </w:pPr>
                          <w:r>
                            <w:rPr>
                              <w:b/>
                              <w:color w:val="0F0F0F"/>
                              <w:spacing w:val="-5"/>
                              <w:w w:val="105"/>
                              <w:sz w:val="19"/>
                            </w:rPr>
                            <w:fldChar w:fldCharType="begin"/>
                          </w:r>
                          <w:r>
                            <w:rPr>
                              <w:b/>
                              <w:color w:val="0F0F0F"/>
                              <w:spacing w:val="-5"/>
                              <w:w w:val="105"/>
                              <w:sz w:val="19"/>
                            </w:rPr>
                            <w:instrText> PAGE </w:instrText>
                          </w:r>
                          <w:r>
                            <w:rPr>
                              <w:b/>
                              <w:color w:val="0F0F0F"/>
                              <w:spacing w:val="-5"/>
                              <w:w w:val="105"/>
                              <w:sz w:val="19"/>
                            </w:rPr>
                            <w:fldChar w:fldCharType="separate"/>
                          </w:r>
                          <w:r>
                            <w:rPr>
                              <w:b/>
                              <w:color w:val="0F0F0F"/>
                              <w:spacing w:val="-5"/>
                              <w:w w:val="105"/>
                              <w:sz w:val="19"/>
                            </w:rPr>
                            <w:t>87</w:t>
                          </w:r>
                          <w:r>
                            <w:rPr>
                              <w:b/>
                              <w:color w:val="0F0F0F"/>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1.278687pt;margin-top:771.761658pt;width:18.05pt;height:14.8pt;mso-position-horizontal-relative:page;mso-position-vertical-relative:page;z-index:-27403264" type="#_x0000_t202" id="docshape271" filled="false" stroked="false">
              <v:textbox inset="0,0,0,0">
                <w:txbxContent>
                  <w:p>
                    <w:pPr>
                      <w:spacing w:before="14"/>
                      <w:ind w:left="60" w:right="0" w:firstLine="0"/>
                      <w:jc w:val="left"/>
                      <w:rPr>
                        <w:b/>
                        <w:sz w:val="19"/>
                      </w:rPr>
                    </w:pPr>
                    <w:r>
                      <w:rPr>
                        <w:b/>
                        <w:color w:val="0F0F0F"/>
                        <w:spacing w:val="-5"/>
                        <w:w w:val="105"/>
                        <w:sz w:val="19"/>
                      </w:rPr>
                      <w:fldChar w:fldCharType="begin"/>
                    </w:r>
                    <w:r>
                      <w:rPr>
                        <w:b/>
                        <w:color w:val="0F0F0F"/>
                        <w:spacing w:val="-5"/>
                        <w:w w:val="105"/>
                        <w:sz w:val="19"/>
                      </w:rPr>
                      <w:instrText> PAGE </w:instrText>
                    </w:r>
                    <w:r>
                      <w:rPr>
                        <w:b/>
                        <w:color w:val="0F0F0F"/>
                        <w:spacing w:val="-5"/>
                        <w:w w:val="105"/>
                        <w:sz w:val="19"/>
                      </w:rPr>
                      <w:fldChar w:fldCharType="separate"/>
                    </w:r>
                    <w:r>
                      <w:rPr>
                        <w:b/>
                        <w:color w:val="0F0F0F"/>
                        <w:spacing w:val="-5"/>
                        <w:w w:val="105"/>
                        <w:sz w:val="19"/>
                      </w:rPr>
                      <w:t>87</w:t>
                    </w:r>
                    <w:r>
                      <w:rPr>
                        <w:b/>
                        <w:color w:val="0F0F0F"/>
                        <w:spacing w:val="-5"/>
                        <w:w w:val="105"/>
                        <w:sz w:val="19"/>
                      </w:rPr>
                      <w:fldChar w:fldCharType="end"/>
                    </w:r>
                  </w:p>
                </w:txbxContent>
              </v:textbox>
              <w10:wrap type="none"/>
            </v:shape>
          </w:pict>
        </mc:Fallback>
      </mc:AlternateContent>
    </w: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15776">
              <wp:simplePos x="0" y="0"/>
              <wp:positionH relativeFrom="page">
                <wp:posOffset>6578720</wp:posOffset>
              </wp:positionH>
              <wp:positionV relativeFrom="page">
                <wp:posOffset>9899019</wp:posOffset>
              </wp:positionV>
              <wp:extent cx="234315" cy="160655"/>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234315" cy="160655"/>
                      </a:xfrm>
                      <a:prstGeom prst="rect">
                        <a:avLst/>
                      </a:prstGeom>
                    </wps:spPr>
                    <wps:txbx>
                      <w:txbxContent>
                        <w:p>
                          <w:pPr>
                            <w:spacing w:before="14"/>
                            <w:ind w:left="60" w:right="0" w:firstLine="0"/>
                            <w:jc w:val="left"/>
                            <w:rPr>
                              <w:b/>
                              <w:sz w:val="19"/>
                            </w:rPr>
                          </w:pPr>
                          <w:r>
                            <w:rPr>
                              <w:b/>
                              <w:color w:val="0C0C0C"/>
                              <w:spacing w:val="-5"/>
                              <w:w w:val="110"/>
                              <w:sz w:val="19"/>
                            </w:rPr>
                            <w:fldChar w:fldCharType="begin"/>
                          </w:r>
                          <w:r>
                            <w:rPr>
                              <w:b/>
                              <w:color w:val="0C0C0C"/>
                              <w:spacing w:val="-5"/>
                              <w:w w:val="110"/>
                              <w:sz w:val="19"/>
                            </w:rPr>
                            <w:instrText> PAGE </w:instrText>
                          </w:r>
                          <w:r>
                            <w:rPr>
                              <w:b/>
                              <w:color w:val="0C0C0C"/>
                              <w:spacing w:val="-5"/>
                              <w:w w:val="110"/>
                              <w:sz w:val="19"/>
                            </w:rPr>
                            <w:fldChar w:fldCharType="separate"/>
                          </w:r>
                          <w:r>
                            <w:rPr>
                              <w:b/>
                              <w:color w:val="0C0C0C"/>
                              <w:spacing w:val="-5"/>
                              <w:w w:val="110"/>
                              <w:sz w:val="19"/>
                            </w:rPr>
                            <w:t>86</w:t>
                          </w:r>
                          <w:r>
                            <w:rPr>
                              <w:b/>
                              <w:color w:val="0C0C0C"/>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18.009521pt;margin-top:779.450378pt;width:18.45pt;height:12.65pt;mso-position-horizontal-relative:page;mso-position-vertical-relative:page;z-index:-27400704" type="#_x0000_t202" id="docshape280" filled="false" stroked="false">
              <v:textbox inset="0,0,0,0">
                <w:txbxContent>
                  <w:p>
                    <w:pPr>
                      <w:spacing w:before="14"/>
                      <w:ind w:left="60" w:right="0" w:firstLine="0"/>
                      <w:jc w:val="left"/>
                      <w:rPr>
                        <w:b/>
                        <w:sz w:val="19"/>
                      </w:rPr>
                    </w:pPr>
                    <w:r>
                      <w:rPr>
                        <w:b/>
                        <w:color w:val="0C0C0C"/>
                        <w:spacing w:val="-5"/>
                        <w:w w:val="110"/>
                        <w:sz w:val="19"/>
                      </w:rPr>
                      <w:fldChar w:fldCharType="begin"/>
                    </w:r>
                    <w:r>
                      <w:rPr>
                        <w:b/>
                        <w:color w:val="0C0C0C"/>
                        <w:spacing w:val="-5"/>
                        <w:w w:val="110"/>
                        <w:sz w:val="19"/>
                      </w:rPr>
                      <w:instrText> PAGE </w:instrText>
                    </w:r>
                    <w:r>
                      <w:rPr>
                        <w:b/>
                        <w:color w:val="0C0C0C"/>
                        <w:spacing w:val="-5"/>
                        <w:w w:val="110"/>
                        <w:sz w:val="19"/>
                      </w:rPr>
                      <w:fldChar w:fldCharType="separate"/>
                    </w:r>
                    <w:r>
                      <w:rPr>
                        <w:b/>
                        <w:color w:val="0C0C0C"/>
                        <w:spacing w:val="-5"/>
                        <w:w w:val="110"/>
                        <w:sz w:val="19"/>
                      </w:rPr>
                      <w:t>86</w:t>
                    </w:r>
                    <w:r>
                      <w:rPr>
                        <w:b/>
                        <w:color w:val="0C0C0C"/>
                        <w:spacing w:val="-5"/>
                        <w:w w:val="110"/>
                        <w:sz w:val="19"/>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5632">
              <wp:simplePos x="0" y="0"/>
              <wp:positionH relativeFrom="page">
                <wp:posOffset>6500407</wp:posOffset>
              </wp:positionH>
              <wp:positionV relativeFrom="page">
                <wp:posOffset>10280454</wp:posOffset>
              </wp:positionV>
              <wp:extent cx="235585" cy="16065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235585" cy="160655"/>
                      </a:xfrm>
                      <a:prstGeom prst="rect">
                        <a:avLst/>
                      </a:prstGeom>
                    </wps:spPr>
                    <wps:txbx>
                      <w:txbxContent>
                        <w:p>
                          <w:pPr>
                            <w:spacing w:before="14"/>
                            <w:ind w:left="60" w:right="0" w:firstLine="0"/>
                            <w:jc w:val="left"/>
                            <w:rPr>
                              <w:sz w:val="19"/>
                            </w:rPr>
                          </w:pPr>
                          <w:r>
                            <w:rPr>
                              <w:color w:val="0C0C0C"/>
                              <w:spacing w:val="-5"/>
                              <w:w w:val="110"/>
                              <w:sz w:val="19"/>
                            </w:rPr>
                            <w:fldChar w:fldCharType="begin"/>
                          </w:r>
                          <w:r>
                            <w:rPr>
                              <w:color w:val="0C0C0C"/>
                              <w:spacing w:val="-5"/>
                              <w:w w:val="110"/>
                              <w:sz w:val="19"/>
                            </w:rPr>
                            <w:instrText> PAGE </w:instrText>
                          </w:r>
                          <w:r>
                            <w:rPr>
                              <w:color w:val="0C0C0C"/>
                              <w:spacing w:val="-5"/>
                              <w:w w:val="110"/>
                              <w:sz w:val="19"/>
                            </w:rPr>
                            <w:fldChar w:fldCharType="separate"/>
                          </w:r>
                          <w:r>
                            <w:rPr>
                              <w:color w:val="0C0C0C"/>
                              <w:spacing w:val="-5"/>
                              <w:w w:val="110"/>
                              <w:sz w:val="19"/>
                            </w:rPr>
                            <w:t>13</w:t>
                          </w:r>
                          <w:r>
                            <w:rPr>
                              <w:color w:val="0C0C0C"/>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11.843109pt;margin-top:809.484619pt;width:18.55pt;height:12.65pt;mso-position-horizontal-relative:page;mso-position-vertical-relative:page;z-index:-27470848" type="#_x0000_t202" id="docshape23" filled="false" stroked="false">
              <v:textbox inset="0,0,0,0">
                <w:txbxContent>
                  <w:p>
                    <w:pPr>
                      <w:spacing w:before="14"/>
                      <w:ind w:left="60" w:right="0" w:firstLine="0"/>
                      <w:jc w:val="left"/>
                      <w:rPr>
                        <w:sz w:val="19"/>
                      </w:rPr>
                    </w:pPr>
                    <w:r>
                      <w:rPr>
                        <w:color w:val="0C0C0C"/>
                        <w:spacing w:val="-5"/>
                        <w:w w:val="110"/>
                        <w:sz w:val="19"/>
                      </w:rPr>
                      <w:fldChar w:fldCharType="begin"/>
                    </w:r>
                    <w:r>
                      <w:rPr>
                        <w:color w:val="0C0C0C"/>
                        <w:spacing w:val="-5"/>
                        <w:w w:val="110"/>
                        <w:sz w:val="19"/>
                      </w:rPr>
                      <w:instrText> PAGE </w:instrText>
                    </w:r>
                    <w:r>
                      <w:rPr>
                        <w:color w:val="0C0C0C"/>
                        <w:spacing w:val="-5"/>
                        <w:w w:val="110"/>
                        <w:sz w:val="19"/>
                      </w:rPr>
                      <w:fldChar w:fldCharType="separate"/>
                    </w:r>
                    <w:r>
                      <w:rPr>
                        <w:color w:val="0C0C0C"/>
                        <w:spacing w:val="-5"/>
                        <w:w w:val="110"/>
                        <w:sz w:val="19"/>
                      </w:rPr>
                      <w:t>13</w:t>
                    </w:r>
                    <w:r>
                      <w:rPr>
                        <w:color w:val="0C0C0C"/>
                        <w:spacing w:val="-5"/>
                        <w:w w:val="110"/>
                        <w:sz w:val="19"/>
                      </w:rPr>
                      <w:fldChar w:fldCharType="end"/>
                    </w:r>
                  </w:p>
                </w:txbxContent>
              </v:textbox>
              <w10:wrap type="none"/>
            </v:shape>
          </w:pict>
        </mc:Fallback>
      </mc:AlternateContent>
    </w: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16288">
              <wp:simplePos x="0" y="0"/>
              <wp:positionH relativeFrom="page">
                <wp:posOffset>6493239</wp:posOffset>
              </wp:positionH>
              <wp:positionV relativeFrom="page">
                <wp:posOffset>9801373</wp:posOffset>
              </wp:positionV>
              <wp:extent cx="229235" cy="160655"/>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229235" cy="160655"/>
                      </a:xfrm>
                      <a:prstGeom prst="rect">
                        <a:avLst/>
                      </a:prstGeom>
                    </wps:spPr>
                    <wps:txbx>
                      <w:txbxContent>
                        <w:p>
                          <w:pPr>
                            <w:spacing w:before="14"/>
                            <w:ind w:left="60" w:right="0" w:firstLine="0"/>
                            <w:jc w:val="left"/>
                            <w:rPr>
                              <w:b/>
                              <w:sz w:val="19"/>
                            </w:rPr>
                          </w:pPr>
                          <w:r>
                            <w:rPr>
                              <w:b/>
                              <w:color w:val="0F0F0F"/>
                              <w:spacing w:val="-5"/>
                              <w:w w:val="105"/>
                              <w:sz w:val="19"/>
                            </w:rPr>
                            <w:fldChar w:fldCharType="begin"/>
                          </w:r>
                          <w:r>
                            <w:rPr>
                              <w:b/>
                              <w:color w:val="0F0F0F"/>
                              <w:spacing w:val="-5"/>
                              <w:w w:val="105"/>
                              <w:sz w:val="19"/>
                            </w:rPr>
                            <w:instrText> PAGE </w:instrText>
                          </w:r>
                          <w:r>
                            <w:rPr>
                              <w:b/>
                              <w:color w:val="0F0F0F"/>
                              <w:spacing w:val="-5"/>
                              <w:w w:val="105"/>
                              <w:sz w:val="19"/>
                            </w:rPr>
                            <w:fldChar w:fldCharType="separate"/>
                          </w:r>
                          <w:r>
                            <w:rPr>
                              <w:b/>
                              <w:color w:val="0F0F0F"/>
                              <w:spacing w:val="-5"/>
                              <w:w w:val="105"/>
                              <w:sz w:val="19"/>
                            </w:rPr>
                            <w:t>87</w:t>
                          </w:r>
                          <w:r>
                            <w:rPr>
                              <w:b/>
                              <w:color w:val="0F0F0F"/>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1.278687pt;margin-top:771.761658pt;width:18.05pt;height:12.65pt;mso-position-horizontal-relative:page;mso-position-vertical-relative:page;z-index:-27400192" type="#_x0000_t202" id="docshape281" filled="false" stroked="false">
              <v:textbox inset="0,0,0,0">
                <w:txbxContent>
                  <w:p>
                    <w:pPr>
                      <w:spacing w:before="14"/>
                      <w:ind w:left="60" w:right="0" w:firstLine="0"/>
                      <w:jc w:val="left"/>
                      <w:rPr>
                        <w:b/>
                        <w:sz w:val="19"/>
                      </w:rPr>
                    </w:pPr>
                    <w:r>
                      <w:rPr>
                        <w:b/>
                        <w:color w:val="0F0F0F"/>
                        <w:spacing w:val="-5"/>
                        <w:w w:val="105"/>
                        <w:sz w:val="19"/>
                      </w:rPr>
                      <w:fldChar w:fldCharType="begin"/>
                    </w:r>
                    <w:r>
                      <w:rPr>
                        <w:b/>
                        <w:color w:val="0F0F0F"/>
                        <w:spacing w:val="-5"/>
                        <w:w w:val="105"/>
                        <w:sz w:val="19"/>
                      </w:rPr>
                      <w:instrText> PAGE </w:instrText>
                    </w:r>
                    <w:r>
                      <w:rPr>
                        <w:b/>
                        <w:color w:val="0F0F0F"/>
                        <w:spacing w:val="-5"/>
                        <w:w w:val="105"/>
                        <w:sz w:val="19"/>
                      </w:rPr>
                      <w:fldChar w:fldCharType="separate"/>
                    </w:r>
                    <w:r>
                      <w:rPr>
                        <w:b/>
                        <w:color w:val="0F0F0F"/>
                        <w:spacing w:val="-5"/>
                        <w:w w:val="105"/>
                        <w:sz w:val="19"/>
                      </w:rPr>
                      <w:t>87</w:t>
                    </w:r>
                    <w:r>
                      <w:rPr>
                        <w:b/>
                        <w:color w:val="0F0F0F"/>
                        <w:spacing w:val="-5"/>
                        <w:w w:val="105"/>
                        <w:sz w:val="19"/>
                      </w:rPr>
                      <w:fldChar w:fldCharType="end"/>
                    </w:r>
                  </w:p>
                </w:txbxContent>
              </v:textbox>
              <w10:wrap type="none"/>
            </v:shape>
          </w:pict>
        </mc:Fallback>
      </mc:AlternateContent>
    </w: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16800">
              <wp:simplePos x="0" y="0"/>
              <wp:positionH relativeFrom="page">
                <wp:posOffset>6566248</wp:posOffset>
              </wp:positionH>
              <wp:positionV relativeFrom="page">
                <wp:posOffset>9908522</wp:posOffset>
              </wp:positionV>
              <wp:extent cx="231775" cy="167640"/>
              <wp:effectExtent l="0" t="0" r="0" b="0"/>
              <wp:wrapNone/>
              <wp:docPr id="468" name="Textbox 468"/>
              <wp:cNvGraphicFramePr>
                <a:graphicFrameLocks/>
              </wp:cNvGraphicFramePr>
              <a:graphic>
                <a:graphicData uri="http://schemas.microsoft.com/office/word/2010/wordprocessingShape">
                  <wps:wsp>
                    <wps:cNvPr id="468" name="Textbox 468"/>
                    <wps:cNvSpPr txBox="1"/>
                    <wps:spPr>
                      <a:xfrm>
                        <a:off x="0" y="0"/>
                        <a:ext cx="231775" cy="167640"/>
                      </a:xfrm>
                      <a:prstGeom prst="rect">
                        <a:avLst/>
                      </a:prstGeom>
                    </wps:spPr>
                    <wps:txbx>
                      <w:txbxContent>
                        <w:p>
                          <w:pPr>
                            <w:spacing w:before="13"/>
                            <w:ind w:left="60" w:right="0" w:firstLine="0"/>
                            <w:jc w:val="left"/>
                            <w:rPr>
                              <w:b/>
                              <w:sz w:val="20"/>
                            </w:rPr>
                          </w:pPr>
                          <w:r>
                            <w:rPr>
                              <w:b/>
                              <w:color w:val="0A0A0A"/>
                              <w:spacing w:val="-5"/>
                              <w:sz w:val="20"/>
                            </w:rPr>
                            <w:fldChar w:fldCharType="begin"/>
                          </w:r>
                          <w:r>
                            <w:rPr>
                              <w:b/>
                              <w:color w:val="0A0A0A"/>
                              <w:spacing w:val="-5"/>
                              <w:sz w:val="20"/>
                            </w:rPr>
                            <w:instrText> PAGE </w:instrText>
                          </w:r>
                          <w:r>
                            <w:rPr>
                              <w:b/>
                              <w:color w:val="0A0A0A"/>
                              <w:spacing w:val="-5"/>
                              <w:sz w:val="20"/>
                            </w:rPr>
                            <w:fldChar w:fldCharType="separate"/>
                          </w:r>
                          <w:r>
                            <w:rPr>
                              <w:b/>
                              <w:color w:val="0A0A0A"/>
                              <w:spacing w:val="-5"/>
                              <w:sz w:val="20"/>
                            </w:rPr>
                            <w:t>88</w:t>
                          </w:r>
                          <w:r>
                            <w:rPr>
                              <w:b/>
                              <w:color w:val="0A0A0A"/>
                              <w:spacing w:val="-5"/>
                              <w:sz w:val="20"/>
                            </w:rPr>
                            <w:fldChar w:fldCharType="end"/>
                          </w:r>
                        </w:p>
                      </w:txbxContent>
                    </wps:txbx>
                    <wps:bodyPr wrap="square" lIns="0" tIns="0" rIns="0" bIns="0" rtlCol="0">
                      <a:noAutofit/>
                    </wps:bodyPr>
                  </wps:wsp>
                </a:graphicData>
              </a:graphic>
            </wp:anchor>
          </w:drawing>
        </mc:Choice>
        <mc:Fallback>
          <w:pict>
            <v:shape style="position:absolute;margin-left:517.027405pt;margin-top:780.198608pt;width:18.25pt;height:13.2pt;mso-position-horizontal-relative:page;mso-position-vertical-relative:page;z-index:-27399680" type="#_x0000_t202" id="docshape322" filled="false" stroked="false">
              <v:textbox inset="0,0,0,0">
                <w:txbxContent>
                  <w:p>
                    <w:pPr>
                      <w:spacing w:before="13"/>
                      <w:ind w:left="60" w:right="0" w:firstLine="0"/>
                      <w:jc w:val="left"/>
                      <w:rPr>
                        <w:b/>
                        <w:sz w:val="20"/>
                      </w:rPr>
                    </w:pPr>
                    <w:r>
                      <w:rPr>
                        <w:b/>
                        <w:color w:val="0A0A0A"/>
                        <w:spacing w:val="-5"/>
                        <w:sz w:val="20"/>
                      </w:rPr>
                      <w:fldChar w:fldCharType="begin"/>
                    </w:r>
                    <w:r>
                      <w:rPr>
                        <w:b/>
                        <w:color w:val="0A0A0A"/>
                        <w:spacing w:val="-5"/>
                        <w:sz w:val="20"/>
                      </w:rPr>
                      <w:instrText> PAGE </w:instrText>
                    </w:r>
                    <w:r>
                      <w:rPr>
                        <w:b/>
                        <w:color w:val="0A0A0A"/>
                        <w:spacing w:val="-5"/>
                        <w:sz w:val="20"/>
                      </w:rPr>
                      <w:fldChar w:fldCharType="separate"/>
                    </w:r>
                    <w:r>
                      <w:rPr>
                        <w:b/>
                        <w:color w:val="0A0A0A"/>
                        <w:spacing w:val="-5"/>
                        <w:sz w:val="20"/>
                      </w:rPr>
                      <w:t>88</w:t>
                    </w:r>
                    <w:r>
                      <w:rPr>
                        <w:b/>
                        <w:color w:val="0A0A0A"/>
                        <w:spacing w:val="-5"/>
                        <w:sz w:val="20"/>
                      </w:rPr>
                      <w:fldChar w:fldCharType="end"/>
                    </w:r>
                  </w:p>
                </w:txbxContent>
              </v:textbox>
              <w10:wrap type="none"/>
            </v:shape>
          </w:pict>
        </mc:Fallback>
      </mc:AlternateContent>
    </w: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17312">
              <wp:simplePos x="0" y="0"/>
              <wp:positionH relativeFrom="page">
                <wp:posOffset>6481027</wp:posOffset>
              </wp:positionH>
              <wp:positionV relativeFrom="page">
                <wp:posOffset>9819682</wp:posOffset>
              </wp:positionV>
              <wp:extent cx="231775" cy="160655"/>
              <wp:effectExtent l="0" t="0" r="0" b="0"/>
              <wp:wrapNone/>
              <wp:docPr id="469" name="Textbox 469"/>
              <wp:cNvGraphicFramePr>
                <a:graphicFrameLocks/>
              </wp:cNvGraphicFramePr>
              <a:graphic>
                <a:graphicData uri="http://schemas.microsoft.com/office/word/2010/wordprocessingShape">
                  <wps:wsp>
                    <wps:cNvPr id="469" name="Textbox 469"/>
                    <wps:cNvSpPr txBox="1"/>
                    <wps:spPr>
                      <a:xfrm>
                        <a:off x="0" y="0"/>
                        <a:ext cx="231775" cy="160655"/>
                      </a:xfrm>
                      <a:prstGeom prst="rect">
                        <a:avLst/>
                      </a:prstGeom>
                    </wps:spPr>
                    <wps:txbx>
                      <w:txbxContent>
                        <w:p>
                          <w:pPr>
                            <w:spacing w:before="14"/>
                            <w:ind w:left="60" w:right="0" w:firstLine="0"/>
                            <w:jc w:val="left"/>
                            <w:rPr>
                              <w:sz w:val="19"/>
                            </w:rPr>
                          </w:pPr>
                          <w:r>
                            <w:rPr>
                              <w:color w:val="0E0E0E"/>
                              <w:spacing w:val="-5"/>
                              <w:w w:val="105"/>
                              <w:sz w:val="19"/>
                            </w:rPr>
                            <w:fldChar w:fldCharType="begin"/>
                          </w:r>
                          <w:r>
                            <w:rPr>
                              <w:color w:val="0E0E0E"/>
                              <w:spacing w:val="-5"/>
                              <w:w w:val="105"/>
                              <w:sz w:val="19"/>
                            </w:rPr>
                            <w:instrText> PAGE </w:instrText>
                          </w:r>
                          <w:r>
                            <w:rPr>
                              <w:color w:val="0E0E0E"/>
                              <w:spacing w:val="-5"/>
                              <w:w w:val="105"/>
                              <w:sz w:val="19"/>
                            </w:rPr>
                            <w:fldChar w:fldCharType="separate"/>
                          </w:r>
                          <w:r>
                            <w:rPr>
                              <w:color w:val="0E0E0E"/>
                              <w:spacing w:val="-5"/>
                              <w:w w:val="105"/>
                              <w:sz w:val="19"/>
                            </w:rPr>
                            <w:t>89</w:t>
                          </w:r>
                          <w:r>
                            <w:rPr>
                              <w:color w:val="0E0E0E"/>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0.317108pt;margin-top:773.203308pt;width:18.25pt;height:12.65pt;mso-position-horizontal-relative:page;mso-position-vertical-relative:page;z-index:-27399168" type="#_x0000_t202" id="docshape323" filled="false" stroked="false">
              <v:textbox inset="0,0,0,0">
                <w:txbxContent>
                  <w:p>
                    <w:pPr>
                      <w:spacing w:before="14"/>
                      <w:ind w:left="60" w:right="0" w:firstLine="0"/>
                      <w:jc w:val="left"/>
                      <w:rPr>
                        <w:sz w:val="19"/>
                      </w:rPr>
                    </w:pPr>
                    <w:r>
                      <w:rPr>
                        <w:color w:val="0E0E0E"/>
                        <w:spacing w:val="-5"/>
                        <w:w w:val="105"/>
                        <w:sz w:val="19"/>
                      </w:rPr>
                      <w:fldChar w:fldCharType="begin"/>
                    </w:r>
                    <w:r>
                      <w:rPr>
                        <w:color w:val="0E0E0E"/>
                        <w:spacing w:val="-5"/>
                        <w:w w:val="105"/>
                        <w:sz w:val="19"/>
                      </w:rPr>
                      <w:instrText> PAGE </w:instrText>
                    </w:r>
                    <w:r>
                      <w:rPr>
                        <w:color w:val="0E0E0E"/>
                        <w:spacing w:val="-5"/>
                        <w:w w:val="105"/>
                        <w:sz w:val="19"/>
                      </w:rPr>
                      <w:fldChar w:fldCharType="separate"/>
                    </w:r>
                    <w:r>
                      <w:rPr>
                        <w:color w:val="0E0E0E"/>
                        <w:spacing w:val="-5"/>
                        <w:w w:val="105"/>
                        <w:sz w:val="19"/>
                      </w:rPr>
                      <w:t>89</w:t>
                    </w:r>
                    <w:r>
                      <w:rPr>
                        <w:color w:val="0E0E0E"/>
                        <w:spacing w:val="-5"/>
                        <w:w w:val="105"/>
                        <w:sz w:val="19"/>
                      </w:rPr>
                      <w:fldChar w:fldCharType="end"/>
                    </w:r>
                  </w:p>
                </w:txbxContent>
              </v:textbox>
              <w10:wrap type="none"/>
            </v:shape>
          </w:pict>
        </mc:Fallback>
      </mc:AlternateContent>
    </w: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18848">
              <wp:simplePos x="0" y="0"/>
              <wp:positionH relativeFrom="page">
                <wp:posOffset>6625103</wp:posOffset>
              </wp:positionH>
              <wp:positionV relativeFrom="page">
                <wp:posOffset>10079404</wp:posOffset>
              </wp:positionV>
              <wp:extent cx="175895" cy="167640"/>
              <wp:effectExtent l="0" t="0" r="0" b="0"/>
              <wp:wrapNone/>
              <wp:docPr id="475" name="Textbox 475"/>
              <wp:cNvGraphicFramePr>
                <a:graphicFrameLocks/>
              </wp:cNvGraphicFramePr>
              <a:graphic>
                <a:graphicData uri="http://schemas.microsoft.com/office/word/2010/wordprocessingShape">
                  <wps:wsp>
                    <wps:cNvPr id="475" name="Textbox 475"/>
                    <wps:cNvSpPr txBox="1"/>
                    <wps:spPr>
                      <a:xfrm>
                        <a:off x="0" y="0"/>
                        <a:ext cx="175895" cy="167640"/>
                      </a:xfrm>
                      <a:prstGeom prst="rect">
                        <a:avLst/>
                      </a:prstGeom>
                    </wps:spPr>
                    <wps:txbx>
                      <w:txbxContent>
                        <w:p>
                          <w:pPr>
                            <w:spacing w:before="13"/>
                            <w:ind w:left="20" w:right="0" w:firstLine="0"/>
                            <w:jc w:val="left"/>
                            <w:rPr>
                              <w:sz w:val="20"/>
                            </w:rPr>
                          </w:pPr>
                          <w:r>
                            <w:rPr>
                              <w:color w:val="0C0C0C"/>
                              <w:spacing w:val="-5"/>
                              <w:w w:val="105"/>
                              <w:sz w:val="20"/>
                            </w:rPr>
                            <w:t>90</w:t>
                          </w:r>
                        </w:p>
                      </w:txbxContent>
                    </wps:txbx>
                    <wps:bodyPr wrap="square" lIns="0" tIns="0" rIns="0" bIns="0" rtlCol="0">
                      <a:noAutofit/>
                    </wps:bodyPr>
                  </wps:wsp>
                </a:graphicData>
              </a:graphic>
            </wp:anchor>
          </w:drawing>
        </mc:Choice>
        <mc:Fallback>
          <w:pict>
            <v:shape style="position:absolute;margin-left:521.661682pt;margin-top:793.653931pt;width:13.85pt;height:13.2pt;mso-position-horizontal-relative:page;mso-position-vertical-relative:page;z-index:-27397632" type="#_x0000_t202" id="docshape327" filled="false" stroked="false">
              <v:textbox inset="0,0,0,0">
                <w:txbxContent>
                  <w:p>
                    <w:pPr>
                      <w:spacing w:before="13"/>
                      <w:ind w:left="20" w:right="0" w:firstLine="0"/>
                      <w:jc w:val="left"/>
                      <w:rPr>
                        <w:sz w:val="20"/>
                      </w:rPr>
                    </w:pPr>
                    <w:r>
                      <w:rPr>
                        <w:color w:val="0C0C0C"/>
                        <w:spacing w:val="-5"/>
                        <w:w w:val="105"/>
                        <w:sz w:val="20"/>
                      </w:rPr>
                      <w:t>90</w:t>
                    </w:r>
                  </w:p>
                </w:txbxContent>
              </v:textbox>
              <w10:wrap type="none"/>
            </v:shape>
          </w:pict>
        </mc:Fallback>
      </mc:AlternateContent>
    </w: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19360">
              <wp:simplePos x="0" y="0"/>
              <wp:positionH relativeFrom="page">
                <wp:posOffset>6632214</wp:posOffset>
              </wp:positionH>
              <wp:positionV relativeFrom="page">
                <wp:posOffset>10017851</wp:posOffset>
              </wp:positionV>
              <wp:extent cx="187325" cy="191135"/>
              <wp:effectExtent l="0" t="0" r="0" b="0"/>
              <wp:wrapNone/>
              <wp:docPr id="476" name="Textbox 476"/>
              <wp:cNvGraphicFramePr>
                <a:graphicFrameLocks/>
              </wp:cNvGraphicFramePr>
              <a:graphic>
                <a:graphicData uri="http://schemas.microsoft.com/office/word/2010/wordprocessingShape">
                  <wps:wsp>
                    <wps:cNvPr id="476" name="Textbox 476"/>
                    <wps:cNvSpPr txBox="1"/>
                    <wps:spPr>
                      <a:xfrm>
                        <a:off x="0" y="0"/>
                        <a:ext cx="187325" cy="191135"/>
                      </a:xfrm>
                      <a:prstGeom prst="rect">
                        <a:avLst/>
                      </a:prstGeom>
                    </wps:spPr>
                    <wps:txbx>
                      <w:txbxContent>
                        <w:p>
                          <w:pPr>
                            <w:spacing w:before="20"/>
                            <w:ind w:left="20" w:right="0" w:firstLine="0"/>
                            <w:jc w:val="left"/>
                            <w:rPr>
                              <w:rFonts w:ascii="Courier New"/>
                              <w:sz w:val="23"/>
                            </w:rPr>
                          </w:pPr>
                          <w:r>
                            <w:rPr>
                              <w:rFonts w:ascii="Courier New"/>
                              <w:color w:val="0F0F0F"/>
                              <w:spacing w:val="-7"/>
                              <w:sz w:val="23"/>
                            </w:rPr>
                            <w:t>91</w:t>
                          </w:r>
                        </w:p>
                      </w:txbxContent>
                    </wps:txbx>
                    <wps:bodyPr wrap="square" lIns="0" tIns="0" rIns="0" bIns="0" rtlCol="0">
                      <a:noAutofit/>
                    </wps:bodyPr>
                  </wps:wsp>
                </a:graphicData>
              </a:graphic>
            </wp:anchor>
          </w:drawing>
        </mc:Choice>
        <mc:Fallback>
          <w:pict>
            <v:shape style="position:absolute;margin-left:522.221619pt;margin-top:788.80719pt;width:14.75pt;height:15.05pt;mso-position-horizontal-relative:page;mso-position-vertical-relative:page;z-index:-27397120" type="#_x0000_t202" id="docshape328" filled="false" stroked="false">
              <v:textbox inset="0,0,0,0">
                <w:txbxContent>
                  <w:p>
                    <w:pPr>
                      <w:spacing w:before="20"/>
                      <w:ind w:left="20" w:right="0" w:firstLine="0"/>
                      <w:jc w:val="left"/>
                      <w:rPr>
                        <w:rFonts w:ascii="Courier New"/>
                        <w:sz w:val="23"/>
                      </w:rPr>
                    </w:pPr>
                    <w:r>
                      <w:rPr>
                        <w:rFonts w:ascii="Courier New"/>
                        <w:color w:val="0F0F0F"/>
                        <w:spacing w:val="-7"/>
                        <w:sz w:val="23"/>
                      </w:rPr>
                      <w:t>91</w:t>
                    </w:r>
                  </w:p>
                </w:txbxContent>
              </v:textbox>
              <w10:wrap type="none"/>
            </v:shape>
          </w:pict>
        </mc:Fallback>
      </mc:AlternateContent>
    </w: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21920">
              <wp:simplePos x="0" y="0"/>
              <wp:positionH relativeFrom="page">
                <wp:posOffset>6581386</wp:posOffset>
              </wp:positionH>
              <wp:positionV relativeFrom="page">
                <wp:posOffset>9917676</wp:posOffset>
              </wp:positionV>
              <wp:extent cx="233679" cy="167640"/>
              <wp:effectExtent l="0" t="0" r="0" b="0"/>
              <wp:wrapNone/>
              <wp:docPr id="496" name="Textbox 496"/>
              <wp:cNvGraphicFramePr>
                <a:graphicFrameLocks/>
              </wp:cNvGraphicFramePr>
              <a:graphic>
                <a:graphicData uri="http://schemas.microsoft.com/office/word/2010/wordprocessingShape">
                  <wps:wsp>
                    <wps:cNvPr id="496" name="Textbox 496"/>
                    <wps:cNvSpPr txBox="1"/>
                    <wps:spPr>
                      <a:xfrm>
                        <a:off x="0" y="0"/>
                        <a:ext cx="233679" cy="167640"/>
                      </a:xfrm>
                      <a:prstGeom prst="rect">
                        <a:avLst/>
                      </a:prstGeom>
                    </wps:spPr>
                    <wps:txbx>
                      <w:txbxContent>
                        <w:p>
                          <w:pPr>
                            <w:spacing w:before="13"/>
                            <w:ind w:left="60" w:right="0" w:firstLine="0"/>
                            <w:jc w:val="left"/>
                            <w:rPr>
                              <w:sz w:val="20"/>
                            </w:rPr>
                          </w:pPr>
                          <w:r>
                            <w:rPr>
                              <w:color w:val="0A0A0A"/>
                              <w:spacing w:val="-5"/>
                              <w:sz w:val="20"/>
                            </w:rPr>
                            <w:fldChar w:fldCharType="begin"/>
                          </w:r>
                          <w:r>
                            <w:rPr>
                              <w:color w:val="0A0A0A"/>
                              <w:spacing w:val="-5"/>
                              <w:sz w:val="20"/>
                            </w:rPr>
                            <w:instrText> PAGE </w:instrText>
                          </w:r>
                          <w:r>
                            <w:rPr>
                              <w:color w:val="0A0A0A"/>
                              <w:spacing w:val="-5"/>
                              <w:sz w:val="20"/>
                            </w:rPr>
                            <w:fldChar w:fldCharType="separate"/>
                          </w:r>
                          <w:r>
                            <w:rPr>
                              <w:color w:val="0A0A0A"/>
                              <w:spacing w:val="-5"/>
                              <w:sz w:val="20"/>
                            </w:rPr>
                            <w:t>92</w:t>
                          </w:r>
                          <w:r>
                            <w:rPr>
                              <w:color w:val="0A0A0A"/>
                              <w:spacing w:val="-5"/>
                              <w:sz w:val="20"/>
                            </w:rPr>
                            <w:fldChar w:fldCharType="end"/>
                          </w:r>
                        </w:p>
                      </w:txbxContent>
                    </wps:txbx>
                    <wps:bodyPr wrap="square" lIns="0" tIns="0" rIns="0" bIns="0" rtlCol="0">
                      <a:noAutofit/>
                    </wps:bodyPr>
                  </wps:wsp>
                </a:graphicData>
              </a:graphic>
            </wp:anchor>
          </w:drawing>
        </mc:Choice>
        <mc:Fallback>
          <w:pict>
            <v:shape style="position:absolute;margin-left:518.219421pt;margin-top:780.919434pt;width:18.4pt;height:13.2pt;mso-position-horizontal-relative:page;mso-position-vertical-relative:page;z-index:-27394560" type="#_x0000_t202" id="docshape339" filled="false" stroked="false">
              <v:textbox inset="0,0,0,0">
                <w:txbxContent>
                  <w:p>
                    <w:pPr>
                      <w:spacing w:before="13"/>
                      <w:ind w:left="60" w:right="0" w:firstLine="0"/>
                      <w:jc w:val="left"/>
                      <w:rPr>
                        <w:sz w:val="20"/>
                      </w:rPr>
                    </w:pPr>
                    <w:r>
                      <w:rPr>
                        <w:color w:val="0A0A0A"/>
                        <w:spacing w:val="-5"/>
                        <w:sz w:val="20"/>
                      </w:rPr>
                      <w:fldChar w:fldCharType="begin"/>
                    </w:r>
                    <w:r>
                      <w:rPr>
                        <w:color w:val="0A0A0A"/>
                        <w:spacing w:val="-5"/>
                        <w:sz w:val="20"/>
                      </w:rPr>
                      <w:instrText> PAGE </w:instrText>
                    </w:r>
                    <w:r>
                      <w:rPr>
                        <w:color w:val="0A0A0A"/>
                        <w:spacing w:val="-5"/>
                        <w:sz w:val="20"/>
                      </w:rPr>
                      <w:fldChar w:fldCharType="separate"/>
                    </w:r>
                    <w:r>
                      <w:rPr>
                        <w:color w:val="0A0A0A"/>
                        <w:spacing w:val="-5"/>
                        <w:sz w:val="20"/>
                      </w:rPr>
                      <w:t>92</w:t>
                    </w:r>
                    <w:r>
                      <w:rPr>
                        <w:color w:val="0A0A0A"/>
                        <w:spacing w:val="-5"/>
                        <w:sz w:val="20"/>
                      </w:rPr>
                      <w:fldChar w:fldCharType="end"/>
                    </w:r>
                  </w:p>
                </w:txbxContent>
              </v:textbox>
              <w10:wrap type="none"/>
            </v:shape>
          </w:pict>
        </mc:Fallback>
      </mc:AlternateContent>
    </w: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22432">
              <wp:simplePos x="0" y="0"/>
              <wp:positionH relativeFrom="page">
                <wp:posOffset>6492850</wp:posOffset>
              </wp:positionH>
              <wp:positionV relativeFrom="page">
                <wp:posOffset>9810061</wp:posOffset>
              </wp:positionV>
              <wp:extent cx="236220" cy="173355"/>
              <wp:effectExtent l="0" t="0" r="0" b="0"/>
              <wp:wrapNone/>
              <wp:docPr id="497" name="Textbox 497"/>
              <wp:cNvGraphicFramePr>
                <a:graphicFrameLocks/>
              </wp:cNvGraphicFramePr>
              <a:graphic>
                <a:graphicData uri="http://schemas.microsoft.com/office/word/2010/wordprocessingShape">
                  <wps:wsp>
                    <wps:cNvPr id="497" name="Textbox 497"/>
                    <wps:cNvSpPr txBox="1"/>
                    <wps:spPr>
                      <a:xfrm>
                        <a:off x="0" y="0"/>
                        <a:ext cx="236220" cy="173355"/>
                      </a:xfrm>
                      <a:prstGeom prst="rect">
                        <a:avLst/>
                      </a:prstGeom>
                    </wps:spPr>
                    <wps:txbx>
                      <w:txbxContent>
                        <w:p>
                          <w:pPr>
                            <w:spacing w:before="11"/>
                            <w:ind w:left="60" w:right="0" w:firstLine="0"/>
                            <w:jc w:val="left"/>
                            <w:rPr>
                              <w:rFonts w:ascii="Times New Roman"/>
                              <w:sz w:val="21"/>
                            </w:rPr>
                          </w:pPr>
                          <w:r>
                            <w:rPr>
                              <w:rFonts w:ascii="Times New Roman"/>
                              <w:color w:val="0E0E0E"/>
                              <w:spacing w:val="-5"/>
                              <w:w w:val="110"/>
                              <w:sz w:val="21"/>
                            </w:rPr>
                            <w:fldChar w:fldCharType="begin"/>
                          </w:r>
                          <w:r>
                            <w:rPr>
                              <w:rFonts w:ascii="Times New Roman"/>
                              <w:color w:val="0E0E0E"/>
                              <w:spacing w:val="-5"/>
                              <w:w w:val="110"/>
                              <w:sz w:val="21"/>
                            </w:rPr>
                            <w:instrText> PAGE </w:instrText>
                          </w:r>
                          <w:r>
                            <w:rPr>
                              <w:rFonts w:ascii="Times New Roman"/>
                              <w:color w:val="0E0E0E"/>
                              <w:spacing w:val="-5"/>
                              <w:w w:val="110"/>
                              <w:sz w:val="21"/>
                            </w:rPr>
                            <w:fldChar w:fldCharType="separate"/>
                          </w:r>
                          <w:r>
                            <w:rPr>
                              <w:rFonts w:ascii="Times New Roman"/>
                              <w:color w:val="0E0E0E"/>
                              <w:spacing w:val="-5"/>
                              <w:w w:val="110"/>
                              <w:sz w:val="21"/>
                            </w:rPr>
                            <w:t>93</w:t>
                          </w:r>
                          <w:r>
                            <w:rPr>
                              <w:rFonts w:ascii="Times New Roman"/>
                              <w:color w:val="0E0E0E"/>
                              <w:spacing w:val="-5"/>
                              <w:w w:val="110"/>
                              <w:sz w:val="21"/>
                            </w:rPr>
                            <w:fldChar w:fldCharType="end"/>
                          </w:r>
                        </w:p>
                      </w:txbxContent>
                    </wps:txbx>
                    <wps:bodyPr wrap="square" lIns="0" tIns="0" rIns="0" bIns="0" rtlCol="0">
                      <a:noAutofit/>
                    </wps:bodyPr>
                  </wps:wsp>
                </a:graphicData>
              </a:graphic>
            </wp:anchor>
          </w:drawing>
        </mc:Choice>
        <mc:Fallback>
          <w:pict>
            <v:shape style="position:absolute;margin-left:511.248108pt;margin-top:772.445801pt;width:18.6pt;height:13.65pt;mso-position-horizontal-relative:page;mso-position-vertical-relative:page;z-index:-27394048" type="#_x0000_t202" id="docshape340" filled="false" stroked="false">
              <v:textbox inset="0,0,0,0">
                <w:txbxContent>
                  <w:p>
                    <w:pPr>
                      <w:spacing w:before="11"/>
                      <w:ind w:left="60" w:right="0" w:firstLine="0"/>
                      <w:jc w:val="left"/>
                      <w:rPr>
                        <w:rFonts w:ascii="Times New Roman"/>
                        <w:sz w:val="21"/>
                      </w:rPr>
                    </w:pPr>
                    <w:r>
                      <w:rPr>
                        <w:rFonts w:ascii="Times New Roman"/>
                        <w:color w:val="0E0E0E"/>
                        <w:spacing w:val="-5"/>
                        <w:w w:val="110"/>
                        <w:sz w:val="21"/>
                      </w:rPr>
                      <w:fldChar w:fldCharType="begin"/>
                    </w:r>
                    <w:r>
                      <w:rPr>
                        <w:rFonts w:ascii="Times New Roman"/>
                        <w:color w:val="0E0E0E"/>
                        <w:spacing w:val="-5"/>
                        <w:w w:val="110"/>
                        <w:sz w:val="21"/>
                      </w:rPr>
                      <w:instrText> PAGE </w:instrText>
                    </w:r>
                    <w:r>
                      <w:rPr>
                        <w:rFonts w:ascii="Times New Roman"/>
                        <w:color w:val="0E0E0E"/>
                        <w:spacing w:val="-5"/>
                        <w:w w:val="110"/>
                        <w:sz w:val="21"/>
                      </w:rPr>
                      <w:fldChar w:fldCharType="separate"/>
                    </w:r>
                    <w:r>
                      <w:rPr>
                        <w:rFonts w:ascii="Times New Roman"/>
                        <w:color w:val="0E0E0E"/>
                        <w:spacing w:val="-5"/>
                        <w:w w:val="110"/>
                        <w:sz w:val="21"/>
                      </w:rPr>
                      <w:t>93</w:t>
                    </w:r>
                    <w:r>
                      <w:rPr>
                        <w:rFonts w:ascii="Times New Roman"/>
                        <w:color w:val="0E0E0E"/>
                        <w:spacing w:val="-5"/>
                        <w:w w:val="110"/>
                        <w:sz w:val="21"/>
                      </w:rPr>
                      <w:fldChar w:fldCharType="end"/>
                    </w:r>
                  </w:p>
                </w:txbxContent>
              </v:textbox>
              <w10:wrap type="none"/>
            </v:shape>
          </w:pict>
        </mc:Fallback>
      </mc:AlternateContent>
    </w: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24992">
              <wp:simplePos x="0" y="0"/>
              <wp:positionH relativeFrom="page">
                <wp:posOffset>6557216</wp:posOffset>
              </wp:positionH>
              <wp:positionV relativeFrom="page">
                <wp:posOffset>9907271</wp:posOffset>
              </wp:positionV>
              <wp:extent cx="206375" cy="166370"/>
              <wp:effectExtent l="0" t="0" r="0" b="0"/>
              <wp:wrapNone/>
              <wp:docPr id="527" name="Textbox 527"/>
              <wp:cNvGraphicFramePr>
                <a:graphicFrameLocks/>
              </wp:cNvGraphicFramePr>
              <a:graphic>
                <a:graphicData uri="http://schemas.microsoft.com/office/word/2010/wordprocessingShape">
                  <wps:wsp>
                    <wps:cNvPr id="527" name="Textbox 527"/>
                    <wps:cNvSpPr txBox="1"/>
                    <wps:spPr>
                      <a:xfrm>
                        <a:off x="0" y="0"/>
                        <a:ext cx="206375" cy="166370"/>
                      </a:xfrm>
                      <a:prstGeom prst="rect">
                        <a:avLst/>
                      </a:prstGeom>
                    </wps:spPr>
                    <wps:txbx>
                      <w:txbxContent>
                        <w:p>
                          <w:pPr>
                            <w:spacing w:before="11"/>
                            <w:ind w:left="60" w:right="0" w:firstLine="0"/>
                            <w:jc w:val="left"/>
                            <w:rPr>
                              <w:rFonts w:ascii="Times New Roman"/>
                              <w:sz w:val="20"/>
                            </w:rPr>
                          </w:pPr>
                          <w:r>
                            <w:rPr>
                              <w:rFonts w:ascii="Times New Roman"/>
                              <w:color w:val="0A0A0A"/>
                              <w:spacing w:val="-5"/>
                              <w:sz w:val="20"/>
                            </w:rPr>
                            <w:fldChar w:fldCharType="begin"/>
                          </w:r>
                          <w:r>
                            <w:rPr>
                              <w:rFonts w:ascii="Times New Roman"/>
                              <w:color w:val="0A0A0A"/>
                              <w:spacing w:val="-5"/>
                              <w:sz w:val="20"/>
                            </w:rPr>
                            <w:instrText> PAGE </w:instrText>
                          </w:r>
                          <w:r>
                            <w:rPr>
                              <w:rFonts w:ascii="Times New Roman"/>
                              <w:color w:val="0A0A0A"/>
                              <w:spacing w:val="-5"/>
                              <w:sz w:val="20"/>
                            </w:rPr>
                            <w:fldChar w:fldCharType="separate"/>
                          </w:r>
                          <w:r>
                            <w:rPr>
                              <w:rFonts w:ascii="Times New Roman"/>
                              <w:color w:val="0A0A0A"/>
                              <w:spacing w:val="-5"/>
                              <w:sz w:val="20"/>
                            </w:rPr>
                            <w:t>94</w:t>
                          </w:r>
                          <w:r>
                            <w:rPr>
                              <w:rFonts w:ascii="Times New Roman"/>
                              <w:color w:val="0A0A0A"/>
                              <w:spacing w:val="-5"/>
                              <w:sz w:val="20"/>
                            </w:rPr>
                            <w:fldChar w:fldCharType="end"/>
                          </w:r>
                        </w:p>
                      </w:txbxContent>
                    </wps:txbx>
                    <wps:bodyPr wrap="square" lIns="0" tIns="0" rIns="0" bIns="0" rtlCol="0">
                      <a:noAutofit/>
                    </wps:bodyPr>
                  </wps:wsp>
                </a:graphicData>
              </a:graphic>
            </wp:anchor>
          </w:drawing>
        </mc:Choice>
        <mc:Fallback>
          <w:pict>
            <v:shape style="position:absolute;margin-left:516.316284pt;margin-top:780.100098pt;width:16.25pt;height:13.1pt;mso-position-horizontal-relative:page;mso-position-vertical-relative:page;z-index:-27391488" type="#_x0000_t202" id="docshape353" filled="false" stroked="false">
              <v:textbox inset="0,0,0,0">
                <w:txbxContent>
                  <w:p>
                    <w:pPr>
                      <w:spacing w:before="11"/>
                      <w:ind w:left="60" w:right="0" w:firstLine="0"/>
                      <w:jc w:val="left"/>
                      <w:rPr>
                        <w:rFonts w:ascii="Times New Roman"/>
                        <w:sz w:val="20"/>
                      </w:rPr>
                    </w:pPr>
                    <w:r>
                      <w:rPr>
                        <w:rFonts w:ascii="Times New Roman"/>
                        <w:color w:val="0A0A0A"/>
                        <w:spacing w:val="-5"/>
                        <w:sz w:val="20"/>
                      </w:rPr>
                      <w:fldChar w:fldCharType="begin"/>
                    </w:r>
                    <w:r>
                      <w:rPr>
                        <w:rFonts w:ascii="Times New Roman"/>
                        <w:color w:val="0A0A0A"/>
                        <w:spacing w:val="-5"/>
                        <w:sz w:val="20"/>
                      </w:rPr>
                      <w:instrText> PAGE </w:instrText>
                    </w:r>
                    <w:r>
                      <w:rPr>
                        <w:rFonts w:ascii="Times New Roman"/>
                        <w:color w:val="0A0A0A"/>
                        <w:spacing w:val="-5"/>
                        <w:sz w:val="20"/>
                      </w:rPr>
                      <w:fldChar w:fldCharType="separate"/>
                    </w:r>
                    <w:r>
                      <w:rPr>
                        <w:rFonts w:ascii="Times New Roman"/>
                        <w:color w:val="0A0A0A"/>
                        <w:spacing w:val="-5"/>
                        <w:sz w:val="20"/>
                      </w:rPr>
                      <w:t>94</w:t>
                    </w:r>
                    <w:r>
                      <w:rPr>
                        <w:rFonts w:ascii="Times New Roman"/>
                        <w:color w:val="0A0A0A"/>
                        <w:spacing w:val="-5"/>
                        <w:sz w:val="20"/>
                      </w:rPr>
                      <w:fldChar w:fldCharType="end"/>
                    </w:r>
                  </w:p>
                </w:txbxContent>
              </v:textbox>
              <w10:wrap type="none"/>
            </v:shape>
          </w:pict>
        </mc:Fallback>
      </mc:AlternateContent>
    </w: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25504">
              <wp:simplePos x="0" y="0"/>
              <wp:positionH relativeFrom="page">
                <wp:posOffset>6499223</wp:posOffset>
              </wp:positionH>
              <wp:positionV relativeFrom="page">
                <wp:posOffset>9822732</wp:posOffset>
              </wp:positionV>
              <wp:extent cx="231775" cy="160655"/>
              <wp:effectExtent l="0" t="0" r="0" b="0"/>
              <wp:wrapNone/>
              <wp:docPr id="528" name="Textbox 528"/>
              <wp:cNvGraphicFramePr>
                <a:graphicFrameLocks/>
              </wp:cNvGraphicFramePr>
              <a:graphic>
                <a:graphicData uri="http://schemas.microsoft.com/office/word/2010/wordprocessingShape">
                  <wps:wsp>
                    <wps:cNvPr id="528" name="Textbox 528"/>
                    <wps:cNvSpPr txBox="1"/>
                    <wps:spPr>
                      <a:xfrm>
                        <a:off x="0" y="0"/>
                        <a:ext cx="231775" cy="160655"/>
                      </a:xfrm>
                      <a:prstGeom prst="rect">
                        <a:avLst/>
                      </a:prstGeom>
                    </wps:spPr>
                    <wps:txbx>
                      <w:txbxContent>
                        <w:p>
                          <w:pPr>
                            <w:spacing w:before="14"/>
                            <w:ind w:left="60" w:right="0" w:firstLine="0"/>
                            <w:jc w:val="left"/>
                            <w:rPr>
                              <w:sz w:val="19"/>
                            </w:rPr>
                          </w:pPr>
                          <w:r>
                            <w:rPr>
                              <w:color w:val="0A0A0A"/>
                              <w:spacing w:val="-5"/>
                              <w:w w:val="105"/>
                              <w:sz w:val="19"/>
                            </w:rPr>
                            <w:fldChar w:fldCharType="begin"/>
                          </w:r>
                          <w:r>
                            <w:rPr>
                              <w:color w:val="0A0A0A"/>
                              <w:spacing w:val="-5"/>
                              <w:w w:val="105"/>
                              <w:sz w:val="19"/>
                            </w:rPr>
                            <w:instrText> PAGE </w:instrText>
                          </w:r>
                          <w:r>
                            <w:rPr>
                              <w:color w:val="0A0A0A"/>
                              <w:spacing w:val="-5"/>
                              <w:w w:val="105"/>
                              <w:sz w:val="19"/>
                            </w:rPr>
                            <w:fldChar w:fldCharType="separate"/>
                          </w:r>
                          <w:r>
                            <w:rPr>
                              <w:color w:val="0A0A0A"/>
                              <w:spacing w:val="-5"/>
                              <w:w w:val="105"/>
                              <w:sz w:val="19"/>
                            </w:rPr>
                            <w:t>95</w:t>
                          </w:r>
                          <w:r>
                            <w:rPr>
                              <w:color w:val="0A0A0A"/>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1.749908pt;margin-top:773.443542pt;width:18.25pt;height:12.65pt;mso-position-horizontal-relative:page;mso-position-vertical-relative:page;z-index:-27390976" type="#_x0000_t202" id="docshape354" filled="false" stroked="false">
              <v:textbox inset="0,0,0,0">
                <w:txbxContent>
                  <w:p>
                    <w:pPr>
                      <w:spacing w:before="14"/>
                      <w:ind w:left="60" w:right="0" w:firstLine="0"/>
                      <w:jc w:val="left"/>
                      <w:rPr>
                        <w:sz w:val="19"/>
                      </w:rPr>
                    </w:pPr>
                    <w:r>
                      <w:rPr>
                        <w:color w:val="0A0A0A"/>
                        <w:spacing w:val="-5"/>
                        <w:w w:val="105"/>
                        <w:sz w:val="19"/>
                      </w:rPr>
                      <w:fldChar w:fldCharType="begin"/>
                    </w:r>
                    <w:r>
                      <w:rPr>
                        <w:color w:val="0A0A0A"/>
                        <w:spacing w:val="-5"/>
                        <w:w w:val="105"/>
                        <w:sz w:val="19"/>
                      </w:rPr>
                      <w:instrText> PAGE </w:instrText>
                    </w:r>
                    <w:r>
                      <w:rPr>
                        <w:color w:val="0A0A0A"/>
                        <w:spacing w:val="-5"/>
                        <w:w w:val="105"/>
                        <w:sz w:val="19"/>
                      </w:rPr>
                      <w:fldChar w:fldCharType="separate"/>
                    </w:r>
                    <w:r>
                      <w:rPr>
                        <w:color w:val="0A0A0A"/>
                        <w:spacing w:val="-5"/>
                        <w:w w:val="105"/>
                        <w:sz w:val="19"/>
                      </w:rPr>
                      <w:t>95</w:t>
                    </w:r>
                    <w:r>
                      <w:rPr>
                        <w:color w:val="0A0A0A"/>
                        <w:spacing w:val="-5"/>
                        <w:w w:val="105"/>
                        <w:sz w:val="19"/>
                      </w:rPr>
                      <w:fldChar w:fldCharType="end"/>
                    </w:r>
                  </w:p>
                </w:txbxContent>
              </v:textbox>
              <w10:wrap type="none"/>
            </v:shape>
          </w:pict>
        </mc:Fallback>
      </mc:AlternateContent>
    </w: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26016">
              <wp:simplePos x="0" y="0"/>
              <wp:positionH relativeFrom="page">
                <wp:posOffset>6581653</wp:posOffset>
              </wp:positionH>
              <wp:positionV relativeFrom="page">
                <wp:posOffset>9908174</wp:posOffset>
              </wp:positionV>
              <wp:extent cx="235585" cy="160655"/>
              <wp:effectExtent l="0" t="0" r="0" b="0"/>
              <wp:wrapNone/>
              <wp:docPr id="543" name="Textbox 543"/>
              <wp:cNvGraphicFramePr>
                <a:graphicFrameLocks/>
              </wp:cNvGraphicFramePr>
              <a:graphic>
                <a:graphicData uri="http://schemas.microsoft.com/office/word/2010/wordprocessingShape">
                  <wps:wsp>
                    <wps:cNvPr id="543" name="Textbox 543"/>
                    <wps:cNvSpPr txBox="1"/>
                    <wps:spPr>
                      <a:xfrm>
                        <a:off x="0" y="0"/>
                        <a:ext cx="235585" cy="160655"/>
                      </a:xfrm>
                      <a:prstGeom prst="rect">
                        <a:avLst/>
                      </a:prstGeom>
                    </wps:spPr>
                    <wps:txbx>
                      <w:txbxContent>
                        <w:p>
                          <w:pPr>
                            <w:spacing w:before="14"/>
                            <w:ind w:left="60" w:right="0" w:firstLine="0"/>
                            <w:jc w:val="left"/>
                            <w:rPr>
                              <w:sz w:val="19"/>
                            </w:rPr>
                          </w:pPr>
                          <w:r>
                            <w:rPr>
                              <w:color w:val="0A0A0A"/>
                              <w:spacing w:val="-5"/>
                              <w:w w:val="110"/>
                              <w:sz w:val="19"/>
                            </w:rPr>
                            <w:fldChar w:fldCharType="begin"/>
                          </w:r>
                          <w:r>
                            <w:rPr>
                              <w:color w:val="0A0A0A"/>
                              <w:spacing w:val="-5"/>
                              <w:w w:val="110"/>
                              <w:sz w:val="19"/>
                            </w:rPr>
                            <w:instrText> PAGE </w:instrText>
                          </w:r>
                          <w:r>
                            <w:rPr>
                              <w:color w:val="0A0A0A"/>
                              <w:spacing w:val="-5"/>
                              <w:w w:val="110"/>
                              <w:sz w:val="19"/>
                            </w:rPr>
                            <w:fldChar w:fldCharType="separate"/>
                          </w:r>
                          <w:r>
                            <w:rPr>
                              <w:color w:val="0A0A0A"/>
                              <w:spacing w:val="-5"/>
                              <w:w w:val="110"/>
                              <w:sz w:val="19"/>
                            </w:rPr>
                            <w:t>96</w:t>
                          </w:r>
                          <w:r>
                            <w:rPr>
                              <w:color w:val="0A0A0A"/>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18.240417pt;margin-top:780.171204pt;width:18.55pt;height:12.65pt;mso-position-horizontal-relative:page;mso-position-vertical-relative:page;z-index:-27390464" type="#_x0000_t202" id="docshape360" filled="false" stroked="false">
              <v:textbox inset="0,0,0,0">
                <w:txbxContent>
                  <w:p>
                    <w:pPr>
                      <w:spacing w:before="14"/>
                      <w:ind w:left="60" w:right="0" w:firstLine="0"/>
                      <w:jc w:val="left"/>
                      <w:rPr>
                        <w:sz w:val="19"/>
                      </w:rPr>
                    </w:pPr>
                    <w:r>
                      <w:rPr>
                        <w:color w:val="0A0A0A"/>
                        <w:spacing w:val="-5"/>
                        <w:w w:val="110"/>
                        <w:sz w:val="19"/>
                      </w:rPr>
                      <w:fldChar w:fldCharType="begin"/>
                    </w:r>
                    <w:r>
                      <w:rPr>
                        <w:color w:val="0A0A0A"/>
                        <w:spacing w:val="-5"/>
                        <w:w w:val="110"/>
                        <w:sz w:val="19"/>
                      </w:rPr>
                      <w:instrText> PAGE </w:instrText>
                    </w:r>
                    <w:r>
                      <w:rPr>
                        <w:color w:val="0A0A0A"/>
                        <w:spacing w:val="-5"/>
                        <w:w w:val="110"/>
                        <w:sz w:val="19"/>
                      </w:rPr>
                      <w:fldChar w:fldCharType="separate"/>
                    </w:r>
                    <w:r>
                      <w:rPr>
                        <w:color w:val="0A0A0A"/>
                        <w:spacing w:val="-5"/>
                        <w:w w:val="110"/>
                        <w:sz w:val="19"/>
                      </w:rPr>
                      <w:t>96</w:t>
                    </w:r>
                    <w:r>
                      <w:rPr>
                        <w:color w:val="0A0A0A"/>
                        <w:spacing w:val="-5"/>
                        <w:w w:val="110"/>
                        <w:sz w:val="19"/>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6144">
              <wp:simplePos x="0" y="0"/>
              <wp:positionH relativeFrom="page">
                <wp:posOffset>6646053</wp:posOffset>
              </wp:positionH>
              <wp:positionV relativeFrom="page">
                <wp:posOffset>10508850</wp:posOffset>
              </wp:positionV>
              <wp:extent cx="165735" cy="17335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165735" cy="173355"/>
                      </a:xfrm>
                      <a:prstGeom prst="rect">
                        <a:avLst/>
                      </a:prstGeom>
                    </wps:spPr>
                    <wps:txbx>
                      <w:txbxContent>
                        <w:p>
                          <w:pPr>
                            <w:spacing w:before="11"/>
                            <w:ind w:left="20" w:right="0" w:firstLine="0"/>
                            <w:jc w:val="left"/>
                            <w:rPr>
                              <w:rFonts w:ascii="Times New Roman"/>
                              <w:b/>
                              <w:sz w:val="21"/>
                            </w:rPr>
                          </w:pPr>
                          <w:r>
                            <w:rPr>
                              <w:rFonts w:ascii="Times New Roman"/>
                              <w:b/>
                              <w:color w:val="181818"/>
                              <w:spacing w:val="-5"/>
                              <w:w w:val="105"/>
                              <w:sz w:val="21"/>
                            </w:rPr>
                            <w:t>14</w:t>
                          </w:r>
                        </w:p>
                      </w:txbxContent>
                    </wps:txbx>
                    <wps:bodyPr wrap="square" lIns="0" tIns="0" rIns="0" bIns="0" rtlCol="0">
                      <a:noAutofit/>
                    </wps:bodyPr>
                  </wps:wsp>
                </a:graphicData>
              </a:graphic>
            </wp:anchor>
          </w:drawing>
        </mc:Choice>
        <mc:Fallback>
          <w:pict>
            <v:shape style="position:absolute;margin-left:523.311279pt;margin-top:827.468506pt;width:13.05pt;height:13.65pt;mso-position-horizontal-relative:page;mso-position-vertical-relative:page;z-index:-27470336" type="#_x0000_t202" id="docshape24" filled="false" stroked="false">
              <v:textbox inset="0,0,0,0">
                <w:txbxContent>
                  <w:p>
                    <w:pPr>
                      <w:spacing w:before="11"/>
                      <w:ind w:left="20" w:right="0" w:firstLine="0"/>
                      <w:jc w:val="left"/>
                      <w:rPr>
                        <w:rFonts w:ascii="Times New Roman"/>
                        <w:b/>
                        <w:sz w:val="21"/>
                      </w:rPr>
                    </w:pPr>
                    <w:r>
                      <w:rPr>
                        <w:rFonts w:ascii="Times New Roman"/>
                        <w:b/>
                        <w:color w:val="181818"/>
                        <w:spacing w:val="-5"/>
                        <w:w w:val="105"/>
                        <w:sz w:val="21"/>
                      </w:rPr>
                      <w:t>14</w:t>
                    </w:r>
                  </w:p>
                </w:txbxContent>
              </v:textbox>
              <w10:wrap type="none"/>
            </v:shape>
          </w:pict>
        </mc:Fallback>
      </mc:AlternateContent>
    </w: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26528">
              <wp:simplePos x="0" y="0"/>
              <wp:positionH relativeFrom="page">
                <wp:posOffset>6496170</wp:posOffset>
              </wp:positionH>
              <wp:positionV relativeFrom="page">
                <wp:posOffset>9822732</wp:posOffset>
              </wp:positionV>
              <wp:extent cx="233045" cy="160655"/>
              <wp:effectExtent l="0" t="0" r="0" b="0"/>
              <wp:wrapNone/>
              <wp:docPr id="544" name="Textbox 544"/>
              <wp:cNvGraphicFramePr>
                <a:graphicFrameLocks/>
              </wp:cNvGraphicFramePr>
              <a:graphic>
                <a:graphicData uri="http://schemas.microsoft.com/office/word/2010/wordprocessingShape">
                  <wps:wsp>
                    <wps:cNvPr id="544" name="Textbox 544"/>
                    <wps:cNvSpPr txBox="1"/>
                    <wps:spPr>
                      <a:xfrm>
                        <a:off x="0" y="0"/>
                        <a:ext cx="233045" cy="160655"/>
                      </a:xfrm>
                      <a:prstGeom prst="rect">
                        <a:avLst/>
                      </a:prstGeom>
                    </wps:spPr>
                    <wps:txbx>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97</w:t>
                          </w:r>
                          <w:r>
                            <w:rPr>
                              <w:color w:val="0F0F0F"/>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1.509491pt;margin-top:773.443542pt;width:18.350pt;height:12.65pt;mso-position-horizontal-relative:page;mso-position-vertical-relative:page;z-index:-27389952" type="#_x0000_t202" id="docshape361" filled="false" stroked="false">
              <v:textbox inset="0,0,0,0">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97</w:t>
                    </w:r>
                    <w:r>
                      <w:rPr>
                        <w:color w:val="0F0F0F"/>
                        <w:spacing w:val="-5"/>
                        <w:w w:val="105"/>
                        <w:sz w:val="19"/>
                      </w:rPr>
                      <w:fldChar w:fldCharType="end"/>
                    </w:r>
                  </w:p>
                </w:txbxContent>
              </v:textbox>
              <w10:wrap type="none"/>
            </v:shape>
          </w:pict>
        </mc:Fallback>
      </mc:AlternateContent>
    </w: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27040">
              <wp:simplePos x="0" y="0"/>
              <wp:positionH relativeFrom="page">
                <wp:posOffset>6582629</wp:posOffset>
              </wp:positionH>
              <wp:positionV relativeFrom="page">
                <wp:posOffset>10054645</wp:posOffset>
              </wp:positionV>
              <wp:extent cx="172085" cy="160655"/>
              <wp:effectExtent l="0" t="0" r="0" b="0"/>
              <wp:wrapNone/>
              <wp:docPr id="546" name="Textbox 546"/>
              <wp:cNvGraphicFramePr>
                <a:graphicFrameLocks/>
              </wp:cNvGraphicFramePr>
              <a:graphic>
                <a:graphicData uri="http://schemas.microsoft.com/office/word/2010/wordprocessingShape">
                  <wps:wsp>
                    <wps:cNvPr id="546" name="Textbox 546"/>
                    <wps:cNvSpPr txBox="1"/>
                    <wps:spPr>
                      <a:xfrm>
                        <a:off x="0" y="0"/>
                        <a:ext cx="172085" cy="160655"/>
                      </a:xfrm>
                      <a:prstGeom prst="rect">
                        <a:avLst/>
                      </a:prstGeom>
                    </wps:spPr>
                    <wps:txbx>
                      <w:txbxContent>
                        <w:p>
                          <w:pPr>
                            <w:spacing w:before="14"/>
                            <w:ind w:left="20" w:right="0" w:firstLine="0"/>
                            <w:jc w:val="left"/>
                            <w:rPr>
                              <w:sz w:val="19"/>
                            </w:rPr>
                          </w:pPr>
                          <w:r>
                            <w:rPr>
                              <w:color w:val="0C0C0C"/>
                              <w:spacing w:val="-5"/>
                              <w:w w:val="110"/>
                              <w:sz w:val="19"/>
                            </w:rPr>
                            <w:t>98</w:t>
                          </w:r>
                        </w:p>
                      </w:txbxContent>
                    </wps:txbx>
                    <wps:bodyPr wrap="square" lIns="0" tIns="0" rIns="0" bIns="0" rtlCol="0">
                      <a:noAutofit/>
                    </wps:bodyPr>
                  </wps:wsp>
                </a:graphicData>
              </a:graphic>
            </wp:anchor>
          </w:drawing>
        </mc:Choice>
        <mc:Fallback>
          <w:pict>
            <v:shape style="position:absolute;margin-left:518.317322pt;margin-top:791.704346pt;width:13.55pt;height:12.65pt;mso-position-horizontal-relative:page;mso-position-vertical-relative:page;z-index:-27389440" type="#_x0000_t202" id="docshape363" filled="false" stroked="false">
              <v:textbox inset="0,0,0,0">
                <w:txbxContent>
                  <w:p>
                    <w:pPr>
                      <w:spacing w:before="14"/>
                      <w:ind w:left="20" w:right="0" w:firstLine="0"/>
                      <w:jc w:val="left"/>
                      <w:rPr>
                        <w:sz w:val="19"/>
                      </w:rPr>
                    </w:pPr>
                    <w:r>
                      <w:rPr>
                        <w:color w:val="0C0C0C"/>
                        <w:spacing w:val="-5"/>
                        <w:w w:val="110"/>
                        <w:sz w:val="19"/>
                      </w:rPr>
                      <w:t>98</w:t>
                    </w:r>
                  </w:p>
                </w:txbxContent>
              </v:textbox>
              <w10:wrap type="none"/>
            </v:shape>
          </w:pict>
        </mc:Fallback>
      </mc:AlternateContent>
    </w: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27552">
              <wp:simplePos x="0" y="0"/>
              <wp:positionH relativeFrom="page">
                <wp:posOffset>6622317</wp:posOffset>
              </wp:positionH>
              <wp:positionV relativeFrom="page">
                <wp:posOffset>9996667</wp:posOffset>
              </wp:positionV>
              <wp:extent cx="168275" cy="160655"/>
              <wp:effectExtent l="0" t="0" r="0" b="0"/>
              <wp:wrapNone/>
              <wp:docPr id="547" name="Textbox 547"/>
              <wp:cNvGraphicFramePr>
                <a:graphicFrameLocks/>
              </wp:cNvGraphicFramePr>
              <a:graphic>
                <a:graphicData uri="http://schemas.microsoft.com/office/word/2010/wordprocessingShape">
                  <wps:wsp>
                    <wps:cNvPr id="547" name="Textbox 547"/>
                    <wps:cNvSpPr txBox="1"/>
                    <wps:spPr>
                      <a:xfrm>
                        <a:off x="0" y="0"/>
                        <a:ext cx="168275" cy="160655"/>
                      </a:xfrm>
                      <a:prstGeom prst="rect">
                        <a:avLst/>
                      </a:prstGeom>
                    </wps:spPr>
                    <wps:txbx>
                      <w:txbxContent>
                        <w:p>
                          <w:pPr>
                            <w:spacing w:before="14"/>
                            <w:ind w:left="20" w:right="0" w:firstLine="0"/>
                            <w:jc w:val="left"/>
                            <w:rPr>
                              <w:sz w:val="19"/>
                            </w:rPr>
                          </w:pPr>
                          <w:r>
                            <w:rPr>
                              <w:color w:val="111111"/>
                              <w:spacing w:val="-5"/>
                              <w:w w:val="105"/>
                              <w:sz w:val="19"/>
                            </w:rPr>
                            <w:t>99</w:t>
                          </w:r>
                        </w:p>
                      </w:txbxContent>
                    </wps:txbx>
                    <wps:bodyPr wrap="square" lIns="0" tIns="0" rIns="0" bIns="0" rtlCol="0">
                      <a:noAutofit/>
                    </wps:bodyPr>
                  </wps:wsp>
                </a:graphicData>
              </a:graphic>
            </wp:anchor>
          </w:drawing>
        </mc:Choice>
        <mc:Fallback>
          <w:pict>
            <v:shape style="position:absolute;margin-left:521.442322pt;margin-top:787.13916pt;width:13.25pt;height:12.65pt;mso-position-horizontal-relative:page;mso-position-vertical-relative:page;z-index:-27388928" type="#_x0000_t202" id="docshape364" filled="false" stroked="false">
              <v:textbox inset="0,0,0,0">
                <w:txbxContent>
                  <w:p>
                    <w:pPr>
                      <w:spacing w:before="14"/>
                      <w:ind w:left="20" w:right="0" w:firstLine="0"/>
                      <w:jc w:val="left"/>
                      <w:rPr>
                        <w:sz w:val="19"/>
                      </w:rPr>
                    </w:pPr>
                    <w:r>
                      <w:rPr>
                        <w:color w:val="111111"/>
                        <w:spacing w:val="-5"/>
                        <w:w w:val="105"/>
                        <w:sz w:val="19"/>
                      </w:rPr>
                      <w:t>99</w:t>
                    </w:r>
                  </w:p>
                </w:txbxContent>
              </v:textbox>
              <w10:wrap type="none"/>
            </v:shape>
          </w:pict>
        </mc:Fallback>
      </mc:AlternateContent>
    </w: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28064">
              <wp:simplePos x="0" y="0"/>
              <wp:positionH relativeFrom="page">
                <wp:posOffset>6418550</wp:posOffset>
              </wp:positionH>
              <wp:positionV relativeFrom="page">
                <wp:posOffset>9806489</wp:posOffset>
              </wp:positionV>
              <wp:extent cx="303530" cy="184150"/>
              <wp:effectExtent l="0" t="0" r="0" b="0"/>
              <wp:wrapNone/>
              <wp:docPr id="563" name="Textbox 563"/>
              <wp:cNvGraphicFramePr>
                <a:graphicFrameLocks/>
              </wp:cNvGraphicFramePr>
              <a:graphic>
                <a:graphicData uri="http://schemas.microsoft.com/office/word/2010/wordprocessingShape">
                  <wps:wsp>
                    <wps:cNvPr id="563" name="Textbox 563"/>
                    <wps:cNvSpPr txBox="1"/>
                    <wps:spPr>
                      <a:xfrm>
                        <a:off x="0" y="0"/>
                        <a:ext cx="303530" cy="184150"/>
                      </a:xfrm>
                      <a:prstGeom prst="rect">
                        <a:avLst/>
                      </a:prstGeom>
                    </wps:spPr>
                    <wps:txbx>
                      <w:txbxContent>
                        <w:p>
                          <w:pPr>
                            <w:spacing w:before="26"/>
                            <w:ind w:left="50" w:right="0" w:firstLine="0"/>
                            <w:jc w:val="left"/>
                            <w:rPr>
                              <w:rFonts w:ascii="Times New Roman"/>
                              <w:sz w:val="21"/>
                            </w:rPr>
                          </w:pPr>
                          <w:r>
                            <w:rPr>
                              <w:rFonts w:ascii="Times New Roman"/>
                              <w:color w:val="0A0A0A"/>
                              <w:spacing w:val="-5"/>
                              <w:w w:val="110"/>
                              <w:sz w:val="21"/>
                            </w:rPr>
                            <w:fldChar w:fldCharType="begin"/>
                          </w:r>
                          <w:r>
                            <w:rPr>
                              <w:rFonts w:ascii="Times New Roman"/>
                              <w:color w:val="0A0A0A"/>
                              <w:spacing w:val="-5"/>
                              <w:w w:val="110"/>
                              <w:sz w:val="21"/>
                            </w:rPr>
                            <w:instrText> PAGE </w:instrText>
                          </w:r>
                          <w:r>
                            <w:rPr>
                              <w:rFonts w:ascii="Times New Roman"/>
                              <w:color w:val="0A0A0A"/>
                              <w:spacing w:val="-5"/>
                              <w:w w:val="110"/>
                              <w:sz w:val="21"/>
                            </w:rPr>
                            <w:fldChar w:fldCharType="separate"/>
                          </w:r>
                          <w:r>
                            <w:rPr>
                              <w:rFonts w:ascii="Times New Roman"/>
                              <w:color w:val="0A0A0A"/>
                              <w:spacing w:val="-5"/>
                              <w:w w:val="110"/>
                              <w:sz w:val="21"/>
                            </w:rPr>
                            <w:t>103</w:t>
                          </w:r>
                          <w:r>
                            <w:rPr>
                              <w:rFonts w:ascii="Times New Roman"/>
                              <w:color w:val="0A0A0A"/>
                              <w:spacing w:val="-5"/>
                              <w:w w:val="110"/>
                              <w:sz w:val="21"/>
                            </w:rPr>
                            <w:fldChar w:fldCharType="end"/>
                          </w:r>
                        </w:p>
                      </w:txbxContent>
                    </wps:txbx>
                    <wps:bodyPr wrap="square" lIns="0" tIns="0" rIns="0" bIns="0" rtlCol="0">
                      <a:noAutofit/>
                    </wps:bodyPr>
                  </wps:wsp>
                </a:graphicData>
              </a:graphic>
            </wp:anchor>
          </w:drawing>
        </mc:Choice>
        <mc:Fallback>
          <w:pict>
            <v:shape style="position:absolute;margin-left:505.397705pt;margin-top:772.16449pt;width:23.9pt;height:14.5pt;mso-position-horizontal-relative:page;mso-position-vertical-relative:page;z-index:-27388416" type="#_x0000_t202" id="docshape372" filled="false" stroked="false">
              <v:textbox inset="0,0,0,0">
                <w:txbxContent>
                  <w:p>
                    <w:pPr>
                      <w:spacing w:before="26"/>
                      <w:ind w:left="50" w:right="0" w:firstLine="0"/>
                      <w:jc w:val="left"/>
                      <w:rPr>
                        <w:rFonts w:ascii="Times New Roman"/>
                        <w:sz w:val="21"/>
                      </w:rPr>
                    </w:pPr>
                    <w:r>
                      <w:rPr>
                        <w:rFonts w:ascii="Times New Roman"/>
                        <w:color w:val="0A0A0A"/>
                        <w:spacing w:val="-5"/>
                        <w:w w:val="110"/>
                        <w:sz w:val="21"/>
                      </w:rPr>
                      <w:fldChar w:fldCharType="begin"/>
                    </w:r>
                    <w:r>
                      <w:rPr>
                        <w:rFonts w:ascii="Times New Roman"/>
                        <w:color w:val="0A0A0A"/>
                        <w:spacing w:val="-5"/>
                        <w:w w:val="110"/>
                        <w:sz w:val="21"/>
                      </w:rPr>
                      <w:instrText> PAGE </w:instrText>
                    </w:r>
                    <w:r>
                      <w:rPr>
                        <w:rFonts w:ascii="Times New Roman"/>
                        <w:color w:val="0A0A0A"/>
                        <w:spacing w:val="-5"/>
                        <w:w w:val="110"/>
                        <w:sz w:val="21"/>
                      </w:rPr>
                      <w:fldChar w:fldCharType="separate"/>
                    </w:r>
                    <w:r>
                      <w:rPr>
                        <w:rFonts w:ascii="Times New Roman"/>
                        <w:color w:val="0A0A0A"/>
                        <w:spacing w:val="-5"/>
                        <w:w w:val="110"/>
                        <w:sz w:val="21"/>
                      </w:rPr>
                      <w:t>103</w:t>
                    </w:r>
                    <w:r>
                      <w:rPr>
                        <w:rFonts w:ascii="Times New Roman"/>
                        <w:color w:val="0A0A0A"/>
                        <w:spacing w:val="-5"/>
                        <w:w w:val="110"/>
                        <w:sz w:val="21"/>
                      </w:rPr>
                      <w:fldChar w:fldCharType="end"/>
                    </w:r>
                  </w:p>
                </w:txbxContent>
              </v:textbox>
              <w10:wrap type="none"/>
            </v:shape>
          </w:pict>
        </mc:Fallback>
      </mc:AlternateContent>
    </w:r>
  </w:p>
</w:ftr>
</file>

<file path=word/footer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28576">
              <wp:simplePos x="0" y="0"/>
              <wp:positionH relativeFrom="page">
                <wp:posOffset>708276</wp:posOffset>
              </wp:positionH>
              <wp:positionV relativeFrom="page">
                <wp:posOffset>9188012</wp:posOffset>
              </wp:positionV>
              <wp:extent cx="855344" cy="1270"/>
              <wp:effectExtent l="0" t="0" r="0" b="0"/>
              <wp:wrapNone/>
              <wp:docPr id="564" name="Graphic 564"/>
              <wp:cNvGraphicFramePr>
                <a:graphicFrameLocks/>
              </wp:cNvGraphicFramePr>
              <a:graphic>
                <a:graphicData uri="http://schemas.microsoft.com/office/word/2010/wordprocessingShape">
                  <wps:wsp>
                    <wps:cNvPr id="564" name="Graphic 564"/>
                    <wps:cNvSpPr/>
                    <wps:spPr>
                      <a:xfrm>
                        <a:off x="0" y="0"/>
                        <a:ext cx="855344" cy="1270"/>
                      </a:xfrm>
                      <a:custGeom>
                        <a:avLst/>
                        <a:gdLst/>
                        <a:ahLst/>
                        <a:cxnLst/>
                        <a:rect l="l" t="t" r="r" b="b"/>
                        <a:pathLst>
                          <a:path w="855344" h="0">
                            <a:moveTo>
                              <a:pt x="0" y="0"/>
                            </a:moveTo>
                            <a:lnTo>
                              <a:pt x="854816"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7387904" from="55.769814pt,723.465515pt" to="123.078209pt,723.465515pt" stroked="true" strokeweight=".720821pt" strokecolor="#000000">
              <v:stroke dashstyle="solid"/>
              <w10:wrap type="none"/>
            </v:line>
          </w:pict>
        </mc:Fallback>
      </mc:AlternateContent>
    </w:r>
    <w:r>
      <w:rPr/>
      <mc:AlternateContent>
        <mc:Choice Requires="wps">
          <w:drawing>
            <wp:anchor distT="0" distB="0" distL="0" distR="0" allowOverlap="1" layoutInCell="1" locked="0" behindDoc="1" simplePos="0" relativeHeight="475929088">
              <wp:simplePos x="0" y="0"/>
              <wp:positionH relativeFrom="page">
                <wp:posOffset>5910446</wp:posOffset>
              </wp:positionH>
              <wp:positionV relativeFrom="page">
                <wp:posOffset>9181909</wp:posOffset>
              </wp:positionV>
              <wp:extent cx="842644" cy="1270"/>
              <wp:effectExtent l="0" t="0" r="0" b="0"/>
              <wp:wrapNone/>
              <wp:docPr id="565" name="Graphic 565"/>
              <wp:cNvGraphicFramePr>
                <a:graphicFrameLocks/>
              </wp:cNvGraphicFramePr>
              <a:graphic>
                <a:graphicData uri="http://schemas.microsoft.com/office/word/2010/wordprocessingShape">
                  <wps:wsp>
                    <wps:cNvPr id="565" name="Graphic 565"/>
                    <wps:cNvSpPr/>
                    <wps:spPr>
                      <a:xfrm>
                        <a:off x="0" y="0"/>
                        <a:ext cx="842644" cy="1270"/>
                      </a:xfrm>
                      <a:custGeom>
                        <a:avLst/>
                        <a:gdLst/>
                        <a:ahLst/>
                        <a:cxnLst/>
                        <a:rect l="l" t="t" r="r" b="b"/>
                        <a:pathLst>
                          <a:path w="842644" h="0">
                            <a:moveTo>
                              <a:pt x="0" y="0"/>
                            </a:moveTo>
                            <a:lnTo>
                              <a:pt x="842604"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7387392" from="465.389465pt,722.984985pt" to="531.736312pt,722.984985pt" stroked="true" strokeweight=".720821pt" strokecolor="#000000">
              <v:stroke dashstyle="solid"/>
              <w10:wrap type="none"/>
            </v:line>
          </w:pict>
        </mc:Fallback>
      </mc:AlternateContent>
    </w:r>
    <w:r>
      <w:rPr/>
      <mc:AlternateContent>
        <mc:Choice Requires="wps">
          <w:drawing>
            <wp:anchor distT="0" distB="0" distL="0" distR="0" allowOverlap="1" layoutInCell="1" locked="0" behindDoc="1" simplePos="0" relativeHeight="475929600">
              <wp:simplePos x="0" y="0"/>
              <wp:positionH relativeFrom="page">
                <wp:posOffset>6503750</wp:posOffset>
              </wp:positionH>
              <wp:positionV relativeFrom="page">
                <wp:posOffset>9908522</wp:posOffset>
              </wp:positionV>
              <wp:extent cx="244475" cy="167640"/>
              <wp:effectExtent l="0" t="0" r="0" b="0"/>
              <wp:wrapNone/>
              <wp:docPr id="566" name="Textbox 566"/>
              <wp:cNvGraphicFramePr>
                <a:graphicFrameLocks/>
              </wp:cNvGraphicFramePr>
              <a:graphic>
                <a:graphicData uri="http://schemas.microsoft.com/office/word/2010/wordprocessingShape">
                  <wps:wsp>
                    <wps:cNvPr id="566" name="Textbox 566"/>
                    <wps:cNvSpPr txBox="1"/>
                    <wps:spPr>
                      <a:xfrm>
                        <a:off x="0" y="0"/>
                        <a:ext cx="244475" cy="167640"/>
                      </a:xfrm>
                      <a:prstGeom prst="rect">
                        <a:avLst/>
                      </a:prstGeom>
                    </wps:spPr>
                    <wps:txbx>
                      <w:txbxContent>
                        <w:p>
                          <w:pPr>
                            <w:spacing w:before="13"/>
                            <w:ind w:left="20" w:right="0" w:firstLine="0"/>
                            <w:jc w:val="left"/>
                            <w:rPr>
                              <w:sz w:val="20"/>
                            </w:rPr>
                          </w:pPr>
                          <w:r>
                            <w:rPr>
                              <w:color w:val="0C0C0C"/>
                              <w:spacing w:val="-5"/>
                              <w:w w:val="105"/>
                              <w:sz w:val="20"/>
                            </w:rPr>
                            <w:t>102</w:t>
                          </w:r>
                        </w:p>
                      </w:txbxContent>
                    </wps:txbx>
                    <wps:bodyPr wrap="square" lIns="0" tIns="0" rIns="0" bIns="0" rtlCol="0">
                      <a:noAutofit/>
                    </wps:bodyPr>
                  </wps:wsp>
                </a:graphicData>
              </a:graphic>
            </wp:anchor>
          </w:drawing>
        </mc:Choice>
        <mc:Fallback>
          <w:pict>
            <v:shape style="position:absolute;margin-left:512.106323pt;margin-top:780.198608pt;width:19.25pt;height:13.2pt;mso-position-horizontal-relative:page;mso-position-vertical-relative:page;z-index:-27386880" type="#_x0000_t202" id="docshape373" filled="false" stroked="false">
              <v:textbox inset="0,0,0,0">
                <w:txbxContent>
                  <w:p>
                    <w:pPr>
                      <w:spacing w:before="13"/>
                      <w:ind w:left="20" w:right="0" w:firstLine="0"/>
                      <w:jc w:val="left"/>
                      <w:rPr>
                        <w:sz w:val="20"/>
                      </w:rPr>
                    </w:pPr>
                    <w:r>
                      <w:rPr>
                        <w:color w:val="0C0C0C"/>
                        <w:spacing w:val="-5"/>
                        <w:w w:val="105"/>
                        <w:sz w:val="20"/>
                      </w:rPr>
                      <w:t>102</w:t>
                    </w:r>
                  </w:p>
                </w:txbxContent>
              </v:textbox>
              <w10:wrap type="none"/>
            </v:shape>
          </w:pict>
        </mc:Fallback>
      </mc:AlternateContent>
    </w:r>
  </w:p>
</w:ftr>
</file>

<file path=word/footer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0112">
              <wp:simplePos x="0" y="0"/>
              <wp:positionH relativeFrom="page">
                <wp:posOffset>6412482</wp:posOffset>
              </wp:positionH>
              <wp:positionV relativeFrom="page">
                <wp:posOffset>9816165</wp:posOffset>
              </wp:positionV>
              <wp:extent cx="309880" cy="173355"/>
              <wp:effectExtent l="0" t="0" r="0" b="0"/>
              <wp:wrapNone/>
              <wp:docPr id="578" name="Textbox 578"/>
              <wp:cNvGraphicFramePr>
                <a:graphicFrameLocks/>
              </wp:cNvGraphicFramePr>
              <a:graphic>
                <a:graphicData uri="http://schemas.microsoft.com/office/word/2010/wordprocessingShape">
                  <wps:wsp>
                    <wps:cNvPr id="578" name="Textbox 578"/>
                    <wps:cNvSpPr txBox="1"/>
                    <wps:spPr>
                      <a:xfrm>
                        <a:off x="0" y="0"/>
                        <a:ext cx="309880" cy="173355"/>
                      </a:xfrm>
                      <a:prstGeom prst="rect">
                        <a:avLst/>
                      </a:prstGeom>
                    </wps:spPr>
                    <wps:txbx>
                      <w:txbxContent>
                        <w:p>
                          <w:pPr>
                            <w:spacing w:before="11"/>
                            <w:ind w:left="60" w:right="0" w:firstLine="0"/>
                            <w:jc w:val="left"/>
                            <w:rPr>
                              <w:rFonts w:ascii="Times New Roman"/>
                              <w:sz w:val="21"/>
                            </w:rPr>
                          </w:pPr>
                          <w:r>
                            <w:rPr>
                              <w:rFonts w:ascii="Times New Roman"/>
                              <w:color w:val="0A0A0A"/>
                              <w:spacing w:val="-5"/>
                              <w:w w:val="110"/>
                              <w:sz w:val="21"/>
                            </w:rPr>
                            <w:fldChar w:fldCharType="begin"/>
                          </w:r>
                          <w:r>
                            <w:rPr>
                              <w:rFonts w:ascii="Times New Roman"/>
                              <w:color w:val="0A0A0A"/>
                              <w:spacing w:val="-5"/>
                              <w:w w:val="110"/>
                              <w:sz w:val="21"/>
                            </w:rPr>
                            <w:instrText> PAGE </w:instrText>
                          </w:r>
                          <w:r>
                            <w:rPr>
                              <w:rFonts w:ascii="Times New Roman"/>
                              <w:color w:val="0A0A0A"/>
                              <w:spacing w:val="-5"/>
                              <w:w w:val="110"/>
                              <w:sz w:val="21"/>
                            </w:rPr>
                            <w:fldChar w:fldCharType="separate"/>
                          </w:r>
                          <w:r>
                            <w:rPr>
                              <w:rFonts w:ascii="Times New Roman"/>
                              <w:color w:val="0A0A0A"/>
                              <w:spacing w:val="-5"/>
                              <w:w w:val="110"/>
                              <w:sz w:val="21"/>
                            </w:rPr>
                            <w:t>103</w:t>
                          </w:r>
                          <w:r>
                            <w:rPr>
                              <w:rFonts w:ascii="Times New Roman"/>
                              <w:color w:val="0A0A0A"/>
                              <w:spacing w:val="-5"/>
                              <w:w w:val="110"/>
                              <w:sz w:val="21"/>
                            </w:rPr>
                            <w:fldChar w:fldCharType="end"/>
                          </w:r>
                        </w:p>
                      </w:txbxContent>
                    </wps:txbx>
                    <wps:bodyPr wrap="square" lIns="0" tIns="0" rIns="0" bIns="0" rtlCol="0">
                      <a:noAutofit/>
                    </wps:bodyPr>
                  </wps:wsp>
                </a:graphicData>
              </a:graphic>
            </wp:anchor>
          </w:drawing>
        </mc:Choice>
        <mc:Fallback>
          <w:pict>
            <v:shape style="position:absolute;margin-left:504.919891pt;margin-top:772.926392pt;width:24.4pt;height:13.65pt;mso-position-horizontal-relative:page;mso-position-vertical-relative:page;z-index:-27386368" type="#_x0000_t202" id="docshape379" filled="false" stroked="false">
              <v:textbox inset="0,0,0,0">
                <w:txbxContent>
                  <w:p>
                    <w:pPr>
                      <w:spacing w:before="11"/>
                      <w:ind w:left="60" w:right="0" w:firstLine="0"/>
                      <w:jc w:val="left"/>
                      <w:rPr>
                        <w:rFonts w:ascii="Times New Roman"/>
                        <w:sz w:val="21"/>
                      </w:rPr>
                    </w:pPr>
                    <w:r>
                      <w:rPr>
                        <w:rFonts w:ascii="Times New Roman"/>
                        <w:color w:val="0A0A0A"/>
                        <w:spacing w:val="-5"/>
                        <w:w w:val="110"/>
                        <w:sz w:val="21"/>
                      </w:rPr>
                      <w:fldChar w:fldCharType="begin"/>
                    </w:r>
                    <w:r>
                      <w:rPr>
                        <w:rFonts w:ascii="Times New Roman"/>
                        <w:color w:val="0A0A0A"/>
                        <w:spacing w:val="-5"/>
                        <w:w w:val="110"/>
                        <w:sz w:val="21"/>
                      </w:rPr>
                      <w:instrText> PAGE </w:instrText>
                    </w:r>
                    <w:r>
                      <w:rPr>
                        <w:rFonts w:ascii="Times New Roman"/>
                        <w:color w:val="0A0A0A"/>
                        <w:spacing w:val="-5"/>
                        <w:w w:val="110"/>
                        <w:sz w:val="21"/>
                      </w:rPr>
                      <w:fldChar w:fldCharType="separate"/>
                    </w:r>
                    <w:r>
                      <w:rPr>
                        <w:rFonts w:ascii="Times New Roman"/>
                        <w:color w:val="0A0A0A"/>
                        <w:spacing w:val="-5"/>
                        <w:w w:val="110"/>
                        <w:sz w:val="21"/>
                      </w:rPr>
                      <w:t>103</w:t>
                    </w:r>
                    <w:r>
                      <w:rPr>
                        <w:rFonts w:ascii="Times New Roman"/>
                        <w:color w:val="0A0A0A"/>
                        <w:spacing w:val="-5"/>
                        <w:w w:val="110"/>
                        <w:sz w:val="21"/>
                      </w:rPr>
                      <w:fldChar w:fldCharType="end"/>
                    </w:r>
                  </w:p>
                </w:txbxContent>
              </v:textbox>
              <w10:wrap type="none"/>
            </v:shape>
          </w:pict>
        </mc:Fallback>
      </mc:AlternateContent>
    </w:r>
  </w:p>
</w:ftr>
</file>

<file path=word/footer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0624">
              <wp:simplePos x="0" y="0"/>
              <wp:positionH relativeFrom="page">
                <wp:posOffset>6528858</wp:posOffset>
              </wp:positionH>
              <wp:positionV relativeFrom="page">
                <wp:posOffset>10079056</wp:posOffset>
              </wp:positionV>
              <wp:extent cx="243204" cy="160655"/>
              <wp:effectExtent l="0" t="0" r="0" b="0"/>
              <wp:wrapNone/>
              <wp:docPr id="579" name="Textbox 579"/>
              <wp:cNvGraphicFramePr>
                <a:graphicFrameLocks/>
              </wp:cNvGraphicFramePr>
              <a:graphic>
                <a:graphicData uri="http://schemas.microsoft.com/office/word/2010/wordprocessingShape">
                  <wps:wsp>
                    <wps:cNvPr id="579" name="Textbox 579"/>
                    <wps:cNvSpPr txBox="1"/>
                    <wps:spPr>
                      <a:xfrm>
                        <a:off x="0" y="0"/>
                        <a:ext cx="243204" cy="160655"/>
                      </a:xfrm>
                      <a:prstGeom prst="rect">
                        <a:avLst/>
                      </a:prstGeom>
                    </wps:spPr>
                    <wps:txbx>
                      <w:txbxContent>
                        <w:p>
                          <w:pPr>
                            <w:spacing w:before="14"/>
                            <w:ind w:left="20" w:right="0" w:firstLine="0"/>
                            <w:jc w:val="left"/>
                            <w:rPr>
                              <w:sz w:val="19"/>
                            </w:rPr>
                          </w:pPr>
                          <w:r>
                            <w:rPr>
                              <w:color w:val="070707"/>
                              <w:spacing w:val="-5"/>
                              <w:w w:val="110"/>
                              <w:sz w:val="19"/>
                            </w:rPr>
                            <w:t>104</w:t>
                          </w:r>
                        </w:p>
                      </w:txbxContent>
                    </wps:txbx>
                    <wps:bodyPr wrap="square" lIns="0" tIns="0" rIns="0" bIns="0" rtlCol="0">
                      <a:noAutofit/>
                    </wps:bodyPr>
                  </wps:wsp>
                </a:graphicData>
              </a:graphic>
            </wp:anchor>
          </w:drawing>
        </mc:Choice>
        <mc:Fallback>
          <w:pict>
            <v:shape style="position:absolute;margin-left:514.083374pt;margin-top:793.626526pt;width:19.150pt;height:12.65pt;mso-position-horizontal-relative:page;mso-position-vertical-relative:page;z-index:-27385856" type="#_x0000_t202" id="docshape380" filled="false" stroked="false">
              <v:textbox inset="0,0,0,0">
                <w:txbxContent>
                  <w:p>
                    <w:pPr>
                      <w:spacing w:before="14"/>
                      <w:ind w:left="20" w:right="0" w:firstLine="0"/>
                      <w:jc w:val="left"/>
                      <w:rPr>
                        <w:sz w:val="19"/>
                      </w:rPr>
                    </w:pPr>
                    <w:r>
                      <w:rPr>
                        <w:color w:val="070707"/>
                        <w:spacing w:val="-5"/>
                        <w:w w:val="110"/>
                        <w:sz w:val="19"/>
                      </w:rPr>
                      <w:t>104</w:t>
                    </w:r>
                  </w:p>
                </w:txbxContent>
              </v:textbox>
              <w10:wrap type="none"/>
            </v:shape>
          </w:pict>
        </mc:Fallback>
      </mc:AlternateContent>
    </w:r>
  </w:p>
</w:ftr>
</file>

<file path=word/footer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1136">
              <wp:simplePos x="0" y="0"/>
              <wp:positionH relativeFrom="page">
                <wp:posOffset>6577018</wp:posOffset>
              </wp:positionH>
              <wp:positionV relativeFrom="page">
                <wp:posOffset>10009220</wp:posOffset>
              </wp:positionV>
              <wp:extent cx="246379" cy="167640"/>
              <wp:effectExtent l="0" t="0" r="0" b="0"/>
              <wp:wrapNone/>
              <wp:docPr id="594" name="Textbox 594"/>
              <wp:cNvGraphicFramePr>
                <a:graphicFrameLocks/>
              </wp:cNvGraphicFramePr>
              <a:graphic>
                <a:graphicData uri="http://schemas.microsoft.com/office/word/2010/wordprocessingShape">
                  <wps:wsp>
                    <wps:cNvPr id="594" name="Textbox 594"/>
                    <wps:cNvSpPr txBox="1"/>
                    <wps:spPr>
                      <a:xfrm>
                        <a:off x="0" y="0"/>
                        <a:ext cx="246379" cy="167640"/>
                      </a:xfrm>
                      <a:prstGeom prst="rect">
                        <a:avLst/>
                      </a:prstGeom>
                    </wps:spPr>
                    <wps:txbx>
                      <w:txbxContent>
                        <w:p>
                          <w:pPr>
                            <w:spacing w:before="13"/>
                            <w:ind w:left="20" w:right="0" w:firstLine="0"/>
                            <w:jc w:val="left"/>
                            <w:rPr>
                              <w:sz w:val="20"/>
                            </w:rPr>
                          </w:pPr>
                          <w:r>
                            <w:rPr>
                              <w:color w:val="0C0C0C"/>
                              <w:spacing w:val="-5"/>
                              <w:w w:val="105"/>
                              <w:sz w:val="20"/>
                            </w:rPr>
                            <w:t>105</w:t>
                          </w:r>
                        </w:p>
                      </w:txbxContent>
                    </wps:txbx>
                    <wps:bodyPr wrap="square" lIns="0" tIns="0" rIns="0" bIns="0" rtlCol="0">
                      <a:noAutofit/>
                    </wps:bodyPr>
                  </wps:wsp>
                </a:graphicData>
              </a:graphic>
            </wp:anchor>
          </w:drawing>
        </mc:Choice>
        <mc:Fallback>
          <w:pict>
            <v:shape style="position:absolute;margin-left:517.875488pt;margin-top:788.127625pt;width:19.4pt;height:13.2pt;mso-position-horizontal-relative:page;mso-position-vertical-relative:page;z-index:-27385344" type="#_x0000_t202" id="docshape389" filled="false" stroked="false">
              <v:textbox inset="0,0,0,0">
                <w:txbxContent>
                  <w:p>
                    <w:pPr>
                      <w:spacing w:before="13"/>
                      <w:ind w:left="20" w:right="0" w:firstLine="0"/>
                      <w:jc w:val="left"/>
                      <w:rPr>
                        <w:sz w:val="20"/>
                      </w:rPr>
                    </w:pPr>
                    <w:r>
                      <w:rPr>
                        <w:color w:val="0C0C0C"/>
                        <w:spacing w:val="-5"/>
                        <w:w w:val="105"/>
                        <w:sz w:val="20"/>
                      </w:rPr>
                      <w:t>105</w:t>
                    </w:r>
                  </w:p>
                </w:txbxContent>
              </v:textbox>
              <w10:wrap type="none"/>
            </v:shape>
          </w:pict>
        </mc:Fallback>
      </mc:AlternateContent>
    </w:r>
  </w:p>
</w:ftr>
</file>

<file path=word/footer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1648">
              <wp:simplePos x="0" y="0"/>
              <wp:positionH relativeFrom="page">
                <wp:posOffset>6510542</wp:posOffset>
              </wp:positionH>
              <wp:positionV relativeFrom="page">
                <wp:posOffset>9914277</wp:posOffset>
              </wp:positionV>
              <wp:extent cx="247650" cy="160655"/>
              <wp:effectExtent l="0" t="0" r="0" b="0"/>
              <wp:wrapNone/>
              <wp:docPr id="595" name="Textbox 595"/>
              <wp:cNvGraphicFramePr>
                <a:graphicFrameLocks/>
              </wp:cNvGraphicFramePr>
              <a:graphic>
                <a:graphicData uri="http://schemas.microsoft.com/office/word/2010/wordprocessingShape">
                  <wps:wsp>
                    <wps:cNvPr id="595" name="Textbox 595"/>
                    <wps:cNvSpPr txBox="1"/>
                    <wps:spPr>
                      <a:xfrm>
                        <a:off x="0" y="0"/>
                        <a:ext cx="247650" cy="160655"/>
                      </a:xfrm>
                      <a:prstGeom prst="rect">
                        <a:avLst/>
                      </a:prstGeom>
                    </wps:spPr>
                    <wps:txbx>
                      <w:txbxContent>
                        <w:p>
                          <w:pPr>
                            <w:spacing w:before="14"/>
                            <w:ind w:left="20" w:right="0" w:firstLine="0"/>
                            <w:jc w:val="left"/>
                            <w:rPr>
                              <w:sz w:val="19"/>
                            </w:rPr>
                          </w:pPr>
                          <w:r>
                            <w:rPr>
                              <w:color w:val="0F0F0F"/>
                              <w:spacing w:val="-5"/>
                              <w:w w:val="110"/>
                              <w:sz w:val="19"/>
                            </w:rPr>
                            <w:t>106</w:t>
                          </w:r>
                        </w:p>
                      </w:txbxContent>
                    </wps:txbx>
                    <wps:bodyPr wrap="square" lIns="0" tIns="0" rIns="0" bIns="0" rtlCol="0">
                      <a:noAutofit/>
                    </wps:bodyPr>
                  </wps:wsp>
                </a:graphicData>
              </a:graphic>
            </wp:anchor>
          </w:drawing>
        </mc:Choice>
        <mc:Fallback>
          <w:pict>
            <v:shape style="position:absolute;margin-left:512.641113pt;margin-top:780.651794pt;width:19.5pt;height:12.65pt;mso-position-horizontal-relative:page;mso-position-vertical-relative:page;z-index:-27384832" type="#_x0000_t202" id="docshape390" filled="false" stroked="false">
              <v:textbox inset="0,0,0,0">
                <w:txbxContent>
                  <w:p>
                    <w:pPr>
                      <w:spacing w:before="14"/>
                      <w:ind w:left="20" w:right="0" w:firstLine="0"/>
                      <w:jc w:val="left"/>
                      <w:rPr>
                        <w:sz w:val="19"/>
                      </w:rPr>
                    </w:pPr>
                    <w:r>
                      <w:rPr>
                        <w:color w:val="0F0F0F"/>
                        <w:spacing w:val="-5"/>
                        <w:w w:val="110"/>
                        <w:sz w:val="19"/>
                      </w:rPr>
                      <w:t>106</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1024">
              <wp:simplePos x="0" y="0"/>
              <wp:positionH relativeFrom="page">
                <wp:posOffset>890301</wp:posOffset>
              </wp:positionH>
              <wp:positionV relativeFrom="page">
                <wp:posOffset>285125</wp:posOffset>
              </wp:positionV>
              <wp:extent cx="1256665" cy="12509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1256665" cy="125095"/>
                      </a:xfrm>
                      <a:prstGeom prst="rect">
                        <a:avLst/>
                      </a:prstGeom>
                    </wps:spPr>
                    <wps:txbx>
                      <w:txbxContent>
                        <w:p>
                          <w:pPr>
                            <w:spacing w:before="15"/>
                            <w:ind w:left="20" w:right="0" w:firstLine="0"/>
                            <w:jc w:val="left"/>
                            <w:rPr>
                              <w:sz w:val="14"/>
                            </w:rPr>
                          </w:pPr>
                          <w:r>
                            <w:rPr>
                              <w:color w:val="A8A8A8"/>
                              <w:sz w:val="14"/>
                            </w:rPr>
                            <w:t>N!l.R.RA</w:t>
                          </w:r>
                          <w:r>
                            <w:rPr>
                              <w:color w:val="A8A8A8"/>
                              <w:spacing w:val="2"/>
                              <w:sz w:val="14"/>
                            </w:rPr>
                            <w:t> </w:t>
                          </w:r>
                          <w:r>
                            <w:rPr>
                              <w:color w:val="A8A8A8"/>
                              <w:sz w:val="14"/>
                            </w:rPr>
                            <w:t>TIVE</w:t>
                          </w:r>
                          <w:r>
                            <w:rPr>
                              <w:color w:val="A8A8A8"/>
                              <w:spacing w:val="32"/>
                              <w:sz w:val="14"/>
                            </w:rPr>
                            <w:t> </w:t>
                          </w:r>
                          <w:r>
                            <w:rPr>
                              <w:color w:val="A8A8A8"/>
                              <w:spacing w:val="-2"/>
                              <w:sz w:val="14"/>
                            </w:rPr>
                            <w:t>STATEMENT</w:t>
                          </w:r>
                        </w:p>
                      </w:txbxContent>
                    </wps:txbx>
                    <wps:bodyPr wrap="square" lIns="0" tIns="0" rIns="0" bIns="0" rtlCol="0">
                      <a:noAutofit/>
                    </wps:bodyPr>
                  </wps:wsp>
                </a:graphicData>
              </a:graphic>
            </wp:anchor>
          </w:drawing>
        </mc:Choice>
        <mc:Fallback>
          <w:pict>
            <v:shape style="position:absolute;margin-left:70.102501pt;margin-top:22.450859pt;width:98.95pt;height:9.85pt;mso-position-horizontal-relative:page;mso-position-vertical-relative:page;z-index:-27475456" type="#_x0000_t202" id="docshape14" filled="false" stroked="false">
              <v:textbox inset="0,0,0,0">
                <w:txbxContent>
                  <w:p>
                    <w:pPr>
                      <w:spacing w:before="15"/>
                      <w:ind w:left="20" w:right="0" w:firstLine="0"/>
                      <w:jc w:val="left"/>
                      <w:rPr>
                        <w:sz w:val="14"/>
                      </w:rPr>
                    </w:pPr>
                    <w:r>
                      <w:rPr>
                        <w:color w:val="A8A8A8"/>
                        <w:sz w:val="14"/>
                      </w:rPr>
                      <w:t>N!l.R.RA</w:t>
                    </w:r>
                    <w:r>
                      <w:rPr>
                        <w:color w:val="A8A8A8"/>
                        <w:spacing w:val="2"/>
                        <w:sz w:val="14"/>
                      </w:rPr>
                      <w:t> </w:t>
                    </w:r>
                    <w:r>
                      <w:rPr>
                        <w:color w:val="A8A8A8"/>
                        <w:sz w:val="14"/>
                      </w:rPr>
                      <w:t>TIVE</w:t>
                    </w:r>
                    <w:r>
                      <w:rPr>
                        <w:color w:val="A8A8A8"/>
                        <w:spacing w:val="32"/>
                        <w:sz w:val="14"/>
                      </w:rPr>
                      <w:t> </w:t>
                    </w:r>
                    <w:r>
                      <w:rPr>
                        <w:color w:val="A8A8A8"/>
                        <w:spacing w:val="-2"/>
                        <w:sz w:val="14"/>
                      </w:rPr>
                      <w:t>STATEMENT</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9"/>
      </w:rPr>
    </w:pPr>
    <w:r>
      <w:rPr/>
      <mc:AlternateContent>
        <mc:Choice Requires="wps">
          <w:drawing>
            <wp:anchor distT="0" distB="0" distL="0" distR="0" allowOverlap="1" layoutInCell="1" locked="0" behindDoc="1" simplePos="0" relativeHeight="475849216">
              <wp:simplePos x="0" y="0"/>
              <wp:positionH relativeFrom="page">
                <wp:posOffset>914725</wp:posOffset>
              </wp:positionH>
              <wp:positionV relativeFrom="page">
                <wp:posOffset>266817</wp:posOffset>
              </wp:positionV>
              <wp:extent cx="1253490" cy="125095"/>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1253490" cy="125095"/>
                      </a:xfrm>
                      <a:prstGeom prst="rect">
                        <a:avLst/>
                      </a:prstGeom>
                    </wps:spPr>
                    <wps:txbx>
                      <w:txbxContent>
                        <w:p>
                          <w:pPr>
                            <w:spacing w:before="15"/>
                            <w:ind w:left="20" w:right="0" w:firstLine="0"/>
                            <w:jc w:val="left"/>
                            <w:rPr>
                              <w:sz w:val="14"/>
                            </w:rPr>
                          </w:pPr>
                          <w:r>
                            <w:rPr>
                              <w:color w:val="9E9E9E"/>
                              <w:w w:val="115"/>
                              <w:sz w:val="14"/>
                            </w:rPr>
                            <w:t>NARRATIVE</w:t>
                          </w:r>
                          <w:r>
                            <w:rPr>
                              <w:color w:val="9E9E9E"/>
                              <w:spacing w:val="-1"/>
                              <w:w w:val="115"/>
                              <w:sz w:val="14"/>
                            </w:rPr>
                            <w:t> </w:t>
                          </w:r>
                          <w:r>
                            <w:rPr>
                              <w:color w:val="9E9E9E"/>
                              <w:spacing w:val="-2"/>
                              <w:w w:val="115"/>
                              <w:sz w:val="14"/>
                            </w:rPr>
                            <w:t>STATEMENT</w:t>
                          </w:r>
                        </w:p>
                      </w:txbxContent>
                    </wps:txbx>
                    <wps:bodyPr wrap="square" lIns="0" tIns="0" rIns="0" bIns="0" rtlCol="0">
                      <a:noAutofit/>
                    </wps:bodyPr>
                  </wps:wsp>
                </a:graphicData>
              </a:graphic>
            </wp:anchor>
          </w:drawing>
        </mc:Choice>
        <mc:Fallback>
          <w:pict>
            <v:shape style="position:absolute;margin-left:72.025597pt;margin-top:21.009258pt;width:98.7pt;height:9.85pt;mso-position-horizontal-relative:page;mso-position-vertical-relative:page;z-index:-27467264" type="#_x0000_t202" id="docshape30" filled="false" stroked="false">
              <v:textbox inset="0,0,0,0">
                <w:txbxContent>
                  <w:p>
                    <w:pPr>
                      <w:spacing w:before="15"/>
                      <w:ind w:left="20" w:right="0" w:firstLine="0"/>
                      <w:jc w:val="left"/>
                      <w:rPr>
                        <w:sz w:val="14"/>
                      </w:rPr>
                    </w:pPr>
                    <w:r>
                      <w:rPr>
                        <w:color w:val="9E9E9E"/>
                        <w:w w:val="115"/>
                        <w:sz w:val="14"/>
                      </w:rPr>
                      <w:t>NARRATIVE</w:t>
                    </w:r>
                    <w:r>
                      <w:rPr>
                        <w:color w:val="9E9E9E"/>
                        <w:spacing w:val="-1"/>
                        <w:w w:val="115"/>
                        <w:sz w:val="14"/>
                      </w:rPr>
                      <w:t> </w:t>
                    </w:r>
                    <w:r>
                      <w:rPr>
                        <w:color w:val="9E9E9E"/>
                        <w:spacing w:val="-2"/>
                        <w:w w:val="115"/>
                        <w:sz w:val="14"/>
                      </w:rPr>
                      <w:t>STATEMENT</w:t>
                    </w:r>
                  </w:p>
                </w:txbxContent>
              </v:textbox>
              <w10:wrap type="none"/>
            </v:shape>
          </w:pict>
        </mc:Fallback>
      </mc:AlternateContent>
    </w:r>
  </w:p>
</w:hdr>
</file>

<file path=word/header1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2400">
              <wp:simplePos x="0" y="0"/>
              <wp:positionH relativeFrom="page">
                <wp:posOffset>795724</wp:posOffset>
              </wp:positionH>
              <wp:positionV relativeFrom="page">
                <wp:posOffset>465163</wp:posOffset>
              </wp:positionV>
              <wp:extent cx="71755" cy="125095"/>
              <wp:effectExtent l="0" t="0" r="0" b="0"/>
              <wp:wrapNone/>
              <wp:docPr id="685" name="Textbox 685"/>
              <wp:cNvGraphicFramePr>
                <a:graphicFrameLocks/>
              </wp:cNvGraphicFramePr>
              <a:graphic>
                <a:graphicData uri="http://schemas.microsoft.com/office/word/2010/wordprocessingShape">
                  <wps:wsp>
                    <wps:cNvPr id="685" name="Textbox 685"/>
                    <wps:cNvSpPr txBox="1"/>
                    <wps:spPr>
                      <a:xfrm>
                        <a:off x="0" y="0"/>
                        <a:ext cx="71755" cy="125095"/>
                      </a:xfrm>
                      <a:prstGeom prst="rect">
                        <a:avLst/>
                      </a:prstGeom>
                    </wps:spPr>
                    <wps:txbx>
                      <w:txbxContent>
                        <w:p>
                          <w:pPr>
                            <w:spacing w:before="15"/>
                            <w:ind w:left="20" w:right="0" w:firstLine="0"/>
                            <w:jc w:val="left"/>
                            <w:rPr>
                              <w:sz w:val="14"/>
                            </w:rPr>
                          </w:pPr>
                          <w:r>
                            <w:rPr>
                              <w:color w:val="A8A8A8"/>
                              <w:spacing w:val="-10"/>
                              <w:sz w:val="14"/>
                            </w:rPr>
                            <w:t>8</w:t>
                          </w:r>
                        </w:p>
                      </w:txbxContent>
                    </wps:txbx>
                    <wps:bodyPr wrap="square" lIns="0" tIns="0" rIns="0" bIns="0" rtlCol="0">
                      <a:noAutofit/>
                    </wps:bodyPr>
                  </wps:wsp>
                </a:graphicData>
              </a:graphic>
            </wp:anchor>
          </w:drawing>
        </mc:Choice>
        <mc:Fallback>
          <w:pict>
            <v:shape style="position:absolute;margin-left:62.65551pt;margin-top:36.62706pt;width:5.65pt;height:9.85pt;mso-position-horizontal-relative:page;mso-position-vertical-relative:page;z-index:-27374080" type="#_x0000_t202" id="docshape441" filled="false" stroked="false">
              <v:textbox inset="0,0,0,0">
                <w:txbxContent>
                  <w:p>
                    <w:pPr>
                      <w:spacing w:before="15"/>
                      <w:ind w:left="20" w:right="0" w:firstLine="0"/>
                      <w:jc w:val="left"/>
                      <w:rPr>
                        <w:sz w:val="14"/>
                      </w:rPr>
                    </w:pPr>
                    <w:r>
                      <w:rPr>
                        <w:color w:val="A8A8A8"/>
                        <w:spacing w:val="-10"/>
                        <w:sz w:val="14"/>
                      </w:rPr>
                      <w:t>8</w:t>
                    </w:r>
                  </w:p>
                </w:txbxContent>
              </v:textbox>
              <w10:wrap type="none"/>
            </v:shape>
          </w:pict>
        </mc:Fallback>
      </mc:AlternateContent>
    </w:r>
    <w:r>
      <w:rPr/>
      <mc:AlternateContent>
        <mc:Choice Requires="wps">
          <w:drawing>
            <wp:anchor distT="0" distB="0" distL="0" distR="0" allowOverlap="1" layoutInCell="1" locked="0" behindDoc="1" simplePos="0" relativeHeight="475942912">
              <wp:simplePos x="0" y="0"/>
              <wp:positionH relativeFrom="page">
                <wp:posOffset>1251343</wp:posOffset>
              </wp:positionH>
              <wp:positionV relativeFrom="page">
                <wp:posOffset>465163</wp:posOffset>
              </wp:positionV>
              <wp:extent cx="1837689" cy="125095"/>
              <wp:effectExtent l="0" t="0" r="0" b="0"/>
              <wp:wrapNone/>
              <wp:docPr id="686" name="Textbox 686"/>
              <wp:cNvGraphicFramePr>
                <a:graphicFrameLocks/>
              </wp:cNvGraphicFramePr>
              <a:graphic>
                <a:graphicData uri="http://schemas.microsoft.com/office/word/2010/wordprocessingShape">
                  <wps:wsp>
                    <wps:cNvPr id="686" name="Textbox 686"/>
                    <wps:cNvSpPr txBox="1"/>
                    <wps:spPr>
                      <a:xfrm>
                        <a:off x="0" y="0"/>
                        <a:ext cx="1837689" cy="125095"/>
                      </a:xfrm>
                      <a:prstGeom prst="rect">
                        <a:avLst/>
                      </a:prstGeom>
                    </wps:spPr>
                    <wps:txbx>
                      <w:txbxContent>
                        <w:p>
                          <w:pPr>
                            <w:spacing w:before="15"/>
                            <w:ind w:left="20" w:right="0" w:firstLine="0"/>
                            <w:jc w:val="left"/>
                            <w:rPr>
                              <w:sz w:val="14"/>
                            </w:rPr>
                          </w:pPr>
                          <w:r>
                            <w:rPr>
                              <w:color w:val="A8A8A8"/>
                              <w:w w:val="105"/>
                              <w:sz w:val="14"/>
                            </w:rPr>
                            <w:t>A.NNLl.u.L</w:t>
                          </w:r>
                          <w:r>
                            <w:rPr>
                              <w:color w:val="A8A8A8"/>
                              <w:spacing w:val="18"/>
                              <w:w w:val="105"/>
                              <w:sz w:val="14"/>
                            </w:rPr>
                            <w:t> </w:t>
                          </w:r>
                          <w:r>
                            <w:rPr>
                              <w:color w:val="A8A8A8"/>
                              <w:w w:val="105"/>
                              <w:sz w:val="14"/>
                            </w:rPr>
                            <w:t>GOVERNANCE</w:t>
                          </w:r>
                          <w:r>
                            <w:rPr>
                              <w:color w:val="A8A8A8"/>
                              <w:spacing w:val="22"/>
                              <w:w w:val="105"/>
                              <w:sz w:val="14"/>
                            </w:rPr>
                            <w:t> </w:t>
                          </w:r>
                          <w:r>
                            <w:rPr>
                              <w:color w:val="A8A8A8"/>
                              <w:w w:val="105"/>
                              <w:sz w:val="14"/>
                            </w:rPr>
                            <w:t>ST"-</w:t>
                          </w:r>
                          <w:r>
                            <w:rPr>
                              <w:color w:val="A8A8A8"/>
                              <w:spacing w:val="-2"/>
                              <w:w w:val="105"/>
                              <w:sz w:val="14"/>
                            </w:rPr>
                            <w:t>TEIVlENT</w:t>
                          </w:r>
                        </w:p>
                      </w:txbxContent>
                    </wps:txbx>
                    <wps:bodyPr wrap="square" lIns="0" tIns="0" rIns="0" bIns="0" rtlCol="0">
                      <a:noAutofit/>
                    </wps:bodyPr>
                  </wps:wsp>
                </a:graphicData>
              </a:graphic>
            </wp:anchor>
          </w:drawing>
        </mc:Choice>
        <mc:Fallback>
          <w:pict>
            <v:shape style="position:absolute;margin-left:98.530998pt;margin-top:36.62706pt;width:144.7pt;height:9.85pt;mso-position-horizontal-relative:page;mso-position-vertical-relative:page;z-index:-27373568" type="#_x0000_t202" id="docshape442" filled="false" stroked="false">
              <v:textbox inset="0,0,0,0">
                <w:txbxContent>
                  <w:p>
                    <w:pPr>
                      <w:spacing w:before="15"/>
                      <w:ind w:left="20" w:right="0" w:firstLine="0"/>
                      <w:jc w:val="left"/>
                      <w:rPr>
                        <w:sz w:val="14"/>
                      </w:rPr>
                    </w:pPr>
                    <w:r>
                      <w:rPr>
                        <w:color w:val="A8A8A8"/>
                        <w:w w:val="105"/>
                        <w:sz w:val="14"/>
                      </w:rPr>
                      <w:t>A.NNLl.u.L</w:t>
                    </w:r>
                    <w:r>
                      <w:rPr>
                        <w:color w:val="A8A8A8"/>
                        <w:spacing w:val="18"/>
                        <w:w w:val="105"/>
                        <w:sz w:val="14"/>
                      </w:rPr>
                      <w:t> </w:t>
                    </w:r>
                    <w:r>
                      <w:rPr>
                        <w:color w:val="A8A8A8"/>
                        <w:w w:val="105"/>
                        <w:sz w:val="14"/>
                      </w:rPr>
                      <w:t>GOVERNANCE</w:t>
                    </w:r>
                    <w:r>
                      <w:rPr>
                        <w:color w:val="A8A8A8"/>
                        <w:spacing w:val="22"/>
                        <w:w w:val="105"/>
                        <w:sz w:val="14"/>
                      </w:rPr>
                      <w:t> </w:t>
                    </w:r>
                    <w:r>
                      <w:rPr>
                        <w:color w:val="A8A8A8"/>
                        <w:w w:val="105"/>
                        <w:sz w:val="14"/>
                      </w:rPr>
                      <w:t>ST"-</w:t>
                    </w:r>
                    <w:r>
                      <w:rPr>
                        <w:color w:val="A8A8A8"/>
                        <w:spacing w:val="-2"/>
                        <w:w w:val="105"/>
                        <w:sz w:val="14"/>
                      </w:rPr>
                      <w:t>TEIVlENT</w:t>
                    </w:r>
                  </w:p>
                </w:txbxContent>
              </v:textbox>
              <w10:wrap type="none"/>
            </v:shape>
          </w:pict>
        </mc:Fallback>
      </mc:AlternateContent>
    </w:r>
  </w:p>
</w:hdr>
</file>

<file path=word/header1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4448">
              <wp:simplePos x="0" y="0"/>
              <wp:positionH relativeFrom="page">
                <wp:posOffset>801570</wp:posOffset>
              </wp:positionH>
              <wp:positionV relativeFrom="page">
                <wp:posOffset>462460</wp:posOffset>
              </wp:positionV>
              <wp:extent cx="78740" cy="132080"/>
              <wp:effectExtent l="0" t="0" r="0" b="0"/>
              <wp:wrapNone/>
              <wp:docPr id="690" name="Textbox 690"/>
              <wp:cNvGraphicFramePr>
                <a:graphicFrameLocks/>
              </wp:cNvGraphicFramePr>
              <a:graphic>
                <a:graphicData uri="http://schemas.microsoft.com/office/word/2010/wordprocessingShape">
                  <wps:wsp>
                    <wps:cNvPr id="690" name="Textbox 690"/>
                    <wps:cNvSpPr txBox="1"/>
                    <wps:spPr>
                      <a:xfrm>
                        <a:off x="0" y="0"/>
                        <a:ext cx="78740" cy="132080"/>
                      </a:xfrm>
                      <a:prstGeom prst="rect">
                        <a:avLst/>
                      </a:prstGeom>
                    </wps:spPr>
                    <wps:txbx>
                      <w:txbxContent>
                        <w:p>
                          <w:pPr>
                            <w:spacing w:before="15"/>
                            <w:ind w:left="20" w:right="0" w:firstLine="0"/>
                            <w:jc w:val="left"/>
                            <w:rPr>
                              <w:sz w:val="15"/>
                            </w:rPr>
                          </w:pPr>
                          <w:r>
                            <w:rPr>
                              <w:color w:val="BABABA"/>
                              <w:spacing w:val="-10"/>
                              <w:sz w:val="15"/>
                            </w:rPr>
                            <w:t>8</w:t>
                          </w:r>
                        </w:p>
                      </w:txbxContent>
                    </wps:txbx>
                    <wps:bodyPr wrap="square" lIns="0" tIns="0" rIns="0" bIns="0" rtlCol="0">
                      <a:noAutofit/>
                    </wps:bodyPr>
                  </wps:wsp>
                </a:graphicData>
              </a:graphic>
            </wp:anchor>
          </w:drawing>
        </mc:Choice>
        <mc:Fallback>
          <w:pict>
            <v:shape style="position:absolute;margin-left:63.115749pt;margin-top:36.414204pt;width:6.2pt;height:10.4pt;mso-position-horizontal-relative:page;mso-position-vertical-relative:page;z-index:-27372032" type="#_x0000_t202" id="docshape445" filled="false" stroked="false">
              <v:textbox inset="0,0,0,0">
                <w:txbxContent>
                  <w:p>
                    <w:pPr>
                      <w:spacing w:before="15"/>
                      <w:ind w:left="20" w:right="0" w:firstLine="0"/>
                      <w:jc w:val="left"/>
                      <w:rPr>
                        <w:sz w:val="15"/>
                      </w:rPr>
                    </w:pPr>
                    <w:r>
                      <w:rPr>
                        <w:color w:val="BABABA"/>
                        <w:spacing w:val="-10"/>
                        <w:sz w:val="15"/>
                      </w:rPr>
                      <w:t>8</w:t>
                    </w:r>
                  </w:p>
                </w:txbxContent>
              </v:textbox>
              <w10:wrap type="none"/>
            </v:shape>
          </w:pict>
        </mc:Fallback>
      </mc:AlternateContent>
    </w:r>
    <w:r>
      <w:rPr/>
      <mc:AlternateContent>
        <mc:Choice Requires="wps">
          <w:drawing>
            <wp:anchor distT="0" distB="0" distL="0" distR="0" allowOverlap="1" layoutInCell="1" locked="0" behindDoc="1" simplePos="0" relativeHeight="475944960">
              <wp:simplePos x="0" y="0"/>
              <wp:positionH relativeFrom="page">
                <wp:posOffset>1260511</wp:posOffset>
              </wp:positionH>
              <wp:positionV relativeFrom="page">
                <wp:posOffset>462460</wp:posOffset>
              </wp:positionV>
              <wp:extent cx="1838960" cy="132080"/>
              <wp:effectExtent l="0" t="0" r="0" b="0"/>
              <wp:wrapNone/>
              <wp:docPr id="691" name="Textbox 691"/>
              <wp:cNvGraphicFramePr>
                <a:graphicFrameLocks/>
              </wp:cNvGraphicFramePr>
              <a:graphic>
                <a:graphicData uri="http://schemas.microsoft.com/office/word/2010/wordprocessingShape">
                  <wps:wsp>
                    <wps:cNvPr id="691" name="Textbox 691"/>
                    <wps:cNvSpPr txBox="1"/>
                    <wps:spPr>
                      <a:xfrm>
                        <a:off x="0" y="0"/>
                        <a:ext cx="1838960" cy="132080"/>
                      </a:xfrm>
                      <a:prstGeom prst="rect">
                        <a:avLst/>
                      </a:prstGeom>
                    </wps:spPr>
                    <wps:txbx>
                      <w:txbxContent>
                        <w:p>
                          <w:pPr>
                            <w:spacing w:before="15"/>
                            <w:ind w:left="20" w:right="0" w:firstLine="0"/>
                            <w:jc w:val="left"/>
                            <w:rPr>
                              <w:sz w:val="15"/>
                            </w:rPr>
                          </w:pPr>
                          <w:r>
                            <w:rPr>
                              <w:color w:val="9E9E9E"/>
                              <w:w w:val="105"/>
                              <w:sz w:val="15"/>
                            </w:rPr>
                            <w:t>ANNUAL</w:t>
                          </w:r>
                          <w:r>
                            <w:rPr>
                              <w:color w:val="9E9E9E"/>
                              <w:spacing w:val="14"/>
                              <w:w w:val="105"/>
                              <w:sz w:val="15"/>
                            </w:rPr>
                            <w:t> </w:t>
                          </w:r>
                          <w:r>
                            <w:rPr>
                              <w:color w:val="9E9E9E"/>
                              <w:w w:val="105"/>
                              <w:sz w:val="15"/>
                            </w:rPr>
                            <w:t>GOVERNANCE</w:t>
                          </w:r>
                          <w:r>
                            <w:rPr>
                              <w:color w:val="9E9E9E"/>
                              <w:spacing w:val="23"/>
                              <w:w w:val="105"/>
                              <w:sz w:val="15"/>
                            </w:rPr>
                            <w:t> </w:t>
                          </w:r>
                          <w:r>
                            <w:rPr>
                              <w:color w:val="9E9E9E"/>
                              <w:spacing w:val="-2"/>
                              <w:w w:val="105"/>
                              <w:sz w:val="15"/>
                            </w:rPr>
                            <w:t>STATEMENT</w:t>
                          </w:r>
                        </w:p>
                      </w:txbxContent>
                    </wps:txbx>
                    <wps:bodyPr wrap="square" lIns="0" tIns="0" rIns="0" bIns="0" rtlCol="0">
                      <a:noAutofit/>
                    </wps:bodyPr>
                  </wps:wsp>
                </a:graphicData>
              </a:graphic>
            </wp:anchor>
          </w:drawing>
        </mc:Choice>
        <mc:Fallback>
          <w:pict>
            <v:shape style="position:absolute;margin-left:99.252899pt;margin-top:36.414204pt;width:144.8pt;height:10.4pt;mso-position-horizontal-relative:page;mso-position-vertical-relative:page;z-index:-27371520" type="#_x0000_t202" id="docshape446" filled="false" stroked="false">
              <v:textbox inset="0,0,0,0">
                <w:txbxContent>
                  <w:p>
                    <w:pPr>
                      <w:spacing w:before="15"/>
                      <w:ind w:left="20" w:right="0" w:firstLine="0"/>
                      <w:jc w:val="left"/>
                      <w:rPr>
                        <w:sz w:val="15"/>
                      </w:rPr>
                    </w:pPr>
                    <w:r>
                      <w:rPr>
                        <w:color w:val="9E9E9E"/>
                        <w:w w:val="105"/>
                        <w:sz w:val="15"/>
                      </w:rPr>
                      <w:t>ANNUAL</w:t>
                    </w:r>
                    <w:r>
                      <w:rPr>
                        <w:color w:val="9E9E9E"/>
                        <w:spacing w:val="14"/>
                        <w:w w:val="105"/>
                        <w:sz w:val="15"/>
                      </w:rPr>
                      <w:t> </w:t>
                    </w:r>
                    <w:r>
                      <w:rPr>
                        <w:color w:val="9E9E9E"/>
                        <w:w w:val="105"/>
                        <w:sz w:val="15"/>
                      </w:rPr>
                      <w:t>GOVERNANCE</w:t>
                    </w:r>
                    <w:r>
                      <w:rPr>
                        <w:color w:val="9E9E9E"/>
                        <w:spacing w:val="23"/>
                        <w:w w:val="105"/>
                        <w:sz w:val="15"/>
                      </w:rPr>
                      <w:t> </w:t>
                    </w:r>
                    <w:r>
                      <w:rPr>
                        <w:color w:val="9E9E9E"/>
                        <w:spacing w:val="-2"/>
                        <w:w w:val="105"/>
                        <w:sz w:val="15"/>
                      </w:rPr>
                      <w:t>STATEMENT</w:t>
                    </w:r>
                  </w:p>
                </w:txbxContent>
              </v:textbox>
              <w10:wrap type="none"/>
            </v:shape>
          </w:pict>
        </mc:Fallback>
      </mc:AlternateContent>
    </w:r>
  </w:p>
</w:hdr>
</file>

<file path=word/header1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7520">
              <wp:simplePos x="0" y="0"/>
              <wp:positionH relativeFrom="page">
                <wp:posOffset>801741</wp:posOffset>
              </wp:positionH>
              <wp:positionV relativeFrom="page">
                <wp:posOffset>459061</wp:posOffset>
              </wp:positionV>
              <wp:extent cx="74930" cy="125095"/>
              <wp:effectExtent l="0" t="0" r="0" b="0"/>
              <wp:wrapNone/>
              <wp:docPr id="717" name="Textbox 717"/>
              <wp:cNvGraphicFramePr>
                <a:graphicFrameLocks/>
              </wp:cNvGraphicFramePr>
              <a:graphic>
                <a:graphicData uri="http://schemas.microsoft.com/office/word/2010/wordprocessingShape">
                  <wps:wsp>
                    <wps:cNvPr id="717" name="Textbox 717"/>
                    <wps:cNvSpPr txBox="1"/>
                    <wps:spPr>
                      <a:xfrm>
                        <a:off x="0" y="0"/>
                        <a:ext cx="74930" cy="125095"/>
                      </a:xfrm>
                      <a:prstGeom prst="rect">
                        <a:avLst/>
                      </a:prstGeom>
                    </wps:spPr>
                    <wps:txbx>
                      <w:txbxContent>
                        <w:p>
                          <w:pPr>
                            <w:spacing w:before="15"/>
                            <w:ind w:left="20" w:right="0" w:firstLine="0"/>
                            <w:jc w:val="left"/>
                            <w:rPr>
                              <w:sz w:val="14"/>
                            </w:rPr>
                          </w:pPr>
                          <w:r>
                            <w:rPr>
                              <w:color w:val="A8A8A8"/>
                              <w:spacing w:val="-10"/>
                              <w:sz w:val="14"/>
                            </w:rPr>
                            <w:t>3</w:t>
                          </w:r>
                        </w:p>
                      </w:txbxContent>
                    </wps:txbx>
                    <wps:bodyPr wrap="square" lIns="0" tIns="0" rIns="0" bIns="0" rtlCol="0">
                      <a:noAutofit/>
                    </wps:bodyPr>
                  </wps:wsp>
                </a:graphicData>
              </a:graphic>
            </wp:anchor>
          </w:drawing>
        </mc:Choice>
        <mc:Fallback>
          <w:pict>
            <v:shape style="position:absolute;margin-left:63.129269pt;margin-top:36.146557pt;width:5.9pt;height:9.85pt;mso-position-horizontal-relative:page;mso-position-vertical-relative:page;z-index:-27368960" type="#_x0000_t202" id="docshape463" filled="false" stroked="false">
              <v:textbox inset="0,0,0,0">
                <w:txbxContent>
                  <w:p>
                    <w:pPr>
                      <w:spacing w:before="15"/>
                      <w:ind w:left="20" w:right="0" w:firstLine="0"/>
                      <w:jc w:val="left"/>
                      <w:rPr>
                        <w:sz w:val="14"/>
                      </w:rPr>
                    </w:pPr>
                    <w:r>
                      <w:rPr>
                        <w:color w:val="A8A8A8"/>
                        <w:spacing w:val="-10"/>
                        <w:sz w:val="14"/>
                      </w:rPr>
                      <w:t>3</w:t>
                    </w:r>
                  </w:p>
                </w:txbxContent>
              </v:textbox>
              <w10:wrap type="none"/>
            </v:shape>
          </w:pict>
        </mc:Fallback>
      </mc:AlternateContent>
    </w:r>
    <w:r>
      <w:rPr/>
      <mc:AlternateContent>
        <mc:Choice Requires="wps">
          <w:drawing>
            <wp:anchor distT="0" distB="0" distL="0" distR="0" allowOverlap="1" layoutInCell="1" locked="0" behindDoc="1" simplePos="0" relativeHeight="475948032">
              <wp:simplePos x="0" y="0"/>
              <wp:positionH relativeFrom="page">
                <wp:posOffset>1257449</wp:posOffset>
              </wp:positionH>
              <wp:positionV relativeFrom="page">
                <wp:posOffset>459061</wp:posOffset>
              </wp:positionV>
              <wp:extent cx="1852295" cy="125095"/>
              <wp:effectExtent l="0" t="0" r="0" b="0"/>
              <wp:wrapNone/>
              <wp:docPr id="718" name="Textbox 718"/>
              <wp:cNvGraphicFramePr>
                <a:graphicFrameLocks/>
              </wp:cNvGraphicFramePr>
              <a:graphic>
                <a:graphicData uri="http://schemas.microsoft.com/office/word/2010/wordprocessingShape">
                  <wps:wsp>
                    <wps:cNvPr id="718" name="Textbox 718"/>
                    <wps:cNvSpPr txBox="1"/>
                    <wps:spPr>
                      <a:xfrm>
                        <a:off x="0" y="0"/>
                        <a:ext cx="1852295" cy="125095"/>
                      </a:xfrm>
                      <a:prstGeom prst="rect">
                        <a:avLst/>
                      </a:prstGeom>
                    </wps:spPr>
                    <wps:txbx>
                      <w:txbxContent>
                        <w:p>
                          <w:pPr>
                            <w:spacing w:before="15"/>
                            <w:ind w:left="20" w:right="0" w:firstLine="0"/>
                            <w:jc w:val="left"/>
                            <w:rPr>
                              <w:sz w:val="14"/>
                            </w:rPr>
                          </w:pPr>
                          <w:r>
                            <w:rPr>
                              <w:color w:val="A8A8A8"/>
                              <w:w w:val="105"/>
                              <w:sz w:val="14"/>
                            </w:rPr>
                            <w:t>ANNU,"IL</w:t>
                          </w:r>
                          <w:r>
                            <w:rPr>
                              <w:color w:val="A8A8A8"/>
                              <w:spacing w:val="31"/>
                              <w:w w:val="105"/>
                              <w:sz w:val="14"/>
                            </w:rPr>
                            <w:t> </w:t>
                          </w:r>
                          <w:r>
                            <w:rPr>
                              <w:color w:val="A8A8A8"/>
                              <w:w w:val="105"/>
                              <w:sz w:val="14"/>
                            </w:rPr>
                            <w:t>GOVER</w:t>
                          </w:r>
                          <w:r>
                            <w:rPr>
                              <w:color w:val="A8A8A8"/>
                              <w:spacing w:val="7"/>
                              <w:w w:val="105"/>
                              <w:sz w:val="14"/>
                            </w:rPr>
                            <w:t> </w:t>
                          </w:r>
                          <w:r>
                            <w:rPr>
                              <w:color w:val="A8A8A8"/>
                              <w:w w:val="105"/>
                              <w:sz w:val="14"/>
                            </w:rPr>
                            <w:t>IANCE</w:t>
                          </w:r>
                          <w:r>
                            <w:rPr>
                              <w:color w:val="A8A8A8"/>
                              <w:spacing w:val="38"/>
                              <w:w w:val="105"/>
                              <w:sz w:val="14"/>
                            </w:rPr>
                            <w:t> </w:t>
                          </w:r>
                          <w:r>
                            <w:rPr>
                              <w:color w:val="A8A8A8"/>
                              <w:w w:val="105"/>
                              <w:sz w:val="14"/>
                            </w:rPr>
                            <w:t>ST!\</w:t>
                          </w:r>
                          <w:r>
                            <w:rPr>
                              <w:color w:val="A8A8A8"/>
                              <w:spacing w:val="-14"/>
                              <w:w w:val="105"/>
                              <w:sz w:val="14"/>
                            </w:rPr>
                            <w:t> </w:t>
                          </w:r>
                          <w:r>
                            <w:rPr>
                              <w:color w:val="A8A8A8"/>
                              <w:w w:val="105"/>
                              <w:sz w:val="14"/>
                            </w:rPr>
                            <w:t>Ti:!'vlE.'-</w:t>
                          </w:r>
                          <w:r>
                            <w:rPr>
                              <w:color w:val="A8A8A8"/>
                              <w:spacing w:val="-2"/>
                              <w:w w:val="105"/>
                              <w:sz w:val="14"/>
                            </w:rPr>
                            <w:t>i"'.°</w:t>
                          </w:r>
                        </w:p>
                      </w:txbxContent>
                    </wps:txbx>
                    <wps:bodyPr wrap="square" lIns="0" tIns="0" rIns="0" bIns="0" rtlCol="0">
                      <a:noAutofit/>
                    </wps:bodyPr>
                  </wps:wsp>
                </a:graphicData>
              </a:graphic>
            </wp:anchor>
          </w:drawing>
        </mc:Choice>
        <mc:Fallback>
          <w:pict>
            <v:shape style="position:absolute;margin-left:99.011803pt;margin-top:36.146557pt;width:145.85pt;height:9.85pt;mso-position-horizontal-relative:page;mso-position-vertical-relative:page;z-index:-27368448" type="#_x0000_t202" id="docshape464" filled="false" stroked="false">
              <v:textbox inset="0,0,0,0">
                <w:txbxContent>
                  <w:p>
                    <w:pPr>
                      <w:spacing w:before="15"/>
                      <w:ind w:left="20" w:right="0" w:firstLine="0"/>
                      <w:jc w:val="left"/>
                      <w:rPr>
                        <w:sz w:val="14"/>
                      </w:rPr>
                    </w:pPr>
                    <w:r>
                      <w:rPr>
                        <w:color w:val="A8A8A8"/>
                        <w:w w:val="105"/>
                        <w:sz w:val="14"/>
                      </w:rPr>
                      <w:t>ANNU,"IL</w:t>
                    </w:r>
                    <w:r>
                      <w:rPr>
                        <w:color w:val="A8A8A8"/>
                        <w:spacing w:val="31"/>
                        <w:w w:val="105"/>
                        <w:sz w:val="14"/>
                      </w:rPr>
                      <w:t> </w:t>
                    </w:r>
                    <w:r>
                      <w:rPr>
                        <w:color w:val="A8A8A8"/>
                        <w:w w:val="105"/>
                        <w:sz w:val="14"/>
                      </w:rPr>
                      <w:t>GOVER</w:t>
                    </w:r>
                    <w:r>
                      <w:rPr>
                        <w:color w:val="A8A8A8"/>
                        <w:spacing w:val="7"/>
                        <w:w w:val="105"/>
                        <w:sz w:val="14"/>
                      </w:rPr>
                      <w:t> </w:t>
                    </w:r>
                    <w:r>
                      <w:rPr>
                        <w:color w:val="A8A8A8"/>
                        <w:w w:val="105"/>
                        <w:sz w:val="14"/>
                      </w:rPr>
                      <w:t>IANCE</w:t>
                    </w:r>
                    <w:r>
                      <w:rPr>
                        <w:color w:val="A8A8A8"/>
                        <w:spacing w:val="38"/>
                        <w:w w:val="105"/>
                        <w:sz w:val="14"/>
                      </w:rPr>
                      <w:t> </w:t>
                    </w:r>
                    <w:r>
                      <w:rPr>
                        <w:color w:val="A8A8A8"/>
                        <w:w w:val="105"/>
                        <w:sz w:val="14"/>
                      </w:rPr>
                      <w:t>ST!\</w:t>
                    </w:r>
                    <w:r>
                      <w:rPr>
                        <w:color w:val="A8A8A8"/>
                        <w:spacing w:val="-14"/>
                        <w:w w:val="105"/>
                        <w:sz w:val="14"/>
                      </w:rPr>
                      <w:t> </w:t>
                    </w:r>
                    <w:r>
                      <w:rPr>
                        <w:color w:val="A8A8A8"/>
                        <w:w w:val="105"/>
                        <w:sz w:val="14"/>
                      </w:rPr>
                      <w:t>Ti:!'vlE.'-</w:t>
                    </w:r>
                    <w:r>
                      <w:rPr>
                        <w:color w:val="A8A8A8"/>
                        <w:spacing w:val="-2"/>
                        <w:w w:val="105"/>
                        <w:sz w:val="14"/>
                      </w:rPr>
                      <w:t>i"'.°</w:t>
                    </w:r>
                  </w:p>
                </w:txbxContent>
              </v:textbox>
              <w10:wrap type="none"/>
            </v:shape>
          </w:pict>
        </mc:Fallback>
      </mc:AlternateContent>
    </w:r>
  </w:p>
</w:hdr>
</file>

<file path=word/header1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49568">
              <wp:simplePos x="0" y="0"/>
              <wp:positionH relativeFrom="page">
                <wp:posOffset>823201</wp:posOffset>
              </wp:positionH>
              <wp:positionV relativeFrom="page">
                <wp:posOffset>449905</wp:posOffset>
              </wp:positionV>
              <wp:extent cx="78740" cy="125095"/>
              <wp:effectExtent l="0" t="0" r="0" b="0"/>
              <wp:wrapNone/>
              <wp:docPr id="723" name="Textbox 723"/>
              <wp:cNvGraphicFramePr>
                <a:graphicFrameLocks/>
              </wp:cNvGraphicFramePr>
              <a:graphic>
                <a:graphicData uri="http://schemas.microsoft.com/office/word/2010/wordprocessingShape">
                  <wps:wsp>
                    <wps:cNvPr id="723" name="Textbox 723"/>
                    <wps:cNvSpPr txBox="1"/>
                    <wps:spPr>
                      <a:xfrm>
                        <a:off x="0" y="0"/>
                        <a:ext cx="78740" cy="125095"/>
                      </a:xfrm>
                      <a:prstGeom prst="rect">
                        <a:avLst/>
                      </a:prstGeom>
                    </wps:spPr>
                    <wps:txbx>
                      <w:txbxContent>
                        <w:p>
                          <w:pPr>
                            <w:spacing w:before="15"/>
                            <w:ind w:left="20" w:right="0" w:firstLine="0"/>
                            <w:jc w:val="left"/>
                            <w:rPr>
                              <w:sz w:val="14"/>
                            </w:rPr>
                          </w:pPr>
                          <w:r>
                            <w:rPr>
                              <w:color w:val="C1C1C1"/>
                              <w:spacing w:val="-10"/>
                              <w:w w:val="105"/>
                              <w:sz w:val="14"/>
                            </w:rPr>
                            <w:t>8</w:t>
                          </w:r>
                        </w:p>
                      </w:txbxContent>
                    </wps:txbx>
                    <wps:bodyPr wrap="square" lIns="0" tIns="0" rIns="0" bIns="0" rtlCol="0">
                      <a:noAutofit/>
                    </wps:bodyPr>
                  </wps:wsp>
                </a:graphicData>
              </a:graphic>
            </wp:anchor>
          </w:drawing>
        </mc:Choice>
        <mc:Fallback>
          <w:pict>
            <v:shape style="position:absolute;margin-left:64.818993pt;margin-top:35.425659pt;width:6.2pt;height:9.85pt;mso-position-horizontal-relative:page;mso-position-vertical-relative:page;z-index:-27366912" type="#_x0000_t202" id="docshape467" filled="false" stroked="false">
              <v:textbox inset="0,0,0,0">
                <w:txbxContent>
                  <w:p>
                    <w:pPr>
                      <w:spacing w:before="15"/>
                      <w:ind w:left="20" w:right="0" w:firstLine="0"/>
                      <w:jc w:val="left"/>
                      <w:rPr>
                        <w:sz w:val="14"/>
                      </w:rPr>
                    </w:pPr>
                    <w:r>
                      <w:rPr>
                        <w:color w:val="C1C1C1"/>
                        <w:spacing w:val="-10"/>
                        <w:w w:val="105"/>
                        <w:sz w:val="14"/>
                      </w:rPr>
                      <w:t>8</w:t>
                    </w:r>
                  </w:p>
                </w:txbxContent>
              </v:textbox>
              <w10:wrap type="none"/>
            </v:shape>
          </w:pict>
        </mc:Fallback>
      </mc:AlternateContent>
    </w:r>
    <w:r>
      <w:rPr/>
      <mc:AlternateContent>
        <mc:Choice Requires="wps">
          <w:drawing>
            <wp:anchor distT="0" distB="0" distL="0" distR="0" allowOverlap="1" layoutInCell="1" locked="0" behindDoc="1" simplePos="0" relativeHeight="475950080">
              <wp:simplePos x="0" y="0"/>
              <wp:positionH relativeFrom="page">
                <wp:posOffset>1270580</wp:posOffset>
              </wp:positionH>
              <wp:positionV relativeFrom="page">
                <wp:posOffset>449905</wp:posOffset>
              </wp:positionV>
              <wp:extent cx="1844675" cy="125095"/>
              <wp:effectExtent l="0" t="0" r="0" b="0"/>
              <wp:wrapNone/>
              <wp:docPr id="724" name="Textbox 724"/>
              <wp:cNvGraphicFramePr>
                <a:graphicFrameLocks/>
              </wp:cNvGraphicFramePr>
              <a:graphic>
                <a:graphicData uri="http://schemas.microsoft.com/office/word/2010/wordprocessingShape">
                  <wps:wsp>
                    <wps:cNvPr id="724" name="Textbox 724"/>
                    <wps:cNvSpPr txBox="1"/>
                    <wps:spPr>
                      <a:xfrm>
                        <a:off x="0" y="0"/>
                        <a:ext cx="1844675" cy="125095"/>
                      </a:xfrm>
                      <a:prstGeom prst="rect">
                        <a:avLst/>
                      </a:prstGeom>
                    </wps:spPr>
                    <wps:txbx>
                      <w:txbxContent>
                        <w:p>
                          <w:pPr>
                            <w:spacing w:before="15"/>
                            <w:ind w:left="20" w:right="0" w:firstLine="0"/>
                            <w:jc w:val="left"/>
                            <w:rPr>
                              <w:sz w:val="14"/>
                            </w:rPr>
                          </w:pPr>
                          <w:r>
                            <w:rPr>
                              <w:color w:val="A7A7A7"/>
                              <w:w w:val="110"/>
                              <w:sz w:val="14"/>
                            </w:rPr>
                            <w:t>.u.</w:t>
                          </w:r>
                          <w:r>
                            <w:rPr>
                              <w:color w:val="A7A7A7"/>
                              <w:spacing w:val="1"/>
                              <w:w w:val="110"/>
                              <w:sz w:val="14"/>
                            </w:rPr>
                            <w:t> </w:t>
                          </w:r>
                          <w:r>
                            <w:rPr>
                              <w:color w:val="A7A7A7"/>
                              <w:w w:val="110"/>
                              <w:sz w:val="14"/>
                            </w:rPr>
                            <w:t>INUAL</w:t>
                          </w:r>
                          <w:r>
                            <w:rPr>
                              <w:color w:val="A7A7A7"/>
                              <w:spacing w:val="18"/>
                              <w:w w:val="110"/>
                              <w:sz w:val="14"/>
                            </w:rPr>
                            <w:t> </w:t>
                          </w:r>
                          <w:r>
                            <w:rPr>
                              <w:color w:val="A7A7A7"/>
                              <w:w w:val="110"/>
                              <w:sz w:val="14"/>
                            </w:rPr>
                            <w:t>GOVERNANCE</w:t>
                          </w:r>
                          <w:r>
                            <w:rPr>
                              <w:color w:val="A7A7A7"/>
                              <w:spacing w:val="27"/>
                              <w:w w:val="110"/>
                              <w:sz w:val="14"/>
                            </w:rPr>
                            <w:t> </w:t>
                          </w:r>
                          <w:r>
                            <w:rPr>
                              <w:color w:val="A7A7A7"/>
                              <w:spacing w:val="-2"/>
                              <w:w w:val="110"/>
                              <w:sz w:val="14"/>
                            </w:rPr>
                            <w:t>STATEMENT</w:t>
                          </w:r>
                        </w:p>
                      </w:txbxContent>
                    </wps:txbx>
                    <wps:bodyPr wrap="square" lIns="0" tIns="0" rIns="0" bIns="0" rtlCol="0">
                      <a:noAutofit/>
                    </wps:bodyPr>
                  </wps:wsp>
                </a:graphicData>
              </a:graphic>
            </wp:anchor>
          </w:drawing>
        </mc:Choice>
        <mc:Fallback>
          <w:pict>
            <v:shape style="position:absolute;margin-left:100.0457pt;margin-top:35.425659pt;width:145.25pt;height:9.85pt;mso-position-horizontal-relative:page;mso-position-vertical-relative:page;z-index:-27366400" type="#_x0000_t202" id="docshape468" filled="false" stroked="false">
              <v:textbox inset="0,0,0,0">
                <w:txbxContent>
                  <w:p>
                    <w:pPr>
                      <w:spacing w:before="15"/>
                      <w:ind w:left="20" w:right="0" w:firstLine="0"/>
                      <w:jc w:val="left"/>
                      <w:rPr>
                        <w:sz w:val="14"/>
                      </w:rPr>
                    </w:pPr>
                    <w:r>
                      <w:rPr>
                        <w:color w:val="A7A7A7"/>
                        <w:w w:val="110"/>
                        <w:sz w:val="14"/>
                      </w:rPr>
                      <w:t>.u.</w:t>
                    </w:r>
                    <w:r>
                      <w:rPr>
                        <w:color w:val="A7A7A7"/>
                        <w:spacing w:val="1"/>
                        <w:w w:val="110"/>
                        <w:sz w:val="14"/>
                      </w:rPr>
                      <w:t> </w:t>
                    </w:r>
                    <w:r>
                      <w:rPr>
                        <w:color w:val="A7A7A7"/>
                        <w:w w:val="110"/>
                        <w:sz w:val="14"/>
                      </w:rPr>
                      <w:t>INUAL</w:t>
                    </w:r>
                    <w:r>
                      <w:rPr>
                        <w:color w:val="A7A7A7"/>
                        <w:spacing w:val="18"/>
                        <w:w w:val="110"/>
                        <w:sz w:val="14"/>
                      </w:rPr>
                      <w:t> </w:t>
                    </w:r>
                    <w:r>
                      <w:rPr>
                        <w:color w:val="A7A7A7"/>
                        <w:w w:val="110"/>
                        <w:sz w:val="14"/>
                      </w:rPr>
                      <w:t>GOVERNANCE</w:t>
                    </w:r>
                    <w:r>
                      <w:rPr>
                        <w:color w:val="A7A7A7"/>
                        <w:spacing w:val="27"/>
                        <w:w w:val="110"/>
                        <w:sz w:val="14"/>
                      </w:rPr>
                      <w:t> </w:t>
                    </w:r>
                    <w:r>
                      <w:rPr>
                        <w:color w:val="A7A7A7"/>
                        <w:spacing w:val="-2"/>
                        <w:w w:val="110"/>
                        <w:sz w:val="14"/>
                      </w:rPr>
                      <w:t>STATEMENT</w:t>
                    </w:r>
                  </w:p>
                </w:txbxContent>
              </v:textbox>
              <w10:wrap type="none"/>
            </v:shape>
          </w:pict>
        </mc:Fallback>
      </mc:AlternateContent>
    </w:r>
  </w:p>
</w:hdr>
</file>

<file path=word/header1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51616">
              <wp:simplePos x="0" y="0"/>
              <wp:positionH relativeFrom="page">
                <wp:posOffset>810900</wp:posOffset>
              </wp:positionH>
              <wp:positionV relativeFrom="page">
                <wp:posOffset>446854</wp:posOffset>
              </wp:positionV>
              <wp:extent cx="74930" cy="125095"/>
              <wp:effectExtent l="0" t="0" r="0" b="0"/>
              <wp:wrapNone/>
              <wp:docPr id="729" name="Textbox 729"/>
              <wp:cNvGraphicFramePr>
                <a:graphicFrameLocks/>
              </wp:cNvGraphicFramePr>
              <a:graphic>
                <a:graphicData uri="http://schemas.microsoft.com/office/word/2010/wordprocessingShape">
                  <wps:wsp>
                    <wps:cNvPr id="729" name="Textbox 729"/>
                    <wps:cNvSpPr txBox="1"/>
                    <wps:spPr>
                      <a:xfrm>
                        <a:off x="0" y="0"/>
                        <a:ext cx="74930" cy="125095"/>
                      </a:xfrm>
                      <a:prstGeom prst="rect">
                        <a:avLst/>
                      </a:prstGeom>
                    </wps:spPr>
                    <wps:txbx>
                      <w:txbxContent>
                        <w:p>
                          <w:pPr>
                            <w:spacing w:before="15"/>
                            <w:ind w:left="20" w:right="0" w:firstLine="0"/>
                            <w:jc w:val="left"/>
                            <w:rPr>
                              <w:sz w:val="14"/>
                            </w:rPr>
                          </w:pPr>
                          <w:r>
                            <w:rPr>
                              <w:color w:val="A5A5A5"/>
                              <w:spacing w:val="-10"/>
                              <w:sz w:val="14"/>
                            </w:rPr>
                            <w:t>3</w:t>
                          </w:r>
                        </w:p>
                      </w:txbxContent>
                    </wps:txbx>
                    <wps:bodyPr wrap="square" lIns="0" tIns="0" rIns="0" bIns="0" rtlCol="0">
                      <a:noAutofit/>
                    </wps:bodyPr>
                  </wps:wsp>
                </a:graphicData>
              </a:graphic>
            </wp:anchor>
          </w:drawing>
        </mc:Choice>
        <mc:Fallback>
          <w:pict>
            <v:shape style="position:absolute;margin-left:63.85043pt;margin-top:35.185360pt;width:5.9pt;height:9.85pt;mso-position-horizontal-relative:page;mso-position-vertical-relative:page;z-index:-27364864" type="#_x0000_t202" id="docshape471" filled="false" stroked="false">
              <v:textbox inset="0,0,0,0">
                <w:txbxContent>
                  <w:p>
                    <w:pPr>
                      <w:spacing w:before="15"/>
                      <w:ind w:left="20" w:right="0" w:firstLine="0"/>
                      <w:jc w:val="left"/>
                      <w:rPr>
                        <w:sz w:val="14"/>
                      </w:rPr>
                    </w:pPr>
                    <w:r>
                      <w:rPr>
                        <w:color w:val="A5A5A5"/>
                        <w:spacing w:val="-10"/>
                        <w:sz w:val="14"/>
                      </w:rPr>
                      <w:t>3</w:t>
                    </w:r>
                  </w:p>
                </w:txbxContent>
              </v:textbox>
              <w10:wrap type="none"/>
            </v:shape>
          </w:pict>
        </mc:Fallback>
      </mc:AlternateContent>
    </w:r>
    <w:r>
      <w:rPr/>
      <mc:AlternateContent>
        <mc:Choice Requires="wps">
          <w:drawing>
            <wp:anchor distT="0" distB="0" distL="0" distR="0" allowOverlap="1" layoutInCell="1" locked="0" behindDoc="1" simplePos="0" relativeHeight="475952128">
              <wp:simplePos x="0" y="0"/>
              <wp:positionH relativeFrom="page">
                <wp:posOffset>1269660</wp:posOffset>
              </wp:positionH>
              <wp:positionV relativeFrom="page">
                <wp:posOffset>446854</wp:posOffset>
              </wp:positionV>
              <wp:extent cx="1838325" cy="125095"/>
              <wp:effectExtent l="0" t="0" r="0" b="0"/>
              <wp:wrapNone/>
              <wp:docPr id="730" name="Textbox 730"/>
              <wp:cNvGraphicFramePr>
                <a:graphicFrameLocks/>
              </wp:cNvGraphicFramePr>
              <a:graphic>
                <a:graphicData uri="http://schemas.microsoft.com/office/word/2010/wordprocessingShape">
                  <wps:wsp>
                    <wps:cNvPr id="730" name="Textbox 730"/>
                    <wps:cNvSpPr txBox="1"/>
                    <wps:spPr>
                      <a:xfrm>
                        <a:off x="0" y="0"/>
                        <a:ext cx="1838325" cy="125095"/>
                      </a:xfrm>
                      <a:prstGeom prst="rect">
                        <a:avLst/>
                      </a:prstGeom>
                    </wps:spPr>
                    <wps:txbx>
                      <w:txbxContent>
                        <w:p>
                          <w:pPr>
                            <w:spacing w:before="15"/>
                            <w:ind w:left="20" w:right="0" w:firstLine="0"/>
                            <w:jc w:val="left"/>
                            <w:rPr>
                              <w:sz w:val="14"/>
                            </w:rPr>
                          </w:pPr>
                          <w:r>
                            <w:rPr>
                              <w:color w:val="A5A5A5"/>
                              <w:w w:val="110"/>
                              <w:sz w:val="14"/>
                            </w:rPr>
                            <w:t>ANNU!\L</w:t>
                          </w:r>
                          <w:r>
                            <w:rPr>
                              <w:color w:val="A5A5A5"/>
                              <w:spacing w:val="43"/>
                              <w:w w:val="110"/>
                              <w:sz w:val="14"/>
                            </w:rPr>
                            <w:t> </w:t>
                          </w:r>
                          <w:r>
                            <w:rPr>
                              <w:color w:val="A5A5A5"/>
                              <w:w w:val="110"/>
                              <w:sz w:val="14"/>
                            </w:rPr>
                            <w:t>GOVERNANCE</w:t>
                          </w:r>
                          <w:r>
                            <w:rPr>
                              <w:color w:val="A5A5A5"/>
                              <w:spacing w:val="51"/>
                              <w:w w:val="110"/>
                              <w:sz w:val="14"/>
                            </w:rPr>
                            <w:t> </w:t>
                          </w:r>
                          <w:r>
                            <w:rPr>
                              <w:color w:val="A5A5A5"/>
                              <w:spacing w:val="-2"/>
                              <w:w w:val="110"/>
                              <w:sz w:val="14"/>
                            </w:rPr>
                            <w:t>STATEi'vlENT</w:t>
                          </w:r>
                        </w:p>
                      </w:txbxContent>
                    </wps:txbx>
                    <wps:bodyPr wrap="square" lIns="0" tIns="0" rIns="0" bIns="0" rtlCol="0">
                      <a:noAutofit/>
                    </wps:bodyPr>
                  </wps:wsp>
                </a:graphicData>
              </a:graphic>
            </wp:anchor>
          </w:drawing>
        </mc:Choice>
        <mc:Fallback>
          <w:pict>
            <v:shape style="position:absolute;margin-left:99.973297pt;margin-top:35.185360pt;width:144.75pt;height:9.85pt;mso-position-horizontal-relative:page;mso-position-vertical-relative:page;z-index:-27364352" type="#_x0000_t202" id="docshape472" filled="false" stroked="false">
              <v:textbox inset="0,0,0,0">
                <w:txbxContent>
                  <w:p>
                    <w:pPr>
                      <w:spacing w:before="15"/>
                      <w:ind w:left="20" w:right="0" w:firstLine="0"/>
                      <w:jc w:val="left"/>
                      <w:rPr>
                        <w:sz w:val="14"/>
                      </w:rPr>
                    </w:pPr>
                    <w:r>
                      <w:rPr>
                        <w:color w:val="A5A5A5"/>
                        <w:w w:val="110"/>
                        <w:sz w:val="14"/>
                      </w:rPr>
                      <w:t>ANNU!\L</w:t>
                    </w:r>
                    <w:r>
                      <w:rPr>
                        <w:color w:val="A5A5A5"/>
                        <w:spacing w:val="43"/>
                        <w:w w:val="110"/>
                        <w:sz w:val="14"/>
                      </w:rPr>
                      <w:t> </w:t>
                    </w:r>
                    <w:r>
                      <w:rPr>
                        <w:color w:val="A5A5A5"/>
                        <w:w w:val="110"/>
                        <w:sz w:val="14"/>
                      </w:rPr>
                      <w:t>GOVERNANCE</w:t>
                    </w:r>
                    <w:r>
                      <w:rPr>
                        <w:color w:val="A5A5A5"/>
                        <w:spacing w:val="51"/>
                        <w:w w:val="110"/>
                        <w:sz w:val="14"/>
                      </w:rPr>
                      <w:t> </w:t>
                    </w:r>
                    <w:r>
                      <w:rPr>
                        <w:color w:val="A5A5A5"/>
                        <w:spacing w:val="-2"/>
                        <w:w w:val="110"/>
                        <w:sz w:val="14"/>
                      </w:rPr>
                      <w:t>STATEi'vlENT</w:t>
                    </w:r>
                  </w:p>
                </w:txbxContent>
              </v:textbox>
              <w10:wrap type="none"/>
            </v:shape>
          </w:pict>
        </mc:Fallback>
      </mc:AlternateContent>
    </w:r>
  </w:p>
</w:hdr>
</file>

<file path=word/header1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53664">
              <wp:simplePos x="0" y="0"/>
              <wp:positionH relativeFrom="page">
                <wp:posOffset>820148</wp:posOffset>
              </wp:positionH>
              <wp:positionV relativeFrom="page">
                <wp:posOffset>471266</wp:posOffset>
              </wp:positionV>
              <wp:extent cx="78740" cy="125095"/>
              <wp:effectExtent l="0" t="0" r="0" b="0"/>
              <wp:wrapNone/>
              <wp:docPr id="734" name="Textbox 734"/>
              <wp:cNvGraphicFramePr>
                <a:graphicFrameLocks/>
              </wp:cNvGraphicFramePr>
              <a:graphic>
                <a:graphicData uri="http://schemas.microsoft.com/office/word/2010/wordprocessingShape">
                  <wps:wsp>
                    <wps:cNvPr id="734" name="Textbox 734"/>
                    <wps:cNvSpPr txBox="1"/>
                    <wps:spPr>
                      <a:xfrm>
                        <a:off x="0" y="0"/>
                        <a:ext cx="78740" cy="125095"/>
                      </a:xfrm>
                      <a:prstGeom prst="rect">
                        <a:avLst/>
                      </a:prstGeom>
                    </wps:spPr>
                    <wps:txbx>
                      <w:txbxContent>
                        <w:p>
                          <w:pPr>
                            <w:spacing w:before="15"/>
                            <w:ind w:left="20" w:right="0" w:firstLine="0"/>
                            <w:jc w:val="left"/>
                            <w:rPr>
                              <w:sz w:val="14"/>
                            </w:rPr>
                          </w:pPr>
                          <w:r>
                            <w:rPr>
                              <w:color w:val="A3A3A3"/>
                              <w:spacing w:val="-10"/>
                              <w:w w:val="105"/>
                              <w:sz w:val="14"/>
                            </w:rPr>
                            <w:t>8</w:t>
                          </w:r>
                        </w:p>
                      </w:txbxContent>
                    </wps:txbx>
                    <wps:bodyPr wrap="square" lIns="0" tIns="0" rIns="0" bIns="0" rtlCol="0">
                      <a:noAutofit/>
                    </wps:bodyPr>
                  </wps:wsp>
                </a:graphicData>
              </a:graphic>
            </wp:anchor>
          </w:drawing>
        </mc:Choice>
        <mc:Fallback>
          <w:pict>
            <v:shape style="position:absolute;margin-left:64.578613pt;margin-top:37.107559pt;width:6.2pt;height:9.85pt;mso-position-horizontal-relative:page;mso-position-vertical-relative:page;z-index:-27362816" type="#_x0000_t202" id="docshape475" filled="false" stroked="false">
              <v:textbox inset="0,0,0,0">
                <w:txbxContent>
                  <w:p>
                    <w:pPr>
                      <w:spacing w:before="15"/>
                      <w:ind w:left="20" w:right="0" w:firstLine="0"/>
                      <w:jc w:val="left"/>
                      <w:rPr>
                        <w:sz w:val="14"/>
                      </w:rPr>
                    </w:pPr>
                    <w:r>
                      <w:rPr>
                        <w:color w:val="A3A3A3"/>
                        <w:spacing w:val="-10"/>
                        <w:w w:val="105"/>
                        <w:sz w:val="14"/>
                      </w:rPr>
                      <w:t>8</w:t>
                    </w:r>
                  </w:p>
                </w:txbxContent>
              </v:textbox>
              <w10:wrap type="none"/>
            </v:shape>
          </w:pict>
        </mc:Fallback>
      </mc:AlternateContent>
    </w:r>
    <w:r>
      <w:rPr/>
      <mc:AlternateContent>
        <mc:Choice Requires="wps">
          <w:drawing>
            <wp:anchor distT="0" distB="0" distL="0" distR="0" allowOverlap="1" layoutInCell="1" locked="0" behindDoc="1" simplePos="0" relativeHeight="475954176">
              <wp:simplePos x="0" y="0"/>
              <wp:positionH relativeFrom="page">
                <wp:posOffset>1278820</wp:posOffset>
              </wp:positionH>
              <wp:positionV relativeFrom="page">
                <wp:posOffset>471266</wp:posOffset>
              </wp:positionV>
              <wp:extent cx="1836420" cy="125095"/>
              <wp:effectExtent l="0" t="0" r="0" b="0"/>
              <wp:wrapNone/>
              <wp:docPr id="735" name="Textbox 735"/>
              <wp:cNvGraphicFramePr>
                <a:graphicFrameLocks/>
              </wp:cNvGraphicFramePr>
              <a:graphic>
                <a:graphicData uri="http://schemas.microsoft.com/office/word/2010/wordprocessingShape">
                  <wps:wsp>
                    <wps:cNvPr id="735" name="Textbox 735"/>
                    <wps:cNvSpPr txBox="1"/>
                    <wps:spPr>
                      <a:xfrm>
                        <a:off x="0" y="0"/>
                        <a:ext cx="1836420" cy="125095"/>
                      </a:xfrm>
                      <a:prstGeom prst="rect">
                        <a:avLst/>
                      </a:prstGeom>
                    </wps:spPr>
                    <wps:txbx>
                      <w:txbxContent>
                        <w:p>
                          <w:pPr>
                            <w:spacing w:before="15"/>
                            <w:ind w:left="20" w:right="0" w:firstLine="0"/>
                            <w:jc w:val="left"/>
                            <w:rPr>
                              <w:sz w:val="14"/>
                            </w:rPr>
                          </w:pPr>
                          <w:r>
                            <w:rPr>
                              <w:color w:val="A3A3A3"/>
                              <w:w w:val="115"/>
                              <w:sz w:val="14"/>
                            </w:rPr>
                            <w:t>ANNUAL</w:t>
                          </w:r>
                          <w:r>
                            <w:rPr>
                              <w:color w:val="A3A3A3"/>
                              <w:spacing w:val="9"/>
                              <w:w w:val="115"/>
                              <w:sz w:val="14"/>
                            </w:rPr>
                            <w:t> </w:t>
                          </w:r>
                          <w:r>
                            <w:rPr>
                              <w:color w:val="A3A3A3"/>
                              <w:w w:val="115"/>
                              <w:sz w:val="14"/>
                            </w:rPr>
                            <w:t>GOVERW\NCE</w:t>
                          </w:r>
                          <w:r>
                            <w:rPr>
                              <w:color w:val="A3A3A3"/>
                              <w:spacing w:val="14"/>
                              <w:w w:val="115"/>
                              <w:sz w:val="14"/>
                            </w:rPr>
                            <w:t> </w:t>
                          </w:r>
                          <w:r>
                            <w:rPr>
                              <w:color w:val="A3A3A3"/>
                              <w:spacing w:val="-2"/>
                              <w:w w:val="115"/>
                              <w:sz w:val="14"/>
                            </w:rPr>
                            <w:t>STATEMENT</w:t>
                          </w:r>
                        </w:p>
                      </w:txbxContent>
                    </wps:txbx>
                    <wps:bodyPr wrap="square" lIns="0" tIns="0" rIns="0" bIns="0" rtlCol="0">
                      <a:noAutofit/>
                    </wps:bodyPr>
                  </wps:wsp>
                </a:graphicData>
              </a:graphic>
            </wp:anchor>
          </w:drawing>
        </mc:Choice>
        <mc:Fallback>
          <w:pict>
            <v:shape style="position:absolute;margin-left:100.694504pt;margin-top:37.107559pt;width:144.6pt;height:9.85pt;mso-position-horizontal-relative:page;mso-position-vertical-relative:page;z-index:-27362304" type="#_x0000_t202" id="docshape476" filled="false" stroked="false">
              <v:textbox inset="0,0,0,0">
                <w:txbxContent>
                  <w:p>
                    <w:pPr>
                      <w:spacing w:before="15"/>
                      <w:ind w:left="20" w:right="0" w:firstLine="0"/>
                      <w:jc w:val="left"/>
                      <w:rPr>
                        <w:sz w:val="14"/>
                      </w:rPr>
                    </w:pPr>
                    <w:r>
                      <w:rPr>
                        <w:color w:val="A3A3A3"/>
                        <w:w w:val="115"/>
                        <w:sz w:val="14"/>
                      </w:rPr>
                      <w:t>ANNUAL</w:t>
                    </w:r>
                    <w:r>
                      <w:rPr>
                        <w:color w:val="A3A3A3"/>
                        <w:spacing w:val="9"/>
                        <w:w w:val="115"/>
                        <w:sz w:val="14"/>
                      </w:rPr>
                      <w:t> </w:t>
                    </w:r>
                    <w:r>
                      <w:rPr>
                        <w:color w:val="A3A3A3"/>
                        <w:w w:val="115"/>
                        <w:sz w:val="14"/>
                      </w:rPr>
                      <w:t>GOVERW\NCE</w:t>
                    </w:r>
                    <w:r>
                      <w:rPr>
                        <w:color w:val="A3A3A3"/>
                        <w:spacing w:val="14"/>
                        <w:w w:val="115"/>
                        <w:sz w:val="14"/>
                      </w:rPr>
                      <w:t> </w:t>
                    </w:r>
                    <w:r>
                      <w:rPr>
                        <w:color w:val="A3A3A3"/>
                        <w:spacing w:val="-2"/>
                        <w:w w:val="115"/>
                        <w:sz w:val="14"/>
                      </w:rPr>
                      <w:t>STATEMENT</w:t>
                    </w:r>
                  </w:p>
                </w:txbxContent>
              </v:textbox>
              <w10:wrap type="none"/>
            </v:shape>
          </w:pict>
        </mc:Fallback>
      </mc:AlternateContent>
    </w:r>
  </w:p>
</w:hdr>
</file>

<file path=word/header1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55712">
              <wp:simplePos x="0" y="0"/>
              <wp:positionH relativeFrom="page">
                <wp:posOffset>1268952</wp:posOffset>
              </wp:positionH>
              <wp:positionV relativeFrom="page">
                <wp:posOffset>462113</wp:posOffset>
              </wp:positionV>
              <wp:extent cx="1846580" cy="125095"/>
              <wp:effectExtent l="0" t="0" r="0" b="0"/>
              <wp:wrapNone/>
              <wp:docPr id="740" name="Textbox 740"/>
              <wp:cNvGraphicFramePr>
                <a:graphicFrameLocks/>
              </wp:cNvGraphicFramePr>
              <a:graphic>
                <a:graphicData uri="http://schemas.microsoft.com/office/word/2010/wordprocessingShape">
                  <wps:wsp>
                    <wps:cNvPr id="740" name="Textbox 740"/>
                    <wps:cNvSpPr txBox="1"/>
                    <wps:spPr>
                      <a:xfrm>
                        <a:off x="0" y="0"/>
                        <a:ext cx="1846580" cy="125095"/>
                      </a:xfrm>
                      <a:prstGeom prst="rect">
                        <a:avLst/>
                      </a:prstGeom>
                    </wps:spPr>
                    <wps:txbx>
                      <w:txbxContent>
                        <w:p>
                          <w:pPr>
                            <w:spacing w:before="15"/>
                            <w:ind w:left="20" w:right="0" w:firstLine="0"/>
                            <w:jc w:val="left"/>
                            <w:rPr>
                              <w:sz w:val="14"/>
                            </w:rPr>
                          </w:pPr>
                          <w:r>
                            <w:rPr>
                              <w:color w:val="A7A7A7"/>
                              <w:w w:val="105"/>
                              <w:sz w:val="14"/>
                            </w:rPr>
                            <w:t>MH,JU.!.I.L</w:t>
                          </w:r>
                          <w:r>
                            <w:rPr>
                              <w:color w:val="A7A7A7"/>
                              <w:spacing w:val="26"/>
                              <w:w w:val="105"/>
                              <w:sz w:val="14"/>
                            </w:rPr>
                            <w:t> </w:t>
                          </w:r>
                          <w:r>
                            <w:rPr>
                              <w:color w:val="A7A7A7"/>
                              <w:w w:val="105"/>
                              <w:sz w:val="14"/>
                            </w:rPr>
                            <w:t>GOVER</w:t>
                          </w:r>
                          <w:r>
                            <w:rPr>
                              <w:color w:val="A7A7A7"/>
                              <w:spacing w:val="1"/>
                              <w:w w:val="105"/>
                              <w:sz w:val="14"/>
                            </w:rPr>
                            <w:t> </w:t>
                          </w:r>
                          <w:r>
                            <w:rPr>
                              <w:color w:val="A7A7A7"/>
                              <w:w w:val="105"/>
                              <w:sz w:val="14"/>
                            </w:rPr>
                            <w:t>IANCE</w:t>
                          </w:r>
                          <w:r>
                            <w:rPr>
                              <w:color w:val="A7A7A7"/>
                              <w:spacing w:val="29"/>
                              <w:w w:val="105"/>
                              <w:sz w:val="14"/>
                            </w:rPr>
                            <w:t> </w:t>
                          </w:r>
                          <w:r>
                            <w:rPr>
                              <w:color w:val="A7A7A7"/>
                              <w:spacing w:val="-2"/>
                              <w:w w:val="105"/>
                              <w:sz w:val="14"/>
                            </w:rPr>
                            <w:t>STATEMENT</w:t>
                          </w:r>
                        </w:p>
                      </w:txbxContent>
                    </wps:txbx>
                    <wps:bodyPr wrap="square" lIns="0" tIns="0" rIns="0" bIns="0" rtlCol="0">
                      <a:noAutofit/>
                    </wps:bodyPr>
                  </wps:wsp>
                </a:graphicData>
              </a:graphic>
            </wp:anchor>
          </w:drawing>
        </mc:Choice>
        <mc:Fallback>
          <w:pict>
            <v:shape style="position:absolute;margin-left:99.917503pt;margin-top:36.38686pt;width:145.4pt;height:9.85pt;mso-position-horizontal-relative:page;mso-position-vertical-relative:page;z-index:-27360768" type="#_x0000_t202" id="docshape479" filled="false" stroked="false">
              <v:textbox inset="0,0,0,0">
                <w:txbxContent>
                  <w:p>
                    <w:pPr>
                      <w:spacing w:before="15"/>
                      <w:ind w:left="20" w:right="0" w:firstLine="0"/>
                      <w:jc w:val="left"/>
                      <w:rPr>
                        <w:sz w:val="14"/>
                      </w:rPr>
                    </w:pPr>
                    <w:r>
                      <w:rPr>
                        <w:color w:val="A7A7A7"/>
                        <w:w w:val="105"/>
                        <w:sz w:val="14"/>
                      </w:rPr>
                      <w:t>MH,JU.!.I.L</w:t>
                    </w:r>
                    <w:r>
                      <w:rPr>
                        <w:color w:val="A7A7A7"/>
                        <w:spacing w:val="26"/>
                        <w:w w:val="105"/>
                        <w:sz w:val="14"/>
                      </w:rPr>
                      <w:t> </w:t>
                    </w:r>
                    <w:r>
                      <w:rPr>
                        <w:color w:val="A7A7A7"/>
                        <w:w w:val="105"/>
                        <w:sz w:val="14"/>
                      </w:rPr>
                      <w:t>GOVER</w:t>
                    </w:r>
                    <w:r>
                      <w:rPr>
                        <w:color w:val="A7A7A7"/>
                        <w:spacing w:val="1"/>
                        <w:w w:val="105"/>
                        <w:sz w:val="14"/>
                      </w:rPr>
                      <w:t> </w:t>
                    </w:r>
                    <w:r>
                      <w:rPr>
                        <w:color w:val="A7A7A7"/>
                        <w:w w:val="105"/>
                        <w:sz w:val="14"/>
                      </w:rPr>
                      <w:t>IANCE</w:t>
                    </w:r>
                    <w:r>
                      <w:rPr>
                        <w:color w:val="A7A7A7"/>
                        <w:spacing w:val="29"/>
                        <w:w w:val="105"/>
                        <w:sz w:val="14"/>
                      </w:rPr>
                      <w:t> </w:t>
                    </w:r>
                    <w:r>
                      <w:rPr>
                        <w:color w:val="A7A7A7"/>
                        <w:spacing w:val="-2"/>
                        <w:w w:val="105"/>
                        <w:sz w:val="14"/>
                      </w:rPr>
                      <w:t>STATEMENT</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0752">
              <wp:simplePos x="0" y="0"/>
              <wp:positionH relativeFrom="page">
                <wp:posOffset>914725</wp:posOffset>
              </wp:positionH>
              <wp:positionV relativeFrom="page">
                <wp:posOffset>266817</wp:posOffset>
              </wp:positionV>
              <wp:extent cx="1253490" cy="125095"/>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1253490" cy="125095"/>
                      </a:xfrm>
                      <a:prstGeom prst="rect">
                        <a:avLst/>
                      </a:prstGeom>
                    </wps:spPr>
                    <wps:txbx>
                      <w:txbxContent>
                        <w:p>
                          <w:pPr>
                            <w:spacing w:before="15"/>
                            <w:ind w:left="20" w:right="0" w:firstLine="0"/>
                            <w:jc w:val="left"/>
                            <w:rPr>
                              <w:sz w:val="14"/>
                            </w:rPr>
                          </w:pPr>
                          <w:r>
                            <w:rPr>
                              <w:color w:val="9E9E9E"/>
                              <w:w w:val="115"/>
                              <w:sz w:val="14"/>
                            </w:rPr>
                            <w:t>NARRATIVE</w:t>
                          </w:r>
                          <w:r>
                            <w:rPr>
                              <w:color w:val="9E9E9E"/>
                              <w:spacing w:val="-1"/>
                              <w:w w:val="115"/>
                              <w:sz w:val="14"/>
                            </w:rPr>
                            <w:t> </w:t>
                          </w:r>
                          <w:r>
                            <w:rPr>
                              <w:color w:val="9E9E9E"/>
                              <w:spacing w:val="-2"/>
                              <w:w w:val="115"/>
                              <w:sz w:val="14"/>
                            </w:rPr>
                            <w:t>STATEMENT</w:t>
                          </w:r>
                        </w:p>
                      </w:txbxContent>
                    </wps:txbx>
                    <wps:bodyPr wrap="square" lIns="0" tIns="0" rIns="0" bIns="0" rtlCol="0">
                      <a:noAutofit/>
                    </wps:bodyPr>
                  </wps:wsp>
                </a:graphicData>
              </a:graphic>
            </wp:anchor>
          </w:drawing>
        </mc:Choice>
        <mc:Fallback>
          <w:pict>
            <v:shape style="position:absolute;margin-left:72.025597pt;margin-top:21.009258pt;width:98.7pt;height:9.85pt;mso-position-horizontal-relative:page;mso-position-vertical-relative:page;z-index:-27465728" type="#_x0000_t202" id="docshape33" filled="false" stroked="false">
              <v:textbox inset="0,0,0,0">
                <w:txbxContent>
                  <w:p>
                    <w:pPr>
                      <w:spacing w:before="15"/>
                      <w:ind w:left="20" w:right="0" w:firstLine="0"/>
                      <w:jc w:val="left"/>
                      <w:rPr>
                        <w:sz w:val="14"/>
                      </w:rPr>
                    </w:pPr>
                    <w:r>
                      <w:rPr>
                        <w:color w:val="9E9E9E"/>
                        <w:w w:val="115"/>
                        <w:sz w:val="14"/>
                      </w:rPr>
                      <w:t>NARRATIVE</w:t>
                    </w:r>
                    <w:r>
                      <w:rPr>
                        <w:color w:val="9E9E9E"/>
                        <w:spacing w:val="-1"/>
                        <w:w w:val="115"/>
                        <w:sz w:val="14"/>
                      </w:rPr>
                      <w:t> </w:t>
                    </w:r>
                    <w:r>
                      <w:rPr>
                        <w:color w:val="9E9E9E"/>
                        <w:spacing w:val="-2"/>
                        <w:w w:val="115"/>
                        <w:sz w:val="14"/>
                      </w:rPr>
                      <w:t>STATEMENT</w:t>
                    </w:r>
                  </w:p>
                </w:txbxContent>
              </v:textbox>
              <w10:wrap type="none"/>
            </v:shape>
          </w:pict>
        </mc:Fallback>
      </mc:AlternateContent>
    </w:r>
  </w:p>
</w:hdr>
</file>

<file path=word/header1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8"/>
      </w:rPr>
    </w:pPr>
    <w:r>
      <w:rPr/>
      <w:drawing>
        <wp:anchor distT="0" distB="0" distL="0" distR="0" allowOverlap="1" layoutInCell="1" locked="0" behindDoc="1" simplePos="0" relativeHeight="475956224">
          <wp:simplePos x="0" y="0"/>
          <wp:positionH relativeFrom="page">
            <wp:posOffset>1276119</wp:posOffset>
          </wp:positionH>
          <wp:positionV relativeFrom="page">
            <wp:posOffset>579794</wp:posOffset>
          </wp:positionV>
          <wp:extent cx="1856173" cy="85441"/>
          <wp:effectExtent l="0" t="0" r="0" b="0"/>
          <wp:wrapNone/>
          <wp:docPr id="741" name="Image 741"/>
          <wp:cNvGraphicFramePr>
            <a:graphicFrameLocks/>
          </wp:cNvGraphicFramePr>
          <a:graphic>
            <a:graphicData uri="http://schemas.openxmlformats.org/drawingml/2006/picture">
              <pic:pic>
                <pic:nvPicPr>
                  <pic:cNvPr id="741" name="Image 741"/>
                  <pic:cNvPicPr/>
                </pic:nvPicPr>
                <pic:blipFill>
                  <a:blip r:embed="rId1" cstate="print"/>
                  <a:stretch>
                    <a:fillRect/>
                  </a:stretch>
                </pic:blipFill>
                <pic:spPr>
                  <a:xfrm>
                    <a:off x="0" y="0"/>
                    <a:ext cx="1856173" cy="85441"/>
                  </a:xfrm>
                  <a:prstGeom prst="rect">
                    <a:avLst/>
                  </a:prstGeom>
                </pic:spPr>
              </pic:pic>
            </a:graphicData>
          </a:graphic>
        </wp:anchor>
      </w:drawing>
    </w:r>
  </w:p>
</w:hdr>
</file>

<file path=word/header1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57760">
              <wp:simplePos x="0" y="0"/>
              <wp:positionH relativeFrom="page">
                <wp:posOffset>1278820</wp:posOffset>
              </wp:positionH>
              <wp:positionV relativeFrom="page">
                <wp:posOffset>465163</wp:posOffset>
              </wp:positionV>
              <wp:extent cx="1838960" cy="125095"/>
              <wp:effectExtent l="0" t="0" r="0" b="0"/>
              <wp:wrapNone/>
              <wp:docPr id="744" name="Textbox 744"/>
              <wp:cNvGraphicFramePr>
                <a:graphicFrameLocks/>
              </wp:cNvGraphicFramePr>
              <a:graphic>
                <a:graphicData uri="http://schemas.microsoft.com/office/word/2010/wordprocessingShape">
                  <wps:wsp>
                    <wps:cNvPr id="744" name="Textbox 744"/>
                    <wps:cNvSpPr txBox="1"/>
                    <wps:spPr>
                      <a:xfrm>
                        <a:off x="0" y="0"/>
                        <a:ext cx="1838960" cy="125095"/>
                      </a:xfrm>
                      <a:prstGeom prst="rect">
                        <a:avLst/>
                      </a:prstGeom>
                    </wps:spPr>
                    <wps:txbx>
                      <w:txbxContent>
                        <w:p>
                          <w:pPr>
                            <w:spacing w:before="15"/>
                            <w:ind w:left="20" w:right="0" w:firstLine="0"/>
                            <w:jc w:val="left"/>
                            <w:rPr>
                              <w:sz w:val="14"/>
                            </w:rPr>
                          </w:pPr>
                          <w:r>
                            <w:rPr>
                              <w:color w:val="A1A1A1"/>
                              <w:w w:val="110"/>
                              <w:sz w:val="14"/>
                            </w:rPr>
                            <w:t>ANNUAL</w:t>
                          </w:r>
                          <w:r>
                            <w:rPr>
                              <w:color w:val="A1A1A1"/>
                              <w:spacing w:val="33"/>
                              <w:w w:val="110"/>
                              <w:sz w:val="14"/>
                            </w:rPr>
                            <w:t> </w:t>
                          </w:r>
                          <w:r>
                            <w:rPr>
                              <w:color w:val="A1A1A1"/>
                              <w:w w:val="110"/>
                              <w:sz w:val="14"/>
                            </w:rPr>
                            <w:t>GOVERNANCE</w:t>
                          </w:r>
                          <w:r>
                            <w:rPr>
                              <w:color w:val="A1A1A1"/>
                              <w:spacing w:val="49"/>
                              <w:w w:val="110"/>
                              <w:sz w:val="14"/>
                            </w:rPr>
                            <w:t> </w:t>
                          </w:r>
                          <w:r>
                            <w:rPr>
                              <w:color w:val="A1A1A1"/>
                              <w:spacing w:val="-2"/>
                              <w:w w:val="110"/>
                              <w:sz w:val="14"/>
                            </w:rPr>
                            <w:t>ST.AT::ivlENT</w:t>
                          </w:r>
                        </w:p>
                      </w:txbxContent>
                    </wps:txbx>
                    <wps:bodyPr wrap="square" lIns="0" tIns="0" rIns="0" bIns="0" rtlCol="0">
                      <a:noAutofit/>
                    </wps:bodyPr>
                  </wps:wsp>
                </a:graphicData>
              </a:graphic>
            </wp:anchor>
          </w:drawing>
        </mc:Choice>
        <mc:Fallback>
          <w:pict>
            <v:shape style="position:absolute;margin-left:100.694504pt;margin-top:36.62706pt;width:144.8pt;height:9.85pt;mso-position-horizontal-relative:page;mso-position-vertical-relative:page;z-index:-27358720" type="#_x0000_t202" id="docshape482" filled="false" stroked="false">
              <v:textbox inset="0,0,0,0">
                <w:txbxContent>
                  <w:p>
                    <w:pPr>
                      <w:spacing w:before="15"/>
                      <w:ind w:left="20" w:right="0" w:firstLine="0"/>
                      <w:jc w:val="left"/>
                      <w:rPr>
                        <w:sz w:val="14"/>
                      </w:rPr>
                    </w:pPr>
                    <w:r>
                      <w:rPr>
                        <w:color w:val="A1A1A1"/>
                        <w:w w:val="110"/>
                        <w:sz w:val="14"/>
                      </w:rPr>
                      <w:t>ANNUAL</w:t>
                    </w:r>
                    <w:r>
                      <w:rPr>
                        <w:color w:val="A1A1A1"/>
                        <w:spacing w:val="33"/>
                        <w:w w:val="110"/>
                        <w:sz w:val="14"/>
                      </w:rPr>
                      <w:t> </w:t>
                    </w:r>
                    <w:r>
                      <w:rPr>
                        <w:color w:val="A1A1A1"/>
                        <w:w w:val="110"/>
                        <w:sz w:val="14"/>
                      </w:rPr>
                      <w:t>GOVERNANCE</w:t>
                    </w:r>
                    <w:r>
                      <w:rPr>
                        <w:color w:val="A1A1A1"/>
                        <w:spacing w:val="49"/>
                        <w:w w:val="110"/>
                        <w:sz w:val="14"/>
                      </w:rPr>
                      <w:t> </w:t>
                    </w:r>
                    <w:r>
                      <w:rPr>
                        <w:color w:val="A1A1A1"/>
                        <w:spacing w:val="-2"/>
                        <w:w w:val="110"/>
                        <w:sz w:val="14"/>
                      </w:rPr>
                      <w:t>ST.AT::ivlENT</w:t>
                    </w:r>
                  </w:p>
                </w:txbxContent>
              </v:textbox>
              <w10:wrap type="none"/>
            </v:shape>
          </w:pict>
        </mc:Fallback>
      </mc:AlternateContent>
    </w:r>
  </w:p>
</w:hdr>
</file>

<file path=word/header1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5958272">
          <wp:simplePos x="0" y="0"/>
          <wp:positionH relativeFrom="page">
            <wp:posOffset>1276119</wp:posOffset>
          </wp:positionH>
          <wp:positionV relativeFrom="page">
            <wp:posOffset>567588</wp:posOffset>
          </wp:positionV>
          <wp:extent cx="1856173" cy="85441"/>
          <wp:effectExtent l="0" t="0" r="0" b="0"/>
          <wp:wrapNone/>
          <wp:docPr id="745" name="Image 745"/>
          <wp:cNvGraphicFramePr>
            <a:graphicFrameLocks/>
          </wp:cNvGraphicFramePr>
          <a:graphic>
            <a:graphicData uri="http://schemas.openxmlformats.org/drawingml/2006/picture">
              <pic:pic>
                <pic:nvPicPr>
                  <pic:cNvPr id="745" name="Image 745"/>
                  <pic:cNvPicPr/>
                </pic:nvPicPr>
                <pic:blipFill>
                  <a:blip r:embed="rId1" cstate="print"/>
                  <a:stretch>
                    <a:fillRect/>
                  </a:stretch>
                </pic:blipFill>
                <pic:spPr>
                  <a:xfrm>
                    <a:off x="0" y="0"/>
                    <a:ext cx="1856173" cy="85441"/>
                  </a:xfrm>
                  <a:prstGeom prst="rect">
                    <a:avLst/>
                  </a:prstGeom>
                </pic:spPr>
              </pic:pic>
            </a:graphicData>
          </a:graphic>
        </wp:anchor>
      </w:drawing>
    </w:r>
  </w:p>
</w:hdr>
</file>

<file path=word/header1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5960832">
          <wp:simplePos x="0" y="0"/>
          <wp:positionH relativeFrom="page">
            <wp:posOffset>1276118</wp:posOffset>
          </wp:positionH>
          <wp:positionV relativeFrom="page">
            <wp:posOffset>579794</wp:posOffset>
          </wp:positionV>
          <wp:extent cx="1856173" cy="85441"/>
          <wp:effectExtent l="0" t="0" r="0" b="0"/>
          <wp:wrapNone/>
          <wp:docPr id="751" name="Image 751"/>
          <wp:cNvGraphicFramePr>
            <a:graphicFrameLocks/>
          </wp:cNvGraphicFramePr>
          <a:graphic>
            <a:graphicData uri="http://schemas.openxmlformats.org/drawingml/2006/picture">
              <pic:pic>
                <pic:nvPicPr>
                  <pic:cNvPr id="751" name="Image 751"/>
                  <pic:cNvPicPr/>
                </pic:nvPicPr>
                <pic:blipFill>
                  <a:blip r:embed="rId1" cstate="print"/>
                  <a:stretch>
                    <a:fillRect/>
                  </a:stretch>
                </pic:blipFill>
                <pic:spPr>
                  <a:xfrm>
                    <a:off x="0" y="0"/>
                    <a:ext cx="1856173" cy="85441"/>
                  </a:xfrm>
                  <a:prstGeom prst="rect">
                    <a:avLst/>
                  </a:prstGeom>
                </pic:spPr>
              </pic:pic>
            </a:graphicData>
          </a:graphic>
        </wp:anchor>
      </w:drawing>
    </w:r>
  </w:p>
</w:hdr>
</file>

<file path=word/header1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62368">
              <wp:simplePos x="0" y="0"/>
              <wp:positionH relativeFrom="page">
                <wp:posOffset>812973</wp:posOffset>
              </wp:positionH>
              <wp:positionV relativeFrom="page">
                <wp:posOffset>489575</wp:posOffset>
              </wp:positionV>
              <wp:extent cx="573405" cy="125095"/>
              <wp:effectExtent l="0" t="0" r="0" b="0"/>
              <wp:wrapNone/>
              <wp:docPr id="757" name="Textbox 757"/>
              <wp:cNvGraphicFramePr>
                <a:graphicFrameLocks/>
              </wp:cNvGraphicFramePr>
              <a:graphic>
                <a:graphicData uri="http://schemas.microsoft.com/office/word/2010/wordprocessingShape">
                  <wps:wsp>
                    <wps:cNvPr id="757" name="Textbox 757"/>
                    <wps:cNvSpPr txBox="1"/>
                    <wps:spPr>
                      <a:xfrm>
                        <a:off x="0" y="0"/>
                        <a:ext cx="573405" cy="125095"/>
                      </a:xfrm>
                      <a:prstGeom prst="rect">
                        <a:avLst/>
                      </a:prstGeom>
                    </wps:spPr>
                    <wps:txbx>
                      <w:txbxContent>
                        <w:p>
                          <w:pPr>
                            <w:spacing w:before="15"/>
                            <w:ind w:left="20" w:right="0" w:firstLine="0"/>
                            <w:jc w:val="left"/>
                            <w:rPr>
                              <w:sz w:val="14"/>
                            </w:rPr>
                          </w:pPr>
                          <w:r>
                            <w:rPr>
                              <w:color w:val="383838"/>
                              <w:spacing w:val="-2"/>
                              <w:w w:val="110"/>
                              <w:sz w:val="14"/>
                            </w:rPr>
                            <w:t>GLOSSARY</w:t>
                          </w:r>
                        </w:p>
                      </w:txbxContent>
                    </wps:txbx>
                    <wps:bodyPr wrap="square" lIns="0" tIns="0" rIns="0" bIns="0" rtlCol="0">
                      <a:noAutofit/>
                    </wps:bodyPr>
                  </wps:wsp>
                </a:graphicData>
              </a:graphic>
            </wp:anchor>
          </w:drawing>
        </mc:Choice>
        <mc:Fallback>
          <w:pict>
            <v:shape style="position:absolute;margin-left:64.013687pt;margin-top:38.549259pt;width:45.15pt;height:9.85pt;mso-position-horizontal-relative:page;mso-position-vertical-relative:page;z-index:-27354112" type="#_x0000_t202" id="docshape489" filled="false" stroked="false">
              <v:textbox inset="0,0,0,0">
                <w:txbxContent>
                  <w:p>
                    <w:pPr>
                      <w:spacing w:before="15"/>
                      <w:ind w:left="20" w:right="0" w:firstLine="0"/>
                      <w:jc w:val="left"/>
                      <w:rPr>
                        <w:sz w:val="14"/>
                      </w:rPr>
                    </w:pPr>
                    <w:r>
                      <w:rPr>
                        <w:color w:val="383838"/>
                        <w:spacing w:val="-2"/>
                        <w:w w:val="110"/>
                        <w:sz w:val="14"/>
                      </w:rPr>
                      <w:t>GLOSSARY</w:t>
                    </w:r>
                  </w:p>
                </w:txbxContent>
              </v:textbox>
              <w10:wrap type="none"/>
            </v:shape>
          </w:pict>
        </mc:Fallback>
      </mc:AlternateContent>
    </w:r>
  </w:p>
</w:hdr>
</file>

<file path=word/header1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62880">
              <wp:simplePos x="0" y="0"/>
              <wp:positionH relativeFrom="page">
                <wp:posOffset>809870</wp:posOffset>
              </wp:positionH>
              <wp:positionV relativeFrom="page">
                <wp:posOffset>480768</wp:posOffset>
              </wp:positionV>
              <wp:extent cx="578485" cy="132080"/>
              <wp:effectExtent l="0" t="0" r="0" b="0"/>
              <wp:wrapNone/>
              <wp:docPr id="759" name="Textbox 759"/>
              <wp:cNvGraphicFramePr>
                <a:graphicFrameLocks/>
              </wp:cNvGraphicFramePr>
              <a:graphic>
                <a:graphicData uri="http://schemas.microsoft.com/office/word/2010/wordprocessingShape">
                  <wps:wsp>
                    <wps:cNvPr id="759" name="Textbox 759"/>
                    <wps:cNvSpPr txBox="1"/>
                    <wps:spPr>
                      <a:xfrm>
                        <a:off x="0" y="0"/>
                        <a:ext cx="578485" cy="132080"/>
                      </a:xfrm>
                      <a:prstGeom prst="rect">
                        <a:avLst/>
                      </a:prstGeom>
                    </wps:spPr>
                    <wps:txbx>
                      <w:txbxContent>
                        <w:p>
                          <w:pPr>
                            <w:spacing w:before="15"/>
                            <w:ind w:left="20" w:right="0" w:firstLine="0"/>
                            <w:jc w:val="left"/>
                            <w:rPr>
                              <w:sz w:val="15"/>
                            </w:rPr>
                          </w:pPr>
                          <w:r>
                            <w:rPr>
                              <w:color w:val="AFAFAF"/>
                              <w:spacing w:val="2"/>
                              <w:w w:val="90"/>
                              <w:sz w:val="15"/>
                            </w:rPr>
                            <w:t>CJLOSSA</w:t>
                          </w:r>
                          <w:r>
                            <w:rPr>
                              <w:color w:val="AFAFAF"/>
                              <w:spacing w:val="-8"/>
                              <w:w w:val="90"/>
                              <w:sz w:val="15"/>
                            </w:rPr>
                            <w:t> </w:t>
                          </w:r>
                          <w:r>
                            <w:rPr>
                              <w:color w:val="AFAFAF"/>
                              <w:spacing w:val="-5"/>
                              <w:sz w:val="15"/>
                            </w:rPr>
                            <w:t>RY</w:t>
                          </w:r>
                        </w:p>
                      </w:txbxContent>
                    </wps:txbx>
                    <wps:bodyPr wrap="square" lIns="0" tIns="0" rIns="0" bIns="0" rtlCol="0">
                      <a:noAutofit/>
                    </wps:bodyPr>
                  </wps:wsp>
                </a:graphicData>
              </a:graphic>
            </wp:anchor>
          </w:drawing>
        </mc:Choice>
        <mc:Fallback>
          <w:pict>
            <v:shape style="position:absolute;margin-left:63.769299pt;margin-top:37.855804pt;width:45.55pt;height:10.4pt;mso-position-horizontal-relative:page;mso-position-vertical-relative:page;z-index:-27353600" type="#_x0000_t202" id="docshape490" filled="false" stroked="false">
              <v:textbox inset="0,0,0,0">
                <w:txbxContent>
                  <w:p>
                    <w:pPr>
                      <w:spacing w:before="15"/>
                      <w:ind w:left="20" w:right="0" w:firstLine="0"/>
                      <w:jc w:val="left"/>
                      <w:rPr>
                        <w:sz w:val="15"/>
                      </w:rPr>
                    </w:pPr>
                    <w:r>
                      <w:rPr>
                        <w:color w:val="AFAFAF"/>
                        <w:spacing w:val="2"/>
                        <w:w w:val="90"/>
                        <w:sz w:val="15"/>
                      </w:rPr>
                      <w:t>CJLOSSA</w:t>
                    </w:r>
                    <w:r>
                      <w:rPr>
                        <w:color w:val="AFAFAF"/>
                        <w:spacing w:val="-8"/>
                        <w:w w:val="90"/>
                        <w:sz w:val="15"/>
                      </w:rPr>
                      <w:t> </w:t>
                    </w:r>
                    <w:r>
                      <w:rPr>
                        <w:color w:val="AFAFAF"/>
                        <w:spacing w:val="-5"/>
                        <w:sz w:val="15"/>
                      </w:rPr>
                      <w:t>RY</w:t>
                    </w:r>
                  </w:p>
                </w:txbxContent>
              </v:textbox>
              <w10:wrap type="none"/>
            </v:shape>
          </w:pict>
        </mc:Fallback>
      </mc:AlternateContent>
    </w:r>
    <w:r>
      <w:rPr/>
      <mc:AlternateContent>
        <mc:Choice Requires="wps">
          <w:drawing>
            <wp:anchor distT="0" distB="0" distL="0" distR="0" allowOverlap="1" layoutInCell="1" locked="0" behindDoc="1" simplePos="0" relativeHeight="475963392">
              <wp:simplePos x="0" y="0"/>
              <wp:positionH relativeFrom="page">
                <wp:posOffset>1642094</wp:posOffset>
              </wp:positionH>
              <wp:positionV relativeFrom="page">
                <wp:posOffset>748334</wp:posOffset>
              </wp:positionV>
              <wp:extent cx="365125" cy="174625"/>
              <wp:effectExtent l="0" t="0" r="0" b="0"/>
              <wp:wrapNone/>
              <wp:docPr id="760" name="Textbox 760"/>
              <wp:cNvGraphicFramePr>
                <a:graphicFrameLocks/>
              </wp:cNvGraphicFramePr>
              <a:graphic>
                <a:graphicData uri="http://schemas.microsoft.com/office/word/2010/wordprocessingShape">
                  <wps:wsp>
                    <wps:cNvPr id="760" name="Textbox 760"/>
                    <wps:cNvSpPr txBox="1"/>
                    <wps:spPr>
                      <a:xfrm>
                        <a:off x="0" y="0"/>
                        <a:ext cx="365125" cy="174625"/>
                      </a:xfrm>
                      <a:prstGeom prst="rect">
                        <a:avLst/>
                      </a:prstGeom>
                    </wps:spPr>
                    <wps:txbx>
                      <w:txbxContent>
                        <w:p>
                          <w:pPr>
                            <w:spacing w:before="13"/>
                            <w:ind w:left="20" w:right="0" w:firstLine="0"/>
                            <w:jc w:val="left"/>
                            <w:rPr>
                              <w:b/>
                              <w:sz w:val="21"/>
                            </w:rPr>
                          </w:pPr>
                          <w:r>
                            <w:rPr>
                              <w:b/>
                              <w:color w:val="0E0E0E"/>
                              <w:spacing w:val="-4"/>
                              <w:w w:val="105"/>
                              <w:sz w:val="21"/>
                            </w:rPr>
                            <w:t>Term</w:t>
                          </w:r>
                        </w:p>
                      </w:txbxContent>
                    </wps:txbx>
                    <wps:bodyPr wrap="square" lIns="0" tIns="0" rIns="0" bIns="0" rtlCol="0">
                      <a:noAutofit/>
                    </wps:bodyPr>
                  </wps:wsp>
                </a:graphicData>
              </a:graphic>
            </wp:anchor>
          </w:drawing>
        </mc:Choice>
        <mc:Fallback>
          <w:pict>
            <v:shape style="position:absolute;margin-left:129.298798pt;margin-top:58.923985pt;width:28.75pt;height:13.75pt;mso-position-horizontal-relative:page;mso-position-vertical-relative:page;z-index:-27353088" type="#_x0000_t202" id="docshape491" filled="false" stroked="false">
              <v:textbox inset="0,0,0,0">
                <w:txbxContent>
                  <w:p>
                    <w:pPr>
                      <w:spacing w:before="13"/>
                      <w:ind w:left="20" w:right="0" w:firstLine="0"/>
                      <w:jc w:val="left"/>
                      <w:rPr>
                        <w:b/>
                        <w:sz w:val="21"/>
                      </w:rPr>
                    </w:pPr>
                    <w:r>
                      <w:rPr>
                        <w:b/>
                        <w:color w:val="0E0E0E"/>
                        <w:spacing w:val="-4"/>
                        <w:w w:val="105"/>
                        <w:sz w:val="21"/>
                      </w:rPr>
                      <w:t>Term</w:t>
                    </w:r>
                  </w:p>
                </w:txbxContent>
              </v:textbox>
              <w10:wrap type="none"/>
            </v:shape>
          </w:pict>
        </mc:Fallback>
      </mc:AlternateContent>
    </w:r>
    <w:r>
      <w:rPr/>
      <mc:AlternateContent>
        <mc:Choice Requires="wps">
          <w:drawing>
            <wp:anchor distT="0" distB="0" distL="0" distR="0" allowOverlap="1" layoutInCell="1" locked="0" behindDoc="1" simplePos="0" relativeHeight="475963904">
              <wp:simplePos x="0" y="0"/>
              <wp:positionH relativeFrom="page">
                <wp:posOffset>4419543</wp:posOffset>
              </wp:positionH>
              <wp:positionV relativeFrom="page">
                <wp:posOffset>745282</wp:posOffset>
              </wp:positionV>
              <wp:extent cx="658495" cy="174625"/>
              <wp:effectExtent l="0" t="0" r="0" b="0"/>
              <wp:wrapNone/>
              <wp:docPr id="761" name="Textbox 761"/>
              <wp:cNvGraphicFramePr>
                <a:graphicFrameLocks/>
              </wp:cNvGraphicFramePr>
              <a:graphic>
                <a:graphicData uri="http://schemas.microsoft.com/office/word/2010/wordprocessingShape">
                  <wps:wsp>
                    <wps:cNvPr id="761" name="Textbox 761"/>
                    <wps:cNvSpPr txBox="1"/>
                    <wps:spPr>
                      <a:xfrm>
                        <a:off x="0" y="0"/>
                        <a:ext cx="658495" cy="174625"/>
                      </a:xfrm>
                      <a:prstGeom prst="rect">
                        <a:avLst/>
                      </a:prstGeom>
                    </wps:spPr>
                    <wps:txbx>
                      <w:txbxContent>
                        <w:p>
                          <w:pPr>
                            <w:spacing w:before="13"/>
                            <w:ind w:left="20" w:right="0" w:firstLine="0"/>
                            <w:jc w:val="left"/>
                            <w:rPr>
                              <w:b/>
                              <w:sz w:val="21"/>
                            </w:rPr>
                          </w:pPr>
                          <w:r>
                            <w:rPr>
                              <w:b/>
                              <w:color w:val="0E0E0E"/>
                              <w:spacing w:val="-2"/>
                              <w:w w:val="105"/>
                              <w:sz w:val="21"/>
                            </w:rPr>
                            <w:t>Definition</w:t>
                          </w:r>
                        </w:p>
                      </w:txbxContent>
                    </wps:txbx>
                    <wps:bodyPr wrap="square" lIns="0" tIns="0" rIns="0" bIns="0" rtlCol="0">
                      <a:noAutofit/>
                    </wps:bodyPr>
                  </wps:wsp>
                </a:graphicData>
              </a:graphic>
            </wp:anchor>
          </w:drawing>
        </mc:Choice>
        <mc:Fallback>
          <w:pict>
            <v:shape style="position:absolute;margin-left:347.995514pt;margin-top:58.683685pt;width:51.85pt;height:13.75pt;mso-position-horizontal-relative:page;mso-position-vertical-relative:page;z-index:-27352576" type="#_x0000_t202" id="docshape492" filled="false" stroked="false">
              <v:textbox inset="0,0,0,0">
                <w:txbxContent>
                  <w:p>
                    <w:pPr>
                      <w:spacing w:before="13"/>
                      <w:ind w:left="20" w:right="0" w:firstLine="0"/>
                      <w:jc w:val="left"/>
                      <w:rPr>
                        <w:b/>
                        <w:sz w:val="21"/>
                      </w:rPr>
                    </w:pPr>
                    <w:r>
                      <w:rPr>
                        <w:b/>
                        <w:color w:val="0E0E0E"/>
                        <w:spacing w:val="-2"/>
                        <w:w w:val="105"/>
                        <w:sz w:val="21"/>
                      </w:rPr>
                      <w:t>Definition</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65440">
              <wp:simplePos x="0" y="0"/>
              <wp:positionH relativeFrom="page">
                <wp:posOffset>821795</wp:posOffset>
              </wp:positionH>
              <wp:positionV relativeFrom="page">
                <wp:posOffset>453306</wp:posOffset>
              </wp:positionV>
              <wp:extent cx="570865" cy="132080"/>
              <wp:effectExtent l="0" t="0" r="0" b="0"/>
              <wp:wrapNone/>
              <wp:docPr id="764" name="Textbox 764"/>
              <wp:cNvGraphicFramePr>
                <a:graphicFrameLocks/>
              </wp:cNvGraphicFramePr>
              <a:graphic>
                <a:graphicData uri="http://schemas.microsoft.com/office/word/2010/wordprocessingShape">
                  <wps:wsp>
                    <wps:cNvPr id="764" name="Textbox 764"/>
                    <wps:cNvSpPr txBox="1"/>
                    <wps:spPr>
                      <a:xfrm>
                        <a:off x="0" y="0"/>
                        <a:ext cx="570865" cy="132080"/>
                      </a:xfrm>
                      <a:prstGeom prst="rect">
                        <a:avLst/>
                      </a:prstGeom>
                    </wps:spPr>
                    <wps:txbx>
                      <w:txbxContent>
                        <w:p>
                          <w:pPr>
                            <w:spacing w:before="15"/>
                            <w:ind w:left="20" w:right="0" w:firstLine="0"/>
                            <w:jc w:val="left"/>
                            <w:rPr>
                              <w:sz w:val="15"/>
                            </w:rPr>
                          </w:pPr>
                          <w:r>
                            <w:rPr>
                              <w:color w:val="B3B3B3"/>
                              <w:spacing w:val="-2"/>
                              <w:w w:val="105"/>
                              <w:sz w:val="15"/>
                            </w:rPr>
                            <w:t>GLOSSARY</w:t>
                          </w:r>
                        </w:p>
                      </w:txbxContent>
                    </wps:txbx>
                    <wps:bodyPr wrap="square" lIns="0" tIns="0" rIns="0" bIns="0" rtlCol="0">
                      <a:noAutofit/>
                    </wps:bodyPr>
                  </wps:wsp>
                </a:graphicData>
              </a:graphic>
            </wp:anchor>
          </w:drawing>
        </mc:Choice>
        <mc:Fallback>
          <w:pict>
            <v:shape style="position:absolute;margin-left:64.708313pt;margin-top:35.693405pt;width:44.95pt;height:10.4pt;mso-position-horizontal-relative:page;mso-position-vertical-relative:page;z-index:-27351040" type="#_x0000_t202" id="docshape495" filled="false" stroked="false">
              <v:textbox inset="0,0,0,0">
                <w:txbxContent>
                  <w:p>
                    <w:pPr>
                      <w:spacing w:before="15"/>
                      <w:ind w:left="20" w:right="0" w:firstLine="0"/>
                      <w:jc w:val="left"/>
                      <w:rPr>
                        <w:sz w:val="15"/>
                      </w:rPr>
                    </w:pPr>
                    <w:r>
                      <w:rPr>
                        <w:color w:val="B3B3B3"/>
                        <w:spacing w:val="-2"/>
                        <w:w w:val="105"/>
                        <w:sz w:val="15"/>
                      </w:rPr>
                      <w:t>GLOSSARY</w:t>
                    </w:r>
                  </w:p>
                </w:txbxContent>
              </v:textbox>
              <w10:wrap type="none"/>
            </v:shape>
          </w:pict>
        </mc:Fallback>
      </mc:AlternateContent>
    </w:r>
  </w:p>
</w:hdr>
</file>

<file path=word/header1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66976">
              <wp:simplePos x="0" y="0"/>
              <wp:positionH relativeFrom="page">
                <wp:posOffset>816026</wp:posOffset>
              </wp:positionH>
              <wp:positionV relativeFrom="page">
                <wp:posOffset>474317</wp:posOffset>
              </wp:positionV>
              <wp:extent cx="573405" cy="125095"/>
              <wp:effectExtent l="0" t="0" r="0" b="0"/>
              <wp:wrapNone/>
              <wp:docPr id="768" name="Textbox 768"/>
              <wp:cNvGraphicFramePr>
                <a:graphicFrameLocks/>
              </wp:cNvGraphicFramePr>
              <a:graphic>
                <a:graphicData uri="http://schemas.microsoft.com/office/word/2010/wordprocessingShape">
                  <wps:wsp>
                    <wps:cNvPr id="768" name="Textbox 768"/>
                    <wps:cNvSpPr txBox="1"/>
                    <wps:spPr>
                      <a:xfrm>
                        <a:off x="0" y="0"/>
                        <a:ext cx="573405" cy="125095"/>
                      </a:xfrm>
                      <a:prstGeom prst="rect">
                        <a:avLst/>
                      </a:prstGeom>
                    </wps:spPr>
                    <wps:txbx>
                      <w:txbxContent>
                        <w:p>
                          <w:pPr>
                            <w:spacing w:before="15"/>
                            <w:ind w:left="20" w:right="0" w:firstLine="0"/>
                            <w:jc w:val="left"/>
                            <w:rPr>
                              <w:sz w:val="14"/>
                            </w:rPr>
                          </w:pPr>
                          <w:r>
                            <w:rPr>
                              <w:color w:val="AFAFAF"/>
                              <w:spacing w:val="-2"/>
                              <w:w w:val="110"/>
                              <w:sz w:val="14"/>
                            </w:rPr>
                            <w:t>GLOSSARY</w:t>
                          </w:r>
                        </w:p>
                      </w:txbxContent>
                    </wps:txbx>
                    <wps:bodyPr wrap="square" lIns="0" tIns="0" rIns="0" bIns="0" rtlCol="0">
                      <a:noAutofit/>
                    </wps:bodyPr>
                  </wps:wsp>
                </a:graphicData>
              </a:graphic>
            </wp:anchor>
          </w:drawing>
        </mc:Choice>
        <mc:Fallback>
          <w:pict>
            <v:shape style="position:absolute;margin-left:64.254082pt;margin-top:37.347858pt;width:45.15pt;height:9.85pt;mso-position-horizontal-relative:page;mso-position-vertical-relative:page;z-index:-27349504" type="#_x0000_t202" id="docshape498" filled="false" stroked="false">
              <v:textbox inset="0,0,0,0">
                <w:txbxContent>
                  <w:p>
                    <w:pPr>
                      <w:spacing w:before="15"/>
                      <w:ind w:left="20" w:right="0" w:firstLine="0"/>
                      <w:jc w:val="left"/>
                      <w:rPr>
                        <w:sz w:val="14"/>
                      </w:rPr>
                    </w:pPr>
                    <w:r>
                      <w:rPr>
                        <w:color w:val="AFAFAF"/>
                        <w:spacing w:val="-2"/>
                        <w:w w:val="110"/>
                        <w:sz w:val="14"/>
                      </w:rPr>
                      <w:t>GLOSSARY</w:t>
                    </w:r>
                  </w:p>
                </w:txbxContent>
              </v:textbox>
              <w10:wrap type="none"/>
            </v:shape>
          </w:pict>
        </mc:Fallback>
      </mc:AlternateContent>
    </w:r>
  </w:p>
</w:hdr>
</file>

<file path=word/header1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5967488">
          <wp:simplePos x="0" y="0"/>
          <wp:positionH relativeFrom="page">
            <wp:posOffset>976933</wp:posOffset>
          </wp:positionH>
          <wp:positionV relativeFrom="page">
            <wp:posOffset>579794</wp:posOffset>
          </wp:positionV>
          <wp:extent cx="445725" cy="85441"/>
          <wp:effectExtent l="0" t="0" r="0" b="0"/>
          <wp:wrapNone/>
          <wp:docPr id="769" name="Image 769"/>
          <wp:cNvGraphicFramePr>
            <a:graphicFrameLocks/>
          </wp:cNvGraphicFramePr>
          <a:graphic>
            <a:graphicData uri="http://schemas.openxmlformats.org/drawingml/2006/picture">
              <pic:pic>
                <pic:nvPicPr>
                  <pic:cNvPr id="769" name="Image 769"/>
                  <pic:cNvPicPr/>
                </pic:nvPicPr>
                <pic:blipFill>
                  <a:blip r:embed="rId1" cstate="print"/>
                  <a:stretch>
                    <a:fillRect/>
                  </a:stretch>
                </pic:blipFill>
                <pic:spPr>
                  <a:xfrm>
                    <a:off x="0" y="0"/>
                    <a:ext cx="445725" cy="85441"/>
                  </a:xfrm>
                  <a:prstGeom prst="rect">
                    <a:avLst/>
                  </a:prstGeom>
                </pic:spPr>
              </pic:pic>
            </a:graphicData>
          </a:graphic>
        </wp:anchor>
      </w:drawing>
    </w:r>
    <w:r>
      <w:rPr/>
      <mc:AlternateContent>
        <mc:Choice Requires="wps">
          <w:drawing>
            <wp:anchor distT="0" distB="0" distL="0" distR="0" allowOverlap="1" layoutInCell="1" locked="0" behindDoc="1" simplePos="0" relativeHeight="475968000">
              <wp:simplePos x="0" y="0"/>
              <wp:positionH relativeFrom="page">
                <wp:posOffset>1800846</wp:posOffset>
              </wp:positionH>
              <wp:positionV relativeFrom="page">
                <wp:posOffset>815468</wp:posOffset>
              </wp:positionV>
              <wp:extent cx="365125" cy="174625"/>
              <wp:effectExtent l="0" t="0" r="0" b="0"/>
              <wp:wrapNone/>
              <wp:docPr id="770" name="Textbox 770"/>
              <wp:cNvGraphicFramePr>
                <a:graphicFrameLocks/>
              </wp:cNvGraphicFramePr>
              <a:graphic>
                <a:graphicData uri="http://schemas.microsoft.com/office/word/2010/wordprocessingShape">
                  <wps:wsp>
                    <wps:cNvPr id="770" name="Textbox 770"/>
                    <wps:cNvSpPr txBox="1"/>
                    <wps:spPr>
                      <a:xfrm>
                        <a:off x="0" y="0"/>
                        <a:ext cx="365125" cy="174625"/>
                      </a:xfrm>
                      <a:prstGeom prst="rect">
                        <a:avLst/>
                      </a:prstGeom>
                    </wps:spPr>
                    <wps:txbx>
                      <w:txbxContent>
                        <w:p>
                          <w:pPr>
                            <w:spacing w:before="13"/>
                            <w:ind w:left="20" w:right="0" w:firstLine="0"/>
                            <w:jc w:val="left"/>
                            <w:rPr>
                              <w:b/>
                              <w:sz w:val="21"/>
                            </w:rPr>
                          </w:pPr>
                          <w:r>
                            <w:rPr>
                              <w:b/>
                              <w:color w:val="0A0A0A"/>
                              <w:spacing w:val="-4"/>
                              <w:w w:val="105"/>
                              <w:sz w:val="21"/>
                            </w:rPr>
                            <w:t>Term</w:t>
                          </w:r>
                        </w:p>
                      </w:txbxContent>
                    </wps:txbx>
                    <wps:bodyPr wrap="square" lIns="0" tIns="0" rIns="0" bIns="0" rtlCol="0">
                      <a:noAutofit/>
                    </wps:bodyPr>
                  </wps:wsp>
                </a:graphicData>
              </a:graphic>
            </wp:anchor>
          </w:drawing>
        </mc:Choice>
        <mc:Fallback>
          <w:pict>
            <v:shape style="position:absolute;margin-left:141.798904pt;margin-top:64.210083pt;width:28.75pt;height:13.75pt;mso-position-horizontal-relative:page;mso-position-vertical-relative:page;z-index:-27348480" type="#_x0000_t202" id="docshape499" filled="false" stroked="false">
              <v:textbox inset="0,0,0,0">
                <w:txbxContent>
                  <w:p>
                    <w:pPr>
                      <w:spacing w:before="13"/>
                      <w:ind w:left="20" w:right="0" w:firstLine="0"/>
                      <w:jc w:val="left"/>
                      <w:rPr>
                        <w:b/>
                        <w:sz w:val="21"/>
                      </w:rPr>
                    </w:pPr>
                    <w:r>
                      <w:rPr>
                        <w:b/>
                        <w:color w:val="0A0A0A"/>
                        <w:spacing w:val="-4"/>
                        <w:w w:val="105"/>
                        <w:sz w:val="21"/>
                      </w:rPr>
                      <w:t>Term</w:t>
                    </w:r>
                  </w:p>
                </w:txbxContent>
              </v:textbox>
              <w10:wrap type="none"/>
            </v:shape>
          </w:pict>
        </mc:Fallback>
      </mc:AlternateContent>
    </w:r>
    <w:r>
      <w:rPr/>
      <mc:AlternateContent>
        <mc:Choice Requires="wps">
          <w:drawing>
            <wp:anchor distT="0" distB="0" distL="0" distR="0" allowOverlap="1" layoutInCell="1" locked="0" behindDoc="1" simplePos="0" relativeHeight="475968512">
              <wp:simplePos x="0" y="0"/>
              <wp:positionH relativeFrom="page">
                <wp:posOffset>4587453</wp:posOffset>
              </wp:positionH>
              <wp:positionV relativeFrom="page">
                <wp:posOffset>815468</wp:posOffset>
              </wp:positionV>
              <wp:extent cx="658495" cy="174625"/>
              <wp:effectExtent l="0" t="0" r="0" b="0"/>
              <wp:wrapNone/>
              <wp:docPr id="771" name="Textbox 771"/>
              <wp:cNvGraphicFramePr>
                <a:graphicFrameLocks/>
              </wp:cNvGraphicFramePr>
              <a:graphic>
                <a:graphicData uri="http://schemas.microsoft.com/office/word/2010/wordprocessingShape">
                  <wps:wsp>
                    <wps:cNvPr id="771" name="Textbox 771"/>
                    <wps:cNvSpPr txBox="1"/>
                    <wps:spPr>
                      <a:xfrm>
                        <a:off x="0" y="0"/>
                        <a:ext cx="658495" cy="174625"/>
                      </a:xfrm>
                      <a:prstGeom prst="rect">
                        <a:avLst/>
                      </a:prstGeom>
                    </wps:spPr>
                    <wps:txbx>
                      <w:txbxContent>
                        <w:p>
                          <w:pPr>
                            <w:spacing w:before="13"/>
                            <w:ind w:left="20" w:right="0" w:firstLine="0"/>
                            <w:jc w:val="left"/>
                            <w:rPr>
                              <w:b/>
                              <w:sz w:val="21"/>
                            </w:rPr>
                          </w:pPr>
                          <w:r>
                            <w:rPr>
                              <w:b/>
                              <w:color w:val="0A0A0A"/>
                              <w:spacing w:val="-2"/>
                              <w:w w:val="105"/>
                              <w:sz w:val="21"/>
                            </w:rPr>
                            <w:t>Definition</w:t>
                          </w:r>
                        </w:p>
                      </w:txbxContent>
                    </wps:txbx>
                    <wps:bodyPr wrap="square" lIns="0" tIns="0" rIns="0" bIns="0" rtlCol="0">
                      <a:noAutofit/>
                    </wps:bodyPr>
                  </wps:wsp>
                </a:graphicData>
              </a:graphic>
            </wp:anchor>
          </w:drawing>
        </mc:Choice>
        <mc:Fallback>
          <w:pict>
            <v:shape style="position:absolute;margin-left:361.216797pt;margin-top:64.210083pt;width:51.85pt;height:13.75pt;mso-position-horizontal-relative:page;mso-position-vertical-relative:page;z-index:-27347968" type="#_x0000_t202" id="docshape500" filled="false" stroked="false">
              <v:textbox inset="0,0,0,0">
                <w:txbxContent>
                  <w:p>
                    <w:pPr>
                      <w:spacing w:before="13"/>
                      <w:ind w:left="20" w:right="0" w:firstLine="0"/>
                      <w:jc w:val="left"/>
                      <w:rPr>
                        <w:b/>
                        <w:sz w:val="21"/>
                      </w:rPr>
                    </w:pPr>
                    <w:r>
                      <w:rPr>
                        <w:b/>
                        <w:color w:val="0A0A0A"/>
                        <w:spacing w:val="-2"/>
                        <w:w w:val="105"/>
                        <w:sz w:val="21"/>
                      </w:rPr>
                      <w:t>Definition</w:t>
                    </w:r>
                  </w:p>
                </w:txbxContent>
              </v:textbox>
              <w10:wrap type="none"/>
            </v:shape>
          </w:pict>
        </mc:Fallback>
      </mc:AlternateContent>
    </w:r>
  </w:p>
</w:hdr>
</file>

<file path=word/header1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70048">
              <wp:simplePos x="0" y="0"/>
              <wp:positionH relativeFrom="page">
                <wp:posOffset>809583</wp:posOffset>
              </wp:positionH>
              <wp:positionV relativeFrom="page">
                <wp:posOffset>456358</wp:posOffset>
              </wp:positionV>
              <wp:extent cx="571500" cy="132080"/>
              <wp:effectExtent l="0" t="0" r="0" b="0"/>
              <wp:wrapNone/>
              <wp:docPr id="775" name="Textbox 775"/>
              <wp:cNvGraphicFramePr>
                <a:graphicFrameLocks/>
              </wp:cNvGraphicFramePr>
              <a:graphic>
                <a:graphicData uri="http://schemas.microsoft.com/office/word/2010/wordprocessingShape">
                  <wps:wsp>
                    <wps:cNvPr id="775" name="Textbox 775"/>
                    <wps:cNvSpPr txBox="1"/>
                    <wps:spPr>
                      <a:xfrm>
                        <a:off x="0" y="0"/>
                        <a:ext cx="571500" cy="132080"/>
                      </a:xfrm>
                      <a:prstGeom prst="rect">
                        <a:avLst/>
                      </a:prstGeom>
                    </wps:spPr>
                    <wps:txbx>
                      <w:txbxContent>
                        <w:p>
                          <w:pPr>
                            <w:spacing w:before="15"/>
                            <w:ind w:left="20" w:right="0" w:firstLine="0"/>
                            <w:jc w:val="left"/>
                            <w:rPr>
                              <w:sz w:val="15"/>
                            </w:rPr>
                          </w:pPr>
                          <w:r>
                            <w:rPr>
                              <w:color w:val="ACACAC"/>
                              <w:spacing w:val="-2"/>
                              <w:w w:val="110"/>
                              <w:sz w:val="15"/>
                            </w:rPr>
                            <w:t>GLOSSAR'i</w:t>
                          </w:r>
                        </w:p>
                      </w:txbxContent>
                    </wps:txbx>
                    <wps:bodyPr wrap="square" lIns="0" tIns="0" rIns="0" bIns="0" rtlCol="0">
                      <a:noAutofit/>
                    </wps:bodyPr>
                  </wps:wsp>
                </a:graphicData>
              </a:graphic>
            </wp:anchor>
          </w:drawing>
        </mc:Choice>
        <mc:Fallback>
          <w:pict>
            <v:shape style="position:absolute;margin-left:63.746761pt;margin-top:35.933704pt;width:45pt;height:10.4pt;mso-position-horizontal-relative:page;mso-position-vertical-relative:page;z-index:-27346432" type="#_x0000_t202" id="docshape503" filled="false" stroked="false">
              <v:textbox inset="0,0,0,0">
                <w:txbxContent>
                  <w:p>
                    <w:pPr>
                      <w:spacing w:before="15"/>
                      <w:ind w:left="20" w:right="0" w:firstLine="0"/>
                      <w:jc w:val="left"/>
                      <w:rPr>
                        <w:sz w:val="15"/>
                      </w:rPr>
                    </w:pPr>
                    <w:r>
                      <w:rPr>
                        <w:color w:val="ACACAC"/>
                        <w:spacing w:val="-2"/>
                        <w:w w:val="110"/>
                        <w:sz w:val="15"/>
                      </w:rPr>
                      <w:t>GLOSSAR'i</w:t>
                    </w:r>
                  </w:p>
                </w:txbxContent>
              </v:textbox>
              <w10:wrap type="none"/>
            </v:shape>
          </w:pict>
        </mc:Fallback>
      </mc:AlternateContent>
    </w:r>
    <w:r>
      <w:rPr/>
      <mc:AlternateContent>
        <mc:Choice Requires="wps">
          <w:drawing>
            <wp:anchor distT="0" distB="0" distL="0" distR="0" allowOverlap="1" layoutInCell="1" locked="0" behindDoc="1" simplePos="0" relativeHeight="475970560">
              <wp:simplePos x="0" y="0"/>
              <wp:positionH relativeFrom="page">
                <wp:posOffset>4422595</wp:posOffset>
              </wp:positionH>
              <wp:positionV relativeFrom="page">
                <wp:posOffset>720872</wp:posOffset>
              </wp:positionV>
              <wp:extent cx="658495" cy="174625"/>
              <wp:effectExtent l="0" t="0" r="0" b="0"/>
              <wp:wrapNone/>
              <wp:docPr id="776" name="Textbox 776"/>
              <wp:cNvGraphicFramePr>
                <a:graphicFrameLocks/>
              </wp:cNvGraphicFramePr>
              <a:graphic>
                <a:graphicData uri="http://schemas.microsoft.com/office/word/2010/wordprocessingShape">
                  <wps:wsp>
                    <wps:cNvPr id="776" name="Textbox 776"/>
                    <wps:cNvSpPr txBox="1"/>
                    <wps:spPr>
                      <a:xfrm>
                        <a:off x="0" y="0"/>
                        <a:ext cx="658495" cy="174625"/>
                      </a:xfrm>
                      <a:prstGeom prst="rect">
                        <a:avLst/>
                      </a:prstGeom>
                    </wps:spPr>
                    <wps:txbx>
                      <w:txbxContent>
                        <w:p>
                          <w:pPr>
                            <w:spacing w:before="13"/>
                            <w:ind w:left="20" w:right="0" w:firstLine="0"/>
                            <w:jc w:val="left"/>
                            <w:rPr>
                              <w:b/>
                              <w:sz w:val="21"/>
                            </w:rPr>
                          </w:pPr>
                          <w:r>
                            <w:rPr>
                              <w:b/>
                              <w:color w:val="0E0E0E"/>
                              <w:spacing w:val="-2"/>
                              <w:w w:val="105"/>
                              <w:sz w:val="21"/>
                            </w:rPr>
                            <w:t>Definition</w:t>
                          </w:r>
                        </w:p>
                      </w:txbxContent>
                    </wps:txbx>
                    <wps:bodyPr wrap="square" lIns="0" tIns="0" rIns="0" bIns="0" rtlCol="0">
                      <a:noAutofit/>
                    </wps:bodyPr>
                  </wps:wsp>
                </a:graphicData>
              </a:graphic>
            </wp:anchor>
          </w:drawing>
        </mc:Choice>
        <mc:Fallback>
          <w:pict>
            <v:shape style="position:absolute;margin-left:348.235901pt;margin-top:56.761585pt;width:51.85pt;height:13.75pt;mso-position-horizontal-relative:page;mso-position-vertical-relative:page;z-index:-27345920" type="#_x0000_t202" id="docshape504" filled="false" stroked="false">
              <v:textbox inset="0,0,0,0">
                <w:txbxContent>
                  <w:p>
                    <w:pPr>
                      <w:spacing w:before="13"/>
                      <w:ind w:left="20" w:right="0" w:firstLine="0"/>
                      <w:jc w:val="left"/>
                      <w:rPr>
                        <w:b/>
                        <w:sz w:val="21"/>
                      </w:rPr>
                    </w:pPr>
                    <w:r>
                      <w:rPr>
                        <w:b/>
                        <w:color w:val="0E0E0E"/>
                        <w:spacing w:val="-2"/>
                        <w:w w:val="105"/>
                        <w:sz w:val="21"/>
                      </w:rPr>
                      <w:t>Definition</w:t>
                    </w:r>
                  </w:p>
                </w:txbxContent>
              </v:textbox>
              <w10:wrap type="none"/>
            </v:shape>
          </w:pict>
        </mc:Fallback>
      </mc:AlternateContent>
    </w:r>
    <w:r>
      <w:rPr/>
      <mc:AlternateContent>
        <mc:Choice Requires="wps">
          <w:drawing>
            <wp:anchor distT="0" distB="0" distL="0" distR="0" allowOverlap="1" layoutInCell="1" locked="0" behindDoc="1" simplePos="0" relativeHeight="475971072">
              <wp:simplePos x="0" y="0"/>
              <wp:positionH relativeFrom="page">
                <wp:posOffset>1642094</wp:posOffset>
              </wp:positionH>
              <wp:positionV relativeFrom="page">
                <wp:posOffset>723923</wp:posOffset>
              </wp:positionV>
              <wp:extent cx="365125" cy="174625"/>
              <wp:effectExtent l="0" t="0" r="0" b="0"/>
              <wp:wrapNone/>
              <wp:docPr id="777" name="Textbox 777"/>
              <wp:cNvGraphicFramePr>
                <a:graphicFrameLocks/>
              </wp:cNvGraphicFramePr>
              <a:graphic>
                <a:graphicData uri="http://schemas.microsoft.com/office/word/2010/wordprocessingShape">
                  <wps:wsp>
                    <wps:cNvPr id="777" name="Textbox 777"/>
                    <wps:cNvSpPr txBox="1"/>
                    <wps:spPr>
                      <a:xfrm>
                        <a:off x="0" y="0"/>
                        <a:ext cx="365125" cy="174625"/>
                      </a:xfrm>
                      <a:prstGeom prst="rect">
                        <a:avLst/>
                      </a:prstGeom>
                    </wps:spPr>
                    <wps:txbx>
                      <w:txbxContent>
                        <w:p>
                          <w:pPr>
                            <w:spacing w:before="13"/>
                            <w:ind w:left="20" w:right="0" w:firstLine="0"/>
                            <w:jc w:val="left"/>
                            <w:rPr>
                              <w:b/>
                              <w:sz w:val="21"/>
                            </w:rPr>
                          </w:pPr>
                          <w:r>
                            <w:rPr>
                              <w:b/>
                              <w:color w:val="0E0E0E"/>
                              <w:spacing w:val="-4"/>
                              <w:w w:val="105"/>
                              <w:sz w:val="21"/>
                            </w:rPr>
                            <w:t>Term</w:t>
                          </w:r>
                        </w:p>
                      </w:txbxContent>
                    </wps:txbx>
                    <wps:bodyPr wrap="square" lIns="0" tIns="0" rIns="0" bIns="0" rtlCol="0">
                      <a:noAutofit/>
                    </wps:bodyPr>
                  </wps:wsp>
                </a:graphicData>
              </a:graphic>
            </wp:anchor>
          </w:drawing>
        </mc:Choice>
        <mc:Fallback>
          <w:pict>
            <v:shape style="position:absolute;margin-left:129.298798pt;margin-top:57.001884pt;width:28.75pt;height:13.75pt;mso-position-horizontal-relative:page;mso-position-vertical-relative:page;z-index:-27345408" type="#_x0000_t202" id="docshape505" filled="false" stroked="false">
              <v:textbox inset="0,0,0,0">
                <w:txbxContent>
                  <w:p>
                    <w:pPr>
                      <w:spacing w:before="13"/>
                      <w:ind w:left="20" w:right="0" w:firstLine="0"/>
                      <w:jc w:val="left"/>
                      <w:rPr>
                        <w:b/>
                        <w:sz w:val="21"/>
                      </w:rPr>
                    </w:pPr>
                    <w:r>
                      <w:rPr>
                        <w:b/>
                        <w:color w:val="0E0E0E"/>
                        <w:spacing w:val="-4"/>
                        <w:w w:val="105"/>
                        <w:sz w:val="21"/>
                      </w:rPr>
                      <w:t>Term</w:t>
                    </w:r>
                  </w:p>
                </w:txbxContent>
              </v:textbox>
              <w10:wrap type="none"/>
            </v:shape>
          </w:pict>
        </mc:Fallback>
      </mc:AlternateContent>
    </w:r>
  </w:p>
</w:hdr>
</file>

<file path=word/header1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72608">
              <wp:simplePos x="0" y="0"/>
              <wp:positionH relativeFrom="page">
                <wp:posOffset>806868</wp:posOffset>
              </wp:positionH>
              <wp:positionV relativeFrom="page">
                <wp:posOffset>462113</wp:posOffset>
              </wp:positionV>
              <wp:extent cx="573405" cy="125095"/>
              <wp:effectExtent l="0" t="0" r="0" b="0"/>
              <wp:wrapNone/>
              <wp:docPr id="780" name="Textbox 780"/>
              <wp:cNvGraphicFramePr>
                <a:graphicFrameLocks/>
              </wp:cNvGraphicFramePr>
              <a:graphic>
                <a:graphicData uri="http://schemas.microsoft.com/office/word/2010/wordprocessingShape">
                  <wps:wsp>
                    <wps:cNvPr id="780" name="Textbox 780"/>
                    <wps:cNvSpPr txBox="1"/>
                    <wps:spPr>
                      <a:xfrm>
                        <a:off x="0" y="0"/>
                        <a:ext cx="573405" cy="125095"/>
                      </a:xfrm>
                      <a:prstGeom prst="rect">
                        <a:avLst/>
                      </a:prstGeom>
                    </wps:spPr>
                    <wps:txbx>
                      <w:txbxContent>
                        <w:p>
                          <w:pPr>
                            <w:spacing w:before="15"/>
                            <w:ind w:left="20" w:right="0" w:firstLine="0"/>
                            <w:jc w:val="left"/>
                            <w:rPr>
                              <w:sz w:val="14"/>
                            </w:rPr>
                          </w:pPr>
                          <w:r>
                            <w:rPr>
                              <w:color w:val="AAAAAA"/>
                              <w:spacing w:val="-2"/>
                              <w:w w:val="110"/>
                              <w:sz w:val="14"/>
                            </w:rPr>
                            <w:t>GLOSSARY</w:t>
                          </w:r>
                        </w:p>
                      </w:txbxContent>
                    </wps:txbx>
                    <wps:bodyPr wrap="square" lIns="0" tIns="0" rIns="0" bIns="0" rtlCol="0">
                      <a:noAutofit/>
                    </wps:bodyPr>
                  </wps:wsp>
                </a:graphicData>
              </a:graphic>
            </wp:anchor>
          </w:drawing>
        </mc:Choice>
        <mc:Fallback>
          <w:pict>
            <v:shape style="position:absolute;margin-left:63.532921pt;margin-top:36.38686pt;width:45.15pt;height:9.85pt;mso-position-horizontal-relative:page;mso-position-vertical-relative:page;z-index:-27343872" type="#_x0000_t202" id="docshape508" filled="false" stroked="false">
              <v:textbox inset="0,0,0,0">
                <w:txbxContent>
                  <w:p>
                    <w:pPr>
                      <w:spacing w:before="15"/>
                      <w:ind w:left="20" w:right="0" w:firstLine="0"/>
                      <w:jc w:val="left"/>
                      <w:rPr>
                        <w:sz w:val="14"/>
                      </w:rPr>
                    </w:pPr>
                    <w:r>
                      <w:rPr>
                        <w:color w:val="AAAAAA"/>
                        <w:spacing w:val="-2"/>
                        <w:w w:val="110"/>
                        <w:sz w:val="14"/>
                      </w:rPr>
                      <w:t>GLOSSARY</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2288">
              <wp:simplePos x="0" y="0"/>
              <wp:positionH relativeFrom="page">
                <wp:posOffset>893354</wp:posOffset>
              </wp:positionH>
              <wp:positionV relativeFrom="page">
                <wp:posOffset>282074</wp:posOffset>
              </wp:positionV>
              <wp:extent cx="1253490" cy="125095"/>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253490" cy="125095"/>
                      </a:xfrm>
                      <a:prstGeom prst="rect">
                        <a:avLst/>
                      </a:prstGeom>
                    </wps:spPr>
                    <wps:txbx>
                      <w:txbxContent>
                        <w:p>
                          <w:pPr>
                            <w:spacing w:before="15"/>
                            <w:ind w:left="20" w:right="0" w:firstLine="0"/>
                            <w:jc w:val="left"/>
                            <w:rPr>
                              <w:sz w:val="14"/>
                            </w:rPr>
                          </w:pPr>
                          <w:r>
                            <w:rPr>
                              <w:color w:val="A1A1A1"/>
                              <w:w w:val="110"/>
                              <w:sz w:val="14"/>
                            </w:rPr>
                            <w:t>NARRATIVE</w:t>
                          </w:r>
                          <w:r>
                            <w:rPr>
                              <w:color w:val="A1A1A1"/>
                              <w:spacing w:val="41"/>
                              <w:w w:val="110"/>
                              <w:sz w:val="14"/>
                            </w:rPr>
                            <w:t> </w:t>
                          </w:r>
                          <w:r>
                            <w:rPr>
                              <w:color w:val="A1A1A1"/>
                              <w:spacing w:val="-2"/>
                              <w:w w:val="110"/>
                              <w:sz w:val="14"/>
                            </w:rPr>
                            <w:t>ST.ATEMENT</w:t>
                          </w:r>
                        </w:p>
                      </w:txbxContent>
                    </wps:txbx>
                    <wps:bodyPr wrap="square" lIns="0" tIns="0" rIns="0" bIns="0" rtlCol="0">
                      <a:noAutofit/>
                    </wps:bodyPr>
                  </wps:wsp>
                </a:graphicData>
              </a:graphic>
            </wp:anchor>
          </w:drawing>
        </mc:Choice>
        <mc:Fallback>
          <w:pict>
            <v:shape style="position:absolute;margin-left:70.342888pt;margin-top:22.210558pt;width:98.7pt;height:9.85pt;mso-position-horizontal-relative:page;mso-position-vertical-relative:page;z-index:-27464192" type="#_x0000_t202" id="docshape41" filled="false" stroked="false">
              <v:textbox inset="0,0,0,0">
                <w:txbxContent>
                  <w:p>
                    <w:pPr>
                      <w:spacing w:before="15"/>
                      <w:ind w:left="20" w:right="0" w:firstLine="0"/>
                      <w:jc w:val="left"/>
                      <w:rPr>
                        <w:sz w:val="14"/>
                      </w:rPr>
                    </w:pPr>
                    <w:r>
                      <w:rPr>
                        <w:color w:val="A1A1A1"/>
                        <w:w w:val="110"/>
                        <w:sz w:val="14"/>
                      </w:rPr>
                      <w:t>NARRATIVE</w:t>
                    </w:r>
                    <w:r>
                      <w:rPr>
                        <w:color w:val="A1A1A1"/>
                        <w:spacing w:val="41"/>
                        <w:w w:val="110"/>
                        <w:sz w:val="14"/>
                      </w:rPr>
                      <w:t> </w:t>
                    </w:r>
                    <w:r>
                      <w:rPr>
                        <w:color w:val="A1A1A1"/>
                        <w:spacing w:val="-2"/>
                        <w:w w:val="110"/>
                        <w:sz w:val="14"/>
                      </w:rPr>
                      <w:t>ST.ATEMENT</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4848">
              <wp:simplePos x="0" y="0"/>
              <wp:positionH relativeFrom="page">
                <wp:posOffset>890301</wp:posOffset>
              </wp:positionH>
              <wp:positionV relativeFrom="page">
                <wp:posOffset>291229</wp:posOffset>
              </wp:positionV>
              <wp:extent cx="1246505" cy="125095"/>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1246505" cy="125095"/>
                      </a:xfrm>
                      <a:prstGeom prst="rect">
                        <a:avLst/>
                      </a:prstGeom>
                    </wps:spPr>
                    <wps:txbx>
                      <w:txbxContent>
                        <w:p>
                          <w:pPr>
                            <w:spacing w:before="15"/>
                            <w:ind w:left="20" w:right="0" w:firstLine="0"/>
                            <w:jc w:val="left"/>
                            <w:rPr>
                              <w:sz w:val="14"/>
                            </w:rPr>
                          </w:pPr>
                          <w:r>
                            <w:rPr>
                              <w:color w:val="A5A5A5"/>
                              <w:w w:val="115"/>
                              <w:sz w:val="14"/>
                            </w:rPr>
                            <w:t>NARRATiVE</w:t>
                          </w:r>
                          <w:r>
                            <w:rPr>
                              <w:color w:val="A5A5A5"/>
                              <w:spacing w:val="-3"/>
                              <w:w w:val="115"/>
                              <w:sz w:val="14"/>
                            </w:rPr>
                            <w:t> </w:t>
                          </w:r>
                          <w:r>
                            <w:rPr>
                              <w:color w:val="A5A5A5"/>
                              <w:spacing w:val="-2"/>
                              <w:w w:val="115"/>
                              <w:sz w:val="14"/>
                            </w:rPr>
                            <w:t>:STAfENlENT</w:t>
                          </w:r>
                        </w:p>
                      </w:txbxContent>
                    </wps:txbx>
                    <wps:bodyPr wrap="square" lIns="0" tIns="0" rIns="0" bIns="0" rtlCol="0">
                      <a:noAutofit/>
                    </wps:bodyPr>
                  </wps:wsp>
                </a:graphicData>
              </a:graphic>
            </wp:anchor>
          </w:drawing>
        </mc:Choice>
        <mc:Fallback>
          <w:pict>
            <v:shape style="position:absolute;margin-left:70.102501pt;margin-top:22.931458pt;width:98.15pt;height:9.85pt;mso-position-horizontal-relative:page;mso-position-vertical-relative:page;z-index:-27461632" type="#_x0000_t202" id="docshape50" filled="false" stroked="false">
              <v:textbox inset="0,0,0,0">
                <w:txbxContent>
                  <w:p>
                    <w:pPr>
                      <w:spacing w:before="15"/>
                      <w:ind w:left="20" w:right="0" w:firstLine="0"/>
                      <w:jc w:val="left"/>
                      <w:rPr>
                        <w:sz w:val="14"/>
                      </w:rPr>
                    </w:pPr>
                    <w:r>
                      <w:rPr>
                        <w:color w:val="A5A5A5"/>
                        <w:w w:val="115"/>
                        <w:sz w:val="14"/>
                      </w:rPr>
                      <w:t>NARRATiVE</w:t>
                    </w:r>
                    <w:r>
                      <w:rPr>
                        <w:color w:val="A5A5A5"/>
                        <w:spacing w:val="-3"/>
                        <w:w w:val="115"/>
                        <w:sz w:val="14"/>
                      </w:rPr>
                      <w:t> </w:t>
                    </w:r>
                    <w:r>
                      <w:rPr>
                        <w:color w:val="A5A5A5"/>
                        <w:spacing w:val="-2"/>
                        <w:w w:val="115"/>
                        <w:sz w:val="14"/>
                      </w:rPr>
                      <w:t>:STAfENlENT</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1536">
              <wp:simplePos x="0" y="0"/>
              <wp:positionH relativeFrom="page">
                <wp:posOffset>1060018</wp:posOffset>
              </wp:positionH>
              <wp:positionV relativeFrom="page">
                <wp:posOffset>364465</wp:posOffset>
              </wp:positionV>
              <wp:extent cx="1266825" cy="12509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1266825" cy="125095"/>
                      </a:xfrm>
                      <a:prstGeom prst="rect">
                        <a:avLst/>
                      </a:prstGeom>
                    </wps:spPr>
                    <wps:txbx>
                      <w:txbxContent>
                        <w:p>
                          <w:pPr>
                            <w:spacing w:before="15"/>
                            <w:ind w:left="20" w:right="0" w:firstLine="0"/>
                            <w:jc w:val="left"/>
                            <w:rPr>
                              <w:sz w:val="14"/>
                            </w:rPr>
                          </w:pPr>
                          <w:r>
                            <w:rPr>
                              <w:color w:val="4B4B4B"/>
                              <w:spacing w:val="-4"/>
                              <w:sz w:val="14"/>
                            </w:rPr>
                            <w:t>:\1..'I.RRA</w:t>
                          </w:r>
                          <w:r>
                            <w:rPr>
                              <w:color w:val="4B4B4B"/>
                              <w:spacing w:val="-12"/>
                              <w:sz w:val="14"/>
                            </w:rPr>
                            <w:t> </w:t>
                          </w:r>
                          <w:r>
                            <w:rPr>
                              <w:color w:val="363636"/>
                              <w:spacing w:val="-4"/>
                              <w:sz w:val="14"/>
                            </w:rPr>
                            <w:t>TPJE</w:t>
                          </w:r>
                          <w:r>
                            <w:rPr>
                              <w:color w:val="363636"/>
                              <w:spacing w:val="-1"/>
                              <w:sz w:val="14"/>
                            </w:rPr>
                            <w:t> </w:t>
                          </w:r>
                          <w:r>
                            <w:rPr>
                              <w:color w:val="151515"/>
                              <w:spacing w:val="-4"/>
                              <w:sz w:val="14"/>
                            </w:rPr>
                            <w:t>STATEMENT</w:t>
                          </w:r>
                        </w:p>
                      </w:txbxContent>
                    </wps:txbx>
                    <wps:bodyPr wrap="square" lIns="0" tIns="0" rIns="0" bIns="0" rtlCol="0">
                      <a:noAutofit/>
                    </wps:bodyPr>
                  </wps:wsp>
                </a:graphicData>
              </a:graphic>
            </wp:anchor>
          </w:drawing>
        </mc:Choice>
        <mc:Fallback>
          <w:pict>
            <v:shape style="position:absolute;margin-left:83.466019pt;margin-top:28.698059pt;width:99.75pt;height:9.85pt;mso-position-horizontal-relative:page;mso-position-vertical-relative:page;z-index:-27474944" type="#_x0000_t202" id="docshape15" filled="false" stroked="false">
              <v:textbox inset="0,0,0,0">
                <w:txbxContent>
                  <w:p>
                    <w:pPr>
                      <w:spacing w:before="15"/>
                      <w:ind w:left="20" w:right="0" w:firstLine="0"/>
                      <w:jc w:val="left"/>
                      <w:rPr>
                        <w:sz w:val="14"/>
                      </w:rPr>
                    </w:pPr>
                    <w:r>
                      <w:rPr>
                        <w:color w:val="4B4B4B"/>
                        <w:spacing w:val="-4"/>
                        <w:sz w:val="14"/>
                      </w:rPr>
                      <w:t>:\1..'I.RRA</w:t>
                    </w:r>
                    <w:r>
                      <w:rPr>
                        <w:color w:val="4B4B4B"/>
                        <w:spacing w:val="-12"/>
                        <w:sz w:val="14"/>
                      </w:rPr>
                      <w:t> </w:t>
                    </w:r>
                    <w:r>
                      <w:rPr>
                        <w:color w:val="363636"/>
                        <w:spacing w:val="-4"/>
                        <w:sz w:val="14"/>
                      </w:rPr>
                      <w:t>TPJE</w:t>
                    </w:r>
                    <w:r>
                      <w:rPr>
                        <w:color w:val="363636"/>
                        <w:spacing w:val="-1"/>
                        <w:sz w:val="14"/>
                      </w:rPr>
                      <w:t> </w:t>
                    </w:r>
                    <w:r>
                      <w:rPr>
                        <w:color w:val="151515"/>
                        <w:spacing w:val="-4"/>
                        <w:sz w:val="14"/>
                      </w:rPr>
                      <w:t>STATEMENT</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5855360">
          <wp:simplePos x="0" y="0"/>
          <wp:positionH relativeFrom="page">
            <wp:posOffset>1074626</wp:posOffset>
          </wp:positionH>
          <wp:positionV relativeFrom="page">
            <wp:posOffset>396706</wp:posOffset>
          </wp:positionV>
          <wp:extent cx="1129578" cy="85441"/>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1" cstate="print"/>
                  <a:stretch>
                    <a:fillRect/>
                  </a:stretch>
                </pic:blipFill>
                <pic:spPr>
                  <a:xfrm>
                    <a:off x="0" y="0"/>
                    <a:ext cx="1129578" cy="85441"/>
                  </a:xfrm>
                  <a:prstGeom prst="rect">
                    <a:avLst/>
                  </a:prstGeom>
                </pic:spPr>
              </pic:pic>
            </a:graphicData>
          </a:graphic>
        </wp:anchor>
      </w:drawing>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6896">
              <wp:simplePos x="0" y="0"/>
              <wp:positionH relativeFrom="page">
                <wp:posOffset>893354</wp:posOffset>
              </wp:positionH>
              <wp:positionV relativeFrom="page">
                <wp:posOffset>294281</wp:posOffset>
              </wp:positionV>
              <wp:extent cx="1253490" cy="125095"/>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1253490" cy="125095"/>
                      </a:xfrm>
                      <a:prstGeom prst="rect">
                        <a:avLst/>
                      </a:prstGeom>
                    </wps:spPr>
                    <wps:txbx>
                      <w:txbxContent>
                        <w:p>
                          <w:pPr>
                            <w:spacing w:before="15"/>
                            <w:ind w:left="20" w:right="0" w:firstLine="0"/>
                            <w:jc w:val="left"/>
                            <w:rPr>
                              <w:sz w:val="14"/>
                            </w:rPr>
                          </w:pPr>
                          <w:r>
                            <w:rPr>
                              <w:color w:val="A3A3A3"/>
                              <w:spacing w:val="-2"/>
                              <w:w w:val="115"/>
                              <w:sz w:val="14"/>
                            </w:rPr>
                            <w:t>NARRATIVE</w:t>
                          </w:r>
                          <w:r>
                            <w:rPr>
                              <w:color w:val="A3A3A3"/>
                              <w:spacing w:val="17"/>
                              <w:w w:val="115"/>
                              <w:sz w:val="14"/>
                            </w:rPr>
                            <w:t> </w:t>
                          </w:r>
                          <w:r>
                            <w:rPr>
                              <w:color w:val="A3A3A3"/>
                              <w:spacing w:val="-2"/>
                              <w:w w:val="115"/>
                              <w:sz w:val="14"/>
                            </w:rPr>
                            <w:t>STATEMENT</w:t>
                          </w:r>
                        </w:p>
                      </w:txbxContent>
                    </wps:txbx>
                    <wps:bodyPr wrap="square" lIns="0" tIns="0" rIns="0" bIns="0" rtlCol="0">
                      <a:noAutofit/>
                    </wps:bodyPr>
                  </wps:wsp>
                </a:graphicData>
              </a:graphic>
            </wp:anchor>
          </w:drawing>
        </mc:Choice>
        <mc:Fallback>
          <w:pict>
            <v:shape style="position:absolute;margin-left:70.342888pt;margin-top:23.171759pt;width:98.7pt;height:9.85pt;mso-position-horizontal-relative:page;mso-position-vertical-relative:page;z-index:-27459584" type="#_x0000_t202" id="docshape53" filled="false" stroked="false">
              <v:textbox inset="0,0,0,0">
                <w:txbxContent>
                  <w:p>
                    <w:pPr>
                      <w:spacing w:before="15"/>
                      <w:ind w:left="20" w:right="0" w:firstLine="0"/>
                      <w:jc w:val="left"/>
                      <w:rPr>
                        <w:sz w:val="14"/>
                      </w:rPr>
                    </w:pPr>
                    <w:r>
                      <w:rPr>
                        <w:color w:val="A3A3A3"/>
                        <w:spacing w:val="-2"/>
                        <w:w w:val="115"/>
                        <w:sz w:val="14"/>
                      </w:rPr>
                      <w:t>NARRATIVE</w:t>
                    </w:r>
                    <w:r>
                      <w:rPr>
                        <w:color w:val="A3A3A3"/>
                        <w:spacing w:val="17"/>
                        <w:w w:val="115"/>
                        <w:sz w:val="14"/>
                      </w:rPr>
                      <w:t> </w:t>
                    </w:r>
                    <w:r>
                      <w:rPr>
                        <w:color w:val="A3A3A3"/>
                        <w:spacing w:val="-2"/>
                        <w:w w:val="115"/>
                        <w:sz w:val="14"/>
                      </w:rPr>
                      <w:t>STATEMENT</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5857408">
          <wp:simplePos x="0" y="0"/>
          <wp:positionH relativeFrom="page">
            <wp:posOffset>1074626</wp:posOffset>
          </wp:positionH>
          <wp:positionV relativeFrom="page">
            <wp:posOffset>396706</wp:posOffset>
          </wp:positionV>
          <wp:extent cx="1129578" cy="85441"/>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1" cstate="print"/>
                  <a:stretch>
                    <a:fillRect/>
                  </a:stretch>
                </pic:blipFill>
                <pic:spPr>
                  <a:xfrm>
                    <a:off x="0" y="0"/>
                    <a:ext cx="1129578" cy="85441"/>
                  </a:xfrm>
                  <a:prstGeom prst="rect">
                    <a:avLst/>
                  </a:prstGeom>
                </pic:spPr>
              </pic:pic>
            </a:graphicData>
          </a:graphic>
        </wp:anchor>
      </w:drawing>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58944">
              <wp:simplePos x="0" y="0"/>
              <wp:positionH relativeFrom="page">
                <wp:posOffset>893354</wp:posOffset>
              </wp:positionH>
              <wp:positionV relativeFrom="page">
                <wp:posOffset>294281</wp:posOffset>
              </wp:positionV>
              <wp:extent cx="1253490" cy="12509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1253490" cy="125095"/>
                      </a:xfrm>
                      <a:prstGeom prst="rect">
                        <a:avLst/>
                      </a:prstGeom>
                    </wps:spPr>
                    <wps:txbx>
                      <w:txbxContent>
                        <w:p>
                          <w:pPr>
                            <w:spacing w:before="15"/>
                            <w:ind w:left="20" w:right="0" w:firstLine="0"/>
                            <w:jc w:val="left"/>
                            <w:rPr>
                              <w:sz w:val="14"/>
                            </w:rPr>
                          </w:pPr>
                          <w:r>
                            <w:rPr>
                              <w:color w:val="A1A1A1"/>
                              <w:w w:val="115"/>
                              <w:sz w:val="14"/>
                            </w:rPr>
                            <w:t>NARRA</w:t>
                          </w:r>
                          <w:r>
                            <w:rPr>
                              <w:color w:val="A1A1A1"/>
                              <w:spacing w:val="-20"/>
                              <w:w w:val="115"/>
                              <w:sz w:val="14"/>
                            </w:rPr>
                            <w:t> </w:t>
                          </w:r>
                          <w:r>
                            <w:rPr>
                              <w:color w:val="A1A1A1"/>
                              <w:w w:val="115"/>
                              <w:sz w:val="14"/>
                            </w:rPr>
                            <w:t>TI\/E</w:t>
                          </w:r>
                          <w:r>
                            <w:rPr>
                              <w:color w:val="A1A1A1"/>
                              <w:spacing w:val="-8"/>
                              <w:w w:val="115"/>
                              <w:sz w:val="14"/>
                            </w:rPr>
                            <w:t> </w:t>
                          </w:r>
                          <w:r>
                            <w:rPr>
                              <w:color w:val="A1A1A1"/>
                              <w:spacing w:val="-2"/>
                              <w:w w:val="115"/>
                              <w:sz w:val="14"/>
                            </w:rPr>
                            <w:t>STATEMENT</w:t>
                          </w:r>
                        </w:p>
                      </w:txbxContent>
                    </wps:txbx>
                    <wps:bodyPr wrap="square" lIns="0" tIns="0" rIns="0" bIns="0" rtlCol="0">
                      <a:noAutofit/>
                    </wps:bodyPr>
                  </wps:wsp>
                </a:graphicData>
              </a:graphic>
            </wp:anchor>
          </w:drawing>
        </mc:Choice>
        <mc:Fallback>
          <w:pict>
            <v:shape style="position:absolute;margin-left:70.342888pt;margin-top:23.171759pt;width:98.7pt;height:9.85pt;mso-position-horizontal-relative:page;mso-position-vertical-relative:page;z-index:-27457536" type="#_x0000_t202" id="docshape56" filled="false" stroked="false">
              <v:textbox inset="0,0,0,0">
                <w:txbxContent>
                  <w:p>
                    <w:pPr>
                      <w:spacing w:before="15"/>
                      <w:ind w:left="20" w:right="0" w:firstLine="0"/>
                      <w:jc w:val="left"/>
                      <w:rPr>
                        <w:sz w:val="14"/>
                      </w:rPr>
                    </w:pPr>
                    <w:r>
                      <w:rPr>
                        <w:color w:val="A1A1A1"/>
                        <w:w w:val="115"/>
                        <w:sz w:val="14"/>
                      </w:rPr>
                      <w:t>NARRA</w:t>
                    </w:r>
                    <w:r>
                      <w:rPr>
                        <w:color w:val="A1A1A1"/>
                        <w:spacing w:val="-20"/>
                        <w:w w:val="115"/>
                        <w:sz w:val="14"/>
                      </w:rPr>
                      <w:t> </w:t>
                    </w:r>
                    <w:r>
                      <w:rPr>
                        <w:color w:val="A1A1A1"/>
                        <w:w w:val="115"/>
                        <w:sz w:val="14"/>
                      </w:rPr>
                      <w:t>TI\/E</w:t>
                    </w:r>
                    <w:r>
                      <w:rPr>
                        <w:color w:val="A1A1A1"/>
                        <w:spacing w:val="-8"/>
                        <w:w w:val="115"/>
                        <w:sz w:val="14"/>
                      </w:rPr>
                      <w:t> </w:t>
                    </w:r>
                    <w:r>
                      <w:rPr>
                        <w:color w:val="A1A1A1"/>
                        <w:spacing w:val="-2"/>
                        <w:w w:val="115"/>
                        <w:sz w:val="14"/>
                      </w:rPr>
                      <w:t>STATEMENT</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5859456">
          <wp:simplePos x="0" y="0"/>
          <wp:positionH relativeFrom="page">
            <wp:posOffset>1074626</wp:posOffset>
          </wp:positionH>
          <wp:positionV relativeFrom="page">
            <wp:posOffset>396706</wp:posOffset>
          </wp:positionV>
          <wp:extent cx="1129578" cy="85441"/>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1" cstate="print"/>
                  <a:stretch>
                    <a:fillRect/>
                  </a:stretch>
                </pic:blipFill>
                <pic:spPr>
                  <a:xfrm>
                    <a:off x="0" y="0"/>
                    <a:ext cx="1129578" cy="85441"/>
                  </a:xfrm>
                  <a:prstGeom prst="rect">
                    <a:avLst/>
                  </a:prstGeom>
                </pic:spPr>
              </pic:pic>
            </a:graphicData>
          </a:graphic>
        </wp:anchor>
      </w:drawing>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3072">
              <wp:simplePos x="0" y="0"/>
              <wp:positionH relativeFrom="page">
                <wp:posOffset>908619</wp:posOffset>
              </wp:positionH>
              <wp:positionV relativeFrom="page">
                <wp:posOffset>266817</wp:posOffset>
              </wp:positionV>
              <wp:extent cx="1253490" cy="12509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1253490" cy="125095"/>
                      </a:xfrm>
                      <a:prstGeom prst="rect">
                        <a:avLst/>
                      </a:prstGeom>
                    </wps:spPr>
                    <wps:txbx>
                      <w:txbxContent>
                        <w:p>
                          <w:pPr>
                            <w:spacing w:before="15"/>
                            <w:ind w:left="20" w:right="0" w:firstLine="0"/>
                            <w:jc w:val="left"/>
                            <w:rPr>
                              <w:sz w:val="14"/>
                            </w:rPr>
                          </w:pPr>
                          <w:r>
                            <w:rPr>
                              <w:color w:val="565656"/>
                              <w:w w:val="110"/>
                              <w:sz w:val="14"/>
                            </w:rPr>
                            <w:t>NARRATIVE</w:t>
                          </w:r>
                          <w:r>
                            <w:rPr>
                              <w:color w:val="565656"/>
                              <w:spacing w:val="30"/>
                              <w:w w:val="110"/>
                              <w:sz w:val="14"/>
                            </w:rPr>
                            <w:t> </w:t>
                          </w:r>
                          <w:r>
                            <w:rPr>
                              <w:color w:val="565656"/>
                              <w:w w:val="110"/>
                              <w:sz w:val="14"/>
                            </w:rPr>
                            <w:t>ST,.lTEME</w:t>
                          </w:r>
                          <w:r>
                            <w:rPr>
                              <w:color w:val="565656"/>
                              <w:spacing w:val="2"/>
                              <w:w w:val="110"/>
                              <w:sz w:val="14"/>
                            </w:rPr>
                            <w:t> </w:t>
                          </w:r>
                          <w:r>
                            <w:rPr>
                              <w:color w:val="565656"/>
                              <w:spacing w:val="-5"/>
                              <w:w w:val="110"/>
                              <w:sz w:val="14"/>
                            </w:rPr>
                            <w:t>JT</w:t>
                          </w:r>
                        </w:p>
                      </w:txbxContent>
                    </wps:txbx>
                    <wps:bodyPr wrap="square" lIns="0" tIns="0" rIns="0" bIns="0" rtlCol="0">
                      <a:noAutofit/>
                    </wps:bodyPr>
                  </wps:wsp>
                </a:graphicData>
              </a:graphic>
            </wp:anchor>
          </w:drawing>
        </mc:Choice>
        <mc:Fallback>
          <w:pict>
            <v:shape style="position:absolute;margin-left:71.544823pt;margin-top:21.009258pt;width:98.7pt;height:9.85pt;mso-position-horizontal-relative:page;mso-position-vertical-relative:page;z-index:-27473408" type="#_x0000_t202" id="docshape18" filled="false" stroked="false">
              <v:textbox inset="0,0,0,0">
                <w:txbxContent>
                  <w:p>
                    <w:pPr>
                      <w:spacing w:before="15"/>
                      <w:ind w:left="20" w:right="0" w:firstLine="0"/>
                      <w:jc w:val="left"/>
                      <w:rPr>
                        <w:sz w:val="14"/>
                      </w:rPr>
                    </w:pPr>
                    <w:r>
                      <w:rPr>
                        <w:color w:val="565656"/>
                        <w:w w:val="110"/>
                        <w:sz w:val="14"/>
                      </w:rPr>
                      <w:t>NARRATIVE</w:t>
                    </w:r>
                    <w:r>
                      <w:rPr>
                        <w:color w:val="565656"/>
                        <w:spacing w:val="30"/>
                        <w:w w:val="110"/>
                        <w:sz w:val="14"/>
                      </w:rPr>
                      <w:t> </w:t>
                    </w:r>
                    <w:r>
                      <w:rPr>
                        <w:color w:val="565656"/>
                        <w:w w:val="110"/>
                        <w:sz w:val="14"/>
                      </w:rPr>
                      <w:t>ST,.lTEME</w:t>
                    </w:r>
                    <w:r>
                      <w:rPr>
                        <w:color w:val="565656"/>
                        <w:spacing w:val="2"/>
                        <w:w w:val="110"/>
                        <w:sz w:val="14"/>
                      </w:rPr>
                      <w:t> </w:t>
                    </w:r>
                    <w:r>
                      <w:rPr>
                        <w:color w:val="565656"/>
                        <w:spacing w:val="-5"/>
                        <w:w w:val="110"/>
                        <w:sz w:val="14"/>
                      </w:rPr>
                      <w:t>JT</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4064">
              <wp:simplePos x="0" y="0"/>
              <wp:positionH relativeFrom="page">
                <wp:posOffset>911379</wp:posOffset>
              </wp:positionH>
              <wp:positionV relativeFrom="page">
                <wp:posOffset>447202</wp:posOffset>
              </wp:positionV>
              <wp:extent cx="74930" cy="132080"/>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74930" cy="132080"/>
                      </a:xfrm>
                      <a:prstGeom prst="rect">
                        <a:avLst/>
                      </a:prstGeom>
                    </wps:spPr>
                    <wps:txbx>
                      <w:txbxContent>
                        <w:p>
                          <w:pPr>
                            <w:spacing w:before="15"/>
                            <w:ind w:left="20" w:right="0" w:firstLine="0"/>
                            <w:jc w:val="left"/>
                            <w:rPr>
                              <w:sz w:val="15"/>
                            </w:rPr>
                          </w:pPr>
                          <w:r>
                            <w:rPr>
                              <w:color w:val="A0A0A0"/>
                              <w:spacing w:val="-10"/>
                              <w:sz w:val="15"/>
                            </w:rPr>
                            <w:t>5</w:t>
                          </w:r>
                        </w:p>
                      </w:txbxContent>
                    </wps:txbx>
                    <wps:bodyPr wrap="square" lIns="0" tIns="0" rIns="0" bIns="0" rtlCol="0">
                      <a:noAutofit/>
                    </wps:bodyPr>
                  </wps:wsp>
                </a:graphicData>
              </a:graphic>
            </wp:anchor>
          </w:drawing>
        </mc:Choice>
        <mc:Fallback>
          <w:pict>
            <v:shape style="position:absolute;margin-left:71.762169pt;margin-top:35.212807pt;width:5.9pt;height:10.4pt;mso-position-horizontal-relative:page;mso-position-vertical-relative:page;z-index:-27452416" type="#_x0000_t202" id="docshape77" filled="false" stroked="false">
              <v:textbox inset="0,0,0,0">
                <w:txbxContent>
                  <w:p>
                    <w:pPr>
                      <w:spacing w:before="15"/>
                      <w:ind w:left="20" w:right="0" w:firstLine="0"/>
                      <w:jc w:val="left"/>
                      <w:rPr>
                        <w:sz w:val="15"/>
                      </w:rPr>
                    </w:pPr>
                    <w:r>
                      <w:rPr>
                        <w:color w:val="A0A0A0"/>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864576">
              <wp:simplePos x="0" y="0"/>
              <wp:positionH relativeFrom="page">
                <wp:posOffset>1363019</wp:posOffset>
              </wp:positionH>
              <wp:positionV relativeFrom="page">
                <wp:posOffset>447202</wp:posOffset>
              </wp:positionV>
              <wp:extent cx="1360805" cy="13208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1360805" cy="132080"/>
                      </a:xfrm>
                      <a:prstGeom prst="rect">
                        <a:avLst/>
                      </a:prstGeom>
                    </wps:spPr>
                    <wps:txbx>
                      <w:txbxContent>
                        <w:p>
                          <w:pPr>
                            <w:spacing w:before="15"/>
                            <w:ind w:left="20" w:right="0" w:firstLine="0"/>
                            <w:jc w:val="left"/>
                            <w:rPr>
                              <w:sz w:val="15"/>
                            </w:rPr>
                          </w:pPr>
                          <w:r>
                            <w:rPr>
                              <w:color w:val="A0A0A0"/>
                              <w:w w:val="105"/>
                              <w:sz w:val="15"/>
                            </w:rPr>
                            <w:t>NO</w:t>
                          </w:r>
                          <w:r>
                            <w:rPr>
                              <w:color w:val="A0A0A0"/>
                              <w:spacing w:val="-18"/>
                              <w:w w:val="105"/>
                              <w:sz w:val="15"/>
                            </w:rPr>
                            <w:t> </w:t>
                          </w:r>
                          <w:r>
                            <w:rPr>
                              <w:color w:val="A0A0A0"/>
                              <w:w w:val="105"/>
                              <w:sz w:val="15"/>
                            </w:rPr>
                            <w:t>rES</w:t>
                          </w:r>
                          <w:r>
                            <w:rPr>
                              <w:color w:val="A0A0A0"/>
                              <w:spacing w:val="25"/>
                              <w:w w:val="105"/>
                              <w:sz w:val="15"/>
                            </w:rPr>
                            <w:t> </w:t>
                          </w:r>
                          <w:r>
                            <w:rPr>
                              <w:color w:val="A0A0A0"/>
                              <w:w w:val="105"/>
                              <w:sz w:val="15"/>
                            </w:rPr>
                            <w:t>TO</w:t>
                          </w:r>
                          <w:r>
                            <w:rPr>
                              <w:color w:val="A0A0A0"/>
                              <w:spacing w:val="12"/>
                              <w:w w:val="105"/>
                              <w:sz w:val="15"/>
                            </w:rPr>
                            <w:t> </w:t>
                          </w:r>
                          <w:r>
                            <w:rPr>
                              <w:color w:val="A0A0A0"/>
                              <w:w w:val="105"/>
                              <w:sz w:val="15"/>
                            </w:rPr>
                            <w:t>rHE</w:t>
                          </w:r>
                          <w:r>
                            <w:rPr>
                              <w:color w:val="A0A0A0"/>
                              <w:spacing w:val="26"/>
                              <w:w w:val="105"/>
                              <w:sz w:val="15"/>
                            </w:rPr>
                            <w:t> </w:t>
                          </w:r>
                          <w:r>
                            <w:rPr>
                              <w:color w:val="A0A0A0"/>
                              <w:spacing w:val="-2"/>
                              <w:w w:val="105"/>
                              <w:sz w:val="15"/>
                            </w:rPr>
                            <w:t>.,,cCOUNTS</w:t>
                          </w:r>
                        </w:p>
                      </w:txbxContent>
                    </wps:txbx>
                    <wps:bodyPr wrap="square" lIns="0" tIns="0" rIns="0" bIns="0" rtlCol="0">
                      <a:noAutofit/>
                    </wps:bodyPr>
                  </wps:wsp>
                </a:graphicData>
              </a:graphic>
            </wp:anchor>
          </w:drawing>
        </mc:Choice>
        <mc:Fallback>
          <w:pict>
            <v:shape style="position:absolute;margin-left:107.324402pt;margin-top:35.212807pt;width:107.15pt;height:10.4pt;mso-position-horizontal-relative:page;mso-position-vertical-relative:page;z-index:-27451904" type="#_x0000_t202" id="docshape78" filled="false" stroked="false">
              <v:textbox inset="0,0,0,0">
                <w:txbxContent>
                  <w:p>
                    <w:pPr>
                      <w:spacing w:before="15"/>
                      <w:ind w:left="20" w:right="0" w:firstLine="0"/>
                      <w:jc w:val="left"/>
                      <w:rPr>
                        <w:sz w:val="15"/>
                      </w:rPr>
                    </w:pPr>
                    <w:r>
                      <w:rPr>
                        <w:color w:val="A0A0A0"/>
                        <w:w w:val="105"/>
                        <w:sz w:val="15"/>
                      </w:rPr>
                      <w:t>NO</w:t>
                    </w:r>
                    <w:r>
                      <w:rPr>
                        <w:color w:val="A0A0A0"/>
                        <w:spacing w:val="-18"/>
                        <w:w w:val="105"/>
                        <w:sz w:val="15"/>
                      </w:rPr>
                      <w:t> </w:t>
                    </w:r>
                    <w:r>
                      <w:rPr>
                        <w:color w:val="A0A0A0"/>
                        <w:w w:val="105"/>
                        <w:sz w:val="15"/>
                      </w:rPr>
                      <w:t>rES</w:t>
                    </w:r>
                    <w:r>
                      <w:rPr>
                        <w:color w:val="A0A0A0"/>
                        <w:spacing w:val="25"/>
                        <w:w w:val="105"/>
                        <w:sz w:val="15"/>
                      </w:rPr>
                      <w:t> </w:t>
                    </w:r>
                    <w:r>
                      <w:rPr>
                        <w:color w:val="A0A0A0"/>
                        <w:w w:val="105"/>
                        <w:sz w:val="15"/>
                      </w:rPr>
                      <w:t>TO</w:t>
                    </w:r>
                    <w:r>
                      <w:rPr>
                        <w:color w:val="A0A0A0"/>
                        <w:spacing w:val="12"/>
                        <w:w w:val="105"/>
                        <w:sz w:val="15"/>
                      </w:rPr>
                      <w:t> </w:t>
                    </w:r>
                    <w:r>
                      <w:rPr>
                        <w:color w:val="A0A0A0"/>
                        <w:w w:val="105"/>
                        <w:sz w:val="15"/>
                      </w:rPr>
                      <w:t>rHE</w:t>
                    </w:r>
                    <w:r>
                      <w:rPr>
                        <w:color w:val="A0A0A0"/>
                        <w:spacing w:val="26"/>
                        <w:w w:val="105"/>
                        <w:sz w:val="15"/>
                      </w:rPr>
                      <w:t> </w:t>
                    </w:r>
                    <w:r>
                      <w:rPr>
                        <w:color w:val="A0A0A0"/>
                        <w:spacing w:val="-2"/>
                        <w:w w:val="105"/>
                        <w:sz w:val="15"/>
                      </w:rPr>
                      <w:t>.,,cCOUNTS</w:t>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6112">
              <wp:simplePos x="0" y="0"/>
              <wp:positionH relativeFrom="page">
                <wp:posOffset>902487</wp:posOffset>
              </wp:positionH>
              <wp:positionV relativeFrom="page">
                <wp:posOffset>462113</wp:posOffset>
              </wp:positionV>
              <wp:extent cx="78105" cy="125095"/>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78105" cy="125095"/>
                      </a:xfrm>
                      <a:prstGeom prst="rect">
                        <a:avLst/>
                      </a:prstGeom>
                    </wps:spPr>
                    <wps:txbx>
                      <w:txbxContent>
                        <w:p>
                          <w:pPr>
                            <w:spacing w:before="15"/>
                            <w:ind w:left="20" w:right="0" w:firstLine="0"/>
                            <w:jc w:val="left"/>
                            <w:rPr>
                              <w:sz w:val="14"/>
                            </w:rPr>
                          </w:pPr>
                          <w:r>
                            <w:rPr>
                              <w:color w:val="1C1C1C"/>
                              <w:spacing w:val="-10"/>
                              <w:w w:val="105"/>
                              <w:sz w:val="14"/>
                            </w:rPr>
                            <w:t>5</w:t>
                          </w:r>
                        </w:p>
                      </w:txbxContent>
                    </wps:txbx>
                    <wps:bodyPr wrap="square" lIns="0" tIns="0" rIns="0" bIns="0" rtlCol="0">
                      <a:noAutofit/>
                    </wps:bodyPr>
                  </wps:wsp>
                </a:graphicData>
              </a:graphic>
            </wp:anchor>
          </w:drawing>
        </mc:Choice>
        <mc:Fallback>
          <w:pict>
            <v:shape style="position:absolute;margin-left:71.062042pt;margin-top:36.38686pt;width:6.15pt;height:9.85pt;mso-position-horizontal-relative:page;mso-position-vertical-relative:page;z-index:-27450368" type="#_x0000_t202" id="docshape81" filled="false" stroked="false">
              <v:textbox inset="0,0,0,0">
                <w:txbxContent>
                  <w:p>
                    <w:pPr>
                      <w:spacing w:before="15"/>
                      <w:ind w:left="20" w:right="0" w:firstLine="0"/>
                      <w:jc w:val="left"/>
                      <w:rPr>
                        <w:sz w:val="14"/>
                      </w:rPr>
                    </w:pPr>
                    <w:r>
                      <w:rPr>
                        <w:color w:val="1C1C1C"/>
                        <w:spacing w:val="-10"/>
                        <w:w w:val="105"/>
                        <w:sz w:val="14"/>
                      </w:rPr>
                      <w:t>5</w:t>
                    </w:r>
                  </w:p>
                </w:txbxContent>
              </v:textbox>
              <w10:wrap type="none"/>
            </v:shape>
          </w:pict>
        </mc:Fallback>
      </mc:AlternateContent>
    </w:r>
    <w:r>
      <w:rPr/>
      <mc:AlternateContent>
        <mc:Choice Requires="wps">
          <w:drawing>
            <wp:anchor distT="0" distB="0" distL="0" distR="0" allowOverlap="1" layoutInCell="1" locked="0" behindDoc="1" simplePos="0" relativeHeight="475866624">
              <wp:simplePos x="0" y="0"/>
              <wp:positionH relativeFrom="page">
                <wp:posOffset>1354344</wp:posOffset>
              </wp:positionH>
              <wp:positionV relativeFrom="page">
                <wp:posOffset>462113</wp:posOffset>
              </wp:positionV>
              <wp:extent cx="1372870" cy="125095"/>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1372870" cy="125095"/>
                      </a:xfrm>
                      <a:prstGeom prst="rect">
                        <a:avLst/>
                      </a:prstGeom>
                    </wps:spPr>
                    <wps:txbx>
                      <w:txbxContent>
                        <w:p>
                          <w:pPr>
                            <w:spacing w:before="15"/>
                            <w:ind w:left="20" w:right="0" w:firstLine="0"/>
                            <w:jc w:val="left"/>
                            <w:rPr>
                              <w:sz w:val="14"/>
                            </w:rPr>
                          </w:pPr>
                          <w:r>
                            <w:rPr>
                              <w:color w:val="0E0E0E"/>
                              <w:w w:val="105"/>
                              <w:sz w:val="14"/>
                            </w:rPr>
                            <w:t>NOTES</w:t>
                          </w:r>
                          <w:r>
                            <w:rPr>
                              <w:color w:val="0E0E0E"/>
                              <w:spacing w:val="39"/>
                              <w:w w:val="105"/>
                              <w:sz w:val="14"/>
                            </w:rPr>
                            <w:t> </w:t>
                          </w:r>
                          <w:r>
                            <w:rPr>
                              <w:color w:val="1C1C1C"/>
                              <w:w w:val="105"/>
                              <w:sz w:val="14"/>
                            </w:rPr>
                            <w:t>TO</w:t>
                          </w:r>
                          <w:r>
                            <w:rPr>
                              <w:color w:val="1C1C1C"/>
                              <w:spacing w:val="31"/>
                              <w:w w:val="105"/>
                              <w:sz w:val="14"/>
                            </w:rPr>
                            <w:t> </w:t>
                          </w:r>
                          <w:r>
                            <w:rPr>
                              <w:color w:val="1C1C1C"/>
                              <w:w w:val="105"/>
                              <w:sz w:val="14"/>
                            </w:rPr>
                            <w:t>THE</w:t>
                          </w:r>
                          <w:r>
                            <w:rPr>
                              <w:color w:val="1C1C1C"/>
                              <w:spacing w:val="16"/>
                              <w:w w:val="105"/>
                              <w:sz w:val="14"/>
                            </w:rPr>
                            <w:t> </w:t>
                          </w:r>
                          <w:r>
                            <w:rPr>
                              <w:color w:val="3B3B3B"/>
                              <w:spacing w:val="-2"/>
                              <w:w w:val="105"/>
                              <w:sz w:val="14"/>
                            </w:rPr>
                            <w:t>.</w:t>
                          </w:r>
                          <w:r>
                            <w:rPr>
                              <w:color w:val="1C1C1C"/>
                              <w:spacing w:val="-2"/>
                              <w:w w:val="105"/>
                              <w:sz w:val="14"/>
                            </w:rPr>
                            <w:t>'1.</w:t>
                          </w:r>
                          <w:r>
                            <w:rPr>
                              <w:color w:val="3B3B3B"/>
                              <w:spacing w:val="-2"/>
                              <w:w w:val="105"/>
                              <w:sz w:val="14"/>
                            </w:rPr>
                            <w:t>C</w:t>
                          </w:r>
                          <w:r>
                            <w:rPr>
                              <w:color w:val="0E0E0E"/>
                              <w:spacing w:val="-2"/>
                              <w:w w:val="105"/>
                              <w:sz w:val="14"/>
                            </w:rPr>
                            <w:t>COUNTS</w:t>
                          </w:r>
                        </w:p>
                      </w:txbxContent>
                    </wps:txbx>
                    <wps:bodyPr wrap="square" lIns="0" tIns="0" rIns="0" bIns="0" rtlCol="0">
                      <a:noAutofit/>
                    </wps:bodyPr>
                  </wps:wsp>
                </a:graphicData>
              </a:graphic>
            </wp:anchor>
          </w:drawing>
        </mc:Choice>
        <mc:Fallback>
          <w:pict>
            <v:shape style="position:absolute;margin-left:106.641296pt;margin-top:36.38686pt;width:108.1pt;height:9.85pt;mso-position-horizontal-relative:page;mso-position-vertical-relative:page;z-index:-27449856" type="#_x0000_t202" id="docshape82" filled="false" stroked="false">
              <v:textbox inset="0,0,0,0">
                <w:txbxContent>
                  <w:p>
                    <w:pPr>
                      <w:spacing w:before="15"/>
                      <w:ind w:left="20" w:right="0" w:firstLine="0"/>
                      <w:jc w:val="left"/>
                      <w:rPr>
                        <w:sz w:val="14"/>
                      </w:rPr>
                    </w:pPr>
                    <w:r>
                      <w:rPr>
                        <w:color w:val="0E0E0E"/>
                        <w:w w:val="105"/>
                        <w:sz w:val="14"/>
                      </w:rPr>
                      <w:t>NOTES</w:t>
                    </w:r>
                    <w:r>
                      <w:rPr>
                        <w:color w:val="0E0E0E"/>
                        <w:spacing w:val="39"/>
                        <w:w w:val="105"/>
                        <w:sz w:val="14"/>
                      </w:rPr>
                      <w:t> </w:t>
                    </w:r>
                    <w:r>
                      <w:rPr>
                        <w:color w:val="1C1C1C"/>
                        <w:w w:val="105"/>
                        <w:sz w:val="14"/>
                      </w:rPr>
                      <w:t>TO</w:t>
                    </w:r>
                    <w:r>
                      <w:rPr>
                        <w:color w:val="1C1C1C"/>
                        <w:spacing w:val="31"/>
                        <w:w w:val="105"/>
                        <w:sz w:val="14"/>
                      </w:rPr>
                      <w:t> </w:t>
                    </w:r>
                    <w:r>
                      <w:rPr>
                        <w:color w:val="1C1C1C"/>
                        <w:w w:val="105"/>
                        <w:sz w:val="14"/>
                      </w:rPr>
                      <w:t>THE</w:t>
                    </w:r>
                    <w:r>
                      <w:rPr>
                        <w:color w:val="1C1C1C"/>
                        <w:spacing w:val="16"/>
                        <w:w w:val="105"/>
                        <w:sz w:val="14"/>
                      </w:rPr>
                      <w:t> </w:t>
                    </w:r>
                    <w:r>
                      <w:rPr>
                        <w:color w:val="3B3B3B"/>
                        <w:spacing w:val="-2"/>
                        <w:w w:val="105"/>
                        <w:sz w:val="14"/>
                      </w:rPr>
                      <w:t>.</w:t>
                    </w:r>
                    <w:r>
                      <w:rPr>
                        <w:color w:val="1C1C1C"/>
                        <w:spacing w:val="-2"/>
                        <w:w w:val="105"/>
                        <w:sz w:val="14"/>
                      </w:rPr>
                      <w:t>'1.</w:t>
                    </w:r>
                    <w:r>
                      <w:rPr>
                        <w:color w:val="3B3B3B"/>
                        <w:spacing w:val="-2"/>
                        <w:w w:val="105"/>
                        <w:sz w:val="14"/>
                      </w:rPr>
                      <w:t>C</w:t>
                    </w:r>
                    <w:r>
                      <w:rPr>
                        <w:color w:val="0E0E0E"/>
                        <w:spacing w:val="-2"/>
                        <w:w w:val="105"/>
                        <w:sz w:val="14"/>
                      </w:rPr>
                      <w:t>COUNTS</w:t>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68160">
              <wp:simplePos x="0" y="0"/>
              <wp:positionH relativeFrom="page">
                <wp:posOffset>902220</wp:posOffset>
              </wp:positionH>
              <wp:positionV relativeFrom="page">
                <wp:posOffset>474665</wp:posOffset>
              </wp:positionV>
              <wp:extent cx="78105" cy="13208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78105" cy="132080"/>
                      </a:xfrm>
                      <a:prstGeom prst="rect">
                        <a:avLst/>
                      </a:prstGeom>
                    </wps:spPr>
                    <wps:txbx>
                      <w:txbxContent>
                        <w:p>
                          <w:pPr>
                            <w:spacing w:before="15"/>
                            <w:ind w:left="20" w:right="0" w:firstLine="0"/>
                            <w:jc w:val="left"/>
                            <w:rPr>
                              <w:sz w:val="15"/>
                            </w:rPr>
                          </w:pPr>
                          <w:r>
                            <w:rPr>
                              <w:color w:val="A1A1A1"/>
                              <w:spacing w:val="-10"/>
                              <w:sz w:val="15"/>
                            </w:rPr>
                            <w:t>5</w:t>
                          </w:r>
                        </w:p>
                      </w:txbxContent>
                    </wps:txbx>
                    <wps:bodyPr wrap="square" lIns="0" tIns="0" rIns="0" bIns="0" rtlCol="0">
                      <a:noAutofit/>
                    </wps:bodyPr>
                  </wps:wsp>
                </a:graphicData>
              </a:graphic>
            </wp:anchor>
          </w:drawing>
        </mc:Choice>
        <mc:Fallback>
          <w:pict>
            <v:shape style="position:absolute;margin-left:71.041008pt;margin-top:37.375206pt;width:6.15pt;height:10.4pt;mso-position-horizontal-relative:page;mso-position-vertical-relative:page;z-index:-27448320" type="#_x0000_t202" id="docshape85" filled="false" stroked="false">
              <v:textbox inset="0,0,0,0">
                <w:txbxContent>
                  <w:p>
                    <w:pPr>
                      <w:spacing w:before="15"/>
                      <w:ind w:left="20" w:right="0" w:firstLine="0"/>
                      <w:jc w:val="left"/>
                      <w:rPr>
                        <w:sz w:val="15"/>
                      </w:rPr>
                    </w:pPr>
                    <w:r>
                      <w:rPr>
                        <w:color w:val="A1A1A1"/>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868672">
              <wp:simplePos x="0" y="0"/>
              <wp:positionH relativeFrom="page">
                <wp:posOffset>1353861</wp:posOffset>
              </wp:positionH>
              <wp:positionV relativeFrom="page">
                <wp:posOffset>474665</wp:posOffset>
              </wp:positionV>
              <wp:extent cx="1362075" cy="13208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1362075" cy="132080"/>
                      </a:xfrm>
                      <a:prstGeom prst="rect">
                        <a:avLst/>
                      </a:prstGeom>
                    </wps:spPr>
                    <wps:txbx>
                      <w:txbxContent>
                        <w:p>
                          <w:pPr>
                            <w:spacing w:before="15"/>
                            <w:ind w:left="20" w:right="0" w:firstLine="0"/>
                            <w:jc w:val="left"/>
                            <w:rPr>
                              <w:sz w:val="15"/>
                            </w:rPr>
                          </w:pPr>
                          <w:r>
                            <w:rPr>
                              <w:color w:val="A1A1A1"/>
                              <w:sz w:val="15"/>
                            </w:rPr>
                            <w:t>NOTES</w:t>
                          </w:r>
                          <w:r>
                            <w:rPr>
                              <w:color w:val="A1A1A1"/>
                              <w:spacing w:val="30"/>
                              <w:sz w:val="15"/>
                            </w:rPr>
                            <w:t> </w:t>
                          </w:r>
                          <w:r>
                            <w:rPr>
                              <w:color w:val="A1A1A1"/>
                              <w:sz w:val="15"/>
                            </w:rPr>
                            <w:t>TO</w:t>
                          </w:r>
                          <w:r>
                            <w:rPr>
                              <w:color w:val="A1A1A1"/>
                              <w:spacing w:val="22"/>
                              <w:sz w:val="15"/>
                            </w:rPr>
                            <w:t> </w:t>
                          </w:r>
                          <w:r>
                            <w:rPr>
                              <w:color w:val="A1A1A1"/>
                              <w:sz w:val="15"/>
                            </w:rPr>
                            <w:t>THE</w:t>
                          </w:r>
                          <w:r>
                            <w:rPr>
                              <w:color w:val="A1A1A1"/>
                              <w:spacing w:val="25"/>
                              <w:sz w:val="15"/>
                            </w:rPr>
                            <w:t> </w:t>
                          </w:r>
                          <w:r>
                            <w:rPr>
                              <w:color w:val="A1A1A1"/>
                              <w:spacing w:val="-2"/>
                              <w:sz w:val="15"/>
                            </w:rPr>
                            <w:t>ACCOUNTS</w:t>
                          </w:r>
                        </w:p>
                      </w:txbxContent>
                    </wps:txbx>
                    <wps:bodyPr wrap="square" lIns="0" tIns="0" rIns="0" bIns="0" rtlCol="0">
                      <a:noAutofit/>
                    </wps:bodyPr>
                  </wps:wsp>
                </a:graphicData>
              </a:graphic>
            </wp:anchor>
          </w:drawing>
        </mc:Choice>
        <mc:Fallback>
          <w:pict>
            <v:shape style="position:absolute;margin-left:106.603302pt;margin-top:37.375206pt;width:107.25pt;height:10.4pt;mso-position-horizontal-relative:page;mso-position-vertical-relative:page;z-index:-27447808" type="#_x0000_t202" id="docshape86" filled="false" stroked="false">
              <v:textbox inset="0,0,0,0">
                <w:txbxContent>
                  <w:p>
                    <w:pPr>
                      <w:spacing w:before="15"/>
                      <w:ind w:left="20" w:right="0" w:firstLine="0"/>
                      <w:jc w:val="left"/>
                      <w:rPr>
                        <w:sz w:val="15"/>
                      </w:rPr>
                    </w:pPr>
                    <w:r>
                      <w:rPr>
                        <w:color w:val="A1A1A1"/>
                        <w:sz w:val="15"/>
                      </w:rPr>
                      <w:t>NOTES</w:t>
                    </w:r>
                    <w:r>
                      <w:rPr>
                        <w:color w:val="A1A1A1"/>
                        <w:spacing w:val="30"/>
                        <w:sz w:val="15"/>
                      </w:rPr>
                      <w:t> </w:t>
                    </w:r>
                    <w:r>
                      <w:rPr>
                        <w:color w:val="A1A1A1"/>
                        <w:sz w:val="15"/>
                      </w:rPr>
                      <w:t>TO</w:t>
                    </w:r>
                    <w:r>
                      <w:rPr>
                        <w:color w:val="A1A1A1"/>
                        <w:spacing w:val="22"/>
                        <w:sz w:val="15"/>
                      </w:rPr>
                      <w:t> </w:t>
                    </w:r>
                    <w:r>
                      <w:rPr>
                        <w:color w:val="A1A1A1"/>
                        <w:sz w:val="15"/>
                      </w:rPr>
                      <w:t>THE</w:t>
                    </w:r>
                    <w:r>
                      <w:rPr>
                        <w:color w:val="A1A1A1"/>
                        <w:spacing w:val="25"/>
                        <w:sz w:val="15"/>
                      </w:rPr>
                      <w:t> </w:t>
                    </w:r>
                    <w:r>
                      <w:rPr>
                        <w:color w:val="A1A1A1"/>
                        <w:spacing w:val="-2"/>
                        <w:sz w:val="15"/>
                      </w:rPr>
                      <w:t>ACCOUNTS</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3584">
              <wp:simplePos x="0" y="0"/>
              <wp:positionH relativeFrom="page">
                <wp:posOffset>1067370</wp:posOffset>
              </wp:positionH>
              <wp:positionV relativeFrom="page">
                <wp:posOffset>394979</wp:posOffset>
              </wp:positionV>
              <wp:extent cx="1264920" cy="12509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1264920" cy="125095"/>
                      </a:xfrm>
                      <a:prstGeom prst="rect">
                        <a:avLst/>
                      </a:prstGeom>
                    </wps:spPr>
                    <wps:txbx>
                      <w:txbxContent>
                        <w:p>
                          <w:pPr>
                            <w:spacing w:before="15"/>
                            <w:ind w:left="20" w:right="0" w:firstLine="0"/>
                            <w:jc w:val="left"/>
                            <w:rPr>
                              <w:sz w:val="14"/>
                            </w:rPr>
                          </w:pPr>
                          <w:r>
                            <w:rPr>
                              <w:color w:val="A7A7A7"/>
                              <w:sz w:val="14"/>
                            </w:rPr>
                            <w:t>NARR.A.TII/E</w:t>
                          </w:r>
                          <w:r>
                            <w:rPr>
                              <w:color w:val="A7A7A7"/>
                              <w:spacing w:val="70"/>
                              <w:sz w:val="14"/>
                            </w:rPr>
                            <w:t> </w:t>
                          </w:r>
                          <w:r>
                            <w:rPr>
                              <w:color w:val="A7A7A7"/>
                              <w:spacing w:val="-2"/>
                              <w:sz w:val="14"/>
                            </w:rPr>
                            <w:t>STATEMENT</w:t>
                          </w:r>
                        </w:p>
                      </w:txbxContent>
                    </wps:txbx>
                    <wps:bodyPr wrap="square" lIns="0" tIns="0" rIns="0" bIns="0" rtlCol="0">
                      <a:noAutofit/>
                    </wps:bodyPr>
                  </wps:wsp>
                </a:graphicData>
              </a:graphic>
            </wp:anchor>
          </w:drawing>
        </mc:Choice>
        <mc:Fallback>
          <w:pict>
            <v:shape style="position:absolute;margin-left:84.044952pt;margin-top:31.100758pt;width:99.6pt;height:9.85pt;mso-position-horizontal-relative:page;mso-position-vertical-relative:page;z-index:-27472896" type="#_x0000_t202" id="docshape19" filled="false" stroked="false">
              <v:textbox inset="0,0,0,0">
                <w:txbxContent>
                  <w:p>
                    <w:pPr>
                      <w:spacing w:before="15"/>
                      <w:ind w:left="20" w:right="0" w:firstLine="0"/>
                      <w:jc w:val="left"/>
                      <w:rPr>
                        <w:sz w:val="14"/>
                      </w:rPr>
                    </w:pPr>
                    <w:r>
                      <w:rPr>
                        <w:color w:val="A7A7A7"/>
                        <w:sz w:val="14"/>
                      </w:rPr>
                      <w:t>NARR.A.TII/E</w:t>
                    </w:r>
                    <w:r>
                      <w:rPr>
                        <w:color w:val="A7A7A7"/>
                        <w:spacing w:val="70"/>
                        <w:sz w:val="14"/>
                      </w:rPr>
                      <w:t> </w:t>
                    </w:r>
                    <w:r>
                      <w:rPr>
                        <w:color w:val="A7A7A7"/>
                        <w:spacing w:val="-2"/>
                        <w:sz w:val="14"/>
                      </w:rPr>
                      <w:t>STATEMENT</w:t>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70208">
              <wp:simplePos x="0" y="0"/>
              <wp:positionH relativeFrom="page">
                <wp:posOffset>905540</wp:posOffset>
              </wp:positionH>
              <wp:positionV relativeFrom="page">
                <wp:posOffset>465163</wp:posOffset>
              </wp:positionV>
              <wp:extent cx="74930" cy="125095"/>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74930" cy="125095"/>
                      </a:xfrm>
                      <a:prstGeom prst="rect">
                        <a:avLst/>
                      </a:prstGeom>
                    </wps:spPr>
                    <wps:txbx>
                      <w:txbxContent>
                        <w:p>
                          <w:pPr>
                            <w:spacing w:before="15"/>
                            <w:ind w:left="20" w:right="0" w:firstLine="0"/>
                            <w:jc w:val="left"/>
                            <w:rPr>
                              <w:sz w:val="14"/>
                            </w:rPr>
                          </w:pPr>
                          <w:r>
                            <w:rPr>
                              <w:color w:val="A3A3A3"/>
                              <w:spacing w:val="-10"/>
                              <w:sz w:val="14"/>
                            </w:rPr>
                            <w:t>5</w:t>
                          </w:r>
                        </w:p>
                      </w:txbxContent>
                    </wps:txbx>
                    <wps:bodyPr wrap="square" lIns="0" tIns="0" rIns="0" bIns="0" rtlCol="0">
                      <a:noAutofit/>
                    </wps:bodyPr>
                  </wps:wsp>
                </a:graphicData>
              </a:graphic>
            </wp:anchor>
          </w:drawing>
        </mc:Choice>
        <mc:Fallback>
          <w:pict>
            <v:shape style="position:absolute;margin-left:71.302429pt;margin-top:36.62706pt;width:5.9pt;height:9.85pt;mso-position-horizontal-relative:page;mso-position-vertical-relative:page;z-index:-27446272" type="#_x0000_t202" id="docshape89" filled="false" stroked="false">
              <v:textbox inset="0,0,0,0">
                <w:txbxContent>
                  <w:p>
                    <w:pPr>
                      <w:spacing w:before="15"/>
                      <w:ind w:left="20" w:right="0" w:firstLine="0"/>
                      <w:jc w:val="left"/>
                      <w:rPr>
                        <w:sz w:val="14"/>
                      </w:rPr>
                    </w:pPr>
                    <w:r>
                      <w:rPr>
                        <w:color w:val="A3A3A3"/>
                        <w:spacing w:val="-10"/>
                        <w:sz w:val="14"/>
                      </w:rPr>
                      <w:t>5</w:t>
                    </w:r>
                  </w:p>
                </w:txbxContent>
              </v:textbox>
              <w10:wrap type="none"/>
            </v:shape>
          </w:pict>
        </mc:Fallback>
      </mc:AlternateContent>
    </w:r>
    <w:r>
      <w:rPr/>
      <mc:AlternateContent>
        <mc:Choice Requires="wps">
          <w:drawing>
            <wp:anchor distT="0" distB="0" distL="0" distR="0" allowOverlap="1" layoutInCell="1" locked="0" behindDoc="1" simplePos="0" relativeHeight="475870720">
              <wp:simplePos x="0" y="0"/>
              <wp:positionH relativeFrom="page">
                <wp:posOffset>1354344</wp:posOffset>
              </wp:positionH>
              <wp:positionV relativeFrom="page">
                <wp:posOffset>465163</wp:posOffset>
              </wp:positionV>
              <wp:extent cx="1363345" cy="125095"/>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1363345" cy="125095"/>
                      </a:xfrm>
                      <a:prstGeom prst="rect">
                        <a:avLst/>
                      </a:prstGeom>
                    </wps:spPr>
                    <wps:txbx>
                      <w:txbxContent>
                        <w:p>
                          <w:pPr>
                            <w:spacing w:before="15"/>
                            <w:ind w:left="20" w:right="0" w:firstLine="0"/>
                            <w:jc w:val="left"/>
                            <w:rPr>
                              <w:sz w:val="14"/>
                            </w:rPr>
                          </w:pPr>
                          <w:r>
                            <w:rPr>
                              <w:color w:val="A3A3A3"/>
                              <w:w w:val="110"/>
                              <w:sz w:val="14"/>
                            </w:rPr>
                            <w:t>NOTES</w:t>
                          </w:r>
                          <w:r>
                            <w:rPr>
                              <w:color w:val="A3A3A3"/>
                              <w:spacing w:val="13"/>
                              <w:w w:val="110"/>
                              <w:sz w:val="14"/>
                            </w:rPr>
                            <w:t> </w:t>
                          </w:r>
                          <w:r>
                            <w:rPr>
                              <w:color w:val="A3A3A3"/>
                              <w:w w:val="110"/>
                              <w:sz w:val="14"/>
                            </w:rPr>
                            <w:t>TO</w:t>
                          </w:r>
                          <w:r>
                            <w:rPr>
                              <w:color w:val="A3A3A3"/>
                              <w:spacing w:val="14"/>
                              <w:w w:val="110"/>
                              <w:sz w:val="14"/>
                            </w:rPr>
                            <w:t> </w:t>
                          </w:r>
                          <w:r>
                            <w:rPr>
                              <w:color w:val="A3A3A3"/>
                              <w:w w:val="110"/>
                              <w:sz w:val="14"/>
                            </w:rPr>
                            <w:t>THE</w:t>
                          </w:r>
                          <w:r>
                            <w:rPr>
                              <w:color w:val="A3A3A3"/>
                              <w:spacing w:val="6"/>
                              <w:w w:val="110"/>
                              <w:sz w:val="14"/>
                            </w:rPr>
                            <w:t> </w:t>
                          </w:r>
                          <w:r>
                            <w:rPr>
                              <w:color w:val="A3A3A3"/>
                              <w:spacing w:val="-2"/>
                              <w:w w:val="110"/>
                              <w:sz w:val="14"/>
                            </w:rPr>
                            <w:t>;.\CCOUNTS</w:t>
                          </w:r>
                        </w:p>
                      </w:txbxContent>
                    </wps:txbx>
                    <wps:bodyPr wrap="square" lIns="0" tIns="0" rIns="0" bIns="0" rtlCol="0">
                      <a:noAutofit/>
                    </wps:bodyPr>
                  </wps:wsp>
                </a:graphicData>
              </a:graphic>
            </wp:anchor>
          </w:drawing>
        </mc:Choice>
        <mc:Fallback>
          <w:pict>
            <v:shape style="position:absolute;margin-left:106.641296pt;margin-top:36.62706pt;width:107.35pt;height:9.85pt;mso-position-horizontal-relative:page;mso-position-vertical-relative:page;z-index:-27445760" type="#_x0000_t202" id="docshape90" filled="false" stroked="false">
              <v:textbox inset="0,0,0,0">
                <w:txbxContent>
                  <w:p>
                    <w:pPr>
                      <w:spacing w:before="15"/>
                      <w:ind w:left="20" w:right="0" w:firstLine="0"/>
                      <w:jc w:val="left"/>
                      <w:rPr>
                        <w:sz w:val="14"/>
                      </w:rPr>
                    </w:pPr>
                    <w:r>
                      <w:rPr>
                        <w:color w:val="A3A3A3"/>
                        <w:w w:val="110"/>
                        <w:sz w:val="14"/>
                      </w:rPr>
                      <w:t>NOTES</w:t>
                    </w:r>
                    <w:r>
                      <w:rPr>
                        <w:color w:val="A3A3A3"/>
                        <w:spacing w:val="13"/>
                        <w:w w:val="110"/>
                        <w:sz w:val="14"/>
                      </w:rPr>
                      <w:t> </w:t>
                    </w:r>
                    <w:r>
                      <w:rPr>
                        <w:color w:val="A3A3A3"/>
                        <w:w w:val="110"/>
                        <w:sz w:val="14"/>
                      </w:rPr>
                      <w:t>TO</w:t>
                    </w:r>
                    <w:r>
                      <w:rPr>
                        <w:color w:val="A3A3A3"/>
                        <w:spacing w:val="14"/>
                        <w:w w:val="110"/>
                        <w:sz w:val="14"/>
                      </w:rPr>
                      <w:t> </w:t>
                    </w:r>
                    <w:r>
                      <w:rPr>
                        <w:color w:val="A3A3A3"/>
                        <w:w w:val="110"/>
                        <w:sz w:val="14"/>
                      </w:rPr>
                      <w:t>THE</w:t>
                    </w:r>
                    <w:r>
                      <w:rPr>
                        <w:color w:val="A3A3A3"/>
                        <w:spacing w:val="6"/>
                        <w:w w:val="110"/>
                        <w:sz w:val="14"/>
                      </w:rPr>
                      <w:t> </w:t>
                    </w:r>
                    <w:r>
                      <w:rPr>
                        <w:color w:val="A3A3A3"/>
                        <w:spacing w:val="-2"/>
                        <w:w w:val="110"/>
                        <w:sz w:val="14"/>
                      </w:rPr>
                      <w:t>;.\CCOUNTS</w:t>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71232">
              <wp:simplePos x="0" y="0"/>
              <wp:positionH relativeFrom="page">
                <wp:posOffset>1045707</wp:posOffset>
              </wp:positionH>
              <wp:positionV relativeFrom="page">
                <wp:posOffset>544850</wp:posOffset>
              </wp:positionV>
              <wp:extent cx="78105" cy="132080"/>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78105" cy="132080"/>
                      </a:xfrm>
                      <a:prstGeom prst="rect">
                        <a:avLst/>
                      </a:prstGeom>
                    </wps:spPr>
                    <wps:txbx>
                      <w:txbxContent>
                        <w:p>
                          <w:pPr>
                            <w:spacing w:before="15"/>
                            <w:ind w:left="20" w:right="0" w:firstLine="0"/>
                            <w:jc w:val="left"/>
                            <w:rPr>
                              <w:sz w:val="15"/>
                            </w:rPr>
                          </w:pPr>
                          <w:r>
                            <w:rPr>
                              <w:color w:val="A3A3A3"/>
                              <w:spacing w:val="-10"/>
                              <w:sz w:val="15"/>
                            </w:rPr>
                            <w:t>5</w:t>
                          </w:r>
                        </w:p>
                      </w:txbxContent>
                    </wps:txbx>
                    <wps:bodyPr wrap="square" lIns="0" tIns="0" rIns="0" bIns="0" rtlCol="0">
                      <a:noAutofit/>
                    </wps:bodyPr>
                  </wps:wsp>
                </a:graphicData>
              </a:graphic>
            </wp:anchor>
          </w:drawing>
        </mc:Choice>
        <mc:Fallback>
          <w:pict>
            <v:shape style="position:absolute;margin-left:82.339203pt;margin-top:42.901604pt;width:6.15pt;height:10.4pt;mso-position-horizontal-relative:page;mso-position-vertical-relative:page;z-index:-27445248" type="#_x0000_t202" id="docshape91" filled="false" stroked="false">
              <v:textbox inset="0,0,0,0">
                <w:txbxContent>
                  <w:p>
                    <w:pPr>
                      <w:spacing w:before="15"/>
                      <w:ind w:left="20" w:right="0" w:firstLine="0"/>
                      <w:jc w:val="left"/>
                      <w:rPr>
                        <w:sz w:val="15"/>
                      </w:rPr>
                    </w:pPr>
                    <w:r>
                      <w:rPr>
                        <w:color w:val="A3A3A3"/>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871744">
              <wp:simplePos x="0" y="0"/>
              <wp:positionH relativeFrom="page">
                <wp:posOffset>1503550</wp:posOffset>
              </wp:positionH>
              <wp:positionV relativeFrom="page">
                <wp:posOffset>544850</wp:posOffset>
              </wp:positionV>
              <wp:extent cx="1362075" cy="132080"/>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1362075" cy="132080"/>
                      </a:xfrm>
                      <a:prstGeom prst="rect">
                        <a:avLst/>
                      </a:prstGeom>
                    </wps:spPr>
                    <wps:txbx>
                      <w:txbxContent>
                        <w:p>
                          <w:pPr>
                            <w:spacing w:before="15"/>
                            <w:ind w:left="20" w:right="0" w:firstLine="0"/>
                            <w:jc w:val="left"/>
                            <w:rPr>
                              <w:sz w:val="15"/>
                            </w:rPr>
                          </w:pPr>
                          <w:r>
                            <w:rPr>
                              <w:color w:val="A3A3A3"/>
                              <w:sz w:val="15"/>
                            </w:rPr>
                            <w:t>MOTES</w:t>
                          </w:r>
                          <w:r>
                            <w:rPr>
                              <w:color w:val="A3A3A3"/>
                              <w:spacing w:val="32"/>
                              <w:sz w:val="15"/>
                            </w:rPr>
                            <w:t> </w:t>
                          </w:r>
                          <w:r>
                            <w:rPr>
                              <w:color w:val="B8B8B8"/>
                              <w:sz w:val="15"/>
                            </w:rPr>
                            <w:t>TO</w:t>
                          </w:r>
                          <w:r>
                            <w:rPr>
                              <w:color w:val="B8B8B8"/>
                              <w:spacing w:val="11"/>
                              <w:sz w:val="15"/>
                            </w:rPr>
                            <w:t> </w:t>
                          </w:r>
                          <w:r>
                            <w:rPr>
                              <w:color w:val="A3A3A3"/>
                              <w:sz w:val="15"/>
                            </w:rPr>
                            <w:t>THE</w:t>
                          </w:r>
                          <w:r>
                            <w:rPr>
                              <w:color w:val="A3A3A3"/>
                              <w:spacing w:val="17"/>
                              <w:sz w:val="15"/>
                            </w:rPr>
                            <w:t> </w:t>
                          </w:r>
                          <w:r>
                            <w:rPr>
                              <w:color w:val="A3A3A3"/>
                              <w:spacing w:val="-2"/>
                              <w:sz w:val="15"/>
                            </w:rPr>
                            <w:t>ACCOUNTS</w:t>
                          </w:r>
                        </w:p>
                      </w:txbxContent>
                    </wps:txbx>
                    <wps:bodyPr wrap="square" lIns="0" tIns="0" rIns="0" bIns="0" rtlCol="0">
                      <a:noAutofit/>
                    </wps:bodyPr>
                  </wps:wsp>
                </a:graphicData>
              </a:graphic>
            </wp:anchor>
          </w:drawing>
        </mc:Choice>
        <mc:Fallback>
          <w:pict>
            <v:shape style="position:absolute;margin-left:118.389801pt;margin-top:42.901604pt;width:107.25pt;height:10.4pt;mso-position-horizontal-relative:page;mso-position-vertical-relative:page;z-index:-27444736" type="#_x0000_t202" id="docshape92" filled="false" stroked="false">
              <v:textbox inset="0,0,0,0">
                <w:txbxContent>
                  <w:p>
                    <w:pPr>
                      <w:spacing w:before="15"/>
                      <w:ind w:left="20" w:right="0" w:firstLine="0"/>
                      <w:jc w:val="left"/>
                      <w:rPr>
                        <w:sz w:val="15"/>
                      </w:rPr>
                    </w:pPr>
                    <w:r>
                      <w:rPr>
                        <w:color w:val="A3A3A3"/>
                        <w:sz w:val="15"/>
                      </w:rPr>
                      <w:t>MOTES</w:t>
                    </w:r>
                    <w:r>
                      <w:rPr>
                        <w:color w:val="A3A3A3"/>
                        <w:spacing w:val="32"/>
                        <w:sz w:val="15"/>
                      </w:rPr>
                      <w:t> </w:t>
                    </w:r>
                    <w:r>
                      <w:rPr>
                        <w:color w:val="B8B8B8"/>
                        <w:sz w:val="15"/>
                      </w:rPr>
                      <w:t>TO</w:t>
                    </w:r>
                    <w:r>
                      <w:rPr>
                        <w:color w:val="B8B8B8"/>
                        <w:spacing w:val="11"/>
                        <w:sz w:val="15"/>
                      </w:rPr>
                      <w:t> </w:t>
                    </w:r>
                    <w:r>
                      <w:rPr>
                        <w:color w:val="A3A3A3"/>
                        <w:sz w:val="15"/>
                      </w:rPr>
                      <w:t>THE</w:t>
                    </w:r>
                    <w:r>
                      <w:rPr>
                        <w:color w:val="A3A3A3"/>
                        <w:spacing w:val="17"/>
                        <w:sz w:val="15"/>
                      </w:rPr>
                      <w:t> </w:t>
                    </w:r>
                    <w:r>
                      <w:rPr>
                        <w:color w:val="A3A3A3"/>
                        <w:spacing w:val="-2"/>
                        <w:sz w:val="15"/>
                      </w:rPr>
                      <w:t>ACCOUNTS</w:t>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8"/>
      </w:rPr>
    </w:pPr>
    <w:r>
      <w:rPr/>
      <mc:AlternateContent>
        <mc:Choice Requires="wps">
          <w:drawing>
            <wp:anchor distT="0" distB="0" distL="0" distR="0" allowOverlap="1" layoutInCell="1" locked="0" behindDoc="1" simplePos="0" relativeHeight="475872768">
              <wp:simplePos x="0" y="0"/>
              <wp:positionH relativeFrom="page">
                <wp:posOffset>917485</wp:posOffset>
              </wp:positionH>
              <wp:positionV relativeFrom="page">
                <wp:posOffset>456358</wp:posOffset>
              </wp:positionV>
              <wp:extent cx="74930" cy="13208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74930" cy="132080"/>
                      </a:xfrm>
                      <a:prstGeom prst="rect">
                        <a:avLst/>
                      </a:prstGeom>
                    </wps:spPr>
                    <wps:txbx>
                      <w:txbxContent>
                        <w:p>
                          <w:pPr>
                            <w:spacing w:before="15"/>
                            <w:ind w:left="20" w:right="0" w:firstLine="0"/>
                            <w:jc w:val="left"/>
                            <w:rPr>
                              <w:sz w:val="15"/>
                            </w:rPr>
                          </w:pPr>
                          <w:r>
                            <w:rPr>
                              <w:color w:val="ACACAC"/>
                              <w:spacing w:val="-10"/>
                              <w:sz w:val="15"/>
                            </w:rPr>
                            <w:t>5</w:t>
                          </w:r>
                        </w:p>
                      </w:txbxContent>
                    </wps:txbx>
                    <wps:bodyPr wrap="square" lIns="0" tIns="0" rIns="0" bIns="0" rtlCol="0">
                      <a:noAutofit/>
                    </wps:bodyPr>
                  </wps:wsp>
                </a:graphicData>
              </a:graphic>
            </wp:anchor>
          </w:drawing>
        </mc:Choice>
        <mc:Fallback>
          <w:pict>
            <v:shape style="position:absolute;margin-left:72.242943pt;margin-top:35.933704pt;width:5.9pt;height:10.4pt;mso-position-horizontal-relative:page;mso-position-vertical-relative:page;z-index:-27443712" type="#_x0000_t202" id="docshape94" filled="false" stroked="false">
              <v:textbox inset="0,0,0,0">
                <w:txbxContent>
                  <w:p>
                    <w:pPr>
                      <w:spacing w:before="15"/>
                      <w:ind w:left="20" w:right="0" w:firstLine="0"/>
                      <w:jc w:val="left"/>
                      <w:rPr>
                        <w:sz w:val="15"/>
                      </w:rPr>
                    </w:pPr>
                    <w:r>
                      <w:rPr>
                        <w:color w:val="ACACAC"/>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873280">
              <wp:simplePos x="0" y="0"/>
              <wp:positionH relativeFrom="page">
                <wp:posOffset>1369126</wp:posOffset>
              </wp:positionH>
              <wp:positionV relativeFrom="page">
                <wp:posOffset>456358</wp:posOffset>
              </wp:positionV>
              <wp:extent cx="1358900" cy="13208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1358900" cy="132080"/>
                      </a:xfrm>
                      <a:prstGeom prst="rect">
                        <a:avLst/>
                      </a:prstGeom>
                    </wps:spPr>
                    <wps:txbx>
                      <w:txbxContent>
                        <w:p>
                          <w:pPr>
                            <w:spacing w:before="15"/>
                            <w:ind w:left="20" w:right="0" w:firstLine="0"/>
                            <w:jc w:val="left"/>
                            <w:rPr>
                              <w:sz w:val="15"/>
                            </w:rPr>
                          </w:pPr>
                          <w:r>
                            <w:rPr>
                              <w:color w:val="707070"/>
                              <w:w w:val="105"/>
                              <w:sz w:val="15"/>
                            </w:rPr>
                            <w:t>NOTES</w:t>
                          </w:r>
                          <w:r>
                            <w:rPr>
                              <w:color w:val="707070"/>
                              <w:spacing w:val="10"/>
                              <w:w w:val="105"/>
                              <w:sz w:val="15"/>
                            </w:rPr>
                            <w:t> </w:t>
                          </w:r>
                          <w:r>
                            <w:rPr>
                              <w:i/>
                              <w:color w:val="707070"/>
                              <w:w w:val="105"/>
                              <w:sz w:val="14"/>
                            </w:rPr>
                            <w:t>TO</w:t>
                          </w:r>
                          <w:r>
                            <w:rPr>
                              <w:i/>
                              <w:color w:val="707070"/>
                              <w:spacing w:val="16"/>
                              <w:w w:val="105"/>
                              <w:sz w:val="14"/>
                            </w:rPr>
                            <w:t> </w:t>
                          </w:r>
                          <w:r>
                            <w:rPr>
                              <w:color w:val="707070"/>
                              <w:w w:val="105"/>
                              <w:sz w:val="15"/>
                            </w:rPr>
                            <w:t>THE</w:t>
                          </w:r>
                          <w:r>
                            <w:rPr>
                              <w:color w:val="707070"/>
                              <w:spacing w:val="5"/>
                              <w:w w:val="105"/>
                              <w:sz w:val="15"/>
                            </w:rPr>
                            <w:t> </w:t>
                          </w:r>
                          <w:r>
                            <w:rPr>
                              <w:color w:val="707070"/>
                              <w:spacing w:val="-2"/>
                              <w:w w:val="105"/>
                              <w:sz w:val="15"/>
                            </w:rPr>
                            <w:t>ACCOUNTS</w:t>
                          </w:r>
                        </w:p>
                      </w:txbxContent>
                    </wps:txbx>
                    <wps:bodyPr wrap="square" lIns="0" tIns="0" rIns="0" bIns="0" rtlCol="0">
                      <a:noAutofit/>
                    </wps:bodyPr>
                  </wps:wsp>
                </a:graphicData>
              </a:graphic>
            </wp:anchor>
          </w:drawing>
        </mc:Choice>
        <mc:Fallback>
          <w:pict>
            <v:shape style="position:absolute;margin-left:107.805199pt;margin-top:35.933704pt;width:107pt;height:10.4pt;mso-position-horizontal-relative:page;mso-position-vertical-relative:page;z-index:-27443200" type="#_x0000_t202" id="docshape95" filled="false" stroked="false">
              <v:textbox inset="0,0,0,0">
                <w:txbxContent>
                  <w:p>
                    <w:pPr>
                      <w:spacing w:before="15"/>
                      <w:ind w:left="20" w:right="0" w:firstLine="0"/>
                      <w:jc w:val="left"/>
                      <w:rPr>
                        <w:sz w:val="15"/>
                      </w:rPr>
                    </w:pPr>
                    <w:r>
                      <w:rPr>
                        <w:color w:val="707070"/>
                        <w:w w:val="105"/>
                        <w:sz w:val="15"/>
                      </w:rPr>
                      <w:t>NOTES</w:t>
                    </w:r>
                    <w:r>
                      <w:rPr>
                        <w:color w:val="707070"/>
                        <w:spacing w:val="10"/>
                        <w:w w:val="105"/>
                        <w:sz w:val="15"/>
                      </w:rPr>
                      <w:t> </w:t>
                    </w:r>
                    <w:r>
                      <w:rPr>
                        <w:i/>
                        <w:color w:val="707070"/>
                        <w:w w:val="105"/>
                        <w:sz w:val="14"/>
                      </w:rPr>
                      <w:t>TO</w:t>
                    </w:r>
                    <w:r>
                      <w:rPr>
                        <w:i/>
                        <w:color w:val="707070"/>
                        <w:spacing w:val="16"/>
                        <w:w w:val="105"/>
                        <w:sz w:val="14"/>
                      </w:rPr>
                      <w:t> </w:t>
                    </w:r>
                    <w:r>
                      <w:rPr>
                        <w:color w:val="707070"/>
                        <w:w w:val="105"/>
                        <w:sz w:val="15"/>
                      </w:rPr>
                      <w:t>THE</w:t>
                    </w:r>
                    <w:r>
                      <w:rPr>
                        <w:color w:val="707070"/>
                        <w:spacing w:val="5"/>
                        <w:w w:val="105"/>
                        <w:sz w:val="15"/>
                      </w:rPr>
                      <w:t> </w:t>
                    </w:r>
                    <w:r>
                      <w:rPr>
                        <w:color w:val="707070"/>
                        <w:spacing w:val="-2"/>
                        <w:w w:val="105"/>
                        <w:sz w:val="15"/>
                      </w:rPr>
                      <w:t>ACCOUNTS</w:t>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73792">
              <wp:simplePos x="0" y="0"/>
              <wp:positionH relativeFrom="page">
                <wp:posOffset>1039640</wp:posOffset>
              </wp:positionH>
              <wp:positionV relativeFrom="page">
                <wp:posOffset>542145</wp:posOffset>
              </wp:positionV>
              <wp:extent cx="78105" cy="139065"/>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78105" cy="139065"/>
                      </a:xfrm>
                      <a:prstGeom prst="rect">
                        <a:avLst/>
                      </a:prstGeom>
                    </wps:spPr>
                    <wps:txbx>
                      <w:txbxContent>
                        <w:p>
                          <w:pPr>
                            <w:spacing w:before="15"/>
                            <w:ind w:left="20" w:right="0" w:firstLine="0"/>
                            <w:jc w:val="left"/>
                            <w:rPr>
                              <w:i/>
                              <w:sz w:val="16"/>
                            </w:rPr>
                          </w:pPr>
                          <w:r>
                            <w:rPr>
                              <w:i/>
                              <w:color w:val="A8A8A8"/>
                              <w:spacing w:val="-10"/>
                              <w:sz w:val="16"/>
                            </w:rPr>
                            <w:t>5</w:t>
                          </w:r>
                        </w:p>
                      </w:txbxContent>
                    </wps:txbx>
                    <wps:bodyPr wrap="square" lIns="0" tIns="0" rIns="0" bIns="0" rtlCol="0">
                      <a:noAutofit/>
                    </wps:bodyPr>
                  </wps:wsp>
                </a:graphicData>
              </a:graphic>
            </wp:anchor>
          </w:drawing>
        </mc:Choice>
        <mc:Fallback>
          <w:pict>
            <v:shape style="position:absolute;margin-left:81.861443pt;margin-top:42.688652pt;width:6.15pt;height:10.95pt;mso-position-horizontal-relative:page;mso-position-vertical-relative:page;z-index:-27442688" type="#_x0000_t202" id="docshape96" filled="false" stroked="false">
              <v:textbox inset="0,0,0,0">
                <w:txbxContent>
                  <w:p>
                    <w:pPr>
                      <w:spacing w:before="15"/>
                      <w:ind w:left="20" w:right="0" w:firstLine="0"/>
                      <w:jc w:val="left"/>
                      <w:rPr>
                        <w:i/>
                        <w:sz w:val="16"/>
                      </w:rPr>
                    </w:pPr>
                    <w:r>
                      <w:rPr>
                        <w:i/>
                        <w:color w:val="A8A8A8"/>
                        <w:spacing w:val="-10"/>
                        <w:sz w:val="16"/>
                      </w:rPr>
                      <w:t>5</w:t>
                    </w:r>
                  </w:p>
                </w:txbxContent>
              </v:textbox>
              <w10:wrap type="none"/>
            </v:shape>
          </w:pict>
        </mc:Fallback>
      </mc:AlternateContent>
    </w:r>
    <w:r>
      <w:rPr/>
      <mc:AlternateContent>
        <mc:Choice Requires="wps">
          <w:drawing>
            <wp:anchor distT="0" distB="0" distL="0" distR="0" allowOverlap="1" layoutInCell="1" locked="0" behindDoc="1" simplePos="0" relativeHeight="475874304">
              <wp:simplePos x="0" y="0"/>
              <wp:positionH relativeFrom="page">
                <wp:posOffset>1510642</wp:posOffset>
              </wp:positionH>
              <wp:positionV relativeFrom="page">
                <wp:posOffset>553655</wp:posOffset>
              </wp:positionV>
              <wp:extent cx="1355090" cy="125095"/>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1355090" cy="125095"/>
                      </a:xfrm>
                      <a:prstGeom prst="rect">
                        <a:avLst/>
                      </a:prstGeom>
                    </wps:spPr>
                    <wps:txbx>
                      <w:txbxContent>
                        <w:p>
                          <w:pPr>
                            <w:spacing w:before="15"/>
                            <w:ind w:left="20" w:right="0" w:firstLine="0"/>
                            <w:jc w:val="left"/>
                            <w:rPr>
                              <w:sz w:val="14"/>
                            </w:rPr>
                          </w:pPr>
                          <w:r>
                            <w:rPr>
                              <w:color w:val="777777"/>
                              <w:w w:val="110"/>
                              <w:sz w:val="14"/>
                            </w:rPr>
                            <w:t>\\JOTES</w:t>
                          </w:r>
                          <w:r>
                            <w:rPr>
                              <w:color w:val="777777"/>
                              <w:spacing w:val="-5"/>
                              <w:w w:val="110"/>
                              <w:sz w:val="14"/>
                            </w:rPr>
                            <w:t> </w:t>
                          </w:r>
                          <w:r>
                            <w:rPr>
                              <w:color w:val="777777"/>
                              <w:w w:val="110"/>
                              <w:sz w:val="14"/>
                            </w:rPr>
                            <w:t>:()</w:t>
                          </w:r>
                          <w:r>
                            <w:rPr>
                              <w:color w:val="777777"/>
                              <w:spacing w:val="57"/>
                              <w:w w:val="110"/>
                              <w:sz w:val="14"/>
                            </w:rPr>
                            <w:t> </w:t>
                          </w:r>
                          <w:r>
                            <w:rPr>
                              <w:color w:val="777777"/>
                              <w:w w:val="110"/>
                              <w:sz w:val="14"/>
                            </w:rPr>
                            <w:t>THE</w:t>
                          </w:r>
                          <w:r>
                            <w:rPr>
                              <w:color w:val="777777"/>
                              <w:spacing w:val="-7"/>
                              <w:w w:val="110"/>
                              <w:sz w:val="14"/>
                            </w:rPr>
                            <w:t> </w:t>
                          </w:r>
                          <w:r>
                            <w:rPr>
                              <w:color w:val="777777"/>
                              <w:spacing w:val="-2"/>
                              <w:w w:val="110"/>
                              <w:sz w:val="14"/>
                            </w:rPr>
                            <w:t>ACCOUNTS</w:t>
                          </w:r>
                        </w:p>
                      </w:txbxContent>
                    </wps:txbx>
                    <wps:bodyPr wrap="square" lIns="0" tIns="0" rIns="0" bIns="0" rtlCol="0">
                      <a:noAutofit/>
                    </wps:bodyPr>
                  </wps:wsp>
                </a:graphicData>
              </a:graphic>
            </wp:anchor>
          </w:drawing>
        </mc:Choice>
        <mc:Fallback>
          <w:pict>
            <v:shape style="position:absolute;margin-left:118.948196pt;margin-top:43.594959pt;width:106.7pt;height:9.85pt;mso-position-horizontal-relative:page;mso-position-vertical-relative:page;z-index:-27442176" type="#_x0000_t202" id="docshape97" filled="false" stroked="false">
              <v:textbox inset="0,0,0,0">
                <w:txbxContent>
                  <w:p>
                    <w:pPr>
                      <w:spacing w:before="15"/>
                      <w:ind w:left="20" w:right="0" w:firstLine="0"/>
                      <w:jc w:val="left"/>
                      <w:rPr>
                        <w:sz w:val="14"/>
                      </w:rPr>
                    </w:pPr>
                    <w:r>
                      <w:rPr>
                        <w:color w:val="777777"/>
                        <w:w w:val="110"/>
                        <w:sz w:val="14"/>
                      </w:rPr>
                      <w:t>\\JOTES</w:t>
                    </w:r>
                    <w:r>
                      <w:rPr>
                        <w:color w:val="777777"/>
                        <w:spacing w:val="-5"/>
                        <w:w w:val="110"/>
                        <w:sz w:val="14"/>
                      </w:rPr>
                      <w:t> </w:t>
                    </w:r>
                    <w:r>
                      <w:rPr>
                        <w:color w:val="777777"/>
                        <w:w w:val="110"/>
                        <w:sz w:val="14"/>
                      </w:rPr>
                      <w:t>:()</w:t>
                    </w:r>
                    <w:r>
                      <w:rPr>
                        <w:color w:val="777777"/>
                        <w:spacing w:val="57"/>
                        <w:w w:val="110"/>
                        <w:sz w:val="14"/>
                      </w:rPr>
                      <w:t> </w:t>
                    </w:r>
                    <w:r>
                      <w:rPr>
                        <w:color w:val="777777"/>
                        <w:w w:val="110"/>
                        <w:sz w:val="14"/>
                      </w:rPr>
                      <w:t>THE</w:t>
                    </w:r>
                    <w:r>
                      <w:rPr>
                        <w:color w:val="777777"/>
                        <w:spacing w:val="-7"/>
                        <w:w w:val="110"/>
                        <w:sz w:val="14"/>
                      </w:rPr>
                      <w:t> </w:t>
                    </w:r>
                    <w:r>
                      <w:rPr>
                        <w:color w:val="777777"/>
                        <w:spacing w:val="-2"/>
                        <w:w w:val="110"/>
                        <w:sz w:val="14"/>
                      </w:rPr>
                      <w:t>ACCOUNTS</w:t>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75840">
              <wp:simplePos x="0" y="0"/>
              <wp:positionH relativeFrom="page">
                <wp:posOffset>1033763</wp:posOffset>
              </wp:positionH>
              <wp:positionV relativeFrom="page">
                <wp:posOffset>562811</wp:posOffset>
              </wp:positionV>
              <wp:extent cx="78105" cy="125095"/>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78105" cy="125095"/>
                      </a:xfrm>
                      <a:prstGeom prst="rect">
                        <a:avLst/>
                      </a:prstGeom>
                    </wps:spPr>
                    <wps:txbx>
                      <w:txbxContent>
                        <w:p>
                          <w:pPr>
                            <w:spacing w:before="15"/>
                            <w:ind w:left="20" w:right="0" w:firstLine="0"/>
                            <w:jc w:val="left"/>
                            <w:rPr>
                              <w:sz w:val="14"/>
                            </w:rPr>
                          </w:pPr>
                          <w:r>
                            <w:rPr>
                              <w:color w:val="A3A3A3"/>
                              <w:spacing w:val="-10"/>
                              <w:w w:val="105"/>
                              <w:sz w:val="14"/>
                            </w:rPr>
                            <w:t>5</w:t>
                          </w:r>
                        </w:p>
                      </w:txbxContent>
                    </wps:txbx>
                    <wps:bodyPr wrap="square" lIns="0" tIns="0" rIns="0" bIns="0" rtlCol="0">
                      <a:noAutofit/>
                    </wps:bodyPr>
                  </wps:wsp>
                </a:graphicData>
              </a:graphic>
            </wp:anchor>
          </w:drawing>
        </mc:Choice>
        <mc:Fallback>
          <w:pict>
            <v:shape style="position:absolute;margin-left:81.398689pt;margin-top:44.315857pt;width:6.15pt;height:9.85pt;mso-position-horizontal-relative:page;mso-position-vertical-relative:page;z-index:-27440640" type="#_x0000_t202" id="docshape106" filled="false" stroked="false">
              <v:textbox inset="0,0,0,0">
                <w:txbxContent>
                  <w:p>
                    <w:pPr>
                      <w:spacing w:before="15"/>
                      <w:ind w:left="20" w:right="0" w:firstLine="0"/>
                      <w:jc w:val="left"/>
                      <w:rPr>
                        <w:sz w:val="14"/>
                      </w:rPr>
                    </w:pPr>
                    <w:r>
                      <w:rPr>
                        <w:color w:val="A3A3A3"/>
                        <w:spacing w:val="-10"/>
                        <w:w w:val="105"/>
                        <w:sz w:val="14"/>
                      </w:rPr>
                      <w:t>5</w:t>
                    </w:r>
                  </w:p>
                </w:txbxContent>
              </v:textbox>
              <w10:wrap type="none"/>
            </v:shape>
          </w:pict>
        </mc:Fallback>
      </mc:AlternateContent>
    </w:r>
    <w:r>
      <w:rPr/>
      <mc:AlternateContent>
        <mc:Choice Requires="wps">
          <w:drawing>
            <wp:anchor distT="0" distB="0" distL="0" distR="0" allowOverlap="1" layoutInCell="1" locked="0" behindDoc="1" simplePos="0" relativeHeight="475876352">
              <wp:simplePos x="0" y="0"/>
              <wp:positionH relativeFrom="page">
                <wp:posOffset>1494486</wp:posOffset>
              </wp:positionH>
              <wp:positionV relativeFrom="page">
                <wp:posOffset>562811</wp:posOffset>
              </wp:positionV>
              <wp:extent cx="1367155" cy="125095"/>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1367155" cy="125095"/>
                      </a:xfrm>
                      <a:prstGeom prst="rect">
                        <a:avLst/>
                      </a:prstGeom>
                    </wps:spPr>
                    <wps:txbx>
                      <w:txbxContent>
                        <w:p>
                          <w:pPr>
                            <w:spacing w:before="15"/>
                            <w:ind w:left="20" w:right="0" w:firstLine="0"/>
                            <w:jc w:val="left"/>
                            <w:rPr>
                              <w:sz w:val="14"/>
                            </w:rPr>
                          </w:pPr>
                          <w:r>
                            <w:rPr>
                              <w:color w:val="A3A3A3"/>
                              <w:spacing w:val="-4"/>
                              <w:sz w:val="14"/>
                            </w:rPr>
                            <w:t>'.'&gt;JOTES</w:t>
                          </w:r>
                          <w:r>
                            <w:rPr>
                              <w:color w:val="A3A3A3"/>
                              <w:spacing w:val="17"/>
                              <w:sz w:val="14"/>
                            </w:rPr>
                            <w:t> </w:t>
                          </w:r>
                          <w:r>
                            <w:rPr>
                              <w:color w:val="A3A3A3"/>
                              <w:spacing w:val="-4"/>
                              <w:sz w:val="14"/>
                            </w:rPr>
                            <w:t>TO</w:t>
                          </w:r>
                          <w:r>
                            <w:rPr>
                              <w:color w:val="A3A3A3"/>
                              <w:spacing w:val="4"/>
                              <w:sz w:val="14"/>
                            </w:rPr>
                            <w:t> </w:t>
                          </w:r>
                          <w:r>
                            <w:rPr>
                              <w:color w:val="A3A3A3"/>
                              <w:spacing w:val="-4"/>
                              <w:sz w:val="14"/>
                            </w:rPr>
                            <w:t>T'.-lE</w:t>
                          </w:r>
                          <w:r>
                            <w:rPr>
                              <w:color w:val="A3A3A3"/>
                              <w:spacing w:val="2"/>
                              <w:sz w:val="14"/>
                            </w:rPr>
                            <w:t> </w:t>
                          </w:r>
                          <w:r>
                            <w:rPr>
                              <w:color w:val="A3A3A3"/>
                              <w:spacing w:val="-4"/>
                              <w:sz w:val="14"/>
                            </w:rPr>
                            <w:t>ACCOUNTS</w:t>
                          </w:r>
                        </w:p>
                      </w:txbxContent>
                    </wps:txbx>
                    <wps:bodyPr wrap="square" lIns="0" tIns="0" rIns="0" bIns="0" rtlCol="0">
                      <a:noAutofit/>
                    </wps:bodyPr>
                  </wps:wsp>
                </a:graphicData>
              </a:graphic>
            </wp:anchor>
          </w:drawing>
        </mc:Choice>
        <mc:Fallback>
          <w:pict>
            <v:shape style="position:absolute;margin-left:117.676102pt;margin-top:44.315857pt;width:107.65pt;height:9.85pt;mso-position-horizontal-relative:page;mso-position-vertical-relative:page;z-index:-27440128" type="#_x0000_t202" id="docshape107" filled="false" stroked="false">
              <v:textbox inset="0,0,0,0">
                <w:txbxContent>
                  <w:p>
                    <w:pPr>
                      <w:spacing w:before="15"/>
                      <w:ind w:left="20" w:right="0" w:firstLine="0"/>
                      <w:jc w:val="left"/>
                      <w:rPr>
                        <w:sz w:val="14"/>
                      </w:rPr>
                    </w:pPr>
                    <w:r>
                      <w:rPr>
                        <w:color w:val="A3A3A3"/>
                        <w:spacing w:val="-4"/>
                        <w:sz w:val="14"/>
                      </w:rPr>
                      <w:t>'.'&gt;JOTES</w:t>
                    </w:r>
                    <w:r>
                      <w:rPr>
                        <w:color w:val="A3A3A3"/>
                        <w:spacing w:val="17"/>
                        <w:sz w:val="14"/>
                      </w:rPr>
                      <w:t> </w:t>
                    </w:r>
                    <w:r>
                      <w:rPr>
                        <w:color w:val="A3A3A3"/>
                        <w:spacing w:val="-4"/>
                        <w:sz w:val="14"/>
                      </w:rPr>
                      <w:t>TO</w:t>
                    </w:r>
                    <w:r>
                      <w:rPr>
                        <w:color w:val="A3A3A3"/>
                        <w:spacing w:val="4"/>
                        <w:sz w:val="14"/>
                      </w:rPr>
                      <w:t> </w:t>
                    </w:r>
                    <w:r>
                      <w:rPr>
                        <w:color w:val="A3A3A3"/>
                        <w:spacing w:val="-4"/>
                        <w:sz w:val="14"/>
                      </w:rPr>
                      <w:t>T'.-lE</w:t>
                    </w:r>
                    <w:r>
                      <w:rPr>
                        <w:color w:val="A3A3A3"/>
                        <w:spacing w:val="2"/>
                        <w:sz w:val="14"/>
                      </w:rPr>
                      <w:t> </w:t>
                    </w:r>
                    <w:r>
                      <w:rPr>
                        <w:color w:val="A3A3A3"/>
                        <w:spacing w:val="-4"/>
                        <w:sz w:val="14"/>
                      </w:rPr>
                      <w:t>ACCOUNTS</w:t>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76864">
              <wp:simplePos x="0" y="0"/>
              <wp:positionH relativeFrom="page">
                <wp:posOffset>920538</wp:posOffset>
              </wp:positionH>
              <wp:positionV relativeFrom="page">
                <wp:posOffset>465510</wp:posOffset>
              </wp:positionV>
              <wp:extent cx="74930" cy="132080"/>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74930" cy="132080"/>
                      </a:xfrm>
                      <a:prstGeom prst="rect">
                        <a:avLst/>
                      </a:prstGeom>
                    </wps:spPr>
                    <wps:txbx>
                      <w:txbxContent>
                        <w:p>
                          <w:pPr>
                            <w:spacing w:before="15"/>
                            <w:ind w:left="20" w:right="0" w:firstLine="0"/>
                            <w:jc w:val="left"/>
                            <w:rPr>
                              <w:sz w:val="15"/>
                            </w:rPr>
                          </w:pPr>
                          <w:r>
                            <w:rPr>
                              <w:color w:val="9E9E9E"/>
                              <w:spacing w:val="-10"/>
                              <w:sz w:val="15"/>
                            </w:rPr>
                            <w:t>5</w:t>
                          </w:r>
                        </w:p>
                      </w:txbxContent>
                    </wps:txbx>
                    <wps:bodyPr wrap="square" lIns="0" tIns="0" rIns="0" bIns="0" rtlCol="0">
                      <a:noAutofit/>
                    </wps:bodyPr>
                  </wps:wsp>
                </a:graphicData>
              </a:graphic>
            </wp:anchor>
          </w:drawing>
        </mc:Choice>
        <mc:Fallback>
          <w:pict>
            <v:shape style="position:absolute;margin-left:72.483330pt;margin-top:36.654404pt;width:5.9pt;height:10.4pt;mso-position-horizontal-relative:page;mso-position-vertical-relative:page;z-index:-27439616" type="#_x0000_t202" id="docshape108" filled="false" stroked="false">
              <v:textbox inset="0,0,0,0">
                <w:txbxContent>
                  <w:p>
                    <w:pPr>
                      <w:spacing w:before="15"/>
                      <w:ind w:left="20" w:right="0" w:firstLine="0"/>
                      <w:jc w:val="left"/>
                      <w:rPr>
                        <w:sz w:val="15"/>
                      </w:rPr>
                    </w:pPr>
                    <w:r>
                      <w:rPr>
                        <w:color w:val="9E9E9E"/>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877376">
              <wp:simplePos x="0" y="0"/>
              <wp:positionH relativeFrom="page">
                <wp:posOffset>1372179</wp:posOffset>
              </wp:positionH>
              <wp:positionV relativeFrom="page">
                <wp:posOffset>465510</wp:posOffset>
              </wp:positionV>
              <wp:extent cx="1358900" cy="13208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1358900" cy="132080"/>
                      </a:xfrm>
                      <a:prstGeom prst="rect">
                        <a:avLst/>
                      </a:prstGeom>
                    </wps:spPr>
                    <wps:txbx>
                      <w:txbxContent>
                        <w:p>
                          <w:pPr>
                            <w:spacing w:before="15"/>
                            <w:ind w:left="20" w:right="0" w:firstLine="0"/>
                            <w:jc w:val="left"/>
                            <w:rPr>
                              <w:sz w:val="15"/>
                            </w:rPr>
                          </w:pPr>
                          <w:r>
                            <w:rPr>
                              <w:color w:val="9E9E9E"/>
                              <w:sz w:val="15"/>
                            </w:rPr>
                            <w:t>NOTES</w:t>
                          </w:r>
                          <w:r>
                            <w:rPr>
                              <w:color w:val="9E9E9E"/>
                              <w:spacing w:val="30"/>
                              <w:sz w:val="15"/>
                            </w:rPr>
                            <w:t> </w:t>
                          </w:r>
                          <w:r>
                            <w:rPr>
                              <w:color w:val="9E9E9E"/>
                              <w:sz w:val="15"/>
                            </w:rPr>
                            <w:t>TO</w:t>
                          </w:r>
                          <w:r>
                            <w:rPr>
                              <w:color w:val="9E9E9E"/>
                              <w:spacing w:val="24"/>
                              <w:sz w:val="15"/>
                            </w:rPr>
                            <w:t> </w:t>
                          </w:r>
                          <w:r>
                            <w:rPr>
                              <w:color w:val="9E9E9E"/>
                              <w:sz w:val="15"/>
                            </w:rPr>
                            <w:t>THE</w:t>
                          </w:r>
                          <w:r>
                            <w:rPr>
                              <w:color w:val="9E9E9E"/>
                              <w:spacing w:val="19"/>
                              <w:sz w:val="15"/>
                            </w:rPr>
                            <w:t> </w:t>
                          </w:r>
                          <w:r>
                            <w:rPr>
                              <w:color w:val="9E9E9E"/>
                              <w:spacing w:val="-2"/>
                              <w:sz w:val="15"/>
                            </w:rPr>
                            <w:t>ACCOUNTS</w:t>
                          </w:r>
                        </w:p>
                      </w:txbxContent>
                    </wps:txbx>
                    <wps:bodyPr wrap="square" lIns="0" tIns="0" rIns="0" bIns="0" rtlCol="0">
                      <a:noAutofit/>
                    </wps:bodyPr>
                  </wps:wsp>
                </a:graphicData>
              </a:graphic>
            </wp:anchor>
          </w:drawing>
        </mc:Choice>
        <mc:Fallback>
          <w:pict>
            <v:shape style="position:absolute;margin-left:108.045601pt;margin-top:36.654404pt;width:107pt;height:10.4pt;mso-position-horizontal-relative:page;mso-position-vertical-relative:page;z-index:-27439104" type="#_x0000_t202" id="docshape109" filled="false" stroked="false">
              <v:textbox inset="0,0,0,0">
                <w:txbxContent>
                  <w:p>
                    <w:pPr>
                      <w:spacing w:before="15"/>
                      <w:ind w:left="20" w:right="0" w:firstLine="0"/>
                      <w:jc w:val="left"/>
                      <w:rPr>
                        <w:sz w:val="15"/>
                      </w:rPr>
                    </w:pPr>
                    <w:r>
                      <w:rPr>
                        <w:color w:val="9E9E9E"/>
                        <w:sz w:val="15"/>
                      </w:rPr>
                      <w:t>NOTES</w:t>
                    </w:r>
                    <w:r>
                      <w:rPr>
                        <w:color w:val="9E9E9E"/>
                        <w:spacing w:val="30"/>
                        <w:sz w:val="15"/>
                      </w:rPr>
                      <w:t> </w:t>
                    </w:r>
                    <w:r>
                      <w:rPr>
                        <w:color w:val="9E9E9E"/>
                        <w:sz w:val="15"/>
                      </w:rPr>
                      <w:t>TO</w:t>
                    </w:r>
                    <w:r>
                      <w:rPr>
                        <w:color w:val="9E9E9E"/>
                        <w:spacing w:val="24"/>
                        <w:sz w:val="15"/>
                      </w:rPr>
                      <w:t> </w:t>
                    </w:r>
                    <w:r>
                      <w:rPr>
                        <w:color w:val="9E9E9E"/>
                        <w:sz w:val="15"/>
                      </w:rPr>
                      <w:t>THE</w:t>
                    </w:r>
                    <w:r>
                      <w:rPr>
                        <w:color w:val="9E9E9E"/>
                        <w:spacing w:val="19"/>
                        <w:sz w:val="15"/>
                      </w:rPr>
                      <w:t> </w:t>
                    </w:r>
                    <w:r>
                      <w:rPr>
                        <w:color w:val="9E9E9E"/>
                        <w:spacing w:val="-2"/>
                        <w:sz w:val="15"/>
                      </w:rPr>
                      <w:t>ACCOUNTS</w:t>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78912">
              <wp:simplePos x="0" y="0"/>
              <wp:positionH relativeFrom="page">
                <wp:posOffset>1045746</wp:posOffset>
              </wp:positionH>
              <wp:positionV relativeFrom="page">
                <wp:posOffset>548249</wp:posOffset>
              </wp:positionV>
              <wp:extent cx="107950" cy="139065"/>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107950" cy="139065"/>
                      </a:xfrm>
                      <a:prstGeom prst="rect">
                        <a:avLst/>
                      </a:prstGeom>
                    </wps:spPr>
                    <wps:txbx>
                      <w:txbxContent>
                        <w:p>
                          <w:pPr>
                            <w:spacing w:before="15"/>
                            <w:ind w:left="20" w:right="0" w:firstLine="0"/>
                            <w:jc w:val="left"/>
                            <w:rPr>
                              <w:i/>
                              <w:sz w:val="16"/>
                            </w:rPr>
                          </w:pPr>
                          <w:r>
                            <w:rPr>
                              <w:i/>
                              <w:color w:val="0F0F0F"/>
                              <w:spacing w:val="-5"/>
                              <w:sz w:val="16"/>
                            </w:rPr>
                            <w:t>5.</w:t>
                          </w:r>
                        </w:p>
                      </w:txbxContent>
                    </wps:txbx>
                    <wps:bodyPr wrap="square" lIns="0" tIns="0" rIns="0" bIns="0" rtlCol="0">
                      <a:noAutofit/>
                    </wps:bodyPr>
                  </wps:wsp>
                </a:graphicData>
              </a:graphic>
            </wp:anchor>
          </w:drawing>
        </mc:Choice>
        <mc:Fallback>
          <w:pict>
            <v:shape style="position:absolute;margin-left:82.342209pt;margin-top:43.16925pt;width:8.5pt;height:10.95pt;mso-position-horizontal-relative:page;mso-position-vertical-relative:page;z-index:-27437568" type="#_x0000_t202" id="docshape121" filled="false" stroked="false">
              <v:textbox inset="0,0,0,0">
                <w:txbxContent>
                  <w:p>
                    <w:pPr>
                      <w:spacing w:before="15"/>
                      <w:ind w:left="20" w:right="0" w:firstLine="0"/>
                      <w:jc w:val="left"/>
                      <w:rPr>
                        <w:i/>
                        <w:sz w:val="16"/>
                      </w:rPr>
                    </w:pPr>
                    <w:r>
                      <w:rPr>
                        <w:i/>
                        <w:color w:val="0F0F0F"/>
                        <w:spacing w:val="-5"/>
                        <w:sz w:val="16"/>
                      </w:rPr>
                      <w:t>5.</w:t>
                    </w:r>
                  </w:p>
                </w:txbxContent>
              </v:textbox>
              <w10:wrap type="none"/>
            </v:shape>
          </w:pict>
        </mc:Fallback>
      </mc:AlternateContent>
    </w:r>
    <w:r>
      <w:rPr/>
      <mc:AlternateContent>
        <mc:Choice Requires="wps">
          <w:drawing>
            <wp:anchor distT="0" distB="0" distL="0" distR="0" allowOverlap="1" layoutInCell="1" locked="0" behindDoc="1" simplePos="0" relativeHeight="475879424">
              <wp:simplePos x="0" y="0"/>
              <wp:positionH relativeFrom="page">
                <wp:posOffset>1503453</wp:posOffset>
              </wp:positionH>
              <wp:positionV relativeFrom="page">
                <wp:posOffset>554004</wp:posOffset>
              </wp:positionV>
              <wp:extent cx="1365885" cy="132080"/>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1365885" cy="132080"/>
                      </a:xfrm>
                      <a:prstGeom prst="rect">
                        <a:avLst/>
                      </a:prstGeom>
                    </wps:spPr>
                    <wps:txbx>
                      <w:txbxContent>
                        <w:p>
                          <w:pPr>
                            <w:spacing w:before="15"/>
                            <w:ind w:left="20" w:right="0" w:firstLine="0"/>
                            <w:jc w:val="left"/>
                            <w:rPr>
                              <w:sz w:val="15"/>
                            </w:rPr>
                          </w:pPr>
                          <w:r>
                            <w:rPr>
                              <w:color w:val="2B2B2B"/>
                              <w:w w:val="105"/>
                              <w:sz w:val="15"/>
                            </w:rPr>
                            <w:t>NOTES</w:t>
                          </w:r>
                          <w:r>
                            <w:rPr>
                              <w:color w:val="2B2B2B"/>
                              <w:spacing w:val="14"/>
                              <w:w w:val="105"/>
                              <w:sz w:val="15"/>
                            </w:rPr>
                            <w:t> </w:t>
                          </w:r>
                          <w:r>
                            <w:rPr>
                              <w:color w:val="444444"/>
                              <w:w w:val="105"/>
                              <w:sz w:val="15"/>
                            </w:rPr>
                            <w:t>T</w:t>
                          </w:r>
                          <w:r>
                            <w:rPr>
                              <w:color w:val="0F0F0F"/>
                              <w:w w:val="105"/>
                              <w:sz w:val="15"/>
                            </w:rPr>
                            <w:t>O</w:t>
                          </w:r>
                          <w:r>
                            <w:rPr>
                              <w:color w:val="0F0F0F"/>
                              <w:spacing w:val="10"/>
                              <w:w w:val="105"/>
                              <w:sz w:val="15"/>
                            </w:rPr>
                            <w:t> </w:t>
                          </w:r>
                          <w:r>
                            <w:rPr>
                              <w:color w:val="2B2B2B"/>
                              <w:w w:val="105"/>
                              <w:sz w:val="15"/>
                            </w:rPr>
                            <w:t>THE</w:t>
                          </w:r>
                          <w:r>
                            <w:rPr>
                              <w:color w:val="2B2B2B"/>
                              <w:spacing w:val="11"/>
                              <w:w w:val="105"/>
                              <w:sz w:val="15"/>
                            </w:rPr>
                            <w:t> </w:t>
                          </w:r>
                          <w:r>
                            <w:rPr>
                              <w:color w:val="2B2B2B"/>
                              <w:spacing w:val="-2"/>
                              <w:w w:val="105"/>
                              <w:sz w:val="15"/>
                            </w:rPr>
                            <w:t>ACCOUNTS</w:t>
                          </w:r>
                        </w:p>
                      </w:txbxContent>
                    </wps:txbx>
                    <wps:bodyPr wrap="square" lIns="0" tIns="0" rIns="0" bIns="0" rtlCol="0">
                      <a:noAutofit/>
                    </wps:bodyPr>
                  </wps:wsp>
                </a:graphicData>
              </a:graphic>
            </wp:anchor>
          </w:drawing>
        </mc:Choice>
        <mc:Fallback>
          <w:pict>
            <v:shape style="position:absolute;margin-left:118.382202pt;margin-top:43.622406pt;width:107.55pt;height:10.4pt;mso-position-horizontal-relative:page;mso-position-vertical-relative:page;z-index:-27437056" type="#_x0000_t202" id="docshape122" filled="false" stroked="false">
              <v:textbox inset="0,0,0,0">
                <w:txbxContent>
                  <w:p>
                    <w:pPr>
                      <w:spacing w:before="15"/>
                      <w:ind w:left="20" w:right="0" w:firstLine="0"/>
                      <w:jc w:val="left"/>
                      <w:rPr>
                        <w:sz w:val="15"/>
                      </w:rPr>
                    </w:pPr>
                    <w:r>
                      <w:rPr>
                        <w:color w:val="2B2B2B"/>
                        <w:w w:val="105"/>
                        <w:sz w:val="15"/>
                      </w:rPr>
                      <w:t>NOTES</w:t>
                    </w:r>
                    <w:r>
                      <w:rPr>
                        <w:color w:val="2B2B2B"/>
                        <w:spacing w:val="14"/>
                        <w:w w:val="105"/>
                        <w:sz w:val="15"/>
                      </w:rPr>
                      <w:t> </w:t>
                    </w:r>
                    <w:r>
                      <w:rPr>
                        <w:color w:val="444444"/>
                        <w:w w:val="105"/>
                        <w:sz w:val="15"/>
                      </w:rPr>
                      <w:t>T</w:t>
                    </w:r>
                    <w:r>
                      <w:rPr>
                        <w:color w:val="0F0F0F"/>
                        <w:w w:val="105"/>
                        <w:sz w:val="15"/>
                      </w:rPr>
                      <w:t>O</w:t>
                    </w:r>
                    <w:r>
                      <w:rPr>
                        <w:color w:val="0F0F0F"/>
                        <w:spacing w:val="10"/>
                        <w:w w:val="105"/>
                        <w:sz w:val="15"/>
                      </w:rPr>
                      <w:t> </w:t>
                    </w:r>
                    <w:r>
                      <w:rPr>
                        <w:color w:val="2B2B2B"/>
                        <w:w w:val="105"/>
                        <w:sz w:val="15"/>
                      </w:rPr>
                      <w:t>THE</w:t>
                    </w:r>
                    <w:r>
                      <w:rPr>
                        <w:color w:val="2B2B2B"/>
                        <w:spacing w:val="11"/>
                        <w:w w:val="105"/>
                        <w:sz w:val="15"/>
                      </w:rPr>
                      <w:t> </w:t>
                    </w:r>
                    <w:r>
                      <w:rPr>
                        <w:color w:val="2B2B2B"/>
                        <w:spacing w:val="-2"/>
                        <w:w w:val="105"/>
                        <w:sz w:val="15"/>
                      </w:rPr>
                      <w:t>ACCOUNTS</w:t>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79936">
              <wp:simplePos x="0" y="0"/>
              <wp:positionH relativeFrom="page">
                <wp:posOffset>905273</wp:posOffset>
              </wp:positionH>
              <wp:positionV relativeFrom="page">
                <wp:posOffset>465510</wp:posOffset>
              </wp:positionV>
              <wp:extent cx="74930" cy="13208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74930" cy="132080"/>
                      </a:xfrm>
                      <a:prstGeom prst="rect">
                        <a:avLst/>
                      </a:prstGeom>
                    </wps:spPr>
                    <wps:txbx>
                      <w:txbxContent>
                        <w:p>
                          <w:pPr>
                            <w:spacing w:before="15"/>
                            <w:ind w:left="20" w:right="0" w:firstLine="0"/>
                            <w:jc w:val="left"/>
                            <w:rPr>
                              <w:sz w:val="15"/>
                            </w:rPr>
                          </w:pPr>
                          <w:r>
                            <w:rPr>
                              <w:color w:val="999999"/>
                              <w:spacing w:val="-10"/>
                              <w:sz w:val="15"/>
                            </w:rPr>
                            <w:t>5</w:t>
                          </w:r>
                        </w:p>
                      </w:txbxContent>
                    </wps:txbx>
                    <wps:bodyPr wrap="square" lIns="0" tIns="0" rIns="0" bIns="0" rtlCol="0">
                      <a:noAutofit/>
                    </wps:bodyPr>
                  </wps:wsp>
                </a:graphicData>
              </a:graphic>
            </wp:anchor>
          </w:drawing>
        </mc:Choice>
        <mc:Fallback>
          <w:pict>
            <v:shape style="position:absolute;margin-left:71.281403pt;margin-top:36.654404pt;width:5.9pt;height:10.4pt;mso-position-horizontal-relative:page;mso-position-vertical-relative:page;z-index:-27436544" type="#_x0000_t202" id="docshape123" filled="false" stroked="false">
              <v:textbox inset="0,0,0,0">
                <w:txbxContent>
                  <w:p>
                    <w:pPr>
                      <w:spacing w:before="15"/>
                      <w:ind w:left="20" w:right="0" w:firstLine="0"/>
                      <w:jc w:val="left"/>
                      <w:rPr>
                        <w:sz w:val="15"/>
                      </w:rPr>
                    </w:pPr>
                    <w:r>
                      <w:rPr>
                        <w:color w:val="999999"/>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880448">
              <wp:simplePos x="0" y="0"/>
              <wp:positionH relativeFrom="page">
                <wp:posOffset>1356914</wp:posOffset>
              </wp:positionH>
              <wp:positionV relativeFrom="page">
                <wp:posOffset>465510</wp:posOffset>
              </wp:positionV>
              <wp:extent cx="1362075" cy="13208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1362075" cy="132080"/>
                      </a:xfrm>
                      <a:prstGeom prst="rect">
                        <a:avLst/>
                      </a:prstGeom>
                    </wps:spPr>
                    <wps:txbx>
                      <w:txbxContent>
                        <w:p>
                          <w:pPr>
                            <w:spacing w:before="15"/>
                            <w:ind w:left="20" w:right="0" w:firstLine="0"/>
                            <w:jc w:val="left"/>
                            <w:rPr>
                              <w:sz w:val="15"/>
                            </w:rPr>
                          </w:pPr>
                          <w:r>
                            <w:rPr>
                              <w:color w:val="999999"/>
                              <w:w w:val="105"/>
                              <w:sz w:val="15"/>
                            </w:rPr>
                            <w:t>NOTES</w:t>
                          </w:r>
                          <w:r>
                            <w:rPr>
                              <w:color w:val="999999"/>
                              <w:spacing w:val="7"/>
                              <w:w w:val="105"/>
                              <w:sz w:val="15"/>
                            </w:rPr>
                            <w:t> </w:t>
                          </w:r>
                          <w:r>
                            <w:rPr>
                              <w:color w:val="999999"/>
                              <w:w w:val="105"/>
                              <w:sz w:val="15"/>
                            </w:rPr>
                            <w:t>TO</w:t>
                          </w:r>
                          <w:r>
                            <w:rPr>
                              <w:color w:val="999999"/>
                              <w:spacing w:val="3"/>
                              <w:w w:val="105"/>
                              <w:sz w:val="15"/>
                            </w:rPr>
                            <w:t> </w:t>
                          </w:r>
                          <w:r>
                            <w:rPr>
                              <w:color w:val="999999"/>
                              <w:w w:val="105"/>
                              <w:sz w:val="15"/>
                            </w:rPr>
                            <w:t>THE</w:t>
                          </w:r>
                          <w:r>
                            <w:rPr>
                              <w:color w:val="999999"/>
                              <w:spacing w:val="10"/>
                              <w:w w:val="105"/>
                              <w:sz w:val="15"/>
                            </w:rPr>
                            <w:t> </w:t>
                          </w:r>
                          <w:r>
                            <w:rPr>
                              <w:color w:val="999999"/>
                              <w:spacing w:val="-2"/>
                              <w:w w:val="105"/>
                              <w:sz w:val="15"/>
                            </w:rPr>
                            <w:t>ACCOUNTS</w:t>
                          </w:r>
                        </w:p>
                      </w:txbxContent>
                    </wps:txbx>
                    <wps:bodyPr wrap="square" lIns="0" tIns="0" rIns="0" bIns="0" rtlCol="0">
                      <a:noAutofit/>
                    </wps:bodyPr>
                  </wps:wsp>
                </a:graphicData>
              </a:graphic>
            </wp:anchor>
          </w:drawing>
        </mc:Choice>
        <mc:Fallback>
          <w:pict>
            <v:shape style="position:absolute;margin-left:106.843697pt;margin-top:36.654404pt;width:107.25pt;height:10.4pt;mso-position-horizontal-relative:page;mso-position-vertical-relative:page;z-index:-27436032" type="#_x0000_t202" id="docshape124" filled="false" stroked="false">
              <v:textbox inset="0,0,0,0">
                <w:txbxContent>
                  <w:p>
                    <w:pPr>
                      <w:spacing w:before="15"/>
                      <w:ind w:left="20" w:right="0" w:firstLine="0"/>
                      <w:jc w:val="left"/>
                      <w:rPr>
                        <w:sz w:val="15"/>
                      </w:rPr>
                    </w:pPr>
                    <w:r>
                      <w:rPr>
                        <w:color w:val="999999"/>
                        <w:w w:val="105"/>
                        <w:sz w:val="15"/>
                      </w:rPr>
                      <w:t>NOTES</w:t>
                    </w:r>
                    <w:r>
                      <w:rPr>
                        <w:color w:val="999999"/>
                        <w:spacing w:val="7"/>
                        <w:w w:val="105"/>
                        <w:sz w:val="15"/>
                      </w:rPr>
                      <w:t> </w:t>
                    </w:r>
                    <w:r>
                      <w:rPr>
                        <w:color w:val="999999"/>
                        <w:w w:val="105"/>
                        <w:sz w:val="15"/>
                      </w:rPr>
                      <w:t>TO</w:t>
                    </w:r>
                    <w:r>
                      <w:rPr>
                        <w:color w:val="999999"/>
                        <w:spacing w:val="3"/>
                        <w:w w:val="105"/>
                        <w:sz w:val="15"/>
                      </w:rPr>
                      <w:t> </w:t>
                    </w:r>
                    <w:r>
                      <w:rPr>
                        <w:color w:val="999999"/>
                        <w:w w:val="105"/>
                        <w:sz w:val="15"/>
                      </w:rPr>
                      <w:t>THE</w:t>
                    </w:r>
                    <w:r>
                      <w:rPr>
                        <w:color w:val="999999"/>
                        <w:spacing w:val="10"/>
                        <w:w w:val="105"/>
                        <w:sz w:val="15"/>
                      </w:rPr>
                      <w:t> </w:t>
                    </w:r>
                    <w:r>
                      <w:rPr>
                        <w:color w:val="999999"/>
                        <w:spacing w:val="-2"/>
                        <w:w w:val="105"/>
                        <w:sz w:val="15"/>
                      </w:rPr>
                      <w:t>ACCOUNTS</w:t>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5120">
              <wp:simplePos x="0" y="0"/>
              <wp:positionH relativeFrom="page">
                <wp:posOffset>933605</wp:posOffset>
              </wp:positionH>
              <wp:positionV relativeFrom="page">
                <wp:posOffset>297333</wp:posOffset>
              </wp:positionV>
              <wp:extent cx="1219200" cy="12509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1219200" cy="125095"/>
                      </a:xfrm>
                      <a:prstGeom prst="rect">
                        <a:avLst/>
                      </a:prstGeom>
                    </wps:spPr>
                    <wps:txbx>
                      <w:txbxContent>
                        <w:p>
                          <w:pPr>
                            <w:spacing w:before="15"/>
                            <w:ind w:left="20" w:right="0" w:firstLine="0"/>
                            <w:jc w:val="left"/>
                            <w:rPr>
                              <w:sz w:val="14"/>
                            </w:rPr>
                          </w:pPr>
                          <w:r>
                            <w:rPr>
                              <w:color w:val="A8A8A8"/>
                              <w:w w:val="110"/>
                              <w:sz w:val="14"/>
                            </w:rPr>
                            <w:t>JARRAT!VE</w:t>
                          </w:r>
                          <w:r>
                            <w:rPr>
                              <w:color w:val="A8A8A8"/>
                              <w:spacing w:val="21"/>
                              <w:w w:val="110"/>
                              <w:sz w:val="14"/>
                            </w:rPr>
                            <w:t> </w:t>
                          </w:r>
                          <w:r>
                            <w:rPr>
                              <w:color w:val="A8A8A8"/>
                              <w:spacing w:val="-2"/>
                              <w:w w:val="110"/>
                              <w:sz w:val="14"/>
                            </w:rPr>
                            <w:t>STATEMENT</w:t>
                          </w:r>
                        </w:p>
                      </w:txbxContent>
                    </wps:txbx>
                    <wps:bodyPr wrap="square" lIns="0" tIns="0" rIns="0" bIns="0" rtlCol="0">
                      <a:noAutofit/>
                    </wps:bodyPr>
                  </wps:wsp>
                </a:graphicData>
              </a:graphic>
            </wp:anchor>
          </w:drawing>
        </mc:Choice>
        <mc:Fallback>
          <w:pict>
            <v:shape style="position:absolute;margin-left:73.512268pt;margin-top:23.412058pt;width:96pt;height:9.85pt;mso-position-horizontal-relative:page;mso-position-vertical-relative:page;z-index:-27471360" type="#_x0000_t202" id="docshape22" filled="false" stroked="false">
              <v:textbox inset="0,0,0,0">
                <w:txbxContent>
                  <w:p>
                    <w:pPr>
                      <w:spacing w:before="15"/>
                      <w:ind w:left="20" w:right="0" w:firstLine="0"/>
                      <w:jc w:val="left"/>
                      <w:rPr>
                        <w:sz w:val="14"/>
                      </w:rPr>
                    </w:pPr>
                    <w:r>
                      <w:rPr>
                        <w:color w:val="A8A8A8"/>
                        <w:w w:val="110"/>
                        <w:sz w:val="14"/>
                      </w:rPr>
                      <w:t>JARRAT!VE</w:t>
                    </w:r>
                    <w:r>
                      <w:rPr>
                        <w:color w:val="A8A8A8"/>
                        <w:spacing w:val="21"/>
                        <w:w w:val="110"/>
                        <w:sz w:val="14"/>
                      </w:rPr>
                      <w:t> </w:t>
                    </w:r>
                    <w:r>
                      <w:rPr>
                        <w:color w:val="A8A8A8"/>
                        <w:spacing w:val="-2"/>
                        <w:w w:val="110"/>
                        <w:sz w:val="14"/>
                      </w:rPr>
                      <w:t>STATEMENT</w:t>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83008">
              <wp:simplePos x="0" y="0"/>
              <wp:positionH relativeFrom="page">
                <wp:posOffset>1039602</wp:posOffset>
              </wp:positionH>
              <wp:positionV relativeFrom="page">
                <wp:posOffset>660806</wp:posOffset>
              </wp:positionV>
              <wp:extent cx="71120" cy="132080"/>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71120" cy="132080"/>
                      </a:xfrm>
                      <a:prstGeom prst="rect">
                        <a:avLst/>
                      </a:prstGeom>
                    </wps:spPr>
                    <wps:txbx>
                      <w:txbxContent>
                        <w:p>
                          <w:pPr>
                            <w:spacing w:before="15"/>
                            <w:ind w:left="20" w:right="0" w:firstLine="0"/>
                            <w:jc w:val="left"/>
                            <w:rPr>
                              <w:sz w:val="15"/>
                            </w:rPr>
                          </w:pPr>
                          <w:r>
                            <w:rPr>
                              <w:color w:val="A1A1A1"/>
                              <w:spacing w:val="-10"/>
                              <w:w w:val="95"/>
                              <w:sz w:val="15"/>
                            </w:rPr>
                            <w:t>5</w:t>
                          </w:r>
                        </w:p>
                      </w:txbxContent>
                    </wps:txbx>
                    <wps:bodyPr wrap="square" lIns="0" tIns="0" rIns="0" bIns="0" rtlCol="0">
                      <a:noAutofit/>
                    </wps:bodyPr>
                  </wps:wsp>
                </a:graphicData>
              </a:graphic>
            </wp:anchor>
          </w:drawing>
        </mc:Choice>
        <mc:Fallback>
          <w:pict>
            <v:shape style="position:absolute;margin-left:81.858429pt;margin-top:52.032005pt;width:5.6pt;height:10.4pt;mso-position-horizontal-relative:page;mso-position-vertical-relative:page;z-index:-27433472" type="#_x0000_t202" id="docshape132" filled="false" stroked="false">
              <v:textbox inset="0,0,0,0">
                <w:txbxContent>
                  <w:p>
                    <w:pPr>
                      <w:spacing w:before="15"/>
                      <w:ind w:left="20" w:right="0" w:firstLine="0"/>
                      <w:jc w:val="left"/>
                      <w:rPr>
                        <w:sz w:val="15"/>
                      </w:rPr>
                    </w:pPr>
                    <w:r>
                      <w:rPr>
                        <w:color w:val="A1A1A1"/>
                        <w:spacing w:val="-10"/>
                        <w:w w:val="95"/>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883520">
              <wp:simplePos x="0" y="0"/>
              <wp:positionH relativeFrom="page">
                <wp:posOffset>1488189</wp:posOffset>
              </wp:positionH>
              <wp:positionV relativeFrom="page">
                <wp:posOffset>660806</wp:posOffset>
              </wp:positionV>
              <wp:extent cx="1365250" cy="132080"/>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1365250" cy="132080"/>
                      </a:xfrm>
                      <a:prstGeom prst="rect">
                        <a:avLst/>
                      </a:prstGeom>
                    </wps:spPr>
                    <wps:txbx>
                      <w:txbxContent>
                        <w:p>
                          <w:pPr>
                            <w:spacing w:before="15"/>
                            <w:ind w:left="20" w:right="0" w:firstLine="0"/>
                            <w:jc w:val="left"/>
                            <w:rPr>
                              <w:sz w:val="15"/>
                            </w:rPr>
                          </w:pPr>
                          <w:r>
                            <w:rPr>
                              <w:color w:val="A1A1A1"/>
                              <w:w w:val="105"/>
                              <w:sz w:val="15"/>
                            </w:rPr>
                            <w:t>NOTES</w:t>
                          </w:r>
                          <w:r>
                            <w:rPr>
                              <w:color w:val="A1A1A1"/>
                              <w:spacing w:val="13"/>
                              <w:w w:val="105"/>
                              <w:sz w:val="15"/>
                            </w:rPr>
                            <w:t> </w:t>
                          </w:r>
                          <w:r>
                            <w:rPr>
                              <w:color w:val="A1A1A1"/>
                              <w:w w:val="105"/>
                              <w:sz w:val="15"/>
                            </w:rPr>
                            <w:t>TO</w:t>
                          </w:r>
                          <w:r>
                            <w:rPr>
                              <w:color w:val="A1A1A1"/>
                              <w:spacing w:val="1"/>
                              <w:w w:val="105"/>
                              <w:sz w:val="15"/>
                            </w:rPr>
                            <w:t> </w:t>
                          </w:r>
                          <w:r>
                            <w:rPr>
                              <w:color w:val="A1A1A1"/>
                              <w:w w:val="105"/>
                              <w:sz w:val="15"/>
                            </w:rPr>
                            <w:t>THE</w:t>
                          </w:r>
                          <w:r>
                            <w:rPr>
                              <w:color w:val="A1A1A1"/>
                              <w:spacing w:val="11"/>
                              <w:w w:val="105"/>
                              <w:sz w:val="15"/>
                            </w:rPr>
                            <w:t> </w:t>
                          </w:r>
                          <w:r>
                            <w:rPr>
                              <w:color w:val="A1A1A1"/>
                              <w:spacing w:val="-2"/>
                              <w:w w:val="105"/>
                              <w:sz w:val="15"/>
                            </w:rPr>
                            <w:t>ACCOUNTS</w:t>
                          </w:r>
                        </w:p>
                      </w:txbxContent>
                    </wps:txbx>
                    <wps:bodyPr wrap="square" lIns="0" tIns="0" rIns="0" bIns="0" rtlCol="0">
                      <a:noAutofit/>
                    </wps:bodyPr>
                  </wps:wsp>
                </a:graphicData>
              </a:graphic>
            </wp:anchor>
          </w:drawing>
        </mc:Choice>
        <mc:Fallback>
          <w:pict>
            <v:shape style="position:absolute;margin-left:117.180298pt;margin-top:52.032005pt;width:107.5pt;height:10.4pt;mso-position-horizontal-relative:page;mso-position-vertical-relative:page;z-index:-27432960" type="#_x0000_t202" id="docshape133" filled="false" stroked="false">
              <v:textbox inset="0,0,0,0">
                <w:txbxContent>
                  <w:p>
                    <w:pPr>
                      <w:spacing w:before="15"/>
                      <w:ind w:left="20" w:right="0" w:firstLine="0"/>
                      <w:jc w:val="left"/>
                      <w:rPr>
                        <w:sz w:val="15"/>
                      </w:rPr>
                    </w:pPr>
                    <w:r>
                      <w:rPr>
                        <w:color w:val="A1A1A1"/>
                        <w:w w:val="105"/>
                        <w:sz w:val="15"/>
                      </w:rPr>
                      <w:t>NOTES</w:t>
                    </w:r>
                    <w:r>
                      <w:rPr>
                        <w:color w:val="A1A1A1"/>
                        <w:spacing w:val="13"/>
                        <w:w w:val="105"/>
                        <w:sz w:val="15"/>
                      </w:rPr>
                      <w:t> </w:t>
                    </w:r>
                    <w:r>
                      <w:rPr>
                        <w:color w:val="A1A1A1"/>
                        <w:w w:val="105"/>
                        <w:sz w:val="15"/>
                      </w:rPr>
                      <w:t>TO</w:t>
                    </w:r>
                    <w:r>
                      <w:rPr>
                        <w:color w:val="A1A1A1"/>
                        <w:spacing w:val="1"/>
                        <w:w w:val="105"/>
                        <w:sz w:val="15"/>
                      </w:rPr>
                      <w:t> </w:t>
                    </w:r>
                    <w:r>
                      <w:rPr>
                        <w:color w:val="A1A1A1"/>
                        <w:w w:val="105"/>
                        <w:sz w:val="15"/>
                      </w:rPr>
                      <w:t>THE</w:t>
                    </w:r>
                    <w:r>
                      <w:rPr>
                        <w:color w:val="A1A1A1"/>
                        <w:spacing w:val="11"/>
                        <w:w w:val="105"/>
                        <w:sz w:val="15"/>
                      </w:rPr>
                      <w:t> </w:t>
                    </w:r>
                    <w:r>
                      <w:rPr>
                        <w:color w:val="A1A1A1"/>
                        <w:spacing w:val="-2"/>
                        <w:w w:val="105"/>
                        <w:sz w:val="15"/>
                      </w:rPr>
                      <w:t>ACCOUNTS</w:t>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9"/>
      </w:rPr>
    </w:pPr>
    <w:r>
      <w:rPr/>
      <mc:AlternateContent>
        <mc:Choice Requires="wps">
          <w:drawing>
            <wp:anchor distT="0" distB="0" distL="0" distR="0" allowOverlap="1" layoutInCell="1" locked="0" behindDoc="1" simplePos="0" relativeHeight="475885056">
              <wp:simplePos x="0" y="0"/>
              <wp:positionH relativeFrom="page">
                <wp:posOffset>905273</wp:posOffset>
              </wp:positionH>
              <wp:positionV relativeFrom="page">
                <wp:posOffset>453306</wp:posOffset>
              </wp:positionV>
              <wp:extent cx="103505" cy="132080"/>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103505" cy="132080"/>
                      </a:xfrm>
                      <a:prstGeom prst="rect">
                        <a:avLst/>
                      </a:prstGeom>
                    </wps:spPr>
                    <wps:txbx>
                      <w:txbxContent>
                        <w:p>
                          <w:pPr>
                            <w:spacing w:before="15"/>
                            <w:ind w:left="20" w:right="0" w:firstLine="0"/>
                            <w:jc w:val="left"/>
                            <w:rPr>
                              <w:sz w:val="15"/>
                            </w:rPr>
                          </w:pPr>
                          <w:r>
                            <w:rPr>
                              <w:color w:val="A0A0A0"/>
                              <w:spacing w:val="-5"/>
                              <w:sz w:val="15"/>
                            </w:rPr>
                            <w:t>5.</w:t>
                          </w:r>
                        </w:p>
                      </w:txbxContent>
                    </wps:txbx>
                    <wps:bodyPr wrap="square" lIns="0" tIns="0" rIns="0" bIns="0" rtlCol="0">
                      <a:noAutofit/>
                    </wps:bodyPr>
                  </wps:wsp>
                </a:graphicData>
              </a:graphic>
            </wp:anchor>
          </w:drawing>
        </mc:Choice>
        <mc:Fallback>
          <w:pict>
            <v:shape style="position:absolute;margin-left:71.281403pt;margin-top:35.693405pt;width:8.15pt;height:10.4pt;mso-position-horizontal-relative:page;mso-position-vertical-relative:page;z-index:-27431424" type="#_x0000_t202" id="docshape141" filled="false" stroked="false">
              <v:textbox inset="0,0,0,0">
                <w:txbxContent>
                  <w:p>
                    <w:pPr>
                      <w:spacing w:before="15"/>
                      <w:ind w:left="20" w:right="0" w:firstLine="0"/>
                      <w:jc w:val="left"/>
                      <w:rPr>
                        <w:sz w:val="15"/>
                      </w:rPr>
                    </w:pPr>
                    <w:r>
                      <w:rPr>
                        <w:color w:val="A0A0A0"/>
                        <w:spacing w:val="-5"/>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885568">
              <wp:simplePos x="0" y="0"/>
              <wp:positionH relativeFrom="page">
                <wp:posOffset>1359968</wp:posOffset>
              </wp:positionH>
              <wp:positionV relativeFrom="page">
                <wp:posOffset>453306</wp:posOffset>
              </wp:positionV>
              <wp:extent cx="1362075" cy="13208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1362075" cy="132080"/>
                      </a:xfrm>
                      <a:prstGeom prst="rect">
                        <a:avLst/>
                      </a:prstGeom>
                    </wps:spPr>
                    <wps:txbx>
                      <w:txbxContent>
                        <w:p>
                          <w:pPr>
                            <w:spacing w:before="15"/>
                            <w:ind w:left="20" w:right="0" w:firstLine="0"/>
                            <w:jc w:val="left"/>
                            <w:rPr>
                              <w:sz w:val="15"/>
                            </w:rPr>
                          </w:pPr>
                          <w:r>
                            <w:rPr>
                              <w:color w:val="A0A0A0"/>
                              <w:sz w:val="15"/>
                            </w:rPr>
                            <w:t>NOTES</w:t>
                          </w:r>
                          <w:r>
                            <w:rPr>
                              <w:color w:val="A0A0A0"/>
                              <w:spacing w:val="29"/>
                              <w:sz w:val="15"/>
                            </w:rPr>
                            <w:t> </w:t>
                          </w:r>
                          <w:r>
                            <w:rPr>
                              <w:color w:val="A0A0A0"/>
                              <w:sz w:val="15"/>
                            </w:rPr>
                            <w:t>TO</w:t>
                          </w:r>
                          <w:r>
                            <w:rPr>
                              <w:color w:val="A0A0A0"/>
                              <w:spacing w:val="25"/>
                              <w:sz w:val="15"/>
                            </w:rPr>
                            <w:t> </w:t>
                          </w:r>
                          <w:r>
                            <w:rPr>
                              <w:color w:val="A0A0A0"/>
                              <w:sz w:val="15"/>
                            </w:rPr>
                            <w:t>THE</w:t>
                          </w:r>
                          <w:r>
                            <w:rPr>
                              <w:color w:val="A0A0A0"/>
                              <w:spacing w:val="24"/>
                              <w:sz w:val="15"/>
                            </w:rPr>
                            <w:t> </w:t>
                          </w:r>
                          <w:r>
                            <w:rPr>
                              <w:color w:val="A0A0A0"/>
                              <w:spacing w:val="-2"/>
                              <w:sz w:val="15"/>
                            </w:rPr>
                            <w:t>ACCOUNTS</w:t>
                          </w:r>
                        </w:p>
                      </w:txbxContent>
                    </wps:txbx>
                    <wps:bodyPr wrap="square" lIns="0" tIns="0" rIns="0" bIns="0" rtlCol="0">
                      <a:noAutofit/>
                    </wps:bodyPr>
                  </wps:wsp>
                </a:graphicData>
              </a:graphic>
            </wp:anchor>
          </w:drawing>
        </mc:Choice>
        <mc:Fallback>
          <w:pict>
            <v:shape style="position:absolute;margin-left:107.084099pt;margin-top:35.693405pt;width:107.25pt;height:10.4pt;mso-position-horizontal-relative:page;mso-position-vertical-relative:page;z-index:-27430912" type="#_x0000_t202" id="docshape142" filled="false" stroked="false">
              <v:textbox inset="0,0,0,0">
                <w:txbxContent>
                  <w:p>
                    <w:pPr>
                      <w:spacing w:before="15"/>
                      <w:ind w:left="20" w:right="0" w:firstLine="0"/>
                      <w:jc w:val="left"/>
                      <w:rPr>
                        <w:sz w:val="15"/>
                      </w:rPr>
                    </w:pPr>
                    <w:r>
                      <w:rPr>
                        <w:color w:val="A0A0A0"/>
                        <w:sz w:val="15"/>
                      </w:rPr>
                      <w:t>NOTES</w:t>
                    </w:r>
                    <w:r>
                      <w:rPr>
                        <w:color w:val="A0A0A0"/>
                        <w:spacing w:val="29"/>
                        <w:sz w:val="15"/>
                      </w:rPr>
                      <w:t> </w:t>
                    </w:r>
                    <w:r>
                      <w:rPr>
                        <w:color w:val="A0A0A0"/>
                        <w:sz w:val="15"/>
                      </w:rPr>
                      <w:t>TO</w:t>
                    </w:r>
                    <w:r>
                      <w:rPr>
                        <w:color w:val="A0A0A0"/>
                        <w:spacing w:val="25"/>
                        <w:sz w:val="15"/>
                      </w:rPr>
                      <w:t> </w:t>
                    </w:r>
                    <w:r>
                      <w:rPr>
                        <w:color w:val="A0A0A0"/>
                        <w:sz w:val="15"/>
                      </w:rPr>
                      <w:t>THE</w:t>
                    </w:r>
                    <w:r>
                      <w:rPr>
                        <w:color w:val="A0A0A0"/>
                        <w:spacing w:val="24"/>
                        <w:sz w:val="15"/>
                      </w:rPr>
                      <w:t> </w:t>
                    </w:r>
                    <w:r>
                      <w:rPr>
                        <w:color w:val="A0A0A0"/>
                        <w:spacing w:val="-2"/>
                        <w:sz w:val="15"/>
                      </w:rPr>
                      <w:t>ACCOUNTS</w:t>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86080">
              <wp:simplePos x="0" y="0"/>
              <wp:positionH relativeFrom="page">
                <wp:posOffset>905273</wp:posOffset>
              </wp:positionH>
              <wp:positionV relativeFrom="page">
                <wp:posOffset>453306</wp:posOffset>
              </wp:positionV>
              <wp:extent cx="103505" cy="132080"/>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103505" cy="132080"/>
                      </a:xfrm>
                      <a:prstGeom prst="rect">
                        <a:avLst/>
                      </a:prstGeom>
                    </wps:spPr>
                    <wps:txbx>
                      <w:txbxContent>
                        <w:p>
                          <w:pPr>
                            <w:spacing w:before="15"/>
                            <w:ind w:left="20" w:right="0" w:firstLine="0"/>
                            <w:jc w:val="left"/>
                            <w:rPr>
                              <w:sz w:val="15"/>
                            </w:rPr>
                          </w:pPr>
                          <w:r>
                            <w:rPr>
                              <w:color w:val="A0A0A0"/>
                              <w:spacing w:val="-5"/>
                              <w:sz w:val="15"/>
                            </w:rPr>
                            <w:t>5.</w:t>
                          </w:r>
                        </w:p>
                      </w:txbxContent>
                    </wps:txbx>
                    <wps:bodyPr wrap="square" lIns="0" tIns="0" rIns="0" bIns="0" rtlCol="0">
                      <a:noAutofit/>
                    </wps:bodyPr>
                  </wps:wsp>
                </a:graphicData>
              </a:graphic>
            </wp:anchor>
          </w:drawing>
        </mc:Choice>
        <mc:Fallback>
          <w:pict>
            <v:shape style="position:absolute;margin-left:71.281403pt;margin-top:35.693405pt;width:8.15pt;height:10.4pt;mso-position-horizontal-relative:page;mso-position-vertical-relative:page;z-index:-27430400" type="#_x0000_t202" id="docshape146" filled="false" stroked="false">
              <v:textbox inset="0,0,0,0">
                <w:txbxContent>
                  <w:p>
                    <w:pPr>
                      <w:spacing w:before="15"/>
                      <w:ind w:left="20" w:right="0" w:firstLine="0"/>
                      <w:jc w:val="left"/>
                      <w:rPr>
                        <w:sz w:val="15"/>
                      </w:rPr>
                    </w:pPr>
                    <w:r>
                      <w:rPr>
                        <w:color w:val="A0A0A0"/>
                        <w:spacing w:val="-5"/>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886592">
              <wp:simplePos x="0" y="0"/>
              <wp:positionH relativeFrom="page">
                <wp:posOffset>1359968</wp:posOffset>
              </wp:positionH>
              <wp:positionV relativeFrom="page">
                <wp:posOffset>453306</wp:posOffset>
              </wp:positionV>
              <wp:extent cx="1362075" cy="132080"/>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1362075" cy="132080"/>
                      </a:xfrm>
                      <a:prstGeom prst="rect">
                        <a:avLst/>
                      </a:prstGeom>
                    </wps:spPr>
                    <wps:txbx>
                      <w:txbxContent>
                        <w:p>
                          <w:pPr>
                            <w:spacing w:before="15"/>
                            <w:ind w:left="20" w:right="0" w:firstLine="0"/>
                            <w:jc w:val="left"/>
                            <w:rPr>
                              <w:sz w:val="15"/>
                            </w:rPr>
                          </w:pPr>
                          <w:r>
                            <w:rPr>
                              <w:color w:val="A0A0A0"/>
                              <w:sz w:val="15"/>
                            </w:rPr>
                            <w:t>NOTES</w:t>
                          </w:r>
                          <w:r>
                            <w:rPr>
                              <w:color w:val="A0A0A0"/>
                              <w:spacing w:val="29"/>
                              <w:sz w:val="15"/>
                            </w:rPr>
                            <w:t> </w:t>
                          </w:r>
                          <w:r>
                            <w:rPr>
                              <w:color w:val="A0A0A0"/>
                              <w:sz w:val="15"/>
                            </w:rPr>
                            <w:t>TO</w:t>
                          </w:r>
                          <w:r>
                            <w:rPr>
                              <w:color w:val="A0A0A0"/>
                              <w:spacing w:val="25"/>
                              <w:sz w:val="15"/>
                            </w:rPr>
                            <w:t> </w:t>
                          </w:r>
                          <w:r>
                            <w:rPr>
                              <w:color w:val="A0A0A0"/>
                              <w:sz w:val="15"/>
                            </w:rPr>
                            <w:t>THE</w:t>
                          </w:r>
                          <w:r>
                            <w:rPr>
                              <w:color w:val="A0A0A0"/>
                              <w:spacing w:val="24"/>
                              <w:sz w:val="15"/>
                            </w:rPr>
                            <w:t> </w:t>
                          </w:r>
                          <w:r>
                            <w:rPr>
                              <w:color w:val="A0A0A0"/>
                              <w:spacing w:val="-2"/>
                              <w:sz w:val="15"/>
                            </w:rPr>
                            <w:t>ACCOUNTS</w:t>
                          </w:r>
                        </w:p>
                      </w:txbxContent>
                    </wps:txbx>
                    <wps:bodyPr wrap="square" lIns="0" tIns="0" rIns="0" bIns="0" rtlCol="0">
                      <a:noAutofit/>
                    </wps:bodyPr>
                  </wps:wsp>
                </a:graphicData>
              </a:graphic>
            </wp:anchor>
          </w:drawing>
        </mc:Choice>
        <mc:Fallback>
          <w:pict>
            <v:shape style="position:absolute;margin-left:107.084099pt;margin-top:35.693405pt;width:107.25pt;height:10.4pt;mso-position-horizontal-relative:page;mso-position-vertical-relative:page;z-index:-27429888" type="#_x0000_t202" id="docshape147" filled="false" stroked="false">
              <v:textbox inset="0,0,0,0">
                <w:txbxContent>
                  <w:p>
                    <w:pPr>
                      <w:spacing w:before="15"/>
                      <w:ind w:left="20" w:right="0" w:firstLine="0"/>
                      <w:jc w:val="left"/>
                      <w:rPr>
                        <w:sz w:val="15"/>
                      </w:rPr>
                    </w:pPr>
                    <w:r>
                      <w:rPr>
                        <w:color w:val="A0A0A0"/>
                        <w:sz w:val="15"/>
                      </w:rPr>
                      <w:t>NOTES</w:t>
                    </w:r>
                    <w:r>
                      <w:rPr>
                        <w:color w:val="A0A0A0"/>
                        <w:spacing w:val="29"/>
                        <w:sz w:val="15"/>
                      </w:rPr>
                      <w:t> </w:t>
                    </w:r>
                    <w:r>
                      <w:rPr>
                        <w:color w:val="A0A0A0"/>
                        <w:sz w:val="15"/>
                      </w:rPr>
                      <w:t>TO</w:t>
                    </w:r>
                    <w:r>
                      <w:rPr>
                        <w:color w:val="A0A0A0"/>
                        <w:spacing w:val="25"/>
                        <w:sz w:val="15"/>
                      </w:rPr>
                      <w:t> </w:t>
                    </w:r>
                    <w:r>
                      <w:rPr>
                        <w:color w:val="A0A0A0"/>
                        <w:sz w:val="15"/>
                      </w:rPr>
                      <w:t>THE</w:t>
                    </w:r>
                    <w:r>
                      <w:rPr>
                        <w:color w:val="A0A0A0"/>
                        <w:spacing w:val="24"/>
                        <w:sz w:val="15"/>
                      </w:rPr>
                      <w:t> </w:t>
                    </w:r>
                    <w:r>
                      <w:rPr>
                        <w:color w:val="A0A0A0"/>
                        <w:spacing w:val="-2"/>
                        <w:sz w:val="15"/>
                      </w:rPr>
                      <w:t>ACCOUNTS</w:t>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88128">
              <wp:simplePos x="0" y="0"/>
              <wp:positionH relativeFrom="page">
                <wp:posOffset>1494295</wp:posOffset>
              </wp:positionH>
              <wp:positionV relativeFrom="page">
                <wp:posOffset>666908</wp:posOffset>
              </wp:positionV>
              <wp:extent cx="1356360" cy="132080"/>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1356360" cy="132080"/>
                      </a:xfrm>
                      <a:prstGeom prst="rect">
                        <a:avLst/>
                      </a:prstGeom>
                    </wps:spPr>
                    <wps:txbx>
                      <w:txbxContent>
                        <w:p>
                          <w:pPr>
                            <w:spacing w:before="15"/>
                            <w:ind w:left="20" w:right="0" w:firstLine="0"/>
                            <w:jc w:val="left"/>
                            <w:rPr>
                              <w:sz w:val="15"/>
                            </w:rPr>
                          </w:pPr>
                          <w:r>
                            <w:rPr>
                              <w:color w:val="AFAFAF"/>
                              <w:sz w:val="15"/>
                            </w:rPr>
                            <w:t>NOTES</w:t>
                          </w:r>
                          <w:r>
                            <w:rPr>
                              <w:color w:val="AFAFAF"/>
                              <w:spacing w:val="36"/>
                              <w:sz w:val="15"/>
                            </w:rPr>
                            <w:t> </w:t>
                          </w:r>
                          <w:r>
                            <w:rPr>
                              <w:color w:val="AFAFAF"/>
                              <w:sz w:val="15"/>
                            </w:rPr>
                            <w:t>TC</w:t>
                          </w:r>
                          <w:r>
                            <w:rPr>
                              <w:color w:val="AFAFAF"/>
                              <w:spacing w:val="26"/>
                              <w:sz w:val="15"/>
                            </w:rPr>
                            <w:t> </w:t>
                          </w:r>
                          <w:r>
                            <w:rPr>
                              <w:color w:val="AFAFAF"/>
                              <w:sz w:val="15"/>
                            </w:rPr>
                            <w:t>THE</w:t>
                          </w:r>
                          <w:r>
                            <w:rPr>
                              <w:color w:val="AFAFAF"/>
                              <w:spacing w:val="19"/>
                              <w:sz w:val="15"/>
                            </w:rPr>
                            <w:t> </w:t>
                          </w:r>
                          <w:r>
                            <w:rPr>
                              <w:color w:val="AFAFAF"/>
                              <w:spacing w:val="-2"/>
                              <w:sz w:val="15"/>
                            </w:rPr>
                            <w:t>ACCCL'MTS</w:t>
                          </w:r>
                        </w:p>
                      </w:txbxContent>
                    </wps:txbx>
                    <wps:bodyPr wrap="square" lIns="0" tIns="0" rIns="0" bIns="0" rtlCol="0">
                      <a:noAutofit/>
                    </wps:bodyPr>
                  </wps:wsp>
                </a:graphicData>
              </a:graphic>
            </wp:anchor>
          </w:drawing>
        </mc:Choice>
        <mc:Fallback>
          <w:pict>
            <v:shape style="position:absolute;margin-left:117.661102pt;margin-top:52.512505pt;width:106.8pt;height:10.4pt;mso-position-horizontal-relative:page;mso-position-vertical-relative:page;z-index:-27428352" type="#_x0000_t202" id="docshape155" filled="false" stroked="false">
              <v:textbox inset="0,0,0,0">
                <w:txbxContent>
                  <w:p>
                    <w:pPr>
                      <w:spacing w:before="15"/>
                      <w:ind w:left="20" w:right="0" w:firstLine="0"/>
                      <w:jc w:val="left"/>
                      <w:rPr>
                        <w:sz w:val="15"/>
                      </w:rPr>
                    </w:pPr>
                    <w:r>
                      <w:rPr>
                        <w:color w:val="AFAFAF"/>
                        <w:sz w:val="15"/>
                      </w:rPr>
                      <w:t>NOTES</w:t>
                    </w:r>
                    <w:r>
                      <w:rPr>
                        <w:color w:val="AFAFAF"/>
                        <w:spacing w:val="36"/>
                        <w:sz w:val="15"/>
                      </w:rPr>
                      <w:t> </w:t>
                    </w:r>
                    <w:r>
                      <w:rPr>
                        <w:color w:val="AFAFAF"/>
                        <w:sz w:val="15"/>
                      </w:rPr>
                      <w:t>TC</w:t>
                    </w:r>
                    <w:r>
                      <w:rPr>
                        <w:color w:val="AFAFAF"/>
                        <w:spacing w:val="26"/>
                        <w:sz w:val="15"/>
                      </w:rPr>
                      <w:t> </w:t>
                    </w:r>
                    <w:r>
                      <w:rPr>
                        <w:color w:val="AFAFAF"/>
                        <w:sz w:val="15"/>
                      </w:rPr>
                      <w:t>THE</w:t>
                    </w:r>
                    <w:r>
                      <w:rPr>
                        <w:color w:val="AFAFAF"/>
                        <w:spacing w:val="19"/>
                        <w:sz w:val="15"/>
                      </w:rPr>
                      <w:t> </w:t>
                    </w:r>
                    <w:r>
                      <w:rPr>
                        <w:color w:val="AFAFAF"/>
                        <w:spacing w:val="-2"/>
                        <w:sz w:val="15"/>
                      </w:rPr>
                      <w:t>ACCCL'MTS</w:t>
                    </w:r>
                  </w:p>
                </w:txbxContent>
              </v:textbox>
              <w10:wrap type="none"/>
            </v:shape>
          </w:pict>
        </mc:Fallback>
      </mc:AlternateContent>
    </w: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90688">
              <wp:simplePos x="0" y="0"/>
              <wp:positionH relativeFrom="page">
                <wp:posOffset>1041209</wp:posOffset>
              </wp:positionH>
              <wp:positionV relativeFrom="page">
                <wp:posOffset>578015</wp:posOffset>
              </wp:positionV>
              <wp:extent cx="1349375" cy="132080"/>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1349375" cy="132080"/>
                      </a:xfrm>
                      <a:prstGeom prst="rect">
                        <a:avLst/>
                      </a:prstGeom>
                    </wps:spPr>
                    <wps:txbx>
                      <w:txbxContent>
                        <w:p>
                          <w:pPr>
                            <w:spacing w:before="15"/>
                            <w:ind w:left="20" w:right="0" w:firstLine="0"/>
                            <w:jc w:val="left"/>
                            <w:rPr>
                              <w:sz w:val="13"/>
                            </w:rPr>
                          </w:pPr>
                          <w:r>
                            <w:rPr>
                              <w:color w:val="ACACAC"/>
                              <w:sz w:val="14"/>
                            </w:rPr>
                            <w:t>i\lU</w:t>
                          </w:r>
                          <w:r>
                            <w:rPr>
                              <w:color w:val="ACACAC"/>
                              <w:spacing w:val="-16"/>
                              <w:sz w:val="14"/>
                            </w:rPr>
                            <w:t> </w:t>
                          </w:r>
                          <w:r>
                            <w:rPr>
                              <w:color w:val="9A9A9A"/>
                              <w:sz w:val="14"/>
                            </w:rPr>
                            <w:t>I</w:t>
                          </w:r>
                          <w:r>
                            <w:rPr>
                              <w:color w:val="9A9A9A"/>
                              <w:spacing w:val="-10"/>
                              <w:sz w:val="14"/>
                            </w:rPr>
                            <w:t> </w:t>
                          </w:r>
                          <w:r>
                            <w:rPr>
                              <w:color w:val="ACACAC"/>
                              <w:sz w:val="14"/>
                            </w:rPr>
                            <w:t>L:S</w:t>
                          </w:r>
                          <w:r>
                            <w:rPr>
                              <w:color w:val="ACACAC"/>
                              <w:spacing w:val="36"/>
                              <w:sz w:val="14"/>
                            </w:rPr>
                            <w:t> </w:t>
                          </w:r>
                          <w:r>
                            <w:rPr>
                              <w:color w:val="ACACAC"/>
                              <w:sz w:val="14"/>
                            </w:rPr>
                            <w:t>I(;</w:t>
                          </w:r>
                          <w:r>
                            <w:rPr>
                              <w:color w:val="ACACAC"/>
                              <w:spacing w:val="30"/>
                              <w:sz w:val="14"/>
                            </w:rPr>
                            <w:t>  </w:t>
                          </w:r>
                          <w:r>
                            <w:rPr>
                              <w:color w:val="ACACAC"/>
                              <w:sz w:val="15"/>
                            </w:rPr>
                            <w:t>Ii</w:t>
                          </w:r>
                          <w:r>
                            <w:rPr>
                              <w:color w:val="ACACAC"/>
                              <w:spacing w:val="29"/>
                              <w:sz w:val="15"/>
                            </w:rPr>
                            <w:t> </w:t>
                          </w:r>
                          <w:r>
                            <w:rPr>
                              <w:color w:val="ACACAC"/>
                              <w:sz w:val="15"/>
                            </w:rPr>
                            <w:t>tE:</w:t>
                          </w:r>
                          <w:r>
                            <w:rPr>
                              <w:color w:val="ACACAC"/>
                              <w:spacing w:val="12"/>
                              <w:sz w:val="15"/>
                            </w:rPr>
                            <w:t> </w:t>
                          </w:r>
                          <w:r>
                            <w:rPr>
                              <w:color w:val="ACACAC"/>
                              <w:sz w:val="13"/>
                            </w:rPr>
                            <w:t>.&lt;\L&lt;.uUl'-J</w:t>
                          </w:r>
                          <w:r>
                            <w:rPr>
                              <w:color w:val="ACACAC"/>
                              <w:spacing w:val="10"/>
                              <w:sz w:val="13"/>
                            </w:rPr>
                            <w:t> </w:t>
                          </w:r>
                          <w:r>
                            <w:rPr>
                              <w:i/>
                              <w:color w:val="ACACAC"/>
                              <w:sz w:val="13"/>
                            </w:rPr>
                            <w:t>i</w:t>
                          </w:r>
                          <w:r>
                            <w:rPr>
                              <w:i/>
                              <w:color w:val="ACACAC"/>
                              <w:spacing w:val="3"/>
                              <w:sz w:val="13"/>
                            </w:rPr>
                            <w:t> </w:t>
                          </w:r>
                          <w:r>
                            <w:rPr>
                              <w:color w:val="ACACAC"/>
                              <w:spacing w:val="-5"/>
                              <w:sz w:val="13"/>
                            </w:rPr>
                            <w:t>,;</w:t>
                          </w:r>
                        </w:p>
                      </w:txbxContent>
                    </wps:txbx>
                    <wps:bodyPr wrap="square" lIns="0" tIns="0" rIns="0" bIns="0" rtlCol="0">
                      <a:noAutofit/>
                    </wps:bodyPr>
                  </wps:wsp>
                </a:graphicData>
              </a:graphic>
            </wp:anchor>
          </w:drawing>
        </mc:Choice>
        <mc:Fallback>
          <w:pict>
            <v:shape style="position:absolute;margin-left:81.98497pt;margin-top:45.513062pt;width:106.25pt;height:10.4pt;mso-position-horizontal-relative:page;mso-position-vertical-relative:page;z-index:-27425792" type="#_x0000_t202" id="docshape178" filled="false" stroked="false">
              <v:textbox inset="0,0,0,0">
                <w:txbxContent>
                  <w:p>
                    <w:pPr>
                      <w:spacing w:before="15"/>
                      <w:ind w:left="20" w:right="0" w:firstLine="0"/>
                      <w:jc w:val="left"/>
                      <w:rPr>
                        <w:sz w:val="13"/>
                      </w:rPr>
                    </w:pPr>
                    <w:r>
                      <w:rPr>
                        <w:color w:val="ACACAC"/>
                        <w:sz w:val="14"/>
                      </w:rPr>
                      <w:t>i\lU</w:t>
                    </w:r>
                    <w:r>
                      <w:rPr>
                        <w:color w:val="ACACAC"/>
                        <w:spacing w:val="-16"/>
                        <w:sz w:val="14"/>
                      </w:rPr>
                      <w:t> </w:t>
                    </w:r>
                    <w:r>
                      <w:rPr>
                        <w:color w:val="9A9A9A"/>
                        <w:sz w:val="14"/>
                      </w:rPr>
                      <w:t>I</w:t>
                    </w:r>
                    <w:r>
                      <w:rPr>
                        <w:color w:val="9A9A9A"/>
                        <w:spacing w:val="-10"/>
                        <w:sz w:val="14"/>
                      </w:rPr>
                      <w:t> </w:t>
                    </w:r>
                    <w:r>
                      <w:rPr>
                        <w:color w:val="ACACAC"/>
                        <w:sz w:val="14"/>
                      </w:rPr>
                      <w:t>L:S</w:t>
                    </w:r>
                    <w:r>
                      <w:rPr>
                        <w:color w:val="ACACAC"/>
                        <w:spacing w:val="36"/>
                        <w:sz w:val="14"/>
                      </w:rPr>
                      <w:t> </w:t>
                    </w:r>
                    <w:r>
                      <w:rPr>
                        <w:color w:val="ACACAC"/>
                        <w:sz w:val="14"/>
                      </w:rPr>
                      <w:t>I(;</w:t>
                    </w:r>
                    <w:r>
                      <w:rPr>
                        <w:color w:val="ACACAC"/>
                        <w:spacing w:val="30"/>
                        <w:sz w:val="14"/>
                      </w:rPr>
                      <w:t>  </w:t>
                    </w:r>
                    <w:r>
                      <w:rPr>
                        <w:color w:val="ACACAC"/>
                        <w:sz w:val="15"/>
                      </w:rPr>
                      <w:t>Ii</w:t>
                    </w:r>
                    <w:r>
                      <w:rPr>
                        <w:color w:val="ACACAC"/>
                        <w:spacing w:val="29"/>
                        <w:sz w:val="15"/>
                      </w:rPr>
                      <w:t> </w:t>
                    </w:r>
                    <w:r>
                      <w:rPr>
                        <w:color w:val="ACACAC"/>
                        <w:sz w:val="15"/>
                      </w:rPr>
                      <w:t>tE:</w:t>
                    </w:r>
                    <w:r>
                      <w:rPr>
                        <w:color w:val="ACACAC"/>
                        <w:spacing w:val="12"/>
                        <w:sz w:val="15"/>
                      </w:rPr>
                      <w:t> </w:t>
                    </w:r>
                    <w:r>
                      <w:rPr>
                        <w:color w:val="ACACAC"/>
                        <w:sz w:val="13"/>
                      </w:rPr>
                      <w:t>.&lt;\L&lt;.uUl'-J</w:t>
                    </w:r>
                    <w:r>
                      <w:rPr>
                        <w:color w:val="ACACAC"/>
                        <w:spacing w:val="10"/>
                        <w:sz w:val="13"/>
                      </w:rPr>
                      <w:t> </w:t>
                    </w:r>
                    <w:r>
                      <w:rPr>
                        <w:i/>
                        <w:color w:val="ACACAC"/>
                        <w:sz w:val="13"/>
                      </w:rPr>
                      <w:t>i</w:t>
                    </w:r>
                    <w:r>
                      <w:rPr>
                        <w:i/>
                        <w:color w:val="ACACAC"/>
                        <w:spacing w:val="3"/>
                        <w:sz w:val="13"/>
                      </w:rPr>
                      <w:t> </w:t>
                    </w:r>
                    <w:r>
                      <w:rPr>
                        <w:color w:val="ACACAC"/>
                        <w:spacing w:val="-5"/>
                        <w:sz w:val="13"/>
                      </w:rPr>
                      <w:t>,;</w:t>
                    </w:r>
                  </w:p>
                </w:txbxContent>
              </v:textbox>
              <w10:wrap type="none"/>
            </v:shape>
          </w:pict>
        </mc:Fallback>
      </mc:AlternateContent>
    </w:r>
    <w:r>
      <w:rPr/>
      <mc:AlternateContent>
        <mc:Choice Requires="wps">
          <w:drawing>
            <wp:anchor distT="0" distB="0" distL="0" distR="0" allowOverlap="1" layoutInCell="1" locked="0" behindDoc="1" simplePos="0" relativeHeight="475891200">
              <wp:simplePos x="0" y="0"/>
              <wp:positionH relativeFrom="page">
                <wp:posOffset>714059</wp:posOffset>
              </wp:positionH>
              <wp:positionV relativeFrom="page">
                <wp:posOffset>845386</wp:posOffset>
              </wp:positionV>
              <wp:extent cx="511175" cy="167640"/>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511175" cy="167640"/>
                      </a:xfrm>
                      <a:prstGeom prst="rect">
                        <a:avLst/>
                      </a:prstGeom>
                    </wps:spPr>
                    <wps:txbx>
                      <w:txbxContent>
                        <w:p>
                          <w:pPr>
                            <w:spacing w:before="13"/>
                            <w:ind w:left="20" w:right="0" w:firstLine="0"/>
                            <w:jc w:val="left"/>
                            <w:rPr>
                              <w:b/>
                              <w:sz w:val="20"/>
                            </w:rPr>
                          </w:pPr>
                          <w:r>
                            <w:rPr>
                              <w:b/>
                              <w:color w:val="9A9A9A"/>
                              <w:sz w:val="20"/>
                            </w:rPr>
                            <w:t>2021-</w:t>
                          </w:r>
                          <w:r>
                            <w:rPr>
                              <w:b/>
                              <w:color w:val="9A9A9A"/>
                              <w:spacing w:val="-5"/>
                              <w:sz w:val="20"/>
                            </w:rPr>
                            <w:t>22</w:t>
                          </w:r>
                        </w:p>
                      </w:txbxContent>
                    </wps:txbx>
                    <wps:bodyPr wrap="square" lIns="0" tIns="0" rIns="0" bIns="0" rtlCol="0">
                      <a:noAutofit/>
                    </wps:bodyPr>
                  </wps:wsp>
                </a:graphicData>
              </a:graphic>
            </wp:anchor>
          </w:drawing>
        </mc:Choice>
        <mc:Fallback>
          <w:pict>
            <v:shape style="position:absolute;margin-left:56.22514pt;margin-top:66.565849pt;width:40.25pt;height:13.2pt;mso-position-horizontal-relative:page;mso-position-vertical-relative:page;z-index:-27425280" type="#_x0000_t202" id="docshape179" filled="false" stroked="false">
              <v:textbox inset="0,0,0,0">
                <w:txbxContent>
                  <w:p>
                    <w:pPr>
                      <w:spacing w:before="13"/>
                      <w:ind w:left="20" w:right="0" w:firstLine="0"/>
                      <w:jc w:val="left"/>
                      <w:rPr>
                        <w:b/>
                        <w:sz w:val="20"/>
                      </w:rPr>
                    </w:pPr>
                    <w:r>
                      <w:rPr>
                        <w:b/>
                        <w:color w:val="9A9A9A"/>
                        <w:sz w:val="20"/>
                      </w:rPr>
                      <w:t>2021-</w:t>
                    </w:r>
                    <w:r>
                      <w:rPr>
                        <w:b/>
                        <w:color w:val="9A9A9A"/>
                        <w:spacing w:val="-5"/>
                        <w:sz w:val="20"/>
                      </w:rPr>
                      <w:t>22</w:t>
                    </w:r>
                  </w:p>
                </w:txbxContent>
              </v:textbox>
              <w10:wrap type="none"/>
            </v:shape>
          </w:pict>
        </mc:Fallback>
      </mc:AlternateContent>
    </w:r>
    <w:r>
      <w:rPr/>
      <mc:AlternateContent>
        <mc:Choice Requires="wps">
          <w:drawing>
            <wp:anchor distT="0" distB="0" distL="0" distR="0" allowOverlap="1" layoutInCell="1" locked="0" behindDoc="1" simplePos="0" relativeHeight="475891712">
              <wp:simplePos x="0" y="0"/>
              <wp:positionH relativeFrom="page">
                <wp:posOffset>8880950</wp:posOffset>
              </wp:positionH>
              <wp:positionV relativeFrom="page">
                <wp:posOffset>876266</wp:posOffset>
              </wp:positionV>
              <wp:extent cx="349250" cy="175260"/>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349250" cy="175260"/>
                      </a:xfrm>
                      <a:prstGeom prst="rect">
                        <a:avLst/>
                      </a:prstGeom>
                    </wps:spPr>
                    <wps:txbx>
                      <w:txbxContent>
                        <w:p>
                          <w:pPr>
                            <w:spacing w:before="13"/>
                            <w:ind w:left="20" w:right="0" w:firstLine="0"/>
                            <w:jc w:val="left"/>
                            <w:rPr>
                              <w:sz w:val="21"/>
                            </w:rPr>
                          </w:pPr>
                          <w:r>
                            <w:rPr>
                              <w:color w:val="030303"/>
                              <w:spacing w:val="-4"/>
                              <w:w w:val="110"/>
                              <w:sz w:val="21"/>
                            </w:rPr>
                            <w:t>Total</w:t>
                          </w:r>
                        </w:p>
                      </w:txbxContent>
                    </wps:txbx>
                    <wps:bodyPr wrap="square" lIns="0" tIns="0" rIns="0" bIns="0" rtlCol="0">
                      <a:noAutofit/>
                    </wps:bodyPr>
                  </wps:wsp>
                </a:graphicData>
              </a:graphic>
            </wp:anchor>
          </w:drawing>
        </mc:Choice>
        <mc:Fallback>
          <w:pict>
            <v:shape style="position:absolute;margin-left:699.287476pt;margin-top:68.997368pt;width:27.5pt;height:13.8pt;mso-position-horizontal-relative:page;mso-position-vertical-relative:page;z-index:-27424768" type="#_x0000_t202" id="docshape180" filled="false" stroked="false">
              <v:textbox inset="0,0,0,0">
                <w:txbxContent>
                  <w:p>
                    <w:pPr>
                      <w:spacing w:before="13"/>
                      <w:ind w:left="20" w:right="0" w:firstLine="0"/>
                      <w:jc w:val="left"/>
                      <w:rPr>
                        <w:sz w:val="21"/>
                      </w:rPr>
                    </w:pPr>
                    <w:r>
                      <w:rPr>
                        <w:color w:val="030303"/>
                        <w:spacing w:val="-4"/>
                        <w:w w:val="110"/>
                        <w:sz w:val="21"/>
                      </w:rPr>
                      <w:t>Total</w:t>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93760">
              <wp:simplePos x="0" y="0"/>
              <wp:positionH relativeFrom="page">
                <wp:posOffset>590684</wp:posOffset>
              </wp:positionH>
              <wp:positionV relativeFrom="page">
                <wp:posOffset>589532</wp:posOffset>
              </wp:positionV>
              <wp:extent cx="73660" cy="118110"/>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73660" cy="118110"/>
                      </a:xfrm>
                      <a:prstGeom prst="rect">
                        <a:avLst/>
                      </a:prstGeom>
                    </wps:spPr>
                    <wps:txbx>
                      <w:txbxContent>
                        <w:p>
                          <w:pPr>
                            <w:spacing w:before="16"/>
                            <w:ind w:left="20" w:right="0" w:firstLine="0"/>
                            <w:jc w:val="left"/>
                            <w:rPr>
                              <w:sz w:val="13"/>
                            </w:rPr>
                          </w:pPr>
                          <w:r>
                            <w:rPr>
                              <w:color w:val="B5B5B5"/>
                              <w:spacing w:val="-5"/>
                              <w:w w:val="105"/>
                              <w:sz w:val="13"/>
                            </w:rPr>
                            <w:t>:,</w:t>
                          </w:r>
                        </w:p>
                      </w:txbxContent>
                    </wps:txbx>
                    <wps:bodyPr wrap="square" lIns="0" tIns="0" rIns="0" bIns="0" rtlCol="0">
                      <a:noAutofit/>
                    </wps:bodyPr>
                  </wps:wsp>
                </a:graphicData>
              </a:graphic>
            </wp:anchor>
          </w:drawing>
        </mc:Choice>
        <mc:Fallback>
          <w:pict>
            <v:shape style="position:absolute;margin-left:46.51059pt;margin-top:46.419884pt;width:5.8pt;height:9.3pt;mso-position-horizontal-relative:page;mso-position-vertical-relative:page;z-index:-27422720" type="#_x0000_t202" id="docshape189" filled="false" stroked="false">
              <v:textbox inset="0,0,0,0">
                <w:txbxContent>
                  <w:p>
                    <w:pPr>
                      <w:spacing w:before="16"/>
                      <w:ind w:left="20" w:right="0" w:firstLine="0"/>
                      <w:jc w:val="left"/>
                      <w:rPr>
                        <w:sz w:val="13"/>
                      </w:rPr>
                    </w:pPr>
                    <w:r>
                      <w:rPr>
                        <w:color w:val="B5B5B5"/>
                        <w:spacing w:val="-5"/>
                        <w:w w:val="105"/>
                        <w:sz w:val="13"/>
                      </w:rPr>
                      <w:t>:,</w:t>
                    </w:r>
                  </w:p>
                </w:txbxContent>
              </v:textbox>
              <w10:wrap type="none"/>
            </v:shape>
          </w:pict>
        </mc:Fallback>
      </mc:AlternateContent>
    </w:r>
    <w:r>
      <w:rPr/>
      <mc:AlternateContent>
        <mc:Choice Requires="wps">
          <w:drawing>
            <wp:anchor distT="0" distB="0" distL="0" distR="0" allowOverlap="1" layoutInCell="1" locked="0" behindDoc="1" simplePos="0" relativeHeight="475894272">
              <wp:simplePos x="0" y="0"/>
              <wp:positionH relativeFrom="page">
                <wp:posOffset>1044263</wp:posOffset>
              </wp:positionH>
              <wp:positionV relativeFrom="page">
                <wp:posOffset>592585</wp:posOffset>
              </wp:positionV>
              <wp:extent cx="1379855" cy="118110"/>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1379855" cy="118110"/>
                      </a:xfrm>
                      <a:prstGeom prst="rect">
                        <a:avLst/>
                      </a:prstGeom>
                    </wps:spPr>
                    <wps:txbx>
                      <w:txbxContent>
                        <w:p>
                          <w:pPr>
                            <w:spacing w:before="16"/>
                            <w:ind w:left="20" w:right="0" w:firstLine="0"/>
                            <w:jc w:val="left"/>
                            <w:rPr>
                              <w:sz w:val="12"/>
                            </w:rPr>
                          </w:pPr>
                          <w:r>
                            <w:rPr>
                              <w:color w:val="B5B5B5"/>
                              <w:w w:val="150"/>
                              <w:sz w:val="13"/>
                            </w:rPr>
                            <w:t>1JUIL</w:t>
                          </w:r>
                          <w:r>
                            <w:rPr>
                              <w:color w:val="B5B5B5"/>
                              <w:spacing w:val="18"/>
                              <w:w w:val="170"/>
                              <w:sz w:val="13"/>
                            </w:rPr>
                            <w:t> </w:t>
                          </w:r>
                          <w:r>
                            <w:rPr>
                              <w:color w:val="B5B5B5"/>
                              <w:w w:val="170"/>
                              <w:sz w:val="10"/>
                            </w:rPr>
                            <w:t>!t.i</w:t>
                          </w:r>
                          <w:r>
                            <w:rPr>
                              <w:color w:val="B5B5B5"/>
                              <w:spacing w:val="13"/>
                              <w:w w:val="170"/>
                              <w:sz w:val="10"/>
                            </w:rPr>
                            <w:t> </w:t>
                          </w:r>
                          <w:r>
                            <w:rPr>
                              <w:color w:val="B5B5B5"/>
                              <w:w w:val="150"/>
                              <w:sz w:val="13"/>
                            </w:rPr>
                            <w:t>l·ilt</w:t>
                          </w:r>
                          <w:r>
                            <w:rPr>
                              <w:color w:val="B5B5B5"/>
                              <w:spacing w:val="22"/>
                              <w:w w:val="150"/>
                              <w:sz w:val="13"/>
                            </w:rPr>
                            <w:t> </w:t>
                          </w:r>
                          <w:r>
                            <w:rPr>
                              <w:color w:val="B5B5B5"/>
                              <w:w w:val="150"/>
                              <w:sz w:val="12"/>
                            </w:rPr>
                            <w:t>;</w:t>
                          </w:r>
                          <w:r>
                            <w:rPr>
                              <w:color w:val="B5B5B5"/>
                              <w:spacing w:val="-7"/>
                              <w:w w:val="150"/>
                              <w:sz w:val="12"/>
                            </w:rPr>
                            <w:t> </w:t>
                          </w:r>
                          <w:r>
                            <w:rPr>
                              <w:color w:val="B5B5B5"/>
                              <w:w w:val="150"/>
                              <w:sz w:val="12"/>
                            </w:rPr>
                            <w:t>t</w:t>
                          </w:r>
                          <w:r>
                            <w:rPr>
                              <w:color w:val="B5B5B5"/>
                              <w:spacing w:val="-7"/>
                              <w:w w:val="150"/>
                              <w:sz w:val="12"/>
                            </w:rPr>
                            <w:t> </w:t>
                          </w:r>
                          <w:r>
                            <w:rPr>
                              <w:color w:val="B5B5B5"/>
                              <w:w w:val="150"/>
                              <w:sz w:val="12"/>
                            </w:rPr>
                            <w:t>!.ULJl\'.</w:t>
                          </w:r>
                          <w:r>
                            <w:rPr>
                              <w:color w:val="B5B5B5"/>
                              <w:spacing w:val="-7"/>
                              <w:w w:val="150"/>
                              <w:sz w:val="12"/>
                            </w:rPr>
                            <w:t> </w:t>
                          </w:r>
                          <w:r>
                            <w:rPr>
                              <w:color w:val="B5B5B5"/>
                              <w:spacing w:val="-5"/>
                              <w:w w:val="150"/>
                              <w:sz w:val="12"/>
                            </w:rPr>
                            <w:t>tJ</w:t>
                          </w:r>
                        </w:p>
                      </w:txbxContent>
                    </wps:txbx>
                    <wps:bodyPr wrap="square" lIns="0" tIns="0" rIns="0" bIns="0" rtlCol="0">
                      <a:noAutofit/>
                    </wps:bodyPr>
                  </wps:wsp>
                </a:graphicData>
              </a:graphic>
            </wp:anchor>
          </w:drawing>
        </mc:Choice>
        <mc:Fallback>
          <w:pict>
            <v:shape style="position:absolute;margin-left:82.225456pt;margin-top:46.660294pt;width:108.65pt;height:9.3pt;mso-position-horizontal-relative:page;mso-position-vertical-relative:page;z-index:-27422208" type="#_x0000_t202" id="docshape190" filled="false" stroked="false">
              <v:textbox inset="0,0,0,0">
                <w:txbxContent>
                  <w:p>
                    <w:pPr>
                      <w:spacing w:before="16"/>
                      <w:ind w:left="20" w:right="0" w:firstLine="0"/>
                      <w:jc w:val="left"/>
                      <w:rPr>
                        <w:sz w:val="12"/>
                      </w:rPr>
                    </w:pPr>
                    <w:r>
                      <w:rPr>
                        <w:color w:val="B5B5B5"/>
                        <w:w w:val="150"/>
                        <w:sz w:val="13"/>
                      </w:rPr>
                      <w:t>1JUIL</w:t>
                    </w:r>
                    <w:r>
                      <w:rPr>
                        <w:color w:val="B5B5B5"/>
                        <w:spacing w:val="18"/>
                        <w:w w:val="170"/>
                        <w:sz w:val="13"/>
                      </w:rPr>
                      <w:t> </w:t>
                    </w:r>
                    <w:r>
                      <w:rPr>
                        <w:color w:val="B5B5B5"/>
                        <w:w w:val="170"/>
                        <w:sz w:val="10"/>
                      </w:rPr>
                      <w:t>!t.i</w:t>
                    </w:r>
                    <w:r>
                      <w:rPr>
                        <w:color w:val="B5B5B5"/>
                        <w:spacing w:val="13"/>
                        <w:w w:val="170"/>
                        <w:sz w:val="10"/>
                      </w:rPr>
                      <w:t> </w:t>
                    </w:r>
                    <w:r>
                      <w:rPr>
                        <w:color w:val="B5B5B5"/>
                        <w:w w:val="150"/>
                        <w:sz w:val="13"/>
                      </w:rPr>
                      <w:t>l·ilt</w:t>
                    </w:r>
                    <w:r>
                      <w:rPr>
                        <w:color w:val="B5B5B5"/>
                        <w:spacing w:val="22"/>
                        <w:w w:val="150"/>
                        <w:sz w:val="13"/>
                      </w:rPr>
                      <w:t> </w:t>
                    </w:r>
                    <w:r>
                      <w:rPr>
                        <w:color w:val="B5B5B5"/>
                        <w:w w:val="150"/>
                        <w:sz w:val="12"/>
                      </w:rPr>
                      <w:t>;</w:t>
                    </w:r>
                    <w:r>
                      <w:rPr>
                        <w:color w:val="B5B5B5"/>
                        <w:spacing w:val="-7"/>
                        <w:w w:val="150"/>
                        <w:sz w:val="12"/>
                      </w:rPr>
                      <w:t> </w:t>
                    </w:r>
                    <w:r>
                      <w:rPr>
                        <w:color w:val="B5B5B5"/>
                        <w:w w:val="150"/>
                        <w:sz w:val="12"/>
                      </w:rPr>
                      <w:t>t</w:t>
                    </w:r>
                    <w:r>
                      <w:rPr>
                        <w:color w:val="B5B5B5"/>
                        <w:spacing w:val="-7"/>
                        <w:w w:val="150"/>
                        <w:sz w:val="12"/>
                      </w:rPr>
                      <w:t> </w:t>
                    </w:r>
                    <w:r>
                      <w:rPr>
                        <w:color w:val="B5B5B5"/>
                        <w:w w:val="150"/>
                        <w:sz w:val="12"/>
                      </w:rPr>
                      <w:t>!.ULJl\'.</w:t>
                    </w:r>
                    <w:r>
                      <w:rPr>
                        <w:color w:val="B5B5B5"/>
                        <w:spacing w:val="-7"/>
                        <w:w w:val="150"/>
                        <w:sz w:val="12"/>
                      </w:rPr>
                      <w:t> </w:t>
                    </w:r>
                    <w:r>
                      <w:rPr>
                        <w:color w:val="B5B5B5"/>
                        <w:spacing w:val="-5"/>
                        <w:w w:val="150"/>
                        <w:sz w:val="12"/>
                      </w:rPr>
                      <w:t>tJ</w:t>
                    </w:r>
                  </w:p>
                </w:txbxContent>
              </v:textbox>
              <w10:wrap type="none"/>
            </v:shape>
          </w:pict>
        </mc:Fallback>
      </mc:AlternateContent>
    </w:r>
    <w:r>
      <w:rPr/>
      <mc:AlternateContent>
        <mc:Choice Requires="wps">
          <w:drawing>
            <wp:anchor distT="0" distB="0" distL="0" distR="0" allowOverlap="1" layoutInCell="1" locked="0" behindDoc="1" simplePos="0" relativeHeight="475894784">
              <wp:simplePos x="0" y="0"/>
              <wp:positionH relativeFrom="page">
                <wp:posOffset>720167</wp:posOffset>
              </wp:positionH>
              <wp:positionV relativeFrom="page">
                <wp:posOffset>851492</wp:posOffset>
              </wp:positionV>
              <wp:extent cx="506730" cy="167640"/>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506730" cy="167640"/>
                      </a:xfrm>
                      <a:prstGeom prst="rect">
                        <a:avLst/>
                      </a:prstGeom>
                    </wps:spPr>
                    <wps:txbx>
                      <w:txbxContent>
                        <w:p>
                          <w:pPr>
                            <w:spacing w:before="13"/>
                            <w:ind w:left="20" w:right="0" w:firstLine="0"/>
                            <w:jc w:val="left"/>
                            <w:rPr>
                              <w:b/>
                              <w:sz w:val="20"/>
                            </w:rPr>
                          </w:pPr>
                          <w:r>
                            <w:rPr>
                              <w:b/>
                              <w:color w:val="030303"/>
                              <w:sz w:val="20"/>
                            </w:rPr>
                            <w:t>2022-</w:t>
                          </w:r>
                          <w:r>
                            <w:rPr>
                              <w:b/>
                              <w:color w:val="030303"/>
                              <w:spacing w:val="-5"/>
                              <w:sz w:val="20"/>
                            </w:rPr>
                            <w:t>23</w:t>
                          </w:r>
                        </w:p>
                      </w:txbxContent>
                    </wps:txbx>
                    <wps:bodyPr wrap="square" lIns="0" tIns="0" rIns="0" bIns="0" rtlCol="0">
                      <a:noAutofit/>
                    </wps:bodyPr>
                  </wps:wsp>
                </a:graphicData>
              </a:graphic>
            </wp:anchor>
          </w:drawing>
        </mc:Choice>
        <mc:Fallback>
          <w:pict>
            <v:shape style="position:absolute;margin-left:56.706108pt;margin-top:67.046669pt;width:39.9pt;height:13.2pt;mso-position-horizontal-relative:page;mso-position-vertical-relative:page;z-index:-27421696" type="#_x0000_t202" id="docshape191" filled="false" stroked="false">
              <v:textbox inset="0,0,0,0">
                <w:txbxContent>
                  <w:p>
                    <w:pPr>
                      <w:spacing w:before="13"/>
                      <w:ind w:left="20" w:right="0" w:firstLine="0"/>
                      <w:jc w:val="left"/>
                      <w:rPr>
                        <w:b/>
                        <w:sz w:val="20"/>
                      </w:rPr>
                    </w:pPr>
                    <w:r>
                      <w:rPr>
                        <w:b/>
                        <w:color w:val="030303"/>
                        <w:sz w:val="20"/>
                      </w:rPr>
                      <w:t>2022-</w:t>
                    </w:r>
                    <w:r>
                      <w:rPr>
                        <w:b/>
                        <w:color w:val="030303"/>
                        <w:spacing w:val="-5"/>
                        <w:sz w:val="20"/>
                      </w:rPr>
                      <w:t>23</w:t>
                    </w:r>
                  </w:p>
                </w:txbxContent>
              </v:textbox>
              <w10:wrap type="none"/>
            </v:shape>
          </w:pict>
        </mc:Fallback>
      </mc:AlternateContent>
    </w:r>
    <w:r>
      <w:rPr/>
      <mc:AlternateContent>
        <mc:Choice Requires="wps">
          <w:drawing>
            <wp:anchor distT="0" distB="0" distL="0" distR="0" allowOverlap="1" layoutInCell="1" locked="0" behindDoc="1" simplePos="0" relativeHeight="475895296">
              <wp:simplePos x="0" y="0"/>
              <wp:positionH relativeFrom="page">
                <wp:posOffset>8880950</wp:posOffset>
              </wp:positionH>
              <wp:positionV relativeFrom="page">
                <wp:posOffset>882372</wp:posOffset>
              </wp:positionV>
              <wp:extent cx="352425" cy="175260"/>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352425" cy="175260"/>
                      </a:xfrm>
                      <a:prstGeom prst="rect">
                        <a:avLst/>
                      </a:prstGeom>
                    </wps:spPr>
                    <wps:txbx>
                      <w:txbxContent>
                        <w:p>
                          <w:pPr>
                            <w:spacing w:before="13"/>
                            <w:ind w:left="20" w:right="0" w:firstLine="0"/>
                            <w:jc w:val="left"/>
                            <w:rPr>
                              <w:sz w:val="21"/>
                            </w:rPr>
                          </w:pPr>
                          <w:r>
                            <w:rPr>
                              <w:color w:val="030303"/>
                              <w:spacing w:val="-4"/>
                              <w:w w:val="110"/>
                              <w:sz w:val="21"/>
                            </w:rPr>
                            <w:t>Total</w:t>
                          </w:r>
                        </w:p>
                      </w:txbxContent>
                    </wps:txbx>
                    <wps:bodyPr wrap="square" lIns="0" tIns="0" rIns="0" bIns="0" rtlCol="0">
                      <a:noAutofit/>
                    </wps:bodyPr>
                  </wps:wsp>
                </a:graphicData>
              </a:graphic>
            </wp:anchor>
          </w:drawing>
        </mc:Choice>
        <mc:Fallback>
          <w:pict>
            <v:shape style="position:absolute;margin-left:699.287476pt;margin-top:69.478188pt;width:27.75pt;height:13.8pt;mso-position-horizontal-relative:page;mso-position-vertical-relative:page;z-index:-27421184" type="#_x0000_t202" id="docshape192" filled="false" stroked="false">
              <v:textbox inset="0,0,0,0">
                <w:txbxContent>
                  <w:p>
                    <w:pPr>
                      <w:spacing w:before="13"/>
                      <w:ind w:left="20" w:right="0" w:firstLine="0"/>
                      <w:jc w:val="left"/>
                      <w:rPr>
                        <w:sz w:val="21"/>
                      </w:rPr>
                    </w:pPr>
                    <w:r>
                      <w:rPr>
                        <w:color w:val="030303"/>
                        <w:spacing w:val="-4"/>
                        <w:w w:val="110"/>
                        <w:sz w:val="21"/>
                      </w:rPr>
                      <w:t>Total</w:t>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95808">
              <wp:simplePos x="0" y="0"/>
              <wp:positionH relativeFrom="page">
                <wp:posOffset>804527</wp:posOffset>
              </wp:positionH>
              <wp:positionV relativeFrom="page">
                <wp:posOffset>450254</wp:posOffset>
              </wp:positionV>
              <wp:extent cx="78105" cy="132080"/>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78105" cy="132080"/>
                      </a:xfrm>
                      <a:prstGeom prst="rect">
                        <a:avLst/>
                      </a:prstGeom>
                    </wps:spPr>
                    <wps:txbx>
                      <w:txbxContent>
                        <w:p>
                          <w:pPr>
                            <w:spacing w:before="15"/>
                            <w:ind w:left="20" w:right="0" w:firstLine="0"/>
                            <w:jc w:val="left"/>
                            <w:rPr>
                              <w:sz w:val="15"/>
                            </w:rPr>
                          </w:pPr>
                          <w:r>
                            <w:rPr>
                              <w:color w:val="BABABA"/>
                              <w:spacing w:val="-10"/>
                              <w:sz w:val="15"/>
                            </w:rPr>
                            <w:t>5</w:t>
                          </w:r>
                        </w:p>
                      </w:txbxContent>
                    </wps:txbx>
                    <wps:bodyPr wrap="square" lIns="0" tIns="0" rIns="0" bIns="0" rtlCol="0">
                      <a:noAutofit/>
                    </wps:bodyPr>
                  </wps:wsp>
                </a:graphicData>
              </a:graphic>
            </wp:anchor>
          </w:drawing>
        </mc:Choice>
        <mc:Fallback>
          <w:pict>
            <v:shape style="position:absolute;margin-left:63.348621pt;margin-top:35.453106pt;width:6.15pt;height:10.4pt;mso-position-horizontal-relative:page;mso-position-vertical-relative:page;z-index:-27420672" type="#_x0000_t202" id="docshape193" filled="false" stroked="false">
              <v:textbox inset="0,0,0,0">
                <w:txbxContent>
                  <w:p>
                    <w:pPr>
                      <w:spacing w:before="15"/>
                      <w:ind w:left="20" w:right="0" w:firstLine="0"/>
                      <w:jc w:val="left"/>
                      <w:rPr>
                        <w:sz w:val="15"/>
                      </w:rPr>
                    </w:pPr>
                    <w:r>
                      <w:rPr>
                        <w:color w:val="BABABA"/>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896320">
              <wp:simplePos x="0" y="0"/>
              <wp:positionH relativeFrom="page">
                <wp:posOffset>1253115</wp:posOffset>
              </wp:positionH>
              <wp:positionV relativeFrom="page">
                <wp:posOffset>450254</wp:posOffset>
              </wp:positionV>
              <wp:extent cx="1362075" cy="13208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1362075" cy="132080"/>
                      </a:xfrm>
                      <a:prstGeom prst="rect">
                        <a:avLst/>
                      </a:prstGeom>
                    </wps:spPr>
                    <wps:txbx>
                      <w:txbxContent>
                        <w:p>
                          <w:pPr>
                            <w:spacing w:before="15"/>
                            <w:ind w:left="20" w:right="0" w:firstLine="0"/>
                            <w:jc w:val="left"/>
                            <w:rPr>
                              <w:sz w:val="15"/>
                            </w:rPr>
                          </w:pPr>
                          <w:r>
                            <w:rPr>
                              <w:color w:val="A5A5A5"/>
                              <w:w w:val="105"/>
                              <w:sz w:val="15"/>
                            </w:rPr>
                            <w:t>NOTES</w:t>
                          </w:r>
                          <w:r>
                            <w:rPr>
                              <w:color w:val="A5A5A5"/>
                              <w:spacing w:val="11"/>
                              <w:w w:val="105"/>
                              <w:sz w:val="15"/>
                            </w:rPr>
                            <w:t> </w:t>
                          </w:r>
                          <w:r>
                            <w:rPr>
                              <w:color w:val="A5A5A5"/>
                              <w:w w:val="105"/>
                              <w:sz w:val="15"/>
                            </w:rPr>
                            <w:t>TO</w:t>
                          </w:r>
                          <w:r>
                            <w:rPr>
                              <w:color w:val="A5A5A5"/>
                              <w:spacing w:val="3"/>
                              <w:w w:val="105"/>
                              <w:sz w:val="15"/>
                            </w:rPr>
                            <w:t> </w:t>
                          </w:r>
                          <w:r>
                            <w:rPr>
                              <w:color w:val="A5A5A5"/>
                              <w:w w:val="105"/>
                              <w:sz w:val="15"/>
                            </w:rPr>
                            <w:t>THE</w:t>
                          </w:r>
                          <w:r>
                            <w:rPr>
                              <w:color w:val="A5A5A5"/>
                              <w:spacing w:val="7"/>
                              <w:w w:val="105"/>
                              <w:sz w:val="15"/>
                            </w:rPr>
                            <w:t> </w:t>
                          </w:r>
                          <w:r>
                            <w:rPr>
                              <w:color w:val="A5A5A5"/>
                              <w:spacing w:val="-2"/>
                              <w:w w:val="105"/>
                              <w:sz w:val="15"/>
                            </w:rPr>
                            <w:t>ACCOUNTS</w:t>
                          </w:r>
                        </w:p>
                      </w:txbxContent>
                    </wps:txbx>
                    <wps:bodyPr wrap="square" lIns="0" tIns="0" rIns="0" bIns="0" rtlCol="0">
                      <a:noAutofit/>
                    </wps:bodyPr>
                  </wps:wsp>
                </a:graphicData>
              </a:graphic>
            </wp:anchor>
          </w:drawing>
        </mc:Choice>
        <mc:Fallback>
          <w:pict>
            <v:shape style="position:absolute;margin-left:98.670502pt;margin-top:35.453106pt;width:107.25pt;height:10.4pt;mso-position-horizontal-relative:page;mso-position-vertical-relative:page;z-index:-27420160" type="#_x0000_t202" id="docshape194" filled="false" stroked="false">
              <v:textbox inset="0,0,0,0">
                <w:txbxContent>
                  <w:p>
                    <w:pPr>
                      <w:spacing w:before="15"/>
                      <w:ind w:left="20" w:right="0" w:firstLine="0"/>
                      <w:jc w:val="left"/>
                      <w:rPr>
                        <w:sz w:val="15"/>
                      </w:rPr>
                    </w:pPr>
                    <w:r>
                      <w:rPr>
                        <w:color w:val="A5A5A5"/>
                        <w:w w:val="105"/>
                        <w:sz w:val="15"/>
                      </w:rPr>
                      <w:t>NOTES</w:t>
                    </w:r>
                    <w:r>
                      <w:rPr>
                        <w:color w:val="A5A5A5"/>
                        <w:spacing w:val="11"/>
                        <w:w w:val="105"/>
                        <w:sz w:val="15"/>
                      </w:rPr>
                      <w:t> </w:t>
                    </w:r>
                    <w:r>
                      <w:rPr>
                        <w:color w:val="A5A5A5"/>
                        <w:w w:val="105"/>
                        <w:sz w:val="15"/>
                      </w:rPr>
                      <w:t>TO</w:t>
                    </w:r>
                    <w:r>
                      <w:rPr>
                        <w:color w:val="A5A5A5"/>
                        <w:spacing w:val="3"/>
                        <w:w w:val="105"/>
                        <w:sz w:val="15"/>
                      </w:rPr>
                      <w:t> </w:t>
                    </w:r>
                    <w:r>
                      <w:rPr>
                        <w:color w:val="A5A5A5"/>
                        <w:w w:val="105"/>
                        <w:sz w:val="15"/>
                      </w:rPr>
                      <w:t>THE</w:t>
                    </w:r>
                    <w:r>
                      <w:rPr>
                        <w:color w:val="A5A5A5"/>
                        <w:spacing w:val="7"/>
                        <w:w w:val="105"/>
                        <w:sz w:val="15"/>
                      </w:rPr>
                      <w:t> </w:t>
                    </w:r>
                    <w:r>
                      <w:rPr>
                        <w:color w:val="A5A5A5"/>
                        <w:spacing w:val="-2"/>
                        <w:w w:val="105"/>
                        <w:sz w:val="15"/>
                      </w:rPr>
                      <w:t>ACCOUNTS</w:t>
                    </w:r>
                  </w:p>
                </w:txbxContent>
              </v:textbox>
              <w10:wrap type="none"/>
            </v:shape>
          </w:pict>
        </mc:Fallback>
      </mc:AlternateContent>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98368">
              <wp:simplePos x="0" y="0"/>
              <wp:positionH relativeFrom="page">
                <wp:posOffset>957211</wp:posOffset>
              </wp:positionH>
              <wp:positionV relativeFrom="page">
                <wp:posOffset>536043</wp:posOffset>
              </wp:positionV>
              <wp:extent cx="78105" cy="139065"/>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78105" cy="139065"/>
                      </a:xfrm>
                      <a:prstGeom prst="rect">
                        <a:avLst/>
                      </a:prstGeom>
                    </wps:spPr>
                    <wps:txbx>
                      <w:txbxContent>
                        <w:p>
                          <w:pPr>
                            <w:spacing w:before="15"/>
                            <w:ind w:left="20" w:right="0" w:firstLine="0"/>
                            <w:jc w:val="left"/>
                            <w:rPr>
                              <w:i/>
                              <w:sz w:val="16"/>
                            </w:rPr>
                          </w:pPr>
                          <w:r>
                            <w:rPr>
                              <w:i/>
                              <w:color w:val="A3A3A3"/>
                              <w:spacing w:val="-10"/>
                              <w:sz w:val="16"/>
                            </w:rPr>
                            <w:t>5</w:t>
                          </w:r>
                        </w:p>
                      </w:txbxContent>
                    </wps:txbx>
                    <wps:bodyPr wrap="square" lIns="0" tIns="0" rIns="0" bIns="0" rtlCol="0">
                      <a:noAutofit/>
                    </wps:bodyPr>
                  </wps:wsp>
                </a:graphicData>
              </a:graphic>
            </wp:anchor>
          </w:drawing>
        </mc:Choice>
        <mc:Fallback>
          <w:pict>
            <v:shape style="position:absolute;margin-left:75.370979pt;margin-top:42.208153pt;width:6.15pt;height:10.95pt;mso-position-horizontal-relative:page;mso-position-vertical-relative:page;z-index:-27418112" type="#_x0000_t202" id="docshape220" filled="false" stroked="false">
              <v:textbox inset="0,0,0,0">
                <w:txbxContent>
                  <w:p>
                    <w:pPr>
                      <w:spacing w:before="15"/>
                      <w:ind w:left="20" w:right="0" w:firstLine="0"/>
                      <w:jc w:val="left"/>
                      <w:rPr>
                        <w:i/>
                        <w:sz w:val="16"/>
                      </w:rPr>
                    </w:pPr>
                    <w:r>
                      <w:rPr>
                        <w:i/>
                        <w:color w:val="A3A3A3"/>
                        <w:spacing w:val="-10"/>
                        <w:sz w:val="16"/>
                      </w:rPr>
                      <w:t>5</w:t>
                    </w:r>
                  </w:p>
                </w:txbxContent>
              </v:textbox>
              <w10:wrap type="none"/>
            </v:shape>
          </w:pict>
        </mc:Fallback>
      </mc:AlternateContent>
    </w:r>
    <w:r>
      <w:rPr/>
      <mc:AlternateContent>
        <mc:Choice Requires="wps">
          <w:drawing>
            <wp:anchor distT="0" distB="0" distL="0" distR="0" allowOverlap="1" layoutInCell="1" locked="0" behindDoc="1" simplePos="0" relativeHeight="475898880">
              <wp:simplePos x="0" y="0"/>
              <wp:positionH relativeFrom="page">
                <wp:posOffset>1414919</wp:posOffset>
              </wp:positionH>
              <wp:positionV relativeFrom="page">
                <wp:posOffset>541798</wp:posOffset>
              </wp:positionV>
              <wp:extent cx="1367790" cy="132080"/>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1367790" cy="132080"/>
                      </a:xfrm>
                      <a:prstGeom prst="rect">
                        <a:avLst/>
                      </a:prstGeom>
                    </wps:spPr>
                    <wps:txbx>
                      <w:txbxContent>
                        <w:p>
                          <w:pPr>
                            <w:spacing w:before="15"/>
                            <w:ind w:left="20" w:right="0" w:firstLine="0"/>
                            <w:jc w:val="left"/>
                            <w:rPr>
                              <w:sz w:val="15"/>
                            </w:rPr>
                          </w:pPr>
                          <w:r>
                            <w:rPr>
                              <w:color w:val="A3A3A3"/>
                              <w:sz w:val="15"/>
                            </w:rPr>
                            <w:t>NOTE.3</w:t>
                          </w:r>
                          <w:r>
                            <w:rPr>
                              <w:color w:val="A3A3A3"/>
                              <w:spacing w:val="21"/>
                              <w:sz w:val="15"/>
                            </w:rPr>
                            <w:t> </w:t>
                          </w:r>
                          <w:r>
                            <w:rPr>
                              <w:color w:val="A3A3A3"/>
                              <w:sz w:val="15"/>
                            </w:rPr>
                            <w:t>TO</w:t>
                          </w:r>
                          <w:r>
                            <w:rPr>
                              <w:color w:val="A3A3A3"/>
                              <w:spacing w:val="16"/>
                              <w:sz w:val="15"/>
                            </w:rPr>
                            <w:t> </w:t>
                          </w:r>
                          <w:r>
                            <w:rPr>
                              <w:color w:val="A3A3A3"/>
                              <w:sz w:val="15"/>
                            </w:rPr>
                            <w:t>THE</w:t>
                          </w:r>
                          <w:r>
                            <w:rPr>
                              <w:color w:val="A3A3A3"/>
                              <w:spacing w:val="24"/>
                              <w:sz w:val="15"/>
                            </w:rPr>
                            <w:t> </w:t>
                          </w:r>
                          <w:r>
                            <w:rPr>
                              <w:color w:val="A3A3A3"/>
                              <w:sz w:val="15"/>
                            </w:rPr>
                            <w:t>ACCOU</w:t>
                          </w:r>
                          <w:r>
                            <w:rPr>
                              <w:color w:val="A3A3A3"/>
                              <w:spacing w:val="2"/>
                              <w:sz w:val="15"/>
                            </w:rPr>
                            <w:t> </w:t>
                          </w:r>
                          <w:r>
                            <w:rPr>
                              <w:color w:val="A3A3A3"/>
                              <w:spacing w:val="-5"/>
                              <w:sz w:val="15"/>
                            </w:rPr>
                            <w:t>JTS</w:t>
                          </w:r>
                        </w:p>
                      </w:txbxContent>
                    </wps:txbx>
                    <wps:bodyPr wrap="square" lIns="0" tIns="0" rIns="0" bIns="0" rtlCol="0">
                      <a:noAutofit/>
                    </wps:bodyPr>
                  </wps:wsp>
                </a:graphicData>
              </a:graphic>
            </wp:anchor>
          </w:drawing>
        </mc:Choice>
        <mc:Fallback>
          <w:pict>
            <v:shape style="position:absolute;margin-left:111.411003pt;margin-top:42.661304pt;width:107.7pt;height:10.4pt;mso-position-horizontal-relative:page;mso-position-vertical-relative:page;z-index:-27417600" type="#_x0000_t202" id="docshape221" filled="false" stroked="false">
              <v:textbox inset="0,0,0,0">
                <w:txbxContent>
                  <w:p>
                    <w:pPr>
                      <w:spacing w:before="15"/>
                      <w:ind w:left="20" w:right="0" w:firstLine="0"/>
                      <w:jc w:val="left"/>
                      <w:rPr>
                        <w:sz w:val="15"/>
                      </w:rPr>
                    </w:pPr>
                    <w:r>
                      <w:rPr>
                        <w:color w:val="A3A3A3"/>
                        <w:sz w:val="15"/>
                      </w:rPr>
                      <w:t>NOTE.3</w:t>
                    </w:r>
                    <w:r>
                      <w:rPr>
                        <w:color w:val="A3A3A3"/>
                        <w:spacing w:val="21"/>
                        <w:sz w:val="15"/>
                      </w:rPr>
                      <w:t> </w:t>
                    </w:r>
                    <w:r>
                      <w:rPr>
                        <w:color w:val="A3A3A3"/>
                        <w:sz w:val="15"/>
                      </w:rPr>
                      <w:t>TO</w:t>
                    </w:r>
                    <w:r>
                      <w:rPr>
                        <w:color w:val="A3A3A3"/>
                        <w:spacing w:val="16"/>
                        <w:sz w:val="15"/>
                      </w:rPr>
                      <w:t> </w:t>
                    </w:r>
                    <w:r>
                      <w:rPr>
                        <w:color w:val="A3A3A3"/>
                        <w:sz w:val="15"/>
                      </w:rPr>
                      <w:t>THE</w:t>
                    </w:r>
                    <w:r>
                      <w:rPr>
                        <w:color w:val="A3A3A3"/>
                        <w:spacing w:val="24"/>
                        <w:sz w:val="15"/>
                      </w:rPr>
                      <w:t> </w:t>
                    </w:r>
                    <w:r>
                      <w:rPr>
                        <w:color w:val="A3A3A3"/>
                        <w:sz w:val="15"/>
                      </w:rPr>
                      <w:t>ACCOU</w:t>
                    </w:r>
                    <w:r>
                      <w:rPr>
                        <w:color w:val="A3A3A3"/>
                        <w:spacing w:val="2"/>
                        <w:sz w:val="15"/>
                      </w:rPr>
                      <w:t> </w:t>
                    </w:r>
                    <w:r>
                      <w:rPr>
                        <w:color w:val="A3A3A3"/>
                        <w:spacing w:val="-5"/>
                        <w:sz w:val="15"/>
                      </w:rPr>
                      <w:t>JTS</w:t>
                    </w:r>
                  </w:p>
                </w:txbxContent>
              </v:textbox>
              <w10:wrap type="none"/>
            </v:shape>
          </w:pict>
        </mc:Fallback>
      </mc:AlternateContent>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99392">
              <wp:simplePos x="0" y="0"/>
              <wp:positionH relativeFrom="page">
                <wp:posOffset>816739</wp:posOffset>
              </wp:positionH>
              <wp:positionV relativeFrom="page">
                <wp:posOffset>456358</wp:posOffset>
              </wp:positionV>
              <wp:extent cx="74930" cy="132080"/>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74930" cy="132080"/>
                      </a:xfrm>
                      <a:prstGeom prst="rect">
                        <a:avLst/>
                      </a:prstGeom>
                    </wps:spPr>
                    <wps:txbx>
                      <w:txbxContent>
                        <w:p>
                          <w:pPr>
                            <w:spacing w:before="15"/>
                            <w:ind w:left="20" w:right="0" w:firstLine="0"/>
                            <w:jc w:val="left"/>
                            <w:rPr>
                              <w:sz w:val="15"/>
                            </w:rPr>
                          </w:pPr>
                          <w:r>
                            <w:rPr>
                              <w:color w:val="484848"/>
                              <w:spacing w:val="-10"/>
                              <w:sz w:val="15"/>
                            </w:rPr>
                            <w:t>5</w:t>
                          </w:r>
                        </w:p>
                      </w:txbxContent>
                    </wps:txbx>
                    <wps:bodyPr wrap="square" lIns="0" tIns="0" rIns="0" bIns="0" rtlCol="0">
                      <a:noAutofit/>
                    </wps:bodyPr>
                  </wps:wsp>
                </a:graphicData>
              </a:graphic>
            </wp:anchor>
          </w:drawing>
        </mc:Choice>
        <mc:Fallback>
          <w:pict>
            <v:shape style="position:absolute;margin-left:64.310173pt;margin-top:35.933704pt;width:5.9pt;height:10.4pt;mso-position-horizontal-relative:page;mso-position-vertical-relative:page;z-index:-27417088" type="#_x0000_t202" id="docshape222" filled="false" stroked="false">
              <v:textbox inset="0,0,0,0">
                <w:txbxContent>
                  <w:p>
                    <w:pPr>
                      <w:spacing w:before="15"/>
                      <w:ind w:left="20" w:right="0" w:firstLine="0"/>
                      <w:jc w:val="left"/>
                      <w:rPr>
                        <w:sz w:val="15"/>
                      </w:rPr>
                    </w:pPr>
                    <w:r>
                      <w:rPr>
                        <w:color w:val="484848"/>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899904">
              <wp:simplePos x="0" y="0"/>
              <wp:positionH relativeFrom="page">
                <wp:posOffset>1268379</wp:posOffset>
              </wp:positionH>
              <wp:positionV relativeFrom="page">
                <wp:posOffset>456358</wp:posOffset>
              </wp:positionV>
              <wp:extent cx="1362075" cy="132080"/>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a:off x="0" y="0"/>
                        <a:ext cx="1362075" cy="132080"/>
                      </a:xfrm>
                      <a:prstGeom prst="rect">
                        <a:avLst/>
                      </a:prstGeom>
                    </wps:spPr>
                    <wps:txbx>
                      <w:txbxContent>
                        <w:p>
                          <w:pPr>
                            <w:spacing w:before="15"/>
                            <w:ind w:left="20" w:right="0" w:firstLine="0"/>
                            <w:jc w:val="left"/>
                            <w:rPr>
                              <w:sz w:val="15"/>
                            </w:rPr>
                          </w:pPr>
                          <w:r>
                            <w:rPr>
                              <w:color w:val="5E5E5E"/>
                              <w:w w:val="105"/>
                              <w:sz w:val="15"/>
                            </w:rPr>
                            <w:t>NOTES</w:t>
                          </w:r>
                          <w:r>
                            <w:rPr>
                              <w:color w:val="5E5E5E"/>
                              <w:spacing w:val="9"/>
                              <w:w w:val="105"/>
                              <w:sz w:val="15"/>
                            </w:rPr>
                            <w:t> </w:t>
                          </w:r>
                          <w:r>
                            <w:rPr>
                              <w:color w:val="5E5E5E"/>
                              <w:w w:val="105"/>
                              <w:sz w:val="15"/>
                            </w:rPr>
                            <w:t>TO</w:t>
                          </w:r>
                          <w:r>
                            <w:rPr>
                              <w:color w:val="5E5E5E"/>
                              <w:spacing w:val="4"/>
                              <w:w w:val="105"/>
                              <w:sz w:val="15"/>
                            </w:rPr>
                            <w:t> </w:t>
                          </w:r>
                          <w:r>
                            <w:rPr>
                              <w:color w:val="5E5E5E"/>
                              <w:w w:val="105"/>
                              <w:sz w:val="15"/>
                            </w:rPr>
                            <w:t>THE</w:t>
                          </w:r>
                          <w:r>
                            <w:rPr>
                              <w:color w:val="5E5E5E"/>
                              <w:spacing w:val="8"/>
                              <w:w w:val="105"/>
                              <w:sz w:val="15"/>
                            </w:rPr>
                            <w:t> </w:t>
                          </w:r>
                          <w:r>
                            <w:rPr>
                              <w:color w:val="5E5E5E"/>
                              <w:spacing w:val="-2"/>
                              <w:w w:val="105"/>
                              <w:sz w:val="15"/>
                            </w:rPr>
                            <w:t>ACCOUNTS</w:t>
                          </w:r>
                        </w:p>
                      </w:txbxContent>
                    </wps:txbx>
                    <wps:bodyPr wrap="square" lIns="0" tIns="0" rIns="0" bIns="0" rtlCol="0">
                      <a:noAutofit/>
                    </wps:bodyPr>
                  </wps:wsp>
                </a:graphicData>
              </a:graphic>
            </wp:anchor>
          </w:drawing>
        </mc:Choice>
        <mc:Fallback>
          <w:pict>
            <v:shape style="position:absolute;margin-left:99.872398pt;margin-top:35.933704pt;width:107.25pt;height:10.4pt;mso-position-horizontal-relative:page;mso-position-vertical-relative:page;z-index:-27416576" type="#_x0000_t202" id="docshape223" filled="false" stroked="false">
              <v:textbox inset="0,0,0,0">
                <w:txbxContent>
                  <w:p>
                    <w:pPr>
                      <w:spacing w:before="15"/>
                      <w:ind w:left="20" w:right="0" w:firstLine="0"/>
                      <w:jc w:val="left"/>
                      <w:rPr>
                        <w:sz w:val="15"/>
                      </w:rPr>
                    </w:pPr>
                    <w:r>
                      <w:rPr>
                        <w:color w:val="5E5E5E"/>
                        <w:w w:val="105"/>
                        <w:sz w:val="15"/>
                      </w:rPr>
                      <w:t>NOTES</w:t>
                    </w:r>
                    <w:r>
                      <w:rPr>
                        <w:color w:val="5E5E5E"/>
                        <w:spacing w:val="9"/>
                        <w:w w:val="105"/>
                        <w:sz w:val="15"/>
                      </w:rPr>
                      <w:t> </w:t>
                    </w:r>
                    <w:r>
                      <w:rPr>
                        <w:color w:val="5E5E5E"/>
                        <w:w w:val="105"/>
                        <w:sz w:val="15"/>
                      </w:rPr>
                      <w:t>TO</w:t>
                    </w:r>
                    <w:r>
                      <w:rPr>
                        <w:color w:val="5E5E5E"/>
                        <w:spacing w:val="4"/>
                        <w:w w:val="105"/>
                        <w:sz w:val="15"/>
                      </w:rPr>
                      <w:t> </w:t>
                    </w:r>
                    <w:r>
                      <w:rPr>
                        <w:color w:val="5E5E5E"/>
                        <w:w w:val="105"/>
                        <w:sz w:val="15"/>
                      </w:rPr>
                      <w:t>THE</w:t>
                    </w:r>
                    <w:r>
                      <w:rPr>
                        <w:color w:val="5E5E5E"/>
                        <w:spacing w:val="8"/>
                        <w:w w:val="105"/>
                        <w:sz w:val="15"/>
                      </w:rPr>
                      <w:t> </w:t>
                    </w:r>
                    <w:r>
                      <w:rPr>
                        <w:color w:val="5E5E5E"/>
                        <w:spacing w:val="-2"/>
                        <w:w w:val="105"/>
                        <w:sz w:val="15"/>
                      </w:rPr>
                      <w:t>ACCOUNTS</w:t>
                    </w:r>
                  </w:p>
                </w:txbxContent>
              </v:textbox>
              <w10:wrap type="none"/>
            </v:shape>
          </w:pict>
        </mc:Fallback>
      </mc:AlternateContent>
    </w: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01440">
              <wp:simplePos x="0" y="0"/>
              <wp:positionH relativeFrom="page">
                <wp:posOffset>951544</wp:posOffset>
              </wp:positionH>
              <wp:positionV relativeFrom="page">
                <wp:posOffset>554004</wp:posOffset>
              </wp:positionV>
              <wp:extent cx="112395" cy="132080"/>
              <wp:effectExtent l="0" t="0" r="0" b="0"/>
              <wp:wrapNone/>
              <wp:docPr id="344" name="Textbox 344"/>
              <wp:cNvGraphicFramePr>
                <a:graphicFrameLocks/>
              </wp:cNvGraphicFramePr>
              <a:graphic>
                <a:graphicData uri="http://schemas.microsoft.com/office/word/2010/wordprocessingShape">
                  <wps:wsp>
                    <wps:cNvPr id="344" name="Textbox 344"/>
                    <wps:cNvSpPr txBox="1"/>
                    <wps:spPr>
                      <a:xfrm>
                        <a:off x="0" y="0"/>
                        <a:ext cx="112395" cy="132080"/>
                      </a:xfrm>
                      <a:prstGeom prst="rect">
                        <a:avLst/>
                      </a:prstGeom>
                    </wps:spPr>
                    <wps:txbx>
                      <w:txbxContent>
                        <w:p>
                          <w:pPr>
                            <w:spacing w:before="15"/>
                            <w:ind w:left="20" w:right="0" w:firstLine="0"/>
                            <w:jc w:val="left"/>
                            <w:rPr>
                              <w:i/>
                              <w:sz w:val="15"/>
                            </w:rPr>
                          </w:pPr>
                          <w:r>
                            <w:rPr>
                              <w:i/>
                              <w:color w:val="4B4B4B"/>
                              <w:spacing w:val="-5"/>
                              <w:w w:val="110"/>
                              <w:sz w:val="15"/>
                            </w:rPr>
                            <w:t>5.</w:t>
                          </w:r>
                        </w:p>
                      </w:txbxContent>
                    </wps:txbx>
                    <wps:bodyPr wrap="square" lIns="0" tIns="0" rIns="0" bIns="0" rtlCol="0">
                      <a:noAutofit/>
                    </wps:bodyPr>
                  </wps:wsp>
                </a:graphicData>
              </a:graphic>
            </wp:anchor>
          </w:drawing>
        </mc:Choice>
        <mc:Fallback>
          <w:pict>
            <v:shape style="position:absolute;margin-left:74.924767pt;margin-top:43.622406pt;width:8.85pt;height:10.4pt;mso-position-horizontal-relative:page;mso-position-vertical-relative:page;z-index:-27415040" type="#_x0000_t202" id="docshape229" filled="false" stroked="false">
              <v:textbox inset="0,0,0,0">
                <w:txbxContent>
                  <w:p>
                    <w:pPr>
                      <w:spacing w:before="15"/>
                      <w:ind w:left="20" w:right="0" w:firstLine="0"/>
                      <w:jc w:val="left"/>
                      <w:rPr>
                        <w:i/>
                        <w:sz w:val="15"/>
                      </w:rPr>
                    </w:pPr>
                    <w:r>
                      <w:rPr>
                        <w:i/>
                        <w:color w:val="4B4B4B"/>
                        <w:spacing w:val="-5"/>
                        <w:w w:val="1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901952">
              <wp:simplePos x="0" y="0"/>
              <wp:positionH relativeFrom="page">
                <wp:posOffset>1405761</wp:posOffset>
              </wp:positionH>
              <wp:positionV relativeFrom="page">
                <wp:posOffset>554004</wp:posOffset>
              </wp:positionV>
              <wp:extent cx="1370330" cy="132080"/>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1370330" cy="132080"/>
                      </a:xfrm>
                      <a:prstGeom prst="rect">
                        <a:avLst/>
                      </a:prstGeom>
                    </wps:spPr>
                    <wps:txbx>
                      <w:txbxContent>
                        <w:p>
                          <w:pPr>
                            <w:spacing w:before="15"/>
                            <w:ind w:left="20" w:right="0" w:firstLine="0"/>
                            <w:jc w:val="left"/>
                            <w:rPr>
                              <w:sz w:val="15"/>
                            </w:rPr>
                          </w:pPr>
                          <w:r>
                            <w:rPr>
                              <w:color w:val="5E5E5E"/>
                              <w:w w:val="105"/>
                              <w:sz w:val="15"/>
                            </w:rPr>
                            <w:t>NOTcS</w:t>
                          </w:r>
                          <w:r>
                            <w:rPr>
                              <w:color w:val="5E5E5E"/>
                              <w:spacing w:val="18"/>
                              <w:w w:val="105"/>
                              <w:sz w:val="15"/>
                            </w:rPr>
                            <w:t> </w:t>
                          </w:r>
                          <w:r>
                            <w:rPr>
                              <w:color w:val="5E5E5E"/>
                              <w:w w:val="105"/>
                              <w:sz w:val="15"/>
                            </w:rPr>
                            <w:t>TO</w:t>
                          </w:r>
                          <w:r>
                            <w:rPr>
                              <w:color w:val="5E5E5E"/>
                              <w:spacing w:val="17"/>
                              <w:w w:val="105"/>
                              <w:sz w:val="15"/>
                            </w:rPr>
                            <w:t> </w:t>
                          </w:r>
                          <w:r>
                            <w:rPr>
                              <w:color w:val="4B4B4B"/>
                              <w:w w:val="105"/>
                              <w:sz w:val="15"/>
                            </w:rPr>
                            <w:t>THE</w:t>
                          </w:r>
                          <w:r>
                            <w:rPr>
                              <w:color w:val="4B4B4B"/>
                              <w:spacing w:val="16"/>
                              <w:w w:val="105"/>
                              <w:sz w:val="15"/>
                            </w:rPr>
                            <w:t> </w:t>
                          </w:r>
                          <w:r>
                            <w:rPr>
                              <w:color w:val="5E5E5E"/>
                              <w:spacing w:val="-2"/>
                              <w:w w:val="105"/>
                              <w:sz w:val="15"/>
                            </w:rPr>
                            <w:t>ACCOUNTS</w:t>
                          </w:r>
                        </w:p>
                      </w:txbxContent>
                    </wps:txbx>
                    <wps:bodyPr wrap="square" lIns="0" tIns="0" rIns="0" bIns="0" rtlCol="0">
                      <a:noAutofit/>
                    </wps:bodyPr>
                  </wps:wsp>
                </a:graphicData>
              </a:graphic>
            </wp:anchor>
          </w:drawing>
        </mc:Choice>
        <mc:Fallback>
          <w:pict>
            <v:shape style="position:absolute;margin-left:110.689903pt;margin-top:43.622406pt;width:107.9pt;height:10.4pt;mso-position-horizontal-relative:page;mso-position-vertical-relative:page;z-index:-27414528" type="#_x0000_t202" id="docshape230" filled="false" stroked="false">
              <v:textbox inset="0,0,0,0">
                <w:txbxContent>
                  <w:p>
                    <w:pPr>
                      <w:spacing w:before="15"/>
                      <w:ind w:left="20" w:right="0" w:firstLine="0"/>
                      <w:jc w:val="left"/>
                      <w:rPr>
                        <w:sz w:val="15"/>
                      </w:rPr>
                    </w:pPr>
                    <w:r>
                      <w:rPr>
                        <w:color w:val="5E5E5E"/>
                        <w:w w:val="105"/>
                        <w:sz w:val="15"/>
                      </w:rPr>
                      <w:t>NOTcS</w:t>
                    </w:r>
                    <w:r>
                      <w:rPr>
                        <w:color w:val="5E5E5E"/>
                        <w:spacing w:val="18"/>
                        <w:w w:val="105"/>
                        <w:sz w:val="15"/>
                      </w:rPr>
                      <w:t> </w:t>
                    </w:r>
                    <w:r>
                      <w:rPr>
                        <w:color w:val="5E5E5E"/>
                        <w:w w:val="105"/>
                        <w:sz w:val="15"/>
                      </w:rPr>
                      <w:t>TO</w:t>
                    </w:r>
                    <w:r>
                      <w:rPr>
                        <w:color w:val="5E5E5E"/>
                        <w:spacing w:val="17"/>
                        <w:w w:val="105"/>
                        <w:sz w:val="15"/>
                      </w:rPr>
                      <w:t> </w:t>
                    </w:r>
                    <w:r>
                      <w:rPr>
                        <w:color w:val="4B4B4B"/>
                        <w:w w:val="105"/>
                        <w:sz w:val="15"/>
                      </w:rPr>
                      <w:t>THE</w:t>
                    </w:r>
                    <w:r>
                      <w:rPr>
                        <w:color w:val="4B4B4B"/>
                        <w:spacing w:val="16"/>
                        <w:w w:val="105"/>
                        <w:sz w:val="15"/>
                      </w:rPr>
                      <w:t> </w:t>
                    </w:r>
                    <w:r>
                      <w:rPr>
                        <w:color w:val="5E5E5E"/>
                        <w:spacing w:val="-2"/>
                        <w:w w:val="105"/>
                        <w:sz w:val="15"/>
                      </w:rPr>
                      <w:t>ACCOUNTS</w:t>
                    </w:r>
                  </w:p>
                </w:txbxContent>
              </v:textbox>
              <w10:wrap type="none"/>
            </v:shape>
          </w:pict>
        </mc:Fallback>
      </mc:AlternateContent>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02464">
              <wp:simplePos x="0" y="0"/>
              <wp:positionH relativeFrom="page">
                <wp:posOffset>816739</wp:posOffset>
              </wp:positionH>
              <wp:positionV relativeFrom="page">
                <wp:posOffset>462460</wp:posOffset>
              </wp:positionV>
              <wp:extent cx="74930" cy="132080"/>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74930" cy="132080"/>
                      </a:xfrm>
                      <a:prstGeom prst="rect">
                        <a:avLst/>
                      </a:prstGeom>
                    </wps:spPr>
                    <wps:txbx>
                      <w:txbxContent>
                        <w:p>
                          <w:pPr>
                            <w:spacing w:before="15"/>
                            <w:ind w:left="20" w:right="0" w:firstLine="0"/>
                            <w:jc w:val="left"/>
                            <w:rPr>
                              <w:sz w:val="15"/>
                            </w:rPr>
                          </w:pPr>
                          <w:r>
                            <w:rPr>
                              <w:color w:val="A7A7A7"/>
                              <w:spacing w:val="-10"/>
                              <w:sz w:val="15"/>
                            </w:rPr>
                            <w:t>5</w:t>
                          </w:r>
                        </w:p>
                      </w:txbxContent>
                    </wps:txbx>
                    <wps:bodyPr wrap="square" lIns="0" tIns="0" rIns="0" bIns="0" rtlCol="0">
                      <a:noAutofit/>
                    </wps:bodyPr>
                  </wps:wsp>
                </a:graphicData>
              </a:graphic>
            </wp:anchor>
          </w:drawing>
        </mc:Choice>
        <mc:Fallback>
          <w:pict>
            <v:shape style="position:absolute;margin-left:64.310173pt;margin-top:36.414204pt;width:5.9pt;height:10.4pt;mso-position-horizontal-relative:page;mso-position-vertical-relative:page;z-index:-27414016" type="#_x0000_t202" id="docshape231" filled="false" stroked="false">
              <v:textbox inset="0,0,0,0">
                <w:txbxContent>
                  <w:p>
                    <w:pPr>
                      <w:spacing w:before="15"/>
                      <w:ind w:left="20" w:right="0" w:firstLine="0"/>
                      <w:jc w:val="left"/>
                      <w:rPr>
                        <w:sz w:val="15"/>
                      </w:rPr>
                    </w:pPr>
                    <w:r>
                      <w:rPr>
                        <w:color w:val="A7A7A7"/>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902976">
              <wp:simplePos x="0" y="0"/>
              <wp:positionH relativeFrom="page">
                <wp:posOffset>1268379</wp:posOffset>
              </wp:positionH>
              <wp:positionV relativeFrom="page">
                <wp:posOffset>462460</wp:posOffset>
              </wp:positionV>
              <wp:extent cx="1364615" cy="132080"/>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1364615" cy="132080"/>
                      </a:xfrm>
                      <a:prstGeom prst="rect">
                        <a:avLst/>
                      </a:prstGeom>
                    </wps:spPr>
                    <wps:txbx>
                      <w:txbxContent>
                        <w:p>
                          <w:pPr>
                            <w:spacing w:before="15"/>
                            <w:ind w:left="20" w:right="0" w:firstLine="0"/>
                            <w:jc w:val="left"/>
                            <w:rPr>
                              <w:sz w:val="15"/>
                            </w:rPr>
                          </w:pPr>
                          <w:r>
                            <w:rPr>
                              <w:color w:val="A7A7A7"/>
                              <w:w w:val="105"/>
                              <w:sz w:val="15"/>
                            </w:rPr>
                            <w:t>NOTES</w:t>
                          </w:r>
                          <w:r>
                            <w:rPr>
                              <w:color w:val="A7A7A7"/>
                              <w:spacing w:val="11"/>
                              <w:w w:val="105"/>
                              <w:sz w:val="15"/>
                            </w:rPr>
                            <w:t> </w:t>
                          </w:r>
                          <w:r>
                            <w:rPr>
                              <w:color w:val="A7A7A7"/>
                              <w:w w:val="105"/>
                              <w:sz w:val="15"/>
                            </w:rPr>
                            <w:t>TO</w:t>
                          </w:r>
                          <w:r>
                            <w:rPr>
                              <w:color w:val="A7A7A7"/>
                              <w:spacing w:val="2"/>
                              <w:w w:val="105"/>
                              <w:sz w:val="15"/>
                            </w:rPr>
                            <w:t> </w:t>
                          </w:r>
                          <w:r>
                            <w:rPr>
                              <w:color w:val="A7A7A7"/>
                              <w:w w:val="105"/>
                              <w:sz w:val="15"/>
                            </w:rPr>
                            <w:t>THE</w:t>
                          </w:r>
                          <w:r>
                            <w:rPr>
                              <w:color w:val="A7A7A7"/>
                              <w:spacing w:val="1"/>
                              <w:w w:val="105"/>
                              <w:sz w:val="15"/>
                            </w:rPr>
                            <w:t> </w:t>
                          </w:r>
                          <w:r>
                            <w:rPr>
                              <w:color w:val="A7A7A7"/>
                              <w:spacing w:val="-2"/>
                              <w:w w:val="105"/>
                              <w:sz w:val="15"/>
                            </w:rPr>
                            <w:t>ACCOUNTS</w:t>
                          </w:r>
                        </w:p>
                      </w:txbxContent>
                    </wps:txbx>
                    <wps:bodyPr wrap="square" lIns="0" tIns="0" rIns="0" bIns="0" rtlCol="0">
                      <a:noAutofit/>
                    </wps:bodyPr>
                  </wps:wsp>
                </a:graphicData>
              </a:graphic>
            </wp:anchor>
          </w:drawing>
        </mc:Choice>
        <mc:Fallback>
          <w:pict>
            <v:shape style="position:absolute;margin-left:99.872398pt;margin-top:36.414204pt;width:107.45pt;height:10.4pt;mso-position-horizontal-relative:page;mso-position-vertical-relative:page;z-index:-27413504" type="#_x0000_t202" id="docshape232" filled="false" stroked="false">
              <v:textbox inset="0,0,0,0">
                <w:txbxContent>
                  <w:p>
                    <w:pPr>
                      <w:spacing w:before="15"/>
                      <w:ind w:left="20" w:right="0" w:firstLine="0"/>
                      <w:jc w:val="left"/>
                      <w:rPr>
                        <w:sz w:val="15"/>
                      </w:rPr>
                    </w:pPr>
                    <w:r>
                      <w:rPr>
                        <w:color w:val="A7A7A7"/>
                        <w:w w:val="105"/>
                        <w:sz w:val="15"/>
                      </w:rPr>
                      <w:t>NOTES</w:t>
                    </w:r>
                    <w:r>
                      <w:rPr>
                        <w:color w:val="A7A7A7"/>
                        <w:spacing w:val="11"/>
                        <w:w w:val="105"/>
                        <w:sz w:val="15"/>
                      </w:rPr>
                      <w:t> </w:t>
                    </w:r>
                    <w:r>
                      <w:rPr>
                        <w:color w:val="A7A7A7"/>
                        <w:w w:val="105"/>
                        <w:sz w:val="15"/>
                      </w:rPr>
                      <w:t>TO</w:t>
                    </w:r>
                    <w:r>
                      <w:rPr>
                        <w:color w:val="A7A7A7"/>
                        <w:spacing w:val="2"/>
                        <w:w w:val="105"/>
                        <w:sz w:val="15"/>
                      </w:rPr>
                      <w:t> </w:t>
                    </w:r>
                    <w:r>
                      <w:rPr>
                        <w:color w:val="A7A7A7"/>
                        <w:w w:val="105"/>
                        <w:sz w:val="15"/>
                      </w:rPr>
                      <w:t>THE</w:t>
                    </w:r>
                    <w:r>
                      <w:rPr>
                        <w:color w:val="A7A7A7"/>
                        <w:spacing w:val="1"/>
                        <w:w w:val="105"/>
                        <w:sz w:val="15"/>
                      </w:rPr>
                      <w:t> </w:t>
                    </w:r>
                    <w:r>
                      <w:rPr>
                        <w:color w:val="A7A7A7"/>
                        <w:spacing w:val="-2"/>
                        <w:w w:val="105"/>
                        <w:sz w:val="15"/>
                      </w:rPr>
                      <w:t>ACCOUNTS</w:t>
                    </w:r>
                  </w:p>
                </w:txbxContent>
              </v:textbox>
              <w10:wrap type="none"/>
            </v:shape>
          </w:pict>
        </mc:Fallback>
      </mc:AlternateContent>
    </w: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05536">
              <wp:simplePos x="0" y="0"/>
              <wp:positionH relativeFrom="page">
                <wp:posOffset>813686</wp:posOffset>
              </wp:positionH>
              <wp:positionV relativeFrom="page">
                <wp:posOffset>468562</wp:posOffset>
              </wp:positionV>
              <wp:extent cx="81915" cy="132080"/>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81915" cy="132080"/>
                      </a:xfrm>
                      <a:prstGeom prst="rect">
                        <a:avLst/>
                      </a:prstGeom>
                    </wps:spPr>
                    <wps:txbx>
                      <w:txbxContent>
                        <w:p>
                          <w:pPr>
                            <w:spacing w:before="15"/>
                            <w:ind w:left="20" w:right="0" w:firstLine="0"/>
                            <w:jc w:val="left"/>
                            <w:rPr>
                              <w:sz w:val="15"/>
                            </w:rPr>
                          </w:pPr>
                          <w:r>
                            <w:rPr>
                              <w:color w:val="AAAAAA"/>
                              <w:spacing w:val="-10"/>
                              <w:w w:val="105"/>
                              <w:sz w:val="15"/>
                            </w:rPr>
                            <w:t>5</w:t>
                          </w:r>
                        </w:p>
                      </w:txbxContent>
                    </wps:txbx>
                    <wps:bodyPr wrap="square" lIns="0" tIns="0" rIns="0" bIns="0" rtlCol="0">
                      <a:noAutofit/>
                    </wps:bodyPr>
                  </wps:wsp>
                </a:graphicData>
              </a:graphic>
            </wp:anchor>
          </w:drawing>
        </mc:Choice>
        <mc:Fallback>
          <w:pict>
            <v:shape style="position:absolute;margin-left:64.069794pt;margin-top:36.894707pt;width:6.45pt;height:10.4pt;mso-position-horizontal-relative:page;mso-position-vertical-relative:page;z-index:-27410944" type="#_x0000_t202" id="docshape246" filled="false" stroked="false">
              <v:textbox inset="0,0,0,0">
                <w:txbxContent>
                  <w:p>
                    <w:pPr>
                      <w:spacing w:before="15"/>
                      <w:ind w:left="20" w:right="0" w:firstLine="0"/>
                      <w:jc w:val="left"/>
                      <w:rPr>
                        <w:sz w:val="15"/>
                      </w:rPr>
                    </w:pPr>
                    <w:r>
                      <w:rPr>
                        <w:color w:val="AAAAAA"/>
                        <w:spacing w:val="-10"/>
                        <w:w w:val="105"/>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906048">
              <wp:simplePos x="0" y="0"/>
              <wp:positionH relativeFrom="page">
                <wp:posOffset>1268379</wp:posOffset>
              </wp:positionH>
              <wp:positionV relativeFrom="page">
                <wp:posOffset>468562</wp:posOffset>
              </wp:positionV>
              <wp:extent cx="1361440" cy="132080"/>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1361440" cy="132080"/>
                      </a:xfrm>
                      <a:prstGeom prst="rect">
                        <a:avLst/>
                      </a:prstGeom>
                    </wps:spPr>
                    <wps:txbx>
                      <w:txbxContent>
                        <w:p>
                          <w:pPr>
                            <w:spacing w:before="15"/>
                            <w:ind w:left="20" w:right="0" w:firstLine="0"/>
                            <w:jc w:val="left"/>
                            <w:rPr>
                              <w:sz w:val="15"/>
                            </w:rPr>
                          </w:pPr>
                          <w:r>
                            <w:rPr>
                              <w:color w:val="AAAAAA"/>
                              <w:sz w:val="15"/>
                            </w:rPr>
                            <w:t>NOTES</w:t>
                          </w:r>
                          <w:r>
                            <w:rPr>
                              <w:color w:val="AAAAAA"/>
                              <w:spacing w:val="28"/>
                              <w:sz w:val="15"/>
                            </w:rPr>
                            <w:t> </w:t>
                          </w:r>
                          <w:r>
                            <w:rPr>
                              <w:color w:val="AAAAAA"/>
                              <w:sz w:val="15"/>
                            </w:rPr>
                            <w:t>TO</w:t>
                          </w:r>
                          <w:r>
                            <w:rPr>
                              <w:color w:val="AAAAAA"/>
                              <w:spacing w:val="18"/>
                              <w:sz w:val="15"/>
                            </w:rPr>
                            <w:t> </w:t>
                          </w:r>
                          <w:r>
                            <w:rPr>
                              <w:color w:val="AAAAAA"/>
                              <w:sz w:val="15"/>
                            </w:rPr>
                            <w:t>THE</w:t>
                          </w:r>
                          <w:r>
                            <w:rPr>
                              <w:color w:val="AAAAAA"/>
                              <w:spacing w:val="22"/>
                              <w:sz w:val="15"/>
                            </w:rPr>
                            <w:t> </w:t>
                          </w:r>
                          <w:r>
                            <w:rPr>
                              <w:color w:val="AAAAAA"/>
                              <w:spacing w:val="-2"/>
                              <w:sz w:val="15"/>
                            </w:rPr>
                            <w:t>ACCOUNTS</w:t>
                          </w:r>
                        </w:p>
                      </w:txbxContent>
                    </wps:txbx>
                    <wps:bodyPr wrap="square" lIns="0" tIns="0" rIns="0" bIns="0" rtlCol="0">
                      <a:noAutofit/>
                    </wps:bodyPr>
                  </wps:wsp>
                </a:graphicData>
              </a:graphic>
            </wp:anchor>
          </w:drawing>
        </mc:Choice>
        <mc:Fallback>
          <w:pict>
            <v:shape style="position:absolute;margin-left:99.872398pt;margin-top:36.894707pt;width:107.2pt;height:10.4pt;mso-position-horizontal-relative:page;mso-position-vertical-relative:page;z-index:-27410432" type="#_x0000_t202" id="docshape247" filled="false" stroked="false">
              <v:textbox inset="0,0,0,0">
                <w:txbxContent>
                  <w:p>
                    <w:pPr>
                      <w:spacing w:before="15"/>
                      <w:ind w:left="20" w:right="0" w:firstLine="0"/>
                      <w:jc w:val="left"/>
                      <w:rPr>
                        <w:sz w:val="15"/>
                      </w:rPr>
                    </w:pPr>
                    <w:r>
                      <w:rPr>
                        <w:color w:val="AAAAAA"/>
                        <w:sz w:val="15"/>
                      </w:rPr>
                      <w:t>NOTES</w:t>
                    </w:r>
                    <w:r>
                      <w:rPr>
                        <w:color w:val="AAAAAA"/>
                        <w:spacing w:val="28"/>
                        <w:sz w:val="15"/>
                      </w:rPr>
                      <w:t> </w:t>
                    </w:r>
                    <w:r>
                      <w:rPr>
                        <w:color w:val="AAAAAA"/>
                        <w:sz w:val="15"/>
                      </w:rPr>
                      <w:t>TO</w:t>
                    </w:r>
                    <w:r>
                      <w:rPr>
                        <w:color w:val="AAAAAA"/>
                        <w:spacing w:val="18"/>
                        <w:sz w:val="15"/>
                      </w:rPr>
                      <w:t> </w:t>
                    </w:r>
                    <w:r>
                      <w:rPr>
                        <w:color w:val="AAAAAA"/>
                        <w:sz w:val="15"/>
                      </w:rPr>
                      <w:t>THE</w:t>
                    </w:r>
                    <w:r>
                      <w:rPr>
                        <w:color w:val="AAAAAA"/>
                        <w:spacing w:val="22"/>
                        <w:sz w:val="15"/>
                      </w:rPr>
                      <w:t> </w:t>
                    </w:r>
                    <w:r>
                      <w:rPr>
                        <w:color w:val="AAAAAA"/>
                        <w:spacing w:val="-2"/>
                        <w:sz w:val="15"/>
                      </w:rPr>
                      <w:t>ACCOUNTS</w:t>
                    </w:r>
                  </w:p>
                </w:txbxContent>
              </v:textbox>
              <w10:wrap type="none"/>
            </v:shape>
          </w:pict>
        </mc:Fallback>
      </mc:AlternateContent>
    </w: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07584">
              <wp:simplePos x="0" y="0"/>
              <wp:positionH relativeFrom="page">
                <wp:posOffset>914432</wp:posOffset>
              </wp:positionH>
              <wp:positionV relativeFrom="page">
                <wp:posOffset>651652</wp:posOffset>
              </wp:positionV>
              <wp:extent cx="74930" cy="132080"/>
              <wp:effectExtent l="0" t="0" r="0" b="0"/>
              <wp:wrapNone/>
              <wp:docPr id="398" name="Textbox 398"/>
              <wp:cNvGraphicFramePr>
                <a:graphicFrameLocks/>
              </wp:cNvGraphicFramePr>
              <a:graphic>
                <a:graphicData uri="http://schemas.microsoft.com/office/word/2010/wordprocessingShape">
                  <wps:wsp>
                    <wps:cNvPr id="398" name="Textbox 398"/>
                    <wps:cNvSpPr txBox="1"/>
                    <wps:spPr>
                      <a:xfrm>
                        <a:off x="0" y="0"/>
                        <a:ext cx="74930" cy="132080"/>
                      </a:xfrm>
                      <a:prstGeom prst="rect">
                        <a:avLst/>
                      </a:prstGeom>
                    </wps:spPr>
                    <wps:txbx>
                      <w:txbxContent>
                        <w:p>
                          <w:pPr>
                            <w:spacing w:before="15"/>
                            <w:ind w:left="20" w:right="0" w:firstLine="0"/>
                            <w:jc w:val="left"/>
                            <w:rPr>
                              <w:sz w:val="15"/>
                            </w:rPr>
                          </w:pPr>
                          <w:r>
                            <w:rPr>
                              <w:color w:val="ACACAC"/>
                              <w:spacing w:val="-10"/>
                              <w:sz w:val="15"/>
                            </w:rPr>
                            <w:t>5</w:t>
                          </w:r>
                        </w:p>
                      </w:txbxContent>
                    </wps:txbx>
                    <wps:bodyPr wrap="square" lIns="0" tIns="0" rIns="0" bIns="0" rtlCol="0">
                      <a:noAutofit/>
                    </wps:bodyPr>
                  </wps:wsp>
                </a:graphicData>
              </a:graphic>
            </wp:anchor>
          </w:drawing>
        </mc:Choice>
        <mc:Fallback>
          <w:pict>
            <v:shape style="position:absolute;margin-left:72.002563pt;margin-top:51.311207pt;width:5.9pt;height:10.4pt;mso-position-horizontal-relative:page;mso-position-vertical-relative:page;z-index:-27408896" type="#_x0000_t202" id="docshape260" filled="false" stroked="false">
              <v:textbox inset="0,0,0,0">
                <w:txbxContent>
                  <w:p>
                    <w:pPr>
                      <w:spacing w:before="15"/>
                      <w:ind w:left="20" w:right="0" w:firstLine="0"/>
                      <w:jc w:val="left"/>
                      <w:rPr>
                        <w:sz w:val="15"/>
                      </w:rPr>
                    </w:pPr>
                    <w:r>
                      <w:rPr>
                        <w:color w:val="ACACAC"/>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908096">
              <wp:simplePos x="0" y="0"/>
              <wp:positionH relativeFrom="page">
                <wp:posOffset>1366072</wp:posOffset>
              </wp:positionH>
              <wp:positionV relativeFrom="page">
                <wp:posOffset>651652</wp:posOffset>
              </wp:positionV>
              <wp:extent cx="1364615" cy="132080"/>
              <wp:effectExtent l="0" t="0" r="0" b="0"/>
              <wp:wrapNone/>
              <wp:docPr id="399" name="Textbox 399"/>
              <wp:cNvGraphicFramePr>
                <a:graphicFrameLocks/>
              </wp:cNvGraphicFramePr>
              <a:graphic>
                <a:graphicData uri="http://schemas.microsoft.com/office/word/2010/wordprocessingShape">
                  <wps:wsp>
                    <wps:cNvPr id="399" name="Textbox 399"/>
                    <wps:cNvSpPr txBox="1"/>
                    <wps:spPr>
                      <a:xfrm>
                        <a:off x="0" y="0"/>
                        <a:ext cx="1364615" cy="132080"/>
                      </a:xfrm>
                      <a:prstGeom prst="rect">
                        <a:avLst/>
                      </a:prstGeom>
                    </wps:spPr>
                    <wps:txbx>
                      <w:txbxContent>
                        <w:p>
                          <w:pPr>
                            <w:spacing w:before="15"/>
                            <w:ind w:left="20" w:right="0" w:firstLine="0"/>
                            <w:jc w:val="left"/>
                            <w:rPr>
                              <w:sz w:val="15"/>
                            </w:rPr>
                          </w:pPr>
                          <w:r>
                            <w:rPr>
                              <w:color w:val="ACACAC"/>
                              <w:sz w:val="15"/>
                            </w:rPr>
                            <w:t>NOTES</w:t>
                          </w:r>
                          <w:r>
                            <w:rPr>
                              <w:color w:val="ACACAC"/>
                              <w:spacing w:val="30"/>
                              <w:sz w:val="15"/>
                            </w:rPr>
                            <w:t> </w:t>
                          </w:r>
                          <w:r>
                            <w:rPr>
                              <w:color w:val="ACACAC"/>
                              <w:sz w:val="15"/>
                            </w:rPr>
                            <w:t>TO</w:t>
                          </w:r>
                          <w:r>
                            <w:rPr>
                              <w:color w:val="ACACAC"/>
                              <w:spacing w:val="22"/>
                              <w:sz w:val="15"/>
                            </w:rPr>
                            <w:t> </w:t>
                          </w:r>
                          <w:r>
                            <w:rPr>
                              <w:color w:val="ACACAC"/>
                              <w:sz w:val="15"/>
                            </w:rPr>
                            <w:t>THE</w:t>
                          </w:r>
                          <w:r>
                            <w:rPr>
                              <w:color w:val="ACACAC"/>
                              <w:spacing w:val="21"/>
                              <w:sz w:val="15"/>
                            </w:rPr>
                            <w:t> </w:t>
                          </w:r>
                          <w:r>
                            <w:rPr>
                              <w:color w:val="ACACAC"/>
                              <w:spacing w:val="-2"/>
                              <w:sz w:val="15"/>
                            </w:rPr>
                            <w:t>ACCOUNTS</w:t>
                          </w:r>
                        </w:p>
                      </w:txbxContent>
                    </wps:txbx>
                    <wps:bodyPr wrap="square" lIns="0" tIns="0" rIns="0" bIns="0" rtlCol="0">
                      <a:noAutofit/>
                    </wps:bodyPr>
                  </wps:wsp>
                </a:graphicData>
              </a:graphic>
            </wp:anchor>
          </w:drawing>
        </mc:Choice>
        <mc:Fallback>
          <w:pict>
            <v:shape style="position:absolute;margin-left:107.564796pt;margin-top:51.311207pt;width:107.45pt;height:10.4pt;mso-position-horizontal-relative:page;mso-position-vertical-relative:page;z-index:-27408384" type="#_x0000_t202" id="docshape261" filled="false" stroked="false">
              <v:textbox inset="0,0,0,0">
                <w:txbxContent>
                  <w:p>
                    <w:pPr>
                      <w:spacing w:before="15"/>
                      <w:ind w:left="20" w:right="0" w:firstLine="0"/>
                      <w:jc w:val="left"/>
                      <w:rPr>
                        <w:sz w:val="15"/>
                      </w:rPr>
                    </w:pPr>
                    <w:r>
                      <w:rPr>
                        <w:color w:val="ACACAC"/>
                        <w:sz w:val="15"/>
                      </w:rPr>
                      <w:t>NOTES</w:t>
                    </w:r>
                    <w:r>
                      <w:rPr>
                        <w:color w:val="ACACAC"/>
                        <w:spacing w:val="30"/>
                        <w:sz w:val="15"/>
                      </w:rPr>
                      <w:t> </w:t>
                    </w:r>
                    <w:r>
                      <w:rPr>
                        <w:color w:val="ACACAC"/>
                        <w:sz w:val="15"/>
                      </w:rPr>
                      <w:t>TO</w:t>
                    </w:r>
                    <w:r>
                      <w:rPr>
                        <w:color w:val="ACACAC"/>
                        <w:spacing w:val="22"/>
                        <w:sz w:val="15"/>
                      </w:rPr>
                      <w:t> </w:t>
                    </w:r>
                    <w:r>
                      <w:rPr>
                        <w:color w:val="ACACAC"/>
                        <w:sz w:val="15"/>
                      </w:rPr>
                      <w:t>THE</w:t>
                    </w:r>
                    <w:r>
                      <w:rPr>
                        <w:color w:val="ACACAC"/>
                        <w:spacing w:val="21"/>
                        <w:sz w:val="15"/>
                      </w:rPr>
                      <w:t> </w:t>
                    </w:r>
                    <w:r>
                      <w:rPr>
                        <w:color w:val="ACACAC"/>
                        <w:spacing w:val="-2"/>
                        <w:sz w:val="15"/>
                      </w:rPr>
                      <w:t>ACCOUNTS</w:t>
                    </w:r>
                  </w:p>
                </w:txbxContent>
              </v:textbox>
              <w10:wrap type="none"/>
            </v:shape>
          </w:pict>
        </mc:Fallback>
      </mc:AlternateContent>
    </w: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08608">
              <wp:simplePos x="0" y="0"/>
              <wp:positionH relativeFrom="page">
                <wp:posOffset>972438</wp:posOffset>
              </wp:positionH>
              <wp:positionV relativeFrom="page">
                <wp:posOffset>557056</wp:posOffset>
              </wp:positionV>
              <wp:extent cx="78105" cy="132080"/>
              <wp:effectExtent l="0" t="0" r="0" b="0"/>
              <wp:wrapNone/>
              <wp:docPr id="400" name="Textbox 400"/>
              <wp:cNvGraphicFramePr>
                <a:graphicFrameLocks/>
              </wp:cNvGraphicFramePr>
              <a:graphic>
                <a:graphicData uri="http://schemas.microsoft.com/office/word/2010/wordprocessingShape">
                  <wps:wsp>
                    <wps:cNvPr id="400" name="Textbox 400"/>
                    <wps:cNvSpPr txBox="1"/>
                    <wps:spPr>
                      <a:xfrm>
                        <a:off x="0" y="0"/>
                        <a:ext cx="78105" cy="132080"/>
                      </a:xfrm>
                      <a:prstGeom prst="rect">
                        <a:avLst/>
                      </a:prstGeom>
                    </wps:spPr>
                    <wps:txbx>
                      <w:txbxContent>
                        <w:p>
                          <w:pPr>
                            <w:spacing w:before="15"/>
                            <w:ind w:left="20" w:right="0" w:firstLine="0"/>
                            <w:jc w:val="left"/>
                            <w:rPr>
                              <w:sz w:val="15"/>
                            </w:rPr>
                          </w:pPr>
                          <w:r>
                            <w:rPr>
                              <w:color w:val="464646"/>
                              <w:spacing w:val="-10"/>
                              <w:sz w:val="15"/>
                            </w:rPr>
                            <w:t>5</w:t>
                          </w:r>
                        </w:p>
                      </w:txbxContent>
                    </wps:txbx>
                    <wps:bodyPr wrap="square" lIns="0" tIns="0" rIns="0" bIns="0" rtlCol="0">
                      <a:noAutofit/>
                    </wps:bodyPr>
                  </wps:wsp>
                </a:graphicData>
              </a:graphic>
            </wp:anchor>
          </w:drawing>
        </mc:Choice>
        <mc:Fallback>
          <w:pict>
            <v:shape style="position:absolute;margin-left:76.569923pt;margin-top:43.862705pt;width:6.15pt;height:10.4pt;mso-position-horizontal-relative:page;mso-position-vertical-relative:page;z-index:-27407872" type="#_x0000_t202" id="docshape262" filled="false" stroked="false">
              <v:textbox inset="0,0,0,0">
                <w:txbxContent>
                  <w:p>
                    <w:pPr>
                      <w:spacing w:before="15"/>
                      <w:ind w:left="20" w:right="0" w:firstLine="0"/>
                      <w:jc w:val="left"/>
                      <w:rPr>
                        <w:sz w:val="15"/>
                      </w:rPr>
                    </w:pPr>
                    <w:r>
                      <w:rPr>
                        <w:color w:val="464646"/>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909120">
              <wp:simplePos x="0" y="0"/>
              <wp:positionH relativeFrom="page">
                <wp:posOffset>1424078</wp:posOffset>
              </wp:positionH>
              <wp:positionV relativeFrom="page">
                <wp:posOffset>557056</wp:posOffset>
              </wp:positionV>
              <wp:extent cx="1365250" cy="132080"/>
              <wp:effectExtent l="0" t="0" r="0" b="0"/>
              <wp:wrapNone/>
              <wp:docPr id="401" name="Textbox 401"/>
              <wp:cNvGraphicFramePr>
                <a:graphicFrameLocks/>
              </wp:cNvGraphicFramePr>
              <a:graphic>
                <a:graphicData uri="http://schemas.microsoft.com/office/word/2010/wordprocessingShape">
                  <wps:wsp>
                    <wps:cNvPr id="401" name="Textbox 401"/>
                    <wps:cNvSpPr txBox="1"/>
                    <wps:spPr>
                      <a:xfrm>
                        <a:off x="0" y="0"/>
                        <a:ext cx="1365250" cy="132080"/>
                      </a:xfrm>
                      <a:prstGeom prst="rect">
                        <a:avLst/>
                      </a:prstGeom>
                    </wps:spPr>
                    <wps:txbx>
                      <w:txbxContent>
                        <w:p>
                          <w:pPr>
                            <w:spacing w:before="15"/>
                            <w:ind w:left="20" w:right="0" w:firstLine="0"/>
                            <w:jc w:val="left"/>
                            <w:rPr>
                              <w:sz w:val="15"/>
                            </w:rPr>
                          </w:pPr>
                          <w:r>
                            <w:rPr>
                              <w:color w:val="464646"/>
                              <w:sz w:val="15"/>
                            </w:rPr>
                            <w:t>NOTES</w:t>
                          </w:r>
                          <w:r>
                            <w:rPr>
                              <w:color w:val="464646"/>
                              <w:spacing w:val="16"/>
                              <w:sz w:val="15"/>
                            </w:rPr>
                            <w:t> </w:t>
                          </w:r>
                          <w:r>
                            <w:rPr>
                              <w:color w:val="5B5B5B"/>
                              <w:sz w:val="15"/>
                            </w:rPr>
                            <w:t>T,:J</w:t>
                          </w:r>
                          <w:r>
                            <w:rPr>
                              <w:color w:val="5B5B5B"/>
                              <w:spacing w:val="10"/>
                              <w:sz w:val="15"/>
                            </w:rPr>
                            <w:t> </w:t>
                          </w:r>
                          <w:r>
                            <w:rPr>
                              <w:color w:val="464646"/>
                              <w:sz w:val="15"/>
                            </w:rPr>
                            <w:t>THE</w:t>
                          </w:r>
                          <w:r>
                            <w:rPr>
                              <w:color w:val="464646"/>
                              <w:spacing w:val="15"/>
                              <w:sz w:val="15"/>
                            </w:rPr>
                            <w:t> </w:t>
                          </w:r>
                          <w:r>
                            <w:rPr>
                              <w:color w:val="5B5B5B"/>
                              <w:spacing w:val="-2"/>
                              <w:sz w:val="15"/>
                            </w:rPr>
                            <w:t>ACCOUNTS</w:t>
                          </w:r>
                        </w:p>
                      </w:txbxContent>
                    </wps:txbx>
                    <wps:bodyPr wrap="square" lIns="0" tIns="0" rIns="0" bIns="0" rtlCol="0">
                      <a:noAutofit/>
                    </wps:bodyPr>
                  </wps:wsp>
                </a:graphicData>
              </a:graphic>
            </wp:anchor>
          </w:drawing>
        </mc:Choice>
        <mc:Fallback>
          <w:pict>
            <v:shape style="position:absolute;margin-left:112.132202pt;margin-top:43.862705pt;width:107.5pt;height:10.4pt;mso-position-horizontal-relative:page;mso-position-vertical-relative:page;z-index:-27407360" type="#_x0000_t202" id="docshape263" filled="false" stroked="false">
              <v:textbox inset="0,0,0,0">
                <w:txbxContent>
                  <w:p>
                    <w:pPr>
                      <w:spacing w:before="15"/>
                      <w:ind w:left="20" w:right="0" w:firstLine="0"/>
                      <w:jc w:val="left"/>
                      <w:rPr>
                        <w:sz w:val="15"/>
                      </w:rPr>
                    </w:pPr>
                    <w:r>
                      <w:rPr>
                        <w:color w:val="464646"/>
                        <w:sz w:val="15"/>
                      </w:rPr>
                      <w:t>NOTES</w:t>
                    </w:r>
                    <w:r>
                      <w:rPr>
                        <w:color w:val="464646"/>
                        <w:spacing w:val="16"/>
                        <w:sz w:val="15"/>
                      </w:rPr>
                      <w:t> </w:t>
                    </w:r>
                    <w:r>
                      <w:rPr>
                        <w:color w:val="5B5B5B"/>
                        <w:sz w:val="15"/>
                      </w:rPr>
                      <w:t>T,:J</w:t>
                    </w:r>
                    <w:r>
                      <w:rPr>
                        <w:color w:val="5B5B5B"/>
                        <w:spacing w:val="10"/>
                        <w:sz w:val="15"/>
                      </w:rPr>
                      <w:t> </w:t>
                    </w:r>
                    <w:r>
                      <w:rPr>
                        <w:color w:val="464646"/>
                        <w:sz w:val="15"/>
                      </w:rPr>
                      <w:t>THE</w:t>
                    </w:r>
                    <w:r>
                      <w:rPr>
                        <w:color w:val="464646"/>
                        <w:spacing w:val="15"/>
                        <w:sz w:val="15"/>
                      </w:rPr>
                      <w:t> </w:t>
                    </w:r>
                    <w:r>
                      <w:rPr>
                        <w:color w:val="5B5B5B"/>
                        <w:spacing w:val="-2"/>
                        <w:sz w:val="15"/>
                      </w:rPr>
                      <w:t>ACCOUNTS</w:t>
                    </w:r>
                  </w:p>
                </w:txbxContent>
              </v:textbox>
              <w10:wrap type="none"/>
            </v:shape>
          </w:pict>
        </mc:Fallback>
      </mc:AlternateContent>
    </w: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10656">
              <wp:simplePos x="0" y="0"/>
              <wp:positionH relativeFrom="page">
                <wp:posOffset>810633</wp:posOffset>
              </wp:positionH>
              <wp:positionV relativeFrom="page">
                <wp:posOffset>462460</wp:posOffset>
              </wp:positionV>
              <wp:extent cx="71120" cy="132080"/>
              <wp:effectExtent l="0" t="0" r="0" b="0"/>
              <wp:wrapNone/>
              <wp:docPr id="406" name="Textbox 406"/>
              <wp:cNvGraphicFramePr>
                <a:graphicFrameLocks/>
              </wp:cNvGraphicFramePr>
              <a:graphic>
                <a:graphicData uri="http://schemas.microsoft.com/office/word/2010/wordprocessingShape">
                  <wps:wsp>
                    <wps:cNvPr id="406" name="Textbox 406"/>
                    <wps:cNvSpPr txBox="1"/>
                    <wps:spPr>
                      <a:xfrm>
                        <a:off x="0" y="0"/>
                        <a:ext cx="71120" cy="132080"/>
                      </a:xfrm>
                      <a:prstGeom prst="rect">
                        <a:avLst/>
                      </a:prstGeom>
                    </wps:spPr>
                    <wps:txbx>
                      <w:txbxContent>
                        <w:p>
                          <w:pPr>
                            <w:spacing w:before="15"/>
                            <w:ind w:left="20" w:right="0" w:firstLine="0"/>
                            <w:jc w:val="left"/>
                            <w:rPr>
                              <w:sz w:val="15"/>
                            </w:rPr>
                          </w:pPr>
                          <w:r>
                            <w:rPr>
                              <w:color w:val="595959"/>
                              <w:spacing w:val="-10"/>
                              <w:w w:val="95"/>
                              <w:sz w:val="15"/>
                            </w:rPr>
                            <w:t>5</w:t>
                          </w:r>
                        </w:p>
                      </w:txbxContent>
                    </wps:txbx>
                    <wps:bodyPr wrap="square" lIns="0" tIns="0" rIns="0" bIns="0" rtlCol="0">
                      <a:noAutofit/>
                    </wps:bodyPr>
                  </wps:wsp>
                </a:graphicData>
              </a:graphic>
            </wp:anchor>
          </w:drawing>
        </mc:Choice>
        <mc:Fallback>
          <w:pict>
            <v:shape style="position:absolute;margin-left:63.829399pt;margin-top:36.414204pt;width:5.6pt;height:10.4pt;mso-position-horizontal-relative:page;mso-position-vertical-relative:page;z-index:-27405824" type="#_x0000_t202" id="docshape266" filled="false" stroked="false">
              <v:textbox inset="0,0,0,0">
                <w:txbxContent>
                  <w:p>
                    <w:pPr>
                      <w:spacing w:before="15"/>
                      <w:ind w:left="20" w:right="0" w:firstLine="0"/>
                      <w:jc w:val="left"/>
                      <w:rPr>
                        <w:sz w:val="15"/>
                      </w:rPr>
                    </w:pPr>
                    <w:r>
                      <w:rPr>
                        <w:color w:val="595959"/>
                        <w:spacing w:val="-10"/>
                        <w:w w:val="95"/>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911168">
              <wp:simplePos x="0" y="0"/>
              <wp:positionH relativeFrom="page">
                <wp:posOffset>1262274</wp:posOffset>
              </wp:positionH>
              <wp:positionV relativeFrom="page">
                <wp:posOffset>462460</wp:posOffset>
              </wp:positionV>
              <wp:extent cx="1358900" cy="132080"/>
              <wp:effectExtent l="0" t="0" r="0" b="0"/>
              <wp:wrapNone/>
              <wp:docPr id="407" name="Textbox 407"/>
              <wp:cNvGraphicFramePr>
                <a:graphicFrameLocks/>
              </wp:cNvGraphicFramePr>
              <a:graphic>
                <a:graphicData uri="http://schemas.microsoft.com/office/word/2010/wordprocessingShape">
                  <wps:wsp>
                    <wps:cNvPr id="407" name="Textbox 407"/>
                    <wps:cNvSpPr txBox="1"/>
                    <wps:spPr>
                      <a:xfrm>
                        <a:off x="0" y="0"/>
                        <a:ext cx="1358900" cy="132080"/>
                      </a:xfrm>
                      <a:prstGeom prst="rect">
                        <a:avLst/>
                      </a:prstGeom>
                    </wps:spPr>
                    <wps:txbx>
                      <w:txbxContent>
                        <w:p>
                          <w:pPr>
                            <w:spacing w:before="15"/>
                            <w:ind w:left="20" w:right="0" w:firstLine="0"/>
                            <w:jc w:val="left"/>
                            <w:rPr>
                              <w:sz w:val="15"/>
                            </w:rPr>
                          </w:pPr>
                          <w:r>
                            <w:rPr>
                              <w:color w:val="595959"/>
                              <w:w w:val="105"/>
                              <w:sz w:val="15"/>
                            </w:rPr>
                            <w:t>NOfE3</w:t>
                          </w:r>
                          <w:r>
                            <w:rPr>
                              <w:color w:val="595959"/>
                              <w:spacing w:val="35"/>
                              <w:w w:val="105"/>
                              <w:sz w:val="15"/>
                            </w:rPr>
                            <w:t> </w:t>
                          </w:r>
                          <w:r>
                            <w:rPr>
                              <w:color w:val="595959"/>
                              <w:w w:val="105"/>
                              <w:sz w:val="15"/>
                            </w:rPr>
                            <w:t>TO</w:t>
                          </w:r>
                          <w:r>
                            <w:rPr>
                              <w:color w:val="595959"/>
                              <w:spacing w:val="19"/>
                              <w:w w:val="105"/>
                              <w:sz w:val="15"/>
                            </w:rPr>
                            <w:t> </w:t>
                          </w:r>
                          <w:r>
                            <w:rPr>
                              <w:color w:val="595959"/>
                              <w:w w:val="105"/>
                              <w:sz w:val="15"/>
                            </w:rPr>
                            <w:t>THE</w:t>
                          </w:r>
                          <w:r>
                            <w:rPr>
                              <w:color w:val="595959"/>
                              <w:spacing w:val="29"/>
                              <w:w w:val="105"/>
                              <w:sz w:val="15"/>
                            </w:rPr>
                            <w:t> </w:t>
                          </w:r>
                          <w:r>
                            <w:rPr>
                              <w:color w:val="727272"/>
                              <w:spacing w:val="-2"/>
                              <w:w w:val="105"/>
                              <w:sz w:val="15"/>
                            </w:rPr>
                            <w:t>ACCOUNTS</w:t>
                          </w:r>
                        </w:p>
                      </w:txbxContent>
                    </wps:txbx>
                    <wps:bodyPr wrap="square" lIns="0" tIns="0" rIns="0" bIns="0" rtlCol="0">
                      <a:noAutofit/>
                    </wps:bodyPr>
                  </wps:wsp>
                </a:graphicData>
              </a:graphic>
            </wp:anchor>
          </w:drawing>
        </mc:Choice>
        <mc:Fallback>
          <w:pict>
            <v:shape style="position:absolute;margin-left:99.391701pt;margin-top:36.414204pt;width:107pt;height:10.4pt;mso-position-horizontal-relative:page;mso-position-vertical-relative:page;z-index:-27405312" type="#_x0000_t202" id="docshape267" filled="false" stroked="false">
              <v:textbox inset="0,0,0,0">
                <w:txbxContent>
                  <w:p>
                    <w:pPr>
                      <w:spacing w:before="15"/>
                      <w:ind w:left="20" w:right="0" w:firstLine="0"/>
                      <w:jc w:val="left"/>
                      <w:rPr>
                        <w:sz w:val="15"/>
                      </w:rPr>
                    </w:pPr>
                    <w:r>
                      <w:rPr>
                        <w:color w:val="595959"/>
                        <w:w w:val="105"/>
                        <w:sz w:val="15"/>
                      </w:rPr>
                      <w:t>NOfE3</w:t>
                    </w:r>
                    <w:r>
                      <w:rPr>
                        <w:color w:val="595959"/>
                        <w:spacing w:val="35"/>
                        <w:w w:val="105"/>
                        <w:sz w:val="15"/>
                      </w:rPr>
                      <w:t> </w:t>
                    </w:r>
                    <w:r>
                      <w:rPr>
                        <w:color w:val="595959"/>
                        <w:w w:val="105"/>
                        <w:sz w:val="15"/>
                      </w:rPr>
                      <w:t>TO</w:t>
                    </w:r>
                    <w:r>
                      <w:rPr>
                        <w:color w:val="595959"/>
                        <w:spacing w:val="19"/>
                        <w:w w:val="105"/>
                        <w:sz w:val="15"/>
                      </w:rPr>
                      <w:t> </w:t>
                    </w:r>
                    <w:r>
                      <w:rPr>
                        <w:color w:val="595959"/>
                        <w:w w:val="105"/>
                        <w:sz w:val="15"/>
                      </w:rPr>
                      <w:t>THE</w:t>
                    </w:r>
                    <w:r>
                      <w:rPr>
                        <w:color w:val="595959"/>
                        <w:spacing w:val="29"/>
                        <w:w w:val="105"/>
                        <w:sz w:val="15"/>
                      </w:rPr>
                      <w:t> </w:t>
                    </w:r>
                    <w:r>
                      <w:rPr>
                        <w:color w:val="727272"/>
                        <w:spacing w:val="-2"/>
                        <w:w w:val="105"/>
                        <w:sz w:val="15"/>
                      </w:rPr>
                      <w:t>ACCOUNTS</w:t>
                    </w:r>
                  </w:p>
                </w:txbxContent>
              </v:textbox>
              <w10:wrap type="none"/>
            </v:shape>
          </w:pict>
        </mc:Fallback>
      </mc:AlternateContent>
    </w: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11680">
              <wp:simplePos x="0" y="0"/>
              <wp:positionH relativeFrom="page">
                <wp:posOffset>966332</wp:posOffset>
              </wp:positionH>
              <wp:positionV relativeFrom="page">
                <wp:posOffset>563158</wp:posOffset>
              </wp:positionV>
              <wp:extent cx="74930" cy="132080"/>
              <wp:effectExtent l="0" t="0" r="0" b="0"/>
              <wp:wrapNone/>
              <wp:docPr id="408" name="Textbox 408"/>
              <wp:cNvGraphicFramePr>
                <a:graphicFrameLocks/>
              </wp:cNvGraphicFramePr>
              <a:graphic>
                <a:graphicData uri="http://schemas.microsoft.com/office/word/2010/wordprocessingShape">
                  <wps:wsp>
                    <wps:cNvPr id="408" name="Textbox 408"/>
                    <wps:cNvSpPr txBox="1"/>
                    <wps:spPr>
                      <a:xfrm>
                        <a:off x="0" y="0"/>
                        <a:ext cx="74930" cy="132080"/>
                      </a:xfrm>
                      <a:prstGeom prst="rect">
                        <a:avLst/>
                      </a:prstGeom>
                    </wps:spPr>
                    <wps:txbx>
                      <w:txbxContent>
                        <w:p>
                          <w:pPr>
                            <w:spacing w:before="15"/>
                            <w:ind w:left="20" w:right="0" w:firstLine="0"/>
                            <w:jc w:val="left"/>
                            <w:rPr>
                              <w:sz w:val="15"/>
                            </w:rPr>
                          </w:pPr>
                          <w:r>
                            <w:rPr>
                              <w:color w:val="696969"/>
                              <w:spacing w:val="-10"/>
                              <w:sz w:val="15"/>
                            </w:rPr>
                            <w:t>5</w:t>
                          </w:r>
                        </w:p>
                      </w:txbxContent>
                    </wps:txbx>
                    <wps:bodyPr wrap="square" lIns="0" tIns="0" rIns="0" bIns="0" rtlCol="0">
                      <a:noAutofit/>
                    </wps:bodyPr>
                  </wps:wsp>
                </a:graphicData>
              </a:graphic>
            </wp:anchor>
          </w:drawing>
        </mc:Choice>
        <mc:Fallback>
          <w:pict>
            <v:shape style="position:absolute;margin-left:76.089142pt;margin-top:44.343204pt;width:5.9pt;height:10.4pt;mso-position-horizontal-relative:page;mso-position-vertical-relative:page;z-index:-27404800" type="#_x0000_t202" id="docshape268" filled="false" stroked="false">
              <v:textbox inset="0,0,0,0">
                <w:txbxContent>
                  <w:p>
                    <w:pPr>
                      <w:spacing w:before="15"/>
                      <w:ind w:left="20" w:right="0" w:firstLine="0"/>
                      <w:jc w:val="left"/>
                      <w:rPr>
                        <w:sz w:val="15"/>
                      </w:rPr>
                    </w:pPr>
                    <w:r>
                      <w:rPr>
                        <w:color w:val="696969"/>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912192">
              <wp:simplePos x="0" y="0"/>
              <wp:positionH relativeFrom="page">
                <wp:posOffset>1417972</wp:posOffset>
              </wp:positionH>
              <wp:positionV relativeFrom="page">
                <wp:posOffset>563158</wp:posOffset>
              </wp:positionV>
              <wp:extent cx="1369695" cy="132080"/>
              <wp:effectExtent l="0" t="0" r="0" b="0"/>
              <wp:wrapNone/>
              <wp:docPr id="409" name="Textbox 409"/>
              <wp:cNvGraphicFramePr>
                <a:graphicFrameLocks/>
              </wp:cNvGraphicFramePr>
              <a:graphic>
                <a:graphicData uri="http://schemas.microsoft.com/office/word/2010/wordprocessingShape">
                  <wps:wsp>
                    <wps:cNvPr id="409" name="Textbox 409"/>
                    <wps:cNvSpPr txBox="1"/>
                    <wps:spPr>
                      <a:xfrm>
                        <a:off x="0" y="0"/>
                        <a:ext cx="1369695" cy="132080"/>
                      </a:xfrm>
                      <a:prstGeom prst="rect">
                        <a:avLst/>
                      </a:prstGeom>
                    </wps:spPr>
                    <wps:txbx>
                      <w:txbxContent>
                        <w:p>
                          <w:pPr>
                            <w:spacing w:before="15"/>
                            <w:ind w:left="20" w:right="0" w:firstLine="0"/>
                            <w:jc w:val="left"/>
                            <w:rPr>
                              <w:sz w:val="15"/>
                            </w:rPr>
                          </w:pPr>
                          <w:r>
                            <w:rPr>
                              <w:color w:val="696969"/>
                              <w:w w:val="105"/>
                              <w:sz w:val="15"/>
                            </w:rPr>
                            <w:t>NOTES</w:t>
                          </w:r>
                          <w:r>
                            <w:rPr>
                              <w:color w:val="696969"/>
                              <w:spacing w:val="10"/>
                              <w:w w:val="105"/>
                              <w:sz w:val="15"/>
                            </w:rPr>
                            <w:t> </w:t>
                          </w:r>
                          <w:r>
                            <w:rPr>
                              <w:color w:val="696969"/>
                              <w:w w:val="105"/>
                              <w:sz w:val="15"/>
                            </w:rPr>
                            <w:t>TO</w:t>
                          </w:r>
                          <w:r>
                            <w:rPr>
                              <w:color w:val="696969"/>
                              <w:spacing w:val="3"/>
                              <w:w w:val="105"/>
                              <w:sz w:val="15"/>
                            </w:rPr>
                            <w:t> </w:t>
                          </w:r>
                          <w:r>
                            <w:rPr>
                              <w:color w:val="696969"/>
                              <w:w w:val="105"/>
                              <w:sz w:val="15"/>
                            </w:rPr>
                            <w:t>THE</w:t>
                          </w:r>
                          <w:r>
                            <w:rPr>
                              <w:color w:val="696969"/>
                              <w:spacing w:val="2"/>
                              <w:w w:val="105"/>
                              <w:sz w:val="15"/>
                            </w:rPr>
                            <w:t> </w:t>
                          </w:r>
                          <w:r>
                            <w:rPr>
                              <w:color w:val="696969"/>
                              <w:spacing w:val="-2"/>
                              <w:w w:val="105"/>
                              <w:sz w:val="15"/>
                            </w:rPr>
                            <w:t>ACCOUNTS</w:t>
                          </w:r>
                        </w:p>
                      </w:txbxContent>
                    </wps:txbx>
                    <wps:bodyPr wrap="square" lIns="0" tIns="0" rIns="0" bIns="0" rtlCol="0">
                      <a:noAutofit/>
                    </wps:bodyPr>
                  </wps:wsp>
                </a:graphicData>
              </a:graphic>
            </wp:anchor>
          </w:drawing>
        </mc:Choice>
        <mc:Fallback>
          <w:pict>
            <v:shape style="position:absolute;margin-left:111.651398pt;margin-top:44.343204pt;width:107.85pt;height:10.4pt;mso-position-horizontal-relative:page;mso-position-vertical-relative:page;z-index:-27404288" type="#_x0000_t202" id="docshape269" filled="false" stroked="false">
              <v:textbox inset="0,0,0,0">
                <w:txbxContent>
                  <w:p>
                    <w:pPr>
                      <w:spacing w:before="15"/>
                      <w:ind w:left="20" w:right="0" w:firstLine="0"/>
                      <w:jc w:val="left"/>
                      <w:rPr>
                        <w:sz w:val="15"/>
                      </w:rPr>
                    </w:pPr>
                    <w:r>
                      <w:rPr>
                        <w:color w:val="696969"/>
                        <w:w w:val="105"/>
                        <w:sz w:val="15"/>
                      </w:rPr>
                      <w:t>NOTES</w:t>
                    </w:r>
                    <w:r>
                      <w:rPr>
                        <w:color w:val="696969"/>
                        <w:spacing w:val="10"/>
                        <w:w w:val="105"/>
                        <w:sz w:val="15"/>
                      </w:rPr>
                      <w:t> </w:t>
                    </w:r>
                    <w:r>
                      <w:rPr>
                        <w:color w:val="696969"/>
                        <w:w w:val="105"/>
                        <w:sz w:val="15"/>
                      </w:rPr>
                      <w:t>TO</w:t>
                    </w:r>
                    <w:r>
                      <w:rPr>
                        <w:color w:val="696969"/>
                        <w:spacing w:val="3"/>
                        <w:w w:val="105"/>
                        <w:sz w:val="15"/>
                      </w:rPr>
                      <w:t> </w:t>
                    </w:r>
                    <w:r>
                      <w:rPr>
                        <w:color w:val="696969"/>
                        <w:w w:val="105"/>
                        <w:sz w:val="15"/>
                      </w:rPr>
                      <w:t>THE</w:t>
                    </w:r>
                    <w:r>
                      <w:rPr>
                        <w:color w:val="696969"/>
                        <w:spacing w:val="2"/>
                        <w:w w:val="105"/>
                        <w:sz w:val="15"/>
                      </w:rPr>
                      <w:t> </w:t>
                    </w:r>
                    <w:r>
                      <w:rPr>
                        <w:color w:val="696969"/>
                        <w:spacing w:val="-2"/>
                        <w:w w:val="105"/>
                        <w:sz w:val="15"/>
                      </w:rPr>
                      <w:t>ACCOUNTS</w:t>
                    </w:r>
                  </w:p>
                </w:txbxContent>
              </v:textbox>
              <w10:wrap type="none"/>
            </v:shape>
          </w:pict>
        </mc:Fallback>
      </mc:AlternateContent>
    </w: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6"/>
      </w:rPr>
    </w:pPr>
    <w:r>
      <w:rPr/>
      <mc:AlternateContent>
        <mc:Choice Requires="wps">
          <w:drawing>
            <wp:anchor distT="0" distB="0" distL="0" distR="0" allowOverlap="1" layoutInCell="1" locked="0" behindDoc="1" simplePos="0" relativeHeight="475913728">
              <wp:simplePos x="0" y="0"/>
              <wp:positionH relativeFrom="page">
                <wp:posOffset>804527</wp:posOffset>
              </wp:positionH>
              <wp:positionV relativeFrom="page">
                <wp:posOffset>444150</wp:posOffset>
              </wp:positionV>
              <wp:extent cx="74930" cy="132080"/>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a:off x="0" y="0"/>
                        <a:ext cx="74930" cy="132080"/>
                      </a:xfrm>
                      <a:prstGeom prst="rect">
                        <a:avLst/>
                      </a:prstGeom>
                    </wps:spPr>
                    <wps:txbx>
                      <w:txbxContent>
                        <w:p>
                          <w:pPr>
                            <w:spacing w:before="15"/>
                            <w:ind w:left="20" w:right="0" w:firstLine="0"/>
                            <w:jc w:val="left"/>
                            <w:rPr>
                              <w:sz w:val="15"/>
                            </w:rPr>
                          </w:pPr>
                          <w:r>
                            <w:rPr>
                              <w:color w:val="AFAFAF"/>
                              <w:spacing w:val="-10"/>
                              <w:sz w:val="15"/>
                            </w:rPr>
                            <w:t>5</w:t>
                          </w:r>
                        </w:p>
                      </w:txbxContent>
                    </wps:txbx>
                    <wps:bodyPr wrap="square" lIns="0" tIns="0" rIns="0" bIns="0" rtlCol="0">
                      <a:noAutofit/>
                    </wps:bodyPr>
                  </wps:wsp>
                </a:graphicData>
              </a:graphic>
            </wp:anchor>
          </w:drawing>
        </mc:Choice>
        <mc:Fallback>
          <w:pict>
            <v:shape style="position:absolute;margin-left:63.348621pt;margin-top:34.972504pt;width:5.9pt;height:10.4pt;mso-position-horizontal-relative:page;mso-position-vertical-relative:page;z-index:-27402752" type="#_x0000_t202" id="docshape272" filled="false" stroked="false">
              <v:textbox inset="0,0,0,0">
                <w:txbxContent>
                  <w:p>
                    <w:pPr>
                      <w:spacing w:before="15"/>
                      <w:ind w:left="20" w:right="0" w:firstLine="0"/>
                      <w:jc w:val="left"/>
                      <w:rPr>
                        <w:sz w:val="15"/>
                      </w:rPr>
                    </w:pPr>
                    <w:r>
                      <w:rPr>
                        <w:color w:val="AFAFAF"/>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914240">
              <wp:simplePos x="0" y="0"/>
              <wp:positionH relativeFrom="page">
                <wp:posOffset>1256168</wp:posOffset>
              </wp:positionH>
              <wp:positionV relativeFrom="page">
                <wp:posOffset>444150</wp:posOffset>
              </wp:positionV>
              <wp:extent cx="1364615" cy="132080"/>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1364615" cy="132080"/>
                      </a:xfrm>
                      <a:prstGeom prst="rect">
                        <a:avLst/>
                      </a:prstGeom>
                    </wps:spPr>
                    <wps:txbx>
                      <w:txbxContent>
                        <w:p>
                          <w:pPr>
                            <w:spacing w:before="15"/>
                            <w:ind w:left="20" w:right="0" w:firstLine="0"/>
                            <w:jc w:val="left"/>
                            <w:rPr>
                              <w:sz w:val="15"/>
                            </w:rPr>
                          </w:pPr>
                          <w:r>
                            <w:rPr>
                              <w:color w:val="AFAFAF"/>
                              <w:w w:val="105"/>
                              <w:sz w:val="15"/>
                            </w:rPr>
                            <w:t>NOTES</w:t>
                          </w:r>
                          <w:r>
                            <w:rPr>
                              <w:color w:val="AFAFAF"/>
                              <w:spacing w:val="9"/>
                              <w:w w:val="105"/>
                              <w:sz w:val="15"/>
                            </w:rPr>
                            <w:t> </w:t>
                          </w:r>
                          <w:r>
                            <w:rPr>
                              <w:color w:val="AFAFAF"/>
                              <w:w w:val="105"/>
                              <w:sz w:val="15"/>
                            </w:rPr>
                            <w:t>TO</w:t>
                          </w:r>
                          <w:r>
                            <w:rPr>
                              <w:color w:val="AFAFAF"/>
                              <w:spacing w:val="1"/>
                              <w:w w:val="105"/>
                              <w:sz w:val="15"/>
                            </w:rPr>
                            <w:t> </w:t>
                          </w:r>
                          <w:r>
                            <w:rPr>
                              <w:color w:val="AFAFAF"/>
                              <w:w w:val="105"/>
                              <w:sz w:val="15"/>
                            </w:rPr>
                            <w:t>THE</w:t>
                          </w:r>
                          <w:r>
                            <w:rPr>
                              <w:color w:val="AFAFAF"/>
                              <w:spacing w:val="5"/>
                              <w:w w:val="105"/>
                              <w:sz w:val="15"/>
                            </w:rPr>
                            <w:t> </w:t>
                          </w:r>
                          <w:r>
                            <w:rPr>
                              <w:color w:val="AFAFAF"/>
                              <w:spacing w:val="-2"/>
                              <w:w w:val="105"/>
                              <w:sz w:val="15"/>
                            </w:rPr>
                            <w:t>ACCOUNTS</w:t>
                          </w:r>
                        </w:p>
                      </w:txbxContent>
                    </wps:txbx>
                    <wps:bodyPr wrap="square" lIns="0" tIns="0" rIns="0" bIns="0" rtlCol="0">
                      <a:noAutofit/>
                    </wps:bodyPr>
                  </wps:wsp>
                </a:graphicData>
              </a:graphic>
            </wp:anchor>
          </w:drawing>
        </mc:Choice>
        <mc:Fallback>
          <w:pict>
            <v:shape style="position:absolute;margin-left:98.910889pt;margin-top:34.972504pt;width:107.45pt;height:10.4pt;mso-position-horizontal-relative:page;mso-position-vertical-relative:page;z-index:-27402240" type="#_x0000_t202" id="docshape273" filled="false" stroked="false">
              <v:textbox inset="0,0,0,0">
                <w:txbxContent>
                  <w:p>
                    <w:pPr>
                      <w:spacing w:before="15"/>
                      <w:ind w:left="20" w:right="0" w:firstLine="0"/>
                      <w:jc w:val="left"/>
                      <w:rPr>
                        <w:sz w:val="15"/>
                      </w:rPr>
                    </w:pPr>
                    <w:r>
                      <w:rPr>
                        <w:color w:val="AFAFAF"/>
                        <w:w w:val="105"/>
                        <w:sz w:val="15"/>
                      </w:rPr>
                      <w:t>NOTES</w:t>
                    </w:r>
                    <w:r>
                      <w:rPr>
                        <w:color w:val="AFAFAF"/>
                        <w:spacing w:val="9"/>
                        <w:w w:val="105"/>
                        <w:sz w:val="15"/>
                      </w:rPr>
                      <w:t> </w:t>
                    </w:r>
                    <w:r>
                      <w:rPr>
                        <w:color w:val="AFAFAF"/>
                        <w:w w:val="105"/>
                        <w:sz w:val="15"/>
                      </w:rPr>
                      <w:t>TO</w:t>
                    </w:r>
                    <w:r>
                      <w:rPr>
                        <w:color w:val="AFAFAF"/>
                        <w:spacing w:val="1"/>
                        <w:w w:val="105"/>
                        <w:sz w:val="15"/>
                      </w:rPr>
                      <w:t> </w:t>
                    </w:r>
                    <w:r>
                      <w:rPr>
                        <w:color w:val="AFAFAF"/>
                        <w:w w:val="105"/>
                        <w:sz w:val="15"/>
                      </w:rPr>
                      <w:t>THE</w:t>
                    </w:r>
                    <w:r>
                      <w:rPr>
                        <w:color w:val="AFAFAF"/>
                        <w:spacing w:val="5"/>
                        <w:w w:val="105"/>
                        <w:sz w:val="15"/>
                      </w:rPr>
                      <w:t> </w:t>
                    </w:r>
                    <w:r>
                      <w:rPr>
                        <w:color w:val="AFAFAF"/>
                        <w:spacing w:val="-2"/>
                        <w:w w:val="105"/>
                        <w:sz w:val="15"/>
                      </w:rPr>
                      <w:t>ACCOUNTS</w:t>
                    </w:r>
                  </w:p>
                </w:txbxContent>
              </v:textbox>
              <w10:wrap type="none"/>
            </v:shape>
          </w:pict>
        </mc:Fallback>
      </mc:AlternateContent>
    </w: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14752">
              <wp:simplePos x="0" y="0"/>
              <wp:positionH relativeFrom="page">
                <wp:posOffset>987702</wp:posOffset>
              </wp:positionH>
              <wp:positionV relativeFrom="page">
                <wp:posOffset>544850</wp:posOffset>
              </wp:positionV>
              <wp:extent cx="78105" cy="132080"/>
              <wp:effectExtent l="0" t="0" r="0" b="0"/>
              <wp:wrapNone/>
              <wp:docPr id="414" name="Textbox 414"/>
              <wp:cNvGraphicFramePr>
                <a:graphicFrameLocks/>
              </wp:cNvGraphicFramePr>
              <a:graphic>
                <a:graphicData uri="http://schemas.microsoft.com/office/word/2010/wordprocessingShape">
                  <wps:wsp>
                    <wps:cNvPr id="414" name="Textbox 414"/>
                    <wps:cNvSpPr txBox="1"/>
                    <wps:spPr>
                      <a:xfrm>
                        <a:off x="0" y="0"/>
                        <a:ext cx="78105" cy="132080"/>
                      </a:xfrm>
                      <a:prstGeom prst="rect">
                        <a:avLst/>
                      </a:prstGeom>
                    </wps:spPr>
                    <wps:txbx>
                      <w:txbxContent>
                        <w:p>
                          <w:pPr>
                            <w:spacing w:before="15"/>
                            <w:ind w:left="20" w:right="0" w:firstLine="0"/>
                            <w:jc w:val="left"/>
                            <w:rPr>
                              <w:sz w:val="15"/>
                            </w:rPr>
                          </w:pPr>
                          <w:r>
                            <w:rPr>
                              <w:color w:val="494949"/>
                              <w:spacing w:val="-10"/>
                              <w:sz w:val="15"/>
                            </w:rPr>
                            <w:t>5</w:t>
                          </w:r>
                        </w:p>
                      </w:txbxContent>
                    </wps:txbx>
                    <wps:bodyPr wrap="square" lIns="0" tIns="0" rIns="0" bIns="0" rtlCol="0">
                      <a:noAutofit/>
                    </wps:bodyPr>
                  </wps:wsp>
                </a:graphicData>
              </a:graphic>
            </wp:anchor>
          </w:drawing>
        </mc:Choice>
        <mc:Fallback>
          <w:pict>
            <v:shape style="position:absolute;margin-left:77.771851pt;margin-top:42.901604pt;width:6.15pt;height:10.4pt;mso-position-horizontal-relative:page;mso-position-vertical-relative:page;z-index:-27401728" type="#_x0000_t202" id="docshape274" filled="false" stroked="false">
              <v:textbox inset="0,0,0,0">
                <w:txbxContent>
                  <w:p>
                    <w:pPr>
                      <w:spacing w:before="15"/>
                      <w:ind w:left="20" w:right="0" w:firstLine="0"/>
                      <w:jc w:val="left"/>
                      <w:rPr>
                        <w:sz w:val="15"/>
                      </w:rPr>
                    </w:pPr>
                    <w:r>
                      <w:rPr>
                        <w:color w:val="494949"/>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915264">
              <wp:simplePos x="0" y="0"/>
              <wp:positionH relativeFrom="page">
                <wp:posOffset>1442396</wp:posOffset>
              </wp:positionH>
              <wp:positionV relativeFrom="page">
                <wp:posOffset>544850</wp:posOffset>
              </wp:positionV>
              <wp:extent cx="1369695" cy="132080"/>
              <wp:effectExtent l="0" t="0" r="0" b="0"/>
              <wp:wrapNone/>
              <wp:docPr id="415" name="Textbox 415"/>
              <wp:cNvGraphicFramePr>
                <a:graphicFrameLocks/>
              </wp:cNvGraphicFramePr>
              <a:graphic>
                <a:graphicData uri="http://schemas.microsoft.com/office/word/2010/wordprocessingShape">
                  <wps:wsp>
                    <wps:cNvPr id="415" name="Textbox 415"/>
                    <wps:cNvSpPr txBox="1"/>
                    <wps:spPr>
                      <a:xfrm>
                        <a:off x="0" y="0"/>
                        <a:ext cx="1369695" cy="132080"/>
                      </a:xfrm>
                      <a:prstGeom prst="rect">
                        <a:avLst/>
                      </a:prstGeom>
                    </wps:spPr>
                    <wps:txbx>
                      <w:txbxContent>
                        <w:p>
                          <w:pPr>
                            <w:spacing w:before="15"/>
                            <w:ind w:left="20" w:right="0" w:firstLine="0"/>
                            <w:jc w:val="left"/>
                            <w:rPr>
                              <w:sz w:val="15"/>
                            </w:rPr>
                          </w:pPr>
                          <w:r>
                            <w:rPr>
                              <w:color w:val="494949"/>
                              <w:w w:val="105"/>
                              <w:sz w:val="15"/>
                            </w:rPr>
                            <w:t>NOTc'S</w:t>
                          </w:r>
                          <w:r>
                            <w:rPr>
                              <w:color w:val="494949"/>
                              <w:spacing w:val="5"/>
                              <w:w w:val="105"/>
                              <w:sz w:val="15"/>
                            </w:rPr>
                            <w:t> </w:t>
                          </w:r>
                          <w:r>
                            <w:rPr>
                              <w:color w:val="494949"/>
                              <w:w w:val="105"/>
                              <w:sz w:val="15"/>
                            </w:rPr>
                            <w:t>TO</w:t>
                          </w:r>
                          <w:r>
                            <w:rPr>
                              <w:color w:val="494949"/>
                              <w:spacing w:val="7"/>
                              <w:w w:val="105"/>
                              <w:sz w:val="15"/>
                            </w:rPr>
                            <w:t> </w:t>
                          </w:r>
                          <w:r>
                            <w:rPr>
                              <w:color w:val="494949"/>
                              <w:w w:val="105"/>
                              <w:sz w:val="15"/>
                            </w:rPr>
                            <w:t>THE</w:t>
                          </w:r>
                          <w:r>
                            <w:rPr>
                              <w:color w:val="494949"/>
                              <w:spacing w:val="-2"/>
                              <w:w w:val="105"/>
                              <w:sz w:val="15"/>
                            </w:rPr>
                            <w:t> ACCOUNTS</w:t>
                          </w:r>
                        </w:p>
                      </w:txbxContent>
                    </wps:txbx>
                    <wps:bodyPr wrap="square" lIns="0" tIns="0" rIns="0" bIns="0" rtlCol="0">
                      <a:noAutofit/>
                    </wps:bodyPr>
                  </wps:wsp>
                </a:graphicData>
              </a:graphic>
            </wp:anchor>
          </w:drawing>
        </mc:Choice>
        <mc:Fallback>
          <w:pict>
            <v:shape style="position:absolute;margin-left:113.574501pt;margin-top:42.901604pt;width:107.85pt;height:10.4pt;mso-position-horizontal-relative:page;mso-position-vertical-relative:page;z-index:-27401216" type="#_x0000_t202" id="docshape275" filled="false" stroked="false">
              <v:textbox inset="0,0,0,0">
                <w:txbxContent>
                  <w:p>
                    <w:pPr>
                      <w:spacing w:before="15"/>
                      <w:ind w:left="20" w:right="0" w:firstLine="0"/>
                      <w:jc w:val="left"/>
                      <w:rPr>
                        <w:sz w:val="15"/>
                      </w:rPr>
                    </w:pPr>
                    <w:r>
                      <w:rPr>
                        <w:color w:val="494949"/>
                        <w:w w:val="105"/>
                        <w:sz w:val="15"/>
                      </w:rPr>
                      <w:t>NOTc'S</w:t>
                    </w:r>
                    <w:r>
                      <w:rPr>
                        <w:color w:val="494949"/>
                        <w:spacing w:val="5"/>
                        <w:w w:val="105"/>
                        <w:sz w:val="15"/>
                      </w:rPr>
                      <w:t> </w:t>
                    </w:r>
                    <w:r>
                      <w:rPr>
                        <w:color w:val="494949"/>
                        <w:w w:val="105"/>
                        <w:sz w:val="15"/>
                      </w:rPr>
                      <w:t>TO</w:t>
                    </w:r>
                    <w:r>
                      <w:rPr>
                        <w:color w:val="494949"/>
                        <w:spacing w:val="7"/>
                        <w:w w:val="105"/>
                        <w:sz w:val="15"/>
                      </w:rPr>
                      <w:t> </w:t>
                    </w:r>
                    <w:r>
                      <w:rPr>
                        <w:color w:val="494949"/>
                        <w:w w:val="105"/>
                        <w:sz w:val="15"/>
                      </w:rPr>
                      <w:t>THE</w:t>
                    </w:r>
                    <w:r>
                      <w:rPr>
                        <w:color w:val="494949"/>
                        <w:spacing w:val="-2"/>
                        <w:w w:val="105"/>
                        <w:sz w:val="15"/>
                      </w:rPr>
                      <w:t> ACCOUNTS</w:t>
                    </w:r>
                  </w:p>
                </w:txbxContent>
              </v:textbox>
              <w10:wrap type="none"/>
            </v:shape>
          </w:pict>
        </mc:Fallback>
      </mc:AlternateContent>
    </w: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17824">
              <wp:simplePos x="0" y="0"/>
              <wp:positionH relativeFrom="page">
                <wp:posOffset>795368</wp:posOffset>
              </wp:positionH>
              <wp:positionV relativeFrom="page">
                <wp:posOffset>456358</wp:posOffset>
              </wp:positionV>
              <wp:extent cx="74930" cy="132080"/>
              <wp:effectExtent l="0" t="0" r="0" b="0"/>
              <wp:wrapNone/>
              <wp:docPr id="473" name="Textbox 473"/>
              <wp:cNvGraphicFramePr>
                <a:graphicFrameLocks/>
              </wp:cNvGraphicFramePr>
              <a:graphic>
                <a:graphicData uri="http://schemas.microsoft.com/office/word/2010/wordprocessingShape">
                  <wps:wsp>
                    <wps:cNvPr id="473" name="Textbox 473"/>
                    <wps:cNvSpPr txBox="1"/>
                    <wps:spPr>
                      <a:xfrm>
                        <a:off x="0" y="0"/>
                        <a:ext cx="74930" cy="132080"/>
                      </a:xfrm>
                      <a:prstGeom prst="rect">
                        <a:avLst/>
                      </a:prstGeom>
                    </wps:spPr>
                    <wps:txbx>
                      <w:txbxContent>
                        <w:p>
                          <w:pPr>
                            <w:spacing w:before="15"/>
                            <w:ind w:left="20" w:right="0" w:firstLine="0"/>
                            <w:jc w:val="left"/>
                            <w:rPr>
                              <w:sz w:val="15"/>
                            </w:rPr>
                          </w:pPr>
                          <w:r>
                            <w:rPr>
                              <w:color w:val="696969"/>
                              <w:spacing w:val="-10"/>
                              <w:sz w:val="15"/>
                            </w:rPr>
                            <w:t>5</w:t>
                          </w:r>
                        </w:p>
                      </w:txbxContent>
                    </wps:txbx>
                    <wps:bodyPr wrap="square" lIns="0" tIns="0" rIns="0" bIns="0" rtlCol="0">
                      <a:noAutofit/>
                    </wps:bodyPr>
                  </wps:wsp>
                </a:graphicData>
              </a:graphic>
            </wp:anchor>
          </w:drawing>
        </mc:Choice>
        <mc:Fallback>
          <w:pict>
            <v:shape style="position:absolute;margin-left:62.62746pt;margin-top:35.933704pt;width:5.9pt;height:10.4pt;mso-position-horizontal-relative:page;mso-position-vertical-relative:page;z-index:-27398656" type="#_x0000_t202" id="docshape325" filled="false" stroked="false">
              <v:textbox inset="0,0,0,0">
                <w:txbxContent>
                  <w:p>
                    <w:pPr>
                      <w:spacing w:before="15"/>
                      <w:ind w:left="20" w:right="0" w:firstLine="0"/>
                      <w:jc w:val="left"/>
                      <w:rPr>
                        <w:sz w:val="15"/>
                      </w:rPr>
                    </w:pPr>
                    <w:r>
                      <w:rPr>
                        <w:color w:val="696969"/>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918336">
              <wp:simplePos x="0" y="0"/>
              <wp:positionH relativeFrom="page">
                <wp:posOffset>1250062</wp:posOffset>
              </wp:positionH>
              <wp:positionV relativeFrom="page">
                <wp:posOffset>456358</wp:posOffset>
              </wp:positionV>
              <wp:extent cx="1358900" cy="132080"/>
              <wp:effectExtent l="0" t="0" r="0" b="0"/>
              <wp:wrapNone/>
              <wp:docPr id="474" name="Textbox 474"/>
              <wp:cNvGraphicFramePr>
                <a:graphicFrameLocks/>
              </wp:cNvGraphicFramePr>
              <a:graphic>
                <a:graphicData uri="http://schemas.microsoft.com/office/word/2010/wordprocessingShape">
                  <wps:wsp>
                    <wps:cNvPr id="474" name="Textbox 474"/>
                    <wps:cNvSpPr txBox="1"/>
                    <wps:spPr>
                      <a:xfrm>
                        <a:off x="0" y="0"/>
                        <a:ext cx="1358900" cy="132080"/>
                      </a:xfrm>
                      <a:prstGeom prst="rect">
                        <a:avLst/>
                      </a:prstGeom>
                    </wps:spPr>
                    <wps:txbx>
                      <w:txbxContent>
                        <w:p>
                          <w:pPr>
                            <w:spacing w:before="15"/>
                            <w:ind w:left="20" w:right="0" w:firstLine="0"/>
                            <w:jc w:val="left"/>
                            <w:rPr>
                              <w:sz w:val="15"/>
                            </w:rPr>
                          </w:pPr>
                          <w:r>
                            <w:rPr>
                              <w:color w:val="696969"/>
                              <w:sz w:val="15"/>
                            </w:rPr>
                            <w:t>NOTES</w:t>
                          </w:r>
                          <w:r>
                            <w:rPr>
                              <w:color w:val="696969"/>
                              <w:spacing w:val="31"/>
                              <w:sz w:val="15"/>
                            </w:rPr>
                            <w:t> </w:t>
                          </w:r>
                          <w:r>
                            <w:rPr>
                              <w:color w:val="696969"/>
                              <w:sz w:val="15"/>
                            </w:rPr>
                            <w:t>TO</w:t>
                          </w:r>
                          <w:r>
                            <w:rPr>
                              <w:color w:val="696969"/>
                              <w:spacing w:val="21"/>
                              <w:sz w:val="15"/>
                            </w:rPr>
                            <w:t> </w:t>
                          </w:r>
                          <w:r>
                            <w:rPr>
                              <w:color w:val="696969"/>
                              <w:sz w:val="15"/>
                            </w:rPr>
                            <w:t>THE</w:t>
                          </w:r>
                          <w:r>
                            <w:rPr>
                              <w:color w:val="696969"/>
                              <w:spacing w:val="21"/>
                              <w:sz w:val="15"/>
                            </w:rPr>
                            <w:t> </w:t>
                          </w:r>
                          <w:r>
                            <w:rPr>
                              <w:color w:val="696969"/>
                              <w:spacing w:val="-2"/>
                              <w:sz w:val="15"/>
                            </w:rPr>
                            <w:t>ACCOUNTS</w:t>
                          </w:r>
                        </w:p>
                      </w:txbxContent>
                    </wps:txbx>
                    <wps:bodyPr wrap="square" lIns="0" tIns="0" rIns="0" bIns="0" rtlCol="0">
                      <a:noAutofit/>
                    </wps:bodyPr>
                  </wps:wsp>
                </a:graphicData>
              </a:graphic>
            </wp:anchor>
          </w:drawing>
        </mc:Choice>
        <mc:Fallback>
          <w:pict>
            <v:shape style="position:absolute;margin-left:98.430122pt;margin-top:35.933704pt;width:107pt;height:10.4pt;mso-position-horizontal-relative:page;mso-position-vertical-relative:page;z-index:-27398144" type="#_x0000_t202" id="docshape326" filled="false" stroked="false">
              <v:textbox inset="0,0,0,0">
                <w:txbxContent>
                  <w:p>
                    <w:pPr>
                      <w:spacing w:before="15"/>
                      <w:ind w:left="20" w:right="0" w:firstLine="0"/>
                      <w:jc w:val="left"/>
                      <w:rPr>
                        <w:sz w:val="15"/>
                      </w:rPr>
                    </w:pPr>
                    <w:r>
                      <w:rPr>
                        <w:color w:val="696969"/>
                        <w:sz w:val="15"/>
                      </w:rPr>
                      <w:t>NOTES</w:t>
                    </w:r>
                    <w:r>
                      <w:rPr>
                        <w:color w:val="696969"/>
                        <w:spacing w:val="31"/>
                        <w:sz w:val="15"/>
                      </w:rPr>
                      <w:t> </w:t>
                    </w:r>
                    <w:r>
                      <w:rPr>
                        <w:color w:val="696969"/>
                        <w:sz w:val="15"/>
                      </w:rPr>
                      <w:t>TO</w:t>
                    </w:r>
                    <w:r>
                      <w:rPr>
                        <w:color w:val="696969"/>
                        <w:spacing w:val="21"/>
                        <w:sz w:val="15"/>
                      </w:rPr>
                      <w:t> </w:t>
                    </w:r>
                    <w:r>
                      <w:rPr>
                        <w:color w:val="696969"/>
                        <w:sz w:val="15"/>
                      </w:rPr>
                      <w:t>THE</w:t>
                    </w:r>
                    <w:r>
                      <w:rPr>
                        <w:color w:val="696969"/>
                        <w:spacing w:val="21"/>
                        <w:sz w:val="15"/>
                      </w:rPr>
                      <w:t> </w:t>
                    </w:r>
                    <w:r>
                      <w:rPr>
                        <w:color w:val="696969"/>
                        <w:spacing w:val="-2"/>
                        <w:sz w:val="15"/>
                      </w:rPr>
                      <w:t>ACCOUNTS</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19872">
              <wp:simplePos x="0" y="0"/>
              <wp:positionH relativeFrom="page">
                <wp:posOffset>936069</wp:posOffset>
              </wp:positionH>
              <wp:positionV relativeFrom="page">
                <wp:posOffset>672663</wp:posOffset>
              </wp:positionV>
              <wp:extent cx="71120" cy="125095"/>
              <wp:effectExtent l="0" t="0" r="0" b="0"/>
              <wp:wrapNone/>
              <wp:docPr id="480" name="Textbox 480"/>
              <wp:cNvGraphicFramePr>
                <a:graphicFrameLocks/>
              </wp:cNvGraphicFramePr>
              <a:graphic>
                <a:graphicData uri="http://schemas.microsoft.com/office/word/2010/wordprocessingShape">
                  <wps:wsp>
                    <wps:cNvPr id="480" name="Textbox 480"/>
                    <wps:cNvSpPr txBox="1"/>
                    <wps:spPr>
                      <a:xfrm>
                        <a:off x="0" y="0"/>
                        <a:ext cx="71120" cy="125095"/>
                      </a:xfrm>
                      <a:prstGeom prst="rect">
                        <a:avLst/>
                      </a:prstGeom>
                    </wps:spPr>
                    <wps:txbx>
                      <w:txbxContent>
                        <w:p>
                          <w:pPr>
                            <w:spacing w:before="15"/>
                            <w:ind w:left="20" w:right="0" w:firstLine="0"/>
                            <w:jc w:val="left"/>
                            <w:rPr>
                              <w:sz w:val="14"/>
                            </w:rPr>
                          </w:pPr>
                          <w:r>
                            <w:rPr>
                              <w:color w:val="ACACAC"/>
                              <w:spacing w:val="-10"/>
                              <w:sz w:val="14"/>
                            </w:rPr>
                            <w:t>5</w:t>
                          </w:r>
                        </w:p>
                      </w:txbxContent>
                    </wps:txbx>
                    <wps:bodyPr wrap="square" lIns="0" tIns="0" rIns="0" bIns="0" rtlCol="0">
                      <a:noAutofit/>
                    </wps:bodyPr>
                  </wps:wsp>
                </a:graphicData>
              </a:graphic>
            </wp:anchor>
          </w:drawing>
        </mc:Choice>
        <mc:Fallback>
          <w:pict>
            <v:shape style="position:absolute;margin-left:73.706299pt;margin-top:52.96566pt;width:5.6pt;height:9.85pt;mso-position-horizontal-relative:page;mso-position-vertical-relative:page;z-index:-27396608" type="#_x0000_t202" id="docshape329" filled="false" stroked="false">
              <v:textbox inset="0,0,0,0">
                <w:txbxContent>
                  <w:p>
                    <w:pPr>
                      <w:spacing w:before="15"/>
                      <w:ind w:left="20" w:right="0" w:firstLine="0"/>
                      <w:jc w:val="left"/>
                      <w:rPr>
                        <w:sz w:val="14"/>
                      </w:rPr>
                    </w:pPr>
                    <w:r>
                      <w:rPr>
                        <w:color w:val="ACACAC"/>
                        <w:spacing w:val="-10"/>
                        <w:sz w:val="14"/>
                      </w:rPr>
                      <w:t>5</w:t>
                    </w:r>
                  </w:p>
                </w:txbxContent>
              </v:textbox>
              <w10:wrap type="none"/>
            </v:shape>
          </w:pict>
        </mc:Fallback>
      </mc:AlternateContent>
    </w:r>
    <w:r>
      <w:rPr/>
      <mc:AlternateContent>
        <mc:Choice Requires="wps">
          <w:drawing>
            <wp:anchor distT="0" distB="0" distL="0" distR="0" allowOverlap="1" layoutInCell="1" locked="0" behindDoc="1" simplePos="0" relativeHeight="475920384">
              <wp:simplePos x="0" y="0"/>
              <wp:positionH relativeFrom="page">
                <wp:posOffset>1381820</wp:posOffset>
              </wp:positionH>
              <wp:positionV relativeFrom="page">
                <wp:posOffset>672663</wp:posOffset>
              </wp:positionV>
              <wp:extent cx="1362710" cy="125095"/>
              <wp:effectExtent l="0" t="0" r="0" b="0"/>
              <wp:wrapNone/>
              <wp:docPr id="481" name="Textbox 481"/>
              <wp:cNvGraphicFramePr>
                <a:graphicFrameLocks/>
              </wp:cNvGraphicFramePr>
              <a:graphic>
                <a:graphicData uri="http://schemas.microsoft.com/office/word/2010/wordprocessingShape">
                  <wps:wsp>
                    <wps:cNvPr id="481" name="Textbox 481"/>
                    <wps:cNvSpPr txBox="1"/>
                    <wps:spPr>
                      <a:xfrm>
                        <a:off x="0" y="0"/>
                        <a:ext cx="1362710" cy="125095"/>
                      </a:xfrm>
                      <a:prstGeom prst="rect">
                        <a:avLst/>
                      </a:prstGeom>
                    </wps:spPr>
                    <wps:txbx>
                      <w:txbxContent>
                        <w:p>
                          <w:pPr>
                            <w:spacing w:before="15"/>
                            <w:ind w:left="20" w:right="0" w:firstLine="0"/>
                            <w:jc w:val="left"/>
                            <w:rPr>
                              <w:sz w:val="14"/>
                            </w:rPr>
                          </w:pPr>
                          <w:r>
                            <w:rPr>
                              <w:color w:val="ACACAC"/>
                              <w:w w:val="110"/>
                              <w:sz w:val="14"/>
                            </w:rPr>
                            <w:t>NOTES</w:t>
                          </w:r>
                          <w:r>
                            <w:rPr>
                              <w:color w:val="ACACAC"/>
                              <w:spacing w:val="21"/>
                              <w:w w:val="110"/>
                              <w:sz w:val="14"/>
                            </w:rPr>
                            <w:t> </w:t>
                          </w:r>
                          <w:r>
                            <w:rPr>
                              <w:color w:val="ACACAC"/>
                              <w:w w:val="110"/>
                              <w:sz w:val="14"/>
                            </w:rPr>
                            <w:t>TO</w:t>
                          </w:r>
                          <w:r>
                            <w:rPr>
                              <w:color w:val="ACACAC"/>
                              <w:spacing w:val="7"/>
                              <w:w w:val="110"/>
                              <w:sz w:val="14"/>
                            </w:rPr>
                            <w:t> </w:t>
                          </w:r>
                          <w:r>
                            <w:rPr>
                              <w:i/>
                              <w:color w:val="ACACAC"/>
                              <w:w w:val="110"/>
                              <w:sz w:val="14"/>
                            </w:rPr>
                            <w:t>THE</w:t>
                          </w:r>
                          <w:r>
                            <w:rPr>
                              <w:i/>
                              <w:color w:val="ACACAC"/>
                              <w:spacing w:val="22"/>
                              <w:w w:val="110"/>
                              <w:sz w:val="14"/>
                            </w:rPr>
                            <w:t> </w:t>
                          </w:r>
                          <w:r>
                            <w:rPr>
                              <w:color w:val="ACACAC"/>
                              <w:spacing w:val="-2"/>
                              <w:w w:val="110"/>
                              <w:sz w:val="14"/>
                            </w:rPr>
                            <w:t>ACCOUNTS</w:t>
                          </w:r>
                        </w:p>
                      </w:txbxContent>
                    </wps:txbx>
                    <wps:bodyPr wrap="square" lIns="0" tIns="0" rIns="0" bIns="0" rtlCol="0">
                      <a:noAutofit/>
                    </wps:bodyPr>
                  </wps:wsp>
                </a:graphicData>
              </a:graphic>
            </wp:anchor>
          </w:drawing>
        </mc:Choice>
        <mc:Fallback>
          <w:pict>
            <v:shape style="position:absolute;margin-left:108.804802pt;margin-top:52.96566pt;width:107.3pt;height:9.85pt;mso-position-horizontal-relative:page;mso-position-vertical-relative:page;z-index:-27396096" type="#_x0000_t202" id="docshape330" filled="false" stroked="false">
              <v:textbox inset="0,0,0,0">
                <w:txbxContent>
                  <w:p>
                    <w:pPr>
                      <w:spacing w:before="15"/>
                      <w:ind w:left="20" w:right="0" w:firstLine="0"/>
                      <w:jc w:val="left"/>
                      <w:rPr>
                        <w:sz w:val="14"/>
                      </w:rPr>
                    </w:pPr>
                    <w:r>
                      <w:rPr>
                        <w:color w:val="ACACAC"/>
                        <w:w w:val="110"/>
                        <w:sz w:val="14"/>
                      </w:rPr>
                      <w:t>NOTES</w:t>
                    </w:r>
                    <w:r>
                      <w:rPr>
                        <w:color w:val="ACACAC"/>
                        <w:spacing w:val="21"/>
                        <w:w w:val="110"/>
                        <w:sz w:val="14"/>
                      </w:rPr>
                      <w:t> </w:t>
                    </w:r>
                    <w:r>
                      <w:rPr>
                        <w:color w:val="ACACAC"/>
                        <w:w w:val="110"/>
                        <w:sz w:val="14"/>
                      </w:rPr>
                      <w:t>TO</w:t>
                    </w:r>
                    <w:r>
                      <w:rPr>
                        <w:color w:val="ACACAC"/>
                        <w:spacing w:val="7"/>
                        <w:w w:val="110"/>
                        <w:sz w:val="14"/>
                      </w:rPr>
                      <w:t> </w:t>
                    </w:r>
                    <w:r>
                      <w:rPr>
                        <w:i/>
                        <w:color w:val="ACACAC"/>
                        <w:w w:val="110"/>
                        <w:sz w:val="14"/>
                      </w:rPr>
                      <w:t>THE</w:t>
                    </w:r>
                    <w:r>
                      <w:rPr>
                        <w:i/>
                        <w:color w:val="ACACAC"/>
                        <w:spacing w:val="22"/>
                        <w:w w:val="110"/>
                        <w:sz w:val="14"/>
                      </w:rPr>
                      <w:t> </w:t>
                    </w:r>
                    <w:r>
                      <w:rPr>
                        <w:color w:val="ACACAC"/>
                        <w:spacing w:val="-2"/>
                        <w:w w:val="110"/>
                        <w:sz w:val="14"/>
                      </w:rPr>
                      <w:t>ACCOUNTS</w:t>
                    </w:r>
                  </w:p>
                </w:txbxContent>
              </v:textbox>
              <w10:wrap type="none"/>
            </v:shape>
          </w:pict>
        </mc:Fallback>
      </mc:AlternateContent>
    </w: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20896">
              <wp:simplePos x="0" y="0"/>
              <wp:positionH relativeFrom="page">
                <wp:posOffset>981596</wp:posOffset>
              </wp:positionH>
              <wp:positionV relativeFrom="page">
                <wp:posOffset>563158</wp:posOffset>
              </wp:positionV>
              <wp:extent cx="74930" cy="132080"/>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a:off x="0" y="0"/>
                        <a:ext cx="74930" cy="132080"/>
                      </a:xfrm>
                      <a:prstGeom prst="rect">
                        <a:avLst/>
                      </a:prstGeom>
                    </wps:spPr>
                    <wps:txbx>
                      <w:txbxContent>
                        <w:p>
                          <w:pPr>
                            <w:spacing w:before="15"/>
                            <w:ind w:left="20" w:right="0" w:firstLine="0"/>
                            <w:jc w:val="left"/>
                            <w:rPr>
                              <w:sz w:val="15"/>
                            </w:rPr>
                          </w:pPr>
                          <w:r>
                            <w:rPr>
                              <w:color w:val="ACACAC"/>
                              <w:spacing w:val="-10"/>
                              <w:sz w:val="15"/>
                            </w:rPr>
                            <w:t>5</w:t>
                          </w:r>
                        </w:p>
                      </w:txbxContent>
                    </wps:txbx>
                    <wps:bodyPr wrap="square" lIns="0" tIns="0" rIns="0" bIns="0" rtlCol="0">
                      <a:noAutofit/>
                    </wps:bodyPr>
                  </wps:wsp>
                </a:graphicData>
              </a:graphic>
            </wp:anchor>
          </w:drawing>
        </mc:Choice>
        <mc:Fallback>
          <w:pict>
            <v:shape style="position:absolute;margin-left:77.291077pt;margin-top:44.343204pt;width:5.9pt;height:10.4pt;mso-position-horizontal-relative:page;mso-position-vertical-relative:page;z-index:-27395584" type="#_x0000_t202" id="docshape331" filled="false" stroked="false">
              <v:textbox inset="0,0,0,0">
                <w:txbxContent>
                  <w:p>
                    <w:pPr>
                      <w:spacing w:before="15"/>
                      <w:ind w:left="20" w:right="0" w:firstLine="0"/>
                      <w:jc w:val="left"/>
                      <w:rPr>
                        <w:sz w:val="15"/>
                      </w:rPr>
                    </w:pPr>
                    <w:r>
                      <w:rPr>
                        <w:color w:val="ACACAC"/>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921408">
              <wp:simplePos x="0" y="0"/>
              <wp:positionH relativeFrom="page">
                <wp:posOffset>1439343</wp:posOffset>
              </wp:positionH>
              <wp:positionV relativeFrom="page">
                <wp:posOffset>563158</wp:posOffset>
              </wp:positionV>
              <wp:extent cx="1360805" cy="132080"/>
              <wp:effectExtent l="0" t="0" r="0" b="0"/>
              <wp:wrapNone/>
              <wp:docPr id="483" name="Textbox 483"/>
              <wp:cNvGraphicFramePr>
                <a:graphicFrameLocks/>
              </wp:cNvGraphicFramePr>
              <a:graphic>
                <a:graphicData uri="http://schemas.microsoft.com/office/word/2010/wordprocessingShape">
                  <wps:wsp>
                    <wps:cNvPr id="483" name="Textbox 483"/>
                    <wps:cNvSpPr txBox="1"/>
                    <wps:spPr>
                      <a:xfrm>
                        <a:off x="0" y="0"/>
                        <a:ext cx="1360805" cy="132080"/>
                      </a:xfrm>
                      <a:prstGeom prst="rect">
                        <a:avLst/>
                      </a:prstGeom>
                    </wps:spPr>
                    <wps:txbx>
                      <w:txbxContent>
                        <w:p>
                          <w:pPr>
                            <w:spacing w:before="15"/>
                            <w:ind w:left="20" w:right="0" w:firstLine="0"/>
                            <w:jc w:val="left"/>
                            <w:rPr>
                              <w:sz w:val="15"/>
                            </w:rPr>
                          </w:pPr>
                          <w:r>
                            <w:rPr>
                              <w:color w:val="ACACAC"/>
                              <w:sz w:val="15"/>
                            </w:rPr>
                            <w:t>NOT</w:t>
                          </w:r>
                          <w:r>
                            <w:rPr>
                              <w:color w:val="ACACAC"/>
                              <w:spacing w:val="28"/>
                              <w:sz w:val="15"/>
                            </w:rPr>
                            <w:t> </w:t>
                          </w:r>
                          <w:r>
                            <w:rPr>
                              <w:color w:val="ACACAC"/>
                              <w:sz w:val="15"/>
                            </w:rPr>
                            <w:t>S</w:t>
                          </w:r>
                          <w:r>
                            <w:rPr>
                              <w:color w:val="ACACAC"/>
                              <w:spacing w:val="42"/>
                              <w:sz w:val="15"/>
                            </w:rPr>
                            <w:t> </w:t>
                          </w:r>
                          <w:r>
                            <w:rPr>
                              <w:i/>
                              <w:color w:val="ACACAC"/>
                              <w:sz w:val="14"/>
                            </w:rPr>
                            <w:t>TO</w:t>
                          </w:r>
                          <w:r>
                            <w:rPr>
                              <w:i/>
                              <w:color w:val="ACACAC"/>
                              <w:spacing w:val="44"/>
                              <w:sz w:val="14"/>
                            </w:rPr>
                            <w:t> </w:t>
                          </w:r>
                          <w:r>
                            <w:rPr>
                              <w:color w:val="ACACAC"/>
                              <w:sz w:val="15"/>
                            </w:rPr>
                            <w:t>THE</w:t>
                          </w:r>
                          <w:r>
                            <w:rPr>
                              <w:color w:val="ACACAC"/>
                              <w:spacing w:val="31"/>
                              <w:sz w:val="15"/>
                            </w:rPr>
                            <w:t> </w:t>
                          </w:r>
                          <w:r>
                            <w:rPr>
                              <w:color w:val="ACACAC"/>
                              <w:spacing w:val="-2"/>
                              <w:sz w:val="15"/>
                            </w:rPr>
                            <w:t>,:l.CCOUNTS</w:t>
                          </w:r>
                        </w:p>
                      </w:txbxContent>
                    </wps:txbx>
                    <wps:bodyPr wrap="square" lIns="0" tIns="0" rIns="0" bIns="0" rtlCol="0">
                      <a:noAutofit/>
                    </wps:bodyPr>
                  </wps:wsp>
                </a:graphicData>
              </a:graphic>
            </wp:anchor>
          </w:drawing>
        </mc:Choice>
        <mc:Fallback>
          <w:pict>
            <v:shape style="position:absolute;margin-left:113.334099pt;margin-top:44.343204pt;width:107.15pt;height:10.4pt;mso-position-horizontal-relative:page;mso-position-vertical-relative:page;z-index:-27395072" type="#_x0000_t202" id="docshape332" filled="false" stroked="false">
              <v:textbox inset="0,0,0,0">
                <w:txbxContent>
                  <w:p>
                    <w:pPr>
                      <w:spacing w:before="15"/>
                      <w:ind w:left="20" w:right="0" w:firstLine="0"/>
                      <w:jc w:val="left"/>
                      <w:rPr>
                        <w:sz w:val="15"/>
                      </w:rPr>
                    </w:pPr>
                    <w:r>
                      <w:rPr>
                        <w:color w:val="ACACAC"/>
                        <w:sz w:val="15"/>
                      </w:rPr>
                      <w:t>NOT</w:t>
                    </w:r>
                    <w:r>
                      <w:rPr>
                        <w:color w:val="ACACAC"/>
                        <w:spacing w:val="28"/>
                        <w:sz w:val="15"/>
                      </w:rPr>
                      <w:t> </w:t>
                    </w:r>
                    <w:r>
                      <w:rPr>
                        <w:color w:val="ACACAC"/>
                        <w:sz w:val="15"/>
                      </w:rPr>
                      <w:t>S</w:t>
                    </w:r>
                    <w:r>
                      <w:rPr>
                        <w:color w:val="ACACAC"/>
                        <w:spacing w:val="42"/>
                        <w:sz w:val="15"/>
                      </w:rPr>
                      <w:t> </w:t>
                    </w:r>
                    <w:r>
                      <w:rPr>
                        <w:i/>
                        <w:color w:val="ACACAC"/>
                        <w:sz w:val="14"/>
                      </w:rPr>
                      <w:t>TO</w:t>
                    </w:r>
                    <w:r>
                      <w:rPr>
                        <w:i/>
                        <w:color w:val="ACACAC"/>
                        <w:spacing w:val="44"/>
                        <w:sz w:val="14"/>
                      </w:rPr>
                      <w:t> </w:t>
                    </w:r>
                    <w:r>
                      <w:rPr>
                        <w:color w:val="ACACAC"/>
                        <w:sz w:val="15"/>
                      </w:rPr>
                      <w:t>THE</w:t>
                    </w:r>
                    <w:r>
                      <w:rPr>
                        <w:color w:val="ACACAC"/>
                        <w:spacing w:val="31"/>
                        <w:sz w:val="15"/>
                      </w:rPr>
                      <w:t> </w:t>
                    </w:r>
                    <w:r>
                      <w:rPr>
                        <w:color w:val="ACACAC"/>
                        <w:spacing w:val="-2"/>
                        <w:sz w:val="15"/>
                      </w:rPr>
                      <w:t>,:l.CCOUNTS</w:t>
                    </w:r>
                  </w:p>
                </w:txbxContent>
              </v:textbox>
              <w10:wrap type="none"/>
            </v:shape>
          </w:pict>
        </mc:Fallback>
      </mc:AlternateContent>
    </w: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22944">
              <wp:simplePos x="0" y="0"/>
              <wp:positionH relativeFrom="page">
                <wp:posOffset>801741</wp:posOffset>
              </wp:positionH>
              <wp:positionV relativeFrom="page">
                <wp:posOffset>462113</wp:posOffset>
              </wp:positionV>
              <wp:extent cx="74930" cy="125095"/>
              <wp:effectExtent l="0" t="0" r="0" b="0"/>
              <wp:wrapNone/>
              <wp:docPr id="507" name="Textbox 507"/>
              <wp:cNvGraphicFramePr>
                <a:graphicFrameLocks/>
              </wp:cNvGraphicFramePr>
              <a:graphic>
                <a:graphicData uri="http://schemas.microsoft.com/office/word/2010/wordprocessingShape">
                  <wps:wsp>
                    <wps:cNvPr id="507" name="Textbox 507"/>
                    <wps:cNvSpPr txBox="1"/>
                    <wps:spPr>
                      <a:xfrm>
                        <a:off x="0" y="0"/>
                        <a:ext cx="74930" cy="125095"/>
                      </a:xfrm>
                      <a:prstGeom prst="rect">
                        <a:avLst/>
                      </a:prstGeom>
                    </wps:spPr>
                    <wps:txbx>
                      <w:txbxContent>
                        <w:p>
                          <w:pPr>
                            <w:spacing w:before="15"/>
                            <w:ind w:left="20" w:right="0" w:firstLine="0"/>
                            <w:jc w:val="left"/>
                            <w:rPr>
                              <w:sz w:val="14"/>
                            </w:rPr>
                          </w:pPr>
                          <w:r>
                            <w:rPr>
                              <w:color w:val="494949"/>
                              <w:spacing w:val="-10"/>
                              <w:sz w:val="14"/>
                            </w:rPr>
                            <w:t>5</w:t>
                          </w:r>
                        </w:p>
                      </w:txbxContent>
                    </wps:txbx>
                    <wps:bodyPr wrap="square" lIns="0" tIns="0" rIns="0" bIns="0" rtlCol="0">
                      <a:noAutofit/>
                    </wps:bodyPr>
                  </wps:wsp>
                </a:graphicData>
              </a:graphic>
            </wp:anchor>
          </w:drawing>
        </mc:Choice>
        <mc:Fallback>
          <w:pict>
            <v:shape style="position:absolute;margin-left:63.129269pt;margin-top:36.38686pt;width:5.9pt;height:9.85pt;mso-position-horizontal-relative:page;mso-position-vertical-relative:page;z-index:-27393536" type="#_x0000_t202" id="docshape345" filled="false" stroked="false">
              <v:textbox inset="0,0,0,0">
                <w:txbxContent>
                  <w:p>
                    <w:pPr>
                      <w:spacing w:before="15"/>
                      <w:ind w:left="20" w:right="0" w:firstLine="0"/>
                      <w:jc w:val="left"/>
                      <w:rPr>
                        <w:sz w:val="14"/>
                      </w:rPr>
                    </w:pPr>
                    <w:r>
                      <w:rPr>
                        <w:color w:val="494949"/>
                        <w:spacing w:val="-10"/>
                        <w:sz w:val="14"/>
                      </w:rPr>
                      <w:t>5</w:t>
                    </w:r>
                  </w:p>
                </w:txbxContent>
              </v:textbox>
              <w10:wrap type="none"/>
            </v:shape>
          </w:pict>
        </mc:Fallback>
      </mc:AlternateContent>
    </w:r>
    <w:r>
      <w:rPr/>
      <mc:AlternateContent>
        <mc:Choice Requires="wps">
          <w:drawing>
            <wp:anchor distT="0" distB="0" distL="0" distR="0" allowOverlap="1" layoutInCell="1" locked="0" behindDoc="1" simplePos="0" relativeHeight="475923456">
              <wp:simplePos x="0" y="0"/>
              <wp:positionH relativeFrom="page">
                <wp:posOffset>1253598</wp:posOffset>
              </wp:positionH>
              <wp:positionV relativeFrom="page">
                <wp:posOffset>462113</wp:posOffset>
              </wp:positionV>
              <wp:extent cx="1360170" cy="125095"/>
              <wp:effectExtent l="0" t="0" r="0" b="0"/>
              <wp:wrapNone/>
              <wp:docPr id="508" name="Textbox 508"/>
              <wp:cNvGraphicFramePr>
                <a:graphicFrameLocks/>
              </wp:cNvGraphicFramePr>
              <a:graphic>
                <a:graphicData uri="http://schemas.microsoft.com/office/word/2010/wordprocessingShape">
                  <wps:wsp>
                    <wps:cNvPr id="508" name="Textbox 508"/>
                    <wps:cNvSpPr txBox="1"/>
                    <wps:spPr>
                      <a:xfrm>
                        <a:off x="0" y="0"/>
                        <a:ext cx="1360170" cy="125095"/>
                      </a:xfrm>
                      <a:prstGeom prst="rect">
                        <a:avLst/>
                      </a:prstGeom>
                    </wps:spPr>
                    <wps:txbx>
                      <w:txbxContent>
                        <w:p>
                          <w:pPr>
                            <w:spacing w:before="15"/>
                            <w:ind w:left="20" w:right="0" w:firstLine="0"/>
                            <w:jc w:val="left"/>
                            <w:rPr>
                              <w:sz w:val="14"/>
                            </w:rPr>
                          </w:pPr>
                          <w:r>
                            <w:rPr>
                              <w:color w:val="494949"/>
                              <w:w w:val="110"/>
                              <w:sz w:val="14"/>
                            </w:rPr>
                            <w:t>NOTES</w:t>
                          </w:r>
                          <w:r>
                            <w:rPr>
                              <w:color w:val="494949"/>
                              <w:spacing w:val="16"/>
                              <w:w w:val="110"/>
                              <w:sz w:val="14"/>
                            </w:rPr>
                            <w:t> </w:t>
                          </w:r>
                          <w:r>
                            <w:rPr>
                              <w:color w:val="5E5E5E"/>
                              <w:w w:val="110"/>
                              <w:sz w:val="14"/>
                            </w:rPr>
                            <w:t>TO</w:t>
                          </w:r>
                          <w:r>
                            <w:rPr>
                              <w:color w:val="5E5E5E"/>
                              <w:spacing w:val="14"/>
                              <w:w w:val="110"/>
                              <w:sz w:val="14"/>
                            </w:rPr>
                            <w:t> </w:t>
                          </w:r>
                          <w:r>
                            <w:rPr>
                              <w:color w:val="494949"/>
                              <w:w w:val="110"/>
                              <w:sz w:val="14"/>
                            </w:rPr>
                            <w:t>THE</w:t>
                          </w:r>
                          <w:r>
                            <w:rPr>
                              <w:color w:val="494949"/>
                              <w:spacing w:val="14"/>
                              <w:w w:val="110"/>
                              <w:sz w:val="14"/>
                            </w:rPr>
                            <w:t> </w:t>
                          </w:r>
                          <w:r>
                            <w:rPr>
                              <w:color w:val="494949"/>
                              <w:spacing w:val="-2"/>
                              <w:w w:val="110"/>
                              <w:sz w:val="14"/>
                            </w:rPr>
                            <w:t>ACCOUNTS</w:t>
                          </w:r>
                        </w:p>
                      </w:txbxContent>
                    </wps:txbx>
                    <wps:bodyPr wrap="square" lIns="0" tIns="0" rIns="0" bIns="0" rtlCol="0">
                      <a:noAutofit/>
                    </wps:bodyPr>
                  </wps:wsp>
                </a:graphicData>
              </a:graphic>
            </wp:anchor>
          </w:drawing>
        </mc:Choice>
        <mc:Fallback>
          <w:pict>
            <v:shape style="position:absolute;margin-left:98.708557pt;margin-top:36.38686pt;width:107.1pt;height:9.85pt;mso-position-horizontal-relative:page;mso-position-vertical-relative:page;z-index:-27393024" type="#_x0000_t202" id="docshape346" filled="false" stroked="false">
              <v:textbox inset="0,0,0,0">
                <w:txbxContent>
                  <w:p>
                    <w:pPr>
                      <w:spacing w:before="15"/>
                      <w:ind w:left="20" w:right="0" w:firstLine="0"/>
                      <w:jc w:val="left"/>
                      <w:rPr>
                        <w:sz w:val="14"/>
                      </w:rPr>
                    </w:pPr>
                    <w:r>
                      <w:rPr>
                        <w:color w:val="494949"/>
                        <w:w w:val="110"/>
                        <w:sz w:val="14"/>
                      </w:rPr>
                      <w:t>NOTES</w:t>
                    </w:r>
                    <w:r>
                      <w:rPr>
                        <w:color w:val="494949"/>
                        <w:spacing w:val="16"/>
                        <w:w w:val="110"/>
                        <w:sz w:val="14"/>
                      </w:rPr>
                      <w:t> </w:t>
                    </w:r>
                    <w:r>
                      <w:rPr>
                        <w:color w:val="5E5E5E"/>
                        <w:w w:val="110"/>
                        <w:sz w:val="14"/>
                      </w:rPr>
                      <w:t>TO</w:t>
                    </w:r>
                    <w:r>
                      <w:rPr>
                        <w:color w:val="5E5E5E"/>
                        <w:spacing w:val="14"/>
                        <w:w w:val="110"/>
                        <w:sz w:val="14"/>
                      </w:rPr>
                      <w:t> </w:t>
                    </w:r>
                    <w:r>
                      <w:rPr>
                        <w:color w:val="494949"/>
                        <w:w w:val="110"/>
                        <w:sz w:val="14"/>
                      </w:rPr>
                      <w:t>THE</w:t>
                    </w:r>
                    <w:r>
                      <w:rPr>
                        <w:color w:val="494949"/>
                        <w:spacing w:val="14"/>
                        <w:w w:val="110"/>
                        <w:sz w:val="14"/>
                      </w:rPr>
                      <w:t> </w:t>
                    </w:r>
                    <w:r>
                      <w:rPr>
                        <w:color w:val="494949"/>
                        <w:spacing w:val="-2"/>
                        <w:w w:val="110"/>
                        <w:sz w:val="14"/>
                      </w:rPr>
                      <w:t>ACCOUNTS</w:t>
                    </w:r>
                  </w:p>
                </w:txbxContent>
              </v:textbox>
              <w10:wrap type="none"/>
            </v:shape>
          </w:pict>
        </mc:Fallback>
      </mc:AlternateContent>
    </w: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23968">
              <wp:simplePos x="0" y="0"/>
              <wp:positionH relativeFrom="page">
                <wp:posOffset>951067</wp:posOffset>
              </wp:positionH>
              <wp:positionV relativeFrom="page">
                <wp:posOffset>563158</wp:posOffset>
              </wp:positionV>
              <wp:extent cx="106680" cy="132080"/>
              <wp:effectExtent l="0" t="0" r="0" b="0"/>
              <wp:wrapNone/>
              <wp:docPr id="509" name="Textbox 509"/>
              <wp:cNvGraphicFramePr>
                <a:graphicFrameLocks/>
              </wp:cNvGraphicFramePr>
              <a:graphic>
                <a:graphicData uri="http://schemas.microsoft.com/office/word/2010/wordprocessingShape">
                  <wps:wsp>
                    <wps:cNvPr id="509" name="Textbox 509"/>
                    <wps:cNvSpPr txBox="1"/>
                    <wps:spPr>
                      <a:xfrm>
                        <a:off x="0" y="0"/>
                        <a:ext cx="106680" cy="132080"/>
                      </a:xfrm>
                      <a:prstGeom prst="rect">
                        <a:avLst/>
                      </a:prstGeom>
                    </wps:spPr>
                    <wps:txbx>
                      <w:txbxContent>
                        <w:p>
                          <w:pPr>
                            <w:spacing w:before="15"/>
                            <w:ind w:left="20" w:right="0" w:firstLine="0"/>
                            <w:jc w:val="left"/>
                            <w:rPr>
                              <w:sz w:val="15"/>
                            </w:rPr>
                          </w:pPr>
                          <w:r>
                            <w:rPr>
                              <w:color w:val="A8A8A8"/>
                              <w:spacing w:val="-5"/>
                              <w:sz w:val="15"/>
                            </w:rPr>
                            <w:t>5.</w:t>
                          </w:r>
                        </w:p>
                      </w:txbxContent>
                    </wps:txbx>
                    <wps:bodyPr wrap="square" lIns="0" tIns="0" rIns="0" bIns="0" rtlCol="0">
                      <a:noAutofit/>
                    </wps:bodyPr>
                  </wps:wsp>
                </a:graphicData>
              </a:graphic>
            </wp:anchor>
          </w:drawing>
        </mc:Choice>
        <mc:Fallback>
          <w:pict>
            <v:shape style="position:absolute;margin-left:74.887199pt;margin-top:44.343204pt;width:8.4pt;height:10.4pt;mso-position-horizontal-relative:page;mso-position-vertical-relative:page;z-index:-27392512" type="#_x0000_t202" id="docshape347" filled="false" stroked="false">
              <v:textbox inset="0,0,0,0">
                <w:txbxContent>
                  <w:p>
                    <w:pPr>
                      <w:spacing w:before="15"/>
                      <w:ind w:left="20" w:right="0" w:firstLine="0"/>
                      <w:jc w:val="left"/>
                      <w:rPr>
                        <w:sz w:val="15"/>
                      </w:rPr>
                    </w:pPr>
                    <w:r>
                      <w:rPr>
                        <w:color w:val="A8A8A8"/>
                        <w:spacing w:val="-5"/>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924480">
              <wp:simplePos x="0" y="0"/>
              <wp:positionH relativeFrom="page">
                <wp:posOffset>1405857</wp:posOffset>
              </wp:positionH>
              <wp:positionV relativeFrom="page">
                <wp:posOffset>563158</wp:posOffset>
              </wp:positionV>
              <wp:extent cx="1362075" cy="132080"/>
              <wp:effectExtent l="0" t="0" r="0" b="0"/>
              <wp:wrapNone/>
              <wp:docPr id="510" name="Textbox 510"/>
              <wp:cNvGraphicFramePr>
                <a:graphicFrameLocks/>
              </wp:cNvGraphicFramePr>
              <a:graphic>
                <a:graphicData uri="http://schemas.microsoft.com/office/word/2010/wordprocessingShape">
                  <wps:wsp>
                    <wps:cNvPr id="510" name="Textbox 510"/>
                    <wps:cNvSpPr txBox="1"/>
                    <wps:spPr>
                      <a:xfrm>
                        <a:off x="0" y="0"/>
                        <a:ext cx="1362075" cy="132080"/>
                      </a:xfrm>
                      <a:prstGeom prst="rect">
                        <a:avLst/>
                      </a:prstGeom>
                    </wps:spPr>
                    <wps:txbx>
                      <w:txbxContent>
                        <w:p>
                          <w:pPr>
                            <w:spacing w:before="15"/>
                            <w:ind w:left="20" w:right="0" w:firstLine="0"/>
                            <w:jc w:val="left"/>
                            <w:rPr>
                              <w:sz w:val="15"/>
                            </w:rPr>
                          </w:pPr>
                          <w:r>
                            <w:rPr>
                              <w:color w:val="A8A8A8"/>
                              <w:sz w:val="15"/>
                            </w:rPr>
                            <w:t>MOTES</w:t>
                          </w:r>
                          <w:r>
                            <w:rPr>
                              <w:color w:val="A8A8A8"/>
                              <w:spacing w:val="22"/>
                              <w:sz w:val="15"/>
                            </w:rPr>
                            <w:t> </w:t>
                          </w:r>
                          <w:r>
                            <w:rPr>
                              <w:color w:val="A8A8A8"/>
                              <w:sz w:val="15"/>
                            </w:rPr>
                            <w:t>TO</w:t>
                          </w:r>
                          <w:r>
                            <w:rPr>
                              <w:color w:val="A8A8A8"/>
                              <w:spacing w:val="27"/>
                              <w:sz w:val="15"/>
                            </w:rPr>
                            <w:t> </w:t>
                          </w:r>
                          <w:r>
                            <w:rPr>
                              <w:color w:val="A8A8A8"/>
                              <w:sz w:val="15"/>
                            </w:rPr>
                            <w:t>TYE</w:t>
                          </w:r>
                          <w:r>
                            <w:rPr>
                              <w:color w:val="A8A8A8"/>
                              <w:spacing w:val="21"/>
                              <w:sz w:val="15"/>
                            </w:rPr>
                            <w:t> </w:t>
                          </w:r>
                          <w:r>
                            <w:rPr>
                              <w:color w:val="A8A8A8"/>
                              <w:spacing w:val="-2"/>
                              <w:sz w:val="15"/>
                            </w:rPr>
                            <w:t>ACCOUNTS</w:t>
                          </w:r>
                        </w:p>
                      </w:txbxContent>
                    </wps:txbx>
                    <wps:bodyPr wrap="square" lIns="0" tIns="0" rIns="0" bIns="0" rtlCol="0">
                      <a:noAutofit/>
                    </wps:bodyPr>
                  </wps:wsp>
                </a:graphicData>
              </a:graphic>
            </wp:anchor>
          </w:drawing>
        </mc:Choice>
        <mc:Fallback>
          <w:pict>
            <v:shape style="position:absolute;margin-left:110.697403pt;margin-top:44.343204pt;width:107.25pt;height:10.4pt;mso-position-horizontal-relative:page;mso-position-vertical-relative:page;z-index:-27392000" type="#_x0000_t202" id="docshape348" filled="false" stroked="false">
              <v:textbox inset="0,0,0,0">
                <w:txbxContent>
                  <w:p>
                    <w:pPr>
                      <w:spacing w:before="15"/>
                      <w:ind w:left="20" w:right="0" w:firstLine="0"/>
                      <w:jc w:val="left"/>
                      <w:rPr>
                        <w:sz w:val="15"/>
                      </w:rPr>
                    </w:pPr>
                    <w:r>
                      <w:rPr>
                        <w:color w:val="A8A8A8"/>
                        <w:sz w:val="15"/>
                      </w:rPr>
                      <w:t>MOTES</w:t>
                    </w:r>
                    <w:r>
                      <w:rPr>
                        <w:color w:val="A8A8A8"/>
                        <w:spacing w:val="22"/>
                        <w:sz w:val="15"/>
                      </w:rPr>
                      <w:t> </w:t>
                    </w:r>
                    <w:r>
                      <w:rPr>
                        <w:color w:val="A8A8A8"/>
                        <w:sz w:val="15"/>
                      </w:rPr>
                      <w:t>TO</w:t>
                    </w:r>
                    <w:r>
                      <w:rPr>
                        <w:color w:val="A8A8A8"/>
                        <w:spacing w:val="27"/>
                        <w:sz w:val="15"/>
                      </w:rPr>
                      <w:t> </w:t>
                    </w:r>
                    <w:r>
                      <w:rPr>
                        <w:color w:val="A8A8A8"/>
                        <w:sz w:val="15"/>
                      </w:rPr>
                      <w:t>TYE</w:t>
                    </w:r>
                    <w:r>
                      <w:rPr>
                        <w:color w:val="A8A8A8"/>
                        <w:spacing w:val="21"/>
                        <w:sz w:val="15"/>
                      </w:rPr>
                      <w:t> </w:t>
                    </w:r>
                    <w:r>
                      <w:rPr>
                        <w:color w:val="A8A8A8"/>
                        <w:spacing w:val="-2"/>
                        <w:sz w:val="15"/>
                      </w:rPr>
                      <w:t>ACCOUNTS</w:t>
                    </w:r>
                  </w:p>
                </w:txbxContent>
              </v:textbox>
              <w10:wrap type="none"/>
            </v:shape>
          </w:pict>
        </mc:Fallback>
      </mc:AlternateContent>
    </w: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847680">
              <wp:simplePos x="0" y="0"/>
              <wp:positionH relativeFrom="page">
                <wp:posOffset>899460</wp:posOffset>
              </wp:positionH>
              <wp:positionV relativeFrom="page">
                <wp:posOffset>263767</wp:posOffset>
              </wp:positionV>
              <wp:extent cx="1249680" cy="12509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1249680" cy="125095"/>
                      </a:xfrm>
                      <a:prstGeom prst="rect">
                        <a:avLst/>
                      </a:prstGeom>
                    </wps:spPr>
                    <wps:txbx>
                      <w:txbxContent>
                        <w:p>
                          <w:pPr>
                            <w:spacing w:before="15"/>
                            <w:ind w:left="20" w:right="0" w:firstLine="0"/>
                            <w:jc w:val="left"/>
                            <w:rPr>
                              <w:sz w:val="14"/>
                            </w:rPr>
                          </w:pPr>
                          <w:r>
                            <w:rPr>
                              <w:color w:val="A8A8A8"/>
                              <w:w w:val="110"/>
                              <w:sz w:val="14"/>
                            </w:rPr>
                            <w:t>NARRATiVE</w:t>
                          </w:r>
                          <w:r>
                            <w:rPr>
                              <w:color w:val="A8A8A8"/>
                              <w:spacing w:val="49"/>
                              <w:w w:val="110"/>
                              <w:sz w:val="14"/>
                            </w:rPr>
                            <w:t> </w:t>
                          </w:r>
                          <w:r>
                            <w:rPr>
                              <w:color w:val="A8A8A8"/>
                              <w:spacing w:val="-2"/>
                              <w:w w:val="105"/>
                              <w:sz w:val="14"/>
                            </w:rPr>
                            <w:t>ST1HEiV1ENT</w:t>
                          </w:r>
                        </w:p>
                      </w:txbxContent>
                    </wps:txbx>
                    <wps:bodyPr wrap="square" lIns="0" tIns="0" rIns="0" bIns="0" rtlCol="0">
                      <a:noAutofit/>
                    </wps:bodyPr>
                  </wps:wsp>
                </a:graphicData>
              </a:graphic>
            </wp:anchor>
          </w:drawing>
        </mc:Choice>
        <mc:Fallback>
          <w:pict>
            <v:shape style="position:absolute;margin-left:70.823662pt;margin-top:20.769058pt;width:98.4pt;height:9.85pt;mso-position-horizontal-relative:page;mso-position-vertical-relative:page;z-index:-27468800" type="#_x0000_t202" id="docshape27" filled="false" stroked="false">
              <v:textbox inset="0,0,0,0">
                <w:txbxContent>
                  <w:p>
                    <w:pPr>
                      <w:spacing w:before="15"/>
                      <w:ind w:left="20" w:right="0" w:firstLine="0"/>
                      <w:jc w:val="left"/>
                      <w:rPr>
                        <w:sz w:val="14"/>
                      </w:rPr>
                    </w:pPr>
                    <w:r>
                      <w:rPr>
                        <w:color w:val="A8A8A8"/>
                        <w:w w:val="110"/>
                        <w:sz w:val="14"/>
                      </w:rPr>
                      <w:t>NARRATiVE</w:t>
                    </w:r>
                    <w:r>
                      <w:rPr>
                        <w:color w:val="A8A8A8"/>
                        <w:spacing w:val="49"/>
                        <w:w w:val="110"/>
                        <w:sz w:val="14"/>
                      </w:rPr>
                      <w:t> </w:t>
                    </w:r>
                    <w:r>
                      <w:rPr>
                        <w:color w:val="A8A8A8"/>
                        <w:spacing w:val="-2"/>
                        <w:w w:val="105"/>
                        <w:sz w:val="14"/>
                      </w:rPr>
                      <w:t>ST1HEiV1ENT</w:t>
                    </w:r>
                  </w:p>
                </w:txbxContent>
              </v:textbox>
              <w10:wrap type="none"/>
            </v:shape>
          </w:pict>
        </mc:Fallback>
      </mc:AlternateContent>
    </w: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2160">
              <wp:simplePos x="0" y="0"/>
              <wp:positionH relativeFrom="page">
                <wp:posOffset>627458</wp:posOffset>
              </wp:positionH>
              <wp:positionV relativeFrom="page">
                <wp:posOffset>468562</wp:posOffset>
              </wp:positionV>
              <wp:extent cx="71120" cy="132080"/>
              <wp:effectExtent l="0" t="0" r="0" b="0"/>
              <wp:wrapNone/>
              <wp:docPr id="604" name="Textbox 604"/>
              <wp:cNvGraphicFramePr>
                <a:graphicFrameLocks/>
              </wp:cNvGraphicFramePr>
              <a:graphic>
                <a:graphicData uri="http://schemas.microsoft.com/office/word/2010/wordprocessingShape">
                  <wps:wsp>
                    <wps:cNvPr id="604" name="Textbox 604"/>
                    <wps:cNvSpPr txBox="1"/>
                    <wps:spPr>
                      <a:xfrm>
                        <a:off x="0" y="0"/>
                        <a:ext cx="71120" cy="132080"/>
                      </a:xfrm>
                      <a:prstGeom prst="rect">
                        <a:avLst/>
                      </a:prstGeom>
                    </wps:spPr>
                    <wps:txbx>
                      <w:txbxContent>
                        <w:p>
                          <w:pPr>
                            <w:spacing w:before="15"/>
                            <w:ind w:left="20" w:right="0" w:firstLine="0"/>
                            <w:jc w:val="left"/>
                            <w:rPr>
                              <w:sz w:val="15"/>
                            </w:rPr>
                          </w:pPr>
                          <w:r>
                            <w:rPr>
                              <w:color w:val="A5A5A5"/>
                              <w:spacing w:val="-10"/>
                              <w:w w:val="95"/>
                              <w:sz w:val="15"/>
                            </w:rPr>
                            <w:t>5</w:t>
                          </w:r>
                        </w:p>
                      </w:txbxContent>
                    </wps:txbx>
                    <wps:bodyPr wrap="square" lIns="0" tIns="0" rIns="0" bIns="0" rtlCol="0">
                      <a:noAutofit/>
                    </wps:bodyPr>
                  </wps:wsp>
                </a:graphicData>
              </a:graphic>
            </wp:anchor>
          </w:drawing>
        </mc:Choice>
        <mc:Fallback>
          <w:pict>
            <v:shape style="position:absolute;margin-left:49.40617pt;margin-top:36.894707pt;width:5.6pt;height:10.4pt;mso-position-horizontal-relative:page;mso-position-vertical-relative:page;z-index:-27384320" type="#_x0000_t202" id="docshape396" filled="false" stroked="false">
              <v:textbox inset="0,0,0,0">
                <w:txbxContent>
                  <w:p>
                    <w:pPr>
                      <w:spacing w:before="15"/>
                      <w:ind w:left="20" w:right="0" w:firstLine="0"/>
                      <w:jc w:val="left"/>
                      <w:rPr>
                        <w:sz w:val="15"/>
                      </w:rPr>
                    </w:pPr>
                    <w:r>
                      <w:rPr>
                        <w:color w:val="A5A5A5"/>
                        <w:spacing w:val="-10"/>
                        <w:w w:val="95"/>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932672">
              <wp:simplePos x="0" y="0"/>
              <wp:positionH relativeFrom="page">
                <wp:posOffset>1076046</wp:posOffset>
              </wp:positionH>
              <wp:positionV relativeFrom="page">
                <wp:posOffset>468562</wp:posOffset>
              </wp:positionV>
              <wp:extent cx="1360170" cy="132080"/>
              <wp:effectExtent l="0" t="0" r="0" b="0"/>
              <wp:wrapNone/>
              <wp:docPr id="605" name="Textbox 605"/>
              <wp:cNvGraphicFramePr>
                <a:graphicFrameLocks/>
              </wp:cNvGraphicFramePr>
              <a:graphic>
                <a:graphicData uri="http://schemas.microsoft.com/office/word/2010/wordprocessingShape">
                  <wps:wsp>
                    <wps:cNvPr id="605" name="Textbox 605"/>
                    <wps:cNvSpPr txBox="1"/>
                    <wps:spPr>
                      <a:xfrm>
                        <a:off x="0" y="0"/>
                        <a:ext cx="1360170" cy="132080"/>
                      </a:xfrm>
                      <a:prstGeom prst="rect">
                        <a:avLst/>
                      </a:prstGeom>
                    </wps:spPr>
                    <wps:txbx>
                      <w:txbxContent>
                        <w:p>
                          <w:pPr>
                            <w:spacing w:before="15"/>
                            <w:ind w:left="20" w:right="0" w:firstLine="0"/>
                            <w:jc w:val="left"/>
                            <w:rPr>
                              <w:sz w:val="15"/>
                            </w:rPr>
                          </w:pPr>
                          <w:r>
                            <w:rPr>
                              <w:color w:val="A5A5A5"/>
                              <w:sz w:val="15"/>
                            </w:rPr>
                            <w:t>NOTES</w:t>
                          </w:r>
                          <w:r>
                            <w:rPr>
                              <w:color w:val="A5A5A5"/>
                              <w:spacing w:val="33"/>
                              <w:sz w:val="15"/>
                            </w:rPr>
                            <w:t> </w:t>
                          </w:r>
                          <w:r>
                            <w:rPr>
                              <w:color w:val="A5A5A5"/>
                              <w:sz w:val="15"/>
                            </w:rPr>
                            <w:t>TO</w:t>
                          </w:r>
                          <w:r>
                            <w:rPr>
                              <w:color w:val="A5A5A5"/>
                              <w:spacing w:val="17"/>
                              <w:sz w:val="15"/>
                            </w:rPr>
                            <w:t> </w:t>
                          </w:r>
                          <w:r>
                            <w:rPr>
                              <w:color w:val="A5A5A5"/>
                              <w:sz w:val="15"/>
                            </w:rPr>
                            <w:t>THE</w:t>
                          </w:r>
                          <w:r>
                            <w:rPr>
                              <w:color w:val="A5A5A5"/>
                              <w:spacing w:val="32"/>
                              <w:sz w:val="15"/>
                            </w:rPr>
                            <w:t> </w:t>
                          </w:r>
                          <w:r>
                            <w:rPr>
                              <w:color w:val="A5A5A5"/>
                              <w:spacing w:val="-2"/>
                              <w:sz w:val="15"/>
                            </w:rPr>
                            <w:t>ACCOUNTS</w:t>
                          </w:r>
                        </w:p>
                      </w:txbxContent>
                    </wps:txbx>
                    <wps:bodyPr wrap="square" lIns="0" tIns="0" rIns="0" bIns="0" rtlCol="0">
                      <a:noAutofit/>
                    </wps:bodyPr>
                  </wps:wsp>
                </a:graphicData>
              </a:graphic>
            </wp:anchor>
          </w:drawing>
        </mc:Choice>
        <mc:Fallback>
          <w:pict>
            <v:shape style="position:absolute;margin-left:84.72805pt;margin-top:36.894707pt;width:107.1pt;height:10.4pt;mso-position-horizontal-relative:page;mso-position-vertical-relative:page;z-index:-27383808" type="#_x0000_t202" id="docshape397" filled="false" stroked="false">
              <v:textbox inset="0,0,0,0">
                <w:txbxContent>
                  <w:p>
                    <w:pPr>
                      <w:spacing w:before="15"/>
                      <w:ind w:left="20" w:right="0" w:firstLine="0"/>
                      <w:jc w:val="left"/>
                      <w:rPr>
                        <w:sz w:val="15"/>
                      </w:rPr>
                    </w:pPr>
                    <w:r>
                      <w:rPr>
                        <w:color w:val="A5A5A5"/>
                        <w:sz w:val="15"/>
                      </w:rPr>
                      <w:t>NOTES</w:t>
                    </w:r>
                    <w:r>
                      <w:rPr>
                        <w:color w:val="A5A5A5"/>
                        <w:spacing w:val="33"/>
                        <w:sz w:val="15"/>
                      </w:rPr>
                      <w:t> </w:t>
                    </w:r>
                    <w:r>
                      <w:rPr>
                        <w:color w:val="A5A5A5"/>
                        <w:sz w:val="15"/>
                      </w:rPr>
                      <w:t>TO</w:t>
                    </w:r>
                    <w:r>
                      <w:rPr>
                        <w:color w:val="A5A5A5"/>
                        <w:spacing w:val="17"/>
                        <w:sz w:val="15"/>
                      </w:rPr>
                      <w:t> </w:t>
                    </w:r>
                    <w:r>
                      <w:rPr>
                        <w:color w:val="A5A5A5"/>
                        <w:sz w:val="15"/>
                      </w:rPr>
                      <w:t>THE</w:t>
                    </w:r>
                    <w:r>
                      <w:rPr>
                        <w:color w:val="A5A5A5"/>
                        <w:spacing w:val="32"/>
                        <w:sz w:val="15"/>
                      </w:rPr>
                      <w:t> </w:t>
                    </w:r>
                    <w:r>
                      <w:rPr>
                        <w:color w:val="A5A5A5"/>
                        <w:spacing w:val="-2"/>
                        <w:sz w:val="15"/>
                      </w:rPr>
                      <w:t>ACCOUNTS</w:t>
                    </w:r>
                  </w:p>
                </w:txbxContent>
              </v:textbox>
              <w10:wrap type="none"/>
            </v:shape>
          </w:pict>
        </mc:Fallback>
      </mc:AlternateContent>
    </w:r>
  </w:p>
</w:hdr>
</file>

<file path=word/header9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5934208">
              <wp:simplePos x="0" y="0"/>
              <wp:positionH relativeFrom="page">
                <wp:posOffset>706834</wp:posOffset>
              </wp:positionH>
              <wp:positionV relativeFrom="page">
                <wp:posOffset>636394</wp:posOffset>
              </wp:positionV>
              <wp:extent cx="74930" cy="132080"/>
              <wp:effectExtent l="0" t="0" r="0" b="0"/>
              <wp:wrapNone/>
              <wp:docPr id="620" name="Textbox 620"/>
              <wp:cNvGraphicFramePr>
                <a:graphicFrameLocks/>
              </wp:cNvGraphicFramePr>
              <a:graphic>
                <a:graphicData uri="http://schemas.microsoft.com/office/word/2010/wordprocessingShape">
                  <wps:wsp>
                    <wps:cNvPr id="620" name="Textbox 620"/>
                    <wps:cNvSpPr txBox="1"/>
                    <wps:spPr>
                      <a:xfrm>
                        <a:off x="0" y="0"/>
                        <a:ext cx="74930" cy="132080"/>
                      </a:xfrm>
                      <a:prstGeom prst="rect">
                        <a:avLst/>
                      </a:prstGeom>
                    </wps:spPr>
                    <wps:txbx>
                      <w:txbxContent>
                        <w:p>
                          <w:pPr>
                            <w:spacing w:before="15"/>
                            <w:ind w:left="20" w:right="0" w:firstLine="0"/>
                            <w:jc w:val="left"/>
                            <w:rPr>
                              <w:sz w:val="15"/>
                            </w:rPr>
                          </w:pPr>
                          <w:r>
                            <w:rPr>
                              <w:color w:val="646464"/>
                              <w:spacing w:val="-10"/>
                              <w:sz w:val="15"/>
                            </w:rPr>
                            <w:t>5</w:t>
                          </w:r>
                        </w:p>
                      </w:txbxContent>
                    </wps:txbx>
                    <wps:bodyPr wrap="square" lIns="0" tIns="0" rIns="0" bIns="0" rtlCol="0">
                      <a:noAutofit/>
                    </wps:bodyPr>
                  </wps:wsp>
                </a:graphicData>
              </a:graphic>
            </wp:anchor>
          </w:drawing>
        </mc:Choice>
        <mc:Fallback>
          <w:pict>
            <v:shape style="position:absolute;margin-left:55.656239pt;margin-top:50.109806pt;width:5.9pt;height:10.4pt;mso-position-horizontal-relative:page;mso-position-vertical-relative:page;z-index:-27382272" type="#_x0000_t202" id="docshape405" filled="false" stroked="false">
              <v:textbox inset="0,0,0,0">
                <w:txbxContent>
                  <w:p>
                    <w:pPr>
                      <w:spacing w:before="15"/>
                      <w:ind w:left="20" w:right="0" w:firstLine="0"/>
                      <w:jc w:val="left"/>
                      <w:rPr>
                        <w:sz w:val="15"/>
                      </w:rPr>
                    </w:pPr>
                    <w:r>
                      <w:rPr>
                        <w:color w:val="646464"/>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5934720">
              <wp:simplePos x="0" y="0"/>
              <wp:positionH relativeFrom="page">
                <wp:posOffset>1158474</wp:posOffset>
              </wp:positionH>
              <wp:positionV relativeFrom="page">
                <wp:posOffset>636394</wp:posOffset>
              </wp:positionV>
              <wp:extent cx="1362075" cy="132080"/>
              <wp:effectExtent l="0" t="0" r="0" b="0"/>
              <wp:wrapNone/>
              <wp:docPr id="621" name="Textbox 621"/>
              <wp:cNvGraphicFramePr>
                <a:graphicFrameLocks/>
              </wp:cNvGraphicFramePr>
              <a:graphic>
                <a:graphicData uri="http://schemas.microsoft.com/office/word/2010/wordprocessingShape">
                  <wps:wsp>
                    <wps:cNvPr id="621" name="Textbox 621"/>
                    <wps:cNvSpPr txBox="1"/>
                    <wps:spPr>
                      <a:xfrm>
                        <a:off x="0" y="0"/>
                        <a:ext cx="1362075" cy="132080"/>
                      </a:xfrm>
                      <a:prstGeom prst="rect">
                        <a:avLst/>
                      </a:prstGeom>
                    </wps:spPr>
                    <wps:txbx>
                      <w:txbxContent>
                        <w:p>
                          <w:pPr>
                            <w:spacing w:before="15"/>
                            <w:ind w:left="20" w:right="0" w:firstLine="0"/>
                            <w:jc w:val="left"/>
                            <w:rPr>
                              <w:sz w:val="15"/>
                            </w:rPr>
                          </w:pPr>
                          <w:r>
                            <w:rPr>
                              <w:color w:val="646464"/>
                              <w:sz w:val="15"/>
                            </w:rPr>
                            <w:t>NOTES</w:t>
                          </w:r>
                          <w:r>
                            <w:rPr>
                              <w:color w:val="646464"/>
                              <w:spacing w:val="32"/>
                              <w:sz w:val="15"/>
                            </w:rPr>
                            <w:t> </w:t>
                          </w:r>
                          <w:r>
                            <w:rPr>
                              <w:color w:val="646464"/>
                              <w:sz w:val="15"/>
                            </w:rPr>
                            <w:t>TO</w:t>
                          </w:r>
                          <w:r>
                            <w:rPr>
                              <w:color w:val="646464"/>
                              <w:spacing w:val="21"/>
                              <w:sz w:val="15"/>
                            </w:rPr>
                            <w:t> </w:t>
                          </w:r>
                          <w:r>
                            <w:rPr>
                              <w:color w:val="646464"/>
                              <w:sz w:val="15"/>
                            </w:rPr>
                            <w:t>THE</w:t>
                          </w:r>
                          <w:r>
                            <w:rPr>
                              <w:color w:val="646464"/>
                              <w:spacing w:val="24"/>
                              <w:sz w:val="15"/>
                            </w:rPr>
                            <w:t> </w:t>
                          </w:r>
                          <w:r>
                            <w:rPr>
                              <w:color w:val="646464"/>
                              <w:spacing w:val="-2"/>
                              <w:sz w:val="15"/>
                            </w:rPr>
                            <w:t>ACCOUNTS</w:t>
                          </w:r>
                        </w:p>
                      </w:txbxContent>
                    </wps:txbx>
                    <wps:bodyPr wrap="square" lIns="0" tIns="0" rIns="0" bIns="0" rtlCol="0">
                      <a:noAutofit/>
                    </wps:bodyPr>
                  </wps:wsp>
                </a:graphicData>
              </a:graphic>
            </wp:anchor>
          </w:drawing>
        </mc:Choice>
        <mc:Fallback>
          <w:pict>
            <v:shape style="position:absolute;margin-left:91.218498pt;margin-top:50.109806pt;width:107.25pt;height:10.4pt;mso-position-horizontal-relative:page;mso-position-vertical-relative:page;z-index:-27381760" type="#_x0000_t202" id="docshape406" filled="false" stroked="false">
              <v:textbox inset="0,0,0,0">
                <w:txbxContent>
                  <w:p>
                    <w:pPr>
                      <w:spacing w:before="15"/>
                      <w:ind w:left="20" w:right="0" w:firstLine="0"/>
                      <w:jc w:val="left"/>
                      <w:rPr>
                        <w:sz w:val="15"/>
                      </w:rPr>
                    </w:pPr>
                    <w:r>
                      <w:rPr>
                        <w:color w:val="646464"/>
                        <w:sz w:val="15"/>
                      </w:rPr>
                      <w:t>NOTES</w:t>
                    </w:r>
                    <w:r>
                      <w:rPr>
                        <w:color w:val="646464"/>
                        <w:spacing w:val="32"/>
                        <w:sz w:val="15"/>
                      </w:rPr>
                      <w:t> </w:t>
                    </w:r>
                    <w:r>
                      <w:rPr>
                        <w:color w:val="646464"/>
                        <w:sz w:val="15"/>
                      </w:rPr>
                      <w:t>TO</w:t>
                    </w:r>
                    <w:r>
                      <w:rPr>
                        <w:color w:val="646464"/>
                        <w:spacing w:val="21"/>
                        <w:sz w:val="15"/>
                      </w:rPr>
                      <w:t> </w:t>
                    </w:r>
                    <w:r>
                      <w:rPr>
                        <w:color w:val="646464"/>
                        <w:sz w:val="15"/>
                      </w:rPr>
                      <w:t>THE</w:t>
                    </w:r>
                    <w:r>
                      <w:rPr>
                        <w:color w:val="646464"/>
                        <w:spacing w:val="24"/>
                        <w:sz w:val="15"/>
                      </w:rPr>
                      <w:t> </w:t>
                    </w:r>
                    <w:r>
                      <w:rPr>
                        <w:color w:val="646464"/>
                        <w:spacing w:val="-2"/>
                        <w:sz w:val="15"/>
                      </w:rPr>
                      <w:t>ACCOUNTS</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7">
    <w:multiLevelType w:val="hybridMultilevel"/>
    <w:lvl w:ilvl="0">
      <w:start w:val="0"/>
      <w:numFmt w:val="bullet"/>
      <w:lvlText w:val="•"/>
      <w:lvlJc w:val="left"/>
      <w:pPr>
        <w:ind w:left="1473" w:hanging="718"/>
      </w:pPr>
      <w:rPr>
        <w:rFonts w:hint="default" w:ascii="Arial" w:hAnsi="Arial" w:eastAsia="Arial" w:cs="Arial"/>
        <w:b w:val="0"/>
        <w:bCs w:val="0"/>
        <w:i w:val="0"/>
        <w:iCs w:val="0"/>
        <w:color w:val="0A0A0A"/>
        <w:spacing w:val="0"/>
        <w:w w:val="104"/>
        <w:sz w:val="21"/>
        <w:szCs w:val="21"/>
        <w:lang w:val="en-US" w:eastAsia="en-US" w:bidi="ar-SA"/>
      </w:rPr>
    </w:lvl>
    <w:lvl w:ilvl="1">
      <w:start w:val="0"/>
      <w:numFmt w:val="bullet"/>
      <w:lvlText w:val="•"/>
      <w:lvlJc w:val="left"/>
      <w:pPr>
        <w:ind w:left="1959" w:hanging="718"/>
      </w:pPr>
      <w:rPr>
        <w:rFonts w:hint="default"/>
        <w:lang w:val="en-US" w:eastAsia="en-US" w:bidi="ar-SA"/>
      </w:rPr>
    </w:lvl>
    <w:lvl w:ilvl="2">
      <w:start w:val="0"/>
      <w:numFmt w:val="bullet"/>
      <w:lvlText w:val="•"/>
      <w:lvlJc w:val="left"/>
      <w:pPr>
        <w:ind w:left="2438" w:hanging="718"/>
      </w:pPr>
      <w:rPr>
        <w:rFonts w:hint="default"/>
        <w:lang w:val="en-US" w:eastAsia="en-US" w:bidi="ar-SA"/>
      </w:rPr>
    </w:lvl>
    <w:lvl w:ilvl="3">
      <w:start w:val="0"/>
      <w:numFmt w:val="bullet"/>
      <w:lvlText w:val="•"/>
      <w:lvlJc w:val="left"/>
      <w:pPr>
        <w:ind w:left="2918" w:hanging="718"/>
      </w:pPr>
      <w:rPr>
        <w:rFonts w:hint="default"/>
        <w:lang w:val="en-US" w:eastAsia="en-US" w:bidi="ar-SA"/>
      </w:rPr>
    </w:lvl>
    <w:lvl w:ilvl="4">
      <w:start w:val="0"/>
      <w:numFmt w:val="bullet"/>
      <w:lvlText w:val="•"/>
      <w:lvlJc w:val="left"/>
      <w:pPr>
        <w:ind w:left="3397" w:hanging="718"/>
      </w:pPr>
      <w:rPr>
        <w:rFonts w:hint="default"/>
        <w:lang w:val="en-US" w:eastAsia="en-US" w:bidi="ar-SA"/>
      </w:rPr>
    </w:lvl>
    <w:lvl w:ilvl="5">
      <w:start w:val="0"/>
      <w:numFmt w:val="bullet"/>
      <w:lvlText w:val="•"/>
      <w:lvlJc w:val="left"/>
      <w:pPr>
        <w:ind w:left="3877" w:hanging="718"/>
      </w:pPr>
      <w:rPr>
        <w:rFonts w:hint="default"/>
        <w:lang w:val="en-US" w:eastAsia="en-US" w:bidi="ar-SA"/>
      </w:rPr>
    </w:lvl>
    <w:lvl w:ilvl="6">
      <w:start w:val="0"/>
      <w:numFmt w:val="bullet"/>
      <w:lvlText w:val="•"/>
      <w:lvlJc w:val="left"/>
      <w:pPr>
        <w:ind w:left="4356" w:hanging="718"/>
      </w:pPr>
      <w:rPr>
        <w:rFonts w:hint="default"/>
        <w:lang w:val="en-US" w:eastAsia="en-US" w:bidi="ar-SA"/>
      </w:rPr>
    </w:lvl>
    <w:lvl w:ilvl="7">
      <w:start w:val="0"/>
      <w:numFmt w:val="bullet"/>
      <w:lvlText w:val="•"/>
      <w:lvlJc w:val="left"/>
      <w:pPr>
        <w:ind w:left="4835" w:hanging="718"/>
      </w:pPr>
      <w:rPr>
        <w:rFonts w:hint="default"/>
        <w:lang w:val="en-US" w:eastAsia="en-US" w:bidi="ar-SA"/>
      </w:rPr>
    </w:lvl>
    <w:lvl w:ilvl="8">
      <w:start w:val="0"/>
      <w:numFmt w:val="bullet"/>
      <w:lvlText w:val="•"/>
      <w:lvlJc w:val="left"/>
      <w:pPr>
        <w:ind w:left="5315" w:hanging="718"/>
      </w:pPr>
      <w:rPr>
        <w:rFonts w:hint="default"/>
        <w:lang w:val="en-US" w:eastAsia="en-US" w:bidi="ar-SA"/>
      </w:rPr>
    </w:lvl>
  </w:abstractNum>
  <w:abstractNum w:abstractNumId="36">
    <w:multiLevelType w:val="hybridMultilevel"/>
    <w:lvl w:ilvl="0">
      <w:start w:val="0"/>
      <w:numFmt w:val="bullet"/>
      <w:lvlText w:val="•"/>
      <w:lvlJc w:val="left"/>
      <w:pPr>
        <w:ind w:left="1007" w:hanging="359"/>
      </w:pPr>
      <w:rPr>
        <w:rFonts w:hint="default" w:ascii="Arial" w:hAnsi="Arial" w:eastAsia="Arial" w:cs="Arial"/>
        <w:spacing w:val="0"/>
        <w:w w:val="103"/>
        <w:lang w:val="en-US" w:eastAsia="en-US" w:bidi="ar-SA"/>
      </w:rPr>
    </w:lvl>
    <w:lvl w:ilvl="1">
      <w:start w:val="0"/>
      <w:numFmt w:val="bullet"/>
      <w:lvlText w:val="•"/>
      <w:lvlJc w:val="left"/>
      <w:pPr>
        <w:ind w:left="1530" w:hanging="359"/>
      </w:pPr>
      <w:rPr>
        <w:rFonts w:hint="default"/>
        <w:lang w:val="en-US" w:eastAsia="en-US" w:bidi="ar-SA"/>
      </w:rPr>
    </w:lvl>
    <w:lvl w:ilvl="2">
      <w:start w:val="0"/>
      <w:numFmt w:val="bullet"/>
      <w:lvlText w:val="•"/>
      <w:lvlJc w:val="left"/>
      <w:pPr>
        <w:ind w:left="2061" w:hanging="359"/>
      </w:pPr>
      <w:rPr>
        <w:rFonts w:hint="default"/>
        <w:lang w:val="en-US" w:eastAsia="en-US" w:bidi="ar-SA"/>
      </w:rPr>
    </w:lvl>
    <w:lvl w:ilvl="3">
      <w:start w:val="0"/>
      <w:numFmt w:val="bullet"/>
      <w:lvlText w:val="•"/>
      <w:lvlJc w:val="left"/>
      <w:pPr>
        <w:ind w:left="2592" w:hanging="359"/>
      </w:pPr>
      <w:rPr>
        <w:rFonts w:hint="default"/>
        <w:lang w:val="en-US" w:eastAsia="en-US" w:bidi="ar-SA"/>
      </w:rPr>
    </w:lvl>
    <w:lvl w:ilvl="4">
      <w:start w:val="0"/>
      <w:numFmt w:val="bullet"/>
      <w:lvlText w:val="•"/>
      <w:lvlJc w:val="left"/>
      <w:pPr>
        <w:ind w:left="3123" w:hanging="359"/>
      </w:pPr>
      <w:rPr>
        <w:rFonts w:hint="default"/>
        <w:lang w:val="en-US" w:eastAsia="en-US" w:bidi="ar-SA"/>
      </w:rPr>
    </w:lvl>
    <w:lvl w:ilvl="5">
      <w:start w:val="0"/>
      <w:numFmt w:val="bullet"/>
      <w:lvlText w:val="•"/>
      <w:lvlJc w:val="left"/>
      <w:pPr>
        <w:ind w:left="3653" w:hanging="359"/>
      </w:pPr>
      <w:rPr>
        <w:rFonts w:hint="default"/>
        <w:lang w:val="en-US" w:eastAsia="en-US" w:bidi="ar-SA"/>
      </w:rPr>
    </w:lvl>
    <w:lvl w:ilvl="6">
      <w:start w:val="0"/>
      <w:numFmt w:val="bullet"/>
      <w:lvlText w:val="•"/>
      <w:lvlJc w:val="left"/>
      <w:pPr>
        <w:ind w:left="4184" w:hanging="359"/>
      </w:pPr>
      <w:rPr>
        <w:rFonts w:hint="default"/>
        <w:lang w:val="en-US" w:eastAsia="en-US" w:bidi="ar-SA"/>
      </w:rPr>
    </w:lvl>
    <w:lvl w:ilvl="7">
      <w:start w:val="0"/>
      <w:numFmt w:val="bullet"/>
      <w:lvlText w:val="•"/>
      <w:lvlJc w:val="left"/>
      <w:pPr>
        <w:ind w:left="4715" w:hanging="359"/>
      </w:pPr>
      <w:rPr>
        <w:rFonts w:hint="default"/>
        <w:lang w:val="en-US" w:eastAsia="en-US" w:bidi="ar-SA"/>
      </w:rPr>
    </w:lvl>
    <w:lvl w:ilvl="8">
      <w:start w:val="0"/>
      <w:numFmt w:val="bullet"/>
      <w:lvlText w:val="•"/>
      <w:lvlJc w:val="left"/>
      <w:pPr>
        <w:ind w:left="5246" w:hanging="359"/>
      </w:pPr>
      <w:rPr>
        <w:rFonts w:hint="default"/>
        <w:lang w:val="en-US" w:eastAsia="en-US" w:bidi="ar-SA"/>
      </w:rPr>
    </w:lvl>
  </w:abstractNum>
  <w:abstractNum w:abstractNumId="35">
    <w:multiLevelType w:val="hybridMultilevel"/>
    <w:lvl w:ilvl="0">
      <w:start w:val="0"/>
      <w:numFmt w:val="bullet"/>
      <w:lvlText w:val="•"/>
      <w:lvlJc w:val="left"/>
      <w:pPr>
        <w:ind w:left="1116" w:hanging="358"/>
      </w:pPr>
      <w:rPr>
        <w:rFonts w:hint="default" w:ascii="Arial" w:hAnsi="Arial" w:eastAsia="Arial" w:cs="Arial"/>
        <w:spacing w:val="0"/>
        <w:w w:val="101"/>
        <w:lang w:val="en-US" w:eastAsia="en-US" w:bidi="ar-SA"/>
      </w:rPr>
    </w:lvl>
    <w:lvl w:ilvl="1">
      <w:start w:val="0"/>
      <w:numFmt w:val="bullet"/>
      <w:lvlText w:val="•"/>
      <w:lvlJc w:val="left"/>
      <w:pPr>
        <w:ind w:left="1634" w:hanging="358"/>
      </w:pPr>
      <w:rPr>
        <w:rFonts w:hint="default"/>
        <w:lang w:val="en-US" w:eastAsia="en-US" w:bidi="ar-SA"/>
      </w:rPr>
    </w:lvl>
    <w:lvl w:ilvl="2">
      <w:start w:val="0"/>
      <w:numFmt w:val="bullet"/>
      <w:lvlText w:val="•"/>
      <w:lvlJc w:val="left"/>
      <w:pPr>
        <w:ind w:left="2149" w:hanging="358"/>
      </w:pPr>
      <w:rPr>
        <w:rFonts w:hint="default"/>
        <w:lang w:val="en-US" w:eastAsia="en-US" w:bidi="ar-SA"/>
      </w:rPr>
    </w:lvl>
    <w:lvl w:ilvl="3">
      <w:start w:val="0"/>
      <w:numFmt w:val="bullet"/>
      <w:lvlText w:val="•"/>
      <w:lvlJc w:val="left"/>
      <w:pPr>
        <w:ind w:left="2663" w:hanging="358"/>
      </w:pPr>
      <w:rPr>
        <w:rFonts w:hint="default"/>
        <w:lang w:val="en-US" w:eastAsia="en-US" w:bidi="ar-SA"/>
      </w:rPr>
    </w:lvl>
    <w:lvl w:ilvl="4">
      <w:start w:val="0"/>
      <w:numFmt w:val="bullet"/>
      <w:lvlText w:val="•"/>
      <w:lvlJc w:val="left"/>
      <w:pPr>
        <w:ind w:left="3178" w:hanging="358"/>
      </w:pPr>
      <w:rPr>
        <w:rFonts w:hint="default"/>
        <w:lang w:val="en-US" w:eastAsia="en-US" w:bidi="ar-SA"/>
      </w:rPr>
    </w:lvl>
    <w:lvl w:ilvl="5">
      <w:start w:val="0"/>
      <w:numFmt w:val="bullet"/>
      <w:lvlText w:val="•"/>
      <w:lvlJc w:val="left"/>
      <w:pPr>
        <w:ind w:left="3692" w:hanging="358"/>
      </w:pPr>
      <w:rPr>
        <w:rFonts w:hint="default"/>
        <w:lang w:val="en-US" w:eastAsia="en-US" w:bidi="ar-SA"/>
      </w:rPr>
    </w:lvl>
    <w:lvl w:ilvl="6">
      <w:start w:val="0"/>
      <w:numFmt w:val="bullet"/>
      <w:lvlText w:val="•"/>
      <w:lvlJc w:val="left"/>
      <w:pPr>
        <w:ind w:left="4207" w:hanging="358"/>
      </w:pPr>
      <w:rPr>
        <w:rFonts w:hint="default"/>
        <w:lang w:val="en-US" w:eastAsia="en-US" w:bidi="ar-SA"/>
      </w:rPr>
    </w:lvl>
    <w:lvl w:ilvl="7">
      <w:start w:val="0"/>
      <w:numFmt w:val="bullet"/>
      <w:lvlText w:val="•"/>
      <w:lvlJc w:val="left"/>
      <w:pPr>
        <w:ind w:left="4722" w:hanging="358"/>
      </w:pPr>
      <w:rPr>
        <w:rFonts w:hint="default"/>
        <w:lang w:val="en-US" w:eastAsia="en-US" w:bidi="ar-SA"/>
      </w:rPr>
    </w:lvl>
    <w:lvl w:ilvl="8">
      <w:start w:val="0"/>
      <w:numFmt w:val="bullet"/>
      <w:lvlText w:val="•"/>
      <w:lvlJc w:val="left"/>
      <w:pPr>
        <w:ind w:left="5236" w:hanging="358"/>
      </w:pPr>
      <w:rPr>
        <w:rFonts w:hint="default"/>
        <w:lang w:val="en-US" w:eastAsia="en-US" w:bidi="ar-SA"/>
      </w:rPr>
    </w:lvl>
  </w:abstractNum>
  <w:abstractNum w:abstractNumId="34">
    <w:multiLevelType w:val="hybridMultilevel"/>
    <w:lvl w:ilvl="0">
      <w:start w:val="0"/>
      <w:numFmt w:val="bullet"/>
      <w:lvlText w:val="•"/>
      <w:lvlJc w:val="left"/>
      <w:pPr>
        <w:ind w:left="1328" w:hanging="711"/>
      </w:pPr>
      <w:rPr>
        <w:rFonts w:hint="default" w:ascii="Arial" w:hAnsi="Arial" w:eastAsia="Arial" w:cs="Arial"/>
        <w:b w:val="0"/>
        <w:bCs w:val="0"/>
        <w:i w:val="0"/>
        <w:iCs w:val="0"/>
        <w:color w:val="0E0E0E"/>
        <w:spacing w:val="0"/>
        <w:w w:val="103"/>
        <w:sz w:val="21"/>
        <w:szCs w:val="21"/>
        <w:lang w:val="en-US" w:eastAsia="en-US" w:bidi="ar-SA"/>
      </w:rPr>
    </w:lvl>
    <w:lvl w:ilvl="1">
      <w:start w:val="0"/>
      <w:numFmt w:val="bullet"/>
      <w:lvlText w:val="•"/>
      <w:lvlJc w:val="left"/>
      <w:pPr>
        <w:ind w:left="1818" w:hanging="711"/>
      </w:pPr>
      <w:rPr>
        <w:rFonts w:hint="default"/>
        <w:lang w:val="en-US" w:eastAsia="en-US" w:bidi="ar-SA"/>
      </w:rPr>
    </w:lvl>
    <w:lvl w:ilvl="2">
      <w:start w:val="0"/>
      <w:numFmt w:val="bullet"/>
      <w:lvlText w:val="•"/>
      <w:lvlJc w:val="left"/>
      <w:pPr>
        <w:ind w:left="2317" w:hanging="711"/>
      </w:pPr>
      <w:rPr>
        <w:rFonts w:hint="default"/>
        <w:lang w:val="en-US" w:eastAsia="en-US" w:bidi="ar-SA"/>
      </w:rPr>
    </w:lvl>
    <w:lvl w:ilvl="3">
      <w:start w:val="0"/>
      <w:numFmt w:val="bullet"/>
      <w:lvlText w:val="•"/>
      <w:lvlJc w:val="left"/>
      <w:pPr>
        <w:ind w:left="2815" w:hanging="711"/>
      </w:pPr>
      <w:rPr>
        <w:rFonts w:hint="default"/>
        <w:lang w:val="en-US" w:eastAsia="en-US" w:bidi="ar-SA"/>
      </w:rPr>
    </w:lvl>
    <w:lvl w:ilvl="4">
      <w:start w:val="0"/>
      <w:numFmt w:val="bullet"/>
      <w:lvlText w:val="•"/>
      <w:lvlJc w:val="left"/>
      <w:pPr>
        <w:ind w:left="3314" w:hanging="711"/>
      </w:pPr>
      <w:rPr>
        <w:rFonts w:hint="default"/>
        <w:lang w:val="en-US" w:eastAsia="en-US" w:bidi="ar-SA"/>
      </w:rPr>
    </w:lvl>
    <w:lvl w:ilvl="5">
      <w:start w:val="0"/>
      <w:numFmt w:val="bullet"/>
      <w:lvlText w:val="•"/>
      <w:lvlJc w:val="left"/>
      <w:pPr>
        <w:ind w:left="3813" w:hanging="711"/>
      </w:pPr>
      <w:rPr>
        <w:rFonts w:hint="default"/>
        <w:lang w:val="en-US" w:eastAsia="en-US" w:bidi="ar-SA"/>
      </w:rPr>
    </w:lvl>
    <w:lvl w:ilvl="6">
      <w:start w:val="0"/>
      <w:numFmt w:val="bullet"/>
      <w:lvlText w:val="•"/>
      <w:lvlJc w:val="left"/>
      <w:pPr>
        <w:ind w:left="4311" w:hanging="711"/>
      </w:pPr>
      <w:rPr>
        <w:rFonts w:hint="default"/>
        <w:lang w:val="en-US" w:eastAsia="en-US" w:bidi="ar-SA"/>
      </w:rPr>
    </w:lvl>
    <w:lvl w:ilvl="7">
      <w:start w:val="0"/>
      <w:numFmt w:val="bullet"/>
      <w:lvlText w:val="•"/>
      <w:lvlJc w:val="left"/>
      <w:pPr>
        <w:ind w:left="4810" w:hanging="711"/>
      </w:pPr>
      <w:rPr>
        <w:rFonts w:hint="default"/>
        <w:lang w:val="en-US" w:eastAsia="en-US" w:bidi="ar-SA"/>
      </w:rPr>
    </w:lvl>
    <w:lvl w:ilvl="8">
      <w:start w:val="0"/>
      <w:numFmt w:val="bullet"/>
      <w:lvlText w:val="•"/>
      <w:lvlJc w:val="left"/>
      <w:pPr>
        <w:ind w:left="5309" w:hanging="711"/>
      </w:pPr>
      <w:rPr>
        <w:rFonts w:hint="default"/>
        <w:lang w:val="en-US" w:eastAsia="en-US" w:bidi="ar-SA"/>
      </w:rPr>
    </w:lvl>
  </w:abstractNum>
  <w:abstractNum w:abstractNumId="33">
    <w:multiLevelType w:val="hybridMultilevel"/>
    <w:lvl w:ilvl="0">
      <w:start w:val="0"/>
      <w:numFmt w:val="bullet"/>
      <w:lvlText w:val="•"/>
      <w:lvlJc w:val="left"/>
      <w:pPr>
        <w:ind w:left="1245" w:hanging="356"/>
      </w:pPr>
      <w:rPr>
        <w:rFonts w:hint="default" w:ascii="Arial" w:hAnsi="Arial" w:eastAsia="Arial" w:cs="Arial"/>
        <w:spacing w:val="0"/>
        <w:w w:val="103"/>
        <w:lang w:val="en-US" w:eastAsia="en-US" w:bidi="ar-SA"/>
      </w:rPr>
    </w:lvl>
    <w:lvl w:ilvl="1">
      <w:start w:val="0"/>
      <w:numFmt w:val="bullet"/>
      <w:lvlText w:val="•"/>
      <w:lvlJc w:val="left"/>
      <w:pPr>
        <w:ind w:left="2208" w:hanging="356"/>
      </w:pPr>
      <w:rPr>
        <w:rFonts w:hint="default"/>
        <w:lang w:val="en-US" w:eastAsia="en-US" w:bidi="ar-SA"/>
      </w:rPr>
    </w:lvl>
    <w:lvl w:ilvl="2">
      <w:start w:val="0"/>
      <w:numFmt w:val="bullet"/>
      <w:lvlText w:val="•"/>
      <w:lvlJc w:val="left"/>
      <w:pPr>
        <w:ind w:left="3176" w:hanging="356"/>
      </w:pPr>
      <w:rPr>
        <w:rFonts w:hint="default"/>
        <w:lang w:val="en-US" w:eastAsia="en-US" w:bidi="ar-SA"/>
      </w:rPr>
    </w:lvl>
    <w:lvl w:ilvl="3">
      <w:start w:val="0"/>
      <w:numFmt w:val="bullet"/>
      <w:lvlText w:val="•"/>
      <w:lvlJc w:val="left"/>
      <w:pPr>
        <w:ind w:left="4145" w:hanging="356"/>
      </w:pPr>
      <w:rPr>
        <w:rFonts w:hint="default"/>
        <w:lang w:val="en-US" w:eastAsia="en-US" w:bidi="ar-SA"/>
      </w:rPr>
    </w:lvl>
    <w:lvl w:ilvl="4">
      <w:start w:val="0"/>
      <w:numFmt w:val="bullet"/>
      <w:lvlText w:val="•"/>
      <w:lvlJc w:val="left"/>
      <w:pPr>
        <w:ind w:left="5113" w:hanging="356"/>
      </w:pPr>
      <w:rPr>
        <w:rFonts w:hint="default"/>
        <w:lang w:val="en-US" w:eastAsia="en-US" w:bidi="ar-SA"/>
      </w:rPr>
    </w:lvl>
    <w:lvl w:ilvl="5">
      <w:start w:val="0"/>
      <w:numFmt w:val="bullet"/>
      <w:lvlText w:val="•"/>
      <w:lvlJc w:val="left"/>
      <w:pPr>
        <w:ind w:left="6082" w:hanging="356"/>
      </w:pPr>
      <w:rPr>
        <w:rFonts w:hint="default"/>
        <w:lang w:val="en-US" w:eastAsia="en-US" w:bidi="ar-SA"/>
      </w:rPr>
    </w:lvl>
    <w:lvl w:ilvl="6">
      <w:start w:val="0"/>
      <w:numFmt w:val="bullet"/>
      <w:lvlText w:val="•"/>
      <w:lvlJc w:val="left"/>
      <w:pPr>
        <w:ind w:left="7050" w:hanging="356"/>
      </w:pPr>
      <w:rPr>
        <w:rFonts w:hint="default"/>
        <w:lang w:val="en-US" w:eastAsia="en-US" w:bidi="ar-SA"/>
      </w:rPr>
    </w:lvl>
    <w:lvl w:ilvl="7">
      <w:start w:val="0"/>
      <w:numFmt w:val="bullet"/>
      <w:lvlText w:val="•"/>
      <w:lvlJc w:val="left"/>
      <w:pPr>
        <w:ind w:left="8018" w:hanging="356"/>
      </w:pPr>
      <w:rPr>
        <w:rFonts w:hint="default"/>
        <w:lang w:val="en-US" w:eastAsia="en-US" w:bidi="ar-SA"/>
      </w:rPr>
    </w:lvl>
    <w:lvl w:ilvl="8">
      <w:start w:val="0"/>
      <w:numFmt w:val="bullet"/>
      <w:lvlText w:val="•"/>
      <w:lvlJc w:val="left"/>
      <w:pPr>
        <w:ind w:left="8987" w:hanging="356"/>
      </w:pPr>
      <w:rPr>
        <w:rFonts w:hint="default"/>
        <w:lang w:val="en-US" w:eastAsia="en-US" w:bidi="ar-SA"/>
      </w:rPr>
    </w:lvl>
  </w:abstractNum>
  <w:abstractNum w:abstractNumId="32">
    <w:multiLevelType w:val="hybridMultilevel"/>
    <w:lvl w:ilvl="0">
      <w:start w:val="0"/>
      <w:numFmt w:val="bullet"/>
      <w:lvlText w:val="•"/>
      <w:lvlJc w:val="left"/>
      <w:pPr>
        <w:ind w:left="1123" w:hanging="368"/>
      </w:pPr>
      <w:rPr>
        <w:rFonts w:hint="default" w:ascii="Arial" w:hAnsi="Arial" w:eastAsia="Arial" w:cs="Arial"/>
        <w:b w:val="0"/>
        <w:bCs w:val="0"/>
        <w:i w:val="0"/>
        <w:iCs w:val="0"/>
        <w:color w:val="161616"/>
        <w:spacing w:val="0"/>
        <w:w w:val="107"/>
        <w:sz w:val="21"/>
        <w:szCs w:val="21"/>
        <w:lang w:val="en-US" w:eastAsia="en-US" w:bidi="ar-SA"/>
      </w:rPr>
    </w:lvl>
    <w:lvl w:ilvl="1">
      <w:start w:val="0"/>
      <w:numFmt w:val="bullet"/>
      <w:lvlText w:val="•"/>
      <w:lvlJc w:val="left"/>
      <w:pPr>
        <w:ind w:left="2100" w:hanging="368"/>
      </w:pPr>
      <w:rPr>
        <w:rFonts w:hint="default"/>
        <w:lang w:val="en-US" w:eastAsia="en-US" w:bidi="ar-SA"/>
      </w:rPr>
    </w:lvl>
    <w:lvl w:ilvl="2">
      <w:start w:val="0"/>
      <w:numFmt w:val="bullet"/>
      <w:lvlText w:val="•"/>
      <w:lvlJc w:val="left"/>
      <w:pPr>
        <w:ind w:left="3080" w:hanging="368"/>
      </w:pPr>
      <w:rPr>
        <w:rFonts w:hint="default"/>
        <w:lang w:val="en-US" w:eastAsia="en-US" w:bidi="ar-SA"/>
      </w:rPr>
    </w:lvl>
    <w:lvl w:ilvl="3">
      <w:start w:val="0"/>
      <w:numFmt w:val="bullet"/>
      <w:lvlText w:val="•"/>
      <w:lvlJc w:val="left"/>
      <w:pPr>
        <w:ind w:left="4061" w:hanging="368"/>
      </w:pPr>
      <w:rPr>
        <w:rFonts w:hint="default"/>
        <w:lang w:val="en-US" w:eastAsia="en-US" w:bidi="ar-SA"/>
      </w:rPr>
    </w:lvl>
    <w:lvl w:ilvl="4">
      <w:start w:val="0"/>
      <w:numFmt w:val="bullet"/>
      <w:lvlText w:val="•"/>
      <w:lvlJc w:val="left"/>
      <w:pPr>
        <w:ind w:left="5041" w:hanging="368"/>
      </w:pPr>
      <w:rPr>
        <w:rFonts w:hint="default"/>
        <w:lang w:val="en-US" w:eastAsia="en-US" w:bidi="ar-SA"/>
      </w:rPr>
    </w:lvl>
    <w:lvl w:ilvl="5">
      <w:start w:val="0"/>
      <w:numFmt w:val="bullet"/>
      <w:lvlText w:val="•"/>
      <w:lvlJc w:val="left"/>
      <w:pPr>
        <w:ind w:left="6022" w:hanging="368"/>
      </w:pPr>
      <w:rPr>
        <w:rFonts w:hint="default"/>
        <w:lang w:val="en-US" w:eastAsia="en-US" w:bidi="ar-SA"/>
      </w:rPr>
    </w:lvl>
    <w:lvl w:ilvl="6">
      <w:start w:val="0"/>
      <w:numFmt w:val="bullet"/>
      <w:lvlText w:val="•"/>
      <w:lvlJc w:val="left"/>
      <w:pPr>
        <w:ind w:left="7002" w:hanging="368"/>
      </w:pPr>
      <w:rPr>
        <w:rFonts w:hint="default"/>
        <w:lang w:val="en-US" w:eastAsia="en-US" w:bidi="ar-SA"/>
      </w:rPr>
    </w:lvl>
    <w:lvl w:ilvl="7">
      <w:start w:val="0"/>
      <w:numFmt w:val="bullet"/>
      <w:lvlText w:val="•"/>
      <w:lvlJc w:val="left"/>
      <w:pPr>
        <w:ind w:left="7982" w:hanging="368"/>
      </w:pPr>
      <w:rPr>
        <w:rFonts w:hint="default"/>
        <w:lang w:val="en-US" w:eastAsia="en-US" w:bidi="ar-SA"/>
      </w:rPr>
    </w:lvl>
    <w:lvl w:ilvl="8">
      <w:start w:val="0"/>
      <w:numFmt w:val="bullet"/>
      <w:lvlText w:val="•"/>
      <w:lvlJc w:val="left"/>
      <w:pPr>
        <w:ind w:left="8963" w:hanging="368"/>
      </w:pPr>
      <w:rPr>
        <w:rFonts w:hint="default"/>
        <w:lang w:val="en-US" w:eastAsia="en-US" w:bidi="ar-SA"/>
      </w:rPr>
    </w:lvl>
  </w:abstractNum>
  <w:abstractNum w:abstractNumId="31">
    <w:multiLevelType w:val="hybridMultilevel"/>
    <w:lvl w:ilvl="0">
      <w:start w:val="0"/>
      <w:numFmt w:val="bullet"/>
      <w:lvlText w:val="•"/>
      <w:lvlJc w:val="left"/>
      <w:pPr>
        <w:ind w:left="1289" w:hanging="421"/>
      </w:pPr>
      <w:rPr>
        <w:rFonts w:hint="default" w:ascii="Arial" w:hAnsi="Arial" w:eastAsia="Arial" w:cs="Arial"/>
        <w:spacing w:val="0"/>
        <w:w w:val="99"/>
        <w:lang w:val="en-US" w:eastAsia="en-US" w:bidi="ar-SA"/>
      </w:rPr>
    </w:lvl>
    <w:lvl w:ilvl="1">
      <w:start w:val="0"/>
      <w:numFmt w:val="bullet"/>
      <w:lvlText w:val="•"/>
      <w:lvlJc w:val="left"/>
      <w:pPr>
        <w:ind w:left="2244" w:hanging="421"/>
      </w:pPr>
      <w:rPr>
        <w:rFonts w:hint="default"/>
        <w:lang w:val="en-US" w:eastAsia="en-US" w:bidi="ar-SA"/>
      </w:rPr>
    </w:lvl>
    <w:lvl w:ilvl="2">
      <w:start w:val="0"/>
      <w:numFmt w:val="bullet"/>
      <w:lvlText w:val="•"/>
      <w:lvlJc w:val="left"/>
      <w:pPr>
        <w:ind w:left="3208" w:hanging="421"/>
      </w:pPr>
      <w:rPr>
        <w:rFonts w:hint="default"/>
        <w:lang w:val="en-US" w:eastAsia="en-US" w:bidi="ar-SA"/>
      </w:rPr>
    </w:lvl>
    <w:lvl w:ilvl="3">
      <w:start w:val="0"/>
      <w:numFmt w:val="bullet"/>
      <w:lvlText w:val="•"/>
      <w:lvlJc w:val="left"/>
      <w:pPr>
        <w:ind w:left="4173" w:hanging="421"/>
      </w:pPr>
      <w:rPr>
        <w:rFonts w:hint="default"/>
        <w:lang w:val="en-US" w:eastAsia="en-US" w:bidi="ar-SA"/>
      </w:rPr>
    </w:lvl>
    <w:lvl w:ilvl="4">
      <w:start w:val="0"/>
      <w:numFmt w:val="bullet"/>
      <w:lvlText w:val="•"/>
      <w:lvlJc w:val="left"/>
      <w:pPr>
        <w:ind w:left="5137" w:hanging="421"/>
      </w:pPr>
      <w:rPr>
        <w:rFonts w:hint="default"/>
        <w:lang w:val="en-US" w:eastAsia="en-US" w:bidi="ar-SA"/>
      </w:rPr>
    </w:lvl>
    <w:lvl w:ilvl="5">
      <w:start w:val="0"/>
      <w:numFmt w:val="bullet"/>
      <w:lvlText w:val="•"/>
      <w:lvlJc w:val="left"/>
      <w:pPr>
        <w:ind w:left="6102" w:hanging="421"/>
      </w:pPr>
      <w:rPr>
        <w:rFonts w:hint="default"/>
        <w:lang w:val="en-US" w:eastAsia="en-US" w:bidi="ar-SA"/>
      </w:rPr>
    </w:lvl>
    <w:lvl w:ilvl="6">
      <w:start w:val="0"/>
      <w:numFmt w:val="bullet"/>
      <w:lvlText w:val="•"/>
      <w:lvlJc w:val="left"/>
      <w:pPr>
        <w:ind w:left="7066" w:hanging="421"/>
      </w:pPr>
      <w:rPr>
        <w:rFonts w:hint="default"/>
        <w:lang w:val="en-US" w:eastAsia="en-US" w:bidi="ar-SA"/>
      </w:rPr>
    </w:lvl>
    <w:lvl w:ilvl="7">
      <w:start w:val="0"/>
      <w:numFmt w:val="bullet"/>
      <w:lvlText w:val="•"/>
      <w:lvlJc w:val="left"/>
      <w:pPr>
        <w:ind w:left="8030" w:hanging="421"/>
      </w:pPr>
      <w:rPr>
        <w:rFonts w:hint="default"/>
        <w:lang w:val="en-US" w:eastAsia="en-US" w:bidi="ar-SA"/>
      </w:rPr>
    </w:lvl>
    <w:lvl w:ilvl="8">
      <w:start w:val="0"/>
      <w:numFmt w:val="bullet"/>
      <w:lvlText w:val="•"/>
      <w:lvlJc w:val="left"/>
      <w:pPr>
        <w:ind w:left="8995" w:hanging="421"/>
      </w:pPr>
      <w:rPr>
        <w:rFonts w:hint="default"/>
        <w:lang w:val="en-US" w:eastAsia="en-US" w:bidi="ar-SA"/>
      </w:rPr>
    </w:lvl>
  </w:abstractNum>
  <w:abstractNum w:abstractNumId="30">
    <w:multiLevelType w:val="hybridMultilevel"/>
    <w:lvl w:ilvl="0">
      <w:start w:val="0"/>
      <w:numFmt w:val="bullet"/>
      <w:lvlText w:val="•"/>
      <w:lvlJc w:val="left"/>
      <w:pPr>
        <w:ind w:left="1277" w:hanging="417"/>
      </w:pPr>
      <w:rPr>
        <w:rFonts w:hint="default" w:ascii="Arial" w:hAnsi="Arial" w:eastAsia="Arial" w:cs="Arial"/>
        <w:b w:val="0"/>
        <w:bCs w:val="0"/>
        <w:i w:val="0"/>
        <w:iCs w:val="0"/>
        <w:color w:val="0F0F0F"/>
        <w:spacing w:val="0"/>
        <w:w w:val="103"/>
        <w:sz w:val="21"/>
        <w:szCs w:val="21"/>
        <w:lang w:val="en-US" w:eastAsia="en-US" w:bidi="ar-SA"/>
      </w:rPr>
    </w:lvl>
    <w:lvl w:ilvl="1">
      <w:start w:val="0"/>
      <w:numFmt w:val="bullet"/>
      <w:lvlText w:val="•"/>
      <w:lvlJc w:val="left"/>
      <w:pPr>
        <w:ind w:left="2244" w:hanging="417"/>
      </w:pPr>
      <w:rPr>
        <w:rFonts w:hint="default"/>
        <w:lang w:val="en-US" w:eastAsia="en-US" w:bidi="ar-SA"/>
      </w:rPr>
    </w:lvl>
    <w:lvl w:ilvl="2">
      <w:start w:val="0"/>
      <w:numFmt w:val="bullet"/>
      <w:lvlText w:val="•"/>
      <w:lvlJc w:val="left"/>
      <w:pPr>
        <w:ind w:left="3208" w:hanging="417"/>
      </w:pPr>
      <w:rPr>
        <w:rFonts w:hint="default"/>
        <w:lang w:val="en-US" w:eastAsia="en-US" w:bidi="ar-SA"/>
      </w:rPr>
    </w:lvl>
    <w:lvl w:ilvl="3">
      <w:start w:val="0"/>
      <w:numFmt w:val="bullet"/>
      <w:lvlText w:val="•"/>
      <w:lvlJc w:val="left"/>
      <w:pPr>
        <w:ind w:left="4173" w:hanging="417"/>
      </w:pPr>
      <w:rPr>
        <w:rFonts w:hint="default"/>
        <w:lang w:val="en-US" w:eastAsia="en-US" w:bidi="ar-SA"/>
      </w:rPr>
    </w:lvl>
    <w:lvl w:ilvl="4">
      <w:start w:val="0"/>
      <w:numFmt w:val="bullet"/>
      <w:lvlText w:val="•"/>
      <w:lvlJc w:val="left"/>
      <w:pPr>
        <w:ind w:left="5137" w:hanging="417"/>
      </w:pPr>
      <w:rPr>
        <w:rFonts w:hint="default"/>
        <w:lang w:val="en-US" w:eastAsia="en-US" w:bidi="ar-SA"/>
      </w:rPr>
    </w:lvl>
    <w:lvl w:ilvl="5">
      <w:start w:val="0"/>
      <w:numFmt w:val="bullet"/>
      <w:lvlText w:val="•"/>
      <w:lvlJc w:val="left"/>
      <w:pPr>
        <w:ind w:left="6102" w:hanging="417"/>
      </w:pPr>
      <w:rPr>
        <w:rFonts w:hint="default"/>
        <w:lang w:val="en-US" w:eastAsia="en-US" w:bidi="ar-SA"/>
      </w:rPr>
    </w:lvl>
    <w:lvl w:ilvl="6">
      <w:start w:val="0"/>
      <w:numFmt w:val="bullet"/>
      <w:lvlText w:val="•"/>
      <w:lvlJc w:val="left"/>
      <w:pPr>
        <w:ind w:left="7066" w:hanging="417"/>
      </w:pPr>
      <w:rPr>
        <w:rFonts w:hint="default"/>
        <w:lang w:val="en-US" w:eastAsia="en-US" w:bidi="ar-SA"/>
      </w:rPr>
    </w:lvl>
    <w:lvl w:ilvl="7">
      <w:start w:val="0"/>
      <w:numFmt w:val="bullet"/>
      <w:lvlText w:val="•"/>
      <w:lvlJc w:val="left"/>
      <w:pPr>
        <w:ind w:left="8030" w:hanging="417"/>
      </w:pPr>
      <w:rPr>
        <w:rFonts w:hint="default"/>
        <w:lang w:val="en-US" w:eastAsia="en-US" w:bidi="ar-SA"/>
      </w:rPr>
    </w:lvl>
    <w:lvl w:ilvl="8">
      <w:start w:val="0"/>
      <w:numFmt w:val="bullet"/>
      <w:lvlText w:val="•"/>
      <w:lvlJc w:val="left"/>
      <w:pPr>
        <w:ind w:left="8995" w:hanging="417"/>
      </w:pPr>
      <w:rPr>
        <w:rFonts w:hint="default"/>
        <w:lang w:val="en-US" w:eastAsia="en-US" w:bidi="ar-SA"/>
      </w:rPr>
    </w:lvl>
  </w:abstractNum>
  <w:abstractNum w:abstractNumId="29">
    <w:multiLevelType w:val="hybridMultilevel"/>
    <w:lvl w:ilvl="0">
      <w:start w:val="0"/>
      <w:numFmt w:val="bullet"/>
      <w:lvlText w:val="•"/>
      <w:lvlJc w:val="left"/>
      <w:pPr>
        <w:ind w:left="1274" w:hanging="424"/>
      </w:pPr>
      <w:rPr>
        <w:rFonts w:hint="default" w:ascii="Arial" w:hAnsi="Arial" w:eastAsia="Arial" w:cs="Arial"/>
        <w:b w:val="0"/>
        <w:bCs w:val="0"/>
        <w:i w:val="0"/>
        <w:iCs w:val="0"/>
        <w:color w:val="0F0F0F"/>
        <w:spacing w:val="0"/>
        <w:w w:val="107"/>
        <w:sz w:val="21"/>
        <w:szCs w:val="21"/>
        <w:lang w:val="en-US" w:eastAsia="en-US" w:bidi="ar-SA"/>
      </w:rPr>
    </w:lvl>
    <w:lvl w:ilvl="1">
      <w:start w:val="0"/>
      <w:numFmt w:val="bullet"/>
      <w:lvlText w:val="•"/>
      <w:lvlJc w:val="left"/>
      <w:pPr>
        <w:ind w:left="2244" w:hanging="424"/>
      </w:pPr>
      <w:rPr>
        <w:rFonts w:hint="default"/>
        <w:lang w:val="en-US" w:eastAsia="en-US" w:bidi="ar-SA"/>
      </w:rPr>
    </w:lvl>
    <w:lvl w:ilvl="2">
      <w:start w:val="0"/>
      <w:numFmt w:val="bullet"/>
      <w:lvlText w:val="•"/>
      <w:lvlJc w:val="left"/>
      <w:pPr>
        <w:ind w:left="3208" w:hanging="424"/>
      </w:pPr>
      <w:rPr>
        <w:rFonts w:hint="default"/>
        <w:lang w:val="en-US" w:eastAsia="en-US" w:bidi="ar-SA"/>
      </w:rPr>
    </w:lvl>
    <w:lvl w:ilvl="3">
      <w:start w:val="0"/>
      <w:numFmt w:val="bullet"/>
      <w:lvlText w:val="•"/>
      <w:lvlJc w:val="left"/>
      <w:pPr>
        <w:ind w:left="4173" w:hanging="424"/>
      </w:pPr>
      <w:rPr>
        <w:rFonts w:hint="default"/>
        <w:lang w:val="en-US" w:eastAsia="en-US" w:bidi="ar-SA"/>
      </w:rPr>
    </w:lvl>
    <w:lvl w:ilvl="4">
      <w:start w:val="0"/>
      <w:numFmt w:val="bullet"/>
      <w:lvlText w:val="•"/>
      <w:lvlJc w:val="left"/>
      <w:pPr>
        <w:ind w:left="5137" w:hanging="424"/>
      </w:pPr>
      <w:rPr>
        <w:rFonts w:hint="default"/>
        <w:lang w:val="en-US" w:eastAsia="en-US" w:bidi="ar-SA"/>
      </w:rPr>
    </w:lvl>
    <w:lvl w:ilvl="5">
      <w:start w:val="0"/>
      <w:numFmt w:val="bullet"/>
      <w:lvlText w:val="•"/>
      <w:lvlJc w:val="left"/>
      <w:pPr>
        <w:ind w:left="6102" w:hanging="424"/>
      </w:pPr>
      <w:rPr>
        <w:rFonts w:hint="default"/>
        <w:lang w:val="en-US" w:eastAsia="en-US" w:bidi="ar-SA"/>
      </w:rPr>
    </w:lvl>
    <w:lvl w:ilvl="6">
      <w:start w:val="0"/>
      <w:numFmt w:val="bullet"/>
      <w:lvlText w:val="•"/>
      <w:lvlJc w:val="left"/>
      <w:pPr>
        <w:ind w:left="7066" w:hanging="424"/>
      </w:pPr>
      <w:rPr>
        <w:rFonts w:hint="default"/>
        <w:lang w:val="en-US" w:eastAsia="en-US" w:bidi="ar-SA"/>
      </w:rPr>
    </w:lvl>
    <w:lvl w:ilvl="7">
      <w:start w:val="0"/>
      <w:numFmt w:val="bullet"/>
      <w:lvlText w:val="•"/>
      <w:lvlJc w:val="left"/>
      <w:pPr>
        <w:ind w:left="8030" w:hanging="424"/>
      </w:pPr>
      <w:rPr>
        <w:rFonts w:hint="default"/>
        <w:lang w:val="en-US" w:eastAsia="en-US" w:bidi="ar-SA"/>
      </w:rPr>
    </w:lvl>
    <w:lvl w:ilvl="8">
      <w:start w:val="0"/>
      <w:numFmt w:val="bullet"/>
      <w:lvlText w:val="•"/>
      <w:lvlJc w:val="left"/>
      <w:pPr>
        <w:ind w:left="8995" w:hanging="424"/>
      </w:pPr>
      <w:rPr>
        <w:rFonts w:hint="default"/>
        <w:lang w:val="en-US" w:eastAsia="en-US" w:bidi="ar-SA"/>
      </w:rPr>
    </w:lvl>
  </w:abstractNum>
  <w:abstractNum w:abstractNumId="28">
    <w:multiLevelType w:val="hybridMultilevel"/>
    <w:lvl w:ilvl="0">
      <w:start w:val="1"/>
      <w:numFmt w:val="decimal"/>
      <w:lvlText w:val="%1."/>
      <w:lvlJc w:val="left"/>
      <w:pPr>
        <w:ind w:left="1059" w:hanging="721"/>
        <w:jc w:val="right"/>
      </w:pPr>
      <w:rPr>
        <w:rFonts w:hint="default"/>
        <w:spacing w:val="0"/>
        <w:w w:val="111"/>
        <w:lang w:val="en-US" w:eastAsia="en-US" w:bidi="ar-SA"/>
      </w:rPr>
    </w:lvl>
    <w:lvl w:ilvl="1">
      <w:start w:val="1"/>
      <w:numFmt w:val="lowerLetter"/>
      <w:lvlText w:val="%2)"/>
      <w:lvlJc w:val="left"/>
      <w:pPr>
        <w:ind w:left="1410" w:hanging="421"/>
        <w:jc w:val="left"/>
      </w:pPr>
      <w:rPr>
        <w:rFonts w:hint="default"/>
        <w:spacing w:val="-1"/>
        <w:w w:val="97"/>
        <w:lang w:val="en-US" w:eastAsia="en-US" w:bidi="ar-SA"/>
      </w:rPr>
    </w:lvl>
    <w:lvl w:ilvl="2">
      <w:start w:val="0"/>
      <w:numFmt w:val="bullet"/>
      <w:lvlText w:val="•"/>
      <w:lvlJc w:val="left"/>
      <w:pPr>
        <w:ind w:left="1260" w:hanging="421"/>
      </w:pPr>
      <w:rPr>
        <w:rFonts w:hint="default"/>
        <w:lang w:val="en-US" w:eastAsia="en-US" w:bidi="ar-SA"/>
      </w:rPr>
    </w:lvl>
    <w:lvl w:ilvl="3">
      <w:start w:val="0"/>
      <w:numFmt w:val="bullet"/>
      <w:lvlText w:val="•"/>
      <w:lvlJc w:val="left"/>
      <w:pPr>
        <w:ind w:left="1280" w:hanging="421"/>
      </w:pPr>
      <w:rPr>
        <w:rFonts w:hint="default"/>
        <w:lang w:val="en-US" w:eastAsia="en-US" w:bidi="ar-SA"/>
      </w:rPr>
    </w:lvl>
    <w:lvl w:ilvl="4">
      <w:start w:val="0"/>
      <w:numFmt w:val="bullet"/>
      <w:lvlText w:val="•"/>
      <w:lvlJc w:val="left"/>
      <w:pPr>
        <w:ind w:left="1300" w:hanging="421"/>
      </w:pPr>
      <w:rPr>
        <w:rFonts w:hint="default"/>
        <w:lang w:val="en-US" w:eastAsia="en-US" w:bidi="ar-SA"/>
      </w:rPr>
    </w:lvl>
    <w:lvl w:ilvl="5">
      <w:start w:val="0"/>
      <w:numFmt w:val="bullet"/>
      <w:lvlText w:val="•"/>
      <w:lvlJc w:val="left"/>
      <w:pPr>
        <w:ind w:left="1340" w:hanging="421"/>
      </w:pPr>
      <w:rPr>
        <w:rFonts w:hint="default"/>
        <w:lang w:val="en-US" w:eastAsia="en-US" w:bidi="ar-SA"/>
      </w:rPr>
    </w:lvl>
    <w:lvl w:ilvl="6">
      <w:start w:val="0"/>
      <w:numFmt w:val="bullet"/>
      <w:lvlText w:val="•"/>
      <w:lvlJc w:val="left"/>
      <w:pPr>
        <w:ind w:left="1360" w:hanging="421"/>
      </w:pPr>
      <w:rPr>
        <w:rFonts w:hint="default"/>
        <w:lang w:val="en-US" w:eastAsia="en-US" w:bidi="ar-SA"/>
      </w:rPr>
    </w:lvl>
    <w:lvl w:ilvl="7">
      <w:start w:val="0"/>
      <w:numFmt w:val="bullet"/>
      <w:lvlText w:val="•"/>
      <w:lvlJc w:val="left"/>
      <w:pPr>
        <w:ind w:left="1400" w:hanging="421"/>
      </w:pPr>
      <w:rPr>
        <w:rFonts w:hint="default"/>
        <w:lang w:val="en-US" w:eastAsia="en-US" w:bidi="ar-SA"/>
      </w:rPr>
    </w:lvl>
    <w:lvl w:ilvl="8">
      <w:start w:val="0"/>
      <w:numFmt w:val="bullet"/>
      <w:lvlText w:val="•"/>
      <w:lvlJc w:val="left"/>
      <w:pPr>
        <w:ind w:left="1420" w:hanging="421"/>
      </w:pPr>
      <w:rPr>
        <w:rFonts w:hint="default"/>
        <w:lang w:val="en-US" w:eastAsia="en-US" w:bidi="ar-SA"/>
      </w:rPr>
    </w:lvl>
  </w:abstractNum>
  <w:abstractNum w:abstractNumId="27">
    <w:multiLevelType w:val="hybridMultilevel"/>
    <w:lvl w:ilvl="0">
      <w:start w:val="7"/>
      <w:numFmt w:val="decimal"/>
      <w:lvlText w:val="%1"/>
      <w:lvlJc w:val="left"/>
      <w:pPr>
        <w:ind w:left="646" w:hanging="543"/>
        <w:jc w:val="left"/>
      </w:pPr>
      <w:rPr>
        <w:rFonts w:hint="default"/>
        <w:lang w:val="en-US" w:eastAsia="en-US" w:bidi="ar-SA"/>
      </w:rPr>
    </w:lvl>
    <w:lvl w:ilvl="1">
      <w:start w:val="2"/>
      <w:numFmt w:val="decimal"/>
      <w:lvlText w:val="%1.%2"/>
      <w:lvlJc w:val="left"/>
      <w:pPr>
        <w:ind w:left="646" w:hanging="543"/>
        <w:jc w:val="right"/>
      </w:pPr>
      <w:rPr>
        <w:rFonts w:hint="default"/>
        <w:spacing w:val="-1"/>
        <w:w w:val="106"/>
        <w:lang w:val="en-US" w:eastAsia="en-US" w:bidi="ar-SA"/>
      </w:rPr>
    </w:lvl>
    <w:lvl w:ilvl="2">
      <w:start w:val="0"/>
      <w:numFmt w:val="bullet"/>
      <w:lvlText w:val="•"/>
      <w:lvlJc w:val="left"/>
      <w:pPr>
        <w:ind w:left="3729" w:hanging="543"/>
      </w:pPr>
      <w:rPr>
        <w:rFonts w:hint="default"/>
        <w:lang w:val="en-US" w:eastAsia="en-US" w:bidi="ar-SA"/>
      </w:rPr>
    </w:lvl>
    <w:lvl w:ilvl="3">
      <w:start w:val="0"/>
      <w:numFmt w:val="bullet"/>
      <w:lvlText w:val="•"/>
      <w:lvlJc w:val="left"/>
      <w:pPr>
        <w:ind w:left="5274" w:hanging="543"/>
      </w:pPr>
      <w:rPr>
        <w:rFonts w:hint="default"/>
        <w:lang w:val="en-US" w:eastAsia="en-US" w:bidi="ar-SA"/>
      </w:rPr>
    </w:lvl>
    <w:lvl w:ilvl="4">
      <w:start w:val="0"/>
      <w:numFmt w:val="bullet"/>
      <w:lvlText w:val="•"/>
      <w:lvlJc w:val="left"/>
      <w:pPr>
        <w:ind w:left="6819" w:hanging="543"/>
      </w:pPr>
      <w:rPr>
        <w:rFonts w:hint="default"/>
        <w:lang w:val="en-US" w:eastAsia="en-US" w:bidi="ar-SA"/>
      </w:rPr>
    </w:lvl>
    <w:lvl w:ilvl="5">
      <w:start w:val="0"/>
      <w:numFmt w:val="bullet"/>
      <w:lvlText w:val="•"/>
      <w:lvlJc w:val="left"/>
      <w:pPr>
        <w:ind w:left="8364" w:hanging="543"/>
      </w:pPr>
      <w:rPr>
        <w:rFonts w:hint="default"/>
        <w:lang w:val="en-US" w:eastAsia="en-US" w:bidi="ar-SA"/>
      </w:rPr>
    </w:lvl>
    <w:lvl w:ilvl="6">
      <w:start w:val="0"/>
      <w:numFmt w:val="bullet"/>
      <w:lvlText w:val="•"/>
      <w:lvlJc w:val="left"/>
      <w:pPr>
        <w:ind w:left="9909" w:hanging="543"/>
      </w:pPr>
      <w:rPr>
        <w:rFonts w:hint="default"/>
        <w:lang w:val="en-US" w:eastAsia="en-US" w:bidi="ar-SA"/>
      </w:rPr>
    </w:lvl>
    <w:lvl w:ilvl="7">
      <w:start w:val="0"/>
      <w:numFmt w:val="bullet"/>
      <w:lvlText w:val="•"/>
      <w:lvlJc w:val="left"/>
      <w:pPr>
        <w:ind w:left="11454" w:hanging="543"/>
      </w:pPr>
      <w:rPr>
        <w:rFonts w:hint="default"/>
        <w:lang w:val="en-US" w:eastAsia="en-US" w:bidi="ar-SA"/>
      </w:rPr>
    </w:lvl>
    <w:lvl w:ilvl="8">
      <w:start w:val="0"/>
      <w:numFmt w:val="bullet"/>
      <w:lvlText w:val="•"/>
      <w:lvlJc w:val="left"/>
      <w:pPr>
        <w:ind w:left="12999" w:hanging="543"/>
      </w:pPr>
      <w:rPr>
        <w:rFonts w:hint="default"/>
        <w:lang w:val="en-US" w:eastAsia="en-US" w:bidi="ar-SA"/>
      </w:rPr>
    </w:lvl>
  </w:abstractNum>
  <w:abstractNum w:abstractNumId="26">
    <w:multiLevelType w:val="hybridMultilevel"/>
    <w:lvl w:ilvl="0">
      <w:start w:val="7"/>
      <w:numFmt w:val="decimal"/>
      <w:lvlText w:val="%1"/>
      <w:lvlJc w:val="left"/>
      <w:pPr>
        <w:ind w:left="1858" w:hanging="722"/>
        <w:jc w:val="right"/>
      </w:pPr>
      <w:rPr>
        <w:rFonts w:hint="default"/>
        <w:spacing w:val="0"/>
        <w:w w:val="98"/>
        <w:lang w:val="en-US" w:eastAsia="en-US" w:bidi="ar-SA"/>
      </w:rPr>
    </w:lvl>
    <w:lvl w:ilvl="1">
      <w:start w:val="0"/>
      <w:numFmt w:val="bullet"/>
      <w:lvlText w:val="•"/>
      <w:lvlJc w:val="left"/>
      <w:pPr>
        <w:ind w:left="3282" w:hanging="722"/>
      </w:pPr>
      <w:rPr>
        <w:rFonts w:hint="default"/>
        <w:lang w:val="en-US" w:eastAsia="en-US" w:bidi="ar-SA"/>
      </w:rPr>
    </w:lvl>
    <w:lvl w:ilvl="2">
      <w:start w:val="0"/>
      <w:numFmt w:val="bullet"/>
      <w:lvlText w:val="•"/>
      <w:lvlJc w:val="left"/>
      <w:pPr>
        <w:ind w:left="4705" w:hanging="722"/>
      </w:pPr>
      <w:rPr>
        <w:rFonts w:hint="default"/>
        <w:lang w:val="en-US" w:eastAsia="en-US" w:bidi="ar-SA"/>
      </w:rPr>
    </w:lvl>
    <w:lvl w:ilvl="3">
      <w:start w:val="0"/>
      <w:numFmt w:val="bullet"/>
      <w:lvlText w:val="•"/>
      <w:lvlJc w:val="left"/>
      <w:pPr>
        <w:ind w:left="6128" w:hanging="722"/>
      </w:pPr>
      <w:rPr>
        <w:rFonts w:hint="default"/>
        <w:lang w:val="en-US" w:eastAsia="en-US" w:bidi="ar-SA"/>
      </w:rPr>
    </w:lvl>
    <w:lvl w:ilvl="4">
      <w:start w:val="0"/>
      <w:numFmt w:val="bullet"/>
      <w:lvlText w:val="•"/>
      <w:lvlJc w:val="left"/>
      <w:pPr>
        <w:ind w:left="7551" w:hanging="722"/>
      </w:pPr>
      <w:rPr>
        <w:rFonts w:hint="default"/>
        <w:lang w:val="en-US" w:eastAsia="en-US" w:bidi="ar-SA"/>
      </w:rPr>
    </w:lvl>
    <w:lvl w:ilvl="5">
      <w:start w:val="0"/>
      <w:numFmt w:val="bullet"/>
      <w:lvlText w:val="•"/>
      <w:lvlJc w:val="left"/>
      <w:pPr>
        <w:ind w:left="8974" w:hanging="722"/>
      </w:pPr>
      <w:rPr>
        <w:rFonts w:hint="default"/>
        <w:lang w:val="en-US" w:eastAsia="en-US" w:bidi="ar-SA"/>
      </w:rPr>
    </w:lvl>
    <w:lvl w:ilvl="6">
      <w:start w:val="0"/>
      <w:numFmt w:val="bullet"/>
      <w:lvlText w:val="•"/>
      <w:lvlJc w:val="left"/>
      <w:pPr>
        <w:ind w:left="10397" w:hanging="722"/>
      </w:pPr>
      <w:rPr>
        <w:rFonts w:hint="default"/>
        <w:lang w:val="en-US" w:eastAsia="en-US" w:bidi="ar-SA"/>
      </w:rPr>
    </w:lvl>
    <w:lvl w:ilvl="7">
      <w:start w:val="0"/>
      <w:numFmt w:val="bullet"/>
      <w:lvlText w:val="•"/>
      <w:lvlJc w:val="left"/>
      <w:pPr>
        <w:ind w:left="11820" w:hanging="722"/>
      </w:pPr>
      <w:rPr>
        <w:rFonts w:hint="default"/>
        <w:lang w:val="en-US" w:eastAsia="en-US" w:bidi="ar-SA"/>
      </w:rPr>
    </w:lvl>
    <w:lvl w:ilvl="8">
      <w:start w:val="0"/>
      <w:numFmt w:val="bullet"/>
      <w:lvlText w:val="•"/>
      <w:lvlJc w:val="left"/>
      <w:pPr>
        <w:ind w:left="13243" w:hanging="722"/>
      </w:pPr>
      <w:rPr>
        <w:rFonts w:hint="default"/>
        <w:lang w:val="en-US" w:eastAsia="en-US" w:bidi="ar-SA"/>
      </w:rPr>
    </w:lvl>
  </w:abstractNum>
  <w:abstractNum w:abstractNumId="25">
    <w:multiLevelType w:val="hybridMultilevel"/>
    <w:lvl w:ilvl="0">
      <w:start w:val="0"/>
      <w:numFmt w:val="bullet"/>
      <w:lvlText w:val="•"/>
      <w:lvlJc w:val="left"/>
      <w:pPr>
        <w:ind w:left="1719" w:hanging="351"/>
      </w:pPr>
      <w:rPr>
        <w:rFonts w:hint="default" w:ascii="Arial" w:hAnsi="Arial" w:eastAsia="Arial" w:cs="Arial"/>
        <w:b w:val="0"/>
        <w:bCs w:val="0"/>
        <w:i w:val="0"/>
        <w:iCs w:val="0"/>
        <w:color w:val="1F1F1F"/>
        <w:spacing w:val="0"/>
        <w:w w:val="98"/>
        <w:sz w:val="22"/>
        <w:szCs w:val="22"/>
        <w:lang w:val="en-US" w:eastAsia="en-US" w:bidi="ar-SA"/>
      </w:rPr>
    </w:lvl>
    <w:lvl w:ilvl="1">
      <w:start w:val="0"/>
      <w:numFmt w:val="bullet"/>
      <w:lvlText w:val="•"/>
      <w:lvlJc w:val="left"/>
      <w:pPr>
        <w:ind w:left="2704" w:hanging="351"/>
      </w:pPr>
      <w:rPr>
        <w:rFonts w:hint="default"/>
        <w:lang w:val="en-US" w:eastAsia="en-US" w:bidi="ar-SA"/>
      </w:rPr>
    </w:lvl>
    <w:lvl w:ilvl="2">
      <w:start w:val="0"/>
      <w:numFmt w:val="bullet"/>
      <w:lvlText w:val="•"/>
      <w:lvlJc w:val="left"/>
      <w:pPr>
        <w:ind w:left="3688" w:hanging="351"/>
      </w:pPr>
      <w:rPr>
        <w:rFonts w:hint="default"/>
        <w:lang w:val="en-US" w:eastAsia="en-US" w:bidi="ar-SA"/>
      </w:rPr>
    </w:lvl>
    <w:lvl w:ilvl="3">
      <w:start w:val="0"/>
      <w:numFmt w:val="bullet"/>
      <w:lvlText w:val="•"/>
      <w:lvlJc w:val="left"/>
      <w:pPr>
        <w:ind w:left="4673" w:hanging="351"/>
      </w:pPr>
      <w:rPr>
        <w:rFonts w:hint="default"/>
        <w:lang w:val="en-US" w:eastAsia="en-US" w:bidi="ar-SA"/>
      </w:rPr>
    </w:lvl>
    <w:lvl w:ilvl="4">
      <w:start w:val="0"/>
      <w:numFmt w:val="bullet"/>
      <w:lvlText w:val="•"/>
      <w:lvlJc w:val="left"/>
      <w:pPr>
        <w:ind w:left="5657" w:hanging="351"/>
      </w:pPr>
      <w:rPr>
        <w:rFonts w:hint="default"/>
        <w:lang w:val="en-US" w:eastAsia="en-US" w:bidi="ar-SA"/>
      </w:rPr>
    </w:lvl>
    <w:lvl w:ilvl="5">
      <w:start w:val="0"/>
      <w:numFmt w:val="bullet"/>
      <w:lvlText w:val="•"/>
      <w:lvlJc w:val="left"/>
      <w:pPr>
        <w:ind w:left="6642" w:hanging="351"/>
      </w:pPr>
      <w:rPr>
        <w:rFonts w:hint="default"/>
        <w:lang w:val="en-US" w:eastAsia="en-US" w:bidi="ar-SA"/>
      </w:rPr>
    </w:lvl>
    <w:lvl w:ilvl="6">
      <w:start w:val="0"/>
      <w:numFmt w:val="bullet"/>
      <w:lvlText w:val="•"/>
      <w:lvlJc w:val="left"/>
      <w:pPr>
        <w:ind w:left="7626" w:hanging="351"/>
      </w:pPr>
      <w:rPr>
        <w:rFonts w:hint="default"/>
        <w:lang w:val="en-US" w:eastAsia="en-US" w:bidi="ar-SA"/>
      </w:rPr>
    </w:lvl>
    <w:lvl w:ilvl="7">
      <w:start w:val="0"/>
      <w:numFmt w:val="bullet"/>
      <w:lvlText w:val="•"/>
      <w:lvlJc w:val="left"/>
      <w:pPr>
        <w:ind w:left="8610" w:hanging="351"/>
      </w:pPr>
      <w:rPr>
        <w:rFonts w:hint="default"/>
        <w:lang w:val="en-US" w:eastAsia="en-US" w:bidi="ar-SA"/>
      </w:rPr>
    </w:lvl>
    <w:lvl w:ilvl="8">
      <w:start w:val="0"/>
      <w:numFmt w:val="bullet"/>
      <w:lvlText w:val="•"/>
      <w:lvlJc w:val="left"/>
      <w:pPr>
        <w:ind w:left="9595" w:hanging="351"/>
      </w:pPr>
      <w:rPr>
        <w:rFonts w:hint="default"/>
        <w:lang w:val="en-US" w:eastAsia="en-US" w:bidi="ar-SA"/>
      </w:rPr>
    </w:lvl>
  </w:abstractNum>
  <w:abstractNum w:abstractNumId="24">
    <w:multiLevelType w:val="hybridMultilevel"/>
    <w:lvl w:ilvl="0">
      <w:start w:val="5"/>
      <w:numFmt w:val="decimal"/>
      <w:lvlText w:val="%1"/>
      <w:lvlJc w:val="left"/>
      <w:pPr>
        <w:ind w:left="2037" w:hanging="803"/>
        <w:jc w:val="left"/>
      </w:pPr>
      <w:rPr>
        <w:rFonts w:hint="default"/>
        <w:lang w:val="en-US" w:eastAsia="en-US" w:bidi="ar-SA"/>
      </w:rPr>
    </w:lvl>
    <w:lvl w:ilvl="1">
      <w:start w:val="35"/>
      <w:numFmt w:val="decimal"/>
      <w:lvlText w:val="%1.%2"/>
      <w:lvlJc w:val="left"/>
      <w:pPr>
        <w:ind w:left="2037" w:hanging="803"/>
        <w:jc w:val="right"/>
      </w:pPr>
      <w:rPr>
        <w:rFonts w:hint="default"/>
        <w:spacing w:val="-1"/>
        <w:w w:val="101"/>
        <w:lang w:val="en-US" w:eastAsia="en-US" w:bidi="ar-SA"/>
      </w:rPr>
    </w:lvl>
    <w:lvl w:ilvl="2">
      <w:start w:val="0"/>
      <w:numFmt w:val="bullet"/>
      <w:lvlText w:val="•"/>
      <w:lvlJc w:val="left"/>
      <w:pPr>
        <w:ind w:left="1826" w:hanging="693"/>
      </w:pPr>
      <w:rPr>
        <w:rFonts w:hint="default" w:ascii="Arial" w:hAnsi="Arial" w:eastAsia="Arial" w:cs="Arial"/>
        <w:spacing w:val="0"/>
        <w:w w:val="103"/>
        <w:lang w:val="en-US" w:eastAsia="en-US" w:bidi="ar-SA"/>
      </w:rPr>
    </w:lvl>
    <w:lvl w:ilvl="3">
      <w:start w:val="0"/>
      <w:numFmt w:val="bullet"/>
      <w:lvlText w:val="•"/>
      <w:lvlJc w:val="left"/>
      <w:pPr>
        <w:ind w:left="4156" w:hanging="693"/>
      </w:pPr>
      <w:rPr>
        <w:rFonts w:hint="default"/>
        <w:lang w:val="en-US" w:eastAsia="en-US" w:bidi="ar-SA"/>
      </w:rPr>
    </w:lvl>
    <w:lvl w:ilvl="4">
      <w:start w:val="0"/>
      <w:numFmt w:val="bullet"/>
      <w:lvlText w:val="•"/>
      <w:lvlJc w:val="left"/>
      <w:pPr>
        <w:ind w:left="5214" w:hanging="693"/>
      </w:pPr>
      <w:rPr>
        <w:rFonts w:hint="default"/>
        <w:lang w:val="en-US" w:eastAsia="en-US" w:bidi="ar-SA"/>
      </w:rPr>
    </w:lvl>
    <w:lvl w:ilvl="5">
      <w:start w:val="0"/>
      <w:numFmt w:val="bullet"/>
      <w:lvlText w:val="•"/>
      <w:lvlJc w:val="left"/>
      <w:pPr>
        <w:ind w:left="6272" w:hanging="693"/>
      </w:pPr>
      <w:rPr>
        <w:rFonts w:hint="default"/>
        <w:lang w:val="en-US" w:eastAsia="en-US" w:bidi="ar-SA"/>
      </w:rPr>
    </w:lvl>
    <w:lvl w:ilvl="6">
      <w:start w:val="0"/>
      <w:numFmt w:val="bullet"/>
      <w:lvlText w:val="•"/>
      <w:lvlJc w:val="left"/>
      <w:pPr>
        <w:ind w:left="7331" w:hanging="693"/>
      </w:pPr>
      <w:rPr>
        <w:rFonts w:hint="default"/>
        <w:lang w:val="en-US" w:eastAsia="en-US" w:bidi="ar-SA"/>
      </w:rPr>
    </w:lvl>
    <w:lvl w:ilvl="7">
      <w:start w:val="0"/>
      <w:numFmt w:val="bullet"/>
      <w:lvlText w:val="•"/>
      <w:lvlJc w:val="left"/>
      <w:pPr>
        <w:ind w:left="8389" w:hanging="693"/>
      </w:pPr>
      <w:rPr>
        <w:rFonts w:hint="default"/>
        <w:lang w:val="en-US" w:eastAsia="en-US" w:bidi="ar-SA"/>
      </w:rPr>
    </w:lvl>
    <w:lvl w:ilvl="8">
      <w:start w:val="0"/>
      <w:numFmt w:val="bullet"/>
      <w:lvlText w:val="•"/>
      <w:lvlJc w:val="left"/>
      <w:pPr>
        <w:ind w:left="9447" w:hanging="693"/>
      </w:pPr>
      <w:rPr>
        <w:rFonts w:hint="default"/>
        <w:lang w:val="en-US" w:eastAsia="en-US" w:bidi="ar-SA"/>
      </w:rPr>
    </w:lvl>
  </w:abstractNum>
  <w:abstractNum w:abstractNumId="23">
    <w:multiLevelType w:val="hybridMultilevel"/>
    <w:lvl w:ilvl="0">
      <w:start w:val="5"/>
      <w:numFmt w:val="decimal"/>
      <w:lvlText w:val="%1"/>
      <w:lvlJc w:val="left"/>
      <w:pPr>
        <w:ind w:left="1978" w:hanging="712"/>
        <w:jc w:val="right"/>
      </w:pPr>
      <w:rPr>
        <w:rFonts w:hint="default"/>
        <w:spacing w:val="0"/>
        <w:w w:val="86"/>
        <w:lang w:val="en-US" w:eastAsia="en-US" w:bidi="ar-SA"/>
      </w:rPr>
    </w:lvl>
    <w:lvl w:ilvl="1">
      <w:start w:val="1"/>
      <w:numFmt w:val="decimal"/>
      <w:lvlText w:val="%1.%2"/>
      <w:lvlJc w:val="left"/>
      <w:pPr>
        <w:ind w:left="1923" w:hanging="673"/>
        <w:jc w:val="right"/>
      </w:pPr>
      <w:rPr>
        <w:rFonts w:hint="default"/>
        <w:spacing w:val="-1"/>
        <w:w w:val="103"/>
        <w:lang w:val="en-US" w:eastAsia="en-US" w:bidi="ar-SA"/>
      </w:rPr>
    </w:lvl>
    <w:lvl w:ilvl="2">
      <w:start w:val="1"/>
      <w:numFmt w:val="decimal"/>
      <w:lvlText w:val="%1.%2.%3"/>
      <w:lvlJc w:val="left"/>
      <w:pPr>
        <w:ind w:left="1792" w:hanging="550"/>
        <w:jc w:val="left"/>
      </w:pPr>
      <w:rPr>
        <w:rFonts w:hint="default"/>
        <w:spacing w:val="-1"/>
        <w:w w:val="107"/>
        <w:lang w:val="en-US" w:eastAsia="en-US" w:bidi="ar-SA"/>
      </w:rPr>
    </w:lvl>
    <w:lvl w:ilvl="3">
      <w:start w:val="0"/>
      <w:numFmt w:val="bullet"/>
      <w:lvlText w:val="•"/>
      <w:lvlJc w:val="left"/>
      <w:pPr>
        <w:ind w:left="3178" w:hanging="550"/>
      </w:pPr>
      <w:rPr>
        <w:rFonts w:hint="default"/>
        <w:lang w:val="en-US" w:eastAsia="en-US" w:bidi="ar-SA"/>
      </w:rPr>
    </w:lvl>
    <w:lvl w:ilvl="4">
      <w:start w:val="0"/>
      <w:numFmt w:val="bullet"/>
      <w:lvlText w:val="•"/>
      <w:lvlJc w:val="left"/>
      <w:pPr>
        <w:ind w:left="4376" w:hanging="550"/>
      </w:pPr>
      <w:rPr>
        <w:rFonts w:hint="default"/>
        <w:lang w:val="en-US" w:eastAsia="en-US" w:bidi="ar-SA"/>
      </w:rPr>
    </w:lvl>
    <w:lvl w:ilvl="5">
      <w:start w:val="0"/>
      <w:numFmt w:val="bullet"/>
      <w:lvlText w:val="•"/>
      <w:lvlJc w:val="left"/>
      <w:pPr>
        <w:ind w:left="5574" w:hanging="550"/>
      </w:pPr>
      <w:rPr>
        <w:rFonts w:hint="default"/>
        <w:lang w:val="en-US" w:eastAsia="en-US" w:bidi="ar-SA"/>
      </w:rPr>
    </w:lvl>
    <w:lvl w:ilvl="6">
      <w:start w:val="0"/>
      <w:numFmt w:val="bullet"/>
      <w:lvlText w:val="•"/>
      <w:lvlJc w:val="left"/>
      <w:pPr>
        <w:ind w:left="6772" w:hanging="550"/>
      </w:pPr>
      <w:rPr>
        <w:rFonts w:hint="default"/>
        <w:lang w:val="en-US" w:eastAsia="en-US" w:bidi="ar-SA"/>
      </w:rPr>
    </w:lvl>
    <w:lvl w:ilvl="7">
      <w:start w:val="0"/>
      <w:numFmt w:val="bullet"/>
      <w:lvlText w:val="•"/>
      <w:lvlJc w:val="left"/>
      <w:pPr>
        <w:ind w:left="7970" w:hanging="550"/>
      </w:pPr>
      <w:rPr>
        <w:rFonts w:hint="default"/>
        <w:lang w:val="en-US" w:eastAsia="en-US" w:bidi="ar-SA"/>
      </w:rPr>
    </w:lvl>
    <w:lvl w:ilvl="8">
      <w:start w:val="0"/>
      <w:numFmt w:val="bullet"/>
      <w:lvlText w:val="•"/>
      <w:lvlJc w:val="left"/>
      <w:pPr>
        <w:ind w:left="9168" w:hanging="550"/>
      </w:pPr>
      <w:rPr>
        <w:rFonts w:hint="default"/>
        <w:lang w:val="en-US" w:eastAsia="en-US" w:bidi="ar-SA"/>
      </w:rPr>
    </w:lvl>
  </w:abstractNum>
  <w:abstractNum w:abstractNumId="22">
    <w:multiLevelType w:val="hybridMultilevel"/>
    <w:lvl w:ilvl="0">
      <w:start w:val="5"/>
      <w:numFmt w:val="decimal"/>
      <w:lvlText w:val="%1"/>
      <w:lvlJc w:val="left"/>
      <w:pPr>
        <w:ind w:left="1821" w:hanging="836"/>
        <w:jc w:val="left"/>
      </w:pPr>
      <w:rPr>
        <w:rFonts w:hint="default"/>
        <w:lang w:val="en-US" w:eastAsia="en-US" w:bidi="ar-SA"/>
      </w:rPr>
    </w:lvl>
    <w:lvl w:ilvl="1">
      <w:start w:val="31"/>
      <w:numFmt w:val="decimal"/>
      <w:lvlText w:val="%1.%2"/>
      <w:lvlJc w:val="left"/>
      <w:pPr>
        <w:ind w:left="1821" w:hanging="836"/>
        <w:jc w:val="left"/>
      </w:pPr>
      <w:rPr>
        <w:rFonts w:hint="default"/>
        <w:lang w:val="en-US" w:eastAsia="en-US" w:bidi="ar-SA"/>
      </w:rPr>
    </w:lvl>
    <w:lvl w:ilvl="2">
      <w:start w:val="2"/>
      <w:numFmt w:val="decimal"/>
      <w:lvlText w:val="%1.%2.%3"/>
      <w:lvlJc w:val="left"/>
      <w:pPr>
        <w:ind w:left="1821" w:hanging="836"/>
        <w:jc w:val="right"/>
      </w:pPr>
      <w:rPr>
        <w:rFonts w:hint="default"/>
        <w:spacing w:val="-1"/>
        <w:w w:val="104"/>
        <w:lang w:val="en-US" w:eastAsia="en-US" w:bidi="ar-SA"/>
      </w:rPr>
    </w:lvl>
    <w:lvl w:ilvl="3">
      <w:start w:val="0"/>
      <w:numFmt w:val="bullet"/>
      <w:lvlText w:val="•"/>
      <w:lvlJc w:val="left"/>
      <w:pPr>
        <w:ind w:left="4743" w:hanging="836"/>
      </w:pPr>
      <w:rPr>
        <w:rFonts w:hint="default"/>
        <w:lang w:val="en-US" w:eastAsia="en-US" w:bidi="ar-SA"/>
      </w:rPr>
    </w:lvl>
    <w:lvl w:ilvl="4">
      <w:start w:val="0"/>
      <w:numFmt w:val="bullet"/>
      <w:lvlText w:val="•"/>
      <w:lvlJc w:val="left"/>
      <w:pPr>
        <w:ind w:left="5717" w:hanging="836"/>
      </w:pPr>
      <w:rPr>
        <w:rFonts w:hint="default"/>
        <w:lang w:val="en-US" w:eastAsia="en-US" w:bidi="ar-SA"/>
      </w:rPr>
    </w:lvl>
    <w:lvl w:ilvl="5">
      <w:start w:val="0"/>
      <w:numFmt w:val="bullet"/>
      <w:lvlText w:val="•"/>
      <w:lvlJc w:val="left"/>
      <w:pPr>
        <w:ind w:left="6692" w:hanging="836"/>
      </w:pPr>
      <w:rPr>
        <w:rFonts w:hint="default"/>
        <w:lang w:val="en-US" w:eastAsia="en-US" w:bidi="ar-SA"/>
      </w:rPr>
    </w:lvl>
    <w:lvl w:ilvl="6">
      <w:start w:val="0"/>
      <w:numFmt w:val="bullet"/>
      <w:lvlText w:val="•"/>
      <w:lvlJc w:val="left"/>
      <w:pPr>
        <w:ind w:left="7666" w:hanging="836"/>
      </w:pPr>
      <w:rPr>
        <w:rFonts w:hint="default"/>
        <w:lang w:val="en-US" w:eastAsia="en-US" w:bidi="ar-SA"/>
      </w:rPr>
    </w:lvl>
    <w:lvl w:ilvl="7">
      <w:start w:val="0"/>
      <w:numFmt w:val="bullet"/>
      <w:lvlText w:val="•"/>
      <w:lvlJc w:val="left"/>
      <w:pPr>
        <w:ind w:left="8640" w:hanging="836"/>
      </w:pPr>
      <w:rPr>
        <w:rFonts w:hint="default"/>
        <w:lang w:val="en-US" w:eastAsia="en-US" w:bidi="ar-SA"/>
      </w:rPr>
    </w:lvl>
    <w:lvl w:ilvl="8">
      <w:start w:val="0"/>
      <w:numFmt w:val="bullet"/>
      <w:lvlText w:val="•"/>
      <w:lvlJc w:val="left"/>
      <w:pPr>
        <w:ind w:left="9615" w:hanging="836"/>
      </w:pPr>
      <w:rPr>
        <w:rFonts w:hint="default"/>
        <w:lang w:val="en-US" w:eastAsia="en-US" w:bidi="ar-SA"/>
      </w:rPr>
    </w:lvl>
  </w:abstractNum>
  <w:abstractNum w:abstractNumId="21">
    <w:multiLevelType w:val="hybridMultilevel"/>
    <w:lvl w:ilvl="0">
      <w:start w:val="0"/>
      <w:numFmt w:val="bullet"/>
      <w:lvlText w:val="•"/>
      <w:lvlJc w:val="left"/>
      <w:pPr>
        <w:ind w:left="2569" w:hanging="358"/>
      </w:pPr>
      <w:rPr>
        <w:rFonts w:hint="default" w:ascii="Arial" w:hAnsi="Arial" w:eastAsia="Arial" w:cs="Arial"/>
        <w:b w:val="0"/>
        <w:bCs w:val="0"/>
        <w:i w:val="0"/>
        <w:iCs w:val="0"/>
        <w:color w:val="0C0C0C"/>
        <w:spacing w:val="0"/>
        <w:w w:val="99"/>
        <w:sz w:val="22"/>
        <w:szCs w:val="22"/>
        <w:lang w:val="en-US" w:eastAsia="en-US" w:bidi="ar-SA"/>
      </w:rPr>
    </w:lvl>
    <w:lvl w:ilvl="1">
      <w:start w:val="0"/>
      <w:numFmt w:val="bullet"/>
      <w:lvlText w:val="•"/>
      <w:lvlJc w:val="left"/>
      <w:pPr>
        <w:ind w:left="3460" w:hanging="358"/>
      </w:pPr>
      <w:rPr>
        <w:rFonts w:hint="default"/>
        <w:lang w:val="en-US" w:eastAsia="en-US" w:bidi="ar-SA"/>
      </w:rPr>
    </w:lvl>
    <w:lvl w:ilvl="2">
      <w:start w:val="0"/>
      <w:numFmt w:val="bullet"/>
      <w:lvlText w:val="•"/>
      <w:lvlJc w:val="left"/>
      <w:pPr>
        <w:ind w:left="4360" w:hanging="358"/>
      </w:pPr>
      <w:rPr>
        <w:rFonts w:hint="default"/>
        <w:lang w:val="en-US" w:eastAsia="en-US" w:bidi="ar-SA"/>
      </w:rPr>
    </w:lvl>
    <w:lvl w:ilvl="3">
      <w:start w:val="0"/>
      <w:numFmt w:val="bullet"/>
      <w:lvlText w:val="•"/>
      <w:lvlJc w:val="left"/>
      <w:pPr>
        <w:ind w:left="5261" w:hanging="358"/>
      </w:pPr>
      <w:rPr>
        <w:rFonts w:hint="default"/>
        <w:lang w:val="en-US" w:eastAsia="en-US" w:bidi="ar-SA"/>
      </w:rPr>
    </w:lvl>
    <w:lvl w:ilvl="4">
      <w:start w:val="0"/>
      <w:numFmt w:val="bullet"/>
      <w:lvlText w:val="•"/>
      <w:lvlJc w:val="left"/>
      <w:pPr>
        <w:ind w:left="6161" w:hanging="358"/>
      </w:pPr>
      <w:rPr>
        <w:rFonts w:hint="default"/>
        <w:lang w:val="en-US" w:eastAsia="en-US" w:bidi="ar-SA"/>
      </w:rPr>
    </w:lvl>
    <w:lvl w:ilvl="5">
      <w:start w:val="0"/>
      <w:numFmt w:val="bullet"/>
      <w:lvlText w:val="•"/>
      <w:lvlJc w:val="left"/>
      <w:pPr>
        <w:ind w:left="7062" w:hanging="358"/>
      </w:pPr>
      <w:rPr>
        <w:rFonts w:hint="default"/>
        <w:lang w:val="en-US" w:eastAsia="en-US" w:bidi="ar-SA"/>
      </w:rPr>
    </w:lvl>
    <w:lvl w:ilvl="6">
      <w:start w:val="0"/>
      <w:numFmt w:val="bullet"/>
      <w:lvlText w:val="•"/>
      <w:lvlJc w:val="left"/>
      <w:pPr>
        <w:ind w:left="7962" w:hanging="358"/>
      </w:pPr>
      <w:rPr>
        <w:rFonts w:hint="default"/>
        <w:lang w:val="en-US" w:eastAsia="en-US" w:bidi="ar-SA"/>
      </w:rPr>
    </w:lvl>
    <w:lvl w:ilvl="7">
      <w:start w:val="0"/>
      <w:numFmt w:val="bullet"/>
      <w:lvlText w:val="•"/>
      <w:lvlJc w:val="left"/>
      <w:pPr>
        <w:ind w:left="8862" w:hanging="358"/>
      </w:pPr>
      <w:rPr>
        <w:rFonts w:hint="default"/>
        <w:lang w:val="en-US" w:eastAsia="en-US" w:bidi="ar-SA"/>
      </w:rPr>
    </w:lvl>
    <w:lvl w:ilvl="8">
      <w:start w:val="0"/>
      <w:numFmt w:val="bullet"/>
      <w:lvlText w:val="•"/>
      <w:lvlJc w:val="left"/>
      <w:pPr>
        <w:ind w:left="9763" w:hanging="358"/>
      </w:pPr>
      <w:rPr>
        <w:rFonts w:hint="default"/>
        <w:lang w:val="en-US" w:eastAsia="en-US" w:bidi="ar-SA"/>
      </w:rPr>
    </w:lvl>
  </w:abstractNum>
  <w:abstractNum w:abstractNumId="20">
    <w:multiLevelType w:val="hybridMultilevel"/>
    <w:lvl w:ilvl="0">
      <w:start w:val="5"/>
      <w:numFmt w:val="decimal"/>
      <w:lvlText w:val="%1"/>
      <w:lvlJc w:val="left"/>
      <w:pPr>
        <w:ind w:left="2249" w:hanging="716"/>
        <w:jc w:val="left"/>
      </w:pPr>
      <w:rPr>
        <w:rFonts w:hint="default"/>
        <w:lang w:val="en-US" w:eastAsia="en-US" w:bidi="ar-SA"/>
      </w:rPr>
    </w:lvl>
    <w:lvl w:ilvl="1">
      <w:start w:val="27"/>
      <w:numFmt w:val="decimal"/>
      <w:lvlText w:val="%1.%2"/>
      <w:lvlJc w:val="left"/>
      <w:pPr>
        <w:ind w:left="2249" w:hanging="716"/>
        <w:jc w:val="right"/>
      </w:pPr>
      <w:rPr>
        <w:rFonts w:hint="default"/>
        <w:spacing w:val="-1"/>
        <w:w w:val="101"/>
        <w:lang w:val="en-US" w:eastAsia="en-US" w:bidi="ar-SA"/>
      </w:rPr>
    </w:lvl>
    <w:lvl w:ilvl="2">
      <w:start w:val="1"/>
      <w:numFmt w:val="decimal"/>
      <w:lvlText w:val="%1.%2.%3"/>
      <w:lvlJc w:val="left"/>
      <w:pPr>
        <w:ind w:left="2369" w:hanging="855"/>
        <w:jc w:val="right"/>
      </w:pPr>
      <w:rPr>
        <w:rFonts w:hint="default"/>
        <w:spacing w:val="-1"/>
        <w:w w:val="102"/>
        <w:lang w:val="en-US" w:eastAsia="en-US" w:bidi="ar-SA"/>
      </w:rPr>
    </w:lvl>
    <w:lvl w:ilvl="3">
      <w:start w:val="0"/>
      <w:numFmt w:val="bullet"/>
      <w:lvlText w:val="•"/>
      <w:lvlJc w:val="left"/>
      <w:pPr>
        <w:ind w:left="3515" w:hanging="855"/>
      </w:pPr>
      <w:rPr>
        <w:rFonts w:hint="default"/>
        <w:lang w:val="en-US" w:eastAsia="en-US" w:bidi="ar-SA"/>
      </w:rPr>
    </w:lvl>
    <w:lvl w:ilvl="4">
      <w:start w:val="0"/>
      <w:numFmt w:val="bullet"/>
      <w:lvlText w:val="•"/>
      <w:lvlJc w:val="left"/>
      <w:pPr>
        <w:ind w:left="4671" w:hanging="855"/>
      </w:pPr>
      <w:rPr>
        <w:rFonts w:hint="default"/>
        <w:lang w:val="en-US" w:eastAsia="en-US" w:bidi="ar-SA"/>
      </w:rPr>
    </w:lvl>
    <w:lvl w:ilvl="5">
      <w:start w:val="0"/>
      <w:numFmt w:val="bullet"/>
      <w:lvlText w:val="•"/>
      <w:lvlJc w:val="left"/>
      <w:pPr>
        <w:ind w:left="5826" w:hanging="855"/>
      </w:pPr>
      <w:rPr>
        <w:rFonts w:hint="default"/>
        <w:lang w:val="en-US" w:eastAsia="en-US" w:bidi="ar-SA"/>
      </w:rPr>
    </w:lvl>
    <w:lvl w:ilvl="6">
      <w:start w:val="0"/>
      <w:numFmt w:val="bullet"/>
      <w:lvlText w:val="•"/>
      <w:lvlJc w:val="left"/>
      <w:pPr>
        <w:ind w:left="6982" w:hanging="855"/>
      </w:pPr>
      <w:rPr>
        <w:rFonts w:hint="default"/>
        <w:lang w:val="en-US" w:eastAsia="en-US" w:bidi="ar-SA"/>
      </w:rPr>
    </w:lvl>
    <w:lvl w:ilvl="7">
      <w:start w:val="0"/>
      <w:numFmt w:val="bullet"/>
      <w:lvlText w:val="•"/>
      <w:lvlJc w:val="left"/>
      <w:pPr>
        <w:ind w:left="8137" w:hanging="855"/>
      </w:pPr>
      <w:rPr>
        <w:rFonts w:hint="default"/>
        <w:lang w:val="en-US" w:eastAsia="en-US" w:bidi="ar-SA"/>
      </w:rPr>
    </w:lvl>
    <w:lvl w:ilvl="8">
      <w:start w:val="0"/>
      <w:numFmt w:val="bullet"/>
      <w:lvlText w:val="•"/>
      <w:lvlJc w:val="left"/>
      <w:pPr>
        <w:ind w:left="9293" w:hanging="855"/>
      </w:pPr>
      <w:rPr>
        <w:rFonts w:hint="default"/>
        <w:lang w:val="en-US" w:eastAsia="en-US" w:bidi="ar-SA"/>
      </w:rPr>
    </w:lvl>
  </w:abstractNum>
  <w:abstractNum w:abstractNumId="19">
    <w:multiLevelType w:val="hybridMultilevel"/>
    <w:lvl w:ilvl="0">
      <w:start w:val="0"/>
      <w:numFmt w:val="bullet"/>
      <w:lvlText w:val="•"/>
      <w:lvlJc w:val="left"/>
      <w:pPr>
        <w:ind w:left="2023" w:hanging="357"/>
      </w:pPr>
      <w:rPr>
        <w:rFonts w:hint="default" w:ascii="Arial" w:hAnsi="Arial" w:eastAsia="Arial" w:cs="Arial"/>
        <w:spacing w:val="0"/>
        <w:w w:val="103"/>
        <w:lang w:val="en-US" w:eastAsia="en-US" w:bidi="ar-SA"/>
      </w:rPr>
    </w:lvl>
    <w:lvl w:ilvl="1">
      <w:start w:val="0"/>
      <w:numFmt w:val="bullet"/>
      <w:lvlText w:val="•"/>
      <w:lvlJc w:val="left"/>
      <w:pPr>
        <w:ind w:left="2978" w:hanging="357"/>
      </w:pPr>
      <w:rPr>
        <w:rFonts w:hint="default"/>
        <w:lang w:val="en-US" w:eastAsia="en-US" w:bidi="ar-SA"/>
      </w:rPr>
    </w:lvl>
    <w:lvl w:ilvl="2">
      <w:start w:val="0"/>
      <w:numFmt w:val="bullet"/>
      <w:lvlText w:val="•"/>
      <w:lvlJc w:val="left"/>
      <w:pPr>
        <w:ind w:left="3936" w:hanging="357"/>
      </w:pPr>
      <w:rPr>
        <w:rFonts w:hint="default"/>
        <w:lang w:val="en-US" w:eastAsia="en-US" w:bidi="ar-SA"/>
      </w:rPr>
    </w:lvl>
    <w:lvl w:ilvl="3">
      <w:start w:val="0"/>
      <w:numFmt w:val="bullet"/>
      <w:lvlText w:val="•"/>
      <w:lvlJc w:val="left"/>
      <w:pPr>
        <w:ind w:left="4895" w:hanging="357"/>
      </w:pPr>
      <w:rPr>
        <w:rFonts w:hint="default"/>
        <w:lang w:val="en-US" w:eastAsia="en-US" w:bidi="ar-SA"/>
      </w:rPr>
    </w:lvl>
    <w:lvl w:ilvl="4">
      <w:start w:val="0"/>
      <w:numFmt w:val="bullet"/>
      <w:lvlText w:val="•"/>
      <w:lvlJc w:val="left"/>
      <w:pPr>
        <w:ind w:left="5853" w:hanging="357"/>
      </w:pPr>
      <w:rPr>
        <w:rFonts w:hint="default"/>
        <w:lang w:val="en-US" w:eastAsia="en-US" w:bidi="ar-SA"/>
      </w:rPr>
    </w:lvl>
    <w:lvl w:ilvl="5">
      <w:start w:val="0"/>
      <w:numFmt w:val="bullet"/>
      <w:lvlText w:val="•"/>
      <w:lvlJc w:val="left"/>
      <w:pPr>
        <w:ind w:left="6812" w:hanging="357"/>
      </w:pPr>
      <w:rPr>
        <w:rFonts w:hint="default"/>
        <w:lang w:val="en-US" w:eastAsia="en-US" w:bidi="ar-SA"/>
      </w:rPr>
    </w:lvl>
    <w:lvl w:ilvl="6">
      <w:start w:val="0"/>
      <w:numFmt w:val="bullet"/>
      <w:lvlText w:val="•"/>
      <w:lvlJc w:val="left"/>
      <w:pPr>
        <w:ind w:left="7770" w:hanging="357"/>
      </w:pPr>
      <w:rPr>
        <w:rFonts w:hint="default"/>
        <w:lang w:val="en-US" w:eastAsia="en-US" w:bidi="ar-SA"/>
      </w:rPr>
    </w:lvl>
    <w:lvl w:ilvl="7">
      <w:start w:val="0"/>
      <w:numFmt w:val="bullet"/>
      <w:lvlText w:val="•"/>
      <w:lvlJc w:val="left"/>
      <w:pPr>
        <w:ind w:left="8728" w:hanging="357"/>
      </w:pPr>
      <w:rPr>
        <w:rFonts w:hint="default"/>
        <w:lang w:val="en-US" w:eastAsia="en-US" w:bidi="ar-SA"/>
      </w:rPr>
    </w:lvl>
    <w:lvl w:ilvl="8">
      <w:start w:val="0"/>
      <w:numFmt w:val="bullet"/>
      <w:lvlText w:val="•"/>
      <w:lvlJc w:val="left"/>
      <w:pPr>
        <w:ind w:left="9687" w:hanging="357"/>
      </w:pPr>
      <w:rPr>
        <w:rFonts w:hint="default"/>
        <w:lang w:val="en-US" w:eastAsia="en-US" w:bidi="ar-SA"/>
      </w:rPr>
    </w:lvl>
  </w:abstractNum>
  <w:abstractNum w:abstractNumId="18">
    <w:multiLevelType w:val="hybridMultilevel"/>
    <w:lvl w:ilvl="0">
      <w:start w:val="5"/>
      <w:numFmt w:val="decimal"/>
      <w:lvlText w:val="%1"/>
      <w:lvlJc w:val="left"/>
      <w:pPr>
        <w:ind w:left="2009" w:hanging="721"/>
        <w:jc w:val="left"/>
      </w:pPr>
      <w:rPr>
        <w:rFonts w:hint="default"/>
        <w:lang w:val="en-US" w:eastAsia="en-US" w:bidi="ar-SA"/>
      </w:rPr>
    </w:lvl>
    <w:lvl w:ilvl="1">
      <w:start w:val="23"/>
      <w:numFmt w:val="decimal"/>
      <w:lvlText w:val="%1.%2"/>
      <w:lvlJc w:val="left"/>
      <w:pPr>
        <w:ind w:left="2009" w:hanging="721"/>
        <w:jc w:val="right"/>
      </w:pPr>
      <w:rPr>
        <w:rFonts w:hint="default"/>
        <w:spacing w:val="-1"/>
        <w:w w:val="105"/>
        <w:lang w:val="en-US" w:eastAsia="en-US" w:bidi="ar-SA"/>
      </w:rPr>
    </w:lvl>
    <w:lvl w:ilvl="2">
      <w:start w:val="0"/>
      <w:numFmt w:val="bullet"/>
      <w:lvlText w:val="•"/>
      <w:lvlJc w:val="left"/>
      <w:pPr>
        <w:ind w:left="3920" w:hanging="721"/>
      </w:pPr>
      <w:rPr>
        <w:rFonts w:hint="default"/>
        <w:lang w:val="en-US" w:eastAsia="en-US" w:bidi="ar-SA"/>
      </w:rPr>
    </w:lvl>
    <w:lvl w:ilvl="3">
      <w:start w:val="0"/>
      <w:numFmt w:val="bullet"/>
      <w:lvlText w:val="•"/>
      <w:lvlJc w:val="left"/>
      <w:pPr>
        <w:ind w:left="4881" w:hanging="721"/>
      </w:pPr>
      <w:rPr>
        <w:rFonts w:hint="default"/>
        <w:lang w:val="en-US" w:eastAsia="en-US" w:bidi="ar-SA"/>
      </w:rPr>
    </w:lvl>
    <w:lvl w:ilvl="4">
      <w:start w:val="0"/>
      <w:numFmt w:val="bullet"/>
      <w:lvlText w:val="•"/>
      <w:lvlJc w:val="left"/>
      <w:pPr>
        <w:ind w:left="5841" w:hanging="721"/>
      </w:pPr>
      <w:rPr>
        <w:rFonts w:hint="default"/>
        <w:lang w:val="en-US" w:eastAsia="en-US" w:bidi="ar-SA"/>
      </w:rPr>
    </w:lvl>
    <w:lvl w:ilvl="5">
      <w:start w:val="0"/>
      <w:numFmt w:val="bullet"/>
      <w:lvlText w:val="•"/>
      <w:lvlJc w:val="left"/>
      <w:pPr>
        <w:ind w:left="6802" w:hanging="721"/>
      </w:pPr>
      <w:rPr>
        <w:rFonts w:hint="default"/>
        <w:lang w:val="en-US" w:eastAsia="en-US" w:bidi="ar-SA"/>
      </w:rPr>
    </w:lvl>
    <w:lvl w:ilvl="6">
      <w:start w:val="0"/>
      <w:numFmt w:val="bullet"/>
      <w:lvlText w:val="•"/>
      <w:lvlJc w:val="left"/>
      <w:pPr>
        <w:ind w:left="7762" w:hanging="721"/>
      </w:pPr>
      <w:rPr>
        <w:rFonts w:hint="default"/>
        <w:lang w:val="en-US" w:eastAsia="en-US" w:bidi="ar-SA"/>
      </w:rPr>
    </w:lvl>
    <w:lvl w:ilvl="7">
      <w:start w:val="0"/>
      <w:numFmt w:val="bullet"/>
      <w:lvlText w:val="•"/>
      <w:lvlJc w:val="left"/>
      <w:pPr>
        <w:ind w:left="8722" w:hanging="721"/>
      </w:pPr>
      <w:rPr>
        <w:rFonts w:hint="default"/>
        <w:lang w:val="en-US" w:eastAsia="en-US" w:bidi="ar-SA"/>
      </w:rPr>
    </w:lvl>
    <w:lvl w:ilvl="8">
      <w:start w:val="0"/>
      <w:numFmt w:val="bullet"/>
      <w:lvlText w:val="•"/>
      <w:lvlJc w:val="left"/>
      <w:pPr>
        <w:ind w:left="9683" w:hanging="721"/>
      </w:pPr>
      <w:rPr>
        <w:rFonts w:hint="default"/>
        <w:lang w:val="en-US" w:eastAsia="en-US" w:bidi="ar-SA"/>
      </w:rPr>
    </w:lvl>
  </w:abstractNum>
  <w:abstractNum w:abstractNumId="17">
    <w:multiLevelType w:val="hybridMultilevel"/>
    <w:lvl w:ilvl="0">
      <w:start w:val="0"/>
      <w:numFmt w:val="bullet"/>
      <w:lvlText w:val="•"/>
      <w:lvlJc w:val="left"/>
      <w:pPr>
        <w:ind w:left="2013" w:hanging="352"/>
      </w:pPr>
      <w:rPr>
        <w:rFonts w:hint="default" w:ascii="Arial" w:hAnsi="Arial" w:eastAsia="Arial" w:cs="Arial"/>
        <w:spacing w:val="0"/>
        <w:w w:val="105"/>
        <w:lang w:val="en-US" w:eastAsia="en-US" w:bidi="ar-SA"/>
      </w:rPr>
    </w:lvl>
    <w:lvl w:ilvl="1">
      <w:start w:val="0"/>
      <w:numFmt w:val="bullet"/>
      <w:lvlText w:val="•"/>
      <w:lvlJc w:val="left"/>
      <w:pPr>
        <w:ind w:left="2978" w:hanging="352"/>
      </w:pPr>
      <w:rPr>
        <w:rFonts w:hint="default"/>
        <w:lang w:val="en-US" w:eastAsia="en-US" w:bidi="ar-SA"/>
      </w:rPr>
    </w:lvl>
    <w:lvl w:ilvl="2">
      <w:start w:val="0"/>
      <w:numFmt w:val="bullet"/>
      <w:lvlText w:val="•"/>
      <w:lvlJc w:val="left"/>
      <w:pPr>
        <w:ind w:left="3936" w:hanging="352"/>
      </w:pPr>
      <w:rPr>
        <w:rFonts w:hint="default"/>
        <w:lang w:val="en-US" w:eastAsia="en-US" w:bidi="ar-SA"/>
      </w:rPr>
    </w:lvl>
    <w:lvl w:ilvl="3">
      <w:start w:val="0"/>
      <w:numFmt w:val="bullet"/>
      <w:lvlText w:val="•"/>
      <w:lvlJc w:val="left"/>
      <w:pPr>
        <w:ind w:left="4895" w:hanging="352"/>
      </w:pPr>
      <w:rPr>
        <w:rFonts w:hint="default"/>
        <w:lang w:val="en-US" w:eastAsia="en-US" w:bidi="ar-SA"/>
      </w:rPr>
    </w:lvl>
    <w:lvl w:ilvl="4">
      <w:start w:val="0"/>
      <w:numFmt w:val="bullet"/>
      <w:lvlText w:val="•"/>
      <w:lvlJc w:val="left"/>
      <w:pPr>
        <w:ind w:left="5853" w:hanging="352"/>
      </w:pPr>
      <w:rPr>
        <w:rFonts w:hint="default"/>
        <w:lang w:val="en-US" w:eastAsia="en-US" w:bidi="ar-SA"/>
      </w:rPr>
    </w:lvl>
    <w:lvl w:ilvl="5">
      <w:start w:val="0"/>
      <w:numFmt w:val="bullet"/>
      <w:lvlText w:val="•"/>
      <w:lvlJc w:val="left"/>
      <w:pPr>
        <w:ind w:left="6812" w:hanging="352"/>
      </w:pPr>
      <w:rPr>
        <w:rFonts w:hint="default"/>
        <w:lang w:val="en-US" w:eastAsia="en-US" w:bidi="ar-SA"/>
      </w:rPr>
    </w:lvl>
    <w:lvl w:ilvl="6">
      <w:start w:val="0"/>
      <w:numFmt w:val="bullet"/>
      <w:lvlText w:val="•"/>
      <w:lvlJc w:val="left"/>
      <w:pPr>
        <w:ind w:left="7770" w:hanging="352"/>
      </w:pPr>
      <w:rPr>
        <w:rFonts w:hint="default"/>
        <w:lang w:val="en-US" w:eastAsia="en-US" w:bidi="ar-SA"/>
      </w:rPr>
    </w:lvl>
    <w:lvl w:ilvl="7">
      <w:start w:val="0"/>
      <w:numFmt w:val="bullet"/>
      <w:lvlText w:val="•"/>
      <w:lvlJc w:val="left"/>
      <w:pPr>
        <w:ind w:left="8728" w:hanging="352"/>
      </w:pPr>
      <w:rPr>
        <w:rFonts w:hint="default"/>
        <w:lang w:val="en-US" w:eastAsia="en-US" w:bidi="ar-SA"/>
      </w:rPr>
    </w:lvl>
    <w:lvl w:ilvl="8">
      <w:start w:val="0"/>
      <w:numFmt w:val="bullet"/>
      <w:lvlText w:val="•"/>
      <w:lvlJc w:val="left"/>
      <w:pPr>
        <w:ind w:left="9687" w:hanging="352"/>
      </w:pPr>
      <w:rPr>
        <w:rFonts w:hint="default"/>
        <w:lang w:val="en-US" w:eastAsia="en-US" w:bidi="ar-SA"/>
      </w:rPr>
    </w:lvl>
  </w:abstractNum>
  <w:abstractNum w:abstractNumId="16">
    <w:multiLevelType w:val="hybridMultilevel"/>
    <w:lvl w:ilvl="0">
      <w:start w:val="1"/>
      <w:numFmt w:val="decimal"/>
      <w:lvlText w:val="%1)"/>
      <w:lvlJc w:val="left"/>
      <w:pPr>
        <w:ind w:left="1907" w:hanging="262"/>
        <w:jc w:val="right"/>
      </w:pPr>
      <w:rPr>
        <w:rFonts w:hint="default"/>
        <w:spacing w:val="-1"/>
        <w:w w:val="110"/>
        <w:lang w:val="en-US" w:eastAsia="en-US" w:bidi="ar-SA"/>
      </w:rPr>
    </w:lvl>
    <w:lvl w:ilvl="1">
      <w:start w:val="0"/>
      <w:numFmt w:val="bullet"/>
      <w:lvlText w:val="•"/>
      <w:lvlJc w:val="left"/>
      <w:pPr>
        <w:ind w:left="2357" w:hanging="362"/>
      </w:pPr>
      <w:rPr>
        <w:rFonts w:hint="default" w:ascii="Arial" w:hAnsi="Arial" w:eastAsia="Arial" w:cs="Arial"/>
        <w:b w:val="0"/>
        <w:bCs w:val="0"/>
        <w:i w:val="0"/>
        <w:iCs w:val="0"/>
        <w:color w:val="0E0E0E"/>
        <w:spacing w:val="0"/>
        <w:w w:val="98"/>
        <w:sz w:val="22"/>
        <w:szCs w:val="22"/>
        <w:lang w:val="en-US" w:eastAsia="en-US" w:bidi="ar-SA"/>
      </w:rPr>
    </w:lvl>
    <w:lvl w:ilvl="2">
      <w:start w:val="0"/>
      <w:numFmt w:val="bullet"/>
      <w:lvlText w:val="•"/>
      <w:lvlJc w:val="left"/>
      <w:pPr>
        <w:ind w:left="2280" w:hanging="362"/>
      </w:pPr>
      <w:rPr>
        <w:rFonts w:hint="default"/>
        <w:lang w:val="en-US" w:eastAsia="en-US" w:bidi="ar-SA"/>
      </w:rPr>
    </w:lvl>
    <w:lvl w:ilvl="3">
      <w:start w:val="0"/>
      <w:numFmt w:val="bullet"/>
      <w:lvlText w:val="•"/>
      <w:lvlJc w:val="left"/>
      <w:pPr>
        <w:ind w:left="2360" w:hanging="362"/>
      </w:pPr>
      <w:rPr>
        <w:rFonts w:hint="default"/>
        <w:lang w:val="en-US" w:eastAsia="en-US" w:bidi="ar-SA"/>
      </w:rPr>
    </w:lvl>
    <w:lvl w:ilvl="4">
      <w:start w:val="0"/>
      <w:numFmt w:val="bullet"/>
      <w:lvlText w:val="•"/>
      <w:lvlJc w:val="left"/>
      <w:pPr>
        <w:ind w:left="3706" w:hanging="362"/>
      </w:pPr>
      <w:rPr>
        <w:rFonts w:hint="default"/>
        <w:lang w:val="en-US" w:eastAsia="en-US" w:bidi="ar-SA"/>
      </w:rPr>
    </w:lvl>
    <w:lvl w:ilvl="5">
      <w:start w:val="0"/>
      <w:numFmt w:val="bullet"/>
      <w:lvlText w:val="•"/>
      <w:lvlJc w:val="left"/>
      <w:pPr>
        <w:ind w:left="5052" w:hanging="362"/>
      </w:pPr>
      <w:rPr>
        <w:rFonts w:hint="default"/>
        <w:lang w:val="en-US" w:eastAsia="en-US" w:bidi="ar-SA"/>
      </w:rPr>
    </w:lvl>
    <w:lvl w:ilvl="6">
      <w:start w:val="0"/>
      <w:numFmt w:val="bullet"/>
      <w:lvlText w:val="•"/>
      <w:lvlJc w:val="left"/>
      <w:pPr>
        <w:ind w:left="6398" w:hanging="362"/>
      </w:pPr>
      <w:rPr>
        <w:rFonts w:hint="default"/>
        <w:lang w:val="en-US" w:eastAsia="en-US" w:bidi="ar-SA"/>
      </w:rPr>
    </w:lvl>
    <w:lvl w:ilvl="7">
      <w:start w:val="0"/>
      <w:numFmt w:val="bullet"/>
      <w:lvlText w:val="•"/>
      <w:lvlJc w:val="left"/>
      <w:pPr>
        <w:ind w:left="7745" w:hanging="362"/>
      </w:pPr>
      <w:rPr>
        <w:rFonts w:hint="default"/>
        <w:lang w:val="en-US" w:eastAsia="en-US" w:bidi="ar-SA"/>
      </w:rPr>
    </w:lvl>
    <w:lvl w:ilvl="8">
      <w:start w:val="0"/>
      <w:numFmt w:val="bullet"/>
      <w:lvlText w:val="•"/>
      <w:lvlJc w:val="left"/>
      <w:pPr>
        <w:ind w:left="9091" w:hanging="362"/>
      </w:pPr>
      <w:rPr>
        <w:rFonts w:hint="default"/>
        <w:lang w:val="en-US" w:eastAsia="en-US" w:bidi="ar-SA"/>
      </w:rPr>
    </w:lvl>
  </w:abstractNum>
  <w:abstractNum w:abstractNumId="15">
    <w:multiLevelType w:val="hybridMultilevel"/>
    <w:lvl w:ilvl="0">
      <w:start w:val="5"/>
      <w:numFmt w:val="decimal"/>
      <w:lvlText w:val="%1"/>
      <w:lvlJc w:val="left"/>
      <w:pPr>
        <w:ind w:left="2367" w:hanging="721"/>
        <w:jc w:val="left"/>
      </w:pPr>
      <w:rPr>
        <w:rFonts w:hint="default" w:ascii="Arial" w:hAnsi="Arial" w:eastAsia="Arial" w:cs="Arial"/>
        <w:b w:val="0"/>
        <w:bCs w:val="0"/>
        <w:i w:val="0"/>
        <w:iCs w:val="0"/>
        <w:color w:val="A8A8A8"/>
        <w:spacing w:val="0"/>
        <w:w w:val="93"/>
        <w:sz w:val="15"/>
        <w:szCs w:val="15"/>
        <w:lang w:val="en-US" w:eastAsia="en-US" w:bidi="ar-SA"/>
      </w:rPr>
    </w:lvl>
    <w:lvl w:ilvl="1">
      <w:start w:val="15"/>
      <w:numFmt w:val="decimal"/>
      <w:lvlText w:val="%1.%2"/>
      <w:lvlJc w:val="left"/>
      <w:pPr>
        <w:ind w:left="2363" w:hanging="735"/>
        <w:jc w:val="right"/>
      </w:pPr>
      <w:rPr>
        <w:rFonts w:hint="default"/>
        <w:spacing w:val="-1"/>
        <w:w w:val="107"/>
        <w:lang w:val="en-US" w:eastAsia="en-US" w:bidi="ar-SA"/>
      </w:rPr>
    </w:lvl>
    <w:lvl w:ilvl="2">
      <w:start w:val="1"/>
      <w:numFmt w:val="decimal"/>
      <w:lvlText w:val="%1.%2.%3"/>
      <w:lvlJc w:val="left"/>
      <w:pPr>
        <w:ind w:left="2091" w:hanging="793"/>
        <w:jc w:val="left"/>
      </w:pPr>
      <w:rPr>
        <w:rFonts w:hint="default"/>
        <w:spacing w:val="-4"/>
        <w:w w:val="104"/>
        <w:lang w:val="en-US" w:eastAsia="en-US" w:bidi="ar-SA"/>
      </w:rPr>
    </w:lvl>
    <w:lvl w:ilvl="3">
      <w:start w:val="0"/>
      <w:numFmt w:val="bullet"/>
      <w:lvlText w:val="•"/>
      <w:lvlJc w:val="left"/>
      <w:pPr>
        <w:ind w:left="2360" w:hanging="793"/>
      </w:pPr>
      <w:rPr>
        <w:rFonts w:hint="default"/>
        <w:lang w:val="en-US" w:eastAsia="en-US" w:bidi="ar-SA"/>
      </w:rPr>
    </w:lvl>
    <w:lvl w:ilvl="4">
      <w:start w:val="0"/>
      <w:numFmt w:val="bullet"/>
      <w:lvlText w:val="•"/>
      <w:lvlJc w:val="left"/>
      <w:pPr>
        <w:ind w:left="2597" w:hanging="793"/>
      </w:pPr>
      <w:rPr>
        <w:rFonts w:hint="default"/>
        <w:lang w:val="en-US" w:eastAsia="en-US" w:bidi="ar-SA"/>
      </w:rPr>
    </w:lvl>
    <w:lvl w:ilvl="5">
      <w:start w:val="0"/>
      <w:numFmt w:val="bullet"/>
      <w:lvlText w:val="•"/>
      <w:lvlJc w:val="left"/>
      <w:pPr>
        <w:ind w:left="2834" w:hanging="793"/>
      </w:pPr>
      <w:rPr>
        <w:rFonts w:hint="default"/>
        <w:lang w:val="en-US" w:eastAsia="en-US" w:bidi="ar-SA"/>
      </w:rPr>
    </w:lvl>
    <w:lvl w:ilvl="6">
      <w:start w:val="0"/>
      <w:numFmt w:val="bullet"/>
      <w:lvlText w:val="•"/>
      <w:lvlJc w:val="left"/>
      <w:pPr>
        <w:ind w:left="3071" w:hanging="793"/>
      </w:pPr>
      <w:rPr>
        <w:rFonts w:hint="default"/>
        <w:lang w:val="en-US" w:eastAsia="en-US" w:bidi="ar-SA"/>
      </w:rPr>
    </w:lvl>
    <w:lvl w:ilvl="7">
      <w:start w:val="0"/>
      <w:numFmt w:val="bullet"/>
      <w:lvlText w:val="•"/>
      <w:lvlJc w:val="left"/>
      <w:pPr>
        <w:ind w:left="3308" w:hanging="793"/>
      </w:pPr>
      <w:rPr>
        <w:rFonts w:hint="default"/>
        <w:lang w:val="en-US" w:eastAsia="en-US" w:bidi="ar-SA"/>
      </w:rPr>
    </w:lvl>
    <w:lvl w:ilvl="8">
      <w:start w:val="0"/>
      <w:numFmt w:val="bullet"/>
      <w:lvlText w:val="•"/>
      <w:lvlJc w:val="left"/>
      <w:pPr>
        <w:ind w:left="3545" w:hanging="793"/>
      </w:pPr>
      <w:rPr>
        <w:rFonts w:hint="default"/>
        <w:lang w:val="en-US" w:eastAsia="en-US" w:bidi="ar-SA"/>
      </w:rPr>
    </w:lvl>
  </w:abstractNum>
  <w:abstractNum w:abstractNumId="14">
    <w:multiLevelType w:val="hybridMultilevel"/>
    <w:lvl w:ilvl="0">
      <w:start w:val="1"/>
      <w:numFmt w:val="lowerRoman"/>
      <w:lvlText w:val="(%1)"/>
      <w:lvlJc w:val="left"/>
      <w:pPr>
        <w:ind w:left="2711" w:hanging="380"/>
        <w:jc w:val="right"/>
      </w:pPr>
      <w:rPr>
        <w:rFonts w:hint="default"/>
        <w:spacing w:val="-1"/>
        <w:w w:val="104"/>
        <w:lang w:val="en-US" w:eastAsia="en-US" w:bidi="ar-SA"/>
      </w:rPr>
    </w:lvl>
    <w:lvl w:ilvl="1">
      <w:start w:val="0"/>
      <w:numFmt w:val="bullet"/>
      <w:lvlText w:val="•"/>
      <w:lvlJc w:val="left"/>
      <w:pPr>
        <w:ind w:left="3626" w:hanging="380"/>
      </w:pPr>
      <w:rPr>
        <w:rFonts w:hint="default"/>
        <w:lang w:val="en-US" w:eastAsia="en-US" w:bidi="ar-SA"/>
      </w:rPr>
    </w:lvl>
    <w:lvl w:ilvl="2">
      <w:start w:val="0"/>
      <w:numFmt w:val="bullet"/>
      <w:lvlText w:val="•"/>
      <w:lvlJc w:val="left"/>
      <w:pPr>
        <w:ind w:left="4532" w:hanging="380"/>
      </w:pPr>
      <w:rPr>
        <w:rFonts w:hint="default"/>
        <w:lang w:val="en-US" w:eastAsia="en-US" w:bidi="ar-SA"/>
      </w:rPr>
    </w:lvl>
    <w:lvl w:ilvl="3">
      <w:start w:val="0"/>
      <w:numFmt w:val="bullet"/>
      <w:lvlText w:val="•"/>
      <w:lvlJc w:val="left"/>
      <w:pPr>
        <w:ind w:left="5439" w:hanging="380"/>
      </w:pPr>
      <w:rPr>
        <w:rFonts w:hint="default"/>
        <w:lang w:val="en-US" w:eastAsia="en-US" w:bidi="ar-SA"/>
      </w:rPr>
    </w:lvl>
    <w:lvl w:ilvl="4">
      <w:start w:val="0"/>
      <w:numFmt w:val="bullet"/>
      <w:lvlText w:val="•"/>
      <w:lvlJc w:val="left"/>
      <w:pPr>
        <w:ind w:left="6345" w:hanging="380"/>
      </w:pPr>
      <w:rPr>
        <w:rFonts w:hint="default"/>
        <w:lang w:val="en-US" w:eastAsia="en-US" w:bidi="ar-SA"/>
      </w:rPr>
    </w:lvl>
    <w:lvl w:ilvl="5">
      <w:start w:val="0"/>
      <w:numFmt w:val="bullet"/>
      <w:lvlText w:val="•"/>
      <w:lvlJc w:val="left"/>
      <w:pPr>
        <w:ind w:left="7252" w:hanging="380"/>
      </w:pPr>
      <w:rPr>
        <w:rFonts w:hint="default"/>
        <w:lang w:val="en-US" w:eastAsia="en-US" w:bidi="ar-SA"/>
      </w:rPr>
    </w:lvl>
    <w:lvl w:ilvl="6">
      <w:start w:val="0"/>
      <w:numFmt w:val="bullet"/>
      <w:lvlText w:val="•"/>
      <w:lvlJc w:val="left"/>
      <w:pPr>
        <w:ind w:left="8158" w:hanging="380"/>
      </w:pPr>
      <w:rPr>
        <w:rFonts w:hint="default"/>
        <w:lang w:val="en-US" w:eastAsia="en-US" w:bidi="ar-SA"/>
      </w:rPr>
    </w:lvl>
    <w:lvl w:ilvl="7">
      <w:start w:val="0"/>
      <w:numFmt w:val="bullet"/>
      <w:lvlText w:val="•"/>
      <w:lvlJc w:val="left"/>
      <w:pPr>
        <w:ind w:left="9064" w:hanging="380"/>
      </w:pPr>
      <w:rPr>
        <w:rFonts w:hint="default"/>
        <w:lang w:val="en-US" w:eastAsia="en-US" w:bidi="ar-SA"/>
      </w:rPr>
    </w:lvl>
    <w:lvl w:ilvl="8">
      <w:start w:val="0"/>
      <w:numFmt w:val="bullet"/>
      <w:lvlText w:val="•"/>
      <w:lvlJc w:val="left"/>
      <w:pPr>
        <w:ind w:left="9971" w:hanging="380"/>
      </w:pPr>
      <w:rPr>
        <w:rFonts w:hint="default"/>
        <w:lang w:val="en-US" w:eastAsia="en-US" w:bidi="ar-SA"/>
      </w:rPr>
    </w:lvl>
  </w:abstractNum>
  <w:abstractNum w:abstractNumId="13">
    <w:multiLevelType w:val="hybridMultilevel"/>
    <w:lvl w:ilvl="0">
      <w:start w:val="5"/>
      <w:numFmt w:val="decimal"/>
      <w:lvlText w:val="%1."/>
      <w:lvlJc w:val="left"/>
      <w:pPr>
        <w:ind w:left="2377" w:hanging="707"/>
        <w:jc w:val="left"/>
      </w:pPr>
      <w:rPr>
        <w:rFonts w:hint="default" w:ascii="Arial" w:hAnsi="Arial" w:eastAsia="Arial" w:cs="Arial"/>
        <w:b w:val="0"/>
        <w:bCs w:val="0"/>
        <w:i w:val="0"/>
        <w:iCs w:val="0"/>
        <w:color w:val="898989"/>
        <w:spacing w:val="-1"/>
        <w:w w:val="98"/>
        <w:sz w:val="15"/>
        <w:szCs w:val="15"/>
        <w:lang w:val="en-US" w:eastAsia="en-US" w:bidi="ar-SA"/>
      </w:rPr>
    </w:lvl>
    <w:lvl w:ilvl="1">
      <w:start w:val="0"/>
      <w:numFmt w:val="bullet"/>
      <w:lvlText w:val="•"/>
      <w:lvlJc w:val="left"/>
      <w:pPr>
        <w:ind w:left="2357" w:hanging="363"/>
      </w:pPr>
      <w:rPr>
        <w:rFonts w:hint="default" w:ascii="Arial" w:hAnsi="Arial" w:eastAsia="Arial" w:cs="Arial"/>
        <w:spacing w:val="0"/>
        <w:w w:val="100"/>
        <w:lang w:val="en-US" w:eastAsia="en-US" w:bidi="ar-SA"/>
      </w:rPr>
    </w:lvl>
    <w:lvl w:ilvl="2">
      <w:start w:val="0"/>
      <w:numFmt w:val="bullet"/>
      <w:lvlText w:val="•"/>
      <w:lvlJc w:val="left"/>
      <w:pPr>
        <w:ind w:left="3424" w:hanging="363"/>
      </w:pPr>
      <w:rPr>
        <w:rFonts w:hint="default"/>
        <w:lang w:val="en-US" w:eastAsia="en-US" w:bidi="ar-SA"/>
      </w:rPr>
    </w:lvl>
    <w:lvl w:ilvl="3">
      <w:start w:val="0"/>
      <w:numFmt w:val="bullet"/>
      <w:lvlText w:val="•"/>
      <w:lvlJc w:val="left"/>
      <w:pPr>
        <w:ind w:left="4469" w:hanging="363"/>
      </w:pPr>
      <w:rPr>
        <w:rFonts w:hint="default"/>
        <w:lang w:val="en-US" w:eastAsia="en-US" w:bidi="ar-SA"/>
      </w:rPr>
    </w:lvl>
    <w:lvl w:ilvl="4">
      <w:start w:val="0"/>
      <w:numFmt w:val="bullet"/>
      <w:lvlText w:val="•"/>
      <w:lvlJc w:val="left"/>
      <w:pPr>
        <w:ind w:left="5514" w:hanging="363"/>
      </w:pPr>
      <w:rPr>
        <w:rFonts w:hint="default"/>
        <w:lang w:val="en-US" w:eastAsia="en-US" w:bidi="ar-SA"/>
      </w:rPr>
    </w:lvl>
    <w:lvl w:ilvl="5">
      <w:start w:val="0"/>
      <w:numFmt w:val="bullet"/>
      <w:lvlText w:val="•"/>
      <w:lvlJc w:val="left"/>
      <w:pPr>
        <w:ind w:left="6559" w:hanging="363"/>
      </w:pPr>
      <w:rPr>
        <w:rFonts w:hint="default"/>
        <w:lang w:val="en-US" w:eastAsia="en-US" w:bidi="ar-SA"/>
      </w:rPr>
    </w:lvl>
    <w:lvl w:ilvl="6">
      <w:start w:val="0"/>
      <w:numFmt w:val="bullet"/>
      <w:lvlText w:val="•"/>
      <w:lvlJc w:val="left"/>
      <w:pPr>
        <w:ind w:left="7604" w:hanging="363"/>
      </w:pPr>
      <w:rPr>
        <w:rFonts w:hint="default"/>
        <w:lang w:val="en-US" w:eastAsia="en-US" w:bidi="ar-SA"/>
      </w:rPr>
    </w:lvl>
    <w:lvl w:ilvl="7">
      <w:start w:val="0"/>
      <w:numFmt w:val="bullet"/>
      <w:lvlText w:val="•"/>
      <w:lvlJc w:val="left"/>
      <w:pPr>
        <w:ind w:left="8649" w:hanging="363"/>
      </w:pPr>
      <w:rPr>
        <w:rFonts w:hint="default"/>
        <w:lang w:val="en-US" w:eastAsia="en-US" w:bidi="ar-SA"/>
      </w:rPr>
    </w:lvl>
    <w:lvl w:ilvl="8">
      <w:start w:val="0"/>
      <w:numFmt w:val="bullet"/>
      <w:lvlText w:val="•"/>
      <w:lvlJc w:val="left"/>
      <w:pPr>
        <w:ind w:left="9694" w:hanging="363"/>
      </w:pPr>
      <w:rPr>
        <w:rFonts w:hint="default"/>
        <w:lang w:val="en-US" w:eastAsia="en-US" w:bidi="ar-SA"/>
      </w:rPr>
    </w:lvl>
  </w:abstractNum>
  <w:abstractNum w:abstractNumId="12">
    <w:multiLevelType w:val="hybridMultilevel"/>
    <w:lvl w:ilvl="0">
      <w:start w:val="0"/>
      <w:numFmt w:val="bullet"/>
      <w:lvlText w:val="•"/>
      <w:lvlJc w:val="left"/>
      <w:pPr>
        <w:ind w:left="2131" w:hanging="356"/>
      </w:pPr>
      <w:rPr>
        <w:rFonts w:hint="default" w:ascii="Arial" w:hAnsi="Arial" w:eastAsia="Arial" w:cs="Arial"/>
        <w:spacing w:val="0"/>
        <w:w w:val="100"/>
        <w:lang w:val="en-US" w:eastAsia="en-US" w:bidi="ar-SA"/>
      </w:rPr>
    </w:lvl>
    <w:lvl w:ilvl="1">
      <w:start w:val="0"/>
      <w:numFmt w:val="bullet"/>
      <w:lvlText w:val="•"/>
      <w:lvlJc w:val="left"/>
      <w:pPr>
        <w:ind w:left="3104" w:hanging="356"/>
      </w:pPr>
      <w:rPr>
        <w:rFonts w:hint="default"/>
        <w:lang w:val="en-US" w:eastAsia="en-US" w:bidi="ar-SA"/>
      </w:rPr>
    </w:lvl>
    <w:lvl w:ilvl="2">
      <w:start w:val="0"/>
      <w:numFmt w:val="bullet"/>
      <w:lvlText w:val="•"/>
      <w:lvlJc w:val="left"/>
      <w:pPr>
        <w:ind w:left="4068" w:hanging="356"/>
      </w:pPr>
      <w:rPr>
        <w:rFonts w:hint="default"/>
        <w:lang w:val="en-US" w:eastAsia="en-US" w:bidi="ar-SA"/>
      </w:rPr>
    </w:lvl>
    <w:lvl w:ilvl="3">
      <w:start w:val="0"/>
      <w:numFmt w:val="bullet"/>
      <w:lvlText w:val="•"/>
      <w:lvlJc w:val="left"/>
      <w:pPr>
        <w:ind w:left="5033" w:hanging="356"/>
      </w:pPr>
      <w:rPr>
        <w:rFonts w:hint="default"/>
        <w:lang w:val="en-US" w:eastAsia="en-US" w:bidi="ar-SA"/>
      </w:rPr>
    </w:lvl>
    <w:lvl w:ilvl="4">
      <w:start w:val="0"/>
      <w:numFmt w:val="bullet"/>
      <w:lvlText w:val="•"/>
      <w:lvlJc w:val="left"/>
      <w:pPr>
        <w:ind w:left="5997" w:hanging="356"/>
      </w:pPr>
      <w:rPr>
        <w:rFonts w:hint="default"/>
        <w:lang w:val="en-US" w:eastAsia="en-US" w:bidi="ar-SA"/>
      </w:rPr>
    </w:lvl>
    <w:lvl w:ilvl="5">
      <w:start w:val="0"/>
      <w:numFmt w:val="bullet"/>
      <w:lvlText w:val="•"/>
      <w:lvlJc w:val="left"/>
      <w:pPr>
        <w:ind w:left="6962" w:hanging="356"/>
      </w:pPr>
      <w:rPr>
        <w:rFonts w:hint="default"/>
        <w:lang w:val="en-US" w:eastAsia="en-US" w:bidi="ar-SA"/>
      </w:rPr>
    </w:lvl>
    <w:lvl w:ilvl="6">
      <w:start w:val="0"/>
      <w:numFmt w:val="bullet"/>
      <w:lvlText w:val="•"/>
      <w:lvlJc w:val="left"/>
      <w:pPr>
        <w:ind w:left="7926" w:hanging="356"/>
      </w:pPr>
      <w:rPr>
        <w:rFonts w:hint="default"/>
        <w:lang w:val="en-US" w:eastAsia="en-US" w:bidi="ar-SA"/>
      </w:rPr>
    </w:lvl>
    <w:lvl w:ilvl="7">
      <w:start w:val="0"/>
      <w:numFmt w:val="bullet"/>
      <w:lvlText w:val="•"/>
      <w:lvlJc w:val="left"/>
      <w:pPr>
        <w:ind w:left="8890" w:hanging="356"/>
      </w:pPr>
      <w:rPr>
        <w:rFonts w:hint="default"/>
        <w:lang w:val="en-US" w:eastAsia="en-US" w:bidi="ar-SA"/>
      </w:rPr>
    </w:lvl>
    <w:lvl w:ilvl="8">
      <w:start w:val="0"/>
      <w:numFmt w:val="bullet"/>
      <w:lvlText w:val="•"/>
      <w:lvlJc w:val="left"/>
      <w:pPr>
        <w:ind w:left="9855" w:hanging="356"/>
      </w:pPr>
      <w:rPr>
        <w:rFonts w:hint="default"/>
        <w:lang w:val="en-US" w:eastAsia="en-US" w:bidi="ar-SA"/>
      </w:rPr>
    </w:lvl>
  </w:abstractNum>
  <w:abstractNum w:abstractNumId="11">
    <w:multiLevelType w:val="hybridMultilevel"/>
    <w:lvl w:ilvl="0">
      <w:start w:val="0"/>
      <w:numFmt w:val="bullet"/>
      <w:lvlText w:val="•"/>
      <w:lvlJc w:val="left"/>
      <w:pPr>
        <w:ind w:left="2428" w:hanging="353"/>
      </w:pPr>
      <w:rPr>
        <w:rFonts w:hint="default" w:ascii="Arial" w:hAnsi="Arial" w:eastAsia="Arial" w:cs="Arial"/>
        <w:b w:val="0"/>
        <w:bCs w:val="0"/>
        <w:i w:val="0"/>
        <w:iCs w:val="0"/>
        <w:color w:val="0E0E0E"/>
        <w:spacing w:val="0"/>
        <w:w w:val="99"/>
        <w:sz w:val="22"/>
        <w:szCs w:val="22"/>
        <w:lang w:val="en-US" w:eastAsia="en-US" w:bidi="ar-SA"/>
      </w:rPr>
    </w:lvl>
    <w:lvl w:ilvl="1">
      <w:start w:val="0"/>
      <w:numFmt w:val="bullet"/>
      <w:lvlText w:val="•"/>
      <w:lvlJc w:val="left"/>
      <w:pPr>
        <w:ind w:left="2420" w:hanging="353"/>
      </w:pPr>
      <w:rPr>
        <w:rFonts w:hint="default"/>
        <w:lang w:val="en-US" w:eastAsia="en-US" w:bidi="ar-SA"/>
      </w:rPr>
    </w:lvl>
    <w:lvl w:ilvl="2">
      <w:start w:val="0"/>
      <w:numFmt w:val="bullet"/>
      <w:lvlText w:val="•"/>
      <w:lvlJc w:val="left"/>
      <w:pPr>
        <w:ind w:left="3460" w:hanging="353"/>
      </w:pPr>
      <w:rPr>
        <w:rFonts w:hint="default"/>
        <w:lang w:val="en-US" w:eastAsia="en-US" w:bidi="ar-SA"/>
      </w:rPr>
    </w:lvl>
    <w:lvl w:ilvl="3">
      <w:start w:val="0"/>
      <w:numFmt w:val="bullet"/>
      <w:lvlText w:val="•"/>
      <w:lvlJc w:val="left"/>
      <w:pPr>
        <w:ind w:left="4500" w:hanging="353"/>
      </w:pPr>
      <w:rPr>
        <w:rFonts w:hint="default"/>
        <w:lang w:val="en-US" w:eastAsia="en-US" w:bidi="ar-SA"/>
      </w:rPr>
    </w:lvl>
    <w:lvl w:ilvl="4">
      <w:start w:val="0"/>
      <w:numFmt w:val="bullet"/>
      <w:lvlText w:val="•"/>
      <w:lvlJc w:val="left"/>
      <w:pPr>
        <w:ind w:left="5541" w:hanging="353"/>
      </w:pPr>
      <w:rPr>
        <w:rFonts w:hint="default"/>
        <w:lang w:val="en-US" w:eastAsia="en-US" w:bidi="ar-SA"/>
      </w:rPr>
    </w:lvl>
    <w:lvl w:ilvl="5">
      <w:start w:val="0"/>
      <w:numFmt w:val="bullet"/>
      <w:lvlText w:val="•"/>
      <w:lvlJc w:val="left"/>
      <w:pPr>
        <w:ind w:left="6581" w:hanging="353"/>
      </w:pPr>
      <w:rPr>
        <w:rFonts w:hint="default"/>
        <w:lang w:val="en-US" w:eastAsia="en-US" w:bidi="ar-SA"/>
      </w:rPr>
    </w:lvl>
    <w:lvl w:ilvl="6">
      <w:start w:val="0"/>
      <w:numFmt w:val="bullet"/>
      <w:lvlText w:val="•"/>
      <w:lvlJc w:val="left"/>
      <w:pPr>
        <w:ind w:left="7622" w:hanging="353"/>
      </w:pPr>
      <w:rPr>
        <w:rFonts w:hint="default"/>
        <w:lang w:val="en-US" w:eastAsia="en-US" w:bidi="ar-SA"/>
      </w:rPr>
    </w:lvl>
    <w:lvl w:ilvl="7">
      <w:start w:val="0"/>
      <w:numFmt w:val="bullet"/>
      <w:lvlText w:val="•"/>
      <w:lvlJc w:val="left"/>
      <w:pPr>
        <w:ind w:left="8662" w:hanging="353"/>
      </w:pPr>
      <w:rPr>
        <w:rFonts w:hint="default"/>
        <w:lang w:val="en-US" w:eastAsia="en-US" w:bidi="ar-SA"/>
      </w:rPr>
    </w:lvl>
    <w:lvl w:ilvl="8">
      <w:start w:val="0"/>
      <w:numFmt w:val="bullet"/>
      <w:lvlText w:val="•"/>
      <w:lvlJc w:val="left"/>
      <w:pPr>
        <w:ind w:left="9703" w:hanging="353"/>
      </w:pPr>
      <w:rPr>
        <w:rFonts w:hint="default"/>
        <w:lang w:val="en-US" w:eastAsia="en-US" w:bidi="ar-SA"/>
      </w:rPr>
    </w:lvl>
  </w:abstractNum>
  <w:abstractNum w:abstractNumId="10">
    <w:multiLevelType w:val="hybridMultilevel"/>
    <w:lvl w:ilvl="0">
      <w:start w:val="5"/>
      <w:numFmt w:val="decimal"/>
      <w:lvlText w:val="%1"/>
      <w:lvlJc w:val="left"/>
      <w:pPr>
        <w:ind w:left="2122" w:hanging="712"/>
        <w:jc w:val="left"/>
      </w:pPr>
      <w:rPr>
        <w:rFonts w:hint="default" w:ascii="Arial" w:hAnsi="Arial" w:eastAsia="Arial" w:cs="Arial"/>
        <w:b w:val="0"/>
        <w:bCs w:val="0"/>
        <w:i w:val="0"/>
        <w:iCs w:val="0"/>
        <w:color w:val="484848"/>
        <w:spacing w:val="0"/>
        <w:w w:val="99"/>
        <w:sz w:val="15"/>
        <w:szCs w:val="15"/>
        <w:lang w:val="en-US" w:eastAsia="en-US" w:bidi="ar-SA"/>
      </w:rPr>
    </w:lvl>
    <w:lvl w:ilvl="1">
      <w:start w:val="1"/>
      <w:numFmt w:val="decimal"/>
      <w:lvlText w:val="%1.%2"/>
      <w:lvlJc w:val="left"/>
      <w:pPr>
        <w:ind w:left="1406" w:hanging="712"/>
        <w:jc w:val="right"/>
      </w:pPr>
      <w:rPr>
        <w:rFonts w:hint="default"/>
        <w:spacing w:val="-1"/>
        <w:w w:val="100"/>
        <w:lang w:val="en-US" w:eastAsia="en-US" w:bidi="ar-SA"/>
      </w:rPr>
    </w:lvl>
    <w:lvl w:ilvl="2">
      <w:start w:val="0"/>
      <w:numFmt w:val="bullet"/>
      <w:lvlText w:val="•"/>
      <w:lvlJc w:val="left"/>
      <w:pPr>
        <w:ind w:left="2409" w:hanging="985"/>
      </w:pPr>
      <w:rPr>
        <w:rFonts w:hint="default" w:ascii="Arial" w:hAnsi="Arial" w:eastAsia="Arial" w:cs="Arial"/>
        <w:spacing w:val="0"/>
        <w:w w:val="104"/>
        <w:lang w:val="en-US" w:eastAsia="en-US" w:bidi="ar-SA"/>
      </w:rPr>
    </w:lvl>
    <w:lvl w:ilvl="3">
      <w:start w:val="0"/>
      <w:numFmt w:val="bullet"/>
      <w:lvlText w:val="•"/>
      <w:lvlJc w:val="left"/>
      <w:pPr>
        <w:ind w:left="2338" w:hanging="985"/>
      </w:pPr>
      <w:rPr>
        <w:rFonts w:hint="default" w:ascii="Arial" w:hAnsi="Arial" w:eastAsia="Arial" w:cs="Arial"/>
        <w:spacing w:val="0"/>
        <w:w w:val="98"/>
        <w:lang w:val="en-US" w:eastAsia="en-US" w:bidi="ar-SA"/>
      </w:rPr>
    </w:lvl>
    <w:lvl w:ilvl="4">
      <w:start w:val="0"/>
      <w:numFmt w:val="bullet"/>
      <w:lvlText w:val="•"/>
      <w:lvlJc w:val="left"/>
      <w:pPr>
        <w:ind w:left="2360" w:hanging="985"/>
      </w:pPr>
      <w:rPr>
        <w:rFonts w:hint="default"/>
        <w:lang w:val="en-US" w:eastAsia="en-US" w:bidi="ar-SA"/>
      </w:rPr>
    </w:lvl>
    <w:lvl w:ilvl="5">
      <w:start w:val="0"/>
      <w:numFmt w:val="bullet"/>
      <w:lvlText w:val="•"/>
      <w:lvlJc w:val="left"/>
      <w:pPr>
        <w:ind w:left="2400" w:hanging="985"/>
      </w:pPr>
      <w:rPr>
        <w:rFonts w:hint="default"/>
        <w:lang w:val="en-US" w:eastAsia="en-US" w:bidi="ar-SA"/>
      </w:rPr>
    </w:lvl>
    <w:lvl w:ilvl="6">
      <w:start w:val="0"/>
      <w:numFmt w:val="bullet"/>
      <w:lvlText w:val="•"/>
      <w:lvlJc w:val="left"/>
      <w:pPr>
        <w:ind w:left="2860" w:hanging="985"/>
      </w:pPr>
      <w:rPr>
        <w:rFonts w:hint="default"/>
        <w:lang w:val="en-US" w:eastAsia="en-US" w:bidi="ar-SA"/>
      </w:rPr>
    </w:lvl>
    <w:lvl w:ilvl="7">
      <w:start w:val="0"/>
      <w:numFmt w:val="bullet"/>
      <w:lvlText w:val="•"/>
      <w:lvlJc w:val="left"/>
      <w:pPr>
        <w:ind w:left="5091" w:hanging="985"/>
      </w:pPr>
      <w:rPr>
        <w:rFonts w:hint="default"/>
        <w:lang w:val="en-US" w:eastAsia="en-US" w:bidi="ar-SA"/>
      </w:rPr>
    </w:lvl>
    <w:lvl w:ilvl="8">
      <w:start w:val="0"/>
      <w:numFmt w:val="bullet"/>
      <w:lvlText w:val="•"/>
      <w:lvlJc w:val="left"/>
      <w:pPr>
        <w:ind w:left="7322" w:hanging="985"/>
      </w:pPr>
      <w:rPr>
        <w:rFonts w:hint="default"/>
        <w:lang w:val="en-US" w:eastAsia="en-US" w:bidi="ar-SA"/>
      </w:rPr>
    </w:lvl>
  </w:abstractNum>
  <w:abstractNum w:abstractNumId="9">
    <w:multiLevelType w:val="hybridMultilevel"/>
    <w:lvl w:ilvl="0">
      <w:start w:val="4"/>
      <w:numFmt w:val="decimal"/>
      <w:lvlText w:val="%1"/>
      <w:lvlJc w:val="left"/>
      <w:pPr>
        <w:ind w:left="818" w:hanging="716"/>
        <w:jc w:val="left"/>
      </w:pPr>
      <w:rPr>
        <w:rFonts w:hint="default"/>
        <w:lang w:val="en-US" w:eastAsia="en-US" w:bidi="ar-SA"/>
      </w:rPr>
    </w:lvl>
    <w:lvl w:ilvl="1">
      <w:start w:val="2"/>
      <w:numFmt w:val="decimal"/>
      <w:lvlText w:val="%1.%2"/>
      <w:lvlJc w:val="left"/>
      <w:pPr>
        <w:ind w:left="818" w:hanging="716"/>
        <w:jc w:val="right"/>
      </w:pPr>
      <w:rPr>
        <w:rFonts w:hint="default"/>
        <w:spacing w:val="-1"/>
        <w:w w:val="105"/>
        <w:lang w:val="en-US" w:eastAsia="en-US" w:bidi="ar-SA"/>
      </w:rPr>
    </w:lvl>
    <w:lvl w:ilvl="2">
      <w:start w:val="0"/>
      <w:numFmt w:val="bullet"/>
      <w:lvlText w:val="•"/>
      <w:lvlJc w:val="left"/>
      <w:pPr>
        <w:ind w:left="3781" w:hanging="716"/>
      </w:pPr>
      <w:rPr>
        <w:rFonts w:hint="default"/>
        <w:lang w:val="en-US" w:eastAsia="en-US" w:bidi="ar-SA"/>
      </w:rPr>
    </w:lvl>
    <w:lvl w:ilvl="3">
      <w:start w:val="0"/>
      <w:numFmt w:val="bullet"/>
      <w:lvlText w:val="•"/>
      <w:lvlJc w:val="left"/>
      <w:pPr>
        <w:ind w:left="5262" w:hanging="716"/>
      </w:pPr>
      <w:rPr>
        <w:rFonts w:hint="default"/>
        <w:lang w:val="en-US" w:eastAsia="en-US" w:bidi="ar-SA"/>
      </w:rPr>
    </w:lvl>
    <w:lvl w:ilvl="4">
      <w:start w:val="0"/>
      <w:numFmt w:val="bullet"/>
      <w:lvlText w:val="•"/>
      <w:lvlJc w:val="left"/>
      <w:pPr>
        <w:ind w:left="6743" w:hanging="716"/>
      </w:pPr>
      <w:rPr>
        <w:rFonts w:hint="default"/>
        <w:lang w:val="en-US" w:eastAsia="en-US" w:bidi="ar-SA"/>
      </w:rPr>
    </w:lvl>
    <w:lvl w:ilvl="5">
      <w:start w:val="0"/>
      <w:numFmt w:val="bullet"/>
      <w:lvlText w:val="•"/>
      <w:lvlJc w:val="left"/>
      <w:pPr>
        <w:ind w:left="8224" w:hanging="716"/>
      </w:pPr>
      <w:rPr>
        <w:rFonts w:hint="default"/>
        <w:lang w:val="en-US" w:eastAsia="en-US" w:bidi="ar-SA"/>
      </w:rPr>
    </w:lvl>
    <w:lvl w:ilvl="6">
      <w:start w:val="0"/>
      <w:numFmt w:val="bullet"/>
      <w:lvlText w:val="•"/>
      <w:lvlJc w:val="left"/>
      <w:pPr>
        <w:ind w:left="9705" w:hanging="716"/>
      </w:pPr>
      <w:rPr>
        <w:rFonts w:hint="default"/>
        <w:lang w:val="en-US" w:eastAsia="en-US" w:bidi="ar-SA"/>
      </w:rPr>
    </w:lvl>
    <w:lvl w:ilvl="7">
      <w:start w:val="0"/>
      <w:numFmt w:val="bullet"/>
      <w:lvlText w:val="•"/>
      <w:lvlJc w:val="left"/>
      <w:pPr>
        <w:ind w:left="11186" w:hanging="716"/>
      </w:pPr>
      <w:rPr>
        <w:rFonts w:hint="default"/>
        <w:lang w:val="en-US" w:eastAsia="en-US" w:bidi="ar-SA"/>
      </w:rPr>
    </w:lvl>
    <w:lvl w:ilvl="8">
      <w:start w:val="0"/>
      <w:numFmt w:val="bullet"/>
      <w:lvlText w:val="•"/>
      <w:lvlJc w:val="left"/>
      <w:pPr>
        <w:ind w:left="12667" w:hanging="716"/>
      </w:pPr>
      <w:rPr>
        <w:rFonts w:hint="default"/>
        <w:lang w:val="en-US" w:eastAsia="en-US" w:bidi="ar-SA"/>
      </w:rPr>
    </w:lvl>
  </w:abstractNum>
  <w:abstractNum w:abstractNumId="8">
    <w:multiLevelType w:val="hybridMultilevel"/>
    <w:lvl w:ilvl="0">
      <w:start w:val="0"/>
      <w:numFmt w:val="bullet"/>
      <w:lvlText w:val="•"/>
      <w:lvlJc w:val="left"/>
      <w:pPr>
        <w:ind w:left="1454" w:hanging="366"/>
      </w:pPr>
      <w:rPr>
        <w:rFonts w:hint="default" w:ascii="Arial" w:hAnsi="Arial" w:eastAsia="Arial" w:cs="Arial"/>
        <w:spacing w:val="0"/>
        <w:w w:val="102"/>
        <w:lang w:val="en-US" w:eastAsia="en-US" w:bidi="ar-SA"/>
      </w:rPr>
    </w:lvl>
    <w:lvl w:ilvl="1">
      <w:start w:val="0"/>
      <w:numFmt w:val="bullet"/>
      <w:lvlText w:val="•"/>
      <w:lvlJc w:val="left"/>
      <w:pPr>
        <w:ind w:left="2328" w:hanging="366"/>
      </w:pPr>
      <w:rPr>
        <w:rFonts w:hint="default"/>
        <w:lang w:val="en-US" w:eastAsia="en-US" w:bidi="ar-SA"/>
      </w:rPr>
    </w:lvl>
    <w:lvl w:ilvl="2">
      <w:start w:val="0"/>
      <w:numFmt w:val="bullet"/>
      <w:lvlText w:val="•"/>
      <w:lvlJc w:val="left"/>
      <w:pPr>
        <w:ind w:left="3196" w:hanging="366"/>
      </w:pPr>
      <w:rPr>
        <w:rFonts w:hint="default"/>
        <w:lang w:val="en-US" w:eastAsia="en-US" w:bidi="ar-SA"/>
      </w:rPr>
    </w:lvl>
    <w:lvl w:ilvl="3">
      <w:start w:val="0"/>
      <w:numFmt w:val="bullet"/>
      <w:lvlText w:val="•"/>
      <w:lvlJc w:val="left"/>
      <w:pPr>
        <w:ind w:left="4065" w:hanging="366"/>
      </w:pPr>
      <w:rPr>
        <w:rFonts w:hint="default"/>
        <w:lang w:val="en-US" w:eastAsia="en-US" w:bidi="ar-SA"/>
      </w:rPr>
    </w:lvl>
    <w:lvl w:ilvl="4">
      <w:start w:val="0"/>
      <w:numFmt w:val="bullet"/>
      <w:lvlText w:val="•"/>
      <w:lvlJc w:val="left"/>
      <w:pPr>
        <w:ind w:left="4933" w:hanging="366"/>
      </w:pPr>
      <w:rPr>
        <w:rFonts w:hint="default"/>
        <w:lang w:val="en-US" w:eastAsia="en-US" w:bidi="ar-SA"/>
      </w:rPr>
    </w:lvl>
    <w:lvl w:ilvl="5">
      <w:start w:val="0"/>
      <w:numFmt w:val="bullet"/>
      <w:lvlText w:val="•"/>
      <w:lvlJc w:val="left"/>
      <w:pPr>
        <w:ind w:left="5802" w:hanging="366"/>
      </w:pPr>
      <w:rPr>
        <w:rFonts w:hint="default"/>
        <w:lang w:val="en-US" w:eastAsia="en-US" w:bidi="ar-SA"/>
      </w:rPr>
    </w:lvl>
    <w:lvl w:ilvl="6">
      <w:start w:val="0"/>
      <w:numFmt w:val="bullet"/>
      <w:lvlText w:val="•"/>
      <w:lvlJc w:val="left"/>
      <w:pPr>
        <w:ind w:left="6670" w:hanging="366"/>
      </w:pPr>
      <w:rPr>
        <w:rFonts w:hint="default"/>
        <w:lang w:val="en-US" w:eastAsia="en-US" w:bidi="ar-SA"/>
      </w:rPr>
    </w:lvl>
    <w:lvl w:ilvl="7">
      <w:start w:val="0"/>
      <w:numFmt w:val="bullet"/>
      <w:lvlText w:val="•"/>
      <w:lvlJc w:val="left"/>
      <w:pPr>
        <w:ind w:left="7538" w:hanging="366"/>
      </w:pPr>
      <w:rPr>
        <w:rFonts w:hint="default"/>
        <w:lang w:val="en-US" w:eastAsia="en-US" w:bidi="ar-SA"/>
      </w:rPr>
    </w:lvl>
    <w:lvl w:ilvl="8">
      <w:start w:val="0"/>
      <w:numFmt w:val="bullet"/>
      <w:lvlText w:val="•"/>
      <w:lvlJc w:val="left"/>
      <w:pPr>
        <w:ind w:left="8407" w:hanging="366"/>
      </w:pPr>
      <w:rPr>
        <w:rFonts w:hint="default"/>
        <w:lang w:val="en-US" w:eastAsia="en-US" w:bidi="ar-SA"/>
      </w:rPr>
    </w:lvl>
  </w:abstractNum>
  <w:abstractNum w:abstractNumId="7">
    <w:multiLevelType w:val="hybridMultilevel"/>
    <w:lvl w:ilvl="0">
      <w:start w:val="0"/>
      <w:numFmt w:val="bullet"/>
      <w:lvlText w:val="•"/>
      <w:lvlJc w:val="left"/>
      <w:pPr>
        <w:ind w:left="1539" w:hanging="356"/>
      </w:pPr>
      <w:rPr>
        <w:rFonts w:hint="default" w:ascii="Arial" w:hAnsi="Arial" w:eastAsia="Arial" w:cs="Arial"/>
        <w:b w:val="0"/>
        <w:bCs w:val="0"/>
        <w:i w:val="0"/>
        <w:iCs w:val="0"/>
        <w:color w:val="1C1C1C"/>
        <w:spacing w:val="0"/>
        <w:w w:val="98"/>
        <w:sz w:val="24"/>
        <w:szCs w:val="24"/>
        <w:lang w:val="en-US" w:eastAsia="en-US" w:bidi="ar-SA"/>
      </w:rPr>
    </w:lvl>
    <w:lvl w:ilvl="1">
      <w:start w:val="0"/>
      <w:numFmt w:val="bullet"/>
      <w:lvlText w:val="•"/>
      <w:lvlJc w:val="left"/>
      <w:pPr>
        <w:ind w:left="2400" w:hanging="356"/>
      </w:pPr>
      <w:rPr>
        <w:rFonts w:hint="default"/>
        <w:lang w:val="en-US" w:eastAsia="en-US" w:bidi="ar-SA"/>
      </w:rPr>
    </w:lvl>
    <w:lvl w:ilvl="2">
      <w:start w:val="0"/>
      <w:numFmt w:val="bullet"/>
      <w:lvlText w:val="•"/>
      <w:lvlJc w:val="left"/>
      <w:pPr>
        <w:ind w:left="3260" w:hanging="356"/>
      </w:pPr>
      <w:rPr>
        <w:rFonts w:hint="default"/>
        <w:lang w:val="en-US" w:eastAsia="en-US" w:bidi="ar-SA"/>
      </w:rPr>
    </w:lvl>
    <w:lvl w:ilvl="3">
      <w:start w:val="0"/>
      <w:numFmt w:val="bullet"/>
      <w:lvlText w:val="•"/>
      <w:lvlJc w:val="left"/>
      <w:pPr>
        <w:ind w:left="4121" w:hanging="356"/>
      </w:pPr>
      <w:rPr>
        <w:rFonts w:hint="default"/>
        <w:lang w:val="en-US" w:eastAsia="en-US" w:bidi="ar-SA"/>
      </w:rPr>
    </w:lvl>
    <w:lvl w:ilvl="4">
      <w:start w:val="0"/>
      <w:numFmt w:val="bullet"/>
      <w:lvlText w:val="•"/>
      <w:lvlJc w:val="left"/>
      <w:pPr>
        <w:ind w:left="4981" w:hanging="356"/>
      </w:pPr>
      <w:rPr>
        <w:rFonts w:hint="default"/>
        <w:lang w:val="en-US" w:eastAsia="en-US" w:bidi="ar-SA"/>
      </w:rPr>
    </w:lvl>
    <w:lvl w:ilvl="5">
      <w:start w:val="0"/>
      <w:numFmt w:val="bullet"/>
      <w:lvlText w:val="•"/>
      <w:lvlJc w:val="left"/>
      <w:pPr>
        <w:ind w:left="5842" w:hanging="356"/>
      </w:pPr>
      <w:rPr>
        <w:rFonts w:hint="default"/>
        <w:lang w:val="en-US" w:eastAsia="en-US" w:bidi="ar-SA"/>
      </w:rPr>
    </w:lvl>
    <w:lvl w:ilvl="6">
      <w:start w:val="0"/>
      <w:numFmt w:val="bullet"/>
      <w:lvlText w:val="•"/>
      <w:lvlJc w:val="left"/>
      <w:pPr>
        <w:ind w:left="6702" w:hanging="356"/>
      </w:pPr>
      <w:rPr>
        <w:rFonts w:hint="default"/>
        <w:lang w:val="en-US" w:eastAsia="en-US" w:bidi="ar-SA"/>
      </w:rPr>
    </w:lvl>
    <w:lvl w:ilvl="7">
      <w:start w:val="0"/>
      <w:numFmt w:val="bullet"/>
      <w:lvlText w:val="•"/>
      <w:lvlJc w:val="left"/>
      <w:pPr>
        <w:ind w:left="7562" w:hanging="356"/>
      </w:pPr>
      <w:rPr>
        <w:rFonts w:hint="default"/>
        <w:lang w:val="en-US" w:eastAsia="en-US" w:bidi="ar-SA"/>
      </w:rPr>
    </w:lvl>
    <w:lvl w:ilvl="8">
      <w:start w:val="0"/>
      <w:numFmt w:val="bullet"/>
      <w:lvlText w:val="•"/>
      <w:lvlJc w:val="left"/>
      <w:pPr>
        <w:ind w:left="8423" w:hanging="356"/>
      </w:pPr>
      <w:rPr>
        <w:rFonts w:hint="default"/>
        <w:lang w:val="en-US" w:eastAsia="en-US" w:bidi="ar-SA"/>
      </w:rPr>
    </w:lvl>
  </w:abstractNum>
  <w:abstractNum w:abstractNumId="6">
    <w:multiLevelType w:val="hybridMultilevel"/>
    <w:lvl w:ilvl="0">
      <w:start w:val="0"/>
      <w:numFmt w:val="bullet"/>
      <w:lvlText w:val="•"/>
      <w:lvlJc w:val="left"/>
      <w:pPr>
        <w:ind w:left="1536" w:hanging="371"/>
      </w:pPr>
      <w:rPr>
        <w:rFonts w:hint="default" w:ascii="Arial" w:hAnsi="Arial" w:eastAsia="Arial" w:cs="Arial"/>
        <w:spacing w:val="0"/>
        <w:w w:val="98"/>
        <w:lang w:val="en-US" w:eastAsia="en-US" w:bidi="ar-SA"/>
      </w:rPr>
    </w:lvl>
    <w:lvl w:ilvl="1">
      <w:start w:val="0"/>
      <w:numFmt w:val="bullet"/>
      <w:lvlText w:val="•"/>
      <w:lvlJc w:val="left"/>
      <w:pPr>
        <w:ind w:left="2400" w:hanging="371"/>
      </w:pPr>
      <w:rPr>
        <w:rFonts w:hint="default"/>
        <w:lang w:val="en-US" w:eastAsia="en-US" w:bidi="ar-SA"/>
      </w:rPr>
    </w:lvl>
    <w:lvl w:ilvl="2">
      <w:start w:val="0"/>
      <w:numFmt w:val="bullet"/>
      <w:lvlText w:val="•"/>
      <w:lvlJc w:val="left"/>
      <w:pPr>
        <w:ind w:left="3260" w:hanging="371"/>
      </w:pPr>
      <w:rPr>
        <w:rFonts w:hint="default"/>
        <w:lang w:val="en-US" w:eastAsia="en-US" w:bidi="ar-SA"/>
      </w:rPr>
    </w:lvl>
    <w:lvl w:ilvl="3">
      <w:start w:val="0"/>
      <w:numFmt w:val="bullet"/>
      <w:lvlText w:val="•"/>
      <w:lvlJc w:val="left"/>
      <w:pPr>
        <w:ind w:left="4121" w:hanging="371"/>
      </w:pPr>
      <w:rPr>
        <w:rFonts w:hint="default"/>
        <w:lang w:val="en-US" w:eastAsia="en-US" w:bidi="ar-SA"/>
      </w:rPr>
    </w:lvl>
    <w:lvl w:ilvl="4">
      <w:start w:val="0"/>
      <w:numFmt w:val="bullet"/>
      <w:lvlText w:val="•"/>
      <w:lvlJc w:val="left"/>
      <w:pPr>
        <w:ind w:left="4981" w:hanging="371"/>
      </w:pPr>
      <w:rPr>
        <w:rFonts w:hint="default"/>
        <w:lang w:val="en-US" w:eastAsia="en-US" w:bidi="ar-SA"/>
      </w:rPr>
    </w:lvl>
    <w:lvl w:ilvl="5">
      <w:start w:val="0"/>
      <w:numFmt w:val="bullet"/>
      <w:lvlText w:val="•"/>
      <w:lvlJc w:val="left"/>
      <w:pPr>
        <w:ind w:left="5842" w:hanging="371"/>
      </w:pPr>
      <w:rPr>
        <w:rFonts w:hint="default"/>
        <w:lang w:val="en-US" w:eastAsia="en-US" w:bidi="ar-SA"/>
      </w:rPr>
    </w:lvl>
    <w:lvl w:ilvl="6">
      <w:start w:val="0"/>
      <w:numFmt w:val="bullet"/>
      <w:lvlText w:val="•"/>
      <w:lvlJc w:val="left"/>
      <w:pPr>
        <w:ind w:left="6702" w:hanging="371"/>
      </w:pPr>
      <w:rPr>
        <w:rFonts w:hint="default"/>
        <w:lang w:val="en-US" w:eastAsia="en-US" w:bidi="ar-SA"/>
      </w:rPr>
    </w:lvl>
    <w:lvl w:ilvl="7">
      <w:start w:val="0"/>
      <w:numFmt w:val="bullet"/>
      <w:lvlText w:val="•"/>
      <w:lvlJc w:val="left"/>
      <w:pPr>
        <w:ind w:left="7562" w:hanging="371"/>
      </w:pPr>
      <w:rPr>
        <w:rFonts w:hint="default"/>
        <w:lang w:val="en-US" w:eastAsia="en-US" w:bidi="ar-SA"/>
      </w:rPr>
    </w:lvl>
    <w:lvl w:ilvl="8">
      <w:start w:val="0"/>
      <w:numFmt w:val="bullet"/>
      <w:lvlText w:val="•"/>
      <w:lvlJc w:val="left"/>
      <w:pPr>
        <w:ind w:left="8423" w:hanging="371"/>
      </w:pPr>
      <w:rPr>
        <w:rFonts w:hint="default"/>
        <w:lang w:val="en-US" w:eastAsia="en-US" w:bidi="ar-SA"/>
      </w:rPr>
    </w:lvl>
  </w:abstractNum>
  <w:abstractNum w:abstractNumId="5">
    <w:multiLevelType w:val="hybridMultilevel"/>
    <w:lvl w:ilvl="0">
      <w:start w:val="0"/>
      <w:numFmt w:val="bullet"/>
      <w:lvlText w:val="•"/>
      <w:lvlJc w:val="left"/>
      <w:pPr>
        <w:ind w:left="1313" w:hanging="351"/>
      </w:pPr>
      <w:rPr>
        <w:rFonts w:hint="default" w:ascii="Arial" w:hAnsi="Arial" w:eastAsia="Arial" w:cs="Arial"/>
        <w:b w:val="0"/>
        <w:bCs w:val="0"/>
        <w:i w:val="0"/>
        <w:iCs w:val="0"/>
        <w:color w:val="0E0E0E"/>
        <w:spacing w:val="0"/>
        <w:w w:val="112"/>
        <w:sz w:val="23"/>
        <w:szCs w:val="23"/>
        <w:lang w:val="en-US" w:eastAsia="en-US" w:bidi="ar-SA"/>
      </w:rPr>
    </w:lvl>
    <w:lvl w:ilvl="1">
      <w:start w:val="0"/>
      <w:numFmt w:val="bullet"/>
      <w:lvlText w:val="•"/>
      <w:lvlJc w:val="left"/>
      <w:pPr>
        <w:ind w:left="2202" w:hanging="351"/>
      </w:pPr>
      <w:rPr>
        <w:rFonts w:hint="default"/>
        <w:lang w:val="en-US" w:eastAsia="en-US" w:bidi="ar-SA"/>
      </w:rPr>
    </w:lvl>
    <w:lvl w:ilvl="2">
      <w:start w:val="0"/>
      <w:numFmt w:val="bullet"/>
      <w:lvlText w:val="•"/>
      <w:lvlJc w:val="left"/>
      <w:pPr>
        <w:ind w:left="3084" w:hanging="351"/>
      </w:pPr>
      <w:rPr>
        <w:rFonts w:hint="default"/>
        <w:lang w:val="en-US" w:eastAsia="en-US" w:bidi="ar-SA"/>
      </w:rPr>
    </w:lvl>
    <w:lvl w:ilvl="3">
      <w:start w:val="0"/>
      <w:numFmt w:val="bullet"/>
      <w:lvlText w:val="•"/>
      <w:lvlJc w:val="left"/>
      <w:pPr>
        <w:ind w:left="3967" w:hanging="351"/>
      </w:pPr>
      <w:rPr>
        <w:rFonts w:hint="default"/>
        <w:lang w:val="en-US" w:eastAsia="en-US" w:bidi="ar-SA"/>
      </w:rPr>
    </w:lvl>
    <w:lvl w:ilvl="4">
      <w:start w:val="0"/>
      <w:numFmt w:val="bullet"/>
      <w:lvlText w:val="•"/>
      <w:lvlJc w:val="left"/>
      <w:pPr>
        <w:ind w:left="4849" w:hanging="351"/>
      </w:pPr>
      <w:rPr>
        <w:rFonts w:hint="default"/>
        <w:lang w:val="en-US" w:eastAsia="en-US" w:bidi="ar-SA"/>
      </w:rPr>
    </w:lvl>
    <w:lvl w:ilvl="5">
      <w:start w:val="0"/>
      <w:numFmt w:val="bullet"/>
      <w:lvlText w:val="•"/>
      <w:lvlJc w:val="left"/>
      <w:pPr>
        <w:ind w:left="5732" w:hanging="351"/>
      </w:pPr>
      <w:rPr>
        <w:rFonts w:hint="default"/>
        <w:lang w:val="en-US" w:eastAsia="en-US" w:bidi="ar-SA"/>
      </w:rPr>
    </w:lvl>
    <w:lvl w:ilvl="6">
      <w:start w:val="0"/>
      <w:numFmt w:val="bullet"/>
      <w:lvlText w:val="•"/>
      <w:lvlJc w:val="left"/>
      <w:pPr>
        <w:ind w:left="6614" w:hanging="351"/>
      </w:pPr>
      <w:rPr>
        <w:rFonts w:hint="default"/>
        <w:lang w:val="en-US" w:eastAsia="en-US" w:bidi="ar-SA"/>
      </w:rPr>
    </w:lvl>
    <w:lvl w:ilvl="7">
      <w:start w:val="0"/>
      <w:numFmt w:val="bullet"/>
      <w:lvlText w:val="•"/>
      <w:lvlJc w:val="left"/>
      <w:pPr>
        <w:ind w:left="7496" w:hanging="351"/>
      </w:pPr>
      <w:rPr>
        <w:rFonts w:hint="default"/>
        <w:lang w:val="en-US" w:eastAsia="en-US" w:bidi="ar-SA"/>
      </w:rPr>
    </w:lvl>
    <w:lvl w:ilvl="8">
      <w:start w:val="0"/>
      <w:numFmt w:val="bullet"/>
      <w:lvlText w:val="•"/>
      <w:lvlJc w:val="left"/>
      <w:pPr>
        <w:ind w:left="8379" w:hanging="351"/>
      </w:pPr>
      <w:rPr>
        <w:rFonts w:hint="default"/>
        <w:lang w:val="en-US" w:eastAsia="en-US" w:bidi="ar-SA"/>
      </w:rPr>
    </w:lvl>
  </w:abstractNum>
  <w:abstractNum w:abstractNumId="4">
    <w:multiLevelType w:val="hybridMultilevel"/>
    <w:lvl w:ilvl="0">
      <w:start w:val="0"/>
      <w:numFmt w:val="bullet"/>
      <w:lvlText w:val="•"/>
      <w:lvlJc w:val="left"/>
      <w:pPr>
        <w:ind w:left="1415" w:hanging="357"/>
      </w:pPr>
      <w:rPr>
        <w:rFonts w:hint="default" w:ascii="Arial" w:hAnsi="Arial" w:eastAsia="Arial" w:cs="Arial"/>
        <w:b w:val="0"/>
        <w:bCs w:val="0"/>
        <w:i w:val="0"/>
        <w:iCs w:val="0"/>
        <w:color w:val="0F0F0F"/>
        <w:spacing w:val="0"/>
        <w:w w:val="99"/>
        <w:sz w:val="24"/>
        <w:szCs w:val="24"/>
        <w:lang w:val="en-US" w:eastAsia="en-US" w:bidi="ar-SA"/>
      </w:rPr>
    </w:lvl>
    <w:lvl w:ilvl="1">
      <w:start w:val="0"/>
      <w:numFmt w:val="bullet"/>
      <w:lvlText w:val="•"/>
      <w:lvlJc w:val="left"/>
      <w:pPr>
        <w:ind w:left="2292" w:hanging="357"/>
      </w:pPr>
      <w:rPr>
        <w:rFonts w:hint="default"/>
        <w:lang w:val="en-US" w:eastAsia="en-US" w:bidi="ar-SA"/>
      </w:rPr>
    </w:lvl>
    <w:lvl w:ilvl="2">
      <w:start w:val="0"/>
      <w:numFmt w:val="bullet"/>
      <w:lvlText w:val="•"/>
      <w:lvlJc w:val="left"/>
      <w:pPr>
        <w:ind w:left="3164" w:hanging="357"/>
      </w:pPr>
      <w:rPr>
        <w:rFonts w:hint="default"/>
        <w:lang w:val="en-US" w:eastAsia="en-US" w:bidi="ar-SA"/>
      </w:rPr>
    </w:lvl>
    <w:lvl w:ilvl="3">
      <w:start w:val="0"/>
      <w:numFmt w:val="bullet"/>
      <w:lvlText w:val="•"/>
      <w:lvlJc w:val="left"/>
      <w:pPr>
        <w:ind w:left="4037" w:hanging="357"/>
      </w:pPr>
      <w:rPr>
        <w:rFonts w:hint="default"/>
        <w:lang w:val="en-US" w:eastAsia="en-US" w:bidi="ar-SA"/>
      </w:rPr>
    </w:lvl>
    <w:lvl w:ilvl="4">
      <w:start w:val="0"/>
      <w:numFmt w:val="bullet"/>
      <w:lvlText w:val="•"/>
      <w:lvlJc w:val="left"/>
      <w:pPr>
        <w:ind w:left="4909" w:hanging="357"/>
      </w:pPr>
      <w:rPr>
        <w:rFonts w:hint="default"/>
        <w:lang w:val="en-US" w:eastAsia="en-US" w:bidi="ar-SA"/>
      </w:rPr>
    </w:lvl>
    <w:lvl w:ilvl="5">
      <w:start w:val="0"/>
      <w:numFmt w:val="bullet"/>
      <w:lvlText w:val="•"/>
      <w:lvlJc w:val="left"/>
      <w:pPr>
        <w:ind w:left="5782" w:hanging="357"/>
      </w:pPr>
      <w:rPr>
        <w:rFonts w:hint="default"/>
        <w:lang w:val="en-US" w:eastAsia="en-US" w:bidi="ar-SA"/>
      </w:rPr>
    </w:lvl>
    <w:lvl w:ilvl="6">
      <w:start w:val="0"/>
      <w:numFmt w:val="bullet"/>
      <w:lvlText w:val="•"/>
      <w:lvlJc w:val="left"/>
      <w:pPr>
        <w:ind w:left="6654" w:hanging="357"/>
      </w:pPr>
      <w:rPr>
        <w:rFonts w:hint="default"/>
        <w:lang w:val="en-US" w:eastAsia="en-US" w:bidi="ar-SA"/>
      </w:rPr>
    </w:lvl>
    <w:lvl w:ilvl="7">
      <w:start w:val="0"/>
      <w:numFmt w:val="bullet"/>
      <w:lvlText w:val="•"/>
      <w:lvlJc w:val="left"/>
      <w:pPr>
        <w:ind w:left="7526" w:hanging="357"/>
      </w:pPr>
      <w:rPr>
        <w:rFonts w:hint="default"/>
        <w:lang w:val="en-US" w:eastAsia="en-US" w:bidi="ar-SA"/>
      </w:rPr>
    </w:lvl>
    <w:lvl w:ilvl="8">
      <w:start w:val="0"/>
      <w:numFmt w:val="bullet"/>
      <w:lvlText w:val="•"/>
      <w:lvlJc w:val="left"/>
      <w:pPr>
        <w:ind w:left="8399" w:hanging="357"/>
      </w:pPr>
      <w:rPr>
        <w:rFonts w:hint="default"/>
        <w:lang w:val="en-US" w:eastAsia="en-US" w:bidi="ar-SA"/>
      </w:rPr>
    </w:lvl>
  </w:abstractNum>
  <w:abstractNum w:abstractNumId="3">
    <w:multiLevelType w:val="hybridMultilevel"/>
    <w:lvl w:ilvl="0">
      <w:start w:val="3"/>
      <w:numFmt w:val="decimal"/>
      <w:lvlText w:val="%1"/>
      <w:lvlJc w:val="left"/>
      <w:pPr>
        <w:ind w:left="585" w:hanging="405"/>
        <w:jc w:val="left"/>
      </w:pPr>
      <w:rPr>
        <w:rFonts w:hint="default"/>
        <w:lang w:val="en-US" w:eastAsia="en-US" w:bidi="ar-SA"/>
      </w:rPr>
    </w:lvl>
    <w:lvl w:ilvl="1">
      <w:start w:val="1"/>
      <w:numFmt w:val="decimal"/>
      <w:lvlText w:val="%1.%2"/>
      <w:lvlJc w:val="left"/>
      <w:pPr>
        <w:ind w:left="585" w:hanging="405"/>
        <w:jc w:val="right"/>
      </w:pPr>
      <w:rPr>
        <w:rFonts w:hint="default"/>
        <w:spacing w:val="-1"/>
        <w:w w:val="107"/>
        <w:lang w:val="en-US" w:eastAsia="en-US" w:bidi="ar-SA"/>
      </w:rPr>
    </w:lvl>
    <w:lvl w:ilvl="2">
      <w:start w:val="0"/>
      <w:numFmt w:val="bullet"/>
      <w:lvlText w:val="•"/>
      <w:lvlJc w:val="left"/>
      <w:pPr>
        <w:ind w:left="2492" w:hanging="405"/>
      </w:pPr>
      <w:rPr>
        <w:rFonts w:hint="default"/>
        <w:lang w:val="en-US" w:eastAsia="en-US" w:bidi="ar-SA"/>
      </w:rPr>
    </w:lvl>
    <w:lvl w:ilvl="3">
      <w:start w:val="0"/>
      <w:numFmt w:val="bullet"/>
      <w:lvlText w:val="•"/>
      <w:lvlJc w:val="left"/>
      <w:pPr>
        <w:ind w:left="3449" w:hanging="405"/>
      </w:pPr>
      <w:rPr>
        <w:rFonts w:hint="default"/>
        <w:lang w:val="en-US" w:eastAsia="en-US" w:bidi="ar-SA"/>
      </w:rPr>
    </w:lvl>
    <w:lvl w:ilvl="4">
      <w:start w:val="0"/>
      <w:numFmt w:val="bullet"/>
      <w:lvlText w:val="•"/>
      <w:lvlJc w:val="left"/>
      <w:pPr>
        <w:ind w:left="4405" w:hanging="405"/>
      </w:pPr>
      <w:rPr>
        <w:rFonts w:hint="default"/>
        <w:lang w:val="en-US" w:eastAsia="en-US" w:bidi="ar-SA"/>
      </w:rPr>
    </w:lvl>
    <w:lvl w:ilvl="5">
      <w:start w:val="0"/>
      <w:numFmt w:val="bullet"/>
      <w:lvlText w:val="•"/>
      <w:lvlJc w:val="left"/>
      <w:pPr>
        <w:ind w:left="5362" w:hanging="405"/>
      </w:pPr>
      <w:rPr>
        <w:rFonts w:hint="default"/>
        <w:lang w:val="en-US" w:eastAsia="en-US" w:bidi="ar-SA"/>
      </w:rPr>
    </w:lvl>
    <w:lvl w:ilvl="6">
      <w:start w:val="0"/>
      <w:numFmt w:val="bullet"/>
      <w:lvlText w:val="•"/>
      <w:lvlJc w:val="left"/>
      <w:pPr>
        <w:ind w:left="6318" w:hanging="405"/>
      </w:pPr>
      <w:rPr>
        <w:rFonts w:hint="default"/>
        <w:lang w:val="en-US" w:eastAsia="en-US" w:bidi="ar-SA"/>
      </w:rPr>
    </w:lvl>
    <w:lvl w:ilvl="7">
      <w:start w:val="0"/>
      <w:numFmt w:val="bullet"/>
      <w:lvlText w:val="•"/>
      <w:lvlJc w:val="left"/>
      <w:pPr>
        <w:ind w:left="7274" w:hanging="405"/>
      </w:pPr>
      <w:rPr>
        <w:rFonts w:hint="default"/>
        <w:lang w:val="en-US" w:eastAsia="en-US" w:bidi="ar-SA"/>
      </w:rPr>
    </w:lvl>
    <w:lvl w:ilvl="8">
      <w:start w:val="0"/>
      <w:numFmt w:val="bullet"/>
      <w:lvlText w:val="•"/>
      <w:lvlJc w:val="left"/>
      <w:pPr>
        <w:ind w:left="8231" w:hanging="405"/>
      </w:pPr>
      <w:rPr>
        <w:rFonts w:hint="default"/>
        <w:lang w:val="en-US" w:eastAsia="en-US" w:bidi="ar-SA"/>
      </w:rPr>
    </w:lvl>
  </w:abstractNum>
  <w:abstractNum w:abstractNumId="2">
    <w:multiLevelType w:val="hybridMultilevel"/>
    <w:lvl w:ilvl="0">
      <w:start w:val="0"/>
      <w:numFmt w:val="bullet"/>
      <w:lvlText w:val="•"/>
      <w:lvlJc w:val="left"/>
      <w:pPr>
        <w:ind w:left="1317" w:hanging="358"/>
      </w:pPr>
      <w:rPr>
        <w:rFonts w:hint="default" w:ascii="Arial" w:hAnsi="Arial" w:eastAsia="Arial" w:cs="Arial"/>
        <w:b w:val="0"/>
        <w:bCs w:val="0"/>
        <w:i w:val="0"/>
        <w:iCs w:val="0"/>
        <w:color w:val="1C1C1C"/>
        <w:spacing w:val="0"/>
        <w:w w:val="98"/>
        <w:sz w:val="24"/>
        <w:szCs w:val="24"/>
        <w:lang w:val="en-US" w:eastAsia="en-US" w:bidi="ar-SA"/>
      </w:rPr>
    </w:lvl>
    <w:lvl w:ilvl="1">
      <w:start w:val="0"/>
      <w:numFmt w:val="bullet"/>
      <w:lvlText w:val="•"/>
      <w:lvlJc w:val="left"/>
      <w:pPr>
        <w:ind w:left="1564" w:hanging="350"/>
      </w:pPr>
      <w:rPr>
        <w:rFonts w:hint="default" w:ascii="Arial" w:hAnsi="Arial" w:eastAsia="Arial" w:cs="Arial"/>
        <w:spacing w:val="0"/>
        <w:w w:val="104"/>
        <w:lang w:val="en-US" w:eastAsia="en-US" w:bidi="ar-SA"/>
      </w:rPr>
    </w:lvl>
    <w:lvl w:ilvl="2">
      <w:start w:val="0"/>
      <w:numFmt w:val="bullet"/>
      <w:lvlText w:val="•"/>
      <w:lvlJc w:val="left"/>
      <w:pPr>
        <w:ind w:left="2513" w:hanging="350"/>
      </w:pPr>
      <w:rPr>
        <w:rFonts w:hint="default"/>
        <w:lang w:val="en-US" w:eastAsia="en-US" w:bidi="ar-SA"/>
      </w:rPr>
    </w:lvl>
    <w:lvl w:ilvl="3">
      <w:start w:val="0"/>
      <w:numFmt w:val="bullet"/>
      <w:lvlText w:val="•"/>
      <w:lvlJc w:val="left"/>
      <w:pPr>
        <w:ind w:left="3467" w:hanging="350"/>
      </w:pPr>
      <w:rPr>
        <w:rFonts w:hint="default"/>
        <w:lang w:val="en-US" w:eastAsia="en-US" w:bidi="ar-SA"/>
      </w:rPr>
    </w:lvl>
    <w:lvl w:ilvl="4">
      <w:start w:val="0"/>
      <w:numFmt w:val="bullet"/>
      <w:lvlText w:val="•"/>
      <w:lvlJc w:val="left"/>
      <w:pPr>
        <w:ind w:left="4421" w:hanging="350"/>
      </w:pPr>
      <w:rPr>
        <w:rFonts w:hint="default"/>
        <w:lang w:val="en-US" w:eastAsia="en-US" w:bidi="ar-SA"/>
      </w:rPr>
    </w:lvl>
    <w:lvl w:ilvl="5">
      <w:start w:val="0"/>
      <w:numFmt w:val="bullet"/>
      <w:lvlText w:val="•"/>
      <w:lvlJc w:val="left"/>
      <w:pPr>
        <w:ind w:left="5375" w:hanging="350"/>
      </w:pPr>
      <w:rPr>
        <w:rFonts w:hint="default"/>
        <w:lang w:val="en-US" w:eastAsia="en-US" w:bidi="ar-SA"/>
      </w:rPr>
    </w:lvl>
    <w:lvl w:ilvl="6">
      <w:start w:val="0"/>
      <w:numFmt w:val="bullet"/>
      <w:lvlText w:val="•"/>
      <w:lvlJc w:val="left"/>
      <w:pPr>
        <w:ind w:left="6328" w:hanging="350"/>
      </w:pPr>
      <w:rPr>
        <w:rFonts w:hint="default"/>
        <w:lang w:val="en-US" w:eastAsia="en-US" w:bidi="ar-SA"/>
      </w:rPr>
    </w:lvl>
    <w:lvl w:ilvl="7">
      <w:start w:val="0"/>
      <w:numFmt w:val="bullet"/>
      <w:lvlText w:val="•"/>
      <w:lvlJc w:val="left"/>
      <w:pPr>
        <w:ind w:left="7282" w:hanging="350"/>
      </w:pPr>
      <w:rPr>
        <w:rFonts w:hint="default"/>
        <w:lang w:val="en-US" w:eastAsia="en-US" w:bidi="ar-SA"/>
      </w:rPr>
    </w:lvl>
    <w:lvl w:ilvl="8">
      <w:start w:val="0"/>
      <w:numFmt w:val="bullet"/>
      <w:lvlText w:val="•"/>
      <w:lvlJc w:val="left"/>
      <w:pPr>
        <w:ind w:left="8236" w:hanging="350"/>
      </w:pPr>
      <w:rPr>
        <w:rFonts w:hint="default"/>
        <w:lang w:val="en-US" w:eastAsia="en-US" w:bidi="ar-SA"/>
      </w:rPr>
    </w:lvl>
  </w:abstractNum>
  <w:abstractNum w:abstractNumId="1">
    <w:multiLevelType w:val="hybridMultilevel"/>
    <w:lvl w:ilvl="0">
      <w:start w:val="0"/>
      <w:numFmt w:val="bullet"/>
      <w:lvlText w:val="•"/>
      <w:lvlJc w:val="left"/>
      <w:pPr>
        <w:ind w:left="1302" w:hanging="361"/>
      </w:pPr>
      <w:rPr>
        <w:rFonts w:hint="default" w:ascii="Arial" w:hAnsi="Arial" w:eastAsia="Arial" w:cs="Arial"/>
        <w:b w:val="0"/>
        <w:bCs w:val="0"/>
        <w:i w:val="0"/>
        <w:iCs w:val="0"/>
        <w:color w:val="1A1A1A"/>
        <w:spacing w:val="0"/>
        <w:w w:val="98"/>
        <w:sz w:val="24"/>
        <w:szCs w:val="24"/>
        <w:lang w:val="en-US" w:eastAsia="en-US" w:bidi="ar-SA"/>
      </w:rPr>
    </w:lvl>
    <w:lvl w:ilvl="1">
      <w:start w:val="0"/>
      <w:numFmt w:val="bullet"/>
      <w:lvlText w:val="•"/>
      <w:lvlJc w:val="left"/>
      <w:pPr>
        <w:ind w:left="2184" w:hanging="361"/>
      </w:pPr>
      <w:rPr>
        <w:rFonts w:hint="default"/>
        <w:lang w:val="en-US" w:eastAsia="en-US" w:bidi="ar-SA"/>
      </w:rPr>
    </w:lvl>
    <w:lvl w:ilvl="2">
      <w:start w:val="0"/>
      <w:numFmt w:val="bullet"/>
      <w:lvlText w:val="•"/>
      <w:lvlJc w:val="left"/>
      <w:pPr>
        <w:ind w:left="3068" w:hanging="361"/>
      </w:pPr>
      <w:rPr>
        <w:rFonts w:hint="default"/>
        <w:lang w:val="en-US" w:eastAsia="en-US" w:bidi="ar-SA"/>
      </w:rPr>
    </w:lvl>
    <w:lvl w:ilvl="3">
      <w:start w:val="0"/>
      <w:numFmt w:val="bullet"/>
      <w:lvlText w:val="•"/>
      <w:lvlJc w:val="left"/>
      <w:pPr>
        <w:ind w:left="3953" w:hanging="361"/>
      </w:pPr>
      <w:rPr>
        <w:rFonts w:hint="default"/>
        <w:lang w:val="en-US" w:eastAsia="en-US" w:bidi="ar-SA"/>
      </w:rPr>
    </w:lvl>
    <w:lvl w:ilvl="4">
      <w:start w:val="0"/>
      <w:numFmt w:val="bullet"/>
      <w:lvlText w:val="•"/>
      <w:lvlJc w:val="left"/>
      <w:pPr>
        <w:ind w:left="4837" w:hanging="361"/>
      </w:pPr>
      <w:rPr>
        <w:rFonts w:hint="default"/>
        <w:lang w:val="en-US" w:eastAsia="en-US" w:bidi="ar-SA"/>
      </w:rPr>
    </w:lvl>
    <w:lvl w:ilvl="5">
      <w:start w:val="0"/>
      <w:numFmt w:val="bullet"/>
      <w:lvlText w:val="•"/>
      <w:lvlJc w:val="left"/>
      <w:pPr>
        <w:ind w:left="5722" w:hanging="361"/>
      </w:pPr>
      <w:rPr>
        <w:rFonts w:hint="default"/>
        <w:lang w:val="en-US" w:eastAsia="en-US" w:bidi="ar-SA"/>
      </w:rPr>
    </w:lvl>
    <w:lvl w:ilvl="6">
      <w:start w:val="0"/>
      <w:numFmt w:val="bullet"/>
      <w:lvlText w:val="•"/>
      <w:lvlJc w:val="left"/>
      <w:pPr>
        <w:ind w:left="6606" w:hanging="361"/>
      </w:pPr>
      <w:rPr>
        <w:rFonts w:hint="default"/>
        <w:lang w:val="en-US" w:eastAsia="en-US" w:bidi="ar-SA"/>
      </w:rPr>
    </w:lvl>
    <w:lvl w:ilvl="7">
      <w:start w:val="0"/>
      <w:numFmt w:val="bullet"/>
      <w:lvlText w:val="•"/>
      <w:lvlJc w:val="left"/>
      <w:pPr>
        <w:ind w:left="7490" w:hanging="361"/>
      </w:pPr>
      <w:rPr>
        <w:rFonts w:hint="default"/>
        <w:lang w:val="en-US" w:eastAsia="en-US" w:bidi="ar-SA"/>
      </w:rPr>
    </w:lvl>
    <w:lvl w:ilvl="8">
      <w:start w:val="0"/>
      <w:numFmt w:val="bullet"/>
      <w:lvlText w:val="•"/>
      <w:lvlJc w:val="left"/>
      <w:pPr>
        <w:ind w:left="8375" w:hanging="361"/>
      </w:pPr>
      <w:rPr>
        <w:rFonts w:hint="default"/>
        <w:lang w:val="en-US" w:eastAsia="en-US" w:bidi="ar-SA"/>
      </w:rPr>
    </w:lvl>
  </w:abstractNum>
  <w:abstractNum w:abstractNumId="0">
    <w:multiLevelType w:val="hybridMultilevel"/>
    <w:lvl w:ilvl="0">
      <w:start w:val="5"/>
      <w:numFmt w:val="decimal"/>
      <w:lvlText w:val="%1"/>
      <w:lvlJc w:val="left"/>
      <w:pPr>
        <w:ind w:left="991" w:hanging="610"/>
        <w:jc w:val="right"/>
      </w:pPr>
      <w:rPr>
        <w:rFonts w:hint="default"/>
        <w:spacing w:val="0"/>
        <w:w w:val="109"/>
        <w:lang w:val="en-US" w:eastAsia="en-US" w:bidi="ar-SA"/>
      </w:rPr>
    </w:lvl>
    <w:lvl w:ilvl="1">
      <w:start w:val="0"/>
      <w:numFmt w:val="bullet"/>
      <w:lvlText w:val="•"/>
      <w:lvlJc w:val="left"/>
      <w:pPr>
        <w:ind w:left="1541" w:hanging="698"/>
      </w:pPr>
      <w:rPr>
        <w:rFonts w:hint="default" w:ascii="Arial" w:hAnsi="Arial" w:eastAsia="Arial" w:cs="Arial"/>
        <w:spacing w:val="0"/>
        <w:w w:val="107"/>
        <w:lang w:val="en-US" w:eastAsia="en-US" w:bidi="ar-SA"/>
      </w:rPr>
    </w:lvl>
    <w:lvl w:ilvl="2">
      <w:start w:val="0"/>
      <w:numFmt w:val="bullet"/>
      <w:lvlText w:val="•"/>
      <w:lvlJc w:val="left"/>
      <w:pPr>
        <w:ind w:left="2496" w:hanging="698"/>
      </w:pPr>
      <w:rPr>
        <w:rFonts w:hint="default"/>
        <w:lang w:val="en-US" w:eastAsia="en-US" w:bidi="ar-SA"/>
      </w:rPr>
    </w:lvl>
    <w:lvl w:ilvl="3">
      <w:start w:val="0"/>
      <w:numFmt w:val="bullet"/>
      <w:lvlText w:val="•"/>
      <w:lvlJc w:val="left"/>
      <w:pPr>
        <w:ind w:left="3452" w:hanging="698"/>
      </w:pPr>
      <w:rPr>
        <w:rFonts w:hint="default"/>
        <w:lang w:val="en-US" w:eastAsia="en-US" w:bidi="ar-SA"/>
      </w:rPr>
    </w:lvl>
    <w:lvl w:ilvl="4">
      <w:start w:val="0"/>
      <w:numFmt w:val="bullet"/>
      <w:lvlText w:val="•"/>
      <w:lvlJc w:val="left"/>
      <w:pPr>
        <w:ind w:left="4408" w:hanging="698"/>
      </w:pPr>
      <w:rPr>
        <w:rFonts w:hint="default"/>
        <w:lang w:val="en-US" w:eastAsia="en-US" w:bidi="ar-SA"/>
      </w:rPr>
    </w:lvl>
    <w:lvl w:ilvl="5">
      <w:start w:val="0"/>
      <w:numFmt w:val="bullet"/>
      <w:lvlText w:val="•"/>
      <w:lvlJc w:val="left"/>
      <w:pPr>
        <w:ind w:left="5364" w:hanging="698"/>
      </w:pPr>
      <w:rPr>
        <w:rFonts w:hint="default"/>
        <w:lang w:val="en-US" w:eastAsia="en-US" w:bidi="ar-SA"/>
      </w:rPr>
    </w:lvl>
    <w:lvl w:ilvl="6">
      <w:start w:val="0"/>
      <w:numFmt w:val="bullet"/>
      <w:lvlText w:val="•"/>
      <w:lvlJc w:val="left"/>
      <w:pPr>
        <w:ind w:left="6320" w:hanging="698"/>
      </w:pPr>
      <w:rPr>
        <w:rFonts w:hint="default"/>
        <w:lang w:val="en-US" w:eastAsia="en-US" w:bidi="ar-SA"/>
      </w:rPr>
    </w:lvl>
    <w:lvl w:ilvl="7">
      <w:start w:val="0"/>
      <w:numFmt w:val="bullet"/>
      <w:lvlText w:val="•"/>
      <w:lvlJc w:val="left"/>
      <w:pPr>
        <w:ind w:left="7276" w:hanging="698"/>
      </w:pPr>
      <w:rPr>
        <w:rFonts w:hint="default"/>
        <w:lang w:val="en-US" w:eastAsia="en-US" w:bidi="ar-SA"/>
      </w:rPr>
    </w:lvl>
    <w:lvl w:ilvl="8">
      <w:start w:val="0"/>
      <w:numFmt w:val="bullet"/>
      <w:lvlText w:val="•"/>
      <w:lvlJc w:val="left"/>
      <w:pPr>
        <w:ind w:left="8232" w:hanging="698"/>
      </w:pPr>
      <w:rPr>
        <w:rFonts w:hint="default"/>
        <w:lang w:val="en-US" w:eastAsia="en-US" w:bidi="ar-SA"/>
      </w:rPr>
    </w:lvl>
  </w:abstract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ind w:left="1061"/>
      <w:outlineLvl w:val="1"/>
    </w:pPr>
    <w:rPr>
      <w:rFonts w:ascii="Arial" w:hAnsi="Arial" w:eastAsia="Arial" w:cs="Arial"/>
      <w:b/>
      <w:bCs/>
      <w:sz w:val="44"/>
      <w:szCs w:val="44"/>
      <w:lang w:val="en-US" w:eastAsia="en-US" w:bidi="ar-SA"/>
    </w:rPr>
  </w:style>
  <w:style w:styleId="Heading2" w:type="paragraph">
    <w:name w:val="Heading 2"/>
    <w:basedOn w:val="Normal"/>
    <w:uiPriority w:val="1"/>
    <w:qFormat/>
    <w:pPr>
      <w:spacing w:before="10"/>
      <w:ind w:left="87"/>
      <w:outlineLvl w:val="2"/>
    </w:pPr>
    <w:rPr>
      <w:rFonts w:ascii="Arial" w:hAnsi="Arial" w:eastAsia="Arial" w:cs="Arial"/>
      <w:b/>
      <w:bCs/>
      <w:sz w:val="24"/>
      <w:szCs w:val="24"/>
      <w:lang w:val="en-US" w:eastAsia="en-US" w:bidi="ar-SA"/>
    </w:rPr>
  </w:style>
  <w:style w:styleId="Heading3" w:type="paragraph">
    <w:name w:val="Heading 3"/>
    <w:basedOn w:val="Normal"/>
    <w:uiPriority w:val="1"/>
    <w:qFormat/>
    <w:pPr>
      <w:outlineLvl w:val="3"/>
    </w:pPr>
    <w:rPr>
      <w:rFonts w:ascii="Arial" w:hAnsi="Arial" w:eastAsia="Arial" w:cs="Arial"/>
      <w:b/>
      <w:bCs/>
      <w:sz w:val="22"/>
      <w:szCs w:val="22"/>
      <w:lang w:val="en-US" w:eastAsia="en-US" w:bidi="ar-SA"/>
    </w:rPr>
  </w:style>
  <w:style w:styleId="ListParagraph" w:type="paragraph">
    <w:name w:val="List Paragraph"/>
    <w:basedOn w:val="Normal"/>
    <w:uiPriority w:val="1"/>
    <w:qFormat/>
    <w:pPr>
      <w:ind w:left="854" w:hanging="707"/>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4.xml"/><Relationship Id="rId20" Type="http://schemas.openxmlformats.org/officeDocument/2006/relationships/footer" Target="footer5.xml"/><Relationship Id="rId21" Type="http://schemas.openxmlformats.org/officeDocument/2006/relationships/header" Target="header3.xml"/><Relationship Id="rId22" Type="http://schemas.openxmlformats.org/officeDocument/2006/relationships/header" Target="header4.xml"/><Relationship Id="rId23" Type="http://schemas.openxmlformats.org/officeDocument/2006/relationships/footer" Target="footer6.xml"/><Relationship Id="rId24" Type="http://schemas.openxmlformats.org/officeDocument/2006/relationships/footer" Target="footer7.xml"/><Relationship Id="rId25" Type="http://schemas.openxmlformats.org/officeDocument/2006/relationships/image" Target="media/image10.jpeg"/><Relationship Id="rId26" Type="http://schemas.openxmlformats.org/officeDocument/2006/relationships/header" Target="header5.xml"/><Relationship Id="rId27" Type="http://schemas.openxmlformats.org/officeDocument/2006/relationships/footer" Target="footer8.xml"/><Relationship Id="rId28" Type="http://schemas.openxmlformats.org/officeDocument/2006/relationships/footer" Target="footer9.xml"/><Relationship Id="rId29" Type="http://schemas.openxmlformats.org/officeDocument/2006/relationships/hyperlink" Target="http://www.hertsmere.gov.uk/Your-Council/Official-Publications--Guides-" TargetMode="External"/><Relationship Id="rId30" Type="http://schemas.openxmlformats.org/officeDocument/2006/relationships/header" Target="header6.xml"/><Relationship Id="rId31" Type="http://schemas.openxmlformats.org/officeDocument/2006/relationships/header" Target="header7.xml"/><Relationship Id="rId32" Type="http://schemas.openxmlformats.org/officeDocument/2006/relationships/footer" Target="footer10.xml"/><Relationship Id="rId33" Type="http://schemas.openxmlformats.org/officeDocument/2006/relationships/footer" Target="footer11.xml"/><Relationship Id="rId34" Type="http://schemas.openxmlformats.org/officeDocument/2006/relationships/header" Target="header8.xml"/><Relationship Id="rId35" Type="http://schemas.openxmlformats.org/officeDocument/2006/relationships/image" Target="media/image11.png"/><Relationship Id="rId36" Type="http://schemas.openxmlformats.org/officeDocument/2006/relationships/hyperlink" Target="mailto:Statementofaccounts@hertsmere.gov.uk" TargetMode="External"/><Relationship Id="rId37" Type="http://schemas.openxmlformats.org/officeDocument/2006/relationships/header" Target="header9.xml"/><Relationship Id="rId38" Type="http://schemas.openxmlformats.org/officeDocument/2006/relationships/footer" Target="footer12.xml"/><Relationship Id="rId39" Type="http://schemas.openxmlformats.org/officeDocument/2006/relationships/footer" Target="footer13.xml"/><Relationship Id="rId40" Type="http://schemas.openxmlformats.org/officeDocument/2006/relationships/header" Target="header10.xml"/><Relationship Id="rId41" Type="http://schemas.openxmlformats.org/officeDocument/2006/relationships/image" Target="media/image12.png"/><Relationship Id="rId42" Type="http://schemas.openxmlformats.org/officeDocument/2006/relationships/header" Target="header11.xml"/><Relationship Id="rId43" Type="http://schemas.openxmlformats.org/officeDocument/2006/relationships/footer" Target="footer14.xml"/><Relationship Id="rId44" Type="http://schemas.openxmlformats.org/officeDocument/2006/relationships/footer" Target="footer15.xml"/><Relationship Id="rId45" Type="http://schemas.openxmlformats.org/officeDocument/2006/relationships/header" Target="header12.xml"/><Relationship Id="rId46" Type="http://schemas.openxmlformats.org/officeDocument/2006/relationships/image" Target="media/image13.png"/><Relationship Id="rId47" Type="http://schemas.openxmlformats.org/officeDocument/2006/relationships/header" Target="header13.xml"/><Relationship Id="rId48" Type="http://schemas.openxmlformats.org/officeDocument/2006/relationships/footer" Target="footer16.xml"/><Relationship Id="rId49" Type="http://schemas.openxmlformats.org/officeDocument/2006/relationships/footer" Target="footer17.xml"/><Relationship Id="rId50" Type="http://schemas.openxmlformats.org/officeDocument/2006/relationships/header" Target="header14.xml"/><Relationship Id="rId51" Type="http://schemas.openxmlformats.org/officeDocument/2006/relationships/header" Target="header15.xml"/><Relationship Id="rId52" Type="http://schemas.openxmlformats.org/officeDocument/2006/relationships/footer" Target="footer18.xml"/><Relationship Id="rId53" Type="http://schemas.openxmlformats.org/officeDocument/2006/relationships/footer" Target="footer19.xml"/><Relationship Id="rId54" Type="http://schemas.openxmlformats.org/officeDocument/2006/relationships/header" Target="header16.xml"/><Relationship Id="rId55" Type="http://schemas.openxmlformats.org/officeDocument/2006/relationships/header" Target="header17.xml"/><Relationship Id="rId56" Type="http://schemas.openxmlformats.org/officeDocument/2006/relationships/footer" Target="footer20.xml"/><Relationship Id="rId57" Type="http://schemas.openxmlformats.org/officeDocument/2006/relationships/footer" Target="footer21.xml"/><Relationship Id="rId58" Type="http://schemas.openxmlformats.org/officeDocument/2006/relationships/header" Target="header18.xml"/><Relationship Id="rId59" Type="http://schemas.openxmlformats.org/officeDocument/2006/relationships/image" Target="media/image14.png"/><Relationship Id="rId60" Type="http://schemas.openxmlformats.org/officeDocument/2006/relationships/header" Target="header19.xml"/><Relationship Id="rId61" Type="http://schemas.openxmlformats.org/officeDocument/2006/relationships/header" Target="header20.xml"/><Relationship Id="rId62" Type="http://schemas.openxmlformats.org/officeDocument/2006/relationships/footer" Target="footer22.xml"/><Relationship Id="rId63" Type="http://schemas.openxmlformats.org/officeDocument/2006/relationships/footer" Target="footer23.xml"/><Relationship Id="rId64" Type="http://schemas.openxmlformats.org/officeDocument/2006/relationships/header" Target="header21.xml"/><Relationship Id="rId65" Type="http://schemas.openxmlformats.org/officeDocument/2006/relationships/header" Target="header22.xml"/><Relationship Id="rId66" Type="http://schemas.openxmlformats.org/officeDocument/2006/relationships/footer" Target="footer24.xml"/><Relationship Id="rId67" Type="http://schemas.openxmlformats.org/officeDocument/2006/relationships/footer" Target="footer25.xml"/><Relationship Id="rId68" Type="http://schemas.openxmlformats.org/officeDocument/2006/relationships/header" Target="header23.xml"/><Relationship Id="rId69" Type="http://schemas.openxmlformats.org/officeDocument/2006/relationships/header" Target="header24.xml"/><Relationship Id="rId70" Type="http://schemas.openxmlformats.org/officeDocument/2006/relationships/footer" Target="footer26.xml"/><Relationship Id="rId71" Type="http://schemas.openxmlformats.org/officeDocument/2006/relationships/footer" Target="footer27.xml"/><Relationship Id="rId72" Type="http://schemas.openxmlformats.org/officeDocument/2006/relationships/header" Target="header25.xml"/><Relationship Id="rId73" Type="http://schemas.openxmlformats.org/officeDocument/2006/relationships/footer" Target="footer28.xml"/><Relationship Id="rId74" Type="http://schemas.openxmlformats.org/officeDocument/2006/relationships/header" Target="header26.xml"/><Relationship Id="rId75" Type="http://schemas.openxmlformats.org/officeDocument/2006/relationships/footer" Target="footer29.xml"/><Relationship Id="rId76" Type="http://schemas.openxmlformats.org/officeDocument/2006/relationships/header" Target="header27.xml"/><Relationship Id="rId77" Type="http://schemas.openxmlformats.org/officeDocument/2006/relationships/footer" Target="footer30.xml"/><Relationship Id="rId78" Type="http://schemas.openxmlformats.org/officeDocument/2006/relationships/footer" Target="footer31.xml"/><Relationship Id="rId79" Type="http://schemas.openxmlformats.org/officeDocument/2006/relationships/header" Target="header28.xml"/><Relationship Id="rId80" Type="http://schemas.openxmlformats.org/officeDocument/2006/relationships/header" Target="header29.xml"/><Relationship Id="rId81" Type="http://schemas.openxmlformats.org/officeDocument/2006/relationships/footer" Target="footer32.xml"/><Relationship Id="rId82" Type="http://schemas.openxmlformats.org/officeDocument/2006/relationships/footer" Target="footer33.xml"/><Relationship Id="rId83" Type="http://schemas.openxmlformats.org/officeDocument/2006/relationships/header" Target="header30.xml"/><Relationship Id="rId84" Type="http://schemas.openxmlformats.org/officeDocument/2006/relationships/image" Target="media/image18.png"/><Relationship Id="rId85" Type="http://schemas.openxmlformats.org/officeDocument/2006/relationships/header" Target="header31.xml"/><Relationship Id="rId86" Type="http://schemas.openxmlformats.org/officeDocument/2006/relationships/footer" Target="footer34.xml"/><Relationship Id="rId87" Type="http://schemas.openxmlformats.org/officeDocument/2006/relationships/footer" Target="footer35.xml"/><Relationship Id="rId88" Type="http://schemas.openxmlformats.org/officeDocument/2006/relationships/header" Target="header32.xml"/><Relationship Id="rId89" Type="http://schemas.openxmlformats.org/officeDocument/2006/relationships/image" Target="media/image19.png"/><Relationship Id="rId90" Type="http://schemas.openxmlformats.org/officeDocument/2006/relationships/header" Target="header33.xml"/><Relationship Id="rId91" Type="http://schemas.openxmlformats.org/officeDocument/2006/relationships/footer" Target="footer36.xml"/><Relationship Id="rId92" Type="http://schemas.openxmlformats.org/officeDocument/2006/relationships/footer" Target="footer37.xml"/><Relationship Id="rId93" Type="http://schemas.openxmlformats.org/officeDocument/2006/relationships/header" Target="header34.xml"/><Relationship Id="rId94" Type="http://schemas.openxmlformats.org/officeDocument/2006/relationships/header" Target="header35.xml"/><Relationship Id="rId95" Type="http://schemas.openxmlformats.org/officeDocument/2006/relationships/footer" Target="footer38.xml"/><Relationship Id="rId96" Type="http://schemas.openxmlformats.org/officeDocument/2006/relationships/footer" Target="footer39.xml"/><Relationship Id="rId97" Type="http://schemas.openxmlformats.org/officeDocument/2006/relationships/header" Target="header36.xml"/><Relationship Id="rId98" Type="http://schemas.openxmlformats.org/officeDocument/2006/relationships/image" Target="media/image20.png"/><Relationship Id="rId99" Type="http://schemas.openxmlformats.org/officeDocument/2006/relationships/header" Target="header37.xml"/><Relationship Id="rId100" Type="http://schemas.openxmlformats.org/officeDocument/2006/relationships/footer" Target="footer40.xml"/><Relationship Id="rId101" Type="http://schemas.openxmlformats.org/officeDocument/2006/relationships/header" Target="header38.xml"/><Relationship Id="rId102" Type="http://schemas.openxmlformats.org/officeDocument/2006/relationships/footer" Target="footer41.xml"/><Relationship Id="rId103" Type="http://schemas.openxmlformats.org/officeDocument/2006/relationships/image" Target="media/image21.png"/><Relationship Id="rId104" Type="http://schemas.openxmlformats.org/officeDocument/2006/relationships/header" Target="header39.xml"/><Relationship Id="rId105" Type="http://schemas.openxmlformats.org/officeDocument/2006/relationships/footer" Target="footer42.xml"/><Relationship Id="rId106" Type="http://schemas.openxmlformats.org/officeDocument/2006/relationships/header" Target="header40.xml"/><Relationship Id="rId107" Type="http://schemas.openxmlformats.org/officeDocument/2006/relationships/footer" Target="footer43.xml"/><Relationship Id="rId108" Type="http://schemas.openxmlformats.org/officeDocument/2006/relationships/image" Target="media/image22.png"/><Relationship Id="rId109" Type="http://schemas.openxmlformats.org/officeDocument/2006/relationships/header" Target="header41.xml"/><Relationship Id="rId110" Type="http://schemas.openxmlformats.org/officeDocument/2006/relationships/header" Target="header42.xml"/><Relationship Id="rId111" Type="http://schemas.openxmlformats.org/officeDocument/2006/relationships/footer" Target="footer44.xml"/><Relationship Id="rId112" Type="http://schemas.openxmlformats.org/officeDocument/2006/relationships/footer" Target="footer45.xml"/><Relationship Id="rId113" Type="http://schemas.openxmlformats.org/officeDocument/2006/relationships/header" Target="header43.xml"/><Relationship Id="rId114" Type="http://schemas.openxmlformats.org/officeDocument/2006/relationships/header" Target="header44.xml"/><Relationship Id="rId115" Type="http://schemas.openxmlformats.org/officeDocument/2006/relationships/footer" Target="footer46.xml"/><Relationship Id="rId116" Type="http://schemas.openxmlformats.org/officeDocument/2006/relationships/footer" Target="footer47.xml"/><Relationship Id="rId117" Type="http://schemas.openxmlformats.org/officeDocument/2006/relationships/header" Target="header45.xml"/><Relationship Id="rId118" Type="http://schemas.openxmlformats.org/officeDocument/2006/relationships/header" Target="header46.xml"/><Relationship Id="rId119" Type="http://schemas.openxmlformats.org/officeDocument/2006/relationships/footer" Target="footer48.xml"/><Relationship Id="rId120" Type="http://schemas.openxmlformats.org/officeDocument/2006/relationships/footer" Target="footer49.xml"/><Relationship Id="rId121" Type="http://schemas.openxmlformats.org/officeDocument/2006/relationships/header" Target="header47.xml"/><Relationship Id="rId122" Type="http://schemas.openxmlformats.org/officeDocument/2006/relationships/header" Target="header48.xml"/><Relationship Id="rId123" Type="http://schemas.openxmlformats.org/officeDocument/2006/relationships/footer" Target="footer50.xml"/><Relationship Id="rId124" Type="http://schemas.openxmlformats.org/officeDocument/2006/relationships/footer" Target="footer51.xml"/><Relationship Id="rId125" Type="http://schemas.openxmlformats.org/officeDocument/2006/relationships/header" Target="header49.xml"/><Relationship Id="rId126" Type="http://schemas.openxmlformats.org/officeDocument/2006/relationships/footer" Target="footer52.xml"/><Relationship Id="rId127" Type="http://schemas.openxmlformats.org/officeDocument/2006/relationships/footer" Target="footer53.xml"/><Relationship Id="rId128" Type="http://schemas.openxmlformats.org/officeDocument/2006/relationships/header" Target="header50.xml"/><Relationship Id="rId129" Type="http://schemas.openxmlformats.org/officeDocument/2006/relationships/header" Target="header51.xml"/><Relationship Id="rId130" Type="http://schemas.openxmlformats.org/officeDocument/2006/relationships/footer" Target="footer54.xml"/><Relationship Id="rId131" Type="http://schemas.openxmlformats.org/officeDocument/2006/relationships/footer" Target="footer55.xml"/><Relationship Id="rId132" Type="http://schemas.openxmlformats.org/officeDocument/2006/relationships/header" Target="header52.xml"/><Relationship Id="rId133" Type="http://schemas.openxmlformats.org/officeDocument/2006/relationships/header" Target="header53.xml"/><Relationship Id="rId134" Type="http://schemas.openxmlformats.org/officeDocument/2006/relationships/header" Target="header54.xml"/><Relationship Id="rId135" Type="http://schemas.openxmlformats.org/officeDocument/2006/relationships/footer" Target="footer56.xml"/><Relationship Id="rId136" Type="http://schemas.openxmlformats.org/officeDocument/2006/relationships/footer" Target="footer57.xml"/><Relationship Id="rId137" Type="http://schemas.openxmlformats.org/officeDocument/2006/relationships/header" Target="header55.xml"/><Relationship Id="rId138" Type="http://schemas.openxmlformats.org/officeDocument/2006/relationships/header" Target="header56.xml"/><Relationship Id="rId139" Type="http://schemas.openxmlformats.org/officeDocument/2006/relationships/footer" Target="footer58.xml"/><Relationship Id="rId140" Type="http://schemas.openxmlformats.org/officeDocument/2006/relationships/footer" Target="footer59.xml"/><Relationship Id="rId141" Type="http://schemas.openxmlformats.org/officeDocument/2006/relationships/header" Target="header57.xml"/><Relationship Id="rId142" Type="http://schemas.openxmlformats.org/officeDocument/2006/relationships/image" Target="media/image23.png"/><Relationship Id="rId143" Type="http://schemas.openxmlformats.org/officeDocument/2006/relationships/header" Target="header58.xml"/><Relationship Id="rId144" Type="http://schemas.openxmlformats.org/officeDocument/2006/relationships/footer" Target="footer60.xml"/><Relationship Id="rId145" Type="http://schemas.openxmlformats.org/officeDocument/2006/relationships/header" Target="header59.xml"/><Relationship Id="rId146" Type="http://schemas.openxmlformats.org/officeDocument/2006/relationships/footer" Target="footer61.xml"/><Relationship Id="rId147" Type="http://schemas.openxmlformats.org/officeDocument/2006/relationships/footer" Target="footer62.xml"/><Relationship Id="rId148" Type="http://schemas.openxmlformats.org/officeDocument/2006/relationships/header" Target="header60.xml"/><Relationship Id="rId149" Type="http://schemas.openxmlformats.org/officeDocument/2006/relationships/header" Target="header61.xml"/><Relationship Id="rId150" Type="http://schemas.openxmlformats.org/officeDocument/2006/relationships/footer" Target="footer63.xml"/><Relationship Id="rId151" Type="http://schemas.openxmlformats.org/officeDocument/2006/relationships/footer" Target="footer64.xml"/><Relationship Id="rId152" Type="http://schemas.openxmlformats.org/officeDocument/2006/relationships/header" Target="header62.xml"/><Relationship Id="rId153" Type="http://schemas.openxmlformats.org/officeDocument/2006/relationships/header" Target="header63.xml"/><Relationship Id="rId154" Type="http://schemas.openxmlformats.org/officeDocument/2006/relationships/header" Target="header64.xml"/><Relationship Id="rId155" Type="http://schemas.openxmlformats.org/officeDocument/2006/relationships/footer" Target="footer65.xml"/><Relationship Id="rId156" Type="http://schemas.openxmlformats.org/officeDocument/2006/relationships/footer" Target="footer66.xml"/><Relationship Id="rId157" Type="http://schemas.openxmlformats.org/officeDocument/2006/relationships/header" Target="header65.xml"/><Relationship Id="rId158" Type="http://schemas.openxmlformats.org/officeDocument/2006/relationships/header" Target="header66.xml"/><Relationship Id="rId159" Type="http://schemas.openxmlformats.org/officeDocument/2006/relationships/footer" Target="footer67.xml"/><Relationship Id="rId160" Type="http://schemas.openxmlformats.org/officeDocument/2006/relationships/footer" Target="footer68.xml"/><Relationship Id="rId161" Type="http://schemas.openxmlformats.org/officeDocument/2006/relationships/header" Target="header67.xml"/><Relationship Id="rId162" Type="http://schemas.openxmlformats.org/officeDocument/2006/relationships/header" Target="header68.xml"/><Relationship Id="rId163" Type="http://schemas.openxmlformats.org/officeDocument/2006/relationships/footer" Target="footer69.xml"/><Relationship Id="rId164" Type="http://schemas.openxmlformats.org/officeDocument/2006/relationships/footer" Target="footer70.xml"/><Relationship Id="rId165" Type="http://schemas.openxmlformats.org/officeDocument/2006/relationships/header" Target="header69.xml"/><Relationship Id="rId166" Type="http://schemas.openxmlformats.org/officeDocument/2006/relationships/footer" Target="footer71.xml"/><Relationship Id="rId167" Type="http://schemas.openxmlformats.org/officeDocument/2006/relationships/footer" Target="footer72.xml"/><Relationship Id="rId168" Type="http://schemas.openxmlformats.org/officeDocument/2006/relationships/header" Target="header70.xml"/><Relationship Id="rId169" Type="http://schemas.openxmlformats.org/officeDocument/2006/relationships/header" Target="header71.xml"/><Relationship Id="rId170" Type="http://schemas.openxmlformats.org/officeDocument/2006/relationships/footer" Target="footer73.xml"/><Relationship Id="rId171" Type="http://schemas.openxmlformats.org/officeDocument/2006/relationships/footer" Target="footer74.xml"/><Relationship Id="rId172" Type="http://schemas.openxmlformats.org/officeDocument/2006/relationships/header" Target="header72.xml"/><Relationship Id="rId173" Type="http://schemas.openxmlformats.org/officeDocument/2006/relationships/header" Target="header73.xml"/><Relationship Id="rId174" Type="http://schemas.openxmlformats.org/officeDocument/2006/relationships/footer" Target="footer75.xml"/><Relationship Id="rId175" Type="http://schemas.openxmlformats.org/officeDocument/2006/relationships/footer" Target="footer76.xml"/><Relationship Id="rId176" Type="http://schemas.openxmlformats.org/officeDocument/2006/relationships/image" Target="media/image24.png"/><Relationship Id="rId177" Type="http://schemas.openxmlformats.org/officeDocument/2006/relationships/header" Target="header74.xml"/><Relationship Id="rId178" Type="http://schemas.openxmlformats.org/officeDocument/2006/relationships/header" Target="header75.xml"/><Relationship Id="rId179" Type="http://schemas.openxmlformats.org/officeDocument/2006/relationships/footer" Target="footer77.xml"/><Relationship Id="rId180" Type="http://schemas.openxmlformats.org/officeDocument/2006/relationships/footer" Target="footer78.xml"/><Relationship Id="rId181" Type="http://schemas.openxmlformats.org/officeDocument/2006/relationships/header" Target="header76.xml"/><Relationship Id="rId182" Type="http://schemas.openxmlformats.org/officeDocument/2006/relationships/header" Target="header77.xml"/><Relationship Id="rId183" Type="http://schemas.openxmlformats.org/officeDocument/2006/relationships/footer" Target="footer79.xml"/><Relationship Id="rId184" Type="http://schemas.openxmlformats.org/officeDocument/2006/relationships/footer" Target="footer80.xml"/><Relationship Id="rId185" Type="http://schemas.openxmlformats.org/officeDocument/2006/relationships/header" Target="header78.xml"/><Relationship Id="rId186" Type="http://schemas.openxmlformats.org/officeDocument/2006/relationships/footer" Target="footer81.xml"/><Relationship Id="rId187" Type="http://schemas.openxmlformats.org/officeDocument/2006/relationships/footer" Target="footer82.xml"/><Relationship Id="rId188" Type="http://schemas.openxmlformats.org/officeDocument/2006/relationships/header" Target="header79.xml"/><Relationship Id="rId189" Type="http://schemas.openxmlformats.org/officeDocument/2006/relationships/header" Target="header80.xml"/><Relationship Id="rId190" Type="http://schemas.openxmlformats.org/officeDocument/2006/relationships/footer" Target="footer83.xml"/><Relationship Id="rId191" Type="http://schemas.openxmlformats.org/officeDocument/2006/relationships/footer" Target="footer84.xml"/><Relationship Id="rId192" Type="http://schemas.openxmlformats.org/officeDocument/2006/relationships/header" Target="header81.xml"/><Relationship Id="rId193" Type="http://schemas.openxmlformats.org/officeDocument/2006/relationships/header" Target="header82.xml"/><Relationship Id="rId194" Type="http://schemas.openxmlformats.org/officeDocument/2006/relationships/footer" Target="footer85.xml"/><Relationship Id="rId195" Type="http://schemas.openxmlformats.org/officeDocument/2006/relationships/footer" Target="footer86.xml"/><Relationship Id="rId196" Type="http://schemas.openxmlformats.org/officeDocument/2006/relationships/header" Target="header83.xml"/><Relationship Id="rId197" Type="http://schemas.openxmlformats.org/officeDocument/2006/relationships/header" Target="header84.xml"/><Relationship Id="rId198" Type="http://schemas.openxmlformats.org/officeDocument/2006/relationships/image" Target="media/image25.png"/><Relationship Id="rId199" Type="http://schemas.openxmlformats.org/officeDocument/2006/relationships/footer" Target="footer87.xml"/><Relationship Id="rId200" Type="http://schemas.openxmlformats.org/officeDocument/2006/relationships/footer" Target="footer88.xml"/><Relationship Id="rId201" Type="http://schemas.openxmlformats.org/officeDocument/2006/relationships/image" Target="media/image26.png"/><Relationship Id="rId202" Type="http://schemas.openxmlformats.org/officeDocument/2006/relationships/header" Target="header85.xml"/><Relationship Id="rId203" Type="http://schemas.openxmlformats.org/officeDocument/2006/relationships/header" Target="header86.xml"/><Relationship Id="rId204" Type="http://schemas.openxmlformats.org/officeDocument/2006/relationships/footer" Target="footer89.xml"/><Relationship Id="rId205" Type="http://schemas.openxmlformats.org/officeDocument/2006/relationships/footer" Target="footer90.xml"/><Relationship Id="rId206" Type="http://schemas.openxmlformats.org/officeDocument/2006/relationships/header" Target="header87.xml"/><Relationship Id="rId207" Type="http://schemas.openxmlformats.org/officeDocument/2006/relationships/header" Target="header88.xml"/><Relationship Id="rId208" Type="http://schemas.openxmlformats.org/officeDocument/2006/relationships/footer" Target="footer91.xml"/><Relationship Id="rId209" Type="http://schemas.openxmlformats.org/officeDocument/2006/relationships/footer" Target="footer92.xml"/><Relationship Id="rId210" Type="http://schemas.openxmlformats.org/officeDocument/2006/relationships/image" Target="media/image27.png"/><Relationship Id="rId211" Type="http://schemas.openxmlformats.org/officeDocument/2006/relationships/header" Target="header89.xml"/><Relationship Id="rId212" Type="http://schemas.openxmlformats.org/officeDocument/2006/relationships/header" Target="header90.xml"/><Relationship Id="rId213" Type="http://schemas.openxmlformats.org/officeDocument/2006/relationships/footer" Target="footer93.xml"/><Relationship Id="rId214" Type="http://schemas.openxmlformats.org/officeDocument/2006/relationships/header" Target="header91.xml"/><Relationship Id="rId215" Type="http://schemas.openxmlformats.org/officeDocument/2006/relationships/footer" Target="footer94.xml"/><Relationship Id="rId216" Type="http://schemas.openxmlformats.org/officeDocument/2006/relationships/footer" Target="footer95.xml"/><Relationship Id="rId217" Type="http://schemas.openxmlformats.org/officeDocument/2006/relationships/header" Target="header92.xml"/><Relationship Id="rId218" Type="http://schemas.openxmlformats.org/officeDocument/2006/relationships/image" Target="media/image28.png"/><Relationship Id="rId219" Type="http://schemas.openxmlformats.org/officeDocument/2006/relationships/header" Target="header93.xml"/><Relationship Id="rId220" Type="http://schemas.openxmlformats.org/officeDocument/2006/relationships/footer" Target="footer96.xml"/><Relationship Id="rId221" Type="http://schemas.openxmlformats.org/officeDocument/2006/relationships/footer" Target="footer97.xml"/><Relationship Id="rId222" Type="http://schemas.openxmlformats.org/officeDocument/2006/relationships/header" Target="header94.xml"/><Relationship Id="rId223" Type="http://schemas.openxmlformats.org/officeDocument/2006/relationships/header" Target="header95.xml"/><Relationship Id="rId224" Type="http://schemas.openxmlformats.org/officeDocument/2006/relationships/footer" Target="footer98.xml"/><Relationship Id="rId225" Type="http://schemas.openxmlformats.org/officeDocument/2006/relationships/footer" Target="footer99.xml"/><Relationship Id="rId226" Type="http://schemas.openxmlformats.org/officeDocument/2006/relationships/header" Target="header96.xml"/><Relationship Id="rId227" Type="http://schemas.openxmlformats.org/officeDocument/2006/relationships/header" Target="header97.xml"/><Relationship Id="rId228" Type="http://schemas.openxmlformats.org/officeDocument/2006/relationships/footer" Target="footer100.xml"/><Relationship Id="rId229" Type="http://schemas.openxmlformats.org/officeDocument/2006/relationships/footer" Target="footer101.xml"/><Relationship Id="rId230" Type="http://schemas.openxmlformats.org/officeDocument/2006/relationships/header" Target="header98.xml"/><Relationship Id="rId231" Type="http://schemas.openxmlformats.org/officeDocument/2006/relationships/header" Target="header99.xml"/><Relationship Id="rId232" Type="http://schemas.openxmlformats.org/officeDocument/2006/relationships/footer" Target="footer102.xml"/><Relationship Id="rId233" Type="http://schemas.openxmlformats.org/officeDocument/2006/relationships/footer" Target="footer103.xml"/><Relationship Id="rId234" Type="http://schemas.openxmlformats.org/officeDocument/2006/relationships/header" Target="header100.xml"/><Relationship Id="rId235" Type="http://schemas.openxmlformats.org/officeDocument/2006/relationships/image" Target="media/image29.png"/><Relationship Id="rId236" Type="http://schemas.openxmlformats.org/officeDocument/2006/relationships/header" Target="header101.xml"/><Relationship Id="rId237" Type="http://schemas.openxmlformats.org/officeDocument/2006/relationships/footer" Target="footer104.xml"/><Relationship Id="rId238" Type="http://schemas.openxmlformats.org/officeDocument/2006/relationships/footer" Target="footer105.xml"/><Relationship Id="rId239" Type="http://schemas.openxmlformats.org/officeDocument/2006/relationships/image" Target="media/image30.png"/><Relationship Id="rId240" Type="http://schemas.openxmlformats.org/officeDocument/2006/relationships/header" Target="header102.xml"/><Relationship Id="rId241" Type="http://schemas.openxmlformats.org/officeDocument/2006/relationships/header" Target="header103.xml"/><Relationship Id="rId242" Type="http://schemas.openxmlformats.org/officeDocument/2006/relationships/footer" Target="footer106.xml"/><Relationship Id="rId243" Type="http://schemas.openxmlformats.org/officeDocument/2006/relationships/footer" Target="footer107.xml"/><Relationship Id="rId244" Type="http://schemas.openxmlformats.org/officeDocument/2006/relationships/header" Target="header104.xml"/><Relationship Id="rId245" Type="http://schemas.openxmlformats.org/officeDocument/2006/relationships/header" Target="header105.xml"/><Relationship Id="rId246" Type="http://schemas.openxmlformats.org/officeDocument/2006/relationships/footer" Target="footer108.xml"/><Relationship Id="rId247" Type="http://schemas.openxmlformats.org/officeDocument/2006/relationships/footer" Target="footer109.xml"/><Relationship Id="rId248" Type="http://schemas.openxmlformats.org/officeDocument/2006/relationships/header" Target="header106.xml"/><Relationship Id="rId249" Type="http://schemas.openxmlformats.org/officeDocument/2006/relationships/image" Target="media/image31.png"/><Relationship Id="rId250" Type="http://schemas.openxmlformats.org/officeDocument/2006/relationships/header" Target="header107.xml"/><Relationship Id="rId251" Type="http://schemas.openxmlformats.org/officeDocument/2006/relationships/footer" Target="footer110.xml"/><Relationship Id="rId252" Type="http://schemas.openxmlformats.org/officeDocument/2006/relationships/footer" Target="footer111.xml"/><Relationship Id="rId253" Type="http://schemas.openxmlformats.org/officeDocument/2006/relationships/header" Target="header108.xml"/><Relationship Id="rId254" Type="http://schemas.openxmlformats.org/officeDocument/2006/relationships/image" Target="media/image32.png"/><Relationship Id="rId255" Type="http://schemas.openxmlformats.org/officeDocument/2006/relationships/header" Target="header109.xml"/><Relationship Id="rId256" Type="http://schemas.openxmlformats.org/officeDocument/2006/relationships/footer" Target="footer112.xml"/><Relationship Id="rId257" Type="http://schemas.openxmlformats.org/officeDocument/2006/relationships/header" Target="header110.xml"/><Relationship Id="rId258" Type="http://schemas.openxmlformats.org/officeDocument/2006/relationships/footer" Target="footer113.xml"/><Relationship Id="rId259" Type="http://schemas.openxmlformats.org/officeDocument/2006/relationships/header" Target="header111.xml"/><Relationship Id="rId260" Type="http://schemas.openxmlformats.org/officeDocument/2006/relationships/footer" Target="footer114.xml"/><Relationship Id="rId261" Type="http://schemas.openxmlformats.org/officeDocument/2006/relationships/footer" Target="footer115.xml"/><Relationship Id="rId262" Type="http://schemas.openxmlformats.org/officeDocument/2006/relationships/header" Target="header112.xml"/><Relationship Id="rId263" Type="http://schemas.openxmlformats.org/officeDocument/2006/relationships/header" Target="header113.xml"/><Relationship Id="rId264" Type="http://schemas.openxmlformats.org/officeDocument/2006/relationships/footer" Target="footer116.xml"/><Relationship Id="rId265" Type="http://schemas.openxmlformats.org/officeDocument/2006/relationships/footer" Target="footer117.xml"/><Relationship Id="rId266" Type="http://schemas.openxmlformats.org/officeDocument/2006/relationships/image" Target="media/image33.png"/><Relationship Id="rId267" Type="http://schemas.openxmlformats.org/officeDocument/2006/relationships/header" Target="header114.xml"/><Relationship Id="rId268" Type="http://schemas.openxmlformats.org/officeDocument/2006/relationships/image" Target="media/image34.png"/><Relationship Id="rId269" Type="http://schemas.openxmlformats.org/officeDocument/2006/relationships/header" Target="header115.xml"/><Relationship Id="rId270" Type="http://schemas.openxmlformats.org/officeDocument/2006/relationships/footer" Target="footer118.xml"/><Relationship Id="rId271" Type="http://schemas.openxmlformats.org/officeDocument/2006/relationships/footer" Target="footer119.xml"/><Relationship Id="rId272" Type="http://schemas.openxmlformats.org/officeDocument/2006/relationships/header" Target="header116.xml"/><Relationship Id="rId273" Type="http://schemas.openxmlformats.org/officeDocument/2006/relationships/image" Target="media/image35.jpeg"/><Relationship Id="rId274" Type="http://schemas.openxmlformats.org/officeDocument/2006/relationships/header" Target="header117.xml"/><Relationship Id="rId275" Type="http://schemas.openxmlformats.org/officeDocument/2006/relationships/footer" Target="footer120.xml"/><Relationship Id="rId276" Type="http://schemas.openxmlformats.org/officeDocument/2006/relationships/footer" Target="footer121.xml"/><Relationship Id="rId277" Type="http://schemas.openxmlformats.org/officeDocument/2006/relationships/image" Target="media/image36.jpeg"/><Relationship Id="rId278" Type="http://schemas.openxmlformats.org/officeDocument/2006/relationships/header" Target="header118.xml"/><Relationship Id="rId279" Type="http://schemas.openxmlformats.org/officeDocument/2006/relationships/image" Target="media/image37.png"/><Relationship Id="rId280" Type="http://schemas.openxmlformats.org/officeDocument/2006/relationships/header" Target="header119.xml"/><Relationship Id="rId281" Type="http://schemas.openxmlformats.org/officeDocument/2006/relationships/footer" Target="footer122.xml"/><Relationship Id="rId282" Type="http://schemas.openxmlformats.org/officeDocument/2006/relationships/footer" Target="footer123.xml"/><Relationship Id="rId283" Type="http://schemas.openxmlformats.org/officeDocument/2006/relationships/image" Target="media/image38.png"/><Relationship Id="rId284" Type="http://schemas.openxmlformats.org/officeDocument/2006/relationships/header" Target="header120.xml"/><Relationship Id="rId285" Type="http://schemas.openxmlformats.org/officeDocument/2006/relationships/image" Target="media/image39.png"/><Relationship Id="rId286" Type="http://schemas.openxmlformats.org/officeDocument/2006/relationships/image" Target="media/image40.jpeg"/><Relationship Id="rId287" Type="http://schemas.openxmlformats.org/officeDocument/2006/relationships/image" Target="media/image41.jpeg"/><Relationship Id="rId288" Type="http://schemas.openxmlformats.org/officeDocument/2006/relationships/image" Target="media/image42.jpeg"/><Relationship Id="rId289" Type="http://schemas.openxmlformats.org/officeDocument/2006/relationships/header" Target="header121.xml"/><Relationship Id="rId290" Type="http://schemas.openxmlformats.org/officeDocument/2006/relationships/footer" Target="footer124.xml"/><Relationship Id="rId291" Type="http://schemas.openxmlformats.org/officeDocument/2006/relationships/footer" Target="footer125.xml"/><Relationship Id="rId292" Type="http://schemas.openxmlformats.org/officeDocument/2006/relationships/header" Target="header122.xml"/><Relationship Id="rId293" Type="http://schemas.openxmlformats.org/officeDocument/2006/relationships/image" Target="media/image43.png"/><Relationship Id="rId294" Type="http://schemas.openxmlformats.org/officeDocument/2006/relationships/header" Target="header123.xml"/><Relationship Id="rId295" Type="http://schemas.openxmlformats.org/officeDocument/2006/relationships/footer" Target="footer126.xml"/><Relationship Id="rId296" Type="http://schemas.openxmlformats.org/officeDocument/2006/relationships/footer" Target="footer127.xml"/><Relationship Id="rId297" Type="http://schemas.openxmlformats.org/officeDocument/2006/relationships/header" Target="header124.xml"/><Relationship Id="rId298" Type="http://schemas.openxmlformats.org/officeDocument/2006/relationships/image" Target="media/image44.png"/><Relationship Id="rId299" Type="http://schemas.openxmlformats.org/officeDocument/2006/relationships/header" Target="header125.xml"/><Relationship Id="rId300" Type="http://schemas.openxmlformats.org/officeDocument/2006/relationships/footer" Target="footer128.xml"/><Relationship Id="rId301" Type="http://schemas.openxmlformats.org/officeDocument/2006/relationships/footer" Target="footer129.xml"/><Relationship Id="rId302" Type="http://schemas.openxmlformats.org/officeDocument/2006/relationships/header" Target="header126.xml"/><Relationship Id="rId303" Type="http://schemas.openxmlformats.org/officeDocument/2006/relationships/image" Target="media/image45.png"/><Relationship Id="rId304" Type="http://schemas.openxmlformats.org/officeDocument/2006/relationships/header" Target="header127.xml"/><Relationship Id="rId305" Type="http://schemas.openxmlformats.org/officeDocument/2006/relationships/footer" Target="footer130.xml"/><Relationship Id="rId306" Type="http://schemas.openxmlformats.org/officeDocument/2006/relationships/footer" Target="footer131.xml"/><Relationship Id="rId307" Type="http://schemas.openxmlformats.org/officeDocument/2006/relationships/header" Target="header128.xml"/><Relationship Id="rId308" Type="http://schemas.openxmlformats.org/officeDocument/2006/relationships/image" Target="media/image46.png"/><Relationship Id="rId309" Type="http://schemas.openxmlformats.org/officeDocument/2006/relationships/header" Target="header129.xml"/><Relationship Id="rId310" Type="http://schemas.openxmlformats.org/officeDocument/2006/relationships/header" Target="header130.xml"/><Relationship Id="rId311" Type="http://schemas.openxmlformats.org/officeDocument/2006/relationships/footer" Target="footer132.xml"/><Relationship Id="rId312" Type="http://schemas.openxmlformats.org/officeDocument/2006/relationships/footer" Target="footer133.xml"/><Relationship Id="rId313" Type="http://schemas.openxmlformats.org/officeDocument/2006/relationships/header" Target="header131.xml"/><Relationship Id="rId314" Type="http://schemas.openxmlformats.org/officeDocument/2006/relationships/header" Target="header132.xml"/><Relationship Id="rId315" Type="http://schemas.openxmlformats.org/officeDocument/2006/relationships/footer" Target="footer134.xml"/><Relationship Id="rId316" Type="http://schemas.openxmlformats.org/officeDocument/2006/relationships/footer" Target="footer135.xml"/><Relationship Id="rId317" Type="http://schemas.openxmlformats.org/officeDocument/2006/relationships/header" Target="header133.xml"/><Relationship Id="rId318" Type="http://schemas.openxmlformats.org/officeDocument/2006/relationships/footer" Target="footer136.xml"/><Relationship Id="rId319" Type="http://schemas.openxmlformats.org/officeDocument/2006/relationships/footer" Target="footer137.xml"/><Relationship Id="rId320" Type="http://schemas.openxmlformats.org/officeDocument/2006/relationships/header" Target="header134.xml"/><Relationship Id="rId321" Type="http://schemas.openxmlformats.org/officeDocument/2006/relationships/header" Target="header135.xml"/><Relationship Id="rId322" Type="http://schemas.openxmlformats.org/officeDocument/2006/relationships/header" Target="header136.xml"/><Relationship Id="rId323" Type="http://schemas.openxmlformats.org/officeDocument/2006/relationships/footer" Target="footer138.xml"/><Relationship Id="rId324" Type="http://schemas.openxmlformats.org/officeDocument/2006/relationships/footer" Target="footer139.xml"/><Relationship Id="rId325" Type="http://schemas.openxmlformats.org/officeDocument/2006/relationships/header" Target="header137.xml"/><Relationship Id="rId326" Type="http://schemas.openxmlformats.org/officeDocument/2006/relationships/header" Target="header138.xml"/><Relationship Id="rId327" Type="http://schemas.openxmlformats.org/officeDocument/2006/relationships/image" Target="media/image50.png"/><Relationship Id="rId328" Type="http://schemas.openxmlformats.org/officeDocument/2006/relationships/header" Target="header139.xml"/><Relationship Id="rId329" Type="http://schemas.openxmlformats.org/officeDocument/2006/relationships/footer" Target="footer140.xml"/><Relationship Id="rId330" Type="http://schemas.openxmlformats.org/officeDocument/2006/relationships/footer" Target="footer141.xml"/><Relationship Id="rId331" Type="http://schemas.openxmlformats.org/officeDocument/2006/relationships/header" Target="header140.xml"/><Relationship Id="rId332" Type="http://schemas.openxmlformats.org/officeDocument/2006/relationships/header" Target="header141.xml"/><Relationship Id="rId333" Type="http://schemas.openxmlformats.org/officeDocument/2006/relationships/footer" Target="footer142.xml"/><Relationship Id="rId334" Type="http://schemas.openxmlformats.org/officeDocument/2006/relationships/footer" Target="footer143.xml"/><Relationship Id="rId335" Type="http://schemas.openxmlformats.org/officeDocument/2006/relationships/header" Target="header142.xml"/><Relationship Id="rId336" Type="http://schemas.openxmlformats.org/officeDocument/2006/relationships/image" Target="media/image51.png"/><Relationship Id="rId337" Type="http://schemas.openxmlformats.org/officeDocument/2006/relationships/header" Target="header143.xml"/><Relationship Id="rId338" Type="http://schemas.openxmlformats.org/officeDocument/2006/relationships/header" Target="header144.xml"/><Relationship Id="rId339" Type="http://schemas.openxmlformats.org/officeDocument/2006/relationships/footer" Target="footer144.xml"/><Relationship Id="rId340" Type="http://schemas.openxmlformats.org/officeDocument/2006/relationships/footer" Target="footer145.xml"/><Relationship Id="rId341" Type="http://schemas.openxmlformats.org/officeDocument/2006/relationships/header" Target="header145.xml"/><Relationship Id="rId342" Type="http://schemas.openxmlformats.org/officeDocument/2006/relationships/footer" Target="footer146.xml"/><Relationship Id="rId343" Type="http://schemas.openxmlformats.org/officeDocument/2006/relationships/footer" Target="footer147.xml"/><Relationship Id="rId344" Type="http://schemas.openxmlformats.org/officeDocument/2006/relationships/header" Target="header146.xml"/><Relationship Id="rId345" Type="http://schemas.openxmlformats.org/officeDocument/2006/relationships/header" Target="header147.xml"/><Relationship Id="rId346" Type="http://schemas.openxmlformats.org/officeDocument/2006/relationships/footer" Target="footer148.xml"/><Relationship Id="rId347" Type="http://schemas.openxmlformats.org/officeDocument/2006/relationships/numbering" Target="numbering.xml"/></Relationships>

</file>

<file path=word/_rels/header130.xml.rels><?xml version="1.0" encoding="UTF-8" standalone="yes"?>
<Relationships xmlns="http://schemas.openxmlformats.org/package/2006/relationships"><Relationship Id="rId1" Type="http://schemas.openxmlformats.org/officeDocument/2006/relationships/image" Target="media/image47.jpeg"/></Relationships>

</file>

<file path=word/_rels/header132.xml.rels><?xml version="1.0" encoding="UTF-8" standalone="yes"?>
<Relationships xmlns="http://schemas.openxmlformats.org/package/2006/relationships"><Relationship Id="rId1" Type="http://schemas.openxmlformats.org/officeDocument/2006/relationships/image" Target="media/image48.png"/></Relationships>

</file>

<file path=word/_rels/header134.xml.rels><?xml version="1.0" encoding="UTF-8" standalone="yes"?>
<Relationships xmlns="http://schemas.openxmlformats.org/package/2006/relationships"><Relationship Id="rId1" Type="http://schemas.openxmlformats.org/officeDocument/2006/relationships/image" Target="media/image49.jpeg"/></Relationships>

</file>

<file path=word/_rels/header144.xml.rels><?xml version="1.0" encoding="UTF-8" standalone="yes"?>
<Relationships xmlns="http://schemas.openxmlformats.org/package/2006/relationships"><Relationship Id="rId1" Type="http://schemas.openxmlformats.org/officeDocument/2006/relationships/image" Target="media/image52.png"/></Relationships>

</file>

<file path=word/_rels/header20.xml.rels><?xml version="1.0" encoding="UTF-8" standalone="yes"?>
<Relationships xmlns="http://schemas.openxmlformats.org/package/2006/relationships"><Relationship Id="rId1" Type="http://schemas.openxmlformats.org/officeDocument/2006/relationships/image" Target="media/image15.png"/></Relationships>

</file>

<file path=word/_rels/header22.xml.rels><?xml version="1.0" encoding="UTF-8" standalone="yes"?>
<Relationships xmlns="http://schemas.openxmlformats.org/package/2006/relationships"><Relationship Id="rId1" Type="http://schemas.openxmlformats.org/officeDocument/2006/relationships/image" Target="media/image16.png"/></Relationships>

</file>

<file path=word/_rels/header24.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2024-09-10T10:36:58Z</dcterms:created>
  <dcterms:modified xsi:type="dcterms:W3CDTF">2024-10-29T11:24:36Z</dcterms:modified>
  <dc:title>Revised Statement of Accounts 2022-23</dc:title>
  <cp:lastModifiedBy>Vic</cp:lastModifiedBy>
  <cp:keywords>
  </cp:keywords>
  <dc:subject>Revised Statement of Accounts 2022-23</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2024-09-10T00:00:00Z</vt:filetime>
  </property>
  <property fmtid="{D5CDD505-2E9C-101B-9397-08002B2CF9AE}" pid="3" name="Creator">
    <vt:lpwstr>Canon iR-ADV 6855  PDF</vt:lpwstr>
  </property>
  <property fmtid="{D5CDD505-2E9C-101B-9397-08002B2CF9AE}" pid="4" name="Producer">
    <vt:lpwstr>Adobe PSL 1.3e for Canon</vt:lpwstr>
  </property>
  <property fmtid="{D5CDD505-2E9C-101B-9397-08002B2CF9AE}" pid="5" name="LastSaved">
    <vt:filetime>2024-09-10T00:00:00Z</vt:filetime>
  </property>
</Properties>
</file>